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29" w:rsidRDefault="006B0729" w:rsidP="006B0729">
      <w:pPr>
        <w:pStyle w:val="libNormal"/>
        <w:rPr>
          <w:rtl/>
          <w:lang w:bidi="fa-IR"/>
        </w:rPr>
      </w:pPr>
      <w:r>
        <w:rPr>
          <w:rtl/>
          <w:lang w:bidi="fa-IR"/>
        </w:rPr>
        <w:br w:type="page"/>
      </w:r>
    </w:p>
    <w:p w:rsidR="006B0729" w:rsidRDefault="006B0729" w:rsidP="00795177">
      <w:pPr>
        <w:pStyle w:val="libNormal"/>
        <w:rPr>
          <w:rtl/>
          <w:lang w:bidi="fa-IR"/>
        </w:rPr>
      </w:pPr>
      <w:r w:rsidRPr="006B0729">
        <w:rPr>
          <w:rFonts w:hint="cs"/>
          <w:noProof/>
          <w:rtl/>
        </w:rPr>
        <w:lastRenderedPageBreak/>
        <w:drawing>
          <wp:inline distT="0" distB="0" distL="0" distR="0">
            <wp:extent cx="4674235" cy="7404100"/>
            <wp:effectExtent l="19050" t="0" r="0" b="0"/>
            <wp:docPr id="4"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95177" w:rsidRDefault="00795177" w:rsidP="00795177">
      <w:pPr>
        <w:pStyle w:val="libNormal"/>
        <w:rPr>
          <w:rtl/>
          <w:lang w:bidi="fa-IR"/>
        </w:rPr>
      </w:pPr>
      <w:r>
        <w:rPr>
          <w:rtl/>
          <w:lang w:bidi="fa-IR"/>
        </w:rPr>
        <w:br w:type="page"/>
      </w:r>
    </w:p>
    <w:p w:rsidR="0099445F" w:rsidRDefault="0099445F" w:rsidP="0099445F">
      <w:pPr>
        <w:pStyle w:val="libCenterBold1"/>
        <w:bidi w:val="0"/>
      </w:pPr>
      <w:r>
        <w:rPr>
          <w:rtl/>
        </w:rPr>
        <w:lastRenderedPageBreak/>
        <w:t>ملاحظة</w:t>
      </w:r>
    </w:p>
    <w:p w:rsidR="0099445F" w:rsidRDefault="0099445F" w:rsidP="0099445F">
      <w:pPr>
        <w:pStyle w:val="libCenterBold1"/>
        <w:bidi w:val="0"/>
      </w:pPr>
      <w:bookmarkStart w:id="0" w:name="_GoBack"/>
      <w:bookmarkEnd w:id="0"/>
      <w:r>
        <w:rPr>
          <w:rtl/>
        </w:rPr>
        <w:t>هذا الكتاب</w:t>
      </w:r>
    </w:p>
    <w:p w:rsidR="0099445F" w:rsidRDefault="0099445F" w:rsidP="0099445F">
      <w:pPr>
        <w:pStyle w:val="libCenterBold1"/>
        <w:bidi w:val="0"/>
      </w:pPr>
      <w:r>
        <w:rPr>
          <w:rtl/>
        </w:rPr>
        <w:t>طبع ونشر الكترونياً وأخرج فنِيّاً برعاية وإشراف</w:t>
      </w:r>
    </w:p>
    <w:p w:rsidR="0099445F" w:rsidRDefault="0099445F" w:rsidP="0099445F">
      <w:pPr>
        <w:pStyle w:val="libCenterBold1"/>
        <w:bidi w:val="0"/>
      </w:pPr>
      <w:r>
        <w:rPr>
          <w:rtl/>
        </w:rPr>
        <w:t>شبكة الإمامين الحسنين (عليهما السلام) للتراث والفكر الإسلامي</w:t>
      </w:r>
    </w:p>
    <w:p w:rsidR="0099445F" w:rsidRDefault="0099445F" w:rsidP="0099445F">
      <w:pPr>
        <w:pStyle w:val="libCenterBold1"/>
        <w:bidi w:val="0"/>
      </w:pPr>
      <w:r>
        <w:rPr>
          <w:rtl/>
        </w:rPr>
        <w:t>وتولَّى العمل عليه ضبطاً وتصحيحاً وترقيماً</w:t>
      </w:r>
    </w:p>
    <w:p w:rsidR="0099445F" w:rsidRDefault="0099445F" w:rsidP="0099445F">
      <w:pPr>
        <w:pStyle w:val="libCenterBold1"/>
        <w:bidi w:val="0"/>
      </w:pPr>
      <w:r>
        <w:rPr>
          <w:rtl/>
        </w:rPr>
        <w:t>قسم اللجنة العلميّة في الشبكة</w:t>
      </w:r>
    </w:p>
    <w:p w:rsidR="0099445F" w:rsidRDefault="0099445F" w:rsidP="00795177">
      <w:pPr>
        <w:pStyle w:val="libNormal"/>
        <w:rPr>
          <w:lang w:bidi="fa-IR"/>
        </w:rPr>
      </w:pPr>
    </w:p>
    <w:p w:rsidR="00795177" w:rsidRDefault="00795177" w:rsidP="00795177">
      <w:pPr>
        <w:pStyle w:val="libNormal"/>
        <w:rPr>
          <w:rtl/>
          <w:lang w:bidi="fa-IR"/>
        </w:rPr>
      </w:pPr>
      <w:r>
        <w:rPr>
          <w:rtl/>
          <w:lang w:bidi="fa-IR"/>
        </w:rPr>
        <w:br w:type="page"/>
      </w:r>
    </w:p>
    <w:p w:rsidR="00992664" w:rsidRDefault="00992664" w:rsidP="00992664">
      <w:pPr>
        <w:pStyle w:val="libCenterBold2"/>
        <w:rPr>
          <w:rtl/>
          <w:lang w:bidi="fa-IR"/>
        </w:rPr>
      </w:pPr>
      <w:r>
        <w:rPr>
          <w:noProof/>
        </w:rPr>
        <w:lastRenderedPageBreak/>
        <w:drawing>
          <wp:inline distT="0" distB="0" distL="0" distR="0">
            <wp:extent cx="4674235" cy="7404100"/>
            <wp:effectExtent l="1905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95177" w:rsidRDefault="00795177" w:rsidP="00795177">
      <w:pPr>
        <w:pStyle w:val="libNormal"/>
        <w:rPr>
          <w:rtl/>
          <w:lang w:bidi="fa-IR"/>
        </w:rPr>
      </w:pPr>
      <w:r>
        <w:rPr>
          <w:rtl/>
          <w:lang w:bidi="fa-IR"/>
        </w:rPr>
        <w:br w:type="page"/>
      </w:r>
    </w:p>
    <w:p w:rsidR="00795177" w:rsidRDefault="00795177" w:rsidP="00795177">
      <w:pPr>
        <w:pStyle w:val="libNormal"/>
        <w:rPr>
          <w:rtl/>
          <w:lang w:bidi="fa-IR"/>
        </w:rPr>
      </w:pPr>
      <w:r>
        <w:rPr>
          <w:rtl/>
          <w:lang w:bidi="fa-IR"/>
        </w:rPr>
        <w:lastRenderedPageBreak/>
        <w:br w:type="page"/>
      </w:r>
    </w:p>
    <w:p w:rsidR="00992664" w:rsidRDefault="00992664" w:rsidP="00992664">
      <w:pPr>
        <w:pStyle w:val="Heading1Center"/>
        <w:rPr>
          <w:rtl/>
          <w:lang w:bidi="fa-IR"/>
        </w:rPr>
      </w:pPr>
      <w:bookmarkStart w:id="1" w:name="_Toc464562534"/>
      <w:bookmarkStart w:id="2" w:name="_Toc44599835"/>
      <w:r w:rsidRPr="00020424">
        <w:rPr>
          <w:rtl/>
          <w:lang w:bidi="fa-IR"/>
        </w:rPr>
        <w:lastRenderedPageBreak/>
        <w:t>[13]</w:t>
      </w:r>
      <w:bookmarkEnd w:id="1"/>
      <w:bookmarkEnd w:id="2"/>
    </w:p>
    <w:p w:rsidR="00992664" w:rsidRPr="00020424" w:rsidRDefault="00992664" w:rsidP="00992664">
      <w:pPr>
        <w:pStyle w:val="Heading1Center"/>
        <w:rPr>
          <w:rtl/>
          <w:lang w:bidi="fa-IR"/>
        </w:rPr>
      </w:pPr>
      <w:bookmarkStart w:id="3" w:name="_Toc464562535"/>
      <w:bookmarkStart w:id="4" w:name="_Toc44599836"/>
      <w:r w:rsidRPr="00020424">
        <w:rPr>
          <w:rtl/>
          <w:lang w:bidi="fa-IR"/>
        </w:rPr>
        <w:t>كِتَابُ الزَّكَاةِ‌</w:t>
      </w:r>
      <w:bookmarkEnd w:id="3"/>
      <w:bookmarkEnd w:id="4"/>
    </w:p>
    <w:p w:rsidR="00795177" w:rsidRDefault="00795177" w:rsidP="00795177">
      <w:pPr>
        <w:pStyle w:val="libNormal"/>
        <w:rPr>
          <w:rtl/>
        </w:rPr>
      </w:pPr>
      <w:r>
        <w:rPr>
          <w:rtl/>
        </w:rPr>
        <w:br w:type="page"/>
      </w:r>
    </w:p>
    <w:p w:rsidR="00992664" w:rsidRPr="00020424" w:rsidRDefault="00992664" w:rsidP="00E27301">
      <w:pPr>
        <w:pStyle w:val="libCenter"/>
        <w:rPr>
          <w:rtl/>
        </w:rPr>
      </w:pPr>
      <w:r w:rsidRPr="001155DE">
        <w:rPr>
          <w:rStyle w:val="libBold2Char"/>
          <w:rtl/>
        </w:rPr>
        <w:lastRenderedPageBreak/>
        <w:t>بِسْمِ اللهِ الرَّحمنِ الرَّحِيمِ</w:t>
      </w:r>
      <w:r w:rsidRPr="00020424">
        <w:rPr>
          <w:rtl/>
          <w:lang w:bidi="fa-IR"/>
        </w:rPr>
        <w:t>‌</w:t>
      </w:r>
    </w:p>
    <w:p w:rsidR="00992664" w:rsidRDefault="00992664" w:rsidP="00992664">
      <w:pPr>
        <w:pStyle w:val="Heading1Center"/>
        <w:rPr>
          <w:rtl/>
          <w:lang w:bidi="fa-IR"/>
        </w:rPr>
      </w:pPr>
      <w:bookmarkStart w:id="5" w:name="_Toc345172717"/>
      <w:bookmarkStart w:id="6" w:name="_Toc464562536"/>
      <w:bookmarkStart w:id="7" w:name="_Toc44599837"/>
      <w:r w:rsidRPr="00020424">
        <w:rPr>
          <w:rtl/>
          <w:lang w:bidi="fa-IR"/>
        </w:rPr>
        <w:t>[13]</w:t>
      </w:r>
      <w:bookmarkEnd w:id="5"/>
      <w:bookmarkEnd w:id="6"/>
      <w:bookmarkEnd w:id="7"/>
    </w:p>
    <w:p w:rsidR="00992664" w:rsidRPr="00020424" w:rsidRDefault="00992664" w:rsidP="00992664">
      <w:pPr>
        <w:pStyle w:val="Heading1Center"/>
        <w:rPr>
          <w:rtl/>
          <w:lang w:bidi="fa-IR"/>
        </w:rPr>
      </w:pPr>
      <w:bookmarkStart w:id="8" w:name="_Toc345172718"/>
      <w:bookmarkStart w:id="9" w:name="_Toc464562537"/>
      <w:bookmarkStart w:id="10" w:name="_Toc44599838"/>
      <w:r w:rsidRPr="00020424">
        <w:rPr>
          <w:rtl/>
          <w:lang w:bidi="fa-IR"/>
        </w:rPr>
        <w:t>كِتَابُ الزَّكَاةِ‌</w:t>
      </w:r>
      <w:bookmarkEnd w:id="8"/>
      <w:bookmarkEnd w:id="9"/>
      <w:bookmarkEnd w:id="10"/>
    </w:p>
    <w:p w:rsidR="00992664" w:rsidRPr="00020424" w:rsidRDefault="00992664" w:rsidP="00992664">
      <w:pPr>
        <w:pStyle w:val="Heading2Center"/>
        <w:rPr>
          <w:rtl/>
          <w:lang w:bidi="fa-IR"/>
        </w:rPr>
      </w:pPr>
      <w:bookmarkStart w:id="11" w:name="_Toc345172719"/>
      <w:bookmarkStart w:id="12" w:name="_Toc464562538"/>
      <w:bookmarkStart w:id="13" w:name="_Toc44599839"/>
      <w:r w:rsidRPr="00020424">
        <w:rPr>
          <w:rtl/>
          <w:lang w:bidi="fa-IR"/>
        </w:rPr>
        <w:t>1</w:t>
      </w:r>
      <w:r>
        <w:rPr>
          <w:rtl/>
          <w:lang w:bidi="fa-IR"/>
        </w:rPr>
        <w:t xml:space="preserve"> </w:t>
      </w:r>
      <w:r w:rsidR="009B673F">
        <w:rPr>
          <w:rtl/>
          <w:lang w:bidi="fa-IR"/>
        </w:rPr>
        <w:t>-</w:t>
      </w:r>
      <w:r>
        <w:rPr>
          <w:rtl/>
          <w:lang w:bidi="fa-IR"/>
        </w:rPr>
        <w:t xml:space="preserve"> </w:t>
      </w:r>
      <w:r w:rsidRPr="00020424">
        <w:rPr>
          <w:rtl/>
          <w:lang w:bidi="fa-IR"/>
        </w:rPr>
        <w:t xml:space="preserve">بَابُ فَرْضِ </w:t>
      </w:r>
      <w:r w:rsidRPr="00A91B96">
        <w:rPr>
          <w:rStyle w:val="libFootnotenumChar"/>
          <w:rtl/>
        </w:rPr>
        <w:t>(1)</w:t>
      </w:r>
      <w:r>
        <w:rPr>
          <w:rtl/>
        </w:rPr>
        <w:t xml:space="preserve"> </w:t>
      </w:r>
      <w:r w:rsidRPr="00020424">
        <w:rPr>
          <w:rtl/>
          <w:lang w:bidi="fa-IR"/>
        </w:rPr>
        <w:t xml:space="preserve">الزَّكَاةِ وَ </w:t>
      </w:r>
      <w:r w:rsidRPr="00A91B96">
        <w:rPr>
          <w:rStyle w:val="libFootnotenumChar"/>
          <w:rtl/>
        </w:rPr>
        <w:t>(2)</w:t>
      </w:r>
      <w:r>
        <w:rPr>
          <w:rtl/>
        </w:rPr>
        <w:t xml:space="preserve"> </w:t>
      </w:r>
      <w:r w:rsidRPr="00020424">
        <w:rPr>
          <w:rtl/>
          <w:lang w:bidi="fa-IR"/>
        </w:rPr>
        <w:t xml:space="preserve">مَا يَجِبُ فِي الْمَالِ مِنَ الْحُقُوقِ </w:t>
      </w:r>
      <w:r w:rsidRPr="00A91B96">
        <w:rPr>
          <w:rStyle w:val="libFootnotenumChar"/>
          <w:rtl/>
        </w:rPr>
        <w:t>(3)</w:t>
      </w:r>
      <w:bookmarkEnd w:id="11"/>
      <w:bookmarkEnd w:id="12"/>
      <w:bookmarkEnd w:id="13"/>
    </w:p>
    <w:p w:rsidR="00992664" w:rsidRPr="00020424" w:rsidRDefault="00992664" w:rsidP="00992664">
      <w:pPr>
        <w:pStyle w:val="libNormal"/>
        <w:rPr>
          <w:rtl/>
          <w:lang w:bidi="fa-IR"/>
        </w:rPr>
      </w:pPr>
      <w:r w:rsidRPr="008340FD">
        <w:rPr>
          <w:rtl/>
        </w:rPr>
        <w:t>5720</w:t>
      </w:r>
      <w:r w:rsidRPr="001155DE">
        <w:rPr>
          <w:rStyle w:val="libBold2Char"/>
          <w:rtl/>
        </w:rPr>
        <w:t xml:space="preserve"> / 1.</w:t>
      </w:r>
      <w:r w:rsidRPr="00020424">
        <w:rPr>
          <w:rtl/>
          <w:lang w:bidi="fa-IR"/>
        </w:rPr>
        <w:t xml:space="preserve"> عَلِيُّ بْنُ إِبْرَاهِيمَ ، عَنْ أَبِيهِ ، عَنْ حَمَّادِ بْنِ عِيسى ، عَنْ حَرِيزٍ ، عَنْ زُرَارَةَ وَمُحَمَّدِ بْنِ مُسْلِمٍ :</w:t>
      </w:r>
    </w:p>
    <w:p w:rsidR="00992664" w:rsidRPr="00020424" w:rsidRDefault="00992664" w:rsidP="00992664">
      <w:pPr>
        <w:pStyle w:val="libNormal"/>
        <w:rPr>
          <w:rtl/>
          <w:lang w:bidi="fa-IR"/>
        </w:rPr>
      </w:pPr>
      <w:r w:rsidRPr="00020424">
        <w:rPr>
          <w:rtl/>
          <w:lang w:bidi="fa-IR"/>
        </w:rPr>
        <w:t xml:space="preserve">أَنَّهُمَا قَالَا لِأَبِي عَبْدِ اللهِ </w:t>
      </w:r>
      <w:r w:rsidRPr="00005A81">
        <w:rPr>
          <w:rStyle w:val="libAlaemChar"/>
          <w:rtl/>
        </w:rPr>
        <w:t>عليه‌السلام</w:t>
      </w:r>
      <w:r>
        <w:rPr>
          <w:rtl/>
          <w:lang w:bidi="fa-IR"/>
        </w:rPr>
        <w:t xml:space="preserve"> : أَ</w:t>
      </w:r>
      <w:r w:rsidRPr="00020424">
        <w:rPr>
          <w:rtl/>
          <w:lang w:bidi="fa-IR"/>
        </w:rPr>
        <w:t xml:space="preserve">رَأَيْتَ قَوْلَ اللهِ عَزَّ وَجَلَّ : </w:t>
      </w:r>
      <w:r w:rsidRPr="00005A81">
        <w:rPr>
          <w:rStyle w:val="libAlaemChar"/>
          <w:rtl/>
        </w:rPr>
        <w:t>(</w:t>
      </w:r>
      <w:r w:rsidRPr="004E5AB4">
        <w:rPr>
          <w:rStyle w:val="libAieChar"/>
          <w:rtl/>
        </w:rPr>
        <w:t xml:space="preserve"> إِنَّمَا الصَّدَقاتُ لِلْفُقَراءِ وَالْمَساكِينِ وَالْعامِلِينَ عَلَيْها وَالْمُؤَلَّفَةِ قُلُوبُهُمْ وَفِي الرِّقابِ وَالْغارِمِينَ </w:t>
      </w:r>
      <w:r w:rsidRPr="00A91B96">
        <w:rPr>
          <w:rStyle w:val="libFootnotenumChar"/>
          <w:rtl/>
        </w:rPr>
        <w:t>(4)</w:t>
      </w:r>
      <w:r w:rsidRPr="004E5AB4">
        <w:rPr>
          <w:rStyle w:val="libAieChar"/>
          <w:rtl/>
        </w:rPr>
        <w:t xml:space="preserve"> وَفِي سَبِيلِ اللهِ وَابْنِ السَّبِيلِ فَرِيضَةً مِنَ اللهِ </w:t>
      </w:r>
      <w:r w:rsidRPr="00005A81">
        <w:rPr>
          <w:rStyle w:val="libAlaemChar"/>
          <w:rtl/>
        </w:rPr>
        <w:t>)</w:t>
      </w:r>
      <w:r w:rsidRPr="00020424">
        <w:rPr>
          <w:rtl/>
          <w:lang w:bidi="fa-IR"/>
        </w:rPr>
        <w:t xml:space="preserve"> </w:t>
      </w:r>
      <w:r w:rsidRPr="00A91B96">
        <w:rPr>
          <w:rStyle w:val="libFootnotenumChar"/>
          <w:rtl/>
        </w:rPr>
        <w:t>(5)</w:t>
      </w:r>
      <w:r>
        <w:rPr>
          <w:rtl/>
          <w:lang w:bidi="fa-IR"/>
        </w:rPr>
        <w:t>؟ أَ</w:t>
      </w:r>
      <w:r w:rsidRPr="00020424">
        <w:rPr>
          <w:rtl/>
          <w:lang w:bidi="fa-IR"/>
        </w:rPr>
        <w:t xml:space="preserve">كُلُّ هؤُلَاءِ يُعْطى وَإِنْ كَانَ </w:t>
      </w:r>
      <w:r w:rsidRPr="00A91B96">
        <w:rPr>
          <w:rStyle w:val="libFootnotenumChar"/>
          <w:rtl/>
        </w:rPr>
        <w:t>(6)</w:t>
      </w:r>
      <w:r w:rsidRPr="00020424">
        <w:rPr>
          <w:rtl/>
          <w:lang w:bidi="fa-IR"/>
        </w:rPr>
        <w:t xml:space="preserve"> لَايَعْرِفُ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فَقَالَ : « إِنَّ الْإِمَامَ يُعْطِي هؤُلَاءِ جَمِيعاً ؛ لِأَنَّهُمْ يُقِرُّونَ لَهُ بِالطَّاعَةِ »</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(8)</w:t>
      </w:r>
      <w:r w:rsidRPr="00020424">
        <w:rPr>
          <w:rtl/>
          <w:lang w:bidi="fa-IR"/>
        </w:rPr>
        <w:t xml:space="preserve"> : قُلْتُ </w:t>
      </w:r>
      <w:r w:rsidRPr="00A91B96">
        <w:rPr>
          <w:rStyle w:val="libFootnotenumChar"/>
          <w:rtl/>
        </w:rPr>
        <w:t>(9)</w:t>
      </w:r>
      <w:r w:rsidRPr="00020424">
        <w:rPr>
          <w:rtl/>
          <w:lang w:bidi="fa-IR"/>
        </w:rPr>
        <w:t xml:space="preserve"> : فَإِنْ كَانُوا لَايَعْرِفُونَ</w:t>
      </w:r>
      <w:r>
        <w:rPr>
          <w:rtl/>
          <w:lang w:bidi="fa-IR"/>
        </w:rPr>
        <w:t>؟</w:t>
      </w:r>
    </w:p>
    <w:p w:rsidR="00992664" w:rsidRPr="00020424" w:rsidRDefault="00992664" w:rsidP="00992664">
      <w:pPr>
        <w:pStyle w:val="libNormal"/>
        <w:rPr>
          <w:rtl/>
          <w:lang w:bidi="fa-IR"/>
        </w:rPr>
      </w:pPr>
      <w:r w:rsidRPr="00020424">
        <w:rPr>
          <w:rtl/>
          <w:lang w:bidi="fa-IR"/>
        </w:rPr>
        <w:t xml:space="preserve">فَقَالَ : « يَا زُرَارَةُ ، لَوْ كَانَ يُعْطِي مَنْ </w:t>
      </w:r>
      <w:r w:rsidRPr="00A91B96">
        <w:rPr>
          <w:rStyle w:val="libFootnotenumChar"/>
          <w:rtl/>
        </w:rPr>
        <w:t>(10)</w:t>
      </w:r>
      <w:r w:rsidRPr="00020424">
        <w:rPr>
          <w:rtl/>
          <w:lang w:bidi="fa-IR"/>
        </w:rPr>
        <w:t xml:space="preserve"> يَعْرِفُ </w:t>
      </w:r>
      <w:r w:rsidRPr="00A91B96">
        <w:rPr>
          <w:rStyle w:val="libFootnotenumChar"/>
          <w:rtl/>
        </w:rPr>
        <w:t>(11)</w:t>
      </w:r>
      <w:r w:rsidRPr="00020424">
        <w:rPr>
          <w:rtl/>
          <w:lang w:bidi="fa-IR"/>
        </w:rPr>
        <w:t xml:space="preserve"> دُونَ مَنْ لَايَعْرِفُ ، لَمْ يُوجَدْ‌</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327F2" w:rsidTr="00D327F2">
        <w:tc>
          <w:tcPr>
            <w:tcW w:w="4006" w:type="dxa"/>
          </w:tcPr>
          <w:p w:rsidR="00D327F2" w:rsidRDefault="00D327F2" w:rsidP="00992664">
            <w:pPr>
              <w:pStyle w:val="libFootnote0"/>
              <w:rPr>
                <w:rtl/>
              </w:rPr>
            </w:pPr>
            <w:r>
              <w:rPr>
                <w:rtl/>
              </w:rPr>
              <w:t xml:space="preserve">(1). </w:t>
            </w:r>
            <w:r w:rsidRPr="00020424">
              <w:rPr>
                <w:rtl/>
              </w:rPr>
              <w:t>في حاشية « بف » : « فضل »</w:t>
            </w:r>
            <w:r>
              <w:rPr>
                <w:rtl/>
              </w:rPr>
              <w:t>.</w:t>
            </w:r>
          </w:p>
        </w:tc>
        <w:tc>
          <w:tcPr>
            <w:tcW w:w="4006" w:type="dxa"/>
          </w:tcPr>
          <w:p w:rsidR="00D327F2" w:rsidRDefault="00D327F2" w:rsidP="00D327F2">
            <w:pPr>
              <w:pStyle w:val="libFootnote0"/>
              <w:rPr>
                <w:rtl/>
              </w:rPr>
            </w:pPr>
            <w:r>
              <w:rPr>
                <w:rtl/>
              </w:rPr>
              <w:t xml:space="preserve">(2). </w:t>
            </w:r>
            <w:r w:rsidRPr="00020424">
              <w:rPr>
                <w:rtl/>
              </w:rPr>
              <w:t>في « بف » :</w:t>
            </w:r>
            <w:r>
              <w:rPr>
                <w:rtl/>
              </w:rPr>
              <w:t xml:space="preserve"> -</w:t>
            </w:r>
            <w:r>
              <w:rPr>
                <w:rFonts w:hint="cs"/>
                <w:rtl/>
              </w:rPr>
              <w:t xml:space="preserve"> </w:t>
            </w:r>
            <w:r w:rsidRPr="00020424">
              <w:rPr>
                <w:rtl/>
              </w:rPr>
              <w:t xml:space="preserve">« فرض الزكاة </w:t>
            </w:r>
            <w:r>
              <w:rPr>
                <w:rtl/>
              </w:rPr>
              <w:t>و ».</w:t>
            </w:r>
          </w:p>
        </w:tc>
      </w:tr>
    </w:tbl>
    <w:p w:rsidR="00992664" w:rsidRPr="00020424" w:rsidRDefault="00795177" w:rsidP="009C390A">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من الحقوق »</w:t>
      </w:r>
      <w:r w:rsidR="00992664">
        <w:rPr>
          <w:rtl/>
        </w:rPr>
        <w:t>.</w:t>
      </w:r>
    </w:p>
    <w:p w:rsidR="00992664" w:rsidRPr="00020424" w:rsidRDefault="00795177" w:rsidP="00D327F2">
      <w:pPr>
        <w:pStyle w:val="libFootnote0"/>
        <w:rPr>
          <w:rtl/>
          <w:lang w:bidi="fa-IR"/>
        </w:rPr>
      </w:pPr>
      <w:r>
        <w:rPr>
          <w:rtl/>
        </w:rPr>
        <w:t>(4).</w:t>
      </w:r>
      <w:r w:rsidR="0014403D">
        <w:rPr>
          <w:rtl/>
        </w:rPr>
        <w:t xml:space="preserve"> </w:t>
      </w:r>
      <w:r w:rsidR="00992664" w:rsidRPr="00020424">
        <w:rPr>
          <w:rtl/>
        </w:rPr>
        <w:t xml:space="preserve">الغارمون : هم الذين ركبتهم الديون في غير معصية ولا إسراف يقضي عنهم الديون. راجع : </w:t>
      </w:r>
      <w:r w:rsidR="00992664" w:rsidRPr="008340FD">
        <w:rPr>
          <w:rtl/>
        </w:rPr>
        <w:t>مجمع البيان</w:t>
      </w:r>
      <w:r w:rsidR="00992664" w:rsidRPr="00020424">
        <w:rPr>
          <w:rtl/>
        </w:rPr>
        <w:t xml:space="preserve"> ، ج 5 ، ص 75 ذيل الآية.</w:t>
      </w:r>
      <w:r w:rsidR="00D327F2">
        <w:rPr>
          <w:rFonts w:hint="cs"/>
          <w:rtl/>
        </w:rPr>
        <w:t xml:space="preserve">           </w:t>
      </w:r>
      <w:r w:rsidR="00352B65">
        <w:rPr>
          <w:rFonts w:hint="cs"/>
          <w:rtl/>
        </w:rPr>
        <w:t xml:space="preserve">                     </w:t>
      </w:r>
      <w:r w:rsidR="00F06F73">
        <w:rPr>
          <w:rFonts w:hint="cs"/>
          <w:rtl/>
        </w:rPr>
        <w:t xml:space="preserve">     </w:t>
      </w:r>
      <w:r w:rsidR="00D327F2">
        <w:rPr>
          <w:rFonts w:hint="cs"/>
          <w:rtl/>
        </w:rPr>
        <w:t xml:space="preserve"> </w:t>
      </w:r>
      <w:r>
        <w:rPr>
          <w:rtl/>
        </w:rPr>
        <w:t>(5).</w:t>
      </w:r>
      <w:r w:rsidR="0014403D">
        <w:rPr>
          <w:rtl/>
        </w:rPr>
        <w:t xml:space="preserve"> </w:t>
      </w:r>
      <w:r w:rsidR="00992664" w:rsidRPr="00020424">
        <w:rPr>
          <w:rtl/>
        </w:rPr>
        <w:t xml:space="preserve">التوبة </w:t>
      </w:r>
      <w:r>
        <w:rPr>
          <w:rtl/>
        </w:rPr>
        <w:t>(9).</w:t>
      </w:r>
      <w:r w:rsidR="0014403D">
        <w:rPr>
          <w:rtl/>
        </w:rPr>
        <w:t xml:space="preserve"> </w:t>
      </w:r>
      <w:r w:rsidR="00992664" w:rsidRPr="00020424">
        <w:rPr>
          <w:rtl/>
        </w:rPr>
        <w:t>: 60.</w:t>
      </w:r>
    </w:p>
    <w:tbl>
      <w:tblPr>
        <w:tblStyle w:val="TableGrid"/>
        <w:bidiVisual/>
        <w:tblW w:w="0" w:type="auto"/>
        <w:tblLook w:val="04A0" w:firstRow="1" w:lastRow="0" w:firstColumn="1" w:lastColumn="0" w:noHBand="0" w:noVBand="1"/>
      </w:tblPr>
      <w:tblGrid>
        <w:gridCol w:w="4006"/>
        <w:gridCol w:w="4006"/>
      </w:tblGrid>
      <w:tr w:rsidR="00202367" w:rsidTr="00202367">
        <w:tc>
          <w:tcPr>
            <w:tcW w:w="4006" w:type="dxa"/>
          </w:tcPr>
          <w:p w:rsidR="00202367" w:rsidRDefault="00202367" w:rsidP="00992664">
            <w:pPr>
              <w:pStyle w:val="libFootnote0"/>
              <w:rPr>
                <w:rtl/>
              </w:rPr>
            </w:pPr>
            <w:r>
              <w:rPr>
                <w:rtl/>
              </w:rPr>
              <w:t xml:space="preserve">(6). </w:t>
            </w:r>
            <w:r w:rsidRPr="00020424">
              <w:rPr>
                <w:rtl/>
              </w:rPr>
              <w:t>في«بث،بح»وحاشية«ظ»:«كانو »</w:t>
            </w:r>
            <w:r>
              <w:rPr>
                <w:rtl/>
              </w:rPr>
              <w:t>.</w:t>
            </w:r>
          </w:p>
        </w:tc>
        <w:tc>
          <w:tcPr>
            <w:tcW w:w="4006" w:type="dxa"/>
          </w:tcPr>
          <w:p w:rsidR="00202367" w:rsidRDefault="00202367" w:rsidP="00992664">
            <w:pPr>
              <w:pStyle w:val="libFootnote0"/>
              <w:rPr>
                <w:rtl/>
              </w:rPr>
            </w:pPr>
            <w:r>
              <w:rPr>
                <w:rtl/>
              </w:rPr>
              <w:t xml:space="preserve">(7). </w:t>
            </w:r>
            <w:r w:rsidRPr="00020424">
              <w:rPr>
                <w:rtl/>
              </w:rPr>
              <w:t>في«بث،بح»وحاشية «ظ،بخ،جن»:«لايعرفون»</w:t>
            </w:r>
            <w:r>
              <w:rPr>
                <w:rtl/>
              </w:rPr>
              <w:t>.</w:t>
            </w:r>
          </w:p>
        </w:tc>
      </w:tr>
      <w:tr w:rsidR="00202367" w:rsidTr="00202367">
        <w:tc>
          <w:tcPr>
            <w:tcW w:w="4006" w:type="dxa"/>
          </w:tcPr>
          <w:p w:rsidR="00202367" w:rsidRDefault="00202367" w:rsidP="009C390A">
            <w:pPr>
              <w:pStyle w:val="libFootnote0"/>
              <w:rPr>
                <w:rtl/>
              </w:rPr>
            </w:pPr>
            <w:r>
              <w:rPr>
                <w:rtl/>
              </w:rPr>
              <w:t xml:space="preserve">(8). </w:t>
            </w:r>
            <w:r w:rsidRPr="00020424">
              <w:rPr>
                <w:rtl/>
              </w:rPr>
              <w:t xml:space="preserve">في </w:t>
            </w:r>
            <w:r w:rsidRPr="0012008A">
              <w:rPr>
                <w:rStyle w:val="libFootnoteBoldChar"/>
                <w:rtl/>
              </w:rPr>
              <w:t>الوافي</w:t>
            </w:r>
            <w:r w:rsidRPr="00020424">
              <w:rPr>
                <w:rtl/>
              </w:rPr>
              <w:t xml:space="preserve"> </w:t>
            </w:r>
            <w:r w:rsidRPr="00FD6221">
              <w:rPr>
                <w:rStyle w:val="libFootnoteBoldChar"/>
                <w:rtl/>
              </w:rPr>
              <w:t>والفقيه</w:t>
            </w:r>
            <w:r w:rsidRPr="00020424">
              <w:rPr>
                <w:rtl/>
              </w:rPr>
              <w:t xml:space="preserve"> : +« زرارة »</w:t>
            </w:r>
            <w:r>
              <w:rPr>
                <w:rtl/>
              </w:rPr>
              <w:t>.</w:t>
            </w:r>
          </w:p>
        </w:tc>
        <w:tc>
          <w:tcPr>
            <w:tcW w:w="4006" w:type="dxa"/>
          </w:tcPr>
          <w:p w:rsidR="00202367" w:rsidRDefault="00202367" w:rsidP="009C390A">
            <w:pPr>
              <w:pStyle w:val="libFootnote0"/>
              <w:rPr>
                <w:rtl/>
              </w:rPr>
            </w:pPr>
            <w:r>
              <w:rPr>
                <w:rtl/>
              </w:rPr>
              <w:t xml:space="preserve">(9). </w:t>
            </w:r>
            <w:r w:rsidR="009C390A">
              <w:rPr>
                <w:rtl/>
              </w:rPr>
              <w:t>في « بح » : +</w:t>
            </w:r>
            <w:r w:rsidR="009C390A">
              <w:rPr>
                <w:rFonts w:hint="cs"/>
                <w:rtl/>
              </w:rPr>
              <w:t xml:space="preserve"> </w:t>
            </w:r>
            <w:r w:rsidRPr="00020424">
              <w:rPr>
                <w:rtl/>
              </w:rPr>
              <w:t>« له »</w:t>
            </w:r>
            <w:r>
              <w:rPr>
                <w:rtl/>
              </w:rPr>
              <w:t>.</w:t>
            </w:r>
          </w:p>
        </w:tc>
      </w:tr>
      <w:tr w:rsidR="00202367" w:rsidTr="00202367">
        <w:tc>
          <w:tcPr>
            <w:tcW w:w="4006" w:type="dxa"/>
          </w:tcPr>
          <w:p w:rsidR="00202367" w:rsidRDefault="00202367" w:rsidP="00992664">
            <w:pPr>
              <w:pStyle w:val="libFootnote0"/>
              <w:rPr>
                <w:rtl/>
              </w:rPr>
            </w:pPr>
            <w:r>
              <w:rPr>
                <w:rtl/>
              </w:rPr>
              <w:t xml:space="preserve">(10). </w:t>
            </w:r>
            <w:r w:rsidRPr="00020424">
              <w:rPr>
                <w:rtl/>
              </w:rPr>
              <w:t>في « بر » : « ما »</w:t>
            </w:r>
            <w:r>
              <w:rPr>
                <w:rtl/>
              </w:rPr>
              <w:t>.</w:t>
            </w:r>
          </w:p>
        </w:tc>
        <w:tc>
          <w:tcPr>
            <w:tcW w:w="4006" w:type="dxa"/>
          </w:tcPr>
          <w:p w:rsidR="00202367" w:rsidRDefault="00202367" w:rsidP="00202367">
            <w:pPr>
              <w:pStyle w:val="libFootnote0"/>
              <w:rPr>
                <w:rtl/>
              </w:rPr>
            </w:pPr>
            <w:r>
              <w:rPr>
                <w:rtl/>
              </w:rPr>
              <w:t xml:space="preserve">(11). </w:t>
            </w:r>
            <w:r w:rsidRPr="00020424">
              <w:rPr>
                <w:rtl/>
              </w:rPr>
              <w:t>في</w:t>
            </w:r>
            <w:r>
              <w:rPr>
                <w:rFonts w:hint="cs"/>
                <w:rtl/>
              </w:rPr>
              <w:t xml:space="preserve"> </w:t>
            </w:r>
            <w:r w:rsidRPr="0012008A">
              <w:rPr>
                <w:rStyle w:val="libFootnoteBoldChar"/>
                <w:rtl/>
              </w:rPr>
              <w:t>الوافي</w:t>
            </w:r>
            <w:r w:rsidRPr="00020424">
              <w:rPr>
                <w:rtl/>
              </w:rPr>
              <w:t xml:space="preserve">:«المراد بالمعرفة معرفة الإمام </w:t>
            </w:r>
            <w:r w:rsidRPr="00D64ADA">
              <w:rPr>
                <w:rStyle w:val="libFootnoteAlaemChar"/>
                <w:rtl/>
              </w:rPr>
              <w:t>عليه‌السلام</w:t>
            </w:r>
            <w:r w:rsidRPr="00020424">
              <w:rPr>
                <w:rtl/>
              </w:rPr>
              <w:t>»</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 xml:space="preserve">لَهَا مَوْضِعٌ ، وَإِنَّمَا يُعْطِي مَنْ لَايَعْرِفُ لِيَرْغَبَ فِي الدِّينِ ، فَيَثْبُتَ عَلَيْهِ ، فَأَمَّا الْيَوْمَ فَلَا تُعْطِهَا أَنْتَ وَأَصْحَابُكَ </w:t>
      </w:r>
      <w:r w:rsidRPr="00A91B96">
        <w:rPr>
          <w:rStyle w:val="libFootnotenumChar"/>
          <w:rtl/>
        </w:rPr>
        <w:t>(1)</w:t>
      </w:r>
      <w:r w:rsidR="009D019C">
        <w:rPr>
          <w:rtl/>
          <w:lang w:bidi="fa-IR"/>
        </w:rPr>
        <w:t xml:space="preserve"> إِل</w:t>
      </w:r>
      <w:r w:rsidR="009D019C">
        <w:rPr>
          <w:rFonts w:hint="cs"/>
          <w:rtl/>
          <w:lang w:bidi="fa-IR"/>
        </w:rPr>
        <w:t>َّ</w:t>
      </w:r>
      <w:r w:rsidR="009D019C">
        <w:rPr>
          <w:rtl/>
          <w:lang w:bidi="fa-IR"/>
        </w:rPr>
        <w:t>ا</w:t>
      </w:r>
      <w:r w:rsidRPr="00020424">
        <w:rPr>
          <w:rtl/>
          <w:lang w:bidi="fa-IR"/>
        </w:rPr>
        <w:t xml:space="preserve"> مَنْ يَعْرِفُ </w:t>
      </w:r>
      <w:r w:rsidRPr="00A91B96">
        <w:rPr>
          <w:rStyle w:val="libFootnotenumChar"/>
          <w:rtl/>
        </w:rPr>
        <w:t>(2)</w:t>
      </w:r>
      <w:r w:rsidRPr="00020424">
        <w:rPr>
          <w:rtl/>
          <w:lang w:bidi="fa-IR"/>
        </w:rPr>
        <w:t xml:space="preserve"> ، فَمَنْ </w:t>
      </w:r>
      <w:r w:rsidRPr="00A91B96">
        <w:rPr>
          <w:rStyle w:val="libFootnotenumChar"/>
          <w:rtl/>
        </w:rPr>
        <w:t>(3)</w:t>
      </w:r>
      <w:r w:rsidRPr="00020424">
        <w:rPr>
          <w:rtl/>
          <w:lang w:bidi="fa-IR"/>
        </w:rPr>
        <w:t xml:space="preserve"> وَجَدْتَ مِنْ </w:t>
      </w:r>
      <w:r w:rsidRPr="00A91B96">
        <w:rPr>
          <w:rStyle w:val="libFootnotenumChar"/>
          <w:rtl/>
        </w:rPr>
        <w:t>(4)</w:t>
      </w:r>
      <w:r w:rsidRPr="00020424">
        <w:rPr>
          <w:rtl/>
          <w:lang w:bidi="fa-IR"/>
        </w:rPr>
        <w:t xml:space="preserve"> هؤُلَاءِ الْمُسْلِمِينَ عَارِفاً فَأَعْطِهِ ، دُونَ النَّاسِ »</w:t>
      </w:r>
      <w:r>
        <w:rPr>
          <w:rtl/>
          <w:lang w:bidi="fa-IR"/>
        </w:rPr>
        <w:t>.</w:t>
      </w:r>
    </w:p>
    <w:p w:rsidR="00992664" w:rsidRPr="00020424" w:rsidRDefault="00992664" w:rsidP="00992664">
      <w:pPr>
        <w:pStyle w:val="libNormal"/>
        <w:rPr>
          <w:rtl/>
          <w:lang w:bidi="fa-IR"/>
        </w:rPr>
      </w:pPr>
      <w:r w:rsidRPr="00020424">
        <w:rPr>
          <w:rtl/>
          <w:lang w:bidi="fa-IR"/>
        </w:rPr>
        <w:t xml:space="preserve">ثُمَّ قَالَ : « سَهْمُ الْمُؤَلَّفَةِ قُلُوبُهُمْ </w:t>
      </w:r>
      <w:r w:rsidRPr="00A91B96">
        <w:rPr>
          <w:rStyle w:val="libFootnotenumChar"/>
          <w:rtl/>
        </w:rPr>
        <w:t>(5)</w:t>
      </w:r>
      <w:r w:rsidRPr="00020424">
        <w:rPr>
          <w:rtl/>
          <w:lang w:bidi="fa-IR"/>
        </w:rPr>
        <w:t xml:space="preserve"> وَسَهْمُ الرِّقَابِ عَامٌّ ، وَالْبَاقِي خَاصٌّ »</w:t>
      </w:r>
      <w:r>
        <w:rPr>
          <w:rtl/>
          <w:lang w:bidi="fa-IR"/>
        </w:rPr>
        <w:t>.</w:t>
      </w:r>
    </w:p>
    <w:p w:rsidR="00992664" w:rsidRPr="00020424" w:rsidRDefault="00992664" w:rsidP="00992664">
      <w:pPr>
        <w:pStyle w:val="libNormal"/>
        <w:rPr>
          <w:rtl/>
          <w:lang w:bidi="fa-IR"/>
        </w:rPr>
      </w:pPr>
      <w:r w:rsidRPr="00020424">
        <w:rPr>
          <w:rtl/>
          <w:lang w:bidi="fa-IR"/>
        </w:rPr>
        <w:t>قَالَ : قُلْتُ : فَإِنْ لَمْ يُوجَدُوا</w:t>
      </w:r>
      <w:r>
        <w:rPr>
          <w:rtl/>
          <w:lang w:bidi="fa-IR"/>
        </w:rPr>
        <w:t>؟</w:t>
      </w:r>
    </w:p>
    <w:p w:rsidR="00992664" w:rsidRPr="00020424" w:rsidRDefault="00992664" w:rsidP="00992664">
      <w:pPr>
        <w:pStyle w:val="libNormal"/>
        <w:rPr>
          <w:rtl/>
          <w:lang w:bidi="fa-IR"/>
        </w:rPr>
      </w:pPr>
      <w:r w:rsidRPr="00020424">
        <w:rPr>
          <w:rtl/>
          <w:lang w:bidi="fa-IR"/>
        </w:rPr>
        <w:t xml:space="preserve">قَالَ : « لَا تَكُونُ </w:t>
      </w:r>
      <w:r w:rsidRPr="00A91B96">
        <w:rPr>
          <w:rStyle w:val="libFootnotenumChar"/>
          <w:rtl/>
        </w:rPr>
        <w:t>(6)</w:t>
      </w:r>
      <w:r w:rsidRPr="00020424">
        <w:rPr>
          <w:rtl/>
          <w:lang w:bidi="fa-IR"/>
        </w:rPr>
        <w:t xml:space="preserve"> فَرِيضَةٌ فَرَضَهَا اللهُ</w:t>
      </w:r>
      <w:r>
        <w:rPr>
          <w:rtl/>
          <w:lang w:bidi="fa-IR"/>
        </w:rPr>
        <w:t xml:space="preserve"> </w:t>
      </w:r>
      <w:r w:rsidR="009B673F">
        <w:rPr>
          <w:rtl/>
          <w:lang w:bidi="fa-IR"/>
        </w:rPr>
        <w:t>-</w:t>
      </w:r>
      <w:r>
        <w:rPr>
          <w:rtl/>
          <w:lang w:bidi="fa-IR"/>
        </w:rPr>
        <w:t xml:space="preserve"> </w:t>
      </w:r>
      <w:r w:rsidRPr="00020424">
        <w:rPr>
          <w:rtl/>
          <w:lang w:bidi="fa-IR"/>
        </w:rPr>
        <w:t>عَزَّ وَ</w:t>
      </w:r>
      <w:r w:rsidR="009D019C">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لَايُوجَدُ </w:t>
      </w:r>
      <w:r w:rsidRPr="00A91B96">
        <w:rPr>
          <w:rStyle w:val="libFootnotenumChar"/>
          <w:rtl/>
        </w:rPr>
        <w:t>(7)</w:t>
      </w:r>
      <w:r w:rsidRPr="00020424">
        <w:rPr>
          <w:rtl/>
          <w:lang w:bidi="fa-IR"/>
        </w:rPr>
        <w:t xml:space="preserve"> لَهَا أَهْلٌ »</w:t>
      </w:r>
      <w:r>
        <w:rPr>
          <w:rtl/>
          <w:lang w:bidi="fa-IR"/>
        </w:rPr>
        <w:t>.</w:t>
      </w:r>
    </w:p>
    <w:p w:rsidR="00992664" w:rsidRPr="00020424" w:rsidRDefault="00992664" w:rsidP="00992664">
      <w:pPr>
        <w:pStyle w:val="libNormal"/>
        <w:rPr>
          <w:rtl/>
          <w:lang w:bidi="fa-IR"/>
        </w:rPr>
      </w:pPr>
      <w:r w:rsidRPr="00020424">
        <w:rPr>
          <w:rtl/>
          <w:lang w:bidi="fa-IR"/>
        </w:rPr>
        <w:t xml:space="preserve">قَالَ : قُلْتُ : فَإِنْ لَمْ تَسَعْهُمُ </w:t>
      </w:r>
      <w:r w:rsidRPr="00A91B96">
        <w:rPr>
          <w:rStyle w:val="libFootnotenumChar"/>
          <w:rtl/>
        </w:rPr>
        <w:t>(8)</w:t>
      </w:r>
      <w:r w:rsidRPr="00020424">
        <w:rPr>
          <w:rtl/>
          <w:lang w:bidi="fa-IR"/>
        </w:rPr>
        <w:t xml:space="preserve"> الصَّدَقَاتُ</w:t>
      </w:r>
      <w:r>
        <w:rPr>
          <w:rtl/>
          <w:lang w:bidi="fa-IR"/>
        </w:rPr>
        <w:t>؟</w:t>
      </w:r>
    </w:p>
    <w:p w:rsidR="00992664" w:rsidRPr="00020424" w:rsidRDefault="00992664" w:rsidP="00992664">
      <w:pPr>
        <w:pStyle w:val="libNormal"/>
        <w:rPr>
          <w:rtl/>
          <w:lang w:bidi="fa-IR"/>
        </w:rPr>
      </w:pPr>
      <w:r w:rsidRPr="00020424">
        <w:rPr>
          <w:rtl/>
          <w:lang w:bidi="fa-IR"/>
        </w:rPr>
        <w:t xml:space="preserve">فَقَالَ : « إِنَّ اللهَ فَرَضَ لِلْفُقَرَاءِ فِي </w:t>
      </w:r>
      <w:r w:rsidRPr="00A91B96">
        <w:rPr>
          <w:rStyle w:val="libFootnotenumChar"/>
          <w:rtl/>
        </w:rPr>
        <w:t>(9)</w:t>
      </w:r>
      <w:r w:rsidRPr="00020424">
        <w:rPr>
          <w:rtl/>
          <w:lang w:bidi="fa-IR"/>
        </w:rPr>
        <w:t xml:space="preserve"> مَالِ الْأَغْنِيَاءِ مَا يَسَعُهُمْ ، وَلَوْ عَلِمَ </w:t>
      </w:r>
      <w:r w:rsidRPr="00A91B96">
        <w:rPr>
          <w:rStyle w:val="libFootnotenumChar"/>
          <w:rtl/>
        </w:rPr>
        <w:t>(10)</w:t>
      </w:r>
      <w:r w:rsidRPr="00020424">
        <w:rPr>
          <w:rtl/>
          <w:lang w:bidi="fa-IR"/>
        </w:rPr>
        <w:t xml:space="preserve"> أَنَّ ذلِكَ لَا يَسَعُهُمْ لَزَادَهُمْ ؛ إِنَّهُمْ لَمْ يُؤْتَوْا مِنْ قِبَلِ فَرِيضَةِ اللهِ ، وَلكِنْ أُتُوا </w:t>
      </w:r>
      <w:r w:rsidRPr="00A91B96">
        <w:rPr>
          <w:rStyle w:val="libFootnotenumChar"/>
          <w:rtl/>
        </w:rPr>
        <w:t>(11)</w:t>
      </w:r>
      <w:r w:rsidRPr="00020424">
        <w:rPr>
          <w:rtl/>
          <w:lang w:bidi="fa-IR"/>
        </w:rPr>
        <w:t xml:space="preserve"> مِنْ مَنْعِ مَنْ مَنَعَهُمْ حَقَّهُمْ ، لَامِمَّا فَرَضَ اللهُ لَهُمْ ، وَلَوْ أَنَّ النَّاسَ أَدَّوْا حُقُوقَهُمْ ، لَكَانُوا عَائِشِينَ بِخَيْرٍ »</w:t>
      </w:r>
      <w:r>
        <w:rPr>
          <w:rtl/>
          <w:lang w:bidi="fa-IR"/>
        </w:rPr>
        <w:t>.</w:t>
      </w:r>
      <w:r w:rsidRPr="00020424">
        <w:rPr>
          <w:rtl/>
          <w:lang w:bidi="fa-IR"/>
        </w:rPr>
        <w:t xml:space="preserve"> </w:t>
      </w:r>
      <w:r w:rsidRPr="00A91B96">
        <w:rPr>
          <w:rStyle w:val="libFootnotenumChar"/>
          <w:rtl/>
        </w:rPr>
        <w:t>(12)</w:t>
      </w:r>
      <w:r w:rsidRPr="00020424">
        <w:rPr>
          <w:rtl/>
          <w:lang w:bidi="fa-IR"/>
        </w:rPr>
        <w:t>‌</w:t>
      </w:r>
    </w:p>
    <w:p w:rsidR="00992664" w:rsidRPr="00020424" w:rsidRDefault="00992664" w:rsidP="00992664">
      <w:pPr>
        <w:pStyle w:val="libNormal"/>
        <w:rPr>
          <w:rtl/>
          <w:lang w:bidi="fa-IR"/>
        </w:rPr>
      </w:pPr>
      <w:r w:rsidRPr="008340FD">
        <w:rPr>
          <w:rtl/>
        </w:rPr>
        <w:t>5721</w:t>
      </w:r>
      <w:r w:rsidRPr="001155DE">
        <w:rPr>
          <w:rStyle w:val="libBold2Char"/>
          <w:rtl/>
        </w:rPr>
        <w:t xml:space="preserve"> / 2.</w:t>
      </w:r>
      <w:r w:rsidRPr="00020424">
        <w:rPr>
          <w:rtl/>
          <w:lang w:bidi="fa-IR"/>
        </w:rPr>
        <w:t xml:space="preserve"> عِدَّةٌ مِنْ أَصْحَابِنَا ، عَنْ سَهْلِ بْنِ زِيَادٍ وَأَحْمَدَ بْنِ مُحَمَّدٍ جَمِيعاً ، عَنِ ابْنِ مَحْبُوبٍ ، عَنْ عَبْدِ اللهِ بْنِ سِنَانٍ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وصاحبك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 « تعرف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المطبوع : « من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المطبوع : « فمن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قلوبهم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بث ، بح ، بر ، جن » </w:t>
      </w:r>
      <w:r w:rsidR="00992664" w:rsidRPr="00515444">
        <w:rPr>
          <w:rStyle w:val="libFootnoteBoldChar"/>
          <w:rtl/>
        </w:rPr>
        <w:t>والتهذيب</w:t>
      </w:r>
      <w:r w:rsidR="00992664" w:rsidRPr="00020424">
        <w:rPr>
          <w:rtl/>
        </w:rPr>
        <w:t xml:space="preserve"> : « لايكون »</w:t>
      </w:r>
      <w:r w:rsidR="00992664">
        <w:rPr>
          <w:rtl/>
        </w:rPr>
        <w:t>.</w:t>
      </w:r>
    </w:p>
    <w:tbl>
      <w:tblPr>
        <w:tblStyle w:val="TableGrid"/>
        <w:bidiVisual/>
        <w:tblW w:w="0" w:type="auto"/>
        <w:tblLook w:val="04A0" w:firstRow="1" w:lastRow="0" w:firstColumn="1" w:lastColumn="0" w:noHBand="0" w:noVBand="1"/>
      </w:tblPr>
      <w:tblGrid>
        <w:gridCol w:w="4006"/>
        <w:gridCol w:w="4006"/>
      </w:tblGrid>
      <w:tr w:rsidR="00070D77" w:rsidTr="00070D77">
        <w:tc>
          <w:tcPr>
            <w:tcW w:w="4006" w:type="dxa"/>
          </w:tcPr>
          <w:p w:rsidR="00070D77" w:rsidRDefault="00070D77" w:rsidP="009D019C">
            <w:pPr>
              <w:pStyle w:val="libFootnote0"/>
              <w:rPr>
                <w:rtl/>
              </w:rPr>
            </w:pPr>
            <w:r>
              <w:rPr>
                <w:rtl/>
              </w:rPr>
              <w:t xml:space="preserve">(7). في </w:t>
            </w:r>
            <w:r w:rsidRPr="0012008A">
              <w:rPr>
                <w:rStyle w:val="libFootnoteBoldChar"/>
                <w:rtl/>
              </w:rPr>
              <w:t>التهذيب</w:t>
            </w:r>
            <w:r>
              <w:rPr>
                <w:rtl/>
              </w:rPr>
              <w:t>:«إل</w:t>
            </w:r>
            <w:r>
              <w:rPr>
                <w:rFonts w:hint="cs"/>
                <w:rtl/>
              </w:rPr>
              <w:t>ّ</w:t>
            </w:r>
            <w:r>
              <w:rPr>
                <w:rtl/>
              </w:rPr>
              <w:t>ا</w:t>
            </w:r>
            <w:r w:rsidRPr="00020424">
              <w:rPr>
                <w:rtl/>
              </w:rPr>
              <w:t xml:space="preserve"> أن يوجد»بدل«لايوجد»</w:t>
            </w:r>
            <w:r>
              <w:rPr>
                <w:rtl/>
              </w:rPr>
              <w:t>.</w:t>
            </w:r>
          </w:p>
        </w:tc>
        <w:tc>
          <w:tcPr>
            <w:tcW w:w="4006" w:type="dxa"/>
          </w:tcPr>
          <w:p w:rsidR="00070D77" w:rsidRDefault="00070D77" w:rsidP="009D019C">
            <w:pPr>
              <w:pStyle w:val="libFootnote0"/>
              <w:rPr>
                <w:rtl/>
              </w:rPr>
            </w:pPr>
            <w:r>
              <w:rPr>
                <w:rtl/>
              </w:rPr>
              <w:t xml:space="preserve">(8). </w:t>
            </w:r>
            <w:r w:rsidRPr="00020424">
              <w:rPr>
                <w:rtl/>
              </w:rPr>
              <w:t>في «ى»:«لم يسعهم»</w:t>
            </w:r>
            <w:r>
              <w:rPr>
                <w:rtl/>
              </w:rPr>
              <w:t>.</w:t>
            </w:r>
            <w:r w:rsidRPr="00020424">
              <w:rPr>
                <w:rtl/>
              </w:rPr>
              <w:t>وفي«جن»:«</w:t>
            </w:r>
            <w:r>
              <w:rPr>
                <w:rtl/>
              </w:rPr>
              <w:t>لم يتّسعهم</w:t>
            </w:r>
            <w:r w:rsidRPr="00020424">
              <w:rPr>
                <w:rtl/>
              </w:rPr>
              <w:t>»</w:t>
            </w:r>
            <w:r>
              <w:rPr>
                <w:rtl/>
              </w:rPr>
              <w:t>.</w:t>
            </w:r>
          </w:p>
        </w:tc>
      </w:tr>
      <w:tr w:rsidR="00070D77" w:rsidTr="00070D77">
        <w:tc>
          <w:tcPr>
            <w:tcW w:w="4006" w:type="dxa"/>
          </w:tcPr>
          <w:p w:rsidR="00070D77" w:rsidRDefault="00070D77" w:rsidP="009D019C">
            <w:pPr>
              <w:pStyle w:val="libFootnote0"/>
              <w:rPr>
                <w:rtl/>
              </w:rPr>
            </w:pPr>
            <w:r>
              <w:rPr>
                <w:rtl/>
              </w:rPr>
              <w:t xml:space="preserve">(9). </w:t>
            </w:r>
            <w:r w:rsidRPr="00020424">
              <w:rPr>
                <w:rtl/>
              </w:rPr>
              <w:t>في « جن » : « من »</w:t>
            </w:r>
            <w:r>
              <w:rPr>
                <w:rtl/>
              </w:rPr>
              <w:t>.</w:t>
            </w:r>
          </w:p>
        </w:tc>
        <w:tc>
          <w:tcPr>
            <w:tcW w:w="4006" w:type="dxa"/>
          </w:tcPr>
          <w:p w:rsidR="00070D77" w:rsidRDefault="00070D77" w:rsidP="009D019C">
            <w:pPr>
              <w:pStyle w:val="libFootnote0"/>
              <w:rPr>
                <w:rtl/>
              </w:rPr>
            </w:pPr>
            <w:r>
              <w:rPr>
                <w:rtl/>
              </w:rPr>
              <w:t xml:space="preserve">(10). في </w:t>
            </w:r>
            <w:r w:rsidRPr="0012008A">
              <w:rPr>
                <w:rStyle w:val="libFootnoteBoldChar"/>
                <w:rtl/>
              </w:rPr>
              <w:t>التهذيب</w:t>
            </w:r>
            <w:r>
              <w:rPr>
                <w:rtl/>
              </w:rPr>
              <w:t xml:space="preserve"> : +</w:t>
            </w:r>
            <w:r w:rsidRPr="00020424">
              <w:rPr>
                <w:rtl/>
              </w:rPr>
              <w:t>« الله »</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قوله </w:t>
      </w:r>
      <w:r w:rsidR="00992664" w:rsidRPr="00D64ADA">
        <w:rPr>
          <w:rStyle w:val="libFootnoteAlaemChar"/>
          <w:rtl/>
        </w:rPr>
        <w:t>عليه‌السلام</w:t>
      </w:r>
      <w:r w:rsidR="00992664" w:rsidRPr="00020424">
        <w:rPr>
          <w:rtl/>
        </w:rPr>
        <w:t xml:space="preserve"> : « ا</w:t>
      </w:r>
      <w:r w:rsidR="007569E9">
        <w:rPr>
          <w:rFonts w:hint="cs"/>
          <w:rtl/>
        </w:rPr>
        <w:t>ُ</w:t>
      </w:r>
      <w:r w:rsidR="00992664" w:rsidRPr="00020424">
        <w:rPr>
          <w:rtl/>
        </w:rPr>
        <w:t>توا » يأتي كلام فيه ذيل الحديث 7 من الباب.</w:t>
      </w:r>
    </w:p>
    <w:p w:rsidR="00992664" w:rsidRPr="00B42914" w:rsidRDefault="00795177" w:rsidP="00992664">
      <w:pPr>
        <w:pStyle w:val="libFootnote0"/>
        <w:rPr>
          <w:rtl/>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49 ، ح 128 ، معلّقاً عن الكليني. </w:t>
      </w:r>
      <w:r w:rsidR="00992664" w:rsidRPr="0012008A">
        <w:rPr>
          <w:rStyle w:val="libFootnoteBoldChar"/>
          <w:rtl/>
        </w:rPr>
        <w:t>الفقيه</w:t>
      </w:r>
      <w:r w:rsidR="00992664" w:rsidRPr="00020424">
        <w:rPr>
          <w:rtl/>
        </w:rPr>
        <w:t xml:space="preserve"> ، ج 2 ، ص 4 ، ح 1577 ، معلّقاً عن حريز </w:t>
      </w:r>
      <w:r w:rsidR="00385A2C">
        <w:rPr>
          <w:rFonts w:hint="cs"/>
          <w:rtl/>
        </w:rPr>
        <w:t>.</w:t>
      </w:r>
      <w:r w:rsidR="00992664" w:rsidRPr="0012008A">
        <w:rPr>
          <w:rStyle w:val="libFootnoteBoldChar"/>
          <w:rtl/>
        </w:rPr>
        <w:t>الوافي</w:t>
      </w:r>
      <w:r w:rsidR="00992664" w:rsidRPr="00020424">
        <w:rPr>
          <w:rtl/>
        </w:rPr>
        <w:t xml:space="preserve"> ، ج 10 ، ص 163 ، ح 9352 ؛ </w:t>
      </w:r>
      <w:r w:rsidR="00992664" w:rsidRPr="0012008A">
        <w:rPr>
          <w:rStyle w:val="libFootnoteBoldChar"/>
          <w:rtl/>
        </w:rPr>
        <w:t>الوسائل</w:t>
      </w:r>
      <w:r w:rsidR="00992664" w:rsidRPr="00020424">
        <w:rPr>
          <w:rtl/>
        </w:rPr>
        <w:t xml:space="preserve"> ، ج 9 ، ص 10 ، ذيل ح</w:t>
      </w:r>
      <w:r w:rsidR="00992664">
        <w:rPr>
          <w:rFonts w:hint="cs"/>
          <w:rtl/>
        </w:rPr>
        <w:t xml:space="preserve"> </w:t>
      </w:r>
      <w:r w:rsidR="00992664" w:rsidRPr="00B42914">
        <w:rPr>
          <w:rtl/>
        </w:rPr>
        <w:t>11388 ؛ وص 209 ، ذيل ح 11856.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أَبُو عَبْدِ اللهِ </w:t>
      </w:r>
      <w:r w:rsidRPr="00005A81">
        <w:rPr>
          <w:rStyle w:val="libAlaemChar"/>
          <w:rtl/>
        </w:rPr>
        <w:t>عليه‌السلام</w:t>
      </w:r>
      <w:r w:rsidRPr="00020424">
        <w:rPr>
          <w:rtl/>
          <w:lang w:bidi="fa-IR"/>
        </w:rPr>
        <w:t xml:space="preserve"> : « لَمَّا أُنْزِلَتْ </w:t>
      </w:r>
      <w:r w:rsidRPr="00A91B96">
        <w:rPr>
          <w:rStyle w:val="libFootnotenumChar"/>
          <w:rtl/>
        </w:rPr>
        <w:t>(1)</w:t>
      </w:r>
      <w:r w:rsidRPr="00020424">
        <w:rPr>
          <w:rtl/>
          <w:lang w:bidi="fa-IR"/>
        </w:rPr>
        <w:t xml:space="preserve"> آيَةُ الزَّكَاةِ : </w:t>
      </w:r>
      <w:r w:rsidRPr="00005A81">
        <w:rPr>
          <w:rStyle w:val="libAlaemChar"/>
          <w:rtl/>
        </w:rPr>
        <w:t>(</w:t>
      </w:r>
      <w:r w:rsidRPr="00466587">
        <w:rPr>
          <w:rtl/>
        </w:rPr>
        <w:t xml:space="preserve"> </w:t>
      </w:r>
      <w:r w:rsidRPr="004E5AB4">
        <w:rPr>
          <w:rStyle w:val="libAieChar"/>
          <w:rtl/>
        </w:rPr>
        <w:t>خُذْ مِنْ أَمْوالِهِمْ صَدَقَةً تُطَهِّرُهُمْ وَتُزَكِّيهِمْ بِها</w:t>
      </w:r>
      <w:r w:rsidRPr="00466587">
        <w:rPr>
          <w:rtl/>
        </w:rPr>
        <w:t xml:space="preserve">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وَ</w:t>
      </w:r>
      <w:r w:rsidR="00B42914">
        <w:rPr>
          <w:rFonts w:hint="cs"/>
          <w:rtl/>
          <w:lang w:bidi="fa-IR"/>
        </w:rPr>
        <w:t xml:space="preserve"> </w:t>
      </w:r>
      <w:r w:rsidRPr="00020424">
        <w:rPr>
          <w:rtl/>
          <w:lang w:bidi="fa-IR"/>
        </w:rPr>
        <w:t xml:space="preserve">أُنْزِلَتْ فِي شَهْرِ رَمَضَانَ ، فَأَمَرَ رَسُولُ اللهِ </w:t>
      </w:r>
      <w:r w:rsidR="00B42914" w:rsidRPr="00B42914">
        <w:rPr>
          <w:rStyle w:val="libAlaemChar"/>
          <w:rtl/>
        </w:rPr>
        <w:t>صلى‌الله‌عليه‌وآله‌</w:t>
      </w:r>
      <w:r w:rsidRPr="00020424">
        <w:rPr>
          <w:rtl/>
          <w:lang w:bidi="fa-IR"/>
        </w:rPr>
        <w:t xml:space="preserve"> مُنَادِيَهُ ، فَنَادى فِي </w:t>
      </w:r>
      <w:r w:rsidRPr="00A91B96">
        <w:rPr>
          <w:rStyle w:val="libFootnotenumChar"/>
          <w:rtl/>
        </w:rPr>
        <w:t>(3)</w:t>
      </w:r>
      <w:r w:rsidRPr="00020424">
        <w:rPr>
          <w:rtl/>
          <w:lang w:bidi="fa-IR"/>
        </w:rPr>
        <w:t xml:space="preserve"> النَّاسِ : أَنَّ اللهَ فَرَضَ عَلَيْكُمُ الزَّكَاةَ كَمَا فَرَضَ عَلَيْكُمُ الصَّلَاةَ ، فَفَرَضَ اللهُ</w:t>
      </w:r>
      <w:r>
        <w:rPr>
          <w:rtl/>
          <w:lang w:bidi="fa-IR"/>
        </w:rPr>
        <w:t xml:space="preserve"> </w:t>
      </w:r>
      <w:r w:rsidR="009B673F">
        <w:rPr>
          <w:rtl/>
          <w:lang w:bidi="fa-IR"/>
        </w:rPr>
        <w:t>-</w:t>
      </w:r>
      <w:r>
        <w:rPr>
          <w:rtl/>
          <w:lang w:bidi="fa-IR"/>
        </w:rPr>
        <w:t xml:space="preserve"> </w:t>
      </w:r>
      <w:r w:rsidRPr="00020424">
        <w:rPr>
          <w:rtl/>
          <w:lang w:bidi="fa-IR"/>
        </w:rPr>
        <w:t>عَزَّ وَ</w:t>
      </w:r>
      <w:r w:rsidR="0039412F">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عَلَيْهِمْ مِنَ الذَّهَبِ وَالْفِضَّةِ ، وَفَرَضَ </w:t>
      </w:r>
      <w:r w:rsidRPr="00A91B96">
        <w:rPr>
          <w:rStyle w:val="libFootnotenumChar"/>
          <w:rtl/>
        </w:rPr>
        <w:t>(4)</w:t>
      </w:r>
      <w:r w:rsidRPr="00020424">
        <w:rPr>
          <w:rtl/>
          <w:lang w:bidi="fa-IR"/>
        </w:rPr>
        <w:t xml:space="preserve"> الصَّدَقَةَ مِنَ </w:t>
      </w:r>
      <w:r w:rsidRPr="00A91B96">
        <w:rPr>
          <w:rStyle w:val="libFootnotenumChar"/>
          <w:rtl/>
        </w:rPr>
        <w:t>(5)</w:t>
      </w:r>
      <w:r w:rsidRPr="00020424">
        <w:rPr>
          <w:rtl/>
          <w:lang w:bidi="fa-IR"/>
        </w:rPr>
        <w:t xml:space="preserve"> الْإِبِلِ وَالْبَقَرِ وَالْغَنَمِ ، وَمِنَ الْحِنْطَةِ وَ</w:t>
      </w:r>
      <w:r w:rsidR="0039412F">
        <w:rPr>
          <w:rFonts w:hint="cs"/>
          <w:rtl/>
          <w:lang w:bidi="fa-IR"/>
        </w:rPr>
        <w:t xml:space="preserve"> </w:t>
      </w:r>
      <w:r w:rsidRPr="00020424">
        <w:rPr>
          <w:rtl/>
          <w:lang w:bidi="fa-IR"/>
        </w:rPr>
        <w:t>الشَّعِيرِ وَ</w:t>
      </w:r>
      <w:r w:rsidR="0039412F">
        <w:rPr>
          <w:rFonts w:hint="cs"/>
          <w:rtl/>
          <w:lang w:bidi="fa-IR"/>
        </w:rPr>
        <w:t xml:space="preserve"> </w:t>
      </w:r>
      <w:r w:rsidRPr="00020424">
        <w:rPr>
          <w:rtl/>
          <w:lang w:bidi="fa-IR"/>
        </w:rPr>
        <w:t>التَّمْرِ وَ</w:t>
      </w:r>
      <w:r w:rsidR="0039412F">
        <w:rPr>
          <w:rFonts w:hint="cs"/>
          <w:rtl/>
          <w:lang w:bidi="fa-IR"/>
        </w:rPr>
        <w:t xml:space="preserve"> </w:t>
      </w:r>
      <w:r w:rsidRPr="00020424">
        <w:rPr>
          <w:rtl/>
          <w:lang w:bidi="fa-IR"/>
        </w:rPr>
        <w:t xml:space="preserve">الزَّبِيبِ </w:t>
      </w:r>
      <w:r w:rsidRPr="00A91B96">
        <w:rPr>
          <w:rStyle w:val="libFootnotenumChar"/>
          <w:rtl/>
        </w:rPr>
        <w:t>(6)</w:t>
      </w:r>
      <w:r w:rsidRPr="00020424">
        <w:rPr>
          <w:rtl/>
          <w:lang w:bidi="fa-IR"/>
        </w:rPr>
        <w:t xml:space="preserve"> ، فَنَادى </w:t>
      </w:r>
      <w:r w:rsidRPr="00A91B96">
        <w:rPr>
          <w:rStyle w:val="libFootnotenumChar"/>
          <w:rtl/>
        </w:rPr>
        <w:t>(7)</w:t>
      </w:r>
      <w:r w:rsidRPr="00020424">
        <w:rPr>
          <w:rtl/>
          <w:lang w:bidi="fa-IR"/>
        </w:rPr>
        <w:t xml:space="preserve"> فِيهِمْ </w:t>
      </w:r>
      <w:r w:rsidRPr="00A91B96">
        <w:rPr>
          <w:rStyle w:val="libFootnotenumChar"/>
          <w:rtl/>
        </w:rPr>
        <w:t>(8)</w:t>
      </w:r>
      <w:r w:rsidRPr="00020424">
        <w:rPr>
          <w:rtl/>
          <w:lang w:bidi="fa-IR"/>
        </w:rPr>
        <w:t xml:space="preserve"> بِذلِكَ فِي شَهْرِ </w:t>
      </w:r>
      <w:r w:rsidRPr="00A91B96">
        <w:rPr>
          <w:rStyle w:val="libFootnotenumChar"/>
          <w:rtl/>
        </w:rPr>
        <w:t>(9)</w:t>
      </w:r>
      <w:r w:rsidRPr="00020424">
        <w:rPr>
          <w:rtl/>
          <w:lang w:bidi="fa-IR"/>
        </w:rPr>
        <w:t xml:space="preserve"> رَمَضَانَ ، وَعَفَا لَهُمْ عَمَّا سِوى ذلِكَ »</w:t>
      </w:r>
      <w:r>
        <w:rPr>
          <w:rtl/>
          <w:lang w:bidi="fa-IR"/>
        </w:rPr>
        <w:t>.</w:t>
      </w:r>
    </w:p>
    <w:p w:rsidR="00992664" w:rsidRPr="00020424" w:rsidRDefault="00992664" w:rsidP="00992664">
      <w:pPr>
        <w:pStyle w:val="libNormal"/>
        <w:rPr>
          <w:rtl/>
          <w:lang w:bidi="fa-IR"/>
        </w:rPr>
      </w:pPr>
      <w:r w:rsidRPr="00020424">
        <w:rPr>
          <w:rtl/>
          <w:lang w:bidi="fa-IR"/>
        </w:rPr>
        <w:t xml:space="preserve">قَالَ : « ثُمَّ لَمْ يَفْرِضْ </w:t>
      </w:r>
      <w:r w:rsidRPr="00A91B96">
        <w:rPr>
          <w:rStyle w:val="libFootnotenumChar"/>
          <w:rtl/>
        </w:rPr>
        <w:t>(10)</w:t>
      </w:r>
      <w:r w:rsidRPr="00020424">
        <w:rPr>
          <w:rtl/>
          <w:lang w:bidi="fa-IR"/>
        </w:rPr>
        <w:t xml:space="preserve"> لِشَيْ‌ءٍ مِنْ أَمْوَالِهِمْ حَتّى حَالَ عَلَيْهِمُ الْحَوْلُ مِنْ قَابِلٍ ، فَصَامُوا ، وَأَفْطَرُوا ، فَأَمَرَ مُنَادِيَهُ ، فَنَادى فِي الْمُسْلِمِينَ : أَيُّهَا الْمُسْلِمُونَ : زَكُّوا أَمْوَالَكُمْ ، تُقْبَلْ صَلَاتُكُمْ » </w:t>
      </w:r>
      <w:r w:rsidRPr="00A91B96">
        <w:rPr>
          <w:rStyle w:val="libFootnotenumChar"/>
          <w:rtl/>
        </w:rPr>
        <w:t>(11)</w:t>
      </w:r>
      <w:r w:rsidRPr="00020424">
        <w:rPr>
          <w:rtl/>
          <w:lang w:bidi="fa-IR"/>
        </w:rPr>
        <w:t xml:space="preserve"> قَالَ : « ثُمَّ وَجَّهَ عُمَّالَ الصَّدَقَةِ وَعُمَّالَ الطَّسُوقِ </w:t>
      </w:r>
      <w:r w:rsidRPr="00A91B96">
        <w:rPr>
          <w:rStyle w:val="libFootnotenumChar"/>
          <w:rtl/>
        </w:rPr>
        <w:t>(12)</w:t>
      </w:r>
      <w:r w:rsidRPr="00020424">
        <w:rPr>
          <w:rtl/>
          <w:lang w:bidi="fa-IR"/>
        </w:rPr>
        <w:t xml:space="preserve"> »</w:t>
      </w:r>
      <w:r>
        <w:rPr>
          <w:rtl/>
          <w:lang w:bidi="fa-IR"/>
        </w:rPr>
        <w:t>.</w:t>
      </w:r>
      <w:r w:rsidRPr="00020424">
        <w:rPr>
          <w:rtl/>
          <w:lang w:bidi="fa-IR"/>
        </w:rPr>
        <w:t xml:space="preserve"> </w:t>
      </w:r>
      <w:r w:rsidRPr="00A91B96">
        <w:rPr>
          <w:rStyle w:val="libFootnotenumChar"/>
          <w:rtl/>
        </w:rPr>
        <w:t>(13)</w:t>
      </w:r>
    </w:p>
    <w:p w:rsidR="00992664" w:rsidRPr="00020424" w:rsidRDefault="00992664" w:rsidP="00992664">
      <w:pPr>
        <w:pStyle w:val="libNormal"/>
        <w:rPr>
          <w:rtl/>
          <w:lang w:bidi="fa-IR"/>
        </w:rPr>
      </w:pPr>
      <w:r w:rsidRPr="008340FD">
        <w:rPr>
          <w:rtl/>
        </w:rPr>
        <w:t>5722</w:t>
      </w:r>
      <w:r w:rsidRPr="001155DE">
        <w:rPr>
          <w:rStyle w:val="libBold2Char"/>
          <w:rtl/>
        </w:rPr>
        <w:t xml:space="preserve"> / 3.</w:t>
      </w:r>
      <w:r w:rsidRPr="00020424">
        <w:rPr>
          <w:rtl/>
          <w:lang w:bidi="fa-IR"/>
        </w:rPr>
        <w:t xml:space="preserve"> عِدَّةٌ مِنْ أَصْحَابِنَا ، عَنْ سَهْلِ بْنِ زِيَادٍ ، عَنْ أَحْمَدَ بْنِ مُحَمَّدِ بْنِ أَبِي نَصْرٍ ، عَنْ حَمَّادِ بْنِ عُثْمَانَ ، عَنْ رِفَاعَةَ بْنِ مُوسى :</w:t>
      </w:r>
    </w:p>
    <w:p w:rsidR="00992664" w:rsidRPr="00020424" w:rsidRDefault="00992664" w:rsidP="00992664">
      <w:pPr>
        <w:pStyle w:val="libNormal"/>
        <w:rPr>
          <w:rtl/>
          <w:lang w:bidi="fa-IR"/>
        </w:rPr>
      </w:pPr>
      <w:r w:rsidRPr="00020424">
        <w:rPr>
          <w:rtl/>
          <w:lang w:bidi="fa-IR"/>
        </w:rPr>
        <w:t xml:space="preserve">أَنَّهُ سَمِعَ أَبَا عَبْدِ اللهِ </w:t>
      </w:r>
      <w:r w:rsidRPr="00005A81">
        <w:rPr>
          <w:rStyle w:val="libAlaemChar"/>
          <w:rtl/>
        </w:rPr>
        <w:t>عليه‌السلام</w:t>
      </w:r>
      <w:r w:rsidRPr="00020424">
        <w:rPr>
          <w:rtl/>
          <w:lang w:bidi="fa-IR"/>
        </w:rPr>
        <w:t xml:space="preserve"> يَقُولُ : « مَا فَرَضَ </w:t>
      </w:r>
      <w:r w:rsidRPr="00A91B96">
        <w:rPr>
          <w:rStyle w:val="libFootnotenumChar"/>
          <w:rtl/>
        </w:rPr>
        <w:t>(14)</w:t>
      </w:r>
      <w:r w:rsidRPr="00020424">
        <w:rPr>
          <w:rtl/>
          <w:lang w:bidi="fa-IR"/>
        </w:rPr>
        <w:t xml:space="preserve"> اللهُ عَلى هذِهِ الْأُمَّةِ شَيْئاً أَشَدَّ عَلَيْهِمْ‌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نزلت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التوبة </w:t>
      </w:r>
      <w:r>
        <w:rPr>
          <w:rtl/>
        </w:rPr>
        <w:t>(9).</w:t>
      </w:r>
      <w:r w:rsidR="0014403D">
        <w:rPr>
          <w:rtl/>
        </w:rPr>
        <w:t xml:space="preserve"> </w:t>
      </w:r>
      <w:r w:rsidR="00992664" w:rsidRPr="00020424">
        <w:rPr>
          <w:rtl/>
        </w:rPr>
        <w:t>: 103.</w:t>
      </w:r>
    </w:p>
    <w:p w:rsidR="00992664" w:rsidRPr="00020424" w:rsidRDefault="00795177" w:rsidP="00BB4A96">
      <w:pPr>
        <w:pStyle w:val="libFootnote0"/>
        <w:rPr>
          <w:rtl/>
          <w:lang w:bidi="fa-IR"/>
        </w:rPr>
      </w:pPr>
      <w:r>
        <w:rPr>
          <w:rtl/>
        </w:rPr>
        <w:t>(3).</w:t>
      </w:r>
      <w:r w:rsidR="0014403D">
        <w:rPr>
          <w:rtl/>
        </w:rPr>
        <w:t xml:space="preserve"> </w:t>
      </w:r>
      <w:r w:rsidR="00992664" w:rsidRPr="00020424">
        <w:rPr>
          <w:rtl/>
        </w:rPr>
        <w:t>في « ى » :</w:t>
      </w:r>
      <w:r w:rsidR="00992664">
        <w:rPr>
          <w:rtl/>
        </w:rPr>
        <w:t xml:space="preserve"> </w:t>
      </w:r>
      <w:r w:rsidR="009B673F">
        <w:rPr>
          <w:rtl/>
        </w:rPr>
        <w:t>-</w:t>
      </w:r>
      <w:r w:rsidR="00BB4A96">
        <w:rPr>
          <w:rFonts w:hint="cs"/>
          <w:rtl/>
        </w:rPr>
        <w:t xml:space="preserve"> </w:t>
      </w:r>
      <w:r w:rsidR="00992664" w:rsidRPr="00020424">
        <w:rPr>
          <w:rtl/>
        </w:rPr>
        <w:t>« في »</w:t>
      </w:r>
      <w:r w:rsidR="00992664">
        <w:rPr>
          <w:rtl/>
        </w:rPr>
        <w:t>.</w:t>
      </w:r>
    </w:p>
    <w:p w:rsidR="00992664" w:rsidRPr="00020424" w:rsidRDefault="00795177" w:rsidP="00BB4A96">
      <w:pPr>
        <w:pStyle w:val="libFootnote0"/>
        <w:rPr>
          <w:rtl/>
          <w:lang w:bidi="fa-IR"/>
        </w:rPr>
      </w:pPr>
      <w:r>
        <w:rPr>
          <w:rtl/>
        </w:rPr>
        <w:t>(4).</w:t>
      </w:r>
      <w:r w:rsidR="0014403D">
        <w:rPr>
          <w:rtl/>
        </w:rPr>
        <w:t xml:space="preserve"> </w:t>
      </w:r>
      <w:r w:rsidR="00992664" w:rsidRPr="00020424">
        <w:rPr>
          <w:rtl/>
        </w:rPr>
        <w:t>في « بث ، بح ، بخ ، بر ، ب</w:t>
      </w:r>
      <w:r w:rsidR="00BB4A96">
        <w:rPr>
          <w:rtl/>
        </w:rPr>
        <w:t xml:space="preserve">ف » وحاشية « ظ » </w:t>
      </w:r>
      <w:r w:rsidR="00BB4A96" w:rsidRPr="00515444">
        <w:rPr>
          <w:rStyle w:val="libFootnoteBoldChar"/>
          <w:rtl/>
        </w:rPr>
        <w:t>والوافي</w:t>
      </w:r>
      <w:r w:rsidR="00BB4A96">
        <w:rPr>
          <w:rtl/>
        </w:rPr>
        <w:t xml:space="preserve"> : +</w:t>
      </w:r>
      <w:r w:rsidR="00BB4A96">
        <w:rPr>
          <w:rFonts w:hint="cs"/>
          <w:rtl/>
        </w:rPr>
        <w:t xml:space="preserve"> </w:t>
      </w:r>
      <w:r w:rsidR="00992664" w:rsidRPr="00020424">
        <w:rPr>
          <w:rtl/>
        </w:rPr>
        <w:t>« عليهم »</w:t>
      </w:r>
      <w:r w:rsidR="00992664">
        <w:rPr>
          <w:rtl/>
        </w:rPr>
        <w:t>.</w:t>
      </w:r>
    </w:p>
    <w:tbl>
      <w:tblPr>
        <w:tblStyle w:val="TableGrid"/>
        <w:bidiVisual/>
        <w:tblW w:w="0" w:type="auto"/>
        <w:tblLook w:val="04A0" w:firstRow="1" w:lastRow="0" w:firstColumn="1" w:lastColumn="0" w:noHBand="0" w:noVBand="1"/>
      </w:tblPr>
      <w:tblGrid>
        <w:gridCol w:w="4006"/>
        <w:gridCol w:w="4006"/>
      </w:tblGrid>
      <w:tr w:rsidR="00BB4A96" w:rsidTr="00BB4A96">
        <w:tc>
          <w:tcPr>
            <w:tcW w:w="4006" w:type="dxa"/>
          </w:tcPr>
          <w:p w:rsidR="00BB4A96" w:rsidRDefault="00BB4A96" w:rsidP="00992664">
            <w:pPr>
              <w:pStyle w:val="libFootnote0"/>
              <w:rPr>
                <w:rtl/>
              </w:rPr>
            </w:pPr>
            <w:r>
              <w:rPr>
                <w:rtl/>
              </w:rPr>
              <w:t xml:space="preserve">(5). </w:t>
            </w:r>
            <w:r w:rsidRPr="00020424">
              <w:rPr>
                <w:rtl/>
              </w:rPr>
              <w:t xml:space="preserve">في </w:t>
            </w:r>
            <w:r w:rsidRPr="0012008A">
              <w:rPr>
                <w:rStyle w:val="libFootnoteBoldChar"/>
                <w:rtl/>
              </w:rPr>
              <w:t>الفقيه</w:t>
            </w:r>
            <w:r w:rsidRPr="00020424">
              <w:rPr>
                <w:rtl/>
              </w:rPr>
              <w:t xml:space="preserve"> :</w:t>
            </w:r>
            <w:r>
              <w:rPr>
                <w:rtl/>
              </w:rPr>
              <w:t xml:space="preserve"> -</w:t>
            </w:r>
            <w:r>
              <w:rPr>
                <w:rFonts w:hint="cs"/>
                <w:rtl/>
              </w:rPr>
              <w:t xml:space="preserve"> </w:t>
            </w:r>
            <w:r w:rsidRPr="00020424">
              <w:rPr>
                <w:rtl/>
              </w:rPr>
              <w:t>« فرض الصدقة من »</w:t>
            </w:r>
            <w:r>
              <w:rPr>
                <w:rtl/>
              </w:rPr>
              <w:t>.</w:t>
            </w:r>
          </w:p>
        </w:tc>
        <w:tc>
          <w:tcPr>
            <w:tcW w:w="4006" w:type="dxa"/>
          </w:tcPr>
          <w:p w:rsidR="00BB4A96" w:rsidRDefault="00BB4A96" w:rsidP="00992664">
            <w:pPr>
              <w:pStyle w:val="libFootnote0"/>
              <w:rPr>
                <w:rtl/>
              </w:rPr>
            </w:pPr>
            <w:r>
              <w:rPr>
                <w:rtl/>
              </w:rPr>
              <w:t xml:space="preserve">(6). </w:t>
            </w:r>
            <w:r w:rsidRPr="00020424">
              <w:rPr>
                <w:rtl/>
              </w:rPr>
              <w:t>في « ظ » : « والزبيب والتمر »</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ونادى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بث ، بح ، بخ ، بر ، بف ، جن » : « بهم »</w:t>
      </w:r>
      <w:r w:rsidR="00992664">
        <w:rPr>
          <w:rtl/>
        </w:rPr>
        <w:t>.</w:t>
      </w:r>
      <w:r w:rsidR="00992664" w:rsidRPr="00020424">
        <w:rPr>
          <w:rtl/>
        </w:rPr>
        <w:t xml:space="preserve"> وفي « ى » : « فناداهم » بدل « فنادى فيهم »</w:t>
      </w:r>
      <w:r w:rsidR="00992664">
        <w:rPr>
          <w:rtl/>
        </w:rPr>
        <w:t>.</w:t>
      </w:r>
    </w:p>
    <w:tbl>
      <w:tblPr>
        <w:tblStyle w:val="TableGrid"/>
        <w:bidiVisual/>
        <w:tblW w:w="0" w:type="auto"/>
        <w:tblLook w:val="04A0" w:firstRow="1" w:lastRow="0" w:firstColumn="1" w:lastColumn="0" w:noHBand="0" w:noVBand="1"/>
      </w:tblPr>
      <w:tblGrid>
        <w:gridCol w:w="4006"/>
        <w:gridCol w:w="4006"/>
      </w:tblGrid>
      <w:tr w:rsidR="00581FA6" w:rsidTr="00581FA6">
        <w:tc>
          <w:tcPr>
            <w:tcW w:w="4006" w:type="dxa"/>
          </w:tcPr>
          <w:p w:rsidR="00581FA6" w:rsidRDefault="00581FA6" w:rsidP="00581FA6">
            <w:pPr>
              <w:pStyle w:val="libFootnote0"/>
              <w:rPr>
                <w:rtl/>
              </w:rPr>
            </w:pPr>
            <w:r>
              <w:rPr>
                <w:rtl/>
              </w:rPr>
              <w:t xml:space="preserve">(9).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شهر »</w:t>
            </w:r>
            <w:r>
              <w:rPr>
                <w:rtl/>
              </w:rPr>
              <w:t>.</w:t>
            </w:r>
          </w:p>
        </w:tc>
        <w:tc>
          <w:tcPr>
            <w:tcW w:w="4006" w:type="dxa"/>
          </w:tcPr>
          <w:p w:rsidR="00581FA6" w:rsidRDefault="00581FA6" w:rsidP="00581FA6">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w:t>
            </w:r>
            <w:r w:rsidRPr="00FD6221">
              <w:rPr>
                <w:rStyle w:val="libFootnoteBoldChar"/>
                <w:rtl/>
              </w:rPr>
              <w:t>والفقيه</w:t>
            </w:r>
            <w:r w:rsidRPr="00020424">
              <w:rPr>
                <w:rtl/>
              </w:rPr>
              <w:t xml:space="preserve"> : « لم يتعرّض »</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صلواتكم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اللغة : الطَسْقُ : ما يوضع من الوظيفة على الجُرْبان من الخراج المقرّر على الأرض ، فارسيّ معرّب. ا</w:t>
      </w:r>
      <w:r w:rsidR="00585E71">
        <w:rPr>
          <w:rFonts w:hint="cs"/>
          <w:rtl/>
        </w:rPr>
        <w:t>ُ</w:t>
      </w:r>
      <w:r w:rsidR="00992664" w:rsidRPr="00020424">
        <w:rPr>
          <w:rtl/>
        </w:rPr>
        <w:t xml:space="preserve">نظر : </w:t>
      </w:r>
      <w:r w:rsidR="00992664" w:rsidRPr="00A722B1">
        <w:rPr>
          <w:rStyle w:val="libFootnoteBoldChar"/>
          <w:rtl/>
        </w:rPr>
        <w:t>لسان العرب</w:t>
      </w:r>
      <w:r w:rsidR="00992664" w:rsidRPr="00020424">
        <w:rPr>
          <w:rtl/>
        </w:rPr>
        <w:t xml:space="preserve"> ، ج 10 ، ص 225 ( طسق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الفقيه</w:t>
      </w:r>
      <w:r w:rsidR="00992664" w:rsidRPr="00020424">
        <w:rPr>
          <w:rtl/>
        </w:rPr>
        <w:t xml:space="preserve"> ، ج 2 ، ص 13 ، ح 1598 ، معلّقاً عن الحسن بن محبوب ، مع اختلاف يسير </w:t>
      </w:r>
      <w:r w:rsidR="00151855">
        <w:rPr>
          <w:rFonts w:hint="cs"/>
          <w:rtl/>
        </w:rPr>
        <w:t>.</w:t>
      </w:r>
      <w:r w:rsidR="00992664" w:rsidRPr="0012008A">
        <w:rPr>
          <w:rStyle w:val="libFootnoteBoldChar"/>
          <w:rtl/>
        </w:rPr>
        <w:t>الوافي</w:t>
      </w:r>
      <w:r w:rsidR="00992664" w:rsidRPr="00020424">
        <w:rPr>
          <w:rtl/>
        </w:rPr>
        <w:t xml:space="preserve"> ، ج 10 ، ص 33 ، ح 9096 ؛ </w:t>
      </w:r>
      <w:r w:rsidR="00992664" w:rsidRPr="0012008A">
        <w:rPr>
          <w:rStyle w:val="libFootnoteBoldChar"/>
          <w:rtl/>
        </w:rPr>
        <w:t>الوسائل</w:t>
      </w:r>
      <w:r w:rsidR="00992664" w:rsidRPr="00020424">
        <w:rPr>
          <w:rtl/>
        </w:rPr>
        <w:t xml:space="preserve"> ، ج 9 ، ص 9 ، ح 11387 ؛ وص 53 ، ذيل ح 11503 ؛ وص 122 ، ذيل ح 11663.</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بس » : « فرضه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مِنَ الزَّكَاةِ ، وَفِيهَا تَهْلِكُ عَامَّتُهُمْ »</w:t>
      </w:r>
      <w:r>
        <w:rPr>
          <w:rtl/>
          <w:lang w:bidi="fa-IR"/>
        </w:rPr>
        <w:t>.</w:t>
      </w:r>
      <w:r w:rsidRPr="00020424">
        <w:rPr>
          <w:rtl/>
          <w:lang w:bidi="fa-IR"/>
        </w:rPr>
        <w:t xml:space="preserve"> </w:t>
      </w:r>
      <w:r w:rsidRPr="00A91B96">
        <w:rPr>
          <w:rStyle w:val="libFootnotenumChar"/>
          <w:rtl/>
        </w:rPr>
        <w:t>(1)</w:t>
      </w:r>
    </w:p>
    <w:p w:rsidR="00992664" w:rsidRPr="00020424" w:rsidRDefault="00992664" w:rsidP="00992664">
      <w:pPr>
        <w:pStyle w:val="libNormal"/>
        <w:rPr>
          <w:rtl/>
          <w:lang w:bidi="fa-IR"/>
        </w:rPr>
      </w:pPr>
      <w:r w:rsidRPr="008340FD">
        <w:rPr>
          <w:rtl/>
        </w:rPr>
        <w:t>5723</w:t>
      </w:r>
      <w:r w:rsidRPr="001155DE">
        <w:rPr>
          <w:rStyle w:val="libBold2Char"/>
          <w:rtl/>
        </w:rPr>
        <w:t xml:space="preserve"> / 4.</w:t>
      </w:r>
      <w:r w:rsidRPr="00020424">
        <w:rPr>
          <w:rtl/>
          <w:lang w:bidi="fa-IR"/>
        </w:rPr>
        <w:t xml:space="preserve"> عَلِيُّ بْنُ إِبْرَاهِيمَ ، عَنْ أَبِيهِ ، عَنْ عَبْدِ اللهِ بْنِ الْمُغِيرَةِ ، عَنِ ابْنِ مُسْكَانَ وَغَيْرِ وَاحِدٍ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جَلَّ وَعَزَّ</w:t>
      </w:r>
      <w:r>
        <w:rPr>
          <w:rtl/>
          <w:lang w:bidi="fa-IR"/>
        </w:rPr>
        <w:t xml:space="preserve"> </w:t>
      </w:r>
      <w:r w:rsidR="009B673F">
        <w:rPr>
          <w:rtl/>
          <w:lang w:bidi="fa-IR"/>
        </w:rPr>
        <w:t>-</w:t>
      </w:r>
      <w:r>
        <w:rPr>
          <w:rtl/>
          <w:lang w:bidi="fa-IR"/>
        </w:rPr>
        <w:t xml:space="preserve"> </w:t>
      </w:r>
      <w:r w:rsidRPr="00020424">
        <w:rPr>
          <w:rtl/>
          <w:lang w:bidi="fa-IR"/>
        </w:rPr>
        <w:t xml:space="preserve">جَعَلَ لِلْفُقَرَاءِ فِي أَمْوَالِ </w:t>
      </w:r>
      <w:r w:rsidRPr="00A91B96">
        <w:rPr>
          <w:rStyle w:val="libFootnotenumChar"/>
          <w:rtl/>
        </w:rPr>
        <w:t>(2)</w:t>
      </w:r>
      <w:r w:rsidRPr="00020424">
        <w:rPr>
          <w:rtl/>
          <w:lang w:bidi="fa-IR"/>
        </w:rPr>
        <w:t xml:space="preserve"> الْأَغْنِيَاءِ مَا يَكْفِيهِمْ ، وَلَوْلَا ذلِكَ لَزَادَهُمْ ، وَ</w:t>
      </w:r>
      <w:r w:rsidR="00C9488D">
        <w:rPr>
          <w:rFonts w:hint="cs"/>
          <w:rtl/>
          <w:lang w:bidi="fa-IR"/>
        </w:rPr>
        <w:t xml:space="preserve"> </w:t>
      </w:r>
      <w:r w:rsidRPr="00020424">
        <w:rPr>
          <w:rtl/>
          <w:lang w:bidi="fa-IR"/>
        </w:rPr>
        <w:t xml:space="preserve">إِنَّمَا يُؤْتَوْنَ </w:t>
      </w:r>
      <w:r w:rsidRPr="00A91B96">
        <w:rPr>
          <w:rStyle w:val="libFootnotenumChar"/>
          <w:rtl/>
        </w:rPr>
        <w:t>(3)</w:t>
      </w:r>
      <w:r w:rsidRPr="00020424">
        <w:rPr>
          <w:rtl/>
          <w:lang w:bidi="fa-IR"/>
        </w:rPr>
        <w:t xml:space="preserve"> مِنْ مَنْعِ مَنْ مَنَعَهُمْ »</w:t>
      </w:r>
      <w:r>
        <w:rPr>
          <w:rtl/>
          <w:lang w:bidi="fa-IR"/>
        </w:rPr>
        <w:t>.</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8340FD">
        <w:rPr>
          <w:rtl/>
        </w:rPr>
        <w:t>5724</w:t>
      </w:r>
      <w:r w:rsidRPr="001155DE">
        <w:rPr>
          <w:rStyle w:val="libBold2Char"/>
          <w:rtl/>
        </w:rPr>
        <w:t xml:space="preserve"> / 5.</w:t>
      </w:r>
      <w:r w:rsidRPr="00020424">
        <w:rPr>
          <w:rtl/>
          <w:lang w:bidi="fa-IR"/>
        </w:rPr>
        <w:t xml:space="preserve"> عَلِيُّ بْنُ إِبْرَاهِيمَ ، عَنْ أَبِيهِ ، عَنْ حَمَّادِ بْنِ عِيسى ، عَنْ حَرِيزٍ ، عَنْ </w:t>
      </w:r>
      <w:r w:rsidRPr="00A91B96">
        <w:rPr>
          <w:rStyle w:val="libFootnotenumChar"/>
          <w:rtl/>
        </w:rPr>
        <w:t>(5)</w:t>
      </w:r>
      <w:r w:rsidRPr="00020424">
        <w:rPr>
          <w:rtl/>
          <w:lang w:bidi="fa-IR"/>
        </w:rPr>
        <w:t xml:space="preserve"> مُحَمَّدِ بْنِ مُسْلِمٍ وَأَبِي بَصِيرٍ وَبُرَيْدٍ وَفُضَيْلٍ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قَالَا : « فَرَضَ اللهُ الزَّكَاةَ مَعَ الصَّلَاةِ </w:t>
      </w:r>
      <w:r w:rsidRPr="00A91B96">
        <w:rPr>
          <w:rStyle w:val="libFootnotenumChar"/>
          <w:rtl/>
        </w:rPr>
        <w:t>(6)</w:t>
      </w:r>
      <w:r w:rsidRPr="00020424">
        <w:rPr>
          <w:rtl/>
          <w:lang w:bidi="fa-IR"/>
        </w:rPr>
        <w:t xml:space="preserve"> »</w:t>
      </w:r>
      <w:r>
        <w:rPr>
          <w:rtl/>
          <w:lang w:bidi="fa-IR"/>
        </w:rPr>
        <w:t>.</w:t>
      </w:r>
      <w:r w:rsidRPr="00020424">
        <w:rPr>
          <w:rtl/>
          <w:lang w:bidi="fa-IR"/>
        </w:rPr>
        <w:t xml:space="preserve"> </w:t>
      </w:r>
      <w:r w:rsidRPr="00A91B96">
        <w:rPr>
          <w:rStyle w:val="libFootnotenumChar"/>
          <w:rtl/>
        </w:rPr>
        <w:t>(7)</w:t>
      </w:r>
      <w:r w:rsidRPr="00020424">
        <w:rPr>
          <w:rtl/>
          <w:lang w:bidi="fa-IR"/>
        </w:rPr>
        <w:t>‌</w:t>
      </w:r>
    </w:p>
    <w:p w:rsidR="00992664" w:rsidRPr="00020424" w:rsidRDefault="00992664" w:rsidP="00992664">
      <w:pPr>
        <w:pStyle w:val="libNormal"/>
        <w:rPr>
          <w:rtl/>
          <w:lang w:bidi="fa-IR"/>
        </w:rPr>
      </w:pPr>
      <w:r w:rsidRPr="008340FD">
        <w:rPr>
          <w:rtl/>
        </w:rPr>
        <w:t>5725</w:t>
      </w:r>
      <w:r w:rsidRPr="001155DE">
        <w:rPr>
          <w:rStyle w:val="libBold2Char"/>
          <w:rtl/>
        </w:rPr>
        <w:t xml:space="preserve"> / 6.</w:t>
      </w:r>
      <w:r w:rsidRPr="00020424">
        <w:rPr>
          <w:rtl/>
          <w:lang w:bidi="fa-IR"/>
        </w:rPr>
        <w:t xml:space="preserve"> عَلِيُّ بْنُ إِبْرَاهِيمَ </w:t>
      </w:r>
      <w:r w:rsidRPr="00A91B96">
        <w:rPr>
          <w:rStyle w:val="libFootnotenumChar"/>
          <w:rtl/>
        </w:rPr>
        <w:t>(8)</w:t>
      </w:r>
      <w:r w:rsidRPr="00020424">
        <w:rPr>
          <w:rtl/>
          <w:lang w:bidi="fa-IR"/>
        </w:rPr>
        <w:t xml:space="preserve"> ، عَنْ أَبِيهِ ، عَنْ إِسْمَاعِيلَ بْنِ مَرَّارٍ ، عَنْ يُونُسَ </w:t>
      </w:r>
      <w:r w:rsidRPr="00A91B96">
        <w:rPr>
          <w:rStyle w:val="libFootnotenumChar"/>
          <w:rtl/>
        </w:rPr>
        <w:t>(9)</w:t>
      </w:r>
      <w:r w:rsidRPr="00020424">
        <w:rPr>
          <w:rtl/>
          <w:lang w:bidi="fa-IR"/>
        </w:rPr>
        <w:t xml:space="preserve"> ، عَنْ مُبَارَكٍ‌</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757F3F">
        <w:rPr>
          <w:rStyle w:val="libFootnoteBoldChar"/>
          <w:rtl/>
        </w:rPr>
        <w:t>الأمالي للطوسي</w:t>
      </w:r>
      <w:r w:rsidR="00992664" w:rsidRPr="00020424">
        <w:rPr>
          <w:rtl/>
        </w:rPr>
        <w:t xml:space="preserve"> ، ص 693 ، المجلس 93 ، ح 1474 ، بسنده عن رفاعة بن موسى ، مع اختلاف يسير </w:t>
      </w:r>
      <w:r w:rsidR="00C9488D">
        <w:rPr>
          <w:rFonts w:hint="cs"/>
          <w:rtl/>
        </w:rPr>
        <w:t>.</w:t>
      </w:r>
      <w:r w:rsidR="00992664" w:rsidRPr="0012008A">
        <w:rPr>
          <w:rStyle w:val="libFootnoteBoldChar"/>
          <w:rtl/>
        </w:rPr>
        <w:t>الوافي</w:t>
      </w:r>
      <w:r w:rsidR="00992664" w:rsidRPr="00020424">
        <w:rPr>
          <w:rtl/>
        </w:rPr>
        <w:t xml:space="preserve"> ، ج 10 ، ص 33 ، ح 9095 ؛ </w:t>
      </w:r>
      <w:r w:rsidR="00992664" w:rsidRPr="0012008A">
        <w:rPr>
          <w:rStyle w:val="libFootnoteBoldChar"/>
          <w:rtl/>
        </w:rPr>
        <w:t>الوسائل</w:t>
      </w:r>
      <w:r w:rsidR="00992664" w:rsidRPr="00020424">
        <w:rPr>
          <w:rtl/>
        </w:rPr>
        <w:t xml:space="preserve"> ، ج 9 ، ص 28 ، ح 11437.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 « مال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 « يأتون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48 ، ح 9127 ؛ </w:t>
      </w:r>
      <w:r w:rsidR="00992664" w:rsidRPr="0012008A">
        <w:rPr>
          <w:rStyle w:val="libFootnoteBoldChar"/>
          <w:rtl/>
        </w:rPr>
        <w:t>الوسائل</w:t>
      </w:r>
      <w:r w:rsidR="00992664" w:rsidRPr="00020424">
        <w:rPr>
          <w:rtl/>
        </w:rPr>
        <w:t xml:space="preserve"> ، ج 9 ، ص 13 ، ح 11395.</w:t>
      </w:r>
    </w:p>
    <w:tbl>
      <w:tblPr>
        <w:tblStyle w:val="TableGrid"/>
        <w:bidiVisual/>
        <w:tblW w:w="0" w:type="auto"/>
        <w:tblLook w:val="04A0" w:firstRow="1" w:lastRow="0" w:firstColumn="1" w:lastColumn="0" w:noHBand="0" w:noVBand="1"/>
      </w:tblPr>
      <w:tblGrid>
        <w:gridCol w:w="4006"/>
        <w:gridCol w:w="4006"/>
      </w:tblGrid>
      <w:tr w:rsidR="00C9488D" w:rsidTr="00C9488D">
        <w:tc>
          <w:tcPr>
            <w:tcW w:w="4006" w:type="dxa"/>
          </w:tcPr>
          <w:p w:rsidR="00C9488D" w:rsidRDefault="00C9488D" w:rsidP="00C9488D">
            <w:pPr>
              <w:pStyle w:val="libFootnote0"/>
              <w:rPr>
                <w:rtl/>
                <w:lang w:bidi="fa-IR"/>
              </w:rPr>
            </w:pPr>
            <w:r>
              <w:rPr>
                <w:rtl/>
                <w:lang w:bidi="fa-IR"/>
              </w:rPr>
              <w:t xml:space="preserve">(5). </w:t>
            </w:r>
            <w:r w:rsidRPr="00020424">
              <w:rPr>
                <w:rtl/>
                <w:lang w:bidi="fa-IR"/>
              </w:rPr>
              <w:t xml:space="preserve">في </w:t>
            </w:r>
            <w:r w:rsidRPr="0012008A">
              <w:rPr>
                <w:rStyle w:val="libFootnoteBoldChar"/>
                <w:rtl/>
              </w:rPr>
              <w:t>الوسائل</w:t>
            </w:r>
            <w:r w:rsidRPr="00020424">
              <w:rPr>
                <w:rtl/>
                <w:lang w:bidi="fa-IR"/>
              </w:rPr>
              <w:t xml:space="preserve"> وا</w:t>
            </w:r>
            <w:r>
              <w:rPr>
                <w:rtl/>
                <w:lang w:bidi="fa-IR"/>
              </w:rPr>
              <w:t>لكافي ، ح 5767 : + « زرارة و »</w:t>
            </w:r>
            <w:r w:rsidRPr="00020424">
              <w:rPr>
                <w:rtl/>
                <w:lang w:bidi="fa-IR"/>
              </w:rPr>
              <w:t>.</w:t>
            </w:r>
          </w:p>
        </w:tc>
        <w:tc>
          <w:tcPr>
            <w:tcW w:w="4006" w:type="dxa"/>
          </w:tcPr>
          <w:p w:rsidR="00C9488D" w:rsidRDefault="00C9488D" w:rsidP="00C9488D">
            <w:pPr>
              <w:pStyle w:val="libFootnote0"/>
              <w:rPr>
                <w:rtl/>
                <w:lang w:bidi="fa-IR"/>
              </w:rPr>
            </w:pPr>
            <w:r>
              <w:rPr>
                <w:rtl/>
              </w:rPr>
              <w:t xml:space="preserve">(6). في </w:t>
            </w:r>
            <w:r w:rsidRPr="0012008A">
              <w:rPr>
                <w:rStyle w:val="libFootnoteBoldChar"/>
                <w:rtl/>
              </w:rPr>
              <w:t>الوافي</w:t>
            </w:r>
            <w:r w:rsidRPr="00020424">
              <w:rPr>
                <w:rtl/>
              </w:rPr>
              <w:t xml:space="preserve">: </w:t>
            </w:r>
            <w:r>
              <w:rPr>
                <w:rtl/>
              </w:rPr>
              <w:t>« أي جعلها قرينها وفي مرتبتها »</w:t>
            </w:r>
            <w:r>
              <w:rPr>
                <w:rFonts w:hint="cs"/>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8340FD">
        <w:rPr>
          <w:rtl/>
        </w:rPr>
        <w:t>الكافي</w:t>
      </w:r>
      <w:r w:rsidR="00992664" w:rsidRPr="00020424">
        <w:rPr>
          <w:rtl/>
        </w:rPr>
        <w:t xml:space="preserve"> ، كتاب الزكاة ، باب ما وضع رسول الله صلّى الله عليه وعلى أهل بيته الزكاة عليه ، صدر ح 5767. وفي </w:t>
      </w:r>
      <w:r w:rsidR="00992664" w:rsidRPr="0012008A">
        <w:rPr>
          <w:rStyle w:val="libFootnoteBoldChar"/>
          <w:rtl/>
        </w:rPr>
        <w:t>التهذيب</w:t>
      </w:r>
      <w:r w:rsidR="00992664" w:rsidRPr="00020424">
        <w:rPr>
          <w:rtl/>
        </w:rPr>
        <w:t xml:space="preserve"> ، ج 4 ، ص 3 ، صدر ح 5 ؛ </w:t>
      </w:r>
      <w:r w:rsidR="00992664" w:rsidRPr="00FD6221">
        <w:rPr>
          <w:rStyle w:val="libFootnoteBoldChar"/>
          <w:rtl/>
        </w:rPr>
        <w:t>والاستبصار</w:t>
      </w:r>
      <w:r w:rsidR="00992664" w:rsidRPr="00020424">
        <w:rPr>
          <w:rtl/>
        </w:rPr>
        <w:t xml:space="preserve"> ، ج 2 ، ص 3 ، صدر ح 5 ، معلّقاً عن الكليني </w:t>
      </w:r>
      <w:r w:rsidR="002D1267">
        <w:rPr>
          <w:rFonts w:hint="cs"/>
          <w:rtl/>
        </w:rPr>
        <w:t>.</w:t>
      </w:r>
      <w:r w:rsidR="00992664" w:rsidRPr="0012008A">
        <w:rPr>
          <w:rStyle w:val="libFootnoteBoldChar"/>
          <w:rtl/>
        </w:rPr>
        <w:t>الوافي</w:t>
      </w:r>
      <w:r w:rsidR="00992664" w:rsidRPr="00020424">
        <w:rPr>
          <w:rtl/>
        </w:rPr>
        <w:t xml:space="preserve"> ، ج 10 ، ص 34 ، ح 9097 ؛ </w:t>
      </w:r>
      <w:r w:rsidR="00992664" w:rsidRPr="0012008A">
        <w:rPr>
          <w:rStyle w:val="libFootnoteBoldChar"/>
          <w:rtl/>
        </w:rPr>
        <w:t>الوسائل</w:t>
      </w:r>
      <w:r w:rsidR="00992664" w:rsidRPr="00020424">
        <w:rPr>
          <w:rtl/>
        </w:rPr>
        <w:t xml:space="preserve"> ، ج 9 ، ص 13 ، ح 11394 ؛ وص 55 ، ح 11506.</w:t>
      </w:r>
    </w:p>
    <w:p w:rsidR="00992664" w:rsidRPr="00020424" w:rsidRDefault="00795177" w:rsidP="00E53C93">
      <w:pPr>
        <w:pStyle w:val="libFootnote0"/>
        <w:rPr>
          <w:rtl/>
          <w:lang w:bidi="fa-IR"/>
        </w:rPr>
      </w:pPr>
      <w:r>
        <w:rPr>
          <w:rtl/>
        </w:rPr>
        <w:t>(8).</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E807C2">
      <w:pPr>
        <w:pStyle w:val="libFootnote0"/>
        <w:rPr>
          <w:rtl/>
          <w:lang w:bidi="fa-IR"/>
        </w:rPr>
      </w:pPr>
      <w:r>
        <w:rPr>
          <w:rtl/>
        </w:rPr>
        <w:t>(9).</w:t>
      </w:r>
      <w:r w:rsidR="0014403D">
        <w:rPr>
          <w:rtl/>
        </w:rPr>
        <w:t xml:space="preserve"> </w:t>
      </w:r>
      <w:r w:rsidR="00992664" w:rsidRPr="00020424">
        <w:rPr>
          <w:rtl/>
        </w:rPr>
        <w:t>هكذا في « بث ، بخ ، بر ، بف</w:t>
      </w:r>
      <w:r w:rsidR="00992664">
        <w:rPr>
          <w:rtl/>
        </w:rPr>
        <w:t xml:space="preserve"> ».</w:t>
      </w:r>
      <w:r w:rsidR="00992664" w:rsidRPr="00020424">
        <w:rPr>
          <w:rtl/>
        </w:rPr>
        <w:t xml:space="preserve"> وفي « ظ ، ى ، بح ، بس ، جن » والمطبوع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352B65">
        <w:rPr>
          <w:rtl/>
        </w:rPr>
        <w:t>«</w:t>
      </w:r>
      <w:r w:rsidR="00992664" w:rsidRPr="00020424">
        <w:rPr>
          <w:rtl/>
        </w:rPr>
        <w:t>عن يونس</w:t>
      </w:r>
      <w:r w:rsidR="00992664">
        <w:rPr>
          <w:rtl/>
        </w:rPr>
        <w:t>».</w:t>
      </w:r>
    </w:p>
    <w:p w:rsidR="00992664" w:rsidRPr="00020424" w:rsidRDefault="00992664" w:rsidP="00E53C93">
      <w:pPr>
        <w:pStyle w:val="libFootnote0"/>
        <w:rPr>
          <w:rtl/>
          <w:lang w:bidi="fa-IR"/>
        </w:rPr>
      </w:pPr>
      <w:r w:rsidRPr="00E53C93">
        <w:rPr>
          <w:rtl/>
        </w:rPr>
        <w:t xml:space="preserve">والخبر رواه البرقي في </w:t>
      </w:r>
      <w:r w:rsidR="00D64ADA" w:rsidRPr="00D64ADA">
        <w:rPr>
          <w:rStyle w:val="libFootnoteBoldChar"/>
          <w:rtl/>
        </w:rPr>
        <w:t>المحاسن</w:t>
      </w:r>
      <w:r w:rsidRPr="00E53C93">
        <w:rPr>
          <w:rtl/>
        </w:rPr>
        <w:t xml:space="preserve"> ، ج 2 ، ص 319 ، ح 48 ، عن أبيه ، عن يونس ، عن مبارك العقرقوفي. والشيخ الصدوق أيضاً رواه في </w:t>
      </w:r>
      <w:r w:rsidRPr="008340FD">
        <w:rPr>
          <w:rtl/>
        </w:rPr>
        <w:t>علل الشرائع</w:t>
      </w:r>
      <w:r w:rsidRPr="00E53C93">
        <w:rPr>
          <w:rtl/>
        </w:rPr>
        <w:t xml:space="preserve"> ، ص 368 ، ح 1 ، بسنده عن يونس بن عبدالرحمن ، عن مبارك العقرقوفي. وقد أكثر إبراهيم بن هاشم والد عليّ من الرواية عن إسماعيل بن مرّار عن يونس [ بن عبدالرحمن ]. وذكر الشيخ الطوسي إسماعيل بن مرّار في رجاله ، وقال : « روى عن يونس بن عبدالرحمن روى عنه إبراهيم بن هاشم ». راجع : </w:t>
      </w:r>
      <w:r w:rsidRPr="008340FD">
        <w:rPr>
          <w:rtl/>
        </w:rPr>
        <w:t>رجال الطوسي</w:t>
      </w:r>
      <w:r w:rsidRPr="00E53C93">
        <w:rPr>
          <w:rtl/>
        </w:rPr>
        <w:t xml:space="preserve"> ، ص 412 ، الرقم 5972 ؛ </w:t>
      </w:r>
      <w:r w:rsidRPr="008340FD">
        <w:rPr>
          <w:rtl/>
        </w:rPr>
        <w:t>معجم رجال الحديث</w:t>
      </w:r>
      <w:r w:rsidRPr="00E53C93">
        <w:rPr>
          <w:rtl/>
        </w:rPr>
        <w:t xml:space="preserve"> ، ج 3 ، ص 474 </w:t>
      </w:r>
      <w:r w:rsidR="009B673F" w:rsidRPr="00E53C93">
        <w:rPr>
          <w:rtl/>
        </w:rPr>
        <w:t>-</w:t>
      </w:r>
      <w:r w:rsidRPr="00E53C93">
        <w:rPr>
          <w:rtl/>
        </w:rPr>
        <w:t xml:space="preserve"> 477.</w:t>
      </w:r>
    </w:p>
    <w:p w:rsidR="00992664" w:rsidRPr="00020424" w:rsidRDefault="00992664" w:rsidP="00E53C93">
      <w:pPr>
        <w:pStyle w:val="libFootnote0"/>
        <w:rPr>
          <w:rtl/>
          <w:lang w:bidi="fa-IR"/>
        </w:rPr>
      </w:pPr>
      <w:r w:rsidRPr="00D82B22">
        <w:rPr>
          <w:rtl/>
        </w:rPr>
        <w:t>هذا ، ولم نجد رواية إسماعيل بن مرّار عن مبارك مباشرة في موضع.</w:t>
      </w:r>
    </w:p>
    <w:p w:rsidR="00E53C93" w:rsidRDefault="00E53C93" w:rsidP="00E53C93">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الْعَقَرْقُوفِيِّ ، قَالَ :</w:t>
      </w:r>
    </w:p>
    <w:p w:rsidR="00992664" w:rsidRPr="00020424" w:rsidRDefault="00992664" w:rsidP="00992664">
      <w:pPr>
        <w:pStyle w:val="libNormal"/>
        <w:rPr>
          <w:rtl/>
          <w:lang w:bidi="fa-IR"/>
        </w:rPr>
      </w:pPr>
      <w:r w:rsidRPr="00020424">
        <w:rPr>
          <w:rtl/>
          <w:lang w:bidi="fa-IR"/>
        </w:rPr>
        <w:t xml:space="preserve">قَالَ أَبُو الْحَسَنِ </w:t>
      </w:r>
      <w:r w:rsidRPr="00005A81">
        <w:rPr>
          <w:rStyle w:val="libAlaemChar"/>
          <w:rtl/>
        </w:rPr>
        <w:t>عليه‌السلام</w:t>
      </w:r>
      <w:r w:rsidRPr="00020424">
        <w:rPr>
          <w:rtl/>
          <w:lang w:bidi="fa-IR"/>
        </w:rPr>
        <w:t xml:space="preserve">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وَضَعَ الزَّكَاةَ قُوتاً لِلْفُقَرَاءِ ، وَتَوْفِيراً لِأَمْوَالِكُمْ</w:t>
      </w:r>
      <w:r>
        <w:rPr>
          <w:rtl/>
          <w:lang w:bidi="fa-IR"/>
        </w:rPr>
        <w:t>».</w:t>
      </w:r>
      <w:r w:rsidRPr="00A91B96">
        <w:rPr>
          <w:rStyle w:val="libFootnotenumChar"/>
          <w:rtl/>
        </w:rPr>
        <w:t>(1)</w:t>
      </w:r>
    </w:p>
    <w:p w:rsidR="00992664" w:rsidRPr="00020424" w:rsidRDefault="00992664" w:rsidP="00992664">
      <w:pPr>
        <w:pStyle w:val="libNormal"/>
        <w:rPr>
          <w:rtl/>
          <w:lang w:bidi="fa-IR"/>
        </w:rPr>
      </w:pPr>
      <w:r w:rsidRPr="008340FD">
        <w:rPr>
          <w:rtl/>
        </w:rPr>
        <w:t>5726</w:t>
      </w:r>
      <w:r w:rsidRPr="001155DE">
        <w:rPr>
          <w:rStyle w:val="libBold2Char"/>
          <w:rtl/>
        </w:rPr>
        <w:t xml:space="preserve"> / 7.</w:t>
      </w:r>
      <w:r w:rsidRPr="00020424">
        <w:rPr>
          <w:rtl/>
          <w:lang w:bidi="fa-IR"/>
        </w:rPr>
        <w:t xml:space="preserve"> عِدَّةٌ مِنْ أَصْحَابِنَا ، عَنْ أَحْمَدَ بْنِ مُحَمَّدٍ ، عَنِ الْحُسَيْنِ بْنِ سَعِيدٍ ، عَنِ النَّضْرِ بْنِ سُوَيْدٍ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عَزَّ وَ</w:t>
      </w:r>
      <w:r w:rsidR="00E807C2">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فَرَضَ الزَّكَاةَ كَمَا فَرَضَ الصَّلَاةَ </w:t>
      </w:r>
      <w:r w:rsidRPr="00A91B96">
        <w:rPr>
          <w:rStyle w:val="libFootnotenumChar"/>
          <w:rtl/>
        </w:rPr>
        <w:t>(2)</w:t>
      </w:r>
      <w:r w:rsidRPr="00020424">
        <w:rPr>
          <w:rtl/>
          <w:lang w:bidi="fa-IR"/>
        </w:rPr>
        <w:t xml:space="preserve"> ، وَلَوْ </w:t>
      </w:r>
      <w:r w:rsidRPr="00A91B96">
        <w:rPr>
          <w:rStyle w:val="libFootnotenumChar"/>
          <w:rtl/>
        </w:rPr>
        <w:t>(3)</w:t>
      </w:r>
      <w:r w:rsidRPr="00020424">
        <w:rPr>
          <w:rtl/>
          <w:lang w:bidi="fa-IR"/>
        </w:rPr>
        <w:t xml:space="preserve"> أَنَّ رَجُلاً حَمَلَ الزَّكَاةَ فَأَعْطَاهَا </w:t>
      </w:r>
      <w:r w:rsidRPr="00A91B96">
        <w:rPr>
          <w:rStyle w:val="libFootnotenumChar"/>
          <w:rtl/>
        </w:rPr>
        <w:t>(4)</w:t>
      </w:r>
      <w:r w:rsidRPr="00020424">
        <w:rPr>
          <w:rtl/>
          <w:lang w:bidi="fa-IR"/>
        </w:rPr>
        <w:t xml:space="preserve"> عَلَانِيَةً ، لَمْ يَكُنْ عَلَيْهِ فِي ذلِكَ عَيْبٌ </w:t>
      </w:r>
      <w:r w:rsidRPr="00A91B96">
        <w:rPr>
          <w:rStyle w:val="libFootnotenumChar"/>
          <w:rtl/>
        </w:rPr>
        <w:t>(5)</w:t>
      </w:r>
      <w:r w:rsidRPr="00020424">
        <w:rPr>
          <w:rtl/>
          <w:lang w:bidi="fa-IR"/>
        </w:rPr>
        <w:t xml:space="preserve"> ، وَذلِكَ أَنَّ اللهَ</w:t>
      </w:r>
      <w:r>
        <w:rPr>
          <w:rtl/>
          <w:lang w:bidi="fa-IR"/>
        </w:rPr>
        <w:t xml:space="preserve"> </w:t>
      </w:r>
      <w:r w:rsidR="009B673F">
        <w:rPr>
          <w:rtl/>
          <w:lang w:bidi="fa-IR"/>
        </w:rPr>
        <w:t>-</w:t>
      </w:r>
      <w:r>
        <w:rPr>
          <w:rtl/>
          <w:lang w:bidi="fa-IR"/>
        </w:rPr>
        <w:t xml:space="preserve"> </w:t>
      </w:r>
      <w:r w:rsidRPr="00020424">
        <w:rPr>
          <w:rtl/>
          <w:lang w:bidi="fa-IR"/>
        </w:rPr>
        <w:t>عَزَّ وَ</w:t>
      </w:r>
      <w:r w:rsidR="00E807C2">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فَرَضَ فِي أَمْوَالِ الْأَغْنِيَاءِ لِلْفُقَرَاءِ </w:t>
      </w:r>
      <w:r w:rsidRPr="00A91B96">
        <w:rPr>
          <w:rStyle w:val="libFootnotenumChar"/>
          <w:rtl/>
        </w:rPr>
        <w:t>(6)</w:t>
      </w:r>
      <w:r w:rsidRPr="00020424">
        <w:rPr>
          <w:rtl/>
          <w:lang w:bidi="fa-IR"/>
        </w:rPr>
        <w:t xml:space="preserve"> مَا يَكْتَفُونَ بِهِ الْفُقَرَاءُ </w:t>
      </w:r>
      <w:r w:rsidRPr="00A91B96">
        <w:rPr>
          <w:rStyle w:val="libFootnotenumChar"/>
          <w:rtl/>
        </w:rPr>
        <w:t>(7)</w:t>
      </w:r>
      <w:r w:rsidRPr="00020424">
        <w:rPr>
          <w:rtl/>
          <w:lang w:bidi="fa-IR"/>
        </w:rPr>
        <w:t xml:space="preserve"> ، وَلَوْ عَلِمَ أَنَّ الَّذِي فَرَضَ </w:t>
      </w:r>
      <w:r w:rsidRPr="00A91B96">
        <w:rPr>
          <w:rStyle w:val="libFootnotenumChar"/>
          <w:rtl/>
        </w:rPr>
        <w:t>(8)</w:t>
      </w:r>
      <w:r w:rsidRPr="00020424">
        <w:rPr>
          <w:rtl/>
          <w:lang w:bidi="fa-IR"/>
        </w:rPr>
        <w:t xml:space="preserve"> لَايَكْفِيهِمْ ، لَزَادَهُمْ ؛ وَإِنَّمَا </w:t>
      </w:r>
      <w:r w:rsidRPr="00A91B96">
        <w:rPr>
          <w:rStyle w:val="libFootnotenumChar"/>
          <w:rtl/>
        </w:rPr>
        <w:t>(9)</w:t>
      </w:r>
      <w:r w:rsidRPr="00020424">
        <w:rPr>
          <w:rtl/>
          <w:lang w:bidi="fa-IR"/>
        </w:rPr>
        <w:t xml:space="preserve"> يُؤْتَى </w:t>
      </w:r>
      <w:r w:rsidRPr="00A91B96">
        <w:rPr>
          <w:rStyle w:val="libFootnotenumChar"/>
          <w:rtl/>
        </w:rPr>
        <w:t>(10)</w:t>
      </w:r>
      <w:r w:rsidRPr="00020424">
        <w:rPr>
          <w:rtl/>
          <w:lang w:bidi="fa-IR"/>
        </w:rPr>
        <w:t xml:space="preserve"> الْفُقَرَاءُ </w:t>
      </w:r>
      <w:r w:rsidRPr="00A91B96">
        <w:rPr>
          <w:rStyle w:val="libFootnotenumChar"/>
          <w:rtl/>
        </w:rPr>
        <w:t>(11)</w:t>
      </w:r>
      <w:r w:rsidRPr="00020424">
        <w:rPr>
          <w:rtl/>
          <w:lang w:bidi="fa-IR"/>
        </w:rPr>
        <w:t xml:space="preserve"> فِيمَا أُتُوا </w:t>
      </w:r>
      <w:r w:rsidRPr="00A91B96">
        <w:rPr>
          <w:rStyle w:val="libFootnotenumChar"/>
          <w:rtl/>
        </w:rPr>
        <w:t>(12)</w:t>
      </w:r>
      <w:r w:rsidRPr="00020424">
        <w:rPr>
          <w:rtl/>
          <w:lang w:bidi="fa-IR"/>
        </w:rPr>
        <w:t xml:space="preserve"> مِنْ مَنْعِ مَنْ </w:t>
      </w:r>
      <w:r w:rsidRPr="00A91B96">
        <w:rPr>
          <w:rStyle w:val="libFootnotenumChar"/>
          <w:rtl/>
        </w:rPr>
        <w:t>(13)</w:t>
      </w:r>
      <w:r w:rsidRPr="00020424">
        <w:rPr>
          <w:rtl/>
          <w:lang w:bidi="fa-IR"/>
        </w:rPr>
        <w:t xml:space="preserve"> مَنَعَهُمْ حُقُوقَهُمْ ، لَامِنَ الْفَرِيضَةِ</w:t>
      </w:r>
      <w:r>
        <w:rPr>
          <w:rtl/>
          <w:lang w:bidi="fa-IR"/>
        </w:rPr>
        <w:t xml:space="preserve"> ».</w:t>
      </w:r>
      <w:r w:rsidRPr="00020424">
        <w:rPr>
          <w:rtl/>
          <w:lang w:bidi="fa-IR"/>
        </w:rPr>
        <w:t xml:space="preserve"> </w:t>
      </w:r>
      <w:r w:rsidRPr="00A91B96">
        <w:rPr>
          <w:rStyle w:val="libFootnotenumChar"/>
          <w:rtl/>
        </w:rPr>
        <w:t>(14)</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D64ADA" w:rsidRPr="00D64ADA">
        <w:rPr>
          <w:rStyle w:val="libFootnoteBoldChar"/>
          <w:rtl/>
        </w:rPr>
        <w:t>المحاسن</w:t>
      </w:r>
      <w:r w:rsidR="00992664" w:rsidRPr="00020424">
        <w:rPr>
          <w:rtl/>
        </w:rPr>
        <w:t xml:space="preserve"> ، ص 319 ، كتاب العلل ، ح 48 ؛ </w:t>
      </w:r>
      <w:r w:rsidR="00992664" w:rsidRPr="00515444">
        <w:rPr>
          <w:rStyle w:val="libFootnoteBoldChar"/>
          <w:rtl/>
        </w:rPr>
        <w:t>وعلل الشرائع</w:t>
      </w:r>
      <w:r w:rsidR="00992664" w:rsidRPr="00020424">
        <w:rPr>
          <w:rtl/>
        </w:rPr>
        <w:t xml:space="preserve"> ، ص 368 ، ح 1 ، بسندهما عن مبارك العقرقوفي. </w:t>
      </w:r>
      <w:r w:rsidR="00992664" w:rsidRPr="0012008A">
        <w:rPr>
          <w:rStyle w:val="libFootnoteBoldChar"/>
          <w:rtl/>
        </w:rPr>
        <w:t>الفقيه</w:t>
      </w:r>
      <w:r w:rsidR="00992664" w:rsidRPr="00020424">
        <w:rPr>
          <w:rtl/>
        </w:rPr>
        <w:t xml:space="preserve"> ، ج 2 ، ص 4 ، ح 1575 ، معلّقاً عن مبارك العقرقوفي ، عن أبي الحسن موسى بن جعفر </w:t>
      </w:r>
      <w:r w:rsidR="00D64ADA" w:rsidRPr="00D64ADA">
        <w:rPr>
          <w:rStyle w:val="libFootnoteAlaemChar"/>
          <w:rtl/>
        </w:rPr>
        <w:t>عليهما‌السلام</w:t>
      </w:r>
      <w:r w:rsidR="00992664" w:rsidRPr="00020424">
        <w:rPr>
          <w:rtl/>
        </w:rPr>
        <w:t xml:space="preserve"> </w:t>
      </w:r>
      <w:r w:rsidR="00A80290">
        <w:rPr>
          <w:rFonts w:hint="cs"/>
          <w:rtl/>
        </w:rPr>
        <w:t>.</w:t>
      </w:r>
      <w:r w:rsidR="00992664" w:rsidRPr="0012008A">
        <w:rPr>
          <w:rStyle w:val="libFootnoteBoldChar"/>
          <w:rtl/>
        </w:rPr>
        <w:t>الوافي</w:t>
      </w:r>
      <w:r w:rsidR="00992664" w:rsidRPr="00020424">
        <w:rPr>
          <w:rtl/>
        </w:rPr>
        <w:t xml:space="preserve"> ، ج 10 ، ص 47 ، ح 9125 ؛ </w:t>
      </w:r>
      <w:r w:rsidR="00992664" w:rsidRPr="0012008A">
        <w:rPr>
          <w:rStyle w:val="libFootnoteBoldChar"/>
          <w:rtl/>
        </w:rPr>
        <w:t>الوسائل</w:t>
      </w:r>
      <w:r w:rsidR="00992664" w:rsidRPr="00020424">
        <w:rPr>
          <w:rtl/>
        </w:rPr>
        <w:t xml:space="preserve"> ، ج 9 ، ص 10 ، ذيل ح 11390 ؛ وص 211 ، ح 11860.</w:t>
      </w:r>
    </w:p>
    <w:tbl>
      <w:tblPr>
        <w:tblStyle w:val="TableGrid"/>
        <w:bidiVisual/>
        <w:tblW w:w="0" w:type="auto"/>
        <w:tblLook w:val="04A0" w:firstRow="1" w:lastRow="0" w:firstColumn="1" w:lastColumn="0" w:noHBand="0" w:noVBand="1"/>
      </w:tblPr>
      <w:tblGrid>
        <w:gridCol w:w="4006"/>
        <w:gridCol w:w="4006"/>
      </w:tblGrid>
      <w:tr w:rsidR="00344605" w:rsidTr="00344605">
        <w:tc>
          <w:tcPr>
            <w:tcW w:w="4006" w:type="dxa"/>
          </w:tcPr>
          <w:p w:rsidR="00344605" w:rsidRDefault="00344605" w:rsidP="00A80290">
            <w:pPr>
              <w:pStyle w:val="libFootnote0"/>
              <w:rPr>
                <w:rtl/>
                <w:lang w:bidi="fa-IR"/>
              </w:rPr>
            </w:pPr>
            <w:r>
              <w:rPr>
                <w:rtl/>
              </w:rPr>
              <w:t xml:space="preserve">(2). </w:t>
            </w:r>
            <w:r w:rsidRPr="00020424">
              <w:rPr>
                <w:rtl/>
              </w:rPr>
              <w:t>في « بخ » :</w:t>
            </w:r>
            <w:r>
              <w:rPr>
                <w:rtl/>
              </w:rPr>
              <w:t xml:space="preserve"> - </w:t>
            </w:r>
            <w:r w:rsidRPr="00020424">
              <w:rPr>
                <w:rtl/>
              </w:rPr>
              <w:t>« كما فرض الصلاة</w:t>
            </w:r>
            <w:r>
              <w:rPr>
                <w:rtl/>
              </w:rPr>
              <w:t xml:space="preserve"> ».</w:t>
            </w:r>
          </w:p>
        </w:tc>
        <w:tc>
          <w:tcPr>
            <w:tcW w:w="4006" w:type="dxa"/>
          </w:tcPr>
          <w:p w:rsidR="00344605" w:rsidRDefault="00344605" w:rsidP="00A80290">
            <w:pPr>
              <w:pStyle w:val="libFootnote0"/>
              <w:rPr>
                <w:rtl/>
                <w:lang w:bidi="fa-IR"/>
              </w:rPr>
            </w:pPr>
            <w:r>
              <w:rPr>
                <w:rtl/>
              </w:rPr>
              <w:t xml:space="preserve">(3). </w:t>
            </w:r>
            <w:r w:rsidRPr="00020424">
              <w:rPr>
                <w:rtl/>
              </w:rPr>
              <w:t>في «ظ،بث،بخ،بر،بف»</w:t>
            </w:r>
            <w:r w:rsidRPr="00515444">
              <w:rPr>
                <w:rStyle w:val="libFootnoteBoldChar"/>
                <w:rtl/>
              </w:rPr>
              <w:t>والوافي</w:t>
            </w:r>
            <w:r w:rsidRPr="00020424">
              <w:rPr>
                <w:rtl/>
              </w:rPr>
              <w:t xml:space="preserve"> والعلل:«فلو</w:t>
            </w:r>
            <w:r>
              <w:rPr>
                <w:rtl/>
              </w:rPr>
              <w:t>».</w:t>
            </w:r>
          </w:p>
        </w:tc>
      </w:tr>
      <w:tr w:rsidR="00344605" w:rsidTr="00344605">
        <w:tc>
          <w:tcPr>
            <w:tcW w:w="4006" w:type="dxa"/>
          </w:tcPr>
          <w:p w:rsidR="00344605" w:rsidRDefault="00344605" w:rsidP="00A80290">
            <w:pPr>
              <w:pStyle w:val="libFootnote0"/>
              <w:rPr>
                <w:rtl/>
                <w:lang w:bidi="fa-IR"/>
              </w:rPr>
            </w:pPr>
            <w:r>
              <w:rPr>
                <w:rtl/>
              </w:rPr>
              <w:t xml:space="preserve">(4). </w:t>
            </w:r>
            <w:r w:rsidRPr="00020424">
              <w:rPr>
                <w:rtl/>
              </w:rPr>
              <w:t xml:space="preserve">في « بخ ، بر ، بف » </w:t>
            </w:r>
            <w:r w:rsidRPr="00515444">
              <w:rPr>
                <w:rStyle w:val="libFootnoteBoldChar"/>
                <w:rtl/>
              </w:rPr>
              <w:t>والوافي</w:t>
            </w:r>
            <w:r w:rsidRPr="00020424">
              <w:rPr>
                <w:rtl/>
              </w:rPr>
              <w:t xml:space="preserve"> : « وأعطاها</w:t>
            </w:r>
            <w:r>
              <w:rPr>
                <w:rtl/>
              </w:rPr>
              <w:t xml:space="preserve"> ».</w:t>
            </w:r>
          </w:p>
        </w:tc>
        <w:tc>
          <w:tcPr>
            <w:tcW w:w="4006" w:type="dxa"/>
          </w:tcPr>
          <w:p w:rsidR="00344605" w:rsidRDefault="00344605" w:rsidP="00A80290">
            <w:pPr>
              <w:pStyle w:val="libFootnote0"/>
              <w:rPr>
                <w:rtl/>
                <w:lang w:bidi="fa-IR"/>
              </w:rPr>
            </w:pPr>
            <w:r>
              <w:rPr>
                <w:rtl/>
              </w:rPr>
              <w:t xml:space="preserve">(5). </w:t>
            </w:r>
            <w:r w:rsidRPr="00020424">
              <w:rPr>
                <w:rtl/>
              </w:rPr>
              <w:t>في العلل : « عتب</w:t>
            </w:r>
            <w:r>
              <w:rPr>
                <w:rtl/>
              </w:rPr>
              <w:t xml:space="preserve"> ».</w:t>
            </w:r>
          </w:p>
        </w:tc>
      </w:tr>
    </w:tbl>
    <w:p w:rsidR="00992664" w:rsidRPr="00020424" w:rsidRDefault="00795177" w:rsidP="00F820C5">
      <w:pPr>
        <w:pStyle w:val="libFootnote0"/>
        <w:rPr>
          <w:rtl/>
          <w:lang w:bidi="fa-IR"/>
        </w:rPr>
      </w:pPr>
      <w:r>
        <w:rPr>
          <w:rtl/>
        </w:rPr>
        <w:t>(6).</w:t>
      </w:r>
      <w:r w:rsidR="0014403D">
        <w:rPr>
          <w:rtl/>
        </w:rPr>
        <w:t xml:space="preserve"> </w:t>
      </w:r>
      <w:r w:rsidR="00992664" w:rsidRPr="00020424">
        <w:rPr>
          <w:rtl/>
        </w:rPr>
        <w:t>في « ى ، بث ، جن » :</w:t>
      </w:r>
      <w:r w:rsidR="00992664">
        <w:rPr>
          <w:rtl/>
        </w:rPr>
        <w:t xml:space="preserve"> </w:t>
      </w:r>
      <w:r w:rsidR="009B673F">
        <w:rPr>
          <w:rtl/>
        </w:rPr>
        <w:t>-</w:t>
      </w:r>
      <w:r w:rsidR="00992664">
        <w:rPr>
          <w:rtl/>
        </w:rPr>
        <w:t xml:space="preserve"> </w:t>
      </w:r>
      <w:r w:rsidR="00992664" w:rsidRPr="00020424">
        <w:rPr>
          <w:rtl/>
        </w:rPr>
        <w:t>« للفقراء</w:t>
      </w:r>
      <w:r w:rsidR="00992664">
        <w:rPr>
          <w:rtl/>
        </w:rPr>
        <w:t xml:space="preserve"> ».</w:t>
      </w:r>
      <w:r w:rsidR="00992664" w:rsidRPr="00020424">
        <w:rPr>
          <w:rtl/>
        </w:rPr>
        <w:t xml:space="preserve"> وفي « بر » </w:t>
      </w:r>
      <w:r w:rsidR="00992664" w:rsidRPr="00FD6221">
        <w:rPr>
          <w:rStyle w:val="libFootnoteBoldChar"/>
          <w:rtl/>
        </w:rPr>
        <w:t>والفقيه</w:t>
      </w:r>
      <w:r w:rsidR="00992664" w:rsidRPr="00020424">
        <w:rPr>
          <w:rtl/>
        </w:rPr>
        <w:t xml:space="preserve"> والعلل : « للفقراء في أموال الأغنياء</w:t>
      </w:r>
      <w:r w:rsidR="00992664">
        <w:rPr>
          <w:rtl/>
        </w:rPr>
        <w:t xml:space="preserve"> ».</w:t>
      </w:r>
    </w:p>
    <w:p w:rsidR="00992664" w:rsidRPr="00020424" w:rsidRDefault="00795177" w:rsidP="00AE70AB">
      <w:pPr>
        <w:pStyle w:val="libFootnote0"/>
        <w:rPr>
          <w:rtl/>
          <w:lang w:bidi="fa-IR"/>
        </w:rPr>
      </w:pPr>
      <w:r>
        <w:rPr>
          <w:rtl/>
        </w:rPr>
        <w:t>(7).</w:t>
      </w:r>
      <w:r w:rsidR="0014403D">
        <w:rPr>
          <w:rtl/>
        </w:rPr>
        <w:t xml:space="preserve"> </w:t>
      </w:r>
      <w:r w:rsidR="00992664" w:rsidRPr="00020424">
        <w:rPr>
          <w:rtl/>
        </w:rPr>
        <w:t xml:space="preserve">في « بح ، بر ، بس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الفقراء</w:t>
      </w:r>
      <w:r w:rsidR="00992664">
        <w:rPr>
          <w:rtl/>
        </w:rPr>
        <w:t xml:space="preserve"> ».</w:t>
      </w:r>
    </w:p>
    <w:p w:rsidR="00992664" w:rsidRPr="00020424" w:rsidRDefault="00795177" w:rsidP="002264DB">
      <w:pPr>
        <w:pStyle w:val="libFootnote0"/>
        <w:rPr>
          <w:rtl/>
          <w:lang w:bidi="fa-IR"/>
        </w:rPr>
      </w:pPr>
      <w:r>
        <w:rPr>
          <w:rtl/>
        </w:rPr>
        <w:t>(8).</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وفي « بر » والمطبوع : + « لهم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447C4" w:rsidTr="001447C4">
        <w:tc>
          <w:tcPr>
            <w:tcW w:w="4006" w:type="dxa"/>
          </w:tcPr>
          <w:p w:rsidR="001447C4" w:rsidRDefault="001447C4" w:rsidP="00992664">
            <w:pPr>
              <w:pStyle w:val="libFootnote0"/>
              <w:rPr>
                <w:rtl/>
                <w:lang w:bidi="fa-IR"/>
              </w:rPr>
            </w:pPr>
            <w:r>
              <w:rPr>
                <w:rtl/>
              </w:rPr>
              <w:t xml:space="preserve">(9). </w:t>
            </w:r>
            <w:r w:rsidRPr="00020424">
              <w:rPr>
                <w:rtl/>
              </w:rPr>
              <w:t>في « ظ » والعلل : « فإنّما</w:t>
            </w:r>
            <w:r>
              <w:rPr>
                <w:rtl/>
              </w:rPr>
              <w:t xml:space="preserve"> ».</w:t>
            </w:r>
          </w:p>
        </w:tc>
        <w:tc>
          <w:tcPr>
            <w:tcW w:w="4006" w:type="dxa"/>
          </w:tcPr>
          <w:p w:rsidR="001447C4" w:rsidRDefault="001447C4" w:rsidP="00992664">
            <w:pPr>
              <w:pStyle w:val="libFootnote0"/>
              <w:rPr>
                <w:rtl/>
                <w:lang w:bidi="fa-IR"/>
              </w:rPr>
            </w:pPr>
            <w:r>
              <w:rPr>
                <w:rtl/>
              </w:rPr>
              <w:t xml:space="preserve">(10). </w:t>
            </w:r>
            <w:r w:rsidRPr="00020424">
              <w:rPr>
                <w:rtl/>
              </w:rPr>
              <w:t>في « ى » : « تؤتى</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 « للفقراء</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يؤتى وا</w:t>
      </w:r>
      <w:r w:rsidR="00BA4108">
        <w:rPr>
          <w:rFonts w:hint="cs"/>
          <w:rtl/>
        </w:rPr>
        <w:t>ُ</w:t>
      </w:r>
      <w:r w:rsidR="00992664" w:rsidRPr="00020424">
        <w:rPr>
          <w:rtl/>
        </w:rPr>
        <w:t>توا ، كلاهما على المجهول من الإتيان بمعنى المجي‌ء ؛ يعني أنّ الفقراء لم يصابوا بالفقر والمسكنة من قلّة قدر الفريضة المقدّرة لهم في أموال الأغنياء ، وإنّما يصابون بالفقر والذلّة ويدخل عليهم ذلك في جملة ما دخل عليهم من البلاء من منع الأغنياء عنهم الفريضة المقدّرة لهم في أموالهم</w:t>
      </w:r>
      <w:r w:rsidR="00992664">
        <w:rPr>
          <w:rtl/>
        </w:rPr>
        <w:t xml:space="preserve"> ».</w:t>
      </w:r>
    </w:p>
    <w:p w:rsidR="00992664" w:rsidRPr="00020424" w:rsidRDefault="00795177" w:rsidP="00BA4108">
      <w:pPr>
        <w:pStyle w:val="libFootnote0"/>
        <w:rPr>
          <w:rtl/>
          <w:lang w:bidi="fa-IR"/>
        </w:rPr>
      </w:pPr>
      <w:r>
        <w:rPr>
          <w:rtl/>
        </w:rPr>
        <w:t>(13).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8340FD">
        <w:rPr>
          <w:rtl/>
        </w:rPr>
        <w:t>علل الشرائع</w:t>
      </w:r>
      <w:r w:rsidR="00992664" w:rsidRPr="00020424">
        <w:rPr>
          <w:rtl/>
        </w:rPr>
        <w:t xml:space="preserve"> ، ص 368 ، ح 2 ، بسنده عن الحسين بن سعيد ، مع اختلاف يسير. </w:t>
      </w:r>
      <w:r w:rsidR="00992664" w:rsidRPr="0012008A">
        <w:rPr>
          <w:rStyle w:val="libFootnoteBoldChar"/>
          <w:rtl/>
        </w:rPr>
        <w:t>الفقيه</w:t>
      </w:r>
      <w:r w:rsidR="00992664" w:rsidRPr="00020424">
        <w:rPr>
          <w:rtl/>
        </w:rPr>
        <w:t xml:space="preserve"> ، ج 2 ، ص 3 ، ح 1574 ، </w:t>
      </w:r>
      <w:r w:rsidR="00BA410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340FD">
        <w:rPr>
          <w:rtl/>
        </w:rPr>
        <w:lastRenderedPageBreak/>
        <w:t>5727</w:t>
      </w:r>
      <w:r w:rsidRPr="001155DE">
        <w:rPr>
          <w:rStyle w:val="libBold2Char"/>
          <w:rtl/>
        </w:rPr>
        <w:t xml:space="preserve"> / 8.</w:t>
      </w:r>
      <w:r w:rsidRPr="00020424">
        <w:rPr>
          <w:rtl/>
          <w:lang w:bidi="fa-IR"/>
        </w:rPr>
        <w:t xml:space="preserve"> مُحَمَّدُ بْنُ يَحْيى ، عَنْ أَحْمَدَ بْنِ مُحَمَّدٍ ، عَنْ عُثْمَانَ بْنِ عِيسى ، عَنْ سَمَاعَةَ بْنِ مِهْرَانَ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فَرَضَ لِلْفُقَرَاءِ فِي أَمْوَالِ الْأَغْنِيَاءِ</w:t>
      </w:r>
      <w:r w:rsidR="00D54205">
        <w:rPr>
          <w:rtl/>
          <w:lang w:bidi="fa-IR"/>
        </w:rPr>
        <w:t xml:space="preserve"> فَرِيضَةً لَايُحْمَدُونَ إِل</w:t>
      </w:r>
      <w:r w:rsidR="00D54205">
        <w:rPr>
          <w:rFonts w:hint="cs"/>
          <w:rtl/>
          <w:lang w:bidi="fa-IR"/>
        </w:rPr>
        <w:t>َّ</w:t>
      </w:r>
      <w:r w:rsidR="00D54205">
        <w:rPr>
          <w:rtl/>
          <w:lang w:bidi="fa-IR"/>
        </w:rPr>
        <w:t>ا</w:t>
      </w:r>
      <w:r w:rsidRPr="00020424">
        <w:rPr>
          <w:rtl/>
          <w:lang w:bidi="fa-IR"/>
        </w:rPr>
        <w:t xml:space="preserve"> بِأَدَائِهَا ، وَهِيَ الزَّكَاةُ ، بِهَا حَقَنُوا دِمَاءَهُمْ ، وَبِهَا سُمُّوا مُسْلِمِينَ ، وَلكِنَّ اللهَ</w:t>
      </w:r>
      <w:r>
        <w:rPr>
          <w:rtl/>
          <w:lang w:bidi="fa-IR"/>
        </w:rPr>
        <w:t xml:space="preserve"> </w:t>
      </w:r>
      <w:r w:rsidR="009B673F">
        <w:rPr>
          <w:rtl/>
          <w:lang w:bidi="fa-IR"/>
        </w:rPr>
        <w:t>-</w:t>
      </w:r>
      <w:r>
        <w:rPr>
          <w:rtl/>
          <w:lang w:bidi="fa-IR"/>
        </w:rPr>
        <w:t xml:space="preserve"> </w:t>
      </w:r>
      <w:r w:rsidRPr="00020424">
        <w:rPr>
          <w:rtl/>
          <w:lang w:bidi="fa-IR"/>
        </w:rPr>
        <w:t>عَزَّ وَ</w:t>
      </w:r>
      <w:r w:rsidR="00D54205">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فَرَضَ فِي أَمْوَالِ الْأَغْنِيَاءِ حُقُوقاً غَيْرَ الزَّكَاةِ ، فَقَالَ عَزَّ وَ</w:t>
      </w:r>
      <w:r w:rsidR="00D54205">
        <w:rPr>
          <w:rFonts w:hint="cs"/>
          <w:rtl/>
          <w:lang w:bidi="fa-IR"/>
        </w:rPr>
        <w:t xml:space="preserve"> </w:t>
      </w:r>
      <w:r w:rsidRPr="00020424">
        <w:rPr>
          <w:rtl/>
          <w:lang w:bidi="fa-IR"/>
        </w:rPr>
        <w:t>جَلَّ :</w:t>
      </w:r>
      <w:r>
        <w:rPr>
          <w:rFonts w:hint="cs"/>
          <w:rtl/>
          <w:lang w:bidi="fa-IR"/>
        </w:rPr>
        <w:t xml:space="preserve"> </w:t>
      </w:r>
      <w:r w:rsidRPr="00005A81">
        <w:rPr>
          <w:rStyle w:val="libAlaemChar"/>
          <w:rtl/>
        </w:rPr>
        <w:t>(</w:t>
      </w:r>
      <w:r w:rsidRPr="004E5AB4">
        <w:rPr>
          <w:rStyle w:val="libAieChar"/>
          <w:rtl/>
        </w:rPr>
        <w:t xml:space="preserve"> وَالَّذِينَ </w:t>
      </w:r>
      <w:r w:rsidRPr="00A91B96">
        <w:rPr>
          <w:rStyle w:val="libFootnotenumChar"/>
          <w:rtl/>
        </w:rPr>
        <w:t>(1)</w:t>
      </w:r>
      <w:r w:rsidRPr="004E5AB4">
        <w:rPr>
          <w:rStyle w:val="libAieChar"/>
          <w:rtl/>
        </w:rPr>
        <w:t xml:space="preserve"> فِي أَمْوالِهِمْ حَقٌّ مَعْلُومٌ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فَالْحَقُّ </w:t>
      </w:r>
      <w:r w:rsidRPr="00A91B96">
        <w:rPr>
          <w:rStyle w:val="libFootnotenumChar"/>
          <w:rtl/>
        </w:rPr>
        <w:t>(3)</w:t>
      </w:r>
      <w:r w:rsidRPr="00020424">
        <w:rPr>
          <w:rtl/>
          <w:lang w:bidi="fa-IR"/>
        </w:rPr>
        <w:t xml:space="preserve"> الْمَعْلُومُ </w:t>
      </w:r>
      <w:r w:rsidRPr="00A91B96">
        <w:rPr>
          <w:rStyle w:val="libFootnotenumChar"/>
          <w:rtl/>
        </w:rPr>
        <w:t>(4)</w:t>
      </w:r>
      <w:r w:rsidRPr="00020424">
        <w:rPr>
          <w:rtl/>
          <w:lang w:bidi="fa-IR"/>
        </w:rPr>
        <w:t xml:space="preserve"> غَيْرُ الزَّكَاةِ ، وَهُوَ </w:t>
      </w:r>
      <w:r w:rsidRPr="00A91B96">
        <w:rPr>
          <w:rStyle w:val="libFootnotenumChar"/>
          <w:rtl/>
        </w:rPr>
        <w:t>(5)</w:t>
      </w:r>
      <w:r w:rsidRPr="00020424">
        <w:rPr>
          <w:rtl/>
          <w:lang w:bidi="fa-IR"/>
        </w:rPr>
        <w:t xml:space="preserve"> شَيْ‌ءٌ يَفْرِضُهُ الرَّجُلُ عَلى نَفْسِهِ فِي مَالِهِ </w:t>
      </w:r>
      <w:r w:rsidRPr="00A91B96">
        <w:rPr>
          <w:rStyle w:val="libFootnotenumChar"/>
          <w:rtl/>
        </w:rPr>
        <w:t>(6)</w:t>
      </w:r>
      <w:r w:rsidRPr="00020424">
        <w:rPr>
          <w:rtl/>
          <w:lang w:bidi="fa-IR"/>
        </w:rPr>
        <w:t xml:space="preserve"> ، يَجِبُ عَلَيْهِ أَنْ يَفْرِضَهُ </w:t>
      </w:r>
      <w:r w:rsidRPr="00A91B96">
        <w:rPr>
          <w:rStyle w:val="libFootnotenumChar"/>
          <w:rtl/>
        </w:rPr>
        <w:t>(7)</w:t>
      </w:r>
      <w:r w:rsidRPr="00020424">
        <w:rPr>
          <w:rtl/>
          <w:lang w:bidi="fa-IR"/>
        </w:rPr>
        <w:t xml:space="preserve"> عَلى قَدْرِ طَاقَتِهِ وَسَعَةِ مَالِهِ ، فَيُؤَدِّي </w:t>
      </w:r>
      <w:r w:rsidRPr="00A91B96">
        <w:rPr>
          <w:rStyle w:val="libFootnotenumChar"/>
          <w:rtl/>
        </w:rPr>
        <w:t>(8)</w:t>
      </w:r>
      <w:r w:rsidRPr="00020424">
        <w:rPr>
          <w:rtl/>
          <w:lang w:bidi="fa-IR"/>
        </w:rPr>
        <w:t xml:space="preserve"> الَّذِي فَرَضَ عَلى نَفْسِهِ ، إِنْ شَاءَ فِي </w:t>
      </w:r>
      <w:r w:rsidRPr="00A91B96">
        <w:rPr>
          <w:rStyle w:val="libFootnotenumChar"/>
          <w:rtl/>
        </w:rPr>
        <w:t>(9)</w:t>
      </w:r>
      <w:r w:rsidRPr="00020424">
        <w:rPr>
          <w:rtl/>
          <w:lang w:bidi="fa-IR"/>
        </w:rPr>
        <w:t xml:space="preserve"> كُلِّ يَوْمٍ ، وَإِنْ شَاءَ فِي </w:t>
      </w:r>
      <w:r w:rsidRPr="00A91B96">
        <w:rPr>
          <w:rStyle w:val="libFootnotenumChar"/>
          <w:rtl/>
        </w:rPr>
        <w:t>(10)</w:t>
      </w:r>
      <w:r w:rsidRPr="00020424">
        <w:rPr>
          <w:rtl/>
          <w:lang w:bidi="fa-IR"/>
        </w:rPr>
        <w:t xml:space="preserve"> كُلِّ جُمْعَةٍ ، وَإِنْ شَاءَ فِي </w:t>
      </w:r>
      <w:r w:rsidRPr="00A91B96">
        <w:rPr>
          <w:rStyle w:val="libFootnotenumChar"/>
          <w:rtl/>
        </w:rPr>
        <w:t>(11)</w:t>
      </w:r>
      <w:r w:rsidRPr="00020424">
        <w:rPr>
          <w:rtl/>
          <w:lang w:bidi="fa-IR"/>
        </w:rPr>
        <w:t xml:space="preserve"> كُلِّ شَهْرٍ ، وَقَدْ قَالَ اللهُ</w:t>
      </w:r>
      <w:r>
        <w:rPr>
          <w:rtl/>
          <w:lang w:bidi="fa-IR"/>
        </w:rPr>
        <w:t xml:space="preserve"> </w:t>
      </w:r>
      <w:r w:rsidR="009B673F">
        <w:rPr>
          <w:rtl/>
          <w:lang w:bidi="fa-IR"/>
        </w:rPr>
        <w:t>-</w:t>
      </w:r>
      <w:r>
        <w:rPr>
          <w:rtl/>
          <w:lang w:bidi="fa-IR"/>
        </w:rPr>
        <w:t xml:space="preserve"> </w:t>
      </w:r>
      <w:r w:rsidRPr="00020424">
        <w:rPr>
          <w:rtl/>
          <w:lang w:bidi="fa-IR"/>
        </w:rPr>
        <w:t>عَزَّ وَ</w:t>
      </w:r>
      <w:r w:rsidR="00D54205">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أَيْضاً : </w:t>
      </w:r>
      <w:r w:rsidRPr="00005A81">
        <w:rPr>
          <w:rStyle w:val="libAlaemChar"/>
          <w:rtl/>
        </w:rPr>
        <w:t>(</w:t>
      </w:r>
      <w:r w:rsidRPr="004E5AB4">
        <w:rPr>
          <w:rStyle w:val="libAieChar"/>
          <w:rtl/>
        </w:rPr>
        <w:t xml:space="preserve"> أَقْرِضُوا اللهَ قَرْضاً حَسَناً </w:t>
      </w:r>
      <w:r w:rsidRPr="00005A81">
        <w:rPr>
          <w:rStyle w:val="libAlaemChar"/>
          <w:rtl/>
        </w:rPr>
        <w:t>)</w:t>
      </w:r>
      <w:r w:rsidRPr="00020424">
        <w:rPr>
          <w:rtl/>
          <w:lang w:bidi="fa-IR"/>
        </w:rPr>
        <w:t xml:space="preserve"> </w:t>
      </w:r>
      <w:r w:rsidRPr="00A91B96">
        <w:rPr>
          <w:rStyle w:val="libFootnotenumChar"/>
          <w:rtl/>
        </w:rPr>
        <w:t>(12)</w:t>
      </w:r>
      <w:r w:rsidRPr="00020424">
        <w:rPr>
          <w:rtl/>
          <w:lang w:bidi="fa-IR"/>
        </w:rPr>
        <w:t xml:space="preserve"> وَهذَا </w:t>
      </w:r>
      <w:r w:rsidRPr="00A91B96">
        <w:rPr>
          <w:rStyle w:val="libFootnotenumChar"/>
          <w:rtl/>
        </w:rPr>
        <w:t>(13)</w:t>
      </w:r>
      <w:r w:rsidRPr="00020424">
        <w:rPr>
          <w:rtl/>
          <w:lang w:bidi="fa-IR"/>
        </w:rPr>
        <w:t xml:space="preserve"> غَيْرُ الزَّكَاةِ ، وَقَدْ قَالَ اللهُ </w:t>
      </w:r>
      <w:r w:rsidRPr="00A91B96">
        <w:rPr>
          <w:rStyle w:val="libFootnotenumChar"/>
          <w:rtl/>
        </w:rPr>
        <w:t>(14)</w:t>
      </w:r>
      <w:r>
        <w:rPr>
          <w:rtl/>
          <w:lang w:bidi="fa-IR"/>
        </w:rPr>
        <w:t xml:space="preserve"> </w:t>
      </w:r>
      <w:r w:rsidR="009B673F">
        <w:rPr>
          <w:rtl/>
          <w:lang w:bidi="fa-IR"/>
        </w:rPr>
        <w:t>-</w:t>
      </w:r>
      <w:r>
        <w:rPr>
          <w:rtl/>
          <w:lang w:bidi="fa-IR"/>
        </w:rPr>
        <w:t xml:space="preserve"> </w:t>
      </w:r>
      <w:r w:rsidRPr="00020424">
        <w:rPr>
          <w:rtl/>
          <w:lang w:bidi="fa-IR"/>
        </w:rPr>
        <w:t>عَزَّ وَ</w:t>
      </w:r>
      <w:r w:rsidR="00D54205">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أَيْضاً </w:t>
      </w:r>
      <w:r w:rsidRPr="00A91B96">
        <w:rPr>
          <w:rStyle w:val="libFootnotenumChar"/>
          <w:rtl/>
        </w:rPr>
        <w:t>(15)</w:t>
      </w:r>
      <w:r w:rsidRPr="00020424">
        <w:rPr>
          <w:rtl/>
          <w:lang w:bidi="fa-IR"/>
        </w:rPr>
        <w:t xml:space="preserve"> : </w:t>
      </w:r>
      <w:r w:rsidRPr="00005A81">
        <w:rPr>
          <w:rStyle w:val="libAlaemChar"/>
          <w:rtl/>
        </w:rPr>
        <w:t>(</w:t>
      </w:r>
      <w:r w:rsidRPr="00466587">
        <w:rPr>
          <w:rtl/>
        </w:rPr>
        <w:t xml:space="preserve"> ( </w:t>
      </w:r>
      <w:r w:rsidRPr="004E5AB4">
        <w:rPr>
          <w:rStyle w:val="libAieChar"/>
          <w:rtl/>
        </w:rPr>
        <w:t>يُنْفِقُونَ</w:t>
      </w:r>
      <w:r w:rsidRPr="00466587">
        <w:rPr>
          <w:rtl/>
        </w:rPr>
        <w:t xml:space="preserve"> ) </w:t>
      </w:r>
      <w:r w:rsidRPr="00A91B96">
        <w:rPr>
          <w:rStyle w:val="libFootnotenumChar"/>
          <w:rtl/>
        </w:rPr>
        <w:t>(16)</w:t>
      </w:r>
      <w:r w:rsidRPr="004E5AB4">
        <w:rPr>
          <w:rStyle w:val="libAieChar"/>
          <w:rtl/>
        </w:rPr>
        <w:t xml:space="preserve"> مِمّا رَزَقْناهُمْ سِرًّا</w:t>
      </w:r>
    </w:p>
    <w:p w:rsidR="00992664" w:rsidRPr="00020424" w:rsidRDefault="00992664" w:rsidP="00992664">
      <w:pPr>
        <w:pStyle w:val="libLine"/>
        <w:rPr>
          <w:rtl/>
          <w:lang w:bidi="fa-IR"/>
        </w:rPr>
      </w:pPr>
      <w:r w:rsidRPr="00020424">
        <w:rPr>
          <w:rtl/>
          <w:lang w:bidi="fa-IR"/>
        </w:rPr>
        <w:t>__________________</w:t>
      </w:r>
    </w:p>
    <w:p w:rsidR="00992664" w:rsidRPr="00020424" w:rsidRDefault="00D54205" w:rsidP="00992664">
      <w:pPr>
        <w:pStyle w:val="libFootnote0"/>
        <w:rPr>
          <w:rtl/>
          <w:lang w:bidi="fa-IR"/>
        </w:rPr>
      </w:pPr>
      <w:r>
        <w:rPr>
          <w:rFonts w:hint="cs"/>
          <w:rtl/>
        </w:rPr>
        <w:t xml:space="preserve">= </w:t>
      </w:r>
      <w:r w:rsidR="00992664" w:rsidRPr="00020424">
        <w:rPr>
          <w:rtl/>
        </w:rPr>
        <w:t xml:space="preserve">معلّقاً عن عبدالله بن سنان. </w:t>
      </w:r>
      <w:r w:rsidR="00992664" w:rsidRPr="008340FD">
        <w:rPr>
          <w:rtl/>
        </w:rPr>
        <w:t>الكافي</w:t>
      </w:r>
      <w:r w:rsidR="00992664" w:rsidRPr="00020424">
        <w:rPr>
          <w:rtl/>
        </w:rPr>
        <w:t xml:space="preserve"> ، كتاب الزكاة ، باب الرجل إذا وصلت إليه الزكاة فهي كسبيل ماله</w:t>
      </w:r>
      <w:r w:rsidR="00992664">
        <w:rPr>
          <w:rtl/>
        </w:rPr>
        <w:t xml:space="preserve"> ..</w:t>
      </w:r>
      <w:r w:rsidR="00992664" w:rsidRPr="00020424">
        <w:rPr>
          <w:rtl/>
        </w:rPr>
        <w:t xml:space="preserve">. ، ضمن ح 5951 ، بسند آخر ، من قوله : « أنّ الله عزّوجلّ فرض في أموال » إلى قوله : « لزادهم » مع اختلاف يسير </w:t>
      </w:r>
      <w:r>
        <w:rPr>
          <w:rFonts w:hint="cs"/>
          <w:rtl/>
        </w:rPr>
        <w:t>.</w:t>
      </w:r>
      <w:r w:rsidR="00992664" w:rsidRPr="0012008A">
        <w:rPr>
          <w:rStyle w:val="libFootnoteBoldChar"/>
          <w:rtl/>
        </w:rPr>
        <w:t>الوافي</w:t>
      </w:r>
      <w:r w:rsidR="00992664" w:rsidRPr="00020424">
        <w:rPr>
          <w:rtl/>
        </w:rPr>
        <w:t xml:space="preserve"> ، ج 10 ، ص 47 ، ح 9126 ؛ </w:t>
      </w:r>
      <w:r w:rsidR="00992664" w:rsidRPr="0012008A">
        <w:rPr>
          <w:rStyle w:val="libFootnoteBoldChar"/>
          <w:rtl/>
        </w:rPr>
        <w:t>الوسائل</w:t>
      </w:r>
      <w:r w:rsidR="00992664" w:rsidRPr="00020424">
        <w:rPr>
          <w:rtl/>
        </w:rPr>
        <w:t xml:space="preserve"> ، ج 9 ، ص 10 ، ذيل ح 11389.</w:t>
      </w:r>
    </w:p>
    <w:p w:rsidR="00992664" w:rsidRPr="00020424" w:rsidRDefault="00795177" w:rsidP="00D54205">
      <w:pPr>
        <w:pStyle w:val="libFootnote0"/>
        <w:rPr>
          <w:rtl/>
          <w:lang w:bidi="fa-IR"/>
        </w:rPr>
      </w:pPr>
      <w:r>
        <w:rPr>
          <w:rtl/>
        </w:rPr>
        <w:t>(1).</w:t>
      </w:r>
      <w:r w:rsidR="0014403D">
        <w:rPr>
          <w:rtl/>
        </w:rPr>
        <w:t xml:space="preserve"> </w:t>
      </w:r>
      <w:r w:rsidR="00992664" w:rsidRPr="00020424">
        <w:rPr>
          <w:rtl/>
        </w:rPr>
        <w:t xml:space="preserve">في « ظ ، ى ، بث ، بخ ، بر ، بس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352B65">
        <w:rPr>
          <w:rStyle w:val="libFootnoteAlaemChar"/>
          <w:rtl/>
        </w:rPr>
        <w:t>(</w:t>
      </w:r>
      <w:r w:rsidR="00992664" w:rsidRPr="006B2AC6">
        <w:rPr>
          <w:rStyle w:val="libFootnoteAieChar"/>
          <w:rtl/>
        </w:rPr>
        <w:t xml:space="preserve"> وَالَّذِينَ </w:t>
      </w:r>
      <w:r w:rsidR="00992664" w:rsidRPr="00352B65">
        <w:rPr>
          <w:rStyle w:val="libFootnoteAlaemChar"/>
          <w:rtl/>
        </w:rPr>
        <w:t>)</w:t>
      </w:r>
      <w:r w:rsidR="00992664">
        <w:rPr>
          <w:rtl/>
        </w:rPr>
        <w:t>.</w:t>
      </w:r>
    </w:p>
    <w:p w:rsidR="00992664" w:rsidRPr="00020424" w:rsidRDefault="00795177" w:rsidP="00D54205">
      <w:pPr>
        <w:pStyle w:val="libFootnote0"/>
        <w:rPr>
          <w:rtl/>
          <w:lang w:bidi="fa-IR"/>
        </w:rPr>
      </w:pPr>
      <w:r>
        <w:rPr>
          <w:rtl/>
        </w:rPr>
        <w:t>(2).</w:t>
      </w:r>
      <w:r w:rsidR="0014403D">
        <w:rPr>
          <w:rtl/>
        </w:rPr>
        <w:t xml:space="preserve"> </w:t>
      </w:r>
      <w:r w:rsidR="00992664" w:rsidRPr="00020424">
        <w:rPr>
          <w:rtl/>
        </w:rPr>
        <w:t xml:space="preserve">المعارج (70) : 24. وفي « ظ » </w:t>
      </w:r>
      <w:r w:rsidR="00992664" w:rsidRPr="00EB1FD9">
        <w:rPr>
          <w:rStyle w:val="libFootnoteBoldChar"/>
          <w:rtl/>
        </w:rPr>
        <w:t>والوسائل</w:t>
      </w:r>
      <w:r w:rsidR="00992664" w:rsidRPr="00020424">
        <w:rPr>
          <w:rtl/>
        </w:rPr>
        <w:t xml:space="preserve"> ، ح 11487 : + </w:t>
      </w:r>
      <w:r w:rsidR="00992664" w:rsidRPr="00352B65">
        <w:rPr>
          <w:rStyle w:val="libFootnoteAlaemChar"/>
          <w:rtl/>
        </w:rPr>
        <w:t>(</w:t>
      </w:r>
      <w:r w:rsidR="00992664" w:rsidRPr="006B2AC6">
        <w:rPr>
          <w:rStyle w:val="libFootnoteAieChar"/>
          <w:rtl/>
        </w:rPr>
        <w:t xml:space="preserve"> لِلسَّالِلِ </w:t>
      </w:r>
      <w:r w:rsidR="00992664" w:rsidRPr="00352B65">
        <w:rPr>
          <w:rStyle w:val="libFootnoteAlaemChar"/>
          <w:rtl/>
        </w:rPr>
        <w:t>)</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والحقّ</w:t>
      </w:r>
      <w:r w:rsidR="00992664">
        <w:rPr>
          <w:rtl/>
        </w:rPr>
        <w:t xml:space="preserve"> ».</w:t>
      </w:r>
    </w:p>
    <w:p w:rsidR="00992664" w:rsidRPr="00020424" w:rsidRDefault="00795177" w:rsidP="00D54205">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11487. وفي المطبوع : + « من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54205" w:rsidTr="00D54205">
        <w:tc>
          <w:tcPr>
            <w:tcW w:w="4006" w:type="dxa"/>
          </w:tcPr>
          <w:p w:rsidR="00D54205" w:rsidRDefault="00D54205" w:rsidP="00992664">
            <w:pPr>
              <w:pStyle w:val="libFootnote0"/>
              <w:rPr>
                <w:rtl/>
                <w:lang w:bidi="fa-IR"/>
              </w:rPr>
            </w:pPr>
            <w:r>
              <w:rPr>
                <w:rtl/>
              </w:rPr>
              <w:t xml:space="preserve">(5). </w:t>
            </w:r>
            <w:r w:rsidRPr="00020424">
              <w:rPr>
                <w:rtl/>
              </w:rPr>
              <w:t>في « بخ ، بر ، جن » : « وهي</w:t>
            </w:r>
            <w:r>
              <w:rPr>
                <w:rtl/>
              </w:rPr>
              <w:t xml:space="preserve"> ».</w:t>
            </w:r>
          </w:p>
        </w:tc>
        <w:tc>
          <w:tcPr>
            <w:tcW w:w="4006" w:type="dxa"/>
          </w:tcPr>
          <w:p w:rsidR="00D54205" w:rsidRDefault="00D54205" w:rsidP="00992664">
            <w:pPr>
              <w:pStyle w:val="libFootnote0"/>
              <w:rPr>
                <w:rtl/>
                <w:lang w:bidi="fa-IR"/>
              </w:rPr>
            </w:pPr>
            <w:r>
              <w:rPr>
                <w:rtl/>
              </w:rPr>
              <w:t xml:space="preserve">(6). </w:t>
            </w:r>
            <w:r w:rsidRPr="00020424">
              <w:rPr>
                <w:rtl/>
              </w:rPr>
              <w:t>في « بث » : « مال</w:t>
            </w:r>
            <w:r>
              <w:rPr>
                <w:rtl/>
              </w:rPr>
              <w:t xml:space="preserve"> ».</w:t>
            </w:r>
          </w:p>
        </w:tc>
      </w:tr>
      <w:tr w:rsidR="00D54205" w:rsidTr="00D54205">
        <w:tc>
          <w:tcPr>
            <w:tcW w:w="4006" w:type="dxa"/>
          </w:tcPr>
          <w:p w:rsidR="00D54205" w:rsidRDefault="00D54205" w:rsidP="00992664">
            <w:pPr>
              <w:pStyle w:val="libFootnote0"/>
              <w:rPr>
                <w:rtl/>
                <w:lang w:bidi="fa-IR"/>
              </w:rPr>
            </w:pPr>
            <w:r>
              <w:rPr>
                <w:rtl/>
              </w:rPr>
              <w:t xml:space="preserve">(7). </w:t>
            </w:r>
            <w:r w:rsidRPr="00020424">
              <w:rPr>
                <w:rtl/>
              </w:rPr>
              <w:t>في « بخ ، بر » : « أن يقرضه</w:t>
            </w:r>
            <w:r>
              <w:rPr>
                <w:rtl/>
              </w:rPr>
              <w:t xml:space="preserve"> ».</w:t>
            </w:r>
          </w:p>
        </w:tc>
        <w:tc>
          <w:tcPr>
            <w:tcW w:w="4006" w:type="dxa"/>
          </w:tcPr>
          <w:p w:rsidR="00D54205" w:rsidRDefault="00D54205" w:rsidP="00D61A27">
            <w:pPr>
              <w:pStyle w:val="libFootnote0"/>
              <w:rPr>
                <w:rtl/>
                <w:lang w:bidi="fa-IR"/>
              </w:rPr>
            </w:pPr>
            <w:r>
              <w:rPr>
                <w:rtl/>
              </w:rPr>
              <w:t xml:space="preserve">(8). </w:t>
            </w:r>
            <w:r w:rsidRPr="00020424">
              <w:rPr>
                <w:rtl/>
              </w:rPr>
              <w:t>في « بخ » : + « الرجل</w:t>
            </w:r>
            <w:r>
              <w:rPr>
                <w:rtl/>
              </w:rPr>
              <w:t xml:space="preserve"> ».</w:t>
            </w:r>
          </w:p>
        </w:tc>
      </w:tr>
      <w:tr w:rsidR="00D54205" w:rsidTr="00D54205">
        <w:tc>
          <w:tcPr>
            <w:tcW w:w="4006" w:type="dxa"/>
          </w:tcPr>
          <w:p w:rsidR="00D54205" w:rsidRDefault="00D54205" w:rsidP="00D61A27">
            <w:pPr>
              <w:pStyle w:val="libFootnote0"/>
              <w:rPr>
                <w:rtl/>
                <w:lang w:bidi="fa-IR"/>
              </w:rPr>
            </w:pPr>
            <w:r>
              <w:rPr>
                <w:rtl/>
              </w:rPr>
              <w:t xml:space="preserve">(9).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في</w:t>
            </w:r>
            <w:r>
              <w:rPr>
                <w:rtl/>
              </w:rPr>
              <w:t xml:space="preserve"> ».</w:t>
            </w:r>
          </w:p>
        </w:tc>
        <w:tc>
          <w:tcPr>
            <w:tcW w:w="4006" w:type="dxa"/>
          </w:tcPr>
          <w:p w:rsidR="00D54205" w:rsidRDefault="00D54205" w:rsidP="00D61A27">
            <w:pPr>
              <w:pStyle w:val="libFootnote0"/>
              <w:rPr>
                <w:rtl/>
                <w:lang w:bidi="fa-IR"/>
              </w:rPr>
            </w:pPr>
            <w:r>
              <w:rPr>
                <w:rtl/>
              </w:rPr>
              <w:t xml:space="preserve">(10).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في</w:t>
            </w:r>
            <w:r>
              <w:rPr>
                <w:rtl/>
              </w:rPr>
              <w:t xml:space="preserve"> ».</w:t>
            </w:r>
          </w:p>
        </w:tc>
      </w:tr>
      <w:tr w:rsidR="00D54205" w:rsidTr="00D54205">
        <w:tc>
          <w:tcPr>
            <w:tcW w:w="4006" w:type="dxa"/>
          </w:tcPr>
          <w:p w:rsidR="00D54205" w:rsidRDefault="00D54205" w:rsidP="00D61A27">
            <w:pPr>
              <w:pStyle w:val="libFootnote0"/>
              <w:rPr>
                <w:rtl/>
                <w:lang w:bidi="fa-IR"/>
              </w:rPr>
            </w:pPr>
            <w:r>
              <w:rPr>
                <w:rtl/>
              </w:rPr>
              <w:t xml:space="preserve">(11). </w:t>
            </w:r>
            <w:r w:rsidRPr="00020424">
              <w:rPr>
                <w:rtl/>
              </w:rPr>
              <w:t>في « بر » :</w:t>
            </w:r>
            <w:r>
              <w:rPr>
                <w:rtl/>
              </w:rPr>
              <w:t xml:space="preserve"> - </w:t>
            </w:r>
            <w:r w:rsidRPr="00020424">
              <w:rPr>
                <w:rtl/>
              </w:rPr>
              <w:t>« في</w:t>
            </w:r>
            <w:r>
              <w:rPr>
                <w:rtl/>
              </w:rPr>
              <w:t xml:space="preserve"> ».</w:t>
            </w:r>
          </w:p>
        </w:tc>
        <w:tc>
          <w:tcPr>
            <w:tcW w:w="4006" w:type="dxa"/>
          </w:tcPr>
          <w:p w:rsidR="00D54205" w:rsidRDefault="00D54205" w:rsidP="00992664">
            <w:pPr>
              <w:pStyle w:val="libFootnote0"/>
              <w:rPr>
                <w:rtl/>
                <w:lang w:bidi="fa-IR"/>
              </w:rPr>
            </w:pPr>
            <w:r>
              <w:rPr>
                <w:rtl/>
              </w:rPr>
              <w:t xml:space="preserve">(12). </w:t>
            </w:r>
            <w:r w:rsidRPr="00020424">
              <w:rPr>
                <w:rtl/>
              </w:rPr>
              <w:t>المزّمّل (73) : 20.</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بر ، بف » </w:t>
      </w:r>
      <w:r w:rsidR="00992664" w:rsidRPr="00515444">
        <w:rPr>
          <w:rStyle w:val="libFootnoteBoldChar"/>
          <w:rtl/>
        </w:rPr>
        <w:t>والوافي</w:t>
      </w:r>
      <w:r w:rsidR="00992664" w:rsidRPr="00020424">
        <w:rPr>
          <w:rtl/>
        </w:rPr>
        <w:t xml:space="preserve"> : « فهذا</w:t>
      </w:r>
      <w:r w:rsidR="00992664">
        <w:rPr>
          <w:rtl/>
        </w:rPr>
        <w:t xml:space="preserve"> ».</w:t>
      </w:r>
      <w:r w:rsidR="00992664" w:rsidRPr="00020424">
        <w:rPr>
          <w:rtl/>
        </w:rPr>
        <w:t xml:space="preserve"> وفي « جن » : « وهذه</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862C90">
      <w:pPr>
        <w:pStyle w:val="libFootnote0"/>
        <w:rPr>
          <w:rtl/>
          <w:lang w:bidi="fa-IR"/>
        </w:rPr>
      </w:pPr>
      <w:r>
        <w:rPr>
          <w:rtl/>
        </w:rPr>
        <w:t>(15).</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أيضاً جلّ وعزّ</w:t>
      </w:r>
      <w:r w:rsidR="00992664">
        <w:rPr>
          <w:rtl/>
        </w:rPr>
        <w:t xml:space="preserve"> ».</w:t>
      </w:r>
      <w:r w:rsidR="00992664" w:rsidRPr="00020424">
        <w:rPr>
          <w:rtl/>
        </w:rPr>
        <w:t xml:space="preserve"> وفي حاشية « بف » :</w:t>
      </w:r>
      <w:r w:rsidR="00992664">
        <w:rPr>
          <w:rtl/>
        </w:rPr>
        <w:t xml:space="preserve"> </w:t>
      </w:r>
      <w:r w:rsidR="009B673F">
        <w:rPr>
          <w:rtl/>
        </w:rPr>
        <w:t>-</w:t>
      </w:r>
      <w:r w:rsidR="00992664">
        <w:rPr>
          <w:rtl/>
        </w:rPr>
        <w:t xml:space="preserve"> </w:t>
      </w:r>
      <w:r w:rsidR="00992664" w:rsidRPr="00020424">
        <w:rPr>
          <w:rtl/>
        </w:rPr>
        <w:t>« أيضاً</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كذا في جميع النسخ التي قوبلت والمطبوع. وفي القرآن : </w:t>
      </w:r>
      <w:r w:rsidR="00992664" w:rsidRPr="00352B65">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يُنْفِقُوا </w:t>
      </w:r>
      <w:r w:rsidR="00992664" w:rsidRPr="00352B65">
        <w:rPr>
          <w:rStyle w:val="libFootnoteAlaemChar"/>
          <w:rtl/>
        </w:rPr>
        <w:t>)</w:t>
      </w:r>
      <w:r w:rsidR="00992664" w:rsidRPr="00020424">
        <w:rPr>
          <w:rtl/>
        </w:rPr>
        <w:t xml:space="preserve">. وفي الموضعين الآخرين : </w:t>
      </w:r>
      <w:r w:rsidR="00992664" w:rsidRPr="00352B65">
        <w:rPr>
          <w:rStyle w:val="libFootnoteAlaemChar"/>
          <w:rtl/>
        </w:rPr>
        <w:t>(</w:t>
      </w:r>
      <w:r w:rsidR="00992664" w:rsidRPr="006B2AC6">
        <w:rPr>
          <w:rStyle w:val="libFootnoteAieChar"/>
          <w:rFonts w:hint="cs"/>
          <w:rtl/>
        </w:rPr>
        <w:t xml:space="preserve"> </w:t>
      </w:r>
      <w:r w:rsidR="00992664" w:rsidRPr="006B2AC6">
        <w:rPr>
          <w:rStyle w:val="libFootnoteAieChar"/>
          <w:rtl/>
        </w:rPr>
        <w:t>أَنْفَقُوا</w:t>
      </w:r>
      <w:r w:rsidR="00992664" w:rsidRPr="006B2AC6">
        <w:rPr>
          <w:rStyle w:val="libFootnoteAieChar"/>
          <w:rFonts w:hint="cs"/>
          <w:rtl/>
        </w:rPr>
        <w:t xml:space="preserve"> </w:t>
      </w:r>
      <w:r w:rsidR="00992664" w:rsidRPr="00352B65">
        <w:rPr>
          <w:rStyle w:val="libFootnoteAlaemChar"/>
          <w:rtl/>
        </w:rPr>
        <w:t>)</w:t>
      </w:r>
      <w:r w:rsidR="00992664" w:rsidRPr="00020424">
        <w:rPr>
          <w:rtl/>
        </w:rPr>
        <w:t>.</w:t>
      </w:r>
    </w:p>
    <w:p w:rsidR="00795177" w:rsidRDefault="00795177" w:rsidP="00795177">
      <w:pPr>
        <w:pStyle w:val="libNormal"/>
        <w:rPr>
          <w:rtl/>
          <w:lang w:bidi="fa-IR"/>
        </w:rPr>
      </w:pPr>
      <w:r>
        <w:rPr>
          <w:rtl/>
          <w:lang w:bidi="fa-IR"/>
        </w:rPr>
        <w:br w:type="page"/>
      </w:r>
    </w:p>
    <w:p w:rsidR="00992664" w:rsidRPr="00020424" w:rsidRDefault="00992664" w:rsidP="00C233D2">
      <w:pPr>
        <w:pStyle w:val="libNormal0"/>
        <w:rPr>
          <w:rtl/>
          <w:lang w:bidi="fa-IR"/>
        </w:rPr>
      </w:pPr>
      <w:r w:rsidRPr="004E5AB4">
        <w:rPr>
          <w:rStyle w:val="libAieChar"/>
          <w:rtl/>
        </w:rPr>
        <w:lastRenderedPageBreak/>
        <w:t>وَعَل</w:t>
      </w:r>
      <w:r w:rsidR="00C233D2">
        <w:rPr>
          <w:rStyle w:val="libAieChar"/>
          <w:rFonts w:hint="cs"/>
          <w:rtl/>
        </w:rPr>
        <w:t>َ</w:t>
      </w:r>
      <w:r w:rsidRPr="004E5AB4">
        <w:rPr>
          <w:rStyle w:val="libAieChar"/>
          <w:rtl/>
        </w:rPr>
        <w:t>انِيَةً</w:t>
      </w:r>
      <w:r w:rsidRPr="00A2113A">
        <w:rPr>
          <w:rtl/>
        </w:rPr>
        <w:t xml:space="preserve">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وَ</w:t>
      </w:r>
      <w:r>
        <w:rPr>
          <w:rFonts w:hint="cs"/>
          <w:rtl/>
          <w:lang w:bidi="fa-IR"/>
        </w:rPr>
        <w:t xml:space="preserve"> </w:t>
      </w:r>
      <w:r w:rsidRPr="00005A81">
        <w:rPr>
          <w:rStyle w:val="libAlaemChar"/>
          <w:rtl/>
        </w:rPr>
        <w:t>(</w:t>
      </w:r>
      <w:r w:rsidRPr="003C6BC8">
        <w:rPr>
          <w:rtl/>
        </w:rPr>
        <w:t xml:space="preserve"> </w:t>
      </w:r>
      <w:r w:rsidRPr="004E5AB4">
        <w:rPr>
          <w:rStyle w:val="libAieChar"/>
          <w:rtl/>
        </w:rPr>
        <w:t>الْم</w:t>
      </w:r>
      <w:r w:rsidR="00C233D2">
        <w:rPr>
          <w:rStyle w:val="libAieChar"/>
          <w:rFonts w:hint="cs"/>
          <w:rtl/>
        </w:rPr>
        <w:t>َ</w:t>
      </w:r>
      <w:r w:rsidRPr="004E5AB4">
        <w:rPr>
          <w:rStyle w:val="libAieChar"/>
          <w:rtl/>
        </w:rPr>
        <w:t>اعُونَ</w:t>
      </w:r>
      <w:r w:rsidRPr="003C6BC8">
        <w:rPr>
          <w:rtl/>
        </w:rPr>
        <w:t xml:space="preserve">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أَيْضاً ، وَهُوَ </w:t>
      </w:r>
      <w:r w:rsidRPr="00A91B96">
        <w:rPr>
          <w:rStyle w:val="libFootnotenumChar"/>
          <w:rtl/>
        </w:rPr>
        <w:t>(3)</w:t>
      </w:r>
      <w:r w:rsidRPr="00020424">
        <w:rPr>
          <w:rtl/>
          <w:lang w:bidi="fa-IR"/>
        </w:rPr>
        <w:t xml:space="preserve"> : الْقَرْضُ يُقْرِضُهُ ، وَالْمَتَاعُ يُعِيرُهُ ، وَالْمَعْرُوفُ يَصْنَعُهُ.</w:t>
      </w:r>
    </w:p>
    <w:p w:rsidR="00992664" w:rsidRPr="00020424" w:rsidRDefault="00992664" w:rsidP="00992664">
      <w:pPr>
        <w:pStyle w:val="libNormal"/>
        <w:rPr>
          <w:rtl/>
          <w:lang w:bidi="fa-IR"/>
        </w:rPr>
      </w:pPr>
      <w:r w:rsidRPr="00020424">
        <w:rPr>
          <w:rtl/>
          <w:lang w:bidi="fa-IR"/>
        </w:rPr>
        <w:t>وَمِمَّا فَرَضَ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أَيْضاً فِي الْمَالِ مِنْ غَيْرِ </w:t>
      </w:r>
      <w:r w:rsidRPr="00A91B96">
        <w:rPr>
          <w:rStyle w:val="libFootnotenumChar"/>
          <w:rtl/>
        </w:rPr>
        <w:t>(4)</w:t>
      </w:r>
      <w:r w:rsidRPr="00020424">
        <w:rPr>
          <w:rtl/>
          <w:lang w:bidi="fa-IR"/>
        </w:rPr>
        <w:t xml:space="preserve"> الزَّكَاةِ قَوْلُهُ عَزَّ وَ</w:t>
      </w:r>
      <w:r w:rsidR="00192A25">
        <w:rPr>
          <w:rFonts w:hint="cs"/>
          <w:rtl/>
          <w:lang w:bidi="fa-IR"/>
        </w:rPr>
        <w:t xml:space="preserve"> </w:t>
      </w:r>
      <w:r w:rsidRPr="00020424">
        <w:rPr>
          <w:rtl/>
          <w:lang w:bidi="fa-IR"/>
        </w:rPr>
        <w:t>جَلَّ :</w:t>
      </w:r>
    </w:p>
    <w:p w:rsidR="00992664" w:rsidRPr="00020424" w:rsidRDefault="00992664" w:rsidP="00613CA9">
      <w:pPr>
        <w:pStyle w:val="libNormal"/>
        <w:rPr>
          <w:rtl/>
          <w:lang w:bidi="fa-IR"/>
        </w:rPr>
      </w:pPr>
      <w:r w:rsidRPr="00005A81">
        <w:rPr>
          <w:rStyle w:val="libAlaemChar"/>
          <w:rtl/>
        </w:rPr>
        <w:t>(</w:t>
      </w:r>
      <w:r w:rsidRPr="004E5AB4">
        <w:rPr>
          <w:rStyle w:val="libAieChar"/>
          <w:rtl/>
        </w:rPr>
        <w:t xml:space="preserve"> الَّذِينَ </w:t>
      </w:r>
      <w:r w:rsidRPr="00A91B96">
        <w:rPr>
          <w:rStyle w:val="libFootnotenumChar"/>
          <w:rtl/>
        </w:rPr>
        <w:t>(5)</w:t>
      </w:r>
      <w:r w:rsidRPr="004E5AB4">
        <w:rPr>
          <w:rStyle w:val="libAieChar"/>
          <w:rtl/>
        </w:rPr>
        <w:t xml:space="preserve"> يَصِلُونَ ما أَمَرَ اللهُ بِهِ أَنْ يُوصَلَ </w:t>
      </w:r>
      <w:r w:rsidRPr="00005A81">
        <w:rPr>
          <w:rStyle w:val="libAlaemChar"/>
          <w:rtl/>
        </w:rPr>
        <w:t>)</w:t>
      </w:r>
      <w:r w:rsidRPr="00020424">
        <w:rPr>
          <w:rtl/>
          <w:lang w:bidi="fa-IR"/>
        </w:rPr>
        <w:t xml:space="preserve"> </w:t>
      </w:r>
      <w:r w:rsidRPr="00A91B96">
        <w:rPr>
          <w:rStyle w:val="libFootnotenumChar"/>
          <w:rtl/>
        </w:rPr>
        <w:t>(6)</w:t>
      </w:r>
      <w:r w:rsidRPr="00020424">
        <w:rPr>
          <w:rtl/>
          <w:lang w:bidi="fa-IR"/>
        </w:rPr>
        <w:t xml:space="preserve"> وَمَنْ أَدّى مَا فَرَضَ اللهُ عَلَيْهِ ، فَقَدْ قَضى مَا عَلَيْهِ ، وَأَدّى شُكْرَ مَا أَنْعَمَ اللهُ عَلَيْهِ فِي مَالِهِ إِذَا </w:t>
      </w:r>
      <w:r w:rsidRPr="00A91B96">
        <w:rPr>
          <w:rStyle w:val="libFootnotenumChar"/>
          <w:rtl/>
        </w:rPr>
        <w:t>(7)</w:t>
      </w:r>
      <w:r w:rsidRPr="00020424">
        <w:rPr>
          <w:rtl/>
          <w:lang w:bidi="fa-IR"/>
        </w:rPr>
        <w:t xml:space="preserve"> هُوَ </w:t>
      </w:r>
      <w:r w:rsidRPr="00A91B96">
        <w:rPr>
          <w:rStyle w:val="libFootnotenumChar"/>
          <w:rtl/>
        </w:rPr>
        <w:t>(8)</w:t>
      </w:r>
      <w:r w:rsidRPr="00020424">
        <w:rPr>
          <w:rtl/>
          <w:lang w:bidi="fa-IR"/>
        </w:rPr>
        <w:t xml:space="preserve"> حَمِدَهُ عَلى مَا </w:t>
      </w:r>
      <w:r w:rsidRPr="00A91B96">
        <w:rPr>
          <w:rStyle w:val="libFootnotenumChar"/>
          <w:rtl/>
        </w:rPr>
        <w:t>(9)</w:t>
      </w:r>
      <w:r w:rsidRPr="00020424">
        <w:rPr>
          <w:rtl/>
          <w:lang w:bidi="fa-IR"/>
        </w:rPr>
        <w:t xml:space="preserve"> أَنْعَمَ اللهُ </w:t>
      </w:r>
      <w:r w:rsidRPr="00A91B96">
        <w:rPr>
          <w:rStyle w:val="libFootnotenumChar"/>
          <w:rtl/>
        </w:rPr>
        <w:t>(10)</w:t>
      </w:r>
      <w:r w:rsidRPr="00020424">
        <w:rPr>
          <w:rtl/>
          <w:lang w:bidi="fa-IR"/>
        </w:rPr>
        <w:t xml:space="preserve"> عَلَيْهِ فِيهِ مِمَّا فَضَّلَهُ بِهِ مِنَ السَّعَةِ عَلى غَيْرِهِ ، وَلِمَا وَفَّقَهُ لِأَدَاءِ مَا فَرَضَ اللهُ</w:t>
      </w:r>
      <w:r>
        <w:rPr>
          <w:rtl/>
          <w:lang w:bidi="fa-IR"/>
        </w:rPr>
        <w:t xml:space="preserve"> </w:t>
      </w:r>
      <w:r w:rsidR="009B673F">
        <w:rPr>
          <w:rtl/>
          <w:lang w:bidi="fa-IR"/>
        </w:rPr>
        <w:t>-</w:t>
      </w:r>
      <w:r>
        <w:rPr>
          <w:rtl/>
          <w:lang w:bidi="fa-IR"/>
        </w:rPr>
        <w:t xml:space="preserve"> </w:t>
      </w:r>
      <w:r w:rsidRPr="00020424">
        <w:rPr>
          <w:rtl/>
          <w:lang w:bidi="fa-IR"/>
        </w:rPr>
        <w:t>عَزَّ وَ</w:t>
      </w:r>
      <w:r w:rsidR="00613CA9">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عَلَيْهِ وَأَعَانَهُ عَلَيْهِ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091BE1">
        <w:rPr>
          <w:rtl/>
        </w:rPr>
        <w:t>5728</w:t>
      </w:r>
      <w:r w:rsidRPr="001155DE">
        <w:rPr>
          <w:rStyle w:val="libBold2Char"/>
          <w:rtl/>
        </w:rPr>
        <w:t xml:space="preserve"> / 9.</w:t>
      </w:r>
      <w:r w:rsidRPr="00020424">
        <w:rPr>
          <w:rtl/>
          <w:lang w:bidi="fa-IR"/>
        </w:rPr>
        <w:t xml:space="preserve"> عَلِيُّ بْنُ إِبْرَاهِيمَ ، عَنْ أَبِيهِ ، عَنِ الْحُسَيْنِ بْنِ سَعِيدٍ ، عَنْ فَضَالَةَ بْنِ أَيُّوبَ ، عَنْ أَبِي الْمَغْرَاءِ ، عَنْ أَبِي بَصِيرٍ ، قَالَ :</w:t>
      </w:r>
    </w:p>
    <w:p w:rsidR="00992664" w:rsidRPr="00020424" w:rsidRDefault="00992664" w:rsidP="00992664">
      <w:pPr>
        <w:pStyle w:val="libNormal"/>
        <w:rPr>
          <w:rtl/>
          <w:lang w:bidi="fa-IR"/>
        </w:rPr>
      </w:pPr>
      <w:r w:rsidRPr="00020424">
        <w:rPr>
          <w:rtl/>
          <w:lang w:bidi="fa-IR"/>
        </w:rPr>
        <w:t xml:space="preserve">كُنَّا عِنْدَ أَبِي عَبْدِ اللهِ </w:t>
      </w:r>
      <w:r w:rsidRPr="00005A81">
        <w:rPr>
          <w:rStyle w:val="libAlaemChar"/>
          <w:rtl/>
        </w:rPr>
        <w:t>عليه‌السلام</w:t>
      </w:r>
      <w:r w:rsidRPr="00020424">
        <w:rPr>
          <w:rtl/>
          <w:lang w:bidi="fa-IR"/>
        </w:rPr>
        <w:t xml:space="preserve"> وَمَعَنَا بَعْضُ أَصْحَابِ الْأَمْوَالِ ، فَذَكَرُوا الزَّكَاةَ ، فَقَالَ أَبُو عَبْدِ اللهِ </w:t>
      </w:r>
      <w:r w:rsidRPr="00005A81">
        <w:rPr>
          <w:rStyle w:val="libAlaemChar"/>
          <w:rtl/>
        </w:rPr>
        <w:t>عليه‌السلام</w:t>
      </w:r>
      <w:r w:rsidRPr="00020424">
        <w:rPr>
          <w:rtl/>
          <w:lang w:bidi="fa-IR"/>
        </w:rPr>
        <w:t xml:space="preserve"> : « إِنَّ الزَّكَاةَ لَيْسَ يُحْمَدُ بِهَا صَاحِبُهَا ، وَإِنَّمَا </w:t>
      </w:r>
      <w:r w:rsidRPr="00A91B96">
        <w:rPr>
          <w:rStyle w:val="libFootnotenumChar"/>
          <w:rtl/>
        </w:rPr>
        <w:t>(13)</w:t>
      </w:r>
      <w:r w:rsidRPr="00020424">
        <w:rPr>
          <w:rtl/>
          <w:lang w:bidi="fa-IR"/>
        </w:rPr>
        <w:t xml:space="preserve"> هُوَ </w:t>
      </w:r>
      <w:r w:rsidRPr="00A91B96">
        <w:rPr>
          <w:rStyle w:val="libFootnotenumChar"/>
          <w:rtl/>
        </w:rPr>
        <w:t>(14)</w:t>
      </w:r>
      <w:r w:rsidRPr="00020424">
        <w:rPr>
          <w:rtl/>
          <w:lang w:bidi="fa-IR"/>
        </w:rPr>
        <w:t xml:space="preserve"> شَيْ‌ءٌ ظَاهِرٌ ، إِنَّمَا‌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الرعد </w:t>
      </w:r>
      <w:r>
        <w:rPr>
          <w:rtl/>
        </w:rPr>
        <w:t>(13).</w:t>
      </w:r>
      <w:r w:rsidR="0014403D">
        <w:rPr>
          <w:rtl/>
        </w:rPr>
        <w:t xml:space="preserve"> </w:t>
      </w:r>
      <w:r w:rsidR="00992664" w:rsidRPr="00020424">
        <w:rPr>
          <w:rtl/>
        </w:rPr>
        <w:t xml:space="preserve">: 22 ؛ إبراهيم </w:t>
      </w:r>
      <w:r>
        <w:rPr>
          <w:rtl/>
        </w:rPr>
        <w:t>(14).</w:t>
      </w:r>
      <w:r w:rsidR="0014403D">
        <w:rPr>
          <w:rtl/>
        </w:rPr>
        <w:t xml:space="preserve"> </w:t>
      </w:r>
      <w:r w:rsidR="00992664" w:rsidRPr="00020424">
        <w:rPr>
          <w:rtl/>
        </w:rPr>
        <w:t>: 31 ؛ فاطر (35) : 29.</w:t>
      </w:r>
    </w:p>
    <w:tbl>
      <w:tblPr>
        <w:tblStyle w:val="TableGrid"/>
        <w:bidiVisual/>
        <w:tblW w:w="0" w:type="auto"/>
        <w:tblLook w:val="04A0" w:firstRow="1" w:lastRow="0" w:firstColumn="1" w:lastColumn="0" w:noHBand="0" w:noVBand="1"/>
      </w:tblPr>
      <w:tblGrid>
        <w:gridCol w:w="4006"/>
        <w:gridCol w:w="4006"/>
      </w:tblGrid>
      <w:tr w:rsidR="00CA4D84" w:rsidTr="00CA4D84">
        <w:tc>
          <w:tcPr>
            <w:tcW w:w="4006" w:type="dxa"/>
          </w:tcPr>
          <w:p w:rsidR="00CA4D84" w:rsidRDefault="00CA4D84" w:rsidP="00992664">
            <w:pPr>
              <w:pStyle w:val="libFootnote0"/>
              <w:rPr>
                <w:rtl/>
              </w:rPr>
            </w:pPr>
            <w:r>
              <w:rPr>
                <w:rtl/>
              </w:rPr>
              <w:t xml:space="preserve">(2). </w:t>
            </w:r>
            <w:r w:rsidRPr="00020424">
              <w:rPr>
                <w:rtl/>
              </w:rPr>
              <w:t>الماعون (107) : 7.</w:t>
            </w:r>
          </w:p>
        </w:tc>
        <w:tc>
          <w:tcPr>
            <w:tcW w:w="4006" w:type="dxa"/>
          </w:tcPr>
          <w:p w:rsidR="00CA4D84" w:rsidRDefault="00CA4D84" w:rsidP="00992664">
            <w:pPr>
              <w:pStyle w:val="libFootnote0"/>
              <w:rPr>
                <w:rtl/>
              </w:rPr>
            </w:pPr>
            <w:r>
              <w:rPr>
                <w:rtl/>
              </w:rPr>
              <w:t xml:space="preserve">(3). </w:t>
            </w:r>
            <w:r w:rsidRPr="00020424">
              <w:rPr>
                <w:rtl/>
              </w:rPr>
              <w:t>في « ظ » : « هو » بدون الواو.</w:t>
            </w:r>
          </w:p>
        </w:tc>
      </w:tr>
      <w:tr w:rsidR="00CA4D84" w:rsidTr="00CA4D84">
        <w:tc>
          <w:tcPr>
            <w:tcW w:w="4006" w:type="dxa"/>
          </w:tcPr>
          <w:p w:rsidR="00CA4D84" w:rsidRDefault="00CA4D84" w:rsidP="00CA4D84">
            <w:pPr>
              <w:pStyle w:val="libFootnote0"/>
              <w:rPr>
                <w:rtl/>
              </w:rPr>
            </w:pPr>
            <w:r>
              <w:rPr>
                <w:rtl/>
              </w:rPr>
              <w:t xml:space="preserve">(4). </w:t>
            </w:r>
            <w:r w:rsidRPr="00020424">
              <w:rPr>
                <w:rtl/>
              </w:rPr>
              <w:t>في « جن » :</w:t>
            </w:r>
            <w:r>
              <w:rPr>
                <w:rtl/>
              </w:rPr>
              <w:t xml:space="preserve"> - </w:t>
            </w:r>
            <w:r w:rsidRPr="00020424">
              <w:rPr>
                <w:rtl/>
              </w:rPr>
              <w:t>« من غير</w:t>
            </w:r>
            <w:r>
              <w:rPr>
                <w:rtl/>
              </w:rPr>
              <w:t xml:space="preserve"> ».</w:t>
            </w:r>
          </w:p>
        </w:tc>
        <w:tc>
          <w:tcPr>
            <w:tcW w:w="4006" w:type="dxa"/>
          </w:tcPr>
          <w:p w:rsidR="00CA4D84" w:rsidRDefault="00CA4D84" w:rsidP="00CA4D84">
            <w:pPr>
              <w:pStyle w:val="libFootnote0"/>
              <w:rPr>
                <w:rtl/>
              </w:rPr>
            </w:pPr>
            <w:r>
              <w:rPr>
                <w:rtl/>
              </w:rPr>
              <w:t xml:space="preserve">(5). </w:t>
            </w:r>
            <w:r w:rsidRPr="00020424">
              <w:rPr>
                <w:rtl/>
              </w:rPr>
              <w:t>في «بث»</w:t>
            </w:r>
            <w:r w:rsidRPr="00EB1FD9">
              <w:rPr>
                <w:rStyle w:val="libFootnoteBoldChar"/>
                <w:rtl/>
              </w:rPr>
              <w:t>والوسائل</w:t>
            </w:r>
            <w:r w:rsidRPr="00020424">
              <w:rPr>
                <w:rtl/>
              </w:rPr>
              <w:t>،</w:t>
            </w:r>
            <w:r>
              <w:rPr>
                <w:rtl/>
              </w:rPr>
              <w:t>ح 11487</w:t>
            </w:r>
            <w:r w:rsidRPr="00020424">
              <w:rPr>
                <w:rtl/>
              </w:rPr>
              <w:t>:</w:t>
            </w:r>
            <w:r w:rsidRPr="00CA4D84">
              <w:rPr>
                <w:rStyle w:val="libFootnoteAlaemChar"/>
                <w:rtl/>
              </w:rPr>
              <w:t>(</w:t>
            </w:r>
            <w:r w:rsidRPr="006B2AC6">
              <w:rPr>
                <w:rStyle w:val="libFootnoteAieChar"/>
                <w:rtl/>
              </w:rPr>
              <w:t>وَالَّذِيْنَ</w:t>
            </w:r>
            <w:r w:rsidRPr="00CA4D84">
              <w:rPr>
                <w:rStyle w:val="libFootnoteAlaemChar"/>
                <w:rtl/>
              </w:rPr>
              <w:t>)</w:t>
            </w:r>
            <w:r>
              <w:rPr>
                <w:rtl/>
              </w:rPr>
              <w:t>.</w:t>
            </w:r>
          </w:p>
        </w:tc>
      </w:tr>
      <w:tr w:rsidR="00CA4D84" w:rsidTr="00CA4D84">
        <w:tc>
          <w:tcPr>
            <w:tcW w:w="4006" w:type="dxa"/>
          </w:tcPr>
          <w:p w:rsidR="00CA4D84" w:rsidRDefault="003068AA" w:rsidP="00992664">
            <w:pPr>
              <w:pStyle w:val="libFootnote0"/>
              <w:rPr>
                <w:rtl/>
              </w:rPr>
            </w:pPr>
            <w:r>
              <w:rPr>
                <w:rtl/>
              </w:rPr>
              <w:t xml:space="preserve">(6). </w:t>
            </w:r>
            <w:r w:rsidRPr="00020424">
              <w:rPr>
                <w:rtl/>
              </w:rPr>
              <w:t xml:space="preserve">الرعد </w:t>
            </w:r>
            <w:r>
              <w:rPr>
                <w:rtl/>
              </w:rPr>
              <w:t xml:space="preserve">(13). </w:t>
            </w:r>
            <w:r w:rsidRPr="00020424">
              <w:rPr>
                <w:rtl/>
              </w:rPr>
              <w:t>: 21.</w:t>
            </w:r>
          </w:p>
        </w:tc>
        <w:tc>
          <w:tcPr>
            <w:tcW w:w="4006" w:type="dxa"/>
          </w:tcPr>
          <w:p w:rsidR="00CA4D84" w:rsidRDefault="003068AA" w:rsidP="00992664">
            <w:pPr>
              <w:pStyle w:val="libFootnote0"/>
              <w:rPr>
                <w:rtl/>
              </w:rPr>
            </w:pPr>
            <w:r>
              <w:rPr>
                <w:rtl/>
              </w:rPr>
              <w:t xml:space="preserve">(7). </w:t>
            </w:r>
            <w:r w:rsidRPr="00020424">
              <w:rPr>
                <w:rtl/>
              </w:rPr>
              <w:t xml:space="preserve">في « بر » </w:t>
            </w:r>
            <w:r w:rsidRPr="00515444">
              <w:rPr>
                <w:rStyle w:val="libFootnoteBoldChar"/>
                <w:rtl/>
              </w:rPr>
              <w:t>والوافي</w:t>
            </w:r>
            <w:r w:rsidRPr="00020424">
              <w:rPr>
                <w:rtl/>
              </w:rPr>
              <w:t xml:space="preserve"> : « إذ</w:t>
            </w:r>
            <w:r>
              <w:rPr>
                <w:rtl/>
              </w:rPr>
              <w:t xml:space="preserve"> ».</w:t>
            </w:r>
          </w:p>
        </w:tc>
      </w:tr>
      <w:tr w:rsidR="00CA4D84" w:rsidTr="00CA4D84">
        <w:tc>
          <w:tcPr>
            <w:tcW w:w="4006" w:type="dxa"/>
          </w:tcPr>
          <w:p w:rsidR="00CA4D84" w:rsidRDefault="003068AA" w:rsidP="00992664">
            <w:pPr>
              <w:pStyle w:val="libFootnote0"/>
              <w:rPr>
                <w:rtl/>
              </w:rPr>
            </w:pPr>
            <w:r>
              <w:rPr>
                <w:rtl/>
              </w:rPr>
              <w:t xml:space="preserve">(8). </w:t>
            </w:r>
            <w:r w:rsidRPr="00020424">
              <w:rPr>
                <w:rtl/>
              </w:rPr>
              <w:t>في « ى » :</w:t>
            </w:r>
            <w:r>
              <w:rPr>
                <w:rtl/>
              </w:rPr>
              <w:t xml:space="preserve"> - </w:t>
            </w:r>
            <w:r w:rsidRPr="00020424">
              <w:rPr>
                <w:rtl/>
              </w:rPr>
              <w:t>« هو</w:t>
            </w:r>
            <w:r>
              <w:rPr>
                <w:rtl/>
              </w:rPr>
              <w:t xml:space="preserve"> ».</w:t>
            </w:r>
          </w:p>
        </w:tc>
        <w:tc>
          <w:tcPr>
            <w:tcW w:w="4006" w:type="dxa"/>
          </w:tcPr>
          <w:p w:rsidR="00CA4D84" w:rsidRDefault="003068AA" w:rsidP="00992664">
            <w:pPr>
              <w:pStyle w:val="libFootnote0"/>
              <w:rPr>
                <w:rtl/>
              </w:rPr>
            </w:pPr>
            <w:r>
              <w:rPr>
                <w:rtl/>
              </w:rPr>
              <w:t xml:space="preserve">(9). </w:t>
            </w:r>
            <w:r w:rsidRPr="00020424">
              <w:rPr>
                <w:rtl/>
              </w:rPr>
              <w:t>في « جن » :</w:t>
            </w:r>
            <w:r>
              <w:rPr>
                <w:rtl/>
              </w:rPr>
              <w:t xml:space="preserve"> - </w:t>
            </w:r>
            <w:r w:rsidRPr="00020424">
              <w:rPr>
                <w:rtl/>
              </w:rPr>
              <w:t>« ما</w:t>
            </w:r>
            <w:r>
              <w:rPr>
                <w:rtl/>
              </w:rPr>
              <w:t xml:space="preserve"> ».</w:t>
            </w:r>
          </w:p>
        </w:tc>
      </w:tr>
      <w:tr w:rsidR="00CA4D84" w:rsidTr="00CA4D84">
        <w:tc>
          <w:tcPr>
            <w:tcW w:w="4006" w:type="dxa"/>
          </w:tcPr>
          <w:p w:rsidR="00CA4D84" w:rsidRDefault="003068AA" w:rsidP="00992664">
            <w:pPr>
              <w:pStyle w:val="libFootnote0"/>
              <w:rPr>
                <w:rtl/>
              </w:rPr>
            </w:pPr>
            <w:r>
              <w:rPr>
                <w:rtl/>
              </w:rPr>
              <w:t xml:space="preserve">(10). </w:t>
            </w:r>
            <w:r w:rsidRPr="00020424">
              <w:rPr>
                <w:rtl/>
              </w:rPr>
              <w:t xml:space="preserve">في « بخ ، بف » </w:t>
            </w:r>
            <w:r w:rsidRPr="00515444">
              <w:rPr>
                <w:rStyle w:val="libFootnoteBoldChar"/>
                <w:rtl/>
              </w:rPr>
              <w:t>والوافي</w:t>
            </w:r>
            <w:r w:rsidRPr="00020424">
              <w:rPr>
                <w:rtl/>
              </w:rPr>
              <w:t xml:space="preserve"> :</w:t>
            </w:r>
            <w:r>
              <w:rPr>
                <w:rtl/>
              </w:rPr>
              <w:t xml:space="preserve"> - </w:t>
            </w:r>
            <w:r w:rsidRPr="00020424">
              <w:rPr>
                <w:rtl/>
              </w:rPr>
              <w:t>« الله</w:t>
            </w:r>
            <w:r>
              <w:rPr>
                <w:rtl/>
              </w:rPr>
              <w:t xml:space="preserve"> ».</w:t>
            </w:r>
          </w:p>
        </w:tc>
        <w:tc>
          <w:tcPr>
            <w:tcW w:w="4006" w:type="dxa"/>
          </w:tcPr>
          <w:p w:rsidR="00CA4D84" w:rsidRPr="003068AA" w:rsidRDefault="003068AA" w:rsidP="00992664">
            <w:pPr>
              <w:pStyle w:val="libFootnote0"/>
              <w:rPr>
                <w:rtl/>
              </w:rPr>
            </w:pPr>
            <w:r>
              <w:rPr>
                <w:rtl/>
              </w:rPr>
              <w:t xml:space="preserve">(11). </w:t>
            </w:r>
            <w:r w:rsidRPr="00020424">
              <w:rPr>
                <w:rtl/>
              </w:rPr>
              <w:t>في « بر ، بف » :</w:t>
            </w:r>
            <w:r>
              <w:rPr>
                <w:rtl/>
              </w:rPr>
              <w:t xml:space="preserve"> - </w:t>
            </w:r>
            <w:r w:rsidRPr="00020424">
              <w:rPr>
                <w:rtl/>
              </w:rPr>
              <w:t>« عليه</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91BE1">
        <w:rPr>
          <w:rtl/>
        </w:rPr>
        <w:t>الكافي</w:t>
      </w:r>
      <w:r w:rsidR="00992664" w:rsidRPr="00020424">
        <w:rPr>
          <w:rtl/>
        </w:rPr>
        <w:t xml:space="preserve"> ، كتاب الزكاة ، باب الرجل إذا وصلت إليه الزكاة فهي كسبيل ماله</w:t>
      </w:r>
      <w:r w:rsidR="00992664">
        <w:rPr>
          <w:rtl/>
        </w:rPr>
        <w:t xml:space="preserve"> ..</w:t>
      </w:r>
      <w:r w:rsidR="00992664" w:rsidRPr="00020424">
        <w:rPr>
          <w:rtl/>
        </w:rPr>
        <w:t xml:space="preserve">. </w:t>
      </w:r>
      <w:r w:rsidR="00024D78">
        <w:rPr>
          <w:rtl/>
        </w:rPr>
        <w:t>، ضمن ح 5950 ، إلى قوله : « إل</w:t>
      </w:r>
      <w:r w:rsidR="00024D78">
        <w:rPr>
          <w:rFonts w:hint="cs"/>
          <w:rtl/>
        </w:rPr>
        <w:t>ّ</w:t>
      </w:r>
      <w:r w:rsidR="00024D78">
        <w:rPr>
          <w:rtl/>
        </w:rPr>
        <w:t>ا</w:t>
      </w:r>
      <w:r w:rsidR="00992664" w:rsidRPr="00020424">
        <w:rPr>
          <w:rtl/>
        </w:rPr>
        <w:t xml:space="preserve"> بأدائها وهي الزكاة</w:t>
      </w:r>
      <w:r w:rsidR="00992664">
        <w:rPr>
          <w:rtl/>
        </w:rPr>
        <w:t xml:space="preserve"> ».</w:t>
      </w:r>
      <w:r w:rsidR="00992664" w:rsidRPr="00020424">
        <w:rPr>
          <w:rtl/>
        </w:rPr>
        <w:t xml:space="preserve"> وفي </w:t>
      </w:r>
      <w:r w:rsidR="00992664" w:rsidRPr="00091BE1">
        <w:rPr>
          <w:rtl/>
        </w:rPr>
        <w:t>تفسير العيّاشي</w:t>
      </w:r>
      <w:r w:rsidR="00992664" w:rsidRPr="00020424">
        <w:rPr>
          <w:rtl/>
        </w:rPr>
        <w:t xml:space="preserve"> ، ج 2 ، ص 210 ، ح 36 ، عن سماعة ، من دون الإسناد إلى المعصوم </w:t>
      </w:r>
      <w:r w:rsidR="00992664" w:rsidRPr="00D64ADA">
        <w:rPr>
          <w:rStyle w:val="libFootnoteAlaemChar"/>
          <w:rtl/>
        </w:rPr>
        <w:t>عليه‌السلام</w:t>
      </w:r>
      <w:r w:rsidR="00992664" w:rsidRPr="00020424">
        <w:rPr>
          <w:rtl/>
        </w:rPr>
        <w:t xml:space="preserve"> ، إلى قوله : « فرض في أموال الأغنياء حقوقاً غير الزكاة » ومن قوله : « وممّا فرض الله عزّ وجلّ أيضاً في المال</w:t>
      </w:r>
      <w:r w:rsidR="00992664">
        <w:rPr>
          <w:rtl/>
        </w:rPr>
        <w:t xml:space="preserve"> ».</w:t>
      </w:r>
      <w:r w:rsidR="00992664" w:rsidRPr="00020424">
        <w:rPr>
          <w:rtl/>
        </w:rPr>
        <w:t xml:space="preserve"> </w:t>
      </w:r>
      <w:r w:rsidR="00992664" w:rsidRPr="00091BE1">
        <w:rPr>
          <w:rtl/>
        </w:rPr>
        <w:t>وفيه</w:t>
      </w:r>
      <w:r w:rsidR="00992664" w:rsidRPr="00020424">
        <w:rPr>
          <w:rtl/>
        </w:rPr>
        <w:t xml:space="preserve"> ، ص 230 ، ح 29 ، عن زرعة ، عن سماعة ، من دون الإسناد إلى المعصوم </w:t>
      </w:r>
      <w:r w:rsidR="00992664" w:rsidRPr="00D64ADA">
        <w:rPr>
          <w:rStyle w:val="libFootnoteAlaemChar"/>
          <w:rtl/>
        </w:rPr>
        <w:t>عليه‌السلام</w:t>
      </w:r>
      <w:r w:rsidR="00992664" w:rsidRPr="00020424">
        <w:rPr>
          <w:rtl/>
        </w:rPr>
        <w:t xml:space="preserve"> ، إلى قوله : « فرض في أموال الأغنياء حقوقاً غير الزكاة » وفيهما مع اختلاف يسير </w:t>
      </w:r>
      <w:r w:rsidR="00A415D9">
        <w:rPr>
          <w:rFonts w:hint="cs"/>
          <w:rtl/>
        </w:rPr>
        <w:t>.</w:t>
      </w:r>
      <w:r w:rsidR="00992664" w:rsidRPr="0012008A">
        <w:rPr>
          <w:rStyle w:val="libFootnoteBoldChar"/>
          <w:rtl/>
        </w:rPr>
        <w:t>الوافي</w:t>
      </w:r>
      <w:r w:rsidR="00992664" w:rsidRPr="00020424">
        <w:rPr>
          <w:rtl/>
        </w:rPr>
        <w:t xml:space="preserve"> ، ج 10 ، ص 373 ، ح 9713 ؛ </w:t>
      </w:r>
      <w:r w:rsidR="00992664" w:rsidRPr="0012008A">
        <w:rPr>
          <w:rStyle w:val="libFootnoteBoldChar"/>
          <w:rtl/>
        </w:rPr>
        <w:t>الوسائل</w:t>
      </w:r>
      <w:r w:rsidR="00992664" w:rsidRPr="00020424">
        <w:rPr>
          <w:rtl/>
        </w:rPr>
        <w:t xml:space="preserve"> ، ج 9 ، ص 32 ، ح 11450 ، إلى قوله : « حقنوا دماءهم وبها سمّوا مسلمين » ؛ </w:t>
      </w:r>
      <w:r w:rsidR="00992664" w:rsidRPr="00091BE1">
        <w:rPr>
          <w:rtl/>
        </w:rPr>
        <w:t>وفيه</w:t>
      </w:r>
      <w:r w:rsidR="00992664" w:rsidRPr="00020424">
        <w:rPr>
          <w:rtl/>
        </w:rPr>
        <w:t xml:space="preserve"> ، ص 46 ، ح 11487 ، من قوله : « ولكنّ الله عزّوجلّ فرض من أموال الأغنياء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415D9" w:rsidTr="00A415D9">
        <w:tc>
          <w:tcPr>
            <w:tcW w:w="4006" w:type="dxa"/>
          </w:tcPr>
          <w:p w:rsidR="00A415D9" w:rsidRDefault="00A415D9" w:rsidP="00A415D9">
            <w:pPr>
              <w:pStyle w:val="libFootnote0"/>
              <w:rPr>
                <w:rtl/>
              </w:rPr>
            </w:pPr>
            <w:r>
              <w:rPr>
                <w:rtl/>
              </w:rPr>
              <w:t xml:space="preserve">(13). </w:t>
            </w:r>
            <w:r w:rsidRPr="00020424">
              <w:rPr>
                <w:rtl/>
              </w:rPr>
              <w:t>في«ظ،ى،بح،بس»:«إنّما»من دون الواو.</w:t>
            </w:r>
          </w:p>
        </w:tc>
        <w:tc>
          <w:tcPr>
            <w:tcW w:w="4006" w:type="dxa"/>
          </w:tcPr>
          <w:p w:rsidR="00A415D9" w:rsidRDefault="00A415D9" w:rsidP="00A415D9">
            <w:pPr>
              <w:pStyle w:val="libFootnote0"/>
              <w:rPr>
                <w:rtl/>
              </w:rPr>
            </w:pPr>
            <w:r>
              <w:rPr>
                <w:rtl/>
              </w:rPr>
              <w:t xml:space="preserve">(14). </w:t>
            </w:r>
            <w:r w:rsidRPr="00020424">
              <w:rPr>
                <w:rtl/>
              </w:rPr>
              <w:t>في«بث،بح»:«هي</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 xml:space="preserve">حَقَنَ </w:t>
      </w:r>
      <w:r w:rsidRPr="00A91B96">
        <w:rPr>
          <w:rStyle w:val="libFootnotenumChar"/>
          <w:rtl/>
        </w:rPr>
        <w:t>(1)</w:t>
      </w:r>
      <w:r w:rsidRPr="00020424">
        <w:rPr>
          <w:rtl/>
          <w:lang w:bidi="fa-IR"/>
        </w:rPr>
        <w:t xml:space="preserve"> بِهَا </w:t>
      </w:r>
      <w:r w:rsidRPr="00A91B96">
        <w:rPr>
          <w:rStyle w:val="libFootnotenumChar"/>
          <w:rtl/>
        </w:rPr>
        <w:t>(2)</w:t>
      </w:r>
      <w:r w:rsidRPr="00020424">
        <w:rPr>
          <w:rtl/>
          <w:lang w:bidi="fa-IR"/>
        </w:rPr>
        <w:t xml:space="preserve"> دَمَهُ وَسُمِّيَ بِهَا مُسْلِماً ، وَلَوْ لَمْ يُؤَدِّهَا لَمْ تُقْبَلْ </w:t>
      </w:r>
      <w:r w:rsidRPr="00A91B96">
        <w:rPr>
          <w:rStyle w:val="libFootnotenumChar"/>
          <w:rtl/>
        </w:rPr>
        <w:t>(3)</w:t>
      </w:r>
      <w:r w:rsidRPr="00020424">
        <w:rPr>
          <w:rtl/>
          <w:lang w:bidi="fa-IR"/>
        </w:rPr>
        <w:t xml:space="preserve"> لَهُ صَلَاةٌ </w:t>
      </w:r>
      <w:r w:rsidRPr="00A91B96">
        <w:rPr>
          <w:rStyle w:val="libFootnotenumChar"/>
          <w:rtl/>
        </w:rPr>
        <w:t>(4)</w:t>
      </w:r>
      <w:r w:rsidRPr="00020424">
        <w:rPr>
          <w:rtl/>
          <w:lang w:bidi="fa-IR"/>
        </w:rPr>
        <w:t xml:space="preserve"> ، وَإِنَّ عَلَيْكُمْ فِي أَمْوَالِكُمْ غَيْرَ الزَّكَاةِ</w:t>
      </w:r>
      <w:r>
        <w:rPr>
          <w:rtl/>
          <w:lang w:bidi="fa-IR"/>
        </w:rPr>
        <w:t xml:space="preserve"> ».</w:t>
      </w:r>
    </w:p>
    <w:p w:rsidR="00992664" w:rsidRPr="00020424" w:rsidRDefault="00992664" w:rsidP="00992664">
      <w:pPr>
        <w:pStyle w:val="libNormal"/>
        <w:rPr>
          <w:rtl/>
          <w:lang w:bidi="fa-IR"/>
        </w:rPr>
      </w:pPr>
      <w:r w:rsidRPr="00020424">
        <w:rPr>
          <w:rtl/>
          <w:lang w:bidi="fa-IR"/>
        </w:rPr>
        <w:t>فَقُلْتُ : أَصْلَحَكَ اللهُ ، وَمَا عَلَيْنَا فِي أَمْوَالِنَا غَيْرُ الزَّكَاةِ</w:t>
      </w:r>
      <w:r>
        <w:rPr>
          <w:rtl/>
          <w:lang w:bidi="fa-IR"/>
        </w:rPr>
        <w:t>؟</w:t>
      </w:r>
    </w:p>
    <w:p w:rsidR="00992664" w:rsidRPr="00020424" w:rsidRDefault="00992664" w:rsidP="00992664">
      <w:pPr>
        <w:pStyle w:val="libNormal"/>
        <w:rPr>
          <w:rtl/>
          <w:lang w:bidi="fa-IR"/>
        </w:rPr>
      </w:pPr>
      <w:r w:rsidRPr="00020424">
        <w:rPr>
          <w:rtl/>
          <w:lang w:bidi="fa-IR"/>
        </w:rPr>
        <w:t>فَقَالَ : « سُبْحَانَ اللهِ</w:t>
      </w:r>
      <w:r>
        <w:rPr>
          <w:rtl/>
          <w:lang w:bidi="fa-IR"/>
        </w:rPr>
        <w:t>! أَ</w:t>
      </w:r>
      <w:r w:rsidRPr="00020424">
        <w:rPr>
          <w:rtl/>
          <w:lang w:bidi="fa-IR"/>
        </w:rPr>
        <w:t>مَا تَسْمَعُ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فِي كِتَابِهِ : </w:t>
      </w:r>
      <w:r w:rsidRPr="00005A81">
        <w:rPr>
          <w:rStyle w:val="libAlaemChar"/>
          <w:rtl/>
        </w:rPr>
        <w:t>(</w:t>
      </w:r>
      <w:r w:rsidRPr="004E5AB4">
        <w:rPr>
          <w:rStyle w:val="libAieChar"/>
          <w:rtl/>
        </w:rPr>
        <w:t xml:space="preserve"> وَالَّذِينَ فِي أَمْوالِهِمْ حَقٌّ مَعْلُومٌ </w:t>
      </w:r>
      <w:r w:rsidR="001F081D">
        <w:rPr>
          <w:rStyle w:val="libAieChar"/>
          <w:rFonts w:hint="cs"/>
          <w:rtl/>
        </w:rPr>
        <w:t xml:space="preserve">* </w:t>
      </w:r>
      <w:r w:rsidRPr="004E5AB4">
        <w:rPr>
          <w:rStyle w:val="libAieChar"/>
          <w:rtl/>
        </w:rPr>
        <w:t xml:space="preserve">لِلسّائِلِ وَالْمَحْرُومِ </w:t>
      </w:r>
      <w:r w:rsidRPr="00005A81">
        <w:rPr>
          <w:rStyle w:val="libAlaemChar"/>
          <w:rtl/>
        </w:rPr>
        <w:t>)</w:t>
      </w:r>
      <w:r w:rsidRPr="00020424">
        <w:rPr>
          <w:rtl/>
          <w:lang w:bidi="fa-IR"/>
        </w:rPr>
        <w:t xml:space="preserve"> </w:t>
      </w:r>
      <w:r w:rsidRPr="00A91B96">
        <w:rPr>
          <w:rStyle w:val="libFootnotenumChar"/>
          <w:rtl/>
        </w:rPr>
        <w:t>(5)</w:t>
      </w:r>
      <w:r>
        <w:rPr>
          <w:rtl/>
          <w:lang w:bidi="fa-IR"/>
        </w:rPr>
        <w:t>؟ ».</w:t>
      </w:r>
    </w:p>
    <w:p w:rsidR="00992664" w:rsidRPr="00020424" w:rsidRDefault="00992664" w:rsidP="00992664">
      <w:pPr>
        <w:pStyle w:val="libNormal"/>
        <w:rPr>
          <w:rtl/>
          <w:lang w:bidi="fa-IR"/>
        </w:rPr>
      </w:pPr>
      <w:r w:rsidRPr="00020424">
        <w:rPr>
          <w:rtl/>
          <w:lang w:bidi="fa-IR"/>
        </w:rPr>
        <w:t xml:space="preserve">قَالَ : قُلْتُ </w:t>
      </w:r>
      <w:r w:rsidRPr="00A91B96">
        <w:rPr>
          <w:rStyle w:val="libFootnotenumChar"/>
          <w:rtl/>
        </w:rPr>
        <w:t>(6)</w:t>
      </w:r>
      <w:r w:rsidRPr="00020424">
        <w:rPr>
          <w:rtl/>
          <w:lang w:bidi="fa-IR"/>
        </w:rPr>
        <w:t xml:space="preserve"> : مَاذَا </w:t>
      </w:r>
      <w:r w:rsidRPr="00A91B96">
        <w:rPr>
          <w:rStyle w:val="libFootnotenumChar"/>
          <w:rtl/>
        </w:rPr>
        <w:t>(7)</w:t>
      </w:r>
      <w:r w:rsidRPr="00020424">
        <w:rPr>
          <w:rtl/>
          <w:lang w:bidi="fa-IR"/>
        </w:rPr>
        <w:t xml:space="preserve"> الْحَقُّ الْمَعْلُومُ الَّذِي عَلَيْنَا</w:t>
      </w:r>
      <w:r>
        <w:rPr>
          <w:rtl/>
          <w:lang w:bidi="fa-IR"/>
        </w:rPr>
        <w:t>؟</w:t>
      </w:r>
    </w:p>
    <w:p w:rsidR="00992664" w:rsidRPr="00020424" w:rsidRDefault="00992664" w:rsidP="00992664">
      <w:pPr>
        <w:pStyle w:val="libNormal"/>
        <w:rPr>
          <w:rtl/>
          <w:lang w:bidi="fa-IR"/>
        </w:rPr>
      </w:pPr>
      <w:r w:rsidRPr="00020424">
        <w:rPr>
          <w:rtl/>
          <w:lang w:bidi="fa-IR"/>
        </w:rPr>
        <w:t xml:space="preserve">قَالَ : « هُوَ </w:t>
      </w:r>
      <w:r w:rsidRPr="00A91B96">
        <w:rPr>
          <w:rStyle w:val="libFootnotenumChar"/>
          <w:rtl/>
        </w:rPr>
        <w:t>(8)</w:t>
      </w:r>
      <w:r w:rsidRPr="00020424">
        <w:rPr>
          <w:rtl/>
          <w:lang w:bidi="fa-IR"/>
        </w:rPr>
        <w:t xml:space="preserve"> الشَّيْ‌ءُ </w:t>
      </w:r>
      <w:r w:rsidRPr="00A91B96">
        <w:rPr>
          <w:rStyle w:val="libFootnotenumChar"/>
          <w:rtl/>
        </w:rPr>
        <w:t>(9)</w:t>
      </w:r>
      <w:r w:rsidRPr="00020424">
        <w:rPr>
          <w:rtl/>
          <w:lang w:bidi="fa-IR"/>
        </w:rPr>
        <w:t xml:space="preserve"> يَعْمَلُهُ </w:t>
      </w:r>
      <w:r w:rsidRPr="00A91B96">
        <w:rPr>
          <w:rStyle w:val="libFootnotenumChar"/>
          <w:rtl/>
        </w:rPr>
        <w:t>(10)</w:t>
      </w:r>
      <w:r w:rsidRPr="00020424">
        <w:rPr>
          <w:rtl/>
          <w:lang w:bidi="fa-IR"/>
        </w:rPr>
        <w:t xml:space="preserve"> الرَّجُلُ فِي مَالِهِ ، يُعْطِيهِ فِي الْيَوْمِ </w:t>
      </w:r>
      <w:r w:rsidRPr="00A91B96">
        <w:rPr>
          <w:rStyle w:val="libFootnotenumChar"/>
          <w:rtl/>
        </w:rPr>
        <w:t>(11)</w:t>
      </w:r>
      <w:r w:rsidRPr="00020424">
        <w:rPr>
          <w:rtl/>
          <w:lang w:bidi="fa-IR"/>
        </w:rPr>
        <w:t xml:space="preserve"> ، أَوْ فِي </w:t>
      </w:r>
      <w:r w:rsidRPr="00A91B96">
        <w:rPr>
          <w:rStyle w:val="libFootnotenumChar"/>
          <w:rtl/>
        </w:rPr>
        <w:t>(12)</w:t>
      </w:r>
      <w:r w:rsidRPr="00020424">
        <w:rPr>
          <w:rtl/>
          <w:lang w:bidi="fa-IR"/>
        </w:rPr>
        <w:t xml:space="preserve"> الْجُمْعَةِ ، أَوْ فِي </w:t>
      </w:r>
      <w:r w:rsidRPr="00A91B96">
        <w:rPr>
          <w:rStyle w:val="libFootnotenumChar"/>
          <w:rtl/>
        </w:rPr>
        <w:t>(13)</w:t>
      </w:r>
      <w:r w:rsidRPr="00020424">
        <w:rPr>
          <w:rtl/>
          <w:lang w:bidi="fa-IR"/>
        </w:rPr>
        <w:t xml:space="preserve"> الشَّهْرِ</w:t>
      </w:r>
      <w:r>
        <w:rPr>
          <w:rtl/>
          <w:lang w:bidi="fa-IR"/>
        </w:rPr>
        <w:t xml:space="preserve"> </w:t>
      </w:r>
      <w:r w:rsidR="009B673F">
        <w:rPr>
          <w:rtl/>
          <w:lang w:bidi="fa-IR"/>
        </w:rPr>
        <w:t>-</w:t>
      </w:r>
      <w:r>
        <w:rPr>
          <w:rtl/>
          <w:lang w:bidi="fa-IR"/>
        </w:rPr>
        <w:t xml:space="preserve"> </w:t>
      </w:r>
      <w:r w:rsidRPr="00020424">
        <w:rPr>
          <w:rtl/>
          <w:lang w:bidi="fa-IR"/>
        </w:rPr>
        <w:t>قَلَّ أَوْ كَثُرَ</w:t>
      </w:r>
      <w:r>
        <w:rPr>
          <w:rtl/>
          <w:lang w:bidi="fa-IR"/>
        </w:rPr>
        <w:t xml:space="preserve"> </w:t>
      </w:r>
      <w:r w:rsidR="009B673F">
        <w:rPr>
          <w:rtl/>
          <w:lang w:bidi="fa-IR"/>
        </w:rPr>
        <w:t>-</w:t>
      </w:r>
      <w:r>
        <w:rPr>
          <w:rtl/>
          <w:lang w:bidi="fa-IR"/>
        </w:rPr>
        <w:t xml:space="preserve"> </w:t>
      </w:r>
      <w:r w:rsidRPr="00020424">
        <w:rPr>
          <w:rtl/>
          <w:lang w:bidi="fa-IR"/>
        </w:rPr>
        <w:t>غَيْرَ أَنَّهُ يَدُومُ عَلَيْهِ</w:t>
      </w:r>
      <w:r>
        <w:rPr>
          <w:rtl/>
          <w:lang w:bidi="fa-IR"/>
        </w:rPr>
        <w:t xml:space="preserve"> ».</w:t>
      </w:r>
    </w:p>
    <w:p w:rsidR="00992664" w:rsidRPr="00020424" w:rsidRDefault="00992664" w:rsidP="00992664">
      <w:pPr>
        <w:pStyle w:val="libNormal"/>
        <w:rPr>
          <w:rtl/>
          <w:lang w:bidi="fa-IR"/>
        </w:rPr>
      </w:pPr>
      <w:r w:rsidRPr="00020424">
        <w:rPr>
          <w:rtl/>
          <w:lang w:bidi="fa-IR"/>
        </w:rPr>
        <w:t>وَقَوْلَهُ عَزَّ وَ</w:t>
      </w:r>
      <w:r w:rsidR="0053231E">
        <w:rPr>
          <w:rFonts w:hint="cs"/>
          <w:rtl/>
          <w:lang w:bidi="fa-IR"/>
        </w:rPr>
        <w:t xml:space="preserve"> </w:t>
      </w:r>
      <w:r w:rsidRPr="00020424">
        <w:rPr>
          <w:rtl/>
          <w:lang w:bidi="fa-IR"/>
        </w:rPr>
        <w:t xml:space="preserve">جَلَّ : </w:t>
      </w:r>
      <w:r w:rsidRPr="00005A81">
        <w:rPr>
          <w:rStyle w:val="libAlaemChar"/>
          <w:rtl/>
        </w:rPr>
        <w:t>(</w:t>
      </w:r>
      <w:r w:rsidRPr="004E5AB4">
        <w:rPr>
          <w:rStyle w:val="libAieChar"/>
          <w:rtl/>
        </w:rPr>
        <w:t xml:space="preserve"> وَيَمْنَعُونَ الْماعُونَ </w:t>
      </w:r>
      <w:r w:rsidRPr="00005A81">
        <w:rPr>
          <w:rStyle w:val="libAlaemChar"/>
          <w:rtl/>
        </w:rPr>
        <w:t>)</w:t>
      </w:r>
      <w:r w:rsidRPr="00020424">
        <w:rPr>
          <w:rtl/>
          <w:lang w:bidi="fa-IR"/>
        </w:rPr>
        <w:t xml:space="preserve"> </w:t>
      </w:r>
      <w:r w:rsidRPr="00A91B96">
        <w:rPr>
          <w:rStyle w:val="libFootnotenumChar"/>
          <w:rtl/>
        </w:rPr>
        <w:t>(14)</w:t>
      </w:r>
      <w:r>
        <w:rPr>
          <w:rtl/>
          <w:lang w:bidi="fa-IR"/>
        </w:rPr>
        <w:t>؟</w:t>
      </w:r>
    </w:p>
    <w:p w:rsidR="00992664" w:rsidRPr="00020424" w:rsidRDefault="00992664" w:rsidP="00992664">
      <w:pPr>
        <w:pStyle w:val="libNormal"/>
        <w:rPr>
          <w:rtl/>
          <w:lang w:bidi="fa-IR"/>
        </w:rPr>
      </w:pPr>
      <w:r w:rsidRPr="00020424">
        <w:rPr>
          <w:rtl/>
          <w:lang w:bidi="fa-IR"/>
        </w:rPr>
        <w:t xml:space="preserve">قَالَ : « هُوَ الْقَرْضُ </w:t>
      </w:r>
      <w:r w:rsidRPr="00A91B96">
        <w:rPr>
          <w:rStyle w:val="libFootnotenumChar"/>
          <w:rtl/>
        </w:rPr>
        <w:t>(15)</w:t>
      </w:r>
      <w:r w:rsidRPr="00020424">
        <w:rPr>
          <w:rtl/>
          <w:lang w:bidi="fa-IR"/>
        </w:rPr>
        <w:t xml:space="preserve"> يُقْرِضُهُ </w:t>
      </w:r>
      <w:r w:rsidRPr="00A91B96">
        <w:rPr>
          <w:rStyle w:val="libFootnotenumChar"/>
          <w:rtl/>
        </w:rPr>
        <w:t>(16)</w:t>
      </w:r>
      <w:r w:rsidRPr="00020424">
        <w:rPr>
          <w:rtl/>
          <w:lang w:bidi="fa-IR"/>
        </w:rPr>
        <w:t xml:space="preserve"> ، وَالْمَعْرُوفُ يَصْطَنِعُهُ </w:t>
      </w:r>
      <w:r w:rsidRPr="00A91B96">
        <w:rPr>
          <w:rStyle w:val="libFootnotenumChar"/>
          <w:rtl/>
        </w:rPr>
        <w:t>(17)</w:t>
      </w:r>
      <w:r w:rsidRPr="00020424">
        <w:rPr>
          <w:rtl/>
          <w:lang w:bidi="fa-IR"/>
        </w:rPr>
        <w:t xml:space="preserve"> ، وَمَتَاعُ الْبَيْتِ يُعِيرُهُ ، وَمِنْهُ الزَّكَاةُ</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53231E">
      <w:pPr>
        <w:pStyle w:val="libFootnote0"/>
        <w:rPr>
          <w:rtl/>
          <w:lang w:bidi="fa-IR"/>
        </w:rPr>
      </w:pPr>
      <w:r>
        <w:rPr>
          <w:rtl/>
        </w:rPr>
        <w:t>(1).</w:t>
      </w:r>
      <w:r w:rsidR="0014403D">
        <w:rPr>
          <w:rtl/>
        </w:rPr>
        <w:t xml:space="preserve"> </w:t>
      </w:r>
      <w:r w:rsidR="00992664" w:rsidRPr="00020424">
        <w:rPr>
          <w:rtl/>
        </w:rPr>
        <w:t>في « بح » وحاشية « بخ » : + « الله</w:t>
      </w:r>
      <w:r w:rsidR="00992664">
        <w:rPr>
          <w:rtl/>
        </w:rPr>
        <w:t xml:space="preserve"> ».</w:t>
      </w:r>
    </w:p>
    <w:p w:rsidR="00992664" w:rsidRPr="00020424" w:rsidRDefault="00795177" w:rsidP="0053231E">
      <w:pPr>
        <w:pStyle w:val="libFootnote0"/>
        <w:rPr>
          <w:rtl/>
          <w:lang w:bidi="fa-IR"/>
        </w:rPr>
      </w:pPr>
      <w:r>
        <w:rPr>
          <w:rtl/>
        </w:rPr>
        <w:t>(2).</w:t>
      </w:r>
      <w:r w:rsidR="0014403D">
        <w:rPr>
          <w:rtl/>
        </w:rPr>
        <w:t xml:space="preserve"> </w:t>
      </w:r>
      <w:r w:rsidR="00992664" w:rsidRPr="00020424">
        <w:rPr>
          <w:rtl/>
        </w:rPr>
        <w:t>في « ظ » : + «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بخ ، بر » : « لم يقبل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3231E" w:rsidTr="0053231E">
        <w:tc>
          <w:tcPr>
            <w:tcW w:w="4006" w:type="dxa"/>
          </w:tcPr>
          <w:p w:rsidR="0053231E" w:rsidRDefault="0053231E"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صلاته » بدل « له صلاة</w:t>
            </w:r>
            <w:r>
              <w:rPr>
                <w:rtl/>
              </w:rPr>
              <w:t xml:space="preserve"> ».</w:t>
            </w:r>
          </w:p>
        </w:tc>
        <w:tc>
          <w:tcPr>
            <w:tcW w:w="4006" w:type="dxa"/>
          </w:tcPr>
          <w:p w:rsidR="0053231E" w:rsidRDefault="0053231E" w:rsidP="00992664">
            <w:pPr>
              <w:pStyle w:val="libFootnote0"/>
              <w:rPr>
                <w:rtl/>
              </w:rPr>
            </w:pPr>
            <w:r>
              <w:rPr>
                <w:rtl/>
              </w:rPr>
              <w:t xml:space="preserve">(5). </w:t>
            </w:r>
            <w:r w:rsidRPr="00020424">
              <w:rPr>
                <w:rtl/>
              </w:rPr>
              <w:t>المعارج (70) : 24</w:t>
            </w:r>
            <w:r>
              <w:rPr>
                <w:rtl/>
              </w:rPr>
              <w:t xml:space="preserve"> - </w:t>
            </w:r>
            <w:r w:rsidRPr="00020424">
              <w:rPr>
                <w:rtl/>
              </w:rPr>
              <w:t>25.</w:t>
            </w:r>
          </w:p>
        </w:tc>
      </w:tr>
      <w:tr w:rsidR="0053231E" w:rsidTr="0053231E">
        <w:tc>
          <w:tcPr>
            <w:tcW w:w="4006" w:type="dxa"/>
          </w:tcPr>
          <w:p w:rsidR="0053231E" w:rsidRDefault="0053231E" w:rsidP="0053231E">
            <w:pPr>
              <w:pStyle w:val="libFootnote0"/>
              <w:rPr>
                <w:rtl/>
              </w:rPr>
            </w:pPr>
            <w:r>
              <w:rPr>
                <w:rtl/>
              </w:rPr>
              <w:t xml:space="preserve">(6). </w:t>
            </w:r>
            <w:r w:rsidRPr="00020424">
              <w:rPr>
                <w:rtl/>
              </w:rPr>
              <w:t>في « بس » : + « له</w:t>
            </w:r>
            <w:r>
              <w:rPr>
                <w:rtl/>
              </w:rPr>
              <w:t xml:space="preserve"> ».</w:t>
            </w:r>
          </w:p>
        </w:tc>
        <w:tc>
          <w:tcPr>
            <w:tcW w:w="4006" w:type="dxa"/>
          </w:tcPr>
          <w:p w:rsidR="0053231E" w:rsidRDefault="0053231E" w:rsidP="00992664">
            <w:pPr>
              <w:pStyle w:val="libFootnote0"/>
              <w:rPr>
                <w:rtl/>
              </w:rPr>
            </w:pPr>
            <w:r>
              <w:rPr>
                <w:rtl/>
              </w:rPr>
              <w:t xml:space="preserve">(7). </w:t>
            </w:r>
            <w:r w:rsidRPr="00020424">
              <w:rPr>
                <w:rtl/>
              </w:rPr>
              <w:t xml:space="preserve">في « بث ، بخ ، بر ، بف » </w:t>
            </w:r>
            <w:r w:rsidRPr="00515444">
              <w:rPr>
                <w:rStyle w:val="libFootnoteBoldChar"/>
                <w:rtl/>
              </w:rPr>
              <w:t>والوافي</w:t>
            </w:r>
            <w:r w:rsidRPr="00020424">
              <w:rPr>
                <w:rtl/>
              </w:rPr>
              <w:t xml:space="preserve"> : « فما</w:t>
            </w:r>
            <w:r>
              <w:rPr>
                <w:rtl/>
              </w:rPr>
              <w:t xml:space="preserve"> ».</w:t>
            </w:r>
          </w:p>
        </w:tc>
      </w:tr>
    </w:tbl>
    <w:p w:rsidR="00992664" w:rsidRPr="00020424" w:rsidRDefault="00795177" w:rsidP="005944BF">
      <w:pPr>
        <w:pStyle w:val="libFootnote0"/>
        <w:rPr>
          <w:rtl/>
          <w:lang w:bidi="fa-IR"/>
        </w:rPr>
      </w:pPr>
      <w:r>
        <w:rPr>
          <w:rtl/>
        </w:rPr>
        <w:t>(8).</w:t>
      </w:r>
      <w:r w:rsidR="0014403D">
        <w:rPr>
          <w:rtl/>
        </w:rPr>
        <w:t xml:space="preserve"> </w:t>
      </w:r>
      <w:r w:rsidR="00992664" w:rsidRPr="00020424">
        <w:rPr>
          <w:rtl/>
        </w:rPr>
        <w:t>في « ظ ، بث ، بخ ، بف » : + « والله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وهو والله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B2268" w:rsidTr="00CB2268">
        <w:tc>
          <w:tcPr>
            <w:tcW w:w="4006" w:type="dxa"/>
          </w:tcPr>
          <w:p w:rsidR="00CB2268" w:rsidRDefault="00CB2268" w:rsidP="00E9603D">
            <w:pPr>
              <w:pStyle w:val="libFootnote0"/>
              <w:rPr>
                <w:rtl/>
              </w:rPr>
            </w:pPr>
            <w:r>
              <w:rPr>
                <w:rtl/>
              </w:rPr>
              <w:t xml:space="preserve">(9). </w:t>
            </w:r>
            <w:r w:rsidRPr="00020424">
              <w:rPr>
                <w:rtl/>
              </w:rPr>
              <w:t>في « ى ، بح » : + « الذي</w:t>
            </w:r>
            <w:r>
              <w:rPr>
                <w:rtl/>
              </w:rPr>
              <w:t xml:space="preserve"> ».</w:t>
            </w:r>
          </w:p>
        </w:tc>
        <w:tc>
          <w:tcPr>
            <w:tcW w:w="4006" w:type="dxa"/>
          </w:tcPr>
          <w:p w:rsidR="00CB2268" w:rsidRDefault="00CB2268" w:rsidP="00CB2268">
            <w:pPr>
              <w:pStyle w:val="libFootnote0"/>
              <w:rPr>
                <w:rtl/>
              </w:rPr>
            </w:pPr>
            <w:r>
              <w:rPr>
                <w:rtl/>
              </w:rPr>
              <w:t xml:space="preserve">(10). </w:t>
            </w:r>
            <w:r w:rsidRPr="00020424">
              <w:rPr>
                <w:rtl/>
              </w:rPr>
              <w:t>في «بر،بس،بف»وحاشية«جن»:«يعلمه</w:t>
            </w:r>
            <w:r>
              <w:rPr>
                <w:rtl/>
              </w:rPr>
              <w:t>».</w:t>
            </w:r>
          </w:p>
        </w:tc>
      </w:tr>
      <w:tr w:rsidR="00CB2268" w:rsidTr="00CB2268">
        <w:tc>
          <w:tcPr>
            <w:tcW w:w="4006" w:type="dxa"/>
          </w:tcPr>
          <w:p w:rsidR="00CB2268" w:rsidRDefault="00C51AF1" w:rsidP="00E9603D">
            <w:pPr>
              <w:pStyle w:val="libFootnote0"/>
              <w:rPr>
                <w:rtl/>
              </w:rPr>
            </w:pPr>
            <w:r>
              <w:rPr>
                <w:rtl/>
              </w:rPr>
              <w:t xml:space="preserve">(11). </w:t>
            </w:r>
            <w:r w:rsidRPr="00020424">
              <w:rPr>
                <w:rtl/>
              </w:rPr>
              <w:t>في « ظ » :</w:t>
            </w:r>
            <w:r>
              <w:rPr>
                <w:rtl/>
              </w:rPr>
              <w:t xml:space="preserve"> - </w:t>
            </w:r>
            <w:r w:rsidRPr="00020424">
              <w:rPr>
                <w:rtl/>
              </w:rPr>
              <w:t>« في اليوم أو</w:t>
            </w:r>
            <w:r>
              <w:rPr>
                <w:rtl/>
              </w:rPr>
              <w:t xml:space="preserve"> ».</w:t>
            </w:r>
          </w:p>
        </w:tc>
        <w:tc>
          <w:tcPr>
            <w:tcW w:w="4006" w:type="dxa"/>
          </w:tcPr>
          <w:p w:rsidR="00CB2268" w:rsidRDefault="00C51AF1" w:rsidP="00E9603D">
            <w:pPr>
              <w:pStyle w:val="libFootnote0"/>
              <w:rPr>
                <w:rtl/>
              </w:rPr>
            </w:pPr>
            <w:r>
              <w:rPr>
                <w:rtl/>
              </w:rPr>
              <w:t xml:space="preserve">(12). </w:t>
            </w:r>
            <w:r w:rsidRPr="00020424">
              <w:rPr>
                <w:rtl/>
              </w:rPr>
              <w:t>في « بر ، بف » :</w:t>
            </w:r>
            <w:r>
              <w:rPr>
                <w:rtl/>
              </w:rPr>
              <w:t xml:space="preserve"> - </w:t>
            </w:r>
            <w:r w:rsidRPr="00020424">
              <w:rPr>
                <w:rtl/>
              </w:rPr>
              <w:t>« في</w:t>
            </w:r>
            <w:r>
              <w:rPr>
                <w:rtl/>
              </w:rPr>
              <w:t xml:space="preserve"> ».</w:t>
            </w:r>
          </w:p>
        </w:tc>
      </w:tr>
    </w:tbl>
    <w:p w:rsidR="00992664" w:rsidRPr="00020424" w:rsidRDefault="00795177" w:rsidP="00E9603D">
      <w:pPr>
        <w:pStyle w:val="libFootnote0"/>
        <w:rPr>
          <w:rtl/>
          <w:lang w:bidi="fa-IR"/>
        </w:rPr>
      </w:pPr>
      <w:r>
        <w:rPr>
          <w:rtl/>
        </w:rPr>
        <w:t>(13).</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الماعون (107) : 7. </w:t>
      </w:r>
      <w:r w:rsidR="00992664">
        <w:rPr>
          <w:rtl/>
        </w:rPr>
        <w:t>و «</w:t>
      </w:r>
      <w:r w:rsidR="00992664" w:rsidRPr="00020424">
        <w:rPr>
          <w:rtl/>
        </w:rPr>
        <w:t xml:space="preserve"> الماعون » : كلّ ما فيه منفعة ، واختلف فيه ، فقيل : هي الزكاة المفروضة ، وهو المرويّ عن الإمام عليّ وأبي عبدالله </w:t>
      </w:r>
      <w:r w:rsidR="00D64ADA" w:rsidRPr="00D64ADA">
        <w:rPr>
          <w:rStyle w:val="libFootnoteAlaemChar"/>
          <w:rtl/>
        </w:rPr>
        <w:t>عليهما‌السلام</w:t>
      </w:r>
      <w:r w:rsidR="00992664" w:rsidRPr="00020424">
        <w:rPr>
          <w:rtl/>
        </w:rPr>
        <w:t xml:space="preserve"> ، وقيل : هو ما يتعاوره الناس بينهم من الدلو والفأس والقدر ، وما لايمنع ، كالماء والملح ، وقيل : هو المعروف كلّه. راجع : </w:t>
      </w:r>
      <w:r w:rsidR="00992664" w:rsidRPr="000E03D3">
        <w:rPr>
          <w:rtl/>
        </w:rPr>
        <w:t>مجمع البيان</w:t>
      </w:r>
      <w:r w:rsidR="00992664" w:rsidRPr="00020424">
        <w:rPr>
          <w:rtl/>
        </w:rPr>
        <w:t xml:space="preserve"> ، ج 10 ، ص 454 و457 ذيل الآية.</w:t>
      </w:r>
    </w:p>
    <w:tbl>
      <w:tblPr>
        <w:tblStyle w:val="TableGrid"/>
        <w:bidiVisual/>
        <w:tblW w:w="0" w:type="auto"/>
        <w:tblLook w:val="04A0" w:firstRow="1" w:lastRow="0" w:firstColumn="1" w:lastColumn="0" w:noHBand="0" w:noVBand="1"/>
      </w:tblPr>
      <w:tblGrid>
        <w:gridCol w:w="4006"/>
        <w:gridCol w:w="4006"/>
      </w:tblGrid>
      <w:tr w:rsidR="00C51AF1" w:rsidTr="00C51AF1">
        <w:tc>
          <w:tcPr>
            <w:tcW w:w="4006" w:type="dxa"/>
          </w:tcPr>
          <w:p w:rsidR="00C51AF1" w:rsidRDefault="00C51AF1" w:rsidP="00C51AF1">
            <w:pPr>
              <w:pStyle w:val="libFootnote0"/>
              <w:rPr>
                <w:rtl/>
                <w:lang w:bidi="fa-IR"/>
              </w:rPr>
            </w:pPr>
            <w:r>
              <w:rPr>
                <w:rtl/>
              </w:rPr>
              <w:t xml:space="preserve">(15). </w:t>
            </w:r>
            <w:r w:rsidRPr="00020424">
              <w:rPr>
                <w:rtl/>
              </w:rPr>
              <w:t>في « بث » : + « بعينه</w:t>
            </w:r>
            <w:r>
              <w:rPr>
                <w:rtl/>
              </w:rPr>
              <w:t xml:space="preserve"> ».</w:t>
            </w:r>
          </w:p>
        </w:tc>
        <w:tc>
          <w:tcPr>
            <w:tcW w:w="4006" w:type="dxa"/>
          </w:tcPr>
          <w:p w:rsidR="00C51AF1" w:rsidRDefault="00C51AF1" w:rsidP="00C51AF1">
            <w:pPr>
              <w:pStyle w:val="libFootnote0"/>
              <w:rPr>
                <w:rtl/>
                <w:lang w:bidi="fa-IR"/>
              </w:rPr>
            </w:pPr>
            <w:r>
              <w:rPr>
                <w:rtl/>
              </w:rPr>
              <w:t xml:space="preserve">(16). </w:t>
            </w:r>
            <w:r w:rsidRPr="00020424">
              <w:rPr>
                <w:rtl/>
              </w:rPr>
              <w:t>في « جن » :</w:t>
            </w:r>
            <w:r>
              <w:rPr>
                <w:rtl/>
              </w:rPr>
              <w:t xml:space="preserve"> - </w:t>
            </w:r>
            <w:r w:rsidRPr="00020424">
              <w:rPr>
                <w:rtl/>
              </w:rPr>
              <w:t>« يقرضه</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يصنعه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فَقُلْتُ </w:t>
      </w:r>
      <w:r w:rsidRPr="00A91B96">
        <w:rPr>
          <w:rStyle w:val="libFootnotenumChar"/>
          <w:rtl/>
        </w:rPr>
        <w:t>(1)</w:t>
      </w:r>
      <w:r w:rsidRPr="00020424">
        <w:rPr>
          <w:rtl/>
          <w:lang w:bidi="fa-IR"/>
        </w:rPr>
        <w:t xml:space="preserve"> لَهُ </w:t>
      </w:r>
      <w:r w:rsidRPr="00A91B96">
        <w:rPr>
          <w:rStyle w:val="libFootnotenumChar"/>
          <w:rtl/>
        </w:rPr>
        <w:t>(2)</w:t>
      </w:r>
      <w:r w:rsidRPr="00020424">
        <w:rPr>
          <w:rtl/>
          <w:lang w:bidi="fa-IR"/>
        </w:rPr>
        <w:t xml:space="preserve"> : إِنَّ لَنَا جِيرَاناً إِذَا أَعَرْنَاهُمْ مَتَاعاً </w:t>
      </w:r>
      <w:r w:rsidRPr="00A91B96">
        <w:rPr>
          <w:rStyle w:val="libFootnotenumChar"/>
          <w:rtl/>
        </w:rPr>
        <w:t>(3)</w:t>
      </w:r>
      <w:r w:rsidRPr="00020424">
        <w:rPr>
          <w:rtl/>
          <w:lang w:bidi="fa-IR"/>
        </w:rPr>
        <w:t xml:space="preserve"> ، كَسَرُوهُ ، وَأَفْسَدُوهُ ، فَعَلَيْنَا جُنَاحٌ </w:t>
      </w:r>
      <w:r w:rsidRPr="00A91B96">
        <w:rPr>
          <w:rStyle w:val="libFootnotenumChar"/>
          <w:rtl/>
        </w:rPr>
        <w:t>(4)</w:t>
      </w:r>
      <w:r w:rsidRPr="00020424">
        <w:rPr>
          <w:rtl/>
          <w:lang w:bidi="fa-IR"/>
        </w:rPr>
        <w:t xml:space="preserve"> إِنْ نَمْنَعْهُمْ</w:t>
      </w:r>
      <w:r>
        <w:rPr>
          <w:rtl/>
          <w:lang w:bidi="fa-IR"/>
        </w:rPr>
        <w:t>؟</w:t>
      </w:r>
    </w:p>
    <w:p w:rsidR="00992664" w:rsidRPr="00020424" w:rsidRDefault="00992664" w:rsidP="00992664">
      <w:pPr>
        <w:pStyle w:val="libNormal"/>
        <w:rPr>
          <w:rtl/>
          <w:lang w:bidi="fa-IR"/>
        </w:rPr>
      </w:pPr>
      <w:r w:rsidRPr="00020424">
        <w:rPr>
          <w:rtl/>
          <w:lang w:bidi="fa-IR"/>
        </w:rPr>
        <w:t xml:space="preserve">فَقَالَ : « لَا ، لَيْسَ عَلَيْكُمْ </w:t>
      </w:r>
      <w:r w:rsidRPr="00A91B96">
        <w:rPr>
          <w:rStyle w:val="libFootnotenumChar"/>
          <w:rtl/>
        </w:rPr>
        <w:t>(5)</w:t>
      </w:r>
      <w:r w:rsidRPr="00020424">
        <w:rPr>
          <w:rtl/>
          <w:lang w:bidi="fa-IR"/>
        </w:rPr>
        <w:t xml:space="preserve"> جُنَاحٌ إِنْ تَمْنَعُوهُمْ </w:t>
      </w:r>
      <w:r w:rsidRPr="00A91B96">
        <w:rPr>
          <w:rStyle w:val="libFootnotenumChar"/>
          <w:rtl/>
        </w:rPr>
        <w:t>(6)</w:t>
      </w:r>
      <w:r w:rsidRPr="00020424">
        <w:rPr>
          <w:rtl/>
          <w:lang w:bidi="fa-IR"/>
        </w:rPr>
        <w:t xml:space="preserve"> إِذَا كَانُوا كَذلِكَ</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لَهُ : </w:t>
      </w:r>
      <w:r w:rsidRPr="00005A81">
        <w:rPr>
          <w:rStyle w:val="libAlaemChar"/>
          <w:rtl/>
        </w:rPr>
        <w:t>(</w:t>
      </w:r>
      <w:r w:rsidRPr="004E5AB4">
        <w:rPr>
          <w:rStyle w:val="libAieChar"/>
          <w:rtl/>
        </w:rPr>
        <w:t xml:space="preserve"> وَيُطْعِمُونَ الطَّعامَ عَلى حُبِّهِ مِسْكِيناً وَيَتِيماً وَأَسِيراً </w:t>
      </w:r>
      <w:r w:rsidRPr="00005A81">
        <w:rPr>
          <w:rStyle w:val="libAlaemChar"/>
          <w:rtl/>
        </w:rPr>
        <w:t>)</w:t>
      </w:r>
      <w:r w:rsidRPr="00020424">
        <w:rPr>
          <w:rtl/>
          <w:lang w:bidi="fa-IR"/>
        </w:rPr>
        <w:t xml:space="preserve">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قَالَ : « لَيْسَ مِنَ الزَّكَاةِ » </w:t>
      </w:r>
      <w:r w:rsidRPr="00A91B96">
        <w:rPr>
          <w:rStyle w:val="libFootnotenumChar"/>
          <w:rtl/>
        </w:rPr>
        <w:t>(8)</w:t>
      </w:r>
      <w:r w:rsidR="00762261">
        <w:rPr>
          <w:rFonts w:hint="cs"/>
          <w:rtl/>
          <w:lang w:bidi="fa-IR"/>
        </w:rPr>
        <w:t>.</w:t>
      </w:r>
    </w:p>
    <w:p w:rsidR="00992664" w:rsidRPr="00020424" w:rsidRDefault="00992664" w:rsidP="00992664">
      <w:pPr>
        <w:pStyle w:val="libNormal"/>
        <w:rPr>
          <w:rtl/>
          <w:lang w:bidi="fa-IR"/>
        </w:rPr>
      </w:pPr>
      <w:r w:rsidRPr="00020424">
        <w:rPr>
          <w:rtl/>
          <w:lang w:bidi="fa-IR"/>
        </w:rPr>
        <w:t xml:space="preserve">قُلْتُ : قَوْلُهُ عَزَّ وَجَلَّ : </w:t>
      </w:r>
      <w:r w:rsidRPr="00005A81">
        <w:rPr>
          <w:rStyle w:val="libAlaemChar"/>
          <w:rtl/>
        </w:rPr>
        <w:t>(</w:t>
      </w:r>
      <w:r w:rsidRPr="004E5AB4">
        <w:rPr>
          <w:rStyle w:val="libAieChar"/>
          <w:rtl/>
        </w:rPr>
        <w:t xml:space="preserve"> الَّذِينَ يُنْفِقُونَ أَمْوالَهُمْ بِاللَّيْلِ وَالنَّهارِ سِرًّا وَعَلانِيَةً </w:t>
      </w:r>
      <w:r w:rsidRPr="00005A81">
        <w:rPr>
          <w:rStyle w:val="libAlaemChar"/>
          <w:rtl/>
        </w:rPr>
        <w:t>)</w:t>
      </w:r>
      <w:r w:rsidRPr="00020424">
        <w:rPr>
          <w:rtl/>
          <w:lang w:bidi="fa-IR"/>
        </w:rPr>
        <w:t xml:space="preserve"> </w:t>
      </w:r>
      <w:r w:rsidRPr="00A91B96">
        <w:rPr>
          <w:rStyle w:val="libFootnotenumChar"/>
          <w:rtl/>
        </w:rPr>
        <w:t>(9)</w:t>
      </w:r>
      <w:r>
        <w:rPr>
          <w:rtl/>
          <w:lang w:bidi="fa-IR"/>
        </w:rPr>
        <w:t>؟</w:t>
      </w:r>
    </w:p>
    <w:p w:rsidR="00992664" w:rsidRPr="00020424" w:rsidRDefault="00992664" w:rsidP="00992664">
      <w:pPr>
        <w:pStyle w:val="libNormal"/>
        <w:rPr>
          <w:rtl/>
          <w:lang w:bidi="fa-IR"/>
        </w:rPr>
      </w:pPr>
      <w:r w:rsidRPr="00020424">
        <w:rPr>
          <w:rtl/>
          <w:lang w:bidi="fa-IR"/>
        </w:rPr>
        <w:t>قَالَ : « لَيْسَ مِنَ الزَّكَاةِ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قُلْتُ </w:t>
      </w:r>
      <w:r w:rsidRPr="00A91B96">
        <w:rPr>
          <w:rStyle w:val="libFootnotenumChar"/>
          <w:rtl/>
        </w:rPr>
        <w:t>(11)</w:t>
      </w:r>
      <w:r w:rsidRPr="00020424">
        <w:rPr>
          <w:rtl/>
          <w:lang w:bidi="fa-IR"/>
        </w:rPr>
        <w:t xml:space="preserve"> : فَقَوْلُهُ </w:t>
      </w:r>
      <w:r w:rsidRPr="00A91B96">
        <w:rPr>
          <w:rStyle w:val="libFootnotenumChar"/>
          <w:rtl/>
        </w:rPr>
        <w:t>(12)</w:t>
      </w:r>
      <w:r w:rsidRPr="00020424">
        <w:rPr>
          <w:rtl/>
          <w:lang w:bidi="fa-IR"/>
        </w:rPr>
        <w:t xml:space="preserve"> عَزَّ وَجَلَّ : </w:t>
      </w:r>
      <w:r w:rsidRPr="00005A81">
        <w:rPr>
          <w:rStyle w:val="libAlaemChar"/>
          <w:rtl/>
        </w:rPr>
        <w:t>(</w:t>
      </w:r>
      <w:r w:rsidRPr="004E5AB4">
        <w:rPr>
          <w:rStyle w:val="libAieChar"/>
          <w:rtl/>
        </w:rPr>
        <w:t xml:space="preserve"> إِنْ تُبْدُوا الصَّدَقاتِ فَنِعِمّا هِيَ وَإِنْ تُخْفُوها وَتُؤْتُوهَا الْفُقَراءَ فَهُوَ خَيْرٌ لَكُمْ </w:t>
      </w:r>
      <w:r w:rsidRPr="00005A81">
        <w:rPr>
          <w:rStyle w:val="libAlaemChar"/>
          <w:rtl/>
        </w:rPr>
        <w:t>)</w:t>
      </w:r>
      <w:r w:rsidRPr="00020424">
        <w:rPr>
          <w:rtl/>
          <w:lang w:bidi="fa-IR"/>
        </w:rPr>
        <w:t xml:space="preserve"> </w:t>
      </w:r>
      <w:r w:rsidRPr="00A91B96">
        <w:rPr>
          <w:rStyle w:val="libFootnotenumChar"/>
          <w:rtl/>
        </w:rPr>
        <w:t>(13)</w:t>
      </w:r>
      <w:r>
        <w:rPr>
          <w:rtl/>
          <w:lang w:bidi="fa-IR"/>
        </w:rPr>
        <w:t>؟</w:t>
      </w:r>
    </w:p>
    <w:p w:rsidR="00992664" w:rsidRPr="00020424" w:rsidRDefault="00992664" w:rsidP="00992664">
      <w:pPr>
        <w:pStyle w:val="libNormal"/>
        <w:rPr>
          <w:rtl/>
          <w:lang w:bidi="fa-IR"/>
        </w:rPr>
      </w:pPr>
      <w:r w:rsidRPr="00020424">
        <w:rPr>
          <w:rtl/>
          <w:lang w:bidi="fa-IR"/>
        </w:rPr>
        <w:t>قَالَ : « لَيْسَ مِنَ الزَّكَاةِ ، وَصِلَتُكَ قَرَابَتَكَ لَيْسَ مِنَ الزَّكَاةِ</w:t>
      </w:r>
      <w:r>
        <w:rPr>
          <w:rtl/>
          <w:lang w:bidi="fa-IR"/>
        </w:rPr>
        <w:t xml:space="preserve"> ».</w:t>
      </w:r>
      <w:r w:rsidRPr="00020424">
        <w:rPr>
          <w:rtl/>
          <w:lang w:bidi="fa-IR"/>
        </w:rPr>
        <w:t xml:space="preserve"> </w:t>
      </w:r>
      <w:r w:rsidRPr="00A91B96">
        <w:rPr>
          <w:rStyle w:val="libFootnotenumChar"/>
          <w:rtl/>
        </w:rPr>
        <w:t>(14)</w:t>
      </w:r>
    </w:p>
    <w:p w:rsidR="00992664" w:rsidRPr="00020424" w:rsidRDefault="00992664" w:rsidP="00992664">
      <w:pPr>
        <w:pStyle w:val="libNormal"/>
        <w:rPr>
          <w:rtl/>
          <w:lang w:bidi="fa-IR"/>
        </w:rPr>
      </w:pPr>
      <w:r w:rsidRPr="000E03D3">
        <w:rPr>
          <w:rtl/>
        </w:rPr>
        <w:t>5729</w:t>
      </w:r>
      <w:r w:rsidRPr="001155DE">
        <w:rPr>
          <w:rStyle w:val="libBold2Char"/>
          <w:rtl/>
        </w:rPr>
        <w:t xml:space="preserve"> / 10.</w:t>
      </w:r>
      <w:r w:rsidRPr="00020424">
        <w:rPr>
          <w:rtl/>
          <w:lang w:bidi="fa-IR"/>
        </w:rPr>
        <w:t xml:space="preserve"> عَلِيُّ بْنُ مُحَمَّدِ بْنِ عَبْدِ اللهِ ، عَنْ أَحْمَدَ بْنِ مُحَمَّدِ بْنِ خَالِدٍ ، عَنْ عُثْمَانَ بْنِ عِيسى ، عَنْ إِسْمَاعِيلَ بْنِ جَابِرٍ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وَالَّذِينَ فِي أَمْوالِهِمْ حَقٌّ مَعْلُومٌ</w:t>
      </w:r>
      <w:r w:rsidR="00F7418F">
        <w:rPr>
          <w:rStyle w:val="libAieChar"/>
          <w:rFonts w:hint="cs"/>
          <w:rtl/>
        </w:rPr>
        <w:t xml:space="preserve"> *</w:t>
      </w:r>
      <w:r w:rsidRPr="004E5AB4">
        <w:rPr>
          <w:rStyle w:val="libAieChar"/>
          <w:rtl/>
        </w:rPr>
        <w:t xml:space="preserve"> لِلسّائِلِ</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F7418F" w:rsidTr="00F7418F">
        <w:tc>
          <w:tcPr>
            <w:tcW w:w="4006" w:type="dxa"/>
          </w:tcPr>
          <w:p w:rsidR="00F7418F" w:rsidRDefault="00F7418F" w:rsidP="00992664">
            <w:pPr>
              <w:pStyle w:val="libFootnote0"/>
              <w:rPr>
                <w:rtl/>
              </w:rPr>
            </w:pPr>
            <w:r>
              <w:rPr>
                <w:rtl/>
              </w:rPr>
              <w:t xml:space="preserve">(1). </w:t>
            </w:r>
            <w:r w:rsidRPr="00020424">
              <w:rPr>
                <w:rtl/>
              </w:rPr>
              <w:t>في « بخ » : « فقلنا</w:t>
            </w:r>
            <w:r>
              <w:rPr>
                <w:rtl/>
              </w:rPr>
              <w:t xml:space="preserve"> ».</w:t>
            </w:r>
          </w:p>
        </w:tc>
        <w:tc>
          <w:tcPr>
            <w:tcW w:w="4006" w:type="dxa"/>
          </w:tcPr>
          <w:p w:rsidR="00F7418F" w:rsidRDefault="00F7418F" w:rsidP="00F7418F">
            <w:pPr>
              <w:pStyle w:val="libFootnote0"/>
              <w:rPr>
                <w:rtl/>
              </w:rPr>
            </w:pPr>
            <w:r>
              <w:rPr>
                <w:rtl/>
              </w:rPr>
              <w:t xml:space="preserve">(2). </w:t>
            </w:r>
            <w:r w:rsidRPr="00020424">
              <w:rPr>
                <w:rtl/>
              </w:rPr>
              <w:t>في«ى،بث،بخ،بر،بس،بف»</w:t>
            </w:r>
            <w:r w:rsidRPr="00515444">
              <w:rPr>
                <w:rStyle w:val="libFootnoteBoldChar"/>
                <w:rtl/>
              </w:rPr>
              <w:t>والوافي</w:t>
            </w:r>
            <w:r w:rsidRPr="00020424">
              <w:rPr>
                <w:rtl/>
              </w:rPr>
              <w:t>:</w:t>
            </w:r>
            <w:r>
              <w:rPr>
                <w:rtl/>
              </w:rPr>
              <w:t>-</w:t>
            </w:r>
            <w:r w:rsidRPr="00020424">
              <w:rPr>
                <w:rtl/>
              </w:rPr>
              <w:t>«له</w:t>
            </w:r>
            <w:r>
              <w:rPr>
                <w:rtl/>
              </w:rPr>
              <w:t>».</w:t>
            </w:r>
          </w:p>
        </w:tc>
      </w:tr>
      <w:tr w:rsidR="00F7418F" w:rsidTr="00F7418F">
        <w:tc>
          <w:tcPr>
            <w:tcW w:w="4006" w:type="dxa"/>
          </w:tcPr>
          <w:p w:rsidR="00F7418F" w:rsidRDefault="00F7418F" w:rsidP="00992664">
            <w:pPr>
              <w:pStyle w:val="libFootnote0"/>
              <w:rPr>
                <w:rtl/>
              </w:rPr>
            </w:pPr>
            <w:r>
              <w:rPr>
                <w:rtl/>
              </w:rPr>
              <w:t xml:space="preserve">(3). </w:t>
            </w:r>
            <w:r w:rsidRPr="00020424">
              <w:rPr>
                <w:rtl/>
              </w:rPr>
              <w:t xml:space="preserve">في « بر » </w:t>
            </w:r>
            <w:r w:rsidRPr="00515444">
              <w:rPr>
                <w:rStyle w:val="libFootnoteBoldChar"/>
                <w:rtl/>
              </w:rPr>
              <w:t>والوافي</w:t>
            </w:r>
            <w:r w:rsidRPr="00020424">
              <w:rPr>
                <w:rtl/>
              </w:rPr>
              <w:t xml:space="preserve"> : « متاعنا</w:t>
            </w:r>
            <w:r>
              <w:rPr>
                <w:rtl/>
              </w:rPr>
              <w:t xml:space="preserve"> ».</w:t>
            </w:r>
          </w:p>
        </w:tc>
        <w:tc>
          <w:tcPr>
            <w:tcW w:w="4006" w:type="dxa"/>
          </w:tcPr>
          <w:p w:rsidR="00F7418F" w:rsidRDefault="00F7418F" w:rsidP="00992664">
            <w:pPr>
              <w:pStyle w:val="libFootnote0"/>
              <w:rPr>
                <w:rtl/>
              </w:rPr>
            </w:pPr>
            <w:r>
              <w:rPr>
                <w:rtl/>
              </w:rPr>
              <w:t xml:space="preserve">(4). </w:t>
            </w:r>
            <w:r w:rsidRPr="00020424">
              <w:rPr>
                <w:rtl/>
              </w:rPr>
              <w:t>في « بح » : + « في</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بخ ، بر » وحاشية « بف » </w:t>
      </w:r>
      <w:r w:rsidR="00992664" w:rsidRPr="00515444">
        <w:rPr>
          <w:rStyle w:val="libFootnoteBoldChar"/>
          <w:rtl/>
        </w:rPr>
        <w:t>والوافي</w:t>
      </w:r>
      <w:r w:rsidR="00992664" w:rsidRPr="00020424">
        <w:rPr>
          <w:rtl/>
        </w:rPr>
        <w:t xml:space="preserve"> : « عليك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بخ ، بر » وحاشية « بف » : « إن تمنعهم » ، وفي « جن » : « إن تمنعونهم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D59AA" w:rsidTr="004D59AA">
        <w:tc>
          <w:tcPr>
            <w:tcW w:w="4006" w:type="dxa"/>
          </w:tcPr>
          <w:p w:rsidR="004D59AA" w:rsidRDefault="004D59AA" w:rsidP="00992664">
            <w:pPr>
              <w:pStyle w:val="libFootnote0"/>
              <w:rPr>
                <w:rtl/>
              </w:rPr>
            </w:pPr>
            <w:r>
              <w:rPr>
                <w:rtl/>
              </w:rPr>
              <w:t xml:space="preserve">(7). </w:t>
            </w:r>
            <w:r w:rsidRPr="00020424">
              <w:rPr>
                <w:rtl/>
              </w:rPr>
              <w:t>الإنسان (76) : 8.</w:t>
            </w:r>
          </w:p>
        </w:tc>
        <w:tc>
          <w:tcPr>
            <w:tcW w:w="4006" w:type="dxa"/>
          </w:tcPr>
          <w:p w:rsidR="004D59AA" w:rsidRDefault="004D59AA" w:rsidP="00992664">
            <w:pPr>
              <w:pStyle w:val="libFootnote0"/>
              <w:rPr>
                <w:rtl/>
              </w:rPr>
            </w:pPr>
            <w:r>
              <w:rPr>
                <w:rtl/>
              </w:rPr>
              <w:t>(8). في</w:t>
            </w:r>
            <w:r w:rsidRPr="00020424">
              <w:rPr>
                <w:rtl/>
              </w:rPr>
              <w:t>«ظ،ى،بث،بح،بر،جن»</w:t>
            </w:r>
            <w:r w:rsidRPr="00EB1FD9">
              <w:rPr>
                <w:rStyle w:val="libFootnoteBoldChar"/>
                <w:rtl/>
              </w:rPr>
              <w:t>والوسائل</w:t>
            </w:r>
            <w:r w:rsidRPr="00020424">
              <w:rPr>
                <w:rtl/>
              </w:rPr>
              <w:t>:+«قال</w:t>
            </w:r>
            <w:r>
              <w:rPr>
                <w:rtl/>
              </w:rPr>
              <w:t>».</w:t>
            </w:r>
          </w:p>
        </w:tc>
      </w:tr>
      <w:tr w:rsidR="004D59AA" w:rsidTr="004D59AA">
        <w:tc>
          <w:tcPr>
            <w:tcW w:w="4006" w:type="dxa"/>
          </w:tcPr>
          <w:p w:rsidR="004D59AA" w:rsidRDefault="004D59AA" w:rsidP="00992664">
            <w:pPr>
              <w:pStyle w:val="libFootnote0"/>
              <w:rPr>
                <w:rtl/>
              </w:rPr>
            </w:pPr>
            <w:r>
              <w:rPr>
                <w:rtl/>
              </w:rPr>
              <w:t xml:space="preserve">(9). </w:t>
            </w:r>
            <w:r w:rsidRPr="00020424">
              <w:rPr>
                <w:rtl/>
              </w:rPr>
              <w:t xml:space="preserve">البقرة </w:t>
            </w:r>
            <w:r>
              <w:rPr>
                <w:rtl/>
              </w:rPr>
              <w:t xml:space="preserve">(2). </w:t>
            </w:r>
            <w:r w:rsidRPr="00020424">
              <w:rPr>
                <w:rtl/>
              </w:rPr>
              <w:t>: 274.</w:t>
            </w:r>
          </w:p>
        </w:tc>
        <w:tc>
          <w:tcPr>
            <w:tcW w:w="4006" w:type="dxa"/>
          </w:tcPr>
          <w:p w:rsidR="004D59AA" w:rsidRDefault="004D59AA" w:rsidP="00992664">
            <w:pPr>
              <w:pStyle w:val="libFootnote0"/>
              <w:rPr>
                <w:rtl/>
              </w:rPr>
            </w:pPr>
            <w:r>
              <w:rPr>
                <w:rtl/>
              </w:rPr>
              <w:t xml:space="preserve">(10). </w:t>
            </w:r>
            <w:r w:rsidRPr="00020424">
              <w:rPr>
                <w:rtl/>
              </w:rPr>
              <w:t>في«بخ،بس،بف»</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w:t>
            </w:r>
            <w:r>
              <w:rPr>
                <w:rtl/>
              </w:rPr>
              <w:t>-</w:t>
            </w:r>
            <w:r w:rsidRPr="00020424">
              <w:rPr>
                <w:rtl/>
              </w:rPr>
              <w:t>«قال</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 ى ، بث ، بح ، بخ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 « فقلت</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هكذا في « بث ، بح ، بخ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 « قوله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البقرة </w:t>
      </w:r>
      <w:r>
        <w:rPr>
          <w:rtl/>
        </w:rPr>
        <w:t>(2).</w:t>
      </w:r>
      <w:r w:rsidR="0014403D">
        <w:rPr>
          <w:rtl/>
        </w:rPr>
        <w:t xml:space="preserve"> </w:t>
      </w:r>
      <w:r w:rsidR="00992664" w:rsidRPr="00020424">
        <w:rPr>
          <w:rtl/>
        </w:rPr>
        <w:t>: 271.</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375 ، ح 9715 ؛ </w:t>
      </w:r>
      <w:r w:rsidR="00992664" w:rsidRPr="0012008A">
        <w:rPr>
          <w:rStyle w:val="libFootnoteBoldChar"/>
          <w:rtl/>
        </w:rPr>
        <w:t>الوسائل</w:t>
      </w:r>
      <w:r w:rsidR="00992664" w:rsidRPr="00020424">
        <w:rPr>
          <w:rtl/>
        </w:rPr>
        <w:t xml:space="preserve"> ، ج 9 ، ص 47 ، ح 11488 ؛ </w:t>
      </w:r>
      <w:r w:rsidR="00992664" w:rsidRPr="000E03D3">
        <w:rPr>
          <w:rtl/>
        </w:rPr>
        <w:t>وفيه</w:t>
      </w:r>
      <w:r w:rsidR="00992664" w:rsidRPr="00020424">
        <w:rPr>
          <w:rtl/>
        </w:rPr>
        <w:t xml:space="preserve"> ، ص 31 ، ح 11449 ، من قوله : « إنّ الزكاة ليس يحمد بها » إلى قوله : « وسمّي بها مسلماً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25A4A">
      <w:pPr>
        <w:pStyle w:val="libNormal0"/>
        <w:rPr>
          <w:rtl/>
          <w:lang w:bidi="fa-IR"/>
        </w:rPr>
      </w:pPr>
      <w:r w:rsidRPr="004E5AB4">
        <w:rPr>
          <w:rStyle w:val="libAieChar"/>
          <w:rtl/>
        </w:rPr>
        <w:lastRenderedPageBreak/>
        <w:t xml:space="preserve">وَالْمَحْرُومِ </w:t>
      </w:r>
      <w:r w:rsidRPr="00005A81">
        <w:rPr>
          <w:rStyle w:val="libAlaemChar"/>
          <w:rtl/>
        </w:rPr>
        <w:t>)</w:t>
      </w:r>
      <w:r>
        <w:rPr>
          <w:rtl/>
          <w:lang w:bidi="fa-IR"/>
        </w:rPr>
        <w:t xml:space="preserve"> أَ</w:t>
      </w:r>
      <w:r w:rsidRPr="00020424">
        <w:rPr>
          <w:rtl/>
          <w:lang w:bidi="fa-IR"/>
        </w:rPr>
        <w:t>هُوَ سِوَى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هُوَ الرَّجُلُ يُؤْتِيهِ اللهُ الثَّرْوَةَ مِنَ الْمَالِ ، فَيُخْرِجُ مِنْهُ الْأَلْفَ وَالْأَلْفَيْنِ وَالثَّلَاثَةَ الْآلَافِ </w:t>
      </w:r>
      <w:r w:rsidRPr="00A91B96">
        <w:rPr>
          <w:rStyle w:val="libFootnotenumChar"/>
          <w:rtl/>
        </w:rPr>
        <w:t>(1)</w:t>
      </w:r>
      <w:r w:rsidRPr="00020424">
        <w:rPr>
          <w:rtl/>
          <w:lang w:bidi="fa-IR"/>
        </w:rPr>
        <w:t xml:space="preserve"> وَالْأَقَلَّ وَالْأَكْثَرَ ، فَيَصِلُ بِهِ رَحِمَهُ ، وَيَحْمِلُ </w:t>
      </w:r>
      <w:r w:rsidRPr="00A91B96">
        <w:rPr>
          <w:rStyle w:val="libFootnotenumChar"/>
          <w:rtl/>
        </w:rPr>
        <w:t>(2)</w:t>
      </w:r>
      <w:r w:rsidRPr="00020424">
        <w:rPr>
          <w:rtl/>
          <w:lang w:bidi="fa-IR"/>
        </w:rPr>
        <w:t xml:space="preserve"> بِهِ الْكَلَّ </w:t>
      </w:r>
      <w:r w:rsidRPr="00A91B96">
        <w:rPr>
          <w:rStyle w:val="libFootnotenumChar"/>
          <w:rtl/>
        </w:rPr>
        <w:t>(3)</w:t>
      </w:r>
      <w:r w:rsidRPr="00020424">
        <w:rPr>
          <w:rtl/>
          <w:lang w:bidi="fa-IR"/>
        </w:rPr>
        <w:t xml:space="preserve"> عَنْ قَوْمِهِ</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0E03D3">
        <w:rPr>
          <w:rtl/>
        </w:rPr>
        <w:t>5730</w:t>
      </w:r>
      <w:r w:rsidRPr="001155DE">
        <w:rPr>
          <w:rStyle w:val="libBold2Char"/>
          <w:rtl/>
        </w:rPr>
        <w:t xml:space="preserve"> / 11.</w:t>
      </w:r>
      <w:r w:rsidRPr="00020424">
        <w:rPr>
          <w:rtl/>
          <w:lang w:bidi="fa-IR"/>
        </w:rPr>
        <w:t xml:space="preserve"> عَنْهُ ، عَنْ أَحْمَدَ بْنِ مُحَمَّدٍ ، عَنِ الْحَسَنِ </w:t>
      </w:r>
      <w:r w:rsidRPr="00A91B96">
        <w:rPr>
          <w:rStyle w:val="libFootnotenumChar"/>
          <w:rtl/>
        </w:rPr>
        <w:t>(5)</w:t>
      </w:r>
      <w:r w:rsidRPr="00020424">
        <w:rPr>
          <w:rtl/>
          <w:lang w:bidi="fa-IR"/>
        </w:rPr>
        <w:t xml:space="preserve"> بْنِ مَحْبُوبٍ ، عَنْ عَبْدِ الرَّحْمنِ بْنِ الْحَجَّاجِ ، عَنِ الْقَاسِمِ بْنِ عَبْدِ الرَّحْمنِ الْأَنْصَارِيِّ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إِنَّ رَجُلاً جَاءَ إِلى أَبِي عَلِيِّ بْنِ الْحُسَيْنِ </w:t>
      </w:r>
      <w:r w:rsidRPr="00005A81">
        <w:rPr>
          <w:rStyle w:val="libAlaemChar"/>
          <w:rtl/>
        </w:rPr>
        <w:t>عليهما‌السلام</w:t>
      </w:r>
      <w:r w:rsidRPr="00020424">
        <w:rPr>
          <w:rtl/>
          <w:lang w:bidi="fa-IR"/>
        </w:rPr>
        <w:t xml:space="preserve"> فَقَالَ لَهُ :</w:t>
      </w:r>
      <w:r>
        <w:rPr>
          <w:rFonts w:hint="cs"/>
          <w:rtl/>
          <w:lang w:bidi="fa-IR"/>
        </w:rPr>
        <w:t xml:space="preserve"> </w:t>
      </w:r>
      <w:r w:rsidRPr="00020424">
        <w:rPr>
          <w:rtl/>
          <w:lang w:bidi="fa-IR"/>
        </w:rPr>
        <w:t xml:space="preserve">أَخْبِرْنِي عَنْ قَوْلِ اللهِ عَزَّ وَجَلَّ : </w:t>
      </w:r>
      <w:r w:rsidRPr="00005A81">
        <w:rPr>
          <w:rStyle w:val="libAlaemChar"/>
          <w:rtl/>
        </w:rPr>
        <w:t>(</w:t>
      </w:r>
      <w:r w:rsidRPr="004E5AB4">
        <w:rPr>
          <w:rStyle w:val="libAieChar"/>
          <w:rtl/>
        </w:rPr>
        <w:t xml:space="preserve"> وَالَّذِينَ فِي أَمْوالِهِمْ حَقٌّ مَعْلُومٌ </w:t>
      </w:r>
      <w:r w:rsidR="00E60A4A">
        <w:rPr>
          <w:rStyle w:val="libAieChar"/>
          <w:rFonts w:hint="cs"/>
          <w:rtl/>
        </w:rPr>
        <w:t xml:space="preserve">* </w:t>
      </w:r>
      <w:r w:rsidRPr="004E5AB4">
        <w:rPr>
          <w:rStyle w:val="libAieChar"/>
          <w:rtl/>
        </w:rPr>
        <w:t xml:space="preserve">لِلسّائِلِ وَالْمَحْرُومِ </w:t>
      </w:r>
      <w:r w:rsidRPr="00005A81">
        <w:rPr>
          <w:rStyle w:val="libAlaemChar"/>
          <w:rtl/>
        </w:rPr>
        <w:t>)</w:t>
      </w:r>
      <w:r w:rsidRPr="00020424">
        <w:rPr>
          <w:rtl/>
          <w:lang w:bidi="fa-IR"/>
        </w:rPr>
        <w:t xml:space="preserve"> مَا هذَا الْحَقُّ الْمَعْلُومُ </w:t>
      </w:r>
      <w:r w:rsidRPr="00A91B96">
        <w:rPr>
          <w:rStyle w:val="libFootnotenumChar"/>
          <w:rtl/>
        </w:rPr>
        <w:t>(6)</w:t>
      </w:r>
      <w:r>
        <w:rPr>
          <w:rtl/>
          <w:lang w:bidi="fa-IR"/>
        </w:rPr>
        <w:t>؟</w:t>
      </w:r>
    </w:p>
    <w:p w:rsidR="00992664" w:rsidRPr="00020424" w:rsidRDefault="00992664" w:rsidP="00992664">
      <w:pPr>
        <w:pStyle w:val="libNormal"/>
        <w:rPr>
          <w:rtl/>
          <w:lang w:bidi="fa-IR"/>
        </w:rPr>
      </w:pPr>
      <w:r w:rsidRPr="00020424">
        <w:rPr>
          <w:rtl/>
          <w:lang w:bidi="fa-IR"/>
        </w:rPr>
        <w:t xml:space="preserve">فَقَالَ لَهُ عَلِيُّ بْنُ الْحُسَيْنِ </w:t>
      </w:r>
      <w:r w:rsidRPr="00005A81">
        <w:rPr>
          <w:rStyle w:val="libAlaemChar"/>
          <w:rtl/>
        </w:rPr>
        <w:t>عليهما‌السلام</w:t>
      </w:r>
      <w:r w:rsidRPr="00020424">
        <w:rPr>
          <w:rtl/>
          <w:lang w:bidi="fa-IR"/>
        </w:rPr>
        <w:t xml:space="preserve"> : الْحَقُّ الْمَعْلُومُ : الشَّيْ‌ءُ يُخْرِجُهُ </w:t>
      </w:r>
      <w:r w:rsidRPr="00A91B96">
        <w:rPr>
          <w:rStyle w:val="libFootnotenumChar"/>
          <w:rtl/>
        </w:rPr>
        <w:t>(7)</w:t>
      </w:r>
      <w:r w:rsidRPr="00020424">
        <w:rPr>
          <w:rtl/>
          <w:lang w:bidi="fa-IR"/>
        </w:rPr>
        <w:t xml:space="preserve"> مِنْ مَالِهِ </w:t>
      </w:r>
      <w:r w:rsidRPr="00A91B96">
        <w:rPr>
          <w:rStyle w:val="libFootnotenumChar"/>
          <w:rtl/>
        </w:rPr>
        <w:t>(8)</w:t>
      </w:r>
      <w:r w:rsidRPr="00020424">
        <w:rPr>
          <w:rtl/>
          <w:lang w:bidi="fa-IR"/>
        </w:rPr>
        <w:t xml:space="preserve"> لَيْسَ مِنَ الزَّكَاةِ ، وَلَامِنَ الصَّدَقَةِ الْمَفْرُوضَتَيْنِ.</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(9)</w:t>
      </w:r>
      <w:r w:rsidRPr="00020424">
        <w:rPr>
          <w:rtl/>
          <w:lang w:bidi="fa-IR"/>
        </w:rPr>
        <w:t xml:space="preserve"> : فَإِذَا </w:t>
      </w:r>
      <w:r w:rsidRPr="00A91B96">
        <w:rPr>
          <w:rStyle w:val="libFootnotenumChar"/>
          <w:rtl/>
        </w:rPr>
        <w:t>(10)</w:t>
      </w:r>
      <w:r w:rsidRPr="00020424">
        <w:rPr>
          <w:rtl/>
          <w:lang w:bidi="fa-IR"/>
        </w:rPr>
        <w:t xml:space="preserve"> لَمْ يَكُنْ مِنَ الزَّكَاةِ وَلَامِنَ الصَّدَقَةِ ، فَمَا هُوَ</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(11)</w:t>
      </w:r>
      <w:r w:rsidRPr="00020424">
        <w:rPr>
          <w:rtl/>
          <w:lang w:bidi="fa-IR"/>
        </w:rPr>
        <w:t xml:space="preserve"> : هُوَ </w:t>
      </w:r>
      <w:r w:rsidRPr="00A91B96">
        <w:rPr>
          <w:rStyle w:val="libFootnotenumChar"/>
          <w:rtl/>
        </w:rPr>
        <w:t>(12)</w:t>
      </w:r>
      <w:r w:rsidRPr="00020424">
        <w:rPr>
          <w:rtl/>
          <w:lang w:bidi="fa-IR"/>
        </w:rPr>
        <w:t xml:space="preserve"> الشَّيْ‌ءُ يُخْرِجُهُ الرَّجُلُ </w:t>
      </w:r>
      <w:r w:rsidRPr="00A91B96">
        <w:rPr>
          <w:rStyle w:val="libFootnotenumChar"/>
          <w:rtl/>
        </w:rPr>
        <w:t>(13)</w:t>
      </w:r>
      <w:r w:rsidRPr="00020424">
        <w:rPr>
          <w:rtl/>
          <w:lang w:bidi="fa-IR"/>
        </w:rPr>
        <w:t xml:space="preserve"> مِنْ مَالِهِ إِنْ شَاءَ أَكْثَرَ ، وَإِنْ شَاءَ أَقَلَّ عَلى قَدْرِ مَا يَمْلِكُ ، فَقَالَ لَهُ الرَّجُلُ : فَمَا يَصْنَعُ بِهِ</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بخ ، بر ، بف ، جن » </w:t>
      </w:r>
      <w:r w:rsidR="00992664" w:rsidRPr="00515444">
        <w:rPr>
          <w:rStyle w:val="libFootnoteBoldChar"/>
          <w:rtl/>
        </w:rPr>
        <w:t>والوافي</w:t>
      </w:r>
      <w:r w:rsidR="00992664" w:rsidRPr="00020424">
        <w:rPr>
          <w:rtl/>
        </w:rPr>
        <w:t xml:space="preserve"> : « آلاف</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ويحتمل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الكَلُّ » : الثقل من كلّ ما يُتَكَلَّفُ. والكَلّ أيضاً : العِيال. ا</w:t>
      </w:r>
      <w:r w:rsidR="00E60A4A">
        <w:rPr>
          <w:rFonts w:hint="cs"/>
          <w:rtl/>
        </w:rPr>
        <w:t>ُ</w:t>
      </w:r>
      <w:r w:rsidR="00992664" w:rsidRPr="00020424">
        <w:rPr>
          <w:rtl/>
        </w:rPr>
        <w:t xml:space="preserve">نظر : </w:t>
      </w:r>
      <w:r w:rsidR="00992664" w:rsidRPr="0012008A">
        <w:rPr>
          <w:rStyle w:val="libFootnoteBoldChar"/>
          <w:rtl/>
        </w:rPr>
        <w:t>الصحاح</w:t>
      </w:r>
      <w:r w:rsidR="00992664" w:rsidRPr="00020424">
        <w:rPr>
          <w:rtl/>
        </w:rPr>
        <w:t xml:space="preserve"> ، ج 5 ، ص 1811 ؛ </w:t>
      </w:r>
      <w:r w:rsidR="00992664" w:rsidRPr="0012008A">
        <w:rPr>
          <w:rStyle w:val="libFootnoteBoldChar"/>
          <w:rtl/>
        </w:rPr>
        <w:t>النهاية</w:t>
      </w:r>
      <w:r w:rsidR="00992664" w:rsidRPr="00020424">
        <w:rPr>
          <w:rtl/>
        </w:rPr>
        <w:t xml:space="preserve"> ، ج 4 ، ص 198 ( كلل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377 ، ح 9718 ؛ </w:t>
      </w:r>
      <w:r w:rsidR="00992664" w:rsidRPr="0012008A">
        <w:rPr>
          <w:rStyle w:val="libFootnoteBoldChar"/>
          <w:rtl/>
        </w:rPr>
        <w:t>الوسائل</w:t>
      </w:r>
      <w:r w:rsidR="00992664" w:rsidRPr="00020424">
        <w:rPr>
          <w:rtl/>
        </w:rPr>
        <w:t xml:space="preserve"> ، ج 9 ، ص 48 ، ح 11490.</w:t>
      </w:r>
    </w:p>
    <w:tbl>
      <w:tblPr>
        <w:tblStyle w:val="TableGrid"/>
        <w:bidiVisual/>
        <w:tblW w:w="0" w:type="auto"/>
        <w:tblLook w:val="04A0" w:firstRow="1" w:lastRow="0" w:firstColumn="1" w:lastColumn="0" w:noHBand="0" w:noVBand="1"/>
      </w:tblPr>
      <w:tblGrid>
        <w:gridCol w:w="4006"/>
        <w:gridCol w:w="4006"/>
      </w:tblGrid>
      <w:tr w:rsidR="00292E00" w:rsidTr="00292E00">
        <w:tc>
          <w:tcPr>
            <w:tcW w:w="4006" w:type="dxa"/>
          </w:tcPr>
          <w:p w:rsidR="00292E00" w:rsidRDefault="00292E00" w:rsidP="00292E00">
            <w:pPr>
              <w:pStyle w:val="libFootnote0"/>
              <w:rPr>
                <w:rtl/>
              </w:rPr>
            </w:pPr>
            <w:r>
              <w:rPr>
                <w:rtl/>
              </w:rPr>
              <w:t xml:space="preserve">(5). </w:t>
            </w:r>
            <w:r w:rsidRPr="00020424">
              <w:rPr>
                <w:rtl/>
              </w:rPr>
              <w:t xml:space="preserve">في « بح ، بر » </w:t>
            </w:r>
            <w:r w:rsidRPr="00EB1FD9">
              <w:rPr>
                <w:rStyle w:val="libFootnoteBoldChar"/>
                <w:rtl/>
              </w:rPr>
              <w:t>والوسائل</w:t>
            </w:r>
            <w:r w:rsidRPr="00020424">
              <w:rPr>
                <w:rtl/>
              </w:rPr>
              <w:t xml:space="preserve"> :</w:t>
            </w:r>
            <w:r>
              <w:rPr>
                <w:rtl/>
              </w:rPr>
              <w:t xml:space="preserve"> - </w:t>
            </w:r>
            <w:r w:rsidRPr="00020424">
              <w:rPr>
                <w:rtl/>
              </w:rPr>
              <w:t>« الحسن</w:t>
            </w:r>
            <w:r>
              <w:rPr>
                <w:rtl/>
              </w:rPr>
              <w:t xml:space="preserve"> ».</w:t>
            </w:r>
          </w:p>
        </w:tc>
        <w:tc>
          <w:tcPr>
            <w:tcW w:w="4006" w:type="dxa"/>
          </w:tcPr>
          <w:p w:rsidR="00292E00" w:rsidRDefault="00292E00" w:rsidP="00292E00">
            <w:pPr>
              <w:pStyle w:val="libFootnote0"/>
              <w:rPr>
                <w:rtl/>
              </w:rPr>
            </w:pPr>
            <w:r>
              <w:rPr>
                <w:rtl/>
              </w:rPr>
              <w:t xml:space="preserve">(6). </w:t>
            </w:r>
            <w:r w:rsidRPr="00020424">
              <w:rPr>
                <w:rtl/>
              </w:rPr>
              <w:t>في « بر » :</w:t>
            </w:r>
            <w:r>
              <w:rPr>
                <w:rtl/>
              </w:rPr>
              <w:t xml:space="preserve"> - </w:t>
            </w:r>
            <w:r w:rsidRPr="00020424">
              <w:rPr>
                <w:rtl/>
              </w:rPr>
              <w:t>« ما هذا الحقّ المعلوم</w:t>
            </w:r>
            <w:r>
              <w:rPr>
                <w:rtl/>
              </w:rPr>
              <w:t xml:space="preserve"> ».</w:t>
            </w:r>
          </w:p>
        </w:tc>
      </w:tr>
    </w:tbl>
    <w:p w:rsidR="00992664" w:rsidRPr="00020424" w:rsidRDefault="00795177" w:rsidP="00903713">
      <w:pPr>
        <w:pStyle w:val="libFootnote0"/>
        <w:rPr>
          <w:rtl/>
          <w:lang w:bidi="fa-IR"/>
        </w:rPr>
      </w:pPr>
      <w:r>
        <w:rPr>
          <w:rtl/>
        </w:rPr>
        <w:t>(7).</w:t>
      </w:r>
      <w:r w:rsidR="0014403D">
        <w:rPr>
          <w:rtl/>
        </w:rPr>
        <w:t xml:space="preserve"> </w:t>
      </w:r>
      <w:r w:rsidR="00992664" w:rsidRPr="00020424">
        <w:rPr>
          <w:rtl/>
        </w:rPr>
        <w:t xml:space="preserve">هكذا في « ظ ، ى ، بث ، بح ، بس ، جن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وفي « بخ ، بر ، بف » </w:t>
      </w:r>
      <w:r w:rsidR="00992664" w:rsidRPr="00515444">
        <w:rPr>
          <w:rStyle w:val="libFootnoteBoldChar"/>
          <w:rtl/>
        </w:rPr>
        <w:t>والوافي</w:t>
      </w:r>
      <w:r w:rsidR="00992664" w:rsidRPr="00020424">
        <w:rPr>
          <w:rtl/>
        </w:rPr>
        <w:t xml:space="preserve"> : « تخرجه</w:t>
      </w:r>
      <w:r w:rsidR="00992664">
        <w:rPr>
          <w:rtl/>
        </w:rPr>
        <w:t xml:space="preserve"> ».</w:t>
      </w:r>
      <w:r w:rsidR="00992664" w:rsidRPr="00020424">
        <w:rPr>
          <w:rtl/>
        </w:rPr>
        <w:t xml:space="preserve"> وفي‌المطبوع : + « الرجل</w:t>
      </w:r>
      <w:r w:rsidR="00992664">
        <w:rPr>
          <w:rtl/>
        </w:rPr>
        <w:t xml:space="preserve"> ».</w:t>
      </w:r>
      <w:r w:rsidR="00352B65">
        <w:rPr>
          <w:rFonts w:hint="cs"/>
          <w:rtl/>
        </w:rPr>
        <w:t xml:space="preserve">                  </w:t>
      </w:r>
      <w:r w:rsidR="00903713">
        <w:rPr>
          <w:rFonts w:hint="cs"/>
          <w:rtl/>
        </w:rPr>
        <w:t xml:space="preserve">           </w:t>
      </w:r>
      <w:r>
        <w:rPr>
          <w:rtl/>
        </w:rPr>
        <w:t>(8).</w:t>
      </w:r>
      <w:r w:rsidR="0014403D">
        <w:rPr>
          <w:rtl/>
        </w:rPr>
        <w:t xml:space="preserve"> </w:t>
      </w:r>
      <w:r w:rsidR="00903713">
        <w:rPr>
          <w:rtl/>
        </w:rPr>
        <w:t>في</w:t>
      </w:r>
      <w:r w:rsidR="00992664" w:rsidRPr="00020424">
        <w:rPr>
          <w:rtl/>
        </w:rPr>
        <w:t>«بح،بر،</w:t>
      </w:r>
      <w:r w:rsidR="00903713">
        <w:rPr>
          <w:rtl/>
        </w:rPr>
        <w:t>بف</w:t>
      </w:r>
      <w:r w:rsidR="00992664" w:rsidRPr="00020424">
        <w:rPr>
          <w:rtl/>
        </w:rPr>
        <w:t>»</w:t>
      </w:r>
      <w:r w:rsidR="00903713">
        <w:rPr>
          <w:rtl/>
        </w:rPr>
        <w:t>وحاشية</w:t>
      </w:r>
      <w:r w:rsidR="00992664" w:rsidRPr="00020424">
        <w:rPr>
          <w:rtl/>
        </w:rPr>
        <w:t>«بث»</w:t>
      </w:r>
      <w:r w:rsidR="00992664" w:rsidRPr="00515444">
        <w:rPr>
          <w:rStyle w:val="libFootnoteBoldChar"/>
          <w:rtl/>
        </w:rPr>
        <w:t>والوافي</w:t>
      </w:r>
      <w:r w:rsidR="00992664" w:rsidRPr="00020424">
        <w:rPr>
          <w:rtl/>
        </w:rPr>
        <w:t>:«مالك</w:t>
      </w:r>
      <w:r w:rsidR="00992664">
        <w:rPr>
          <w:rtl/>
        </w:rPr>
        <w:t>».</w:t>
      </w:r>
    </w:p>
    <w:tbl>
      <w:tblPr>
        <w:tblStyle w:val="TableGrid"/>
        <w:bidiVisual/>
        <w:tblW w:w="0" w:type="auto"/>
        <w:tblLook w:val="04A0" w:firstRow="1" w:lastRow="0" w:firstColumn="1" w:lastColumn="0" w:noHBand="0" w:noVBand="1"/>
      </w:tblPr>
      <w:tblGrid>
        <w:gridCol w:w="4006"/>
        <w:gridCol w:w="4006"/>
      </w:tblGrid>
      <w:tr w:rsidR="00903713" w:rsidTr="00903713">
        <w:tc>
          <w:tcPr>
            <w:tcW w:w="4006" w:type="dxa"/>
          </w:tcPr>
          <w:p w:rsidR="00903713" w:rsidRDefault="006F3360" w:rsidP="00992664">
            <w:pPr>
              <w:pStyle w:val="libFootnote0"/>
              <w:rPr>
                <w:rtl/>
                <w:lang w:bidi="fa-IR"/>
              </w:rPr>
            </w:pPr>
            <w:r>
              <w:rPr>
                <w:rtl/>
              </w:rPr>
              <w:t xml:space="preserve">(9). </w:t>
            </w:r>
            <w:r w:rsidR="00352B65">
              <w:rPr>
                <w:rtl/>
              </w:rPr>
              <w:t>في «بث ، بخ ، بر ، بف</w:t>
            </w:r>
            <w:r w:rsidRPr="00020424">
              <w:rPr>
                <w:rtl/>
              </w:rPr>
              <w:t xml:space="preserve">» </w:t>
            </w:r>
            <w:r w:rsidRPr="00515444">
              <w:rPr>
                <w:rStyle w:val="libFootnoteBoldChar"/>
                <w:rtl/>
              </w:rPr>
              <w:t>والوافي</w:t>
            </w:r>
            <w:r w:rsidR="00352B65">
              <w:rPr>
                <w:rtl/>
              </w:rPr>
              <w:t xml:space="preserve"> : «</w:t>
            </w:r>
            <w:r w:rsidRPr="00020424">
              <w:rPr>
                <w:rtl/>
              </w:rPr>
              <w:t>فقال</w:t>
            </w:r>
            <w:r>
              <w:rPr>
                <w:rtl/>
              </w:rPr>
              <w:t>».</w:t>
            </w:r>
          </w:p>
        </w:tc>
        <w:tc>
          <w:tcPr>
            <w:tcW w:w="4006" w:type="dxa"/>
          </w:tcPr>
          <w:p w:rsidR="00903713" w:rsidRDefault="006F3360" w:rsidP="00992664">
            <w:pPr>
              <w:pStyle w:val="libFootnote0"/>
              <w:rPr>
                <w:rtl/>
                <w:lang w:bidi="fa-IR"/>
              </w:rPr>
            </w:pPr>
            <w:r>
              <w:rPr>
                <w:rtl/>
              </w:rPr>
              <w:t xml:space="preserve">(10). </w:t>
            </w:r>
            <w:r w:rsidRPr="00020424">
              <w:rPr>
                <w:rtl/>
              </w:rPr>
              <w:t xml:space="preserve">في « بث » </w:t>
            </w:r>
            <w:r w:rsidRPr="00515444">
              <w:rPr>
                <w:rStyle w:val="libFootnoteBoldChar"/>
                <w:rtl/>
              </w:rPr>
              <w:t>والوافي</w:t>
            </w:r>
            <w:r w:rsidRPr="00020424">
              <w:rPr>
                <w:rtl/>
              </w:rPr>
              <w:t xml:space="preserve"> : « إذا</w:t>
            </w:r>
            <w:r>
              <w:rPr>
                <w:rtl/>
              </w:rPr>
              <w:t xml:space="preserve"> ».</w:t>
            </w:r>
          </w:p>
        </w:tc>
      </w:tr>
      <w:tr w:rsidR="00903713" w:rsidTr="00903713">
        <w:tc>
          <w:tcPr>
            <w:tcW w:w="4006" w:type="dxa"/>
          </w:tcPr>
          <w:p w:rsidR="00903713" w:rsidRDefault="006F3360" w:rsidP="00992664">
            <w:pPr>
              <w:pStyle w:val="libFootnote0"/>
              <w:rPr>
                <w:rtl/>
                <w:lang w:bidi="fa-IR"/>
              </w:rPr>
            </w:pPr>
            <w:r>
              <w:rPr>
                <w:rtl/>
              </w:rPr>
              <w:t xml:space="preserve">(11). </w:t>
            </w:r>
            <w:r w:rsidRPr="00020424">
              <w:rPr>
                <w:rtl/>
              </w:rPr>
              <w:t xml:space="preserve">في « بخ ، بف » </w:t>
            </w:r>
            <w:r w:rsidRPr="00515444">
              <w:rPr>
                <w:rStyle w:val="libFootnoteBoldChar"/>
                <w:rtl/>
              </w:rPr>
              <w:t>والوافي</w:t>
            </w:r>
            <w:r w:rsidRPr="00020424">
              <w:rPr>
                <w:rtl/>
              </w:rPr>
              <w:t xml:space="preserve"> : « قال</w:t>
            </w:r>
            <w:r>
              <w:rPr>
                <w:rtl/>
              </w:rPr>
              <w:t xml:space="preserve"> ».</w:t>
            </w:r>
          </w:p>
        </w:tc>
        <w:tc>
          <w:tcPr>
            <w:tcW w:w="4006" w:type="dxa"/>
          </w:tcPr>
          <w:p w:rsidR="00903713" w:rsidRDefault="006F3360" w:rsidP="00992664">
            <w:pPr>
              <w:pStyle w:val="libFootnote0"/>
              <w:rPr>
                <w:rtl/>
                <w:lang w:bidi="fa-IR"/>
              </w:rPr>
            </w:pPr>
            <w:r>
              <w:rPr>
                <w:rtl/>
              </w:rPr>
              <w:t xml:space="preserve">(12). </w:t>
            </w:r>
            <w:r w:rsidRPr="00020424">
              <w:rPr>
                <w:rtl/>
              </w:rPr>
              <w:t>في « بر » :</w:t>
            </w:r>
            <w:r>
              <w:rPr>
                <w:rtl/>
              </w:rPr>
              <w:t xml:space="preserve"> - </w:t>
            </w:r>
            <w:r w:rsidRPr="00020424">
              <w:rPr>
                <w:rtl/>
              </w:rPr>
              <w:t>« هو</w:t>
            </w:r>
            <w:r>
              <w:rPr>
                <w:rtl/>
              </w:rPr>
              <w:t xml:space="preserve"> ».</w:t>
            </w:r>
          </w:p>
        </w:tc>
      </w:tr>
    </w:tbl>
    <w:p w:rsidR="00992664" w:rsidRPr="00020424" w:rsidRDefault="00795177" w:rsidP="005A08FC">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sidRPr="00020424">
        <w:rPr>
          <w:rtl/>
        </w:rPr>
        <w:t xml:space="preserve"> « الرجل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w:t>
      </w:r>
      <w:r w:rsidRPr="00A91B96">
        <w:rPr>
          <w:rStyle w:val="libFootnotenumChar"/>
          <w:rtl/>
        </w:rPr>
        <w:t>(1)</w:t>
      </w:r>
      <w:r w:rsidRPr="00020424">
        <w:rPr>
          <w:rtl/>
          <w:lang w:bidi="fa-IR"/>
        </w:rPr>
        <w:t xml:space="preserve"> : يَصِلُ بِهِ رَحِماً </w:t>
      </w:r>
      <w:r w:rsidRPr="00A91B96">
        <w:rPr>
          <w:rStyle w:val="libFootnotenumChar"/>
          <w:rtl/>
        </w:rPr>
        <w:t>(2)</w:t>
      </w:r>
      <w:r w:rsidRPr="00020424">
        <w:rPr>
          <w:rtl/>
          <w:lang w:bidi="fa-IR"/>
        </w:rPr>
        <w:t xml:space="preserve"> ، وَيُقَوِّي </w:t>
      </w:r>
      <w:r w:rsidRPr="00A91B96">
        <w:rPr>
          <w:rStyle w:val="libFootnotenumChar"/>
          <w:rtl/>
        </w:rPr>
        <w:t>(3)</w:t>
      </w:r>
      <w:r w:rsidRPr="00020424">
        <w:rPr>
          <w:rtl/>
          <w:lang w:bidi="fa-IR"/>
        </w:rPr>
        <w:t xml:space="preserve"> بِهِ ضَعْيفاً </w:t>
      </w:r>
      <w:r w:rsidRPr="00A91B96">
        <w:rPr>
          <w:rStyle w:val="libFootnotenumChar"/>
          <w:rtl/>
        </w:rPr>
        <w:t>(4)</w:t>
      </w:r>
      <w:r w:rsidRPr="00020424">
        <w:rPr>
          <w:rtl/>
          <w:lang w:bidi="fa-IR"/>
        </w:rPr>
        <w:t xml:space="preserve"> ، وَيَحْمِلُ بِهِ كَلًّا ، أَوْ يَصِلُ </w:t>
      </w:r>
      <w:r w:rsidRPr="00A91B96">
        <w:rPr>
          <w:rStyle w:val="libFootnotenumChar"/>
          <w:rtl/>
        </w:rPr>
        <w:t>(5)</w:t>
      </w:r>
      <w:r w:rsidRPr="00020424">
        <w:rPr>
          <w:rtl/>
          <w:lang w:bidi="fa-IR"/>
        </w:rPr>
        <w:t xml:space="preserve"> بِهِ أَخاً لَهُ فِي اللهِ ، أَوْ لِنَائِبَةٍ تَنُوبُهُ </w:t>
      </w:r>
      <w:r w:rsidRPr="00A91B96">
        <w:rPr>
          <w:rStyle w:val="libFootnotenumChar"/>
          <w:rtl/>
        </w:rPr>
        <w:t>(6)</w:t>
      </w:r>
      <w:r w:rsidRPr="00020424">
        <w:rPr>
          <w:rtl/>
          <w:lang w:bidi="fa-IR"/>
        </w:rPr>
        <w:t xml:space="preserve"> ، فَقَالَ الرَّجُلُ : اللهُ يَعْلَمُ </w:t>
      </w:r>
      <w:r w:rsidRPr="00A91B96">
        <w:rPr>
          <w:rStyle w:val="libFootnotenumChar"/>
          <w:rtl/>
        </w:rPr>
        <w:t>(7)</w:t>
      </w:r>
      <w:r w:rsidRPr="00020424">
        <w:rPr>
          <w:rtl/>
          <w:lang w:bidi="fa-IR"/>
        </w:rPr>
        <w:t xml:space="preserve"> حَيْثُ يَجْعَلُ رِسَالَاتِهِ</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4C1A39">
        <w:rPr>
          <w:rtl/>
        </w:rPr>
        <w:t>5731</w:t>
      </w:r>
      <w:r w:rsidRPr="001155DE">
        <w:rPr>
          <w:rStyle w:val="libBold2Char"/>
          <w:rtl/>
        </w:rPr>
        <w:t xml:space="preserve"> / 12.</w:t>
      </w:r>
      <w:r w:rsidRPr="00020424">
        <w:rPr>
          <w:rtl/>
          <w:lang w:bidi="fa-IR"/>
        </w:rPr>
        <w:t xml:space="preserve"> وَعَنْهُ </w:t>
      </w:r>
      <w:r w:rsidRPr="00A91B96">
        <w:rPr>
          <w:rStyle w:val="libFootnotenumChar"/>
          <w:rtl/>
        </w:rPr>
        <w:t>(9)</w:t>
      </w:r>
      <w:r w:rsidRPr="00020424">
        <w:rPr>
          <w:rtl/>
          <w:lang w:bidi="fa-IR"/>
        </w:rPr>
        <w:t xml:space="preserve"> ، عَنِ ابْنِ فَضَّالٍ ، عَنْ صَفْوَانَ الْجَمَّالِ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قَوْلِهِ </w:t>
      </w:r>
      <w:r w:rsidRPr="00A91B96">
        <w:rPr>
          <w:rStyle w:val="libFootnotenumChar"/>
          <w:rtl/>
        </w:rPr>
        <w:t>(10)</w:t>
      </w:r>
      <w:r w:rsidRPr="00020424">
        <w:rPr>
          <w:rtl/>
          <w:lang w:bidi="fa-IR"/>
        </w:rPr>
        <w:t xml:space="preserve"> عَزَّ وَجَلَّ : </w:t>
      </w:r>
      <w:r w:rsidRPr="00005A81">
        <w:rPr>
          <w:rStyle w:val="libAlaemChar"/>
          <w:rtl/>
        </w:rPr>
        <w:t>(</w:t>
      </w:r>
      <w:r w:rsidRPr="004E5AB4">
        <w:rPr>
          <w:rStyle w:val="libAieChar"/>
          <w:rtl/>
        </w:rPr>
        <w:t xml:space="preserve"> لِلسّائِلِ وَالْمَحْرُومِ </w:t>
      </w:r>
      <w:r w:rsidRPr="00005A81">
        <w:rPr>
          <w:rStyle w:val="libAlaemChar"/>
          <w:rtl/>
        </w:rPr>
        <w:t>)</w:t>
      </w:r>
      <w:r w:rsidRPr="00020424">
        <w:rPr>
          <w:rtl/>
          <w:lang w:bidi="fa-IR"/>
        </w:rPr>
        <w:t xml:space="preserve"> قَالَ </w:t>
      </w:r>
      <w:r w:rsidRPr="00A91B96">
        <w:rPr>
          <w:rStyle w:val="libFootnotenumChar"/>
          <w:rtl/>
        </w:rPr>
        <w:t>(11)</w:t>
      </w:r>
      <w:r w:rsidRPr="00020424">
        <w:rPr>
          <w:rtl/>
          <w:lang w:bidi="fa-IR"/>
        </w:rPr>
        <w:t xml:space="preserve"> : « الْمَحْرُومُ :</w:t>
      </w:r>
      <w:r>
        <w:rPr>
          <w:rFonts w:hint="cs"/>
          <w:rtl/>
          <w:lang w:bidi="fa-IR"/>
        </w:rPr>
        <w:t xml:space="preserve"> </w:t>
      </w:r>
      <w:r w:rsidRPr="00020424">
        <w:rPr>
          <w:rtl/>
          <w:lang w:bidi="fa-IR"/>
        </w:rPr>
        <w:t xml:space="preserve">الْمُحَارَفُ </w:t>
      </w:r>
      <w:r w:rsidRPr="00A91B96">
        <w:rPr>
          <w:rStyle w:val="libFootnotenumChar"/>
          <w:rtl/>
        </w:rPr>
        <w:t>(12)</w:t>
      </w:r>
      <w:r w:rsidRPr="00020424">
        <w:rPr>
          <w:rtl/>
          <w:lang w:bidi="fa-IR"/>
        </w:rPr>
        <w:t xml:space="preserve"> الَّذِي قَدْ حُرِمَ كَدَّ يَدِهِ </w:t>
      </w:r>
      <w:r w:rsidRPr="00A91B96">
        <w:rPr>
          <w:rStyle w:val="libFootnotenumChar"/>
          <w:rtl/>
        </w:rPr>
        <w:t>(13)</w:t>
      </w:r>
      <w:r w:rsidRPr="00020424">
        <w:rPr>
          <w:rtl/>
          <w:lang w:bidi="fa-IR"/>
        </w:rPr>
        <w:t xml:space="preserve"> فِي الشِّرَاءِ وَالْبَيْعِ</w:t>
      </w:r>
      <w:r>
        <w:rPr>
          <w:rtl/>
          <w:lang w:bidi="fa-IR"/>
        </w:rPr>
        <w:t xml:space="preserve"> ».</w:t>
      </w:r>
      <w:r w:rsidRPr="00020424">
        <w:rPr>
          <w:rtl/>
          <w:lang w:bidi="fa-IR"/>
        </w:rPr>
        <w:t xml:space="preserve"> </w:t>
      </w:r>
      <w:r w:rsidRPr="00A91B96">
        <w:rPr>
          <w:rStyle w:val="libFootnotenumChar"/>
          <w:rtl/>
        </w:rPr>
        <w:t>(14)</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رحمه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ظ ، بر ، بس » </w:t>
      </w:r>
      <w:r w:rsidR="00992664" w:rsidRPr="00352B65">
        <w:rPr>
          <w:rtl/>
        </w:rPr>
        <w:t>والوافي والوسائل والبحار</w:t>
      </w:r>
      <w:r w:rsidR="00992664" w:rsidRPr="00020424">
        <w:rPr>
          <w:rtl/>
        </w:rPr>
        <w:t xml:space="preserve"> ، هو المحتمل من سائر النسخ التي قوبلت. وفي المطبوع : « ويقري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352B65">
        <w:rPr>
          <w:rtl/>
        </w:rPr>
        <w:t>والوافي والوسائل والبحار.</w:t>
      </w:r>
      <w:r w:rsidR="00992664" w:rsidRPr="00020424">
        <w:rPr>
          <w:rtl/>
        </w:rPr>
        <w:t xml:space="preserve"> وفي المطبوع : « ضيفاً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A08FC" w:rsidTr="005A08FC">
        <w:tc>
          <w:tcPr>
            <w:tcW w:w="4006" w:type="dxa"/>
          </w:tcPr>
          <w:p w:rsidR="005A08FC" w:rsidRDefault="005A08FC" w:rsidP="00992664">
            <w:pPr>
              <w:pStyle w:val="libFootnote0"/>
              <w:rPr>
                <w:rtl/>
              </w:rPr>
            </w:pPr>
            <w:r>
              <w:rPr>
                <w:rtl/>
              </w:rPr>
              <w:t xml:space="preserve">(5). </w:t>
            </w:r>
            <w:r w:rsidRPr="00020424">
              <w:rPr>
                <w:rtl/>
              </w:rPr>
              <w:t>في « ظ ، بخ » : « ويصل</w:t>
            </w:r>
            <w:r>
              <w:rPr>
                <w:rtl/>
              </w:rPr>
              <w:t xml:space="preserve"> ».</w:t>
            </w:r>
          </w:p>
        </w:tc>
        <w:tc>
          <w:tcPr>
            <w:tcW w:w="4006" w:type="dxa"/>
          </w:tcPr>
          <w:p w:rsidR="005A08FC" w:rsidRDefault="005A08FC" w:rsidP="00992664">
            <w:pPr>
              <w:pStyle w:val="libFootnote0"/>
              <w:rPr>
                <w:rtl/>
              </w:rPr>
            </w:pPr>
            <w:r>
              <w:rPr>
                <w:rtl/>
              </w:rPr>
              <w:t xml:space="preserve">(6). </w:t>
            </w:r>
            <w:r w:rsidRPr="00020424">
              <w:rPr>
                <w:rtl/>
              </w:rPr>
              <w:t>في « بف » :</w:t>
            </w:r>
            <w:r>
              <w:rPr>
                <w:rtl/>
              </w:rPr>
              <w:t xml:space="preserve"> - </w:t>
            </w:r>
            <w:r w:rsidRPr="00020424">
              <w:rPr>
                <w:rtl/>
              </w:rPr>
              <w:t>« أو لنائبة تنوبه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بث ، بح ، بخ ، بر ، بس » </w:t>
      </w:r>
      <w:r w:rsidR="00992664" w:rsidRPr="00515444">
        <w:rPr>
          <w:rStyle w:val="libFootnoteBoldChar"/>
          <w:rtl/>
        </w:rPr>
        <w:t>والوافي</w:t>
      </w:r>
      <w:r w:rsidR="00992664" w:rsidRPr="00020424">
        <w:rPr>
          <w:rtl/>
        </w:rPr>
        <w:t xml:space="preserve"> : « أعلم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377 ، ح 9719 ؛ </w:t>
      </w:r>
      <w:r w:rsidR="00992664" w:rsidRPr="0012008A">
        <w:rPr>
          <w:rStyle w:val="libFootnoteBoldChar"/>
          <w:rtl/>
        </w:rPr>
        <w:t>الوسائل</w:t>
      </w:r>
      <w:r w:rsidR="00992664" w:rsidRPr="00020424">
        <w:rPr>
          <w:rtl/>
        </w:rPr>
        <w:t xml:space="preserve"> ، ج 9 ، ص 49 ، ح 11491 ؛ </w:t>
      </w:r>
      <w:r w:rsidR="00992664" w:rsidRPr="0012008A">
        <w:rPr>
          <w:rStyle w:val="libFootnoteBoldChar"/>
          <w:rtl/>
        </w:rPr>
        <w:t>البحار</w:t>
      </w:r>
      <w:r w:rsidR="00992664" w:rsidRPr="00020424">
        <w:rPr>
          <w:rtl/>
        </w:rPr>
        <w:t xml:space="preserve"> ، ج 69 ، ص 268 ، مقطّعاً.</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الخبر رواه الشيخ الطوسي في </w:t>
      </w:r>
      <w:r w:rsidR="00992664" w:rsidRPr="0012008A">
        <w:rPr>
          <w:rStyle w:val="libFootnoteBoldChar"/>
          <w:rtl/>
        </w:rPr>
        <w:t>التهذيب</w:t>
      </w:r>
      <w:r w:rsidR="00992664" w:rsidRPr="00020424">
        <w:rPr>
          <w:rtl/>
        </w:rPr>
        <w:t xml:space="preserve"> ، ج 4 ، ص 108 ، ح 312 وسنده هكذا : « محمّد بن يعقوب ، عن عليّ بن محمّد ، عن ابن فضّال ، عن صفوان الجمّال</w:t>
      </w:r>
      <w:r w:rsidR="00992664">
        <w:rPr>
          <w:rtl/>
        </w:rPr>
        <w:t xml:space="preserve"> ..</w:t>
      </w:r>
      <w:r w:rsidR="00992664" w:rsidRPr="00020424">
        <w:rPr>
          <w:rtl/>
        </w:rPr>
        <w:t>.</w:t>
      </w:r>
      <w:r w:rsidR="00992664">
        <w:rPr>
          <w:rtl/>
        </w:rPr>
        <w:t xml:space="preserve"> ».</w:t>
      </w:r>
      <w:r w:rsidR="00992664" w:rsidRPr="00020424">
        <w:rPr>
          <w:rtl/>
        </w:rPr>
        <w:t xml:space="preserve"> وظاهره إرجاع الضمير إلى عليّ بن محمّد بن عبدالله المذكور في سند الحديث 10 أخذاً بظاهر السياق. لكنّ الظاهر رجوع الضمير إلى أحمد بن محمّد المراد به أحمد بن محمّد خالد ؛ فإنّ ابن فضّال الراوي عن صفوان الجمّال هو الحسن بن عليّ بن فضّال كما في </w:t>
      </w:r>
      <w:r w:rsidR="00992664" w:rsidRPr="004C1A39">
        <w:rPr>
          <w:rtl/>
        </w:rPr>
        <w:t>رجال الكشّي</w:t>
      </w:r>
      <w:r w:rsidR="00992664" w:rsidRPr="00020424">
        <w:rPr>
          <w:rtl/>
        </w:rPr>
        <w:t xml:space="preserve"> ، ص 440 ، الرقم 828 ، وهو من مشايخ أحمد بن محمّد بن خالد ، وهو واضح لمن لاحظ أسناد كتاب </w:t>
      </w:r>
      <w:r w:rsidR="00D64ADA" w:rsidRPr="00D64ADA">
        <w:rPr>
          <w:rStyle w:val="libFootnoteBoldChar"/>
          <w:rtl/>
        </w:rPr>
        <w:t>المحاسن</w:t>
      </w:r>
      <w:r w:rsidR="00992664" w:rsidRPr="00020424">
        <w:rPr>
          <w:rtl/>
        </w:rPr>
        <w:t>.</w:t>
      </w:r>
    </w:p>
    <w:p w:rsidR="00992664" w:rsidRPr="001E3F27" w:rsidRDefault="00992664" w:rsidP="001E3F27">
      <w:pPr>
        <w:pStyle w:val="libFootnote0"/>
        <w:rPr>
          <w:rtl/>
        </w:rPr>
      </w:pPr>
      <w:r w:rsidRPr="001E3F27">
        <w:rPr>
          <w:rtl/>
        </w:rPr>
        <w:t xml:space="preserve">ويؤيّد ذلك ما ورد في </w:t>
      </w:r>
      <w:r w:rsidR="00D64ADA" w:rsidRPr="00D64ADA">
        <w:rPr>
          <w:rStyle w:val="libFootnoteBoldChar"/>
          <w:rtl/>
        </w:rPr>
        <w:t>المحاسن</w:t>
      </w:r>
      <w:r w:rsidRPr="001E3F27">
        <w:rPr>
          <w:rtl/>
        </w:rPr>
        <w:t xml:space="preserve"> ، ج 1 ، ص 263 ، ح 333 ؛ وج 2 ، ص 638 ، ح 143 من رواية أحمد بن محمّد بن خالد ، عن ابن فضّال ، عن صفوان الجمّال.</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w:t>
      </w:r>
      <w:r w:rsidR="00992664" w:rsidRPr="00515444">
        <w:rPr>
          <w:rStyle w:val="libFootnoteBoldChar"/>
          <w:rtl/>
        </w:rPr>
        <w:t>والوافي</w:t>
      </w:r>
      <w:r w:rsidR="00992664" w:rsidRPr="00020424">
        <w:rPr>
          <w:rtl/>
        </w:rPr>
        <w:t xml:space="preserve"> : « قول الله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بخ ، بر ، بف » : « فقال</w:t>
      </w:r>
      <w:r w:rsidR="00992664">
        <w:rPr>
          <w:rtl/>
        </w:rPr>
        <w:t xml:space="preserve"> ».</w:t>
      </w:r>
    </w:p>
    <w:p w:rsidR="00992664" w:rsidRPr="00020424" w:rsidRDefault="00795177" w:rsidP="001E3F27">
      <w:pPr>
        <w:pStyle w:val="libFootnote0"/>
        <w:rPr>
          <w:rtl/>
          <w:lang w:bidi="fa-IR"/>
        </w:rPr>
      </w:pPr>
      <w:r>
        <w:rPr>
          <w:rtl/>
        </w:rPr>
        <w:t>(12).</w:t>
      </w:r>
      <w:r w:rsidR="0014403D">
        <w:rPr>
          <w:rtl/>
        </w:rPr>
        <w:t xml:space="preserve"> </w:t>
      </w:r>
      <w:r w:rsidR="001E3F27">
        <w:rPr>
          <w:rtl/>
        </w:rPr>
        <w:t>« الم</w:t>
      </w:r>
      <w:r w:rsidR="001E3F27">
        <w:rPr>
          <w:rFonts w:hint="cs"/>
          <w:rtl/>
        </w:rPr>
        <w:t>ـُ</w:t>
      </w:r>
      <w:r w:rsidR="00992664" w:rsidRPr="00020424">
        <w:rPr>
          <w:rtl/>
        </w:rPr>
        <w:t xml:space="preserve">حارَف » : المحروم المجدود والذي إذا طلب لا يُرزَق ، أو يكون لايسعى في الكسب ، وهو خلاف قولك : المبارك ، يقال : قد حُورِف كسبُ فلان : إذا شدّد عليه في معاشه ، كأنّه ميل برزقه عنه. راجع : </w:t>
      </w:r>
      <w:r w:rsidR="00992664" w:rsidRPr="0012008A">
        <w:rPr>
          <w:rStyle w:val="libFootnoteBoldChar"/>
          <w:rtl/>
        </w:rPr>
        <w:t>الصحاح</w:t>
      </w:r>
      <w:r w:rsidR="00992664" w:rsidRPr="00020424">
        <w:rPr>
          <w:rtl/>
        </w:rPr>
        <w:t xml:space="preserve"> ، ج 4 ، ص 1342 ؛ </w:t>
      </w:r>
      <w:r w:rsidR="00992664" w:rsidRPr="0012008A">
        <w:rPr>
          <w:rStyle w:val="libFootnoteBoldChar"/>
          <w:rtl/>
        </w:rPr>
        <w:t>النهاية</w:t>
      </w:r>
      <w:r w:rsidR="00992664" w:rsidRPr="00020424">
        <w:rPr>
          <w:rtl/>
        </w:rPr>
        <w:t xml:space="preserve"> ، ج 1 ، ص 370 ( حرف )</w:t>
      </w:r>
      <w:r w:rsidR="00992664">
        <w:rPr>
          <w:rtl/>
        </w:rPr>
        <w:t>.</w:t>
      </w:r>
      <w:r w:rsidR="001E3F27">
        <w:rPr>
          <w:rFonts w:hint="cs"/>
          <w:rtl/>
        </w:rPr>
        <w:t xml:space="preserve">          </w:t>
      </w:r>
      <w:r>
        <w:rPr>
          <w:rtl/>
        </w:rPr>
        <w:t>(13).</w:t>
      </w:r>
      <w:r w:rsidR="0014403D">
        <w:rPr>
          <w:rtl/>
        </w:rPr>
        <w:t xml:space="preserve"> </w:t>
      </w:r>
      <w:r w:rsidR="001E3F27">
        <w:rPr>
          <w:rtl/>
        </w:rPr>
        <w:t>في</w:t>
      </w:r>
      <w:r w:rsidR="00992664" w:rsidRPr="00020424">
        <w:rPr>
          <w:rtl/>
        </w:rPr>
        <w:t>«بخ،بر»:«بدنه</w:t>
      </w:r>
      <w:r w:rsidR="00992664">
        <w:rPr>
          <w:rtl/>
        </w:rPr>
        <w:t>».</w:t>
      </w:r>
      <w:r w:rsidR="00992664" w:rsidRPr="00020424">
        <w:rPr>
          <w:rtl/>
        </w:rPr>
        <w:t>وفي«بف»:«يديه</w:t>
      </w:r>
      <w:r w:rsidR="00992664">
        <w:rPr>
          <w:rtl/>
        </w:rPr>
        <w:t>».</w:t>
      </w:r>
    </w:p>
    <w:p w:rsidR="00992664" w:rsidRPr="00020424" w:rsidRDefault="00795177" w:rsidP="001E3F27">
      <w:pPr>
        <w:pStyle w:val="libFootnote0"/>
        <w:rPr>
          <w:rtl/>
          <w:lang w:bidi="fa-IR"/>
        </w:rPr>
      </w:pPr>
      <w:r>
        <w:rPr>
          <w:rtl/>
        </w:rPr>
        <w:t>(14).</w:t>
      </w:r>
      <w:r w:rsidR="0014403D">
        <w:rPr>
          <w:rtl/>
        </w:rPr>
        <w:t xml:space="preserve"> </w:t>
      </w:r>
      <w:r w:rsidR="00992664" w:rsidRPr="0012008A">
        <w:rPr>
          <w:rStyle w:val="libFootnoteBoldChar"/>
          <w:rtl/>
        </w:rPr>
        <w:t>التهذيب</w:t>
      </w:r>
      <w:r w:rsidR="00992664" w:rsidRPr="00020424">
        <w:rPr>
          <w:rtl/>
        </w:rPr>
        <w:t xml:space="preserve"> ، ج 4 ، ص 108 ، ح 312 ، معلّقاً عن الكليني</w:t>
      </w:r>
      <w:r w:rsidR="001E3F27">
        <w:rPr>
          <w:rFonts w:hint="cs"/>
          <w:rtl/>
        </w:rPr>
        <w:t>.</w:t>
      </w:r>
      <w:r w:rsidR="00992664" w:rsidRPr="0012008A">
        <w:rPr>
          <w:rStyle w:val="libFootnoteBoldChar"/>
          <w:rtl/>
        </w:rPr>
        <w:t>الوافي</w:t>
      </w:r>
      <w:r w:rsidR="00992664" w:rsidRPr="00020424">
        <w:rPr>
          <w:rtl/>
        </w:rPr>
        <w:t xml:space="preserve"> ، ج 10 ، ص 406 ، ح 9780 ؛ </w:t>
      </w:r>
      <w:r w:rsidR="00992664" w:rsidRPr="0012008A">
        <w:rPr>
          <w:rStyle w:val="libFootnoteBoldChar"/>
          <w:rtl/>
        </w:rPr>
        <w:t>الوسائل</w:t>
      </w:r>
      <w:r w:rsidR="00992664" w:rsidRPr="00020424">
        <w:rPr>
          <w:rtl/>
        </w:rPr>
        <w:t xml:space="preserve"> ، ج 9 ، ص 49 ، ح 11492 ؛ </w:t>
      </w:r>
      <w:r w:rsidR="00992664" w:rsidRPr="0012008A">
        <w:rPr>
          <w:rStyle w:val="libFootnoteBoldChar"/>
          <w:rtl/>
        </w:rPr>
        <w:t>البحار</w:t>
      </w:r>
      <w:r w:rsidR="00992664" w:rsidRPr="00020424">
        <w:rPr>
          <w:rtl/>
        </w:rPr>
        <w:t xml:space="preserve"> ، ج 70 ، ص 279 ، من قوله : « قال : المحروم المحارف</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C1A39">
        <w:rPr>
          <w:rtl/>
        </w:rPr>
        <w:lastRenderedPageBreak/>
        <w:t>5732</w:t>
      </w:r>
      <w:r w:rsidRPr="001155DE">
        <w:rPr>
          <w:rStyle w:val="libBold2Char"/>
          <w:rtl/>
        </w:rPr>
        <w:t xml:space="preserve"> / 13.</w:t>
      </w:r>
      <w:r w:rsidRPr="00020424">
        <w:rPr>
          <w:rtl/>
          <w:lang w:bidi="fa-IR"/>
        </w:rPr>
        <w:t xml:space="preserve"> وَفِي رِوَايَةٍ أُخْرى عَنْ أَبِي جَعْفَرٍ وَأَبِي عَبْدِ اللهِ </w:t>
      </w:r>
      <w:r w:rsidRPr="00005A81">
        <w:rPr>
          <w:rStyle w:val="libAlaemChar"/>
          <w:rtl/>
        </w:rPr>
        <w:t>عليهما‌السلام</w:t>
      </w:r>
      <w:r w:rsidRPr="00020424">
        <w:rPr>
          <w:rtl/>
          <w:lang w:bidi="fa-IR"/>
        </w:rPr>
        <w:t xml:space="preserve"> أَنَّهُمَا </w:t>
      </w:r>
      <w:r w:rsidRPr="00A91B96">
        <w:rPr>
          <w:rStyle w:val="libFootnotenumChar"/>
          <w:rtl/>
        </w:rPr>
        <w:t>(1)</w:t>
      </w:r>
      <w:r w:rsidRPr="00020424">
        <w:rPr>
          <w:rtl/>
          <w:lang w:bidi="fa-IR"/>
        </w:rPr>
        <w:t xml:space="preserve"> قَالَا :</w:t>
      </w:r>
    </w:p>
    <w:p w:rsidR="00992664" w:rsidRPr="00020424" w:rsidRDefault="00992664" w:rsidP="00992664">
      <w:pPr>
        <w:pStyle w:val="libNormal"/>
        <w:rPr>
          <w:rtl/>
          <w:lang w:bidi="fa-IR"/>
        </w:rPr>
      </w:pPr>
      <w:r w:rsidRPr="00020424">
        <w:rPr>
          <w:rtl/>
          <w:lang w:bidi="fa-IR"/>
        </w:rPr>
        <w:t xml:space="preserve">« الْمَحْرُومُ : الرَّجُلُ </w:t>
      </w:r>
      <w:r w:rsidRPr="00A91B96">
        <w:rPr>
          <w:rStyle w:val="libFootnotenumChar"/>
          <w:rtl/>
        </w:rPr>
        <w:t>(2)</w:t>
      </w:r>
      <w:r w:rsidRPr="00020424">
        <w:rPr>
          <w:rtl/>
          <w:lang w:bidi="fa-IR"/>
        </w:rPr>
        <w:t xml:space="preserve"> الَّذِي لَيْسَ بِعَقْلِهِ </w:t>
      </w:r>
      <w:r w:rsidRPr="00A91B96">
        <w:rPr>
          <w:rStyle w:val="libFootnotenumChar"/>
          <w:rtl/>
        </w:rPr>
        <w:t>(3)</w:t>
      </w:r>
      <w:r w:rsidRPr="00020424">
        <w:rPr>
          <w:rtl/>
          <w:lang w:bidi="fa-IR"/>
        </w:rPr>
        <w:t xml:space="preserve"> بَأْسٌ ، وَلَمْ يُبْسَطْ </w:t>
      </w:r>
      <w:r w:rsidRPr="00A91B96">
        <w:rPr>
          <w:rStyle w:val="libFootnotenumChar"/>
          <w:rtl/>
        </w:rPr>
        <w:t>(4)</w:t>
      </w:r>
      <w:r w:rsidRPr="00020424">
        <w:rPr>
          <w:rtl/>
          <w:lang w:bidi="fa-IR"/>
        </w:rPr>
        <w:t xml:space="preserve"> لَهُ فِي الرِّزْقِ وَهُوَ مُحَارَفٌ</w:t>
      </w:r>
      <w:r>
        <w:rPr>
          <w:rtl/>
          <w:lang w:bidi="fa-IR"/>
        </w:rPr>
        <w:t>».</w:t>
      </w:r>
      <w:r w:rsidRPr="00A91B96">
        <w:rPr>
          <w:rStyle w:val="libFootnotenumChar"/>
          <w:rtl/>
        </w:rPr>
        <w:t>(5)</w:t>
      </w:r>
    </w:p>
    <w:p w:rsidR="00992664" w:rsidRPr="00020424" w:rsidRDefault="00992664" w:rsidP="00992664">
      <w:pPr>
        <w:pStyle w:val="libNormal"/>
        <w:rPr>
          <w:rtl/>
          <w:lang w:bidi="fa-IR"/>
        </w:rPr>
      </w:pPr>
      <w:r w:rsidRPr="004C1A39">
        <w:rPr>
          <w:rtl/>
        </w:rPr>
        <w:t>5733</w:t>
      </w:r>
      <w:r w:rsidRPr="001155DE">
        <w:rPr>
          <w:rStyle w:val="libBold2Char"/>
          <w:rtl/>
        </w:rPr>
        <w:t xml:space="preserve"> / 14.</w:t>
      </w:r>
      <w:r w:rsidRPr="00020424">
        <w:rPr>
          <w:rtl/>
          <w:lang w:bidi="fa-IR"/>
        </w:rPr>
        <w:t xml:space="preserve"> عَلِيُّ بْنُ مُحَمَّدٍ ، عَمَّنْ ذَكَرَهُ ، عَنْ مُحَمَّدِ بْنِ خَالِدٍ ، عَنْ مُحَمَّدِ بْنِ سِنَانٍ ، عَنِ الْمُفَضَّلِ ، قَالَ :</w:t>
      </w:r>
    </w:p>
    <w:p w:rsidR="00992664" w:rsidRPr="00020424" w:rsidRDefault="00992664" w:rsidP="00992664">
      <w:pPr>
        <w:pStyle w:val="libNormal"/>
        <w:rPr>
          <w:rtl/>
          <w:lang w:bidi="fa-IR"/>
        </w:rPr>
      </w:pPr>
      <w:r w:rsidRPr="00020424">
        <w:rPr>
          <w:rtl/>
          <w:lang w:bidi="fa-IR"/>
        </w:rPr>
        <w:t xml:space="preserve">كُنْتُ عِنْدَ أَبِي عَبْدِ اللهِ </w:t>
      </w:r>
      <w:r w:rsidRPr="00005A81">
        <w:rPr>
          <w:rStyle w:val="libAlaemChar"/>
          <w:rtl/>
        </w:rPr>
        <w:t>عليه‌السلام</w:t>
      </w:r>
      <w:r w:rsidRPr="00020424">
        <w:rPr>
          <w:rtl/>
          <w:lang w:bidi="fa-IR"/>
        </w:rPr>
        <w:t xml:space="preserve"> ، فَسَأَلَهُ رَجُلٌ </w:t>
      </w:r>
      <w:r w:rsidRPr="00A91B96">
        <w:rPr>
          <w:rStyle w:val="libFootnotenumChar"/>
          <w:rtl/>
        </w:rPr>
        <w:t>(6)</w:t>
      </w:r>
      <w:r w:rsidRPr="00020424">
        <w:rPr>
          <w:rtl/>
          <w:lang w:bidi="fa-IR"/>
        </w:rPr>
        <w:t xml:space="preserve"> : فِي كَمْ تَجِبُ الزَّكَاةُ مِنَ الْمَالِ</w:t>
      </w:r>
      <w:r>
        <w:rPr>
          <w:rtl/>
          <w:lang w:bidi="fa-IR"/>
        </w:rPr>
        <w:t>؟</w:t>
      </w:r>
    </w:p>
    <w:p w:rsidR="00992664" w:rsidRPr="00020424" w:rsidRDefault="00992664" w:rsidP="00992664">
      <w:pPr>
        <w:pStyle w:val="libNormal"/>
        <w:rPr>
          <w:rtl/>
          <w:lang w:bidi="fa-IR"/>
        </w:rPr>
      </w:pPr>
      <w:r w:rsidRPr="00020424">
        <w:rPr>
          <w:rtl/>
          <w:lang w:bidi="fa-IR"/>
        </w:rPr>
        <w:t>فَقَالَ لَهُ : « الزَّكَاةَ الظَّاهِرَةَ ، أَمِ الْبَاطِنَةَ تُرِيدُ</w:t>
      </w:r>
      <w:r>
        <w:rPr>
          <w:rtl/>
          <w:lang w:bidi="fa-IR"/>
        </w:rPr>
        <w:t>؟ ».</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أُرِيدُهُمَا جَمِيعاً.</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(8)</w:t>
      </w:r>
      <w:r w:rsidRPr="00020424">
        <w:rPr>
          <w:rtl/>
          <w:lang w:bidi="fa-IR"/>
        </w:rPr>
        <w:t xml:space="preserve"> : « أَمَّا الظَّاهِرَةُ : فَفِي كُلِّ أَلْفٍ خَمْسَةٌ وَعِشْرُونَ </w:t>
      </w:r>
      <w:r w:rsidRPr="00A91B96">
        <w:rPr>
          <w:rStyle w:val="libFootnotenumChar"/>
          <w:rtl/>
        </w:rPr>
        <w:t>(9)</w:t>
      </w:r>
      <w:r w:rsidRPr="00020424">
        <w:rPr>
          <w:rtl/>
          <w:lang w:bidi="fa-IR"/>
        </w:rPr>
        <w:t xml:space="preserve"> ؛ وَأَمَّا الْبَاطِنَةُ : فَلَا تَسْتَأْثِرْ </w:t>
      </w:r>
      <w:r w:rsidRPr="00A91B96">
        <w:rPr>
          <w:rStyle w:val="libFootnotenumChar"/>
          <w:rtl/>
        </w:rPr>
        <w:t>(10)</w:t>
      </w:r>
      <w:r w:rsidRPr="00020424">
        <w:rPr>
          <w:rtl/>
          <w:lang w:bidi="fa-IR"/>
        </w:rPr>
        <w:t xml:space="preserve"> عَلى أَخِيكَ بِمَا هُوَ أَحْوَجُ إِلَيْهِ مِنْكَ</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4C1A39">
        <w:rPr>
          <w:rtl/>
        </w:rPr>
        <w:t>5734</w:t>
      </w:r>
      <w:r w:rsidRPr="001155DE">
        <w:rPr>
          <w:rStyle w:val="libBold2Char"/>
          <w:rtl/>
        </w:rPr>
        <w:t xml:space="preserve"> / 15.</w:t>
      </w:r>
      <w:r w:rsidRPr="00020424">
        <w:rPr>
          <w:rtl/>
          <w:lang w:bidi="fa-IR"/>
        </w:rPr>
        <w:t xml:space="preserve"> عِدَّةٌ مِنْ أَصْحَابِنَا ، عَنْ أَحْمَدَ بْنِ أَبِي عَبْدِ اللهِ ، عَنِ الْحَسَنِ </w:t>
      </w:r>
      <w:r w:rsidRPr="00A91B96">
        <w:rPr>
          <w:rStyle w:val="libFootnotenumChar"/>
          <w:rtl/>
        </w:rPr>
        <w:t>(12)</w:t>
      </w:r>
      <w:r w:rsidRPr="00020424">
        <w:rPr>
          <w:rtl/>
          <w:lang w:bidi="fa-IR"/>
        </w:rPr>
        <w:t xml:space="preserve"> بْنِ مَحْبُوبٍ ، عَنْ مَالِكِ بْنِ عَطِيَّةَ ، عَنْ عَامِرِ بْنِ جُذَاعَةَ ، قَالَ :</w:t>
      </w:r>
    </w:p>
    <w:p w:rsidR="00992664" w:rsidRPr="00020424" w:rsidRDefault="00992664" w:rsidP="00992664">
      <w:pPr>
        <w:pStyle w:val="libNormal"/>
        <w:rPr>
          <w:rtl/>
          <w:lang w:bidi="fa-IR"/>
        </w:rPr>
      </w:pPr>
      <w:r w:rsidRPr="00020424">
        <w:rPr>
          <w:rtl/>
          <w:lang w:bidi="fa-IR"/>
        </w:rPr>
        <w:t xml:space="preserve">جَاءَ رَجُلٌ إِلى أَبِي عَبْدِ اللهِ </w:t>
      </w:r>
      <w:r w:rsidRPr="00005A81">
        <w:rPr>
          <w:rStyle w:val="libAlaemChar"/>
          <w:rtl/>
        </w:rPr>
        <w:t>عليه‌السلام</w:t>
      </w:r>
      <w:r w:rsidRPr="00020424">
        <w:rPr>
          <w:rtl/>
          <w:lang w:bidi="fa-IR"/>
        </w:rPr>
        <w:t xml:space="preserve"> ، فَقَالَ لَهُ : يَا أَبَا عَبْدِ اللهِ ، قَرْضٌ إِلى مَيْسَرَةٍ ، فَقَالَ‌</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B46C3" w:rsidTr="006B46C3">
        <w:tc>
          <w:tcPr>
            <w:tcW w:w="4006" w:type="dxa"/>
          </w:tcPr>
          <w:p w:rsidR="006B46C3" w:rsidRDefault="006B46C3"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أنّهما</w:t>
            </w:r>
            <w:r>
              <w:rPr>
                <w:rtl/>
              </w:rPr>
              <w:t xml:space="preserve"> ».</w:t>
            </w:r>
          </w:p>
        </w:tc>
        <w:tc>
          <w:tcPr>
            <w:tcW w:w="4006" w:type="dxa"/>
          </w:tcPr>
          <w:p w:rsidR="006B46C3" w:rsidRDefault="006B46C3"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الرجل</w:t>
            </w:r>
            <w:r>
              <w:rPr>
                <w:rtl/>
              </w:rPr>
              <w:t xml:space="preserve"> ».</w:t>
            </w:r>
          </w:p>
        </w:tc>
      </w:tr>
      <w:tr w:rsidR="006B46C3" w:rsidTr="006B46C3">
        <w:tc>
          <w:tcPr>
            <w:tcW w:w="4006" w:type="dxa"/>
          </w:tcPr>
          <w:p w:rsidR="006B46C3" w:rsidRDefault="006B46C3" w:rsidP="00992664">
            <w:pPr>
              <w:pStyle w:val="libFootnote0"/>
              <w:rPr>
                <w:rtl/>
              </w:rPr>
            </w:pPr>
            <w:r>
              <w:rPr>
                <w:rtl/>
              </w:rPr>
              <w:t xml:space="preserve">(3). </w:t>
            </w:r>
            <w:r w:rsidRPr="00020424">
              <w:rPr>
                <w:rtl/>
              </w:rPr>
              <w:t>في « بخ » : « بفعله</w:t>
            </w:r>
            <w:r>
              <w:rPr>
                <w:rtl/>
              </w:rPr>
              <w:t xml:space="preserve"> ».</w:t>
            </w:r>
          </w:p>
        </w:tc>
        <w:tc>
          <w:tcPr>
            <w:tcW w:w="4006" w:type="dxa"/>
          </w:tcPr>
          <w:p w:rsidR="006B46C3" w:rsidRDefault="006B46C3"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ولا يبسط</w:t>
            </w:r>
            <w:r>
              <w:rPr>
                <w:rtl/>
              </w:rPr>
              <w:t xml:space="preserve"> ».</w:t>
            </w:r>
          </w:p>
        </w:tc>
      </w:tr>
    </w:tbl>
    <w:p w:rsidR="00992664" w:rsidRPr="00020424" w:rsidRDefault="00795177" w:rsidP="0017002A">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108 ، ح 313 ، وفيه : « وفي رواية ا</w:t>
      </w:r>
      <w:r w:rsidR="007C3F71">
        <w:rPr>
          <w:rFonts w:hint="cs"/>
          <w:rtl/>
        </w:rPr>
        <w:t>ُ</w:t>
      </w:r>
      <w:r w:rsidR="00992664" w:rsidRPr="00020424">
        <w:rPr>
          <w:rtl/>
        </w:rPr>
        <w:t xml:space="preserve">خرى عن أبي جعفر وأبي عبدالله </w:t>
      </w:r>
      <w:r w:rsidR="00D64ADA" w:rsidRPr="00D64ADA">
        <w:rPr>
          <w:rStyle w:val="libFootnoteAlaemChar"/>
          <w:rtl/>
        </w:rPr>
        <w:t>عليهما‌السلام</w:t>
      </w:r>
      <w:r w:rsidR="00992664">
        <w:rPr>
          <w:rtl/>
        </w:rPr>
        <w:t xml:space="preserve"> ..</w:t>
      </w:r>
      <w:r w:rsidR="00992664" w:rsidRPr="00020424">
        <w:rPr>
          <w:rtl/>
        </w:rPr>
        <w:t>.</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264 ، مرسلاً</w:t>
      </w:r>
      <w:r w:rsidR="0017002A">
        <w:rPr>
          <w:rFonts w:hint="cs"/>
          <w:rtl/>
        </w:rPr>
        <w:t>.</w:t>
      </w:r>
      <w:r w:rsidR="00992664" w:rsidRPr="0012008A">
        <w:rPr>
          <w:rStyle w:val="libFootnoteBoldChar"/>
          <w:rtl/>
        </w:rPr>
        <w:t>الوافي</w:t>
      </w:r>
      <w:r w:rsidR="00992664" w:rsidRPr="00020424">
        <w:rPr>
          <w:rtl/>
        </w:rPr>
        <w:t xml:space="preserve"> ، ج 10 ، ص 406 ، ح 9781 ؛ </w:t>
      </w:r>
      <w:r w:rsidR="00992664" w:rsidRPr="0012008A">
        <w:rPr>
          <w:rStyle w:val="libFootnoteBoldChar"/>
          <w:rtl/>
        </w:rPr>
        <w:t>الوسائل</w:t>
      </w:r>
      <w:r w:rsidR="00992664" w:rsidRPr="00020424">
        <w:rPr>
          <w:rtl/>
        </w:rPr>
        <w:t xml:space="preserve"> ، ج 9 ، ص 49 ، ح 11493.</w:t>
      </w:r>
    </w:p>
    <w:tbl>
      <w:tblPr>
        <w:tblStyle w:val="TableGrid"/>
        <w:bidiVisual/>
        <w:tblW w:w="0" w:type="auto"/>
        <w:tblLook w:val="04A0" w:firstRow="1" w:lastRow="0" w:firstColumn="1" w:lastColumn="0" w:noHBand="0" w:noVBand="1"/>
      </w:tblPr>
      <w:tblGrid>
        <w:gridCol w:w="4006"/>
        <w:gridCol w:w="4006"/>
      </w:tblGrid>
      <w:tr w:rsidR="0017002A" w:rsidTr="0017002A">
        <w:tc>
          <w:tcPr>
            <w:tcW w:w="4006" w:type="dxa"/>
          </w:tcPr>
          <w:p w:rsidR="0017002A" w:rsidRDefault="0017002A" w:rsidP="00992664">
            <w:pPr>
              <w:pStyle w:val="libFootnote0"/>
              <w:rPr>
                <w:rtl/>
              </w:rPr>
            </w:pPr>
            <w:r>
              <w:rPr>
                <w:rtl/>
              </w:rPr>
              <w:t xml:space="preserve">(6). </w:t>
            </w:r>
            <w:r w:rsidRPr="00020424">
              <w:rPr>
                <w:rtl/>
              </w:rPr>
              <w:t>في حاشية « بث » : « الرجل</w:t>
            </w:r>
            <w:r>
              <w:rPr>
                <w:rtl/>
              </w:rPr>
              <w:t xml:space="preserve"> ».</w:t>
            </w:r>
          </w:p>
        </w:tc>
        <w:tc>
          <w:tcPr>
            <w:tcW w:w="4006" w:type="dxa"/>
          </w:tcPr>
          <w:p w:rsidR="0017002A" w:rsidRDefault="0017002A" w:rsidP="00992664">
            <w:pPr>
              <w:pStyle w:val="libFootnote0"/>
              <w:rPr>
                <w:rtl/>
              </w:rPr>
            </w:pPr>
            <w:r>
              <w:rPr>
                <w:rtl/>
              </w:rPr>
              <w:t xml:space="preserve">(7). </w:t>
            </w:r>
            <w:r w:rsidRPr="00020424">
              <w:rPr>
                <w:rtl/>
              </w:rPr>
              <w:t>في «بح،بخ،بف»</w:t>
            </w:r>
            <w:r w:rsidR="00352B65">
              <w:rPr>
                <w:rFonts w:hint="cs"/>
                <w:rtl/>
              </w:rPr>
              <w:t xml:space="preserve"> </w:t>
            </w:r>
            <w:r w:rsidRPr="00216E45">
              <w:rPr>
                <w:rStyle w:val="libFootnoteBoldChar"/>
                <w:rtl/>
              </w:rPr>
              <w:t>ومعاني الأخبار</w:t>
            </w:r>
            <w:r w:rsidRPr="00020424">
              <w:rPr>
                <w:rtl/>
              </w:rPr>
              <w:t>:«قال</w:t>
            </w:r>
            <w:r>
              <w:rPr>
                <w:rtl/>
              </w:rPr>
              <w:t>».</w:t>
            </w:r>
          </w:p>
        </w:tc>
      </w:tr>
    </w:tbl>
    <w:p w:rsidR="00992664" w:rsidRPr="00020424" w:rsidRDefault="00795177" w:rsidP="00613710">
      <w:pPr>
        <w:pStyle w:val="libFootnote0"/>
        <w:rPr>
          <w:rtl/>
          <w:lang w:bidi="fa-IR"/>
        </w:rPr>
      </w:pPr>
      <w:r>
        <w:rPr>
          <w:rtl/>
        </w:rPr>
        <w:t>(8).</w:t>
      </w:r>
      <w:r w:rsidR="0014403D">
        <w:rPr>
          <w:rtl/>
        </w:rPr>
        <w:t xml:space="preserve"> </w:t>
      </w:r>
      <w:r w:rsidR="00992664" w:rsidRPr="00020424">
        <w:rPr>
          <w:rtl/>
        </w:rPr>
        <w:t>في « بح » : + « له</w:t>
      </w:r>
      <w:r w:rsidR="00992664">
        <w:rPr>
          <w:rtl/>
        </w:rPr>
        <w:t xml:space="preserve"> ».</w:t>
      </w:r>
      <w:r w:rsidR="00992664" w:rsidRPr="00020424">
        <w:rPr>
          <w:rtl/>
        </w:rPr>
        <w:t xml:space="preserve"> وفي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613710">
      <w:pPr>
        <w:pStyle w:val="libFootnote0"/>
        <w:rPr>
          <w:rtl/>
          <w:lang w:bidi="fa-IR"/>
        </w:rPr>
      </w:pPr>
      <w:r>
        <w:rPr>
          <w:rtl/>
        </w:rPr>
        <w:t>(9).</w:t>
      </w:r>
      <w:r w:rsidR="0014403D">
        <w:rPr>
          <w:rtl/>
        </w:rPr>
        <w:t xml:space="preserve"> </w:t>
      </w:r>
      <w:r w:rsidR="00992664" w:rsidRPr="00020424">
        <w:rPr>
          <w:rtl/>
        </w:rPr>
        <w:t>في معاني الأخبار : + « درهماً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الاستئثار : الانفراد بالشي‌ء. </w:t>
      </w:r>
      <w:r w:rsidR="00992664" w:rsidRPr="00A722B1">
        <w:rPr>
          <w:rStyle w:val="libFootnoteBoldChar"/>
          <w:rtl/>
        </w:rPr>
        <w:t>لسان العرب</w:t>
      </w:r>
      <w:r w:rsidR="00992664" w:rsidRPr="00020424">
        <w:rPr>
          <w:rtl/>
        </w:rPr>
        <w:t xml:space="preserve"> ، ج 4 ، ص 8 ( اثر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4C1A39">
        <w:rPr>
          <w:rtl/>
        </w:rPr>
        <w:t>معاني الأخبار</w:t>
      </w:r>
      <w:r w:rsidR="00992664" w:rsidRPr="00020424">
        <w:rPr>
          <w:rtl/>
        </w:rPr>
        <w:t xml:space="preserve"> ، ص 153 ، ح 1 ، بسنده عن المفضّل بن عمر ، عن أبي عبدالله </w:t>
      </w:r>
      <w:r w:rsidR="00992664" w:rsidRPr="00D64ADA">
        <w:rPr>
          <w:rStyle w:val="libFootnoteAlaemChar"/>
          <w:rtl/>
        </w:rPr>
        <w:t>عليه‌السلام</w:t>
      </w:r>
      <w:r w:rsidR="00992664" w:rsidRPr="00020424">
        <w:rPr>
          <w:rtl/>
        </w:rPr>
        <w:t xml:space="preserve"> </w:t>
      </w:r>
      <w:r w:rsidR="00A865D6">
        <w:rPr>
          <w:rFonts w:hint="cs"/>
          <w:rtl/>
        </w:rPr>
        <w:t>.</w:t>
      </w:r>
      <w:r w:rsidR="00992664" w:rsidRPr="0012008A">
        <w:rPr>
          <w:rStyle w:val="libFootnoteBoldChar"/>
          <w:rtl/>
        </w:rPr>
        <w:t>الوافي</w:t>
      </w:r>
      <w:r w:rsidR="00992664" w:rsidRPr="00020424">
        <w:rPr>
          <w:rtl/>
        </w:rPr>
        <w:t xml:space="preserve"> ، ج 10 ، ص 376 ، ح 9716 ؛ </w:t>
      </w:r>
      <w:r w:rsidR="00992664" w:rsidRPr="0012008A">
        <w:rPr>
          <w:rStyle w:val="libFootnoteBoldChar"/>
          <w:rtl/>
        </w:rPr>
        <w:t>الوسائل</w:t>
      </w:r>
      <w:r w:rsidR="00992664" w:rsidRPr="00020424">
        <w:rPr>
          <w:rtl/>
        </w:rPr>
        <w:t xml:space="preserve"> ، ج 9 ، ص 50 ، ح 11494 ؛ وص 148 ، ذيل ح 11716.</w:t>
      </w:r>
    </w:p>
    <w:p w:rsidR="00992664" w:rsidRPr="00020424" w:rsidRDefault="00795177" w:rsidP="000C7F32">
      <w:pPr>
        <w:pStyle w:val="libFootnote0"/>
        <w:rPr>
          <w:rtl/>
          <w:lang w:bidi="fa-IR"/>
        </w:rPr>
      </w:pPr>
      <w:r>
        <w:rPr>
          <w:rtl/>
        </w:rPr>
        <w:t>(12).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 xml:space="preserve">لَهُ أَبُو عَبْدِ اللهِ </w:t>
      </w:r>
      <w:r w:rsidRPr="00005A81">
        <w:rPr>
          <w:rStyle w:val="libAlaemChar"/>
          <w:rtl/>
        </w:rPr>
        <w:t>عليه‌السلام</w:t>
      </w:r>
      <w:r w:rsidRPr="00020424">
        <w:rPr>
          <w:rtl/>
          <w:lang w:bidi="fa-IR"/>
        </w:rPr>
        <w:t xml:space="preserve"> : « إِلى غَلَّةٍ </w:t>
      </w:r>
      <w:r w:rsidRPr="00A91B96">
        <w:rPr>
          <w:rStyle w:val="libFootnotenumChar"/>
          <w:rtl/>
        </w:rPr>
        <w:t>(1)</w:t>
      </w:r>
      <w:r w:rsidRPr="00020424">
        <w:rPr>
          <w:rtl/>
          <w:lang w:bidi="fa-IR"/>
        </w:rPr>
        <w:t xml:space="preserve"> تُدْرَكُ » فَقَالَ </w:t>
      </w:r>
      <w:r w:rsidRPr="00A91B96">
        <w:rPr>
          <w:rStyle w:val="libFootnotenumChar"/>
          <w:rtl/>
        </w:rPr>
        <w:t>(2)</w:t>
      </w:r>
      <w:r w:rsidRPr="00020424">
        <w:rPr>
          <w:rtl/>
          <w:lang w:bidi="fa-IR"/>
        </w:rPr>
        <w:t xml:space="preserve"> الرَّجُلُ : لَاوَ اللهِ ، قَالَ </w:t>
      </w:r>
      <w:r w:rsidRPr="00A91B96">
        <w:rPr>
          <w:rStyle w:val="libFootnotenumChar"/>
          <w:rtl/>
        </w:rPr>
        <w:t>(3)</w:t>
      </w:r>
      <w:r w:rsidRPr="00020424">
        <w:rPr>
          <w:rtl/>
          <w:lang w:bidi="fa-IR"/>
        </w:rPr>
        <w:t xml:space="preserve"> : « فَإِلى تِجَارَةٍ تُؤَبُّ </w:t>
      </w:r>
      <w:r w:rsidRPr="00A91B96">
        <w:rPr>
          <w:rStyle w:val="libFootnotenumChar"/>
          <w:rtl/>
        </w:rPr>
        <w:t>(4)</w:t>
      </w:r>
      <w:r w:rsidRPr="00020424">
        <w:rPr>
          <w:rtl/>
          <w:lang w:bidi="fa-IR"/>
        </w:rPr>
        <w:t xml:space="preserve"> » قَالَ : لَاوَ اللهِ ، قَالَ : « فَإِلى عُقْدَةٍ </w:t>
      </w:r>
      <w:r w:rsidRPr="00A91B96">
        <w:rPr>
          <w:rStyle w:val="libFootnotenumChar"/>
          <w:rtl/>
        </w:rPr>
        <w:t>(5)</w:t>
      </w:r>
      <w:r w:rsidRPr="00020424">
        <w:rPr>
          <w:rtl/>
          <w:lang w:bidi="fa-IR"/>
        </w:rPr>
        <w:t xml:space="preserve"> تُبَاعُ » فَقَالَ </w:t>
      </w:r>
      <w:r w:rsidRPr="00A91B96">
        <w:rPr>
          <w:rStyle w:val="libFootnotenumChar"/>
          <w:rtl/>
        </w:rPr>
        <w:t>(6)</w:t>
      </w:r>
      <w:r w:rsidRPr="00020424">
        <w:rPr>
          <w:rtl/>
          <w:lang w:bidi="fa-IR"/>
        </w:rPr>
        <w:t xml:space="preserve"> : لَاوَ اللهِ ، فَقَالَ </w:t>
      </w:r>
      <w:r w:rsidRPr="00A91B96">
        <w:rPr>
          <w:rStyle w:val="libFootnotenumChar"/>
          <w:rtl/>
        </w:rPr>
        <w:t>(7)</w:t>
      </w:r>
      <w:r w:rsidRPr="00020424">
        <w:rPr>
          <w:rtl/>
          <w:lang w:bidi="fa-IR"/>
        </w:rPr>
        <w:t xml:space="preserve"> أَبُو عَبْدِ اللهِ </w:t>
      </w:r>
      <w:r w:rsidRPr="00005A81">
        <w:rPr>
          <w:rStyle w:val="libAlaemChar"/>
          <w:rtl/>
        </w:rPr>
        <w:t>عليه‌السلام</w:t>
      </w:r>
      <w:r w:rsidRPr="00020424">
        <w:rPr>
          <w:rtl/>
          <w:lang w:bidi="fa-IR"/>
        </w:rPr>
        <w:t xml:space="preserve"> : « فَأَنْتَ مِمَّنْ جَعَلَ اللهُ لَهُ فِي أَمْوَالِنَا حَقّاً » </w:t>
      </w:r>
      <w:r w:rsidRPr="00A91B96">
        <w:rPr>
          <w:rStyle w:val="libFootnotenumChar"/>
          <w:rtl/>
        </w:rPr>
        <w:t>(8)</w:t>
      </w:r>
      <w:r w:rsidRPr="00020424">
        <w:rPr>
          <w:rtl/>
          <w:lang w:bidi="fa-IR"/>
        </w:rPr>
        <w:t xml:space="preserve"> ثُمَّ دَعَا بِكِيسٍ فِيهِ دَرَاهِمُ ، فَأَدْخَلَ يَدَهُ فِيهِ ، فَنَاوَلَهُ مِنْهُ قَبْضَةً ، ثُمَّ قَالَ </w:t>
      </w:r>
      <w:r w:rsidRPr="00A91B96">
        <w:rPr>
          <w:rStyle w:val="libFootnotenumChar"/>
          <w:rtl/>
        </w:rPr>
        <w:t>(9)</w:t>
      </w:r>
      <w:r w:rsidRPr="00020424">
        <w:rPr>
          <w:rtl/>
          <w:lang w:bidi="fa-IR"/>
        </w:rPr>
        <w:t xml:space="preserve"> لَهُ : « اتَّقِ اللهَ ، وَلَاتُسْرِفْ ، وَلَاتَقْتُرْ </w:t>
      </w:r>
      <w:r w:rsidRPr="00A91B96">
        <w:rPr>
          <w:rStyle w:val="libFootnotenumChar"/>
          <w:rtl/>
        </w:rPr>
        <w:t>(10)</w:t>
      </w:r>
      <w:r w:rsidRPr="00020424">
        <w:rPr>
          <w:rtl/>
          <w:lang w:bidi="fa-IR"/>
        </w:rPr>
        <w:t xml:space="preserve"> ، وَلكِنْ بَيْنَ ذلِكَ قَوَاماً ؛ إِنَّ التَّبْذِيرَ </w:t>
      </w:r>
      <w:r w:rsidRPr="00A91B96">
        <w:rPr>
          <w:rStyle w:val="libFootnotenumChar"/>
          <w:rtl/>
        </w:rPr>
        <w:t>(11)</w:t>
      </w:r>
      <w:r w:rsidRPr="00020424">
        <w:rPr>
          <w:rtl/>
          <w:lang w:bidi="fa-IR"/>
        </w:rPr>
        <w:t xml:space="preserve"> مِنَ الْإِسْرَافِ ، قَالَ اللهُ عَزَّ وَجَلَّ : </w:t>
      </w:r>
      <w:r w:rsidRPr="00005A81">
        <w:rPr>
          <w:rStyle w:val="libAlaemChar"/>
          <w:rtl/>
        </w:rPr>
        <w:t>(</w:t>
      </w:r>
      <w:r w:rsidRPr="004E5AB4">
        <w:rPr>
          <w:rStyle w:val="libAieChar"/>
          <w:rtl/>
        </w:rPr>
        <w:t xml:space="preserve"> وَلا تُبَذِّرْ تَبْذِيراً </w:t>
      </w:r>
      <w:r w:rsidRPr="00005A81">
        <w:rPr>
          <w:rStyle w:val="libAlaemChar"/>
          <w:rtl/>
        </w:rPr>
        <w:t>)</w:t>
      </w:r>
      <w:r w:rsidRPr="00020424">
        <w:rPr>
          <w:rtl/>
          <w:lang w:bidi="fa-IR"/>
        </w:rPr>
        <w:t xml:space="preserve">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w:t>
      </w:r>
    </w:p>
    <w:p w:rsidR="00992664" w:rsidRPr="00020424" w:rsidRDefault="00DD7936" w:rsidP="00992664">
      <w:pPr>
        <w:pStyle w:val="libNormal"/>
        <w:rPr>
          <w:rtl/>
          <w:lang w:bidi="fa-IR"/>
        </w:rPr>
      </w:pPr>
      <w:r>
        <w:rPr>
          <w:rFonts w:hint="cs"/>
          <w:rtl/>
          <w:lang w:bidi="fa-IR"/>
        </w:rPr>
        <w:t xml:space="preserve">* </w:t>
      </w:r>
      <w:r w:rsidR="00992664" w:rsidRPr="00020424">
        <w:rPr>
          <w:rtl/>
          <w:lang w:bidi="fa-IR"/>
        </w:rPr>
        <w:t xml:space="preserve">الْحَسَنُ بْنُ مَحْبُوبٍ </w:t>
      </w:r>
      <w:r w:rsidR="00992664" w:rsidRPr="00A91B96">
        <w:rPr>
          <w:rStyle w:val="libFootnotenumChar"/>
          <w:rtl/>
        </w:rPr>
        <w:t>(14)</w:t>
      </w:r>
      <w:r w:rsidR="00992664" w:rsidRPr="00020424">
        <w:rPr>
          <w:rtl/>
          <w:lang w:bidi="fa-IR"/>
        </w:rPr>
        <w:t xml:space="preserve"> ، عَنْ سَعْدَانَ بْنِ مُسْلِمٍ ، عَنْ أَبِي عَبْدِ اللهِ </w:t>
      </w:r>
      <w:r w:rsidR="00992664" w:rsidRPr="00005A81">
        <w:rPr>
          <w:rStyle w:val="libAlaemChar"/>
          <w:rtl/>
        </w:rPr>
        <w:t>عليه‌السلام</w:t>
      </w:r>
      <w:r w:rsidR="00992664" w:rsidRPr="00020424">
        <w:rPr>
          <w:rtl/>
          <w:lang w:bidi="fa-IR"/>
        </w:rPr>
        <w:t xml:space="preserve"> مِثْلَ ذلِكَ. </w:t>
      </w:r>
      <w:r w:rsidR="00992664" w:rsidRPr="00A91B96">
        <w:rPr>
          <w:rStyle w:val="libFootnotenumChar"/>
          <w:rtl/>
        </w:rPr>
        <w:t>(15)</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الغَلّة » : الدخل الذي يحصل من الزرع والثمر واللبن والإجارة والنتاج ونحو ذلك. راجع : </w:t>
      </w:r>
      <w:r w:rsidR="00992664" w:rsidRPr="0012008A">
        <w:rPr>
          <w:rStyle w:val="libFootnoteBoldChar"/>
          <w:rtl/>
        </w:rPr>
        <w:t>النهاية</w:t>
      </w:r>
      <w:r w:rsidR="00992664" w:rsidRPr="00020424">
        <w:rPr>
          <w:rtl/>
        </w:rPr>
        <w:t xml:space="preserve"> ، ج 3 ، ص 381 ؛ </w:t>
      </w:r>
      <w:r w:rsidR="00992664" w:rsidRPr="00A722B1">
        <w:rPr>
          <w:rStyle w:val="libFootnoteBoldChar"/>
          <w:rtl/>
        </w:rPr>
        <w:t>القاموس المحيط</w:t>
      </w:r>
      <w:r w:rsidR="00992664" w:rsidRPr="00020424">
        <w:rPr>
          <w:rtl/>
        </w:rPr>
        <w:t xml:space="preserve"> ، ج 2 ، ص 1373 ( غلل )</w:t>
      </w:r>
      <w:r w:rsidR="00992664">
        <w:rPr>
          <w:rtl/>
        </w:rPr>
        <w:t>.</w:t>
      </w:r>
    </w:p>
    <w:p w:rsidR="00992664" w:rsidRPr="00020424" w:rsidRDefault="00795177" w:rsidP="00DD7936">
      <w:pPr>
        <w:pStyle w:val="libFootnote0"/>
        <w:rPr>
          <w:rtl/>
          <w:lang w:bidi="fa-IR"/>
        </w:rPr>
      </w:pPr>
      <w:r>
        <w:rPr>
          <w:rtl/>
        </w:rPr>
        <w:t>(2).</w:t>
      </w:r>
      <w:r w:rsidR="0014403D">
        <w:rPr>
          <w:rtl/>
        </w:rPr>
        <w:t xml:space="preserve"> </w:t>
      </w:r>
      <w:r w:rsidR="00992664" w:rsidRPr="00020424">
        <w:rPr>
          <w:rtl/>
        </w:rPr>
        <w:t>في « بث ، بح ، جن » : + « له</w:t>
      </w:r>
      <w:r w:rsidR="00992664">
        <w:rPr>
          <w:rtl/>
        </w:rPr>
        <w:t xml:space="preserve"> ».</w:t>
      </w:r>
    </w:p>
    <w:p w:rsidR="00992664" w:rsidRPr="00020424" w:rsidRDefault="00795177" w:rsidP="00DD7936">
      <w:pPr>
        <w:pStyle w:val="libFootnote0"/>
        <w:rPr>
          <w:rtl/>
          <w:lang w:bidi="fa-IR"/>
        </w:rPr>
      </w:pPr>
      <w:r>
        <w:rPr>
          <w:rtl/>
        </w:rPr>
        <w:t>(3).</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تؤوب</w:t>
      </w:r>
      <w:r w:rsidR="00992664">
        <w:rPr>
          <w:rtl/>
        </w:rPr>
        <w:t xml:space="preserve"> ».</w:t>
      </w:r>
      <w:r w:rsidR="00992664" w:rsidRPr="00020424">
        <w:rPr>
          <w:rtl/>
        </w:rPr>
        <w:t xml:space="preserve"> وفي تفسير العيّاشي ، ص 56 : « تؤدّي</w:t>
      </w:r>
      <w:r w:rsidR="00992664">
        <w:rPr>
          <w:rtl/>
        </w:rPr>
        <w:t xml:space="preserve"> ».</w:t>
      </w:r>
      <w:r w:rsidR="00992664" w:rsidRPr="00020424">
        <w:rPr>
          <w:rtl/>
        </w:rPr>
        <w:t xml:space="preserve"> </w:t>
      </w:r>
      <w:r w:rsidR="00992664">
        <w:rPr>
          <w:rtl/>
        </w:rPr>
        <w:t>و «</w:t>
      </w:r>
      <w:r w:rsidR="00992664" w:rsidRPr="00020424">
        <w:rPr>
          <w:rtl/>
        </w:rPr>
        <w:t xml:space="preserve"> تُؤَبُّ » ، أي تُقْصَد ، يقال : أَبَّ أَبَّهُ ، أي قصد قَصْدَه ، وتقول : أبيتُ أَؤُبّ أَبّاً ، إذا عزمت للمسير وتهيّأب. راجع : </w:t>
      </w:r>
      <w:r w:rsidR="00992664" w:rsidRPr="00A722B1">
        <w:rPr>
          <w:rStyle w:val="libFootnoteBoldChar"/>
          <w:rtl/>
        </w:rPr>
        <w:t>لسان العرب</w:t>
      </w:r>
      <w:r w:rsidR="00992664" w:rsidRPr="00020424">
        <w:rPr>
          <w:rtl/>
        </w:rPr>
        <w:t xml:space="preserve"> ، ج 1 ، ص 205 ؛ </w:t>
      </w:r>
      <w:r w:rsidR="00992664" w:rsidRPr="00A722B1">
        <w:rPr>
          <w:rStyle w:val="libFootnoteBoldChar"/>
          <w:rtl/>
        </w:rPr>
        <w:t>القاموس المحيط</w:t>
      </w:r>
      <w:r w:rsidR="00992664" w:rsidRPr="00020424">
        <w:rPr>
          <w:rtl/>
        </w:rPr>
        <w:t xml:space="preserve"> ، ج 1 ، ص 128 ( أبب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العُقْدة » : الضيعة والعقار ، سمّيت بها لأنّ صاحبها اعتقدها ملكاً ، أي اقتناها واتّخذه لنفسه. والعقدة أيضاً : المكان الكثير الشجر أو النخل. راجع : </w:t>
      </w:r>
      <w:r w:rsidR="00992664" w:rsidRPr="0012008A">
        <w:rPr>
          <w:rStyle w:val="libFootnoteBoldChar"/>
          <w:rtl/>
        </w:rPr>
        <w:t>الصحاح</w:t>
      </w:r>
      <w:r w:rsidR="00992664" w:rsidRPr="00020424">
        <w:rPr>
          <w:rtl/>
        </w:rPr>
        <w:t xml:space="preserve"> ، ج 2 ، ص 510 ؛ </w:t>
      </w:r>
      <w:r w:rsidR="00992664" w:rsidRPr="00A722B1">
        <w:rPr>
          <w:rStyle w:val="libFootnoteBoldChar"/>
          <w:rtl/>
        </w:rPr>
        <w:t>القاموس المحيط</w:t>
      </w:r>
      <w:r w:rsidR="00352B65">
        <w:rPr>
          <w:rtl/>
        </w:rPr>
        <w:t xml:space="preserve"> ، ج 1 ، ص 436 (عقد</w:t>
      </w:r>
      <w:r w:rsidR="00992664" w:rsidRPr="00020424">
        <w:rPr>
          <w:rtl/>
        </w:rPr>
        <w:t>)</w:t>
      </w:r>
      <w:r w:rsidR="00992664">
        <w:rPr>
          <w:rtl/>
        </w:rPr>
        <w:t>.</w:t>
      </w:r>
    </w:p>
    <w:tbl>
      <w:tblPr>
        <w:tblStyle w:val="TableGrid"/>
        <w:bidiVisual/>
        <w:tblW w:w="0" w:type="auto"/>
        <w:tblLook w:val="04A0" w:firstRow="1" w:lastRow="0" w:firstColumn="1" w:lastColumn="0" w:noHBand="0" w:noVBand="1"/>
      </w:tblPr>
      <w:tblGrid>
        <w:gridCol w:w="4006"/>
        <w:gridCol w:w="4006"/>
      </w:tblGrid>
      <w:tr w:rsidR="00DD7936" w:rsidTr="00DD7936">
        <w:tc>
          <w:tcPr>
            <w:tcW w:w="4006" w:type="dxa"/>
          </w:tcPr>
          <w:p w:rsidR="00DD7936" w:rsidRDefault="00DD7936" w:rsidP="00992664">
            <w:pPr>
              <w:pStyle w:val="libFootnote0"/>
              <w:rPr>
                <w:rtl/>
              </w:rPr>
            </w:pPr>
            <w:r>
              <w:rPr>
                <w:rtl/>
              </w:rPr>
              <w:t xml:space="preserve">(6). </w:t>
            </w:r>
            <w:r w:rsidRPr="00020424">
              <w:rPr>
                <w:rtl/>
              </w:rPr>
              <w:t xml:space="preserve">في « بخ ، بف » </w:t>
            </w:r>
            <w:r w:rsidRPr="00515444">
              <w:rPr>
                <w:rStyle w:val="libFootnoteBoldChar"/>
                <w:rtl/>
              </w:rPr>
              <w:t>والوافي</w:t>
            </w:r>
            <w:r w:rsidRPr="00020424">
              <w:rPr>
                <w:rtl/>
              </w:rPr>
              <w:t xml:space="preserve"> : « قال</w:t>
            </w:r>
            <w:r>
              <w:rPr>
                <w:rtl/>
              </w:rPr>
              <w:t xml:space="preserve"> ».</w:t>
            </w:r>
          </w:p>
        </w:tc>
        <w:tc>
          <w:tcPr>
            <w:tcW w:w="4006" w:type="dxa"/>
          </w:tcPr>
          <w:p w:rsidR="00DD7936" w:rsidRDefault="00DD7936" w:rsidP="00DD7936">
            <w:pPr>
              <w:pStyle w:val="libFootnote0"/>
              <w:rPr>
                <w:rtl/>
              </w:rPr>
            </w:pPr>
            <w:r>
              <w:rPr>
                <w:rtl/>
              </w:rPr>
              <w:t>(7). في</w:t>
            </w:r>
            <w:r w:rsidRPr="00020424">
              <w:rPr>
                <w:rtl/>
              </w:rPr>
              <w:t>«بث»:+«له</w:t>
            </w:r>
            <w:r>
              <w:rPr>
                <w:rtl/>
              </w:rPr>
              <w:t>».</w:t>
            </w:r>
            <w:r w:rsidRPr="00020424">
              <w:rPr>
                <w:rtl/>
              </w:rPr>
              <w:t>وفي«بخ،بر،بف»</w:t>
            </w:r>
            <w:r w:rsidRPr="00515444">
              <w:rPr>
                <w:rStyle w:val="libFootnoteBoldChar"/>
                <w:rtl/>
              </w:rPr>
              <w:t>والوافي</w:t>
            </w:r>
            <w:r w:rsidRPr="00020424">
              <w:rPr>
                <w:rtl/>
              </w:rPr>
              <w:t>:«قال</w:t>
            </w:r>
            <w:r>
              <w:rPr>
                <w:rtl/>
              </w:rPr>
              <w:t>».</w:t>
            </w:r>
          </w:p>
        </w:tc>
      </w:tr>
      <w:tr w:rsidR="00DD7936" w:rsidTr="00DD7936">
        <w:tc>
          <w:tcPr>
            <w:tcW w:w="4006" w:type="dxa"/>
          </w:tcPr>
          <w:p w:rsidR="00DD7936" w:rsidRDefault="00DD7936" w:rsidP="00992664">
            <w:pPr>
              <w:pStyle w:val="libFootnote0"/>
              <w:rPr>
                <w:rtl/>
              </w:rPr>
            </w:pPr>
            <w:r>
              <w:rPr>
                <w:rtl/>
              </w:rPr>
              <w:t xml:space="preserve">(8). </w:t>
            </w:r>
            <w:r w:rsidRPr="00020424">
              <w:rPr>
                <w:rtl/>
              </w:rPr>
              <w:t>في « بث » : + « فأومأ</w:t>
            </w:r>
            <w:r>
              <w:rPr>
                <w:rtl/>
              </w:rPr>
              <w:t xml:space="preserve"> ».</w:t>
            </w:r>
          </w:p>
        </w:tc>
        <w:tc>
          <w:tcPr>
            <w:tcW w:w="4006" w:type="dxa"/>
          </w:tcPr>
          <w:p w:rsidR="00DD7936" w:rsidRDefault="00DD7936" w:rsidP="00992664">
            <w:pPr>
              <w:pStyle w:val="libFootnote0"/>
              <w:rPr>
                <w:rtl/>
              </w:rPr>
            </w:pPr>
            <w:r>
              <w:rPr>
                <w:rtl/>
              </w:rPr>
              <w:t xml:space="preserve">(9). </w:t>
            </w:r>
            <w:r w:rsidRPr="00020424">
              <w:rPr>
                <w:rtl/>
              </w:rPr>
              <w:t>في « بث » : « فقال</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القَتْر » : ضيق العيش ، يقال : قتر على عياله يَقْتُر ويَقْتِر قَتْراً وقُتُوراً ، ضيّق عليهم في النفقة. </w:t>
      </w:r>
      <w:r w:rsidR="00992664" w:rsidRPr="00A722B1">
        <w:rPr>
          <w:rStyle w:val="libFootnoteBoldChar"/>
          <w:rtl/>
        </w:rPr>
        <w:t>لسان العرب</w:t>
      </w:r>
      <w:r w:rsidR="00992664" w:rsidRPr="00020424">
        <w:rPr>
          <w:rtl/>
        </w:rPr>
        <w:t xml:space="preserve"> ، ج 5 ، ص 71 ؛ </w:t>
      </w:r>
      <w:r w:rsidR="00992664" w:rsidRPr="00A722B1">
        <w:rPr>
          <w:rStyle w:val="libFootnoteBoldChar"/>
          <w:rtl/>
        </w:rPr>
        <w:t>المصباح المنير</w:t>
      </w:r>
      <w:r w:rsidR="00992664" w:rsidRPr="00020424">
        <w:rPr>
          <w:rtl/>
        </w:rPr>
        <w:t xml:space="preserve"> ، ص 490 ( قتر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التبذير » : الإسراف في النفقة ، وتبذير المال : تفريقه إسرافاً. راجع : </w:t>
      </w:r>
      <w:r w:rsidR="00992664" w:rsidRPr="0012008A">
        <w:rPr>
          <w:rStyle w:val="libFootnoteBoldChar"/>
          <w:rtl/>
        </w:rPr>
        <w:t>الصحاح</w:t>
      </w:r>
      <w:r w:rsidR="00992664" w:rsidRPr="00020424">
        <w:rPr>
          <w:rtl/>
        </w:rPr>
        <w:t xml:space="preserve"> ، ج 2 ، ص 587 ؛ </w:t>
      </w:r>
      <w:r w:rsidR="00992664" w:rsidRPr="0012008A">
        <w:rPr>
          <w:rStyle w:val="libFootnoteBoldChar"/>
          <w:rtl/>
        </w:rPr>
        <w:t>النهاية</w:t>
      </w:r>
      <w:r w:rsidR="00992664" w:rsidRPr="00020424">
        <w:rPr>
          <w:rtl/>
        </w:rPr>
        <w:t xml:space="preserve"> ، ج 1 ، ص 110 ( بذر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الإسراء </w:t>
      </w:r>
      <w:r>
        <w:rPr>
          <w:rtl/>
        </w:rPr>
        <w:t>(17).</w:t>
      </w:r>
      <w:r w:rsidR="0014403D">
        <w:rPr>
          <w:rtl/>
        </w:rPr>
        <w:t xml:space="preserve"> </w:t>
      </w:r>
      <w:r w:rsidR="00992664" w:rsidRPr="00020424">
        <w:rPr>
          <w:rtl/>
        </w:rPr>
        <w:t>: 26. وفي تفسير العيّاشي : + « إنّ الله لا يعذّب على القصد</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4C1A39">
        <w:rPr>
          <w:rtl/>
        </w:rPr>
        <w:t>تفسير العيّاشي</w:t>
      </w:r>
      <w:r w:rsidR="00992664" w:rsidRPr="00020424">
        <w:rPr>
          <w:rtl/>
        </w:rPr>
        <w:t xml:space="preserve"> ، ج 2 ، ص 288 ، ح 55 ، عن عليّ بن جذاعة ، عن أبي عبدالله </w:t>
      </w:r>
      <w:r w:rsidR="00992664" w:rsidRPr="00D64ADA">
        <w:rPr>
          <w:rStyle w:val="libFootnoteAlaemChar"/>
          <w:rtl/>
        </w:rPr>
        <w:t>عليه‌السلام</w:t>
      </w:r>
      <w:r w:rsidR="00992664" w:rsidRPr="00020424">
        <w:rPr>
          <w:rtl/>
        </w:rPr>
        <w:t xml:space="preserve"> ، من قوله : « قال له : اتّق الله ولا تسرف » ؛ </w:t>
      </w:r>
      <w:r w:rsidR="00992664" w:rsidRPr="004C1A39">
        <w:rPr>
          <w:rtl/>
        </w:rPr>
        <w:t>وفيه</w:t>
      </w:r>
      <w:r w:rsidR="00992664" w:rsidRPr="00020424">
        <w:rPr>
          <w:rtl/>
        </w:rPr>
        <w:t xml:space="preserve"> ، ح 56 ، عن جميل ، عن إسحاق بن عمّار ، عن عامر بن جذاعة ، عن أبي عبدالله </w:t>
      </w:r>
      <w:r w:rsidR="00992664" w:rsidRPr="00D64ADA">
        <w:rPr>
          <w:rStyle w:val="libFootnoteAlaemChar"/>
          <w:rtl/>
        </w:rPr>
        <w:t>عليه‌السلام</w:t>
      </w:r>
      <w:r w:rsidR="00992664" w:rsidRPr="00020424">
        <w:rPr>
          <w:rtl/>
        </w:rPr>
        <w:t xml:space="preserve"> ، وفيهما مع اختلاف يسير </w:t>
      </w:r>
      <w:r w:rsidR="00593783">
        <w:rPr>
          <w:rFonts w:hint="cs"/>
          <w:rtl/>
        </w:rPr>
        <w:t>.</w:t>
      </w:r>
      <w:r w:rsidR="00992664" w:rsidRPr="0012008A">
        <w:rPr>
          <w:rStyle w:val="libFootnoteBoldChar"/>
          <w:rtl/>
        </w:rPr>
        <w:t>الوافي</w:t>
      </w:r>
      <w:r w:rsidR="00992664" w:rsidRPr="00020424">
        <w:rPr>
          <w:rtl/>
        </w:rPr>
        <w:t xml:space="preserve"> ، ج 10 ، ص 378 ، ح 9721 ؛ </w:t>
      </w:r>
      <w:r w:rsidR="00992664" w:rsidRPr="0012008A">
        <w:rPr>
          <w:rStyle w:val="libFootnoteBoldChar"/>
          <w:rtl/>
        </w:rPr>
        <w:t>الوسائل</w:t>
      </w:r>
      <w:r w:rsidR="00992664" w:rsidRPr="00020424">
        <w:rPr>
          <w:rtl/>
        </w:rPr>
        <w:t xml:space="preserve"> ، ج 9 ، ص 45 ، ح 11486.</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السند معلّق على سابقه. ويروي عن الحسن بن محبوب ، عدّة من أصحابنا عن أحمد بن أبي عبدالله.</w:t>
      </w:r>
    </w:p>
    <w:p w:rsidR="00992664" w:rsidRPr="00020424" w:rsidRDefault="00795177" w:rsidP="00992664">
      <w:pPr>
        <w:pStyle w:val="libFootnote0"/>
        <w:rPr>
          <w:rtl/>
          <w:lang w:bidi="fa-IR"/>
        </w:rPr>
      </w:pPr>
      <w:r>
        <w:rPr>
          <w:rtl/>
        </w:rPr>
        <w:t>(15).</w:t>
      </w:r>
      <w:r w:rsidR="0014403D">
        <w:rPr>
          <w:rtl/>
        </w:rPr>
        <w:t xml:space="preserve"> </w:t>
      </w:r>
      <w:r w:rsidR="00992664" w:rsidRPr="0012008A">
        <w:rPr>
          <w:rStyle w:val="libFootnoteBoldChar"/>
          <w:rtl/>
        </w:rPr>
        <w:t>الوافي</w:t>
      </w:r>
      <w:r w:rsidR="00992664" w:rsidRPr="00020424">
        <w:rPr>
          <w:rtl/>
        </w:rPr>
        <w:t xml:space="preserve"> ، ج 10 ، ص 379 ، ح 9722 ؛ </w:t>
      </w:r>
      <w:r w:rsidR="00992664" w:rsidRPr="0012008A">
        <w:rPr>
          <w:rStyle w:val="libFootnoteBoldChar"/>
          <w:rtl/>
        </w:rPr>
        <w:t>الوسائل</w:t>
      </w:r>
      <w:r w:rsidR="00992664" w:rsidRPr="00020424">
        <w:rPr>
          <w:rtl/>
        </w:rPr>
        <w:t xml:space="preserve"> ، ج 9 ، ص 45 ، ذيل ح 11486.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C1A39">
        <w:rPr>
          <w:rtl/>
        </w:rPr>
        <w:lastRenderedPageBreak/>
        <w:t>5735</w:t>
      </w:r>
      <w:r w:rsidRPr="001155DE">
        <w:rPr>
          <w:rStyle w:val="libBold2Char"/>
          <w:rtl/>
        </w:rPr>
        <w:t xml:space="preserve"> / 16.</w:t>
      </w:r>
      <w:r w:rsidRPr="00020424">
        <w:rPr>
          <w:rtl/>
          <w:lang w:bidi="fa-IR"/>
        </w:rPr>
        <w:t xml:space="preserve"> أَحْمَدُ بْنُ عَبْدِ اللهِ </w:t>
      </w:r>
      <w:r w:rsidRPr="00A91B96">
        <w:rPr>
          <w:rStyle w:val="libFootnotenumChar"/>
          <w:rtl/>
        </w:rPr>
        <w:t>(1)</w:t>
      </w:r>
      <w:r w:rsidRPr="00020424">
        <w:rPr>
          <w:rtl/>
          <w:lang w:bidi="fa-IR"/>
        </w:rPr>
        <w:t xml:space="preserve"> وَغَيْرُهُ ، عَنْ أَحْمَدَ بْنِ أَبِي عَبْدِ اللهِ ، عَنْ أَبِيهِ ، عَنْ عَبْدِ اللهِ بْنِ الْقَاسِمِ ، عَنْ رَجُلٍ مِنْ أَهْلِ سَابَاطَ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لِعَمَّارٍ السَّابَاطِيِّ </w:t>
      </w:r>
      <w:r w:rsidRPr="00A91B96">
        <w:rPr>
          <w:rStyle w:val="libFootnotenumChar"/>
          <w:rtl/>
        </w:rPr>
        <w:t>(2)</w:t>
      </w:r>
      <w:r w:rsidRPr="00020424">
        <w:rPr>
          <w:rtl/>
          <w:lang w:bidi="fa-IR"/>
        </w:rPr>
        <w:t xml:space="preserve"> : « يَا عَمَّارُ ، أَنْتَ رَبُّ مَالٍ كَثِيرٍ</w:t>
      </w:r>
      <w:r>
        <w:rPr>
          <w:rtl/>
          <w:lang w:bidi="fa-IR"/>
        </w:rPr>
        <w:t>؟</w:t>
      </w:r>
      <w:r w:rsidRPr="00020424">
        <w:rPr>
          <w:rtl/>
          <w:lang w:bidi="fa-IR"/>
        </w:rPr>
        <w:t xml:space="preserve"> » قَالَ : نَعَمْ ، جُعِلْتُ فِدَاكَ ، قَالَ : « فَتُؤَدِّي مَا افْتَرَضَ </w:t>
      </w:r>
      <w:r w:rsidRPr="00A91B96">
        <w:rPr>
          <w:rStyle w:val="libFootnotenumChar"/>
          <w:rtl/>
        </w:rPr>
        <w:t>(3)</w:t>
      </w:r>
      <w:r w:rsidRPr="00020424">
        <w:rPr>
          <w:rtl/>
          <w:lang w:bidi="fa-IR"/>
        </w:rPr>
        <w:t xml:space="preserve"> اللهُ عَلَيْكَ مِنَ الزَّكَاةِ</w:t>
      </w:r>
      <w:r>
        <w:rPr>
          <w:rtl/>
          <w:lang w:bidi="fa-IR"/>
        </w:rPr>
        <w:t>؟</w:t>
      </w:r>
      <w:r w:rsidRPr="00020424">
        <w:rPr>
          <w:rtl/>
          <w:lang w:bidi="fa-IR"/>
        </w:rPr>
        <w:t xml:space="preserve"> » فَقَالَ : نَعَمْ ، قَالَ :</w:t>
      </w:r>
      <w:r>
        <w:rPr>
          <w:rFonts w:hint="cs"/>
          <w:rtl/>
          <w:lang w:bidi="fa-IR"/>
        </w:rPr>
        <w:t xml:space="preserve"> </w:t>
      </w:r>
      <w:r w:rsidR="00352B65">
        <w:rPr>
          <w:rtl/>
          <w:lang w:bidi="fa-IR"/>
        </w:rPr>
        <w:t>«</w:t>
      </w:r>
      <w:r w:rsidRPr="00020424">
        <w:rPr>
          <w:rtl/>
          <w:lang w:bidi="fa-IR"/>
        </w:rPr>
        <w:t xml:space="preserve">فَتُخْرِجُ الْحَقَّ </w:t>
      </w:r>
      <w:r w:rsidRPr="00A91B96">
        <w:rPr>
          <w:rStyle w:val="libFootnotenumChar"/>
          <w:rtl/>
        </w:rPr>
        <w:t>(4)</w:t>
      </w:r>
      <w:r w:rsidRPr="00020424">
        <w:rPr>
          <w:rtl/>
          <w:lang w:bidi="fa-IR"/>
        </w:rPr>
        <w:t xml:space="preserve"> الْمَعْلُومَ مِنْ مَالِكَ</w:t>
      </w:r>
      <w:r>
        <w:rPr>
          <w:rtl/>
          <w:lang w:bidi="fa-IR"/>
        </w:rPr>
        <w:t>؟</w:t>
      </w:r>
      <w:r w:rsidRPr="00020424">
        <w:rPr>
          <w:rtl/>
          <w:lang w:bidi="fa-IR"/>
        </w:rPr>
        <w:t xml:space="preserve"> » قَالَ : نَعَمْ ، قَالَ : « فَتَصِلُ قَرَابَتَكَ</w:t>
      </w:r>
      <w:r>
        <w:rPr>
          <w:rtl/>
          <w:lang w:bidi="fa-IR"/>
        </w:rPr>
        <w:t>؟</w:t>
      </w:r>
      <w:r w:rsidRPr="00020424">
        <w:rPr>
          <w:rtl/>
          <w:lang w:bidi="fa-IR"/>
        </w:rPr>
        <w:t xml:space="preserve"> » قَالَ : نَعَمْ </w:t>
      </w:r>
      <w:r w:rsidRPr="00A91B96">
        <w:rPr>
          <w:rStyle w:val="libFootnotenumChar"/>
          <w:rtl/>
        </w:rPr>
        <w:t>(5)</w:t>
      </w:r>
      <w:r w:rsidRPr="00020424">
        <w:rPr>
          <w:rtl/>
          <w:lang w:bidi="fa-IR"/>
        </w:rPr>
        <w:t xml:space="preserve"> ، قَالَ :</w:t>
      </w:r>
      <w:r>
        <w:rPr>
          <w:rFonts w:hint="cs"/>
          <w:rtl/>
          <w:lang w:bidi="fa-IR"/>
        </w:rPr>
        <w:t xml:space="preserve"> </w:t>
      </w:r>
      <w:r w:rsidRPr="00020424">
        <w:rPr>
          <w:rtl/>
          <w:lang w:bidi="fa-IR"/>
        </w:rPr>
        <w:t xml:space="preserve">« فَتَصِلُ </w:t>
      </w:r>
      <w:r w:rsidRPr="00A91B96">
        <w:rPr>
          <w:rStyle w:val="libFootnotenumChar"/>
          <w:rtl/>
        </w:rPr>
        <w:t>(6)</w:t>
      </w:r>
      <w:r w:rsidRPr="00020424">
        <w:rPr>
          <w:rtl/>
          <w:lang w:bidi="fa-IR"/>
        </w:rPr>
        <w:t xml:space="preserve"> إِخْوَانَكَ</w:t>
      </w:r>
      <w:r>
        <w:rPr>
          <w:rtl/>
          <w:lang w:bidi="fa-IR"/>
        </w:rPr>
        <w:t>؟</w:t>
      </w:r>
      <w:r w:rsidRPr="00020424">
        <w:rPr>
          <w:rtl/>
          <w:lang w:bidi="fa-IR"/>
        </w:rPr>
        <w:t xml:space="preserve"> » قَالَ : نَعَمْ.</w:t>
      </w:r>
    </w:p>
    <w:p w:rsidR="00992664" w:rsidRPr="00020424" w:rsidRDefault="00992664" w:rsidP="00992664">
      <w:pPr>
        <w:pStyle w:val="libNormal"/>
        <w:rPr>
          <w:rtl/>
          <w:lang w:bidi="fa-IR"/>
        </w:rPr>
      </w:pPr>
      <w:r w:rsidRPr="00020424">
        <w:rPr>
          <w:rtl/>
          <w:lang w:bidi="fa-IR"/>
        </w:rPr>
        <w:t xml:space="preserve">فَقَالَ : « يَا عَمَّارُ ، إِنَّ </w:t>
      </w:r>
      <w:r w:rsidRPr="00A91B96">
        <w:rPr>
          <w:rStyle w:val="libFootnotenumChar"/>
          <w:rtl/>
        </w:rPr>
        <w:t>(7)</w:t>
      </w:r>
      <w:r w:rsidRPr="00020424">
        <w:rPr>
          <w:rtl/>
          <w:lang w:bidi="fa-IR"/>
        </w:rPr>
        <w:t xml:space="preserve"> الْمَالَ يَفْنى ، وَالْبَدَنَ يَبْلى </w:t>
      </w:r>
      <w:r w:rsidRPr="00A91B96">
        <w:rPr>
          <w:rStyle w:val="libFootnotenumChar"/>
          <w:rtl/>
        </w:rPr>
        <w:t>(8)</w:t>
      </w:r>
      <w:r w:rsidRPr="00020424">
        <w:rPr>
          <w:rtl/>
          <w:lang w:bidi="fa-IR"/>
        </w:rPr>
        <w:t xml:space="preserve"> ، وَالْعَمَلَ يَبْقى ، وَالدَّيَّانَ </w:t>
      </w:r>
      <w:r w:rsidRPr="00A91B96">
        <w:rPr>
          <w:rStyle w:val="libFootnotenumChar"/>
          <w:rtl/>
        </w:rPr>
        <w:t>(9)</w:t>
      </w:r>
      <w:r w:rsidRPr="00020424">
        <w:rPr>
          <w:rtl/>
          <w:lang w:bidi="fa-IR"/>
        </w:rPr>
        <w:t xml:space="preserve"> حَيٌّ لَا يَمُوتُ ؛ يَا عَمَّارُ ، إِنَّهُ </w:t>
      </w:r>
      <w:r w:rsidRPr="00A91B96">
        <w:rPr>
          <w:rStyle w:val="libFootnotenumChar"/>
          <w:rtl/>
        </w:rPr>
        <w:t>(10)</w:t>
      </w:r>
      <w:r w:rsidRPr="00020424">
        <w:rPr>
          <w:rtl/>
          <w:lang w:bidi="fa-IR"/>
        </w:rPr>
        <w:t xml:space="preserve"> مَا قَدَّمْتَ فَلَنْ يَسْبِقَكَ ، </w:t>
      </w:r>
      <w:r w:rsidRPr="00A91B96">
        <w:rPr>
          <w:rStyle w:val="libFootnotenumChar"/>
          <w:rtl/>
        </w:rPr>
        <w:t>(11)</w:t>
      </w:r>
      <w:r w:rsidRPr="00020424">
        <w:rPr>
          <w:rtl/>
          <w:lang w:bidi="fa-IR"/>
        </w:rPr>
        <w:t xml:space="preserve"> وَمَا أَخَّرْتَ فَلَنْ يَلْحَقَكَ</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هكذا في حاشية « بث » وظاهر « ى</w:t>
      </w:r>
      <w:r w:rsidR="00992664">
        <w:rPr>
          <w:rtl/>
        </w:rPr>
        <w:t xml:space="preserve"> ».</w:t>
      </w:r>
      <w:r w:rsidR="00992664" w:rsidRPr="00020424">
        <w:rPr>
          <w:rtl/>
        </w:rPr>
        <w:t xml:space="preserve"> وفي « ظ ، جن » والمطبوع </w:t>
      </w:r>
      <w:r w:rsidR="00992664" w:rsidRPr="00EB1FD9">
        <w:rPr>
          <w:rStyle w:val="libFootnoteBoldChar"/>
          <w:rtl/>
        </w:rPr>
        <w:t>والوسائل</w:t>
      </w:r>
      <w:r w:rsidR="00992664" w:rsidRPr="00020424">
        <w:rPr>
          <w:rtl/>
        </w:rPr>
        <w:t xml:space="preserve"> : « أحمد بن محمّد بن عبدالله</w:t>
      </w:r>
      <w:r w:rsidR="00992664">
        <w:rPr>
          <w:rtl/>
        </w:rPr>
        <w:t>».</w:t>
      </w:r>
      <w:r w:rsidR="00992664" w:rsidRPr="00020424">
        <w:rPr>
          <w:rtl/>
        </w:rPr>
        <w:t xml:space="preserve"> وفي « بث ، بح ، بس » : « أحمد بن أبي عبدالله</w:t>
      </w:r>
      <w:r w:rsidR="00992664">
        <w:rPr>
          <w:rtl/>
        </w:rPr>
        <w:t xml:space="preserve"> ».</w:t>
      </w:r>
      <w:r w:rsidR="00992664" w:rsidRPr="00020424">
        <w:rPr>
          <w:rtl/>
        </w:rPr>
        <w:t xml:space="preserve"> وفي « بخ ، بر ، بف » : « أحمد بن محمّد</w:t>
      </w:r>
      <w:r w:rsidR="00992664">
        <w:rPr>
          <w:rtl/>
        </w:rPr>
        <w:t xml:space="preserve"> ».</w:t>
      </w:r>
      <w:r w:rsidR="00992664" w:rsidRPr="00020424">
        <w:rPr>
          <w:rtl/>
        </w:rPr>
        <w:t xml:space="preserve"> وفي الكافي ، ح 6101 : « عليّ بن محمّد بن بندار » بدل « أحمد بن عبدالله</w:t>
      </w:r>
      <w:r w:rsidR="00992664">
        <w:rPr>
          <w:rtl/>
        </w:rPr>
        <w:t xml:space="preserve"> ».</w:t>
      </w:r>
    </w:p>
    <w:p w:rsidR="00992664" w:rsidRPr="00020424" w:rsidRDefault="00992664" w:rsidP="00586B7F">
      <w:pPr>
        <w:pStyle w:val="libFootnote0"/>
        <w:rPr>
          <w:rtl/>
          <w:lang w:bidi="fa-IR"/>
        </w:rPr>
      </w:pPr>
      <w:r w:rsidRPr="00586B7F">
        <w:rPr>
          <w:rtl/>
        </w:rPr>
        <w:t xml:space="preserve">وأحمد بن عبدالله هذا ، هو أحمد بن عبدالله بن أحمد بن أبي عبدالله البرقي الذي يروي عن جدّه أحمد بن أبي عبدالله البرقي في كثيرٍ من أسناد كتب الشيخ الصدوق ، وكذا يروي عنه جميع كتب محمّد بن خالد البرقي. ووردت رواية المصنّف عنه بعنوان أحمد بن عبدالله عن أحمد بن أبي عبدالله وعن أحمد بن محمّد البرقي في بعض الأسناد. راجع : </w:t>
      </w:r>
      <w:r w:rsidRPr="004C1A39">
        <w:rPr>
          <w:rtl/>
        </w:rPr>
        <w:t>رجال النجاشي</w:t>
      </w:r>
      <w:r w:rsidRPr="00586B7F">
        <w:rPr>
          <w:rtl/>
        </w:rPr>
        <w:t xml:space="preserve"> ، ص 335 ، الرقم 898 ؛ </w:t>
      </w:r>
      <w:r w:rsidRPr="004C1A39">
        <w:rPr>
          <w:rtl/>
        </w:rPr>
        <w:t>معجم رجال الحديث</w:t>
      </w:r>
      <w:r w:rsidRPr="00586B7F">
        <w:rPr>
          <w:rtl/>
        </w:rPr>
        <w:t xml:space="preserve"> ، ج 2 ، ص 135 ، الرقم 625. وانظر أيضاً على سبيل المثال : </w:t>
      </w:r>
      <w:r w:rsidRPr="004C1A39">
        <w:rPr>
          <w:rtl/>
        </w:rPr>
        <w:t>علل الشرائع</w:t>
      </w:r>
      <w:r w:rsidRPr="00586B7F">
        <w:rPr>
          <w:rtl/>
        </w:rPr>
        <w:t xml:space="preserve"> ، ص 141 ، ح 2 ؛ ص 512 ، ح 1 ؛ </w:t>
      </w:r>
      <w:r w:rsidRPr="004C1A39">
        <w:rPr>
          <w:rtl/>
        </w:rPr>
        <w:t>كمال الدين</w:t>
      </w:r>
      <w:r w:rsidRPr="00586B7F">
        <w:rPr>
          <w:rtl/>
        </w:rPr>
        <w:t xml:space="preserve"> ، ص 241 ، ح 65 ؛ </w:t>
      </w:r>
      <w:r w:rsidRPr="00A722B1">
        <w:rPr>
          <w:rStyle w:val="libFootnoteBoldChar"/>
          <w:rtl/>
        </w:rPr>
        <w:t>الخصال</w:t>
      </w:r>
      <w:r w:rsidRPr="00586B7F">
        <w:rPr>
          <w:rtl/>
        </w:rPr>
        <w:t xml:space="preserve"> ، ص 255 ، ح 130 ؛ وص 434 ، ح 19.</w:t>
      </w:r>
    </w:p>
    <w:tbl>
      <w:tblPr>
        <w:tblStyle w:val="TableGrid"/>
        <w:bidiVisual/>
        <w:tblW w:w="0" w:type="auto"/>
        <w:tblLook w:val="04A0" w:firstRow="1" w:lastRow="0" w:firstColumn="1" w:lastColumn="0" w:noHBand="0" w:noVBand="1"/>
      </w:tblPr>
      <w:tblGrid>
        <w:gridCol w:w="4006"/>
        <w:gridCol w:w="4006"/>
      </w:tblGrid>
      <w:tr w:rsidR="00586B7F" w:rsidTr="00586B7F">
        <w:tc>
          <w:tcPr>
            <w:tcW w:w="4006" w:type="dxa"/>
          </w:tcPr>
          <w:p w:rsidR="00586B7F" w:rsidRDefault="00586B7F" w:rsidP="00586B7F">
            <w:pPr>
              <w:pStyle w:val="libFootnote0"/>
              <w:rPr>
                <w:rtl/>
              </w:rPr>
            </w:pPr>
            <w:r>
              <w:rPr>
                <w:rtl/>
              </w:rPr>
              <w:t xml:space="preserve">(2). </w:t>
            </w:r>
            <w:r w:rsidRPr="00020424">
              <w:rPr>
                <w:rtl/>
              </w:rPr>
              <w:t>في الكافي ، ح 6101 :</w:t>
            </w:r>
            <w:r>
              <w:rPr>
                <w:rtl/>
              </w:rPr>
              <w:t xml:space="preserve"> - </w:t>
            </w:r>
            <w:r w:rsidRPr="00020424">
              <w:rPr>
                <w:rtl/>
              </w:rPr>
              <w:t>« الساباطي</w:t>
            </w:r>
            <w:r>
              <w:rPr>
                <w:rtl/>
              </w:rPr>
              <w:t xml:space="preserve"> ».</w:t>
            </w:r>
          </w:p>
        </w:tc>
        <w:tc>
          <w:tcPr>
            <w:tcW w:w="4006" w:type="dxa"/>
          </w:tcPr>
          <w:p w:rsidR="00586B7F" w:rsidRDefault="00586B7F" w:rsidP="00586B7F">
            <w:pPr>
              <w:pStyle w:val="libFootnote0"/>
              <w:rPr>
                <w:rtl/>
              </w:rPr>
            </w:pPr>
            <w:r>
              <w:rPr>
                <w:rtl/>
              </w:rPr>
              <w:t xml:space="preserve">(3). </w:t>
            </w:r>
            <w:r w:rsidRPr="00020424">
              <w:rPr>
                <w:rtl/>
              </w:rPr>
              <w:t xml:space="preserve">في « بخ ، بر ، بف » </w:t>
            </w:r>
            <w:r w:rsidRPr="00515444">
              <w:rPr>
                <w:rStyle w:val="libFootnoteBoldChar"/>
                <w:rtl/>
              </w:rPr>
              <w:t>والوافي</w:t>
            </w:r>
            <w:r w:rsidRPr="00020424">
              <w:rPr>
                <w:rtl/>
              </w:rPr>
              <w:t xml:space="preserve"> : « فرض</w:t>
            </w:r>
            <w:r>
              <w:rPr>
                <w:rtl/>
              </w:rPr>
              <w:t xml:space="preserve"> ».</w:t>
            </w:r>
          </w:p>
        </w:tc>
      </w:tr>
      <w:tr w:rsidR="00586B7F" w:rsidTr="00586B7F">
        <w:tc>
          <w:tcPr>
            <w:tcW w:w="4006" w:type="dxa"/>
          </w:tcPr>
          <w:p w:rsidR="00586B7F" w:rsidRDefault="00586B7F" w:rsidP="00586B7F">
            <w:pPr>
              <w:pStyle w:val="libFootnote0"/>
              <w:rPr>
                <w:rtl/>
              </w:rPr>
            </w:pPr>
            <w:r>
              <w:rPr>
                <w:rtl/>
              </w:rPr>
              <w:t xml:space="preserve">(4). </w:t>
            </w:r>
            <w:r w:rsidRPr="00020424">
              <w:rPr>
                <w:rtl/>
              </w:rPr>
              <w:t>في الكافي ، ح 6101 :</w:t>
            </w:r>
            <w:r>
              <w:rPr>
                <w:rtl/>
              </w:rPr>
              <w:t xml:space="preserve"> - </w:t>
            </w:r>
            <w:r w:rsidRPr="00020424">
              <w:rPr>
                <w:rtl/>
              </w:rPr>
              <w:t>« الحقّ</w:t>
            </w:r>
            <w:r>
              <w:rPr>
                <w:rtl/>
              </w:rPr>
              <w:t xml:space="preserve"> ».</w:t>
            </w:r>
          </w:p>
        </w:tc>
        <w:tc>
          <w:tcPr>
            <w:tcW w:w="4006" w:type="dxa"/>
          </w:tcPr>
          <w:p w:rsidR="00586B7F" w:rsidRDefault="00586B7F" w:rsidP="00833B67">
            <w:pPr>
              <w:pStyle w:val="libFootnote0"/>
              <w:rPr>
                <w:rtl/>
              </w:rPr>
            </w:pPr>
            <w:r>
              <w:rPr>
                <w:rtl/>
              </w:rPr>
              <w:t xml:space="preserve">(5). </w:t>
            </w:r>
            <w:r w:rsidRPr="00020424">
              <w:rPr>
                <w:rtl/>
              </w:rPr>
              <w:t>في«بح»:</w:t>
            </w:r>
            <w:r>
              <w:rPr>
                <w:rtl/>
              </w:rPr>
              <w:t>-</w:t>
            </w:r>
            <w:r w:rsidRPr="00020424">
              <w:rPr>
                <w:rtl/>
              </w:rPr>
              <w:t>«قال:فتصل قرابتك</w:t>
            </w:r>
            <w:r>
              <w:rPr>
                <w:rtl/>
              </w:rPr>
              <w:t>؟</w:t>
            </w:r>
            <w:r w:rsidRPr="00020424">
              <w:rPr>
                <w:rtl/>
              </w:rPr>
              <w:t xml:space="preserve"> قال:نعم</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والكافي ، ح 6101 </w:t>
      </w:r>
      <w:r w:rsidR="00992664" w:rsidRPr="00FD6221">
        <w:rPr>
          <w:rStyle w:val="libFootnoteBoldChar"/>
          <w:rtl/>
        </w:rPr>
        <w:t>والفقيه</w:t>
      </w:r>
      <w:r w:rsidR="00992664" w:rsidRPr="00020424">
        <w:rPr>
          <w:rtl/>
        </w:rPr>
        <w:t>. وفي المطبوع : « وتصل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D55C2" w:rsidTr="004D55C2">
        <w:tc>
          <w:tcPr>
            <w:tcW w:w="4006" w:type="dxa"/>
          </w:tcPr>
          <w:p w:rsidR="004D55C2" w:rsidRDefault="004D55C2" w:rsidP="004D55C2">
            <w:pPr>
              <w:pStyle w:val="libFootnote0"/>
              <w:rPr>
                <w:rtl/>
                <w:lang w:bidi="fa-IR"/>
              </w:rPr>
            </w:pPr>
            <w:r>
              <w:rPr>
                <w:rtl/>
              </w:rPr>
              <w:t xml:space="preserve">(7). </w:t>
            </w:r>
            <w:r w:rsidRPr="00020424">
              <w:rPr>
                <w:rtl/>
              </w:rPr>
              <w:t>في « بخ ، بر ، بف » :</w:t>
            </w:r>
            <w:r>
              <w:rPr>
                <w:rtl/>
              </w:rPr>
              <w:t xml:space="preserve"> - </w:t>
            </w:r>
            <w:r w:rsidRPr="00020424">
              <w:rPr>
                <w:rtl/>
              </w:rPr>
              <w:t>« إنّ</w:t>
            </w:r>
            <w:r>
              <w:rPr>
                <w:rtl/>
              </w:rPr>
              <w:t xml:space="preserve"> ».</w:t>
            </w:r>
          </w:p>
        </w:tc>
        <w:tc>
          <w:tcPr>
            <w:tcW w:w="4006" w:type="dxa"/>
          </w:tcPr>
          <w:p w:rsidR="004D55C2" w:rsidRDefault="004D55C2" w:rsidP="004D55C2">
            <w:pPr>
              <w:pStyle w:val="libFootnote0"/>
              <w:rPr>
                <w:rtl/>
                <w:lang w:bidi="fa-IR"/>
              </w:rPr>
            </w:pPr>
            <w:r>
              <w:rPr>
                <w:rtl/>
              </w:rPr>
              <w:t xml:space="preserve">(8). </w:t>
            </w:r>
            <w:r w:rsidRPr="00020424">
              <w:rPr>
                <w:rtl/>
              </w:rPr>
              <w:t>في « ظ » : « سيُبلى</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الديّان » : القهّار ، والقاضي ، وال</w:t>
      </w:r>
      <w:r w:rsidR="00FB27D5">
        <w:rPr>
          <w:rtl/>
        </w:rPr>
        <w:t>حاكم ، والسائس ، والحاسب ، والم</w:t>
      </w:r>
      <w:r w:rsidR="00FB27D5">
        <w:rPr>
          <w:rFonts w:hint="cs"/>
          <w:rtl/>
        </w:rPr>
        <w:t>ـُ</w:t>
      </w:r>
      <w:r w:rsidR="00992664" w:rsidRPr="00020424">
        <w:rPr>
          <w:rtl/>
        </w:rPr>
        <w:t xml:space="preserve">جازي الذي لايضيّع عملاً ، بل يجزي بالخير والشرّ. راجع : </w:t>
      </w:r>
      <w:r w:rsidR="00992664" w:rsidRPr="00A722B1">
        <w:rPr>
          <w:rStyle w:val="libFootnoteBoldChar"/>
          <w:rtl/>
        </w:rPr>
        <w:t>لسان العرب</w:t>
      </w:r>
      <w:r w:rsidR="00992664" w:rsidRPr="00020424">
        <w:rPr>
          <w:rtl/>
        </w:rPr>
        <w:t xml:space="preserve"> ، ج 13 ، ص 166</w:t>
      </w:r>
      <w:r w:rsidR="00992664">
        <w:rPr>
          <w:rtl/>
        </w:rPr>
        <w:t xml:space="preserve"> </w:t>
      </w:r>
      <w:r w:rsidR="00FB27D5">
        <w:rPr>
          <w:rFonts w:hint="cs"/>
          <w:rtl/>
        </w:rPr>
        <w:t>-</w:t>
      </w:r>
      <w:r w:rsidR="00992664">
        <w:rPr>
          <w:rtl/>
        </w:rPr>
        <w:t xml:space="preserve"> </w:t>
      </w:r>
      <w:r w:rsidR="00992664" w:rsidRPr="00020424">
        <w:rPr>
          <w:rtl/>
        </w:rPr>
        <w:t xml:space="preserve">167 ؛ </w:t>
      </w:r>
      <w:r w:rsidR="00992664" w:rsidRPr="00A722B1">
        <w:rPr>
          <w:rStyle w:val="libFootnoteBoldChar"/>
          <w:rtl/>
        </w:rPr>
        <w:t>القاموس المحيط</w:t>
      </w:r>
      <w:r w:rsidR="00352B65">
        <w:rPr>
          <w:rtl/>
        </w:rPr>
        <w:t xml:space="preserve"> ، ج 2 ، ص 1575 (دين</w:t>
      </w:r>
      <w:r w:rsidR="00992664" w:rsidRPr="00020424">
        <w:rPr>
          <w:rtl/>
        </w:rPr>
        <w:t>)</w:t>
      </w:r>
      <w:r w:rsidR="00992664">
        <w:rPr>
          <w:rtl/>
        </w:rPr>
        <w:t>.</w:t>
      </w:r>
    </w:p>
    <w:p w:rsidR="00992664" w:rsidRPr="00020424" w:rsidRDefault="00795177" w:rsidP="00FB27D5">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إنّه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أي لايفوتك ولايتجاوز عنك ، بل يصل إليك جزاؤه لامحالة.</w:t>
      </w:r>
    </w:p>
    <w:p w:rsidR="00992664" w:rsidRPr="00020424" w:rsidRDefault="00795177" w:rsidP="00992664">
      <w:pPr>
        <w:pStyle w:val="libFootnote0"/>
        <w:rPr>
          <w:rtl/>
          <w:lang w:bidi="fa-IR"/>
        </w:rPr>
      </w:pPr>
      <w:r>
        <w:rPr>
          <w:rtl/>
        </w:rPr>
        <w:t>(12).</w:t>
      </w:r>
      <w:r w:rsidR="0014403D">
        <w:rPr>
          <w:rtl/>
        </w:rPr>
        <w:t xml:space="preserve"> </w:t>
      </w:r>
      <w:r w:rsidR="00992664" w:rsidRPr="004C1A39">
        <w:rPr>
          <w:rtl/>
        </w:rPr>
        <w:t>الكافي</w:t>
      </w:r>
      <w:r w:rsidR="00992664" w:rsidRPr="00020424">
        <w:rPr>
          <w:rtl/>
        </w:rPr>
        <w:t xml:space="preserve"> ، كتاب الزكاة ، باب فضل المعروف ، ح 6101. وفي </w:t>
      </w:r>
      <w:r w:rsidR="00992664" w:rsidRPr="0012008A">
        <w:rPr>
          <w:rStyle w:val="libFootnoteBoldChar"/>
          <w:rtl/>
        </w:rPr>
        <w:t>الفقيه</w:t>
      </w:r>
      <w:r w:rsidR="00992664" w:rsidRPr="00020424">
        <w:rPr>
          <w:rtl/>
        </w:rPr>
        <w:t xml:space="preserve"> ، ج 2 ، ص 7 ، ح 1578 ، معلّقاً عن عمّار بن </w:t>
      </w:r>
      <w:r w:rsidR="00B82DA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8283E">
        <w:rPr>
          <w:rtl/>
        </w:rPr>
        <w:lastRenderedPageBreak/>
        <w:t>5736</w:t>
      </w:r>
      <w:r w:rsidRPr="001155DE">
        <w:rPr>
          <w:rStyle w:val="libBold2Char"/>
          <w:rtl/>
        </w:rPr>
        <w:t xml:space="preserve"> / 17.</w:t>
      </w:r>
      <w:r w:rsidRPr="00020424">
        <w:rPr>
          <w:rtl/>
          <w:lang w:bidi="fa-IR"/>
        </w:rPr>
        <w:t xml:space="preserve"> عَلِيُّ بْنُ إِبْرَاهِيمَ ، عَنْ أَحْمَدَ بْنِ مُحَمَّدٍ ، عَنْ مُحَمَّدِ بْنِ خَالِدٍ </w:t>
      </w:r>
      <w:r w:rsidRPr="00A91B96">
        <w:rPr>
          <w:rStyle w:val="libFootnotenumChar"/>
          <w:rtl/>
        </w:rPr>
        <w:t>(1)</w:t>
      </w:r>
      <w:r w:rsidRPr="00020424">
        <w:rPr>
          <w:rtl/>
          <w:lang w:bidi="fa-IR"/>
        </w:rPr>
        <w:t xml:space="preserve"> ، عَنْ عَبْدِ اللهِ بْنِ يَحْيى </w:t>
      </w:r>
      <w:r w:rsidRPr="00A91B96">
        <w:rPr>
          <w:rStyle w:val="libFootnotenumChar"/>
          <w:rtl/>
        </w:rPr>
        <w:t>(2)</w:t>
      </w:r>
      <w:r w:rsidRPr="00020424">
        <w:rPr>
          <w:rtl/>
          <w:lang w:bidi="fa-IR"/>
        </w:rPr>
        <w:t xml:space="preserve"> ، عَنْ عَبْدِ اللهِ بْنِ مُسْكَانَ ، عَنْ أَبِي بَصِيرٍ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 قَوْلُ اللهِ عَزَّ وَجَلَّ : </w:t>
      </w:r>
      <w:r w:rsidRPr="00005A81">
        <w:rPr>
          <w:rStyle w:val="libAlaemChar"/>
          <w:rtl/>
        </w:rPr>
        <w:t>(</w:t>
      </w:r>
      <w:r w:rsidRPr="004E5AB4">
        <w:rPr>
          <w:rStyle w:val="libAieChar"/>
          <w:rtl/>
        </w:rPr>
        <w:t xml:space="preserve"> إِنَّمَا الصَّدَقاتُ لِلْفُقَراءِ وَالْمَساكِينِ</w:t>
      </w:r>
      <w:r w:rsidRPr="00005A81">
        <w:rPr>
          <w:rStyle w:val="libAlaemChar"/>
          <w:rtl/>
        </w:rPr>
        <w:t>)</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(5)</w:t>
      </w:r>
      <w:r w:rsidRPr="00020424">
        <w:rPr>
          <w:rtl/>
          <w:lang w:bidi="fa-IR"/>
        </w:rPr>
        <w:t xml:space="preserve"> : « الْفَقِيرُ : الَّذِي لَايَسْأَلُ النَّاسَ </w:t>
      </w:r>
      <w:r w:rsidRPr="00A91B96">
        <w:rPr>
          <w:rStyle w:val="libFootnotenumChar"/>
          <w:rtl/>
        </w:rPr>
        <w:t>(6)</w:t>
      </w:r>
      <w:r w:rsidRPr="00020424">
        <w:rPr>
          <w:rtl/>
          <w:lang w:bidi="fa-IR"/>
        </w:rPr>
        <w:t xml:space="preserve"> ، وَالْمِسْكِينُ </w:t>
      </w:r>
      <w:r w:rsidRPr="00A91B96">
        <w:rPr>
          <w:rStyle w:val="libFootnotenumChar"/>
          <w:rtl/>
        </w:rPr>
        <w:t>(7)</w:t>
      </w:r>
      <w:r w:rsidRPr="00020424">
        <w:rPr>
          <w:rtl/>
          <w:lang w:bidi="fa-IR"/>
        </w:rPr>
        <w:t xml:space="preserve"> أَجْهَدُ مِنْهُ ، وَالْبَائِسُ أَجْهَدُهُمْ ، فَكُلُّ </w:t>
      </w:r>
      <w:r w:rsidRPr="00A91B96">
        <w:rPr>
          <w:rStyle w:val="libFootnotenumChar"/>
          <w:rtl/>
        </w:rPr>
        <w:t>(8)</w:t>
      </w:r>
      <w:r w:rsidRPr="00020424">
        <w:rPr>
          <w:rtl/>
          <w:lang w:bidi="fa-IR"/>
        </w:rPr>
        <w:t xml:space="preserve"> مَا فَرَضَ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عَلَيْكَ ، فَإِعْلَانُهُ أَفْضَلُ مِنْ إِسْرَارِهِ ، وَكُلُّ </w:t>
      </w:r>
      <w:r w:rsidRPr="00A91B96">
        <w:rPr>
          <w:rStyle w:val="libFootnotenumChar"/>
          <w:rtl/>
        </w:rPr>
        <w:t>(9)</w:t>
      </w:r>
      <w:r w:rsidRPr="00020424">
        <w:rPr>
          <w:rtl/>
          <w:lang w:bidi="fa-IR"/>
        </w:rPr>
        <w:t xml:space="preserve"> مَا كَانَ تَطَوُّعاً ، فَإِسْرَارُهُ أَفْضَلُ مِنْ إِعْلَانِهِ ، وَلَوْ </w:t>
      </w:r>
      <w:r w:rsidRPr="00A91B96">
        <w:rPr>
          <w:rStyle w:val="libFootnotenumChar"/>
          <w:rtl/>
        </w:rPr>
        <w:t>(10)</w:t>
      </w:r>
      <w:r w:rsidRPr="00020424">
        <w:rPr>
          <w:rtl/>
          <w:lang w:bidi="fa-IR"/>
        </w:rPr>
        <w:t xml:space="preserve"> أَنَّ رَجُلاً يَحْمِلُ </w:t>
      </w:r>
      <w:r w:rsidRPr="00A91B96">
        <w:rPr>
          <w:rStyle w:val="libFootnotenumChar"/>
          <w:rtl/>
        </w:rPr>
        <w:t>(11)</w:t>
      </w:r>
      <w:r w:rsidRPr="00020424">
        <w:rPr>
          <w:rtl/>
          <w:lang w:bidi="fa-IR"/>
        </w:rPr>
        <w:t xml:space="preserve"> زَكَاةَ مَالِهِ عَلى عَاتِقِهِ فَقَسَمَهَا عَلَانِيَةً ، كَانَ ذلِكَ حَسَناً جَمِيلاً</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B9124D" w:rsidP="00992664">
      <w:pPr>
        <w:pStyle w:val="libFootnote0"/>
        <w:rPr>
          <w:rtl/>
          <w:lang w:bidi="fa-IR"/>
        </w:rPr>
      </w:pPr>
      <w:r>
        <w:rPr>
          <w:rFonts w:hint="cs"/>
          <w:rtl/>
        </w:rPr>
        <w:t xml:space="preserve">= </w:t>
      </w:r>
      <w:r w:rsidR="00992664" w:rsidRPr="00020424">
        <w:rPr>
          <w:rtl/>
        </w:rPr>
        <w:t xml:space="preserve">موسى الساباطي ، مع اختلاف يسير </w:t>
      </w:r>
      <w:r>
        <w:rPr>
          <w:rFonts w:hint="cs"/>
          <w:rtl/>
        </w:rPr>
        <w:t>.</w:t>
      </w:r>
      <w:r w:rsidR="00992664" w:rsidRPr="0012008A">
        <w:rPr>
          <w:rStyle w:val="libFootnoteBoldChar"/>
          <w:rtl/>
        </w:rPr>
        <w:t>الوافي</w:t>
      </w:r>
      <w:r w:rsidR="00992664" w:rsidRPr="00020424">
        <w:rPr>
          <w:rtl/>
        </w:rPr>
        <w:t xml:space="preserve"> ، ج 10 ، ص 378 ، ح 9720 ؛ </w:t>
      </w:r>
      <w:r w:rsidR="00992664" w:rsidRPr="0012008A">
        <w:rPr>
          <w:rStyle w:val="libFootnoteBoldChar"/>
          <w:rtl/>
        </w:rPr>
        <w:t>الوسائل</w:t>
      </w:r>
      <w:r w:rsidR="00992664" w:rsidRPr="00020424">
        <w:rPr>
          <w:rtl/>
        </w:rPr>
        <w:t xml:space="preserve"> ، ج 9 ، ص 50 ، ذيل ح 11495.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أحمد بن خالد » ، والمذكور في بعض نسخه : « محمّد بن خالد » وهو الصواب.</w:t>
      </w:r>
    </w:p>
    <w:tbl>
      <w:tblPr>
        <w:tblStyle w:val="TableGrid"/>
        <w:bidiVisual/>
        <w:tblW w:w="0" w:type="auto"/>
        <w:tblLook w:val="04A0" w:firstRow="1" w:lastRow="0" w:firstColumn="1" w:lastColumn="0" w:noHBand="0" w:noVBand="1"/>
      </w:tblPr>
      <w:tblGrid>
        <w:gridCol w:w="4006"/>
        <w:gridCol w:w="4006"/>
      </w:tblGrid>
      <w:tr w:rsidR="002313ED" w:rsidTr="002313ED">
        <w:tc>
          <w:tcPr>
            <w:tcW w:w="4006" w:type="dxa"/>
          </w:tcPr>
          <w:p w:rsidR="002313ED" w:rsidRDefault="002313ED" w:rsidP="00992664">
            <w:pPr>
              <w:pStyle w:val="libFootnote0"/>
              <w:rPr>
                <w:rtl/>
              </w:rPr>
            </w:pPr>
            <w:r>
              <w:rPr>
                <w:rtl/>
              </w:rPr>
              <w:t xml:space="preserve">(2). </w:t>
            </w:r>
            <w:r w:rsidRPr="00020424">
              <w:rPr>
                <w:rtl/>
              </w:rPr>
              <w:t>في « بر ، بف » : « بحر</w:t>
            </w:r>
            <w:r>
              <w:rPr>
                <w:rtl/>
              </w:rPr>
              <w:t xml:space="preserve"> ».</w:t>
            </w:r>
          </w:p>
        </w:tc>
        <w:tc>
          <w:tcPr>
            <w:tcW w:w="4006" w:type="dxa"/>
          </w:tcPr>
          <w:p w:rsidR="002313ED" w:rsidRDefault="002313ED" w:rsidP="00992664">
            <w:pPr>
              <w:pStyle w:val="libFootnote0"/>
              <w:rPr>
                <w:rtl/>
              </w:rPr>
            </w:pPr>
            <w:r>
              <w:rPr>
                <w:rtl/>
              </w:rPr>
              <w:t xml:space="preserve">(3). </w:t>
            </w:r>
            <w:r w:rsidRPr="00020424">
              <w:rPr>
                <w:rtl/>
              </w:rPr>
              <w:t xml:space="preserve">في </w:t>
            </w:r>
            <w:r w:rsidRPr="0012008A">
              <w:rPr>
                <w:rStyle w:val="libFootnoteBoldChar"/>
                <w:rtl/>
              </w:rPr>
              <w:t>التهذيب</w:t>
            </w:r>
            <w:r w:rsidRPr="00020424">
              <w:rPr>
                <w:rtl/>
              </w:rPr>
              <w:t xml:space="preserve"> : + « في</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التوبة </w:t>
      </w:r>
      <w:r>
        <w:rPr>
          <w:rtl/>
        </w:rPr>
        <w:t>(9).</w:t>
      </w:r>
      <w:r w:rsidR="0014403D">
        <w:rPr>
          <w:rtl/>
        </w:rPr>
        <w:t xml:space="preserve"> </w:t>
      </w:r>
      <w:r w:rsidR="00992664" w:rsidRPr="00020424">
        <w:rPr>
          <w:rtl/>
        </w:rPr>
        <w:t>: 60.</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بث ، بخ ، بر ، بف » </w:t>
      </w:r>
      <w:r w:rsidR="00992664" w:rsidRPr="00515444">
        <w:rPr>
          <w:rStyle w:val="libFootnoteBoldChar"/>
          <w:rtl/>
        </w:rPr>
        <w:t>والوافي</w:t>
      </w:r>
      <w:r w:rsidR="00992664" w:rsidRPr="00020424">
        <w:rPr>
          <w:rtl/>
        </w:rPr>
        <w:t>. وفي سائر النسخ والمطبوع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تفسير العيّاشي : « يسأل » بدل « لايسأل الناس</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C8283E">
        <w:rPr>
          <w:rtl/>
        </w:rPr>
        <w:t>مرآة العقول</w:t>
      </w:r>
      <w:r w:rsidR="00992664" w:rsidRPr="00020424">
        <w:rPr>
          <w:rtl/>
        </w:rPr>
        <w:t xml:space="preserve"> ، ج 16 ، ص 12 : « اختلف الأصحاب وغيرهم في أنّ الفقراء والمساكين هل هما مترادفان أو متغايران</w:t>
      </w:r>
      <w:r w:rsidR="00992664">
        <w:rPr>
          <w:rtl/>
        </w:rPr>
        <w:t>؟</w:t>
      </w:r>
      <w:r w:rsidR="00992664" w:rsidRPr="00020424">
        <w:rPr>
          <w:rtl/>
        </w:rPr>
        <w:t xml:space="preserve"> فذهب جماعة منهم المحقّق إلى الأوّل ، وبهذا الاعتبار جعل الأصناف سبعة. وذهب الأكثر إلى تغايرهما. ثمّ اختلف هؤلاء فيما يتحقّق به التغاير ، فقيل : إنّ الفقير هو المتعفّف الذي لايسأل ، والمسكين هو الذي يسأل ، وقيل بالعكس ، وقيل : الفقير هو المزمن المحتاج ، والمسكين : هو الصحيح المحتاج ، وهو اختيار ابن بابويه ، وقيل بالعكس ، وقيل : إنّ الفقير : الذي لا شي‌ء له ، والمسكين : الذي له بلغة من العيش ، وهو اختيار الشيخ في </w:t>
      </w:r>
      <w:r w:rsidR="00992664" w:rsidRPr="00C8283E">
        <w:rPr>
          <w:rtl/>
        </w:rPr>
        <w:t>المبسوط والجمل</w:t>
      </w:r>
      <w:r w:rsidR="00992664" w:rsidRPr="00020424">
        <w:rPr>
          <w:rtl/>
        </w:rPr>
        <w:t xml:space="preserve"> وابن برّاج وابن حمزة ، وقيل بالعكس</w:t>
      </w:r>
      <w:r w:rsidR="00992664">
        <w:rPr>
          <w:rtl/>
        </w:rPr>
        <w:t xml:space="preserve"> ».</w:t>
      </w:r>
      <w:r w:rsidR="00992664" w:rsidRPr="00020424">
        <w:rPr>
          <w:rtl/>
        </w:rPr>
        <w:t xml:space="preserve"> وراجع أيضاً : </w:t>
      </w:r>
      <w:r w:rsidR="00992664" w:rsidRPr="00C8283E">
        <w:rPr>
          <w:rtl/>
        </w:rPr>
        <w:t>المبسوط</w:t>
      </w:r>
      <w:r w:rsidR="00992664" w:rsidRPr="00020424">
        <w:rPr>
          <w:rtl/>
        </w:rPr>
        <w:t xml:space="preserve"> ، ج 1 ، ص 246 ؛ </w:t>
      </w:r>
      <w:r w:rsidR="00992664" w:rsidRPr="00C8283E">
        <w:rPr>
          <w:rtl/>
        </w:rPr>
        <w:t>المعتبر</w:t>
      </w:r>
      <w:r w:rsidR="00992664" w:rsidRPr="00020424">
        <w:rPr>
          <w:rtl/>
        </w:rPr>
        <w:t xml:space="preserve"> ، ج 2 ، ص 565</w:t>
      </w:r>
      <w:r w:rsidR="00992664">
        <w:rPr>
          <w:rtl/>
        </w:rPr>
        <w:t xml:space="preserve"> </w:t>
      </w:r>
      <w:r w:rsidR="009B673F">
        <w:rPr>
          <w:rtl/>
        </w:rPr>
        <w:t>-</w:t>
      </w:r>
      <w:r w:rsidR="00992664">
        <w:rPr>
          <w:rtl/>
        </w:rPr>
        <w:t xml:space="preserve"> </w:t>
      </w:r>
      <w:r w:rsidR="00992664" w:rsidRPr="00020424">
        <w:rPr>
          <w:rtl/>
        </w:rPr>
        <w:t>566.</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بر ، بس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وكلّ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A5E68" w:rsidTr="00BA5E68">
        <w:tc>
          <w:tcPr>
            <w:tcW w:w="4006" w:type="dxa"/>
          </w:tcPr>
          <w:p w:rsidR="00BA5E68" w:rsidRDefault="00BA5E68"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كلّ</w:t>
            </w:r>
            <w:r>
              <w:rPr>
                <w:rtl/>
              </w:rPr>
              <w:t xml:space="preserve"> ».</w:t>
            </w:r>
          </w:p>
        </w:tc>
        <w:tc>
          <w:tcPr>
            <w:tcW w:w="4006" w:type="dxa"/>
          </w:tcPr>
          <w:p w:rsidR="00BA5E68" w:rsidRDefault="00BA5E68" w:rsidP="00992664">
            <w:pPr>
              <w:pStyle w:val="libFootnote0"/>
              <w:rPr>
                <w:rtl/>
              </w:rPr>
            </w:pPr>
            <w:r>
              <w:rPr>
                <w:rtl/>
              </w:rPr>
              <w:t xml:space="preserve">(10). </w:t>
            </w:r>
            <w:r w:rsidR="00352B65">
              <w:rPr>
                <w:rtl/>
              </w:rPr>
              <w:t>في «بث ، بخ ، بر ، بف</w:t>
            </w:r>
            <w:r w:rsidRPr="00020424">
              <w:rPr>
                <w:rtl/>
              </w:rPr>
              <w:t xml:space="preserve">» </w:t>
            </w:r>
            <w:r w:rsidRPr="00515444">
              <w:rPr>
                <w:rStyle w:val="libFootnoteBoldChar"/>
                <w:rtl/>
              </w:rPr>
              <w:t>والوافي</w:t>
            </w:r>
            <w:r w:rsidR="00352B65">
              <w:rPr>
                <w:rtl/>
              </w:rPr>
              <w:t xml:space="preserve"> : «</w:t>
            </w:r>
            <w:r w:rsidRPr="00020424">
              <w:rPr>
                <w:rtl/>
              </w:rPr>
              <w:t>فلو</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بس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حمل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104 ، ح 297 ، معلّقاً عن الكليني. </w:t>
      </w:r>
      <w:r w:rsidR="00992664" w:rsidRPr="00C8283E">
        <w:rPr>
          <w:rtl/>
        </w:rPr>
        <w:t>تفسير العيّاشي</w:t>
      </w:r>
      <w:r w:rsidR="00992664" w:rsidRPr="00020424">
        <w:rPr>
          <w:rtl/>
        </w:rPr>
        <w:t xml:space="preserve"> ، ج 2 ، ص 90 ، ح 65 ، عن أبي بصير ، عن أبي عبدالله </w:t>
      </w:r>
      <w:r w:rsidR="00992664" w:rsidRPr="00D64ADA">
        <w:rPr>
          <w:rStyle w:val="libFootnoteAlaemChar"/>
          <w:rtl/>
        </w:rPr>
        <w:t>عليه‌السلام</w:t>
      </w:r>
      <w:r w:rsidR="00992664" w:rsidRPr="00020424">
        <w:rPr>
          <w:rtl/>
        </w:rPr>
        <w:t xml:space="preserve"> ، إلى قوله : « والبائس أجهدهم » مع اختلاف يسير </w:t>
      </w:r>
      <w:r w:rsidR="00A33401">
        <w:rPr>
          <w:rFonts w:hint="cs"/>
          <w:rtl/>
        </w:rPr>
        <w:t>.</w:t>
      </w:r>
      <w:r w:rsidR="00992664" w:rsidRPr="0012008A">
        <w:rPr>
          <w:rStyle w:val="libFootnoteBoldChar"/>
          <w:rtl/>
        </w:rPr>
        <w:t>الوافي</w:t>
      </w:r>
      <w:r w:rsidR="00992664" w:rsidRPr="00020424">
        <w:rPr>
          <w:rtl/>
        </w:rPr>
        <w:t xml:space="preserve"> ، ج 10 ، ص 165 ، ح 9354 ؛ </w:t>
      </w:r>
      <w:r w:rsidR="00992664" w:rsidRPr="0012008A">
        <w:rPr>
          <w:rStyle w:val="libFootnoteBoldChar"/>
          <w:rtl/>
        </w:rPr>
        <w:t>الوسائل</w:t>
      </w:r>
      <w:r w:rsidR="00992664" w:rsidRPr="00020424">
        <w:rPr>
          <w:rtl/>
        </w:rPr>
        <w:t xml:space="preserve"> ، ج 9 ، ص 309 ، ح 12092.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8283E">
        <w:rPr>
          <w:rtl/>
        </w:rPr>
        <w:lastRenderedPageBreak/>
        <w:t>5737</w:t>
      </w:r>
      <w:r w:rsidRPr="001155DE">
        <w:rPr>
          <w:rStyle w:val="libBold2Char"/>
          <w:rtl/>
        </w:rPr>
        <w:t xml:space="preserve"> / 18.</w:t>
      </w:r>
      <w:r w:rsidRPr="00020424">
        <w:rPr>
          <w:rtl/>
          <w:lang w:bidi="fa-IR"/>
        </w:rPr>
        <w:t xml:space="preserve"> عَلِيُّ بْنُ إِبْرَاهِيمَ </w:t>
      </w:r>
      <w:r w:rsidRPr="00A91B96">
        <w:rPr>
          <w:rStyle w:val="libFootnotenumChar"/>
          <w:rtl/>
        </w:rPr>
        <w:t>(1)</w:t>
      </w:r>
      <w:r w:rsidRPr="00020424">
        <w:rPr>
          <w:rtl/>
          <w:lang w:bidi="fa-IR"/>
        </w:rPr>
        <w:t xml:space="preserve"> ، عَنْ أَبِيهِ ، عَنِ ابْنِ أَبِي عُمَيْرٍ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w:t>
      </w:r>
      <w:r w:rsidR="00A33401">
        <w:rPr>
          <w:rFonts w:hint="cs"/>
          <w:rtl/>
          <w:lang w:bidi="fa-IR"/>
        </w:rPr>
        <w:t xml:space="preserve"> </w:t>
      </w:r>
      <w:r w:rsidRPr="00020424">
        <w:rPr>
          <w:rtl/>
          <w:lang w:bidi="fa-IR"/>
        </w:rPr>
        <w:t xml:space="preserve">جَلَّ : </w:t>
      </w:r>
      <w:r w:rsidRPr="00005A81">
        <w:rPr>
          <w:rStyle w:val="libAlaemChar"/>
          <w:rtl/>
        </w:rPr>
        <w:t>(</w:t>
      </w:r>
      <w:r w:rsidRPr="004E5AB4">
        <w:rPr>
          <w:rStyle w:val="libAieChar"/>
          <w:rtl/>
        </w:rPr>
        <w:t xml:space="preserve"> وَإِنْ تُخْفُوها وَتُؤْتُوهَا الْفُقَراءَ فَهُوَ خَيْرٌ لَكُمْ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فَقَالَ : « هِيَ سِوَى الزَّكَاةِ ؛ إِنَّ الزَّكَاةَ عَلَانِيَةٌ غَيْرُ سِرٍّ</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C8283E">
        <w:rPr>
          <w:rtl/>
        </w:rPr>
        <w:t>5738</w:t>
      </w:r>
      <w:r w:rsidRPr="001155DE">
        <w:rPr>
          <w:rStyle w:val="libBold2Char"/>
          <w:rtl/>
        </w:rPr>
        <w:t xml:space="preserve"> / 19.</w:t>
      </w:r>
      <w:r w:rsidRPr="00020424">
        <w:rPr>
          <w:rtl/>
          <w:lang w:bidi="fa-IR"/>
        </w:rPr>
        <w:t xml:space="preserve"> مُحَمَّدُ بْنُ يَحْيى ، عَنْ مُحَمَّدِ بْنِ الْحُسَيْنِ </w:t>
      </w:r>
      <w:r w:rsidRPr="00A91B96">
        <w:rPr>
          <w:rStyle w:val="libFootnotenumChar"/>
          <w:rtl/>
        </w:rPr>
        <w:t>(4)</w:t>
      </w:r>
      <w:r w:rsidRPr="00020424">
        <w:rPr>
          <w:rtl/>
          <w:lang w:bidi="fa-IR"/>
        </w:rPr>
        <w:t xml:space="preserve"> ، عَنْ صَفْوَانَ بْنِ يَحْيى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أَنَّهُ سَأَلَهُ </w:t>
      </w:r>
      <w:r w:rsidRPr="00A91B96">
        <w:rPr>
          <w:rStyle w:val="libFootnotenumChar"/>
          <w:rtl/>
        </w:rPr>
        <w:t>(5)</w:t>
      </w:r>
      <w:r w:rsidRPr="00020424">
        <w:rPr>
          <w:rtl/>
          <w:lang w:bidi="fa-IR"/>
        </w:rPr>
        <w:t xml:space="preserve"> عَنِ الْفَقِيرِ وَالْمِسْكِينِ</w:t>
      </w:r>
      <w:r>
        <w:rPr>
          <w:rtl/>
          <w:lang w:bidi="fa-IR"/>
        </w:rPr>
        <w:t>؟</w:t>
      </w:r>
    </w:p>
    <w:p w:rsidR="00992664" w:rsidRPr="00020424" w:rsidRDefault="00992664" w:rsidP="00992664">
      <w:pPr>
        <w:pStyle w:val="libNormal"/>
        <w:rPr>
          <w:rtl/>
          <w:lang w:bidi="fa-IR"/>
        </w:rPr>
      </w:pPr>
      <w:r w:rsidRPr="00020424">
        <w:rPr>
          <w:rtl/>
          <w:lang w:bidi="fa-IR"/>
        </w:rPr>
        <w:t xml:space="preserve">فَقَالَ : « الْفَقِيرُ : الَّذِي لَايَسْأَلُ </w:t>
      </w:r>
      <w:r w:rsidRPr="00A91B96">
        <w:rPr>
          <w:rStyle w:val="libFootnotenumChar"/>
          <w:rtl/>
        </w:rPr>
        <w:t>(6)</w:t>
      </w:r>
      <w:r w:rsidRPr="00020424">
        <w:rPr>
          <w:rtl/>
          <w:lang w:bidi="fa-IR"/>
        </w:rPr>
        <w:t xml:space="preserve"> ، وَالْمِسْكِينُ : الَّذِي هُوَ </w:t>
      </w:r>
      <w:r w:rsidRPr="00A91B96">
        <w:rPr>
          <w:rStyle w:val="libFootnotenumChar"/>
          <w:rtl/>
        </w:rPr>
        <w:t>(7)</w:t>
      </w:r>
      <w:r w:rsidRPr="00020424">
        <w:rPr>
          <w:rtl/>
          <w:lang w:bidi="fa-IR"/>
        </w:rPr>
        <w:t xml:space="preserve"> أَجْهَدُ مِنْهُ ، الَّذِي يَسْأَلُ</w:t>
      </w:r>
      <w:r w:rsidRPr="00A91B96">
        <w:rPr>
          <w:rStyle w:val="libFootnotenumChar"/>
          <w:rtl/>
        </w:rPr>
        <w:t>(8)</w:t>
      </w:r>
      <w:r>
        <w:rPr>
          <w:rtl/>
          <w:lang w:bidi="fa-IR"/>
        </w:rPr>
        <w:t>».</w:t>
      </w:r>
      <w:r w:rsidRPr="00A91B96">
        <w:rPr>
          <w:rStyle w:val="libFootnotenumChar"/>
          <w:rtl/>
        </w:rPr>
        <w:t>(9)</w:t>
      </w:r>
    </w:p>
    <w:p w:rsidR="00992664" w:rsidRPr="00020424" w:rsidRDefault="00992664" w:rsidP="00992664">
      <w:pPr>
        <w:pStyle w:val="libNormal"/>
        <w:rPr>
          <w:rtl/>
          <w:lang w:bidi="fa-IR"/>
        </w:rPr>
      </w:pPr>
      <w:r w:rsidRPr="00C8283E">
        <w:rPr>
          <w:rtl/>
        </w:rPr>
        <w:t>5739</w:t>
      </w:r>
      <w:r w:rsidRPr="001155DE">
        <w:rPr>
          <w:rStyle w:val="libBold2Char"/>
          <w:rtl/>
        </w:rPr>
        <w:t xml:space="preserve"> / 20.</w:t>
      </w:r>
      <w:r w:rsidRPr="00020424">
        <w:rPr>
          <w:rtl/>
          <w:lang w:bidi="fa-IR"/>
        </w:rPr>
        <w:t xml:space="preserve">عِدَّةٌ مِنْ أَصْحَابِنَا ، عَنْ أَحْمَدَ بْنِ مُحَمَّدِ بْنِ عِيسى ، عَنْ أَحْمَدَ بْنِ مُحَمَّدِ بْنِ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11559F">
      <w:pPr>
        <w:pStyle w:val="libFootnote0"/>
        <w:rPr>
          <w:rtl/>
          <w:lang w:bidi="fa-IR"/>
        </w:rPr>
      </w:pPr>
      <w:r>
        <w:rPr>
          <w:rtl/>
        </w:rPr>
        <w:t>(1).</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r w:rsidR="00992664" w:rsidRPr="00020424">
        <w:rPr>
          <w:rtl/>
        </w:rPr>
        <w:t xml:space="preserve"> وفي « بر » وحاشية « بف » : « عنه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البقرة </w:t>
      </w:r>
      <w:r>
        <w:rPr>
          <w:rtl/>
        </w:rPr>
        <w:t>(2).</w:t>
      </w:r>
      <w:r w:rsidR="0014403D">
        <w:rPr>
          <w:rtl/>
        </w:rPr>
        <w:t xml:space="preserve"> </w:t>
      </w:r>
      <w:r w:rsidR="00992664" w:rsidRPr="00020424">
        <w:rPr>
          <w:rtl/>
        </w:rPr>
        <w:t>: 271.</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104 ، ح 298 ، معلّقاً عن الكليني. </w:t>
      </w:r>
      <w:r w:rsidR="00992664" w:rsidRPr="00C8283E">
        <w:rPr>
          <w:rtl/>
        </w:rPr>
        <w:t>تفسير العيّاشي</w:t>
      </w:r>
      <w:r w:rsidR="00992664" w:rsidRPr="00020424">
        <w:rPr>
          <w:rtl/>
        </w:rPr>
        <w:t xml:space="preserve"> ، ج 1 ، ص 151 ، ح 499 ، عن الحلبيّ ، عن أبي عبد الله </w:t>
      </w:r>
      <w:r w:rsidR="00992664" w:rsidRPr="00D64ADA">
        <w:rPr>
          <w:rStyle w:val="libFootnoteAlaemChar"/>
          <w:rtl/>
        </w:rPr>
        <w:t>عليه‌السلام</w:t>
      </w:r>
      <w:r w:rsidR="00992664" w:rsidRPr="00020424">
        <w:rPr>
          <w:rtl/>
        </w:rPr>
        <w:t xml:space="preserve"> ، مع اختلاف يسير </w:t>
      </w:r>
      <w:r w:rsidR="00664121">
        <w:rPr>
          <w:rFonts w:hint="cs"/>
          <w:rtl/>
        </w:rPr>
        <w:t>.</w:t>
      </w:r>
      <w:r w:rsidR="00992664" w:rsidRPr="0012008A">
        <w:rPr>
          <w:rStyle w:val="libFootnoteBoldChar"/>
          <w:rtl/>
        </w:rPr>
        <w:t>الوافي</w:t>
      </w:r>
      <w:r w:rsidR="00992664" w:rsidRPr="00020424">
        <w:rPr>
          <w:rtl/>
        </w:rPr>
        <w:t xml:space="preserve"> ، ج 10 ، ص 404 ، ح 9774 ؛ </w:t>
      </w:r>
      <w:r w:rsidR="00992664" w:rsidRPr="0012008A">
        <w:rPr>
          <w:rStyle w:val="libFootnoteBoldChar"/>
          <w:rtl/>
        </w:rPr>
        <w:t>الوسائل</w:t>
      </w:r>
      <w:r w:rsidR="00992664" w:rsidRPr="00020424">
        <w:rPr>
          <w:rtl/>
        </w:rPr>
        <w:t xml:space="preserve"> ، ج 9 ، ص 310 ، ح 12093.</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بح ، بخ ، بر ، بف ، جن » وحاشية « بس » </w:t>
      </w:r>
      <w:r w:rsidR="00992664" w:rsidRPr="00EB1FD9">
        <w:rPr>
          <w:rStyle w:val="libFootnoteBoldChar"/>
          <w:rtl/>
        </w:rPr>
        <w:t>والوسائل</w:t>
      </w:r>
      <w:r w:rsidR="00992664" w:rsidRPr="00020424">
        <w:rPr>
          <w:rtl/>
        </w:rPr>
        <w:t>. وفي « ظ ، ى ، بس » والمطبوع : « محمّد بن‌الحسن</w:t>
      </w:r>
      <w:r w:rsidR="00992664">
        <w:rPr>
          <w:rtl/>
        </w:rPr>
        <w:t xml:space="preserve"> ».</w:t>
      </w:r>
    </w:p>
    <w:p w:rsidR="00992664" w:rsidRPr="00020424" w:rsidRDefault="00992664" w:rsidP="00A95987">
      <w:pPr>
        <w:pStyle w:val="libFootnote0"/>
        <w:rPr>
          <w:rtl/>
          <w:lang w:bidi="fa-IR"/>
        </w:rPr>
      </w:pPr>
      <w:r w:rsidRPr="00A95987">
        <w:rPr>
          <w:rtl/>
        </w:rPr>
        <w:t xml:space="preserve">وقد روى محمّد بن يحيى عن محمّد بن الحسين جميع كتب صفوان بن يحيى وتكرّر هذا الارتباط في كثيرٍ من الأسناد ، ولم يثبت توسّط محمّد بن الحسن بين محمّد بن يحيى وبين صفوان بن يحيى في موضع. راجع : </w:t>
      </w:r>
      <w:r w:rsidRPr="00D530ED">
        <w:rPr>
          <w:rStyle w:val="libFootnoteBoldChar"/>
          <w:rtl/>
        </w:rPr>
        <w:t>الفهرست للطوسي</w:t>
      </w:r>
      <w:r w:rsidRPr="00A95987">
        <w:rPr>
          <w:rtl/>
        </w:rPr>
        <w:t xml:space="preserve"> ، ص 241 ، الرقم 356 ؛ </w:t>
      </w:r>
      <w:r w:rsidRPr="00C8283E">
        <w:rPr>
          <w:rtl/>
        </w:rPr>
        <w:t>معجم رجال الحديث</w:t>
      </w:r>
      <w:r w:rsidRPr="00A95987">
        <w:rPr>
          <w:rtl/>
        </w:rPr>
        <w:t xml:space="preserve"> ، ج 15 ، ص 408 </w:t>
      </w:r>
      <w:r w:rsidR="009B673F" w:rsidRPr="00A95987">
        <w:rPr>
          <w:rtl/>
        </w:rPr>
        <w:t>-</w:t>
      </w:r>
      <w:r w:rsidRPr="00A95987">
        <w:rPr>
          <w:rtl/>
        </w:rPr>
        <w:t xml:space="preserve"> 412.</w:t>
      </w:r>
    </w:p>
    <w:tbl>
      <w:tblPr>
        <w:tblStyle w:val="TableGrid"/>
        <w:bidiVisual/>
        <w:tblW w:w="0" w:type="auto"/>
        <w:tblLook w:val="04A0" w:firstRow="1" w:lastRow="0" w:firstColumn="1" w:lastColumn="0" w:noHBand="0" w:noVBand="1"/>
      </w:tblPr>
      <w:tblGrid>
        <w:gridCol w:w="4006"/>
        <w:gridCol w:w="4006"/>
      </w:tblGrid>
      <w:tr w:rsidR="00A95987" w:rsidTr="00A95987">
        <w:tc>
          <w:tcPr>
            <w:tcW w:w="4006" w:type="dxa"/>
          </w:tcPr>
          <w:p w:rsidR="00A95987" w:rsidRDefault="00A95987" w:rsidP="00992664">
            <w:pPr>
              <w:pStyle w:val="libFootnote0"/>
              <w:rPr>
                <w:rtl/>
              </w:rPr>
            </w:pPr>
            <w:r>
              <w:rPr>
                <w:rtl/>
              </w:rPr>
              <w:t>(5). في</w:t>
            </w:r>
            <w:r w:rsidRPr="00020424">
              <w:rPr>
                <w:rtl/>
              </w:rPr>
              <w:t>«بر،بف»:«سأل</w:t>
            </w:r>
            <w:r>
              <w:rPr>
                <w:rtl/>
              </w:rPr>
              <w:t>».</w:t>
            </w:r>
            <w:r w:rsidRPr="00020424">
              <w:rPr>
                <w:rtl/>
              </w:rPr>
              <w:t xml:space="preserve">وفي </w:t>
            </w:r>
            <w:r w:rsidRPr="0012008A">
              <w:rPr>
                <w:rStyle w:val="libFootnoteBoldChar"/>
                <w:rtl/>
              </w:rPr>
              <w:t>الوافي</w:t>
            </w:r>
            <w:r w:rsidRPr="00020424">
              <w:rPr>
                <w:rtl/>
              </w:rPr>
              <w:t>:«سئل</w:t>
            </w:r>
            <w:r>
              <w:rPr>
                <w:rtl/>
              </w:rPr>
              <w:t>».</w:t>
            </w:r>
          </w:p>
        </w:tc>
        <w:tc>
          <w:tcPr>
            <w:tcW w:w="4006" w:type="dxa"/>
          </w:tcPr>
          <w:p w:rsidR="00A95987" w:rsidRDefault="00A95987" w:rsidP="00992664">
            <w:pPr>
              <w:pStyle w:val="libFootnote0"/>
              <w:rPr>
                <w:rtl/>
              </w:rPr>
            </w:pPr>
            <w:r>
              <w:rPr>
                <w:rtl/>
              </w:rPr>
              <w:t xml:space="preserve">(6). </w:t>
            </w:r>
            <w:r w:rsidRPr="00020424">
              <w:rPr>
                <w:rtl/>
              </w:rPr>
              <w:t>في تفسير العيّاشي:«يسأل»بدون«لا</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 « هو الذي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ى ، بس ، بف ، جن » وتفسير العيّاشي : « لا يسأل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C8283E">
        <w:rPr>
          <w:rtl/>
        </w:rPr>
        <w:t>تفسير العيّاشي</w:t>
      </w:r>
      <w:r w:rsidR="00992664" w:rsidRPr="00020424">
        <w:rPr>
          <w:rtl/>
        </w:rPr>
        <w:t xml:space="preserve"> ، ج 2 ، ص 90 ، ح 64 ، عن محمّد بن مسلم ، عن أبي عبدالله </w:t>
      </w:r>
      <w:r w:rsidR="00992664" w:rsidRPr="00D64ADA">
        <w:rPr>
          <w:rStyle w:val="libFootnoteAlaemChar"/>
          <w:rtl/>
        </w:rPr>
        <w:t>عليه‌السلام</w:t>
      </w:r>
      <w:r w:rsidR="00992664" w:rsidRPr="00020424">
        <w:rPr>
          <w:rtl/>
        </w:rPr>
        <w:t xml:space="preserve"> ، مع اختلاف يسير </w:t>
      </w:r>
      <w:r w:rsidR="00A95987">
        <w:rPr>
          <w:rFonts w:hint="cs"/>
          <w:rtl/>
        </w:rPr>
        <w:t>.</w:t>
      </w:r>
      <w:r w:rsidR="00992664" w:rsidRPr="0012008A">
        <w:rPr>
          <w:rStyle w:val="libFootnoteBoldChar"/>
          <w:rtl/>
        </w:rPr>
        <w:t>الوافي</w:t>
      </w:r>
      <w:r w:rsidR="00992664" w:rsidRPr="00020424">
        <w:rPr>
          <w:rtl/>
        </w:rPr>
        <w:t xml:space="preserve"> ، ج 10 ، ص 164 ، ح 9353 ؛ </w:t>
      </w:r>
      <w:r w:rsidR="00992664" w:rsidRPr="0012008A">
        <w:rPr>
          <w:rStyle w:val="libFootnoteBoldChar"/>
          <w:rtl/>
        </w:rPr>
        <w:t>الوسائل</w:t>
      </w:r>
      <w:r w:rsidR="00992664" w:rsidRPr="00020424">
        <w:rPr>
          <w:rtl/>
        </w:rPr>
        <w:t xml:space="preserve"> ، ج 9 ، ص 210 ، ح 11857.</w:t>
      </w:r>
    </w:p>
    <w:p w:rsidR="00992664" w:rsidRPr="00020424" w:rsidRDefault="00795177" w:rsidP="00A24135">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محمّد بن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52B65">
      <w:pPr>
        <w:pStyle w:val="libNormal0"/>
        <w:rPr>
          <w:rtl/>
          <w:lang w:bidi="fa-IR"/>
        </w:rPr>
      </w:pPr>
      <w:r w:rsidRPr="00020424">
        <w:rPr>
          <w:rtl/>
          <w:lang w:bidi="fa-IR"/>
        </w:rPr>
        <w:lastRenderedPageBreak/>
        <w:t>أَبِي نَصْرٍ ، قَالَ :</w:t>
      </w:r>
    </w:p>
    <w:p w:rsidR="00992664" w:rsidRPr="00020424" w:rsidRDefault="00992664" w:rsidP="00992664">
      <w:pPr>
        <w:pStyle w:val="libNormal"/>
        <w:rPr>
          <w:rtl/>
          <w:lang w:bidi="fa-IR"/>
        </w:rPr>
      </w:pPr>
      <w:r w:rsidRPr="00020424">
        <w:rPr>
          <w:rtl/>
          <w:lang w:bidi="fa-IR"/>
        </w:rPr>
        <w:t xml:space="preserve">ذَكَرْتُ لِلرِّضَا </w:t>
      </w:r>
      <w:r w:rsidRPr="00005A81">
        <w:rPr>
          <w:rStyle w:val="libAlaemChar"/>
          <w:rtl/>
        </w:rPr>
        <w:t>عليه‌السلام</w:t>
      </w:r>
      <w:r w:rsidRPr="00020424">
        <w:rPr>
          <w:rtl/>
          <w:lang w:bidi="fa-IR"/>
        </w:rPr>
        <w:t xml:space="preserve"> شَيْئاً ، فَقَالَ : « اصْبِرْ ؛ فَإِنِّي أَرْجُو أَنْ يَصْنَعَ اللهُ لَكَ </w:t>
      </w:r>
      <w:r w:rsidRPr="00A91B96">
        <w:rPr>
          <w:rStyle w:val="libFootnotenumChar"/>
          <w:rtl/>
        </w:rPr>
        <w:t>(1)</w:t>
      </w:r>
      <w:r w:rsidRPr="00020424">
        <w:rPr>
          <w:rtl/>
          <w:lang w:bidi="fa-IR"/>
        </w:rPr>
        <w:t xml:space="preserve"> إِنْ شَاءَ اللهُ » ثُمَّ قَالَ : « فَوَ اللهِ ، مَا </w:t>
      </w:r>
      <w:r w:rsidRPr="00A91B96">
        <w:rPr>
          <w:rStyle w:val="libFootnotenumChar"/>
          <w:rtl/>
        </w:rPr>
        <w:t>(2)</w:t>
      </w:r>
      <w:r w:rsidRPr="00020424">
        <w:rPr>
          <w:rtl/>
          <w:lang w:bidi="fa-IR"/>
        </w:rPr>
        <w:t xml:space="preserve"> أَخَّرَ </w:t>
      </w:r>
      <w:r w:rsidRPr="00A91B96">
        <w:rPr>
          <w:rStyle w:val="libFootnotenumChar"/>
          <w:rtl/>
        </w:rPr>
        <w:t>(3)</w:t>
      </w:r>
      <w:r w:rsidRPr="00020424">
        <w:rPr>
          <w:rtl/>
          <w:lang w:bidi="fa-IR"/>
        </w:rPr>
        <w:t xml:space="preserve"> اللهُ عَنِ الْمُؤْمِنِ مِنْ هذِهِ الدُّنْيَا خَيْرٌ لَهُ مِمَّا عَجَّلَ لَهُ فِيهَا » ثُمَّ صَغَّرَ الدُّنْيَا ، وَقَالَ : « أَيُّ شَيْ‌ءٍ هِيَ</w:t>
      </w:r>
      <w:r>
        <w:rPr>
          <w:rtl/>
          <w:lang w:bidi="fa-IR"/>
        </w:rPr>
        <w:t>؟ ».</w:t>
      </w:r>
    </w:p>
    <w:p w:rsidR="00992664" w:rsidRPr="00020424" w:rsidRDefault="00992664" w:rsidP="00992664">
      <w:pPr>
        <w:pStyle w:val="libNormal"/>
        <w:rPr>
          <w:rtl/>
          <w:lang w:bidi="fa-IR"/>
        </w:rPr>
      </w:pPr>
      <w:r w:rsidRPr="00020424">
        <w:rPr>
          <w:rtl/>
          <w:lang w:bidi="fa-IR"/>
        </w:rPr>
        <w:t xml:space="preserve">ثُمَّ قَالَ : « إِنَّ صَاحِبَ النِّعْمَةِ عَلى خَطَرٍ ؛ إِنَّهُ </w:t>
      </w:r>
      <w:r w:rsidRPr="00A91B96">
        <w:rPr>
          <w:rStyle w:val="libFootnotenumChar"/>
          <w:rtl/>
        </w:rPr>
        <w:t>(4)</w:t>
      </w:r>
      <w:r w:rsidRPr="00020424">
        <w:rPr>
          <w:rtl/>
          <w:lang w:bidi="fa-IR"/>
        </w:rPr>
        <w:t xml:space="preserve"> يَجِبُ عَلَيْهِ حُقُوقُ اللهِ فِيهَا ، وَاللهِ </w:t>
      </w:r>
      <w:r w:rsidRPr="00A91B96">
        <w:rPr>
          <w:rStyle w:val="libFootnotenumChar"/>
          <w:rtl/>
        </w:rPr>
        <w:t>(5)</w:t>
      </w:r>
      <w:r w:rsidRPr="00020424">
        <w:rPr>
          <w:rtl/>
          <w:lang w:bidi="fa-IR"/>
        </w:rPr>
        <w:t xml:space="preserve"> إِنَّهُ </w:t>
      </w:r>
      <w:r w:rsidRPr="00A91B96">
        <w:rPr>
          <w:rStyle w:val="libFootnotenumChar"/>
          <w:rtl/>
        </w:rPr>
        <w:t>(6)</w:t>
      </w:r>
      <w:r w:rsidRPr="00020424">
        <w:rPr>
          <w:rtl/>
          <w:lang w:bidi="fa-IR"/>
        </w:rPr>
        <w:t xml:space="preserve"> لَتَكُونُ </w:t>
      </w:r>
      <w:r w:rsidRPr="00A91B96">
        <w:rPr>
          <w:rStyle w:val="libFootnotenumChar"/>
          <w:rtl/>
        </w:rPr>
        <w:t>(7)</w:t>
      </w:r>
      <w:r w:rsidRPr="00020424">
        <w:rPr>
          <w:rtl/>
          <w:lang w:bidi="fa-IR"/>
        </w:rPr>
        <w:t xml:space="preserve"> عَلَيَّ النِّعَمُ مِنَ اللهِ عَزَّ وَ</w:t>
      </w:r>
      <w:r w:rsidR="00004AEE">
        <w:rPr>
          <w:rFonts w:hint="cs"/>
          <w:rtl/>
          <w:lang w:bidi="fa-IR"/>
        </w:rPr>
        <w:t xml:space="preserve"> </w:t>
      </w:r>
      <w:r w:rsidRPr="00020424">
        <w:rPr>
          <w:rtl/>
          <w:lang w:bidi="fa-IR"/>
        </w:rPr>
        <w:t xml:space="preserve">جَلَّ ، فَمَا أَزَالُ </w:t>
      </w:r>
      <w:r w:rsidRPr="00A91B96">
        <w:rPr>
          <w:rStyle w:val="libFootnotenumChar"/>
          <w:rtl/>
        </w:rPr>
        <w:t>(8)</w:t>
      </w:r>
      <w:r w:rsidRPr="00020424">
        <w:rPr>
          <w:rtl/>
          <w:lang w:bidi="fa-IR"/>
        </w:rPr>
        <w:t xml:space="preserve"> مِنْهَا عَلى وَجَلٍ</w:t>
      </w:r>
      <w:r>
        <w:rPr>
          <w:rtl/>
          <w:lang w:bidi="fa-IR"/>
        </w:rPr>
        <w:t xml:space="preserve"> </w:t>
      </w:r>
      <w:r w:rsidR="009B673F">
        <w:rPr>
          <w:rtl/>
          <w:lang w:bidi="fa-IR"/>
        </w:rPr>
        <w:t>-</w:t>
      </w:r>
      <w:r>
        <w:rPr>
          <w:rtl/>
          <w:lang w:bidi="fa-IR"/>
        </w:rPr>
        <w:t xml:space="preserve"> </w:t>
      </w:r>
      <w:r w:rsidRPr="00020424">
        <w:rPr>
          <w:rtl/>
          <w:lang w:bidi="fa-IR"/>
        </w:rPr>
        <w:t>وَحَرَّكَ يَدَهُ</w:t>
      </w:r>
      <w:r>
        <w:rPr>
          <w:rtl/>
          <w:lang w:bidi="fa-IR"/>
        </w:rPr>
        <w:t xml:space="preserve"> </w:t>
      </w:r>
      <w:r w:rsidR="009B673F">
        <w:rPr>
          <w:rtl/>
          <w:lang w:bidi="fa-IR"/>
        </w:rPr>
        <w:t>-</w:t>
      </w:r>
      <w:r>
        <w:rPr>
          <w:rtl/>
          <w:lang w:bidi="fa-IR"/>
        </w:rPr>
        <w:t xml:space="preserve"> </w:t>
      </w:r>
      <w:r w:rsidRPr="00020424">
        <w:rPr>
          <w:rtl/>
          <w:lang w:bidi="fa-IR"/>
        </w:rPr>
        <w:t xml:space="preserve">حَتّى أَخْرُجَ مِنَ الْحُقُوقِ الَّتِي تَجِبُ </w:t>
      </w:r>
      <w:r w:rsidRPr="00A91B96">
        <w:rPr>
          <w:rStyle w:val="libFootnotenumChar"/>
          <w:rtl/>
        </w:rPr>
        <w:t>(9)</w:t>
      </w:r>
      <w:r w:rsidRPr="00020424">
        <w:rPr>
          <w:rtl/>
          <w:lang w:bidi="fa-IR"/>
        </w:rPr>
        <w:t xml:space="preserve"> لِلّهِ عَلَيَّ </w:t>
      </w:r>
      <w:r w:rsidRPr="00A91B96">
        <w:rPr>
          <w:rStyle w:val="libFootnotenumChar"/>
          <w:rtl/>
        </w:rPr>
        <w:t>(10)</w:t>
      </w:r>
      <w:r w:rsidRPr="00020424">
        <w:rPr>
          <w:rtl/>
          <w:lang w:bidi="fa-IR"/>
        </w:rPr>
        <w:t xml:space="preserve"> فِيهَا</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(11)</w:t>
      </w:r>
      <w:r w:rsidRPr="00020424">
        <w:rPr>
          <w:rtl/>
          <w:lang w:bidi="fa-IR"/>
        </w:rPr>
        <w:t xml:space="preserve"> : جُعِلْتُ فِدَاكَ ، أَنْتَ فِي قَدْرِكَ تَخَافُ هذَا</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(12)</w:t>
      </w:r>
      <w:r w:rsidRPr="00020424">
        <w:rPr>
          <w:rtl/>
          <w:lang w:bidi="fa-IR"/>
        </w:rPr>
        <w:t xml:space="preserve"> : « نَعَمْ ، فَأَحْمَدُ رَبِّي عَلى </w:t>
      </w:r>
      <w:r w:rsidRPr="00A91B96">
        <w:rPr>
          <w:rStyle w:val="libFootnotenumChar"/>
          <w:rtl/>
        </w:rPr>
        <w:t>(13)</w:t>
      </w:r>
      <w:r w:rsidRPr="00020424">
        <w:rPr>
          <w:rtl/>
          <w:lang w:bidi="fa-IR"/>
        </w:rPr>
        <w:t xml:space="preserve"> مَا </w:t>
      </w:r>
      <w:r w:rsidRPr="00A91B96">
        <w:rPr>
          <w:rStyle w:val="libFootnotenumChar"/>
          <w:rtl/>
        </w:rPr>
        <w:t>(14)</w:t>
      </w:r>
      <w:r w:rsidRPr="00020424">
        <w:rPr>
          <w:rtl/>
          <w:lang w:bidi="fa-IR"/>
        </w:rPr>
        <w:t xml:space="preserve"> مَنَّ بِهِ </w:t>
      </w:r>
      <w:r w:rsidRPr="00A91B96">
        <w:rPr>
          <w:rStyle w:val="libFootnotenumChar"/>
          <w:rtl/>
        </w:rPr>
        <w:t>(15)</w:t>
      </w:r>
      <w:r w:rsidRPr="00020424">
        <w:rPr>
          <w:rtl/>
          <w:lang w:bidi="fa-IR"/>
        </w:rPr>
        <w:t xml:space="preserve"> عَلَيَّ</w:t>
      </w:r>
      <w:r>
        <w:rPr>
          <w:rtl/>
          <w:lang w:bidi="fa-IR"/>
        </w:rPr>
        <w:t xml:space="preserve"> ».</w:t>
      </w:r>
      <w:r w:rsidRPr="00020424">
        <w:rPr>
          <w:rtl/>
          <w:lang w:bidi="fa-IR"/>
        </w:rPr>
        <w:t xml:space="preserve"> </w:t>
      </w:r>
      <w:r w:rsidRPr="00A91B96">
        <w:rPr>
          <w:rStyle w:val="libFootnotenumChar"/>
          <w:rtl/>
        </w:rPr>
        <w:t>(16)</w:t>
      </w:r>
    </w:p>
    <w:p w:rsidR="00992664" w:rsidRPr="00020424" w:rsidRDefault="00992664" w:rsidP="00992664">
      <w:pPr>
        <w:pStyle w:val="Heading2Center"/>
        <w:rPr>
          <w:rtl/>
          <w:lang w:bidi="fa-IR"/>
        </w:rPr>
      </w:pPr>
      <w:bookmarkStart w:id="14" w:name="_Toc345172720"/>
      <w:bookmarkStart w:id="15" w:name="_Toc464562539"/>
      <w:bookmarkStart w:id="16" w:name="_Toc44599840"/>
      <w:r w:rsidRPr="00020424">
        <w:rPr>
          <w:rtl/>
          <w:lang w:bidi="fa-IR"/>
        </w:rPr>
        <w:t>2</w:t>
      </w:r>
      <w:r>
        <w:rPr>
          <w:rtl/>
          <w:lang w:bidi="fa-IR"/>
        </w:rPr>
        <w:t xml:space="preserve"> </w:t>
      </w:r>
      <w:r w:rsidR="009B673F">
        <w:rPr>
          <w:rtl/>
          <w:lang w:bidi="fa-IR"/>
        </w:rPr>
        <w:t>-</w:t>
      </w:r>
      <w:r>
        <w:rPr>
          <w:rtl/>
          <w:lang w:bidi="fa-IR"/>
        </w:rPr>
        <w:t xml:space="preserve"> </w:t>
      </w:r>
      <w:r w:rsidRPr="00020424">
        <w:rPr>
          <w:rtl/>
          <w:lang w:bidi="fa-IR"/>
        </w:rPr>
        <w:t>بَابُ مَنْعِ الزَّكَاةِ‌</w:t>
      </w:r>
      <w:bookmarkEnd w:id="14"/>
      <w:bookmarkEnd w:id="15"/>
      <w:bookmarkEnd w:id="16"/>
    </w:p>
    <w:p w:rsidR="00992664" w:rsidRPr="00020424" w:rsidRDefault="00992664" w:rsidP="00992664">
      <w:pPr>
        <w:pStyle w:val="libNormal"/>
        <w:rPr>
          <w:rtl/>
          <w:lang w:bidi="fa-IR"/>
        </w:rPr>
      </w:pPr>
      <w:r w:rsidRPr="00C8283E">
        <w:rPr>
          <w:rtl/>
        </w:rPr>
        <w:t>5740</w:t>
      </w:r>
      <w:r w:rsidRPr="001155DE">
        <w:rPr>
          <w:rStyle w:val="libBold2Char"/>
          <w:rtl/>
        </w:rPr>
        <w:t xml:space="preserve"> / 1.</w:t>
      </w:r>
      <w:r w:rsidRPr="00020424">
        <w:rPr>
          <w:rtl/>
          <w:lang w:bidi="fa-IR"/>
        </w:rPr>
        <w:t xml:space="preserve"> عَلِيُّ بْنُ إِبْرَاهِيمَ ، عَنْ أَبِيهِ ، عَنِ ابْنِ أَبِي عُمَيْرٍ ، عَنْ عَبْدِ اللهِ بْنِ مُسْكَانَ ، عَنْ مُحَمَّدِ بْنِ مُسْلِمٍ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04AEE" w:rsidTr="00004AEE">
        <w:tc>
          <w:tcPr>
            <w:tcW w:w="4006" w:type="dxa"/>
          </w:tcPr>
          <w:p w:rsidR="00004AEE" w:rsidRDefault="00004AEE" w:rsidP="0098221D">
            <w:pPr>
              <w:pStyle w:val="libFootnote0"/>
              <w:rPr>
                <w:rtl/>
              </w:rPr>
            </w:pPr>
            <w:r>
              <w:rPr>
                <w:rtl/>
              </w:rPr>
              <w:t xml:space="preserve">(1). </w:t>
            </w:r>
            <w:r w:rsidRPr="00020424">
              <w:rPr>
                <w:rtl/>
              </w:rPr>
              <w:t>في « ى » : + « شيئاً</w:t>
            </w:r>
            <w:r>
              <w:rPr>
                <w:rtl/>
              </w:rPr>
              <w:t xml:space="preserve"> ».</w:t>
            </w:r>
          </w:p>
        </w:tc>
        <w:tc>
          <w:tcPr>
            <w:tcW w:w="4006" w:type="dxa"/>
          </w:tcPr>
          <w:p w:rsidR="00004AEE" w:rsidRDefault="00722BFF" w:rsidP="00722BFF">
            <w:pPr>
              <w:pStyle w:val="libFootnote0"/>
              <w:rPr>
                <w:rtl/>
              </w:rPr>
            </w:pPr>
            <w:r>
              <w:rPr>
                <w:rtl/>
              </w:rPr>
              <w:t>(2). في</w:t>
            </w:r>
            <w:r w:rsidRPr="00020424">
              <w:rPr>
                <w:rtl/>
              </w:rPr>
              <w:t>«بخ،بر»وحاشية«بف»</w:t>
            </w:r>
            <w:r w:rsidRPr="00515444">
              <w:rPr>
                <w:rStyle w:val="libFootnoteBoldChar"/>
                <w:rtl/>
              </w:rPr>
              <w:t>والوافي</w:t>
            </w:r>
            <w:r w:rsidRPr="00020424">
              <w:rPr>
                <w:rtl/>
              </w:rPr>
              <w:t>:</w:t>
            </w:r>
            <w:r>
              <w:rPr>
                <w:rtl/>
              </w:rPr>
              <w:t>«</w:t>
            </w:r>
            <w:r w:rsidRPr="00020424">
              <w:rPr>
                <w:rtl/>
              </w:rPr>
              <w:t>والله لما</w:t>
            </w:r>
            <w:r>
              <w:rPr>
                <w:rtl/>
              </w:rPr>
              <w:t>».</w:t>
            </w:r>
          </w:p>
        </w:tc>
      </w:tr>
      <w:tr w:rsidR="00004AEE" w:rsidTr="00004AEE">
        <w:tc>
          <w:tcPr>
            <w:tcW w:w="4006" w:type="dxa"/>
          </w:tcPr>
          <w:p w:rsidR="00004AEE" w:rsidRDefault="00004AEE" w:rsidP="00992664">
            <w:pPr>
              <w:pStyle w:val="libFootnote0"/>
              <w:rPr>
                <w:rtl/>
              </w:rPr>
            </w:pPr>
            <w:r>
              <w:rPr>
                <w:rtl/>
              </w:rPr>
              <w:t xml:space="preserve">(3). </w:t>
            </w:r>
            <w:r w:rsidRPr="00020424">
              <w:rPr>
                <w:rtl/>
              </w:rPr>
              <w:t>في حاشية « جن » و</w:t>
            </w:r>
            <w:r w:rsidRPr="0012008A">
              <w:rPr>
                <w:rStyle w:val="libFootnoteBoldChar"/>
                <w:rtl/>
              </w:rPr>
              <w:t>البحار</w:t>
            </w:r>
            <w:r w:rsidRPr="00020424">
              <w:rPr>
                <w:rtl/>
              </w:rPr>
              <w:t xml:space="preserve"> : « ادخر</w:t>
            </w:r>
            <w:r>
              <w:rPr>
                <w:rtl/>
              </w:rPr>
              <w:t xml:space="preserve"> ».</w:t>
            </w:r>
          </w:p>
        </w:tc>
        <w:tc>
          <w:tcPr>
            <w:tcW w:w="4006" w:type="dxa"/>
          </w:tcPr>
          <w:p w:rsidR="00004AEE" w:rsidRDefault="00722BFF" w:rsidP="00992664">
            <w:pPr>
              <w:pStyle w:val="libFootnote0"/>
              <w:rPr>
                <w:rtl/>
              </w:rPr>
            </w:pPr>
            <w:r>
              <w:rPr>
                <w:rtl/>
              </w:rPr>
              <w:t xml:space="preserve">(4). </w:t>
            </w:r>
            <w:r w:rsidRPr="00020424">
              <w:rPr>
                <w:rtl/>
              </w:rPr>
              <w:t>في « بث » : « لأنّه</w:t>
            </w:r>
            <w:r>
              <w:rPr>
                <w:rtl/>
              </w:rPr>
              <w:t xml:space="preserve"> ».</w:t>
            </w:r>
          </w:p>
        </w:tc>
      </w:tr>
      <w:tr w:rsidR="00004AEE" w:rsidTr="00004AEE">
        <w:tc>
          <w:tcPr>
            <w:tcW w:w="4006" w:type="dxa"/>
          </w:tcPr>
          <w:p w:rsidR="00004AEE" w:rsidRDefault="00722BFF" w:rsidP="0098221D">
            <w:pPr>
              <w:pStyle w:val="libFootnote0"/>
              <w:rPr>
                <w:rtl/>
              </w:rPr>
            </w:pPr>
            <w:r>
              <w:rPr>
                <w:rtl/>
              </w:rPr>
              <w:t xml:space="preserve">(5). </w:t>
            </w:r>
            <w:r w:rsidRPr="00020424">
              <w:rPr>
                <w:rtl/>
              </w:rPr>
              <w:t>في « بح » :</w:t>
            </w:r>
            <w:r>
              <w:rPr>
                <w:rtl/>
              </w:rPr>
              <w:t xml:space="preserve"> - </w:t>
            </w:r>
            <w:r w:rsidRPr="00020424">
              <w:rPr>
                <w:rtl/>
              </w:rPr>
              <w:t>« والله</w:t>
            </w:r>
            <w:r>
              <w:rPr>
                <w:rtl/>
              </w:rPr>
              <w:t xml:space="preserve"> ».</w:t>
            </w:r>
          </w:p>
        </w:tc>
        <w:tc>
          <w:tcPr>
            <w:tcW w:w="4006" w:type="dxa"/>
          </w:tcPr>
          <w:p w:rsidR="00004AEE" w:rsidRDefault="00722BFF" w:rsidP="00992664">
            <w:pPr>
              <w:pStyle w:val="libFootnote0"/>
              <w:rPr>
                <w:rtl/>
              </w:rPr>
            </w:pPr>
            <w:r>
              <w:rPr>
                <w:rtl/>
              </w:rPr>
              <w:t xml:space="preserve">(6). </w:t>
            </w:r>
            <w:r w:rsidRPr="00020424">
              <w:rPr>
                <w:rtl/>
              </w:rPr>
              <w:t>في حاشية « جن » : « إنّها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بخ ، بر ، بس ، بف » و</w:t>
      </w:r>
      <w:r w:rsidR="00992664" w:rsidRPr="0012008A">
        <w:rPr>
          <w:rStyle w:val="libFootnoteBoldChar"/>
          <w:rtl/>
        </w:rPr>
        <w:t>البحار</w:t>
      </w:r>
      <w:r w:rsidR="00992664" w:rsidRPr="00020424">
        <w:rPr>
          <w:rtl/>
        </w:rPr>
        <w:t xml:space="preserve"> : « ليكون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8221D" w:rsidTr="0098221D">
        <w:tc>
          <w:tcPr>
            <w:tcW w:w="4006" w:type="dxa"/>
          </w:tcPr>
          <w:p w:rsidR="0098221D" w:rsidRDefault="0098221D" w:rsidP="00992664">
            <w:pPr>
              <w:pStyle w:val="libFootnote0"/>
              <w:rPr>
                <w:rtl/>
              </w:rPr>
            </w:pPr>
            <w:r>
              <w:rPr>
                <w:rtl/>
              </w:rPr>
              <w:t xml:space="preserve">(8). </w:t>
            </w:r>
            <w:r w:rsidRPr="00020424">
              <w:rPr>
                <w:rtl/>
              </w:rPr>
              <w:t>في «جن»:«فما زال</w:t>
            </w:r>
            <w:r>
              <w:rPr>
                <w:rtl/>
              </w:rPr>
              <w:t>».</w:t>
            </w:r>
            <w:r w:rsidRPr="00020424">
              <w:rPr>
                <w:rtl/>
              </w:rPr>
              <w:t xml:space="preserve">وفي </w:t>
            </w:r>
            <w:r w:rsidRPr="0012008A">
              <w:rPr>
                <w:rStyle w:val="libFootnoteBoldChar"/>
                <w:rtl/>
              </w:rPr>
              <w:t>الوافي</w:t>
            </w:r>
            <w:r w:rsidRPr="00020424">
              <w:rPr>
                <w:rtl/>
              </w:rPr>
              <w:t>:«فلا أزال</w:t>
            </w:r>
            <w:r>
              <w:rPr>
                <w:rtl/>
              </w:rPr>
              <w:t>».</w:t>
            </w:r>
          </w:p>
        </w:tc>
        <w:tc>
          <w:tcPr>
            <w:tcW w:w="4006" w:type="dxa"/>
          </w:tcPr>
          <w:p w:rsidR="0098221D" w:rsidRDefault="0098221D" w:rsidP="00992664">
            <w:pPr>
              <w:pStyle w:val="libFootnote0"/>
              <w:rPr>
                <w:rtl/>
              </w:rPr>
            </w:pPr>
            <w:r>
              <w:rPr>
                <w:rtl/>
              </w:rPr>
              <w:t xml:space="preserve">(9). </w:t>
            </w:r>
            <w:r w:rsidRPr="00020424">
              <w:rPr>
                <w:rtl/>
              </w:rPr>
              <w:t>في « بح ، بر » : « يجب</w:t>
            </w:r>
            <w:r>
              <w:rPr>
                <w:rtl/>
              </w:rPr>
              <w:t xml:space="preserve"> ».</w:t>
            </w:r>
          </w:p>
        </w:tc>
      </w:tr>
      <w:tr w:rsidR="0098221D" w:rsidTr="0098221D">
        <w:tc>
          <w:tcPr>
            <w:tcW w:w="4006" w:type="dxa"/>
          </w:tcPr>
          <w:p w:rsidR="0098221D" w:rsidRDefault="0098221D" w:rsidP="00992664">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عليّ</w:t>
            </w:r>
            <w:r>
              <w:rPr>
                <w:rtl/>
              </w:rPr>
              <w:t xml:space="preserve"> ».</w:t>
            </w:r>
          </w:p>
        </w:tc>
        <w:tc>
          <w:tcPr>
            <w:tcW w:w="4006" w:type="dxa"/>
          </w:tcPr>
          <w:p w:rsidR="0098221D" w:rsidRDefault="0098221D" w:rsidP="00992664">
            <w:pPr>
              <w:pStyle w:val="libFootnote0"/>
              <w:rPr>
                <w:rtl/>
              </w:rPr>
            </w:pPr>
            <w:r>
              <w:rPr>
                <w:rtl/>
              </w:rPr>
              <w:t xml:space="preserve">(11). </w:t>
            </w:r>
            <w:r w:rsidRPr="00020424">
              <w:rPr>
                <w:rtl/>
              </w:rPr>
              <w:t>في « بث ، بر » : « قلت</w:t>
            </w:r>
            <w:r>
              <w:rPr>
                <w:rtl/>
              </w:rPr>
              <w:t xml:space="preserve"> ».</w:t>
            </w:r>
          </w:p>
        </w:tc>
      </w:tr>
      <w:tr w:rsidR="0098221D" w:rsidTr="0098221D">
        <w:tc>
          <w:tcPr>
            <w:tcW w:w="4006" w:type="dxa"/>
          </w:tcPr>
          <w:p w:rsidR="0098221D" w:rsidRDefault="0098221D" w:rsidP="00992664">
            <w:pPr>
              <w:pStyle w:val="libFootnote0"/>
              <w:rPr>
                <w:rtl/>
              </w:rPr>
            </w:pPr>
            <w:r>
              <w:rPr>
                <w:rtl/>
              </w:rPr>
              <w:t xml:space="preserve">(12). </w:t>
            </w:r>
            <w:r w:rsidRPr="00020424">
              <w:rPr>
                <w:rtl/>
              </w:rPr>
              <w:t xml:space="preserve">في « بر ، بف » </w:t>
            </w:r>
            <w:r w:rsidRPr="00515444">
              <w:rPr>
                <w:rStyle w:val="libFootnoteBoldChar"/>
                <w:rtl/>
              </w:rPr>
              <w:t>والوافي</w:t>
            </w:r>
            <w:r w:rsidRPr="00020424">
              <w:rPr>
                <w:rtl/>
              </w:rPr>
              <w:t xml:space="preserve"> : « فقال</w:t>
            </w:r>
            <w:r>
              <w:rPr>
                <w:rtl/>
              </w:rPr>
              <w:t xml:space="preserve"> ».</w:t>
            </w:r>
          </w:p>
        </w:tc>
        <w:tc>
          <w:tcPr>
            <w:tcW w:w="4006" w:type="dxa"/>
          </w:tcPr>
          <w:p w:rsidR="0098221D" w:rsidRDefault="0098221D" w:rsidP="00992664">
            <w:pPr>
              <w:pStyle w:val="libFootnote0"/>
              <w:rPr>
                <w:rtl/>
              </w:rPr>
            </w:pPr>
            <w:r>
              <w:rPr>
                <w:rtl/>
              </w:rPr>
              <w:t xml:space="preserve">(13). </w:t>
            </w:r>
            <w:r w:rsidRPr="00020424">
              <w:rPr>
                <w:rtl/>
              </w:rPr>
              <w:t>في « بخ » :</w:t>
            </w:r>
            <w:r>
              <w:rPr>
                <w:rtl/>
              </w:rPr>
              <w:t xml:space="preserve"> - </w:t>
            </w:r>
            <w:r w:rsidRPr="00020424">
              <w:rPr>
                <w:rtl/>
              </w:rPr>
              <w:t>« على</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بخ ، بر » وحاشية « بف » : « بما</w:t>
      </w:r>
      <w:r w:rsidR="00992664">
        <w:rPr>
          <w:rtl/>
        </w:rPr>
        <w:t xml:space="preserve"> ».</w:t>
      </w:r>
    </w:p>
    <w:p w:rsidR="00992664" w:rsidRPr="00020424" w:rsidRDefault="00795177" w:rsidP="0098221D">
      <w:pPr>
        <w:pStyle w:val="libFootnote0"/>
        <w:rPr>
          <w:rtl/>
          <w:lang w:bidi="fa-IR"/>
        </w:rPr>
      </w:pPr>
      <w:r>
        <w:rPr>
          <w:rtl/>
        </w:rPr>
        <w:t>(15).</w:t>
      </w:r>
      <w:r w:rsidR="0014403D">
        <w:rPr>
          <w:rtl/>
        </w:rPr>
        <w:t xml:space="preserve"> </w:t>
      </w:r>
      <w:r w:rsidR="00992664" w:rsidRPr="00020424">
        <w:rPr>
          <w:rtl/>
        </w:rPr>
        <w:t>في « بر » وحاشية « بف »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بما منّ » بدل « على ما منّ به</w:t>
      </w:r>
      <w:r w:rsidR="00992664">
        <w:rPr>
          <w:rtl/>
        </w:rPr>
        <w:t xml:space="preserve"> ».</w:t>
      </w:r>
      <w:r w:rsidR="00992664" w:rsidRPr="00020424">
        <w:rPr>
          <w:rtl/>
        </w:rPr>
        <w:t xml:space="preserve"> وقال : « لعلّ المراد بآخر الحديث : إنّي أخاف من النعم أن لا ا</w:t>
      </w:r>
      <w:r w:rsidR="0098221D">
        <w:rPr>
          <w:rFonts w:hint="cs"/>
          <w:rtl/>
        </w:rPr>
        <w:t>ُ</w:t>
      </w:r>
      <w:r w:rsidR="00992664" w:rsidRPr="00020424">
        <w:rPr>
          <w:rtl/>
        </w:rPr>
        <w:t>خرج من حقوقها ، فأحمد ربّي بإخراج حقوقها الذي هو أيضاً ممّا منّ الله به عليّ</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الوافي</w:t>
      </w:r>
      <w:r w:rsidR="00992664" w:rsidRPr="00020424">
        <w:rPr>
          <w:rtl/>
        </w:rPr>
        <w:t xml:space="preserve"> ، ج 10 ، ص 475 ، ح 9918 ؛ </w:t>
      </w:r>
      <w:r w:rsidR="00992664" w:rsidRPr="0012008A">
        <w:rPr>
          <w:rStyle w:val="libFootnoteBoldChar"/>
          <w:rtl/>
        </w:rPr>
        <w:t>الوسائل</w:t>
      </w:r>
      <w:r w:rsidR="00992664" w:rsidRPr="00020424">
        <w:rPr>
          <w:rtl/>
        </w:rPr>
        <w:t xml:space="preserve"> ، ج 9 ، ص 43 ، ح 11481 ؛ </w:t>
      </w:r>
      <w:r w:rsidR="00992664" w:rsidRPr="0012008A">
        <w:rPr>
          <w:rStyle w:val="libFootnoteBoldChar"/>
          <w:rtl/>
        </w:rPr>
        <w:t>البحار</w:t>
      </w:r>
      <w:r w:rsidR="00992664" w:rsidRPr="00020424">
        <w:rPr>
          <w:rtl/>
        </w:rPr>
        <w:t xml:space="preserve"> ، ج 49 ، ص 105 ، ح 32.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سَأَلْتُ أَبَا عَبْدِ اللهِ </w:t>
      </w:r>
      <w:r w:rsidRPr="00005A81">
        <w:rPr>
          <w:rStyle w:val="libAlaemChar"/>
          <w:rtl/>
        </w:rPr>
        <w:t>عليه‌السلام</w:t>
      </w:r>
      <w:r w:rsidRPr="00020424">
        <w:rPr>
          <w:rtl/>
          <w:lang w:bidi="fa-IR"/>
        </w:rPr>
        <w:t xml:space="preserve"> عَنْ قَوْلِ اللهِ عَزَّ وَجَلَّ : </w:t>
      </w:r>
      <w:r w:rsidRPr="00005A81">
        <w:rPr>
          <w:rStyle w:val="libAlaemChar"/>
          <w:rtl/>
        </w:rPr>
        <w:t>(</w:t>
      </w:r>
      <w:r w:rsidRPr="004E5AB4">
        <w:rPr>
          <w:rStyle w:val="libAieChar"/>
          <w:rtl/>
        </w:rPr>
        <w:t xml:space="preserve"> سَيُطَوَّقُونَ ما بَخِلُوا بِهِ يَوْمَ الْقِيامَةِ </w:t>
      </w:r>
      <w:r w:rsidRPr="00005A81">
        <w:rPr>
          <w:rStyle w:val="libAlaemChar"/>
          <w:rtl/>
        </w:rPr>
        <w:t>)</w:t>
      </w:r>
      <w:r w:rsidRPr="00020424">
        <w:rPr>
          <w:rtl/>
          <w:lang w:bidi="fa-IR"/>
        </w:rPr>
        <w:t xml:space="preserve">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فَقَالَ : « يَا مُحَمَّدُ ، مَا مِنْ أَحَدٍ يَمْنَعُ </w:t>
      </w:r>
      <w:r w:rsidRPr="00A91B96">
        <w:rPr>
          <w:rStyle w:val="libFootnotenumChar"/>
          <w:rtl/>
        </w:rPr>
        <w:t>(2)</w:t>
      </w:r>
      <w:r w:rsidRPr="00020424">
        <w:rPr>
          <w:rtl/>
          <w:lang w:bidi="fa-IR"/>
        </w:rPr>
        <w:t xml:space="preserve"> مِن</w:t>
      </w:r>
      <w:r w:rsidR="00800539">
        <w:rPr>
          <w:rtl/>
          <w:lang w:bidi="fa-IR"/>
        </w:rPr>
        <w:t>ْ زَكَاةِ مَالِهِ شَيْئاً إِل</w:t>
      </w:r>
      <w:r w:rsidR="00800539">
        <w:rPr>
          <w:rFonts w:hint="cs"/>
          <w:rtl/>
          <w:lang w:bidi="fa-IR"/>
        </w:rPr>
        <w:t>َّ</w:t>
      </w:r>
      <w:r w:rsidR="00800539">
        <w:rPr>
          <w:rtl/>
          <w:lang w:bidi="fa-IR"/>
        </w:rPr>
        <w:t>ا</w:t>
      </w:r>
      <w:r w:rsidRPr="00020424">
        <w:rPr>
          <w:rtl/>
          <w:lang w:bidi="fa-IR"/>
        </w:rPr>
        <w:t xml:space="preserve"> جَعَلَ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ذلِكَ يَوْمَ الْقِيَامَةِ ثُعْبَاناً مِنْ نَارٍ مُطَوَّقاً فِي عُنُقِهِ ، يَنْهَشُ مِنْ لَحْمِهِ حَتّى يَفْرُغَ مِنَ الْحِسَابِ</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هُوَ </w:t>
      </w:r>
      <w:r w:rsidRPr="00A91B96">
        <w:rPr>
          <w:rStyle w:val="libFootnotenumChar"/>
          <w:rtl/>
        </w:rPr>
        <w:t>(3)</w:t>
      </w:r>
      <w:r w:rsidRPr="00020424">
        <w:rPr>
          <w:rtl/>
          <w:lang w:bidi="fa-IR"/>
        </w:rPr>
        <w:t xml:space="preserve"> قَوْلُ اللهِ عَزَّ وَجَلَّ : </w:t>
      </w:r>
      <w:r w:rsidRPr="00005A81">
        <w:rPr>
          <w:rStyle w:val="libAlaemChar"/>
          <w:rtl/>
        </w:rPr>
        <w:t>(</w:t>
      </w:r>
      <w:r w:rsidRPr="004E5AB4">
        <w:rPr>
          <w:rStyle w:val="libAieChar"/>
          <w:rtl/>
        </w:rPr>
        <w:t xml:space="preserve"> سَيُطَوَّقُونَ ما بَخِلُوا بِهِ يَوْمَ الْقِيامَةِ </w:t>
      </w:r>
      <w:r w:rsidRPr="00005A81">
        <w:rPr>
          <w:rStyle w:val="libAlaemChar"/>
          <w:rtl/>
        </w:rPr>
        <w:t>)</w:t>
      </w:r>
      <w:r w:rsidRPr="00020424">
        <w:rPr>
          <w:rtl/>
          <w:lang w:bidi="fa-IR"/>
        </w:rPr>
        <w:t xml:space="preserve"> يَعْنِي مَا بَخِلُوا بِهِ مِنَ الزَّكَاةِ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72886">
        <w:rPr>
          <w:rtl/>
        </w:rPr>
        <w:t>5741</w:t>
      </w:r>
      <w:r w:rsidRPr="001155DE">
        <w:rPr>
          <w:rStyle w:val="libBold2Char"/>
          <w:rtl/>
        </w:rPr>
        <w:t xml:space="preserve"> / 2.</w:t>
      </w:r>
      <w:r w:rsidRPr="00020424">
        <w:rPr>
          <w:rtl/>
          <w:lang w:bidi="fa-IR"/>
        </w:rPr>
        <w:t xml:space="preserve"> عَلِيُّ بْنُ إِبْرَاهِيمَ ، عَنْ أَبِيهِ ، عَنْ إِسْمَاعِيلَ بْنِ مَرَّارٍ ، عَنْ يُونُسَ ، عَنِ ابْنِ مُسْكَانَ يَرْفَعُهُ </w:t>
      </w:r>
      <w:r w:rsidRPr="00A91B96">
        <w:rPr>
          <w:rStyle w:val="libFootnotenumChar"/>
          <w:rtl/>
        </w:rPr>
        <w:t>(5)</w:t>
      </w:r>
      <w:r w:rsidRPr="00020424">
        <w:rPr>
          <w:rtl/>
          <w:lang w:bidi="fa-IR"/>
        </w:rPr>
        <w:t xml:space="preserve"> ، عَنْ </w:t>
      </w:r>
      <w:r w:rsidRPr="00A91B96">
        <w:rPr>
          <w:rStyle w:val="libFootnotenumChar"/>
          <w:rtl/>
        </w:rPr>
        <w:t>(6)</w:t>
      </w:r>
      <w:r w:rsidRPr="00020424">
        <w:rPr>
          <w:rtl/>
          <w:lang w:bidi="fa-IR"/>
        </w:rPr>
        <w:t xml:space="preserve"> رَجُلٍ :</w:t>
      </w:r>
    </w:p>
    <w:p w:rsidR="00992664" w:rsidRPr="00020424" w:rsidRDefault="00992664" w:rsidP="00992664">
      <w:pPr>
        <w:pStyle w:val="libNormal"/>
        <w:rPr>
          <w:rtl/>
          <w:lang w:bidi="fa-IR"/>
        </w:rPr>
      </w:pPr>
      <w:r w:rsidRPr="00020424">
        <w:rPr>
          <w:rtl/>
          <w:lang w:bidi="fa-IR"/>
        </w:rPr>
        <w:t xml:space="preserve">عَنْ </w:t>
      </w:r>
      <w:r w:rsidRPr="00A91B96">
        <w:rPr>
          <w:rStyle w:val="libFootnotenumChar"/>
          <w:rtl/>
        </w:rPr>
        <w:t>(7)</w:t>
      </w:r>
      <w:r w:rsidRPr="00020424">
        <w:rPr>
          <w:rtl/>
          <w:lang w:bidi="fa-IR"/>
        </w:rPr>
        <w:t xml:space="preserve"> أَبِي جَعْفَرٍ </w:t>
      </w:r>
      <w:r w:rsidRPr="00005A81">
        <w:rPr>
          <w:rStyle w:val="libAlaemChar"/>
          <w:rtl/>
        </w:rPr>
        <w:t>عليه‌السلام</w:t>
      </w:r>
      <w:r w:rsidRPr="00020424">
        <w:rPr>
          <w:rtl/>
          <w:lang w:bidi="fa-IR"/>
        </w:rPr>
        <w:t xml:space="preserve"> ، قَالَ : « بَيْنَا رَسُولُ اللهِ </w:t>
      </w:r>
      <w:r w:rsidR="00B42914" w:rsidRPr="00B42914">
        <w:rPr>
          <w:rStyle w:val="libAlaemChar"/>
          <w:rtl/>
        </w:rPr>
        <w:t>صلى‌الله‌عليه‌وآله‌</w:t>
      </w:r>
      <w:r w:rsidRPr="00020424">
        <w:rPr>
          <w:rtl/>
          <w:lang w:bidi="fa-IR"/>
        </w:rPr>
        <w:t xml:space="preserve"> فِي الْمَسْجِدِ إِذْ قَالَ : قُمْ يَا فُلَانُ ، قُمْ يَا فُلَانُ ، قُمْ يَا فُلَانُ </w:t>
      </w:r>
      <w:r w:rsidRPr="00A91B96">
        <w:rPr>
          <w:rStyle w:val="libFootnotenumChar"/>
          <w:rtl/>
        </w:rPr>
        <w:t>(8)</w:t>
      </w:r>
      <w:r w:rsidRPr="00020424">
        <w:rPr>
          <w:rtl/>
          <w:lang w:bidi="fa-IR"/>
        </w:rPr>
        <w:t xml:space="preserve"> حَتّى أَخْرَجَ خَمْسَةَ نَفَرٍ ، فَقَالَ : اخْرُجُوا مِنْ مَسْجِدِنَا ، لَاتُصَلُّوا فِيهِ وَأَنْتُمْ لَاتُزَكُّونَ</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172886">
        <w:rPr>
          <w:rtl/>
        </w:rPr>
        <w:t>5742</w:t>
      </w:r>
      <w:r w:rsidRPr="001155DE">
        <w:rPr>
          <w:rStyle w:val="libBold2Char"/>
          <w:rtl/>
        </w:rPr>
        <w:t xml:space="preserve"> / 3.</w:t>
      </w:r>
      <w:r w:rsidRPr="00020424">
        <w:rPr>
          <w:rtl/>
          <w:lang w:bidi="fa-IR"/>
        </w:rPr>
        <w:t xml:space="preserve"> يُونُسُ </w:t>
      </w:r>
      <w:r w:rsidRPr="00A91B96">
        <w:rPr>
          <w:rStyle w:val="libFootnotenumChar"/>
          <w:rtl/>
        </w:rPr>
        <w:t>(10)</w:t>
      </w:r>
      <w:r w:rsidRPr="00020424">
        <w:rPr>
          <w:rtl/>
          <w:lang w:bidi="fa-IR"/>
        </w:rPr>
        <w:t xml:space="preserve"> ، عَنْ عَلِيِّ بْنِ أَبِي حَمْزَةَ ، عَنْ أَبِي بَصِيرٍ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3621"/>
        <w:gridCol w:w="4391"/>
      </w:tblGrid>
      <w:tr w:rsidR="00800539" w:rsidTr="003E6EDD">
        <w:tc>
          <w:tcPr>
            <w:tcW w:w="3621" w:type="dxa"/>
          </w:tcPr>
          <w:p w:rsidR="00800539" w:rsidRDefault="00800539" w:rsidP="00992664">
            <w:pPr>
              <w:pStyle w:val="libFootnote0"/>
              <w:rPr>
                <w:rtl/>
              </w:rPr>
            </w:pPr>
            <w:r>
              <w:rPr>
                <w:rtl/>
              </w:rPr>
              <w:t xml:space="preserve">(1). </w:t>
            </w:r>
            <w:r w:rsidRPr="00020424">
              <w:rPr>
                <w:rtl/>
              </w:rPr>
              <w:t xml:space="preserve">آل عمران </w:t>
            </w:r>
            <w:r>
              <w:rPr>
                <w:rtl/>
              </w:rPr>
              <w:t xml:space="preserve">(3) </w:t>
            </w:r>
            <w:r w:rsidRPr="00020424">
              <w:rPr>
                <w:rtl/>
              </w:rPr>
              <w:t>: 180.</w:t>
            </w:r>
          </w:p>
        </w:tc>
        <w:tc>
          <w:tcPr>
            <w:tcW w:w="4391" w:type="dxa"/>
          </w:tcPr>
          <w:p w:rsidR="00800539" w:rsidRDefault="00800539" w:rsidP="00992664">
            <w:pPr>
              <w:pStyle w:val="libFootnote0"/>
              <w:rPr>
                <w:rtl/>
              </w:rPr>
            </w:pPr>
            <w:r>
              <w:rPr>
                <w:rtl/>
              </w:rPr>
              <w:t xml:space="preserve">(2). </w:t>
            </w:r>
            <w:r w:rsidR="003E6EDD">
              <w:rPr>
                <w:rtl/>
              </w:rPr>
              <w:t>في «ظ،بح» وحاشية «جن</w:t>
            </w:r>
            <w:r w:rsidRPr="00020424">
              <w:rPr>
                <w:rtl/>
              </w:rPr>
              <w:t xml:space="preserve">» </w:t>
            </w:r>
            <w:r w:rsidRPr="006C7A1F">
              <w:rPr>
                <w:rStyle w:val="libFootnoteBoldChar"/>
                <w:rtl/>
              </w:rPr>
              <w:t>وثواب الأعمال</w:t>
            </w:r>
            <w:r w:rsidR="003E6EDD">
              <w:rPr>
                <w:rtl/>
              </w:rPr>
              <w:t xml:space="preserve"> : «</w:t>
            </w:r>
            <w:r w:rsidRPr="00020424">
              <w:rPr>
                <w:rtl/>
              </w:rPr>
              <w:t>منع</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هو</w:t>
      </w:r>
      <w:r w:rsidR="00992664">
        <w:rPr>
          <w:rtl/>
        </w:rPr>
        <w:t xml:space="preserve"> ».</w:t>
      </w:r>
    </w:p>
    <w:p w:rsidR="00992664" w:rsidRPr="00020424" w:rsidRDefault="00795177" w:rsidP="0012008A">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278 ، ح 1 ، بسنده عن محمّد بن أبي عمير ، عن عبدالله بن مسكان ، عن محمّد بن مسلم ، عن أبي جعفر </w:t>
      </w:r>
      <w:r w:rsidR="00992664" w:rsidRPr="00D64ADA">
        <w:rPr>
          <w:rStyle w:val="libFootnoteAlaemChar"/>
          <w:rtl/>
        </w:rPr>
        <w:t>عليه‌السلام</w:t>
      </w:r>
      <w:r w:rsidR="00992664" w:rsidRPr="00020424">
        <w:rPr>
          <w:rtl/>
        </w:rPr>
        <w:t xml:space="preserve"> ، مع اختلاف يسير </w:t>
      </w:r>
      <w:r w:rsidR="0012008A">
        <w:rPr>
          <w:rFonts w:hint="cs"/>
          <w:rtl/>
        </w:rPr>
        <w:t>.</w:t>
      </w:r>
      <w:r w:rsidR="00992664" w:rsidRPr="0012008A">
        <w:rPr>
          <w:rStyle w:val="libFootnoteBoldChar"/>
          <w:rtl/>
        </w:rPr>
        <w:t>الوافي</w:t>
      </w:r>
      <w:r w:rsidR="00992664" w:rsidRPr="00020424">
        <w:rPr>
          <w:rtl/>
        </w:rPr>
        <w:t xml:space="preserve"> ، ج 10 ، ص 38 ، ح 9108 ؛ </w:t>
      </w:r>
      <w:r w:rsidR="00992664" w:rsidRPr="0012008A">
        <w:rPr>
          <w:rStyle w:val="libFootnoteBoldChar"/>
          <w:rtl/>
        </w:rPr>
        <w:t>الوسائل</w:t>
      </w:r>
      <w:r w:rsidR="00992664" w:rsidRPr="00020424">
        <w:rPr>
          <w:rtl/>
        </w:rPr>
        <w:t xml:space="preserve"> ، ج 9 ، ص 22 ، ذيل ح 11422 ؛ </w:t>
      </w:r>
      <w:r w:rsidR="00992664" w:rsidRPr="0012008A">
        <w:rPr>
          <w:rStyle w:val="libFootnoteBoldChar"/>
          <w:rtl/>
        </w:rPr>
        <w:t>البحار</w:t>
      </w:r>
      <w:r w:rsidR="00992664" w:rsidRPr="00020424">
        <w:rPr>
          <w:rtl/>
        </w:rPr>
        <w:t xml:space="preserve"> ، ج 7 ، ص 195 ، ح 65.</w:t>
      </w:r>
      <w:r w:rsidR="0012008A">
        <w:rPr>
          <w:rFonts w:hint="cs"/>
          <w:rtl/>
        </w:rPr>
        <w:t xml:space="preserve">     </w:t>
      </w: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يرفعه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2008A" w:rsidTr="0012008A">
        <w:tc>
          <w:tcPr>
            <w:tcW w:w="4006" w:type="dxa"/>
          </w:tcPr>
          <w:p w:rsidR="0012008A" w:rsidRDefault="0012008A" w:rsidP="00992664">
            <w:pPr>
              <w:pStyle w:val="libFootnote0"/>
              <w:rPr>
                <w:rtl/>
              </w:rPr>
            </w:pPr>
            <w:r>
              <w:rPr>
                <w:rtl/>
              </w:rPr>
              <w:t>(6). في «بث ،بخ ،بر » وحاشية «</w:t>
            </w:r>
            <w:r w:rsidRPr="00020424">
              <w:rPr>
                <w:rtl/>
              </w:rPr>
              <w:t>بح » : « إلى</w:t>
            </w:r>
            <w:r>
              <w:rPr>
                <w:rtl/>
              </w:rPr>
              <w:t xml:space="preserve"> ».</w:t>
            </w:r>
          </w:p>
        </w:tc>
        <w:tc>
          <w:tcPr>
            <w:tcW w:w="4006" w:type="dxa"/>
          </w:tcPr>
          <w:p w:rsidR="0012008A" w:rsidRDefault="0012008A" w:rsidP="00992664">
            <w:pPr>
              <w:pStyle w:val="libFootnote0"/>
              <w:rPr>
                <w:rtl/>
              </w:rPr>
            </w:pPr>
            <w:r>
              <w:rPr>
                <w:rtl/>
              </w:rPr>
              <w:t xml:space="preserve">(7). </w:t>
            </w:r>
            <w:r w:rsidRPr="00020424">
              <w:rPr>
                <w:rtl/>
              </w:rPr>
              <w:t>في</w:t>
            </w:r>
            <w:r w:rsidRPr="0012008A">
              <w:rPr>
                <w:rtl/>
              </w:rPr>
              <w:t xml:space="preserve"> الوافي </w:t>
            </w:r>
            <w:r w:rsidRPr="00020424">
              <w:rPr>
                <w:rtl/>
              </w:rPr>
              <w:t>: « إلى » بدل « عن رجل ، عن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قم يا فلان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111 ، ح 327 ، معلّقاً عن الكليني. </w:t>
      </w:r>
      <w:r w:rsidR="00992664" w:rsidRPr="0012008A">
        <w:rPr>
          <w:rStyle w:val="libFootnoteBoldChar"/>
          <w:rtl/>
        </w:rPr>
        <w:t>الفقيه</w:t>
      </w:r>
      <w:r w:rsidR="00992664" w:rsidRPr="00020424">
        <w:rPr>
          <w:rtl/>
        </w:rPr>
        <w:t xml:space="preserve"> ، ج 2 ، ص 12 ، ح 1592 ، معلّقاً عن ابن مسكان. </w:t>
      </w:r>
      <w:r w:rsidR="00992664" w:rsidRPr="0012008A">
        <w:rPr>
          <w:rStyle w:val="libFootnoteBoldChar"/>
          <w:rtl/>
        </w:rPr>
        <w:t>المقنعة</w:t>
      </w:r>
      <w:r w:rsidR="00992664" w:rsidRPr="00020424">
        <w:rPr>
          <w:rtl/>
        </w:rPr>
        <w:t xml:space="preserve"> ، ص 268 ، مرسلاً عن ابن مسكان ، عن أبي جعفر </w:t>
      </w:r>
      <w:r w:rsidR="00992664" w:rsidRPr="00D64ADA">
        <w:rPr>
          <w:rStyle w:val="libFootnoteAlaemChar"/>
          <w:rtl/>
        </w:rPr>
        <w:t>عليه‌السلام</w:t>
      </w:r>
      <w:r w:rsidR="00992664" w:rsidRPr="00020424">
        <w:rPr>
          <w:rtl/>
        </w:rPr>
        <w:t xml:space="preserve"> ، وفي الأخيرين مع اختلاف يسير </w:t>
      </w:r>
      <w:r w:rsidR="0012008A">
        <w:rPr>
          <w:rFonts w:hint="cs"/>
          <w:rtl/>
        </w:rPr>
        <w:t>.</w:t>
      </w:r>
      <w:r w:rsidR="00992664" w:rsidRPr="0012008A">
        <w:rPr>
          <w:rStyle w:val="libFootnoteBoldChar"/>
          <w:rtl/>
        </w:rPr>
        <w:t>الوافي</w:t>
      </w:r>
      <w:r w:rsidR="00992664" w:rsidRPr="00020424">
        <w:rPr>
          <w:rtl/>
        </w:rPr>
        <w:t xml:space="preserve"> ، ج 10 ، ص 36 ، ح 9100 ؛ </w:t>
      </w:r>
      <w:r w:rsidR="00992664" w:rsidRPr="0012008A">
        <w:rPr>
          <w:rStyle w:val="libFootnoteBoldChar"/>
          <w:rtl/>
        </w:rPr>
        <w:t>الوسائل</w:t>
      </w:r>
      <w:r w:rsidR="00992664" w:rsidRPr="00020424">
        <w:rPr>
          <w:rtl/>
        </w:rPr>
        <w:t xml:space="preserve"> ، ج 9 ، ص 24 ، ذيل ح 11426.</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السند معلّق على سابقه. ويروي عن يونس ، عليّ بن إبراهيم عن أبيه عن إسماعيل بن مرّار. وقد غفل الشيخ </w:t>
      </w:r>
      <w:r w:rsidR="0012008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 قَالَ : « مَنْ مَنَعَ قِيرَاطاً </w:t>
      </w:r>
      <w:r w:rsidRPr="00A91B96">
        <w:rPr>
          <w:rStyle w:val="libFootnotenumChar"/>
          <w:rtl/>
        </w:rPr>
        <w:t>(1)</w:t>
      </w:r>
      <w:r w:rsidRPr="00020424">
        <w:rPr>
          <w:rtl/>
          <w:lang w:bidi="fa-IR"/>
        </w:rPr>
        <w:t xml:space="preserve"> مِنَ الزَّكَاةِ ، فَلَيْسَ بِمُؤْمِنٍ وَلَامُسْلِمٍ ، وَهُوَ قَوْلُهُ عَزَّ وَجَلَّ : </w:t>
      </w:r>
      <w:r w:rsidRPr="00005A81">
        <w:rPr>
          <w:rStyle w:val="libAlaemChar"/>
          <w:rtl/>
        </w:rPr>
        <w:t>(</w:t>
      </w:r>
      <w:r w:rsidRPr="004E5AB4">
        <w:rPr>
          <w:rStyle w:val="libAieChar"/>
          <w:rtl/>
        </w:rPr>
        <w:t xml:space="preserve"> رَبِّ ارْجِعُونِ </w:t>
      </w:r>
      <w:r w:rsidR="0012008A">
        <w:rPr>
          <w:rStyle w:val="libAieChar"/>
          <w:rFonts w:hint="cs"/>
          <w:rtl/>
        </w:rPr>
        <w:t xml:space="preserve">* </w:t>
      </w:r>
      <w:r w:rsidRPr="004E5AB4">
        <w:rPr>
          <w:rStyle w:val="libAieChar"/>
          <w:rtl/>
        </w:rPr>
        <w:t xml:space="preserve">لَعَلِّي أَعْمَلُ صالِحاً فِيما تَرَكْتُ </w:t>
      </w:r>
      <w:r w:rsidRPr="00005A81">
        <w:rPr>
          <w:rStyle w:val="libAlaemChar"/>
          <w:rtl/>
        </w:rPr>
        <w:t>)</w:t>
      </w:r>
      <w:r w:rsidRPr="00020424">
        <w:rPr>
          <w:rtl/>
          <w:lang w:bidi="fa-IR"/>
        </w:rPr>
        <w:t xml:space="preserve">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12008A" w:rsidP="00992664">
      <w:pPr>
        <w:pStyle w:val="libNormal"/>
        <w:rPr>
          <w:rtl/>
          <w:lang w:bidi="fa-IR"/>
        </w:rPr>
      </w:pPr>
      <w:r>
        <w:rPr>
          <w:rFonts w:hint="cs"/>
          <w:rtl/>
          <w:lang w:bidi="fa-IR"/>
        </w:rPr>
        <w:t xml:space="preserve">* </w:t>
      </w:r>
      <w:r w:rsidR="00992664" w:rsidRPr="00020424">
        <w:rPr>
          <w:rtl/>
          <w:lang w:bidi="fa-IR"/>
        </w:rPr>
        <w:t>وَفِي رِوَايَةٍ أُخْرى : « وَلَاتُقْبَلُ لَهُ صَلَاةٌ</w:t>
      </w:r>
      <w:r w:rsidR="00992664">
        <w:rPr>
          <w:rtl/>
          <w:lang w:bidi="fa-IR"/>
        </w:rPr>
        <w:t xml:space="preserve"> ».</w:t>
      </w:r>
      <w:r w:rsidR="00992664" w:rsidRPr="00020424">
        <w:rPr>
          <w:rtl/>
          <w:lang w:bidi="fa-IR"/>
        </w:rPr>
        <w:t xml:space="preserve"> </w:t>
      </w:r>
      <w:r w:rsidR="00992664" w:rsidRPr="00A91B96">
        <w:rPr>
          <w:rStyle w:val="libFootnotenumChar"/>
          <w:rtl/>
        </w:rPr>
        <w:t>(4)</w:t>
      </w:r>
      <w:r w:rsidR="00992664" w:rsidRPr="00020424">
        <w:rPr>
          <w:rtl/>
          <w:lang w:bidi="fa-IR"/>
        </w:rPr>
        <w:t xml:space="preserve"> ‌</w:t>
      </w:r>
    </w:p>
    <w:p w:rsidR="00992664" w:rsidRPr="00020424" w:rsidRDefault="00992664" w:rsidP="00992664">
      <w:pPr>
        <w:pStyle w:val="libNormal"/>
        <w:rPr>
          <w:rtl/>
          <w:lang w:bidi="fa-IR"/>
        </w:rPr>
      </w:pPr>
      <w:r w:rsidRPr="00172886">
        <w:rPr>
          <w:rtl/>
        </w:rPr>
        <w:t>5743</w:t>
      </w:r>
      <w:r w:rsidRPr="001155DE">
        <w:rPr>
          <w:rStyle w:val="libBold2Char"/>
          <w:rtl/>
        </w:rPr>
        <w:t xml:space="preserve"> / 4.</w:t>
      </w:r>
      <w:r w:rsidRPr="00020424">
        <w:rPr>
          <w:rtl/>
          <w:lang w:bidi="fa-IR"/>
        </w:rPr>
        <w:t xml:space="preserve"> يُونُسُ </w:t>
      </w:r>
      <w:r w:rsidRPr="00A91B96">
        <w:rPr>
          <w:rStyle w:val="libFootnotenumChar"/>
          <w:rtl/>
        </w:rPr>
        <w:t>(5)</w:t>
      </w:r>
      <w:r w:rsidRPr="00020424">
        <w:rPr>
          <w:rtl/>
          <w:lang w:bidi="fa-IR"/>
        </w:rPr>
        <w:t xml:space="preserve">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مَا مِنْ ذِي زَكَاةِ مَالٍ </w:t>
      </w:r>
      <w:r w:rsidRPr="00A91B96">
        <w:rPr>
          <w:rStyle w:val="libFootnotenumChar"/>
          <w:rtl/>
        </w:rPr>
        <w:t>(6)</w:t>
      </w:r>
      <w:r w:rsidRPr="00020424">
        <w:rPr>
          <w:rtl/>
          <w:lang w:bidi="fa-IR"/>
        </w:rPr>
        <w:t xml:space="preserve"> : نَخْلٍ ، أَوْ زَرْعٍ ، أَوْ كَرْمٍ</w:t>
      </w:r>
      <w:r w:rsidR="0012008A">
        <w:rPr>
          <w:rtl/>
          <w:lang w:bidi="fa-IR"/>
        </w:rPr>
        <w:t xml:space="preserve"> يَمْنَعُ زَكَاةَ مَالِهِ إِل</w:t>
      </w:r>
      <w:r w:rsidR="0012008A">
        <w:rPr>
          <w:rFonts w:hint="cs"/>
          <w:rtl/>
          <w:lang w:bidi="fa-IR"/>
        </w:rPr>
        <w:t>َّ</w:t>
      </w:r>
      <w:r w:rsidR="0012008A">
        <w:rPr>
          <w:rtl/>
          <w:lang w:bidi="fa-IR"/>
        </w:rPr>
        <w:t>ا</w:t>
      </w:r>
      <w:r w:rsidRPr="00020424">
        <w:rPr>
          <w:rtl/>
          <w:lang w:bidi="fa-IR"/>
        </w:rPr>
        <w:t xml:space="preserve"> قَلَّدَهُ اللهُ تُرْبَةَ أَرْضِهِ ، يُطَوَّقُ بِهَا </w:t>
      </w:r>
      <w:r w:rsidRPr="00A91B96">
        <w:rPr>
          <w:rStyle w:val="libFootnotenumChar"/>
          <w:rtl/>
        </w:rPr>
        <w:t>(7)</w:t>
      </w:r>
      <w:r w:rsidRPr="00020424">
        <w:rPr>
          <w:rtl/>
          <w:lang w:bidi="fa-IR"/>
        </w:rPr>
        <w:t xml:space="preserve"> مِنْ سَبْعِ أَرَضِينَ إِلى يَوْمِ الْقِيَامَةِ</w:t>
      </w:r>
      <w:r>
        <w:rPr>
          <w:rtl/>
          <w:lang w:bidi="fa-IR"/>
        </w:rPr>
        <w:t>».</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172886">
        <w:rPr>
          <w:rtl/>
        </w:rPr>
        <w:t>5744</w:t>
      </w:r>
      <w:r w:rsidRPr="001155DE">
        <w:rPr>
          <w:rStyle w:val="libBold2Char"/>
          <w:rtl/>
        </w:rPr>
        <w:t xml:space="preserve"> / 5.</w:t>
      </w:r>
      <w:r w:rsidRPr="00020424">
        <w:rPr>
          <w:rtl/>
          <w:lang w:bidi="fa-IR"/>
        </w:rPr>
        <w:t xml:space="preserve"> عِدَّةٌ مِنْ أَصْحَابِنَا ، عَنْ سَهْلِ بْنِ زِيَادٍ ، عَنْ مُحَمَّدِ بْنِ الْحَسَنِ بْنِ شَمُّونٍ ، عَنْ‌</w:t>
      </w:r>
    </w:p>
    <w:p w:rsidR="00992664" w:rsidRPr="00020424" w:rsidRDefault="00992664" w:rsidP="00992664">
      <w:pPr>
        <w:pStyle w:val="libLine"/>
        <w:rPr>
          <w:rtl/>
          <w:lang w:bidi="fa-IR"/>
        </w:rPr>
      </w:pPr>
      <w:r w:rsidRPr="00020424">
        <w:rPr>
          <w:rtl/>
          <w:lang w:bidi="fa-IR"/>
        </w:rPr>
        <w:t>__________________</w:t>
      </w:r>
    </w:p>
    <w:p w:rsidR="00992664" w:rsidRPr="00020424" w:rsidRDefault="0012008A" w:rsidP="00992664">
      <w:pPr>
        <w:pStyle w:val="libFootnote0"/>
        <w:rPr>
          <w:rtl/>
          <w:lang w:bidi="fa-IR"/>
        </w:rPr>
      </w:pPr>
      <w:r>
        <w:rPr>
          <w:rFonts w:hint="cs"/>
          <w:rtl/>
        </w:rPr>
        <w:t xml:space="preserve">= </w:t>
      </w:r>
      <w:r w:rsidR="00992664" w:rsidRPr="0012008A">
        <w:rPr>
          <w:rStyle w:val="libFootnoteBoldChar"/>
          <w:rtl/>
        </w:rPr>
        <w:t>الطوسي</w:t>
      </w:r>
      <w:r w:rsidR="00992664" w:rsidRPr="00020424">
        <w:rPr>
          <w:rtl/>
        </w:rPr>
        <w:t xml:space="preserve"> عن وقوع التعليق في السند وقال في </w:t>
      </w:r>
      <w:r w:rsidR="00992664" w:rsidRPr="0012008A">
        <w:rPr>
          <w:rStyle w:val="libFootnoteBoldChar"/>
          <w:rtl/>
        </w:rPr>
        <w:t>التهذيب</w:t>
      </w:r>
      <w:r w:rsidR="00992664" w:rsidRPr="00020424">
        <w:rPr>
          <w:rtl/>
        </w:rPr>
        <w:t xml:space="preserve"> ، ج 4 ، ص 111 ، ح 325 : « محمّد بن يعقوب مرسلاً عن يونس بن عبدالرحمن ، عن عليّ بن أبي حمزة</w:t>
      </w:r>
      <w:r w:rsidR="00992664">
        <w:rPr>
          <w:rtl/>
        </w:rPr>
        <w:t xml:space="preserve"> ..</w:t>
      </w:r>
      <w:r w:rsidR="00992664" w:rsidRPr="00020424">
        <w:rPr>
          <w:rtl/>
        </w:rPr>
        <w:t>.</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قال الجوهري : « القِيراط : نصف دانق ، وأصله : قِرّاط بالتشديد ؛ لأنّ جمعه</w:t>
      </w:r>
      <w:r w:rsidR="0012008A">
        <w:rPr>
          <w:rtl/>
        </w:rPr>
        <w:t xml:space="preserve"> قراريط » ، وقال ابن الأثير : «</w:t>
      </w:r>
      <w:r w:rsidR="00992664" w:rsidRPr="00020424">
        <w:rPr>
          <w:rtl/>
        </w:rPr>
        <w:t>القيراط : جزء من أجزاء الدينار ، وهو نصف عشره في أكثر البلاد ، وأهل الشام يجعلونه جزءاً من أربعة وعشرين ، والياء فيه بدل من الراء ؛ فإنّ أصله : قِرّاط</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1151 ؛ </w:t>
      </w:r>
      <w:r w:rsidR="00992664" w:rsidRPr="0012008A">
        <w:rPr>
          <w:rStyle w:val="libFootnoteBoldChar"/>
          <w:rtl/>
        </w:rPr>
        <w:t>النهاية</w:t>
      </w:r>
      <w:r w:rsidR="0012008A">
        <w:rPr>
          <w:rtl/>
        </w:rPr>
        <w:t xml:space="preserve"> ، ج 4 ، ص 42 (</w:t>
      </w:r>
      <w:r w:rsidR="00992664" w:rsidRPr="00020424">
        <w:rPr>
          <w:rtl/>
        </w:rPr>
        <w:t>قرط )</w:t>
      </w:r>
      <w:r w:rsidR="00992664">
        <w:rPr>
          <w:rtl/>
        </w:rPr>
        <w:t>.</w:t>
      </w:r>
    </w:p>
    <w:p w:rsidR="00992664" w:rsidRPr="00020424" w:rsidRDefault="00795177" w:rsidP="00D64ADA">
      <w:pPr>
        <w:pStyle w:val="libFootnote0"/>
        <w:rPr>
          <w:rtl/>
          <w:lang w:bidi="fa-IR"/>
        </w:rPr>
      </w:pPr>
      <w:r>
        <w:rPr>
          <w:rtl/>
        </w:rPr>
        <w:t>(2).</w:t>
      </w:r>
      <w:r w:rsidR="0014403D">
        <w:rPr>
          <w:rtl/>
        </w:rPr>
        <w:t xml:space="preserve"> </w:t>
      </w:r>
      <w:r w:rsidR="00992664" w:rsidRPr="00020424">
        <w:rPr>
          <w:rtl/>
        </w:rPr>
        <w:t>المؤمنون (23) : 99</w:t>
      </w:r>
      <w:r w:rsidR="00992664">
        <w:rPr>
          <w:rtl/>
        </w:rPr>
        <w:t xml:space="preserve"> </w:t>
      </w:r>
      <w:r w:rsidR="009B673F">
        <w:rPr>
          <w:rtl/>
        </w:rPr>
        <w:t>-</w:t>
      </w:r>
      <w:r w:rsidR="00992664">
        <w:rPr>
          <w:rtl/>
        </w:rPr>
        <w:t xml:space="preserve"> </w:t>
      </w:r>
      <w:r w:rsidR="00992664" w:rsidRPr="00020424">
        <w:rPr>
          <w:rtl/>
        </w:rPr>
        <w:t>100.</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111 ، ح 325 ، معلّقاً عن الكليني. وفي </w:t>
      </w:r>
      <w:r w:rsidR="00992664" w:rsidRPr="0012008A">
        <w:rPr>
          <w:rStyle w:val="libFootnoteBoldChar"/>
          <w:rtl/>
        </w:rPr>
        <w:t>الفقيه</w:t>
      </w:r>
      <w:r w:rsidR="00992664" w:rsidRPr="00020424">
        <w:rPr>
          <w:rtl/>
        </w:rPr>
        <w:t xml:space="preserve"> ، ج 2 ، ص 11 ، ح 1591 ؛ وص 12 ، ح 1593 ، معلّقاً عن أبي بصير. </w:t>
      </w:r>
      <w:r w:rsidR="00992664" w:rsidRPr="00D64ADA">
        <w:rPr>
          <w:rStyle w:val="libFootnoteBoldChar"/>
          <w:rtl/>
        </w:rPr>
        <w:t>وفيه</w:t>
      </w:r>
      <w:r w:rsidR="00992664" w:rsidRPr="00020424">
        <w:rPr>
          <w:rtl/>
        </w:rPr>
        <w:t xml:space="preserve"> ، ج 4 ، ص 365 ، ضمن الحديث الطويل 5762 ، بسند آخر عن جعفر بن محمّد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D64ADA" w:rsidRPr="00D64ADA">
        <w:rPr>
          <w:rStyle w:val="libFootnoteBoldChar"/>
          <w:rtl/>
        </w:rPr>
        <w:t>المحاسن</w:t>
      </w:r>
      <w:r w:rsidR="00992664" w:rsidRPr="00020424">
        <w:rPr>
          <w:rtl/>
        </w:rPr>
        <w:t xml:space="preserve"> ، ص 88 ، كتاب عقاب الأعمال ، صدر ح 29 ؛ </w:t>
      </w:r>
      <w:r w:rsidR="00992664" w:rsidRPr="006C7A1F">
        <w:rPr>
          <w:rStyle w:val="libFootnoteBoldChar"/>
          <w:rtl/>
        </w:rPr>
        <w:t>وثواب الأعمال</w:t>
      </w:r>
      <w:r w:rsidR="00992664" w:rsidRPr="00020424">
        <w:rPr>
          <w:rtl/>
        </w:rPr>
        <w:t xml:space="preserve"> ، ص 281 ، صدر ح 8 ، بسندهما عن بعض أصحابنا ، من دون الإسناد إلى المعصوم </w:t>
      </w:r>
      <w:r w:rsidR="00992664" w:rsidRPr="00D64ADA">
        <w:rPr>
          <w:rStyle w:val="libFootnoteAlaemChar"/>
          <w:rtl/>
        </w:rPr>
        <w:t>عليه‌السلام</w:t>
      </w:r>
      <w:r w:rsidR="00992664" w:rsidRPr="00020424">
        <w:rPr>
          <w:rtl/>
        </w:rPr>
        <w:t xml:space="preserve">. وفي </w:t>
      </w:r>
      <w:r w:rsidR="00992664" w:rsidRPr="00D64ADA">
        <w:rPr>
          <w:rStyle w:val="libFootnoteBoldChar"/>
          <w:rtl/>
        </w:rPr>
        <w:t>تفسير القمّي</w:t>
      </w:r>
      <w:r w:rsidR="00992664" w:rsidRPr="00020424">
        <w:rPr>
          <w:rtl/>
        </w:rPr>
        <w:t xml:space="preserve"> ، ج 2 ، ص 88 ؛ </w:t>
      </w:r>
      <w:r w:rsidR="00992664" w:rsidRPr="00DE3E80">
        <w:rPr>
          <w:rStyle w:val="libFootnoteBoldChar"/>
          <w:rtl/>
        </w:rPr>
        <w:t>والمقنعة</w:t>
      </w:r>
      <w:r w:rsidR="00992664" w:rsidRPr="00172886">
        <w:rPr>
          <w:rtl/>
        </w:rPr>
        <w:t xml:space="preserve"> </w:t>
      </w:r>
      <w:r w:rsidR="00992664" w:rsidRPr="00020424">
        <w:rPr>
          <w:rtl/>
        </w:rPr>
        <w:t xml:space="preserve">، ص 268 ، مرسلاً ، وفي الخمسة الأخيرة إلى قوله : « فليس بمؤمن ولا مسلم » مع اختلاف يسير </w:t>
      </w:r>
      <w:r w:rsidR="00E67853">
        <w:rPr>
          <w:rFonts w:hint="cs"/>
          <w:rtl/>
        </w:rPr>
        <w:t>.</w:t>
      </w:r>
      <w:r w:rsidR="00992664" w:rsidRPr="00E67853">
        <w:rPr>
          <w:rStyle w:val="libFootnoteBoldChar"/>
          <w:rtl/>
        </w:rPr>
        <w:t>الوافى</w:t>
      </w:r>
      <w:r w:rsidR="00992664" w:rsidRPr="00020424">
        <w:rPr>
          <w:rtl/>
        </w:rPr>
        <w:t xml:space="preserve"> ، ج 10 ، ص 36 ، ح 9101 ؛ </w:t>
      </w:r>
      <w:r w:rsidR="00992664" w:rsidRPr="0012008A">
        <w:rPr>
          <w:rStyle w:val="libFootnoteBoldChar"/>
          <w:rtl/>
        </w:rPr>
        <w:t>الوسائل</w:t>
      </w:r>
      <w:r w:rsidR="00992664" w:rsidRPr="00020424">
        <w:rPr>
          <w:rtl/>
        </w:rPr>
        <w:t xml:space="preserve"> ، ج 9 ، ص 32 ، ح 11451.</w:t>
      </w:r>
    </w:p>
    <w:p w:rsidR="00992664" w:rsidRPr="00020424" w:rsidRDefault="00795177" w:rsidP="00E67853">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11 ، ذيل ح 1591 ؛ </w:t>
      </w:r>
      <w:r w:rsidR="00992664" w:rsidRPr="0012008A">
        <w:rPr>
          <w:rStyle w:val="libFootnoteBoldChar"/>
          <w:rtl/>
        </w:rPr>
        <w:t>التهذيب</w:t>
      </w:r>
      <w:r w:rsidR="00992664" w:rsidRPr="00020424">
        <w:rPr>
          <w:rtl/>
        </w:rPr>
        <w:t xml:space="preserve"> ، ج 4 ، ص 111 ، ح 326 ، وفيهما : « وفي رواية ا</w:t>
      </w:r>
      <w:r w:rsidR="00E67853">
        <w:rPr>
          <w:rFonts w:hint="cs"/>
          <w:rtl/>
        </w:rPr>
        <w:t>ُ</w:t>
      </w:r>
      <w:r w:rsidR="00992664" w:rsidRPr="00020424">
        <w:rPr>
          <w:rtl/>
        </w:rPr>
        <w:t>خرى : ولا تقبل له صلاة</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268 ، مرسلاً ، مع اختلاف يسير </w:t>
      </w:r>
      <w:r w:rsidR="00E67853">
        <w:rPr>
          <w:rFonts w:hint="cs"/>
          <w:rtl/>
        </w:rPr>
        <w:t>.</w:t>
      </w:r>
      <w:r w:rsidR="00992664" w:rsidRPr="0012008A">
        <w:rPr>
          <w:rStyle w:val="libFootnoteBoldChar"/>
          <w:rtl/>
        </w:rPr>
        <w:t>الوافي</w:t>
      </w:r>
      <w:r w:rsidR="00992664" w:rsidRPr="00020424">
        <w:rPr>
          <w:rtl/>
        </w:rPr>
        <w:t xml:space="preserve"> ، ج 10 ، ص 36 ، ح 9102 ؛ </w:t>
      </w:r>
      <w:r w:rsidR="00992664" w:rsidRPr="0012008A">
        <w:rPr>
          <w:rStyle w:val="libFootnoteBoldChar"/>
          <w:rtl/>
        </w:rPr>
        <w:t>الوسائل</w:t>
      </w:r>
      <w:r w:rsidR="00992664" w:rsidRPr="00020424">
        <w:rPr>
          <w:rtl/>
        </w:rPr>
        <w:t xml:space="preserve"> ، ج 9 ، ص 32 ، ح 11452.</w:t>
      </w:r>
      <w:r w:rsidR="003E6EDD">
        <w:rPr>
          <w:rFonts w:hint="cs"/>
          <w:rtl/>
        </w:rPr>
        <w:t xml:space="preserve">    </w:t>
      </w:r>
      <w:r w:rsidR="00E67853">
        <w:rPr>
          <w:rFonts w:hint="cs"/>
          <w:rtl/>
        </w:rPr>
        <w:t xml:space="preserve">  </w:t>
      </w:r>
      <w:r>
        <w:rPr>
          <w:rtl/>
        </w:rPr>
        <w:t>(5).</w:t>
      </w:r>
      <w:r w:rsidR="0014403D">
        <w:rPr>
          <w:rtl/>
        </w:rPr>
        <w:t xml:space="preserve"> </w:t>
      </w:r>
      <w:r w:rsidR="00992664" w:rsidRPr="00020424">
        <w:rPr>
          <w:rtl/>
        </w:rPr>
        <w:t>السند معلّق كسابقه.</w:t>
      </w:r>
    </w:p>
    <w:tbl>
      <w:tblPr>
        <w:tblStyle w:val="TableGrid"/>
        <w:bidiVisual/>
        <w:tblW w:w="0" w:type="auto"/>
        <w:tblLook w:val="04A0" w:firstRow="1" w:lastRow="0" w:firstColumn="1" w:lastColumn="0" w:noHBand="0" w:noVBand="1"/>
      </w:tblPr>
      <w:tblGrid>
        <w:gridCol w:w="4006"/>
        <w:gridCol w:w="4006"/>
      </w:tblGrid>
      <w:tr w:rsidR="00E67853" w:rsidTr="00E67853">
        <w:tc>
          <w:tcPr>
            <w:tcW w:w="4006" w:type="dxa"/>
          </w:tcPr>
          <w:p w:rsidR="00E67853" w:rsidRDefault="00E67853" w:rsidP="00992664">
            <w:pPr>
              <w:pStyle w:val="libFootnote0"/>
              <w:rPr>
                <w:rtl/>
              </w:rPr>
            </w:pPr>
            <w:r>
              <w:rPr>
                <w:rtl/>
              </w:rPr>
              <w:t xml:space="preserve">(6). </w:t>
            </w:r>
            <w:r w:rsidRPr="00020424">
              <w:rPr>
                <w:rtl/>
              </w:rPr>
              <w:t>في « بر » :</w:t>
            </w:r>
            <w:r>
              <w:rPr>
                <w:rtl/>
              </w:rPr>
              <w:t xml:space="preserve"> - </w:t>
            </w:r>
            <w:r w:rsidRPr="00020424">
              <w:rPr>
                <w:rtl/>
              </w:rPr>
              <w:t>« مال</w:t>
            </w:r>
            <w:r>
              <w:rPr>
                <w:rtl/>
              </w:rPr>
              <w:t xml:space="preserve"> ».</w:t>
            </w:r>
          </w:p>
        </w:tc>
        <w:tc>
          <w:tcPr>
            <w:tcW w:w="4006" w:type="dxa"/>
          </w:tcPr>
          <w:p w:rsidR="00E67853" w:rsidRDefault="00E67853" w:rsidP="00992664">
            <w:pPr>
              <w:pStyle w:val="libFootnote0"/>
              <w:rPr>
                <w:rtl/>
              </w:rPr>
            </w:pPr>
            <w:r>
              <w:rPr>
                <w:rtl/>
              </w:rPr>
              <w:t>(7). في «</w:t>
            </w:r>
            <w:r w:rsidRPr="00020424">
              <w:rPr>
                <w:rtl/>
              </w:rPr>
              <w:t>ظ،ى،بح،</w:t>
            </w:r>
            <w:r>
              <w:rPr>
                <w:rtl/>
              </w:rPr>
              <w:t>بس</w:t>
            </w:r>
            <w:r w:rsidRPr="00020424">
              <w:rPr>
                <w:rtl/>
              </w:rPr>
              <w:t>،جن»:«به</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172886">
        <w:rPr>
          <w:rtl/>
        </w:rPr>
        <w:t>الوافى</w:t>
      </w:r>
      <w:r w:rsidR="00992664" w:rsidRPr="00020424">
        <w:rPr>
          <w:rtl/>
        </w:rPr>
        <w:t xml:space="preserve"> ، ج 10 ، ص 38 ، ح 9106 ؛ </w:t>
      </w:r>
      <w:r w:rsidR="00992664" w:rsidRPr="0012008A">
        <w:rPr>
          <w:rStyle w:val="libFootnoteBoldChar"/>
          <w:rtl/>
        </w:rPr>
        <w:t>الوسائل</w:t>
      </w:r>
      <w:r w:rsidR="00992664" w:rsidRPr="00020424">
        <w:rPr>
          <w:rtl/>
        </w:rPr>
        <w:t xml:space="preserve"> ، ج 9 ، ص 26 ، ح 11432.</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عَبْدِ اللهِ بْنِ عَبْدِ الرَّحْمنِ </w:t>
      </w:r>
      <w:r w:rsidRPr="00A91B96">
        <w:rPr>
          <w:rStyle w:val="libFootnotenumChar"/>
          <w:rtl/>
        </w:rPr>
        <w:t>(1)</w:t>
      </w:r>
      <w:r w:rsidRPr="00020424">
        <w:rPr>
          <w:rtl/>
          <w:lang w:bidi="fa-IR"/>
        </w:rPr>
        <w:t xml:space="preserve"> ، عَنْ مَالِكِ بْنِ عَطِيَّةَ ، عَنْ أَبَانِ بْنِ تَغْلِبَ ، قَالَ :</w:t>
      </w:r>
    </w:p>
    <w:p w:rsidR="00992664" w:rsidRPr="00020424" w:rsidRDefault="00992664" w:rsidP="00992664">
      <w:pPr>
        <w:pStyle w:val="libNormal"/>
        <w:rPr>
          <w:rtl/>
          <w:lang w:bidi="fa-IR"/>
        </w:rPr>
      </w:pPr>
      <w:r w:rsidRPr="00020424">
        <w:rPr>
          <w:rtl/>
          <w:lang w:bidi="fa-IR"/>
        </w:rPr>
        <w:t xml:space="preserve">قَالَ لِي </w:t>
      </w:r>
      <w:r w:rsidRPr="00A91B96">
        <w:rPr>
          <w:rStyle w:val="libFootnotenumChar"/>
          <w:rtl/>
        </w:rPr>
        <w:t>(2)</w:t>
      </w:r>
      <w:r w:rsidRPr="00020424">
        <w:rPr>
          <w:rtl/>
          <w:lang w:bidi="fa-IR"/>
        </w:rPr>
        <w:t xml:space="preserve"> أَبُو عَبْدِ اللهِ </w:t>
      </w:r>
      <w:r w:rsidRPr="00005A81">
        <w:rPr>
          <w:rStyle w:val="libAlaemChar"/>
          <w:rtl/>
        </w:rPr>
        <w:t>عليه‌السلام</w:t>
      </w:r>
      <w:r w:rsidRPr="00020424">
        <w:rPr>
          <w:rtl/>
          <w:lang w:bidi="fa-IR"/>
        </w:rPr>
        <w:t xml:space="preserve"> : « دَمَانِ فِي الْإِسْلَامِ حَلَالٌ مِنَ اللهِ </w:t>
      </w:r>
      <w:r w:rsidRPr="00A91B96">
        <w:rPr>
          <w:rStyle w:val="libFootnotenumChar"/>
          <w:rtl/>
        </w:rPr>
        <w:t>(3)</w:t>
      </w:r>
      <w:r w:rsidRPr="00020424">
        <w:rPr>
          <w:rtl/>
          <w:lang w:bidi="fa-IR"/>
        </w:rPr>
        <w:t xml:space="preserve"> لَايَقْضِي فِيهِمَا أَحَدٌ </w:t>
      </w:r>
      <w:r w:rsidRPr="00A91B96">
        <w:rPr>
          <w:rStyle w:val="libFootnotenumChar"/>
          <w:rtl/>
        </w:rPr>
        <w:t>(4)</w:t>
      </w:r>
      <w:r w:rsidRPr="00020424">
        <w:rPr>
          <w:rtl/>
          <w:lang w:bidi="fa-IR"/>
        </w:rPr>
        <w:t xml:space="preserve"> حَتّى يَبْعَثَ اللهُ قَائِمَنَا أَهْلَ الْبَيْتِ ، فَإِذَا بَعَثَ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قَائِمَنَا أَهْلَ الْبَيْتِ ، حَكَمَ فِيهِمَا بِحُكْمِ اللهِ ، لَايُرِيدُ عَلَيْهِمَا بَيِّنَةً : الزَّانِي الْمُحْصَنُ يَرْجُمُهُ ، وَمَانِعُ الزَّكَاةِ يَضْرِبُ عُنُقَهُ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p>
    <w:p w:rsidR="00992664" w:rsidRPr="00020424" w:rsidRDefault="00E67853" w:rsidP="00992664">
      <w:pPr>
        <w:pStyle w:val="libNormal"/>
        <w:rPr>
          <w:rtl/>
          <w:lang w:bidi="fa-IR"/>
        </w:rPr>
      </w:pPr>
      <w:r>
        <w:rPr>
          <w:rFonts w:hint="cs"/>
          <w:rtl/>
          <w:lang w:bidi="fa-IR"/>
        </w:rPr>
        <w:t xml:space="preserve">* </w:t>
      </w:r>
      <w:r w:rsidR="00992664" w:rsidRPr="00020424">
        <w:rPr>
          <w:rtl/>
          <w:lang w:bidi="fa-IR"/>
        </w:rPr>
        <w:t>عِدَّةٌ مِنْ أَصْحَابِنَا ، عَنْ أَحْمَدَ بْنِ مُحَمَّدِ بْنِ خَالِدٍ ، عَنْ مُحَمَّدِ بْنِ عَلِيٍّ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الخبر رواه البرقي في </w:t>
      </w:r>
      <w:r w:rsidR="00D64ADA" w:rsidRPr="00D64ADA">
        <w:rPr>
          <w:rStyle w:val="libFootnoteBoldChar"/>
          <w:rtl/>
        </w:rPr>
        <w:t>المحاسن</w:t>
      </w:r>
      <w:r w:rsidR="00992664" w:rsidRPr="00020424">
        <w:rPr>
          <w:rtl/>
        </w:rPr>
        <w:t xml:space="preserve"> ، ج 1 ، ص 87 ، ح 28 ، عن محمّد بن عليّ ، عن موسى بن سعدان ، عن عبدالله بن القاسم ، عن مالك بن عطيّة. وإلى ذلك يشير ما يأتي في ذيل الخبر من قول المصنّف : « عدّة من أصحابنا إلى نحوه</w:t>
      </w:r>
      <w:r w:rsidR="00992664">
        <w:rPr>
          <w:rtl/>
        </w:rPr>
        <w:t xml:space="preserve"> ».</w:t>
      </w:r>
    </w:p>
    <w:p w:rsidR="00992664" w:rsidRPr="00020424" w:rsidRDefault="00992664" w:rsidP="00AD1543">
      <w:pPr>
        <w:pStyle w:val="libFootnote0"/>
        <w:rPr>
          <w:rtl/>
          <w:lang w:bidi="fa-IR"/>
        </w:rPr>
      </w:pPr>
      <w:r w:rsidRPr="00E67853">
        <w:rPr>
          <w:rtl/>
        </w:rPr>
        <w:t xml:space="preserve">وعبدالله بن عبدالرحمن هذا من رواة عبدالله بن القاسم ؛ فقد روى محمّد بن الحسن بن شمّون عن عبدالله بن عبدالرحمن كتاب عبدالله بن القاسم ، وتكرّر هذا الارتباط في بعض الأسناد </w:t>
      </w:r>
      <w:r w:rsidR="009B673F" w:rsidRPr="00E67853">
        <w:rPr>
          <w:rtl/>
        </w:rPr>
        <w:t>-</w:t>
      </w:r>
      <w:r w:rsidRPr="00E67853">
        <w:rPr>
          <w:rtl/>
        </w:rPr>
        <w:t xml:space="preserve"> فلا يبعد. سقوط « عن عبدالله بن القاسم » بين عبدالله بن عبدالرحمن وبين مالك بن عطيّة في سندنا هذا. راجع : </w:t>
      </w:r>
      <w:r w:rsidRPr="00172886">
        <w:rPr>
          <w:rtl/>
        </w:rPr>
        <w:t>رجال النجاشي</w:t>
      </w:r>
      <w:r w:rsidRPr="00E67853">
        <w:rPr>
          <w:rtl/>
        </w:rPr>
        <w:t xml:space="preserve"> ، ص 226 ، الرقم 594 ؛ </w:t>
      </w:r>
      <w:r w:rsidRPr="00172886">
        <w:rPr>
          <w:rtl/>
        </w:rPr>
        <w:t>معجم رجال الحديث</w:t>
      </w:r>
      <w:r w:rsidRPr="00E67853">
        <w:rPr>
          <w:rtl/>
        </w:rPr>
        <w:t xml:space="preserve"> ، ج 10 ، ص 484 و486 ويؤكِّد ذلك عدم ثبوت رواية عبدالله بن عبدالرحمن عن مالك بن عطيّة في موضع.</w:t>
      </w:r>
      <w:r w:rsidR="00AD1543">
        <w:rPr>
          <w:rFonts w:hint="cs"/>
          <w:rtl/>
        </w:rPr>
        <w:t xml:space="preserve">                                                        </w:t>
      </w:r>
      <w:r w:rsidR="00795177">
        <w:rPr>
          <w:rtl/>
        </w:rPr>
        <w:t>(2).</w:t>
      </w:r>
      <w:r w:rsidR="0014403D">
        <w:rPr>
          <w:rtl/>
        </w:rPr>
        <w:t xml:space="preserve"> </w:t>
      </w:r>
      <w:r w:rsidR="00AD1543">
        <w:rPr>
          <w:rtl/>
        </w:rPr>
        <w:t>في</w:t>
      </w:r>
      <w:r w:rsidRPr="00020424">
        <w:rPr>
          <w:rtl/>
        </w:rPr>
        <w:t>«بر</w:t>
      </w:r>
      <w:r w:rsidR="00AD1543">
        <w:rPr>
          <w:rtl/>
        </w:rPr>
        <w:t>،</w:t>
      </w:r>
      <w:r w:rsidRPr="00020424">
        <w:rPr>
          <w:rtl/>
        </w:rPr>
        <w:t>بف</w:t>
      </w:r>
      <w:r w:rsidR="00AD1543">
        <w:rPr>
          <w:rtl/>
        </w:rPr>
        <w:t>»</w:t>
      </w:r>
      <w:r w:rsidRPr="00515444">
        <w:rPr>
          <w:rStyle w:val="libFootnoteBoldChar"/>
          <w:rtl/>
        </w:rPr>
        <w:t>والوافي</w:t>
      </w:r>
      <w:r w:rsidR="00AD1543">
        <w:rPr>
          <w:rtl/>
        </w:rPr>
        <w:t xml:space="preserve"> وكمال الدين</w:t>
      </w:r>
      <w:r w:rsidRPr="00020424">
        <w:rPr>
          <w:rtl/>
        </w:rPr>
        <w:t>:</w:t>
      </w:r>
      <w:r w:rsidR="009B673F">
        <w:rPr>
          <w:rtl/>
        </w:rPr>
        <w:t>-</w:t>
      </w:r>
      <w:r w:rsidRPr="00020424">
        <w:rPr>
          <w:rtl/>
        </w:rPr>
        <w:t>«لي</w:t>
      </w:r>
      <w:r>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و</w:t>
      </w:r>
      <w:r w:rsidR="00D64ADA" w:rsidRPr="00D64ADA">
        <w:rPr>
          <w:rStyle w:val="libFootnoteBoldChar"/>
          <w:rtl/>
        </w:rPr>
        <w:t>المحاسن</w:t>
      </w:r>
      <w:r w:rsidR="00992664" w:rsidRPr="00020424">
        <w:rPr>
          <w:rtl/>
        </w:rPr>
        <w:t xml:space="preserve"> </w:t>
      </w:r>
      <w:r w:rsidR="00992664" w:rsidRPr="006C7A1F">
        <w:rPr>
          <w:rStyle w:val="libFootnoteBoldChar"/>
          <w:rtl/>
        </w:rPr>
        <w:t>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 الله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وكمال الدين </w:t>
      </w:r>
      <w:r w:rsidR="00992664" w:rsidRPr="006C7A1F">
        <w:rPr>
          <w:rStyle w:val="libFootnoteBoldChar"/>
          <w:rtl/>
        </w:rPr>
        <w:t>وثواب الأعمال</w:t>
      </w:r>
      <w:r w:rsidR="00992664" w:rsidRPr="00020424">
        <w:rPr>
          <w:rtl/>
        </w:rPr>
        <w:t xml:space="preserve"> : + « بحكم الله عزّوجلّ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A01825">
        <w:rPr>
          <w:rStyle w:val="libFootnoteBoldChar"/>
          <w:rtl/>
        </w:rPr>
        <w:t>قال العلاّمة</w:t>
      </w:r>
      <w:r w:rsidR="00992664" w:rsidRPr="00020424">
        <w:rPr>
          <w:rtl/>
        </w:rPr>
        <w:t xml:space="preserve"> </w:t>
      </w:r>
      <w:r w:rsidR="00D64ADA" w:rsidRPr="00D64ADA">
        <w:rPr>
          <w:rStyle w:val="libFootnoteAlaemChar"/>
          <w:rtl/>
        </w:rPr>
        <w:t>قدس‌سره</w:t>
      </w:r>
      <w:r w:rsidR="00992664" w:rsidRPr="00020424">
        <w:rPr>
          <w:rtl/>
        </w:rPr>
        <w:t xml:space="preserve"> في </w:t>
      </w:r>
      <w:r w:rsidR="00992664" w:rsidRPr="00172886">
        <w:rPr>
          <w:rtl/>
        </w:rPr>
        <w:t>تذكرة الفقهاء</w:t>
      </w:r>
      <w:r w:rsidR="00992664" w:rsidRPr="00020424">
        <w:rPr>
          <w:rtl/>
        </w:rPr>
        <w:t xml:space="preserve"> ، ج 5 ، ص 7 : « أجمع المسلمون كافّة على وجوبها</w:t>
      </w:r>
      <w:r w:rsidR="00992664">
        <w:rPr>
          <w:rtl/>
        </w:rPr>
        <w:t xml:space="preserve"> </w:t>
      </w:r>
      <w:r w:rsidR="009B673F">
        <w:rPr>
          <w:rtl/>
        </w:rPr>
        <w:t>-</w:t>
      </w:r>
      <w:r w:rsidR="00992664">
        <w:rPr>
          <w:rtl/>
        </w:rPr>
        <w:t xml:space="preserve"> </w:t>
      </w:r>
      <w:r w:rsidR="00992664" w:rsidRPr="00020424">
        <w:rPr>
          <w:rtl/>
        </w:rPr>
        <w:t>أي الزكاة</w:t>
      </w:r>
      <w:r w:rsidR="00992664">
        <w:rPr>
          <w:rtl/>
        </w:rPr>
        <w:t xml:space="preserve"> </w:t>
      </w:r>
      <w:r w:rsidR="009B673F">
        <w:rPr>
          <w:rtl/>
        </w:rPr>
        <w:t>-</w:t>
      </w:r>
      <w:r w:rsidR="00992664">
        <w:rPr>
          <w:rtl/>
        </w:rPr>
        <w:t xml:space="preserve"> </w:t>
      </w:r>
      <w:r w:rsidR="00992664" w:rsidRPr="00020424">
        <w:rPr>
          <w:rtl/>
        </w:rPr>
        <w:t>في جميع الأعصار ، وهي أحد الأركان الخمسة. إذا عرفت هذا ، فمن أنكر وجوبها ممّن ولد على الفطرة ونشأ بين المسلمين ، فهو مرتدّ يقتل من غير أن يستتاب ، وإن لم يكن عن فطرة بل أسلم عقيب كفر ، استتيب</w:t>
      </w:r>
      <w:r w:rsidR="00992664">
        <w:rPr>
          <w:rtl/>
        </w:rPr>
        <w:t xml:space="preserve"> </w:t>
      </w:r>
      <w:r w:rsidR="009B673F">
        <w:rPr>
          <w:rtl/>
        </w:rPr>
        <w:t>-</w:t>
      </w:r>
      <w:r w:rsidR="00992664">
        <w:rPr>
          <w:rtl/>
        </w:rPr>
        <w:t xml:space="preserve"> </w:t>
      </w:r>
      <w:r w:rsidR="00992664" w:rsidRPr="00020424">
        <w:rPr>
          <w:rtl/>
        </w:rPr>
        <w:t>مع علم وجوبها</w:t>
      </w:r>
      <w:r w:rsidR="00992664">
        <w:rPr>
          <w:rtl/>
        </w:rPr>
        <w:t xml:space="preserve"> </w:t>
      </w:r>
      <w:r w:rsidR="009B673F">
        <w:rPr>
          <w:rtl/>
        </w:rPr>
        <w:t>-</w:t>
      </w:r>
      <w:r w:rsidR="00992664">
        <w:rPr>
          <w:rtl/>
        </w:rPr>
        <w:t xml:space="preserve"> </w:t>
      </w:r>
      <w:r w:rsidR="00A01825">
        <w:rPr>
          <w:rtl/>
        </w:rPr>
        <w:t>ثلاثاً ، فإن تاب وإل</w:t>
      </w:r>
      <w:r w:rsidR="00A01825">
        <w:rPr>
          <w:rFonts w:hint="cs"/>
          <w:rtl/>
        </w:rPr>
        <w:t>ّ</w:t>
      </w:r>
      <w:r w:rsidR="00A01825">
        <w:rPr>
          <w:rtl/>
        </w:rPr>
        <w:t>ا</w:t>
      </w:r>
      <w:r w:rsidR="00992664" w:rsidRPr="00020424">
        <w:rPr>
          <w:rtl/>
        </w:rPr>
        <w:t xml:space="preserve"> فهو مرتدّ وجب قتله. وإن كان ممّن يخفى وجوبها عليه ؛ لأنّه بالبادية ، أو كان قريب العهد بالإسلام ، عُرّف وجوبها ولم يحكم بكفره</w:t>
      </w:r>
      <w:r w:rsidR="00992664">
        <w:rPr>
          <w:rtl/>
        </w:rPr>
        <w:t xml:space="preserve"> ».</w:t>
      </w:r>
      <w:r w:rsidR="00992664" w:rsidRPr="00020424">
        <w:rPr>
          <w:rtl/>
        </w:rPr>
        <w:t xml:space="preserve"> ونقل ما ذكرناه في </w:t>
      </w:r>
      <w:r w:rsidR="00992664" w:rsidRPr="00E57D58">
        <w:rPr>
          <w:rStyle w:val="libFootnoteBoldChar"/>
          <w:rtl/>
        </w:rPr>
        <w:t>مدارك الأحكام</w:t>
      </w:r>
      <w:r w:rsidR="00992664" w:rsidRPr="00172886">
        <w:rPr>
          <w:rtl/>
        </w:rPr>
        <w:t xml:space="preserve"> </w:t>
      </w:r>
      <w:r w:rsidR="00992664" w:rsidRPr="00020424">
        <w:rPr>
          <w:rtl/>
        </w:rPr>
        <w:t xml:space="preserve">، ج 5 ، ص 7 ، ثمّ قال : « هذا كلامه </w:t>
      </w:r>
      <w:r w:rsidR="00D64ADA" w:rsidRPr="00D64ADA">
        <w:rPr>
          <w:rStyle w:val="libFootnoteAlaemChar"/>
          <w:rtl/>
        </w:rPr>
        <w:t>رحمه‌الله</w:t>
      </w:r>
      <w:r w:rsidR="00992664" w:rsidRPr="00020424">
        <w:rPr>
          <w:rtl/>
        </w:rPr>
        <w:t xml:space="preserve"> وهو جيّد ، وعلى ما ذكره من التفصيل يحمل ما رواه الكليني وابن بابويه عن أبان بن تغلب</w:t>
      </w:r>
      <w:r w:rsidR="00992664">
        <w:rPr>
          <w:rtl/>
        </w:rPr>
        <w:t xml:space="preserve"> ..</w:t>
      </w:r>
      <w:r w:rsidR="00992664" w:rsidRPr="00020424">
        <w:rPr>
          <w:rtl/>
        </w:rPr>
        <w:t>.</w:t>
      </w:r>
      <w:r w:rsidR="00992664">
        <w:rPr>
          <w:rtl/>
        </w:rPr>
        <w:t xml:space="preserve"> ».</w:t>
      </w:r>
    </w:p>
    <w:p w:rsidR="00992664" w:rsidRPr="00020424" w:rsidRDefault="00795177" w:rsidP="00A01825">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11 ، ح 1589 ، معلّقاً عن أبان بن تغلب ؛ </w:t>
      </w:r>
      <w:r w:rsidR="00992664" w:rsidRPr="00172886">
        <w:rPr>
          <w:rtl/>
        </w:rPr>
        <w:t>كمال الدين</w:t>
      </w:r>
      <w:r w:rsidR="00992664" w:rsidRPr="00020424">
        <w:rPr>
          <w:rtl/>
        </w:rPr>
        <w:t xml:space="preserve"> ، ص 671 ، ح 21 ، بسنده عن أبان بن تغلب ، وفيهما مع اختلاف يسير</w:t>
      </w:r>
      <w:r w:rsidR="00A01825">
        <w:rPr>
          <w:rFonts w:hint="cs"/>
          <w:rtl/>
        </w:rPr>
        <w:t xml:space="preserve"> </w:t>
      </w:r>
      <w:r w:rsidR="00992664" w:rsidRPr="00020424">
        <w:rPr>
          <w:rtl/>
        </w:rPr>
        <w:t>.</w:t>
      </w:r>
      <w:r w:rsidR="00992664" w:rsidRPr="00A722B1">
        <w:rPr>
          <w:rStyle w:val="libFootnoteBoldChar"/>
          <w:rtl/>
        </w:rPr>
        <w:t>الخصال</w:t>
      </w:r>
      <w:r w:rsidR="00992664" w:rsidRPr="00020424">
        <w:rPr>
          <w:rtl/>
        </w:rPr>
        <w:t xml:space="preserve"> ، ص 169 ، باب الثلاثة ، ح 223 ، بسند آخر عن أبي عبدالله ، عن أبي الحسن </w:t>
      </w:r>
      <w:r w:rsidR="00D64ADA" w:rsidRPr="00D64ADA">
        <w:rPr>
          <w:rStyle w:val="libFootnoteAlaemChar"/>
          <w:rtl/>
        </w:rPr>
        <w:t>عليهما‌السلام</w:t>
      </w:r>
      <w:r w:rsidR="00992664" w:rsidRPr="00020424">
        <w:rPr>
          <w:rtl/>
        </w:rPr>
        <w:t xml:space="preserve"> ، مع اختلاف وزيادة</w:t>
      </w:r>
      <w:r w:rsidR="00A01825">
        <w:rPr>
          <w:rFonts w:hint="cs"/>
          <w:rtl/>
        </w:rPr>
        <w:t>.</w:t>
      </w:r>
      <w:r w:rsidR="00992664" w:rsidRPr="0012008A">
        <w:rPr>
          <w:rStyle w:val="libFootnoteBoldChar"/>
          <w:rtl/>
        </w:rPr>
        <w:t>الوافي</w:t>
      </w:r>
      <w:r w:rsidR="00992664" w:rsidRPr="00020424">
        <w:rPr>
          <w:rtl/>
        </w:rPr>
        <w:t xml:space="preserve"> ، ج 10 ، ص 41 ، ح 9112 ؛ </w:t>
      </w:r>
      <w:r w:rsidR="00992664" w:rsidRPr="0012008A">
        <w:rPr>
          <w:rStyle w:val="libFootnoteBoldChar"/>
          <w:rtl/>
        </w:rPr>
        <w:t>الوسائل</w:t>
      </w:r>
      <w:r w:rsidR="00992664" w:rsidRPr="00020424">
        <w:rPr>
          <w:rtl/>
        </w:rPr>
        <w:t xml:space="preserve"> ، ج 9 ، ص 32 ، ذيل ح 11454 ؛ </w:t>
      </w:r>
      <w:r w:rsidR="00992664" w:rsidRPr="0012008A">
        <w:rPr>
          <w:rStyle w:val="libFootnoteBoldChar"/>
          <w:rtl/>
        </w:rPr>
        <w:t>البحار</w:t>
      </w:r>
      <w:r w:rsidR="00992664" w:rsidRPr="00020424">
        <w:rPr>
          <w:rtl/>
        </w:rPr>
        <w:t xml:space="preserve"> ، ج 52 ، ص 371 ، ح 162.</w:t>
      </w:r>
    </w:p>
    <w:p w:rsidR="00795177" w:rsidRDefault="00795177" w:rsidP="00795177">
      <w:pPr>
        <w:pStyle w:val="libNormal"/>
        <w:rPr>
          <w:rtl/>
          <w:lang w:bidi="fa-IR"/>
        </w:rPr>
      </w:pPr>
      <w:r>
        <w:rPr>
          <w:rtl/>
          <w:lang w:bidi="fa-IR"/>
        </w:rPr>
        <w:br w:type="page"/>
      </w:r>
    </w:p>
    <w:p w:rsidR="00992664" w:rsidRDefault="00992664" w:rsidP="00992664">
      <w:pPr>
        <w:rPr>
          <w:rtl/>
          <w:lang w:bidi="fa-IR"/>
        </w:rPr>
      </w:pPr>
      <w:r w:rsidRPr="00020424">
        <w:rPr>
          <w:rtl/>
          <w:lang w:bidi="fa-IR"/>
        </w:rPr>
        <w:lastRenderedPageBreak/>
        <w:t xml:space="preserve">مُوسَى بْنِ سَعْدَانَ ، عَنْ عَبْدِ اللهِ بْنِ الْقَاسِمِ ، عَنْ مَالِكِ بْنِ عَطِيَّةَ ، عَنْ أَبَانِ بْنِ تَغْلِبَ ، عَنْ أَبِي عَبْدِ اللهِ </w:t>
      </w:r>
      <w:r w:rsidRPr="00005A81">
        <w:rPr>
          <w:rStyle w:val="libAlaemChar"/>
          <w:rtl/>
        </w:rPr>
        <w:t>عليه‌السلام</w:t>
      </w:r>
      <w:r w:rsidRPr="00020424">
        <w:rPr>
          <w:rtl/>
          <w:lang w:bidi="fa-IR"/>
        </w:rPr>
        <w:t xml:space="preserve"> نَحْوَهُ. </w:t>
      </w:r>
      <w:r w:rsidRPr="00A91B96">
        <w:rPr>
          <w:rStyle w:val="libFootnotenumChar"/>
          <w:rtl/>
        </w:rPr>
        <w:t>(1)</w:t>
      </w:r>
    </w:p>
    <w:p w:rsidR="00992664" w:rsidRPr="00020424" w:rsidRDefault="00992664" w:rsidP="00992664">
      <w:pPr>
        <w:pStyle w:val="libNormal"/>
        <w:rPr>
          <w:rtl/>
          <w:lang w:bidi="fa-IR"/>
        </w:rPr>
      </w:pPr>
      <w:r w:rsidRPr="00172886">
        <w:rPr>
          <w:rtl/>
        </w:rPr>
        <w:t>5745</w:t>
      </w:r>
      <w:r w:rsidRPr="001155DE">
        <w:rPr>
          <w:rStyle w:val="libBold2Char"/>
          <w:rtl/>
        </w:rPr>
        <w:t xml:space="preserve"> / 6.</w:t>
      </w:r>
      <w:r w:rsidRPr="00020424">
        <w:rPr>
          <w:rtl/>
          <w:lang w:bidi="fa-IR"/>
        </w:rPr>
        <w:t xml:space="preserve"> حُمَيْدُ بْنُ زِيَادٍ ، عَنِ الْخَشَّابِ ، عَنِ ابْنِ بَقَّاحٍ ، عَنْ مُعَاذِ بْنِ ثَابِتٍ ، عَنْ عَمْرِو بْنِ جُمَيْعٍ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مَا مِنْ رَجُلٍ أَدَّى </w:t>
      </w:r>
      <w:r w:rsidRPr="00A91B96">
        <w:rPr>
          <w:rStyle w:val="libFootnotenumChar"/>
          <w:rtl/>
        </w:rPr>
        <w:t>(2)</w:t>
      </w:r>
      <w:r w:rsidRPr="00020424">
        <w:rPr>
          <w:rtl/>
          <w:lang w:bidi="fa-IR"/>
        </w:rPr>
        <w:t xml:space="preserve"> الزَّكَاةَ ، فَنَقَصَتْ مِنْ مَالِهِ ؛ وَلَا مَنَعَهَا أَحَدٌ ، فَزَادَتْ فِي مَالِهِ</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172886">
        <w:rPr>
          <w:rtl/>
        </w:rPr>
        <w:t>5746</w:t>
      </w:r>
      <w:r w:rsidRPr="001155DE">
        <w:rPr>
          <w:rStyle w:val="libBold2Char"/>
          <w:rtl/>
        </w:rPr>
        <w:t xml:space="preserve"> / 7.</w:t>
      </w:r>
      <w:r w:rsidRPr="00020424">
        <w:rPr>
          <w:rtl/>
          <w:lang w:bidi="fa-IR"/>
        </w:rPr>
        <w:t xml:space="preserve"> عَلِيُّ بْنُ إِبْرَاهِيمَ ، عَنْ أَبِيهِ ، عَنْ حَمَّادِ بْنِ عِيسى </w:t>
      </w:r>
      <w:r w:rsidRPr="00A91B96">
        <w:rPr>
          <w:rStyle w:val="libFootnotenumChar"/>
          <w:rtl/>
        </w:rPr>
        <w:t>(4)</w:t>
      </w:r>
      <w:r w:rsidRPr="00020424">
        <w:rPr>
          <w:rtl/>
          <w:lang w:bidi="fa-IR"/>
        </w:rPr>
        <w:t xml:space="preserve"> ، عَنْ حَرِيزٍ ، عَنْ عُبَيْدِ بْنِ زُرَارَةَ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مَا مِنْ عَبْدٍ </w:t>
      </w:r>
      <w:r w:rsidRPr="00A91B96">
        <w:rPr>
          <w:rStyle w:val="libFootnotenumChar"/>
          <w:rtl/>
        </w:rPr>
        <w:t>(5)</w:t>
      </w:r>
      <w:r w:rsidRPr="00020424">
        <w:rPr>
          <w:rtl/>
          <w:lang w:bidi="fa-IR"/>
        </w:rPr>
        <w:t xml:space="preserve"> يَمْنَعُ دِرْهَماً فِي </w:t>
      </w:r>
      <w:r w:rsidRPr="00A91B96">
        <w:rPr>
          <w:rStyle w:val="libFootnotenumChar"/>
          <w:rtl/>
        </w:rPr>
        <w:t>(6)</w:t>
      </w:r>
      <w:r w:rsidRPr="00020424">
        <w:rPr>
          <w:rtl/>
          <w:lang w:bidi="fa-IR"/>
        </w:rPr>
        <w:t xml:space="preserve"> حَقِّهِ </w:t>
      </w:r>
      <w:r w:rsidRPr="00A91B96">
        <w:rPr>
          <w:rStyle w:val="libFootnotenumChar"/>
          <w:rtl/>
        </w:rPr>
        <w:t>(7)</w:t>
      </w:r>
      <w:r w:rsidRPr="00020424">
        <w:rPr>
          <w:rtl/>
          <w:lang w:bidi="fa-IR"/>
        </w:rPr>
        <w:t xml:space="preserve"> إِ</w:t>
      </w:r>
      <w:r w:rsidR="00FB5706">
        <w:rPr>
          <w:rtl/>
          <w:lang w:bidi="fa-IR"/>
        </w:rPr>
        <w:t>ل</w:t>
      </w:r>
      <w:r w:rsidR="00FB5706">
        <w:rPr>
          <w:rFonts w:hint="cs"/>
          <w:rtl/>
          <w:lang w:bidi="fa-IR"/>
        </w:rPr>
        <w:t>َّ</w:t>
      </w:r>
      <w:r w:rsidR="00FB5706">
        <w:rPr>
          <w:rtl/>
          <w:lang w:bidi="fa-IR"/>
        </w:rPr>
        <w:t>ا</w:t>
      </w:r>
      <w:r w:rsidRPr="00020424">
        <w:rPr>
          <w:rtl/>
          <w:lang w:bidi="fa-IR"/>
        </w:rPr>
        <w:t xml:space="preserve"> أَنْفَقَ اثْنَيْنِ فِي غَيْرِ حَقِّهِ ، وَمَا مِنْ </w:t>
      </w:r>
      <w:r w:rsidRPr="00A91B96">
        <w:rPr>
          <w:rStyle w:val="libFootnotenumChar"/>
          <w:rtl/>
        </w:rPr>
        <w:t>(8)</w:t>
      </w:r>
      <w:r w:rsidRPr="00020424">
        <w:rPr>
          <w:rtl/>
          <w:lang w:bidi="fa-IR"/>
        </w:rPr>
        <w:t xml:space="preserve"> رَجُلٍ يَمْنَعُ </w:t>
      </w:r>
      <w:r w:rsidRPr="00A91B96">
        <w:rPr>
          <w:rStyle w:val="libFootnotenumChar"/>
          <w:rtl/>
        </w:rPr>
        <w:t>(9)</w:t>
      </w:r>
      <w:r w:rsidRPr="00020424">
        <w:rPr>
          <w:rtl/>
          <w:lang w:bidi="fa-IR"/>
        </w:rPr>
        <w:t xml:space="preserve"> حَقّاً مِنْ </w:t>
      </w:r>
      <w:r w:rsidRPr="00A91B96">
        <w:rPr>
          <w:rStyle w:val="libFootnotenumChar"/>
          <w:rtl/>
        </w:rPr>
        <w:t>(10)</w:t>
      </w:r>
      <w:r w:rsidR="00FB5706">
        <w:rPr>
          <w:rtl/>
          <w:lang w:bidi="fa-IR"/>
        </w:rPr>
        <w:t xml:space="preserve"> مَالِهِ إِل</w:t>
      </w:r>
      <w:r w:rsidR="00FB5706">
        <w:rPr>
          <w:rFonts w:hint="cs"/>
          <w:rtl/>
          <w:lang w:bidi="fa-IR"/>
        </w:rPr>
        <w:t>َّ</w:t>
      </w:r>
      <w:r w:rsidR="00FB5706">
        <w:rPr>
          <w:rtl/>
          <w:lang w:bidi="fa-IR"/>
        </w:rPr>
        <w:t>ا</w:t>
      </w:r>
      <w:r w:rsidRPr="00020424">
        <w:rPr>
          <w:rtl/>
          <w:lang w:bidi="fa-IR"/>
        </w:rPr>
        <w:t xml:space="preserve"> طَوَّقَهُ اللهُ</w:t>
      </w:r>
      <w:r>
        <w:rPr>
          <w:rtl/>
          <w:lang w:bidi="fa-IR"/>
        </w:rPr>
        <w:t xml:space="preserve"> </w:t>
      </w:r>
      <w:r w:rsidR="009B673F">
        <w:rPr>
          <w:rtl/>
          <w:lang w:bidi="fa-IR"/>
        </w:rPr>
        <w:t>-</w:t>
      </w:r>
      <w:r>
        <w:rPr>
          <w:rtl/>
          <w:lang w:bidi="fa-IR"/>
        </w:rPr>
        <w:t xml:space="preserve"> </w:t>
      </w:r>
      <w:r w:rsidRPr="00020424">
        <w:rPr>
          <w:rtl/>
          <w:lang w:bidi="fa-IR"/>
        </w:rPr>
        <w:t>عَزَّ وَ</w:t>
      </w:r>
      <w:r w:rsidR="00FB5706">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بِهِ </w:t>
      </w:r>
      <w:r w:rsidRPr="00A91B96">
        <w:rPr>
          <w:rStyle w:val="libFootnotenumChar"/>
          <w:rtl/>
        </w:rPr>
        <w:t>(11)</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D64ADA" w:rsidRPr="00D64ADA">
        <w:rPr>
          <w:rStyle w:val="libFootnoteBoldChar"/>
          <w:rtl/>
        </w:rPr>
        <w:t>المحاسن</w:t>
      </w:r>
      <w:r w:rsidR="00992664" w:rsidRPr="00020424">
        <w:rPr>
          <w:rtl/>
        </w:rPr>
        <w:t xml:space="preserve"> ، ص 87 ، كتاب عقاب الأعمال ، صدر ح 28. وفي </w:t>
      </w:r>
      <w:r w:rsidR="00992664" w:rsidRPr="0012008A">
        <w:rPr>
          <w:rStyle w:val="libFootnoteBoldChar"/>
          <w:rtl/>
        </w:rPr>
        <w:t>ثواب الأعمال</w:t>
      </w:r>
      <w:r w:rsidR="00992664" w:rsidRPr="00020424">
        <w:rPr>
          <w:rtl/>
        </w:rPr>
        <w:t xml:space="preserve"> ، ص 280 ، ح 6 ، بسنده عن محمّد بن عليّ الكوفي ، عن موسى بن سعدان ، عن عبدالله بن القاسم ، مع اختلاف يسير </w:t>
      </w:r>
      <w:r w:rsidR="00FB5706">
        <w:rPr>
          <w:rFonts w:hint="cs"/>
          <w:rtl/>
        </w:rPr>
        <w:t>.</w:t>
      </w:r>
      <w:r w:rsidR="00992664" w:rsidRPr="0012008A">
        <w:rPr>
          <w:rStyle w:val="libFootnoteBoldChar"/>
          <w:rtl/>
        </w:rPr>
        <w:t>الوافي</w:t>
      </w:r>
      <w:r w:rsidR="00992664" w:rsidRPr="00020424">
        <w:rPr>
          <w:rtl/>
        </w:rPr>
        <w:t xml:space="preserve"> ، ج 10 ، ص 41 ، ح 9112 ؛ </w:t>
      </w:r>
      <w:r w:rsidR="00992664" w:rsidRPr="0012008A">
        <w:rPr>
          <w:rStyle w:val="libFootnoteBoldChar"/>
          <w:rtl/>
        </w:rPr>
        <w:t>الوسائل</w:t>
      </w:r>
      <w:r w:rsidR="00992664" w:rsidRPr="00020424">
        <w:rPr>
          <w:rtl/>
        </w:rPr>
        <w:t xml:space="preserve"> ، ج 9 ، ص 32 ، ذيل ح 11454.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بس ، جن » </w:t>
      </w:r>
      <w:r w:rsidR="00992664" w:rsidRPr="00FD6221">
        <w:rPr>
          <w:rStyle w:val="libFootnoteBoldChar"/>
          <w:rtl/>
        </w:rPr>
        <w:t>والفقيه</w:t>
      </w:r>
      <w:r w:rsidR="00992664" w:rsidRPr="00020424">
        <w:rPr>
          <w:rtl/>
        </w:rPr>
        <w:t xml:space="preserve"> </w:t>
      </w:r>
      <w:r w:rsidR="00992664" w:rsidRPr="00DE3E80">
        <w:rPr>
          <w:rStyle w:val="libFootnoteBoldChar"/>
          <w:rtl/>
        </w:rPr>
        <w:t>والمقنعة</w:t>
      </w:r>
      <w:r w:rsidR="00992664" w:rsidRPr="00020424">
        <w:rPr>
          <w:rtl/>
        </w:rPr>
        <w:t xml:space="preserve"> : + « ما أدّى أحد</w:t>
      </w:r>
      <w:r w:rsidR="00992664">
        <w:rPr>
          <w:rtl/>
        </w:rPr>
        <w:t xml:space="preserve"> ».</w:t>
      </w:r>
    </w:p>
    <w:p w:rsidR="00992664" w:rsidRPr="00020424" w:rsidRDefault="00795177" w:rsidP="00FB5706">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11 ، ح 1590 ، معلّقاً عن عمرو بن جميع. </w:t>
      </w:r>
      <w:r w:rsidR="00992664" w:rsidRPr="00172886">
        <w:rPr>
          <w:rtl/>
        </w:rPr>
        <w:t>الجعفريّات</w:t>
      </w:r>
      <w:r w:rsidR="00992664" w:rsidRPr="00020424">
        <w:rPr>
          <w:rtl/>
        </w:rPr>
        <w:t xml:space="preserve"> ، ص 53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وآخره. </w:t>
      </w:r>
      <w:r w:rsidR="00992664" w:rsidRPr="0012008A">
        <w:rPr>
          <w:rStyle w:val="libFootnoteBoldChar"/>
          <w:rtl/>
        </w:rPr>
        <w:t>المقنعة</w:t>
      </w:r>
      <w:r w:rsidR="00992664" w:rsidRPr="00020424">
        <w:rPr>
          <w:rtl/>
        </w:rPr>
        <w:t xml:space="preserve"> ، ص 269 ، مرسلاً ، وفي كلّها مع اختلاف يسير</w:t>
      </w:r>
      <w:r w:rsidR="00FB5706">
        <w:rPr>
          <w:rFonts w:hint="cs"/>
          <w:rtl/>
        </w:rPr>
        <w:t>.</w:t>
      </w:r>
      <w:r w:rsidR="00992664" w:rsidRPr="00FB5706">
        <w:rPr>
          <w:rStyle w:val="libFootnoteBoldChar"/>
          <w:rtl/>
        </w:rPr>
        <w:t>الوافى</w:t>
      </w:r>
      <w:r w:rsidR="00992664" w:rsidRPr="00020424">
        <w:rPr>
          <w:rtl/>
        </w:rPr>
        <w:t xml:space="preserve"> ، ج 10 ، ص 42 ، ح 9114 ؛ </w:t>
      </w:r>
      <w:r w:rsidR="00992664" w:rsidRPr="0012008A">
        <w:rPr>
          <w:rStyle w:val="libFootnoteBoldChar"/>
          <w:rtl/>
        </w:rPr>
        <w:t>الوسائل</w:t>
      </w:r>
      <w:r w:rsidR="00992664" w:rsidRPr="00020424">
        <w:rPr>
          <w:rtl/>
        </w:rPr>
        <w:t xml:space="preserve"> ، ج 9 ، ص 23 ، ح 11425.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والكافي ، ح 5900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3E6EDD">
        <w:rPr>
          <w:rtl/>
        </w:rPr>
        <w:t>والوافي والفقيه والمقنعة</w:t>
      </w:r>
      <w:r w:rsidR="00992664" w:rsidRPr="00020424">
        <w:rPr>
          <w:rtl/>
        </w:rPr>
        <w:t xml:space="preserve"> : « رجل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بث ، بس » والكافي ، ح 5900 : « من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الكافي ، ح 5900 : « حقّ</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3E6EDD">
        <w:rPr>
          <w:rtl/>
        </w:rPr>
        <w:t>والوافي والفقيه والتهذيب</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والكافي ، ح 5900 : « منع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بر ، بف »</w:t>
      </w:r>
      <w:r w:rsidR="00992664" w:rsidRPr="003E6EDD">
        <w:rPr>
          <w:rtl/>
        </w:rPr>
        <w:t xml:space="preserve"> والوافي والفقيه والتهذيب </w:t>
      </w:r>
      <w:r w:rsidR="00992664" w:rsidRPr="00020424">
        <w:rPr>
          <w:rtl/>
        </w:rPr>
        <w:t>: « في</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حَيَّةً مِنْ </w:t>
      </w:r>
      <w:r w:rsidRPr="00A91B96">
        <w:rPr>
          <w:rStyle w:val="libFootnotenumChar"/>
          <w:rtl/>
        </w:rPr>
        <w:t>(1)</w:t>
      </w:r>
      <w:r w:rsidRPr="00020424">
        <w:rPr>
          <w:rtl/>
          <w:lang w:bidi="fa-IR"/>
        </w:rPr>
        <w:t xml:space="preserve"> نَارٍ </w:t>
      </w:r>
      <w:r w:rsidRPr="00A91B96">
        <w:rPr>
          <w:rStyle w:val="libFootnotenumChar"/>
          <w:rtl/>
        </w:rPr>
        <w:t>(2)</w:t>
      </w:r>
      <w:r w:rsidRPr="00020424">
        <w:rPr>
          <w:rtl/>
          <w:lang w:bidi="fa-IR"/>
        </w:rPr>
        <w:t xml:space="preserve"> يَوْمَ الْقِيَامَةِ</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172886">
        <w:rPr>
          <w:rtl/>
        </w:rPr>
        <w:t>5747</w:t>
      </w:r>
      <w:r w:rsidRPr="001155DE">
        <w:rPr>
          <w:rStyle w:val="libBold2Char"/>
          <w:rtl/>
        </w:rPr>
        <w:t xml:space="preserve"> / 8.</w:t>
      </w:r>
      <w:r w:rsidRPr="00020424">
        <w:rPr>
          <w:rtl/>
          <w:lang w:bidi="fa-IR"/>
        </w:rPr>
        <w:t xml:space="preserve"> عَلِيُّ بْنُ إِبْرَاهِيمَ ، عَنْ أَبِيهِ ، عَنِ ابْنِ أَبِي عُمَيْرٍ ، عَنْ أَبِ</w:t>
      </w:r>
      <w:r w:rsidR="003E6EDD">
        <w:rPr>
          <w:rtl/>
          <w:lang w:bidi="fa-IR"/>
        </w:rPr>
        <w:t>ي أَيُّوبَ ، عَنْ أَبِي بَصِيرٍ</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مَلْعُونٌ مَلْعُونٌ مَالٌ لَايُزَكّى</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72886">
        <w:rPr>
          <w:rtl/>
        </w:rPr>
        <w:t>5748</w:t>
      </w:r>
      <w:r w:rsidRPr="001155DE">
        <w:rPr>
          <w:rStyle w:val="libBold2Char"/>
          <w:rtl/>
        </w:rPr>
        <w:t xml:space="preserve"> / 9.</w:t>
      </w:r>
      <w:r w:rsidRPr="00020424">
        <w:rPr>
          <w:rtl/>
          <w:lang w:bidi="fa-IR"/>
        </w:rPr>
        <w:t xml:space="preserve"> عَلِيُّ بْنُ إِبْرَاهِيمَ </w:t>
      </w:r>
      <w:r w:rsidRPr="00A91B96">
        <w:rPr>
          <w:rStyle w:val="libFootnotenumChar"/>
          <w:rtl/>
        </w:rPr>
        <w:t>(5)</w:t>
      </w:r>
      <w:r w:rsidRPr="00020424">
        <w:rPr>
          <w:rtl/>
          <w:lang w:bidi="fa-IR"/>
        </w:rPr>
        <w:t xml:space="preserve"> ، عَنْ أَبِيهِ ، عَنِ ابْنِ فَضَّالٍ ، عَنْ عَلِيِّ بْنِ عُقْبَةَ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يَعْنِي الْأَوَّلَ </w:t>
      </w:r>
      <w:r w:rsidRPr="00A91B96">
        <w:rPr>
          <w:rStyle w:val="libFootnotenumChar"/>
          <w:rtl/>
        </w:rPr>
        <w:t>(6)</w:t>
      </w:r>
      <w:r w:rsidRPr="00020424">
        <w:rPr>
          <w:rtl/>
          <w:lang w:bidi="fa-IR"/>
        </w:rPr>
        <w:t xml:space="preserve"> ، قَالَ : سَمِعْتُهُ يَقُولُ : « مَنْ أَخْرَجَ زَكَاةَ </w:t>
      </w:r>
      <w:r w:rsidRPr="00A91B96">
        <w:rPr>
          <w:rStyle w:val="libFootnotenumChar"/>
          <w:rtl/>
        </w:rPr>
        <w:t>(7)</w:t>
      </w:r>
      <w:r w:rsidRPr="00020424">
        <w:rPr>
          <w:rtl/>
          <w:lang w:bidi="fa-IR"/>
        </w:rPr>
        <w:t xml:space="preserve"> مَالِهِ </w:t>
      </w:r>
      <w:r w:rsidRPr="00A91B96">
        <w:rPr>
          <w:rStyle w:val="libFootnotenumChar"/>
          <w:rtl/>
        </w:rPr>
        <w:t>(8)</w:t>
      </w:r>
      <w:r w:rsidRPr="00020424">
        <w:rPr>
          <w:rtl/>
          <w:lang w:bidi="fa-IR"/>
        </w:rPr>
        <w:t xml:space="preserve"> تَامَّةً ، فَوَضَعَهَا فِي </w:t>
      </w:r>
      <w:r w:rsidRPr="00A91B96">
        <w:rPr>
          <w:rStyle w:val="libFootnotenumChar"/>
          <w:rtl/>
        </w:rPr>
        <w:t>(9)</w:t>
      </w:r>
      <w:r w:rsidRPr="00020424">
        <w:rPr>
          <w:rtl/>
          <w:lang w:bidi="fa-IR"/>
        </w:rPr>
        <w:t xml:space="preserve"> مَوْضِعِهَا ، لَمْ يُسْأَلْ مِنْ أَيْنَ اكْتَسَبَ مَالَهُ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172886">
        <w:rPr>
          <w:rtl/>
        </w:rPr>
        <w:t>5749</w:t>
      </w:r>
      <w:r w:rsidRPr="001155DE">
        <w:rPr>
          <w:rStyle w:val="libBold2Char"/>
          <w:rtl/>
        </w:rPr>
        <w:t xml:space="preserve"> / 10.</w:t>
      </w:r>
      <w:r w:rsidRPr="00020424">
        <w:rPr>
          <w:rtl/>
          <w:lang w:bidi="fa-IR"/>
        </w:rPr>
        <w:t xml:space="preserve"> مُحَمَّدُ بْنُ يَحْيى ، عَنْ أَحْمَدَ بْنِ مُحَمَّدِ بْنِ عِيسى ، عَنِ ابْنِ مِهْرَانَ </w:t>
      </w:r>
      <w:r w:rsidRPr="00A91B96">
        <w:rPr>
          <w:rStyle w:val="libFootnotenumChar"/>
          <w:rtl/>
        </w:rPr>
        <w:t>(12)</w:t>
      </w:r>
      <w:r w:rsidRPr="00020424">
        <w:rPr>
          <w:rtl/>
          <w:lang w:bidi="fa-IR"/>
        </w:rPr>
        <w:t xml:space="preserve"> ، عَنِ‌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C67B0" w:rsidTr="00DC67B0">
        <w:tc>
          <w:tcPr>
            <w:tcW w:w="4006" w:type="dxa"/>
          </w:tcPr>
          <w:p w:rsidR="00DC67B0" w:rsidRDefault="00DC67B0" w:rsidP="00DC67B0">
            <w:pPr>
              <w:pStyle w:val="libFootnote0"/>
              <w:rPr>
                <w:rtl/>
                <w:lang w:bidi="fa-IR"/>
              </w:rPr>
            </w:pPr>
            <w:r>
              <w:rPr>
                <w:rtl/>
              </w:rPr>
              <w:t>(1). في حاشية</w:t>
            </w:r>
            <w:r w:rsidRPr="00020424">
              <w:rPr>
                <w:rtl/>
              </w:rPr>
              <w:t>«بث»</w:t>
            </w:r>
            <w:r w:rsidRPr="00DE3E80">
              <w:rPr>
                <w:rStyle w:val="libFootnoteBoldChar"/>
                <w:rtl/>
              </w:rPr>
              <w:t>والمقنعة</w:t>
            </w:r>
            <w:r w:rsidRPr="00020424">
              <w:rPr>
                <w:rtl/>
              </w:rPr>
              <w:t>:«في</w:t>
            </w:r>
            <w:r>
              <w:rPr>
                <w:rtl/>
              </w:rPr>
              <w:t>».</w:t>
            </w:r>
          </w:p>
        </w:tc>
        <w:tc>
          <w:tcPr>
            <w:tcW w:w="4006" w:type="dxa"/>
          </w:tcPr>
          <w:p w:rsidR="00DC67B0" w:rsidRDefault="00DC67B0" w:rsidP="00DC67B0">
            <w:pPr>
              <w:pStyle w:val="libFootnote0"/>
              <w:rPr>
                <w:rtl/>
                <w:lang w:bidi="fa-IR"/>
              </w:rPr>
            </w:pPr>
            <w:r>
              <w:rPr>
                <w:rtl/>
              </w:rPr>
              <w:t xml:space="preserve">(2). </w:t>
            </w:r>
            <w:r w:rsidRPr="00020424">
              <w:rPr>
                <w:rtl/>
              </w:rPr>
              <w:t>في«بث،بخ،بر،بف»</w:t>
            </w:r>
            <w:r w:rsidRPr="00515444">
              <w:rPr>
                <w:rStyle w:val="libFootnoteBoldChar"/>
                <w:rtl/>
              </w:rPr>
              <w:t>والوافي</w:t>
            </w:r>
            <w:r w:rsidRPr="00020424">
              <w:rPr>
                <w:rtl/>
              </w:rPr>
              <w:t xml:space="preserve"> </w:t>
            </w:r>
            <w:r w:rsidRPr="00DE3E80">
              <w:rPr>
                <w:rStyle w:val="libFootnoteBoldChar"/>
                <w:rtl/>
              </w:rPr>
              <w:t>والمقنعة</w:t>
            </w:r>
            <w:r w:rsidRPr="00020424">
              <w:rPr>
                <w:rtl/>
              </w:rPr>
              <w:t>:«النار</w:t>
            </w:r>
            <w:r>
              <w:rPr>
                <w:rtl/>
              </w:rPr>
              <w:t>».</w:t>
            </w:r>
          </w:p>
        </w:tc>
      </w:tr>
    </w:tbl>
    <w:p w:rsidR="00992664" w:rsidRPr="00020424" w:rsidRDefault="00795177" w:rsidP="001E33D4">
      <w:pPr>
        <w:pStyle w:val="libFootnote0"/>
        <w:rPr>
          <w:rtl/>
          <w:lang w:bidi="fa-IR"/>
        </w:rPr>
      </w:pPr>
      <w:r>
        <w:rPr>
          <w:rtl/>
        </w:rPr>
        <w:t>(3).</w:t>
      </w:r>
      <w:r w:rsidR="0014403D">
        <w:rPr>
          <w:rtl/>
        </w:rPr>
        <w:t xml:space="preserve"> </w:t>
      </w:r>
      <w:r w:rsidR="00992664" w:rsidRPr="00172886">
        <w:rPr>
          <w:rtl/>
        </w:rPr>
        <w:t>الكافي</w:t>
      </w:r>
      <w:r w:rsidR="00992664" w:rsidRPr="00020424">
        <w:rPr>
          <w:rtl/>
        </w:rPr>
        <w:t xml:space="preserve"> ، كتاب الزكاة ، باب الزكاة لا تعطى غير أهل الولاية ، صدر ح 5900. وفي </w:t>
      </w:r>
      <w:r w:rsidR="00992664" w:rsidRPr="0012008A">
        <w:rPr>
          <w:rStyle w:val="libFootnoteBoldChar"/>
          <w:rtl/>
        </w:rPr>
        <w:t>التهذيب</w:t>
      </w:r>
      <w:r w:rsidR="00992664" w:rsidRPr="00020424">
        <w:rPr>
          <w:rtl/>
        </w:rPr>
        <w:t xml:space="preserve"> ، ج 4 ، ص 102 ، صدر ح 24 ، معلّقاً عن الكليني. </w:t>
      </w:r>
      <w:r w:rsidR="00992664" w:rsidRPr="0012008A">
        <w:rPr>
          <w:rStyle w:val="libFootnoteBoldChar"/>
          <w:rtl/>
        </w:rPr>
        <w:t>الفقيه</w:t>
      </w:r>
      <w:r w:rsidR="00992664" w:rsidRPr="00020424">
        <w:rPr>
          <w:rtl/>
        </w:rPr>
        <w:t xml:space="preserve"> ، ج 2 ، ص 11 ، ح 1588 ، معلّقاً عن عبيد بن زرارة. </w:t>
      </w:r>
      <w:r w:rsidR="00992664" w:rsidRPr="0012008A">
        <w:rPr>
          <w:rStyle w:val="libFootnoteBoldChar"/>
          <w:rtl/>
        </w:rPr>
        <w:t>المقنعة</w:t>
      </w:r>
      <w:r w:rsidR="00992664" w:rsidRPr="00020424">
        <w:rPr>
          <w:rtl/>
        </w:rPr>
        <w:t xml:space="preserve"> ، ص 268 ، مرسلاً ، وفي الأخيرين مع اختلاف يسير</w:t>
      </w:r>
      <w:r w:rsidR="001E33D4">
        <w:rPr>
          <w:rFonts w:hint="cs"/>
          <w:rtl/>
        </w:rPr>
        <w:t>.</w:t>
      </w:r>
      <w:r w:rsidR="00992664" w:rsidRPr="00172886">
        <w:rPr>
          <w:rtl/>
        </w:rPr>
        <w:t>الوافى</w:t>
      </w:r>
      <w:r w:rsidR="00992664" w:rsidRPr="00020424">
        <w:rPr>
          <w:rtl/>
        </w:rPr>
        <w:t xml:space="preserve"> ، ج 10 ، ص 41 ، ح 9113 ؛ </w:t>
      </w:r>
      <w:r w:rsidR="00992664" w:rsidRPr="0012008A">
        <w:rPr>
          <w:rStyle w:val="libFootnoteBoldChar"/>
          <w:rtl/>
        </w:rPr>
        <w:t>الوسائل</w:t>
      </w:r>
      <w:r w:rsidR="00992664" w:rsidRPr="00020424">
        <w:rPr>
          <w:rtl/>
        </w:rPr>
        <w:t xml:space="preserve"> ، ج 9 ، ص 43 ، ذيل ح 11479.</w:t>
      </w:r>
    </w:p>
    <w:p w:rsidR="00992664" w:rsidRPr="00020424" w:rsidRDefault="00795177" w:rsidP="00992664">
      <w:pPr>
        <w:pStyle w:val="libFootnote0"/>
        <w:rPr>
          <w:rtl/>
          <w:lang w:bidi="fa-IR"/>
        </w:rPr>
      </w:pPr>
      <w:r>
        <w:rPr>
          <w:rtl/>
        </w:rPr>
        <w:t>(4).</w:t>
      </w:r>
      <w:r w:rsidR="0014403D">
        <w:rPr>
          <w:rtl/>
        </w:rPr>
        <w:t xml:space="preserve"> </w:t>
      </w:r>
      <w:r w:rsidR="00992664" w:rsidRPr="00172886">
        <w:rPr>
          <w:rtl/>
        </w:rPr>
        <w:t>الوافى</w:t>
      </w:r>
      <w:r w:rsidR="00992664" w:rsidRPr="00020424">
        <w:rPr>
          <w:rtl/>
        </w:rPr>
        <w:t xml:space="preserve"> ، ج 10 ، ص 44 ، ح 9122 ؛ </w:t>
      </w:r>
      <w:r w:rsidR="00992664" w:rsidRPr="0012008A">
        <w:rPr>
          <w:rStyle w:val="libFootnoteBoldChar"/>
          <w:rtl/>
        </w:rPr>
        <w:t>الوسائل</w:t>
      </w:r>
      <w:r w:rsidR="00992664" w:rsidRPr="00020424">
        <w:rPr>
          <w:rtl/>
        </w:rPr>
        <w:t xml:space="preserve"> ، ج 9 ، ص 26 ، ح 11433.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الكافي ، ح 6149 : « عن مهديّ ، عن أبي الحسن موسى </w:t>
      </w:r>
      <w:r w:rsidR="00992664" w:rsidRPr="00D64ADA">
        <w:rPr>
          <w:rStyle w:val="libFootnoteAlaemChar"/>
          <w:rtl/>
        </w:rPr>
        <w:t>عليه‌السلام</w:t>
      </w:r>
      <w:r w:rsidR="00992664" w:rsidRPr="00020424">
        <w:rPr>
          <w:rtl/>
        </w:rPr>
        <w:t xml:space="preserve"> » بدل « عن أبي الحسن </w:t>
      </w:r>
      <w:r w:rsidR="00992664" w:rsidRPr="00D64ADA">
        <w:rPr>
          <w:rStyle w:val="libFootnoteAlaemChar"/>
          <w:rtl/>
        </w:rPr>
        <w:t>عليه‌السلام</w:t>
      </w:r>
      <w:r w:rsidR="00992664" w:rsidRPr="00020424">
        <w:rPr>
          <w:rtl/>
        </w:rPr>
        <w:t xml:space="preserve"> ، يعني الأوّل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 + « من</w:t>
      </w:r>
      <w:r w:rsidR="00992664">
        <w:rPr>
          <w:rtl/>
        </w:rPr>
        <w:t xml:space="preserve"> ».</w:t>
      </w:r>
      <w:r w:rsidR="00992664" w:rsidRPr="00020424">
        <w:rPr>
          <w:rtl/>
        </w:rPr>
        <w:t xml:space="preserve"> وفي « بر ، بف » : « زكاته من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ماله</w:t>
      </w:r>
      <w:r w:rsidR="00992664">
        <w:rPr>
          <w:rtl/>
        </w:rPr>
        <w:t xml:space="preserve"> ».</w:t>
      </w:r>
      <w:r w:rsidR="00992664" w:rsidRPr="00020424">
        <w:rPr>
          <w:rtl/>
        </w:rPr>
        <w:t xml:space="preserve"> وفي الكافي ، ح 6149 : « من ماله الزكاة » بدل « زكاة ماله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30910" w:rsidTr="00230910">
        <w:tc>
          <w:tcPr>
            <w:tcW w:w="4006" w:type="dxa"/>
          </w:tcPr>
          <w:p w:rsidR="00230910" w:rsidRDefault="00230910" w:rsidP="00992664">
            <w:pPr>
              <w:pStyle w:val="libFootnote0"/>
              <w:rPr>
                <w:rtl/>
              </w:rPr>
            </w:pPr>
            <w:r>
              <w:rPr>
                <w:rtl/>
              </w:rPr>
              <w:t xml:space="preserve">(9). </w:t>
            </w:r>
            <w:r w:rsidRPr="00020424">
              <w:rPr>
                <w:rtl/>
              </w:rPr>
              <w:t>في « بح » :</w:t>
            </w:r>
            <w:r>
              <w:rPr>
                <w:rtl/>
              </w:rPr>
              <w:t xml:space="preserve"> - </w:t>
            </w:r>
            <w:r w:rsidRPr="00020424">
              <w:rPr>
                <w:rtl/>
              </w:rPr>
              <w:t>« في</w:t>
            </w:r>
            <w:r>
              <w:rPr>
                <w:rtl/>
              </w:rPr>
              <w:t xml:space="preserve"> ».</w:t>
            </w:r>
          </w:p>
        </w:tc>
        <w:tc>
          <w:tcPr>
            <w:tcW w:w="4006" w:type="dxa"/>
          </w:tcPr>
          <w:p w:rsidR="00230910" w:rsidRDefault="00230910" w:rsidP="00992664">
            <w:pPr>
              <w:pStyle w:val="libFootnote0"/>
              <w:rPr>
                <w:rtl/>
              </w:rPr>
            </w:pPr>
            <w:r>
              <w:rPr>
                <w:rtl/>
              </w:rPr>
              <w:t xml:space="preserve">(10). </w:t>
            </w:r>
            <w:r w:rsidRPr="00020424">
              <w:rPr>
                <w:rtl/>
              </w:rPr>
              <w:t>في الكافي ، ح 6149 : « اكتسبت مالك</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172886">
        <w:rPr>
          <w:rtl/>
        </w:rPr>
        <w:t>الكافي</w:t>
      </w:r>
      <w:r w:rsidR="00992664" w:rsidRPr="00020424">
        <w:rPr>
          <w:rtl/>
        </w:rPr>
        <w:t xml:space="preserve"> ، كتاب الزكاة ، باب معرفة الجود والسخاء ، ذيل ح 6149. وفي </w:t>
      </w:r>
      <w:r w:rsidR="00992664" w:rsidRPr="0012008A">
        <w:rPr>
          <w:rStyle w:val="libFootnoteBoldChar"/>
          <w:rtl/>
        </w:rPr>
        <w:t>ثواب الأعمال</w:t>
      </w:r>
      <w:r w:rsidR="00992664" w:rsidRPr="00020424">
        <w:rPr>
          <w:rtl/>
        </w:rPr>
        <w:t xml:space="preserve"> ، ص 69 ، ح 1 ، بسنده عن أبي إسحاق إبراهيم بن هاشم ، عن الحسن بن عليّ بن فضّال ، عن مهديّ رجل من أصحابنا ، عن أبي الحسن الأوّل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9 ، ح 1581 ، مرسلاً عن أبي الحسن موسى بن جعفر </w:t>
      </w:r>
      <w:r w:rsidR="00D64ADA" w:rsidRPr="00D64ADA">
        <w:rPr>
          <w:rStyle w:val="libFootnoteAlaemChar"/>
          <w:rtl/>
        </w:rPr>
        <w:t>عليهما‌السلام</w:t>
      </w:r>
      <w:r w:rsidR="00992664" w:rsidRPr="00020424">
        <w:rPr>
          <w:rtl/>
        </w:rPr>
        <w:t xml:space="preserve"> </w:t>
      </w:r>
      <w:r w:rsidR="00992664" w:rsidRPr="00172886">
        <w:rPr>
          <w:rtl/>
        </w:rPr>
        <w:t>الوافى</w:t>
      </w:r>
      <w:r w:rsidR="00992664" w:rsidRPr="00020424">
        <w:rPr>
          <w:rtl/>
        </w:rPr>
        <w:t xml:space="preserve"> ، ج 10 ، ص 44 ، ح 9123 ؛ </w:t>
      </w:r>
      <w:r w:rsidR="00992664" w:rsidRPr="0012008A">
        <w:rPr>
          <w:rStyle w:val="libFootnoteBoldChar"/>
          <w:rtl/>
        </w:rPr>
        <w:t>الوسائل</w:t>
      </w:r>
      <w:r w:rsidR="00992664" w:rsidRPr="00020424">
        <w:rPr>
          <w:rtl/>
        </w:rPr>
        <w:t xml:space="preserve"> ، ج 9 ، ص 218 ، ح 11875 ؛ وج 21 ، ص 544 ، ح 27820.</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لم نجد رواية من يسمّى باسم ابن مهران عن ابن مسكان</w:t>
      </w:r>
      <w:r w:rsidR="00992664">
        <w:rPr>
          <w:rtl/>
        </w:rPr>
        <w:t xml:space="preserve"> </w:t>
      </w:r>
      <w:r w:rsidR="009B673F">
        <w:rPr>
          <w:rtl/>
        </w:rPr>
        <w:t>-</w:t>
      </w:r>
      <w:r w:rsidR="00992664">
        <w:rPr>
          <w:rtl/>
        </w:rPr>
        <w:t xml:space="preserve"> </w:t>
      </w:r>
      <w:r w:rsidR="00992664" w:rsidRPr="00020424">
        <w:rPr>
          <w:rtl/>
        </w:rPr>
        <w:t>وهو عبدالله</w:t>
      </w:r>
      <w:r w:rsidR="00992664">
        <w:rPr>
          <w:rtl/>
        </w:rPr>
        <w:t xml:space="preserve"> </w:t>
      </w:r>
      <w:r w:rsidR="009B673F">
        <w:rPr>
          <w:rtl/>
        </w:rPr>
        <w:t>-</w:t>
      </w:r>
      <w:r w:rsidR="00992664">
        <w:rPr>
          <w:rtl/>
        </w:rPr>
        <w:t xml:space="preserve"> </w:t>
      </w:r>
      <w:r w:rsidR="00992664" w:rsidRPr="00020424">
        <w:rPr>
          <w:rtl/>
        </w:rPr>
        <w:t>في شي‌ءٍ من الأسناد ، والخبر تقدّم</w:t>
      </w:r>
      <w:r w:rsidR="00992664">
        <w:rPr>
          <w:rFonts w:hint="cs"/>
          <w:rtl/>
        </w:rPr>
        <w:t xml:space="preserve"> </w:t>
      </w:r>
      <w:r w:rsidR="00D030F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ابْنِ مُسْكَانَ ، عَنْ مُحَمَّدِ بْنِ مُسْلِمٍ ، قَالَ :</w:t>
      </w:r>
    </w:p>
    <w:p w:rsidR="00992664" w:rsidRPr="00020424" w:rsidRDefault="00992664" w:rsidP="00992664">
      <w:pPr>
        <w:pStyle w:val="libNormal"/>
        <w:rPr>
          <w:rtl/>
          <w:lang w:bidi="fa-IR"/>
        </w:rPr>
      </w:pPr>
      <w:r w:rsidRPr="00020424">
        <w:rPr>
          <w:rtl/>
          <w:lang w:bidi="fa-IR"/>
        </w:rPr>
        <w:t xml:space="preserve">سَأَلْتُ أَبَا جَعْفَرٍ </w:t>
      </w:r>
      <w:r w:rsidRPr="00005A81">
        <w:rPr>
          <w:rStyle w:val="libAlaemChar"/>
          <w:rtl/>
        </w:rPr>
        <w:t>عليه‌السلام</w:t>
      </w:r>
      <w:r w:rsidRPr="00020424">
        <w:rPr>
          <w:rtl/>
          <w:lang w:bidi="fa-IR"/>
        </w:rPr>
        <w:t xml:space="preserve"> عَنْ قَوْلِ اللهِ عَزَّ وَجَلَّ : </w:t>
      </w:r>
      <w:r w:rsidRPr="00005A81">
        <w:rPr>
          <w:rStyle w:val="libAlaemChar"/>
          <w:rtl/>
        </w:rPr>
        <w:t>(</w:t>
      </w:r>
      <w:r w:rsidRPr="004E5AB4">
        <w:rPr>
          <w:rStyle w:val="libAieChar"/>
          <w:rtl/>
        </w:rPr>
        <w:t xml:space="preserve"> سَيُطَوَّقُونَ ما بَخِلُوا بِهِ يَوْمَ الْقِيامَةِ </w:t>
      </w:r>
      <w:r w:rsidRPr="00005A81">
        <w:rPr>
          <w:rStyle w:val="libAlaemChar"/>
          <w:rtl/>
        </w:rPr>
        <w:t>)</w:t>
      </w:r>
      <w:r w:rsidRPr="00020424">
        <w:rPr>
          <w:rtl/>
          <w:lang w:bidi="fa-IR"/>
        </w:rPr>
        <w:t xml:space="preserve">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قَالَ : « مَا مِنْ عَبْدٍ مَنَعَ مِن</w:t>
      </w:r>
      <w:r w:rsidR="00DF01C5">
        <w:rPr>
          <w:rtl/>
          <w:lang w:bidi="fa-IR"/>
        </w:rPr>
        <w:t>ْ زَكَاةِ مَالِهِ شَيْئاً إِل</w:t>
      </w:r>
      <w:r w:rsidR="00DF01C5">
        <w:rPr>
          <w:rFonts w:hint="cs"/>
          <w:rtl/>
          <w:lang w:bidi="fa-IR"/>
        </w:rPr>
        <w:t>َّ</w:t>
      </w:r>
      <w:r w:rsidR="00DF01C5">
        <w:rPr>
          <w:rtl/>
          <w:lang w:bidi="fa-IR"/>
        </w:rPr>
        <w:t>ا</w:t>
      </w:r>
      <w:r w:rsidRPr="00020424">
        <w:rPr>
          <w:rtl/>
          <w:lang w:bidi="fa-IR"/>
        </w:rPr>
        <w:t xml:space="preserve"> جَعَلَ </w:t>
      </w:r>
      <w:r w:rsidRPr="00A91B96">
        <w:rPr>
          <w:rStyle w:val="libFootnotenumChar"/>
          <w:rtl/>
        </w:rPr>
        <w:t>(2)</w:t>
      </w:r>
      <w:r w:rsidRPr="00020424">
        <w:rPr>
          <w:rtl/>
          <w:lang w:bidi="fa-IR"/>
        </w:rPr>
        <w:t xml:space="preserve"> اللهُ لَهُ </w:t>
      </w:r>
      <w:r w:rsidRPr="00A91B96">
        <w:rPr>
          <w:rStyle w:val="libFootnotenumChar"/>
          <w:rtl/>
        </w:rPr>
        <w:t>(3)</w:t>
      </w:r>
      <w:r w:rsidRPr="00020424">
        <w:rPr>
          <w:rtl/>
          <w:lang w:bidi="fa-IR"/>
        </w:rPr>
        <w:t xml:space="preserve"> ذلِكَ يَوْمَ الْقِيَامَةِ ثُعْبَاناً مِنْ نَارٍ ، يُطَوَّقُ فِي عُنُقِهِ ، يَنْهَشُ مِنْ لَحْمِهِ حَتّى يَفْرُغَ مِنَ الْحِسَابِ ، وَهُوَ قَوْلُ اللهِ عَزَّ وَجَلَّ : </w:t>
      </w:r>
      <w:r w:rsidRPr="00005A81">
        <w:rPr>
          <w:rStyle w:val="libAlaemChar"/>
          <w:rtl/>
        </w:rPr>
        <w:t>(</w:t>
      </w:r>
      <w:r w:rsidRPr="004E5AB4">
        <w:rPr>
          <w:rStyle w:val="libAieChar"/>
          <w:rtl/>
        </w:rPr>
        <w:t xml:space="preserve">سَيُطَوَّقُونَ ما بَخِلُوا بِهِ يَوْمَ الْقِيامَةِ </w:t>
      </w:r>
      <w:r w:rsidRPr="00005A81">
        <w:rPr>
          <w:rStyle w:val="libAlaemChar"/>
          <w:rtl/>
        </w:rPr>
        <w:t>)</w:t>
      </w:r>
      <w:r w:rsidRPr="00172886">
        <w:rPr>
          <w:rtl/>
        </w:rPr>
        <w:t xml:space="preserve"> » </w:t>
      </w:r>
      <w:r w:rsidRPr="00A91B96">
        <w:rPr>
          <w:rStyle w:val="libFootnotenumChar"/>
          <w:rtl/>
        </w:rPr>
        <w:t>(4)</w:t>
      </w:r>
      <w:r w:rsidRPr="00020424">
        <w:rPr>
          <w:rtl/>
          <w:lang w:bidi="fa-IR"/>
        </w:rPr>
        <w:t xml:space="preserve"> قَالَ : « مَا بَخِلُوا بِهِ مِنَ الزَّكَاةِ</w:t>
      </w:r>
      <w:r>
        <w:rPr>
          <w:rtl/>
          <w:lang w:bidi="fa-IR"/>
        </w:rPr>
        <w:t xml:space="preserve"> ».</w:t>
      </w:r>
      <w:r w:rsidRPr="00020424">
        <w:rPr>
          <w:rtl/>
          <w:lang w:bidi="fa-IR"/>
        </w:rPr>
        <w:t xml:space="preserve"> </w:t>
      </w:r>
      <w:r w:rsidRPr="00A91B96">
        <w:rPr>
          <w:rStyle w:val="libFootnotenumChar"/>
          <w:rtl/>
        </w:rPr>
        <w:t>(5)</w:t>
      </w:r>
    </w:p>
    <w:p w:rsidR="00992664" w:rsidRPr="00020424" w:rsidRDefault="00992664" w:rsidP="00992664">
      <w:pPr>
        <w:pStyle w:val="libNormal"/>
        <w:rPr>
          <w:rtl/>
          <w:lang w:bidi="fa-IR"/>
        </w:rPr>
      </w:pPr>
      <w:r w:rsidRPr="00172886">
        <w:rPr>
          <w:rtl/>
        </w:rPr>
        <w:t>5750</w:t>
      </w:r>
      <w:r w:rsidRPr="001155DE">
        <w:rPr>
          <w:rStyle w:val="libBold2Char"/>
          <w:rtl/>
        </w:rPr>
        <w:t xml:space="preserve"> / 11.</w:t>
      </w:r>
      <w:r w:rsidRPr="00020424">
        <w:rPr>
          <w:rtl/>
          <w:lang w:bidi="fa-IR"/>
        </w:rPr>
        <w:t xml:space="preserve"> أَحْمَدُ بْنُ مُحَمَّدٍ ، عَنْ عَلِيِّ بْنِ الْحُسَيْنِ </w:t>
      </w:r>
      <w:r w:rsidRPr="00A91B96">
        <w:rPr>
          <w:rStyle w:val="libFootnotenumChar"/>
          <w:rtl/>
        </w:rPr>
        <w:t>(6)</w:t>
      </w:r>
      <w:r w:rsidRPr="00020424">
        <w:rPr>
          <w:rtl/>
          <w:lang w:bidi="fa-IR"/>
        </w:rPr>
        <w:t xml:space="preserve"> ، عَنْ وُهَيْبِ بْنِ حَفْصٍ ، عَنْ أَبِي بَصِيرٍ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مَنْ مَنَعَ الزَّكَاةَ ، سَأَلَ الرَّجْعَةَ عِنْدَ الْمَوْتِ ، وَهُوَ‌</w:t>
      </w:r>
    </w:p>
    <w:p w:rsidR="00992664" w:rsidRPr="00020424" w:rsidRDefault="00992664" w:rsidP="00992664">
      <w:pPr>
        <w:pStyle w:val="libLine"/>
        <w:rPr>
          <w:rtl/>
          <w:lang w:bidi="fa-IR"/>
        </w:rPr>
      </w:pPr>
      <w:r w:rsidRPr="00020424">
        <w:rPr>
          <w:rtl/>
          <w:lang w:bidi="fa-IR"/>
        </w:rPr>
        <w:t>__________________</w:t>
      </w:r>
    </w:p>
    <w:p w:rsidR="00992664" w:rsidRPr="00020424" w:rsidRDefault="00992664" w:rsidP="00992664">
      <w:pPr>
        <w:pStyle w:val="libFootnote0"/>
        <w:rPr>
          <w:rtl/>
          <w:lang w:bidi="fa-IR"/>
        </w:rPr>
      </w:pPr>
      <w:r w:rsidRPr="00020424">
        <w:rPr>
          <w:rtl/>
        </w:rPr>
        <w:t>‌</w:t>
      </w:r>
      <w:r w:rsidR="000707E0">
        <w:rPr>
          <w:rFonts w:hint="cs"/>
          <w:rtl/>
        </w:rPr>
        <w:t xml:space="preserve">= </w:t>
      </w:r>
      <w:r w:rsidRPr="00020424">
        <w:rPr>
          <w:rtl/>
        </w:rPr>
        <w:t>في ح 5740 عن عليّ بن إبراهيم ، عن أبيه ، عن ابن أبي عمير ، عن عبدالله بن مسكان. فاحتمال كون « ابن مهران » محرّفاً من « ابن أبي عمير » غير منفيٍّ.</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آل عمران </w:t>
      </w:r>
      <w:r>
        <w:rPr>
          <w:rtl/>
        </w:rPr>
        <w:t>(3).</w:t>
      </w:r>
      <w:r w:rsidR="0014403D">
        <w:rPr>
          <w:rtl/>
        </w:rPr>
        <w:t xml:space="preserve"> </w:t>
      </w:r>
      <w:r w:rsidR="00992664" w:rsidRPr="00020424">
        <w:rPr>
          <w:rtl/>
        </w:rPr>
        <w:t>: 180.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بف » : « جعله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0707E0">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قال : ما من عبد</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0707E0">
        <w:rPr>
          <w:rtl/>
        </w:rPr>
        <w:t>–</w:t>
      </w:r>
      <w:r w:rsidR="00992664">
        <w:rPr>
          <w:rtl/>
        </w:rPr>
        <w:t xml:space="preserve"> </w:t>
      </w:r>
      <w:r w:rsidR="000707E0" w:rsidRPr="000707E0">
        <w:rPr>
          <w:rStyle w:val="libFootnoteAlaemChar"/>
          <w:rFonts w:hint="cs"/>
          <w:rtl/>
        </w:rPr>
        <w:t>(</w:t>
      </w:r>
      <w:r w:rsidR="00992664" w:rsidRPr="000707E0">
        <w:rPr>
          <w:rStyle w:val="libFootnoteAieChar"/>
          <w:rtl/>
        </w:rPr>
        <w:t xml:space="preserve"> يَوْمَ الْقِيمَةِ </w:t>
      </w:r>
      <w:r w:rsidR="000707E0">
        <w:rPr>
          <w:rStyle w:val="libFootnoteAlaemChar"/>
          <w:rFonts w:hint="cs"/>
          <w:rtl/>
        </w:rPr>
        <w:t>)</w:t>
      </w:r>
      <w:r w:rsidR="00992664">
        <w:rPr>
          <w:rtl/>
        </w:rPr>
        <w:t xml:space="preserve"> ».</w:t>
      </w:r>
    </w:p>
    <w:p w:rsidR="00992664" w:rsidRPr="00020424" w:rsidRDefault="00795177" w:rsidP="00791022">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10 ، ح 1587 ، معلّقاً عن محمّد بن مسلم ، من قوله : « ما من عبد منع من زكاة ماله</w:t>
      </w:r>
      <w:r w:rsidR="00992664">
        <w:rPr>
          <w:rtl/>
        </w:rPr>
        <w:t>».</w:t>
      </w:r>
      <w:r w:rsidR="00992664" w:rsidRPr="00020424">
        <w:rPr>
          <w:rtl/>
        </w:rPr>
        <w:t xml:space="preserve"> </w:t>
      </w:r>
      <w:r w:rsidR="00992664" w:rsidRPr="00172886">
        <w:rPr>
          <w:rtl/>
        </w:rPr>
        <w:t>تفسير العيّاشي</w:t>
      </w:r>
      <w:r w:rsidR="00992664" w:rsidRPr="00020424">
        <w:rPr>
          <w:rtl/>
        </w:rPr>
        <w:t xml:space="preserve"> ، ج 1 ، ص 207 ، ح 158 ، عن محمّد بن مسلم ، وفيهما مع اختلاف يسير</w:t>
      </w:r>
      <w:r w:rsidR="00791022">
        <w:rPr>
          <w:rFonts w:hint="cs"/>
          <w:rtl/>
        </w:rPr>
        <w:t>.</w:t>
      </w:r>
      <w:r w:rsidR="00992664" w:rsidRPr="00172886">
        <w:rPr>
          <w:rtl/>
        </w:rPr>
        <w:t>الوافى</w:t>
      </w:r>
      <w:r w:rsidR="00992664" w:rsidRPr="00020424">
        <w:rPr>
          <w:rtl/>
        </w:rPr>
        <w:t xml:space="preserve"> ، ج 10 ، ص 39 ، ح 9109 ؛ </w:t>
      </w:r>
      <w:r w:rsidR="00992664" w:rsidRPr="0012008A">
        <w:rPr>
          <w:rStyle w:val="libFootnoteBoldChar"/>
          <w:rtl/>
        </w:rPr>
        <w:t>الوسائل</w:t>
      </w:r>
      <w:r w:rsidR="00992664" w:rsidRPr="00020424">
        <w:rPr>
          <w:rtl/>
        </w:rPr>
        <w:t xml:space="preserve"> ، ج 9 ، ص 22 ، ذيل ح 11422 ، الباب 3 ، ح 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 « عليّ بن الحسن</w:t>
      </w:r>
      <w:r w:rsidR="00992664">
        <w:rPr>
          <w:rtl/>
        </w:rPr>
        <w:t xml:space="preserve"> ».</w:t>
      </w:r>
      <w:r w:rsidR="00992664" w:rsidRPr="00020424">
        <w:rPr>
          <w:rtl/>
        </w:rPr>
        <w:t xml:space="preserve"> وفي جامع الرواة نقلاً من نسخة : « محمّد بن الحسين</w:t>
      </w:r>
      <w:r w:rsidR="00992664">
        <w:rPr>
          <w:rtl/>
        </w:rPr>
        <w:t xml:space="preserve"> ».</w:t>
      </w:r>
    </w:p>
    <w:p w:rsidR="00992664" w:rsidRPr="00CF3A18" w:rsidRDefault="00992664" w:rsidP="00CF3A18">
      <w:pPr>
        <w:pStyle w:val="libFootnote0"/>
        <w:rPr>
          <w:rtl/>
        </w:rPr>
      </w:pPr>
      <w:r w:rsidRPr="00CF3A18">
        <w:rPr>
          <w:rtl/>
        </w:rPr>
        <w:t xml:space="preserve">ولايستقيم السند على أيٍّ من الاحتمالات الثلاثة ؛ أمّا عليّ بن الحسين ، فلم نجد في هذه الطبقة من يسمّى به. وأمّا عليّ بن الحسن </w:t>
      </w:r>
      <w:r w:rsidR="009B673F" w:rsidRPr="00CF3A18">
        <w:rPr>
          <w:rtl/>
        </w:rPr>
        <w:t>-</w:t>
      </w:r>
      <w:r w:rsidRPr="00CF3A18">
        <w:rPr>
          <w:rtl/>
        </w:rPr>
        <w:t xml:space="preserve"> والمراد به ابن فضّال </w:t>
      </w:r>
      <w:r w:rsidR="009B673F" w:rsidRPr="00CF3A18">
        <w:rPr>
          <w:rtl/>
        </w:rPr>
        <w:t>-</w:t>
      </w:r>
      <w:r w:rsidRPr="00CF3A18">
        <w:rPr>
          <w:rtl/>
        </w:rPr>
        <w:t xml:space="preserve"> فيكون المراد من أحمد بن محمّد هو العاصمي شيخ الكليني ، فلم نجد روايته عن وهيب بن حفص في موضع. ومحمّد بن الحسين وإن كان راوياً لكتاب وهيب بن حفص ، وروى عنه في بعض الأسناد ، لكن رواية أحمد بن محمّد </w:t>
      </w:r>
      <w:r w:rsidR="009B673F" w:rsidRPr="00CF3A18">
        <w:rPr>
          <w:rtl/>
        </w:rPr>
        <w:t>-</w:t>
      </w:r>
      <w:r w:rsidRPr="00CF3A18">
        <w:rPr>
          <w:rtl/>
        </w:rPr>
        <w:t xml:space="preserve"> سواء أكان المراد به أحمد بن محمّد بن عيسى المذكور في السند السابق ، أو العاصمي شيخ الكليني </w:t>
      </w:r>
      <w:r w:rsidR="009B673F" w:rsidRPr="00CF3A18">
        <w:rPr>
          <w:rtl/>
        </w:rPr>
        <w:t>-</w:t>
      </w:r>
      <w:r w:rsidRPr="00CF3A18">
        <w:rPr>
          <w:rtl/>
        </w:rPr>
        <w:t xml:space="preserve"> عنه لاتخلو من تأمّلٍ.</w:t>
      </w:r>
    </w:p>
    <w:p w:rsidR="00992664" w:rsidRPr="00CF3A18" w:rsidRDefault="00992664" w:rsidP="0048616A">
      <w:pPr>
        <w:pStyle w:val="libFootnote0"/>
        <w:rPr>
          <w:rtl/>
        </w:rPr>
      </w:pPr>
      <w:r w:rsidRPr="00CF3A18">
        <w:rPr>
          <w:rtl/>
        </w:rPr>
        <w:t>ولعلّ الأصل في السند كان « عنه عن محمّد بن الحسين ... » ، وكان الضمير راجعاً إلى محمّد بن يحيى ، لكنّه صحّف « عنه » ب</w:t>
      </w:r>
      <w:r w:rsidR="00CF3A18">
        <w:rPr>
          <w:rFonts w:hint="cs"/>
          <w:rtl/>
        </w:rPr>
        <w:t>ـ</w:t>
      </w:r>
      <w:r w:rsidRPr="00CF3A18">
        <w:rPr>
          <w:rtl/>
        </w:rPr>
        <w:t xml:space="preserve"> « أحمد » ، ثمّ فسّر أحمد ب</w:t>
      </w:r>
      <w:r w:rsidR="009F73E4">
        <w:rPr>
          <w:rFonts w:hint="cs"/>
          <w:rtl/>
        </w:rPr>
        <w:t>ـ</w:t>
      </w:r>
      <w:r w:rsidRPr="00CF3A18">
        <w:rPr>
          <w:rtl/>
        </w:rPr>
        <w:t xml:space="preserve"> « بن محمّد ». كما أنّه صحّف « محمّد بن الحسين » ب</w:t>
      </w:r>
      <w:r w:rsidR="0048616A">
        <w:rPr>
          <w:rFonts w:hint="cs"/>
          <w:rtl/>
        </w:rPr>
        <w:t>ـ</w:t>
      </w:r>
      <w:r w:rsidRPr="00CF3A18">
        <w:rPr>
          <w:rtl/>
        </w:rPr>
        <w:t xml:space="preserve"> « عليّ بن الحسين » ثمّ ب</w:t>
      </w:r>
      <w:r w:rsidR="0048616A">
        <w:rPr>
          <w:rFonts w:hint="cs"/>
          <w:rtl/>
        </w:rPr>
        <w:t>ـ</w:t>
      </w:r>
      <w:r w:rsidRPr="00CF3A18">
        <w:rPr>
          <w:rtl/>
        </w:rPr>
        <w:t xml:space="preserve"> « عليّ بن الحسن » ، والله هو العالم.</w:t>
      </w:r>
    </w:p>
    <w:p w:rsidR="00992664" w:rsidRPr="00CF3A18" w:rsidRDefault="00992664" w:rsidP="00CF3A18">
      <w:pPr>
        <w:pStyle w:val="libFootnote0"/>
        <w:rPr>
          <w:rtl/>
        </w:rPr>
      </w:pPr>
      <w:r w:rsidRPr="00CF3A18">
        <w:rPr>
          <w:rtl/>
        </w:rPr>
        <w:t>ويؤيّد ذلك ما تقدّم في نفس المجلّد ، ح 4145 من رواية محمّد بن يحيى ، عن محمّد بن الحسين ، عن وهيب بن حفص ، عن أبي بصير.</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قَوْلُ اللهِ عَزَّ وَجَلَّ : </w:t>
      </w:r>
      <w:r w:rsidRPr="00005A81">
        <w:rPr>
          <w:rStyle w:val="libAlaemChar"/>
          <w:rtl/>
        </w:rPr>
        <w:t>(</w:t>
      </w:r>
      <w:r w:rsidRPr="004E5AB4">
        <w:rPr>
          <w:rStyle w:val="libAieChar"/>
          <w:rtl/>
        </w:rPr>
        <w:t xml:space="preserve"> رَبِّ ارْجِعُونِ </w:t>
      </w:r>
      <w:r w:rsidR="00FC5B92">
        <w:rPr>
          <w:rStyle w:val="libAieChar"/>
          <w:rFonts w:hint="cs"/>
          <w:rtl/>
        </w:rPr>
        <w:t xml:space="preserve">* </w:t>
      </w:r>
      <w:r w:rsidRPr="004E5AB4">
        <w:rPr>
          <w:rStyle w:val="libAieChar"/>
          <w:rtl/>
        </w:rPr>
        <w:t xml:space="preserve">لَعَلِّي أَعْمَلُ صالِحاً فِيما تَرَكْتُ </w:t>
      </w:r>
      <w:r w:rsidRPr="00005A81">
        <w:rPr>
          <w:rStyle w:val="libAlaemChar"/>
          <w:rtl/>
        </w:rPr>
        <w:t>)</w:t>
      </w:r>
      <w:r w:rsidRPr="00020424">
        <w:rPr>
          <w:rtl/>
          <w:lang w:bidi="fa-IR"/>
        </w:rPr>
        <w:t xml:space="preserve">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p>
    <w:p w:rsidR="00992664" w:rsidRPr="00020424" w:rsidRDefault="00992664" w:rsidP="00992664">
      <w:pPr>
        <w:pStyle w:val="libNormal"/>
        <w:rPr>
          <w:rtl/>
          <w:lang w:bidi="fa-IR"/>
        </w:rPr>
      </w:pPr>
      <w:r w:rsidRPr="00D004F3">
        <w:rPr>
          <w:rtl/>
        </w:rPr>
        <w:t>5751</w:t>
      </w:r>
      <w:r w:rsidRPr="001155DE">
        <w:rPr>
          <w:rStyle w:val="libBold2Char"/>
          <w:rtl/>
        </w:rPr>
        <w:t xml:space="preserve"> / 12.</w:t>
      </w:r>
      <w:r w:rsidRPr="00020424">
        <w:rPr>
          <w:rtl/>
          <w:lang w:bidi="fa-IR"/>
        </w:rPr>
        <w:t xml:space="preserve"> عِدَّةٌ مِنْ أَصْحَابِنَا ، عَنْ سَهْلِ بْنِ زِيَادٍ ، عَنْ عَلِيِّ بْنِ حَسَّانَ ، عَنْ بَعْضِ أَصْحَابِنَا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صَلَاةٌ </w:t>
      </w:r>
      <w:r w:rsidRPr="00A91B96">
        <w:rPr>
          <w:rStyle w:val="libFootnotenumChar"/>
          <w:rtl/>
        </w:rPr>
        <w:t>(4)</w:t>
      </w:r>
      <w:r w:rsidRPr="00020424">
        <w:rPr>
          <w:rtl/>
          <w:lang w:bidi="fa-IR"/>
        </w:rPr>
        <w:t xml:space="preserve"> مَكْتُوبَةٌ خَيْرٌ مِنْ عِشْرِينَ حَجَّةً ، وَحَجَّةٌ خَيْرٌ مِنْ بَيْتٍ مَمْلُوءٍ ذَهَباً يُنْفِقُهُ فِي بِرٍّ حَتّى يَنْفَدَ </w:t>
      </w:r>
      <w:r w:rsidRPr="00A91B96">
        <w:rPr>
          <w:rStyle w:val="libFootnotenumChar"/>
          <w:rtl/>
        </w:rPr>
        <w:t>(5)</w:t>
      </w:r>
      <w:r>
        <w:rPr>
          <w:rtl/>
          <w:lang w:bidi="fa-IR"/>
        </w:rPr>
        <w:t xml:space="preserve"> ».</w:t>
      </w:r>
      <w:r w:rsidRPr="00020424">
        <w:rPr>
          <w:rtl/>
          <w:lang w:bidi="fa-IR"/>
        </w:rPr>
        <w:t xml:space="preserve"> قَالَ </w:t>
      </w:r>
      <w:r w:rsidRPr="00A91B96">
        <w:rPr>
          <w:rStyle w:val="libFootnotenumChar"/>
          <w:rtl/>
        </w:rPr>
        <w:t>(6)</w:t>
      </w:r>
      <w:r w:rsidRPr="00020424">
        <w:rPr>
          <w:rtl/>
          <w:lang w:bidi="fa-IR"/>
        </w:rPr>
        <w:t xml:space="preserve"> : ثُمَّ قَالَ : « وَلَا </w:t>
      </w:r>
      <w:r w:rsidRPr="00A91B96">
        <w:rPr>
          <w:rStyle w:val="libFootnotenumChar"/>
          <w:rtl/>
        </w:rPr>
        <w:t>(7)</w:t>
      </w:r>
      <w:r w:rsidRPr="00020424">
        <w:rPr>
          <w:rtl/>
          <w:lang w:bidi="fa-IR"/>
        </w:rPr>
        <w:t xml:space="preserve"> أَفْلَحَ مَنْ ضَيَّعَ عِشْرِينَ بَيْتاً مِنْ ذَهَبٍ بِخَمْسَةٍ وَعِشْرِينَ دِرْهَماً </w:t>
      </w:r>
      <w:r w:rsidRPr="00A91B96">
        <w:rPr>
          <w:rStyle w:val="libFootnotenumChar"/>
          <w:rtl/>
        </w:rPr>
        <w:t>(8)</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وَمَا مَعْنى خَمْسَةٍ وَعِشْرِينَ دِرْهَماً </w:t>
      </w:r>
      <w:r w:rsidRPr="00A91B96">
        <w:rPr>
          <w:rStyle w:val="libFootnotenumChar"/>
          <w:rtl/>
        </w:rPr>
        <w:t>(9)</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 مَنْ مَنَعَ </w:t>
      </w:r>
      <w:r w:rsidRPr="00A91B96">
        <w:rPr>
          <w:rStyle w:val="libFootnotenumChar"/>
          <w:rtl/>
        </w:rPr>
        <w:t>(11)</w:t>
      </w:r>
      <w:r w:rsidRPr="00020424">
        <w:rPr>
          <w:rtl/>
          <w:lang w:bidi="fa-IR"/>
        </w:rPr>
        <w:t xml:space="preserve"> الزَّكَاةَ ، وُقِفَتْ صَلَاتُهُ حَتّى يُزَكِّيَ</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المؤمنون (23) : 99</w:t>
      </w:r>
      <w:r w:rsidR="00992664">
        <w:rPr>
          <w:rtl/>
        </w:rPr>
        <w:t xml:space="preserve"> </w:t>
      </w:r>
      <w:r w:rsidR="009B673F">
        <w:rPr>
          <w:rtl/>
        </w:rPr>
        <w:t>-</w:t>
      </w:r>
      <w:r w:rsidR="00992664">
        <w:rPr>
          <w:rtl/>
        </w:rPr>
        <w:t xml:space="preserve"> </w:t>
      </w:r>
      <w:r w:rsidR="00992664" w:rsidRPr="00020424">
        <w:rPr>
          <w:rtl/>
        </w:rPr>
        <w:t>100.</w:t>
      </w:r>
    </w:p>
    <w:p w:rsidR="00992664" w:rsidRPr="00020424" w:rsidRDefault="00795177" w:rsidP="00B746BC">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368 ، ضمن الحديث الطويل 5762 ، بسند آخر عن جعفر بن محمّد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D64ADA" w:rsidRPr="00D64ADA">
        <w:rPr>
          <w:rStyle w:val="libFootnoteBoldChar"/>
          <w:rtl/>
        </w:rPr>
        <w:t>المحاسن</w:t>
      </w:r>
      <w:r w:rsidR="00992664" w:rsidRPr="00020424">
        <w:rPr>
          <w:rtl/>
        </w:rPr>
        <w:t xml:space="preserve"> ، ص 87 ، كتاب عقاب الأعمال ، ذيل ح 27 ، مرسلاً عن أبي بصير. </w:t>
      </w:r>
      <w:r w:rsidR="00992664" w:rsidRPr="0012008A">
        <w:rPr>
          <w:rStyle w:val="libFootnoteBoldChar"/>
          <w:rtl/>
        </w:rPr>
        <w:t>ثواب الأعمال</w:t>
      </w:r>
      <w:r w:rsidR="00992664" w:rsidRPr="00020424">
        <w:rPr>
          <w:rtl/>
        </w:rPr>
        <w:t xml:space="preserve"> ، ص 280 ، ح 5 ، مرسلاً وفيه : « ذكر أحمد بن أبي عبدالله أنّ في رواية أبي بصير</w:t>
      </w:r>
      <w:r w:rsidR="00992664">
        <w:rPr>
          <w:rtl/>
        </w:rPr>
        <w:t xml:space="preserve"> ..</w:t>
      </w:r>
      <w:r w:rsidR="00992664" w:rsidRPr="00020424">
        <w:rPr>
          <w:rtl/>
        </w:rPr>
        <w:t>. » وفي كلّ المصادر مع اختلاف يسير</w:t>
      </w:r>
      <w:r w:rsidR="00B746BC">
        <w:rPr>
          <w:rFonts w:hint="cs"/>
          <w:rtl/>
        </w:rPr>
        <w:t>.</w:t>
      </w:r>
      <w:r w:rsidR="00992664" w:rsidRPr="00D004F3">
        <w:rPr>
          <w:rtl/>
        </w:rPr>
        <w:t>الوافى</w:t>
      </w:r>
      <w:r w:rsidR="00992664" w:rsidRPr="00020424">
        <w:rPr>
          <w:rtl/>
        </w:rPr>
        <w:t xml:space="preserve"> ، ج 10 ، ص 37 ، ح 9103 ؛ </w:t>
      </w:r>
      <w:r w:rsidR="00992664" w:rsidRPr="0012008A">
        <w:rPr>
          <w:rStyle w:val="libFootnoteBoldChar"/>
          <w:rtl/>
        </w:rPr>
        <w:t>الوسائل</w:t>
      </w:r>
      <w:r w:rsidR="00992664" w:rsidRPr="00020424">
        <w:rPr>
          <w:rtl/>
        </w:rPr>
        <w:t xml:space="preserve"> ، ج 9 ، ص 26 ، ح 11435.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بث ، بح ، بخ ، بر ، بف ، جر ، جن » </w:t>
      </w:r>
      <w:r w:rsidR="00992664" w:rsidRPr="003E6EDD">
        <w:rPr>
          <w:rtl/>
        </w:rPr>
        <w:t>والوافي والتهذيب</w:t>
      </w:r>
      <w:r w:rsidR="00992664" w:rsidRPr="00020424">
        <w:rPr>
          <w:rtl/>
        </w:rPr>
        <w:t xml:space="preserve"> ، ج 4. وفي : « ظ ، بس » والمطبوع </w:t>
      </w:r>
      <w:r w:rsidR="00992664" w:rsidRPr="00EB1FD9">
        <w:rPr>
          <w:rStyle w:val="libFootnoteBoldChar"/>
          <w:rtl/>
        </w:rPr>
        <w:t>والوسائل</w:t>
      </w:r>
      <w:r w:rsidR="00992664" w:rsidRPr="00020424">
        <w:rPr>
          <w:rtl/>
        </w:rPr>
        <w:t xml:space="preserve"> : « أصحابه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والكافي ، ح </w:t>
      </w:r>
      <w:r w:rsidR="00992664" w:rsidRPr="003E6EDD">
        <w:rPr>
          <w:rtl/>
        </w:rPr>
        <w:t>4792 والفقيه والتهذيب</w:t>
      </w:r>
      <w:r w:rsidR="00992664" w:rsidRPr="00020424">
        <w:rPr>
          <w:rtl/>
        </w:rPr>
        <w:t xml:space="preserve"> ، ج 2 وج 5 : + « فريضة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والكافي ، ح </w:t>
      </w:r>
      <w:r w:rsidR="00992664" w:rsidRPr="003E6EDD">
        <w:rPr>
          <w:rtl/>
        </w:rPr>
        <w:t>4792 والفقيه والتهذيب</w:t>
      </w:r>
      <w:r w:rsidR="00992664" w:rsidRPr="00020424">
        <w:rPr>
          <w:rtl/>
        </w:rPr>
        <w:t xml:space="preserve"> ، ج 2 : « حتّى يفنى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91A9D" w:rsidTr="00391A9D">
        <w:tc>
          <w:tcPr>
            <w:tcW w:w="4006" w:type="dxa"/>
          </w:tcPr>
          <w:p w:rsidR="00391A9D" w:rsidRDefault="00391A9D" w:rsidP="00992664">
            <w:pPr>
              <w:pStyle w:val="libFootnote0"/>
              <w:rPr>
                <w:rtl/>
              </w:rPr>
            </w:pPr>
            <w:r>
              <w:rPr>
                <w:rtl/>
              </w:rPr>
              <w:t xml:space="preserve">(6). </w:t>
            </w:r>
            <w:r w:rsidRPr="00020424">
              <w:rPr>
                <w:rtl/>
              </w:rPr>
              <w:t xml:space="preserve">في « بخ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391A9D" w:rsidRDefault="00391A9D" w:rsidP="00992664">
            <w:pPr>
              <w:pStyle w:val="libFootnote0"/>
              <w:rPr>
                <w:rtl/>
              </w:rPr>
            </w:pPr>
            <w:r>
              <w:rPr>
                <w:rtl/>
              </w:rPr>
              <w:t xml:space="preserve">(7). </w:t>
            </w:r>
            <w:r w:rsidRPr="00020424">
              <w:rPr>
                <w:rtl/>
              </w:rPr>
              <w:t xml:space="preserve">في « بر ، بف » </w:t>
            </w:r>
            <w:r w:rsidRPr="00515444">
              <w:rPr>
                <w:rStyle w:val="libFootnoteBoldChar"/>
                <w:rtl/>
              </w:rPr>
              <w:t>والوافي</w:t>
            </w:r>
            <w:r w:rsidRPr="00020424">
              <w:rPr>
                <w:rtl/>
              </w:rPr>
              <w:t xml:space="preserve"> : « فلا</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عنى بخمسة وعشرين درهماً خمسة وعشرين من ألف ويأتي ما يؤيّد هذا المعنى في الباب الآتي ، والمراد نفي الفلاح عمّن كان له ما هو خير من عشرين بيتاً من ذهب ينفق في برّ ، وهو كلّ صلاة فريضة صلاّها فضيّع ذلك بمنعه خمسة وعشرين درهماً من كلّ ألف درهم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A291E" w:rsidTr="00AA291E">
        <w:tc>
          <w:tcPr>
            <w:tcW w:w="4006" w:type="dxa"/>
          </w:tcPr>
          <w:p w:rsidR="00AA291E" w:rsidRDefault="00AA291E" w:rsidP="00391A9D">
            <w:pPr>
              <w:pStyle w:val="libFootnote0"/>
              <w:rPr>
                <w:rtl/>
                <w:lang w:bidi="fa-IR"/>
              </w:rPr>
            </w:pPr>
            <w:r>
              <w:rPr>
                <w:rtl/>
              </w:rPr>
              <w:t xml:space="preserve">(9). </w:t>
            </w:r>
            <w:r w:rsidRPr="00020424">
              <w:rPr>
                <w:rtl/>
              </w:rPr>
              <w:t>في</w:t>
            </w:r>
            <w:r>
              <w:rPr>
                <w:rtl/>
              </w:rPr>
              <w:t>«</w:t>
            </w:r>
            <w:r w:rsidRPr="00020424">
              <w:rPr>
                <w:rtl/>
              </w:rPr>
              <w:t xml:space="preserve">بر» </w:t>
            </w:r>
            <w:r w:rsidRPr="003E6EDD">
              <w:rPr>
                <w:rtl/>
              </w:rPr>
              <w:t>والوافي والتهذيب</w:t>
            </w:r>
            <w:r w:rsidRPr="00020424">
              <w:rPr>
                <w:rtl/>
              </w:rPr>
              <w:t>،ج4:</w:t>
            </w:r>
            <w:r>
              <w:rPr>
                <w:rtl/>
              </w:rPr>
              <w:t>-</w:t>
            </w:r>
            <w:r w:rsidRPr="00020424">
              <w:rPr>
                <w:rtl/>
              </w:rPr>
              <w:t>«درهماً</w:t>
            </w:r>
            <w:r>
              <w:rPr>
                <w:rtl/>
              </w:rPr>
              <w:t>».</w:t>
            </w:r>
          </w:p>
        </w:tc>
        <w:tc>
          <w:tcPr>
            <w:tcW w:w="4006" w:type="dxa"/>
          </w:tcPr>
          <w:p w:rsidR="00AA291E" w:rsidRDefault="00AA291E" w:rsidP="00391A9D">
            <w:pPr>
              <w:pStyle w:val="libFootnote0"/>
              <w:rPr>
                <w:rtl/>
                <w:lang w:bidi="fa-IR"/>
              </w:rPr>
            </w:pPr>
            <w:r>
              <w:rPr>
                <w:rtl/>
              </w:rPr>
              <w:t xml:space="preserve">(10). </w:t>
            </w:r>
            <w:r w:rsidRPr="00020424">
              <w:rPr>
                <w:rtl/>
              </w:rPr>
              <w:t>في « بح » : « فقال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جن » : + « من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12 ، ح 330 ، معلّقاً عن الكليني. </w:t>
      </w:r>
      <w:r w:rsidR="00992664" w:rsidRPr="00D004F3">
        <w:rPr>
          <w:rtl/>
        </w:rPr>
        <w:t>الكافي</w:t>
      </w:r>
      <w:r w:rsidR="00992664" w:rsidRPr="00020424">
        <w:rPr>
          <w:rtl/>
        </w:rPr>
        <w:t xml:space="preserve"> ، كتاب الحجّ ، باب فضل الحجّ والعمرة وثوابهما ، ح 6894 ، بسند آخر ، وتمام الرواية فيه : « حجّة خير من بيت مملوء ذهباً يتصدّق به حتّى يفنى</w:t>
      </w:r>
      <w:r w:rsidR="00992664">
        <w:rPr>
          <w:rtl/>
        </w:rPr>
        <w:t xml:space="preserve"> ».</w:t>
      </w:r>
      <w:r w:rsidR="00992664" w:rsidRPr="00020424">
        <w:rPr>
          <w:rtl/>
        </w:rPr>
        <w:t xml:space="preserve"> </w:t>
      </w:r>
      <w:r w:rsidR="00992664" w:rsidRPr="00D004F3">
        <w:rPr>
          <w:rtl/>
        </w:rPr>
        <w:t>وفيه</w:t>
      </w:r>
      <w:r w:rsidR="00992664" w:rsidRPr="00020424">
        <w:rPr>
          <w:rtl/>
        </w:rPr>
        <w:t xml:space="preserve"> ، كتاب </w:t>
      </w:r>
      <w:r w:rsidR="002A314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004F3">
        <w:rPr>
          <w:rtl/>
        </w:rPr>
        <w:lastRenderedPageBreak/>
        <w:t>5752</w:t>
      </w:r>
      <w:r w:rsidRPr="001155DE">
        <w:rPr>
          <w:rStyle w:val="libBold2Char"/>
          <w:rtl/>
        </w:rPr>
        <w:t xml:space="preserve"> / 13.</w:t>
      </w:r>
      <w:r w:rsidRPr="00020424">
        <w:rPr>
          <w:rtl/>
          <w:lang w:bidi="fa-IR"/>
        </w:rPr>
        <w:t xml:space="preserve"> عَلِيُّ بْنُ إِبْرَاهِيمَ ، عَنْ هَارُونَ بْنِ مُسْلِمٍ ، عَنْ مَسْعَدَةَ بْنِ صَدَقَةَ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w:t>
      </w:r>
      <w:r w:rsidRPr="00A91B96">
        <w:rPr>
          <w:rStyle w:val="libFootnotenumChar"/>
          <w:rtl/>
        </w:rPr>
        <w:t>(2)</w:t>
      </w:r>
      <w:r w:rsidRPr="00020424">
        <w:rPr>
          <w:rtl/>
          <w:lang w:bidi="fa-IR"/>
        </w:rPr>
        <w:t xml:space="preserve"> : « مَلْعُونٌ مَلْعُونٌ </w:t>
      </w:r>
      <w:r w:rsidRPr="00A91B96">
        <w:rPr>
          <w:rStyle w:val="libFootnotenumChar"/>
          <w:rtl/>
        </w:rPr>
        <w:t>(3)</w:t>
      </w:r>
      <w:r w:rsidRPr="00020424">
        <w:rPr>
          <w:rtl/>
          <w:lang w:bidi="fa-IR"/>
        </w:rPr>
        <w:t xml:space="preserve"> مَالٌ لَايُزَكّى</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D004F3">
        <w:rPr>
          <w:rtl/>
        </w:rPr>
        <w:t>5753</w:t>
      </w:r>
      <w:r w:rsidRPr="001155DE">
        <w:rPr>
          <w:rStyle w:val="libBold2Char"/>
          <w:rtl/>
        </w:rPr>
        <w:t xml:space="preserve"> / 14.</w:t>
      </w:r>
      <w:r w:rsidRPr="00020424">
        <w:rPr>
          <w:rtl/>
          <w:lang w:bidi="fa-IR"/>
        </w:rPr>
        <w:t xml:space="preserve"> أَبُو عَلِيٍّ الْأَشْعَرِيُّ ، عَمَّنْ ذَكَرَهُ ، عَنْ حَفْصِ بْنِ عُمَرَ ، عَنْ سَالِمٍ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مَنَعَ قِيرَاطاً مِنَ </w:t>
      </w:r>
      <w:r w:rsidRPr="00A91B96">
        <w:rPr>
          <w:rStyle w:val="libFootnotenumChar"/>
          <w:rtl/>
        </w:rPr>
        <w:t>(5)</w:t>
      </w:r>
      <w:r w:rsidRPr="00020424">
        <w:rPr>
          <w:rtl/>
          <w:lang w:bidi="fa-IR"/>
        </w:rPr>
        <w:t xml:space="preserve"> الزَّكَاةِ ، فَلْيَمُتْ إِنْ شَاءَ يَهُودِيّاً ، أَوْ </w:t>
      </w:r>
      <w:r w:rsidRPr="00A91B96">
        <w:rPr>
          <w:rStyle w:val="libFootnotenumChar"/>
          <w:rtl/>
        </w:rPr>
        <w:t>(6)</w:t>
      </w:r>
      <w:r w:rsidRPr="00020424">
        <w:rPr>
          <w:rtl/>
          <w:lang w:bidi="fa-IR"/>
        </w:rPr>
        <w:t xml:space="preserve"> نَصْرَانِيّاً</w:t>
      </w:r>
      <w:r>
        <w:rPr>
          <w:rtl/>
          <w:lang w:bidi="fa-IR"/>
        </w:rPr>
        <w:t xml:space="preserve"> ».</w:t>
      </w:r>
      <w:r w:rsidRPr="00020424">
        <w:rPr>
          <w:rtl/>
          <w:lang w:bidi="fa-IR"/>
        </w:rPr>
        <w:t xml:space="preserve"> </w:t>
      </w:r>
      <w:r w:rsidRPr="00A91B96">
        <w:rPr>
          <w:rStyle w:val="libFootnotenumChar"/>
          <w:rtl/>
        </w:rPr>
        <w:t>(7)</w:t>
      </w:r>
    </w:p>
    <w:p w:rsidR="00992664" w:rsidRPr="00020424" w:rsidRDefault="00992664" w:rsidP="00992664">
      <w:pPr>
        <w:pStyle w:val="libNormal"/>
        <w:rPr>
          <w:rtl/>
          <w:lang w:bidi="fa-IR"/>
        </w:rPr>
      </w:pPr>
      <w:r w:rsidRPr="00D004F3">
        <w:rPr>
          <w:rtl/>
        </w:rPr>
        <w:t>5754</w:t>
      </w:r>
      <w:r w:rsidRPr="001155DE">
        <w:rPr>
          <w:rStyle w:val="libBold2Char"/>
          <w:rtl/>
        </w:rPr>
        <w:t xml:space="preserve"> / 15.</w:t>
      </w:r>
      <w:r w:rsidRPr="00020424">
        <w:rPr>
          <w:rtl/>
          <w:lang w:bidi="fa-IR"/>
        </w:rPr>
        <w:t xml:space="preserve"> أَحْمَدُ بْنُ مُحَمَّدٍ ، عَنْ عَلِيِّ بْنِ الْحَسَنِ ، عَنْ عَلِيِّ بْنِ النُّعْمَانِ ، عَنْ إِسْحَاقَ </w:t>
      </w:r>
      <w:r w:rsidRPr="00A91B96">
        <w:rPr>
          <w:rStyle w:val="libFootnotenumChar"/>
          <w:rtl/>
        </w:rPr>
        <w:t>(8)</w:t>
      </w:r>
      <w:r w:rsidRPr="00020424">
        <w:rPr>
          <w:rtl/>
          <w:lang w:bidi="fa-IR"/>
        </w:rPr>
        <w:t>، قَالَ :</w:t>
      </w:r>
    </w:p>
    <w:p w:rsidR="00992664" w:rsidRPr="00020424" w:rsidRDefault="00992664" w:rsidP="00992664">
      <w:pPr>
        <w:pStyle w:val="libNormal"/>
        <w:rPr>
          <w:rtl/>
          <w:lang w:bidi="fa-IR"/>
        </w:rPr>
      </w:pPr>
      <w:r w:rsidRPr="00020424">
        <w:rPr>
          <w:rtl/>
          <w:lang w:bidi="fa-IR"/>
        </w:rPr>
        <w:t xml:space="preserve">حَدَّثَنِي مَنْ سَمِعَ أَبَا عَبْدِ اللهِ </w:t>
      </w:r>
      <w:r w:rsidRPr="00005A81">
        <w:rPr>
          <w:rStyle w:val="libAlaemChar"/>
          <w:rtl/>
        </w:rPr>
        <w:t>عليه‌السلام</w:t>
      </w:r>
      <w:r w:rsidRPr="00020424">
        <w:rPr>
          <w:rtl/>
          <w:lang w:bidi="fa-IR"/>
        </w:rPr>
        <w:t xml:space="preserve"> يَقُولُ : « مَا ضَاعَ مَ</w:t>
      </w:r>
      <w:r w:rsidR="000870D0">
        <w:rPr>
          <w:rtl/>
          <w:lang w:bidi="fa-IR"/>
        </w:rPr>
        <w:t>الٌ فِي بَرٍّ وَلَابَحْرٍ إِل</w:t>
      </w:r>
      <w:r w:rsidR="000870D0">
        <w:rPr>
          <w:rFonts w:hint="cs"/>
          <w:rtl/>
          <w:lang w:bidi="fa-IR"/>
        </w:rPr>
        <w:t>َّ</w:t>
      </w:r>
      <w:r w:rsidR="000870D0">
        <w:rPr>
          <w:rtl/>
          <w:lang w:bidi="fa-IR"/>
        </w:rPr>
        <w:t>ا</w:t>
      </w:r>
      <w:r w:rsidRPr="00020424">
        <w:rPr>
          <w:rtl/>
          <w:lang w:bidi="fa-IR"/>
        </w:rPr>
        <w:t xml:space="preserve"> بِتَضْيِيعِ‌</w:t>
      </w:r>
    </w:p>
    <w:p w:rsidR="00992664" w:rsidRPr="00020424" w:rsidRDefault="00992664" w:rsidP="00992664">
      <w:pPr>
        <w:pStyle w:val="libLine"/>
        <w:rPr>
          <w:rtl/>
          <w:lang w:bidi="fa-IR"/>
        </w:rPr>
      </w:pPr>
      <w:r w:rsidRPr="00020424">
        <w:rPr>
          <w:rtl/>
          <w:lang w:bidi="fa-IR"/>
        </w:rPr>
        <w:t>__________________</w:t>
      </w:r>
    </w:p>
    <w:p w:rsidR="00992664" w:rsidRPr="00020424" w:rsidRDefault="000870D0" w:rsidP="00992664">
      <w:pPr>
        <w:pStyle w:val="libFootnote0"/>
        <w:rPr>
          <w:rtl/>
          <w:lang w:bidi="fa-IR"/>
        </w:rPr>
      </w:pPr>
      <w:r>
        <w:rPr>
          <w:rFonts w:hint="cs"/>
          <w:rtl/>
        </w:rPr>
        <w:t xml:space="preserve">= </w:t>
      </w:r>
      <w:r w:rsidR="00992664" w:rsidRPr="00020424">
        <w:rPr>
          <w:rtl/>
        </w:rPr>
        <w:t xml:space="preserve">الصلاة ، باب فضل الصلاة ، ح 4792 ؛ </w:t>
      </w:r>
      <w:r w:rsidR="00992664" w:rsidRPr="00515444">
        <w:rPr>
          <w:rStyle w:val="libFootnoteBoldChar"/>
          <w:rtl/>
        </w:rPr>
        <w:t>والتهذيب</w:t>
      </w:r>
      <w:r w:rsidR="00992664" w:rsidRPr="00D004F3">
        <w:rPr>
          <w:rtl/>
        </w:rPr>
        <w:t xml:space="preserve"> </w:t>
      </w:r>
      <w:r w:rsidR="00992664" w:rsidRPr="00020424">
        <w:rPr>
          <w:rtl/>
        </w:rPr>
        <w:t xml:space="preserve">ج 2 ، ص 236 ، ح 935 ؛ وج 5 ، ص 21 ، ح 61 ، بسند آخر. </w:t>
      </w:r>
      <w:r w:rsidR="00992664" w:rsidRPr="0012008A">
        <w:rPr>
          <w:rStyle w:val="libFootnoteBoldChar"/>
          <w:rtl/>
        </w:rPr>
        <w:t>الفقيه</w:t>
      </w:r>
      <w:r w:rsidR="00992664" w:rsidRPr="00020424">
        <w:rPr>
          <w:rtl/>
        </w:rPr>
        <w:t xml:space="preserve"> ، ج 1 ، ص 209 ، ح 630 ، مرسلاً ؛ </w:t>
      </w:r>
      <w:r w:rsidR="00992664" w:rsidRPr="00D004F3">
        <w:rPr>
          <w:rtl/>
        </w:rPr>
        <w:t>وفيه</w:t>
      </w:r>
      <w:r w:rsidR="00992664" w:rsidRPr="00020424">
        <w:rPr>
          <w:rtl/>
        </w:rPr>
        <w:t xml:space="preserve"> ، ج 2 ، ص 221 ، ح 2237 ، مرسلاً من دون الإسناد إلى المعصوم </w:t>
      </w:r>
      <w:r w:rsidR="00992664" w:rsidRPr="00D64ADA">
        <w:rPr>
          <w:rStyle w:val="libFootnoteAlaemChar"/>
          <w:rtl/>
        </w:rPr>
        <w:t>عليه‌السلام</w:t>
      </w:r>
      <w:r w:rsidR="00992664" w:rsidRPr="00020424">
        <w:rPr>
          <w:rtl/>
        </w:rPr>
        <w:t xml:space="preserve"> ، وفي الخمسة الأخيرة إلى قوله : « ينفقه في برّ حتّى ينفد » مع اختلاف يسير. </w:t>
      </w:r>
      <w:r w:rsidR="00992664" w:rsidRPr="00D004F3">
        <w:rPr>
          <w:rtl/>
        </w:rPr>
        <w:t>وفيه</w:t>
      </w:r>
      <w:r w:rsidR="00992664" w:rsidRPr="00020424">
        <w:rPr>
          <w:rtl/>
        </w:rPr>
        <w:t xml:space="preserve"> ، ص 12 ، ح 1594 ، مرسلاً ، مع اختلاف يسير. وراجع : </w:t>
      </w:r>
      <w:r w:rsidR="00992664" w:rsidRPr="00757F3F">
        <w:rPr>
          <w:rStyle w:val="libFootnoteBoldChar"/>
          <w:rtl/>
        </w:rPr>
        <w:t>الأمالي للطوسي</w:t>
      </w:r>
      <w:r w:rsidR="00992664" w:rsidRPr="00020424">
        <w:rPr>
          <w:rtl/>
        </w:rPr>
        <w:t xml:space="preserve"> ، ص 694 ، المجلس 39 ، ح 21 </w:t>
      </w:r>
      <w:r>
        <w:rPr>
          <w:rFonts w:hint="cs"/>
          <w:rtl/>
        </w:rPr>
        <w:t>.</w:t>
      </w:r>
      <w:r w:rsidR="00992664" w:rsidRPr="00D004F3">
        <w:rPr>
          <w:rtl/>
        </w:rPr>
        <w:t>الوافى</w:t>
      </w:r>
      <w:r w:rsidR="00992664" w:rsidRPr="00020424">
        <w:rPr>
          <w:rtl/>
        </w:rPr>
        <w:t xml:space="preserve"> ، ج 10 ، ص 35 ، ح 9099 ؛ </w:t>
      </w:r>
      <w:r w:rsidR="00992664" w:rsidRPr="0012008A">
        <w:rPr>
          <w:rStyle w:val="libFootnoteBoldChar"/>
          <w:rtl/>
        </w:rPr>
        <w:t>الوسائل</w:t>
      </w:r>
      <w:r w:rsidR="00992664" w:rsidRPr="00020424">
        <w:rPr>
          <w:rtl/>
        </w:rPr>
        <w:t xml:space="preserve"> ، ج 9 ، ص 27 ، ح 11436.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صدقة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r w:rsidR="00992664" w:rsidRPr="00020424">
        <w:rPr>
          <w:rtl/>
        </w:rPr>
        <w:t xml:space="preserve"> وفي الكافي ، ح 2377 </w:t>
      </w:r>
      <w:r w:rsidR="00992664" w:rsidRPr="00EE0C68">
        <w:rPr>
          <w:rStyle w:val="libFootnoteBoldChar"/>
          <w:rtl/>
        </w:rPr>
        <w:t>وقرب الإسناد</w:t>
      </w:r>
      <w:r w:rsidR="00992664" w:rsidRPr="00020424">
        <w:rPr>
          <w:rtl/>
        </w:rPr>
        <w:t xml:space="preserve"> : + «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يوماً لأصحابه</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الكافي ، ح 2377 </w:t>
      </w:r>
      <w:r w:rsidR="00992664" w:rsidRPr="00EE0C68">
        <w:rPr>
          <w:rStyle w:val="libFootnoteBoldChar"/>
          <w:rtl/>
        </w:rPr>
        <w:t>وقرب الإسناد</w:t>
      </w:r>
      <w:r w:rsidR="00992664" w:rsidRPr="00020424">
        <w:rPr>
          <w:rtl/>
        </w:rPr>
        <w:t xml:space="preserve"> : « كلّ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004F3">
        <w:rPr>
          <w:rtl/>
        </w:rPr>
        <w:t>الكافي</w:t>
      </w:r>
      <w:r w:rsidR="00992664" w:rsidRPr="00020424">
        <w:rPr>
          <w:rtl/>
        </w:rPr>
        <w:t xml:space="preserve"> ، كتاب الإيمان والكفر ، باب شدّة ابتلاء المؤمن ، صدر ح 2377. وفي </w:t>
      </w:r>
      <w:r w:rsidR="00992664" w:rsidRPr="00D004F3">
        <w:rPr>
          <w:rtl/>
        </w:rPr>
        <w:t>قرب الإسناد</w:t>
      </w:r>
      <w:r w:rsidR="00992664" w:rsidRPr="00020424">
        <w:rPr>
          <w:rtl/>
        </w:rPr>
        <w:t xml:space="preserve"> ، ص 68 ، صدر ح 218 ، عن هارون بن مسلم ، عن مسعدة بن صدقة ، عن جعفر بن محمّد ، عن أبيه </w:t>
      </w:r>
      <w:r w:rsidR="00D64ADA" w:rsidRPr="00D64ADA">
        <w:rPr>
          <w:rStyle w:val="libFootnoteAlaemChar"/>
          <w:rtl/>
        </w:rPr>
        <w:t>عليهما‌السلام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10 ، ح 1586 ، معلّقاً عن مسعدة </w:t>
      </w:r>
      <w:r w:rsidR="00161C1C">
        <w:rPr>
          <w:rFonts w:hint="cs"/>
          <w:rtl/>
        </w:rPr>
        <w:t>.</w:t>
      </w:r>
      <w:r w:rsidR="00992664" w:rsidRPr="00D004F3">
        <w:rPr>
          <w:rtl/>
        </w:rPr>
        <w:t>الوافى</w:t>
      </w:r>
      <w:r w:rsidR="00992664" w:rsidRPr="00020424">
        <w:rPr>
          <w:rtl/>
        </w:rPr>
        <w:t xml:space="preserve"> ، ج 10 ، ص 43 ، ح 9121 ؛ </w:t>
      </w:r>
      <w:r w:rsidR="00992664" w:rsidRPr="0012008A">
        <w:rPr>
          <w:rStyle w:val="libFootnoteBoldChar"/>
          <w:rtl/>
        </w:rPr>
        <w:t>الوسائل</w:t>
      </w:r>
      <w:r w:rsidR="00992664" w:rsidRPr="00020424">
        <w:rPr>
          <w:rtl/>
        </w:rPr>
        <w:t xml:space="preserve"> ، ج 9 ، ص 23 ، ح 11423 ؛ </w:t>
      </w:r>
      <w:r w:rsidR="00992664" w:rsidRPr="0012008A">
        <w:rPr>
          <w:rStyle w:val="libFootnoteBoldChar"/>
          <w:rtl/>
        </w:rPr>
        <w:t>البحار</w:t>
      </w:r>
      <w:r w:rsidR="00992664" w:rsidRPr="00020424">
        <w:rPr>
          <w:rtl/>
        </w:rPr>
        <w:t xml:space="preserve"> ، ج 64 ، ص 218 ، ح 26.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قيراطاً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وإن شاء » بدل « أو</w:t>
      </w:r>
      <w:r w:rsidR="00992664">
        <w:rPr>
          <w:rtl/>
        </w:rPr>
        <w:t xml:space="preserve"> ».</w:t>
      </w:r>
    </w:p>
    <w:p w:rsidR="00992664" w:rsidRPr="00020424" w:rsidRDefault="00795177" w:rsidP="00C06A6A">
      <w:pPr>
        <w:pStyle w:val="libFootnote0"/>
        <w:rPr>
          <w:rtl/>
          <w:lang w:bidi="fa-IR"/>
        </w:rPr>
      </w:pPr>
      <w:r>
        <w:rPr>
          <w:rtl/>
        </w:rPr>
        <w:t>(7).</w:t>
      </w:r>
      <w:r w:rsidR="0014403D">
        <w:rPr>
          <w:rtl/>
        </w:rPr>
        <w:t xml:space="preserve"> </w:t>
      </w:r>
      <w:r w:rsidR="00D64ADA" w:rsidRPr="00D64ADA">
        <w:rPr>
          <w:rStyle w:val="libFootnoteBoldChar"/>
          <w:rtl/>
        </w:rPr>
        <w:t>المحاسن</w:t>
      </w:r>
      <w:r w:rsidR="00992664" w:rsidRPr="00020424">
        <w:rPr>
          <w:rtl/>
        </w:rPr>
        <w:t xml:space="preserve"> ، ص 87 ، كتاب عقاب الأعمال ، ضمن ح 28 ؛ </w:t>
      </w:r>
      <w:r w:rsidR="00992664" w:rsidRPr="0012008A">
        <w:rPr>
          <w:rStyle w:val="libFootnoteBoldChar"/>
          <w:rtl/>
        </w:rPr>
        <w:t>ثواب الأعمال</w:t>
      </w:r>
      <w:r w:rsidR="00992664" w:rsidRPr="00020424">
        <w:rPr>
          <w:rtl/>
        </w:rPr>
        <w:t xml:space="preserve"> ، ص 281 ، ح 7 ، مع زيادة في أوّله ، وفيهما مرسلاً عن أبي بصير</w:t>
      </w:r>
      <w:r w:rsidR="00C06A6A">
        <w:rPr>
          <w:rFonts w:hint="cs"/>
          <w:rtl/>
        </w:rPr>
        <w:t>.</w:t>
      </w:r>
      <w:r w:rsidR="00992664" w:rsidRPr="0012008A">
        <w:rPr>
          <w:rStyle w:val="libFootnoteBoldChar"/>
          <w:rtl/>
        </w:rPr>
        <w:t>الوافي</w:t>
      </w:r>
      <w:r w:rsidR="00992664" w:rsidRPr="00020424">
        <w:rPr>
          <w:rtl/>
        </w:rPr>
        <w:t xml:space="preserve"> ، ج 10 ، ص 37 ، ح 9105 ؛ </w:t>
      </w:r>
      <w:r w:rsidR="00992664" w:rsidRPr="0012008A">
        <w:rPr>
          <w:rStyle w:val="libFootnoteBoldChar"/>
          <w:rtl/>
        </w:rPr>
        <w:t>الوسائل</w:t>
      </w:r>
      <w:r w:rsidR="00992664" w:rsidRPr="00020424">
        <w:rPr>
          <w:rtl/>
        </w:rPr>
        <w:t xml:space="preserve"> ، ج 9 ، ص 33 ، ح 11453.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 بن عمّار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الزَّكَاةِ ، وَ</w:t>
      </w:r>
      <w:r w:rsidR="00E91B8D">
        <w:rPr>
          <w:rtl/>
          <w:lang w:bidi="fa-IR"/>
        </w:rPr>
        <w:t>لَايُصَادُ مِنَ الطَّيْرِ إِل</w:t>
      </w:r>
      <w:r w:rsidR="00E91B8D">
        <w:rPr>
          <w:rFonts w:hint="cs"/>
          <w:rtl/>
          <w:lang w:bidi="fa-IR"/>
        </w:rPr>
        <w:t>َّ</w:t>
      </w:r>
      <w:r w:rsidR="00E91B8D">
        <w:rPr>
          <w:rtl/>
          <w:lang w:bidi="fa-IR"/>
        </w:rPr>
        <w:t>ا</w:t>
      </w:r>
      <w:r w:rsidRPr="00020424">
        <w:rPr>
          <w:rtl/>
          <w:lang w:bidi="fa-IR"/>
        </w:rPr>
        <w:t xml:space="preserve"> مَا ضَيَّعَ تَسْبِيحَهُ</w:t>
      </w:r>
      <w:r>
        <w:rPr>
          <w:rtl/>
          <w:lang w:bidi="fa-IR"/>
        </w:rPr>
        <w:t xml:space="preserve"> ».</w:t>
      </w:r>
      <w:r w:rsidRPr="00020424">
        <w:rPr>
          <w:rtl/>
          <w:lang w:bidi="fa-IR"/>
        </w:rPr>
        <w:t xml:space="preserve"> </w:t>
      </w:r>
      <w:r w:rsidRPr="00A91B96">
        <w:rPr>
          <w:rStyle w:val="libFootnotenumChar"/>
          <w:rtl/>
        </w:rPr>
        <w:t>(1)</w:t>
      </w:r>
    </w:p>
    <w:p w:rsidR="00992664" w:rsidRPr="00020424" w:rsidRDefault="00992664" w:rsidP="00992664">
      <w:pPr>
        <w:pStyle w:val="libNormal"/>
        <w:rPr>
          <w:rtl/>
          <w:lang w:bidi="fa-IR"/>
        </w:rPr>
      </w:pPr>
      <w:r w:rsidRPr="00D004F3">
        <w:rPr>
          <w:rtl/>
        </w:rPr>
        <w:t>5755</w:t>
      </w:r>
      <w:r w:rsidRPr="001155DE">
        <w:rPr>
          <w:rStyle w:val="libBold2Char"/>
          <w:rtl/>
        </w:rPr>
        <w:t xml:space="preserve"> / 16.</w:t>
      </w:r>
      <w:r w:rsidRPr="00020424">
        <w:rPr>
          <w:rtl/>
          <w:lang w:bidi="fa-IR"/>
        </w:rPr>
        <w:t xml:space="preserve"> مُحَمَّدُ بْنُ يَحْيى ، عَنْ أَحْمَدَ بْنِ مُحَمَّدٍ ، عَنِ ابْنِ فَضَّالٍ ، عَنْ عَلِيِّ بْنِ عُقْبَةَ ، عَنْ أَيُّوبَ بْنِ رَاشِدٍ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مَانِعُ الزَّكَاةِ يُطَوَّقُ بِحَيَّةٍ قَرْعَاءَ </w:t>
      </w:r>
      <w:r w:rsidRPr="00A91B96">
        <w:rPr>
          <w:rStyle w:val="libFootnotenumChar"/>
          <w:rtl/>
        </w:rPr>
        <w:t>(2)</w:t>
      </w:r>
      <w:r w:rsidRPr="00020424">
        <w:rPr>
          <w:rtl/>
          <w:lang w:bidi="fa-IR"/>
        </w:rPr>
        <w:t xml:space="preserve"> ، تَأْكُلُ </w:t>
      </w:r>
      <w:r w:rsidRPr="00A91B96">
        <w:rPr>
          <w:rStyle w:val="libFootnotenumChar"/>
          <w:rtl/>
        </w:rPr>
        <w:t>(3)</w:t>
      </w:r>
      <w:r w:rsidRPr="00020424">
        <w:rPr>
          <w:rtl/>
          <w:lang w:bidi="fa-IR"/>
        </w:rPr>
        <w:t xml:space="preserve"> مِنْ دِمَاغِهِ ، وَذلِكَ قَوْلُهُ عَزَّ وَ</w:t>
      </w:r>
      <w:r w:rsidR="00E91B8D">
        <w:rPr>
          <w:rFonts w:hint="cs"/>
          <w:rtl/>
          <w:lang w:bidi="fa-IR"/>
        </w:rPr>
        <w:t xml:space="preserve"> </w:t>
      </w:r>
      <w:r w:rsidRPr="00020424">
        <w:rPr>
          <w:rtl/>
          <w:lang w:bidi="fa-IR"/>
        </w:rPr>
        <w:t xml:space="preserve">جَلَّ : </w:t>
      </w:r>
      <w:r w:rsidRPr="00005A81">
        <w:rPr>
          <w:rStyle w:val="libAlaemChar"/>
          <w:rtl/>
        </w:rPr>
        <w:t>(</w:t>
      </w:r>
      <w:r w:rsidRPr="004E5AB4">
        <w:rPr>
          <w:rStyle w:val="libAieChar"/>
          <w:rtl/>
        </w:rPr>
        <w:t xml:space="preserve"> سَيُطَوَّقُونَ ما بَخِلُوا بِهِ يَوْمَ الْقِيامَةِ </w:t>
      </w:r>
      <w:r w:rsidRPr="00005A81">
        <w:rPr>
          <w:rStyle w:val="libAlaemChar"/>
          <w:rtl/>
        </w:rPr>
        <w:t>)</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D004F3">
        <w:rPr>
          <w:rtl/>
        </w:rPr>
        <w:t>5756</w:t>
      </w:r>
      <w:r w:rsidRPr="001155DE">
        <w:rPr>
          <w:rStyle w:val="libBold2Char"/>
          <w:rtl/>
        </w:rPr>
        <w:t xml:space="preserve"> / 17.</w:t>
      </w:r>
      <w:r w:rsidRPr="00020424">
        <w:rPr>
          <w:rtl/>
          <w:lang w:bidi="fa-IR"/>
        </w:rPr>
        <w:t xml:space="preserve"> مُحَمَّدُ بْنُ يَحْيى ، عَنْ أَحْمَدَ بْنِ مُحَمَّدِ بْنِ عِيسى ، عَنِ الْحَسَنِ </w:t>
      </w:r>
      <w:r w:rsidRPr="00A91B96">
        <w:rPr>
          <w:rStyle w:val="libFootnotenumChar"/>
          <w:rtl/>
        </w:rPr>
        <w:t>(5)</w:t>
      </w:r>
      <w:r w:rsidRPr="00020424">
        <w:rPr>
          <w:rtl/>
          <w:lang w:bidi="fa-IR"/>
        </w:rPr>
        <w:t xml:space="preserve"> بْنِ مَحْبُوبٍ ، عَنْ مَالِكِ بْنِ عَطِيَّةَ ، عَنْ أَبِي حَمْزَةَ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وَجَدْنَا فِي كِتَابِ عَلِيٍّ </w:t>
      </w:r>
      <w:r w:rsidRPr="00005A81">
        <w:rPr>
          <w:rStyle w:val="libAlaemChar"/>
          <w:rtl/>
        </w:rPr>
        <w:t>عليه‌السلام</w:t>
      </w:r>
      <w:r w:rsidRPr="00020424">
        <w:rPr>
          <w:rtl/>
          <w:lang w:bidi="fa-IR"/>
        </w:rPr>
        <w:t xml:space="preserve"> : قَالَ </w:t>
      </w:r>
      <w:r w:rsidRPr="00A91B96">
        <w:rPr>
          <w:rStyle w:val="libFootnotenumChar"/>
          <w:rtl/>
        </w:rPr>
        <w:t>(6)</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إِذَا مُنِعَتِ الزَّكَاةُ ، مَنَعَتِ الْأَرْضُ بَرَكَاتِهَا</w:t>
      </w:r>
      <w:r>
        <w:rPr>
          <w:rtl/>
          <w:lang w:bidi="fa-IR"/>
        </w:rPr>
        <w:t xml:space="preserve"> ».</w:t>
      </w:r>
      <w:r w:rsidRPr="00020424">
        <w:rPr>
          <w:rtl/>
          <w:lang w:bidi="fa-IR"/>
        </w:rPr>
        <w:t xml:space="preserve"> </w:t>
      </w:r>
      <w:r w:rsidRPr="00A91B96">
        <w:rPr>
          <w:rStyle w:val="libFootnotenumChar"/>
          <w:rtl/>
        </w:rPr>
        <w:t>(7)</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D64ADA" w:rsidRPr="00D64ADA">
        <w:rPr>
          <w:rStyle w:val="libFootnoteBoldChar"/>
          <w:rtl/>
        </w:rPr>
        <w:t>المحاسن</w:t>
      </w:r>
      <w:r w:rsidR="00992664" w:rsidRPr="00020424">
        <w:rPr>
          <w:rtl/>
        </w:rPr>
        <w:t xml:space="preserve"> ، ص 294 ، كتاب مصابيح الظلم ، ح 458 ، بسنده عن إسحاق بن عمّار ، عمّن سمع أبا عبدالله </w:t>
      </w:r>
      <w:r w:rsidR="00992664" w:rsidRPr="00D64ADA">
        <w:rPr>
          <w:rStyle w:val="libFootnoteAlaemChar"/>
          <w:rtl/>
        </w:rPr>
        <w:t>عليه‌السلام</w:t>
      </w:r>
      <w:r w:rsidR="00992664" w:rsidRPr="00020424">
        <w:rPr>
          <w:rtl/>
        </w:rPr>
        <w:t xml:space="preserve"> ، مع اختلاف يسير وزيادة. </w:t>
      </w:r>
      <w:r w:rsidR="00992664" w:rsidRPr="0012008A">
        <w:rPr>
          <w:rStyle w:val="libFootnoteBoldChar"/>
          <w:rtl/>
        </w:rPr>
        <w:t>الفقيه</w:t>
      </w:r>
      <w:r w:rsidR="00992664" w:rsidRPr="00020424">
        <w:rPr>
          <w:rtl/>
        </w:rPr>
        <w:t xml:space="preserve"> ، ج 2 ، ص 12 ، ح 1595 ، مرسلاً </w:t>
      </w:r>
      <w:r w:rsidR="00E91B8D">
        <w:rPr>
          <w:rFonts w:hint="cs"/>
          <w:rtl/>
        </w:rPr>
        <w:t>.</w:t>
      </w:r>
      <w:r w:rsidR="00992664" w:rsidRPr="0012008A">
        <w:rPr>
          <w:rStyle w:val="libFootnoteBoldChar"/>
          <w:rtl/>
        </w:rPr>
        <w:t>الوافي</w:t>
      </w:r>
      <w:r w:rsidR="00992664" w:rsidRPr="00020424">
        <w:rPr>
          <w:rtl/>
        </w:rPr>
        <w:t xml:space="preserve"> ، ج 10 ، ص 42 ، ح 9117 ؛ </w:t>
      </w:r>
      <w:r w:rsidR="00992664" w:rsidRPr="0012008A">
        <w:rPr>
          <w:rStyle w:val="libFootnoteBoldChar"/>
          <w:rtl/>
        </w:rPr>
        <w:t>الوسائل</w:t>
      </w:r>
      <w:r w:rsidR="00992664" w:rsidRPr="00020424">
        <w:rPr>
          <w:rtl/>
        </w:rPr>
        <w:t xml:space="preserve"> ، ج 9 ، ص 28 ، ح 11438.</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قرعاء » : مؤنّث الأقرع ، وهو الذي ذهب شعر رأسه من آفة ، ومن الحيّات الذي يتمعّط ، أي يسقط شعر رأسه‌زعموا لجمعه السمّ فيه ، قال ابن الأثير : « يريد حيّة قد تمعّط جلد رأسه لكثرة سمّه وطول عمره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1262 ؛ </w:t>
      </w:r>
      <w:r w:rsidR="00992664" w:rsidRPr="0012008A">
        <w:rPr>
          <w:rStyle w:val="libFootnoteBoldChar"/>
          <w:rtl/>
        </w:rPr>
        <w:t>النهاية</w:t>
      </w:r>
      <w:r w:rsidR="00992664" w:rsidRPr="00020424">
        <w:rPr>
          <w:rtl/>
        </w:rPr>
        <w:t xml:space="preserve"> ، ج 4 ، ص 44 ( قرع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وفي المطبوع : « وتأكل</w:t>
      </w:r>
      <w:r w:rsidR="00992664">
        <w:rPr>
          <w:rtl/>
        </w:rPr>
        <w:t xml:space="preserve"> ».</w:t>
      </w:r>
    </w:p>
    <w:p w:rsidR="00992664" w:rsidRPr="00020424" w:rsidRDefault="00795177" w:rsidP="0078198A">
      <w:pPr>
        <w:pStyle w:val="libFootnote0"/>
        <w:rPr>
          <w:rtl/>
          <w:lang w:bidi="fa-IR"/>
        </w:rPr>
      </w:pPr>
      <w:r>
        <w:rPr>
          <w:rtl/>
        </w:rPr>
        <w:t>(4).</w:t>
      </w:r>
      <w:r w:rsidR="0014403D">
        <w:rPr>
          <w:rtl/>
        </w:rPr>
        <w:t xml:space="preserve"> </w:t>
      </w:r>
      <w:r w:rsidR="00992664" w:rsidRPr="00757F3F">
        <w:rPr>
          <w:rStyle w:val="libFootnoteBoldChar"/>
          <w:rtl/>
        </w:rPr>
        <w:t>الأمالي للطوسي</w:t>
      </w:r>
      <w:r w:rsidR="00992664" w:rsidRPr="00020424">
        <w:rPr>
          <w:rtl/>
        </w:rPr>
        <w:t xml:space="preserve"> ، ص 694 ، المجلس 19 ، ح 19 ، بسنده عن الحسن بن فضّال ، عن عليّ بن عقبة. </w:t>
      </w:r>
      <w:r w:rsidR="00992664" w:rsidRPr="0012008A">
        <w:rPr>
          <w:rStyle w:val="libFootnoteBoldChar"/>
          <w:rtl/>
        </w:rPr>
        <w:t>الفقيه</w:t>
      </w:r>
      <w:r w:rsidR="00992664" w:rsidRPr="00020424">
        <w:rPr>
          <w:rtl/>
        </w:rPr>
        <w:t xml:space="preserve"> ، ج 2 ، ص 10 ، ح 1585 ، معلّقاً عن أيّوب بن راشد</w:t>
      </w:r>
      <w:r w:rsidR="0078198A">
        <w:rPr>
          <w:rFonts w:hint="cs"/>
          <w:rtl/>
        </w:rPr>
        <w:t xml:space="preserve"> </w:t>
      </w:r>
      <w:r w:rsidR="00315881">
        <w:rPr>
          <w:rFonts w:hint="cs"/>
          <w:rtl/>
        </w:rPr>
        <w:t>.</w:t>
      </w:r>
      <w:r w:rsidR="00992664" w:rsidRPr="0012008A">
        <w:rPr>
          <w:rStyle w:val="libFootnoteBoldChar"/>
          <w:rtl/>
        </w:rPr>
        <w:t>الوافي</w:t>
      </w:r>
      <w:r w:rsidR="00992664" w:rsidRPr="00020424">
        <w:rPr>
          <w:rtl/>
        </w:rPr>
        <w:t xml:space="preserve"> ، ج 10 ، ص 38 ، ح 9107 ؛ </w:t>
      </w:r>
      <w:r w:rsidR="00992664" w:rsidRPr="0012008A">
        <w:rPr>
          <w:rStyle w:val="libFootnoteBoldChar"/>
          <w:rtl/>
        </w:rPr>
        <w:t>الوسائل</w:t>
      </w:r>
      <w:r w:rsidR="00992664" w:rsidRPr="00020424">
        <w:rPr>
          <w:rtl/>
        </w:rPr>
        <w:t xml:space="preserve"> ، ج 9 ، ص 23 ، ح 11424.</w:t>
      </w:r>
      <w:r w:rsidR="0078198A">
        <w:rPr>
          <w:rFonts w:hint="cs"/>
          <w:rtl/>
        </w:rPr>
        <w:t xml:space="preserve">                             </w:t>
      </w:r>
      <w:r>
        <w:rPr>
          <w:rtl/>
        </w:rPr>
        <w:t>(5).</w:t>
      </w:r>
      <w:r w:rsidR="0014403D">
        <w:rPr>
          <w:rtl/>
        </w:rPr>
        <w:t xml:space="preserve"> </w:t>
      </w:r>
      <w:r w:rsidR="00992664" w:rsidRPr="00020424">
        <w:rPr>
          <w:rtl/>
        </w:rPr>
        <w:t>في « بح ، بخ ، بر ، جن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 « 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587829">
        <w:rPr>
          <w:rStyle w:val="libFootnoteBoldChar"/>
          <w:rtl/>
        </w:rPr>
        <w:t>الأمالي للصدوق</w:t>
      </w:r>
      <w:r w:rsidR="00992664" w:rsidRPr="00020424">
        <w:rPr>
          <w:rtl/>
        </w:rPr>
        <w:t xml:space="preserve"> ، ص 308 ، المجلس 51 ، ضمن ح 2 ، بسنده عن أحمد بن محمّد بن عيسى ؛ </w:t>
      </w:r>
      <w:r w:rsidR="00992664" w:rsidRPr="0012008A">
        <w:rPr>
          <w:rStyle w:val="libFootnoteBoldChar"/>
          <w:rtl/>
        </w:rPr>
        <w:t>ثواب الأعمال</w:t>
      </w:r>
      <w:r w:rsidR="00992664" w:rsidRPr="00020424">
        <w:rPr>
          <w:rtl/>
        </w:rPr>
        <w:t xml:space="preserve"> ، ص 300 ، ضمن ح 1 ، بسنده عن أحمد بن محمّد ، عن الحسن بن محبوب. </w:t>
      </w:r>
      <w:r w:rsidR="00992664" w:rsidRPr="00D004F3">
        <w:rPr>
          <w:rtl/>
        </w:rPr>
        <w:t>علل الشرائع</w:t>
      </w:r>
      <w:r w:rsidR="00992664" w:rsidRPr="00020424">
        <w:rPr>
          <w:rtl/>
        </w:rPr>
        <w:t xml:space="preserve"> ، ص 584 ، باب نوادر العلل ، ضمن ح 26 ، بسنده عن أحمد بن محمّد بن خالد ، عن الحسن بن محبوب. </w:t>
      </w:r>
      <w:r w:rsidR="00992664" w:rsidRPr="00757F3F">
        <w:rPr>
          <w:rStyle w:val="libFootnoteBoldChar"/>
          <w:rtl/>
        </w:rPr>
        <w:t>الأمالي للطوسي</w:t>
      </w:r>
      <w:r w:rsidR="00992664" w:rsidRPr="00020424">
        <w:rPr>
          <w:rtl/>
        </w:rPr>
        <w:t xml:space="preserve"> ، ص 210 ، المجلس 8 ، ضمن ح 13 ، بسنده عن مالك بن عطيّة ، عن أبي حمزة الثمالي ، عن أبي جعفر ، عن كتاب عليّ </w:t>
      </w:r>
      <w:r w:rsidR="00D64ADA" w:rsidRPr="00D64ADA">
        <w:rPr>
          <w:rStyle w:val="libFootnoteAlaemChar"/>
          <w:rtl/>
        </w:rPr>
        <w:t>عليهما‌السلام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كلّ المصادر مع اختلاف يسير </w:t>
      </w:r>
      <w:r w:rsidR="00F84177">
        <w:rPr>
          <w:rFonts w:hint="cs"/>
          <w:rtl/>
        </w:rPr>
        <w:t>.</w:t>
      </w:r>
      <w:r w:rsidR="00992664" w:rsidRPr="0012008A">
        <w:rPr>
          <w:rStyle w:val="libFootnoteBoldChar"/>
          <w:rtl/>
        </w:rPr>
        <w:t>الوافي</w:t>
      </w:r>
      <w:r w:rsidR="00992664" w:rsidRPr="00020424">
        <w:rPr>
          <w:rtl/>
        </w:rPr>
        <w:t xml:space="preserve"> ، ج 10 ، ص 43 ، ح 9120 ؛ </w:t>
      </w:r>
      <w:r w:rsidR="00992664" w:rsidRPr="0012008A">
        <w:rPr>
          <w:rStyle w:val="libFootnoteBoldChar"/>
          <w:rtl/>
        </w:rPr>
        <w:t>الوسائل</w:t>
      </w:r>
      <w:r w:rsidR="00992664" w:rsidRPr="00020424">
        <w:rPr>
          <w:rtl/>
        </w:rPr>
        <w:t xml:space="preserve"> ، ج 9 ، ص 26 ، ح 11431.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004F3">
        <w:rPr>
          <w:rtl/>
        </w:rPr>
        <w:lastRenderedPageBreak/>
        <w:t>5757</w:t>
      </w:r>
      <w:r w:rsidRPr="001155DE">
        <w:rPr>
          <w:rStyle w:val="libBold2Char"/>
          <w:rtl/>
        </w:rPr>
        <w:t xml:space="preserve"> / 18.</w:t>
      </w:r>
      <w:r w:rsidRPr="00020424">
        <w:rPr>
          <w:rtl/>
          <w:lang w:bidi="fa-IR"/>
        </w:rPr>
        <w:t xml:space="preserve"> أَبُو عَبْدِ اللهِ الْعَاصِمِيُّ ، عَنْ عَلِيِّ بْنِ الْحَسَنِ التَّيْمِيِّ </w:t>
      </w:r>
      <w:r w:rsidRPr="00A91B96">
        <w:rPr>
          <w:rStyle w:val="libFootnotenumChar"/>
          <w:rtl/>
        </w:rPr>
        <w:t>(1)</w:t>
      </w:r>
      <w:r w:rsidRPr="00020424">
        <w:rPr>
          <w:rtl/>
          <w:lang w:bidi="fa-IR"/>
        </w:rPr>
        <w:t xml:space="preserve"> ، عَنْ عَلِيِّ بْنِ أَسْبَاطٍ ، عَنْ أَبِيهِ أَسْبَاطِ بْنِ سَالِمٍ ، عَنْ سَالِمٍ مَوْلى أَبَانٍ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w:t>
      </w:r>
      <w:r w:rsidR="00370CF8">
        <w:rPr>
          <w:rtl/>
          <w:lang w:bidi="fa-IR"/>
        </w:rPr>
        <w:t>« مَا مِنْ طَيْرٍ يُصَادُ إِل</w:t>
      </w:r>
      <w:r w:rsidR="00370CF8">
        <w:rPr>
          <w:rFonts w:hint="cs"/>
          <w:rtl/>
          <w:lang w:bidi="fa-IR"/>
        </w:rPr>
        <w:t>َّ</w:t>
      </w:r>
      <w:r w:rsidR="00370CF8">
        <w:rPr>
          <w:rtl/>
          <w:lang w:bidi="fa-IR"/>
        </w:rPr>
        <w:t>ا</w:t>
      </w:r>
      <w:r w:rsidRPr="00020424">
        <w:rPr>
          <w:rtl/>
          <w:lang w:bidi="fa-IR"/>
        </w:rPr>
        <w:t xml:space="preserve"> بِتَرْكِهِ </w:t>
      </w:r>
      <w:r w:rsidRPr="00A91B96">
        <w:rPr>
          <w:rStyle w:val="libFootnotenumChar"/>
          <w:rtl/>
        </w:rPr>
        <w:t>(2)</w:t>
      </w:r>
      <w:r w:rsidRPr="00020424">
        <w:rPr>
          <w:rtl/>
          <w:lang w:bidi="fa-IR"/>
        </w:rPr>
        <w:t xml:space="preserve"> التَّسْبِيحَ ،</w:t>
      </w:r>
      <w:r w:rsidR="00370CF8">
        <w:rPr>
          <w:rtl/>
          <w:lang w:bidi="fa-IR"/>
        </w:rPr>
        <w:t xml:space="preserve"> وَمَا مِنْ مَالٍ يُصَابُ إِل</w:t>
      </w:r>
      <w:r w:rsidR="00370CF8">
        <w:rPr>
          <w:rFonts w:hint="cs"/>
          <w:rtl/>
          <w:lang w:bidi="fa-IR"/>
        </w:rPr>
        <w:t>َّ</w:t>
      </w:r>
      <w:r w:rsidR="00370CF8">
        <w:rPr>
          <w:rtl/>
          <w:lang w:bidi="fa-IR"/>
        </w:rPr>
        <w:t>ا</w:t>
      </w:r>
      <w:r w:rsidRPr="00020424">
        <w:rPr>
          <w:rtl/>
          <w:lang w:bidi="fa-IR"/>
        </w:rPr>
        <w:t xml:space="preserve"> بِتَرْكِ الزَّكَاةِ</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D004F3">
        <w:rPr>
          <w:rtl/>
        </w:rPr>
        <w:t>5758</w:t>
      </w:r>
      <w:r w:rsidRPr="001155DE">
        <w:rPr>
          <w:rStyle w:val="libBold2Char"/>
          <w:rtl/>
        </w:rPr>
        <w:t xml:space="preserve"> / 19.</w:t>
      </w:r>
      <w:r w:rsidRPr="00020424">
        <w:rPr>
          <w:rtl/>
          <w:lang w:bidi="fa-IR"/>
        </w:rPr>
        <w:t xml:space="preserve"> عَلِيُّ بْنُ إِبْرَاهِيمَ ، عَنْ أَبِيهِ ، عَنْ مُحَمَّدِ بْنِ خَالِدٍ ، عَنْ خَلَفِ بْنِ حَمَّادٍ ، عَنْ حَرِيزٍ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مَا مِنْ ذِي مَالٍ</w:t>
      </w:r>
      <w:r>
        <w:rPr>
          <w:rtl/>
          <w:lang w:bidi="fa-IR"/>
        </w:rPr>
        <w:t xml:space="preserve"> </w:t>
      </w:r>
      <w:r w:rsidR="009B673F">
        <w:rPr>
          <w:rtl/>
          <w:lang w:bidi="fa-IR"/>
        </w:rPr>
        <w:t>-</w:t>
      </w:r>
      <w:r>
        <w:rPr>
          <w:rtl/>
          <w:lang w:bidi="fa-IR"/>
        </w:rPr>
        <w:t xml:space="preserve"> </w:t>
      </w:r>
      <w:r w:rsidRPr="00020424">
        <w:rPr>
          <w:rtl/>
          <w:lang w:bidi="fa-IR"/>
        </w:rPr>
        <w:t xml:space="preserve">ذَهَبٍ ، أَوْ فِضَّةٍ </w:t>
      </w:r>
      <w:r w:rsidRPr="00A91B96">
        <w:rPr>
          <w:rStyle w:val="libFootnotenumChar"/>
          <w:rtl/>
        </w:rPr>
        <w:t>(4)</w:t>
      </w:r>
      <w:r>
        <w:rPr>
          <w:rtl/>
          <w:lang w:bidi="fa-IR"/>
        </w:rPr>
        <w:t xml:space="preserve"> </w:t>
      </w:r>
      <w:r w:rsidR="009B673F">
        <w:rPr>
          <w:rtl/>
          <w:lang w:bidi="fa-IR"/>
        </w:rPr>
        <w:t>-</w:t>
      </w:r>
      <w:r>
        <w:rPr>
          <w:rtl/>
          <w:lang w:bidi="fa-IR"/>
        </w:rPr>
        <w:t xml:space="preserve"> </w:t>
      </w:r>
      <w:r w:rsidRPr="00020424">
        <w:rPr>
          <w:rtl/>
          <w:lang w:bidi="fa-IR"/>
        </w:rPr>
        <w:t xml:space="preserve">يَمْنَعُ زَكَاةَ مَالِهِ </w:t>
      </w:r>
      <w:r w:rsidRPr="00A91B96">
        <w:rPr>
          <w:rStyle w:val="libFootnotenumChar"/>
          <w:rtl/>
        </w:rPr>
        <w:t>(5)</w:t>
      </w:r>
      <w:r w:rsidR="00045D81">
        <w:rPr>
          <w:rtl/>
          <w:lang w:bidi="fa-IR"/>
        </w:rPr>
        <w:t xml:space="preserve"> إِل</w:t>
      </w:r>
      <w:r w:rsidR="00045D81">
        <w:rPr>
          <w:rFonts w:hint="cs"/>
          <w:rtl/>
          <w:lang w:bidi="fa-IR"/>
        </w:rPr>
        <w:t>َّ</w:t>
      </w:r>
      <w:r w:rsidR="00045D81">
        <w:rPr>
          <w:rtl/>
          <w:lang w:bidi="fa-IR"/>
        </w:rPr>
        <w:t>ا</w:t>
      </w:r>
      <w:r w:rsidRPr="00020424">
        <w:rPr>
          <w:rtl/>
          <w:lang w:bidi="fa-IR"/>
        </w:rPr>
        <w:t xml:space="preserve"> حَبَسَهُ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يَوْمَ الْقِيَامَةِ بِقَاعٍ </w:t>
      </w:r>
      <w:r w:rsidRPr="00A91B96">
        <w:rPr>
          <w:rStyle w:val="libFootnotenumChar"/>
          <w:rtl/>
        </w:rPr>
        <w:t>(6)</w:t>
      </w:r>
      <w:r w:rsidRPr="00020424">
        <w:rPr>
          <w:rtl/>
          <w:lang w:bidi="fa-IR"/>
        </w:rPr>
        <w:t xml:space="preserve"> قَرْقَرٍ </w:t>
      </w:r>
      <w:r w:rsidRPr="00A91B96">
        <w:rPr>
          <w:rStyle w:val="libFootnotenumChar"/>
          <w:rtl/>
        </w:rPr>
        <w:t>(7)</w:t>
      </w:r>
      <w:r w:rsidRPr="00020424">
        <w:rPr>
          <w:rtl/>
          <w:lang w:bidi="fa-IR"/>
        </w:rPr>
        <w:t xml:space="preserve"> ، وَسَلَّطَ عَلَيْهِ شُجَاعاً </w:t>
      </w:r>
      <w:r w:rsidRPr="00A91B96">
        <w:rPr>
          <w:rStyle w:val="libFootnotenumChar"/>
          <w:rtl/>
        </w:rPr>
        <w:t>(8)</w:t>
      </w:r>
      <w:r w:rsidRPr="00020424">
        <w:rPr>
          <w:rtl/>
          <w:lang w:bidi="fa-IR"/>
        </w:rPr>
        <w:t xml:space="preserve"> أَقْرَعَ يُرِيدُهُ‌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597B12">
      <w:pPr>
        <w:pStyle w:val="libFootnote0"/>
        <w:rPr>
          <w:rtl/>
          <w:lang w:bidi="fa-IR"/>
        </w:rPr>
      </w:pPr>
      <w:r>
        <w:rPr>
          <w:rtl/>
        </w:rPr>
        <w:t>(1).</w:t>
      </w:r>
      <w:r w:rsidR="0014403D">
        <w:rPr>
          <w:rtl/>
        </w:rPr>
        <w:t xml:space="preserve"> </w:t>
      </w:r>
      <w:r w:rsidR="00597B12">
        <w:rPr>
          <w:rtl/>
        </w:rPr>
        <w:t>هكذا نقله العل</w:t>
      </w:r>
      <w:r w:rsidR="00597B12">
        <w:rPr>
          <w:rFonts w:hint="cs"/>
          <w:rtl/>
        </w:rPr>
        <w:t>ّ</w:t>
      </w:r>
      <w:r w:rsidR="00597B12">
        <w:rPr>
          <w:rtl/>
        </w:rPr>
        <w:t>ا</w:t>
      </w:r>
      <w:r w:rsidR="00992664" w:rsidRPr="00020424">
        <w:rPr>
          <w:rtl/>
        </w:rPr>
        <w:t>مة الخبير السيّد موسى الشبيري</w:t>
      </w:r>
      <w:r w:rsidR="00992664">
        <w:rPr>
          <w:rtl/>
        </w:rPr>
        <w:t xml:space="preserve"> </w:t>
      </w:r>
      <w:r w:rsidR="009B673F">
        <w:rPr>
          <w:rtl/>
        </w:rPr>
        <w:t>-</w:t>
      </w:r>
      <w:r w:rsidR="00992664">
        <w:rPr>
          <w:rtl/>
        </w:rPr>
        <w:t xml:space="preserve"> </w:t>
      </w:r>
      <w:r w:rsidR="00992664" w:rsidRPr="00020424">
        <w:rPr>
          <w:rtl/>
        </w:rPr>
        <w:t>دام ظلّه</w:t>
      </w:r>
      <w:r w:rsidR="00992664">
        <w:rPr>
          <w:rtl/>
        </w:rPr>
        <w:t xml:space="preserve"> </w:t>
      </w:r>
      <w:r w:rsidR="009B673F">
        <w:rPr>
          <w:rtl/>
        </w:rPr>
        <w:t>-</w:t>
      </w:r>
      <w:r w:rsidR="00992664">
        <w:rPr>
          <w:rtl/>
        </w:rPr>
        <w:t xml:space="preserve"> </w:t>
      </w:r>
      <w:r w:rsidR="00992664" w:rsidRPr="00020424">
        <w:rPr>
          <w:rtl/>
        </w:rPr>
        <w:t>من نسخة رمز عنها</w:t>
      </w:r>
      <w:r w:rsidR="00992664">
        <w:rPr>
          <w:rtl/>
        </w:rPr>
        <w:t xml:space="preserve"> ب</w:t>
      </w:r>
      <w:r w:rsidR="00597B12">
        <w:rPr>
          <w:rFonts w:hint="cs"/>
          <w:rtl/>
        </w:rPr>
        <w:t>ـ</w:t>
      </w:r>
      <w:r w:rsidR="00992664" w:rsidRPr="00020424">
        <w:rPr>
          <w:rtl/>
        </w:rPr>
        <w:t>« خ</w:t>
      </w:r>
      <w:r w:rsidR="00992664">
        <w:rPr>
          <w:rtl/>
        </w:rPr>
        <w:t xml:space="preserve"> ».</w:t>
      </w:r>
      <w:r w:rsidR="00992664" w:rsidRPr="00020424">
        <w:rPr>
          <w:rtl/>
        </w:rPr>
        <w:t xml:space="preserve"> وفي « ظ ، ى ، بث ، بح ، بخ ، بس ، بف ، جن » والمطبوع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 الميثمي</w:t>
      </w:r>
      <w:r w:rsidR="00992664">
        <w:rPr>
          <w:rtl/>
        </w:rPr>
        <w:t xml:space="preserve"> ».</w:t>
      </w:r>
    </w:p>
    <w:p w:rsidR="00992664" w:rsidRPr="00020424" w:rsidRDefault="00992664" w:rsidP="00597B12">
      <w:pPr>
        <w:pStyle w:val="libFootnote0"/>
        <w:rPr>
          <w:rtl/>
          <w:lang w:bidi="fa-IR"/>
        </w:rPr>
      </w:pPr>
      <w:r w:rsidRPr="00045D81">
        <w:rPr>
          <w:rtl/>
        </w:rPr>
        <w:t xml:space="preserve">والصواب ما أثبتناه ، والمراد من عليّ بن الحسن التيمي هو عليّ بن الحسن بن فضّال ، يروي عنه أحمد بن محمّدٍ العاصمي </w:t>
      </w:r>
      <w:r w:rsidR="009B673F" w:rsidRPr="00045D81">
        <w:rPr>
          <w:rtl/>
        </w:rPr>
        <w:t>-</w:t>
      </w:r>
      <w:r w:rsidRPr="00045D81">
        <w:rPr>
          <w:rtl/>
        </w:rPr>
        <w:t xml:space="preserve"> وكنيته أبو عبدالله </w:t>
      </w:r>
      <w:r w:rsidR="009B673F" w:rsidRPr="00045D81">
        <w:rPr>
          <w:rtl/>
        </w:rPr>
        <w:t>-</w:t>
      </w:r>
      <w:r w:rsidRPr="00045D81">
        <w:rPr>
          <w:rtl/>
        </w:rPr>
        <w:t xml:space="preserve"> كما تقدّم في ح 2439 ، ويروي هو عن عليّ بن أسباط في عددٍ من الأسناد. راجع : </w:t>
      </w:r>
      <w:r w:rsidRPr="00D004F3">
        <w:rPr>
          <w:rtl/>
        </w:rPr>
        <w:t>رجال النجاشي</w:t>
      </w:r>
      <w:r w:rsidRPr="00045D81">
        <w:rPr>
          <w:rtl/>
        </w:rPr>
        <w:t xml:space="preserve"> ، ص 93 ، الرقم 232 ؛ </w:t>
      </w:r>
      <w:r w:rsidRPr="00D004F3">
        <w:rPr>
          <w:rtl/>
        </w:rPr>
        <w:t>معجم رجال الحديث</w:t>
      </w:r>
      <w:r w:rsidRPr="00045D81">
        <w:rPr>
          <w:rtl/>
        </w:rPr>
        <w:t xml:space="preserve"> ، ج 11 ، ص 562 </w:t>
      </w:r>
      <w:r w:rsidR="009B673F" w:rsidRPr="00045D81">
        <w:rPr>
          <w:rtl/>
        </w:rPr>
        <w:t>-</w:t>
      </w:r>
      <w:r w:rsidRPr="00045D81">
        <w:rPr>
          <w:rtl/>
        </w:rPr>
        <w:t xml:space="preserve"> 563 ، وص 570. هذا ، وقد ظهر من ذلك أنّ ما ورد في « بخ ، بر ، بف » ؛ من « أبو عليّ العاصمي » بدل « أبو عبدالله العاصمي » سهو.</w:t>
      </w:r>
      <w:r w:rsidR="00597B12">
        <w:rPr>
          <w:rFonts w:hint="cs"/>
          <w:rtl/>
        </w:rPr>
        <w:t xml:space="preserve">                                                            </w:t>
      </w:r>
      <w:r w:rsidR="00795177">
        <w:rPr>
          <w:rtl/>
        </w:rPr>
        <w:t>(2).</w:t>
      </w:r>
      <w:r w:rsidR="0014403D">
        <w:rPr>
          <w:rtl/>
        </w:rPr>
        <w:t xml:space="preserve"> </w:t>
      </w:r>
      <w:r w:rsidRPr="00020424">
        <w:rPr>
          <w:rtl/>
        </w:rPr>
        <w:t>في « ى » : « بترك</w:t>
      </w:r>
      <w:r>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004F3">
        <w:rPr>
          <w:rtl/>
        </w:rPr>
        <w:t>تفسير القمّي</w:t>
      </w:r>
      <w:r w:rsidR="00992664" w:rsidRPr="00020424">
        <w:rPr>
          <w:rtl/>
        </w:rPr>
        <w:t xml:space="preserve"> ، ج 2 ، ص 107 ،</w:t>
      </w:r>
      <w:r w:rsidR="009530B4">
        <w:rPr>
          <w:rtl/>
        </w:rPr>
        <w:t xml:space="preserve"> بسند آخر ، إلى قوله : « إل</w:t>
      </w:r>
      <w:r w:rsidR="009530B4">
        <w:rPr>
          <w:rFonts w:hint="cs"/>
          <w:rtl/>
        </w:rPr>
        <w:t>ّ</w:t>
      </w:r>
      <w:r w:rsidR="009530B4">
        <w:rPr>
          <w:rtl/>
        </w:rPr>
        <w:t>ا</w:t>
      </w:r>
      <w:r w:rsidR="00992664" w:rsidRPr="00020424">
        <w:rPr>
          <w:rtl/>
        </w:rPr>
        <w:t xml:space="preserve"> بتركه التسبيح</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 ، ضمن ح 1579 ، بسند آخر. </w:t>
      </w:r>
      <w:r w:rsidR="00992664" w:rsidRPr="00D004F3">
        <w:rPr>
          <w:rtl/>
        </w:rPr>
        <w:t>تفسير العيّاشي</w:t>
      </w:r>
      <w:r w:rsidR="00992664" w:rsidRPr="00020424">
        <w:rPr>
          <w:rtl/>
        </w:rPr>
        <w:t xml:space="preserve"> ، ج 2 ، ص 294 ، ح 83 ، عن إسحاق بن عمّار ، عن أبي عبدالله </w:t>
      </w:r>
      <w:r w:rsidR="00992664" w:rsidRPr="00D64ADA">
        <w:rPr>
          <w:rStyle w:val="libFootnoteAlaemChar"/>
          <w:rtl/>
        </w:rPr>
        <w:t>عليه‌السلام</w:t>
      </w:r>
      <w:r w:rsidR="009530B4">
        <w:rPr>
          <w:rtl/>
        </w:rPr>
        <w:t xml:space="preserve"> ، إلى قوله : « إل</w:t>
      </w:r>
      <w:r w:rsidR="009530B4">
        <w:rPr>
          <w:rFonts w:hint="cs"/>
          <w:rtl/>
        </w:rPr>
        <w:t>ّ</w:t>
      </w:r>
      <w:r w:rsidR="009530B4">
        <w:rPr>
          <w:rtl/>
        </w:rPr>
        <w:t>ا</w:t>
      </w:r>
      <w:r w:rsidR="00992664" w:rsidRPr="00020424">
        <w:rPr>
          <w:rtl/>
        </w:rPr>
        <w:t xml:space="preserve"> بتركه التسبيح » وفي كلّها مع اختلاف يسير. </w:t>
      </w:r>
      <w:r w:rsidR="00992664" w:rsidRPr="00D004F3">
        <w:rPr>
          <w:rtl/>
        </w:rPr>
        <w:t>الاختصاص</w:t>
      </w:r>
      <w:r w:rsidR="00992664" w:rsidRPr="00020424">
        <w:rPr>
          <w:rtl/>
        </w:rPr>
        <w:t xml:space="preserve"> ، ص 25 ، مرسلاً </w:t>
      </w:r>
      <w:r w:rsidR="009530B4">
        <w:rPr>
          <w:rFonts w:hint="cs"/>
          <w:rtl/>
        </w:rPr>
        <w:t>.</w:t>
      </w:r>
      <w:r w:rsidR="00992664" w:rsidRPr="0012008A">
        <w:rPr>
          <w:rStyle w:val="libFootnoteBoldChar"/>
          <w:rtl/>
        </w:rPr>
        <w:t>الوافي</w:t>
      </w:r>
      <w:r w:rsidR="00992664" w:rsidRPr="00020424">
        <w:rPr>
          <w:rtl/>
        </w:rPr>
        <w:t xml:space="preserve"> ، ج 10 ، ص 43 ، ح 9118 ؛ </w:t>
      </w:r>
      <w:r w:rsidR="00992664" w:rsidRPr="0012008A">
        <w:rPr>
          <w:rStyle w:val="libFootnoteBoldChar"/>
          <w:rtl/>
        </w:rPr>
        <w:t>الوسائل</w:t>
      </w:r>
      <w:r w:rsidR="00992664" w:rsidRPr="00020424">
        <w:rPr>
          <w:rtl/>
        </w:rPr>
        <w:t xml:space="preserve"> ، ج 9 ، ص 28 ، ح 11439 ؛ </w:t>
      </w:r>
      <w:r w:rsidR="00992664" w:rsidRPr="0012008A">
        <w:rPr>
          <w:rStyle w:val="libFootnoteBoldChar"/>
          <w:rtl/>
        </w:rPr>
        <w:t>البحار</w:t>
      </w:r>
      <w:r w:rsidR="00992664" w:rsidRPr="00020424">
        <w:rPr>
          <w:rtl/>
        </w:rPr>
        <w:t xml:space="preserve"> ، ج 64 ، ص 35 ، ح 10.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w:t>
      </w:r>
      <w:r w:rsidR="00992664" w:rsidRPr="00EB1FD9">
        <w:rPr>
          <w:rStyle w:val="libFootnoteBoldChar"/>
          <w:rtl/>
        </w:rPr>
        <w:t>وتفسير القمّي</w:t>
      </w:r>
      <w:r w:rsidR="00992664" w:rsidRPr="00020424">
        <w:rPr>
          <w:rtl/>
        </w:rPr>
        <w:t xml:space="preserve"> والثواب : « ولا فضة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تفسير القمّي : + « أو خمسه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القاع » : المكان المستوي الواسع في وَطأة من الأرض يعلوه ماء السماء فيمسكه ويستوي نباته. وقيل : القاع : أرض سهلة مطمئنّة قد انفرجت عنها الجبال والآكام. راجع : </w:t>
      </w:r>
      <w:r w:rsidR="00992664" w:rsidRPr="0012008A">
        <w:rPr>
          <w:rStyle w:val="libFootnoteBoldChar"/>
          <w:rtl/>
        </w:rPr>
        <w:t>النهاية</w:t>
      </w:r>
      <w:r w:rsidR="00992664" w:rsidRPr="00020424">
        <w:rPr>
          <w:rtl/>
        </w:rPr>
        <w:t xml:space="preserve"> ، ج 4 ، ص 132 ؛ </w:t>
      </w:r>
      <w:r w:rsidR="00992664" w:rsidRPr="00A722B1">
        <w:rPr>
          <w:rStyle w:val="libFootnoteBoldChar"/>
          <w:rtl/>
        </w:rPr>
        <w:t>القاموس المحيط</w:t>
      </w:r>
      <w:r w:rsidR="00992664" w:rsidRPr="00020424">
        <w:rPr>
          <w:rtl/>
        </w:rPr>
        <w:t xml:space="preserve"> ، ج 2 ، ص 1014 ( قيع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بخ ، بر » وحاشية « بس » و</w:t>
      </w:r>
      <w:r w:rsidR="00992664" w:rsidRPr="0012008A">
        <w:rPr>
          <w:rStyle w:val="libFootnoteBoldChar"/>
          <w:rtl/>
        </w:rPr>
        <w:t>البحار</w:t>
      </w:r>
      <w:r w:rsidR="00992664" w:rsidRPr="00020424">
        <w:rPr>
          <w:rtl/>
        </w:rPr>
        <w:t xml:space="preserve"> و</w:t>
      </w:r>
      <w:r w:rsidR="00D64ADA" w:rsidRPr="00D64ADA">
        <w:rPr>
          <w:rStyle w:val="libFootnoteBoldChar"/>
          <w:rtl/>
        </w:rPr>
        <w:t>المحاسن</w:t>
      </w:r>
      <w:r w:rsidR="00992664" w:rsidRPr="00020424">
        <w:rPr>
          <w:rtl/>
        </w:rPr>
        <w:t xml:space="preserve"> </w:t>
      </w:r>
      <w:r w:rsidR="00992664" w:rsidRPr="00EB1FD9">
        <w:rPr>
          <w:rStyle w:val="libFootnoteBoldChar"/>
          <w:rtl/>
        </w:rPr>
        <w:t>وتفسير القمّي</w:t>
      </w:r>
      <w:r w:rsidR="00992664" w:rsidRPr="00020424">
        <w:rPr>
          <w:rtl/>
        </w:rPr>
        <w:t xml:space="preserve"> : « قفر</w:t>
      </w:r>
      <w:r w:rsidR="00992664">
        <w:rPr>
          <w:rtl/>
        </w:rPr>
        <w:t xml:space="preserve"> ».</w:t>
      </w:r>
      <w:r w:rsidR="00992664" w:rsidRPr="00020424">
        <w:rPr>
          <w:rtl/>
        </w:rPr>
        <w:t xml:space="preserve"> </w:t>
      </w:r>
      <w:r w:rsidR="00992664">
        <w:rPr>
          <w:rtl/>
        </w:rPr>
        <w:t>و «</w:t>
      </w:r>
      <w:r w:rsidR="00992664" w:rsidRPr="00020424">
        <w:rPr>
          <w:rtl/>
        </w:rPr>
        <w:t xml:space="preserve"> القَرْقَر » : الأرض المستوية المطمئنّة الليّنة. راجع : </w:t>
      </w:r>
      <w:r w:rsidR="00992664" w:rsidRPr="0012008A">
        <w:rPr>
          <w:rStyle w:val="libFootnoteBoldChar"/>
          <w:rtl/>
        </w:rPr>
        <w:t>النهاية</w:t>
      </w:r>
      <w:r w:rsidR="00992664" w:rsidRPr="00020424">
        <w:rPr>
          <w:rtl/>
        </w:rPr>
        <w:t xml:space="preserve"> ، ج 4 ، ص 48 ؛ </w:t>
      </w:r>
      <w:r w:rsidR="00992664" w:rsidRPr="00A722B1">
        <w:rPr>
          <w:rStyle w:val="libFootnoteBoldChar"/>
          <w:rtl/>
        </w:rPr>
        <w:t>القاموس المحيط</w:t>
      </w:r>
      <w:r w:rsidR="00992664" w:rsidRPr="00020424">
        <w:rPr>
          <w:rtl/>
        </w:rPr>
        <w:t xml:space="preserve"> ، ج 1 ، ص 642 ( قرر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الشجاع » ، بضمّ الشين وكسرها : الحيّة ، أو الذكر منها ، أو ضرب منها صغير. راجع : </w:t>
      </w:r>
      <w:r w:rsidR="00992664" w:rsidRPr="0012008A">
        <w:rPr>
          <w:rStyle w:val="libFootnoteBoldChar"/>
          <w:rtl/>
        </w:rPr>
        <w:t>النهاية</w:t>
      </w:r>
      <w:r w:rsidR="00992664" w:rsidRPr="00020424">
        <w:rPr>
          <w:rtl/>
        </w:rPr>
        <w:t xml:space="preserve"> ، ج 2 ، </w:t>
      </w:r>
      <w:r w:rsidR="004836C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وَهُوَ يَحِيدُ </w:t>
      </w:r>
      <w:r w:rsidRPr="00A91B96">
        <w:rPr>
          <w:rStyle w:val="libFootnotenumChar"/>
          <w:rtl/>
        </w:rPr>
        <w:t>(1)</w:t>
      </w:r>
      <w:r w:rsidRPr="00020424">
        <w:rPr>
          <w:rtl/>
          <w:lang w:bidi="fa-IR"/>
        </w:rPr>
        <w:t xml:space="preserve"> عَنْهُ </w:t>
      </w:r>
      <w:r w:rsidRPr="00A91B96">
        <w:rPr>
          <w:rStyle w:val="libFootnotenumChar"/>
          <w:rtl/>
        </w:rPr>
        <w:t>(2)</w:t>
      </w:r>
      <w:r w:rsidRPr="00020424">
        <w:rPr>
          <w:rtl/>
          <w:lang w:bidi="fa-IR"/>
        </w:rPr>
        <w:t xml:space="preserve"> ، فَإِذَا رَأى </w:t>
      </w:r>
      <w:r w:rsidRPr="00A91B96">
        <w:rPr>
          <w:rStyle w:val="libFootnotenumChar"/>
          <w:rtl/>
        </w:rPr>
        <w:t>(3)</w:t>
      </w:r>
      <w:r w:rsidRPr="00020424">
        <w:rPr>
          <w:rtl/>
          <w:lang w:bidi="fa-IR"/>
        </w:rPr>
        <w:t xml:space="preserve"> أَنَّهُ لَامَخْلَصَ </w:t>
      </w:r>
      <w:r w:rsidRPr="00A91B96">
        <w:rPr>
          <w:rStyle w:val="libFootnotenumChar"/>
          <w:rtl/>
        </w:rPr>
        <w:t>(4)</w:t>
      </w:r>
      <w:r w:rsidRPr="00020424">
        <w:rPr>
          <w:rtl/>
          <w:lang w:bidi="fa-IR"/>
        </w:rPr>
        <w:t xml:space="preserve"> لَهُ </w:t>
      </w:r>
      <w:r w:rsidRPr="00A91B96">
        <w:rPr>
          <w:rStyle w:val="libFootnotenumChar"/>
          <w:rtl/>
        </w:rPr>
        <w:t>(5)</w:t>
      </w:r>
      <w:r w:rsidRPr="00020424">
        <w:rPr>
          <w:rtl/>
          <w:lang w:bidi="fa-IR"/>
        </w:rPr>
        <w:t xml:space="preserve"> مِنْهُ </w:t>
      </w:r>
      <w:r w:rsidRPr="00A91B96">
        <w:rPr>
          <w:rStyle w:val="libFootnotenumChar"/>
          <w:rtl/>
        </w:rPr>
        <w:t>(6)</w:t>
      </w:r>
      <w:r w:rsidRPr="00020424">
        <w:rPr>
          <w:rtl/>
          <w:lang w:bidi="fa-IR"/>
        </w:rPr>
        <w:t xml:space="preserve"> ، أَمْكَنَهُ مِنْ يَدِهِ ، فَقَضِمَهَا </w:t>
      </w:r>
      <w:r w:rsidRPr="00A91B96">
        <w:rPr>
          <w:rStyle w:val="libFootnotenumChar"/>
          <w:rtl/>
        </w:rPr>
        <w:t>(7)</w:t>
      </w:r>
      <w:r w:rsidRPr="00020424">
        <w:rPr>
          <w:rtl/>
          <w:lang w:bidi="fa-IR"/>
        </w:rPr>
        <w:t xml:space="preserve"> كَمَا يُقْضَمُ </w:t>
      </w:r>
      <w:r w:rsidRPr="00A91B96">
        <w:rPr>
          <w:rStyle w:val="libFootnotenumChar"/>
          <w:rtl/>
        </w:rPr>
        <w:t>(8)</w:t>
      </w:r>
      <w:r w:rsidRPr="00020424">
        <w:rPr>
          <w:rtl/>
          <w:lang w:bidi="fa-IR"/>
        </w:rPr>
        <w:t xml:space="preserve"> الْفُجْلُ </w:t>
      </w:r>
      <w:r w:rsidRPr="00A91B96">
        <w:rPr>
          <w:rStyle w:val="libFootnotenumChar"/>
          <w:rtl/>
        </w:rPr>
        <w:t>(9)</w:t>
      </w:r>
      <w:r w:rsidRPr="00020424">
        <w:rPr>
          <w:rtl/>
          <w:lang w:bidi="fa-IR"/>
        </w:rPr>
        <w:t xml:space="preserve"> ، ثُمَّ يَصِيرُ طَوْقاً فِي عُنُقِهِ ، وَذلِكَ قَوْلُ اللهِ عَزَّ وَجَلَّ </w:t>
      </w:r>
      <w:r w:rsidRPr="00A91B96">
        <w:rPr>
          <w:rStyle w:val="libFootnotenumChar"/>
          <w:rtl/>
        </w:rPr>
        <w:t>(10)</w:t>
      </w:r>
      <w:r w:rsidRPr="00020424">
        <w:rPr>
          <w:rtl/>
          <w:lang w:bidi="fa-IR"/>
        </w:rPr>
        <w:t xml:space="preserve"> :</w:t>
      </w:r>
      <w:r>
        <w:rPr>
          <w:rFonts w:hint="cs"/>
          <w:rtl/>
          <w:lang w:bidi="fa-IR"/>
        </w:rPr>
        <w:t xml:space="preserve"> </w:t>
      </w:r>
      <w:r w:rsidRPr="00005A81">
        <w:rPr>
          <w:rStyle w:val="libAlaemChar"/>
          <w:rtl/>
        </w:rPr>
        <w:t>(</w:t>
      </w:r>
      <w:r w:rsidRPr="004E5AB4">
        <w:rPr>
          <w:rStyle w:val="libAieChar"/>
          <w:rtl/>
        </w:rPr>
        <w:t xml:space="preserve"> سَيُطَوَّقُونَ ما بَخِلُوا بِهِ يَوْمَ الْقِيامَةِ </w:t>
      </w:r>
      <w:r w:rsidRPr="00005A81">
        <w:rPr>
          <w:rStyle w:val="libAlaemChar"/>
          <w:rtl/>
        </w:rPr>
        <w:t>)</w:t>
      </w:r>
      <w:r w:rsidRPr="00020424">
        <w:rPr>
          <w:rtl/>
          <w:lang w:bidi="fa-IR"/>
        </w:rPr>
        <w:t xml:space="preserve"> </w:t>
      </w:r>
      <w:r w:rsidRPr="00A91B96">
        <w:rPr>
          <w:rStyle w:val="libFootnotenumChar"/>
          <w:rtl/>
        </w:rPr>
        <w:t>(11)</w:t>
      </w:r>
      <w:r w:rsidRPr="00020424">
        <w:rPr>
          <w:rtl/>
          <w:lang w:bidi="fa-IR"/>
        </w:rPr>
        <w:t xml:space="preserve"> وَمَا مِنْ ذِي مَالٍ</w:t>
      </w:r>
      <w:r>
        <w:rPr>
          <w:rtl/>
          <w:lang w:bidi="fa-IR"/>
        </w:rPr>
        <w:t xml:space="preserve"> </w:t>
      </w:r>
      <w:r w:rsidR="009B673F">
        <w:rPr>
          <w:rtl/>
          <w:lang w:bidi="fa-IR"/>
        </w:rPr>
        <w:t>-</w:t>
      </w:r>
      <w:r>
        <w:rPr>
          <w:rtl/>
          <w:lang w:bidi="fa-IR"/>
        </w:rPr>
        <w:t xml:space="preserve"> </w:t>
      </w:r>
      <w:r w:rsidRPr="00020424">
        <w:rPr>
          <w:rtl/>
          <w:lang w:bidi="fa-IR"/>
        </w:rPr>
        <w:t xml:space="preserve">إِبِلٍ ، أَوْ غَنَمٍ ، أَوْ بَقَرٍ </w:t>
      </w:r>
      <w:r w:rsidRPr="00A91B96">
        <w:rPr>
          <w:rStyle w:val="libFootnotenumChar"/>
          <w:rtl/>
        </w:rPr>
        <w:t>(12)</w:t>
      </w:r>
      <w:r>
        <w:rPr>
          <w:rtl/>
          <w:lang w:bidi="fa-IR"/>
        </w:rPr>
        <w:t xml:space="preserve"> </w:t>
      </w:r>
      <w:r w:rsidR="009B673F">
        <w:rPr>
          <w:rtl/>
          <w:lang w:bidi="fa-IR"/>
        </w:rPr>
        <w:t>-</w:t>
      </w:r>
      <w:r>
        <w:rPr>
          <w:rtl/>
          <w:lang w:bidi="fa-IR"/>
        </w:rPr>
        <w:t xml:space="preserve"> </w:t>
      </w:r>
      <w:r w:rsidRPr="00020424">
        <w:rPr>
          <w:rtl/>
          <w:lang w:bidi="fa-IR"/>
        </w:rPr>
        <w:t xml:space="preserve">يَمْنَعُ </w:t>
      </w:r>
      <w:r w:rsidRPr="00A91B96">
        <w:rPr>
          <w:rStyle w:val="libFootnotenumChar"/>
          <w:rtl/>
        </w:rPr>
        <w:t>(13)</w:t>
      </w:r>
      <w:r w:rsidR="00615F1F">
        <w:rPr>
          <w:rtl/>
          <w:lang w:bidi="fa-IR"/>
        </w:rPr>
        <w:t xml:space="preserve"> زَكَاةَ مَالِهِ إِل</w:t>
      </w:r>
      <w:r w:rsidR="00615F1F">
        <w:rPr>
          <w:rFonts w:hint="cs"/>
          <w:rtl/>
          <w:lang w:bidi="fa-IR"/>
        </w:rPr>
        <w:t>َّ</w:t>
      </w:r>
      <w:r w:rsidR="00615F1F">
        <w:rPr>
          <w:rtl/>
          <w:lang w:bidi="fa-IR"/>
        </w:rPr>
        <w:t>ا</w:t>
      </w:r>
      <w:r w:rsidRPr="00020424">
        <w:rPr>
          <w:rtl/>
          <w:lang w:bidi="fa-IR"/>
        </w:rPr>
        <w:t xml:space="preserve"> حَبَسَهُ اللهُ يَوْمَ الْقِيَامَةِ بِقَاعٍ قَرْقَرٍ </w:t>
      </w:r>
      <w:r w:rsidRPr="00A91B96">
        <w:rPr>
          <w:rStyle w:val="libFootnotenumChar"/>
          <w:rtl/>
        </w:rPr>
        <w:t>(14)</w:t>
      </w:r>
      <w:r w:rsidRPr="00020424">
        <w:rPr>
          <w:rtl/>
          <w:lang w:bidi="fa-IR"/>
        </w:rPr>
        <w:t xml:space="preserve"> ، يَطَؤُهُ </w:t>
      </w:r>
      <w:r w:rsidRPr="00A91B96">
        <w:rPr>
          <w:rStyle w:val="libFootnotenumChar"/>
          <w:rtl/>
        </w:rPr>
        <w:t>(15)</w:t>
      </w:r>
      <w:r w:rsidRPr="00020424">
        <w:rPr>
          <w:rtl/>
          <w:lang w:bidi="fa-IR"/>
        </w:rPr>
        <w:t xml:space="preserve"> كُلُّ ذَاتِ </w:t>
      </w:r>
      <w:r w:rsidRPr="00A91B96">
        <w:rPr>
          <w:rStyle w:val="libFootnotenumChar"/>
          <w:rtl/>
        </w:rPr>
        <w:t>(16)</w:t>
      </w:r>
      <w:r w:rsidRPr="00020424">
        <w:rPr>
          <w:rtl/>
          <w:lang w:bidi="fa-IR"/>
        </w:rPr>
        <w:t xml:space="preserve"> ظِلْفٍ </w:t>
      </w:r>
      <w:r w:rsidRPr="00A91B96">
        <w:rPr>
          <w:rStyle w:val="libFootnotenumChar"/>
          <w:rtl/>
        </w:rPr>
        <w:t>(17)</w:t>
      </w:r>
    </w:p>
    <w:p w:rsidR="00992664" w:rsidRPr="00020424" w:rsidRDefault="00992664" w:rsidP="00992664">
      <w:pPr>
        <w:pStyle w:val="libLine"/>
        <w:rPr>
          <w:rtl/>
          <w:lang w:bidi="fa-IR"/>
        </w:rPr>
      </w:pPr>
      <w:r w:rsidRPr="00020424">
        <w:rPr>
          <w:rtl/>
          <w:lang w:bidi="fa-IR"/>
        </w:rPr>
        <w:t>__________________</w:t>
      </w:r>
    </w:p>
    <w:p w:rsidR="00992664" w:rsidRPr="00020424" w:rsidRDefault="00615F1F" w:rsidP="00992664">
      <w:pPr>
        <w:pStyle w:val="libFootnote0"/>
        <w:rPr>
          <w:rtl/>
          <w:lang w:bidi="fa-IR"/>
        </w:rPr>
      </w:pPr>
      <w:r>
        <w:rPr>
          <w:rFonts w:hint="cs"/>
          <w:rtl/>
        </w:rPr>
        <w:t xml:space="preserve">= </w:t>
      </w:r>
      <w:r w:rsidR="00992664" w:rsidRPr="00020424">
        <w:rPr>
          <w:rtl/>
        </w:rPr>
        <w:t xml:space="preserve">ص 447 ؛ </w:t>
      </w:r>
      <w:r w:rsidR="00992664" w:rsidRPr="00A722B1">
        <w:rPr>
          <w:rStyle w:val="libFootnoteBoldChar"/>
          <w:rtl/>
        </w:rPr>
        <w:t>القاموس المحيط</w:t>
      </w:r>
      <w:r w:rsidR="00992664" w:rsidRPr="00020424">
        <w:rPr>
          <w:rtl/>
        </w:rPr>
        <w:t xml:space="preserve"> ، ج 2 ، ص 982 ( شجع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محيد</w:t>
      </w:r>
      <w:r w:rsidR="00992664">
        <w:rPr>
          <w:rtl/>
        </w:rPr>
        <w:t xml:space="preserve"> ».</w:t>
      </w:r>
      <w:r w:rsidR="00992664" w:rsidRPr="00020424">
        <w:rPr>
          <w:rtl/>
        </w:rPr>
        <w:t xml:space="preserve"> وفي حاشية « ظ » : « يميل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تفسير القمّي : « سباعاً تريده وتحيد عنه فيه » بدل « شجاعاً أقرع يريده وهو يحيد عنه</w:t>
      </w:r>
      <w:r w:rsidR="00992664">
        <w:rPr>
          <w:rtl/>
        </w:rPr>
        <w:t xml:space="preserve"> ».</w:t>
      </w:r>
      <w:r w:rsidR="00992664" w:rsidRPr="00020424">
        <w:rPr>
          <w:rtl/>
        </w:rPr>
        <w:t xml:space="preserve"> وحاد عن الشي‌ء يحيد ، أي مال وعدل. راجع : </w:t>
      </w:r>
      <w:r w:rsidR="00992664" w:rsidRPr="0012008A">
        <w:rPr>
          <w:rStyle w:val="libFootnoteBoldChar"/>
          <w:rtl/>
        </w:rPr>
        <w:t>الصحاح</w:t>
      </w:r>
      <w:r w:rsidR="00992664" w:rsidRPr="00020424">
        <w:rPr>
          <w:rtl/>
        </w:rPr>
        <w:t xml:space="preserve"> ، ج 2 ، ص 467 ؛ </w:t>
      </w:r>
      <w:r w:rsidR="00992664" w:rsidRPr="0012008A">
        <w:rPr>
          <w:rStyle w:val="libFootnoteBoldChar"/>
          <w:rtl/>
        </w:rPr>
        <w:t>النهاية</w:t>
      </w:r>
      <w:r w:rsidR="00992664" w:rsidRPr="00020424">
        <w:rPr>
          <w:rtl/>
        </w:rPr>
        <w:t xml:space="preserve"> ، ج 1 ، ص 466 ( حيد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تفسير القمّي : « علم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بح ، بخ ، بر ، بف » وحاشية « جن » </w:t>
      </w:r>
      <w:r w:rsidR="00992664" w:rsidRPr="003E6EDD">
        <w:rPr>
          <w:rtl/>
        </w:rPr>
        <w:t>والوافي والبحار والفقيه</w:t>
      </w:r>
      <w:r w:rsidR="00992664" w:rsidRPr="00020424">
        <w:rPr>
          <w:rtl/>
        </w:rPr>
        <w:t xml:space="preserve"> والثواب والمعاني : « لا يتخلّص</w:t>
      </w:r>
      <w:r w:rsidR="00992664">
        <w:rPr>
          <w:rtl/>
        </w:rPr>
        <w:t xml:space="preserve"> ».</w:t>
      </w:r>
      <w:r w:rsidR="00992664" w:rsidRPr="00020424">
        <w:rPr>
          <w:rtl/>
        </w:rPr>
        <w:t xml:space="preserve"> وفي </w:t>
      </w:r>
      <w:r w:rsidR="00D64ADA" w:rsidRPr="00D64ADA">
        <w:rPr>
          <w:rStyle w:val="libFootnoteBoldChar"/>
          <w:rtl/>
        </w:rPr>
        <w:t>المحاسن</w:t>
      </w:r>
      <w:r w:rsidR="00992664" w:rsidRPr="00020424">
        <w:rPr>
          <w:rtl/>
        </w:rPr>
        <w:t xml:space="preserve"> : « لا تتخلّص</w:t>
      </w:r>
      <w:r w:rsidR="00992664">
        <w:rPr>
          <w:rtl/>
        </w:rPr>
        <w:t xml:space="preserve"> ».</w:t>
      </w:r>
      <w:r w:rsidR="00992664" w:rsidRPr="00020424">
        <w:rPr>
          <w:rtl/>
        </w:rPr>
        <w:t xml:space="preserve"> وفي تفسير القمّي : « لا محيص</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بح ، بخ ، بر ، بف » وحاشية « جن » </w:t>
      </w:r>
      <w:r w:rsidR="00992664" w:rsidRPr="003E6EDD">
        <w:rPr>
          <w:rtl/>
        </w:rPr>
        <w:t>والوافي والبحار والفقيه و</w:t>
      </w:r>
      <w:r w:rsidR="00D64ADA" w:rsidRPr="003E6EDD">
        <w:rPr>
          <w:rtl/>
        </w:rPr>
        <w:t>المحاسن</w:t>
      </w:r>
      <w:r w:rsidR="00992664" w:rsidRPr="00020424">
        <w:rPr>
          <w:rtl/>
        </w:rPr>
        <w:t xml:space="preserve"> والثواب والمعاني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تفسير القمّي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 « ففصمها</w:t>
      </w:r>
      <w:r w:rsidR="00992664">
        <w:rPr>
          <w:rtl/>
        </w:rPr>
        <w:t xml:space="preserve"> ».</w:t>
      </w:r>
      <w:r w:rsidR="00992664" w:rsidRPr="00020424">
        <w:rPr>
          <w:rtl/>
        </w:rPr>
        <w:t xml:space="preserve"> وفي « بر » : « فقصمها</w:t>
      </w:r>
      <w:r w:rsidR="00992664">
        <w:rPr>
          <w:rtl/>
        </w:rPr>
        <w:t xml:space="preserve"> ».</w:t>
      </w:r>
      <w:r w:rsidR="00992664" w:rsidRPr="00020424">
        <w:rPr>
          <w:rtl/>
        </w:rPr>
        <w:t xml:space="preserve"> والقَضْم : الأكل بأطراف الأسنان ، أو الأكل يابساً. راجع : </w:t>
      </w:r>
      <w:r w:rsidR="00992664" w:rsidRPr="0012008A">
        <w:rPr>
          <w:rStyle w:val="libFootnoteBoldChar"/>
          <w:rtl/>
        </w:rPr>
        <w:t>الصحاح</w:t>
      </w:r>
      <w:r w:rsidR="00992664" w:rsidRPr="00020424">
        <w:rPr>
          <w:rtl/>
        </w:rPr>
        <w:t xml:space="preserve"> ، ج 5 ، ص 2013 ؛ </w:t>
      </w:r>
      <w:r w:rsidR="00992664" w:rsidRPr="00A722B1">
        <w:rPr>
          <w:rStyle w:val="libFootnoteBoldChar"/>
          <w:rtl/>
        </w:rPr>
        <w:t>القاموس المحيط</w:t>
      </w:r>
      <w:r w:rsidR="00992664" w:rsidRPr="00020424">
        <w:rPr>
          <w:rtl/>
        </w:rPr>
        <w:t xml:space="preserve"> ، ج 2 ، ص 1514 ( قضم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تفصم</w:t>
      </w:r>
      <w:r w:rsidR="00992664">
        <w:rPr>
          <w:rtl/>
        </w:rPr>
        <w:t xml:space="preserve"> ».</w:t>
      </w:r>
      <w:r w:rsidR="00992664" w:rsidRPr="00020424">
        <w:rPr>
          <w:rtl/>
        </w:rPr>
        <w:t xml:space="preserve"> وفي « بر » : « تقصم</w:t>
      </w:r>
      <w:r w:rsidR="00992664">
        <w:rPr>
          <w:rtl/>
        </w:rPr>
        <w:t xml:space="preserve"> ».</w:t>
      </w:r>
      <w:r w:rsidR="00992664" w:rsidRPr="00020424">
        <w:rPr>
          <w:rtl/>
        </w:rPr>
        <w:t xml:space="preserve"> وفي « بف » : « تقضم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الفحل</w:t>
      </w:r>
      <w:r w:rsidR="00992664">
        <w:rPr>
          <w:rtl/>
        </w:rPr>
        <w:t xml:space="preserve"> ».</w:t>
      </w:r>
      <w:r w:rsidR="00992664" w:rsidRPr="00020424">
        <w:rPr>
          <w:rtl/>
        </w:rPr>
        <w:t xml:space="preserve"> </w:t>
      </w:r>
      <w:r w:rsidR="00992664">
        <w:rPr>
          <w:rtl/>
        </w:rPr>
        <w:t>و «</w:t>
      </w:r>
      <w:r w:rsidR="00992664" w:rsidRPr="00020424">
        <w:rPr>
          <w:rtl/>
        </w:rPr>
        <w:t xml:space="preserve"> الفجل » ، وزان قفل : بقلة معروفة. وقيل : ا</w:t>
      </w:r>
      <w:r w:rsidR="00615F1F">
        <w:rPr>
          <w:rFonts w:hint="cs"/>
          <w:rtl/>
        </w:rPr>
        <w:t>ُ</w:t>
      </w:r>
      <w:r w:rsidR="00992664" w:rsidRPr="00020424">
        <w:rPr>
          <w:rtl/>
        </w:rPr>
        <w:t xml:space="preserve">رومة نبات خبيثة الجُشاء ، معروف ، ولها خواصّ ذكرها صاحب </w:t>
      </w:r>
      <w:r w:rsidR="00992664" w:rsidRPr="00D004F3">
        <w:rPr>
          <w:rtl/>
        </w:rPr>
        <w:t>القاموس</w:t>
      </w:r>
      <w:r w:rsidR="00992664" w:rsidRPr="00020424">
        <w:rPr>
          <w:rtl/>
        </w:rPr>
        <w:t xml:space="preserve"> ، ثمّ قال : « وحبّ الفجل : دواء آخر ومنه يتّخذ دهن الفجل</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11 ، ص 515 ؛ </w:t>
      </w:r>
      <w:r w:rsidR="00992664" w:rsidRPr="00A722B1">
        <w:rPr>
          <w:rStyle w:val="libFootnoteBoldChar"/>
          <w:rtl/>
        </w:rPr>
        <w:t>المصباح المنير</w:t>
      </w:r>
      <w:r w:rsidR="00992664" w:rsidRPr="00020424">
        <w:rPr>
          <w:rtl/>
        </w:rPr>
        <w:t xml:space="preserve"> ، ص 463 ؛ </w:t>
      </w:r>
      <w:r w:rsidR="00992664" w:rsidRPr="00A722B1">
        <w:rPr>
          <w:rStyle w:val="libFootnoteBoldChar"/>
          <w:rtl/>
        </w:rPr>
        <w:t>القاموس المحيط</w:t>
      </w:r>
      <w:r w:rsidR="00992664" w:rsidRPr="00020424">
        <w:rPr>
          <w:rtl/>
        </w:rPr>
        <w:t xml:space="preserve"> ، ج 2 ، ص 1375 ( فجل )</w:t>
      </w:r>
      <w:r w:rsidR="00992664">
        <w:rPr>
          <w:rtl/>
        </w:rPr>
        <w:t>.</w:t>
      </w:r>
    </w:p>
    <w:tbl>
      <w:tblPr>
        <w:tblStyle w:val="TableGrid"/>
        <w:bidiVisual/>
        <w:tblW w:w="0" w:type="auto"/>
        <w:tblLook w:val="04A0" w:firstRow="1" w:lastRow="0" w:firstColumn="1" w:lastColumn="0" w:noHBand="0" w:noVBand="1"/>
      </w:tblPr>
      <w:tblGrid>
        <w:gridCol w:w="3891"/>
        <w:gridCol w:w="4121"/>
      </w:tblGrid>
      <w:tr w:rsidR="00B231AB" w:rsidTr="00B36397">
        <w:tc>
          <w:tcPr>
            <w:tcW w:w="3891" w:type="dxa"/>
          </w:tcPr>
          <w:p w:rsidR="00B231AB" w:rsidRDefault="00B231AB" w:rsidP="00992664">
            <w:pPr>
              <w:pStyle w:val="libFootnote0"/>
              <w:rPr>
                <w:rtl/>
              </w:rPr>
            </w:pPr>
            <w:r>
              <w:rPr>
                <w:rtl/>
              </w:rPr>
              <w:t xml:space="preserve">(10). </w:t>
            </w:r>
            <w:r w:rsidRPr="00020424">
              <w:rPr>
                <w:rtl/>
              </w:rPr>
              <w:t>في « بخ ، بر ، بف » : + « ذكره</w:t>
            </w:r>
            <w:r>
              <w:rPr>
                <w:rtl/>
              </w:rPr>
              <w:t xml:space="preserve"> ».</w:t>
            </w:r>
          </w:p>
        </w:tc>
        <w:tc>
          <w:tcPr>
            <w:tcW w:w="4121" w:type="dxa"/>
          </w:tcPr>
          <w:p w:rsidR="00B231AB" w:rsidRDefault="00B231AB" w:rsidP="00B36397">
            <w:pPr>
              <w:pStyle w:val="libFootnote0"/>
              <w:rPr>
                <w:rtl/>
              </w:rPr>
            </w:pPr>
            <w:r>
              <w:rPr>
                <w:rtl/>
              </w:rPr>
              <w:t>(11).</w:t>
            </w:r>
            <w:r w:rsidRPr="00020424">
              <w:rPr>
                <w:rtl/>
              </w:rPr>
              <w:t>في تفسيرالقمّي:</w:t>
            </w:r>
            <w:r>
              <w:rPr>
                <w:rtl/>
              </w:rPr>
              <w:t>-</w:t>
            </w:r>
            <w:r w:rsidRPr="00020424">
              <w:rPr>
                <w:rtl/>
              </w:rPr>
              <w:t>«ثمّ يصير</w:t>
            </w:r>
            <w:r>
              <w:rPr>
                <w:rtl/>
              </w:rPr>
              <w:t>-</w:t>
            </w:r>
            <w:r w:rsidRPr="00020424">
              <w:rPr>
                <w:rtl/>
              </w:rPr>
              <w:t>إلى</w:t>
            </w:r>
            <w:r>
              <w:rPr>
                <w:rtl/>
              </w:rPr>
              <w:t>-</w:t>
            </w:r>
            <w:r w:rsidRPr="003B78EF">
              <w:rPr>
                <w:rStyle w:val="libFootnoteAlaemChar"/>
                <w:rtl/>
              </w:rPr>
              <w:t>(</w:t>
            </w:r>
            <w:r w:rsidRPr="006B2AC6">
              <w:rPr>
                <w:rStyle w:val="libFootnoteAieChar"/>
                <w:rtl/>
              </w:rPr>
              <w:t>يَوْمَ الْقِيامَةِ</w:t>
            </w:r>
            <w:r w:rsidRPr="003B78EF">
              <w:rPr>
                <w:rStyle w:val="libFootnoteAlaemChar"/>
                <w:rtl/>
              </w:rPr>
              <w:t>)</w:t>
            </w:r>
            <w:r>
              <w:rPr>
                <w:rtl/>
              </w:rPr>
              <w:t>».</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و</w:t>
      </w:r>
      <w:r w:rsidR="00D64ADA" w:rsidRPr="00D64ADA">
        <w:rPr>
          <w:rStyle w:val="libFootnoteBoldChar"/>
          <w:rtl/>
        </w:rPr>
        <w:t>المحاسن</w:t>
      </w:r>
      <w:r w:rsidR="00992664" w:rsidRPr="00020424">
        <w:rPr>
          <w:rtl/>
        </w:rPr>
        <w:t xml:space="preserve"> وتفسير العيّاشي </w:t>
      </w:r>
      <w:r w:rsidR="00992664" w:rsidRPr="00EB1FD9">
        <w:rPr>
          <w:rStyle w:val="libFootnoteBoldChar"/>
          <w:rtl/>
        </w:rPr>
        <w:t>وتفسير القمّي</w:t>
      </w:r>
      <w:r w:rsidR="00992664" w:rsidRPr="00020424">
        <w:rPr>
          <w:rtl/>
        </w:rPr>
        <w:t xml:space="preserve"> والثواب والمعاني : « بقر أو غنم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 من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ظ ، بخ ، بر » وحاشية « بث ، بس ، جن » ومرآة العقول و</w:t>
      </w:r>
      <w:r w:rsidR="00992664" w:rsidRPr="0012008A">
        <w:rPr>
          <w:rStyle w:val="libFootnoteBoldChar"/>
          <w:rtl/>
        </w:rPr>
        <w:t>البحار</w:t>
      </w:r>
      <w:r w:rsidR="00992664" w:rsidRPr="00020424">
        <w:rPr>
          <w:rtl/>
        </w:rPr>
        <w:t xml:space="preserve"> و</w:t>
      </w:r>
      <w:r w:rsidR="00D64ADA" w:rsidRPr="00D64ADA">
        <w:rPr>
          <w:rStyle w:val="libFootnoteBoldChar"/>
          <w:rtl/>
        </w:rPr>
        <w:t>المحاسن</w:t>
      </w:r>
      <w:r w:rsidR="00992664" w:rsidRPr="00020424">
        <w:rPr>
          <w:rtl/>
        </w:rPr>
        <w:t xml:space="preserve"> وتفسير العيّاشي </w:t>
      </w:r>
      <w:r w:rsidR="00992664" w:rsidRPr="00EB1FD9">
        <w:rPr>
          <w:rStyle w:val="libFootnoteBoldChar"/>
          <w:rtl/>
        </w:rPr>
        <w:t>وتفسير القمّي</w:t>
      </w:r>
      <w:r w:rsidR="00992664" w:rsidRPr="00020424">
        <w:rPr>
          <w:rtl/>
        </w:rPr>
        <w:t xml:space="preserve"> : « قفر</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 « تطؤه</w:t>
      </w:r>
      <w:r w:rsidR="00992664">
        <w:rPr>
          <w:rtl/>
        </w:rPr>
        <w:t xml:space="preserve"> ».</w:t>
      </w:r>
      <w:r w:rsidR="00992664" w:rsidRPr="00020424">
        <w:rPr>
          <w:rtl/>
        </w:rPr>
        <w:t xml:space="preserve"> وفي تفسير العيّاشي : « ينطحه</w:t>
      </w:r>
      <w:r w:rsidR="00992664">
        <w:rPr>
          <w:rtl/>
        </w:rPr>
        <w:t xml:space="preserve"> ».</w:t>
      </w:r>
      <w:r w:rsidR="00992664" w:rsidRPr="00020424">
        <w:rPr>
          <w:rtl/>
        </w:rPr>
        <w:t xml:space="preserve"> وفي تفسير القمّي : « ينطحه كلّ ذات قرن بقرنها </w:t>
      </w:r>
      <w:r w:rsidR="00992664">
        <w:rPr>
          <w:rtl/>
        </w:rPr>
        <w:t>و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بث ، بخ ، بر ، بس ، بف » وتفسيرالقمّي </w:t>
      </w:r>
      <w:r w:rsidR="00992664" w:rsidRPr="006C7A1F">
        <w:rPr>
          <w:rStyle w:val="libFootnoteBoldChar"/>
          <w:rtl/>
        </w:rPr>
        <w:t>وثواب الأعمال</w:t>
      </w:r>
      <w:r w:rsidR="00992664" w:rsidRPr="00020424">
        <w:rPr>
          <w:rtl/>
        </w:rPr>
        <w:t xml:space="preserve"> : « ذي</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 الظِلْف » : من الشاة والبقر ونحوه كالظُفْر من الإنسان ، وقيل : هو لها بمنزلة القدم لنا. راجع : </w:t>
      </w:r>
      <w:r w:rsidR="00992664" w:rsidRPr="00A722B1">
        <w:rPr>
          <w:rStyle w:val="libFootnoteBoldChar"/>
          <w:rtl/>
        </w:rPr>
        <w:t>المصباح المنير</w:t>
      </w:r>
      <w:r w:rsidR="00992664" w:rsidRPr="00020424">
        <w:rPr>
          <w:rtl/>
        </w:rPr>
        <w:t xml:space="preserve"> ، ص 385 ؛ </w:t>
      </w:r>
      <w:r w:rsidR="00992664" w:rsidRPr="00A722B1">
        <w:rPr>
          <w:rStyle w:val="libFootnoteBoldChar"/>
          <w:rtl/>
        </w:rPr>
        <w:t>القاموس المحيط</w:t>
      </w:r>
      <w:r w:rsidR="00992664" w:rsidRPr="00020424">
        <w:rPr>
          <w:rtl/>
        </w:rPr>
        <w:t xml:space="preserve"> ، ج 2 ، ص 1111 ( ظلف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بِظِلْفِهَا ، وَيَنْهَشُهُ </w:t>
      </w:r>
      <w:r w:rsidRPr="00A91B96">
        <w:rPr>
          <w:rStyle w:val="libFootnotenumChar"/>
          <w:rtl/>
        </w:rPr>
        <w:t>(1)</w:t>
      </w:r>
      <w:r w:rsidRPr="00020424">
        <w:rPr>
          <w:rtl/>
          <w:lang w:bidi="fa-IR"/>
        </w:rPr>
        <w:t xml:space="preserve"> كُلُّ ذَاتِ </w:t>
      </w:r>
      <w:r w:rsidRPr="00A91B96">
        <w:rPr>
          <w:rStyle w:val="libFootnotenumChar"/>
          <w:rtl/>
        </w:rPr>
        <w:t>(2)</w:t>
      </w:r>
      <w:r w:rsidRPr="00020424">
        <w:rPr>
          <w:rtl/>
          <w:lang w:bidi="fa-IR"/>
        </w:rPr>
        <w:t xml:space="preserve"> نَابٍ بِنَابِهَا </w:t>
      </w:r>
      <w:r w:rsidRPr="00A91B96">
        <w:rPr>
          <w:rStyle w:val="libFootnotenumChar"/>
          <w:rtl/>
        </w:rPr>
        <w:t>(3)</w:t>
      </w:r>
      <w:r w:rsidRPr="00020424">
        <w:rPr>
          <w:rtl/>
          <w:lang w:bidi="fa-IR"/>
        </w:rPr>
        <w:t xml:space="preserve"> ؛ وَمَا مِنْ ذِي مَالٍ</w:t>
      </w:r>
      <w:r>
        <w:rPr>
          <w:rtl/>
          <w:lang w:bidi="fa-IR"/>
        </w:rPr>
        <w:t xml:space="preserve"> </w:t>
      </w:r>
      <w:r w:rsidR="009B673F">
        <w:rPr>
          <w:rtl/>
          <w:lang w:bidi="fa-IR"/>
        </w:rPr>
        <w:t>-</w:t>
      </w:r>
      <w:r>
        <w:rPr>
          <w:rtl/>
          <w:lang w:bidi="fa-IR"/>
        </w:rPr>
        <w:t xml:space="preserve"> </w:t>
      </w:r>
      <w:r w:rsidRPr="00020424">
        <w:rPr>
          <w:rtl/>
          <w:lang w:bidi="fa-IR"/>
        </w:rPr>
        <w:t>نَخْلٍ ، أَوْ كَرْمٍ ، أَوْ زَرْعٍ</w:t>
      </w:r>
      <w:r>
        <w:rPr>
          <w:rtl/>
          <w:lang w:bidi="fa-IR"/>
        </w:rPr>
        <w:t xml:space="preserve"> </w:t>
      </w:r>
      <w:r w:rsidR="009B673F">
        <w:rPr>
          <w:rtl/>
          <w:lang w:bidi="fa-IR"/>
        </w:rPr>
        <w:t>-</w:t>
      </w:r>
      <w:r>
        <w:rPr>
          <w:rtl/>
          <w:lang w:bidi="fa-IR"/>
        </w:rPr>
        <w:t xml:space="preserve"> </w:t>
      </w:r>
      <w:r w:rsidR="001F38DD">
        <w:rPr>
          <w:rtl/>
          <w:lang w:bidi="fa-IR"/>
        </w:rPr>
        <w:t>يَمْنَعُ زَكَاتَهَا إِل</w:t>
      </w:r>
      <w:r w:rsidR="001F38DD">
        <w:rPr>
          <w:rFonts w:hint="cs"/>
          <w:rtl/>
          <w:lang w:bidi="fa-IR"/>
        </w:rPr>
        <w:t>َّ</w:t>
      </w:r>
      <w:r w:rsidR="001F38DD">
        <w:rPr>
          <w:rtl/>
          <w:lang w:bidi="fa-IR"/>
        </w:rPr>
        <w:t>ا</w:t>
      </w:r>
      <w:r w:rsidRPr="00020424">
        <w:rPr>
          <w:rtl/>
          <w:lang w:bidi="fa-IR"/>
        </w:rPr>
        <w:t xml:space="preserve"> طَوَّقَهُ اللهُ رَيْعَةَ </w:t>
      </w:r>
      <w:r w:rsidRPr="00A91B96">
        <w:rPr>
          <w:rStyle w:val="libFootnotenumChar"/>
          <w:rtl/>
        </w:rPr>
        <w:t>(4)</w:t>
      </w:r>
      <w:r w:rsidRPr="00020424">
        <w:rPr>
          <w:rtl/>
          <w:lang w:bidi="fa-IR"/>
        </w:rPr>
        <w:t xml:space="preserve"> أَرْضِهِ إِلى سَبْعِ أَرَضِينَ إِلى </w:t>
      </w:r>
      <w:r w:rsidRPr="00A91B96">
        <w:rPr>
          <w:rStyle w:val="libFootnotenumChar"/>
          <w:rtl/>
        </w:rPr>
        <w:t>(5)</w:t>
      </w:r>
      <w:r w:rsidRPr="00020424">
        <w:rPr>
          <w:rtl/>
          <w:lang w:bidi="fa-IR"/>
        </w:rPr>
        <w:t xml:space="preserve"> يَوْمِ الْقِيَامَةِ</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Normal"/>
        <w:rPr>
          <w:rtl/>
          <w:lang w:bidi="fa-IR"/>
        </w:rPr>
      </w:pPr>
      <w:r w:rsidRPr="00D004F3">
        <w:rPr>
          <w:rtl/>
        </w:rPr>
        <w:t>5759</w:t>
      </w:r>
      <w:r w:rsidRPr="001155DE">
        <w:rPr>
          <w:rStyle w:val="libBold2Char"/>
          <w:rtl/>
        </w:rPr>
        <w:t xml:space="preserve"> / 20.</w:t>
      </w:r>
      <w:r w:rsidRPr="00020424">
        <w:rPr>
          <w:rtl/>
          <w:lang w:bidi="fa-IR"/>
        </w:rPr>
        <w:t xml:space="preserve"> عَلِيُّ بْنُ إِبْرَاهِيمَ </w:t>
      </w:r>
      <w:r w:rsidRPr="00A91B96">
        <w:rPr>
          <w:rStyle w:val="libFootnotenumChar"/>
          <w:rtl/>
        </w:rPr>
        <w:t>(7)</w:t>
      </w:r>
      <w:r w:rsidRPr="00020424">
        <w:rPr>
          <w:rtl/>
          <w:lang w:bidi="fa-IR"/>
        </w:rPr>
        <w:t xml:space="preserve">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 عَنْ أَبِيهِ </w:t>
      </w:r>
      <w:r w:rsidRPr="00005A81">
        <w:rPr>
          <w:rStyle w:val="libAlaemChar"/>
          <w:rtl/>
        </w:rPr>
        <w:t>عليهما‌السلام</w:t>
      </w:r>
      <w:r w:rsidRPr="00020424">
        <w:rPr>
          <w:rtl/>
          <w:lang w:bidi="fa-IR"/>
        </w:rPr>
        <w:t xml:space="preserve"> </w:t>
      </w:r>
      <w:r w:rsidRPr="00A91B96">
        <w:rPr>
          <w:rStyle w:val="libFootnotenumChar"/>
          <w:rtl/>
        </w:rPr>
        <w:t>(8)</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مَا حَبَسَ عَبْدٌ </w:t>
      </w:r>
      <w:r w:rsidRPr="00A91B96">
        <w:rPr>
          <w:rStyle w:val="libFootnotenumChar"/>
          <w:rtl/>
        </w:rPr>
        <w:t>(9)</w:t>
      </w:r>
      <w:r w:rsidRPr="00020424">
        <w:rPr>
          <w:rtl/>
          <w:lang w:bidi="fa-IR"/>
        </w:rPr>
        <w:t xml:space="preserve"> زَكَاةً </w:t>
      </w:r>
      <w:r w:rsidRPr="00A91B96">
        <w:rPr>
          <w:rStyle w:val="libFootnotenumChar"/>
          <w:rtl/>
        </w:rPr>
        <w:t>(10)</w:t>
      </w:r>
      <w:r w:rsidRPr="00020424">
        <w:rPr>
          <w:rtl/>
          <w:lang w:bidi="fa-IR"/>
        </w:rPr>
        <w:t xml:space="preserve"> ، فَزَادَتْ فِي مَالِهِ</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D004F3">
        <w:rPr>
          <w:rtl/>
        </w:rPr>
        <w:t>5760</w:t>
      </w:r>
      <w:r w:rsidRPr="001155DE">
        <w:rPr>
          <w:rStyle w:val="libBold2Char"/>
          <w:rtl/>
        </w:rPr>
        <w:t xml:space="preserve"> / 21.</w:t>
      </w:r>
      <w:r w:rsidRPr="00020424">
        <w:rPr>
          <w:rtl/>
          <w:lang w:bidi="fa-IR"/>
        </w:rPr>
        <w:t xml:space="preserve"> عَلِيُّ بْنُ إِبْرَاهِيمَ </w:t>
      </w:r>
      <w:r w:rsidRPr="00A91B96">
        <w:rPr>
          <w:rStyle w:val="libFootnotenumChar"/>
          <w:rtl/>
        </w:rPr>
        <w:t>(12)</w:t>
      </w:r>
      <w:r w:rsidRPr="00020424">
        <w:rPr>
          <w:rtl/>
          <w:lang w:bidi="fa-IR"/>
        </w:rPr>
        <w:t xml:space="preserve"> ، عَنْ أَبِيهِ ، عَنِ ابْنِ أَبِي عُمَيْرٍ ، عَنْ هِشَامِ بْنِ الْحَكَمِ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514A3" w:rsidTr="002514A3">
        <w:tc>
          <w:tcPr>
            <w:tcW w:w="4006" w:type="dxa"/>
          </w:tcPr>
          <w:p w:rsidR="002514A3" w:rsidRDefault="002514A3" w:rsidP="00992664">
            <w:pPr>
              <w:pStyle w:val="libFootnote0"/>
              <w:rPr>
                <w:rtl/>
              </w:rPr>
            </w:pPr>
            <w:r>
              <w:rPr>
                <w:rtl/>
              </w:rPr>
              <w:t xml:space="preserve">(1). </w:t>
            </w:r>
            <w:r w:rsidRPr="00020424">
              <w:rPr>
                <w:rtl/>
              </w:rPr>
              <w:t>في « بخ ، بر ، بف » : « وتنهشه</w:t>
            </w:r>
            <w:r>
              <w:rPr>
                <w:rtl/>
              </w:rPr>
              <w:t xml:space="preserve"> ».</w:t>
            </w:r>
          </w:p>
        </w:tc>
        <w:tc>
          <w:tcPr>
            <w:tcW w:w="4006" w:type="dxa"/>
          </w:tcPr>
          <w:p w:rsidR="002514A3" w:rsidRDefault="002514A3" w:rsidP="00992664">
            <w:pPr>
              <w:pStyle w:val="libFootnote0"/>
              <w:rPr>
                <w:rtl/>
              </w:rPr>
            </w:pPr>
            <w:r>
              <w:rPr>
                <w:rtl/>
              </w:rPr>
              <w:t xml:space="preserve">(2). </w:t>
            </w:r>
            <w:r w:rsidRPr="00020424">
              <w:rPr>
                <w:rtl/>
              </w:rPr>
              <w:t xml:space="preserve">في « بس » </w:t>
            </w:r>
            <w:r w:rsidRPr="006C7A1F">
              <w:rPr>
                <w:rStyle w:val="libFootnoteBoldChar"/>
                <w:rtl/>
              </w:rPr>
              <w:t>وثواب الأعمال</w:t>
            </w:r>
            <w:r w:rsidRPr="00020424">
              <w:rPr>
                <w:rtl/>
              </w:rPr>
              <w:t xml:space="preserve"> : « ذي</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 « بأنيابها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بر » و</w:t>
      </w:r>
      <w:r w:rsidR="00992664" w:rsidRPr="0012008A">
        <w:rPr>
          <w:rStyle w:val="libFootnoteBoldChar"/>
          <w:rtl/>
        </w:rPr>
        <w:t>البحار</w:t>
      </w:r>
      <w:r w:rsidR="00992664" w:rsidRPr="00020424">
        <w:rPr>
          <w:rtl/>
        </w:rPr>
        <w:t xml:space="preserve"> : « ربعة</w:t>
      </w:r>
      <w:r w:rsidR="00992664">
        <w:rPr>
          <w:rtl/>
        </w:rPr>
        <w:t xml:space="preserve"> ».</w:t>
      </w:r>
      <w:r w:rsidR="00992664" w:rsidRPr="00020424">
        <w:rPr>
          <w:rtl/>
        </w:rPr>
        <w:t xml:space="preserve"> وفي « بح » : + « كلّ</w:t>
      </w:r>
      <w:r w:rsidR="00992664">
        <w:rPr>
          <w:rtl/>
        </w:rPr>
        <w:t xml:space="preserve"> ».</w:t>
      </w:r>
      <w:r w:rsidR="00992664" w:rsidRPr="00020424">
        <w:rPr>
          <w:rtl/>
        </w:rPr>
        <w:t xml:space="preserve"> وفي معاني الأخبار : « ربقة</w:t>
      </w:r>
      <w:r w:rsidR="00992664">
        <w:rPr>
          <w:rtl/>
        </w:rPr>
        <w:t xml:space="preserve"> ».</w:t>
      </w:r>
      <w:r w:rsidR="00992664" w:rsidRPr="00020424">
        <w:rPr>
          <w:rtl/>
        </w:rPr>
        <w:t xml:space="preserve"> </w:t>
      </w:r>
      <w:r w:rsidR="00992664">
        <w:rPr>
          <w:rtl/>
        </w:rPr>
        <w:t>و «</w:t>
      </w:r>
      <w:r w:rsidR="00992664" w:rsidRPr="00020424">
        <w:rPr>
          <w:rtl/>
        </w:rPr>
        <w:t xml:space="preserve"> رِيعة » : واحد الرِيع ، وهو المكان المرتفع من الأرض ، وقيل : هو الجبل الصغير ، وقيل غير ذلك. راجع : </w:t>
      </w:r>
      <w:r w:rsidR="00992664" w:rsidRPr="0012008A">
        <w:rPr>
          <w:rStyle w:val="libFootnoteBoldChar"/>
          <w:rtl/>
        </w:rPr>
        <w:t>الصحاح</w:t>
      </w:r>
      <w:r w:rsidR="00992664" w:rsidRPr="00020424">
        <w:rPr>
          <w:rtl/>
        </w:rPr>
        <w:t xml:space="preserve"> ، ج 3 ، ص 1224 ؛ </w:t>
      </w:r>
      <w:r w:rsidR="00992664" w:rsidRPr="00A722B1">
        <w:rPr>
          <w:rStyle w:val="libFootnoteBoldChar"/>
          <w:rtl/>
        </w:rPr>
        <w:t>القاموس المحيط</w:t>
      </w:r>
      <w:r w:rsidR="00992664" w:rsidRPr="00020424">
        <w:rPr>
          <w:rtl/>
        </w:rPr>
        <w:t xml:space="preserve"> ، ج 2 ، ص 972 ( ريع )</w:t>
      </w:r>
      <w:r w:rsidR="00992664">
        <w:rPr>
          <w:rtl/>
        </w:rPr>
        <w:t>.</w:t>
      </w:r>
    </w:p>
    <w:p w:rsidR="00992664" w:rsidRPr="00020424" w:rsidRDefault="00992664" w:rsidP="007A5CFF">
      <w:pPr>
        <w:pStyle w:val="libFootnote0"/>
        <w:rPr>
          <w:rtl/>
          <w:lang w:bidi="fa-IR"/>
        </w:rPr>
      </w:pPr>
      <w:r w:rsidRPr="00D82B22">
        <w:rPr>
          <w:rtl/>
        </w:rPr>
        <w:t>وفي هامش المطبوع : « المراد بالريعة هاهنا أصل أرضه التي فيها الكرم والنخل والزراعة الواجبة فيها الزكاة ، أي يصير الأرض طوقاً في عنقه إلى يوم القيامة بأن يحشر وفي عنقه الأرض ، وعلى أيّ حال فالعذاب واقع يقيناً للأخبار الدالّة المتواترة ، وإن كانت الكيفيّة غير معلومة</w:t>
      </w:r>
      <w:r>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إلى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004F3">
        <w:rPr>
          <w:rtl/>
        </w:rPr>
        <w:t>تفسير القمّي</w:t>
      </w:r>
      <w:r w:rsidR="00992664" w:rsidRPr="00020424">
        <w:rPr>
          <w:rtl/>
        </w:rPr>
        <w:t xml:space="preserve"> ، ج 2 ، ص 93 ، عن أبيه ، عن خالد ، عن حمّاد ، عن حريز ، عن أبي عبدالله </w:t>
      </w:r>
      <w:r w:rsidR="00992664" w:rsidRPr="00D64ADA">
        <w:rPr>
          <w:rStyle w:val="libFootnoteAlaemChar"/>
          <w:rtl/>
        </w:rPr>
        <w:t>عليه‌السلام</w:t>
      </w:r>
      <w:r w:rsidR="00992664" w:rsidRPr="00020424">
        <w:rPr>
          <w:rtl/>
        </w:rPr>
        <w:t xml:space="preserve">. وفي </w:t>
      </w:r>
      <w:r w:rsidR="00992664" w:rsidRPr="00D004F3">
        <w:rPr>
          <w:rtl/>
        </w:rPr>
        <w:t>معاني الأخبار</w:t>
      </w:r>
      <w:r w:rsidR="00992664" w:rsidRPr="00020424">
        <w:rPr>
          <w:rtl/>
        </w:rPr>
        <w:t xml:space="preserve"> ، ص 335 ، ح 1 ، بسنده عن عليّ بن إبراهيم. </w:t>
      </w:r>
      <w:r w:rsidR="00D64ADA" w:rsidRPr="00D64ADA">
        <w:rPr>
          <w:rStyle w:val="libFootnoteBoldChar"/>
          <w:rtl/>
        </w:rPr>
        <w:t>المحاسن</w:t>
      </w:r>
      <w:r w:rsidR="00992664" w:rsidRPr="00020424">
        <w:rPr>
          <w:rtl/>
        </w:rPr>
        <w:t xml:space="preserve"> ، ص 87 ، كتاب عقاب الأعمال ، ح 26 ، عن أبيه ، عن خلف بن حمّاد. </w:t>
      </w:r>
      <w:r w:rsidR="00992664" w:rsidRPr="0012008A">
        <w:rPr>
          <w:rStyle w:val="libFootnoteBoldChar"/>
          <w:rtl/>
        </w:rPr>
        <w:t>ثواب الأعمال</w:t>
      </w:r>
      <w:r w:rsidR="00992664" w:rsidRPr="00020424">
        <w:rPr>
          <w:rtl/>
        </w:rPr>
        <w:t xml:space="preserve"> ، ص 279 ، ح 3 ، بسنده عن أحمد بن أبي عبدالله ، عن أبيه ، عن خلف بن حمّاد. </w:t>
      </w:r>
      <w:r w:rsidR="00992664" w:rsidRPr="00D004F3">
        <w:rPr>
          <w:rtl/>
        </w:rPr>
        <w:t>تفسير العيّاشي</w:t>
      </w:r>
      <w:r w:rsidR="00992664" w:rsidRPr="00020424">
        <w:rPr>
          <w:rtl/>
        </w:rPr>
        <w:t xml:space="preserve"> ، ج 1 ، ص 207 ، ح 159 ، عن ابن سنان ،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من قوله : « وما من ذي مال إبل » ، وفي كلّها مع اختلاف يسير </w:t>
      </w:r>
      <w:r w:rsidR="001B7035">
        <w:rPr>
          <w:rFonts w:hint="cs"/>
          <w:rtl/>
        </w:rPr>
        <w:t>.</w:t>
      </w:r>
      <w:r w:rsidR="00992664" w:rsidRPr="0012008A">
        <w:rPr>
          <w:rStyle w:val="libFootnoteBoldChar"/>
          <w:rtl/>
        </w:rPr>
        <w:t>الوافي</w:t>
      </w:r>
      <w:r w:rsidR="00992664" w:rsidRPr="00020424">
        <w:rPr>
          <w:rtl/>
        </w:rPr>
        <w:t xml:space="preserve"> ، ج 10 ، ص 39 ، ح 9110 ؛ </w:t>
      </w:r>
      <w:r w:rsidR="00992664" w:rsidRPr="0012008A">
        <w:rPr>
          <w:rStyle w:val="libFootnoteBoldChar"/>
          <w:rtl/>
        </w:rPr>
        <w:t>الوسائل</w:t>
      </w:r>
      <w:r w:rsidR="00992664" w:rsidRPr="00020424">
        <w:rPr>
          <w:rtl/>
        </w:rPr>
        <w:t xml:space="preserve"> ، ج 9 ، ص 20 ، ذيل ح 11420 ؛ </w:t>
      </w:r>
      <w:r w:rsidR="00992664" w:rsidRPr="0012008A">
        <w:rPr>
          <w:rStyle w:val="libFootnoteBoldChar"/>
          <w:rtl/>
        </w:rPr>
        <w:t>البحار</w:t>
      </w:r>
      <w:r w:rsidR="00992664" w:rsidRPr="00020424">
        <w:rPr>
          <w:rtl/>
        </w:rPr>
        <w:t xml:space="preserve"> ، ج 7 ، ص 196 ، ح 66.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xml:space="preserve">« عن أبيه </w:t>
      </w:r>
      <w:r w:rsidR="00D64ADA" w:rsidRPr="00D64ADA">
        <w:rPr>
          <w:rStyle w:val="libFootnoteAlaemChar"/>
          <w:rtl/>
        </w:rPr>
        <w:t>عليهما‌السلام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 « ما من عبد حبس » بدل « ما حبس عبد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الزكاة</w:t>
      </w:r>
      <w:r w:rsidR="00992664">
        <w:rPr>
          <w:rtl/>
        </w:rPr>
        <w:t xml:space="preserve"> ».</w:t>
      </w:r>
    </w:p>
    <w:p w:rsidR="00992664" w:rsidRPr="00020424" w:rsidRDefault="00795177" w:rsidP="00947F31">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112 ، ح 329 ، معلّقاً عن الكليني </w:t>
      </w:r>
      <w:r w:rsidR="0013026D">
        <w:rPr>
          <w:rFonts w:hint="cs"/>
          <w:rtl/>
        </w:rPr>
        <w:t>.</w:t>
      </w:r>
      <w:r w:rsidR="00992664" w:rsidRPr="0012008A">
        <w:rPr>
          <w:rStyle w:val="libFootnoteBoldChar"/>
          <w:rtl/>
        </w:rPr>
        <w:t>الوافي</w:t>
      </w:r>
      <w:r w:rsidR="00992664" w:rsidRPr="00020424">
        <w:rPr>
          <w:rtl/>
        </w:rPr>
        <w:t xml:space="preserve"> ، ج 10 ، ص 42 ، ح 9115 ؛ </w:t>
      </w:r>
      <w:r w:rsidR="00992664" w:rsidRPr="0012008A">
        <w:rPr>
          <w:rStyle w:val="libFootnoteBoldChar"/>
          <w:rtl/>
        </w:rPr>
        <w:t>الوسائل</w:t>
      </w:r>
      <w:r w:rsidR="00992664" w:rsidRPr="00020424">
        <w:rPr>
          <w:rtl/>
        </w:rPr>
        <w:t xml:space="preserve"> ، ج 9 ، ص 26 ، ح 11434.</w:t>
      </w:r>
      <w:r w:rsidR="00947F31">
        <w:rPr>
          <w:rFonts w:hint="cs"/>
          <w:rtl/>
        </w:rPr>
        <w:t xml:space="preserve">                </w:t>
      </w:r>
      <w:r>
        <w:rPr>
          <w:rtl/>
        </w:rPr>
        <w:t>(12).</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 قَالَ : « مَنْ مَنَعَ حَقّاً لِلّهِ </w:t>
      </w:r>
      <w:r w:rsidRPr="00A91B96">
        <w:rPr>
          <w:rStyle w:val="libFootnotenumChar"/>
          <w:rtl/>
        </w:rPr>
        <w:t>(1)</w:t>
      </w:r>
      <w:r>
        <w:rPr>
          <w:rtl/>
          <w:lang w:bidi="fa-IR"/>
        </w:rPr>
        <w:t xml:space="preserve"> </w:t>
      </w:r>
      <w:r w:rsidR="009B673F">
        <w:rPr>
          <w:rtl/>
          <w:lang w:bidi="fa-IR"/>
        </w:rPr>
        <w:t>-</w:t>
      </w:r>
      <w:r>
        <w:rPr>
          <w:rtl/>
          <w:lang w:bidi="fa-IR"/>
        </w:rPr>
        <w:t xml:space="preserve"> </w:t>
      </w:r>
      <w:r w:rsidRPr="00020424">
        <w:rPr>
          <w:rtl/>
          <w:lang w:bidi="fa-IR"/>
        </w:rPr>
        <w:t xml:space="preserve">عَزَّ وَجَلَّ </w:t>
      </w:r>
      <w:r w:rsidRPr="00A91B96">
        <w:rPr>
          <w:rStyle w:val="libFootnotenumChar"/>
          <w:rtl/>
        </w:rPr>
        <w:t>(2)</w:t>
      </w:r>
      <w:r>
        <w:rPr>
          <w:rtl/>
          <w:lang w:bidi="fa-IR"/>
        </w:rPr>
        <w:t xml:space="preserve"> </w:t>
      </w:r>
      <w:r w:rsidR="009B673F">
        <w:rPr>
          <w:rtl/>
          <w:lang w:bidi="fa-IR"/>
        </w:rPr>
        <w:t>-</w:t>
      </w:r>
      <w:r>
        <w:rPr>
          <w:rtl/>
          <w:lang w:bidi="fa-IR"/>
        </w:rPr>
        <w:t xml:space="preserve"> </w:t>
      </w:r>
      <w:r w:rsidRPr="00020424">
        <w:rPr>
          <w:rtl/>
          <w:lang w:bidi="fa-IR"/>
        </w:rPr>
        <w:t xml:space="preserve">أَنْفَقَ فِي بَاطِلٍ </w:t>
      </w:r>
      <w:r w:rsidRPr="00A91B96">
        <w:rPr>
          <w:rStyle w:val="libFootnotenumChar"/>
          <w:rtl/>
        </w:rPr>
        <w:t>(3)</w:t>
      </w:r>
      <w:r w:rsidRPr="00020424">
        <w:rPr>
          <w:rtl/>
          <w:lang w:bidi="fa-IR"/>
        </w:rPr>
        <w:t xml:space="preserve"> مِثْلَيْهِ</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D004F3">
        <w:rPr>
          <w:rtl/>
        </w:rPr>
        <w:t>5761</w:t>
      </w:r>
      <w:r w:rsidRPr="001155DE">
        <w:rPr>
          <w:rStyle w:val="libBold2Char"/>
          <w:rtl/>
        </w:rPr>
        <w:t xml:space="preserve"> / 22.</w:t>
      </w:r>
      <w:r w:rsidRPr="00020424">
        <w:rPr>
          <w:rtl/>
          <w:lang w:bidi="fa-IR"/>
        </w:rPr>
        <w:t xml:space="preserve"> عِدَّةٌ مِنْ أَصْحَابِنَا ، عَنْ أَحْمَدَ بْنِ مُحَمَّدٍ ، عَنْ أَيُّوبَ بْنِ نُوحٍ ، عَنِ ابْنِ سِنَانٍ ، عَنْ أَبِي الْجَارُودِ :</w:t>
      </w:r>
    </w:p>
    <w:p w:rsidR="00992664" w:rsidRPr="00020424" w:rsidRDefault="00992664" w:rsidP="00992664">
      <w:pPr>
        <w:pStyle w:val="libNormal"/>
        <w:rPr>
          <w:rtl/>
          <w:lang w:bidi="fa-IR"/>
        </w:rPr>
      </w:pPr>
      <w:r w:rsidRPr="00020424">
        <w:rPr>
          <w:rtl/>
          <w:lang w:bidi="fa-IR"/>
        </w:rPr>
        <w:t xml:space="preserve">عَنْ أَبِي جَعْفَرٍ </w:t>
      </w:r>
      <w:r w:rsidRPr="00A91B96">
        <w:rPr>
          <w:rStyle w:val="libFootnotenumChar"/>
          <w:rtl/>
        </w:rPr>
        <w:t>(5)</w:t>
      </w:r>
      <w:r w:rsidRPr="00020424">
        <w:rPr>
          <w:rtl/>
          <w:lang w:bidi="fa-IR"/>
        </w:rPr>
        <w:t xml:space="preserve">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يَبْعَثُ يَوْمَ الْقِيَامَةِ </w:t>
      </w:r>
      <w:r w:rsidRPr="00A91B96">
        <w:rPr>
          <w:rStyle w:val="libFootnotenumChar"/>
          <w:rtl/>
        </w:rPr>
        <w:t>(6)</w:t>
      </w:r>
      <w:r w:rsidRPr="00020424">
        <w:rPr>
          <w:rtl/>
          <w:lang w:bidi="fa-IR"/>
        </w:rPr>
        <w:t xml:space="preserve"> نَاساً مِنْ قُبُورِهِمْ مَشْدُودَةً أَيْدِيهِمْ إِلى أَعْنَاقِهِمْ ، لَايَسْتَطِيعُونَ أَنْ يَتَنَاوَلُوا بِهَا قِيسَ </w:t>
      </w:r>
      <w:r w:rsidRPr="00A91B96">
        <w:rPr>
          <w:rStyle w:val="libFootnotenumChar"/>
          <w:rtl/>
        </w:rPr>
        <w:t>(7)</w:t>
      </w:r>
      <w:r w:rsidRPr="00020424">
        <w:rPr>
          <w:rtl/>
          <w:lang w:bidi="fa-IR"/>
        </w:rPr>
        <w:t xml:space="preserve"> أَنْمُلَةٍ ، مَعَهُمْ مَلَائِكَةٌ يُعَيِّرُونَهُمْ </w:t>
      </w:r>
      <w:r w:rsidRPr="00A91B96">
        <w:rPr>
          <w:rStyle w:val="libFootnotenumChar"/>
          <w:rtl/>
        </w:rPr>
        <w:t>(8)</w:t>
      </w:r>
      <w:r w:rsidRPr="00020424">
        <w:rPr>
          <w:rtl/>
          <w:lang w:bidi="fa-IR"/>
        </w:rPr>
        <w:t xml:space="preserve"> تَعْيِيراً شَدِيداً ، يَقُولُونَ : هؤُلَاءِ الَّذِينَ مَنَعُوا خَيْراً قَلِيلاً مِنْ خَيْرٍ كَثِيرٍ ، هؤُلَاءِ الَّذِينَ أَعْطَاهُمُ اللهُ ، فَمَنَعُوا حَقَّ اللهِ </w:t>
      </w:r>
      <w:r w:rsidRPr="00A91B96">
        <w:rPr>
          <w:rStyle w:val="libFootnotenumChar"/>
          <w:rtl/>
        </w:rPr>
        <w:t>(9)</w:t>
      </w:r>
      <w:r w:rsidRPr="00020424">
        <w:rPr>
          <w:rtl/>
          <w:lang w:bidi="fa-IR"/>
        </w:rPr>
        <w:t xml:space="preserve"> فِي أَمْوَالِهِمْ</w:t>
      </w:r>
      <w:r>
        <w:rPr>
          <w:rtl/>
          <w:lang w:bidi="fa-IR"/>
        </w:rPr>
        <w:t xml:space="preserve"> ».</w:t>
      </w:r>
      <w:r w:rsidRPr="00020424">
        <w:rPr>
          <w:rtl/>
          <w:lang w:bidi="fa-IR"/>
        </w:rPr>
        <w:t xml:space="preserve"> </w:t>
      </w:r>
      <w:r w:rsidRPr="00A91B96">
        <w:rPr>
          <w:rStyle w:val="libFootnotenumChar"/>
          <w:rtl/>
        </w:rPr>
        <w:t>(10)</w:t>
      </w:r>
    </w:p>
    <w:p w:rsidR="00992664" w:rsidRDefault="00992664" w:rsidP="00992664">
      <w:pPr>
        <w:pStyle w:val="libNormal"/>
        <w:rPr>
          <w:rtl/>
          <w:lang w:bidi="fa-IR"/>
        </w:rPr>
      </w:pPr>
      <w:r w:rsidRPr="00D004F3">
        <w:rPr>
          <w:rtl/>
        </w:rPr>
        <w:t>5762</w:t>
      </w:r>
      <w:r w:rsidRPr="001155DE">
        <w:rPr>
          <w:rStyle w:val="libBold2Char"/>
          <w:rtl/>
        </w:rPr>
        <w:t xml:space="preserve"> / 23.</w:t>
      </w:r>
      <w:r w:rsidRPr="00020424">
        <w:rPr>
          <w:rtl/>
          <w:lang w:bidi="fa-IR"/>
        </w:rPr>
        <w:t xml:space="preserve"> عَلِيُّ بْنُ مُحَمَّدٍ ، عَنِ ابْنِ جُمْهُورٍ ، عَنْ أَبِيهِ ، عَنْ عَلِيِّ بْنِ حَدِيدٍ ، عَنْ عُثْمَانَ بْنِ رُشَيْدٍ ، عَنْ مَعْرُوفِ بْنِ خَرَّبُوذَ :</w:t>
      </w:r>
    </w:p>
    <w:p w:rsidR="00992664" w:rsidRPr="00020424" w:rsidRDefault="00992664" w:rsidP="00992664">
      <w:pPr>
        <w:pStyle w:val="libNormal"/>
        <w:rPr>
          <w:rtl/>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عَزَّ وَ</w:t>
      </w:r>
      <w:r w:rsidR="00332839">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قَرَنَ الزَّكَاةَ بِالصَّلَاةِ ، فَقَالَ </w:t>
      </w:r>
      <w:r w:rsidRPr="00A91B96">
        <w:rPr>
          <w:rStyle w:val="libFootnotenumChar"/>
          <w:rtl/>
        </w:rPr>
        <w:t>(</w:t>
      </w:r>
      <w:r w:rsidRPr="00A91B96">
        <w:rPr>
          <w:rStyle w:val="libFootnotenumChar"/>
          <w:rFonts w:hint="cs"/>
          <w:rtl/>
        </w:rPr>
        <w:t>1</w:t>
      </w:r>
      <w:r w:rsidRPr="00A91B96">
        <w:rPr>
          <w:rStyle w:val="libFootnotenumChar"/>
          <w:rtl/>
        </w:rPr>
        <w:t>1)</w:t>
      </w:r>
      <w:r w:rsidRPr="00020424">
        <w:rPr>
          <w:rtl/>
          <w:lang w:bidi="fa-IR"/>
        </w:rPr>
        <w:t xml:space="preserve"> : </w:t>
      </w:r>
      <w:r w:rsidRPr="00005A81">
        <w:rPr>
          <w:rStyle w:val="libAlaemChar"/>
          <w:rtl/>
        </w:rPr>
        <w:t>(</w:t>
      </w:r>
      <w:r w:rsidRPr="004E5AB4">
        <w:rPr>
          <w:rStyle w:val="libAieChar"/>
          <w:rtl/>
        </w:rPr>
        <w:t>أَقِيمُوا</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32839" w:rsidTr="00332839">
        <w:tc>
          <w:tcPr>
            <w:tcW w:w="4006" w:type="dxa"/>
          </w:tcPr>
          <w:p w:rsidR="00332839" w:rsidRDefault="00332839" w:rsidP="00992664">
            <w:pPr>
              <w:pStyle w:val="libFootnote0"/>
              <w:rPr>
                <w:rtl/>
              </w:rPr>
            </w:pPr>
            <w:r>
              <w:rPr>
                <w:rtl/>
              </w:rPr>
              <w:t xml:space="preserve">(1). </w:t>
            </w:r>
            <w:r w:rsidRPr="00020424">
              <w:rPr>
                <w:rtl/>
              </w:rPr>
              <w:t>في حاشية « بح » : « حقّ الله</w:t>
            </w:r>
            <w:r>
              <w:rPr>
                <w:rtl/>
              </w:rPr>
              <w:t xml:space="preserve"> ».</w:t>
            </w:r>
          </w:p>
        </w:tc>
        <w:tc>
          <w:tcPr>
            <w:tcW w:w="4006" w:type="dxa"/>
          </w:tcPr>
          <w:p w:rsidR="00332839" w:rsidRDefault="00332839" w:rsidP="00992664">
            <w:pPr>
              <w:pStyle w:val="libFootnote0"/>
              <w:rPr>
                <w:rtl/>
              </w:rPr>
            </w:pPr>
            <w:r>
              <w:rPr>
                <w:rtl/>
              </w:rPr>
              <w:t>(2). في « بر » : + « إل</w:t>
            </w:r>
            <w:r>
              <w:rPr>
                <w:rFonts w:hint="cs"/>
                <w:rtl/>
              </w:rPr>
              <w:t>ّ</w:t>
            </w:r>
            <w:r>
              <w:rPr>
                <w:rtl/>
              </w:rPr>
              <w:t>ا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وحاشية « بح » : « الباطل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004F3">
        <w:rPr>
          <w:rtl/>
        </w:rPr>
        <w:t>الكافي</w:t>
      </w:r>
      <w:r w:rsidR="00992664" w:rsidRPr="00020424">
        <w:rPr>
          <w:rtl/>
        </w:rPr>
        <w:t xml:space="preserve"> ، كتاب الزكاة ، باب الزكاة لا تعطى غير أهل الولاية ، صدر ح 5900 ؛ </w:t>
      </w:r>
      <w:r w:rsidR="00992664" w:rsidRPr="00515444">
        <w:rPr>
          <w:rStyle w:val="libFootnoteBoldChar"/>
          <w:rtl/>
        </w:rPr>
        <w:t>والتهذيب</w:t>
      </w:r>
      <w:r w:rsidR="00992664" w:rsidRPr="00D004F3">
        <w:rPr>
          <w:rtl/>
        </w:rPr>
        <w:t xml:space="preserve"> </w:t>
      </w:r>
      <w:r w:rsidR="00992664" w:rsidRPr="00020424">
        <w:rPr>
          <w:rtl/>
        </w:rPr>
        <w:t xml:space="preserve">، ج 4 ، ص 102 ، صدر ح 290 ، بسند آخر. </w:t>
      </w:r>
      <w:r w:rsidR="00992664" w:rsidRPr="00D004F3">
        <w:rPr>
          <w:rtl/>
        </w:rPr>
        <w:t>الاختصاص</w:t>
      </w:r>
      <w:r w:rsidR="00992664" w:rsidRPr="00020424">
        <w:rPr>
          <w:rtl/>
        </w:rPr>
        <w:t xml:space="preserve"> ، ص 242 ، مرسلاً عن إسماعيل بن جابر ، عن أبي عبدالله </w:t>
      </w:r>
      <w:r w:rsidR="00992664" w:rsidRPr="00D64ADA">
        <w:rPr>
          <w:rStyle w:val="libFootnoteAlaemChar"/>
          <w:rtl/>
        </w:rPr>
        <w:t>عليه‌السلام</w:t>
      </w:r>
      <w:r w:rsidR="00992664" w:rsidRPr="00020424">
        <w:rPr>
          <w:rtl/>
        </w:rPr>
        <w:t xml:space="preserve"> ، وفي كلّ المصادر مع اختلاف يسير </w:t>
      </w:r>
      <w:r w:rsidR="003A633C">
        <w:rPr>
          <w:rFonts w:hint="cs"/>
          <w:rtl/>
        </w:rPr>
        <w:t>.</w:t>
      </w:r>
      <w:r w:rsidR="00992664" w:rsidRPr="0012008A">
        <w:rPr>
          <w:rStyle w:val="libFootnoteBoldChar"/>
          <w:rtl/>
        </w:rPr>
        <w:t>الوافي</w:t>
      </w:r>
      <w:r w:rsidR="00992664" w:rsidRPr="00020424">
        <w:rPr>
          <w:rtl/>
        </w:rPr>
        <w:t xml:space="preserve"> ، ج 10 ، ص 42 ، ح 9116 ؛ </w:t>
      </w:r>
      <w:r w:rsidR="00992664" w:rsidRPr="0012008A">
        <w:rPr>
          <w:rStyle w:val="libFootnoteBoldChar"/>
          <w:rtl/>
        </w:rPr>
        <w:t>الوسائل</w:t>
      </w:r>
      <w:r w:rsidR="00992664" w:rsidRPr="00020424">
        <w:rPr>
          <w:rtl/>
        </w:rPr>
        <w:t xml:space="preserve"> ، ج 9 ، ص 43 ، ح 11480.</w:t>
      </w:r>
    </w:p>
    <w:tbl>
      <w:tblPr>
        <w:tblStyle w:val="TableGrid"/>
        <w:bidiVisual/>
        <w:tblW w:w="0" w:type="auto"/>
        <w:tblLook w:val="04A0" w:firstRow="1" w:lastRow="0" w:firstColumn="1" w:lastColumn="0" w:noHBand="0" w:noVBand="1"/>
      </w:tblPr>
      <w:tblGrid>
        <w:gridCol w:w="4006"/>
        <w:gridCol w:w="4006"/>
      </w:tblGrid>
      <w:tr w:rsidR="00F05E8D" w:rsidTr="00F05E8D">
        <w:tc>
          <w:tcPr>
            <w:tcW w:w="4006" w:type="dxa"/>
          </w:tcPr>
          <w:p w:rsidR="00F05E8D" w:rsidRDefault="00F05E8D" w:rsidP="00992664">
            <w:pPr>
              <w:pStyle w:val="libFootnote0"/>
              <w:rPr>
                <w:rtl/>
              </w:rPr>
            </w:pPr>
            <w:r>
              <w:rPr>
                <w:rtl/>
              </w:rPr>
              <w:t xml:space="preserve">(5). </w:t>
            </w:r>
            <w:r w:rsidRPr="00020424">
              <w:rPr>
                <w:rtl/>
              </w:rPr>
              <w:t>في « بخ ، بر » : « أبي عبدالله</w:t>
            </w:r>
            <w:r>
              <w:rPr>
                <w:rtl/>
              </w:rPr>
              <w:t xml:space="preserve"> ».</w:t>
            </w:r>
          </w:p>
        </w:tc>
        <w:tc>
          <w:tcPr>
            <w:tcW w:w="4006" w:type="dxa"/>
          </w:tcPr>
          <w:p w:rsidR="00F05E8D" w:rsidRDefault="00F05E8D" w:rsidP="00992664">
            <w:pPr>
              <w:pStyle w:val="libFootnote0"/>
              <w:rPr>
                <w:rtl/>
              </w:rPr>
            </w:pPr>
            <w:r>
              <w:rPr>
                <w:rtl/>
              </w:rPr>
              <w:t xml:space="preserve">(6). </w:t>
            </w:r>
            <w:r w:rsidRPr="00020424">
              <w:rPr>
                <w:rtl/>
              </w:rPr>
              <w:t>في « بخ » :</w:t>
            </w:r>
            <w:r>
              <w:rPr>
                <w:rtl/>
              </w:rPr>
              <w:t xml:space="preserve"> - </w:t>
            </w:r>
            <w:r w:rsidRPr="00020424">
              <w:rPr>
                <w:rtl/>
              </w:rPr>
              <w:t>« يوم القيامة</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القِيس والقاسُ : القَدْر ، يقال : بينهما قِيس رمح وقاس رمح ، أي قدر رمح. راجع : </w:t>
      </w:r>
      <w:r w:rsidR="00992664" w:rsidRPr="00A722B1">
        <w:rPr>
          <w:rStyle w:val="libFootnoteBoldChar"/>
          <w:rtl/>
        </w:rPr>
        <w:t>لسان العرب</w:t>
      </w:r>
      <w:r w:rsidR="00992664" w:rsidRPr="00020424">
        <w:rPr>
          <w:rtl/>
        </w:rPr>
        <w:t xml:space="preserve"> ، ج 6 ، ص 187 ( قيس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التعيير : الذمّ ؛ من العار ، وهو السُبَّة والعيب ، وقيل : هو كلّ شي‌ء يلزم به سُبَّة أو عيب. راجع : </w:t>
      </w:r>
      <w:r w:rsidR="00992664" w:rsidRPr="006B655A">
        <w:rPr>
          <w:rStyle w:val="libFootnoteBoldChar"/>
          <w:rtl/>
        </w:rPr>
        <w:t>المفردات</w:t>
      </w:r>
      <w:r w:rsidR="00992664" w:rsidRPr="006B655A">
        <w:rPr>
          <w:rStyle w:val="libFootnoteBoldChar"/>
          <w:rFonts w:hint="cs"/>
          <w:rtl/>
        </w:rPr>
        <w:t xml:space="preserve"> </w:t>
      </w:r>
      <w:r w:rsidR="00992664" w:rsidRPr="00020424">
        <w:rPr>
          <w:rtl/>
        </w:rPr>
        <w:t xml:space="preserve">‌للراغب ، ص 596 ؛ </w:t>
      </w:r>
      <w:r w:rsidR="00992664" w:rsidRPr="00A722B1">
        <w:rPr>
          <w:rStyle w:val="libFootnoteBoldChar"/>
          <w:rtl/>
        </w:rPr>
        <w:t>لسان العرب</w:t>
      </w:r>
      <w:r w:rsidR="00992664" w:rsidRPr="00020424">
        <w:rPr>
          <w:rtl/>
        </w:rPr>
        <w:t xml:space="preserve"> ، ج 4 ، ص 625 ( عير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بح » : « حقّاً لله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ثواب الأعمال</w:t>
      </w:r>
      <w:r w:rsidR="00992664" w:rsidRPr="00020424">
        <w:rPr>
          <w:rtl/>
        </w:rPr>
        <w:t xml:space="preserve"> ، ص 279 ، ح 2 ، بسنده عن أيّوب بن نوح </w:t>
      </w:r>
      <w:r w:rsidR="006B655A">
        <w:rPr>
          <w:rFonts w:hint="cs"/>
          <w:rtl/>
        </w:rPr>
        <w:t>.</w:t>
      </w:r>
      <w:r w:rsidR="00992664" w:rsidRPr="0012008A">
        <w:rPr>
          <w:rStyle w:val="libFootnoteBoldChar"/>
          <w:rtl/>
        </w:rPr>
        <w:t>الوافي</w:t>
      </w:r>
      <w:r w:rsidR="00992664" w:rsidRPr="00020424">
        <w:rPr>
          <w:rtl/>
        </w:rPr>
        <w:t xml:space="preserve"> ، ج 10 ، ص 40 ، ح 9111 ؛ </w:t>
      </w:r>
      <w:r w:rsidR="00992664" w:rsidRPr="0012008A">
        <w:rPr>
          <w:rStyle w:val="libFootnoteBoldChar"/>
          <w:rtl/>
        </w:rPr>
        <w:t>الوسائل</w:t>
      </w:r>
      <w:r w:rsidR="00992664" w:rsidRPr="00020424">
        <w:rPr>
          <w:rtl/>
        </w:rPr>
        <w:t xml:space="preserve"> ، ج 9 ، ص 44 ، ح 11482 ؛ </w:t>
      </w:r>
      <w:r w:rsidR="00992664" w:rsidRPr="0012008A">
        <w:rPr>
          <w:rStyle w:val="libFootnoteBoldChar"/>
          <w:rtl/>
        </w:rPr>
        <w:t>البحار</w:t>
      </w:r>
      <w:r w:rsidR="00992664" w:rsidRPr="00020424">
        <w:rPr>
          <w:rtl/>
        </w:rPr>
        <w:t xml:space="preserve"> ، ج 7 ، ص 197 ، ح 67.</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بف » : « وقال</w:t>
      </w:r>
      <w:r w:rsidR="00992664">
        <w:rPr>
          <w:rtl/>
        </w:rPr>
        <w:t xml:space="preserve"> ».</w:t>
      </w:r>
      <w:r w:rsidR="00992664" w:rsidRPr="00020424">
        <w:rPr>
          <w:rtl/>
        </w:rPr>
        <w:t xml:space="preserve"> وفي </w:t>
      </w:r>
      <w:r w:rsidR="00992664" w:rsidRPr="002932DE">
        <w:rPr>
          <w:rtl/>
        </w:rPr>
        <w:t>الوافي</w:t>
      </w:r>
      <w:r w:rsidR="00992664" w:rsidRPr="00020424">
        <w:rPr>
          <w:rtl/>
        </w:rPr>
        <w:t xml:space="preserve"> : « 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932DE">
      <w:pPr>
        <w:pStyle w:val="libNormal0"/>
        <w:rPr>
          <w:rtl/>
          <w:lang w:bidi="fa-IR"/>
        </w:rPr>
      </w:pPr>
      <w:r w:rsidRPr="004E5AB4">
        <w:rPr>
          <w:rStyle w:val="libAieChar"/>
          <w:rtl/>
        </w:rPr>
        <w:lastRenderedPageBreak/>
        <w:t xml:space="preserve">الصَّلاةَ وَآتُوا الزَّكاةَ </w:t>
      </w:r>
      <w:r w:rsidRPr="00005A81">
        <w:rPr>
          <w:rStyle w:val="libAlaemChar"/>
          <w:rtl/>
        </w:rPr>
        <w:t>)</w:t>
      </w:r>
      <w:r w:rsidRPr="00020424">
        <w:rPr>
          <w:rtl/>
          <w:lang w:bidi="fa-IR"/>
        </w:rPr>
        <w:t xml:space="preserve">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 فَمَنْ أَقَامَ الصَّلَاةَ وَلَمْ يُؤْتِ الزَّكَاةَ ، لَمْ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يُقِمِ الصَّلَاةَ</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3</w:t>
      </w:r>
      <w:r w:rsidRPr="00A91B96">
        <w:rPr>
          <w:rStyle w:val="libFootnotenumChar"/>
          <w:rtl/>
        </w:rPr>
        <w:t>)</w:t>
      </w:r>
    </w:p>
    <w:p w:rsidR="00992664" w:rsidRPr="00020424" w:rsidRDefault="00992664" w:rsidP="00992664">
      <w:pPr>
        <w:pStyle w:val="Heading2Center"/>
        <w:rPr>
          <w:rtl/>
          <w:lang w:bidi="fa-IR"/>
        </w:rPr>
      </w:pPr>
      <w:bookmarkStart w:id="17" w:name="_Toc345172721"/>
      <w:bookmarkStart w:id="18" w:name="_Toc464562540"/>
      <w:bookmarkStart w:id="19" w:name="_Toc44599841"/>
      <w:r w:rsidRPr="00020424">
        <w:rPr>
          <w:rtl/>
          <w:lang w:bidi="fa-IR"/>
        </w:rPr>
        <w:t>3</w:t>
      </w:r>
      <w:r>
        <w:rPr>
          <w:rtl/>
          <w:lang w:bidi="fa-IR"/>
        </w:rPr>
        <w:t xml:space="preserve"> </w:t>
      </w:r>
      <w:r w:rsidR="009B673F">
        <w:rPr>
          <w:rtl/>
          <w:lang w:bidi="fa-IR"/>
        </w:rPr>
        <w:t>-</w:t>
      </w:r>
      <w:r>
        <w:rPr>
          <w:rtl/>
          <w:lang w:bidi="fa-IR"/>
        </w:rPr>
        <w:t xml:space="preserve"> </w:t>
      </w:r>
      <w:r w:rsidRPr="00020424">
        <w:rPr>
          <w:rtl/>
          <w:lang w:bidi="fa-IR"/>
        </w:rPr>
        <w:t xml:space="preserve">بَابُ الْعِلَّةِ فِي وَضْعِ الزَّكَاةِ عَلى مَا هِيَ </w:t>
      </w:r>
      <w:r w:rsidRPr="00A91B96">
        <w:rPr>
          <w:rStyle w:val="libFootnotenumChar"/>
          <w:rtl/>
        </w:rPr>
        <w:t>(</w:t>
      </w:r>
      <w:r w:rsidRPr="00A91B96">
        <w:rPr>
          <w:rStyle w:val="libFootnotenumChar"/>
          <w:rFonts w:hint="cs"/>
          <w:rtl/>
        </w:rPr>
        <w:t>4</w:t>
      </w:r>
      <w:r w:rsidRPr="00A91B96">
        <w:rPr>
          <w:rStyle w:val="libFootnotenumChar"/>
          <w:rtl/>
        </w:rPr>
        <w:t>)</w:t>
      </w:r>
      <w:r>
        <w:rPr>
          <w:rtl/>
        </w:rPr>
        <w:t xml:space="preserve"> </w:t>
      </w:r>
      <w:r w:rsidRPr="00020424">
        <w:rPr>
          <w:rtl/>
          <w:lang w:bidi="fa-IR"/>
        </w:rPr>
        <w:t xml:space="preserve">لَمْ تُزَدْ </w:t>
      </w:r>
      <w:r w:rsidRPr="00A91B96">
        <w:rPr>
          <w:rStyle w:val="libFootnotenumChar"/>
          <w:rtl/>
        </w:rPr>
        <w:t>(</w:t>
      </w:r>
      <w:r w:rsidRPr="00A91B96">
        <w:rPr>
          <w:rStyle w:val="libFootnotenumChar"/>
          <w:rFonts w:hint="cs"/>
          <w:rtl/>
        </w:rPr>
        <w:t>5</w:t>
      </w:r>
      <w:r w:rsidRPr="00A91B96">
        <w:rPr>
          <w:rStyle w:val="libFootnotenumChar"/>
          <w:rtl/>
        </w:rPr>
        <w:t>)</w:t>
      </w:r>
      <w:r>
        <w:rPr>
          <w:rtl/>
        </w:rPr>
        <w:t xml:space="preserve"> </w:t>
      </w:r>
      <w:r w:rsidRPr="00020424">
        <w:rPr>
          <w:rtl/>
          <w:lang w:bidi="fa-IR"/>
        </w:rPr>
        <w:t xml:space="preserve">وَلَمْ تُنْقَصْ </w:t>
      </w:r>
      <w:r w:rsidRPr="00A91B96">
        <w:rPr>
          <w:rStyle w:val="libFootnotenumChar"/>
          <w:rtl/>
        </w:rPr>
        <w:t>(</w:t>
      </w:r>
      <w:r w:rsidRPr="00A91B96">
        <w:rPr>
          <w:rStyle w:val="libFootnotenumChar"/>
          <w:rFonts w:hint="cs"/>
          <w:rtl/>
        </w:rPr>
        <w:t>6</w:t>
      </w:r>
      <w:r w:rsidRPr="00A91B96">
        <w:rPr>
          <w:rStyle w:val="libFootnotenumChar"/>
          <w:rtl/>
        </w:rPr>
        <w:t>)</w:t>
      </w:r>
      <w:bookmarkEnd w:id="17"/>
      <w:bookmarkEnd w:id="18"/>
      <w:bookmarkEnd w:id="19"/>
    </w:p>
    <w:p w:rsidR="00992664" w:rsidRPr="00020424" w:rsidRDefault="00992664" w:rsidP="00992664">
      <w:pPr>
        <w:pStyle w:val="libNormal"/>
        <w:rPr>
          <w:rtl/>
          <w:lang w:bidi="fa-IR"/>
        </w:rPr>
      </w:pPr>
      <w:r w:rsidRPr="00D004F3">
        <w:rPr>
          <w:rtl/>
        </w:rPr>
        <w:t>5763</w:t>
      </w:r>
      <w:r w:rsidRPr="001155DE">
        <w:rPr>
          <w:rStyle w:val="libBold2Char"/>
          <w:rtl/>
        </w:rPr>
        <w:t xml:space="preserve"> / 1.</w:t>
      </w:r>
      <w:r w:rsidRPr="00020424">
        <w:rPr>
          <w:rtl/>
          <w:lang w:bidi="fa-IR"/>
        </w:rPr>
        <w:t xml:space="preserve"> مُحَمَّدُ بْنُ يَحْيى ، عَنْ أَحْمَدَ بْنِ مُحَمَّدٍ ، عَنِ الْحَسَنِ بْنِ عَلِيٍّ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الْوَشَّاءِ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 قِيلَ لِأَبِي عَبْدِ اللهِ </w:t>
      </w:r>
      <w:r w:rsidRPr="00005A81">
        <w:rPr>
          <w:rStyle w:val="libAlaemChar"/>
          <w:rtl/>
        </w:rPr>
        <w:t>عليه‌السلام</w:t>
      </w:r>
      <w:r w:rsidRPr="00020424">
        <w:rPr>
          <w:rtl/>
          <w:lang w:bidi="fa-IR"/>
        </w:rPr>
        <w:t xml:space="preserve"> : لِأَيِّ شَيْ‌ءٍ جَعَلَ اللهُ الزَّكَاةَ خَمْسَةً وَعِشْرِينَ فِي كُلِّ أَلْفٍ ، وَلَمْ يَجْعَلْهَا ثَلَاثِينَ</w:t>
      </w:r>
      <w:r>
        <w:rPr>
          <w:rtl/>
          <w:lang w:bidi="fa-IR"/>
        </w:rPr>
        <w:t>؟</w:t>
      </w:r>
    </w:p>
    <w:p w:rsidR="00992664" w:rsidRPr="00020424" w:rsidRDefault="00992664" w:rsidP="00992664">
      <w:pPr>
        <w:pStyle w:val="libNormal"/>
        <w:rPr>
          <w:rtl/>
          <w:lang w:bidi="fa-IR"/>
        </w:rPr>
      </w:pPr>
      <w:r w:rsidRPr="00020424">
        <w:rPr>
          <w:rtl/>
          <w:lang w:bidi="fa-IR"/>
        </w:rPr>
        <w:t>فَقَالَ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جَعَلَهَا خَمْسَةً وَعِشْرِينَ ، أَخْرَجَ مِنْ أَمْوَالِ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الْأَغْنِيَاءِ بِقَدْرِ مَا يَكْتَفِي بِهِ الْفُقَرَاءُ ، وَلَوْ أَخْرَجَ النَّاسُ زَكَاةَ أَمْوَالِهِمْ ، مَا احْتَاجَ أَحَدٌ</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9</w:t>
      </w:r>
      <w:r w:rsidRPr="00A91B96">
        <w:rPr>
          <w:rStyle w:val="libFootnotenumChar"/>
          <w:rtl/>
        </w:rPr>
        <w:t>)</w:t>
      </w:r>
    </w:p>
    <w:p w:rsidR="00992664" w:rsidRPr="00020424" w:rsidRDefault="00992664" w:rsidP="00992664">
      <w:pPr>
        <w:pStyle w:val="libNormal"/>
        <w:rPr>
          <w:rtl/>
          <w:lang w:bidi="fa-IR"/>
        </w:rPr>
      </w:pPr>
      <w:r w:rsidRPr="00D004F3">
        <w:rPr>
          <w:rtl/>
        </w:rPr>
        <w:t>5764</w:t>
      </w:r>
      <w:r w:rsidRPr="001155DE">
        <w:rPr>
          <w:rStyle w:val="libBold2Char"/>
          <w:rtl/>
        </w:rPr>
        <w:t xml:space="preserve"> / 2.</w:t>
      </w:r>
      <w:r w:rsidRPr="00020424">
        <w:rPr>
          <w:rtl/>
          <w:lang w:bidi="fa-IR"/>
        </w:rPr>
        <w:t xml:space="preserve"> عَلِيُّ بْنُ إِبْرَاهِيمَ ، عَنْ سَلَمَةَ بْنِ الْخَطَّابِ ، عَنِ الْحَسَنِ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بْنِ رَاشِدٍ ، عَنْ عَلِيِّ بْنِ إِسْمَاعِيلَ الْمِيثَمِيِّ ، عَنْ حَبِيبٍ الْخَثْعَمِيِّ ، قَالَ :</w:t>
      </w:r>
    </w:p>
    <w:p w:rsidR="00992664" w:rsidRPr="00020424" w:rsidRDefault="00992664" w:rsidP="00992664">
      <w:pPr>
        <w:pStyle w:val="libNormal"/>
        <w:rPr>
          <w:rtl/>
          <w:lang w:bidi="fa-IR"/>
        </w:rPr>
      </w:pPr>
      <w:r w:rsidRPr="00020424">
        <w:rPr>
          <w:rtl/>
          <w:lang w:bidi="fa-IR"/>
        </w:rPr>
        <w:t>كَتَبَ أَبُو جَعْفَرٍ الْمَنْصُورُ إِلى مُحَمَّدِ بْنِ خَالِدٍ</w:t>
      </w:r>
      <w:r>
        <w:rPr>
          <w:rtl/>
          <w:lang w:bidi="fa-IR"/>
        </w:rPr>
        <w:t xml:space="preserve"> </w:t>
      </w:r>
      <w:r w:rsidR="009B673F">
        <w:rPr>
          <w:rtl/>
          <w:lang w:bidi="fa-IR"/>
        </w:rPr>
        <w:t>-</w:t>
      </w:r>
      <w:r>
        <w:rPr>
          <w:rtl/>
          <w:lang w:bidi="fa-IR"/>
        </w:rPr>
        <w:t xml:space="preserve"> </w:t>
      </w:r>
      <w:r w:rsidRPr="00020424">
        <w:rPr>
          <w:rtl/>
          <w:lang w:bidi="fa-IR"/>
        </w:rPr>
        <w:t>وَكَانَ عَامِلَهُ عَلَى الْمَدِينَةِ</w:t>
      </w:r>
      <w:r>
        <w:rPr>
          <w:rtl/>
          <w:lang w:bidi="fa-IR"/>
        </w:rPr>
        <w:t xml:space="preserve"> </w:t>
      </w:r>
      <w:r w:rsidR="009B673F">
        <w:rPr>
          <w:rtl/>
          <w:lang w:bidi="fa-IR"/>
        </w:rPr>
        <w:t>-</w:t>
      </w:r>
      <w:r>
        <w:rPr>
          <w:rtl/>
          <w:lang w:bidi="fa-IR"/>
        </w:rPr>
        <w:t xml:space="preserve"> </w:t>
      </w:r>
      <w:r w:rsidRPr="00020424">
        <w:rPr>
          <w:rtl/>
          <w:lang w:bidi="fa-IR"/>
        </w:rPr>
        <w:t xml:space="preserve">أَنْ يَسْأَلَ أَهْلَ الْمَدِينَةِ عَنِ الْخَمْسَةِ فِي الزَّكَاةِ مِنَ الْمِائَتَيْنِ : كَيْفَ صَارَتْ وَزْنَ سَبْعَةٍ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وَلَمْ‌</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60C59" w:rsidTr="00660C59">
        <w:tc>
          <w:tcPr>
            <w:tcW w:w="4006" w:type="dxa"/>
          </w:tcPr>
          <w:p w:rsidR="00660C59" w:rsidRDefault="00660C59" w:rsidP="00660C59">
            <w:pPr>
              <w:pStyle w:val="libFootnote0"/>
              <w:rPr>
                <w:rtl/>
              </w:rPr>
            </w:pPr>
            <w:r>
              <w:rPr>
                <w:rtl/>
              </w:rPr>
              <w:t xml:space="preserve">(1). </w:t>
            </w:r>
            <w:r w:rsidRPr="00020424">
              <w:rPr>
                <w:rtl/>
              </w:rPr>
              <w:t>البقرة</w:t>
            </w:r>
            <w:r w:rsidR="003E6EDD">
              <w:rPr>
                <w:rFonts w:hint="cs"/>
                <w:rtl/>
              </w:rPr>
              <w:t xml:space="preserve"> </w:t>
            </w:r>
            <w:r w:rsidR="003E6EDD">
              <w:rPr>
                <w:rtl/>
              </w:rPr>
              <w:t>(2)</w:t>
            </w:r>
            <w:r w:rsidRPr="00020424">
              <w:rPr>
                <w:rtl/>
              </w:rPr>
              <w:t>: 43و83 و110. ومواضع ا</w:t>
            </w:r>
            <w:r>
              <w:rPr>
                <w:rFonts w:hint="cs"/>
                <w:rtl/>
              </w:rPr>
              <w:t>ُ</w:t>
            </w:r>
            <w:r w:rsidRPr="00020424">
              <w:rPr>
                <w:rtl/>
              </w:rPr>
              <w:t>خر.</w:t>
            </w:r>
          </w:p>
        </w:tc>
        <w:tc>
          <w:tcPr>
            <w:tcW w:w="4006" w:type="dxa"/>
          </w:tcPr>
          <w:p w:rsidR="00660C59" w:rsidRDefault="00660C59" w:rsidP="00660C59">
            <w:pPr>
              <w:pStyle w:val="libFootnote0"/>
              <w:rPr>
                <w:rtl/>
              </w:rPr>
            </w:pPr>
            <w:r>
              <w:rPr>
                <w:rtl/>
              </w:rPr>
              <w:t>(2). في</w:t>
            </w:r>
            <w:r w:rsidRPr="00020424">
              <w:rPr>
                <w:rtl/>
              </w:rPr>
              <w:t xml:space="preserve">« بخ ، بف » </w:t>
            </w:r>
            <w:r w:rsidRPr="00515444">
              <w:rPr>
                <w:rStyle w:val="libFootnoteBoldChar"/>
                <w:rtl/>
              </w:rPr>
              <w:t>والوافي</w:t>
            </w:r>
            <w:r w:rsidRPr="00020424">
              <w:rPr>
                <w:rtl/>
              </w:rPr>
              <w:t xml:space="preserve"> : « فلم</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10 ، ح 1584 ، معلّقاً عن معروف بن خرّبوذ ، مع اختلاف يسير </w:t>
      </w:r>
      <w:r w:rsidR="004F2460">
        <w:rPr>
          <w:rFonts w:hint="cs"/>
          <w:rtl/>
        </w:rPr>
        <w:t>.</w:t>
      </w:r>
      <w:r w:rsidR="00992664" w:rsidRPr="0012008A">
        <w:rPr>
          <w:rStyle w:val="libFootnoteBoldChar"/>
          <w:rtl/>
        </w:rPr>
        <w:t>الوافي</w:t>
      </w:r>
      <w:r w:rsidR="00992664" w:rsidRPr="00020424">
        <w:rPr>
          <w:rtl/>
        </w:rPr>
        <w:t xml:space="preserve"> ، ج 10 ، ص 35 ، ح 9098 ؛ </w:t>
      </w:r>
      <w:r w:rsidR="00992664" w:rsidRPr="0012008A">
        <w:rPr>
          <w:rStyle w:val="libFootnoteBoldChar"/>
          <w:rtl/>
        </w:rPr>
        <w:t>الوسائل</w:t>
      </w:r>
      <w:r w:rsidR="00992664" w:rsidRPr="00020424">
        <w:rPr>
          <w:rtl/>
        </w:rPr>
        <w:t xml:space="preserve"> ، ج 9 ، ص 22 ، ذيل ح 11421.</w:t>
      </w:r>
    </w:p>
    <w:tbl>
      <w:tblPr>
        <w:tblStyle w:val="TableGrid"/>
        <w:bidiVisual/>
        <w:tblW w:w="0" w:type="auto"/>
        <w:tblLook w:val="04A0" w:firstRow="1" w:lastRow="0" w:firstColumn="1" w:lastColumn="0" w:noHBand="0" w:noVBand="1"/>
      </w:tblPr>
      <w:tblGrid>
        <w:gridCol w:w="4006"/>
        <w:gridCol w:w="4006"/>
      </w:tblGrid>
      <w:tr w:rsidR="00EF634C" w:rsidTr="00EF634C">
        <w:tc>
          <w:tcPr>
            <w:tcW w:w="4006" w:type="dxa"/>
          </w:tcPr>
          <w:p w:rsidR="00EF634C" w:rsidRDefault="00EF634C" w:rsidP="00FD3AFC">
            <w:pPr>
              <w:pStyle w:val="libFootnote0"/>
              <w:rPr>
                <w:rtl/>
              </w:rPr>
            </w:pPr>
            <w:r>
              <w:rPr>
                <w:rtl/>
              </w:rPr>
              <w:t xml:space="preserve">(4). </w:t>
            </w:r>
            <w:r w:rsidRPr="00020424">
              <w:rPr>
                <w:rtl/>
              </w:rPr>
              <w:t>في«بث،بخ،بر،جن»:«على ما وضع</w:t>
            </w:r>
            <w:r>
              <w:rPr>
                <w:rtl/>
              </w:rPr>
              <w:t>».</w:t>
            </w:r>
          </w:p>
        </w:tc>
        <w:tc>
          <w:tcPr>
            <w:tcW w:w="4006" w:type="dxa"/>
          </w:tcPr>
          <w:p w:rsidR="00EF634C" w:rsidRDefault="00EF634C" w:rsidP="00FD3AFC">
            <w:pPr>
              <w:pStyle w:val="libFootnote0"/>
              <w:rPr>
                <w:rtl/>
              </w:rPr>
            </w:pPr>
            <w:r>
              <w:rPr>
                <w:rtl/>
              </w:rPr>
              <w:t xml:space="preserve">(5). </w:t>
            </w:r>
            <w:r w:rsidRPr="00020424">
              <w:rPr>
                <w:rtl/>
              </w:rPr>
              <w:t>في«ظ»:«لم يزد</w:t>
            </w:r>
            <w:r>
              <w:rPr>
                <w:rtl/>
              </w:rPr>
              <w:t>».</w:t>
            </w:r>
            <w:r w:rsidRPr="00020424">
              <w:rPr>
                <w:rtl/>
              </w:rPr>
              <w:t>وفي«بر»:</w:t>
            </w:r>
            <w:r>
              <w:rPr>
                <w:rtl/>
              </w:rPr>
              <w:t>-</w:t>
            </w:r>
            <w:r w:rsidRPr="00020424">
              <w:rPr>
                <w:rtl/>
              </w:rPr>
              <w:t>«لم يزد</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ولم ينقص</w:t>
      </w:r>
      <w:r w:rsidR="00992664">
        <w:rPr>
          <w:rtl/>
        </w:rPr>
        <w:t xml:space="preserve"> ».</w:t>
      </w:r>
      <w:r w:rsidR="00992664" w:rsidRPr="00020424">
        <w:rPr>
          <w:rtl/>
        </w:rPr>
        <w:t xml:space="preserve"> وفي « جن » :</w:t>
      </w:r>
      <w:r w:rsidR="00992664">
        <w:rPr>
          <w:rtl/>
        </w:rPr>
        <w:t xml:space="preserve"> </w:t>
      </w:r>
      <w:r w:rsidR="009B673F">
        <w:rPr>
          <w:rtl/>
        </w:rPr>
        <w:t>-</w:t>
      </w:r>
      <w:r w:rsidR="00992664">
        <w:rPr>
          <w:rtl/>
        </w:rPr>
        <w:t xml:space="preserve"> </w:t>
      </w:r>
      <w:r w:rsidR="00992664" w:rsidRPr="00020424">
        <w:rPr>
          <w:rtl/>
        </w:rPr>
        <w:t>« لم يزيد ولم تنقص</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وحاشية « ظ »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مال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48 ، ح 9128 ؛ </w:t>
      </w:r>
      <w:r w:rsidR="00992664" w:rsidRPr="0012008A">
        <w:rPr>
          <w:rStyle w:val="libFootnoteBoldChar"/>
          <w:rtl/>
        </w:rPr>
        <w:t>الوسائل</w:t>
      </w:r>
      <w:r w:rsidR="00992664" w:rsidRPr="00020424">
        <w:rPr>
          <w:rtl/>
        </w:rPr>
        <w:t xml:space="preserve"> ، ج 9 ، ص 146 ، ح 11712.</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بر ، بف » : « الحسين</w:t>
      </w:r>
      <w:r w:rsidR="00992664">
        <w:rPr>
          <w:rtl/>
        </w:rPr>
        <w:t xml:space="preserve"> ».</w:t>
      </w:r>
      <w:r w:rsidR="00992664" w:rsidRPr="00020424">
        <w:rPr>
          <w:rtl/>
        </w:rPr>
        <w:t xml:space="preserve"> والظاهر أنّ المراد من ابن راشد في السند ، هو الحسن بن راشد أبوعلي. راجع : </w:t>
      </w:r>
      <w:r w:rsidR="00992664" w:rsidRPr="001F4C1F">
        <w:rPr>
          <w:rtl/>
        </w:rPr>
        <w:t>رجال الطوسي</w:t>
      </w:r>
      <w:r w:rsidR="00992664" w:rsidRPr="00020424">
        <w:rPr>
          <w:rtl/>
        </w:rPr>
        <w:t xml:space="preserve"> ، ص 375 ، الرقم 5545 ؛ وص 385 ، الرقم 5673.</w:t>
      </w:r>
    </w:p>
    <w:p w:rsidR="00992664" w:rsidRDefault="00795177" w:rsidP="00CA6827">
      <w:pPr>
        <w:pStyle w:val="libFootnote0"/>
        <w:rPr>
          <w:rtl/>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بناء هذه الشبهة وانبعاثها على تغيّر الدراهم في الوزن بحسب القرون ، وقد كانت في زمن رسول</w:t>
      </w:r>
      <w:r w:rsidR="00EF634C">
        <w:rPr>
          <w:rFonts w:hint="cs"/>
          <w:rtl/>
        </w:rPr>
        <w:t xml:space="preserve"> =</w:t>
      </w:r>
    </w:p>
    <w:p w:rsidR="00795177" w:rsidRDefault="00795177" w:rsidP="00795177">
      <w:pPr>
        <w:pStyle w:val="libNormal"/>
        <w:rPr>
          <w:rtl/>
        </w:rPr>
      </w:pPr>
      <w:r>
        <w:rPr>
          <w:rtl/>
        </w:rPr>
        <w:br w:type="page"/>
      </w:r>
    </w:p>
    <w:p w:rsidR="00992664" w:rsidRPr="008012FF" w:rsidRDefault="00992664" w:rsidP="00992664">
      <w:pPr>
        <w:pStyle w:val="libLine"/>
        <w:rPr>
          <w:rtl/>
        </w:rPr>
      </w:pPr>
      <w:r w:rsidRPr="00D80616">
        <w:rPr>
          <w:rtl/>
        </w:rPr>
        <w:lastRenderedPageBreak/>
        <w:t>__________________</w:t>
      </w:r>
    </w:p>
    <w:p w:rsidR="00992664" w:rsidRPr="00020424" w:rsidRDefault="00CA6827" w:rsidP="00992664">
      <w:pPr>
        <w:pStyle w:val="libFootnote0"/>
        <w:rPr>
          <w:rtl/>
          <w:lang w:bidi="fa-IR"/>
        </w:rPr>
      </w:pPr>
      <w:r w:rsidRPr="00020424">
        <w:rPr>
          <w:rtl/>
        </w:rPr>
        <w:t>‌</w:t>
      </w:r>
      <w:r>
        <w:rPr>
          <w:rFonts w:hint="cs"/>
          <w:rtl/>
        </w:rPr>
        <w:t xml:space="preserve">= </w:t>
      </w:r>
      <w:r w:rsidRPr="00020424">
        <w:rPr>
          <w:rtl/>
        </w:rPr>
        <w:t>الله</w:t>
      </w:r>
      <w:r w:rsidRPr="00D64ADA">
        <w:rPr>
          <w:rStyle w:val="libFootnoteAlaemChar"/>
          <w:rtl/>
        </w:rPr>
        <w:t xml:space="preserve">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تحسب بالوقيّة ، وكانت الوقيّة أربعين درهماً ، والدرهم ستة دوانيق ، ثمّ صار الدرهم خمسة دوانيق ، وكانت الزكاة وزن ستّة ، كما يستفاد من هذا الخبر ، ولعلّه صار في زمن المنصور أقلّ من خمسة دوانيق ، وصارت الزكاة وزن سبعة.</w:t>
      </w:r>
    </w:p>
    <w:p w:rsidR="00992664" w:rsidRPr="00020424" w:rsidRDefault="00992664" w:rsidP="006D0E0F">
      <w:pPr>
        <w:pStyle w:val="libFootnote0"/>
        <w:rPr>
          <w:rtl/>
          <w:lang w:bidi="fa-IR"/>
        </w:rPr>
      </w:pPr>
      <w:r w:rsidRPr="00D82B22">
        <w:rPr>
          <w:rtl/>
        </w:rPr>
        <w:t>إن قيل : كما غيّرت الدارهم في الزكاة غيّرت أيضاً في النصب.</w:t>
      </w:r>
    </w:p>
    <w:p w:rsidR="00992664" w:rsidRPr="00020424" w:rsidRDefault="00992664" w:rsidP="006D0E0F">
      <w:pPr>
        <w:pStyle w:val="libFootnote0"/>
        <w:rPr>
          <w:rtl/>
          <w:lang w:bidi="fa-IR"/>
        </w:rPr>
      </w:pPr>
      <w:r w:rsidRPr="00D82B22">
        <w:rPr>
          <w:rtl/>
        </w:rPr>
        <w:t>قلنا : إنّما كان العدّ في الزكاة ، وأمّا النصب فكانوا يزنونها من غير عدّ</w:t>
      </w:r>
      <w:r>
        <w:rPr>
          <w:rtl/>
        </w:rPr>
        <w:t xml:space="preserve"> ».</w:t>
      </w:r>
    </w:p>
    <w:p w:rsidR="00992664" w:rsidRPr="00020424" w:rsidRDefault="00992664" w:rsidP="006D0E0F">
      <w:pPr>
        <w:pStyle w:val="libFootnote0"/>
        <w:rPr>
          <w:rtl/>
          <w:lang w:bidi="fa-IR"/>
        </w:rPr>
      </w:pPr>
      <w:r w:rsidRPr="006D0E0F">
        <w:rPr>
          <w:rtl/>
        </w:rPr>
        <w:t xml:space="preserve">وقال المحقق الشعراني في هامش </w:t>
      </w:r>
      <w:r w:rsidRPr="0012008A">
        <w:rPr>
          <w:rStyle w:val="libFootnoteBoldChar"/>
          <w:rtl/>
        </w:rPr>
        <w:t>الوافي</w:t>
      </w:r>
      <w:r w:rsidRPr="006D0E0F">
        <w:rPr>
          <w:rtl/>
        </w:rPr>
        <w:t xml:space="preserve"> : « قوله : كيف صارت وزن سبعة ، حمل المصنّف على كون القدر الواجب من الزكاة سبعة دراهم ، فمفاد السّؤال أنّه جعل رسول الله </w:t>
      </w:r>
      <w:r w:rsidR="00D64ADA" w:rsidRPr="00D64ADA">
        <w:rPr>
          <w:rStyle w:val="libFootnoteAlaemChar"/>
          <w:rtl/>
        </w:rPr>
        <w:t>صلى‌الله‌عليه‌وآله</w:t>
      </w:r>
      <w:r w:rsidR="00B42914" w:rsidRPr="00B42914">
        <w:rPr>
          <w:rStyle w:val="libAlaemChar"/>
          <w:rtl/>
        </w:rPr>
        <w:t>‌</w:t>
      </w:r>
      <w:r w:rsidRPr="006D0E0F">
        <w:rPr>
          <w:rtl/>
        </w:rPr>
        <w:t xml:space="preserve"> في كلّ مائتي درهم خمسة دراهم ، فلِمَ يؤخذ سبعة دراهم؟ ومفاد الجواب أنّ سبعة دراهم في هذا الزّمان تساوي خمسة دراهم على عهد الرسول </w:t>
      </w:r>
      <w:r w:rsidR="00D64ADA" w:rsidRPr="00D64ADA">
        <w:rPr>
          <w:rStyle w:val="libFootnoteAlaemChar"/>
          <w:rtl/>
        </w:rPr>
        <w:t>صلى‌الله‌عليه‌وآله</w:t>
      </w:r>
      <w:r w:rsidR="00B42914" w:rsidRPr="00B42914">
        <w:rPr>
          <w:rStyle w:val="libAlaemChar"/>
          <w:rtl/>
        </w:rPr>
        <w:t>‌</w:t>
      </w:r>
      <w:r w:rsidRPr="006D0E0F">
        <w:rPr>
          <w:rtl/>
        </w:rPr>
        <w:t>.</w:t>
      </w:r>
    </w:p>
    <w:p w:rsidR="00992664" w:rsidRPr="00020424" w:rsidRDefault="00992664" w:rsidP="006D0E0F">
      <w:pPr>
        <w:pStyle w:val="libFootnote0"/>
        <w:rPr>
          <w:rtl/>
          <w:lang w:bidi="fa-IR"/>
        </w:rPr>
      </w:pPr>
      <w:r w:rsidRPr="006D0E0F">
        <w:rPr>
          <w:rtl/>
        </w:rPr>
        <w:t xml:space="preserve">ونقل في </w:t>
      </w:r>
      <w:r w:rsidRPr="001F4C1F">
        <w:rPr>
          <w:rtl/>
        </w:rPr>
        <w:t>الجواهر</w:t>
      </w:r>
      <w:r w:rsidRPr="006D0E0F">
        <w:rPr>
          <w:rtl/>
        </w:rPr>
        <w:t xml:space="preserve"> وجوهاً ا</w:t>
      </w:r>
      <w:r w:rsidR="00706E93">
        <w:rPr>
          <w:rFonts w:hint="cs"/>
          <w:rtl/>
        </w:rPr>
        <w:t>ُ</w:t>
      </w:r>
      <w:r w:rsidRPr="006D0E0F">
        <w:rPr>
          <w:rtl/>
        </w:rPr>
        <w:t xml:space="preserve">خر عن بعض الشراح لاحاجة إلى ذكرها وتضعيفها ، وتفسير المصنّف أيضاً غير صحيح عندي لوجوه ؛ لأنّ الفريضة كانت تؤخذ خمسة دراهم دائماً ، ولم يكن الدرهم على عهد رسول الله </w:t>
      </w:r>
      <w:r w:rsidR="00D64ADA" w:rsidRPr="00D64ADA">
        <w:rPr>
          <w:rStyle w:val="libFootnoteAlaemChar"/>
          <w:rtl/>
        </w:rPr>
        <w:t>صلى‌الله‌عليه‌وآله</w:t>
      </w:r>
      <w:r w:rsidR="00B42914" w:rsidRPr="00B42914">
        <w:rPr>
          <w:rStyle w:val="libAlaemChar"/>
          <w:rtl/>
        </w:rPr>
        <w:t>‌</w:t>
      </w:r>
      <w:r w:rsidRPr="006D0E0F">
        <w:rPr>
          <w:rtl/>
        </w:rPr>
        <w:t xml:space="preserve"> ستّة دوانيق ، بل حدث على عهد عبدالملك ، وبقي إلى عهد المنصور وبعده ، وليس النصاب أربعين أوقية ، بل خمس أواق.</w:t>
      </w:r>
    </w:p>
    <w:p w:rsidR="00992664" w:rsidRPr="00020424" w:rsidRDefault="00992664" w:rsidP="006D0E0F">
      <w:pPr>
        <w:pStyle w:val="libFootnote0"/>
        <w:rPr>
          <w:rtl/>
          <w:lang w:bidi="fa-IR"/>
        </w:rPr>
      </w:pPr>
      <w:r w:rsidRPr="00D82B22">
        <w:rPr>
          <w:rtl/>
        </w:rPr>
        <w:t>وكان الحديث مجملاً عندي إلى أن وقفت على رسالة للبلاذري ، وفيهما مرويّاً عن الحسن بن صالح بن حيّ قال : كانت الدّراهم من ضرب الأعاجم مختلفة كباراً وصغاراً ، فكانوا يضربون منها مثقالاً ، وهو وزن عشرين قيراطاً ، ويضربون بوزن عشرة قراريط ، وهي أنصاف المثاقيل ، فلمّا جاء الإسلام واحتيج في أداء الزكاة إلى الأمر الأوسط ، أخذوا عشرين قيراطاً وعشرة قراريط ، فوجدوا ذلك اثنين وأربعين قيراطاً ، فضربوا على وزن الثلث من ذلك ، وهو أربعة عشر قيراطاً ، فوزن الدرهم العربيّ أربعة عشر قيراطاً من قراريط الدينار العزيز ، فصار وزن كلّ عشرة دراهم سبعة مثاقيل ، وذلك مائة وأربعون قيراطاً وزن سبعة. انتهى كلامه.</w:t>
      </w:r>
    </w:p>
    <w:p w:rsidR="00992664" w:rsidRPr="00020424" w:rsidRDefault="00992664" w:rsidP="006D0E0F">
      <w:pPr>
        <w:pStyle w:val="libFootnote0"/>
        <w:rPr>
          <w:rtl/>
          <w:lang w:bidi="fa-IR"/>
        </w:rPr>
      </w:pPr>
      <w:r w:rsidRPr="00D82B22">
        <w:rPr>
          <w:rtl/>
        </w:rPr>
        <w:t>وفيها أيضاً أنّ أوّل من ضرب وزن سبعة الحارث بن عبدالله بن أبي ربيعة بن [ كذا ] المخزومي أيّام ابن الزبير.</w:t>
      </w:r>
    </w:p>
    <w:p w:rsidR="00992664" w:rsidRPr="00020424" w:rsidRDefault="00992664" w:rsidP="006D0E0F">
      <w:pPr>
        <w:pStyle w:val="libFootnote0"/>
        <w:rPr>
          <w:rtl/>
          <w:lang w:bidi="fa-IR"/>
        </w:rPr>
      </w:pPr>
      <w:r w:rsidRPr="00D82B22">
        <w:rPr>
          <w:rtl/>
        </w:rPr>
        <w:t>وقال البلاذري أيضاً : داود الناقد قال : سمعت مشايخنا يحدّثون أنّ العباد من أهل الحيرة كانوا يتزوّجون على مائة وزن ستّة يريدون وزن ستّين مثقالاً دراهم ، وعلى مائة وزن ثمانية يريدون ثمانين مثقالاً دراهم ، وعلى مائة وزن خمسة يريدون وزن خمسين مثقالاً دراهم ، وعلى مائة وزن مائة مثقال. انتهى.</w:t>
      </w:r>
    </w:p>
    <w:p w:rsidR="00992664" w:rsidRPr="00020424" w:rsidRDefault="00992664" w:rsidP="006D0E0F">
      <w:pPr>
        <w:pStyle w:val="libFootnote0"/>
        <w:rPr>
          <w:rtl/>
          <w:lang w:bidi="fa-IR"/>
        </w:rPr>
      </w:pPr>
      <w:r w:rsidRPr="00D82B22">
        <w:rPr>
          <w:rtl/>
        </w:rPr>
        <w:t>فحصل من ملاحظة مجموع ذلك أنّ مرادهم من كون الدرهم على وزن سبعة ، أي على وزن سبعة أعشار الدينار الذي هو مثقال يُعدّ بعشرين قيراطاً عند الإسلاميّين ، وباثنين وعشرين قيراطاً عند غيرهم ، والمثقال وزن مضبوط ، والاختلاف في القيراط ، فيكون الدرهم أربعة عشر قيراطاً ، وهو سبعة أعشار المثقال ، ووزن عشرة دراهم يساوي وزن سبعة دنانير.</w:t>
      </w:r>
    </w:p>
    <w:p w:rsidR="00992664" w:rsidRPr="00020424" w:rsidRDefault="00992664" w:rsidP="006D0E0F">
      <w:pPr>
        <w:pStyle w:val="libFootnote0"/>
        <w:rPr>
          <w:rtl/>
          <w:lang w:bidi="fa-IR"/>
        </w:rPr>
      </w:pPr>
      <w:r w:rsidRPr="006D0E0F">
        <w:rPr>
          <w:rtl/>
        </w:rPr>
        <w:t xml:space="preserve">وعلى هذا فيكون مفاد سؤال المنصور أنّ هذه الدّراهم التي تزن سبعة أعشار المثقال لم تكن على عهد رسول الله </w:t>
      </w:r>
      <w:r w:rsidR="00D64ADA" w:rsidRPr="00D64ADA">
        <w:rPr>
          <w:rStyle w:val="libFootnoteAlaemChar"/>
          <w:rtl/>
        </w:rPr>
        <w:t>صلى‌الله‌عليه‌وآله</w:t>
      </w:r>
      <w:r w:rsidR="00B42914" w:rsidRPr="00B42914">
        <w:rPr>
          <w:rStyle w:val="libAlaemChar"/>
          <w:rtl/>
        </w:rPr>
        <w:t>‌</w:t>
      </w:r>
      <w:r w:rsidRPr="006D0E0F">
        <w:rPr>
          <w:rtl/>
        </w:rPr>
        <w:t xml:space="preserve"> ، فكيف حملوا نصاب الفضّة ، وهو مائتا درهم وفريضة الزكاة ، وهي خمسة دراهم على الدرهم الذي </w:t>
      </w:r>
      <w:r w:rsidR="00861DE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يَكُنْ هذَا </w:t>
      </w:r>
      <w:r w:rsidRPr="00A91B96">
        <w:rPr>
          <w:rStyle w:val="libFootnotenumChar"/>
          <w:rtl/>
        </w:rPr>
        <w:t>(1)</w:t>
      </w:r>
      <w:r w:rsidRPr="00020424">
        <w:rPr>
          <w:rtl/>
          <w:lang w:bidi="fa-IR"/>
        </w:rPr>
        <w:t xml:space="preserve"> عَلى عَهْدِ رَسُولِ اللهِ </w:t>
      </w:r>
      <w:r w:rsidR="00B42914" w:rsidRPr="00B42914">
        <w:rPr>
          <w:rStyle w:val="libAlaemChar"/>
          <w:rtl/>
        </w:rPr>
        <w:t>صلى‌الله‌عليه‌وآله‌</w:t>
      </w:r>
      <w:r>
        <w:rPr>
          <w:rtl/>
          <w:lang w:bidi="fa-IR"/>
        </w:rPr>
        <w:t>؟</w:t>
      </w:r>
      <w:r w:rsidRPr="00020424">
        <w:rPr>
          <w:rtl/>
          <w:lang w:bidi="fa-IR"/>
        </w:rPr>
        <w:t xml:space="preserve"> وَأَمَرَهُ أَنْ يَسْأَلَ فِيمَنْ يَسْأَلُ </w:t>
      </w:r>
      <w:r w:rsidRPr="00A91B96">
        <w:rPr>
          <w:rStyle w:val="libFootnotenumChar"/>
          <w:rtl/>
        </w:rPr>
        <w:t>(2)</w:t>
      </w:r>
      <w:r w:rsidRPr="00020424">
        <w:rPr>
          <w:rtl/>
          <w:lang w:bidi="fa-IR"/>
        </w:rPr>
        <w:t xml:space="preserve"> عَبْدَ اللهِ بْنَ الْحَسَنِ وَجَعْفَرَ بْنَ مُحَمَّدٍ </w:t>
      </w:r>
      <w:r w:rsidRPr="00005A81">
        <w:rPr>
          <w:rStyle w:val="libAlaemChar"/>
          <w:rtl/>
        </w:rPr>
        <w:t>عليهما‌السلام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قَالَ : فَسَأَلَ </w:t>
      </w:r>
      <w:r w:rsidRPr="00A91B96">
        <w:rPr>
          <w:rStyle w:val="libFootnotenumChar"/>
          <w:rtl/>
        </w:rPr>
        <w:t>(3)</w:t>
      </w:r>
      <w:r w:rsidRPr="00020424">
        <w:rPr>
          <w:rtl/>
          <w:lang w:bidi="fa-IR"/>
        </w:rPr>
        <w:t xml:space="preserve"> أَهْلَ الْمَدِينَةِ ، فَقَالُوا : أَدْرَكْنَا مَنْ كَانَ قَبْلَنَا عَلى هذَا ، فَبَعَثَ إِلى عَبْدِ اللهِ بْنِ الْحَسَنِ وَجَعْفَرِ بْنِ مُحَمَّدٍ </w:t>
      </w:r>
      <w:r w:rsidRPr="00005A81">
        <w:rPr>
          <w:rStyle w:val="libAlaemChar"/>
          <w:rtl/>
        </w:rPr>
        <w:t>عليهما‌السلام</w:t>
      </w:r>
      <w:r w:rsidRPr="00020424">
        <w:rPr>
          <w:rtl/>
          <w:lang w:bidi="fa-IR"/>
        </w:rPr>
        <w:t xml:space="preserve"> ، فَسَأَلَ عَبْدَ اللهِ بْنَ الْحَسَنِ </w:t>
      </w:r>
      <w:r w:rsidRPr="00A91B96">
        <w:rPr>
          <w:rStyle w:val="libFootnotenumChar"/>
          <w:rtl/>
        </w:rPr>
        <w:t>(4)</w:t>
      </w:r>
      <w:r w:rsidRPr="00020424">
        <w:rPr>
          <w:rtl/>
          <w:lang w:bidi="fa-IR"/>
        </w:rPr>
        <w:t xml:space="preserve"> ، فَقَالَ كَمَا قَالَ </w:t>
      </w:r>
      <w:r w:rsidRPr="00A91B96">
        <w:rPr>
          <w:rStyle w:val="libFootnotenumChar"/>
          <w:rtl/>
        </w:rPr>
        <w:t>(5)</w:t>
      </w:r>
      <w:r w:rsidRPr="00020424">
        <w:rPr>
          <w:rtl/>
          <w:lang w:bidi="fa-IR"/>
        </w:rPr>
        <w:t xml:space="preserve"> الْمُسْتَفْتَوْنَ مِنْ أَهْلِ الْمَدِينَةِ ، قَالَ </w:t>
      </w:r>
      <w:r w:rsidRPr="00A91B96">
        <w:rPr>
          <w:rStyle w:val="libFootnotenumChar"/>
          <w:rtl/>
        </w:rPr>
        <w:t>(6)</w:t>
      </w:r>
      <w:r w:rsidRPr="00020424">
        <w:rPr>
          <w:rtl/>
          <w:lang w:bidi="fa-IR"/>
        </w:rPr>
        <w:t xml:space="preserve"> : فَقَالَ : مَا تَقُولُ يَا أَبَا </w:t>
      </w:r>
      <w:r w:rsidRPr="00A91B96">
        <w:rPr>
          <w:rStyle w:val="libFootnotenumChar"/>
          <w:rtl/>
        </w:rPr>
        <w:t>(7)</w:t>
      </w:r>
      <w:r w:rsidRPr="00020424">
        <w:rPr>
          <w:rtl/>
          <w:lang w:bidi="fa-IR"/>
        </w:rPr>
        <w:t xml:space="preserve"> عَبْدِ اللهِ</w:t>
      </w:r>
      <w:r>
        <w:rPr>
          <w:rtl/>
          <w:lang w:bidi="fa-IR"/>
        </w:rPr>
        <w:t>؟</w:t>
      </w:r>
    </w:p>
    <w:p w:rsidR="00992664" w:rsidRPr="00020424" w:rsidRDefault="00992664" w:rsidP="00992664">
      <w:pPr>
        <w:pStyle w:val="libNormal"/>
        <w:rPr>
          <w:rtl/>
          <w:lang w:bidi="fa-IR"/>
        </w:rPr>
      </w:pPr>
      <w:r w:rsidRPr="00020424">
        <w:rPr>
          <w:rtl/>
          <w:lang w:bidi="fa-IR"/>
        </w:rPr>
        <w:t xml:space="preserve">فَقَالَ : « إِنَّ رَسُولَ اللهِ </w:t>
      </w:r>
      <w:r w:rsidR="00B42914" w:rsidRPr="00B42914">
        <w:rPr>
          <w:rStyle w:val="libAlaemChar"/>
          <w:rtl/>
        </w:rPr>
        <w:t>صلى‌الله‌عليه‌وآله‌</w:t>
      </w:r>
      <w:r w:rsidRPr="00020424">
        <w:rPr>
          <w:rtl/>
          <w:lang w:bidi="fa-IR"/>
        </w:rPr>
        <w:t xml:space="preserve"> جَعَلَ فِي كُلِّ أَرْبَعِينَ أُوقِيَّةً </w:t>
      </w:r>
      <w:r w:rsidRPr="00A91B96">
        <w:rPr>
          <w:rStyle w:val="libFootnotenumChar"/>
          <w:rtl/>
        </w:rPr>
        <w:t>(8)</w:t>
      </w:r>
      <w:r w:rsidRPr="00020424">
        <w:rPr>
          <w:rtl/>
          <w:lang w:bidi="fa-IR"/>
        </w:rPr>
        <w:t xml:space="preserve"> ، أُوقِيَّةً ، فَإِذَا حَسَبْتَ ذلِكَ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3E6EDD" w:rsidP="00260B3D">
      <w:pPr>
        <w:pStyle w:val="libFootnote0"/>
        <w:rPr>
          <w:rtl/>
          <w:lang w:bidi="fa-IR"/>
        </w:rPr>
      </w:pPr>
      <w:r>
        <w:rPr>
          <w:rFonts w:hint="cs"/>
          <w:rtl/>
        </w:rPr>
        <w:t xml:space="preserve">= </w:t>
      </w:r>
      <w:r w:rsidR="00992664" w:rsidRPr="00D82B22">
        <w:rPr>
          <w:rtl/>
        </w:rPr>
        <w:t>وزن سبعة أعشار الدّينار</w:t>
      </w:r>
      <w:r w:rsidR="00992664">
        <w:rPr>
          <w:rtl/>
        </w:rPr>
        <w:t>؟</w:t>
      </w:r>
    </w:p>
    <w:p w:rsidR="00992664" w:rsidRDefault="00992664" w:rsidP="00260B3D">
      <w:pPr>
        <w:pStyle w:val="libFootnote0"/>
        <w:rPr>
          <w:rtl/>
        </w:rPr>
      </w:pPr>
      <w:r w:rsidRPr="00260B3D">
        <w:rPr>
          <w:rtl/>
        </w:rPr>
        <w:t xml:space="preserve">ومفاد جواب الإمام </w:t>
      </w:r>
      <w:r w:rsidRPr="00D64ADA">
        <w:rPr>
          <w:rStyle w:val="libFootnoteAlaemChar"/>
          <w:rtl/>
        </w:rPr>
        <w:t>عليه‌السلام</w:t>
      </w:r>
      <w:r w:rsidRPr="00260B3D">
        <w:rPr>
          <w:rtl/>
        </w:rPr>
        <w:t xml:space="preserve"> أن رسول الله </w:t>
      </w:r>
      <w:r w:rsidR="00D64ADA" w:rsidRPr="00D64ADA">
        <w:rPr>
          <w:rStyle w:val="libFootnoteAlaemChar"/>
          <w:rtl/>
        </w:rPr>
        <w:t>صلى‌الله‌عليه‌وآله</w:t>
      </w:r>
      <w:r w:rsidR="00B42914" w:rsidRPr="00B42914">
        <w:rPr>
          <w:rStyle w:val="libAlaemChar"/>
          <w:rtl/>
        </w:rPr>
        <w:t>‌</w:t>
      </w:r>
      <w:r w:rsidRPr="00260B3D">
        <w:rPr>
          <w:rtl/>
        </w:rPr>
        <w:t xml:space="preserve"> لم يجعل الحكم على الدراهم ، بل على الأواقي ، والا</w:t>
      </w:r>
      <w:r w:rsidR="00EF3369">
        <w:rPr>
          <w:rFonts w:hint="cs"/>
          <w:rtl/>
        </w:rPr>
        <w:t>ُ</w:t>
      </w:r>
      <w:r w:rsidRPr="00260B3D">
        <w:rPr>
          <w:rtl/>
        </w:rPr>
        <w:t xml:space="preserve">وقية وزن معلوم لم يتغيّر بتغيّر أوزان الدراهم ، وزادوا في الدرهم ونقصوا ، والأوقية باقية على وزنها ، وهو وزن أربعين درهماً من الدراهم التي تساوي عشرة منها سبعة مثاقيل ، والمثقال وهو وزن الدينار لم يتغير في جاهليّة ولا إسلام. وينبغي أن يقال : إنّ قوله </w:t>
      </w:r>
      <w:r w:rsidRPr="00D64ADA">
        <w:rPr>
          <w:rStyle w:val="libFootnoteAlaemChar"/>
          <w:rtl/>
        </w:rPr>
        <w:t>عليه‌السلام</w:t>
      </w:r>
      <w:r w:rsidRPr="00260B3D">
        <w:rPr>
          <w:rtl/>
        </w:rPr>
        <w:t xml:space="preserve"> : في كلّ أربعي</w:t>
      </w:r>
      <w:r w:rsidR="00BA68C6">
        <w:rPr>
          <w:rtl/>
        </w:rPr>
        <w:t>ن أوقية ، يراد به النسبة ، وإل</w:t>
      </w:r>
      <w:r w:rsidR="00BA68C6">
        <w:rPr>
          <w:rFonts w:hint="cs"/>
          <w:rtl/>
        </w:rPr>
        <w:t>ّ</w:t>
      </w:r>
      <w:r w:rsidR="00BA68C6">
        <w:rPr>
          <w:rtl/>
        </w:rPr>
        <w:t>ا</w:t>
      </w:r>
      <w:r w:rsidRPr="00260B3D">
        <w:rPr>
          <w:rtl/>
        </w:rPr>
        <w:t xml:space="preserve"> فالنصاب خمس أواق ، والفريضة ثمن أوقية ، فاعرف ذلك والحمدلله على فضله. كتبه العبد أبوالحسن المدعوّ بالشعراني ، عفي عنه ».</w:t>
      </w:r>
    </w:p>
    <w:tbl>
      <w:tblPr>
        <w:tblStyle w:val="TableGrid"/>
        <w:bidiVisual/>
        <w:tblW w:w="0" w:type="auto"/>
        <w:tblLook w:val="04A0" w:firstRow="1" w:lastRow="0" w:firstColumn="1" w:lastColumn="0" w:noHBand="0" w:noVBand="1"/>
      </w:tblPr>
      <w:tblGrid>
        <w:gridCol w:w="4006"/>
        <w:gridCol w:w="4006"/>
      </w:tblGrid>
      <w:tr w:rsidR="00C87B9D" w:rsidTr="00C87B9D">
        <w:tc>
          <w:tcPr>
            <w:tcW w:w="4006" w:type="dxa"/>
          </w:tcPr>
          <w:p w:rsidR="00C87B9D" w:rsidRDefault="00C87B9D" w:rsidP="00992664">
            <w:pPr>
              <w:pStyle w:val="libFootnote0"/>
              <w:rPr>
                <w:rtl/>
              </w:rPr>
            </w:pPr>
            <w:r>
              <w:rPr>
                <w:rtl/>
              </w:rPr>
              <w:t xml:space="preserve">(1). </w:t>
            </w:r>
            <w:r w:rsidRPr="00020424">
              <w:rPr>
                <w:rtl/>
              </w:rPr>
              <w:t>في « بخ » :</w:t>
            </w:r>
            <w:r>
              <w:rPr>
                <w:rtl/>
              </w:rPr>
              <w:t xml:space="preserve"> - </w:t>
            </w:r>
            <w:r w:rsidRPr="00020424">
              <w:rPr>
                <w:rtl/>
              </w:rPr>
              <w:t>« هذا</w:t>
            </w:r>
            <w:r>
              <w:rPr>
                <w:rtl/>
              </w:rPr>
              <w:t xml:space="preserve"> ».</w:t>
            </w:r>
          </w:p>
        </w:tc>
        <w:tc>
          <w:tcPr>
            <w:tcW w:w="4006" w:type="dxa"/>
          </w:tcPr>
          <w:p w:rsidR="00C87B9D" w:rsidRDefault="00C87B9D" w:rsidP="00992664">
            <w:pPr>
              <w:pStyle w:val="libFootnote0"/>
              <w:rPr>
                <w:rtl/>
              </w:rPr>
            </w:pPr>
            <w:r>
              <w:rPr>
                <w:rtl/>
              </w:rPr>
              <w:t xml:space="preserve">(2). </w:t>
            </w:r>
            <w:r w:rsidRPr="00020424">
              <w:rPr>
                <w:rtl/>
              </w:rPr>
              <w:t>في « بر » :</w:t>
            </w:r>
            <w:r>
              <w:rPr>
                <w:rtl/>
              </w:rPr>
              <w:t xml:space="preserve"> - </w:t>
            </w:r>
            <w:r w:rsidRPr="00020424">
              <w:rPr>
                <w:rtl/>
              </w:rPr>
              <w:t>« فيمن يسأل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بس » : + « عبدالله بن الحسن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بخ ، بر ، بف ، جن » </w:t>
      </w:r>
      <w:r w:rsidR="00992664" w:rsidRPr="00515444">
        <w:rPr>
          <w:rStyle w:val="libFootnoteBoldChar"/>
          <w:rtl/>
        </w:rPr>
        <w:t>والوافي</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بن الحسن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3E1A" w:rsidTr="00CA3E1A">
        <w:tc>
          <w:tcPr>
            <w:tcW w:w="4006" w:type="dxa"/>
          </w:tcPr>
          <w:p w:rsidR="00CA3E1A" w:rsidRDefault="00CA3E1A"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 المفتون</w:t>
            </w:r>
            <w:r>
              <w:rPr>
                <w:rtl/>
              </w:rPr>
              <w:t xml:space="preserve"> ».</w:t>
            </w:r>
          </w:p>
        </w:tc>
        <w:tc>
          <w:tcPr>
            <w:tcW w:w="4006" w:type="dxa"/>
          </w:tcPr>
          <w:p w:rsidR="00CA3E1A" w:rsidRDefault="00CA3E1A" w:rsidP="00992664">
            <w:pPr>
              <w:pStyle w:val="libFootnote0"/>
              <w:rPr>
                <w:rtl/>
              </w:rPr>
            </w:pPr>
            <w:r>
              <w:rPr>
                <w:rtl/>
              </w:rPr>
              <w:t xml:space="preserve">(6). </w:t>
            </w:r>
            <w:r w:rsidRPr="00020424">
              <w:rPr>
                <w:rtl/>
              </w:rPr>
              <w:t>في«ى،بر،بس،بف»</w:t>
            </w:r>
            <w:r w:rsidRPr="00515444">
              <w:rPr>
                <w:rStyle w:val="libFootnoteBoldChar"/>
                <w:rtl/>
              </w:rPr>
              <w:t>والوافي</w:t>
            </w:r>
            <w:r w:rsidRPr="00020424">
              <w:rPr>
                <w:rtl/>
              </w:rPr>
              <w:t xml:space="preserve"> و</w:t>
            </w:r>
            <w:r w:rsidRPr="0012008A">
              <w:rPr>
                <w:rStyle w:val="libFootnoteBoldChar"/>
                <w:rtl/>
              </w:rPr>
              <w:t>البحار</w:t>
            </w:r>
            <w:r w:rsidRPr="00020424">
              <w:rPr>
                <w:rtl/>
              </w:rPr>
              <w:t>:</w:t>
            </w:r>
            <w:r>
              <w:rPr>
                <w:rtl/>
              </w:rPr>
              <w:t>-</w:t>
            </w:r>
            <w:r w:rsidRPr="00020424">
              <w:rPr>
                <w:rtl/>
              </w:rPr>
              <w:t>«قال</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يابا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قال ابن الأثير : « كانت الا</w:t>
      </w:r>
      <w:r w:rsidR="003C07A6">
        <w:rPr>
          <w:rFonts w:hint="cs"/>
          <w:rtl/>
        </w:rPr>
        <w:t>ُ</w:t>
      </w:r>
      <w:r w:rsidR="00992664" w:rsidRPr="00020424">
        <w:rPr>
          <w:rtl/>
        </w:rPr>
        <w:t>وقيّة قديماً عبارة عن أربعين درهماً ، وهي في غير الحديث نصف سدس الرطل ، وهو جزء من اثني عشر جزءاً وتختلف باختلاف البلاد</w:t>
      </w:r>
      <w:r w:rsidR="00992664">
        <w:rPr>
          <w:rtl/>
        </w:rPr>
        <w:t xml:space="preserve"> ».</w:t>
      </w:r>
      <w:r w:rsidR="00992664" w:rsidRPr="00020424">
        <w:rPr>
          <w:rtl/>
        </w:rPr>
        <w:t xml:space="preserve"> وفي </w:t>
      </w:r>
      <w:r w:rsidR="00992664" w:rsidRPr="001F4C1F">
        <w:rPr>
          <w:rtl/>
        </w:rPr>
        <w:t>اللسان</w:t>
      </w:r>
      <w:r w:rsidR="00992664" w:rsidRPr="00020424">
        <w:rPr>
          <w:rtl/>
        </w:rPr>
        <w:t xml:space="preserve"> : « الا</w:t>
      </w:r>
      <w:r w:rsidR="003C07A6">
        <w:rPr>
          <w:rFonts w:hint="cs"/>
          <w:rtl/>
        </w:rPr>
        <w:t>ُ</w:t>
      </w:r>
      <w:r w:rsidR="00992664" w:rsidRPr="00020424">
        <w:rPr>
          <w:rtl/>
        </w:rPr>
        <w:t>وقيّة : زنة سبعة مثاقيل وزنة أربعين درهماً » ، وكيف كان فوزنه ا</w:t>
      </w:r>
      <w:r w:rsidR="00034F02">
        <w:rPr>
          <w:rFonts w:hint="cs"/>
          <w:rtl/>
        </w:rPr>
        <w:t>ُ</w:t>
      </w:r>
      <w:r w:rsidR="00992664" w:rsidRPr="00020424">
        <w:rPr>
          <w:rtl/>
        </w:rPr>
        <w:t xml:space="preserve">فعولة والألف زائدة. راجع : </w:t>
      </w:r>
      <w:r w:rsidR="00992664" w:rsidRPr="0012008A">
        <w:rPr>
          <w:rStyle w:val="libFootnoteBoldChar"/>
          <w:rtl/>
        </w:rPr>
        <w:t>النهاية</w:t>
      </w:r>
      <w:r w:rsidR="00992664" w:rsidRPr="00020424">
        <w:rPr>
          <w:rtl/>
        </w:rPr>
        <w:t xml:space="preserve"> ، ج 5 ، ص 217 ؛ </w:t>
      </w:r>
      <w:r w:rsidR="00992664" w:rsidRPr="00A722B1">
        <w:rPr>
          <w:rStyle w:val="libFootnoteBoldChar"/>
          <w:rtl/>
        </w:rPr>
        <w:t>لسان العرب</w:t>
      </w:r>
      <w:r w:rsidR="00992664" w:rsidRPr="00020424">
        <w:rPr>
          <w:rtl/>
        </w:rPr>
        <w:t xml:space="preserve"> ، ج 15 ، ص 404 ( وقى )</w:t>
      </w:r>
      <w:r w:rsidR="00992664">
        <w:rPr>
          <w:rtl/>
        </w:rPr>
        <w:t>.</w:t>
      </w:r>
      <w:r w:rsidR="00992664" w:rsidRPr="00020424">
        <w:rPr>
          <w:rtl/>
        </w:rPr>
        <w:t xml:space="preserve"> وراجع أيضاً : </w:t>
      </w:r>
      <w:r w:rsidR="00992664" w:rsidRPr="0012008A">
        <w:rPr>
          <w:rStyle w:val="libFootnoteBoldChar"/>
          <w:rtl/>
        </w:rPr>
        <w:t>النهاية</w:t>
      </w:r>
      <w:r w:rsidR="00992664" w:rsidRPr="00020424">
        <w:rPr>
          <w:rtl/>
        </w:rPr>
        <w:t xml:space="preserve"> ، ج 1 ، ص 80 ( أوق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هامش المطبوع : « قوله : فإذا حسبت ذلك ، إلى آخره ، اعلم أنّ هذا الخبر من مشكلات أخبار هذا الكتاب ومن مطارح [ أنظار ] الأزكياء من الأصحاب ، والذي ا</w:t>
      </w:r>
      <w:r w:rsidR="00034F02">
        <w:rPr>
          <w:rFonts w:hint="cs"/>
          <w:rtl/>
        </w:rPr>
        <w:t>ُ</w:t>
      </w:r>
      <w:r w:rsidR="00992664" w:rsidRPr="00020424">
        <w:rPr>
          <w:rtl/>
        </w:rPr>
        <w:t xml:space="preserve">فيد في هذا الحديث الشريف أنّ الناس في زمن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كانوا زكّوا أموالهم في كلّ مائتى درهم خمسة دراهم ، وذلك على ما وضعه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وقد كان الناس قبل زمان أبي جعفر المنصور بقليل زكّوا أموالهم في كلّ مائتين درهماً سبعة دراهم ، وذلك على ما أفتى به علىّ بن الحسين ومحمّد بن عليّ </w:t>
      </w:r>
      <w:r w:rsidR="00992664" w:rsidRPr="00D64ADA">
        <w:rPr>
          <w:rStyle w:val="libFootnoteAlaemChar"/>
          <w:rtl/>
        </w:rPr>
        <w:t>عليهم‌السلام</w:t>
      </w:r>
      <w:r w:rsidR="00992664" w:rsidRPr="00020424">
        <w:rPr>
          <w:rtl/>
        </w:rPr>
        <w:t xml:space="preserve"> بناء على</w:t>
      </w:r>
      <w:r w:rsidR="002A281A">
        <w:rPr>
          <w:rtl/>
        </w:rPr>
        <w:t xml:space="preserve"> تفسير وزن الدرهم زمانهما ، ولم</w:t>
      </w:r>
      <w:r w:rsidR="002A281A">
        <w:rPr>
          <w:rFonts w:hint="cs"/>
          <w:rtl/>
        </w:rPr>
        <w:t>ـّ</w:t>
      </w:r>
      <w:r w:rsidR="00992664" w:rsidRPr="00020424">
        <w:rPr>
          <w:rtl/>
        </w:rPr>
        <w:t>ا ا</w:t>
      </w:r>
      <w:r w:rsidR="002A281A">
        <w:rPr>
          <w:rFonts w:hint="cs"/>
          <w:rtl/>
        </w:rPr>
        <w:t>ُ</w:t>
      </w:r>
      <w:r w:rsidR="00992664" w:rsidRPr="00020424">
        <w:rPr>
          <w:rtl/>
        </w:rPr>
        <w:t xml:space="preserve">شكل ذلك على أبي جعفر ، ولم يعلم </w:t>
      </w:r>
      <w:r w:rsidR="005E486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3E6EDD">
      <w:pPr>
        <w:pStyle w:val="libNormal0"/>
        <w:rPr>
          <w:rtl/>
          <w:lang w:bidi="fa-IR"/>
        </w:rPr>
      </w:pPr>
      <w:r w:rsidRPr="00020424">
        <w:rPr>
          <w:rtl/>
          <w:lang w:bidi="fa-IR"/>
        </w:rPr>
        <w:lastRenderedPageBreak/>
        <w:t xml:space="preserve">كَانَ عَلى </w:t>
      </w:r>
      <w:r w:rsidRPr="00A91B96">
        <w:rPr>
          <w:rStyle w:val="libFootnotenumChar"/>
          <w:rtl/>
        </w:rPr>
        <w:t>(1)</w:t>
      </w:r>
      <w:r w:rsidRPr="00020424">
        <w:rPr>
          <w:rtl/>
          <w:lang w:bidi="fa-IR"/>
        </w:rPr>
        <w:t xml:space="preserve"> وَزْنِ سَبْعَةٍ ، وَقَدْ كَانَتْ وَزْنَ سِتَّةٍ ، كَانَتِ </w:t>
      </w:r>
      <w:r w:rsidRPr="00A91B96">
        <w:rPr>
          <w:rStyle w:val="libFootnotenumChar"/>
          <w:rtl/>
        </w:rPr>
        <w:t>(2)</w:t>
      </w:r>
      <w:r w:rsidRPr="00020424">
        <w:rPr>
          <w:rtl/>
          <w:lang w:bidi="fa-IR"/>
        </w:rPr>
        <w:t xml:space="preserve"> الدَّرَاهِمُ </w:t>
      </w:r>
      <w:r w:rsidRPr="00A91B96">
        <w:rPr>
          <w:rStyle w:val="libFootnotenumChar"/>
          <w:rtl/>
        </w:rPr>
        <w:t>(3)</w:t>
      </w:r>
      <w:r w:rsidRPr="00020424">
        <w:rPr>
          <w:rtl/>
          <w:lang w:bidi="fa-IR"/>
        </w:rPr>
        <w:t xml:space="preserve"> خَمْسَةَ دَوَانِيقَ </w:t>
      </w:r>
      <w:r w:rsidRPr="00A91B96">
        <w:rPr>
          <w:rStyle w:val="libFootnotenumChar"/>
          <w:rtl/>
        </w:rPr>
        <w:t>(4)</w:t>
      </w:r>
      <w:r>
        <w:rPr>
          <w:rtl/>
          <w:lang w:bidi="fa-IR"/>
        </w:rPr>
        <w:t xml:space="preserve"> ».</w:t>
      </w:r>
    </w:p>
    <w:p w:rsidR="00992664" w:rsidRPr="00020424" w:rsidRDefault="00992664" w:rsidP="00992664">
      <w:pPr>
        <w:pStyle w:val="libNormal"/>
        <w:rPr>
          <w:rtl/>
          <w:lang w:bidi="fa-IR"/>
        </w:rPr>
      </w:pPr>
      <w:r w:rsidRPr="00020424">
        <w:rPr>
          <w:rtl/>
          <w:lang w:bidi="fa-IR"/>
        </w:rPr>
        <w:t>قَالَ حَبِيبٌ : فَحَسَبْنَاهُ ، فَوَجَدْنَاهُ كَمَا قَالَ ، فَأَقْبَلَ عَلَيْهِ عَبْدُ اللهِ بْنُ الْحَسَنِ ، فَقَالَ :</w:t>
      </w:r>
      <w:r>
        <w:rPr>
          <w:rFonts w:hint="cs"/>
          <w:rtl/>
          <w:lang w:bidi="fa-IR"/>
        </w:rPr>
        <w:t xml:space="preserve"> </w:t>
      </w:r>
      <w:r w:rsidRPr="00020424">
        <w:rPr>
          <w:rtl/>
          <w:lang w:bidi="fa-IR"/>
        </w:rPr>
        <w:t>مِنْ أَيْنَ أَخَذْتَ هذَا</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CC0864" w:rsidP="00992664">
      <w:pPr>
        <w:pStyle w:val="libFootnote0"/>
        <w:rPr>
          <w:rtl/>
          <w:lang w:bidi="fa-IR"/>
        </w:rPr>
      </w:pPr>
      <w:r>
        <w:rPr>
          <w:rFonts w:hint="cs"/>
          <w:rtl/>
        </w:rPr>
        <w:t xml:space="preserve">= </w:t>
      </w:r>
      <w:r w:rsidR="00992664" w:rsidRPr="00020424">
        <w:rPr>
          <w:rtl/>
        </w:rPr>
        <w:t>أن سبب ذلك وقوع التغيير في قدر الدرهم ، كتب إلى واليه محمّد بن</w:t>
      </w:r>
      <w:r w:rsidR="003967E9">
        <w:rPr>
          <w:rtl/>
        </w:rPr>
        <w:t xml:space="preserve"> خالد أن يسأل أهل المدينة ، ولم</w:t>
      </w:r>
      <w:r w:rsidR="003967E9">
        <w:rPr>
          <w:rFonts w:hint="cs"/>
          <w:rtl/>
        </w:rPr>
        <w:t>ـّ</w:t>
      </w:r>
      <w:r w:rsidR="00992664" w:rsidRPr="00020424">
        <w:rPr>
          <w:rtl/>
        </w:rPr>
        <w:t xml:space="preserve">ا عجزوا عن الجواب عموماً وعبدالله بن الحسن خصوصاً سأل أبا عبدالله </w:t>
      </w:r>
      <w:r w:rsidR="00992664" w:rsidRPr="00D64ADA">
        <w:rPr>
          <w:rStyle w:val="libFootnoteAlaemChar"/>
          <w:rtl/>
        </w:rPr>
        <w:t>عليه‌السلام</w:t>
      </w:r>
      <w:r w:rsidR="00992664" w:rsidRPr="00020424">
        <w:rPr>
          <w:rtl/>
        </w:rPr>
        <w:t xml:space="preserve"> فقال : إنّ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إلى آخره ، وتوضيحه أنّ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جعل في كلّ أربعين أوقية أوقية ، والأوقية أربعون درهماً ، ففي كلّ خمس أواقي ، وهي مائتا درهم خمس دراهم ، هذا في زمنه </w:t>
      </w:r>
      <w:r w:rsidR="00D64ADA" w:rsidRPr="00D64ADA">
        <w:rPr>
          <w:rStyle w:val="libFootnoteAlaemChar"/>
          <w:rtl/>
        </w:rPr>
        <w:t>صلى‌الله‌عليه‌وآله</w:t>
      </w:r>
      <w:r w:rsidR="00B42914" w:rsidRPr="00B42914">
        <w:rPr>
          <w:rStyle w:val="libAlaemChar"/>
          <w:rtl/>
        </w:rPr>
        <w:t>‌</w:t>
      </w:r>
      <w:r w:rsidR="00F02D04">
        <w:rPr>
          <w:rtl/>
        </w:rPr>
        <w:t xml:space="preserve"> ، ولم</w:t>
      </w:r>
      <w:r w:rsidR="00F02D04">
        <w:rPr>
          <w:rFonts w:hint="cs"/>
          <w:rtl/>
        </w:rPr>
        <w:t>ـّ</w:t>
      </w:r>
      <w:r w:rsidR="00992664" w:rsidRPr="00020424">
        <w:rPr>
          <w:rtl/>
        </w:rPr>
        <w:t xml:space="preserve">ا كان مقدار الأوقية في زمان أبي عبدالله </w:t>
      </w:r>
      <w:r w:rsidR="00992664" w:rsidRPr="00D64ADA">
        <w:rPr>
          <w:rStyle w:val="libFootnoteAlaemChar"/>
          <w:rtl/>
        </w:rPr>
        <w:t>عليه‌السلام</w:t>
      </w:r>
      <w:r w:rsidR="00992664" w:rsidRPr="00020424">
        <w:rPr>
          <w:rtl/>
        </w:rPr>
        <w:t xml:space="preserve"> ستّة وخمسين درهماً باعتبار التغيير الواقع في وزن الدرهم ، كان مقدار كلّ خمس أواقي مائتين وثمانين درهماً ، فصارت الزكاة فيها سبعة دراهم ، وهذا سبب صيرورة الخمسة الدراهم في الزكاة السبعة ، وهو المراد بقوله </w:t>
      </w:r>
      <w:r w:rsidR="00992664" w:rsidRPr="00D64ADA">
        <w:rPr>
          <w:rStyle w:val="libFootnoteAlaemChar"/>
          <w:rtl/>
        </w:rPr>
        <w:t>عليه‌السلام</w:t>
      </w:r>
      <w:r w:rsidR="00992664" w:rsidRPr="00020424">
        <w:rPr>
          <w:rtl/>
        </w:rPr>
        <w:t xml:space="preserve"> : فإذا حسبت ذلك ، إلى آخره.</w:t>
      </w:r>
    </w:p>
    <w:p w:rsidR="00992664" w:rsidRDefault="00992664" w:rsidP="00B03CD5">
      <w:pPr>
        <w:pStyle w:val="libFootnote0"/>
        <w:rPr>
          <w:rtl/>
        </w:rPr>
      </w:pPr>
      <w:r w:rsidRPr="00B03CD5">
        <w:rPr>
          <w:rtl/>
        </w:rPr>
        <w:t xml:space="preserve">وقوله : وقد كانت وزن ستّة ، إلى آخره ، لعلّ معناه أنّ التي ذكرها </w:t>
      </w:r>
      <w:r w:rsidRPr="00D64ADA">
        <w:rPr>
          <w:rStyle w:val="libFootnoteAlaemChar"/>
          <w:rtl/>
        </w:rPr>
        <w:t>عليه‌السلام</w:t>
      </w:r>
      <w:r w:rsidRPr="00B03CD5">
        <w:rPr>
          <w:rtl/>
        </w:rPr>
        <w:t xml:space="preserve"> من السبعة ليست أوّل تغيير وقع فيها ، بل كان قبل ذلك ستّة ؛ يعني جعلوا الخمسة الدراهم في الزكاة ستّة دراهم ، وزكّوا أموالهم في كلّ مأتين وأربعين درهماً ، ستّة دراهم ، فظهر من هذا البيان أنّ الناس نقصوا من الدراهم الذي كان في زمن رسول الله </w:t>
      </w:r>
      <w:r w:rsidR="00D64ADA" w:rsidRPr="00D64ADA">
        <w:rPr>
          <w:rStyle w:val="libFootnoteAlaemChar"/>
          <w:rtl/>
        </w:rPr>
        <w:t>صلى‌الله‌عليه‌وآله</w:t>
      </w:r>
      <w:r w:rsidR="00B42914" w:rsidRPr="00B42914">
        <w:rPr>
          <w:rStyle w:val="libAlaemChar"/>
          <w:rtl/>
        </w:rPr>
        <w:t>‌</w:t>
      </w:r>
      <w:r w:rsidRPr="00B03CD5">
        <w:rPr>
          <w:rtl/>
        </w:rPr>
        <w:t xml:space="preserve"> سدسه ، ولذا صارت الزكاة في كلّ مائتين وأربعين درهماً ، ستّة دراهم ، ثمّ بعد ذلك نقصوا من ذلك الدرهم سبعه ، ولذا صارت في كلّ مائتين وثمانين درهماً سبعة دراهم ، وهذا هو المراد بقول الراوي : فحسبناه فوجدناه كما قال أبو عبدالله </w:t>
      </w:r>
      <w:r w:rsidRPr="00D64ADA">
        <w:rPr>
          <w:rStyle w:val="libFootnoteAlaemChar"/>
          <w:rtl/>
        </w:rPr>
        <w:t>عليه‌السلام</w:t>
      </w:r>
      <w:r w:rsidRPr="00B03CD5">
        <w:rPr>
          <w:rtl/>
        </w:rPr>
        <w:t xml:space="preserve"> ، فحاصل جوابه </w:t>
      </w:r>
      <w:r w:rsidRPr="00D64ADA">
        <w:rPr>
          <w:rStyle w:val="libFootnoteAlaemChar"/>
          <w:rtl/>
        </w:rPr>
        <w:t>عليه‌السلام</w:t>
      </w:r>
      <w:r w:rsidRPr="00B03CD5">
        <w:rPr>
          <w:rtl/>
        </w:rPr>
        <w:t xml:space="preserve"> أنّ مدار الزكاة على القدر الذي وضعه النّبي الا</w:t>
      </w:r>
      <w:r w:rsidR="001D6A0C">
        <w:rPr>
          <w:rFonts w:hint="cs"/>
          <w:rtl/>
        </w:rPr>
        <w:t>ُ</w:t>
      </w:r>
      <w:r w:rsidRPr="00B03CD5">
        <w:rPr>
          <w:rtl/>
        </w:rPr>
        <w:t>مّي ، ثمّ إذا وقع التغيير في الدراهم والدنانير مثلاً في كلّ زمان ، فحسبا بالنسبة إلى ذلك القدر ، وا</w:t>
      </w:r>
      <w:r w:rsidR="00412042">
        <w:rPr>
          <w:rFonts w:hint="cs"/>
          <w:rtl/>
        </w:rPr>
        <w:t>ُ</w:t>
      </w:r>
      <w:r w:rsidRPr="00B03CD5">
        <w:rPr>
          <w:rtl/>
        </w:rPr>
        <w:t xml:space="preserve">لغي اعتبار العدد فيهما ، والمفيد دام ظلّه باهى في حلّه وتلاقو له تعالى : </w:t>
      </w:r>
      <w:r w:rsidRPr="002B7FE7">
        <w:rPr>
          <w:rStyle w:val="libFootnoteAlaemChar"/>
          <w:rtl/>
        </w:rPr>
        <w:t>(</w:t>
      </w:r>
      <w:r w:rsidRPr="00B03CD5">
        <w:rPr>
          <w:rFonts w:hint="cs"/>
          <w:rtl/>
        </w:rPr>
        <w:t xml:space="preserve"> </w:t>
      </w:r>
      <w:r w:rsidRPr="002B7FE7">
        <w:rPr>
          <w:rStyle w:val="libFootnoteAieChar"/>
          <w:rtl/>
        </w:rPr>
        <w:t xml:space="preserve">ذلِكَ فَضْلُ اللهِ يُؤْتِيهِ مَنْ يَشاءُ </w:t>
      </w:r>
      <w:r w:rsidRPr="002B7FE7">
        <w:rPr>
          <w:rStyle w:val="libFootnoteAlaemChar"/>
          <w:rtl/>
        </w:rPr>
        <w:t>)</w:t>
      </w:r>
      <w:r w:rsidRPr="00B03CD5">
        <w:rPr>
          <w:rtl/>
        </w:rPr>
        <w:t xml:space="preserve"> [ المائده </w:t>
      </w:r>
      <w:r w:rsidR="00795177" w:rsidRPr="00B03CD5">
        <w:rPr>
          <w:rtl/>
        </w:rPr>
        <w:t>(5).</w:t>
      </w:r>
      <w:r w:rsidR="0014403D" w:rsidRPr="00B03CD5">
        <w:rPr>
          <w:rtl/>
        </w:rPr>
        <w:t xml:space="preserve"> </w:t>
      </w:r>
      <w:r w:rsidRPr="00B03CD5">
        <w:rPr>
          <w:rtl/>
        </w:rPr>
        <w:t>54 ؛ الحديد (57) : 21 ؛ الجمعة (62) : 4 ] انتهى ، أقول : لايقال : كما غيّرت الدراهم غيّرت النصب ؛ لان الظاهر النصب بالوزن والدراهم بالعدد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3E6EDD">
        <w:rPr>
          <w:rtl/>
        </w:rPr>
        <w:t>والوافي والوسائل والبحار</w:t>
      </w:r>
      <w:r w:rsidR="00992664" w:rsidRPr="00020424">
        <w:rPr>
          <w:rtl/>
        </w:rPr>
        <w:t>. وفي المطبوع : « وكانت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 + « وزن</w:t>
      </w:r>
      <w:r w:rsidR="00992664">
        <w:rPr>
          <w:rtl/>
        </w:rPr>
        <w:t xml:space="preserve"> ».</w:t>
      </w:r>
    </w:p>
    <w:p w:rsidR="00992664" w:rsidRPr="00020424" w:rsidRDefault="00795177" w:rsidP="002B7FE7">
      <w:pPr>
        <w:pStyle w:val="libFootnote0"/>
        <w:rPr>
          <w:rtl/>
          <w:lang w:bidi="fa-IR"/>
        </w:rPr>
      </w:pPr>
      <w:r>
        <w:rPr>
          <w:rtl/>
        </w:rPr>
        <w:t>(4).</w:t>
      </w:r>
      <w:r w:rsidR="0014403D">
        <w:rPr>
          <w:rtl/>
        </w:rPr>
        <w:t xml:space="preserve"> </w:t>
      </w:r>
      <w:r w:rsidR="00992664" w:rsidRPr="00020424">
        <w:rPr>
          <w:rtl/>
        </w:rPr>
        <w:t>« دَوانيق » : جمع دانق ، وهو</w:t>
      </w:r>
      <w:r w:rsidR="00992664">
        <w:rPr>
          <w:rtl/>
        </w:rPr>
        <w:t xml:space="preserve"> </w:t>
      </w:r>
      <w:r w:rsidR="009B673F">
        <w:rPr>
          <w:rtl/>
        </w:rPr>
        <w:t>-</w:t>
      </w:r>
      <w:r w:rsidR="00992664">
        <w:rPr>
          <w:rtl/>
        </w:rPr>
        <w:t xml:space="preserve"> </w:t>
      </w:r>
      <w:r w:rsidR="00992664" w:rsidRPr="00020424">
        <w:rPr>
          <w:rtl/>
        </w:rPr>
        <w:t>بكسر النون وفتحها</w:t>
      </w:r>
      <w:r w:rsidR="00992664">
        <w:rPr>
          <w:rtl/>
        </w:rPr>
        <w:t xml:space="preserve"> </w:t>
      </w:r>
      <w:r w:rsidR="009B673F">
        <w:rPr>
          <w:rtl/>
        </w:rPr>
        <w:t>-</w:t>
      </w:r>
      <w:r w:rsidR="00992664">
        <w:rPr>
          <w:rtl/>
        </w:rPr>
        <w:t xml:space="preserve"> </w:t>
      </w:r>
      <w:r w:rsidR="00992664" w:rsidRPr="00020424">
        <w:rPr>
          <w:rtl/>
        </w:rPr>
        <w:t>سدس الدرهم والدينار ، وقال الفيّومي : « الدانق : معرّب وهو سدس دره</w:t>
      </w:r>
      <w:r w:rsidR="002B7FE7">
        <w:rPr>
          <w:rtl/>
        </w:rPr>
        <w:t>م ، وهو عند اليونان حبّتا خ</w:t>
      </w:r>
      <w:r w:rsidR="002B7FE7">
        <w:rPr>
          <w:rFonts w:hint="cs"/>
          <w:rtl/>
        </w:rPr>
        <w:t>ِّ</w:t>
      </w:r>
      <w:r w:rsidR="00992664" w:rsidRPr="00020424">
        <w:rPr>
          <w:rtl/>
        </w:rPr>
        <w:t>رنُوب ؛ لأنّ الدرهم عندهم اثنتا عشرة حبّة خرنوب ، والدانق الإسلامي حبّتا خرنوب وثلثا حبّة خرنوب ؛ فإنّ الدرهم الإسلامي ستّ عشرة حبّة خرنوب</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10 ، ص 105 ؛ </w:t>
      </w:r>
      <w:r w:rsidR="00992664" w:rsidRPr="00A722B1">
        <w:rPr>
          <w:rStyle w:val="libFootnoteBoldChar"/>
          <w:rtl/>
        </w:rPr>
        <w:t>المصباح</w:t>
      </w:r>
      <w:r w:rsidR="002B7FE7" w:rsidRPr="00A722B1">
        <w:rPr>
          <w:rStyle w:val="libFootnoteBoldChar"/>
          <w:rFonts w:hint="cs"/>
          <w:rtl/>
        </w:rPr>
        <w:t xml:space="preserve"> </w:t>
      </w:r>
      <w:r w:rsidR="00992664" w:rsidRPr="00A722B1">
        <w:rPr>
          <w:rStyle w:val="libFootnoteBoldChar"/>
          <w:rtl/>
        </w:rPr>
        <w:t>المنير</w:t>
      </w:r>
      <w:r w:rsidR="00992664" w:rsidRPr="00020424">
        <w:rPr>
          <w:rtl/>
        </w:rPr>
        <w:t xml:space="preserve"> ، ص 201 ( دنق )</w:t>
      </w:r>
      <w:r w:rsidR="00992664">
        <w:rPr>
          <w:rtl/>
        </w:rPr>
        <w:t>.</w:t>
      </w:r>
      <w:r w:rsidR="00992664" w:rsidRPr="00020424">
        <w:rPr>
          <w:rtl/>
        </w:rPr>
        <w:t xml:space="preserve"> هذا ، وإن أردت تحقيق ذلك فراجع : </w:t>
      </w:r>
      <w:r w:rsidR="00992664" w:rsidRPr="001F4C1F">
        <w:rPr>
          <w:rtl/>
        </w:rPr>
        <w:t>جواهر الكلام</w:t>
      </w:r>
      <w:r w:rsidR="00992664" w:rsidRPr="00020424">
        <w:rPr>
          <w:rtl/>
        </w:rPr>
        <w:t xml:space="preserve"> ، ج 15 ، ص 174</w:t>
      </w:r>
      <w:r w:rsidR="00992664">
        <w:rPr>
          <w:rtl/>
        </w:rPr>
        <w:t xml:space="preserve"> </w:t>
      </w:r>
      <w:r w:rsidR="009B673F">
        <w:rPr>
          <w:rtl/>
        </w:rPr>
        <w:t>-</w:t>
      </w:r>
      <w:r w:rsidR="00992664">
        <w:rPr>
          <w:rtl/>
        </w:rPr>
        <w:t xml:space="preserve"> </w:t>
      </w:r>
      <w:r w:rsidR="00992664" w:rsidRPr="00020424">
        <w:rPr>
          <w:rtl/>
        </w:rPr>
        <w:t>179.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قَالَ : « قَرَأْتُ فِي كِتَابِ أُمِّكَ فَاطِمَةَ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ثُمَّ انْصَرَفَ ، فَبَعَثَ إِلَيْهِ مُحَمَّدُ بْنُ خَالِدٍ : ابْعَثْ إِلَيَّ بِكِتَابِ فَاطِمَةَ </w:t>
      </w:r>
      <w:r w:rsidRPr="00005A81">
        <w:rPr>
          <w:rStyle w:val="libAlaemChar"/>
          <w:rtl/>
        </w:rPr>
        <w:t>عليها‌السلام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فَأَرْسَلَ إِلَيْهِ أَبُو عَبْدِ اللهِ </w:t>
      </w:r>
      <w:r w:rsidRPr="00005A81">
        <w:rPr>
          <w:rStyle w:val="libAlaemChar"/>
          <w:rtl/>
        </w:rPr>
        <w:t>عليه‌السلام</w:t>
      </w:r>
      <w:r w:rsidRPr="00020424">
        <w:rPr>
          <w:rtl/>
          <w:lang w:bidi="fa-IR"/>
        </w:rPr>
        <w:t xml:space="preserve"> : « إِنِّي إِنَّمَا أَخْبَرْتُكَ أَنِّي قَرَأْتُهُ ، وَلَمْ أُخْبِرْكَ أَنَّهُ عِنْدِي</w:t>
      </w:r>
      <w:r>
        <w:rPr>
          <w:rtl/>
          <w:lang w:bidi="fa-IR"/>
        </w:rPr>
        <w:t xml:space="preserve"> ».</w:t>
      </w:r>
    </w:p>
    <w:p w:rsidR="00992664" w:rsidRDefault="00992664" w:rsidP="00992664">
      <w:pPr>
        <w:pStyle w:val="libNormal"/>
        <w:rPr>
          <w:rtl/>
          <w:lang w:bidi="fa-IR"/>
        </w:rPr>
      </w:pPr>
      <w:r w:rsidRPr="00020424">
        <w:rPr>
          <w:rtl/>
          <w:lang w:bidi="fa-IR"/>
        </w:rPr>
        <w:t xml:space="preserve">قَالَ حَبِيبٌ : فَجَعَلَ مُحَمَّدُ بْنُ خَالِدٍ يَقُولُ لِي : مَا </w:t>
      </w:r>
      <w:r w:rsidRPr="00A91B96">
        <w:rPr>
          <w:rStyle w:val="libFootnotenumChar"/>
          <w:rtl/>
        </w:rPr>
        <w:t>(1)</w:t>
      </w:r>
      <w:r w:rsidRPr="00020424">
        <w:rPr>
          <w:rtl/>
          <w:lang w:bidi="fa-IR"/>
        </w:rPr>
        <w:t xml:space="preserve"> رَأَيْتُ مِثْلَ هذَا قَطُّ. </w:t>
      </w:r>
      <w:r w:rsidRPr="00A91B96">
        <w:rPr>
          <w:rStyle w:val="libFootnotenumChar"/>
          <w:rtl/>
        </w:rPr>
        <w:t>(2)</w:t>
      </w:r>
    </w:p>
    <w:p w:rsidR="00992664" w:rsidRPr="00020424" w:rsidRDefault="00992664" w:rsidP="00992664">
      <w:pPr>
        <w:pStyle w:val="libNormal"/>
        <w:rPr>
          <w:rtl/>
          <w:lang w:bidi="fa-IR"/>
        </w:rPr>
      </w:pPr>
      <w:r w:rsidRPr="001F4C1F">
        <w:rPr>
          <w:rtl/>
        </w:rPr>
        <w:t>5765</w:t>
      </w:r>
      <w:r w:rsidRPr="001155DE">
        <w:rPr>
          <w:rStyle w:val="libBold2Char"/>
          <w:rtl/>
        </w:rPr>
        <w:t xml:space="preserve"> / 3.</w:t>
      </w:r>
      <w:r w:rsidRPr="00020424">
        <w:rPr>
          <w:rtl/>
          <w:lang w:bidi="fa-IR"/>
        </w:rPr>
        <w:t xml:space="preserve"> أَحْمَدُ بْنُ إِدْرِيسَ وَغَيْرُهُ ، عَنْ مُحَمَّدِ بْنِ أَحْمَدَ ، عَنْ إِبْرَاهِيمَ بْنِ مُحَمَّدٍ </w:t>
      </w:r>
      <w:r w:rsidRPr="00A91B96">
        <w:rPr>
          <w:rStyle w:val="libFootnotenumChar"/>
          <w:rtl/>
        </w:rPr>
        <w:t>(3)</w:t>
      </w:r>
      <w:r w:rsidRPr="00020424">
        <w:rPr>
          <w:rtl/>
          <w:lang w:bidi="fa-IR"/>
        </w:rPr>
        <w:t xml:space="preserve"> ، عَنْ مُحَمَّدِ بْنِ حَفْصٍ ، عَنْ صَبَّاحٍ الْحَذَّاءِ ، عَنْ قُثَمَ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w:t>
      </w:r>
      <w:r w:rsidRPr="00A91B96">
        <w:rPr>
          <w:rStyle w:val="libFootnotenumChar"/>
          <w:rtl/>
        </w:rPr>
        <w:t>(4)</w:t>
      </w:r>
      <w:r w:rsidRPr="00020424">
        <w:rPr>
          <w:rtl/>
          <w:lang w:bidi="fa-IR"/>
        </w:rPr>
        <w:t xml:space="preserve"> : جُعِلْتُ فِدَاكَ ، أَخْبِرْنِي عَنِ الزَّكَاةِ كَيْفَ صَارَتْ مِنْ كُلِّ أَلْفٍ </w:t>
      </w:r>
      <w:r w:rsidRPr="00A91B96">
        <w:rPr>
          <w:rStyle w:val="libFootnotenumChar"/>
          <w:rtl/>
        </w:rPr>
        <w:t>(5)</w:t>
      </w:r>
      <w:r w:rsidRPr="00020424">
        <w:rPr>
          <w:rtl/>
          <w:lang w:bidi="fa-IR"/>
        </w:rPr>
        <w:t xml:space="preserve"> خَمْسَةً وَعِشْرِينَ لَمْ تَكُنْ </w:t>
      </w:r>
      <w:r w:rsidRPr="00A91B96">
        <w:rPr>
          <w:rStyle w:val="libFootnotenumChar"/>
          <w:rtl/>
        </w:rPr>
        <w:t>(6)</w:t>
      </w:r>
      <w:r w:rsidRPr="00020424">
        <w:rPr>
          <w:rtl/>
          <w:lang w:bidi="fa-IR"/>
        </w:rPr>
        <w:t xml:space="preserve"> أَقَلَّ أَوْ أَكْثَرَ</w:t>
      </w:r>
      <w:r>
        <w:rPr>
          <w:rtl/>
          <w:lang w:bidi="fa-IR"/>
        </w:rPr>
        <w:t>؟</w:t>
      </w:r>
      <w:r w:rsidRPr="00020424">
        <w:rPr>
          <w:rtl/>
          <w:lang w:bidi="fa-IR"/>
        </w:rPr>
        <w:t xml:space="preserve"> مَا وَجْهُهَا</w:t>
      </w:r>
      <w:r>
        <w:rPr>
          <w:rtl/>
          <w:lang w:bidi="fa-IR"/>
        </w:rPr>
        <w:t>؟</w:t>
      </w:r>
    </w:p>
    <w:p w:rsidR="00992664" w:rsidRPr="00020424" w:rsidRDefault="00992664" w:rsidP="00992664">
      <w:pPr>
        <w:pStyle w:val="libNormal"/>
        <w:rPr>
          <w:rtl/>
          <w:lang w:bidi="fa-IR"/>
        </w:rPr>
      </w:pPr>
      <w:r w:rsidRPr="00020424">
        <w:rPr>
          <w:rtl/>
          <w:lang w:bidi="fa-IR"/>
        </w:rPr>
        <w:t>فَقَالَ : « إِنَّ اللهَ</w:t>
      </w:r>
      <w:r>
        <w:rPr>
          <w:rtl/>
          <w:lang w:bidi="fa-IR"/>
        </w:rPr>
        <w:t xml:space="preserve"> </w:t>
      </w:r>
      <w:r w:rsidR="009B673F">
        <w:rPr>
          <w:rtl/>
          <w:lang w:bidi="fa-IR"/>
        </w:rPr>
        <w:t>-</w:t>
      </w:r>
      <w:r>
        <w:rPr>
          <w:rtl/>
          <w:lang w:bidi="fa-IR"/>
        </w:rPr>
        <w:t xml:space="preserve"> </w:t>
      </w:r>
      <w:r w:rsidRPr="00020424">
        <w:rPr>
          <w:rtl/>
          <w:lang w:bidi="fa-IR"/>
        </w:rPr>
        <w:t>عَزَّ وَ</w:t>
      </w:r>
      <w:r w:rsidR="00C7796E">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خَلَقَ الْخَلْقَ كُلَّهُمْ ، فَعَلِمَ صَغِيرَهُمْ وَكَبِيرَهُمْ ، وَغَنِيَّهُمْ وَفَقِيرَهُمْ ، فَجَعَلَ مِنْ كُلِّ أَلْفِ إِنْسَانٍ خَمْسَةً وَعِشْرِينَ مِسْكِيناً </w:t>
      </w:r>
      <w:r w:rsidRPr="00A91B96">
        <w:rPr>
          <w:rStyle w:val="libFootnotenumChar"/>
          <w:rtl/>
        </w:rPr>
        <w:t>(7)</w:t>
      </w:r>
      <w:r w:rsidRPr="00020424">
        <w:rPr>
          <w:rtl/>
          <w:lang w:bidi="fa-IR"/>
        </w:rPr>
        <w:t xml:space="preserve"> ، وَلَوْ عَلِمَ أَنَّ ذلِكَ لَا يَسَعُهُمْ لَزَادَهُمْ ؛ لِأَنَّهُ خَالِقُهُمْ وَهُوَ أَعْلَمُ بِهِمْ</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بح ، بخ ، بس ، جن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F4C1F">
        <w:rPr>
          <w:rtl/>
        </w:rPr>
        <w:t>علل الشرائع</w:t>
      </w:r>
      <w:r w:rsidR="00992664" w:rsidRPr="00020424">
        <w:rPr>
          <w:rtl/>
        </w:rPr>
        <w:t xml:space="preserve"> ، ص 373 ، ح 1 ، بسنده عن سلمة بن خطّاب ، عن الحسين بن راشد ، مع اختلاف يسير </w:t>
      </w:r>
      <w:r w:rsidR="00FE0882">
        <w:rPr>
          <w:rFonts w:hint="cs"/>
          <w:rtl/>
        </w:rPr>
        <w:t>.</w:t>
      </w:r>
      <w:r w:rsidR="00992664" w:rsidRPr="0012008A">
        <w:rPr>
          <w:rStyle w:val="libFootnoteBoldChar"/>
          <w:rtl/>
        </w:rPr>
        <w:t>الوافي</w:t>
      </w:r>
      <w:r w:rsidR="00992664" w:rsidRPr="00020424">
        <w:rPr>
          <w:rtl/>
        </w:rPr>
        <w:t xml:space="preserve"> ، ج 10 ، ص 225 ، ح 9486 ؛ </w:t>
      </w:r>
      <w:r w:rsidR="00992664" w:rsidRPr="0012008A">
        <w:rPr>
          <w:rStyle w:val="libFootnoteBoldChar"/>
          <w:rtl/>
        </w:rPr>
        <w:t>الوسائل</w:t>
      </w:r>
      <w:r w:rsidR="00992664" w:rsidRPr="00020424">
        <w:rPr>
          <w:rtl/>
        </w:rPr>
        <w:t xml:space="preserve"> ، ج 9 ، ص 149 ، ح 11717 ، ملخّصاً ؛ </w:t>
      </w:r>
      <w:r w:rsidR="00992664" w:rsidRPr="0012008A">
        <w:rPr>
          <w:rStyle w:val="libFootnoteBoldChar"/>
          <w:rtl/>
        </w:rPr>
        <w:t>البحار</w:t>
      </w:r>
      <w:r w:rsidR="00992664" w:rsidRPr="00020424">
        <w:rPr>
          <w:rtl/>
        </w:rPr>
        <w:t xml:space="preserve"> ، ج 47 ، ص 227 ، ح 17.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لم نجد رواية محمّد بن أحمد</w:t>
      </w:r>
      <w:r w:rsidR="00992664">
        <w:rPr>
          <w:rtl/>
        </w:rPr>
        <w:t xml:space="preserve"> </w:t>
      </w:r>
      <w:r w:rsidR="009B673F">
        <w:rPr>
          <w:rtl/>
        </w:rPr>
        <w:t>-</w:t>
      </w:r>
      <w:r w:rsidR="00992664">
        <w:rPr>
          <w:rtl/>
        </w:rPr>
        <w:t xml:space="preserve"> </w:t>
      </w:r>
      <w:r w:rsidR="00992664" w:rsidRPr="00020424">
        <w:rPr>
          <w:rtl/>
        </w:rPr>
        <w:t>وهو محمّد بن أحمد بن يحيى</w:t>
      </w:r>
      <w:r w:rsidR="00992664">
        <w:rPr>
          <w:rtl/>
        </w:rPr>
        <w:t xml:space="preserve"> </w:t>
      </w:r>
      <w:r w:rsidR="009B673F">
        <w:rPr>
          <w:rtl/>
        </w:rPr>
        <w:t>-</w:t>
      </w:r>
      <w:r w:rsidR="00992664">
        <w:rPr>
          <w:rtl/>
        </w:rPr>
        <w:t xml:space="preserve"> </w:t>
      </w:r>
      <w:r w:rsidR="00992664" w:rsidRPr="00020424">
        <w:rPr>
          <w:rtl/>
        </w:rPr>
        <w:t xml:space="preserve">عن إبراهيم بن محمّد في غير هذا الخبر ، كمالم نجد رواية إبراهيم بن محمّد عن محمّد بن حفص. والخبر رواه البرقي في </w:t>
      </w:r>
      <w:r w:rsidR="00D64ADA" w:rsidRPr="00D64ADA">
        <w:rPr>
          <w:rStyle w:val="libFootnoteBoldChar"/>
          <w:rtl/>
        </w:rPr>
        <w:t>المحاسن</w:t>
      </w:r>
      <w:r w:rsidR="00992664" w:rsidRPr="00020424">
        <w:rPr>
          <w:rtl/>
        </w:rPr>
        <w:t xml:space="preserve"> ، ص 372 ، ح 80 ، عن إبراهيم بن هاشم عن محمّد بن حفص. وقد روى إبراهيم بن هاشم عن محمّد بن حفص في عدّة من الأسناد. راجع : </w:t>
      </w:r>
      <w:r w:rsidR="00992664" w:rsidRPr="001F4C1F">
        <w:rPr>
          <w:rtl/>
        </w:rPr>
        <w:t>معجم رجال الحديث</w:t>
      </w:r>
      <w:r w:rsidR="00992664" w:rsidRPr="00020424">
        <w:rPr>
          <w:rtl/>
        </w:rPr>
        <w:t xml:space="preserve"> ، ج 1 ، ص 537</w:t>
      </w:r>
      <w:r w:rsidR="00992664">
        <w:rPr>
          <w:rtl/>
        </w:rPr>
        <w:t xml:space="preserve"> </w:t>
      </w:r>
      <w:r w:rsidR="009B673F">
        <w:rPr>
          <w:rtl/>
        </w:rPr>
        <w:t>-</w:t>
      </w:r>
      <w:r w:rsidR="00992664">
        <w:rPr>
          <w:rtl/>
        </w:rPr>
        <w:t xml:space="preserve"> </w:t>
      </w:r>
      <w:r w:rsidR="00992664" w:rsidRPr="00020424">
        <w:rPr>
          <w:rtl/>
        </w:rPr>
        <w:t>538.</w:t>
      </w:r>
    </w:p>
    <w:p w:rsidR="00992664" w:rsidRPr="00020424" w:rsidRDefault="00992664" w:rsidP="00591938">
      <w:pPr>
        <w:pStyle w:val="libFootnote0"/>
        <w:rPr>
          <w:rtl/>
          <w:lang w:bidi="fa-IR"/>
        </w:rPr>
      </w:pPr>
      <w:r w:rsidRPr="00591938">
        <w:rPr>
          <w:rtl/>
        </w:rPr>
        <w:t xml:space="preserve">والظاهر أنّ « إبراهيم بن محمّد » في ما نحن فيه مصحّف من « إبراهيم بن هاشم » وقد تكرّرت رواية محمّد بن أحمد [ بن يحيى ] عن إبراهيم بن هاشم. راجع : </w:t>
      </w:r>
      <w:r w:rsidRPr="001F4C1F">
        <w:rPr>
          <w:rtl/>
        </w:rPr>
        <w:t>معجم رجال الحديث</w:t>
      </w:r>
      <w:r w:rsidRPr="00591938">
        <w:rPr>
          <w:rtl/>
        </w:rPr>
        <w:t xml:space="preserve"> ، ج 1 ، ص 437 </w:t>
      </w:r>
      <w:r w:rsidR="009B673F" w:rsidRPr="00591938">
        <w:rPr>
          <w:rtl/>
        </w:rPr>
        <w:t>-</w:t>
      </w:r>
      <w:r w:rsidRPr="00591938">
        <w:rPr>
          <w:rtl/>
        </w:rPr>
        <w:t xml:space="preserve"> 438 ؛ وج 15 ، ص 312 </w:t>
      </w:r>
      <w:r w:rsidR="009B673F" w:rsidRPr="00591938">
        <w:rPr>
          <w:rtl/>
        </w:rPr>
        <w:t>-</w:t>
      </w:r>
      <w:r w:rsidRPr="00591938">
        <w:rPr>
          <w:rtl/>
        </w:rPr>
        <w:t xml:space="preserve"> 313.</w:t>
      </w:r>
      <w:r w:rsidR="00591938">
        <w:rPr>
          <w:rFonts w:hint="cs"/>
          <w:rtl/>
        </w:rPr>
        <w:t xml:space="preserve">                                                           </w:t>
      </w:r>
      <w:r w:rsidR="00795177">
        <w:rPr>
          <w:rtl/>
        </w:rPr>
        <w:t>(4).</w:t>
      </w:r>
      <w:r w:rsidR="0014403D">
        <w:rPr>
          <w:rtl/>
        </w:rPr>
        <w:t xml:space="preserve"> </w:t>
      </w:r>
      <w:r w:rsidRPr="00020424">
        <w:rPr>
          <w:rtl/>
        </w:rPr>
        <w:t>في « بر ، بف » :</w:t>
      </w:r>
      <w:r>
        <w:rPr>
          <w:rtl/>
        </w:rPr>
        <w:t xml:space="preserve"> </w:t>
      </w:r>
      <w:r w:rsidR="009B673F">
        <w:rPr>
          <w:rtl/>
        </w:rPr>
        <w:t>-</w:t>
      </w:r>
      <w:r>
        <w:rPr>
          <w:rtl/>
        </w:rPr>
        <w:t xml:space="preserve"> </w:t>
      </w:r>
      <w:r w:rsidRPr="00020424">
        <w:rPr>
          <w:rtl/>
        </w:rPr>
        <w:t>« له</w:t>
      </w:r>
      <w:r>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العلل : + « درهم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بث ، بر ، بس ، جن » </w:t>
      </w:r>
      <w:r w:rsidR="00992664" w:rsidRPr="00515444">
        <w:rPr>
          <w:rStyle w:val="libFootnoteBoldChar"/>
          <w:rtl/>
        </w:rPr>
        <w:t>والوافي</w:t>
      </w:r>
      <w:r w:rsidR="00992664" w:rsidRPr="00020424">
        <w:rPr>
          <w:rtl/>
        </w:rPr>
        <w:t xml:space="preserve"> و</w:t>
      </w:r>
      <w:r w:rsidR="00D64ADA" w:rsidRPr="00D64ADA">
        <w:rPr>
          <w:rStyle w:val="libFootnoteBoldChar"/>
          <w:rtl/>
        </w:rPr>
        <w:t>المحاسن</w:t>
      </w:r>
      <w:r w:rsidR="00992664" w:rsidRPr="00020424">
        <w:rPr>
          <w:rtl/>
        </w:rPr>
        <w:t xml:space="preserve"> والعلل : « لم يكن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بر » وحاشية « بث ، بس ، جن » </w:t>
      </w:r>
      <w:r w:rsidR="00992664" w:rsidRPr="00EB1FD9">
        <w:rPr>
          <w:rStyle w:val="libFootnoteBoldChar"/>
          <w:rtl/>
        </w:rPr>
        <w:t>والوسائل</w:t>
      </w:r>
      <w:r w:rsidR="00992664" w:rsidRPr="00020424">
        <w:rPr>
          <w:rtl/>
        </w:rPr>
        <w:t xml:space="preserve"> : « فقيراً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D64ADA" w:rsidRPr="00D64ADA">
        <w:rPr>
          <w:rStyle w:val="libFootnoteBoldChar"/>
          <w:rtl/>
        </w:rPr>
        <w:t>المحاسن</w:t>
      </w:r>
      <w:r w:rsidR="00992664" w:rsidRPr="00020424">
        <w:rPr>
          <w:rtl/>
        </w:rPr>
        <w:t xml:space="preserve"> ، ص 227 ، كتاب العلل ، ح 80 ، عن إبراهيم بن هاشم ، عن محمّد بن حفص. </w:t>
      </w:r>
      <w:r w:rsidR="00992664" w:rsidRPr="001F4C1F">
        <w:rPr>
          <w:rtl/>
        </w:rPr>
        <w:t>علل الشرائع</w:t>
      </w:r>
      <w:r w:rsidR="00992664" w:rsidRPr="00020424">
        <w:rPr>
          <w:rtl/>
        </w:rPr>
        <w:t xml:space="preserve"> ، </w:t>
      </w:r>
      <w:r w:rsidR="00247D1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1F4C1F">
        <w:rPr>
          <w:rtl/>
        </w:rPr>
        <w:lastRenderedPageBreak/>
        <w:t>5766</w:t>
      </w:r>
      <w:r w:rsidRPr="001155DE">
        <w:rPr>
          <w:rStyle w:val="libBold2Char"/>
          <w:rtl/>
        </w:rPr>
        <w:t xml:space="preserve"> / 4.</w:t>
      </w:r>
      <w:r w:rsidRPr="00020424">
        <w:rPr>
          <w:rtl/>
          <w:lang w:bidi="fa-IR"/>
        </w:rPr>
        <w:t xml:space="preserve"> عَلِيُّ بْنُ إِبْرَاهِيمَ </w:t>
      </w:r>
      <w:r w:rsidRPr="00A91B96">
        <w:rPr>
          <w:rStyle w:val="libFootnotenumChar"/>
          <w:rtl/>
        </w:rPr>
        <w:t>(1)</w:t>
      </w:r>
      <w:r w:rsidRPr="00020424">
        <w:rPr>
          <w:rtl/>
          <w:lang w:bidi="fa-IR"/>
        </w:rPr>
        <w:t xml:space="preserve"> ، عَنْ مُحَمَّدِ بْنِ عِيسَى بْنِ عُبَيْدٍ ، عَنْ يُونُسَ ، عَنْ أَبِي جَعْفَرٍ الْأَحْوَلِ ، قَالَ :</w:t>
      </w:r>
    </w:p>
    <w:p w:rsidR="00992664" w:rsidRPr="00020424" w:rsidRDefault="00992664" w:rsidP="00992664">
      <w:pPr>
        <w:pStyle w:val="libNormal"/>
        <w:rPr>
          <w:rtl/>
          <w:lang w:bidi="fa-IR"/>
        </w:rPr>
      </w:pPr>
      <w:r w:rsidRPr="00020424">
        <w:rPr>
          <w:rtl/>
          <w:lang w:bidi="fa-IR"/>
        </w:rPr>
        <w:t xml:space="preserve">سَأَلَنِي رَجُلٌ مِنَ الزَّنَادِقَةِ </w:t>
      </w:r>
      <w:r w:rsidRPr="00A91B96">
        <w:rPr>
          <w:rStyle w:val="libFootnotenumChar"/>
          <w:rtl/>
        </w:rPr>
        <w:t>(2)</w:t>
      </w:r>
      <w:r w:rsidRPr="00020424">
        <w:rPr>
          <w:rtl/>
          <w:lang w:bidi="fa-IR"/>
        </w:rPr>
        <w:t xml:space="preserve"> ، فَقَالَ : كَيْفَ صَارَتِ الزَّكَاةُ مِنْ كُلِّ أَلْفٍ خَمْسَةً وَعِشْرِينَ دِرْهَماً</w:t>
      </w:r>
      <w:r>
        <w:rPr>
          <w:rtl/>
          <w:lang w:bidi="fa-IR"/>
        </w:rPr>
        <w:t>؟</w:t>
      </w:r>
    </w:p>
    <w:p w:rsidR="005D6FC3" w:rsidRDefault="00992664" w:rsidP="005D6FC3">
      <w:pPr>
        <w:pStyle w:val="libNormal"/>
        <w:rPr>
          <w:rtl/>
          <w:lang w:bidi="fa-IR"/>
        </w:rPr>
      </w:pPr>
      <w:r w:rsidRPr="00020424">
        <w:rPr>
          <w:rtl/>
          <w:lang w:bidi="fa-IR"/>
        </w:rPr>
        <w:t xml:space="preserve">فَقُلْتُ لَهُ : إِنَّمَا ذلِكَ مِثْلُ الصَّلَاةِ ثَلَاثٌ </w:t>
      </w:r>
      <w:r w:rsidRPr="00A91B96">
        <w:rPr>
          <w:rStyle w:val="libFootnotenumChar"/>
          <w:rtl/>
        </w:rPr>
        <w:t>(3)</w:t>
      </w:r>
      <w:r w:rsidRPr="00020424">
        <w:rPr>
          <w:rtl/>
          <w:lang w:bidi="fa-IR"/>
        </w:rPr>
        <w:t xml:space="preserve"> وَثِنْتَانِ </w:t>
      </w:r>
      <w:r w:rsidRPr="00A91B96">
        <w:rPr>
          <w:rStyle w:val="libFootnotenumChar"/>
          <w:rtl/>
        </w:rPr>
        <w:t>(4)</w:t>
      </w:r>
      <w:r w:rsidRPr="00020424">
        <w:rPr>
          <w:rtl/>
          <w:lang w:bidi="fa-IR"/>
        </w:rPr>
        <w:t xml:space="preserve"> وَأَرْبَعٌ ، قَالَ : فَقَبِلَ مِنِّي.</w:t>
      </w:r>
    </w:p>
    <w:p w:rsidR="00992664" w:rsidRPr="00020424" w:rsidRDefault="00992664" w:rsidP="005D6FC3">
      <w:pPr>
        <w:pStyle w:val="libNormal"/>
        <w:rPr>
          <w:rtl/>
          <w:lang w:bidi="fa-IR"/>
        </w:rPr>
      </w:pPr>
      <w:r w:rsidRPr="00020424">
        <w:rPr>
          <w:rtl/>
          <w:lang w:bidi="fa-IR"/>
        </w:rPr>
        <w:t xml:space="preserve">ثُمَّ لَقِيتُ بَعْدَ ذلِكَ أَبَا عَبْدِ اللهِ </w:t>
      </w:r>
      <w:r w:rsidRPr="00005A81">
        <w:rPr>
          <w:rStyle w:val="libAlaemChar"/>
          <w:rtl/>
        </w:rPr>
        <w:t>عليه‌السلام</w:t>
      </w:r>
      <w:r w:rsidRPr="00020424">
        <w:rPr>
          <w:rtl/>
          <w:lang w:bidi="fa-IR"/>
        </w:rPr>
        <w:t xml:space="preserve"> ، فَسَأَلْتُهُ عَنْ ذلِكَ ، فَقَالَ : « إِنَّ اللهَ</w:t>
      </w:r>
      <w:r>
        <w:rPr>
          <w:rtl/>
          <w:lang w:bidi="fa-IR"/>
        </w:rPr>
        <w:t xml:space="preserve"> </w:t>
      </w:r>
      <w:r w:rsidR="009B673F">
        <w:rPr>
          <w:rtl/>
          <w:lang w:bidi="fa-IR"/>
        </w:rPr>
        <w:t>-</w:t>
      </w:r>
      <w:r>
        <w:rPr>
          <w:rtl/>
          <w:lang w:bidi="fa-IR"/>
        </w:rPr>
        <w:t xml:space="preserve"> </w:t>
      </w:r>
      <w:r w:rsidRPr="00020424">
        <w:rPr>
          <w:rtl/>
          <w:lang w:bidi="fa-IR"/>
        </w:rPr>
        <w:t>عَزَّ وَ</w:t>
      </w:r>
      <w:r w:rsidR="005D6FC3">
        <w:rPr>
          <w:rFonts w:hint="cs"/>
          <w:rtl/>
          <w:lang w:bidi="fa-IR"/>
        </w:rPr>
        <w:t xml:space="preserve"> </w:t>
      </w:r>
      <w:r w:rsidRPr="00020424">
        <w:rPr>
          <w:rtl/>
          <w:lang w:bidi="fa-IR"/>
        </w:rPr>
        <w:t>جَلَّ</w:t>
      </w:r>
      <w:r>
        <w:rPr>
          <w:rtl/>
          <w:lang w:bidi="fa-IR"/>
        </w:rPr>
        <w:t xml:space="preserve"> </w:t>
      </w:r>
      <w:r w:rsidR="009B673F">
        <w:rPr>
          <w:rtl/>
          <w:lang w:bidi="fa-IR"/>
        </w:rPr>
        <w:t>-</w:t>
      </w:r>
      <w:r>
        <w:rPr>
          <w:rtl/>
          <w:lang w:bidi="fa-IR"/>
        </w:rPr>
        <w:t xml:space="preserve"> </w:t>
      </w:r>
      <w:r w:rsidRPr="00020424">
        <w:rPr>
          <w:rtl/>
          <w:lang w:bidi="fa-IR"/>
        </w:rPr>
        <w:t xml:space="preserve">حَسَبَ الْأَمْوَالَ وَالْمَسَاكِينَ ، فَوَجَدَ مَا يَكْفِيهِمْ مِنْ كُلِّ أَلْفٍ خَمْسَةً وَعِشْرِينَ </w:t>
      </w:r>
      <w:r w:rsidRPr="00A91B96">
        <w:rPr>
          <w:rStyle w:val="libFootnotenumChar"/>
          <w:rtl/>
        </w:rPr>
        <w:t>(5)</w:t>
      </w:r>
      <w:r w:rsidRPr="00020424">
        <w:rPr>
          <w:rtl/>
          <w:lang w:bidi="fa-IR"/>
        </w:rPr>
        <w:t xml:space="preserve"> ، وَلَوْ لَمْ يَكْفِهِمْ لَزَادَهُمْ</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فَرَجَعْتُ إِلَيْهِ ، فَأَخْبَرْتُهُ ، فَقَالَ : جَاءَتْ هذِهِ الْمَسْأَلَةُ عَلَى الْإِبِلِ مِنَ الْحِجَازِ ، ثُمَّ قَالَ : لَوْ أَنِّي أَعْطَيْتُ أَحَداً طَاعَةً ، لَأَعْطَيْتُ صَاحِبَ هذَا الْكَلَامِ. </w:t>
      </w:r>
      <w:r w:rsidRPr="00A91B96">
        <w:rPr>
          <w:rStyle w:val="libFootnotenumChar"/>
          <w:rtl/>
        </w:rPr>
        <w:t>(6)</w:t>
      </w:r>
    </w:p>
    <w:p w:rsidR="00992664" w:rsidRPr="00020424" w:rsidRDefault="00992664" w:rsidP="00992664">
      <w:pPr>
        <w:pStyle w:val="libLine"/>
        <w:rPr>
          <w:rtl/>
          <w:lang w:bidi="fa-IR"/>
        </w:rPr>
      </w:pPr>
      <w:r w:rsidRPr="00020424">
        <w:rPr>
          <w:rtl/>
          <w:lang w:bidi="fa-IR"/>
        </w:rPr>
        <w:t>__________________</w:t>
      </w:r>
    </w:p>
    <w:p w:rsidR="00992664" w:rsidRPr="00020424" w:rsidRDefault="00BD1D3D" w:rsidP="00992664">
      <w:pPr>
        <w:pStyle w:val="libFootnote0"/>
        <w:rPr>
          <w:rtl/>
          <w:lang w:bidi="fa-IR"/>
        </w:rPr>
      </w:pPr>
      <w:r>
        <w:rPr>
          <w:rFonts w:hint="cs"/>
          <w:rtl/>
        </w:rPr>
        <w:t xml:space="preserve">= </w:t>
      </w:r>
      <w:r w:rsidR="00992664" w:rsidRPr="00020424">
        <w:rPr>
          <w:rtl/>
        </w:rPr>
        <w:t xml:space="preserve">ص 369 ، ح 1 ، بسنده عن محمّد بن أحمد. </w:t>
      </w:r>
      <w:r w:rsidR="00992664" w:rsidRPr="0012008A">
        <w:rPr>
          <w:rStyle w:val="libFootnoteBoldChar"/>
          <w:rtl/>
        </w:rPr>
        <w:t>الفقيه</w:t>
      </w:r>
      <w:r w:rsidR="00992664" w:rsidRPr="00020424">
        <w:rPr>
          <w:rtl/>
        </w:rPr>
        <w:t xml:space="preserve"> ، ج 2 ، ص 9 ، ح 1582 ، مرسلاً ، وفي كلّ المصادر مع اختلاف يسير </w:t>
      </w:r>
      <w:r>
        <w:rPr>
          <w:rFonts w:hint="cs"/>
          <w:rtl/>
        </w:rPr>
        <w:t>.</w:t>
      </w:r>
      <w:r w:rsidR="00992664" w:rsidRPr="0012008A">
        <w:rPr>
          <w:rStyle w:val="libFootnoteBoldChar"/>
          <w:rtl/>
        </w:rPr>
        <w:t>الوافي</w:t>
      </w:r>
      <w:r w:rsidR="00992664" w:rsidRPr="00020424">
        <w:rPr>
          <w:rtl/>
        </w:rPr>
        <w:t xml:space="preserve"> ، ج 10 ، ص 49 ، ح 9129 ؛ </w:t>
      </w:r>
      <w:r w:rsidR="00992664" w:rsidRPr="0012008A">
        <w:rPr>
          <w:rStyle w:val="libFootnoteBoldChar"/>
          <w:rtl/>
        </w:rPr>
        <w:t>الوسائل</w:t>
      </w:r>
      <w:r w:rsidR="00992664" w:rsidRPr="00020424">
        <w:rPr>
          <w:rtl/>
        </w:rPr>
        <w:t xml:space="preserve"> ، ج 9 ، ص 147 ، ح 11714.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ى ، جن » وحاشية « ظ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وفي « ظ ، بث ، بح ، بخ ، بر ، بس ، بف » والمطبوع : + « عن‌أبيه</w:t>
      </w:r>
      <w:r w:rsidR="00992664">
        <w:rPr>
          <w:rtl/>
        </w:rPr>
        <w:t xml:space="preserve"> ».</w:t>
      </w:r>
      <w:r w:rsidR="00992664" w:rsidRPr="00020424">
        <w:rPr>
          <w:rtl/>
        </w:rPr>
        <w:t xml:space="preserve"> والصواب ما أثبتناه ، كما تقدّم ، ذيل ح 187 و4325 ، فلا حظ.</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الزنادقة » : جمع زنديق ، وهو من الثنويّة ، أو القائل ببقاء الدهر ، أو القائل بالنور والظلمة ، أو من لايؤمن‌بالآخرة وبالربوبيّة ، أو من يبطن الكفر ويظهر الإيمان ، ويقال عند العرب لكلّ ملحد ودهريّ. راجع : </w:t>
      </w:r>
      <w:r w:rsidR="00992664" w:rsidRPr="00A722B1">
        <w:rPr>
          <w:rStyle w:val="libFootnoteBoldChar"/>
          <w:rtl/>
        </w:rPr>
        <w:t>لسان العرب</w:t>
      </w:r>
      <w:r w:rsidR="00992664" w:rsidRPr="00020424">
        <w:rPr>
          <w:rtl/>
        </w:rPr>
        <w:t xml:space="preserve"> ، ج 10 ، ص 147 ؛ </w:t>
      </w:r>
      <w:r w:rsidR="00992664" w:rsidRPr="00A722B1">
        <w:rPr>
          <w:rStyle w:val="libFootnoteBoldChar"/>
          <w:rtl/>
        </w:rPr>
        <w:t>القاموس المحيط</w:t>
      </w:r>
      <w:r w:rsidR="00992664" w:rsidRPr="00020424">
        <w:rPr>
          <w:rtl/>
        </w:rPr>
        <w:t xml:space="preserve"> ، ج 2 ، ص 184 ( زندق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بح » : « ثلاثاً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جن » وحاشية « بر ، بف » </w:t>
      </w:r>
      <w:r w:rsidR="00992664" w:rsidRPr="00515444">
        <w:rPr>
          <w:rStyle w:val="libFootnoteBoldChar"/>
          <w:rtl/>
        </w:rPr>
        <w:t>والوافي</w:t>
      </w:r>
      <w:r w:rsidR="00992664" w:rsidRPr="00020424">
        <w:rPr>
          <w:rtl/>
        </w:rPr>
        <w:t xml:space="preserve"> : « واثنتان</w:t>
      </w:r>
      <w:r w:rsidR="00992664">
        <w:rPr>
          <w:rtl/>
        </w:rPr>
        <w:t xml:space="preserve"> ».</w:t>
      </w:r>
      <w:r w:rsidR="00992664" w:rsidRPr="00020424">
        <w:rPr>
          <w:rtl/>
        </w:rPr>
        <w:t xml:space="preserve"> وفي « بح ، بخ ، بر ، بف » : « واثنتين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درهماً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49 ، ح 9131 ؛ </w:t>
      </w:r>
      <w:r w:rsidR="00992664" w:rsidRPr="0012008A">
        <w:rPr>
          <w:rStyle w:val="libFootnoteBoldChar"/>
          <w:rtl/>
        </w:rPr>
        <w:t>الوسائل</w:t>
      </w:r>
      <w:r w:rsidR="00992664" w:rsidRPr="00020424">
        <w:rPr>
          <w:rtl/>
        </w:rPr>
        <w:t xml:space="preserve"> ، ج 9 ، ص 146 ، ح 11713 ، إلى قوله : « ولو لم يكفهم لزادهم » ملخّصاً ؛ </w:t>
      </w:r>
      <w:r w:rsidR="00992664" w:rsidRPr="0012008A">
        <w:rPr>
          <w:rStyle w:val="libFootnoteBoldChar"/>
          <w:rtl/>
        </w:rPr>
        <w:t>البحار</w:t>
      </w:r>
      <w:r w:rsidR="00992664" w:rsidRPr="00020424">
        <w:rPr>
          <w:rtl/>
        </w:rPr>
        <w:t xml:space="preserve"> ، ج 47 ، ص 228 ، ح 18.</w:t>
      </w:r>
    </w:p>
    <w:p w:rsidR="00795177" w:rsidRDefault="00795177" w:rsidP="00795177">
      <w:pPr>
        <w:pStyle w:val="libNormal"/>
        <w:rPr>
          <w:rtl/>
          <w:lang w:bidi="fa-IR"/>
        </w:rPr>
      </w:pPr>
      <w:r>
        <w:rPr>
          <w:rtl/>
          <w:lang w:bidi="fa-IR"/>
        </w:rPr>
        <w:br w:type="page"/>
      </w:r>
    </w:p>
    <w:p w:rsidR="00904E27" w:rsidRDefault="00992664" w:rsidP="00904E27">
      <w:pPr>
        <w:pStyle w:val="Heading2Center"/>
        <w:rPr>
          <w:rtl/>
        </w:rPr>
      </w:pPr>
      <w:bookmarkStart w:id="20" w:name="_Toc345172722"/>
      <w:bookmarkStart w:id="21" w:name="_Toc44599842"/>
      <w:bookmarkStart w:id="22" w:name="_Toc464562541"/>
      <w:r w:rsidRPr="00020424">
        <w:rPr>
          <w:rtl/>
          <w:lang w:bidi="fa-IR"/>
        </w:rPr>
        <w:lastRenderedPageBreak/>
        <w:t>4</w:t>
      </w:r>
      <w:r>
        <w:rPr>
          <w:rtl/>
          <w:lang w:bidi="fa-IR"/>
        </w:rPr>
        <w:t xml:space="preserve"> </w:t>
      </w:r>
      <w:r w:rsidR="009B673F">
        <w:rPr>
          <w:rtl/>
          <w:lang w:bidi="fa-IR"/>
        </w:rPr>
        <w:t>-</w:t>
      </w:r>
      <w:r>
        <w:rPr>
          <w:rtl/>
          <w:lang w:bidi="fa-IR"/>
        </w:rPr>
        <w:t xml:space="preserve"> </w:t>
      </w:r>
      <w:r w:rsidRPr="00020424">
        <w:rPr>
          <w:rtl/>
          <w:lang w:bidi="fa-IR"/>
        </w:rPr>
        <w:t>بَابُ مَا وَضَعَ رَسُولُ اللهِ</w:t>
      </w:r>
      <w:r>
        <w:rPr>
          <w:rtl/>
          <w:lang w:bidi="fa-IR"/>
        </w:rPr>
        <w:t xml:space="preserve"> </w:t>
      </w:r>
      <w:r w:rsidR="009B673F">
        <w:rPr>
          <w:rtl/>
          <w:lang w:bidi="fa-IR"/>
        </w:rPr>
        <w:t>-</w:t>
      </w:r>
      <w:r>
        <w:rPr>
          <w:rtl/>
          <w:lang w:bidi="fa-IR"/>
        </w:rPr>
        <w:t xml:space="preserve"> </w:t>
      </w:r>
      <w:r w:rsidRPr="00020424">
        <w:rPr>
          <w:rtl/>
          <w:lang w:bidi="fa-IR"/>
        </w:rPr>
        <w:t xml:space="preserve">صَلَّى اللهُ عَلَيْهِ </w:t>
      </w:r>
      <w:r w:rsidRPr="00A91B96">
        <w:rPr>
          <w:rStyle w:val="libFootnotenumChar"/>
          <w:rtl/>
        </w:rPr>
        <w:t>(1)</w:t>
      </w:r>
      <w:bookmarkStart w:id="23" w:name="_Toc345172723"/>
      <w:bookmarkEnd w:id="20"/>
      <w:bookmarkEnd w:id="21"/>
    </w:p>
    <w:p w:rsidR="00992664" w:rsidRPr="00020424" w:rsidRDefault="00992664" w:rsidP="00904E27">
      <w:pPr>
        <w:pStyle w:val="Heading2Center"/>
        <w:rPr>
          <w:rtl/>
        </w:rPr>
      </w:pPr>
      <w:bookmarkStart w:id="24" w:name="_Toc44599843"/>
      <w:r w:rsidRPr="00020424">
        <w:rPr>
          <w:rtl/>
          <w:lang w:bidi="fa-IR"/>
        </w:rPr>
        <w:t xml:space="preserve">وَعَلى أَهْلِ بَيْتِهِ </w:t>
      </w:r>
      <w:r w:rsidRPr="00A91B96">
        <w:rPr>
          <w:rStyle w:val="libFootnotenumChar"/>
          <w:rtl/>
        </w:rPr>
        <w:t>(2)</w:t>
      </w:r>
      <w:r>
        <w:rPr>
          <w:rtl/>
        </w:rPr>
        <w:t xml:space="preserve"> </w:t>
      </w:r>
      <w:r w:rsidR="009B673F">
        <w:rPr>
          <w:rtl/>
          <w:lang w:bidi="fa-IR"/>
        </w:rPr>
        <w:t>-</w:t>
      </w:r>
      <w:r>
        <w:rPr>
          <w:rtl/>
          <w:lang w:bidi="fa-IR"/>
        </w:rPr>
        <w:t xml:space="preserve"> </w:t>
      </w:r>
      <w:r w:rsidRPr="00020424">
        <w:rPr>
          <w:rtl/>
          <w:lang w:bidi="fa-IR"/>
        </w:rPr>
        <w:t>الزَّكَاةَ عَلَيْهِ‌</w:t>
      </w:r>
      <w:bookmarkEnd w:id="22"/>
      <w:bookmarkEnd w:id="23"/>
      <w:bookmarkEnd w:id="24"/>
    </w:p>
    <w:p w:rsidR="00992664" w:rsidRPr="00020424" w:rsidRDefault="00992664" w:rsidP="00992664">
      <w:pPr>
        <w:pStyle w:val="libNormal"/>
        <w:rPr>
          <w:rtl/>
          <w:lang w:bidi="fa-IR"/>
        </w:rPr>
      </w:pPr>
      <w:r w:rsidRPr="009B1CE5">
        <w:rPr>
          <w:rtl/>
        </w:rPr>
        <w:t>5767</w:t>
      </w:r>
      <w:r w:rsidRPr="001155DE">
        <w:rPr>
          <w:rStyle w:val="libBold2Char"/>
          <w:rtl/>
        </w:rPr>
        <w:t xml:space="preserve"> / 1.</w:t>
      </w:r>
      <w:r w:rsidRPr="00020424">
        <w:rPr>
          <w:rtl/>
          <w:lang w:bidi="fa-IR"/>
        </w:rPr>
        <w:t xml:space="preserve"> عَلِيُّ بْنُ إِبْرَاهِيمَ ، عَنْ أَبِيهِ ، عَنْ حَمَّادٍ ، عَنْ حَرِيزٍ ، عَنْ زُرَارَةَ وَمُحَمَّدِ بْنِ مُسْلِمٍ وَأَبِي بَصِيرٍ وَبُرَيْدِ بْنِ مُعَاوِيَةَ الْعِجْلِيِّ وَفُضَيْلِ </w:t>
      </w:r>
      <w:r w:rsidRPr="00A91B96">
        <w:rPr>
          <w:rStyle w:val="libFootnotenumChar"/>
          <w:rtl/>
        </w:rPr>
        <w:t>(3)</w:t>
      </w:r>
      <w:r w:rsidRPr="00020424">
        <w:rPr>
          <w:rtl/>
          <w:lang w:bidi="fa-IR"/>
        </w:rPr>
        <w:t xml:space="preserve"> بْنِ يَسَارٍ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قَالَا : « فَرَضَ اللهُ الزَّكَاةَ مَعَ الصَّلَاةِ فِي الْأَمْوَالِ ، وَسَنَّهَا رَسُولُ اللهِ </w:t>
      </w:r>
      <w:r w:rsidR="00B42914" w:rsidRPr="00B42914">
        <w:rPr>
          <w:rStyle w:val="libAlaemChar"/>
          <w:rtl/>
        </w:rPr>
        <w:t>صلى‌الله‌عليه‌وآله‌</w:t>
      </w:r>
      <w:r w:rsidRPr="00020424">
        <w:rPr>
          <w:rtl/>
          <w:lang w:bidi="fa-IR"/>
        </w:rPr>
        <w:t xml:space="preserve"> فِي تِسْعَةِ أَشْيَاءَ ، وَعَفَا رَسُولُ اللهِ </w:t>
      </w:r>
      <w:r w:rsidRPr="00A91B96">
        <w:rPr>
          <w:rStyle w:val="libFootnotenumChar"/>
          <w:rtl/>
        </w:rPr>
        <w:t>(4)</w:t>
      </w:r>
      <w:r w:rsidRPr="00020424">
        <w:rPr>
          <w:rtl/>
          <w:lang w:bidi="fa-IR"/>
        </w:rPr>
        <w:t xml:space="preserve"> عَمَّا </w:t>
      </w:r>
      <w:r w:rsidRPr="00A91B96">
        <w:rPr>
          <w:rStyle w:val="libFootnotenumChar"/>
          <w:rtl/>
        </w:rPr>
        <w:t>(5)</w:t>
      </w:r>
      <w:r w:rsidRPr="00020424">
        <w:rPr>
          <w:rtl/>
          <w:lang w:bidi="fa-IR"/>
        </w:rPr>
        <w:t xml:space="preserve"> سِوَاهُنَّ : فِي الذَّهَبِ ، وَالْفِضَّةِ ، وَالْإِبِلِ ، وَالْبَقَرِ ، وَالْغَنَمِ ، وَالْحِنْطَةِ ، وَالشَّعِيرِ ، وَالتَّمْرِ ، وَالزَّبِيبِ </w:t>
      </w:r>
      <w:r w:rsidRPr="00A91B96">
        <w:rPr>
          <w:rStyle w:val="libFootnotenumChar"/>
          <w:rtl/>
        </w:rPr>
        <w:t>(6)</w:t>
      </w:r>
      <w:r w:rsidRPr="00020424">
        <w:rPr>
          <w:rtl/>
          <w:lang w:bidi="fa-IR"/>
        </w:rPr>
        <w:t xml:space="preserve"> ، وَعَفَا </w:t>
      </w:r>
      <w:r w:rsidRPr="00A91B96">
        <w:rPr>
          <w:rStyle w:val="libFootnotenumChar"/>
          <w:rtl/>
        </w:rPr>
        <w:t>(7)</w:t>
      </w:r>
      <w:r w:rsidRPr="00020424">
        <w:rPr>
          <w:rtl/>
          <w:lang w:bidi="fa-IR"/>
        </w:rPr>
        <w:t xml:space="preserve"> عَمَّا سِوى ذلِكَ</w:t>
      </w:r>
      <w:r>
        <w:rPr>
          <w:rtl/>
          <w:lang w:bidi="fa-IR"/>
        </w:rPr>
        <w:t>».</w:t>
      </w:r>
      <w:r w:rsidRPr="00A91B96">
        <w:rPr>
          <w:rStyle w:val="libFootnotenumChar"/>
          <w:rtl/>
        </w:rPr>
        <w:t>(8)</w:t>
      </w:r>
    </w:p>
    <w:p w:rsidR="00992664" w:rsidRPr="00020424" w:rsidRDefault="00992664" w:rsidP="00992664">
      <w:pPr>
        <w:pStyle w:val="libNormal"/>
        <w:rPr>
          <w:rtl/>
          <w:lang w:bidi="fa-IR"/>
        </w:rPr>
      </w:pPr>
      <w:r w:rsidRPr="009B1CE5">
        <w:rPr>
          <w:rtl/>
        </w:rPr>
        <w:t>5768</w:t>
      </w:r>
      <w:r w:rsidRPr="001155DE">
        <w:rPr>
          <w:rStyle w:val="libBold2Char"/>
          <w:rtl/>
        </w:rPr>
        <w:t xml:space="preserve"> / 2.</w:t>
      </w:r>
      <w:r w:rsidRPr="00020424">
        <w:rPr>
          <w:rtl/>
          <w:lang w:bidi="fa-IR"/>
        </w:rPr>
        <w:t xml:space="preserve"> عَلِيُّ بْنُ إِبْرَاهِيمَ </w:t>
      </w:r>
      <w:r w:rsidRPr="00A91B96">
        <w:rPr>
          <w:rStyle w:val="libFootnotenumChar"/>
          <w:rtl/>
        </w:rPr>
        <w:t>(9)</w:t>
      </w:r>
      <w:r w:rsidRPr="00020424">
        <w:rPr>
          <w:rtl/>
          <w:lang w:bidi="fa-IR"/>
        </w:rPr>
        <w:t xml:space="preserve"> ، عَنْ أَبِيهِ ، عَنْ إِسْمَاعِيلَ بْنِ مَرَّارٍ ، عَنْ يُونُسَ ، عَنْ عَبْدِ اللهِ بْنِ مُسْكَانَ ، عَنْ أَبِي بَكْرٍ الْحَضْرَمِيِّ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وَضَعَ رَسُولُ اللهِ </w:t>
      </w:r>
      <w:r w:rsidR="00B42914" w:rsidRPr="00B42914">
        <w:rPr>
          <w:rStyle w:val="libAlaemChar"/>
          <w:rtl/>
        </w:rPr>
        <w:t>صلى‌الله‌عليه‌وآله‌</w:t>
      </w:r>
      <w:r w:rsidRPr="00020424">
        <w:rPr>
          <w:rtl/>
          <w:lang w:bidi="fa-IR"/>
        </w:rPr>
        <w:t xml:space="preserve"> الزَّكَاةَ عَلى تِسْعَةِ أَشْيَاءَ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644A7" w:rsidTr="001644A7">
        <w:tc>
          <w:tcPr>
            <w:tcW w:w="4006" w:type="dxa"/>
          </w:tcPr>
          <w:p w:rsidR="001644A7" w:rsidRDefault="001644A7" w:rsidP="00992664">
            <w:pPr>
              <w:pStyle w:val="libFootnote0"/>
              <w:rPr>
                <w:rtl/>
              </w:rPr>
            </w:pPr>
            <w:r>
              <w:rPr>
                <w:rtl/>
              </w:rPr>
              <w:t>(1). في</w:t>
            </w:r>
            <w:r w:rsidRPr="00020424">
              <w:rPr>
                <w:rtl/>
              </w:rPr>
              <w:t>«ى،بث،بح،بر»ومرآة العقول:+«وآله</w:t>
            </w:r>
            <w:r>
              <w:rPr>
                <w:rtl/>
              </w:rPr>
              <w:t>».</w:t>
            </w:r>
          </w:p>
        </w:tc>
        <w:tc>
          <w:tcPr>
            <w:tcW w:w="4006" w:type="dxa"/>
          </w:tcPr>
          <w:p w:rsidR="001644A7" w:rsidRDefault="008B2AF0" w:rsidP="00992664">
            <w:pPr>
              <w:pStyle w:val="libFootnote0"/>
              <w:rPr>
                <w:rtl/>
              </w:rPr>
            </w:pPr>
            <w:r>
              <w:rPr>
                <w:rtl/>
              </w:rPr>
              <w:t xml:space="preserve">(2). </w:t>
            </w:r>
            <w:r w:rsidRPr="00020424">
              <w:rPr>
                <w:rtl/>
              </w:rPr>
              <w:t>في « ى » :</w:t>
            </w:r>
            <w:r>
              <w:rPr>
                <w:rtl/>
              </w:rPr>
              <w:t xml:space="preserve"> - </w:t>
            </w:r>
            <w:r w:rsidRPr="00020424">
              <w:rPr>
                <w:rtl/>
              </w:rPr>
              <w:t>« وعلى أهل بيته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3E6EDD">
        <w:rPr>
          <w:rtl/>
        </w:rPr>
        <w:t>والوسائل والتهذيب والاستبصار</w:t>
      </w:r>
      <w:r w:rsidR="00992664" w:rsidRPr="00020424">
        <w:rPr>
          <w:rtl/>
        </w:rPr>
        <w:t xml:space="preserve"> : « الفضيل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بر ، بف ، جن » </w:t>
      </w:r>
      <w:r w:rsidR="00992664" w:rsidRPr="003E6EDD">
        <w:rPr>
          <w:rtl/>
        </w:rPr>
        <w:t>والوافي والوسائل والتهذيب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رسول 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عمّا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والحنطة والشعير والتمر والزبيب والإبل والبقر والغنم » بدل « والإبل والبقر</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والزبيب</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بث ، بر ، بف » وحاشية « ظ ، جن » </w:t>
      </w:r>
      <w:r w:rsidR="00992664" w:rsidRPr="003E6EDD">
        <w:rPr>
          <w:rtl/>
        </w:rPr>
        <w:t>والوافي والتهذيب والاستبصار</w:t>
      </w:r>
      <w:r w:rsidR="00992664" w:rsidRPr="00020424">
        <w:rPr>
          <w:rtl/>
        </w:rPr>
        <w:t xml:space="preserve"> : + « رسول الله </w:t>
      </w:r>
      <w:r w:rsidR="00D64ADA" w:rsidRPr="00D64ADA">
        <w:rPr>
          <w:rStyle w:val="libFootnoteAlaemChar"/>
          <w:rtl/>
        </w:rPr>
        <w:t>صلى‌الله‌عليه‌وآله</w:t>
      </w:r>
      <w:r w:rsidR="00B42914" w:rsidRPr="00B42914">
        <w:rPr>
          <w:rStyle w:val="libAlaemChar"/>
          <w:rtl/>
        </w:rPr>
        <w:t>‌</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في تسعة أشياء</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وعفا</w:t>
      </w:r>
      <w:r w:rsidR="00992664">
        <w:rPr>
          <w:rtl/>
        </w:rPr>
        <w:t xml:space="preserve"> ».</w:t>
      </w:r>
    </w:p>
    <w:p w:rsidR="00992664" w:rsidRPr="00020424" w:rsidRDefault="00795177" w:rsidP="00E55460">
      <w:pPr>
        <w:pStyle w:val="libFootnote0"/>
        <w:rPr>
          <w:rtl/>
          <w:lang w:bidi="fa-IR"/>
        </w:rPr>
      </w:pPr>
      <w:r>
        <w:rPr>
          <w:rtl/>
        </w:rPr>
        <w:t>(8).</w:t>
      </w:r>
      <w:r w:rsidR="0014403D">
        <w:rPr>
          <w:rtl/>
        </w:rPr>
        <w:t xml:space="preserve"> </w:t>
      </w:r>
      <w:r w:rsidR="00992664" w:rsidRPr="009B1CE5">
        <w:rPr>
          <w:rtl/>
        </w:rPr>
        <w:t>الكافي</w:t>
      </w:r>
      <w:r w:rsidR="00992664" w:rsidRPr="00020424">
        <w:rPr>
          <w:rtl/>
        </w:rPr>
        <w:t xml:space="preserve"> ، كتاب الزكاة ، باب فرض الزكاة</w:t>
      </w:r>
      <w:r w:rsidR="00992664">
        <w:rPr>
          <w:rtl/>
        </w:rPr>
        <w:t xml:space="preserve"> ..</w:t>
      </w:r>
      <w:r w:rsidR="00992664" w:rsidRPr="00020424">
        <w:rPr>
          <w:rtl/>
        </w:rPr>
        <w:t>. ، ح 5724 ، وتمام الرواية فيه : « فرض الله الزكاة مع الصلاة</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3 ، ح 5 ؛ </w:t>
      </w:r>
      <w:r w:rsidR="00992664" w:rsidRPr="00FD6221">
        <w:rPr>
          <w:rStyle w:val="libFootnoteBoldChar"/>
          <w:rtl/>
        </w:rPr>
        <w:t>والاستبصار</w:t>
      </w:r>
      <w:r w:rsidR="00992664" w:rsidRPr="00020424">
        <w:rPr>
          <w:rtl/>
        </w:rPr>
        <w:t xml:space="preserve"> ، ج 2 ، ص 3 ، ح 5 ، معلّقاً عن الكليني. </w:t>
      </w:r>
      <w:r w:rsidR="00992664" w:rsidRPr="0012008A">
        <w:rPr>
          <w:rStyle w:val="libFootnoteBoldChar"/>
          <w:rtl/>
        </w:rPr>
        <w:t>المقنعة</w:t>
      </w:r>
      <w:r w:rsidR="00992664" w:rsidRPr="00020424">
        <w:rPr>
          <w:rtl/>
        </w:rPr>
        <w:t xml:space="preserve"> ، ص 234 ، مرسلاً عن حريز ، عن زرارة ومحمّد بن مسلم ، عن أبي جعفر </w:t>
      </w:r>
      <w:r w:rsidR="00992664" w:rsidRPr="00D64ADA">
        <w:rPr>
          <w:rStyle w:val="libFootnoteAlaemChar"/>
          <w:rtl/>
        </w:rPr>
        <w:t>عليه‌السلام</w:t>
      </w:r>
      <w:r w:rsidR="00992664" w:rsidRPr="00020424">
        <w:rPr>
          <w:rtl/>
        </w:rPr>
        <w:t xml:space="preserve"> ، وأيضاً مرسلاً عن أبي بصير وبريد بن معاوية العجلي والفضيل بن يسار ، عن أبي جعفر </w:t>
      </w:r>
      <w:r w:rsidR="00992664" w:rsidRPr="00D64ADA">
        <w:rPr>
          <w:rStyle w:val="libFootnoteAlaemChar"/>
          <w:rtl/>
        </w:rPr>
        <w:t>عليه‌السلام</w:t>
      </w:r>
      <w:r w:rsidR="00992664" w:rsidRPr="00020424">
        <w:rPr>
          <w:rtl/>
        </w:rPr>
        <w:t xml:space="preserve"> ، مع اختلاف يسير </w:t>
      </w:r>
      <w:r w:rsidR="008B2AF0">
        <w:rPr>
          <w:rFonts w:hint="cs"/>
          <w:rtl/>
        </w:rPr>
        <w:t>.</w:t>
      </w:r>
      <w:r w:rsidR="00992664" w:rsidRPr="0012008A">
        <w:rPr>
          <w:rStyle w:val="libFootnoteBoldChar"/>
          <w:rtl/>
        </w:rPr>
        <w:t>الوافي</w:t>
      </w:r>
      <w:r w:rsidR="00992664" w:rsidRPr="00020424">
        <w:rPr>
          <w:rtl/>
        </w:rPr>
        <w:t xml:space="preserve"> ، ج 10 ، ص 53 ، ح 9134 ؛ </w:t>
      </w:r>
      <w:r w:rsidR="00992664" w:rsidRPr="0012008A">
        <w:rPr>
          <w:rStyle w:val="libFootnoteBoldChar"/>
          <w:rtl/>
        </w:rPr>
        <w:t>الوسائل</w:t>
      </w:r>
      <w:r w:rsidR="00992664" w:rsidRPr="00020424">
        <w:rPr>
          <w:rtl/>
        </w:rPr>
        <w:t xml:space="preserve"> ، ج 9 ، ص 55 ، ح 11506.</w:t>
      </w:r>
      <w:r w:rsidR="00E55460">
        <w:rPr>
          <w:rFonts w:hint="cs"/>
          <w:rtl/>
        </w:rPr>
        <w:t xml:space="preserve">         </w:t>
      </w: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على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25F4">
      <w:pPr>
        <w:pStyle w:val="libNormal0"/>
        <w:rPr>
          <w:rtl/>
          <w:lang w:bidi="fa-IR"/>
        </w:rPr>
      </w:pPr>
      <w:r w:rsidRPr="00020424">
        <w:rPr>
          <w:rtl/>
          <w:lang w:bidi="fa-IR"/>
        </w:rPr>
        <w:lastRenderedPageBreak/>
        <w:t xml:space="preserve">الْحِنْطَةِ ، وَالشَّعِيرِ ، وَالتَّمْرِ ، وَالزَّبِيبِ ، وَالذَّهَبِ ، وَالْفِضَّةِ ، وَالْإِبِلِ ، وَالْبَقَرِ ، وَالْغَنَمِ ، وَعَفَا </w:t>
      </w:r>
      <w:r w:rsidRPr="00A91B96">
        <w:rPr>
          <w:rStyle w:val="libFootnotenumChar"/>
          <w:rtl/>
        </w:rPr>
        <w:t>(1)</w:t>
      </w:r>
      <w:r w:rsidRPr="00020424">
        <w:rPr>
          <w:rtl/>
          <w:lang w:bidi="fa-IR"/>
        </w:rPr>
        <w:t xml:space="preserve"> عَمَّا </w:t>
      </w:r>
      <w:r w:rsidRPr="00A91B96">
        <w:rPr>
          <w:rStyle w:val="libFootnotenumChar"/>
          <w:rtl/>
        </w:rPr>
        <w:t>(2)</w:t>
      </w:r>
      <w:r w:rsidRPr="00020424">
        <w:rPr>
          <w:rtl/>
          <w:lang w:bidi="fa-IR"/>
        </w:rPr>
        <w:t xml:space="preserve"> سِوى ذلِكَ</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يُونُسُ : مَعْنى قَوْلِهِ : « إِنَّ الزَّكَاةَ فِي تِسْعَةِ أَشْيَاءَ ، وَعَفَا عَمَّا سِوى ذلِكَ » إِنَّمَا كَانَ </w:t>
      </w:r>
      <w:r w:rsidRPr="00A91B96">
        <w:rPr>
          <w:rStyle w:val="libFootnotenumChar"/>
          <w:rtl/>
        </w:rPr>
        <w:t>(3)</w:t>
      </w:r>
      <w:r w:rsidRPr="00020424">
        <w:rPr>
          <w:rtl/>
          <w:lang w:bidi="fa-IR"/>
        </w:rPr>
        <w:t xml:space="preserve"> ذلِكَ </w:t>
      </w:r>
      <w:r w:rsidRPr="00A91B96">
        <w:rPr>
          <w:rStyle w:val="libFootnotenumChar"/>
          <w:rtl/>
        </w:rPr>
        <w:t>(4)</w:t>
      </w:r>
      <w:r w:rsidRPr="00020424">
        <w:rPr>
          <w:rtl/>
          <w:lang w:bidi="fa-IR"/>
        </w:rPr>
        <w:t xml:space="preserve"> فِي أَوَّلِ النُّبُوَّةِ كَمَا كَانَتِ الصَّلَاةُ رَكْعَتَيْنِ ، ثُمَّ زَادَ رَسُولُ اللهِ </w:t>
      </w:r>
      <w:r w:rsidR="00B42914" w:rsidRPr="00B42914">
        <w:rPr>
          <w:rStyle w:val="libAlaemChar"/>
          <w:rtl/>
        </w:rPr>
        <w:t>صلى‌الله‌عليه‌وآله‌</w:t>
      </w:r>
      <w:r w:rsidRPr="00020424">
        <w:rPr>
          <w:rtl/>
          <w:lang w:bidi="fa-IR"/>
        </w:rPr>
        <w:t xml:space="preserve"> فِيهَا سَبْعَ رَكَعَاتٍ ، وَكَذلِكَ الزَّكَاةُ وَضَعَهَا وَسَنَّهَا فِي أَوَّلِ نُبُوَّتِهِ </w:t>
      </w:r>
      <w:r w:rsidRPr="00A91B96">
        <w:rPr>
          <w:rStyle w:val="libFootnotenumChar"/>
          <w:rtl/>
        </w:rPr>
        <w:t>(5)</w:t>
      </w:r>
      <w:r w:rsidRPr="00020424">
        <w:rPr>
          <w:rtl/>
          <w:lang w:bidi="fa-IR"/>
        </w:rPr>
        <w:t xml:space="preserve"> عَلى تِسْعَةِ أَشْيَاءَ ، ثُمَّ وَضَعَهَا عَلى جَمِيعِ الْحُبُوبِ.</w:t>
      </w:r>
      <w:r w:rsidRPr="00A91B96">
        <w:rPr>
          <w:rStyle w:val="libFootnotenumChar"/>
          <w:rtl/>
        </w:rPr>
        <w:t>(6)</w:t>
      </w:r>
    </w:p>
    <w:p w:rsidR="00992664" w:rsidRPr="00020424" w:rsidRDefault="00992664" w:rsidP="00992664">
      <w:pPr>
        <w:pStyle w:val="Heading2Center"/>
        <w:rPr>
          <w:rtl/>
          <w:lang w:bidi="fa-IR"/>
        </w:rPr>
      </w:pPr>
      <w:bookmarkStart w:id="25" w:name="_Toc345172724"/>
      <w:bookmarkStart w:id="26" w:name="_Toc464562542"/>
      <w:bookmarkStart w:id="27" w:name="_Toc44599844"/>
      <w:r w:rsidRPr="00020424">
        <w:rPr>
          <w:rtl/>
          <w:lang w:bidi="fa-IR"/>
        </w:rPr>
        <w:t>5</w:t>
      </w:r>
      <w:r>
        <w:rPr>
          <w:rtl/>
          <w:lang w:bidi="fa-IR"/>
        </w:rPr>
        <w:t xml:space="preserve"> </w:t>
      </w:r>
      <w:r w:rsidR="009B673F">
        <w:rPr>
          <w:rtl/>
          <w:lang w:bidi="fa-IR"/>
        </w:rPr>
        <w:t>-</w:t>
      </w:r>
      <w:r>
        <w:rPr>
          <w:rtl/>
          <w:lang w:bidi="fa-IR"/>
        </w:rPr>
        <w:t xml:space="preserve"> </w:t>
      </w:r>
      <w:r w:rsidRPr="00020424">
        <w:rPr>
          <w:rtl/>
          <w:lang w:bidi="fa-IR"/>
        </w:rPr>
        <w:t>بَابُ مَا يُزَكّى مِنَ الْحُبُوبِ‌</w:t>
      </w:r>
      <w:bookmarkEnd w:id="25"/>
      <w:bookmarkEnd w:id="26"/>
      <w:bookmarkEnd w:id="27"/>
    </w:p>
    <w:p w:rsidR="00992664" w:rsidRPr="00020424" w:rsidRDefault="00992664" w:rsidP="00992664">
      <w:pPr>
        <w:pStyle w:val="libNormal"/>
        <w:rPr>
          <w:rtl/>
          <w:lang w:bidi="fa-IR"/>
        </w:rPr>
      </w:pPr>
      <w:r w:rsidRPr="009B1CE5">
        <w:rPr>
          <w:rtl/>
        </w:rPr>
        <w:t>5769</w:t>
      </w:r>
      <w:r w:rsidRPr="001155DE">
        <w:rPr>
          <w:rStyle w:val="libBold2Char"/>
          <w:rtl/>
        </w:rPr>
        <w:t xml:space="preserve"> / 1.</w:t>
      </w:r>
      <w:r w:rsidRPr="00020424">
        <w:rPr>
          <w:rtl/>
          <w:lang w:bidi="fa-IR"/>
        </w:rPr>
        <w:t xml:space="preserve"> عَلِيُّ بْنُ إِبْرَاهِيمَ ، عَنْ أَبِيهِ ، عَنْ حَمَّادِ بْنِ عِيسى ، عَنْ حَرِيزٍ </w:t>
      </w:r>
      <w:r w:rsidRPr="00A91B96">
        <w:rPr>
          <w:rStyle w:val="libFootnotenumChar"/>
          <w:rtl/>
        </w:rPr>
        <w:t>(7)</w:t>
      </w:r>
      <w:r w:rsidRPr="00020424">
        <w:rPr>
          <w:rtl/>
          <w:lang w:bidi="fa-IR"/>
        </w:rPr>
        <w:t xml:space="preserve"> ، عَنْ مُحَمَّدِ بْنِ مُسْلِمٍ ، قَالَ :</w:t>
      </w:r>
    </w:p>
    <w:p w:rsidR="00992664" w:rsidRPr="00020424" w:rsidRDefault="00992664" w:rsidP="00992664">
      <w:pPr>
        <w:pStyle w:val="libNormal"/>
        <w:rPr>
          <w:rtl/>
          <w:lang w:bidi="fa-IR"/>
        </w:rPr>
      </w:pPr>
      <w:r w:rsidRPr="00020424">
        <w:rPr>
          <w:rtl/>
          <w:lang w:bidi="fa-IR"/>
        </w:rPr>
        <w:t xml:space="preserve">سَأَلْتُهُ </w:t>
      </w:r>
      <w:r w:rsidRPr="00005A81">
        <w:rPr>
          <w:rStyle w:val="libAlaemChar"/>
          <w:rtl/>
        </w:rPr>
        <w:t>عليه‌السلام</w:t>
      </w:r>
      <w:r w:rsidRPr="00020424">
        <w:rPr>
          <w:rtl/>
          <w:lang w:bidi="fa-IR"/>
        </w:rPr>
        <w:t xml:space="preserve"> عَنِ الْحُبُوبِ </w:t>
      </w:r>
      <w:r w:rsidRPr="00A91B96">
        <w:rPr>
          <w:rStyle w:val="libFootnotenumChar"/>
          <w:rtl/>
        </w:rPr>
        <w:t>(8)</w:t>
      </w:r>
      <w:r w:rsidRPr="00020424">
        <w:rPr>
          <w:rtl/>
          <w:lang w:bidi="fa-IR"/>
        </w:rPr>
        <w:t xml:space="preserve"> : مَا يُزَكّى مِنْهَا </w:t>
      </w:r>
      <w:r w:rsidRPr="00A91B96">
        <w:rPr>
          <w:rStyle w:val="libFootnotenumChar"/>
          <w:rtl/>
        </w:rPr>
        <w:t>(9)</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بث » وحاشية « ظ » </w:t>
      </w:r>
      <w:r w:rsidR="00992664" w:rsidRPr="00EB1FD9">
        <w:rPr>
          <w:rStyle w:val="libFootnoteBoldChar"/>
          <w:rtl/>
        </w:rPr>
        <w:t>والوسائل</w:t>
      </w:r>
      <w:r w:rsidR="00992664" w:rsidRPr="00020424">
        <w:rPr>
          <w:rtl/>
        </w:rPr>
        <w:t xml:space="preserve"> : + « رسول الله </w:t>
      </w:r>
      <w:r w:rsidR="00D64ADA" w:rsidRPr="00D64ADA">
        <w:rPr>
          <w:rStyle w:val="libFootnoteAlaemChar"/>
          <w:rtl/>
        </w:rPr>
        <w:t>صلى‌الله‌عليه‌وآله</w:t>
      </w:r>
      <w:r w:rsidR="00B42914" w:rsidRPr="00B42914">
        <w:rPr>
          <w:rStyle w:val="libAlaemChar"/>
          <w:rtl/>
        </w:rPr>
        <w:t>‌</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E7460" w:rsidTr="003E7460">
        <w:tc>
          <w:tcPr>
            <w:tcW w:w="4006" w:type="dxa"/>
          </w:tcPr>
          <w:p w:rsidR="003E7460" w:rsidRDefault="003E7460" w:rsidP="00992664">
            <w:pPr>
              <w:pStyle w:val="libFootnote0"/>
              <w:rPr>
                <w:rtl/>
              </w:rPr>
            </w:pPr>
            <w:r>
              <w:rPr>
                <w:rtl/>
              </w:rPr>
              <w:t xml:space="preserve">(2). </w:t>
            </w:r>
            <w:r w:rsidRPr="00020424">
              <w:rPr>
                <w:rtl/>
              </w:rPr>
              <w:t>في « بس » : « عن</w:t>
            </w:r>
            <w:r>
              <w:rPr>
                <w:rtl/>
              </w:rPr>
              <w:t xml:space="preserve"> ».</w:t>
            </w:r>
          </w:p>
        </w:tc>
        <w:tc>
          <w:tcPr>
            <w:tcW w:w="4006" w:type="dxa"/>
          </w:tcPr>
          <w:p w:rsidR="003E7460" w:rsidRDefault="003E7460" w:rsidP="00992664">
            <w:pPr>
              <w:pStyle w:val="libFootnote0"/>
              <w:rPr>
                <w:rtl/>
              </w:rPr>
            </w:pPr>
            <w:r>
              <w:rPr>
                <w:rtl/>
              </w:rPr>
              <w:t xml:space="preserve">(3). </w:t>
            </w:r>
            <w:r w:rsidRPr="00020424">
              <w:rPr>
                <w:rtl/>
              </w:rPr>
              <w:t>في « ى » :</w:t>
            </w:r>
            <w:r>
              <w:rPr>
                <w:rtl/>
              </w:rPr>
              <w:t xml:space="preserve"> - </w:t>
            </w:r>
            <w:r w:rsidRPr="00020424">
              <w:rPr>
                <w:rtl/>
              </w:rPr>
              <w:t>« كان</w:t>
            </w:r>
            <w:r>
              <w:rPr>
                <w:rtl/>
              </w:rPr>
              <w:t xml:space="preserve"> ».</w:t>
            </w:r>
          </w:p>
        </w:tc>
      </w:tr>
      <w:tr w:rsidR="003E7460" w:rsidTr="003E7460">
        <w:tc>
          <w:tcPr>
            <w:tcW w:w="4006" w:type="dxa"/>
          </w:tcPr>
          <w:p w:rsidR="003E7460" w:rsidRDefault="003E7460" w:rsidP="00992664">
            <w:pPr>
              <w:pStyle w:val="libFootnote0"/>
              <w:rPr>
                <w:rtl/>
              </w:rPr>
            </w:pPr>
            <w:r>
              <w:rPr>
                <w:rtl/>
              </w:rPr>
              <w:t xml:space="preserve">(4). </w:t>
            </w:r>
            <w:r w:rsidRPr="00020424">
              <w:rPr>
                <w:rtl/>
              </w:rPr>
              <w:t>في « بخ » :</w:t>
            </w:r>
            <w:r>
              <w:rPr>
                <w:rtl/>
              </w:rPr>
              <w:t xml:space="preserve"> - </w:t>
            </w:r>
            <w:r w:rsidRPr="00020424">
              <w:rPr>
                <w:rtl/>
              </w:rPr>
              <w:t>« ذلك</w:t>
            </w:r>
            <w:r>
              <w:rPr>
                <w:rtl/>
              </w:rPr>
              <w:t xml:space="preserve"> ».</w:t>
            </w:r>
          </w:p>
        </w:tc>
        <w:tc>
          <w:tcPr>
            <w:tcW w:w="4006" w:type="dxa"/>
          </w:tcPr>
          <w:p w:rsidR="003E7460" w:rsidRDefault="003E7460" w:rsidP="00992664">
            <w:pPr>
              <w:pStyle w:val="libFootnote0"/>
              <w:rPr>
                <w:rtl/>
              </w:rPr>
            </w:pPr>
            <w:r>
              <w:rPr>
                <w:rtl/>
              </w:rPr>
              <w:t xml:space="preserve">(5). </w:t>
            </w:r>
            <w:r w:rsidRPr="00020424">
              <w:rPr>
                <w:rtl/>
              </w:rPr>
              <w:t>في«بخ،بر،بف»</w:t>
            </w:r>
            <w:r>
              <w:rPr>
                <w:rtl/>
              </w:rPr>
              <w:t>وحاشية</w:t>
            </w:r>
            <w:r w:rsidRPr="00020424">
              <w:rPr>
                <w:rtl/>
              </w:rPr>
              <w:t>«بح»:«النبوّة</w:t>
            </w:r>
            <w:r>
              <w:rPr>
                <w:rtl/>
              </w:rPr>
              <w:t>».</w:t>
            </w:r>
          </w:p>
        </w:tc>
      </w:tr>
    </w:tbl>
    <w:p w:rsidR="00992664" w:rsidRPr="00020424" w:rsidRDefault="00795177" w:rsidP="007B4B19">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3 ، ح 6 ؛ </w:t>
      </w:r>
      <w:r w:rsidR="00992664" w:rsidRPr="00FD6221">
        <w:rPr>
          <w:rStyle w:val="libFootnoteBoldChar"/>
          <w:rtl/>
        </w:rPr>
        <w:t>والاستبصار</w:t>
      </w:r>
      <w:r w:rsidR="00992664" w:rsidRPr="00020424">
        <w:rPr>
          <w:rtl/>
        </w:rPr>
        <w:t xml:space="preserve"> ، ج 2 ، ص 3 ، ح 6 ، معلّقاً عن الكليني. وفي </w:t>
      </w:r>
      <w:r w:rsidR="00992664" w:rsidRPr="0012008A">
        <w:rPr>
          <w:rStyle w:val="libFootnoteBoldChar"/>
          <w:rtl/>
        </w:rPr>
        <w:t>التهذيب</w:t>
      </w:r>
      <w:r w:rsidR="00992664" w:rsidRPr="00020424">
        <w:rPr>
          <w:rtl/>
        </w:rPr>
        <w:t xml:space="preserve"> ، ج 4 ، ص 3 ، ح 3 و4 و9 و10 ؛ </w:t>
      </w:r>
      <w:r w:rsidR="00992664" w:rsidRPr="00FD6221">
        <w:rPr>
          <w:rStyle w:val="libFootnoteBoldChar"/>
          <w:rtl/>
        </w:rPr>
        <w:t>والاستبصار</w:t>
      </w:r>
      <w:r w:rsidR="00992664" w:rsidRPr="00020424">
        <w:rPr>
          <w:rtl/>
        </w:rPr>
        <w:t xml:space="preserve"> ، ج 2 ، ص 2 ، ح 3 و4 و9 و10 ؛ </w:t>
      </w:r>
      <w:r w:rsidR="00992664" w:rsidRPr="00FD6221">
        <w:rPr>
          <w:rStyle w:val="libFootnoteBoldChar"/>
          <w:rtl/>
        </w:rPr>
        <w:t>والخصال</w:t>
      </w:r>
      <w:r w:rsidR="00992664" w:rsidRPr="00020424">
        <w:rPr>
          <w:rtl/>
        </w:rPr>
        <w:t xml:space="preserve"> ، ص 421 ، باب التسعة ، ح 19 و20 ؛ </w:t>
      </w:r>
      <w:r w:rsidR="00992664" w:rsidRPr="00216E45">
        <w:rPr>
          <w:rStyle w:val="libFootnoteBoldChar"/>
          <w:rtl/>
        </w:rPr>
        <w:t>ومعاني الأخبار</w:t>
      </w:r>
      <w:r w:rsidR="00992664" w:rsidRPr="00020424">
        <w:rPr>
          <w:rtl/>
        </w:rPr>
        <w:t xml:space="preserve"> ، ص 154 ، ح 1 ، بسند آخر. </w:t>
      </w:r>
      <w:r w:rsidR="00992664" w:rsidRPr="009B1CE5">
        <w:rPr>
          <w:rtl/>
        </w:rPr>
        <w:t>مسائل عليّ بن جعفر</w:t>
      </w:r>
      <w:r w:rsidR="00992664" w:rsidRPr="00020424">
        <w:rPr>
          <w:rtl/>
        </w:rPr>
        <w:t xml:space="preserve"> ، ص 116. </w:t>
      </w:r>
      <w:r w:rsidR="00992664" w:rsidRPr="009B1CE5">
        <w:rPr>
          <w:rtl/>
        </w:rPr>
        <w:t>عيون الأخبار</w:t>
      </w:r>
      <w:r w:rsidR="00992664" w:rsidRPr="00020424">
        <w:rPr>
          <w:rtl/>
        </w:rPr>
        <w:t xml:space="preserve"> ، ج 2 ، ص 127 ، ح 2 ، بسند آخر عن الرضا </w:t>
      </w:r>
      <w:r w:rsidR="00992664" w:rsidRPr="00D64ADA">
        <w:rPr>
          <w:rStyle w:val="libFootnoteAlaemChar"/>
          <w:rtl/>
        </w:rPr>
        <w:t>عليه‌السلام</w:t>
      </w:r>
      <w:r w:rsidR="00992664" w:rsidRPr="00020424">
        <w:rPr>
          <w:rtl/>
        </w:rPr>
        <w:t xml:space="preserve"> ، إلى قوله : « والإبل والبقر والغنم</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234 ، مرسلاً عن عبدالله بن مسكان ، عن أبي بكر الحضرمي ، عن أبي عبدالله </w:t>
      </w:r>
      <w:r w:rsidR="00992664" w:rsidRPr="00D64ADA">
        <w:rPr>
          <w:rStyle w:val="libFootnoteAlaemChar"/>
          <w:rtl/>
        </w:rPr>
        <w:t>عليه‌السلام</w:t>
      </w:r>
      <w:r w:rsidR="00992664" w:rsidRPr="00020424">
        <w:rPr>
          <w:rtl/>
        </w:rPr>
        <w:t xml:space="preserve"> ، وأيضاً مرسلاً عن صفوان بن يحيى ، عن ابن بكير ، عن محمّد بن طيّار ، عن أبي عبدالله </w:t>
      </w:r>
      <w:r w:rsidR="00992664" w:rsidRPr="00D64ADA">
        <w:rPr>
          <w:rStyle w:val="libFootnoteAlaemChar"/>
          <w:rtl/>
        </w:rPr>
        <w:t>عليه‌السلام</w:t>
      </w:r>
      <w:r w:rsidR="00992664" w:rsidRPr="00020424">
        <w:rPr>
          <w:rtl/>
        </w:rPr>
        <w:t xml:space="preserve">. </w:t>
      </w:r>
      <w:r w:rsidR="00992664" w:rsidRPr="009B1CE5">
        <w:rP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195 ؛ </w:t>
      </w:r>
      <w:r w:rsidR="00992664" w:rsidRPr="00587829">
        <w:rPr>
          <w:rStyle w:val="libFootnoteBoldChar"/>
          <w:rtl/>
        </w:rPr>
        <w:t>الأمالي للصدوق</w:t>
      </w:r>
      <w:r w:rsidR="00992664" w:rsidRPr="00020424">
        <w:rPr>
          <w:rtl/>
        </w:rPr>
        <w:t xml:space="preserve"> ، ص 648 ، المجلس 93 ، ضمن وصف دين الإماميّة على الإيجاز والاختصار ، وفي كلّ المصادر</w:t>
      </w:r>
      <w:r w:rsidR="00992664">
        <w:rPr>
          <w:rtl/>
        </w:rPr>
        <w:t xml:space="preserve"> </w:t>
      </w:r>
      <w:r w:rsidR="009B673F">
        <w:rPr>
          <w:rtl/>
        </w:rPr>
        <w:t>-</w:t>
      </w:r>
      <w:r w:rsidR="00992664">
        <w:rPr>
          <w:rtl/>
        </w:rPr>
        <w:t xml:space="preserve"> </w:t>
      </w:r>
      <w:r w:rsidR="00A3104A">
        <w:rPr>
          <w:rtl/>
        </w:rPr>
        <w:t>إل</w:t>
      </w:r>
      <w:r w:rsidR="00A3104A">
        <w:rPr>
          <w:rFonts w:hint="cs"/>
          <w:rtl/>
        </w:rPr>
        <w:t>ّ</w:t>
      </w:r>
      <w:r w:rsidR="00A3104A">
        <w:rPr>
          <w:rtl/>
        </w:rPr>
        <w:t>ا</w:t>
      </w:r>
      <w:r w:rsidR="00992664">
        <w:rPr>
          <w:rFonts w:hint="cs"/>
          <w:rtl/>
        </w:rPr>
        <w:t xml:space="preserve"> </w:t>
      </w:r>
      <w:r w:rsidR="00992664" w:rsidRPr="0012008A">
        <w:rPr>
          <w:rStyle w:val="libFootnoteBoldChar"/>
          <w:rtl/>
        </w:rPr>
        <w:t>التهذيب</w:t>
      </w:r>
      <w:r w:rsidR="00992664" w:rsidRPr="00020424">
        <w:rPr>
          <w:rtl/>
        </w:rPr>
        <w:t xml:space="preserve"> ، ح 6 </w:t>
      </w:r>
      <w:r w:rsidR="00992664" w:rsidRPr="00FD6221">
        <w:rPr>
          <w:rStyle w:val="libFootnoteBoldChar"/>
          <w:rtl/>
        </w:rPr>
        <w:t>والاستبصار</w:t>
      </w:r>
      <w:r w:rsidR="00992664" w:rsidRPr="00020424">
        <w:rPr>
          <w:rtl/>
        </w:rPr>
        <w:t xml:space="preserve"> ، ح 6</w:t>
      </w:r>
      <w:r w:rsidR="00992664">
        <w:rPr>
          <w:rtl/>
        </w:rPr>
        <w:t xml:space="preserve"> </w:t>
      </w:r>
      <w:r w:rsidR="009B673F">
        <w:rPr>
          <w:rtl/>
        </w:rPr>
        <w:t>-</w:t>
      </w:r>
      <w:r w:rsidR="00992664">
        <w:rPr>
          <w:rtl/>
        </w:rPr>
        <w:t xml:space="preserve"> </w:t>
      </w:r>
      <w:r w:rsidR="00992664" w:rsidRPr="00020424">
        <w:rPr>
          <w:rtl/>
        </w:rPr>
        <w:t>مع اختلاف يسير</w:t>
      </w:r>
      <w:r w:rsidR="007B4B19">
        <w:rPr>
          <w:rFonts w:hint="cs"/>
          <w:rtl/>
        </w:rPr>
        <w:t>.</w:t>
      </w:r>
      <w:r w:rsidR="00992664" w:rsidRPr="0012008A">
        <w:rPr>
          <w:rStyle w:val="libFootnoteBoldChar"/>
          <w:rtl/>
        </w:rPr>
        <w:t>الوافي</w:t>
      </w:r>
      <w:r w:rsidR="00992664" w:rsidRPr="00020424">
        <w:rPr>
          <w:rtl/>
        </w:rPr>
        <w:t xml:space="preserve"> ، ج 10 ، ص 53 ، ح 9134 ؛ </w:t>
      </w:r>
      <w:r w:rsidR="00992664" w:rsidRPr="0012008A">
        <w:rPr>
          <w:rStyle w:val="libFootnoteBoldChar"/>
          <w:rtl/>
        </w:rPr>
        <w:t>الوسائل</w:t>
      </w:r>
      <w:r w:rsidR="00992664" w:rsidRPr="00020424">
        <w:rPr>
          <w:rtl/>
        </w:rPr>
        <w:t xml:space="preserve"> ، ج 9 ، ص 55 ، ح 11506.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بس » </w:t>
      </w:r>
      <w:r w:rsidR="00992664" w:rsidRPr="00EB1FD9">
        <w:rPr>
          <w:rStyle w:val="libFootnoteBoldChar"/>
          <w:rtl/>
        </w:rPr>
        <w:t>والوسائل</w:t>
      </w:r>
      <w:r w:rsidR="00992664" w:rsidRPr="00020424">
        <w:rPr>
          <w:rtl/>
        </w:rPr>
        <w:t xml:space="preserve"> : + « بن عبدالله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وحاشية « بث » </w:t>
      </w:r>
      <w:r w:rsidR="00992664" w:rsidRPr="003E6EDD">
        <w:rPr>
          <w:rtl/>
        </w:rPr>
        <w:t>والوافي والوسائل والتهذيب والاستبصار والمقنعة</w:t>
      </w:r>
      <w:r w:rsidR="00992664" w:rsidRPr="00020424">
        <w:rPr>
          <w:rtl/>
        </w:rPr>
        <w:t xml:space="preserve"> : « الحرث</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عن بعض النسخ : « الحبّ</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ص 3 </w:t>
      </w:r>
      <w:r w:rsidR="00992664" w:rsidRPr="00DE3E80">
        <w:rPr>
          <w:rStyle w:val="libFootnoteBoldChar"/>
          <w:rtl/>
        </w:rPr>
        <w:t>والمقنعة</w:t>
      </w:r>
      <w:r w:rsidR="00992664" w:rsidRPr="00020424">
        <w:rPr>
          <w:rtl/>
        </w:rPr>
        <w:t xml:space="preserve"> : « منه</w:t>
      </w:r>
      <w:r w:rsidR="00992664">
        <w:rPr>
          <w:rtl/>
        </w:rPr>
        <w:t xml:space="preserve"> ».</w:t>
      </w:r>
      <w:r w:rsidR="00992664" w:rsidRPr="00020424">
        <w:rPr>
          <w:rtl/>
        </w:rPr>
        <w:t xml:space="preserve"> وفي الاستبصار : « منه وأشباهه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w:t>
      </w:r>
      <w:r w:rsidRPr="00A91B96">
        <w:rPr>
          <w:rStyle w:val="libFootnotenumChar"/>
          <w:rtl/>
        </w:rPr>
        <w:t>(1)</w:t>
      </w:r>
      <w:r w:rsidRPr="00020424">
        <w:rPr>
          <w:rtl/>
          <w:lang w:bidi="fa-IR"/>
        </w:rPr>
        <w:t xml:space="preserve"> : « الْبُرُّ ، وَالشَّعِيرُ ، وَالذُّرَةُ </w:t>
      </w:r>
      <w:r w:rsidRPr="00A91B96">
        <w:rPr>
          <w:rStyle w:val="libFootnotenumChar"/>
          <w:rtl/>
        </w:rPr>
        <w:t>(2)</w:t>
      </w:r>
      <w:r w:rsidRPr="00020424">
        <w:rPr>
          <w:rtl/>
          <w:lang w:bidi="fa-IR"/>
        </w:rPr>
        <w:t xml:space="preserve"> ، وَالدُّخْنُ </w:t>
      </w:r>
      <w:r w:rsidRPr="00A91B96">
        <w:rPr>
          <w:rStyle w:val="libFootnotenumChar"/>
          <w:rtl/>
        </w:rPr>
        <w:t>(3)</w:t>
      </w:r>
      <w:r w:rsidRPr="00020424">
        <w:rPr>
          <w:rtl/>
          <w:lang w:bidi="fa-IR"/>
        </w:rPr>
        <w:t xml:space="preserve"> ، وَالْأَرُزُّ ، وَالسُّلْتُ </w:t>
      </w:r>
      <w:r w:rsidRPr="00A91B96">
        <w:rPr>
          <w:rStyle w:val="libFootnotenumChar"/>
          <w:rtl/>
        </w:rPr>
        <w:t>(4)</w:t>
      </w:r>
      <w:r w:rsidRPr="00020424">
        <w:rPr>
          <w:rtl/>
          <w:lang w:bidi="fa-IR"/>
        </w:rPr>
        <w:t xml:space="preserve"> ، وَالْعَدَسُ </w:t>
      </w:r>
      <w:r w:rsidRPr="00A91B96">
        <w:rPr>
          <w:rStyle w:val="libFootnotenumChar"/>
          <w:rtl/>
        </w:rPr>
        <w:t>(5)</w:t>
      </w:r>
      <w:r w:rsidRPr="00020424">
        <w:rPr>
          <w:rtl/>
          <w:lang w:bidi="fa-IR"/>
        </w:rPr>
        <w:t xml:space="preserve"> ، وَالسِّمْسِمُ ؛ كُلُّ هذَا </w:t>
      </w:r>
      <w:r w:rsidRPr="00A91B96">
        <w:rPr>
          <w:rStyle w:val="libFootnotenumChar"/>
          <w:rtl/>
        </w:rPr>
        <w:t>(6)</w:t>
      </w:r>
      <w:r w:rsidRPr="00020424">
        <w:rPr>
          <w:rtl/>
          <w:lang w:bidi="fa-IR"/>
        </w:rPr>
        <w:t xml:space="preserve"> يُزَكّى </w:t>
      </w:r>
      <w:r w:rsidRPr="00A91B96">
        <w:rPr>
          <w:rStyle w:val="libFootnotenumChar"/>
          <w:rtl/>
        </w:rPr>
        <w:t>(7)</w:t>
      </w:r>
      <w:r w:rsidRPr="00020424">
        <w:rPr>
          <w:rtl/>
          <w:lang w:bidi="fa-IR"/>
        </w:rPr>
        <w:t xml:space="preserve"> وَأَشْبَاهُهُ</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9B1CE5">
        <w:rPr>
          <w:rtl/>
        </w:rPr>
        <w:t>5770</w:t>
      </w:r>
      <w:r w:rsidRPr="001155DE">
        <w:rPr>
          <w:rStyle w:val="libBold2Char"/>
          <w:rtl/>
        </w:rPr>
        <w:t xml:space="preserve"> / 2.</w:t>
      </w:r>
      <w:r w:rsidRPr="00020424">
        <w:rPr>
          <w:rtl/>
          <w:lang w:bidi="fa-IR"/>
        </w:rPr>
        <w:t xml:space="preserve"> حَرِيزٌ </w:t>
      </w:r>
      <w:r w:rsidRPr="00A91B96">
        <w:rPr>
          <w:rStyle w:val="libFootnotenumChar"/>
          <w:rtl/>
        </w:rPr>
        <w:t>(9)</w:t>
      </w:r>
      <w:r w:rsidRPr="00020424">
        <w:rPr>
          <w:rtl/>
          <w:lang w:bidi="fa-IR"/>
        </w:rPr>
        <w:t xml:space="preserve"> ، عَنْ زُرَارَةَ ، عَنْ أَبِي عَبْدِ اللهِ </w:t>
      </w:r>
      <w:r w:rsidRPr="00005A81">
        <w:rPr>
          <w:rStyle w:val="libAlaemChar"/>
          <w:rtl/>
        </w:rPr>
        <w:t>عليه‌السلام</w:t>
      </w:r>
      <w:r w:rsidRPr="00020424">
        <w:rPr>
          <w:rtl/>
          <w:lang w:bidi="fa-IR"/>
        </w:rPr>
        <w:t xml:space="preserve"> مِثْلَهُ. وَقَالَ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 كُلُّ مَا كِيلَ بِالصَّاعِ ، فَبَلَغَ الْأَوْسَاقَ </w:t>
      </w:r>
      <w:r w:rsidRPr="00A91B96">
        <w:rPr>
          <w:rStyle w:val="libFootnotenumChar"/>
          <w:rtl/>
        </w:rPr>
        <w:t>(11)</w:t>
      </w:r>
      <w:r w:rsidRPr="00020424">
        <w:rPr>
          <w:rtl/>
          <w:lang w:bidi="fa-IR"/>
        </w:rPr>
        <w:t xml:space="preserve"> ، فَعَلَيْهِ الزَّكَاةُ</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w:t>
      </w:r>
      <w:r w:rsidRPr="00A91B96">
        <w:rPr>
          <w:rStyle w:val="libFootnotenumChar"/>
          <w:rtl/>
        </w:rPr>
        <w:t>(12)</w:t>
      </w:r>
      <w:r w:rsidRPr="00020424">
        <w:rPr>
          <w:rtl/>
          <w:lang w:bidi="fa-IR"/>
        </w:rPr>
        <w:t xml:space="preserve"> : « جَعَلَ رَسُولُ اللهِ </w:t>
      </w:r>
      <w:r w:rsidR="00B42914" w:rsidRPr="00B42914">
        <w:rPr>
          <w:rStyle w:val="libAlaemChar"/>
          <w:rtl/>
        </w:rPr>
        <w:t>صلى‌الله‌عليه‌وآله‌</w:t>
      </w:r>
      <w:r w:rsidRPr="00020424">
        <w:rPr>
          <w:rtl/>
          <w:lang w:bidi="fa-IR"/>
        </w:rPr>
        <w:t xml:space="preserve"> الصَّدَقَةَ فِي كُلِّ شَيْ‌ءٍ‌</w:t>
      </w:r>
      <w:r w:rsidR="00A47A6A">
        <w:rPr>
          <w:rFonts w:hint="cs"/>
          <w:rtl/>
          <w:lang w:bidi="fa-IR"/>
        </w:rPr>
        <w:t>........................</w:t>
      </w:r>
      <w:r w:rsidR="00A47A6A">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ص 3 </w:t>
      </w:r>
      <w:r w:rsidR="00992664" w:rsidRPr="00FD6221">
        <w:rPr>
          <w:rStyle w:val="libFootnoteBoldChar"/>
          <w:rtl/>
        </w:rPr>
        <w:t>والاستبصار</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الذُرَة » : ضرب من الحبّ معروف ، وأصله ذُرَءٌ أو ذُرَيٌ ، والهاء عوض. </w:t>
      </w:r>
      <w:r w:rsidR="00992664" w:rsidRPr="00A722B1">
        <w:rPr>
          <w:rStyle w:val="libFootnoteBoldChar"/>
          <w:rtl/>
        </w:rPr>
        <w:t>لسان العرب</w:t>
      </w:r>
      <w:r w:rsidR="00992664" w:rsidRPr="00020424">
        <w:rPr>
          <w:rtl/>
        </w:rPr>
        <w:t xml:space="preserve"> ، ح 14 ، ص 284 ( ذرا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الدُّخْنُ » : الجاوَرْس ، أو حبّ الجاوَرْس ، وهو ضرب من النبات أوراقه عريضة وحبّه مدوّر أبيض. راجع : </w:t>
      </w:r>
      <w:r w:rsidR="00992664" w:rsidRPr="0012008A">
        <w:rPr>
          <w:rStyle w:val="libFootnoteBoldChar"/>
          <w:rtl/>
        </w:rPr>
        <w:t>الصحاح</w:t>
      </w:r>
      <w:r w:rsidR="00992664" w:rsidRPr="00020424">
        <w:rPr>
          <w:rtl/>
        </w:rPr>
        <w:t xml:space="preserve"> ، ج 5 ، ص 2111 ؛ </w:t>
      </w:r>
      <w:r w:rsidR="00992664" w:rsidRPr="00A722B1">
        <w:rPr>
          <w:rStyle w:val="libFootnoteBoldChar"/>
          <w:rtl/>
        </w:rPr>
        <w:t>القاموس المحيط</w:t>
      </w:r>
      <w:r w:rsidR="00992664" w:rsidRPr="00020424">
        <w:rPr>
          <w:rtl/>
        </w:rPr>
        <w:t xml:space="preserve"> ، ج 2 ، ص 1571 ( دخن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السُّلْت » : ضرب من الشعير لا قشر له ، كأنّه حنطة. راجع : </w:t>
      </w:r>
      <w:r w:rsidR="00992664" w:rsidRPr="0012008A">
        <w:rPr>
          <w:rStyle w:val="libFootnoteBoldChar"/>
          <w:rtl/>
        </w:rPr>
        <w:t>الصحاح</w:t>
      </w:r>
      <w:r w:rsidR="00992664" w:rsidRPr="00020424">
        <w:rPr>
          <w:rtl/>
        </w:rPr>
        <w:t xml:space="preserve"> ، ج 1 ، ص 253 ؛ </w:t>
      </w:r>
      <w:r w:rsidR="00992664" w:rsidRPr="0012008A">
        <w:rPr>
          <w:rStyle w:val="libFootnoteBoldChar"/>
          <w:rtl/>
        </w:rPr>
        <w:t>النهاية</w:t>
      </w:r>
      <w:r w:rsidR="00992664" w:rsidRPr="00020424">
        <w:rPr>
          <w:rtl/>
        </w:rPr>
        <w:t xml:space="preserve"> ، ج 2 ، ص 388 ( سلت )</w:t>
      </w:r>
      <w:r w:rsidR="00992664">
        <w:rPr>
          <w:rtl/>
        </w:rPr>
        <w:t>.</w:t>
      </w:r>
      <w:r w:rsidR="00992664" w:rsidRPr="00020424">
        <w:rPr>
          <w:rtl/>
        </w:rPr>
        <w:t xml:space="preserve"> وكذا قال الشيخ في </w:t>
      </w:r>
      <w:r w:rsidR="00992664" w:rsidRPr="009B1CE5">
        <w:rPr>
          <w:rtl/>
        </w:rPr>
        <w:t>الخلاف</w:t>
      </w:r>
      <w:r w:rsidR="00992664" w:rsidRPr="00020424">
        <w:rPr>
          <w:rtl/>
        </w:rPr>
        <w:t xml:space="preserve"> ، ج 2 ، ص 65 ، المسألة 77.</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قرأه في </w:t>
      </w:r>
      <w:r w:rsidR="00992664" w:rsidRPr="009B1CE5">
        <w:rPr>
          <w:rtl/>
        </w:rPr>
        <w:t>مرآة العقول</w:t>
      </w:r>
      <w:r w:rsidR="00992664" w:rsidRPr="00020424">
        <w:rPr>
          <w:rtl/>
        </w:rPr>
        <w:t xml:space="preserve"> : « العلس » ، وكذا في الأحاديث الآتية وترجمه بنوع من الحنطة.</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3 : « ذلك</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هذه الأخبار حملها </w:t>
      </w:r>
      <w:r w:rsidR="00992664" w:rsidRPr="00660FBB">
        <w:rPr>
          <w:rtl/>
        </w:rPr>
        <w:t>في التهذيبين</w:t>
      </w:r>
      <w:r w:rsidR="00992664" w:rsidRPr="00020424">
        <w:rPr>
          <w:rtl/>
        </w:rPr>
        <w:t xml:space="preserve"> على الندب والاستحباب فيما سوى التسعة ؛ مستدلًّا عليه بقوله </w:t>
      </w:r>
      <w:r w:rsidR="00992664" w:rsidRPr="00D64ADA">
        <w:rPr>
          <w:rStyle w:val="libFootnoteAlaemChar"/>
          <w:rtl/>
        </w:rPr>
        <w:t>عليه‌السلام</w:t>
      </w:r>
      <w:r w:rsidR="00992664" w:rsidRPr="00020424">
        <w:rPr>
          <w:rtl/>
        </w:rPr>
        <w:t xml:space="preserve"> في خبر ابن مهزيار : كذلك هو ، مع قوله فيه : والزكاة في كلّ ما كيل ، فلو لا الإيجاب في التسعة والاستحباب فيما سواها ليناقض الكلام بعضه بعضاً.</w:t>
      </w:r>
    </w:p>
    <w:p w:rsidR="00992664" w:rsidRPr="00020424" w:rsidRDefault="00992664" w:rsidP="00660FBB">
      <w:pPr>
        <w:pStyle w:val="libFootnote0"/>
        <w:rPr>
          <w:rtl/>
          <w:lang w:bidi="fa-IR"/>
        </w:rPr>
      </w:pPr>
      <w:r w:rsidRPr="00660FBB">
        <w:rPr>
          <w:rtl/>
        </w:rPr>
        <w:t xml:space="preserve">والظاهر من سكوت صاحب </w:t>
      </w:r>
      <w:r w:rsidRPr="009B1CE5">
        <w:rPr>
          <w:rtl/>
        </w:rPr>
        <w:t>الكافي</w:t>
      </w:r>
      <w:r w:rsidRPr="00660FBB">
        <w:rPr>
          <w:rtl/>
        </w:rPr>
        <w:t xml:space="preserve"> وصريح ما نقله فيه عن يونس الإيجاب في الكلّ ، قال : قال يونس : إنّما سنّت في أوّل النبوّة على تسعة أشياء ، ثمّ وضعت على جميع الحبوب.</w:t>
      </w:r>
    </w:p>
    <w:p w:rsidR="00992664" w:rsidRPr="00020424" w:rsidRDefault="00992664" w:rsidP="00660FBB">
      <w:pPr>
        <w:pStyle w:val="libFootnote0"/>
        <w:rPr>
          <w:rtl/>
          <w:lang w:bidi="fa-IR"/>
        </w:rPr>
      </w:pPr>
      <w:r w:rsidRPr="00660FBB">
        <w:rPr>
          <w:rtl/>
        </w:rPr>
        <w:t xml:space="preserve">أقول : ينافي هذا إنكار الصادق </w:t>
      </w:r>
      <w:r w:rsidRPr="00D64ADA">
        <w:rPr>
          <w:rStyle w:val="libFootnoteAlaemChar"/>
          <w:rtl/>
        </w:rPr>
        <w:t>عليه‌السلام</w:t>
      </w:r>
      <w:r w:rsidRPr="00660FBB">
        <w:rPr>
          <w:rtl/>
        </w:rPr>
        <w:t xml:space="preserve"> على من قال : عندنا أَر</w:t>
      </w:r>
      <w:r w:rsidR="002C30A4">
        <w:rPr>
          <w:rtl/>
        </w:rPr>
        <w:t>زّ ، وما يأتي في باب زكاة الغل</w:t>
      </w:r>
      <w:r w:rsidR="002C30A4">
        <w:rPr>
          <w:rFonts w:hint="cs"/>
          <w:rtl/>
        </w:rPr>
        <w:t>ّ</w:t>
      </w:r>
      <w:r w:rsidR="002C30A4">
        <w:rPr>
          <w:rtl/>
        </w:rPr>
        <w:t>ا</w:t>
      </w:r>
      <w:r w:rsidRPr="00660FBB">
        <w:rPr>
          <w:rtl/>
        </w:rPr>
        <w:t xml:space="preserve">ت من الأخبار ، بل المستفاد من سياق حديث ابن مهزيار التقيّة في فتواهم </w:t>
      </w:r>
      <w:r w:rsidRPr="00D64ADA">
        <w:rPr>
          <w:rStyle w:val="libFootnoteAlaemChar"/>
          <w:rtl/>
        </w:rPr>
        <w:t>عليهم‌السلام</w:t>
      </w:r>
      <w:r w:rsidRPr="00660FBB">
        <w:rPr>
          <w:rtl/>
        </w:rPr>
        <w:t xml:space="preserve"> بمرّ الحقّ في هذه المسألة ، فينبغي أن يحمل ما ورد في زكاة سوى التسعة على التقيّة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 ، ح 7 ؛ وص 65 ، ح 175 ؛ </w:t>
      </w:r>
      <w:r w:rsidR="00992664" w:rsidRPr="00FD6221">
        <w:rPr>
          <w:rStyle w:val="libFootnoteBoldChar"/>
          <w:rtl/>
        </w:rPr>
        <w:t>والاستبصار</w:t>
      </w:r>
      <w:r w:rsidR="00992664" w:rsidRPr="00020424">
        <w:rPr>
          <w:rtl/>
        </w:rPr>
        <w:t xml:space="preserve"> ، ج 2 ، ص 3 ، ح 7 ، معلّقاً عن الكليني. </w:t>
      </w:r>
      <w:r w:rsidR="00992664" w:rsidRPr="0012008A">
        <w:rPr>
          <w:rStyle w:val="libFootnoteBoldChar"/>
          <w:rtl/>
        </w:rPr>
        <w:t>المقنعة</w:t>
      </w:r>
      <w:r w:rsidR="00992664" w:rsidRPr="00020424">
        <w:rPr>
          <w:rtl/>
        </w:rPr>
        <w:t xml:space="preserve"> ، ص 245 ، مرسلاً عن محمّد بن مسلم </w:t>
      </w:r>
      <w:r w:rsidR="00E936AE">
        <w:rPr>
          <w:rFonts w:hint="cs"/>
          <w:rtl/>
        </w:rPr>
        <w:t xml:space="preserve">. </w:t>
      </w:r>
      <w:r w:rsidR="00992664" w:rsidRPr="0012008A">
        <w:rPr>
          <w:rStyle w:val="libFootnoteBoldChar"/>
          <w:rtl/>
        </w:rPr>
        <w:t>الوافي</w:t>
      </w:r>
      <w:r w:rsidR="00992664" w:rsidRPr="00020424">
        <w:rPr>
          <w:rtl/>
        </w:rPr>
        <w:t xml:space="preserve"> ، ج 10 ، ص 58 ، ح 9146 ؛ </w:t>
      </w:r>
      <w:r w:rsidR="00992664" w:rsidRPr="0012008A">
        <w:rPr>
          <w:rStyle w:val="libFootnoteBoldChar"/>
          <w:rtl/>
        </w:rPr>
        <w:t>الوسائل</w:t>
      </w:r>
      <w:r w:rsidR="00992664" w:rsidRPr="00020424">
        <w:rPr>
          <w:rtl/>
        </w:rPr>
        <w:t xml:space="preserve"> ، ج 9 ، ص 62 ، ح 11524.</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على سابقه. ويروي عن حريز ، عليّ بن إبراهيم عن أبيه عن حمّاد بن عيسى.</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 « قال </w:t>
      </w:r>
      <w:r w:rsidR="00992664">
        <w:rPr>
          <w:rtl/>
        </w:rPr>
        <w:t>و ».</w:t>
      </w:r>
    </w:p>
    <w:p w:rsidR="00992664" w:rsidRPr="00020424" w:rsidRDefault="00795177" w:rsidP="00120327">
      <w:pPr>
        <w:pStyle w:val="libFootnote0"/>
        <w:rPr>
          <w:rtl/>
          <w:lang w:bidi="fa-IR"/>
        </w:rPr>
      </w:pPr>
      <w:r>
        <w:rPr>
          <w:rtl/>
        </w:rPr>
        <w:t>(11).</w:t>
      </w:r>
      <w:r w:rsidR="0014403D">
        <w:rPr>
          <w:rtl/>
        </w:rPr>
        <w:t xml:space="preserve"> </w:t>
      </w:r>
      <w:r w:rsidR="00992664" w:rsidRPr="00020424">
        <w:rPr>
          <w:rtl/>
        </w:rPr>
        <w:t>« الأوساق » : جمع الوَسْق ، قال ابن الأثير : « الوسق ، بالفتح : ستّون صاعاً ، وهو ثلاثمائة وعشرون رطلاً عند أهل الحجاز ، وأربعمائة وثمانون رطلاً عند أهل العراق على اختلافهم في مقدار الصاع والمدّ</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5 ، ص 185 ( وسق )</w:t>
      </w:r>
      <w:r w:rsidR="00992664">
        <w:rPr>
          <w:rtl/>
        </w:rPr>
        <w:t>.</w:t>
      </w:r>
      <w:r w:rsidR="00120327">
        <w:rPr>
          <w:rFonts w:hint="cs"/>
          <w:rtl/>
        </w:rPr>
        <w:t xml:space="preserve">                            </w:t>
      </w:r>
      <w:r>
        <w:rPr>
          <w:rtl/>
        </w:rPr>
        <w:t>(12).</w:t>
      </w:r>
      <w:r w:rsidR="0014403D">
        <w:rPr>
          <w:rtl/>
        </w:rPr>
        <w:t xml:space="preserve"> </w:t>
      </w:r>
      <w:r w:rsidR="00992664" w:rsidRPr="00020424">
        <w:rPr>
          <w:rtl/>
        </w:rPr>
        <w:t>في«بخ»:«فقال</w:t>
      </w:r>
      <w:r w:rsidR="00992664">
        <w:rPr>
          <w:rtl/>
        </w:rPr>
        <w:t>».</w:t>
      </w:r>
      <w:r w:rsidR="00992664" w:rsidRPr="00020424">
        <w:rPr>
          <w:rtl/>
        </w:rPr>
        <w:t xml:space="preserve"> وفي </w:t>
      </w:r>
      <w:r w:rsidR="00992664" w:rsidRPr="0012008A">
        <w:rPr>
          <w:rStyle w:val="libFootnoteBoldChar"/>
          <w:rtl/>
        </w:rPr>
        <w:t>الوافي</w:t>
      </w:r>
      <w:r w:rsidR="00992664" w:rsidRPr="00020424">
        <w:rPr>
          <w:rtl/>
        </w:rPr>
        <w:t xml:space="preserve"> : « قال </w:t>
      </w:r>
      <w:r w:rsidR="00992664">
        <w:rPr>
          <w:rtl/>
        </w:rPr>
        <w:t>و ».</w:t>
      </w:r>
    </w:p>
    <w:p w:rsidR="00795177" w:rsidRDefault="00795177" w:rsidP="00795177">
      <w:pPr>
        <w:pStyle w:val="libNormal"/>
        <w:rPr>
          <w:rtl/>
          <w:lang w:bidi="fa-IR"/>
        </w:rPr>
      </w:pPr>
      <w:r>
        <w:rPr>
          <w:rtl/>
          <w:lang w:bidi="fa-IR"/>
        </w:rPr>
        <w:br w:type="page"/>
      </w:r>
    </w:p>
    <w:p w:rsidR="00992664" w:rsidRPr="00020424" w:rsidRDefault="00992664" w:rsidP="00D54B58">
      <w:pPr>
        <w:rPr>
          <w:rtl/>
          <w:lang w:bidi="fa-IR"/>
        </w:rPr>
      </w:pPr>
      <w:r w:rsidRPr="00020424">
        <w:rPr>
          <w:rtl/>
          <w:lang w:bidi="fa-IR"/>
        </w:rPr>
        <w:lastRenderedPageBreak/>
        <w:t xml:space="preserve">أَنْبَتَتِ </w:t>
      </w:r>
      <w:r w:rsidRPr="00A91B96">
        <w:rPr>
          <w:rStyle w:val="libFootnotenumChar"/>
          <w:rtl/>
        </w:rPr>
        <w:t>(1)</w:t>
      </w:r>
      <w:r w:rsidR="005E4224">
        <w:rPr>
          <w:rtl/>
          <w:lang w:bidi="fa-IR"/>
        </w:rPr>
        <w:t xml:space="preserve"> الْأَرْضُ ، إِل</w:t>
      </w:r>
      <w:r w:rsidR="005E4224">
        <w:rPr>
          <w:rFonts w:hint="cs"/>
          <w:rtl/>
          <w:lang w:bidi="fa-IR"/>
        </w:rPr>
        <w:t>َّ</w:t>
      </w:r>
      <w:r w:rsidR="005E4224">
        <w:rPr>
          <w:rtl/>
          <w:lang w:bidi="fa-IR"/>
        </w:rPr>
        <w:t>ا</w:t>
      </w:r>
      <w:r w:rsidRPr="00020424">
        <w:rPr>
          <w:rtl/>
          <w:lang w:bidi="fa-IR"/>
        </w:rPr>
        <w:t xml:space="preserve"> مَا كَانَ </w:t>
      </w:r>
      <w:r w:rsidRPr="00A91B96">
        <w:rPr>
          <w:rStyle w:val="libFootnotenumChar"/>
          <w:rtl/>
        </w:rPr>
        <w:t>(2)</w:t>
      </w:r>
      <w:r w:rsidRPr="00020424">
        <w:rPr>
          <w:rtl/>
          <w:lang w:bidi="fa-IR"/>
        </w:rPr>
        <w:t xml:space="preserve"> فِي </w:t>
      </w:r>
      <w:r w:rsidRPr="00A91B96">
        <w:rPr>
          <w:rStyle w:val="libFootnotenumChar"/>
          <w:rtl/>
        </w:rPr>
        <w:t>(3)</w:t>
      </w:r>
      <w:r w:rsidRPr="00020424">
        <w:rPr>
          <w:rtl/>
          <w:lang w:bidi="fa-IR"/>
        </w:rPr>
        <w:t xml:space="preserve"> الْخُضَرِ وَالْبُقُولِ ، وَكُلَّ شَيْ‌ءٍ يَفْسُدُ مِنْ يَوْمِهِ</w:t>
      </w:r>
      <w:r>
        <w:rPr>
          <w:rtl/>
          <w:lang w:bidi="fa-IR"/>
        </w:rPr>
        <w:t xml:space="preserve"> ».</w:t>
      </w:r>
      <w:r w:rsidRPr="00A91B96">
        <w:rPr>
          <w:rStyle w:val="libFootnotenumChar"/>
          <w:rtl/>
        </w:rPr>
        <w:t>(4)</w:t>
      </w:r>
      <w:r w:rsidRPr="00020424">
        <w:rPr>
          <w:rtl/>
          <w:lang w:bidi="fa-IR"/>
        </w:rPr>
        <w:t>‌</w:t>
      </w:r>
    </w:p>
    <w:p w:rsidR="00992664" w:rsidRPr="00020424" w:rsidRDefault="00992664" w:rsidP="00992664">
      <w:pPr>
        <w:pStyle w:val="libNormal"/>
        <w:rPr>
          <w:rtl/>
          <w:lang w:bidi="fa-IR"/>
        </w:rPr>
      </w:pPr>
      <w:r w:rsidRPr="009B1CE5">
        <w:rPr>
          <w:rtl/>
        </w:rPr>
        <w:t>5771</w:t>
      </w:r>
      <w:r w:rsidRPr="001155DE">
        <w:rPr>
          <w:rStyle w:val="libBold2Char"/>
          <w:rtl/>
        </w:rPr>
        <w:t xml:space="preserve"> / 3.</w:t>
      </w:r>
      <w:r w:rsidRPr="00020424">
        <w:rPr>
          <w:rtl/>
          <w:lang w:bidi="fa-IR"/>
        </w:rPr>
        <w:t xml:space="preserve"> مُحَمَّدُ بْنُ يَحْيى ، عَنْ أَحْمَدَ بْنِ مُحَمَّدِ بْنِ عِيسى ، عَنِ الْعَبَّاسِ بْنِ مَعْرُوفٍ ، عَنْ عَلِيِّ بْنِ مَهْزِيَارَ ، قَالَ :</w:t>
      </w:r>
    </w:p>
    <w:p w:rsidR="00992664" w:rsidRPr="00020424" w:rsidRDefault="00992664" w:rsidP="000C036F">
      <w:pPr>
        <w:pStyle w:val="libNormal"/>
        <w:rPr>
          <w:rtl/>
          <w:lang w:bidi="fa-IR"/>
        </w:rPr>
      </w:pPr>
      <w:r w:rsidRPr="00020424">
        <w:rPr>
          <w:rtl/>
          <w:lang w:bidi="fa-IR"/>
        </w:rPr>
        <w:t xml:space="preserve">قَرَأْتُ فِي كِتَابِ عَبْدِ اللهِ بْنِ مُحَمَّدٍ إِلى أَبِي الْحَسَنِ </w:t>
      </w:r>
      <w:r w:rsidRPr="00005A81">
        <w:rPr>
          <w:rStyle w:val="libAlaemChar"/>
          <w:rtl/>
        </w:rPr>
        <w:t>عليه‌السلام</w:t>
      </w:r>
      <w:r w:rsidRPr="00020424">
        <w:rPr>
          <w:rtl/>
          <w:lang w:bidi="fa-IR"/>
        </w:rPr>
        <w:t xml:space="preserve"> : جُعِلْتُ فِدَاكَ ، رُوِيَ عَنْ أَبِي عَبْدِ اللهِ </w:t>
      </w:r>
      <w:r w:rsidRPr="00005A81">
        <w:rPr>
          <w:rStyle w:val="libAlaemChar"/>
          <w:rtl/>
        </w:rPr>
        <w:t>عليه‌السلام</w:t>
      </w:r>
      <w:r w:rsidRPr="00020424">
        <w:rPr>
          <w:rtl/>
          <w:lang w:bidi="fa-IR"/>
        </w:rPr>
        <w:t xml:space="preserve"> أَنَّهُ قَالَ : « وَضَعَ رَسُولُ اللهِ </w:t>
      </w:r>
      <w:r w:rsidR="00B42914" w:rsidRPr="00B42914">
        <w:rPr>
          <w:rStyle w:val="libAlaemChar"/>
          <w:rtl/>
        </w:rPr>
        <w:t>صلى‌الله‌عليه‌وآله‌</w:t>
      </w:r>
      <w:r w:rsidRPr="00020424">
        <w:rPr>
          <w:rtl/>
          <w:lang w:bidi="fa-IR"/>
        </w:rPr>
        <w:t xml:space="preserve"> الزَّكَاةَ عَلى تِسْعَةِ أَشْيَاءَ </w:t>
      </w:r>
      <w:r w:rsidRPr="00A91B96">
        <w:rPr>
          <w:rStyle w:val="libFootnotenumChar"/>
          <w:rtl/>
        </w:rPr>
        <w:t>(5)</w:t>
      </w:r>
      <w:r w:rsidRPr="00020424">
        <w:rPr>
          <w:rtl/>
          <w:lang w:bidi="fa-IR"/>
        </w:rPr>
        <w:t xml:space="preserve"> : الْحِنْطَةِ ، وَالشَّعِيرِ ، وَالتَّمْرِ ، وَالزَّبِيبِ ، وَالذَّهَبِ ، وَالْفِضَّةِ ، وَالْغَنَمِ ، وَالْبَقَرِ ، وَالْإِبِلِ ، وَعَفَا رَسُولُ اللهِ </w:t>
      </w:r>
      <w:r w:rsidR="00B42914" w:rsidRPr="00B42914">
        <w:rPr>
          <w:rStyle w:val="libAlaemChar"/>
          <w:rtl/>
        </w:rPr>
        <w:t>صلى‌الله‌عليه‌وآله‌</w:t>
      </w:r>
      <w:r w:rsidRPr="00020424">
        <w:rPr>
          <w:rtl/>
          <w:lang w:bidi="fa-IR"/>
        </w:rPr>
        <w:t xml:space="preserve"> عَمَّا سِوى ذلِكَ » فَقَالَ لَهُ الْقَائِلُ </w:t>
      </w:r>
      <w:r w:rsidRPr="00A91B96">
        <w:rPr>
          <w:rStyle w:val="libFootnotenumChar"/>
          <w:rtl/>
        </w:rPr>
        <w:t>(6)</w:t>
      </w:r>
      <w:r w:rsidRPr="00020424">
        <w:rPr>
          <w:rtl/>
          <w:lang w:bidi="fa-IR"/>
        </w:rPr>
        <w:t xml:space="preserve"> : عِنْدَنَا شَيْ‌ءٌ كَثِيرٌ يَكُونُ أَضْعَافَ </w:t>
      </w:r>
      <w:r w:rsidRPr="00A91B96">
        <w:rPr>
          <w:rStyle w:val="libFootnotenumChar"/>
          <w:rtl/>
        </w:rPr>
        <w:t>(7)</w:t>
      </w:r>
      <w:r w:rsidRPr="00020424">
        <w:rPr>
          <w:rtl/>
          <w:lang w:bidi="fa-IR"/>
        </w:rPr>
        <w:t xml:space="preserve"> ذلِكَ ، فَقَالَ : « وَمَا </w:t>
      </w:r>
      <w:r w:rsidRPr="00A91B96">
        <w:rPr>
          <w:rStyle w:val="libFootnotenumChar"/>
          <w:rtl/>
        </w:rPr>
        <w:t>(8)</w:t>
      </w:r>
      <w:r w:rsidRPr="00020424">
        <w:rPr>
          <w:rtl/>
          <w:lang w:bidi="fa-IR"/>
        </w:rPr>
        <w:t xml:space="preserve"> هُوَ</w:t>
      </w:r>
      <w:r>
        <w:rPr>
          <w:rtl/>
          <w:lang w:bidi="fa-IR"/>
        </w:rPr>
        <w:t>؟</w:t>
      </w:r>
      <w:r w:rsidRPr="00020424">
        <w:rPr>
          <w:rtl/>
          <w:lang w:bidi="fa-IR"/>
        </w:rPr>
        <w:t xml:space="preserve"> » فَقَالَ </w:t>
      </w:r>
      <w:r w:rsidRPr="00A91B96">
        <w:rPr>
          <w:rStyle w:val="libFootnotenumChar"/>
          <w:rtl/>
        </w:rPr>
        <w:t>(9)</w:t>
      </w:r>
      <w:r w:rsidRPr="00020424">
        <w:rPr>
          <w:rtl/>
          <w:lang w:bidi="fa-IR"/>
        </w:rPr>
        <w:t xml:space="preserve"> لَهُ : الْأَرُزُّ ، فَقَالَ أَبُو عَبْدِ اللهِ </w:t>
      </w:r>
      <w:r w:rsidRPr="00005A81">
        <w:rPr>
          <w:rStyle w:val="libAlaemChar"/>
          <w:rtl/>
        </w:rPr>
        <w:t>عليه‌السلام</w:t>
      </w:r>
      <w:r w:rsidRPr="00020424">
        <w:rPr>
          <w:rtl/>
          <w:lang w:bidi="fa-IR"/>
        </w:rPr>
        <w:t xml:space="preserve"> : « أَقُولُ لَكَ : إِنَّ رَسُولَ اللهِ </w:t>
      </w:r>
      <w:r w:rsidR="00B42914" w:rsidRPr="00B42914">
        <w:rPr>
          <w:rStyle w:val="libAlaemChar"/>
          <w:rtl/>
        </w:rPr>
        <w:t>صلى‌الله‌عليه‌وآله‌</w:t>
      </w:r>
      <w:r w:rsidRPr="00020424">
        <w:rPr>
          <w:rtl/>
          <w:lang w:bidi="fa-IR"/>
        </w:rPr>
        <w:t xml:space="preserve"> وَضَعَ الزَّكَاةَ </w:t>
      </w:r>
      <w:r w:rsidRPr="00A91B96">
        <w:rPr>
          <w:rStyle w:val="libFootnotenumChar"/>
          <w:rtl/>
        </w:rPr>
        <w:t>(10)</w:t>
      </w:r>
      <w:r w:rsidRPr="00020424">
        <w:rPr>
          <w:rtl/>
          <w:lang w:bidi="fa-IR"/>
        </w:rPr>
        <w:t xml:space="preserve"> عَلى تِسْعَةِ أَشْيَاءَ ، وَعَفَا عَمَّا سِوى ذلِكَ ، وَتَقُولُ : عِنْدَنَا أَرُزٌّ </w:t>
      </w:r>
      <w:r w:rsidRPr="00A91B96">
        <w:rPr>
          <w:rStyle w:val="libFootnotenumChar"/>
          <w:rtl/>
        </w:rPr>
        <w:t>(11)</w:t>
      </w:r>
      <w:r w:rsidRPr="00020424">
        <w:rPr>
          <w:rtl/>
          <w:lang w:bidi="fa-IR"/>
        </w:rPr>
        <w:t xml:space="preserve"> ، وَعِنْدَنَا ذُرَةٌ ، وَقَدْ </w:t>
      </w:r>
      <w:r w:rsidRPr="00A91B96">
        <w:rPr>
          <w:rStyle w:val="libFootnotenumChar"/>
          <w:rtl/>
        </w:rPr>
        <w:t>(12)</w:t>
      </w:r>
      <w:r w:rsidRPr="00020424">
        <w:rPr>
          <w:rtl/>
          <w:lang w:bidi="fa-IR"/>
        </w:rPr>
        <w:t xml:space="preserve"> كَانَتِ الذُّرَةُ عَلى عَهْدِ رَسُولِ اللهِ </w:t>
      </w:r>
      <w:r w:rsidR="000C036F" w:rsidRPr="00B42914">
        <w:rPr>
          <w:rStyle w:val="libAlaemChar"/>
          <w:rtl/>
        </w:rPr>
        <w:t>صلى‌الله‌عليه‌وآله‌</w:t>
      </w:r>
      <w:r w:rsidR="000C036F" w:rsidRPr="00020424">
        <w:rPr>
          <w:rtl/>
          <w:lang w:bidi="fa-IR"/>
        </w:rPr>
        <w:t xml:space="preserve"> </w:t>
      </w:r>
      <w:r w:rsidRPr="00020424">
        <w:rPr>
          <w:rtl/>
          <w:lang w:bidi="fa-IR"/>
        </w:rPr>
        <w:t xml:space="preserve">» فَوَقَّعَ </w:t>
      </w:r>
      <w:r w:rsidRPr="00005A81">
        <w:rPr>
          <w:rStyle w:val="libAlaemChar"/>
          <w:rtl/>
        </w:rPr>
        <w:t>عليه‌السلام</w:t>
      </w:r>
      <w:r w:rsidRPr="00020424">
        <w:rPr>
          <w:rtl/>
          <w:lang w:bidi="fa-IR"/>
        </w:rPr>
        <w:t xml:space="preserve"> : « كَذلِكَ هُوَ ، وَالزَّكَاةُ عَلى </w:t>
      </w:r>
      <w:r w:rsidRPr="00A91B96">
        <w:rPr>
          <w:rStyle w:val="libFootnotenumChar"/>
          <w:rtl/>
        </w:rPr>
        <w:t>(13)</w:t>
      </w:r>
      <w:r w:rsidRPr="00020424">
        <w:rPr>
          <w:rtl/>
          <w:lang w:bidi="fa-IR"/>
        </w:rPr>
        <w:t xml:space="preserve"> كُلِّ مَا </w:t>
      </w:r>
      <w:r w:rsidRPr="00A91B96">
        <w:rPr>
          <w:rStyle w:val="libFootnotenumChar"/>
          <w:rtl/>
        </w:rPr>
        <w:t>(14)</w:t>
      </w:r>
      <w:r w:rsidRPr="00020424">
        <w:rPr>
          <w:rtl/>
          <w:lang w:bidi="fa-IR"/>
        </w:rPr>
        <w:t xml:space="preserve"> كِيلَ بِالصَّاعِ</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12910" w:rsidTr="00612910">
        <w:tc>
          <w:tcPr>
            <w:tcW w:w="4006" w:type="dxa"/>
          </w:tcPr>
          <w:p w:rsidR="00612910" w:rsidRDefault="00612910"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 « أنبتته</w:t>
            </w:r>
            <w:r>
              <w:rPr>
                <w:rtl/>
              </w:rPr>
              <w:t xml:space="preserve"> ».</w:t>
            </w:r>
          </w:p>
        </w:tc>
        <w:tc>
          <w:tcPr>
            <w:tcW w:w="4006" w:type="dxa"/>
          </w:tcPr>
          <w:p w:rsidR="00612910" w:rsidRDefault="00612910" w:rsidP="00992664">
            <w:pPr>
              <w:pStyle w:val="libFootnote0"/>
              <w:rPr>
                <w:rtl/>
              </w:rPr>
            </w:pPr>
            <w:r>
              <w:rPr>
                <w:rtl/>
              </w:rPr>
              <w:t xml:space="preserve">(2). </w:t>
            </w:r>
            <w:r w:rsidRPr="00020424">
              <w:rPr>
                <w:rtl/>
              </w:rPr>
              <w:t>في « بخ » :</w:t>
            </w:r>
            <w:r>
              <w:rPr>
                <w:rtl/>
              </w:rPr>
              <w:t xml:space="preserve"> - </w:t>
            </w:r>
            <w:r w:rsidRPr="00020424">
              <w:rPr>
                <w:rtl/>
              </w:rPr>
              <w:t>« ما كان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ما كان في</w:t>
      </w:r>
      <w:r w:rsidR="00992664">
        <w:rPr>
          <w:rtl/>
        </w:rPr>
        <w:t xml:space="preserve"> ».</w:t>
      </w:r>
    </w:p>
    <w:p w:rsidR="00992664" w:rsidRPr="00020424" w:rsidRDefault="00795177" w:rsidP="00DA5F5E">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65 ، ح 176 معلّقاً عن حريز ، مع اختلاف يسير. </w:t>
      </w:r>
      <w:r w:rsidR="00992664" w:rsidRPr="009B1CE5">
        <w:rPr>
          <w:rtl/>
        </w:rPr>
        <w:t>وفيه</w:t>
      </w:r>
      <w:r w:rsidR="00992664" w:rsidRPr="00020424">
        <w:rPr>
          <w:rtl/>
        </w:rPr>
        <w:t xml:space="preserve"> ، ص 66 ، ح 179 ، بسند آخر ، من قوله : « الصدقة في كلّ شي‌ء » مع اختلاف. </w:t>
      </w:r>
      <w:r w:rsidR="00992664" w:rsidRPr="0012008A">
        <w:rPr>
          <w:rStyle w:val="libFootnoteBoldChar"/>
          <w:rtl/>
        </w:rPr>
        <w:t>المقنعة</w:t>
      </w:r>
      <w:r w:rsidR="00992664" w:rsidRPr="00020424">
        <w:rPr>
          <w:rtl/>
        </w:rPr>
        <w:t xml:space="preserve"> ، ص 245 ، مرسلاً عن زرارة ، عن أبي عبدالله </w:t>
      </w:r>
      <w:r w:rsidR="00992664" w:rsidRPr="00D64ADA">
        <w:rPr>
          <w:rStyle w:val="libFootnoteAlaemChar"/>
          <w:rtl/>
        </w:rPr>
        <w:t>عليه‌السلام</w:t>
      </w:r>
      <w:r w:rsidR="00992664" w:rsidRPr="00020424">
        <w:rPr>
          <w:rtl/>
        </w:rPr>
        <w:t xml:space="preserve"> ، إلى قوله : « فعليه الزكاة »</w:t>
      </w:r>
      <w:r w:rsidR="00E53188">
        <w:rPr>
          <w:rFonts w:hint="cs"/>
          <w:rtl/>
        </w:rPr>
        <w:t>.</w:t>
      </w:r>
      <w:r w:rsidR="00992664" w:rsidRPr="0012008A">
        <w:rPr>
          <w:rStyle w:val="libFootnoteBoldChar"/>
          <w:rtl/>
        </w:rPr>
        <w:t>الوافي</w:t>
      </w:r>
      <w:r w:rsidR="00992664" w:rsidRPr="00020424">
        <w:rPr>
          <w:rtl/>
        </w:rPr>
        <w:t xml:space="preserve"> ، ج 10 ، ص 58 ، ح 9147 ؛ </w:t>
      </w:r>
      <w:r w:rsidR="00992664" w:rsidRPr="0012008A">
        <w:rPr>
          <w:rStyle w:val="libFootnoteBoldChar"/>
          <w:rtl/>
        </w:rPr>
        <w:t>الوسائل</w:t>
      </w:r>
      <w:r w:rsidR="00DA5F5E">
        <w:rPr>
          <w:rtl/>
        </w:rPr>
        <w:t xml:space="preserve"> ، ج 9 ، ص 63 ، ح 11526 ؛</w:t>
      </w:r>
      <w:r w:rsidR="00992664" w:rsidRPr="009B1CE5">
        <w:rPr>
          <w:rtl/>
        </w:rPr>
        <w:t>فيه</w:t>
      </w:r>
      <w:r w:rsidR="00DA5F5E">
        <w:rPr>
          <w:rtl/>
        </w:rPr>
        <w:t xml:space="preserve"> ،ص 67،ح 11536،من قوله:«وقال:</w:t>
      </w:r>
      <w:r w:rsidR="00992664" w:rsidRPr="00020424">
        <w:rPr>
          <w:rtl/>
        </w:rPr>
        <w:t xml:space="preserve">جعل رسول الله </w:t>
      </w:r>
      <w:r w:rsidR="00D64ADA" w:rsidRPr="00D64ADA">
        <w:rPr>
          <w:rStyle w:val="libFootnoteAlaemChar"/>
          <w:rtl/>
        </w:rPr>
        <w:t>صلى‌الله‌عليه‌وآله</w:t>
      </w:r>
      <w:r w:rsidR="00B42914" w:rsidRPr="00B42914">
        <w:rPr>
          <w:rStyle w:val="libAlaemChar"/>
          <w:rtl/>
        </w:rPr>
        <w:t>‌</w:t>
      </w:r>
      <w:r w:rsidR="00992664">
        <w:rPr>
          <w:rtl/>
        </w:rPr>
        <w:t xml:space="preserve"> ».</w:t>
      </w: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على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الاستبصار : « قائل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بأضعاف</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ما » بدون الواو.</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وحاشية « بث ، بح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الصدقة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A5F5E" w:rsidTr="00DA5F5E">
        <w:tc>
          <w:tcPr>
            <w:tcW w:w="4006" w:type="dxa"/>
          </w:tcPr>
          <w:p w:rsidR="00DA5F5E" w:rsidRDefault="00DA5F5E" w:rsidP="00992664">
            <w:pPr>
              <w:pStyle w:val="libFootnote0"/>
              <w:rPr>
                <w:rtl/>
              </w:rPr>
            </w:pPr>
            <w:r>
              <w:rPr>
                <w:rtl/>
              </w:rPr>
              <w:t xml:space="preserve">(11). </w:t>
            </w:r>
            <w:r w:rsidRPr="00020424">
              <w:rPr>
                <w:rtl/>
              </w:rPr>
              <w:t>في الاستبصار : « إنّ عندنا أرزّاً</w:t>
            </w:r>
            <w:r>
              <w:rPr>
                <w:rtl/>
              </w:rPr>
              <w:t xml:space="preserve"> ».</w:t>
            </w:r>
          </w:p>
        </w:tc>
        <w:tc>
          <w:tcPr>
            <w:tcW w:w="4006" w:type="dxa"/>
          </w:tcPr>
          <w:p w:rsidR="00DA5F5E" w:rsidRDefault="00DA5F5E" w:rsidP="00992664">
            <w:pPr>
              <w:pStyle w:val="libFootnote0"/>
              <w:rPr>
                <w:rtl/>
              </w:rPr>
            </w:pPr>
            <w:r>
              <w:rPr>
                <w:rtl/>
              </w:rPr>
              <w:t xml:space="preserve">(12).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قد » بدون الواو.</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بث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بخ » : « فيما » بدل « على كلّ 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وَكَتَبَ </w:t>
      </w:r>
      <w:r w:rsidRPr="00A91B96">
        <w:rPr>
          <w:rStyle w:val="libFootnotenumChar"/>
          <w:rtl/>
        </w:rPr>
        <w:t>(1)</w:t>
      </w:r>
      <w:r w:rsidRPr="00020424">
        <w:rPr>
          <w:rtl/>
          <w:lang w:bidi="fa-IR"/>
        </w:rPr>
        <w:t xml:space="preserve"> عَبْدُ اللهِ : وَ</w:t>
      </w:r>
      <w:r w:rsidR="00CB186A">
        <w:rPr>
          <w:rFonts w:hint="cs"/>
          <w:rtl/>
          <w:lang w:bidi="fa-IR"/>
        </w:rPr>
        <w:t xml:space="preserve"> </w:t>
      </w:r>
      <w:r w:rsidRPr="00020424">
        <w:rPr>
          <w:rtl/>
          <w:lang w:bidi="fa-IR"/>
        </w:rPr>
        <w:t xml:space="preserve">رَوى غَيْرُ هذَا الرَّجُلِ عَنْ أَبِي عَبْدِ اللهِ </w:t>
      </w:r>
      <w:r w:rsidRPr="00005A81">
        <w:rPr>
          <w:rStyle w:val="libAlaemChar"/>
          <w:rtl/>
        </w:rPr>
        <w:t>عليه‌السلام</w:t>
      </w:r>
      <w:r w:rsidRPr="00020424">
        <w:rPr>
          <w:rtl/>
          <w:lang w:bidi="fa-IR"/>
        </w:rPr>
        <w:t xml:space="preserve"> أَنَّهُ سَأَلَهُ عَنِ </w:t>
      </w:r>
      <w:r w:rsidRPr="00A91B96">
        <w:rPr>
          <w:rStyle w:val="libFootnotenumChar"/>
          <w:rtl/>
        </w:rPr>
        <w:t>(3)</w:t>
      </w:r>
      <w:r w:rsidRPr="00020424">
        <w:rPr>
          <w:rtl/>
          <w:lang w:bidi="fa-IR"/>
        </w:rPr>
        <w:t xml:space="preserve"> هذَا غَلَّةٌ كَالْحِنْطَةِ وَالشَّعِيرِ ، فَقَالَ أَبُو عَبْدِ اللهِ </w:t>
      </w:r>
      <w:r w:rsidRPr="00005A81">
        <w:rPr>
          <w:rStyle w:val="libAlaemChar"/>
          <w:rtl/>
        </w:rPr>
        <w:t>عليه‌السلام</w:t>
      </w:r>
      <w:r w:rsidRPr="00020424">
        <w:rPr>
          <w:rtl/>
          <w:lang w:bidi="fa-IR"/>
        </w:rPr>
        <w:t xml:space="preserve"> : « فِي الْحُبُوبِ كُلِّهَا زَكَاةٌ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9B1CE5">
        <w:rPr>
          <w:rtl/>
        </w:rPr>
        <w:t>5772</w:t>
      </w:r>
      <w:r w:rsidRPr="001155DE">
        <w:rPr>
          <w:rStyle w:val="libBold2Char"/>
          <w:rtl/>
        </w:rPr>
        <w:t xml:space="preserve"> / 4.</w:t>
      </w:r>
      <w:r w:rsidRPr="00020424">
        <w:rPr>
          <w:rtl/>
          <w:lang w:bidi="fa-IR"/>
        </w:rPr>
        <w:t xml:space="preserve"> وَرَوى </w:t>
      </w:r>
      <w:r w:rsidRPr="00A91B96">
        <w:rPr>
          <w:rStyle w:val="libFootnotenumChar"/>
          <w:rtl/>
        </w:rPr>
        <w:t>(5)</w:t>
      </w:r>
      <w:r w:rsidRPr="00020424">
        <w:rPr>
          <w:rtl/>
          <w:lang w:bidi="fa-IR"/>
        </w:rPr>
        <w:t xml:space="preserve"> أَيْضاً عَنْ أَبِي عَبْدِ اللهِ </w:t>
      </w:r>
      <w:r w:rsidRPr="00005A81">
        <w:rPr>
          <w:rStyle w:val="libAlaemChar"/>
          <w:rtl/>
        </w:rPr>
        <w:t>عليه‌السلام</w:t>
      </w:r>
      <w:r w:rsidRPr="00020424">
        <w:rPr>
          <w:rtl/>
          <w:lang w:bidi="fa-IR"/>
        </w:rPr>
        <w:t xml:space="preserve"> أَنَّهُ قَالَ :</w:t>
      </w:r>
    </w:p>
    <w:p w:rsidR="00992664" w:rsidRPr="00020424" w:rsidRDefault="00992664" w:rsidP="00992664">
      <w:pPr>
        <w:pStyle w:val="libNormal"/>
        <w:rPr>
          <w:rtl/>
          <w:lang w:bidi="fa-IR"/>
        </w:rPr>
      </w:pPr>
      <w:r w:rsidRPr="00020424">
        <w:rPr>
          <w:rtl/>
          <w:lang w:bidi="fa-IR"/>
        </w:rPr>
        <w:t xml:space="preserve">« كُلُّ مَا دَخَلَ الْقَفِيزَ </w:t>
      </w:r>
      <w:r w:rsidRPr="00A91B96">
        <w:rPr>
          <w:rStyle w:val="libFootnotenumChar"/>
          <w:rtl/>
        </w:rPr>
        <w:t>(6)</w:t>
      </w:r>
      <w:r w:rsidRPr="00020424">
        <w:rPr>
          <w:rtl/>
          <w:lang w:bidi="fa-IR"/>
        </w:rPr>
        <w:t xml:space="preserve"> ، فَهُوَ يَجْرِي مَجْرَى الْحِنْطَةِ وَالشَّعِيرِ وَالتَّمْرِ وَالزَّبِيبِ</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(7)</w:t>
      </w:r>
      <w:r w:rsidRPr="00020424">
        <w:rPr>
          <w:rtl/>
          <w:lang w:bidi="fa-IR"/>
        </w:rPr>
        <w:t xml:space="preserve"> : فَأَخْبِرْنِي جُعِلْتُ فِدَاكَ : هَلْ عَلى هذَا </w:t>
      </w:r>
      <w:r w:rsidRPr="00A91B96">
        <w:rPr>
          <w:rStyle w:val="libFootnotenumChar"/>
          <w:rtl/>
        </w:rPr>
        <w:t>(8)</w:t>
      </w:r>
      <w:r w:rsidRPr="00020424">
        <w:rPr>
          <w:rtl/>
          <w:lang w:bidi="fa-IR"/>
        </w:rPr>
        <w:t xml:space="preserve"> الْأَرُزِّ وَمَا أَشْبَهَهُ مِنَ الْحُبُوبِ</w:t>
      </w:r>
      <w:r>
        <w:rPr>
          <w:rtl/>
          <w:lang w:bidi="fa-IR"/>
        </w:rPr>
        <w:t xml:space="preserve"> </w:t>
      </w:r>
      <w:r w:rsidR="009B673F">
        <w:rPr>
          <w:rtl/>
          <w:lang w:bidi="fa-IR"/>
        </w:rPr>
        <w:t>-</w:t>
      </w:r>
      <w:r>
        <w:rPr>
          <w:rtl/>
          <w:lang w:bidi="fa-IR"/>
        </w:rPr>
        <w:t xml:space="preserve"> </w:t>
      </w:r>
      <w:r w:rsidRPr="00020424">
        <w:rPr>
          <w:rtl/>
          <w:lang w:bidi="fa-IR"/>
        </w:rPr>
        <w:t xml:space="preserve">الْحِمِّصِ </w:t>
      </w:r>
      <w:r w:rsidRPr="00A91B96">
        <w:rPr>
          <w:rStyle w:val="libFootnotenumChar"/>
          <w:rtl/>
        </w:rPr>
        <w:t>(9)</w:t>
      </w:r>
      <w:r w:rsidRPr="00020424">
        <w:rPr>
          <w:rtl/>
          <w:lang w:bidi="fa-IR"/>
        </w:rPr>
        <w:t xml:space="preserve"> وَالْعَدَسِ</w:t>
      </w:r>
      <w:r>
        <w:rPr>
          <w:rtl/>
          <w:lang w:bidi="fa-IR"/>
        </w:rPr>
        <w:t xml:space="preserve"> </w:t>
      </w:r>
      <w:r w:rsidR="009B673F">
        <w:rPr>
          <w:rtl/>
          <w:lang w:bidi="fa-IR"/>
        </w:rPr>
        <w:t>-</w:t>
      </w:r>
      <w:r>
        <w:rPr>
          <w:rtl/>
          <w:lang w:bidi="fa-IR"/>
        </w:rPr>
        <w:t xml:space="preserve"> </w:t>
      </w:r>
      <w:r w:rsidRPr="00020424">
        <w:rPr>
          <w:rtl/>
          <w:lang w:bidi="fa-IR"/>
        </w:rPr>
        <w:t>زَكَاةٌ</w:t>
      </w:r>
      <w:r>
        <w:rPr>
          <w:rtl/>
          <w:lang w:bidi="fa-IR"/>
        </w:rPr>
        <w:t>؟</w:t>
      </w:r>
    </w:p>
    <w:p w:rsidR="00992664" w:rsidRPr="00020424" w:rsidRDefault="00992664" w:rsidP="00CB186A">
      <w:pPr>
        <w:pStyle w:val="libNormal"/>
        <w:rPr>
          <w:rtl/>
          <w:lang w:bidi="fa-IR"/>
        </w:rPr>
      </w:pPr>
      <w:r w:rsidRPr="00020424">
        <w:rPr>
          <w:rtl/>
          <w:lang w:bidi="fa-IR"/>
        </w:rPr>
        <w:t xml:space="preserve">فَوَقَّعَ </w:t>
      </w:r>
      <w:r w:rsidRPr="00005A81">
        <w:rPr>
          <w:rStyle w:val="libAlaemChar"/>
          <w:rtl/>
        </w:rPr>
        <w:t>عليه‌السلام</w:t>
      </w:r>
      <w:r w:rsidRPr="00020424">
        <w:rPr>
          <w:rtl/>
          <w:lang w:bidi="fa-IR"/>
        </w:rPr>
        <w:t xml:space="preserve"> : « صَدَقُوا ، الزَّكَاةُ فِي كُلِّ شَيْ‌ءٍ كِيلَ</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Normal"/>
        <w:rPr>
          <w:rtl/>
          <w:lang w:bidi="fa-IR"/>
        </w:rPr>
      </w:pPr>
      <w:r w:rsidRPr="009B1CE5">
        <w:rPr>
          <w:rtl/>
        </w:rPr>
        <w:t>5773</w:t>
      </w:r>
      <w:r w:rsidRPr="001155DE">
        <w:rPr>
          <w:rStyle w:val="libBold2Char"/>
          <w:rtl/>
        </w:rPr>
        <w:t xml:space="preserve"> / 5.</w:t>
      </w:r>
      <w:r w:rsidRPr="00020424">
        <w:rPr>
          <w:rtl/>
          <w:lang w:bidi="fa-IR"/>
        </w:rPr>
        <w:t xml:space="preserve"> وَعَنْهُ ، عَنْ أَحْمَدَ بْنِ مُحَمَّدٍ ، عَنْ مُحَمَّدِ بْنِ إِسْمَاعِيلَ ، قَالَ :</w:t>
      </w:r>
    </w:p>
    <w:p w:rsidR="00992664" w:rsidRPr="00020424" w:rsidRDefault="00992664" w:rsidP="00992664">
      <w:pPr>
        <w:pStyle w:val="libNormal"/>
        <w:rPr>
          <w:rtl/>
          <w:lang w:bidi="fa-IR"/>
        </w:rPr>
      </w:pPr>
      <w:r w:rsidRPr="00020424">
        <w:rPr>
          <w:rtl/>
          <w:lang w:bidi="fa-IR"/>
        </w:rPr>
        <w:t xml:space="preserve">قُلْتُ لِأَبِي الْحَسَنِ </w:t>
      </w:r>
      <w:r w:rsidRPr="00005A81">
        <w:rPr>
          <w:rStyle w:val="libAlaemChar"/>
          <w:rtl/>
        </w:rPr>
        <w:t>عليه‌السلام</w:t>
      </w:r>
      <w:r w:rsidRPr="00020424">
        <w:rPr>
          <w:rtl/>
          <w:lang w:bidi="fa-IR"/>
        </w:rPr>
        <w:t xml:space="preserve"> : إِنَّ لَنَا رَطْبَةً وَأَرُزّاً ، فَمَا الَّذِي عَلَيْنَا فِيهَا </w:t>
      </w:r>
      <w:r w:rsidRPr="00A91B96">
        <w:rPr>
          <w:rStyle w:val="libFootnotenumChar"/>
          <w:rtl/>
        </w:rPr>
        <w:t>(11)</w:t>
      </w:r>
      <w:r>
        <w:rPr>
          <w:rtl/>
          <w:lang w:bidi="fa-IR"/>
        </w:rPr>
        <w:t>؟</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B186A" w:rsidTr="00CB186A">
        <w:tc>
          <w:tcPr>
            <w:tcW w:w="4006" w:type="dxa"/>
          </w:tcPr>
          <w:p w:rsidR="00CB186A" w:rsidRDefault="00CB186A" w:rsidP="00992664">
            <w:pPr>
              <w:pStyle w:val="libFootnote0"/>
              <w:rPr>
                <w:rtl/>
              </w:rPr>
            </w:pPr>
            <w:r>
              <w:rPr>
                <w:rtl/>
              </w:rPr>
              <w:t xml:space="preserve">(1). </w:t>
            </w:r>
            <w:r w:rsidRPr="00020424">
              <w:rPr>
                <w:rtl/>
              </w:rPr>
              <w:t>في « بث » : « فكتب</w:t>
            </w:r>
            <w:r>
              <w:rPr>
                <w:rtl/>
              </w:rPr>
              <w:t xml:space="preserve"> ».</w:t>
            </w:r>
          </w:p>
        </w:tc>
        <w:tc>
          <w:tcPr>
            <w:tcW w:w="4006" w:type="dxa"/>
          </w:tcPr>
          <w:p w:rsidR="00CB186A" w:rsidRDefault="00CB186A"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ما » بدون الواو.</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 « في كلّ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5 ، ح 11 ؛ </w:t>
      </w:r>
      <w:r w:rsidR="00992664" w:rsidRPr="00FD6221">
        <w:rPr>
          <w:rStyle w:val="libFootnoteBoldChar"/>
          <w:rtl/>
        </w:rPr>
        <w:t>والاستبصار</w:t>
      </w:r>
      <w:r w:rsidR="00992664" w:rsidRPr="00020424">
        <w:rPr>
          <w:rtl/>
        </w:rPr>
        <w:t xml:space="preserve"> ، ج 2 ، ص 5 ، ح 11 ، معلّقاً عن الكليني ، إلى قوله : « والزكاة على كلّ ما كيل بالصاع » </w:t>
      </w:r>
      <w:r w:rsidR="00A5798A">
        <w:rPr>
          <w:rFonts w:hint="cs"/>
          <w:rtl/>
        </w:rPr>
        <w:t>.</w:t>
      </w:r>
      <w:r w:rsidR="00992664" w:rsidRPr="0012008A">
        <w:rPr>
          <w:rStyle w:val="libFootnoteBoldChar"/>
          <w:rtl/>
        </w:rPr>
        <w:t>الوافي</w:t>
      </w:r>
      <w:r w:rsidR="00992664" w:rsidRPr="00020424">
        <w:rPr>
          <w:rtl/>
        </w:rPr>
        <w:t xml:space="preserve"> ، ج 10 ، ص 56 ، ح 9143 ؛ </w:t>
      </w:r>
      <w:r w:rsidR="00992664" w:rsidRPr="0012008A">
        <w:rPr>
          <w:rStyle w:val="libFootnoteBoldChar"/>
          <w:rtl/>
        </w:rPr>
        <w:t>الوسائل</w:t>
      </w:r>
      <w:r w:rsidR="00992664" w:rsidRPr="00020424">
        <w:rPr>
          <w:rtl/>
        </w:rPr>
        <w:t xml:space="preserve"> ، ج 9 ، ص 55 ، ح 11508 ، إلى قوله : « والزكاة على كلّ ما كيل بالصاع » ؛ </w:t>
      </w:r>
      <w:r w:rsidR="00992664" w:rsidRPr="009B1CE5">
        <w:rPr>
          <w:rtl/>
        </w:rPr>
        <w:t>وفيه</w:t>
      </w:r>
      <w:r w:rsidR="00992664" w:rsidRPr="00020424">
        <w:rPr>
          <w:rtl/>
        </w:rPr>
        <w:t xml:space="preserve"> ، ص 61 ، ح 11521 ، من قوله : « وكتب عبدالله : وروى غير هذا الرجل » مع الإشارة إلى صدر الرواية.</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الظاهر أنّ عبارة « وروى</w:t>
      </w:r>
      <w:r w:rsidR="00992664">
        <w:rPr>
          <w:rtl/>
        </w:rPr>
        <w:t xml:space="preserve"> ..</w:t>
      </w:r>
      <w:r w:rsidR="00992664" w:rsidRPr="00020424">
        <w:rPr>
          <w:rtl/>
        </w:rPr>
        <w:t xml:space="preserve">. » سؤال ثالث سأله عبدالله بن محمّد ، أبا الحسن </w:t>
      </w:r>
      <w:r w:rsidR="00992664" w:rsidRPr="00D64ADA">
        <w:rPr>
          <w:rStyle w:val="libFootnoteAlaemChar"/>
          <w:rtl/>
        </w:rPr>
        <w:t>عليه‌السلام</w:t>
      </w:r>
      <w:r w:rsidR="00A5798A">
        <w:rPr>
          <w:rtl/>
        </w:rPr>
        <w:t xml:space="preserve"> ، كما يعلم من عَجُزِ الخبر</w:t>
      </w:r>
      <w:r w:rsidR="00992664" w:rsidRPr="00020424">
        <w:rPr>
          <w:rtl/>
        </w:rPr>
        <w:t xml:space="preserve">: « فوقّع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القفيز » : مِكْيال يتواضع الناس عليه ، وهو عند أهل العراق ثمانية مكاكيك. والمكاكيك : جمع مَكُّوك ، وهوطاس يشرب فيه. راجع : </w:t>
      </w:r>
      <w:r w:rsidR="00992664" w:rsidRPr="0012008A">
        <w:rPr>
          <w:rStyle w:val="libFootnoteBoldChar"/>
          <w:rtl/>
        </w:rPr>
        <w:t>الصحاح</w:t>
      </w:r>
      <w:r w:rsidR="00992664" w:rsidRPr="00020424">
        <w:rPr>
          <w:rtl/>
        </w:rPr>
        <w:t xml:space="preserve"> ، ج 3 ، ص 892 ؛ </w:t>
      </w:r>
      <w:r w:rsidR="00992664" w:rsidRPr="0012008A">
        <w:rPr>
          <w:rStyle w:val="libFootnoteBoldChar"/>
          <w:rtl/>
        </w:rPr>
        <w:t>النهاية</w:t>
      </w:r>
      <w:r w:rsidR="00992664" w:rsidRPr="00020424">
        <w:rPr>
          <w:rtl/>
        </w:rPr>
        <w:t xml:space="preserve"> ، ج 4 ، ص 90 ( قفز )</w:t>
      </w:r>
      <w:r w:rsidR="00992664">
        <w:rPr>
          <w:rtl/>
        </w:rPr>
        <w:t>.</w:t>
      </w:r>
    </w:p>
    <w:tbl>
      <w:tblPr>
        <w:tblStyle w:val="TableGrid"/>
        <w:bidiVisual/>
        <w:tblW w:w="0" w:type="auto"/>
        <w:tblLook w:val="04A0" w:firstRow="1" w:lastRow="0" w:firstColumn="1" w:lastColumn="0" w:noHBand="0" w:noVBand="1"/>
      </w:tblPr>
      <w:tblGrid>
        <w:gridCol w:w="4006"/>
        <w:gridCol w:w="4006"/>
      </w:tblGrid>
      <w:tr w:rsidR="00A5798A" w:rsidTr="00A5798A">
        <w:tc>
          <w:tcPr>
            <w:tcW w:w="4006" w:type="dxa"/>
          </w:tcPr>
          <w:p w:rsidR="00A5798A" w:rsidRDefault="00A5798A" w:rsidP="00992664">
            <w:pPr>
              <w:pStyle w:val="libFootnote0"/>
              <w:rPr>
                <w:rtl/>
              </w:rPr>
            </w:pPr>
            <w:r>
              <w:rPr>
                <w:rtl/>
              </w:rPr>
              <w:t xml:space="preserve">(7). </w:t>
            </w:r>
            <w:r w:rsidRPr="00020424">
              <w:rPr>
                <w:rtl/>
              </w:rPr>
              <w:t xml:space="preserve">في « بخ ، بر ، بف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A5798A" w:rsidRDefault="00A5798A" w:rsidP="00992664">
            <w:pPr>
              <w:pStyle w:val="libFootnote0"/>
              <w:rPr>
                <w:rtl/>
              </w:rPr>
            </w:pPr>
            <w:r>
              <w:rPr>
                <w:rtl/>
              </w:rPr>
              <w:t xml:space="preserve">(8). </w:t>
            </w:r>
            <w:r w:rsidRPr="00020424">
              <w:rPr>
                <w:rtl/>
              </w:rPr>
              <w:t>في « بث » :</w:t>
            </w:r>
            <w:r>
              <w:rPr>
                <w:rtl/>
              </w:rPr>
              <w:t xml:space="preserve"> - </w:t>
            </w:r>
            <w:r w:rsidRPr="00020424">
              <w:rPr>
                <w:rtl/>
              </w:rPr>
              <w:t>« هذا</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الحِمَّص » ،</w:t>
      </w:r>
      <w:r w:rsidR="00992664">
        <w:rPr>
          <w:rtl/>
        </w:rPr>
        <w:t xml:space="preserve"> </w:t>
      </w:r>
      <w:r w:rsidR="009B673F">
        <w:rPr>
          <w:rtl/>
        </w:rPr>
        <w:t>-</w:t>
      </w:r>
      <w:r w:rsidR="00992664">
        <w:rPr>
          <w:rtl/>
        </w:rPr>
        <w:t xml:space="preserve"> </w:t>
      </w:r>
      <w:r w:rsidR="00992664" w:rsidRPr="00020424">
        <w:rPr>
          <w:rtl/>
        </w:rPr>
        <w:t>بكسر الحاء وفتح الميم المشدّدة وكسرها</w:t>
      </w:r>
      <w:r w:rsidR="00992664">
        <w:rPr>
          <w:rtl/>
        </w:rPr>
        <w:t xml:space="preserve"> </w:t>
      </w:r>
      <w:r w:rsidR="009B673F">
        <w:rPr>
          <w:rtl/>
        </w:rPr>
        <w:t>-</w:t>
      </w:r>
      <w:r w:rsidR="00992664">
        <w:rPr>
          <w:rtl/>
        </w:rPr>
        <w:t xml:space="preserve"> </w:t>
      </w:r>
      <w:r w:rsidR="00992664" w:rsidRPr="00020424">
        <w:rPr>
          <w:rtl/>
        </w:rPr>
        <w:t xml:space="preserve">: حبّ نافخ مليّن مدرّ. راجع : </w:t>
      </w:r>
      <w:r w:rsidR="00992664" w:rsidRPr="00A722B1">
        <w:rPr>
          <w:rStyle w:val="libFootnoteBoldChar"/>
          <w:rtl/>
        </w:rPr>
        <w:t>القاموس المحيط</w:t>
      </w:r>
      <w:r w:rsidR="00992664" w:rsidRPr="00020424">
        <w:rPr>
          <w:rtl/>
        </w:rPr>
        <w:t xml:space="preserve"> ، ج 1 ، ص 837 ( حمص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راجع : </w:t>
      </w:r>
      <w:r w:rsidR="00992664" w:rsidRPr="0012008A">
        <w:rPr>
          <w:rStyle w:val="libFootnoteBoldChar"/>
          <w:rtl/>
        </w:rPr>
        <w:t>المقنعة</w:t>
      </w:r>
      <w:r w:rsidR="00992664" w:rsidRPr="00020424">
        <w:rPr>
          <w:rtl/>
        </w:rPr>
        <w:t xml:space="preserve"> ، ص 244 </w:t>
      </w:r>
      <w:r w:rsidR="00CB3A71">
        <w:rPr>
          <w:rFonts w:hint="cs"/>
          <w:rtl/>
        </w:rPr>
        <w:t>.</w:t>
      </w:r>
      <w:r w:rsidR="00992664" w:rsidRPr="0012008A">
        <w:rPr>
          <w:rStyle w:val="libFootnoteBoldChar"/>
          <w:rtl/>
        </w:rPr>
        <w:t>الوافي</w:t>
      </w:r>
      <w:r w:rsidR="00992664" w:rsidRPr="00020424">
        <w:rPr>
          <w:rtl/>
        </w:rPr>
        <w:t xml:space="preserve"> ، ج 10 ، ص 56 ، ح 9143 ؛ </w:t>
      </w:r>
      <w:r w:rsidR="00992664" w:rsidRPr="0012008A">
        <w:rPr>
          <w:rStyle w:val="libFootnoteBoldChar"/>
          <w:rtl/>
        </w:rPr>
        <w:t>الوسائل</w:t>
      </w:r>
      <w:r w:rsidR="00992664" w:rsidRPr="00020424">
        <w:rPr>
          <w:rtl/>
        </w:rPr>
        <w:t xml:space="preserve"> ، ج 9 ، ص 61 ، ح 11521.</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بر ، بف » : « فيه</w:t>
      </w:r>
      <w:r w:rsidR="00992664">
        <w:rPr>
          <w:rtl/>
        </w:rPr>
        <w:t xml:space="preserve"> ».</w:t>
      </w:r>
      <w:r w:rsidR="00992664" w:rsidRPr="00020424">
        <w:rPr>
          <w:rtl/>
        </w:rPr>
        <w:t xml:space="preserve"> وفي « بس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فيهما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005A81">
        <w:rPr>
          <w:rStyle w:val="libAlaemChar"/>
          <w:rtl/>
        </w:rPr>
        <w:t>عليه‌السلام</w:t>
      </w:r>
      <w:r w:rsidRPr="00020424">
        <w:rPr>
          <w:rtl/>
          <w:lang w:bidi="fa-IR"/>
        </w:rPr>
        <w:t xml:space="preserve"> : « أَمَّا </w:t>
      </w:r>
      <w:r w:rsidRPr="00A91B96">
        <w:rPr>
          <w:rStyle w:val="libFootnotenumChar"/>
          <w:rtl/>
        </w:rPr>
        <w:t>(1)</w:t>
      </w:r>
      <w:r w:rsidRPr="00020424">
        <w:rPr>
          <w:rtl/>
          <w:lang w:bidi="fa-IR"/>
        </w:rPr>
        <w:t xml:space="preserve"> الرَّطْبَةُ ، فَلَيْسَ عَلَيْكَ فِيهَا شَيْ‌ءٌ ؛ وَأَمَّا الْأَرُزُّ ، فَمَا سَقَتِ السَّمَاءُ الْعُشْرُ </w:t>
      </w:r>
      <w:r w:rsidRPr="00A91B96">
        <w:rPr>
          <w:rStyle w:val="libFootnotenumChar"/>
          <w:rtl/>
        </w:rPr>
        <w:t>(2)</w:t>
      </w:r>
      <w:r w:rsidRPr="00020424">
        <w:rPr>
          <w:rtl/>
          <w:lang w:bidi="fa-IR"/>
        </w:rPr>
        <w:t xml:space="preserve"> ؛ وَمَا سُقِيَ بِالدَّلْوِ ، فَنِصْفُ </w:t>
      </w:r>
      <w:r w:rsidRPr="00A91B96">
        <w:rPr>
          <w:rStyle w:val="libFootnotenumChar"/>
          <w:rtl/>
        </w:rPr>
        <w:t>(3)</w:t>
      </w:r>
      <w:r w:rsidRPr="00020424">
        <w:rPr>
          <w:rtl/>
          <w:lang w:bidi="fa-IR"/>
        </w:rPr>
        <w:t xml:space="preserve"> الْعُشْرِ مِنْ </w:t>
      </w:r>
      <w:r w:rsidRPr="00A91B96">
        <w:rPr>
          <w:rStyle w:val="libFootnotenumChar"/>
          <w:rtl/>
        </w:rPr>
        <w:t>(4)</w:t>
      </w:r>
      <w:r w:rsidRPr="00020424">
        <w:rPr>
          <w:rtl/>
          <w:lang w:bidi="fa-IR"/>
        </w:rPr>
        <w:t xml:space="preserve"> كُلِّ مَا كِلْتَ </w:t>
      </w:r>
      <w:r w:rsidRPr="00A91B96">
        <w:rPr>
          <w:rStyle w:val="libFootnotenumChar"/>
          <w:rtl/>
        </w:rPr>
        <w:t>(5)</w:t>
      </w:r>
      <w:r w:rsidRPr="00020424">
        <w:rPr>
          <w:rtl/>
          <w:lang w:bidi="fa-IR"/>
        </w:rPr>
        <w:t xml:space="preserve"> بِالصَّاعِ</w:t>
      </w:r>
      <w:r>
        <w:rPr>
          <w:rtl/>
          <w:lang w:bidi="fa-IR"/>
        </w:rPr>
        <w:t xml:space="preserve"> </w:t>
      </w:r>
      <w:r w:rsidR="009B673F">
        <w:rPr>
          <w:rtl/>
          <w:lang w:bidi="fa-IR"/>
        </w:rPr>
        <w:t>-</w:t>
      </w:r>
      <w:r>
        <w:rPr>
          <w:rtl/>
          <w:lang w:bidi="fa-IR"/>
        </w:rPr>
        <w:t xml:space="preserve"> </w:t>
      </w:r>
      <w:r w:rsidRPr="00020424">
        <w:rPr>
          <w:rtl/>
          <w:lang w:bidi="fa-IR"/>
        </w:rPr>
        <w:t>أَوْ قَالَ</w:t>
      </w:r>
      <w:r>
        <w:rPr>
          <w:rtl/>
          <w:lang w:bidi="fa-IR"/>
        </w:rPr>
        <w:t xml:space="preserve"> </w:t>
      </w:r>
      <w:r w:rsidR="009B673F">
        <w:rPr>
          <w:rtl/>
          <w:lang w:bidi="fa-IR"/>
        </w:rPr>
        <w:t>-</w:t>
      </w:r>
      <w:r>
        <w:rPr>
          <w:rtl/>
          <w:lang w:bidi="fa-IR"/>
        </w:rPr>
        <w:t xml:space="preserve"> </w:t>
      </w:r>
      <w:r w:rsidRPr="00020424">
        <w:rPr>
          <w:rtl/>
          <w:lang w:bidi="fa-IR"/>
        </w:rPr>
        <w:t>وَكِيلَ بِالْمِكْيَالِ</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9B1CE5">
        <w:rPr>
          <w:rtl/>
        </w:rPr>
        <w:t>5774</w:t>
      </w:r>
      <w:r w:rsidRPr="001155DE">
        <w:rPr>
          <w:rStyle w:val="libBold2Char"/>
          <w:rtl/>
        </w:rPr>
        <w:t xml:space="preserve"> / 6.</w:t>
      </w:r>
      <w:r w:rsidRPr="00020424">
        <w:rPr>
          <w:rtl/>
          <w:lang w:bidi="fa-IR"/>
        </w:rPr>
        <w:t xml:space="preserve"> حُمَيْدُ بْنُ زِيَادٍ ، عَنِ ابْنِ سَمَاعَةَ </w:t>
      </w:r>
      <w:r w:rsidRPr="00A91B96">
        <w:rPr>
          <w:rStyle w:val="libFootnotenumChar"/>
          <w:rtl/>
        </w:rPr>
        <w:t>(7)</w:t>
      </w:r>
      <w:r w:rsidRPr="00020424">
        <w:rPr>
          <w:rtl/>
          <w:lang w:bidi="fa-IR"/>
        </w:rPr>
        <w:t xml:space="preserve"> ، عَمَّنْ ذَكَرَهُ ، عَنْ أَبَانٍ ، عَنْ أَبِي مَرْيَمَ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الْحَرْثِ مَا </w:t>
      </w:r>
      <w:r w:rsidRPr="00A91B96">
        <w:rPr>
          <w:rStyle w:val="libFootnotenumChar"/>
          <w:rtl/>
        </w:rPr>
        <w:t>(8)</w:t>
      </w:r>
      <w:r w:rsidRPr="00020424">
        <w:rPr>
          <w:rtl/>
          <w:lang w:bidi="fa-IR"/>
        </w:rPr>
        <w:t xml:space="preserve"> يُزَكّى مِنْهُ </w:t>
      </w:r>
      <w:r w:rsidRPr="00A91B96">
        <w:rPr>
          <w:rStyle w:val="libFootnotenumChar"/>
          <w:rtl/>
        </w:rPr>
        <w:t>(9)</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(10)</w:t>
      </w:r>
      <w:r w:rsidRPr="00020424">
        <w:rPr>
          <w:rtl/>
          <w:lang w:bidi="fa-IR"/>
        </w:rPr>
        <w:t xml:space="preserve"> : « الْبُرُّ ، وَالشَّعِيرُ ، وَالذُّرَةُ ، وَالْأَرُزُّ ، وَالسُّلْتُ ، وَالْعَدَسُ ؛ كُلُّ </w:t>
      </w:r>
      <w:r w:rsidRPr="00A91B96">
        <w:rPr>
          <w:rStyle w:val="libFootnotenumChar"/>
          <w:rtl/>
        </w:rPr>
        <w:t>(11)</w:t>
      </w:r>
      <w:r w:rsidRPr="00020424">
        <w:rPr>
          <w:rtl/>
          <w:lang w:bidi="fa-IR"/>
        </w:rPr>
        <w:t xml:space="preserve"> هذَا مِمَّا </w:t>
      </w:r>
      <w:r w:rsidRPr="00A91B96">
        <w:rPr>
          <w:rStyle w:val="libFootnotenumChar"/>
          <w:rtl/>
        </w:rPr>
        <w:t>(12)</w:t>
      </w:r>
      <w:r w:rsidRPr="00020424">
        <w:rPr>
          <w:rtl/>
          <w:lang w:bidi="fa-IR"/>
        </w:rPr>
        <w:t xml:space="preserve"> يُزَكّى » وَقَالَ : « كُلُّ مَا كِيلَ بِالصَّاعِ ، فَبَلَغَ الْأَوْسَاقَ ، فَعَلَيْهِ الزَّكَاةُ</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فأمّا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11522. وفي المطبوع : « بالعشر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بس » : « نصف</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 « كيل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57 ، ح 9144 ؛ </w:t>
      </w:r>
      <w:r w:rsidR="00992664" w:rsidRPr="0012008A">
        <w:rPr>
          <w:rStyle w:val="libFootnoteBoldChar"/>
          <w:rtl/>
        </w:rPr>
        <w:t>الوسائل</w:t>
      </w:r>
      <w:r w:rsidR="00992664" w:rsidRPr="00020424">
        <w:rPr>
          <w:rtl/>
        </w:rPr>
        <w:t xml:space="preserve"> ، ج 9 ، ص 62 ، ح 11522 ؛ </w:t>
      </w:r>
      <w:r w:rsidR="00992664" w:rsidRPr="009B1CE5">
        <w:rPr>
          <w:rtl/>
        </w:rPr>
        <w:t>وفيه</w:t>
      </w:r>
      <w:r w:rsidR="00992664" w:rsidRPr="00020424">
        <w:rPr>
          <w:rtl/>
        </w:rPr>
        <w:t xml:space="preserve"> ، ص 67 ، ح 11537 ، إلى قوله : « فليس عليك فيها شي‌ء</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بح ، بخ ، بر ، جر » </w:t>
      </w:r>
      <w:r w:rsidR="00992664" w:rsidRPr="000C036F">
        <w:rPr>
          <w:rtl/>
        </w:rPr>
        <w:t>والوسائل والتهذيب والاستبصار.</w:t>
      </w:r>
      <w:r w:rsidR="00992664" w:rsidRPr="00020424">
        <w:rPr>
          <w:rtl/>
        </w:rPr>
        <w:t xml:space="preserve"> وفي « ظ ، ى ، بث ، بس ، بف ، جن » والمطبوع : « أحمد بن سماعة</w:t>
      </w:r>
      <w:r w:rsidR="00992664">
        <w:rPr>
          <w:rtl/>
        </w:rPr>
        <w:t xml:space="preserve"> ».</w:t>
      </w:r>
    </w:p>
    <w:p w:rsidR="00992664" w:rsidRPr="00020424" w:rsidRDefault="00992664" w:rsidP="00992664">
      <w:pPr>
        <w:pStyle w:val="libFootnote0"/>
        <w:rPr>
          <w:rtl/>
          <w:lang w:bidi="fa-IR"/>
        </w:rPr>
      </w:pPr>
      <w:r w:rsidRPr="001D17BB">
        <w:rPr>
          <w:rtl/>
        </w:rPr>
        <w:t xml:space="preserve">والمراد من ابن سماعة في مشايخ حميد بن زياد هو الحسن بن محمّد بن سماعة. راجع : </w:t>
      </w:r>
      <w:r w:rsidRPr="001D17BB">
        <w:rPr>
          <w:rStyle w:val="libFootnoteBoldChar"/>
          <w:rtl/>
        </w:rPr>
        <w:t>رجال النجاشي</w:t>
      </w:r>
      <w:r w:rsidRPr="001D17BB">
        <w:rPr>
          <w:rtl/>
        </w:rPr>
        <w:t xml:space="preserve"> ، ص 40 ، الرقم 84 ؛ </w:t>
      </w:r>
      <w:r w:rsidRPr="001D17BB">
        <w:rPr>
          <w:rStyle w:val="libFootnoteBoldChar"/>
          <w:rtl/>
        </w:rPr>
        <w:t>معجم</w:t>
      </w:r>
      <w:r w:rsidR="000C036F">
        <w:rPr>
          <w:rStyle w:val="libFootnoteBoldChar"/>
          <w:rFonts w:hint="cs"/>
          <w:rtl/>
        </w:rPr>
        <w:t xml:space="preserve"> </w:t>
      </w:r>
      <w:r w:rsidRPr="001D17BB">
        <w:rPr>
          <w:rStyle w:val="libFootnoteBoldChar"/>
          <w:rtl/>
        </w:rPr>
        <w:t>‌رجال الحديث</w:t>
      </w:r>
      <w:r w:rsidRPr="001D17BB">
        <w:rPr>
          <w:rtl/>
        </w:rPr>
        <w:t xml:space="preserve"> ، ج 6 ، ص 460 </w:t>
      </w:r>
      <w:r w:rsidR="009B673F" w:rsidRPr="001D17BB">
        <w:rPr>
          <w:rtl/>
        </w:rPr>
        <w:t>-</w:t>
      </w:r>
      <w:r w:rsidRPr="001D17BB">
        <w:rPr>
          <w:rtl/>
        </w:rPr>
        <w:t xml:space="preserve"> 463.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ممّا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بس » : « وكلّ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ممّا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4 ، ح 8 ؛ </w:t>
      </w:r>
      <w:r w:rsidR="00992664" w:rsidRPr="00FD6221">
        <w:rPr>
          <w:rStyle w:val="libFootnoteBoldChar"/>
          <w:rtl/>
        </w:rPr>
        <w:t>والاستبصار</w:t>
      </w:r>
      <w:r w:rsidR="00992664" w:rsidRPr="00020424">
        <w:rPr>
          <w:rtl/>
        </w:rPr>
        <w:t xml:space="preserve"> ، ج 2 ، ص 4 ، ح 8 ، معلّقاً عن الكليني </w:t>
      </w:r>
      <w:r w:rsidR="001D17BB">
        <w:rPr>
          <w:rFonts w:hint="cs"/>
          <w:rtl/>
        </w:rPr>
        <w:t>.</w:t>
      </w:r>
      <w:r w:rsidR="00992664" w:rsidRPr="0012008A">
        <w:rPr>
          <w:rStyle w:val="libFootnoteBoldChar"/>
          <w:rtl/>
        </w:rPr>
        <w:t>الوافي</w:t>
      </w:r>
      <w:r w:rsidR="00992664" w:rsidRPr="00020424">
        <w:rPr>
          <w:rtl/>
        </w:rPr>
        <w:t xml:space="preserve"> ، ج 10 ، ص 57 ، ح 9145 ؛ </w:t>
      </w:r>
      <w:r w:rsidR="00992664" w:rsidRPr="0012008A">
        <w:rPr>
          <w:rStyle w:val="libFootnoteBoldChar"/>
          <w:rtl/>
        </w:rPr>
        <w:t>الوسائل</w:t>
      </w:r>
      <w:r w:rsidR="00992664" w:rsidRPr="00020424">
        <w:rPr>
          <w:rtl/>
        </w:rPr>
        <w:t xml:space="preserve"> ، ج 9 ، ص 62 ، ح 11523.</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8" w:name="_Toc345172725"/>
      <w:bookmarkStart w:id="29" w:name="_Toc464562543"/>
      <w:bookmarkStart w:id="30" w:name="_Toc44599845"/>
      <w:r w:rsidRPr="00020424">
        <w:rPr>
          <w:rtl/>
          <w:lang w:bidi="fa-IR"/>
        </w:rPr>
        <w:lastRenderedPageBreak/>
        <w:t>6</w:t>
      </w:r>
      <w:r>
        <w:rPr>
          <w:rtl/>
          <w:lang w:bidi="fa-IR"/>
        </w:rPr>
        <w:t xml:space="preserve"> </w:t>
      </w:r>
      <w:r w:rsidR="009B673F">
        <w:rPr>
          <w:rtl/>
          <w:lang w:bidi="fa-IR"/>
        </w:rPr>
        <w:t>-</w:t>
      </w:r>
      <w:r>
        <w:rPr>
          <w:rtl/>
          <w:lang w:bidi="fa-IR"/>
        </w:rPr>
        <w:t xml:space="preserve"> </w:t>
      </w:r>
      <w:r w:rsidRPr="00020424">
        <w:rPr>
          <w:rtl/>
          <w:lang w:bidi="fa-IR"/>
        </w:rPr>
        <w:t xml:space="preserve">بَابُ مَا لَايَجِبُ </w:t>
      </w:r>
      <w:r w:rsidRPr="00A91B96">
        <w:rPr>
          <w:rStyle w:val="libFootnotenumChar"/>
          <w:rtl/>
        </w:rPr>
        <w:t>(1)</w:t>
      </w:r>
      <w:r>
        <w:rPr>
          <w:rtl/>
        </w:rPr>
        <w:t xml:space="preserve"> </w:t>
      </w:r>
      <w:r w:rsidRPr="00020424">
        <w:rPr>
          <w:rtl/>
          <w:lang w:bidi="fa-IR"/>
        </w:rPr>
        <w:t xml:space="preserve">فِيهِ الزَّكَاةُ مِمَّا تُنْبِتُ </w:t>
      </w:r>
      <w:r w:rsidRPr="00A91B96">
        <w:rPr>
          <w:rStyle w:val="libFootnotenumChar"/>
          <w:rtl/>
        </w:rPr>
        <w:t>(2)</w:t>
      </w:r>
      <w:r>
        <w:rPr>
          <w:rtl/>
          <w:lang w:bidi="fa-IR"/>
        </w:rPr>
        <w:t xml:space="preserve"> </w:t>
      </w:r>
      <w:r w:rsidRPr="00020424">
        <w:rPr>
          <w:rtl/>
          <w:lang w:bidi="fa-IR"/>
        </w:rPr>
        <w:t>الْأَرْضُ مِنَ الْخُضَرِ وَغَيْرِهَا‌</w:t>
      </w:r>
      <w:bookmarkEnd w:id="28"/>
      <w:bookmarkEnd w:id="29"/>
      <w:bookmarkEnd w:id="30"/>
    </w:p>
    <w:p w:rsidR="00992664" w:rsidRPr="00020424" w:rsidRDefault="00992664" w:rsidP="00992664">
      <w:pPr>
        <w:pStyle w:val="libNormal"/>
        <w:rPr>
          <w:rtl/>
          <w:lang w:bidi="fa-IR"/>
        </w:rPr>
      </w:pPr>
      <w:r w:rsidRPr="009B1CE5">
        <w:rPr>
          <w:rtl/>
        </w:rPr>
        <w:t>5775</w:t>
      </w:r>
      <w:r w:rsidRPr="001155DE">
        <w:rPr>
          <w:rStyle w:val="libBold2Char"/>
          <w:rtl/>
        </w:rPr>
        <w:t xml:space="preserve"> / 1.</w:t>
      </w:r>
      <w:r w:rsidRPr="00020424">
        <w:rPr>
          <w:rtl/>
          <w:lang w:bidi="fa-IR"/>
        </w:rPr>
        <w:t xml:space="preserve"> مُحَمَّدُ بْنُ يَحْيى ، عَنْ أَحْمَدَ بْنِ مُحَمَّدٍ ، عَنْ عُثْمَانَ بْنِ عِيسى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 عَلَى الْبُقُولِ </w:t>
      </w:r>
      <w:r w:rsidRPr="00A91B96">
        <w:rPr>
          <w:rStyle w:val="libFootnotenumChar"/>
          <w:rtl/>
        </w:rPr>
        <w:t>(3)</w:t>
      </w:r>
      <w:r w:rsidRPr="00020424">
        <w:rPr>
          <w:rtl/>
          <w:lang w:bidi="fa-IR"/>
        </w:rPr>
        <w:t xml:space="preserve"> ، وَلَاعَلَى الْبِطِّيخ</w:t>
      </w:r>
      <w:r w:rsidR="001D17BB">
        <w:rPr>
          <w:rtl/>
          <w:lang w:bidi="fa-IR"/>
        </w:rPr>
        <w:t>ِ وَأَشْبَاهِهِ زَكَاةٌ ، إِل</w:t>
      </w:r>
      <w:r w:rsidR="001D17BB">
        <w:rPr>
          <w:rFonts w:hint="cs"/>
          <w:rtl/>
          <w:lang w:bidi="fa-IR"/>
        </w:rPr>
        <w:t>َّ</w:t>
      </w:r>
      <w:r w:rsidR="001D17BB">
        <w:rPr>
          <w:rtl/>
          <w:lang w:bidi="fa-IR"/>
        </w:rPr>
        <w:t>ا</w:t>
      </w:r>
      <w:r w:rsidRPr="00020424">
        <w:rPr>
          <w:rtl/>
          <w:lang w:bidi="fa-IR"/>
        </w:rPr>
        <w:t xml:space="preserve"> مَا اجْتَمَعَ عِنْدَكَ مِنْ غَلَّتِهِ </w:t>
      </w:r>
      <w:r w:rsidRPr="00A91B96">
        <w:rPr>
          <w:rStyle w:val="libFootnotenumChar"/>
          <w:rtl/>
        </w:rPr>
        <w:t>(4)</w:t>
      </w:r>
      <w:r w:rsidRPr="00020424">
        <w:rPr>
          <w:rtl/>
          <w:lang w:bidi="fa-IR"/>
        </w:rPr>
        <w:t xml:space="preserve"> ، فَبَقِيَ عِنْدَكَ سَنَةً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9B1CE5">
        <w:rPr>
          <w:rtl/>
        </w:rPr>
        <w:t>5776</w:t>
      </w:r>
      <w:r w:rsidRPr="001155DE">
        <w:rPr>
          <w:rStyle w:val="libBold2Char"/>
          <w:rtl/>
        </w:rPr>
        <w:t xml:space="preserve"> / 2.</w:t>
      </w:r>
      <w:r w:rsidRPr="00020424">
        <w:rPr>
          <w:rtl/>
          <w:lang w:bidi="fa-IR"/>
        </w:rPr>
        <w:t xml:space="preserve"> مُحَمَّدُ بْنُ يَحْيى </w:t>
      </w:r>
      <w:r w:rsidRPr="00A91B96">
        <w:rPr>
          <w:rStyle w:val="libFootnotenumChar"/>
          <w:rtl/>
        </w:rPr>
        <w:t>(6)</w:t>
      </w:r>
      <w:r w:rsidRPr="00020424">
        <w:rPr>
          <w:rtl/>
          <w:lang w:bidi="fa-IR"/>
        </w:rPr>
        <w:t xml:space="preserve"> ، عَنْ مُحَمَّدِ بْنِ الْحُسَيْنِ ، عَنْ صَفْوَانَ بْنِ يَحْيى </w:t>
      </w:r>
      <w:r w:rsidRPr="00A91B96">
        <w:rPr>
          <w:rStyle w:val="libFootnotenumChar"/>
          <w:rtl/>
        </w:rPr>
        <w:t>(7)</w:t>
      </w:r>
      <w:r w:rsidRPr="00020424">
        <w:rPr>
          <w:rtl/>
          <w:lang w:bidi="fa-IR"/>
        </w:rPr>
        <w:t xml:space="preserve"> ، عَنِ الْعَلَاءِ بْنِ رَزِينٍ </w:t>
      </w:r>
      <w:r w:rsidRPr="00A91B96">
        <w:rPr>
          <w:rStyle w:val="libFootnotenumChar"/>
          <w:rtl/>
        </w:rPr>
        <w:t>(8)</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أَنَّهُ سُئِلَ عَنِ الْخُضَرِ فِيهَا زَكَاةٌ </w:t>
      </w:r>
      <w:r w:rsidRPr="00A91B96">
        <w:rPr>
          <w:rStyle w:val="libFootnotenumChar"/>
          <w:rtl/>
        </w:rPr>
        <w:t>(9)</w:t>
      </w:r>
      <w:r w:rsidRPr="00020424">
        <w:rPr>
          <w:rtl/>
          <w:lang w:bidi="fa-IR"/>
        </w:rPr>
        <w:t xml:space="preserve"> وَإِنْ بِيعَ </w:t>
      </w:r>
      <w:r w:rsidRPr="00A91B96">
        <w:rPr>
          <w:rStyle w:val="libFootnotenumChar"/>
          <w:rtl/>
        </w:rPr>
        <w:t>(10)</w:t>
      </w:r>
      <w:r w:rsidRPr="00020424">
        <w:rPr>
          <w:rtl/>
          <w:lang w:bidi="fa-IR"/>
        </w:rPr>
        <w:t xml:space="preserve"> بِالْمَالِ الْعَظِيمِ</w:t>
      </w:r>
      <w:r>
        <w:rPr>
          <w:rtl/>
          <w:lang w:bidi="fa-IR"/>
        </w:rPr>
        <w:t>؟</w:t>
      </w:r>
    </w:p>
    <w:p w:rsidR="00992664" w:rsidRPr="00020424" w:rsidRDefault="00992664" w:rsidP="00992664">
      <w:pPr>
        <w:pStyle w:val="libNormal"/>
        <w:rPr>
          <w:rtl/>
          <w:lang w:bidi="fa-IR"/>
        </w:rPr>
      </w:pPr>
      <w:r w:rsidRPr="00020424">
        <w:rPr>
          <w:rtl/>
          <w:lang w:bidi="fa-IR"/>
        </w:rPr>
        <w:t xml:space="preserve">فَقَالَ : « لَا ، حَتّى يَحُولَ عَلَيْهِ الْحَوْلُ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9B1CE5">
        <w:rPr>
          <w:rtl/>
        </w:rPr>
        <w:t>5777</w:t>
      </w:r>
      <w:r w:rsidRPr="001155DE">
        <w:rPr>
          <w:rStyle w:val="libBold2Char"/>
          <w:rtl/>
        </w:rPr>
        <w:t xml:space="preserve"> / 3.</w:t>
      </w:r>
      <w:r w:rsidRPr="00020424">
        <w:rPr>
          <w:rtl/>
          <w:lang w:bidi="fa-IR"/>
        </w:rPr>
        <w:t xml:space="preserve"> عَلِيُّ بْنُ إِبْرَاهِيمَ </w:t>
      </w:r>
      <w:r w:rsidRPr="00A91B96">
        <w:rPr>
          <w:rStyle w:val="libFootnotenumChar"/>
          <w:rtl/>
        </w:rPr>
        <w:t>(13)</w:t>
      </w:r>
      <w:r w:rsidRPr="00020424">
        <w:rPr>
          <w:rtl/>
          <w:lang w:bidi="fa-IR"/>
        </w:rPr>
        <w:t xml:space="preserve"> ، عَنْ أَبِيهِ ، عَنِ ابْنِ أَبِي عُمَيْرٍ ، عَنْ حَمَّادٍ ، عَنِ الْحَلَبِيِّ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E3702" w:rsidTr="007E3702">
        <w:tc>
          <w:tcPr>
            <w:tcW w:w="4006" w:type="dxa"/>
          </w:tcPr>
          <w:p w:rsidR="007E3702" w:rsidRDefault="007E3702" w:rsidP="00992664">
            <w:pPr>
              <w:pStyle w:val="libFootnote0"/>
              <w:rPr>
                <w:rtl/>
              </w:rPr>
            </w:pPr>
            <w:r>
              <w:rPr>
                <w:rtl/>
              </w:rPr>
              <w:t xml:space="preserve">(1). </w:t>
            </w:r>
            <w:r w:rsidRPr="00020424">
              <w:rPr>
                <w:rtl/>
              </w:rPr>
              <w:t>في « بخ ، جن » ومرآة العقول : « لا تجب</w:t>
            </w:r>
            <w:r>
              <w:rPr>
                <w:rtl/>
              </w:rPr>
              <w:t xml:space="preserve"> ».</w:t>
            </w:r>
          </w:p>
        </w:tc>
        <w:tc>
          <w:tcPr>
            <w:tcW w:w="4006" w:type="dxa"/>
          </w:tcPr>
          <w:p w:rsidR="007E3702" w:rsidRDefault="007E3702" w:rsidP="00992664">
            <w:pPr>
              <w:pStyle w:val="libFootnote0"/>
              <w:rPr>
                <w:rtl/>
              </w:rPr>
            </w:pPr>
            <w:r>
              <w:rPr>
                <w:rtl/>
              </w:rPr>
              <w:t xml:space="preserve">(2). </w:t>
            </w:r>
            <w:r w:rsidRPr="00020424">
              <w:rPr>
                <w:rtl/>
              </w:rPr>
              <w:t>في « ظ » بالتاء والياء معاً.</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البقول » : جمع البَقْل ، وهو كلّ نبات اخضرّت به الأرض ، وقيل غير ذلك. راجع : </w:t>
      </w:r>
      <w:r w:rsidR="00992664" w:rsidRPr="00A722B1">
        <w:rPr>
          <w:rStyle w:val="libFootnoteBoldChar"/>
          <w:rtl/>
        </w:rPr>
        <w:t>لسان العرب</w:t>
      </w:r>
      <w:r w:rsidR="00992664" w:rsidRPr="00020424">
        <w:rPr>
          <w:rtl/>
        </w:rPr>
        <w:t xml:space="preserve"> ، ج 11 ، ص 60 ؛ </w:t>
      </w:r>
      <w:r w:rsidR="00992664" w:rsidRPr="00A722B1">
        <w:rPr>
          <w:rStyle w:val="libFootnoteBoldChar"/>
          <w:rtl/>
        </w:rPr>
        <w:t>المصباح المنير</w:t>
      </w:r>
      <w:r w:rsidR="00992664" w:rsidRPr="00020424">
        <w:rPr>
          <w:rtl/>
        </w:rPr>
        <w:t xml:space="preserve"> ، ص 58 ( بقل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غلّة</w:t>
      </w:r>
      <w:r w:rsidR="00992664">
        <w:rPr>
          <w:rtl/>
        </w:rPr>
        <w:t xml:space="preserve"> ».</w:t>
      </w:r>
      <w:r w:rsidR="00992664" w:rsidRPr="00020424">
        <w:rPr>
          <w:rtl/>
        </w:rPr>
        <w:t xml:space="preserve"> والغَلّة : الدخل الذي يحصل من الزرع والثمر واللبن والإجارة والنتاج ونحو ذلك. راجع : </w:t>
      </w:r>
      <w:r w:rsidR="00992664" w:rsidRPr="0012008A">
        <w:rPr>
          <w:rStyle w:val="libFootnoteBoldChar"/>
          <w:rtl/>
        </w:rPr>
        <w:t>النهاية</w:t>
      </w:r>
      <w:r w:rsidR="00992664" w:rsidRPr="00020424">
        <w:rPr>
          <w:rtl/>
        </w:rPr>
        <w:t xml:space="preserve"> ، ج 3 ، ص 381 ؛ </w:t>
      </w:r>
      <w:r w:rsidR="00992664" w:rsidRPr="00A722B1">
        <w:rPr>
          <w:rStyle w:val="libFootnoteBoldChar"/>
          <w:rtl/>
        </w:rPr>
        <w:t>القاموس المحيط</w:t>
      </w:r>
      <w:r w:rsidR="00992664" w:rsidRPr="00020424">
        <w:rPr>
          <w:rtl/>
        </w:rPr>
        <w:t xml:space="preserve"> ، ج 2 ، ص 373 ( غلل )</w:t>
      </w:r>
      <w:r w:rsidR="00992664">
        <w:rPr>
          <w:rtl/>
        </w:rPr>
        <w:t>.</w:t>
      </w:r>
    </w:p>
    <w:p w:rsidR="00992664" w:rsidRPr="00020424" w:rsidRDefault="00795177" w:rsidP="002142D3">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66 ، ح 179 ، بسند آخر ، مع اختلاف يسير </w:t>
      </w:r>
      <w:r w:rsidR="002142D3">
        <w:rPr>
          <w:rFonts w:hint="cs"/>
          <w:rtl/>
        </w:rPr>
        <w:t>.</w:t>
      </w:r>
      <w:r w:rsidR="00992664" w:rsidRPr="0012008A">
        <w:rPr>
          <w:rStyle w:val="libFootnoteBoldChar"/>
          <w:rtl/>
        </w:rPr>
        <w:t>الوافي</w:t>
      </w:r>
      <w:r w:rsidR="00992664" w:rsidRPr="00020424">
        <w:rPr>
          <w:rtl/>
        </w:rPr>
        <w:t xml:space="preserve"> ، ج 10 ، ص 60 ، ح 9150 ؛ </w:t>
      </w:r>
      <w:r w:rsidR="00992664" w:rsidRPr="0012008A">
        <w:rPr>
          <w:rStyle w:val="libFootnoteBoldChar"/>
          <w:rtl/>
        </w:rPr>
        <w:t>الوسائل</w:t>
      </w:r>
      <w:r w:rsidR="00992664" w:rsidRPr="00020424">
        <w:rPr>
          <w:rtl/>
        </w:rPr>
        <w:t xml:space="preserve"> ، ج 9 ، ص 68 ، ح 11539.</w:t>
      </w:r>
      <w:r w:rsidR="002142D3">
        <w:rPr>
          <w:rFonts w:hint="cs"/>
          <w:rtl/>
        </w:rPr>
        <w:t xml:space="preserve">      </w:t>
      </w:r>
      <w:r>
        <w:rPr>
          <w:rtl/>
        </w:rPr>
        <w:t>(6).</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بر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رزين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الزكاة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وفي « بس » والمطبوع </w:t>
      </w:r>
      <w:r w:rsidR="00992664" w:rsidRPr="00EB1FD9">
        <w:rPr>
          <w:rStyle w:val="libFootnoteBoldChar"/>
          <w:rtl/>
        </w:rPr>
        <w:t>والوسائل</w:t>
      </w:r>
      <w:r w:rsidR="00992664" w:rsidRPr="00020424">
        <w:rPr>
          <w:rtl/>
        </w:rPr>
        <w:t xml:space="preserve"> : « بيعت</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بس » : + « من ثمنه فزكّه</w:t>
      </w:r>
      <w:r w:rsidR="00992664">
        <w:rPr>
          <w:rtl/>
        </w:rPr>
        <w:t xml:space="preserve"> ».</w:t>
      </w:r>
    </w:p>
    <w:p w:rsidR="00992664" w:rsidRPr="00020424" w:rsidRDefault="00795177" w:rsidP="002142D3">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66 ، ح 181 ، معلّقاً عن الكليني </w:t>
      </w:r>
      <w:r w:rsidR="002142D3">
        <w:rPr>
          <w:rFonts w:hint="cs"/>
          <w:rtl/>
        </w:rPr>
        <w:t>.</w:t>
      </w:r>
      <w:r w:rsidR="00992664" w:rsidRPr="0012008A">
        <w:rPr>
          <w:rStyle w:val="libFootnoteBoldChar"/>
          <w:rtl/>
        </w:rPr>
        <w:t>الوافي</w:t>
      </w:r>
      <w:r w:rsidR="00992664" w:rsidRPr="00020424">
        <w:rPr>
          <w:rtl/>
        </w:rPr>
        <w:t xml:space="preserve"> ، ج 10 ، ص 60 ، ح 9151 ؛ </w:t>
      </w:r>
      <w:r w:rsidR="00992664" w:rsidRPr="0012008A">
        <w:rPr>
          <w:rStyle w:val="libFootnoteBoldChar"/>
          <w:rtl/>
        </w:rPr>
        <w:t>الوسائل</w:t>
      </w:r>
      <w:r w:rsidR="00992664" w:rsidRPr="00020424">
        <w:rPr>
          <w:rtl/>
        </w:rPr>
        <w:t xml:space="preserve"> ، ج 9 ، ص 66 ، ح 11533.</w:t>
      </w:r>
      <w:r w:rsidR="002142D3">
        <w:rPr>
          <w:rFonts w:hint="cs"/>
          <w:rtl/>
        </w:rPr>
        <w:t xml:space="preserve">                 </w:t>
      </w:r>
      <w:r>
        <w:rPr>
          <w:rtl/>
        </w:rPr>
        <w:t>(13).</w:t>
      </w:r>
      <w:r w:rsidR="0014403D">
        <w:rPr>
          <w:rtl/>
        </w:rPr>
        <w:t xml:space="preserve"> </w:t>
      </w:r>
      <w:r w:rsidR="00992664" w:rsidRPr="00020424">
        <w:rPr>
          <w:rtl/>
        </w:rPr>
        <w:t xml:space="preserve">في « بر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قُلْتُ لِأَبِي عَبْدِ اللهِ </w:t>
      </w:r>
      <w:r w:rsidRPr="00005A81">
        <w:rPr>
          <w:rStyle w:val="libAlaemChar"/>
          <w:rtl/>
        </w:rPr>
        <w:t>عليه‌السلام</w:t>
      </w:r>
      <w:r w:rsidRPr="00020424">
        <w:rPr>
          <w:rtl/>
          <w:lang w:bidi="fa-IR"/>
        </w:rPr>
        <w:t xml:space="preserve"> : مَا فِي الْخُضَرِ </w:t>
      </w:r>
      <w:r w:rsidRPr="00A91B96">
        <w:rPr>
          <w:rStyle w:val="libFootnotenumChar"/>
          <w:rtl/>
        </w:rPr>
        <w:t>(1)</w:t>
      </w:r>
      <w:r>
        <w:rPr>
          <w:rtl/>
          <w:lang w:bidi="fa-IR"/>
        </w:rPr>
        <w:t>؟</w:t>
      </w:r>
      <w:r w:rsidRPr="00020424">
        <w:rPr>
          <w:rtl/>
          <w:lang w:bidi="fa-IR"/>
        </w:rPr>
        <w:t xml:space="preserve"> قَالَ : « وَمَا هِيَ</w:t>
      </w:r>
      <w:r>
        <w:rPr>
          <w:rtl/>
          <w:lang w:bidi="fa-IR"/>
        </w:rPr>
        <w:t>؟</w:t>
      </w:r>
      <w:r w:rsidRPr="00020424">
        <w:rPr>
          <w:rtl/>
          <w:lang w:bidi="fa-IR"/>
        </w:rPr>
        <w:t xml:space="preserve"> » قُلْتُ : الْقَضْبُ </w:t>
      </w:r>
      <w:r w:rsidRPr="00A91B96">
        <w:rPr>
          <w:rStyle w:val="libFootnotenumChar"/>
          <w:rtl/>
        </w:rPr>
        <w:t>(2)</w:t>
      </w:r>
      <w:r w:rsidRPr="00020424">
        <w:rPr>
          <w:rtl/>
          <w:lang w:bidi="fa-IR"/>
        </w:rPr>
        <w:t xml:space="preserve"> وَالْبِطِّيخُ وَمِثْلُهُ مِنَ الْخُضَرِ.</w:t>
      </w:r>
    </w:p>
    <w:p w:rsidR="00992664" w:rsidRPr="00020424" w:rsidRDefault="00992664" w:rsidP="00992664">
      <w:pPr>
        <w:pStyle w:val="libNormal"/>
        <w:rPr>
          <w:rtl/>
          <w:lang w:bidi="fa-IR"/>
        </w:rPr>
      </w:pPr>
      <w:r w:rsidRPr="00020424">
        <w:rPr>
          <w:rtl/>
          <w:lang w:bidi="fa-IR"/>
        </w:rPr>
        <w:t xml:space="preserve">قَالَ : « لَيْسَ عَلَيْهِ شَيْ‌ءٌ </w:t>
      </w:r>
      <w:r w:rsidRPr="00A91B96">
        <w:rPr>
          <w:rStyle w:val="libFootnotenumChar"/>
          <w:rtl/>
        </w:rPr>
        <w:t>(3)</w:t>
      </w:r>
      <w:r w:rsidR="002142D3">
        <w:rPr>
          <w:rtl/>
          <w:lang w:bidi="fa-IR"/>
        </w:rPr>
        <w:t xml:space="preserve"> إِل</w:t>
      </w:r>
      <w:r w:rsidR="002142D3">
        <w:rPr>
          <w:rFonts w:hint="cs"/>
          <w:rtl/>
          <w:lang w:bidi="fa-IR"/>
        </w:rPr>
        <w:t>َّ</w:t>
      </w:r>
      <w:r w:rsidR="002142D3">
        <w:rPr>
          <w:rtl/>
          <w:lang w:bidi="fa-IR"/>
        </w:rPr>
        <w:t>ا</w:t>
      </w:r>
      <w:r w:rsidRPr="00020424">
        <w:rPr>
          <w:rtl/>
          <w:lang w:bidi="fa-IR"/>
        </w:rPr>
        <w:t xml:space="preserve"> أَنْ يُبَاعَ مِثْلُهُ بِمَالٍ ، وَيَحُولَ </w:t>
      </w:r>
      <w:r w:rsidRPr="00A91B96">
        <w:rPr>
          <w:rStyle w:val="libFootnotenumChar"/>
          <w:rtl/>
        </w:rPr>
        <w:t>(4)</w:t>
      </w:r>
      <w:r w:rsidRPr="00020424">
        <w:rPr>
          <w:rtl/>
          <w:lang w:bidi="fa-IR"/>
        </w:rPr>
        <w:t xml:space="preserve"> عَلَيْهِ الْحَوْلُ ، فَفِيهِ الصَّدَقَةُ</w:t>
      </w:r>
      <w:r>
        <w:rPr>
          <w:rtl/>
          <w:lang w:bidi="fa-IR"/>
        </w:rPr>
        <w:t xml:space="preserve"> ».</w:t>
      </w:r>
    </w:p>
    <w:p w:rsidR="00992664" w:rsidRPr="00020424" w:rsidRDefault="00992664" w:rsidP="00992664">
      <w:pPr>
        <w:pStyle w:val="libNormal"/>
        <w:rPr>
          <w:rtl/>
          <w:lang w:bidi="fa-IR"/>
        </w:rPr>
      </w:pPr>
      <w:r w:rsidRPr="00020424">
        <w:rPr>
          <w:rtl/>
          <w:lang w:bidi="fa-IR"/>
        </w:rPr>
        <w:t xml:space="preserve">وَعَنِ </w:t>
      </w:r>
      <w:r w:rsidRPr="00A91B96">
        <w:rPr>
          <w:rStyle w:val="libFootnotenumChar"/>
          <w:rtl/>
        </w:rPr>
        <w:t>(5)</w:t>
      </w:r>
      <w:r w:rsidRPr="00020424">
        <w:rPr>
          <w:rtl/>
          <w:lang w:bidi="fa-IR"/>
        </w:rPr>
        <w:t xml:space="preserve"> الْغَضَاةِ </w:t>
      </w:r>
      <w:r w:rsidRPr="00A91B96">
        <w:rPr>
          <w:rStyle w:val="libFootnotenumChar"/>
          <w:rtl/>
        </w:rPr>
        <w:t>(6)</w:t>
      </w:r>
      <w:r w:rsidRPr="00020424">
        <w:rPr>
          <w:rtl/>
          <w:lang w:bidi="fa-IR"/>
        </w:rPr>
        <w:t xml:space="preserve"> مِنَ </w:t>
      </w:r>
      <w:r w:rsidRPr="00A91B96">
        <w:rPr>
          <w:rStyle w:val="libFootnotenumChar"/>
          <w:rtl/>
        </w:rPr>
        <w:t>(7)</w:t>
      </w:r>
      <w:r w:rsidRPr="00020424">
        <w:rPr>
          <w:rtl/>
          <w:lang w:bidi="fa-IR"/>
        </w:rPr>
        <w:t xml:space="preserve"> الْفِرْسِكِ </w:t>
      </w:r>
      <w:r w:rsidRPr="00A91B96">
        <w:rPr>
          <w:rStyle w:val="libFootnotenumChar"/>
          <w:rtl/>
        </w:rPr>
        <w:t>(8)</w:t>
      </w:r>
      <w:r w:rsidRPr="00020424">
        <w:rPr>
          <w:rtl/>
          <w:lang w:bidi="fa-IR"/>
        </w:rPr>
        <w:t xml:space="preserve"> وَأَشْبَاهِهِ ، فِيهِ زَكَاةٌ</w:t>
      </w:r>
      <w:r>
        <w:rPr>
          <w:rtl/>
          <w:lang w:bidi="fa-IR"/>
        </w:rPr>
        <w:t>؟</w:t>
      </w:r>
    </w:p>
    <w:p w:rsidR="00992664" w:rsidRPr="00020424" w:rsidRDefault="00992664" w:rsidP="00992664">
      <w:pPr>
        <w:pStyle w:val="libNormal"/>
        <w:rPr>
          <w:rtl/>
          <w:lang w:bidi="fa-IR"/>
        </w:rPr>
      </w:pPr>
      <w:r w:rsidRPr="00020424">
        <w:rPr>
          <w:rtl/>
          <w:lang w:bidi="fa-IR"/>
        </w:rPr>
        <w:t>قَالَ : « لَا</w:t>
      </w:r>
      <w:r>
        <w:rPr>
          <w:rtl/>
          <w:lang w:bidi="fa-IR"/>
        </w:rPr>
        <w:t xml:space="preserve"> ».</w:t>
      </w:r>
      <w:r w:rsidRPr="00020424">
        <w:rPr>
          <w:rtl/>
          <w:lang w:bidi="fa-IR"/>
        </w:rPr>
        <w:t xml:space="preserve"> قُلْتُ : فَثَمَنُهُ </w:t>
      </w:r>
      <w:r w:rsidRPr="00A91B96">
        <w:rPr>
          <w:rStyle w:val="libFootnotenumChar"/>
          <w:rtl/>
        </w:rPr>
        <w:t>(9)</w:t>
      </w:r>
      <w:r>
        <w:rPr>
          <w:rtl/>
          <w:lang w:bidi="fa-IR"/>
        </w:rPr>
        <w:t>؟</w:t>
      </w:r>
      <w:r w:rsidRPr="00020424">
        <w:rPr>
          <w:rtl/>
          <w:lang w:bidi="fa-IR"/>
        </w:rPr>
        <w:t xml:space="preserve"> قَالَ : « مَا حَالَ عَلَيْهِ الْحَوْلُ مِنْ ثَمَنِهِ فَزَكِّهِ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الخضرة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القصَب</w:t>
      </w:r>
      <w:r w:rsidR="00992664">
        <w:rPr>
          <w:rtl/>
        </w:rPr>
        <w:t xml:space="preserve"> ».</w:t>
      </w:r>
      <w:r w:rsidR="00992664" w:rsidRPr="00020424">
        <w:rPr>
          <w:rtl/>
        </w:rPr>
        <w:t xml:space="preserve"> </w:t>
      </w:r>
      <w:r w:rsidR="00992664">
        <w:rPr>
          <w:rtl/>
        </w:rPr>
        <w:t>و «</w:t>
      </w:r>
      <w:r w:rsidR="00992664" w:rsidRPr="00020424">
        <w:rPr>
          <w:rtl/>
        </w:rPr>
        <w:t xml:space="preserve"> القَضْب » : الرطبة ، وهي الفصفصة ، وهي الإسفست بالفارسية ، وهي معرّب اسپست ، يقال لها بالفارسية : يونجه. راجع : </w:t>
      </w:r>
      <w:r w:rsidR="00992664" w:rsidRPr="00A722B1">
        <w:rPr>
          <w:rStyle w:val="libFootnoteBoldChar"/>
          <w:rtl/>
        </w:rPr>
        <w:t>لسان العرب</w:t>
      </w:r>
      <w:r w:rsidR="00992664" w:rsidRPr="009B1CE5">
        <w:rPr>
          <w:rtl/>
        </w:rPr>
        <w:t xml:space="preserve"> </w:t>
      </w:r>
      <w:r w:rsidR="00992664" w:rsidRPr="00020424">
        <w:rPr>
          <w:rtl/>
        </w:rPr>
        <w:t xml:space="preserve">، ج 1 ، ص 679 ؛ </w:t>
      </w:r>
      <w:r w:rsidR="00992664" w:rsidRPr="00A722B1">
        <w:rPr>
          <w:rStyle w:val="libFootnoteBoldChar"/>
          <w:rtl/>
        </w:rPr>
        <w:t>المصباح المنير</w:t>
      </w:r>
      <w:r w:rsidR="00992664" w:rsidRPr="00020424">
        <w:rPr>
          <w:rtl/>
        </w:rPr>
        <w:t xml:space="preserve"> ، ص 507 ( قضب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فقال : لا شي‌ء عليه » بدل « قال : ليس عليه شي‌ء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بخ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فيحول</w:t>
      </w:r>
      <w:r w:rsidR="00992664">
        <w:rPr>
          <w:rtl/>
        </w:rPr>
        <w:t xml:space="preserve"> ».</w:t>
      </w:r>
      <w:r w:rsidR="00992664" w:rsidRPr="00020424">
        <w:rPr>
          <w:rtl/>
        </w:rPr>
        <w:t xml:space="preserve"> وفي « بر ، بف » : « فتحوّل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الشجر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الغَضاة » : مفرد غَضى ، أو جمعه على قول ، وهو شجر وخشبه من أصلب الخشب ولهذا يكون في فحمه صلابة. وقيل : هو من نبات الرمل له هَدَب</w:t>
      </w:r>
      <w:r w:rsidR="00992664">
        <w:rPr>
          <w:rtl/>
        </w:rPr>
        <w:t xml:space="preserve"> </w:t>
      </w:r>
      <w:r w:rsidR="009B673F">
        <w:rPr>
          <w:rtl/>
        </w:rPr>
        <w:t>-</w:t>
      </w:r>
      <w:r w:rsidR="00992664">
        <w:rPr>
          <w:rtl/>
        </w:rPr>
        <w:t xml:space="preserve"> </w:t>
      </w:r>
      <w:r w:rsidR="00992664" w:rsidRPr="00020424">
        <w:rPr>
          <w:rtl/>
        </w:rPr>
        <w:t>أي غضن</w:t>
      </w:r>
      <w:r w:rsidR="00992664">
        <w:rPr>
          <w:rtl/>
        </w:rPr>
        <w:t xml:space="preserve"> </w:t>
      </w:r>
      <w:r w:rsidR="009B673F">
        <w:rPr>
          <w:rtl/>
        </w:rPr>
        <w:t>-</w:t>
      </w:r>
      <w:r w:rsidR="00992664">
        <w:rPr>
          <w:rtl/>
        </w:rPr>
        <w:t xml:space="preserve"> </w:t>
      </w:r>
      <w:r w:rsidR="00992664" w:rsidRPr="00020424">
        <w:rPr>
          <w:rtl/>
        </w:rPr>
        <w:t xml:space="preserve">كهدب الأَرْطى وهو شجر ثمره كالعنّاب. راجع : </w:t>
      </w:r>
      <w:r w:rsidR="00992664" w:rsidRPr="00A722B1">
        <w:rPr>
          <w:rStyle w:val="libFootnoteBoldChar"/>
          <w:rtl/>
        </w:rPr>
        <w:t>لسان العرب</w:t>
      </w:r>
      <w:r w:rsidR="00992664" w:rsidRPr="00020424">
        <w:rPr>
          <w:rtl/>
        </w:rPr>
        <w:t xml:space="preserve"> ، ج 15 ، ص 128 ؛ </w:t>
      </w:r>
      <w:r w:rsidR="00992664" w:rsidRPr="00A722B1">
        <w:rPr>
          <w:rStyle w:val="libFootnoteBoldChar"/>
          <w:rtl/>
        </w:rPr>
        <w:t>المصباح المنير</w:t>
      </w:r>
      <w:r w:rsidR="00992664" w:rsidRPr="00020424">
        <w:rPr>
          <w:rtl/>
        </w:rPr>
        <w:t xml:space="preserve"> ، ص 449 ( غضا )</w:t>
      </w:r>
      <w:r w:rsidR="00992664">
        <w:rPr>
          <w:rtl/>
        </w:rPr>
        <w:t>.</w:t>
      </w:r>
    </w:p>
    <w:p w:rsidR="00992664" w:rsidRPr="00020424" w:rsidRDefault="00647AD9" w:rsidP="00647AD9">
      <w:pPr>
        <w:pStyle w:val="libFootnote0"/>
        <w:rPr>
          <w:rtl/>
          <w:lang w:bidi="fa-IR"/>
        </w:rPr>
      </w:pPr>
      <w:r>
        <w:rPr>
          <w:rtl/>
        </w:rPr>
        <w:t>هذا وقد قرأ العل</w:t>
      </w:r>
      <w:r>
        <w:rPr>
          <w:rFonts w:hint="cs"/>
          <w:rtl/>
        </w:rPr>
        <w:t>ّ</w:t>
      </w:r>
      <w:r>
        <w:rPr>
          <w:rtl/>
        </w:rPr>
        <w:t>ا</w:t>
      </w:r>
      <w:r w:rsidR="00992664" w:rsidRPr="00647AD9">
        <w:rPr>
          <w:rtl/>
        </w:rPr>
        <w:t xml:space="preserve">مة الفيض : العضاة ، بالعين المهملة ، حيث قال في </w:t>
      </w:r>
      <w:r w:rsidR="00992664" w:rsidRPr="0012008A">
        <w:rPr>
          <w:rStyle w:val="libFootnoteBoldChar"/>
          <w:rtl/>
        </w:rPr>
        <w:t>الوافي</w:t>
      </w:r>
      <w:r w:rsidR="00992664" w:rsidRPr="00647AD9">
        <w:rPr>
          <w:rtl/>
        </w:rPr>
        <w:t xml:space="preserve"> : « العضاة : جمع عضة بالكسر ، أصلها عضهة فردّ الهاء في الجمع ، وهي كلّ شجر له شوك ، كأنّه أراد بها الأشجار التي تحمل الثمار كانت ما كانت ».</w:t>
      </w:r>
    </w:p>
    <w:p w:rsidR="00992664" w:rsidRPr="00020424" w:rsidRDefault="00992664" w:rsidP="00647AD9">
      <w:pPr>
        <w:pStyle w:val="libFootnote0"/>
        <w:rPr>
          <w:rtl/>
          <w:lang w:bidi="fa-IR"/>
        </w:rPr>
      </w:pPr>
      <w:r w:rsidRPr="00647AD9">
        <w:rPr>
          <w:rtl/>
        </w:rPr>
        <w:t xml:space="preserve">وفي </w:t>
      </w:r>
      <w:r w:rsidRPr="00972066">
        <w:rPr>
          <w:rStyle w:val="libFootnoteBoldChar"/>
          <w:rtl/>
        </w:rPr>
        <w:t>مرآة العقول</w:t>
      </w:r>
      <w:r w:rsidRPr="00647AD9">
        <w:rPr>
          <w:rtl/>
        </w:rPr>
        <w:t xml:space="preserve"> ، ج 16 ، ص 24 : « الغضّ : الطريّ ، والفرسك هو الخوخ الذي ينفلق عن نواه ، فمعنى الخبر أنّه لا زكاة فيما كان طريّاً ، كالفرسك وشبهه ؛ كذا قيل. ولا يخفى ما فيه ، والظاهر أنّه جمع غاض ، كعاص وعصاة ، أي الأشياء الوافرة الكثيرة ، قال الفيروزآبادي : شي‌ء غاض : حسن الغضو عامّ وافر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الخوخ </w:t>
      </w:r>
      <w:r w:rsidR="00992664">
        <w:rPr>
          <w:rtl/>
        </w:rPr>
        <w:t>و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الفرسك » ، كزبرج : الخَوْخ</w:t>
      </w:r>
      <w:r w:rsidR="00992664">
        <w:rPr>
          <w:rtl/>
        </w:rPr>
        <w:t xml:space="preserve"> </w:t>
      </w:r>
      <w:r w:rsidR="009B673F">
        <w:rPr>
          <w:rtl/>
        </w:rPr>
        <w:t>-</w:t>
      </w:r>
      <w:r w:rsidR="00992664">
        <w:rPr>
          <w:rtl/>
        </w:rPr>
        <w:t xml:space="preserve"> </w:t>
      </w:r>
      <w:r w:rsidR="00992664" w:rsidRPr="00020424">
        <w:rPr>
          <w:rtl/>
        </w:rPr>
        <w:t>وهو شجر مثمر من فصيلة الورديّات ، ثماره مختلفة الشكل واللون والطعم ، وهي لذيذة الطعم</w:t>
      </w:r>
      <w:r w:rsidR="00992664">
        <w:rPr>
          <w:rtl/>
        </w:rPr>
        <w:t xml:space="preserve"> </w:t>
      </w:r>
      <w:r w:rsidR="009B673F">
        <w:rPr>
          <w:rtl/>
        </w:rPr>
        <w:t>-</w:t>
      </w:r>
      <w:r w:rsidR="00992664">
        <w:rPr>
          <w:rtl/>
        </w:rPr>
        <w:t xml:space="preserve"> </w:t>
      </w:r>
      <w:r w:rsidR="00992664" w:rsidRPr="00020424">
        <w:rPr>
          <w:rtl/>
        </w:rPr>
        <w:t xml:space="preserve">أو هو مثل الخوخ في القدر ، وهو أجرد أملس أحمر وأصفر ، أو ما ينفلق عن نواه. راجع : </w:t>
      </w:r>
      <w:r w:rsidR="00992664" w:rsidRPr="00A722B1">
        <w:rPr>
          <w:rStyle w:val="libFootnoteBoldChar"/>
          <w:rtl/>
        </w:rPr>
        <w:t>لسان العرب</w:t>
      </w:r>
      <w:r w:rsidR="00992664" w:rsidRPr="00020424">
        <w:rPr>
          <w:rtl/>
        </w:rPr>
        <w:t xml:space="preserve"> ، ج 10 ، ص 475 ؛ </w:t>
      </w:r>
      <w:r w:rsidR="00992664" w:rsidRPr="00A722B1">
        <w:rPr>
          <w:rStyle w:val="libFootnoteBoldChar"/>
          <w:rtl/>
        </w:rPr>
        <w:t>القاموس المحيط</w:t>
      </w:r>
      <w:r w:rsidR="00992664" w:rsidRPr="00020424">
        <w:rPr>
          <w:rtl/>
        </w:rPr>
        <w:t xml:space="preserve"> ، ج 2 ، ص 1258 ( فرسك )</w:t>
      </w:r>
      <w:r w:rsidR="00992664">
        <w:rPr>
          <w:rtl/>
        </w:rPr>
        <w:t>.</w:t>
      </w:r>
    </w:p>
    <w:tbl>
      <w:tblPr>
        <w:tblStyle w:val="TableGrid"/>
        <w:bidiVisual/>
        <w:tblW w:w="0" w:type="auto"/>
        <w:tblLook w:val="04A0" w:firstRow="1" w:lastRow="0" w:firstColumn="1" w:lastColumn="0" w:noHBand="0" w:noVBand="1"/>
      </w:tblPr>
      <w:tblGrid>
        <w:gridCol w:w="4006"/>
        <w:gridCol w:w="4006"/>
      </w:tblGrid>
      <w:tr w:rsidR="00972066" w:rsidTr="00972066">
        <w:tc>
          <w:tcPr>
            <w:tcW w:w="4006" w:type="dxa"/>
          </w:tcPr>
          <w:p w:rsidR="00972066" w:rsidRDefault="00972066" w:rsidP="00992664">
            <w:pPr>
              <w:pStyle w:val="libFootnote0"/>
              <w:rPr>
                <w:rtl/>
              </w:rPr>
            </w:pPr>
            <w:r>
              <w:rPr>
                <w:rtl/>
              </w:rPr>
              <w:t xml:space="preserve">(9). </w:t>
            </w:r>
            <w:r w:rsidRPr="00020424">
              <w:rPr>
                <w:rtl/>
              </w:rPr>
              <w:t xml:space="preserve">في « بث ، بر ، بف » </w:t>
            </w:r>
            <w:r w:rsidRPr="00515444">
              <w:rPr>
                <w:rStyle w:val="libFootnoteBoldChar"/>
                <w:rtl/>
              </w:rPr>
              <w:t>والتهذيب</w:t>
            </w:r>
            <w:r w:rsidRPr="00020424">
              <w:rPr>
                <w:rtl/>
              </w:rPr>
              <w:t xml:space="preserve"> : « قيمته</w:t>
            </w:r>
            <w:r>
              <w:rPr>
                <w:rtl/>
              </w:rPr>
              <w:t xml:space="preserve"> ».</w:t>
            </w:r>
          </w:p>
        </w:tc>
        <w:tc>
          <w:tcPr>
            <w:tcW w:w="4006" w:type="dxa"/>
          </w:tcPr>
          <w:p w:rsidR="00972066" w:rsidRDefault="00972066" w:rsidP="00992664">
            <w:pPr>
              <w:pStyle w:val="libFootnote0"/>
              <w:rPr>
                <w:rtl/>
              </w:rPr>
            </w:pPr>
            <w:r>
              <w:rPr>
                <w:rtl/>
              </w:rPr>
              <w:t xml:space="preserve">(10). </w:t>
            </w:r>
            <w:r w:rsidRPr="00020424">
              <w:rPr>
                <w:rtl/>
              </w:rPr>
              <w:t>في « ظ : « فتزكّه</w:t>
            </w:r>
            <w:r>
              <w:rPr>
                <w:rtl/>
              </w:rPr>
              <w:t xml:space="preserve"> ».</w:t>
            </w:r>
            <w:r w:rsidRPr="00020424">
              <w:rPr>
                <w:rtl/>
              </w:rPr>
              <w:t xml:space="preserve"> وفي « بح » : « فزكّوا</w:t>
            </w:r>
            <w:r>
              <w:rPr>
                <w:rtl/>
              </w:rPr>
              <w:t xml:space="preserve"> ».</w:t>
            </w:r>
          </w:p>
        </w:tc>
      </w:tr>
    </w:tbl>
    <w:p w:rsidR="00992664" w:rsidRPr="00020424" w:rsidRDefault="00795177" w:rsidP="00F73FC0">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67 ، ح 182 ، معلّقاً عن الكليني </w:t>
      </w:r>
      <w:r w:rsidR="00F73FC0">
        <w:rPr>
          <w:rFonts w:hint="cs"/>
          <w:rtl/>
        </w:rPr>
        <w:t>.</w:t>
      </w:r>
      <w:r w:rsidR="00992664" w:rsidRPr="0012008A">
        <w:rPr>
          <w:rStyle w:val="libFootnoteBoldChar"/>
          <w:rtl/>
        </w:rPr>
        <w:t>الوافي</w:t>
      </w:r>
      <w:r w:rsidR="00992664" w:rsidRPr="00020424">
        <w:rPr>
          <w:rtl/>
        </w:rPr>
        <w:t xml:space="preserve"> ، ج 10 ، ص 60 ، ح 9152 ؛ </w:t>
      </w:r>
      <w:r w:rsidR="00992664" w:rsidRPr="0012008A">
        <w:rPr>
          <w:rStyle w:val="libFootnoteBoldChar"/>
          <w:rtl/>
        </w:rPr>
        <w:t>الوسائل</w:t>
      </w:r>
      <w:r w:rsidR="00992664" w:rsidRPr="00020424">
        <w:rPr>
          <w:rtl/>
        </w:rPr>
        <w:t xml:space="preserve"> ، ج 9 ،</w:t>
      </w:r>
      <w:r w:rsidR="00F73FC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90C29">
        <w:rPr>
          <w:rtl/>
        </w:rPr>
        <w:lastRenderedPageBreak/>
        <w:t>5778</w:t>
      </w:r>
      <w:r w:rsidRPr="001155DE">
        <w:rPr>
          <w:rStyle w:val="libBold2Char"/>
          <w:rtl/>
        </w:rPr>
        <w:t xml:space="preserve"> / 4.</w:t>
      </w:r>
      <w:r w:rsidRPr="00020424">
        <w:rPr>
          <w:rtl/>
          <w:lang w:bidi="fa-IR"/>
        </w:rPr>
        <w:t xml:space="preserve"> عَلِيُّ بْنُ إِبْرَاهِيمَ </w:t>
      </w:r>
      <w:r w:rsidRPr="00A91B96">
        <w:rPr>
          <w:rStyle w:val="libFootnotenumChar"/>
          <w:rtl/>
        </w:rPr>
        <w:t>(1)</w:t>
      </w:r>
      <w:r w:rsidRPr="00020424">
        <w:rPr>
          <w:rtl/>
          <w:lang w:bidi="fa-IR"/>
        </w:rPr>
        <w:t xml:space="preserve"> ، عَنْ أَبِيهِ ، عَنْ إِسْمَاعِيلَ بْنِ مَرَّارٍ وَغَيْرِهِ ، عَنْ يُونُسَ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الْأُشْنَانِ </w:t>
      </w:r>
      <w:r w:rsidRPr="00A91B96">
        <w:rPr>
          <w:rStyle w:val="libFootnotenumChar"/>
          <w:rtl/>
        </w:rPr>
        <w:t>(2)</w:t>
      </w:r>
      <w:r w:rsidRPr="00020424">
        <w:rPr>
          <w:rtl/>
          <w:lang w:bidi="fa-IR"/>
        </w:rPr>
        <w:t xml:space="preserve"> ، فِيهِ زَكَاةٌ</w:t>
      </w:r>
      <w:r>
        <w:rPr>
          <w:rtl/>
          <w:lang w:bidi="fa-IR"/>
        </w:rPr>
        <w:t>؟</w:t>
      </w:r>
      <w:r w:rsidRPr="00020424">
        <w:rPr>
          <w:rtl/>
          <w:lang w:bidi="fa-IR"/>
        </w:rPr>
        <w:t xml:space="preserve"> فَقَالَ </w:t>
      </w:r>
      <w:r w:rsidRPr="00A91B96">
        <w:rPr>
          <w:rStyle w:val="libFootnotenumChar"/>
          <w:rtl/>
        </w:rPr>
        <w:t>(3)</w:t>
      </w:r>
      <w:r w:rsidRPr="00020424">
        <w:rPr>
          <w:rtl/>
          <w:lang w:bidi="fa-IR"/>
        </w:rPr>
        <w:t xml:space="preserve"> : « لَا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90C29">
        <w:rPr>
          <w:rtl/>
        </w:rPr>
        <w:t>5779</w:t>
      </w:r>
      <w:r w:rsidRPr="001155DE">
        <w:rPr>
          <w:rStyle w:val="libBold2Char"/>
          <w:rtl/>
        </w:rPr>
        <w:t xml:space="preserve"> / 5.</w:t>
      </w:r>
      <w:r w:rsidRPr="00020424">
        <w:rPr>
          <w:rtl/>
          <w:lang w:bidi="fa-IR"/>
        </w:rPr>
        <w:t xml:space="preserve"> مُحَمَّدُ بْنُ يَحْيى ، عَنْ أَحْمَدَ بْنِ مُحَمَّدٍ ، عَنْ عَلِيِّ بْنِ مَهْزِيَارَ ، عَنْ عَبْدِ الْعَزِيزِ بْنِ الْمُهْتَدِي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الْقُطْنِ وَالزَّعْفَرَانِ : عَلَيْهِمَا </w:t>
      </w:r>
      <w:r w:rsidRPr="00A91B96">
        <w:rPr>
          <w:rStyle w:val="libFootnotenumChar"/>
          <w:rtl/>
        </w:rPr>
        <w:t>(5)</w:t>
      </w:r>
      <w:r w:rsidRPr="00020424">
        <w:rPr>
          <w:rtl/>
          <w:lang w:bidi="fa-IR"/>
        </w:rPr>
        <w:t xml:space="preserve"> زَكَاةٌ</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90C29">
        <w:rPr>
          <w:rtl/>
        </w:rPr>
        <w:t>5780</w:t>
      </w:r>
      <w:r w:rsidRPr="001155DE">
        <w:rPr>
          <w:rStyle w:val="libBold2Char"/>
          <w:rtl/>
        </w:rPr>
        <w:t xml:space="preserve"> / 6.</w:t>
      </w:r>
      <w:r w:rsidRPr="00020424">
        <w:rPr>
          <w:rtl/>
          <w:lang w:bidi="fa-IR"/>
        </w:rPr>
        <w:t xml:space="preserve"> عَلِيُّ بْنُ إِبْرَاهِيمَ ، عَنْ أَبِيهِ ، عَنْ حَمَّادِ بْنِ عِيسى ، عَنْ حَرِيزٍ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A91B96">
        <w:rPr>
          <w:rStyle w:val="libFootnotenumChar"/>
          <w:rtl/>
        </w:rPr>
        <w:t>(7)</w:t>
      </w:r>
      <w:r w:rsidRPr="00020424">
        <w:rPr>
          <w:rtl/>
          <w:lang w:bidi="fa-IR"/>
        </w:rPr>
        <w:t xml:space="preserve"> وَأَبِي عَبْدِ اللهِ </w:t>
      </w:r>
      <w:r w:rsidRPr="00005A81">
        <w:rPr>
          <w:rStyle w:val="libAlaemChar"/>
          <w:rtl/>
        </w:rPr>
        <w:t>عليهما‌السلام</w:t>
      </w:r>
      <w:r w:rsidRPr="00020424">
        <w:rPr>
          <w:rtl/>
          <w:lang w:bidi="fa-IR"/>
        </w:rPr>
        <w:t xml:space="preserve"> فِي الْبُسْتَانِ يَكُونُ </w:t>
      </w:r>
      <w:r w:rsidRPr="00A91B96">
        <w:rPr>
          <w:rStyle w:val="libFootnotenumChar"/>
          <w:rtl/>
        </w:rPr>
        <w:t>(8)</w:t>
      </w:r>
      <w:r w:rsidRPr="00020424">
        <w:rPr>
          <w:rtl/>
          <w:lang w:bidi="fa-IR"/>
        </w:rPr>
        <w:t xml:space="preserve"> فِيهِ مِنَ </w:t>
      </w:r>
      <w:r w:rsidRPr="00A91B96">
        <w:rPr>
          <w:rStyle w:val="libFootnotenumChar"/>
          <w:rtl/>
        </w:rPr>
        <w:t>(9)</w:t>
      </w:r>
      <w:r w:rsidRPr="00020424">
        <w:rPr>
          <w:rtl/>
          <w:lang w:bidi="fa-IR"/>
        </w:rPr>
        <w:t xml:space="preserve"> الثِّمَارِ مَا لَوْ بِيعَ كَانَ مَالاً </w:t>
      </w:r>
      <w:r w:rsidRPr="00A91B96">
        <w:rPr>
          <w:rStyle w:val="libFootnotenumChar"/>
          <w:rtl/>
        </w:rPr>
        <w:t>(10)</w:t>
      </w:r>
      <w:r w:rsidRPr="00020424">
        <w:rPr>
          <w:rtl/>
          <w:lang w:bidi="fa-IR"/>
        </w:rPr>
        <w:t xml:space="preserve"> ، هَلْ فِيهِ صَدَقَةٌ </w:t>
      </w:r>
      <w:r w:rsidRPr="00A91B96">
        <w:rPr>
          <w:rStyle w:val="libFootnotenumChar"/>
          <w:rtl/>
        </w:rPr>
        <w:t>(11)</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E562D7" w:rsidRDefault="00E562D7" w:rsidP="00992664">
      <w:pPr>
        <w:pStyle w:val="libFootnote0"/>
        <w:rPr>
          <w:rtl/>
        </w:rPr>
      </w:pPr>
      <w:r>
        <w:rPr>
          <w:rFonts w:hint="cs"/>
          <w:rtl/>
        </w:rPr>
        <w:t xml:space="preserve">= </w:t>
      </w:r>
      <w:r w:rsidRPr="00020424">
        <w:rPr>
          <w:rtl/>
        </w:rPr>
        <w:t>ص 67 ، ح 11534.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CC4279">
      <w:pPr>
        <w:pStyle w:val="libFootnote0"/>
        <w:rPr>
          <w:rtl/>
          <w:lang w:bidi="fa-IR"/>
        </w:rPr>
      </w:pPr>
      <w:r>
        <w:rPr>
          <w:rtl/>
        </w:rPr>
        <w:t>(2).</w:t>
      </w:r>
      <w:r w:rsidR="0014403D">
        <w:rPr>
          <w:rtl/>
        </w:rPr>
        <w:t xml:space="preserve"> </w:t>
      </w:r>
      <w:r w:rsidR="00992664" w:rsidRPr="00020424">
        <w:rPr>
          <w:rtl/>
        </w:rPr>
        <w:t>الإِشنان والا</w:t>
      </w:r>
      <w:r w:rsidR="00592552">
        <w:rPr>
          <w:rFonts w:hint="cs"/>
          <w:rtl/>
        </w:rPr>
        <w:t>ُ</w:t>
      </w:r>
      <w:r w:rsidR="00992664" w:rsidRPr="00020424">
        <w:rPr>
          <w:rtl/>
        </w:rPr>
        <w:t>شنان من الحَمْض</w:t>
      </w:r>
      <w:r w:rsidR="00992664">
        <w:rPr>
          <w:rtl/>
        </w:rPr>
        <w:t xml:space="preserve"> </w:t>
      </w:r>
      <w:r w:rsidR="009B673F">
        <w:rPr>
          <w:rtl/>
        </w:rPr>
        <w:t>-</w:t>
      </w:r>
      <w:r w:rsidR="00992664">
        <w:rPr>
          <w:rtl/>
        </w:rPr>
        <w:t xml:space="preserve"> </w:t>
      </w:r>
      <w:r w:rsidR="00992664" w:rsidRPr="00020424">
        <w:rPr>
          <w:rtl/>
        </w:rPr>
        <w:t>وهو من النبت ما كان فيه مُلوحة ومرارة</w:t>
      </w:r>
      <w:r w:rsidR="00992664">
        <w:rPr>
          <w:rtl/>
        </w:rPr>
        <w:t xml:space="preserve"> </w:t>
      </w:r>
      <w:r w:rsidR="009B673F">
        <w:rPr>
          <w:rtl/>
        </w:rPr>
        <w:t>-</w:t>
      </w:r>
      <w:r w:rsidR="00992664">
        <w:rPr>
          <w:rtl/>
        </w:rPr>
        <w:t xml:space="preserve"> </w:t>
      </w:r>
      <w:r w:rsidR="00992664" w:rsidRPr="00020424">
        <w:rPr>
          <w:rtl/>
        </w:rPr>
        <w:t xml:space="preserve">: معروف ، الذي يغسل به الأيدي ، والضمّ أعلى ، قيل : هو معرّب يقال له بالعربيّة : الحُرْض. راجع : </w:t>
      </w:r>
      <w:r w:rsidR="00992664" w:rsidRPr="00A722B1">
        <w:rPr>
          <w:rStyle w:val="libFootnoteBoldChar"/>
          <w:rtl/>
        </w:rPr>
        <w:t>لسان العرب</w:t>
      </w:r>
      <w:r w:rsidR="00992664" w:rsidRPr="00020424">
        <w:rPr>
          <w:rtl/>
        </w:rPr>
        <w:t xml:space="preserve"> ، ج 13 ، ص 18 ؛ </w:t>
      </w:r>
      <w:r w:rsidR="00992664" w:rsidRPr="00A722B1">
        <w:rPr>
          <w:rStyle w:val="libFootnoteBoldChar"/>
          <w:rtl/>
        </w:rPr>
        <w:t>المصباح المنير</w:t>
      </w:r>
      <w:r w:rsidR="00992664" w:rsidRPr="00020424">
        <w:rPr>
          <w:rtl/>
        </w:rPr>
        <w:t xml:space="preserve"> ، ص 16 ( أشن )</w:t>
      </w:r>
      <w:r w:rsidR="00992664">
        <w:rPr>
          <w:rtl/>
        </w:rPr>
        <w:t>.</w:t>
      </w:r>
      <w:r w:rsidR="000C036F">
        <w:rPr>
          <w:rFonts w:hint="cs"/>
          <w:rtl/>
        </w:rPr>
        <w:t xml:space="preserve">                         </w:t>
      </w:r>
      <w:r w:rsidR="00CC4279">
        <w:rPr>
          <w:rFonts w:hint="cs"/>
          <w:rtl/>
        </w:rPr>
        <w:t xml:space="preserve">            </w:t>
      </w:r>
      <w:r>
        <w:rPr>
          <w:rtl/>
        </w:rPr>
        <w:t>(3).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0C036F">
        <w:rPr>
          <w:rtl/>
        </w:rPr>
        <w:t xml:space="preserve"> : «</w:t>
      </w:r>
      <w:r w:rsidR="00992664" w:rsidRPr="00020424">
        <w:rPr>
          <w:rtl/>
        </w:rPr>
        <w:t>قال</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62 ، ح 9156 ؛ </w:t>
      </w:r>
      <w:r w:rsidR="00992664" w:rsidRPr="0012008A">
        <w:rPr>
          <w:rStyle w:val="libFootnoteBoldChar"/>
          <w:rtl/>
        </w:rPr>
        <w:t>الوسائل</w:t>
      </w:r>
      <w:r w:rsidR="00992664" w:rsidRPr="00020424">
        <w:rPr>
          <w:rtl/>
        </w:rPr>
        <w:t xml:space="preserve"> ، ج 9 ، ص 68 ، ح 11540.</w:t>
      </w:r>
    </w:p>
    <w:p w:rsidR="00992664" w:rsidRPr="00020424" w:rsidRDefault="00795177" w:rsidP="00992664">
      <w:pPr>
        <w:pStyle w:val="libFootnote0"/>
        <w:rPr>
          <w:rtl/>
          <w:lang w:bidi="fa-IR"/>
        </w:rPr>
      </w:pPr>
      <w:r>
        <w:rPr>
          <w:rtl/>
        </w:rPr>
        <w:t>(5).</w:t>
      </w:r>
      <w:r w:rsidR="0014403D">
        <w:rPr>
          <w:rtl/>
        </w:rPr>
        <w:t xml:space="preserve"> </w:t>
      </w:r>
      <w:r w:rsidR="00992664">
        <w:rPr>
          <w:rtl/>
        </w:rPr>
        <w:t>في « بث » : « أ</w:t>
      </w:r>
      <w:r w:rsidR="00992664" w:rsidRPr="00020424">
        <w:rPr>
          <w:rtl/>
        </w:rPr>
        <w:t>عليهما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14 ، ذيل ح 1598 ؛ و</w:t>
      </w:r>
      <w:r w:rsidR="00992664" w:rsidRPr="00A90C29">
        <w:rPr>
          <w:rtl/>
        </w:rPr>
        <w:t xml:space="preserve">فقه الرضا </w:t>
      </w:r>
      <w:r w:rsidR="00992664" w:rsidRPr="00D64ADA">
        <w:rPr>
          <w:rStyle w:val="libFootnoteAlaemChar"/>
          <w:rtl/>
        </w:rPr>
        <w:t>عليه‌السلام</w:t>
      </w:r>
      <w:r w:rsidR="00992664" w:rsidRPr="00020424">
        <w:rPr>
          <w:rtl/>
        </w:rPr>
        <w:t xml:space="preserve"> ، ص 199 ، مع اختلاف يسير وزيادة </w:t>
      </w:r>
      <w:r w:rsidR="00CC4279">
        <w:rPr>
          <w:rFonts w:hint="cs"/>
          <w:rtl/>
        </w:rPr>
        <w:t>.</w:t>
      </w:r>
      <w:r w:rsidR="00992664" w:rsidRPr="0012008A">
        <w:rPr>
          <w:rStyle w:val="libFootnoteBoldChar"/>
          <w:rtl/>
        </w:rPr>
        <w:t>الوافي</w:t>
      </w:r>
      <w:r w:rsidR="00992664" w:rsidRPr="00020424">
        <w:rPr>
          <w:rtl/>
        </w:rPr>
        <w:t xml:space="preserve"> ، ج 10 ، ص 62 ، ح 9155 ؛ </w:t>
      </w:r>
      <w:r w:rsidR="00992664" w:rsidRPr="0012008A">
        <w:rPr>
          <w:rStyle w:val="libFootnoteBoldChar"/>
          <w:rtl/>
        </w:rPr>
        <w:t>الوسائل</w:t>
      </w:r>
      <w:r w:rsidR="00992664" w:rsidRPr="00020424">
        <w:rPr>
          <w:rtl/>
        </w:rPr>
        <w:t xml:space="preserve"> ، ج 9 ، ص 68 ، ح 11538.</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بح » </w:t>
      </w:r>
      <w:r w:rsidR="00992664" w:rsidRPr="00EB1FD9">
        <w:rPr>
          <w:rStyle w:val="libFootnoteBoldChar"/>
          <w:rtl/>
        </w:rPr>
        <w:t>والوسائل</w:t>
      </w:r>
      <w:r w:rsidR="00992664" w:rsidRPr="00020424">
        <w:rPr>
          <w:rtl/>
        </w:rPr>
        <w:t xml:space="preserve"> : « أو</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تكون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ى ، بث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بخ ، بر » وحاشية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11809 : « بمال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11809 : « الصدقة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19 ، ح 51 ، بسند آخر عن موسى بن جعفر </w:t>
      </w:r>
      <w:r w:rsidR="00D64ADA" w:rsidRPr="00D64ADA">
        <w:rPr>
          <w:rStyle w:val="libFootnoteAlaemChar"/>
          <w:rtl/>
        </w:rPr>
        <w:t>عليهما‌السلام</w:t>
      </w:r>
      <w:r w:rsidR="00992664" w:rsidRPr="00020424">
        <w:rPr>
          <w:rtl/>
        </w:rPr>
        <w:t xml:space="preserve"> ؛ و</w:t>
      </w:r>
      <w:r w:rsidR="00992664" w:rsidRPr="00A90C29">
        <w:rPr>
          <w:rtl/>
        </w:rPr>
        <w:t>مسائل عليّ بن جعفر</w:t>
      </w:r>
      <w:r w:rsidR="00992664" w:rsidRPr="00020424">
        <w:rPr>
          <w:rtl/>
        </w:rPr>
        <w:t xml:space="preserve"> ، ص 259 ، مع </w:t>
      </w:r>
      <w:r w:rsidR="00CC427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1" w:name="_Toc345172726"/>
      <w:bookmarkStart w:id="32" w:name="_Toc464562544"/>
      <w:bookmarkStart w:id="33" w:name="_Toc44599846"/>
      <w:r w:rsidRPr="00020424">
        <w:rPr>
          <w:rtl/>
          <w:lang w:bidi="fa-IR"/>
        </w:rPr>
        <w:lastRenderedPageBreak/>
        <w:t>7</w:t>
      </w:r>
      <w:r>
        <w:rPr>
          <w:rtl/>
          <w:lang w:bidi="fa-IR"/>
        </w:rPr>
        <w:t xml:space="preserve"> </w:t>
      </w:r>
      <w:r w:rsidR="009B673F">
        <w:rPr>
          <w:rtl/>
          <w:lang w:bidi="fa-IR"/>
        </w:rPr>
        <w:t>-</w:t>
      </w:r>
      <w:r>
        <w:rPr>
          <w:rtl/>
          <w:lang w:bidi="fa-IR"/>
        </w:rPr>
        <w:t xml:space="preserve"> </w:t>
      </w:r>
      <w:r w:rsidRPr="00020424">
        <w:rPr>
          <w:rtl/>
          <w:lang w:bidi="fa-IR"/>
        </w:rPr>
        <w:t xml:space="preserve">بَابُ أَقَلِّ مَا يَجِبُ </w:t>
      </w:r>
      <w:r w:rsidRPr="00A91B96">
        <w:rPr>
          <w:rStyle w:val="libFootnotenumChar"/>
          <w:rtl/>
        </w:rPr>
        <w:t>(1)</w:t>
      </w:r>
      <w:r>
        <w:rPr>
          <w:rtl/>
        </w:rPr>
        <w:t xml:space="preserve"> </w:t>
      </w:r>
      <w:r w:rsidRPr="00020424">
        <w:rPr>
          <w:rtl/>
          <w:lang w:bidi="fa-IR"/>
        </w:rPr>
        <w:t>فِيهِ الزَّكَاةُ مِنَ الْحَرْثِ‌</w:t>
      </w:r>
      <w:bookmarkEnd w:id="31"/>
      <w:bookmarkEnd w:id="32"/>
      <w:bookmarkEnd w:id="33"/>
    </w:p>
    <w:p w:rsidR="00992664" w:rsidRPr="00020424" w:rsidRDefault="00992664" w:rsidP="00992664">
      <w:pPr>
        <w:pStyle w:val="libNormal"/>
        <w:rPr>
          <w:rtl/>
          <w:lang w:bidi="fa-IR"/>
        </w:rPr>
      </w:pPr>
      <w:r w:rsidRPr="00A90C29">
        <w:rPr>
          <w:rtl/>
        </w:rPr>
        <w:t>5781</w:t>
      </w:r>
      <w:r w:rsidRPr="001155DE">
        <w:rPr>
          <w:rStyle w:val="libBold2Char"/>
          <w:rtl/>
        </w:rPr>
        <w:t xml:space="preserve"> / 1.</w:t>
      </w:r>
      <w:r w:rsidRPr="00020424">
        <w:rPr>
          <w:rtl/>
          <w:lang w:bidi="fa-IR"/>
        </w:rPr>
        <w:t xml:space="preserve"> أَبُو عَلِيٍّ الْأَشْعَرِيُّ ، عَنْ أَحْمَدَ بْنِ مُحَمَّدٍ ، عَنْ عُثْمَانَ بْنِ عِيسى ، عَنْ سَمَاعَةَ ، قَالَ :</w:t>
      </w:r>
    </w:p>
    <w:p w:rsidR="00992664" w:rsidRPr="00020424" w:rsidRDefault="00992664" w:rsidP="00992664">
      <w:pPr>
        <w:pStyle w:val="libNormal"/>
        <w:rPr>
          <w:rtl/>
          <w:lang w:bidi="fa-IR"/>
        </w:rPr>
      </w:pPr>
      <w:r w:rsidRPr="00020424">
        <w:rPr>
          <w:rtl/>
          <w:lang w:bidi="fa-IR"/>
        </w:rPr>
        <w:t xml:space="preserve">سَأَلْتُهُ عَنِ الزَّكَاةِ فِي </w:t>
      </w:r>
      <w:r w:rsidRPr="00A91B96">
        <w:rPr>
          <w:rStyle w:val="libFootnotenumChar"/>
          <w:rtl/>
        </w:rPr>
        <w:t>(2)</w:t>
      </w:r>
      <w:r w:rsidRPr="00020424">
        <w:rPr>
          <w:rtl/>
          <w:lang w:bidi="fa-IR"/>
        </w:rPr>
        <w:t xml:space="preserve"> الزَّبِيبِ وَالتَّمْرِ</w:t>
      </w:r>
      <w:r>
        <w:rPr>
          <w:rtl/>
          <w:lang w:bidi="fa-IR"/>
        </w:rPr>
        <w:t>؟</w:t>
      </w:r>
    </w:p>
    <w:p w:rsidR="00992664" w:rsidRPr="00020424" w:rsidRDefault="00992664" w:rsidP="00992664">
      <w:pPr>
        <w:pStyle w:val="libNormal"/>
        <w:rPr>
          <w:rtl/>
          <w:lang w:bidi="fa-IR"/>
        </w:rPr>
      </w:pPr>
      <w:r w:rsidRPr="00020424">
        <w:rPr>
          <w:rtl/>
          <w:lang w:bidi="fa-IR"/>
        </w:rPr>
        <w:t xml:space="preserve">فَقَالَ : « فِي كُلِّ خَمْسَةِ أَوْسَاقٍ </w:t>
      </w:r>
      <w:r w:rsidRPr="00A91B96">
        <w:rPr>
          <w:rStyle w:val="libFootnotenumChar"/>
          <w:rtl/>
        </w:rPr>
        <w:t>(3)</w:t>
      </w:r>
      <w:r w:rsidRPr="00020424">
        <w:rPr>
          <w:rtl/>
          <w:lang w:bidi="fa-IR"/>
        </w:rPr>
        <w:t xml:space="preserve"> وَسْقٌ ؛ وَالْوَسْقُ سِتُّونَ صَاعاً </w:t>
      </w:r>
      <w:r w:rsidRPr="00A91B96">
        <w:rPr>
          <w:rStyle w:val="libFootnotenumChar"/>
          <w:rtl/>
        </w:rPr>
        <w:t>(4)</w:t>
      </w:r>
      <w:r w:rsidRPr="00020424">
        <w:rPr>
          <w:rtl/>
          <w:lang w:bidi="fa-IR"/>
        </w:rPr>
        <w:t xml:space="preserve"> ، وَالزَّكَاةُ فِيهِمَا سَوَاءٌ ، فَأَمَّا الطَّعَامُ ، فَالْعُشْرُ فِيمَا سَقَتِ السَّمَاءُ ؛ وَأَمَّا </w:t>
      </w:r>
      <w:r w:rsidRPr="00A91B96">
        <w:rPr>
          <w:rStyle w:val="libFootnotenumChar"/>
          <w:rtl/>
        </w:rPr>
        <w:t>(5)</w:t>
      </w:r>
      <w:r w:rsidRPr="00020424">
        <w:rPr>
          <w:rtl/>
          <w:lang w:bidi="fa-IR"/>
        </w:rPr>
        <w:t xml:space="preserve"> مَا سُقِيَ بِالْغَرْبِ </w:t>
      </w:r>
      <w:r w:rsidRPr="00A91B96">
        <w:rPr>
          <w:rStyle w:val="libFootnotenumChar"/>
          <w:rtl/>
        </w:rPr>
        <w:t>(6)</w:t>
      </w:r>
      <w:r w:rsidRPr="00020424">
        <w:rPr>
          <w:rtl/>
          <w:lang w:bidi="fa-IR"/>
        </w:rPr>
        <w:t xml:space="preserve"> وَالدَّوَالِي </w:t>
      </w:r>
      <w:r w:rsidRPr="00A91B96">
        <w:rPr>
          <w:rStyle w:val="libFootnotenumChar"/>
          <w:rtl/>
        </w:rPr>
        <w:t>(7)</w:t>
      </w:r>
      <w:r w:rsidRPr="00020424">
        <w:rPr>
          <w:rtl/>
          <w:lang w:bidi="fa-IR"/>
        </w:rPr>
        <w:t xml:space="preserve"> ، فَإِنَّمَا عَلَيْهِ نِصْفُ الْعُشْرِ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F42202" w:rsidP="00992664">
      <w:pPr>
        <w:pStyle w:val="libFootnote0"/>
        <w:rPr>
          <w:rtl/>
          <w:lang w:bidi="fa-IR"/>
        </w:rPr>
      </w:pPr>
      <w:r>
        <w:rPr>
          <w:rFonts w:hint="cs"/>
          <w:rtl/>
        </w:rPr>
        <w:t xml:space="preserve">= </w:t>
      </w:r>
      <w:r w:rsidR="00992664" w:rsidRPr="00020424">
        <w:rPr>
          <w:rtl/>
        </w:rPr>
        <w:t xml:space="preserve">اختلاف يسير </w:t>
      </w:r>
      <w:r w:rsidR="00D32167">
        <w:rPr>
          <w:rFonts w:hint="cs"/>
          <w:rtl/>
        </w:rPr>
        <w:t>.</w:t>
      </w:r>
      <w:r w:rsidR="00992664" w:rsidRPr="0012008A">
        <w:rPr>
          <w:rStyle w:val="libFootnoteBoldChar"/>
          <w:rtl/>
        </w:rPr>
        <w:t>الوافي</w:t>
      </w:r>
      <w:r w:rsidR="00992664" w:rsidRPr="00020424">
        <w:rPr>
          <w:rtl/>
        </w:rPr>
        <w:t xml:space="preserve"> ، ج 10 ، ص 61 ، ح 9153 ؛ </w:t>
      </w:r>
      <w:r w:rsidR="00992664" w:rsidRPr="0012008A">
        <w:rPr>
          <w:rStyle w:val="libFootnoteBoldChar"/>
          <w:rtl/>
        </w:rPr>
        <w:t>الوسائل</w:t>
      </w:r>
      <w:r w:rsidR="00992664" w:rsidRPr="00020424">
        <w:rPr>
          <w:rtl/>
        </w:rPr>
        <w:t xml:space="preserve"> ، ج 9 ، ص 67 ، ح 11535 ؛ وص 191 ، ح 11809.</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بث ، بخ ، بف » ومرآة العقول : « ما تجب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32167" w:rsidTr="00D32167">
        <w:tc>
          <w:tcPr>
            <w:tcW w:w="4006" w:type="dxa"/>
          </w:tcPr>
          <w:p w:rsidR="00D32167" w:rsidRDefault="00D32167" w:rsidP="00992664">
            <w:pPr>
              <w:pStyle w:val="libFootnote0"/>
              <w:rPr>
                <w:rtl/>
              </w:rPr>
            </w:pPr>
            <w:r>
              <w:rPr>
                <w:rtl/>
              </w:rPr>
              <w:t xml:space="preserve">(2). </w:t>
            </w:r>
            <w:r w:rsidRPr="00020424">
              <w:rPr>
                <w:rtl/>
              </w:rPr>
              <w:t>في الاستبصار ، ج 2 ، ح 46 و47 : « من</w:t>
            </w:r>
            <w:r>
              <w:rPr>
                <w:rtl/>
              </w:rPr>
              <w:t xml:space="preserve"> ».</w:t>
            </w:r>
          </w:p>
        </w:tc>
        <w:tc>
          <w:tcPr>
            <w:tcW w:w="4006" w:type="dxa"/>
          </w:tcPr>
          <w:p w:rsidR="00D32167" w:rsidRDefault="00D32167" w:rsidP="00992664">
            <w:pPr>
              <w:pStyle w:val="libFootnote0"/>
              <w:rPr>
                <w:rtl/>
              </w:rPr>
            </w:pPr>
            <w:r>
              <w:rPr>
                <w:rtl/>
              </w:rPr>
              <w:t xml:space="preserve">(3). </w:t>
            </w:r>
            <w:r w:rsidRPr="00020424">
              <w:rPr>
                <w:rtl/>
              </w:rPr>
              <w:t xml:space="preserve">في حاشية « جن » </w:t>
            </w:r>
            <w:r w:rsidRPr="00EB1FD9">
              <w:rPr>
                <w:rStyle w:val="libFootnoteBoldChar"/>
                <w:rtl/>
              </w:rPr>
              <w:t>والوسائل</w:t>
            </w:r>
            <w:r w:rsidRPr="00020424">
              <w:rPr>
                <w:rtl/>
              </w:rPr>
              <w:t xml:space="preserve"> : « أوسق</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كذا في اللغة ، وللمزيد راجع : </w:t>
      </w:r>
      <w:r w:rsidR="00992664" w:rsidRPr="0012008A">
        <w:rPr>
          <w:rStyle w:val="libFootnoteBoldChar"/>
          <w:rtl/>
        </w:rPr>
        <w:t>النهاية</w:t>
      </w:r>
      <w:r w:rsidR="00992664" w:rsidRPr="00020424">
        <w:rPr>
          <w:rtl/>
        </w:rPr>
        <w:t xml:space="preserve"> ، ج 5 ، ص 185 ( وسق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أمّا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الغَرْب » : الدلو العظيمة التي تتّخذ من جلد ثور ، فإذا فتحت الراء فهو الماء السائل بين البئر والحوض. راجع : </w:t>
      </w:r>
      <w:r w:rsidR="00992664" w:rsidRPr="0012008A">
        <w:rPr>
          <w:rStyle w:val="libFootnoteBoldChar"/>
          <w:rtl/>
        </w:rPr>
        <w:t>الصحاح</w:t>
      </w:r>
      <w:r w:rsidR="00992664" w:rsidRPr="00020424">
        <w:rPr>
          <w:rtl/>
        </w:rPr>
        <w:t xml:space="preserve"> ، ج 1 ، ص 193 ؛ </w:t>
      </w:r>
      <w:r w:rsidR="00992664" w:rsidRPr="0012008A">
        <w:rPr>
          <w:rStyle w:val="libFootnoteBoldChar"/>
          <w:rtl/>
        </w:rPr>
        <w:t>النهاية</w:t>
      </w:r>
      <w:r w:rsidR="00992664" w:rsidRPr="00020424">
        <w:rPr>
          <w:rtl/>
        </w:rPr>
        <w:t xml:space="preserve"> ، ج 3 ، ص 349 ( غرب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الدوالي » : جمع دالية ، وهي ال</w:t>
      </w:r>
      <w:r w:rsidR="00D32167">
        <w:rPr>
          <w:rFonts w:hint="cs"/>
          <w:rtl/>
        </w:rPr>
        <w:t>ـ</w:t>
      </w:r>
      <w:r w:rsidR="00992664" w:rsidRPr="00020424">
        <w:rPr>
          <w:rtl/>
        </w:rPr>
        <w:t xml:space="preserve">مَنْجَنوق تُديرها البقرة. قاله الجوهري ، وقال غيره : الدالية : دلو ونحوها وخشب يصنع كهيأة الصليب ويشدّ برأس الدلو ، ثمّ يؤخذ حبل يربط طرفه بذلك وطرفه بجذع قائم على رأس البئر ويسقى بها ، فهي فاعلة بمعنى مفعولة. راجع : </w:t>
      </w:r>
      <w:r w:rsidR="00992664" w:rsidRPr="0012008A">
        <w:rPr>
          <w:rStyle w:val="libFootnoteBoldChar"/>
          <w:rtl/>
        </w:rPr>
        <w:t>الصحاح</w:t>
      </w:r>
      <w:r w:rsidR="00992664" w:rsidRPr="00020424">
        <w:rPr>
          <w:rtl/>
        </w:rPr>
        <w:t xml:space="preserve"> ، ج 6 ، ص 2339 ؛ </w:t>
      </w:r>
      <w:r w:rsidR="00992664" w:rsidRPr="00A90C29">
        <w:rPr>
          <w:rtl/>
        </w:rPr>
        <w:t>المغرب</w:t>
      </w:r>
      <w:r w:rsidR="00992664" w:rsidRPr="00020424">
        <w:rPr>
          <w:rtl/>
        </w:rPr>
        <w:t xml:space="preserve"> ، ص 167 ؛ </w:t>
      </w:r>
      <w:r w:rsidR="00992664" w:rsidRPr="00A722B1">
        <w:rPr>
          <w:rStyle w:val="libFootnoteBoldChar"/>
          <w:rtl/>
        </w:rPr>
        <w:t>المصباح المنير</w:t>
      </w:r>
      <w:r w:rsidR="00992664" w:rsidRPr="00020424">
        <w:rPr>
          <w:rtl/>
        </w:rPr>
        <w:t xml:space="preserve"> ، ص 199 ( دلو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15 ، ح 38 ؛ </w:t>
      </w:r>
      <w:r w:rsidR="00992664" w:rsidRPr="00FD6221">
        <w:rPr>
          <w:rStyle w:val="libFootnoteBoldChar"/>
          <w:rtl/>
        </w:rPr>
        <w:t>والاستبصار</w:t>
      </w:r>
      <w:r w:rsidR="00992664" w:rsidRPr="00020424">
        <w:rPr>
          <w:rtl/>
        </w:rPr>
        <w:t xml:space="preserve"> ، ج 2 ، ص 16 ، ح 47 ، معلّقاً عن الكليني. </w:t>
      </w:r>
      <w:r w:rsidR="00992664" w:rsidRPr="00A90C29">
        <w:rPr>
          <w:rtl/>
        </w:rPr>
        <w:t>وفيه</w:t>
      </w:r>
      <w:r w:rsidR="00992664" w:rsidRPr="00020424">
        <w:rPr>
          <w:rtl/>
        </w:rPr>
        <w:t xml:space="preserve"> ، ح 46 ؛ </w:t>
      </w:r>
      <w:r w:rsidR="00992664" w:rsidRPr="00515444">
        <w:rPr>
          <w:rStyle w:val="libFootnoteBoldChar"/>
          <w:rtl/>
        </w:rPr>
        <w:t>والتهذيب</w:t>
      </w:r>
      <w:r w:rsidR="00992664" w:rsidRPr="00020424">
        <w:rPr>
          <w:rtl/>
        </w:rPr>
        <w:t xml:space="preserve"> ، ج 4 ، ص 14 ، ح 37 ، بسندهما عن سماعة بن مهران ، عن أبي عبدالله </w:t>
      </w:r>
      <w:r w:rsidR="00992664" w:rsidRPr="00D64ADA">
        <w:rPr>
          <w:rStyle w:val="libFootnoteAlaemChar"/>
          <w:rtl/>
        </w:rPr>
        <w:t>عليه‌السلام</w:t>
      </w:r>
      <w:r w:rsidR="00992664" w:rsidRPr="00020424">
        <w:rPr>
          <w:rtl/>
        </w:rPr>
        <w:t xml:space="preserve"> ، إلى قوله : « والزكاة فيهما سواء » مع اختلاف يسير. </w:t>
      </w:r>
      <w:r w:rsidR="00992664" w:rsidRPr="00A722B1">
        <w:rPr>
          <w:rStyle w:val="libFootnoteBoldChar"/>
          <w:rtl/>
        </w:rPr>
        <w:t>الخصال</w:t>
      </w:r>
      <w:r w:rsidR="00992664" w:rsidRPr="00020424">
        <w:rPr>
          <w:rtl/>
        </w:rPr>
        <w:t xml:space="preserve"> ، ص 604 ، أبواب الثمانين وما فوقه ، ضمن الحديث الطويل 9 ، بسند آخر عن جعفر بن محمّد ، مع اختلاف يسير. وفي </w:t>
      </w:r>
      <w:r w:rsidR="00992664" w:rsidRPr="0012008A">
        <w:rPr>
          <w:rStyle w:val="libFootnoteBoldChar"/>
          <w:rtl/>
        </w:rPr>
        <w:t>التهذيب</w:t>
      </w:r>
      <w:r w:rsidR="00992664" w:rsidRPr="00020424">
        <w:rPr>
          <w:rtl/>
        </w:rPr>
        <w:t xml:space="preserve"> ، ج 4 ، ص 14 ، ح 36 ؛ </w:t>
      </w:r>
      <w:r w:rsidR="00992664" w:rsidRPr="00FD6221">
        <w:rPr>
          <w:rStyle w:val="libFootnoteBoldChar"/>
          <w:rtl/>
        </w:rPr>
        <w:t>والاستبصار</w:t>
      </w:r>
      <w:r w:rsidR="00992664" w:rsidRPr="00020424">
        <w:rPr>
          <w:rtl/>
        </w:rPr>
        <w:t xml:space="preserve"> ، ج 2 ، ص 16 ، ح 42 ، بسند آخر عن أبي عبدالله </w:t>
      </w:r>
      <w:r w:rsidR="00992664" w:rsidRPr="00D64ADA">
        <w:rPr>
          <w:rStyle w:val="libFootnoteAlaemChar"/>
          <w:rtl/>
        </w:rPr>
        <w:t>عليه‌السلام</w:t>
      </w:r>
      <w:r w:rsidR="00992664" w:rsidRPr="00020424">
        <w:rPr>
          <w:rtl/>
        </w:rPr>
        <w:t xml:space="preserve"> ، مع اختلاف وزيادة. </w:t>
      </w:r>
      <w:r w:rsidR="00992664" w:rsidRPr="00A90C29">
        <w:rPr>
          <w:rtl/>
        </w:rPr>
        <w:t>وفيه</w:t>
      </w:r>
      <w:r w:rsidR="00992664" w:rsidRPr="00020424">
        <w:rPr>
          <w:rtl/>
        </w:rPr>
        <w:t xml:space="preserve"> ، ص 14 ، ح 40 ؛ </w:t>
      </w:r>
      <w:r w:rsidR="00992664" w:rsidRPr="00515444">
        <w:rPr>
          <w:rStyle w:val="libFootnoteBoldChar"/>
          <w:rtl/>
        </w:rPr>
        <w:t>والتهذيب</w:t>
      </w:r>
      <w:r w:rsidR="00992664" w:rsidRPr="00020424">
        <w:rPr>
          <w:rtl/>
        </w:rPr>
        <w:t xml:space="preserve"> ، ج 4 ، ص 13 ، ح 34 ، بسند آخر عن أبي جعفر </w:t>
      </w:r>
      <w:r w:rsidR="00992664" w:rsidRPr="00D64ADA">
        <w:rPr>
          <w:rStyle w:val="libFootnoteAlaemChar"/>
          <w:rtl/>
        </w:rPr>
        <w:t>عليه‌السلام</w:t>
      </w:r>
      <w:r w:rsidR="00992664" w:rsidRPr="00020424">
        <w:rPr>
          <w:rtl/>
        </w:rPr>
        <w:t xml:space="preserve"> ، مع اختلاف يسير وزيادة في آخره. </w:t>
      </w:r>
      <w:r w:rsidR="00992664" w:rsidRPr="0012008A">
        <w:rPr>
          <w:rStyle w:val="libFootnoteBoldChar"/>
          <w:rtl/>
        </w:rPr>
        <w:t>التهذيب</w:t>
      </w:r>
      <w:r w:rsidR="00992664" w:rsidRPr="00020424">
        <w:rPr>
          <w:rtl/>
        </w:rPr>
        <w:t xml:space="preserve"> ، ج 4 ، ص 14 ، ح 35 ، بسند آخر عن أحدهما </w:t>
      </w:r>
      <w:r w:rsidR="00D64ADA" w:rsidRPr="00D64ADA">
        <w:rPr>
          <w:rStyle w:val="libFootnoteAlaemChar"/>
          <w:rtl/>
        </w:rPr>
        <w:t>عليهما‌السلام</w:t>
      </w:r>
      <w:r w:rsidR="00992664" w:rsidRPr="00020424">
        <w:rPr>
          <w:rtl/>
        </w:rPr>
        <w:t xml:space="preserve">. وفي </w:t>
      </w:r>
      <w:r w:rsidR="00992664" w:rsidRPr="0012008A">
        <w:rPr>
          <w:rStyle w:val="libFootnoteBoldChar"/>
          <w:rtl/>
        </w:rPr>
        <w:t>الفقيه</w:t>
      </w:r>
      <w:r w:rsidR="00992664" w:rsidRPr="00020424">
        <w:rPr>
          <w:rtl/>
        </w:rPr>
        <w:t xml:space="preserve"> ، ج 2 ، ص 35 من دون الإسناد إلى المعصوم </w:t>
      </w:r>
      <w:r w:rsidR="00992664" w:rsidRPr="00D64ADA">
        <w:rPr>
          <w:rStyle w:val="libFootnoteAlaemChar"/>
          <w:rtl/>
        </w:rPr>
        <w:t>عليه‌السلام</w:t>
      </w:r>
      <w:r w:rsidR="00992664" w:rsidRPr="00020424">
        <w:rPr>
          <w:rtl/>
        </w:rPr>
        <w:t xml:space="preserve"> ، وفي الثلاثة الأخيرة مع اختلاف يسير </w:t>
      </w:r>
      <w:r w:rsidR="00D32167">
        <w:rPr>
          <w:rFonts w:hint="cs"/>
          <w:rtl/>
        </w:rPr>
        <w:t>.</w:t>
      </w:r>
      <w:r w:rsidR="00992664" w:rsidRPr="0012008A">
        <w:rPr>
          <w:rStyle w:val="libFootnoteBoldChar"/>
          <w:rtl/>
        </w:rPr>
        <w:t>الوافي</w:t>
      </w:r>
      <w:r w:rsidR="00992664" w:rsidRPr="00020424">
        <w:rPr>
          <w:rtl/>
        </w:rPr>
        <w:t xml:space="preserve"> ، ج 10 ، ص 85 ، ح 9207 ؛ </w:t>
      </w:r>
      <w:r w:rsidR="00992664" w:rsidRPr="0012008A">
        <w:rPr>
          <w:rStyle w:val="libFootnoteBoldChar"/>
          <w:rtl/>
        </w:rPr>
        <w:t>الوسائل</w:t>
      </w:r>
      <w:r w:rsidR="00992664" w:rsidRPr="00020424">
        <w:rPr>
          <w:rtl/>
        </w:rPr>
        <w:t xml:space="preserve"> ، ج 9 ، ص 186 ، ح 11800.</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90C29">
        <w:rPr>
          <w:rtl/>
        </w:rPr>
        <w:lastRenderedPageBreak/>
        <w:t>5782</w:t>
      </w:r>
      <w:r w:rsidRPr="001155DE">
        <w:rPr>
          <w:rStyle w:val="libBold2Char"/>
          <w:rtl/>
        </w:rPr>
        <w:t xml:space="preserve"> / 2.</w:t>
      </w:r>
      <w:r w:rsidRPr="00020424">
        <w:rPr>
          <w:rtl/>
          <w:lang w:bidi="fa-IR"/>
        </w:rPr>
        <w:t xml:space="preserve"> عِدَّةٌ مِنْ أَصْحَابِنَا ، عَنْ أَحْمَدَ بْنِ مُحَمَّدِ بْنِ عِيسى ، عَنْ عَلِيِّ بْنِ أَحْمَدَ بْنِ أَشْيَمَ ، عَنْ صَفْوَانَ بْنِ يَحْيى وَأَحْمَدَ بْنِ مُحَمَّدِ بْنِ أَبِي نَصْرٍ ، قَالَا :</w:t>
      </w:r>
    </w:p>
    <w:p w:rsidR="00992664" w:rsidRPr="00020424" w:rsidRDefault="00992664" w:rsidP="00992664">
      <w:pPr>
        <w:pStyle w:val="libNormal"/>
        <w:rPr>
          <w:rtl/>
          <w:lang w:bidi="fa-IR"/>
        </w:rPr>
      </w:pPr>
      <w:r w:rsidRPr="00020424">
        <w:rPr>
          <w:rtl/>
          <w:lang w:bidi="fa-IR"/>
        </w:rPr>
        <w:t xml:space="preserve">ذَكَرْنَا لَهُ الْكُوفَةَ وَمَا وُضِعَ عَلَيْهَا مِنَ الْخَرَاجِ ، وَمَا سَارَ فِيهَا أَهْلُ بَيْتِهِ </w:t>
      </w:r>
      <w:r w:rsidRPr="00A91B96">
        <w:rPr>
          <w:rStyle w:val="libFootnotenumChar"/>
          <w:rtl/>
        </w:rPr>
        <w:t>(1)</w:t>
      </w:r>
    </w:p>
    <w:p w:rsidR="00992664" w:rsidRPr="00020424" w:rsidRDefault="00992664" w:rsidP="00992664">
      <w:pPr>
        <w:pStyle w:val="libNormal"/>
        <w:rPr>
          <w:rtl/>
          <w:lang w:bidi="fa-IR"/>
        </w:rPr>
      </w:pPr>
      <w:r w:rsidRPr="00020424">
        <w:rPr>
          <w:rtl/>
          <w:lang w:bidi="fa-IR"/>
        </w:rPr>
        <w:t xml:space="preserve">فَقَالَ : « مَنْ أَسْلَمَ طَوْعاً ، تُرِكَتْ </w:t>
      </w:r>
      <w:r w:rsidRPr="00A91B96">
        <w:rPr>
          <w:rStyle w:val="libFootnotenumChar"/>
          <w:rtl/>
        </w:rPr>
        <w:t>(2)</w:t>
      </w:r>
      <w:r w:rsidRPr="00020424">
        <w:rPr>
          <w:rtl/>
          <w:lang w:bidi="fa-IR"/>
        </w:rPr>
        <w:t xml:space="preserve"> أَرْضُهُ فِي يَدِهِ ، وَأُخِذَ </w:t>
      </w:r>
      <w:r w:rsidRPr="00A91B96">
        <w:rPr>
          <w:rStyle w:val="libFootnotenumChar"/>
          <w:rtl/>
        </w:rPr>
        <w:t>(3)</w:t>
      </w:r>
      <w:r w:rsidRPr="00020424">
        <w:rPr>
          <w:rtl/>
          <w:lang w:bidi="fa-IR"/>
        </w:rPr>
        <w:t xml:space="preserve"> مِنْهُ الْعُشْرُ مِمَّا </w:t>
      </w:r>
      <w:r w:rsidRPr="00A91B96">
        <w:rPr>
          <w:rStyle w:val="libFootnotenumChar"/>
          <w:rtl/>
        </w:rPr>
        <w:t>(4)</w:t>
      </w:r>
      <w:r w:rsidRPr="00020424">
        <w:rPr>
          <w:rtl/>
          <w:lang w:bidi="fa-IR"/>
        </w:rPr>
        <w:t xml:space="preserve"> سَقَتِ السَّمَاءُ </w:t>
      </w:r>
      <w:r w:rsidRPr="00A91B96">
        <w:rPr>
          <w:rStyle w:val="libFootnotenumChar"/>
          <w:rtl/>
        </w:rPr>
        <w:t>(5)</w:t>
      </w:r>
      <w:r w:rsidRPr="00020424">
        <w:rPr>
          <w:rtl/>
          <w:lang w:bidi="fa-IR"/>
        </w:rPr>
        <w:t xml:space="preserve"> وَالْأَنْهَارُ ، وَنِصْفُ الْعُشْرِ مِمَّا </w:t>
      </w:r>
      <w:r w:rsidRPr="00A91B96">
        <w:rPr>
          <w:rStyle w:val="libFootnotenumChar"/>
          <w:rtl/>
        </w:rPr>
        <w:t>(6)</w:t>
      </w:r>
      <w:r w:rsidRPr="00020424">
        <w:rPr>
          <w:rtl/>
          <w:lang w:bidi="fa-IR"/>
        </w:rPr>
        <w:t xml:space="preserve"> كَانَ </w:t>
      </w:r>
      <w:r w:rsidRPr="00A91B96">
        <w:rPr>
          <w:rStyle w:val="libFootnotenumChar"/>
          <w:rtl/>
        </w:rPr>
        <w:t>(7)</w:t>
      </w:r>
      <w:r w:rsidRPr="00020424">
        <w:rPr>
          <w:rtl/>
          <w:lang w:bidi="fa-IR"/>
        </w:rPr>
        <w:t xml:space="preserve"> بِالرِّشَاءِ </w:t>
      </w:r>
      <w:r w:rsidRPr="00A91B96">
        <w:rPr>
          <w:rStyle w:val="libFootnotenumChar"/>
          <w:rtl/>
        </w:rPr>
        <w:t>(8)</w:t>
      </w:r>
      <w:r w:rsidRPr="00020424">
        <w:rPr>
          <w:rtl/>
          <w:lang w:bidi="fa-IR"/>
        </w:rPr>
        <w:t xml:space="preserve"> فِيمَا عَمَرُوهُ مِنْهَا ؛ وَمَا لَمْ يَعْمُرُوهُ مِنْهَا أَخَذَهُ </w:t>
      </w:r>
      <w:r w:rsidRPr="00A91B96">
        <w:rPr>
          <w:rStyle w:val="libFootnotenumChar"/>
          <w:rtl/>
        </w:rPr>
        <w:t>(9)</w:t>
      </w:r>
      <w:r w:rsidRPr="00020424">
        <w:rPr>
          <w:rtl/>
          <w:lang w:bidi="fa-IR"/>
        </w:rPr>
        <w:t xml:space="preserve"> الْإِمَامُ </w:t>
      </w:r>
      <w:r w:rsidRPr="00A91B96">
        <w:rPr>
          <w:rStyle w:val="libFootnotenumChar"/>
          <w:rtl/>
        </w:rPr>
        <w:t>(10)</w:t>
      </w:r>
      <w:r w:rsidRPr="00020424">
        <w:rPr>
          <w:rtl/>
          <w:lang w:bidi="fa-IR"/>
        </w:rPr>
        <w:t xml:space="preserve"> ، فَقَبَّلَهُ </w:t>
      </w:r>
      <w:r w:rsidRPr="00A91B96">
        <w:rPr>
          <w:rStyle w:val="libFootnotenumChar"/>
          <w:rtl/>
        </w:rPr>
        <w:t>(11)</w:t>
      </w:r>
      <w:r w:rsidRPr="00020424">
        <w:rPr>
          <w:rtl/>
          <w:lang w:bidi="fa-IR"/>
        </w:rPr>
        <w:t xml:space="preserve"> مِمَّنْ يَعْمُرُهُ وَكَانَ لِلْمُسْلِمِينَ ، وَعَلَى الْمُتَقَبِّلِينَ فِي حِصَصِهِمُ الْعُشْرُ وَنِصْفُ </w:t>
      </w:r>
      <w:r w:rsidRPr="00A91B96">
        <w:rPr>
          <w:rStyle w:val="libFootnotenumChar"/>
          <w:rtl/>
        </w:rPr>
        <w:t>(12)</w:t>
      </w:r>
      <w:r w:rsidRPr="00020424">
        <w:rPr>
          <w:rtl/>
          <w:lang w:bidi="fa-IR"/>
        </w:rPr>
        <w:t xml:space="preserve"> الْعُشْرِ ، وَلَيْسَ فِي </w:t>
      </w:r>
      <w:r w:rsidRPr="00A91B96">
        <w:rPr>
          <w:rStyle w:val="libFootnotenumChar"/>
          <w:rtl/>
        </w:rPr>
        <w:t>(13)</w:t>
      </w:r>
      <w:r w:rsidRPr="00020424">
        <w:rPr>
          <w:rtl/>
          <w:lang w:bidi="fa-IR"/>
        </w:rPr>
        <w:t xml:space="preserve"> أَقَلَّ مِنْ خَمْسَةِ أَوْسَاقٍ </w:t>
      </w:r>
      <w:r w:rsidRPr="00A91B96">
        <w:rPr>
          <w:rStyle w:val="libFootnotenumChar"/>
          <w:rtl/>
        </w:rPr>
        <w:t>(14)</w:t>
      </w:r>
      <w:r w:rsidRPr="00020424">
        <w:rPr>
          <w:rtl/>
          <w:lang w:bidi="fa-IR"/>
        </w:rPr>
        <w:t xml:space="preserve"> شَيْ‌ءٌ مِنَ الزَّكَاةِ ، وَمَا أُخِذَ بِالسَّيْفِ فَذلِكَ إِلَى الْإِمَامِ </w:t>
      </w:r>
      <w:r w:rsidRPr="00A91B96">
        <w:rPr>
          <w:rStyle w:val="libFootnotenumChar"/>
          <w:rtl/>
        </w:rPr>
        <w:t>(15)</w:t>
      </w:r>
      <w:r w:rsidRPr="00020424">
        <w:rPr>
          <w:rtl/>
          <w:lang w:bidi="fa-IR"/>
        </w:rPr>
        <w:t xml:space="preserve"> يُقَبِّلُهُ بِالَّذِي يَرى </w:t>
      </w:r>
      <w:r w:rsidRPr="00A91B96">
        <w:rPr>
          <w:rStyle w:val="libFootnotenumChar"/>
          <w:rtl/>
        </w:rPr>
        <w:t>(16)</w:t>
      </w:r>
      <w:r w:rsidRPr="00020424">
        <w:rPr>
          <w:rtl/>
          <w:lang w:bidi="fa-IR"/>
        </w:rPr>
        <w:t xml:space="preserve"> ، كَمَا صَنَعَ‌</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11773 :</w:t>
      </w:r>
      <w:r w:rsidR="00992664">
        <w:rPr>
          <w:rtl/>
        </w:rPr>
        <w:t xml:space="preserve"> </w:t>
      </w:r>
      <w:r w:rsidR="009B673F">
        <w:rPr>
          <w:rtl/>
        </w:rPr>
        <w:t>-</w:t>
      </w:r>
      <w:r w:rsidR="00992664">
        <w:rPr>
          <w:rtl/>
        </w:rPr>
        <w:t xml:space="preserve"> </w:t>
      </w:r>
      <w:r w:rsidR="00992664" w:rsidRPr="00020424">
        <w:rPr>
          <w:rtl/>
        </w:rPr>
        <w:t>« وما سار فيها أهل بيته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العائد في أهل بيته إلى الإمام ، والمراد أهل بيت الرسول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وحاشية « جن » : « تركنا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32167" w:rsidTr="00D32167">
        <w:tc>
          <w:tcPr>
            <w:tcW w:w="4006" w:type="dxa"/>
          </w:tcPr>
          <w:p w:rsidR="00D32167" w:rsidRDefault="00D32167" w:rsidP="00992664">
            <w:pPr>
              <w:pStyle w:val="libFootnote0"/>
              <w:rPr>
                <w:rtl/>
              </w:rPr>
            </w:pPr>
            <w:r>
              <w:rPr>
                <w:rtl/>
              </w:rPr>
              <w:t xml:space="preserve">(3). </w:t>
            </w:r>
            <w:r w:rsidRPr="00020424">
              <w:rPr>
                <w:rtl/>
              </w:rPr>
              <w:t>في « بث ، بخ » : « فا</w:t>
            </w:r>
            <w:r>
              <w:rPr>
                <w:rFonts w:hint="cs"/>
                <w:rtl/>
              </w:rPr>
              <w:t>ُ</w:t>
            </w:r>
            <w:r w:rsidRPr="00020424">
              <w:rPr>
                <w:rtl/>
              </w:rPr>
              <w:t>خذ</w:t>
            </w:r>
            <w:r>
              <w:rPr>
                <w:rtl/>
              </w:rPr>
              <w:t xml:space="preserve"> ».</w:t>
            </w:r>
          </w:p>
        </w:tc>
        <w:tc>
          <w:tcPr>
            <w:tcW w:w="4006" w:type="dxa"/>
          </w:tcPr>
          <w:p w:rsidR="00D32167" w:rsidRDefault="00D32167"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 ج 4 ، ص 38 : « فيما</w:t>
            </w:r>
            <w:r>
              <w:rPr>
                <w:rtl/>
              </w:rPr>
              <w:t xml:space="preserve"> ».</w:t>
            </w:r>
          </w:p>
        </w:tc>
      </w:tr>
      <w:tr w:rsidR="00D32167" w:rsidTr="00D32167">
        <w:tc>
          <w:tcPr>
            <w:tcW w:w="4006" w:type="dxa"/>
          </w:tcPr>
          <w:p w:rsidR="00D32167" w:rsidRDefault="00D32167" w:rsidP="00992664">
            <w:pPr>
              <w:pStyle w:val="libFootnote0"/>
              <w:rPr>
                <w:rtl/>
              </w:rPr>
            </w:pPr>
            <w:r>
              <w:rPr>
                <w:rtl/>
              </w:rPr>
              <w:t xml:space="preserve">(5). </w:t>
            </w:r>
            <w:r w:rsidRPr="00020424">
              <w:rPr>
                <w:rtl/>
              </w:rPr>
              <w:t xml:space="preserve">في </w:t>
            </w:r>
            <w:r w:rsidRPr="0012008A">
              <w:rPr>
                <w:rStyle w:val="libFootnoteBoldChar"/>
                <w:rtl/>
              </w:rPr>
              <w:t>الوسائل</w:t>
            </w:r>
            <w:r w:rsidRPr="00020424">
              <w:rPr>
                <w:rtl/>
              </w:rPr>
              <w:t xml:space="preserve"> ، ح 20203 : « سقي بالسماء</w:t>
            </w:r>
            <w:r>
              <w:rPr>
                <w:rtl/>
              </w:rPr>
              <w:t xml:space="preserve"> ».</w:t>
            </w:r>
          </w:p>
        </w:tc>
        <w:tc>
          <w:tcPr>
            <w:tcW w:w="4006" w:type="dxa"/>
          </w:tcPr>
          <w:p w:rsidR="00D32167" w:rsidRDefault="00D32167" w:rsidP="00992664">
            <w:pPr>
              <w:pStyle w:val="libFootnote0"/>
              <w:rPr>
                <w:rtl/>
              </w:rPr>
            </w:pPr>
            <w:r>
              <w:rPr>
                <w:rtl/>
              </w:rPr>
              <w:t xml:space="preserve">(6). </w:t>
            </w:r>
            <w:r w:rsidRPr="00020424">
              <w:rPr>
                <w:rtl/>
              </w:rPr>
              <w:t>في « ى » : « ما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118 : « مما سقي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38 : « فيما كان نادراً</w:t>
      </w:r>
      <w:r w:rsidR="00992664">
        <w:rPr>
          <w:rtl/>
        </w:rPr>
        <w:t xml:space="preserve"> ».</w:t>
      </w:r>
      <w:r w:rsidR="00992664" w:rsidRPr="00020424">
        <w:rPr>
          <w:rtl/>
        </w:rPr>
        <w:t xml:space="preserve"> </w:t>
      </w:r>
      <w:r w:rsidR="00992664">
        <w:rPr>
          <w:rtl/>
        </w:rPr>
        <w:t>و «</w:t>
      </w:r>
      <w:r w:rsidR="00992664" w:rsidRPr="00020424">
        <w:rPr>
          <w:rtl/>
        </w:rPr>
        <w:t xml:space="preserve"> الرِّشاء » : الحبل ، وقيل : الرِّشاء : رَسَن الدلو ، والجمع : أرشية. راجع : </w:t>
      </w:r>
      <w:r w:rsidR="00992664" w:rsidRPr="0012008A">
        <w:rPr>
          <w:rStyle w:val="libFootnoteBoldChar"/>
          <w:rtl/>
        </w:rPr>
        <w:t>الصحاح</w:t>
      </w:r>
      <w:r w:rsidR="00992664" w:rsidRPr="00020424">
        <w:rPr>
          <w:rtl/>
        </w:rPr>
        <w:t xml:space="preserve"> ، ج 6 ، ص 2357 ؛ </w:t>
      </w:r>
      <w:r w:rsidR="00992664" w:rsidRPr="00A722B1">
        <w:rPr>
          <w:rStyle w:val="libFootnoteBoldChar"/>
          <w:rtl/>
        </w:rPr>
        <w:t>لسان العرب</w:t>
      </w:r>
      <w:r w:rsidR="00992664" w:rsidRPr="00020424">
        <w:rPr>
          <w:rtl/>
        </w:rPr>
        <w:t xml:space="preserve"> ، ج 14 ، ص 322 ( رشا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أخذ</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119 </w:t>
      </w:r>
      <w:r w:rsidR="00992664" w:rsidRPr="00EE0C68">
        <w:rPr>
          <w:rStyle w:val="libFootnoteBoldChar"/>
          <w:rtl/>
        </w:rPr>
        <w:t>وقرب الإسناد</w:t>
      </w:r>
      <w:r w:rsidR="00992664" w:rsidRPr="00020424">
        <w:rPr>
          <w:rtl/>
        </w:rPr>
        <w:t xml:space="preserve"> : « الوالي</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118 : « فيقبله</w:t>
      </w:r>
      <w:r w:rsidR="00992664">
        <w:rPr>
          <w:rtl/>
        </w:rPr>
        <w:t xml:space="preserve"> ».</w:t>
      </w:r>
      <w:r w:rsidR="00992664" w:rsidRPr="00020424">
        <w:rPr>
          <w:rtl/>
        </w:rPr>
        <w:t xml:space="preserve"> يقال : قَبَّلَ العاملَ العملَ : جعله يلتزمه بعقد ، تقبّله : التزمه بعقد. والقَبالة ، بالفتح : اسم المكتوب من ذلك لما يلتزمه الإنسان من عمل ودين وغير ذلك. وعن الزمخشري : كلّ من تقبّل بشي‌ء مقاطعة وكتب عليه بذلك كتاباً فالكتاب الذي يُكتَبُ هو القبالة بالفتح ، والعمل قِبالة بالكسر ؛ لأنّه صناعة. راجع : </w:t>
      </w:r>
      <w:r w:rsidR="00992664" w:rsidRPr="00A722B1">
        <w:rPr>
          <w:rStyle w:val="libFootnoteBoldChar"/>
          <w:rtl/>
        </w:rPr>
        <w:t>لسان العرب</w:t>
      </w:r>
      <w:r w:rsidR="00992664" w:rsidRPr="00020424">
        <w:rPr>
          <w:rtl/>
        </w:rPr>
        <w:t xml:space="preserve"> ، ج 11 ، ص 544 ؛ </w:t>
      </w:r>
      <w:r w:rsidR="00992664" w:rsidRPr="00A722B1">
        <w:rPr>
          <w:rStyle w:val="libFootnoteBoldChar"/>
          <w:rtl/>
        </w:rPr>
        <w:t>المصباح المنير</w:t>
      </w:r>
      <w:r w:rsidR="00992664" w:rsidRPr="00020424">
        <w:rPr>
          <w:rtl/>
        </w:rPr>
        <w:t xml:space="preserve"> ، ص 489 ( قبل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 ح 20203 : « أو نصف</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20203 : « أوسق</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118 و119 </w:t>
      </w:r>
      <w:r w:rsidR="00992664" w:rsidRPr="00EE0C68">
        <w:rPr>
          <w:rStyle w:val="libFootnoteBoldChar"/>
          <w:rtl/>
        </w:rPr>
        <w:t>وقرب الإسناد</w:t>
      </w:r>
      <w:r w:rsidR="00992664" w:rsidRPr="00020424">
        <w:rPr>
          <w:rtl/>
        </w:rPr>
        <w:t xml:space="preserve"> : « للإمام</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بث » : « يراه</w:t>
      </w:r>
      <w:r w:rsidR="00992664">
        <w:rPr>
          <w:rtl/>
        </w:rPr>
        <w:t xml:space="preserve"> ».</w:t>
      </w:r>
      <w:r w:rsidR="00992664" w:rsidRPr="00020424">
        <w:rPr>
          <w:rtl/>
        </w:rPr>
        <w:t xml:space="preserve"> وفي « بخ ، بر ، بف » : « رأى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0C036F">
      <w:pPr>
        <w:pStyle w:val="libNormal0"/>
        <w:rPr>
          <w:rtl/>
          <w:lang w:bidi="fa-IR"/>
        </w:rPr>
      </w:pPr>
      <w:r w:rsidRPr="00020424">
        <w:rPr>
          <w:rtl/>
          <w:lang w:bidi="fa-IR"/>
        </w:rPr>
        <w:lastRenderedPageBreak/>
        <w:t xml:space="preserve">رَسُولُ اللهِ </w:t>
      </w:r>
      <w:r w:rsidR="00B42914" w:rsidRPr="00B42914">
        <w:rPr>
          <w:rStyle w:val="libAlaemChar"/>
          <w:rtl/>
        </w:rPr>
        <w:t>صلى‌الله‌عليه‌وآله‌</w:t>
      </w:r>
      <w:r w:rsidRPr="00020424">
        <w:rPr>
          <w:rtl/>
          <w:lang w:bidi="fa-IR"/>
        </w:rPr>
        <w:t xml:space="preserve"> بِخَيْبَرَ قَبَّلَ سَوَادَهَا وَبَيَاضَهَا ، يَعْنِي أَرْضَهَا وَنَخْلَهَا ، وَالنَّاسُ يَقُولُونَ </w:t>
      </w:r>
      <w:r w:rsidRPr="00A91B96">
        <w:rPr>
          <w:rStyle w:val="libFootnotenumChar"/>
          <w:rtl/>
        </w:rPr>
        <w:t>(1)</w:t>
      </w:r>
      <w:r w:rsidRPr="00020424">
        <w:rPr>
          <w:rtl/>
          <w:lang w:bidi="fa-IR"/>
        </w:rPr>
        <w:t xml:space="preserve"> : لَا يَصْلُحُ </w:t>
      </w:r>
      <w:r w:rsidRPr="00A91B96">
        <w:rPr>
          <w:rStyle w:val="libFootnotenumChar"/>
          <w:rtl/>
        </w:rPr>
        <w:t>(2)</w:t>
      </w:r>
      <w:r w:rsidRPr="00020424">
        <w:rPr>
          <w:rtl/>
          <w:lang w:bidi="fa-IR"/>
        </w:rPr>
        <w:t xml:space="preserve"> قَبَالَةُ الْأَرْضِ وَالنَّخْلِ ، وَقَدْ قَبَّلَ رَسُولُ اللهِ </w:t>
      </w:r>
      <w:r w:rsidR="00B42914" w:rsidRPr="00B42914">
        <w:rPr>
          <w:rStyle w:val="libAlaemChar"/>
          <w:rtl/>
        </w:rPr>
        <w:t>صلى‌الله‌عليه‌وآله‌</w:t>
      </w:r>
      <w:r w:rsidRPr="00020424">
        <w:rPr>
          <w:rtl/>
          <w:lang w:bidi="fa-IR"/>
        </w:rPr>
        <w:t xml:space="preserve"> خَيْبَرَ </w:t>
      </w:r>
      <w:r w:rsidRPr="00A91B96">
        <w:rPr>
          <w:rStyle w:val="libFootnotenumChar"/>
          <w:rtl/>
        </w:rPr>
        <w:t>(3)</w:t>
      </w:r>
      <w:r w:rsidRPr="00020424">
        <w:rPr>
          <w:rtl/>
          <w:lang w:bidi="fa-IR"/>
        </w:rPr>
        <w:t xml:space="preserve"> ، وَعَلَى الْمُتَقَبِّلِينَ سِوى قَبَالَةِ الْأَرْضِ الْعُشْرُ ، وَنِصْفُ الْعُشْرِ فِي حِصَصِهِمْ</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w:t>
      </w:r>
      <w:r w:rsidRPr="00A91B96">
        <w:rPr>
          <w:rStyle w:val="libFootnotenumChar"/>
          <w:rtl/>
        </w:rPr>
        <w:t>(4)</w:t>
      </w:r>
      <w:r w:rsidRPr="00020424">
        <w:rPr>
          <w:rtl/>
          <w:lang w:bidi="fa-IR"/>
        </w:rPr>
        <w:t xml:space="preserve"> : « إِنَّ أَهْلَ الطَّائِفِ أَسْلَمُوا ، وَجَعَلُوا عَلَيْهِمُ الْعُشْرَ وَنِصْفَ الْعُشْرِ ، وَإِنَّ </w:t>
      </w:r>
      <w:r w:rsidRPr="00A91B96">
        <w:rPr>
          <w:rStyle w:val="libFootnotenumChar"/>
          <w:rtl/>
        </w:rPr>
        <w:t>(5)</w:t>
      </w:r>
      <w:r w:rsidRPr="00020424">
        <w:rPr>
          <w:rtl/>
          <w:lang w:bidi="fa-IR"/>
        </w:rPr>
        <w:t xml:space="preserve"> أَهْلَ </w:t>
      </w:r>
      <w:r w:rsidRPr="00A91B96">
        <w:rPr>
          <w:rStyle w:val="libFootnotenumChar"/>
          <w:rtl/>
        </w:rPr>
        <w:t>(6)</w:t>
      </w:r>
      <w:r w:rsidRPr="00020424">
        <w:rPr>
          <w:rtl/>
          <w:lang w:bidi="fa-IR"/>
        </w:rPr>
        <w:t xml:space="preserve"> مَكَّةَ </w:t>
      </w:r>
      <w:r w:rsidRPr="00A91B96">
        <w:rPr>
          <w:rStyle w:val="libFootnotenumChar"/>
          <w:rtl/>
        </w:rPr>
        <w:t>(7)</w:t>
      </w:r>
      <w:r w:rsidRPr="00020424">
        <w:rPr>
          <w:rtl/>
          <w:lang w:bidi="fa-IR"/>
        </w:rPr>
        <w:t xml:space="preserve"> دَخَلَهَا رَسُولُ اللهِ </w:t>
      </w:r>
      <w:r w:rsidR="00B42914" w:rsidRPr="00B42914">
        <w:rPr>
          <w:rStyle w:val="libAlaemChar"/>
          <w:rtl/>
        </w:rPr>
        <w:t>صلى‌الله‌عليه‌وآله‌</w:t>
      </w:r>
      <w:r w:rsidRPr="00020424">
        <w:rPr>
          <w:rtl/>
          <w:lang w:bidi="fa-IR"/>
        </w:rPr>
        <w:t xml:space="preserve"> عَنْوَةً </w:t>
      </w:r>
      <w:r w:rsidRPr="00A91B96">
        <w:rPr>
          <w:rStyle w:val="libFootnotenumChar"/>
          <w:rtl/>
        </w:rPr>
        <w:t>(8)</w:t>
      </w:r>
      <w:r w:rsidRPr="00020424">
        <w:rPr>
          <w:rtl/>
          <w:lang w:bidi="fa-IR"/>
        </w:rPr>
        <w:t xml:space="preserve"> ، فَكَانُوا </w:t>
      </w:r>
      <w:r w:rsidRPr="00A91B96">
        <w:rPr>
          <w:rStyle w:val="libFootnotenumChar"/>
          <w:rtl/>
        </w:rPr>
        <w:t>(9)</w:t>
      </w:r>
      <w:r w:rsidRPr="00020424">
        <w:rPr>
          <w:rtl/>
          <w:lang w:bidi="fa-IR"/>
        </w:rPr>
        <w:t xml:space="preserve"> أُسَرَاءَ فِي يَدِهِ ، فَأَعْتَقَهُمْ ، وَقَالَ </w:t>
      </w:r>
      <w:r w:rsidRPr="00A91B96">
        <w:rPr>
          <w:rStyle w:val="libFootnotenumChar"/>
          <w:rtl/>
        </w:rPr>
        <w:t>(10)</w:t>
      </w:r>
      <w:r w:rsidRPr="00020424">
        <w:rPr>
          <w:rtl/>
          <w:lang w:bidi="fa-IR"/>
        </w:rPr>
        <w:t xml:space="preserve"> :</w:t>
      </w:r>
      <w:r>
        <w:rPr>
          <w:rFonts w:hint="cs"/>
          <w:rtl/>
          <w:lang w:bidi="fa-IR"/>
        </w:rPr>
        <w:t xml:space="preserve"> </w:t>
      </w:r>
      <w:r w:rsidRPr="00020424">
        <w:rPr>
          <w:rtl/>
          <w:lang w:bidi="fa-IR"/>
        </w:rPr>
        <w:t xml:space="preserve">اذْهَبُوا فَأَنْتُمُ </w:t>
      </w:r>
      <w:r w:rsidRPr="00A91B96">
        <w:rPr>
          <w:rStyle w:val="libFootnotenumChar"/>
          <w:rtl/>
        </w:rPr>
        <w:t>(11)</w:t>
      </w:r>
      <w:r w:rsidRPr="00020424">
        <w:rPr>
          <w:rtl/>
          <w:lang w:bidi="fa-IR"/>
        </w:rPr>
        <w:t xml:space="preserve"> الطُّلَقَاءُ</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3D4734">
        <w:rPr>
          <w:rtl/>
        </w:rPr>
        <w:t>5783</w:t>
      </w:r>
      <w:r w:rsidRPr="001155DE">
        <w:rPr>
          <w:rStyle w:val="libBold2Char"/>
          <w:rtl/>
        </w:rPr>
        <w:t xml:space="preserve"> / 3.</w:t>
      </w:r>
      <w:r w:rsidRPr="00020424">
        <w:rPr>
          <w:rtl/>
          <w:lang w:bidi="fa-IR"/>
        </w:rPr>
        <w:t xml:space="preserve"> عَلِيُّ بْنُ إِبْرَاهِيمَ ، عَنْ أَبِيهِ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3D4734">
        <w:rPr>
          <w:rtl/>
        </w:rPr>
        <w:t>مرآة العقول</w:t>
      </w:r>
      <w:r w:rsidR="00992664" w:rsidRPr="00020424">
        <w:rPr>
          <w:rtl/>
        </w:rPr>
        <w:t xml:space="preserve"> ، ج 16 ، ص 26 : « قوله </w:t>
      </w:r>
      <w:r w:rsidR="00992664" w:rsidRPr="00D64ADA">
        <w:rPr>
          <w:rStyle w:val="libFootnoteAlaemChar"/>
          <w:rtl/>
        </w:rPr>
        <w:t>عليه‌السلام</w:t>
      </w:r>
      <w:r w:rsidR="00992664" w:rsidRPr="00020424">
        <w:rPr>
          <w:rtl/>
        </w:rPr>
        <w:t xml:space="preserve"> : والناس يقولون ، يحتمل أن يكون منع العامّة باعتبار المساقاة ؛ فإنّ‌أبا حنيفة منع منها ، لكن عامّتهم خالفوه في ذلك ، حتّى أبي يوسف ، أو باعتبار المزارعة وذلك مذهب أبي حنيفة ومالك وشافعي وكثير منهم ، وقد احتجّ العامّة أيضاً على أبي حنيفة في المقامين بخبر خيبر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11790 و20203 </w:t>
      </w:r>
      <w:r w:rsidR="00992664" w:rsidRPr="00515444">
        <w:rPr>
          <w:rStyle w:val="libFootnoteBoldChar"/>
          <w:rtl/>
        </w:rPr>
        <w:t>والتهذيب</w:t>
      </w:r>
      <w:r w:rsidR="00992664" w:rsidRPr="00020424">
        <w:rPr>
          <w:rtl/>
        </w:rPr>
        <w:t xml:space="preserve"> ، ج 4 </w:t>
      </w:r>
      <w:r w:rsidR="00992664" w:rsidRPr="00EE0C68">
        <w:rPr>
          <w:rStyle w:val="libFootnoteBoldChar"/>
          <w:rtl/>
        </w:rPr>
        <w:t>وقرب الإسناد</w:t>
      </w:r>
      <w:r w:rsidR="00992664" w:rsidRPr="00020424">
        <w:rPr>
          <w:rtl/>
        </w:rPr>
        <w:t xml:space="preserve"> : « لا تصلح</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 « خيبراً</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11804 :</w:t>
      </w:r>
      <w:r w:rsidR="00992664">
        <w:rPr>
          <w:rtl/>
        </w:rPr>
        <w:t xml:space="preserve"> </w:t>
      </w:r>
      <w:r w:rsidR="009B673F">
        <w:rPr>
          <w:rtl/>
        </w:rPr>
        <w:t>-</w:t>
      </w:r>
      <w:r w:rsidR="00992664">
        <w:rPr>
          <w:rtl/>
        </w:rPr>
        <w:t xml:space="preserve"> </w:t>
      </w:r>
      <w:r w:rsidR="00992664" w:rsidRPr="00020424">
        <w:rPr>
          <w:rtl/>
        </w:rPr>
        <w:t>« قبل سوادها</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خيبر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 ح 20203 </w:t>
      </w:r>
      <w:r w:rsidR="00992664" w:rsidRPr="00515444">
        <w:rPr>
          <w:rStyle w:val="libFootnoteBoldChar"/>
          <w:rtl/>
        </w:rPr>
        <w:t>والتهذيب</w:t>
      </w:r>
      <w:r w:rsidR="00992664" w:rsidRPr="00020424">
        <w:rPr>
          <w:rtl/>
        </w:rPr>
        <w:t xml:space="preserve"> ، ج 4 ، ص 118 : « ثمّ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بف » : « إنّ » بدون الواو.</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بس ، جن » </w:t>
      </w:r>
      <w:r w:rsidR="00992664" w:rsidRPr="00EB1FD9">
        <w:rPr>
          <w:rStyle w:val="libFootnoteBoldChar"/>
          <w:rtl/>
        </w:rPr>
        <w:t>والوسائل</w:t>
      </w:r>
      <w:r w:rsidR="00992664" w:rsidRPr="00020424">
        <w:rPr>
          <w:rtl/>
        </w:rPr>
        <w:t xml:space="preserve"> ، ح 11790 و20203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أهل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38 : + « ل</w:t>
      </w:r>
      <w:r w:rsidR="000F2BF7">
        <w:rPr>
          <w:rFonts w:hint="cs"/>
          <w:rtl/>
        </w:rPr>
        <w:t>ـ</w:t>
      </w:r>
      <w:r w:rsidR="00992664" w:rsidRPr="00020424">
        <w:rPr>
          <w:rtl/>
        </w:rPr>
        <w:t>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عَنْوَةً » ، أي قهراً وغلبةً ، وهو من عنا يعنو ، إذا ذلّ وخضع. راجع : </w:t>
      </w:r>
      <w:r w:rsidR="00992664" w:rsidRPr="0012008A">
        <w:rPr>
          <w:rStyle w:val="libFootnoteBoldChar"/>
          <w:rtl/>
        </w:rPr>
        <w:t>النهاية</w:t>
      </w:r>
      <w:r w:rsidR="00992664" w:rsidRPr="00020424">
        <w:rPr>
          <w:rtl/>
        </w:rPr>
        <w:t xml:space="preserve"> ، ج 3 ، ص 315 ؛ </w:t>
      </w:r>
      <w:r w:rsidR="00992664" w:rsidRPr="00A722B1">
        <w:rPr>
          <w:rStyle w:val="libFootnoteBoldChar"/>
          <w:rtl/>
        </w:rPr>
        <w:t>المصباح المنير</w:t>
      </w:r>
      <w:r w:rsidR="00992664" w:rsidRPr="00020424">
        <w:rPr>
          <w:rtl/>
        </w:rPr>
        <w:t xml:space="preserve"> ، ص 434 ( عنا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بس ، بف » </w:t>
      </w:r>
      <w:r w:rsidR="00992664" w:rsidRPr="00EB1FD9">
        <w:rPr>
          <w:rStyle w:val="libFootnoteBoldChar"/>
          <w:rtl/>
        </w:rPr>
        <w:t>والوسائل</w:t>
      </w:r>
      <w:r w:rsidR="00992664" w:rsidRPr="00020424">
        <w:rPr>
          <w:rtl/>
        </w:rPr>
        <w:t xml:space="preserve"> ، ح 11790 و20203 </w:t>
      </w:r>
      <w:r w:rsidR="00992664" w:rsidRPr="00515444">
        <w:rPr>
          <w:rStyle w:val="libFootnoteBoldChar"/>
          <w:rtl/>
        </w:rPr>
        <w:t>والتهذيب</w:t>
      </w:r>
      <w:r w:rsidR="00992664" w:rsidRPr="00020424">
        <w:rPr>
          <w:rtl/>
        </w:rPr>
        <w:t xml:space="preserve"> ، ج 4 ، ص 38 و118 : « وكانوا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F2BF7" w:rsidTr="000F2BF7">
        <w:tc>
          <w:tcPr>
            <w:tcW w:w="4006" w:type="dxa"/>
          </w:tcPr>
          <w:p w:rsidR="000F2BF7" w:rsidRDefault="000F2BF7" w:rsidP="00992664">
            <w:pPr>
              <w:pStyle w:val="libFootnote0"/>
              <w:rPr>
                <w:rtl/>
              </w:rPr>
            </w:pPr>
            <w:r>
              <w:rPr>
                <w:rtl/>
              </w:rPr>
              <w:t xml:space="preserve">(10). </w:t>
            </w:r>
            <w:r w:rsidRPr="00020424">
              <w:rPr>
                <w:rtl/>
              </w:rPr>
              <w:t>في « بث » : « فقال</w:t>
            </w:r>
            <w:r>
              <w:rPr>
                <w:rtl/>
              </w:rPr>
              <w:t xml:space="preserve"> ».</w:t>
            </w:r>
          </w:p>
        </w:tc>
        <w:tc>
          <w:tcPr>
            <w:tcW w:w="4006" w:type="dxa"/>
          </w:tcPr>
          <w:p w:rsidR="000F2BF7" w:rsidRDefault="000F2BF7" w:rsidP="00992664">
            <w:pPr>
              <w:pStyle w:val="libFootnote0"/>
              <w:rPr>
                <w:rtl/>
              </w:rPr>
            </w:pPr>
            <w:r>
              <w:rPr>
                <w:rtl/>
              </w:rPr>
              <w:t xml:space="preserve">(11). </w:t>
            </w:r>
            <w:r w:rsidRPr="00020424">
              <w:rPr>
                <w:rtl/>
              </w:rPr>
              <w:t>في « ى » : « وأنتم</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38 ، ح 38 ؛ وص 118 ، ح 341 ؛ </w:t>
      </w:r>
      <w:r w:rsidR="00992664" w:rsidRPr="00FD6221">
        <w:rPr>
          <w:rStyle w:val="libFootnoteBoldChar"/>
          <w:rtl/>
        </w:rPr>
        <w:t>والاستبصار</w:t>
      </w:r>
      <w:r w:rsidR="00992664" w:rsidRPr="003D4734">
        <w:rPr>
          <w:rtl/>
        </w:rPr>
        <w:t xml:space="preserve"> </w:t>
      </w:r>
      <w:r w:rsidR="00992664" w:rsidRPr="00020424">
        <w:rPr>
          <w:rtl/>
        </w:rPr>
        <w:t xml:space="preserve">، ج 2 ، ص 25 ، ح 73 ، معلّقاً عن الكليني. </w:t>
      </w:r>
      <w:r w:rsidR="00992664" w:rsidRPr="003D4734">
        <w:rPr>
          <w:rtl/>
        </w:rPr>
        <w:t>قرب الإسناد</w:t>
      </w:r>
      <w:r w:rsidR="00992664" w:rsidRPr="00020424">
        <w:rPr>
          <w:rtl/>
        </w:rPr>
        <w:t xml:space="preserve"> ، ص 384 ، ح 1352 ، بسنده عن أحمد بن محمّد بن أبي نصر ، عن الرضا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4 ، ص 119 ، ح 342 ، معلّقاً عن أحمد بن محمّد بن عيسى ، عن أحمد بن محمّد بن أبي نصر ، عن أبي الحسن الرضا </w:t>
      </w:r>
      <w:r w:rsidR="00992664" w:rsidRPr="00D64ADA">
        <w:rPr>
          <w:rStyle w:val="libFootnoteAlaemChar"/>
          <w:rtl/>
        </w:rPr>
        <w:t>عليه‌السلام</w:t>
      </w:r>
      <w:r w:rsidR="00992664" w:rsidRPr="00020424">
        <w:rPr>
          <w:rtl/>
        </w:rPr>
        <w:t xml:space="preserve"> ، وفي الأخيرين إلى قوله : « ونصف العشر في حصصهم » مع اختلاف يسير </w:t>
      </w:r>
      <w:r w:rsidR="00AF1C38">
        <w:rPr>
          <w:rFonts w:hint="cs"/>
          <w:rtl/>
        </w:rPr>
        <w:t>.</w:t>
      </w:r>
      <w:r w:rsidR="00992664" w:rsidRPr="0012008A">
        <w:rPr>
          <w:rStyle w:val="libFootnoteBoldChar"/>
          <w:rtl/>
        </w:rPr>
        <w:t>الوافي</w:t>
      </w:r>
      <w:r w:rsidR="00992664" w:rsidRPr="00020424">
        <w:rPr>
          <w:rtl/>
        </w:rPr>
        <w:t xml:space="preserve"> ، ج 10 ، ص 357 ، ح 9694 ؛ </w:t>
      </w:r>
      <w:r w:rsidR="00992664" w:rsidRPr="0012008A">
        <w:rPr>
          <w:rStyle w:val="libFootnoteBoldChar"/>
          <w:rtl/>
        </w:rPr>
        <w:t>الوسائل</w:t>
      </w:r>
      <w:r w:rsidR="00992664" w:rsidRPr="00020424">
        <w:rPr>
          <w:rtl/>
        </w:rPr>
        <w:t xml:space="preserve"> ، ج 9 ، ص 175 ، ح 11773 ، إلى قوله : « خمسة أوساق شي‌ء من الزكاة » ؛ وص 182 ح 11790 ؛ </w:t>
      </w:r>
      <w:r w:rsidR="00992664" w:rsidRPr="003D4734">
        <w:rPr>
          <w:rtl/>
        </w:rPr>
        <w:t>وفيه</w:t>
      </w:r>
      <w:r w:rsidR="00992664" w:rsidRPr="00020424">
        <w:rPr>
          <w:rtl/>
        </w:rPr>
        <w:t xml:space="preserve"> ، ص 188 ، ح 11804 ، إلى قوله : « ونصف العشر في حصصهم » ؛ وج 15 ، ص 157 ، ح 20203 ؛ </w:t>
      </w:r>
      <w:r w:rsidR="00992664" w:rsidRPr="0012008A">
        <w:rPr>
          <w:rStyle w:val="libFootnoteBoldChar"/>
          <w:rtl/>
        </w:rPr>
        <w:t>البحار</w:t>
      </w:r>
      <w:r w:rsidR="00992664" w:rsidRPr="00020424">
        <w:rPr>
          <w:rtl/>
        </w:rPr>
        <w:t xml:space="preserve"> ، ج 19 ، ص 180 ، ح 29 ، من قوله : « وما أخذ بالسيف</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0C036F">
      <w:pPr>
        <w:pStyle w:val="libNormal0"/>
        <w:rPr>
          <w:rtl/>
          <w:lang w:bidi="fa-IR"/>
        </w:rPr>
      </w:pPr>
      <w:r w:rsidRPr="00020424">
        <w:rPr>
          <w:rtl/>
          <w:lang w:bidi="fa-IR"/>
        </w:rPr>
        <w:lastRenderedPageBreak/>
        <w:t>وَمُحَمَّدُ بْنُ يَحْيى ، عَنْ أَحْمَدَ بْنِ مُحَمَّدِ بْنِ عِيسى جَمِيعاً ، عَنِ ابْنِ أَبِي عُمَيْرٍ ، عَنْ حَمَّادٍ ، عَنِ الْحَلَبِيِّ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فِي الصَّدَقَةِ : « فِيمَا سَقَتِ السَّمَاءُ وَالْأَنْهَارُ</w:t>
      </w:r>
      <w:r>
        <w:rPr>
          <w:rtl/>
          <w:lang w:bidi="fa-IR"/>
        </w:rPr>
        <w:t xml:space="preserve"> </w:t>
      </w:r>
      <w:r w:rsidR="009B673F">
        <w:rPr>
          <w:rtl/>
          <w:lang w:bidi="fa-IR"/>
        </w:rPr>
        <w:t>-</w:t>
      </w:r>
      <w:r>
        <w:rPr>
          <w:rtl/>
          <w:lang w:bidi="fa-IR"/>
        </w:rPr>
        <w:t xml:space="preserve"> </w:t>
      </w:r>
      <w:r w:rsidRPr="00020424">
        <w:rPr>
          <w:rtl/>
          <w:lang w:bidi="fa-IR"/>
        </w:rPr>
        <w:t xml:space="preserve">إِذَا كَانَ سَيْحاً </w:t>
      </w:r>
      <w:r w:rsidRPr="00A91B96">
        <w:rPr>
          <w:rStyle w:val="libFootnotenumChar"/>
          <w:rtl/>
        </w:rPr>
        <w:t>(1)</w:t>
      </w:r>
      <w:r w:rsidRPr="00020424">
        <w:rPr>
          <w:rtl/>
          <w:lang w:bidi="fa-IR"/>
        </w:rPr>
        <w:t xml:space="preserve"> ، أَوْ كَانَ </w:t>
      </w:r>
      <w:r w:rsidRPr="00A91B96">
        <w:rPr>
          <w:rStyle w:val="libFootnotenumChar"/>
          <w:rtl/>
        </w:rPr>
        <w:t>(2)</w:t>
      </w:r>
      <w:r w:rsidRPr="00020424">
        <w:rPr>
          <w:rtl/>
          <w:lang w:bidi="fa-IR"/>
        </w:rPr>
        <w:t xml:space="preserve"> بَعْلاً </w:t>
      </w:r>
      <w:r w:rsidRPr="00A91B96">
        <w:rPr>
          <w:rStyle w:val="libFootnotenumChar"/>
          <w:rtl/>
        </w:rPr>
        <w:t>(3)</w:t>
      </w:r>
      <w:r>
        <w:rPr>
          <w:rtl/>
          <w:lang w:bidi="fa-IR"/>
        </w:rPr>
        <w:t xml:space="preserve"> </w:t>
      </w:r>
      <w:r w:rsidR="009B673F">
        <w:rPr>
          <w:rtl/>
          <w:lang w:bidi="fa-IR"/>
        </w:rPr>
        <w:t>-</w:t>
      </w:r>
      <w:r>
        <w:rPr>
          <w:rtl/>
          <w:lang w:bidi="fa-IR"/>
        </w:rPr>
        <w:t xml:space="preserve"> </w:t>
      </w:r>
      <w:r w:rsidRPr="00020424">
        <w:rPr>
          <w:rtl/>
          <w:lang w:bidi="fa-IR"/>
        </w:rPr>
        <w:t xml:space="preserve">الْعُشْرُ ؛ وَمَا سَقَتِ السَّوَانِي </w:t>
      </w:r>
      <w:r w:rsidRPr="00A91B96">
        <w:rPr>
          <w:rStyle w:val="libFootnotenumChar"/>
          <w:rtl/>
        </w:rPr>
        <w:t>(4)</w:t>
      </w:r>
      <w:r w:rsidRPr="00020424">
        <w:rPr>
          <w:rtl/>
          <w:lang w:bidi="fa-IR"/>
        </w:rPr>
        <w:t xml:space="preserve"> وَالدَّوَالِي ، أَوْ سُقِيَ </w:t>
      </w:r>
      <w:r w:rsidRPr="00A91B96">
        <w:rPr>
          <w:rStyle w:val="libFootnotenumChar"/>
          <w:rtl/>
        </w:rPr>
        <w:t>(5)</w:t>
      </w:r>
      <w:r w:rsidRPr="00020424">
        <w:rPr>
          <w:rtl/>
          <w:lang w:bidi="fa-IR"/>
        </w:rPr>
        <w:t xml:space="preserve"> بِالْغَرْبِ ، فَنِصْفُ الْعُشْرِ</w:t>
      </w:r>
      <w:r>
        <w:rPr>
          <w:rtl/>
          <w:lang w:bidi="fa-IR"/>
        </w:rPr>
        <w:t>».</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C950CB">
        <w:rPr>
          <w:rtl/>
        </w:rPr>
        <w:t>5784</w:t>
      </w:r>
      <w:r w:rsidRPr="001155DE">
        <w:rPr>
          <w:rStyle w:val="libBold2Char"/>
          <w:rtl/>
        </w:rPr>
        <w:t xml:space="preserve"> / 4.</w:t>
      </w:r>
      <w:r w:rsidRPr="00020424">
        <w:rPr>
          <w:rtl/>
          <w:lang w:bidi="fa-IR"/>
        </w:rPr>
        <w:t xml:space="preserve"> عَلِيُّ بْنُ إِبْرَاهِيمَ </w:t>
      </w:r>
      <w:r w:rsidRPr="00A91B96">
        <w:rPr>
          <w:rStyle w:val="libFootnotenumChar"/>
          <w:rtl/>
        </w:rPr>
        <w:t>(7)</w:t>
      </w:r>
      <w:r w:rsidRPr="00020424">
        <w:rPr>
          <w:rtl/>
          <w:lang w:bidi="fa-IR"/>
        </w:rPr>
        <w:t xml:space="preserve"> ، عَنْ أَبِيهِ ، عَنْ حَمَّادِ بْنِ عِيسى </w:t>
      </w:r>
      <w:r w:rsidRPr="00A91B96">
        <w:rPr>
          <w:rStyle w:val="libFootnotenumChar"/>
          <w:rtl/>
        </w:rPr>
        <w:t>(8)</w:t>
      </w:r>
      <w:r w:rsidRPr="00020424">
        <w:rPr>
          <w:rtl/>
          <w:lang w:bidi="fa-IR"/>
        </w:rPr>
        <w:t xml:space="preserve"> ، عَنْ حَرِيزٍ ، عَنْ أَبِي بَصِيرٍ وَمُحَمَّدِ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أَنَّهُمَا قَالَا لَهُ : هذِهِ الْأَرْضُ الَّتِي يُزَارِعُ </w:t>
      </w:r>
      <w:r w:rsidRPr="00A91B96">
        <w:rPr>
          <w:rStyle w:val="libFootnotenumChar"/>
          <w:rtl/>
        </w:rPr>
        <w:t>(9)</w:t>
      </w:r>
      <w:r w:rsidRPr="00020424">
        <w:rPr>
          <w:rtl/>
          <w:lang w:bidi="fa-IR"/>
        </w:rPr>
        <w:t xml:space="preserve"> أَهْلُهَا مَا تَرى </w:t>
      </w:r>
      <w:r w:rsidRPr="00A91B96">
        <w:rPr>
          <w:rStyle w:val="libFootnotenumChar"/>
          <w:rtl/>
        </w:rPr>
        <w:t>(10)</w:t>
      </w:r>
      <w:r w:rsidRPr="00020424">
        <w:rPr>
          <w:rtl/>
          <w:lang w:bidi="fa-IR"/>
        </w:rPr>
        <w:t xml:space="preserve"> فِيهَا</w:t>
      </w:r>
      <w:r>
        <w:rPr>
          <w:rtl/>
          <w:lang w:bidi="fa-IR"/>
        </w:rPr>
        <w:t>؟</w:t>
      </w:r>
    </w:p>
    <w:p w:rsidR="00992664" w:rsidRPr="00020424" w:rsidRDefault="00992664" w:rsidP="00992664">
      <w:pPr>
        <w:pStyle w:val="libNormal"/>
        <w:rPr>
          <w:rtl/>
          <w:lang w:bidi="fa-IR"/>
        </w:rPr>
      </w:pPr>
      <w:r w:rsidRPr="00020424">
        <w:rPr>
          <w:rtl/>
          <w:lang w:bidi="fa-IR"/>
        </w:rPr>
        <w:t xml:space="preserve">فَقَالَ : « كُلُّ أَرْضٍ دَفَعَهَا إِلَيْكَ السُّلْطَانُ </w:t>
      </w:r>
      <w:r w:rsidRPr="00A91B96">
        <w:rPr>
          <w:rStyle w:val="libFootnotenumChar"/>
          <w:rtl/>
        </w:rPr>
        <w:t>(11)</w:t>
      </w:r>
      <w:r w:rsidRPr="00020424">
        <w:rPr>
          <w:rtl/>
          <w:lang w:bidi="fa-IR"/>
        </w:rPr>
        <w:t xml:space="preserve"> ، فَمَا حَرَثْتَهُ فِيهَا ، فَعَلَيْكَ فِيمَا </w:t>
      </w:r>
      <w:r w:rsidRPr="00A91B96">
        <w:rPr>
          <w:rStyle w:val="libFootnotenumChar"/>
          <w:rtl/>
        </w:rPr>
        <w:t>(12)</w:t>
      </w:r>
      <w:r w:rsidRPr="00020424">
        <w:rPr>
          <w:rtl/>
          <w:lang w:bidi="fa-IR"/>
        </w:rPr>
        <w:t xml:space="preserve"> أَخْرَجَ اللهُ مِنْهَا الَّذِي قَاطَعَكَ </w:t>
      </w:r>
      <w:r w:rsidRPr="00A91B96">
        <w:rPr>
          <w:rStyle w:val="libFootnotenumChar"/>
          <w:rtl/>
        </w:rPr>
        <w:t>(13)</w:t>
      </w:r>
      <w:r w:rsidRPr="00020424">
        <w:rPr>
          <w:rtl/>
          <w:lang w:bidi="fa-IR"/>
        </w:rPr>
        <w:t xml:space="preserve"> عَلَيْهِ ، وَلَيْسَ عَلى جَمِيعِ مَا أَخْرَجَ اللهُ مِنْهَا الْعُشْرُ ، إِنَّمَا‌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AF1C38">
      <w:pPr>
        <w:pStyle w:val="libFootnote0"/>
        <w:rPr>
          <w:rtl/>
          <w:lang w:bidi="fa-IR"/>
        </w:rPr>
      </w:pPr>
      <w:r>
        <w:rPr>
          <w:rtl/>
        </w:rPr>
        <w:t>(1).</w:t>
      </w:r>
      <w:r w:rsidR="0014403D">
        <w:rPr>
          <w:rtl/>
        </w:rPr>
        <w:t xml:space="preserve"> </w:t>
      </w:r>
      <w:r w:rsidR="00992664" w:rsidRPr="00020424">
        <w:rPr>
          <w:rtl/>
        </w:rPr>
        <w:t xml:space="preserve">« السَيْح » : الماء الجاري المنبسط على وجه الأرض. راجع : </w:t>
      </w:r>
      <w:r w:rsidR="00992664" w:rsidRPr="0012008A">
        <w:rPr>
          <w:rStyle w:val="libFootnoteBoldChar"/>
          <w:rtl/>
        </w:rPr>
        <w:t>الصحاح</w:t>
      </w:r>
      <w:r w:rsidR="00992664" w:rsidRPr="00020424">
        <w:rPr>
          <w:rtl/>
        </w:rPr>
        <w:t xml:space="preserve"> ، ج 1 ، ص 377 ؛ </w:t>
      </w:r>
      <w:r w:rsidR="00992664" w:rsidRPr="0012008A">
        <w:rPr>
          <w:rStyle w:val="libFootnoteBoldChar"/>
          <w:rtl/>
        </w:rPr>
        <w:t>النهاية</w:t>
      </w:r>
      <w:r w:rsidR="00992664" w:rsidRPr="00020424">
        <w:rPr>
          <w:rtl/>
        </w:rPr>
        <w:t xml:space="preserve"> ، ج 2 ، ص 432 ( سيح )</w:t>
      </w:r>
      <w:r w:rsidR="00992664">
        <w:rPr>
          <w:rtl/>
        </w:rPr>
        <w:t>.</w:t>
      </w:r>
      <w:r w:rsidR="00AF1C38">
        <w:rPr>
          <w:rFonts w:hint="cs"/>
          <w:rtl/>
        </w:rPr>
        <w:t xml:space="preserve">                                    </w:t>
      </w:r>
      <w:r>
        <w:rPr>
          <w:rtl/>
        </w:rPr>
        <w:t>(2).</w:t>
      </w:r>
      <w:r w:rsidR="0014403D">
        <w:rPr>
          <w:rtl/>
        </w:rPr>
        <w:t xml:space="preserve"> </w:t>
      </w:r>
      <w:r w:rsidR="00992664" w:rsidRPr="00020424">
        <w:rPr>
          <w:rtl/>
        </w:rPr>
        <w:t>في « بر » : « وكان</w:t>
      </w:r>
      <w:r w:rsidR="00992664">
        <w:rPr>
          <w:rtl/>
        </w:rPr>
        <w:t xml:space="preserve"> ».</w:t>
      </w:r>
      <w:r w:rsidR="00992664" w:rsidRPr="00020424">
        <w:rPr>
          <w:rtl/>
        </w:rPr>
        <w:t xml:space="preserve"> وفي « ظ » :</w:t>
      </w:r>
      <w:r w:rsidR="00992664">
        <w:rPr>
          <w:rtl/>
        </w:rPr>
        <w:t xml:space="preserve"> </w:t>
      </w:r>
      <w:r w:rsidR="009B673F">
        <w:rPr>
          <w:rtl/>
        </w:rPr>
        <w:t>-</w:t>
      </w:r>
      <w:r w:rsidR="00992664">
        <w:rPr>
          <w:rtl/>
        </w:rPr>
        <w:t xml:space="preserve"> </w:t>
      </w:r>
      <w:r w:rsidR="00992664" w:rsidRPr="00020424">
        <w:rPr>
          <w:rtl/>
        </w:rPr>
        <w:t>« 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البَعْل » : النخل الذي يشرب بعروقه ، فيستغني عن سقي سماء وغيرها. وعن الأصمعي : العَذْي : ما سقته السماء ، والبَعْل : ما شرب بعروقه من غير سقي ولا سماء. راجع : </w:t>
      </w:r>
      <w:r w:rsidR="00992664" w:rsidRPr="0012008A">
        <w:rPr>
          <w:rStyle w:val="libFootnoteBoldChar"/>
          <w:rtl/>
        </w:rPr>
        <w:t>الصحاح</w:t>
      </w:r>
      <w:r w:rsidR="00992664" w:rsidRPr="00020424">
        <w:rPr>
          <w:rtl/>
        </w:rPr>
        <w:t xml:space="preserve"> ، ج 4 ، ص 1635 ؛ </w:t>
      </w:r>
      <w:r w:rsidR="00992664" w:rsidRPr="0012008A">
        <w:rPr>
          <w:rStyle w:val="libFootnoteBoldChar"/>
          <w:rtl/>
        </w:rPr>
        <w:t>النهاية</w:t>
      </w:r>
      <w:r w:rsidR="00992664" w:rsidRPr="00020424">
        <w:rPr>
          <w:rtl/>
        </w:rPr>
        <w:t xml:space="preserve"> ، ج 1 ، ص 141 ( بعل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بر » : « السواقي</w:t>
      </w:r>
      <w:r w:rsidR="00992664">
        <w:rPr>
          <w:rtl/>
        </w:rPr>
        <w:t xml:space="preserve"> ».</w:t>
      </w:r>
      <w:r w:rsidR="00992664" w:rsidRPr="00020424">
        <w:rPr>
          <w:rtl/>
        </w:rPr>
        <w:t xml:space="preserve"> </w:t>
      </w:r>
      <w:r w:rsidR="00992664">
        <w:rPr>
          <w:rtl/>
        </w:rPr>
        <w:t>و «</w:t>
      </w:r>
      <w:r w:rsidR="00992664" w:rsidRPr="00020424">
        <w:rPr>
          <w:rtl/>
        </w:rPr>
        <w:t xml:space="preserve"> السواني » : جمع سانية ، وهي الناضحة ، أي الناقة التي يستقى عليها. راجع : </w:t>
      </w:r>
      <w:r w:rsidR="00992664" w:rsidRPr="0012008A">
        <w:rPr>
          <w:rStyle w:val="libFootnoteBoldChar"/>
          <w:rtl/>
        </w:rPr>
        <w:t>الصحاح</w:t>
      </w:r>
      <w:r w:rsidR="00992664" w:rsidRPr="00020424">
        <w:rPr>
          <w:rtl/>
        </w:rPr>
        <w:t xml:space="preserve"> ، ج 6 ، ص 2384 ؛ </w:t>
      </w:r>
      <w:r w:rsidR="00992664" w:rsidRPr="0012008A">
        <w:rPr>
          <w:rStyle w:val="libFootnoteBoldChar"/>
          <w:rtl/>
        </w:rPr>
        <w:t>النهاية</w:t>
      </w:r>
      <w:r w:rsidR="00992664" w:rsidRPr="00020424">
        <w:rPr>
          <w:rtl/>
        </w:rPr>
        <w:t xml:space="preserve"> ، ج 2 ، ص 415 ( سنا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يسقى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83 ، ح 9203 ؛ </w:t>
      </w:r>
      <w:r w:rsidR="00992664" w:rsidRPr="0012008A">
        <w:rPr>
          <w:rStyle w:val="libFootnoteBoldChar"/>
          <w:rtl/>
        </w:rPr>
        <w:t>الوسائل</w:t>
      </w:r>
      <w:r w:rsidR="00992664" w:rsidRPr="00020424">
        <w:rPr>
          <w:rtl/>
        </w:rPr>
        <w:t xml:space="preserve"> ، ج 9 ، ص 183 ، ح 11791.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بر ، بف ، جن » : « تزارع</w:t>
      </w:r>
      <w:r w:rsidR="00992664">
        <w:rPr>
          <w:rtl/>
        </w:rPr>
        <w:t xml:space="preserve"> ».</w:t>
      </w:r>
      <w:r w:rsidR="00992664" w:rsidRPr="00020424">
        <w:rPr>
          <w:rtl/>
        </w:rPr>
        <w:t xml:space="preserve"> في </w:t>
      </w:r>
      <w:r w:rsidR="00992664" w:rsidRPr="0012008A">
        <w:rPr>
          <w:rStyle w:val="libFootnoteBoldChar"/>
          <w:rtl/>
        </w:rPr>
        <w:t>التهذيب</w:t>
      </w:r>
      <w:r w:rsidR="00992664" w:rsidRPr="00020424">
        <w:rPr>
          <w:rtl/>
        </w:rPr>
        <w:t xml:space="preserve"> : « نزارع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حاشية « بث » : « ما تقول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سلطان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ظ ، بح » وحاشية « جن » : « بما</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ممّا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الاستبصار : « يقاطعك</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0C036F">
      <w:pPr>
        <w:pStyle w:val="libNormal0"/>
        <w:rPr>
          <w:rtl/>
          <w:lang w:bidi="fa-IR"/>
        </w:rPr>
      </w:pPr>
      <w:r w:rsidRPr="00020424">
        <w:rPr>
          <w:rtl/>
          <w:lang w:bidi="fa-IR"/>
        </w:rPr>
        <w:lastRenderedPageBreak/>
        <w:t xml:space="preserve">عَلَيْكَ الْعُشْرُ </w:t>
      </w:r>
      <w:r w:rsidRPr="00A91B96">
        <w:rPr>
          <w:rStyle w:val="libFootnotenumChar"/>
          <w:rtl/>
        </w:rPr>
        <w:t>(1)</w:t>
      </w:r>
      <w:r w:rsidRPr="00020424">
        <w:rPr>
          <w:rtl/>
          <w:lang w:bidi="fa-IR"/>
        </w:rPr>
        <w:t xml:space="preserve"> فِيمَا يَحْصُلُ فِي يَدِكَ بَعْدَ مُقَاسَمَتِهِ لَكَ</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C950CB">
        <w:rPr>
          <w:rtl/>
        </w:rPr>
        <w:t>5785</w:t>
      </w:r>
      <w:r w:rsidRPr="001155DE">
        <w:rPr>
          <w:rStyle w:val="libBold2Char"/>
          <w:rtl/>
        </w:rPr>
        <w:t xml:space="preserve"> / 5.</w:t>
      </w:r>
      <w:r w:rsidRPr="00020424">
        <w:rPr>
          <w:rtl/>
          <w:lang w:bidi="fa-IR"/>
        </w:rPr>
        <w:t xml:space="preserve"> عِدَّةٌ مِنْ أَصْحَابِنَا ، عَنْ أَحْمَدَ بْنِ مُحَمَّدٍ ، عَنِ الْبَرْقِيِّ ، عَنْ سَعْدِ بْنِ سَعْدٍ الْأَشْعَرِيِّ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أَقَلِّ مَا يَجِبُ </w:t>
      </w:r>
      <w:r w:rsidRPr="00A91B96">
        <w:rPr>
          <w:rStyle w:val="libFootnotenumChar"/>
          <w:rtl/>
        </w:rPr>
        <w:t>(3)</w:t>
      </w:r>
      <w:r w:rsidRPr="00020424">
        <w:rPr>
          <w:rtl/>
          <w:lang w:bidi="fa-IR"/>
        </w:rPr>
        <w:t xml:space="preserve"> فِيهِ الزَّكَاةُ مِنَ الْبُرِّ وَالشَّعِيرِ وَالتَّمْرِ وَالزَّبِيبِ</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خَمْسَةُ أَوْسَاقٍ </w:t>
      </w:r>
      <w:r w:rsidRPr="00A91B96">
        <w:rPr>
          <w:rStyle w:val="libFootnotenumChar"/>
          <w:rtl/>
        </w:rPr>
        <w:t>(5)</w:t>
      </w:r>
      <w:r w:rsidRPr="00020424">
        <w:rPr>
          <w:rtl/>
          <w:lang w:bidi="fa-IR"/>
        </w:rPr>
        <w:t xml:space="preserve"> بِوَسْقِ النَّبِيِّ </w:t>
      </w:r>
      <w:r w:rsidR="00B42914" w:rsidRPr="00B42914">
        <w:rPr>
          <w:rStyle w:val="libAlaemChar"/>
          <w:rtl/>
        </w:rPr>
        <w:t>صلى‌الله‌عليه‌وآله‌</w:t>
      </w:r>
      <w:r>
        <w:rPr>
          <w:rtl/>
          <w:lang w:bidi="fa-IR"/>
        </w:rPr>
        <w:t xml:space="preserve"> ».</w:t>
      </w:r>
      <w:r w:rsidRPr="00020424">
        <w:rPr>
          <w:rtl/>
          <w:lang w:bidi="fa-IR"/>
        </w:rPr>
        <w:t xml:space="preserve"> فَقُلْتُ : كَمِ </w:t>
      </w:r>
      <w:r w:rsidRPr="00A91B96">
        <w:rPr>
          <w:rStyle w:val="libFootnotenumChar"/>
          <w:rtl/>
        </w:rPr>
        <w:t>(6)</w:t>
      </w:r>
      <w:r w:rsidRPr="00020424">
        <w:rPr>
          <w:rtl/>
          <w:lang w:bidi="fa-IR"/>
        </w:rPr>
        <w:t xml:space="preserve"> الْوَسْقُ</w:t>
      </w:r>
      <w:r>
        <w:rPr>
          <w:rtl/>
          <w:lang w:bidi="fa-IR"/>
        </w:rPr>
        <w:t>؟</w:t>
      </w:r>
      <w:r w:rsidRPr="00020424">
        <w:rPr>
          <w:rtl/>
          <w:lang w:bidi="fa-IR"/>
        </w:rPr>
        <w:t xml:space="preserve"> قَالَ </w:t>
      </w:r>
      <w:r w:rsidRPr="00A91B96">
        <w:rPr>
          <w:rStyle w:val="libFootnotenumChar"/>
          <w:rtl/>
        </w:rPr>
        <w:t>(7)</w:t>
      </w:r>
      <w:r w:rsidRPr="00020424">
        <w:rPr>
          <w:rtl/>
          <w:lang w:bidi="fa-IR"/>
        </w:rPr>
        <w:t xml:space="preserve"> : « سِتُّونَ صَاعاً</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(8)</w:t>
      </w:r>
      <w:r w:rsidRPr="00020424">
        <w:rPr>
          <w:rtl/>
          <w:lang w:bidi="fa-IR"/>
        </w:rPr>
        <w:t xml:space="preserve"> : فَهَلْ </w:t>
      </w:r>
      <w:r w:rsidRPr="00A91B96">
        <w:rPr>
          <w:rStyle w:val="libFootnotenumChar"/>
          <w:rtl/>
        </w:rPr>
        <w:t>(9)</w:t>
      </w:r>
      <w:r w:rsidRPr="00020424">
        <w:rPr>
          <w:rtl/>
          <w:lang w:bidi="fa-IR"/>
        </w:rPr>
        <w:t xml:space="preserve"> عَلَى الْعِنَبِ زَكَاةٌ ، أَوْ إِنَّمَا تَجِبُ </w:t>
      </w:r>
      <w:r w:rsidRPr="00A91B96">
        <w:rPr>
          <w:rStyle w:val="libFootnotenumChar"/>
          <w:rtl/>
        </w:rPr>
        <w:t>(10)</w:t>
      </w:r>
      <w:r w:rsidRPr="00020424">
        <w:rPr>
          <w:rtl/>
          <w:lang w:bidi="fa-IR"/>
        </w:rPr>
        <w:t xml:space="preserve"> عَلَيْهِ </w:t>
      </w:r>
      <w:r w:rsidRPr="00A91B96">
        <w:rPr>
          <w:rStyle w:val="libFootnotenumChar"/>
          <w:rtl/>
        </w:rPr>
        <w:t>(11)</w:t>
      </w:r>
      <w:r w:rsidRPr="00020424">
        <w:rPr>
          <w:rtl/>
          <w:lang w:bidi="fa-IR"/>
        </w:rPr>
        <w:t xml:space="preserve"> إِذَا صَيَّرَهُ </w:t>
      </w:r>
      <w:r w:rsidRPr="00A91B96">
        <w:rPr>
          <w:rStyle w:val="libFootnotenumChar"/>
          <w:rtl/>
        </w:rPr>
        <w:t>(12)</w:t>
      </w:r>
      <w:r w:rsidRPr="00020424">
        <w:rPr>
          <w:rtl/>
          <w:lang w:bidi="fa-IR"/>
        </w:rPr>
        <w:t xml:space="preserve"> زَبِيباً</w:t>
      </w:r>
      <w:r>
        <w:rPr>
          <w:rtl/>
          <w:lang w:bidi="fa-IR"/>
        </w:rPr>
        <w:t>؟</w:t>
      </w:r>
    </w:p>
    <w:p w:rsidR="00992664" w:rsidRPr="00020424" w:rsidRDefault="00992664" w:rsidP="00992664">
      <w:pPr>
        <w:pStyle w:val="libNormal"/>
        <w:rPr>
          <w:rtl/>
          <w:lang w:bidi="fa-IR"/>
        </w:rPr>
      </w:pPr>
      <w:r w:rsidRPr="00020424">
        <w:rPr>
          <w:rtl/>
          <w:lang w:bidi="fa-IR"/>
        </w:rPr>
        <w:t xml:space="preserve">قَالَ : « نَعَمْ ، إِذَا خَرَصَهُ </w:t>
      </w:r>
      <w:r w:rsidRPr="00A91B96">
        <w:rPr>
          <w:rStyle w:val="libFootnotenumChar"/>
          <w:rtl/>
        </w:rPr>
        <w:t>(13)</w:t>
      </w:r>
      <w:r w:rsidRPr="00020424">
        <w:rPr>
          <w:rtl/>
          <w:lang w:bidi="fa-IR"/>
        </w:rPr>
        <w:t xml:space="preserve"> أَخْرَجَ زَكَاتَهُ</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العشر عليك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36 ، ح 93 ؛ </w:t>
      </w:r>
      <w:r w:rsidR="00992664" w:rsidRPr="00FD6221">
        <w:rPr>
          <w:rStyle w:val="libFootnoteBoldChar"/>
          <w:rtl/>
        </w:rPr>
        <w:t>والاستبصار</w:t>
      </w:r>
      <w:r w:rsidR="00992664" w:rsidRPr="00C950CB">
        <w:rPr>
          <w:rtl/>
        </w:rPr>
        <w:t xml:space="preserve"> </w:t>
      </w:r>
      <w:r w:rsidR="00992664" w:rsidRPr="00020424">
        <w:rPr>
          <w:rtl/>
        </w:rPr>
        <w:t xml:space="preserve">، ج 2 ، ص 25 ، ح 70 ، معلّقاً عن الكليني </w:t>
      </w:r>
      <w:r w:rsidR="00AF1C38">
        <w:rPr>
          <w:rFonts w:hint="cs"/>
          <w:rtl/>
        </w:rPr>
        <w:t>.</w:t>
      </w:r>
      <w:r w:rsidR="00992664" w:rsidRPr="0012008A">
        <w:rPr>
          <w:rStyle w:val="libFootnoteBoldChar"/>
          <w:rtl/>
        </w:rPr>
        <w:t>الوافي</w:t>
      </w:r>
      <w:r w:rsidR="00992664" w:rsidRPr="00020424">
        <w:rPr>
          <w:rtl/>
        </w:rPr>
        <w:t xml:space="preserve"> ، ج 10 ، ص 88 ، ح 9213 ؛ </w:t>
      </w:r>
      <w:r w:rsidR="00992664" w:rsidRPr="0012008A">
        <w:rPr>
          <w:rStyle w:val="libFootnoteBoldChar"/>
          <w:rtl/>
        </w:rPr>
        <w:t>الوسائل</w:t>
      </w:r>
      <w:r w:rsidR="00992664" w:rsidRPr="00020424">
        <w:rPr>
          <w:rtl/>
        </w:rPr>
        <w:t xml:space="preserve"> ، ج 9 ، ص 188 ، ح 11803.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بح ، بخ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11772 : « ما تجب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C950CB">
        <w:rP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خمسة أوساق ، أي ثلاثمائة منّ وسبعة أمناء وثمن منّ بالمنّ التبريزي وبالشاهي نصفه ، فتدبّر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بس ، بف » </w:t>
      </w:r>
      <w:r w:rsidR="00992664" w:rsidRPr="00515444">
        <w:rPr>
          <w:rStyle w:val="libFootnoteBoldChar"/>
          <w:rtl/>
        </w:rPr>
        <w:t>والوافي</w:t>
      </w:r>
      <w:r w:rsidR="00992664" w:rsidRPr="00020424">
        <w:rPr>
          <w:rtl/>
        </w:rPr>
        <w:t xml:space="preserve"> : « فكم</w:t>
      </w:r>
      <w:r w:rsidR="00992664">
        <w:rPr>
          <w:rtl/>
        </w:rPr>
        <w:t xml:space="preserve"> ».</w:t>
      </w:r>
      <w:r w:rsidR="00992664" w:rsidRPr="00020424">
        <w:rPr>
          <w:rtl/>
        </w:rPr>
        <w:t xml:space="preserve"> وفي « بخ » : « وكم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F1C38" w:rsidTr="00AF1C38">
        <w:tc>
          <w:tcPr>
            <w:tcW w:w="4006" w:type="dxa"/>
          </w:tcPr>
          <w:p w:rsidR="00AF1C38" w:rsidRDefault="00AF1C38" w:rsidP="00992664">
            <w:pPr>
              <w:pStyle w:val="libFootnote0"/>
              <w:rPr>
                <w:rtl/>
              </w:rPr>
            </w:pPr>
            <w:r>
              <w:rPr>
                <w:rtl/>
              </w:rPr>
              <w:t xml:space="preserve">(7). </w:t>
            </w:r>
            <w:r w:rsidRPr="00020424">
              <w:rPr>
                <w:rtl/>
              </w:rPr>
              <w:t xml:space="preserve">في « بح » </w:t>
            </w:r>
            <w:r w:rsidRPr="00515444">
              <w:rPr>
                <w:rStyle w:val="libFootnoteBoldChar"/>
                <w:rtl/>
              </w:rPr>
              <w:t>والوافي</w:t>
            </w:r>
            <w:r w:rsidRPr="00020424">
              <w:rPr>
                <w:rtl/>
              </w:rPr>
              <w:t xml:space="preserve"> : « فقال</w:t>
            </w:r>
            <w:r>
              <w:rPr>
                <w:rtl/>
              </w:rPr>
              <w:t xml:space="preserve"> ».</w:t>
            </w:r>
          </w:p>
        </w:tc>
        <w:tc>
          <w:tcPr>
            <w:tcW w:w="4006" w:type="dxa"/>
          </w:tcPr>
          <w:p w:rsidR="00AF1C38" w:rsidRDefault="00AF1C38" w:rsidP="00992664">
            <w:pPr>
              <w:pStyle w:val="libFootnote0"/>
              <w:rPr>
                <w:rtl/>
              </w:rPr>
            </w:pPr>
            <w:r>
              <w:rPr>
                <w:rtl/>
              </w:rPr>
              <w:t>(8). في «بث»:«</w:t>
            </w:r>
            <w:r w:rsidRPr="00020424">
              <w:rPr>
                <w:rtl/>
              </w:rPr>
              <w:t>وقلت</w:t>
            </w:r>
            <w:r>
              <w:rPr>
                <w:rtl/>
              </w:rPr>
              <w:t>».وفي«بس»</w:t>
            </w:r>
            <w:r w:rsidRPr="00515444">
              <w:rPr>
                <w:rStyle w:val="libFootnoteBoldChar"/>
                <w:rtl/>
              </w:rPr>
              <w:t>والوافي</w:t>
            </w:r>
            <w:r>
              <w:rPr>
                <w:rtl/>
              </w:rPr>
              <w:t>:«</w:t>
            </w:r>
            <w:r w:rsidRPr="00020424">
              <w:rPr>
                <w:rtl/>
              </w:rPr>
              <w:t>فقلت</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11772 : « وهل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بح ، بف » </w:t>
      </w:r>
      <w:r w:rsidR="00992664" w:rsidRPr="00EB1FD9">
        <w:rPr>
          <w:rStyle w:val="libFootnoteBoldChar"/>
          <w:rtl/>
        </w:rPr>
        <w:t>والوسائل</w:t>
      </w:r>
      <w:r w:rsidR="00992664" w:rsidRPr="00020424">
        <w:rPr>
          <w:rtl/>
        </w:rPr>
        <w:t xml:space="preserve"> ، ح 11772 : « يجب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C3F93" w:rsidTr="00BC3F93">
        <w:tc>
          <w:tcPr>
            <w:tcW w:w="4006" w:type="dxa"/>
          </w:tcPr>
          <w:p w:rsidR="00BC3F93" w:rsidRDefault="00BC3F93" w:rsidP="00992664">
            <w:pPr>
              <w:pStyle w:val="libFootnote0"/>
              <w:rPr>
                <w:rtl/>
              </w:rPr>
            </w:pPr>
            <w:r>
              <w:rPr>
                <w:rtl/>
              </w:rPr>
              <w:t xml:space="preserve">(11). </w:t>
            </w:r>
            <w:r w:rsidRPr="00020424">
              <w:rPr>
                <w:rtl/>
              </w:rPr>
              <w:t>في « بس » : + « الزكاة</w:t>
            </w:r>
            <w:r>
              <w:rPr>
                <w:rtl/>
              </w:rPr>
              <w:t xml:space="preserve"> ».</w:t>
            </w:r>
          </w:p>
        </w:tc>
        <w:tc>
          <w:tcPr>
            <w:tcW w:w="4006" w:type="dxa"/>
          </w:tcPr>
          <w:p w:rsidR="00BC3F93" w:rsidRDefault="00BC3F93" w:rsidP="00992664">
            <w:pPr>
              <w:pStyle w:val="libFootnote0"/>
              <w:rPr>
                <w:rtl/>
              </w:rPr>
            </w:pPr>
            <w:r>
              <w:rPr>
                <w:rtl/>
              </w:rPr>
              <w:t xml:space="preserve">(12). </w:t>
            </w:r>
            <w:r w:rsidRPr="00020424">
              <w:rPr>
                <w:rtl/>
              </w:rPr>
              <w:t>في « بس » : « صار</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 « خرصته</w:t>
      </w:r>
      <w:r w:rsidR="00992664">
        <w:rPr>
          <w:rtl/>
        </w:rPr>
        <w:t xml:space="preserve"> ».</w:t>
      </w:r>
      <w:r w:rsidR="00992664" w:rsidRPr="00020424">
        <w:rPr>
          <w:rtl/>
        </w:rPr>
        <w:t xml:space="preserve"> </w:t>
      </w:r>
      <w:r w:rsidR="00992664">
        <w:rPr>
          <w:rtl/>
        </w:rPr>
        <w:t>و «</w:t>
      </w:r>
      <w:r w:rsidR="00992664" w:rsidRPr="00020424">
        <w:rPr>
          <w:rtl/>
        </w:rPr>
        <w:t xml:space="preserve"> خرصه » أي قدّره بالظنّ والتخمين ؛ من الخَرْص ، وهو حَرْز ما على النخل من الرُطَب ثمراً ومن العنب زبيباً ، فهو من الخَرْص بمعنى الظنّ ؛ لأنّ الحرز إنّما هو تقدير بظنّ. راجع : </w:t>
      </w:r>
      <w:r w:rsidR="00992664" w:rsidRPr="0012008A">
        <w:rPr>
          <w:rStyle w:val="libFootnoteBoldChar"/>
          <w:rtl/>
        </w:rPr>
        <w:t>الصحاح</w:t>
      </w:r>
      <w:r w:rsidR="00992664" w:rsidRPr="00020424">
        <w:rPr>
          <w:rtl/>
        </w:rPr>
        <w:t xml:space="preserve"> ، ج 3 ، ص 1035 ؛ </w:t>
      </w:r>
      <w:r w:rsidR="00992664" w:rsidRPr="0012008A">
        <w:rPr>
          <w:rStyle w:val="libFootnoteBoldChar"/>
          <w:rtl/>
        </w:rPr>
        <w:t>النهاية</w:t>
      </w:r>
      <w:r w:rsidR="00992664" w:rsidRPr="00020424">
        <w:rPr>
          <w:rtl/>
        </w:rPr>
        <w:t xml:space="preserve"> ، ج 2 ، ص 22 ( خرص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79 ، ح 9194 ؛ </w:t>
      </w:r>
      <w:r w:rsidR="00992664" w:rsidRPr="0012008A">
        <w:rPr>
          <w:rStyle w:val="libFootnoteBoldChar"/>
          <w:rtl/>
        </w:rPr>
        <w:t>الوسائل</w:t>
      </w:r>
      <w:r w:rsidR="00992664" w:rsidRPr="00020424">
        <w:rPr>
          <w:rtl/>
        </w:rPr>
        <w:t xml:space="preserve"> ، ج 9 ، ص 175 ، ح 11772 ؛ </w:t>
      </w:r>
      <w:r w:rsidR="00992664" w:rsidRPr="00C950CB">
        <w:rPr>
          <w:rtl/>
        </w:rPr>
        <w:t>وفيه</w:t>
      </w:r>
      <w:r w:rsidR="00992664" w:rsidRPr="00020424">
        <w:rPr>
          <w:rtl/>
        </w:rPr>
        <w:t xml:space="preserve"> ، ص 195 ، ح 11818 ، من قوله : « فهل على العنب زكاة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950CB">
        <w:rPr>
          <w:rtl/>
        </w:rPr>
        <w:lastRenderedPageBreak/>
        <w:t>5786</w:t>
      </w:r>
      <w:r w:rsidRPr="001155DE">
        <w:rPr>
          <w:rStyle w:val="libBold2Char"/>
          <w:rtl/>
        </w:rPr>
        <w:t xml:space="preserve"> / 6.</w:t>
      </w:r>
      <w:r w:rsidRPr="00020424">
        <w:rPr>
          <w:rtl/>
          <w:lang w:bidi="fa-IR"/>
        </w:rPr>
        <w:t xml:space="preserve"> عَلِيُّ بْنُ إِبْرَاهِيمَ ، عَنْ أَبِيهِ ، عَنِ ابْنِ أَبِي عُمَيْرٍ ، عَنْ مُعَاوِيَةَ بْنِ شُرَيْحٍ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(1)</w:t>
      </w:r>
      <w:r w:rsidRPr="00020424">
        <w:rPr>
          <w:rtl/>
          <w:lang w:bidi="fa-IR"/>
        </w:rPr>
        <w:t xml:space="preserve"> : « فِيمَا سَقَتِ السَّمَاءُ وَالْأَنْهَارُ ، أَوْ كَانَ </w:t>
      </w:r>
      <w:r w:rsidRPr="00A91B96">
        <w:rPr>
          <w:rStyle w:val="libFootnotenumChar"/>
          <w:rtl/>
        </w:rPr>
        <w:t>(2)</w:t>
      </w:r>
      <w:r w:rsidRPr="00020424">
        <w:rPr>
          <w:rtl/>
          <w:lang w:bidi="fa-IR"/>
        </w:rPr>
        <w:t xml:space="preserve"> بَعْلاً الْعُشْرُ </w:t>
      </w:r>
      <w:r w:rsidRPr="00A91B96">
        <w:rPr>
          <w:rStyle w:val="libFootnotenumChar"/>
          <w:rtl/>
        </w:rPr>
        <w:t>(3)</w:t>
      </w:r>
      <w:r w:rsidRPr="00020424">
        <w:rPr>
          <w:rtl/>
          <w:lang w:bidi="fa-IR"/>
        </w:rPr>
        <w:t xml:space="preserve">، وَأَمَّا </w:t>
      </w:r>
      <w:r w:rsidRPr="00A91B96">
        <w:rPr>
          <w:rStyle w:val="libFootnotenumChar"/>
          <w:rtl/>
        </w:rPr>
        <w:t>(4)</w:t>
      </w:r>
      <w:r w:rsidRPr="00020424">
        <w:rPr>
          <w:rtl/>
          <w:lang w:bidi="fa-IR"/>
        </w:rPr>
        <w:t xml:space="preserve"> مَا سَقَتِ السَّوَانِي وَالدَّوَالِي ، فَنِصْفُ العُشْرِ</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لَهُ : فَالْأَرْضُ </w:t>
      </w:r>
      <w:r w:rsidRPr="00A91B96">
        <w:rPr>
          <w:rStyle w:val="libFootnotenumChar"/>
          <w:rtl/>
        </w:rPr>
        <w:t>(5)</w:t>
      </w:r>
      <w:r w:rsidRPr="00020424">
        <w:rPr>
          <w:rtl/>
          <w:lang w:bidi="fa-IR"/>
        </w:rPr>
        <w:t xml:space="preserve"> تَكُونُ عِنْدَنَا تُسْقى بِالدَّوَالِي ، ثُمَّ يَزِيدُ الْمَاءُ ، فَتُسْقى </w:t>
      </w:r>
      <w:r w:rsidRPr="00A91B96">
        <w:rPr>
          <w:rStyle w:val="libFootnotenumChar"/>
          <w:rtl/>
        </w:rPr>
        <w:t>(6)</w:t>
      </w:r>
      <w:r w:rsidRPr="00020424">
        <w:rPr>
          <w:rtl/>
          <w:lang w:bidi="fa-IR"/>
        </w:rPr>
        <w:t xml:space="preserve"> سَيْحاً</w:t>
      </w:r>
      <w:r>
        <w:rPr>
          <w:rtl/>
          <w:lang w:bidi="fa-IR"/>
        </w:rPr>
        <w:t>؟</w:t>
      </w:r>
    </w:p>
    <w:p w:rsidR="00992664" w:rsidRPr="00020424" w:rsidRDefault="00992664" w:rsidP="00992664">
      <w:pPr>
        <w:pStyle w:val="libNormal"/>
        <w:rPr>
          <w:rtl/>
          <w:lang w:bidi="fa-IR"/>
        </w:rPr>
      </w:pPr>
      <w:r w:rsidRPr="00020424">
        <w:rPr>
          <w:rtl/>
          <w:lang w:bidi="fa-IR"/>
        </w:rPr>
        <w:t xml:space="preserve">فَقَالَ : « وَإِنَّ </w:t>
      </w:r>
      <w:r w:rsidRPr="00A91B96">
        <w:rPr>
          <w:rStyle w:val="libFootnotenumChar"/>
          <w:rtl/>
        </w:rPr>
        <w:t>(7)</w:t>
      </w:r>
      <w:r w:rsidRPr="00020424">
        <w:rPr>
          <w:rtl/>
          <w:lang w:bidi="fa-IR"/>
        </w:rPr>
        <w:t xml:space="preserve"> ذَا لَيَكُونُ </w:t>
      </w:r>
      <w:r w:rsidRPr="00A91B96">
        <w:rPr>
          <w:rStyle w:val="libFootnotenumChar"/>
          <w:rtl/>
        </w:rPr>
        <w:t>(8)</w:t>
      </w:r>
      <w:r w:rsidRPr="00020424">
        <w:rPr>
          <w:rtl/>
          <w:lang w:bidi="fa-IR"/>
        </w:rPr>
        <w:t xml:space="preserve"> عِنْدَكُمْ كَذلِكَ</w:t>
      </w:r>
      <w:r>
        <w:rPr>
          <w:rtl/>
          <w:lang w:bidi="fa-IR"/>
        </w:rPr>
        <w:t>؟</w:t>
      </w:r>
      <w:r w:rsidR="00E61DD7">
        <w:rPr>
          <w:rtl/>
          <w:lang w:bidi="fa-IR"/>
        </w:rPr>
        <w:t>» قُلْتُ:نَعَمْ،قَالَ :«</w:t>
      </w:r>
      <w:r w:rsidRPr="00020424">
        <w:rPr>
          <w:rtl/>
          <w:lang w:bidi="fa-IR"/>
        </w:rPr>
        <w:t>النِّصْفُ وَالنِّصْفُ</w:t>
      </w:r>
      <w:r w:rsidR="00E61DD7">
        <w:rPr>
          <w:rFonts w:hint="cs"/>
          <w:rtl/>
          <w:lang w:bidi="fa-IR"/>
        </w:rPr>
        <w:t xml:space="preserve"> </w:t>
      </w:r>
      <w:r w:rsidRPr="00A91B96">
        <w:rPr>
          <w:rStyle w:val="libFootnotenumChar"/>
          <w:rtl/>
        </w:rPr>
        <w:t>(9)</w:t>
      </w:r>
      <w:r w:rsidR="00E61DD7">
        <w:rPr>
          <w:rtl/>
          <w:lang w:bidi="fa-IR"/>
        </w:rPr>
        <w:t>،</w:t>
      </w:r>
      <w:r w:rsidRPr="00020424">
        <w:rPr>
          <w:rtl/>
          <w:lang w:bidi="fa-IR"/>
        </w:rPr>
        <w:t>نِصْفٌ بِنِصْفِ الْعُشْرِ ، وَنِصْفٌ بِالْعُشْرِ</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الْأَرْضُ تُسْقى بِالدَّوَالِي ، ثُمَّ يَزِيدُ الْمَاءُ </w:t>
      </w:r>
      <w:r w:rsidRPr="00A91B96">
        <w:rPr>
          <w:rStyle w:val="libFootnotenumChar"/>
          <w:rtl/>
        </w:rPr>
        <w:t>(10)</w:t>
      </w:r>
      <w:r w:rsidRPr="00020424">
        <w:rPr>
          <w:rtl/>
          <w:lang w:bidi="fa-IR"/>
        </w:rPr>
        <w:t xml:space="preserve"> ، فَتُسْقَى السَّقْيَةَ وَالسَّقْيَتَيْنِ سَيْحاً</w:t>
      </w:r>
      <w:r>
        <w:rPr>
          <w:rtl/>
          <w:lang w:bidi="fa-IR"/>
        </w:rPr>
        <w:t>؟</w:t>
      </w:r>
    </w:p>
    <w:p w:rsidR="00992664" w:rsidRPr="00020424" w:rsidRDefault="00992664" w:rsidP="00992664">
      <w:pPr>
        <w:pStyle w:val="libNormal"/>
        <w:rPr>
          <w:rtl/>
          <w:lang w:bidi="fa-IR"/>
        </w:rPr>
      </w:pPr>
      <w:r w:rsidRPr="00020424">
        <w:rPr>
          <w:rtl/>
          <w:lang w:bidi="fa-IR"/>
        </w:rPr>
        <w:t>قَالَ : « وَفِي كَمْ تُسْقَى السَّقْيَةَ وَالسَّقْيَتَيْنِ سَيْحاً</w:t>
      </w:r>
      <w:r>
        <w:rPr>
          <w:rtl/>
          <w:lang w:bidi="fa-IR"/>
        </w:rPr>
        <w:t>؟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قُلْتُ : فِي ثَلَاثِينَ لَيْلَةً أَوْ أَرْبَعِينَ </w:t>
      </w:r>
      <w:r w:rsidRPr="00A91B96">
        <w:rPr>
          <w:rStyle w:val="libFootnotenumChar"/>
          <w:rtl/>
        </w:rPr>
        <w:t>(12)</w:t>
      </w:r>
      <w:r w:rsidRPr="00020424">
        <w:rPr>
          <w:rtl/>
          <w:lang w:bidi="fa-IR"/>
        </w:rPr>
        <w:t xml:space="preserve"> لَيْلَةً ، وَقَدْ مَضَتْ </w:t>
      </w:r>
      <w:r w:rsidRPr="00A91B96">
        <w:rPr>
          <w:rStyle w:val="libFootnotenumChar"/>
          <w:rtl/>
        </w:rPr>
        <w:t>(13)</w:t>
      </w:r>
      <w:r w:rsidRPr="00020424">
        <w:rPr>
          <w:rtl/>
          <w:lang w:bidi="fa-IR"/>
        </w:rPr>
        <w:t xml:space="preserve">قَبْلَ ذلِكَ فِي الْأَرْضِ سِتَّةَ أَشْهُرٍ </w:t>
      </w:r>
      <w:r w:rsidRPr="00A91B96">
        <w:rPr>
          <w:rStyle w:val="libFootnotenumChar"/>
          <w:rtl/>
        </w:rPr>
        <w:t>(14)</w:t>
      </w:r>
      <w:r w:rsidRPr="00020424">
        <w:rPr>
          <w:rtl/>
          <w:lang w:bidi="fa-IR"/>
        </w:rPr>
        <w:t>، سَبْعَةَ أَشْهُرٍ.</w:t>
      </w:r>
    </w:p>
    <w:p w:rsidR="00992664" w:rsidRPr="00020424" w:rsidRDefault="00992664" w:rsidP="00992664">
      <w:pPr>
        <w:pStyle w:val="libNormal"/>
        <w:rPr>
          <w:rtl/>
          <w:lang w:bidi="fa-IR"/>
        </w:rPr>
      </w:pPr>
      <w:r w:rsidRPr="00020424">
        <w:rPr>
          <w:rtl/>
          <w:lang w:bidi="fa-IR"/>
        </w:rPr>
        <w:t>قَالَ : « نِصْفُ الْعُشْرِ</w:t>
      </w:r>
      <w:r>
        <w:rPr>
          <w:rtl/>
          <w:lang w:bidi="fa-IR"/>
        </w:rPr>
        <w:t xml:space="preserve"> ».</w:t>
      </w:r>
      <w:r w:rsidRPr="00020424">
        <w:rPr>
          <w:rtl/>
          <w:lang w:bidi="fa-IR"/>
        </w:rPr>
        <w:t xml:space="preserve">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61DD7" w:rsidTr="00E61DD7">
        <w:tc>
          <w:tcPr>
            <w:tcW w:w="4006" w:type="dxa"/>
          </w:tcPr>
          <w:p w:rsidR="00E61DD7" w:rsidRDefault="00E61DD7" w:rsidP="00992664">
            <w:pPr>
              <w:pStyle w:val="libFootnote0"/>
              <w:rPr>
                <w:rtl/>
              </w:rPr>
            </w:pPr>
            <w:r>
              <w:rPr>
                <w:rtl/>
              </w:rPr>
              <w:t xml:space="preserve">(1). </w:t>
            </w:r>
            <w:r w:rsidRPr="00020424">
              <w:rPr>
                <w:rtl/>
              </w:rPr>
              <w:t>في « ى ، بح » :</w:t>
            </w:r>
            <w:r>
              <w:rPr>
                <w:rtl/>
              </w:rPr>
              <w:t xml:space="preserve"> - </w:t>
            </w:r>
            <w:r w:rsidRPr="00020424">
              <w:rPr>
                <w:rtl/>
              </w:rPr>
              <w:t>« قال</w:t>
            </w:r>
            <w:r>
              <w:rPr>
                <w:rtl/>
              </w:rPr>
              <w:t xml:space="preserve"> ».</w:t>
            </w:r>
          </w:p>
        </w:tc>
        <w:tc>
          <w:tcPr>
            <w:tcW w:w="4006" w:type="dxa"/>
          </w:tcPr>
          <w:p w:rsidR="00E61DD7" w:rsidRDefault="00E61DD7" w:rsidP="00992664">
            <w:pPr>
              <w:pStyle w:val="libFootnote0"/>
              <w:rPr>
                <w:rtl/>
              </w:rPr>
            </w:pPr>
            <w:r>
              <w:rPr>
                <w:rtl/>
              </w:rPr>
              <w:t xml:space="preserve">(2). </w:t>
            </w:r>
            <w:r w:rsidRPr="00020424">
              <w:rPr>
                <w:rtl/>
              </w:rPr>
              <w:t>في « بر » : « وكان</w:t>
            </w:r>
            <w:r>
              <w:rPr>
                <w:rtl/>
              </w:rPr>
              <w:t xml:space="preserve"> ».</w:t>
            </w:r>
          </w:p>
        </w:tc>
      </w:tr>
      <w:tr w:rsidR="00E61DD7" w:rsidTr="00E61DD7">
        <w:tc>
          <w:tcPr>
            <w:tcW w:w="4006" w:type="dxa"/>
          </w:tcPr>
          <w:p w:rsidR="00E61DD7" w:rsidRDefault="00E61DD7"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w:t>
            </w:r>
            <w:r w:rsidRPr="00FD6221">
              <w:rPr>
                <w:rStyle w:val="libFootnoteBoldChar"/>
                <w:rtl/>
              </w:rPr>
              <w:t>والاستبصار</w:t>
            </w:r>
            <w:r w:rsidRPr="00020424">
              <w:rPr>
                <w:rtl/>
              </w:rPr>
              <w:t xml:space="preserve"> : « فالعشر</w:t>
            </w:r>
            <w:r>
              <w:rPr>
                <w:rtl/>
              </w:rPr>
              <w:t xml:space="preserve"> ».</w:t>
            </w:r>
          </w:p>
        </w:tc>
        <w:tc>
          <w:tcPr>
            <w:tcW w:w="4006" w:type="dxa"/>
          </w:tcPr>
          <w:p w:rsidR="00E61DD7" w:rsidRDefault="00E61DD7" w:rsidP="00992664">
            <w:pPr>
              <w:pStyle w:val="libFootnote0"/>
              <w:rPr>
                <w:rtl/>
              </w:rPr>
            </w:pPr>
            <w:r>
              <w:rPr>
                <w:rtl/>
              </w:rPr>
              <w:t xml:space="preserve">(4). </w:t>
            </w:r>
            <w:r w:rsidR="00CB242E">
              <w:rPr>
                <w:rtl/>
              </w:rPr>
              <w:t>في «بخ ،بر ،بف»</w:t>
            </w:r>
            <w:r w:rsidRPr="00515444">
              <w:rPr>
                <w:rStyle w:val="libFootnoteBoldChar"/>
                <w:rtl/>
              </w:rPr>
              <w:t>والتهذيب</w:t>
            </w:r>
            <w:r w:rsidR="00CB242E">
              <w:rPr>
                <w:rtl/>
              </w:rPr>
              <w:t xml:space="preserve"> </w:t>
            </w:r>
            <w:r w:rsidR="00CB242E" w:rsidRPr="00FD6221">
              <w:rPr>
                <w:rStyle w:val="libFootnoteBoldChar"/>
                <w:rtl/>
              </w:rPr>
              <w:t>والاستبصار</w:t>
            </w:r>
            <w:r w:rsidR="00CB242E">
              <w:rPr>
                <w:rtl/>
              </w:rPr>
              <w:t>:«</w:t>
            </w:r>
            <w:r w:rsidRPr="00020424">
              <w:rPr>
                <w:rtl/>
              </w:rPr>
              <w:t>فأمّا</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والأرض</w:t>
      </w:r>
      <w:r w:rsidR="00992664">
        <w:rPr>
          <w:rtl/>
        </w:rPr>
        <w:t xml:space="preserve"> ».</w:t>
      </w:r>
      <w:r w:rsidR="00992664" w:rsidRPr="00020424">
        <w:rPr>
          <w:rtl/>
        </w:rPr>
        <w:t xml:space="preserve"> وفي « بر ، بف » : « الأرض</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حاشية « جن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وتسقى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711EB" w:rsidTr="007711EB">
        <w:tc>
          <w:tcPr>
            <w:tcW w:w="4006" w:type="dxa"/>
          </w:tcPr>
          <w:p w:rsidR="007711EB" w:rsidRDefault="007711EB"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إنّ » بدون الواو.</w:t>
            </w:r>
          </w:p>
        </w:tc>
        <w:tc>
          <w:tcPr>
            <w:tcW w:w="4006" w:type="dxa"/>
          </w:tcPr>
          <w:p w:rsidR="007711EB" w:rsidRDefault="007711EB" w:rsidP="00992664">
            <w:pPr>
              <w:pStyle w:val="libFootnote0"/>
              <w:rPr>
                <w:rtl/>
              </w:rPr>
            </w:pPr>
            <w:r>
              <w:rPr>
                <w:rtl/>
              </w:rPr>
              <w:t xml:space="preserve">(8). </w:t>
            </w:r>
            <w:r w:rsidRPr="00020424">
              <w:rPr>
                <w:rtl/>
              </w:rPr>
              <w:t>في « جن » : « يكون</w:t>
            </w:r>
            <w:r>
              <w:rPr>
                <w:rtl/>
              </w:rPr>
              <w:t xml:space="preserve"> ».</w:t>
            </w:r>
          </w:p>
        </w:tc>
      </w:tr>
      <w:tr w:rsidR="007711EB" w:rsidTr="007711EB">
        <w:tc>
          <w:tcPr>
            <w:tcW w:w="4006" w:type="dxa"/>
          </w:tcPr>
          <w:p w:rsidR="007711EB" w:rsidRDefault="007711EB" w:rsidP="00992664">
            <w:pPr>
              <w:pStyle w:val="libFootnote0"/>
              <w:rPr>
                <w:rtl/>
              </w:rPr>
            </w:pPr>
            <w:r>
              <w:rPr>
                <w:rtl/>
              </w:rPr>
              <w:t xml:space="preserve">(9). </w:t>
            </w:r>
            <w:r w:rsidRPr="00020424">
              <w:rPr>
                <w:rtl/>
              </w:rPr>
              <w:t>في « بف » :</w:t>
            </w:r>
            <w:r>
              <w:rPr>
                <w:rtl/>
              </w:rPr>
              <w:t xml:space="preserve"> - </w:t>
            </w:r>
            <w:r w:rsidRPr="00020424">
              <w:rPr>
                <w:rtl/>
              </w:rPr>
              <w:t>« النصف</w:t>
            </w:r>
            <w:r>
              <w:rPr>
                <w:rtl/>
              </w:rPr>
              <w:t xml:space="preserve"> ».</w:t>
            </w:r>
          </w:p>
        </w:tc>
        <w:tc>
          <w:tcPr>
            <w:tcW w:w="4006" w:type="dxa"/>
          </w:tcPr>
          <w:p w:rsidR="007711EB" w:rsidRDefault="007711EB" w:rsidP="00992664">
            <w:pPr>
              <w:pStyle w:val="libFootnote0"/>
              <w:rPr>
                <w:rtl/>
              </w:rPr>
            </w:pPr>
            <w:r>
              <w:rPr>
                <w:rtl/>
              </w:rPr>
              <w:t xml:space="preserve">(10). </w:t>
            </w:r>
            <w:r w:rsidR="008C7903">
              <w:rPr>
                <w:rtl/>
              </w:rPr>
              <w:t>في «بر</w:t>
            </w:r>
            <w:r w:rsidRPr="00020424">
              <w:rPr>
                <w:rtl/>
              </w:rPr>
              <w:t>» :</w:t>
            </w:r>
            <w:r>
              <w:rPr>
                <w:rtl/>
              </w:rPr>
              <w:t>-</w:t>
            </w:r>
            <w:r w:rsidR="008C7903">
              <w:rPr>
                <w:rtl/>
              </w:rPr>
              <w:t>«</w:t>
            </w:r>
            <w:r w:rsidRPr="00020424">
              <w:rPr>
                <w:rtl/>
              </w:rPr>
              <w:t>فتسقى سيحاً</w:t>
            </w:r>
            <w:r>
              <w:rPr>
                <w:rtl/>
              </w:rPr>
              <w:t xml:space="preserve">- </w:t>
            </w:r>
            <w:r w:rsidRPr="00020424">
              <w:rPr>
                <w:rtl/>
              </w:rPr>
              <w:t>إلى</w:t>
            </w:r>
            <w:r>
              <w:rPr>
                <w:rtl/>
              </w:rPr>
              <w:t xml:space="preserve">- </w:t>
            </w:r>
            <w:r w:rsidRPr="00020424">
              <w:rPr>
                <w:rtl/>
              </w:rPr>
              <w:t>ثمّ يزيد الماء</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السقية والسقيتين سيحاً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أربعين » بدون « أو</w:t>
      </w:r>
      <w:r w:rsidR="00992664">
        <w:rPr>
          <w:rtl/>
        </w:rPr>
        <w:t xml:space="preserve"> ».</w:t>
      </w:r>
      <w:r w:rsidR="00992664" w:rsidRPr="00020424">
        <w:rPr>
          <w:rtl/>
        </w:rPr>
        <w:t xml:space="preserve"> وفي « بس » : « وأربعين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وقد مكثت</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وقد مكث</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جن » : + « أو</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12008A">
        <w:rPr>
          <w:rStyle w:val="libFootnoteBoldChar"/>
          <w:rtl/>
        </w:rPr>
        <w:t>التهذيب</w:t>
      </w:r>
      <w:r w:rsidR="00992664" w:rsidRPr="00020424">
        <w:rPr>
          <w:rtl/>
        </w:rPr>
        <w:t xml:space="preserve"> ، ج 4 ، ص 16 ، ح 41 ؛ </w:t>
      </w:r>
      <w:r w:rsidR="00992664" w:rsidRPr="00FD6221">
        <w:rPr>
          <w:rStyle w:val="libFootnoteBoldChar"/>
          <w:rtl/>
        </w:rPr>
        <w:t>والاستبصار</w:t>
      </w:r>
      <w:r w:rsidR="00992664" w:rsidRPr="00020424">
        <w:rPr>
          <w:rtl/>
        </w:rPr>
        <w:t xml:space="preserve"> ، ج 2 ، ص 15 ، ح 44 ، بسندهما عن ابن أبي عمير </w:t>
      </w:r>
      <w:r w:rsidR="003175FC">
        <w:rPr>
          <w:rFonts w:hint="cs"/>
          <w:rtl/>
        </w:rPr>
        <w:t>.</w:t>
      </w:r>
      <w:r w:rsidR="00992664" w:rsidRPr="0012008A">
        <w:rPr>
          <w:rStyle w:val="libFootnoteBoldChar"/>
          <w:rtl/>
        </w:rPr>
        <w:t>الوافي</w:t>
      </w:r>
      <w:r w:rsidR="00992664" w:rsidRPr="00020424">
        <w:rPr>
          <w:rtl/>
        </w:rPr>
        <w:t xml:space="preserve"> ، ج 10 ، ص 84 ، ح 9205 ؛ </w:t>
      </w:r>
      <w:r w:rsidR="00992664" w:rsidRPr="0012008A">
        <w:rPr>
          <w:rStyle w:val="libFootnoteBoldChar"/>
          <w:rtl/>
        </w:rPr>
        <w:t>الوسائل</w:t>
      </w:r>
      <w:r w:rsidR="00992664" w:rsidRPr="00020424">
        <w:rPr>
          <w:rtl/>
        </w:rPr>
        <w:t xml:space="preserve"> ، ج 9 ، ص 187 ، ذيل ح 11802.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950CB">
        <w:rPr>
          <w:rtl/>
        </w:rPr>
        <w:lastRenderedPageBreak/>
        <w:t>5787</w:t>
      </w:r>
      <w:r w:rsidRPr="001155DE">
        <w:rPr>
          <w:rStyle w:val="libBold2Char"/>
          <w:rtl/>
        </w:rPr>
        <w:t xml:space="preserve"> / 7.</w:t>
      </w:r>
      <w:r w:rsidRPr="00020424">
        <w:rPr>
          <w:rtl/>
          <w:lang w:bidi="fa-IR"/>
        </w:rPr>
        <w:t xml:space="preserve"> عَلِيُّ بْنُ إِبْرَاهِيمَ </w:t>
      </w:r>
      <w:r w:rsidRPr="00A91B96">
        <w:rPr>
          <w:rStyle w:val="libFootnotenumChar"/>
          <w:rtl/>
        </w:rPr>
        <w:t>(1)</w:t>
      </w:r>
      <w:r w:rsidRPr="00020424">
        <w:rPr>
          <w:rtl/>
          <w:lang w:bidi="fa-IR"/>
        </w:rPr>
        <w:t xml:space="preserve"> ، عَنْ أَبِيهِ ، عَنْ حَمَّادِ بْنِ عِيسى </w:t>
      </w:r>
      <w:r w:rsidRPr="00A91B96">
        <w:rPr>
          <w:rStyle w:val="libFootnotenumChar"/>
          <w:rtl/>
        </w:rPr>
        <w:t>(2)</w:t>
      </w:r>
      <w:r w:rsidRPr="00020424">
        <w:rPr>
          <w:rtl/>
          <w:lang w:bidi="fa-IR"/>
        </w:rPr>
        <w:t xml:space="preserve"> ، عَنْ حَرِيزٍ ، عَنْ مُحَمَّدِ بْنِ مُسْلِمٍ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التَّمْرِ وَالزَّبِيبِ : مَا أَقَلُّ مَا تَجِبُ </w:t>
      </w:r>
      <w:r w:rsidRPr="00A91B96">
        <w:rPr>
          <w:rStyle w:val="libFootnotenumChar"/>
          <w:rtl/>
        </w:rPr>
        <w:t>(3)</w:t>
      </w:r>
      <w:r w:rsidRPr="00020424">
        <w:rPr>
          <w:rtl/>
          <w:lang w:bidi="fa-IR"/>
        </w:rPr>
        <w:t xml:space="preserve"> فِيهِ الزَّكَاةُ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خَمْسَةُ أَوْسَاقٍ </w:t>
      </w:r>
      <w:r w:rsidRPr="00A91B96">
        <w:rPr>
          <w:rStyle w:val="libFootnotenumChar"/>
          <w:rtl/>
        </w:rPr>
        <w:t>(5)</w:t>
      </w:r>
      <w:r w:rsidRPr="00020424">
        <w:rPr>
          <w:rtl/>
          <w:lang w:bidi="fa-IR"/>
        </w:rPr>
        <w:t xml:space="preserve"> ، وَيُتْرَكُ </w:t>
      </w:r>
      <w:r w:rsidRPr="00A91B96">
        <w:rPr>
          <w:rStyle w:val="libFootnotenumChar"/>
          <w:rtl/>
        </w:rPr>
        <w:t>(6)</w:t>
      </w:r>
      <w:r w:rsidRPr="00020424">
        <w:rPr>
          <w:rtl/>
          <w:lang w:bidi="fa-IR"/>
        </w:rPr>
        <w:t xml:space="preserve"> مِعى فَأْرَةٍ </w:t>
      </w:r>
      <w:r w:rsidRPr="00A91B96">
        <w:rPr>
          <w:rStyle w:val="libFootnotenumChar"/>
          <w:rtl/>
        </w:rPr>
        <w:t>(7)</w:t>
      </w:r>
      <w:r w:rsidRPr="00020424">
        <w:rPr>
          <w:rtl/>
          <w:lang w:bidi="fa-IR"/>
        </w:rPr>
        <w:t xml:space="preserve"> وَأُمُّ جُعْرُورٍ </w:t>
      </w:r>
      <w:r w:rsidRPr="00A91B96">
        <w:rPr>
          <w:rStyle w:val="libFootnotenumChar"/>
          <w:rtl/>
        </w:rPr>
        <w:t>(8)</w:t>
      </w:r>
      <w:r w:rsidRPr="00020424">
        <w:rPr>
          <w:rtl/>
          <w:lang w:bidi="fa-IR"/>
        </w:rPr>
        <w:t xml:space="preserve"> لَايُزَكَّيَانِ وَإِنْ كَثُرَا ، وَيُتْرَكُ لِلْحَارِسِ </w:t>
      </w:r>
      <w:r w:rsidRPr="00A91B96">
        <w:rPr>
          <w:rStyle w:val="libFootnotenumChar"/>
          <w:rtl/>
        </w:rPr>
        <w:t>(9)</w:t>
      </w:r>
      <w:r w:rsidRPr="00020424">
        <w:rPr>
          <w:rtl/>
          <w:lang w:bidi="fa-IR"/>
        </w:rPr>
        <w:t xml:space="preserve"> الْعَذْقُ </w:t>
      </w:r>
      <w:r w:rsidRPr="00A91B96">
        <w:rPr>
          <w:rStyle w:val="libFootnotenumChar"/>
          <w:rtl/>
        </w:rPr>
        <w:t>(10)</w:t>
      </w:r>
      <w:r w:rsidRPr="00020424">
        <w:rPr>
          <w:rtl/>
          <w:lang w:bidi="fa-IR"/>
        </w:rPr>
        <w:t xml:space="preserve"> وَالْعَذْقَانِ ، وَالْحَارِسُ </w:t>
      </w:r>
      <w:r w:rsidRPr="00A91B96">
        <w:rPr>
          <w:rStyle w:val="libFootnotenumChar"/>
          <w:rtl/>
        </w:rPr>
        <w:t>(11)</w:t>
      </w:r>
      <w:r w:rsidRPr="00020424">
        <w:rPr>
          <w:rtl/>
          <w:lang w:bidi="fa-IR"/>
        </w:rPr>
        <w:t xml:space="preserve"> يَكُونُ فِي النَّخْلِ يَنْظُرُهُ ، فَيُتْرَكُ ذلِكَ لِعِيَالِهِ</w:t>
      </w:r>
      <w:r>
        <w:rPr>
          <w:rtl/>
          <w:lang w:bidi="fa-IR"/>
        </w:rPr>
        <w:t>».</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بر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بح ، بف ، جن » : « ما يجب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175FC" w:rsidTr="003175FC">
        <w:tc>
          <w:tcPr>
            <w:tcW w:w="4006" w:type="dxa"/>
          </w:tcPr>
          <w:p w:rsidR="003175FC" w:rsidRDefault="003175FC" w:rsidP="00992664">
            <w:pPr>
              <w:pStyle w:val="libFootnote0"/>
              <w:rPr>
                <w:rtl/>
              </w:rPr>
            </w:pPr>
            <w:r>
              <w:rPr>
                <w:rtl/>
              </w:rPr>
              <w:t xml:space="preserve">(5). </w:t>
            </w:r>
            <w:r w:rsidRPr="00020424">
              <w:rPr>
                <w:rtl/>
              </w:rPr>
              <w:t>في « بح » وحاشية « بث » : « أوسق</w:t>
            </w:r>
            <w:r>
              <w:rPr>
                <w:rtl/>
              </w:rPr>
              <w:t xml:space="preserve"> ».</w:t>
            </w:r>
          </w:p>
        </w:tc>
        <w:tc>
          <w:tcPr>
            <w:tcW w:w="4006" w:type="dxa"/>
          </w:tcPr>
          <w:p w:rsidR="003175FC" w:rsidRDefault="003175FC" w:rsidP="00992664">
            <w:pPr>
              <w:pStyle w:val="libFootnote0"/>
              <w:rPr>
                <w:rtl/>
              </w:rPr>
            </w:pPr>
            <w:r>
              <w:rPr>
                <w:rtl/>
              </w:rPr>
              <w:t xml:space="preserve">(6). </w:t>
            </w:r>
            <w:r w:rsidRPr="00020424">
              <w:rPr>
                <w:rtl/>
              </w:rPr>
              <w:t>في « بث ، بخ » : « وتترك</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مِعَى الفَأْرَةِ : ضرب من ردي‌ء تمر الحجاز. </w:t>
      </w:r>
      <w:r w:rsidR="00992664" w:rsidRPr="00A722B1">
        <w:rPr>
          <w:rStyle w:val="libFootnoteBoldChar"/>
          <w:rtl/>
        </w:rPr>
        <w:t>لسان العرب</w:t>
      </w:r>
      <w:r w:rsidR="00992664" w:rsidRPr="00020424">
        <w:rPr>
          <w:rtl/>
        </w:rPr>
        <w:t xml:space="preserve"> ، ج 15 ، ص 288 ( معى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ا</w:t>
      </w:r>
      <w:r w:rsidR="00105359">
        <w:rPr>
          <w:rFonts w:hint="cs"/>
          <w:rtl/>
        </w:rPr>
        <w:t>ُ</w:t>
      </w:r>
      <w:r w:rsidR="00992664" w:rsidRPr="00020424">
        <w:rPr>
          <w:rtl/>
        </w:rPr>
        <w:t>مّ جعرون</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 </w:t>
      </w:r>
      <w:r w:rsidR="00992664">
        <w:rPr>
          <w:rtl/>
        </w:rPr>
        <w:t>و ».</w:t>
      </w:r>
      <w:r w:rsidR="00992664" w:rsidRPr="00020424">
        <w:rPr>
          <w:rtl/>
        </w:rPr>
        <w:t xml:space="preserve"> وفي اللغة بدون لفظة « أُمّ » ، قال الجوهري : « الجعرور : ضرب من الدَّقَل ، وهو أردأ التمر » وقال ابن الأثير : « الجعرور : ضرب من الدَّقَل يحمل رطباً صغاراً لا خير فيه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615 ؛ </w:t>
      </w:r>
      <w:r w:rsidR="00992664" w:rsidRPr="0012008A">
        <w:rPr>
          <w:rStyle w:val="libFootnoteBoldChar"/>
          <w:rtl/>
        </w:rPr>
        <w:t>النهاية</w:t>
      </w:r>
      <w:r w:rsidR="00992664" w:rsidRPr="00020424">
        <w:rPr>
          <w:rtl/>
        </w:rPr>
        <w:t xml:space="preserve"> ، ج 1 ، ص 276 ( جعر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بر » : « للخارص</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العَذْق » : النخلة بحملها. </w:t>
      </w:r>
      <w:r w:rsidR="00992664" w:rsidRPr="0012008A">
        <w:rPr>
          <w:rStyle w:val="libFootnoteBoldChar"/>
          <w:rtl/>
        </w:rPr>
        <w:t>الصحاح</w:t>
      </w:r>
      <w:r w:rsidR="00992664" w:rsidRPr="00020424">
        <w:rPr>
          <w:rtl/>
        </w:rPr>
        <w:t xml:space="preserve"> ، ج 4 ، ص 1522 ( عذق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من</w:t>
      </w:r>
      <w:r w:rsidR="00992664">
        <w:rPr>
          <w:rtl/>
        </w:rPr>
        <w:t xml:space="preserve"> ».</w:t>
      </w:r>
      <w:r w:rsidR="00105359">
        <w:rPr>
          <w:rtl/>
        </w:rPr>
        <w:t xml:space="preserve"> والظاهر أنّ العل</w:t>
      </w:r>
      <w:r w:rsidR="00105359">
        <w:rPr>
          <w:rFonts w:hint="cs"/>
          <w:rtl/>
        </w:rPr>
        <w:t>ّ</w:t>
      </w:r>
      <w:r w:rsidR="00105359">
        <w:rPr>
          <w:rtl/>
        </w:rPr>
        <w:t>ا</w:t>
      </w:r>
      <w:r w:rsidR="00992664" w:rsidRPr="00020424">
        <w:rPr>
          <w:rtl/>
        </w:rPr>
        <w:t xml:space="preserve">مة المجلسي قرأ في الموضعين : الناطر ، حيث قال في </w:t>
      </w:r>
      <w:r w:rsidR="00992664" w:rsidRPr="00C950CB">
        <w:rPr>
          <w:rtl/>
        </w:rPr>
        <w:t>مرآة العقول</w:t>
      </w:r>
      <w:r w:rsidR="00992664" w:rsidRPr="00020424">
        <w:rPr>
          <w:rtl/>
        </w:rPr>
        <w:t xml:space="preserve"> : « وقال</w:t>
      </w:r>
      <w:r w:rsidR="00992664">
        <w:rPr>
          <w:rtl/>
        </w:rPr>
        <w:t xml:space="preserve"> </w:t>
      </w:r>
      <w:r w:rsidR="009B673F">
        <w:rPr>
          <w:rtl/>
        </w:rPr>
        <w:t>-</w:t>
      </w:r>
      <w:r w:rsidR="00992664">
        <w:rPr>
          <w:rtl/>
        </w:rPr>
        <w:t xml:space="preserve"> </w:t>
      </w:r>
      <w:r w:rsidR="00992664" w:rsidRPr="00020424">
        <w:rPr>
          <w:rtl/>
        </w:rPr>
        <w:t xml:space="preserve">أي في </w:t>
      </w:r>
      <w:r w:rsidR="00992664" w:rsidRPr="00C950CB">
        <w:rPr>
          <w:rtl/>
        </w:rPr>
        <w:t>القاموس</w:t>
      </w:r>
      <w:r w:rsidR="00992664">
        <w:rPr>
          <w:rtl/>
        </w:rPr>
        <w:t xml:space="preserve"> </w:t>
      </w:r>
      <w:r w:rsidR="009B673F">
        <w:rPr>
          <w:rtl/>
        </w:rPr>
        <w:t>-</w:t>
      </w:r>
      <w:r w:rsidR="00992664">
        <w:rPr>
          <w:rtl/>
        </w:rPr>
        <w:t xml:space="preserve"> </w:t>
      </w:r>
      <w:r w:rsidR="00992664" w:rsidRPr="00020424">
        <w:rPr>
          <w:rtl/>
        </w:rPr>
        <w:t>الناطر والناطور : حافظ الكرم والنخل</w:t>
      </w:r>
      <w:r w:rsidR="00992664">
        <w:rPr>
          <w:rtl/>
        </w:rPr>
        <w:t xml:space="preserve"> ».</w:t>
      </w:r>
      <w:r w:rsidR="00992664" w:rsidRPr="00020424">
        <w:rPr>
          <w:rtl/>
        </w:rPr>
        <w:t xml:space="preserve"> وراجع أيضاً : </w:t>
      </w:r>
      <w:r w:rsidR="00992664" w:rsidRPr="00A722B1">
        <w:rPr>
          <w:rStyle w:val="libFootnoteBoldChar"/>
          <w:rtl/>
        </w:rPr>
        <w:t>القاموس المحيط</w:t>
      </w:r>
      <w:r w:rsidR="00992664" w:rsidRPr="00020424">
        <w:rPr>
          <w:rtl/>
        </w:rPr>
        <w:t xml:space="preserve"> ، ج 1 ، ص 67 ( نطر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18 ، ح 47 ، معلّقاً عن الكليني. </w:t>
      </w:r>
      <w:r w:rsidR="00992664" w:rsidRPr="00A5553D">
        <w:rPr>
          <w:rStyle w:val="libFootnoteBoldChar"/>
          <w:rtl/>
        </w:rPr>
        <w:t xml:space="preserve">الكافي </w:t>
      </w:r>
      <w:r w:rsidR="00992664" w:rsidRPr="00020424">
        <w:rPr>
          <w:rtl/>
        </w:rPr>
        <w:t xml:space="preserve">، كتاب الزكاة ، باب الحصاد والجداد ، ذيل ح 5985 ، عن عليّ بن إبراهيم ، عن أبيه ، عن حمّاد بن عيسى ، عن حريز ، عن زرارة ومحمّد بن مسلم وأبي بصير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4 ، ص 106 ، ذيل ح 303 ، معلّقاً عن الكليني في </w:t>
      </w:r>
      <w:r w:rsidR="00992664" w:rsidRPr="00C950CB">
        <w:rPr>
          <w:rtl/>
        </w:rPr>
        <w:t>الكافي</w:t>
      </w:r>
      <w:r w:rsidR="00992664" w:rsidRPr="00020424">
        <w:rPr>
          <w:rtl/>
        </w:rPr>
        <w:t xml:space="preserve"> ، ح 5985. </w:t>
      </w:r>
      <w:r w:rsidR="00992664" w:rsidRPr="00A5553D">
        <w:rPr>
          <w:rStyle w:val="libFootnoteBoldChar"/>
          <w:rtl/>
        </w:rPr>
        <w:t>تفسير العيّاشي</w:t>
      </w:r>
      <w:r w:rsidR="00992664" w:rsidRPr="00020424">
        <w:rPr>
          <w:rtl/>
        </w:rPr>
        <w:t xml:space="preserve"> ، ج 1 ، ص 378 ، ذيل ح 104 ، عن زرارة ومحمّد بن مسلم وأبي بصير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46 ، من دون الإسناد إلى المعصوم </w:t>
      </w:r>
      <w:r w:rsidR="00992664" w:rsidRPr="00D64ADA">
        <w:rPr>
          <w:rStyle w:val="libFootnoteAlaemChar"/>
          <w:rtl/>
        </w:rPr>
        <w:t>عليه‌السلام</w:t>
      </w:r>
      <w:r w:rsidR="00992664" w:rsidRPr="00020424">
        <w:rPr>
          <w:rtl/>
        </w:rPr>
        <w:t xml:space="preserve"> ، وفي الأربعة الأخيرة من قوله : « ويترك معى فأرة » إلى قوله : « العذق والعذقان » مع اختلاف يسير </w:t>
      </w:r>
      <w:r w:rsidR="00A5553D">
        <w:rPr>
          <w:rFonts w:hint="cs"/>
          <w:rtl/>
        </w:rPr>
        <w:t>.</w:t>
      </w:r>
      <w:r w:rsidR="00992664" w:rsidRPr="0012008A">
        <w:rPr>
          <w:rStyle w:val="libFootnoteBoldChar"/>
          <w:rtl/>
        </w:rPr>
        <w:t>الوافي</w:t>
      </w:r>
      <w:r w:rsidR="00992664" w:rsidRPr="00020424">
        <w:rPr>
          <w:rtl/>
        </w:rPr>
        <w:t xml:space="preserve"> ، ج 10 ، ص 79 ، ح 9195 ؛ </w:t>
      </w:r>
      <w:r w:rsidR="00992664" w:rsidRPr="0012008A">
        <w:rPr>
          <w:rStyle w:val="libFootnoteBoldChar"/>
          <w:rtl/>
        </w:rPr>
        <w:t>الوسائل</w:t>
      </w:r>
      <w:r w:rsidR="00992664" w:rsidRPr="00020424">
        <w:rPr>
          <w:rtl/>
        </w:rPr>
        <w:t xml:space="preserve"> ، ج 9 ، ص 176 ، ح 11774 ؛ </w:t>
      </w:r>
      <w:r w:rsidR="00992664" w:rsidRPr="00C950CB">
        <w:rPr>
          <w:rtl/>
        </w:rPr>
        <w:t>وفيه</w:t>
      </w:r>
      <w:r w:rsidR="00992664" w:rsidRPr="00020424">
        <w:rPr>
          <w:rtl/>
        </w:rPr>
        <w:t xml:space="preserve"> ، ص 191 ، ح 11810 ، من قوله : « ويترك للحارس</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4" w:name="_Toc345172727"/>
      <w:bookmarkStart w:id="35" w:name="_Toc464562545"/>
      <w:bookmarkStart w:id="36" w:name="_Toc44599847"/>
      <w:r w:rsidRPr="00020424">
        <w:rPr>
          <w:rtl/>
          <w:lang w:bidi="fa-IR"/>
        </w:rPr>
        <w:lastRenderedPageBreak/>
        <w:t>8</w:t>
      </w:r>
      <w:r>
        <w:rPr>
          <w:rtl/>
          <w:lang w:bidi="fa-IR"/>
        </w:rPr>
        <w:t xml:space="preserve"> </w:t>
      </w:r>
      <w:r w:rsidR="009B673F">
        <w:rPr>
          <w:rtl/>
          <w:lang w:bidi="fa-IR"/>
        </w:rPr>
        <w:t>-</w:t>
      </w:r>
      <w:r>
        <w:rPr>
          <w:rtl/>
          <w:lang w:bidi="fa-IR"/>
        </w:rPr>
        <w:t xml:space="preserve"> </w:t>
      </w:r>
      <w:r w:rsidRPr="00020424">
        <w:rPr>
          <w:rtl/>
          <w:lang w:bidi="fa-IR"/>
        </w:rPr>
        <w:t xml:space="preserve">بَابُ أَنَّ الصَّدَقَةَ </w:t>
      </w:r>
      <w:r w:rsidRPr="00A91B96">
        <w:rPr>
          <w:rStyle w:val="libFootnotenumChar"/>
          <w:rtl/>
        </w:rPr>
        <w:t>(1)</w:t>
      </w:r>
      <w:r>
        <w:rPr>
          <w:rtl/>
        </w:rPr>
        <w:t xml:space="preserve"> </w:t>
      </w:r>
      <w:r w:rsidRPr="00020424">
        <w:rPr>
          <w:rtl/>
          <w:lang w:bidi="fa-IR"/>
        </w:rPr>
        <w:t xml:space="preserve">فِي </w:t>
      </w:r>
      <w:r w:rsidRPr="00A91B96">
        <w:rPr>
          <w:rStyle w:val="libFootnotenumChar"/>
          <w:rtl/>
        </w:rPr>
        <w:t>(2)</w:t>
      </w:r>
      <w:r>
        <w:rPr>
          <w:rtl/>
        </w:rPr>
        <w:t xml:space="preserve"> </w:t>
      </w:r>
      <w:r w:rsidRPr="00020424">
        <w:rPr>
          <w:rtl/>
          <w:lang w:bidi="fa-IR"/>
        </w:rPr>
        <w:t xml:space="preserve">التَّمْرِ </w:t>
      </w:r>
      <w:r w:rsidRPr="00A91B96">
        <w:rPr>
          <w:rStyle w:val="libFootnotenumChar"/>
          <w:rtl/>
        </w:rPr>
        <w:t>(3)</w:t>
      </w:r>
      <w:r>
        <w:rPr>
          <w:rtl/>
          <w:lang w:bidi="fa-IR"/>
        </w:rPr>
        <w:t xml:space="preserve"> </w:t>
      </w:r>
      <w:r w:rsidRPr="00020424">
        <w:rPr>
          <w:rtl/>
          <w:lang w:bidi="fa-IR"/>
        </w:rPr>
        <w:t>مَرَّةٌ وَاحِدَةٌ‌</w:t>
      </w:r>
      <w:bookmarkEnd w:id="34"/>
      <w:bookmarkEnd w:id="35"/>
      <w:bookmarkEnd w:id="36"/>
    </w:p>
    <w:p w:rsidR="00992664" w:rsidRPr="00020424" w:rsidRDefault="00992664" w:rsidP="00992664">
      <w:pPr>
        <w:pStyle w:val="libNormal"/>
        <w:rPr>
          <w:rtl/>
          <w:lang w:bidi="fa-IR"/>
        </w:rPr>
      </w:pPr>
      <w:r w:rsidRPr="00C950CB">
        <w:rPr>
          <w:rtl/>
        </w:rPr>
        <w:t>5788</w:t>
      </w:r>
      <w:r w:rsidRPr="001155DE">
        <w:rPr>
          <w:rStyle w:val="libBold2Char"/>
          <w:rtl/>
        </w:rPr>
        <w:t xml:space="preserve"> / 1.</w:t>
      </w:r>
      <w:r w:rsidRPr="00020424">
        <w:rPr>
          <w:rtl/>
          <w:lang w:bidi="fa-IR"/>
        </w:rPr>
        <w:t xml:space="preserve"> عَلِيُّ بْنُ إِبْرَاهِيمَ </w:t>
      </w:r>
      <w:r w:rsidRPr="00A91B96">
        <w:rPr>
          <w:rStyle w:val="libFootnotenumChar"/>
          <w:rtl/>
        </w:rPr>
        <w:t>(4)</w:t>
      </w:r>
      <w:r w:rsidRPr="00020424">
        <w:rPr>
          <w:rtl/>
          <w:lang w:bidi="fa-IR"/>
        </w:rPr>
        <w:t xml:space="preserve"> ، عَنْ أَبِيهِ ، عَنْ حَمَّادِ بْنِ عِيسى </w:t>
      </w:r>
      <w:r w:rsidRPr="00A91B96">
        <w:rPr>
          <w:rStyle w:val="libFootnotenumChar"/>
          <w:rtl/>
        </w:rPr>
        <w:t>(5)</w:t>
      </w:r>
      <w:r w:rsidRPr="00020424">
        <w:rPr>
          <w:rtl/>
          <w:lang w:bidi="fa-IR"/>
        </w:rPr>
        <w:t xml:space="preserve"> ، عَنْ حَرِيزٍ ، عَنْ زُرَارَةَ وَعُبَيْدِ بْنِ زُرَارَةَ :</w:t>
      </w:r>
    </w:p>
    <w:p w:rsidR="00992664" w:rsidRPr="00020424" w:rsidRDefault="00992664" w:rsidP="005A2F0D">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أَيُّمَا رَجُلٍ كَانَ لَهُ حَرْثٌ أَوْ تَمْرَةٌ </w:t>
      </w:r>
      <w:r w:rsidRPr="00A91B96">
        <w:rPr>
          <w:rStyle w:val="libFootnotenumChar"/>
          <w:rtl/>
        </w:rPr>
        <w:t>(6)</w:t>
      </w:r>
      <w:r w:rsidRPr="00020424">
        <w:rPr>
          <w:rtl/>
          <w:lang w:bidi="fa-IR"/>
        </w:rPr>
        <w:t xml:space="preserve"> فَصَدَّقَهَا ، فَلَيْسَ عَلَيْهِ فِيهِ شَيْ‌ءٌ وَإِنْ </w:t>
      </w:r>
      <w:r w:rsidRPr="00A91B96">
        <w:rPr>
          <w:rStyle w:val="libFootnotenumChar"/>
          <w:rtl/>
        </w:rPr>
        <w:t>(7)</w:t>
      </w:r>
      <w:r w:rsidRPr="00020424">
        <w:rPr>
          <w:rtl/>
          <w:lang w:bidi="fa-IR"/>
        </w:rPr>
        <w:t xml:space="preserve"> حَالَ عَلَيْهِ </w:t>
      </w:r>
      <w:r w:rsidRPr="00A91B96">
        <w:rPr>
          <w:rStyle w:val="libFootnotenumChar"/>
          <w:rtl/>
        </w:rPr>
        <w:t>(8)</w:t>
      </w:r>
      <w:r w:rsidR="00A5553D">
        <w:rPr>
          <w:rtl/>
          <w:lang w:bidi="fa-IR"/>
        </w:rPr>
        <w:t xml:space="preserve"> الْحَوْلُ عِنْدَهُ ، إِل</w:t>
      </w:r>
      <w:r w:rsidR="00A5553D">
        <w:rPr>
          <w:rFonts w:hint="cs"/>
          <w:rtl/>
          <w:lang w:bidi="fa-IR"/>
        </w:rPr>
        <w:t>َّ</w:t>
      </w:r>
      <w:r w:rsidR="00A5553D">
        <w:rPr>
          <w:rtl/>
          <w:lang w:bidi="fa-IR"/>
        </w:rPr>
        <w:t>ا</w:t>
      </w:r>
      <w:r w:rsidRPr="00020424">
        <w:rPr>
          <w:rtl/>
          <w:lang w:bidi="fa-IR"/>
        </w:rPr>
        <w:t xml:space="preserve"> أَنْ يُحَوِّلَهُ </w:t>
      </w:r>
      <w:r w:rsidRPr="00A91B96">
        <w:rPr>
          <w:rStyle w:val="libFootnotenumChar"/>
          <w:rtl/>
        </w:rPr>
        <w:t>(9)</w:t>
      </w:r>
      <w:r w:rsidRPr="00020424">
        <w:rPr>
          <w:rtl/>
          <w:lang w:bidi="fa-IR"/>
        </w:rPr>
        <w:t xml:space="preserve"> مَالاً ، فَإِنْ فَعَلَ ذلِكَ </w:t>
      </w:r>
      <w:r w:rsidRPr="00A91B96">
        <w:rPr>
          <w:rStyle w:val="libFootnotenumChar"/>
          <w:rtl/>
        </w:rPr>
        <w:t>(10)</w:t>
      </w:r>
      <w:r w:rsidRPr="00020424">
        <w:rPr>
          <w:rtl/>
          <w:lang w:bidi="fa-IR"/>
        </w:rPr>
        <w:t xml:space="preserve"> ، فَحَالَ عَلَيْهِ الْحَوْلُ عِنْدَهُ ، فَعَلَيْهِ أَنْ يُزَكِّيَهُ ، وَإِ</w:t>
      </w:r>
      <w:r w:rsidR="005A2F0D">
        <w:rPr>
          <w:rtl/>
          <w:lang w:bidi="fa-IR"/>
        </w:rPr>
        <w:t>ل</w:t>
      </w:r>
      <w:r w:rsidR="005A2F0D">
        <w:rPr>
          <w:rFonts w:hint="cs"/>
          <w:rtl/>
          <w:lang w:bidi="fa-IR"/>
        </w:rPr>
        <w:t>َّ</w:t>
      </w:r>
      <w:r w:rsidR="005A2F0D">
        <w:rPr>
          <w:rtl/>
          <w:lang w:bidi="fa-IR"/>
        </w:rPr>
        <w:t>ا</w:t>
      </w:r>
      <w:r w:rsidRPr="00020424">
        <w:rPr>
          <w:rtl/>
          <w:lang w:bidi="fa-IR"/>
        </w:rPr>
        <w:t xml:space="preserve"> فَلَا شَيْ‌ءَ عَلَيْهِ ، وَإِنْ </w:t>
      </w:r>
      <w:r w:rsidRPr="00A91B96">
        <w:rPr>
          <w:rStyle w:val="libFootnotenumChar"/>
          <w:rtl/>
        </w:rPr>
        <w:t>(11)</w:t>
      </w:r>
      <w:r w:rsidRPr="00020424">
        <w:rPr>
          <w:rtl/>
          <w:lang w:bidi="fa-IR"/>
        </w:rPr>
        <w:t xml:space="preserve"> ثَبَتَ ذلِكَ </w:t>
      </w:r>
      <w:r w:rsidRPr="00A91B96">
        <w:rPr>
          <w:rStyle w:val="libFootnotenumChar"/>
          <w:rtl/>
        </w:rPr>
        <w:t>(12)</w:t>
      </w:r>
      <w:r w:rsidRPr="00020424">
        <w:rPr>
          <w:rtl/>
          <w:lang w:bidi="fa-IR"/>
        </w:rPr>
        <w:t xml:space="preserve"> أَلْفَ عَامٍ</w:t>
      </w:r>
      <w:r>
        <w:rPr>
          <w:rtl/>
          <w:lang w:bidi="fa-IR"/>
        </w:rPr>
        <w:t xml:space="preserve"> </w:t>
      </w:r>
      <w:r w:rsidR="009B673F">
        <w:rPr>
          <w:rtl/>
          <w:lang w:bidi="fa-IR"/>
        </w:rPr>
        <w:t>-</w:t>
      </w:r>
      <w:r>
        <w:rPr>
          <w:rtl/>
          <w:lang w:bidi="fa-IR"/>
        </w:rPr>
        <w:t xml:space="preserve"> </w:t>
      </w:r>
      <w:r w:rsidRPr="00020424">
        <w:rPr>
          <w:rtl/>
          <w:lang w:bidi="fa-IR"/>
        </w:rPr>
        <w:t xml:space="preserve">إِذَا كَانَ بِعَيْنِهِ </w:t>
      </w:r>
      <w:r w:rsidRPr="00A91B96">
        <w:rPr>
          <w:rStyle w:val="libFootnotenumChar"/>
          <w:rtl/>
        </w:rPr>
        <w:t>(13)</w:t>
      </w:r>
      <w:r>
        <w:rPr>
          <w:rtl/>
          <w:lang w:bidi="fa-IR"/>
        </w:rPr>
        <w:t xml:space="preserve"> </w:t>
      </w:r>
      <w:r w:rsidR="009B673F">
        <w:rPr>
          <w:rtl/>
          <w:lang w:bidi="fa-IR"/>
        </w:rPr>
        <w:t>-</w:t>
      </w:r>
      <w:r>
        <w:rPr>
          <w:rtl/>
          <w:lang w:bidi="fa-IR"/>
        </w:rPr>
        <w:t xml:space="preserve"> </w:t>
      </w:r>
      <w:r w:rsidRPr="00020424">
        <w:rPr>
          <w:rtl/>
          <w:lang w:bidi="fa-IR"/>
        </w:rPr>
        <w:t xml:space="preserve">فَإِنَّمَا </w:t>
      </w:r>
      <w:r w:rsidRPr="00A91B96">
        <w:rPr>
          <w:rStyle w:val="libFootnotenumChar"/>
          <w:rtl/>
        </w:rPr>
        <w:t>(14)</w:t>
      </w:r>
      <w:r w:rsidRPr="00020424">
        <w:rPr>
          <w:rtl/>
          <w:lang w:bidi="fa-IR"/>
        </w:rPr>
        <w:t xml:space="preserve"> عَلَيْهِ فِيهِ </w:t>
      </w:r>
      <w:r w:rsidRPr="00A91B96">
        <w:rPr>
          <w:rStyle w:val="libFootnotenumChar"/>
          <w:rtl/>
        </w:rPr>
        <w:t>(15)</w:t>
      </w:r>
      <w:r w:rsidRPr="00020424">
        <w:rPr>
          <w:rtl/>
          <w:lang w:bidi="fa-IR"/>
        </w:rPr>
        <w:t xml:space="preserve"> صَدَقَةُ الْعُشْرِ ، فَإِذَا أَدَّاهَا مَرَّةً وَاحِدَةً ، فَلَا شَيْ‌ءَ عَلَيْهِ فِيهَا حَتّى يُحَوِّلَهُ </w:t>
      </w:r>
      <w:r w:rsidRPr="00A91B96">
        <w:rPr>
          <w:rStyle w:val="libFootnotenumChar"/>
          <w:rtl/>
        </w:rPr>
        <w:t>(16)</w:t>
      </w:r>
      <w:r w:rsidRPr="00020424">
        <w:rPr>
          <w:rtl/>
          <w:lang w:bidi="fa-IR"/>
        </w:rPr>
        <w:t xml:space="preserve"> مَالاً </w:t>
      </w:r>
      <w:r w:rsidRPr="00A91B96">
        <w:rPr>
          <w:rStyle w:val="libFootnotenumChar"/>
          <w:rtl/>
        </w:rPr>
        <w:t>(17)</w:t>
      </w:r>
      <w:r w:rsidRPr="00020424">
        <w:rPr>
          <w:rtl/>
          <w:lang w:bidi="fa-IR"/>
        </w:rPr>
        <w:t xml:space="preserve"> ، وَيَحُولَ </w:t>
      </w:r>
      <w:r w:rsidRPr="00A91B96">
        <w:rPr>
          <w:rStyle w:val="libFootnotenumChar"/>
          <w:rtl/>
        </w:rPr>
        <w:t>(18)</w:t>
      </w:r>
      <w:r w:rsidRPr="00020424">
        <w:rPr>
          <w:rtl/>
          <w:lang w:bidi="fa-IR"/>
        </w:rPr>
        <w:t xml:space="preserve"> عَلَيْهِ الْحَوْلُ وَهُوَ عِنْدَهُ </w:t>
      </w:r>
      <w:r w:rsidRPr="00A91B96">
        <w:rPr>
          <w:rStyle w:val="libFootnotenumChar"/>
          <w:rtl/>
        </w:rPr>
        <w:t>(19)</w:t>
      </w:r>
      <w:r>
        <w:rPr>
          <w:rtl/>
          <w:lang w:bidi="fa-IR"/>
        </w:rPr>
        <w:t xml:space="preserve"> ».</w:t>
      </w:r>
      <w:r w:rsidRPr="00020424">
        <w:rPr>
          <w:rtl/>
          <w:lang w:bidi="fa-IR"/>
        </w:rPr>
        <w:t xml:space="preserve"> </w:t>
      </w:r>
      <w:r w:rsidRPr="00A91B96">
        <w:rPr>
          <w:rStyle w:val="libFootnotenumChar"/>
          <w:rtl/>
        </w:rPr>
        <w:t>(20)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A2F0D" w:rsidTr="005A2F0D">
        <w:tc>
          <w:tcPr>
            <w:tcW w:w="4006" w:type="dxa"/>
          </w:tcPr>
          <w:p w:rsidR="005A2F0D" w:rsidRDefault="005A2F0D" w:rsidP="00992664">
            <w:pPr>
              <w:pStyle w:val="libFootnote0"/>
              <w:rPr>
                <w:rtl/>
              </w:rPr>
            </w:pPr>
            <w:r>
              <w:rPr>
                <w:rtl/>
              </w:rPr>
              <w:t xml:space="preserve">(1). </w:t>
            </w:r>
            <w:r w:rsidRPr="00020424">
              <w:rPr>
                <w:rtl/>
              </w:rPr>
              <w:t>في « ى ، بح ، بخ ، بر » : « صدقة</w:t>
            </w:r>
            <w:r>
              <w:rPr>
                <w:rtl/>
              </w:rPr>
              <w:t xml:space="preserve"> ».</w:t>
            </w:r>
          </w:p>
        </w:tc>
        <w:tc>
          <w:tcPr>
            <w:tcW w:w="4006" w:type="dxa"/>
          </w:tcPr>
          <w:p w:rsidR="005A2F0D" w:rsidRDefault="005A2F0D" w:rsidP="00992664">
            <w:pPr>
              <w:pStyle w:val="libFootnote0"/>
              <w:rPr>
                <w:rtl/>
              </w:rPr>
            </w:pPr>
            <w:r>
              <w:rPr>
                <w:rtl/>
              </w:rPr>
              <w:t>(2). في «ظ، ى ، بث ، بح ، بخ ، بر</w:t>
            </w:r>
            <w:r w:rsidRPr="00020424">
              <w:rPr>
                <w:rtl/>
              </w:rPr>
              <w:t>» :</w:t>
            </w:r>
            <w:r>
              <w:rPr>
                <w:rtl/>
              </w:rPr>
              <w:t xml:space="preserve"> -</w:t>
            </w:r>
            <w:r w:rsidRPr="00020424">
              <w:rPr>
                <w:rtl/>
              </w:rPr>
              <w:t>« في</w:t>
            </w:r>
            <w:r>
              <w:rPr>
                <w:rtl/>
              </w:rPr>
              <w:t xml:space="preserve"> ».</w:t>
            </w:r>
          </w:p>
        </w:tc>
      </w:tr>
      <w:tr w:rsidR="005A2F0D" w:rsidTr="005A2F0D">
        <w:tc>
          <w:tcPr>
            <w:tcW w:w="4006" w:type="dxa"/>
          </w:tcPr>
          <w:p w:rsidR="005A2F0D" w:rsidRDefault="005A2F0D" w:rsidP="00992664">
            <w:pPr>
              <w:pStyle w:val="libFootnote0"/>
              <w:rPr>
                <w:rtl/>
              </w:rPr>
            </w:pPr>
            <w:r>
              <w:rPr>
                <w:rtl/>
              </w:rPr>
              <w:t xml:space="preserve">(3). </w:t>
            </w:r>
            <w:r w:rsidRPr="00020424">
              <w:rPr>
                <w:rtl/>
              </w:rPr>
              <w:t>في « ى ، بر » : « التمرة</w:t>
            </w:r>
            <w:r>
              <w:rPr>
                <w:rtl/>
              </w:rPr>
              <w:t xml:space="preserve"> ».</w:t>
            </w:r>
          </w:p>
        </w:tc>
        <w:tc>
          <w:tcPr>
            <w:tcW w:w="4006" w:type="dxa"/>
          </w:tcPr>
          <w:p w:rsidR="005A2F0D" w:rsidRDefault="005A2F0D" w:rsidP="00992664">
            <w:pPr>
              <w:pStyle w:val="libFootnote0"/>
              <w:rPr>
                <w:rtl/>
              </w:rPr>
            </w:pPr>
            <w:r>
              <w:rPr>
                <w:rtl/>
              </w:rPr>
              <w:t xml:space="preserve">(4). </w:t>
            </w:r>
            <w:r w:rsidRPr="00020424">
              <w:rPr>
                <w:rtl/>
              </w:rPr>
              <w:t>في « بف » :</w:t>
            </w:r>
            <w:r>
              <w:rPr>
                <w:rtl/>
              </w:rPr>
              <w:t xml:space="preserve"> - </w:t>
            </w:r>
            <w:r w:rsidRPr="00020424">
              <w:rPr>
                <w:rtl/>
              </w:rPr>
              <w:t>« بن إبراهيم</w:t>
            </w:r>
            <w:r>
              <w:rPr>
                <w:rtl/>
              </w:rPr>
              <w:t xml:space="preserve"> ».</w:t>
            </w:r>
          </w:p>
        </w:tc>
      </w:tr>
      <w:tr w:rsidR="005A2F0D" w:rsidTr="005A2F0D">
        <w:tc>
          <w:tcPr>
            <w:tcW w:w="4006" w:type="dxa"/>
          </w:tcPr>
          <w:p w:rsidR="005A2F0D" w:rsidRDefault="005A2F0D" w:rsidP="00992664">
            <w:pPr>
              <w:pStyle w:val="libFootnote0"/>
              <w:rPr>
                <w:rtl/>
              </w:rPr>
            </w:pPr>
            <w:r>
              <w:rPr>
                <w:rtl/>
              </w:rPr>
              <w:t>(5). في «بر</w:t>
            </w:r>
            <w:r w:rsidRPr="00020424">
              <w:rPr>
                <w:rtl/>
              </w:rPr>
              <w:t xml:space="preserve">» </w:t>
            </w:r>
            <w:r w:rsidRPr="00EB1FD9">
              <w:rPr>
                <w:rStyle w:val="libFootnoteBoldChar"/>
                <w:rtl/>
              </w:rPr>
              <w:t>والوسائل</w:t>
            </w:r>
            <w:r w:rsidRPr="00020424">
              <w:rPr>
                <w:rtl/>
              </w:rPr>
              <w:t xml:space="preserve"> </w:t>
            </w:r>
            <w:r w:rsidRPr="00515444">
              <w:rPr>
                <w:rStyle w:val="libFootnoteBoldChar"/>
                <w:rtl/>
              </w:rPr>
              <w:t>والتهذيب</w:t>
            </w:r>
            <w:r w:rsidRPr="00020424">
              <w:rPr>
                <w:rtl/>
              </w:rPr>
              <w:t xml:space="preserve"> :</w:t>
            </w:r>
            <w:r>
              <w:rPr>
                <w:rtl/>
              </w:rPr>
              <w:t xml:space="preserve"> - </w:t>
            </w:r>
            <w:r w:rsidRPr="00020424">
              <w:rPr>
                <w:rtl/>
              </w:rPr>
              <w:t>« بن عيسى</w:t>
            </w:r>
            <w:r>
              <w:rPr>
                <w:rtl/>
              </w:rPr>
              <w:t xml:space="preserve"> ».</w:t>
            </w:r>
          </w:p>
        </w:tc>
        <w:tc>
          <w:tcPr>
            <w:tcW w:w="4006" w:type="dxa"/>
          </w:tcPr>
          <w:p w:rsidR="005A2F0D" w:rsidRDefault="005A2F0D" w:rsidP="00992664">
            <w:pPr>
              <w:pStyle w:val="libFootnote0"/>
              <w:rPr>
                <w:rtl/>
              </w:rPr>
            </w:pPr>
            <w:r>
              <w:rPr>
                <w:rtl/>
              </w:rPr>
              <w:t>(6). في«ظ،ى،بح،</w:t>
            </w:r>
            <w:r w:rsidRPr="00020424">
              <w:rPr>
                <w:rtl/>
              </w:rPr>
              <w:t>ب</w:t>
            </w:r>
            <w:r>
              <w:rPr>
                <w:rtl/>
              </w:rPr>
              <w:t>خ،بس»</w:t>
            </w:r>
            <w:r w:rsidRPr="00515444">
              <w:rPr>
                <w:rStyle w:val="libFootnoteBoldChar"/>
                <w:rtl/>
              </w:rPr>
              <w:t>والوافي</w:t>
            </w:r>
            <w:r w:rsidRPr="00020424">
              <w:rPr>
                <w:rtl/>
              </w:rPr>
              <w:t xml:space="preserve"> </w:t>
            </w:r>
            <w:r w:rsidRPr="00EB1FD9">
              <w:rPr>
                <w:rStyle w:val="libFootnoteBoldChar"/>
                <w:rtl/>
              </w:rPr>
              <w:t>والوسائل</w:t>
            </w:r>
            <w:r>
              <w:rPr>
                <w:rtl/>
              </w:rPr>
              <w:t>:«</w:t>
            </w:r>
            <w:r w:rsidRPr="00020424">
              <w:rPr>
                <w:rtl/>
              </w:rPr>
              <w:t>ثمرة</w:t>
            </w:r>
            <w:r>
              <w:rPr>
                <w:rtl/>
              </w:rPr>
              <w:t>».</w:t>
            </w:r>
          </w:p>
        </w:tc>
      </w:tr>
      <w:tr w:rsidR="005A2F0D" w:rsidTr="005A2F0D">
        <w:tc>
          <w:tcPr>
            <w:tcW w:w="4006" w:type="dxa"/>
          </w:tcPr>
          <w:p w:rsidR="005A2F0D" w:rsidRDefault="005A2F0D"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 « إن » بدون الواو.</w:t>
            </w:r>
          </w:p>
        </w:tc>
        <w:tc>
          <w:tcPr>
            <w:tcW w:w="4006" w:type="dxa"/>
          </w:tcPr>
          <w:p w:rsidR="005A2F0D" w:rsidRDefault="005A2F0D" w:rsidP="00992664">
            <w:pPr>
              <w:pStyle w:val="libFootnote0"/>
              <w:rPr>
                <w:rtl/>
              </w:rPr>
            </w:pPr>
            <w:r>
              <w:rPr>
                <w:rtl/>
              </w:rPr>
              <w:t>(8). في «ظ</w:t>
            </w:r>
            <w:r w:rsidRPr="00020424">
              <w:rPr>
                <w:rtl/>
              </w:rPr>
              <w:t>» :</w:t>
            </w:r>
            <w:r>
              <w:rPr>
                <w:rtl/>
              </w:rPr>
              <w:t xml:space="preserve"> - «</w:t>
            </w:r>
            <w:r w:rsidRPr="00020424">
              <w:rPr>
                <w:rtl/>
              </w:rPr>
              <w:t>عليه</w:t>
            </w:r>
            <w:r>
              <w:rPr>
                <w:rtl/>
              </w:rPr>
              <w:t>».</w:t>
            </w:r>
            <w:r w:rsidRPr="00020424">
              <w:rPr>
                <w:rtl/>
              </w:rPr>
              <w:t xml:space="preserve"> وفي </w:t>
            </w:r>
            <w:r w:rsidRPr="0012008A">
              <w:rPr>
                <w:rStyle w:val="libFootnoteBoldChar"/>
                <w:rtl/>
              </w:rPr>
              <w:t>التهذيب</w:t>
            </w:r>
            <w:r w:rsidRPr="00020424">
              <w:rPr>
                <w:rtl/>
              </w:rPr>
              <w:t xml:space="preserve"> : « عليها</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 « أن تحوّل</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أن يحوّل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20A83" w:rsidTr="00420A83">
        <w:tc>
          <w:tcPr>
            <w:tcW w:w="4006" w:type="dxa"/>
          </w:tcPr>
          <w:p w:rsidR="00420A83" w:rsidRDefault="00420A83" w:rsidP="00992664">
            <w:pPr>
              <w:pStyle w:val="libFootnote0"/>
              <w:rPr>
                <w:rtl/>
                <w:lang w:bidi="fa-IR"/>
              </w:rPr>
            </w:pPr>
            <w:r>
              <w:rPr>
                <w:rtl/>
              </w:rPr>
              <w:t xml:space="preserve">(10). </w:t>
            </w:r>
            <w:r w:rsidRPr="00020424">
              <w:rPr>
                <w:rtl/>
              </w:rPr>
              <w:t>في « ظ ، بث ، بخ ، بف » :</w:t>
            </w:r>
            <w:r>
              <w:rPr>
                <w:rtl/>
              </w:rPr>
              <w:t xml:space="preserve"> - </w:t>
            </w:r>
            <w:r w:rsidRPr="00020424">
              <w:rPr>
                <w:rtl/>
              </w:rPr>
              <w:t>« ذلك</w:t>
            </w:r>
            <w:r>
              <w:rPr>
                <w:rtl/>
              </w:rPr>
              <w:t xml:space="preserve"> ».</w:t>
            </w:r>
          </w:p>
        </w:tc>
        <w:tc>
          <w:tcPr>
            <w:tcW w:w="4006" w:type="dxa"/>
          </w:tcPr>
          <w:p w:rsidR="00420A83" w:rsidRDefault="00420A83" w:rsidP="00992664">
            <w:pPr>
              <w:pStyle w:val="libFootnote0"/>
              <w:rPr>
                <w:rtl/>
                <w:lang w:bidi="fa-IR"/>
              </w:rPr>
            </w:pPr>
            <w:r>
              <w:rPr>
                <w:rtl/>
              </w:rPr>
              <w:t xml:space="preserve">(11). </w:t>
            </w:r>
            <w:r w:rsidRPr="00020424">
              <w:rPr>
                <w:rtl/>
              </w:rPr>
              <w:t xml:space="preserve">في </w:t>
            </w:r>
            <w:r w:rsidRPr="0012008A">
              <w:rPr>
                <w:rStyle w:val="libFootnoteBoldChar"/>
                <w:rtl/>
              </w:rPr>
              <w:t>التهذيب</w:t>
            </w:r>
            <w:r w:rsidRPr="00020424">
              <w:rPr>
                <w:rtl/>
              </w:rPr>
              <w:t xml:space="preserve"> : « ولو</w:t>
            </w:r>
            <w:r>
              <w:rPr>
                <w:rtl/>
              </w:rPr>
              <w:t xml:space="preserve"> ».</w:t>
            </w:r>
          </w:p>
        </w:tc>
      </w:tr>
      <w:tr w:rsidR="00420A83" w:rsidTr="00420A83">
        <w:tc>
          <w:tcPr>
            <w:tcW w:w="4006" w:type="dxa"/>
          </w:tcPr>
          <w:p w:rsidR="00420A83" w:rsidRDefault="00420A83" w:rsidP="00992664">
            <w:pPr>
              <w:pStyle w:val="libFootnote0"/>
              <w:rPr>
                <w:rtl/>
                <w:lang w:bidi="fa-IR"/>
              </w:rPr>
            </w:pPr>
            <w:r>
              <w:rPr>
                <w:rtl/>
              </w:rPr>
              <w:t xml:space="preserve">(12).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ذلك</w:t>
            </w:r>
            <w:r>
              <w:rPr>
                <w:rtl/>
              </w:rPr>
              <w:t xml:space="preserve"> ».</w:t>
            </w:r>
          </w:p>
        </w:tc>
        <w:tc>
          <w:tcPr>
            <w:tcW w:w="4006" w:type="dxa"/>
          </w:tcPr>
          <w:p w:rsidR="00420A83" w:rsidRDefault="00420A83" w:rsidP="00992664">
            <w:pPr>
              <w:pStyle w:val="libFootnote0"/>
              <w:rPr>
                <w:rtl/>
                <w:lang w:bidi="fa-IR"/>
              </w:rPr>
            </w:pPr>
            <w:r>
              <w:rPr>
                <w:rtl/>
              </w:rPr>
              <w:t xml:space="preserve">(13). </w:t>
            </w:r>
            <w:r w:rsidRPr="00020424">
              <w:rPr>
                <w:rtl/>
              </w:rPr>
              <w:t>في « بس » : + « قائماً</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ى ، بح ، بخ ، جن » : « قائماً</w:t>
      </w:r>
      <w:r w:rsidR="00992664">
        <w:rPr>
          <w:rtl/>
        </w:rPr>
        <w:t xml:space="preserve"> ».</w:t>
      </w:r>
      <w:r w:rsidR="00992664" w:rsidRPr="00020424">
        <w:rPr>
          <w:rtl/>
        </w:rPr>
        <w:t xml:space="preserve"> وفي حاشية « بح » </w:t>
      </w:r>
      <w:r w:rsidR="00992664" w:rsidRPr="00515444">
        <w:rPr>
          <w:rStyle w:val="libFootnoteBoldChar"/>
          <w:rtl/>
        </w:rPr>
        <w:t>والتهذيب</w:t>
      </w:r>
      <w:r w:rsidR="00992664" w:rsidRPr="00020424">
        <w:rPr>
          <w:rtl/>
        </w:rPr>
        <w:t xml:space="preserve"> : « وإنّما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جن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فيها</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بر » : « حتّى يحوّل</w:t>
      </w:r>
      <w:r w:rsidR="00992664">
        <w:rPr>
          <w:rtl/>
        </w:rPr>
        <w:t xml:space="preserve"> ».</w:t>
      </w:r>
      <w:r w:rsidR="00992664" w:rsidRPr="00020424">
        <w:rPr>
          <w:rtl/>
        </w:rPr>
        <w:t xml:space="preserve"> وفي « بخ » : « حتّى يحول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90BD5" w:rsidTr="00A90BD5">
        <w:tc>
          <w:tcPr>
            <w:tcW w:w="4006" w:type="dxa"/>
          </w:tcPr>
          <w:p w:rsidR="00A90BD5" w:rsidRDefault="00A90BD5" w:rsidP="00992664">
            <w:pPr>
              <w:pStyle w:val="libFootnote0"/>
              <w:rPr>
                <w:rtl/>
              </w:rPr>
            </w:pPr>
            <w:r>
              <w:rPr>
                <w:rtl/>
              </w:rPr>
              <w:t xml:space="preserve">(17). </w:t>
            </w:r>
            <w:r w:rsidRPr="00020424">
              <w:rPr>
                <w:rtl/>
              </w:rPr>
              <w:t>في « بر » :</w:t>
            </w:r>
            <w:r>
              <w:rPr>
                <w:rtl/>
              </w:rPr>
              <w:t xml:space="preserve"> - </w:t>
            </w:r>
            <w:r w:rsidRPr="00020424">
              <w:rPr>
                <w:rtl/>
              </w:rPr>
              <w:t>« مالاً</w:t>
            </w:r>
            <w:r>
              <w:rPr>
                <w:rtl/>
              </w:rPr>
              <w:t xml:space="preserve"> ».</w:t>
            </w:r>
          </w:p>
        </w:tc>
        <w:tc>
          <w:tcPr>
            <w:tcW w:w="4006" w:type="dxa"/>
          </w:tcPr>
          <w:p w:rsidR="00A90BD5" w:rsidRDefault="00A90BD5" w:rsidP="00992664">
            <w:pPr>
              <w:pStyle w:val="libFootnote0"/>
              <w:rPr>
                <w:rtl/>
              </w:rPr>
            </w:pPr>
            <w:r>
              <w:rPr>
                <w:rtl/>
              </w:rPr>
              <w:t xml:space="preserve">(18). </w:t>
            </w:r>
            <w:r w:rsidRPr="00020424">
              <w:rPr>
                <w:rtl/>
              </w:rPr>
              <w:t>في « بر » : « تحول » بدون الواو.</w:t>
            </w:r>
          </w:p>
        </w:tc>
      </w:tr>
    </w:tbl>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قال في </w:t>
      </w:r>
      <w:r w:rsidR="00992664" w:rsidRPr="00C950CB">
        <w:rPr>
          <w:rtl/>
        </w:rPr>
        <w:t>المعتبر</w:t>
      </w:r>
      <w:r w:rsidR="00992664" w:rsidRPr="00020424">
        <w:rPr>
          <w:rtl/>
        </w:rPr>
        <w:t xml:space="preserve"> ، ج 2 ، ص 538 : « لا يتكرّر الزكاة فيها</w:t>
      </w:r>
      <w:r w:rsidR="00992664">
        <w:rPr>
          <w:rtl/>
        </w:rPr>
        <w:t xml:space="preserve"> </w:t>
      </w:r>
      <w:r w:rsidR="009B673F">
        <w:rPr>
          <w:rtl/>
        </w:rPr>
        <w:t>-</w:t>
      </w:r>
      <w:r w:rsidR="00992664">
        <w:rPr>
          <w:rtl/>
        </w:rPr>
        <w:t xml:space="preserve"> </w:t>
      </w:r>
      <w:r w:rsidR="00992664" w:rsidRPr="00020424">
        <w:rPr>
          <w:rtl/>
        </w:rPr>
        <w:t>أي الغلاّت</w:t>
      </w:r>
      <w:r w:rsidR="00992664">
        <w:rPr>
          <w:rtl/>
        </w:rPr>
        <w:t xml:space="preserve"> </w:t>
      </w:r>
      <w:r w:rsidR="009B673F">
        <w:rPr>
          <w:rtl/>
        </w:rPr>
        <w:t>-</w:t>
      </w:r>
      <w:r w:rsidR="00992664">
        <w:rPr>
          <w:rtl/>
        </w:rPr>
        <w:t xml:space="preserve"> </w:t>
      </w:r>
      <w:r w:rsidR="00992664" w:rsidRPr="00020424">
        <w:rPr>
          <w:rtl/>
        </w:rPr>
        <w:t>وعلى ذلك اتّفاق العلماء أيضاً عدا الحسن البصري ، ولا عبرة بانفراده</w:t>
      </w:r>
      <w:r w:rsidR="00992664">
        <w:rPr>
          <w:rtl/>
        </w:rPr>
        <w:t xml:space="preserve"> ».</w:t>
      </w:r>
      <w:r w:rsidR="00992664" w:rsidRPr="00020424">
        <w:rPr>
          <w:rtl/>
        </w:rPr>
        <w:t xml:space="preserve"> وقال في </w:t>
      </w:r>
      <w:r w:rsidR="00992664" w:rsidRPr="00E57D58">
        <w:rPr>
          <w:rStyle w:val="libFootnoteBoldChar"/>
          <w:rtl/>
        </w:rPr>
        <w:t>مدارك الأحكام</w:t>
      </w:r>
      <w:r w:rsidR="00992664" w:rsidRPr="00020424">
        <w:rPr>
          <w:rtl/>
        </w:rPr>
        <w:t xml:space="preserve"> ، ج 5 ، ص 141</w:t>
      </w:r>
      <w:r w:rsidR="00992664">
        <w:rPr>
          <w:rtl/>
        </w:rPr>
        <w:t xml:space="preserve"> </w:t>
      </w:r>
      <w:r w:rsidR="009B673F">
        <w:rPr>
          <w:rtl/>
        </w:rPr>
        <w:t>-</w:t>
      </w:r>
      <w:r w:rsidR="00992664">
        <w:rPr>
          <w:rtl/>
        </w:rPr>
        <w:t xml:space="preserve"> </w:t>
      </w:r>
      <w:r w:rsidR="00992664" w:rsidRPr="00020424">
        <w:rPr>
          <w:rtl/>
        </w:rPr>
        <w:t>ذيل قول المصنّف : « ويزكّى حاصل الزرع ، ثمّ لاتجب بعد ذلك فيه زكاة ولو بقي أحوالاً »</w:t>
      </w:r>
      <w:r w:rsidR="00992664" w:rsidRPr="00C950CB">
        <w:rPr>
          <w:rtl/>
        </w:rPr>
        <w:t xml:space="preserve"> </w:t>
      </w:r>
      <w:r w:rsidR="009B673F">
        <w:rPr>
          <w:rtl/>
        </w:rPr>
        <w:t>-</w:t>
      </w:r>
      <w:r w:rsidR="00992664">
        <w:rPr>
          <w:rtl/>
        </w:rPr>
        <w:t xml:space="preserve"> </w:t>
      </w:r>
      <w:r w:rsidR="00992664" w:rsidRPr="00020424">
        <w:rPr>
          <w:rtl/>
        </w:rPr>
        <w:t xml:space="preserve">: « هذا الحكم مجمع عليه بين الأصحاب » ، ثمّ ذكر ما نقلناه عن </w:t>
      </w:r>
      <w:r w:rsidR="00992664" w:rsidRPr="00C950CB">
        <w:rPr>
          <w:rtl/>
        </w:rPr>
        <w:t>المعتبر</w:t>
      </w:r>
      <w:r w:rsidR="00992664" w:rsidRPr="00020424">
        <w:rPr>
          <w:rtl/>
        </w:rPr>
        <w:t>.</w:t>
      </w:r>
    </w:p>
    <w:p w:rsidR="00992664" w:rsidRPr="00020424" w:rsidRDefault="00992664" w:rsidP="00992664">
      <w:pPr>
        <w:pStyle w:val="libFootnote0"/>
        <w:rPr>
          <w:rtl/>
          <w:lang w:bidi="fa-IR"/>
        </w:rPr>
      </w:pPr>
      <w:r w:rsidRPr="00020424">
        <w:rPr>
          <w:rtl/>
        </w:rPr>
        <w:t>(</w:t>
      </w:r>
      <w:r>
        <w:rPr>
          <w:rtl/>
        </w:rPr>
        <w:t>20)</w:t>
      </w:r>
      <w:r w:rsidRPr="00020424">
        <w:rPr>
          <w:rtl/>
        </w:rPr>
        <w:t xml:space="preserve"> </w:t>
      </w:r>
      <w:r w:rsidRPr="0012008A">
        <w:rPr>
          <w:rStyle w:val="libFootnoteBoldChar"/>
          <w:rtl/>
        </w:rPr>
        <w:t>التهذيب</w:t>
      </w:r>
      <w:r w:rsidRPr="00020424">
        <w:rPr>
          <w:rtl/>
        </w:rPr>
        <w:t xml:space="preserve"> ، ج 4 ، ص 40 ، ح 102 ، معلّقاً عن الكليني. راجع : </w:t>
      </w:r>
      <w:r w:rsidRPr="0012008A">
        <w:rPr>
          <w:rStyle w:val="libFootnoteBoldChar"/>
          <w:rtl/>
        </w:rPr>
        <w:t>الفقيه</w:t>
      </w:r>
      <w:r w:rsidRPr="00020424">
        <w:rPr>
          <w:rtl/>
        </w:rPr>
        <w:t xml:space="preserve"> ، ج 2 ، ص 32 ، ح 1625 ؛ </w:t>
      </w:r>
      <w:r w:rsidRPr="00515444">
        <w:rPr>
          <w:rStyle w:val="libFootnoteBoldChar"/>
          <w:rtl/>
        </w:rPr>
        <w:t>وعلل الشرائع</w:t>
      </w:r>
      <w:r w:rsidRPr="00020424">
        <w:rPr>
          <w:rtl/>
        </w:rPr>
        <w:t xml:space="preserve"> ، ص 374 ، ح 1 </w:t>
      </w:r>
      <w:r w:rsidR="001F6244">
        <w:rPr>
          <w:rFonts w:hint="cs"/>
          <w:rtl/>
        </w:rPr>
        <w:t>.</w:t>
      </w:r>
      <w:r w:rsidRPr="0012008A">
        <w:rPr>
          <w:rStyle w:val="libFootnoteBoldChar"/>
          <w:rtl/>
        </w:rPr>
        <w:t>الوافي</w:t>
      </w:r>
      <w:r w:rsidRPr="00020424">
        <w:rPr>
          <w:rtl/>
        </w:rPr>
        <w:t xml:space="preserve"> ، ج 10 ، ص 87 ، ح 9212 ؛ </w:t>
      </w:r>
      <w:r w:rsidRPr="0012008A">
        <w:rPr>
          <w:rStyle w:val="libFootnoteBoldChar"/>
          <w:rtl/>
        </w:rPr>
        <w:t>الوسائل</w:t>
      </w:r>
      <w:r w:rsidRPr="00020424">
        <w:rPr>
          <w:rtl/>
        </w:rPr>
        <w:t xml:space="preserve"> ، ج 9 ، ص 194 ، ح 11816.</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7" w:name="_Toc345172728"/>
      <w:bookmarkStart w:id="38" w:name="_Toc464562546"/>
      <w:bookmarkStart w:id="39" w:name="_Toc44599848"/>
      <w:r w:rsidRPr="00020424">
        <w:rPr>
          <w:rtl/>
          <w:lang w:bidi="fa-IR"/>
        </w:rPr>
        <w:lastRenderedPageBreak/>
        <w:t>9</w:t>
      </w:r>
      <w:r>
        <w:rPr>
          <w:rtl/>
          <w:lang w:bidi="fa-IR"/>
        </w:rPr>
        <w:t xml:space="preserve"> </w:t>
      </w:r>
      <w:r w:rsidR="009B673F">
        <w:rPr>
          <w:rtl/>
          <w:lang w:bidi="fa-IR"/>
        </w:rPr>
        <w:t>-</w:t>
      </w:r>
      <w:r>
        <w:rPr>
          <w:rtl/>
          <w:lang w:bidi="fa-IR"/>
        </w:rPr>
        <w:t xml:space="preserve"> </w:t>
      </w:r>
      <w:r w:rsidRPr="00020424">
        <w:rPr>
          <w:rtl/>
          <w:lang w:bidi="fa-IR"/>
        </w:rPr>
        <w:t>بَابُ زَكَاةِ الذَّهَبِ وَالْفِضَّةِ‌</w:t>
      </w:r>
      <w:bookmarkEnd w:id="37"/>
      <w:bookmarkEnd w:id="38"/>
      <w:bookmarkEnd w:id="39"/>
    </w:p>
    <w:p w:rsidR="00992664" w:rsidRPr="00020424" w:rsidRDefault="00992664" w:rsidP="00992664">
      <w:pPr>
        <w:pStyle w:val="libNormal"/>
        <w:rPr>
          <w:rtl/>
          <w:lang w:bidi="fa-IR"/>
        </w:rPr>
      </w:pPr>
      <w:r w:rsidRPr="00C950CB">
        <w:rPr>
          <w:rtl/>
        </w:rPr>
        <w:t>5789</w:t>
      </w:r>
      <w:r w:rsidRPr="001155DE">
        <w:rPr>
          <w:rStyle w:val="libBold2Char"/>
          <w:rtl/>
        </w:rPr>
        <w:t xml:space="preserve"> / 1.</w:t>
      </w:r>
      <w:r w:rsidRPr="00020424">
        <w:rPr>
          <w:rtl/>
          <w:lang w:bidi="fa-IR"/>
        </w:rPr>
        <w:t xml:space="preserve"> مُحَمَّدُ بْنُ يَحْيى ، عَنْ أَحْمَدَ بْنِ مُحَمَّدٍ ، عَنْ عُثْمَانَ بْنِ عِيسى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w:t>
      </w:r>
      <w:r w:rsidRPr="00A91B96">
        <w:rPr>
          <w:rStyle w:val="libFootnotenumChar"/>
          <w:rtl/>
        </w:rPr>
        <w:t>(1)</w:t>
      </w:r>
      <w:r w:rsidRPr="00020424">
        <w:rPr>
          <w:rtl/>
          <w:lang w:bidi="fa-IR"/>
        </w:rPr>
        <w:t xml:space="preserve"> : « فِي كُلِّ مِائَتَيْ دِرْهَمٍ خَمْسَةُ دَرَاهِمَ </w:t>
      </w:r>
      <w:r w:rsidRPr="00A91B96">
        <w:rPr>
          <w:rStyle w:val="libFootnotenumChar"/>
          <w:rtl/>
        </w:rPr>
        <w:t>(2)</w:t>
      </w:r>
      <w:r w:rsidRPr="00020424">
        <w:rPr>
          <w:rtl/>
          <w:lang w:bidi="fa-IR"/>
        </w:rPr>
        <w:t xml:space="preserve"> مِنَ الْفِضَّةِ ، وَإِنْ </w:t>
      </w:r>
      <w:r w:rsidRPr="00A91B96">
        <w:rPr>
          <w:rStyle w:val="libFootnotenumChar"/>
          <w:rtl/>
        </w:rPr>
        <w:t>(3)</w:t>
      </w:r>
      <w:r w:rsidRPr="00020424">
        <w:rPr>
          <w:rtl/>
          <w:lang w:bidi="fa-IR"/>
        </w:rPr>
        <w:t xml:space="preserve"> نَقَصَ </w:t>
      </w:r>
      <w:r w:rsidRPr="00A91B96">
        <w:rPr>
          <w:rStyle w:val="libFootnotenumChar"/>
          <w:rtl/>
        </w:rPr>
        <w:t>(4)</w:t>
      </w:r>
      <w:r w:rsidRPr="00020424">
        <w:rPr>
          <w:rtl/>
          <w:lang w:bidi="fa-IR"/>
        </w:rPr>
        <w:t xml:space="preserve"> فَلَيْسَ عَلَيْكَ زَكَاةٌ ، وَمِنَ الذَّهَبِ مِنْ </w:t>
      </w:r>
      <w:r w:rsidRPr="00A91B96">
        <w:rPr>
          <w:rStyle w:val="libFootnotenumChar"/>
          <w:rtl/>
        </w:rPr>
        <w:t>(5)</w:t>
      </w:r>
      <w:r w:rsidRPr="00020424">
        <w:rPr>
          <w:rtl/>
          <w:lang w:bidi="fa-IR"/>
        </w:rPr>
        <w:t xml:space="preserve"> كُلِّ عِشْرِينَ دِينَاراً نِصْفُ دِينَارٍ ، وَإِنْ </w:t>
      </w:r>
      <w:r w:rsidRPr="00A91B96">
        <w:rPr>
          <w:rStyle w:val="libFootnotenumChar"/>
          <w:rtl/>
        </w:rPr>
        <w:t>(6)</w:t>
      </w:r>
      <w:r w:rsidRPr="00020424">
        <w:rPr>
          <w:rtl/>
          <w:lang w:bidi="fa-IR"/>
        </w:rPr>
        <w:t xml:space="preserve"> نَقَصَ فَلَيْسَ عَلَيْكَ شَيْ‌ءٌ</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C950CB">
        <w:rPr>
          <w:rtl/>
        </w:rPr>
        <w:t>5790</w:t>
      </w:r>
      <w:r w:rsidRPr="001155DE">
        <w:rPr>
          <w:rStyle w:val="libBold2Char"/>
          <w:rtl/>
        </w:rPr>
        <w:t xml:space="preserve"> / 2.</w:t>
      </w:r>
      <w:r w:rsidRPr="00020424">
        <w:rPr>
          <w:rtl/>
          <w:lang w:bidi="fa-IR"/>
        </w:rPr>
        <w:t xml:space="preserve"> عَلِيُّ بْنُ إِبْرَاهِيمَ ، عَنْ أَبِيهِ ، عَنِ ابْنِ أَبِي عُمَيْرٍ ، عَنْ رِفَاعَةَ النَّخَّاسِ ، قَالَ :</w:t>
      </w:r>
    </w:p>
    <w:p w:rsidR="00992664" w:rsidRPr="00020424" w:rsidRDefault="00992664" w:rsidP="00992664">
      <w:pPr>
        <w:pStyle w:val="libNormal"/>
        <w:rPr>
          <w:rtl/>
          <w:lang w:bidi="fa-IR"/>
        </w:rPr>
      </w:pPr>
      <w:r w:rsidRPr="00020424">
        <w:rPr>
          <w:rtl/>
          <w:lang w:bidi="fa-IR"/>
        </w:rPr>
        <w:t xml:space="preserve">سَأَلَ رَجُلٌ أَبَا عَبْدِ اللهِ </w:t>
      </w:r>
      <w:r w:rsidRPr="00005A81">
        <w:rPr>
          <w:rStyle w:val="libAlaemChar"/>
          <w:rtl/>
        </w:rPr>
        <w:t>عليه‌السلام</w:t>
      </w:r>
      <w:r w:rsidRPr="00020424">
        <w:rPr>
          <w:rtl/>
          <w:lang w:bidi="fa-IR"/>
        </w:rPr>
        <w:t xml:space="preserve"> ، فَقَالَ : إِنِّي رَجُلٌ صَائِغٌ </w:t>
      </w:r>
      <w:r w:rsidRPr="00A91B96">
        <w:rPr>
          <w:rStyle w:val="libFootnotenumChar"/>
          <w:rtl/>
        </w:rPr>
        <w:t>(8)</w:t>
      </w:r>
      <w:r w:rsidRPr="00020424">
        <w:rPr>
          <w:rtl/>
          <w:lang w:bidi="fa-IR"/>
        </w:rPr>
        <w:t xml:space="preserve"> أَعْمَلُ بِيَدِي ، وَإِنَّهُ يَجْتَمِعُ عِنْدِيَ الْخَمْسَةُ وَالْعَشَرَةُ فَفِيهَا زَكَاةٌ </w:t>
      </w:r>
      <w:r w:rsidRPr="00A91B96">
        <w:rPr>
          <w:rStyle w:val="libFootnotenumChar"/>
          <w:rtl/>
        </w:rPr>
        <w:t>(9)</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(10)</w:t>
      </w:r>
      <w:r w:rsidRPr="00020424">
        <w:rPr>
          <w:rtl/>
          <w:lang w:bidi="fa-IR"/>
        </w:rPr>
        <w:t xml:space="preserve"> : « إِذَا اجْتَمَعَ مِائَتَا دِرْهَمٍ ، فَحَالَ عَلَيْهَا </w:t>
      </w:r>
      <w:r w:rsidRPr="00A91B96">
        <w:rPr>
          <w:rStyle w:val="libFootnotenumChar"/>
          <w:rtl/>
        </w:rPr>
        <w:t>(11)</w:t>
      </w:r>
      <w:r w:rsidRPr="00020424">
        <w:rPr>
          <w:rtl/>
          <w:lang w:bidi="fa-IR"/>
        </w:rPr>
        <w:t xml:space="preserve"> الْحَوْلُ ، فَإِنَّ عَلَيْهَا الزَّكَاةَ</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C950CB">
        <w:rPr>
          <w:rtl/>
        </w:rPr>
        <w:t>5791</w:t>
      </w:r>
      <w:r w:rsidRPr="001155DE">
        <w:rPr>
          <w:rStyle w:val="libBold2Char"/>
          <w:rtl/>
        </w:rPr>
        <w:t xml:space="preserve"> / 3.</w:t>
      </w:r>
      <w:r w:rsidRPr="00020424">
        <w:rPr>
          <w:rtl/>
          <w:lang w:bidi="fa-IR"/>
        </w:rPr>
        <w:t xml:space="preserve"> عِدَّةٌ مِنْ أَصْحَابِنَا ، عَنْ أَحْمَدَ بْنِ مُحَمَّدِ بْنِ عِيسى ، عَنِ ابْنِ فَضَّالٍ ، عَنْ عَلِيِّ بْنِ عُقْبَةَ وَعِدَّةٍ مِنْ أَصْحَابِنَا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بث ، بخ ، بر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866E5" w:rsidTr="008866E5">
        <w:tc>
          <w:tcPr>
            <w:tcW w:w="4006" w:type="dxa"/>
          </w:tcPr>
          <w:p w:rsidR="008866E5" w:rsidRDefault="008866E5" w:rsidP="00992664">
            <w:pPr>
              <w:pStyle w:val="libFootnote0"/>
              <w:rPr>
                <w:rtl/>
              </w:rPr>
            </w:pPr>
            <w:r>
              <w:rPr>
                <w:rtl/>
              </w:rPr>
              <w:t xml:space="preserve">(2). </w:t>
            </w:r>
            <w:r w:rsidRPr="00020424">
              <w:rPr>
                <w:rtl/>
              </w:rPr>
              <w:t>في « بخ ، بر » : « الدراهم</w:t>
            </w:r>
            <w:r>
              <w:rPr>
                <w:rtl/>
              </w:rPr>
              <w:t xml:space="preserve"> ».</w:t>
            </w:r>
          </w:p>
        </w:tc>
        <w:tc>
          <w:tcPr>
            <w:tcW w:w="4006" w:type="dxa"/>
          </w:tcPr>
          <w:p w:rsidR="008866E5" w:rsidRDefault="008866E5" w:rsidP="00992664">
            <w:pPr>
              <w:pStyle w:val="libFootnote0"/>
              <w:rPr>
                <w:rtl/>
              </w:rPr>
            </w:pPr>
            <w:r>
              <w:rPr>
                <w:rtl/>
              </w:rPr>
              <w:t>(3). في «بث ،بخ ،بر ، بس ،بف»</w:t>
            </w:r>
            <w:r w:rsidRPr="00515444">
              <w:rPr>
                <w:rStyle w:val="libFootnoteBoldChar"/>
                <w:rtl/>
              </w:rPr>
              <w:t>والوافي</w:t>
            </w:r>
            <w:r w:rsidRPr="00020424">
              <w:rPr>
                <w:rtl/>
              </w:rPr>
              <w:t xml:space="preserve"> : « فإن</w:t>
            </w:r>
            <w:r>
              <w:rPr>
                <w:rtl/>
              </w:rPr>
              <w:t xml:space="preserve"> ».</w:t>
            </w:r>
          </w:p>
        </w:tc>
      </w:tr>
    </w:tbl>
    <w:p w:rsidR="005274AF" w:rsidRDefault="00795177" w:rsidP="005274AF">
      <w:pPr>
        <w:pStyle w:val="libFootnote0"/>
        <w:rPr>
          <w:rtl/>
          <w:lang w:bidi="fa-IR"/>
        </w:rPr>
      </w:pPr>
      <w:r>
        <w:rPr>
          <w:rtl/>
        </w:rPr>
        <w:t>(4).</w:t>
      </w:r>
      <w:r w:rsidR="0014403D">
        <w:rPr>
          <w:rtl/>
        </w:rPr>
        <w:t xml:space="preserve"> </w:t>
      </w:r>
      <w:r w:rsidR="00992664" w:rsidRPr="00020424">
        <w:rPr>
          <w:rtl/>
        </w:rPr>
        <w:t>في « بح ، بر ، بس ، بف » : + « شي‌ء</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نقصت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274AF" w:rsidTr="005274AF">
        <w:tc>
          <w:tcPr>
            <w:tcW w:w="4006" w:type="dxa"/>
          </w:tcPr>
          <w:p w:rsidR="005274AF" w:rsidRDefault="005274AF" w:rsidP="005274AF">
            <w:pPr>
              <w:pStyle w:val="libFootnote0"/>
              <w:rPr>
                <w:rtl/>
                <w:lang w:bidi="fa-IR"/>
              </w:rPr>
            </w:pPr>
            <w:r>
              <w:rPr>
                <w:rtl/>
              </w:rPr>
              <w:t xml:space="preserve">(5). </w:t>
            </w:r>
            <w:r w:rsidRPr="00020424">
              <w:rPr>
                <w:rtl/>
              </w:rPr>
              <w:t>في « بث » : « في</w:t>
            </w:r>
            <w:r>
              <w:rPr>
                <w:rtl/>
              </w:rPr>
              <w:t xml:space="preserve"> ».</w:t>
            </w:r>
          </w:p>
        </w:tc>
        <w:tc>
          <w:tcPr>
            <w:tcW w:w="4006" w:type="dxa"/>
          </w:tcPr>
          <w:p w:rsidR="005274AF" w:rsidRDefault="005274AF" w:rsidP="005274AF">
            <w:pPr>
              <w:pStyle w:val="libFootnote0"/>
              <w:rPr>
                <w:rtl/>
                <w:lang w:bidi="fa-IR"/>
              </w:rPr>
            </w:pPr>
            <w:r>
              <w:rPr>
                <w:rtl/>
              </w:rPr>
              <w:t xml:space="preserve">(6). </w:t>
            </w:r>
            <w:r w:rsidRPr="00020424">
              <w:rPr>
                <w:rtl/>
              </w:rPr>
              <w:t xml:space="preserve">في « بخ ، بر ، بف » </w:t>
            </w:r>
            <w:r w:rsidRPr="00515444">
              <w:rPr>
                <w:rStyle w:val="libFootnoteBoldChar"/>
                <w:rtl/>
              </w:rPr>
              <w:t>والوافي</w:t>
            </w:r>
            <w:r w:rsidRPr="00020424">
              <w:rPr>
                <w:rtl/>
              </w:rPr>
              <w:t xml:space="preserve"> : « فإن</w:t>
            </w:r>
            <w:r>
              <w:rPr>
                <w:rtl/>
              </w:rPr>
              <w:t xml:space="preserve"> ».</w:t>
            </w:r>
          </w:p>
        </w:tc>
      </w:tr>
    </w:tbl>
    <w:p w:rsidR="00992664" w:rsidRPr="00020424" w:rsidRDefault="00795177" w:rsidP="00F307E9">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12 ، ح 31 ، معلّقاً عن الكليني. </w:t>
      </w:r>
      <w:r w:rsidR="00992664" w:rsidRPr="00A722B1">
        <w:rPr>
          <w:rStyle w:val="libFootnoteBoldChar"/>
          <w:rtl/>
        </w:rPr>
        <w:t>الخصال</w:t>
      </w:r>
      <w:r w:rsidR="00992664" w:rsidRPr="00020424">
        <w:rPr>
          <w:rtl/>
        </w:rPr>
        <w:t xml:space="preserve"> ، ص 604 ، أبواب الثمانين وما فوقه ، ضمن الحديث الطويل 9 ، بسند آخر. </w:t>
      </w:r>
      <w:r w:rsidR="00992664" w:rsidRPr="0012008A">
        <w:rPr>
          <w:rStyle w:val="libFootnoteBoldChar"/>
          <w:rtl/>
        </w:rPr>
        <w:t>التهذيب</w:t>
      </w:r>
      <w:r w:rsidR="00992664" w:rsidRPr="00020424">
        <w:rPr>
          <w:rtl/>
        </w:rPr>
        <w:t xml:space="preserve"> ، ج 4 ، ص 12 ، ح 30 ، بسند آخر عن أحدهما </w:t>
      </w:r>
      <w:r w:rsidR="00D64ADA" w:rsidRPr="00D64ADA">
        <w:rPr>
          <w:rStyle w:val="libFootnoteAlaemChar"/>
          <w:rtl/>
        </w:rPr>
        <w:t>عليهما‌السلام</w:t>
      </w:r>
      <w:r w:rsidR="00992664" w:rsidRPr="00020424">
        <w:rPr>
          <w:rtl/>
        </w:rPr>
        <w:t xml:space="preserve"> ، مع زيادة. </w:t>
      </w:r>
      <w:r w:rsidR="00992664" w:rsidRPr="00C950CB">
        <w:rPr>
          <w:rtl/>
        </w:rPr>
        <w:t>وفيه</w:t>
      </w:r>
      <w:r w:rsidR="00992664" w:rsidRPr="00020424">
        <w:rPr>
          <w:rtl/>
        </w:rPr>
        <w:t xml:space="preserve"> ، صدر ح 33 ، بسند آخر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14 ، من دون الإسناد إلى المعصوم </w:t>
      </w:r>
      <w:r w:rsidR="00F307E9" w:rsidRPr="00D64ADA">
        <w:rPr>
          <w:rStyle w:val="libFootnoteAlaemChar"/>
          <w:rtl/>
        </w:rPr>
        <w:t>عليه‌السلام</w:t>
      </w:r>
      <w:r w:rsidR="00F307E9" w:rsidRPr="00020424">
        <w:rPr>
          <w:rtl/>
        </w:rPr>
        <w:t xml:space="preserve"> </w:t>
      </w:r>
      <w:r w:rsidR="00992664" w:rsidRPr="00020424">
        <w:rPr>
          <w:rtl/>
        </w:rPr>
        <w:t xml:space="preserve">؛ </w:t>
      </w:r>
      <w:r w:rsidR="00992664" w:rsidRPr="00C950CB">
        <w:rP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195 ، من قوله : « ومن الذهب من كلّ عشرين ديناراً » ؛ </w:t>
      </w:r>
      <w:r w:rsidR="00992664" w:rsidRPr="00C950CB">
        <w:rPr>
          <w:rtl/>
        </w:rPr>
        <w:t>تحف العقول</w:t>
      </w:r>
      <w:r w:rsidR="00992664" w:rsidRPr="00020424">
        <w:rPr>
          <w:rtl/>
        </w:rPr>
        <w:t xml:space="preserve"> ، ص 417 ، عن الرضا </w:t>
      </w:r>
      <w:r w:rsidR="00992664" w:rsidRPr="00D64ADA">
        <w:rPr>
          <w:rStyle w:val="libFootnoteAlaemChar"/>
          <w:rtl/>
        </w:rPr>
        <w:t>عليه‌السلام</w:t>
      </w:r>
      <w:r w:rsidR="00992664" w:rsidRPr="00020424">
        <w:rPr>
          <w:rtl/>
        </w:rPr>
        <w:t xml:space="preserve"> ، وفي كلّ المصادر</w:t>
      </w:r>
      <w:r w:rsidR="00992664">
        <w:rPr>
          <w:rtl/>
        </w:rPr>
        <w:t xml:space="preserve"> </w:t>
      </w:r>
      <w:r w:rsidR="009B673F">
        <w:rPr>
          <w:rtl/>
        </w:rPr>
        <w:t>-</w:t>
      </w:r>
      <w:r w:rsidR="00992664">
        <w:rPr>
          <w:rtl/>
        </w:rPr>
        <w:t xml:space="preserve"> </w:t>
      </w:r>
      <w:r w:rsidR="007C2067">
        <w:rPr>
          <w:rtl/>
        </w:rPr>
        <w:t>إل</w:t>
      </w:r>
      <w:r w:rsidR="007C2067">
        <w:rPr>
          <w:rFonts w:hint="cs"/>
          <w:rtl/>
        </w:rPr>
        <w:t>ّ</w:t>
      </w:r>
      <w:r w:rsidR="007C2067">
        <w:rPr>
          <w:rtl/>
        </w:rPr>
        <w:t>ا</w:t>
      </w:r>
      <w:r w:rsidR="00992664">
        <w:rPr>
          <w:rFonts w:hint="cs"/>
          <w:rtl/>
        </w:rPr>
        <w:t xml:space="preserve"> </w:t>
      </w:r>
      <w:r w:rsidR="00992664" w:rsidRPr="0012008A">
        <w:rPr>
          <w:rStyle w:val="libFootnoteBoldChar"/>
          <w:rtl/>
        </w:rPr>
        <w:t>التهذيب</w:t>
      </w:r>
      <w:r w:rsidR="00992664" w:rsidRPr="00020424">
        <w:rPr>
          <w:rtl/>
        </w:rPr>
        <w:t xml:space="preserve"> ، ح 31</w:t>
      </w:r>
      <w:r w:rsidR="00992664">
        <w:rPr>
          <w:rtl/>
        </w:rPr>
        <w:t xml:space="preserve"> </w:t>
      </w:r>
      <w:r w:rsidR="009B673F">
        <w:rPr>
          <w:rtl/>
        </w:rPr>
        <w:t>-</w:t>
      </w:r>
      <w:r w:rsidR="00992664">
        <w:rPr>
          <w:rtl/>
        </w:rPr>
        <w:t xml:space="preserve"> </w:t>
      </w:r>
      <w:r w:rsidR="00992664" w:rsidRPr="00020424">
        <w:rPr>
          <w:rtl/>
        </w:rPr>
        <w:t xml:space="preserve">مع اختلاف يسير </w:t>
      </w:r>
      <w:r w:rsidR="007C2067">
        <w:rPr>
          <w:rFonts w:hint="cs"/>
          <w:rtl/>
        </w:rPr>
        <w:t>.</w:t>
      </w:r>
      <w:r w:rsidR="00992664" w:rsidRPr="0012008A">
        <w:rPr>
          <w:rStyle w:val="libFootnoteBoldChar"/>
          <w:rtl/>
        </w:rPr>
        <w:t>الوافي</w:t>
      </w:r>
      <w:r w:rsidR="00992664" w:rsidRPr="00020424">
        <w:rPr>
          <w:rtl/>
        </w:rPr>
        <w:t xml:space="preserve"> ، ج 10 ، ص 66 ، ح 9162 ؛ </w:t>
      </w:r>
      <w:r w:rsidR="00992664" w:rsidRPr="0012008A">
        <w:rPr>
          <w:rStyle w:val="libFootnoteBoldChar"/>
          <w:rtl/>
        </w:rPr>
        <w:t>الوسائل</w:t>
      </w:r>
      <w:r w:rsidR="00992664" w:rsidRPr="00020424">
        <w:rPr>
          <w:rtl/>
        </w:rPr>
        <w:t xml:space="preserve"> ، ج 9 ، ص 143 ، ح 11703 ، إلى قوله : « فليس عليك زكاة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C2067" w:rsidTr="007C2067">
        <w:tc>
          <w:tcPr>
            <w:tcW w:w="4006" w:type="dxa"/>
          </w:tcPr>
          <w:p w:rsidR="007C2067" w:rsidRDefault="007C2067" w:rsidP="00992664">
            <w:pPr>
              <w:pStyle w:val="libFootnote0"/>
              <w:rPr>
                <w:rtl/>
              </w:rPr>
            </w:pPr>
            <w:r>
              <w:rPr>
                <w:rtl/>
              </w:rPr>
              <w:t xml:space="preserve">(8). </w:t>
            </w:r>
            <w:r w:rsidRPr="00020424">
              <w:rPr>
                <w:rtl/>
              </w:rPr>
              <w:t>في « ى ، بث ، بح ، بر ، بس » : « صانع</w:t>
            </w:r>
            <w:r>
              <w:rPr>
                <w:rtl/>
              </w:rPr>
              <w:t xml:space="preserve"> ».</w:t>
            </w:r>
          </w:p>
        </w:tc>
        <w:tc>
          <w:tcPr>
            <w:tcW w:w="4006" w:type="dxa"/>
          </w:tcPr>
          <w:p w:rsidR="007C2067" w:rsidRDefault="007C2067" w:rsidP="00992664">
            <w:pPr>
              <w:pStyle w:val="libFootnote0"/>
              <w:rPr>
                <w:rtl/>
              </w:rPr>
            </w:pPr>
            <w:r>
              <w:rPr>
                <w:rtl/>
              </w:rPr>
              <w:t xml:space="preserve">(9). </w:t>
            </w:r>
            <w:r w:rsidRPr="00020424">
              <w:rPr>
                <w:rtl/>
              </w:rPr>
              <w:t xml:space="preserve">في « بخ ، بر ، بف » </w:t>
            </w:r>
            <w:r w:rsidRPr="00515444">
              <w:rPr>
                <w:rStyle w:val="libFootnoteBoldChar"/>
                <w:rtl/>
              </w:rPr>
              <w:t>والوافي</w:t>
            </w:r>
            <w:r w:rsidRPr="00020424">
              <w:rPr>
                <w:rtl/>
              </w:rPr>
              <w:t xml:space="preserve"> : « الزكاة</w:t>
            </w:r>
            <w:r>
              <w:rPr>
                <w:rtl/>
              </w:rPr>
              <w:t xml:space="preserve"> ».</w:t>
            </w:r>
          </w:p>
        </w:tc>
      </w:tr>
      <w:tr w:rsidR="007C2067" w:rsidTr="007C2067">
        <w:tc>
          <w:tcPr>
            <w:tcW w:w="4006" w:type="dxa"/>
          </w:tcPr>
          <w:p w:rsidR="007C2067" w:rsidRDefault="007C2067" w:rsidP="00992664">
            <w:pPr>
              <w:pStyle w:val="libFootnote0"/>
              <w:rPr>
                <w:rtl/>
              </w:rPr>
            </w:pPr>
            <w:r>
              <w:rPr>
                <w:rtl/>
              </w:rPr>
              <w:t>(10). في «بخ ، بر ، بس ،بف</w:t>
            </w:r>
            <w:r w:rsidRPr="00020424">
              <w:rPr>
                <w:rtl/>
              </w:rPr>
              <w:t xml:space="preserve">» </w:t>
            </w:r>
            <w:r w:rsidRPr="00515444">
              <w:rPr>
                <w:rStyle w:val="libFootnoteBoldChar"/>
                <w:rtl/>
              </w:rPr>
              <w:t>والوافي</w:t>
            </w:r>
            <w:r w:rsidRPr="00020424">
              <w:rPr>
                <w:rtl/>
              </w:rPr>
              <w:t xml:space="preserve"> : « قال</w:t>
            </w:r>
            <w:r>
              <w:rPr>
                <w:rtl/>
              </w:rPr>
              <w:t xml:space="preserve"> ».</w:t>
            </w:r>
          </w:p>
        </w:tc>
        <w:tc>
          <w:tcPr>
            <w:tcW w:w="4006" w:type="dxa"/>
          </w:tcPr>
          <w:p w:rsidR="007C2067" w:rsidRDefault="007C2067" w:rsidP="00992664">
            <w:pPr>
              <w:pStyle w:val="libFootnote0"/>
              <w:rPr>
                <w:rtl/>
              </w:rPr>
            </w:pPr>
            <w:r>
              <w:rPr>
                <w:rtl/>
              </w:rPr>
              <w:t xml:space="preserve">(11). </w:t>
            </w:r>
            <w:r w:rsidRPr="00020424">
              <w:rPr>
                <w:rtl/>
              </w:rPr>
              <w:t>في « ظ ، بر » : « عليه</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66 ، ح 9163 ؛ </w:t>
      </w:r>
      <w:r w:rsidR="00992664" w:rsidRPr="0012008A">
        <w:rPr>
          <w:rStyle w:val="libFootnoteBoldChar"/>
          <w:rtl/>
        </w:rPr>
        <w:t>الوسائل</w:t>
      </w:r>
      <w:r w:rsidR="00992664" w:rsidRPr="00020424">
        <w:rPr>
          <w:rtl/>
        </w:rPr>
        <w:t xml:space="preserve"> ، ج 9 ، ص 143 ، ح 11701.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جَعْفَرٍ وَأَبِي عَبْدِ اللهِ </w:t>
      </w:r>
      <w:r w:rsidRPr="00005A81">
        <w:rPr>
          <w:rStyle w:val="libAlaemChar"/>
          <w:rtl/>
        </w:rPr>
        <w:t>عليهما‌السلام</w:t>
      </w:r>
      <w:r w:rsidRPr="00020424">
        <w:rPr>
          <w:rtl/>
          <w:lang w:bidi="fa-IR"/>
        </w:rPr>
        <w:t xml:space="preserve"> ، قَالَا : « لَيْسَ فِيمَا دُونَ الْعِشْرِينَ مِثْقَالاً مِنَ الذَّهَبِ شَيْ‌ءٌ ، فَإِذَا كَمَلَتْ </w:t>
      </w:r>
      <w:r w:rsidRPr="00A91B96">
        <w:rPr>
          <w:rStyle w:val="libFootnotenumChar"/>
          <w:rtl/>
        </w:rPr>
        <w:t>(1)</w:t>
      </w:r>
      <w:r w:rsidRPr="00020424">
        <w:rPr>
          <w:rtl/>
          <w:lang w:bidi="fa-IR"/>
        </w:rPr>
        <w:t xml:space="preserve"> عِشْرِينَ مِثْقَالاً ، فَفِيهَا نِصْفُ مِثْقَالٍ إِلى أَرْبَعَةٍ وَعِشْرِينَ ، فَإِذَا </w:t>
      </w:r>
      <w:r w:rsidRPr="00A91B96">
        <w:rPr>
          <w:rStyle w:val="libFootnotenumChar"/>
          <w:rtl/>
        </w:rPr>
        <w:t>(2)</w:t>
      </w:r>
      <w:r w:rsidRPr="00020424">
        <w:rPr>
          <w:rtl/>
          <w:lang w:bidi="fa-IR"/>
        </w:rPr>
        <w:t xml:space="preserve"> كَمَلَتْ أَرْبَعَةً وَعِشْرِينَ </w:t>
      </w:r>
      <w:r w:rsidRPr="00A91B96">
        <w:rPr>
          <w:rStyle w:val="libFootnotenumChar"/>
          <w:rtl/>
        </w:rPr>
        <w:t>(3)</w:t>
      </w:r>
      <w:r w:rsidRPr="00020424">
        <w:rPr>
          <w:rtl/>
          <w:lang w:bidi="fa-IR"/>
        </w:rPr>
        <w:t xml:space="preserve"> ، فَفِيهَا ثَلَاثَةُ أَخْمَاسِ دِينَارٍ إِلى ثَمَانِيَةٍ وَعِشْرِينَ ، فَعَلى هذَا الْحِسَابِ كُلَّمَا زَادَ أَرْبَعَةً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C950CB">
        <w:rPr>
          <w:rtl/>
        </w:rPr>
        <w:t>5792</w:t>
      </w:r>
      <w:r w:rsidRPr="001155DE">
        <w:rPr>
          <w:rStyle w:val="libBold2Char"/>
          <w:rtl/>
        </w:rPr>
        <w:t xml:space="preserve"> / 4.</w:t>
      </w:r>
      <w:r w:rsidRPr="00020424">
        <w:rPr>
          <w:rtl/>
          <w:lang w:bidi="fa-IR"/>
        </w:rPr>
        <w:t xml:space="preserve"> عِدَّةٌ مِنْ أَصْحَابِنَا ، عَنْ سَهْلِ بْنِ زِيَادٍ ، عَنْ أَحْمَدَ بْنِ مُحَمَّدِ بْنِ أَبِي نَصْرٍ ، عَنْ أَبِي عُيَيْنَةَ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جَازَتِ الزَّكَاةُ الْعِشْرِينَ دِينَاراً ، فَفِي كُلِّ أَرْبَعَةِ دَنَانِيرَ عُشْرُ دِينَارٍ</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C950CB">
        <w:rPr>
          <w:rtl/>
        </w:rPr>
        <w:t>5793</w:t>
      </w:r>
      <w:r w:rsidRPr="001155DE">
        <w:rPr>
          <w:rStyle w:val="libBold2Char"/>
          <w:rtl/>
        </w:rPr>
        <w:t xml:space="preserve"> / 5.</w:t>
      </w:r>
      <w:r w:rsidRPr="00020424">
        <w:rPr>
          <w:rtl/>
          <w:lang w:bidi="fa-IR"/>
        </w:rPr>
        <w:t xml:space="preserve"> عَلِيُّ بْنُ إِبْرَاهِيمَ ، عَنْ أَبِيهِ ، عَنْ حَمَّادٍ ، عَنْ حَرِيزٍ ، عَنْ </w:t>
      </w:r>
      <w:r w:rsidR="00362767">
        <w:rPr>
          <w:rtl/>
          <w:lang w:bidi="fa-IR"/>
        </w:rPr>
        <w:t>مُحَمَّدِ بْنِ مُسْلِمٍ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الذَّهَبِ : كَمْ فِيهِ </w:t>
      </w:r>
      <w:r w:rsidRPr="00A91B96">
        <w:rPr>
          <w:rStyle w:val="libFootnotenumChar"/>
          <w:rtl/>
        </w:rPr>
        <w:t>(8)</w:t>
      </w:r>
      <w:r w:rsidRPr="00020424">
        <w:rPr>
          <w:rtl/>
          <w:lang w:bidi="fa-IR"/>
        </w:rPr>
        <w:t xml:space="preserve"> مِنَ </w:t>
      </w:r>
      <w:r w:rsidRPr="00A91B96">
        <w:rPr>
          <w:rStyle w:val="libFootnotenumChar"/>
          <w:rtl/>
        </w:rPr>
        <w:t>(9)</w:t>
      </w:r>
      <w:r w:rsidRPr="00020424">
        <w:rPr>
          <w:rtl/>
          <w:lang w:bidi="fa-IR"/>
        </w:rPr>
        <w:t xml:space="preserve"> الزَّكَاةِ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 « أكملت » في الموضعين.</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وإذا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فإذا كملت أربعة وعشرين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جن » </w:t>
      </w:r>
      <w:r w:rsidR="00992664" w:rsidRPr="00515444">
        <w:rPr>
          <w:rStyle w:val="libFootnoteBoldChar"/>
          <w:rtl/>
        </w:rPr>
        <w:t>والوافي</w:t>
      </w:r>
      <w:r w:rsidR="00992664" w:rsidRPr="00020424">
        <w:rPr>
          <w:rtl/>
        </w:rPr>
        <w:t xml:space="preserve"> : + « دنانير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6 ، ح 13 ، معلّقاً عن الكليني. </w:t>
      </w:r>
      <w:r w:rsidR="00992664" w:rsidRPr="00C950CB">
        <w:rPr>
          <w:rtl/>
        </w:rPr>
        <w:t>الاستبصار</w:t>
      </w:r>
      <w:r w:rsidR="00992664" w:rsidRPr="00020424">
        <w:rPr>
          <w:rtl/>
        </w:rPr>
        <w:t xml:space="preserve"> ، ج 2 ، ص 12 ، ح 35 ، معلّقاً عن أحمد بن محمّد بن عيسى </w:t>
      </w:r>
      <w:r w:rsidR="00362767">
        <w:rPr>
          <w:rFonts w:hint="cs"/>
          <w:rtl/>
        </w:rPr>
        <w:t>.</w:t>
      </w:r>
      <w:r w:rsidR="00992664" w:rsidRPr="0012008A">
        <w:rPr>
          <w:rStyle w:val="libFootnoteBoldChar"/>
          <w:rtl/>
        </w:rPr>
        <w:t>الوافي</w:t>
      </w:r>
      <w:r w:rsidR="00992664" w:rsidRPr="00020424">
        <w:rPr>
          <w:rtl/>
        </w:rPr>
        <w:t xml:space="preserve"> ، ج 10 ، ص 65 ، ح 9160 ؛ </w:t>
      </w:r>
      <w:r w:rsidR="00992664" w:rsidRPr="0012008A">
        <w:rPr>
          <w:rStyle w:val="libFootnoteBoldChar"/>
          <w:rtl/>
        </w:rPr>
        <w:t>الوسائل</w:t>
      </w:r>
      <w:r w:rsidR="00992664" w:rsidRPr="00020424">
        <w:rPr>
          <w:rtl/>
        </w:rPr>
        <w:t xml:space="preserve"> ، ج 9 ، ص 138 ، ح 11689.</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ظ ، ى ، بث ، بح ، بر ، بس ، بف ، جر ، جن » </w:t>
      </w:r>
      <w:r w:rsidR="00992664" w:rsidRPr="00515444">
        <w:rPr>
          <w:rStyle w:val="libFootnoteBoldChar"/>
          <w:rtl/>
        </w:rPr>
        <w:t>والوافي</w:t>
      </w:r>
      <w:r w:rsidR="00992664">
        <w:rPr>
          <w:rtl/>
        </w:rPr>
        <w:t xml:space="preserve"> </w:t>
      </w:r>
      <w:r w:rsidR="009B673F">
        <w:rPr>
          <w:rtl/>
        </w:rPr>
        <w:t>-</w:t>
      </w:r>
      <w:r w:rsidR="00992664">
        <w:rPr>
          <w:rtl/>
        </w:rPr>
        <w:t xml:space="preserve"> </w:t>
      </w:r>
      <w:r w:rsidR="00992664" w:rsidRPr="00020424">
        <w:rPr>
          <w:rtl/>
        </w:rPr>
        <w:t>نقلاً من نسخة</w:t>
      </w:r>
      <w:r w:rsidR="00992664">
        <w:rPr>
          <w:rtl/>
        </w:rPr>
        <w:t xml:space="preserve"> </w:t>
      </w:r>
      <w:r w:rsidR="009B673F">
        <w:rPr>
          <w:rtl/>
        </w:rPr>
        <w:t>-</w:t>
      </w:r>
      <w:r w:rsidR="00992664">
        <w:rPr>
          <w:rtl/>
        </w:rPr>
        <w:t xml:space="preserve"> </w:t>
      </w:r>
      <w:r w:rsidR="00992664" w:rsidRPr="00EB1FD9">
        <w:rPr>
          <w:rStyle w:val="libFootnoteBoldChar"/>
          <w:rtl/>
        </w:rPr>
        <w:t>والوسائل</w:t>
      </w:r>
      <w:r w:rsidR="00992664" w:rsidRPr="00020424">
        <w:rPr>
          <w:rtl/>
        </w:rPr>
        <w:t>. وفي « بخ » : « أبي عتيبة</w:t>
      </w:r>
      <w:r w:rsidR="00992664">
        <w:rPr>
          <w:rtl/>
        </w:rPr>
        <w:t xml:space="preserve"> ».</w:t>
      </w:r>
      <w:r w:rsidR="00992664" w:rsidRPr="00020424">
        <w:rPr>
          <w:rtl/>
        </w:rPr>
        <w:t xml:space="preserve"> وفي المطبوع : « ابن عيينة » ، والرجل مجهول لم نعرفه.</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المقنعة</w:t>
      </w:r>
      <w:r w:rsidR="00992664" w:rsidRPr="00020424">
        <w:rPr>
          <w:rtl/>
        </w:rPr>
        <w:t xml:space="preserve"> ، ص 235 ، من دون الإسناد إلى المعصوم </w:t>
      </w:r>
      <w:r w:rsidR="00992664" w:rsidRPr="00D64ADA">
        <w:rPr>
          <w:rStyle w:val="libFootnoteAlaemChar"/>
          <w:rtl/>
        </w:rPr>
        <w:t>عليه‌السلام</w:t>
      </w:r>
      <w:r w:rsidR="00992664" w:rsidRPr="00020424">
        <w:rPr>
          <w:rtl/>
        </w:rPr>
        <w:t xml:space="preserve"> ، مع اختلاف يسير. راجع : </w:t>
      </w:r>
      <w:r w:rsidR="00992664" w:rsidRPr="0012008A">
        <w:rPr>
          <w:rStyle w:val="libFootnoteBoldChar"/>
          <w:rtl/>
        </w:rPr>
        <w:t>التهذيب</w:t>
      </w:r>
      <w:r w:rsidR="00992664" w:rsidRPr="00020424">
        <w:rPr>
          <w:rtl/>
        </w:rPr>
        <w:t xml:space="preserve"> ، ج 4 ، ص 11 ، ذيل ح 29 ؛ </w:t>
      </w:r>
      <w:r w:rsidR="00992664" w:rsidRPr="00FD6221">
        <w:rPr>
          <w:rStyle w:val="libFootnoteBoldChar"/>
          <w:rtl/>
        </w:rPr>
        <w:t>والاستبصار</w:t>
      </w:r>
      <w:r w:rsidR="00992664" w:rsidRPr="00020424">
        <w:rPr>
          <w:rtl/>
        </w:rPr>
        <w:t xml:space="preserve"> ، ج 2 ، ص 13 ، ذيل ح 39 </w:t>
      </w:r>
      <w:r w:rsidR="00362767">
        <w:rPr>
          <w:rFonts w:hint="cs"/>
          <w:rtl/>
        </w:rPr>
        <w:t>.</w:t>
      </w:r>
      <w:r w:rsidR="00992664" w:rsidRPr="0012008A">
        <w:rPr>
          <w:rStyle w:val="libFootnoteBoldChar"/>
          <w:rtl/>
        </w:rPr>
        <w:t>الوافي</w:t>
      </w:r>
      <w:r w:rsidR="00992664" w:rsidRPr="00020424">
        <w:rPr>
          <w:rtl/>
        </w:rPr>
        <w:t xml:space="preserve"> ، ج 10 ، ص 66 ، ح 9164 ؛ </w:t>
      </w:r>
      <w:r w:rsidR="00992664" w:rsidRPr="0012008A">
        <w:rPr>
          <w:rStyle w:val="libFootnoteBoldChar"/>
          <w:rtl/>
        </w:rPr>
        <w:t>الوسائل</w:t>
      </w:r>
      <w:r w:rsidR="00992664" w:rsidRPr="00020424">
        <w:rPr>
          <w:rtl/>
        </w:rPr>
        <w:t xml:space="preserve"> ، ج 9 ، ص 139 ، ح 11690.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عليه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A91B96">
        <w:rPr>
          <w:rStyle w:val="libFootnotenumChar"/>
          <w:rtl/>
        </w:rPr>
        <w:t>(1)</w:t>
      </w:r>
      <w:r w:rsidRPr="00020424">
        <w:rPr>
          <w:rtl/>
          <w:lang w:bidi="fa-IR"/>
        </w:rPr>
        <w:t xml:space="preserve"> : « إِذَا بَلَغَ قِيمَتُهُ </w:t>
      </w:r>
      <w:r w:rsidRPr="00A91B96">
        <w:rPr>
          <w:rStyle w:val="libFootnotenumChar"/>
          <w:rtl/>
        </w:rPr>
        <w:t>(2)</w:t>
      </w:r>
      <w:r w:rsidRPr="00020424">
        <w:rPr>
          <w:rtl/>
          <w:lang w:bidi="fa-IR"/>
        </w:rPr>
        <w:t xml:space="preserve"> مِائَتَيْ دِرْهَمٍ ، فَعَلَيْهِ الزَّكَاةُ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C950CB">
        <w:rPr>
          <w:rtl/>
        </w:rPr>
        <w:t>5794</w:t>
      </w:r>
      <w:r w:rsidRPr="001155DE">
        <w:rPr>
          <w:rStyle w:val="libBold2Char"/>
          <w:rtl/>
        </w:rPr>
        <w:t xml:space="preserve"> / 6.</w:t>
      </w:r>
      <w:r w:rsidRPr="00020424">
        <w:rPr>
          <w:rtl/>
          <w:lang w:bidi="fa-IR"/>
        </w:rPr>
        <w:t xml:space="preserve"> مُحَمَّدُ بْنُ يَحْيى ، عَنْ أَحْمَدَ بْنِ مُحَمَّدِ بْنِ عِيسى ، عَنِ الْحُسَيْنِ بْنِ سَعِيدٍ ، عَنِ الْحُسَيْنِ بْنِ بَشَّارٍ </w:t>
      </w:r>
      <w:r w:rsidRPr="00A91B96">
        <w:rPr>
          <w:rStyle w:val="libFootnotenumChar"/>
          <w:rtl/>
        </w:rPr>
        <w:t>(5)</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 فِي كَمْ وَضَعَ رَسُولُ اللهِ </w:t>
      </w:r>
      <w:r w:rsidR="00B42914" w:rsidRPr="00B42914">
        <w:rPr>
          <w:rStyle w:val="libAlaemChar"/>
          <w:rtl/>
        </w:rPr>
        <w:t>صلى‌الله‌عليه‌وآله‌</w:t>
      </w:r>
      <w:r w:rsidRPr="00020424">
        <w:rPr>
          <w:rtl/>
          <w:lang w:bidi="fa-IR"/>
        </w:rPr>
        <w:t xml:space="preserve">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فِي كُلِّ مِائَتَيْ دِرْهَمٍ خَمْسَةَ دَرَاهِمَ ، فَإِنْ </w:t>
      </w:r>
      <w:r w:rsidRPr="00A91B96">
        <w:rPr>
          <w:rStyle w:val="libFootnotenumChar"/>
          <w:rtl/>
        </w:rPr>
        <w:t>(6)</w:t>
      </w:r>
      <w:r w:rsidRPr="00020424">
        <w:rPr>
          <w:rtl/>
          <w:lang w:bidi="fa-IR"/>
        </w:rPr>
        <w:t xml:space="preserve"> نَقَصَتْ فَلَا زَكَاةَ فِيهَا ، وَفِي الذَّهَبِ فِي </w:t>
      </w:r>
      <w:r w:rsidRPr="00A91B96">
        <w:rPr>
          <w:rStyle w:val="libFootnotenumChar"/>
          <w:rtl/>
        </w:rPr>
        <w:t>(7)</w:t>
      </w:r>
      <w:r w:rsidRPr="00020424">
        <w:rPr>
          <w:rtl/>
          <w:lang w:bidi="fa-IR"/>
        </w:rPr>
        <w:t xml:space="preserve"> كُلِّ عِشْرِينَ دِينَاراً نِصْفُ دِينَارٍ ، فَإِنْ نَقَصَ </w:t>
      </w:r>
      <w:r w:rsidRPr="00A91B96">
        <w:rPr>
          <w:rStyle w:val="libFootnotenumChar"/>
          <w:rtl/>
        </w:rPr>
        <w:t>(8)</w:t>
      </w:r>
      <w:r w:rsidRPr="00020424">
        <w:rPr>
          <w:rtl/>
          <w:lang w:bidi="fa-IR"/>
        </w:rPr>
        <w:t xml:space="preserve"> فَلَا زَكَاةَ فِيهَا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2C1AA1" w:rsidRDefault="00992664" w:rsidP="002C1AA1">
      <w:pPr>
        <w:pStyle w:val="libNormal"/>
        <w:rPr>
          <w:rtl/>
          <w:lang w:bidi="fa-IR"/>
        </w:rPr>
      </w:pPr>
      <w:r w:rsidRPr="00C950CB">
        <w:rPr>
          <w:rtl/>
        </w:rPr>
        <w:t>5795</w:t>
      </w:r>
      <w:r w:rsidRPr="001155DE">
        <w:rPr>
          <w:rStyle w:val="libBold2Char"/>
          <w:rtl/>
        </w:rPr>
        <w:t xml:space="preserve"> / 7.</w:t>
      </w:r>
      <w:r w:rsidRPr="00020424">
        <w:rPr>
          <w:rtl/>
          <w:lang w:bidi="fa-IR"/>
        </w:rPr>
        <w:t xml:space="preserve"> عَلِيُّ بْنُ إِبْرَاهِيمَ ، عَنْ أَبِيهِ ؛</w:t>
      </w:r>
    </w:p>
    <w:p w:rsidR="00992664" w:rsidRPr="00020424" w:rsidRDefault="002C1AA1" w:rsidP="002C1AA1">
      <w:pPr>
        <w:pStyle w:val="libNormal"/>
        <w:rPr>
          <w:rtl/>
          <w:lang w:bidi="fa-IR"/>
        </w:rPr>
      </w:pPr>
      <w:r>
        <w:rPr>
          <w:rFonts w:hint="cs"/>
          <w:rtl/>
          <w:lang w:bidi="fa-IR"/>
        </w:rPr>
        <w:t xml:space="preserve">              </w:t>
      </w:r>
      <w:r w:rsidR="00992664" w:rsidRPr="00020424">
        <w:rPr>
          <w:rtl/>
          <w:lang w:bidi="fa-IR"/>
        </w:rPr>
        <w:t>وَمُحَمَّدُ بْنُ يَحْيى ، عَنْ أَحْمَدَ بْنِ مُحَمَّدِ بْنِ عِيسى جَمِيعاً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بر » : « قيمة</w:t>
      </w:r>
      <w:r w:rsidR="00992664">
        <w:rPr>
          <w:rtl/>
        </w:rPr>
        <w:t xml:space="preserve"> ».</w:t>
      </w:r>
      <w:r w:rsidR="00992664" w:rsidRPr="00020424">
        <w:rPr>
          <w:rtl/>
        </w:rPr>
        <w:t xml:space="preserve"> وفي </w:t>
      </w:r>
      <w:r w:rsidR="00992664" w:rsidRPr="00E57D58">
        <w:rPr>
          <w:rStyle w:val="libFootnoteBoldChar"/>
          <w:rtl/>
        </w:rPr>
        <w:t>مدارك الأحكام</w:t>
      </w:r>
      <w:r w:rsidR="00992664" w:rsidRPr="00020424">
        <w:rPr>
          <w:rtl/>
        </w:rPr>
        <w:t xml:space="preserve"> ، ج 5 ، ص 109 : « دلّت الروايتان</w:t>
      </w:r>
      <w:r w:rsidR="00992664">
        <w:rPr>
          <w:rtl/>
        </w:rPr>
        <w:t xml:space="preserve"> </w:t>
      </w:r>
      <w:r w:rsidR="009B673F">
        <w:rPr>
          <w:rtl/>
        </w:rPr>
        <w:t>-</w:t>
      </w:r>
      <w:r w:rsidR="00992664">
        <w:rPr>
          <w:rtl/>
        </w:rPr>
        <w:t xml:space="preserve"> </w:t>
      </w:r>
      <w:r w:rsidR="00992664" w:rsidRPr="00020424">
        <w:rPr>
          <w:rtl/>
        </w:rPr>
        <w:t>أي الخامسة والثامنة هنا</w:t>
      </w:r>
      <w:r w:rsidR="00992664">
        <w:rPr>
          <w:rtl/>
        </w:rPr>
        <w:t xml:space="preserve"> </w:t>
      </w:r>
      <w:r w:rsidR="009B673F">
        <w:rPr>
          <w:rtl/>
        </w:rPr>
        <w:t>-</w:t>
      </w:r>
      <w:r w:rsidR="00992664">
        <w:rPr>
          <w:rtl/>
        </w:rPr>
        <w:t xml:space="preserve"> </w:t>
      </w:r>
      <w:r w:rsidR="00992664" w:rsidRPr="00020424">
        <w:rPr>
          <w:rtl/>
        </w:rPr>
        <w:t>على وجوب الزكاة في الذهب إذا بلغت قيمته مأتي درهم وذلك عشرون ديناراً ؛ لأنّ قيمة كلّ دينار في ذلك الزمان كانت عشرة دراهم على ما نصّ عليه الأصحاب وغيرهم ، ولذلك خيّر الشارع في أبواب الديات والجنايات بينهما وجعلهما على حدّ سواء</w:t>
      </w:r>
      <w:r w:rsidR="00992664">
        <w:rPr>
          <w:rtl/>
        </w:rPr>
        <w:t xml:space="preserve"> ».</w:t>
      </w:r>
    </w:p>
    <w:p w:rsidR="00992664" w:rsidRPr="00020424" w:rsidRDefault="00992664" w:rsidP="002C1AA1">
      <w:pPr>
        <w:pStyle w:val="libFootnote0"/>
        <w:rPr>
          <w:rtl/>
          <w:lang w:bidi="fa-IR"/>
        </w:rPr>
      </w:pPr>
      <w:r w:rsidRPr="002C1AA1">
        <w:rPr>
          <w:rtl/>
        </w:rPr>
        <w:t xml:space="preserve">وفي </w:t>
      </w:r>
      <w:r w:rsidRPr="002C1AA1">
        <w:rPr>
          <w:rStyle w:val="libFootnoteBoldChar"/>
          <w:rtl/>
        </w:rPr>
        <w:t>مرآة العقول</w:t>
      </w:r>
      <w:r w:rsidRPr="002C1AA1">
        <w:rPr>
          <w:rtl/>
        </w:rPr>
        <w:t xml:space="preserve"> ، ج 16 ، ص 32 : « قوله </w:t>
      </w:r>
      <w:r w:rsidRPr="00D64ADA">
        <w:rPr>
          <w:rStyle w:val="libFootnoteAlaemChar"/>
          <w:rtl/>
        </w:rPr>
        <w:t>عليه‌السلام</w:t>
      </w:r>
      <w:r w:rsidRPr="002C1AA1">
        <w:rPr>
          <w:rtl/>
        </w:rPr>
        <w:t xml:space="preserve"> : إذا بلغ قيمته ، لم يعمل بظاهره أحد ، وحمل على القيمة في الزمان السابق ، حيث كان يسوّى كلّ دينار عشرة دراهم والآن صارت الفضة أرخص فربم</w:t>
      </w:r>
      <w:r w:rsidR="002C1AA1">
        <w:rPr>
          <w:rtl/>
        </w:rPr>
        <w:t>ا يزيد عن عشرين أيضاً ». وللعل</w:t>
      </w:r>
      <w:r w:rsidR="002C1AA1">
        <w:rPr>
          <w:rFonts w:hint="cs"/>
          <w:rtl/>
        </w:rPr>
        <w:t>ّ</w:t>
      </w:r>
      <w:r w:rsidR="002C1AA1">
        <w:rPr>
          <w:rtl/>
        </w:rPr>
        <w:t>ا</w:t>
      </w:r>
      <w:r w:rsidRPr="002C1AA1">
        <w:rPr>
          <w:rtl/>
        </w:rPr>
        <w:t>مة الفيض هاهنا بيان جئنا به ذيل الحديث الثامن.</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الاستبصار : « زكاة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10 ، ح 28 ؛ </w:t>
      </w:r>
      <w:r w:rsidR="00992664" w:rsidRPr="00FD6221">
        <w:rPr>
          <w:rStyle w:val="libFootnoteBoldChar"/>
          <w:rtl/>
        </w:rPr>
        <w:t>والاستبصار</w:t>
      </w:r>
      <w:r w:rsidR="00992664" w:rsidRPr="00C950CB">
        <w:rPr>
          <w:rtl/>
        </w:rPr>
        <w:t xml:space="preserve"> </w:t>
      </w:r>
      <w:r w:rsidR="00992664" w:rsidRPr="00020424">
        <w:rPr>
          <w:rtl/>
        </w:rPr>
        <w:t xml:space="preserve">، ج 2 ، ص 13 ، ح 38 ، معلّقاً عن الكليني </w:t>
      </w:r>
      <w:r w:rsidR="00834BC9">
        <w:rPr>
          <w:rFonts w:hint="cs"/>
          <w:rtl/>
        </w:rPr>
        <w:t>.</w:t>
      </w:r>
      <w:r w:rsidR="00992664" w:rsidRPr="0012008A">
        <w:rPr>
          <w:rStyle w:val="libFootnoteBoldChar"/>
          <w:rtl/>
        </w:rPr>
        <w:t>الوافي</w:t>
      </w:r>
      <w:r w:rsidR="00992664" w:rsidRPr="00020424">
        <w:rPr>
          <w:rtl/>
        </w:rPr>
        <w:t xml:space="preserve"> ، ج 10 ، ص 71 ، ح 9175 ؛ </w:t>
      </w:r>
      <w:r w:rsidR="00992664" w:rsidRPr="0012008A">
        <w:rPr>
          <w:rStyle w:val="libFootnoteBoldChar"/>
          <w:rtl/>
        </w:rPr>
        <w:t>الوسائل</w:t>
      </w:r>
      <w:r w:rsidR="00992664" w:rsidRPr="00020424">
        <w:rPr>
          <w:rtl/>
        </w:rPr>
        <w:t xml:space="preserve"> ، ج 9 ، ص 137 ، ح 11686.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بخ ، بر ، جن » </w:t>
      </w:r>
      <w:r w:rsidR="00992664" w:rsidRPr="00EB1FD9">
        <w:rPr>
          <w:rStyle w:val="libFootnoteBoldChar"/>
          <w:rtl/>
        </w:rPr>
        <w:t>والوسائل</w:t>
      </w:r>
      <w:r w:rsidR="00992664" w:rsidRPr="00020424">
        <w:rPr>
          <w:rtl/>
        </w:rPr>
        <w:t xml:space="preserve"> : « يسار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بس ، جن » </w:t>
      </w:r>
      <w:r w:rsidR="00992664" w:rsidRPr="00EB1FD9">
        <w:rPr>
          <w:rStyle w:val="libFootnoteBoldChar"/>
          <w:rtl/>
        </w:rPr>
        <w:t>والوسائل</w:t>
      </w:r>
      <w:r w:rsidR="00992664" w:rsidRPr="00020424">
        <w:rPr>
          <w:rtl/>
        </w:rPr>
        <w:t xml:space="preserve"> ، ح 11720 : « وإن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وفي « بح » والمطبوع : « ففي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نقصت</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وحاشية « جن » </w:t>
      </w:r>
      <w:r w:rsidR="00992664" w:rsidRPr="00515444">
        <w:rPr>
          <w:rStyle w:val="libFootnoteBoldChar"/>
          <w:rtl/>
        </w:rPr>
        <w:t>والوافي</w:t>
      </w:r>
      <w:r w:rsidR="00992664" w:rsidRPr="00020424">
        <w:rPr>
          <w:rtl/>
        </w:rPr>
        <w:t xml:space="preserve"> : « فيه</w:t>
      </w:r>
      <w:r w:rsidR="00992664">
        <w:rPr>
          <w:rtl/>
        </w:rPr>
        <w:t xml:space="preserve"> ».</w:t>
      </w:r>
      <w:r w:rsidR="00992664" w:rsidRPr="00020424">
        <w:rPr>
          <w:rtl/>
        </w:rPr>
        <w:t xml:space="preserve"> وفي حاشية « بح » : « فيهما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67 ، ح 9165 ؛ </w:t>
      </w:r>
      <w:r w:rsidR="00992664" w:rsidRPr="0012008A">
        <w:rPr>
          <w:rStyle w:val="libFootnoteBoldChar"/>
          <w:rtl/>
        </w:rPr>
        <w:t>الوسائل</w:t>
      </w:r>
      <w:r w:rsidR="00992664" w:rsidRPr="00020424">
        <w:rPr>
          <w:rtl/>
        </w:rPr>
        <w:t xml:space="preserve"> ، ج 9 ، ص 143 ، ح 11702 ، إلى قوله : « فإن نقصت فلا زكاة فيها » ؛ </w:t>
      </w:r>
      <w:r w:rsidR="00992664" w:rsidRPr="00C950CB">
        <w:rPr>
          <w:rtl/>
        </w:rPr>
        <w:t>وفيه</w:t>
      </w:r>
      <w:r w:rsidR="00992664" w:rsidRPr="00020424">
        <w:rPr>
          <w:rtl/>
        </w:rPr>
        <w:t xml:space="preserve"> ، ص 138 ، ح 11687 ، من قوله : « وفي الذهب ففي كلّ عشرين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ابْنِ أَبِي عُمَيْرٍ ، عَنْ حَمَّادٍ ، عَنِ الْحَلَبِيِّ ، قَالَ :</w:t>
      </w:r>
    </w:p>
    <w:p w:rsidR="00992664" w:rsidRPr="00020424" w:rsidRDefault="00992664" w:rsidP="00992664">
      <w:pPr>
        <w:pStyle w:val="libNormal"/>
        <w:rPr>
          <w:rtl/>
          <w:lang w:bidi="fa-IR"/>
        </w:rPr>
      </w:pPr>
      <w:r w:rsidRPr="00020424">
        <w:rPr>
          <w:rtl/>
          <w:lang w:bidi="fa-IR"/>
        </w:rPr>
        <w:t xml:space="preserve">سُئِلَ أَبُو عَبْدِ اللهِ </w:t>
      </w:r>
      <w:r w:rsidRPr="00005A81">
        <w:rPr>
          <w:rStyle w:val="libAlaemChar"/>
          <w:rtl/>
        </w:rPr>
        <w:t>عليه‌السلام</w:t>
      </w:r>
      <w:r w:rsidRPr="00020424">
        <w:rPr>
          <w:rtl/>
          <w:lang w:bidi="fa-IR"/>
        </w:rPr>
        <w:t xml:space="preserve"> عَنِ الذَّهَبِ وَالْفِضَّةِ : مَا أَقَلُّ مَا يَكُونُ </w:t>
      </w:r>
      <w:r w:rsidRPr="00A91B96">
        <w:rPr>
          <w:rStyle w:val="libFootnotenumChar"/>
          <w:rtl/>
        </w:rPr>
        <w:t>(1)</w:t>
      </w:r>
      <w:r w:rsidRPr="00020424">
        <w:rPr>
          <w:rtl/>
          <w:lang w:bidi="fa-IR"/>
        </w:rPr>
        <w:t xml:space="preserve"> فِيهِ </w:t>
      </w:r>
      <w:r w:rsidRPr="00A91B96">
        <w:rPr>
          <w:rStyle w:val="libFootnotenumChar"/>
          <w:rtl/>
        </w:rPr>
        <w:t>(2)</w:t>
      </w:r>
      <w:r w:rsidRPr="00020424">
        <w:rPr>
          <w:rtl/>
          <w:lang w:bidi="fa-IR"/>
        </w:rPr>
        <w:t xml:space="preserve"> الزَّكَاةُ</w:t>
      </w:r>
      <w:r>
        <w:rPr>
          <w:rtl/>
          <w:lang w:bidi="fa-IR"/>
        </w:rPr>
        <w:t>؟</w:t>
      </w:r>
    </w:p>
    <w:p w:rsidR="00992664" w:rsidRPr="00020424" w:rsidRDefault="00992664" w:rsidP="00992664">
      <w:pPr>
        <w:pStyle w:val="libNormal"/>
        <w:rPr>
          <w:rtl/>
          <w:lang w:bidi="fa-IR"/>
        </w:rPr>
      </w:pPr>
      <w:r w:rsidRPr="00020424">
        <w:rPr>
          <w:rtl/>
          <w:lang w:bidi="fa-IR"/>
        </w:rPr>
        <w:t xml:space="preserve">قَالَ : « مِائَتَا </w:t>
      </w:r>
      <w:r w:rsidRPr="00A91B96">
        <w:rPr>
          <w:rStyle w:val="libFootnotenumChar"/>
          <w:rtl/>
        </w:rPr>
        <w:t>(3)</w:t>
      </w:r>
      <w:r w:rsidRPr="00020424">
        <w:rPr>
          <w:rtl/>
          <w:lang w:bidi="fa-IR"/>
        </w:rPr>
        <w:t xml:space="preserve"> دِرْهَمٍ ، وَعِدْلُهَا مِنَ الذَّهَبِ</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وَسَأَلْتُهُ </w:t>
      </w:r>
      <w:r w:rsidRPr="00A91B96">
        <w:rPr>
          <w:rStyle w:val="libFootnotenumChar"/>
          <w:rtl/>
        </w:rPr>
        <w:t>(4)</w:t>
      </w:r>
      <w:r w:rsidRPr="00020424">
        <w:rPr>
          <w:rtl/>
          <w:lang w:bidi="fa-IR"/>
        </w:rPr>
        <w:t xml:space="preserve"> عَنِ النَّيِّفِ </w:t>
      </w:r>
      <w:r w:rsidRPr="00A91B96">
        <w:rPr>
          <w:rStyle w:val="libFootnotenumChar"/>
          <w:rtl/>
        </w:rPr>
        <w:t>(5)</w:t>
      </w:r>
      <w:r w:rsidRPr="00020424">
        <w:rPr>
          <w:rtl/>
          <w:lang w:bidi="fa-IR"/>
        </w:rPr>
        <w:t xml:space="preserve"> الْخَمْسَةِ </w:t>
      </w:r>
      <w:r w:rsidRPr="00A91B96">
        <w:rPr>
          <w:rStyle w:val="libFootnotenumChar"/>
          <w:rtl/>
        </w:rPr>
        <w:t>(6)</w:t>
      </w:r>
      <w:r w:rsidRPr="00020424">
        <w:rPr>
          <w:rtl/>
          <w:lang w:bidi="fa-IR"/>
        </w:rPr>
        <w:t xml:space="preserve"> وَالْعَشَرَةِ</w:t>
      </w:r>
      <w:r>
        <w:rPr>
          <w:rtl/>
          <w:lang w:bidi="fa-IR"/>
        </w:rPr>
        <w:t>؟</w:t>
      </w:r>
    </w:p>
    <w:p w:rsidR="00992664" w:rsidRPr="00020424" w:rsidRDefault="00992664" w:rsidP="00992664">
      <w:pPr>
        <w:pStyle w:val="libNormal"/>
        <w:rPr>
          <w:rtl/>
          <w:lang w:bidi="fa-IR"/>
        </w:rPr>
      </w:pPr>
      <w:r w:rsidRPr="00020424">
        <w:rPr>
          <w:rtl/>
          <w:lang w:bidi="fa-IR"/>
        </w:rPr>
        <w:t xml:space="preserve">قَالَ : « لَيْسَ عَلَيْهِ شَيْ‌ءٌ حَتّى يَبْلُغَ أَرْبَعِينَ ، فَيُعْطى </w:t>
      </w:r>
      <w:r w:rsidRPr="00A91B96">
        <w:rPr>
          <w:rStyle w:val="libFootnotenumChar"/>
          <w:rtl/>
        </w:rPr>
        <w:t>(7)</w:t>
      </w:r>
      <w:r w:rsidRPr="00020424">
        <w:rPr>
          <w:rtl/>
          <w:lang w:bidi="fa-IR"/>
        </w:rPr>
        <w:t xml:space="preserve"> مِنْ كُلِّ أَرْبَعِينَ دِرْهَماً </w:t>
      </w:r>
      <w:r w:rsidRPr="00A91B96">
        <w:rPr>
          <w:rStyle w:val="libFootnotenumChar"/>
          <w:rtl/>
        </w:rPr>
        <w:t>(8)</w:t>
      </w:r>
      <w:r w:rsidRPr="00020424">
        <w:rPr>
          <w:rtl/>
          <w:lang w:bidi="fa-IR"/>
        </w:rPr>
        <w:t xml:space="preserve"> دِرْهَمٌ </w:t>
      </w:r>
      <w:r w:rsidRPr="00A91B96">
        <w:rPr>
          <w:rStyle w:val="libFootnotenumChar"/>
          <w:rtl/>
        </w:rPr>
        <w:t>(9)</w:t>
      </w:r>
      <w:r>
        <w:rPr>
          <w:rtl/>
          <w:lang w:bidi="fa-IR"/>
        </w:rPr>
        <w:t>».</w:t>
      </w:r>
      <w:r w:rsidRPr="00A91B96">
        <w:rPr>
          <w:rStyle w:val="libFootnotenumChar"/>
          <w:rtl/>
        </w:rPr>
        <w:t>(10)</w:t>
      </w:r>
      <w:r w:rsidRPr="00020424">
        <w:rPr>
          <w:rtl/>
          <w:lang w:bidi="fa-IR"/>
        </w:rPr>
        <w:t>‌</w:t>
      </w:r>
    </w:p>
    <w:p w:rsidR="00992664" w:rsidRPr="00020424" w:rsidRDefault="00992664" w:rsidP="00992664">
      <w:pPr>
        <w:pStyle w:val="libNormal"/>
        <w:rPr>
          <w:rtl/>
          <w:lang w:bidi="fa-IR"/>
        </w:rPr>
      </w:pPr>
      <w:r w:rsidRPr="00312263">
        <w:rPr>
          <w:rtl/>
        </w:rPr>
        <w:t>5796</w:t>
      </w:r>
      <w:r w:rsidRPr="001155DE">
        <w:rPr>
          <w:rStyle w:val="libBold2Char"/>
          <w:rtl/>
        </w:rPr>
        <w:t xml:space="preserve"> / 8.</w:t>
      </w:r>
      <w:r w:rsidRPr="00020424">
        <w:rPr>
          <w:rtl/>
          <w:lang w:bidi="fa-IR"/>
        </w:rPr>
        <w:t xml:space="preserve"> عَلِيُّ بْنُ إِبْرَاهِيمَ </w:t>
      </w:r>
      <w:r w:rsidRPr="00A91B96">
        <w:rPr>
          <w:rStyle w:val="libFootnotenumChar"/>
          <w:rtl/>
        </w:rPr>
        <w:t>(11)</w:t>
      </w:r>
      <w:r w:rsidRPr="00020424">
        <w:rPr>
          <w:rtl/>
          <w:lang w:bidi="fa-IR"/>
        </w:rPr>
        <w:t xml:space="preserve"> ، عَنْ أَبِيهِ ، عَنْ إِسْمَاعِيلَ بْنِ مَرَّارٍ ، عَنْ يُونُسَ ، عَنْ إِسْحَاقَ بْنِ عَمَّارٍ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قُلْتُ لَهُ : تِسْعُونَ وَمِائَةُ </w:t>
      </w:r>
      <w:r w:rsidRPr="00A91B96">
        <w:rPr>
          <w:rStyle w:val="libFootnotenumChar"/>
          <w:rtl/>
        </w:rPr>
        <w:t>(12)</w:t>
      </w:r>
      <w:r w:rsidRPr="00020424">
        <w:rPr>
          <w:rtl/>
          <w:lang w:bidi="fa-IR"/>
        </w:rPr>
        <w:t xml:space="preserve"> دِرْهَمٍ </w:t>
      </w:r>
      <w:r w:rsidRPr="00A91B96">
        <w:rPr>
          <w:rStyle w:val="libFootnotenumChar"/>
          <w:rtl/>
        </w:rPr>
        <w:t>(13)</w:t>
      </w:r>
      <w:r w:rsidRPr="00020424">
        <w:rPr>
          <w:rtl/>
          <w:lang w:bidi="fa-IR"/>
        </w:rPr>
        <w:t xml:space="preserve"> وَتِسْعَةَ عَشَرَ دِينَاراً :</w:t>
      </w:r>
      <w:r>
        <w:rPr>
          <w:rFonts w:hint="cs"/>
          <w:rtl/>
          <w:lang w:bidi="fa-IR"/>
        </w:rPr>
        <w:t xml:space="preserve"> </w:t>
      </w:r>
      <w:r>
        <w:rPr>
          <w:rtl/>
          <w:lang w:bidi="fa-IR"/>
        </w:rPr>
        <w:t>أَ</w:t>
      </w:r>
      <w:r w:rsidRPr="00020424">
        <w:rPr>
          <w:rtl/>
          <w:lang w:bidi="fa-IR"/>
        </w:rPr>
        <w:t xml:space="preserve">عَلَيْهَا </w:t>
      </w:r>
      <w:r w:rsidRPr="00A91B96">
        <w:rPr>
          <w:rStyle w:val="libFootnotenumChar"/>
          <w:rtl/>
        </w:rPr>
        <w:t>(14)</w:t>
      </w:r>
      <w:r w:rsidRPr="00020424">
        <w:rPr>
          <w:rtl/>
          <w:lang w:bidi="fa-IR"/>
        </w:rPr>
        <w:t xml:space="preserve"> فِي الزَّكَاةِ شَيْ‌ءٌ</w:t>
      </w:r>
      <w:r>
        <w:rPr>
          <w:rtl/>
          <w:lang w:bidi="fa-IR"/>
        </w:rPr>
        <w:t>؟</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34BC9" w:rsidTr="00834BC9">
        <w:tc>
          <w:tcPr>
            <w:tcW w:w="4006" w:type="dxa"/>
          </w:tcPr>
          <w:p w:rsidR="00834BC9" w:rsidRDefault="00834BC9" w:rsidP="00992664">
            <w:pPr>
              <w:pStyle w:val="libFootnote0"/>
              <w:rPr>
                <w:rtl/>
              </w:rPr>
            </w:pPr>
            <w:r>
              <w:rPr>
                <w:rtl/>
              </w:rPr>
              <w:t xml:space="preserve">(1). </w:t>
            </w:r>
            <w:r w:rsidRPr="00020424">
              <w:rPr>
                <w:rtl/>
              </w:rPr>
              <w:t xml:space="preserve">في </w:t>
            </w:r>
            <w:r w:rsidRPr="0012008A">
              <w:rPr>
                <w:rStyle w:val="libFootnoteBoldChar"/>
                <w:rtl/>
              </w:rPr>
              <w:t>الوسائل</w:t>
            </w:r>
            <w:r w:rsidRPr="00020424">
              <w:rPr>
                <w:rtl/>
              </w:rPr>
              <w:t xml:space="preserve"> : « تكون</w:t>
            </w:r>
            <w:r>
              <w:rPr>
                <w:rtl/>
              </w:rPr>
              <w:t xml:space="preserve"> ».</w:t>
            </w:r>
          </w:p>
        </w:tc>
        <w:tc>
          <w:tcPr>
            <w:tcW w:w="4006" w:type="dxa"/>
          </w:tcPr>
          <w:p w:rsidR="00834BC9" w:rsidRDefault="00834BC9" w:rsidP="00992664">
            <w:pPr>
              <w:pStyle w:val="libFootnote0"/>
              <w:rPr>
                <w:rtl/>
              </w:rPr>
            </w:pPr>
            <w:r>
              <w:rPr>
                <w:rtl/>
              </w:rPr>
              <w:t xml:space="preserve">(2). </w:t>
            </w:r>
            <w:r w:rsidRPr="00020424">
              <w:rPr>
                <w:rtl/>
              </w:rPr>
              <w:t>في « بس » : « فيها</w:t>
            </w:r>
            <w:r>
              <w:rPr>
                <w:rtl/>
              </w:rPr>
              <w:t xml:space="preserve"> ».</w:t>
            </w:r>
          </w:p>
        </w:tc>
      </w:tr>
      <w:tr w:rsidR="00834BC9" w:rsidTr="00834BC9">
        <w:tc>
          <w:tcPr>
            <w:tcW w:w="4006" w:type="dxa"/>
          </w:tcPr>
          <w:p w:rsidR="00834BC9" w:rsidRDefault="00834BC9" w:rsidP="00992664">
            <w:pPr>
              <w:pStyle w:val="libFootnote0"/>
              <w:rPr>
                <w:rtl/>
              </w:rPr>
            </w:pPr>
            <w:r>
              <w:rPr>
                <w:rtl/>
              </w:rPr>
              <w:t xml:space="preserve">(3). </w:t>
            </w:r>
            <w:r w:rsidRPr="00020424">
              <w:rPr>
                <w:rtl/>
              </w:rPr>
              <w:t>في « ى ، جن » : « مائتي</w:t>
            </w:r>
            <w:r>
              <w:rPr>
                <w:rtl/>
              </w:rPr>
              <w:t xml:space="preserve"> ».</w:t>
            </w:r>
          </w:p>
        </w:tc>
        <w:tc>
          <w:tcPr>
            <w:tcW w:w="4006" w:type="dxa"/>
          </w:tcPr>
          <w:p w:rsidR="00834BC9" w:rsidRDefault="00834BC9" w:rsidP="00992664">
            <w:pPr>
              <w:pStyle w:val="libFootnote0"/>
              <w:rPr>
                <w:rtl/>
              </w:rPr>
            </w:pPr>
            <w:r>
              <w:rPr>
                <w:rtl/>
              </w:rPr>
              <w:t xml:space="preserve">(4). </w:t>
            </w:r>
            <w:r w:rsidRPr="00020424">
              <w:rPr>
                <w:rtl/>
              </w:rPr>
              <w:t xml:space="preserve">في « بر » </w:t>
            </w:r>
            <w:r w:rsidRPr="00515444">
              <w:rPr>
                <w:rStyle w:val="libFootnoteBoldChar"/>
                <w:rtl/>
              </w:rPr>
              <w:t>والوافي</w:t>
            </w:r>
            <w:r w:rsidRPr="00020424">
              <w:rPr>
                <w:rtl/>
              </w:rPr>
              <w:t xml:space="preserve"> : « سألته » بدون الواو.</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النَيف » : الزيادة ، يخفّف ويشدّد ، وأصله من الواو ، وكلّ ما زاد على عِقْدٍ فهو نيّف حتّى يبلغ العِقْد الثاني. راجع : </w:t>
      </w:r>
      <w:r w:rsidR="00992664" w:rsidRPr="0012008A">
        <w:rPr>
          <w:rStyle w:val="libFootnoteBoldChar"/>
          <w:rtl/>
        </w:rPr>
        <w:t>الصحاح</w:t>
      </w:r>
      <w:r w:rsidR="00992664" w:rsidRPr="00020424">
        <w:rPr>
          <w:rtl/>
        </w:rPr>
        <w:t xml:space="preserve"> ، ج 4 ، ص 1436 ؛ </w:t>
      </w:r>
      <w:r w:rsidR="00992664" w:rsidRPr="0012008A">
        <w:rPr>
          <w:rStyle w:val="libFootnoteBoldChar"/>
          <w:rtl/>
        </w:rPr>
        <w:t>النهاية</w:t>
      </w:r>
      <w:r w:rsidR="00992664" w:rsidRPr="00020424">
        <w:rPr>
          <w:rtl/>
        </w:rPr>
        <w:t xml:space="preserve"> ، ج 5 ، ص 141 ( نيف )</w:t>
      </w:r>
      <w:r w:rsidR="00992664">
        <w:rPr>
          <w:rtl/>
        </w:rPr>
        <w:t>.</w:t>
      </w:r>
    </w:p>
    <w:p w:rsidR="00992664" w:rsidRPr="00020424" w:rsidRDefault="00795177" w:rsidP="00BE378C">
      <w:pPr>
        <w:pStyle w:val="libFootnote0"/>
        <w:rPr>
          <w:rtl/>
          <w:lang w:bidi="fa-IR"/>
        </w:rPr>
      </w:pPr>
      <w:r>
        <w:rPr>
          <w:rtl/>
        </w:rPr>
        <w:t>(6).</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11700. وفي المطبوع : « والخمسة » بإضافة الواو. وفي « بخ » : « من الخمسة</w:t>
      </w:r>
      <w:r w:rsidR="00992664">
        <w:rPr>
          <w:rtl/>
        </w:rPr>
        <w:t xml:space="preserve"> ».</w:t>
      </w:r>
      <w:r w:rsidR="00BE378C">
        <w:rPr>
          <w:rFonts w:hint="cs"/>
          <w:rtl/>
        </w:rPr>
        <w:t xml:space="preserve">                                         </w:t>
      </w:r>
      <w:r>
        <w:rPr>
          <w:rtl/>
        </w:rPr>
        <w:t>(7).</w:t>
      </w:r>
      <w:r w:rsidR="0014403D">
        <w:rPr>
          <w:rtl/>
        </w:rPr>
        <w:t xml:space="preserve"> </w:t>
      </w:r>
      <w:r w:rsidR="00992664" w:rsidRPr="00020424">
        <w:rPr>
          <w:rtl/>
        </w:rPr>
        <w:t>في « بر » : « يعطى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درهماً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بح ، بخ » وحاشية « بث » </w:t>
      </w:r>
      <w:r w:rsidR="00992664" w:rsidRPr="00EB1FD9">
        <w:rPr>
          <w:rStyle w:val="libFootnoteBoldChar"/>
          <w:rtl/>
        </w:rPr>
        <w:t>والوسائل</w:t>
      </w:r>
      <w:r w:rsidR="00992664" w:rsidRPr="00020424">
        <w:rPr>
          <w:rtl/>
        </w:rPr>
        <w:t xml:space="preserve"> ، ح 11700 : « درهماً</w:t>
      </w:r>
      <w:r w:rsidR="00992664">
        <w:rPr>
          <w:rtl/>
        </w:rPr>
        <w:t xml:space="preserve"> ».</w:t>
      </w:r>
    </w:p>
    <w:p w:rsidR="00992664" w:rsidRPr="00020424" w:rsidRDefault="00795177" w:rsidP="00653025">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11 ، ح 29 ؛ </w:t>
      </w:r>
      <w:r w:rsidR="00992664" w:rsidRPr="00FD6221">
        <w:rPr>
          <w:rStyle w:val="libFootnoteBoldChar"/>
          <w:rtl/>
        </w:rPr>
        <w:t>والاستبصار</w:t>
      </w:r>
      <w:r w:rsidR="00992664" w:rsidRPr="00020424">
        <w:rPr>
          <w:rtl/>
        </w:rPr>
        <w:t xml:space="preserve"> ، ج 2 ، ص 13 ، ح 39 ، بسند آخر عن أبي جعفر وأبي عبدالله </w:t>
      </w:r>
      <w:r w:rsidR="00D64ADA" w:rsidRPr="00D64ADA">
        <w:rPr>
          <w:rStyle w:val="libFootnoteAlaemChar"/>
          <w:rtl/>
        </w:rPr>
        <w:t>عليهما‌السلام</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14 ، من دون الإسناد إلى المعصوم </w:t>
      </w:r>
      <w:r w:rsidR="00992664" w:rsidRPr="00D64ADA">
        <w:rPr>
          <w:rStyle w:val="libFootnoteAlaemChar"/>
          <w:rtl/>
        </w:rPr>
        <w:t>عليه‌السلام</w:t>
      </w:r>
      <w:r w:rsidR="00992664" w:rsidRPr="00020424">
        <w:rPr>
          <w:rtl/>
        </w:rPr>
        <w:t xml:space="preserve"> ، مع اختلاف. وراجع :</w:t>
      </w:r>
      <w:r w:rsidR="00992664" w:rsidRPr="0012008A">
        <w:rPr>
          <w:rStyle w:val="libFootnoteBoldChar"/>
          <w:rtl/>
        </w:rPr>
        <w:t>التهذيب</w:t>
      </w:r>
      <w:r w:rsidR="00653025">
        <w:rPr>
          <w:rtl/>
        </w:rPr>
        <w:t xml:space="preserve"> ،ج 4 ،</w:t>
      </w:r>
      <w:r w:rsidR="00992664" w:rsidRPr="00020424">
        <w:rPr>
          <w:rtl/>
        </w:rPr>
        <w:t xml:space="preserve">ص 12 ، ح 30 </w:t>
      </w:r>
      <w:r w:rsidR="00653025">
        <w:rPr>
          <w:rFonts w:hint="cs"/>
          <w:rtl/>
        </w:rPr>
        <w:t>.</w:t>
      </w:r>
      <w:r w:rsidR="00992664" w:rsidRPr="0012008A">
        <w:rPr>
          <w:rStyle w:val="libFootnoteBoldChar"/>
          <w:rtl/>
        </w:rPr>
        <w:t>الوافي</w:t>
      </w:r>
      <w:r w:rsidR="00653025">
        <w:rPr>
          <w:rtl/>
        </w:rPr>
        <w:t>،ج 10،ص 65 ،</w:t>
      </w:r>
      <w:r w:rsidR="00992664" w:rsidRPr="00020424">
        <w:rPr>
          <w:rtl/>
        </w:rPr>
        <w:t>ح 9161 ؛</w:t>
      </w:r>
      <w:r w:rsidR="00992664" w:rsidRPr="0012008A">
        <w:rPr>
          <w:rStyle w:val="libFootnoteBoldChar"/>
          <w:rtl/>
        </w:rPr>
        <w:t>الوسائل</w:t>
      </w:r>
      <w:r w:rsidR="00653025">
        <w:rPr>
          <w:rtl/>
        </w:rPr>
        <w:t xml:space="preserve"> ، ج 9،ص 142،</w:t>
      </w:r>
      <w:r w:rsidR="00992664" w:rsidRPr="00020424">
        <w:rPr>
          <w:rtl/>
        </w:rPr>
        <w:t>ح</w:t>
      </w:r>
      <w:r w:rsidR="00653025">
        <w:rPr>
          <w:rtl/>
        </w:rPr>
        <w:t xml:space="preserve"> 11700؛</w:t>
      </w:r>
      <w:r w:rsidR="00992664" w:rsidRPr="00312263">
        <w:rPr>
          <w:rtl/>
        </w:rPr>
        <w:t>وفيه</w:t>
      </w:r>
      <w:r w:rsidR="00653025">
        <w:rPr>
          <w:rtl/>
        </w:rPr>
        <w:t>،ص 137،ح 11685،إلى قوله:«</w:t>
      </w:r>
      <w:r w:rsidR="00992664" w:rsidRPr="00020424">
        <w:rPr>
          <w:rtl/>
        </w:rPr>
        <w:t>وعدلها من الذهب</w:t>
      </w:r>
      <w:r w:rsidR="00992664">
        <w:rPr>
          <w:rtl/>
        </w:rPr>
        <w:t>».</w:t>
      </w:r>
      <w:r w:rsidR="00653025">
        <w:rPr>
          <w:rFonts w:hint="cs"/>
          <w:rtl/>
        </w:rPr>
        <w:t xml:space="preserve"> </w:t>
      </w:r>
      <w:r>
        <w:rPr>
          <w:rtl/>
        </w:rPr>
        <w:t>(11).</w:t>
      </w:r>
      <w:r w:rsidR="0014403D">
        <w:rPr>
          <w:rtl/>
        </w:rPr>
        <w:t xml:space="preserve"> </w:t>
      </w:r>
      <w:r w:rsidR="00653025">
        <w:rPr>
          <w:rtl/>
        </w:rPr>
        <w:t>في «بخ»</w:t>
      </w:r>
      <w:r w:rsidR="00992664" w:rsidRPr="00EB1FD9">
        <w:rPr>
          <w:rStyle w:val="libFootnoteBoldChar"/>
          <w:rtl/>
        </w:rPr>
        <w:t>والوسائل</w:t>
      </w:r>
      <w:r w:rsidR="00992664" w:rsidRPr="00020424">
        <w:rPr>
          <w:rtl/>
        </w:rPr>
        <w:t>:</w:t>
      </w:r>
      <w:r w:rsidR="009B673F">
        <w:rPr>
          <w:rtl/>
        </w:rPr>
        <w:t>-</w:t>
      </w:r>
      <w:r w:rsidR="00653025">
        <w:rPr>
          <w:rtl/>
        </w:rPr>
        <w:t>«</w:t>
      </w:r>
      <w:r w:rsidR="00992664" w:rsidRPr="00020424">
        <w:rPr>
          <w:rtl/>
        </w:rPr>
        <w:t>بن إبراهيم</w:t>
      </w:r>
      <w:r w:rsidR="00992664">
        <w:rPr>
          <w:rtl/>
        </w:rPr>
        <w:t>».</w:t>
      </w:r>
    </w:p>
    <w:p w:rsidR="00992664" w:rsidRPr="00020424" w:rsidRDefault="00795177" w:rsidP="00653025">
      <w:pPr>
        <w:pStyle w:val="libFootnote0"/>
        <w:rPr>
          <w:rtl/>
          <w:lang w:bidi="fa-IR"/>
        </w:rPr>
      </w:pPr>
      <w:r>
        <w:rPr>
          <w:rtl/>
        </w:rPr>
        <w:t>(12).</w:t>
      </w:r>
      <w:r w:rsidR="0014403D">
        <w:rPr>
          <w:rtl/>
        </w:rPr>
        <w:t xml:space="preserve"> </w:t>
      </w:r>
      <w:r w:rsidR="00992664" w:rsidRPr="00020424">
        <w:rPr>
          <w:rtl/>
        </w:rPr>
        <w:t xml:space="preserve">في « بث ، بخ ، بر » </w:t>
      </w:r>
      <w:r w:rsidR="00992664" w:rsidRPr="00515444">
        <w:rPr>
          <w:rStyle w:val="libFootnoteBoldChar"/>
          <w:rtl/>
        </w:rPr>
        <w:t>والوافي</w:t>
      </w:r>
      <w:r w:rsidR="00992664" w:rsidRPr="00020424">
        <w:rPr>
          <w:rtl/>
        </w:rPr>
        <w:t xml:space="preserve"> : « مائة وتسعون » بدل « تسعون ومائة</w:t>
      </w:r>
      <w:r w:rsidR="00992664">
        <w:rPr>
          <w:rtl/>
        </w:rPr>
        <w:t xml:space="preserve"> ».</w:t>
      </w:r>
      <w:r w:rsidR="00992664" w:rsidRPr="00020424">
        <w:rPr>
          <w:rtl/>
        </w:rPr>
        <w:t xml:space="preserve"> وفي « بح » : « ومائتا » بدل « ومائة</w:t>
      </w:r>
      <w:r w:rsidR="00992664">
        <w:rPr>
          <w:rtl/>
        </w:rPr>
        <w:t xml:space="preserve"> ».</w:t>
      </w:r>
      <w:r w:rsidR="00992664" w:rsidRPr="00020424">
        <w:rPr>
          <w:rtl/>
        </w:rPr>
        <w:t xml:space="preserve"> وفي « بف » :</w:t>
      </w:r>
      <w:r w:rsidR="00992664">
        <w:rPr>
          <w:rtl/>
        </w:rPr>
        <w:t xml:space="preserve"> </w:t>
      </w:r>
      <w:r w:rsidR="009B673F">
        <w:rPr>
          <w:rtl/>
        </w:rPr>
        <w:t>-</w:t>
      </w:r>
      <w:r w:rsidR="00992664">
        <w:rPr>
          <w:rtl/>
        </w:rPr>
        <w:t xml:space="preserve"> </w:t>
      </w:r>
      <w:r w:rsidR="00992664" w:rsidRPr="00020424">
        <w:rPr>
          <w:rtl/>
        </w:rPr>
        <w:t>« ومائة</w:t>
      </w:r>
      <w:r w:rsidR="00992664">
        <w:rPr>
          <w:rtl/>
        </w:rPr>
        <w:t xml:space="preserve"> ».</w:t>
      </w:r>
      <w:r w:rsidR="00653025">
        <w:rPr>
          <w:rFonts w:hint="cs"/>
          <w:rtl/>
        </w:rPr>
        <w:t xml:space="preserve">        </w:t>
      </w:r>
      <w:r>
        <w:rPr>
          <w:rtl/>
        </w:rPr>
        <w:t>(13).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درهماً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Pr>
          <w:rtl/>
        </w:rPr>
        <w:t>في « بر » : « أ</w:t>
      </w:r>
      <w:r w:rsidR="00992664" w:rsidRPr="00020424">
        <w:rPr>
          <w:rtl/>
        </w:rPr>
        <w:t>عليهما</w:t>
      </w:r>
      <w:r w:rsidR="00992664">
        <w:rPr>
          <w:rtl/>
        </w:rPr>
        <w:t xml:space="preserve"> ».</w:t>
      </w:r>
      <w:r w:rsidR="00992664" w:rsidRPr="00020424">
        <w:rPr>
          <w:rtl/>
        </w:rPr>
        <w:t xml:space="preserve"> وفي « بف ، جن » : « عليها » بدون همزة الاستفهام.</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 « إِذَا اجْتَمَعَ الذَّهَبُ وَالْفِضَّةُ ، فَبَلَغَ ذلِكَ مِائَتَيْ دِرْهَمٍ ، فَفِيهَا الزَّكَاةُ ؛ لِأَنَّ عَيْنَ الْمَالِ الدَّرَاهِمُ ، وَكُلُّ مَا خَلَا الدَّرَاهِمَ مِنْ ذَهَبٍ أَوْ مَتَاعٍ ، فَهُوَ عَرْضٌ مَرْدُودٌ ذلِكَ </w:t>
      </w:r>
      <w:r w:rsidRPr="00A91B96">
        <w:rPr>
          <w:rStyle w:val="libFootnotenumChar"/>
          <w:rtl/>
        </w:rPr>
        <w:t>(1)</w:t>
      </w:r>
      <w:r w:rsidRPr="00020424">
        <w:rPr>
          <w:rtl/>
          <w:lang w:bidi="fa-IR"/>
        </w:rPr>
        <w:t xml:space="preserve"> إِلَى الدَّرَاهِمِ فِي الزَّكَاةِ وَالدِّيَاتِ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312263">
        <w:rPr>
          <w:rtl/>
        </w:rPr>
        <w:t>5797</w:t>
      </w:r>
      <w:r w:rsidRPr="001155DE">
        <w:rPr>
          <w:rStyle w:val="libBold2Char"/>
          <w:rtl/>
        </w:rPr>
        <w:t xml:space="preserve"> / 9.</w:t>
      </w:r>
      <w:r w:rsidRPr="00020424">
        <w:rPr>
          <w:rtl/>
          <w:lang w:bidi="fa-IR"/>
        </w:rPr>
        <w:t xml:space="preserve"> مُحَمَّدُ بْنُ يَحْيى ، عَنْ مُحَمَّدِ بْنِ الْحُسَيْنِ ، عَنْ مُحَمَّدِ بْنِ عَبْدِ اللهِ بْنِ هِلَالٍ ، عَنِ الْعَلَاءِ بْنِ رَزِينٍ ، عَنْ زَيْدٍ </w:t>
      </w:r>
      <w:r w:rsidRPr="00A91B96">
        <w:rPr>
          <w:rStyle w:val="libFootnotenumChar"/>
          <w:rtl/>
        </w:rPr>
        <w:t>(4)</w:t>
      </w:r>
      <w:r w:rsidRPr="00020424">
        <w:rPr>
          <w:rtl/>
          <w:lang w:bidi="fa-IR"/>
        </w:rPr>
        <w:t xml:space="preserve"> الصَّائِغِ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إِنِّي كُنْتُ فِي قَرْيَةٍ مِنْ قُرى خُرَاسَانَ يُقَالُ لَهَا </w:t>
      </w:r>
      <w:r w:rsidRPr="00A91B96">
        <w:rPr>
          <w:rStyle w:val="libFootnotenumChar"/>
          <w:rtl/>
        </w:rPr>
        <w:t>(5)</w:t>
      </w:r>
      <w:r w:rsidRPr="00020424">
        <w:rPr>
          <w:rtl/>
          <w:lang w:bidi="fa-IR"/>
        </w:rPr>
        <w:t xml:space="preserve"> : بُخَارى ، فَرَأَيْتُ فِيهَا </w:t>
      </w:r>
      <w:r w:rsidRPr="00A91B96">
        <w:rPr>
          <w:rStyle w:val="libFootnotenumChar"/>
          <w:rtl/>
        </w:rPr>
        <w:t>(6)</w:t>
      </w:r>
      <w:r w:rsidRPr="00020424">
        <w:rPr>
          <w:rtl/>
          <w:lang w:bidi="fa-IR"/>
        </w:rPr>
        <w:t xml:space="preserve"> دَرَاهِمَ </w:t>
      </w:r>
      <w:r w:rsidRPr="00A91B96">
        <w:rPr>
          <w:rStyle w:val="libFootnotenumChar"/>
          <w:rtl/>
        </w:rPr>
        <w:t>(7)</w:t>
      </w:r>
      <w:r w:rsidRPr="00020424">
        <w:rPr>
          <w:rtl/>
          <w:lang w:bidi="fa-IR"/>
        </w:rPr>
        <w:t xml:space="preserve"> تُعْمَلُ </w:t>
      </w:r>
      <w:r w:rsidRPr="00A91B96">
        <w:rPr>
          <w:rStyle w:val="libFootnotenumChar"/>
          <w:rtl/>
        </w:rPr>
        <w:t>(8)</w:t>
      </w:r>
      <w:r w:rsidRPr="00020424">
        <w:rPr>
          <w:rtl/>
          <w:lang w:bidi="fa-IR"/>
        </w:rPr>
        <w:t xml:space="preserve"> : ثُلُثٌ فِضَّةٌ ، وَثُلُثٌ‌</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بس ، جن » :</w:t>
      </w:r>
      <w:r w:rsidR="00992664">
        <w:rPr>
          <w:rtl/>
        </w:rPr>
        <w:t xml:space="preserve"> </w:t>
      </w:r>
      <w:r w:rsidR="009B673F">
        <w:rPr>
          <w:rtl/>
        </w:rPr>
        <w:t>-</w:t>
      </w:r>
      <w:r w:rsidR="00992664">
        <w:rPr>
          <w:rtl/>
        </w:rPr>
        <w:t xml:space="preserve"> </w:t>
      </w:r>
      <w:r w:rsidR="00992664" w:rsidRPr="00020424">
        <w:rPr>
          <w:rtl/>
        </w:rPr>
        <w:t>« ذلك</w:t>
      </w:r>
      <w:r w:rsidR="00992664">
        <w:rPr>
          <w:rtl/>
        </w:rPr>
        <w:t xml:space="preserve"> ».</w:t>
      </w:r>
      <w:r w:rsidR="00992664" w:rsidRPr="00020424">
        <w:rPr>
          <w:rtl/>
        </w:rPr>
        <w:t xml:space="preserve"> وفي « بر » : « وذلك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حملهما</w:t>
      </w:r>
      <w:r w:rsidR="00992664">
        <w:rPr>
          <w:rtl/>
        </w:rPr>
        <w:t xml:space="preserve"> </w:t>
      </w:r>
      <w:r w:rsidR="009B673F">
        <w:rPr>
          <w:rtl/>
        </w:rPr>
        <w:t>-</w:t>
      </w:r>
      <w:r w:rsidR="00992664">
        <w:rPr>
          <w:rtl/>
        </w:rPr>
        <w:t xml:space="preserve"> </w:t>
      </w:r>
      <w:r w:rsidR="00992664" w:rsidRPr="00020424">
        <w:rPr>
          <w:rtl/>
        </w:rPr>
        <w:t>أي الخبر الخامس والثامن</w:t>
      </w:r>
      <w:r w:rsidR="00992664">
        <w:rPr>
          <w:rtl/>
        </w:rPr>
        <w:t xml:space="preserve"> </w:t>
      </w:r>
      <w:r w:rsidR="009B673F">
        <w:rPr>
          <w:rtl/>
        </w:rPr>
        <w:t>-</w:t>
      </w:r>
      <w:r w:rsidR="00992664">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ين على أنّ قيمة عشرين ديناراً كانت في ذلك الوقت مائتي درهم ، ولهذا تراهم كانوا يجعلون الدينار في مقابلة عشرة دراهم في الديات وغيرها ، وجعل في </w:t>
      </w:r>
      <w:r w:rsidR="00992664" w:rsidRPr="0012008A">
        <w:rPr>
          <w:rStyle w:val="libFootnoteBoldChar"/>
          <w:rtl/>
        </w:rPr>
        <w:t>التهذيب</w:t>
      </w:r>
      <w:r w:rsidR="00992664" w:rsidRPr="00020424">
        <w:rPr>
          <w:rtl/>
        </w:rPr>
        <w:t xml:space="preserve"> المشار إليه في قوله : فبلغ ذلك مائتي درهم ، في صدر الخبر الأوّل</w:t>
      </w:r>
      <w:r w:rsidR="00992664">
        <w:rPr>
          <w:rtl/>
        </w:rPr>
        <w:t xml:space="preserve"> </w:t>
      </w:r>
      <w:r w:rsidR="009B673F">
        <w:rPr>
          <w:rtl/>
        </w:rPr>
        <w:t>-</w:t>
      </w:r>
      <w:r w:rsidR="00992664">
        <w:rPr>
          <w:rtl/>
        </w:rPr>
        <w:t xml:space="preserve"> </w:t>
      </w:r>
      <w:r w:rsidR="00992664" w:rsidRPr="00020424">
        <w:rPr>
          <w:rtl/>
        </w:rPr>
        <w:t>وهو الثامن هنا</w:t>
      </w:r>
      <w:r w:rsidR="00992664">
        <w:rPr>
          <w:rtl/>
        </w:rPr>
        <w:t xml:space="preserve"> </w:t>
      </w:r>
      <w:r w:rsidR="009B673F">
        <w:rPr>
          <w:rtl/>
        </w:rPr>
        <w:t>-</w:t>
      </w:r>
      <w:r w:rsidR="00992664">
        <w:rPr>
          <w:rtl/>
        </w:rPr>
        <w:t xml:space="preserve"> </w:t>
      </w:r>
      <w:r w:rsidR="00992664" w:rsidRPr="00020424">
        <w:rPr>
          <w:rtl/>
        </w:rPr>
        <w:t>كلّ واحد من الذهب والفضّة باعتبار القيمة في الذهب ، واحتمل تنزيله على من جعل ماله جنسين للفرار من الزكاة عقوبة له على ذلك ، كما مرّ في حديث إسحاق</w:t>
      </w:r>
      <w:r w:rsidR="00992664">
        <w:rPr>
          <w:rtl/>
        </w:rPr>
        <w:t xml:space="preserve"> </w:t>
      </w:r>
      <w:r w:rsidR="009B673F">
        <w:rPr>
          <w:rtl/>
        </w:rPr>
        <w:t>-</w:t>
      </w:r>
      <w:r w:rsidR="00992664">
        <w:rPr>
          <w:rtl/>
        </w:rPr>
        <w:t xml:space="preserve"> </w:t>
      </w:r>
      <w:r w:rsidR="00992664" w:rsidRPr="00020424">
        <w:rPr>
          <w:rtl/>
        </w:rPr>
        <w:t>وهو الثامن هنا</w:t>
      </w:r>
      <w:r w:rsidR="00992664">
        <w:rPr>
          <w:rtl/>
        </w:rPr>
        <w:t xml:space="preserve"> </w:t>
      </w:r>
      <w:r w:rsidR="009B673F">
        <w:rPr>
          <w:rtl/>
        </w:rPr>
        <w:t>-</w:t>
      </w:r>
      <w:r w:rsidR="00992664">
        <w:rPr>
          <w:rtl/>
        </w:rPr>
        <w:t xml:space="preserve"> </w:t>
      </w:r>
      <w:r w:rsidR="00992664" w:rsidRPr="00020424">
        <w:rPr>
          <w:rtl/>
        </w:rPr>
        <w:t>وجوّز في الاستبصار حمله على التقيّة ؛ لأنّ ذلك مذهب العامّة. وهذا هو الصواب في كلا الخبرين. قيل : ويحتمل أن يكون المراد بالخبر الأوّل</w:t>
      </w:r>
      <w:r w:rsidR="00992664">
        <w:rPr>
          <w:rtl/>
        </w:rPr>
        <w:t xml:space="preserve"> </w:t>
      </w:r>
      <w:r w:rsidR="009B673F">
        <w:rPr>
          <w:rtl/>
        </w:rPr>
        <w:t>-</w:t>
      </w:r>
      <w:r w:rsidR="00992664">
        <w:rPr>
          <w:rtl/>
        </w:rPr>
        <w:t xml:space="preserve"> </w:t>
      </w:r>
      <w:r w:rsidR="00992664" w:rsidRPr="00020424">
        <w:rPr>
          <w:rtl/>
        </w:rPr>
        <w:t>وهو الثامن هنا</w:t>
      </w:r>
      <w:r w:rsidR="00992664">
        <w:rPr>
          <w:rtl/>
        </w:rPr>
        <w:t xml:space="preserve"> </w:t>
      </w:r>
      <w:r w:rsidR="009B673F">
        <w:rPr>
          <w:rtl/>
        </w:rPr>
        <w:t>-</w:t>
      </w:r>
      <w:r w:rsidR="00992664">
        <w:rPr>
          <w:rtl/>
        </w:rPr>
        <w:t xml:space="preserve"> </w:t>
      </w:r>
      <w:r w:rsidR="00992664" w:rsidRPr="00020424">
        <w:rPr>
          <w:rtl/>
        </w:rPr>
        <w:t xml:space="preserve">زكاة التجارة ؛ فإنّ المرجع فيها إلى </w:t>
      </w:r>
      <w:r w:rsidR="0084422A">
        <w:rPr>
          <w:rtl/>
        </w:rPr>
        <w:t>القيمة ، ويؤيّده آخر الحديث إل</w:t>
      </w:r>
      <w:r w:rsidR="0084422A">
        <w:rPr>
          <w:rFonts w:hint="cs"/>
          <w:rtl/>
        </w:rPr>
        <w:t>ّ</w:t>
      </w:r>
      <w:r w:rsidR="0084422A">
        <w:rPr>
          <w:rtl/>
        </w:rPr>
        <w:t>ا</w:t>
      </w:r>
      <w:r w:rsidR="00992664">
        <w:rPr>
          <w:rFonts w:hint="cs"/>
          <w:rtl/>
        </w:rPr>
        <w:t xml:space="preserve"> </w:t>
      </w:r>
      <w:r w:rsidR="00992664" w:rsidRPr="00020424">
        <w:rPr>
          <w:rtl/>
        </w:rPr>
        <w:t>أنّ هذا إنّما يصحّ إذا كان اتّخاذ الذهب للتجارة ، وعلى هذا فالاحتمال جار في الخبر الثاني</w:t>
      </w:r>
      <w:r w:rsidR="00992664">
        <w:rPr>
          <w:rtl/>
        </w:rPr>
        <w:t xml:space="preserve"> </w:t>
      </w:r>
      <w:r w:rsidR="009B673F">
        <w:rPr>
          <w:rtl/>
        </w:rPr>
        <w:t>-</w:t>
      </w:r>
      <w:r w:rsidR="00992664">
        <w:rPr>
          <w:rtl/>
        </w:rPr>
        <w:t xml:space="preserve"> </w:t>
      </w:r>
      <w:r w:rsidR="00992664" w:rsidRPr="00020424">
        <w:rPr>
          <w:rtl/>
        </w:rPr>
        <w:t>وهوالخامس هنا</w:t>
      </w:r>
      <w:r w:rsidR="00992664">
        <w:rPr>
          <w:rtl/>
        </w:rPr>
        <w:t xml:space="preserve"> </w:t>
      </w:r>
      <w:r w:rsidR="009B673F">
        <w:rPr>
          <w:rtl/>
        </w:rPr>
        <w:t>-</w:t>
      </w:r>
      <w:r w:rsidR="00992664">
        <w:rPr>
          <w:rtl/>
        </w:rPr>
        <w:t xml:space="preserve"> </w:t>
      </w:r>
      <w:r w:rsidR="00992664" w:rsidRPr="00020424">
        <w:rPr>
          <w:rtl/>
        </w:rPr>
        <w:t>أيضاً</w:t>
      </w:r>
      <w:r w:rsidR="00992664">
        <w:rPr>
          <w:rtl/>
        </w:rPr>
        <w:t xml:space="preserve"> ».</w:t>
      </w:r>
    </w:p>
    <w:p w:rsidR="00992664" w:rsidRPr="00020424" w:rsidRDefault="00992664" w:rsidP="0084422A">
      <w:pPr>
        <w:pStyle w:val="libFootnote0"/>
        <w:rPr>
          <w:rtl/>
          <w:lang w:bidi="fa-IR"/>
        </w:rPr>
      </w:pPr>
      <w:r w:rsidRPr="0084422A">
        <w:rPr>
          <w:rtl/>
        </w:rPr>
        <w:t xml:space="preserve">وفي </w:t>
      </w:r>
      <w:r w:rsidRPr="0084422A">
        <w:rPr>
          <w:rStyle w:val="libFootnoteBoldChar"/>
          <w:rtl/>
        </w:rPr>
        <w:t xml:space="preserve">مرآة العقول </w:t>
      </w:r>
      <w:r w:rsidRPr="0084422A">
        <w:rPr>
          <w:rtl/>
        </w:rPr>
        <w:t xml:space="preserve">، ج 16 ، ص 33 : « حمله الشيخ في </w:t>
      </w:r>
      <w:r w:rsidRPr="00312263">
        <w:rPr>
          <w:rtl/>
        </w:rPr>
        <w:t>الاستبصار</w:t>
      </w:r>
      <w:r w:rsidRPr="0084422A">
        <w:rPr>
          <w:rtl/>
        </w:rPr>
        <w:t xml:space="preserve"> تارة على التقيّة وا</w:t>
      </w:r>
      <w:r w:rsidR="0084422A">
        <w:rPr>
          <w:rFonts w:hint="cs"/>
          <w:rtl/>
        </w:rPr>
        <w:t>ُ</w:t>
      </w:r>
      <w:r w:rsidRPr="0084422A">
        <w:rPr>
          <w:rtl/>
        </w:rPr>
        <w:t>خرى على ما إذا فرّ به من الزكاة. أقول : يمكن حمله على الاستحباب أيضاً ، أو على زكاة التجارة بقرينة ذكر المتاع ، ويمكن أن يحمل على أنّ المراد اجتماع كلّ من الذهب والفضّة منفرداً بقدر مأتي درهم ، ويكون المراد أنّ المعتبر في الذهب كونها بوزن مأتي درهم ، كما دلّ عليه غيره من الأخبار وإن كان خلاف المشهور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93 ، ح 269 ؛ </w:t>
      </w:r>
      <w:r w:rsidR="00992664" w:rsidRPr="00FD6221">
        <w:rPr>
          <w:rStyle w:val="libFootnoteBoldChar"/>
          <w:rtl/>
        </w:rPr>
        <w:t>والاستبصار</w:t>
      </w:r>
      <w:r w:rsidR="00992664" w:rsidRPr="00020424">
        <w:rPr>
          <w:rtl/>
        </w:rPr>
        <w:t xml:space="preserve"> ، ج 2 ، ص 39 ، ح 121 ، معلّقاً عن الكليني </w:t>
      </w:r>
      <w:r w:rsidR="006C5AC7">
        <w:rPr>
          <w:rFonts w:hint="cs"/>
          <w:rtl/>
        </w:rPr>
        <w:t>.</w:t>
      </w:r>
      <w:r w:rsidR="00992664" w:rsidRPr="0012008A">
        <w:rPr>
          <w:rStyle w:val="libFootnoteBoldChar"/>
          <w:rtl/>
        </w:rPr>
        <w:t>الوافي</w:t>
      </w:r>
      <w:r w:rsidR="00992664" w:rsidRPr="00020424">
        <w:rPr>
          <w:rtl/>
        </w:rPr>
        <w:t xml:space="preserve"> ، ج 10 ، ص 70 ، ح 9174 ؛ </w:t>
      </w:r>
      <w:r w:rsidR="00992664" w:rsidRPr="0012008A">
        <w:rPr>
          <w:rStyle w:val="libFootnoteBoldChar"/>
          <w:rtl/>
        </w:rPr>
        <w:t>الوسائل</w:t>
      </w:r>
      <w:r w:rsidR="00992664" w:rsidRPr="00020424">
        <w:rPr>
          <w:rtl/>
        </w:rPr>
        <w:t xml:space="preserve"> ، ج 9 ، ص 139 ، ح 11691.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 « بريد</w:t>
      </w:r>
      <w:r w:rsidR="00992664">
        <w:rPr>
          <w:rtl/>
        </w:rPr>
        <w:t xml:space="preserve"> ».</w:t>
      </w:r>
      <w:r w:rsidR="00992664" w:rsidRPr="00020424">
        <w:rPr>
          <w:rtl/>
        </w:rPr>
        <w:t xml:space="preserve"> ولا يبعد كون الصواب هو « يزيد الصائغ » ؛ فإنّه هو المذكور في كتب الرجال ، ووردت روايته عن أبي جعفر وأبي عبدالله </w:t>
      </w:r>
      <w:r w:rsidR="00D64ADA" w:rsidRPr="00D64ADA">
        <w:rPr>
          <w:rStyle w:val="libFootnoteAlaemChar"/>
          <w:rtl/>
        </w:rPr>
        <w:t>عليهما‌السلام</w:t>
      </w:r>
      <w:r w:rsidR="00992664" w:rsidRPr="00020424">
        <w:rPr>
          <w:rtl/>
        </w:rPr>
        <w:t xml:space="preserve"> في بعض الأسناد. راجع : </w:t>
      </w:r>
      <w:r w:rsidR="00992664" w:rsidRPr="00312263">
        <w:rPr>
          <w:rtl/>
        </w:rPr>
        <w:t>رجال البرقي</w:t>
      </w:r>
      <w:r w:rsidR="00992664" w:rsidRPr="00020424">
        <w:rPr>
          <w:rtl/>
        </w:rPr>
        <w:t xml:space="preserve"> ، ص 12 ؛ </w:t>
      </w:r>
      <w:r w:rsidR="00992664" w:rsidRPr="00312263">
        <w:rPr>
          <w:rtl/>
        </w:rPr>
        <w:t>رجال الكشّي</w:t>
      </w:r>
      <w:r w:rsidR="00992664" w:rsidRPr="00020424">
        <w:rPr>
          <w:rtl/>
        </w:rPr>
        <w:t xml:space="preserve"> ، ص 546 ، الرقم 1033 ؛ </w:t>
      </w:r>
      <w:r w:rsidR="00992664" w:rsidRPr="00312263">
        <w:rPr>
          <w:rtl/>
        </w:rPr>
        <w:t>معجم رجال الحديث</w:t>
      </w:r>
      <w:r w:rsidR="00992664" w:rsidRPr="00020424">
        <w:rPr>
          <w:rtl/>
        </w:rPr>
        <w:t xml:space="preserve"> ، ج 20 ، ص 121 ، الرقم 13686.</w:t>
      </w:r>
    </w:p>
    <w:tbl>
      <w:tblPr>
        <w:tblStyle w:val="TableGrid"/>
        <w:bidiVisual/>
        <w:tblW w:w="0" w:type="auto"/>
        <w:tblLook w:val="04A0" w:firstRow="1" w:lastRow="0" w:firstColumn="1" w:lastColumn="0" w:noHBand="0" w:noVBand="1"/>
      </w:tblPr>
      <w:tblGrid>
        <w:gridCol w:w="4006"/>
        <w:gridCol w:w="4006"/>
      </w:tblGrid>
      <w:tr w:rsidR="006C5AC7" w:rsidTr="006C5AC7">
        <w:tc>
          <w:tcPr>
            <w:tcW w:w="4006" w:type="dxa"/>
          </w:tcPr>
          <w:p w:rsidR="006C5AC7" w:rsidRDefault="006C5AC7" w:rsidP="00992664">
            <w:pPr>
              <w:pStyle w:val="libFootnote0"/>
              <w:rPr>
                <w:rtl/>
              </w:rPr>
            </w:pPr>
            <w:r>
              <w:rPr>
                <w:rtl/>
              </w:rPr>
              <w:t xml:space="preserve">(5). </w:t>
            </w:r>
            <w:r w:rsidRPr="00020424">
              <w:rPr>
                <w:rtl/>
              </w:rPr>
              <w:t>في « بر » :</w:t>
            </w:r>
            <w:r>
              <w:rPr>
                <w:rtl/>
              </w:rPr>
              <w:t xml:space="preserve"> - </w:t>
            </w:r>
            <w:r w:rsidRPr="00020424">
              <w:rPr>
                <w:rtl/>
              </w:rPr>
              <w:t>« لها</w:t>
            </w:r>
            <w:r>
              <w:rPr>
                <w:rtl/>
              </w:rPr>
              <w:t xml:space="preserve"> ».</w:t>
            </w:r>
          </w:p>
        </w:tc>
        <w:tc>
          <w:tcPr>
            <w:tcW w:w="4006" w:type="dxa"/>
          </w:tcPr>
          <w:p w:rsidR="006C5AC7" w:rsidRDefault="006C5AC7" w:rsidP="00992664">
            <w:pPr>
              <w:pStyle w:val="libFootnote0"/>
              <w:rPr>
                <w:rtl/>
              </w:rPr>
            </w:pPr>
            <w:r>
              <w:rPr>
                <w:rtl/>
              </w:rPr>
              <w:t xml:space="preserve">(6). </w:t>
            </w:r>
            <w:r w:rsidRPr="00020424">
              <w:rPr>
                <w:rtl/>
              </w:rPr>
              <w:t>في « بث ، بح » وحاشية « جن » : « بها</w:t>
            </w:r>
            <w:r>
              <w:rPr>
                <w:rtl/>
              </w:rPr>
              <w:t xml:space="preserve"> ».</w:t>
            </w:r>
          </w:p>
        </w:tc>
      </w:tr>
      <w:tr w:rsidR="006C5AC7" w:rsidTr="006C5AC7">
        <w:tc>
          <w:tcPr>
            <w:tcW w:w="4006" w:type="dxa"/>
          </w:tcPr>
          <w:p w:rsidR="006C5AC7" w:rsidRDefault="006C5AC7"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 « درهماً</w:t>
            </w:r>
            <w:r>
              <w:rPr>
                <w:rtl/>
              </w:rPr>
              <w:t xml:space="preserve"> ».</w:t>
            </w:r>
          </w:p>
        </w:tc>
        <w:tc>
          <w:tcPr>
            <w:tcW w:w="4006" w:type="dxa"/>
          </w:tcPr>
          <w:p w:rsidR="006C5AC7" w:rsidRDefault="006C5AC7" w:rsidP="00992664">
            <w:pPr>
              <w:pStyle w:val="libFootnote0"/>
              <w:rPr>
                <w:rtl/>
              </w:rPr>
            </w:pPr>
            <w:r>
              <w:rPr>
                <w:rtl/>
              </w:rPr>
              <w:t xml:space="preserve">(8). </w:t>
            </w:r>
            <w:r w:rsidRPr="00020424">
              <w:rPr>
                <w:rtl/>
              </w:rPr>
              <w:t xml:space="preserve">في « بر ، بس ، بف » </w:t>
            </w:r>
            <w:r w:rsidRPr="00515444">
              <w:rPr>
                <w:rStyle w:val="libFootnoteBoldChar"/>
                <w:rtl/>
              </w:rPr>
              <w:t>والوافي</w:t>
            </w:r>
            <w:r w:rsidRPr="00020424">
              <w:rPr>
                <w:rtl/>
              </w:rPr>
              <w:t xml:space="preserve"> : « يعمل</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0F61B4">
      <w:pPr>
        <w:pStyle w:val="libNormal0"/>
        <w:rPr>
          <w:rtl/>
          <w:lang w:bidi="fa-IR"/>
        </w:rPr>
      </w:pPr>
      <w:r w:rsidRPr="00020424">
        <w:rPr>
          <w:rtl/>
          <w:lang w:bidi="fa-IR"/>
        </w:rPr>
        <w:lastRenderedPageBreak/>
        <w:t xml:space="preserve">مِسٌّ </w:t>
      </w:r>
      <w:r w:rsidRPr="00A91B96">
        <w:rPr>
          <w:rStyle w:val="libFootnotenumChar"/>
          <w:rtl/>
        </w:rPr>
        <w:t>(1)</w:t>
      </w:r>
      <w:r w:rsidRPr="00020424">
        <w:rPr>
          <w:rtl/>
          <w:lang w:bidi="fa-IR"/>
        </w:rPr>
        <w:t xml:space="preserve"> ، وَثُلُثٌ رَصَاصٌ </w:t>
      </w:r>
      <w:r w:rsidRPr="00A91B96">
        <w:rPr>
          <w:rStyle w:val="libFootnotenumChar"/>
          <w:rtl/>
        </w:rPr>
        <w:t>(2)</w:t>
      </w:r>
      <w:r w:rsidRPr="00020424">
        <w:rPr>
          <w:rtl/>
          <w:lang w:bidi="fa-IR"/>
        </w:rPr>
        <w:t xml:space="preserve"> ، وَكَانَتْ تَجُوزُ عِنْدَهُمْ ، وَكُنْتُ أَعْمَلُهَا وَأُنْفِقُهَا</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فَقَالَ أَبُو عَبْدِ اللهِ </w:t>
      </w:r>
      <w:r w:rsidRPr="00005A81">
        <w:rPr>
          <w:rStyle w:val="libAlaemChar"/>
          <w:rtl/>
        </w:rPr>
        <w:t>عليه‌السلام</w:t>
      </w:r>
      <w:r w:rsidRPr="00020424">
        <w:rPr>
          <w:rtl/>
          <w:lang w:bidi="fa-IR"/>
        </w:rPr>
        <w:t xml:space="preserve"> : « لَا بَأْسَ بِذلِكَ إِذَا كَانَتْ </w:t>
      </w:r>
      <w:r w:rsidRPr="00A91B96">
        <w:rPr>
          <w:rStyle w:val="libFootnotenumChar"/>
          <w:rtl/>
        </w:rPr>
        <w:t>(4)</w:t>
      </w:r>
      <w:r w:rsidRPr="00020424">
        <w:rPr>
          <w:rtl/>
          <w:lang w:bidi="fa-IR"/>
        </w:rPr>
        <w:t xml:space="preserve"> تَجُوزُ </w:t>
      </w:r>
      <w:r w:rsidRPr="00A91B96">
        <w:rPr>
          <w:rStyle w:val="libFootnotenumChar"/>
          <w:rtl/>
        </w:rPr>
        <w:t>(5)</w:t>
      </w:r>
      <w:r w:rsidRPr="00020424">
        <w:rPr>
          <w:rtl/>
          <w:lang w:bidi="fa-IR"/>
        </w:rPr>
        <w:t xml:space="preserve"> عِنْدَهُمْ</w:t>
      </w:r>
      <w:r>
        <w:rPr>
          <w:rtl/>
          <w:lang w:bidi="fa-IR"/>
        </w:rPr>
        <w:t xml:space="preserve"> ».</w:t>
      </w:r>
    </w:p>
    <w:p w:rsidR="00992664" w:rsidRPr="00020424" w:rsidRDefault="00992664" w:rsidP="00992664">
      <w:pPr>
        <w:pStyle w:val="libNormal"/>
        <w:rPr>
          <w:rtl/>
          <w:lang w:bidi="fa-IR"/>
        </w:rPr>
      </w:pPr>
      <w:r>
        <w:rPr>
          <w:rtl/>
          <w:lang w:bidi="fa-IR"/>
        </w:rPr>
        <w:t>فَقُلْتُ : أَ</w:t>
      </w:r>
      <w:r w:rsidRPr="00020424">
        <w:rPr>
          <w:rtl/>
          <w:lang w:bidi="fa-IR"/>
        </w:rPr>
        <w:t xml:space="preserve">رَأَيْتَ إِنْ حَالَ عَلَيْهَا الْحَوْلُ وَهِيَ </w:t>
      </w:r>
      <w:r w:rsidRPr="00A91B96">
        <w:rPr>
          <w:rStyle w:val="libFootnotenumChar"/>
          <w:rtl/>
        </w:rPr>
        <w:t>(6)</w:t>
      </w:r>
      <w:r w:rsidRPr="00020424">
        <w:rPr>
          <w:rtl/>
          <w:lang w:bidi="fa-IR"/>
        </w:rPr>
        <w:t xml:space="preserve"> عِنْدِي وَفِيهَا </w:t>
      </w:r>
      <w:r w:rsidRPr="00A91B96">
        <w:rPr>
          <w:rStyle w:val="libFootnotenumChar"/>
          <w:rtl/>
        </w:rPr>
        <w:t>(7)</w:t>
      </w:r>
      <w:r w:rsidRPr="00020424">
        <w:rPr>
          <w:rtl/>
          <w:lang w:bidi="fa-IR"/>
        </w:rPr>
        <w:t xml:space="preserve"> مَا يَجِبُ </w:t>
      </w:r>
      <w:r w:rsidRPr="00A91B96">
        <w:rPr>
          <w:rStyle w:val="libFootnotenumChar"/>
          <w:rtl/>
        </w:rPr>
        <w:t>(8)</w:t>
      </w:r>
      <w:r w:rsidRPr="00020424">
        <w:rPr>
          <w:rtl/>
          <w:lang w:bidi="fa-IR"/>
        </w:rPr>
        <w:t xml:space="preserve"> عَلَيَّ </w:t>
      </w:r>
      <w:r w:rsidRPr="00A91B96">
        <w:rPr>
          <w:rStyle w:val="libFootnotenumChar"/>
          <w:rtl/>
        </w:rPr>
        <w:t>(9)</w:t>
      </w:r>
      <w:r w:rsidRPr="00020424">
        <w:rPr>
          <w:rtl/>
          <w:lang w:bidi="fa-IR"/>
        </w:rPr>
        <w:t xml:space="preserve"> فِيهِ </w:t>
      </w:r>
      <w:r w:rsidRPr="00A91B96">
        <w:rPr>
          <w:rStyle w:val="libFootnotenumChar"/>
          <w:rtl/>
        </w:rPr>
        <w:t>(10)</w:t>
      </w:r>
      <w:r w:rsidRPr="00020424">
        <w:rPr>
          <w:rtl/>
          <w:lang w:bidi="fa-IR"/>
        </w:rPr>
        <w:t xml:space="preserve"> الزَّكَاةُ أُزَكِّيهَا</w:t>
      </w:r>
      <w:r>
        <w:rPr>
          <w:rtl/>
          <w:lang w:bidi="fa-IR"/>
        </w:rPr>
        <w:t>؟</w:t>
      </w:r>
    </w:p>
    <w:p w:rsidR="00992664" w:rsidRPr="00020424" w:rsidRDefault="00992664" w:rsidP="00992664">
      <w:pPr>
        <w:pStyle w:val="libNormal"/>
        <w:rPr>
          <w:rtl/>
          <w:lang w:bidi="fa-IR"/>
        </w:rPr>
      </w:pPr>
      <w:r w:rsidRPr="00020424">
        <w:rPr>
          <w:rtl/>
          <w:lang w:bidi="fa-IR"/>
        </w:rPr>
        <w:t>قَالَ : « نَعَمْ ، إِنَّمَا هُوَ مَالُكَ</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أَخْرَجْتُهَا إِلى بَلْدَةٍ لَايُنْفَقُ </w:t>
      </w:r>
      <w:r w:rsidRPr="00A91B96">
        <w:rPr>
          <w:rStyle w:val="libFootnotenumChar"/>
          <w:rtl/>
        </w:rPr>
        <w:t>(11)</w:t>
      </w:r>
      <w:r w:rsidRPr="00020424">
        <w:rPr>
          <w:rtl/>
          <w:lang w:bidi="fa-IR"/>
        </w:rPr>
        <w:t xml:space="preserve"> فِيهَا مِثْلُهَا </w:t>
      </w:r>
      <w:r w:rsidRPr="00A91B96">
        <w:rPr>
          <w:rStyle w:val="libFootnotenumChar"/>
          <w:rtl/>
        </w:rPr>
        <w:t>(12)</w:t>
      </w:r>
      <w:r w:rsidRPr="00020424">
        <w:rPr>
          <w:rtl/>
          <w:lang w:bidi="fa-IR"/>
        </w:rPr>
        <w:t xml:space="preserve"> ، فَبَقِيَتْ عِنْدِي حَتّى يَحُولَ </w:t>
      </w:r>
      <w:r w:rsidRPr="00A91B96">
        <w:rPr>
          <w:rStyle w:val="libFootnotenumChar"/>
          <w:rtl/>
        </w:rPr>
        <w:t>(13)</w:t>
      </w:r>
      <w:r w:rsidRPr="00020424">
        <w:rPr>
          <w:rtl/>
          <w:lang w:bidi="fa-IR"/>
        </w:rPr>
        <w:t xml:space="preserve"> عَلَيْهَا الْحَوْلُ أُزَكِّيهَا</w:t>
      </w:r>
      <w:r>
        <w:rPr>
          <w:rtl/>
          <w:lang w:bidi="fa-IR"/>
        </w:rPr>
        <w:t>؟</w:t>
      </w:r>
    </w:p>
    <w:p w:rsidR="00992664" w:rsidRDefault="00992664" w:rsidP="00992664">
      <w:pPr>
        <w:pStyle w:val="libNormal"/>
        <w:rPr>
          <w:rtl/>
          <w:lang w:bidi="fa-IR"/>
        </w:rPr>
      </w:pPr>
      <w:r w:rsidRPr="00020424">
        <w:rPr>
          <w:rtl/>
          <w:lang w:bidi="fa-IR"/>
        </w:rPr>
        <w:t xml:space="preserve">قَالَ : « إِنْ كُنْتَ تَعْرِفُ أَنَّ فِيهَا مِنَ الْفِضَّةِ الْخَالِصَةِ مَا يَجِبُ </w:t>
      </w:r>
      <w:r w:rsidRPr="00A91B96">
        <w:rPr>
          <w:rStyle w:val="libFootnotenumChar"/>
          <w:rtl/>
        </w:rPr>
        <w:t>(14)</w:t>
      </w:r>
      <w:r w:rsidRPr="00020424">
        <w:rPr>
          <w:rtl/>
          <w:lang w:bidi="fa-IR"/>
        </w:rPr>
        <w:t xml:space="preserve"> عَلَيْكَ فِيهَا </w:t>
      </w:r>
      <w:r w:rsidRPr="00A91B96">
        <w:rPr>
          <w:rStyle w:val="libFootnotenumChar"/>
          <w:rtl/>
        </w:rPr>
        <w:t>(15)</w:t>
      </w:r>
      <w:r w:rsidRPr="00020424">
        <w:rPr>
          <w:rtl/>
          <w:lang w:bidi="fa-IR"/>
        </w:rPr>
        <w:t xml:space="preserve"> الزَّكَاةُ ، فَزَكِّ مَا كَانَ لَكَ فِيهَا </w:t>
      </w:r>
      <w:r w:rsidRPr="00A91B96">
        <w:rPr>
          <w:rStyle w:val="libFootnotenumChar"/>
          <w:rtl/>
        </w:rPr>
        <w:t>(16)</w:t>
      </w:r>
      <w:r w:rsidRPr="00020424">
        <w:rPr>
          <w:rtl/>
          <w:lang w:bidi="fa-IR"/>
        </w:rPr>
        <w:t xml:space="preserve"> مِنَ الْفِضَّةِ الْخَالِصَةِ </w:t>
      </w:r>
      <w:r w:rsidRPr="00A91B96">
        <w:rPr>
          <w:rStyle w:val="libFootnotenumChar"/>
          <w:rtl/>
        </w:rPr>
        <w:t>(17)</w:t>
      </w:r>
      <w:r w:rsidRPr="00020424">
        <w:rPr>
          <w:rtl/>
          <w:lang w:bidi="fa-IR"/>
        </w:rPr>
        <w:t xml:space="preserve"> ، وَدَعْ مَا سِوى ذلِكَ مِنَ الْخَبِيثِ </w:t>
      </w:r>
      <w:r w:rsidRPr="00A91B96">
        <w:rPr>
          <w:rStyle w:val="libFootnotenumChar"/>
          <w:rtl/>
        </w:rPr>
        <w:t>(18)</w:t>
      </w:r>
      <w:r>
        <w:rPr>
          <w:rtl/>
          <w:lang w:bidi="fa-IR"/>
        </w:rPr>
        <w:t xml:space="preserve"> ».</w:t>
      </w:r>
    </w:p>
    <w:p w:rsidR="00992664" w:rsidRPr="00020424" w:rsidRDefault="00992664" w:rsidP="00992664">
      <w:pPr>
        <w:pStyle w:val="libNormal"/>
        <w:rPr>
          <w:rtl/>
          <w:lang w:bidi="fa-IR"/>
        </w:rPr>
      </w:pPr>
      <w:r w:rsidRPr="00020424">
        <w:rPr>
          <w:rtl/>
          <w:lang w:bidi="fa-IR"/>
        </w:rPr>
        <w:t>قُلْتُ : وَإِنْ كُنْتُ لَا</w:t>
      </w:r>
      <w:r>
        <w:rPr>
          <w:rFonts w:hint="cs"/>
          <w:rtl/>
          <w:lang w:bidi="fa-IR"/>
        </w:rPr>
        <w:t xml:space="preserve"> </w:t>
      </w:r>
      <w:r w:rsidRPr="00020424">
        <w:rPr>
          <w:rtl/>
          <w:lang w:bidi="fa-IR"/>
        </w:rPr>
        <w:t>أَعْلَمُ مَا فِيهَا مِنَ الْفِضَّةِ الْخَالِص</w:t>
      </w:r>
      <w:r w:rsidR="007620B1">
        <w:rPr>
          <w:rtl/>
          <w:lang w:bidi="fa-IR"/>
        </w:rPr>
        <w:t>َةِ ، إِل</w:t>
      </w:r>
      <w:r w:rsidR="007620B1">
        <w:rPr>
          <w:rFonts w:hint="cs"/>
          <w:rtl/>
          <w:lang w:bidi="fa-IR"/>
        </w:rPr>
        <w:t>َّ</w:t>
      </w:r>
      <w:r w:rsidR="007620B1">
        <w:rPr>
          <w:rtl/>
          <w:lang w:bidi="fa-IR"/>
        </w:rPr>
        <w:t>ا</w:t>
      </w:r>
      <w:r w:rsidRPr="00020424">
        <w:rPr>
          <w:rtl/>
          <w:lang w:bidi="fa-IR"/>
        </w:rPr>
        <w:t xml:space="preserve"> أَنِّي أَعْلَمُ أَنَّ فِيهَا مَا يَجِبُ </w:t>
      </w:r>
      <w:r w:rsidRPr="00A91B96">
        <w:rPr>
          <w:rStyle w:val="libFootnotenumChar"/>
          <w:rtl/>
        </w:rPr>
        <w:t>(</w:t>
      </w:r>
      <w:r w:rsidRPr="00A91B96">
        <w:rPr>
          <w:rStyle w:val="libFootnotenumChar"/>
          <w:rFonts w:hint="cs"/>
          <w:rtl/>
        </w:rPr>
        <w:t>19</w:t>
      </w:r>
      <w:r w:rsidRPr="00A91B96">
        <w:rPr>
          <w:rStyle w:val="libFootnotenumChar"/>
          <w:rtl/>
        </w:rPr>
        <w:t>)</w:t>
      </w:r>
      <w:r w:rsidRPr="00020424">
        <w:rPr>
          <w:rtl/>
          <w:lang w:bidi="fa-IR"/>
        </w:rPr>
        <w:t xml:space="preserve"> فِيهِ الزَّكَاةُ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وحاشية « بث » : « مسّاً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وحاشية « بث » </w:t>
      </w:r>
      <w:r w:rsidR="00992664" w:rsidRPr="00EB1FD9">
        <w:rPr>
          <w:rStyle w:val="libFootnoteBoldChar"/>
          <w:rtl/>
        </w:rPr>
        <w:t>والوسائل</w:t>
      </w:r>
      <w:r w:rsidR="00992664" w:rsidRPr="00020424">
        <w:rPr>
          <w:rtl/>
        </w:rPr>
        <w:t xml:space="preserve"> : « رصاصاً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70AA4" w:rsidTr="00B70AA4">
        <w:tc>
          <w:tcPr>
            <w:tcW w:w="4006" w:type="dxa"/>
          </w:tcPr>
          <w:p w:rsidR="00B70AA4" w:rsidRDefault="00B70AA4" w:rsidP="00992664">
            <w:pPr>
              <w:pStyle w:val="libFootnote0"/>
              <w:rPr>
                <w:rtl/>
              </w:rPr>
            </w:pPr>
            <w:r>
              <w:rPr>
                <w:rtl/>
              </w:rPr>
              <w:t xml:space="preserve">(3). </w:t>
            </w:r>
            <w:r w:rsidRPr="00020424">
              <w:rPr>
                <w:rtl/>
              </w:rPr>
              <w:t xml:space="preserve">في « ى ، جن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B70AA4" w:rsidRDefault="00B70AA4" w:rsidP="00992664">
            <w:pPr>
              <w:pStyle w:val="libFootnote0"/>
              <w:rPr>
                <w:rtl/>
              </w:rPr>
            </w:pPr>
            <w:r>
              <w:rPr>
                <w:rtl/>
              </w:rPr>
              <w:t xml:space="preserve">(4). </w:t>
            </w:r>
            <w:r w:rsidRPr="00020424">
              <w:rPr>
                <w:rtl/>
              </w:rPr>
              <w:t xml:space="preserve">في « بخ » </w:t>
            </w:r>
            <w:r w:rsidRPr="00EB1FD9">
              <w:rPr>
                <w:rStyle w:val="libFootnoteBoldChar"/>
                <w:rtl/>
              </w:rPr>
              <w:t>والوسائل</w:t>
            </w:r>
            <w:r w:rsidRPr="00020424">
              <w:rPr>
                <w:rtl/>
              </w:rPr>
              <w:t xml:space="preserve"> : « كان</w:t>
            </w:r>
            <w:r>
              <w:rPr>
                <w:rtl/>
              </w:rPr>
              <w:t xml:space="preserve"> ».</w:t>
            </w:r>
          </w:p>
        </w:tc>
      </w:tr>
      <w:tr w:rsidR="00B70AA4" w:rsidTr="00B70AA4">
        <w:tc>
          <w:tcPr>
            <w:tcW w:w="4006" w:type="dxa"/>
          </w:tcPr>
          <w:p w:rsidR="00B70AA4" w:rsidRDefault="00B70AA4" w:rsidP="00992664">
            <w:pPr>
              <w:pStyle w:val="libFootnote0"/>
              <w:rPr>
                <w:rtl/>
              </w:rPr>
            </w:pPr>
            <w:r>
              <w:rPr>
                <w:rtl/>
              </w:rPr>
              <w:t xml:space="preserve">(5). </w:t>
            </w:r>
            <w:r w:rsidRPr="00020424">
              <w:rPr>
                <w:rtl/>
              </w:rPr>
              <w:t>في « بخ » : « يجوز</w:t>
            </w:r>
            <w:r>
              <w:rPr>
                <w:rtl/>
              </w:rPr>
              <w:t xml:space="preserve"> ».</w:t>
            </w:r>
          </w:p>
        </w:tc>
        <w:tc>
          <w:tcPr>
            <w:tcW w:w="4006" w:type="dxa"/>
          </w:tcPr>
          <w:p w:rsidR="00B70AA4" w:rsidRDefault="00B70AA4" w:rsidP="00992664">
            <w:pPr>
              <w:pStyle w:val="libFootnote0"/>
              <w:rPr>
                <w:rtl/>
              </w:rPr>
            </w:pPr>
            <w:r>
              <w:rPr>
                <w:rtl/>
              </w:rPr>
              <w:t>(6). في «بث ، بخ ، بر ، بف</w:t>
            </w:r>
            <w:r w:rsidRPr="00020424">
              <w:rPr>
                <w:rtl/>
              </w:rPr>
              <w:t xml:space="preserve">» </w:t>
            </w:r>
            <w:r w:rsidRPr="00515444">
              <w:rPr>
                <w:rStyle w:val="libFootnoteBoldChar"/>
                <w:rtl/>
              </w:rPr>
              <w:t>والوافي</w:t>
            </w:r>
            <w:r w:rsidRPr="00020424">
              <w:rPr>
                <w:rtl/>
              </w:rPr>
              <w:t xml:space="preserve"> :</w:t>
            </w:r>
            <w:r>
              <w:rPr>
                <w:rtl/>
              </w:rPr>
              <w:t xml:space="preserve"> - </w:t>
            </w:r>
            <w:r w:rsidRPr="00020424">
              <w:rPr>
                <w:rtl/>
              </w:rPr>
              <w:t>« هي</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وحاشية « بث ، بس » </w:t>
      </w:r>
      <w:r w:rsidR="00992664" w:rsidRPr="00515444">
        <w:rPr>
          <w:rStyle w:val="libFootnoteBoldChar"/>
          <w:rtl/>
        </w:rPr>
        <w:t>والوافي</w:t>
      </w:r>
      <w:r w:rsidR="00992664" w:rsidRPr="00020424">
        <w:rPr>
          <w:rtl/>
        </w:rPr>
        <w:t xml:space="preserve"> : « منها » بدون الواو.</w:t>
      </w:r>
    </w:p>
    <w:tbl>
      <w:tblPr>
        <w:tblStyle w:val="TableGrid"/>
        <w:bidiVisual/>
        <w:tblW w:w="0" w:type="auto"/>
        <w:tblLook w:val="04A0" w:firstRow="1" w:lastRow="0" w:firstColumn="1" w:lastColumn="0" w:noHBand="0" w:noVBand="1"/>
      </w:tblPr>
      <w:tblGrid>
        <w:gridCol w:w="4006"/>
        <w:gridCol w:w="4006"/>
      </w:tblGrid>
      <w:tr w:rsidR="00E10198" w:rsidTr="00E10198">
        <w:tc>
          <w:tcPr>
            <w:tcW w:w="4006" w:type="dxa"/>
          </w:tcPr>
          <w:p w:rsidR="00E10198" w:rsidRDefault="00E10198" w:rsidP="00992664">
            <w:pPr>
              <w:pStyle w:val="libFootnote0"/>
              <w:rPr>
                <w:rtl/>
              </w:rPr>
            </w:pPr>
            <w:r>
              <w:rPr>
                <w:rtl/>
              </w:rPr>
              <w:t xml:space="preserve">(8). </w:t>
            </w:r>
            <w:r w:rsidRPr="00020424">
              <w:rPr>
                <w:rtl/>
              </w:rPr>
              <w:t xml:space="preserve">في « بر » </w:t>
            </w:r>
            <w:r w:rsidRPr="00515444">
              <w:rPr>
                <w:rStyle w:val="libFootnoteBoldChar"/>
                <w:rtl/>
              </w:rPr>
              <w:t>والوافي</w:t>
            </w:r>
            <w:r w:rsidRPr="00020424">
              <w:rPr>
                <w:rtl/>
              </w:rPr>
              <w:t xml:space="preserve"> : « تجب</w:t>
            </w:r>
            <w:r>
              <w:rPr>
                <w:rtl/>
              </w:rPr>
              <w:t xml:space="preserve"> ».</w:t>
            </w:r>
          </w:p>
        </w:tc>
        <w:tc>
          <w:tcPr>
            <w:tcW w:w="4006" w:type="dxa"/>
          </w:tcPr>
          <w:p w:rsidR="00E10198" w:rsidRDefault="00E10198" w:rsidP="00992664">
            <w:pPr>
              <w:pStyle w:val="libFootnote0"/>
              <w:rPr>
                <w:rtl/>
              </w:rPr>
            </w:pPr>
            <w:r>
              <w:rPr>
                <w:rtl/>
              </w:rPr>
              <w:t xml:space="preserve">(9).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عليّ</w:t>
            </w:r>
            <w:r>
              <w:rPr>
                <w:rtl/>
              </w:rPr>
              <w:t xml:space="preserve"> ».</w:t>
            </w:r>
          </w:p>
        </w:tc>
      </w:tr>
      <w:tr w:rsidR="00E10198" w:rsidTr="00E10198">
        <w:tc>
          <w:tcPr>
            <w:tcW w:w="4006" w:type="dxa"/>
          </w:tcPr>
          <w:p w:rsidR="00E10198" w:rsidRDefault="00E10198" w:rsidP="00992664">
            <w:pPr>
              <w:pStyle w:val="libFootnote0"/>
              <w:rPr>
                <w:rtl/>
              </w:rPr>
            </w:pPr>
            <w:r>
              <w:rPr>
                <w:rtl/>
              </w:rPr>
              <w:t xml:space="preserve">(10). </w:t>
            </w:r>
            <w:r w:rsidRPr="00020424">
              <w:rPr>
                <w:rtl/>
              </w:rPr>
              <w:t>في « بث ، بخ ، بر ، بف » : « فيها</w:t>
            </w:r>
            <w:r>
              <w:rPr>
                <w:rtl/>
              </w:rPr>
              <w:t xml:space="preserve"> ».</w:t>
            </w:r>
          </w:p>
        </w:tc>
        <w:tc>
          <w:tcPr>
            <w:tcW w:w="4006" w:type="dxa"/>
          </w:tcPr>
          <w:p w:rsidR="00E10198" w:rsidRDefault="00E10198" w:rsidP="00992664">
            <w:pPr>
              <w:pStyle w:val="libFootnote0"/>
              <w:rPr>
                <w:rtl/>
              </w:rPr>
            </w:pPr>
            <w:r>
              <w:rPr>
                <w:rtl/>
              </w:rPr>
              <w:t xml:space="preserve">(11). </w:t>
            </w:r>
            <w:r w:rsidRPr="00020424">
              <w:rPr>
                <w:rtl/>
              </w:rPr>
              <w:t xml:space="preserve">في </w:t>
            </w:r>
            <w:r w:rsidRPr="0012008A">
              <w:rPr>
                <w:rStyle w:val="libFootnoteBoldChar"/>
                <w:rtl/>
              </w:rPr>
              <w:t>الوافي</w:t>
            </w:r>
            <w:r w:rsidRPr="00020424">
              <w:rPr>
                <w:rtl/>
              </w:rPr>
              <w:t xml:space="preserve"> : « لا تنفق</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مثلها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بح ، بخ ، بف » وحاشية « بث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حتّى حال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A5198" w:rsidTr="003A5198">
        <w:tc>
          <w:tcPr>
            <w:tcW w:w="4006" w:type="dxa"/>
          </w:tcPr>
          <w:p w:rsidR="003A5198" w:rsidRDefault="003A5198" w:rsidP="00992664">
            <w:pPr>
              <w:pStyle w:val="libFootnote0"/>
              <w:rPr>
                <w:rtl/>
              </w:rPr>
            </w:pPr>
            <w:r>
              <w:rPr>
                <w:rtl/>
              </w:rPr>
              <w:t xml:space="preserve">(14). </w:t>
            </w:r>
            <w:r w:rsidRPr="00020424">
              <w:rPr>
                <w:rtl/>
              </w:rPr>
              <w:t xml:space="preserve">في « بس » </w:t>
            </w:r>
            <w:r w:rsidRPr="00515444">
              <w:rPr>
                <w:rStyle w:val="libFootnoteBoldChar"/>
                <w:rtl/>
              </w:rPr>
              <w:t>والوافي</w:t>
            </w:r>
            <w:r w:rsidRPr="00020424">
              <w:rPr>
                <w:rtl/>
              </w:rPr>
              <w:t xml:space="preserve"> : « ما تجب</w:t>
            </w:r>
            <w:r>
              <w:rPr>
                <w:rtl/>
              </w:rPr>
              <w:t xml:space="preserve"> ».</w:t>
            </w:r>
          </w:p>
        </w:tc>
        <w:tc>
          <w:tcPr>
            <w:tcW w:w="4006" w:type="dxa"/>
          </w:tcPr>
          <w:p w:rsidR="003A5198" w:rsidRDefault="003A5198" w:rsidP="003A5198">
            <w:pPr>
              <w:pStyle w:val="libFootnote0"/>
              <w:rPr>
                <w:rtl/>
              </w:rPr>
            </w:pPr>
            <w:r>
              <w:rPr>
                <w:rtl/>
              </w:rPr>
              <w:t>(15). في «ظ</w:t>
            </w:r>
            <w:r w:rsidRPr="00020424">
              <w:rPr>
                <w:rtl/>
              </w:rPr>
              <w:t>،</w:t>
            </w:r>
            <w:r>
              <w:rPr>
                <w:rtl/>
              </w:rPr>
              <w:t>ى،بث،بخ،بر،بف،جن»</w:t>
            </w:r>
            <w:r w:rsidRPr="00515444">
              <w:rPr>
                <w:rStyle w:val="libFootnoteBoldChar"/>
                <w:rtl/>
              </w:rPr>
              <w:t>والوافي</w:t>
            </w:r>
            <w:r>
              <w:rPr>
                <w:rtl/>
              </w:rPr>
              <w:t>:«</w:t>
            </w:r>
            <w:r w:rsidRPr="00020424">
              <w:rPr>
                <w:rtl/>
              </w:rPr>
              <w:t>فيه</w:t>
            </w:r>
            <w:r>
              <w:rPr>
                <w:rtl/>
              </w:rPr>
              <w:t>».</w:t>
            </w:r>
          </w:p>
        </w:tc>
      </w:tr>
    </w:tbl>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بخ » : « فيه</w:t>
      </w:r>
      <w:r w:rsidR="00992664">
        <w:rPr>
          <w:rtl/>
        </w:rPr>
        <w:t xml:space="preserve"> ».</w:t>
      </w:r>
    </w:p>
    <w:p w:rsidR="00992664" w:rsidRPr="00020424" w:rsidRDefault="00795177" w:rsidP="005C151B">
      <w:pPr>
        <w:pStyle w:val="libFootnote0"/>
        <w:rPr>
          <w:rtl/>
          <w:lang w:bidi="fa-IR"/>
        </w:rPr>
      </w:pPr>
      <w:r>
        <w:rPr>
          <w:rtl/>
        </w:rPr>
        <w:t>(17).</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فضّة » بدل « والفضّة الخالصة</w:t>
      </w:r>
      <w:r w:rsidR="00992664">
        <w:rPr>
          <w:rtl/>
        </w:rPr>
        <w:t xml:space="preserve"> ».</w:t>
      </w:r>
      <w:r w:rsidR="00992664" w:rsidRPr="00020424">
        <w:rPr>
          <w:rtl/>
        </w:rPr>
        <w:t xml:space="preserve"> وفي « ظ ، بث ، بح ، بس ، بف » </w:t>
      </w:r>
      <w:r w:rsidR="00992664" w:rsidRPr="00EB1FD9">
        <w:rPr>
          <w:rStyle w:val="libFootnoteBoldChar"/>
          <w:rtl/>
        </w:rPr>
        <w:t>والوسائل</w:t>
      </w:r>
      <w:r w:rsidR="005C151B">
        <w:rPr>
          <w:rtl/>
        </w:rPr>
        <w:t xml:space="preserve"> : + «</w:t>
      </w:r>
      <w:r w:rsidR="00992664" w:rsidRPr="00020424">
        <w:rPr>
          <w:rtl/>
        </w:rPr>
        <w:t>من فضّة</w:t>
      </w:r>
      <w:r w:rsidR="00992664">
        <w:rPr>
          <w:rtl/>
        </w:rPr>
        <w:t>».</w:t>
      </w:r>
      <w:r w:rsidR="005C151B">
        <w:rPr>
          <w:rtl/>
        </w:rPr>
        <w:t xml:space="preserve"> وفي «جن»: +«</w:t>
      </w:r>
      <w:r w:rsidR="00992664" w:rsidRPr="00020424">
        <w:rPr>
          <w:rtl/>
        </w:rPr>
        <w:t>ما يجب عليه فيه الزكاة</w:t>
      </w:r>
      <w:r w:rsidR="00992664">
        <w:rPr>
          <w:rtl/>
        </w:rPr>
        <w:t>».</w:t>
      </w:r>
      <w:r w:rsidR="005C151B">
        <w:rPr>
          <w:rFonts w:hint="cs"/>
          <w:rtl/>
        </w:rPr>
        <w:t xml:space="preserve">    </w:t>
      </w:r>
      <w:r>
        <w:rPr>
          <w:rtl/>
        </w:rPr>
        <w:t>(18).</w:t>
      </w:r>
      <w:r w:rsidR="0014403D">
        <w:rPr>
          <w:rtl/>
        </w:rPr>
        <w:t xml:space="preserve"> </w:t>
      </w:r>
      <w:r w:rsidR="00992664" w:rsidRPr="00020424">
        <w:rPr>
          <w:rtl/>
        </w:rPr>
        <w:t xml:space="preserve">في « بح ، بر » </w:t>
      </w:r>
      <w:r w:rsidR="00992664" w:rsidRPr="00515444">
        <w:rPr>
          <w:rStyle w:val="libFootnoteBoldChar"/>
          <w:rtl/>
        </w:rPr>
        <w:t>والوافي</w:t>
      </w:r>
      <w:r w:rsidR="00992664" w:rsidRPr="00020424">
        <w:rPr>
          <w:rtl/>
        </w:rPr>
        <w:t xml:space="preserve"> : « الخبث</w:t>
      </w:r>
      <w:r w:rsidR="00992664">
        <w:rPr>
          <w:rtl/>
        </w:rPr>
        <w:t xml:space="preserve"> ».</w:t>
      </w:r>
    </w:p>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في « بس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ما تجب</w:t>
      </w:r>
      <w:r w:rsidR="00992664">
        <w:rPr>
          <w:rtl/>
        </w:rPr>
        <w:t xml:space="preserve"> ».</w:t>
      </w:r>
      <w:r w:rsidR="00992664" w:rsidRPr="00020424">
        <w:rPr>
          <w:rtl/>
        </w:rPr>
        <w:t xml:space="preserve"> وفي « بخ » بالتاء والياء معاً.</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 « فَاسْبِكْهَا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حَتّى تَخْلُصَ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الْفِضَّةُ ، وَيَحْتَرِقَ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الْخَبِيثُ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 ثُمَّ يُزَكّى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مَا خَلَصَ مِنَ الْفِضَّةِ لِسَنَةٍ وَاحِدَةٍ</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w:t>
      </w:r>
    </w:p>
    <w:p w:rsidR="009C1FD8" w:rsidRDefault="00992664" w:rsidP="009C1FD8">
      <w:pPr>
        <w:pStyle w:val="Heading2Center"/>
        <w:rPr>
          <w:rtl/>
          <w:lang w:bidi="fa-IR"/>
        </w:rPr>
      </w:pPr>
      <w:bookmarkStart w:id="40" w:name="_Toc345172729"/>
      <w:bookmarkStart w:id="41" w:name="_Toc44599849"/>
      <w:bookmarkStart w:id="42" w:name="_Toc464562547"/>
      <w:r w:rsidRPr="00020424">
        <w:rPr>
          <w:rtl/>
          <w:lang w:bidi="fa-IR"/>
        </w:rPr>
        <w:t>10</w:t>
      </w:r>
      <w:r>
        <w:rPr>
          <w:rtl/>
          <w:lang w:bidi="fa-IR"/>
        </w:rPr>
        <w:t xml:space="preserve"> </w:t>
      </w:r>
      <w:r w:rsidR="009B673F">
        <w:rPr>
          <w:rtl/>
          <w:lang w:bidi="fa-IR"/>
        </w:rPr>
        <w:t>-</w:t>
      </w:r>
      <w:r>
        <w:rPr>
          <w:rtl/>
          <w:lang w:bidi="fa-IR"/>
        </w:rPr>
        <w:t xml:space="preserve"> </w:t>
      </w:r>
      <w:r w:rsidRPr="00020424">
        <w:rPr>
          <w:rtl/>
          <w:lang w:bidi="fa-IR"/>
        </w:rPr>
        <w:t xml:space="preserve">بَابُ أَنَّهُ لَيْسَ عَلَى </w:t>
      </w:r>
      <w:r w:rsidRPr="00A91B96">
        <w:rPr>
          <w:rStyle w:val="libFootnotenumChar"/>
          <w:rtl/>
        </w:rPr>
        <w:t>(</w:t>
      </w:r>
      <w:r w:rsidRPr="00A91B96">
        <w:rPr>
          <w:rStyle w:val="libFootnotenumChar"/>
          <w:rFonts w:hint="cs"/>
          <w:rtl/>
        </w:rPr>
        <w:t>7</w:t>
      </w:r>
      <w:r w:rsidRPr="00A91B96">
        <w:rPr>
          <w:rStyle w:val="libFootnotenumChar"/>
          <w:rtl/>
        </w:rPr>
        <w:t>)</w:t>
      </w:r>
      <w:r>
        <w:rPr>
          <w:rtl/>
        </w:rPr>
        <w:t xml:space="preserve"> </w:t>
      </w:r>
      <w:r w:rsidRPr="00020424">
        <w:rPr>
          <w:rtl/>
          <w:lang w:bidi="fa-IR"/>
        </w:rPr>
        <w:t xml:space="preserve">الْحُلِيِّ وَسَبَائِكِ </w:t>
      </w:r>
      <w:r w:rsidRPr="00A91B96">
        <w:rPr>
          <w:rStyle w:val="libFootnotenumChar"/>
          <w:rtl/>
        </w:rPr>
        <w:t>(</w:t>
      </w:r>
      <w:r w:rsidRPr="00A91B96">
        <w:rPr>
          <w:rStyle w:val="libFootnotenumChar"/>
          <w:rFonts w:hint="cs"/>
          <w:rtl/>
        </w:rPr>
        <w:t>8</w:t>
      </w:r>
      <w:r w:rsidRPr="00A91B96">
        <w:rPr>
          <w:rStyle w:val="libFootnotenumChar"/>
          <w:rtl/>
        </w:rPr>
        <w:t>)</w:t>
      </w:r>
      <w:r>
        <w:rPr>
          <w:rtl/>
          <w:lang w:bidi="fa-IR"/>
        </w:rPr>
        <w:t xml:space="preserve"> </w:t>
      </w:r>
      <w:r w:rsidRPr="00020424">
        <w:rPr>
          <w:rtl/>
          <w:lang w:bidi="fa-IR"/>
        </w:rPr>
        <w:t>الذَّهَبِ</w:t>
      </w:r>
      <w:bookmarkStart w:id="43" w:name="_Toc345172730"/>
      <w:bookmarkEnd w:id="40"/>
      <w:bookmarkEnd w:id="41"/>
    </w:p>
    <w:p w:rsidR="00992664" w:rsidRPr="00020424" w:rsidRDefault="00992664" w:rsidP="009C1FD8">
      <w:pPr>
        <w:pStyle w:val="Heading2Center"/>
        <w:rPr>
          <w:rtl/>
          <w:lang w:bidi="fa-IR"/>
        </w:rPr>
      </w:pPr>
      <w:bookmarkStart w:id="44" w:name="_Toc44599850"/>
      <w:r w:rsidRPr="00020424">
        <w:rPr>
          <w:rtl/>
          <w:lang w:bidi="fa-IR"/>
        </w:rPr>
        <w:t xml:space="preserve">وَنُقَرِ </w:t>
      </w:r>
      <w:r w:rsidRPr="00A91B96">
        <w:rPr>
          <w:rStyle w:val="libFootnotenumChar"/>
          <w:rtl/>
        </w:rPr>
        <w:t>(</w:t>
      </w:r>
      <w:r w:rsidRPr="00A91B96">
        <w:rPr>
          <w:rStyle w:val="libFootnotenumChar"/>
          <w:rFonts w:hint="cs"/>
          <w:rtl/>
        </w:rPr>
        <w:t>9</w:t>
      </w:r>
      <w:r w:rsidRPr="00A91B96">
        <w:rPr>
          <w:rStyle w:val="libFootnotenumChar"/>
          <w:rtl/>
        </w:rPr>
        <w:t>)</w:t>
      </w:r>
      <w:r>
        <w:rPr>
          <w:rtl/>
        </w:rPr>
        <w:t xml:space="preserve"> </w:t>
      </w:r>
      <w:r w:rsidRPr="00020424">
        <w:rPr>
          <w:rtl/>
          <w:lang w:bidi="fa-IR"/>
        </w:rPr>
        <w:t>الْفِضَّةِ وَالْجَوْهَرِ زَكَاةٌ‌</w:t>
      </w:r>
      <w:bookmarkEnd w:id="42"/>
      <w:bookmarkEnd w:id="43"/>
      <w:bookmarkEnd w:id="44"/>
    </w:p>
    <w:p w:rsidR="00992664" w:rsidRPr="00020424" w:rsidRDefault="00992664" w:rsidP="00992664">
      <w:pPr>
        <w:pStyle w:val="libNormal"/>
        <w:rPr>
          <w:rtl/>
          <w:lang w:bidi="fa-IR"/>
        </w:rPr>
      </w:pPr>
      <w:r w:rsidRPr="00312263">
        <w:rPr>
          <w:rtl/>
        </w:rPr>
        <w:t>5798</w:t>
      </w:r>
      <w:r w:rsidRPr="001155DE">
        <w:rPr>
          <w:rStyle w:val="libBold2Char"/>
          <w:rtl/>
        </w:rPr>
        <w:t xml:space="preserve"> / 1.</w:t>
      </w:r>
      <w:r w:rsidRPr="00020424">
        <w:rPr>
          <w:rtl/>
          <w:lang w:bidi="fa-IR"/>
        </w:rPr>
        <w:t xml:space="preserve"> مُحَمَّدُ بْنُ إِسْمَاعِيلَ ، عَنِ الْفَضْلِ بْنِ شَاذَانَ ، عَنْ صَفْوَانَ بْنِ يَحْيى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 عَنِ ابْنِ مُسْكَانَ ، عَنْ مُحَمَّدٍ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عَنِ الْحُلِيِّ : فِيهِ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زَكَاةٌ</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312263">
        <w:rPr>
          <w:rtl/>
        </w:rPr>
        <w:t>5799</w:t>
      </w:r>
      <w:r w:rsidRPr="001155DE">
        <w:rPr>
          <w:rStyle w:val="libBold2Char"/>
          <w:rtl/>
        </w:rPr>
        <w:t xml:space="preserve"> / 2.</w:t>
      </w:r>
      <w:r w:rsidRPr="00020424">
        <w:rPr>
          <w:rtl/>
          <w:lang w:bidi="fa-IR"/>
        </w:rPr>
        <w:t xml:space="preserve"> مُحَمَّدُ بْنُ يَحْيى ، عَنْ مُحَمَّدِ بْنِ الْحُسَيْنِ ، عَنْ صَفْوَانَ بْنِ يَحْيى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C1FD8">
      <w:pPr>
        <w:pStyle w:val="libFootnote0"/>
        <w:rPr>
          <w:rtl/>
          <w:lang w:bidi="fa-IR"/>
        </w:rPr>
      </w:pPr>
      <w:r>
        <w:rPr>
          <w:rtl/>
        </w:rPr>
        <w:t>(1).</w:t>
      </w:r>
      <w:r w:rsidR="0014403D">
        <w:rPr>
          <w:rtl/>
        </w:rPr>
        <w:t xml:space="preserve"> </w:t>
      </w:r>
      <w:r w:rsidR="00992664" w:rsidRPr="00020424">
        <w:rPr>
          <w:rtl/>
        </w:rPr>
        <w:t xml:space="preserve">« فاسبكها » ، أي أذبها ، يقال : سَبَكَ الفضّة وغيرها يَسْبِكُها سبكاً : أذابها. راجع : </w:t>
      </w:r>
      <w:r w:rsidR="00992664" w:rsidRPr="0012008A">
        <w:rPr>
          <w:rStyle w:val="libFootnoteBoldChar"/>
          <w:rtl/>
        </w:rPr>
        <w:t>الصحاح</w:t>
      </w:r>
      <w:r w:rsidR="00992664" w:rsidRPr="00020424">
        <w:rPr>
          <w:rtl/>
        </w:rPr>
        <w:t xml:space="preserve"> ، ج 4 ، ص 1589 ( سبك )</w:t>
      </w:r>
      <w:r w:rsidR="00992664">
        <w:rPr>
          <w:rtl/>
        </w:rPr>
        <w:t>.</w:t>
      </w:r>
      <w:r w:rsidR="009C1FD8">
        <w:rPr>
          <w:rFonts w:hint="cs"/>
          <w:rtl/>
        </w:rPr>
        <w:t xml:space="preserve">                                          </w:t>
      </w:r>
      <w:r w:rsidR="00832125">
        <w:rPr>
          <w:rFonts w:hint="cs"/>
          <w:rtl/>
        </w:rPr>
        <w:t xml:space="preserve">   </w:t>
      </w:r>
      <w:r w:rsidR="009C1FD8">
        <w:rPr>
          <w:rFonts w:hint="cs"/>
          <w:rtl/>
        </w:rPr>
        <w:t xml:space="preserve">  </w:t>
      </w:r>
      <w:r>
        <w:rPr>
          <w:rtl/>
        </w:rPr>
        <w:t>(2).</w:t>
      </w:r>
      <w:r w:rsidR="0014403D">
        <w:rPr>
          <w:rtl/>
        </w:rPr>
        <w:t xml:space="preserve"> </w:t>
      </w:r>
      <w:r w:rsidR="00992664" w:rsidRPr="00020424">
        <w:rPr>
          <w:rtl/>
        </w:rPr>
        <w:t>في « بر » : « حتّى يخلّص</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2125" w:rsidTr="00832125">
        <w:tc>
          <w:tcPr>
            <w:tcW w:w="4006" w:type="dxa"/>
          </w:tcPr>
          <w:p w:rsidR="00832125" w:rsidRDefault="00832125" w:rsidP="00992664">
            <w:pPr>
              <w:pStyle w:val="libFootnote0"/>
              <w:rPr>
                <w:rtl/>
              </w:rPr>
            </w:pPr>
            <w:r>
              <w:rPr>
                <w:rtl/>
              </w:rPr>
              <w:t>(3). في «بح» :«</w:t>
            </w:r>
            <w:r w:rsidRPr="00020424">
              <w:rPr>
                <w:rtl/>
              </w:rPr>
              <w:t>وتحترق</w:t>
            </w:r>
            <w:r>
              <w:rPr>
                <w:rtl/>
              </w:rPr>
              <w:t>».</w:t>
            </w:r>
            <w:r w:rsidRPr="00020424">
              <w:rPr>
                <w:rtl/>
              </w:rPr>
              <w:t xml:space="preserve"> وفي « بس » : « وتَحْرِقُ</w:t>
            </w:r>
            <w:r>
              <w:rPr>
                <w:rtl/>
              </w:rPr>
              <w:t xml:space="preserve"> ».</w:t>
            </w:r>
          </w:p>
        </w:tc>
        <w:tc>
          <w:tcPr>
            <w:tcW w:w="4006" w:type="dxa"/>
          </w:tcPr>
          <w:p w:rsidR="00832125" w:rsidRDefault="00832125" w:rsidP="00992664">
            <w:pPr>
              <w:pStyle w:val="libFootnote0"/>
              <w:rPr>
                <w:rtl/>
              </w:rPr>
            </w:pPr>
            <w:r>
              <w:rPr>
                <w:rtl/>
              </w:rPr>
              <w:t xml:space="preserve">(4). </w:t>
            </w:r>
            <w:r w:rsidRPr="00020424">
              <w:rPr>
                <w:rtl/>
              </w:rPr>
              <w:t xml:space="preserve">في « بر ، بف » </w:t>
            </w:r>
            <w:r w:rsidRPr="00515444">
              <w:rPr>
                <w:rStyle w:val="libFootnoteBoldChar"/>
                <w:rtl/>
              </w:rPr>
              <w:t>والوافي</w:t>
            </w:r>
            <w:r w:rsidRPr="00020424">
              <w:rPr>
                <w:rtl/>
              </w:rPr>
              <w:t xml:space="preserve"> : « الخبث</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تزكّى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72 ، ح 9177 ؛ </w:t>
      </w:r>
      <w:r w:rsidR="00992664" w:rsidRPr="0012008A">
        <w:rPr>
          <w:rStyle w:val="libFootnoteBoldChar"/>
          <w:rtl/>
        </w:rPr>
        <w:t>الوسائل</w:t>
      </w:r>
      <w:r w:rsidR="00992664" w:rsidRPr="00020424">
        <w:rPr>
          <w:rtl/>
        </w:rPr>
        <w:t xml:space="preserve"> ، ج 9 ، ص 153 ، ح 11723.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سبائك » : جمع السبيكة ، وهي القطعة من ذهب ونحوه ذُوّبت وا</w:t>
      </w:r>
      <w:r w:rsidR="001110EB">
        <w:rPr>
          <w:rFonts w:hint="cs"/>
          <w:rtl/>
        </w:rPr>
        <w:t>ُ</w:t>
      </w:r>
      <w:r w:rsidR="00992664" w:rsidRPr="00020424">
        <w:rPr>
          <w:rtl/>
        </w:rPr>
        <w:t xml:space="preserve">فرغت في قالب ، يقال : سبك الذهب والفضّة ، أي ذوّبه وأذابه وأفرغه في قالب. راجع : </w:t>
      </w:r>
      <w:r w:rsidR="00992664" w:rsidRPr="00A722B1">
        <w:rPr>
          <w:rStyle w:val="libFootnoteBoldChar"/>
          <w:rtl/>
        </w:rPr>
        <w:t>لسان العرب</w:t>
      </w:r>
      <w:r w:rsidR="00992664" w:rsidRPr="00020424">
        <w:rPr>
          <w:rtl/>
        </w:rPr>
        <w:t xml:space="preserve"> ، ج 10 ، ص 438 ؛ </w:t>
      </w:r>
      <w:r w:rsidR="00992664" w:rsidRPr="00A722B1">
        <w:rPr>
          <w:rStyle w:val="libFootnoteBoldChar"/>
          <w:rtl/>
        </w:rPr>
        <w:t>القاموس المحيط</w:t>
      </w:r>
      <w:r w:rsidR="00992664" w:rsidRPr="00020424">
        <w:rPr>
          <w:rtl/>
        </w:rPr>
        <w:t xml:space="preserve"> ، ج 2 ، ص 1248 ( سبك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نقر</w:t>
      </w:r>
      <w:r w:rsidR="00992664">
        <w:rPr>
          <w:rtl/>
        </w:rPr>
        <w:t xml:space="preserve"> ».</w:t>
      </w:r>
      <w:r w:rsidR="00992664" w:rsidRPr="00020424">
        <w:rPr>
          <w:rtl/>
        </w:rPr>
        <w:t xml:space="preserve"> </w:t>
      </w:r>
      <w:r w:rsidR="00992664">
        <w:rPr>
          <w:rtl/>
        </w:rPr>
        <w:t>و «</w:t>
      </w:r>
      <w:r w:rsidR="00992664" w:rsidRPr="00020424">
        <w:rPr>
          <w:rtl/>
        </w:rPr>
        <w:t xml:space="preserve"> النُقَر » : جم</w:t>
      </w:r>
      <w:r w:rsidR="00992664">
        <w:rPr>
          <w:rtl/>
        </w:rPr>
        <w:t>ع النُقَرة</w:t>
      </w:r>
      <w:r w:rsidR="00992664">
        <w:rPr>
          <w:rFonts w:hint="cs"/>
          <w:rtl/>
        </w:rPr>
        <w:t xml:space="preserve"> </w:t>
      </w:r>
      <w:r w:rsidR="00992664" w:rsidRPr="00020424">
        <w:rPr>
          <w:rtl/>
        </w:rPr>
        <w:t xml:space="preserve">، وهي القطعة المذابة من الذهب والفضّة ، وقيل : هو ما سبك مجتمعاً منهما ، وقيل : هي السبيكة. راجع : </w:t>
      </w:r>
      <w:r w:rsidR="00992664" w:rsidRPr="0012008A">
        <w:rPr>
          <w:rStyle w:val="libFootnoteBoldChar"/>
          <w:rtl/>
        </w:rPr>
        <w:t>الصحاح</w:t>
      </w:r>
      <w:r w:rsidR="00992664" w:rsidRPr="00020424">
        <w:rPr>
          <w:rtl/>
        </w:rPr>
        <w:t xml:space="preserve"> ، ج 2 ، ص 835 ؛ </w:t>
      </w:r>
      <w:r w:rsidR="00992664" w:rsidRPr="00A722B1">
        <w:rPr>
          <w:rStyle w:val="libFootnoteBoldChar"/>
          <w:rtl/>
        </w:rPr>
        <w:t>لسان العرب</w:t>
      </w:r>
      <w:r w:rsidR="00992664">
        <w:rPr>
          <w:rtl/>
        </w:rPr>
        <w:t xml:space="preserve"> ، ج 5 ، ص 229 ( نقر)</w:t>
      </w:r>
      <w:r w:rsidR="00992664" w:rsidRPr="0002042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tbl>
      <w:tblPr>
        <w:tblStyle w:val="TableGrid"/>
        <w:bidiVisual/>
        <w:tblW w:w="0" w:type="auto"/>
        <w:tblLook w:val="04A0" w:firstRow="1" w:lastRow="0" w:firstColumn="1" w:lastColumn="0" w:noHBand="0" w:noVBand="1"/>
      </w:tblPr>
      <w:tblGrid>
        <w:gridCol w:w="3891"/>
        <w:gridCol w:w="4121"/>
      </w:tblGrid>
      <w:tr w:rsidR="001110EB" w:rsidTr="001110EB">
        <w:tc>
          <w:tcPr>
            <w:tcW w:w="3891" w:type="dxa"/>
          </w:tcPr>
          <w:p w:rsidR="001110EB" w:rsidRDefault="001110EB" w:rsidP="00992664">
            <w:pPr>
              <w:pStyle w:val="libFootnote0"/>
              <w:rPr>
                <w:rtl/>
              </w:rPr>
            </w:pPr>
            <w:r>
              <w:rPr>
                <w:rtl/>
              </w:rPr>
              <w:t xml:space="preserve">(11). </w:t>
            </w:r>
            <w:r w:rsidRPr="00020424">
              <w:rPr>
                <w:rtl/>
              </w:rPr>
              <w:t>في « جن » : « سألت</w:t>
            </w:r>
            <w:r>
              <w:rPr>
                <w:rtl/>
              </w:rPr>
              <w:t xml:space="preserve"> ».</w:t>
            </w:r>
          </w:p>
        </w:tc>
        <w:tc>
          <w:tcPr>
            <w:tcW w:w="4121" w:type="dxa"/>
          </w:tcPr>
          <w:p w:rsidR="001110EB" w:rsidRDefault="001110EB" w:rsidP="00992664">
            <w:pPr>
              <w:pStyle w:val="libFootnote0"/>
              <w:rPr>
                <w:rtl/>
              </w:rPr>
            </w:pPr>
            <w:r>
              <w:rPr>
                <w:rtl/>
              </w:rPr>
              <w:t>(12).</w:t>
            </w:r>
            <w:r w:rsidRPr="00020424">
              <w:rPr>
                <w:rtl/>
              </w:rPr>
              <w:t xml:space="preserve">في </w:t>
            </w:r>
            <w:r w:rsidRPr="0012008A">
              <w:rPr>
                <w:rStyle w:val="libFootnoteBoldChar"/>
                <w:rtl/>
              </w:rPr>
              <w:t>التهذيب</w:t>
            </w:r>
            <w:r>
              <w:rPr>
                <w:rtl/>
              </w:rPr>
              <w:t>:</w:t>
            </w:r>
            <w:r w:rsidRPr="00020424">
              <w:rPr>
                <w:rtl/>
              </w:rPr>
              <w:t>«</w:t>
            </w:r>
            <w:r>
              <w:rPr>
                <w:rtl/>
              </w:rPr>
              <w:t>أ</w:t>
            </w:r>
            <w:r w:rsidRPr="00020424">
              <w:rPr>
                <w:rtl/>
              </w:rPr>
              <w:t>فيه</w:t>
            </w:r>
            <w:r>
              <w:rPr>
                <w:rtl/>
              </w:rPr>
              <w:t>».وفي«بس»</w:t>
            </w:r>
            <w:r w:rsidRPr="00515444">
              <w:rPr>
                <w:rStyle w:val="libFootnoteBoldChar"/>
                <w:rtl/>
              </w:rPr>
              <w:t>والوافي</w:t>
            </w:r>
            <w:r>
              <w:rPr>
                <w:rtl/>
              </w:rPr>
              <w:t>:«هل</w:t>
            </w:r>
            <w:r>
              <w:rPr>
                <w:rFonts w:hint="cs"/>
                <w:rtl/>
              </w:rPr>
              <w:t xml:space="preserve"> </w:t>
            </w:r>
            <w:r w:rsidRPr="00020424">
              <w:rPr>
                <w:rtl/>
              </w:rPr>
              <w:t>فيه</w:t>
            </w:r>
            <w:r>
              <w:rPr>
                <w:rtl/>
              </w:rPr>
              <w:t>».</w:t>
            </w:r>
          </w:p>
        </w:tc>
      </w:tr>
    </w:tbl>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8 ، ح 21 ؛ </w:t>
      </w:r>
      <w:r w:rsidR="00992664" w:rsidRPr="00FD6221">
        <w:rPr>
          <w:rStyle w:val="libFootnoteBoldChar"/>
          <w:rtl/>
        </w:rPr>
        <w:t>والاستبصار</w:t>
      </w:r>
      <w:r w:rsidR="00992664" w:rsidRPr="00020424">
        <w:rPr>
          <w:rtl/>
        </w:rPr>
        <w:t xml:space="preserve"> ، ج 2 ، ص 7 ، ح 18 ، معلّقاً عن الكليني. </w:t>
      </w:r>
      <w:r w:rsidR="00992664" w:rsidRPr="00312263">
        <w:rPr>
          <w:rtl/>
        </w:rPr>
        <w:t>قرب الإسناد</w:t>
      </w:r>
      <w:r w:rsidR="00992664" w:rsidRPr="00020424">
        <w:rPr>
          <w:rtl/>
        </w:rPr>
        <w:t xml:space="preserve"> ، ص 30 ، ح 97 ، بسند آخر ، مع زيادة في أوّله. </w:t>
      </w:r>
      <w:r w:rsidR="00992664" w:rsidRPr="00312263">
        <w:rP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198 ، وفي الأخيرين مع اختلاف يسير </w:t>
      </w:r>
      <w:r w:rsidR="00DB6C06">
        <w:rPr>
          <w:rFonts w:hint="cs"/>
          <w:rtl/>
        </w:rPr>
        <w:t>.</w:t>
      </w:r>
      <w:r w:rsidR="00992664" w:rsidRPr="0012008A">
        <w:rPr>
          <w:rStyle w:val="libFootnoteBoldChar"/>
          <w:rtl/>
        </w:rPr>
        <w:t>الوافي</w:t>
      </w:r>
      <w:r w:rsidR="00992664" w:rsidRPr="00020424">
        <w:rPr>
          <w:rtl/>
        </w:rPr>
        <w:t xml:space="preserve"> ، ج 10 ، ص 75 ، ح 9185 ؛ </w:t>
      </w:r>
      <w:r w:rsidR="00992664" w:rsidRPr="0012008A">
        <w:rPr>
          <w:rStyle w:val="libFootnoteBoldChar"/>
          <w:rtl/>
        </w:rPr>
        <w:t>الوسائل</w:t>
      </w:r>
      <w:r w:rsidR="00992664" w:rsidRPr="00020424">
        <w:rPr>
          <w:rtl/>
        </w:rPr>
        <w:t xml:space="preserve"> ، ج 9 ، ص 156 ، ح 11731.</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ابْنِ مُسْكَانَ ، عَنْ مُحَمَّدٍ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الْحُلِيِّ : فِيهِ </w:t>
      </w:r>
      <w:r w:rsidRPr="00A91B96">
        <w:rPr>
          <w:rStyle w:val="libFootnotenumChar"/>
          <w:rtl/>
        </w:rPr>
        <w:t>(1)</w:t>
      </w:r>
      <w:r w:rsidRPr="00020424">
        <w:rPr>
          <w:rtl/>
          <w:lang w:bidi="fa-IR"/>
        </w:rPr>
        <w:t xml:space="preserve"> زَكَاةٌ</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312263">
        <w:rPr>
          <w:rtl/>
        </w:rPr>
        <w:t>5800</w:t>
      </w:r>
      <w:r w:rsidRPr="001155DE">
        <w:rPr>
          <w:rStyle w:val="libBold2Char"/>
          <w:rtl/>
        </w:rPr>
        <w:t xml:space="preserve"> / 3.</w:t>
      </w:r>
      <w:r w:rsidRPr="00020424">
        <w:rPr>
          <w:rtl/>
          <w:lang w:bidi="fa-IR"/>
        </w:rPr>
        <w:t xml:space="preserve"> مُحَمَّدُ بْنُ يَحْيى ، عَنْ مُحَمَّدِ بْنِ الْحُسَيْنِ ، عَنْ صَفْوَانَ بْنِ يَحْيى </w:t>
      </w:r>
      <w:r w:rsidRPr="00A91B96">
        <w:rPr>
          <w:rStyle w:val="libFootnotenumChar"/>
          <w:rtl/>
        </w:rPr>
        <w:t>(3)</w:t>
      </w:r>
      <w:r w:rsidRPr="00020424">
        <w:rPr>
          <w:rtl/>
          <w:lang w:bidi="fa-IR"/>
        </w:rPr>
        <w:t xml:space="preserve"> ، عَنْ يَعْقُوبَ بْنِ شُعَيْبٍ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Pr>
          <w:rtl/>
          <w:lang w:bidi="fa-IR"/>
        </w:rPr>
        <w:t xml:space="preserve"> عَنِ الْحُلِيِّ : أَ</w:t>
      </w:r>
      <w:r w:rsidRPr="00020424">
        <w:rPr>
          <w:rtl/>
          <w:lang w:bidi="fa-IR"/>
        </w:rPr>
        <w:t>يُزَكّى</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إِذاً </w:t>
      </w:r>
      <w:r w:rsidRPr="00A91B96">
        <w:rPr>
          <w:rStyle w:val="libFootnotenumChar"/>
          <w:rtl/>
        </w:rPr>
        <w:t>(5)</w:t>
      </w:r>
      <w:r w:rsidRPr="00020424">
        <w:rPr>
          <w:rtl/>
          <w:lang w:bidi="fa-IR"/>
        </w:rPr>
        <w:t xml:space="preserve"> لَايَبْقى مِنْهُ شَيْ‌ءٌ</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312263">
        <w:rPr>
          <w:rtl/>
        </w:rPr>
        <w:t>5801</w:t>
      </w:r>
      <w:r w:rsidRPr="001155DE">
        <w:rPr>
          <w:rStyle w:val="libBold2Char"/>
          <w:rtl/>
        </w:rPr>
        <w:t xml:space="preserve"> / 4.</w:t>
      </w:r>
      <w:r w:rsidRPr="00020424">
        <w:rPr>
          <w:rtl/>
          <w:lang w:bidi="fa-IR"/>
        </w:rPr>
        <w:t xml:space="preserve"> عَلِيُّ بْنُ إِبْرَاهِيمَ ، عَنْ أَبِيهِ ، عَنِ ابْنِ أَبِي عُمَيْرٍ ، عَنْ رِفَاعَةَ ، قَالَ :</w:t>
      </w:r>
    </w:p>
    <w:p w:rsidR="00992664" w:rsidRPr="00020424" w:rsidRDefault="00992664" w:rsidP="00992664">
      <w:pPr>
        <w:pStyle w:val="libNormal"/>
        <w:rPr>
          <w:rtl/>
          <w:lang w:bidi="fa-IR"/>
        </w:rPr>
      </w:pPr>
      <w:r w:rsidRPr="00020424">
        <w:rPr>
          <w:rtl/>
          <w:lang w:bidi="fa-IR"/>
        </w:rPr>
        <w:t xml:space="preserve">سَمِعْتُ </w:t>
      </w:r>
      <w:r w:rsidRPr="00A91B96">
        <w:rPr>
          <w:rStyle w:val="libFootnotenumChar"/>
          <w:rtl/>
        </w:rPr>
        <w:t>(7)</w:t>
      </w:r>
      <w:r w:rsidRPr="00020424">
        <w:rPr>
          <w:rtl/>
          <w:lang w:bidi="fa-IR"/>
        </w:rPr>
        <w:t xml:space="preserve"> أَبَا عَبْدِ اللهِ </w:t>
      </w:r>
      <w:r w:rsidRPr="00005A81">
        <w:rPr>
          <w:rStyle w:val="libAlaemChar"/>
          <w:rtl/>
        </w:rPr>
        <w:t>عليه‌السلام</w:t>
      </w:r>
      <w:r w:rsidRPr="00020424">
        <w:rPr>
          <w:rtl/>
          <w:lang w:bidi="fa-IR"/>
        </w:rPr>
        <w:t xml:space="preserve"> </w:t>
      </w:r>
      <w:r w:rsidRPr="00A91B96">
        <w:rPr>
          <w:rStyle w:val="libFootnotenumChar"/>
          <w:rtl/>
        </w:rPr>
        <w:t>(8)</w:t>
      </w:r>
      <w:r w:rsidRPr="00020424">
        <w:rPr>
          <w:rtl/>
          <w:lang w:bidi="fa-IR"/>
        </w:rPr>
        <w:t xml:space="preserve"> وَسَأَلَهُ بَعْضُهُمْ عَنِ الْحُلِيِّ : فِيهِ زَكَاةٌ</w:t>
      </w:r>
      <w:r>
        <w:rPr>
          <w:rtl/>
          <w:lang w:bidi="fa-IR"/>
        </w:rPr>
        <w:t>؟</w:t>
      </w:r>
    </w:p>
    <w:p w:rsidR="00992664" w:rsidRPr="00020424" w:rsidRDefault="00992664" w:rsidP="00DB6C06">
      <w:pPr>
        <w:pStyle w:val="libNormal"/>
        <w:rPr>
          <w:rtl/>
          <w:lang w:bidi="fa-IR"/>
        </w:rPr>
      </w:pPr>
      <w:r w:rsidRPr="00020424">
        <w:rPr>
          <w:rtl/>
          <w:lang w:bidi="fa-IR"/>
        </w:rPr>
        <w:t xml:space="preserve">فَقَالَ </w:t>
      </w:r>
      <w:r w:rsidRPr="00A91B96">
        <w:rPr>
          <w:rStyle w:val="libFootnotenumChar"/>
          <w:rtl/>
        </w:rPr>
        <w:t>(9)</w:t>
      </w:r>
      <w:r w:rsidRPr="00020424">
        <w:rPr>
          <w:rtl/>
          <w:lang w:bidi="fa-IR"/>
        </w:rPr>
        <w:t xml:space="preserve"> : « لَا ، وَلَوْ </w:t>
      </w:r>
      <w:r w:rsidRPr="00A91B96">
        <w:rPr>
          <w:rStyle w:val="libFootnotenumChar"/>
          <w:rtl/>
        </w:rPr>
        <w:t>(10)</w:t>
      </w:r>
      <w:r w:rsidRPr="00020424">
        <w:rPr>
          <w:rtl/>
          <w:lang w:bidi="fa-IR"/>
        </w:rPr>
        <w:t xml:space="preserve"> بَلَغَ مِائَةَ أَلْفٍ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312263">
        <w:rPr>
          <w:rtl/>
        </w:rPr>
        <w:t>5802</w:t>
      </w:r>
      <w:r w:rsidRPr="001155DE">
        <w:rPr>
          <w:rStyle w:val="libBold2Char"/>
          <w:rtl/>
        </w:rPr>
        <w:t xml:space="preserve"> / 5.</w:t>
      </w:r>
      <w:r w:rsidRPr="00020424">
        <w:rPr>
          <w:rtl/>
          <w:lang w:bidi="fa-IR"/>
        </w:rPr>
        <w:t xml:space="preserve"> عِدَّةٌ مِنْ أَصْحَابِنَا ، عَنْ أَحْمَدَ بْنِ مُحَمَّدِ بْنِ عِيسى ، عَنِ الْحَسَنِ بْنِ عَلِيِّ بْنِ‌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هل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75 ، ح 9185 ؛ </w:t>
      </w:r>
      <w:r w:rsidR="00992664" w:rsidRPr="0012008A">
        <w:rPr>
          <w:rStyle w:val="libFootnoteBoldChar"/>
          <w:rtl/>
        </w:rPr>
        <w:t>الوسائل</w:t>
      </w:r>
      <w:r w:rsidR="00992664" w:rsidRPr="00020424">
        <w:rPr>
          <w:rtl/>
        </w:rPr>
        <w:t xml:space="preserve"> ، ج 9 ، ص 157 ، ح 11733.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إذن</w:t>
      </w:r>
      <w:r w:rsidR="00992664">
        <w:rPr>
          <w:rtl/>
        </w:rPr>
        <w:t xml:space="preserve"> ».</w:t>
      </w:r>
    </w:p>
    <w:p w:rsidR="00992664" w:rsidRPr="00020424" w:rsidRDefault="00795177" w:rsidP="00CE68EF">
      <w:pPr>
        <w:pStyle w:val="libFootnote0"/>
        <w:rPr>
          <w:rtl/>
          <w:lang w:bidi="fa-IR"/>
        </w:rPr>
      </w:pPr>
      <w:r>
        <w:rPr>
          <w:rtl/>
        </w:rPr>
        <w:t>(6).</w:t>
      </w:r>
      <w:r w:rsidR="0014403D">
        <w:rPr>
          <w:rtl/>
        </w:rPr>
        <w:t xml:space="preserve"> </w:t>
      </w:r>
      <w:r w:rsidR="00992664" w:rsidRPr="00312263">
        <w:rPr>
          <w:rtl/>
        </w:rPr>
        <w:t>قرب الإسناد</w:t>
      </w:r>
      <w:r w:rsidR="00992664" w:rsidRPr="00020424">
        <w:rPr>
          <w:rtl/>
        </w:rPr>
        <w:t xml:space="preserve"> ، ص 228 ، صدر ح 893 ، بسند آخر عن موسى بن جعفر </w:t>
      </w:r>
      <w:r w:rsidR="00D64ADA" w:rsidRPr="00D64ADA">
        <w:rPr>
          <w:rStyle w:val="libFootnoteAlaemChar"/>
          <w:rtl/>
        </w:rPr>
        <w:t>عليهما‌السلام</w:t>
      </w:r>
      <w:r w:rsidR="00992664" w:rsidRPr="00020424">
        <w:rPr>
          <w:rtl/>
        </w:rPr>
        <w:t xml:space="preserve"> ؛ </w:t>
      </w:r>
      <w:r w:rsidR="00992664" w:rsidRPr="00312263">
        <w:rPr>
          <w:rtl/>
        </w:rPr>
        <w:t>مسائل عليّ بن جعفر</w:t>
      </w:r>
      <w:r w:rsidR="00992664" w:rsidRPr="00020424">
        <w:rPr>
          <w:rtl/>
        </w:rPr>
        <w:t xml:space="preserve"> ، ص 259 ، مع زيادة في آخره ، وفيهما مع اختلاف يسير </w:t>
      </w:r>
      <w:r w:rsidR="005709B0">
        <w:rPr>
          <w:rFonts w:hint="cs"/>
          <w:rtl/>
        </w:rPr>
        <w:t>.</w:t>
      </w:r>
      <w:r w:rsidR="00992664" w:rsidRPr="0012008A">
        <w:rPr>
          <w:rStyle w:val="libFootnoteBoldChar"/>
          <w:rtl/>
        </w:rPr>
        <w:t>الوافي</w:t>
      </w:r>
      <w:r w:rsidR="00992664" w:rsidRPr="00020424">
        <w:rPr>
          <w:rtl/>
        </w:rPr>
        <w:t xml:space="preserve"> ، ج 10 ، ص 75 ، ح 9187 ؛ </w:t>
      </w:r>
      <w:r w:rsidR="00992664" w:rsidRPr="0012008A">
        <w:rPr>
          <w:rStyle w:val="libFootnoteBoldChar"/>
          <w:rtl/>
        </w:rPr>
        <w:t>الوسائل</w:t>
      </w:r>
      <w:r w:rsidR="00992664" w:rsidRPr="00020424">
        <w:rPr>
          <w:rtl/>
        </w:rPr>
        <w:t xml:space="preserve"> ، ج 9 ، ص 156 ، ح 11729.</w:t>
      </w:r>
      <w:r w:rsidR="00F8340F">
        <w:rPr>
          <w:rFonts w:hint="cs"/>
          <w:rtl/>
        </w:rPr>
        <w:t xml:space="preserve">                   </w:t>
      </w:r>
      <w:r w:rsidR="00CE68EF">
        <w:rPr>
          <w:rFonts w:hint="cs"/>
          <w:rtl/>
        </w:rPr>
        <w:t xml:space="preserve">    </w:t>
      </w:r>
      <w:r w:rsidR="00485377">
        <w:rPr>
          <w:rFonts w:hint="cs"/>
          <w:rtl/>
        </w:rPr>
        <w:t xml:space="preserve"> </w:t>
      </w:r>
      <w:r w:rsidR="00CE68EF">
        <w:rPr>
          <w:rFonts w:hint="cs"/>
          <w:rtl/>
        </w:rPr>
        <w:t xml:space="preserve">    </w:t>
      </w:r>
      <w:r>
        <w:rPr>
          <w:rtl/>
        </w:rPr>
        <w:t>(7).</w:t>
      </w:r>
      <w:r w:rsidR="0014403D">
        <w:rPr>
          <w:rtl/>
        </w:rPr>
        <w:t xml:space="preserve"> </w:t>
      </w:r>
      <w:r w:rsidR="00992664" w:rsidRPr="00020424">
        <w:rPr>
          <w:rtl/>
        </w:rPr>
        <w:t>في « بر » : « سألت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85377" w:rsidTr="00485377">
        <w:tc>
          <w:tcPr>
            <w:tcW w:w="4006" w:type="dxa"/>
          </w:tcPr>
          <w:p w:rsidR="00485377" w:rsidRDefault="00485377" w:rsidP="00992664">
            <w:pPr>
              <w:pStyle w:val="libFootnote0"/>
              <w:rPr>
                <w:rtl/>
              </w:rPr>
            </w:pPr>
            <w:r>
              <w:rPr>
                <w:rtl/>
              </w:rPr>
              <w:t xml:space="preserve">(8). </w:t>
            </w:r>
            <w:r w:rsidRPr="00020424">
              <w:rPr>
                <w:rtl/>
              </w:rPr>
              <w:t>في الاستبصار : + « يقول</w:t>
            </w:r>
            <w:r>
              <w:rPr>
                <w:rtl/>
              </w:rPr>
              <w:t xml:space="preserve"> ».</w:t>
            </w:r>
          </w:p>
        </w:tc>
        <w:tc>
          <w:tcPr>
            <w:tcW w:w="4006" w:type="dxa"/>
          </w:tcPr>
          <w:p w:rsidR="00485377" w:rsidRDefault="00485377" w:rsidP="00992664">
            <w:pPr>
              <w:pStyle w:val="libFootnote0"/>
              <w:rPr>
                <w:rtl/>
              </w:rPr>
            </w:pPr>
            <w:r>
              <w:rPr>
                <w:rtl/>
              </w:rPr>
              <w:t xml:space="preserve">(9). </w:t>
            </w:r>
            <w:r w:rsidRPr="00020424">
              <w:rPr>
                <w:rtl/>
              </w:rPr>
              <w:t>في « بخ ، بر ، بف » : « قال</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23 : + « درهم وأبي يخالف الناس في هذا</w:t>
      </w:r>
      <w:r w:rsidR="00992664">
        <w:rPr>
          <w:rtl/>
        </w:rPr>
        <w:t xml:space="preserve"> ».</w:t>
      </w:r>
      <w:r w:rsidR="00992664" w:rsidRPr="00020424">
        <w:rPr>
          <w:rtl/>
        </w:rPr>
        <w:t xml:space="preserve"> وفي الاستبصار ، ح 20 : + « كان أبي يخالف الناس في هذا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8 ، ح 20 ؛ وج 4 ، ص 98 ، ح 277 ؛ </w:t>
      </w:r>
      <w:r w:rsidR="00992664" w:rsidRPr="00FD6221">
        <w:rPr>
          <w:rStyle w:val="libFootnoteBoldChar"/>
          <w:rtl/>
        </w:rPr>
        <w:t>والاستبصار</w:t>
      </w:r>
      <w:r w:rsidR="00992664" w:rsidRPr="00020424">
        <w:rPr>
          <w:rtl/>
        </w:rPr>
        <w:t xml:space="preserve"> ، ج 2 ، ص 7 ، ح 17 ، معلّقاً عن الكليني. </w:t>
      </w:r>
      <w:r w:rsidR="00992664" w:rsidRPr="00312263">
        <w:rPr>
          <w:rtl/>
        </w:rPr>
        <w:t>وفيه</w:t>
      </w:r>
      <w:r w:rsidR="00992664" w:rsidRPr="00020424">
        <w:rPr>
          <w:rtl/>
        </w:rPr>
        <w:t xml:space="preserve"> ، ح 20 ؛ </w:t>
      </w:r>
      <w:r w:rsidR="00992664" w:rsidRPr="00515444">
        <w:rPr>
          <w:rStyle w:val="libFootnoteBoldChar"/>
          <w:rtl/>
        </w:rPr>
        <w:t>والتهذيب</w:t>
      </w:r>
      <w:r w:rsidR="00992664" w:rsidRPr="00020424">
        <w:rPr>
          <w:rtl/>
        </w:rPr>
        <w:t xml:space="preserve"> ، ج 4 ، ص 8 ، ح 23 ، بسند آخر ، مع اختلاف يسير </w:t>
      </w:r>
      <w:r w:rsidR="00F74EB3">
        <w:rPr>
          <w:rFonts w:hint="cs"/>
          <w:rtl/>
        </w:rPr>
        <w:t>.</w:t>
      </w:r>
      <w:r w:rsidR="00992664" w:rsidRPr="0012008A">
        <w:rPr>
          <w:rStyle w:val="libFootnoteBoldChar"/>
          <w:rtl/>
        </w:rPr>
        <w:t>الوافي</w:t>
      </w:r>
      <w:r w:rsidR="00992664" w:rsidRPr="00020424">
        <w:rPr>
          <w:rtl/>
        </w:rPr>
        <w:t xml:space="preserve"> ، ج 10 ، ص 75 ، ح 9186 ؛ </w:t>
      </w:r>
      <w:r w:rsidR="00992664" w:rsidRPr="0012008A">
        <w:rPr>
          <w:rStyle w:val="libFootnoteBoldChar"/>
          <w:rtl/>
        </w:rPr>
        <w:t>الوسائل</w:t>
      </w:r>
      <w:r w:rsidR="00992664" w:rsidRPr="00020424">
        <w:rPr>
          <w:rtl/>
        </w:rPr>
        <w:t xml:space="preserve"> ، ج 9 ، ص 157 ، ح 11732.</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يَقْطِينٍ ، عَنْ أَخِيهِ الْحُسَيْنِ ، عَنْ </w:t>
      </w:r>
      <w:r w:rsidRPr="00A91B96">
        <w:rPr>
          <w:rStyle w:val="libFootnotenumChar"/>
          <w:rtl/>
        </w:rPr>
        <w:t>(1)</w:t>
      </w:r>
      <w:r w:rsidRPr="00020424">
        <w:rPr>
          <w:rtl/>
          <w:lang w:bidi="fa-IR"/>
        </w:rPr>
        <w:t xml:space="preserve"> عَلِيِّ بْنِ يَقْطِينٍ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الْمَالِ الَّذِي لَايُعْمَلُ بِهِ وَلَايُقَلَّبُ</w:t>
      </w:r>
      <w:r>
        <w:rPr>
          <w:rtl/>
          <w:lang w:bidi="fa-IR"/>
        </w:rPr>
        <w:t>؟</w:t>
      </w:r>
    </w:p>
    <w:p w:rsidR="00992664" w:rsidRPr="00020424" w:rsidRDefault="00992664" w:rsidP="00992664">
      <w:pPr>
        <w:pStyle w:val="libNormal"/>
        <w:rPr>
          <w:rtl/>
          <w:lang w:bidi="fa-IR"/>
        </w:rPr>
      </w:pPr>
      <w:r w:rsidRPr="00020424">
        <w:rPr>
          <w:rtl/>
          <w:lang w:bidi="fa-IR"/>
        </w:rPr>
        <w:t xml:space="preserve">قَالَ : « يَلْزَمُهُ </w:t>
      </w:r>
      <w:r w:rsidRPr="00A91B96">
        <w:rPr>
          <w:rStyle w:val="libFootnotenumChar"/>
          <w:rtl/>
        </w:rPr>
        <w:t>(2)</w:t>
      </w:r>
      <w:r w:rsidRPr="00020424">
        <w:rPr>
          <w:rtl/>
          <w:lang w:bidi="fa-IR"/>
        </w:rPr>
        <w:t xml:space="preserve"> الزَّكَاةُ فِي كُلِّ سَنَةٍ </w:t>
      </w:r>
      <w:r w:rsidRPr="00A91B96">
        <w:rPr>
          <w:rStyle w:val="libFootnotenumChar"/>
          <w:rtl/>
        </w:rPr>
        <w:t>(3)</w:t>
      </w:r>
      <w:r w:rsidR="00F74EB3">
        <w:rPr>
          <w:rtl/>
          <w:lang w:bidi="fa-IR"/>
        </w:rPr>
        <w:t xml:space="preserve"> إِل</w:t>
      </w:r>
      <w:r w:rsidR="00F74EB3">
        <w:rPr>
          <w:rFonts w:hint="cs"/>
          <w:rtl/>
          <w:lang w:bidi="fa-IR"/>
        </w:rPr>
        <w:t>َّ</w:t>
      </w:r>
      <w:r w:rsidR="00F74EB3">
        <w:rPr>
          <w:rtl/>
          <w:lang w:bidi="fa-IR"/>
        </w:rPr>
        <w:t>ا</w:t>
      </w:r>
      <w:r w:rsidRPr="00020424">
        <w:rPr>
          <w:rtl/>
          <w:lang w:bidi="fa-IR"/>
        </w:rPr>
        <w:t xml:space="preserve"> أَنْ يُسْبَكَ</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312263">
        <w:rPr>
          <w:rtl/>
        </w:rPr>
        <w:t>5803</w:t>
      </w:r>
      <w:r w:rsidRPr="001155DE">
        <w:rPr>
          <w:rStyle w:val="libBold2Char"/>
          <w:rtl/>
        </w:rPr>
        <w:t xml:space="preserve"> / 6.</w:t>
      </w:r>
      <w:r w:rsidRPr="00020424">
        <w:rPr>
          <w:rtl/>
          <w:lang w:bidi="fa-IR"/>
        </w:rPr>
        <w:t xml:space="preserve"> مُحَمَّدُ بْنُ يَحْيى ، عَنْ أَحْمَدَ بْنِ مُحَمَّدٍ ، عَنِ </w:t>
      </w:r>
      <w:r w:rsidRPr="00A91B96">
        <w:rPr>
          <w:rStyle w:val="libFootnotenumChar"/>
          <w:rtl/>
        </w:rPr>
        <w:t>(5)</w:t>
      </w:r>
      <w:r w:rsidRPr="00020424">
        <w:rPr>
          <w:rtl/>
          <w:lang w:bidi="fa-IR"/>
        </w:rPr>
        <w:t xml:space="preserve"> ابْنِ أَبِي عُمَيْرٍ ، عَنْ </w:t>
      </w:r>
      <w:r w:rsidR="00266F87">
        <w:rPr>
          <w:rtl/>
          <w:lang w:bidi="fa-IR"/>
        </w:rPr>
        <w:t>بَعْضِ أَصْحَابِنَا</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زَكَاةُ الْحُلِيِّ عَارِيَتُهُ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312263">
        <w:rPr>
          <w:rtl/>
        </w:rPr>
        <w:t>5804</w:t>
      </w:r>
      <w:r w:rsidRPr="001155DE">
        <w:rPr>
          <w:rStyle w:val="libBold2Char"/>
          <w:rtl/>
        </w:rPr>
        <w:t xml:space="preserve"> / 7.</w:t>
      </w:r>
      <w:r w:rsidRPr="00020424">
        <w:rPr>
          <w:rtl/>
          <w:lang w:bidi="fa-IR"/>
        </w:rPr>
        <w:t xml:space="preserve"> عَلِيُّ بْنُ إِبْرَاهِيمَ ، عَنْ أَبِيهِ ، عَنْ حَمَّادِ بْنِ عِيسى </w:t>
      </w:r>
      <w:r w:rsidRPr="00A91B96">
        <w:rPr>
          <w:rStyle w:val="libFootnotenumChar"/>
          <w:rtl/>
        </w:rPr>
        <w:t>(8)</w:t>
      </w:r>
      <w:r w:rsidRPr="00020424">
        <w:rPr>
          <w:rtl/>
          <w:lang w:bidi="fa-IR"/>
        </w:rPr>
        <w:t xml:space="preserve"> ، عَنْ حَرِيزٍ ، عَنْ هَارُونَ بْنِ خَارِجَةَ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w:t>
      </w:r>
      <w:r w:rsidRPr="00A91B96">
        <w:rPr>
          <w:rStyle w:val="libFootnotenumChar"/>
          <w:rtl/>
        </w:rPr>
        <w:t>(9)</w:t>
      </w:r>
      <w:r w:rsidRPr="00020424">
        <w:rPr>
          <w:rtl/>
          <w:lang w:bidi="fa-IR"/>
        </w:rPr>
        <w:t xml:space="preserve"> : إِنَّ أَخِي يُوسُفَ وُلِّيَ لِهؤُلَاءِ </w:t>
      </w:r>
      <w:r w:rsidRPr="00A91B96">
        <w:rPr>
          <w:rStyle w:val="libFootnotenumChar"/>
          <w:rtl/>
        </w:rPr>
        <w:t>(10)</w:t>
      </w:r>
      <w:r w:rsidRPr="00020424">
        <w:rPr>
          <w:rtl/>
          <w:lang w:bidi="fa-IR"/>
        </w:rPr>
        <w:t xml:space="preserve"> الْقَوْمِ </w:t>
      </w:r>
      <w:r w:rsidRPr="00A91B96">
        <w:rPr>
          <w:rStyle w:val="libFootnotenumChar"/>
          <w:rtl/>
        </w:rPr>
        <w:t>(11)</w:t>
      </w:r>
      <w:r w:rsidRPr="00020424">
        <w:rPr>
          <w:rtl/>
          <w:lang w:bidi="fa-IR"/>
        </w:rPr>
        <w:t xml:space="preserve"> أَعْمَالاً‌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بخ ، بر » </w:t>
      </w:r>
      <w:r w:rsidR="00992664" w:rsidRPr="00515444">
        <w:rPr>
          <w:rStyle w:val="libFootnoteBoldChar"/>
          <w:rtl/>
        </w:rPr>
        <w:t>والتهذيب</w:t>
      </w:r>
      <w:r w:rsidR="00992664" w:rsidRPr="00020424">
        <w:rPr>
          <w:rtl/>
        </w:rPr>
        <w:t xml:space="preserve"> : « بن</w:t>
      </w:r>
      <w:r w:rsidR="00992664">
        <w:rPr>
          <w:rtl/>
        </w:rPr>
        <w:t xml:space="preserve"> ».</w:t>
      </w:r>
      <w:r w:rsidR="00992664" w:rsidRPr="00020424">
        <w:rPr>
          <w:rtl/>
        </w:rPr>
        <w:t xml:space="preserve"> والظاهر أنّه سهو ؛ فقد تكرّرت في الأسناد رواية الحسن بن عليّ بن يقطين عن أخيه الحسين عن عليّ بن يقطين ، منها ما ورد في نفس المجلّد ، ح 3890 و4026 و5871. راجع : </w:t>
      </w:r>
      <w:r w:rsidR="00992664" w:rsidRPr="00312263">
        <w:rPr>
          <w:rtl/>
        </w:rPr>
        <w:t>معجم رجال الحديث</w:t>
      </w:r>
      <w:r w:rsidR="00992664" w:rsidRPr="00020424">
        <w:rPr>
          <w:rtl/>
        </w:rPr>
        <w:t xml:space="preserve"> ، ج 6 ، ص 336</w:t>
      </w:r>
      <w:r w:rsidR="00992664">
        <w:rPr>
          <w:rtl/>
        </w:rPr>
        <w:t xml:space="preserve"> </w:t>
      </w:r>
      <w:r w:rsidR="009B673F">
        <w:rPr>
          <w:rtl/>
        </w:rPr>
        <w:t>-</w:t>
      </w:r>
      <w:r w:rsidR="00992664">
        <w:rPr>
          <w:rtl/>
        </w:rPr>
        <w:t xml:space="preserve"> </w:t>
      </w:r>
      <w:r w:rsidR="00992664" w:rsidRPr="00020424">
        <w:rPr>
          <w:rtl/>
        </w:rPr>
        <w:t>338.</w:t>
      </w:r>
    </w:p>
    <w:p w:rsidR="00992664" w:rsidRPr="00020424" w:rsidRDefault="00992664" w:rsidP="00266F87">
      <w:pPr>
        <w:pStyle w:val="libFootnote0"/>
        <w:rPr>
          <w:rtl/>
          <w:lang w:bidi="fa-IR"/>
        </w:rPr>
      </w:pPr>
      <w:r w:rsidRPr="00266F87">
        <w:rPr>
          <w:rtl/>
        </w:rPr>
        <w:t xml:space="preserve">ثمّ إنّ ما ورد في </w:t>
      </w:r>
      <w:r w:rsidRPr="0012008A">
        <w:rPr>
          <w:rStyle w:val="libFootnoteBoldChar"/>
          <w:rtl/>
        </w:rPr>
        <w:t>الوافي</w:t>
      </w:r>
      <w:r w:rsidRPr="00266F87">
        <w:rPr>
          <w:rtl/>
        </w:rPr>
        <w:t xml:space="preserve"> </w:t>
      </w:r>
      <w:r w:rsidRPr="00FD6221">
        <w:rPr>
          <w:rStyle w:val="libFootnoteBoldChar"/>
          <w:rtl/>
        </w:rPr>
        <w:t>والاستبصار</w:t>
      </w:r>
      <w:r w:rsidRPr="00266F87">
        <w:rPr>
          <w:rtl/>
        </w:rPr>
        <w:t xml:space="preserve"> ، ج 2 ، ص 7 ، ح 15 من نقل الخبر بالسند عن الحسن بن عليّ بن يقطين عن أخيه عن أبيه ، الظاهر أنّ « عن أبيه » في السند ليس نسخةً ، بل هو تفسير لعليّ بن يقطين من قِبَل الشيخ وضعه موضع عليّ بن يقطين.</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بس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والاستبصار</w:t>
      </w:r>
      <w:r w:rsidR="00992664" w:rsidRPr="00020424">
        <w:rPr>
          <w:rtl/>
        </w:rPr>
        <w:t xml:space="preserve"> : « تلزمه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في كلّ سنة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7 ، ح 17 ؛ </w:t>
      </w:r>
      <w:r w:rsidR="00992664" w:rsidRPr="00FD6221">
        <w:rPr>
          <w:rStyle w:val="libFootnoteBoldChar"/>
          <w:rtl/>
        </w:rPr>
        <w:t>والاستبصار</w:t>
      </w:r>
      <w:r w:rsidR="00992664" w:rsidRPr="00020424">
        <w:rPr>
          <w:rtl/>
        </w:rPr>
        <w:t xml:space="preserve"> ، ج 2 ، ص 7 ، ح 15 ، معلّقاً عن الكليني </w:t>
      </w:r>
      <w:r w:rsidR="00CC6FF4">
        <w:rPr>
          <w:rFonts w:hint="cs"/>
          <w:rtl/>
        </w:rPr>
        <w:t>.</w:t>
      </w:r>
      <w:r w:rsidR="00992664" w:rsidRPr="0012008A">
        <w:rPr>
          <w:rStyle w:val="libFootnoteBoldChar"/>
          <w:rtl/>
        </w:rPr>
        <w:t>الوافي</w:t>
      </w:r>
      <w:r w:rsidR="00992664" w:rsidRPr="00020424">
        <w:rPr>
          <w:rtl/>
        </w:rPr>
        <w:t xml:space="preserve"> ، ج 10 ، ص 75 ، ح 9184 ؛ </w:t>
      </w:r>
      <w:r w:rsidR="00992664" w:rsidRPr="0012008A">
        <w:rPr>
          <w:rStyle w:val="libFootnoteBoldChar"/>
          <w:rtl/>
        </w:rPr>
        <w:t>الوسائل</w:t>
      </w:r>
      <w:r w:rsidR="00992664" w:rsidRPr="00020424">
        <w:rPr>
          <w:rtl/>
        </w:rPr>
        <w:t xml:space="preserve"> ، ج 9 ، ص 155 ، ح 11727 ؛ وص 166 ، ح 11751.</w:t>
      </w:r>
    </w:p>
    <w:tbl>
      <w:tblPr>
        <w:tblStyle w:val="TableGrid"/>
        <w:bidiVisual/>
        <w:tblW w:w="0" w:type="auto"/>
        <w:tblLook w:val="04A0" w:firstRow="1" w:lastRow="0" w:firstColumn="1" w:lastColumn="0" w:noHBand="0" w:noVBand="1"/>
      </w:tblPr>
      <w:tblGrid>
        <w:gridCol w:w="4006"/>
        <w:gridCol w:w="4006"/>
      </w:tblGrid>
      <w:tr w:rsidR="00CC6FF4" w:rsidTr="00CC6FF4">
        <w:tc>
          <w:tcPr>
            <w:tcW w:w="4006" w:type="dxa"/>
          </w:tcPr>
          <w:p w:rsidR="00CC6FF4" w:rsidRDefault="00CC6FF4" w:rsidP="00992664">
            <w:pPr>
              <w:pStyle w:val="libFootnote0"/>
              <w:rPr>
                <w:rtl/>
              </w:rPr>
            </w:pPr>
            <w:r>
              <w:rPr>
                <w:rtl/>
              </w:rPr>
              <w:t xml:space="preserve">(5). </w:t>
            </w:r>
            <w:r w:rsidRPr="00020424">
              <w:rPr>
                <w:rtl/>
              </w:rPr>
              <w:t>في « بث ، بخ ، بر ، بف » : + « محمّد</w:t>
            </w:r>
            <w:r>
              <w:rPr>
                <w:rtl/>
              </w:rPr>
              <w:t xml:space="preserve"> ».</w:t>
            </w:r>
          </w:p>
        </w:tc>
        <w:tc>
          <w:tcPr>
            <w:tcW w:w="4006" w:type="dxa"/>
          </w:tcPr>
          <w:p w:rsidR="00CC6FF4" w:rsidRDefault="00CC6FF4" w:rsidP="00992664">
            <w:pPr>
              <w:pStyle w:val="libFootnote0"/>
              <w:rPr>
                <w:rtl/>
              </w:rPr>
            </w:pPr>
            <w:r>
              <w:rPr>
                <w:rtl/>
              </w:rPr>
              <w:t xml:space="preserve">(6). </w:t>
            </w:r>
            <w:r w:rsidRPr="00020424">
              <w:rPr>
                <w:rtl/>
              </w:rPr>
              <w:t xml:space="preserve">في </w:t>
            </w:r>
            <w:r w:rsidRPr="0012008A">
              <w:rPr>
                <w:rStyle w:val="libFootnoteBoldChar"/>
                <w:rtl/>
              </w:rPr>
              <w:t>التهذيب</w:t>
            </w:r>
            <w:r w:rsidR="00680C45">
              <w:rPr>
                <w:rtl/>
              </w:rPr>
              <w:t>:«</w:t>
            </w:r>
            <w:r w:rsidRPr="00020424">
              <w:rPr>
                <w:rtl/>
              </w:rPr>
              <w:t>أن يعار</w:t>
            </w:r>
            <w:r>
              <w:rPr>
                <w:rtl/>
              </w:rPr>
              <w:t>».</w:t>
            </w:r>
            <w:r w:rsidRPr="00020424">
              <w:rPr>
                <w:rtl/>
              </w:rPr>
              <w:t>وفي الاس</w:t>
            </w:r>
            <w:r w:rsidR="00680C45">
              <w:rPr>
                <w:rtl/>
              </w:rPr>
              <w:t>تبصار :«</w:t>
            </w:r>
            <w:r w:rsidRPr="00020424">
              <w:rPr>
                <w:rtl/>
              </w:rPr>
              <w:t>إعارته</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8 ، ح 22 ؛ </w:t>
      </w:r>
      <w:r w:rsidR="00992664" w:rsidRPr="00FD6221">
        <w:rPr>
          <w:rStyle w:val="libFootnoteBoldChar"/>
          <w:rtl/>
        </w:rPr>
        <w:t>والاستبصار</w:t>
      </w:r>
      <w:r w:rsidR="00992664" w:rsidRPr="00020424">
        <w:rPr>
          <w:rtl/>
        </w:rPr>
        <w:t xml:space="preserve"> ، ج 2 ، ص 7 ، ح 19 ، معلّقاً عن الكليني </w:t>
      </w:r>
      <w:r w:rsidR="00B22EC2">
        <w:rPr>
          <w:rFonts w:hint="cs"/>
          <w:rtl/>
        </w:rPr>
        <w:t>.</w:t>
      </w:r>
      <w:r w:rsidR="00992664" w:rsidRPr="0012008A">
        <w:rPr>
          <w:rStyle w:val="libFootnoteBoldChar"/>
          <w:rtl/>
        </w:rPr>
        <w:t>الوافي</w:t>
      </w:r>
      <w:r w:rsidR="00992664" w:rsidRPr="00020424">
        <w:rPr>
          <w:rtl/>
        </w:rPr>
        <w:t xml:space="preserve"> ، ج 10 ، ص 76 ، ح 9188 ؛ </w:t>
      </w:r>
      <w:r w:rsidR="00992664" w:rsidRPr="0012008A">
        <w:rPr>
          <w:rStyle w:val="libFootnoteBoldChar"/>
          <w:rtl/>
        </w:rPr>
        <w:t>الوسائل</w:t>
      </w:r>
      <w:r w:rsidR="00992664" w:rsidRPr="00020424">
        <w:rPr>
          <w:rtl/>
        </w:rPr>
        <w:t xml:space="preserve"> ، ج 9 ، ص 158 ، ح 11738.</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والعلل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 « هؤلاء</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القوم</w:t>
      </w:r>
      <w:r w:rsidR="00992664">
        <w:rPr>
          <w:rtl/>
        </w:rPr>
        <w:t xml:space="preserve"> ».</w:t>
      </w:r>
      <w:r w:rsidR="00992664" w:rsidRPr="00020424">
        <w:rPr>
          <w:rtl/>
        </w:rPr>
        <w:t xml:space="preserve"> وفي العلل : « بأهواز » بدل « لهؤلاء القوم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أَصَابَ </w:t>
      </w:r>
      <w:r w:rsidRPr="00A91B96">
        <w:rPr>
          <w:rStyle w:val="libFootnotenumChar"/>
          <w:rtl/>
        </w:rPr>
        <w:t>(1)</w:t>
      </w:r>
      <w:r w:rsidRPr="00020424">
        <w:rPr>
          <w:rtl/>
          <w:lang w:bidi="fa-IR"/>
        </w:rPr>
        <w:t xml:space="preserve"> فِيهَا أَمْوَالاً كَثِيرَةً ، وَإِنَّهُ جَعَلَ تِلْكَ الْأَمْوَالَ </w:t>
      </w:r>
      <w:r w:rsidRPr="00A91B96">
        <w:rPr>
          <w:rStyle w:val="libFootnotenumChar"/>
          <w:rtl/>
        </w:rPr>
        <w:t>(2)</w:t>
      </w:r>
      <w:r w:rsidRPr="00020424">
        <w:rPr>
          <w:rtl/>
          <w:lang w:bidi="fa-IR"/>
        </w:rPr>
        <w:t xml:space="preserve"> حُلِيّاً أَرَادَ أَنْ يَفِرَّ بِهَا </w:t>
      </w:r>
      <w:r w:rsidRPr="00A91B96">
        <w:rPr>
          <w:rStyle w:val="libFootnotenumChar"/>
          <w:rtl/>
        </w:rPr>
        <w:t>(3)</w:t>
      </w:r>
      <w:r w:rsidRPr="00020424">
        <w:rPr>
          <w:rtl/>
          <w:lang w:bidi="fa-IR"/>
        </w:rPr>
        <w:t xml:space="preserve"> مِنَ الزَّكَاةِ :</w:t>
      </w:r>
      <w:r>
        <w:rPr>
          <w:rFonts w:hint="cs"/>
          <w:rtl/>
          <w:lang w:bidi="fa-IR"/>
        </w:rPr>
        <w:t xml:space="preserve"> </w:t>
      </w:r>
      <w:r>
        <w:rPr>
          <w:rtl/>
          <w:lang w:bidi="fa-IR"/>
        </w:rPr>
        <w:t>أَ</w:t>
      </w:r>
      <w:r w:rsidRPr="00020424">
        <w:rPr>
          <w:rtl/>
          <w:lang w:bidi="fa-IR"/>
        </w:rPr>
        <w:t>عَلَيْهِ الزَّكَاةُ</w:t>
      </w:r>
      <w:r>
        <w:rPr>
          <w:rtl/>
          <w:lang w:bidi="fa-IR"/>
        </w:rPr>
        <w:t>؟</w:t>
      </w:r>
    </w:p>
    <w:p w:rsidR="00992664" w:rsidRPr="00020424" w:rsidRDefault="00992664" w:rsidP="00992664">
      <w:pPr>
        <w:pStyle w:val="libNormal"/>
        <w:rPr>
          <w:rtl/>
          <w:lang w:bidi="fa-IR"/>
        </w:rPr>
      </w:pPr>
      <w:r w:rsidRPr="00020424">
        <w:rPr>
          <w:rtl/>
          <w:lang w:bidi="fa-IR"/>
        </w:rPr>
        <w:t>قَالَ : « لَيْسَ عَلَى الْحُلِيِّ زَكَاةٌ ، وَمَا أَدْخَلَ عَلى نَفْسِهِ</w:t>
      </w:r>
      <w:r>
        <w:rPr>
          <w:rtl/>
          <w:lang w:bidi="fa-IR"/>
        </w:rPr>
        <w:t xml:space="preserve"> </w:t>
      </w:r>
      <w:r w:rsidR="009B673F">
        <w:rPr>
          <w:rtl/>
          <w:lang w:bidi="fa-IR"/>
        </w:rPr>
        <w:t>-</w:t>
      </w:r>
      <w:r>
        <w:rPr>
          <w:rtl/>
          <w:lang w:bidi="fa-IR"/>
        </w:rPr>
        <w:t xml:space="preserve"> </w:t>
      </w:r>
      <w:r w:rsidRPr="00020424">
        <w:rPr>
          <w:rtl/>
          <w:lang w:bidi="fa-IR"/>
        </w:rPr>
        <w:t xml:space="preserve">مِنَ النُّقْصَانِ فِي وَضْعِهِ ، وَمَنْعِهِ نَفْسَهُ </w:t>
      </w:r>
      <w:r w:rsidRPr="00A91B96">
        <w:rPr>
          <w:rStyle w:val="libFootnotenumChar"/>
          <w:rtl/>
        </w:rPr>
        <w:t>(4)</w:t>
      </w:r>
      <w:r>
        <w:rPr>
          <w:rtl/>
          <w:lang w:bidi="fa-IR"/>
        </w:rPr>
        <w:t xml:space="preserve"> </w:t>
      </w:r>
      <w:r w:rsidR="009B673F">
        <w:rPr>
          <w:rtl/>
          <w:lang w:bidi="fa-IR"/>
        </w:rPr>
        <w:t>-</w:t>
      </w:r>
      <w:r>
        <w:rPr>
          <w:rtl/>
          <w:lang w:bidi="fa-IR"/>
        </w:rPr>
        <w:t xml:space="preserve"> </w:t>
      </w:r>
      <w:r w:rsidRPr="00020424">
        <w:rPr>
          <w:rtl/>
          <w:lang w:bidi="fa-IR"/>
        </w:rPr>
        <w:t>فَضْلُهُ أَكْثَرُ مِمَّا يَخَافُ مِنَ الزَّكَاةِ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312263">
        <w:rPr>
          <w:rtl/>
        </w:rPr>
        <w:t>5805</w:t>
      </w:r>
      <w:r w:rsidRPr="001155DE">
        <w:rPr>
          <w:rStyle w:val="libBold2Char"/>
          <w:rtl/>
        </w:rPr>
        <w:t xml:space="preserve"> / 8.</w:t>
      </w:r>
      <w:r w:rsidRPr="00020424">
        <w:rPr>
          <w:rtl/>
          <w:lang w:bidi="fa-IR"/>
        </w:rPr>
        <w:t xml:space="preserve"> حَمَّادُ بْنُ عِيسى </w:t>
      </w:r>
      <w:r w:rsidRPr="00A91B96">
        <w:rPr>
          <w:rStyle w:val="libFootnotenumChar"/>
          <w:rtl/>
        </w:rPr>
        <w:t>(6)</w:t>
      </w:r>
      <w:r w:rsidRPr="00020424">
        <w:rPr>
          <w:rtl/>
          <w:lang w:bidi="fa-IR"/>
        </w:rPr>
        <w:t xml:space="preserve"> ، عَنْ حَرِيزٍ ، عَنْ عَلِيِّ بْنِ يَقْطِينٍ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قُلْتُ لَهُ : إِنَّهُ يَجْتَمِعُ عِنْدِي الشَّيْ‌ءُ </w:t>
      </w:r>
      <w:r w:rsidRPr="00A91B96">
        <w:rPr>
          <w:rStyle w:val="libFootnotenumChar"/>
          <w:rtl/>
        </w:rPr>
        <w:t>(7)</w:t>
      </w:r>
      <w:r w:rsidRPr="00020424">
        <w:rPr>
          <w:rtl/>
          <w:lang w:bidi="fa-IR"/>
        </w:rPr>
        <w:t xml:space="preserve"> ، فَيَبْقى </w:t>
      </w:r>
      <w:r w:rsidRPr="00A91B96">
        <w:rPr>
          <w:rStyle w:val="libFootnotenumChar"/>
          <w:rtl/>
        </w:rPr>
        <w:t>(8)</w:t>
      </w:r>
      <w:r>
        <w:rPr>
          <w:rtl/>
          <w:lang w:bidi="fa-IR"/>
        </w:rPr>
        <w:t xml:space="preserve"> نَحْواً مِنْ سَنَةٍ ، أَ</w:t>
      </w:r>
      <w:r w:rsidRPr="00020424">
        <w:rPr>
          <w:rtl/>
          <w:lang w:bidi="fa-IR"/>
        </w:rPr>
        <w:t xml:space="preserve">نُزَكِّيهِ </w:t>
      </w:r>
      <w:r w:rsidRPr="00A91B96">
        <w:rPr>
          <w:rStyle w:val="libFootnotenumChar"/>
          <w:rtl/>
        </w:rPr>
        <w:t>(9)</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 لَا ، كُلُّ مَا لَمْ يَحُلْ عَلَيْهِ </w:t>
      </w:r>
      <w:r w:rsidRPr="00A91B96">
        <w:rPr>
          <w:rStyle w:val="libFootnotenumChar"/>
          <w:rtl/>
        </w:rPr>
        <w:t>(11)</w:t>
      </w:r>
      <w:r w:rsidRPr="00020424">
        <w:rPr>
          <w:rtl/>
          <w:lang w:bidi="fa-IR"/>
        </w:rPr>
        <w:t xml:space="preserve"> عِنْدَكَ </w:t>
      </w:r>
      <w:r w:rsidRPr="00A91B96">
        <w:rPr>
          <w:rStyle w:val="libFootnotenumChar"/>
          <w:rtl/>
        </w:rPr>
        <w:t>(12)</w:t>
      </w:r>
      <w:r w:rsidRPr="00020424">
        <w:rPr>
          <w:rtl/>
          <w:lang w:bidi="fa-IR"/>
        </w:rPr>
        <w:t xml:space="preserve"> الْحَوْلُ </w:t>
      </w:r>
      <w:r w:rsidRPr="00A91B96">
        <w:rPr>
          <w:rStyle w:val="libFootnotenumChar"/>
          <w:rtl/>
        </w:rPr>
        <w:t>(13)</w:t>
      </w:r>
      <w:r w:rsidRPr="00020424">
        <w:rPr>
          <w:rtl/>
          <w:lang w:bidi="fa-IR"/>
        </w:rPr>
        <w:t xml:space="preserve"> ، فَلَيْسَ عَلَيْكَ </w:t>
      </w:r>
      <w:r w:rsidRPr="00A91B96">
        <w:rPr>
          <w:rStyle w:val="libFootnotenumChar"/>
          <w:rtl/>
        </w:rPr>
        <w:t>(14)</w:t>
      </w:r>
      <w:r w:rsidRPr="00020424">
        <w:rPr>
          <w:rtl/>
          <w:lang w:bidi="fa-IR"/>
        </w:rPr>
        <w:t xml:space="preserve"> فِيهِ زَكَاةٌ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الاستبصار : « فأصاب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بخ ، بر ، بف » وحاشية « بث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11744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والعلل : « ذلك المال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بث ، بخ ، بر ، جن » </w:t>
      </w:r>
      <w:r w:rsidR="00992664" w:rsidRPr="00515444">
        <w:rPr>
          <w:rStyle w:val="libFootnoteBoldChar"/>
          <w:rtl/>
        </w:rPr>
        <w:t>والوافي</w:t>
      </w:r>
      <w:r w:rsidR="00992664" w:rsidRPr="00020424">
        <w:rPr>
          <w:rtl/>
        </w:rPr>
        <w:t xml:space="preserve"> والعلل : « به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الاستبصار : + « من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9 ، ح 26 ؛ </w:t>
      </w:r>
      <w:r w:rsidR="00992664" w:rsidRPr="00FD6221">
        <w:rPr>
          <w:rStyle w:val="libFootnoteBoldChar"/>
          <w:rtl/>
        </w:rPr>
        <w:t>والاستبصار</w:t>
      </w:r>
      <w:r w:rsidR="00992664" w:rsidRPr="00020424">
        <w:rPr>
          <w:rtl/>
        </w:rPr>
        <w:t xml:space="preserve"> ، ج 2 ، ص 8 ، ح 23 ، معلّقاً عن الكليني. </w:t>
      </w:r>
      <w:r w:rsidR="00992664" w:rsidRPr="00312263">
        <w:rPr>
          <w:rtl/>
        </w:rPr>
        <w:t>علل الشرائع</w:t>
      </w:r>
      <w:r w:rsidR="00992664" w:rsidRPr="00020424">
        <w:rPr>
          <w:rtl/>
        </w:rPr>
        <w:t xml:space="preserve"> ، ص 370 ، ح 2 ، بسنده عن حمّاد بن عيسى ، مع اختلاف يسير </w:t>
      </w:r>
      <w:r w:rsidR="00B22EC2">
        <w:rPr>
          <w:rFonts w:hint="cs"/>
          <w:rtl/>
        </w:rPr>
        <w:t>.</w:t>
      </w:r>
      <w:r w:rsidR="00992664" w:rsidRPr="0012008A">
        <w:rPr>
          <w:rStyle w:val="libFootnoteBoldChar"/>
          <w:rtl/>
        </w:rPr>
        <w:t>الوافي</w:t>
      </w:r>
      <w:r w:rsidR="00992664" w:rsidRPr="00020424">
        <w:rPr>
          <w:rtl/>
        </w:rPr>
        <w:t xml:space="preserve"> ، ج 10 ، ص 73 ، ح 9179 ؛ </w:t>
      </w:r>
      <w:r w:rsidR="00992664" w:rsidRPr="0012008A">
        <w:rPr>
          <w:rStyle w:val="libFootnoteBoldChar"/>
          <w:rtl/>
        </w:rPr>
        <w:t>الوسائل</w:t>
      </w:r>
      <w:r w:rsidR="00992664" w:rsidRPr="00020424">
        <w:rPr>
          <w:rtl/>
        </w:rPr>
        <w:t xml:space="preserve"> ، ج 9 ، ص 160 ، ح 11744 ؛ </w:t>
      </w:r>
      <w:r w:rsidR="00992664" w:rsidRPr="00312263">
        <w:rPr>
          <w:rtl/>
        </w:rPr>
        <w:t>وفيه</w:t>
      </w:r>
      <w:r w:rsidR="00992664" w:rsidRPr="00020424">
        <w:rPr>
          <w:rtl/>
        </w:rPr>
        <w:t xml:space="preserve"> ، ص 156 ، ح 11730 ، وتمام الرواية : « ليس على الحليّ زكاة</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ثمّ إنّ السند معلّق على سابقه. ويروي عن حمّاد بن عيسى ، عليّ بن إبراهيم ، عن أبيه.</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 الكثير قيمته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الاستبصار : « الكثير » بدل « فيبقى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بف » : «</w:t>
      </w:r>
      <w:r w:rsidR="00992664">
        <w:rPr>
          <w:rtl/>
        </w:rPr>
        <w:t xml:space="preserve"> أ</w:t>
      </w:r>
      <w:r w:rsidR="00992664" w:rsidRPr="00020424">
        <w:rPr>
          <w:rtl/>
        </w:rPr>
        <w:t>تزكّيه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11759 : « ا</w:t>
      </w:r>
      <w:r w:rsidR="00B22EC2">
        <w:rPr>
          <w:rFonts w:hint="cs"/>
          <w:rtl/>
        </w:rPr>
        <w:t>ُ</w:t>
      </w:r>
      <w:r w:rsidR="00992664" w:rsidRPr="00020424">
        <w:rPr>
          <w:rtl/>
        </w:rPr>
        <w:t>زكّيه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11725 </w:t>
      </w:r>
      <w:r w:rsidR="00992664" w:rsidRPr="00FD6221">
        <w:rPr>
          <w:rStyle w:val="libFootnoteBoldChar"/>
          <w:rtl/>
        </w:rPr>
        <w:t>والاستبصار</w:t>
      </w:r>
      <w:r w:rsidR="00992664" w:rsidRPr="00020424">
        <w:rPr>
          <w:rtl/>
        </w:rPr>
        <w:t xml:space="preserve"> : « فقال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22EC2" w:rsidTr="00B22EC2">
        <w:tc>
          <w:tcPr>
            <w:tcW w:w="4006" w:type="dxa"/>
          </w:tcPr>
          <w:p w:rsidR="00B22EC2" w:rsidRDefault="00B22EC2" w:rsidP="00992664">
            <w:pPr>
              <w:pStyle w:val="libFootnote0"/>
              <w:rPr>
                <w:rtl/>
              </w:rPr>
            </w:pPr>
            <w:r>
              <w:rPr>
                <w:rtl/>
              </w:rPr>
              <w:t xml:space="preserve">(11). </w:t>
            </w:r>
            <w:r w:rsidRPr="00020424">
              <w:rPr>
                <w:rtl/>
              </w:rPr>
              <w:t>في « بح » :</w:t>
            </w:r>
            <w:r>
              <w:rPr>
                <w:rtl/>
              </w:rPr>
              <w:t xml:space="preserve"> - </w:t>
            </w:r>
            <w:r w:rsidRPr="00020424">
              <w:rPr>
                <w:rtl/>
              </w:rPr>
              <w:t>« عليه</w:t>
            </w:r>
            <w:r>
              <w:rPr>
                <w:rtl/>
              </w:rPr>
              <w:t xml:space="preserve"> ».</w:t>
            </w:r>
          </w:p>
        </w:tc>
        <w:tc>
          <w:tcPr>
            <w:tcW w:w="4006" w:type="dxa"/>
          </w:tcPr>
          <w:p w:rsidR="00B22EC2" w:rsidRDefault="00B22EC2" w:rsidP="00992664">
            <w:pPr>
              <w:pStyle w:val="libFootnote0"/>
              <w:rPr>
                <w:rtl/>
              </w:rPr>
            </w:pPr>
            <w:r>
              <w:rPr>
                <w:rtl/>
              </w:rPr>
              <w:t xml:space="preserve">(12). </w:t>
            </w:r>
            <w:r w:rsidRPr="00020424">
              <w:rPr>
                <w:rtl/>
              </w:rPr>
              <w:t xml:space="preserve">في </w:t>
            </w:r>
            <w:r w:rsidRPr="0012008A">
              <w:rPr>
                <w:rStyle w:val="libFootnoteBoldChar"/>
                <w:rtl/>
              </w:rPr>
              <w:t>الوسائل</w:t>
            </w:r>
            <w:r w:rsidRPr="00020424">
              <w:rPr>
                <w:rtl/>
              </w:rPr>
              <w:t xml:space="preserve"> ، ح 11725 :</w:t>
            </w:r>
            <w:r>
              <w:rPr>
                <w:rtl/>
              </w:rPr>
              <w:t xml:space="preserve"> - </w:t>
            </w:r>
            <w:r w:rsidRPr="00020424">
              <w:rPr>
                <w:rtl/>
              </w:rPr>
              <w:t>« عندك</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بس » : « الحول عندك</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هكذا في « ظ ، ى ، بث ، بخ ، بر ، بف » </w:t>
      </w:r>
      <w:r w:rsidR="00992664" w:rsidRPr="00F8340F">
        <w:rPr>
          <w:rtl/>
        </w:rPr>
        <w:t>والوافي والوسائل والتهذيب والاستبصار.</w:t>
      </w:r>
      <w:r w:rsidR="00992664" w:rsidRPr="00020424">
        <w:rPr>
          <w:rtl/>
        </w:rPr>
        <w:t xml:space="preserve"> وفي سائر النسخ والمطبوع : « عليه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وَكُلُّ مَا لَمْ يَكُنْ رِكَازاً </w:t>
      </w:r>
      <w:r w:rsidRPr="00A91B96">
        <w:rPr>
          <w:rStyle w:val="libFootnotenumChar"/>
          <w:rtl/>
        </w:rPr>
        <w:t>(1)</w:t>
      </w:r>
      <w:r w:rsidRPr="00020424">
        <w:rPr>
          <w:rtl/>
          <w:lang w:bidi="fa-IR"/>
        </w:rPr>
        <w:t xml:space="preserve"> ، فَلَيْسَ عَلَيْكَ </w:t>
      </w:r>
      <w:r w:rsidRPr="00A91B96">
        <w:rPr>
          <w:rStyle w:val="libFootnotenumChar"/>
          <w:rtl/>
        </w:rPr>
        <w:t>(2)</w:t>
      </w:r>
      <w:r w:rsidRPr="00020424">
        <w:rPr>
          <w:rtl/>
          <w:lang w:bidi="fa-IR"/>
        </w:rPr>
        <w:t xml:space="preserve"> فِيهِ شَيْ‌ءٌ</w:t>
      </w:r>
      <w:r>
        <w:rPr>
          <w:rtl/>
          <w:lang w:bidi="fa-IR"/>
        </w:rPr>
        <w:t xml:space="preserve"> ».</w:t>
      </w:r>
    </w:p>
    <w:p w:rsidR="00992664" w:rsidRPr="00020424" w:rsidRDefault="00992664" w:rsidP="00992664">
      <w:pPr>
        <w:pStyle w:val="libNormal"/>
        <w:rPr>
          <w:rtl/>
          <w:lang w:bidi="fa-IR"/>
        </w:rPr>
      </w:pPr>
      <w:r w:rsidRPr="00020424">
        <w:rPr>
          <w:rtl/>
          <w:lang w:bidi="fa-IR"/>
        </w:rPr>
        <w:t>قَالَ : قُلْتُ : وَمَا الرِّكَازُ</w:t>
      </w:r>
      <w:r>
        <w:rPr>
          <w:rtl/>
          <w:lang w:bidi="fa-IR"/>
        </w:rPr>
        <w:t>؟</w:t>
      </w:r>
    </w:p>
    <w:p w:rsidR="00992664" w:rsidRPr="00020424" w:rsidRDefault="00992664" w:rsidP="00992664">
      <w:pPr>
        <w:pStyle w:val="libNormal"/>
        <w:rPr>
          <w:rtl/>
          <w:lang w:bidi="fa-IR"/>
        </w:rPr>
      </w:pPr>
      <w:r w:rsidRPr="00020424">
        <w:rPr>
          <w:rtl/>
          <w:lang w:bidi="fa-IR"/>
        </w:rPr>
        <w:t xml:space="preserve">قَالَ : « الصَّامِتُ الْمَنْقُوشُ » ثُمَّ قَالَ : « إِذَا أَرَدْتَ ذلِكَ فَاسْبِكْهُ ؛ فَإِنَّهُ لَيْسَ فِي سَبَائِكِ الذَّهَبِ وَنِقَارِ </w:t>
      </w:r>
      <w:r w:rsidRPr="00A91B96">
        <w:rPr>
          <w:rStyle w:val="libFootnotenumChar"/>
          <w:rtl/>
        </w:rPr>
        <w:t>(3)</w:t>
      </w:r>
      <w:r w:rsidRPr="00020424">
        <w:rPr>
          <w:rtl/>
          <w:lang w:bidi="fa-IR"/>
        </w:rPr>
        <w:t xml:space="preserve"> الْفِضَّةِ شَيْ‌ءٌ مِنَ الزَّكَاةِ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312263">
        <w:rPr>
          <w:rtl/>
        </w:rPr>
        <w:t>5806</w:t>
      </w:r>
      <w:r w:rsidRPr="001155DE">
        <w:rPr>
          <w:rStyle w:val="libBold2Char"/>
          <w:rtl/>
        </w:rPr>
        <w:t xml:space="preserve"> / 9.</w:t>
      </w:r>
      <w:r w:rsidRPr="00020424">
        <w:rPr>
          <w:rtl/>
          <w:lang w:bidi="fa-IR"/>
        </w:rPr>
        <w:t xml:space="preserve"> مُحَمَّدُ بْنُ يَحْيى ، عَنْ أَحْمَدَ بْنِ مُحَمَّدٍ ، عَنْ عَلِيِّ بْنِ حَدِيدٍ ، عَنْ جَمِيلٍ ، عَنْ بَعْضِ أَصْحَابِنَا أَنَّهُ قَالَ :</w:t>
      </w:r>
    </w:p>
    <w:p w:rsidR="00992664" w:rsidRPr="00020424" w:rsidRDefault="00992664" w:rsidP="00992664">
      <w:pPr>
        <w:pStyle w:val="libNormal"/>
        <w:rPr>
          <w:rtl/>
          <w:lang w:bidi="fa-IR"/>
        </w:rPr>
      </w:pPr>
      <w:r w:rsidRPr="00020424">
        <w:rPr>
          <w:rtl/>
          <w:lang w:bidi="fa-IR"/>
        </w:rPr>
        <w:t xml:space="preserve">لَيْسَ فِي التِّبْرِ </w:t>
      </w:r>
      <w:r w:rsidRPr="00A91B96">
        <w:rPr>
          <w:rStyle w:val="libFootnotenumChar"/>
          <w:rtl/>
        </w:rPr>
        <w:t>(5)</w:t>
      </w:r>
      <w:r w:rsidRPr="00020424">
        <w:rPr>
          <w:rtl/>
          <w:lang w:bidi="fa-IR"/>
        </w:rPr>
        <w:t xml:space="preserve"> زَكَاةٌ ، إِنَّمَا هِيَ عَلَى الدَّنَانِيرِ وَالدَّرَاهِمِ.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312263">
        <w:rPr>
          <w:rtl/>
        </w:rPr>
        <w:t>5807</w:t>
      </w:r>
      <w:r w:rsidRPr="001155DE">
        <w:rPr>
          <w:rStyle w:val="libBold2Char"/>
          <w:rtl/>
        </w:rPr>
        <w:t xml:space="preserve"> / 10.</w:t>
      </w:r>
      <w:r w:rsidRPr="00020424">
        <w:rPr>
          <w:rtl/>
          <w:lang w:bidi="fa-IR"/>
        </w:rPr>
        <w:t xml:space="preserve"> عَلِيُّ بْنُ إِبْرَاهِيمَ ، عَنْ أَبِيهِ ، عَنْ حَمَّادٍ ، عَنِ </w:t>
      </w:r>
      <w:r w:rsidRPr="00A91B96">
        <w:rPr>
          <w:rStyle w:val="libFootnotenumChar"/>
          <w:rtl/>
        </w:rPr>
        <w:t>(7)</w:t>
      </w:r>
      <w:r w:rsidRPr="00020424">
        <w:rPr>
          <w:rtl/>
          <w:lang w:bidi="fa-IR"/>
        </w:rPr>
        <w:t xml:space="preserve"> ابْنِ أُذَيْنَةَ ، عَنْ زُرَارَةَ وَبُكَيْرٍ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لَيْسَ فِي الْجَوْهَرِ وَأَشْبَاهِهِ زَكَاةٌ وَإِنْ كَثُرَ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673854">
      <w:pPr>
        <w:pStyle w:val="libFootnote0"/>
        <w:rPr>
          <w:rtl/>
          <w:lang w:bidi="fa-IR"/>
        </w:rPr>
      </w:pPr>
      <w:r>
        <w:rPr>
          <w:rtl/>
        </w:rPr>
        <w:t>(1).</w:t>
      </w:r>
      <w:r w:rsidR="0014403D">
        <w:rPr>
          <w:rtl/>
        </w:rPr>
        <w:t xml:space="preserve"> </w:t>
      </w:r>
      <w:r w:rsidR="00992664" w:rsidRPr="00020424">
        <w:rPr>
          <w:rtl/>
        </w:rPr>
        <w:t>قال الجوهريّ : « الركاز : دفين أهل الجاهليّة ، كأنّه رُكز في الأرض ركزاً » ، وقال ابن الأثير : « الركاز عند أهل الحجاز : كنوز الجاهليّة المدفونة في الأرض ، وعند أهل العراق : المعادن ، والقولان تحتملهما اللغة ؛ لأنّ كلاًّ منهما مركوز في الأرض ، أي ثابت ، يقال : ركزه يركُزه رَكْزاً ، إذا دفنه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880 ؛ </w:t>
      </w:r>
      <w:r w:rsidR="00992664" w:rsidRPr="0012008A">
        <w:rPr>
          <w:rStyle w:val="libFootnoteBoldChar"/>
          <w:rtl/>
        </w:rPr>
        <w:t>النهاية</w:t>
      </w:r>
      <w:r w:rsidR="00992664" w:rsidRPr="00020424">
        <w:rPr>
          <w:rtl/>
        </w:rPr>
        <w:t xml:space="preserve"> ، ج 2 ، ص 258 ( ركز )</w:t>
      </w:r>
      <w:r w:rsidR="00992664">
        <w:rPr>
          <w:rtl/>
        </w:rPr>
        <w:t>.</w:t>
      </w:r>
      <w:r w:rsidR="00673854">
        <w:rPr>
          <w:rFonts w:hint="cs"/>
          <w:rtl/>
        </w:rPr>
        <w:t xml:space="preserve">                                           </w:t>
      </w:r>
      <w:r>
        <w:rPr>
          <w:rtl/>
        </w:rPr>
        <w:t>(2).</w:t>
      </w:r>
      <w:r w:rsidR="0014403D">
        <w:rPr>
          <w:rtl/>
        </w:rPr>
        <w:t xml:space="preserve"> </w:t>
      </w:r>
      <w:r w:rsidR="00992664" w:rsidRPr="00020424">
        <w:rPr>
          <w:rtl/>
        </w:rPr>
        <w:t>في « بر ، بف » : « عليه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النِقار » : جمع النُقَرة ، وهي القطعة المذابة من الذهب والفضّة. وقيل غير ذلك. راجع : </w:t>
      </w:r>
      <w:r w:rsidR="00992664" w:rsidRPr="00A722B1">
        <w:rPr>
          <w:rStyle w:val="libFootnoteBoldChar"/>
          <w:rtl/>
        </w:rPr>
        <w:t>لسان العرب</w:t>
      </w:r>
      <w:r w:rsidR="00992664" w:rsidRPr="00020424">
        <w:rPr>
          <w:rtl/>
        </w:rPr>
        <w:t xml:space="preserve"> ، ج 5 ، ص 229 ؛ </w:t>
      </w:r>
      <w:r w:rsidR="00992664" w:rsidRPr="00A722B1">
        <w:rPr>
          <w:rStyle w:val="libFootnoteBoldChar"/>
          <w:rtl/>
        </w:rPr>
        <w:t>القاموس المحيط</w:t>
      </w:r>
      <w:r w:rsidR="00992664" w:rsidRPr="00020424">
        <w:rPr>
          <w:rtl/>
        </w:rPr>
        <w:t xml:space="preserve"> ، ج 1 ، ص 674 ( نقر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8 ، ح 19 ؛ </w:t>
      </w:r>
      <w:r w:rsidR="00992664" w:rsidRPr="00FD6221">
        <w:rPr>
          <w:rStyle w:val="libFootnoteBoldChar"/>
          <w:rtl/>
        </w:rPr>
        <w:t>والاستبصار</w:t>
      </w:r>
      <w:r w:rsidR="00992664" w:rsidRPr="00020424">
        <w:rPr>
          <w:rtl/>
        </w:rPr>
        <w:t xml:space="preserve"> ، ج 2 ، ص 6 ، ح 13 ، بسندهما عن حمّاد بن عيسى </w:t>
      </w:r>
      <w:r w:rsidR="008955B8">
        <w:rPr>
          <w:rFonts w:hint="cs"/>
          <w:rtl/>
        </w:rPr>
        <w:t>.</w:t>
      </w:r>
      <w:r w:rsidR="00992664" w:rsidRPr="0012008A">
        <w:rPr>
          <w:rStyle w:val="libFootnoteBoldChar"/>
          <w:rtl/>
        </w:rPr>
        <w:t>الوافي</w:t>
      </w:r>
      <w:r w:rsidR="00992664" w:rsidRPr="00020424">
        <w:rPr>
          <w:rtl/>
        </w:rPr>
        <w:t xml:space="preserve"> ، ج 10 ، ص 74 ، ح 9181 ؛ </w:t>
      </w:r>
      <w:r w:rsidR="00992664" w:rsidRPr="0012008A">
        <w:rPr>
          <w:rStyle w:val="libFootnoteBoldChar"/>
          <w:rtl/>
        </w:rPr>
        <w:t>الوسائل</w:t>
      </w:r>
      <w:r w:rsidR="00992664" w:rsidRPr="00020424">
        <w:rPr>
          <w:rtl/>
        </w:rPr>
        <w:t xml:space="preserve"> ، ج 9 ، ص 154 ، ح 11725 ؛ و</w:t>
      </w:r>
      <w:r w:rsidR="00992664" w:rsidRPr="00312263">
        <w:rPr>
          <w:rtl/>
        </w:rPr>
        <w:t>فيه</w:t>
      </w:r>
      <w:r w:rsidR="00992664" w:rsidRPr="00020424">
        <w:rPr>
          <w:rtl/>
        </w:rPr>
        <w:t xml:space="preserve"> ، ص 169 ، ح 11759 ، إلى قوله : « فليس عليه فيه زكاة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التبر »</w:t>
      </w:r>
      <w:r w:rsidR="00992664">
        <w:rPr>
          <w:rtl/>
        </w:rPr>
        <w:t xml:space="preserve"> </w:t>
      </w:r>
      <w:r w:rsidR="009B673F">
        <w:rPr>
          <w:rtl/>
        </w:rPr>
        <w:t>-</w:t>
      </w:r>
      <w:r w:rsidR="00992664">
        <w:rPr>
          <w:rtl/>
        </w:rPr>
        <w:t xml:space="preserve"> </w:t>
      </w:r>
      <w:r w:rsidR="00992664" w:rsidRPr="00020424">
        <w:rPr>
          <w:rtl/>
        </w:rPr>
        <w:t>بكسر التاء</w:t>
      </w:r>
      <w:r w:rsidR="00992664">
        <w:rPr>
          <w:rtl/>
        </w:rPr>
        <w:t xml:space="preserve"> </w:t>
      </w:r>
      <w:r w:rsidR="009B673F">
        <w:rPr>
          <w:rtl/>
        </w:rPr>
        <w:t>-</w:t>
      </w:r>
      <w:r w:rsidR="00992664">
        <w:rPr>
          <w:rtl/>
        </w:rPr>
        <w:t xml:space="preserve"> </w:t>
      </w:r>
      <w:r w:rsidR="00992664" w:rsidRPr="00020424">
        <w:rPr>
          <w:rtl/>
        </w:rPr>
        <w:t xml:space="preserve">: هو الذهب والفضّة قبل أن يضربا دنانيرو دراهم ، فإذا ضربا كانا عيناً ، أو ما استخرج من المعدن قبل أن يصاغ. راجع : </w:t>
      </w:r>
      <w:r w:rsidR="00992664" w:rsidRPr="0012008A">
        <w:rPr>
          <w:rStyle w:val="libFootnoteBoldChar"/>
          <w:rtl/>
        </w:rPr>
        <w:t>النهاية</w:t>
      </w:r>
      <w:r w:rsidR="00992664" w:rsidRPr="00020424">
        <w:rPr>
          <w:rtl/>
        </w:rPr>
        <w:t xml:space="preserve"> ، ج 1 ، ص 179 ؛ </w:t>
      </w:r>
      <w:r w:rsidR="00992664" w:rsidRPr="00A722B1">
        <w:rPr>
          <w:rStyle w:val="libFootnoteBoldChar"/>
          <w:rtl/>
        </w:rPr>
        <w:t>القاموس المحيط</w:t>
      </w:r>
      <w:r w:rsidR="00F8340F">
        <w:rPr>
          <w:rtl/>
        </w:rPr>
        <w:t xml:space="preserve"> ، ج 1 ، ص 508 (تبر</w:t>
      </w:r>
      <w:r w:rsidR="00992664" w:rsidRPr="00020424">
        <w:rPr>
          <w:rtl/>
        </w:rPr>
        <w:t>)</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7 ، ح 16 ؛ </w:t>
      </w:r>
      <w:r w:rsidR="00992664" w:rsidRPr="00FD6221">
        <w:rPr>
          <w:rStyle w:val="libFootnoteBoldChar"/>
          <w:rtl/>
        </w:rPr>
        <w:t>والاستبصار</w:t>
      </w:r>
      <w:r w:rsidR="00992664" w:rsidRPr="00020424">
        <w:rPr>
          <w:rtl/>
        </w:rPr>
        <w:t xml:space="preserve"> ، ج 2 ، ص 6 ، ح 14 ، معلّقاً عن الكليني. </w:t>
      </w:r>
      <w:r w:rsidR="00992664" w:rsidRPr="00E57529">
        <w:rPr>
          <w:rtl/>
        </w:rPr>
        <w:t>وفيه</w:t>
      </w:r>
      <w:r w:rsidR="00992664" w:rsidRPr="00020424">
        <w:rPr>
          <w:rtl/>
        </w:rPr>
        <w:t xml:space="preserve"> ، ص 7 ، ح 16 ؛ </w:t>
      </w:r>
      <w:r w:rsidR="00992664" w:rsidRPr="00515444">
        <w:rPr>
          <w:rStyle w:val="libFootnoteBoldChar"/>
          <w:rtl/>
        </w:rPr>
        <w:t>والتهذيب</w:t>
      </w:r>
      <w:r w:rsidR="00992664" w:rsidRPr="00020424">
        <w:rPr>
          <w:rtl/>
        </w:rPr>
        <w:t xml:space="preserve"> ، ج 4 ، ص 7 ، ح 18 ، بسندهما عن جميل بن درّاج ، عن أبي عبدالله وأبي الحسن </w:t>
      </w:r>
      <w:r w:rsidR="00D64ADA" w:rsidRPr="00D64ADA">
        <w:rPr>
          <w:rStyle w:val="libFootnoteAlaemChar"/>
          <w:rtl/>
        </w:rPr>
        <w:t>عليهما‌السلام</w:t>
      </w:r>
      <w:r w:rsidR="00992664" w:rsidRPr="00020424">
        <w:rPr>
          <w:rtl/>
        </w:rPr>
        <w:t xml:space="preserve"> ، مع اختلاف يسير </w:t>
      </w:r>
      <w:r w:rsidR="008C794D">
        <w:rPr>
          <w:rFonts w:hint="cs"/>
          <w:rtl/>
        </w:rPr>
        <w:t>.</w:t>
      </w:r>
      <w:r w:rsidR="00992664" w:rsidRPr="0012008A">
        <w:rPr>
          <w:rStyle w:val="libFootnoteBoldChar"/>
          <w:rtl/>
        </w:rPr>
        <w:t>الوافي</w:t>
      </w:r>
      <w:r w:rsidR="00992664" w:rsidRPr="00020424">
        <w:rPr>
          <w:rtl/>
        </w:rPr>
        <w:t xml:space="preserve"> ، ج 10 ، ص 74 ، ح 9182 ؛ </w:t>
      </w:r>
      <w:r w:rsidR="00992664" w:rsidRPr="0012008A">
        <w:rPr>
          <w:rStyle w:val="libFootnoteBoldChar"/>
          <w:rtl/>
        </w:rPr>
        <w:t>الوسائل</w:t>
      </w:r>
      <w:r w:rsidR="00992664" w:rsidRPr="00020424">
        <w:rPr>
          <w:rtl/>
        </w:rPr>
        <w:t xml:space="preserve"> ، ج 9 ، ص 155 ، ح 11726.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 « عُمَر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99 ، ح 278 ، معلّقاً عن الكليني. </w:t>
      </w:r>
      <w:r w:rsidR="00992664" w:rsidRPr="0012008A">
        <w:rPr>
          <w:rStyle w:val="libFootnoteBoldChar"/>
          <w:rtl/>
        </w:rPr>
        <w:t>الفقيه</w:t>
      </w:r>
      <w:r w:rsidR="00992664" w:rsidRPr="00020424">
        <w:rPr>
          <w:rtl/>
        </w:rPr>
        <w:t xml:space="preserve"> ، ج 2 ، ص 16 ، ح 1599 ، معلّقاً عن زرارة </w:t>
      </w:r>
      <w:r w:rsidR="008C794D">
        <w:rPr>
          <w:rFonts w:hint="cs"/>
          <w:rtl/>
        </w:rPr>
        <w:t>.</w:t>
      </w:r>
      <w:r w:rsidR="00992664" w:rsidRPr="0012008A">
        <w:rPr>
          <w:rStyle w:val="libFootnoteBoldChar"/>
          <w:rtl/>
        </w:rPr>
        <w:t>الوافي</w:t>
      </w:r>
      <w:r w:rsidR="00992664" w:rsidRPr="00020424">
        <w:rPr>
          <w:rtl/>
        </w:rPr>
        <w:t xml:space="preserve"> ، ج 10 ، ص 62 ، ح 9159 ؛ </w:t>
      </w:r>
      <w:r w:rsidR="00992664" w:rsidRPr="0012008A">
        <w:rPr>
          <w:rStyle w:val="libFootnoteBoldChar"/>
          <w:rtl/>
        </w:rPr>
        <w:t>الوسائل</w:t>
      </w:r>
      <w:r w:rsidR="00992664" w:rsidRPr="00020424">
        <w:rPr>
          <w:rtl/>
        </w:rPr>
        <w:t xml:space="preserve"> ، ج 9 ، ص 69 ، ذيل ح 11543.</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5" w:name="_Toc345172731"/>
      <w:bookmarkStart w:id="46" w:name="_Toc464562548"/>
      <w:bookmarkStart w:id="47" w:name="_Toc44599851"/>
      <w:r w:rsidRPr="00020424">
        <w:rPr>
          <w:rtl/>
          <w:lang w:bidi="fa-IR"/>
        </w:rPr>
        <w:lastRenderedPageBreak/>
        <w:t>11</w:t>
      </w:r>
      <w:r>
        <w:rPr>
          <w:rtl/>
          <w:lang w:bidi="fa-IR"/>
        </w:rPr>
        <w:t xml:space="preserve"> </w:t>
      </w:r>
      <w:r w:rsidR="009B673F">
        <w:rPr>
          <w:rtl/>
          <w:lang w:bidi="fa-IR"/>
        </w:rPr>
        <w:t>-</w:t>
      </w:r>
      <w:r>
        <w:rPr>
          <w:rtl/>
          <w:lang w:bidi="fa-IR"/>
        </w:rPr>
        <w:t xml:space="preserve"> </w:t>
      </w:r>
      <w:r w:rsidRPr="00020424">
        <w:rPr>
          <w:rtl/>
          <w:lang w:bidi="fa-IR"/>
        </w:rPr>
        <w:t>بَابُ زَكَاةِ الْمَالِ الْغَائِبِ وَالدَّيْنِ وَالْوَدِيعَةِ‌</w:t>
      </w:r>
      <w:bookmarkEnd w:id="45"/>
      <w:bookmarkEnd w:id="46"/>
      <w:bookmarkEnd w:id="47"/>
    </w:p>
    <w:p w:rsidR="00992664" w:rsidRPr="00020424" w:rsidRDefault="00992664" w:rsidP="00992664">
      <w:pPr>
        <w:pStyle w:val="libNormal"/>
        <w:rPr>
          <w:rtl/>
          <w:lang w:bidi="fa-IR"/>
        </w:rPr>
      </w:pPr>
      <w:r w:rsidRPr="00E57529">
        <w:rPr>
          <w:rtl/>
        </w:rPr>
        <w:t>5808</w:t>
      </w:r>
      <w:r w:rsidRPr="001155DE">
        <w:rPr>
          <w:rStyle w:val="libBold2Char"/>
          <w:rtl/>
        </w:rPr>
        <w:t xml:space="preserve"> / 1.</w:t>
      </w:r>
      <w:r w:rsidRPr="00020424">
        <w:rPr>
          <w:rtl/>
          <w:lang w:bidi="fa-IR"/>
        </w:rPr>
        <w:t xml:space="preserve"> مُحَمَّدُ بْنُ يَحْيى ، عَنْ أَحْمَدَ بْنِ مُحَمَّدِ بْنِ عِيسى ، عَنِ الْحَسَنِ بْنِ مَحْبُوبٍ ، عَنِ الْعَلَاءِ بْنِ رَزِينٍ ، عَنْ سَدِيرٍ الصَّيْرَفِيِّ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مَا تَقُولُ فِي رَجُلٍ كَانَ لَهُ مَالٌ ، فَانْطَلَقَ بِهِ ، فَدَفَنَهُ فِي مَوْضِعٍ ، فَلَمَّا حَالَ عَلَيْهِ الْحَوْلُ ، ذَهَبَ لِيُخْرِجَهُ مِنْ مَوْضِعِهِ ، فَاحْتَفَرَ الْمَوْضِعَ الَّذِي ظَنَّ أَنَّ الْمَالَ فِيهِ مَدْفُونٌ ، فَلَمْ يُصِبْهُ ، فَمَكَثَ بَعْدَ ذلِكَ ثَلَاثَ سِنِينَ ، ثُمَّ إِنَّهُ </w:t>
      </w:r>
      <w:r w:rsidRPr="00A91B96">
        <w:rPr>
          <w:rStyle w:val="libFootnotenumChar"/>
          <w:rtl/>
        </w:rPr>
        <w:t>(1)</w:t>
      </w:r>
      <w:r w:rsidRPr="00020424">
        <w:rPr>
          <w:rtl/>
          <w:lang w:bidi="fa-IR"/>
        </w:rPr>
        <w:t xml:space="preserve"> احْتَفَرَ الْمَوْضِعَ </w:t>
      </w:r>
      <w:r w:rsidRPr="00A91B96">
        <w:rPr>
          <w:rStyle w:val="libFootnotenumChar"/>
          <w:rtl/>
        </w:rPr>
        <w:t>(2)</w:t>
      </w:r>
      <w:r w:rsidRPr="00020424">
        <w:rPr>
          <w:rtl/>
          <w:lang w:bidi="fa-IR"/>
        </w:rPr>
        <w:t xml:space="preserve"> مِنْ جَوَانِبِهِ كُلِّهِ </w:t>
      </w:r>
      <w:r w:rsidRPr="00A91B96">
        <w:rPr>
          <w:rStyle w:val="libFootnotenumChar"/>
          <w:rtl/>
        </w:rPr>
        <w:t>(3)</w:t>
      </w:r>
      <w:r w:rsidRPr="00020424">
        <w:rPr>
          <w:rtl/>
          <w:lang w:bidi="fa-IR"/>
        </w:rPr>
        <w:t xml:space="preserve"> ، فَوَقَعَ عَلَى الْمَالِ بِعَيْنِهِ </w:t>
      </w:r>
      <w:r w:rsidRPr="00A91B96">
        <w:rPr>
          <w:rStyle w:val="libFootnotenumChar"/>
          <w:rtl/>
        </w:rPr>
        <w:t>(4)</w:t>
      </w:r>
      <w:r w:rsidRPr="00020424">
        <w:rPr>
          <w:rtl/>
          <w:lang w:bidi="fa-IR"/>
        </w:rPr>
        <w:t xml:space="preserve"> ، كَيْفَ يُزَكِّيهِ</w:t>
      </w:r>
      <w:r>
        <w:rPr>
          <w:rtl/>
          <w:lang w:bidi="fa-IR"/>
        </w:rPr>
        <w:t>؟</w:t>
      </w:r>
    </w:p>
    <w:p w:rsidR="00992664" w:rsidRPr="00020424" w:rsidRDefault="00992664" w:rsidP="00992664">
      <w:pPr>
        <w:pStyle w:val="libNormal"/>
        <w:rPr>
          <w:rtl/>
          <w:lang w:bidi="fa-IR"/>
        </w:rPr>
      </w:pPr>
      <w:r w:rsidRPr="00020424">
        <w:rPr>
          <w:rtl/>
          <w:lang w:bidi="fa-IR"/>
        </w:rPr>
        <w:t>قَالَ : « يُزَكِّيهِ لِسَنَةٍ وَاحِدَةٍ ، لِأَنَّهُ كَانَ غَائِباً عَنْهُ وَإِنْ كَانَ احْتَبَسَهُ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E57529">
        <w:rPr>
          <w:rtl/>
        </w:rPr>
        <w:t>5809</w:t>
      </w:r>
      <w:r w:rsidRPr="001155DE">
        <w:rPr>
          <w:rStyle w:val="libBold2Char"/>
          <w:rtl/>
        </w:rPr>
        <w:t xml:space="preserve"> / 2.</w:t>
      </w:r>
      <w:r w:rsidRPr="00020424">
        <w:rPr>
          <w:rtl/>
          <w:lang w:bidi="fa-IR"/>
        </w:rPr>
        <w:t xml:space="preserve"> عَلِيُّ بْنُ إِبْرَاهِيمَ ، عَنْ أَبِيهِ ، عَنِ ابْنِ أَبِي عُمَيْرٍ ، عَنْ رِفَاعَةَ بْنِ مُوسى </w:t>
      </w:r>
      <w:r w:rsidRPr="00A91B96">
        <w:rPr>
          <w:rStyle w:val="libFootnotenumChar"/>
          <w:rtl/>
        </w:rPr>
        <w:t>(6)</w:t>
      </w:r>
      <w:r w:rsidR="008C794D">
        <w:rPr>
          <w:rtl/>
          <w:lang w:bidi="fa-IR"/>
        </w:rPr>
        <w:t xml:space="preserve">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يَغِيبُ عَنْهُ مَالُهُ خَمْسَ سِنِينَ ، ثُمَّ يَأْتِيهِ ، فَلَا يُرَدُّ </w:t>
      </w:r>
      <w:r w:rsidRPr="00A91B96">
        <w:rPr>
          <w:rStyle w:val="libFootnotenumChar"/>
          <w:rtl/>
        </w:rPr>
        <w:t>(7)</w:t>
      </w:r>
      <w:r w:rsidRPr="00020424">
        <w:rPr>
          <w:rtl/>
          <w:lang w:bidi="fa-IR"/>
        </w:rPr>
        <w:t xml:space="preserve"> رَأْسُ الْمَالِ ، كَمْ يُزَكِّيهِ</w:t>
      </w:r>
      <w:r>
        <w:rPr>
          <w:rtl/>
          <w:lang w:bidi="fa-IR"/>
        </w:rPr>
        <w:t>؟</w:t>
      </w:r>
    </w:p>
    <w:p w:rsidR="00992664" w:rsidRPr="00020424" w:rsidRDefault="00992664" w:rsidP="008C794D">
      <w:pPr>
        <w:pStyle w:val="libNormal"/>
        <w:rPr>
          <w:rtl/>
          <w:lang w:bidi="fa-IR"/>
        </w:rPr>
      </w:pPr>
      <w:r w:rsidRPr="00020424">
        <w:rPr>
          <w:rtl/>
          <w:lang w:bidi="fa-IR"/>
        </w:rPr>
        <w:t xml:space="preserve">قَالَ : « سَنَةً وَاحِدَةً » </w:t>
      </w:r>
      <w:r w:rsidRPr="00A91B96">
        <w:rPr>
          <w:rStyle w:val="libFootnotenumChar"/>
          <w:rtl/>
        </w:rPr>
        <w:t>(8)</w:t>
      </w:r>
      <w:r w:rsidR="008C794D">
        <w:rPr>
          <w:rFonts w:hint="cs"/>
          <w:rtl/>
          <w:lang w:bidi="fa-IR"/>
        </w:rPr>
        <w:t>.</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إنّه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ظ ، بث ، بخ ، بر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 + « الذي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B41E6" w:rsidTr="00BB41E6">
        <w:tc>
          <w:tcPr>
            <w:tcW w:w="4006" w:type="dxa"/>
          </w:tcPr>
          <w:p w:rsidR="00BB41E6" w:rsidRDefault="00BB41E6" w:rsidP="00992664">
            <w:pPr>
              <w:pStyle w:val="libFootnote0"/>
              <w:rPr>
                <w:rtl/>
              </w:rPr>
            </w:pPr>
            <w:r>
              <w:rPr>
                <w:rtl/>
              </w:rPr>
              <w:t xml:space="preserve">(3). </w:t>
            </w:r>
            <w:r w:rsidRPr="00020424">
              <w:rPr>
                <w:rtl/>
              </w:rPr>
              <w:t>في « بر » :</w:t>
            </w:r>
            <w:r>
              <w:rPr>
                <w:rtl/>
              </w:rPr>
              <w:t xml:space="preserve"> - </w:t>
            </w:r>
            <w:r w:rsidRPr="00020424">
              <w:rPr>
                <w:rtl/>
              </w:rPr>
              <w:t>« كلّه</w:t>
            </w:r>
            <w:r>
              <w:rPr>
                <w:rtl/>
              </w:rPr>
              <w:t xml:space="preserve"> ».</w:t>
            </w:r>
          </w:p>
        </w:tc>
        <w:tc>
          <w:tcPr>
            <w:tcW w:w="4006" w:type="dxa"/>
          </w:tcPr>
          <w:p w:rsidR="00BB41E6" w:rsidRDefault="00BB41E6" w:rsidP="00992664">
            <w:pPr>
              <w:pStyle w:val="libFootnote0"/>
              <w:rPr>
                <w:rtl/>
              </w:rPr>
            </w:pPr>
            <w:r>
              <w:rPr>
                <w:rtl/>
              </w:rPr>
              <w:t xml:space="preserve">(4). </w:t>
            </w:r>
            <w:r w:rsidRPr="00020424">
              <w:rPr>
                <w:rtl/>
              </w:rPr>
              <w:t>في « بخ » وحاشية « بث » : « كلّه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113 ، ح 9255 ؛ </w:t>
      </w:r>
      <w:r w:rsidR="00992664" w:rsidRPr="0012008A">
        <w:rPr>
          <w:rStyle w:val="libFootnoteBoldChar"/>
          <w:rtl/>
        </w:rPr>
        <w:t>الوسائل</w:t>
      </w:r>
      <w:r w:rsidR="00992664" w:rsidRPr="00020424">
        <w:rPr>
          <w:rtl/>
        </w:rPr>
        <w:t xml:space="preserve"> ، ج 9 ، ص 93 ، ح 11603.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موسى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 « فلا يزد</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ولا يرد عليه</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فلا يردّ ؛ يعني المال ، أو هو مبنيّ على‌المفعول ، أو هو من الورود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E57529">
        <w:rPr>
          <w:rtl/>
        </w:rPr>
        <w:t>مرآة العقول</w:t>
      </w:r>
      <w:r w:rsidR="00992664" w:rsidRPr="00020424">
        <w:rPr>
          <w:rtl/>
        </w:rPr>
        <w:t xml:space="preserve"> : « يحتمل على بُعد أن يكون المراد السنة التي عنده على الوجوب</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31 ، ح 79 ؛ </w:t>
      </w:r>
      <w:r w:rsidR="00992664" w:rsidRPr="00FD6221">
        <w:rPr>
          <w:rStyle w:val="libFootnoteBoldChar"/>
          <w:rtl/>
        </w:rPr>
        <w:t>والاستبصار</w:t>
      </w:r>
      <w:r w:rsidR="00992664" w:rsidRPr="00E57529">
        <w:rPr>
          <w:rtl/>
        </w:rPr>
        <w:t xml:space="preserve"> </w:t>
      </w:r>
      <w:r w:rsidR="00992664" w:rsidRPr="00020424">
        <w:rPr>
          <w:rtl/>
        </w:rPr>
        <w:t xml:space="preserve">، ج 2 ، ص 28 ، ح 82 ، معلّقاً عن الكليني. </w:t>
      </w:r>
      <w:r w:rsidR="00992664" w:rsidRPr="00E57529">
        <w:rPr>
          <w:rtl/>
        </w:rPr>
        <w:t>وفيه</w:t>
      </w:r>
      <w:r w:rsidR="00992664" w:rsidRPr="00020424">
        <w:rPr>
          <w:rtl/>
        </w:rPr>
        <w:t xml:space="preserve"> ، ح 81 ؛ </w:t>
      </w:r>
      <w:r w:rsidR="00992664" w:rsidRPr="00515444">
        <w:rPr>
          <w:rStyle w:val="libFootnoteBoldChar"/>
          <w:rtl/>
        </w:rPr>
        <w:t>والتهذيب</w:t>
      </w:r>
      <w:r w:rsidR="00992664" w:rsidRPr="00020424">
        <w:rPr>
          <w:rtl/>
        </w:rPr>
        <w:t xml:space="preserve"> ، ج 4 ، ص 31 ، ح 77 ، بسند آخر ، مع اختلاف وزيادة في آخره </w:t>
      </w:r>
      <w:r w:rsidR="005E7ABC">
        <w:rPr>
          <w:rFonts w:hint="cs"/>
          <w:rtl/>
        </w:rPr>
        <w:t>.</w:t>
      </w:r>
      <w:r w:rsidR="00992664" w:rsidRPr="0012008A">
        <w:rPr>
          <w:rStyle w:val="libFootnoteBoldChar"/>
          <w:rtl/>
        </w:rPr>
        <w:t>الوافي</w:t>
      </w:r>
      <w:r w:rsidR="00992664" w:rsidRPr="00020424">
        <w:rPr>
          <w:rtl/>
        </w:rPr>
        <w:t xml:space="preserve"> ، ج 10 ، ص 113 ، ح 9256 ؛ </w:t>
      </w:r>
      <w:r w:rsidR="00992664" w:rsidRPr="0012008A">
        <w:rPr>
          <w:rStyle w:val="libFootnoteBoldChar"/>
          <w:rtl/>
        </w:rPr>
        <w:t>الوسائل</w:t>
      </w:r>
      <w:r w:rsidR="00992664" w:rsidRPr="00020424">
        <w:rPr>
          <w:rtl/>
        </w:rPr>
        <w:t xml:space="preserve"> ، ج 9 ، ص 94 ، ح 11606.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57529">
        <w:rPr>
          <w:rtl/>
        </w:rPr>
        <w:lastRenderedPageBreak/>
        <w:t>5810</w:t>
      </w:r>
      <w:r w:rsidRPr="001155DE">
        <w:rPr>
          <w:rStyle w:val="libBold2Char"/>
          <w:rtl/>
        </w:rPr>
        <w:t xml:space="preserve"> / 3.</w:t>
      </w:r>
      <w:r w:rsidRPr="00020424">
        <w:rPr>
          <w:rtl/>
          <w:lang w:bidi="fa-IR"/>
        </w:rPr>
        <w:t xml:space="preserve"> عَلِيُّ بْنُ إِبْرَاهِيمَ </w:t>
      </w:r>
      <w:r w:rsidRPr="00A91B96">
        <w:rPr>
          <w:rStyle w:val="libFootnotenumChar"/>
          <w:rtl/>
        </w:rPr>
        <w:t>(1)</w:t>
      </w:r>
      <w:r w:rsidRPr="00020424">
        <w:rPr>
          <w:rtl/>
          <w:lang w:bidi="fa-IR"/>
        </w:rPr>
        <w:t xml:space="preserve"> ، عَنْ أَبِيهِ ، عَنْ إِسْمَاعِيلَ بْنِ مَرَّارٍ ، عَنْ يُونُسَ ، عَنْ دُرُسْتَ </w:t>
      </w:r>
      <w:r w:rsidRPr="00A91B96">
        <w:rPr>
          <w:rStyle w:val="libFootnotenumChar"/>
          <w:rtl/>
        </w:rPr>
        <w:t>(2)</w:t>
      </w:r>
      <w:r w:rsidRPr="00020424">
        <w:rPr>
          <w:rtl/>
          <w:lang w:bidi="fa-IR"/>
        </w:rPr>
        <w:t xml:space="preserve"> ، عَنْ عُمَرَ بْنِ يَزِيدَ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w:t>
      </w:r>
      <w:r w:rsidR="005E7ABC">
        <w:rPr>
          <w:rtl/>
          <w:lang w:bidi="fa-IR"/>
        </w:rPr>
        <w:t>َ فِي الدَّيْنِ زَكَاةٌ ، إِل</w:t>
      </w:r>
      <w:r w:rsidR="005E7ABC">
        <w:rPr>
          <w:rFonts w:hint="cs"/>
          <w:rtl/>
          <w:lang w:bidi="fa-IR"/>
        </w:rPr>
        <w:t>َّ</w:t>
      </w:r>
      <w:r w:rsidR="005E7ABC">
        <w:rPr>
          <w:rtl/>
          <w:lang w:bidi="fa-IR"/>
        </w:rPr>
        <w:t>ا</w:t>
      </w:r>
      <w:r w:rsidRPr="00020424">
        <w:rPr>
          <w:rtl/>
          <w:lang w:bidi="fa-IR"/>
        </w:rPr>
        <w:t xml:space="preserve"> أَنْ يَكُونَ صَاحِبُ الدَّيْنِ هُوَ الَّذِي يُؤَخِّرُهُ ، فَإِذَا كَانَ لَايَقْدِرُ عَلى أَخْذِهِ ، فَلَيْسَ عَلَيْهِ زَكَاةٌ حَتّى يَقْبِضَهُ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E57529">
        <w:rPr>
          <w:rtl/>
        </w:rPr>
        <w:t>5811</w:t>
      </w:r>
      <w:r w:rsidRPr="001155DE">
        <w:rPr>
          <w:rStyle w:val="libBold2Char"/>
          <w:rtl/>
        </w:rPr>
        <w:t xml:space="preserve"> / 4.</w:t>
      </w:r>
      <w:r w:rsidRPr="00020424">
        <w:rPr>
          <w:rtl/>
          <w:lang w:bidi="fa-IR"/>
        </w:rPr>
        <w:t xml:space="preserve"> مُحَمَّدُ بْنُ يَحْيى ، عَنْ أَحْمَدَ بْنِ مُحَمَّدِ بْنِ عِيسى </w:t>
      </w:r>
      <w:r w:rsidRPr="00A91B96">
        <w:rPr>
          <w:rStyle w:val="libFootnotenumChar"/>
          <w:rtl/>
        </w:rPr>
        <w:t>(6)</w:t>
      </w:r>
      <w:r w:rsidRPr="00020424">
        <w:rPr>
          <w:rtl/>
          <w:lang w:bidi="fa-IR"/>
        </w:rPr>
        <w:t xml:space="preserve"> ، عَنْ عُثْمَانَ بْنِ عِيسى ، عَنْ سَمَاعَةَ ، قَالَ :</w:t>
      </w:r>
    </w:p>
    <w:p w:rsidR="00992664" w:rsidRPr="00020424" w:rsidRDefault="00992664" w:rsidP="00992664">
      <w:pPr>
        <w:pStyle w:val="libNormal"/>
        <w:rPr>
          <w:rtl/>
          <w:lang w:bidi="fa-IR"/>
        </w:rPr>
      </w:pPr>
      <w:r w:rsidRPr="00020424">
        <w:rPr>
          <w:rtl/>
          <w:lang w:bidi="fa-IR"/>
        </w:rPr>
        <w:t xml:space="preserve">سَأَلْتُهُ عَنِ الرَّجُلِ يَكُونُ لَهُ الدَّيْنُ عَلَى النَّاسِ يَحْتَبِسُ </w:t>
      </w:r>
      <w:r w:rsidRPr="00A91B96">
        <w:rPr>
          <w:rStyle w:val="libFootnotenumChar"/>
          <w:rtl/>
        </w:rPr>
        <w:t>(7)</w:t>
      </w:r>
      <w:r w:rsidRPr="00020424">
        <w:rPr>
          <w:rtl/>
          <w:lang w:bidi="fa-IR"/>
        </w:rPr>
        <w:t xml:space="preserve"> فِيهِ الزَّكَاةَ</w:t>
      </w:r>
      <w:r>
        <w:rPr>
          <w:rtl/>
          <w:lang w:bidi="fa-IR"/>
        </w:rPr>
        <w:t>؟</w:t>
      </w:r>
    </w:p>
    <w:p w:rsidR="00992664" w:rsidRPr="00020424" w:rsidRDefault="00992664" w:rsidP="00992664">
      <w:pPr>
        <w:pStyle w:val="libNormal"/>
        <w:rPr>
          <w:rtl/>
          <w:lang w:bidi="fa-IR"/>
        </w:rPr>
      </w:pPr>
      <w:r w:rsidRPr="00020424">
        <w:rPr>
          <w:rtl/>
          <w:lang w:bidi="fa-IR"/>
        </w:rPr>
        <w:t xml:space="preserve">قَالَ : « لَيْسَ عَلَيْهِ فِيهِ </w:t>
      </w:r>
      <w:r w:rsidRPr="00A91B96">
        <w:rPr>
          <w:rStyle w:val="libFootnotenumChar"/>
          <w:rtl/>
        </w:rPr>
        <w:t>(8)</w:t>
      </w:r>
      <w:r w:rsidRPr="00020424">
        <w:rPr>
          <w:rtl/>
          <w:lang w:bidi="fa-IR"/>
        </w:rPr>
        <w:t xml:space="preserve"> زَكَاةٌ </w:t>
      </w:r>
      <w:r w:rsidRPr="00A91B96">
        <w:rPr>
          <w:rStyle w:val="libFootnotenumChar"/>
          <w:rtl/>
        </w:rPr>
        <w:t>(9)</w:t>
      </w:r>
      <w:r w:rsidRPr="00020424">
        <w:rPr>
          <w:rtl/>
          <w:lang w:bidi="fa-IR"/>
        </w:rPr>
        <w:t xml:space="preserve"> حَتّى يَقْبِضَهُ ، فَإِذَا </w:t>
      </w:r>
      <w:r w:rsidRPr="00A91B96">
        <w:rPr>
          <w:rStyle w:val="libFootnotenumChar"/>
          <w:rtl/>
        </w:rPr>
        <w:t>(10)</w:t>
      </w:r>
      <w:r w:rsidRPr="00020424">
        <w:rPr>
          <w:rtl/>
          <w:lang w:bidi="fa-IR"/>
        </w:rPr>
        <w:t xml:space="preserve"> قَبَضَهُ فَعَلَيْهِ الزَّكَاةُ ، وَإِنْ </w:t>
      </w:r>
      <w:r w:rsidRPr="00A91B96">
        <w:rPr>
          <w:rStyle w:val="libFootnotenumChar"/>
          <w:rtl/>
        </w:rPr>
        <w:t>(11)</w:t>
      </w:r>
      <w:r w:rsidRPr="00020424">
        <w:rPr>
          <w:rtl/>
          <w:lang w:bidi="fa-IR"/>
        </w:rPr>
        <w:t xml:space="preserve"> هُوَ طَالَ </w:t>
      </w:r>
      <w:r w:rsidRPr="00A91B96">
        <w:rPr>
          <w:rStyle w:val="libFootnotenumChar"/>
          <w:rtl/>
        </w:rPr>
        <w:t>(12)</w:t>
      </w:r>
      <w:r w:rsidRPr="00020424">
        <w:rPr>
          <w:rtl/>
          <w:lang w:bidi="fa-IR"/>
        </w:rPr>
        <w:t xml:space="preserve"> حَبْسُهُ عَلَى النَّاسِ حَتّى يَتِمَّ </w:t>
      </w:r>
      <w:r w:rsidRPr="00A91B96">
        <w:rPr>
          <w:rStyle w:val="libFootnotenumChar"/>
          <w:rtl/>
        </w:rPr>
        <w:t>(13)</w:t>
      </w:r>
      <w:r w:rsidRPr="00020424">
        <w:rPr>
          <w:rtl/>
          <w:lang w:bidi="fa-IR"/>
        </w:rPr>
        <w:t xml:space="preserve"> لِذلِكَ </w:t>
      </w:r>
      <w:r w:rsidRPr="00A91B96">
        <w:rPr>
          <w:rStyle w:val="libFootnotenumChar"/>
          <w:rtl/>
        </w:rPr>
        <w:t>(14)</w:t>
      </w:r>
      <w:r w:rsidRPr="00020424">
        <w:rPr>
          <w:rtl/>
          <w:lang w:bidi="fa-IR"/>
        </w:rPr>
        <w:t xml:space="preserve"> سِنُونَ </w:t>
      </w:r>
      <w:r w:rsidRPr="00A91B96">
        <w:rPr>
          <w:rStyle w:val="libFootnotenumChar"/>
          <w:rtl/>
        </w:rPr>
        <w:t>(15)</w:t>
      </w:r>
      <w:r w:rsidRPr="00020424">
        <w:rPr>
          <w:rtl/>
          <w:lang w:bidi="fa-IR"/>
        </w:rPr>
        <w:t xml:space="preserve"> ، فَلَيْسَ عَلَيْهِ‌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C3F3F">
      <w:pPr>
        <w:pStyle w:val="libFootnote0"/>
        <w:rPr>
          <w:rtl/>
          <w:lang w:bidi="fa-IR"/>
        </w:rPr>
      </w:pPr>
      <w:r>
        <w:rPr>
          <w:rtl/>
        </w:rPr>
        <w:t>(1).</w:t>
      </w:r>
      <w:r w:rsidR="0014403D">
        <w:rPr>
          <w:rtl/>
        </w:rPr>
        <w:t xml:space="preserve"> </w:t>
      </w:r>
      <w:r w:rsidR="00992664" w:rsidRPr="00020424">
        <w:rPr>
          <w:rtl/>
        </w:rPr>
        <w:t>في « بر » : « عنه</w:t>
      </w:r>
      <w:r w:rsidR="00992664">
        <w:rPr>
          <w:rtl/>
        </w:rPr>
        <w:t xml:space="preserve"> ».</w:t>
      </w:r>
      <w:r w:rsidR="00992664" w:rsidRPr="00020424">
        <w:rPr>
          <w:rtl/>
        </w:rPr>
        <w:t xml:space="preserve"> وفي « بخ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r w:rsidR="009C3F3F">
        <w:rPr>
          <w:rFonts w:hint="cs"/>
          <w:rtl/>
        </w:rPr>
        <w:t xml:space="preserve">  </w:t>
      </w:r>
      <w:r>
        <w:rPr>
          <w:rtl/>
        </w:rPr>
        <w:t>(2).</w:t>
      </w:r>
      <w:r w:rsidR="0014403D">
        <w:rPr>
          <w:rtl/>
        </w:rPr>
        <w:t xml:space="preserve"> </w:t>
      </w:r>
      <w:r w:rsidR="00992664" w:rsidRPr="00020424">
        <w:rPr>
          <w:rtl/>
        </w:rPr>
        <w:t>في « ظ » : + « بن أبي منصور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81 :</w:t>
      </w:r>
      <w:r w:rsidR="00992664">
        <w:rPr>
          <w:rtl/>
        </w:rPr>
        <w:t xml:space="preserve"> </w:t>
      </w:r>
      <w:r w:rsidR="009B673F">
        <w:rPr>
          <w:rtl/>
        </w:rPr>
        <w:t>-</w:t>
      </w:r>
      <w:r w:rsidR="00992664">
        <w:rPr>
          <w:rtl/>
        </w:rPr>
        <w:t xml:space="preserve"> </w:t>
      </w:r>
      <w:r w:rsidR="00992664" w:rsidRPr="00020424">
        <w:rPr>
          <w:rtl/>
        </w:rPr>
        <w:t>« عن عمر بن يزيد</w:t>
      </w:r>
      <w:r w:rsidR="00992664">
        <w:rPr>
          <w:rtl/>
        </w:rPr>
        <w:t xml:space="preserve"> ».</w:t>
      </w:r>
      <w:r w:rsidR="00992664" w:rsidRPr="00020424">
        <w:rPr>
          <w:rtl/>
        </w:rPr>
        <w:t xml:space="preserve"> والظاهر أنّه ساقط من السند.</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E57D58">
        <w:rPr>
          <w:rStyle w:val="libFootnoteBoldChar"/>
          <w:rtl/>
        </w:rPr>
        <w:t>مدارك الأحكام</w:t>
      </w:r>
      <w:r w:rsidR="00992664" w:rsidRPr="00020424">
        <w:rPr>
          <w:rtl/>
        </w:rPr>
        <w:t xml:space="preserve"> ، ج 5 ، ص 39 : « اختلف الأصحاب في وجوب الزكاة في الدين إذا كان تأخيره من قبل صاحبه بأن يكون على باذل يسهل على المالك قبضه منه متى رامه بعد اتّفاقهم على سقوط الزكاة فيه إذا كان تأخيره من قبل المدين ، فقال ابن الجنيد وابن إدريس وابن أبي عقيل : لا تجب الزكاة فيه أيضاً ، وقال الشيخان بالوجوب. والمعتمد الأوّل</w:t>
      </w:r>
      <w:r w:rsidR="00992664">
        <w:rPr>
          <w:rtl/>
        </w:rPr>
        <w:t xml:space="preserve"> ».</w:t>
      </w:r>
      <w:r w:rsidR="00992664" w:rsidRPr="00020424">
        <w:rPr>
          <w:rtl/>
        </w:rPr>
        <w:t xml:space="preserve"> وفي </w:t>
      </w:r>
      <w:r w:rsidR="00992664" w:rsidRPr="00E57529">
        <w:rPr>
          <w:rtl/>
        </w:rPr>
        <w:t>مرآة العقول</w:t>
      </w:r>
      <w:r w:rsidR="00992664" w:rsidRPr="00020424">
        <w:rPr>
          <w:rtl/>
        </w:rPr>
        <w:t xml:space="preserve"> ، ج 16 ، ص 38 : « ا</w:t>
      </w:r>
      <w:r w:rsidR="00E21846">
        <w:rPr>
          <w:rFonts w:hint="cs"/>
          <w:rtl/>
        </w:rPr>
        <w:t>ُ</w:t>
      </w:r>
      <w:r w:rsidR="00992664" w:rsidRPr="00020424">
        <w:rPr>
          <w:rtl/>
        </w:rPr>
        <w:t>جيب عنها</w:t>
      </w:r>
      <w:r w:rsidR="00992664">
        <w:rPr>
          <w:rtl/>
        </w:rPr>
        <w:t xml:space="preserve"> </w:t>
      </w:r>
      <w:r w:rsidR="009B673F">
        <w:rPr>
          <w:rtl/>
        </w:rPr>
        <w:t>-</w:t>
      </w:r>
      <w:r w:rsidR="00992664">
        <w:rPr>
          <w:rtl/>
        </w:rPr>
        <w:t xml:space="preserve"> </w:t>
      </w:r>
      <w:r w:rsidR="00992664" w:rsidRPr="00020424">
        <w:rPr>
          <w:rtl/>
        </w:rPr>
        <w:t>أي عن الرواية</w:t>
      </w:r>
      <w:r w:rsidR="00992664">
        <w:rPr>
          <w:rtl/>
        </w:rPr>
        <w:t xml:space="preserve"> </w:t>
      </w:r>
      <w:r w:rsidR="009B673F">
        <w:rPr>
          <w:rtl/>
        </w:rPr>
        <w:t>-</w:t>
      </w:r>
      <w:r w:rsidR="00992664">
        <w:rPr>
          <w:rtl/>
        </w:rPr>
        <w:t xml:space="preserve"> </w:t>
      </w:r>
      <w:r w:rsidR="00992664" w:rsidRPr="00020424">
        <w:rPr>
          <w:rtl/>
        </w:rPr>
        <w:t>وعمّا في معناها بعد الطعن في السند بالحمل على الاستحباب</w:t>
      </w:r>
      <w:r w:rsidR="00992664">
        <w:rPr>
          <w:rtl/>
        </w:rPr>
        <w:t xml:space="preserve"> ».</w:t>
      </w:r>
    </w:p>
    <w:p w:rsidR="00992664" w:rsidRPr="00E21846" w:rsidRDefault="00795177" w:rsidP="00E21846">
      <w:pPr>
        <w:pStyle w:val="libFootnote0"/>
        <w:rPr>
          <w:rtl/>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32 ، ح 81 ، معلّقاً عن الكليني. </w:t>
      </w:r>
      <w:r w:rsidR="00992664" w:rsidRPr="00E57529">
        <w:rPr>
          <w:rtl/>
        </w:rPr>
        <w:t>وفيه</w:t>
      </w:r>
      <w:r w:rsidR="00992664" w:rsidRPr="00020424">
        <w:rPr>
          <w:rtl/>
        </w:rPr>
        <w:t xml:space="preserve"> ، ح 82 ؛ </w:t>
      </w:r>
      <w:r w:rsidR="00992664" w:rsidRPr="00EE0C68">
        <w:rPr>
          <w:rStyle w:val="libFootnoteBoldChar"/>
          <w:rtl/>
        </w:rPr>
        <w:t>وقرب الإسناد</w:t>
      </w:r>
      <w:r w:rsidR="00992664" w:rsidRPr="00020424">
        <w:rPr>
          <w:rtl/>
        </w:rPr>
        <w:t xml:space="preserve"> ، ص 126 ، ح 441 ، بسند آخر. </w:t>
      </w:r>
      <w:r w:rsidR="00992664" w:rsidRPr="00E57529">
        <w:rPr>
          <w:rtl/>
        </w:rPr>
        <w:t>وفيه</w:t>
      </w:r>
      <w:r w:rsidR="00992664" w:rsidRPr="00020424">
        <w:rPr>
          <w:rtl/>
        </w:rPr>
        <w:t xml:space="preserve"> ، ص 228 ، ح 895 ، بسند آخر عن موسى بن </w:t>
      </w:r>
      <w:r w:rsidR="00992664" w:rsidRPr="00E21846">
        <w:rPr>
          <w:rtl/>
        </w:rPr>
        <w:t>جعفر</w:t>
      </w:r>
      <w:r w:rsidR="00E21846" w:rsidRPr="00E21846">
        <w:rPr>
          <w:rFonts w:hint="cs"/>
          <w:rtl/>
        </w:rPr>
        <w:t xml:space="preserve"> </w:t>
      </w:r>
      <w:r w:rsidR="00E21846" w:rsidRPr="00D64ADA">
        <w:rPr>
          <w:rStyle w:val="libFootnoteAlaemChar"/>
          <w:rtl/>
        </w:rPr>
        <w:t>عليهما‌السلام</w:t>
      </w:r>
      <w:r w:rsidR="00992664" w:rsidRPr="00E21846">
        <w:rPr>
          <w:rtl/>
        </w:rPr>
        <w:t xml:space="preserve">، وفي الثلاثة الأخيرة مع اختلاف </w:t>
      </w:r>
      <w:r w:rsidR="001B7000">
        <w:rPr>
          <w:rFonts w:hint="cs"/>
          <w:rtl/>
        </w:rPr>
        <w:t>.</w:t>
      </w:r>
      <w:r w:rsidR="00992664" w:rsidRPr="00E21846">
        <w:rPr>
          <w:rtl/>
        </w:rPr>
        <w:t>الوافي ، ج 10 ، ص 114 ، ح 9259 ؛ الوسائل ، ج 9 ، ص 97 ، ح 11616.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بس ، بف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بر » </w:t>
      </w:r>
      <w:r w:rsidR="00992664" w:rsidRPr="00EB1FD9">
        <w:rPr>
          <w:rStyle w:val="libFootnoteBoldChar"/>
          <w:rtl/>
        </w:rPr>
        <w:t>والوسائل</w:t>
      </w:r>
      <w:r w:rsidR="00992664" w:rsidRPr="00020424">
        <w:rPr>
          <w:rtl/>
        </w:rPr>
        <w:t xml:space="preserve"> : « تجب</w:t>
      </w:r>
      <w:r w:rsidR="00992664">
        <w:rPr>
          <w:rtl/>
        </w:rPr>
        <w:t xml:space="preserve"> ».</w:t>
      </w:r>
      <w:r w:rsidR="00992664" w:rsidRPr="00020424">
        <w:rPr>
          <w:rtl/>
        </w:rPr>
        <w:t xml:space="preserve"> وفي « بث ، بح ، بف » </w:t>
      </w:r>
      <w:r w:rsidR="00992664" w:rsidRPr="00515444">
        <w:rPr>
          <w:rStyle w:val="libFootnoteBoldChar"/>
          <w:rtl/>
        </w:rPr>
        <w:t>والوافي</w:t>
      </w:r>
      <w:r w:rsidR="00992664" w:rsidRPr="00020424">
        <w:rPr>
          <w:rtl/>
        </w:rPr>
        <w:t xml:space="preserve"> : « يجب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16194" w:rsidTr="00E16194">
        <w:tc>
          <w:tcPr>
            <w:tcW w:w="4006" w:type="dxa"/>
          </w:tcPr>
          <w:p w:rsidR="00E16194" w:rsidRDefault="00E16194" w:rsidP="00992664">
            <w:pPr>
              <w:pStyle w:val="libFootnote0"/>
              <w:rPr>
                <w:rtl/>
              </w:rPr>
            </w:pPr>
            <w:r>
              <w:rPr>
                <w:rtl/>
              </w:rPr>
              <w:t xml:space="preserve">(8). </w:t>
            </w:r>
            <w:r w:rsidRPr="00020424">
              <w:rPr>
                <w:rtl/>
              </w:rPr>
              <w:t>في « جن » :</w:t>
            </w:r>
            <w:r>
              <w:rPr>
                <w:rtl/>
              </w:rPr>
              <w:t xml:space="preserve"> - </w:t>
            </w:r>
            <w:r w:rsidRPr="00020424">
              <w:rPr>
                <w:rtl/>
              </w:rPr>
              <w:t>« فيه</w:t>
            </w:r>
            <w:r>
              <w:rPr>
                <w:rtl/>
              </w:rPr>
              <w:t xml:space="preserve"> ».</w:t>
            </w:r>
          </w:p>
        </w:tc>
        <w:tc>
          <w:tcPr>
            <w:tcW w:w="4006" w:type="dxa"/>
          </w:tcPr>
          <w:p w:rsidR="00E16194" w:rsidRDefault="00E16194" w:rsidP="00992664">
            <w:pPr>
              <w:pStyle w:val="libFootnote0"/>
              <w:rPr>
                <w:rtl/>
              </w:rPr>
            </w:pPr>
            <w:r>
              <w:rPr>
                <w:rtl/>
              </w:rPr>
              <w:t xml:space="preserve">(9). </w:t>
            </w:r>
            <w:r w:rsidRPr="00020424">
              <w:rPr>
                <w:rtl/>
              </w:rPr>
              <w:t>في « بر » : « الزكاة</w:t>
            </w:r>
            <w:r>
              <w:rPr>
                <w:rtl/>
              </w:rPr>
              <w:t xml:space="preserve"> ».</w:t>
            </w:r>
          </w:p>
        </w:tc>
      </w:tr>
      <w:tr w:rsidR="00E16194" w:rsidTr="00E16194">
        <w:tc>
          <w:tcPr>
            <w:tcW w:w="4006" w:type="dxa"/>
          </w:tcPr>
          <w:p w:rsidR="00E16194" w:rsidRDefault="00E16194" w:rsidP="00992664">
            <w:pPr>
              <w:pStyle w:val="libFootnote0"/>
              <w:rPr>
                <w:rtl/>
              </w:rPr>
            </w:pPr>
            <w:r>
              <w:rPr>
                <w:rtl/>
              </w:rPr>
              <w:t xml:space="preserve">(10). </w:t>
            </w:r>
            <w:r w:rsidRPr="00020424">
              <w:rPr>
                <w:rtl/>
              </w:rPr>
              <w:t>في « بس » : « فإن</w:t>
            </w:r>
            <w:r>
              <w:rPr>
                <w:rtl/>
              </w:rPr>
              <w:t xml:space="preserve"> ».</w:t>
            </w:r>
          </w:p>
        </w:tc>
        <w:tc>
          <w:tcPr>
            <w:tcW w:w="4006" w:type="dxa"/>
          </w:tcPr>
          <w:p w:rsidR="00E16194" w:rsidRDefault="00E16194" w:rsidP="00992664">
            <w:pPr>
              <w:pStyle w:val="libFootnote0"/>
              <w:rPr>
                <w:rtl/>
              </w:rPr>
            </w:pPr>
            <w:r>
              <w:rPr>
                <w:rtl/>
              </w:rPr>
              <w:t xml:space="preserve">(11). </w:t>
            </w:r>
            <w:r w:rsidRPr="00020424">
              <w:rPr>
                <w:rtl/>
              </w:rPr>
              <w:t>في « ى ، جن » : « فإن</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 « أطال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بر ، بف » وحاشية « جن » </w:t>
      </w:r>
      <w:r w:rsidR="00992664" w:rsidRPr="00EB1FD9">
        <w:rPr>
          <w:rStyle w:val="libFootnoteBoldChar"/>
          <w:rtl/>
        </w:rPr>
        <w:t>والوسائل</w:t>
      </w:r>
      <w:r w:rsidR="00992664" w:rsidRPr="00020424">
        <w:rPr>
          <w:rtl/>
        </w:rPr>
        <w:t xml:space="preserve"> : « حتّى يمرّ</w:t>
      </w:r>
      <w:r w:rsidR="00992664">
        <w:rPr>
          <w:rtl/>
        </w:rPr>
        <w:t xml:space="preserve"> ».</w:t>
      </w:r>
      <w:r w:rsidR="00992664" w:rsidRPr="00020424">
        <w:rPr>
          <w:rtl/>
        </w:rPr>
        <w:t xml:space="preserve"> وفي « بخ » </w:t>
      </w:r>
      <w:r w:rsidR="00992664" w:rsidRPr="00515444">
        <w:rPr>
          <w:rStyle w:val="libFootnoteBoldChar"/>
          <w:rtl/>
        </w:rPr>
        <w:t>والوافي</w:t>
      </w:r>
      <w:r w:rsidR="00992664" w:rsidRPr="00020424">
        <w:rPr>
          <w:rtl/>
        </w:rPr>
        <w:t xml:space="preserve"> : « حتّى تمرّ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47656" w:rsidTr="00547656">
        <w:tc>
          <w:tcPr>
            <w:tcW w:w="4006" w:type="dxa"/>
          </w:tcPr>
          <w:p w:rsidR="00547656" w:rsidRDefault="00547656" w:rsidP="00992664">
            <w:pPr>
              <w:pStyle w:val="libFootnote0"/>
              <w:rPr>
                <w:rtl/>
              </w:rPr>
            </w:pPr>
            <w:r>
              <w:rPr>
                <w:rtl/>
              </w:rPr>
              <w:t xml:space="preserve">(14). </w:t>
            </w:r>
            <w:r w:rsidRPr="00020424">
              <w:rPr>
                <w:rtl/>
              </w:rPr>
              <w:t>في « بس » : « عليك</w:t>
            </w:r>
            <w:r>
              <w:rPr>
                <w:rtl/>
              </w:rPr>
              <w:t xml:space="preserve"> ».</w:t>
            </w:r>
          </w:p>
        </w:tc>
        <w:tc>
          <w:tcPr>
            <w:tcW w:w="4006" w:type="dxa"/>
          </w:tcPr>
          <w:p w:rsidR="00547656" w:rsidRDefault="00547656" w:rsidP="00992664">
            <w:pPr>
              <w:pStyle w:val="libFootnote0"/>
              <w:rPr>
                <w:rtl/>
              </w:rPr>
            </w:pPr>
            <w:r>
              <w:rPr>
                <w:rtl/>
              </w:rPr>
              <w:t xml:space="preserve">(15). </w:t>
            </w:r>
            <w:r w:rsidRPr="00020424">
              <w:rPr>
                <w:rtl/>
              </w:rPr>
              <w:t>في « بر » : « ستّون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زَكَاةٌ حَتّى يَخْرُجَ </w:t>
      </w:r>
      <w:r w:rsidRPr="00A91B96">
        <w:rPr>
          <w:rStyle w:val="libFootnotenumChar"/>
          <w:rtl/>
        </w:rPr>
        <w:t>(1)</w:t>
      </w:r>
      <w:r w:rsidRPr="00020424">
        <w:rPr>
          <w:rtl/>
          <w:lang w:bidi="fa-IR"/>
        </w:rPr>
        <w:t xml:space="preserve"> ، فَإِذَا هُوَ </w:t>
      </w:r>
      <w:r w:rsidRPr="00A91B96">
        <w:rPr>
          <w:rStyle w:val="libFootnotenumChar"/>
          <w:rtl/>
        </w:rPr>
        <w:t>(2)</w:t>
      </w:r>
      <w:r w:rsidRPr="00020424">
        <w:rPr>
          <w:rtl/>
          <w:lang w:bidi="fa-IR"/>
        </w:rPr>
        <w:t xml:space="preserve"> خَرَجَ ، زَكَّاهُ لِعَامِهِ ذلِكَ ، وَإِنْ هُوَ </w:t>
      </w:r>
      <w:r w:rsidRPr="00A91B96">
        <w:rPr>
          <w:rStyle w:val="libFootnotenumChar"/>
          <w:rtl/>
        </w:rPr>
        <w:t>(3)</w:t>
      </w:r>
      <w:r w:rsidRPr="00020424">
        <w:rPr>
          <w:rtl/>
          <w:lang w:bidi="fa-IR"/>
        </w:rPr>
        <w:t xml:space="preserve"> كَانَ يَأْخُذُ مِنْهُ </w:t>
      </w:r>
      <w:r w:rsidRPr="00A91B96">
        <w:rPr>
          <w:rStyle w:val="libFootnotenumChar"/>
          <w:rtl/>
        </w:rPr>
        <w:t>(4)</w:t>
      </w:r>
      <w:r w:rsidRPr="00020424">
        <w:rPr>
          <w:rtl/>
          <w:lang w:bidi="fa-IR"/>
        </w:rPr>
        <w:t xml:space="preserve"> قَلِيلاً قَلِيلاً ، فَلْيُزَكِّ </w:t>
      </w:r>
      <w:r w:rsidRPr="00A91B96">
        <w:rPr>
          <w:rStyle w:val="libFootnotenumChar"/>
          <w:rtl/>
        </w:rPr>
        <w:t>(5)</w:t>
      </w:r>
      <w:r w:rsidRPr="00020424">
        <w:rPr>
          <w:rtl/>
          <w:lang w:bidi="fa-IR"/>
        </w:rPr>
        <w:t xml:space="preserve"> مَا خَرَجَ مِنْهُ أَوَّلاً فَأَوَّلاً </w:t>
      </w:r>
      <w:r w:rsidRPr="00A91B96">
        <w:rPr>
          <w:rStyle w:val="libFootnotenumChar"/>
          <w:rtl/>
        </w:rPr>
        <w:t>(6)</w:t>
      </w:r>
      <w:r w:rsidRPr="00020424">
        <w:rPr>
          <w:rtl/>
          <w:lang w:bidi="fa-IR"/>
        </w:rPr>
        <w:t xml:space="preserve"> ، فَإِنْ </w:t>
      </w:r>
      <w:r w:rsidRPr="00A91B96">
        <w:rPr>
          <w:rStyle w:val="libFootnotenumChar"/>
          <w:rtl/>
        </w:rPr>
        <w:t>(7)</w:t>
      </w:r>
      <w:r w:rsidRPr="00020424">
        <w:rPr>
          <w:rtl/>
          <w:lang w:bidi="fa-IR"/>
        </w:rPr>
        <w:t xml:space="preserve"> كَانَ مَتَاعُهُ وَدَيْنُهُ وَمَالُهُ فِي تِجَارَتِهِ </w:t>
      </w:r>
      <w:r w:rsidRPr="00A91B96">
        <w:rPr>
          <w:rStyle w:val="libFootnotenumChar"/>
          <w:rtl/>
        </w:rPr>
        <w:t>(8)</w:t>
      </w:r>
      <w:r w:rsidRPr="00020424">
        <w:rPr>
          <w:rtl/>
          <w:lang w:bidi="fa-IR"/>
        </w:rPr>
        <w:t xml:space="preserve"> الَّتِي يَتَقَلَّبُ </w:t>
      </w:r>
      <w:r w:rsidRPr="00A91B96">
        <w:rPr>
          <w:rStyle w:val="libFootnotenumChar"/>
          <w:rtl/>
        </w:rPr>
        <w:t>(9)</w:t>
      </w:r>
      <w:r w:rsidRPr="00020424">
        <w:rPr>
          <w:rtl/>
          <w:lang w:bidi="fa-IR"/>
        </w:rPr>
        <w:t xml:space="preserve"> فِيهَا يَوْماً بِيَوْمٍ ، يَأْخُذُ </w:t>
      </w:r>
      <w:r w:rsidRPr="00A91B96">
        <w:rPr>
          <w:rStyle w:val="libFootnotenumChar"/>
          <w:rtl/>
        </w:rPr>
        <w:t>(10)</w:t>
      </w:r>
      <w:r w:rsidRPr="00020424">
        <w:rPr>
          <w:rtl/>
          <w:lang w:bidi="fa-IR"/>
        </w:rPr>
        <w:t xml:space="preserve"> وَيُعْطِي وَيَبِيعُ وَيَشْتَرِي ، فَهُوَ يُشْبِهُ </w:t>
      </w:r>
      <w:r w:rsidRPr="00A91B96">
        <w:rPr>
          <w:rStyle w:val="libFootnotenumChar"/>
          <w:rtl/>
        </w:rPr>
        <w:t>(11)</w:t>
      </w:r>
      <w:r w:rsidRPr="00020424">
        <w:rPr>
          <w:rtl/>
          <w:lang w:bidi="fa-IR"/>
        </w:rPr>
        <w:t xml:space="preserve"> الْعَيْنَ فِي يَدِهِ ، فَعَلَيْهِ الزَّكَاةُ ، وَلَايَنْبَغِي لَهُ </w:t>
      </w:r>
      <w:r w:rsidRPr="00A91B96">
        <w:rPr>
          <w:rStyle w:val="libFootnotenumChar"/>
          <w:rtl/>
        </w:rPr>
        <w:t>(12)</w:t>
      </w:r>
      <w:r w:rsidRPr="00020424">
        <w:rPr>
          <w:rtl/>
          <w:lang w:bidi="fa-IR"/>
        </w:rPr>
        <w:t xml:space="preserve"> أَنْ يُغَيِّرَ </w:t>
      </w:r>
      <w:r w:rsidRPr="00A91B96">
        <w:rPr>
          <w:rStyle w:val="libFootnotenumChar"/>
          <w:rtl/>
        </w:rPr>
        <w:t>(13)</w:t>
      </w:r>
      <w:r w:rsidRPr="00020424">
        <w:rPr>
          <w:rtl/>
          <w:lang w:bidi="fa-IR"/>
        </w:rPr>
        <w:t xml:space="preserve"> ذلِكَ إِذَا كَانَ حَالُ مَتَاعِهِ وَمَالِهِ عَلى مَا وَصَفْتُ لَكَ ، فَيُؤَخِّرَ الزَّكَاةَ</w:t>
      </w:r>
      <w:r>
        <w:rPr>
          <w:rtl/>
          <w:lang w:bidi="fa-IR"/>
        </w:rPr>
        <w:t>».</w:t>
      </w:r>
      <w:r w:rsidRPr="00020424">
        <w:rPr>
          <w:rtl/>
          <w:lang w:bidi="fa-IR"/>
        </w:rPr>
        <w:t xml:space="preserve"> </w:t>
      </w:r>
      <w:r w:rsidRPr="00A91B96">
        <w:rPr>
          <w:rStyle w:val="libFootnotenumChar"/>
          <w:rtl/>
        </w:rPr>
        <w:t>(14)</w:t>
      </w:r>
    </w:p>
    <w:p w:rsidR="00992664" w:rsidRPr="00020424" w:rsidRDefault="00992664" w:rsidP="00992664">
      <w:pPr>
        <w:pStyle w:val="libNormal"/>
        <w:rPr>
          <w:rtl/>
          <w:lang w:bidi="fa-IR"/>
        </w:rPr>
      </w:pPr>
      <w:r w:rsidRPr="00E57529">
        <w:rPr>
          <w:rtl/>
        </w:rPr>
        <w:t>5812</w:t>
      </w:r>
      <w:r w:rsidRPr="001155DE">
        <w:rPr>
          <w:rStyle w:val="libBold2Char"/>
          <w:rtl/>
        </w:rPr>
        <w:t xml:space="preserve"> / 5.</w:t>
      </w:r>
      <w:r w:rsidRPr="00020424">
        <w:rPr>
          <w:rtl/>
          <w:lang w:bidi="fa-IR"/>
        </w:rPr>
        <w:t xml:space="preserve"> مُحَمَّدُ بْنُ إِسْمَاعِيلَ ، عَنِ الْفَضْلِ بْنِ شَاذَانَ ، عَنْ صَفْوَانَ بْنِ يَحْيى ، عَنْ مَنْصُورِ بْنِ حَازِمٍ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w:t>
      </w:r>
      <w:r w:rsidRPr="00A91B96">
        <w:rPr>
          <w:rStyle w:val="libFootnotenumChar"/>
          <w:rtl/>
        </w:rPr>
        <w:t>(15)</w:t>
      </w:r>
      <w:r w:rsidRPr="00020424">
        <w:rPr>
          <w:rtl/>
          <w:lang w:bidi="fa-IR"/>
        </w:rPr>
        <w:t xml:space="preserve"> اسْتَقْرَضَ مَالاً ، فَحَالَ عَلَيْهِ الْحَوْلُ وَهُوَ عِنْدَهُ.</w:t>
      </w:r>
    </w:p>
    <w:p w:rsidR="00992664" w:rsidRPr="00020424" w:rsidRDefault="00992664" w:rsidP="00145680">
      <w:pPr>
        <w:pStyle w:val="libNormal"/>
        <w:rPr>
          <w:rtl/>
          <w:lang w:bidi="fa-IR"/>
        </w:rPr>
      </w:pPr>
      <w:r w:rsidRPr="00020424">
        <w:rPr>
          <w:rtl/>
          <w:lang w:bidi="fa-IR"/>
        </w:rPr>
        <w:t xml:space="preserve">قَالَ : « إِنْ كَانَ الَّذِي أَقْرَضَهُ يُؤَدِّي زَكَاتَهُ </w:t>
      </w:r>
      <w:r w:rsidRPr="00A91B96">
        <w:rPr>
          <w:rStyle w:val="libFootnotenumChar"/>
          <w:rtl/>
        </w:rPr>
        <w:t>(16)</w:t>
      </w:r>
      <w:r w:rsidRPr="00020424">
        <w:rPr>
          <w:rtl/>
          <w:lang w:bidi="fa-IR"/>
        </w:rPr>
        <w:t xml:space="preserve"> ، فَلَا زَكَاةَ عَلَيْهِ ؛ وَإِنْ كَانَ لَايُؤَدِّي ، أَدَّى الْمُسْتَقْرِضُ » </w:t>
      </w:r>
      <w:r w:rsidRPr="00A91B96">
        <w:rPr>
          <w:rStyle w:val="libFootnotenumChar"/>
          <w:rtl/>
        </w:rPr>
        <w:t>(17)</w:t>
      </w:r>
    </w:p>
    <w:p w:rsidR="00992664" w:rsidRPr="00020424" w:rsidRDefault="00992664" w:rsidP="00992664">
      <w:pPr>
        <w:pStyle w:val="libNormal"/>
        <w:rPr>
          <w:rtl/>
          <w:lang w:bidi="fa-IR"/>
        </w:rPr>
      </w:pPr>
      <w:r w:rsidRPr="00E57529">
        <w:rPr>
          <w:rtl/>
        </w:rPr>
        <w:t>5813</w:t>
      </w:r>
      <w:r w:rsidRPr="001155DE">
        <w:rPr>
          <w:rStyle w:val="libBold2Char"/>
          <w:rtl/>
        </w:rPr>
        <w:t xml:space="preserve"> / 6.</w:t>
      </w:r>
      <w:r w:rsidRPr="00020424">
        <w:rPr>
          <w:rtl/>
          <w:lang w:bidi="fa-IR"/>
        </w:rPr>
        <w:t xml:space="preserve"> عَلِيُّ بْنُ إِبْرَاهِيمَ ، عَنْ أَبِيهِ ، عَنْ حَمَّادٍ ، عَنْ حَرِيزٍ ، عَنْ زُرَارَةَ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45680" w:rsidTr="00145680">
        <w:tc>
          <w:tcPr>
            <w:tcW w:w="4006" w:type="dxa"/>
          </w:tcPr>
          <w:p w:rsidR="00145680" w:rsidRDefault="00145680" w:rsidP="00992664">
            <w:pPr>
              <w:pStyle w:val="libFootnote0"/>
              <w:rPr>
                <w:rtl/>
              </w:rPr>
            </w:pPr>
            <w:r>
              <w:rPr>
                <w:rtl/>
              </w:rPr>
              <w:t xml:space="preserve">(1). </w:t>
            </w:r>
            <w:r w:rsidRPr="00020424">
              <w:rPr>
                <w:rtl/>
              </w:rPr>
              <w:t xml:space="preserve">في </w:t>
            </w:r>
            <w:r w:rsidRPr="0012008A">
              <w:rPr>
                <w:rStyle w:val="libFootnoteBoldChar"/>
                <w:rtl/>
              </w:rPr>
              <w:t>الوسائل</w:t>
            </w:r>
            <w:r w:rsidRPr="00020424">
              <w:rPr>
                <w:rtl/>
              </w:rPr>
              <w:t xml:space="preserve"> : « حتّى يخرجها</w:t>
            </w:r>
            <w:r>
              <w:rPr>
                <w:rtl/>
              </w:rPr>
              <w:t xml:space="preserve"> ».</w:t>
            </w:r>
          </w:p>
        </w:tc>
        <w:tc>
          <w:tcPr>
            <w:tcW w:w="4006" w:type="dxa"/>
          </w:tcPr>
          <w:p w:rsidR="00145680" w:rsidRDefault="00145680" w:rsidP="00992664">
            <w:pPr>
              <w:pStyle w:val="libFootnote0"/>
              <w:rPr>
                <w:rtl/>
              </w:rPr>
            </w:pPr>
            <w:r>
              <w:rPr>
                <w:rtl/>
              </w:rPr>
              <w:t xml:space="preserve">(2).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هو</w:t>
            </w:r>
            <w:r>
              <w:rPr>
                <w:rtl/>
              </w:rPr>
              <w:t xml:space="preserve"> ».</w:t>
            </w:r>
          </w:p>
        </w:tc>
      </w:tr>
      <w:tr w:rsidR="00145680" w:rsidTr="00145680">
        <w:tc>
          <w:tcPr>
            <w:tcW w:w="4006" w:type="dxa"/>
          </w:tcPr>
          <w:p w:rsidR="00145680" w:rsidRDefault="00145680" w:rsidP="00992664">
            <w:pPr>
              <w:pStyle w:val="libFootnote0"/>
              <w:rPr>
                <w:rtl/>
              </w:rPr>
            </w:pPr>
            <w:r>
              <w:rPr>
                <w:rtl/>
              </w:rPr>
              <w:t xml:space="preserve">(3). </w:t>
            </w:r>
            <w:r w:rsidRPr="00020424">
              <w:rPr>
                <w:rtl/>
              </w:rPr>
              <w:t xml:space="preserve">في « بث ، بخ » </w:t>
            </w:r>
            <w:r w:rsidRPr="00515444">
              <w:rPr>
                <w:rStyle w:val="libFootnoteBoldChar"/>
                <w:rtl/>
              </w:rPr>
              <w:t>والوافي</w:t>
            </w:r>
            <w:r w:rsidRPr="00020424">
              <w:rPr>
                <w:rtl/>
              </w:rPr>
              <w:t xml:space="preserve"> :</w:t>
            </w:r>
            <w:r>
              <w:rPr>
                <w:rtl/>
              </w:rPr>
              <w:t xml:space="preserve"> - </w:t>
            </w:r>
            <w:r w:rsidRPr="00020424">
              <w:rPr>
                <w:rtl/>
              </w:rPr>
              <w:t>« هو</w:t>
            </w:r>
            <w:r>
              <w:rPr>
                <w:rtl/>
              </w:rPr>
              <w:t xml:space="preserve"> ».</w:t>
            </w:r>
          </w:p>
        </w:tc>
        <w:tc>
          <w:tcPr>
            <w:tcW w:w="4006" w:type="dxa"/>
          </w:tcPr>
          <w:p w:rsidR="00145680" w:rsidRDefault="00145680" w:rsidP="00992664">
            <w:pPr>
              <w:pStyle w:val="libFootnote0"/>
              <w:rPr>
                <w:rtl/>
              </w:rPr>
            </w:pPr>
            <w:r>
              <w:rPr>
                <w:rtl/>
              </w:rPr>
              <w:t xml:space="preserve">(4). </w:t>
            </w:r>
            <w:r w:rsidRPr="00020424">
              <w:rPr>
                <w:rtl/>
              </w:rPr>
              <w:t>في حاشية « جن » : « هو</w:t>
            </w:r>
            <w:r>
              <w:rPr>
                <w:rtl/>
              </w:rPr>
              <w:t xml:space="preserve"> ».</w:t>
            </w:r>
          </w:p>
        </w:tc>
      </w:tr>
      <w:tr w:rsidR="00145680" w:rsidTr="00145680">
        <w:tc>
          <w:tcPr>
            <w:tcW w:w="4006" w:type="dxa"/>
          </w:tcPr>
          <w:p w:rsidR="00145680" w:rsidRDefault="00145680" w:rsidP="00992664">
            <w:pPr>
              <w:pStyle w:val="libFootnote0"/>
              <w:rPr>
                <w:rtl/>
              </w:rPr>
            </w:pPr>
            <w:r>
              <w:rPr>
                <w:rtl/>
              </w:rPr>
              <w:t xml:space="preserve">(5). </w:t>
            </w:r>
            <w:r w:rsidRPr="00020424">
              <w:rPr>
                <w:rtl/>
              </w:rPr>
              <w:t>في « بر » : « فليزكّي</w:t>
            </w:r>
            <w:r>
              <w:rPr>
                <w:rtl/>
              </w:rPr>
              <w:t xml:space="preserve"> ».</w:t>
            </w:r>
          </w:p>
        </w:tc>
        <w:tc>
          <w:tcPr>
            <w:tcW w:w="4006" w:type="dxa"/>
          </w:tcPr>
          <w:p w:rsidR="00145680" w:rsidRDefault="00145680" w:rsidP="00992664">
            <w:pPr>
              <w:pStyle w:val="libFootnote0"/>
              <w:rPr>
                <w:rtl/>
              </w:rPr>
            </w:pPr>
            <w:r>
              <w:rPr>
                <w:rtl/>
              </w:rPr>
              <w:t xml:space="preserve">(6). </w:t>
            </w:r>
            <w:r w:rsidRPr="00020424">
              <w:rPr>
                <w:rtl/>
              </w:rPr>
              <w:t xml:space="preserve">في « ى ، بح ، بس » </w:t>
            </w:r>
            <w:r w:rsidRPr="00EB1FD9">
              <w:rPr>
                <w:rStyle w:val="libFootnoteBoldChar"/>
                <w:rtl/>
              </w:rPr>
              <w:t>والوسائل</w:t>
            </w:r>
            <w:r w:rsidRPr="00020424">
              <w:rPr>
                <w:rtl/>
              </w:rPr>
              <w:t xml:space="preserve"> : « أوّلاً</w:t>
            </w:r>
            <w:r>
              <w:rPr>
                <w:rtl/>
              </w:rPr>
              <w:t xml:space="preserve"> ».</w:t>
            </w:r>
          </w:p>
        </w:tc>
      </w:tr>
      <w:tr w:rsidR="00145680" w:rsidTr="00145680">
        <w:tc>
          <w:tcPr>
            <w:tcW w:w="4006" w:type="dxa"/>
          </w:tcPr>
          <w:p w:rsidR="00145680" w:rsidRDefault="00145680" w:rsidP="00992664">
            <w:pPr>
              <w:pStyle w:val="libFootnote0"/>
              <w:rPr>
                <w:rtl/>
              </w:rPr>
            </w:pPr>
            <w:r>
              <w:rPr>
                <w:rtl/>
              </w:rPr>
              <w:t xml:space="preserve">(7). </w:t>
            </w:r>
            <w:r w:rsidRPr="00020424">
              <w:rPr>
                <w:rtl/>
              </w:rPr>
              <w:t xml:space="preserve">في « بث ، بس ، بف » </w:t>
            </w:r>
            <w:r w:rsidRPr="00515444">
              <w:rPr>
                <w:rStyle w:val="libFootnoteBoldChar"/>
                <w:rtl/>
              </w:rPr>
              <w:t>والوافي</w:t>
            </w:r>
            <w:r w:rsidRPr="00020424">
              <w:rPr>
                <w:rtl/>
              </w:rPr>
              <w:t xml:space="preserve"> : « وإن</w:t>
            </w:r>
            <w:r>
              <w:rPr>
                <w:rtl/>
              </w:rPr>
              <w:t xml:space="preserve"> ».</w:t>
            </w:r>
          </w:p>
        </w:tc>
        <w:tc>
          <w:tcPr>
            <w:tcW w:w="4006" w:type="dxa"/>
          </w:tcPr>
          <w:p w:rsidR="00145680" w:rsidRDefault="00145680" w:rsidP="00992664">
            <w:pPr>
              <w:pStyle w:val="libFootnote0"/>
              <w:rPr>
                <w:rtl/>
              </w:rPr>
            </w:pPr>
            <w:r>
              <w:rPr>
                <w:rtl/>
              </w:rPr>
              <w:t xml:space="preserve">(8). </w:t>
            </w:r>
            <w:r w:rsidRPr="00020424">
              <w:rPr>
                <w:rtl/>
              </w:rPr>
              <w:t>في « بث » : « تجارة</w:t>
            </w:r>
            <w:r>
              <w:rPr>
                <w:rtl/>
              </w:rPr>
              <w:t xml:space="preserve"> ».</w:t>
            </w:r>
          </w:p>
        </w:tc>
      </w:tr>
      <w:tr w:rsidR="00145680" w:rsidTr="00145680">
        <w:tc>
          <w:tcPr>
            <w:tcW w:w="4006" w:type="dxa"/>
          </w:tcPr>
          <w:p w:rsidR="00145680" w:rsidRDefault="00145680" w:rsidP="00992664">
            <w:pPr>
              <w:pStyle w:val="libFootnote0"/>
              <w:rPr>
                <w:rtl/>
              </w:rPr>
            </w:pPr>
            <w:r>
              <w:rPr>
                <w:rtl/>
              </w:rPr>
              <w:t xml:space="preserve">(9). </w:t>
            </w:r>
            <w:r w:rsidRPr="00020424">
              <w:rPr>
                <w:rtl/>
              </w:rPr>
              <w:t>في « بث ، بر » : « ينقلب</w:t>
            </w:r>
            <w:r>
              <w:rPr>
                <w:rtl/>
              </w:rPr>
              <w:t xml:space="preserve"> ».</w:t>
            </w:r>
          </w:p>
        </w:tc>
        <w:tc>
          <w:tcPr>
            <w:tcW w:w="4006" w:type="dxa"/>
          </w:tcPr>
          <w:p w:rsidR="00145680" w:rsidRDefault="00145680" w:rsidP="00992664">
            <w:pPr>
              <w:pStyle w:val="libFootnote0"/>
              <w:rPr>
                <w:rtl/>
              </w:rPr>
            </w:pPr>
            <w:r>
              <w:rPr>
                <w:rtl/>
              </w:rPr>
              <w:t xml:space="preserve">(10). </w:t>
            </w:r>
            <w:r w:rsidRPr="00020424">
              <w:rPr>
                <w:rtl/>
              </w:rPr>
              <w:t xml:space="preserve">في </w:t>
            </w:r>
            <w:r w:rsidRPr="0012008A">
              <w:rPr>
                <w:rStyle w:val="libFootnoteBoldChar"/>
                <w:rtl/>
              </w:rPr>
              <w:t>الوسائل</w:t>
            </w:r>
            <w:r w:rsidRPr="00020424">
              <w:rPr>
                <w:rtl/>
              </w:rPr>
              <w:t xml:space="preserve"> : « فيأخذ</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ى ، بث ، بخ ، بر » </w:t>
      </w:r>
      <w:r w:rsidR="00992664" w:rsidRPr="00EB1FD9">
        <w:rPr>
          <w:rStyle w:val="libFootnoteBoldChar"/>
          <w:rtl/>
        </w:rPr>
        <w:t>والوسائل</w:t>
      </w:r>
      <w:r w:rsidR="00992664" w:rsidRPr="00020424">
        <w:rPr>
          <w:rtl/>
        </w:rPr>
        <w:t xml:space="preserve"> : « شبه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بس » : « أن يتغيّر</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115 ، ح 9262 ؛ </w:t>
      </w:r>
      <w:r w:rsidR="00992664" w:rsidRPr="0012008A">
        <w:rPr>
          <w:rStyle w:val="libFootnoteBoldChar"/>
          <w:rtl/>
        </w:rPr>
        <w:t>الوسائل</w:t>
      </w:r>
      <w:r w:rsidR="00992664" w:rsidRPr="00020424">
        <w:rPr>
          <w:rtl/>
        </w:rPr>
        <w:t xml:space="preserve"> ، ج 9 ، ص 97 ، ح 11615.</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بر » : « الرجل</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يؤدّي زكاته ؛ يعني تبرّعاً ؛ إذ ليس عليه ذلك ، وإنّما هو على المستقرض</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12008A">
        <w:rPr>
          <w:rStyle w:val="libFootnoteBoldChar"/>
          <w:rtl/>
        </w:rPr>
        <w:t>التهذيب</w:t>
      </w:r>
      <w:r w:rsidR="00992664" w:rsidRPr="00020424">
        <w:rPr>
          <w:rtl/>
        </w:rPr>
        <w:t xml:space="preserve"> ، ج 4 ، ص 32 ، ح 83 ، بسنده عن صفوان بن يحيى </w:t>
      </w:r>
      <w:r w:rsidR="00405B89">
        <w:rPr>
          <w:rFonts w:hint="cs"/>
          <w:rtl/>
        </w:rPr>
        <w:t>.</w:t>
      </w:r>
      <w:r w:rsidR="00992664" w:rsidRPr="0012008A">
        <w:rPr>
          <w:rStyle w:val="libFootnoteBoldChar"/>
          <w:rtl/>
        </w:rPr>
        <w:t>الوافي</w:t>
      </w:r>
      <w:r w:rsidR="00992664" w:rsidRPr="00020424">
        <w:rPr>
          <w:rtl/>
        </w:rPr>
        <w:t xml:space="preserve"> ، ج 10 ، ص 116 ، ح 9263 ؛ </w:t>
      </w:r>
      <w:r w:rsidR="00992664" w:rsidRPr="0012008A">
        <w:rPr>
          <w:rStyle w:val="libFootnoteBoldChar"/>
          <w:rtl/>
        </w:rPr>
        <w:t>الوسائل</w:t>
      </w:r>
      <w:r w:rsidR="00992664" w:rsidRPr="00020424">
        <w:rPr>
          <w:rtl/>
        </w:rPr>
        <w:t xml:space="preserve"> ، ج 9 ، ص 101 ، ح 11626.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قُلْتُ لِأَبِي عَبْدِ اللهِ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رَجُلٌ دَفَعَ إِلى رَجُلٍ مَالاً قَرْضاً ، عَلى مَنْ زَكَاتُهُ</w:t>
      </w:r>
      <w:r>
        <w:rPr>
          <w:rtl/>
          <w:lang w:bidi="fa-IR"/>
        </w:rPr>
        <w:t>؟</w:t>
      </w:r>
      <w:r w:rsidRPr="00020424">
        <w:rPr>
          <w:rtl/>
          <w:lang w:bidi="fa-IR"/>
        </w:rPr>
        <w:t xml:space="preserve"> عَلَى </w:t>
      </w:r>
      <w:r w:rsidRPr="00A91B96">
        <w:rPr>
          <w:rStyle w:val="libFootnotenumChar"/>
          <w:rtl/>
        </w:rPr>
        <w:t>(2)</w:t>
      </w:r>
      <w:r w:rsidRPr="00020424">
        <w:rPr>
          <w:rtl/>
          <w:lang w:bidi="fa-IR"/>
        </w:rPr>
        <w:t xml:space="preserve"> الْمُقْرِضِ ، أَوْ </w:t>
      </w:r>
      <w:r w:rsidRPr="00A91B96">
        <w:rPr>
          <w:rStyle w:val="libFootnotenumChar"/>
          <w:rtl/>
        </w:rPr>
        <w:t>(3)</w:t>
      </w:r>
      <w:r w:rsidRPr="00020424">
        <w:rPr>
          <w:rtl/>
          <w:lang w:bidi="fa-IR"/>
        </w:rPr>
        <w:t xml:space="preserve"> عَلَى الْمُقْتَرِضِ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قَالَ : « لَا ، بَلْ زَكَاتُهَا</w:t>
      </w:r>
      <w:r>
        <w:rPr>
          <w:rtl/>
          <w:lang w:bidi="fa-IR"/>
        </w:rPr>
        <w:t xml:space="preserve"> </w:t>
      </w:r>
      <w:r w:rsidR="009B673F">
        <w:rPr>
          <w:rtl/>
          <w:lang w:bidi="fa-IR"/>
        </w:rPr>
        <w:t>-</w:t>
      </w:r>
      <w:r>
        <w:rPr>
          <w:rtl/>
          <w:lang w:bidi="fa-IR"/>
        </w:rPr>
        <w:t xml:space="preserve"> </w:t>
      </w:r>
      <w:r w:rsidRPr="00020424">
        <w:rPr>
          <w:rtl/>
          <w:lang w:bidi="fa-IR"/>
        </w:rPr>
        <w:t xml:space="preserve">إِنْ كَانَتْ مَوْضُوعَةً عِنْدَهُ </w:t>
      </w:r>
      <w:r w:rsidRPr="00A91B96">
        <w:rPr>
          <w:rStyle w:val="libFootnotenumChar"/>
          <w:rtl/>
        </w:rPr>
        <w:t>(5)</w:t>
      </w:r>
      <w:r w:rsidRPr="00020424">
        <w:rPr>
          <w:rtl/>
          <w:lang w:bidi="fa-IR"/>
        </w:rPr>
        <w:t xml:space="preserve"> حَوْلاً</w:t>
      </w:r>
      <w:r>
        <w:rPr>
          <w:rtl/>
          <w:lang w:bidi="fa-IR"/>
        </w:rPr>
        <w:t xml:space="preserve"> </w:t>
      </w:r>
      <w:r w:rsidR="009B673F">
        <w:rPr>
          <w:rtl/>
          <w:lang w:bidi="fa-IR"/>
        </w:rPr>
        <w:t>-</w:t>
      </w:r>
      <w:r>
        <w:rPr>
          <w:rtl/>
          <w:lang w:bidi="fa-IR"/>
        </w:rPr>
        <w:t xml:space="preserve"> </w:t>
      </w:r>
      <w:r w:rsidRPr="00020424">
        <w:rPr>
          <w:rtl/>
          <w:lang w:bidi="fa-IR"/>
        </w:rPr>
        <w:t>عَلَى الْمُقْتَرِضِ</w:t>
      </w:r>
      <w:r>
        <w:rPr>
          <w:rtl/>
          <w:lang w:bidi="fa-IR"/>
        </w:rPr>
        <w:t xml:space="preserve"> ».</w:t>
      </w:r>
    </w:p>
    <w:p w:rsidR="00992664" w:rsidRPr="00020424" w:rsidRDefault="00992664" w:rsidP="00992664">
      <w:pPr>
        <w:pStyle w:val="libNormal"/>
        <w:rPr>
          <w:rtl/>
          <w:lang w:bidi="fa-IR"/>
        </w:rPr>
      </w:pPr>
      <w:r w:rsidRPr="00020424">
        <w:rPr>
          <w:rtl/>
          <w:lang w:bidi="fa-IR"/>
        </w:rPr>
        <w:t>قَالَ : قُلْتُ : فَلَيْسَ عَلَى الْمُقْرِضِ زَكَاتُهَا</w:t>
      </w:r>
      <w:r>
        <w:rPr>
          <w:rtl/>
          <w:lang w:bidi="fa-IR"/>
        </w:rPr>
        <w:t>؟</w:t>
      </w:r>
    </w:p>
    <w:p w:rsidR="00992664" w:rsidRPr="00020424" w:rsidRDefault="00992664" w:rsidP="00992664">
      <w:pPr>
        <w:pStyle w:val="libNormal"/>
        <w:rPr>
          <w:rtl/>
          <w:lang w:bidi="fa-IR"/>
        </w:rPr>
      </w:pPr>
      <w:r w:rsidRPr="00020424">
        <w:rPr>
          <w:rtl/>
          <w:lang w:bidi="fa-IR"/>
        </w:rPr>
        <w:t xml:space="preserve">قَالَ : </w:t>
      </w:r>
      <w:r w:rsidRPr="00A91B96">
        <w:rPr>
          <w:rStyle w:val="libFootnotenumChar"/>
          <w:rtl/>
        </w:rPr>
        <w:t>(6)</w:t>
      </w:r>
      <w:r w:rsidRPr="00020424">
        <w:rPr>
          <w:rtl/>
          <w:lang w:bidi="fa-IR"/>
        </w:rPr>
        <w:t xml:space="preserve"> « لَا يُزَكَّى الْمَالُ مِنْ وَجْهَيْنِ فِي عَامٍ وَاحِدٍ ، وَلَيْسَ عَلَى الدَّافِعِ شَيْ‌ءٌ ؛ لِأَنَّهُ لَيْسَ فِي يَدِهِ شَيْ‌ءٌ ، إِنَّمَا </w:t>
      </w:r>
      <w:r w:rsidRPr="00A91B96">
        <w:rPr>
          <w:rStyle w:val="libFootnotenumChar"/>
          <w:rtl/>
        </w:rPr>
        <w:t>(7)</w:t>
      </w:r>
      <w:r w:rsidRPr="00020424">
        <w:rPr>
          <w:rtl/>
          <w:lang w:bidi="fa-IR"/>
        </w:rPr>
        <w:t xml:space="preserve"> الْمَالُ فِي يَدِ الْآخِذِ </w:t>
      </w:r>
      <w:r w:rsidRPr="00A91B96">
        <w:rPr>
          <w:rStyle w:val="libFootnotenumChar"/>
          <w:rtl/>
        </w:rPr>
        <w:t>(8)</w:t>
      </w:r>
      <w:r w:rsidRPr="00020424">
        <w:rPr>
          <w:rtl/>
          <w:lang w:bidi="fa-IR"/>
        </w:rPr>
        <w:t xml:space="preserve"> ، فَمَنْ كَانَ الْمَالُ فِي يَدِهِ زَكَّاهُ</w:t>
      </w:r>
      <w:r>
        <w:rPr>
          <w:rtl/>
          <w:lang w:bidi="fa-IR"/>
        </w:rPr>
        <w:t xml:space="preserve"> ».</w:t>
      </w:r>
    </w:p>
    <w:p w:rsidR="00992664" w:rsidRPr="00020424" w:rsidRDefault="00992664" w:rsidP="00992664">
      <w:pPr>
        <w:pStyle w:val="libNormal"/>
        <w:rPr>
          <w:rtl/>
          <w:lang w:bidi="fa-IR"/>
        </w:rPr>
      </w:pPr>
      <w:r>
        <w:rPr>
          <w:rtl/>
          <w:lang w:bidi="fa-IR"/>
        </w:rPr>
        <w:t>قَالَ : قُلْتُ : أَ</w:t>
      </w:r>
      <w:r w:rsidRPr="00020424">
        <w:rPr>
          <w:rtl/>
          <w:lang w:bidi="fa-IR"/>
        </w:rPr>
        <w:t>فَيُزَكِّي مَالَ غَيْرِهِ مِنْ مَالِهِ</w:t>
      </w:r>
      <w:r>
        <w:rPr>
          <w:rtl/>
          <w:lang w:bidi="fa-IR"/>
        </w:rPr>
        <w:t>؟</w:t>
      </w:r>
    </w:p>
    <w:p w:rsidR="00992664" w:rsidRPr="00020424" w:rsidRDefault="00992664" w:rsidP="00992664">
      <w:pPr>
        <w:pStyle w:val="libNormal"/>
        <w:rPr>
          <w:rtl/>
          <w:lang w:bidi="fa-IR"/>
        </w:rPr>
      </w:pPr>
      <w:r w:rsidRPr="00020424">
        <w:rPr>
          <w:rtl/>
          <w:lang w:bidi="fa-IR"/>
        </w:rPr>
        <w:t>فَقَالَ : « إِنَّهُ مَالُهُ مَا دَامَ فِي يَدِهِ ، وَلَيْسَ ذلِكَ الْمَالُ لِأَحَدٍ غَيْرِهِ</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يَا زُرَارَةُ ، </w:t>
      </w:r>
      <w:r>
        <w:rPr>
          <w:rtl/>
          <w:lang w:bidi="fa-IR"/>
        </w:rPr>
        <w:t>أَ</w:t>
      </w:r>
      <w:r w:rsidRPr="00020424">
        <w:rPr>
          <w:rtl/>
          <w:lang w:bidi="fa-IR"/>
        </w:rPr>
        <w:t xml:space="preserve">رَأَيْتَ وَضِيعَةَ </w:t>
      </w:r>
      <w:r w:rsidRPr="00A91B96">
        <w:rPr>
          <w:rStyle w:val="libFootnotenumChar"/>
          <w:rtl/>
        </w:rPr>
        <w:t>(9)</w:t>
      </w:r>
      <w:r w:rsidRPr="00020424">
        <w:rPr>
          <w:rtl/>
          <w:lang w:bidi="fa-IR"/>
        </w:rPr>
        <w:t xml:space="preserve"> ذلِكَ الْمَالِ وَرِبْحَهُ </w:t>
      </w:r>
      <w:r w:rsidRPr="00A91B96">
        <w:rPr>
          <w:rStyle w:val="libFootnotenumChar"/>
          <w:rtl/>
        </w:rPr>
        <w:t>(10)</w:t>
      </w:r>
      <w:r w:rsidRPr="00020424">
        <w:rPr>
          <w:rtl/>
          <w:lang w:bidi="fa-IR"/>
        </w:rPr>
        <w:t xml:space="preserve"> لِمَنْ هُوَ</w:t>
      </w:r>
      <w:r>
        <w:rPr>
          <w:rtl/>
          <w:lang w:bidi="fa-IR"/>
        </w:rPr>
        <w:t>؟</w:t>
      </w:r>
      <w:r w:rsidRPr="00020424">
        <w:rPr>
          <w:rtl/>
          <w:lang w:bidi="fa-IR"/>
        </w:rPr>
        <w:t xml:space="preserve"> وَعَلى مَنْ </w:t>
      </w:r>
      <w:r w:rsidRPr="00A91B96">
        <w:rPr>
          <w:rStyle w:val="libFootnotenumChar"/>
          <w:rtl/>
        </w:rPr>
        <w:t>(11)</w:t>
      </w:r>
      <w:r>
        <w:rPr>
          <w:rtl/>
          <w:lang w:bidi="fa-IR"/>
        </w:rPr>
        <w:t>؟</w:t>
      </w:r>
      <w:r w:rsidRPr="00020424">
        <w:rPr>
          <w:rtl/>
          <w:lang w:bidi="fa-IR"/>
        </w:rPr>
        <w:t xml:space="preserve"> » قُلْتُ : لِلْمُقْتَرِضِ ، قَالَ : « فَلَهُ الْفَضْلُ ، وَعَلَيْهِ النُّقْصَانُ ، وَلَهُ أَنْ يَنْكِحَ ، وَيَلْبَسَ مِنْهُ </w:t>
      </w:r>
      <w:r w:rsidRPr="00A91B96">
        <w:rPr>
          <w:rStyle w:val="libFootnotenumChar"/>
          <w:rtl/>
        </w:rPr>
        <w:t>(12)</w:t>
      </w:r>
      <w:r w:rsidRPr="00020424">
        <w:rPr>
          <w:rtl/>
          <w:lang w:bidi="fa-IR"/>
        </w:rPr>
        <w:t xml:space="preserve"> ، وَيَأْكُلَ مِنْهُ ، وَلَايَنْبَغِي لَهُ أَنْ يُزَكِّيَهُ </w:t>
      </w:r>
      <w:r w:rsidRPr="00A91B96">
        <w:rPr>
          <w:rStyle w:val="libFootnotenumChar"/>
          <w:rtl/>
        </w:rPr>
        <w:t>(13)</w:t>
      </w:r>
      <w:r>
        <w:rPr>
          <w:rtl/>
          <w:lang w:bidi="fa-IR"/>
        </w:rPr>
        <w:t>؟!</w:t>
      </w:r>
      <w:r w:rsidRPr="00020424">
        <w:rPr>
          <w:rtl/>
          <w:lang w:bidi="fa-IR"/>
        </w:rPr>
        <w:t xml:space="preserve"> بَلْ </w:t>
      </w:r>
      <w:r w:rsidRPr="00A91B96">
        <w:rPr>
          <w:rStyle w:val="libFootnotenumChar"/>
          <w:rtl/>
        </w:rPr>
        <w:t>(14)</w:t>
      </w:r>
      <w:r w:rsidRPr="00020424">
        <w:rPr>
          <w:rtl/>
          <w:lang w:bidi="fa-IR"/>
        </w:rPr>
        <w:t xml:space="preserve"> يُزَكِّيهِ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05B89" w:rsidTr="00405B89">
        <w:tc>
          <w:tcPr>
            <w:tcW w:w="4006" w:type="dxa"/>
          </w:tcPr>
          <w:p w:rsidR="00405B89" w:rsidRDefault="00405B89" w:rsidP="00992664">
            <w:pPr>
              <w:pStyle w:val="libFootnote0"/>
              <w:rPr>
                <w:rtl/>
              </w:rPr>
            </w:pPr>
            <w:r>
              <w:rPr>
                <w:rtl/>
              </w:rPr>
              <w:t xml:space="preserve">(1). </w:t>
            </w:r>
            <w:r w:rsidRPr="00020424">
              <w:rPr>
                <w:rtl/>
              </w:rPr>
              <w:t xml:space="preserve">في « بح »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 « لأبي جعفر</w:t>
            </w:r>
            <w:r>
              <w:rPr>
                <w:rtl/>
              </w:rPr>
              <w:t xml:space="preserve"> ».</w:t>
            </w:r>
          </w:p>
        </w:tc>
        <w:tc>
          <w:tcPr>
            <w:tcW w:w="4006" w:type="dxa"/>
          </w:tcPr>
          <w:p w:rsidR="00405B89" w:rsidRDefault="00405B89" w:rsidP="00992664">
            <w:pPr>
              <w:pStyle w:val="libFootnote0"/>
              <w:rPr>
                <w:rtl/>
              </w:rPr>
            </w:pPr>
            <w:r>
              <w:rPr>
                <w:rtl/>
              </w:rPr>
              <w:t xml:space="preserve">(2). </w:t>
            </w:r>
            <w:r w:rsidRPr="00020424">
              <w:rPr>
                <w:rtl/>
              </w:rPr>
              <w:t xml:space="preserve">في </w:t>
            </w:r>
            <w:r w:rsidRPr="0012008A">
              <w:rPr>
                <w:rStyle w:val="libFootnoteBoldChar"/>
                <w:rtl/>
              </w:rPr>
              <w:t>التهذيب</w:t>
            </w:r>
            <w:r w:rsidRPr="00020424">
              <w:rPr>
                <w:rtl/>
              </w:rPr>
              <w:t xml:space="preserve"> : « أعلى</w:t>
            </w:r>
            <w:r>
              <w:rPr>
                <w:rtl/>
              </w:rPr>
              <w:t xml:space="preserve"> ».</w:t>
            </w:r>
          </w:p>
        </w:tc>
      </w:tr>
      <w:tr w:rsidR="00405B89" w:rsidTr="00405B89">
        <w:tc>
          <w:tcPr>
            <w:tcW w:w="4006" w:type="dxa"/>
          </w:tcPr>
          <w:p w:rsidR="00405B89" w:rsidRDefault="00405B89"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أم</w:t>
            </w:r>
            <w:r>
              <w:rPr>
                <w:rtl/>
              </w:rPr>
              <w:t xml:space="preserve"> ».</w:t>
            </w:r>
          </w:p>
        </w:tc>
        <w:tc>
          <w:tcPr>
            <w:tcW w:w="4006" w:type="dxa"/>
          </w:tcPr>
          <w:p w:rsidR="00405B89" w:rsidRDefault="00405B89" w:rsidP="00992664">
            <w:pPr>
              <w:pStyle w:val="libFootnote0"/>
              <w:rPr>
                <w:rtl/>
              </w:rPr>
            </w:pPr>
            <w:r>
              <w:rPr>
                <w:rtl/>
              </w:rPr>
              <w:t xml:space="preserve">(4). </w:t>
            </w:r>
            <w:r w:rsidRPr="00020424">
              <w:rPr>
                <w:rtl/>
              </w:rPr>
              <w:t>في « بر » : + « زكاتها</w:t>
            </w:r>
            <w:r>
              <w:rPr>
                <w:rtl/>
              </w:rPr>
              <w:t xml:space="preserve"> ».</w:t>
            </w:r>
          </w:p>
        </w:tc>
      </w:tr>
      <w:tr w:rsidR="00405B89" w:rsidTr="00405B89">
        <w:tc>
          <w:tcPr>
            <w:tcW w:w="4006" w:type="dxa"/>
          </w:tcPr>
          <w:p w:rsidR="00405B89" w:rsidRDefault="00CF25B9" w:rsidP="00992664">
            <w:pPr>
              <w:pStyle w:val="libFootnote0"/>
              <w:rPr>
                <w:rtl/>
              </w:rPr>
            </w:pPr>
            <w:r>
              <w:rPr>
                <w:rtl/>
              </w:rPr>
              <w:t xml:space="preserve">(5). </w:t>
            </w:r>
            <w:r w:rsidRPr="00020424">
              <w:rPr>
                <w:rtl/>
              </w:rPr>
              <w:t>في « بر ، بف » :</w:t>
            </w:r>
            <w:r>
              <w:rPr>
                <w:rtl/>
              </w:rPr>
              <w:t xml:space="preserve"> - </w:t>
            </w:r>
            <w:r w:rsidRPr="00020424">
              <w:rPr>
                <w:rtl/>
              </w:rPr>
              <w:t>« عنده</w:t>
            </w:r>
            <w:r>
              <w:rPr>
                <w:rtl/>
              </w:rPr>
              <w:t xml:space="preserve"> ».</w:t>
            </w:r>
          </w:p>
        </w:tc>
        <w:tc>
          <w:tcPr>
            <w:tcW w:w="4006" w:type="dxa"/>
          </w:tcPr>
          <w:p w:rsidR="00405B89" w:rsidRDefault="00CF25B9"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 + « لا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لأنّ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بث ، بح ، بخ ، جن » وحاشية « بس » </w:t>
      </w:r>
      <w:r w:rsidR="00992664" w:rsidRPr="00EB1FD9">
        <w:rPr>
          <w:rStyle w:val="libFootnoteBoldChar"/>
          <w:rtl/>
        </w:rPr>
        <w:t>والوسائل</w:t>
      </w:r>
      <w:r w:rsidR="00992664" w:rsidRPr="00020424">
        <w:rPr>
          <w:rtl/>
        </w:rPr>
        <w:t xml:space="preserve"> : « الآخر</w:t>
      </w:r>
      <w:r w:rsidR="00992664">
        <w:rPr>
          <w:rtl/>
        </w:rPr>
        <w:t xml:space="preserve"> ».</w:t>
      </w:r>
      <w:r w:rsidR="00992664" w:rsidRPr="00020424">
        <w:rPr>
          <w:rtl/>
        </w:rPr>
        <w:t xml:space="preserve"> وفي « بس » : « المقترض</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الوضيعة » : الخسارة ، </w:t>
      </w:r>
      <w:r w:rsidR="00992664" w:rsidRPr="0012008A">
        <w:rPr>
          <w:rStyle w:val="libFootnoteBoldChar"/>
          <w:rtl/>
        </w:rPr>
        <w:t>النهاية</w:t>
      </w:r>
      <w:r w:rsidR="00992664" w:rsidRPr="00020424">
        <w:rPr>
          <w:rtl/>
        </w:rPr>
        <w:t xml:space="preserve"> ، ج 5 ، ص 198 ( وضع )</w:t>
      </w:r>
      <w:r w:rsidR="00992664">
        <w:rPr>
          <w:rtl/>
        </w:rPr>
        <w:t>.</w:t>
      </w:r>
    </w:p>
    <w:tbl>
      <w:tblPr>
        <w:tblStyle w:val="TableGrid"/>
        <w:bidiVisual/>
        <w:tblW w:w="0" w:type="auto"/>
        <w:tblLook w:val="04A0" w:firstRow="1" w:lastRow="0" w:firstColumn="1" w:lastColumn="0" w:noHBand="0" w:noVBand="1"/>
      </w:tblPr>
      <w:tblGrid>
        <w:gridCol w:w="4006"/>
        <w:gridCol w:w="4006"/>
      </w:tblGrid>
      <w:tr w:rsidR="008B25B4" w:rsidTr="008B25B4">
        <w:tc>
          <w:tcPr>
            <w:tcW w:w="4006" w:type="dxa"/>
          </w:tcPr>
          <w:p w:rsidR="008B25B4" w:rsidRDefault="008B25B4" w:rsidP="00992664">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 « أو ربحه</w:t>
            </w:r>
            <w:r>
              <w:rPr>
                <w:rtl/>
              </w:rPr>
              <w:t xml:space="preserve"> ».</w:t>
            </w:r>
          </w:p>
        </w:tc>
        <w:tc>
          <w:tcPr>
            <w:tcW w:w="4006" w:type="dxa"/>
          </w:tcPr>
          <w:p w:rsidR="008B25B4" w:rsidRDefault="008B25B4" w:rsidP="00992664">
            <w:pPr>
              <w:pStyle w:val="libFootnote0"/>
              <w:rPr>
                <w:rtl/>
              </w:rPr>
            </w:pPr>
            <w:r>
              <w:rPr>
                <w:rtl/>
              </w:rPr>
              <w:t xml:space="preserve">(11). </w:t>
            </w:r>
            <w:r w:rsidRPr="00020424">
              <w:rPr>
                <w:rtl/>
              </w:rPr>
              <w:t xml:space="preserve">في </w:t>
            </w:r>
            <w:r w:rsidRPr="0012008A">
              <w:rPr>
                <w:rStyle w:val="libFootnoteBoldChar"/>
                <w:rtl/>
              </w:rPr>
              <w:t>الوافي</w:t>
            </w:r>
            <w:r w:rsidRPr="00020424">
              <w:rPr>
                <w:rtl/>
              </w:rPr>
              <w:t xml:space="preserve"> : + « هو</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وله أن يلبس وينكح » بدل « وله أن ينكح ويلبس منه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أن لايزكّيه</w:t>
      </w:r>
      <w:r w:rsidR="00992664">
        <w:rPr>
          <w:rtl/>
        </w:rPr>
        <w:t xml:space="preserve"> ».</w:t>
      </w:r>
      <w:r w:rsidR="00992664" w:rsidRPr="00020424">
        <w:rPr>
          <w:rtl/>
        </w:rPr>
        <w:t xml:space="preserve"> وعن المولى رفيع الدين في هامش </w:t>
      </w:r>
      <w:r w:rsidR="00992664" w:rsidRPr="00E57529">
        <w:rPr>
          <w:rtl/>
        </w:rPr>
        <w:t>الكافي</w:t>
      </w:r>
      <w:r w:rsidR="00992664" w:rsidRPr="00020424">
        <w:rPr>
          <w:rtl/>
        </w:rPr>
        <w:t xml:space="preserve"> المطبوع </w:t>
      </w:r>
      <w:r w:rsidR="00992664" w:rsidRPr="00515444">
        <w:rPr>
          <w:rStyle w:val="libFootnoteBoldChar"/>
          <w:rtl/>
        </w:rPr>
        <w:t>والوافي</w:t>
      </w:r>
      <w:r w:rsidR="00992664" w:rsidRPr="00020424">
        <w:rPr>
          <w:rtl/>
        </w:rPr>
        <w:t xml:space="preserve"> : « قوله : لا ينبغي له أن يزكّيه ، هكذا وجد في النسخ الّتي بين أظهرنا ، فيكون محمولاً على الإنكار ، كما لايخفى على ذوي الأبصار. وقد وجد في بعض نسخ </w:t>
      </w:r>
      <w:r w:rsidR="00992664" w:rsidRPr="0012008A">
        <w:rPr>
          <w:rStyle w:val="libFootnoteBoldChar"/>
          <w:rtl/>
        </w:rPr>
        <w:t>التهذيب</w:t>
      </w:r>
      <w:r w:rsidR="00992664" w:rsidRPr="00020424">
        <w:rPr>
          <w:rtl/>
        </w:rPr>
        <w:t xml:space="preserve"> : أن لايزكّيه ، والظاهر أنّه من تصرّف الناسخين ؛ لأنّ هذه الرواية رواها الشيخ عن المصنّف </w:t>
      </w:r>
      <w:r w:rsidR="00D64ADA" w:rsidRPr="00D64ADA">
        <w:rPr>
          <w:rStyle w:val="libFootnoteAlaemChar"/>
          <w:rtl/>
        </w:rPr>
        <w:t>قدس‌سره</w:t>
      </w:r>
      <w:r w:rsidR="00992664" w:rsidRPr="00020424">
        <w:rPr>
          <w:rtl/>
        </w:rPr>
        <w:t xml:space="preserve"> بجميع سنده ، وأيضاً لم يتعرّض لهذا الاختلاف الشيخ المحقّق الحسن ابن الشهيد الثاني </w:t>
      </w:r>
      <w:r w:rsidR="00D64ADA" w:rsidRPr="00D64ADA">
        <w:rPr>
          <w:rStyle w:val="libFootnoteAlaemChar"/>
          <w:rtl/>
        </w:rPr>
        <w:t>رحمه‌الله</w:t>
      </w:r>
      <w:r w:rsidR="00992664" w:rsidRPr="00020424">
        <w:rPr>
          <w:rtl/>
        </w:rPr>
        <w:t xml:space="preserve"> في </w:t>
      </w:r>
      <w:r w:rsidR="00992664" w:rsidRPr="00E57529">
        <w:rPr>
          <w:rtl/>
        </w:rPr>
        <w:t>منتقى الجمان</w:t>
      </w:r>
      <w:r w:rsidR="00992664" w:rsidRPr="00020424">
        <w:rPr>
          <w:rtl/>
        </w:rPr>
        <w:t xml:space="preserve"> مع أنّه بصدد ذكر الاختلاف في الأسانيد والمتون ، والله أعلم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B5563" w:rsidTr="005B5563">
        <w:tc>
          <w:tcPr>
            <w:tcW w:w="4006" w:type="dxa"/>
          </w:tcPr>
          <w:p w:rsidR="005B5563" w:rsidRDefault="005B5563" w:rsidP="00992664">
            <w:pPr>
              <w:pStyle w:val="libFootnote0"/>
              <w:rPr>
                <w:rtl/>
              </w:rPr>
            </w:pPr>
            <w:r>
              <w:rPr>
                <w:rtl/>
              </w:rPr>
              <w:t xml:space="preserve">(14). </w:t>
            </w:r>
            <w:r w:rsidRPr="00020424">
              <w:rPr>
                <w:rtl/>
              </w:rPr>
              <w:t>في « بث ، جن » : « بلى</w:t>
            </w:r>
            <w:r>
              <w:rPr>
                <w:rtl/>
              </w:rPr>
              <w:t xml:space="preserve"> ».</w:t>
            </w:r>
          </w:p>
        </w:tc>
        <w:tc>
          <w:tcPr>
            <w:tcW w:w="4006" w:type="dxa"/>
          </w:tcPr>
          <w:p w:rsidR="005B5563" w:rsidRDefault="005B5563" w:rsidP="00992664">
            <w:pPr>
              <w:pStyle w:val="libFootnote0"/>
              <w:rPr>
                <w:rtl/>
              </w:rPr>
            </w:pPr>
            <w:r>
              <w:rPr>
                <w:rtl/>
              </w:rPr>
              <w:t xml:space="preserve">(15). </w:t>
            </w:r>
            <w:r w:rsidRPr="00020424">
              <w:rPr>
                <w:rtl/>
              </w:rPr>
              <w:t>في « بخ » :</w:t>
            </w:r>
            <w:r>
              <w:rPr>
                <w:rtl/>
              </w:rPr>
              <w:t xml:space="preserve"> - </w:t>
            </w:r>
            <w:r w:rsidRPr="00020424">
              <w:rPr>
                <w:rtl/>
              </w:rPr>
              <w:t>« بل يزكّيه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فَإِنَّهُ عَلَيْهِ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E57529">
        <w:rPr>
          <w:rtl/>
        </w:rPr>
        <w:t>5814</w:t>
      </w:r>
      <w:r w:rsidRPr="001155DE">
        <w:rPr>
          <w:rStyle w:val="libBold2Char"/>
          <w:rtl/>
        </w:rPr>
        <w:t xml:space="preserve"> / 7.</w:t>
      </w:r>
      <w:r w:rsidRPr="00020424">
        <w:rPr>
          <w:rtl/>
          <w:lang w:bidi="fa-IR"/>
        </w:rPr>
        <w:t xml:space="preserve"> حُمَيْدُ بْنُ زِيَادٍ ، عَنِ الْحَسَنِ بْنِ مُحَمَّدِ بْنِ سَمَاعَةَ ، عَنْ غَيْرِ وَاحِدٍ ، عَنْ أَبَانِ بْنِ عُثْمَانَ ، عَنْ عَبْدِ الرَّحْمنِ بْنِ أَبِي عَبْدِ اللهِ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رَجُلٍ عَلَيْهِ دَيْنٌ ، وَفِي يَدِهِ مَالٌ لِغَيْرِهِ ، هَلْ </w:t>
      </w:r>
      <w:r w:rsidRPr="00A91B96">
        <w:rPr>
          <w:rStyle w:val="libFootnotenumChar"/>
          <w:rtl/>
        </w:rPr>
        <w:t>(3)</w:t>
      </w:r>
      <w:r w:rsidRPr="00020424">
        <w:rPr>
          <w:rtl/>
          <w:lang w:bidi="fa-IR"/>
        </w:rPr>
        <w:t xml:space="preserve"> عَلَيْهِ 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إِذَا </w:t>
      </w:r>
      <w:r w:rsidRPr="00A91B96">
        <w:rPr>
          <w:rStyle w:val="libFootnotenumChar"/>
          <w:rtl/>
        </w:rPr>
        <w:t>(5)</w:t>
      </w:r>
      <w:r w:rsidRPr="00020424">
        <w:rPr>
          <w:rtl/>
          <w:lang w:bidi="fa-IR"/>
        </w:rPr>
        <w:t xml:space="preserve"> كَانَ قَرْضاً ، فَحَالَ عَلَيْهِ الْحَوْلُ ، فَزَكِّهِ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E57529">
        <w:rPr>
          <w:rtl/>
        </w:rPr>
        <w:t>5815</w:t>
      </w:r>
      <w:r w:rsidRPr="001155DE">
        <w:rPr>
          <w:rStyle w:val="libBold2Char"/>
          <w:rtl/>
        </w:rPr>
        <w:t xml:space="preserve"> / 8.</w:t>
      </w:r>
      <w:r w:rsidRPr="00020424">
        <w:rPr>
          <w:rtl/>
          <w:lang w:bidi="fa-IR"/>
        </w:rPr>
        <w:t xml:space="preserve"> أَحْمَدُ بْنُ إِدْرِيسَ ، عَنْ مُحَمَّدِ بْنِ عَبْدِ الْجَبَّارِ ، عَنْ صَفْوَانَ بْنِ يَحْيى </w:t>
      </w:r>
      <w:r w:rsidRPr="00A91B96">
        <w:rPr>
          <w:rStyle w:val="libFootnotenumChar"/>
          <w:rtl/>
        </w:rPr>
        <w:t>(8)</w:t>
      </w:r>
      <w:r w:rsidRPr="00020424">
        <w:rPr>
          <w:rtl/>
          <w:lang w:bidi="fa-IR"/>
        </w:rPr>
        <w:t xml:space="preserve"> ، عَنْ عَبْدِ الْحَمِيدِ بْنِ سَعْدٍ </w:t>
      </w:r>
      <w:r w:rsidRPr="00A91B96">
        <w:rPr>
          <w:rStyle w:val="libFootnotenumChar"/>
          <w:rtl/>
        </w:rPr>
        <w:t>(9)</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رَجُلٍ بَاعَ بَيْعاً إِلى ثَلَاثِ سِنِينَ مِنْ رَجُلٍ مَلِيٍّ بِحَقِّهِ وَمَالِهِ فِي ثِقَةٍ : يُزَكِّي ذلِكَ الْمَالَ فِي كُلِّ سَنَةٍ تَمُرُّ بِهِ ، أَوْ يُزَكِّيهِ إِذَا أَخَذَهُ</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(10)</w:t>
      </w:r>
      <w:r w:rsidRPr="00020424">
        <w:rPr>
          <w:rtl/>
          <w:lang w:bidi="fa-IR"/>
        </w:rPr>
        <w:t xml:space="preserve"> : « لَا بَلْ يُزَكِّيهِ إِذَا أَخَذَهُ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لَهُ </w:t>
      </w:r>
      <w:r w:rsidRPr="00A91B96">
        <w:rPr>
          <w:rStyle w:val="libFootnotenumChar"/>
          <w:rtl/>
        </w:rPr>
        <w:t>(11)</w:t>
      </w:r>
      <w:r w:rsidRPr="00020424">
        <w:rPr>
          <w:rtl/>
          <w:lang w:bidi="fa-IR"/>
        </w:rPr>
        <w:t xml:space="preserve"> : لِكَمْ </w:t>
      </w:r>
      <w:r w:rsidRPr="00A91B96">
        <w:rPr>
          <w:rStyle w:val="libFootnotenumChar"/>
          <w:rtl/>
        </w:rPr>
        <w:t>(12)</w:t>
      </w:r>
      <w:r w:rsidRPr="00020424">
        <w:rPr>
          <w:rtl/>
          <w:lang w:bidi="fa-IR"/>
        </w:rPr>
        <w:t xml:space="preserve"> يُزَكِّيهِ </w:t>
      </w:r>
      <w:r w:rsidRPr="00A91B96">
        <w:rPr>
          <w:rStyle w:val="libFootnotenumChar"/>
          <w:rtl/>
        </w:rPr>
        <w:t>(13)</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 جميعاً</w:t>
      </w:r>
      <w:r w:rsidR="00992664">
        <w:rPr>
          <w:rtl/>
        </w:rPr>
        <w:t xml:space="preserve"> ».</w:t>
      </w:r>
    </w:p>
    <w:p w:rsidR="00992664" w:rsidRPr="00020424" w:rsidRDefault="00795177" w:rsidP="00E06CC9">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33 ، ح 85 ، معلّقاً عن الكليني </w:t>
      </w:r>
      <w:r w:rsidR="005E43DC">
        <w:rPr>
          <w:rFonts w:hint="cs"/>
          <w:rtl/>
        </w:rPr>
        <w:t>.</w:t>
      </w:r>
      <w:r w:rsidR="00992664" w:rsidRPr="0012008A">
        <w:rPr>
          <w:rStyle w:val="libFootnoteBoldChar"/>
          <w:rtl/>
        </w:rPr>
        <w:t>الوافي</w:t>
      </w:r>
      <w:r w:rsidR="00992664" w:rsidRPr="00020424">
        <w:rPr>
          <w:rtl/>
        </w:rPr>
        <w:t xml:space="preserve"> ، ج 10 ، ص 116 ، ح 9264 ؛ </w:t>
      </w:r>
      <w:r w:rsidR="00992664" w:rsidRPr="0012008A">
        <w:rPr>
          <w:rStyle w:val="libFootnoteBoldChar"/>
          <w:rtl/>
        </w:rPr>
        <w:t>الوسائل</w:t>
      </w:r>
      <w:r w:rsidR="00992664" w:rsidRPr="00020424">
        <w:rPr>
          <w:rtl/>
        </w:rPr>
        <w:t xml:space="preserve"> ، ج 9 ، ص 100 ، ح 11625.</w:t>
      </w:r>
      <w:r w:rsidR="00F8340F">
        <w:rPr>
          <w:rFonts w:hint="cs"/>
          <w:rtl/>
        </w:rPr>
        <w:t xml:space="preserve">           </w:t>
      </w:r>
      <w:r w:rsidR="00E06CC9">
        <w:rPr>
          <w:rFonts w:hint="cs"/>
          <w:rtl/>
        </w:rPr>
        <w:t xml:space="preserve">    </w:t>
      </w:r>
      <w:r>
        <w:rPr>
          <w:rtl/>
        </w:rPr>
        <w:t>(3).</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فهل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417E5" w:rsidTr="00D417E5">
        <w:tc>
          <w:tcPr>
            <w:tcW w:w="4006" w:type="dxa"/>
          </w:tcPr>
          <w:p w:rsidR="00D417E5" w:rsidRDefault="00D417E5" w:rsidP="00992664">
            <w:pPr>
              <w:pStyle w:val="libFootnote0"/>
              <w:rPr>
                <w:rtl/>
              </w:rPr>
            </w:pPr>
            <w:r>
              <w:rPr>
                <w:rtl/>
              </w:rPr>
              <w:t>(4). في «بث ، بخ، بر،بس ،بف</w:t>
            </w:r>
            <w:r w:rsidRPr="00020424">
              <w:rPr>
                <w:rtl/>
              </w:rPr>
              <w:t xml:space="preserve">» </w:t>
            </w:r>
            <w:r w:rsidRPr="00515444">
              <w:rPr>
                <w:rStyle w:val="libFootnoteBoldChar"/>
                <w:rtl/>
              </w:rPr>
              <w:t>والوافي</w:t>
            </w:r>
            <w:r w:rsidRPr="00020424">
              <w:rPr>
                <w:rtl/>
              </w:rPr>
              <w:t xml:space="preserve"> : « قال</w:t>
            </w:r>
            <w:r>
              <w:rPr>
                <w:rtl/>
              </w:rPr>
              <w:t xml:space="preserve"> ».</w:t>
            </w:r>
          </w:p>
        </w:tc>
        <w:tc>
          <w:tcPr>
            <w:tcW w:w="4006" w:type="dxa"/>
          </w:tcPr>
          <w:p w:rsidR="00D417E5" w:rsidRDefault="00D417E5" w:rsidP="00992664">
            <w:pPr>
              <w:pStyle w:val="libFootnote0"/>
              <w:rPr>
                <w:rtl/>
              </w:rPr>
            </w:pPr>
            <w:r>
              <w:rPr>
                <w:rtl/>
              </w:rPr>
              <w:t xml:space="preserve">(5). </w:t>
            </w:r>
            <w:r w:rsidRPr="00020424">
              <w:rPr>
                <w:rtl/>
              </w:rPr>
              <w:t xml:space="preserve">في « بث ، بخ ، بر ، بف » </w:t>
            </w:r>
            <w:r w:rsidRPr="00515444">
              <w:rPr>
                <w:rStyle w:val="libFootnoteBoldChar"/>
                <w:rtl/>
              </w:rPr>
              <w:t>والوافي</w:t>
            </w:r>
            <w:r w:rsidRPr="00020424">
              <w:rPr>
                <w:rtl/>
              </w:rPr>
              <w:t xml:space="preserve"> : « إن</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فزكّاه</w:t>
      </w:r>
      <w:r w:rsidR="00992664">
        <w:rPr>
          <w:rtl/>
        </w:rPr>
        <w:t xml:space="preserve"> ».</w:t>
      </w:r>
    </w:p>
    <w:p w:rsidR="00992664" w:rsidRPr="00020424" w:rsidRDefault="00795177" w:rsidP="008F13FF">
      <w:pPr>
        <w:pStyle w:val="libFootnote0"/>
        <w:rPr>
          <w:rtl/>
          <w:lang w:bidi="fa-IR"/>
        </w:rPr>
      </w:pPr>
      <w:r>
        <w:rPr>
          <w:rtl/>
        </w:rPr>
        <w:t>(7).</w:t>
      </w:r>
      <w:r w:rsidR="0014403D">
        <w:rPr>
          <w:rtl/>
        </w:rPr>
        <w:t xml:space="preserve"> </w:t>
      </w:r>
      <w:r w:rsidR="00992664" w:rsidRPr="00E57529">
        <w:rPr>
          <w:rtl/>
        </w:rPr>
        <w:t>قرب الإسناد</w:t>
      </w:r>
      <w:r w:rsidR="00992664" w:rsidRPr="00020424">
        <w:rPr>
          <w:rtl/>
        </w:rPr>
        <w:t xml:space="preserve"> ، ص 30 ، ح 98 ، بسند آخر ، وتمام الرواية فيه : « قلت لأبي عبدالله </w:t>
      </w:r>
      <w:r w:rsidR="00992664" w:rsidRPr="00D64ADA">
        <w:rPr>
          <w:rStyle w:val="libFootnoteAlaemChar"/>
          <w:rtl/>
        </w:rPr>
        <w:t>عليه‌السلام</w:t>
      </w:r>
      <w:r w:rsidR="00992664" w:rsidRPr="00020424">
        <w:rPr>
          <w:rtl/>
        </w:rPr>
        <w:t xml:space="preserve"> ، الرجل يكون عنده المال قرضاً فيحول عليه الحول عليه زكاة</w:t>
      </w:r>
      <w:r w:rsidR="00992664">
        <w:rPr>
          <w:rtl/>
        </w:rPr>
        <w:t>؟</w:t>
      </w:r>
      <w:r w:rsidR="00992664" w:rsidRPr="00020424">
        <w:rPr>
          <w:rtl/>
        </w:rPr>
        <w:t xml:space="preserve"> قال : نعم » </w:t>
      </w:r>
      <w:r w:rsidR="008F13FF">
        <w:rPr>
          <w:rFonts w:hint="cs"/>
          <w:rtl/>
        </w:rPr>
        <w:t>.</w:t>
      </w:r>
      <w:r w:rsidR="00992664" w:rsidRPr="0012008A">
        <w:rPr>
          <w:rStyle w:val="libFootnoteBoldChar"/>
          <w:rtl/>
        </w:rPr>
        <w:t>الوافي</w:t>
      </w:r>
      <w:r w:rsidR="00992664" w:rsidRPr="00020424">
        <w:rPr>
          <w:rtl/>
        </w:rPr>
        <w:t xml:space="preserve"> ، ج 10 ، ص 117 ، ح 9265 ؛ </w:t>
      </w:r>
      <w:r w:rsidR="00992664" w:rsidRPr="0012008A">
        <w:rPr>
          <w:rStyle w:val="libFootnoteBoldChar"/>
          <w:rtl/>
        </w:rPr>
        <w:t>الوسائل</w:t>
      </w:r>
      <w:r w:rsidR="00992664" w:rsidRPr="00020424">
        <w:rPr>
          <w:rtl/>
        </w:rPr>
        <w:t xml:space="preserve"> ، ج 9 ، ص 101 ، ح 11627.</w:t>
      </w:r>
      <w:r w:rsidR="00F8340F">
        <w:rPr>
          <w:rFonts w:hint="cs"/>
          <w:rtl/>
        </w:rPr>
        <w:t xml:space="preserve">                      </w:t>
      </w:r>
      <w:r w:rsidR="008F13FF">
        <w:rPr>
          <w:rFonts w:hint="cs"/>
          <w:rtl/>
        </w:rPr>
        <w:t xml:space="preserve">     </w:t>
      </w:r>
      <w:r>
        <w:rPr>
          <w:rtl/>
        </w:rPr>
        <w:t>(8).</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بخ ، بر ، بف » : « سعيد</w:t>
      </w:r>
      <w:r w:rsidR="00992664">
        <w:rPr>
          <w:rtl/>
        </w:rPr>
        <w:t xml:space="preserve"> ».</w:t>
      </w:r>
      <w:r w:rsidR="00992664" w:rsidRPr="00020424">
        <w:rPr>
          <w:rtl/>
        </w:rPr>
        <w:t xml:space="preserve"> والظاهر أنّه سهو. لاحظ ما يأتي في </w:t>
      </w:r>
      <w:r w:rsidR="00992664" w:rsidRPr="00E57529">
        <w:rPr>
          <w:rtl/>
        </w:rPr>
        <w:t>الكافي</w:t>
      </w:r>
      <w:r w:rsidR="00992664" w:rsidRPr="00020424">
        <w:rPr>
          <w:rtl/>
        </w:rPr>
        <w:t xml:space="preserve"> ، ذيل ح 7622.</w:t>
      </w:r>
    </w:p>
    <w:tbl>
      <w:tblPr>
        <w:tblStyle w:val="TableGrid"/>
        <w:bidiVisual/>
        <w:tblW w:w="0" w:type="auto"/>
        <w:tblLook w:val="04A0" w:firstRow="1" w:lastRow="0" w:firstColumn="1" w:lastColumn="0" w:noHBand="0" w:noVBand="1"/>
      </w:tblPr>
      <w:tblGrid>
        <w:gridCol w:w="4006"/>
        <w:gridCol w:w="4006"/>
      </w:tblGrid>
      <w:tr w:rsidR="008F13FF" w:rsidTr="008F13FF">
        <w:tc>
          <w:tcPr>
            <w:tcW w:w="4006" w:type="dxa"/>
          </w:tcPr>
          <w:p w:rsidR="008F13FF" w:rsidRDefault="008F13FF" w:rsidP="00992664">
            <w:pPr>
              <w:pStyle w:val="libFootnote0"/>
              <w:rPr>
                <w:rtl/>
              </w:rPr>
            </w:pPr>
            <w:r>
              <w:rPr>
                <w:rtl/>
              </w:rPr>
              <w:t>(10). في « بخ ، بر ، بس ، بف</w:t>
            </w:r>
            <w:r w:rsidRPr="00020424">
              <w:rPr>
                <w:rtl/>
              </w:rPr>
              <w:t xml:space="preserve">» </w:t>
            </w:r>
            <w:r w:rsidRPr="00515444">
              <w:rPr>
                <w:rStyle w:val="libFootnoteBoldChar"/>
                <w:rtl/>
              </w:rPr>
              <w:t>والوافي</w:t>
            </w:r>
            <w:r>
              <w:rPr>
                <w:rtl/>
              </w:rPr>
              <w:t xml:space="preserve"> : «</w:t>
            </w:r>
            <w:r w:rsidRPr="00020424">
              <w:rPr>
                <w:rtl/>
              </w:rPr>
              <w:t>قال</w:t>
            </w:r>
            <w:r>
              <w:rPr>
                <w:rtl/>
              </w:rPr>
              <w:t xml:space="preserve"> ».</w:t>
            </w:r>
          </w:p>
        </w:tc>
        <w:tc>
          <w:tcPr>
            <w:tcW w:w="4006" w:type="dxa"/>
          </w:tcPr>
          <w:p w:rsidR="008F13FF" w:rsidRDefault="008F13FF" w:rsidP="00992664">
            <w:pPr>
              <w:pStyle w:val="libFootnote0"/>
              <w:rPr>
                <w:rtl/>
              </w:rPr>
            </w:pPr>
            <w:r>
              <w:rPr>
                <w:rtl/>
              </w:rPr>
              <w:t xml:space="preserve">(11).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جن » : « إلى كم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ى ، بس » </w:t>
      </w:r>
      <w:r w:rsidR="00992664" w:rsidRPr="00515444">
        <w:rPr>
          <w:rStyle w:val="libFootnoteBoldChar"/>
          <w:rtl/>
        </w:rPr>
        <w:t>والوافي</w:t>
      </w:r>
      <w:r w:rsidR="00992664" w:rsidRPr="00020424">
        <w:rPr>
          <w:rtl/>
        </w:rPr>
        <w:t xml:space="preserve"> : + « إذا أخذه</w:t>
      </w:r>
      <w:r w:rsidR="00992664">
        <w:rPr>
          <w:rtl/>
        </w:rPr>
        <w:t xml:space="preserve"> ».</w:t>
      </w:r>
      <w:r w:rsidR="00992664" w:rsidRPr="00020424">
        <w:rPr>
          <w:rtl/>
        </w:rPr>
        <w:t xml:space="preserve"> وفي « بخ » : « تزكّيه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w:t>
      </w:r>
      <w:r w:rsidRPr="00A91B96">
        <w:rPr>
          <w:rStyle w:val="libFootnotenumChar"/>
          <w:rtl/>
        </w:rPr>
        <w:t>(1)</w:t>
      </w:r>
      <w:r w:rsidRPr="00020424">
        <w:rPr>
          <w:rtl/>
          <w:lang w:bidi="fa-IR"/>
        </w:rPr>
        <w:t xml:space="preserve"> : « لِثَلَاثِ سِنِينَ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E57529">
        <w:rPr>
          <w:rtl/>
        </w:rPr>
        <w:t>5816</w:t>
      </w:r>
      <w:r w:rsidRPr="001155DE">
        <w:rPr>
          <w:rStyle w:val="libBold2Char"/>
          <w:rtl/>
        </w:rPr>
        <w:t xml:space="preserve"> / 9.</w:t>
      </w:r>
      <w:r w:rsidRPr="00020424">
        <w:rPr>
          <w:rtl/>
          <w:lang w:bidi="fa-IR"/>
        </w:rPr>
        <w:t xml:space="preserve"> عِدَّةٌ مِنْ أَصْحَابِنَا ، عَنْ أَحْمَدَ بْنِ مُحَمَّدٍ ، عَنِ الْحُسَيْنِ بْنِ سَعِيدٍ ، عَنْ فَضَالَةَ بْنِ أَيُّوبَ </w:t>
      </w:r>
      <w:r w:rsidRPr="00A91B96">
        <w:rPr>
          <w:rStyle w:val="libFootnotenumChar"/>
          <w:rtl/>
        </w:rPr>
        <w:t>(4)</w:t>
      </w:r>
      <w:r w:rsidRPr="00020424">
        <w:rPr>
          <w:rtl/>
          <w:lang w:bidi="fa-IR"/>
        </w:rPr>
        <w:t xml:space="preserve"> ، عَنْ أَبَانِ بْنِ عُثْمَانَ </w:t>
      </w:r>
      <w:r w:rsidRPr="00A91B96">
        <w:rPr>
          <w:rStyle w:val="libFootnotenumChar"/>
          <w:rtl/>
        </w:rPr>
        <w:t>(5)</w:t>
      </w:r>
      <w:r w:rsidRPr="00020424">
        <w:rPr>
          <w:rtl/>
          <w:lang w:bidi="fa-IR"/>
        </w:rPr>
        <w:t xml:space="preserve"> ، عَمَّنْ أَخْبَرَهُ ، قَالَ :</w:t>
      </w:r>
    </w:p>
    <w:p w:rsidR="00992664" w:rsidRPr="00020424" w:rsidRDefault="00992664" w:rsidP="00992664">
      <w:pPr>
        <w:pStyle w:val="libNormal"/>
        <w:rPr>
          <w:rtl/>
          <w:lang w:bidi="fa-IR"/>
        </w:rPr>
      </w:pPr>
      <w:r w:rsidRPr="00020424">
        <w:rPr>
          <w:rtl/>
          <w:lang w:bidi="fa-IR"/>
        </w:rPr>
        <w:t xml:space="preserve">سَأَلْتُ أَحَدَهُمَا </w:t>
      </w:r>
      <w:r w:rsidRPr="00005A81">
        <w:rPr>
          <w:rStyle w:val="libAlaemChar"/>
          <w:rtl/>
        </w:rPr>
        <w:t>عليهما‌السلام</w:t>
      </w:r>
      <w:r w:rsidRPr="00020424">
        <w:rPr>
          <w:rtl/>
          <w:lang w:bidi="fa-IR"/>
        </w:rPr>
        <w:t xml:space="preserve"> عَنْ رَجُلٍ عَلَيْهِ دَيْنٌ ، وَفِي يَدِهِ مَالٌ وَفى بِدَيْنِهِ ، وَالْمَالُ لِغَيْرِهِ ، هَلْ عَلَيْهِ 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إِذَا اسْتَقْرَضَ ، فَحَالَ عَلَيْهِ الْحَوْلُ ، فَزَكَاتُهُ </w:t>
      </w:r>
      <w:r w:rsidRPr="00A91B96">
        <w:rPr>
          <w:rStyle w:val="libFootnotenumChar"/>
          <w:rtl/>
        </w:rPr>
        <w:t>(7)</w:t>
      </w:r>
      <w:r w:rsidRPr="00020424">
        <w:rPr>
          <w:rtl/>
          <w:lang w:bidi="fa-IR"/>
        </w:rPr>
        <w:t xml:space="preserve"> عَلَيْهِ إِذَا كَانَ فِيهِ فَضْلٌ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E57529">
        <w:rPr>
          <w:rtl/>
        </w:rPr>
        <w:t>5817</w:t>
      </w:r>
      <w:r w:rsidRPr="001155DE">
        <w:rPr>
          <w:rStyle w:val="libBold2Char"/>
          <w:rtl/>
        </w:rPr>
        <w:t xml:space="preserve"> / 10.</w:t>
      </w:r>
      <w:r w:rsidRPr="00020424">
        <w:rPr>
          <w:rtl/>
          <w:lang w:bidi="fa-IR"/>
        </w:rPr>
        <w:t xml:space="preserve"> مُحَمَّدُ بْنُ يَحْيى ، عَنْ أَحْمَدَ بْنِ مُحَمَّدٍ ، عَنْ عَلِيِّ بْنِ الْحَكَمِ ، عَنْ عَلِيِّ بْنِ أَبِي حَمْزَةَ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w:t>
      </w:r>
      <w:r w:rsidRPr="00A91B96">
        <w:rPr>
          <w:rStyle w:val="libFootnotenumChar"/>
          <w:rtl/>
        </w:rPr>
        <w:t>(10)</w:t>
      </w:r>
      <w:r w:rsidRPr="00020424">
        <w:rPr>
          <w:rtl/>
          <w:lang w:bidi="fa-IR"/>
        </w:rPr>
        <w:t xml:space="preserve"> كَانَ عِنْدَكَ وَدِيعَةٌ تُحَرِّكُهَا </w:t>
      </w:r>
      <w:r w:rsidRPr="00A91B96">
        <w:rPr>
          <w:rStyle w:val="libFootnotenumChar"/>
          <w:rtl/>
        </w:rPr>
        <w:t>(11)</w:t>
      </w:r>
      <w:r w:rsidRPr="00020424">
        <w:rPr>
          <w:rtl/>
          <w:lang w:bidi="fa-IR"/>
        </w:rPr>
        <w:t xml:space="preserve"> ، فَعَلَيْكَ الزَّكَاةُ ؛ فَإِنْ </w:t>
      </w:r>
      <w:r w:rsidRPr="00A91B96">
        <w:rPr>
          <w:rStyle w:val="libFootnotenumChar"/>
          <w:rtl/>
        </w:rPr>
        <w:t>(12)</w:t>
      </w:r>
      <w:r w:rsidRPr="00020424">
        <w:rPr>
          <w:rtl/>
          <w:lang w:bidi="fa-IR"/>
        </w:rPr>
        <w:t xml:space="preserve"> لَمْ تُحَرِّكْهَا ، فَلَيْسَ عَلَيْكَ شَيْ‌ءٌ</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ظ ، ى ، بث ، بخ ، بر ، بس ، بف » </w:t>
      </w:r>
      <w:r w:rsidR="00992664" w:rsidRPr="00515444">
        <w:rPr>
          <w:rStyle w:val="libFootnoteBoldChar"/>
          <w:rtl/>
        </w:rPr>
        <w:t>والوافي</w:t>
      </w:r>
      <w:r w:rsidR="00992664" w:rsidRPr="00020424">
        <w:rPr>
          <w:rtl/>
        </w:rPr>
        <w:t>. وفي بعض النسخ والمطبوع : « قال : قال</w:t>
      </w:r>
      <w:r w:rsidR="00992664">
        <w:rPr>
          <w:rtl/>
        </w:rPr>
        <w:t xml:space="preserve"> ».</w:t>
      </w:r>
      <w:r w:rsidR="00992664" w:rsidRPr="00020424">
        <w:rPr>
          <w:rtl/>
        </w:rPr>
        <w:t xml:space="preserve"> وفي « بف » : « فقال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ينبغي حمله على ما إذا كان تأخير القبض من قبله ، أو كان ماله مال تجارة وليس فيه وضيعة عن رأس المال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117 ، ح 9266 ؛ </w:t>
      </w:r>
      <w:r w:rsidR="00992664" w:rsidRPr="0012008A">
        <w:rPr>
          <w:rStyle w:val="libFootnoteBoldChar"/>
          <w:rtl/>
        </w:rPr>
        <w:t>الوسائل</w:t>
      </w:r>
      <w:r w:rsidR="00992664" w:rsidRPr="00020424">
        <w:rPr>
          <w:rtl/>
        </w:rPr>
        <w:t xml:space="preserve"> ، ج 9 ، ص 98 ، ح 11617.</w:t>
      </w:r>
    </w:p>
    <w:tbl>
      <w:tblPr>
        <w:tblStyle w:val="TableGrid"/>
        <w:bidiVisual/>
        <w:tblW w:w="0" w:type="auto"/>
        <w:tblLook w:val="04A0" w:firstRow="1" w:lastRow="0" w:firstColumn="1" w:lastColumn="0" w:noHBand="0" w:noVBand="1"/>
      </w:tblPr>
      <w:tblGrid>
        <w:gridCol w:w="4006"/>
        <w:gridCol w:w="4006"/>
      </w:tblGrid>
      <w:tr w:rsidR="00F308C5" w:rsidTr="00F308C5">
        <w:tc>
          <w:tcPr>
            <w:tcW w:w="4006" w:type="dxa"/>
          </w:tcPr>
          <w:p w:rsidR="00F308C5" w:rsidRDefault="00F308C5" w:rsidP="00992664">
            <w:pPr>
              <w:pStyle w:val="libFootnote0"/>
              <w:rPr>
                <w:rtl/>
              </w:rPr>
            </w:pPr>
            <w:r>
              <w:rPr>
                <w:rtl/>
              </w:rPr>
              <w:t>(4). في «بر ، بف»وحاشية « بث»</w:t>
            </w:r>
            <w:r w:rsidRPr="00020424">
              <w:rPr>
                <w:rtl/>
              </w:rPr>
              <w:t>:</w:t>
            </w:r>
            <w:r>
              <w:rPr>
                <w:rtl/>
              </w:rPr>
              <w:t xml:space="preserve"> - </w:t>
            </w:r>
            <w:r w:rsidRPr="00020424">
              <w:rPr>
                <w:rtl/>
              </w:rPr>
              <w:t>« بن أيّوب</w:t>
            </w:r>
            <w:r>
              <w:rPr>
                <w:rtl/>
              </w:rPr>
              <w:t xml:space="preserve"> ».</w:t>
            </w:r>
          </w:p>
        </w:tc>
        <w:tc>
          <w:tcPr>
            <w:tcW w:w="4006" w:type="dxa"/>
          </w:tcPr>
          <w:p w:rsidR="00F308C5" w:rsidRDefault="00F308C5" w:rsidP="00992664">
            <w:pPr>
              <w:pStyle w:val="libFootnote0"/>
              <w:rPr>
                <w:rtl/>
              </w:rPr>
            </w:pPr>
            <w:r>
              <w:rPr>
                <w:rtl/>
              </w:rPr>
              <w:t xml:space="preserve">(5). </w:t>
            </w:r>
            <w:r w:rsidRPr="00020424">
              <w:rPr>
                <w:rtl/>
              </w:rPr>
              <w:t>في « بف » :</w:t>
            </w:r>
            <w:r>
              <w:rPr>
                <w:rtl/>
              </w:rPr>
              <w:t xml:space="preserve"> - </w:t>
            </w:r>
            <w:r w:rsidRPr="00020424">
              <w:rPr>
                <w:rtl/>
              </w:rPr>
              <w:t>« بن عثمان</w:t>
            </w:r>
            <w:r>
              <w:rPr>
                <w:rtl/>
              </w:rPr>
              <w:t xml:space="preserve"> ».</w:t>
            </w:r>
          </w:p>
        </w:tc>
      </w:tr>
      <w:tr w:rsidR="00F308C5" w:rsidTr="00F308C5">
        <w:tc>
          <w:tcPr>
            <w:tcW w:w="4006" w:type="dxa"/>
          </w:tcPr>
          <w:p w:rsidR="00F308C5" w:rsidRDefault="00F308C5" w:rsidP="00992664">
            <w:pPr>
              <w:pStyle w:val="libFootnote0"/>
              <w:rPr>
                <w:rtl/>
              </w:rPr>
            </w:pPr>
            <w:r>
              <w:rPr>
                <w:rtl/>
              </w:rPr>
              <w:t xml:space="preserve">(6). </w:t>
            </w:r>
            <w:r w:rsidRPr="00020424">
              <w:rPr>
                <w:rtl/>
              </w:rPr>
              <w:t>في « بخ ، بس » : « قال</w:t>
            </w:r>
            <w:r>
              <w:rPr>
                <w:rtl/>
              </w:rPr>
              <w:t xml:space="preserve"> ».</w:t>
            </w:r>
          </w:p>
        </w:tc>
        <w:tc>
          <w:tcPr>
            <w:tcW w:w="4006" w:type="dxa"/>
          </w:tcPr>
          <w:p w:rsidR="00F308C5" w:rsidRDefault="00F308C5" w:rsidP="00992664">
            <w:pPr>
              <w:pStyle w:val="libFootnote0"/>
              <w:rPr>
                <w:rtl/>
              </w:rPr>
            </w:pPr>
            <w:r>
              <w:rPr>
                <w:rtl/>
              </w:rPr>
              <w:t xml:space="preserve">(7). </w:t>
            </w:r>
            <w:r w:rsidRPr="00020424">
              <w:rPr>
                <w:rtl/>
              </w:rPr>
              <w:t>في « بخ » : « فتزكّونه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المستفاد من قوله </w:t>
      </w:r>
      <w:r w:rsidR="00992664" w:rsidRPr="00D64ADA">
        <w:rPr>
          <w:rStyle w:val="libFootnoteAlaemChar"/>
          <w:rtl/>
        </w:rPr>
        <w:t>عليه‌السلام</w:t>
      </w:r>
      <w:r w:rsidR="00992664" w:rsidRPr="00020424">
        <w:rPr>
          <w:rtl/>
        </w:rPr>
        <w:t xml:space="preserve"> : إذا كان فيه فضل ، أنّه إذا لم يفضل عن دينه فلا زكاة عليه ، وهو ينافي عموم الأخبار السابقة وخصوص خبر زرارة وضريس الآتي</w:t>
      </w:r>
      <w:r w:rsidR="00992664">
        <w:rPr>
          <w:rtl/>
        </w:rPr>
        <w:t xml:space="preserve"> </w:t>
      </w:r>
      <w:r w:rsidR="009B673F">
        <w:rPr>
          <w:rtl/>
        </w:rPr>
        <w:t>-</w:t>
      </w:r>
      <w:r w:rsidR="00992664">
        <w:rPr>
          <w:rtl/>
        </w:rPr>
        <w:t xml:space="preserve"> </w:t>
      </w:r>
      <w:r w:rsidR="00992664" w:rsidRPr="00020424">
        <w:rPr>
          <w:rtl/>
        </w:rPr>
        <w:t>وهما السادس والثالث عشر هنا</w:t>
      </w:r>
      <w:r w:rsidR="00992664">
        <w:rPr>
          <w:rtl/>
        </w:rPr>
        <w:t xml:space="preserve"> </w:t>
      </w:r>
      <w:r w:rsidR="009B673F">
        <w:rPr>
          <w:rtl/>
        </w:rPr>
        <w:t>-</w:t>
      </w:r>
      <w:r w:rsidR="00992664">
        <w:rPr>
          <w:rtl/>
        </w:rPr>
        <w:t xml:space="preserve"> </w:t>
      </w:r>
      <w:r w:rsidR="00992664" w:rsidRPr="00020424">
        <w:rPr>
          <w:rtl/>
        </w:rPr>
        <w:t>ويمكن توجيهه بحمله على مال التجارة ، أو ما إذا لم يفضل ماله عن الدين ، فإن زكّاه صار غارماً مستحقّاً للزكاة ، فلا تجب عليه الزكاة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118 ، ح 9267 ؛ </w:t>
      </w:r>
      <w:r w:rsidR="00992664" w:rsidRPr="0012008A">
        <w:rPr>
          <w:rStyle w:val="libFootnoteBoldChar"/>
          <w:rtl/>
        </w:rPr>
        <w:t>الوسائل</w:t>
      </w:r>
      <w:r w:rsidR="00992664" w:rsidRPr="00020424">
        <w:rPr>
          <w:rtl/>
        </w:rPr>
        <w:t xml:space="preserve"> ، ج 9 ، ص 101 ، ح 11628.</w:t>
      </w:r>
    </w:p>
    <w:tbl>
      <w:tblPr>
        <w:tblStyle w:val="TableGrid"/>
        <w:bidiVisual/>
        <w:tblW w:w="0" w:type="auto"/>
        <w:tblLook w:val="04A0" w:firstRow="1" w:lastRow="0" w:firstColumn="1" w:lastColumn="0" w:noHBand="0" w:noVBand="1"/>
      </w:tblPr>
      <w:tblGrid>
        <w:gridCol w:w="4006"/>
        <w:gridCol w:w="4006"/>
      </w:tblGrid>
      <w:tr w:rsidR="00946FB4" w:rsidTr="00946FB4">
        <w:tc>
          <w:tcPr>
            <w:tcW w:w="4006" w:type="dxa"/>
          </w:tcPr>
          <w:p w:rsidR="00946FB4" w:rsidRDefault="00946FB4" w:rsidP="00992664">
            <w:pPr>
              <w:pStyle w:val="libFootnote0"/>
              <w:rPr>
                <w:rtl/>
              </w:rPr>
            </w:pPr>
            <w:r>
              <w:rPr>
                <w:rtl/>
              </w:rPr>
              <w:t xml:space="preserve">(10). </w:t>
            </w:r>
            <w:r w:rsidRPr="00020424">
              <w:rPr>
                <w:rtl/>
              </w:rPr>
              <w:t>في « ى ، بس ، بف » : « إذا</w:t>
            </w:r>
            <w:r>
              <w:rPr>
                <w:rtl/>
              </w:rPr>
              <w:t xml:space="preserve"> ».</w:t>
            </w:r>
          </w:p>
        </w:tc>
        <w:tc>
          <w:tcPr>
            <w:tcW w:w="4006" w:type="dxa"/>
          </w:tcPr>
          <w:p w:rsidR="00946FB4" w:rsidRDefault="00946FB4" w:rsidP="00992664">
            <w:pPr>
              <w:pStyle w:val="libFootnote0"/>
              <w:rPr>
                <w:rtl/>
              </w:rPr>
            </w:pPr>
            <w:r>
              <w:rPr>
                <w:rtl/>
              </w:rPr>
              <w:t>(11). في «بخ ، بر</w:t>
            </w:r>
            <w:r w:rsidRPr="00020424">
              <w:rPr>
                <w:rtl/>
              </w:rPr>
              <w:t xml:space="preserve">» </w:t>
            </w:r>
            <w:r w:rsidRPr="00515444">
              <w:rPr>
                <w:rStyle w:val="libFootnoteBoldChar"/>
                <w:rtl/>
              </w:rPr>
              <w:t>والوافي</w:t>
            </w:r>
            <w:r w:rsidRPr="00020424">
              <w:rPr>
                <w:rtl/>
              </w:rPr>
              <w:t xml:space="preserve"> </w:t>
            </w:r>
            <w:r w:rsidRPr="00EB1FD9">
              <w:rPr>
                <w:rStyle w:val="libFootnoteBoldChar"/>
                <w:rtl/>
              </w:rPr>
              <w:t>والوسائل</w:t>
            </w:r>
            <w:r>
              <w:rPr>
                <w:rtl/>
              </w:rPr>
              <w:t xml:space="preserve"> :</w:t>
            </w:r>
            <w:r w:rsidRPr="00020424">
              <w:rPr>
                <w:rtl/>
              </w:rPr>
              <w:t>« فحرّكتها</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بث ، بخ » : « وإن</w:t>
      </w:r>
      <w:r w:rsidR="00992664">
        <w:rPr>
          <w:rtl/>
        </w:rPr>
        <w:t xml:space="preserve"> ».</w:t>
      </w:r>
      <w:r w:rsidR="00992664" w:rsidRPr="00020424">
        <w:rPr>
          <w:rtl/>
        </w:rPr>
        <w:t xml:space="preserve"> وفي « بس » : « وإذا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الوافي</w:t>
      </w:r>
      <w:r w:rsidR="00992664" w:rsidRPr="00020424">
        <w:rPr>
          <w:rtl/>
        </w:rPr>
        <w:t xml:space="preserve"> ، ج 10 ، ص 121 ، ح 9276 ؛ </w:t>
      </w:r>
      <w:r w:rsidR="00992664" w:rsidRPr="0012008A">
        <w:rPr>
          <w:rStyle w:val="libFootnoteBoldChar"/>
          <w:rtl/>
        </w:rPr>
        <w:t>الوسائل</w:t>
      </w:r>
      <w:r w:rsidR="00992664" w:rsidRPr="00020424">
        <w:rPr>
          <w:rtl/>
        </w:rPr>
        <w:t xml:space="preserve"> ، ج 9 ، ص 103 ، ح 11632.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57529">
        <w:rPr>
          <w:rtl/>
        </w:rPr>
        <w:lastRenderedPageBreak/>
        <w:t>5818</w:t>
      </w:r>
      <w:r w:rsidRPr="001155DE">
        <w:rPr>
          <w:rStyle w:val="libBold2Char"/>
          <w:rtl/>
        </w:rPr>
        <w:t xml:space="preserve"> / 11.</w:t>
      </w:r>
      <w:r w:rsidRPr="00020424">
        <w:rPr>
          <w:rtl/>
          <w:lang w:bidi="fa-IR"/>
        </w:rPr>
        <w:t xml:space="preserve"> غَيْرُ وَاحِدٍ مِنْ أَصْحَابِنَا </w:t>
      </w:r>
      <w:r w:rsidRPr="00A91B96">
        <w:rPr>
          <w:rStyle w:val="libFootnotenumChar"/>
          <w:rtl/>
        </w:rPr>
        <w:t>(1)</w:t>
      </w:r>
      <w:r w:rsidRPr="00020424">
        <w:rPr>
          <w:rtl/>
          <w:lang w:bidi="fa-IR"/>
        </w:rPr>
        <w:t xml:space="preserve"> ، عَنْ سَهْلِ بْنِ زِيَادٍ ، عَنْ عَلِيِّ بْنِ مَهْزِيَارَ ، قَالَ :</w:t>
      </w:r>
    </w:p>
    <w:p w:rsidR="00992664" w:rsidRPr="00020424" w:rsidRDefault="00992664" w:rsidP="00992664">
      <w:pPr>
        <w:pStyle w:val="libNormal"/>
        <w:rPr>
          <w:rtl/>
          <w:lang w:bidi="fa-IR"/>
        </w:rPr>
      </w:pPr>
      <w:r w:rsidRPr="00020424">
        <w:rPr>
          <w:rtl/>
          <w:lang w:bidi="fa-IR"/>
        </w:rPr>
        <w:t xml:space="preserve">كَتَبْتُ إِلَيْهِ أَسْأَلُهُ عَنْ </w:t>
      </w:r>
      <w:r w:rsidRPr="00A91B96">
        <w:rPr>
          <w:rStyle w:val="libFootnotenumChar"/>
          <w:rtl/>
        </w:rPr>
        <w:t>(2)</w:t>
      </w:r>
      <w:r w:rsidRPr="00020424">
        <w:rPr>
          <w:rtl/>
          <w:lang w:bidi="fa-IR"/>
        </w:rPr>
        <w:t xml:space="preserve"> رَجُلٍ عَلَيْهِ مَهْرُ امْرَأَتِهِ لَاتَطْلُبُهُ مِنْهُ إِمَّا لِرِفْقٍ بِزَوْجِهَا ، وَإِمَّا حَيَاءً </w:t>
      </w:r>
      <w:r w:rsidRPr="00A91B96">
        <w:rPr>
          <w:rStyle w:val="libFootnotenumChar"/>
          <w:rtl/>
        </w:rPr>
        <w:t>(3)</w:t>
      </w:r>
      <w:r w:rsidRPr="00020424">
        <w:rPr>
          <w:rtl/>
          <w:lang w:bidi="fa-IR"/>
        </w:rPr>
        <w:t xml:space="preserve"> ، فَمَكَثَ بِذلِكَ عَلَى الرَّجُلِ عُمُرَهُ وَعُمُرَهَا : يَجِبُ </w:t>
      </w:r>
      <w:r w:rsidRPr="00A91B96">
        <w:rPr>
          <w:rStyle w:val="libFootnotenumChar"/>
          <w:rtl/>
        </w:rPr>
        <w:t>(4)</w:t>
      </w:r>
      <w:r w:rsidRPr="00020424">
        <w:rPr>
          <w:rtl/>
          <w:lang w:bidi="fa-IR"/>
        </w:rPr>
        <w:t xml:space="preserve"> عَلَيْهِ زَكَاةُ ذلِكَ الْمَهْرِ ، أَمْ لَا</w:t>
      </w:r>
      <w:r>
        <w:rPr>
          <w:rtl/>
          <w:lang w:bidi="fa-IR"/>
        </w:rPr>
        <w:t>؟</w:t>
      </w:r>
    </w:p>
    <w:p w:rsidR="00992664" w:rsidRPr="00020424" w:rsidRDefault="00992664" w:rsidP="00992664">
      <w:pPr>
        <w:pStyle w:val="libNormal"/>
        <w:rPr>
          <w:rtl/>
          <w:lang w:bidi="fa-IR"/>
        </w:rPr>
      </w:pPr>
      <w:r w:rsidRPr="00020424">
        <w:rPr>
          <w:rtl/>
          <w:lang w:bidi="fa-IR"/>
        </w:rPr>
        <w:t xml:space="preserve">فَكَتَبَ : « لَا يَجِبُ </w:t>
      </w:r>
      <w:r w:rsidRPr="00A91B96">
        <w:rPr>
          <w:rStyle w:val="libFootnotenumChar"/>
          <w:rtl/>
        </w:rPr>
        <w:t>(5)</w:t>
      </w:r>
      <w:r w:rsidR="003410C1">
        <w:rPr>
          <w:rtl/>
          <w:lang w:bidi="fa-IR"/>
        </w:rPr>
        <w:t xml:space="preserve"> عَلَيْهِ الزَّكَاةُ إِل</w:t>
      </w:r>
      <w:r w:rsidR="003410C1">
        <w:rPr>
          <w:rFonts w:hint="cs"/>
          <w:rtl/>
          <w:lang w:bidi="fa-IR"/>
        </w:rPr>
        <w:t>َّ</w:t>
      </w:r>
      <w:r w:rsidR="003410C1">
        <w:rPr>
          <w:rtl/>
          <w:lang w:bidi="fa-IR"/>
        </w:rPr>
        <w:t>ا</w:t>
      </w:r>
      <w:r w:rsidRPr="00020424">
        <w:rPr>
          <w:rtl/>
          <w:lang w:bidi="fa-IR"/>
        </w:rPr>
        <w:t xml:space="preserve"> فِي مَالِهِ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E57529">
        <w:rPr>
          <w:rtl/>
        </w:rPr>
        <w:t>5819</w:t>
      </w:r>
      <w:r w:rsidRPr="001155DE">
        <w:rPr>
          <w:rStyle w:val="libBold2Char"/>
          <w:rtl/>
        </w:rPr>
        <w:t xml:space="preserve"> / 12.</w:t>
      </w:r>
      <w:r w:rsidRPr="00020424">
        <w:rPr>
          <w:rtl/>
          <w:lang w:bidi="fa-IR"/>
        </w:rPr>
        <w:t xml:space="preserve"> عِدَّةٌ مِنْ أَصْحَابِنَا ، عَنْ أَحْمَدَ بْنِ مُحَمَّدٍ ، عَنِ الْحُسَيْنِ بْنِ سَعِيدٍ ، عَنْ عَلِيِّ بْنِ النُّعْمَانِ ، عَنْ أَبِي الصَّبَّاحِ الْكِنَانِيِّ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w:t>
      </w:r>
      <w:r w:rsidRPr="00A91B96">
        <w:rPr>
          <w:rStyle w:val="libFootnotenumChar"/>
          <w:rtl/>
        </w:rPr>
        <w:t>(8)</w:t>
      </w:r>
      <w:r w:rsidRPr="00020424">
        <w:rPr>
          <w:rtl/>
          <w:lang w:bidi="fa-IR"/>
        </w:rPr>
        <w:t xml:space="preserve"> الرَّجُلِ يَنْسى </w:t>
      </w:r>
      <w:r w:rsidRPr="00A91B96">
        <w:rPr>
          <w:rStyle w:val="libFootnotenumChar"/>
          <w:rtl/>
        </w:rPr>
        <w:t>(9)</w:t>
      </w:r>
      <w:r w:rsidRPr="00020424">
        <w:rPr>
          <w:rtl/>
          <w:lang w:bidi="fa-IR"/>
        </w:rPr>
        <w:t xml:space="preserve"> ، أَوْ يُعَيِّنُ </w:t>
      </w:r>
      <w:r w:rsidRPr="00A91B96">
        <w:rPr>
          <w:rStyle w:val="libFootnotenumChar"/>
          <w:rtl/>
        </w:rPr>
        <w:t>(10)</w:t>
      </w:r>
      <w:r w:rsidRPr="00020424">
        <w:rPr>
          <w:rtl/>
          <w:lang w:bidi="fa-IR"/>
        </w:rPr>
        <w:t xml:space="preserve"> ، فَلَا يَزَالُ مَالُهُ دَيْناً ، كَيْفَ يَصْنَعُ فِي زَكَاتِهِ</w:t>
      </w:r>
      <w:r>
        <w:rPr>
          <w:rtl/>
          <w:lang w:bidi="fa-IR"/>
        </w:rPr>
        <w:t>؟</w:t>
      </w:r>
    </w:p>
    <w:p w:rsidR="00992664" w:rsidRPr="00020424" w:rsidRDefault="00992664" w:rsidP="00992664">
      <w:pPr>
        <w:pStyle w:val="libNormal"/>
        <w:rPr>
          <w:rtl/>
          <w:lang w:bidi="fa-IR"/>
        </w:rPr>
      </w:pPr>
      <w:r w:rsidRPr="00020424">
        <w:rPr>
          <w:rtl/>
          <w:lang w:bidi="fa-IR"/>
        </w:rPr>
        <w:t xml:space="preserve">قَالَ : « يُزَكِّيهِ ، وَلَايُزَكِّي مَا عَلَيْهِ مِنَ الدَّيْنِ ؛ إِنَّمَا </w:t>
      </w:r>
      <w:r w:rsidRPr="00A91B96">
        <w:rPr>
          <w:rStyle w:val="libFootnotenumChar"/>
          <w:rtl/>
        </w:rPr>
        <w:t>(11)</w:t>
      </w:r>
      <w:r w:rsidRPr="00020424">
        <w:rPr>
          <w:rtl/>
          <w:lang w:bidi="fa-IR"/>
        </w:rPr>
        <w:t xml:space="preserve"> الزَّكَاةُ عَلى صَاحِبِ‌</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E131A" w:rsidTr="00DE131A">
        <w:tc>
          <w:tcPr>
            <w:tcW w:w="4006" w:type="dxa"/>
          </w:tcPr>
          <w:p w:rsidR="00DE131A" w:rsidRDefault="00DE131A" w:rsidP="00992664">
            <w:pPr>
              <w:pStyle w:val="libFootnote0"/>
              <w:rPr>
                <w:rtl/>
              </w:rPr>
            </w:pPr>
            <w:r>
              <w:rPr>
                <w:rtl/>
              </w:rPr>
              <w:t xml:space="preserve">(1). </w:t>
            </w:r>
            <w:r w:rsidRPr="00020424">
              <w:rPr>
                <w:rtl/>
              </w:rPr>
              <w:t>في « بر » :</w:t>
            </w:r>
            <w:r>
              <w:rPr>
                <w:rtl/>
              </w:rPr>
              <w:t xml:space="preserve"> - </w:t>
            </w:r>
            <w:r w:rsidRPr="00020424">
              <w:rPr>
                <w:rtl/>
              </w:rPr>
              <w:t>« من أصحابنا</w:t>
            </w:r>
            <w:r>
              <w:rPr>
                <w:rtl/>
              </w:rPr>
              <w:t xml:space="preserve"> ».</w:t>
            </w:r>
          </w:p>
        </w:tc>
        <w:tc>
          <w:tcPr>
            <w:tcW w:w="4006" w:type="dxa"/>
          </w:tcPr>
          <w:p w:rsidR="00DE131A" w:rsidRDefault="00DE131A"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أسأله عن</w:t>
            </w:r>
            <w:r>
              <w:rPr>
                <w:rtl/>
              </w:rPr>
              <w:t xml:space="preserve"> ».</w:t>
            </w:r>
          </w:p>
        </w:tc>
      </w:tr>
      <w:tr w:rsidR="00DE131A" w:rsidTr="00DE131A">
        <w:tc>
          <w:tcPr>
            <w:tcW w:w="4006" w:type="dxa"/>
          </w:tcPr>
          <w:p w:rsidR="00DE131A" w:rsidRDefault="00DE131A" w:rsidP="00992664">
            <w:pPr>
              <w:pStyle w:val="libFootnote0"/>
              <w:rPr>
                <w:rtl/>
              </w:rPr>
            </w:pPr>
            <w:r>
              <w:rPr>
                <w:rtl/>
              </w:rPr>
              <w:t xml:space="preserve">(3). </w:t>
            </w:r>
            <w:r w:rsidRPr="00020424">
              <w:rPr>
                <w:rtl/>
              </w:rPr>
              <w:t>في « بر ، بف » : « حبّاً</w:t>
            </w:r>
            <w:r>
              <w:rPr>
                <w:rtl/>
              </w:rPr>
              <w:t xml:space="preserve"> ».</w:t>
            </w:r>
          </w:p>
        </w:tc>
        <w:tc>
          <w:tcPr>
            <w:tcW w:w="4006" w:type="dxa"/>
          </w:tcPr>
          <w:p w:rsidR="00DE131A" w:rsidRDefault="00DE131A" w:rsidP="00992664">
            <w:pPr>
              <w:pStyle w:val="libFootnote0"/>
              <w:rPr>
                <w:rtl/>
              </w:rPr>
            </w:pPr>
            <w:r>
              <w:rPr>
                <w:rtl/>
              </w:rPr>
              <w:t>(4). في «</w:t>
            </w:r>
            <w:r w:rsidRPr="00020424">
              <w:rPr>
                <w:rtl/>
              </w:rPr>
              <w:t xml:space="preserve">بث ، بر ، </w:t>
            </w:r>
            <w:r>
              <w:rPr>
                <w:rtl/>
              </w:rPr>
              <w:t>بس ،جن</w:t>
            </w:r>
            <w:r w:rsidRPr="00020424">
              <w:rPr>
                <w:rtl/>
              </w:rPr>
              <w:t xml:space="preserve">» </w:t>
            </w:r>
            <w:r w:rsidRPr="00EB1FD9">
              <w:rPr>
                <w:rStyle w:val="libFootnoteBoldChar"/>
                <w:rtl/>
              </w:rPr>
              <w:t>والوسائل</w:t>
            </w:r>
            <w:r w:rsidRPr="00020424">
              <w:rPr>
                <w:rtl/>
              </w:rPr>
              <w:t xml:space="preserve"> : « تجب</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بس » : « لا تجب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كأنّ معنى الحديث</w:t>
      </w:r>
      <w:r w:rsidR="00DE131A">
        <w:rPr>
          <w:rtl/>
        </w:rPr>
        <w:t xml:space="preserve"> أنّه لا تجب الزكاة على أحد إل</w:t>
      </w:r>
      <w:r w:rsidR="00DE131A">
        <w:rPr>
          <w:rFonts w:hint="cs"/>
          <w:rtl/>
        </w:rPr>
        <w:t>ّ</w:t>
      </w:r>
      <w:r w:rsidR="00DE131A">
        <w:rPr>
          <w:rtl/>
        </w:rPr>
        <w:t>ا</w:t>
      </w:r>
      <w:r w:rsidR="00992664" w:rsidRPr="00020424">
        <w:rPr>
          <w:rtl/>
        </w:rPr>
        <w:t>في ماله ، وعلى هذا فإن كان المهر مفروزاً عن ماله متعيّناً ، فزكاته على المرأة ليست على الرجل ، وإن كان ديناً عليه فما لم يفرزه فهو من ماله يجب عليه فيه الزكاة. أو نقول : إنّ السائل ل</w:t>
      </w:r>
      <w:r w:rsidR="001C182B">
        <w:rPr>
          <w:rFonts w:hint="cs"/>
          <w:rtl/>
        </w:rPr>
        <w:t>ـ</w:t>
      </w:r>
      <w:r w:rsidR="00992664" w:rsidRPr="00020424">
        <w:rPr>
          <w:rtl/>
        </w:rPr>
        <w:t xml:space="preserve">مّا سأله عن المهر الذي يكون ديناً عليه ومع هذا قال في سؤاله : هل يجب عليه زكاة ذلك المهر نبّهه </w:t>
      </w:r>
      <w:r w:rsidR="00992664" w:rsidRPr="00D64ADA">
        <w:rPr>
          <w:rStyle w:val="libFootnoteAlaemChar"/>
          <w:rtl/>
        </w:rPr>
        <w:t>عليه‌السلام</w:t>
      </w:r>
      <w:r w:rsidR="00992664" w:rsidRPr="00020424">
        <w:rPr>
          <w:rtl/>
        </w:rPr>
        <w:t xml:space="preserve"> على أنّ كلّ ما في يده فهو ماله ، فإن زكّاه فإنّما يزكّي عن ماله لا عن مال غيره ؛ لأنّه ما لم يفرز المهر عن ماله لا يصير مهراً لها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119 ، ح 9269 ؛ </w:t>
      </w:r>
      <w:r w:rsidR="00992664" w:rsidRPr="0012008A">
        <w:rPr>
          <w:rStyle w:val="libFootnoteBoldChar"/>
          <w:rtl/>
        </w:rPr>
        <w:t>الوسائل</w:t>
      </w:r>
      <w:r w:rsidR="00992664" w:rsidRPr="00020424">
        <w:rPr>
          <w:rtl/>
        </w:rPr>
        <w:t xml:space="preserve"> ، ج 9 ، ص 104 ، ح 11634.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بر » وحاشية « بث » </w:t>
      </w:r>
      <w:r w:rsidR="00992664" w:rsidRPr="00515444">
        <w:rPr>
          <w:rStyle w:val="libFootnoteBoldChar"/>
          <w:rtl/>
        </w:rPr>
        <w:t>والوافي</w:t>
      </w:r>
      <w:r w:rsidR="00992664" w:rsidRPr="00020424">
        <w:rPr>
          <w:rtl/>
        </w:rPr>
        <w:t xml:space="preserve"> : « عن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ينسى » أي يبيع بتأخير ، والاسم : النسيئة. </w:t>
      </w:r>
      <w:r w:rsidR="00992664">
        <w:rPr>
          <w:rtl/>
        </w:rPr>
        <w:t>و «</w:t>
      </w:r>
      <w:r w:rsidR="00992664" w:rsidRPr="00020424">
        <w:rPr>
          <w:rtl/>
        </w:rPr>
        <w:t xml:space="preserve"> يعيّن » ، أي يبيع بالعينة ، يقال : عيّن التاجر ، أي أخذ بالعينة ، أو أعطى بها ، والعينة : السلف ، ومعناها في الشرعية هو أن يشتري سلعة بثمن مؤجّل ، ثمّ يبيعها بدون ذلك نقداً ليقضي ديناً عليه لمن قد حلّ له عليه ويكون الدين الثاني</w:t>
      </w:r>
      <w:r w:rsidR="00992664">
        <w:rPr>
          <w:rtl/>
        </w:rPr>
        <w:t xml:space="preserve"> </w:t>
      </w:r>
      <w:r w:rsidR="009B673F">
        <w:rPr>
          <w:rtl/>
        </w:rPr>
        <w:t>-</w:t>
      </w:r>
      <w:r w:rsidR="00992664">
        <w:rPr>
          <w:rtl/>
        </w:rPr>
        <w:t xml:space="preserve"> </w:t>
      </w:r>
      <w:r w:rsidR="00992664" w:rsidRPr="00020424">
        <w:rPr>
          <w:rtl/>
        </w:rPr>
        <w:t>وهو العينة</w:t>
      </w:r>
      <w:r w:rsidR="00992664">
        <w:rPr>
          <w:rtl/>
        </w:rPr>
        <w:t xml:space="preserve"> </w:t>
      </w:r>
      <w:r w:rsidR="009B673F">
        <w:rPr>
          <w:rtl/>
        </w:rPr>
        <w:t>-</w:t>
      </w:r>
      <w:r w:rsidR="00992664">
        <w:rPr>
          <w:rtl/>
        </w:rPr>
        <w:t xml:space="preserve"> </w:t>
      </w:r>
      <w:r w:rsidR="00992664" w:rsidRPr="00020424">
        <w:rPr>
          <w:rtl/>
        </w:rPr>
        <w:t xml:space="preserve">من صاحب الدين الأوّل ؛ ليقضيه بها الدين الأوّل. راجع : </w:t>
      </w:r>
      <w:r w:rsidR="00992664" w:rsidRPr="00A722B1">
        <w:rPr>
          <w:rStyle w:val="libFootnoteBoldChar"/>
          <w:rtl/>
        </w:rPr>
        <w:t>لسان العرب</w:t>
      </w:r>
      <w:r w:rsidR="00992664" w:rsidRPr="00020424">
        <w:rPr>
          <w:rtl/>
        </w:rPr>
        <w:t xml:space="preserve"> ، ج 1 ، ص 167 ( نسأ ) ، وج 13 ، ص 306 ( عين ) ؛ </w:t>
      </w:r>
      <w:r w:rsidR="00992664" w:rsidRPr="00E57529">
        <w:rPr>
          <w:rtl/>
        </w:rPr>
        <w:t>السرائر</w:t>
      </w:r>
      <w:r w:rsidR="00992664" w:rsidRPr="00020424">
        <w:rPr>
          <w:rtl/>
        </w:rPr>
        <w:t xml:space="preserve"> ، ج 2 ، ص 291. أقول : سيجي‌ء البيان المستوفي في معنى العينة ذيل باب العينة ، إن شئت فراجع هناك.</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11620 : « أو يعير</w:t>
      </w:r>
      <w:r w:rsidR="00992664">
        <w:rPr>
          <w:rtl/>
        </w:rPr>
        <w:t xml:space="preserve"> ».</w:t>
      </w:r>
      <w:r w:rsidR="00992664" w:rsidRPr="00020424">
        <w:rPr>
          <w:rtl/>
        </w:rPr>
        <w:t xml:space="preserve"> وفي « بر » : « ويصير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فإنّما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الْمَالِ</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1C182B" w:rsidRDefault="00992664" w:rsidP="00992664">
      <w:pPr>
        <w:pStyle w:val="libNormal"/>
        <w:rPr>
          <w:rtl/>
          <w:lang w:bidi="fa-IR"/>
        </w:rPr>
      </w:pPr>
      <w:r w:rsidRPr="00E57529">
        <w:rPr>
          <w:rtl/>
        </w:rPr>
        <w:t>5820</w:t>
      </w:r>
      <w:r w:rsidRPr="001155DE">
        <w:rPr>
          <w:rStyle w:val="libBold2Char"/>
          <w:rtl/>
        </w:rPr>
        <w:t xml:space="preserve"> / 13.</w:t>
      </w:r>
      <w:r w:rsidRPr="00020424">
        <w:rPr>
          <w:rtl/>
          <w:lang w:bidi="fa-IR"/>
        </w:rPr>
        <w:t xml:space="preserve"> عَلِيُّ بْنُ إِبْرَاهِيمَ ، عَنْ أَبِيهِ ، عَنْ حَمَّادِ بْنِ عِيسى ، عَنْ حَرِيزٍ ، عَنْ زُرَارَةَ ، عَنْ أَبِي جَعْفَرٍ </w:t>
      </w:r>
      <w:r w:rsidRPr="00005A81">
        <w:rPr>
          <w:rStyle w:val="libAlaemChar"/>
          <w:rtl/>
        </w:rPr>
        <w:t>عليه‌السلام</w:t>
      </w:r>
      <w:r w:rsidRPr="00020424">
        <w:rPr>
          <w:rtl/>
          <w:lang w:bidi="fa-IR"/>
        </w:rPr>
        <w:t xml:space="preserve"> ؛</w:t>
      </w:r>
      <w:r>
        <w:rPr>
          <w:rFonts w:hint="cs"/>
          <w:rtl/>
          <w:lang w:bidi="fa-IR"/>
        </w:rPr>
        <w:t xml:space="preserve"> </w:t>
      </w:r>
    </w:p>
    <w:p w:rsidR="00992664" w:rsidRPr="00020424" w:rsidRDefault="001C182B" w:rsidP="00992664">
      <w:pPr>
        <w:pStyle w:val="libNormal"/>
        <w:rPr>
          <w:rtl/>
          <w:lang w:bidi="fa-IR"/>
        </w:rPr>
      </w:pPr>
      <w:r>
        <w:rPr>
          <w:rFonts w:hint="cs"/>
          <w:rtl/>
          <w:lang w:bidi="fa-IR"/>
        </w:rPr>
        <w:t xml:space="preserve">                </w:t>
      </w:r>
      <w:r w:rsidR="00992664" w:rsidRPr="00020424">
        <w:rPr>
          <w:rtl/>
          <w:lang w:bidi="fa-IR"/>
        </w:rPr>
        <w:t>وَ</w:t>
      </w:r>
      <w:r w:rsidR="00992664">
        <w:rPr>
          <w:rFonts w:hint="cs"/>
          <w:rtl/>
          <w:lang w:bidi="fa-IR"/>
        </w:rPr>
        <w:t xml:space="preserve"> </w:t>
      </w:r>
      <w:r w:rsidR="00992664" w:rsidRPr="00A91B96">
        <w:rPr>
          <w:rStyle w:val="libFootnotenumChar"/>
          <w:rtl/>
        </w:rPr>
        <w:t>(2)</w:t>
      </w:r>
      <w:r w:rsidR="00992664" w:rsidRPr="00020424">
        <w:rPr>
          <w:rtl/>
          <w:lang w:bidi="fa-IR"/>
        </w:rPr>
        <w:t xml:space="preserve"> ضُرَيْسٍ : عَنْ أَبِي عَبْدِ اللهِ </w:t>
      </w:r>
      <w:r w:rsidR="00992664" w:rsidRPr="00005A81">
        <w:rPr>
          <w:rStyle w:val="libAlaemChar"/>
          <w:rtl/>
        </w:rPr>
        <w:t>عليه‌السلام</w:t>
      </w:r>
      <w:r w:rsidR="00992664" w:rsidRPr="00020424">
        <w:rPr>
          <w:rtl/>
          <w:lang w:bidi="fa-IR"/>
        </w:rPr>
        <w:t xml:space="preserve"> أَنَّهُمَا قَالَا :</w:t>
      </w:r>
    </w:p>
    <w:p w:rsidR="00992664" w:rsidRPr="00020424" w:rsidRDefault="00992664" w:rsidP="00992664">
      <w:pPr>
        <w:pStyle w:val="libNormal"/>
        <w:rPr>
          <w:rtl/>
          <w:lang w:bidi="fa-IR"/>
        </w:rPr>
      </w:pPr>
      <w:r w:rsidRPr="00020424">
        <w:rPr>
          <w:rtl/>
          <w:lang w:bidi="fa-IR"/>
        </w:rPr>
        <w:t xml:space="preserve">« أَيُّمَا رَجُلٍ كَانَ لَهُ مَالٌ مَوْضُوعٌ حَتّى يَحُولَ عَلَيْهِ الْحَوْلُ ، فَإِنَّهُ يُزَكِّيهِ ؛ وَإِنْ </w:t>
      </w:r>
      <w:r w:rsidRPr="00A91B96">
        <w:rPr>
          <w:rStyle w:val="libFootnotenumChar"/>
          <w:rtl/>
        </w:rPr>
        <w:t>(3)</w:t>
      </w:r>
      <w:r w:rsidRPr="00020424">
        <w:rPr>
          <w:rtl/>
          <w:lang w:bidi="fa-IR"/>
        </w:rPr>
        <w:t xml:space="preserve"> كَانَ عَلَيْهِ مِنَ الدَّيْنِ مِثْلُهُ وَأَكْثَرُ مِنْهُ </w:t>
      </w:r>
      <w:r w:rsidRPr="00A91B96">
        <w:rPr>
          <w:rStyle w:val="libFootnotenumChar"/>
          <w:rtl/>
        </w:rPr>
        <w:t>(4)</w:t>
      </w:r>
      <w:r w:rsidRPr="00020424">
        <w:rPr>
          <w:rtl/>
          <w:lang w:bidi="fa-IR"/>
        </w:rPr>
        <w:t xml:space="preserve"> ، فَلْيُزَكِّ مَا فِي يَدِهِ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48" w:name="_Toc345172732"/>
      <w:bookmarkStart w:id="49" w:name="_Toc464562549"/>
      <w:bookmarkStart w:id="50" w:name="_Toc44599852"/>
      <w:r w:rsidRPr="00020424">
        <w:rPr>
          <w:rtl/>
          <w:lang w:bidi="fa-IR"/>
        </w:rPr>
        <w:t>12</w:t>
      </w:r>
      <w:r>
        <w:rPr>
          <w:rtl/>
          <w:lang w:bidi="fa-IR"/>
        </w:rPr>
        <w:t xml:space="preserve"> </w:t>
      </w:r>
      <w:r w:rsidR="009B673F">
        <w:rPr>
          <w:rtl/>
          <w:lang w:bidi="fa-IR"/>
        </w:rPr>
        <w:t>-</w:t>
      </w:r>
      <w:r>
        <w:rPr>
          <w:rtl/>
          <w:lang w:bidi="fa-IR"/>
        </w:rPr>
        <w:t xml:space="preserve"> </w:t>
      </w:r>
      <w:r w:rsidRPr="00020424">
        <w:rPr>
          <w:rtl/>
          <w:lang w:bidi="fa-IR"/>
        </w:rPr>
        <w:t>بَابُ أَوْقَاتِ الزَّكَاةِ‌</w:t>
      </w:r>
      <w:bookmarkEnd w:id="48"/>
      <w:bookmarkEnd w:id="49"/>
      <w:bookmarkEnd w:id="50"/>
    </w:p>
    <w:p w:rsidR="001C182B" w:rsidRDefault="00992664" w:rsidP="001C182B">
      <w:pPr>
        <w:pStyle w:val="libNormal"/>
        <w:rPr>
          <w:rtl/>
          <w:lang w:bidi="fa-IR"/>
        </w:rPr>
      </w:pPr>
      <w:r w:rsidRPr="00E57529">
        <w:rPr>
          <w:rtl/>
        </w:rPr>
        <w:t>5821</w:t>
      </w:r>
      <w:r w:rsidRPr="001155DE">
        <w:rPr>
          <w:rStyle w:val="libBold2Char"/>
          <w:rtl/>
        </w:rPr>
        <w:t xml:space="preserve"> / 1.</w:t>
      </w:r>
      <w:r w:rsidRPr="00020424">
        <w:rPr>
          <w:rtl/>
          <w:lang w:bidi="fa-IR"/>
        </w:rPr>
        <w:t xml:space="preserve"> أَحْمَدُ بْنُ إِدْرِيسَ ، عَنْ مُحَمَّدِ بْنِ عَبْدِ الْجَبَّارِ ؛</w:t>
      </w:r>
    </w:p>
    <w:p w:rsidR="00992664" w:rsidRPr="00020424" w:rsidRDefault="001C182B" w:rsidP="001C182B">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صَفْوَانَ بْنِ يَحْيى ، عَنْ مُحَمَّدِ بْنِ حَكِيمٍ ، عَنْ خَالِدِ بْنِ الْحَجَّاجِ الْكَرْخِيِّ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انْظُرْ شَهْراً مِنَ السَّنَةِ ، فَانْوِ أَنْ تُؤَدِّيَ زَكَاتَكَ فِيهِ ، فَإِذَا </w:t>
      </w:r>
      <w:r w:rsidRPr="00A91B96">
        <w:rPr>
          <w:rStyle w:val="libFootnotenumChar"/>
          <w:rtl/>
        </w:rPr>
        <w:t>(6)</w:t>
      </w:r>
      <w:r w:rsidRPr="00020424">
        <w:rPr>
          <w:rtl/>
          <w:lang w:bidi="fa-IR"/>
        </w:rPr>
        <w:t xml:space="preserve"> دَخَلَ ذلِكَ الشَّهْرُ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E57529">
        <w:rPr>
          <w:rtl/>
        </w:rPr>
        <w:t>قرب الإسناد</w:t>
      </w:r>
      <w:r w:rsidR="00992664" w:rsidRPr="00020424">
        <w:rPr>
          <w:rtl/>
        </w:rPr>
        <w:t xml:space="preserve"> ، ص 228 ، ح 894 ، بسند آخر عن موسى بن جعفر </w:t>
      </w:r>
      <w:r w:rsidR="00D64ADA" w:rsidRPr="00D64ADA">
        <w:rPr>
          <w:rStyle w:val="libFootnoteAlaemChar"/>
          <w:rtl/>
        </w:rPr>
        <w:t>عليهما‌السلام</w:t>
      </w:r>
      <w:r w:rsidR="00992664" w:rsidRPr="00020424">
        <w:rPr>
          <w:rtl/>
        </w:rPr>
        <w:t xml:space="preserve"> ، من قوله : « ولا يزكّي ما عليه من الدين » مع اختلاف يسير </w:t>
      </w:r>
      <w:r w:rsidR="002B6B44">
        <w:rPr>
          <w:rFonts w:hint="cs"/>
          <w:rtl/>
        </w:rPr>
        <w:t>.</w:t>
      </w:r>
      <w:r w:rsidR="00992664" w:rsidRPr="0012008A">
        <w:rPr>
          <w:rStyle w:val="libFootnoteBoldChar"/>
          <w:rtl/>
        </w:rPr>
        <w:t>الوافي</w:t>
      </w:r>
      <w:r w:rsidR="00992664" w:rsidRPr="00020424">
        <w:rPr>
          <w:rtl/>
        </w:rPr>
        <w:t xml:space="preserve"> ، ج 10 ، ص 118 ، ح 9268 ؛ </w:t>
      </w:r>
      <w:r w:rsidR="00992664" w:rsidRPr="0012008A">
        <w:rPr>
          <w:rStyle w:val="libFootnoteBoldChar"/>
          <w:rtl/>
        </w:rPr>
        <w:t>الوسائل</w:t>
      </w:r>
      <w:r w:rsidR="00992664" w:rsidRPr="00020424">
        <w:rPr>
          <w:rtl/>
        </w:rPr>
        <w:t xml:space="preserve"> ، ج 9 ، ص 103 ، ح 11633 ؛ </w:t>
      </w:r>
      <w:r w:rsidR="00992664" w:rsidRPr="00E57529">
        <w:rPr>
          <w:rtl/>
        </w:rPr>
        <w:t>وفيه</w:t>
      </w:r>
      <w:r w:rsidR="00992664" w:rsidRPr="00020424">
        <w:rPr>
          <w:rtl/>
        </w:rPr>
        <w:t xml:space="preserve"> ، ص 98 ، ح 11620 ، إلى قوله : « في زكاته قال يزكّيه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السند تحويل بعطف « ضُرَيس عن أبي عبدالله </w:t>
      </w:r>
      <w:r w:rsidR="00992664" w:rsidRPr="00D64ADA">
        <w:rPr>
          <w:rStyle w:val="libFootnoteAlaemChar"/>
          <w:rtl/>
        </w:rPr>
        <w:t>عليه‌السلام</w:t>
      </w:r>
      <w:r w:rsidR="00992664" w:rsidRPr="00020424">
        <w:rPr>
          <w:rtl/>
        </w:rPr>
        <w:t xml:space="preserve"> » إمّا على « زرارة عن أبي جعفر </w:t>
      </w:r>
      <w:r w:rsidR="00992664" w:rsidRPr="00D64ADA">
        <w:rPr>
          <w:rStyle w:val="libFootnoteAlaemChar"/>
          <w:rtl/>
        </w:rPr>
        <w:t>عليه‌السلام</w:t>
      </w:r>
      <w:r w:rsidR="00992664" w:rsidRPr="00020424">
        <w:rPr>
          <w:rtl/>
        </w:rPr>
        <w:t xml:space="preserve"> » ، أو على « حريز عن زرارة عن أبي جعفر </w:t>
      </w:r>
      <w:r w:rsidR="00992664" w:rsidRPr="00D64ADA">
        <w:rPr>
          <w:rStyle w:val="libFootnoteAlaemChar"/>
          <w:rtl/>
        </w:rPr>
        <w:t>عليه‌السلام</w:t>
      </w:r>
      <w:r w:rsidR="00992664" w:rsidRPr="00020424">
        <w:rPr>
          <w:rtl/>
        </w:rPr>
        <w:t xml:space="preserve"> » ؛ فإنّ ضريساً</w:t>
      </w:r>
      <w:r w:rsidR="00992664">
        <w:rPr>
          <w:rtl/>
        </w:rPr>
        <w:t xml:space="preserve"> </w:t>
      </w:r>
      <w:r w:rsidR="009B673F">
        <w:rPr>
          <w:rtl/>
        </w:rPr>
        <w:t>-</w:t>
      </w:r>
      <w:r w:rsidR="00992664">
        <w:rPr>
          <w:rtl/>
        </w:rPr>
        <w:t xml:space="preserve"> </w:t>
      </w:r>
      <w:r w:rsidR="00992664" w:rsidRPr="00020424">
        <w:rPr>
          <w:rtl/>
        </w:rPr>
        <w:t>وهو ابن عبد الملك بن أعين</w:t>
      </w:r>
      <w:r w:rsidR="00992664">
        <w:rPr>
          <w:rtl/>
        </w:rPr>
        <w:t xml:space="preserve"> </w:t>
      </w:r>
      <w:r w:rsidR="009B673F">
        <w:rPr>
          <w:rtl/>
        </w:rPr>
        <w:t>-</w:t>
      </w:r>
      <w:r w:rsidR="00992664">
        <w:rPr>
          <w:rtl/>
        </w:rPr>
        <w:t xml:space="preserve"> </w:t>
      </w:r>
      <w:r w:rsidR="00992664" w:rsidRPr="00020424">
        <w:rPr>
          <w:rtl/>
        </w:rPr>
        <w:t xml:space="preserve">لم نجد رواية حريز أو حمّاد بن عيسى عنه. لكنّ الطبقة تلائم رواية أيٍّ منهما عنه. راجع : </w:t>
      </w:r>
      <w:r w:rsidR="00992664" w:rsidRPr="00E57529">
        <w:rPr>
          <w:rtl/>
        </w:rPr>
        <w:t>رجال البرقي</w:t>
      </w:r>
      <w:r w:rsidR="00992664" w:rsidRPr="00020424">
        <w:rPr>
          <w:rtl/>
        </w:rPr>
        <w:t xml:space="preserve"> ، ص 17 ؛ </w:t>
      </w:r>
      <w:r w:rsidR="00992664" w:rsidRPr="00E57529">
        <w:rPr>
          <w:rtl/>
        </w:rPr>
        <w:t>رجال الطوسي</w:t>
      </w:r>
      <w:r w:rsidR="00992664" w:rsidRPr="00020424">
        <w:rPr>
          <w:rtl/>
        </w:rPr>
        <w:t xml:space="preserve"> ، ص 227 ، الرقم 3076 ؛ </w:t>
      </w:r>
      <w:r w:rsidR="00992664" w:rsidRPr="00E57529">
        <w:rPr>
          <w:rtl/>
        </w:rPr>
        <w:t>معجم رجال الحديث</w:t>
      </w:r>
      <w:r w:rsidR="00992664" w:rsidRPr="00020424">
        <w:rPr>
          <w:rtl/>
        </w:rPr>
        <w:t xml:space="preserve"> ، ج 9 ، ص 466</w:t>
      </w:r>
      <w:r w:rsidR="00992664">
        <w:rPr>
          <w:rtl/>
        </w:rPr>
        <w:t xml:space="preserve"> </w:t>
      </w:r>
      <w:r w:rsidR="009B673F">
        <w:rPr>
          <w:rtl/>
        </w:rPr>
        <w:t>-</w:t>
      </w:r>
      <w:r w:rsidR="00992664">
        <w:rPr>
          <w:rtl/>
        </w:rPr>
        <w:t xml:space="preserve"> </w:t>
      </w:r>
      <w:r w:rsidR="00992664" w:rsidRPr="00020424">
        <w:rPr>
          <w:rtl/>
        </w:rPr>
        <w:t>467.</w:t>
      </w:r>
    </w:p>
    <w:tbl>
      <w:tblPr>
        <w:tblStyle w:val="TableGrid"/>
        <w:bidiVisual/>
        <w:tblW w:w="0" w:type="auto"/>
        <w:tblLook w:val="04A0" w:firstRow="1" w:lastRow="0" w:firstColumn="1" w:lastColumn="0" w:noHBand="0" w:noVBand="1"/>
      </w:tblPr>
      <w:tblGrid>
        <w:gridCol w:w="4006"/>
        <w:gridCol w:w="4006"/>
      </w:tblGrid>
      <w:tr w:rsidR="002B6B44" w:rsidTr="002B6B44">
        <w:tc>
          <w:tcPr>
            <w:tcW w:w="4006" w:type="dxa"/>
          </w:tcPr>
          <w:p w:rsidR="002B6B44" w:rsidRDefault="002B6B44" w:rsidP="00992664">
            <w:pPr>
              <w:pStyle w:val="libFootnote0"/>
              <w:rPr>
                <w:rtl/>
              </w:rPr>
            </w:pPr>
            <w:r>
              <w:rPr>
                <w:rtl/>
              </w:rPr>
              <w:t xml:space="preserve">(3). </w:t>
            </w:r>
            <w:r w:rsidRPr="00020424">
              <w:rPr>
                <w:rtl/>
              </w:rPr>
              <w:t xml:space="preserve">في « بخ ، بر ، بف » </w:t>
            </w:r>
            <w:r w:rsidRPr="00515444">
              <w:rPr>
                <w:rStyle w:val="libFootnoteBoldChar"/>
                <w:rtl/>
              </w:rPr>
              <w:t>والوافي</w:t>
            </w:r>
            <w:r w:rsidRPr="00020424">
              <w:rPr>
                <w:rtl/>
              </w:rPr>
              <w:t xml:space="preserve"> : « فإن</w:t>
            </w:r>
            <w:r>
              <w:rPr>
                <w:rtl/>
              </w:rPr>
              <w:t xml:space="preserve"> ».</w:t>
            </w:r>
          </w:p>
        </w:tc>
        <w:tc>
          <w:tcPr>
            <w:tcW w:w="4006" w:type="dxa"/>
          </w:tcPr>
          <w:p w:rsidR="002B6B44" w:rsidRDefault="002B6B44" w:rsidP="00992664">
            <w:pPr>
              <w:pStyle w:val="libFootnote0"/>
              <w:rPr>
                <w:rtl/>
              </w:rPr>
            </w:pPr>
            <w:r>
              <w:rPr>
                <w:rtl/>
              </w:rPr>
              <w:t xml:space="preserve">(4). </w:t>
            </w:r>
            <w:r w:rsidRPr="00020424">
              <w:rPr>
                <w:rtl/>
              </w:rPr>
              <w:t>في « ظ » :</w:t>
            </w:r>
            <w:r>
              <w:rPr>
                <w:rtl/>
              </w:rPr>
              <w:t xml:space="preserve"> - </w:t>
            </w:r>
            <w:r w:rsidRPr="00020424">
              <w:rPr>
                <w:rtl/>
              </w:rPr>
              <w:t>« منه</w:t>
            </w:r>
            <w:r>
              <w:rPr>
                <w:rtl/>
              </w:rPr>
              <w:t xml:space="preserve"> ».</w:t>
            </w:r>
          </w:p>
        </w:tc>
      </w:tr>
    </w:tbl>
    <w:p w:rsidR="00992664" w:rsidRPr="00020424" w:rsidRDefault="00795177" w:rsidP="007E2E56">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32 ، صدر ح 1625 ، معلّقاً عن زرارة ومحمّد بن مسلم ، عن أبي عبدالله </w:t>
      </w:r>
      <w:r w:rsidR="00992664" w:rsidRPr="00D64ADA">
        <w:rPr>
          <w:rStyle w:val="libFootnoteAlaemChar"/>
          <w:rtl/>
        </w:rPr>
        <w:t>عليه‌السلام</w:t>
      </w:r>
      <w:r w:rsidR="00992664" w:rsidRPr="00020424">
        <w:rPr>
          <w:rtl/>
        </w:rPr>
        <w:t xml:space="preserve"> ، وتمام الرواية فيه : « أيّما رجل كان له مال وحال عليه الحول فإنّه يزكّيه » </w:t>
      </w:r>
      <w:r w:rsidR="007E2E56">
        <w:rPr>
          <w:rFonts w:hint="cs"/>
          <w:rtl/>
        </w:rPr>
        <w:t>.</w:t>
      </w:r>
      <w:r w:rsidR="00992664" w:rsidRPr="0012008A">
        <w:rPr>
          <w:rStyle w:val="libFootnoteBoldChar"/>
          <w:rtl/>
        </w:rPr>
        <w:t>الوافي</w:t>
      </w:r>
      <w:r w:rsidR="00992664" w:rsidRPr="00020424">
        <w:rPr>
          <w:rtl/>
        </w:rPr>
        <w:t xml:space="preserve"> ، ج 10 ، ص 119 ، ح 9270 ؛ </w:t>
      </w:r>
      <w:r w:rsidR="00992664" w:rsidRPr="0012008A">
        <w:rPr>
          <w:rStyle w:val="libFootnoteBoldChar"/>
          <w:rtl/>
        </w:rPr>
        <w:t>الوسائل</w:t>
      </w:r>
      <w:r w:rsidR="00992664" w:rsidRPr="00020424">
        <w:rPr>
          <w:rtl/>
        </w:rPr>
        <w:t xml:space="preserve"> ، ج 9 ، ص 104 ، ح 11636.</w:t>
      </w:r>
      <w:r w:rsidR="007E2E56">
        <w:rPr>
          <w:rFonts w:hint="cs"/>
          <w:rtl/>
        </w:rPr>
        <w:t xml:space="preserve">                  </w:t>
      </w:r>
      <w:r>
        <w:rPr>
          <w:rtl/>
        </w:rPr>
        <w:t>(6).</w:t>
      </w:r>
      <w:r w:rsidR="0014403D">
        <w:rPr>
          <w:rtl/>
        </w:rPr>
        <w:t xml:space="preserve"> </w:t>
      </w:r>
      <w:r w:rsidR="00992664" w:rsidRPr="00020424">
        <w:rPr>
          <w:rtl/>
        </w:rPr>
        <w:t>في « جن » : « فإن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فَانْظُرْ مَا نَضَّ</w:t>
      </w:r>
      <w:r>
        <w:rPr>
          <w:rtl/>
          <w:lang w:bidi="fa-IR"/>
        </w:rPr>
        <w:t xml:space="preserve"> </w:t>
      </w:r>
      <w:r w:rsidR="009B673F">
        <w:rPr>
          <w:rtl/>
          <w:lang w:bidi="fa-IR"/>
        </w:rPr>
        <w:t>-</w:t>
      </w:r>
      <w:r>
        <w:rPr>
          <w:rtl/>
          <w:lang w:bidi="fa-IR"/>
        </w:rPr>
        <w:t xml:space="preserve"> </w:t>
      </w:r>
      <w:r w:rsidRPr="00020424">
        <w:rPr>
          <w:rtl/>
          <w:lang w:bidi="fa-IR"/>
        </w:rPr>
        <w:t xml:space="preserve">يَعْنِي مَا </w:t>
      </w:r>
      <w:r w:rsidRPr="00A91B96">
        <w:rPr>
          <w:rStyle w:val="libFootnotenumChar"/>
          <w:rtl/>
        </w:rPr>
        <w:t>(1)</w:t>
      </w:r>
      <w:r w:rsidRPr="00020424">
        <w:rPr>
          <w:rtl/>
          <w:lang w:bidi="fa-IR"/>
        </w:rPr>
        <w:t xml:space="preserve"> حَصَلَ فِي يَدِكَ مِنْ مَالِكَ</w:t>
      </w:r>
      <w:r>
        <w:rPr>
          <w:rtl/>
          <w:lang w:bidi="fa-IR"/>
        </w:rPr>
        <w:t xml:space="preserve"> </w:t>
      </w:r>
      <w:r w:rsidR="009B673F">
        <w:rPr>
          <w:rtl/>
          <w:lang w:bidi="fa-IR"/>
        </w:rPr>
        <w:t>-</w:t>
      </w:r>
      <w:r>
        <w:rPr>
          <w:rtl/>
          <w:lang w:bidi="fa-IR"/>
        </w:rPr>
        <w:t xml:space="preserve"> </w:t>
      </w:r>
      <w:r w:rsidRPr="00020424">
        <w:rPr>
          <w:rtl/>
          <w:lang w:bidi="fa-IR"/>
        </w:rPr>
        <w:t xml:space="preserve">فَزَكِّهِ ، فَإِذَا حَالَ </w:t>
      </w:r>
      <w:r w:rsidRPr="00A91B96">
        <w:rPr>
          <w:rStyle w:val="libFootnotenumChar"/>
          <w:rtl/>
        </w:rPr>
        <w:t>(2)</w:t>
      </w:r>
      <w:r w:rsidRPr="00020424">
        <w:rPr>
          <w:rtl/>
          <w:lang w:bidi="fa-IR"/>
        </w:rPr>
        <w:t xml:space="preserve"> الْحَوْلُ مِنَ </w:t>
      </w:r>
      <w:r w:rsidRPr="00A91B96">
        <w:rPr>
          <w:rStyle w:val="libFootnotenumChar"/>
          <w:rtl/>
        </w:rPr>
        <w:t>(3)</w:t>
      </w:r>
      <w:r w:rsidRPr="00020424">
        <w:rPr>
          <w:rtl/>
          <w:lang w:bidi="fa-IR"/>
        </w:rPr>
        <w:t xml:space="preserve"> الشَّهْرِ الَّذِي </w:t>
      </w:r>
      <w:r w:rsidRPr="00A91B96">
        <w:rPr>
          <w:rStyle w:val="libFootnotenumChar"/>
          <w:rtl/>
        </w:rPr>
        <w:t>(4)</w:t>
      </w:r>
      <w:r w:rsidRPr="00020424">
        <w:rPr>
          <w:rtl/>
          <w:lang w:bidi="fa-IR"/>
        </w:rPr>
        <w:t xml:space="preserve"> زَكَّيْتَ فِيهِ ، فَاسْتَقْبِلْ بِمِثْلِ </w:t>
      </w:r>
      <w:r w:rsidRPr="00A91B96">
        <w:rPr>
          <w:rStyle w:val="libFootnotenumChar"/>
          <w:rtl/>
        </w:rPr>
        <w:t>(5)</w:t>
      </w:r>
      <w:r w:rsidRPr="00020424">
        <w:rPr>
          <w:rtl/>
          <w:lang w:bidi="fa-IR"/>
        </w:rPr>
        <w:t xml:space="preserve"> مَا صَنَعْتَ ، لَيْسَ عَلَيْكَ أَكْثَرُ مِنْهُ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E57529">
        <w:rPr>
          <w:rtl/>
        </w:rPr>
        <w:t>5822</w:t>
      </w:r>
      <w:r w:rsidRPr="001155DE">
        <w:rPr>
          <w:rStyle w:val="libBold2Char"/>
          <w:rtl/>
        </w:rPr>
        <w:t xml:space="preserve"> / 2.</w:t>
      </w:r>
      <w:r w:rsidRPr="00020424">
        <w:rPr>
          <w:rtl/>
          <w:lang w:bidi="fa-IR"/>
        </w:rPr>
        <w:t xml:space="preserve"> مُحَمَّدُ بْنُ يَحْيى ، عَنْ أَحْمَدَ بْنِ مُحَمَّدٍ رَفَعَهُ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هَلْ لِلزَّكَاةِ وَقْتٌ مَعْلُومٌ تُعْطى فِيهِ</w:t>
      </w:r>
      <w:r>
        <w:rPr>
          <w:rtl/>
          <w:lang w:bidi="fa-IR"/>
        </w:rPr>
        <w:t>؟</w:t>
      </w:r>
    </w:p>
    <w:p w:rsidR="00992664" w:rsidRPr="00020424" w:rsidRDefault="00992664" w:rsidP="00992664">
      <w:pPr>
        <w:pStyle w:val="libNormal"/>
        <w:rPr>
          <w:rtl/>
          <w:lang w:bidi="fa-IR"/>
        </w:rPr>
      </w:pPr>
      <w:r w:rsidRPr="00020424">
        <w:rPr>
          <w:rtl/>
          <w:lang w:bidi="fa-IR"/>
        </w:rPr>
        <w:t xml:space="preserve">فَقَالَ : « إِنَّ ذلِكَ لَيَخْتَلِفُ فِي إِصَابَةِ الرَّجُلِ الْمَالَ ، وَأَمَّا </w:t>
      </w:r>
      <w:r w:rsidRPr="00A91B96">
        <w:rPr>
          <w:rStyle w:val="libFootnotenumChar"/>
          <w:rtl/>
        </w:rPr>
        <w:t>(8)</w:t>
      </w:r>
      <w:r w:rsidRPr="00020424">
        <w:rPr>
          <w:rtl/>
          <w:lang w:bidi="fa-IR"/>
        </w:rPr>
        <w:t xml:space="preserve"> الْفِطْرَةُ فَإِنَّهَا مَعْلُومَةٌ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E57529">
        <w:rPr>
          <w:rtl/>
        </w:rPr>
        <w:t>5823</w:t>
      </w:r>
      <w:r w:rsidRPr="001155DE">
        <w:rPr>
          <w:rStyle w:val="libBold2Char"/>
          <w:rtl/>
        </w:rPr>
        <w:t xml:space="preserve"> / 3.</w:t>
      </w:r>
      <w:r w:rsidRPr="00020424">
        <w:rPr>
          <w:rtl/>
          <w:lang w:bidi="fa-IR"/>
        </w:rPr>
        <w:t xml:space="preserve"> مُحَمَّدُ بْنُ يَحْيى </w:t>
      </w:r>
      <w:r w:rsidRPr="00A91B96">
        <w:rPr>
          <w:rStyle w:val="libFootnotenumChar"/>
          <w:rtl/>
        </w:rPr>
        <w:t>(10)</w:t>
      </w:r>
      <w:r w:rsidRPr="00020424">
        <w:rPr>
          <w:rtl/>
          <w:lang w:bidi="fa-IR"/>
        </w:rPr>
        <w:t xml:space="preserve"> ، عَنْ أَحْمَدَ بْنِ مُحَمَّدٍ ، عَنِ الْحَسَنِ بْنِ عَلِيٍّ ، عَنْ يُونُسَ بْنِ يَعْقُوبَ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زَكَاتِي </w:t>
      </w:r>
      <w:r>
        <w:rPr>
          <w:rtl/>
          <w:lang w:bidi="fa-IR"/>
        </w:rPr>
        <w:t>تَحِلُّ عَلَيَّ فِي شَهْرٍ ، أَ</w:t>
      </w:r>
      <w:r w:rsidRPr="00020424">
        <w:rPr>
          <w:rtl/>
          <w:lang w:bidi="fa-IR"/>
        </w:rPr>
        <w:t xml:space="preserve">يَصْلُحُ لِي </w:t>
      </w:r>
      <w:r w:rsidRPr="00A91B96">
        <w:rPr>
          <w:rStyle w:val="libFootnotenumChar"/>
          <w:rtl/>
        </w:rPr>
        <w:t>(11)</w:t>
      </w:r>
      <w:r w:rsidRPr="00020424">
        <w:rPr>
          <w:rtl/>
          <w:lang w:bidi="fa-IR"/>
        </w:rPr>
        <w:t xml:space="preserve"> أَنْ أَحْبِسَ مِنْهَا شَيْئاً </w:t>
      </w:r>
      <w:r w:rsidRPr="00A91B96">
        <w:rPr>
          <w:rStyle w:val="libFootnotenumChar"/>
          <w:rtl/>
        </w:rPr>
        <w:t>(12)</w:t>
      </w:r>
      <w:r w:rsidRPr="00020424">
        <w:rPr>
          <w:rtl/>
          <w:lang w:bidi="fa-IR"/>
        </w:rPr>
        <w:t xml:space="preserve"> مَخَافَةَ أَنْ يَجِيئَنِي مَنْ يَسْأَلُنِي</w:t>
      </w:r>
      <w:r>
        <w:rPr>
          <w:rtl/>
          <w:lang w:bidi="fa-IR"/>
        </w:rPr>
        <w:t>؟</w:t>
      </w:r>
    </w:p>
    <w:p w:rsidR="00992664" w:rsidRPr="00020424" w:rsidRDefault="00992664" w:rsidP="00992664">
      <w:pPr>
        <w:pStyle w:val="libNormal"/>
        <w:rPr>
          <w:rtl/>
          <w:lang w:bidi="fa-IR"/>
        </w:rPr>
      </w:pPr>
      <w:r w:rsidRPr="00020424">
        <w:rPr>
          <w:rtl/>
          <w:lang w:bidi="fa-IR"/>
        </w:rPr>
        <w:t xml:space="preserve">فَقَالَ : « إِذَا حَالَ </w:t>
      </w:r>
      <w:r w:rsidRPr="00A91B96">
        <w:rPr>
          <w:rStyle w:val="libFootnotenumChar"/>
          <w:rtl/>
        </w:rPr>
        <w:t>(13)</w:t>
      </w:r>
      <w:r w:rsidRPr="00020424">
        <w:rPr>
          <w:rtl/>
          <w:lang w:bidi="fa-IR"/>
        </w:rPr>
        <w:t xml:space="preserve"> الْحَوْلُ ، فَأَخْرِجْهَا مِنْ مَالِكَ ، لَاتَخْلُطْهَا </w:t>
      </w:r>
      <w:r w:rsidRPr="00A91B96">
        <w:rPr>
          <w:rStyle w:val="libFootnotenumChar"/>
          <w:rtl/>
        </w:rPr>
        <w:t>(14)</w:t>
      </w:r>
      <w:r w:rsidRPr="00020424">
        <w:rPr>
          <w:rtl/>
          <w:lang w:bidi="fa-IR"/>
        </w:rPr>
        <w:t xml:space="preserve"> بِشَيْ‌ءٍ ، ثُمَّ </w:t>
      </w:r>
      <w:r w:rsidRPr="00A91B96">
        <w:rPr>
          <w:rStyle w:val="libFootnotenumChar"/>
          <w:rtl/>
        </w:rPr>
        <w:t>(15)</w:t>
      </w:r>
      <w:r w:rsidRPr="00020424">
        <w:rPr>
          <w:rtl/>
          <w:lang w:bidi="fa-IR"/>
        </w:rPr>
        <w:t xml:space="preserve"> أَعْطِهَا كَيْفَ شِئْتَ</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جاءك</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 « في</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w:t>
      </w:r>
      <w:r w:rsidR="00992664">
        <w:rPr>
          <w:rtl/>
        </w:rPr>
        <w:t>و »</w:t>
      </w:r>
      <w:r w:rsidR="00992664" w:rsidRPr="00020424">
        <w:rPr>
          <w:rtl/>
        </w:rPr>
        <w:t xml:space="preserve"> بدل « من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42EF7" w:rsidTr="00B42EF7">
        <w:tc>
          <w:tcPr>
            <w:tcW w:w="4006" w:type="dxa"/>
          </w:tcPr>
          <w:p w:rsidR="00B42EF7" w:rsidRDefault="00B42EF7" w:rsidP="00992664">
            <w:pPr>
              <w:pStyle w:val="libFootnote0"/>
              <w:rPr>
                <w:rtl/>
              </w:rPr>
            </w:pPr>
            <w:r>
              <w:rPr>
                <w:rtl/>
              </w:rPr>
              <w:t xml:space="preserve">(4). </w:t>
            </w:r>
            <w:r w:rsidRPr="00020424">
              <w:rPr>
                <w:rtl/>
              </w:rPr>
              <w:t>في « بس » : + « كنت</w:t>
            </w:r>
            <w:r>
              <w:rPr>
                <w:rtl/>
              </w:rPr>
              <w:t xml:space="preserve"> ».</w:t>
            </w:r>
          </w:p>
        </w:tc>
        <w:tc>
          <w:tcPr>
            <w:tcW w:w="4006" w:type="dxa"/>
          </w:tcPr>
          <w:p w:rsidR="00B42EF7" w:rsidRDefault="00B42EF7" w:rsidP="00992664">
            <w:pPr>
              <w:pStyle w:val="libFootnote0"/>
              <w:rPr>
                <w:rtl/>
              </w:rPr>
            </w:pPr>
            <w:r>
              <w:rPr>
                <w:rtl/>
              </w:rPr>
              <w:t xml:space="preserve">(5). </w:t>
            </w:r>
            <w:r w:rsidRPr="00020424">
              <w:rPr>
                <w:rtl/>
              </w:rPr>
              <w:t xml:space="preserve">في « بخ ، بر ، بف » </w:t>
            </w:r>
            <w:r w:rsidRPr="00515444">
              <w:rPr>
                <w:rStyle w:val="libFootnoteBoldChar"/>
                <w:rtl/>
              </w:rPr>
              <w:t>والوافي</w:t>
            </w:r>
            <w:r w:rsidRPr="00020424">
              <w:rPr>
                <w:rtl/>
              </w:rPr>
              <w:t xml:space="preserve"> : « مثل</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هذا الخبر كأنّه ورد في مال التجارة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138 ، ح 9315 ؛ </w:t>
      </w:r>
      <w:r w:rsidR="00992664" w:rsidRPr="0012008A">
        <w:rPr>
          <w:rStyle w:val="libFootnoteBoldChar"/>
          <w:rtl/>
        </w:rPr>
        <w:t>الوسائل</w:t>
      </w:r>
      <w:r w:rsidR="00992664" w:rsidRPr="00020424">
        <w:rPr>
          <w:rtl/>
        </w:rPr>
        <w:t xml:space="preserve"> ، ج 9 ، ص 166 ، ح 11752.</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بح ، بخ ، بر ، بف » : « فلمّا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فأمّا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138 ، ح 9316 ؛ </w:t>
      </w:r>
      <w:r w:rsidR="00992664" w:rsidRPr="0012008A">
        <w:rPr>
          <w:rStyle w:val="libFootnoteBoldChar"/>
          <w:rtl/>
        </w:rPr>
        <w:t>الوسائل</w:t>
      </w:r>
      <w:r w:rsidR="00992664" w:rsidRPr="00020424">
        <w:rPr>
          <w:rtl/>
        </w:rPr>
        <w:t xml:space="preserve"> ، ج 9 ، ص 171 ، ح 11765 ؛ وص 306 ، ح 12086.</w:t>
      </w:r>
    </w:p>
    <w:tbl>
      <w:tblPr>
        <w:tblStyle w:val="TableGrid"/>
        <w:bidiVisual/>
        <w:tblW w:w="0" w:type="auto"/>
        <w:tblLook w:val="04A0" w:firstRow="1" w:lastRow="0" w:firstColumn="1" w:lastColumn="0" w:noHBand="0" w:noVBand="1"/>
      </w:tblPr>
      <w:tblGrid>
        <w:gridCol w:w="4006"/>
        <w:gridCol w:w="4006"/>
      </w:tblGrid>
      <w:tr w:rsidR="005B1776" w:rsidTr="005B1776">
        <w:tc>
          <w:tcPr>
            <w:tcW w:w="4006" w:type="dxa"/>
          </w:tcPr>
          <w:p w:rsidR="005B1776" w:rsidRDefault="005B1776" w:rsidP="00992664">
            <w:pPr>
              <w:pStyle w:val="libFootnote0"/>
              <w:rPr>
                <w:rtl/>
              </w:rPr>
            </w:pPr>
            <w:r>
              <w:rPr>
                <w:rtl/>
              </w:rPr>
              <w:t xml:space="preserve">(10). </w:t>
            </w:r>
            <w:r w:rsidRPr="00020424">
              <w:rPr>
                <w:rtl/>
              </w:rPr>
              <w:t>في « بر » :</w:t>
            </w:r>
            <w:r>
              <w:rPr>
                <w:rtl/>
              </w:rPr>
              <w:t xml:space="preserve"> - </w:t>
            </w:r>
            <w:r w:rsidRPr="00020424">
              <w:rPr>
                <w:rtl/>
              </w:rPr>
              <w:t>« بن يحيى</w:t>
            </w:r>
            <w:r>
              <w:rPr>
                <w:rtl/>
              </w:rPr>
              <w:t xml:space="preserve"> ».</w:t>
            </w:r>
          </w:p>
        </w:tc>
        <w:tc>
          <w:tcPr>
            <w:tcW w:w="4006" w:type="dxa"/>
          </w:tcPr>
          <w:p w:rsidR="005B1776" w:rsidRDefault="005B1776" w:rsidP="00992664">
            <w:pPr>
              <w:pStyle w:val="libFootnote0"/>
              <w:rPr>
                <w:rtl/>
              </w:rPr>
            </w:pPr>
            <w:r>
              <w:rPr>
                <w:rtl/>
              </w:rPr>
              <w:t xml:space="preserve">(11). </w:t>
            </w:r>
            <w:r w:rsidRPr="00020424">
              <w:rPr>
                <w:rtl/>
              </w:rPr>
              <w:t>في « ى » :</w:t>
            </w:r>
            <w:r>
              <w:rPr>
                <w:rtl/>
              </w:rPr>
              <w:t xml:space="preserve"> - </w:t>
            </w:r>
            <w:r w:rsidRPr="00020424">
              <w:rPr>
                <w:rtl/>
              </w:rPr>
              <w:t>« لي</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 « شيئاً منها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بح ، جن » : + « عليها</w:t>
      </w:r>
      <w:r w:rsidR="00992664">
        <w:rPr>
          <w:rtl/>
        </w:rPr>
        <w:t xml:space="preserve"> ».</w:t>
      </w:r>
      <w:r w:rsidR="00992664" w:rsidRPr="00020424">
        <w:rPr>
          <w:rtl/>
        </w:rPr>
        <w:t xml:space="preserve"> وفي « بخ ، بر » : « جاءك</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ى ، بث ، بح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ولا تخلطها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ى ، بر » :</w:t>
      </w:r>
      <w:r w:rsidR="00992664">
        <w:rPr>
          <w:rtl/>
        </w:rPr>
        <w:t xml:space="preserve"> </w:t>
      </w:r>
      <w:r w:rsidR="009B673F">
        <w:rPr>
          <w:rtl/>
        </w:rPr>
        <w:t>-</w:t>
      </w:r>
      <w:r w:rsidR="00992664">
        <w:rPr>
          <w:rtl/>
        </w:rPr>
        <w:t xml:space="preserve"> </w:t>
      </w:r>
      <w:r w:rsidR="00992664" w:rsidRPr="00020424">
        <w:rPr>
          <w:rtl/>
        </w:rPr>
        <w:t>« ثمّ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 قُلْتُ : فَإِنْ أَنَا كَتَبْتُهَا </w:t>
      </w:r>
      <w:r w:rsidRPr="00A91B96">
        <w:rPr>
          <w:rStyle w:val="libFootnotenumChar"/>
          <w:rtl/>
        </w:rPr>
        <w:t>(1)</w:t>
      </w:r>
      <w:r w:rsidRPr="00020424">
        <w:rPr>
          <w:rtl/>
          <w:lang w:bidi="fa-IR"/>
        </w:rPr>
        <w:t xml:space="preserve"> وَأَثْبَتُّهَا </w:t>
      </w:r>
      <w:r w:rsidRPr="00A91B96">
        <w:rPr>
          <w:rStyle w:val="libFootnotenumChar"/>
          <w:rtl/>
        </w:rPr>
        <w:t>(2)</w:t>
      </w:r>
      <w:r w:rsidRPr="00020424">
        <w:rPr>
          <w:rtl/>
          <w:lang w:bidi="fa-IR"/>
        </w:rPr>
        <w:t xml:space="preserve"> ، يَسْتَقِيمُ </w:t>
      </w:r>
      <w:r w:rsidRPr="00A91B96">
        <w:rPr>
          <w:rStyle w:val="libFootnotenumChar"/>
          <w:rtl/>
        </w:rPr>
        <w:t>(3)</w:t>
      </w:r>
      <w:r w:rsidRPr="00020424">
        <w:rPr>
          <w:rtl/>
          <w:lang w:bidi="fa-IR"/>
        </w:rPr>
        <w:t xml:space="preserve"> لِي</w:t>
      </w:r>
      <w:r>
        <w:rPr>
          <w:rtl/>
          <w:lang w:bidi="fa-IR"/>
        </w:rPr>
        <w:t>؟</w:t>
      </w:r>
    </w:p>
    <w:p w:rsidR="00992664" w:rsidRPr="00020424" w:rsidRDefault="00992664" w:rsidP="00992664">
      <w:pPr>
        <w:pStyle w:val="libNormal"/>
        <w:rPr>
          <w:rtl/>
          <w:lang w:bidi="fa-IR"/>
        </w:rPr>
      </w:pPr>
      <w:r w:rsidRPr="00020424">
        <w:rPr>
          <w:rtl/>
          <w:lang w:bidi="fa-IR"/>
        </w:rPr>
        <w:t xml:space="preserve">قَالَ : </w:t>
      </w:r>
      <w:r w:rsidRPr="00A91B96">
        <w:rPr>
          <w:rStyle w:val="libFootnotenumChar"/>
          <w:rtl/>
        </w:rPr>
        <w:t>(4)</w:t>
      </w:r>
      <w:r w:rsidRPr="00020424">
        <w:rPr>
          <w:rtl/>
          <w:lang w:bidi="fa-IR"/>
        </w:rPr>
        <w:t xml:space="preserve"> « لَا يَضُرُّكَ</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E57529">
        <w:rPr>
          <w:rtl/>
        </w:rPr>
        <w:t>5824</w:t>
      </w:r>
      <w:r w:rsidRPr="001155DE">
        <w:rPr>
          <w:rStyle w:val="libBold2Char"/>
          <w:rtl/>
        </w:rPr>
        <w:t xml:space="preserve"> / 4.</w:t>
      </w:r>
      <w:r w:rsidRPr="00020424">
        <w:rPr>
          <w:rtl/>
          <w:lang w:bidi="fa-IR"/>
        </w:rPr>
        <w:t xml:space="preserve"> عِدَّةٌ مِنْ أَصْحَابِنَا ، عَنْ أَحْمَدَ بْنِ مُحَمَّدٍ ، عَنْ مُحَمَّدِ بْنِ خَالِدٍ الْبَرْقِيِّ ، عَنْ سَعْدِ بْنِ سَعْدٍ الْأَشْعَرِيِّ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سَأَلْتُهُ </w:t>
      </w:r>
      <w:r w:rsidRPr="00A91B96">
        <w:rPr>
          <w:rStyle w:val="libFootnotenumChar"/>
          <w:rtl/>
        </w:rPr>
        <w:t>(6)</w:t>
      </w:r>
      <w:r w:rsidRPr="00020424">
        <w:rPr>
          <w:rtl/>
          <w:lang w:bidi="fa-IR"/>
        </w:rPr>
        <w:t xml:space="preserve"> عَنِ الرَّجُلِ تَحِلُّ </w:t>
      </w:r>
      <w:r w:rsidRPr="00A91B96">
        <w:rPr>
          <w:rStyle w:val="libFootnotenumChar"/>
          <w:rtl/>
        </w:rPr>
        <w:t>(7)</w:t>
      </w:r>
      <w:r w:rsidRPr="00020424">
        <w:rPr>
          <w:rtl/>
          <w:lang w:bidi="fa-IR"/>
        </w:rPr>
        <w:t xml:space="preserve"> عَلَيْهِ الزَّكَاةُ فِي السَّنَةِ فِي ثَلَاثَةِ </w:t>
      </w:r>
      <w:r w:rsidRPr="00A91B96">
        <w:rPr>
          <w:rStyle w:val="libFootnotenumChar"/>
          <w:rtl/>
        </w:rPr>
        <w:t>(8)</w:t>
      </w:r>
      <w:r>
        <w:rPr>
          <w:rtl/>
          <w:lang w:bidi="fa-IR"/>
        </w:rPr>
        <w:t xml:space="preserve"> أَوْقَاتٍ : أَ</w:t>
      </w:r>
      <w:r w:rsidRPr="00020424">
        <w:rPr>
          <w:rtl/>
          <w:lang w:bidi="fa-IR"/>
        </w:rPr>
        <w:t>يُؤَخِّرُهَا حَتّى يَدْفَعَهَا فِي وَقْتٍ وَاحِدٍ</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(9)</w:t>
      </w:r>
      <w:r w:rsidRPr="00020424">
        <w:rPr>
          <w:rtl/>
          <w:lang w:bidi="fa-IR"/>
        </w:rPr>
        <w:t xml:space="preserve"> : « مَتى حَلَّتْ أَخْرَجَهَا</w:t>
      </w:r>
      <w:r>
        <w:rPr>
          <w:rtl/>
          <w:lang w:bidi="fa-IR"/>
        </w:rPr>
        <w:t xml:space="preserve"> ».</w:t>
      </w:r>
    </w:p>
    <w:p w:rsidR="00992664" w:rsidRPr="00020424" w:rsidRDefault="00992664" w:rsidP="00992664">
      <w:pPr>
        <w:pStyle w:val="libNormal"/>
        <w:rPr>
          <w:rtl/>
          <w:lang w:bidi="fa-IR"/>
        </w:rPr>
      </w:pPr>
      <w:r w:rsidRPr="00020424">
        <w:rPr>
          <w:rtl/>
          <w:lang w:bidi="fa-IR"/>
        </w:rPr>
        <w:t>وَعَنِ الزَّكَاةِ فِي الْحِنْطَةِ وَالشَّعِيرِ وَالتَّمْرِ وَالزَّبِيبِ ، مَتى تَجِبُ عَلى صَاحِبِهَا</w:t>
      </w:r>
      <w:r>
        <w:rPr>
          <w:rtl/>
          <w:lang w:bidi="fa-IR"/>
        </w:rPr>
        <w:t>؟</w:t>
      </w:r>
    </w:p>
    <w:p w:rsidR="00992664" w:rsidRPr="00020424" w:rsidRDefault="00992664" w:rsidP="00992664">
      <w:pPr>
        <w:pStyle w:val="libNormal"/>
        <w:rPr>
          <w:rtl/>
          <w:lang w:bidi="fa-IR"/>
        </w:rPr>
      </w:pPr>
      <w:r w:rsidRPr="00020424">
        <w:rPr>
          <w:rtl/>
          <w:lang w:bidi="fa-IR"/>
        </w:rPr>
        <w:t xml:space="preserve">قَالَ : « إِذَا مَا صَرَمَ </w:t>
      </w:r>
      <w:r w:rsidRPr="00A91B96">
        <w:rPr>
          <w:rStyle w:val="libFootnotenumChar"/>
          <w:rtl/>
        </w:rPr>
        <w:t>(10)</w:t>
      </w:r>
      <w:r w:rsidRPr="00020424">
        <w:rPr>
          <w:rtl/>
          <w:lang w:bidi="fa-IR"/>
        </w:rPr>
        <w:t xml:space="preserve"> ، وَإِذَا مَا خَرَصَ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E57529">
        <w:rPr>
          <w:rtl/>
        </w:rPr>
        <w:t>مرآة العقول</w:t>
      </w:r>
      <w:r w:rsidR="00992664" w:rsidRPr="00020424">
        <w:rPr>
          <w:rtl/>
        </w:rPr>
        <w:t xml:space="preserve"> : « ظاهره</w:t>
      </w:r>
      <w:r w:rsidR="00992664">
        <w:rPr>
          <w:rtl/>
        </w:rPr>
        <w:t xml:space="preserve"> </w:t>
      </w:r>
      <w:r w:rsidR="009B673F">
        <w:rPr>
          <w:rtl/>
        </w:rPr>
        <w:t>-</w:t>
      </w:r>
      <w:r w:rsidR="00992664">
        <w:rPr>
          <w:rtl/>
        </w:rPr>
        <w:t xml:space="preserve"> </w:t>
      </w:r>
      <w:r w:rsidR="00992664" w:rsidRPr="00020424">
        <w:rPr>
          <w:rtl/>
        </w:rPr>
        <w:t>أي الخبر</w:t>
      </w:r>
      <w:r w:rsidR="00992664">
        <w:rPr>
          <w:rtl/>
        </w:rPr>
        <w:t xml:space="preserve"> </w:t>
      </w:r>
      <w:r w:rsidR="009B673F">
        <w:rPr>
          <w:rtl/>
        </w:rPr>
        <w:t>-</w:t>
      </w:r>
      <w:r w:rsidR="00992664">
        <w:rPr>
          <w:rtl/>
        </w:rPr>
        <w:t xml:space="preserve"> </w:t>
      </w:r>
      <w:r w:rsidR="00992664" w:rsidRPr="00020424">
        <w:rPr>
          <w:rtl/>
        </w:rPr>
        <w:t>أنّ الكتابة أيضاً تقوم مقام العزل ، فتأمّل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842B6" w:rsidTr="001842B6">
        <w:tc>
          <w:tcPr>
            <w:tcW w:w="4006" w:type="dxa"/>
          </w:tcPr>
          <w:p w:rsidR="001842B6" w:rsidRDefault="001842B6" w:rsidP="00992664">
            <w:pPr>
              <w:pStyle w:val="libFootnote0"/>
              <w:rPr>
                <w:rtl/>
              </w:rPr>
            </w:pPr>
            <w:r>
              <w:rPr>
                <w:rtl/>
              </w:rPr>
              <w:t xml:space="preserve">(2). </w:t>
            </w:r>
            <w:r w:rsidRPr="00020424">
              <w:rPr>
                <w:rtl/>
              </w:rPr>
              <w:t>في « بح » : « فأثبتّها</w:t>
            </w:r>
            <w:r>
              <w:rPr>
                <w:rtl/>
              </w:rPr>
              <w:t xml:space="preserve"> ».</w:t>
            </w:r>
          </w:p>
        </w:tc>
        <w:tc>
          <w:tcPr>
            <w:tcW w:w="4006" w:type="dxa"/>
          </w:tcPr>
          <w:p w:rsidR="001842B6" w:rsidRDefault="001842B6"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أيستقيم</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 نعم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45 ، ح 119 ، بسنده عن الحسن بن عليّ بن فضّال ، عن يونس بن يعقوب ، مع اختلاف يسير </w:t>
      </w:r>
      <w:r w:rsidR="00891A23">
        <w:rPr>
          <w:rFonts w:hint="cs"/>
          <w:rtl/>
        </w:rPr>
        <w:t>.</w:t>
      </w:r>
      <w:r w:rsidR="00992664" w:rsidRPr="0012008A">
        <w:rPr>
          <w:rStyle w:val="libFootnoteBoldChar"/>
          <w:rtl/>
        </w:rPr>
        <w:t>الوافي</w:t>
      </w:r>
      <w:r w:rsidR="00992664" w:rsidRPr="00020424">
        <w:rPr>
          <w:rtl/>
        </w:rPr>
        <w:t xml:space="preserve"> ، ج 10 ، ص 138 ، ح 9317 ؛ </w:t>
      </w:r>
      <w:r w:rsidR="00992664" w:rsidRPr="0012008A">
        <w:rPr>
          <w:rStyle w:val="libFootnoteBoldChar"/>
          <w:rtl/>
        </w:rPr>
        <w:t>الوسائل</w:t>
      </w:r>
      <w:r w:rsidR="00992664" w:rsidRPr="00020424">
        <w:rPr>
          <w:rtl/>
        </w:rPr>
        <w:t xml:space="preserve"> ، ج 9 ، ص 307 ، ح 12088.</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12087. وفي المطبوع : « سألت</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بح ، بس » : « يحلّ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12087. وفي « ظ » والمطبوع : « ثلاث</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ى ، بث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إذا صرم » بدون « ما</w:t>
      </w:r>
      <w:r w:rsidR="00992664">
        <w:rPr>
          <w:rtl/>
        </w:rPr>
        <w:t xml:space="preserve"> ».</w:t>
      </w:r>
      <w:r w:rsidR="00992664" w:rsidRPr="00020424">
        <w:rPr>
          <w:rtl/>
        </w:rPr>
        <w:t xml:space="preserve"> </w:t>
      </w:r>
      <w:r w:rsidR="00992664">
        <w:rPr>
          <w:rtl/>
        </w:rPr>
        <w:t>و «</w:t>
      </w:r>
      <w:r w:rsidR="00992664" w:rsidRPr="00020424">
        <w:rPr>
          <w:rtl/>
        </w:rPr>
        <w:t xml:space="preserve"> صرم » : قطع ، من الصَرْم وهو القطع البائن ، وعمّ بعضهم به القطع أيّ نوع كان. راجع : </w:t>
      </w:r>
      <w:r w:rsidR="00992664" w:rsidRPr="0012008A">
        <w:rPr>
          <w:rStyle w:val="libFootnoteBoldChar"/>
          <w:rtl/>
        </w:rPr>
        <w:t>الصحاح</w:t>
      </w:r>
      <w:r w:rsidR="00992664" w:rsidRPr="00020424">
        <w:rPr>
          <w:rtl/>
        </w:rPr>
        <w:t xml:space="preserve"> ، ج 5 ، ص 1965 ؛ </w:t>
      </w:r>
      <w:r w:rsidR="00992664" w:rsidRPr="00A722B1">
        <w:rPr>
          <w:rStyle w:val="libFootnoteBoldChar"/>
          <w:rtl/>
        </w:rPr>
        <w:t>لسان العرب</w:t>
      </w:r>
      <w:r w:rsidR="00992664" w:rsidRPr="00020424">
        <w:rPr>
          <w:rtl/>
        </w:rPr>
        <w:t xml:space="preserve"> ، ج 12 ، ص 334 ( صرم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ى ، بث ، بح ، بر ، بس ، بف ، جن » </w:t>
      </w:r>
      <w:r w:rsidR="00992664" w:rsidRPr="00515444">
        <w:rPr>
          <w:rStyle w:val="libFootnoteBoldChar"/>
          <w:rtl/>
        </w:rPr>
        <w:t>والوافي</w:t>
      </w:r>
      <w:r w:rsidR="00992664" w:rsidRPr="00020424">
        <w:rPr>
          <w:rtl/>
        </w:rPr>
        <w:t xml:space="preserve"> : « وإذا خرص » بدون « ما</w:t>
      </w:r>
      <w:r w:rsidR="00992664">
        <w:rPr>
          <w:rtl/>
        </w:rPr>
        <w:t xml:space="preserve"> ».</w:t>
      </w:r>
      <w:r w:rsidR="00992664" w:rsidRPr="00020424">
        <w:rPr>
          <w:rtl/>
        </w:rPr>
        <w:t xml:space="preserve"> </w:t>
      </w:r>
      <w:r w:rsidR="00992664">
        <w:rPr>
          <w:rtl/>
        </w:rPr>
        <w:t>و «</w:t>
      </w:r>
      <w:r w:rsidR="00992664" w:rsidRPr="00020424">
        <w:rPr>
          <w:rtl/>
        </w:rPr>
        <w:t xml:space="preserve"> خَرَصَ » ، أي قدّر بالظنّ والتخمين ، من الخَرْص ، وهو حَرْز ما على النخل من الرطب تمراً ومن العنب زبيباً ، فهو من الخَرْص بمعنى الظنّ ؛ لأنّ الحرز إنّما هو تقدير بظنّ. راجع : </w:t>
      </w:r>
      <w:r w:rsidR="00992664" w:rsidRPr="0012008A">
        <w:rPr>
          <w:rStyle w:val="libFootnoteBoldChar"/>
          <w:rtl/>
        </w:rPr>
        <w:t>الصحاح</w:t>
      </w:r>
      <w:r w:rsidR="00992664" w:rsidRPr="00020424">
        <w:rPr>
          <w:rtl/>
        </w:rPr>
        <w:t xml:space="preserve"> ، ج 3 ، ص 135 ؛ </w:t>
      </w:r>
      <w:r w:rsidR="00992664" w:rsidRPr="0012008A">
        <w:rPr>
          <w:rStyle w:val="libFootnoteBoldChar"/>
          <w:rtl/>
        </w:rPr>
        <w:t>النهاية</w:t>
      </w:r>
      <w:r w:rsidR="00992664" w:rsidRPr="00E57529">
        <w:rPr>
          <w:rtl/>
        </w:rPr>
        <w:t xml:space="preserve"> </w:t>
      </w:r>
      <w:r w:rsidR="00891A23">
        <w:rPr>
          <w:rtl/>
        </w:rPr>
        <w:t>،ج 2 ، ص 22( خرص</w:t>
      </w:r>
      <w:r w:rsidR="00992664" w:rsidRPr="00020424">
        <w:rPr>
          <w:rtl/>
        </w:rPr>
        <w:t>)</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139 ، ح 9320 ؛ </w:t>
      </w:r>
      <w:r w:rsidR="00992664" w:rsidRPr="0012008A">
        <w:rPr>
          <w:rStyle w:val="libFootnoteBoldChar"/>
          <w:rtl/>
        </w:rPr>
        <w:t>الوسائل</w:t>
      </w:r>
      <w:r w:rsidR="00992664" w:rsidRPr="00020424">
        <w:rPr>
          <w:rtl/>
        </w:rPr>
        <w:t xml:space="preserve"> ، ج 9 ، ص 306 ، ح 12087 ؛ </w:t>
      </w:r>
      <w:r w:rsidR="00992664" w:rsidRPr="00E57529">
        <w:rPr>
          <w:rtl/>
        </w:rPr>
        <w:t>وفيه</w:t>
      </w:r>
      <w:r w:rsidR="00992664" w:rsidRPr="00020424">
        <w:rPr>
          <w:rtl/>
        </w:rPr>
        <w:t xml:space="preserve"> ، ص 194 ، ح 11817 ، من قوله : « وعن الزكاة في الحنطة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57529">
        <w:rPr>
          <w:rtl/>
        </w:rPr>
        <w:lastRenderedPageBreak/>
        <w:t>5825</w:t>
      </w:r>
      <w:r w:rsidRPr="001155DE">
        <w:rPr>
          <w:rStyle w:val="libBold2Char"/>
          <w:rtl/>
        </w:rPr>
        <w:t xml:space="preserve"> / 5.</w:t>
      </w:r>
      <w:r w:rsidRPr="00020424">
        <w:rPr>
          <w:rtl/>
          <w:lang w:bidi="fa-IR"/>
        </w:rPr>
        <w:t xml:space="preserve"> وَعَنْهُ </w:t>
      </w:r>
      <w:r w:rsidRPr="00A91B96">
        <w:rPr>
          <w:rStyle w:val="libFootnotenumChar"/>
          <w:rtl/>
        </w:rPr>
        <w:t>(1)</w:t>
      </w:r>
      <w:r w:rsidRPr="00020424">
        <w:rPr>
          <w:rtl/>
          <w:lang w:bidi="fa-IR"/>
        </w:rPr>
        <w:t xml:space="preserve"> ، عَنْ مُحَمَّدِ بْنِ حَمْزَةَ ، عَنِ الْأَصْبَهَانِيِّ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يَكُونُ لِي عَلَى الرَّجُلِ مَالٌ ، فَأَقْبِضُهُ مِنْهُ </w:t>
      </w:r>
      <w:r w:rsidRPr="00A91B96">
        <w:rPr>
          <w:rStyle w:val="libFootnotenumChar"/>
          <w:rtl/>
        </w:rPr>
        <w:t>(3)</w:t>
      </w:r>
      <w:r w:rsidRPr="00020424">
        <w:rPr>
          <w:rtl/>
          <w:lang w:bidi="fa-IR"/>
        </w:rPr>
        <w:t xml:space="preserve"> ، مَتى أُزَكِّيهِ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قَالَ : « إِذَا قَبَضْتَهُ ، فَزَكِّهِ</w:t>
      </w:r>
      <w:r>
        <w:rPr>
          <w:rtl/>
          <w:lang w:bidi="fa-IR"/>
        </w:rPr>
        <w:t xml:space="preserve"> ».</w:t>
      </w:r>
    </w:p>
    <w:p w:rsidR="00992664" w:rsidRPr="00020424" w:rsidRDefault="00992664" w:rsidP="00992664">
      <w:pPr>
        <w:pStyle w:val="libNormal"/>
        <w:rPr>
          <w:rtl/>
          <w:lang w:bidi="fa-IR"/>
        </w:rPr>
      </w:pPr>
      <w:r w:rsidRPr="00020424">
        <w:rPr>
          <w:rtl/>
          <w:lang w:bidi="fa-IR"/>
        </w:rPr>
        <w:t>قُلْتُ : فَإِنِّي أَقْبِضُ بَعْضَهُ فِي صَدْرِ السَّنَةِ ، وَبَعْضَهُ بَعْدَ ذلِكَ</w:t>
      </w:r>
      <w:r>
        <w:rPr>
          <w:rtl/>
          <w:lang w:bidi="fa-IR"/>
        </w:rPr>
        <w:t>؟</w:t>
      </w:r>
    </w:p>
    <w:p w:rsidR="00992664" w:rsidRPr="00020424" w:rsidRDefault="00992664" w:rsidP="00992664">
      <w:pPr>
        <w:pStyle w:val="libNormal"/>
        <w:rPr>
          <w:rtl/>
          <w:lang w:bidi="fa-IR"/>
        </w:rPr>
      </w:pPr>
      <w:r w:rsidRPr="00020424">
        <w:rPr>
          <w:rtl/>
          <w:lang w:bidi="fa-IR"/>
        </w:rPr>
        <w:t xml:space="preserve">قَالَ : فَتَبَسَّمَ ، ثُمَّ قَالَ : « مَا أَحْسَنَ مَا دَخَلْتَ </w:t>
      </w:r>
      <w:r w:rsidRPr="00A91B96">
        <w:rPr>
          <w:rStyle w:val="libFootnotenumChar"/>
          <w:rtl/>
        </w:rPr>
        <w:t>(5)</w:t>
      </w:r>
      <w:r w:rsidRPr="00020424">
        <w:rPr>
          <w:rtl/>
          <w:lang w:bidi="fa-IR"/>
        </w:rPr>
        <w:t xml:space="preserve"> فِيهَا </w:t>
      </w:r>
      <w:r w:rsidRPr="00A91B96">
        <w:rPr>
          <w:rStyle w:val="libFootnotenumChar"/>
          <w:rtl/>
        </w:rPr>
        <w:t>(6)</w:t>
      </w:r>
      <w:r w:rsidRPr="00020424">
        <w:rPr>
          <w:rtl/>
          <w:lang w:bidi="fa-IR"/>
        </w:rPr>
        <w:t xml:space="preserve"> » ثُمَّ قَالَ : « مَا قَبَضْتَهُ </w:t>
      </w:r>
      <w:r w:rsidRPr="00A91B96">
        <w:rPr>
          <w:rStyle w:val="libFootnotenumChar"/>
          <w:rtl/>
        </w:rPr>
        <w:t>(7)</w:t>
      </w:r>
      <w:r w:rsidRPr="00020424">
        <w:rPr>
          <w:rtl/>
          <w:lang w:bidi="fa-IR"/>
        </w:rPr>
        <w:t xml:space="preserve"> مِنْهُ </w:t>
      </w:r>
      <w:r w:rsidRPr="00A91B96">
        <w:rPr>
          <w:rStyle w:val="libFootnotenumChar"/>
          <w:rtl/>
        </w:rPr>
        <w:t>(8)</w:t>
      </w:r>
      <w:r w:rsidRPr="00020424">
        <w:rPr>
          <w:rtl/>
          <w:lang w:bidi="fa-IR"/>
        </w:rPr>
        <w:t xml:space="preserve"> فِي السِّتَّةِ </w:t>
      </w:r>
      <w:r w:rsidRPr="00A91B96">
        <w:rPr>
          <w:rStyle w:val="libFootnotenumChar"/>
          <w:rtl/>
        </w:rPr>
        <w:t>(9)</w:t>
      </w:r>
      <w:r w:rsidRPr="00020424">
        <w:rPr>
          <w:rtl/>
          <w:lang w:bidi="fa-IR"/>
        </w:rPr>
        <w:t xml:space="preserve"> الْأَشْهُرِ الْأُولى ، فَزَكِّهِ لِسَنَتِهِ </w:t>
      </w:r>
      <w:r w:rsidRPr="00A91B96">
        <w:rPr>
          <w:rStyle w:val="libFootnotenumChar"/>
          <w:rtl/>
        </w:rPr>
        <w:t>(10)</w:t>
      </w:r>
      <w:r w:rsidRPr="00020424">
        <w:rPr>
          <w:rtl/>
          <w:lang w:bidi="fa-IR"/>
        </w:rPr>
        <w:t xml:space="preserve"> ، وَمَا قَبَضْتَهُ </w:t>
      </w:r>
      <w:r w:rsidRPr="00A91B96">
        <w:rPr>
          <w:rStyle w:val="libFootnotenumChar"/>
          <w:rtl/>
        </w:rPr>
        <w:t>(11)</w:t>
      </w:r>
      <w:r w:rsidRPr="00020424">
        <w:rPr>
          <w:rtl/>
          <w:lang w:bidi="fa-IR"/>
        </w:rPr>
        <w:t xml:space="preserve"> بَعْدُ فِي السِّتَّةِ الْأَشْهُرِ الْأَخِيرَةِ ، فَاسْتَقْبِلْ بِهِ فِي السَّنَةِ الْمُسْتَقْبَلَةِ ، وَكَذلِكَ </w:t>
      </w:r>
      <w:r w:rsidRPr="00A91B96">
        <w:rPr>
          <w:rStyle w:val="libFootnotenumChar"/>
          <w:rtl/>
        </w:rPr>
        <w:t>(12)</w:t>
      </w:r>
      <w:r w:rsidRPr="00020424">
        <w:rPr>
          <w:rtl/>
          <w:lang w:bidi="fa-IR"/>
        </w:rPr>
        <w:t xml:space="preserve"> إِذَا اسْتَفَدْتَ مَالاً مُنْقَطِعاً </w:t>
      </w:r>
      <w:r w:rsidRPr="00A91B96">
        <w:rPr>
          <w:rStyle w:val="libFootnotenumChar"/>
          <w:rtl/>
        </w:rPr>
        <w:t>(13)</w:t>
      </w:r>
      <w:r w:rsidRPr="00020424">
        <w:rPr>
          <w:rtl/>
          <w:lang w:bidi="fa-IR"/>
        </w:rPr>
        <w:t xml:space="preserve"> فِي السَّنَةِ كُلِّهَا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بس ، بف » : « عنه » بدون الواو. والظاهر رجوع الضمير إلى أحمد بن محمّد ؛ فقد روى أحمد بن محمّد بن عيسى عن محمّد بن حمزة بن اليسع ومحمّد بن حمزة الأشعري في </w:t>
      </w:r>
      <w:r w:rsidR="00992664" w:rsidRPr="00E57529">
        <w:rPr>
          <w:rtl/>
        </w:rPr>
        <w:t>الكافي</w:t>
      </w:r>
      <w:r w:rsidR="00992664" w:rsidRPr="00020424">
        <w:rPr>
          <w:rtl/>
        </w:rPr>
        <w:t xml:space="preserve"> ، ح 12706 ؛ و</w:t>
      </w:r>
      <w:r w:rsidR="00992664" w:rsidRPr="00E57529">
        <w:rPr>
          <w:rtl/>
        </w:rPr>
        <w:t>رجال الكشّي</w:t>
      </w:r>
      <w:r w:rsidR="00992664" w:rsidRPr="00020424">
        <w:rPr>
          <w:rtl/>
        </w:rPr>
        <w:t xml:space="preserve"> ، ص 616 ، الرقم 1150 ، لاحظ أيضاً </w:t>
      </w:r>
      <w:r w:rsidR="00992664" w:rsidRPr="00E57529">
        <w:rPr>
          <w:rtl/>
        </w:rPr>
        <w:t>الاختصاص</w:t>
      </w:r>
      <w:r w:rsidR="00992664" w:rsidRPr="00020424">
        <w:rPr>
          <w:rtl/>
        </w:rPr>
        <w:t xml:space="preserve"> ، ص 87.</w:t>
      </w:r>
    </w:p>
    <w:p w:rsidR="00992664" w:rsidRPr="00891A23" w:rsidRDefault="00992664" w:rsidP="00891A23">
      <w:pPr>
        <w:pStyle w:val="libFootnote0"/>
        <w:rPr>
          <w:rtl/>
        </w:rPr>
      </w:pPr>
      <w:r w:rsidRPr="00891A23">
        <w:rPr>
          <w:rtl/>
        </w:rPr>
        <w:t>فعليه يكون السند معلّقاً على سابقه.</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ى ، بث ، بح ، بخ ، بر ، بس ، بف » وحاشية « جن » </w:t>
      </w:r>
      <w:r w:rsidR="00992664" w:rsidRPr="00EB1FD9">
        <w:rPr>
          <w:rStyle w:val="libFootnoteBoldChar"/>
          <w:rtl/>
        </w:rPr>
        <w:t>والوسائل</w:t>
      </w:r>
      <w:r w:rsidR="00992664" w:rsidRPr="00020424">
        <w:rPr>
          <w:rtl/>
        </w:rPr>
        <w:t>. وفي « ظ ، جن » والمطبوع : « الإصفهاني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كأنّ قوله : متى ازكّيه ، سؤال عن ابتداء حول الزكاة ؛ يعني به متى أبتدئ في احتساب حوله ، فأجابه </w:t>
      </w:r>
      <w:r w:rsidR="00992664" w:rsidRPr="00D64ADA">
        <w:rPr>
          <w:rStyle w:val="libFootnoteAlaemChar"/>
          <w:rtl/>
        </w:rPr>
        <w:t>عليه‌السلام</w:t>
      </w:r>
      <w:r w:rsidR="00992664" w:rsidRPr="00020424">
        <w:rPr>
          <w:rtl/>
        </w:rPr>
        <w:t xml:space="preserve"> بقوله : إذا قبضته فزكّه ، أي اجعل وقت القبض ابتداء الحول ، ثمّ أجابه </w:t>
      </w:r>
      <w:r w:rsidR="00992664" w:rsidRPr="00D64ADA">
        <w:rPr>
          <w:rStyle w:val="libFootnoteAlaemChar"/>
          <w:rtl/>
        </w:rPr>
        <w:t>عليه‌السلام</w:t>
      </w:r>
      <w:r w:rsidR="00992664" w:rsidRPr="00020424">
        <w:rPr>
          <w:rtl/>
        </w:rPr>
        <w:t xml:space="preserve"> في المسألة الثانية بأن يجعل ابتداء حول ما يستفيد في الستّة الأشهر الا</w:t>
      </w:r>
      <w:r w:rsidR="00891A23">
        <w:rPr>
          <w:rFonts w:hint="cs"/>
          <w:rtl/>
        </w:rPr>
        <w:t>ُ</w:t>
      </w:r>
      <w:r w:rsidR="00992664" w:rsidRPr="00020424">
        <w:rPr>
          <w:rtl/>
        </w:rPr>
        <w:t>ولى عند الشروع في الاستفادة وما يستفيد في الستّة الأشهر الا</w:t>
      </w:r>
      <w:r w:rsidR="00891A23">
        <w:rPr>
          <w:rFonts w:hint="cs"/>
          <w:rtl/>
        </w:rPr>
        <w:t>ُ</w:t>
      </w:r>
      <w:r w:rsidR="00992664" w:rsidRPr="00020424">
        <w:rPr>
          <w:rtl/>
        </w:rPr>
        <w:t>خرى عند الفراغ منها جميعاً ، فينجبر نقصان إحداهما بزيادة الا</w:t>
      </w:r>
      <w:r w:rsidR="00891A23">
        <w:rPr>
          <w:rFonts w:hint="cs"/>
          <w:rtl/>
        </w:rPr>
        <w:t>ُ</w:t>
      </w:r>
      <w:r w:rsidR="00992664" w:rsidRPr="00020424">
        <w:rPr>
          <w:rtl/>
        </w:rPr>
        <w:t>خرى ، ثمّ جعل هذا الحكم كلّيّاً في كلّ مال منقطع ، وينبغي تخصيصه بما إذا كان القسط الأوّل نصاباً ، أو جعل ابتداء الحول بعد تمام النصاب ، أو كان المال ممّا يتّجر به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11766 : « ما أدخلت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من السؤال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بث ، بخ ، بر ، بف » </w:t>
      </w:r>
      <w:r w:rsidR="00992664" w:rsidRPr="00515444">
        <w:rPr>
          <w:rStyle w:val="libFootnoteBoldChar"/>
          <w:rtl/>
        </w:rPr>
        <w:t>والوافي</w:t>
      </w:r>
      <w:r w:rsidR="00992664" w:rsidRPr="00020424">
        <w:rPr>
          <w:rtl/>
        </w:rPr>
        <w:t xml:space="preserve"> : « ما قبضت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91A23" w:rsidTr="00891A23">
        <w:tc>
          <w:tcPr>
            <w:tcW w:w="4006" w:type="dxa"/>
          </w:tcPr>
          <w:p w:rsidR="00891A23" w:rsidRDefault="00891A23" w:rsidP="00992664">
            <w:pPr>
              <w:pStyle w:val="libFootnote0"/>
              <w:rPr>
                <w:rtl/>
              </w:rPr>
            </w:pPr>
            <w:r>
              <w:rPr>
                <w:rtl/>
              </w:rPr>
              <w:t xml:space="preserve">(8). </w:t>
            </w:r>
            <w:r w:rsidRPr="00020424">
              <w:rPr>
                <w:rtl/>
              </w:rPr>
              <w:t>في « بس » :</w:t>
            </w:r>
            <w:r>
              <w:rPr>
                <w:rtl/>
              </w:rPr>
              <w:t xml:space="preserve"> - </w:t>
            </w:r>
            <w:r w:rsidRPr="00020424">
              <w:rPr>
                <w:rtl/>
              </w:rPr>
              <w:t>« منه</w:t>
            </w:r>
            <w:r>
              <w:rPr>
                <w:rtl/>
              </w:rPr>
              <w:t xml:space="preserve"> ».</w:t>
            </w:r>
          </w:p>
        </w:tc>
        <w:tc>
          <w:tcPr>
            <w:tcW w:w="4006" w:type="dxa"/>
          </w:tcPr>
          <w:p w:rsidR="00891A23" w:rsidRDefault="00891A23" w:rsidP="00992664">
            <w:pPr>
              <w:pStyle w:val="libFootnote0"/>
              <w:rPr>
                <w:rtl/>
              </w:rPr>
            </w:pPr>
            <w:r>
              <w:rPr>
                <w:rtl/>
              </w:rPr>
              <w:t xml:space="preserve">(9). </w:t>
            </w:r>
            <w:r w:rsidRPr="00020424">
              <w:rPr>
                <w:rtl/>
              </w:rPr>
              <w:t>في « بح » : « ستّة</w:t>
            </w:r>
            <w:r>
              <w:rPr>
                <w:rtl/>
              </w:rPr>
              <w:t xml:space="preserve"> ».</w:t>
            </w:r>
          </w:p>
        </w:tc>
      </w:tr>
      <w:tr w:rsidR="00891A23" w:rsidTr="00891A23">
        <w:tc>
          <w:tcPr>
            <w:tcW w:w="4006" w:type="dxa"/>
          </w:tcPr>
          <w:p w:rsidR="00891A23" w:rsidRDefault="00891A23" w:rsidP="00992664">
            <w:pPr>
              <w:pStyle w:val="libFootnote0"/>
              <w:rPr>
                <w:rtl/>
              </w:rPr>
            </w:pPr>
            <w:r>
              <w:rPr>
                <w:rtl/>
              </w:rPr>
              <w:t xml:space="preserve">(10). </w:t>
            </w:r>
            <w:r w:rsidRPr="00020424">
              <w:rPr>
                <w:rtl/>
              </w:rPr>
              <w:t>في « بخ » :</w:t>
            </w:r>
            <w:r>
              <w:rPr>
                <w:rtl/>
              </w:rPr>
              <w:t xml:space="preserve"> - </w:t>
            </w:r>
            <w:r w:rsidRPr="00020424">
              <w:rPr>
                <w:rtl/>
              </w:rPr>
              <w:t>« لسنته</w:t>
            </w:r>
            <w:r>
              <w:rPr>
                <w:rtl/>
              </w:rPr>
              <w:t>». وفي«بس»: «</w:t>
            </w:r>
            <w:r w:rsidRPr="00020424">
              <w:rPr>
                <w:rtl/>
              </w:rPr>
              <w:t>لستّة</w:t>
            </w:r>
            <w:r>
              <w:rPr>
                <w:rtl/>
              </w:rPr>
              <w:t>».</w:t>
            </w:r>
          </w:p>
        </w:tc>
        <w:tc>
          <w:tcPr>
            <w:tcW w:w="4006" w:type="dxa"/>
          </w:tcPr>
          <w:p w:rsidR="00891A23" w:rsidRDefault="00891A23" w:rsidP="00992664">
            <w:pPr>
              <w:pStyle w:val="libFootnote0"/>
              <w:rPr>
                <w:rtl/>
              </w:rPr>
            </w:pPr>
            <w:r>
              <w:rPr>
                <w:rtl/>
              </w:rPr>
              <w:t>(11). في «</w:t>
            </w:r>
            <w:r w:rsidRPr="00020424">
              <w:rPr>
                <w:rtl/>
              </w:rPr>
              <w:t xml:space="preserve">بث ، بخ ، بر » </w:t>
            </w:r>
            <w:r w:rsidRPr="00515444">
              <w:rPr>
                <w:rStyle w:val="libFootnoteBoldChar"/>
                <w:rtl/>
              </w:rPr>
              <w:t>والوافي</w:t>
            </w:r>
            <w:r w:rsidRPr="00020424">
              <w:rPr>
                <w:rtl/>
              </w:rPr>
              <w:t xml:space="preserve"> : « ما قبضت</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 « كذلك » بدون الواو.</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جن » : « مقطعاً</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11766 : « متقطّعاً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فَمَا </w:t>
      </w:r>
      <w:r w:rsidRPr="00A91B96">
        <w:rPr>
          <w:rStyle w:val="libFootnotenumChar"/>
          <w:rtl/>
        </w:rPr>
        <w:t>(1)</w:t>
      </w:r>
      <w:r w:rsidRPr="00020424">
        <w:rPr>
          <w:rtl/>
          <w:lang w:bidi="fa-IR"/>
        </w:rPr>
        <w:t xml:space="preserve"> اسْتَفَدْتَ مِنْهُ فِي أَوَّلِ السَّنَةِ إِلى سِتَّةِ أَشْهُرٍ ، فَزَكِّهِ فِي عَامِكَ ذلِكَ كُلِّهِ ، وَمَا اسْتَفَدْتَ بَعْدَ ذلِكَ ، فَاسْتَقْبِلْ بِهِ السَّنَةَ الْمُسْتَقْبَلَةَ</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5063A3">
        <w:rPr>
          <w:rtl/>
        </w:rPr>
        <w:t>5826</w:t>
      </w:r>
      <w:r w:rsidRPr="001155DE">
        <w:rPr>
          <w:rStyle w:val="libBold2Char"/>
          <w:rtl/>
        </w:rPr>
        <w:t xml:space="preserve"> / 6.</w:t>
      </w:r>
      <w:r w:rsidRPr="00020424">
        <w:rPr>
          <w:rtl/>
          <w:lang w:bidi="fa-IR"/>
        </w:rPr>
        <w:t xml:space="preserve"> أَحْمَدُ بْنُ مُحَمَّدٍ </w:t>
      </w:r>
      <w:r w:rsidRPr="00A91B96">
        <w:rPr>
          <w:rStyle w:val="libFootnotenumChar"/>
          <w:rtl/>
        </w:rPr>
        <w:t>(3)</w:t>
      </w:r>
      <w:r w:rsidRPr="00020424">
        <w:rPr>
          <w:rtl/>
          <w:lang w:bidi="fa-IR"/>
        </w:rPr>
        <w:t xml:space="preserve"> ، عَنْ عَلِيِّ بْنِ الْحَكَمِ ، عَنْ مُحَمَّدِ بْنِ يَحْيى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رَجُلٍ يَكُونُ نِصْفُ مَالِهِ عَيْناً وَنِصْفُهُ دَيْناً </w:t>
      </w:r>
      <w:r w:rsidRPr="00A91B96">
        <w:rPr>
          <w:rStyle w:val="libFootnotenumChar"/>
          <w:rtl/>
        </w:rPr>
        <w:t>(4)</w:t>
      </w:r>
      <w:r w:rsidRPr="00020424">
        <w:rPr>
          <w:rtl/>
          <w:lang w:bidi="fa-IR"/>
        </w:rPr>
        <w:t xml:space="preserve"> ، فَتَحِلُّ </w:t>
      </w:r>
      <w:r w:rsidRPr="00A91B96">
        <w:rPr>
          <w:rStyle w:val="libFootnotenumChar"/>
          <w:rtl/>
        </w:rPr>
        <w:t>(5)</w:t>
      </w:r>
      <w:r w:rsidRPr="00020424">
        <w:rPr>
          <w:rtl/>
          <w:lang w:bidi="fa-IR"/>
        </w:rPr>
        <w:t xml:space="preserve"> عَلَيْهِ الزَّكَاةُ</w:t>
      </w:r>
      <w:r>
        <w:rPr>
          <w:rtl/>
          <w:lang w:bidi="fa-IR"/>
        </w:rPr>
        <w:t>؟</w:t>
      </w:r>
    </w:p>
    <w:p w:rsidR="00992664" w:rsidRPr="00020424" w:rsidRDefault="00992664" w:rsidP="00992664">
      <w:pPr>
        <w:pStyle w:val="libNormal"/>
        <w:rPr>
          <w:rtl/>
          <w:lang w:bidi="fa-IR"/>
        </w:rPr>
      </w:pPr>
      <w:r w:rsidRPr="00020424">
        <w:rPr>
          <w:rtl/>
          <w:lang w:bidi="fa-IR"/>
        </w:rPr>
        <w:t xml:space="preserve">قَالَ : « يُزَكِّي </w:t>
      </w:r>
      <w:r w:rsidRPr="00A91B96">
        <w:rPr>
          <w:rStyle w:val="libFootnotenumChar"/>
          <w:rtl/>
        </w:rPr>
        <w:t>(6)</w:t>
      </w:r>
      <w:r w:rsidRPr="00020424">
        <w:rPr>
          <w:rtl/>
          <w:lang w:bidi="fa-IR"/>
        </w:rPr>
        <w:t xml:space="preserve"> الْعَيْنَ ، وَيَدَعُ </w:t>
      </w:r>
      <w:r w:rsidRPr="00A91B96">
        <w:rPr>
          <w:rStyle w:val="libFootnotenumChar"/>
          <w:rtl/>
        </w:rPr>
        <w:t>(7)</w:t>
      </w:r>
      <w:r w:rsidRPr="00020424">
        <w:rPr>
          <w:rtl/>
          <w:lang w:bidi="fa-IR"/>
        </w:rPr>
        <w:t xml:space="preserve"> الدَّيْنَ</w:t>
      </w:r>
      <w:r>
        <w:rPr>
          <w:rtl/>
          <w:lang w:bidi="fa-IR"/>
        </w:rPr>
        <w:t xml:space="preserve"> ».</w:t>
      </w:r>
    </w:p>
    <w:p w:rsidR="00992664" w:rsidRPr="00020424" w:rsidRDefault="00992664" w:rsidP="00992664">
      <w:pPr>
        <w:pStyle w:val="libNormal"/>
        <w:rPr>
          <w:rtl/>
          <w:lang w:bidi="fa-IR"/>
        </w:rPr>
      </w:pPr>
      <w:r w:rsidRPr="00020424">
        <w:rPr>
          <w:rtl/>
          <w:lang w:bidi="fa-IR"/>
        </w:rPr>
        <w:t>قُلْتُ : فَإِنَّهُ اقْتَضَاهُ بَعْدَ سِتَّةِ أَشْهُرٍ</w:t>
      </w:r>
      <w:r>
        <w:rPr>
          <w:rtl/>
          <w:lang w:bidi="fa-IR"/>
        </w:rPr>
        <w:t>؟</w:t>
      </w:r>
    </w:p>
    <w:p w:rsidR="00992664" w:rsidRPr="00020424" w:rsidRDefault="00992664" w:rsidP="00992664">
      <w:pPr>
        <w:pStyle w:val="libNormal"/>
        <w:rPr>
          <w:rtl/>
          <w:lang w:bidi="fa-IR"/>
        </w:rPr>
      </w:pPr>
      <w:r w:rsidRPr="00020424">
        <w:rPr>
          <w:rtl/>
          <w:lang w:bidi="fa-IR"/>
        </w:rPr>
        <w:t xml:space="preserve">قَالَ : « يُزَكِّيهِ </w:t>
      </w:r>
      <w:r w:rsidRPr="00A91B96">
        <w:rPr>
          <w:rStyle w:val="libFootnotenumChar"/>
          <w:rtl/>
        </w:rPr>
        <w:t>(8)</w:t>
      </w:r>
      <w:r w:rsidRPr="00020424">
        <w:rPr>
          <w:rtl/>
          <w:lang w:bidi="fa-IR"/>
        </w:rPr>
        <w:t xml:space="preserve"> حِينَ اقْتَضَاهُ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هُوَ </w:t>
      </w:r>
      <w:r w:rsidRPr="00A91B96">
        <w:rPr>
          <w:rStyle w:val="libFootnotenumChar"/>
          <w:rtl/>
        </w:rPr>
        <w:t>(9)</w:t>
      </w:r>
      <w:r w:rsidRPr="00020424">
        <w:rPr>
          <w:rtl/>
          <w:lang w:bidi="fa-IR"/>
        </w:rPr>
        <w:t xml:space="preserve"> حَالَ عَلَيْهِ الْحَوْلُ ، وَحَلَّ الشَّهْرُ الَّذِي كَانَ يُزَكِّي فِيهِ ، وَقَدْ أَتى لِنِصْفِ مَالِهِ سَنَةٌ ، وَلِنِصْفِهِ الْآخَرِ سِتَّةُ أَشْهُرٍ</w:t>
      </w:r>
      <w:r>
        <w:rPr>
          <w:rtl/>
          <w:lang w:bidi="fa-IR"/>
        </w:rPr>
        <w:t>؟</w:t>
      </w:r>
    </w:p>
    <w:p w:rsidR="00992664" w:rsidRPr="00020424" w:rsidRDefault="00992664" w:rsidP="00992664">
      <w:pPr>
        <w:pStyle w:val="libNormal"/>
        <w:rPr>
          <w:rtl/>
          <w:lang w:bidi="fa-IR"/>
        </w:rPr>
      </w:pPr>
      <w:r w:rsidRPr="00020424">
        <w:rPr>
          <w:rtl/>
          <w:lang w:bidi="fa-IR"/>
        </w:rPr>
        <w:t xml:space="preserve">قَالَ : « يُزَكِّي الَّذِي مَرَّتْ عَلَيْهِ سَنَةٌ ، وَيَدَعُ الْآخَرَ حَتّى تَمُرَّ </w:t>
      </w:r>
      <w:r w:rsidRPr="00A91B96">
        <w:rPr>
          <w:rStyle w:val="libFootnotenumChar"/>
          <w:rtl/>
        </w:rPr>
        <w:t>(10)</w:t>
      </w:r>
      <w:r w:rsidRPr="00020424">
        <w:rPr>
          <w:rtl/>
          <w:lang w:bidi="fa-IR"/>
        </w:rPr>
        <w:t xml:space="preserve"> عَلَيْهِ سَنَتُهُ </w:t>
      </w:r>
      <w:r w:rsidRPr="00A91B96">
        <w:rPr>
          <w:rStyle w:val="libFootnotenumChar"/>
          <w:rtl/>
        </w:rPr>
        <w:t>(11)</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w:t>
      </w:r>
      <w:r w:rsidRPr="00A91B96">
        <w:rPr>
          <w:rStyle w:val="libFootnotenumChar"/>
          <w:rtl/>
        </w:rPr>
        <w:t>(12)</w:t>
      </w:r>
      <w:r w:rsidRPr="00020424">
        <w:rPr>
          <w:rtl/>
          <w:lang w:bidi="fa-IR"/>
        </w:rPr>
        <w:t xml:space="preserve"> اشْتَهى أَنْ يُزَكِّيَ ذلِكَ</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مالاً منقطعاً في السنة كلّها فما</w:t>
      </w:r>
      <w:r w:rsidR="00992664">
        <w:rPr>
          <w:rtl/>
        </w:rPr>
        <w:t xml:space="preserve"> ».</w:t>
      </w:r>
      <w:r w:rsidR="00992664" w:rsidRPr="00020424">
        <w:rPr>
          <w:rtl/>
        </w:rPr>
        <w:t xml:space="preserve"> وفي حاشية « بر » : « مالاً مقطّعاً في السنة كلّها ، فإذا</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140 ، ح 9321 ؛ </w:t>
      </w:r>
      <w:r w:rsidR="00992664" w:rsidRPr="0012008A">
        <w:rPr>
          <w:rStyle w:val="libFootnoteBoldChar"/>
          <w:rtl/>
        </w:rPr>
        <w:t>الوسائل</w:t>
      </w:r>
      <w:r w:rsidR="00992664" w:rsidRPr="00020424">
        <w:rPr>
          <w:rtl/>
        </w:rPr>
        <w:t xml:space="preserve"> ، ج 9 ، ص 172 ، ح 11766 ؛ </w:t>
      </w:r>
      <w:r w:rsidR="00992664" w:rsidRPr="005063A3">
        <w:rPr>
          <w:rtl/>
        </w:rPr>
        <w:t>وفيه</w:t>
      </w:r>
      <w:r w:rsidR="00992664" w:rsidRPr="00020424">
        <w:rPr>
          <w:rtl/>
        </w:rPr>
        <w:t xml:space="preserve"> ، ص 98 ، ح 11619 ، إلى قوله : « إذا قبضته فزكّه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 ويروي عن أحمد بن محمّد ، عدّة من أصحابنا.</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 « دين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فحلّ</w:t>
      </w:r>
      <w:r w:rsidR="00992664">
        <w:rPr>
          <w:rtl/>
        </w:rPr>
        <w:t xml:space="preserve"> ».</w:t>
      </w:r>
      <w:r w:rsidR="00992664" w:rsidRPr="00020424">
        <w:rPr>
          <w:rtl/>
        </w:rPr>
        <w:t xml:space="preserve"> وفي « بث » : «</w:t>
      </w:r>
      <w:r w:rsidR="00992664">
        <w:rPr>
          <w:rtl/>
        </w:rPr>
        <w:t xml:space="preserve"> أ</w:t>
      </w:r>
      <w:r w:rsidR="00992664" w:rsidRPr="00020424">
        <w:rPr>
          <w:rtl/>
        </w:rPr>
        <w:t>فتحلّ</w:t>
      </w:r>
      <w:r w:rsidR="00992664">
        <w:rPr>
          <w:rtl/>
        </w:rPr>
        <w:t xml:space="preserve"> ».</w:t>
      </w:r>
      <w:r w:rsidR="00992664" w:rsidRPr="00020424">
        <w:rPr>
          <w:rtl/>
        </w:rPr>
        <w:t xml:space="preserve"> وفي « بر » </w:t>
      </w:r>
      <w:r w:rsidR="00992664" w:rsidRPr="00515444">
        <w:rPr>
          <w:rStyle w:val="libFootnoteBoldChar"/>
          <w:rtl/>
        </w:rPr>
        <w:t>والوافي</w:t>
      </w:r>
      <w:r w:rsidR="00992664" w:rsidRPr="00020424">
        <w:rPr>
          <w:rtl/>
        </w:rPr>
        <w:t xml:space="preserve"> : « أيحلّ</w:t>
      </w:r>
      <w:r w:rsidR="00992664">
        <w:rPr>
          <w:rtl/>
        </w:rPr>
        <w:t xml:space="preserve"> ».</w:t>
      </w:r>
      <w:r w:rsidR="003A10E0">
        <w:rPr>
          <w:rtl/>
        </w:rPr>
        <w:t xml:space="preserve"> وفي « بخ » :</w:t>
      </w:r>
      <w:r w:rsidR="00992664" w:rsidRPr="00020424">
        <w:rPr>
          <w:rtl/>
        </w:rPr>
        <w:t>« تحلّ</w:t>
      </w:r>
      <w:r w:rsidR="00992664">
        <w:rPr>
          <w:rtl/>
        </w:rPr>
        <w:t>».</w:t>
      </w:r>
    </w:p>
    <w:tbl>
      <w:tblPr>
        <w:tblStyle w:val="TableGrid"/>
        <w:bidiVisual/>
        <w:tblW w:w="0" w:type="auto"/>
        <w:tblLook w:val="04A0" w:firstRow="1" w:lastRow="0" w:firstColumn="1" w:lastColumn="0" w:noHBand="0" w:noVBand="1"/>
      </w:tblPr>
      <w:tblGrid>
        <w:gridCol w:w="4006"/>
        <w:gridCol w:w="4006"/>
      </w:tblGrid>
      <w:tr w:rsidR="003A10E0" w:rsidTr="003A10E0">
        <w:tc>
          <w:tcPr>
            <w:tcW w:w="4006" w:type="dxa"/>
          </w:tcPr>
          <w:p w:rsidR="003A10E0" w:rsidRDefault="003A10E0" w:rsidP="00992664">
            <w:pPr>
              <w:pStyle w:val="libFootnote0"/>
              <w:rPr>
                <w:rtl/>
                <w:lang w:bidi="fa-IR"/>
              </w:rPr>
            </w:pPr>
            <w:r>
              <w:rPr>
                <w:rtl/>
              </w:rPr>
              <w:t xml:space="preserve">(6). </w:t>
            </w:r>
            <w:r w:rsidRPr="00020424">
              <w:rPr>
                <w:rtl/>
              </w:rPr>
              <w:t>في « بر » : « تزكّي</w:t>
            </w:r>
            <w:r>
              <w:rPr>
                <w:rtl/>
              </w:rPr>
              <w:t xml:space="preserve"> ».</w:t>
            </w:r>
          </w:p>
        </w:tc>
        <w:tc>
          <w:tcPr>
            <w:tcW w:w="4006" w:type="dxa"/>
          </w:tcPr>
          <w:p w:rsidR="003A10E0" w:rsidRDefault="003A10E0" w:rsidP="00992664">
            <w:pPr>
              <w:pStyle w:val="libFootnote0"/>
              <w:rPr>
                <w:rtl/>
                <w:lang w:bidi="fa-IR"/>
              </w:rPr>
            </w:pPr>
            <w:r>
              <w:rPr>
                <w:rtl/>
              </w:rPr>
              <w:t xml:space="preserve">(7). </w:t>
            </w:r>
            <w:r w:rsidRPr="00020424">
              <w:rPr>
                <w:rtl/>
              </w:rPr>
              <w:t>في « بر » : « وتدع</w:t>
            </w:r>
            <w:r>
              <w:rPr>
                <w:rtl/>
              </w:rPr>
              <w:t xml:space="preserve"> ».</w:t>
            </w:r>
          </w:p>
        </w:tc>
      </w:tr>
      <w:tr w:rsidR="003A10E0" w:rsidTr="003A10E0">
        <w:tc>
          <w:tcPr>
            <w:tcW w:w="4006" w:type="dxa"/>
          </w:tcPr>
          <w:p w:rsidR="003A10E0" w:rsidRDefault="003A10E0" w:rsidP="00992664">
            <w:pPr>
              <w:pStyle w:val="libFootnote0"/>
              <w:rPr>
                <w:rtl/>
                <w:lang w:bidi="fa-IR"/>
              </w:rPr>
            </w:pPr>
            <w:r>
              <w:rPr>
                <w:rtl/>
              </w:rPr>
              <w:t xml:space="preserve">(8). </w:t>
            </w:r>
            <w:r w:rsidRPr="00020424">
              <w:rPr>
                <w:rtl/>
              </w:rPr>
              <w:t>في « بر » : « تزكّيه</w:t>
            </w:r>
            <w:r>
              <w:rPr>
                <w:rtl/>
              </w:rPr>
              <w:t xml:space="preserve"> ».</w:t>
            </w:r>
          </w:p>
        </w:tc>
        <w:tc>
          <w:tcPr>
            <w:tcW w:w="4006" w:type="dxa"/>
          </w:tcPr>
          <w:p w:rsidR="003A10E0" w:rsidRDefault="003A10E0" w:rsidP="00992664">
            <w:pPr>
              <w:pStyle w:val="libFootnote0"/>
              <w:rPr>
                <w:rtl/>
                <w:lang w:bidi="fa-IR"/>
              </w:rPr>
            </w:pPr>
            <w:r>
              <w:rPr>
                <w:rtl/>
              </w:rPr>
              <w:t>(9). في «بخ»</w:t>
            </w:r>
            <w:r w:rsidRPr="00020424">
              <w:rPr>
                <w:rtl/>
              </w:rPr>
              <w:t>:</w:t>
            </w:r>
            <w:r>
              <w:rPr>
                <w:rtl/>
              </w:rPr>
              <w:t>-«</w:t>
            </w:r>
            <w:r w:rsidRPr="00020424">
              <w:rPr>
                <w:rtl/>
              </w:rPr>
              <w:t>هو</w:t>
            </w:r>
            <w:r>
              <w:rPr>
                <w:rtl/>
              </w:rPr>
              <w:t>».وفي«بح»:«فإنّه»بدل«</w:t>
            </w:r>
            <w:r w:rsidRPr="00020424">
              <w:rPr>
                <w:rtl/>
              </w:rPr>
              <w:t>فإن هو</w:t>
            </w:r>
            <w:r>
              <w:rPr>
                <w:rtl/>
              </w:rPr>
              <w:t>».</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بر ، بف » : « حتّى يمرّ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ى ، بث ، بح ، بر ، بس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12067 : « سنة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بث ، بح ، بس ، جن » </w:t>
      </w:r>
      <w:r w:rsidR="00992664" w:rsidRPr="00EB1FD9">
        <w:rPr>
          <w:rStyle w:val="libFootnoteBoldChar"/>
          <w:rtl/>
        </w:rPr>
        <w:t>والوسائل</w:t>
      </w:r>
      <w:r w:rsidR="00992664" w:rsidRPr="00020424">
        <w:rPr>
          <w:rtl/>
        </w:rPr>
        <w:t xml:space="preserve"> ، ح 12067 : « فإنّه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قَالَ : « مَا أَحْسَنَ ذلِكَ</w:t>
      </w:r>
      <w:r>
        <w:rPr>
          <w:rtl/>
          <w:lang w:bidi="fa-IR"/>
        </w:rPr>
        <w:t>!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5063A3">
        <w:rPr>
          <w:rtl/>
        </w:rPr>
        <w:t>5827</w:t>
      </w:r>
      <w:r w:rsidRPr="001155DE">
        <w:rPr>
          <w:rStyle w:val="libBold2Char"/>
          <w:rtl/>
        </w:rPr>
        <w:t xml:space="preserve"> / 7.</w:t>
      </w:r>
      <w:r w:rsidRPr="00020424">
        <w:rPr>
          <w:rtl/>
          <w:lang w:bidi="fa-IR"/>
        </w:rPr>
        <w:t xml:space="preserve"> عَلِيُّ بْنُ إِبْرَاهِيمَ ، عَنْ أَبِيهِ ، عَنْ عَبْدِ اللهِ بْنِ الْمُغِيرَةِ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w:t>
      </w:r>
      <w:r w:rsidRPr="00A91B96">
        <w:rPr>
          <w:rStyle w:val="libFootnotenumChar"/>
          <w:rtl/>
        </w:rPr>
        <w:t>(2)</w:t>
      </w:r>
      <w:r w:rsidRPr="00020424">
        <w:rPr>
          <w:rtl/>
          <w:lang w:bidi="fa-IR"/>
        </w:rPr>
        <w:t xml:space="preserve"> قَالَ فِي الرَّجُلِ يُخْرِجُ زَكَاتَهُ ، فَيَقْسِمُ بَعْضَهَا ، وَيُبْقِي بَعْضَهَا يَلْتَمِسُ </w:t>
      </w:r>
      <w:r w:rsidRPr="00A91B96">
        <w:rPr>
          <w:rStyle w:val="libFootnotenumChar"/>
          <w:rtl/>
        </w:rPr>
        <w:t>(3)</w:t>
      </w:r>
      <w:r w:rsidRPr="00020424">
        <w:rPr>
          <w:rtl/>
          <w:lang w:bidi="fa-IR"/>
        </w:rPr>
        <w:t xml:space="preserve"> بِهَا الْمَوْضِعَ </w:t>
      </w:r>
      <w:r w:rsidRPr="00A91B96">
        <w:rPr>
          <w:rStyle w:val="libFootnotenumChar"/>
          <w:rtl/>
        </w:rPr>
        <w:t>(4)</w:t>
      </w:r>
      <w:r w:rsidRPr="00020424">
        <w:rPr>
          <w:rtl/>
          <w:lang w:bidi="fa-IR"/>
        </w:rPr>
        <w:t xml:space="preserve"> ، فَيَكُونُ مِنْ أَوَّلِهِ إِلى آخِرِهِ ثَلَاثَةُ أَشْهُرٍ ، قَالَ : « لَا بَأْسَ</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5063A3">
        <w:rPr>
          <w:rtl/>
        </w:rPr>
        <w:t>5828</w:t>
      </w:r>
      <w:r w:rsidRPr="001155DE">
        <w:rPr>
          <w:rStyle w:val="libBold2Char"/>
          <w:rtl/>
        </w:rPr>
        <w:t xml:space="preserve"> / 8.</w:t>
      </w:r>
      <w:r w:rsidRPr="00020424">
        <w:rPr>
          <w:rtl/>
          <w:lang w:bidi="fa-IR"/>
        </w:rPr>
        <w:t xml:space="preserve"> عَلِيُّ بْنُ إِبْرَاهِيمَ </w:t>
      </w:r>
      <w:r w:rsidRPr="00A91B96">
        <w:rPr>
          <w:rStyle w:val="libFootnotenumChar"/>
          <w:rtl/>
        </w:rPr>
        <w:t>(6)</w:t>
      </w:r>
      <w:r w:rsidRPr="00020424">
        <w:rPr>
          <w:rtl/>
          <w:lang w:bidi="fa-IR"/>
        </w:rPr>
        <w:t xml:space="preserve"> ، عَنْ أَبِيهِ ، عَنْ حَمَّادِ بْنِ عِيسى </w:t>
      </w:r>
      <w:r w:rsidRPr="00A91B96">
        <w:rPr>
          <w:rStyle w:val="libFootnotenumChar"/>
          <w:rtl/>
        </w:rPr>
        <w:t>(7)</w:t>
      </w:r>
      <w:r w:rsidRPr="00020424">
        <w:rPr>
          <w:rtl/>
          <w:lang w:bidi="fa-IR"/>
        </w:rPr>
        <w:t xml:space="preserve"> ، عَنْ حَرِيزٍ ، عَنْ عُمَرَ بْنِ يَزِيدَ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w:t>
      </w:r>
      <w:r>
        <w:rPr>
          <w:rtl/>
          <w:lang w:bidi="fa-IR"/>
        </w:rPr>
        <w:t xml:space="preserve"> يَكُونُ عِنْدَهُ الْمَالُ ، أَ</w:t>
      </w:r>
      <w:r w:rsidRPr="00020424">
        <w:rPr>
          <w:rtl/>
          <w:lang w:bidi="fa-IR"/>
        </w:rPr>
        <w:t>يُزَكِّيهِ إِذَا مَضى نِصْفُ السَّنَةِ</w:t>
      </w:r>
      <w:r>
        <w:rPr>
          <w:rtl/>
          <w:lang w:bidi="fa-IR"/>
        </w:rPr>
        <w:t>؟</w:t>
      </w:r>
    </w:p>
    <w:p w:rsidR="00992664" w:rsidRPr="00020424" w:rsidRDefault="00992664" w:rsidP="00736CFA">
      <w:pPr>
        <w:pStyle w:val="libNormal"/>
        <w:rPr>
          <w:rtl/>
          <w:lang w:bidi="fa-IR"/>
        </w:rPr>
      </w:pPr>
      <w:r w:rsidRPr="00020424">
        <w:rPr>
          <w:rtl/>
          <w:lang w:bidi="fa-IR"/>
        </w:rPr>
        <w:t xml:space="preserve">قَالَ </w:t>
      </w:r>
      <w:r w:rsidRPr="00A91B96">
        <w:rPr>
          <w:rStyle w:val="libFootnotenumChar"/>
          <w:rtl/>
        </w:rPr>
        <w:t>(8)</w:t>
      </w:r>
      <w:r w:rsidRPr="00020424">
        <w:rPr>
          <w:rtl/>
          <w:lang w:bidi="fa-IR"/>
        </w:rPr>
        <w:t xml:space="preserve"> : « لَا ، وَلكِنْ حَتّى يَحُولَ عَلَيْهِ الْحَوْلُ وَيَحِلَّ عَلَيْهِ </w:t>
      </w:r>
      <w:r w:rsidRPr="00A91B96">
        <w:rPr>
          <w:rStyle w:val="libFootnotenumChar"/>
          <w:rtl/>
        </w:rPr>
        <w:t>(9)</w:t>
      </w:r>
      <w:r w:rsidRPr="00020424">
        <w:rPr>
          <w:rtl/>
          <w:lang w:bidi="fa-IR"/>
        </w:rPr>
        <w:t xml:space="preserve"> ؛ إِنَّهُ لَيْسَ لِأَحَدٍ أَنْ يُصَلِّيَ صَلَاة</w:t>
      </w:r>
      <w:r w:rsidR="00E533FE">
        <w:rPr>
          <w:rtl/>
          <w:lang w:bidi="fa-IR"/>
        </w:rPr>
        <w:t>ً إِل</w:t>
      </w:r>
      <w:r w:rsidR="00E533FE">
        <w:rPr>
          <w:rFonts w:hint="cs"/>
          <w:rtl/>
          <w:lang w:bidi="fa-IR"/>
        </w:rPr>
        <w:t>َّ</w:t>
      </w:r>
      <w:r w:rsidR="00E533FE">
        <w:rPr>
          <w:rtl/>
          <w:lang w:bidi="fa-IR"/>
        </w:rPr>
        <w:t>ا</w:t>
      </w:r>
      <w:r w:rsidRPr="00020424">
        <w:rPr>
          <w:rtl/>
          <w:lang w:bidi="fa-IR"/>
        </w:rPr>
        <w:t xml:space="preserve"> لِوَقْتِهَا </w:t>
      </w:r>
      <w:r w:rsidRPr="00A91B96">
        <w:rPr>
          <w:rStyle w:val="libFootnotenumChar"/>
          <w:rtl/>
        </w:rPr>
        <w:t>(10)</w:t>
      </w:r>
      <w:r w:rsidRPr="00020424">
        <w:rPr>
          <w:rtl/>
          <w:lang w:bidi="fa-IR"/>
        </w:rPr>
        <w:t xml:space="preserve"> ، وَكَذلِكَ الزَّكَاةُ ، وَلَايَصُومُ </w:t>
      </w:r>
      <w:r w:rsidRPr="00A91B96">
        <w:rPr>
          <w:rStyle w:val="libFootnotenumChar"/>
          <w:rtl/>
        </w:rPr>
        <w:t>(11)</w:t>
      </w:r>
      <w:r w:rsidRPr="00020424">
        <w:rPr>
          <w:rtl/>
          <w:lang w:bidi="fa-IR"/>
        </w:rPr>
        <w:t xml:space="preserve"> أَحَدٌ شَهْرَ </w:t>
      </w:r>
      <w:r w:rsidRPr="00A91B96">
        <w:rPr>
          <w:rStyle w:val="libFootnotenumChar"/>
          <w:rtl/>
        </w:rPr>
        <w:t>(12)</w:t>
      </w:r>
      <w:r w:rsidRPr="00020424">
        <w:rPr>
          <w:rtl/>
          <w:lang w:bidi="fa-IR"/>
        </w:rPr>
        <w:t xml:space="preserve"> رَمَضَانَ إِ</w:t>
      </w:r>
      <w:r w:rsidR="00736CFA">
        <w:rPr>
          <w:rtl/>
          <w:lang w:bidi="fa-IR"/>
        </w:rPr>
        <w:t>ل</w:t>
      </w:r>
      <w:r w:rsidR="00736CFA">
        <w:rPr>
          <w:rFonts w:hint="cs"/>
          <w:rtl/>
          <w:lang w:bidi="fa-IR"/>
        </w:rPr>
        <w:t>َّ</w:t>
      </w:r>
      <w:r w:rsidR="00736CFA">
        <w:rPr>
          <w:rtl/>
          <w:lang w:bidi="fa-IR"/>
        </w:rPr>
        <w:t>ا</w:t>
      </w:r>
      <w:r w:rsidRPr="00020424">
        <w:rPr>
          <w:rtl/>
          <w:lang w:bidi="fa-IR"/>
        </w:rPr>
        <w:t xml:space="preserve"> فِي شَهْرِهِ إِ</w:t>
      </w:r>
      <w:r w:rsidR="00736CFA">
        <w:rPr>
          <w:rtl/>
          <w:lang w:bidi="fa-IR"/>
        </w:rPr>
        <w:t>ل</w:t>
      </w:r>
      <w:r w:rsidR="00736CFA">
        <w:rPr>
          <w:rFonts w:hint="cs"/>
          <w:rtl/>
          <w:lang w:bidi="fa-IR"/>
        </w:rPr>
        <w:t>َّ</w:t>
      </w:r>
      <w:r w:rsidR="00736CFA">
        <w:rPr>
          <w:rtl/>
          <w:lang w:bidi="fa-IR"/>
        </w:rPr>
        <w:t>ا</w:t>
      </w:r>
      <w:r w:rsidRPr="00020424">
        <w:rPr>
          <w:rtl/>
          <w:lang w:bidi="fa-IR"/>
        </w:rPr>
        <w:t xml:space="preserve"> قَضَاءً </w:t>
      </w:r>
      <w:r w:rsidRPr="00A91B96">
        <w:rPr>
          <w:rStyle w:val="libFootnotenumChar"/>
          <w:rtl/>
        </w:rPr>
        <w:t>(13)</w:t>
      </w:r>
      <w:r w:rsidRPr="00020424">
        <w:rPr>
          <w:rtl/>
          <w:lang w:bidi="fa-IR"/>
        </w:rPr>
        <w:t xml:space="preserve"> ، وَكُلُّ فَرِيضَةٍ إِنَّمَا تُؤَدّى إِذَا حَلَّتْ</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10 ، ص 141 ، ح 9322 ؛ </w:t>
      </w:r>
      <w:r w:rsidR="00992664" w:rsidRPr="0012008A">
        <w:rPr>
          <w:rStyle w:val="libFootnoteBoldChar"/>
          <w:rtl/>
        </w:rPr>
        <w:t>الوسائل</w:t>
      </w:r>
      <w:r w:rsidR="00992664" w:rsidRPr="00020424">
        <w:rPr>
          <w:rtl/>
        </w:rPr>
        <w:t xml:space="preserve"> ، ج 9 ، ص 98 ، ح 11618 ، إلى قوله : « يزكّيه حين اقتضاه » ؛ </w:t>
      </w:r>
      <w:r w:rsidR="00992664" w:rsidRPr="005063A3">
        <w:rPr>
          <w:rtl/>
        </w:rPr>
        <w:t>وفيه</w:t>
      </w:r>
      <w:r w:rsidR="00992664" w:rsidRPr="00020424">
        <w:rPr>
          <w:rtl/>
        </w:rPr>
        <w:t xml:space="preserve"> ، ص 300 ، ح 12067 ، من قوله : « قلت : فإن هو حال عليه الحول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36CFA" w:rsidTr="00736CFA">
        <w:tc>
          <w:tcPr>
            <w:tcW w:w="4006" w:type="dxa"/>
          </w:tcPr>
          <w:p w:rsidR="00736CFA" w:rsidRDefault="00736CFA" w:rsidP="00992664">
            <w:pPr>
              <w:pStyle w:val="libFootnote0"/>
              <w:rPr>
                <w:rtl/>
              </w:rPr>
            </w:pPr>
            <w:r>
              <w:rPr>
                <w:rtl/>
              </w:rPr>
              <w:t xml:space="preserve">(2). </w:t>
            </w:r>
            <w:r w:rsidRPr="00020424">
              <w:rPr>
                <w:rtl/>
              </w:rPr>
              <w:t>في « بر » :</w:t>
            </w:r>
            <w:r>
              <w:rPr>
                <w:rtl/>
              </w:rPr>
              <w:t xml:space="preserve"> - </w:t>
            </w:r>
            <w:r w:rsidRPr="00020424">
              <w:rPr>
                <w:rtl/>
              </w:rPr>
              <w:t>« أنّه</w:t>
            </w:r>
            <w:r>
              <w:rPr>
                <w:rtl/>
              </w:rPr>
              <w:t xml:space="preserve"> ».</w:t>
            </w:r>
          </w:p>
        </w:tc>
        <w:tc>
          <w:tcPr>
            <w:tcW w:w="4006" w:type="dxa"/>
          </w:tcPr>
          <w:p w:rsidR="00736CFA" w:rsidRDefault="00736CFA" w:rsidP="00992664">
            <w:pPr>
              <w:pStyle w:val="libFootnote0"/>
              <w:rPr>
                <w:rtl/>
              </w:rPr>
            </w:pPr>
            <w:r>
              <w:rPr>
                <w:rtl/>
              </w:rPr>
              <w:t xml:space="preserve">(3). </w:t>
            </w:r>
            <w:r w:rsidRPr="00020424">
              <w:rPr>
                <w:rtl/>
              </w:rPr>
              <w:t>في « بخ » : « ويلتمس</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لها المواضع » بدل « بها الموضع</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45 ، ح 118 ، بسنده عن عبدالله بن سنان ، مع اختلاف يسير </w:t>
      </w:r>
      <w:r w:rsidR="00736CFA">
        <w:rPr>
          <w:rFonts w:hint="cs"/>
          <w:rtl/>
        </w:rPr>
        <w:t>.</w:t>
      </w:r>
      <w:r w:rsidR="00992664" w:rsidRPr="0012008A">
        <w:rPr>
          <w:rStyle w:val="libFootnoteBoldChar"/>
          <w:rtl/>
        </w:rPr>
        <w:t>الوافي</w:t>
      </w:r>
      <w:r w:rsidR="00992664" w:rsidRPr="00020424">
        <w:rPr>
          <w:rtl/>
        </w:rPr>
        <w:t xml:space="preserve"> ، ج 10 ، ص 139 ، ح 9318 ؛ </w:t>
      </w:r>
      <w:r w:rsidR="00992664" w:rsidRPr="0012008A">
        <w:rPr>
          <w:rStyle w:val="libFootnoteBoldChar"/>
          <w:rtl/>
        </w:rPr>
        <w:t>الوسائل</w:t>
      </w:r>
      <w:r w:rsidR="00992664" w:rsidRPr="00020424">
        <w:rPr>
          <w:rtl/>
        </w:rPr>
        <w:t xml:space="preserve"> ، ج 9 ، ص 308 ، ذيل ح 12091.</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12084 : « فقال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بس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وتحلّ عليه</w:t>
      </w:r>
      <w:r w:rsidR="00992664">
        <w:rPr>
          <w:rtl/>
        </w:rPr>
        <w:t xml:space="preserve"> ».</w:t>
      </w:r>
      <w:r w:rsidR="00992664" w:rsidRPr="00020424">
        <w:rPr>
          <w:rtl/>
        </w:rPr>
        <w:t xml:space="preserve"> وفي « بح » : « ويحمل عليه</w:t>
      </w:r>
      <w:r w:rsidR="00992664">
        <w:rPr>
          <w:rtl/>
        </w:rPr>
        <w:t xml:space="preserve"> ».</w:t>
      </w:r>
      <w:r w:rsidR="00992664" w:rsidRPr="00020424">
        <w:rPr>
          <w:rtl/>
        </w:rPr>
        <w:t xml:space="preserve"> وفي هامش </w:t>
      </w:r>
      <w:r w:rsidR="00992664" w:rsidRPr="0012008A">
        <w:rPr>
          <w:rStyle w:val="libFootnoteBoldChar"/>
          <w:rtl/>
        </w:rPr>
        <w:t>الوافي</w:t>
      </w:r>
      <w:r w:rsidR="00992664" w:rsidRPr="00020424">
        <w:rPr>
          <w:rtl/>
        </w:rPr>
        <w:t xml:space="preserve"> عن ابن مصنّفه : « تحلّ عليه ، بكسر الحاء من الحلول بمعنى الوجوب ؛ يعني لايزكّيه حتّى تجب الزكاة عليه وذلك بأن يحول عليه الحول</w:t>
      </w:r>
      <w:r w:rsidR="00992664">
        <w:rPr>
          <w:rtl/>
        </w:rPr>
        <w:t xml:space="preserve"> ».</w:t>
      </w:r>
      <w:r w:rsidR="00992664">
        <w:rPr>
          <w:rFonts w:hint="cs"/>
          <w:rtl/>
          <w:lang w:bidi="fa-IR"/>
        </w:rPr>
        <w:t xml:space="preserve"> </w:t>
      </w:r>
      <w:r w:rsidR="00736CFA">
        <w:rPr>
          <w:rFonts w:hint="cs"/>
          <w:rtl/>
          <w:lang w:bidi="fa-IR"/>
        </w:rPr>
        <w:t xml:space="preserve">                                                 </w:t>
      </w:r>
      <w:r>
        <w:rPr>
          <w:rtl/>
        </w:rPr>
        <w:t>(10).</w:t>
      </w:r>
      <w:r w:rsidR="0014403D">
        <w:rPr>
          <w:rtl/>
        </w:rPr>
        <w:t xml:space="preserve"> </w:t>
      </w:r>
      <w:r w:rsidR="00992664" w:rsidRPr="00020424">
        <w:rPr>
          <w:rtl/>
        </w:rPr>
        <w:t>في « بخ » : « بوقتها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36CFA" w:rsidTr="00736CFA">
        <w:tc>
          <w:tcPr>
            <w:tcW w:w="4006" w:type="dxa"/>
          </w:tcPr>
          <w:p w:rsidR="00736CFA" w:rsidRDefault="00736CFA" w:rsidP="00992664">
            <w:pPr>
              <w:pStyle w:val="libFootnote0"/>
              <w:rPr>
                <w:rtl/>
              </w:rPr>
            </w:pPr>
            <w:r>
              <w:rPr>
                <w:rtl/>
              </w:rPr>
              <w:t xml:space="preserve">(11). </w:t>
            </w:r>
            <w:r w:rsidRPr="00020424">
              <w:rPr>
                <w:rtl/>
              </w:rPr>
              <w:t xml:space="preserve">في « بخ ، بر ، بف » </w:t>
            </w:r>
            <w:r w:rsidRPr="00515444">
              <w:rPr>
                <w:rStyle w:val="libFootnoteBoldChar"/>
                <w:rtl/>
              </w:rPr>
              <w:t>والوافي</w:t>
            </w:r>
            <w:r>
              <w:rPr>
                <w:rtl/>
              </w:rPr>
              <w:t xml:space="preserve"> : «</w:t>
            </w:r>
            <w:r w:rsidRPr="00020424">
              <w:rPr>
                <w:rtl/>
              </w:rPr>
              <w:t>ولا يصومنّ</w:t>
            </w:r>
            <w:r>
              <w:rPr>
                <w:rtl/>
              </w:rPr>
              <w:t>».</w:t>
            </w:r>
          </w:p>
        </w:tc>
        <w:tc>
          <w:tcPr>
            <w:tcW w:w="4006" w:type="dxa"/>
          </w:tcPr>
          <w:p w:rsidR="00736CFA" w:rsidRDefault="00736CFA" w:rsidP="00992664">
            <w:pPr>
              <w:pStyle w:val="libFootnote0"/>
              <w:rPr>
                <w:rtl/>
              </w:rPr>
            </w:pPr>
            <w:r>
              <w:rPr>
                <w:rtl/>
              </w:rPr>
              <w:t xml:space="preserve">(12). </w:t>
            </w:r>
            <w:r w:rsidRPr="00020424">
              <w:rPr>
                <w:rtl/>
              </w:rPr>
              <w:t>في « بر ، بف » :</w:t>
            </w:r>
            <w:r>
              <w:rPr>
                <w:rtl/>
              </w:rPr>
              <w:t xml:space="preserve"> - </w:t>
            </w:r>
            <w:r w:rsidRPr="00020424">
              <w:rPr>
                <w:rtl/>
              </w:rPr>
              <w:t>« شهر</w:t>
            </w:r>
            <w:r>
              <w:rPr>
                <w:rtl/>
              </w:rPr>
              <w:t xml:space="preserve"> ».</w:t>
            </w:r>
          </w:p>
        </w:tc>
      </w:tr>
    </w:tbl>
    <w:p w:rsidR="00992664" w:rsidRPr="00020424" w:rsidRDefault="00795177" w:rsidP="00155390">
      <w:pPr>
        <w:pStyle w:val="libFootnote0"/>
        <w:rPr>
          <w:rtl/>
        </w:rPr>
      </w:pPr>
      <w:r>
        <w:rPr>
          <w:rtl/>
        </w:rPr>
        <w:t>(13).</w:t>
      </w:r>
      <w:r w:rsidR="0014403D">
        <w:rPr>
          <w:rtl/>
        </w:rPr>
        <w:t xml:space="preserve"> </w:t>
      </w:r>
      <w:r w:rsidR="00992664" w:rsidRPr="00020424">
        <w:rPr>
          <w:rtl/>
        </w:rPr>
        <w:t>في « بح » : « قضاؤه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4810 :</w:t>
      </w:r>
      <w:r w:rsidR="00992664">
        <w:rPr>
          <w:rtl/>
        </w:rPr>
        <w:t xml:space="preserve"> </w:t>
      </w:r>
      <w:r w:rsidR="009B673F">
        <w:rPr>
          <w:rtl/>
        </w:rPr>
        <w:t>-</w:t>
      </w:r>
      <w:r w:rsidR="00992664">
        <w:rPr>
          <w:rtl/>
        </w:rPr>
        <w:t xml:space="preserve"> </w:t>
      </w:r>
      <w:r w:rsidR="00155390">
        <w:rPr>
          <w:rtl/>
        </w:rPr>
        <w:t>« ولا يصوم أحد شهر رمضان إل</w:t>
      </w:r>
      <w:r w:rsidR="00155390">
        <w:rPr>
          <w:rFonts w:hint="cs"/>
          <w:rtl/>
        </w:rPr>
        <w:t>ّ</w:t>
      </w:r>
      <w:r w:rsidR="00155390">
        <w:rPr>
          <w:rtl/>
        </w:rPr>
        <w:t>ا</w:t>
      </w:r>
      <w:r w:rsidR="00992664" w:rsidRPr="00020424">
        <w:rPr>
          <w:rtl/>
        </w:rPr>
        <w:t>في شهره إ</w:t>
      </w:r>
      <w:r w:rsidR="00155390">
        <w:rPr>
          <w:rtl/>
        </w:rPr>
        <w:t>ل</w:t>
      </w:r>
      <w:r w:rsidR="00155390">
        <w:rPr>
          <w:rFonts w:hint="cs"/>
          <w:rtl/>
        </w:rPr>
        <w:t>ّ</w:t>
      </w:r>
      <w:r w:rsidR="00155390">
        <w:rPr>
          <w:rtl/>
        </w:rPr>
        <w:t>ا</w:t>
      </w:r>
      <w:r w:rsidR="00992664" w:rsidRPr="00020424">
        <w:rPr>
          <w:rtl/>
        </w:rPr>
        <w:t>قضاء</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التهذيب</w:t>
      </w:r>
      <w:r w:rsidR="00992664" w:rsidRPr="00020424">
        <w:rPr>
          <w:rtl/>
        </w:rPr>
        <w:t xml:space="preserve"> ، ج 4 ، ص 43 ، ح 110 ؛ </w:t>
      </w:r>
      <w:r w:rsidR="00992664" w:rsidRPr="00FD6221">
        <w:rPr>
          <w:rStyle w:val="libFootnoteBoldChar"/>
          <w:rtl/>
        </w:rPr>
        <w:t>والاستبصار</w:t>
      </w:r>
      <w:r w:rsidR="00992664" w:rsidRPr="00020424">
        <w:rPr>
          <w:rtl/>
        </w:rPr>
        <w:t xml:space="preserve"> ، ج 2 ، ص 31 ، ح 92 ، معلّقاً عن الكليني </w:t>
      </w:r>
      <w:r w:rsidR="00155390">
        <w:rPr>
          <w:rFonts w:hint="cs"/>
          <w:rtl/>
        </w:rPr>
        <w:t>.</w:t>
      </w:r>
      <w:r w:rsidR="00992664" w:rsidRPr="0012008A">
        <w:rPr>
          <w:rStyle w:val="libFootnoteBoldChar"/>
          <w:rtl/>
        </w:rPr>
        <w:t>الوافي</w:t>
      </w:r>
      <w:r w:rsidR="00992664" w:rsidRPr="00020424">
        <w:rPr>
          <w:rtl/>
        </w:rPr>
        <w:t xml:space="preserve"> ، ج 10 ، </w:t>
      </w:r>
      <w:r w:rsidR="0015539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5063A3">
        <w:rPr>
          <w:rtl/>
        </w:rPr>
        <w:lastRenderedPageBreak/>
        <w:t>5829</w:t>
      </w:r>
      <w:r w:rsidRPr="001155DE">
        <w:rPr>
          <w:rStyle w:val="libBold2Char"/>
          <w:rtl/>
        </w:rPr>
        <w:t xml:space="preserve"> / 9.</w:t>
      </w:r>
      <w:r w:rsidRPr="00020424">
        <w:rPr>
          <w:rtl/>
          <w:lang w:bidi="fa-IR"/>
        </w:rPr>
        <w:t xml:space="preserve"> حَمَّادُ بْنُ عِيسى </w:t>
      </w:r>
      <w:r w:rsidRPr="00A91B96">
        <w:rPr>
          <w:rStyle w:val="libFootnotenumChar"/>
          <w:rtl/>
        </w:rPr>
        <w:t>(1)</w:t>
      </w:r>
      <w:r w:rsidRPr="00020424">
        <w:rPr>
          <w:rtl/>
          <w:lang w:bidi="fa-IR"/>
        </w:rPr>
        <w:t xml:space="preserve"> ، عَنْ حَرِيزٍ ، عَنْ زُرَارَةَ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Pr>
          <w:rtl/>
          <w:lang w:bidi="fa-IR"/>
        </w:rPr>
        <w:t xml:space="preserve"> : أَ</w:t>
      </w:r>
      <w:r w:rsidRPr="00020424">
        <w:rPr>
          <w:rtl/>
          <w:lang w:bidi="fa-IR"/>
        </w:rPr>
        <w:t>يُزَكِّي الرَّجُلُ مَالَهُ إِذَا مَضى ثُلُثُ السَّنَةِ</w:t>
      </w:r>
      <w:r>
        <w:rPr>
          <w:rtl/>
          <w:lang w:bidi="fa-IR"/>
        </w:rPr>
        <w:t>؟</w:t>
      </w:r>
    </w:p>
    <w:p w:rsidR="00992664" w:rsidRDefault="00992664" w:rsidP="00992664">
      <w:pPr>
        <w:pStyle w:val="libNormal"/>
        <w:rPr>
          <w:rtl/>
          <w:lang w:bidi="fa-IR"/>
        </w:rPr>
      </w:pPr>
      <w:r>
        <w:rPr>
          <w:rtl/>
          <w:lang w:bidi="fa-IR"/>
        </w:rPr>
        <w:t>قَالَ : « لَا ، أَ</w:t>
      </w:r>
      <w:r w:rsidRPr="00020424">
        <w:rPr>
          <w:rtl/>
          <w:lang w:bidi="fa-IR"/>
        </w:rPr>
        <w:t xml:space="preserve">يُصَلِّي </w:t>
      </w:r>
      <w:r w:rsidRPr="00A91B96">
        <w:rPr>
          <w:rStyle w:val="libFootnotenumChar"/>
          <w:rtl/>
        </w:rPr>
        <w:t>(2)</w:t>
      </w:r>
      <w:r w:rsidRPr="00020424">
        <w:rPr>
          <w:rtl/>
          <w:lang w:bidi="fa-IR"/>
        </w:rPr>
        <w:t xml:space="preserve"> الْأُولى قَبْلَ الزَّوَالِ</w:t>
      </w:r>
      <w:r>
        <w:rPr>
          <w:rtl/>
          <w:lang w:bidi="fa-IR"/>
        </w:rPr>
        <w:t>؟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5830</w:t>
      </w:r>
      <w:r w:rsidRPr="001155DE">
        <w:rPr>
          <w:rStyle w:val="libBold2Char"/>
          <w:rFonts w:hint="cs"/>
          <w:rtl/>
        </w:rPr>
        <w:t xml:space="preserve"> </w:t>
      </w:r>
      <w:r w:rsidRPr="001155DE">
        <w:rPr>
          <w:rStyle w:val="libBold2Char"/>
          <w:rtl/>
        </w:rPr>
        <w:t>/ 10.</w:t>
      </w:r>
      <w:r w:rsidRPr="00020424">
        <w:rPr>
          <w:rtl/>
          <w:lang w:bidi="fa-IR"/>
        </w:rPr>
        <w:t xml:space="preserve"> وَقَدْ رُوِيَ أَيْضاً : « أَنَّهُ يَجُوزُ</w:t>
      </w:r>
      <w:r>
        <w:rPr>
          <w:rtl/>
          <w:lang w:bidi="fa-IR"/>
        </w:rPr>
        <w:t xml:space="preserve"> </w:t>
      </w:r>
      <w:r w:rsidR="009B673F">
        <w:rPr>
          <w:rtl/>
          <w:lang w:bidi="fa-IR"/>
        </w:rPr>
        <w:t>-</w:t>
      </w:r>
      <w:r>
        <w:rPr>
          <w:rtl/>
          <w:lang w:bidi="fa-IR"/>
        </w:rPr>
        <w:t xml:space="preserve"> </w:t>
      </w:r>
      <w:r w:rsidRPr="00020424">
        <w:rPr>
          <w:rtl/>
          <w:lang w:bidi="fa-IR"/>
        </w:rPr>
        <w:t xml:space="preserve">إِذَا أَتَاهُ مَنْ يَصْلُحُ </w:t>
      </w:r>
      <w:r w:rsidRPr="00A91B96">
        <w:rPr>
          <w:rStyle w:val="libFootnotenumChar"/>
          <w:rtl/>
        </w:rPr>
        <w:t>(4)</w:t>
      </w:r>
      <w:r w:rsidRPr="00020424">
        <w:rPr>
          <w:rtl/>
          <w:lang w:bidi="fa-IR"/>
        </w:rPr>
        <w:t xml:space="preserve"> لَهُ الزَّكَاةُ</w:t>
      </w:r>
      <w:r>
        <w:rPr>
          <w:rtl/>
          <w:lang w:bidi="fa-IR"/>
        </w:rPr>
        <w:t xml:space="preserve"> </w:t>
      </w:r>
      <w:r w:rsidR="009B673F">
        <w:rPr>
          <w:rtl/>
          <w:lang w:bidi="fa-IR"/>
        </w:rPr>
        <w:t>-</w:t>
      </w:r>
      <w:r>
        <w:rPr>
          <w:rtl/>
          <w:lang w:bidi="fa-IR"/>
        </w:rPr>
        <w:t xml:space="preserve"> </w:t>
      </w:r>
      <w:r w:rsidRPr="00020424">
        <w:rPr>
          <w:rtl/>
          <w:lang w:bidi="fa-IR"/>
        </w:rPr>
        <w:t>أَنْ يُعَجِّلَ لَهُ</w:t>
      </w:r>
      <w:r w:rsidR="0063549A">
        <w:rPr>
          <w:rtl/>
          <w:lang w:bidi="fa-IR"/>
        </w:rPr>
        <w:t xml:space="preserve"> قَبْلَ وَقْتِ الزَّكَاةِ إِل</w:t>
      </w:r>
      <w:r w:rsidR="0063549A">
        <w:rPr>
          <w:rFonts w:hint="cs"/>
          <w:rtl/>
          <w:lang w:bidi="fa-IR"/>
        </w:rPr>
        <w:t>َّ</w:t>
      </w:r>
      <w:r w:rsidR="0063549A">
        <w:rPr>
          <w:rtl/>
          <w:lang w:bidi="fa-IR"/>
        </w:rPr>
        <w:t>ا</w:t>
      </w:r>
      <w:r w:rsidRPr="00020424">
        <w:rPr>
          <w:rtl/>
          <w:lang w:bidi="fa-IR"/>
        </w:rPr>
        <w:t xml:space="preserve"> أَنَّهُ يَضْمَنُهَا ، إِذَا جَاءَ وَقْتُ الزَّكَاةِ وَقَدْ أَيْسَرَ الْمُعْطى </w:t>
      </w:r>
      <w:r w:rsidRPr="00A91B96">
        <w:rPr>
          <w:rStyle w:val="libFootnotenumChar"/>
          <w:rtl/>
        </w:rPr>
        <w:t>(5)</w:t>
      </w:r>
      <w:r w:rsidRPr="00020424">
        <w:rPr>
          <w:rtl/>
          <w:lang w:bidi="fa-IR"/>
        </w:rPr>
        <w:t xml:space="preserve"> أَوِ ارْتَدَّ ، أَعَادَ الزَّكَاةَ</w:t>
      </w:r>
      <w:r>
        <w:rPr>
          <w:rtl/>
          <w:lang w:bidi="fa-IR"/>
        </w:rPr>
        <w:t>».</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51" w:name="_Toc345172733"/>
      <w:bookmarkStart w:id="52" w:name="_Toc464562550"/>
      <w:bookmarkStart w:id="53" w:name="_Toc44599853"/>
      <w:r w:rsidRPr="00020424">
        <w:rPr>
          <w:rtl/>
          <w:lang w:bidi="fa-IR"/>
        </w:rPr>
        <w:t>13</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(7)</w:t>
      </w:r>
      <w:r w:rsidRPr="00020424">
        <w:rPr>
          <w:rtl/>
          <w:lang w:bidi="fa-IR"/>
        </w:rPr>
        <w:t xml:space="preserve"> ‌</w:t>
      </w:r>
      <w:bookmarkEnd w:id="51"/>
      <w:bookmarkEnd w:id="52"/>
      <w:bookmarkEnd w:id="53"/>
    </w:p>
    <w:p w:rsidR="00992664" w:rsidRPr="00020424" w:rsidRDefault="00992664" w:rsidP="00992664">
      <w:pPr>
        <w:pStyle w:val="libNormal"/>
        <w:rPr>
          <w:rtl/>
          <w:lang w:bidi="fa-IR"/>
        </w:rPr>
      </w:pPr>
      <w:r w:rsidRPr="005063A3">
        <w:rPr>
          <w:rtl/>
        </w:rPr>
        <w:t>5831</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بَاعَ أَبِي أَرْضاً مِنْ سُلَيْمَانَ بْنِ عَبْدِ الْمَلِكِ بِمَالٍ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F60AA5" w:rsidP="00992664">
      <w:pPr>
        <w:pStyle w:val="libFootnote0"/>
        <w:rPr>
          <w:rtl/>
          <w:lang w:bidi="fa-IR"/>
        </w:rPr>
      </w:pPr>
      <w:r>
        <w:rPr>
          <w:rFonts w:hint="cs"/>
          <w:rtl/>
        </w:rPr>
        <w:t xml:space="preserve">= </w:t>
      </w:r>
      <w:r w:rsidR="00992664" w:rsidRPr="00020424">
        <w:rPr>
          <w:rtl/>
        </w:rPr>
        <w:t xml:space="preserve">ص 135 ، ح 9306 ؛ </w:t>
      </w:r>
      <w:r w:rsidR="00992664" w:rsidRPr="0012008A">
        <w:rPr>
          <w:rStyle w:val="libFootnoteBoldChar"/>
          <w:rtl/>
        </w:rPr>
        <w:t>الوسائل</w:t>
      </w:r>
      <w:r w:rsidR="00992664" w:rsidRPr="00020424">
        <w:rPr>
          <w:rtl/>
        </w:rPr>
        <w:t xml:space="preserve"> ، ج 9 ، ص 305 ، ح 12084 ؛ وفيه ، ج 4 ، ص 166 ، ح 4810 ، من قوله : « إنّه ليس لأحد أن يصلّي</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 ويروي عن حمّاد بن عيسى ، عليّ بن إبراهيم عن أبيه.</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بالتاء والياء معاً. وفي « بح » : « يصلّي » بدون همزة الاستفهام. وفي </w:t>
      </w:r>
      <w:r w:rsidR="00992664" w:rsidRPr="0012008A">
        <w:rPr>
          <w:rStyle w:val="libFootnoteBoldChar"/>
          <w:rtl/>
        </w:rPr>
        <w:t>الوسائل</w:t>
      </w:r>
      <w:r w:rsidR="00992664" w:rsidRPr="00020424">
        <w:rPr>
          <w:rtl/>
        </w:rPr>
        <w:t xml:space="preserve"> ، </w:t>
      </w:r>
      <w:r w:rsidR="00992664" w:rsidRPr="00515444">
        <w:rPr>
          <w:rStyle w:val="libFootnoteBoldChar"/>
          <w:rtl/>
        </w:rPr>
        <w:t>والتهذيب</w:t>
      </w:r>
      <w:r w:rsidR="00992664" w:rsidRPr="00020424">
        <w:rPr>
          <w:rtl/>
        </w:rPr>
        <w:t xml:space="preserve"> : « تصلّي » بدون همزة الاستفهام.</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43 ، ح 111 ؛ </w:t>
      </w:r>
      <w:r w:rsidR="00992664" w:rsidRPr="00FD6221">
        <w:rPr>
          <w:rStyle w:val="libFootnoteBoldChar"/>
          <w:rtl/>
        </w:rPr>
        <w:t>والاستبصار</w:t>
      </w:r>
      <w:r w:rsidR="00992664" w:rsidRPr="00020424">
        <w:rPr>
          <w:rtl/>
        </w:rPr>
        <w:t xml:space="preserve"> ، ج 2 ، ص 32 ، ح 93 ، معلّقاً عن حمّاد ، عن حريز </w:t>
      </w:r>
      <w:r w:rsidR="00F60AA5">
        <w:rPr>
          <w:rFonts w:hint="cs"/>
          <w:rtl/>
        </w:rPr>
        <w:t>.</w:t>
      </w:r>
      <w:r w:rsidR="00992664" w:rsidRPr="0012008A">
        <w:rPr>
          <w:rStyle w:val="libFootnoteBoldChar"/>
          <w:rtl/>
        </w:rPr>
        <w:t>الوافي</w:t>
      </w:r>
      <w:r w:rsidR="00992664" w:rsidRPr="00020424">
        <w:rPr>
          <w:rtl/>
        </w:rPr>
        <w:t xml:space="preserve"> ، ج 10 ، ص 135 ، ح 9307 ؛ </w:t>
      </w:r>
      <w:r w:rsidR="00992664" w:rsidRPr="0012008A">
        <w:rPr>
          <w:rStyle w:val="libFootnoteBoldChar"/>
          <w:rtl/>
        </w:rPr>
        <w:t>الوسائل</w:t>
      </w:r>
      <w:r w:rsidR="00992664" w:rsidRPr="00020424">
        <w:rPr>
          <w:rtl/>
        </w:rPr>
        <w:t xml:space="preserve"> ، ج 4 ، ص 166 ، ح 4811 ؛ وج 9 ، ص 305 ، ح 12085.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بف » </w:t>
      </w:r>
      <w:r w:rsidR="00992664" w:rsidRPr="00EB1FD9">
        <w:rPr>
          <w:rStyle w:val="libFootnoteBoldChar"/>
          <w:rtl/>
        </w:rPr>
        <w:t>والوسائل</w:t>
      </w:r>
      <w:r w:rsidR="00992664" w:rsidRPr="00020424">
        <w:rPr>
          <w:rtl/>
        </w:rPr>
        <w:t xml:space="preserve"> : « تصلح</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قد أيسر المعطى » ، أي استغنى وصار ذا غنىً ، فهو موسر ، صارت الياء واو</w:t>
      </w:r>
      <w:r w:rsidR="00F60AA5">
        <w:rPr>
          <w:rtl/>
        </w:rPr>
        <w:t>اً لسكونها وضمّة ما قبلها. راجع</w:t>
      </w:r>
      <w:r w:rsidR="00992664" w:rsidRPr="00020424">
        <w:rPr>
          <w:rtl/>
        </w:rPr>
        <w:t xml:space="preserve">: </w:t>
      </w:r>
      <w:r w:rsidR="00992664" w:rsidRPr="0012008A">
        <w:rPr>
          <w:rStyle w:val="libFootnoteBoldChar"/>
          <w:rtl/>
        </w:rPr>
        <w:t>الصحاح</w:t>
      </w:r>
      <w:r w:rsidR="00992664" w:rsidRPr="00020424">
        <w:rPr>
          <w:rtl/>
        </w:rPr>
        <w:t xml:space="preserve"> ، ج 2 ، ص 858 ؛ </w:t>
      </w:r>
      <w:r w:rsidR="00992664" w:rsidRPr="00A722B1">
        <w:rPr>
          <w:rStyle w:val="libFootnoteBoldChar"/>
          <w:rtl/>
        </w:rPr>
        <w:t>القاموس المحيط</w:t>
      </w:r>
      <w:r w:rsidR="00992664" w:rsidRPr="00020424">
        <w:rPr>
          <w:rtl/>
        </w:rPr>
        <w:t xml:space="preserve"> ، ج 1 ، ص 691 ( يسر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5063A3">
        <w:rPr>
          <w:rtl/>
        </w:rPr>
        <w:t>الكافي</w:t>
      </w:r>
      <w:r w:rsidR="00992664" w:rsidRPr="00020424">
        <w:rPr>
          <w:rtl/>
        </w:rPr>
        <w:t xml:space="preserve"> ، كتاب الزكاة ، باب الرجل يعطى من زكاة من يظنّ أنّه معسر</w:t>
      </w:r>
      <w:r w:rsidR="00992664">
        <w:rPr>
          <w:rtl/>
        </w:rPr>
        <w:t xml:space="preserve"> ..</w:t>
      </w:r>
      <w:r w:rsidR="00992664" w:rsidRPr="00020424">
        <w:rPr>
          <w:rtl/>
        </w:rPr>
        <w:t xml:space="preserve">. ، ح 5897 ؛ </w:t>
      </w:r>
      <w:r w:rsidR="00992664" w:rsidRPr="00FD6221">
        <w:rPr>
          <w:rStyle w:val="libFootnoteBoldChar"/>
          <w:rtl/>
        </w:rPr>
        <w:t>والفقيه</w:t>
      </w:r>
      <w:r w:rsidR="00992664" w:rsidRPr="00020424">
        <w:rPr>
          <w:rtl/>
        </w:rPr>
        <w:t xml:space="preserve"> ، ج 2 ، ص 30 ، ح 1615 ؛ </w:t>
      </w:r>
      <w:r w:rsidR="00992664" w:rsidRPr="00515444">
        <w:rPr>
          <w:rStyle w:val="libFootnoteBoldChar"/>
          <w:rtl/>
        </w:rPr>
        <w:t>والتهذيب</w:t>
      </w:r>
      <w:r w:rsidR="00992664" w:rsidRPr="00020424">
        <w:rPr>
          <w:rtl/>
        </w:rPr>
        <w:t xml:space="preserve"> ، ج 4 ، ص 45 ، ح 116 و117 ؛ </w:t>
      </w:r>
      <w:r w:rsidR="00992664" w:rsidRPr="00FD6221">
        <w:rPr>
          <w:rStyle w:val="libFootnoteBoldChar"/>
          <w:rtl/>
        </w:rPr>
        <w:t>والاستبصار</w:t>
      </w:r>
      <w:r w:rsidR="00992664" w:rsidRPr="00020424">
        <w:rPr>
          <w:rtl/>
        </w:rPr>
        <w:t xml:space="preserve"> ، ج 2 ، ص 33 ، ح 98 و99 ، بسند آخر عن أبي عبدالله </w:t>
      </w:r>
      <w:r w:rsidR="00992664" w:rsidRPr="00D64ADA">
        <w:rPr>
          <w:rStyle w:val="libFootnoteAlaemChar"/>
          <w:rtl/>
        </w:rPr>
        <w:t>عليه‌السلام</w:t>
      </w:r>
      <w:r w:rsidR="00992664" w:rsidRPr="00020424">
        <w:rPr>
          <w:rtl/>
        </w:rPr>
        <w:t xml:space="preserve"> ، مع اختلاف </w:t>
      </w:r>
      <w:r w:rsidR="00F60AA5">
        <w:rPr>
          <w:rFonts w:hint="cs"/>
          <w:rtl/>
        </w:rPr>
        <w:t>.</w:t>
      </w:r>
      <w:r w:rsidR="00992664" w:rsidRPr="0012008A">
        <w:rPr>
          <w:rStyle w:val="libFootnoteBoldChar"/>
          <w:rtl/>
        </w:rPr>
        <w:t>الوافي</w:t>
      </w:r>
      <w:r w:rsidR="00992664" w:rsidRPr="00020424">
        <w:rPr>
          <w:rtl/>
        </w:rPr>
        <w:t xml:space="preserve"> ، ج 10 ، ص 135 ، ح 9308 ؛ </w:t>
      </w:r>
      <w:r w:rsidR="00992664" w:rsidRPr="0012008A">
        <w:rPr>
          <w:rStyle w:val="libFootnoteBoldChar"/>
          <w:rtl/>
        </w:rPr>
        <w:t>الوسائل</w:t>
      </w:r>
      <w:r w:rsidR="00992664" w:rsidRPr="00020424">
        <w:rPr>
          <w:rtl/>
        </w:rPr>
        <w:t xml:space="preserve"> ، ج 9 ، ص 304 ، ح 12082.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بس » :</w:t>
      </w:r>
      <w:r w:rsidR="00992664">
        <w:rPr>
          <w:rtl/>
        </w:rPr>
        <w:t xml:space="preserve"> </w:t>
      </w:r>
      <w:r w:rsidR="009B673F">
        <w:rPr>
          <w:rtl/>
        </w:rPr>
        <w:t>-</w:t>
      </w:r>
      <w:r w:rsidR="00992664">
        <w:rPr>
          <w:rtl/>
        </w:rPr>
        <w:t xml:space="preserve"> </w:t>
      </w:r>
      <w:r w:rsidR="00992664" w:rsidRPr="00020424">
        <w:rPr>
          <w:rtl/>
        </w:rPr>
        <w:t>« باب</w:t>
      </w:r>
      <w:r w:rsidR="00992664">
        <w:rPr>
          <w:rtl/>
        </w:rPr>
        <w:t xml:space="preserve"> ».</w:t>
      </w:r>
      <w:r w:rsidR="00992664" w:rsidRPr="00020424">
        <w:rPr>
          <w:rtl/>
        </w:rPr>
        <w:t xml:space="preserve"> وفي « بح » : + « جواز شرط الزكاة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فَاشْتَرَطَ </w:t>
      </w:r>
      <w:r w:rsidRPr="00A91B96">
        <w:rPr>
          <w:rStyle w:val="libFootnotenumChar"/>
          <w:rtl/>
        </w:rPr>
        <w:t>(1)</w:t>
      </w:r>
      <w:r w:rsidRPr="00020424">
        <w:rPr>
          <w:rtl/>
          <w:lang w:bidi="fa-IR"/>
        </w:rPr>
        <w:t xml:space="preserve"> فِي بَيْعِهِ أَنْ يُزَكِّيَ هذَا الْمَالَ مِنْ عِنْدِهِ لِسِتِّ سِنِينَ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5063A3">
        <w:rPr>
          <w:rtl/>
        </w:rPr>
        <w:t>5832</w:t>
      </w:r>
      <w:r w:rsidRPr="001155DE">
        <w:rPr>
          <w:rStyle w:val="libBold2Char"/>
          <w:rtl/>
        </w:rPr>
        <w:t xml:space="preserve"> / 2.</w:t>
      </w:r>
      <w:r w:rsidRPr="00020424">
        <w:rPr>
          <w:rtl/>
          <w:lang w:bidi="fa-IR"/>
        </w:rPr>
        <w:t xml:space="preserve"> مُحَمَّدُ بْنُ يَحْيى ، عَنْ أَحْمَدَ بْنِ مُحَمَّدٍ ، عَنِ الْحَسَنِ </w:t>
      </w:r>
      <w:r w:rsidRPr="00A91B96">
        <w:rPr>
          <w:rStyle w:val="libFootnotenumChar"/>
          <w:rtl/>
        </w:rPr>
        <w:t>(3)</w:t>
      </w:r>
      <w:r w:rsidRPr="00020424">
        <w:rPr>
          <w:rtl/>
          <w:lang w:bidi="fa-IR"/>
        </w:rPr>
        <w:t xml:space="preserve"> بْنِ مَحْبُوبٍ ، عَنْ عَبْدِ اللهِ بْنِ سِنَانٍ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بَاعَ أَبِي مِنْ هِشَامِ بْنِ عَبْدِ الْمَلِكِ أَرْضاً لَهُ </w:t>
      </w:r>
      <w:r w:rsidRPr="00A91B96">
        <w:rPr>
          <w:rStyle w:val="libFootnotenumChar"/>
          <w:rtl/>
        </w:rPr>
        <w:t>(4)</w:t>
      </w:r>
      <w:r w:rsidRPr="00020424">
        <w:rPr>
          <w:rtl/>
          <w:lang w:bidi="fa-IR"/>
        </w:rPr>
        <w:t xml:space="preserve"> بِكَذَا وَكَذَا أَلْفَ دِينَارٍ ، وَاشْتَرَطَ </w:t>
      </w:r>
      <w:r w:rsidRPr="00A91B96">
        <w:rPr>
          <w:rStyle w:val="libFootnotenumChar"/>
          <w:rtl/>
        </w:rPr>
        <w:t>(5)</w:t>
      </w:r>
      <w:r w:rsidRPr="00020424">
        <w:rPr>
          <w:rtl/>
          <w:lang w:bidi="fa-IR"/>
        </w:rPr>
        <w:t xml:space="preserve"> عَلَيْهِ زَكَاةَ ذلِكَ الْمَالِ عَشْرَ سِنِينَ ، وَإِنَّمَا فَعَلَ ذلِكَ لِأَنَّ هِشَاماً كَانَ هُوَ الْوَالِيَ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54" w:name="_Toc345172734"/>
      <w:bookmarkStart w:id="55" w:name="_Toc464562551"/>
      <w:bookmarkStart w:id="56" w:name="_Toc44599854"/>
      <w:r w:rsidRPr="00020424">
        <w:rPr>
          <w:rtl/>
          <w:lang w:bidi="fa-IR"/>
        </w:rPr>
        <w:t>14</w:t>
      </w:r>
      <w:r>
        <w:rPr>
          <w:rtl/>
          <w:lang w:bidi="fa-IR"/>
        </w:rPr>
        <w:t xml:space="preserve"> </w:t>
      </w:r>
      <w:r w:rsidR="009B673F">
        <w:rPr>
          <w:rtl/>
          <w:lang w:bidi="fa-IR"/>
        </w:rPr>
        <w:t>-</w:t>
      </w:r>
      <w:r>
        <w:rPr>
          <w:rtl/>
          <w:lang w:bidi="fa-IR"/>
        </w:rPr>
        <w:t xml:space="preserve"> </w:t>
      </w:r>
      <w:r w:rsidRPr="00020424">
        <w:rPr>
          <w:rtl/>
          <w:lang w:bidi="fa-IR"/>
        </w:rPr>
        <w:t>بَابُ الْمَالِ الَّذِي لَايَحُولُ عَلَيْهِ الْحَوْلُ فِي يَدِ صَاحِبِهِ‌</w:t>
      </w:r>
      <w:bookmarkEnd w:id="54"/>
      <w:bookmarkEnd w:id="55"/>
      <w:bookmarkEnd w:id="56"/>
    </w:p>
    <w:p w:rsidR="00992664" w:rsidRPr="00020424" w:rsidRDefault="00992664" w:rsidP="00992664">
      <w:pPr>
        <w:pStyle w:val="libNormal"/>
        <w:rPr>
          <w:rtl/>
          <w:lang w:bidi="fa-IR"/>
        </w:rPr>
      </w:pPr>
      <w:r w:rsidRPr="005063A3">
        <w:rPr>
          <w:rtl/>
        </w:rPr>
        <w:t>5833</w:t>
      </w:r>
      <w:r w:rsidRPr="001155DE">
        <w:rPr>
          <w:rStyle w:val="libBold2Char"/>
          <w:rtl/>
        </w:rPr>
        <w:t xml:space="preserve"> / 1.</w:t>
      </w:r>
      <w:r w:rsidRPr="00020424">
        <w:rPr>
          <w:rtl/>
          <w:lang w:bidi="fa-IR"/>
        </w:rPr>
        <w:t xml:space="preserve"> مُحَمَّدُ بْنُ إِسْمَاعِيلَ ، عَنِ الْفَضْلِ بْنِ شَاذَانَ ، عَنْ صَفْوَانَ بْنِ يَحْيى ، عَنْ إِسْحَاقَ بْنِ عَمَّارٍ ، قَالَ :</w:t>
      </w:r>
    </w:p>
    <w:p w:rsidR="00992664" w:rsidRPr="00020424" w:rsidRDefault="00992664" w:rsidP="00992664">
      <w:pPr>
        <w:pStyle w:val="libNormal"/>
        <w:rPr>
          <w:rtl/>
          <w:lang w:bidi="fa-IR"/>
        </w:rPr>
      </w:pPr>
      <w:r w:rsidRPr="00020424">
        <w:rPr>
          <w:rtl/>
          <w:lang w:bidi="fa-IR"/>
        </w:rPr>
        <w:t xml:space="preserve">سَأَلْتُ أَبَا إِبْرَاهِيمَ </w:t>
      </w:r>
      <w:r w:rsidRPr="00005A81">
        <w:rPr>
          <w:rStyle w:val="libAlaemChar"/>
          <w:rtl/>
        </w:rPr>
        <w:t>عليه‌السلام</w:t>
      </w:r>
      <w:r w:rsidRPr="00020424">
        <w:rPr>
          <w:rtl/>
          <w:lang w:bidi="fa-IR"/>
        </w:rPr>
        <w:t xml:space="preserve"> عَنِ الرَّجُلِ يَكُونُ لَهُ الْوُلْدُ ، فَيَغِيبُ بَعْضُ وُلْدِهِ ، فَلَا يَدْرِي أَيْنَ هُوَ</w:t>
      </w:r>
      <w:r>
        <w:rPr>
          <w:rtl/>
          <w:lang w:bidi="fa-IR"/>
        </w:rPr>
        <w:t>؟</w:t>
      </w:r>
      <w:r w:rsidRPr="00020424">
        <w:rPr>
          <w:rtl/>
          <w:lang w:bidi="fa-IR"/>
        </w:rPr>
        <w:t xml:space="preserve"> وَمَاتَ الرَّجُلُ ، فَكَيْفَ </w:t>
      </w:r>
      <w:r w:rsidRPr="00A91B96">
        <w:rPr>
          <w:rStyle w:val="libFootnotenumChar"/>
          <w:rtl/>
        </w:rPr>
        <w:t>(8)</w:t>
      </w:r>
      <w:r w:rsidRPr="00020424">
        <w:rPr>
          <w:rtl/>
          <w:lang w:bidi="fa-IR"/>
        </w:rPr>
        <w:t xml:space="preserve"> يُصْنَعُ بِمِيرَاثِ الْغَائِبِ مِنْ أَبِيهِ</w:t>
      </w:r>
      <w:r>
        <w:rPr>
          <w:rtl/>
          <w:lang w:bidi="fa-IR"/>
        </w:rPr>
        <w:t>؟</w:t>
      </w:r>
    </w:p>
    <w:p w:rsidR="00992664" w:rsidRPr="00020424" w:rsidRDefault="00992664" w:rsidP="00992664">
      <w:pPr>
        <w:pStyle w:val="libNormal"/>
        <w:rPr>
          <w:rtl/>
          <w:lang w:bidi="fa-IR"/>
        </w:rPr>
      </w:pPr>
      <w:r w:rsidRPr="00020424">
        <w:rPr>
          <w:rtl/>
          <w:lang w:bidi="fa-IR"/>
        </w:rPr>
        <w:t>قَالَ : « يُعْزَلُ حَتّى يَجِي‌ءَ</w:t>
      </w:r>
      <w:r>
        <w:rPr>
          <w:rtl/>
          <w:lang w:bidi="fa-IR"/>
        </w:rPr>
        <w:t xml:space="preserve"> ».</w:t>
      </w:r>
    </w:p>
    <w:p w:rsidR="00992664" w:rsidRPr="00020424" w:rsidRDefault="00992664" w:rsidP="00992664">
      <w:pPr>
        <w:pStyle w:val="libNormal"/>
        <w:rPr>
          <w:rtl/>
          <w:lang w:bidi="fa-IR"/>
        </w:rPr>
      </w:pPr>
      <w:r w:rsidRPr="00020424">
        <w:rPr>
          <w:rtl/>
          <w:lang w:bidi="fa-IR"/>
        </w:rPr>
        <w:t>قُلْتُ : فَعَلى مَالِهِ زَكَاةٌ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واشترط</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227 ، ح 9487 ؛ </w:t>
      </w:r>
      <w:r w:rsidR="00992664" w:rsidRPr="0012008A">
        <w:rPr>
          <w:rStyle w:val="libFootnoteBoldChar"/>
          <w:rtl/>
        </w:rPr>
        <w:t>الوسائل</w:t>
      </w:r>
      <w:r w:rsidR="00992664" w:rsidRPr="00020424">
        <w:rPr>
          <w:rtl/>
        </w:rPr>
        <w:t xml:space="preserve"> ، ج 9 ، ص 174 ، ح 11771.</w:t>
      </w:r>
    </w:p>
    <w:tbl>
      <w:tblPr>
        <w:tblStyle w:val="TableGrid"/>
        <w:bidiVisual/>
        <w:tblW w:w="0" w:type="auto"/>
        <w:tblLook w:val="04A0" w:firstRow="1" w:lastRow="0" w:firstColumn="1" w:lastColumn="0" w:noHBand="0" w:noVBand="1"/>
      </w:tblPr>
      <w:tblGrid>
        <w:gridCol w:w="4006"/>
        <w:gridCol w:w="4006"/>
      </w:tblGrid>
      <w:tr w:rsidR="00011F46" w:rsidTr="00011F46">
        <w:tc>
          <w:tcPr>
            <w:tcW w:w="4006" w:type="dxa"/>
          </w:tcPr>
          <w:p w:rsidR="00011F46" w:rsidRDefault="00011F46" w:rsidP="00992664">
            <w:pPr>
              <w:pStyle w:val="libFootnote0"/>
              <w:rPr>
                <w:rtl/>
              </w:rPr>
            </w:pPr>
            <w:r>
              <w:rPr>
                <w:rtl/>
              </w:rPr>
              <w:t xml:space="preserve">(3). </w:t>
            </w:r>
            <w:r w:rsidRPr="00020424">
              <w:rPr>
                <w:rtl/>
              </w:rPr>
              <w:t>في « بر » :</w:t>
            </w:r>
            <w:r>
              <w:rPr>
                <w:rtl/>
              </w:rPr>
              <w:t xml:space="preserve"> - </w:t>
            </w:r>
            <w:r w:rsidRPr="00020424">
              <w:rPr>
                <w:rtl/>
              </w:rPr>
              <w:t>« الحسن</w:t>
            </w:r>
            <w:r>
              <w:rPr>
                <w:rtl/>
              </w:rPr>
              <w:t xml:space="preserve"> ».</w:t>
            </w:r>
          </w:p>
        </w:tc>
        <w:tc>
          <w:tcPr>
            <w:tcW w:w="4006" w:type="dxa"/>
          </w:tcPr>
          <w:p w:rsidR="00011F46" w:rsidRDefault="00011F46" w:rsidP="00992664">
            <w:pPr>
              <w:pStyle w:val="libFootnote0"/>
              <w:rPr>
                <w:rtl/>
              </w:rPr>
            </w:pPr>
            <w:r>
              <w:rPr>
                <w:rtl/>
              </w:rPr>
              <w:t xml:space="preserve">(4). </w:t>
            </w:r>
            <w:r w:rsidRPr="00020424">
              <w:rPr>
                <w:rtl/>
              </w:rPr>
              <w:t>في « بس »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بس » : « فاشترط</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الولاة كانوا يومئذ لا يزكّون أموالهم ، فأراد </w:t>
      </w:r>
      <w:r w:rsidR="00992664" w:rsidRPr="00D64ADA">
        <w:rPr>
          <w:rStyle w:val="libFootnoteAlaemChar"/>
          <w:rtl/>
        </w:rPr>
        <w:t>عليه‌السلام</w:t>
      </w:r>
      <w:r w:rsidR="00992664" w:rsidRPr="00020424">
        <w:rPr>
          <w:rtl/>
        </w:rPr>
        <w:t xml:space="preserve"> أن يحلّ له ثمن أرضه كملاً ، فاشترط على هشام زكاته ليحلّ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5063A3">
        <w:rPr>
          <w:rtl/>
        </w:rPr>
        <w:t>علل الشرائع</w:t>
      </w:r>
      <w:r w:rsidR="00992664" w:rsidRPr="00020424">
        <w:rPr>
          <w:rtl/>
        </w:rPr>
        <w:t xml:space="preserve"> ، ص 375 ، ح 2 ، بسنده عن أحمد بن محمّد </w:t>
      </w:r>
      <w:r w:rsidR="005A7B8A">
        <w:rPr>
          <w:rFonts w:hint="cs"/>
          <w:rtl/>
        </w:rPr>
        <w:t>.</w:t>
      </w:r>
      <w:r w:rsidR="00992664" w:rsidRPr="0012008A">
        <w:rPr>
          <w:rStyle w:val="libFootnoteBoldChar"/>
          <w:rtl/>
        </w:rPr>
        <w:t>الوافي</w:t>
      </w:r>
      <w:r w:rsidR="00992664" w:rsidRPr="00020424">
        <w:rPr>
          <w:rtl/>
        </w:rPr>
        <w:t xml:space="preserve"> ، ج 10 ، ص 227 ، ح 9488 ؛ </w:t>
      </w:r>
      <w:r w:rsidR="00992664" w:rsidRPr="0012008A">
        <w:rPr>
          <w:rStyle w:val="libFootnoteBoldChar"/>
          <w:rtl/>
        </w:rPr>
        <w:t>الوسائل</w:t>
      </w:r>
      <w:r w:rsidR="00992664" w:rsidRPr="00020424">
        <w:rPr>
          <w:rtl/>
        </w:rPr>
        <w:t xml:space="preserve"> ، ج 9 ، ص 173 ، ح 11770.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والكافي ، ح 13580 </w:t>
      </w:r>
      <w:r w:rsidR="00992664" w:rsidRPr="00515444">
        <w:rPr>
          <w:rStyle w:val="libFootnoteBoldChar"/>
          <w:rtl/>
        </w:rPr>
        <w:t>والتهذيب</w:t>
      </w:r>
      <w:r w:rsidR="00F8340F">
        <w:rPr>
          <w:rtl/>
        </w:rPr>
        <w:t xml:space="preserve"> ، ح 1384 : «</w:t>
      </w:r>
      <w:r w:rsidR="00992664" w:rsidRPr="00020424">
        <w:rPr>
          <w:rtl/>
        </w:rPr>
        <w:t>كيف</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A91B96">
        <w:rPr>
          <w:rStyle w:val="libFootnotenumChar"/>
          <w:rtl/>
        </w:rPr>
        <w:t>(1)</w:t>
      </w:r>
      <w:r w:rsidRPr="00020424">
        <w:rPr>
          <w:rtl/>
          <w:lang w:bidi="fa-IR"/>
        </w:rPr>
        <w:t xml:space="preserve"> : « لَا ، حَتّى يَجِي‌ءَ » </w:t>
      </w:r>
      <w:r w:rsidRPr="00A91B96">
        <w:rPr>
          <w:rStyle w:val="libFootnotenumChar"/>
          <w:rtl/>
        </w:rPr>
        <w:t>(2)</w:t>
      </w:r>
    </w:p>
    <w:p w:rsidR="00992664" w:rsidRPr="00020424" w:rsidRDefault="00992664" w:rsidP="00992664">
      <w:pPr>
        <w:pStyle w:val="libNormal"/>
        <w:rPr>
          <w:rtl/>
          <w:lang w:bidi="fa-IR"/>
        </w:rPr>
      </w:pPr>
      <w:r w:rsidRPr="00020424">
        <w:rPr>
          <w:rtl/>
          <w:lang w:bidi="fa-IR"/>
        </w:rPr>
        <w:t xml:space="preserve">قُلْتُ : فَإِذَا هُوَ جَاءَ </w:t>
      </w:r>
      <w:r w:rsidRPr="00A91B96">
        <w:rPr>
          <w:rStyle w:val="libFootnotenumChar"/>
          <w:rtl/>
        </w:rPr>
        <w:t>(3)</w:t>
      </w:r>
      <w:r>
        <w:rPr>
          <w:rtl/>
          <w:lang w:bidi="fa-IR"/>
        </w:rPr>
        <w:t xml:space="preserve"> أَ</w:t>
      </w:r>
      <w:r w:rsidRPr="00020424">
        <w:rPr>
          <w:rtl/>
          <w:lang w:bidi="fa-IR"/>
        </w:rPr>
        <w:t>يُزَكِّيهِ</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لَا ، حَتّى يَحُولَ </w:t>
      </w:r>
      <w:r w:rsidRPr="00A91B96">
        <w:rPr>
          <w:rStyle w:val="libFootnotenumChar"/>
          <w:rtl/>
        </w:rPr>
        <w:t>(5)</w:t>
      </w:r>
      <w:r w:rsidRPr="00020424">
        <w:rPr>
          <w:rtl/>
          <w:lang w:bidi="fa-IR"/>
        </w:rPr>
        <w:t xml:space="preserve"> عَلَيْهِ الْحَوْلُ فِي يَدِهِ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566E64">
        <w:rPr>
          <w:rtl/>
        </w:rPr>
        <w:t>5834</w:t>
      </w:r>
      <w:r w:rsidRPr="001155DE">
        <w:rPr>
          <w:rStyle w:val="libBold2Char"/>
          <w:rtl/>
        </w:rPr>
        <w:t xml:space="preserve"> / 2.</w:t>
      </w:r>
      <w:r w:rsidRPr="00020424">
        <w:rPr>
          <w:rtl/>
          <w:lang w:bidi="fa-IR"/>
        </w:rPr>
        <w:t xml:space="preserve"> وَبِهذَا الْإِسْنَادِ ، عَنْ صَفْوَانَ ، عَنْ عَبْدِ اللهِ </w:t>
      </w:r>
      <w:r w:rsidRPr="00A91B96">
        <w:rPr>
          <w:rStyle w:val="libFootnotenumChar"/>
          <w:rtl/>
        </w:rPr>
        <w:t>(7)</w:t>
      </w:r>
      <w:r w:rsidRPr="00020424">
        <w:rPr>
          <w:rtl/>
          <w:lang w:bidi="fa-IR"/>
        </w:rPr>
        <w:t xml:space="preserve"> بْنِ مُسْكَانَ ، عَنْ مُحَمَّدٍ الْحَلَبِيِّ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يُفِيدُ </w:t>
      </w:r>
      <w:r w:rsidRPr="00A91B96">
        <w:rPr>
          <w:rStyle w:val="libFootnotenumChar"/>
          <w:rtl/>
        </w:rPr>
        <w:t>(8)</w:t>
      </w:r>
      <w:r w:rsidRPr="00020424">
        <w:rPr>
          <w:rtl/>
          <w:lang w:bidi="fa-IR"/>
        </w:rPr>
        <w:t xml:space="preserve"> الْمَالَ</w:t>
      </w:r>
      <w:r>
        <w:rPr>
          <w:rtl/>
          <w:lang w:bidi="fa-IR"/>
        </w:rPr>
        <w:t>؟</w:t>
      </w:r>
    </w:p>
    <w:p w:rsidR="00992664" w:rsidRPr="00020424" w:rsidRDefault="00992664" w:rsidP="00992664">
      <w:pPr>
        <w:pStyle w:val="libNormal"/>
        <w:rPr>
          <w:rtl/>
          <w:lang w:bidi="fa-IR"/>
        </w:rPr>
      </w:pPr>
      <w:r w:rsidRPr="00020424">
        <w:rPr>
          <w:rtl/>
          <w:lang w:bidi="fa-IR"/>
        </w:rPr>
        <w:t>قَالَ : « لَا يُزَكِّيهِ حَتّى يَحُولَ عَلَيْهِ الْحَوْلُ</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566E64">
        <w:rPr>
          <w:rtl/>
        </w:rPr>
        <w:t>5835</w:t>
      </w:r>
      <w:r w:rsidRPr="001155DE">
        <w:rPr>
          <w:rStyle w:val="libBold2Char"/>
          <w:rtl/>
        </w:rPr>
        <w:t xml:space="preserve"> / 3.</w:t>
      </w:r>
      <w:r w:rsidRPr="00020424">
        <w:rPr>
          <w:rtl/>
          <w:lang w:bidi="fa-IR"/>
        </w:rPr>
        <w:t xml:space="preserve"> عَلِيُّ بْنُ إِبْرَاهِيمَ ، عَنْ أَبِيهِ ، عَنْ عَبْدِ اللهِ بْنِ الْمُغِيرَةِ ، عَنْ عَبْدِ اللهِ بْنِ سِنَانٍ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كَانَ لَهُ مَالٌ مَوْضُوعٌ ، حَتّى إِذَا كَانَ قَرِيباً مِنْ رَأْسِ الْحَوْلِ ، أَنْفَقَهُ قَبْلَ أَنْ يَحُولَ عَلَيْهِ </w:t>
      </w:r>
      <w:r w:rsidRPr="00A91B96">
        <w:rPr>
          <w:rStyle w:val="libFootnotenumChar"/>
          <w:rtl/>
        </w:rPr>
        <w:t>(10)</w:t>
      </w:r>
      <w:r>
        <w:rPr>
          <w:rtl/>
          <w:lang w:bidi="fa-IR"/>
        </w:rPr>
        <w:t xml:space="preserve"> ، أَ</w:t>
      </w:r>
      <w:r w:rsidRPr="00020424">
        <w:rPr>
          <w:rtl/>
          <w:lang w:bidi="fa-IR"/>
        </w:rPr>
        <w:t>عَلَيْهِ صَدَقَةٌ</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بح » والكافي ، ح 13580 </w:t>
      </w:r>
      <w:r w:rsidR="00992664" w:rsidRPr="00515444">
        <w:rPr>
          <w:rStyle w:val="libFootnoteBoldChar"/>
          <w:rtl/>
        </w:rPr>
        <w:t>والتهذيب</w:t>
      </w:r>
      <w:r w:rsidR="00992664" w:rsidRPr="00020424">
        <w:rPr>
          <w:rtl/>
        </w:rPr>
        <w:t xml:space="preserve"> ، ح 1385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قلت فعلى ماله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حتّى يجى‌ء</w:t>
      </w:r>
      <w:r w:rsidR="00992664">
        <w:rPr>
          <w:rtl/>
        </w:rPr>
        <w:t xml:space="preserve"> ».</w:t>
      </w:r>
    </w:p>
    <w:tbl>
      <w:tblPr>
        <w:tblStyle w:val="TableGrid"/>
        <w:bidiVisual/>
        <w:tblW w:w="0" w:type="auto"/>
        <w:tblLook w:val="04A0" w:firstRow="1" w:lastRow="0" w:firstColumn="1" w:lastColumn="0" w:noHBand="0" w:noVBand="1"/>
      </w:tblPr>
      <w:tblGrid>
        <w:gridCol w:w="3891"/>
        <w:gridCol w:w="4121"/>
      </w:tblGrid>
      <w:tr w:rsidR="005A7B8A" w:rsidTr="005A7B8A">
        <w:tc>
          <w:tcPr>
            <w:tcW w:w="3891" w:type="dxa"/>
          </w:tcPr>
          <w:p w:rsidR="005A7B8A" w:rsidRDefault="005A7B8A" w:rsidP="00992664">
            <w:pPr>
              <w:pStyle w:val="libFootnote0"/>
              <w:rPr>
                <w:rtl/>
              </w:rPr>
            </w:pPr>
            <w:r>
              <w:rPr>
                <w:rtl/>
              </w:rPr>
              <w:t xml:space="preserve">(3). </w:t>
            </w:r>
            <w:r w:rsidRPr="00020424">
              <w:rPr>
                <w:rtl/>
              </w:rPr>
              <w:t>في « ى » : « جاء هو</w:t>
            </w:r>
            <w:r>
              <w:rPr>
                <w:rtl/>
              </w:rPr>
              <w:t xml:space="preserve"> ».</w:t>
            </w:r>
          </w:p>
        </w:tc>
        <w:tc>
          <w:tcPr>
            <w:tcW w:w="4121" w:type="dxa"/>
          </w:tcPr>
          <w:p w:rsidR="005A7B8A" w:rsidRDefault="005A7B8A" w:rsidP="00992664">
            <w:pPr>
              <w:pStyle w:val="libFootnote0"/>
              <w:rPr>
                <w:rtl/>
              </w:rPr>
            </w:pPr>
            <w:r>
              <w:rPr>
                <w:rtl/>
              </w:rPr>
              <w:t>(4). في«بث،بخ،بر»</w:t>
            </w:r>
            <w:r w:rsidRPr="00515444">
              <w:rPr>
                <w:rStyle w:val="libFootnoteBoldChar"/>
                <w:rtl/>
              </w:rPr>
              <w:t>والوافي</w:t>
            </w:r>
            <w:r>
              <w:rPr>
                <w:rtl/>
              </w:rPr>
              <w:t>والكافي،</w:t>
            </w:r>
            <w:r w:rsidRPr="00020424">
              <w:rPr>
                <w:rtl/>
              </w:rPr>
              <w:t>ح 13580</w:t>
            </w:r>
            <w:r>
              <w:rPr>
                <w:rtl/>
              </w:rPr>
              <w:t>:«</w:t>
            </w:r>
            <w:r w:rsidRPr="00020424">
              <w:rPr>
                <w:rtl/>
              </w:rPr>
              <w:t>قال</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حتّى يجي‌ء</w:t>
      </w:r>
      <w:r w:rsidR="00992664">
        <w:rPr>
          <w:rtl/>
        </w:rPr>
        <w:t xml:space="preserve"> ».</w:t>
      </w:r>
    </w:p>
    <w:p w:rsidR="00992664" w:rsidRPr="00020424" w:rsidRDefault="00795177" w:rsidP="008F1E70">
      <w:pPr>
        <w:pStyle w:val="libFootnote0"/>
        <w:rPr>
          <w:rtl/>
          <w:lang w:bidi="fa-IR"/>
        </w:rPr>
      </w:pPr>
      <w:r>
        <w:rPr>
          <w:rtl/>
        </w:rPr>
        <w:t>(6).</w:t>
      </w:r>
      <w:r w:rsidR="0014403D">
        <w:rPr>
          <w:rtl/>
        </w:rPr>
        <w:t xml:space="preserve"> </w:t>
      </w:r>
      <w:r w:rsidR="00992664" w:rsidRPr="00566E64">
        <w:rPr>
          <w:rtl/>
        </w:rPr>
        <w:t>الكافي</w:t>
      </w:r>
      <w:r w:rsidR="00992664" w:rsidRPr="00020424">
        <w:rPr>
          <w:rtl/>
        </w:rPr>
        <w:t xml:space="preserve"> ، كتاب المواريث ، باب ميراث المفقود ، ح 13580 ؛ </w:t>
      </w:r>
      <w:r w:rsidR="00992664" w:rsidRPr="00515444">
        <w:rPr>
          <w:rStyle w:val="libFootnoteBoldChar"/>
          <w:rtl/>
        </w:rPr>
        <w:t>والتهذيب</w:t>
      </w:r>
      <w:r w:rsidR="00992664" w:rsidRPr="00566E64">
        <w:rPr>
          <w:rtl/>
        </w:rPr>
        <w:t xml:space="preserve"> </w:t>
      </w:r>
      <w:r w:rsidR="00992664" w:rsidRPr="00020424">
        <w:rPr>
          <w:rtl/>
        </w:rPr>
        <w:t>، ج 9 ، ص 388 ، ح 1384 ، بسندهما عن صفوان ، عن إسحاق بن عمّار ، إلى قوله : « قال : يعزل حتّى يجي‌ء</w:t>
      </w:r>
      <w:r w:rsidR="00992664">
        <w:rPr>
          <w:rtl/>
        </w:rPr>
        <w:t xml:space="preserve"> ».</w:t>
      </w:r>
      <w:r w:rsidR="00992664" w:rsidRPr="00020424">
        <w:rPr>
          <w:rtl/>
        </w:rPr>
        <w:t xml:space="preserve"> </w:t>
      </w:r>
      <w:r w:rsidR="00992664" w:rsidRPr="00566E64">
        <w:rPr>
          <w:rtl/>
        </w:rPr>
        <w:t>وفيه</w:t>
      </w:r>
      <w:r w:rsidR="00992664" w:rsidRPr="00020424">
        <w:rPr>
          <w:rtl/>
        </w:rPr>
        <w:t xml:space="preserve"> ، ح 1385 ؛ و</w:t>
      </w:r>
      <w:r w:rsidR="00992664" w:rsidRPr="00566E64">
        <w:rPr>
          <w:rtl/>
        </w:rPr>
        <w:t>الكافي</w:t>
      </w:r>
      <w:r w:rsidR="00992664" w:rsidRPr="00020424">
        <w:rPr>
          <w:rtl/>
        </w:rPr>
        <w:t xml:space="preserve"> ، كتاب المواريث ، باب ميراث المفقود ، ح 13581 ، بسندهما عن إسحاق بن عمّار ، عن أبي الحسن [ في الكافي : + « الأول » ] </w:t>
      </w:r>
      <w:r w:rsidR="00992664" w:rsidRPr="00D64ADA">
        <w:rPr>
          <w:rStyle w:val="libFootnoteAlaemChar"/>
          <w:rtl/>
        </w:rPr>
        <w:t>عليه‌السلام</w:t>
      </w:r>
      <w:r w:rsidR="00992664" w:rsidRPr="00020424">
        <w:rPr>
          <w:rtl/>
        </w:rPr>
        <w:t xml:space="preserve"> ، وفي كلّ المصادر مع اختلاف يسير وزيادة في آخره </w:t>
      </w:r>
      <w:r w:rsidR="008F1E70">
        <w:rPr>
          <w:rFonts w:hint="cs"/>
          <w:rtl/>
        </w:rPr>
        <w:t>.</w:t>
      </w:r>
      <w:r w:rsidR="00992664" w:rsidRPr="0012008A">
        <w:rPr>
          <w:rStyle w:val="libFootnoteBoldChar"/>
          <w:rtl/>
        </w:rPr>
        <w:t>الوافي</w:t>
      </w:r>
      <w:r w:rsidR="00992664" w:rsidRPr="00020424">
        <w:rPr>
          <w:rtl/>
        </w:rPr>
        <w:t xml:space="preserve"> ، ج 10 ، ص 120 ، ح 9274 ؛ </w:t>
      </w:r>
      <w:r w:rsidR="00992664" w:rsidRPr="0012008A">
        <w:rPr>
          <w:rStyle w:val="libFootnoteBoldChar"/>
          <w:rtl/>
        </w:rPr>
        <w:t>الوسائل</w:t>
      </w:r>
      <w:r w:rsidR="00992664" w:rsidRPr="00020424">
        <w:rPr>
          <w:rtl/>
        </w:rPr>
        <w:t xml:space="preserve"> ، ج 9 ، ص 93 ، ح 11604.</w:t>
      </w:r>
      <w:r w:rsidR="008F1E70">
        <w:rPr>
          <w:rFonts w:hint="cs"/>
          <w:rtl/>
        </w:rPr>
        <w:t xml:space="preserve">              </w:t>
      </w:r>
      <w:r>
        <w:rPr>
          <w:rtl/>
        </w:rPr>
        <w:t>(7).</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عبدالله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حاشية « ظ » : « يكسب</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يفيد ، أي يستفيد</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35 ، ح 91 ، معلّقاً عن الكليني </w:t>
      </w:r>
      <w:r w:rsidR="0032456C">
        <w:rPr>
          <w:rFonts w:hint="cs"/>
          <w:rtl/>
        </w:rPr>
        <w:t>.</w:t>
      </w:r>
      <w:r w:rsidR="00992664" w:rsidRPr="0012008A">
        <w:rPr>
          <w:rStyle w:val="libFootnoteBoldChar"/>
          <w:rtl/>
        </w:rPr>
        <w:t>الوافي</w:t>
      </w:r>
      <w:r w:rsidR="00992664" w:rsidRPr="00020424">
        <w:rPr>
          <w:rtl/>
        </w:rPr>
        <w:t xml:space="preserve"> ، ج 10 ، ص 131 ، ح 9302 ؛ </w:t>
      </w:r>
      <w:r w:rsidR="00992664" w:rsidRPr="0012008A">
        <w:rPr>
          <w:rStyle w:val="libFootnoteBoldChar"/>
          <w:rtl/>
        </w:rPr>
        <w:t>الوسائل</w:t>
      </w:r>
      <w:r w:rsidR="00992664" w:rsidRPr="00020424">
        <w:rPr>
          <w:rtl/>
        </w:rPr>
        <w:t xml:space="preserve"> ، ج 9 ، ص 169 ، ح 11757 ؛ وص 305 ، ح 12083.</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بس ، جن » : + « الحول</w:t>
      </w:r>
      <w:r w:rsidR="00992664">
        <w:rPr>
          <w:rtl/>
        </w:rPr>
        <w:t xml:space="preserve"> ».</w:t>
      </w:r>
      <w:r w:rsidR="00992664" w:rsidRPr="00020424">
        <w:rPr>
          <w:rtl/>
        </w:rPr>
        <w:t xml:space="preserve"> وفي « بر ، بف »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131 ، ح 9303 ؛ </w:t>
      </w:r>
      <w:r w:rsidR="00992664" w:rsidRPr="0012008A">
        <w:rPr>
          <w:rStyle w:val="libFootnoteBoldChar"/>
          <w:rtl/>
        </w:rPr>
        <w:t>الوسائل</w:t>
      </w:r>
      <w:r w:rsidR="00992664" w:rsidRPr="00020424">
        <w:rPr>
          <w:rtl/>
        </w:rPr>
        <w:t xml:space="preserve"> ، ج 9 ، ص 169 ، ح 11758.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566E64">
        <w:rPr>
          <w:rtl/>
        </w:rPr>
        <w:lastRenderedPageBreak/>
        <w:t>5836</w:t>
      </w:r>
      <w:r w:rsidRPr="001155DE">
        <w:rPr>
          <w:rStyle w:val="libBold2Char"/>
          <w:rtl/>
        </w:rPr>
        <w:t xml:space="preserve"> / 4.</w:t>
      </w:r>
      <w:r w:rsidRPr="00020424">
        <w:rPr>
          <w:rtl/>
          <w:lang w:bidi="fa-IR"/>
        </w:rPr>
        <w:t xml:space="preserve"> عَنْهُ ، عَنْ أَبِيهِ ، عَنْ حَمَّادِ بْنِ عِيسى </w:t>
      </w:r>
      <w:r w:rsidRPr="00A91B96">
        <w:rPr>
          <w:rStyle w:val="libFootnotenumChar"/>
          <w:rtl/>
        </w:rPr>
        <w:t>(1)</w:t>
      </w:r>
      <w:r w:rsidRPr="00020424">
        <w:rPr>
          <w:rtl/>
          <w:lang w:bidi="fa-IR"/>
        </w:rPr>
        <w:t xml:space="preserve"> ، عَنْ حَرِيزِ بْنِ عَبْدِ اللهِ </w:t>
      </w:r>
      <w:r w:rsidRPr="00A91B96">
        <w:rPr>
          <w:rStyle w:val="libFootnotenumChar"/>
          <w:rtl/>
        </w:rPr>
        <w:t>(2)</w:t>
      </w:r>
      <w:r w:rsidRPr="00020424">
        <w:rPr>
          <w:rtl/>
          <w:lang w:bidi="fa-IR"/>
        </w:rPr>
        <w:t xml:space="preserve"> ، عَنْ زُرَارَةَ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رَجُلٌ كَانَ عِنْدَهُ مِائَتَا دِرْهَمٍ غَيْرَ دِرْهَمٍ أَحَدَ عَشَرَ شَهْراً ، ثُمَّ أَصَابَ دِرْهَماً بَعْدَ ذلِكَ فِي الشَّهْرِ الثَّانِي عَشَرَ ، فَكَمَلَتْ </w:t>
      </w:r>
      <w:r>
        <w:rPr>
          <w:rtl/>
          <w:lang w:bidi="fa-IR"/>
        </w:rPr>
        <w:t>عِنْدَهُ مِائَتَا دِرْهَمٍ ، أَ</w:t>
      </w:r>
      <w:r w:rsidRPr="00020424">
        <w:rPr>
          <w:rtl/>
          <w:lang w:bidi="fa-IR"/>
        </w:rPr>
        <w:t>عَلَيْهِ زَكَاتُهَا</w:t>
      </w:r>
      <w:r>
        <w:rPr>
          <w:rtl/>
          <w:lang w:bidi="fa-IR"/>
        </w:rPr>
        <w:t>؟</w:t>
      </w:r>
    </w:p>
    <w:p w:rsidR="00992664" w:rsidRPr="00020424" w:rsidRDefault="00992664" w:rsidP="00992664">
      <w:pPr>
        <w:pStyle w:val="libNormal"/>
        <w:rPr>
          <w:rtl/>
          <w:lang w:bidi="fa-IR"/>
        </w:rPr>
      </w:pPr>
      <w:r w:rsidRPr="00020424">
        <w:rPr>
          <w:rtl/>
          <w:lang w:bidi="fa-IR"/>
        </w:rPr>
        <w:t xml:space="preserve">قَالَ : « لَا ، حَتّى يَحُولَ عَلَيْهِ الْحَوْلُ ، وَهِيَ مِائَتَا دِرْهَمٍ ، فَإِنْ كَانَتْ </w:t>
      </w:r>
      <w:r w:rsidRPr="00A91B96">
        <w:rPr>
          <w:rStyle w:val="libFootnotenumChar"/>
          <w:rtl/>
        </w:rPr>
        <w:t>(3)</w:t>
      </w:r>
      <w:r w:rsidRPr="00020424">
        <w:rPr>
          <w:rtl/>
          <w:lang w:bidi="fa-IR"/>
        </w:rPr>
        <w:t xml:space="preserve"> مِائَةً وَخَمْسِينَ دِرْهَماً </w:t>
      </w:r>
      <w:r w:rsidRPr="00A91B96">
        <w:rPr>
          <w:rStyle w:val="libFootnotenumChar"/>
          <w:rtl/>
        </w:rPr>
        <w:t>(4)</w:t>
      </w:r>
      <w:r w:rsidRPr="00020424">
        <w:rPr>
          <w:rtl/>
          <w:lang w:bidi="fa-IR"/>
        </w:rPr>
        <w:t xml:space="preserve"> ، فَأَصَابَ خَمْسِينَ بَعْدَ أَنْ يَمْضِيَ </w:t>
      </w:r>
      <w:r w:rsidRPr="00A91B96">
        <w:rPr>
          <w:rStyle w:val="libFootnotenumChar"/>
          <w:rtl/>
        </w:rPr>
        <w:t>(5)</w:t>
      </w:r>
      <w:r w:rsidRPr="00020424">
        <w:rPr>
          <w:rtl/>
          <w:lang w:bidi="fa-IR"/>
        </w:rPr>
        <w:t xml:space="preserve"> شَهْرٌ ، فَلَا زَكَاةَ عَلَيْهِ حَتّى يَحُولَ عَلَى الْمِائَتَيْنِ الْحَوْلُ</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لَهُ </w:t>
      </w:r>
      <w:r w:rsidRPr="00A91B96">
        <w:rPr>
          <w:rStyle w:val="libFootnotenumChar"/>
          <w:rtl/>
        </w:rPr>
        <w:t>(6)</w:t>
      </w:r>
      <w:r w:rsidRPr="00020424">
        <w:rPr>
          <w:rtl/>
          <w:lang w:bidi="fa-IR"/>
        </w:rPr>
        <w:t xml:space="preserve"> : فَإِنْ كَانَتْ عِنْدَهُ </w:t>
      </w:r>
      <w:r w:rsidRPr="00A91B96">
        <w:rPr>
          <w:rStyle w:val="libFootnotenumChar"/>
          <w:rtl/>
        </w:rPr>
        <w:t>(7)</w:t>
      </w:r>
      <w:r w:rsidRPr="00020424">
        <w:rPr>
          <w:rtl/>
          <w:lang w:bidi="fa-IR"/>
        </w:rPr>
        <w:t xml:space="preserve"> مِائَتَا دِرْهَمٍ غَيْرَ دِرْهَمٍ ، فَمَضى عَلَيْهَا </w:t>
      </w:r>
      <w:r w:rsidRPr="00A91B96">
        <w:rPr>
          <w:rStyle w:val="libFootnotenumChar"/>
          <w:rtl/>
        </w:rPr>
        <w:t>(8)</w:t>
      </w:r>
      <w:r w:rsidRPr="00020424">
        <w:rPr>
          <w:rtl/>
          <w:lang w:bidi="fa-IR"/>
        </w:rPr>
        <w:t xml:space="preserve"> أَيَّامٌ قَبْلَ أَنْ يَنْقَضِيَ الشَّهْرُ ، ثُمَّ أَصَابَ دِرْهَماً ، فَأَتى عَلَى </w:t>
      </w:r>
      <w:r w:rsidRPr="00A91B96">
        <w:rPr>
          <w:rStyle w:val="libFootnotenumChar"/>
          <w:rtl/>
        </w:rPr>
        <w:t>(9)</w:t>
      </w:r>
      <w:r w:rsidRPr="00020424">
        <w:rPr>
          <w:rtl/>
          <w:lang w:bidi="fa-IR"/>
        </w:rPr>
        <w:t xml:space="preserve"> الدَّرَاهِمِ </w:t>
      </w:r>
      <w:r w:rsidRPr="00A91B96">
        <w:rPr>
          <w:rStyle w:val="libFootnotenumChar"/>
          <w:rtl/>
        </w:rPr>
        <w:t>(10)</w:t>
      </w:r>
      <w:r w:rsidRPr="00020424">
        <w:rPr>
          <w:rtl/>
          <w:lang w:bidi="fa-IR"/>
        </w:rPr>
        <w:t xml:space="preserve"> مَعَ الدِّرْهَمِ </w:t>
      </w:r>
      <w:r w:rsidRPr="00A91B96">
        <w:rPr>
          <w:rStyle w:val="libFootnotenumChar"/>
          <w:rtl/>
        </w:rPr>
        <w:t>(11)</w:t>
      </w:r>
      <w:r>
        <w:rPr>
          <w:rtl/>
          <w:lang w:bidi="fa-IR"/>
        </w:rPr>
        <w:t xml:space="preserve"> حَوْلٌ ، أَ</w:t>
      </w:r>
      <w:r w:rsidRPr="00020424">
        <w:rPr>
          <w:rtl/>
          <w:lang w:bidi="fa-IR"/>
        </w:rPr>
        <w:t xml:space="preserve">عَلَيْهِ </w:t>
      </w:r>
      <w:r w:rsidRPr="00A91B96">
        <w:rPr>
          <w:rStyle w:val="libFootnotenumChar"/>
          <w:rtl/>
        </w:rPr>
        <w:t>(12)</w:t>
      </w:r>
      <w:r w:rsidRPr="00020424">
        <w:rPr>
          <w:rtl/>
          <w:lang w:bidi="fa-IR"/>
        </w:rPr>
        <w:t xml:space="preserve"> 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(13)</w:t>
      </w:r>
      <w:r w:rsidRPr="00020424">
        <w:rPr>
          <w:rtl/>
          <w:lang w:bidi="fa-IR"/>
        </w:rPr>
        <w:t xml:space="preserve"> : « نَعَمْ ، وَإِنْ </w:t>
      </w:r>
      <w:r w:rsidRPr="00A91B96">
        <w:rPr>
          <w:rStyle w:val="libFootnotenumChar"/>
          <w:rtl/>
        </w:rPr>
        <w:t>(14)</w:t>
      </w:r>
      <w:r w:rsidRPr="00020424">
        <w:rPr>
          <w:rtl/>
          <w:lang w:bidi="fa-IR"/>
        </w:rPr>
        <w:t xml:space="preserve"> لَمْ يَمْضِ عَلَيْهَا </w:t>
      </w:r>
      <w:r w:rsidRPr="00A91B96">
        <w:rPr>
          <w:rStyle w:val="libFootnotenumChar"/>
          <w:rtl/>
        </w:rPr>
        <w:t>(15)</w:t>
      </w:r>
      <w:r w:rsidRPr="00020424">
        <w:rPr>
          <w:rtl/>
          <w:lang w:bidi="fa-IR"/>
        </w:rPr>
        <w:t xml:space="preserve"> جَمِيعاً الْحَوْلُ ، فَلَا شَيْ‌ءَ عَلَيْهِ فِيهَا</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ص 35 :</w:t>
      </w:r>
      <w:r w:rsidR="00992664">
        <w:rPr>
          <w:rtl/>
        </w:rPr>
        <w:t xml:space="preserve"> </w:t>
      </w:r>
      <w:r w:rsidR="009B673F">
        <w:rPr>
          <w:rtl/>
        </w:rPr>
        <w:t>-</w:t>
      </w:r>
      <w:r w:rsidR="00992664">
        <w:rPr>
          <w:rtl/>
        </w:rPr>
        <w:t xml:space="preserve"> </w:t>
      </w:r>
      <w:r w:rsidR="00992664" w:rsidRPr="00020424">
        <w:rPr>
          <w:rtl/>
        </w:rPr>
        <w:t>« بن عبدالله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2456C" w:rsidTr="0032456C">
        <w:tc>
          <w:tcPr>
            <w:tcW w:w="4006" w:type="dxa"/>
          </w:tcPr>
          <w:p w:rsidR="0032456C" w:rsidRDefault="0032456C" w:rsidP="00992664">
            <w:pPr>
              <w:pStyle w:val="libFootnote0"/>
              <w:rPr>
                <w:rtl/>
              </w:rPr>
            </w:pPr>
            <w:r>
              <w:rPr>
                <w:rtl/>
              </w:rPr>
              <w:t xml:space="preserve">(3). </w:t>
            </w:r>
            <w:r w:rsidRPr="00020424">
              <w:rPr>
                <w:rtl/>
              </w:rPr>
              <w:t xml:space="preserve">في « بخ ، بر ، بف » </w:t>
            </w:r>
            <w:r w:rsidRPr="00515444">
              <w:rPr>
                <w:rStyle w:val="libFootnoteBoldChar"/>
                <w:rtl/>
              </w:rPr>
              <w:t>والوافي</w:t>
            </w:r>
            <w:r w:rsidRPr="00020424">
              <w:rPr>
                <w:rtl/>
              </w:rPr>
              <w:t xml:space="preserve"> : « كان</w:t>
            </w:r>
            <w:r>
              <w:rPr>
                <w:rtl/>
              </w:rPr>
              <w:t xml:space="preserve"> ».</w:t>
            </w:r>
          </w:p>
        </w:tc>
        <w:tc>
          <w:tcPr>
            <w:tcW w:w="4006" w:type="dxa"/>
          </w:tcPr>
          <w:p w:rsidR="0032456C" w:rsidRDefault="0032456C" w:rsidP="00992664">
            <w:pPr>
              <w:pStyle w:val="libFootnote0"/>
              <w:rPr>
                <w:rtl/>
              </w:rPr>
            </w:pPr>
            <w:r>
              <w:rPr>
                <w:rtl/>
              </w:rPr>
              <w:t>(4). في«بث، بخ ، بر ، بف</w:t>
            </w:r>
            <w:r w:rsidRPr="00020424">
              <w:rPr>
                <w:rtl/>
              </w:rPr>
              <w:t xml:space="preserve">» </w:t>
            </w:r>
            <w:r w:rsidRPr="00515444">
              <w:rPr>
                <w:rStyle w:val="libFootnoteBoldChar"/>
                <w:rtl/>
              </w:rPr>
              <w:t>والوافي</w:t>
            </w:r>
            <w:r w:rsidRPr="00020424">
              <w:rPr>
                <w:rtl/>
              </w:rPr>
              <w:t xml:space="preserve"> :</w:t>
            </w:r>
            <w:r>
              <w:rPr>
                <w:rtl/>
              </w:rPr>
              <w:t xml:space="preserve"> - </w:t>
            </w:r>
            <w:r w:rsidRPr="00020424">
              <w:rPr>
                <w:rtl/>
              </w:rPr>
              <w:t>« درهماً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جن » وحاشية « بح » </w:t>
      </w:r>
      <w:r w:rsidR="00992664" w:rsidRPr="00EB1FD9">
        <w:rPr>
          <w:rStyle w:val="libFootnoteBoldChar"/>
          <w:rtl/>
        </w:rPr>
        <w:t>والوسائل</w:t>
      </w:r>
      <w:r w:rsidR="00992664" w:rsidRPr="00020424">
        <w:rPr>
          <w:rtl/>
        </w:rPr>
        <w:t xml:space="preserve"> ، ح 11721 : « أن مضى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11721. وفي « جن » والمطبوع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05F56" w:rsidTr="00905F56">
        <w:tc>
          <w:tcPr>
            <w:tcW w:w="4006" w:type="dxa"/>
          </w:tcPr>
          <w:p w:rsidR="00905F56" w:rsidRDefault="00905F56" w:rsidP="00992664">
            <w:pPr>
              <w:pStyle w:val="libFootnote0"/>
              <w:rPr>
                <w:rtl/>
              </w:rPr>
            </w:pPr>
            <w:r>
              <w:rPr>
                <w:rtl/>
              </w:rPr>
              <w:t xml:space="preserve">(7). </w:t>
            </w:r>
            <w:r w:rsidRPr="00020424">
              <w:rPr>
                <w:rtl/>
              </w:rPr>
              <w:t>في « بر ، بف » : « له</w:t>
            </w:r>
            <w:r>
              <w:rPr>
                <w:rtl/>
              </w:rPr>
              <w:t xml:space="preserve"> ».</w:t>
            </w:r>
          </w:p>
        </w:tc>
        <w:tc>
          <w:tcPr>
            <w:tcW w:w="4006" w:type="dxa"/>
          </w:tcPr>
          <w:p w:rsidR="00905F56" w:rsidRDefault="00905F56" w:rsidP="00992664">
            <w:pPr>
              <w:pStyle w:val="libFootnote0"/>
              <w:rPr>
                <w:rtl/>
              </w:rPr>
            </w:pPr>
            <w:r>
              <w:rPr>
                <w:rtl/>
              </w:rPr>
              <w:t xml:space="preserve">(8). </w:t>
            </w:r>
            <w:r w:rsidRPr="00020424">
              <w:rPr>
                <w:rtl/>
              </w:rPr>
              <w:t xml:space="preserve">في « بخ ، بر ، بف » </w:t>
            </w:r>
            <w:r w:rsidRPr="00515444">
              <w:rPr>
                <w:rStyle w:val="libFootnoteBoldChar"/>
                <w:rtl/>
              </w:rPr>
              <w:t>والوافي</w:t>
            </w:r>
            <w:r w:rsidRPr="00020424">
              <w:rPr>
                <w:rtl/>
              </w:rPr>
              <w:t xml:space="preserve"> : « عليه</w:t>
            </w:r>
            <w:r>
              <w:rPr>
                <w:rtl/>
              </w:rPr>
              <w:t xml:space="preserve"> ».</w:t>
            </w:r>
          </w:p>
        </w:tc>
      </w:tr>
      <w:tr w:rsidR="00905F56" w:rsidTr="00905F56">
        <w:tc>
          <w:tcPr>
            <w:tcW w:w="4006" w:type="dxa"/>
          </w:tcPr>
          <w:p w:rsidR="00905F56" w:rsidRDefault="00905F56" w:rsidP="00992664">
            <w:pPr>
              <w:pStyle w:val="libFootnote0"/>
              <w:rPr>
                <w:rtl/>
              </w:rPr>
            </w:pPr>
            <w:r>
              <w:rPr>
                <w:rtl/>
              </w:rPr>
              <w:t xml:space="preserve">(9). </w:t>
            </w:r>
            <w:r w:rsidRPr="00020424">
              <w:rPr>
                <w:rtl/>
              </w:rPr>
              <w:t>في « بر » :</w:t>
            </w:r>
            <w:r>
              <w:rPr>
                <w:rtl/>
              </w:rPr>
              <w:t xml:space="preserve"> - </w:t>
            </w:r>
            <w:r w:rsidRPr="00020424">
              <w:rPr>
                <w:rtl/>
              </w:rPr>
              <w:t>« على</w:t>
            </w:r>
            <w:r>
              <w:rPr>
                <w:rtl/>
              </w:rPr>
              <w:t xml:space="preserve"> ».</w:t>
            </w:r>
          </w:p>
        </w:tc>
        <w:tc>
          <w:tcPr>
            <w:tcW w:w="4006" w:type="dxa"/>
          </w:tcPr>
          <w:p w:rsidR="00905F56" w:rsidRDefault="00905F56" w:rsidP="00992664">
            <w:pPr>
              <w:pStyle w:val="libFootnote0"/>
              <w:rPr>
                <w:rtl/>
              </w:rPr>
            </w:pPr>
            <w:r>
              <w:rPr>
                <w:rtl/>
              </w:rPr>
              <w:t xml:space="preserve">(10). </w:t>
            </w:r>
            <w:r w:rsidRPr="00020424">
              <w:rPr>
                <w:rtl/>
              </w:rPr>
              <w:t>في « بث ، بخ » : « الدرهم</w:t>
            </w:r>
            <w:r>
              <w:rPr>
                <w:rtl/>
              </w:rPr>
              <w:t xml:space="preserve"> ».</w:t>
            </w:r>
          </w:p>
        </w:tc>
      </w:tr>
      <w:tr w:rsidR="00905F56" w:rsidTr="00905F56">
        <w:tc>
          <w:tcPr>
            <w:tcW w:w="4006" w:type="dxa"/>
          </w:tcPr>
          <w:p w:rsidR="00905F56" w:rsidRDefault="00905F56" w:rsidP="00992664">
            <w:pPr>
              <w:pStyle w:val="libFootnote0"/>
              <w:rPr>
                <w:rtl/>
              </w:rPr>
            </w:pPr>
            <w:r>
              <w:rPr>
                <w:rtl/>
              </w:rPr>
              <w:t xml:space="preserve">(11). </w:t>
            </w:r>
            <w:r w:rsidRPr="00020424">
              <w:rPr>
                <w:rtl/>
              </w:rPr>
              <w:t>في « بث » : « الدراهم</w:t>
            </w:r>
            <w:r>
              <w:rPr>
                <w:rtl/>
              </w:rPr>
              <w:t xml:space="preserve"> ».</w:t>
            </w:r>
          </w:p>
        </w:tc>
        <w:tc>
          <w:tcPr>
            <w:tcW w:w="4006" w:type="dxa"/>
          </w:tcPr>
          <w:p w:rsidR="00905F56" w:rsidRDefault="00905F56" w:rsidP="00992664">
            <w:pPr>
              <w:pStyle w:val="libFootnote0"/>
              <w:rPr>
                <w:rtl/>
              </w:rPr>
            </w:pPr>
            <w:r>
              <w:rPr>
                <w:rtl/>
              </w:rPr>
              <w:t>(12). في «بخ، بر»</w:t>
            </w:r>
            <w:r w:rsidRPr="00515444">
              <w:rPr>
                <w:rStyle w:val="libFootnoteBoldChar"/>
                <w:rtl/>
              </w:rPr>
              <w:t>والوافي</w:t>
            </w:r>
            <w:r>
              <w:rPr>
                <w:rtl/>
              </w:rPr>
              <w:t xml:space="preserve"> :«فعليه»</w:t>
            </w:r>
            <w:r w:rsidRPr="00020424">
              <w:rPr>
                <w:rtl/>
              </w:rPr>
              <w:t>بدل «</w:t>
            </w:r>
            <w:r>
              <w:rPr>
                <w:rtl/>
              </w:rPr>
              <w:t xml:space="preserve"> أ</w:t>
            </w:r>
            <w:r w:rsidRPr="00020424">
              <w:rPr>
                <w:rtl/>
              </w:rPr>
              <w:t>عليه</w:t>
            </w:r>
            <w:r>
              <w:rPr>
                <w:rtl/>
              </w:rPr>
              <w:t xml:space="preserve"> ».</w:t>
            </w:r>
          </w:p>
        </w:tc>
      </w:tr>
      <w:tr w:rsidR="00905F56" w:rsidTr="00905F56">
        <w:tc>
          <w:tcPr>
            <w:tcW w:w="4006" w:type="dxa"/>
          </w:tcPr>
          <w:p w:rsidR="00905F56" w:rsidRDefault="00905F56"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ص 35 : « فقال</w:t>
            </w:r>
            <w:r>
              <w:rPr>
                <w:rtl/>
              </w:rPr>
              <w:t xml:space="preserve"> ».</w:t>
            </w:r>
          </w:p>
        </w:tc>
        <w:tc>
          <w:tcPr>
            <w:tcW w:w="4006" w:type="dxa"/>
          </w:tcPr>
          <w:p w:rsidR="00905F56" w:rsidRDefault="00905F56" w:rsidP="00992664">
            <w:pPr>
              <w:pStyle w:val="libFootnote0"/>
              <w:rPr>
                <w:rtl/>
              </w:rPr>
            </w:pPr>
            <w:r>
              <w:rPr>
                <w:rtl/>
              </w:rPr>
              <w:t xml:space="preserve">(14). </w:t>
            </w:r>
            <w:r w:rsidRPr="00020424">
              <w:rPr>
                <w:rtl/>
              </w:rPr>
              <w:t xml:space="preserve">في </w:t>
            </w:r>
            <w:r w:rsidRPr="0012008A">
              <w:rPr>
                <w:rStyle w:val="libFootnoteBoldChar"/>
                <w:rtl/>
              </w:rPr>
              <w:t>التهذيب</w:t>
            </w:r>
            <w:r w:rsidRPr="00020424">
              <w:rPr>
                <w:rtl/>
              </w:rPr>
              <w:t xml:space="preserve"> ، ص 35 : « فإن</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عليهما</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35 ، ح 92 ، معلّقاً عن الكليني </w:t>
      </w:r>
      <w:r w:rsidR="00E36834">
        <w:rPr>
          <w:rFonts w:hint="cs"/>
          <w:rtl/>
        </w:rPr>
        <w:t>.</w:t>
      </w:r>
      <w:r w:rsidR="00992664" w:rsidRPr="0012008A">
        <w:rPr>
          <w:rStyle w:val="libFootnoteBoldChar"/>
          <w:rtl/>
        </w:rPr>
        <w:t>الوافي</w:t>
      </w:r>
      <w:r w:rsidR="00992664" w:rsidRPr="00020424">
        <w:rPr>
          <w:rtl/>
        </w:rPr>
        <w:t xml:space="preserve"> ، ج 10 ، ص 132 ، ح 9304 ؛ </w:t>
      </w:r>
      <w:r w:rsidR="00992664" w:rsidRPr="0012008A">
        <w:rPr>
          <w:rStyle w:val="libFootnoteBoldChar"/>
          <w:rtl/>
        </w:rPr>
        <w:t>الوسائل</w:t>
      </w:r>
      <w:r w:rsidR="00992664" w:rsidRPr="00020424">
        <w:rPr>
          <w:rtl/>
        </w:rPr>
        <w:t xml:space="preserve"> ، ج 9 ، ص 152 ، ح 11721.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566E64">
        <w:rPr>
          <w:rtl/>
        </w:rPr>
        <w:lastRenderedPageBreak/>
        <w:t>5837</w:t>
      </w:r>
      <w:r w:rsidRPr="001155DE">
        <w:rPr>
          <w:rStyle w:val="libBold2Char"/>
          <w:rtl/>
        </w:rPr>
        <w:t xml:space="preserve"> / 5.</w:t>
      </w:r>
      <w:r w:rsidRPr="00020424">
        <w:rPr>
          <w:rtl/>
          <w:lang w:bidi="fa-IR"/>
        </w:rPr>
        <w:t xml:space="preserve"> قَالَ </w:t>
      </w:r>
      <w:r w:rsidRPr="00A91B96">
        <w:rPr>
          <w:rStyle w:val="libFootnotenumChar"/>
          <w:rtl/>
        </w:rPr>
        <w:t>(1)</w:t>
      </w:r>
      <w:r w:rsidRPr="00020424">
        <w:rPr>
          <w:rtl/>
          <w:lang w:bidi="fa-IR"/>
        </w:rPr>
        <w:t xml:space="preserve"> : وَقَالَ </w:t>
      </w:r>
      <w:r w:rsidRPr="00A91B96">
        <w:rPr>
          <w:rStyle w:val="libFootnotenumChar"/>
          <w:rtl/>
        </w:rPr>
        <w:t>(2)</w:t>
      </w:r>
      <w:r w:rsidRPr="00020424">
        <w:rPr>
          <w:rtl/>
          <w:lang w:bidi="fa-IR"/>
        </w:rPr>
        <w:t xml:space="preserve"> زُرَارَةُ وَمُحَمَّدُ بْنُ مُسْلِمٍ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أَيُّمَا رَجُلٍ كَانَ لَهُ مَالٌ ، وَحَالَ </w:t>
      </w:r>
      <w:r w:rsidRPr="00A91B96">
        <w:rPr>
          <w:rStyle w:val="libFootnotenumChar"/>
          <w:rtl/>
        </w:rPr>
        <w:t>(3)</w:t>
      </w:r>
      <w:r w:rsidRPr="00020424">
        <w:rPr>
          <w:rtl/>
          <w:lang w:bidi="fa-IR"/>
        </w:rPr>
        <w:t xml:space="preserve"> عَلَيْهِ الْحَوْلُ ، فَإِنَّهُ يُزَكِّيهِ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لَهُ </w:t>
      </w:r>
      <w:r w:rsidRPr="00A91B96">
        <w:rPr>
          <w:rStyle w:val="libFootnotenumChar"/>
          <w:rtl/>
        </w:rPr>
        <w:t>(4)</w:t>
      </w:r>
      <w:r w:rsidRPr="00020424">
        <w:rPr>
          <w:rtl/>
          <w:lang w:bidi="fa-IR"/>
        </w:rPr>
        <w:t xml:space="preserve"> : فَإِنْ هُوَ </w:t>
      </w:r>
      <w:r w:rsidRPr="00A91B96">
        <w:rPr>
          <w:rStyle w:val="libFootnotenumChar"/>
          <w:rtl/>
        </w:rPr>
        <w:t>(5)</w:t>
      </w:r>
      <w:r w:rsidRPr="00020424">
        <w:rPr>
          <w:rtl/>
          <w:lang w:bidi="fa-IR"/>
        </w:rPr>
        <w:t xml:space="preserve"> وَهَبَهُ </w:t>
      </w:r>
      <w:r w:rsidRPr="00A91B96">
        <w:rPr>
          <w:rStyle w:val="libFootnotenumChar"/>
          <w:rtl/>
        </w:rPr>
        <w:t>(6)</w:t>
      </w:r>
      <w:r w:rsidRPr="00020424">
        <w:rPr>
          <w:rtl/>
          <w:lang w:bidi="fa-IR"/>
        </w:rPr>
        <w:t xml:space="preserve"> قَبْلَ حَلِّهِ بِشَهْرٍ أَوْ بِيَوْمٍ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قَالَ : « لَيْسَ عَلَيْهِ شَيْ‌ءٌ أَبَداً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(8)</w:t>
      </w:r>
      <w:r w:rsidRPr="00020424">
        <w:rPr>
          <w:rtl/>
          <w:lang w:bidi="fa-IR"/>
        </w:rPr>
        <w:t xml:space="preserve"> : وَقَالَ زُرَارَةُ ، عَنْهُ </w:t>
      </w:r>
      <w:r w:rsidRPr="00005A81">
        <w:rPr>
          <w:rStyle w:val="libAlaemChar"/>
          <w:rtl/>
        </w:rPr>
        <w:t>عليه‌السلام</w:t>
      </w:r>
      <w:r w:rsidRPr="00020424">
        <w:rPr>
          <w:rtl/>
          <w:lang w:bidi="fa-IR"/>
        </w:rPr>
        <w:t xml:space="preserve"> أَنَّهُ قَالَ : « إِنَّمَا هذَا </w:t>
      </w:r>
      <w:r w:rsidRPr="00A91B96">
        <w:rPr>
          <w:rStyle w:val="libFootnotenumChar"/>
          <w:rtl/>
        </w:rPr>
        <w:t>(9)</w:t>
      </w:r>
      <w:r w:rsidRPr="00020424">
        <w:rPr>
          <w:rtl/>
          <w:lang w:bidi="fa-IR"/>
        </w:rPr>
        <w:t xml:space="preserve"> بِمَنْزِلَةِ رَجُلٍ أَفْطَرَ فِي شَهْرِ رَمَضَانَ يَوْماً فِي إِقَامَتِهِ ، ثُمَّ خَرَجَ </w:t>
      </w:r>
      <w:r w:rsidRPr="00A91B96">
        <w:rPr>
          <w:rStyle w:val="libFootnotenumChar"/>
          <w:rtl/>
        </w:rPr>
        <w:t>(10)</w:t>
      </w:r>
      <w:r w:rsidRPr="00020424">
        <w:rPr>
          <w:rtl/>
          <w:lang w:bidi="fa-IR"/>
        </w:rPr>
        <w:t xml:space="preserve"> فِي آخِرِ النَّهَارِ فِي سَفَرٍ ، فَأَرَادَ بِسَفَرِهِ ذلِكَ إِبْطَالَ الْكَفَّارَةِ الَّتِي وَجَبَتْ عَلَيْهِ » وَقَالَ : « إِنَّهُ حِينَ </w:t>
      </w:r>
      <w:r w:rsidRPr="00A91B96">
        <w:rPr>
          <w:rStyle w:val="libFootnotenumChar"/>
          <w:rtl/>
        </w:rPr>
        <w:t>(11)</w:t>
      </w:r>
      <w:r w:rsidRPr="00020424">
        <w:rPr>
          <w:rtl/>
          <w:lang w:bidi="fa-IR"/>
        </w:rPr>
        <w:t xml:space="preserve"> رَأَى الْهِلَالَ الثَّانِيَ عَشَرَ ، وَجَبَتْ </w:t>
      </w:r>
      <w:r w:rsidRPr="00A91B96">
        <w:rPr>
          <w:rStyle w:val="libFootnotenumChar"/>
          <w:rtl/>
        </w:rPr>
        <w:t>(12)</w:t>
      </w:r>
      <w:r w:rsidRPr="00020424">
        <w:rPr>
          <w:rtl/>
          <w:lang w:bidi="fa-IR"/>
        </w:rPr>
        <w:t xml:space="preserve"> عَلَيْهِ الزَّكَاةُ ، وَلكِنَّهُ </w:t>
      </w:r>
      <w:r w:rsidRPr="00A91B96">
        <w:rPr>
          <w:rStyle w:val="libFootnotenumChar"/>
          <w:rtl/>
        </w:rPr>
        <w:t>(13)</w:t>
      </w:r>
      <w:r w:rsidRPr="00020424">
        <w:rPr>
          <w:rtl/>
          <w:lang w:bidi="fa-IR"/>
        </w:rPr>
        <w:t xml:space="preserve"> لَوْ كَانَ وَهَبَهَا قَبْلَ ذلِكَ لَجَازَ ، وَلَمْ يَكُنْ عَلَيْهِ شَيْ‌ءٌ ، بِمَنْزِلَةِ مَنْ خَرَجَ ثُمَّ أَفْطَرَ ، إِنَّمَا لَايَمْنَعُ </w:t>
      </w:r>
      <w:r w:rsidRPr="00A91B96">
        <w:rPr>
          <w:rStyle w:val="libFootnotenumChar"/>
          <w:rtl/>
        </w:rPr>
        <w:t>(14)</w:t>
      </w:r>
      <w:r w:rsidRPr="00020424">
        <w:rPr>
          <w:rtl/>
          <w:lang w:bidi="fa-IR"/>
        </w:rPr>
        <w:t xml:space="preserve"> مَا </w:t>
      </w:r>
      <w:r w:rsidRPr="00A91B96">
        <w:rPr>
          <w:rStyle w:val="libFootnotenumChar"/>
          <w:rtl/>
        </w:rPr>
        <w:t>(15)</w:t>
      </w:r>
      <w:r w:rsidRPr="00020424">
        <w:rPr>
          <w:rtl/>
          <w:lang w:bidi="fa-IR"/>
        </w:rPr>
        <w:t xml:space="preserve"> حَالَ </w:t>
      </w:r>
      <w:r w:rsidRPr="00A91B96">
        <w:rPr>
          <w:rStyle w:val="libFootnotenumChar"/>
          <w:rtl/>
        </w:rPr>
        <w:t>(16)</w:t>
      </w:r>
      <w:r w:rsidRPr="00020424">
        <w:rPr>
          <w:rtl/>
          <w:lang w:bidi="fa-IR"/>
        </w:rPr>
        <w:t xml:space="preserve"> عَلَيْهِ ، فَأَمَّا مَا لَمْ يَحُلْ </w:t>
      </w:r>
      <w:r w:rsidRPr="00A91B96">
        <w:rPr>
          <w:rStyle w:val="libFootnotenumChar"/>
          <w:rtl/>
        </w:rPr>
        <w:t>(17)</w:t>
      </w:r>
      <w:r w:rsidRPr="00020424">
        <w:rPr>
          <w:rtl/>
          <w:lang w:bidi="fa-IR"/>
        </w:rPr>
        <w:t xml:space="preserve"> فَلَهُ مَنْعُهُ ، وَلَا </w:t>
      </w:r>
      <w:r w:rsidRPr="00A91B96">
        <w:rPr>
          <w:rStyle w:val="libFootnotenumChar"/>
          <w:rtl/>
        </w:rPr>
        <w:t>(18)</w:t>
      </w:r>
      <w:r w:rsidRPr="00020424">
        <w:rPr>
          <w:rtl/>
          <w:lang w:bidi="fa-IR"/>
        </w:rPr>
        <w:t xml:space="preserve"> يَحِلُّ‌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الضمير المستتر في « قال » راجع إلى حريز بن عبدالله ، فيكون السند معلّقاً.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حاشية « بح » : « فقال</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ص 35 والعلل : « قال » بدون الواو.</w:t>
      </w:r>
    </w:p>
    <w:tbl>
      <w:tblPr>
        <w:tblStyle w:val="TableGrid"/>
        <w:bidiVisual/>
        <w:tblW w:w="0" w:type="auto"/>
        <w:tblLook w:val="04A0" w:firstRow="1" w:lastRow="0" w:firstColumn="1" w:lastColumn="0" w:noHBand="0" w:noVBand="1"/>
      </w:tblPr>
      <w:tblGrid>
        <w:gridCol w:w="4006"/>
        <w:gridCol w:w="4006"/>
      </w:tblGrid>
      <w:tr w:rsidR="002629D1" w:rsidTr="002629D1">
        <w:tc>
          <w:tcPr>
            <w:tcW w:w="4006" w:type="dxa"/>
          </w:tcPr>
          <w:p w:rsidR="002629D1" w:rsidRDefault="002629D1"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 ح 13039 : « حال » بدون الواو.</w:t>
            </w:r>
          </w:p>
        </w:tc>
        <w:tc>
          <w:tcPr>
            <w:tcW w:w="4006" w:type="dxa"/>
          </w:tcPr>
          <w:p w:rsidR="002629D1" w:rsidRDefault="002629D1" w:rsidP="00992664">
            <w:pPr>
              <w:pStyle w:val="libFootnote0"/>
              <w:rPr>
                <w:rtl/>
              </w:rPr>
            </w:pPr>
            <w:r>
              <w:rPr>
                <w:rtl/>
              </w:rPr>
              <w:t xml:space="preserve">(4). </w:t>
            </w:r>
            <w:r w:rsidRPr="00020424">
              <w:rPr>
                <w:rtl/>
              </w:rPr>
              <w:t xml:space="preserve">في « بخ ، بر » </w:t>
            </w:r>
            <w:r w:rsidRPr="0012008A">
              <w:rPr>
                <w:rStyle w:val="libFootnoteBoldChar"/>
                <w:rtl/>
              </w:rPr>
              <w:t>الوافي</w:t>
            </w:r>
            <w:r w:rsidRPr="00020424">
              <w:rPr>
                <w:rtl/>
              </w:rPr>
              <w:t xml:space="preserve">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بث ، بخ ، بر ، بس ، بف » </w:t>
      </w:r>
      <w:r w:rsidR="00992664" w:rsidRPr="00F8340F">
        <w:rPr>
          <w:rtl/>
        </w:rPr>
        <w:t>والوافي والوسائل والفقيه والتهذيب</w:t>
      </w:r>
      <w:r w:rsidR="00992664" w:rsidRPr="00020424">
        <w:rPr>
          <w:rtl/>
        </w:rPr>
        <w:t xml:space="preserve"> ، ص 35 والعلل :</w:t>
      </w:r>
      <w:r w:rsidR="00992664">
        <w:rPr>
          <w:rtl/>
        </w:rPr>
        <w:t xml:space="preserve"> </w:t>
      </w:r>
      <w:r w:rsidR="009B673F">
        <w:rPr>
          <w:rtl/>
        </w:rPr>
        <w:t>-</w:t>
      </w:r>
      <w:r w:rsidR="00992664">
        <w:rPr>
          <w:rtl/>
        </w:rPr>
        <w:t xml:space="preserve"> </w:t>
      </w:r>
      <w:r w:rsidR="00992664" w:rsidRPr="00020424">
        <w:rPr>
          <w:rtl/>
        </w:rPr>
        <w:t>« هو</w:t>
      </w:r>
      <w:r w:rsidR="00992664">
        <w:rPr>
          <w:rtl/>
        </w:rPr>
        <w:t>».</w:t>
      </w:r>
    </w:p>
    <w:tbl>
      <w:tblPr>
        <w:tblStyle w:val="TableGrid"/>
        <w:bidiVisual/>
        <w:tblW w:w="0" w:type="auto"/>
        <w:tblLook w:val="04A0" w:firstRow="1" w:lastRow="0" w:firstColumn="1" w:lastColumn="0" w:noHBand="0" w:noVBand="1"/>
      </w:tblPr>
      <w:tblGrid>
        <w:gridCol w:w="4006"/>
        <w:gridCol w:w="4006"/>
      </w:tblGrid>
      <w:tr w:rsidR="002629D1" w:rsidTr="002629D1">
        <w:tc>
          <w:tcPr>
            <w:tcW w:w="4006" w:type="dxa"/>
          </w:tcPr>
          <w:p w:rsidR="002629D1" w:rsidRDefault="002629D1" w:rsidP="00992664">
            <w:pPr>
              <w:pStyle w:val="libFootnote0"/>
              <w:rPr>
                <w:rtl/>
                <w:lang w:bidi="fa-IR"/>
              </w:rPr>
            </w:pPr>
            <w:r>
              <w:rPr>
                <w:rtl/>
              </w:rPr>
              <w:t xml:space="preserve">(6). </w:t>
            </w:r>
            <w:r w:rsidRPr="00020424">
              <w:rPr>
                <w:rtl/>
              </w:rPr>
              <w:t>في « بس » : « وهب لها</w:t>
            </w:r>
            <w:r>
              <w:rPr>
                <w:rtl/>
              </w:rPr>
              <w:t xml:space="preserve"> ».</w:t>
            </w:r>
          </w:p>
        </w:tc>
        <w:tc>
          <w:tcPr>
            <w:tcW w:w="4006" w:type="dxa"/>
          </w:tcPr>
          <w:p w:rsidR="002629D1" w:rsidRDefault="002629D1" w:rsidP="00992664">
            <w:pPr>
              <w:pStyle w:val="libFootnote0"/>
              <w:rPr>
                <w:rtl/>
                <w:lang w:bidi="fa-IR"/>
              </w:rPr>
            </w:pPr>
            <w:r>
              <w:rPr>
                <w:rtl/>
              </w:rPr>
              <w:t xml:space="preserve">(7). </w:t>
            </w:r>
            <w:r w:rsidRPr="00020424">
              <w:rPr>
                <w:rtl/>
              </w:rPr>
              <w:t xml:space="preserve">في </w:t>
            </w:r>
            <w:r w:rsidRPr="0012008A">
              <w:rPr>
                <w:rStyle w:val="libFootnoteBoldChar"/>
                <w:rtl/>
              </w:rPr>
              <w:t>التهذيب</w:t>
            </w:r>
            <w:r w:rsidRPr="00020424">
              <w:rPr>
                <w:rtl/>
              </w:rPr>
              <w:t xml:space="preserve"> : « بيومين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الضمير المستتر في « قال » راجع إلى حريز بن عبدالله.</w:t>
      </w:r>
    </w:p>
    <w:p w:rsidR="00992664" w:rsidRPr="00B5068A" w:rsidRDefault="00992664" w:rsidP="00B5068A">
      <w:pPr>
        <w:pStyle w:val="libFootnote0"/>
        <w:rPr>
          <w:rtl/>
        </w:rPr>
      </w:pPr>
      <w:r w:rsidRPr="00B5068A">
        <w:rPr>
          <w:rtl/>
        </w:rPr>
        <w:t>ثمّ إنّ الظاهر من فقرات الخبر المختلفة أنّ عبارة « قلت له : فإن هو وهبه ... » من كلام زرارة ، فلاحظ.</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566E64">
        <w:rP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إنّما هذا ، قال في </w:t>
      </w:r>
      <w:r w:rsidR="00992664" w:rsidRPr="00566E64">
        <w:rPr>
          <w:rtl/>
        </w:rPr>
        <w:t>المنتقى</w:t>
      </w:r>
      <w:r w:rsidR="00992664" w:rsidRPr="00020424">
        <w:rPr>
          <w:rtl/>
        </w:rPr>
        <w:t xml:space="preserve"> : الظاهر أنّ مرجع الإشارة سقط من الرواية ، وفي الكلام الذي بعده شهادة لما قلناه ودلالة على أنّ المرجع هو حكم من وهب بعد الحول ورؤية هلال الثاني عشر</w:t>
      </w:r>
      <w:r w:rsidR="00992664">
        <w:rPr>
          <w:rtl/>
        </w:rPr>
        <w:t xml:space="preserve"> ».</w:t>
      </w:r>
      <w:r w:rsidR="00992664" w:rsidRPr="00020424">
        <w:rPr>
          <w:rtl/>
        </w:rPr>
        <w:t xml:space="preserve"> وراجع : </w:t>
      </w:r>
      <w:r w:rsidR="00992664" w:rsidRPr="00566E64">
        <w:rPr>
          <w:rtl/>
        </w:rPr>
        <w:t>منتقى الجمان</w:t>
      </w:r>
      <w:r w:rsidR="00992664" w:rsidRPr="00020424">
        <w:rPr>
          <w:rtl/>
        </w:rPr>
        <w:t xml:space="preserve"> ، ج 2 ، ص 387.</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بخ ، بر » </w:t>
      </w:r>
      <w:r w:rsidR="00992664" w:rsidRPr="00EB1FD9">
        <w:rPr>
          <w:rStyle w:val="libFootnoteBoldChar"/>
          <w:rtl/>
        </w:rPr>
        <w:t>والوسائل</w:t>
      </w:r>
      <w:r w:rsidR="00992664" w:rsidRPr="00020424">
        <w:rPr>
          <w:rtl/>
        </w:rPr>
        <w:t xml:space="preserve"> ، ح 13039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ص 35 : « يخرج</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5068A" w:rsidTr="00B5068A">
        <w:tc>
          <w:tcPr>
            <w:tcW w:w="4006" w:type="dxa"/>
          </w:tcPr>
          <w:p w:rsidR="00B5068A" w:rsidRDefault="00B5068A" w:rsidP="00992664">
            <w:pPr>
              <w:pStyle w:val="libFootnote0"/>
              <w:rPr>
                <w:rtl/>
              </w:rPr>
            </w:pPr>
            <w:r>
              <w:rPr>
                <w:rtl/>
              </w:rPr>
              <w:t xml:space="preserve">(11). </w:t>
            </w:r>
            <w:r w:rsidRPr="00020424">
              <w:rPr>
                <w:rtl/>
              </w:rPr>
              <w:t>في مرآة العقول : « إذا</w:t>
            </w:r>
            <w:r>
              <w:rPr>
                <w:rtl/>
              </w:rPr>
              <w:t xml:space="preserve"> ».</w:t>
            </w:r>
          </w:p>
        </w:tc>
        <w:tc>
          <w:tcPr>
            <w:tcW w:w="4006" w:type="dxa"/>
          </w:tcPr>
          <w:p w:rsidR="00B5068A" w:rsidRDefault="00B5068A" w:rsidP="00992664">
            <w:pPr>
              <w:pStyle w:val="libFootnote0"/>
              <w:rPr>
                <w:rtl/>
              </w:rPr>
            </w:pPr>
            <w:r>
              <w:rPr>
                <w:rtl/>
              </w:rPr>
              <w:t xml:space="preserve">(12). </w:t>
            </w:r>
            <w:r w:rsidRPr="00020424">
              <w:rPr>
                <w:rtl/>
              </w:rPr>
              <w:t xml:space="preserve">في </w:t>
            </w:r>
            <w:r w:rsidRPr="0012008A">
              <w:rPr>
                <w:rStyle w:val="libFootnoteBoldChar"/>
                <w:rtl/>
              </w:rPr>
              <w:t>الوافي</w:t>
            </w:r>
            <w:r w:rsidRPr="00020424">
              <w:rPr>
                <w:rtl/>
              </w:rPr>
              <w:t xml:space="preserve"> : « وجب</w:t>
            </w:r>
            <w:r>
              <w:rPr>
                <w:rtl/>
              </w:rPr>
              <w:t xml:space="preserve"> ».</w:t>
            </w:r>
          </w:p>
        </w:tc>
      </w:tr>
      <w:tr w:rsidR="00B5068A" w:rsidTr="00B5068A">
        <w:tc>
          <w:tcPr>
            <w:tcW w:w="4006" w:type="dxa"/>
          </w:tcPr>
          <w:p w:rsidR="00B5068A" w:rsidRDefault="00B5068A" w:rsidP="00992664">
            <w:pPr>
              <w:pStyle w:val="libFootnote0"/>
              <w:rPr>
                <w:rtl/>
              </w:rPr>
            </w:pPr>
            <w:r>
              <w:rPr>
                <w:rtl/>
              </w:rPr>
              <w:t xml:space="preserve">(13). </w:t>
            </w:r>
            <w:r w:rsidRPr="00020424">
              <w:rPr>
                <w:rtl/>
              </w:rPr>
              <w:t>في « ى » :</w:t>
            </w:r>
            <w:r>
              <w:rPr>
                <w:rtl/>
              </w:rPr>
              <w:t xml:space="preserve"> - </w:t>
            </w:r>
            <w:r w:rsidRPr="00020424">
              <w:rPr>
                <w:rtl/>
              </w:rPr>
              <w:t>« لكنّه</w:t>
            </w:r>
            <w:r>
              <w:rPr>
                <w:rtl/>
              </w:rPr>
              <w:t xml:space="preserve"> ».</w:t>
            </w:r>
          </w:p>
        </w:tc>
        <w:tc>
          <w:tcPr>
            <w:tcW w:w="4006" w:type="dxa"/>
          </w:tcPr>
          <w:p w:rsidR="00B5068A" w:rsidRDefault="00B5068A" w:rsidP="00992664">
            <w:pPr>
              <w:pStyle w:val="libFootnote0"/>
              <w:rPr>
                <w:rtl/>
              </w:rPr>
            </w:pPr>
            <w:r>
              <w:rPr>
                <w:rtl/>
              </w:rPr>
              <w:t>(14). في«بر»:«</w:t>
            </w:r>
            <w:r w:rsidRPr="00020424">
              <w:rPr>
                <w:rtl/>
              </w:rPr>
              <w:t>لا تمنع</w:t>
            </w:r>
            <w:r>
              <w:rPr>
                <w:rtl/>
              </w:rPr>
              <w:t>». وفي حاشية«بث»:«</w:t>
            </w:r>
            <w:r w:rsidRPr="00020424">
              <w:rPr>
                <w:rtl/>
              </w:rPr>
              <w:t>لم يمنع</w:t>
            </w:r>
            <w:r>
              <w:rPr>
                <w:rtl/>
              </w:rPr>
              <w:t>».</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بخ ، بر ، بس ، بف » </w:t>
      </w:r>
      <w:r w:rsidR="00992664" w:rsidRPr="00EB1FD9">
        <w:rPr>
          <w:rStyle w:val="libFootnoteBoldChar"/>
          <w:rtl/>
        </w:rPr>
        <w:t>والوسائل</w:t>
      </w:r>
      <w:r w:rsidR="00992664" w:rsidRPr="00020424">
        <w:rPr>
          <w:rtl/>
        </w:rPr>
        <w:t xml:space="preserve"> ، والعلل :</w:t>
      </w:r>
      <w:r w:rsidR="00992664">
        <w:rPr>
          <w:rtl/>
        </w:rPr>
        <w:t xml:space="preserve"> </w:t>
      </w:r>
      <w:r w:rsidR="009B673F">
        <w:rPr>
          <w:rtl/>
        </w:rPr>
        <w:t>-</w:t>
      </w:r>
      <w:r w:rsidR="00992664">
        <w:rPr>
          <w:rtl/>
        </w:rPr>
        <w:t xml:space="preserve"> </w:t>
      </w:r>
      <w:r w:rsidR="00992664" w:rsidRPr="00020424">
        <w:rPr>
          <w:rtl/>
        </w:rPr>
        <w:t>« ما</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والعلل : « الحال</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في حاشية « بس » </w:t>
      </w:r>
      <w:r w:rsidR="00992664" w:rsidRPr="00515444">
        <w:rPr>
          <w:rStyle w:val="libFootnoteBoldChar"/>
          <w:rtl/>
        </w:rPr>
        <w:t>والتهذيب</w:t>
      </w:r>
      <w:r w:rsidR="00992664" w:rsidRPr="00020424">
        <w:rPr>
          <w:rtl/>
        </w:rPr>
        <w:t xml:space="preserve"> ، ص 35 والعلل : + « عليه</w:t>
      </w:r>
      <w:r w:rsidR="00992664">
        <w:rPr>
          <w:rtl/>
        </w:rPr>
        <w:t xml:space="preserve"> ».</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فلا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لَهُ مَنْعُ مَالِ غَيْرِهِ </w:t>
      </w:r>
      <w:r w:rsidRPr="00A91B96">
        <w:rPr>
          <w:rStyle w:val="libFootnotenumChar"/>
          <w:rtl/>
        </w:rPr>
        <w:t>(1)</w:t>
      </w:r>
      <w:r w:rsidRPr="00020424">
        <w:rPr>
          <w:rtl/>
          <w:lang w:bidi="fa-IR"/>
        </w:rPr>
        <w:t xml:space="preserve"> فِيمَا قَدْ حَلَّ عَلَيْهِ</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زُرَارَةُ : وَقُلْتُ </w:t>
      </w:r>
      <w:r w:rsidRPr="00A91B96">
        <w:rPr>
          <w:rStyle w:val="libFootnotenumChar"/>
          <w:rtl/>
        </w:rPr>
        <w:t>(2)</w:t>
      </w:r>
      <w:r w:rsidRPr="00020424">
        <w:rPr>
          <w:rtl/>
          <w:lang w:bidi="fa-IR"/>
        </w:rPr>
        <w:t xml:space="preserve"> لَهُ : رَجُلٌ كَانَتْ لَهُ مِائَتَا دِرْهَمٍ ، فَوَهَبَهَا لِبَعْضِ إِخْوَانِهِ أَوْ وُلْدِهِ </w:t>
      </w:r>
      <w:r w:rsidRPr="00A91B96">
        <w:rPr>
          <w:rStyle w:val="libFootnotenumChar"/>
          <w:rtl/>
        </w:rPr>
        <w:t>(3)</w:t>
      </w:r>
      <w:r w:rsidRPr="00020424">
        <w:rPr>
          <w:rtl/>
          <w:lang w:bidi="fa-IR"/>
        </w:rPr>
        <w:t xml:space="preserve"> أَوْ أَهْلِهِ فِرَاراً بِهَا مِنَ الزَّكَاةِ ، فَعَلَ ذلِكَ قَبْلَ حَلِّهَا بِشَهْرٍ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فَقَالَ : « إِذَا دَخَلَ </w:t>
      </w:r>
      <w:r w:rsidRPr="00A91B96">
        <w:rPr>
          <w:rStyle w:val="libFootnotenumChar"/>
          <w:rtl/>
        </w:rPr>
        <w:t>(5)</w:t>
      </w:r>
      <w:r w:rsidRPr="00020424">
        <w:rPr>
          <w:rtl/>
          <w:lang w:bidi="fa-IR"/>
        </w:rPr>
        <w:t xml:space="preserve"> الشَّهْرُ الثَّانِيَ عَشَرَ ، فَقَدْ </w:t>
      </w:r>
      <w:r w:rsidRPr="00A91B96">
        <w:rPr>
          <w:rStyle w:val="libFootnotenumChar"/>
          <w:rtl/>
        </w:rPr>
        <w:t>(6)</w:t>
      </w:r>
      <w:r w:rsidRPr="00020424">
        <w:rPr>
          <w:rtl/>
          <w:lang w:bidi="fa-IR"/>
        </w:rPr>
        <w:t xml:space="preserve"> حَالَ عَلَيْهَا </w:t>
      </w:r>
      <w:r w:rsidRPr="00A91B96">
        <w:rPr>
          <w:rStyle w:val="libFootnotenumChar"/>
          <w:rtl/>
        </w:rPr>
        <w:t>(7)</w:t>
      </w:r>
      <w:r w:rsidRPr="00020424">
        <w:rPr>
          <w:rtl/>
          <w:lang w:bidi="fa-IR"/>
        </w:rPr>
        <w:t xml:space="preserve"> الْحَوْلُ ، وَوَجَبَتْ </w:t>
      </w:r>
      <w:r w:rsidRPr="00A91B96">
        <w:rPr>
          <w:rStyle w:val="libFootnotenumChar"/>
          <w:rtl/>
        </w:rPr>
        <w:t>(8)</w:t>
      </w:r>
      <w:r w:rsidRPr="00020424">
        <w:rPr>
          <w:rtl/>
          <w:lang w:bidi="fa-IR"/>
        </w:rPr>
        <w:t xml:space="preserve"> عَلَيْهِ فِيهَا </w:t>
      </w:r>
      <w:r w:rsidRPr="00A91B96">
        <w:rPr>
          <w:rStyle w:val="libFootnotenumChar"/>
          <w:rtl/>
        </w:rPr>
        <w:t>(9)</w:t>
      </w:r>
      <w:r w:rsidRPr="00020424">
        <w:rPr>
          <w:rtl/>
          <w:lang w:bidi="fa-IR"/>
        </w:rPr>
        <w:t xml:space="preserve"> الزَّكَاةُ </w:t>
      </w:r>
      <w:r w:rsidRPr="00A91B96">
        <w:rPr>
          <w:rStyle w:val="libFootnotenumChar"/>
          <w:rtl/>
        </w:rPr>
        <w:t>(10)</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(11)</w:t>
      </w:r>
      <w:r w:rsidRPr="00020424">
        <w:rPr>
          <w:rtl/>
          <w:lang w:bidi="fa-IR"/>
        </w:rPr>
        <w:t xml:space="preserve"> لَهُ </w:t>
      </w:r>
      <w:r w:rsidRPr="00A91B96">
        <w:rPr>
          <w:rStyle w:val="libFootnotenumChar"/>
          <w:rtl/>
        </w:rPr>
        <w:t>(12)</w:t>
      </w:r>
      <w:r w:rsidRPr="00020424">
        <w:rPr>
          <w:rtl/>
          <w:lang w:bidi="fa-IR"/>
        </w:rPr>
        <w:t xml:space="preserve"> : فَإِنْ أَحْدَثَ فِيهَا قَبْلَ الْحَوْلِ</w:t>
      </w:r>
      <w:r>
        <w:rPr>
          <w:rtl/>
          <w:lang w:bidi="fa-IR"/>
        </w:rPr>
        <w:t>؟</w:t>
      </w:r>
    </w:p>
    <w:p w:rsidR="00992664" w:rsidRPr="00020424" w:rsidRDefault="00992664" w:rsidP="00992664">
      <w:pPr>
        <w:pStyle w:val="libNormal"/>
        <w:rPr>
          <w:rtl/>
          <w:lang w:bidi="fa-IR"/>
        </w:rPr>
      </w:pPr>
      <w:r w:rsidRPr="00020424">
        <w:rPr>
          <w:rtl/>
          <w:lang w:bidi="fa-IR"/>
        </w:rPr>
        <w:t xml:space="preserve">قَالَ : « جَائِزٌ </w:t>
      </w:r>
      <w:r w:rsidRPr="00A91B96">
        <w:rPr>
          <w:rStyle w:val="libFootnotenumChar"/>
          <w:rtl/>
        </w:rPr>
        <w:t>(13)</w:t>
      </w:r>
      <w:r w:rsidRPr="00020424">
        <w:rPr>
          <w:rtl/>
          <w:lang w:bidi="fa-IR"/>
        </w:rPr>
        <w:t xml:space="preserve"> ذلِكَ لَهُ</w:t>
      </w:r>
      <w:r>
        <w:rPr>
          <w:rtl/>
          <w:lang w:bidi="fa-IR"/>
        </w:rPr>
        <w:t xml:space="preserve"> ».</w:t>
      </w:r>
    </w:p>
    <w:p w:rsidR="00992664" w:rsidRDefault="00992664" w:rsidP="00992664">
      <w:pPr>
        <w:pStyle w:val="libNormal"/>
        <w:rPr>
          <w:rtl/>
          <w:lang w:bidi="fa-IR"/>
        </w:rPr>
      </w:pPr>
      <w:r w:rsidRPr="00020424">
        <w:rPr>
          <w:rtl/>
          <w:lang w:bidi="fa-IR"/>
        </w:rPr>
        <w:t xml:space="preserve">قُلْتُ </w:t>
      </w:r>
      <w:r w:rsidRPr="00A91B96">
        <w:rPr>
          <w:rStyle w:val="libFootnotenumChar"/>
          <w:rtl/>
        </w:rPr>
        <w:t>(14)</w:t>
      </w:r>
      <w:r w:rsidRPr="00020424">
        <w:rPr>
          <w:rtl/>
          <w:lang w:bidi="fa-IR"/>
        </w:rPr>
        <w:t xml:space="preserve"> : إِنَّهُ فَرَّ بِهَا مِنَ الزَّكَاةِ</w:t>
      </w:r>
      <w:r>
        <w:rPr>
          <w:rtl/>
          <w:lang w:bidi="fa-IR"/>
        </w:rPr>
        <w:t>؟</w:t>
      </w:r>
    </w:p>
    <w:p w:rsidR="00992664" w:rsidRPr="00020424" w:rsidRDefault="00992664" w:rsidP="00992664">
      <w:pPr>
        <w:pStyle w:val="libNormal"/>
        <w:rPr>
          <w:rtl/>
          <w:lang w:bidi="fa-IR"/>
        </w:rPr>
      </w:pPr>
      <w:r w:rsidRPr="00020424">
        <w:rPr>
          <w:rtl/>
          <w:lang w:bidi="fa-IR"/>
        </w:rPr>
        <w:t xml:space="preserve">قَالَ : « مَا أَدْخَلَ عَلى نَفْسِهِ أَعْظَمُ مِمَّا مَنَعَ مِنْ زَكَاتِهَا </w:t>
      </w:r>
      <w:r w:rsidRPr="00A91B96">
        <w:rPr>
          <w:rStyle w:val="libFootnotenumChar"/>
          <w:rtl/>
        </w:rPr>
        <w:t>(</w:t>
      </w:r>
      <w:r w:rsidRPr="00A91B96">
        <w:rPr>
          <w:rStyle w:val="libFootnotenumChar"/>
          <w:rFonts w:hint="cs"/>
          <w:rtl/>
        </w:rPr>
        <w:t>15</w:t>
      </w:r>
      <w:r w:rsidRPr="00A91B96">
        <w:rPr>
          <w:rStyle w:val="libFootnotenumChar"/>
          <w:rtl/>
        </w:rPr>
        <w:t>)</w:t>
      </w:r>
      <w:r>
        <w:rPr>
          <w:rtl/>
          <w:lang w:bidi="fa-IR"/>
        </w:rPr>
        <w:t xml:space="preserve"> ».</w:t>
      </w:r>
    </w:p>
    <w:p w:rsidR="00992664" w:rsidRPr="00020424" w:rsidRDefault="00992664" w:rsidP="00992664">
      <w:pPr>
        <w:pStyle w:val="libNormal"/>
        <w:rPr>
          <w:rtl/>
          <w:lang w:bidi="fa-IR"/>
        </w:rPr>
      </w:pPr>
      <w:r w:rsidRPr="00020424">
        <w:rPr>
          <w:rtl/>
          <w:lang w:bidi="fa-IR"/>
        </w:rPr>
        <w:t>فَقُلْتُ لَهُ : إِنَّهُ يَقْدِرُ عَلَيْهَا.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ما لغيره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قلت » بدون الواو. وفي </w:t>
      </w:r>
      <w:r w:rsidR="00992664" w:rsidRPr="0012008A">
        <w:rPr>
          <w:rStyle w:val="libFootnoteBoldChar"/>
          <w:rtl/>
        </w:rPr>
        <w:t>التهذيب</w:t>
      </w:r>
      <w:r w:rsidR="00992664" w:rsidRPr="00020424">
        <w:rPr>
          <w:rtl/>
        </w:rPr>
        <w:t xml:space="preserve"> ، ص 35 : « فقلت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860A6" w:rsidTr="003860A6">
        <w:tc>
          <w:tcPr>
            <w:tcW w:w="4006" w:type="dxa"/>
          </w:tcPr>
          <w:p w:rsidR="003860A6" w:rsidRDefault="003860A6" w:rsidP="00992664">
            <w:pPr>
              <w:pStyle w:val="libFootnote0"/>
              <w:rPr>
                <w:rtl/>
              </w:rPr>
            </w:pPr>
            <w:r>
              <w:rPr>
                <w:rtl/>
              </w:rPr>
              <w:t xml:space="preserve">(3). </w:t>
            </w:r>
            <w:r w:rsidRPr="00020424">
              <w:rPr>
                <w:rtl/>
              </w:rPr>
              <w:t>في « بر » : « أولاده</w:t>
            </w:r>
            <w:r>
              <w:rPr>
                <w:rtl/>
              </w:rPr>
              <w:t xml:space="preserve"> ».</w:t>
            </w:r>
          </w:p>
        </w:tc>
        <w:tc>
          <w:tcPr>
            <w:tcW w:w="4006" w:type="dxa"/>
          </w:tcPr>
          <w:p w:rsidR="003860A6" w:rsidRDefault="003860A6" w:rsidP="00992664">
            <w:pPr>
              <w:pStyle w:val="libFootnote0"/>
              <w:rPr>
                <w:rtl/>
              </w:rPr>
            </w:pPr>
            <w:r>
              <w:rPr>
                <w:rtl/>
              </w:rPr>
              <w:t xml:space="preserve">(4). </w:t>
            </w:r>
            <w:r w:rsidRPr="00020424">
              <w:rPr>
                <w:rtl/>
              </w:rPr>
              <w:t>في « بث » : « لشهر</w:t>
            </w:r>
            <w:r>
              <w:rPr>
                <w:rtl/>
              </w:rPr>
              <w:t xml:space="preserve"> ».</w:t>
            </w:r>
          </w:p>
        </w:tc>
      </w:tr>
      <w:tr w:rsidR="003860A6" w:rsidTr="003860A6">
        <w:tc>
          <w:tcPr>
            <w:tcW w:w="4006" w:type="dxa"/>
          </w:tcPr>
          <w:p w:rsidR="003860A6" w:rsidRDefault="003860A6"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حلّ</w:t>
            </w:r>
            <w:r>
              <w:rPr>
                <w:rtl/>
              </w:rPr>
              <w:t xml:space="preserve"> ».</w:t>
            </w:r>
          </w:p>
        </w:tc>
        <w:tc>
          <w:tcPr>
            <w:tcW w:w="4006" w:type="dxa"/>
          </w:tcPr>
          <w:p w:rsidR="003860A6" w:rsidRDefault="003860A6" w:rsidP="00992664">
            <w:pPr>
              <w:pStyle w:val="libFootnote0"/>
              <w:rPr>
                <w:rtl/>
              </w:rPr>
            </w:pPr>
            <w:r>
              <w:rPr>
                <w:rtl/>
              </w:rPr>
              <w:t xml:space="preserve">(6). </w:t>
            </w:r>
            <w:r w:rsidRPr="00020424">
              <w:rPr>
                <w:rtl/>
              </w:rPr>
              <w:t>في حاشية « بث » : « وقد</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11749 </w:t>
      </w:r>
      <w:r w:rsidR="00992664" w:rsidRPr="00515444">
        <w:rPr>
          <w:rStyle w:val="libFootnoteBoldChar"/>
          <w:rtl/>
        </w:rPr>
        <w:t>والتهذيب</w:t>
      </w:r>
      <w:r w:rsidR="00992664" w:rsidRPr="00020424">
        <w:rPr>
          <w:rtl/>
        </w:rPr>
        <w:t xml:space="preserve"> ، ص 35 والعلل : « عليه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860A6" w:rsidTr="003860A6">
        <w:tc>
          <w:tcPr>
            <w:tcW w:w="4006" w:type="dxa"/>
          </w:tcPr>
          <w:p w:rsidR="003860A6" w:rsidRDefault="003860A6" w:rsidP="00992664">
            <w:pPr>
              <w:pStyle w:val="libFootnote0"/>
              <w:rPr>
                <w:rtl/>
                <w:lang w:bidi="fa-IR"/>
              </w:rPr>
            </w:pPr>
            <w:r>
              <w:rPr>
                <w:rtl/>
              </w:rPr>
              <w:t xml:space="preserve">(8). </w:t>
            </w:r>
            <w:r w:rsidRPr="00020424">
              <w:rPr>
                <w:rtl/>
              </w:rPr>
              <w:t>في « بخ » : « ووجب</w:t>
            </w:r>
            <w:r>
              <w:rPr>
                <w:rtl/>
              </w:rPr>
              <w:t xml:space="preserve"> ».</w:t>
            </w:r>
          </w:p>
        </w:tc>
        <w:tc>
          <w:tcPr>
            <w:tcW w:w="4006" w:type="dxa"/>
          </w:tcPr>
          <w:p w:rsidR="003860A6" w:rsidRDefault="00EB6F91" w:rsidP="00992664">
            <w:pPr>
              <w:pStyle w:val="libFootnote0"/>
              <w:rPr>
                <w:rtl/>
                <w:lang w:bidi="fa-IR"/>
              </w:rPr>
            </w:pPr>
            <w:r>
              <w:rPr>
                <w:rtl/>
              </w:rPr>
              <w:t xml:space="preserve">(9). </w:t>
            </w:r>
            <w:r w:rsidRPr="00020424">
              <w:rPr>
                <w:rtl/>
              </w:rPr>
              <w:t>في « بس » : « فيه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E57D58">
        <w:rPr>
          <w:rStyle w:val="libFootnoteBoldChar"/>
          <w:rtl/>
        </w:rPr>
        <w:t>مدارك الأحكام</w:t>
      </w:r>
      <w:r w:rsidR="00992664" w:rsidRPr="00020424">
        <w:rPr>
          <w:rtl/>
        </w:rPr>
        <w:t xml:space="preserve"> ، ج 5 ، ص 287</w:t>
      </w:r>
      <w:r w:rsidR="00992664">
        <w:rPr>
          <w:rtl/>
        </w:rPr>
        <w:t xml:space="preserve"> </w:t>
      </w:r>
      <w:r w:rsidR="009B673F">
        <w:rPr>
          <w:rtl/>
        </w:rPr>
        <w:t>-</w:t>
      </w:r>
      <w:r w:rsidR="00992664">
        <w:rPr>
          <w:rtl/>
        </w:rPr>
        <w:t xml:space="preserve"> </w:t>
      </w:r>
      <w:r w:rsidR="00992664" w:rsidRPr="00020424">
        <w:rPr>
          <w:rtl/>
        </w:rPr>
        <w:t>288 : « مقتضى الرواية أنّ حولان الحول عبارة عن مضيّ أحد عشر شهراً كاملة على المال ، فإذا دخل الثاني عشر وجبت الزكاة وإن لم تكمل أيّامه ،</w:t>
      </w:r>
      <w:r w:rsidR="00992664">
        <w:rPr>
          <w:rtl/>
        </w:rPr>
        <w:t xml:space="preserve"> ..</w:t>
      </w:r>
      <w:r w:rsidR="00992664" w:rsidRPr="00020424">
        <w:rPr>
          <w:rtl/>
        </w:rPr>
        <w:t>. وبمضمون هذه ال</w:t>
      </w:r>
      <w:r w:rsidR="00833F4F">
        <w:rPr>
          <w:rtl/>
        </w:rPr>
        <w:t>رواية أفتى الأصحاب ، وقال العل</w:t>
      </w:r>
      <w:r w:rsidR="00833F4F">
        <w:rPr>
          <w:rFonts w:hint="cs"/>
          <w:rtl/>
        </w:rPr>
        <w:t>ّ</w:t>
      </w:r>
      <w:r w:rsidR="00833F4F">
        <w:rPr>
          <w:rtl/>
        </w:rPr>
        <w:t>ا</w:t>
      </w:r>
      <w:r w:rsidR="00992664" w:rsidRPr="00020424">
        <w:rPr>
          <w:rtl/>
        </w:rPr>
        <w:t>مة في التذكرة والمنتهى : إنّه قول علمائنا أجمع ، ومقتضى ذلك استقرار الوجوب بدخول الثاني عشر ولكن صرّح الشارح بخلاف ذلك وأنّ استقرار الوجوب إنّما يتحقّق بتمام الثاني عشر ، وقال : إنّ الفائدة تظهر في جواز تأخير الإخراج إلى أن يستقرّ الوجوب ، وفي ما لو اختلّت الشرائط في الثاني عشر فتسقط الزكاة ويرجع بها إن كان أخرجها إذا علم القابض بالحال ، أو كانت العين باقية. وهذا القول لانعرف به قائلاً ممّن سلف</w:t>
      </w:r>
      <w:r w:rsidR="00992664">
        <w:rPr>
          <w:rtl/>
        </w:rPr>
        <w:t xml:space="preserve"> ».</w:t>
      </w:r>
      <w:r w:rsidR="00992664" w:rsidRPr="00020424">
        <w:rPr>
          <w:rtl/>
        </w:rPr>
        <w:t xml:space="preserve"> وراجع أيضاً : </w:t>
      </w:r>
      <w:r w:rsidR="00992664" w:rsidRPr="00566E64">
        <w:rPr>
          <w:rtl/>
        </w:rPr>
        <w:t>تذكرة الفقهاء</w:t>
      </w:r>
      <w:r w:rsidR="00992664" w:rsidRPr="00020424">
        <w:rPr>
          <w:rtl/>
        </w:rPr>
        <w:t xml:space="preserve"> ، ج 5 ، ص 51 ؛ </w:t>
      </w:r>
      <w:r w:rsidR="00992664" w:rsidRPr="00566E64">
        <w:rPr>
          <w:rtl/>
        </w:rPr>
        <w:t>منتهى المطلب</w:t>
      </w:r>
      <w:r w:rsidR="00992664" w:rsidRPr="00020424">
        <w:rPr>
          <w:rtl/>
        </w:rPr>
        <w:t xml:space="preserve"> ، ج 8 ، ص 124.</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حاشية « بح ، جن » </w:t>
      </w:r>
      <w:r w:rsidR="00992664" w:rsidRPr="00515444">
        <w:rPr>
          <w:rStyle w:val="libFootnoteBoldChar"/>
          <w:rtl/>
        </w:rPr>
        <w:t>والتهذيب</w:t>
      </w:r>
      <w:r w:rsidR="00992664" w:rsidRPr="00020424">
        <w:rPr>
          <w:rtl/>
        </w:rPr>
        <w:t xml:space="preserve"> ، ص 35 : « فقلت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3F4F" w:rsidTr="00833F4F">
        <w:tc>
          <w:tcPr>
            <w:tcW w:w="4006" w:type="dxa"/>
          </w:tcPr>
          <w:p w:rsidR="00833F4F" w:rsidRDefault="00833F4F" w:rsidP="00992664">
            <w:pPr>
              <w:pStyle w:val="libFootnote0"/>
              <w:rPr>
                <w:rtl/>
              </w:rPr>
            </w:pPr>
            <w:r>
              <w:rPr>
                <w:rtl/>
              </w:rPr>
              <w:t xml:space="preserve">(12).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له</w:t>
            </w:r>
            <w:r>
              <w:rPr>
                <w:rtl/>
              </w:rPr>
              <w:t xml:space="preserve"> ».</w:t>
            </w:r>
          </w:p>
        </w:tc>
        <w:tc>
          <w:tcPr>
            <w:tcW w:w="4006" w:type="dxa"/>
          </w:tcPr>
          <w:p w:rsidR="00833F4F" w:rsidRDefault="00833F4F"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Pr>
                <w:rtl/>
              </w:rPr>
              <w:t>،ص 35 والعلل</w:t>
            </w:r>
            <w:r w:rsidRPr="00020424">
              <w:rPr>
                <w:rtl/>
              </w:rPr>
              <w:t>: « جاز</w:t>
            </w:r>
            <w:r>
              <w:rPr>
                <w:rtl/>
              </w:rPr>
              <w:t xml:space="preserve"> ».</w:t>
            </w:r>
          </w:p>
        </w:tc>
      </w:tr>
      <w:tr w:rsidR="00833F4F" w:rsidTr="00833F4F">
        <w:tc>
          <w:tcPr>
            <w:tcW w:w="4006" w:type="dxa"/>
          </w:tcPr>
          <w:p w:rsidR="00833F4F" w:rsidRDefault="00833F4F" w:rsidP="00992664">
            <w:pPr>
              <w:pStyle w:val="libFootnote0"/>
              <w:rPr>
                <w:rtl/>
              </w:rPr>
            </w:pPr>
            <w:r>
              <w:rPr>
                <w:rtl/>
              </w:rPr>
              <w:t xml:space="preserve">(14). </w:t>
            </w:r>
            <w:r w:rsidRPr="00020424">
              <w:rPr>
                <w:rtl/>
              </w:rPr>
              <w:t>في « بح » : + « له</w:t>
            </w:r>
            <w:r>
              <w:rPr>
                <w:rtl/>
              </w:rPr>
              <w:t xml:space="preserve"> ».</w:t>
            </w:r>
          </w:p>
        </w:tc>
        <w:tc>
          <w:tcPr>
            <w:tcW w:w="4006" w:type="dxa"/>
          </w:tcPr>
          <w:p w:rsidR="00833F4F" w:rsidRDefault="00833F4F" w:rsidP="00992664">
            <w:pPr>
              <w:pStyle w:val="libFootnote0"/>
              <w:rPr>
                <w:rtl/>
              </w:rPr>
            </w:pPr>
            <w:r>
              <w:rPr>
                <w:rtl/>
              </w:rPr>
              <w:t xml:space="preserve">(15). </w:t>
            </w:r>
            <w:r w:rsidRPr="00020424">
              <w:rPr>
                <w:rtl/>
              </w:rPr>
              <w:t>في « بخ » : « زكاته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 فَقَالَ : « وَمَا عِلْمُهُ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أَنَّهُ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يَقْدِرُ عَلَيْهَا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 وَقَدْ خَرَجَتْ مِنْ مِلْكِهِ » </w:t>
      </w:r>
      <w:r w:rsidRPr="00A91B96">
        <w:rPr>
          <w:rStyle w:val="libFootnotenumChar"/>
          <w:rtl/>
        </w:rPr>
        <w:t>(</w:t>
      </w:r>
      <w:r w:rsidRPr="00A91B96">
        <w:rPr>
          <w:rStyle w:val="libFootnotenumChar"/>
          <w:rFonts w:hint="cs"/>
          <w:rtl/>
        </w:rPr>
        <w:t>5</w:t>
      </w:r>
      <w:r w:rsidRPr="00A91B96">
        <w:rPr>
          <w:rStyle w:val="libFootnotenumChar"/>
          <w:rtl/>
        </w:rPr>
        <w:t>)</w:t>
      </w:r>
    </w:p>
    <w:p w:rsidR="00992664" w:rsidRPr="00020424" w:rsidRDefault="00992664" w:rsidP="00992664">
      <w:pPr>
        <w:pStyle w:val="libNormal"/>
        <w:rPr>
          <w:rtl/>
          <w:lang w:bidi="fa-IR"/>
        </w:rPr>
      </w:pPr>
      <w:r w:rsidRPr="00020424">
        <w:rPr>
          <w:rtl/>
          <w:lang w:bidi="fa-IR"/>
        </w:rPr>
        <w:t>قُلْتُ : فَإِنَّهُ دَفَعَهَا إِلَيْهِ عَلى شَرْطٍ.</w:t>
      </w:r>
    </w:p>
    <w:p w:rsidR="00992664" w:rsidRPr="00020424" w:rsidRDefault="00992664" w:rsidP="00992664">
      <w:pPr>
        <w:pStyle w:val="libNormal"/>
        <w:rPr>
          <w:rtl/>
          <w:lang w:bidi="fa-IR"/>
        </w:rPr>
      </w:pPr>
      <w:r w:rsidRPr="00020424">
        <w:rPr>
          <w:rtl/>
          <w:lang w:bidi="fa-IR"/>
        </w:rPr>
        <w:t>فَقَالَ : « إِنَّهُ إِذَا سَمَّاهَا هِبَةً جَازَتِ الْهِبَةُ ، وَسَقَطَ الشَّرْطُ ، وَضَمِنَ الزَّكَاةَ</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لَهُ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 وَكَيْفَ يَسْقُطُ الشَّرْطُ ، وَتَمْضِي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الْهِبَةُ ، وَيَضْمَنُ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هذَا شَرْطٌ فَاسِدٌ ، وَالْهِبَةُ الْمَضْمُونَةُ مَاضِيَةٌ ، وَالزَّكَاةُ لَهُ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لَازِمَةٌ عُقُوبَةً لَهُ</w:t>
      </w:r>
      <w:r>
        <w:rPr>
          <w:rtl/>
          <w:lang w:bidi="fa-IR"/>
        </w:rPr>
        <w:t xml:space="preserve"> ».</w:t>
      </w:r>
      <w:r>
        <w:rPr>
          <w:rFonts w:hint="cs"/>
          <w:rtl/>
          <w:lang w:bidi="fa-IR"/>
        </w:rPr>
        <w:t xml:space="preserve"> </w:t>
      </w:r>
      <w:r w:rsidRPr="00020424">
        <w:rPr>
          <w:rtl/>
          <w:lang w:bidi="fa-IR"/>
        </w:rPr>
        <w:t xml:space="preserve">ثُمَّ قَالَ : « إِنَّمَا ذلِكَ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لَهُ إِذَا اشْتَرى بِهَا دَاراً ، أَوْ أَرْضاً ، أَوْ مَتَاعاً </w:t>
      </w:r>
      <w:r w:rsidRPr="00A91B96">
        <w:rPr>
          <w:rStyle w:val="libFootnotenumChar"/>
          <w:rtl/>
        </w:rPr>
        <w:t>(</w:t>
      </w:r>
      <w:r w:rsidRPr="00A91B96">
        <w:rPr>
          <w:rStyle w:val="libFootnotenumChar"/>
          <w:rFonts w:hint="cs"/>
          <w:rtl/>
        </w:rPr>
        <w:t>11</w:t>
      </w:r>
      <w:r w:rsidRPr="00A91B96">
        <w:rPr>
          <w:rStyle w:val="libFootnotenumChar"/>
          <w:rtl/>
        </w:rPr>
        <w:t>)</w:t>
      </w:r>
      <w:r>
        <w:rPr>
          <w:rtl/>
          <w:lang w:bidi="fa-IR"/>
        </w:rPr>
        <w:t xml:space="preserve"> ».</w:t>
      </w:r>
    </w:p>
    <w:p w:rsidR="00992664" w:rsidRPr="00020424" w:rsidRDefault="00992664" w:rsidP="00992664">
      <w:pPr>
        <w:pStyle w:val="libNormal"/>
        <w:rPr>
          <w:rtl/>
          <w:lang w:bidi="fa-IR"/>
        </w:rPr>
      </w:pPr>
      <w:r w:rsidRPr="00020424">
        <w:rPr>
          <w:rtl/>
          <w:lang w:bidi="fa-IR"/>
        </w:rPr>
        <w:t xml:space="preserve">ثُمَّ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قَالَ زُرَارَةُ : قُلْتُ لَهُ : إِنَّ أَبَاكَ قَالَ لِي : « مَنْ فَرَّ بِهَا مِنَ الزَّكَاةِ ، فَعَلَيْهِ أَنْ يُؤَدِّيَهَا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 « صَدَقَ أَبِي ، عَلَيْهِ أَنْ يُؤَدِّيَ مَا وَجَبَ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عَلَيْهِ ، وَمَا لَمْ‌</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F61C8" w:rsidTr="004F61C8">
        <w:tc>
          <w:tcPr>
            <w:tcW w:w="4006" w:type="dxa"/>
          </w:tcPr>
          <w:p w:rsidR="004F61C8" w:rsidRDefault="004F61C8" w:rsidP="00992664">
            <w:pPr>
              <w:pStyle w:val="libFootnote0"/>
              <w:rPr>
                <w:rtl/>
              </w:rPr>
            </w:pPr>
            <w:r>
              <w:rPr>
                <w:rtl/>
              </w:rPr>
              <w:t xml:space="preserve">(1). </w:t>
            </w:r>
            <w:r w:rsidRPr="00020424">
              <w:rPr>
                <w:rtl/>
              </w:rPr>
              <w:t xml:space="preserve">في « بف » </w:t>
            </w:r>
            <w:r w:rsidRPr="00515444">
              <w:rPr>
                <w:rStyle w:val="libFootnoteBoldChar"/>
                <w:rtl/>
              </w:rPr>
              <w:t>والوافي</w:t>
            </w:r>
            <w:r w:rsidRPr="00020424">
              <w:rPr>
                <w:rtl/>
              </w:rPr>
              <w:t xml:space="preserve"> والعلل :</w:t>
            </w:r>
            <w:r>
              <w:rPr>
                <w:rtl/>
              </w:rPr>
              <w:t xml:space="preserve"> - </w:t>
            </w:r>
            <w:r w:rsidRPr="00020424">
              <w:rPr>
                <w:rtl/>
              </w:rPr>
              <w:t>« قال</w:t>
            </w:r>
            <w:r>
              <w:rPr>
                <w:rtl/>
              </w:rPr>
              <w:t xml:space="preserve"> ».</w:t>
            </w:r>
          </w:p>
        </w:tc>
        <w:tc>
          <w:tcPr>
            <w:tcW w:w="4006" w:type="dxa"/>
          </w:tcPr>
          <w:p w:rsidR="004F61C8" w:rsidRDefault="004F61C8" w:rsidP="00992664">
            <w:pPr>
              <w:pStyle w:val="libFootnote0"/>
              <w:rPr>
                <w:rtl/>
              </w:rPr>
            </w:pPr>
            <w:r>
              <w:rPr>
                <w:rtl/>
              </w:rPr>
              <w:t>(2). في«بث»:«</w:t>
            </w:r>
            <w:r w:rsidRPr="00020424">
              <w:rPr>
                <w:rtl/>
              </w:rPr>
              <w:t>عليه</w:t>
            </w:r>
            <w:r>
              <w:rPr>
                <w:rtl/>
              </w:rPr>
              <w:t>».</w:t>
            </w:r>
            <w:r w:rsidRPr="00020424">
              <w:rPr>
                <w:rtl/>
              </w:rPr>
              <w:t xml:space="preserve">وفي </w:t>
            </w:r>
            <w:r w:rsidRPr="0012008A">
              <w:rPr>
                <w:rStyle w:val="libFootnoteBoldChar"/>
                <w:rtl/>
              </w:rPr>
              <w:t>التهذيب</w:t>
            </w:r>
            <w:r w:rsidR="00724912">
              <w:rPr>
                <w:rtl/>
              </w:rPr>
              <w:t>،ص 35 :«</w:t>
            </w:r>
            <w:r w:rsidRPr="00020424">
              <w:rPr>
                <w:rtl/>
              </w:rPr>
              <w:t>عليّ</w:t>
            </w:r>
            <w:r>
              <w:rPr>
                <w:rtl/>
              </w:rPr>
              <w:t>».</w:t>
            </w:r>
          </w:p>
        </w:tc>
      </w:tr>
      <w:tr w:rsidR="004F61C8" w:rsidTr="004F61C8">
        <w:tc>
          <w:tcPr>
            <w:tcW w:w="4006" w:type="dxa"/>
          </w:tcPr>
          <w:p w:rsidR="004F61C8" w:rsidRDefault="00724912" w:rsidP="00992664">
            <w:pPr>
              <w:pStyle w:val="libFootnote0"/>
              <w:rPr>
                <w:rtl/>
              </w:rPr>
            </w:pPr>
            <w:r>
              <w:rPr>
                <w:rtl/>
              </w:rPr>
              <w:t xml:space="preserve">(3). </w:t>
            </w:r>
            <w:r w:rsidRPr="00020424">
              <w:rPr>
                <w:rtl/>
              </w:rPr>
              <w:t>في « بث ، بح » : « أن</w:t>
            </w:r>
            <w:r>
              <w:rPr>
                <w:rtl/>
              </w:rPr>
              <w:t xml:space="preserve"> ».</w:t>
            </w:r>
          </w:p>
        </w:tc>
        <w:tc>
          <w:tcPr>
            <w:tcW w:w="4006" w:type="dxa"/>
          </w:tcPr>
          <w:p w:rsidR="004F61C8" w:rsidRDefault="00724912" w:rsidP="00992664">
            <w:pPr>
              <w:pStyle w:val="libFootnote0"/>
              <w:rPr>
                <w:rtl/>
              </w:rPr>
            </w:pPr>
            <w:r>
              <w:rPr>
                <w:rtl/>
              </w:rPr>
              <w:t>(4). في«بر»</w:t>
            </w:r>
            <w:r w:rsidRPr="00020424">
              <w:rPr>
                <w:rtl/>
              </w:rPr>
              <w:t>:</w:t>
            </w:r>
            <w:r>
              <w:rPr>
                <w:rtl/>
              </w:rPr>
              <w:t>-«قال:فقال</w:t>
            </w:r>
            <w:r w:rsidRPr="00020424">
              <w:rPr>
                <w:rtl/>
              </w:rPr>
              <w:t>: وما علمه أنّه يقدر عليها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EF5843">
        <w:rP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إنّه يقدر عليها ، أي يجوز له الرجوع في الهبة ، فهو بمنزلة ماله. قال : فقال : وما علمه أنّه يقدر عليها وقد خرجت من ملكه ، أي كيف يعلم أنّه يقدر عليها والحال أنّه يمكن أن يحصل له ما يمنع من الرجوع ، كالموت</w:t>
      </w:r>
      <w:r w:rsidR="00992664">
        <w:rPr>
          <w:rtl/>
        </w:rPr>
        <w:t>؟</w:t>
      </w:r>
      <w:r w:rsidR="00992664" w:rsidRPr="00020424">
        <w:rPr>
          <w:rtl/>
        </w:rPr>
        <w:t xml:space="preserve"> أو كيف علمه بالقدرة على الرجوع والحال أنّه قد خرج عن ملكه بالهبة</w:t>
      </w:r>
      <w:r w:rsidR="00992664">
        <w:rPr>
          <w:rtl/>
        </w:rPr>
        <w:t>؟</w:t>
      </w:r>
      <w:r w:rsidR="00992664" w:rsidRPr="00020424">
        <w:rPr>
          <w:rtl/>
        </w:rPr>
        <w:t xml:space="preserve"> فلو دخل في ملكه كان مالاً آخر ، وهو أظهر معنى ، والأوّل لفظاً.</w:t>
      </w:r>
    </w:p>
    <w:p w:rsidR="00992664" w:rsidRPr="00020424" w:rsidRDefault="00EE0B01" w:rsidP="00EE0B01">
      <w:pPr>
        <w:pStyle w:val="libFootnote0"/>
        <w:rPr>
          <w:rtl/>
          <w:lang w:bidi="fa-IR"/>
        </w:rPr>
      </w:pPr>
      <w:r>
        <w:rPr>
          <w:rtl/>
        </w:rPr>
        <w:t>وقال الوالد العل</w:t>
      </w:r>
      <w:r>
        <w:rPr>
          <w:rFonts w:hint="cs"/>
          <w:rtl/>
        </w:rPr>
        <w:t>ّ</w:t>
      </w:r>
      <w:r>
        <w:rPr>
          <w:rtl/>
        </w:rPr>
        <w:t>ا</w:t>
      </w:r>
      <w:r w:rsidR="00992664" w:rsidRPr="00EE0B01">
        <w:rPr>
          <w:rtl/>
        </w:rPr>
        <w:t xml:space="preserve">مة </w:t>
      </w:r>
      <w:r w:rsidR="00D64ADA" w:rsidRPr="00D64ADA">
        <w:rPr>
          <w:rStyle w:val="libFootnoteAlaemChar"/>
          <w:rtl/>
        </w:rPr>
        <w:t>رحمه‌الله</w:t>
      </w:r>
      <w:r w:rsidR="00992664" w:rsidRPr="00EE0B01">
        <w:rPr>
          <w:rtl/>
        </w:rPr>
        <w:t xml:space="preserve"> : يمكن حمله على ما إذا لم يقصد الهبة ؛ فإنّ الهبة ماضية ظاهراً ويلزمه الزكاة ؛ لأنّه لايخرج عن ملكه واقعاً ، والأظهر حمله على الاستحباب. ويحتمل أن يكون المراد بالشرط ، اشتراط الرجوع مع التصرّف أيضاً وإن خرج عن ملكه ؛ فإنّ هذا الشرط فاسد ».</w:t>
      </w:r>
    </w:p>
    <w:tbl>
      <w:tblPr>
        <w:tblStyle w:val="TableGrid"/>
        <w:bidiVisual/>
        <w:tblW w:w="0" w:type="auto"/>
        <w:tblLook w:val="04A0" w:firstRow="1" w:lastRow="0" w:firstColumn="1" w:lastColumn="0" w:noHBand="0" w:noVBand="1"/>
      </w:tblPr>
      <w:tblGrid>
        <w:gridCol w:w="4006"/>
        <w:gridCol w:w="4006"/>
      </w:tblGrid>
      <w:tr w:rsidR="00FF72BC" w:rsidTr="00FF72BC">
        <w:tc>
          <w:tcPr>
            <w:tcW w:w="4006" w:type="dxa"/>
          </w:tcPr>
          <w:p w:rsidR="00FF72BC" w:rsidRDefault="00FF72BC"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له</w:t>
            </w:r>
            <w:r>
              <w:rPr>
                <w:rtl/>
              </w:rPr>
              <w:t xml:space="preserve"> ».</w:t>
            </w:r>
          </w:p>
        </w:tc>
        <w:tc>
          <w:tcPr>
            <w:tcW w:w="4006" w:type="dxa"/>
          </w:tcPr>
          <w:p w:rsidR="00FF72BC" w:rsidRDefault="00FF72BC" w:rsidP="00992664">
            <w:pPr>
              <w:pStyle w:val="libFootnote0"/>
              <w:rPr>
                <w:rtl/>
              </w:rPr>
            </w:pPr>
            <w:r>
              <w:rPr>
                <w:rtl/>
              </w:rPr>
              <w:t xml:space="preserve">(7). </w:t>
            </w:r>
            <w:r w:rsidR="00B121D7">
              <w:rPr>
                <w:rtl/>
              </w:rPr>
              <w:t>في «ظ</w:t>
            </w:r>
            <w:r w:rsidRPr="00020424">
              <w:rPr>
                <w:rtl/>
              </w:rPr>
              <w:t>» بالتاء والياء معاً. وفي العلل : « ويمضى</w:t>
            </w:r>
            <w:r>
              <w:rPr>
                <w:rtl/>
              </w:rPr>
              <w:t xml:space="preserve"> ».</w:t>
            </w:r>
          </w:p>
        </w:tc>
      </w:tr>
    </w:tbl>
    <w:p w:rsidR="00992664" w:rsidRPr="00020424" w:rsidRDefault="00795177" w:rsidP="00B121D7">
      <w:pPr>
        <w:pStyle w:val="libFootnote0"/>
        <w:rPr>
          <w:rtl/>
          <w:lang w:bidi="fa-IR"/>
        </w:rPr>
      </w:pPr>
      <w:r>
        <w:rPr>
          <w:rtl/>
        </w:rPr>
        <w:t>(8).</w:t>
      </w:r>
      <w:r w:rsidR="0014403D">
        <w:rPr>
          <w:rtl/>
        </w:rPr>
        <w:t xml:space="preserve"> </w:t>
      </w:r>
      <w:r w:rsidR="00992664" w:rsidRPr="00020424">
        <w:rPr>
          <w:rtl/>
        </w:rPr>
        <w:t xml:space="preserve">في « ى ، بث ، بخ » </w:t>
      </w:r>
      <w:r w:rsidR="00992664" w:rsidRPr="00515444">
        <w:rPr>
          <w:rStyle w:val="libFootnoteBoldChar"/>
          <w:rtl/>
        </w:rPr>
        <w:t>والوافي</w:t>
      </w:r>
      <w:r w:rsidR="00992664" w:rsidRPr="00020424">
        <w:rPr>
          <w:rtl/>
        </w:rPr>
        <w:t xml:space="preserve"> والعلل : + « وتجب</w:t>
      </w:r>
      <w:r w:rsidR="00992664">
        <w:rPr>
          <w:rtl/>
        </w:rPr>
        <w:t xml:space="preserve"> ».</w:t>
      </w:r>
      <w:r w:rsidR="00992664" w:rsidRPr="00020424">
        <w:rPr>
          <w:rtl/>
        </w:rPr>
        <w:t xml:space="preserve"> وفي « بح » : + « ويجب</w:t>
      </w:r>
      <w:r w:rsidR="00992664">
        <w:rPr>
          <w:rtl/>
        </w:rPr>
        <w:t xml:space="preserve"> ».</w:t>
      </w:r>
      <w:r w:rsidR="00992664" w:rsidRPr="00020424">
        <w:rPr>
          <w:rtl/>
        </w:rPr>
        <w:t xml:space="preserve"> وفي « بر » : « وتضمن وتجب</w:t>
      </w:r>
      <w:r w:rsidR="00992664">
        <w:rPr>
          <w:rtl/>
        </w:rPr>
        <w:t xml:space="preserve"> ».</w:t>
      </w:r>
      <w:r w:rsidR="00992664" w:rsidRPr="00020424">
        <w:rPr>
          <w:rtl/>
        </w:rPr>
        <w:t xml:space="preserve"> وفي « بف » : « « وتضمن</w:t>
      </w:r>
      <w:r w:rsidR="00992664">
        <w:rPr>
          <w:rtl/>
        </w:rPr>
        <w:t xml:space="preserve"> ».</w:t>
      </w:r>
      <w:r w:rsidR="00B121D7">
        <w:rPr>
          <w:rFonts w:hint="cs"/>
          <w:rtl/>
        </w:rPr>
        <w:t xml:space="preserve">                     </w:t>
      </w:r>
      <w:r>
        <w:rPr>
          <w:rtl/>
        </w:rPr>
        <w:t>(9).</w:t>
      </w:r>
      <w:r w:rsidR="0014403D">
        <w:rPr>
          <w:rtl/>
        </w:rPr>
        <w:t xml:space="preserve"> </w:t>
      </w:r>
      <w:r w:rsidR="00992664" w:rsidRPr="00020424">
        <w:rPr>
          <w:rtl/>
        </w:rPr>
        <w:t>في « بخ » : « عليه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EF5843">
        <w:rP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إنّما ذلك ، أي الشرط ، أو القدرة عليه متى شاء ، أو سقوط الزكاة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35 : « ضياعاً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بث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11749 والعلل :</w:t>
      </w:r>
      <w:r w:rsidR="00992664">
        <w:rPr>
          <w:rtl/>
        </w:rPr>
        <w:t xml:space="preserve"> </w:t>
      </w:r>
      <w:r w:rsidR="009B673F">
        <w:rPr>
          <w:rtl/>
        </w:rPr>
        <w:t>-</w:t>
      </w:r>
      <w:r w:rsidR="00992664">
        <w:rPr>
          <w:rtl/>
        </w:rPr>
        <w:t xml:space="preserve"> </w:t>
      </w:r>
      <w:r w:rsidR="00992664" w:rsidRPr="00020424">
        <w:rPr>
          <w:rtl/>
        </w:rPr>
        <w:t>« ثمّ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ى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11749 </w:t>
      </w:r>
      <w:r w:rsidR="00992664" w:rsidRPr="00515444">
        <w:rPr>
          <w:rStyle w:val="libFootnoteBoldChar"/>
          <w:rtl/>
        </w:rPr>
        <w:t>والتهذيب</w:t>
      </w:r>
      <w:r w:rsidR="00992664" w:rsidRPr="00020424">
        <w:rPr>
          <w:rtl/>
        </w:rPr>
        <w:t xml:space="preserve"> ، ص 35 والعلل : « فقال</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35 : « عليه أن يؤدّيها ما أوجب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يَجِبْ </w:t>
      </w:r>
      <w:r w:rsidRPr="00A91B96">
        <w:rPr>
          <w:rStyle w:val="libFootnotenumChar"/>
          <w:rtl/>
        </w:rPr>
        <w:t>(1)</w:t>
      </w:r>
      <w:r w:rsidRPr="00020424">
        <w:rPr>
          <w:rtl/>
          <w:lang w:bidi="fa-IR"/>
        </w:rPr>
        <w:t xml:space="preserve"> عَلَيْهِ </w:t>
      </w:r>
      <w:r w:rsidRPr="00A91B96">
        <w:rPr>
          <w:rStyle w:val="libFootnotenumChar"/>
          <w:rtl/>
        </w:rPr>
        <w:t>(2)</w:t>
      </w:r>
      <w:r w:rsidRPr="00020424">
        <w:rPr>
          <w:rtl/>
          <w:lang w:bidi="fa-IR"/>
        </w:rPr>
        <w:t xml:space="preserve"> ، فَلَا شَيْ‌ءَ عَلَيْهِ فِيهِ</w:t>
      </w:r>
      <w:r>
        <w:rPr>
          <w:rtl/>
          <w:lang w:bidi="fa-IR"/>
        </w:rPr>
        <w:t xml:space="preserve"> ».</w:t>
      </w:r>
    </w:p>
    <w:p w:rsidR="00992664" w:rsidRPr="00020424" w:rsidRDefault="00992664" w:rsidP="00992664">
      <w:pPr>
        <w:pStyle w:val="libNormal"/>
        <w:rPr>
          <w:rtl/>
          <w:lang w:bidi="fa-IR"/>
        </w:rPr>
      </w:pPr>
      <w:r w:rsidRPr="00020424">
        <w:rPr>
          <w:rtl/>
          <w:lang w:bidi="fa-IR"/>
        </w:rPr>
        <w:t>ثُمَّ قَالَ : « أ</w:t>
      </w:r>
      <w:r>
        <w:rPr>
          <w:rtl/>
          <w:lang w:bidi="fa-IR"/>
        </w:rPr>
        <w:t>َ</w:t>
      </w:r>
      <w:r w:rsidRPr="00020424">
        <w:rPr>
          <w:rtl/>
          <w:lang w:bidi="fa-IR"/>
        </w:rPr>
        <w:t>رَأَيْتَ ، لَوْ أَنَّ رَجُلاً أُغْمِيَ عَلَيْهِ يَوْماً ، ثُمَّ مَ</w:t>
      </w:r>
      <w:r>
        <w:rPr>
          <w:rtl/>
          <w:lang w:bidi="fa-IR"/>
        </w:rPr>
        <w:t>اتَ ، فَذَهَبَتْ صَلَاتُهُ ، أَ</w:t>
      </w:r>
      <w:r w:rsidRPr="00020424">
        <w:rPr>
          <w:rtl/>
          <w:lang w:bidi="fa-IR"/>
        </w:rPr>
        <w:t>كَانَ عَلَيْهِ</w:t>
      </w:r>
      <w:r>
        <w:rPr>
          <w:rtl/>
          <w:lang w:bidi="fa-IR"/>
        </w:rPr>
        <w:t xml:space="preserve"> </w:t>
      </w:r>
      <w:r w:rsidR="009B673F">
        <w:rPr>
          <w:rtl/>
          <w:lang w:bidi="fa-IR"/>
        </w:rPr>
        <w:t>-</w:t>
      </w:r>
      <w:r>
        <w:rPr>
          <w:rtl/>
          <w:lang w:bidi="fa-IR"/>
        </w:rPr>
        <w:t xml:space="preserve"> </w:t>
      </w:r>
      <w:r w:rsidRPr="00020424">
        <w:rPr>
          <w:rtl/>
          <w:lang w:bidi="fa-IR"/>
        </w:rPr>
        <w:t>وَقَدْ مَاتَ</w:t>
      </w:r>
      <w:r>
        <w:rPr>
          <w:rtl/>
          <w:lang w:bidi="fa-IR"/>
        </w:rPr>
        <w:t xml:space="preserve"> </w:t>
      </w:r>
      <w:r w:rsidR="009B673F">
        <w:rPr>
          <w:rtl/>
          <w:lang w:bidi="fa-IR"/>
        </w:rPr>
        <w:t>-</w:t>
      </w:r>
      <w:r>
        <w:rPr>
          <w:rtl/>
          <w:lang w:bidi="fa-IR"/>
        </w:rPr>
        <w:t xml:space="preserve"> </w:t>
      </w:r>
      <w:r w:rsidRPr="00020424">
        <w:rPr>
          <w:rtl/>
          <w:lang w:bidi="fa-IR"/>
        </w:rPr>
        <w:t>أَنْ يُؤَدِّيَهَا</w:t>
      </w:r>
      <w:r>
        <w:rPr>
          <w:rtl/>
          <w:lang w:bidi="fa-IR"/>
        </w:rPr>
        <w:t>؟</w:t>
      </w:r>
      <w:r w:rsidR="00CC5202">
        <w:rPr>
          <w:rtl/>
          <w:lang w:bidi="fa-IR"/>
        </w:rPr>
        <w:t xml:space="preserve"> » قُلْتُ : لَا ، إِل</w:t>
      </w:r>
      <w:r w:rsidR="00CC5202">
        <w:rPr>
          <w:rFonts w:hint="cs"/>
          <w:rtl/>
          <w:lang w:bidi="fa-IR"/>
        </w:rPr>
        <w:t>َّ</w:t>
      </w:r>
      <w:r w:rsidR="00CC5202">
        <w:rPr>
          <w:rtl/>
          <w:lang w:bidi="fa-IR"/>
        </w:rPr>
        <w:t>ا</w:t>
      </w:r>
      <w:r w:rsidRPr="00020424">
        <w:rPr>
          <w:rtl/>
          <w:lang w:bidi="fa-IR"/>
        </w:rPr>
        <w:t xml:space="preserve"> أَنْ يَكُونَ أَفَاقَ </w:t>
      </w:r>
      <w:r w:rsidRPr="00A91B96">
        <w:rPr>
          <w:rStyle w:val="libFootnotenumChar"/>
          <w:rtl/>
        </w:rPr>
        <w:t>(3)</w:t>
      </w:r>
      <w:r w:rsidRPr="00020424">
        <w:rPr>
          <w:rtl/>
          <w:lang w:bidi="fa-IR"/>
        </w:rPr>
        <w:t xml:space="preserve"> مِنْ يَوْمِهِ.</w:t>
      </w:r>
    </w:p>
    <w:p w:rsidR="00992664" w:rsidRPr="00020424" w:rsidRDefault="00992664" w:rsidP="00760815">
      <w:pPr>
        <w:pStyle w:val="libNormal"/>
        <w:rPr>
          <w:rtl/>
          <w:lang w:bidi="fa-IR"/>
        </w:rPr>
      </w:pPr>
      <w:r w:rsidRPr="00020424">
        <w:rPr>
          <w:rtl/>
          <w:lang w:bidi="fa-IR"/>
        </w:rPr>
        <w:t>ثُمَّ قَالَ : « لَوْ أَنَّ رَجُلاً مَرِضَ فِي شَهْرِ رَم</w:t>
      </w:r>
      <w:r>
        <w:rPr>
          <w:rtl/>
          <w:lang w:bidi="fa-IR"/>
        </w:rPr>
        <w:t>َضَانَ ، ثُمَّ مَاتَ فِيهِ ، أَ</w:t>
      </w:r>
      <w:r w:rsidRPr="00020424">
        <w:rPr>
          <w:rtl/>
          <w:lang w:bidi="fa-IR"/>
        </w:rPr>
        <w:t>كَانَ يُصَامُ عَنْهُ</w:t>
      </w:r>
      <w:r>
        <w:rPr>
          <w:rtl/>
          <w:lang w:bidi="fa-IR"/>
        </w:rPr>
        <w:t>؟</w:t>
      </w:r>
      <w:r w:rsidRPr="00020424">
        <w:rPr>
          <w:rtl/>
          <w:lang w:bidi="fa-IR"/>
        </w:rPr>
        <w:t xml:space="preserve"> » قُلْتُ : لَا ، قَالَ : « فَكَذلِكَ الرَّجُلُ ، لَايُؤَدِّي عَنْ مَالِهِ إِ</w:t>
      </w:r>
      <w:r w:rsidR="00760815">
        <w:rPr>
          <w:rtl/>
          <w:lang w:bidi="fa-IR"/>
        </w:rPr>
        <w:t>ل</w:t>
      </w:r>
      <w:r w:rsidR="00760815">
        <w:rPr>
          <w:rFonts w:hint="cs"/>
          <w:rtl/>
          <w:lang w:bidi="fa-IR"/>
        </w:rPr>
        <w:t>َّ</w:t>
      </w:r>
      <w:r w:rsidR="00760815">
        <w:rPr>
          <w:rtl/>
          <w:lang w:bidi="fa-IR"/>
        </w:rPr>
        <w:t>ا</w:t>
      </w:r>
      <w:r w:rsidRPr="00020424">
        <w:rPr>
          <w:rtl/>
          <w:lang w:bidi="fa-IR"/>
        </w:rPr>
        <w:t xml:space="preserve"> مَا حَالَ عَلَيْهِ الْحَوْلُ</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EF5843">
        <w:rPr>
          <w:rtl/>
        </w:rPr>
        <w:t>5838</w:t>
      </w:r>
      <w:r w:rsidRPr="001155DE">
        <w:rPr>
          <w:rStyle w:val="libBold2Char"/>
          <w:rtl/>
        </w:rPr>
        <w:t xml:space="preserve"> / 6.</w:t>
      </w:r>
      <w:r w:rsidRPr="00020424">
        <w:rPr>
          <w:rtl/>
          <w:lang w:bidi="fa-IR"/>
        </w:rPr>
        <w:t xml:space="preserve"> عَلِيُّ بْنُ إِبْرَاهِيمَ ، عَنْ أَبِيهِ ، عَنْ إِسْمَاعِيلَ بْنِ مَرَّارٍ ، عَنْ يُونُسَ ، عَنْ إِسْحَاقَ بْنِ عَمَّارٍ :</w:t>
      </w:r>
    </w:p>
    <w:p w:rsidR="00992664" w:rsidRPr="00020424" w:rsidRDefault="00992664" w:rsidP="00992664">
      <w:pPr>
        <w:pStyle w:val="libNormal"/>
        <w:rPr>
          <w:rtl/>
          <w:lang w:bidi="fa-IR"/>
        </w:rPr>
      </w:pPr>
      <w:r w:rsidRPr="00020424">
        <w:rPr>
          <w:rtl/>
          <w:lang w:bidi="fa-IR"/>
        </w:rPr>
        <w:t xml:space="preserve">عَنْ أَبِي إِبْرَاهِيمَ </w:t>
      </w:r>
      <w:r w:rsidRPr="00A91B96">
        <w:rPr>
          <w:rStyle w:val="libFootnotenumChar"/>
          <w:rtl/>
        </w:rPr>
        <w:t>(5)</w:t>
      </w:r>
      <w:r w:rsidRPr="00020424">
        <w:rPr>
          <w:rtl/>
          <w:lang w:bidi="fa-IR"/>
        </w:rPr>
        <w:t xml:space="preserve"> </w:t>
      </w:r>
      <w:r w:rsidRPr="00005A81">
        <w:rPr>
          <w:rStyle w:val="libAlaemChar"/>
          <w:rtl/>
        </w:rPr>
        <w:t>عليه‌السلام</w:t>
      </w:r>
      <w:r w:rsidRPr="00020424">
        <w:rPr>
          <w:rtl/>
          <w:lang w:bidi="fa-IR"/>
        </w:rPr>
        <w:t xml:space="preserve"> ، قَالَ : سَأَلْتُهُ عَنْ رَجُلٍ وَرِثَ مَالاً </w:t>
      </w:r>
      <w:r w:rsidRPr="00A91B96">
        <w:rPr>
          <w:rStyle w:val="libFootnotenumChar"/>
          <w:rtl/>
        </w:rPr>
        <w:t>(6)</w:t>
      </w:r>
      <w:r w:rsidRPr="00020424">
        <w:rPr>
          <w:rtl/>
          <w:lang w:bidi="fa-IR"/>
        </w:rPr>
        <w:t xml:space="preserve"> وَالرَّجُلُ غَائِبٌ ، هَلْ عَلَيْهِ زَكَاةٌ</w:t>
      </w:r>
      <w:r>
        <w:rPr>
          <w:rtl/>
          <w:lang w:bidi="fa-IR"/>
        </w:rPr>
        <w:t>؟</w:t>
      </w:r>
    </w:p>
    <w:p w:rsidR="00992664" w:rsidRPr="00020424" w:rsidRDefault="00992664" w:rsidP="00992664">
      <w:pPr>
        <w:pStyle w:val="libNormal"/>
        <w:rPr>
          <w:rtl/>
          <w:lang w:bidi="fa-IR"/>
        </w:rPr>
      </w:pPr>
      <w:r w:rsidRPr="00020424">
        <w:rPr>
          <w:rtl/>
          <w:lang w:bidi="fa-IR"/>
        </w:rPr>
        <w:t>قَالَ : « لَا ، حَتّى يَقْدَمَ</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(7)</w:t>
      </w:r>
      <w:r>
        <w:rPr>
          <w:rtl/>
          <w:lang w:bidi="fa-IR"/>
        </w:rPr>
        <w:t xml:space="preserve"> : أَ</w:t>
      </w:r>
      <w:r w:rsidRPr="00020424">
        <w:rPr>
          <w:rtl/>
          <w:lang w:bidi="fa-IR"/>
        </w:rPr>
        <w:t>يُزَكِّيهِ حِينَ يَقْدَمُ</w:t>
      </w:r>
      <w:r>
        <w:rPr>
          <w:rtl/>
          <w:lang w:bidi="fa-IR"/>
        </w:rPr>
        <w:t>؟</w:t>
      </w:r>
    </w:p>
    <w:p w:rsidR="00992664" w:rsidRPr="00020424" w:rsidRDefault="00992664" w:rsidP="00601524">
      <w:pPr>
        <w:pStyle w:val="libNormal"/>
        <w:rPr>
          <w:rtl/>
          <w:lang w:bidi="fa-IR"/>
        </w:rPr>
      </w:pPr>
      <w:r w:rsidRPr="00020424">
        <w:rPr>
          <w:rtl/>
          <w:lang w:bidi="fa-IR"/>
        </w:rPr>
        <w:t>قَالَ : « لَا ، حَتّى يَحُولَ عَلَيْهِ الْحَوْلُ وَهُوَ عِنْدَهُ</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60815" w:rsidTr="00760815">
        <w:tc>
          <w:tcPr>
            <w:tcW w:w="4006" w:type="dxa"/>
          </w:tcPr>
          <w:p w:rsidR="00760815" w:rsidRDefault="00760815" w:rsidP="00992664">
            <w:pPr>
              <w:pStyle w:val="libFootnote0"/>
              <w:rPr>
                <w:rtl/>
              </w:rPr>
            </w:pPr>
            <w:r>
              <w:rPr>
                <w:rtl/>
              </w:rPr>
              <w:t xml:space="preserve">(1). </w:t>
            </w:r>
            <w:r w:rsidRPr="00020424">
              <w:rPr>
                <w:rtl/>
              </w:rPr>
              <w:t>في « بر ، بف » : « لا يجب</w:t>
            </w:r>
            <w:r>
              <w:rPr>
                <w:rtl/>
              </w:rPr>
              <w:t xml:space="preserve"> ».</w:t>
            </w:r>
          </w:p>
        </w:tc>
        <w:tc>
          <w:tcPr>
            <w:tcW w:w="4006" w:type="dxa"/>
          </w:tcPr>
          <w:p w:rsidR="00760815" w:rsidRDefault="00760815" w:rsidP="00992664">
            <w:pPr>
              <w:pStyle w:val="libFootnote0"/>
              <w:rPr>
                <w:rtl/>
              </w:rPr>
            </w:pPr>
            <w:r>
              <w:rPr>
                <w:rtl/>
              </w:rPr>
              <w:t xml:space="preserve">(2). </w:t>
            </w:r>
            <w:r w:rsidR="00601524">
              <w:rPr>
                <w:rtl/>
              </w:rPr>
              <w:t>في«ظ،بث،بخ،بر،بف</w:t>
            </w:r>
            <w:r w:rsidRPr="00020424">
              <w:rPr>
                <w:rtl/>
              </w:rPr>
              <w:t>»</w:t>
            </w:r>
            <w:r w:rsidRPr="00515444">
              <w:rPr>
                <w:rStyle w:val="libFootnoteBoldChar"/>
                <w:rtl/>
              </w:rPr>
              <w:t>والوافي</w:t>
            </w:r>
            <w:r w:rsidR="00601524">
              <w:rPr>
                <w:rtl/>
              </w:rPr>
              <w:t xml:space="preserve"> والعلل</w:t>
            </w:r>
            <w:r w:rsidRPr="00020424">
              <w:rPr>
                <w:rtl/>
              </w:rPr>
              <w:t>:</w:t>
            </w:r>
            <w:r>
              <w:rPr>
                <w:rtl/>
              </w:rPr>
              <w:t xml:space="preserve">- </w:t>
            </w:r>
            <w:r w:rsidR="00601524">
              <w:rPr>
                <w:rtl/>
              </w:rPr>
              <w:t>«</w:t>
            </w:r>
            <w:r w:rsidRPr="00020424">
              <w:rPr>
                <w:rtl/>
              </w:rPr>
              <w:t>عليه</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بح » : « قد أفاق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35 ، ح 92 ، معلّقاً عن الكليني. </w:t>
      </w:r>
      <w:r w:rsidR="00992664" w:rsidRPr="0044387E">
        <w:rPr>
          <w:rtl/>
        </w:rPr>
        <w:t>وفيه</w:t>
      </w:r>
      <w:r w:rsidR="00992664" w:rsidRPr="00020424">
        <w:rPr>
          <w:rtl/>
        </w:rPr>
        <w:t xml:space="preserve"> ، ص 10 ، ح 27 ؛ </w:t>
      </w:r>
      <w:r w:rsidR="00992664" w:rsidRPr="00FD6221">
        <w:rPr>
          <w:rStyle w:val="libFootnoteBoldChar"/>
          <w:rtl/>
        </w:rPr>
        <w:t>والاستبصار</w:t>
      </w:r>
      <w:r w:rsidR="00992664" w:rsidRPr="00020424">
        <w:rPr>
          <w:rtl/>
        </w:rPr>
        <w:t xml:space="preserve"> ، ج 2 ، ص 8 ، ح 24 ، بسندهما عن إبراهيم بن هاشم ، عن حمّاد ، عن حريز ، من قوله : « ثمّ قال زرارة : قلت له : إنّ أباك قال لي : من فرّبها من الزكاة</w:t>
      </w:r>
      <w:r w:rsidR="00992664">
        <w:rPr>
          <w:rtl/>
        </w:rPr>
        <w:t xml:space="preserve"> ».</w:t>
      </w:r>
      <w:r w:rsidR="00992664" w:rsidRPr="00020424">
        <w:rPr>
          <w:rtl/>
        </w:rPr>
        <w:t xml:space="preserve"> </w:t>
      </w:r>
      <w:r w:rsidR="00992664" w:rsidRPr="0044387E">
        <w:rPr>
          <w:rtl/>
        </w:rPr>
        <w:t>علل الشرائع</w:t>
      </w:r>
      <w:r w:rsidR="00992664" w:rsidRPr="00020424">
        <w:rPr>
          <w:rtl/>
        </w:rPr>
        <w:t xml:space="preserve"> ، ص 374 ، ح 1 ، بسنده عن حمّاد بن عيسى ، عن حريز ، مع زيادة. </w:t>
      </w:r>
      <w:r w:rsidR="00992664" w:rsidRPr="0012008A">
        <w:rPr>
          <w:rStyle w:val="libFootnoteBoldChar"/>
          <w:rtl/>
        </w:rPr>
        <w:t>الفقيه</w:t>
      </w:r>
      <w:r w:rsidR="00992664" w:rsidRPr="00020424">
        <w:rPr>
          <w:rtl/>
        </w:rPr>
        <w:t xml:space="preserve"> ، ج 2 ، ص 32 ، ح 1625 ، معلّقاً عن زرارة ومحمّد بن مسلم ، عن أبي عبدالله </w:t>
      </w:r>
      <w:r w:rsidR="00992664" w:rsidRPr="00D64ADA">
        <w:rPr>
          <w:rStyle w:val="libFootnoteAlaemChar"/>
          <w:rtl/>
        </w:rPr>
        <w:t>عليه‌السلام</w:t>
      </w:r>
      <w:r w:rsidR="00992664" w:rsidRPr="00020424">
        <w:rPr>
          <w:rtl/>
        </w:rPr>
        <w:t xml:space="preserve"> ، إلى قوله : « ذلك إبطال الكفّارة التي وجبت عليه » وفي الأخيرين مع اختلاف يسير. وراجع : </w:t>
      </w:r>
      <w:r w:rsidR="00992664" w:rsidRPr="0044387E">
        <w:rPr>
          <w:rtl/>
        </w:rPr>
        <w:t>الكافي</w:t>
      </w:r>
      <w:r w:rsidR="00992664" w:rsidRPr="00020424">
        <w:rPr>
          <w:rtl/>
        </w:rPr>
        <w:t xml:space="preserve"> ، كتاب الزكاة ، باب من فرّ بماله من الزكاة ، ح 5961 </w:t>
      </w:r>
      <w:r w:rsidR="008639D8">
        <w:rPr>
          <w:rFonts w:hint="cs"/>
          <w:rtl/>
        </w:rPr>
        <w:t>.</w:t>
      </w:r>
      <w:r w:rsidR="00992664" w:rsidRPr="0012008A">
        <w:rPr>
          <w:rStyle w:val="libFootnoteBoldChar"/>
          <w:rtl/>
        </w:rPr>
        <w:t>الوافي</w:t>
      </w:r>
      <w:r w:rsidR="00992664" w:rsidRPr="00020424">
        <w:rPr>
          <w:rtl/>
        </w:rPr>
        <w:t xml:space="preserve"> ، ج 10 ، ص 132 ، ح 9304 ؛ </w:t>
      </w:r>
      <w:r w:rsidR="00992664" w:rsidRPr="0012008A">
        <w:rPr>
          <w:rStyle w:val="libFootnoteBoldChar"/>
          <w:rtl/>
        </w:rPr>
        <w:t>الوسائل</w:t>
      </w:r>
      <w:r w:rsidR="00992664" w:rsidRPr="00020424">
        <w:rPr>
          <w:rtl/>
        </w:rPr>
        <w:t xml:space="preserve"> ، ج 9 ، ص 163 ، ح 11749 ، إلى قوله : « ما لم يجب عليه فلا شي‌ء عليه » ؛ </w:t>
      </w:r>
      <w:r w:rsidR="00992664" w:rsidRPr="0044387E">
        <w:rPr>
          <w:rtl/>
        </w:rPr>
        <w:t>وفيه</w:t>
      </w:r>
      <w:r w:rsidR="00992664" w:rsidRPr="00020424">
        <w:rPr>
          <w:rtl/>
        </w:rPr>
        <w:t xml:space="preserve"> ، ج 10 ، ص 134 ، ح 13039 ، إلى قوله : « فأمّا ما لم يحل فله منعه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639D8" w:rsidTr="008639D8">
        <w:tc>
          <w:tcPr>
            <w:tcW w:w="4006" w:type="dxa"/>
          </w:tcPr>
          <w:p w:rsidR="008639D8" w:rsidRDefault="008639D8" w:rsidP="00992664">
            <w:pPr>
              <w:pStyle w:val="libFootnote0"/>
              <w:rPr>
                <w:rtl/>
              </w:rPr>
            </w:pPr>
            <w:r>
              <w:rPr>
                <w:rtl/>
              </w:rPr>
              <w:t xml:space="preserve">(5). </w:t>
            </w:r>
            <w:r w:rsidRPr="00020424">
              <w:rPr>
                <w:rtl/>
              </w:rPr>
              <w:t>في « بخ ، بر » : « أبي عبد الله</w:t>
            </w:r>
            <w:r>
              <w:rPr>
                <w:rtl/>
              </w:rPr>
              <w:t xml:space="preserve"> ».</w:t>
            </w:r>
          </w:p>
        </w:tc>
        <w:tc>
          <w:tcPr>
            <w:tcW w:w="4006" w:type="dxa"/>
          </w:tcPr>
          <w:p w:rsidR="008639D8" w:rsidRDefault="008639D8" w:rsidP="00992664">
            <w:pPr>
              <w:pStyle w:val="libFootnote0"/>
              <w:rPr>
                <w:rtl/>
              </w:rPr>
            </w:pPr>
            <w:r>
              <w:rPr>
                <w:rtl/>
              </w:rPr>
              <w:t xml:space="preserve">(6). </w:t>
            </w:r>
            <w:r w:rsidRPr="00020424">
              <w:rPr>
                <w:rtl/>
              </w:rPr>
              <w:t>في « بر » : « المال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بخ ، بر » </w:t>
      </w:r>
      <w:r w:rsidR="00992664" w:rsidRPr="00515444">
        <w:rPr>
          <w:rStyle w:val="libFootnoteBoldChar"/>
          <w:rtl/>
        </w:rPr>
        <w:t>والوافي</w:t>
      </w:r>
      <w:r w:rsidR="00992664" w:rsidRPr="00020424">
        <w:rPr>
          <w:rtl/>
        </w:rPr>
        <w:t xml:space="preserve"> : + « 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34 ، ح 89 ، معلّقاً عن الكليني. </w:t>
      </w:r>
      <w:r w:rsidR="00992664" w:rsidRPr="0012008A">
        <w:rPr>
          <w:rStyle w:val="libFootnoteBoldChar"/>
          <w:rtl/>
        </w:rPr>
        <w:t>الفقيه</w:t>
      </w:r>
      <w:r w:rsidR="00992664" w:rsidRPr="00020424">
        <w:rPr>
          <w:rtl/>
        </w:rPr>
        <w:t xml:space="preserve"> ، ج 4 ، ص 331 ، ح 5709 ، بسنده عن إسحاق بن </w:t>
      </w:r>
      <w:r w:rsidR="00685A8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57" w:name="_Toc345172735"/>
      <w:bookmarkStart w:id="58" w:name="_Toc464562552"/>
      <w:bookmarkStart w:id="59" w:name="_Toc44599855"/>
      <w:r w:rsidRPr="00020424">
        <w:rPr>
          <w:rtl/>
          <w:lang w:bidi="fa-IR"/>
        </w:rPr>
        <w:lastRenderedPageBreak/>
        <w:t>15</w:t>
      </w:r>
      <w:r>
        <w:rPr>
          <w:rtl/>
          <w:lang w:bidi="fa-IR"/>
        </w:rPr>
        <w:t xml:space="preserve"> </w:t>
      </w:r>
      <w:r w:rsidR="009B673F">
        <w:rPr>
          <w:rtl/>
          <w:lang w:bidi="fa-IR"/>
        </w:rPr>
        <w:t>-</w:t>
      </w:r>
      <w:r>
        <w:rPr>
          <w:rtl/>
          <w:lang w:bidi="fa-IR"/>
        </w:rPr>
        <w:t xml:space="preserve"> </w:t>
      </w:r>
      <w:r w:rsidRPr="00020424">
        <w:rPr>
          <w:rtl/>
          <w:lang w:bidi="fa-IR"/>
        </w:rPr>
        <w:t>بَابُ مَا يَسْتَفِيدُ الرَّجُلُ مِنَ الْمَالِ بَعْدَ أَنْ يُزَكِّيَ مَا عِنْدَهُ مِنَ الْمَالِ‌</w:t>
      </w:r>
      <w:bookmarkEnd w:id="57"/>
      <w:bookmarkEnd w:id="58"/>
      <w:bookmarkEnd w:id="59"/>
    </w:p>
    <w:p w:rsidR="00382A7A" w:rsidRDefault="00992664" w:rsidP="00382A7A">
      <w:pPr>
        <w:pStyle w:val="libNormal"/>
        <w:rPr>
          <w:rtl/>
          <w:lang w:bidi="fa-IR"/>
        </w:rPr>
      </w:pPr>
      <w:r w:rsidRPr="0044387E">
        <w:rPr>
          <w:rtl/>
        </w:rPr>
        <w:t>5839</w:t>
      </w:r>
      <w:r w:rsidRPr="001155DE">
        <w:rPr>
          <w:rStyle w:val="libBold2Char"/>
          <w:rtl/>
        </w:rPr>
        <w:t xml:space="preserve"> / 1.</w:t>
      </w:r>
      <w:r w:rsidRPr="00020424">
        <w:rPr>
          <w:rtl/>
          <w:lang w:bidi="fa-IR"/>
        </w:rPr>
        <w:t xml:space="preserve"> مُحَمَّدُ بْنُ يَحْيى ، عَنْ أَحْمَدَ بْنِ مُحَمَّدٍ ؛</w:t>
      </w:r>
    </w:p>
    <w:p w:rsidR="00992664" w:rsidRPr="00020424" w:rsidRDefault="00D27D7E" w:rsidP="00382A7A">
      <w:pPr>
        <w:pStyle w:val="libNormal"/>
        <w:rPr>
          <w:rtl/>
          <w:lang w:bidi="fa-IR"/>
        </w:rPr>
      </w:pPr>
      <w:r>
        <w:rPr>
          <w:rFonts w:hint="cs"/>
          <w:rtl/>
          <w:lang w:bidi="fa-IR"/>
        </w:rPr>
        <w:t xml:space="preserve">              </w:t>
      </w:r>
      <w:r w:rsidR="00992664" w:rsidRPr="00020424">
        <w:rPr>
          <w:rtl/>
          <w:lang w:bidi="fa-IR"/>
        </w:rPr>
        <w:t xml:space="preserve">وَالْحُسَيْنُ بْنُ مُحَمَّدٍ ، عَنْ مُعَلَّى بْنِ مُحَمَّدٍ جَمِيعاً ، عَنِ الْحَسَنِ بْنِ عَلِيٍّ </w:t>
      </w:r>
      <w:r w:rsidR="00992664" w:rsidRPr="00A91B96">
        <w:rPr>
          <w:rStyle w:val="libFootnotenumChar"/>
          <w:rtl/>
        </w:rPr>
        <w:t>(1)</w:t>
      </w:r>
      <w:r w:rsidR="00992664" w:rsidRPr="00020424">
        <w:rPr>
          <w:rtl/>
          <w:lang w:bidi="fa-IR"/>
        </w:rPr>
        <w:t xml:space="preserve"> الْوَشَّاءِ ، عَنْ أَبَانٍ ، عَنْ شُعَيْبٍ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كُلُّ شَيْ‌ءٍ جَرَّ عَلَيْكَ </w:t>
      </w:r>
      <w:r w:rsidRPr="00A91B96">
        <w:rPr>
          <w:rStyle w:val="libFootnotenumChar"/>
          <w:rtl/>
        </w:rPr>
        <w:t>(2)</w:t>
      </w:r>
      <w:r w:rsidRPr="00020424">
        <w:rPr>
          <w:rtl/>
          <w:lang w:bidi="fa-IR"/>
        </w:rPr>
        <w:t xml:space="preserve"> الْمَالَ </w:t>
      </w:r>
      <w:r w:rsidRPr="00A91B96">
        <w:rPr>
          <w:rStyle w:val="libFootnotenumChar"/>
          <w:rtl/>
        </w:rPr>
        <w:t>(3)</w:t>
      </w:r>
      <w:r w:rsidRPr="00020424">
        <w:rPr>
          <w:rtl/>
          <w:lang w:bidi="fa-IR"/>
        </w:rPr>
        <w:t xml:space="preserve"> ، فَزَكِّهِ ؛ وَكُلُّ شَيْ‌ءٍ وَرِثْتَهُ ، أَوْ وُهِبَ لَكَ ، فَاسْتَقْبِلْ بِهِ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44387E">
        <w:rPr>
          <w:rtl/>
        </w:rPr>
        <w:t>5840</w:t>
      </w:r>
      <w:r w:rsidRPr="001155DE">
        <w:rPr>
          <w:rStyle w:val="libBold2Char"/>
          <w:rtl/>
        </w:rPr>
        <w:t xml:space="preserve"> / 2.</w:t>
      </w:r>
      <w:r w:rsidRPr="00020424">
        <w:rPr>
          <w:rtl/>
          <w:lang w:bidi="fa-IR"/>
        </w:rPr>
        <w:t xml:space="preserve"> عَلِيُّ بْنُ مُحَمَّدٍ ، عَنِ ابْنِ جُمْهُورٍ ، عَنْ أَبِيهِ ، عَنْ يُونُسَ ، عَنْ عَبْدِ الْحَمِيدِ بْنِ عَوَّاضٍ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قَالَ </w:t>
      </w:r>
      <w:r w:rsidRPr="00A91B96">
        <w:rPr>
          <w:rStyle w:val="libFootnotenumChar"/>
          <w:rtl/>
        </w:rPr>
        <w:t>(6)</w:t>
      </w:r>
      <w:r w:rsidRPr="00020424">
        <w:rPr>
          <w:rtl/>
          <w:lang w:bidi="fa-IR"/>
        </w:rPr>
        <w:t xml:space="preserve"> فِي الرَّجُلِ يَكُونُ </w:t>
      </w:r>
      <w:r w:rsidRPr="00A91B96">
        <w:rPr>
          <w:rStyle w:val="libFootnotenumChar"/>
          <w:rtl/>
        </w:rPr>
        <w:t>(7)</w:t>
      </w:r>
      <w:r w:rsidRPr="00020424">
        <w:rPr>
          <w:rtl/>
          <w:lang w:bidi="fa-IR"/>
        </w:rPr>
        <w:t xml:space="preserve"> عِنْدَهُ الْمَالُ ، فَيَحُولُ عَلَيْهِ الْحَوْلُ ، ثُمَّ يُصِيبُ مَالاً آخَرَ قَبْلَ أَنْ يَحُولَ عَلَى الْمَالِ </w:t>
      </w:r>
      <w:r w:rsidRPr="00A91B96">
        <w:rPr>
          <w:rStyle w:val="libFootnotenumChar"/>
          <w:rtl/>
        </w:rPr>
        <w:t>(8)</w:t>
      </w:r>
      <w:r w:rsidRPr="00020424">
        <w:rPr>
          <w:rtl/>
          <w:lang w:bidi="fa-IR"/>
        </w:rPr>
        <w:t xml:space="preserve"> الْحَوْلُ ، قَالَ : « إِذَا حَالَ عَلَى الْمَالِ الْأَوَّلِ </w:t>
      </w:r>
      <w:r w:rsidRPr="00A91B96">
        <w:rPr>
          <w:rStyle w:val="libFootnotenumChar"/>
          <w:rtl/>
        </w:rPr>
        <w:t>(9)</w:t>
      </w:r>
      <w:r w:rsidRPr="00020424">
        <w:rPr>
          <w:rtl/>
          <w:lang w:bidi="fa-IR"/>
        </w:rPr>
        <w:t xml:space="preserve"> الْحَوْلُ ، زَكَّاهُمَا جَمِيعاً</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D27D7E" w:rsidP="00992664">
      <w:pPr>
        <w:pStyle w:val="libFootnote0"/>
        <w:rPr>
          <w:rtl/>
          <w:lang w:bidi="fa-IR"/>
        </w:rPr>
      </w:pPr>
      <w:r>
        <w:rPr>
          <w:rFonts w:hint="cs"/>
          <w:rtl/>
        </w:rPr>
        <w:t xml:space="preserve">= </w:t>
      </w:r>
      <w:r w:rsidR="00992664" w:rsidRPr="00020424">
        <w:rPr>
          <w:rtl/>
        </w:rPr>
        <w:t xml:space="preserve">عمّار ، مع اختلاف يسير وزيادة في آخره </w:t>
      </w:r>
      <w:r w:rsidR="00C67034">
        <w:rPr>
          <w:rFonts w:hint="cs"/>
          <w:rtl/>
        </w:rPr>
        <w:t>.</w:t>
      </w:r>
      <w:r w:rsidR="00992664" w:rsidRPr="0012008A">
        <w:rPr>
          <w:rStyle w:val="libFootnoteBoldChar"/>
          <w:rtl/>
        </w:rPr>
        <w:t>الوافي</w:t>
      </w:r>
      <w:r w:rsidR="00992664" w:rsidRPr="00020424">
        <w:rPr>
          <w:rtl/>
        </w:rPr>
        <w:t xml:space="preserve"> ، ج 10 ، ص 120 ، ح 9275 ؛ </w:t>
      </w:r>
      <w:r w:rsidR="00992664" w:rsidRPr="0012008A">
        <w:rPr>
          <w:rStyle w:val="libFootnoteBoldChar"/>
          <w:rtl/>
        </w:rPr>
        <w:t>الوسائل</w:t>
      </w:r>
      <w:r w:rsidR="00992664" w:rsidRPr="00020424">
        <w:rPr>
          <w:rtl/>
        </w:rPr>
        <w:t xml:space="preserve"> ، ج 9 ، ص 94 ، ح 11605.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حاشية « بف » : « لك</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جرّ عليك المال : تتجرّ به. فاستقبل به ، أي استأنف الحول حين ما ملكته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142 ، ح 9324 ؛ </w:t>
      </w:r>
      <w:r w:rsidR="00992664" w:rsidRPr="0012008A">
        <w:rPr>
          <w:rStyle w:val="libFootnoteBoldChar"/>
          <w:rtl/>
        </w:rPr>
        <w:t>الوسائل</w:t>
      </w:r>
      <w:r w:rsidR="00992664" w:rsidRPr="00020424">
        <w:rPr>
          <w:rtl/>
        </w:rPr>
        <w:t xml:space="preserve"> ، ج 9 ، ص 171 ، ح 11763.</w:t>
      </w:r>
    </w:p>
    <w:tbl>
      <w:tblPr>
        <w:tblStyle w:val="TableGrid"/>
        <w:bidiVisual/>
        <w:tblW w:w="0" w:type="auto"/>
        <w:tblLook w:val="04A0" w:firstRow="1" w:lastRow="0" w:firstColumn="1" w:lastColumn="0" w:noHBand="0" w:noVBand="1"/>
      </w:tblPr>
      <w:tblGrid>
        <w:gridCol w:w="4006"/>
        <w:gridCol w:w="4006"/>
      </w:tblGrid>
      <w:tr w:rsidR="00C67034" w:rsidTr="00C67034">
        <w:tc>
          <w:tcPr>
            <w:tcW w:w="4006" w:type="dxa"/>
          </w:tcPr>
          <w:p w:rsidR="00C67034" w:rsidRDefault="00C67034" w:rsidP="00992664">
            <w:pPr>
              <w:pStyle w:val="libFootnote0"/>
              <w:rPr>
                <w:rtl/>
              </w:rPr>
            </w:pPr>
            <w:r>
              <w:rPr>
                <w:rtl/>
              </w:rPr>
              <w:t xml:space="preserve">(6).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C67034" w:rsidRDefault="00C67034" w:rsidP="00992664">
            <w:pPr>
              <w:pStyle w:val="libFootnote0"/>
              <w:rPr>
                <w:rtl/>
              </w:rPr>
            </w:pPr>
            <w:r>
              <w:rPr>
                <w:rtl/>
              </w:rPr>
              <w:t xml:space="preserve">(7). </w:t>
            </w:r>
            <w:r w:rsidRPr="00020424">
              <w:rPr>
                <w:rtl/>
              </w:rPr>
              <w:t>في « بس » : « كان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وحاشية « بس » </w:t>
      </w:r>
      <w:r w:rsidR="00992664" w:rsidRPr="00EB1FD9">
        <w:rPr>
          <w:rStyle w:val="libFootnoteBoldChar"/>
          <w:rtl/>
        </w:rPr>
        <w:t>والوسائل</w:t>
      </w:r>
      <w:r w:rsidR="00992664" w:rsidRPr="00020424">
        <w:rPr>
          <w:rtl/>
        </w:rPr>
        <w:t xml:space="preserve"> : + « الأوّل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لعلّ المراد بالمال الثالث المال الأوّل ، كمايوجد في بعض النسخ وصفه به ، وبالأخير الأخير أو المجموع ، وبالحو</w:t>
      </w:r>
      <w:r w:rsidR="000C2770">
        <w:rPr>
          <w:rtl/>
        </w:rPr>
        <w:t>لين الأخيرين الحول الثاني ، إل</w:t>
      </w:r>
      <w:r w:rsidR="000C2770">
        <w:rPr>
          <w:rFonts w:hint="cs"/>
          <w:rtl/>
        </w:rPr>
        <w:t>ّ</w:t>
      </w:r>
      <w:r w:rsidR="000C2770">
        <w:rPr>
          <w:rtl/>
        </w:rPr>
        <w:t>ا</w:t>
      </w:r>
      <w:r w:rsidR="00992664">
        <w:rPr>
          <w:rFonts w:hint="cs"/>
          <w:rtl/>
        </w:rPr>
        <w:t xml:space="preserve"> </w:t>
      </w:r>
      <w:r w:rsidR="00992664" w:rsidRPr="00020424">
        <w:rPr>
          <w:rtl/>
        </w:rPr>
        <w:t>أنّ في بعض النسخ وصف المال الأخير بالأوّل ، وبالجملة لايخلو هذا الخبر من اشتباه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الأوّل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141 ، ح 9323 ؛ </w:t>
      </w:r>
      <w:r w:rsidR="00992664" w:rsidRPr="0012008A">
        <w:rPr>
          <w:rStyle w:val="libFootnoteBoldChar"/>
          <w:rtl/>
        </w:rPr>
        <w:t>الوسائل</w:t>
      </w:r>
      <w:r w:rsidR="00992664" w:rsidRPr="00020424">
        <w:rPr>
          <w:rtl/>
        </w:rPr>
        <w:t xml:space="preserve"> ، ج 9 ، ص 171 ، ح 11764.</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60" w:name="_Toc345172736"/>
      <w:bookmarkStart w:id="61" w:name="_Toc464562553"/>
      <w:bookmarkStart w:id="62" w:name="_Toc44599856"/>
      <w:r w:rsidRPr="00020424">
        <w:rPr>
          <w:rtl/>
          <w:lang w:bidi="fa-IR"/>
        </w:rPr>
        <w:lastRenderedPageBreak/>
        <w:t>16</w:t>
      </w:r>
      <w:r>
        <w:rPr>
          <w:rtl/>
          <w:lang w:bidi="fa-IR"/>
        </w:rPr>
        <w:t xml:space="preserve"> </w:t>
      </w:r>
      <w:r w:rsidR="009B673F">
        <w:rPr>
          <w:rtl/>
          <w:lang w:bidi="fa-IR"/>
        </w:rPr>
        <w:t>-</w:t>
      </w:r>
      <w:r>
        <w:rPr>
          <w:rtl/>
          <w:lang w:bidi="fa-IR"/>
        </w:rPr>
        <w:t xml:space="preserve"> </w:t>
      </w:r>
      <w:r w:rsidRPr="00020424">
        <w:rPr>
          <w:rtl/>
          <w:lang w:bidi="fa-IR"/>
        </w:rPr>
        <w:t>بَابُ الرَّجُلِ يَشْتَرِي الْمَتَاعَ فَيَكْسُدُ عَلَيْهِ وَالْمُضَارَبَةِ‌</w:t>
      </w:r>
      <w:bookmarkEnd w:id="60"/>
      <w:bookmarkEnd w:id="61"/>
      <w:bookmarkEnd w:id="62"/>
    </w:p>
    <w:p w:rsidR="00992664" w:rsidRPr="00020424" w:rsidRDefault="00992664" w:rsidP="00992664">
      <w:pPr>
        <w:pStyle w:val="libNormal"/>
        <w:rPr>
          <w:rtl/>
          <w:lang w:bidi="fa-IR"/>
        </w:rPr>
      </w:pPr>
      <w:r w:rsidRPr="0044387E">
        <w:rPr>
          <w:rtl/>
        </w:rPr>
        <w:t>5841</w:t>
      </w:r>
      <w:r w:rsidRPr="001155DE">
        <w:rPr>
          <w:rStyle w:val="libBold2Char"/>
          <w:rtl/>
        </w:rPr>
        <w:t xml:space="preserve"> / 1.</w:t>
      </w:r>
      <w:r w:rsidRPr="00020424">
        <w:rPr>
          <w:rtl/>
          <w:lang w:bidi="fa-IR"/>
        </w:rPr>
        <w:t xml:space="preserve"> مُحَمَّدُ بْنُ إِسْمَاعِيلَ ، عَنِ الْفَضْلِ بْنِ شَاذَانَ ، عَنْ صَفْوَانَ بْنِ يَحْيى </w:t>
      </w:r>
      <w:r w:rsidRPr="00A91B96">
        <w:rPr>
          <w:rStyle w:val="libFootnotenumChar"/>
          <w:rtl/>
        </w:rPr>
        <w:t>(1)</w:t>
      </w:r>
      <w:r w:rsidRPr="00020424">
        <w:rPr>
          <w:rtl/>
          <w:lang w:bidi="fa-IR"/>
        </w:rPr>
        <w:t xml:space="preserve"> ، عَنْ مَنْصُورِ بْنِ حَازِمٍ ، عَنْ أَبِي الرَّبِيعِ الشَّامِيِّ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w:t>
      </w:r>
      <w:r w:rsidRPr="00A91B96">
        <w:rPr>
          <w:rStyle w:val="libFootnotenumChar"/>
          <w:rtl/>
        </w:rPr>
        <w:t>(2)</w:t>
      </w:r>
      <w:r w:rsidRPr="00020424">
        <w:rPr>
          <w:rtl/>
          <w:lang w:bidi="fa-IR"/>
        </w:rPr>
        <w:t xml:space="preserve"> اشْتَرى مَتَاعاً ، فَكَسَدَ عَلَيْهِ مَتَاعُهُ ، وَقَدْ كَانَ زَكّى مَالَهُ قَبْلَ أَنْ يَشْتَرِيَ بِهِ ، هَلْ عَلَيْهِ زَكَاةٌ ، أَوْ حَتّى يَبِيعَهُ</w:t>
      </w:r>
      <w:r>
        <w:rPr>
          <w:rtl/>
          <w:lang w:bidi="fa-IR"/>
        </w:rPr>
        <w:t>؟</w:t>
      </w:r>
    </w:p>
    <w:p w:rsidR="00992664" w:rsidRPr="00020424" w:rsidRDefault="00992664" w:rsidP="00992664">
      <w:pPr>
        <w:pStyle w:val="libNormal"/>
        <w:rPr>
          <w:rtl/>
          <w:lang w:bidi="fa-IR"/>
        </w:rPr>
      </w:pPr>
      <w:r w:rsidRPr="00020424">
        <w:rPr>
          <w:rtl/>
          <w:lang w:bidi="fa-IR"/>
        </w:rPr>
        <w:t xml:space="preserve">فَقَالَ : « إِنْ كَانَ </w:t>
      </w:r>
      <w:r w:rsidRPr="00A91B96">
        <w:rPr>
          <w:rStyle w:val="libFootnotenumChar"/>
          <w:rtl/>
        </w:rPr>
        <w:t>(3)</w:t>
      </w:r>
      <w:r w:rsidRPr="00020424">
        <w:rPr>
          <w:rtl/>
          <w:lang w:bidi="fa-IR"/>
        </w:rPr>
        <w:t xml:space="preserve"> أَمْسَكَهُ لِيَلْتَمِسَ </w:t>
      </w:r>
      <w:r w:rsidRPr="00A91B96">
        <w:rPr>
          <w:rStyle w:val="libFootnotenumChar"/>
          <w:rtl/>
        </w:rPr>
        <w:t>(4)</w:t>
      </w:r>
      <w:r w:rsidRPr="00020424">
        <w:rPr>
          <w:rtl/>
          <w:lang w:bidi="fa-IR"/>
        </w:rPr>
        <w:t xml:space="preserve"> الْفَضْلَ عَلى رَأْسِ الْمَالِ ، فَعَلَيْهِ الزَّكَاةُ » </w:t>
      </w:r>
      <w:r w:rsidRPr="00A91B96">
        <w:rPr>
          <w:rStyle w:val="libFootnotenumChar"/>
          <w:rtl/>
        </w:rPr>
        <w:t>(5)</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4387E">
        <w:rPr>
          <w:rtl/>
        </w:rPr>
        <w:t>5842</w:t>
      </w:r>
      <w:r w:rsidRPr="001155DE">
        <w:rPr>
          <w:rStyle w:val="libBold2Char"/>
          <w:rtl/>
        </w:rPr>
        <w:t xml:space="preserve"> / 2.</w:t>
      </w:r>
      <w:r w:rsidRPr="00020424">
        <w:rPr>
          <w:rtl/>
          <w:lang w:bidi="fa-IR"/>
        </w:rPr>
        <w:t xml:space="preserve"> عَلِيُّ بْنُ إِبْرَاهِيمَ </w:t>
      </w:r>
      <w:r w:rsidRPr="00A91B96">
        <w:rPr>
          <w:rStyle w:val="libFootnotenumChar"/>
          <w:rtl/>
        </w:rPr>
        <w:t>(7)</w:t>
      </w:r>
      <w:r w:rsidRPr="00020424">
        <w:rPr>
          <w:rtl/>
          <w:lang w:bidi="fa-IR"/>
        </w:rPr>
        <w:t xml:space="preserve"> ، عَنْ أَبِيهِ ، عَنْ حَمَّادِ بْنِ عِيسى ، عَنْ حَرِيزٍ ، عَنْ مُحَمَّدِ بْنِ مُسْلِمٍ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اشْتَرى مَتَاعاً ، وَكَسَدَ </w:t>
      </w:r>
      <w:r w:rsidRPr="00A91B96">
        <w:rPr>
          <w:rStyle w:val="libFootnotenumChar"/>
          <w:rtl/>
        </w:rPr>
        <w:t>(8)</w:t>
      </w:r>
      <w:r w:rsidRPr="00020424">
        <w:rPr>
          <w:rtl/>
          <w:lang w:bidi="fa-IR"/>
        </w:rPr>
        <w:t xml:space="preserve"> عَلَيْهِ ، وَقَدْ </w:t>
      </w:r>
      <w:r w:rsidRPr="00A91B96">
        <w:rPr>
          <w:rStyle w:val="libFootnotenumChar"/>
          <w:rtl/>
        </w:rPr>
        <w:t>(9)</w:t>
      </w:r>
      <w:r w:rsidRPr="00020424">
        <w:rPr>
          <w:rtl/>
          <w:lang w:bidi="fa-IR"/>
        </w:rPr>
        <w:t xml:space="preserve"> زَكّى مَالَهُ قَبْلَ أَنْ يَشْتَرِيَ الْمَتَاعَ ، مَتى يُزَكِّيهِ</w:t>
      </w:r>
      <w:r>
        <w:rPr>
          <w:rtl/>
          <w:lang w:bidi="fa-IR"/>
        </w:rPr>
        <w:t>؟</w:t>
      </w:r>
    </w:p>
    <w:p w:rsidR="00992664" w:rsidRPr="00020424" w:rsidRDefault="00992664" w:rsidP="00992664">
      <w:pPr>
        <w:pStyle w:val="libNormal"/>
        <w:rPr>
          <w:rtl/>
          <w:lang w:bidi="fa-IR"/>
        </w:rPr>
      </w:pPr>
      <w:r w:rsidRPr="00020424">
        <w:rPr>
          <w:rtl/>
          <w:lang w:bidi="fa-IR"/>
        </w:rPr>
        <w:t xml:space="preserve">فَقَالَ : « إِنْ كَانَ </w:t>
      </w:r>
      <w:r w:rsidRPr="00A91B96">
        <w:rPr>
          <w:rStyle w:val="libFootnotenumChar"/>
          <w:rtl/>
        </w:rPr>
        <w:t>(10)</w:t>
      </w:r>
      <w:r w:rsidRPr="00020424">
        <w:rPr>
          <w:rtl/>
          <w:lang w:bidi="fa-IR"/>
        </w:rPr>
        <w:t xml:space="preserve"> أَمْسَكَ مَتَاعَهُ يَبْتَغِي بِهِ </w:t>
      </w:r>
      <w:r w:rsidRPr="00A91B96">
        <w:rPr>
          <w:rStyle w:val="libFootnotenumChar"/>
          <w:rtl/>
        </w:rPr>
        <w:t>(11)</w:t>
      </w:r>
      <w:r w:rsidRPr="00020424">
        <w:rPr>
          <w:rtl/>
          <w:lang w:bidi="fa-IR"/>
        </w:rPr>
        <w:t xml:space="preserve"> رَأْسَ مَالِهِ </w:t>
      </w:r>
      <w:r w:rsidRPr="00A91B96">
        <w:rPr>
          <w:rStyle w:val="libFootnotenumChar"/>
          <w:rtl/>
        </w:rPr>
        <w:t>(12)</w:t>
      </w:r>
      <w:r w:rsidRPr="00020424">
        <w:rPr>
          <w:rtl/>
          <w:lang w:bidi="fa-IR"/>
        </w:rPr>
        <w:t xml:space="preserve"> ، فَلَيْسَ عَلَيْهِ زَكَاةٌ ، وَإِنْ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C2770" w:rsidTr="000C2770">
        <w:tc>
          <w:tcPr>
            <w:tcW w:w="4006" w:type="dxa"/>
          </w:tcPr>
          <w:p w:rsidR="000C2770" w:rsidRDefault="000C2770"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بن يحيى</w:t>
            </w:r>
            <w:r>
              <w:rPr>
                <w:rtl/>
              </w:rPr>
              <w:t xml:space="preserve"> ».</w:t>
            </w:r>
          </w:p>
        </w:tc>
        <w:tc>
          <w:tcPr>
            <w:tcW w:w="4006" w:type="dxa"/>
          </w:tcPr>
          <w:p w:rsidR="000C2770" w:rsidRDefault="000C2770" w:rsidP="00992664">
            <w:pPr>
              <w:pStyle w:val="libFootnote0"/>
              <w:rPr>
                <w:rtl/>
              </w:rPr>
            </w:pPr>
            <w:r>
              <w:rPr>
                <w:rtl/>
              </w:rPr>
              <w:t xml:space="preserve">(2). </w:t>
            </w:r>
            <w:r w:rsidRPr="00020424">
              <w:rPr>
                <w:rtl/>
              </w:rPr>
              <w:t>في « بس » : « الرجل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كان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F8340F">
        <w:rPr>
          <w:rtl/>
        </w:rPr>
        <w:t>والوافي والوسائل والتهذيب والاستبصار</w:t>
      </w:r>
      <w:r w:rsidR="00992664" w:rsidRPr="00020424">
        <w:rPr>
          <w:rtl/>
        </w:rPr>
        <w:t xml:space="preserve"> : « التماس</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44387E">
        <w:rPr>
          <w:rtl/>
        </w:rPr>
        <w:t>مرآة العقول</w:t>
      </w:r>
      <w:r w:rsidR="00992664" w:rsidRPr="00020424">
        <w:rPr>
          <w:rtl/>
        </w:rPr>
        <w:t xml:space="preserve"> : « قال في المدارك : أنا إنّه يشترط في مال التجارة انتقاله بعقد المعاوضة فيدّل عليه روايتا أبي الربيع ومحمّد بن مسلم ؛ إذ مقتضي الروايتين اعتبار وجود رأس المال في مال التجارة ، وإنّما يتحقّق بعقد المعاوضة. انتهى. ثمّ اعلم أنّه يشترط في زكاة التجارة وجوباً أو استحباباً بلوغ تمنه نصاب أحد النقدين</w:t>
      </w:r>
      <w:r w:rsidR="00992664">
        <w:rPr>
          <w:rtl/>
        </w:rPr>
        <w:t xml:space="preserve"> ».</w:t>
      </w:r>
      <w:r w:rsidR="00992664" w:rsidRPr="00020424">
        <w:rPr>
          <w:rtl/>
        </w:rPr>
        <w:t xml:space="preserve"> وراجع : </w:t>
      </w:r>
      <w:r w:rsidR="00992664" w:rsidRPr="00E57D58">
        <w:rPr>
          <w:rStyle w:val="libFootnoteBoldChar"/>
          <w:rtl/>
        </w:rPr>
        <w:t>مدارك الأحكام</w:t>
      </w:r>
      <w:r w:rsidR="00992664" w:rsidRPr="00020424">
        <w:rPr>
          <w:rtl/>
        </w:rPr>
        <w:t xml:space="preserve"> ، ج 5 ، ص 165.</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68 ، ح 185 ؛ </w:t>
      </w:r>
      <w:r w:rsidR="00992664" w:rsidRPr="00FD6221">
        <w:rPr>
          <w:rStyle w:val="libFootnoteBoldChar"/>
          <w:rtl/>
        </w:rPr>
        <w:t>والاستبصار</w:t>
      </w:r>
      <w:r w:rsidR="00992664" w:rsidRPr="00020424">
        <w:rPr>
          <w:rtl/>
        </w:rPr>
        <w:t xml:space="preserve"> ، ج 2 ، ص 10 ، ح 28 ، معلّقاً عن الكليني </w:t>
      </w:r>
      <w:r w:rsidR="00332386">
        <w:rPr>
          <w:rFonts w:hint="cs"/>
          <w:rtl/>
        </w:rPr>
        <w:t>.</w:t>
      </w:r>
      <w:r w:rsidR="00992664" w:rsidRPr="0012008A">
        <w:rPr>
          <w:rStyle w:val="libFootnoteBoldChar"/>
          <w:rtl/>
        </w:rPr>
        <w:t>الوافي</w:t>
      </w:r>
      <w:r w:rsidR="00992664" w:rsidRPr="00020424">
        <w:rPr>
          <w:rtl/>
        </w:rPr>
        <w:t xml:space="preserve"> ، ج 10 ، ص 103 ، ح 9237 ؛ </w:t>
      </w:r>
      <w:r w:rsidR="00992664" w:rsidRPr="0012008A">
        <w:rPr>
          <w:rStyle w:val="libFootnoteBoldChar"/>
          <w:rtl/>
        </w:rPr>
        <w:t>الوسائل</w:t>
      </w:r>
      <w:r w:rsidR="00992664" w:rsidRPr="00020424">
        <w:rPr>
          <w:rtl/>
        </w:rPr>
        <w:t xml:space="preserve"> ، ج 9 ، ص 71 ، ح 11547.</w:t>
      </w:r>
    </w:p>
    <w:tbl>
      <w:tblPr>
        <w:tblStyle w:val="TableGrid"/>
        <w:bidiVisual/>
        <w:tblW w:w="0" w:type="auto"/>
        <w:tblLook w:val="04A0" w:firstRow="1" w:lastRow="0" w:firstColumn="1" w:lastColumn="0" w:noHBand="0" w:noVBand="1"/>
      </w:tblPr>
      <w:tblGrid>
        <w:gridCol w:w="4006"/>
        <w:gridCol w:w="4006"/>
      </w:tblGrid>
      <w:tr w:rsidR="00332386" w:rsidTr="00332386">
        <w:tc>
          <w:tcPr>
            <w:tcW w:w="4006" w:type="dxa"/>
          </w:tcPr>
          <w:p w:rsidR="00332386" w:rsidRDefault="00332386" w:rsidP="00992664">
            <w:pPr>
              <w:pStyle w:val="libFootnote0"/>
              <w:rPr>
                <w:rtl/>
              </w:rPr>
            </w:pPr>
            <w:r>
              <w:rPr>
                <w:rtl/>
              </w:rPr>
              <w:t xml:space="preserve">(7). </w:t>
            </w:r>
            <w:r w:rsidRPr="00020424">
              <w:rPr>
                <w:rtl/>
              </w:rPr>
              <w:t>في الاستبصار :</w:t>
            </w:r>
            <w:r>
              <w:rPr>
                <w:rtl/>
              </w:rPr>
              <w:t xml:space="preserve"> - </w:t>
            </w:r>
            <w:r w:rsidRPr="00020424">
              <w:rPr>
                <w:rtl/>
              </w:rPr>
              <w:t>« بن إبراهيم</w:t>
            </w:r>
            <w:r>
              <w:rPr>
                <w:rtl/>
              </w:rPr>
              <w:t xml:space="preserve"> ».</w:t>
            </w:r>
          </w:p>
        </w:tc>
        <w:tc>
          <w:tcPr>
            <w:tcW w:w="4006" w:type="dxa"/>
          </w:tcPr>
          <w:p w:rsidR="00332386" w:rsidRDefault="00332386" w:rsidP="00992664">
            <w:pPr>
              <w:pStyle w:val="libFootnote0"/>
              <w:rPr>
                <w:rtl/>
              </w:rPr>
            </w:pPr>
            <w:r>
              <w:rPr>
                <w:rtl/>
              </w:rPr>
              <w:t xml:space="preserve">(8). </w:t>
            </w:r>
            <w:r w:rsidRPr="00020424">
              <w:rPr>
                <w:rtl/>
              </w:rPr>
              <w:t xml:space="preserve">في « ظ ، ى ، بح » </w:t>
            </w:r>
            <w:r w:rsidRPr="00EB1FD9">
              <w:rPr>
                <w:rStyle w:val="libFootnoteBoldChar"/>
                <w:rtl/>
              </w:rPr>
              <w:t>والوسائل</w:t>
            </w:r>
            <w:r w:rsidRPr="00020424">
              <w:rPr>
                <w:rtl/>
              </w:rPr>
              <w:t xml:space="preserve"> : « فكسد</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جميع النسخ التي قوبلت </w:t>
      </w:r>
      <w:r w:rsidR="00992664" w:rsidRPr="00F8340F">
        <w:rPr>
          <w:rtl/>
        </w:rPr>
        <w:t>والوافي والوسائل والتهذيب والاستبصار</w:t>
      </w:r>
      <w:r w:rsidR="00992664" w:rsidRPr="00020424">
        <w:rPr>
          <w:rtl/>
        </w:rPr>
        <w:t>. وفي المطبوع : + « [ كان ]</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17BBE" w:rsidTr="00917BBE">
        <w:tc>
          <w:tcPr>
            <w:tcW w:w="4006" w:type="dxa"/>
          </w:tcPr>
          <w:p w:rsidR="00917BBE" w:rsidRDefault="00917BBE" w:rsidP="00992664">
            <w:pPr>
              <w:pStyle w:val="libFootnote0"/>
              <w:rPr>
                <w:rtl/>
              </w:rPr>
            </w:pPr>
            <w:r>
              <w:rPr>
                <w:rtl/>
              </w:rPr>
              <w:t xml:space="preserve">(10). </w:t>
            </w:r>
            <w:r w:rsidRPr="00020424">
              <w:rPr>
                <w:rtl/>
              </w:rPr>
              <w:t>في الاستبصار :</w:t>
            </w:r>
            <w:r>
              <w:rPr>
                <w:rtl/>
              </w:rPr>
              <w:t xml:space="preserve"> - </w:t>
            </w:r>
            <w:r w:rsidRPr="00020424">
              <w:rPr>
                <w:rtl/>
              </w:rPr>
              <w:t>« كان</w:t>
            </w:r>
            <w:r>
              <w:rPr>
                <w:rtl/>
              </w:rPr>
              <w:t xml:space="preserve"> ».</w:t>
            </w:r>
          </w:p>
        </w:tc>
        <w:tc>
          <w:tcPr>
            <w:tcW w:w="4006" w:type="dxa"/>
          </w:tcPr>
          <w:p w:rsidR="00917BBE" w:rsidRDefault="00917BBE" w:rsidP="00992664">
            <w:pPr>
              <w:pStyle w:val="libFootnote0"/>
              <w:rPr>
                <w:rtl/>
              </w:rPr>
            </w:pPr>
            <w:r>
              <w:rPr>
                <w:rtl/>
              </w:rPr>
              <w:t xml:space="preserve">(11). </w:t>
            </w:r>
            <w:r w:rsidRPr="00020424">
              <w:rPr>
                <w:rtl/>
              </w:rPr>
              <w:t>في « ى » :</w:t>
            </w:r>
            <w:r>
              <w:rPr>
                <w:rtl/>
              </w:rPr>
              <w:t xml:space="preserve"> - </w:t>
            </w:r>
            <w:r w:rsidRPr="00020424">
              <w:rPr>
                <w:rtl/>
              </w:rPr>
              <w:t>« به</w:t>
            </w:r>
            <w:r>
              <w:rPr>
                <w:rtl/>
              </w:rPr>
              <w:t xml:space="preserve"> ».</w:t>
            </w:r>
          </w:p>
        </w:tc>
      </w:tr>
      <w:tr w:rsidR="00917BBE" w:rsidTr="00917BBE">
        <w:tc>
          <w:tcPr>
            <w:tcW w:w="4006" w:type="dxa"/>
          </w:tcPr>
          <w:p w:rsidR="00917BBE" w:rsidRDefault="00917BBE" w:rsidP="00992664">
            <w:pPr>
              <w:pStyle w:val="libFootnote0"/>
              <w:rPr>
                <w:rtl/>
              </w:rPr>
            </w:pPr>
            <w:r>
              <w:rPr>
                <w:rtl/>
              </w:rPr>
              <w:t xml:space="preserve">(12). </w:t>
            </w:r>
            <w:r w:rsidRPr="00020424">
              <w:rPr>
                <w:rtl/>
              </w:rPr>
              <w:t xml:space="preserve">في « بس » </w:t>
            </w:r>
            <w:r w:rsidRPr="00515444">
              <w:rPr>
                <w:rStyle w:val="libFootnoteBoldChar"/>
                <w:rtl/>
              </w:rPr>
              <w:t>والوافي</w:t>
            </w:r>
            <w:r w:rsidRPr="00020424">
              <w:rPr>
                <w:rtl/>
              </w:rPr>
              <w:t xml:space="preserve"> : « المال</w:t>
            </w:r>
            <w:r>
              <w:rPr>
                <w:rtl/>
              </w:rPr>
              <w:t xml:space="preserve"> ».</w:t>
            </w:r>
          </w:p>
        </w:tc>
        <w:tc>
          <w:tcPr>
            <w:tcW w:w="4006" w:type="dxa"/>
          </w:tcPr>
          <w:p w:rsidR="00917BBE" w:rsidRDefault="00917BBE" w:rsidP="00992664">
            <w:pPr>
              <w:pStyle w:val="libFootnote0"/>
              <w:rPr>
                <w:rtl/>
              </w:rPr>
            </w:pPr>
            <w:r>
              <w:rPr>
                <w:rtl/>
              </w:rPr>
              <w:t xml:space="preserve">(13). </w:t>
            </w:r>
            <w:r w:rsidRPr="00020424">
              <w:rPr>
                <w:rtl/>
              </w:rPr>
              <w:t>في « بس » : « فإن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كَانَ حَبَسَهُ بَعْدَ مَا يَجِدُ رَأْسَ مَالِهِ ، فَعَلَيْهِ الزَّكَاةُ بَعْدَ مَا أَمْسَكَهُ ، بَعْدَ رَأْسِ الْمَالِ</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وَسَأَلْتُهُ عَنِ الرَّجُلِ يُوضَعُ </w:t>
      </w:r>
      <w:r w:rsidRPr="00A91B96">
        <w:rPr>
          <w:rStyle w:val="libFootnotenumChar"/>
          <w:rtl/>
        </w:rPr>
        <w:t>(1)</w:t>
      </w:r>
      <w:r w:rsidRPr="00020424">
        <w:rPr>
          <w:rtl/>
          <w:lang w:bidi="fa-IR"/>
        </w:rPr>
        <w:t xml:space="preserve"> عِنْدَهُ الْأَمْوَالُ يَعْمَلُ بِهَا</w:t>
      </w:r>
      <w:r>
        <w:rPr>
          <w:rtl/>
          <w:lang w:bidi="fa-IR"/>
        </w:rPr>
        <w:t>؟</w:t>
      </w:r>
    </w:p>
    <w:p w:rsidR="00992664" w:rsidRPr="00020424" w:rsidRDefault="00992664" w:rsidP="00992664">
      <w:pPr>
        <w:pStyle w:val="libNormal"/>
        <w:rPr>
          <w:rtl/>
          <w:lang w:bidi="fa-IR"/>
        </w:rPr>
      </w:pPr>
      <w:r w:rsidRPr="00020424">
        <w:rPr>
          <w:rtl/>
          <w:lang w:bidi="fa-IR"/>
        </w:rPr>
        <w:t xml:space="preserve">فَقَالَ : « إِذَا حَالَ </w:t>
      </w:r>
      <w:r w:rsidRPr="00A91B96">
        <w:rPr>
          <w:rStyle w:val="libFootnotenumChar"/>
          <w:rtl/>
        </w:rPr>
        <w:t>(2)</w:t>
      </w:r>
      <w:r w:rsidRPr="00020424">
        <w:rPr>
          <w:rtl/>
          <w:lang w:bidi="fa-IR"/>
        </w:rPr>
        <w:t xml:space="preserve"> الْحَوْلُ ، فَلْيُزَكِّهَا</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44387E">
        <w:rPr>
          <w:rtl/>
        </w:rPr>
        <w:t>5843</w:t>
      </w:r>
      <w:r w:rsidRPr="001155DE">
        <w:rPr>
          <w:rStyle w:val="libBold2Char"/>
          <w:rtl/>
        </w:rPr>
        <w:t xml:space="preserve"> / 3.</w:t>
      </w:r>
      <w:r w:rsidRPr="00020424">
        <w:rPr>
          <w:rtl/>
          <w:lang w:bidi="fa-IR"/>
        </w:rPr>
        <w:t xml:space="preserve"> مُحَمَّدُ بْنُ يَحْيى ، عَنْ أَحْمَدَ بْنِ مُحَمَّدٍ ، عَنْ عُثْمَانَ بْنِ</w:t>
      </w:r>
      <w:r w:rsidR="00966BFC">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سَأَلْتُهُ عَنِ الرَّجُلِ يَكُونُ عِنْدَهُ الْمَتَاعُ مَوْضُوعاً ، فَيَمْكُثُ عِنْدَهُ السَّنَةَ وَالسَّنَتَيْنِ ، أَوْ أَكْثَرَ </w:t>
      </w:r>
      <w:r w:rsidRPr="00A91B96">
        <w:rPr>
          <w:rStyle w:val="libFootnotenumChar"/>
          <w:rtl/>
        </w:rPr>
        <w:t>(4)</w:t>
      </w:r>
      <w:r w:rsidRPr="00020424">
        <w:rPr>
          <w:rtl/>
          <w:lang w:bidi="fa-IR"/>
        </w:rPr>
        <w:t xml:space="preserve"> مِنْ ذلِكَ</w:t>
      </w:r>
      <w:r>
        <w:rPr>
          <w:rtl/>
          <w:lang w:bidi="fa-IR"/>
        </w:rPr>
        <w:t>؟</w:t>
      </w:r>
    </w:p>
    <w:p w:rsidR="00992664" w:rsidRPr="00020424" w:rsidRDefault="00992664" w:rsidP="00992664">
      <w:pPr>
        <w:pStyle w:val="libNormal"/>
        <w:rPr>
          <w:rtl/>
          <w:lang w:bidi="fa-IR"/>
        </w:rPr>
      </w:pPr>
      <w:r w:rsidRPr="00020424">
        <w:rPr>
          <w:rtl/>
          <w:lang w:bidi="fa-IR"/>
        </w:rPr>
        <w:t xml:space="preserve">قَالَ : « لَيْسَ عَلَيْهِ </w:t>
      </w:r>
      <w:r w:rsidR="005E04F6">
        <w:rPr>
          <w:rtl/>
          <w:lang w:bidi="fa-IR"/>
        </w:rPr>
        <w:t>زَكَاةٌ حَتّى يَبِيعَهُ ، إِل</w:t>
      </w:r>
      <w:r w:rsidR="005E04F6">
        <w:rPr>
          <w:rFonts w:hint="cs"/>
          <w:rtl/>
          <w:lang w:bidi="fa-IR"/>
        </w:rPr>
        <w:t>َّ</w:t>
      </w:r>
      <w:r w:rsidR="005E04F6">
        <w:rPr>
          <w:rtl/>
          <w:lang w:bidi="fa-IR"/>
        </w:rPr>
        <w:t>ا</w:t>
      </w:r>
      <w:r w:rsidRPr="00020424">
        <w:rPr>
          <w:rtl/>
          <w:lang w:bidi="fa-IR"/>
        </w:rPr>
        <w:t xml:space="preserve"> أَنْ يَكُونَ أُعْطِيَ بِهِ رَأْسَ مَالِهِ ، فَيَمْنَعَهُ مِنْ ذلِكَ الْتِمَاسُ الْفَضْلِ ، فَإِذَا هُوَ فَعَلَ ذلِكَ ، وَجَبَتْ </w:t>
      </w:r>
      <w:r w:rsidRPr="00A91B96">
        <w:rPr>
          <w:rStyle w:val="libFootnotenumChar"/>
          <w:rtl/>
        </w:rPr>
        <w:t>(5)</w:t>
      </w:r>
      <w:r w:rsidRPr="00020424">
        <w:rPr>
          <w:rtl/>
          <w:lang w:bidi="fa-IR"/>
        </w:rPr>
        <w:t xml:space="preserve"> فِيهِ الزَّكَاةُ ، وَإِنْ لَمْ يَكُنْ أُعْطِيَ بِهِ رَأْسَ مَالِهِ </w:t>
      </w:r>
      <w:r w:rsidRPr="00A91B96">
        <w:rPr>
          <w:rStyle w:val="libFootnotenumChar"/>
          <w:rtl/>
        </w:rPr>
        <w:t>(6)</w:t>
      </w:r>
      <w:r w:rsidRPr="00020424">
        <w:rPr>
          <w:rtl/>
          <w:lang w:bidi="fa-IR"/>
        </w:rPr>
        <w:t xml:space="preserve"> ، فَلَيْسَ عَلَيْهِ زَكَاةٌ حَتّى‌يَبِيعَهُ ، وَإِنْ حَبَسَهُ بِمَا </w:t>
      </w:r>
      <w:r w:rsidRPr="00A91B96">
        <w:rPr>
          <w:rStyle w:val="libFootnotenumChar"/>
          <w:rtl/>
        </w:rPr>
        <w:t>(7)</w:t>
      </w:r>
      <w:r w:rsidRPr="00020424">
        <w:rPr>
          <w:rtl/>
          <w:lang w:bidi="fa-IR"/>
        </w:rPr>
        <w:t xml:space="preserve"> حَبَسَهُ ، فَإِذَا هُوَ بَاعَهُ ، فَإِنَّمَا عَلَيْهِ زَكَاةُ سَنَةٍ وَاحِدَةٍ</w:t>
      </w:r>
      <w:r>
        <w:rPr>
          <w:rtl/>
          <w:lang w:bidi="fa-IR"/>
        </w:rPr>
        <w:t>».</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44387E">
        <w:rPr>
          <w:rtl/>
        </w:rPr>
        <w:t>5844</w:t>
      </w:r>
      <w:r w:rsidRPr="001155DE">
        <w:rPr>
          <w:rStyle w:val="libBold2Char"/>
          <w:rtl/>
        </w:rPr>
        <w:t xml:space="preserve"> / 4.</w:t>
      </w:r>
      <w:r w:rsidRPr="00020424">
        <w:rPr>
          <w:rtl/>
          <w:lang w:bidi="fa-IR"/>
        </w:rPr>
        <w:t xml:space="preserve"> سَمَاعَةُ </w:t>
      </w:r>
      <w:r w:rsidRPr="00A91B96">
        <w:rPr>
          <w:rStyle w:val="libFootnotenumChar"/>
          <w:rtl/>
        </w:rPr>
        <w:t>(9)</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وَسَأَلْتُهُ عَنِ الرَّجُلِ يَكُونُ مَعَهُ الْمَالُ مُضَارَبَةً ، هَلْ عَلَيْهِ فِي ذلِكَ الْمَالِ زَكَاةٌ إِذَا كَانَ يَتَّجِرُ بِهِ</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بس ، جن » </w:t>
      </w:r>
      <w:r w:rsidR="00992664" w:rsidRPr="00F8340F">
        <w:rPr>
          <w:rtl/>
        </w:rPr>
        <w:t>والوافي والوسائل والتهذيب والاستبصار</w:t>
      </w:r>
      <w:r w:rsidR="00992664" w:rsidRPr="00020424">
        <w:rPr>
          <w:rtl/>
        </w:rPr>
        <w:t xml:space="preserve"> : « توضع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بح » : + « عليه</w:t>
      </w:r>
      <w:r w:rsidR="00992664">
        <w:rPr>
          <w:rtl/>
        </w:rPr>
        <w:t xml:space="preserve"> ».</w:t>
      </w:r>
      <w:r w:rsidR="00992664" w:rsidRPr="00020424">
        <w:rPr>
          <w:rtl/>
        </w:rPr>
        <w:t xml:space="preserve"> وفي </w:t>
      </w:r>
      <w:r w:rsidR="00992664" w:rsidRPr="00F8340F">
        <w:rPr>
          <w:rtl/>
        </w:rPr>
        <w:t>الوافي والوسائل والتهذيب</w:t>
      </w:r>
      <w:r w:rsidR="00992664" w:rsidRPr="00020424">
        <w:rPr>
          <w:rtl/>
        </w:rPr>
        <w:t xml:space="preserve"> : + « عليها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68 ، ح 186 ؛ </w:t>
      </w:r>
      <w:r w:rsidR="00992664" w:rsidRPr="00FD6221">
        <w:rPr>
          <w:rStyle w:val="libFootnoteBoldChar"/>
          <w:rtl/>
        </w:rPr>
        <w:t>والاستبصار</w:t>
      </w:r>
      <w:r w:rsidR="00992664" w:rsidRPr="00020424">
        <w:rPr>
          <w:rtl/>
        </w:rPr>
        <w:t xml:space="preserve"> ، ج 2 ، ص 10 ، ح 29 ، معلّقاً عن الكليني </w:t>
      </w:r>
      <w:r w:rsidR="00DC5A87">
        <w:rPr>
          <w:rFonts w:hint="cs"/>
          <w:rtl/>
        </w:rPr>
        <w:t>.</w:t>
      </w:r>
      <w:r w:rsidR="00992664" w:rsidRPr="0012008A">
        <w:rPr>
          <w:rStyle w:val="libFootnoteBoldChar"/>
          <w:rtl/>
        </w:rPr>
        <w:t>الوافي</w:t>
      </w:r>
      <w:r w:rsidR="00992664" w:rsidRPr="00020424">
        <w:rPr>
          <w:rtl/>
        </w:rPr>
        <w:t xml:space="preserve"> ، ج 10 ، ص 103 ، ح 9236 ؛ </w:t>
      </w:r>
      <w:r w:rsidR="00992664" w:rsidRPr="0012008A">
        <w:rPr>
          <w:rStyle w:val="libFootnoteBoldChar"/>
          <w:rtl/>
        </w:rPr>
        <w:t>الوسائل</w:t>
      </w:r>
      <w:r w:rsidR="00992664" w:rsidRPr="00020424">
        <w:rPr>
          <w:rtl/>
        </w:rPr>
        <w:t xml:space="preserve"> ، ج 9 ، ص 71 ، ح 11546.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بث ، بح ، بس ، جن » : « وأكثر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بس » : « وجب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C5A87" w:rsidTr="00DC5A87">
        <w:tc>
          <w:tcPr>
            <w:tcW w:w="4006" w:type="dxa"/>
          </w:tcPr>
          <w:p w:rsidR="00DC5A87" w:rsidRDefault="00DC5A87" w:rsidP="00992664">
            <w:pPr>
              <w:pStyle w:val="libFootnote0"/>
              <w:rPr>
                <w:rtl/>
              </w:rPr>
            </w:pPr>
            <w:r>
              <w:rPr>
                <w:rtl/>
              </w:rPr>
              <w:t xml:space="preserve">(6). </w:t>
            </w:r>
            <w:r w:rsidRPr="00020424">
              <w:rPr>
                <w:rtl/>
              </w:rPr>
              <w:t>في حاشية « بف » : « المال</w:t>
            </w:r>
            <w:r>
              <w:rPr>
                <w:rtl/>
              </w:rPr>
              <w:t xml:space="preserve"> ».</w:t>
            </w:r>
          </w:p>
        </w:tc>
        <w:tc>
          <w:tcPr>
            <w:tcW w:w="4006" w:type="dxa"/>
          </w:tcPr>
          <w:p w:rsidR="00DC5A87" w:rsidRDefault="00DC5A87" w:rsidP="00992664">
            <w:pPr>
              <w:pStyle w:val="libFootnote0"/>
              <w:rPr>
                <w:rtl/>
              </w:rPr>
            </w:pPr>
            <w:r>
              <w:rPr>
                <w:rtl/>
              </w:rPr>
              <w:t>(7).في«ظ،بخ»</w:t>
            </w:r>
            <w:r w:rsidRPr="00515444">
              <w:rPr>
                <w:rStyle w:val="libFootnoteBoldChar"/>
                <w:rtl/>
              </w:rPr>
              <w:t>والوافي</w:t>
            </w:r>
            <w:r>
              <w:rPr>
                <w:rtl/>
              </w:rPr>
              <w:t>:«</w:t>
            </w:r>
            <w:r w:rsidRPr="00020424">
              <w:rPr>
                <w:rtl/>
              </w:rPr>
              <w:t>ما</w:t>
            </w:r>
            <w:r>
              <w:rPr>
                <w:rtl/>
              </w:rPr>
              <w:t>».وفي حاشية«جن»:«</w:t>
            </w:r>
            <w:r w:rsidRPr="00020424">
              <w:rPr>
                <w:rtl/>
              </w:rPr>
              <w:t>ممّا</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105 ، ح 9243 ؛ </w:t>
      </w:r>
      <w:r w:rsidR="00992664" w:rsidRPr="0012008A">
        <w:rPr>
          <w:rStyle w:val="libFootnoteBoldChar"/>
          <w:rtl/>
        </w:rPr>
        <w:t>الوسائل</w:t>
      </w:r>
      <w:r w:rsidR="00992664" w:rsidRPr="00020424">
        <w:rPr>
          <w:rtl/>
        </w:rPr>
        <w:t xml:space="preserve"> ، ج 9 ، ص 72 ، ح 11549.</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على سابقه. ويروي عن سماعة ، محمّد بن يحيى عن أحمد بن محمّد عن عثمان بن عيسى.</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A91B96">
        <w:rPr>
          <w:rStyle w:val="libFootnotenumChar"/>
          <w:rtl/>
        </w:rPr>
        <w:t>(1)</w:t>
      </w:r>
      <w:r w:rsidRPr="00020424">
        <w:rPr>
          <w:rtl/>
          <w:lang w:bidi="fa-IR"/>
        </w:rPr>
        <w:t xml:space="preserve"> : « يَنْبَغِي لَهُ أَنْ يَقُولَ لِأَصْحَابِ الْمَالِ : زَكُّوهُ ، فَإِنْ قَالُوا : إِنَّا نُزَكِّيهِ </w:t>
      </w:r>
      <w:r w:rsidRPr="00A91B96">
        <w:rPr>
          <w:rStyle w:val="libFootnotenumChar"/>
          <w:rtl/>
        </w:rPr>
        <w:t>(2)</w:t>
      </w:r>
      <w:r w:rsidRPr="00020424">
        <w:rPr>
          <w:rtl/>
          <w:lang w:bidi="fa-IR"/>
        </w:rPr>
        <w:t xml:space="preserve"> ، فَلَيْسَ عَلَيْهِ غَيْرُ ذلِكَ ، وَإِنْ هُمْ </w:t>
      </w:r>
      <w:r w:rsidRPr="00A91B96">
        <w:rPr>
          <w:rStyle w:val="libFootnotenumChar"/>
          <w:rtl/>
        </w:rPr>
        <w:t>(3)</w:t>
      </w:r>
      <w:r w:rsidRPr="00020424">
        <w:rPr>
          <w:rtl/>
          <w:lang w:bidi="fa-IR"/>
        </w:rPr>
        <w:t xml:space="preserve"> أَمَرُوهُ </w:t>
      </w:r>
      <w:r w:rsidRPr="00A91B96">
        <w:rPr>
          <w:rStyle w:val="libFootnotenumChar"/>
          <w:rtl/>
        </w:rPr>
        <w:t>(4)</w:t>
      </w:r>
      <w:r w:rsidRPr="00020424">
        <w:rPr>
          <w:rtl/>
          <w:lang w:bidi="fa-IR"/>
        </w:rPr>
        <w:t xml:space="preserve"> أَنْ يُزَكِّيَهُ </w:t>
      </w:r>
      <w:r w:rsidRPr="00A91B96">
        <w:rPr>
          <w:rStyle w:val="libFootnotenumChar"/>
          <w:rtl/>
        </w:rPr>
        <w:t>(5)</w:t>
      </w:r>
      <w:r w:rsidRPr="00020424">
        <w:rPr>
          <w:rtl/>
          <w:lang w:bidi="fa-IR"/>
        </w:rPr>
        <w:t xml:space="preserve"> ، فَلْيَفْعَلْ</w:t>
      </w:r>
      <w:r>
        <w:rPr>
          <w:rtl/>
          <w:lang w:bidi="fa-IR"/>
        </w:rPr>
        <w:t xml:space="preserve"> ».</w:t>
      </w:r>
    </w:p>
    <w:p w:rsidR="00992664" w:rsidRPr="00020424" w:rsidRDefault="00992664" w:rsidP="00992664">
      <w:pPr>
        <w:pStyle w:val="libNormal"/>
        <w:rPr>
          <w:rtl/>
          <w:lang w:bidi="fa-IR"/>
        </w:rPr>
      </w:pPr>
      <w:r>
        <w:rPr>
          <w:rtl/>
          <w:lang w:bidi="fa-IR"/>
        </w:rPr>
        <w:t>قُلْتُ : أَ</w:t>
      </w:r>
      <w:r w:rsidRPr="00020424">
        <w:rPr>
          <w:rtl/>
          <w:lang w:bidi="fa-IR"/>
        </w:rPr>
        <w:t xml:space="preserve">رَأَيْتَ لَوْ </w:t>
      </w:r>
      <w:r w:rsidRPr="00A91B96">
        <w:rPr>
          <w:rStyle w:val="libFootnotenumChar"/>
          <w:rtl/>
        </w:rPr>
        <w:t>(6)</w:t>
      </w:r>
      <w:r w:rsidRPr="00020424">
        <w:rPr>
          <w:rtl/>
          <w:lang w:bidi="fa-IR"/>
        </w:rPr>
        <w:t xml:space="preserve"> قَالُوا : إِنَّا نُزَكِّيهِ وَالرَّجُلُ يَعْلَمُ أَنَّهُمْ لَايُزَكُّونَهُ</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 إِذَا </w:t>
      </w:r>
      <w:r w:rsidRPr="00A91B96">
        <w:rPr>
          <w:rStyle w:val="libFootnotenumChar"/>
          <w:rtl/>
        </w:rPr>
        <w:t>(8)</w:t>
      </w:r>
      <w:r w:rsidRPr="00020424">
        <w:rPr>
          <w:rtl/>
          <w:lang w:bidi="fa-IR"/>
        </w:rPr>
        <w:t xml:space="preserve"> هُمْ أَقَرُّوا بِأَنَّهُمْ يُزَكُّونَهُ ، فَلَيْسَ عَلَيْهِ </w:t>
      </w:r>
      <w:r w:rsidRPr="00A91B96">
        <w:rPr>
          <w:rStyle w:val="libFootnotenumChar"/>
          <w:rtl/>
        </w:rPr>
        <w:t>(9)</w:t>
      </w:r>
      <w:r w:rsidRPr="00020424">
        <w:rPr>
          <w:rtl/>
          <w:lang w:bidi="fa-IR"/>
        </w:rPr>
        <w:t xml:space="preserve"> غَيْرُ ذلِكَ ، وَإِنْ هُمْ </w:t>
      </w:r>
      <w:r w:rsidRPr="00A91B96">
        <w:rPr>
          <w:rStyle w:val="libFootnotenumChar"/>
          <w:rtl/>
        </w:rPr>
        <w:t>(10)</w:t>
      </w:r>
      <w:r w:rsidRPr="00020424">
        <w:rPr>
          <w:rtl/>
          <w:lang w:bidi="fa-IR"/>
        </w:rPr>
        <w:t xml:space="preserve"> قَالُوا : إِنَّا </w:t>
      </w:r>
      <w:r w:rsidRPr="00A91B96">
        <w:rPr>
          <w:rStyle w:val="libFootnotenumChar"/>
          <w:rtl/>
        </w:rPr>
        <w:t>(11)</w:t>
      </w:r>
      <w:r w:rsidRPr="00020424">
        <w:rPr>
          <w:rtl/>
          <w:lang w:bidi="fa-IR"/>
        </w:rPr>
        <w:t xml:space="preserve"> لَا نُزَكِّيهِ ، فَلَا يَنْبَغِي لَهُ أَنْ يَقْبَلَ ذلِكَ الْمَالَ وَلَايَعْمَلَ بِهِ حَتّى يُزَكُّوهُ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2B0514" w:rsidP="00992664">
      <w:pPr>
        <w:pStyle w:val="libNormal"/>
        <w:rPr>
          <w:rtl/>
          <w:lang w:bidi="fa-IR"/>
        </w:rPr>
      </w:pPr>
      <w:r>
        <w:rPr>
          <w:rFonts w:hint="cs"/>
          <w:rtl/>
          <w:lang w:bidi="fa-IR"/>
        </w:rPr>
        <w:t xml:space="preserve">* </w:t>
      </w:r>
      <w:r w:rsidR="00992664" w:rsidRPr="00020424">
        <w:rPr>
          <w:rtl/>
          <w:lang w:bidi="fa-IR"/>
        </w:rPr>
        <w:t>وَفِي رِ</w:t>
      </w:r>
      <w:r w:rsidR="00687654">
        <w:rPr>
          <w:rtl/>
          <w:lang w:bidi="fa-IR"/>
        </w:rPr>
        <w:t>وَايَةٍ أُخْرى عَنْهُ : « إِل</w:t>
      </w:r>
      <w:r w:rsidR="00687654">
        <w:rPr>
          <w:rFonts w:hint="cs"/>
          <w:rtl/>
          <w:lang w:bidi="fa-IR"/>
        </w:rPr>
        <w:t>َّ</w:t>
      </w:r>
      <w:r w:rsidR="00687654">
        <w:rPr>
          <w:rtl/>
          <w:lang w:bidi="fa-IR"/>
        </w:rPr>
        <w:t>ا</w:t>
      </w:r>
      <w:r w:rsidR="00992664" w:rsidRPr="00020424">
        <w:rPr>
          <w:rtl/>
          <w:lang w:bidi="fa-IR"/>
        </w:rPr>
        <w:t xml:space="preserve"> أَنْ تَطِيبَ نَفْسُكَ أَنْ تُزَكِّيَهُ مِنْ رِبْحِكَ</w:t>
      </w:r>
      <w:r w:rsidR="00992664">
        <w:rPr>
          <w:rtl/>
          <w:lang w:bidi="fa-IR"/>
        </w:rPr>
        <w:t xml:space="preserve"> ».</w:t>
      </w:r>
      <w:r w:rsidR="00992664" w:rsidRPr="00020424">
        <w:rPr>
          <w:rtl/>
          <w:lang w:bidi="fa-IR"/>
        </w:rPr>
        <w:t xml:space="preserve"> </w:t>
      </w:r>
      <w:r w:rsidR="00992664" w:rsidRPr="00A91B96">
        <w:rPr>
          <w:rStyle w:val="libFootnotenumChar"/>
          <w:rtl/>
        </w:rPr>
        <w:t>(14)</w:t>
      </w:r>
      <w:r w:rsidR="00992664" w:rsidRPr="00020424">
        <w:rPr>
          <w:rtl/>
          <w:lang w:bidi="fa-IR"/>
        </w:rPr>
        <w:t xml:space="preserve"> ‌</w:t>
      </w:r>
    </w:p>
    <w:p w:rsidR="00992664" w:rsidRPr="00020424" w:rsidRDefault="002B0514" w:rsidP="00992664">
      <w:pPr>
        <w:pStyle w:val="libNormal"/>
        <w:rPr>
          <w:rtl/>
          <w:lang w:bidi="fa-IR"/>
        </w:rPr>
      </w:pPr>
      <w:r>
        <w:rPr>
          <w:rFonts w:hint="cs"/>
          <w:rtl/>
          <w:lang w:bidi="fa-IR"/>
        </w:rPr>
        <w:t xml:space="preserve">* </w:t>
      </w:r>
      <w:r w:rsidR="00992664" w:rsidRPr="00020424">
        <w:rPr>
          <w:rtl/>
          <w:lang w:bidi="fa-IR"/>
        </w:rPr>
        <w:t xml:space="preserve">قَالَ </w:t>
      </w:r>
      <w:r w:rsidR="00992664" w:rsidRPr="00A91B96">
        <w:rPr>
          <w:rStyle w:val="libFootnotenumChar"/>
          <w:rtl/>
        </w:rPr>
        <w:t>(15)</w:t>
      </w:r>
      <w:r w:rsidR="00992664" w:rsidRPr="00020424">
        <w:rPr>
          <w:rtl/>
          <w:lang w:bidi="fa-IR"/>
        </w:rPr>
        <w:t xml:space="preserve"> : وَسَأَلْتُهُ عَنِ الرَّجُلِ </w:t>
      </w:r>
      <w:r w:rsidR="00992664" w:rsidRPr="00A91B96">
        <w:rPr>
          <w:rStyle w:val="libFootnotenumChar"/>
          <w:rtl/>
        </w:rPr>
        <w:t>(16)</w:t>
      </w:r>
      <w:r w:rsidR="00992664" w:rsidRPr="00020424">
        <w:rPr>
          <w:rtl/>
          <w:lang w:bidi="fa-IR"/>
        </w:rPr>
        <w:t xml:space="preserve"> يَرْبَحُ فِي السَّنَةِ خَمْسَمِائَةِ دِرْهَمٍ </w:t>
      </w:r>
      <w:r w:rsidR="00992664" w:rsidRPr="00A91B96">
        <w:rPr>
          <w:rStyle w:val="libFootnotenumChar"/>
          <w:rtl/>
        </w:rPr>
        <w:t>(17)</w:t>
      </w:r>
      <w:r w:rsidR="00992664" w:rsidRPr="00020424">
        <w:rPr>
          <w:rtl/>
          <w:lang w:bidi="fa-IR"/>
        </w:rPr>
        <w:t xml:space="preserve"> وَسِتَّمِائَةٍ وَسَبْعَمِائَةٍ هِيَ </w:t>
      </w:r>
      <w:r w:rsidR="00992664" w:rsidRPr="00A91B96">
        <w:rPr>
          <w:rStyle w:val="libFootnotenumChar"/>
          <w:rtl/>
        </w:rPr>
        <w:t>(18)</w:t>
      </w:r>
      <w:r w:rsidR="00992664" w:rsidRPr="00020424">
        <w:rPr>
          <w:rtl/>
          <w:lang w:bidi="fa-IR"/>
        </w:rPr>
        <w:t xml:space="preserve"> نَفَقَتُهُ ، وَأَصْلُ </w:t>
      </w:r>
      <w:r w:rsidR="00992664" w:rsidRPr="00A91B96">
        <w:rPr>
          <w:rStyle w:val="libFootnotenumChar"/>
          <w:rtl/>
        </w:rPr>
        <w:t>(19)</w:t>
      </w:r>
      <w:r w:rsidR="00992664" w:rsidRPr="00020424">
        <w:rPr>
          <w:rtl/>
          <w:lang w:bidi="fa-IR"/>
        </w:rPr>
        <w:t xml:space="preserve"> الْمَالِ مُضَارَبَةٌ</w:t>
      </w:r>
      <w:r w:rsidR="00992664">
        <w:rPr>
          <w:rtl/>
          <w:lang w:bidi="fa-IR"/>
        </w:rPr>
        <w:t>؟</w:t>
      </w:r>
    </w:p>
    <w:p w:rsidR="00992664" w:rsidRPr="00020424" w:rsidRDefault="00992664" w:rsidP="00992664">
      <w:pPr>
        <w:pStyle w:val="libNormal"/>
        <w:rPr>
          <w:rtl/>
          <w:lang w:bidi="fa-IR"/>
        </w:rPr>
      </w:pPr>
      <w:r w:rsidRPr="00020424">
        <w:rPr>
          <w:rtl/>
          <w:lang w:bidi="fa-IR"/>
        </w:rPr>
        <w:t>قَالَ : « لَيْسَ عَلَيْهِ فِي الرِّبْحِ زَكَاةٌ</w:t>
      </w:r>
      <w:r>
        <w:rPr>
          <w:rtl/>
          <w:lang w:bidi="fa-IR"/>
        </w:rPr>
        <w:t xml:space="preserve"> ».</w:t>
      </w:r>
      <w:r w:rsidRPr="00020424">
        <w:rPr>
          <w:rtl/>
          <w:lang w:bidi="fa-IR"/>
        </w:rPr>
        <w:t xml:space="preserve"> </w:t>
      </w:r>
      <w:r w:rsidRPr="00A91B96">
        <w:rPr>
          <w:rStyle w:val="libFootnotenumChar"/>
          <w:rtl/>
        </w:rPr>
        <w:t>(20)</w:t>
      </w:r>
      <w:r w:rsidRPr="00020424">
        <w:rPr>
          <w:rtl/>
          <w:lang w:bidi="fa-IR"/>
        </w:rPr>
        <w:t xml:space="preserve"> ‌</w:t>
      </w:r>
    </w:p>
    <w:p w:rsidR="00992664" w:rsidRPr="00020424" w:rsidRDefault="00992664" w:rsidP="00992664">
      <w:pPr>
        <w:pStyle w:val="libNormal"/>
        <w:rPr>
          <w:rtl/>
          <w:lang w:bidi="fa-IR"/>
        </w:rPr>
      </w:pPr>
      <w:r w:rsidRPr="0044387E">
        <w:rPr>
          <w:rtl/>
        </w:rPr>
        <w:t>5845</w:t>
      </w:r>
      <w:r w:rsidRPr="001155DE">
        <w:rPr>
          <w:rStyle w:val="libBold2Char"/>
          <w:rtl/>
        </w:rPr>
        <w:t xml:space="preserve"> / 5.</w:t>
      </w:r>
      <w:r w:rsidRPr="00020424">
        <w:rPr>
          <w:rtl/>
          <w:lang w:bidi="fa-IR"/>
        </w:rPr>
        <w:t xml:space="preserve"> عَلِيُّ بْنُ إِبْرَاهِيمَ ، عَنْ أَبِيهِ ، عَنْ إِسْمَاعِيلَ بْنِ مَرَّارٍ ، عَنْ يُونُسَ ، عَنِ الْعَلَاءِ بْنِ رَزِينٍ ، عَنْ مُحَمَّدِ بْنِ مُسْلِمٍ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بح » : + «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حاشية « بح » : + « والرجل يعلم أنّهم لايتركونه ، فقال : إذا هم أقرّوا بأنّهم يزكّونه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F51BD" w:rsidTr="001F51BD">
        <w:tc>
          <w:tcPr>
            <w:tcW w:w="4006" w:type="dxa"/>
          </w:tcPr>
          <w:p w:rsidR="001F51BD" w:rsidRDefault="001F51BD" w:rsidP="00992664">
            <w:pPr>
              <w:pStyle w:val="libFootnote0"/>
              <w:rPr>
                <w:rtl/>
              </w:rPr>
            </w:pPr>
            <w:r>
              <w:rPr>
                <w:rtl/>
              </w:rPr>
              <w:t xml:space="preserve">(3). </w:t>
            </w:r>
            <w:r w:rsidRPr="00020424">
              <w:rPr>
                <w:rtl/>
              </w:rPr>
              <w:t>في « بخ ، جن » : « وإنّهم</w:t>
            </w:r>
            <w:r>
              <w:rPr>
                <w:rtl/>
              </w:rPr>
              <w:t xml:space="preserve"> ».</w:t>
            </w:r>
          </w:p>
        </w:tc>
        <w:tc>
          <w:tcPr>
            <w:tcW w:w="4006" w:type="dxa"/>
          </w:tcPr>
          <w:p w:rsidR="001F51BD" w:rsidRDefault="001F51BD" w:rsidP="00992664">
            <w:pPr>
              <w:pStyle w:val="libFootnote0"/>
              <w:rPr>
                <w:rtl/>
              </w:rPr>
            </w:pPr>
            <w:r>
              <w:rPr>
                <w:rtl/>
              </w:rPr>
              <w:t xml:space="preserve">(4). </w:t>
            </w:r>
            <w:r w:rsidRPr="00020424">
              <w:rPr>
                <w:rtl/>
              </w:rPr>
              <w:t>في « بس » : « أمروا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بأن يزكّيه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15B4E" w:rsidTr="00115B4E">
        <w:tc>
          <w:tcPr>
            <w:tcW w:w="4006" w:type="dxa"/>
          </w:tcPr>
          <w:p w:rsidR="00115B4E" w:rsidRDefault="00115B4E" w:rsidP="00992664">
            <w:pPr>
              <w:pStyle w:val="libFootnote0"/>
              <w:rPr>
                <w:rtl/>
                <w:lang w:bidi="fa-IR"/>
              </w:rPr>
            </w:pPr>
            <w:r>
              <w:rPr>
                <w:rtl/>
              </w:rPr>
              <w:t xml:space="preserve">(6). </w:t>
            </w:r>
            <w:r w:rsidRPr="00020424">
              <w:rPr>
                <w:rtl/>
              </w:rPr>
              <w:t>في « بخ » : « إن</w:t>
            </w:r>
            <w:r>
              <w:rPr>
                <w:rtl/>
              </w:rPr>
              <w:t xml:space="preserve"> ».</w:t>
            </w:r>
          </w:p>
        </w:tc>
        <w:tc>
          <w:tcPr>
            <w:tcW w:w="4006" w:type="dxa"/>
          </w:tcPr>
          <w:p w:rsidR="00115B4E" w:rsidRDefault="00115B4E" w:rsidP="00992664">
            <w:pPr>
              <w:pStyle w:val="libFootnote0"/>
              <w:rPr>
                <w:rtl/>
                <w:lang w:bidi="fa-IR"/>
              </w:rPr>
            </w:pPr>
            <w:r>
              <w:rPr>
                <w:rtl/>
              </w:rPr>
              <w:t xml:space="preserve">(7). </w:t>
            </w:r>
            <w:r w:rsidRPr="00020424">
              <w:rPr>
                <w:rtl/>
              </w:rPr>
              <w:t xml:space="preserve">في « بخ ، بف » </w:t>
            </w:r>
            <w:r w:rsidRPr="00515444">
              <w:rPr>
                <w:rStyle w:val="libFootnoteBoldChar"/>
                <w:rtl/>
              </w:rPr>
              <w:t>والوافي</w:t>
            </w:r>
            <w:r w:rsidRPr="00020424">
              <w:rPr>
                <w:rtl/>
              </w:rPr>
              <w:t xml:space="preserve"> : « قال</w:t>
            </w:r>
            <w:r>
              <w:rPr>
                <w:rtl/>
              </w:rPr>
              <w:t xml:space="preserve"> ».</w:t>
            </w:r>
          </w:p>
        </w:tc>
      </w:tr>
      <w:tr w:rsidR="00115B4E" w:rsidTr="00115B4E">
        <w:tc>
          <w:tcPr>
            <w:tcW w:w="4006" w:type="dxa"/>
          </w:tcPr>
          <w:p w:rsidR="00115B4E" w:rsidRDefault="00115B4E" w:rsidP="00992664">
            <w:pPr>
              <w:pStyle w:val="libFootnote0"/>
              <w:rPr>
                <w:rtl/>
                <w:lang w:bidi="fa-IR"/>
              </w:rPr>
            </w:pPr>
            <w:r>
              <w:rPr>
                <w:rtl/>
              </w:rPr>
              <w:t xml:space="preserve">(8). </w:t>
            </w:r>
            <w:r w:rsidRPr="00020424">
              <w:rPr>
                <w:rtl/>
              </w:rPr>
              <w:t xml:space="preserve">في </w:t>
            </w:r>
            <w:r w:rsidRPr="0012008A">
              <w:rPr>
                <w:rStyle w:val="libFootnoteBoldChar"/>
                <w:rtl/>
              </w:rPr>
              <w:t>الوافي</w:t>
            </w:r>
            <w:r w:rsidRPr="00020424">
              <w:rPr>
                <w:rtl/>
              </w:rPr>
              <w:t xml:space="preserve"> : « فإذا</w:t>
            </w:r>
            <w:r>
              <w:rPr>
                <w:rtl/>
              </w:rPr>
              <w:t xml:space="preserve"> ».</w:t>
            </w:r>
          </w:p>
        </w:tc>
        <w:tc>
          <w:tcPr>
            <w:tcW w:w="4006" w:type="dxa"/>
          </w:tcPr>
          <w:p w:rsidR="00115B4E" w:rsidRDefault="00115B4E" w:rsidP="00992664">
            <w:pPr>
              <w:pStyle w:val="libFootnote0"/>
              <w:rPr>
                <w:rtl/>
                <w:lang w:bidi="fa-IR"/>
              </w:rPr>
            </w:pPr>
            <w:r>
              <w:rPr>
                <w:rtl/>
              </w:rPr>
              <w:t xml:space="preserve">(9). </w:t>
            </w:r>
            <w:r w:rsidRPr="00020424">
              <w:rPr>
                <w:rtl/>
              </w:rPr>
              <w:t>في « ظ » : « عليهم</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 « فإنّهم</w:t>
      </w:r>
      <w:r w:rsidR="00992664">
        <w:rPr>
          <w:rtl/>
        </w:rPr>
        <w:t xml:space="preserve"> ».</w:t>
      </w:r>
      <w:r w:rsidR="00992664" w:rsidRPr="00020424">
        <w:rPr>
          <w:rtl/>
        </w:rPr>
        <w:t xml:space="preserve"> وفي « بخ ، جن » : « وإنّهم</w:t>
      </w:r>
      <w:r w:rsidR="00992664">
        <w:rPr>
          <w:rtl/>
        </w:rPr>
        <w:t xml:space="preserve"> ».</w:t>
      </w:r>
      <w:r w:rsidR="00992664" w:rsidRPr="00020424">
        <w:rPr>
          <w:rtl/>
        </w:rPr>
        <w:t xml:space="preserve"> وفي حاشية « بث » : « فإن » بدل « وإن هم</w:t>
      </w:r>
      <w:r w:rsidR="00992664">
        <w:rPr>
          <w:rtl/>
        </w:rPr>
        <w:t>».</w:t>
      </w:r>
    </w:p>
    <w:tbl>
      <w:tblPr>
        <w:tblStyle w:val="TableGrid"/>
        <w:bidiVisual/>
        <w:tblW w:w="0" w:type="auto"/>
        <w:tblLook w:val="04A0" w:firstRow="1" w:lastRow="0" w:firstColumn="1" w:lastColumn="0" w:noHBand="0" w:noVBand="1"/>
      </w:tblPr>
      <w:tblGrid>
        <w:gridCol w:w="4006"/>
        <w:gridCol w:w="4006"/>
      </w:tblGrid>
      <w:tr w:rsidR="00D84F56" w:rsidTr="00D84F56">
        <w:tc>
          <w:tcPr>
            <w:tcW w:w="4006" w:type="dxa"/>
          </w:tcPr>
          <w:p w:rsidR="00D84F56" w:rsidRDefault="00D84F56" w:rsidP="00992664">
            <w:pPr>
              <w:pStyle w:val="libFootnote0"/>
              <w:rPr>
                <w:rtl/>
                <w:lang w:bidi="fa-IR"/>
              </w:rPr>
            </w:pPr>
            <w:r>
              <w:rPr>
                <w:rtl/>
              </w:rPr>
              <w:t xml:space="preserve">(11).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إنّا</w:t>
            </w:r>
            <w:r>
              <w:rPr>
                <w:rtl/>
              </w:rPr>
              <w:t xml:space="preserve"> ».</w:t>
            </w:r>
          </w:p>
        </w:tc>
        <w:tc>
          <w:tcPr>
            <w:tcW w:w="4006" w:type="dxa"/>
          </w:tcPr>
          <w:p w:rsidR="00D84F56" w:rsidRDefault="00AC74E3" w:rsidP="00992664">
            <w:pPr>
              <w:pStyle w:val="libFootnote0"/>
              <w:rPr>
                <w:rtl/>
                <w:lang w:bidi="fa-IR"/>
              </w:rPr>
            </w:pPr>
            <w:r>
              <w:rPr>
                <w:rtl/>
              </w:rPr>
              <w:t xml:space="preserve">(12). </w:t>
            </w:r>
            <w:r w:rsidRPr="00020424">
              <w:rPr>
                <w:rtl/>
              </w:rPr>
              <w:t xml:space="preserve">في </w:t>
            </w:r>
            <w:r w:rsidRPr="0012008A">
              <w:rPr>
                <w:rStyle w:val="libFootnoteBoldChar"/>
                <w:rtl/>
              </w:rPr>
              <w:t>الوسائل</w:t>
            </w:r>
            <w:r w:rsidRPr="00020424">
              <w:rPr>
                <w:rtl/>
              </w:rPr>
              <w:t xml:space="preserve"> : « حتّى يزكّيه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الوافي</w:t>
      </w:r>
      <w:r w:rsidR="00992664" w:rsidRPr="00020424">
        <w:rPr>
          <w:rtl/>
        </w:rPr>
        <w:t xml:space="preserve"> ، ج 10 ، ص 106 ، ح 9244 ؛ </w:t>
      </w:r>
      <w:r w:rsidR="00992664" w:rsidRPr="0012008A">
        <w:rPr>
          <w:rStyle w:val="libFootnoteBoldChar"/>
          <w:rtl/>
        </w:rPr>
        <w:t>الوسائل</w:t>
      </w:r>
      <w:r w:rsidR="00992664" w:rsidRPr="00020424">
        <w:rPr>
          <w:rtl/>
        </w:rPr>
        <w:t xml:space="preserve"> ، ج 9 ، ص 76 ، ح 11561.</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106 ، ح 9245 ؛ </w:t>
      </w:r>
      <w:r w:rsidR="00992664" w:rsidRPr="0012008A">
        <w:rPr>
          <w:rStyle w:val="libFootnoteBoldChar"/>
          <w:rtl/>
        </w:rPr>
        <w:t>الوسائل</w:t>
      </w:r>
      <w:r w:rsidR="00992664" w:rsidRPr="00020424">
        <w:rPr>
          <w:rtl/>
        </w:rPr>
        <w:t xml:space="preserve"> ، ج 9 ، ص 76 ، ح 11562.</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الضمير المستتر في « قال » راجع إلى سماعة ، فيكون السند معلّقاً.</w:t>
      </w:r>
    </w:p>
    <w:tbl>
      <w:tblPr>
        <w:tblStyle w:val="TableGrid"/>
        <w:bidiVisual/>
        <w:tblW w:w="0" w:type="auto"/>
        <w:tblLook w:val="04A0" w:firstRow="1" w:lastRow="0" w:firstColumn="1" w:lastColumn="0" w:noHBand="0" w:noVBand="1"/>
      </w:tblPr>
      <w:tblGrid>
        <w:gridCol w:w="4006"/>
        <w:gridCol w:w="4006"/>
      </w:tblGrid>
      <w:tr w:rsidR="00D74BD7" w:rsidTr="00D74BD7">
        <w:tc>
          <w:tcPr>
            <w:tcW w:w="4006" w:type="dxa"/>
          </w:tcPr>
          <w:p w:rsidR="00D74BD7" w:rsidRDefault="00D74BD7" w:rsidP="00992664">
            <w:pPr>
              <w:pStyle w:val="libFootnote0"/>
              <w:rPr>
                <w:rtl/>
              </w:rPr>
            </w:pPr>
            <w:r>
              <w:rPr>
                <w:rtl/>
              </w:rPr>
              <w:t xml:space="preserve">(16). </w:t>
            </w:r>
            <w:r w:rsidRPr="00020424">
              <w:rPr>
                <w:rtl/>
              </w:rPr>
              <w:t>في « بخ ، بر ، بف » : « الربح</w:t>
            </w:r>
            <w:r>
              <w:rPr>
                <w:rtl/>
              </w:rPr>
              <w:t xml:space="preserve"> ».</w:t>
            </w:r>
          </w:p>
        </w:tc>
        <w:tc>
          <w:tcPr>
            <w:tcW w:w="4006" w:type="dxa"/>
          </w:tcPr>
          <w:p w:rsidR="00D74BD7" w:rsidRDefault="00D74BD7" w:rsidP="00992664">
            <w:pPr>
              <w:pStyle w:val="libFootnote0"/>
              <w:rPr>
                <w:rtl/>
              </w:rPr>
            </w:pPr>
            <w:r>
              <w:rPr>
                <w:rtl/>
              </w:rPr>
              <w:t>(17). في«ظ،بخ،بر،بف»</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w:t>
            </w:r>
            <w:r>
              <w:rPr>
                <w:rtl/>
              </w:rPr>
              <w:t>-«</w:t>
            </w:r>
            <w:r w:rsidRPr="00020424">
              <w:rPr>
                <w:rtl/>
              </w:rPr>
              <w:t>درهم</w:t>
            </w:r>
            <w:r>
              <w:rPr>
                <w:rtl/>
              </w:rPr>
              <w:t>».</w:t>
            </w:r>
          </w:p>
        </w:tc>
      </w:tr>
      <w:tr w:rsidR="00D74BD7" w:rsidTr="00D74BD7">
        <w:tc>
          <w:tcPr>
            <w:tcW w:w="4006" w:type="dxa"/>
          </w:tcPr>
          <w:p w:rsidR="00D74BD7" w:rsidRDefault="00D74BD7" w:rsidP="00992664">
            <w:pPr>
              <w:pStyle w:val="libFootnote0"/>
              <w:rPr>
                <w:rtl/>
              </w:rPr>
            </w:pPr>
            <w:r>
              <w:rPr>
                <w:rtl/>
              </w:rPr>
              <w:t xml:space="preserve">(18). </w:t>
            </w:r>
            <w:r w:rsidRPr="00020424">
              <w:rPr>
                <w:rtl/>
              </w:rPr>
              <w:t>في « بث » : + « في</w:t>
            </w:r>
            <w:r>
              <w:rPr>
                <w:rtl/>
              </w:rPr>
              <w:t xml:space="preserve"> ».</w:t>
            </w:r>
          </w:p>
        </w:tc>
        <w:tc>
          <w:tcPr>
            <w:tcW w:w="4006" w:type="dxa"/>
          </w:tcPr>
          <w:p w:rsidR="00D74BD7" w:rsidRDefault="00D74BD7" w:rsidP="00992664">
            <w:pPr>
              <w:pStyle w:val="libFootnote0"/>
              <w:rPr>
                <w:rtl/>
              </w:rPr>
            </w:pPr>
            <w:r>
              <w:rPr>
                <w:rtl/>
              </w:rPr>
              <w:t xml:space="preserve">(19). </w:t>
            </w:r>
            <w:r w:rsidRPr="00020424">
              <w:rPr>
                <w:rtl/>
              </w:rPr>
              <w:t>في « بث » : « فأصل</w:t>
            </w:r>
            <w:r>
              <w:rPr>
                <w:rtl/>
              </w:rPr>
              <w:t xml:space="preserve"> ».</w:t>
            </w:r>
          </w:p>
        </w:tc>
      </w:tr>
    </w:tbl>
    <w:p w:rsidR="00992664" w:rsidRPr="00020424" w:rsidRDefault="00992664" w:rsidP="00992664">
      <w:pPr>
        <w:pStyle w:val="libFootnote0"/>
        <w:rPr>
          <w:rtl/>
          <w:lang w:bidi="fa-IR"/>
        </w:rPr>
      </w:pPr>
      <w:r w:rsidRPr="00020424">
        <w:rPr>
          <w:rtl/>
        </w:rPr>
        <w:t>(</w:t>
      </w:r>
      <w:r>
        <w:rPr>
          <w:rtl/>
        </w:rPr>
        <w:t>20)</w:t>
      </w:r>
      <w:r w:rsidRPr="00020424">
        <w:rPr>
          <w:rtl/>
        </w:rPr>
        <w:t xml:space="preserve"> </w:t>
      </w:r>
      <w:r w:rsidRPr="0012008A">
        <w:rPr>
          <w:rStyle w:val="libFootnoteBoldChar"/>
          <w:rtl/>
        </w:rPr>
        <w:t>الوافي</w:t>
      </w:r>
      <w:r w:rsidRPr="00020424">
        <w:rPr>
          <w:rtl/>
        </w:rPr>
        <w:t xml:space="preserve"> ، ج 10 ، ص 106 ، ذيل ح 9245 ؛ </w:t>
      </w:r>
      <w:r w:rsidRPr="0012008A">
        <w:rPr>
          <w:rStyle w:val="libFootnoteBoldChar"/>
          <w:rtl/>
        </w:rPr>
        <w:t>الوسائل</w:t>
      </w:r>
      <w:r w:rsidRPr="00020424">
        <w:rPr>
          <w:rtl/>
        </w:rPr>
        <w:t xml:space="preserve"> ، ج 9 ، ص 76 ، ح 11560.</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أَنَّهُ </w:t>
      </w:r>
      <w:r w:rsidRPr="00A91B96">
        <w:rPr>
          <w:rStyle w:val="libFootnotenumChar"/>
          <w:rtl/>
        </w:rPr>
        <w:t>(1)</w:t>
      </w:r>
      <w:r w:rsidRPr="00020424">
        <w:rPr>
          <w:rtl/>
          <w:lang w:bidi="fa-IR"/>
        </w:rPr>
        <w:t xml:space="preserve"> قَالَ : كُلُّ مَالٍ </w:t>
      </w:r>
      <w:r w:rsidRPr="00A91B96">
        <w:rPr>
          <w:rStyle w:val="libFootnotenumChar"/>
          <w:rtl/>
        </w:rPr>
        <w:t>(2)</w:t>
      </w:r>
      <w:r w:rsidRPr="00020424">
        <w:rPr>
          <w:rtl/>
          <w:lang w:bidi="fa-IR"/>
        </w:rPr>
        <w:t xml:space="preserve"> عَمِلْتَ بِهِ ، فَعَلَيْكَ فِيهِ الزَّكَاةُ إِذَا حَالَ عَلَيْهِ الْحَوْلُ.</w:t>
      </w:r>
    </w:p>
    <w:p w:rsidR="00992664" w:rsidRPr="00020424" w:rsidRDefault="00992664" w:rsidP="00992664">
      <w:pPr>
        <w:pStyle w:val="libNormal"/>
        <w:rPr>
          <w:rtl/>
          <w:lang w:bidi="fa-IR"/>
        </w:rPr>
      </w:pPr>
      <w:r w:rsidRPr="00020424">
        <w:rPr>
          <w:rtl/>
          <w:lang w:bidi="fa-IR"/>
        </w:rPr>
        <w:t xml:space="preserve">قَالَ يُونُسُ : تَفْسِيرُ ذلِكَ أَنَّهُ كُلُّ مَا عُمِلَ </w:t>
      </w:r>
      <w:r w:rsidRPr="00A91B96">
        <w:rPr>
          <w:rStyle w:val="libFootnotenumChar"/>
          <w:rtl/>
        </w:rPr>
        <w:t>(3)</w:t>
      </w:r>
      <w:r w:rsidRPr="00020424">
        <w:rPr>
          <w:rtl/>
          <w:lang w:bidi="fa-IR"/>
        </w:rPr>
        <w:t xml:space="preserve"> لِلتِّجَارَةِ مِنْ حَيَوَانٍ وَغَيْرِهِ ، فَعَلَيْهِ فِيهِ الزَّكَاةُ.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4387E">
        <w:rPr>
          <w:rtl/>
        </w:rPr>
        <w:t>5846</w:t>
      </w:r>
      <w:r w:rsidRPr="001155DE">
        <w:rPr>
          <w:rStyle w:val="libBold2Char"/>
          <w:rtl/>
        </w:rPr>
        <w:t xml:space="preserve"> / 6.</w:t>
      </w:r>
      <w:r w:rsidRPr="00020424">
        <w:rPr>
          <w:rtl/>
          <w:lang w:bidi="fa-IR"/>
        </w:rPr>
        <w:t xml:space="preserve"> عِدَّةٌ مِنْ أَصْحَابِنَا ، عَنْ سَهْلِ بْنِ زِيَادٍ ، عَنْ أَحْمَدَ بْنِ مُحَمَّدِ بْنِ أَبِي نَصْرٍ ، عَنْ حَمَّادِ بْنِ عِيسى </w:t>
      </w:r>
      <w:r w:rsidRPr="00A91B96">
        <w:rPr>
          <w:rStyle w:val="libFootnotenumChar"/>
          <w:rtl/>
        </w:rPr>
        <w:t>(5)</w:t>
      </w:r>
      <w:r w:rsidRPr="00020424">
        <w:rPr>
          <w:rtl/>
          <w:lang w:bidi="fa-IR"/>
        </w:rPr>
        <w:t xml:space="preserve"> ، عَنْ إِسْحَاقَ بْنِ عَمَّارٍ ، قَالَ :</w:t>
      </w:r>
    </w:p>
    <w:p w:rsidR="00992664" w:rsidRPr="00020424" w:rsidRDefault="00992664" w:rsidP="00992664">
      <w:pPr>
        <w:pStyle w:val="libNormal"/>
        <w:rPr>
          <w:rtl/>
          <w:lang w:bidi="fa-IR"/>
        </w:rPr>
      </w:pPr>
      <w:r w:rsidRPr="00020424">
        <w:rPr>
          <w:rtl/>
          <w:lang w:bidi="fa-IR"/>
        </w:rPr>
        <w:t xml:space="preserve">قُلْتُ لِأَبِي إِبْرَاهِيمَ </w:t>
      </w:r>
      <w:r w:rsidRPr="00005A81">
        <w:rPr>
          <w:rStyle w:val="libAlaemChar"/>
          <w:rtl/>
        </w:rPr>
        <w:t>عليه‌السلام</w:t>
      </w:r>
      <w:r w:rsidRPr="00020424">
        <w:rPr>
          <w:rtl/>
          <w:lang w:bidi="fa-IR"/>
        </w:rPr>
        <w:t xml:space="preserve"> : الرَّجُلُ يَشْتَرِي الْوَصِيفَةَ </w:t>
      </w:r>
      <w:r w:rsidRPr="00A91B96">
        <w:rPr>
          <w:rStyle w:val="libFootnotenumChar"/>
          <w:rtl/>
        </w:rPr>
        <w:t>(6)</w:t>
      </w:r>
      <w:r w:rsidRPr="00020424">
        <w:rPr>
          <w:rtl/>
          <w:lang w:bidi="fa-IR"/>
        </w:rPr>
        <w:t xml:space="preserve"> يُثَبِّتُهَا </w:t>
      </w:r>
      <w:r w:rsidRPr="00A91B96">
        <w:rPr>
          <w:rStyle w:val="libFootnotenumChar"/>
          <w:rtl/>
        </w:rPr>
        <w:t>(7)</w:t>
      </w:r>
      <w:r w:rsidRPr="00020424">
        <w:rPr>
          <w:rtl/>
          <w:lang w:bidi="fa-IR"/>
        </w:rPr>
        <w:t xml:space="preserve"> عِنْدَهُ لِتَزِيدَ وَهُوَ </w:t>
      </w:r>
      <w:r w:rsidRPr="00A91B96">
        <w:rPr>
          <w:rStyle w:val="libFootnotenumChar"/>
          <w:rtl/>
        </w:rPr>
        <w:t>(8)</w:t>
      </w:r>
      <w:r w:rsidRPr="00020424">
        <w:rPr>
          <w:rtl/>
          <w:lang w:bidi="fa-IR"/>
        </w:rPr>
        <w:t xml:space="preserve"> يُرِيدُ بَيْعَهَا </w:t>
      </w:r>
      <w:r w:rsidRPr="00A91B96">
        <w:rPr>
          <w:rStyle w:val="libFootnotenumChar"/>
          <w:rtl/>
        </w:rPr>
        <w:t>(9)</w:t>
      </w:r>
      <w:r>
        <w:rPr>
          <w:rtl/>
          <w:lang w:bidi="fa-IR"/>
        </w:rPr>
        <w:t xml:space="preserve"> : أَ</w:t>
      </w:r>
      <w:r w:rsidRPr="00020424">
        <w:rPr>
          <w:rtl/>
          <w:lang w:bidi="fa-IR"/>
        </w:rPr>
        <w:t>عَلى ثَمَنِهَا زَكَاةٌ</w:t>
      </w:r>
      <w:r>
        <w:rPr>
          <w:rtl/>
          <w:lang w:bidi="fa-IR"/>
        </w:rPr>
        <w:t>؟</w:t>
      </w:r>
    </w:p>
    <w:p w:rsidR="00992664" w:rsidRPr="00020424" w:rsidRDefault="00992664" w:rsidP="00992664">
      <w:pPr>
        <w:pStyle w:val="libNormal"/>
        <w:rPr>
          <w:rtl/>
          <w:lang w:bidi="fa-IR"/>
        </w:rPr>
      </w:pPr>
      <w:r w:rsidRPr="00020424">
        <w:rPr>
          <w:rtl/>
          <w:lang w:bidi="fa-IR"/>
        </w:rPr>
        <w:t>قَالَ : « لَا ، حَتّى يَبِيعَهَا</w:t>
      </w:r>
      <w:r>
        <w:rPr>
          <w:rtl/>
          <w:lang w:bidi="fa-IR"/>
        </w:rPr>
        <w:t xml:space="preserve"> ».</w:t>
      </w:r>
    </w:p>
    <w:p w:rsidR="00992664" w:rsidRPr="00020424" w:rsidRDefault="00992664" w:rsidP="00992664">
      <w:pPr>
        <w:pStyle w:val="libNormal"/>
        <w:rPr>
          <w:rtl/>
          <w:lang w:bidi="fa-IR"/>
        </w:rPr>
      </w:pPr>
      <w:r w:rsidRPr="00020424">
        <w:rPr>
          <w:rtl/>
          <w:lang w:bidi="fa-IR"/>
        </w:rPr>
        <w:t>قُلْتُ : فَإِذَا بَاعَهَا يُزَكِّي ثَمَنَهَا</w:t>
      </w:r>
      <w:r>
        <w:rPr>
          <w:rtl/>
          <w:lang w:bidi="fa-IR"/>
        </w:rPr>
        <w:t>؟</w:t>
      </w:r>
    </w:p>
    <w:p w:rsidR="00992664" w:rsidRPr="00020424" w:rsidRDefault="00992664" w:rsidP="001E6136">
      <w:pPr>
        <w:pStyle w:val="libNormal"/>
        <w:rPr>
          <w:rtl/>
          <w:lang w:bidi="fa-IR"/>
        </w:rPr>
      </w:pPr>
      <w:r w:rsidRPr="00020424">
        <w:rPr>
          <w:rtl/>
          <w:lang w:bidi="fa-IR"/>
        </w:rPr>
        <w:t>قَالَ : « لَا ، حَتّى يَحُولَ عَلَيْهِ الْحَوْلُ وَهُوَ فِي يَدِهِ</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F2300D">
      <w:pPr>
        <w:pStyle w:val="libFootnote0"/>
        <w:rPr>
          <w:rtl/>
          <w:lang w:bidi="fa-IR"/>
        </w:rPr>
      </w:pPr>
      <w:r>
        <w:rPr>
          <w:rtl/>
        </w:rPr>
        <w:t>(1).</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أنّه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 « 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مال » بدل « ما عمل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105 ، ح 9242 ؛ </w:t>
      </w:r>
      <w:r w:rsidR="00992664" w:rsidRPr="0012008A">
        <w:rPr>
          <w:rStyle w:val="libFootnoteBoldChar"/>
          <w:rtl/>
        </w:rPr>
        <w:t>الوسائل</w:t>
      </w:r>
      <w:r w:rsidR="00992664" w:rsidRPr="00020424">
        <w:rPr>
          <w:rtl/>
        </w:rPr>
        <w:t xml:space="preserve"> ، ج 9 ، ص 72 ، ح 11551.</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روى حمّاد بن عيسى عن إسحاق بن عمّار في عددٍ من الأسناد بالتوسّط. منها ما ورد في </w:t>
      </w:r>
      <w:r w:rsidR="00992664" w:rsidRPr="0044387E">
        <w:rPr>
          <w:rtl/>
        </w:rPr>
        <w:t>الكافي</w:t>
      </w:r>
      <w:r w:rsidR="00992664" w:rsidRPr="00020424">
        <w:rPr>
          <w:rtl/>
        </w:rPr>
        <w:t xml:space="preserve"> ، ح 2992 و6867 و7533 و13771 ، ولم يثبت روايته عن إسحاق مباشرةً. والظاهر أنّ الصواب في العنوان هو حمّاد بن عثمان ؛ فقد روى أحمد بن محمّد [ بن أبي نصر ] عن حمّاد بن عثمان عن إسحاق بن عمّار في بعض الأسناد. راجع : </w:t>
      </w:r>
      <w:r w:rsidR="00992664" w:rsidRPr="0044387E">
        <w:rPr>
          <w:rtl/>
        </w:rPr>
        <w:t>معجم رجال الحديث</w:t>
      </w:r>
      <w:r w:rsidR="00992664" w:rsidRPr="00020424">
        <w:rPr>
          <w:rtl/>
        </w:rPr>
        <w:t xml:space="preserve"> ، ج 6 ، ص 407.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الوضيعة</w:t>
      </w:r>
      <w:r w:rsidR="00992664">
        <w:rPr>
          <w:rtl/>
        </w:rPr>
        <w:t xml:space="preserve"> ».</w:t>
      </w:r>
      <w:r w:rsidR="00992664" w:rsidRPr="00020424">
        <w:rPr>
          <w:rtl/>
        </w:rPr>
        <w:t xml:space="preserve"> وقال الجوهري : « الوَصيف : الخادم غلاماً كان أو جارية ، وقال ثعلب : وربّما قالواللجارية : وصيفة بيّنة الوصافة والإيصاف ، والجمع : الوصائف » ، وقال ابن الأثير : « الوَصيف : العبد ، والأمة : وصيفة ، وجمعهما : وُصَفاء ووَصائف</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1439 ؛ </w:t>
      </w:r>
      <w:r w:rsidR="00992664" w:rsidRPr="0012008A">
        <w:rPr>
          <w:rStyle w:val="libFootnoteBoldChar"/>
          <w:rtl/>
        </w:rPr>
        <w:t>النهاية</w:t>
      </w:r>
      <w:r w:rsidR="00992664" w:rsidRPr="00020424">
        <w:rPr>
          <w:rtl/>
        </w:rPr>
        <w:t xml:space="preserve"> ، ج 5 ، ص 191 ( وصف )</w:t>
      </w:r>
      <w:r w:rsidR="00992664">
        <w:rPr>
          <w:rtl/>
        </w:rPr>
        <w:t>.</w:t>
      </w:r>
    </w:p>
    <w:tbl>
      <w:tblPr>
        <w:tblStyle w:val="TableGrid"/>
        <w:bidiVisual/>
        <w:tblW w:w="0" w:type="auto"/>
        <w:tblLook w:val="04A0" w:firstRow="1" w:lastRow="0" w:firstColumn="1" w:lastColumn="0" w:noHBand="0" w:noVBand="1"/>
      </w:tblPr>
      <w:tblGrid>
        <w:gridCol w:w="4006"/>
        <w:gridCol w:w="4006"/>
      </w:tblGrid>
      <w:tr w:rsidR="00F2300D" w:rsidTr="00F2300D">
        <w:tc>
          <w:tcPr>
            <w:tcW w:w="4006" w:type="dxa"/>
          </w:tcPr>
          <w:p w:rsidR="00F2300D" w:rsidRDefault="00F2300D" w:rsidP="00992664">
            <w:pPr>
              <w:pStyle w:val="libFootnote0"/>
              <w:rPr>
                <w:rtl/>
              </w:rPr>
            </w:pPr>
            <w:r>
              <w:rPr>
                <w:rtl/>
              </w:rPr>
              <w:t xml:space="preserve">(7). </w:t>
            </w:r>
            <w:r w:rsidRPr="00020424">
              <w:rPr>
                <w:rtl/>
              </w:rPr>
              <w:t>في « بخ » : « ثبتها</w:t>
            </w:r>
            <w:r>
              <w:rPr>
                <w:rtl/>
              </w:rPr>
              <w:t xml:space="preserve"> ».</w:t>
            </w:r>
          </w:p>
        </w:tc>
        <w:tc>
          <w:tcPr>
            <w:tcW w:w="4006" w:type="dxa"/>
          </w:tcPr>
          <w:p w:rsidR="00F2300D" w:rsidRDefault="00F2300D" w:rsidP="00992664">
            <w:pPr>
              <w:pStyle w:val="libFootnote0"/>
              <w:rPr>
                <w:rtl/>
              </w:rPr>
            </w:pPr>
            <w:r>
              <w:rPr>
                <w:rtl/>
              </w:rPr>
              <w:t xml:space="preserve">(8). </w:t>
            </w:r>
            <w:r w:rsidRPr="00020424">
              <w:rPr>
                <w:rtl/>
              </w:rPr>
              <w:t>في « بخ ، بر » :</w:t>
            </w:r>
            <w:r>
              <w:rPr>
                <w:rtl/>
              </w:rPr>
              <w:t xml:space="preserve"> - </w:t>
            </w:r>
            <w:r w:rsidRPr="00020424">
              <w:rPr>
                <w:rtl/>
              </w:rPr>
              <w:t>« هو</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جن » : « يبيعها</w:t>
      </w:r>
      <w:r w:rsidR="00992664">
        <w:rPr>
          <w:rtl/>
        </w:rPr>
        <w:t xml:space="preserve"> ».</w:t>
      </w:r>
    </w:p>
    <w:p w:rsidR="00992664" w:rsidRPr="00020424" w:rsidRDefault="00795177" w:rsidP="00F2300D">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69 ، ح 188 ؛ </w:t>
      </w:r>
      <w:r w:rsidR="00992664" w:rsidRPr="00FD6221">
        <w:rPr>
          <w:rStyle w:val="libFootnoteBoldChar"/>
          <w:rtl/>
        </w:rPr>
        <w:t>والاستبصار</w:t>
      </w:r>
      <w:r w:rsidR="00992664" w:rsidRPr="00020424">
        <w:rPr>
          <w:rtl/>
        </w:rPr>
        <w:t xml:space="preserve"> ، ج 2 ، ص 11 ، ح 31 ، بسندهما عن إسحاق بن عمّار ، مع اختلاف يسير</w:t>
      </w:r>
      <w:r w:rsidR="00F2300D">
        <w:rPr>
          <w:rFonts w:hint="cs"/>
          <w:rtl/>
        </w:rPr>
        <w:t>.</w:t>
      </w:r>
      <w:r w:rsidR="00992664" w:rsidRPr="0012008A">
        <w:rPr>
          <w:rStyle w:val="libFootnoteBoldChar"/>
          <w:rtl/>
        </w:rPr>
        <w:t>الوافي</w:t>
      </w:r>
      <w:r w:rsidR="00992664" w:rsidRPr="00020424">
        <w:rPr>
          <w:rtl/>
        </w:rPr>
        <w:t xml:space="preserve"> ، ج 10 ، ص 106 ، ح 9246 ؛ </w:t>
      </w:r>
      <w:r w:rsidR="00992664" w:rsidRPr="0012008A">
        <w:rPr>
          <w:rStyle w:val="libFootnoteBoldChar"/>
          <w:rtl/>
        </w:rPr>
        <w:t>الوسائل</w:t>
      </w:r>
      <w:r w:rsidR="00992664" w:rsidRPr="00020424">
        <w:rPr>
          <w:rtl/>
        </w:rPr>
        <w:t xml:space="preserve"> ، ج 9 ، ص 75 ، ذيل ح 11558.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4387E">
        <w:rPr>
          <w:rtl/>
        </w:rPr>
        <w:lastRenderedPageBreak/>
        <w:t>5847</w:t>
      </w:r>
      <w:r w:rsidRPr="001155DE">
        <w:rPr>
          <w:rStyle w:val="libBold2Char"/>
          <w:rtl/>
        </w:rPr>
        <w:t xml:space="preserve"> / 7.</w:t>
      </w:r>
      <w:r w:rsidRPr="00020424">
        <w:rPr>
          <w:rtl/>
          <w:lang w:bidi="fa-IR"/>
        </w:rPr>
        <w:t xml:space="preserve"> أَحْمَدُ بْنُ إِدْرِيسَ ، عَنْ مُحَمَّدِ بْنِ عَبْدِ الْجَبَّارِ ، عَنْ صَفْوَانَ بْنِ يَحْيى </w:t>
      </w:r>
      <w:r w:rsidRPr="00A91B96">
        <w:rPr>
          <w:rStyle w:val="libFootnotenumChar"/>
          <w:rtl/>
        </w:rPr>
        <w:t>(1)</w:t>
      </w:r>
      <w:r w:rsidRPr="00020424">
        <w:rPr>
          <w:rtl/>
          <w:lang w:bidi="fa-IR"/>
        </w:rPr>
        <w:t xml:space="preserve"> ، عَنْ مُحَمَّدِ بْنِ حَكِيمٍ ، عَنْ خَالِدِ بْنِ الْحَجَّاجِ الْكَرْخِيِّ ، قَالَ :</w:t>
      </w:r>
    </w:p>
    <w:p w:rsidR="00992664" w:rsidRPr="00020424" w:rsidRDefault="00992664" w:rsidP="00F2300D">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الزَّكَاةِ</w:t>
      </w:r>
      <w:r>
        <w:rPr>
          <w:rtl/>
          <w:lang w:bidi="fa-IR"/>
        </w:rPr>
        <w:t>؟</w:t>
      </w:r>
      <w:r w:rsidRPr="00020424">
        <w:rPr>
          <w:rtl/>
          <w:lang w:bidi="fa-IR"/>
        </w:rPr>
        <w:t xml:space="preserve"> فَقَالَ : « مَا كَانَ مِنْ تِجَارَةٍ فِي يَدِكَ </w:t>
      </w:r>
      <w:r w:rsidRPr="00A91B96">
        <w:rPr>
          <w:rStyle w:val="libFootnotenumChar"/>
          <w:rtl/>
        </w:rPr>
        <w:t>(2)</w:t>
      </w:r>
      <w:r w:rsidRPr="00020424">
        <w:rPr>
          <w:rtl/>
          <w:lang w:bidi="fa-IR"/>
        </w:rPr>
        <w:t xml:space="preserve"> فِيهَا فَضْلٌ لَيْسَ </w:t>
      </w:r>
      <w:r w:rsidR="00F2300D">
        <w:rPr>
          <w:rtl/>
          <w:lang w:bidi="fa-IR"/>
        </w:rPr>
        <w:t>يَمْنَعُكَ مِنْ بَيْعِهَا إِل</w:t>
      </w:r>
      <w:r w:rsidR="00F2300D">
        <w:rPr>
          <w:rFonts w:hint="cs"/>
          <w:rtl/>
          <w:lang w:bidi="fa-IR"/>
        </w:rPr>
        <w:t>َّ</w:t>
      </w:r>
      <w:r w:rsidR="00F2300D">
        <w:rPr>
          <w:rtl/>
          <w:lang w:bidi="fa-IR"/>
        </w:rPr>
        <w:t>ا</w:t>
      </w:r>
      <w:r w:rsidRPr="00020424">
        <w:rPr>
          <w:rtl/>
          <w:lang w:bidi="fa-IR"/>
        </w:rPr>
        <w:t xml:space="preserve"> لِتَزْدَادَ </w:t>
      </w:r>
      <w:r w:rsidRPr="00A91B96">
        <w:rPr>
          <w:rStyle w:val="libFootnotenumChar"/>
          <w:rtl/>
        </w:rPr>
        <w:t>(3)</w:t>
      </w:r>
      <w:r w:rsidRPr="00020424">
        <w:rPr>
          <w:rtl/>
          <w:lang w:bidi="fa-IR"/>
        </w:rPr>
        <w:t xml:space="preserve"> فَضْلاً عَلى فَضْلِكَ ، فَزَكِّهِ ؛ وَمَا كَانَتْ </w:t>
      </w:r>
      <w:r w:rsidRPr="00A91B96">
        <w:rPr>
          <w:rStyle w:val="libFootnotenumChar"/>
          <w:rtl/>
        </w:rPr>
        <w:t>(4)</w:t>
      </w:r>
      <w:r w:rsidRPr="00020424">
        <w:rPr>
          <w:rtl/>
          <w:lang w:bidi="fa-IR"/>
        </w:rPr>
        <w:t xml:space="preserve"> مِنْ تِجَارَةٍ </w:t>
      </w:r>
      <w:r w:rsidRPr="00A91B96">
        <w:rPr>
          <w:rStyle w:val="libFootnotenumChar"/>
          <w:rtl/>
        </w:rPr>
        <w:t>(5)</w:t>
      </w:r>
      <w:r w:rsidRPr="00020424">
        <w:rPr>
          <w:rtl/>
          <w:lang w:bidi="fa-IR"/>
        </w:rPr>
        <w:t xml:space="preserve"> فِي يَدِكَ فِيهَا نُقْصَانٌ ، فَذلِكَ شَيْ‌ءٌ آخَرُ</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Normal"/>
        <w:rPr>
          <w:rtl/>
          <w:lang w:bidi="fa-IR"/>
        </w:rPr>
      </w:pPr>
      <w:r w:rsidRPr="0044387E">
        <w:rPr>
          <w:rtl/>
        </w:rPr>
        <w:t>5848</w:t>
      </w:r>
      <w:r w:rsidRPr="001155DE">
        <w:rPr>
          <w:rStyle w:val="libBold2Char"/>
          <w:rtl/>
        </w:rPr>
        <w:t xml:space="preserve"> / 8.</w:t>
      </w:r>
      <w:r w:rsidRPr="00020424">
        <w:rPr>
          <w:rtl/>
          <w:lang w:bidi="fa-IR"/>
        </w:rPr>
        <w:t xml:space="preserve"> مُحَمَّدُ بْنُ يَحْيى ، عَنْ أَحْمَدَ بْنِ مُحَمَّدِ بْنِ عِيسى ، عَنِ الْحُسَيْنِ بْنِ سَعِيدٍ ، عَنِ الْقَاسِمِ بْنِ مُحَمَّدٍ ، عَنْ عَلِيِّ بْنِ أَبِي حَمْزَةَ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تَأْخُذَنَّ مَال</w:t>
      </w:r>
      <w:r w:rsidR="00F2300D">
        <w:rPr>
          <w:rtl/>
          <w:lang w:bidi="fa-IR"/>
        </w:rPr>
        <w:t>اً مُضَارَبَةً إِل</w:t>
      </w:r>
      <w:r w:rsidR="00F2300D">
        <w:rPr>
          <w:rFonts w:hint="cs"/>
          <w:rtl/>
          <w:lang w:bidi="fa-IR"/>
        </w:rPr>
        <w:t>َّ</w:t>
      </w:r>
      <w:r w:rsidR="00F2300D">
        <w:rPr>
          <w:rtl/>
          <w:lang w:bidi="fa-IR"/>
        </w:rPr>
        <w:t>ا</w:t>
      </w:r>
      <w:r w:rsidRPr="00020424">
        <w:rPr>
          <w:rtl/>
          <w:lang w:bidi="fa-IR"/>
        </w:rPr>
        <w:t xml:space="preserve"> مَالاً </w:t>
      </w:r>
      <w:r w:rsidRPr="00A91B96">
        <w:rPr>
          <w:rStyle w:val="libFootnotenumChar"/>
          <w:rtl/>
        </w:rPr>
        <w:t>(7)</w:t>
      </w:r>
      <w:r w:rsidRPr="00020424">
        <w:rPr>
          <w:rtl/>
          <w:lang w:bidi="fa-IR"/>
        </w:rPr>
        <w:t xml:space="preserve"> تُزَكِّيهِ ، أَوْ يُزَكِّيهِ صَاحِبُهُ</w:t>
      </w:r>
      <w:r>
        <w:rPr>
          <w:rtl/>
          <w:lang w:bidi="fa-IR"/>
        </w:rPr>
        <w:t>».</w:t>
      </w:r>
    </w:p>
    <w:p w:rsidR="00992664" w:rsidRPr="00020424" w:rsidRDefault="00992664" w:rsidP="00992664">
      <w:pPr>
        <w:pStyle w:val="libNormal"/>
        <w:rPr>
          <w:rtl/>
          <w:lang w:bidi="fa-IR"/>
        </w:rPr>
      </w:pPr>
      <w:r w:rsidRPr="00020424">
        <w:rPr>
          <w:rtl/>
          <w:lang w:bidi="fa-IR"/>
        </w:rPr>
        <w:t xml:space="preserve">وَقَالَ : « إِنْ </w:t>
      </w:r>
      <w:r w:rsidRPr="00A91B96">
        <w:rPr>
          <w:rStyle w:val="libFootnotenumChar"/>
          <w:rtl/>
        </w:rPr>
        <w:t>(8)</w:t>
      </w:r>
      <w:r w:rsidRPr="00020424">
        <w:rPr>
          <w:rtl/>
          <w:lang w:bidi="fa-IR"/>
        </w:rPr>
        <w:t xml:space="preserve"> كَانَ عِنْدَكَ مَتَاعٌ فِي الْبَيْتِ مَوْضُوعٌ ، فَأُعْطِيتَ </w:t>
      </w:r>
      <w:r w:rsidRPr="00A91B96">
        <w:rPr>
          <w:rStyle w:val="libFootnotenumChar"/>
          <w:rtl/>
        </w:rPr>
        <w:t>(9)</w:t>
      </w:r>
      <w:r w:rsidRPr="00020424">
        <w:rPr>
          <w:rtl/>
          <w:lang w:bidi="fa-IR"/>
        </w:rPr>
        <w:t xml:space="preserve"> بِهِ رَأْسَ مَالِكَ </w:t>
      </w:r>
      <w:r w:rsidRPr="00A91B96">
        <w:rPr>
          <w:rStyle w:val="libFootnotenumChar"/>
          <w:rtl/>
        </w:rPr>
        <w:t>(10)</w:t>
      </w:r>
      <w:r w:rsidRPr="00020424">
        <w:rPr>
          <w:rtl/>
          <w:lang w:bidi="fa-IR"/>
        </w:rPr>
        <w:t xml:space="preserve"> فَرَغِبْتَ عَنْهُ ، فَعَلَيْكَ زَكَاتُهُ</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44387E">
        <w:rPr>
          <w:rtl/>
        </w:rPr>
        <w:t>5849</w:t>
      </w:r>
      <w:r w:rsidRPr="001155DE">
        <w:rPr>
          <w:rStyle w:val="libBold2Char"/>
          <w:rtl/>
        </w:rPr>
        <w:t xml:space="preserve"> / 9.</w:t>
      </w:r>
      <w:r w:rsidRPr="00020424">
        <w:rPr>
          <w:rtl/>
          <w:lang w:bidi="fa-IR"/>
        </w:rPr>
        <w:t xml:space="preserve"> عِدَّةٌ مِنْ أَصْحَابِنَا ، عَنْ أَحْمَدَ بْنِ مُحَمَّدٍ ، عَنْ عَلِيِّ بْنِ الْحَكَمِ ، عَنْ إِسْمَاعِيلَ بْنِ عَبْدِ الْخَالِقِ ، قَالَ :</w:t>
      </w:r>
    </w:p>
    <w:p w:rsidR="00992664" w:rsidRPr="00020424" w:rsidRDefault="00992664" w:rsidP="00992664">
      <w:pPr>
        <w:pStyle w:val="libNormal"/>
        <w:rPr>
          <w:rtl/>
          <w:lang w:bidi="fa-IR"/>
        </w:rPr>
      </w:pPr>
      <w:r w:rsidRPr="00020424">
        <w:rPr>
          <w:rtl/>
          <w:lang w:bidi="fa-IR"/>
        </w:rPr>
        <w:t xml:space="preserve">سَأَلَهُ سَعِيدٌ الْأَعْرَجُ وَأَنَا </w:t>
      </w:r>
      <w:r w:rsidRPr="00A91B96">
        <w:rPr>
          <w:rStyle w:val="libFootnotenumChar"/>
          <w:rtl/>
        </w:rPr>
        <w:t>(12)</w:t>
      </w:r>
      <w:r w:rsidRPr="00020424">
        <w:rPr>
          <w:rtl/>
          <w:lang w:bidi="fa-IR"/>
        </w:rPr>
        <w:t xml:space="preserve"> أَسْمَعُ ، فَقَالَ : إِنَّا نَكْبِسُ </w:t>
      </w:r>
      <w:r w:rsidRPr="00A91B96">
        <w:rPr>
          <w:rStyle w:val="libFootnotenumChar"/>
          <w:rtl/>
        </w:rPr>
        <w:t>(13)</w:t>
      </w:r>
      <w:r w:rsidRPr="00020424">
        <w:rPr>
          <w:rtl/>
          <w:lang w:bidi="fa-IR"/>
        </w:rPr>
        <w:t xml:space="preserve"> ‌</w:t>
      </w:r>
      <w:r w:rsidR="00F8340F">
        <w:rPr>
          <w:rFonts w:hint="cs"/>
          <w:rtl/>
          <w:lang w:bidi="fa-IR"/>
        </w:rPr>
        <w:t>.........</w:t>
      </w:r>
      <w:r w:rsidR="0069064A">
        <w:rPr>
          <w:rFonts w:hint="cs"/>
          <w:rtl/>
          <w:lang w:bidi="fa-IR"/>
        </w:rPr>
        <w:t>............</w:t>
      </w:r>
      <w:r w:rsidR="0069064A">
        <w:rPr>
          <w:rFonts w:hint="cs"/>
          <w:rtl/>
          <w:lang w:bidi="fa-IR"/>
        </w:rPr>
        <w:tab/>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36F43" w:rsidTr="00036F43">
        <w:tc>
          <w:tcPr>
            <w:tcW w:w="4006" w:type="dxa"/>
          </w:tcPr>
          <w:p w:rsidR="00036F43" w:rsidRDefault="00036F43" w:rsidP="00992664">
            <w:pPr>
              <w:pStyle w:val="libFootnote0"/>
              <w:rPr>
                <w:rtl/>
              </w:rPr>
            </w:pPr>
            <w:r>
              <w:rPr>
                <w:rtl/>
              </w:rPr>
              <w:t xml:space="preserve">(1). </w:t>
            </w:r>
            <w:r w:rsidRPr="00020424">
              <w:rPr>
                <w:rtl/>
              </w:rPr>
              <w:t>في « بر ، بف » :</w:t>
            </w:r>
            <w:r>
              <w:rPr>
                <w:rtl/>
              </w:rPr>
              <w:t xml:space="preserve"> - </w:t>
            </w:r>
            <w:r w:rsidRPr="00020424">
              <w:rPr>
                <w:rtl/>
              </w:rPr>
              <w:t>« بن يحيى</w:t>
            </w:r>
            <w:r>
              <w:rPr>
                <w:rtl/>
              </w:rPr>
              <w:t xml:space="preserve"> ».</w:t>
            </w:r>
          </w:p>
        </w:tc>
        <w:tc>
          <w:tcPr>
            <w:tcW w:w="4006" w:type="dxa"/>
          </w:tcPr>
          <w:p w:rsidR="00036F43" w:rsidRDefault="00036F43" w:rsidP="00992664">
            <w:pPr>
              <w:pStyle w:val="libFootnote0"/>
              <w:rPr>
                <w:rtl/>
              </w:rPr>
            </w:pPr>
            <w:r>
              <w:rPr>
                <w:rtl/>
              </w:rPr>
              <w:t xml:space="preserve">(2). </w:t>
            </w:r>
            <w:r w:rsidRPr="00020424">
              <w:rPr>
                <w:rtl/>
              </w:rPr>
              <w:t>في « جن » : « يديك</w:t>
            </w:r>
            <w:r>
              <w:rPr>
                <w:rtl/>
              </w:rPr>
              <w:t xml:space="preserve"> ».</w:t>
            </w:r>
          </w:p>
        </w:tc>
      </w:tr>
      <w:tr w:rsidR="00036F43" w:rsidTr="00036F43">
        <w:tc>
          <w:tcPr>
            <w:tcW w:w="4006" w:type="dxa"/>
          </w:tcPr>
          <w:p w:rsidR="00036F43" w:rsidRDefault="00036F43" w:rsidP="00992664">
            <w:pPr>
              <w:pStyle w:val="libFootnote0"/>
              <w:rPr>
                <w:rtl/>
              </w:rPr>
            </w:pPr>
            <w:r>
              <w:rPr>
                <w:rtl/>
              </w:rPr>
              <w:t xml:space="preserve">(3). </w:t>
            </w:r>
            <w:r w:rsidRPr="00020424">
              <w:rPr>
                <w:rtl/>
              </w:rPr>
              <w:t>في « بر » : « ليزداد</w:t>
            </w:r>
            <w:r>
              <w:rPr>
                <w:rtl/>
              </w:rPr>
              <w:t xml:space="preserve"> ».</w:t>
            </w:r>
          </w:p>
        </w:tc>
        <w:tc>
          <w:tcPr>
            <w:tcW w:w="4006" w:type="dxa"/>
          </w:tcPr>
          <w:p w:rsidR="00036F43" w:rsidRDefault="00036F43"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وما كان</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للتجارة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104 ، ح 9239 ؛ </w:t>
      </w:r>
      <w:r w:rsidR="00992664" w:rsidRPr="0012008A">
        <w:rPr>
          <w:rStyle w:val="libFootnoteBoldChar"/>
          <w:rtl/>
        </w:rPr>
        <w:t>الوسائل</w:t>
      </w:r>
      <w:r w:rsidR="00992664" w:rsidRPr="00020424">
        <w:rPr>
          <w:rtl/>
        </w:rPr>
        <w:t xml:space="preserve"> ، ج 9 ، ص 71 ، ح 11548.</w:t>
      </w:r>
    </w:p>
    <w:tbl>
      <w:tblPr>
        <w:tblStyle w:val="TableGrid"/>
        <w:bidiVisual/>
        <w:tblW w:w="0" w:type="auto"/>
        <w:tblLook w:val="04A0" w:firstRow="1" w:lastRow="0" w:firstColumn="1" w:lastColumn="0" w:noHBand="0" w:noVBand="1"/>
      </w:tblPr>
      <w:tblGrid>
        <w:gridCol w:w="4006"/>
        <w:gridCol w:w="4006"/>
      </w:tblGrid>
      <w:tr w:rsidR="0001579C" w:rsidTr="0001579C">
        <w:tc>
          <w:tcPr>
            <w:tcW w:w="4006" w:type="dxa"/>
          </w:tcPr>
          <w:p w:rsidR="0001579C" w:rsidRDefault="0001579C" w:rsidP="00992664">
            <w:pPr>
              <w:pStyle w:val="libFootnote0"/>
              <w:rPr>
                <w:rtl/>
              </w:rPr>
            </w:pPr>
            <w:r>
              <w:rPr>
                <w:rtl/>
              </w:rPr>
              <w:t xml:space="preserve">(7). </w:t>
            </w:r>
            <w:r w:rsidRPr="00020424">
              <w:rPr>
                <w:rtl/>
              </w:rPr>
              <w:t xml:space="preserve">في « بخ ، بر ، بف » </w:t>
            </w:r>
            <w:r w:rsidRPr="00515444">
              <w:rPr>
                <w:rStyle w:val="libFootnoteBoldChar"/>
                <w:rtl/>
              </w:rPr>
              <w:t>والوافي</w:t>
            </w:r>
            <w:r w:rsidRPr="00020424">
              <w:rPr>
                <w:rtl/>
              </w:rPr>
              <w:t xml:space="preserve"> : « ما</w:t>
            </w:r>
            <w:r>
              <w:rPr>
                <w:rtl/>
              </w:rPr>
              <w:t xml:space="preserve"> ».</w:t>
            </w:r>
          </w:p>
        </w:tc>
        <w:tc>
          <w:tcPr>
            <w:tcW w:w="4006" w:type="dxa"/>
          </w:tcPr>
          <w:p w:rsidR="0001579C" w:rsidRDefault="0001579C" w:rsidP="00992664">
            <w:pPr>
              <w:pStyle w:val="libFootnote0"/>
              <w:rPr>
                <w:rtl/>
              </w:rPr>
            </w:pPr>
            <w:r>
              <w:rPr>
                <w:rtl/>
              </w:rPr>
              <w:t xml:space="preserve">(8). </w:t>
            </w:r>
            <w:r w:rsidRPr="00020424">
              <w:rPr>
                <w:rtl/>
              </w:rPr>
              <w:t xml:space="preserve">في « بث ، بخ » </w:t>
            </w:r>
            <w:r w:rsidRPr="00515444">
              <w:rPr>
                <w:rStyle w:val="libFootnoteBoldChar"/>
                <w:rtl/>
              </w:rPr>
              <w:t>والوافي</w:t>
            </w:r>
            <w:r w:rsidRPr="00020424">
              <w:rPr>
                <w:rtl/>
              </w:rPr>
              <w:t xml:space="preserve"> : « وإن</w:t>
            </w:r>
            <w:r>
              <w:rPr>
                <w:rtl/>
              </w:rPr>
              <w:t xml:space="preserve"> ».</w:t>
            </w:r>
          </w:p>
        </w:tc>
      </w:tr>
      <w:tr w:rsidR="0001579C" w:rsidTr="0001579C">
        <w:tc>
          <w:tcPr>
            <w:tcW w:w="4006" w:type="dxa"/>
          </w:tcPr>
          <w:p w:rsidR="0001579C" w:rsidRDefault="0001579C" w:rsidP="00992664">
            <w:pPr>
              <w:pStyle w:val="libFootnote0"/>
              <w:rPr>
                <w:rtl/>
              </w:rPr>
            </w:pPr>
            <w:r>
              <w:rPr>
                <w:rtl/>
              </w:rPr>
              <w:t xml:space="preserve">(9). </w:t>
            </w:r>
            <w:r w:rsidRPr="00020424">
              <w:rPr>
                <w:rtl/>
              </w:rPr>
              <w:t>في « بح » : « وا</w:t>
            </w:r>
            <w:r w:rsidR="00273FAB">
              <w:rPr>
                <w:rFonts w:hint="cs"/>
                <w:rtl/>
              </w:rPr>
              <w:t>ُ</w:t>
            </w:r>
            <w:r w:rsidRPr="00020424">
              <w:rPr>
                <w:rtl/>
              </w:rPr>
              <w:t>عطيت</w:t>
            </w:r>
            <w:r>
              <w:rPr>
                <w:rtl/>
              </w:rPr>
              <w:t xml:space="preserve"> ».</w:t>
            </w:r>
          </w:p>
        </w:tc>
        <w:tc>
          <w:tcPr>
            <w:tcW w:w="4006" w:type="dxa"/>
          </w:tcPr>
          <w:p w:rsidR="0001579C" w:rsidRDefault="00160B60" w:rsidP="00992664">
            <w:pPr>
              <w:pStyle w:val="libFootnote0"/>
              <w:rPr>
                <w:rtl/>
              </w:rPr>
            </w:pPr>
            <w:r>
              <w:rPr>
                <w:rtl/>
              </w:rPr>
              <w:t xml:space="preserve">(10). </w:t>
            </w:r>
            <w:r w:rsidRPr="00020424">
              <w:rPr>
                <w:rtl/>
              </w:rPr>
              <w:t>في « بس » : « المال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105 ، ح 9241 ؛ </w:t>
      </w:r>
      <w:r w:rsidR="00992664" w:rsidRPr="0012008A">
        <w:rPr>
          <w:rStyle w:val="libFootnoteBoldChar"/>
          <w:rtl/>
        </w:rPr>
        <w:t>الوسائل</w:t>
      </w:r>
      <w:r w:rsidR="00992664" w:rsidRPr="00020424">
        <w:rPr>
          <w:rtl/>
        </w:rPr>
        <w:t xml:space="preserve"> ، ج 9 ، ص 72 ، ح 11550 ، من قوله : « إن كان عندك متاع في البيت ؛ </w:t>
      </w:r>
      <w:r w:rsidR="00992664" w:rsidRPr="0044387E">
        <w:rPr>
          <w:rtl/>
        </w:rPr>
        <w:t>وفيه</w:t>
      </w:r>
      <w:r w:rsidR="00992664" w:rsidRPr="00020424">
        <w:rPr>
          <w:rtl/>
        </w:rPr>
        <w:t xml:space="preserve"> ، ص 77 ، ح 11563 ، إلى قوله : « أو يزكّيه صاحبه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EE0C68">
        <w:rPr>
          <w:rStyle w:val="libFootnoteBoldChar"/>
          <w:rtl/>
        </w:rPr>
        <w:t>وقرب الإسناد</w:t>
      </w:r>
      <w:r w:rsidR="00992664" w:rsidRPr="00020424">
        <w:rPr>
          <w:rtl/>
        </w:rPr>
        <w:t xml:space="preserve"> : + « حاضر</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بخ » : « نيبس</w:t>
      </w:r>
      <w:r w:rsidR="00992664">
        <w:rPr>
          <w:rtl/>
        </w:rPr>
        <w:t xml:space="preserve"> ».</w:t>
      </w:r>
      <w:r w:rsidR="00992664" w:rsidRPr="00020424">
        <w:rPr>
          <w:rtl/>
        </w:rPr>
        <w:t xml:space="preserve"> </w:t>
      </w:r>
      <w:r w:rsidR="00992664">
        <w:rPr>
          <w:rtl/>
        </w:rPr>
        <w:t>و «</w:t>
      </w:r>
      <w:r w:rsidR="00992664" w:rsidRPr="00020424">
        <w:rPr>
          <w:rtl/>
        </w:rPr>
        <w:t xml:space="preserve"> نَكْبِسُ » ، أي ندّخر في الكبس ، وهو</w:t>
      </w:r>
      <w:r w:rsidR="00992664">
        <w:rPr>
          <w:rtl/>
        </w:rPr>
        <w:t xml:space="preserve"> </w:t>
      </w:r>
      <w:r w:rsidR="009B673F">
        <w:rPr>
          <w:rtl/>
        </w:rPr>
        <w:t>-</w:t>
      </w:r>
      <w:r w:rsidR="00992664">
        <w:rPr>
          <w:rtl/>
        </w:rPr>
        <w:t xml:space="preserve"> </w:t>
      </w:r>
      <w:r w:rsidR="00992664" w:rsidRPr="00020424">
        <w:rPr>
          <w:rtl/>
        </w:rPr>
        <w:t>بكسر الكاف وسكون الباء</w:t>
      </w:r>
      <w:r w:rsidR="00992664">
        <w:rPr>
          <w:rtl/>
        </w:rPr>
        <w:t xml:space="preserve"> </w:t>
      </w:r>
      <w:r w:rsidR="009B673F">
        <w:rPr>
          <w:rtl/>
        </w:rPr>
        <w:t>-</w:t>
      </w:r>
      <w:r w:rsidR="00992664">
        <w:rPr>
          <w:rtl/>
        </w:rPr>
        <w:t xml:space="preserve"> </w:t>
      </w:r>
      <w:r w:rsidR="00992664" w:rsidRPr="00020424">
        <w:rPr>
          <w:rtl/>
        </w:rPr>
        <w:t xml:space="preserve">البيت الصغير ، </w:t>
      </w:r>
      <w:r w:rsidR="00273FA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الزَّيْتَ </w:t>
      </w:r>
      <w:r w:rsidRPr="00A91B96">
        <w:rPr>
          <w:rStyle w:val="libFootnotenumChar"/>
          <w:rtl/>
        </w:rPr>
        <w:t>(1)</w:t>
      </w:r>
      <w:r w:rsidRPr="00020424">
        <w:rPr>
          <w:rtl/>
          <w:lang w:bidi="fa-IR"/>
        </w:rPr>
        <w:t xml:space="preserve"> وَالسَّمْنَ </w:t>
      </w:r>
      <w:r w:rsidRPr="00A91B96">
        <w:rPr>
          <w:rStyle w:val="libFootnotenumChar"/>
          <w:rtl/>
        </w:rPr>
        <w:t>(2)</w:t>
      </w:r>
      <w:r w:rsidRPr="00020424">
        <w:rPr>
          <w:rtl/>
          <w:lang w:bidi="fa-IR"/>
        </w:rPr>
        <w:t xml:space="preserve"> ، نَطْلُبُ بِهِ التِّجَارَةَ ، فَرُبَّمَا مَكَثَ عِنْدَنَا السَّنَةَ وَالسَّنَتَيْنِ ، هَلْ عَلَيْهِ زَكَاةٌ</w:t>
      </w:r>
      <w:r>
        <w:rPr>
          <w:rtl/>
          <w:lang w:bidi="fa-IR"/>
        </w:rPr>
        <w:t>؟</w:t>
      </w:r>
    </w:p>
    <w:p w:rsidR="00992664" w:rsidRPr="00020424" w:rsidRDefault="00992664" w:rsidP="00992664">
      <w:pPr>
        <w:pStyle w:val="libNormal"/>
        <w:rPr>
          <w:rtl/>
          <w:lang w:bidi="fa-IR"/>
        </w:rPr>
      </w:pPr>
      <w:r w:rsidRPr="00020424">
        <w:rPr>
          <w:rtl/>
          <w:lang w:bidi="fa-IR"/>
        </w:rPr>
        <w:t xml:space="preserve">قَالَ : فَقَالَ : « إِنْ كُنْتَ تَرْبَحُ فِيهِ شَيْئاً ، أَوْ تَجِدُ رَأْسَ مَالِكَ ، فَعَلَيْكَ زَكَاتُهُ </w:t>
      </w:r>
      <w:r w:rsidRPr="00A91B96">
        <w:rPr>
          <w:rStyle w:val="libFootnotenumChar"/>
          <w:rtl/>
        </w:rPr>
        <w:t>(3)</w:t>
      </w:r>
      <w:r w:rsidRPr="00020424">
        <w:rPr>
          <w:rtl/>
          <w:lang w:bidi="fa-IR"/>
        </w:rPr>
        <w:t xml:space="preserve"> ؛ وَإِنْ كُنْتَ إِنَّمَا تَرَبَّصُ بِهِ </w:t>
      </w:r>
      <w:r w:rsidRPr="00A91B96">
        <w:rPr>
          <w:rStyle w:val="libFootnotenumChar"/>
          <w:rtl/>
        </w:rPr>
        <w:t>(4)</w:t>
      </w:r>
      <w:r w:rsidR="00E3109A">
        <w:rPr>
          <w:rtl/>
          <w:lang w:bidi="fa-IR"/>
        </w:rPr>
        <w:t xml:space="preserve"> لِأَنَّكَ لَاتَجِدُ إِل</w:t>
      </w:r>
      <w:r w:rsidR="00E3109A">
        <w:rPr>
          <w:rFonts w:hint="cs"/>
          <w:rtl/>
          <w:lang w:bidi="fa-IR"/>
        </w:rPr>
        <w:t>َّ</w:t>
      </w:r>
      <w:r w:rsidR="00E3109A">
        <w:rPr>
          <w:rtl/>
          <w:lang w:bidi="fa-IR"/>
        </w:rPr>
        <w:t>ا</w:t>
      </w:r>
      <w:r w:rsidRPr="00020424">
        <w:rPr>
          <w:rtl/>
          <w:lang w:bidi="fa-IR"/>
        </w:rPr>
        <w:t xml:space="preserve"> وَضِيعَةً </w:t>
      </w:r>
      <w:r w:rsidRPr="00A91B96">
        <w:rPr>
          <w:rStyle w:val="libFootnotenumChar"/>
          <w:rtl/>
        </w:rPr>
        <w:t>(5)</w:t>
      </w:r>
      <w:r w:rsidRPr="00020424">
        <w:rPr>
          <w:rtl/>
          <w:lang w:bidi="fa-IR"/>
        </w:rPr>
        <w:t xml:space="preserve"> ، فَلَيْسَ عَلَيْكَ زَكَاتُهُ </w:t>
      </w:r>
      <w:r w:rsidRPr="00A91B96">
        <w:rPr>
          <w:rStyle w:val="libFootnotenumChar"/>
          <w:rtl/>
        </w:rPr>
        <w:t>(6)</w:t>
      </w:r>
      <w:r w:rsidRPr="00020424">
        <w:rPr>
          <w:rtl/>
          <w:lang w:bidi="fa-IR"/>
        </w:rPr>
        <w:t xml:space="preserve"> حَتّى يَصِيرَ ذَهَباً أَوْ فِضَّةً ، فَإِذَا صَارَ ذَهَباً أَوْ فِضَّةً ، فَزَكِّهِ </w:t>
      </w:r>
      <w:r w:rsidRPr="00A91B96">
        <w:rPr>
          <w:rStyle w:val="libFootnotenumChar"/>
          <w:rtl/>
        </w:rPr>
        <w:t>(7)</w:t>
      </w:r>
      <w:r w:rsidRPr="00020424">
        <w:rPr>
          <w:rtl/>
          <w:lang w:bidi="fa-IR"/>
        </w:rPr>
        <w:t xml:space="preserve"> لِلسَّنَةِ الَّتِي اتَّجَرْتَ </w:t>
      </w:r>
      <w:r w:rsidRPr="00A91B96">
        <w:rPr>
          <w:rStyle w:val="libFootnotenumChar"/>
          <w:rtl/>
        </w:rPr>
        <w:t>(8)</w:t>
      </w:r>
      <w:r w:rsidRPr="00020424">
        <w:rPr>
          <w:rtl/>
          <w:lang w:bidi="fa-IR"/>
        </w:rPr>
        <w:t xml:space="preserve"> فِيهَا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Heading2Center"/>
        <w:rPr>
          <w:rtl/>
          <w:lang w:bidi="fa-IR"/>
        </w:rPr>
      </w:pPr>
      <w:bookmarkStart w:id="63" w:name="_Toc345172737"/>
      <w:bookmarkStart w:id="64" w:name="_Toc464562554"/>
      <w:bookmarkStart w:id="65" w:name="_Toc44599857"/>
      <w:r w:rsidRPr="00020424">
        <w:rPr>
          <w:rtl/>
          <w:lang w:bidi="fa-IR"/>
        </w:rPr>
        <w:t>17</w:t>
      </w:r>
      <w:r>
        <w:rPr>
          <w:rtl/>
          <w:lang w:bidi="fa-IR"/>
        </w:rPr>
        <w:t xml:space="preserve"> </w:t>
      </w:r>
      <w:r w:rsidR="009B673F">
        <w:rPr>
          <w:rtl/>
          <w:lang w:bidi="fa-IR"/>
        </w:rPr>
        <w:t>-</w:t>
      </w:r>
      <w:r>
        <w:rPr>
          <w:rtl/>
          <w:lang w:bidi="fa-IR"/>
        </w:rPr>
        <w:t xml:space="preserve"> </w:t>
      </w:r>
      <w:r w:rsidRPr="00020424">
        <w:rPr>
          <w:rtl/>
          <w:lang w:bidi="fa-IR"/>
        </w:rPr>
        <w:t xml:space="preserve">بَابُ مَا يَجِبُ </w:t>
      </w:r>
      <w:r w:rsidRPr="00A91B96">
        <w:rPr>
          <w:rStyle w:val="libFootnotenumChar"/>
          <w:rtl/>
        </w:rPr>
        <w:t>(11)</w:t>
      </w:r>
      <w:r>
        <w:rPr>
          <w:rtl/>
        </w:rPr>
        <w:t xml:space="preserve"> </w:t>
      </w:r>
      <w:r w:rsidRPr="00020424">
        <w:rPr>
          <w:rtl/>
          <w:lang w:bidi="fa-IR"/>
        </w:rPr>
        <w:t xml:space="preserve">عَلَيْهِ الصَّدَقَةُ مِنَ الْحَيَوَانِ وَمَا لَايَجِبُ </w:t>
      </w:r>
      <w:r w:rsidRPr="00A91B96">
        <w:rPr>
          <w:rStyle w:val="libFootnotenumChar"/>
          <w:rtl/>
        </w:rPr>
        <w:t>(12)</w:t>
      </w:r>
      <w:bookmarkEnd w:id="63"/>
      <w:bookmarkEnd w:id="64"/>
      <w:bookmarkEnd w:id="65"/>
    </w:p>
    <w:p w:rsidR="00992664" w:rsidRPr="00020424" w:rsidRDefault="00992664" w:rsidP="00992664">
      <w:pPr>
        <w:pStyle w:val="libNormal"/>
        <w:rPr>
          <w:rtl/>
          <w:lang w:bidi="fa-IR"/>
        </w:rPr>
      </w:pPr>
      <w:r w:rsidRPr="0044387E">
        <w:rPr>
          <w:rtl/>
        </w:rPr>
        <w:t>5850</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(13)</w:t>
      </w:r>
      <w:r w:rsidRPr="00020424">
        <w:rPr>
          <w:rtl/>
          <w:lang w:bidi="fa-IR"/>
        </w:rPr>
        <w:t xml:space="preserve"> ، عَنْ حَرِيزٍ ، عَنْ‌</w:t>
      </w:r>
    </w:p>
    <w:p w:rsidR="00992664" w:rsidRPr="00020424" w:rsidRDefault="00992664" w:rsidP="00992664">
      <w:pPr>
        <w:pStyle w:val="libLine"/>
        <w:rPr>
          <w:rtl/>
          <w:lang w:bidi="fa-IR"/>
        </w:rPr>
      </w:pPr>
      <w:r w:rsidRPr="00020424">
        <w:rPr>
          <w:rtl/>
          <w:lang w:bidi="fa-IR"/>
        </w:rPr>
        <w:t>__________________</w:t>
      </w:r>
    </w:p>
    <w:p w:rsidR="00992664" w:rsidRPr="00020424" w:rsidRDefault="007448CB" w:rsidP="00992664">
      <w:pPr>
        <w:pStyle w:val="libFootnote0"/>
        <w:rPr>
          <w:rtl/>
          <w:lang w:bidi="fa-IR"/>
        </w:rPr>
      </w:pPr>
      <w:r>
        <w:rPr>
          <w:rFonts w:hint="cs"/>
          <w:rtl/>
        </w:rPr>
        <w:t xml:space="preserve">= </w:t>
      </w:r>
      <w:r w:rsidR="00992664" w:rsidRPr="00020424">
        <w:rPr>
          <w:rtl/>
        </w:rPr>
        <w:t xml:space="preserve">والبيت من الطين ، من قولهم : كبس رأسه في ثوبه ، أي أخفاه وأدخله فيه. راجع : </w:t>
      </w:r>
      <w:r w:rsidR="00992664" w:rsidRPr="00A722B1">
        <w:rPr>
          <w:rStyle w:val="libFootnoteBoldChar"/>
          <w:rtl/>
        </w:rPr>
        <w:t>لسان العرب</w:t>
      </w:r>
      <w:r w:rsidR="00992664" w:rsidRPr="00020424">
        <w:rPr>
          <w:rtl/>
        </w:rPr>
        <w:t xml:space="preserve"> ، ج 6 ، ص 190 ؛ </w:t>
      </w:r>
      <w:r w:rsidR="00992664" w:rsidRPr="00A722B1">
        <w:rPr>
          <w:rStyle w:val="libFootnoteBoldChar"/>
          <w:rtl/>
        </w:rPr>
        <w:t>القاموس المحيط</w:t>
      </w:r>
      <w:r w:rsidR="00992664" w:rsidRPr="00020424">
        <w:rPr>
          <w:rtl/>
        </w:rPr>
        <w:t xml:space="preserve"> ، ج 1 ، ص 779 ( كبس ) ؛ </w:t>
      </w:r>
      <w:r w:rsidR="00992664" w:rsidRPr="0012008A">
        <w:rPr>
          <w:rStyle w:val="libFootnoteBoldChar"/>
          <w:rtl/>
        </w:rPr>
        <w:t>الوافي</w:t>
      </w:r>
      <w:r w:rsidR="00992664" w:rsidRPr="00020424">
        <w:rPr>
          <w:rtl/>
        </w:rPr>
        <w:t xml:space="preserve"> ، ج 10 ، ص 104.</w:t>
      </w:r>
    </w:p>
    <w:tbl>
      <w:tblPr>
        <w:tblStyle w:val="TableGrid"/>
        <w:bidiVisual/>
        <w:tblW w:w="0" w:type="auto"/>
        <w:tblLook w:val="04A0" w:firstRow="1" w:lastRow="0" w:firstColumn="1" w:lastColumn="0" w:noHBand="0" w:noVBand="1"/>
      </w:tblPr>
      <w:tblGrid>
        <w:gridCol w:w="4006"/>
        <w:gridCol w:w="4006"/>
      </w:tblGrid>
      <w:tr w:rsidR="006712BD" w:rsidTr="006712BD">
        <w:tc>
          <w:tcPr>
            <w:tcW w:w="4006" w:type="dxa"/>
          </w:tcPr>
          <w:p w:rsidR="006712BD" w:rsidRDefault="006712BD" w:rsidP="00992664">
            <w:pPr>
              <w:pStyle w:val="libFootnote0"/>
              <w:rPr>
                <w:rtl/>
              </w:rPr>
            </w:pPr>
            <w:r>
              <w:rPr>
                <w:rtl/>
              </w:rPr>
              <w:t xml:space="preserve">(1). </w:t>
            </w:r>
            <w:r w:rsidRPr="00020424">
              <w:rPr>
                <w:rtl/>
              </w:rPr>
              <w:t>في « بخ » : « الزبيب</w:t>
            </w:r>
            <w:r>
              <w:rPr>
                <w:rtl/>
              </w:rPr>
              <w:t xml:space="preserve"> ».</w:t>
            </w:r>
          </w:p>
        </w:tc>
        <w:tc>
          <w:tcPr>
            <w:tcW w:w="4006" w:type="dxa"/>
          </w:tcPr>
          <w:p w:rsidR="006712BD" w:rsidRDefault="006712BD" w:rsidP="00992664">
            <w:pPr>
              <w:pStyle w:val="libFootnote0"/>
              <w:rPr>
                <w:rtl/>
              </w:rPr>
            </w:pPr>
            <w:r>
              <w:rPr>
                <w:rtl/>
              </w:rPr>
              <w:t xml:space="preserve">(2). </w:t>
            </w:r>
            <w:r w:rsidRPr="00020424">
              <w:rPr>
                <w:rtl/>
              </w:rPr>
              <w:t xml:space="preserve">في </w:t>
            </w:r>
            <w:r w:rsidRPr="0012008A">
              <w:rPr>
                <w:rStyle w:val="libFootnoteBoldChar"/>
                <w:rtl/>
              </w:rPr>
              <w:t>التهذيب</w:t>
            </w:r>
            <w:r w:rsidRPr="00020424">
              <w:rPr>
                <w:rtl/>
              </w:rPr>
              <w:t xml:space="preserve"> : + « عندنا</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w:t>
      </w:r>
      <w:r w:rsidR="00992664" w:rsidRPr="00EE0C68">
        <w:rPr>
          <w:rStyle w:val="libFootnoteBoldChar"/>
          <w:rtl/>
        </w:rPr>
        <w:t>وقرب الإسناد</w:t>
      </w:r>
      <w:r w:rsidR="00992664" w:rsidRPr="00020424">
        <w:rPr>
          <w:rtl/>
        </w:rPr>
        <w:t xml:space="preserve"> : « الزكاة</w:t>
      </w:r>
      <w:r w:rsidR="00992664">
        <w:rPr>
          <w:rtl/>
        </w:rPr>
        <w:t xml:space="preserve"> ».</w:t>
      </w:r>
      <w:r w:rsidR="00992664" w:rsidRPr="00020424">
        <w:rPr>
          <w:rtl/>
        </w:rPr>
        <w:t xml:space="preserve"> </w:t>
      </w:r>
      <w:r w:rsidR="00992664" w:rsidRPr="007B7982">
        <w:rPr>
          <w:rtl/>
        </w:rPr>
        <w:t xml:space="preserve">وفي الوافي </w:t>
      </w:r>
      <w:r w:rsidR="00992664" w:rsidRPr="00515444">
        <w:rPr>
          <w:rStyle w:val="libFootnoteBoldChar"/>
          <w:rtl/>
        </w:rPr>
        <w:t>والتهذيب</w:t>
      </w:r>
      <w:r w:rsidR="00992664" w:rsidRPr="007B7982">
        <w:rPr>
          <w:rtl/>
        </w:rPr>
        <w:t xml:space="preserve"> </w:t>
      </w:r>
      <w:r w:rsidR="00992664" w:rsidRPr="00FD6221">
        <w:rPr>
          <w:rStyle w:val="libFootnoteBoldChar"/>
          <w:rtl/>
        </w:rPr>
        <w:t>والاستبصار</w:t>
      </w:r>
      <w:r w:rsidR="00992664" w:rsidRPr="00020424">
        <w:rPr>
          <w:rtl/>
        </w:rPr>
        <w:t xml:space="preserve"> : « فيه زكاة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التربّص : المكث والانتظار ، والمتربّص : المحتكر ، ويقال : رَبَصَ بالشي‌ء رَبْصاً وتربّص به ، أي انتظر به خيراً</w:t>
      </w:r>
      <w:r w:rsidR="00992664">
        <w:rPr>
          <w:rFonts w:hint="cs"/>
          <w:rtl/>
        </w:rPr>
        <w:t xml:space="preserve"> </w:t>
      </w:r>
      <w:r w:rsidR="00992664" w:rsidRPr="00020424">
        <w:rPr>
          <w:rtl/>
        </w:rPr>
        <w:t xml:space="preserve">أو شرّاً. راجع : </w:t>
      </w:r>
      <w:r w:rsidR="00992664" w:rsidRPr="0012008A">
        <w:rPr>
          <w:rStyle w:val="libFootnoteBoldChar"/>
          <w:rtl/>
        </w:rPr>
        <w:t>الصحاح</w:t>
      </w:r>
      <w:r w:rsidR="00992664" w:rsidRPr="00020424">
        <w:rPr>
          <w:rtl/>
        </w:rPr>
        <w:t xml:space="preserve"> ، ج 3 ، ص 1041 ؛ </w:t>
      </w:r>
      <w:r w:rsidR="00992664" w:rsidRPr="00A722B1">
        <w:rPr>
          <w:rStyle w:val="libFootnoteBoldChar"/>
          <w:rtl/>
        </w:rPr>
        <w:t>لسان العرب</w:t>
      </w:r>
      <w:r w:rsidR="00992664" w:rsidRPr="00020424">
        <w:rPr>
          <w:rtl/>
        </w:rPr>
        <w:t xml:space="preserve"> ، ج 7 ، ص 39 ( ربص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قرب ا</w:t>
      </w:r>
      <w:r w:rsidR="004F228D">
        <w:rPr>
          <w:rtl/>
        </w:rPr>
        <w:t>لإسناد : « رأس مالك » بدل « إل</w:t>
      </w:r>
      <w:r w:rsidR="004F228D">
        <w:rPr>
          <w:rFonts w:hint="cs"/>
          <w:rtl/>
        </w:rPr>
        <w:t>ّ</w:t>
      </w:r>
      <w:r w:rsidR="004F228D">
        <w:rPr>
          <w:rtl/>
        </w:rPr>
        <w:t>ا</w:t>
      </w:r>
      <w:r w:rsidR="00992664" w:rsidRPr="00020424">
        <w:rPr>
          <w:rtl/>
        </w:rPr>
        <w:t xml:space="preserve"> وضيعة</w:t>
      </w:r>
      <w:r w:rsidR="00992664">
        <w:rPr>
          <w:rtl/>
        </w:rPr>
        <w:t xml:space="preserve"> ».</w:t>
      </w:r>
      <w:r w:rsidR="00992664" w:rsidRPr="00020424">
        <w:rPr>
          <w:rtl/>
        </w:rPr>
        <w:t xml:space="preserve"> </w:t>
      </w:r>
      <w:r w:rsidR="00992664">
        <w:rPr>
          <w:rtl/>
        </w:rPr>
        <w:t>و «</w:t>
      </w:r>
      <w:r w:rsidR="00992664" w:rsidRPr="00020424">
        <w:rPr>
          <w:rtl/>
        </w:rPr>
        <w:t xml:space="preserve"> الوَضيعة » : الخسارة. </w:t>
      </w:r>
      <w:r w:rsidR="00992664" w:rsidRPr="0012008A">
        <w:rPr>
          <w:rStyle w:val="libFootnoteBoldChar"/>
          <w:rtl/>
        </w:rPr>
        <w:t>النهاية</w:t>
      </w:r>
      <w:r w:rsidR="00992664" w:rsidRPr="00020424">
        <w:rPr>
          <w:rtl/>
        </w:rPr>
        <w:t xml:space="preserve"> ، ج 5 ، ص 198 ( وضع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بخ ، بر » </w:t>
      </w:r>
      <w:r w:rsidR="00992664" w:rsidRPr="00F8340F">
        <w:rPr>
          <w:rtl/>
        </w:rPr>
        <w:t>والوافي والوسائل والتهذيب والاستبصار والمقنعة</w:t>
      </w:r>
      <w:r w:rsidR="00992664" w:rsidRPr="00020424">
        <w:rPr>
          <w:rtl/>
        </w:rPr>
        <w:t xml:space="preserve"> : « زكاة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الاستبصار : « تزكّيه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تتّجر</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تجبّر</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 « منها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تجبر فيها ، بالجيم والباء الموحّدة وحذف إحدى تاءي المضارع ، من قولهم : تجبّر الرجل ، إذا أعاد إليه ما ذهب منه. والمراد هنا عود رأس ماله بعد فقدانه. كذا ضبطه ا</w:t>
      </w:r>
      <w:r w:rsidR="004F228D">
        <w:rPr>
          <w:rFonts w:hint="cs"/>
          <w:rtl/>
        </w:rPr>
        <w:t>ُ</w:t>
      </w:r>
      <w:r w:rsidR="00992664" w:rsidRPr="00020424">
        <w:rPr>
          <w:rtl/>
        </w:rPr>
        <w:t>ستادنا ، السيّد ماجد بن هاشم. وفي أكثر النسخ : اتّجر فيها ، وربما يصحّف في النسخ بتصحيفات ا</w:t>
      </w:r>
      <w:r w:rsidR="004F228D">
        <w:rPr>
          <w:rFonts w:hint="cs"/>
          <w:rtl/>
        </w:rPr>
        <w:t>ُ</w:t>
      </w:r>
      <w:r w:rsidR="00992664" w:rsidRPr="00020424">
        <w:rPr>
          <w:rtl/>
        </w:rPr>
        <w:t>خر ، كاتّجرت وتتّجر</w:t>
      </w:r>
      <w:r w:rsidR="00992664">
        <w:rPr>
          <w:rtl/>
        </w:rPr>
        <w:t xml:space="preserve"> ».</w:t>
      </w:r>
    </w:p>
    <w:p w:rsidR="00992664" w:rsidRPr="00020424" w:rsidRDefault="00795177" w:rsidP="009C165D">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69 ، ح 187 ؛ </w:t>
      </w:r>
      <w:r w:rsidR="00992664" w:rsidRPr="00FD6221">
        <w:rPr>
          <w:rStyle w:val="libFootnoteBoldChar"/>
          <w:rtl/>
        </w:rPr>
        <w:t>والاستبصار</w:t>
      </w:r>
      <w:r w:rsidR="00992664" w:rsidRPr="00020424">
        <w:rPr>
          <w:rtl/>
        </w:rPr>
        <w:t xml:space="preserve"> ، ج 2 ، ص 10 ، ح 6 ، معلّقاً عن الكليني. </w:t>
      </w:r>
      <w:r w:rsidR="00992664" w:rsidRPr="0044387E">
        <w:rPr>
          <w:rtl/>
        </w:rPr>
        <w:t>قرب الإسناد</w:t>
      </w:r>
      <w:r w:rsidR="00992664" w:rsidRPr="00020424">
        <w:rPr>
          <w:rtl/>
        </w:rPr>
        <w:t xml:space="preserve"> ، ص 126 ، ح 442 ، بسنده عن إسماعيل بن عبدالخالق ، عن سعيد الأعرج السمّان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247 ، مرسلاً عن إسماعيل بن عبدالخالق ، وفي الأخيرين مع اختلاف يسير</w:t>
      </w:r>
      <w:r w:rsidR="0097461F">
        <w:rPr>
          <w:rFonts w:hint="cs"/>
          <w:rtl/>
        </w:rPr>
        <w:t>.</w:t>
      </w:r>
      <w:r w:rsidR="00992664" w:rsidRPr="0012008A">
        <w:rPr>
          <w:rStyle w:val="libFootnoteBoldChar"/>
          <w:rtl/>
        </w:rPr>
        <w:t>الوافي</w:t>
      </w:r>
      <w:r w:rsidR="00992664" w:rsidRPr="00020424">
        <w:rPr>
          <w:rtl/>
        </w:rPr>
        <w:t xml:space="preserve"> ، ج 10 ، ص104،ح9238؛</w:t>
      </w:r>
      <w:r w:rsidR="00992664" w:rsidRPr="0012008A">
        <w:rPr>
          <w:rStyle w:val="libFootnoteBoldChar"/>
          <w:rtl/>
        </w:rPr>
        <w:t>الوسائل</w:t>
      </w:r>
      <w:r w:rsidR="00992664" w:rsidRPr="00020424">
        <w:rPr>
          <w:rtl/>
        </w:rPr>
        <w:t>،ج9،ص70،ح11544.</w:t>
      </w:r>
      <w:r w:rsidR="00F8340F">
        <w:rPr>
          <w:rFonts w:hint="cs"/>
          <w:rtl/>
        </w:rPr>
        <w:t xml:space="preserve"> </w:t>
      </w:r>
      <w:r w:rsidR="00DC0C3F">
        <w:rPr>
          <w:rFonts w:hint="cs"/>
          <w:rtl/>
        </w:rPr>
        <w:t xml:space="preserve">  </w:t>
      </w:r>
      <w:r w:rsidR="009C165D">
        <w:rPr>
          <w:rFonts w:hint="cs"/>
          <w:rtl/>
        </w:rPr>
        <w:t xml:space="preserve"> </w:t>
      </w:r>
      <w:r w:rsidR="00DC0C3F">
        <w:rPr>
          <w:rFonts w:hint="cs"/>
          <w:rtl/>
        </w:rPr>
        <w:t xml:space="preserve"> </w:t>
      </w:r>
      <w:r>
        <w:rPr>
          <w:rtl/>
        </w:rPr>
        <w:t>(11).</w:t>
      </w:r>
      <w:r w:rsidR="0014403D">
        <w:rPr>
          <w:rtl/>
        </w:rPr>
        <w:t xml:space="preserve"> </w:t>
      </w:r>
      <w:r w:rsidR="00992664" w:rsidRPr="00020424">
        <w:rPr>
          <w:rtl/>
        </w:rPr>
        <w:t>في«بخ</w:t>
      </w:r>
      <w:r w:rsidR="009C165D">
        <w:rPr>
          <w:rtl/>
        </w:rPr>
        <w:t>»:</w:t>
      </w:r>
      <w:r w:rsidR="00992664" w:rsidRPr="00020424">
        <w:rPr>
          <w:rtl/>
        </w:rPr>
        <w:t>«ما تجب</w:t>
      </w:r>
      <w:r w:rsidR="00992664">
        <w:rPr>
          <w:rtl/>
        </w:rPr>
        <w:t>».</w:t>
      </w:r>
    </w:p>
    <w:tbl>
      <w:tblPr>
        <w:tblStyle w:val="TableGrid"/>
        <w:bidiVisual/>
        <w:tblW w:w="0" w:type="auto"/>
        <w:tblLook w:val="04A0" w:firstRow="1" w:lastRow="0" w:firstColumn="1" w:lastColumn="0" w:noHBand="0" w:noVBand="1"/>
      </w:tblPr>
      <w:tblGrid>
        <w:gridCol w:w="3891"/>
        <w:gridCol w:w="4121"/>
      </w:tblGrid>
      <w:tr w:rsidR="009C165D" w:rsidTr="00F8340F">
        <w:tc>
          <w:tcPr>
            <w:tcW w:w="3891" w:type="dxa"/>
          </w:tcPr>
          <w:p w:rsidR="009C165D" w:rsidRDefault="009C165D" w:rsidP="00992664">
            <w:pPr>
              <w:pStyle w:val="libFootnote0"/>
              <w:rPr>
                <w:rtl/>
              </w:rPr>
            </w:pPr>
            <w:r>
              <w:rPr>
                <w:rtl/>
              </w:rPr>
              <w:t xml:space="preserve">(12). </w:t>
            </w:r>
            <w:r w:rsidRPr="00020424">
              <w:rPr>
                <w:rtl/>
              </w:rPr>
              <w:t>في « ى ، بخ » : « لا تجب</w:t>
            </w:r>
            <w:r>
              <w:rPr>
                <w:rtl/>
              </w:rPr>
              <w:t xml:space="preserve"> ».</w:t>
            </w:r>
          </w:p>
        </w:tc>
        <w:tc>
          <w:tcPr>
            <w:tcW w:w="4121" w:type="dxa"/>
          </w:tcPr>
          <w:p w:rsidR="009C165D" w:rsidRDefault="009C165D" w:rsidP="00680341">
            <w:pPr>
              <w:pStyle w:val="libFootnote0"/>
              <w:rPr>
                <w:rtl/>
              </w:rPr>
            </w:pPr>
            <w:r>
              <w:rPr>
                <w:rtl/>
              </w:rPr>
              <w:t>(13).</w:t>
            </w:r>
            <w:r w:rsidRPr="00020424">
              <w:rPr>
                <w:rtl/>
              </w:rPr>
              <w:t>في«بر،بف»</w:t>
            </w:r>
            <w:r w:rsidRPr="00515444">
              <w:rPr>
                <w:rStyle w:val="libFootnoteBoldChar"/>
                <w:rtl/>
              </w:rPr>
              <w:t>والتهذيب</w:t>
            </w:r>
            <w:r w:rsidRPr="00020424">
              <w:rPr>
                <w:rtl/>
              </w:rPr>
              <w:t xml:space="preserve"> </w:t>
            </w:r>
            <w:r w:rsidRPr="00FD6221">
              <w:rPr>
                <w:rStyle w:val="libFootnoteBoldChar"/>
                <w:rtl/>
              </w:rPr>
              <w:t>والاستبصار</w:t>
            </w:r>
            <w:r w:rsidRPr="00020424">
              <w:rPr>
                <w:rtl/>
              </w:rPr>
              <w:t>:</w:t>
            </w:r>
            <w:r>
              <w:rPr>
                <w:rtl/>
              </w:rPr>
              <w:t>-</w:t>
            </w:r>
            <w:r w:rsidRPr="00020424">
              <w:rPr>
                <w:rtl/>
              </w:rPr>
              <w:t>«بن عيسى</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942256">
        <w:rPr>
          <w:rtl/>
        </w:rPr>
        <w:lastRenderedPageBreak/>
        <w:t>مُحَمَّدِ</w:t>
      </w:r>
      <w:r w:rsidRPr="00020424">
        <w:rPr>
          <w:rtl/>
          <w:lang w:bidi="fa-IR"/>
        </w:rPr>
        <w:t xml:space="preserve"> بْنِ مُسْلِمٍ وَزُرَارَةَ ، عَنْهُمَا جَمِيعاً </w:t>
      </w:r>
      <w:r w:rsidRPr="00A91B96">
        <w:rPr>
          <w:rStyle w:val="libFootnotenumChar"/>
          <w:rtl/>
        </w:rPr>
        <w:t>(1)</w:t>
      </w:r>
      <w:r w:rsidRPr="00020424">
        <w:rPr>
          <w:rtl/>
          <w:lang w:bidi="fa-IR"/>
        </w:rPr>
        <w:t xml:space="preserve"> </w:t>
      </w:r>
      <w:r w:rsidRPr="00005A81">
        <w:rPr>
          <w:rStyle w:val="libAlaemChar"/>
          <w:rtl/>
        </w:rPr>
        <w:t>عليهما‌السلام</w:t>
      </w:r>
      <w:r w:rsidRPr="00020424">
        <w:rPr>
          <w:rtl/>
          <w:lang w:bidi="fa-IR"/>
        </w:rPr>
        <w:t xml:space="preserve"> ، قَالَا :</w:t>
      </w:r>
    </w:p>
    <w:p w:rsidR="00992664" w:rsidRPr="00020424" w:rsidRDefault="00992664" w:rsidP="00992664">
      <w:pPr>
        <w:pStyle w:val="libNormal"/>
        <w:rPr>
          <w:rtl/>
          <w:lang w:bidi="fa-IR"/>
        </w:rPr>
      </w:pPr>
      <w:r w:rsidRPr="00020424">
        <w:rPr>
          <w:rtl/>
          <w:lang w:bidi="fa-IR"/>
        </w:rPr>
        <w:t>« وَضَعَ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عَلَى الْخَيْلِ الْعِتَاقِ </w:t>
      </w:r>
      <w:r w:rsidRPr="00A91B96">
        <w:rPr>
          <w:rStyle w:val="libFootnotenumChar"/>
          <w:rtl/>
        </w:rPr>
        <w:t>(2)</w:t>
      </w:r>
      <w:r w:rsidRPr="00020424">
        <w:rPr>
          <w:rtl/>
          <w:lang w:bidi="fa-IR"/>
        </w:rPr>
        <w:t xml:space="preserve"> الرَّاعِيَةِ فِي كُلِّ فَرَسٍ فِي كُلِّ عَامٍ دِينَارَيْنِ ، وَجَعَلَ عَلَى الْبَرَاذِينِ </w:t>
      </w:r>
      <w:r w:rsidRPr="00A91B96">
        <w:rPr>
          <w:rStyle w:val="libFootnotenumChar"/>
          <w:rtl/>
        </w:rPr>
        <w:t>(3)</w:t>
      </w:r>
      <w:r w:rsidRPr="00020424">
        <w:rPr>
          <w:rtl/>
          <w:lang w:bidi="fa-IR"/>
        </w:rPr>
        <w:t xml:space="preserve"> دِينَاراً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w:t>
      </w:r>
    </w:p>
    <w:p w:rsidR="00992664" w:rsidRPr="00020424" w:rsidRDefault="00992664" w:rsidP="00992664">
      <w:pPr>
        <w:pStyle w:val="libNormal"/>
        <w:rPr>
          <w:rtl/>
          <w:lang w:bidi="fa-IR"/>
        </w:rPr>
      </w:pPr>
      <w:r w:rsidRPr="00942256">
        <w:rPr>
          <w:rtl/>
        </w:rPr>
        <w:t>5851</w:t>
      </w:r>
      <w:r w:rsidRPr="001155DE">
        <w:rPr>
          <w:rStyle w:val="libBold2Char"/>
          <w:rtl/>
        </w:rPr>
        <w:t xml:space="preserve"> / 2.</w:t>
      </w:r>
      <w:r w:rsidRPr="00020424">
        <w:rPr>
          <w:rtl/>
          <w:lang w:bidi="fa-IR"/>
        </w:rPr>
        <w:t xml:space="preserve"> حَمَّادُ بْنُ عِيسى </w:t>
      </w:r>
      <w:r w:rsidRPr="00A91B96">
        <w:rPr>
          <w:rStyle w:val="libFootnotenumChar"/>
          <w:rtl/>
        </w:rPr>
        <w:t>(6)</w:t>
      </w:r>
      <w:r w:rsidRPr="00020424">
        <w:rPr>
          <w:rtl/>
          <w:lang w:bidi="fa-IR"/>
        </w:rPr>
        <w:t xml:space="preserve"> ، عَنْ حَرِيزٍ ، عَنْ زُرَارَةَ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هَلْ فِي </w:t>
      </w:r>
      <w:r w:rsidRPr="00A91B96">
        <w:rPr>
          <w:rStyle w:val="libFootnotenumChar"/>
          <w:rtl/>
        </w:rPr>
        <w:t>(7)</w:t>
      </w:r>
      <w:r w:rsidRPr="00020424">
        <w:rPr>
          <w:rtl/>
          <w:lang w:bidi="fa-IR"/>
        </w:rPr>
        <w:t xml:space="preserve"> الْبِغَالِ شَيْ‌ءٌ</w:t>
      </w:r>
      <w:r>
        <w:rPr>
          <w:rtl/>
          <w:lang w:bidi="fa-IR"/>
        </w:rPr>
        <w:t>؟</w:t>
      </w:r>
      <w:r w:rsidRPr="00020424">
        <w:rPr>
          <w:rtl/>
          <w:lang w:bidi="fa-IR"/>
        </w:rPr>
        <w:t xml:space="preserve"> فَقَالَ </w:t>
      </w:r>
      <w:r w:rsidRPr="00A91B96">
        <w:rPr>
          <w:rStyle w:val="libFootnotenumChar"/>
          <w:rtl/>
        </w:rPr>
        <w:t>(8)</w:t>
      </w:r>
      <w:r w:rsidRPr="00020424">
        <w:rPr>
          <w:rtl/>
          <w:lang w:bidi="fa-IR"/>
        </w:rPr>
        <w:t xml:space="preserve"> : « لَا</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فَكَيْفَ </w:t>
      </w:r>
      <w:r w:rsidRPr="00A91B96">
        <w:rPr>
          <w:rStyle w:val="libFootnotenumChar"/>
          <w:rtl/>
        </w:rPr>
        <w:t>(9)</w:t>
      </w:r>
      <w:r w:rsidRPr="00020424">
        <w:rPr>
          <w:rtl/>
          <w:lang w:bidi="fa-IR"/>
        </w:rPr>
        <w:t xml:space="preserve"> صَارَ عَلَى الْخَيْلِ وَلَمْ يَصِرْ عَلَى الْبِغَالِ</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جميعاً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العِتاق » : جمع العَتِيق ، وهو الكريم من كلّ شي‌ء والخيار من كلّ شي‌ء ، والعِتق : الكرم والجمال ، وفرس‌عتيق : رائع ، أي معجب بحسن</w:t>
      </w:r>
      <w:r w:rsidR="00094551">
        <w:rPr>
          <w:rtl/>
        </w:rPr>
        <w:t>ه ، كريم بيّن العتق. وقال العل</w:t>
      </w:r>
      <w:r w:rsidR="00094551">
        <w:rPr>
          <w:rFonts w:hint="cs"/>
          <w:rtl/>
        </w:rPr>
        <w:t>ّ</w:t>
      </w:r>
      <w:r w:rsidR="00094551">
        <w:rPr>
          <w:rtl/>
        </w:rPr>
        <w:t>ا</w:t>
      </w:r>
      <w:r w:rsidR="00992664" w:rsidRPr="00020424">
        <w:rPr>
          <w:rtl/>
        </w:rPr>
        <w:t xml:space="preserve">مة الفيض : العتيق : العربيّة الكريمة الأصل. وقال ابنه : الفرس العتيق هو الذي أبواه عربيّان كريمان. راجع : </w:t>
      </w:r>
      <w:r w:rsidR="00992664" w:rsidRPr="0012008A">
        <w:rPr>
          <w:rStyle w:val="libFootnoteBoldChar"/>
          <w:rtl/>
        </w:rPr>
        <w:t>الصحاح</w:t>
      </w:r>
      <w:r w:rsidR="00992664" w:rsidRPr="00020424">
        <w:rPr>
          <w:rtl/>
        </w:rPr>
        <w:t xml:space="preserve"> ، ج 4 ، ص 1520 ؛ </w:t>
      </w:r>
      <w:r w:rsidR="00992664" w:rsidRPr="00A722B1">
        <w:rPr>
          <w:rStyle w:val="libFootnoteBoldChar"/>
          <w:rtl/>
        </w:rPr>
        <w:t>لسان العرب</w:t>
      </w:r>
      <w:r w:rsidR="00992664" w:rsidRPr="00020424">
        <w:rPr>
          <w:rtl/>
        </w:rPr>
        <w:t xml:space="preserve"> ، ج 10 ، ص 236 ( عتق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البراذين » : جمع البِرْزَوْن ، وهو الدابّة ، معروف ، والبراذين من الخيل : ما كا</w:t>
      </w:r>
      <w:r w:rsidR="00094551">
        <w:rPr>
          <w:rtl/>
        </w:rPr>
        <w:t>ن من غير نتاج العرب. وقال العل</w:t>
      </w:r>
      <w:r w:rsidR="00094551">
        <w:rPr>
          <w:rFonts w:hint="cs"/>
          <w:rtl/>
        </w:rPr>
        <w:t>ّ</w:t>
      </w:r>
      <w:r w:rsidR="00094551">
        <w:rPr>
          <w:rtl/>
        </w:rPr>
        <w:t>ا</w:t>
      </w:r>
      <w:r w:rsidR="00992664" w:rsidRPr="00020424">
        <w:rPr>
          <w:rtl/>
        </w:rPr>
        <w:t>مة الفيض : « البرذون : العجميّة الأصل » ، وقال ابنه : « البرذون</w:t>
      </w:r>
      <w:r w:rsidR="00992664">
        <w:rPr>
          <w:rtl/>
        </w:rPr>
        <w:t xml:space="preserve"> </w:t>
      </w:r>
      <w:r w:rsidR="009B673F">
        <w:rPr>
          <w:rtl/>
        </w:rPr>
        <w:t>-</w:t>
      </w:r>
      <w:r w:rsidR="00992664">
        <w:rPr>
          <w:rtl/>
        </w:rPr>
        <w:t xml:space="preserve"> </w:t>
      </w:r>
      <w:r w:rsidR="00992664" w:rsidRPr="00020424">
        <w:rPr>
          <w:rtl/>
        </w:rPr>
        <w:t>بكسر الباء</w:t>
      </w:r>
      <w:r w:rsidR="00992664">
        <w:rPr>
          <w:rtl/>
        </w:rPr>
        <w:t xml:space="preserve"> </w:t>
      </w:r>
      <w:r w:rsidR="009B673F">
        <w:rPr>
          <w:rtl/>
        </w:rPr>
        <w:t>-</w:t>
      </w:r>
      <w:r w:rsidR="00992664">
        <w:rPr>
          <w:rtl/>
        </w:rPr>
        <w:t xml:space="preserve"> </w:t>
      </w:r>
      <w:r w:rsidR="00992664" w:rsidRPr="00020424">
        <w:rPr>
          <w:rtl/>
        </w:rPr>
        <w:t>خلاف العتيق ، سواء كان أبواه أعجميّين وهو البرذون بالمعنى الأخصّ ، أم أبوه خاصّة باسم المقرف بالقاف أوّلاً والفاء بعد الراء ، أم ا</w:t>
      </w:r>
      <w:r w:rsidR="00094551">
        <w:rPr>
          <w:rFonts w:hint="cs"/>
          <w:rtl/>
        </w:rPr>
        <w:t>ُ</w:t>
      </w:r>
      <w:r w:rsidR="00992664" w:rsidRPr="00020424">
        <w:rPr>
          <w:rtl/>
        </w:rPr>
        <w:t>مّه خاصّة ويخصّ باسم الهجين بالجيم بعد الهاء ؛ فإنّ النجبة من الفرس وغيره إنّما يكون من قبل الا</w:t>
      </w:r>
      <w:r w:rsidR="00094551">
        <w:rPr>
          <w:rFonts w:hint="cs"/>
          <w:rtl/>
        </w:rPr>
        <w:t>ُ</w:t>
      </w:r>
      <w:r w:rsidR="00992664" w:rsidRPr="00020424">
        <w:rPr>
          <w:rtl/>
        </w:rPr>
        <w:t>مّ والأقراف من قبل الأب</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2078 ؛ </w:t>
      </w:r>
      <w:r w:rsidR="00992664" w:rsidRPr="00A722B1">
        <w:rPr>
          <w:rStyle w:val="libFootnoteBoldChar"/>
          <w:rtl/>
        </w:rPr>
        <w:t>لسان العرب</w:t>
      </w:r>
      <w:r w:rsidR="00992664" w:rsidRPr="00020424">
        <w:rPr>
          <w:rtl/>
        </w:rPr>
        <w:t xml:space="preserve"> ، ج 13 ، ص 51 ( برذن ) ؛ </w:t>
      </w:r>
      <w:r w:rsidR="00992664" w:rsidRPr="0012008A">
        <w:rPr>
          <w:rStyle w:val="libFootnoteBoldChar"/>
          <w:rtl/>
        </w:rPr>
        <w:t>الوافي</w:t>
      </w:r>
      <w:r w:rsidR="00992664" w:rsidRPr="00020424">
        <w:rPr>
          <w:rtl/>
        </w:rPr>
        <w:t xml:space="preserve"> ، ج 10 ، ص 110.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هذه الزكاة حملها في </w:t>
      </w:r>
      <w:r w:rsidR="00992664" w:rsidRPr="00942256">
        <w:rPr>
          <w:rtl/>
        </w:rPr>
        <w:t>الاستبصار</w:t>
      </w:r>
      <w:r w:rsidR="00992664" w:rsidRPr="00020424">
        <w:rPr>
          <w:rtl/>
        </w:rPr>
        <w:t xml:space="preserve"> على الاستحباب ؛ لما ثبت من انتفاء الوجوب عمّا سوى الأصناف التسعة ، قيل : ويحتمل أن يكون ذلك في أموال المجوس ونحوهم جزية أو عوضاً عن انتفاعهم بمرعى المسلمين</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67 ، ح 183 ؛ </w:t>
      </w:r>
      <w:r w:rsidR="00992664" w:rsidRPr="00FD6221">
        <w:rPr>
          <w:rStyle w:val="libFootnoteBoldChar"/>
          <w:rtl/>
        </w:rPr>
        <w:t>والاستبصار</w:t>
      </w:r>
      <w:r w:rsidR="00992664" w:rsidRPr="00020424">
        <w:rPr>
          <w:rtl/>
        </w:rPr>
        <w:t xml:space="preserve"> ، ج 2 ، ص 12 ، ح 34 ، معلّقاً عن الكليني. </w:t>
      </w:r>
      <w:r w:rsidR="00992664" w:rsidRPr="0012008A">
        <w:rPr>
          <w:rStyle w:val="libFootnoteBoldChar"/>
          <w:rtl/>
        </w:rPr>
        <w:t>المقنعة</w:t>
      </w:r>
      <w:r w:rsidR="00992664" w:rsidRPr="00020424">
        <w:rPr>
          <w:rtl/>
        </w:rPr>
        <w:t xml:space="preserve"> ، ص 246 ، مرسلاً عن أمير المؤمنين </w:t>
      </w:r>
      <w:r w:rsidR="00992664" w:rsidRPr="00D64ADA">
        <w:rPr>
          <w:rStyle w:val="libFootnoteAlaemChar"/>
          <w:rtl/>
        </w:rPr>
        <w:t>عليه‌السلام</w:t>
      </w:r>
      <w:r w:rsidR="00992664" w:rsidRPr="00020424">
        <w:rPr>
          <w:rtl/>
        </w:rPr>
        <w:t xml:space="preserve"> ، مع اختلاف </w:t>
      </w:r>
      <w:r w:rsidR="00094551">
        <w:rPr>
          <w:rFonts w:hint="cs"/>
          <w:rtl/>
        </w:rPr>
        <w:t>.</w:t>
      </w:r>
      <w:r w:rsidR="00992664" w:rsidRPr="0012008A">
        <w:rPr>
          <w:rStyle w:val="libFootnoteBoldChar"/>
          <w:rtl/>
        </w:rPr>
        <w:t>الوافي</w:t>
      </w:r>
      <w:r w:rsidR="00992664" w:rsidRPr="00020424">
        <w:rPr>
          <w:rtl/>
        </w:rPr>
        <w:t xml:space="preserve"> ، ج 10 ، ص 109 ، ح 9253 ؛ </w:t>
      </w:r>
      <w:r w:rsidR="00992664" w:rsidRPr="0012008A">
        <w:rPr>
          <w:rStyle w:val="libFootnoteBoldChar"/>
          <w:rtl/>
        </w:rPr>
        <w:t>الوسائل</w:t>
      </w:r>
      <w:r w:rsidR="00992664" w:rsidRPr="00020424">
        <w:rPr>
          <w:rtl/>
        </w:rPr>
        <w:t xml:space="preserve"> ، ج 9 ، ص 77 ، ح 11564.</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 كما لايخفى.</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على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بس ، جن » </w:t>
      </w:r>
      <w:r w:rsidR="00992664" w:rsidRPr="00DE3E80">
        <w:rPr>
          <w:rStyle w:val="libFootnoteBoldChar"/>
          <w:rtl/>
        </w:rPr>
        <w:t>والمقنعة</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بث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كيف</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 « لِأَنَّ الْبِغَالَ لَاتَلْقَحُ </w:t>
      </w:r>
      <w:r w:rsidRPr="00A91B96">
        <w:rPr>
          <w:rStyle w:val="libFootnotenumChar"/>
          <w:rtl/>
        </w:rPr>
        <w:t>(1)</w:t>
      </w:r>
      <w:r w:rsidRPr="00020424">
        <w:rPr>
          <w:rtl/>
          <w:lang w:bidi="fa-IR"/>
        </w:rPr>
        <w:t xml:space="preserve"> ، وَالْخَيْلَ الْإِنَاثَ يُنْتَجْنَ ، وَلَيْسَ عَلَى الْخَيْلِ الذُّكُورِ </w:t>
      </w:r>
      <w:r w:rsidRPr="00A91B96">
        <w:rPr>
          <w:rStyle w:val="libFootnotenumChar"/>
          <w:rtl/>
        </w:rPr>
        <w:t>(2)</w:t>
      </w:r>
      <w:r w:rsidRPr="00020424">
        <w:rPr>
          <w:rtl/>
          <w:lang w:bidi="fa-IR"/>
        </w:rPr>
        <w:t xml:space="preserve"> شَيْ‌ءٌ</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فَقُلْتُ </w:t>
      </w:r>
      <w:r w:rsidRPr="00A91B96">
        <w:rPr>
          <w:rStyle w:val="libFootnotenumChar"/>
          <w:rtl/>
        </w:rPr>
        <w:t>(4)</w:t>
      </w:r>
      <w:r w:rsidRPr="00020424">
        <w:rPr>
          <w:rtl/>
          <w:lang w:bidi="fa-IR"/>
        </w:rPr>
        <w:t xml:space="preserve"> : فَمَا فِي </w:t>
      </w:r>
      <w:r w:rsidRPr="00A91B96">
        <w:rPr>
          <w:rStyle w:val="libFootnotenumChar"/>
          <w:rtl/>
        </w:rPr>
        <w:t>(5)</w:t>
      </w:r>
      <w:r w:rsidRPr="00020424">
        <w:rPr>
          <w:rtl/>
          <w:lang w:bidi="fa-IR"/>
        </w:rPr>
        <w:t xml:space="preserve"> الْحَمِيرِ</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لَيْسَ فِيهَا شَيْ‌ءٌ </w:t>
      </w:r>
      <w:r w:rsidRPr="00A91B96">
        <w:rPr>
          <w:rStyle w:val="libFootnotenumChar"/>
          <w:rtl/>
        </w:rPr>
        <w:t>(7)</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هَلْ عَلَى الْفَرَسِ أَوِ </w:t>
      </w:r>
      <w:r w:rsidRPr="00A91B96">
        <w:rPr>
          <w:rStyle w:val="libFootnotenumChar"/>
          <w:rtl/>
        </w:rPr>
        <w:t>(8)</w:t>
      </w:r>
      <w:r w:rsidRPr="00020424">
        <w:rPr>
          <w:rtl/>
          <w:lang w:bidi="fa-IR"/>
        </w:rPr>
        <w:t xml:space="preserve"> الْبَعِيرِ يَكُونُ </w:t>
      </w:r>
      <w:r w:rsidRPr="00A91B96">
        <w:rPr>
          <w:rStyle w:val="libFootnotenumChar"/>
          <w:rtl/>
        </w:rPr>
        <w:t>(9)</w:t>
      </w:r>
      <w:r w:rsidRPr="00020424">
        <w:rPr>
          <w:rtl/>
          <w:lang w:bidi="fa-IR"/>
        </w:rPr>
        <w:t xml:space="preserve"> لِلرَّجُلِ يَرْكَبُهُمَا </w:t>
      </w:r>
      <w:r w:rsidRPr="00A91B96">
        <w:rPr>
          <w:rStyle w:val="libFootnotenumChar"/>
          <w:rtl/>
        </w:rPr>
        <w:t>(10)</w:t>
      </w:r>
      <w:r w:rsidRPr="00020424">
        <w:rPr>
          <w:rtl/>
          <w:lang w:bidi="fa-IR"/>
        </w:rPr>
        <w:t xml:space="preserve"> شَيْ‌ءٌ</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(11)</w:t>
      </w:r>
      <w:r w:rsidRPr="00020424">
        <w:rPr>
          <w:rtl/>
          <w:lang w:bidi="fa-IR"/>
        </w:rPr>
        <w:t xml:space="preserve"> : « لَا ، لَيْسَ عَلى مَا يُعْلَفُ شَيْ‌ءٌ ، إِنَّمَا الصَّدَقَةُ عَلَى السَّائِمَةِ </w:t>
      </w:r>
      <w:r w:rsidRPr="00A91B96">
        <w:rPr>
          <w:rStyle w:val="libFootnotenumChar"/>
          <w:rtl/>
        </w:rPr>
        <w:t>(12)</w:t>
      </w:r>
      <w:r w:rsidRPr="00020424">
        <w:rPr>
          <w:rtl/>
          <w:lang w:bidi="fa-IR"/>
        </w:rPr>
        <w:t xml:space="preserve"> الْمُرْسَلَةِ فِي مَرْجِهَا </w:t>
      </w:r>
      <w:r w:rsidRPr="00A91B96">
        <w:rPr>
          <w:rStyle w:val="libFootnotenumChar"/>
          <w:rtl/>
        </w:rPr>
        <w:t>(13)</w:t>
      </w:r>
      <w:r w:rsidRPr="00020424">
        <w:rPr>
          <w:rtl/>
          <w:lang w:bidi="fa-IR"/>
        </w:rPr>
        <w:t xml:space="preserve"> عَامَهَا الَّذِي يَقْتَنِيهَا </w:t>
      </w:r>
      <w:r w:rsidRPr="00A91B96">
        <w:rPr>
          <w:rStyle w:val="libFootnotenumChar"/>
          <w:rtl/>
        </w:rPr>
        <w:t>(14)</w:t>
      </w:r>
      <w:r w:rsidRPr="00020424">
        <w:rPr>
          <w:rtl/>
          <w:lang w:bidi="fa-IR"/>
        </w:rPr>
        <w:t xml:space="preserve"> فِيهِ الرَّجُلُ ؛ فَأَمَّا مَا سِوى ذلِكَ ، فَلَيْسَ فِيهِ شَيْ‌ءٌ</w:t>
      </w:r>
      <w:r>
        <w:rPr>
          <w:rtl/>
          <w:lang w:bidi="fa-IR"/>
        </w:rPr>
        <w:t xml:space="preserve"> ».</w:t>
      </w:r>
      <w:r w:rsidRPr="00020424">
        <w:rPr>
          <w:rtl/>
          <w:lang w:bidi="fa-IR"/>
        </w:rPr>
        <w:t xml:space="preserve"> </w:t>
      </w:r>
      <w:r w:rsidRPr="00A91B96">
        <w:rPr>
          <w:rStyle w:val="libFootnotenumChar"/>
          <w:rtl/>
        </w:rPr>
        <w:t>(15)</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2B348E">
      <w:pPr>
        <w:pStyle w:val="libFootnote0"/>
        <w:rPr>
          <w:rtl/>
          <w:lang w:bidi="fa-IR"/>
        </w:rPr>
      </w:pPr>
      <w:r>
        <w:rPr>
          <w:rtl/>
        </w:rPr>
        <w:t>(1).</w:t>
      </w:r>
      <w:r w:rsidR="0014403D">
        <w:rPr>
          <w:rtl/>
        </w:rPr>
        <w:t xml:space="preserve"> </w:t>
      </w:r>
      <w:r w:rsidR="00992664" w:rsidRPr="00020424">
        <w:rPr>
          <w:rtl/>
        </w:rPr>
        <w:t xml:space="preserve">« لا تَلْقَحُ » ، أي لا تحمل ، يقال : لقحت الناقة تَلْقَح ، إذا حملت. راجع : </w:t>
      </w:r>
      <w:r w:rsidR="00992664" w:rsidRPr="0012008A">
        <w:rPr>
          <w:rStyle w:val="libFootnoteBoldChar"/>
          <w:rtl/>
        </w:rPr>
        <w:t>النهاية</w:t>
      </w:r>
      <w:r w:rsidR="00992664" w:rsidRPr="00020424">
        <w:rPr>
          <w:rtl/>
        </w:rPr>
        <w:t xml:space="preserve"> ، ج 4 ، ص 262 ؛ </w:t>
      </w:r>
      <w:r w:rsidR="00992664" w:rsidRPr="00A722B1">
        <w:rPr>
          <w:rStyle w:val="libFootnoteBoldChar"/>
          <w:rtl/>
        </w:rPr>
        <w:t>لسان العرب</w:t>
      </w:r>
      <w:r w:rsidR="00992664" w:rsidRPr="00020424">
        <w:rPr>
          <w:rtl/>
        </w:rPr>
        <w:t>، ج 2 ، ص 579 ( لقح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الذكورة</w:t>
      </w:r>
      <w:r w:rsidR="00992664">
        <w:rPr>
          <w:rtl/>
        </w:rPr>
        <w:t xml:space="preserve"> ».</w:t>
      </w:r>
      <w:r w:rsidR="00992664" w:rsidRPr="00020424">
        <w:rPr>
          <w:rtl/>
        </w:rPr>
        <w:t xml:space="preserve"> وفي </w:t>
      </w:r>
      <w:r w:rsidR="00992664" w:rsidRPr="0012008A">
        <w:rPr>
          <w:rStyle w:val="libFootnoteBoldChar"/>
          <w:rtl/>
        </w:rPr>
        <w:t>المقنعة</w:t>
      </w:r>
      <w:r w:rsidR="00992664" w:rsidRPr="00020424">
        <w:rPr>
          <w:rtl/>
        </w:rPr>
        <w:t xml:space="preserve"> : + « إذا انفردت في الملك وإن كانت سائمة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جن »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11566 :</w:t>
      </w:r>
      <w:r w:rsidR="00992664">
        <w:rPr>
          <w:rtl/>
        </w:rPr>
        <w:t xml:space="preserve"> </w:t>
      </w:r>
      <w:r w:rsidR="009B673F">
        <w:rPr>
          <w:rtl/>
        </w:rPr>
        <w:t>-</w:t>
      </w:r>
      <w:r w:rsidR="00992664">
        <w:rPr>
          <w:rtl/>
        </w:rPr>
        <w:t xml:space="preserve"> </w:t>
      </w:r>
      <w:r w:rsidR="00992664" w:rsidRPr="00020424">
        <w:rPr>
          <w:rtl/>
        </w:rPr>
        <w:t xml:space="preserve">« فقلت » ، وفي « ى ، بح ، جن » </w:t>
      </w:r>
      <w:r w:rsidR="00992664" w:rsidRPr="00515444">
        <w:rPr>
          <w:rStyle w:val="libFootnoteBoldChar"/>
          <w:rtl/>
        </w:rPr>
        <w:t>والوافي</w:t>
      </w:r>
      <w:r w:rsidR="00992664" w:rsidRPr="00020424">
        <w:rPr>
          <w:rtl/>
        </w:rPr>
        <w:t xml:space="preserve"> </w:t>
      </w:r>
      <w:r w:rsidR="00992664" w:rsidRPr="00DE3E80">
        <w:rPr>
          <w:rStyle w:val="libFootnoteBoldChar"/>
          <w:rtl/>
        </w:rPr>
        <w:t>والمقنعة</w:t>
      </w:r>
      <w:r w:rsidR="00992664" w:rsidRPr="00020424">
        <w:rPr>
          <w:rtl/>
        </w:rPr>
        <w:t xml:space="preserve"> : « قلت</w:t>
      </w:r>
      <w:r w:rsidR="00992664">
        <w:rPr>
          <w:rtl/>
        </w:rPr>
        <w:t xml:space="preserve"> ».</w:t>
      </w:r>
      <w:r w:rsidR="00992664" w:rsidRPr="00020424">
        <w:rPr>
          <w:rtl/>
        </w:rPr>
        <w:t xml:space="preserve"> وفي حاشية « جن » : «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وحاشية « جن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 : فقلت : فما في الحمير</w:t>
      </w:r>
      <w:r w:rsidR="00992664">
        <w:rPr>
          <w:rtl/>
        </w:rPr>
        <w:t>؟</w:t>
      </w:r>
      <w:r w:rsidR="00992664" w:rsidRPr="00020424">
        <w:rPr>
          <w:rtl/>
        </w:rPr>
        <w:t xml:space="preserve"> فقال : ليس فيها شي‌ء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B348E" w:rsidTr="002B348E">
        <w:tc>
          <w:tcPr>
            <w:tcW w:w="4006" w:type="dxa"/>
          </w:tcPr>
          <w:p w:rsidR="002B348E" w:rsidRDefault="002B348E" w:rsidP="00992664">
            <w:pPr>
              <w:pStyle w:val="libFootnote0"/>
              <w:rPr>
                <w:rtl/>
              </w:rPr>
            </w:pPr>
            <w:r>
              <w:rPr>
                <w:rtl/>
              </w:rPr>
              <w:t xml:space="preserve">(8). </w:t>
            </w:r>
            <w:r w:rsidRPr="00020424">
              <w:rPr>
                <w:rtl/>
              </w:rPr>
              <w:t xml:space="preserve">في </w:t>
            </w:r>
            <w:r w:rsidRPr="0012008A">
              <w:rPr>
                <w:rStyle w:val="libFootnoteBoldChar"/>
                <w:rtl/>
              </w:rPr>
              <w:t>الوافي</w:t>
            </w:r>
            <w:r w:rsidRPr="00020424">
              <w:rPr>
                <w:rtl/>
              </w:rPr>
              <w:t xml:space="preserve"> : + « على</w:t>
            </w:r>
            <w:r>
              <w:rPr>
                <w:rtl/>
              </w:rPr>
              <w:t xml:space="preserve"> ».</w:t>
            </w:r>
          </w:p>
        </w:tc>
        <w:tc>
          <w:tcPr>
            <w:tcW w:w="4006" w:type="dxa"/>
          </w:tcPr>
          <w:p w:rsidR="002B348E" w:rsidRDefault="002B348E" w:rsidP="00992664">
            <w:pPr>
              <w:pStyle w:val="libFootnote0"/>
              <w:rPr>
                <w:rtl/>
              </w:rPr>
            </w:pPr>
            <w:r>
              <w:rPr>
                <w:rtl/>
              </w:rPr>
              <w:t xml:space="preserve">(9). </w:t>
            </w:r>
            <w:r w:rsidRPr="00020424">
              <w:rPr>
                <w:rtl/>
              </w:rPr>
              <w:t xml:space="preserve">في « جن » </w:t>
            </w:r>
            <w:r w:rsidRPr="00EB1FD9">
              <w:rPr>
                <w:rStyle w:val="libFootnoteBoldChar"/>
                <w:rtl/>
              </w:rPr>
              <w:t>والوسائل</w:t>
            </w:r>
            <w:r w:rsidRPr="00020424">
              <w:rPr>
                <w:rtl/>
              </w:rPr>
              <w:t xml:space="preserve"> : « تكون</w:t>
            </w:r>
            <w:r>
              <w:rPr>
                <w:rtl/>
              </w:rPr>
              <w:t xml:space="preserve"> ».</w:t>
            </w:r>
          </w:p>
        </w:tc>
      </w:tr>
      <w:tr w:rsidR="002B348E" w:rsidTr="002B348E">
        <w:tc>
          <w:tcPr>
            <w:tcW w:w="4006" w:type="dxa"/>
          </w:tcPr>
          <w:p w:rsidR="002B348E" w:rsidRDefault="002B348E" w:rsidP="00992664">
            <w:pPr>
              <w:pStyle w:val="libFootnote0"/>
              <w:rPr>
                <w:rtl/>
              </w:rPr>
            </w:pPr>
            <w:r>
              <w:rPr>
                <w:rtl/>
              </w:rPr>
              <w:t xml:space="preserve">(10). </w:t>
            </w:r>
            <w:r w:rsidRPr="00020424">
              <w:rPr>
                <w:rtl/>
              </w:rPr>
              <w:t>في « ظ ، بح » : « يركبها</w:t>
            </w:r>
            <w:r>
              <w:rPr>
                <w:rtl/>
              </w:rPr>
              <w:t xml:space="preserve"> ».</w:t>
            </w:r>
          </w:p>
        </w:tc>
        <w:tc>
          <w:tcPr>
            <w:tcW w:w="4006" w:type="dxa"/>
          </w:tcPr>
          <w:p w:rsidR="002B348E" w:rsidRDefault="002B348E" w:rsidP="002B348E">
            <w:pPr>
              <w:pStyle w:val="libFootnote0"/>
              <w:rPr>
                <w:rtl/>
              </w:rPr>
            </w:pPr>
            <w:r>
              <w:rPr>
                <w:rtl/>
              </w:rPr>
              <w:t xml:space="preserve">(11). </w:t>
            </w:r>
            <w:r w:rsidRPr="00020424">
              <w:rPr>
                <w:rtl/>
              </w:rPr>
              <w:t>في«بث،بخ،بر،بف»</w:t>
            </w:r>
            <w:r w:rsidRPr="00515444">
              <w:rPr>
                <w:rStyle w:val="libFootnoteBoldChar"/>
                <w:rtl/>
              </w:rPr>
              <w:t>والوافي</w:t>
            </w:r>
            <w:r w:rsidRPr="00020424">
              <w:rPr>
                <w:rtl/>
              </w:rPr>
              <w:t xml:space="preserve"> </w:t>
            </w:r>
            <w:r w:rsidRPr="00DE3E80">
              <w:rPr>
                <w:rStyle w:val="libFootnoteBoldChar"/>
                <w:rtl/>
              </w:rPr>
              <w:t>والمقنعة</w:t>
            </w:r>
            <w:r w:rsidRPr="00020424">
              <w:rPr>
                <w:rtl/>
              </w:rPr>
              <w:t>:«قال</w:t>
            </w:r>
            <w:r>
              <w:rPr>
                <w:rtl/>
              </w:rPr>
              <w:t>».</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السائمة » : الراعية بنفسها. </w:t>
      </w:r>
      <w:r w:rsidR="00992664" w:rsidRPr="00A722B1">
        <w:rPr>
          <w:rStyle w:val="libFootnoteBoldChar"/>
          <w:rtl/>
        </w:rPr>
        <w:t>المصباح المنير</w:t>
      </w:r>
      <w:r w:rsidR="00992664" w:rsidRPr="00020424">
        <w:rPr>
          <w:rtl/>
        </w:rPr>
        <w:t xml:space="preserve"> ، ص 297 ( سوم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4B7E5C">
        <w:rPr>
          <w:rtl/>
        </w:rPr>
        <w:t>قال الجوهري : « الم</w:t>
      </w:r>
      <w:r w:rsidR="00C73F78">
        <w:rPr>
          <w:rFonts w:hint="cs"/>
          <w:rtl/>
        </w:rPr>
        <w:t>ـَ</w:t>
      </w:r>
      <w:r w:rsidR="00992664" w:rsidRPr="00020424">
        <w:rPr>
          <w:rtl/>
        </w:rPr>
        <w:t>رْج : الموضع الذي ترعى فيه الدوا</w:t>
      </w:r>
      <w:r w:rsidR="00C73F78">
        <w:rPr>
          <w:rtl/>
        </w:rPr>
        <w:t>بّ » ، وقال ابن الأثير : « الم</w:t>
      </w:r>
      <w:r w:rsidR="00C73F78">
        <w:rPr>
          <w:rFonts w:hint="cs"/>
          <w:rtl/>
        </w:rPr>
        <w:t>ـَ</w:t>
      </w:r>
      <w:r w:rsidR="00992664" w:rsidRPr="00020424">
        <w:rPr>
          <w:rtl/>
        </w:rPr>
        <w:t>رْج : الأرض الواسعة ذات نبات كثير ، تَمْرُج فيها الدوابّ ، أي تُخَلَّى تسرح مختلطة كيف شاءت</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340 ؛ </w:t>
      </w:r>
      <w:r w:rsidR="00992664" w:rsidRPr="0012008A">
        <w:rPr>
          <w:rStyle w:val="libFootnoteBoldChar"/>
          <w:rtl/>
        </w:rPr>
        <w:t>النهاية</w:t>
      </w:r>
      <w:r w:rsidR="00992664" w:rsidRPr="00020424">
        <w:rPr>
          <w:rtl/>
        </w:rPr>
        <w:t xml:space="preserve"> ، ج 4 ، ص 315 ( مرج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اقتناء المال وغيره : اتّخاذه ، يقال : قناه يقنوه واقتناه ، إذا اتّخذه لنفسه دون البيع. راجع : </w:t>
      </w:r>
      <w:r w:rsidR="00992664" w:rsidRPr="0012008A">
        <w:rPr>
          <w:rStyle w:val="libFootnoteBoldChar"/>
          <w:rtl/>
        </w:rPr>
        <w:t>الصحاح</w:t>
      </w:r>
      <w:r w:rsidR="00992664" w:rsidRPr="00020424">
        <w:rPr>
          <w:rtl/>
        </w:rPr>
        <w:t xml:space="preserve"> ، ج 6 ، ص 2468 ؛ </w:t>
      </w:r>
      <w:r w:rsidR="00992664" w:rsidRPr="0012008A">
        <w:rPr>
          <w:rStyle w:val="libFootnoteBoldChar"/>
          <w:rtl/>
        </w:rPr>
        <w:t>النهاية</w:t>
      </w:r>
      <w:r w:rsidR="00992664" w:rsidRPr="00020424">
        <w:rPr>
          <w:rtl/>
        </w:rPr>
        <w:t xml:space="preserve"> ، ج 4 ، ص 117 ( قنا )</w:t>
      </w:r>
      <w:r w:rsidR="00992664">
        <w:rPr>
          <w:rtl/>
        </w:rPr>
        <w:t>.</w:t>
      </w:r>
    </w:p>
    <w:p w:rsidR="00992664" w:rsidRPr="00020424" w:rsidRDefault="00795177" w:rsidP="00994413">
      <w:pPr>
        <w:pStyle w:val="libFootnote0"/>
        <w:rPr>
          <w:rtl/>
          <w:lang w:bidi="fa-IR"/>
        </w:rPr>
      </w:pPr>
      <w:r>
        <w:rPr>
          <w:rtl/>
        </w:rPr>
        <w:t>(15).</w:t>
      </w:r>
      <w:r w:rsidR="0014403D">
        <w:rPr>
          <w:rtl/>
        </w:rPr>
        <w:t xml:space="preserve"> </w:t>
      </w:r>
      <w:r w:rsidR="00992664" w:rsidRPr="0012008A">
        <w:rPr>
          <w:rStyle w:val="libFootnoteBoldChar"/>
          <w:rtl/>
        </w:rPr>
        <w:t>التهذيب</w:t>
      </w:r>
      <w:r w:rsidR="00992664" w:rsidRPr="00020424">
        <w:rPr>
          <w:rtl/>
        </w:rPr>
        <w:t xml:space="preserve"> ، ج 4 ، ص 67 ، ح 184 ؛ معلّقاً عن حمّاد ، عن حريز. </w:t>
      </w:r>
      <w:r w:rsidR="00992664" w:rsidRPr="0012008A">
        <w:rPr>
          <w:rStyle w:val="libFootnoteBoldChar"/>
          <w:rtl/>
        </w:rPr>
        <w:t>المقنعة</w:t>
      </w:r>
      <w:r w:rsidR="00992664" w:rsidRPr="00020424">
        <w:rPr>
          <w:rtl/>
        </w:rPr>
        <w:t xml:space="preserve"> ، ص 246 ، مرسلاً عن زرارة ، عن أبي عبدالله </w:t>
      </w:r>
      <w:r w:rsidR="00992664" w:rsidRPr="00D64ADA">
        <w:rPr>
          <w:rStyle w:val="libFootnoteAlaemChar"/>
          <w:rtl/>
        </w:rPr>
        <w:t>عليه‌السلام</w:t>
      </w:r>
      <w:r w:rsidR="00992664" w:rsidRPr="00020424">
        <w:rPr>
          <w:rtl/>
        </w:rPr>
        <w:t xml:space="preserve"> ، إلى قوله : « إنّما الصدقة على السائمة » مع اختلاف يسير</w:t>
      </w:r>
      <w:r w:rsidR="00994413">
        <w:rPr>
          <w:rFonts w:hint="cs"/>
          <w:rtl/>
        </w:rPr>
        <w:t>.</w:t>
      </w:r>
      <w:r w:rsidR="00992664" w:rsidRPr="0012008A">
        <w:rPr>
          <w:rStyle w:val="libFootnoteBoldChar"/>
          <w:rtl/>
        </w:rPr>
        <w:t>الوافي</w:t>
      </w:r>
      <w:r w:rsidR="00992664" w:rsidRPr="00020424">
        <w:rPr>
          <w:rtl/>
        </w:rPr>
        <w:t xml:space="preserve"> ، ج 10 ، ص 110 ، ح 9254 ؛ </w:t>
      </w:r>
      <w:r w:rsidR="00992664" w:rsidRPr="0012008A">
        <w:rPr>
          <w:rStyle w:val="libFootnoteBoldChar"/>
          <w:rtl/>
        </w:rPr>
        <w:t>الوسائل</w:t>
      </w:r>
      <w:r w:rsidR="00992664" w:rsidRPr="00020424">
        <w:rPr>
          <w:rtl/>
        </w:rPr>
        <w:t xml:space="preserve"> ، ج 9 ، ص 78 ، ح 11566 ؛ </w:t>
      </w:r>
      <w:r w:rsidR="00992664" w:rsidRPr="00C635FC">
        <w:rPr>
          <w:rtl/>
        </w:rPr>
        <w:t>وفيه</w:t>
      </w:r>
      <w:r w:rsidR="00992664" w:rsidRPr="00020424">
        <w:rPr>
          <w:rtl/>
        </w:rPr>
        <w:t xml:space="preserve"> ، ص 119 ، ح 11655 ، من قوله : « قال : قلت : هل على الفرس</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635FC">
        <w:rPr>
          <w:rtl/>
        </w:rPr>
        <w:lastRenderedPageBreak/>
        <w:t>5852</w:t>
      </w:r>
      <w:r w:rsidRPr="001155DE">
        <w:rPr>
          <w:rStyle w:val="libBold2Char"/>
          <w:rtl/>
        </w:rPr>
        <w:t xml:space="preserve"> / 3.</w:t>
      </w:r>
      <w:r w:rsidRPr="00020424">
        <w:rPr>
          <w:rtl/>
          <w:lang w:bidi="fa-IR"/>
        </w:rPr>
        <w:t xml:space="preserve"> مُحَمَّدُ بْنُ يَحْيى ، عَنْ أَحْمَدَ بْنِ مُحَمَّدٍ ، عَنْ عُثْمَانَ بْنِ عِيسى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w:t>
      </w:r>
      <w:r w:rsidR="008C7E6C">
        <w:rPr>
          <w:rtl/>
          <w:lang w:bidi="fa-IR"/>
        </w:rPr>
        <w:t xml:space="preserve"> عَلَى الرَّقِيقِ زَكَاةٌ إِل</w:t>
      </w:r>
      <w:r w:rsidR="008C7E6C">
        <w:rPr>
          <w:rFonts w:hint="cs"/>
          <w:rtl/>
          <w:lang w:bidi="fa-IR"/>
        </w:rPr>
        <w:t>َّ</w:t>
      </w:r>
      <w:r w:rsidR="008C7E6C">
        <w:rPr>
          <w:rtl/>
          <w:lang w:bidi="fa-IR"/>
        </w:rPr>
        <w:t>ا</w:t>
      </w:r>
      <w:r w:rsidRPr="00020424">
        <w:rPr>
          <w:rtl/>
          <w:lang w:bidi="fa-IR"/>
        </w:rPr>
        <w:t xml:space="preserve"> </w:t>
      </w:r>
      <w:r w:rsidRPr="00A91B96">
        <w:rPr>
          <w:rStyle w:val="libFootnotenumChar"/>
          <w:rtl/>
        </w:rPr>
        <w:t>(1)</w:t>
      </w:r>
      <w:r w:rsidRPr="00020424">
        <w:rPr>
          <w:rtl/>
          <w:lang w:bidi="fa-IR"/>
        </w:rPr>
        <w:t xml:space="preserve"> رَقِيقٌ يُبْتَغى </w:t>
      </w:r>
      <w:r w:rsidRPr="00A91B96">
        <w:rPr>
          <w:rStyle w:val="libFootnotenumChar"/>
          <w:rtl/>
        </w:rPr>
        <w:t>(2)</w:t>
      </w:r>
      <w:r w:rsidRPr="00020424">
        <w:rPr>
          <w:rtl/>
          <w:lang w:bidi="fa-IR"/>
        </w:rPr>
        <w:t xml:space="preserve"> بِهِ </w:t>
      </w:r>
      <w:r w:rsidRPr="00A91B96">
        <w:rPr>
          <w:rStyle w:val="libFootnotenumChar"/>
          <w:rtl/>
        </w:rPr>
        <w:t>(3)</w:t>
      </w:r>
      <w:r w:rsidRPr="00020424">
        <w:rPr>
          <w:rtl/>
          <w:lang w:bidi="fa-IR"/>
        </w:rPr>
        <w:t xml:space="preserve"> التِّجَارَةُ ؛ فَإِنَّهُ مِنَ الْمَالِ الَّذِي يُزَكّى</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C635FC">
        <w:rPr>
          <w:rtl/>
        </w:rPr>
        <w:t>5853</w:t>
      </w:r>
      <w:r w:rsidRPr="001155DE">
        <w:rPr>
          <w:rStyle w:val="libBold2Char"/>
          <w:rtl/>
        </w:rPr>
        <w:t xml:space="preserve"> / 4.</w:t>
      </w:r>
      <w:r w:rsidRPr="00020424">
        <w:rPr>
          <w:rtl/>
          <w:lang w:bidi="fa-IR"/>
        </w:rPr>
        <w:t xml:space="preserve"> عَلِيُّ بْنُ إِبْرَاهِيمَ ، عَنْ أَبِيهِ ، عَنْ حَمَّادِ بْنِ عِيسى </w:t>
      </w:r>
      <w:r w:rsidRPr="00A91B96">
        <w:rPr>
          <w:rStyle w:val="libFootnotenumChar"/>
          <w:rtl/>
        </w:rPr>
        <w:t>(5)</w:t>
      </w:r>
      <w:r w:rsidRPr="00020424">
        <w:rPr>
          <w:rtl/>
          <w:lang w:bidi="fa-IR"/>
        </w:rPr>
        <w:t xml:space="preserve"> ، عَنْ حَرِيزٍ ، عَنْ زُرَارَةَ وَمُحَمَّدِ بْنِ مُسْلِمٍ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أَنَّهُمَا سُئِلَا عَمَّا فِي الرَّقِيقِ</w:t>
      </w:r>
      <w:r>
        <w:rPr>
          <w:rtl/>
          <w:lang w:bidi="fa-IR"/>
        </w:rPr>
        <w:t>؟</w:t>
      </w:r>
    </w:p>
    <w:p w:rsidR="00992664" w:rsidRPr="00020424" w:rsidRDefault="00992664" w:rsidP="00992664">
      <w:pPr>
        <w:pStyle w:val="libNormal"/>
        <w:rPr>
          <w:rtl/>
          <w:lang w:bidi="fa-IR"/>
        </w:rPr>
      </w:pPr>
      <w:r w:rsidRPr="00020424">
        <w:rPr>
          <w:rtl/>
          <w:lang w:bidi="fa-IR"/>
        </w:rPr>
        <w:t xml:space="preserve">فَقَالَا : « لَيْسَ فِي الرَّأْسِ شَيْ‌ءٌ </w:t>
      </w:r>
      <w:r w:rsidRPr="00A91B96">
        <w:rPr>
          <w:rStyle w:val="libFootnotenumChar"/>
          <w:rtl/>
        </w:rPr>
        <w:t>(6)</w:t>
      </w:r>
      <w:r w:rsidRPr="00020424">
        <w:rPr>
          <w:rtl/>
          <w:lang w:bidi="fa-IR"/>
        </w:rPr>
        <w:t xml:space="preserve"> أَكْثَرُ مِنْ صَاعٍ </w:t>
      </w:r>
      <w:r w:rsidRPr="00A91B96">
        <w:rPr>
          <w:rStyle w:val="libFootnotenumChar"/>
          <w:rtl/>
        </w:rPr>
        <w:t>(7)</w:t>
      </w:r>
      <w:r w:rsidRPr="00020424">
        <w:rPr>
          <w:rtl/>
          <w:lang w:bidi="fa-IR"/>
        </w:rPr>
        <w:t xml:space="preserve"> مِنْ تَمْرٍ إِذَا حَالَ </w:t>
      </w:r>
      <w:r w:rsidRPr="00A91B96">
        <w:rPr>
          <w:rStyle w:val="libFootnotenumChar"/>
          <w:rtl/>
        </w:rPr>
        <w:t>(8)</w:t>
      </w:r>
      <w:r w:rsidRPr="00020424">
        <w:rPr>
          <w:rtl/>
          <w:lang w:bidi="fa-IR"/>
        </w:rPr>
        <w:t xml:space="preserve"> عَلَيْهِ الْحَوْلُ ، وَلَيْسَ </w:t>
      </w:r>
      <w:r w:rsidRPr="00A91B96">
        <w:rPr>
          <w:rStyle w:val="libFootnotenumChar"/>
          <w:rtl/>
        </w:rPr>
        <w:t>(9)</w:t>
      </w:r>
      <w:r w:rsidRPr="00020424">
        <w:rPr>
          <w:rtl/>
          <w:lang w:bidi="fa-IR"/>
        </w:rPr>
        <w:t xml:space="preserve"> فِي ثَمَنِهِ شَيْ‌ءٌ حَتّى يَحُولَ عَلَيْهِ الْحَوْلُ</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Normal"/>
        <w:rPr>
          <w:rtl/>
          <w:lang w:bidi="fa-IR"/>
        </w:rPr>
      </w:pPr>
      <w:r w:rsidRPr="00C635FC">
        <w:rPr>
          <w:rtl/>
        </w:rPr>
        <w:t>5854</w:t>
      </w:r>
      <w:r w:rsidRPr="001155DE">
        <w:rPr>
          <w:rStyle w:val="libBold2Char"/>
          <w:rtl/>
        </w:rPr>
        <w:t xml:space="preserve"> / 5.</w:t>
      </w:r>
      <w:r w:rsidRPr="00020424">
        <w:rPr>
          <w:rtl/>
          <w:lang w:bidi="fa-IR"/>
        </w:rPr>
        <w:t xml:space="preserve"> حَمَّادُ بْنُ عِيسى </w:t>
      </w:r>
      <w:r w:rsidRPr="00A91B96">
        <w:rPr>
          <w:rStyle w:val="libFootnotenumChar"/>
          <w:rtl/>
        </w:rPr>
        <w:t>(11)</w:t>
      </w:r>
      <w:r w:rsidRPr="00020424">
        <w:rPr>
          <w:rtl/>
          <w:lang w:bidi="fa-IR"/>
        </w:rPr>
        <w:t xml:space="preserve"> ، عَنْ حَرِيزٍ ، عَنْ عَبْدِ الرَّحْمنِ بْنِ أَبِي عَبْدِ اللهِ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w:t>
      </w:r>
      <w:r w:rsidRPr="00A91B96">
        <w:rPr>
          <w:rStyle w:val="libFootnotenumChar"/>
          <w:rtl/>
        </w:rPr>
        <w:t>(12)</w:t>
      </w:r>
      <w:r w:rsidRPr="00020424">
        <w:rPr>
          <w:rtl/>
          <w:lang w:bidi="fa-IR"/>
        </w:rPr>
        <w:t xml:space="preserve"> لَمْ يُزَكِّ إِبِلَهُ أَوْ شَاتَهُ عَامَيْنِ ، فَبَاعَهَا عَلى مَنِ اشْتَرَاهَا أَنْ يُزَكِّيَهَا لِمَا مَضى</w:t>
      </w:r>
      <w:r>
        <w:rPr>
          <w:rtl/>
          <w:lang w:bidi="fa-IR"/>
        </w:rPr>
        <w:t>؟</w:t>
      </w:r>
    </w:p>
    <w:p w:rsidR="00992664" w:rsidRPr="00020424" w:rsidRDefault="00992664" w:rsidP="00992664">
      <w:pPr>
        <w:pStyle w:val="libNormal"/>
        <w:rPr>
          <w:rtl/>
          <w:lang w:bidi="fa-IR"/>
        </w:rPr>
      </w:pPr>
      <w:r w:rsidRPr="00020424">
        <w:rPr>
          <w:rtl/>
          <w:lang w:bidi="fa-IR"/>
        </w:rPr>
        <w:t xml:space="preserve">قَالَ : « نَعَمْ ، تُؤْخَذُ </w:t>
      </w:r>
      <w:r w:rsidRPr="00A91B96">
        <w:rPr>
          <w:rStyle w:val="libFootnotenumChar"/>
          <w:rtl/>
        </w:rPr>
        <w:t>(13)</w:t>
      </w:r>
      <w:r w:rsidRPr="00020424">
        <w:rPr>
          <w:rtl/>
          <w:lang w:bidi="fa-IR"/>
        </w:rPr>
        <w:t xml:space="preserve"> مِنْهُ زَكَاتُهَا ، وَيَتْبَعُ بِهَا الْبَائِعَ ، أَوْ يُؤَدِّيَ زَكَاتَهَا الْبَائِعُ</w:t>
      </w:r>
      <w:r>
        <w:rPr>
          <w:rtl/>
          <w:lang w:bidi="fa-IR"/>
        </w:rPr>
        <w:t xml:space="preserve"> ».</w:t>
      </w:r>
      <w:r w:rsidRPr="00020424">
        <w:rPr>
          <w:rtl/>
          <w:lang w:bidi="fa-IR"/>
        </w:rPr>
        <w:t xml:space="preserve"> </w:t>
      </w:r>
      <w:r w:rsidRPr="00A91B96">
        <w:rPr>
          <w:rStyle w:val="libFootnotenumChar"/>
          <w:rtl/>
        </w:rPr>
        <w:t>(14)</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629CB" w:rsidTr="006629CB">
        <w:tc>
          <w:tcPr>
            <w:tcW w:w="4006" w:type="dxa"/>
          </w:tcPr>
          <w:p w:rsidR="006629CB" w:rsidRDefault="006629CB" w:rsidP="00992664">
            <w:pPr>
              <w:pStyle w:val="libFootnote0"/>
              <w:rPr>
                <w:rtl/>
              </w:rPr>
            </w:pPr>
            <w:r>
              <w:rPr>
                <w:rtl/>
              </w:rPr>
              <w:t xml:space="preserve">(1). </w:t>
            </w:r>
            <w:r w:rsidRPr="00020424">
              <w:rPr>
                <w:rtl/>
              </w:rPr>
              <w:t>في « بح » : + « على</w:t>
            </w:r>
            <w:r>
              <w:rPr>
                <w:rtl/>
              </w:rPr>
              <w:t xml:space="preserve"> ».</w:t>
            </w:r>
          </w:p>
        </w:tc>
        <w:tc>
          <w:tcPr>
            <w:tcW w:w="4006" w:type="dxa"/>
          </w:tcPr>
          <w:p w:rsidR="006629CB" w:rsidRDefault="006629CB" w:rsidP="00992664">
            <w:pPr>
              <w:pStyle w:val="libFootnote0"/>
              <w:rPr>
                <w:rtl/>
              </w:rPr>
            </w:pPr>
            <w:r>
              <w:rPr>
                <w:rtl/>
              </w:rPr>
              <w:t xml:space="preserve">(2). </w:t>
            </w:r>
            <w:r w:rsidRPr="00020424">
              <w:rPr>
                <w:rtl/>
              </w:rPr>
              <w:t xml:space="preserve">في </w:t>
            </w:r>
            <w:r w:rsidRPr="0012008A">
              <w:rPr>
                <w:rStyle w:val="libFootnoteBoldChar"/>
                <w:rtl/>
              </w:rPr>
              <w:t>الوسائل</w:t>
            </w:r>
            <w:r w:rsidRPr="00020424">
              <w:rPr>
                <w:rtl/>
              </w:rPr>
              <w:t xml:space="preserve"> : « تبتغي</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 فيه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109 ، ح 9251 ؛ </w:t>
      </w:r>
      <w:r w:rsidR="00992664" w:rsidRPr="0012008A">
        <w:rPr>
          <w:rStyle w:val="libFootnoteBoldChar"/>
          <w:rtl/>
        </w:rPr>
        <w:t>الوسائل</w:t>
      </w:r>
      <w:r w:rsidR="00992664" w:rsidRPr="00020424">
        <w:rPr>
          <w:rtl/>
        </w:rPr>
        <w:t xml:space="preserve"> ، ج 9 ، ص 79 ، ح 11569.</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بخ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شي‌ء</w:t>
      </w:r>
      <w:r w:rsidR="00992664">
        <w:rPr>
          <w:rtl/>
        </w:rPr>
        <w:t xml:space="preserve"> ».</w:t>
      </w:r>
    </w:p>
    <w:p w:rsidR="00992664" w:rsidRPr="00020424" w:rsidRDefault="00795177" w:rsidP="00E55FA2">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كأنّه أشار بالصاع إلى زكاة الفطر ، وبحول الحول على الرأس إلى حلول ليلة الفطر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55FA2" w:rsidTr="00E55FA2">
        <w:tc>
          <w:tcPr>
            <w:tcW w:w="4006" w:type="dxa"/>
          </w:tcPr>
          <w:p w:rsidR="00E55FA2" w:rsidRDefault="00E55FA2" w:rsidP="00992664">
            <w:pPr>
              <w:pStyle w:val="libFootnote0"/>
              <w:rPr>
                <w:rtl/>
              </w:rPr>
            </w:pPr>
            <w:r>
              <w:rPr>
                <w:rtl/>
              </w:rPr>
              <w:t xml:space="preserve">(8). </w:t>
            </w:r>
            <w:r w:rsidRPr="00020424">
              <w:rPr>
                <w:rtl/>
              </w:rPr>
              <w:t>في « بر » : « جاءك</w:t>
            </w:r>
            <w:r>
              <w:rPr>
                <w:rtl/>
              </w:rPr>
              <w:t xml:space="preserve"> ».</w:t>
            </w:r>
          </w:p>
        </w:tc>
        <w:tc>
          <w:tcPr>
            <w:tcW w:w="4006" w:type="dxa"/>
          </w:tcPr>
          <w:p w:rsidR="00E55FA2" w:rsidRDefault="00E55FA2" w:rsidP="00992664">
            <w:pPr>
              <w:pStyle w:val="libFootnote0"/>
              <w:rPr>
                <w:rtl/>
              </w:rPr>
            </w:pPr>
            <w:r>
              <w:rPr>
                <w:rtl/>
              </w:rPr>
              <w:t xml:space="preserve">(9). </w:t>
            </w:r>
            <w:r w:rsidRPr="00020424">
              <w:rPr>
                <w:rtl/>
              </w:rPr>
              <w:t>في « ى » : « فليس</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109 ، ح 9252 ؛ </w:t>
      </w:r>
      <w:r w:rsidR="00992664" w:rsidRPr="0012008A">
        <w:rPr>
          <w:rStyle w:val="libFootnoteBoldChar"/>
          <w:rtl/>
        </w:rPr>
        <w:t>الوسائل</w:t>
      </w:r>
      <w:r w:rsidR="00992664" w:rsidRPr="00020424">
        <w:rPr>
          <w:rtl/>
        </w:rPr>
        <w:t xml:space="preserve"> ، ج 9 ، ص 79 ، ح 11568.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الرجل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بح ، بخ » </w:t>
      </w:r>
      <w:r w:rsidR="00992664" w:rsidRPr="00515444">
        <w:rPr>
          <w:rStyle w:val="libFootnoteBoldChar"/>
          <w:rtl/>
        </w:rPr>
        <w:t>والوافي</w:t>
      </w:r>
      <w:r w:rsidR="00992664" w:rsidRPr="00020424">
        <w:rPr>
          <w:rtl/>
        </w:rPr>
        <w:t xml:space="preserve"> : « يؤخذ</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101 ، ح 9235 ؛ </w:t>
      </w:r>
      <w:r w:rsidR="00992664" w:rsidRPr="0012008A">
        <w:rPr>
          <w:rStyle w:val="libFootnoteBoldChar"/>
          <w:rtl/>
        </w:rPr>
        <w:t>الوسائل</w:t>
      </w:r>
      <w:r w:rsidR="00992664" w:rsidRPr="00020424">
        <w:rPr>
          <w:rtl/>
        </w:rPr>
        <w:t xml:space="preserve"> ، ج 9 ، ص 127 ، ح 11674.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635FC">
        <w:rPr>
          <w:rtl/>
        </w:rPr>
        <w:lastRenderedPageBreak/>
        <w:t>5855</w:t>
      </w:r>
      <w:r w:rsidRPr="001155DE">
        <w:rPr>
          <w:rStyle w:val="libBold2Char"/>
          <w:rtl/>
        </w:rPr>
        <w:t xml:space="preserve"> / 6.</w:t>
      </w:r>
      <w:r w:rsidRPr="00020424">
        <w:rPr>
          <w:rtl/>
          <w:lang w:bidi="fa-IR"/>
        </w:rPr>
        <w:t xml:space="preserve"> عَلِيُّ بْنُ إِبْرَاهِيمَ </w:t>
      </w:r>
      <w:r w:rsidRPr="00A91B96">
        <w:rPr>
          <w:rStyle w:val="libFootnotenumChar"/>
          <w:rtl/>
        </w:rPr>
        <w:t>(1)</w:t>
      </w:r>
      <w:r w:rsidRPr="00020424">
        <w:rPr>
          <w:rtl/>
          <w:lang w:bidi="fa-IR"/>
        </w:rPr>
        <w:t xml:space="preserve"> ، عَنْ أَبِيهِ ، عَنِ ابْنِ أَبِي عُمَيْرٍ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يَكُونُ لَهُ إِبِلٌ ، أَوْ بَقَرٌ ، أَوْ غَنَمٌ ، أَوْ مَتَاعٌ ، فَيَحُولُ عَلَيْهَا </w:t>
      </w:r>
      <w:r w:rsidRPr="00A91B96">
        <w:rPr>
          <w:rStyle w:val="libFootnotenumChar"/>
          <w:rtl/>
        </w:rPr>
        <w:t>(2)</w:t>
      </w:r>
      <w:r w:rsidRPr="00020424">
        <w:rPr>
          <w:rtl/>
          <w:lang w:bidi="fa-IR"/>
        </w:rPr>
        <w:t xml:space="preserve"> الْحَوْلُ ، فَيَمُوتُ </w:t>
      </w:r>
      <w:r w:rsidRPr="00A91B96">
        <w:rPr>
          <w:rStyle w:val="libFootnotenumChar"/>
          <w:rtl/>
        </w:rPr>
        <w:t>(3)</w:t>
      </w:r>
      <w:r w:rsidRPr="00020424">
        <w:rPr>
          <w:rtl/>
          <w:lang w:bidi="fa-IR"/>
        </w:rPr>
        <w:t xml:space="preserve"> الْإِبِلُ وَالْبَقَرُ وَالْغَنَمُ ، وَيَحْتَرِقُ الْمَتَاعُ ، قَالَ : « لَيْسَ عَلَيْهِ شَيْ‌ءٌ</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C635FC">
        <w:rPr>
          <w:rtl/>
        </w:rPr>
        <w:t>5856</w:t>
      </w:r>
      <w:r w:rsidRPr="001155DE">
        <w:rPr>
          <w:rStyle w:val="libBold2Char"/>
          <w:rtl/>
        </w:rPr>
        <w:t xml:space="preserve"> / 7.</w:t>
      </w:r>
      <w:r w:rsidRPr="00020424">
        <w:rPr>
          <w:rtl/>
          <w:lang w:bidi="fa-IR"/>
        </w:rPr>
        <w:t xml:space="preserve"> عَلِيُّ بْنُ إِبْرَاهِيمَ </w:t>
      </w:r>
      <w:r w:rsidRPr="00A91B96">
        <w:rPr>
          <w:rStyle w:val="libFootnotenumChar"/>
          <w:rtl/>
        </w:rPr>
        <w:t>(5)</w:t>
      </w:r>
      <w:r w:rsidRPr="00020424">
        <w:rPr>
          <w:rtl/>
          <w:lang w:bidi="fa-IR"/>
        </w:rPr>
        <w:t xml:space="preserve"> ، عَنْ أَبِيهِ ، عَنِ ابْنِ أَبِي عُمَيْرٍ ، قَالَ :</w:t>
      </w:r>
    </w:p>
    <w:p w:rsidR="00992664" w:rsidRPr="00020424" w:rsidRDefault="00992664" w:rsidP="00992664">
      <w:pPr>
        <w:pStyle w:val="libNormal"/>
        <w:rPr>
          <w:rtl/>
          <w:lang w:bidi="fa-IR"/>
        </w:rPr>
      </w:pPr>
      <w:r w:rsidRPr="00020424">
        <w:rPr>
          <w:rtl/>
          <w:lang w:bidi="fa-IR"/>
        </w:rPr>
        <w:t xml:space="preserve">كَانَ عَلِيٌّ </w:t>
      </w:r>
      <w:r w:rsidRPr="00005A81">
        <w:rPr>
          <w:rStyle w:val="libAlaemChar"/>
          <w:rtl/>
        </w:rPr>
        <w:t>عليه‌السلام</w:t>
      </w:r>
      <w:r w:rsidRPr="00020424">
        <w:rPr>
          <w:rtl/>
          <w:lang w:bidi="fa-IR"/>
        </w:rPr>
        <w:t xml:space="preserve"> لَايَأْخُذُ </w:t>
      </w:r>
      <w:r w:rsidRPr="00A91B96">
        <w:rPr>
          <w:rStyle w:val="libFootnotenumChar"/>
          <w:rtl/>
        </w:rPr>
        <w:t>(6)</w:t>
      </w:r>
      <w:r w:rsidRPr="00020424">
        <w:rPr>
          <w:rtl/>
          <w:lang w:bidi="fa-IR"/>
        </w:rPr>
        <w:t xml:space="preserve"> مِنْ صِغَارِ الْإِبِلِ شَيْئاً حَتّى يَحُولَ عَلَيْهِ </w:t>
      </w:r>
      <w:r w:rsidRPr="00A91B96">
        <w:rPr>
          <w:rStyle w:val="libFootnotenumChar"/>
          <w:rtl/>
        </w:rPr>
        <w:t>(7)</w:t>
      </w:r>
      <w:r w:rsidRPr="00020424">
        <w:rPr>
          <w:rtl/>
          <w:lang w:bidi="fa-IR"/>
        </w:rPr>
        <w:t xml:space="preserve"> الْحَوْلُ ، وَلَايَأْخُذُ مِنْ جِمَالِ الْعَمَلِ </w:t>
      </w:r>
      <w:r w:rsidRPr="00A91B96">
        <w:rPr>
          <w:rStyle w:val="libFootnotenumChar"/>
          <w:rtl/>
        </w:rPr>
        <w:t>(8)</w:t>
      </w:r>
      <w:r w:rsidRPr="00020424">
        <w:rPr>
          <w:rtl/>
          <w:lang w:bidi="fa-IR"/>
        </w:rPr>
        <w:t xml:space="preserve"> صَدَقَةً ، وَكَأَنَّهُ </w:t>
      </w:r>
      <w:r w:rsidRPr="00A91B96">
        <w:rPr>
          <w:rStyle w:val="libFootnotenumChar"/>
          <w:rtl/>
        </w:rPr>
        <w:t>(9)</w:t>
      </w:r>
      <w:r w:rsidRPr="00020424">
        <w:rPr>
          <w:rtl/>
          <w:lang w:bidi="fa-IR"/>
        </w:rPr>
        <w:t xml:space="preserve"> لَمْ يَجِبْ </w:t>
      </w:r>
      <w:r w:rsidRPr="00A91B96">
        <w:rPr>
          <w:rStyle w:val="libFootnotenumChar"/>
          <w:rtl/>
        </w:rPr>
        <w:t>(10)</w:t>
      </w:r>
      <w:r w:rsidRPr="00020424">
        <w:rPr>
          <w:rtl/>
          <w:lang w:bidi="fa-IR"/>
        </w:rPr>
        <w:t xml:space="preserve"> أَنْ يُؤْخَذَ </w:t>
      </w:r>
      <w:r w:rsidRPr="00A91B96">
        <w:rPr>
          <w:rStyle w:val="libFootnotenumChar"/>
          <w:rtl/>
        </w:rPr>
        <w:t>(11)</w:t>
      </w:r>
      <w:r w:rsidRPr="00020424">
        <w:rPr>
          <w:rtl/>
          <w:lang w:bidi="fa-IR"/>
        </w:rPr>
        <w:t xml:space="preserve"> مِنَ الذُّكُورِ </w:t>
      </w:r>
      <w:r w:rsidRPr="00A91B96">
        <w:rPr>
          <w:rStyle w:val="libFootnotenumChar"/>
          <w:rtl/>
        </w:rPr>
        <w:t>(12)</w:t>
      </w:r>
      <w:r w:rsidRPr="00020424">
        <w:rPr>
          <w:rtl/>
          <w:lang w:bidi="fa-IR"/>
        </w:rPr>
        <w:t xml:space="preserve"> شَيْ‌ءٌ </w:t>
      </w:r>
      <w:r w:rsidRPr="00A91B96">
        <w:rPr>
          <w:rStyle w:val="libFootnotenumChar"/>
          <w:rtl/>
        </w:rPr>
        <w:t>(13)</w:t>
      </w:r>
      <w:r w:rsidRPr="00020424">
        <w:rPr>
          <w:rtl/>
          <w:lang w:bidi="fa-IR"/>
        </w:rPr>
        <w:t xml:space="preserve"> ؛ لِأَنَّهُ ظَهْرٌ يُحْمَلُ عَلَيْهَا. </w:t>
      </w:r>
      <w:r w:rsidRPr="00A91B96">
        <w:rPr>
          <w:rStyle w:val="libFootnotenumChar"/>
          <w:rtl/>
        </w:rPr>
        <w:t>(14)</w:t>
      </w:r>
    </w:p>
    <w:p w:rsidR="00992664" w:rsidRPr="00020424" w:rsidRDefault="00992664" w:rsidP="00992664">
      <w:pPr>
        <w:pStyle w:val="Heading2Center"/>
        <w:rPr>
          <w:rtl/>
          <w:lang w:bidi="fa-IR"/>
        </w:rPr>
      </w:pPr>
      <w:bookmarkStart w:id="66" w:name="_Toc345172738"/>
      <w:bookmarkStart w:id="67" w:name="_Toc464562555"/>
      <w:bookmarkStart w:id="68" w:name="_Toc44599858"/>
      <w:r w:rsidRPr="00020424">
        <w:rPr>
          <w:rtl/>
          <w:lang w:bidi="fa-IR"/>
        </w:rPr>
        <w:t>18</w:t>
      </w:r>
      <w:r>
        <w:rPr>
          <w:rtl/>
          <w:lang w:bidi="fa-IR"/>
        </w:rPr>
        <w:t xml:space="preserve"> </w:t>
      </w:r>
      <w:r w:rsidR="009B673F">
        <w:rPr>
          <w:rtl/>
          <w:lang w:bidi="fa-IR"/>
        </w:rPr>
        <w:t>-</w:t>
      </w:r>
      <w:r>
        <w:rPr>
          <w:rtl/>
          <w:lang w:bidi="fa-IR"/>
        </w:rPr>
        <w:t xml:space="preserve"> </w:t>
      </w:r>
      <w:r w:rsidRPr="00020424">
        <w:rPr>
          <w:rtl/>
          <w:lang w:bidi="fa-IR"/>
        </w:rPr>
        <w:t>بَابُ صَدَقَةِ الْإِبِلِ‌</w:t>
      </w:r>
      <w:bookmarkEnd w:id="66"/>
      <w:bookmarkEnd w:id="67"/>
      <w:bookmarkEnd w:id="68"/>
    </w:p>
    <w:p w:rsidR="00992664" w:rsidRPr="00020424" w:rsidRDefault="00992664" w:rsidP="00992664">
      <w:pPr>
        <w:pStyle w:val="libNormal"/>
        <w:rPr>
          <w:rtl/>
          <w:lang w:bidi="fa-IR"/>
        </w:rPr>
      </w:pPr>
      <w:r w:rsidRPr="00C635FC">
        <w:rPr>
          <w:rtl/>
        </w:rPr>
        <w:t>5857</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(15)</w:t>
      </w:r>
      <w:r w:rsidRPr="00020424">
        <w:rPr>
          <w:rtl/>
          <w:lang w:bidi="fa-IR"/>
        </w:rPr>
        <w:t xml:space="preserve"> ، عَنْ حَرِيزٍ ، عَنْ زُرَارَةَ وَمُحَمَّدِ بْنِ مُسْلِمٍ وَأَبِي بَصِيرٍ وَبُرَيْدٍ الْعِجْلِيِّ وَالْفُضَيْلِ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4092A" w:rsidTr="0064092A">
        <w:tc>
          <w:tcPr>
            <w:tcW w:w="4006" w:type="dxa"/>
          </w:tcPr>
          <w:p w:rsidR="0064092A" w:rsidRDefault="0064092A" w:rsidP="0064092A">
            <w:pPr>
              <w:pStyle w:val="libFootnote0"/>
              <w:rPr>
                <w:rtl/>
              </w:rPr>
            </w:pPr>
            <w:r>
              <w:rPr>
                <w:rtl/>
              </w:rPr>
              <w:t xml:space="preserve">(1). </w:t>
            </w:r>
            <w:r w:rsidRPr="00020424">
              <w:rPr>
                <w:rtl/>
              </w:rPr>
              <w:t>في«بخ،بر،بف»:</w:t>
            </w:r>
            <w:r>
              <w:rPr>
                <w:rtl/>
              </w:rPr>
              <w:t>-</w:t>
            </w:r>
            <w:r w:rsidRPr="00020424">
              <w:rPr>
                <w:rtl/>
              </w:rPr>
              <w:t>«بن إبراهيم</w:t>
            </w:r>
            <w:r>
              <w:rPr>
                <w:rtl/>
              </w:rPr>
              <w:t xml:space="preserve"> ».</w:t>
            </w:r>
          </w:p>
        </w:tc>
        <w:tc>
          <w:tcPr>
            <w:tcW w:w="4006" w:type="dxa"/>
          </w:tcPr>
          <w:p w:rsidR="0064092A" w:rsidRDefault="0064092A" w:rsidP="0064092A">
            <w:pPr>
              <w:pStyle w:val="libFootnote0"/>
              <w:rPr>
                <w:rtl/>
              </w:rPr>
            </w:pPr>
            <w:r>
              <w:rPr>
                <w:rtl/>
              </w:rPr>
              <w:t xml:space="preserve">(2). </w:t>
            </w:r>
            <w:r w:rsidRPr="00020424">
              <w:rPr>
                <w:rtl/>
              </w:rPr>
              <w:t>في«بخ،بر،بس،بف»</w:t>
            </w:r>
            <w:r w:rsidRPr="00515444">
              <w:rPr>
                <w:rStyle w:val="libFootnoteBoldChar"/>
                <w:rtl/>
              </w:rPr>
              <w:t>والوافي</w:t>
            </w:r>
            <w:r w:rsidRPr="00020424">
              <w:rPr>
                <w:rtl/>
              </w:rPr>
              <w:t>:« عليه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بح ، بخ ، جن » </w:t>
      </w:r>
      <w:r w:rsidR="00992664" w:rsidRPr="00EB1FD9">
        <w:rPr>
          <w:rStyle w:val="libFootnoteBoldChar"/>
          <w:rtl/>
        </w:rPr>
        <w:t>والوسائل</w:t>
      </w:r>
      <w:r w:rsidR="00992664" w:rsidRPr="00020424">
        <w:rPr>
          <w:rtl/>
        </w:rPr>
        <w:t xml:space="preserve"> : « فتموت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101 ، ح 9234 ؛ </w:t>
      </w:r>
      <w:r w:rsidR="00992664" w:rsidRPr="0012008A">
        <w:rPr>
          <w:rStyle w:val="libFootnoteBoldChar"/>
          <w:rtl/>
        </w:rPr>
        <w:t>الوسائل</w:t>
      </w:r>
      <w:r w:rsidR="00992664" w:rsidRPr="00020424">
        <w:rPr>
          <w:rtl/>
        </w:rPr>
        <w:t xml:space="preserve"> ، ج 9 ، ص 127 ، ح 11675.</w:t>
      </w:r>
    </w:p>
    <w:tbl>
      <w:tblPr>
        <w:tblStyle w:val="TableGrid"/>
        <w:bidiVisual/>
        <w:tblW w:w="0" w:type="auto"/>
        <w:tblLook w:val="04A0" w:firstRow="1" w:lastRow="0" w:firstColumn="1" w:lastColumn="0" w:noHBand="0" w:noVBand="1"/>
      </w:tblPr>
      <w:tblGrid>
        <w:gridCol w:w="4006"/>
        <w:gridCol w:w="4006"/>
      </w:tblGrid>
      <w:tr w:rsidR="00F16F43" w:rsidTr="00F16F43">
        <w:tc>
          <w:tcPr>
            <w:tcW w:w="4006" w:type="dxa"/>
          </w:tcPr>
          <w:p w:rsidR="00F16F43" w:rsidRDefault="00F16F43" w:rsidP="00992664">
            <w:pPr>
              <w:pStyle w:val="libFootnote0"/>
              <w:rPr>
                <w:rtl/>
              </w:rPr>
            </w:pPr>
            <w:r>
              <w:rPr>
                <w:rtl/>
              </w:rPr>
              <w:t xml:space="preserve">(5). </w:t>
            </w:r>
            <w:r w:rsidRPr="00020424">
              <w:rPr>
                <w:rtl/>
              </w:rPr>
              <w:t>في « بخ ، بر ، بف » :</w:t>
            </w:r>
            <w:r>
              <w:rPr>
                <w:rtl/>
              </w:rPr>
              <w:t xml:space="preserve"> - </w:t>
            </w:r>
            <w:r w:rsidRPr="00020424">
              <w:rPr>
                <w:rtl/>
              </w:rPr>
              <w:t>« بن إبراهيم</w:t>
            </w:r>
            <w:r>
              <w:rPr>
                <w:rtl/>
              </w:rPr>
              <w:t xml:space="preserve"> ».</w:t>
            </w:r>
          </w:p>
        </w:tc>
        <w:tc>
          <w:tcPr>
            <w:tcW w:w="4006" w:type="dxa"/>
          </w:tcPr>
          <w:p w:rsidR="00F16F43" w:rsidRDefault="00F16F43" w:rsidP="00992664">
            <w:pPr>
              <w:pStyle w:val="libFootnote0"/>
              <w:rPr>
                <w:rtl/>
              </w:rPr>
            </w:pPr>
            <w:r>
              <w:rPr>
                <w:rtl/>
              </w:rPr>
              <w:t xml:space="preserve">(6). </w:t>
            </w:r>
            <w:r w:rsidRPr="00020424">
              <w:rPr>
                <w:rtl/>
              </w:rPr>
              <w:t>في « بس » : « لم يأخذ</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بخ ، بف ، جن » </w:t>
      </w:r>
      <w:r w:rsidR="00992664" w:rsidRPr="00EB1FD9">
        <w:rPr>
          <w:rStyle w:val="libFootnoteBoldChar"/>
          <w:rtl/>
        </w:rPr>
        <w:t>والوسائل</w:t>
      </w:r>
      <w:r w:rsidR="00992664" w:rsidRPr="00020424">
        <w:rPr>
          <w:rtl/>
        </w:rPr>
        <w:t xml:space="preserve"> ، ح 11665 : « عليها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16F43" w:rsidTr="00F16F43">
        <w:tc>
          <w:tcPr>
            <w:tcW w:w="4006" w:type="dxa"/>
          </w:tcPr>
          <w:p w:rsidR="00F16F43" w:rsidRDefault="00F16F43" w:rsidP="00992664">
            <w:pPr>
              <w:pStyle w:val="libFootnote0"/>
              <w:rPr>
                <w:rtl/>
              </w:rPr>
            </w:pPr>
            <w:r>
              <w:rPr>
                <w:rtl/>
              </w:rPr>
              <w:t xml:space="preserve">(8). </w:t>
            </w:r>
            <w:r w:rsidRPr="00020424">
              <w:rPr>
                <w:rtl/>
              </w:rPr>
              <w:t>في حاشية « بث » : « الحمل</w:t>
            </w:r>
            <w:r>
              <w:rPr>
                <w:rtl/>
              </w:rPr>
              <w:t xml:space="preserve"> ».</w:t>
            </w:r>
          </w:p>
        </w:tc>
        <w:tc>
          <w:tcPr>
            <w:tcW w:w="4006" w:type="dxa"/>
          </w:tcPr>
          <w:p w:rsidR="00F16F43" w:rsidRDefault="00F16F43" w:rsidP="00992664">
            <w:pPr>
              <w:pStyle w:val="libFootnote0"/>
              <w:rPr>
                <w:rtl/>
              </w:rPr>
            </w:pPr>
            <w:r>
              <w:rPr>
                <w:rtl/>
              </w:rPr>
              <w:t xml:space="preserve">(9). </w:t>
            </w:r>
            <w:r w:rsidRPr="00020424">
              <w:rPr>
                <w:rtl/>
              </w:rPr>
              <w:t>في « ظ » : « فكأنّه</w:t>
            </w:r>
            <w:r>
              <w:rPr>
                <w:rtl/>
              </w:rPr>
              <w:t xml:space="preserve"> ».</w:t>
            </w:r>
          </w:p>
        </w:tc>
      </w:tr>
      <w:tr w:rsidR="00F16F43" w:rsidTr="00F16F43">
        <w:tc>
          <w:tcPr>
            <w:tcW w:w="4006" w:type="dxa"/>
          </w:tcPr>
          <w:p w:rsidR="00F16F43" w:rsidRDefault="00F16F43" w:rsidP="00992664">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 « لم يحبّ</w:t>
            </w:r>
            <w:r>
              <w:rPr>
                <w:rtl/>
              </w:rPr>
              <w:t xml:space="preserve"> ».</w:t>
            </w:r>
          </w:p>
        </w:tc>
        <w:tc>
          <w:tcPr>
            <w:tcW w:w="4006" w:type="dxa"/>
          </w:tcPr>
          <w:p w:rsidR="00F16F43" w:rsidRDefault="00F16F43" w:rsidP="00992664">
            <w:pPr>
              <w:pStyle w:val="libFootnote0"/>
              <w:rPr>
                <w:rtl/>
              </w:rPr>
            </w:pPr>
            <w:r>
              <w:rPr>
                <w:rtl/>
              </w:rPr>
              <w:t xml:space="preserve">(11). </w:t>
            </w:r>
            <w:r w:rsidRPr="00020424">
              <w:rPr>
                <w:rtl/>
              </w:rPr>
              <w:t>في « بث ، بخ ، بس ، جن » : « أن يأخذ</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ظ ، ى ، بث ، جن » : « المذكورة</w:t>
      </w:r>
      <w:r w:rsidR="00992664">
        <w:rPr>
          <w:rtl/>
        </w:rPr>
        <w:t xml:space="preserve"> ».</w:t>
      </w:r>
      <w:r w:rsidR="00992664" w:rsidRPr="00020424">
        <w:rPr>
          <w:rtl/>
        </w:rPr>
        <w:t xml:space="preserve"> وفي « بخ » </w:t>
      </w:r>
      <w:r w:rsidR="00992664" w:rsidRPr="00EB1FD9">
        <w:rPr>
          <w:rStyle w:val="libFootnoteBoldChar"/>
          <w:rtl/>
        </w:rPr>
        <w:t>والوسائل</w:t>
      </w:r>
      <w:r w:rsidR="00992664" w:rsidRPr="00020424">
        <w:rPr>
          <w:rtl/>
        </w:rPr>
        <w:t xml:space="preserve"> ، ح 11656 : « الذكورة</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جن » : « شيئاً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99 ، ح 9226 ؛ </w:t>
      </w:r>
      <w:r w:rsidR="00992664" w:rsidRPr="0012008A">
        <w:rPr>
          <w:rStyle w:val="libFootnoteBoldChar"/>
          <w:rtl/>
        </w:rPr>
        <w:t>الوسائل</w:t>
      </w:r>
      <w:r w:rsidR="00992664" w:rsidRPr="00020424">
        <w:rPr>
          <w:rtl/>
        </w:rPr>
        <w:t xml:space="preserve"> ، ج 9 ، ص 119 ، ح 11656 ، من قوله : « لا يأخذ من جمال » ؛ </w:t>
      </w:r>
      <w:r w:rsidR="00992664" w:rsidRPr="00C635FC">
        <w:rPr>
          <w:rtl/>
        </w:rPr>
        <w:t>وفيه</w:t>
      </w:r>
      <w:r w:rsidR="00992664" w:rsidRPr="00020424">
        <w:rPr>
          <w:rtl/>
        </w:rPr>
        <w:t xml:space="preserve"> ، ص 123 ، ح 11665 ، إلى قوله : « حتّى يحول عليه الحول</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بر ، بف »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عَنْ أَبِي جَعْفَرٍ وَأَبِي عَبْدِ اللهِ</w:t>
      </w:r>
      <w:r>
        <w:rPr>
          <w:rtl/>
          <w:lang w:bidi="fa-IR"/>
        </w:rPr>
        <w:t xml:space="preserve"> </w:t>
      </w:r>
      <w:r w:rsidR="009B673F">
        <w:rPr>
          <w:rtl/>
          <w:lang w:bidi="fa-IR"/>
        </w:rPr>
        <w:t>-</w:t>
      </w:r>
      <w:r>
        <w:rPr>
          <w:rtl/>
          <w:lang w:bidi="fa-IR"/>
        </w:rPr>
        <w:t xml:space="preserve"> </w:t>
      </w:r>
      <w:r w:rsidRPr="00020424">
        <w:rPr>
          <w:rtl/>
          <w:lang w:bidi="fa-IR"/>
        </w:rPr>
        <w:t>صَلَوَاتُ اللهِ عَلَيْهِمَا</w:t>
      </w:r>
      <w:r>
        <w:rPr>
          <w:rtl/>
          <w:lang w:bidi="fa-IR"/>
        </w:rPr>
        <w:t xml:space="preserve"> </w:t>
      </w:r>
      <w:r w:rsidR="009B673F">
        <w:rPr>
          <w:rtl/>
          <w:lang w:bidi="fa-IR"/>
        </w:rPr>
        <w:t>-</w:t>
      </w:r>
      <w:r>
        <w:rPr>
          <w:rtl/>
          <w:lang w:bidi="fa-IR"/>
        </w:rPr>
        <w:t xml:space="preserve"> </w:t>
      </w:r>
      <w:r w:rsidRPr="00020424">
        <w:rPr>
          <w:rtl/>
          <w:lang w:bidi="fa-IR"/>
        </w:rPr>
        <w:t xml:space="preserve">قَالَا : « فِي صَدَقَةِ الْإِبِلِ فِي كُلِّ خَمْسٍ </w:t>
      </w:r>
      <w:r w:rsidRPr="00A91B96">
        <w:rPr>
          <w:rStyle w:val="libFootnotenumChar"/>
          <w:rtl/>
        </w:rPr>
        <w:t>(1)</w:t>
      </w:r>
      <w:r w:rsidRPr="00020424">
        <w:rPr>
          <w:rtl/>
          <w:lang w:bidi="fa-IR"/>
        </w:rPr>
        <w:t xml:space="preserve"> شَاةٌ إِلى أَنْ تَبْلُغَ </w:t>
      </w:r>
      <w:r w:rsidRPr="00A91B96">
        <w:rPr>
          <w:rStyle w:val="libFootnotenumChar"/>
          <w:rtl/>
        </w:rPr>
        <w:t>(2)</w:t>
      </w:r>
      <w:r w:rsidRPr="00020424">
        <w:rPr>
          <w:rtl/>
          <w:lang w:bidi="fa-IR"/>
        </w:rPr>
        <w:t xml:space="preserve"> خَمْساً </w:t>
      </w:r>
      <w:r w:rsidRPr="00A91B96">
        <w:rPr>
          <w:rStyle w:val="libFootnotenumChar"/>
          <w:rtl/>
        </w:rPr>
        <w:t>(3)</w:t>
      </w:r>
      <w:r w:rsidRPr="00020424">
        <w:rPr>
          <w:rtl/>
          <w:lang w:bidi="fa-IR"/>
        </w:rPr>
        <w:t xml:space="preserve"> وَعِشْرِينَ ، فَإِذَا بَلَغَتْ ذلِكَ ، فَفِيهَا </w:t>
      </w:r>
      <w:r w:rsidRPr="00A91B96">
        <w:rPr>
          <w:rStyle w:val="libFootnotenumChar"/>
          <w:rtl/>
        </w:rPr>
        <w:t>(4)</w:t>
      </w:r>
      <w:r w:rsidRPr="00020424">
        <w:rPr>
          <w:rtl/>
          <w:lang w:bidi="fa-IR"/>
        </w:rPr>
        <w:t xml:space="preserve"> ابْنَةُ </w:t>
      </w:r>
      <w:r w:rsidRPr="00A91B96">
        <w:rPr>
          <w:rStyle w:val="libFootnotenumChar"/>
          <w:rtl/>
        </w:rPr>
        <w:t>(5)</w:t>
      </w:r>
      <w:r w:rsidRPr="00020424">
        <w:rPr>
          <w:rtl/>
          <w:lang w:bidi="fa-IR"/>
        </w:rPr>
        <w:t xml:space="preserve"> مَخَاضٍ </w:t>
      </w:r>
      <w:r w:rsidRPr="00A91B96">
        <w:rPr>
          <w:rStyle w:val="libFootnotenumChar"/>
          <w:rtl/>
        </w:rPr>
        <w:t>(6)</w:t>
      </w:r>
      <w:r w:rsidRPr="00020424">
        <w:rPr>
          <w:rtl/>
          <w:lang w:bidi="fa-IR"/>
        </w:rPr>
        <w:t xml:space="preserve"> ، ثُمَّ لَيْسَ </w:t>
      </w:r>
      <w:r w:rsidRPr="00A91B96">
        <w:rPr>
          <w:rStyle w:val="libFootnotenumChar"/>
          <w:rtl/>
        </w:rPr>
        <w:t>(7)</w:t>
      </w:r>
      <w:r w:rsidRPr="00020424">
        <w:rPr>
          <w:rtl/>
          <w:lang w:bidi="fa-IR"/>
        </w:rPr>
        <w:t xml:space="preserve"> فِيهَا شَيْ‌ءٌ حَتّى تَبْلُغَ </w:t>
      </w:r>
      <w:r w:rsidRPr="00A91B96">
        <w:rPr>
          <w:rStyle w:val="libFootnotenumChar"/>
          <w:rtl/>
        </w:rPr>
        <w:t>(8)</w:t>
      </w:r>
      <w:r w:rsidRPr="00020424">
        <w:rPr>
          <w:rtl/>
          <w:lang w:bidi="fa-IR"/>
        </w:rPr>
        <w:t xml:space="preserve"> خَمْساً </w:t>
      </w:r>
      <w:r w:rsidRPr="00A91B96">
        <w:rPr>
          <w:rStyle w:val="libFootnotenumChar"/>
          <w:rtl/>
        </w:rPr>
        <w:t>(9)</w:t>
      </w:r>
      <w:r w:rsidRPr="00020424">
        <w:rPr>
          <w:rtl/>
          <w:lang w:bidi="fa-IR"/>
        </w:rPr>
        <w:t xml:space="preserve"> وَثَلَاثِينَ ، فَإِذَا بَلَغَتْ خَمْساً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 خمس</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جن » : « أن يبلغ</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وحاشية « بث » والمعاني : « خمسة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جن » : « فيها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بخ ، بر ، بس ، بف » </w:t>
      </w:r>
      <w:r w:rsidR="00992664" w:rsidRPr="00FD6221">
        <w:rPr>
          <w:rStyle w:val="libFootnoteBoldChar"/>
          <w:rtl/>
        </w:rPr>
        <w:t>والاستبصار</w:t>
      </w:r>
      <w:r w:rsidR="00992664" w:rsidRPr="00020424">
        <w:rPr>
          <w:rtl/>
        </w:rPr>
        <w:t xml:space="preserve"> : « بنت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قال في </w:t>
      </w:r>
      <w:r w:rsidR="00992664" w:rsidRPr="0012008A">
        <w:rPr>
          <w:rStyle w:val="libFootnoteBoldChar"/>
          <w:rtl/>
        </w:rPr>
        <w:t>التهذيب</w:t>
      </w:r>
      <w:r w:rsidR="00992664" w:rsidRPr="00020424">
        <w:rPr>
          <w:rtl/>
        </w:rPr>
        <w:t>ين ذيل هذا الحديث : « فأمّا الخبر الذي رواه محمّد بن يعقوب</w:t>
      </w:r>
      <w:r w:rsidR="00992664">
        <w:rPr>
          <w:rtl/>
        </w:rPr>
        <w:t xml:space="preserve"> ..</w:t>
      </w:r>
      <w:r w:rsidR="00992664" w:rsidRPr="00020424">
        <w:rPr>
          <w:rtl/>
        </w:rPr>
        <w:t xml:space="preserve">. فليس بينه وبين ما قدّمناه من‌الأخبار التي تضمّنت الزيادة على الأنصاب المذكورة تناقض ؛ لأنّ قوله : في كلّ خمس شاة إلى أن تبلغ خمساً وعشرين ، يقتضي أن يكونوا سواء في هذا الحكم وأنّه يجب في كلّ خمس شاة ، وقوله بعد ذلك : فإذا بلغت خمساً وعشرين ففيها ابنة مخاض ، يحتمل أن يكون أراد : وزادت واحدة ، وإنّما لم يذكر في اللفظ ؛ لعلمه بفهم المخاطب ذلك ، ولو صرّح فقال : في كلّ خمس شاة إلى خمس وعشرين ففيها خمس شياه فإذا بلغت خمساً وعشرين وزادت واحدة ففيها ابنة مخاض ، لم يكن فيه تناقض ، وكلّ لو صرّح به لم يؤدّ إلى التناقض جاز تقديره في </w:t>
      </w:r>
      <w:r w:rsidR="00F16F43">
        <w:rPr>
          <w:rtl/>
        </w:rPr>
        <w:t>الكلام ، ولم يقدّر في الخبر إل</w:t>
      </w:r>
      <w:r w:rsidR="003461DC">
        <w:rPr>
          <w:rFonts w:hint="cs"/>
          <w:rtl/>
        </w:rPr>
        <w:t>ّ</w:t>
      </w:r>
      <w:r w:rsidR="00F16F43">
        <w:rPr>
          <w:rtl/>
        </w:rPr>
        <w:t>ا</w:t>
      </w:r>
      <w:r w:rsidR="00992664" w:rsidRPr="00020424">
        <w:rPr>
          <w:rtl/>
        </w:rPr>
        <w:t>ما وردت به الأخبار المفصّلة التي قدّمناها ، ولا تنافي بين جميع ألفاظها ومعانيها ، فعملناه على جميعها ، ولو يحتمل ما ذكرناه لجاز أن نحمل هذه الرواية ومعانيها على ضرب من التقيّة ؛ لأنّها موافقة لمذاهب العامّة ، وقد صرّح بذلك عبد الرحمن بن الحجّاج فيما رواه</w:t>
      </w:r>
      <w:r w:rsidR="00992664">
        <w:rPr>
          <w:rtl/>
        </w:rPr>
        <w:t xml:space="preserve"> ..</w:t>
      </w:r>
      <w:r w:rsidR="00992664" w:rsidRPr="00020424">
        <w:rPr>
          <w:rtl/>
        </w:rPr>
        <w:t>.</w:t>
      </w:r>
      <w:r w:rsidR="00992664">
        <w:rPr>
          <w:rtl/>
        </w:rPr>
        <w:t xml:space="preserve"> ».</w:t>
      </w:r>
    </w:p>
    <w:p w:rsidR="00992664" w:rsidRPr="00020424" w:rsidRDefault="00992664" w:rsidP="003461DC">
      <w:pPr>
        <w:pStyle w:val="libFootnote0"/>
        <w:rPr>
          <w:rtl/>
          <w:lang w:bidi="fa-IR"/>
        </w:rPr>
      </w:pPr>
      <w:r w:rsidRPr="003461DC">
        <w:rPr>
          <w:rtl/>
        </w:rPr>
        <w:t xml:space="preserve">وقال في </w:t>
      </w:r>
      <w:r w:rsidRPr="0012008A">
        <w:rPr>
          <w:rStyle w:val="libFootnoteBoldChar"/>
          <w:rtl/>
        </w:rPr>
        <w:t>الوافي</w:t>
      </w:r>
      <w:r w:rsidRPr="003461DC">
        <w:rPr>
          <w:rtl/>
        </w:rPr>
        <w:t xml:space="preserve"> : « أقول : الأوّل </w:t>
      </w:r>
      <w:r w:rsidR="009B673F" w:rsidRPr="003461DC">
        <w:rPr>
          <w:rtl/>
        </w:rPr>
        <w:t>-</w:t>
      </w:r>
      <w:r w:rsidRPr="003461DC">
        <w:rPr>
          <w:rtl/>
        </w:rPr>
        <w:t xml:space="preserve"> أي التقدير </w:t>
      </w:r>
      <w:r w:rsidR="009B673F" w:rsidRPr="003461DC">
        <w:rPr>
          <w:rtl/>
        </w:rPr>
        <w:t>-</w:t>
      </w:r>
      <w:r w:rsidRPr="003461DC">
        <w:rPr>
          <w:rtl/>
        </w:rPr>
        <w:t xml:space="preserve"> بعيد ، والثاني </w:t>
      </w:r>
      <w:r w:rsidR="009B673F" w:rsidRPr="003461DC">
        <w:rPr>
          <w:rtl/>
        </w:rPr>
        <w:t>-</w:t>
      </w:r>
      <w:r w:rsidRPr="003461DC">
        <w:rPr>
          <w:rtl/>
        </w:rPr>
        <w:t xml:space="preserve"> أي الحمل على التقيّة </w:t>
      </w:r>
      <w:r w:rsidR="009B673F" w:rsidRPr="003461DC">
        <w:rPr>
          <w:rtl/>
        </w:rPr>
        <w:t>-</w:t>
      </w:r>
      <w:r w:rsidRPr="003461DC">
        <w:rPr>
          <w:rtl/>
        </w:rPr>
        <w:t xml:space="preserve"> سديد » وقال المحقّق الشعراني في هامشه : « وروى الصدوق </w:t>
      </w:r>
      <w:r w:rsidR="00D64ADA" w:rsidRPr="00D64ADA">
        <w:rPr>
          <w:rStyle w:val="libFootnoteAlaemChar"/>
          <w:rtl/>
        </w:rPr>
        <w:t>رحمه‌الله</w:t>
      </w:r>
      <w:r w:rsidRPr="003461DC">
        <w:rPr>
          <w:rtl/>
        </w:rPr>
        <w:t xml:space="preserve"> هذا الحديث في </w:t>
      </w:r>
      <w:r w:rsidRPr="00C635FC">
        <w:rPr>
          <w:rtl/>
        </w:rPr>
        <w:t>معاني الأخبار</w:t>
      </w:r>
      <w:r w:rsidRPr="003461DC">
        <w:rPr>
          <w:rtl/>
        </w:rPr>
        <w:t xml:space="preserve"> مع التصري</w:t>
      </w:r>
      <w:r w:rsidR="00F8340F">
        <w:rPr>
          <w:rtl/>
        </w:rPr>
        <w:t>ح بهذه الزيادة فالحمل عليه أولى</w:t>
      </w:r>
      <w:r w:rsidRPr="003461DC">
        <w:rPr>
          <w:rtl/>
        </w:rPr>
        <w:t>».</w:t>
      </w:r>
    </w:p>
    <w:p w:rsidR="00992664" w:rsidRPr="00020424" w:rsidRDefault="00992664" w:rsidP="003461DC">
      <w:pPr>
        <w:pStyle w:val="libFootnote0"/>
        <w:rPr>
          <w:rtl/>
          <w:lang w:bidi="fa-IR"/>
        </w:rPr>
      </w:pPr>
      <w:r w:rsidRPr="003461DC">
        <w:rPr>
          <w:rStyle w:val="libFootnoteBoldChar"/>
          <w:rtl/>
        </w:rPr>
        <w:t>وفي مرآة العقول</w:t>
      </w:r>
      <w:r w:rsidRPr="003461DC">
        <w:rPr>
          <w:rtl/>
        </w:rPr>
        <w:t xml:space="preserve"> ، ج 16 ، ص 57 : « لايخفى مخالفته للمشهور وغيره من الأخبار ، ويمكن حمله على القدر الذي يجب فيه زيادة الواحد شرطاً ، وأحال </w:t>
      </w:r>
      <w:r w:rsidRPr="00D64ADA">
        <w:rPr>
          <w:rStyle w:val="libFootnoteAlaemChar"/>
          <w:rtl/>
        </w:rPr>
        <w:t>عليه‌السلام</w:t>
      </w:r>
      <w:r w:rsidRPr="003461DC">
        <w:rPr>
          <w:rtl/>
        </w:rPr>
        <w:t xml:space="preserve"> بيان هذا الشرط على ما ذكره في غيره من الأخبار ، والسيّد </w:t>
      </w:r>
      <w:r w:rsidR="00D64ADA" w:rsidRPr="00D64ADA">
        <w:rPr>
          <w:rStyle w:val="libFootnoteAlaemChar"/>
          <w:rtl/>
        </w:rPr>
        <w:t>رحمه‌الله</w:t>
      </w:r>
      <w:r w:rsidRPr="003461DC">
        <w:rPr>
          <w:rtl/>
        </w:rPr>
        <w:t xml:space="preserve"> حمل بنت المخاض على قيمة خمس شياه ، ولا يخفى ما فيه ».</w:t>
      </w:r>
    </w:p>
    <w:p w:rsidR="00992664" w:rsidRPr="00020424" w:rsidRDefault="00992664" w:rsidP="00A30D64">
      <w:pPr>
        <w:pStyle w:val="libFootnote0"/>
        <w:rPr>
          <w:rtl/>
          <w:lang w:bidi="fa-IR"/>
        </w:rPr>
      </w:pPr>
      <w:r w:rsidRPr="003461DC">
        <w:rPr>
          <w:rtl/>
        </w:rPr>
        <w:t>وأمّا المخاض فهي اسم للنوق الحوامل ، واحدتها خَلِفَة ولا واحد لها من لفظها ، ومنه قيل للفصيل إذا استكمل الحول ودخل في السنة الثانية : ابن مخاض والا</w:t>
      </w:r>
      <w:r w:rsidR="003461DC">
        <w:rPr>
          <w:rFonts w:hint="cs"/>
          <w:rtl/>
        </w:rPr>
        <w:t>ُ</w:t>
      </w:r>
      <w:r w:rsidRPr="003461DC">
        <w:rPr>
          <w:rtl/>
        </w:rPr>
        <w:t>نثى : ابنة مخاض ؛ لأنّه فصل عن ا</w:t>
      </w:r>
      <w:r w:rsidR="003461DC">
        <w:rPr>
          <w:rFonts w:hint="cs"/>
          <w:rtl/>
        </w:rPr>
        <w:t>ُ</w:t>
      </w:r>
      <w:r w:rsidRPr="003461DC">
        <w:rPr>
          <w:rtl/>
        </w:rPr>
        <w:t>مّه وا</w:t>
      </w:r>
      <w:r w:rsidR="004E3373">
        <w:rPr>
          <w:rFonts w:hint="cs"/>
          <w:rtl/>
        </w:rPr>
        <w:t>ُ</w:t>
      </w:r>
      <w:r w:rsidRPr="003461DC">
        <w:rPr>
          <w:rtl/>
        </w:rPr>
        <w:t>لحقت ا</w:t>
      </w:r>
      <w:r w:rsidR="004E3373">
        <w:rPr>
          <w:rFonts w:hint="cs"/>
          <w:rtl/>
        </w:rPr>
        <w:t>ُ</w:t>
      </w:r>
      <w:r w:rsidRPr="003461DC">
        <w:rPr>
          <w:rtl/>
        </w:rPr>
        <w:t xml:space="preserve">مّه بالمخاض ، أي الحوامل وإن لم تكن حاملاً. وقيل غير ذلك. راجع : </w:t>
      </w:r>
      <w:r w:rsidRPr="0012008A">
        <w:rPr>
          <w:rStyle w:val="libFootnoteBoldChar"/>
          <w:rtl/>
        </w:rPr>
        <w:t>الصحاح</w:t>
      </w:r>
      <w:r w:rsidRPr="003461DC">
        <w:rPr>
          <w:rtl/>
        </w:rPr>
        <w:t xml:space="preserve"> ، ج 3 ، ص 1105 ؛ </w:t>
      </w:r>
      <w:r w:rsidRPr="0012008A">
        <w:rPr>
          <w:rStyle w:val="libFootnoteBoldChar"/>
          <w:rtl/>
        </w:rPr>
        <w:t>النهاية</w:t>
      </w:r>
      <w:r w:rsidRPr="003461DC">
        <w:rPr>
          <w:rtl/>
        </w:rPr>
        <w:t xml:space="preserve"> ، ج 4 ، ص 306 ؛ </w:t>
      </w:r>
      <w:r w:rsidRPr="00A722B1">
        <w:rPr>
          <w:rStyle w:val="libFootnoteBoldChar"/>
          <w:rtl/>
        </w:rPr>
        <w:t>لسان العرب</w:t>
      </w:r>
      <w:r w:rsidRPr="003461DC">
        <w:rPr>
          <w:rtl/>
        </w:rPr>
        <w:t xml:space="preserve"> ، ج 7 ، ص 229 ( مخض ).</w:t>
      </w:r>
      <w:r w:rsidR="00F8340F">
        <w:rPr>
          <w:rFonts w:hint="cs"/>
          <w:rtl/>
        </w:rPr>
        <w:t xml:space="preserve">                           </w:t>
      </w:r>
      <w:r w:rsidR="00A30D64">
        <w:rPr>
          <w:rFonts w:hint="cs"/>
          <w:rtl/>
        </w:rPr>
        <w:t xml:space="preserve">  </w:t>
      </w:r>
      <w:r w:rsidR="00795177">
        <w:rPr>
          <w:rtl/>
        </w:rPr>
        <w:t>(7).</w:t>
      </w:r>
      <w:r w:rsidR="0014403D">
        <w:rPr>
          <w:rtl/>
        </w:rPr>
        <w:t xml:space="preserve">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وليس</w:t>
      </w:r>
      <w:r>
        <w:rPr>
          <w:rtl/>
        </w:rPr>
        <w:t xml:space="preserve"> ».</w:t>
      </w:r>
    </w:p>
    <w:tbl>
      <w:tblPr>
        <w:tblStyle w:val="TableGrid"/>
        <w:bidiVisual/>
        <w:tblW w:w="0" w:type="auto"/>
        <w:tblLook w:val="04A0" w:firstRow="1" w:lastRow="0" w:firstColumn="1" w:lastColumn="0" w:noHBand="0" w:noVBand="1"/>
      </w:tblPr>
      <w:tblGrid>
        <w:gridCol w:w="4006"/>
        <w:gridCol w:w="4006"/>
      </w:tblGrid>
      <w:tr w:rsidR="00B61FE3" w:rsidTr="00B61FE3">
        <w:tc>
          <w:tcPr>
            <w:tcW w:w="4006" w:type="dxa"/>
          </w:tcPr>
          <w:p w:rsidR="00B61FE3" w:rsidRDefault="00B61FE3" w:rsidP="00B61FE3">
            <w:pPr>
              <w:pStyle w:val="libFootnote0"/>
              <w:rPr>
                <w:rtl/>
              </w:rPr>
            </w:pPr>
            <w:r>
              <w:rPr>
                <w:rtl/>
              </w:rPr>
              <w:t xml:space="preserve">(8). </w:t>
            </w:r>
            <w:r w:rsidRPr="00020424">
              <w:rPr>
                <w:rtl/>
              </w:rPr>
              <w:t>في«بخ،بر»</w:t>
            </w:r>
            <w:r>
              <w:rPr>
                <w:rFonts w:hint="cs"/>
                <w:rtl/>
              </w:rPr>
              <w:t xml:space="preserve"> </w:t>
            </w:r>
            <w:r w:rsidRPr="00020424">
              <w:rPr>
                <w:rtl/>
              </w:rPr>
              <w:t>وحاشية « بث » : « حتّى يبلغ</w:t>
            </w:r>
            <w:r>
              <w:rPr>
                <w:rtl/>
              </w:rPr>
              <w:t xml:space="preserve"> ».</w:t>
            </w:r>
          </w:p>
        </w:tc>
        <w:tc>
          <w:tcPr>
            <w:tcW w:w="4006" w:type="dxa"/>
          </w:tcPr>
          <w:p w:rsidR="00B61FE3" w:rsidRDefault="00B61FE3" w:rsidP="00B61FE3">
            <w:pPr>
              <w:pStyle w:val="libFootnote0"/>
              <w:rPr>
                <w:rtl/>
              </w:rPr>
            </w:pPr>
            <w:r>
              <w:rPr>
                <w:rtl/>
              </w:rPr>
              <w:t xml:space="preserve">(9). </w:t>
            </w:r>
            <w:r w:rsidRPr="00020424">
              <w:rPr>
                <w:rtl/>
              </w:rPr>
              <w:t>في«بخ،بر،بف»</w:t>
            </w:r>
            <w:r>
              <w:rPr>
                <w:rtl/>
              </w:rPr>
              <w:t>وحاشية</w:t>
            </w:r>
            <w:r w:rsidRPr="00020424">
              <w:rPr>
                <w:rtl/>
              </w:rPr>
              <w:t>«</w:t>
            </w:r>
            <w:r>
              <w:rPr>
                <w:rtl/>
              </w:rPr>
              <w:t>بث</w:t>
            </w:r>
            <w:r w:rsidRPr="00020424">
              <w:rPr>
                <w:rtl/>
              </w:rPr>
              <w:t>»والمعاني:«خمسة</w:t>
            </w:r>
            <w:r>
              <w:rPr>
                <w:rtl/>
              </w:rPr>
              <w:t>».</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بخ ، بر ، بف » والمعاني : « خمسة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وَثَلَاثِينَ ، فَفِيهَا ابْنَةُ </w:t>
      </w:r>
      <w:r w:rsidRPr="00A91B96">
        <w:rPr>
          <w:rStyle w:val="libFootnotenumChar"/>
          <w:rtl/>
        </w:rPr>
        <w:t>(1)</w:t>
      </w:r>
      <w:r w:rsidRPr="00020424">
        <w:rPr>
          <w:rtl/>
          <w:lang w:bidi="fa-IR"/>
        </w:rPr>
        <w:t xml:space="preserve"> لَبُونٍ </w:t>
      </w:r>
      <w:r w:rsidRPr="00A91B96">
        <w:rPr>
          <w:rStyle w:val="libFootnotenumChar"/>
          <w:rtl/>
        </w:rPr>
        <w:t>(2)</w:t>
      </w:r>
      <w:r w:rsidRPr="00020424">
        <w:rPr>
          <w:rtl/>
          <w:lang w:bidi="fa-IR"/>
        </w:rPr>
        <w:t xml:space="preserve"> ، ثُمَّ لَيْسَ فِيهَا شَيْ‌ءٌ حَتّى تَبْلُغَ </w:t>
      </w:r>
      <w:r w:rsidRPr="00A91B96">
        <w:rPr>
          <w:rStyle w:val="libFootnotenumChar"/>
          <w:rtl/>
        </w:rPr>
        <w:t>(3)</w:t>
      </w:r>
      <w:r w:rsidRPr="00020424">
        <w:rPr>
          <w:rtl/>
          <w:lang w:bidi="fa-IR"/>
        </w:rPr>
        <w:t xml:space="preserve"> خَمْساً </w:t>
      </w:r>
      <w:r w:rsidRPr="00A91B96">
        <w:rPr>
          <w:rStyle w:val="libFootnotenumChar"/>
          <w:rtl/>
        </w:rPr>
        <w:t>(4)</w:t>
      </w:r>
      <w:r w:rsidRPr="00020424">
        <w:rPr>
          <w:rtl/>
          <w:lang w:bidi="fa-IR"/>
        </w:rPr>
        <w:t xml:space="preserve"> وَأَرْبَعِينَ ، فَإِذَا بَلَغَتْ خَمْساً </w:t>
      </w:r>
      <w:r w:rsidRPr="00A91B96">
        <w:rPr>
          <w:rStyle w:val="libFootnotenumChar"/>
          <w:rtl/>
        </w:rPr>
        <w:t>(5)</w:t>
      </w:r>
      <w:r w:rsidRPr="00020424">
        <w:rPr>
          <w:rtl/>
          <w:lang w:bidi="fa-IR"/>
        </w:rPr>
        <w:t xml:space="preserve"> وَأَرْبَعِينَ ، فَفِيهَا حِقَّةٌ </w:t>
      </w:r>
      <w:r w:rsidRPr="00A91B96">
        <w:rPr>
          <w:rStyle w:val="libFootnotenumChar"/>
          <w:rtl/>
        </w:rPr>
        <w:t>(6)</w:t>
      </w:r>
      <w:r w:rsidRPr="00020424">
        <w:rPr>
          <w:rtl/>
          <w:lang w:bidi="fa-IR"/>
        </w:rPr>
        <w:t xml:space="preserve"> طَرُوقَةُ الْفَحْلِ </w:t>
      </w:r>
      <w:r w:rsidRPr="00A91B96">
        <w:rPr>
          <w:rStyle w:val="libFootnotenumChar"/>
          <w:rtl/>
        </w:rPr>
        <w:t>(7)</w:t>
      </w:r>
      <w:r w:rsidRPr="00020424">
        <w:rPr>
          <w:rtl/>
          <w:lang w:bidi="fa-IR"/>
        </w:rPr>
        <w:t xml:space="preserve"> ، ثُمَّ لَيْسَ فِيهَا شَيْ‌ءٌ حَتّى تَبْلُغَ سِتِّينَ ، فَإِذَا بَلَغَتْ سِتِّينَ ، فَفِيهَا جَذَعَةٌ </w:t>
      </w:r>
      <w:r w:rsidRPr="00A91B96">
        <w:rPr>
          <w:rStyle w:val="libFootnotenumChar"/>
          <w:rtl/>
        </w:rPr>
        <w:t>(8)</w:t>
      </w:r>
      <w:r w:rsidRPr="00020424">
        <w:rPr>
          <w:rtl/>
          <w:lang w:bidi="fa-IR"/>
        </w:rPr>
        <w:t xml:space="preserve"> ، ثُمَّ لَيْسَ فِيهَا شَيْ‌ءٌ حَتّى تَبْلُغَ خَمْساً </w:t>
      </w:r>
      <w:r w:rsidRPr="00A91B96">
        <w:rPr>
          <w:rStyle w:val="libFootnotenumChar"/>
          <w:rtl/>
        </w:rPr>
        <w:t>(9)</w:t>
      </w:r>
      <w:r w:rsidRPr="00020424">
        <w:rPr>
          <w:rtl/>
          <w:lang w:bidi="fa-IR"/>
        </w:rPr>
        <w:t xml:space="preserve"> وَسَبْعِينَ ، فَإِذَا بَلَغَتْ خَمْساً </w:t>
      </w:r>
      <w:r w:rsidRPr="00A91B96">
        <w:rPr>
          <w:rStyle w:val="libFootnotenumChar"/>
          <w:rtl/>
        </w:rPr>
        <w:t>(10)</w:t>
      </w:r>
      <w:r w:rsidRPr="00020424">
        <w:rPr>
          <w:rtl/>
          <w:lang w:bidi="fa-IR"/>
        </w:rPr>
        <w:t xml:space="preserve"> وَسَبْعِينَ ، فَفِيهَا ابْنَتَا </w:t>
      </w:r>
      <w:r w:rsidRPr="00A91B96">
        <w:rPr>
          <w:rStyle w:val="libFootnotenumChar"/>
          <w:rtl/>
        </w:rPr>
        <w:t>(11)</w:t>
      </w:r>
      <w:r w:rsidRPr="00020424">
        <w:rPr>
          <w:rtl/>
          <w:lang w:bidi="fa-IR"/>
        </w:rPr>
        <w:t xml:space="preserve"> لَبُونٍ ، ثُمَّ لَيْسَ فِيهَا شَيْ‌ءٌ حَتّى تَبْلُغَ تِسْعِينَ ، فَإِذَا بَلَغَتْ تِسْعِينَ ، فَفِيهَا حِقَّتَانِ طَرُوقَتَا الْفَحْلِ ، ثُمَّ لَيْسَ فِيهَا شَيْ‌ءٌ </w:t>
      </w:r>
      <w:r w:rsidRPr="00A91B96">
        <w:rPr>
          <w:rStyle w:val="libFootnotenumChar"/>
          <w:rtl/>
        </w:rPr>
        <w:t>(12)</w:t>
      </w:r>
      <w:r w:rsidRPr="00020424">
        <w:rPr>
          <w:rtl/>
          <w:lang w:bidi="fa-IR"/>
        </w:rPr>
        <w:t xml:space="preserve"> حَتّى تَبْلُغَ عِشْرِينَ وَمِائَةً ، فَإِذَا بَلَغَتْ عِشْرِينَ وَمِائَةً ، فَفِيهَا حِقَّتَانِ طَرُوقَتَا الْفَحْلِ ، فَإِذَا زَادَتْ وَاحِدَةٌ عَلى عِشْرِينَ وَمِائَةٍ ، فَفِي كُلِّ خَمْسِينَ حِقَّةٌ ، وَفِي كُلِّ أَرْبَعِينَ ابْنَةُ </w:t>
      </w:r>
      <w:r w:rsidRPr="00A91B96">
        <w:rPr>
          <w:rStyle w:val="libFootnotenumChar"/>
          <w:rtl/>
        </w:rPr>
        <w:t>(13)</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بس » : « بنت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اللبون » من الشاة والإبل : ذات اللبن ، غزيرة كانت أم بكيئة ، ويقال لولد الناقة إذا استكمل السنة الثانية ودخل في الثالثة : ابن اللبون ، والا</w:t>
      </w:r>
      <w:r w:rsidR="00EF640A">
        <w:rPr>
          <w:rFonts w:hint="cs"/>
          <w:rtl/>
        </w:rPr>
        <w:t>ُ</w:t>
      </w:r>
      <w:r w:rsidR="00992664" w:rsidRPr="00020424">
        <w:rPr>
          <w:rtl/>
        </w:rPr>
        <w:t>نثى : ابنة لبون ؛ لأنّ ا</w:t>
      </w:r>
      <w:r w:rsidR="00C906B4">
        <w:rPr>
          <w:rFonts w:hint="cs"/>
          <w:rtl/>
        </w:rPr>
        <w:t>ُ</w:t>
      </w:r>
      <w:r w:rsidR="00992664" w:rsidRPr="00020424">
        <w:rPr>
          <w:rtl/>
        </w:rPr>
        <w:t xml:space="preserve">مّه حملت غيره ووضعته فصارت ذات لبن. راجع : </w:t>
      </w:r>
      <w:r w:rsidR="00992664" w:rsidRPr="0012008A">
        <w:rPr>
          <w:rStyle w:val="libFootnoteBoldChar"/>
          <w:rtl/>
        </w:rPr>
        <w:t>الصحاح</w:t>
      </w:r>
      <w:r w:rsidR="00992664" w:rsidRPr="00020424">
        <w:rPr>
          <w:rtl/>
        </w:rPr>
        <w:t xml:space="preserve"> ، ج 6 ، ص 2192 ؛ </w:t>
      </w:r>
      <w:r w:rsidR="00992664" w:rsidRPr="0012008A">
        <w:rPr>
          <w:rStyle w:val="libFootnoteBoldChar"/>
          <w:rtl/>
        </w:rPr>
        <w:t>النهاية</w:t>
      </w:r>
      <w:r w:rsidR="00992664" w:rsidRPr="00020424">
        <w:rPr>
          <w:rtl/>
        </w:rPr>
        <w:t xml:space="preserve"> ، ج 4 ، ص 228 ( لبن )</w:t>
      </w:r>
      <w:r w:rsidR="00992664">
        <w:rPr>
          <w:rtl/>
        </w:rPr>
        <w:t>.</w:t>
      </w:r>
    </w:p>
    <w:tbl>
      <w:tblPr>
        <w:tblStyle w:val="TableGrid"/>
        <w:bidiVisual/>
        <w:tblW w:w="0" w:type="auto"/>
        <w:tblLook w:val="04A0" w:firstRow="1" w:lastRow="0" w:firstColumn="1" w:lastColumn="0" w:noHBand="0" w:noVBand="1"/>
      </w:tblPr>
      <w:tblGrid>
        <w:gridCol w:w="4006"/>
        <w:gridCol w:w="4006"/>
      </w:tblGrid>
      <w:tr w:rsidR="00D07A7F" w:rsidTr="00D07A7F">
        <w:tc>
          <w:tcPr>
            <w:tcW w:w="4006" w:type="dxa"/>
          </w:tcPr>
          <w:p w:rsidR="00D07A7F" w:rsidRDefault="00D07A7F" w:rsidP="00992664">
            <w:pPr>
              <w:pStyle w:val="libFootnote0"/>
              <w:rPr>
                <w:rtl/>
              </w:rPr>
            </w:pPr>
            <w:r>
              <w:rPr>
                <w:rtl/>
              </w:rPr>
              <w:t xml:space="preserve">(3). </w:t>
            </w:r>
            <w:r w:rsidRPr="00020424">
              <w:rPr>
                <w:rtl/>
              </w:rPr>
              <w:t>في « بخ ، بف » : « حتّى يبلغ</w:t>
            </w:r>
            <w:r>
              <w:rPr>
                <w:rtl/>
              </w:rPr>
              <w:t xml:space="preserve"> ».</w:t>
            </w:r>
          </w:p>
        </w:tc>
        <w:tc>
          <w:tcPr>
            <w:tcW w:w="4006" w:type="dxa"/>
          </w:tcPr>
          <w:p w:rsidR="00D07A7F" w:rsidRDefault="00D07A7F" w:rsidP="00D07A7F">
            <w:pPr>
              <w:pStyle w:val="libFootnote0"/>
              <w:rPr>
                <w:rtl/>
              </w:rPr>
            </w:pPr>
            <w:r>
              <w:rPr>
                <w:rtl/>
              </w:rPr>
              <w:t xml:space="preserve">(4). </w:t>
            </w:r>
            <w:r w:rsidRPr="00020424">
              <w:rPr>
                <w:rtl/>
              </w:rPr>
              <w:t>في«بخ،بر،بف»وحاشية«بث»والمعاني:«خمسة</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بف » وحاشية « بث » والمعاني : « خمسة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الحِقّ » ، بكسر الحاء : هو من الإبل ما كان ابن ثلاث سنين وقد دخل في السنة الرابعة إلى آخرها ، والا</w:t>
      </w:r>
      <w:r w:rsidR="001F43F5">
        <w:rPr>
          <w:rFonts w:hint="cs"/>
          <w:rtl/>
        </w:rPr>
        <w:t>ُ</w:t>
      </w:r>
      <w:r w:rsidR="00992664" w:rsidRPr="00020424">
        <w:rPr>
          <w:rtl/>
        </w:rPr>
        <w:t xml:space="preserve">نثى حِقَّة وحِقٌّ أيضاً ؛ سمّي بذلك لاستحقاقه أن يركب ويحمل عليه وينتفع به ، ويجمع على حِقاق وحقائق. راجع : </w:t>
      </w:r>
      <w:r w:rsidR="00992664" w:rsidRPr="0012008A">
        <w:rPr>
          <w:rStyle w:val="libFootnoteBoldChar"/>
          <w:rtl/>
        </w:rPr>
        <w:t>الصحاح</w:t>
      </w:r>
      <w:r w:rsidR="00992664" w:rsidRPr="00020424">
        <w:rPr>
          <w:rtl/>
        </w:rPr>
        <w:t xml:space="preserve"> ، ج 4 ، ص 1460 ؛ </w:t>
      </w:r>
      <w:r w:rsidR="00992664" w:rsidRPr="0012008A">
        <w:rPr>
          <w:rStyle w:val="libFootnoteBoldChar"/>
          <w:rtl/>
        </w:rPr>
        <w:t>النهاية</w:t>
      </w:r>
      <w:r w:rsidR="00992664" w:rsidRPr="00020424">
        <w:rPr>
          <w:rtl/>
        </w:rPr>
        <w:t xml:space="preserve"> ، ج 1 ، ص 415 ( حقق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قال الجوهري : « طَروقة الفحل : ا</w:t>
      </w:r>
      <w:r w:rsidR="001F43F5">
        <w:rPr>
          <w:rFonts w:hint="cs"/>
          <w:rtl/>
        </w:rPr>
        <w:t>ُ</w:t>
      </w:r>
      <w:r w:rsidR="00992664" w:rsidRPr="00020424">
        <w:rPr>
          <w:rtl/>
        </w:rPr>
        <w:t>نثاه ، يقال : ناقة طروقة الفحل ، للتي بلغت أن يضربها الفحل » ، وقال ابن الأثير : « في حديث الزكاة : فيها حقّة طروقة الفحل ، أي يعلو الفحلُ مثلَها في سنّها ، وهي فعولة بمعنى مفعولة ، أي مركوبة للفحل</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1515 ؛ </w:t>
      </w:r>
      <w:r w:rsidR="00992664" w:rsidRPr="0012008A">
        <w:rPr>
          <w:rStyle w:val="libFootnoteBoldChar"/>
          <w:rtl/>
        </w:rPr>
        <w:t>النهاية</w:t>
      </w:r>
      <w:r w:rsidR="00992664" w:rsidRPr="00020424">
        <w:rPr>
          <w:rtl/>
        </w:rPr>
        <w:t xml:space="preserve"> ، ج 3 ، ص 122 ( طرق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قال الجوهري : « الجَذَع : قبل الثنيّ ، والجمع : جُذْعان وجِذاع ، والا</w:t>
      </w:r>
      <w:r w:rsidR="001F43F5">
        <w:rPr>
          <w:rFonts w:hint="cs"/>
          <w:rtl/>
        </w:rPr>
        <w:t>ُ</w:t>
      </w:r>
      <w:r w:rsidR="00992664" w:rsidRPr="00020424">
        <w:rPr>
          <w:rtl/>
        </w:rPr>
        <w:t>نثى : جَذَعة ، والجمع : جَذَعات » ، وقال‌ابن الأثير : « أصل الجَذَع من أسنان الدوابّ ، وهو ما كان منها شابّاً فتيّاً ، فهو من الإبل ما دخل في السنة الخامسة ، ومن البقر والمعز ما دخل في السنة الثانية ، وقيل : البقر في الثالثة ، ومن الضأن ما تمّت له سنة ، وقيل أقلّ منها ، ومنهم من يخالف بعض هذا في التقدير</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1194 ؛ </w:t>
      </w:r>
      <w:r w:rsidR="00992664" w:rsidRPr="0012008A">
        <w:rPr>
          <w:rStyle w:val="libFootnoteBoldChar"/>
          <w:rtl/>
        </w:rPr>
        <w:t>النهاية</w:t>
      </w:r>
      <w:r w:rsidR="00992664" w:rsidRPr="00020424">
        <w:rPr>
          <w:rtl/>
        </w:rPr>
        <w:t xml:space="preserve"> ، ج 1 ، ص 250 ( جذع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بر ، بف » وحاشية « بث » والمعاني : « خمسة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F43F5" w:rsidTr="001F43F5">
        <w:tc>
          <w:tcPr>
            <w:tcW w:w="4006" w:type="dxa"/>
          </w:tcPr>
          <w:p w:rsidR="001F43F5" w:rsidRDefault="001F43F5" w:rsidP="001F43F5">
            <w:pPr>
              <w:pStyle w:val="libFootnote0"/>
              <w:rPr>
                <w:rtl/>
              </w:rPr>
            </w:pPr>
            <w:r>
              <w:rPr>
                <w:rtl/>
              </w:rPr>
              <w:t xml:space="preserve">(10). </w:t>
            </w:r>
            <w:r w:rsidRPr="00020424">
              <w:rPr>
                <w:rtl/>
              </w:rPr>
              <w:t>في«بث،بخ،بر،بف» والمعاني : « خمسة</w:t>
            </w:r>
            <w:r>
              <w:rPr>
                <w:rtl/>
              </w:rPr>
              <w:t xml:space="preserve"> ».</w:t>
            </w:r>
          </w:p>
        </w:tc>
        <w:tc>
          <w:tcPr>
            <w:tcW w:w="4006" w:type="dxa"/>
          </w:tcPr>
          <w:p w:rsidR="001F43F5" w:rsidRDefault="001F43F5" w:rsidP="00992664">
            <w:pPr>
              <w:pStyle w:val="libFootnote0"/>
              <w:rPr>
                <w:rtl/>
              </w:rPr>
            </w:pPr>
            <w:r>
              <w:rPr>
                <w:rtl/>
              </w:rPr>
              <w:t xml:space="preserve">(11). </w:t>
            </w:r>
            <w:r w:rsidRPr="00020424">
              <w:rPr>
                <w:rtl/>
              </w:rPr>
              <w:t>في«ى،بث،بح،بخ،بر،بس»والمعاني:«بنتا</w:t>
            </w:r>
            <w:r>
              <w:rPr>
                <w:rtl/>
              </w:rPr>
              <w:t>».</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والمعاني : + « أكثر من ذلك</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والمعاني : « بنت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8340F">
      <w:pPr>
        <w:pStyle w:val="libNormal0"/>
        <w:rPr>
          <w:rtl/>
          <w:lang w:bidi="fa-IR"/>
        </w:rPr>
      </w:pPr>
      <w:r w:rsidRPr="00020424">
        <w:rPr>
          <w:rtl/>
          <w:lang w:bidi="fa-IR"/>
        </w:rPr>
        <w:lastRenderedPageBreak/>
        <w:t xml:space="preserve">لَبُونٍ ، ثُمَّ تَرْجِعُ الْإِبِلُ عَلى أَسْنَانِهَا </w:t>
      </w:r>
      <w:r w:rsidRPr="00A91B96">
        <w:rPr>
          <w:rStyle w:val="libFootnotenumChar"/>
          <w:rtl/>
        </w:rPr>
        <w:t>(1)</w:t>
      </w:r>
      <w:r w:rsidRPr="00020424">
        <w:rPr>
          <w:rtl/>
          <w:lang w:bidi="fa-IR"/>
        </w:rPr>
        <w:t xml:space="preserve"> ، وَلَيْسَ عَلَى النَّيِّفِ </w:t>
      </w:r>
      <w:r w:rsidRPr="00A91B96">
        <w:rPr>
          <w:rStyle w:val="libFootnotenumChar"/>
          <w:rtl/>
        </w:rPr>
        <w:t>(2)</w:t>
      </w:r>
      <w:r w:rsidRPr="00020424">
        <w:rPr>
          <w:rtl/>
          <w:lang w:bidi="fa-IR"/>
        </w:rPr>
        <w:t xml:space="preserve"> شَيْ‌ءٌ ، وَلَاعَلَى الْكُسُورِ </w:t>
      </w:r>
      <w:r w:rsidRPr="00A91B96">
        <w:rPr>
          <w:rStyle w:val="libFootnotenumChar"/>
          <w:rtl/>
        </w:rPr>
        <w:t>(3)</w:t>
      </w:r>
      <w:r w:rsidRPr="00020424">
        <w:rPr>
          <w:rtl/>
          <w:lang w:bidi="fa-IR"/>
        </w:rPr>
        <w:t xml:space="preserve"> شَيْ‌ءٌ ، وَلَيْسَ </w:t>
      </w:r>
      <w:r w:rsidRPr="00A91B96">
        <w:rPr>
          <w:rStyle w:val="libFootnotenumChar"/>
          <w:rtl/>
        </w:rPr>
        <w:t>(4)</w:t>
      </w:r>
      <w:r w:rsidRPr="00020424">
        <w:rPr>
          <w:rtl/>
          <w:lang w:bidi="fa-IR"/>
        </w:rPr>
        <w:t xml:space="preserve"> عَلَى الْعَوَامِلِ </w:t>
      </w:r>
      <w:r w:rsidRPr="00A91B96">
        <w:rPr>
          <w:rStyle w:val="libFootnotenumChar"/>
          <w:rtl/>
        </w:rPr>
        <w:t>(5)</w:t>
      </w:r>
      <w:r w:rsidRPr="00020424">
        <w:rPr>
          <w:rtl/>
          <w:lang w:bidi="fa-IR"/>
        </w:rPr>
        <w:t xml:space="preserve"> شَيْ‌ءٌ ، إِنَّمَا ذلِكَ عَلَى‌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قال ا</w:t>
      </w:r>
      <w:r w:rsidR="00BB5011">
        <w:rPr>
          <w:rFonts w:hint="cs"/>
          <w:rtl/>
        </w:rPr>
        <w:t>ُ</w:t>
      </w:r>
      <w:r w:rsidR="00992664" w:rsidRPr="00020424">
        <w:rPr>
          <w:rtl/>
        </w:rPr>
        <w:t>ستاذنا في العلوم النقليّة ، السيّد ماجد بن هاشم الصادقيّ البحراني طاب ثراه : المراد برجوع</w:t>
      </w:r>
      <w:r w:rsidR="00CA1578">
        <w:rPr>
          <w:rFonts w:hint="cs"/>
          <w:rtl/>
        </w:rPr>
        <w:t xml:space="preserve"> </w:t>
      </w:r>
      <w:r w:rsidR="00992664" w:rsidRPr="00020424">
        <w:rPr>
          <w:rtl/>
        </w:rPr>
        <w:t>‌الإبل على أسنانها استئناف النصاب الكلّي وإسقاط اعتبار الأسنان السابقة ، كأنّه إذا ا</w:t>
      </w:r>
      <w:r w:rsidR="00CA1578">
        <w:rPr>
          <w:rFonts w:hint="cs"/>
          <w:rtl/>
        </w:rPr>
        <w:t>ُ</w:t>
      </w:r>
      <w:r w:rsidR="00992664" w:rsidRPr="00020424">
        <w:rPr>
          <w:rtl/>
        </w:rPr>
        <w:t>سقط اعتبار الأسنان واستؤنف النصاب الكلّي تركت الإبل على أسنانها ولم تعتبر ، كما يقال : رجعت الشي‌ء على حاله ، أي تركته عليه ولم ا</w:t>
      </w:r>
      <w:r w:rsidR="00CA1578">
        <w:rPr>
          <w:rFonts w:hint="cs"/>
          <w:rtl/>
        </w:rPr>
        <w:t>ُ</w:t>
      </w:r>
      <w:r w:rsidR="00992664" w:rsidRPr="00020424">
        <w:rPr>
          <w:rtl/>
        </w:rPr>
        <w:t>غيّره ، وه</w:t>
      </w:r>
      <w:r w:rsidR="00CA1578">
        <w:rPr>
          <w:rtl/>
        </w:rPr>
        <w:t>و وإن كان بعيداً بحسب اللفظ إل</w:t>
      </w:r>
      <w:r w:rsidR="00CA1578">
        <w:rPr>
          <w:rFonts w:hint="cs"/>
          <w:rtl/>
        </w:rPr>
        <w:t>ّ</w:t>
      </w:r>
      <w:r w:rsidR="00CA1578">
        <w:rPr>
          <w:rtl/>
        </w:rPr>
        <w:t>ا</w:t>
      </w:r>
      <w:r w:rsidR="00992664">
        <w:rPr>
          <w:rFonts w:hint="cs"/>
          <w:rtl/>
        </w:rPr>
        <w:t xml:space="preserve"> </w:t>
      </w:r>
      <w:r w:rsidR="00992664" w:rsidRPr="00020424">
        <w:rPr>
          <w:rtl/>
        </w:rPr>
        <w:t>أنّ السياق يقتضيه ، وتعقيب ذكر أنصبة الغنم بقوله : وسقط الأمر الأوّل ، ثمّ تعقيبه بمثل ما عقّب به نصب الإبل والبقر من نفي الوجوب عن النيّف ، يرشد إليه ؛ لأنّه جعل إسقاط الاعتبار بالأسنان السابقة في الغنم مقابلاً لرجوع الإبل على أسنانها واقعاً موقعه وهو يقتضى اتّحادهما في المؤدّى.</w:t>
      </w:r>
    </w:p>
    <w:p w:rsidR="00992664" w:rsidRPr="00020424" w:rsidRDefault="00992664" w:rsidP="00CA1578">
      <w:pPr>
        <w:pStyle w:val="libFootnote0"/>
        <w:rPr>
          <w:rtl/>
          <w:lang w:bidi="fa-IR"/>
        </w:rPr>
      </w:pPr>
      <w:r w:rsidRPr="00CA1578">
        <w:rPr>
          <w:rtl/>
        </w:rPr>
        <w:t xml:space="preserve">وربّما أمكن حمله على استئناف النصب السابقة فيما تجدّد ملكه في أثناء الحول ، كما أوّل به المرتضى </w:t>
      </w:r>
      <w:r w:rsidR="00D64ADA" w:rsidRPr="00D64ADA">
        <w:rPr>
          <w:rStyle w:val="libFootnoteAlaemChar"/>
          <w:rtl/>
        </w:rPr>
        <w:t>رحمه‌الله</w:t>
      </w:r>
      <w:r w:rsidRPr="00CA1578">
        <w:rPr>
          <w:rtl/>
        </w:rPr>
        <w:t xml:space="preserve"> ما رووه من استئناف الفريضة بعد المائة والعشرين. وقد يقال : أراد برجوعها على أسنانها استئناف الفرائض السابقة بعد بلوغ المائة والعشرين بأن يؤخذ للخمس الزائدة بعد المائة والعشرين شاة ، وللعشر شاتان ، وهكذا إلى الخمس والعشرين فيؤخذ بنت مخاض وهكذا ، كما هو قول أبي حنيفة ويكون محمولاً على التقيّة ، والوجه هو الأوّل ؛ لما ذكرناه. انتهى كلام ا</w:t>
      </w:r>
      <w:r w:rsidR="0087362A">
        <w:rPr>
          <w:rFonts w:hint="cs"/>
          <w:rtl/>
        </w:rPr>
        <w:t>ُ</w:t>
      </w:r>
      <w:r w:rsidRPr="00CA1578">
        <w:rPr>
          <w:rtl/>
        </w:rPr>
        <w:t xml:space="preserve">ستادنا </w:t>
      </w:r>
      <w:r w:rsidR="00D64ADA" w:rsidRPr="00D64ADA">
        <w:rPr>
          <w:rStyle w:val="libFootnoteAlaemChar"/>
          <w:rtl/>
        </w:rPr>
        <w:t>رحمه‌الله</w:t>
      </w:r>
      <w:r w:rsidRPr="00CA1578">
        <w:rPr>
          <w:rtl/>
        </w:rPr>
        <w:t xml:space="preserve"> ».</w:t>
      </w:r>
    </w:p>
    <w:p w:rsidR="00992664" w:rsidRPr="00020424" w:rsidRDefault="00992664" w:rsidP="00CA1578">
      <w:pPr>
        <w:pStyle w:val="libFootnote0"/>
        <w:rPr>
          <w:rtl/>
          <w:lang w:bidi="fa-IR"/>
        </w:rPr>
      </w:pPr>
      <w:r w:rsidRPr="00CA1578">
        <w:rPr>
          <w:rtl/>
        </w:rPr>
        <w:t xml:space="preserve">وفي هامش </w:t>
      </w:r>
      <w:r w:rsidRPr="0012008A">
        <w:rPr>
          <w:rStyle w:val="libFootnoteBoldChar"/>
          <w:rtl/>
        </w:rPr>
        <w:t>الوافي</w:t>
      </w:r>
      <w:r w:rsidRPr="00CA1578">
        <w:rPr>
          <w:rtl/>
        </w:rPr>
        <w:t xml:space="preserve"> عن المحقّق الشعراني : « قوله : ترجع الإبل على أسنانها ، يحتمل أن يكون « على » بمعنى « مع » أي ترجع حكم الإبل في العدد حساب النصاب مع أسنانها ، أي السنّ التي في ما يخرج في الزكاة ، وهي الحِقّة وبنت اللبون في الأربعين والخمسين ، ومعنى « ترجع » تتغيّر وتصير إلى وجه آخر ، والحاصل أنّه بعد المائة والواحدة والعشرين يتغيّر حكم الإبل مع الأسنان التي تعتبر في زكاتها فيكون في كلّ خمسين حقّة ، إلى آخره ».</w:t>
      </w:r>
    </w:p>
    <w:p w:rsidR="00992664" w:rsidRPr="00020424" w:rsidRDefault="00992664" w:rsidP="00CA1578">
      <w:pPr>
        <w:pStyle w:val="libFootnote0"/>
        <w:rPr>
          <w:rtl/>
          <w:lang w:bidi="fa-IR"/>
        </w:rPr>
      </w:pPr>
      <w:r w:rsidRPr="00D517B2">
        <w:rPr>
          <w:rStyle w:val="libFootnoteBoldChar"/>
          <w:rtl/>
        </w:rPr>
        <w:t>وفي مرآة العقول</w:t>
      </w:r>
      <w:r w:rsidRPr="00CA1578">
        <w:rPr>
          <w:rtl/>
        </w:rPr>
        <w:t xml:space="preserve"> : « قوله </w:t>
      </w:r>
      <w:r w:rsidRPr="00D64ADA">
        <w:rPr>
          <w:rStyle w:val="libFootnoteAlaemChar"/>
          <w:rtl/>
        </w:rPr>
        <w:t>عليه‌السلام</w:t>
      </w:r>
      <w:r w:rsidRPr="00CA1578">
        <w:rPr>
          <w:rtl/>
        </w:rPr>
        <w:t xml:space="preserve"> : على أسنانها ، الجمع مجاز والمراد السنان ، وقال الفاضل الأسترآبادي : الظاهر : أسنانهما ، أي يرجع إبل الصدقة على أسنان حقّة وبنت لبون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النَّيْف » : الزيادة ، يخفّف ويشدّد ، وأصله من الواو ، وكلّ ما زاد على عِقْد فهو نيّف حتّى يبلغ العِقْد الثاني. راجع : </w:t>
      </w:r>
      <w:r w:rsidR="00992664" w:rsidRPr="0012008A">
        <w:rPr>
          <w:rStyle w:val="libFootnoteBoldChar"/>
          <w:rtl/>
        </w:rPr>
        <w:t>الصحاح</w:t>
      </w:r>
      <w:r w:rsidR="00992664" w:rsidRPr="00020424">
        <w:rPr>
          <w:rtl/>
        </w:rPr>
        <w:t xml:space="preserve"> ، ج 4 ، ص 1436 ؛ </w:t>
      </w:r>
      <w:r w:rsidR="00992664" w:rsidRPr="0012008A">
        <w:rPr>
          <w:rStyle w:val="libFootnoteBoldChar"/>
          <w:rtl/>
        </w:rPr>
        <w:t>النهاية</w:t>
      </w:r>
      <w:r w:rsidR="00992664" w:rsidRPr="00020424">
        <w:rPr>
          <w:rtl/>
        </w:rPr>
        <w:t xml:space="preserve"> ، ج 5 ، ص 141 ( نيف )</w:t>
      </w:r>
      <w:r w:rsidR="00992664">
        <w:rPr>
          <w:rtl/>
        </w:rPr>
        <w:t>.</w:t>
      </w:r>
    </w:p>
    <w:p w:rsidR="00992664" w:rsidRPr="00020424" w:rsidRDefault="00795177" w:rsidP="0065053C">
      <w:pPr>
        <w:pStyle w:val="libFootnote0"/>
        <w:rPr>
          <w:rtl/>
          <w:lang w:bidi="fa-IR"/>
        </w:rPr>
      </w:pPr>
      <w:r>
        <w:rPr>
          <w:rtl/>
        </w:rPr>
        <w:t>(3).</w:t>
      </w:r>
      <w:r w:rsidR="0014403D">
        <w:rPr>
          <w:rtl/>
        </w:rPr>
        <w:t xml:space="preserve"> </w:t>
      </w:r>
      <w:r w:rsidR="00992664" w:rsidRPr="00020424">
        <w:rPr>
          <w:rtl/>
        </w:rPr>
        <w:t xml:space="preserve">في </w:t>
      </w:r>
      <w:r w:rsidR="00992664" w:rsidRPr="00C61C71">
        <w:rP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ولا على الكسور ، لعلّه تأكيد للنيف ، أو المراد إذا ملك جزءاً من الإبل مثلاً ، واشتراط السوم إجماعيّ</w:t>
      </w:r>
      <w:r w:rsidR="00992664">
        <w:rPr>
          <w:rtl/>
        </w:rPr>
        <w:t xml:space="preserve"> ».</w:t>
      </w:r>
      <w:r w:rsidR="00992664" w:rsidRPr="00020424">
        <w:rPr>
          <w:rtl/>
        </w:rPr>
        <w:t xml:space="preserve"> </w:t>
      </w:r>
      <w:r w:rsidR="00992664">
        <w:rPr>
          <w:rtl/>
        </w:rPr>
        <w:t>و «</w:t>
      </w:r>
      <w:r w:rsidR="00992664" w:rsidRPr="00020424">
        <w:rPr>
          <w:rtl/>
        </w:rPr>
        <w:t xml:space="preserve"> الكُسور » : جمع الكَسْر ، والكسر من الحساب : جزء غير تامّ من أجزاء الواحد ، كالنصف والعُشْر والخُمْس والتُسْع ، وقيل : هو ما لا يبلغ سهماً تامّاً. راجع : </w:t>
      </w:r>
      <w:r w:rsidR="00992664" w:rsidRPr="00A722B1">
        <w:rPr>
          <w:rStyle w:val="libFootnoteBoldChar"/>
          <w:rtl/>
        </w:rPr>
        <w:t>المصباح المنير</w:t>
      </w:r>
      <w:r w:rsidR="00992664" w:rsidRPr="00020424">
        <w:rPr>
          <w:rtl/>
        </w:rPr>
        <w:t xml:space="preserve"> ، ص 533 ؛ </w:t>
      </w:r>
      <w:r w:rsidR="00992664" w:rsidRPr="00A722B1">
        <w:rPr>
          <w:rStyle w:val="libFootnoteBoldChar"/>
          <w:rtl/>
        </w:rPr>
        <w:t>القاموس المحيط</w:t>
      </w:r>
      <w:r w:rsidR="00992664" w:rsidRPr="00020424">
        <w:rPr>
          <w:rtl/>
        </w:rPr>
        <w:t xml:space="preserve"> ، ج 1 ، ص 654 ( كسر )</w:t>
      </w:r>
      <w:r w:rsidR="00992664">
        <w:rPr>
          <w:rtl/>
        </w:rPr>
        <w:t>.</w:t>
      </w:r>
      <w:r w:rsidR="0065053C">
        <w:rPr>
          <w:rFonts w:hint="cs"/>
          <w:rtl/>
        </w:rPr>
        <w:t xml:space="preserve">                        </w:t>
      </w: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ولا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العوامل من البقر » : جمع عاملة ، وهي التي يستقى عليها ويُحْرَث وتُستعمل في الأشغال ، وهذا الحكم مطّرد في الإبل. راجع : </w:t>
      </w:r>
      <w:r w:rsidR="00992664" w:rsidRPr="0012008A">
        <w:rPr>
          <w:rStyle w:val="libFootnoteBoldChar"/>
          <w:rtl/>
        </w:rPr>
        <w:t>النهاية</w:t>
      </w:r>
      <w:r w:rsidR="00992664" w:rsidRPr="00020424">
        <w:rPr>
          <w:rtl/>
        </w:rPr>
        <w:t xml:space="preserve"> ، ج 3 ، ص 301 ؛ </w:t>
      </w:r>
      <w:r w:rsidR="00992664" w:rsidRPr="00A722B1">
        <w:rPr>
          <w:rStyle w:val="libFootnoteBoldChar"/>
          <w:rtl/>
        </w:rPr>
        <w:t>لسان العرب</w:t>
      </w:r>
      <w:r w:rsidR="00992664" w:rsidRPr="00020424">
        <w:rPr>
          <w:rtl/>
        </w:rPr>
        <w:t xml:space="preserve"> ، ج 11 ، ص 477 ( عمل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السَّائِمَةِ </w:t>
      </w:r>
      <w:r w:rsidRPr="00A91B96">
        <w:rPr>
          <w:rStyle w:val="libFootnotenumChar"/>
          <w:rtl/>
        </w:rPr>
        <w:t>(1)</w:t>
      </w:r>
      <w:r w:rsidRPr="00020424">
        <w:rPr>
          <w:rtl/>
          <w:lang w:bidi="fa-IR"/>
        </w:rPr>
        <w:t xml:space="preserve"> الرَّاعِيَةِ </w:t>
      </w:r>
      <w:r w:rsidRPr="00A91B96">
        <w:rPr>
          <w:rStyle w:val="libFootnotenumChar"/>
          <w:rtl/>
        </w:rPr>
        <w:t>(2)</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قُلْتُ : مَا </w:t>
      </w:r>
      <w:r w:rsidRPr="00A91B96">
        <w:rPr>
          <w:rStyle w:val="libFootnotenumChar"/>
          <w:rtl/>
        </w:rPr>
        <w:t>(4)</w:t>
      </w:r>
      <w:r w:rsidRPr="00020424">
        <w:rPr>
          <w:rtl/>
          <w:lang w:bidi="fa-IR"/>
        </w:rPr>
        <w:t xml:space="preserve"> فِي الْبُخْتِ </w:t>
      </w:r>
      <w:r w:rsidRPr="00A91B96">
        <w:rPr>
          <w:rStyle w:val="libFootnotenumChar"/>
          <w:rtl/>
        </w:rPr>
        <w:t>(5)</w:t>
      </w:r>
      <w:r w:rsidRPr="00020424">
        <w:rPr>
          <w:rtl/>
          <w:lang w:bidi="fa-IR"/>
        </w:rPr>
        <w:t xml:space="preserve"> السَّائِمَةِ </w:t>
      </w:r>
      <w:r w:rsidRPr="00A91B96">
        <w:rPr>
          <w:rStyle w:val="libFootnotenumChar"/>
          <w:rtl/>
        </w:rPr>
        <w:t>(6)</w:t>
      </w:r>
      <w:r w:rsidRPr="00020424">
        <w:rPr>
          <w:rtl/>
          <w:lang w:bidi="fa-IR"/>
        </w:rPr>
        <w:t xml:space="preserve"> شَيْ‌ءٌ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قَالَ : « مِثْلُ مَا فِي الْإِبِلِ </w:t>
      </w:r>
      <w:r w:rsidRPr="00A91B96">
        <w:rPr>
          <w:rStyle w:val="libFootnotenumChar"/>
          <w:rtl/>
        </w:rPr>
        <w:t>(8)</w:t>
      </w:r>
      <w:r w:rsidRPr="00020424">
        <w:rPr>
          <w:rtl/>
          <w:lang w:bidi="fa-IR"/>
        </w:rPr>
        <w:t xml:space="preserve"> الْعَرَبِيَّةِ</w:t>
      </w:r>
      <w:r>
        <w:rPr>
          <w:rtl/>
          <w:lang w:bidi="fa-IR"/>
        </w:rPr>
        <w:t xml:space="preserve"> ».</w:t>
      </w:r>
      <w:r w:rsidRPr="00020424">
        <w:rPr>
          <w:rtl/>
          <w:lang w:bidi="fa-IR"/>
        </w:rPr>
        <w:t xml:space="preserve"> </w:t>
      </w:r>
      <w:r w:rsidRPr="00A91B96">
        <w:rPr>
          <w:rStyle w:val="libFootnotenumChar"/>
          <w:rtl/>
        </w:rPr>
        <w:t>(9)</w:t>
      </w:r>
    </w:p>
    <w:p w:rsidR="003F5165" w:rsidRDefault="00992664" w:rsidP="003F5165">
      <w:pPr>
        <w:pStyle w:val="libNormal"/>
        <w:rPr>
          <w:rtl/>
          <w:lang w:bidi="fa-IR"/>
        </w:rPr>
      </w:pPr>
      <w:r w:rsidRPr="00C61C71">
        <w:rPr>
          <w:rtl/>
        </w:rPr>
        <w:t>5858</w:t>
      </w:r>
      <w:r w:rsidRPr="001155DE">
        <w:rPr>
          <w:rStyle w:val="libBold2Char"/>
          <w:rtl/>
        </w:rPr>
        <w:t xml:space="preserve"> / 2.</w:t>
      </w:r>
      <w:r w:rsidRPr="00020424">
        <w:rPr>
          <w:rtl/>
          <w:lang w:bidi="fa-IR"/>
        </w:rPr>
        <w:t xml:space="preserve"> عَلِيُّ بْنُ إِبْرَاهِيمَ ، عَنْ أَبِيهِ ؛</w:t>
      </w:r>
    </w:p>
    <w:p w:rsidR="00992664" w:rsidRPr="00020424" w:rsidRDefault="00992664" w:rsidP="003F5165">
      <w:pPr>
        <w:pStyle w:val="libNormal"/>
        <w:rPr>
          <w:rtl/>
          <w:lang w:bidi="fa-IR"/>
        </w:rPr>
      </w:pPr>
      <w:r w:rsidRPr="00020424">
        <w:rPr>
          <w:rtl/>
          <w:lang w:bidi="fa-IR"/>
        </w:rPr>
        <w:t>وَمُحَمَّدُ بْنُ إِسْمَاعِيلَ ، عَنِ الْفَضْلِ بْنِ شَاذَانَ جَمِيعاً ، عَنِ ابْنِ أَبِي عُمَيْرٍ ، عَنْ عَبْدِ الرَّحْمنِ بْنِ الْحَجَّاجِ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بف » : « السائبة</w:t>
      </w:r>
      <w:r w:rsidR="00992664">
        <w:rPr>
          <w:rtl/>
        </w:rPr>
        <w:t xml:space="preserve"> ».</w:t>
      </w:r>
      <w:r w:rsidR="00992664" w:rsidRPr="00020424">
        <w:rPr>
          <w:rtl/>
        </w:rPr>
        <w:t xml:space="preserve"> </w:t>
      </w:r>
      <w:r w:rsidR="00992664">
        <w:rPr>
          <w:rtl/>
        </w:rPr>
        <w:t>و «</w:t>
      </w:r>
      <w:r w:rsidR="00992664" w:rsidRPr="00020424">
        <w:rPr>
          <w:rtl/>
        </w:rPr>
        <w:t xml:space="preserve"> السائمة » : الراعية بنفسها. </w:t>
      </w:r>
      <w:r w:rsidR="00992664" w:rsidRPr="00A722B1">
        <w:rPr>
          <w:rStyle w:val="libFootnoteBoldChar"/>
          <w:rtl/>
        </w:rPr>
        <w:t>المصباح المنير</w:t>
      </w:r>
      <w:r w:rsidR="00992664" w:rsidRPr="00020424">
        <w:rPr>
          <w:rtl/>
        </w:rPr>
        <w:t xml:space="preserve"> ، ص 297 ( سوم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3F5165">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الراعية ، وصف كاشف ؛ لأنّ السوم هو الرعي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الظاهر أنّ الضمير المستتر في « قال » راجع إلى زرارة ، لاحظ </w:t>
      </w:r>
      <w:r w:rsidR="00992664" w:rsidRPr="00C61C71">
        <w:rPr>
          <w:rtl/>
        </w:rPr>
        <w:t>الكافي</w:t>
      </w:r>
      <w:r w:rsidR="00992664" w:rsidRPr="00020424">
        <w:rPr>
          <w:rtl/>
        </w:rPr>
        <w:t xml:space="preserve"> ، ح 5860 و5861.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w:t>
      </w:r>
      <w:r w:rsidR="00992664" w:rsidRPr="00515444">
        <w:rPr>
          <w:rStyle w:val="libFootnoteBoldChar"/>
          <w:rtl/>
        </w:rPr>
        <w:t>والتهذيب</w:t>
      </w:r>
      <w:r w:rsidR="00992664" w:rsidRPr="00020424">
        <w:rPr>
          <w:rtl/>
        </w:rPr>
        <w:t xml:space="preserve"> : « فما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البُخْت » : هي جمال طوال الأعناق ، واللفظة معرّبة. وقيل : البُخْت والبُخْتيّة : دخيل في العربيّة أعجميّ معرّب ، وهي الإبل الخراسانيّة ، تنتج من بين عربيّة وفالج ، وبعضهم يقول : إنّ البخت عربيّ. راجع : </w:t>
      </w:r>
      <w:r w:rsidR="00992664" w:rsidRPr="0012008A">
        <w:rPr>
          <w:rStyle w:val="libFootnoteBoldChar"/>
          <w:rtl/>
        </w:rPr>
        <w:t>النهاية</w:t>
      </w:r>
      <w:r w:rsidR="00992664" w:rsidRPr="00020424">
        <w:rPr>
          <w:rtl/>
        </w:rPr>
        <w:t xml:space="preserve"> ، ج 1 ، ص 101 ؛ </w:t>
      </w:r>
      <w:r w:rsidR="00992664" w:rsidRPr="00A722B1">
        <w:rPr>
          <w:rStyle w:val="libFootnoteBoldChar"/>
          <w:rtl/>
        </w:rPr>
        <w:t>لسان العرب</w:t>
      </w:r>
      <w:r w:rsidR="00992664" w:rsidRPr="00020424">
        <w:rPr>
          <w:rtl/>
        </w:rPr>
        <w:t xml:space="preserve"> ، ج 2 ، ص 9 ( بخت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 « السائبة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والمعاني :</w:t>
      </w:r>
      <w:r w:rsidR="00992664">
        <w:rPr>
          <w:rtl/>
        </w:rPr>
        <w:t xml:space="preserve"> </w:t>
      </w:r>
      <w:r w:rsidR="009B673F">
        <w:rPr>
          <w:rtl/>
        </w:rPr>
        <w:t>-</w:t>
      </w:r>
      <w:r w:rsidR="00992664">
        <w:rPr>
          <w:rtl/>
        </w:rPr>
        <w:t xml:space="preserve"> </w:t>
      </w:r>
      <w:r w:rsidR="00992664" w:rsidRPr="00020424">
        <w:rPr>
          <w:rtl/>
        </w:rPr>
        <w:t>« شي‌ء</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الإبل</w:t>
      </w:r>
      <w:r w:rsidR="00992664">
        <w:rPr>
          <w:rtl/>
        </w:rPr>
        <w:t xml:space="preserve"> ».</w:t>
      </w:r>
    </w:p>
    <w:p w:rsidR="00992664" w:rsidRPr="00020424" w:rsidRDefault="00795177" w:rsidP="003F5165">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22 ، ح 55 ؛ و</w:t>
      </w:r>
      <w:r w:rsidR="003F5165">
        <w:rPr>
          <w:rFonts w:hint="cs"/>
          <w:rtl/>
        </w:rPr>
        <w:t xml:space="preserve"> </w:t>
      </w:r>
      <w:r w:rsidR="00992664" w:rsidRPr="003F5165">
        <w:rPr>
          <w:rStyle w:val="libFootnoteBoldChar"/>
          <w:rtl/>
        </w:rPr>
        <w:t>الاستبصار</w:t>
      </w:r>
      <w:r w:rsidR="00992664" w:rsidRPr="00020424">
        <w:rPr>
          <w:rtl/>
        </w:rPr>
        <w:t xml:space="preserve"> ، ج 2 ، ص 20 ، ح 59 ، معلّقاً عن الكليني. </w:t>
      </w:r>
      <w:r w:rsidR="00992664" w:rsidRPr="00C61C71">
        <w:rPr>
          <w:rtl/>
        </w:rPr>
        <w:t>م</w:t>
      </w:r>
      <w:r w:rsidR="00992664" w:rsidRPr="003F5165">
        <w:rPr>
          <w:rStyle w:val="libFootnoteBoldChar"/>
          <w:rtl/>
        </w:rPr>
        <w:t>عاني الأخبار</w:t>
      </w:r>
      <w:r w:rsidR="00992664" w:rsidRPr="00020424">
        <w:rPr>
          <w:rtl/>
        </w:rPr>
        <w:t xml:space="preserve"> ، ص 327 ، ح 1 ، بسنده عن إبراهيم بن هاشم. وفى </w:t>
      </w:r>
      <w:r w:rsidR="00992664" w:rsidRPr="0012008A">
        <w:rPr>
          <w:rStyle w:val="libFootnoteBoldChar"/>
          <w:rtl/>
        </w:rPr>
        <w:t>التهذيب</w:t>
      </w:r>
      <w:r w:rsidR="00992664" w:rsidRPr="00020424">
        <w:rPr>
          <w:rtl/>
        </w:rPr>
        <w:t xml:space="preserve"> ، ج 4 ، ص 21 ، ح 54 ؛ </w:t>
      </w:r>
      <w:r w:rsidR="00992664" w:rsidRPr="00FD6221">
        <w:rPr>
          <w:rStyle w:val="libFootnoteBoldChar"/>
          <w:rtl/>
        </w:rPr>
        <w:t>والاستبصار</w:t>
      </w:r>
      <w:r w:rsidR="00992664" w:rsidRPr="00020424">
        <w:rPr>
          <w:rtl/>
        </w:rPr>
        <w:t xml:space="preserve"> ، ج 2 ، ص 20 ، ح 58 ، بسندهما عن زرارة ، عن أبي جعفر وأبي عبدالله </w:t>
      </w:r>
      <w:r w:rsidR="00D64ADA" w:rsidRPr="00D64ADA">
        <w:rPr>
          <w:rStyle w:val="libFootnoteAlaemChar"/>
          <w:rtl/>
        </w:rPr>
        <w:t>عليهما‌السلام</w:t>
      </w:r>
      <w:r w:rsidR="00992664" w:rsidRPr="00020424">
        <w:rPr>
          <w:rtl/>
        </w:rPr>
        <w:t xml:space="preserve"> ، مع اختلاف يسير ، وفي الأخير مع زيادة في آخره. </w:t>
      </w:r>
      <w:r w:rsidR="00992664" w:rsidRPr="00C61C71">
        <w:rPr>
          <w:rtl/>
        </w:rPr>
        <w:t>وفيه</w:t>
      </w:r>
      <w:r w:rsidR="00992664" w:rsidRPr="00020424">
        <w:rPr>
          <w:rtl/>
        </w:rPr>
        <w:t xml:space="preserve"> ، ص 19 ، ح 56 ؛ </w:t>
      </w:r>
      <w:r w:rsidR="00992664" w:rsidRPr="00515444">
        <w:rPr>
          <w:rStyle w:val="libFootnoteBoldChar"/>
          <w:rtl/>
        </w:rPr>
        <w:t>والتهذيب</w:t>
      </w:r>
      <w:r w:rsidR="00992664" w:rsidRPr="00020424">
        <w:rPr>
          <w:rtl/>
        </w:rPr>
        <w:t xml:space="preserve"> ، ج 4 ، ص 20 ، ح 52 ، بسندهما عن أبي بصير ، عن أبي عبدالله </w:t>
      </w:r>
      <w:r w:rsidR="00992664" w:rsidRPr="00D64ADA">
        <w:rPr>
          <w:rStyle w:val="libFootnoteAlaemChar"/>
          <w:rtl/>
        </w:rPr>
        <w:t>عليه‌السلام</w:t>
      </w:r>
      <w:r w:rsidR="00992664" w:rsidRPr="00020424">
        <w:rPr>
          <w:rtl/>
        </w:rPr>
        <w:t xml:space="preserve"> ، مع اختلاف يسير وزيادة في آخره. </w:t>
      </w:r>
      <w:r w:rsidR="00992664" w:rsidRPr="0012008A">
        <w:rPr>
          <w:rStyle w:val="libFootnoteBoldChar"/>
          <w:rtl/>
        </w:rPr>
        <w:t>الفقيه</w:t>
      </w:r>
      <w:r w:rsidR="00992664" w:rsidRPr="00020424">
        <w:rPr>
          <w:rtl/>
        </w:rPr>
        <w:t xml:space="preserve"> ، ج 2 ، ص 23 ، ح 1604 ، بسنده عن زرارة ، عن أبي جعفر </w:t>
      </w:r>
      <w:r w:rsidR="00992664" w:rsidRPr="00D64ADA">
        <w:rPr>
          <w:rStyle w:val="libFootnoteAlaemChar"/>
          <w:rtl/>
        </w:rPr>
        <w:t>عليه‌السلام</w:t>
      </w:r>
      <w:r w:rsidR="00992664" w:rsidRPr="00020424">
        <w:rPr>
          <w:rtl/>
        </w:rPr>
        <w:t xml:space="preserve"> ، مع اختلاف ، وفي الخمسة الأخيرة إلى قوله : « وفي كلّ أربعين ابنة لبون</w:t>
      </w:r>
      <w:r w:rsidR="00992664">
        <w:rPr>
          <w:rtl/>
        </w:rPr>
        <w:t xml:space="preserve"> ».</w:t>
      </w:r>
      <w:r w:rsidR="00992664" w:rsidRPr="00020424">
        <w:rPr>
          <w:rtl/>
        </w:rPr>
        <w:t xml:space="preserve"> </w:t>
      </w:r>
      <w:r w:rsidR="00992664" w:rsidRPr="00A722B1">
        <w:rPr>
          <w:rStyle w:val="libFootnoteBoldChar"/>
          <w:rtl/>
        </w:rPr>
        <w:t>الخصال</w:t>
      </w:r>
      <w:r w:rsidR="00992664" w:rsidRPr="00020424">
        <w:rPr>
          <w:rtl/>
        </w:rPr>
        <w:t xml:space="preserve"> ، ص 605 ، أبواب الثمانين وما فوقه ، ضمن الحديث الطويل 9 ، بسند آخر عن جعفر بن محمّد </w:t>
      </w:r>
      <w:r w:rsidR="00D64ADA" w:rsidRPr="00D64ADA">
        <w:rPr>
          <w:rStyle w:val="libFootnoteAlaemChar"/>
          <w:rtl/>
        </w:rPr>
        <w:t>عليهما‌السلام</w:t>
      </w:r>
      <w:r w:rsidR="00992664" w:rsidRPr="00020424">
        <w:rPr>
          <w:rtl/>
        </w:rPr>
        <w:t xml:space="preserve"> ، إلى قوله : « ثمّ ترجع الإبل على أسنانها » مع اختلاف. </w:t>
      </w:r>
      <w:r w:rsidR="00992664" w:rsidRPr="00C61C71">
        <w:rP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196 ؛ </w:t>
      </w:r>
      <w:r w:rsidR="00992664" w:rsidRPr="0012008A">
        <w:rPr>
          <w:rStyle w:val="libFootnoteBoldChar"/>
          <w:rtl/>
        </w:rPr>
        <w:t>المقنعة</w:t>
      </w:r>
      <w:r w:rsidR="00992664" w:rsidRPr="00020424">
        <w:rPr>
          <w:rtl/>
        </w:rPr>
        <w:t xml:space="preserve"> ، ص 237 ، من دون الإسناد إلى المعصوم </w:t>
      </w:r>
      <w:r w:rsidR="00992664" w:rsidRPr="00D64ADA">
        <w:rPr>
          <w:rStyle w:val="libFootnoteAlaemChar"/>
          <w:rtl/>
        </w:rPr>
        <w:t>عليه‌السلام</w:t>
      </w:r>
      <w:r w:rsidR="00992664" w:rsidRPr="00020424">
        <w:rPr>
          <w:rtl/>
        </w:rPr>
        <w:t>. وفي الأخيرين إلى قوله : « وفي كلّ أربعين ابنة لبون » مع اختلاف</w:t>
      </w:r>
      <w:r w:rsidR="003F5165">
        <w:rPr>
          <w:rFonts w:hint="cs"/>
          <w:rtl/>
        </w:rPr>
        <w:t>.</w:t>
      </w:r>
      <w:r w:rsidR="00992664" w:rsidRPr="0012008A">
        <w:rPr>
          <w:rStyle w:val="libFootnoteBoldChar"/>
          <w:rtl/>
        </w:rPr>
        <w:t>الوافي</w:t>
      </w:r>
      <w:r w:rsidR="00992664" w:rsidRPr="00020424">
        <w:rPr>
          <w:rtl/>
        </w:rPr>
        <w:t xml:space="preserve"> ، ج 10 ، ص 93 ، ح 9219 ؛ </w:t>
      </w:r>
      <w:r w:rsidR="00992664" w:rsidRPr="0012008A">
        <w:rPr>
          <w:rStyle w:val="libFootnoteBoldChar"/>
          <w:rtl/>
        </w:rPr>
        <w:t>الوسائل</w:t>
      </w:r>
      <w:r w:rsidR="00992664" w:rsidRPr="00020424">
        <w:rPr>
          <w:rtl/>
        </w:rPr>
        <w:t xml:space="preserve"> ، ج 9 ، ص 111 ، ح 11644 ، إلى قوله : « ولا على الكسور شي‌ء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 قَالَ : « فِي خَمْسِ قَلَائِصَ </w:t>
      </w:r>
      <w:r w:rsidRPr="00A91B96">
        <w:rPr>
          <w:rStyle w:val="libFootnotenumChar"/>
          <w:rtl/>
        </w:rPr>
        <w:t>(1)</w:t>
      </w:r>
      <w:r w:rsidRPr="00020424">
        <w:rPr>
          <w:rtl/>
          <w:lang w:bidi="fa-IR"/>
        </w:rPr>
        <w:t xml:space="preserve"> شَاةٌ ، وَلَيْسَ فِيمَا دُونَ الْخَمْسِ شَيْ‌ءٌ ، وَفِي عَشْرٍ شَاتَانِ ، وَفِي خَمْسَ </w:t>
      </w:r>
      <w:r w:rsidRPr="00A91B96">
        <w:rPr>
          <w:rStyle w:val="libFootnotenumChar"/>
          <w:rtl/>
        </w:rPr>
        <w:t>(2)</w:t>
      </w:r>
      <w:r w:rsidRPr="00020424">
        <w:rPr>
          <w:rtl/>
          <w:lang w:bidi="fa-IR"/>
        </w:rPr>
        <w:t xml:space="preserve"> عَشْرَةَ </w:t>
      </w:r>
      <w:r w:rsidRPr="00A91B96">
        <w:rPr>
          <w:rStyle w:val="libFootnotenumChar"/>
          <w:rtl/>
        </w:rPr>
        <w:t>(3)</w:t>
      </w:r>
      <w:r w:rsidRPr="00020424">
        <w:rPr>
          <w:rtl/>
          <w:lang w:bidi="fa-IR"/>
        </w:rPr>
        <w:t xml:space="preserve"> ثَلَاثُ شِيَاهٍ ، وَفِي عِشْرِينَ أَرْبَعٌ </w:t>
      </w:r>
      <w:r w:rsidRPr="00A91B96">
        <w:rPr>
          <w:rStyle w:val="libFootnotenumChar"/>
          <w:rtl/>
        </w:rPr>
        <w:t>(4)</w:t>
      </w:r>
      <w:r w:rsidRPr="00020424">
        <w:rPr>
          <w:rtl/>
          <w:lang w:bidi="fa-IR"/>
        </w:rPr>
        <w:t xml:space="preserve"> ، وَفِي خَمْسٍ </w:t>
      </w:r>
      <w:r w:rsidRPr="00A91B96">
        <w:rPr>
          <w:rStyle w:val="libFootnotenumChar"/>
          <w:rtl/>
        </w:rPr>
        <w:t>(5)</w:t>
      </w:r>
      <w:r w:rsidRPr="00020424">
        <w:rPr>
          <w:rtl/>
          <w:lang w:bidi="fa-IR"/>
        </w:rPr>
        <w:t xml:space="preserve"> وَعِشْرِينَ خَمْسٌ </w:t>
      </w:r>
      <w:r w:rsidRPr="00A91B96">
        <w:rPr>
          <w:rStyle w:val="libFootnotenumChar"/>
          <w:rtl/>
        </w:rPr>
        <w:t>(6)</w:t>
      </w:r>
      <w:r w:rsidRPr="00020424">
        <w:rPr>
          <w:rtl/>
          <w:lang w:bidi="fa-IR"/>
        </w:rPr>
        <w:t xml:space="preserve"> ، وَفِي سِتٍّ </w:t>
      </w:r>
      <w:r w:rsidRPr="00A91B96">
        <w:rPr>
          <w:rStyle w:val="libFootnotenumChar"/>
          <w:rtl/>
        </w:rPr>
        <w:t>(7)</w:t>
      </w:r>
      <w:r w:rsidRPr="00020424">
        <w:rPr>
          <w:rtl/>
          <w:lang w:bidi="fa-IR"/>
        </w:rPr>
        <w:t xml:space="preserve"> وَعِشْرِينَ بِنْتُ </w:t>
      </w:r>
      <w:r w:rsidRPr="00A91B96">
        <w:rPr>
          <w:rStyle w:val="libFootnotenumChar"/>
          <w:rtl/>
        </w:rPr>
        <w:t>(8)</w:t>
      </w:r>
      <w:r w:rsidRPr="00020424">
        <w:rPr>
          <w:rtl/>
          <w:lang w:bidi="fa-IR"/>
        </w:rPr>
        <w:t xml:space="preserve"> مَخَاضٍ إِلى خَمْسٍ وَثَلَاثِينَ </w:t>
      </w:r>
      <w:r w:rsidRPr="00A91B96">
        <w:rPr>
          <w:rStyle w:val="libFootnotenumChar"/>
          <w:rtl/>
        </w:rPr>
        <w:t>(9)</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عَبْدُ الرَّحْمنِ : هذَا فَرْقٌ بَيْنَنَا وَبَيْنَ النَّاسِ </w:t>
      </w:r>
      <w:r w:rsidRPr="00A91B96">
        <w:rPr>
          <w:rStyle w:val="libFootnotenumChar"/>
          <w:rtl/>
        </w:rPr>
        <w:t>(10)</w:t>
      </w:r>
      <w:r w:rsidR="003F5165">
        <w:rPr>
          <w:rFonts w:hint="cs"/>
          <w:rtl/>
          <w:lang w:bidi="fa-IR"/>
        </w:rPr>
        <w:t>.</w:t>
      </w:r>
    </w:p>
    <w:p w:rsidR="00992664" w:rsidRPr="00020424" w:rsidRDefault="00992664" w:rsidP="00992664">
      <w:pPr>
        <w:pStyle w:val="libNormal"/>
        <w:rPr>
          <w:rtl/>
          <w:lang w:bidi="fa-IR"/>
        </w:rPr>
      </w:pPr>
      <w:r w:rsidRPr="00020424">
        <w:rPr>
          <w:rtl/>
          <w:lang w:bidi="fa-IR"/>
        </w:rPr>
        <w:t xml:space="preserve">« فَإِذَا </w:t>
      </w:r>
      <w:r w:rsidRPr="00A91B96">
        <w:rPr>
          <w:rStyle w:val="libFootnotenumChar"/>
          <w:rtl/>
        </w:rPr>
        <w:t>(11)</w:t>
      </w:r>
      <w:r w:rsidRPr="00020424">
        <w:rPr>
          <w:rtl/>
          <w:lang w:bidi="fa-IR"/>
        </w:rPr>
        <w:t xml:space="preserve"> زَادَتْ وَاحِدَةٌ ، فَفِيهَا بِنْتُ </w:t>
      </w:r>
      <w:r w:rsidRPr="00A91B96">
        <w:rPr>
          <w:rStyle w:val="libFootnotenumChar"/>
          <w:rtl/>
        </w:rPr>
        <w:t>(12)</w:t>
      </w:r>
      <w:r w:rsidRPr="00020424">
        <w:rPr>
          <w:rtl/>
          <w:lang w:bidi="fa-IR"/>
        </w:rPr>
        <w:t xml:space="preserve"> لَبُونٍ إِلى خَمْسٍ وَأَرْبَعِينَ ، فَإِذَا زَادَتْ وَاحِدَةٌ ، فَفِيهَا حِقَّةٌ إِلى سِتِّينَ ، فَإِذَا زَادَتْ وَاحِدَةٌ ، فَفِيهَا جَذَعَةٌ إِلى خَمْسٍ </w:t>
      </w:r>
      <w:r w:rsidRPr="00A91B96">
        <w:rPr>
          <w:rStyle w:val="libFootnotenumChar"/>
          <w:rtl/>
        </w:rPr>
        <w:t>(13)</w:t>
      </w:r>
      <w:r w:rsidRPr="00020424">
        <w:rPr>
          <w:rtl/>
          <w:lang w:bidi="fa-IR"/>
        </w:rPr>
        <w:t xml:space="preserve"> وَسَبْعِينَ ، فَإِذَا زَادَتْ وَاحِدَةٌ ، فَفِيهَا بِنْتَا </w:t>
      </w:r>
      <w:r w:rsidRPr="00A91B96">
        <w:rPr>
          <w:rStyle w:val="libFootnotenumChar"/>
          <w:rtl/>
        </w:rPr>
        <w:t>(14)</w:t>
      </w:r>
      <w:r w:rsidRPr="00020424">
        <w:rPr>
          <w:rtl/>
          <w:lang w:bidi="fa-IR"/>
        </w:rPr>
        <w:t xml:space="preserve"> لَبُونٍ إِلى تِسْعِينَ </w:t>
      </w:r>
      <w:r w:rsidRPr="00A91B96">
        <w:rPr>
          <w:rStyle w:val="libFootnotenumChar"/>
          <w:rtl/>
        </w:rPr>
        <w:t>(15)</w:t>
      </w:r>
      <w:r w:rsidRPr="00020424">
        <w:rPr>
          <w:rtl/>
          <w:lang w:bidi="fa-IR"/>
        </w:rPr>
        <w:t xml:space="preserve"> ، فَإِذَا كَثُرَتِ </w:t>
      </w:r>
      <w:r w:rsidRPr="00A91B96">
        <w:rPr>
          <w:rStyle w:val="libFootnotenumChar"/>
          <w:rtl/>
        </w:rPr>
        <w:t>(16)</w:t>
      </w:r>
      <w:r w:rsidRPr="00020424">
        <w:rPr>
          <w:rtl/>
          <w:lang w:bidi="fa-IR"/>
        </w:rPr>
        <w:t xml:space="preserve"> الْإِبِلُ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القلائص » : جمع القَلوص ، وهي الناقة الشابّة ، وهي بمنزلة الجارية من النساء. راجع : </w:t>
      </w:r>
      <w:r w:rsidR="00992664" w:rsidRPr="0012008A">
        <w:rPr>
          <w:rStyle w:val="libFootnoteBoldChar"/>
          <w:rtl/>
        </w:rPr>
        <w:t>الصحاح</w:t>
      </w:r>
      <w:r w:rsidR="00992664" w:rsidRPr="00020424">
        <w:rPr>
          <w:rtl/>
        </w:rPr>
        <w:t xml:space="preserve"> ، ج 3 ، ص 1054 ؛ </w:t>
      </w:r>
      <w:r w:rsidR="00992664" w:rsidRPr="0012008A">
        <w:rPr>
          <w:rStyle w:val="libFootnoteBoldChar"/>
          <w:rtl/>
        </w:rPr>
        <w:t>النهاية</w:t>
      </w:r>
      <w:r w:rsidR="00992664" w:rsidRPr="00020424">
        <w:rPr>
          <w:rtl/>
        </w:rPr>
        <w:t xml:space="preserve"> ، ج 4 ، ص 100 ( قلص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بر ، بف » : « خمسة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B6A96" w:rsidTr="005B6A96">
        <w:tc>
          <w:tcPr>
            <w:tcW w:w="4006" w:type="dxa"/>
          </w:tcPr>
          <w:p w:rsidR="005B6A96" w:rsidRDefault="005B6A96" w:rsidP="00992664">
            <w:pPr>
              <w:pStyle w:val="libFootnote0"/>
              <w:rPr>
                <w:rtl/>
              </w:rPr>
            </w:pPr>
            <w:r>
              <w:rPr>
                <w:rtl/>
              </w:rPr>
              <w:t xml:space="preserve">(3). </w:t>
            </w:r>
            <w:r w:rsidRPr="00020424">
              <w:rPr>
                <w:rtl/>
              </w:rPr>
              <w:t>في « ى ، بخ ، بر » : « عشر</w:t>
            </w:r>
            <w:r>
              <w:rPr>
                <w:rtl/>
              </w:rPr>
              <w:t xml:space="preserve"> ».</w:t>
            </w:r>
          </w:p>
        </w:tc>
        <w:tc>
          <w:tcPr>
            <w:tcW w:w="4006" w:type="dxa"/>
          </w:tcPr>
          <w:p w:rsidR="005B6A96" w:rsidRDefault="005B6A96"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 + « شياه</w:t>
            </w:r>
            <w:r>
              <w:rPr>
                <w:rtl/>
              </w:rPr>
              <w:t xml:space="preserve"> ».</w:t>
            </w:r>
          </w:p>
        </w:tc>
      </w:tr>
      <w:tr w:rsidR="005B6A96" w:rsidTr="005B6A96">
        <w:tc>
          <w:tcPr>
            <w:tcW w:w="4006" w:type="dxa"/>
          </w:tcPr>
          <w:p w:rsidR="005B6A96" w:rsidRDefault="005B6A96" w:rsidP="00992664">
            <w:pPr>
              <w:pStyle w:val="libFootnote0"/>
              <w:rPr>
                <w:rtl/>
              </w:rPr>
            </w:pPr>
            <w:r>
              <w:rPr>
                <w:rtl/>
              </w:rPr>
              <w:t xml:space="preserve">(5). </w:t>
            </w:r>
            <w:r w:rsidRPr="00020424">
              <w:rPr>
                <w:rtl/>
              </w:rPr>
              <w:t>في « ى ، جن » : « خمسة</w:t>
            </w:r>
            <w:r>
              <w:rPr>
                <w:rtl/>
              </w:rPr>
              <w:t xml:space="preserve"> ».</w:t>
            </w:r>
          </w:p>
        </w:tc>
        <w:tc>
          <w:tcPr>
            <w:tcW w:w="4006" w:type="dxa"/>
          </w:tcPr>
          <w:p w:rsidR="005B6A96" w:rsidRDefault="005B6A96" w:rsidP="00E80BFA">
            <w:pPr>
              <w:pStyle w:val="libFootnote0"/>
              <w:rPr>
                <w:rtl/>
              </w:rPr>
            </w:pPr>
            <w:r>
              <w:rPr>
                <w:rtl/>
              </w:rPr>
              <w:t xml:space="preserve">(6). </w:t>
            </w:r>
            <w:r w:rsidRPr="00020424">
              <w:rPr>
                <w:rtl/>
              </w:rPr>
              <w:t>في«ى»:«خمسة</w:t>
            </w:r>
            <w:r>
              <w:rPr>
                <w:rtl/>
              </w:rPr>
              <w:t>».</w:t>
            </w:r>
            <w:r w:rsidRPr="00020424">
              <w:rPr>
                <w:rtl/>
              </w:rPr>
              <w:t xml:space="preserve">وفي </w:t>
            </w:r>
            <w:r w:rsidRPr="0012008A">
              <w:rPr>
                <w:rStyle w:val="libFootnoteBoldChar"/>
                <w:rtl/>
              </w:rPr>
              <w:t>التهذيب</w:t>
            </w:r>
            <w:r w:rsidRPr="00020424">
              <w:rPr>
                <w:rtl/>
              </w:rPr>
              <w:t>:+«شياه</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بث ، بح ، بخ ، بر ، بف » </w:t>
      </w:r>
      <w:r w:rsidR="00992664" w:rsidRPr="00515444">
        <w:rPr>
          <w:rStyle w:val="libFootnoteBoldChar"/>
          <w:rtl/>
        </w:rPr>
        <w:t>والوافي</w:t>
      </w:r>
      <w:r w:rsidR="00992664" w:rsidRPr="00020424">
        <w:rPr>
          <w:rtl/>
        </w:rPr>
        <w:t>. وفي سائر النسخ والمطبوع : « ستّة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ابنة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E57D58">
        <w:rPr>
          <w:rStyle w:val="libFootnoteBoldChar"/>
          <w:rtl/>
        </w:rPr>
        <w:t>مدارك الأحكام</w:t>
      </w:r>
      <w:r w:rsidR="00992664" w:rsidRPr="00020424">
        <w:rPr>
          <w:rtl/>
        </w:rPr>
        <w:t xml:space="preserve"> ، ج 5 ، ص 53 : « هذه النصب مجمع عليها بين علماء الإسلام ، كما نقله جماعة منهم المصنّف في </w:t>
      </w:r>
      <w:r w:rsidR="00992664" w:rsidRPr="00C61C71">
        <w:rPr>
          <w:rtl/>
        </w:rPr>
        <w:t>المعتبر</w:t>
      </w:r>
      <w:r w:rsidR="00992664" w:rsidRPr="00020424">
        <w:rPr>
          <w:rtl/>
        </w:rPr>
        <w:t xml:space="preserve"> ، سوى النصاب السادس ؛ فإنّ ابن أبي عقيل وابن الجنيد أسقطاه وأوجبا بنت المخاض في خمس وعشرين إلى ستّ وثلاثين ، وهو قول الجمهور والمعتمد ما عليه أكثر الأصحاب</w:t>
      </w:r>
      <w:r w:rsidR="00992664">
        <w:rPr>
          <w:rtl/>
        </w:rPr>
        <w:t xml:space="preserve"> ».</w:t>
      </w:r>
      <w:r w:rsidR="00992664" w:rsidRPr="00020424">
        <w:rPr>
          <w:rtl/>
        </w:rPr>
        <w:t xml:space="preserve"> وللمزيد راجع : </w:t>
      </w:r>
      <w:r w:rsidR="00992664" w:rsidRPr="00C61C71">
        <w:rPr>
          <w:rtl/>
        </w:rPr>
        <w:t>المعتبر</w:t>
      </w:r>
      <w:r w:rsidR="00992664" w:rsidRPr="00020424">
        <w:rPr>
          <w:rtl/>
        </w:rPr>
        <w:t xml:space="preserve"> ، ج 2 ، ص 498</w:t>
      </w:r>
      <w:r w:rsidR="00992664">
        <w:rPr>
          <w:rtl/>
        </w:rPr>
        <w:t xml:space="preserve"> </w:t>
      </w:r>
      <w:r w:rsidR="009B673F">
        <w:rPr>
          <w:rtl/>
        </w:rPr>
        <w:t>-</w:t>
      </w:r>
      <w:r w:rsidR="00992664">
        <w:rPr>
          <w:rtl/>
        </w:rPr>
        <w:t xml:space="preserve"> </w:t>
      </w:r>
      <w:r w:rsidR="00992664" w:rsidRPr="00020424">
        <w:rPr>
          <w:rtl/>
        </w:rPr>
        <w:t xml:space="preserve">499 ؛ </w:t>
      </w:r>
      <w:r w:rsidR="00992664" w:rsidRPr="00C61C71">
        <w:rPr>
          <w:rtl/>
        </w:rPr>
        <w:t>بداية المجتهد</w:t>
      </w:r>
      <w:r w:rsidR="00992664" w:rsidRPr="00020424">
        <w:rPr>
          <w:rtl/>
        </w:rPr>
        <w:t xml:space="preserve"> ، ج 1 ، ص 207 ؛ </w:t>
      </w:r>
      <w:r w:rsidR="00992664" w:rsidRPr="00C61C71">
        <w:rPr>
          <w:rtl/>
        </w:rPr>
        <w:t>المغني</w:t>
      </w:r>
      <w:r w:rsidR="00992664" w:rsidRPr="00020424">
        <w:rPr>
          <w:rtl/>
        </w:rPr>
        <w:t xml:space="preserve"> ، ج 2 ، ص 439</w:t>
      </w:r>
      <w:r w:rsidR="00992664">
        <w:rPr>
          <w:rtl/>
        </w:rPr>
        <w:t xml:space="preserve"> </w:t>
      </w:r>
      <w:r w:rsidR="009B673F">
        <w:rPr>
          <w:rtl/>
        </w:rPr>
        <w:t>-</w:t>
      </w:r>
      <w:r w:rsidR="00992664">
        <w:rPr>
          <w:rtl/>
        </w:rPr>
        <w:t xml:space="preserve"> </w:t>
      </w:r>
      <w:r w:rsidR="00992664" w:rsidRPr="00020424">
        <w:rPr>
          <w:rtl/>
        </w:rPr>
        <w:t xml:space="preserve">440 ؛ </w:t>
      </w:r>
      <w:r w:rsidR="00992664" w:rsidRPr="00C61C71">
        <w:rPr>
          <w:rtl/>
        </w:rPr>
        <w:t>المجموع</w:t>
      </w:r>
      <w:r w:rsidR="00992664" w:rsidRPr="00020424">
        <w:rPr>
          <w:rtl/>
        </w:rPr>
        <w:t xml:space="preserve"> ، ج 5 ، ص 381.</w:t>
      </w:r>
    </w:p>
    <w:p w:rsidR="00992664" w:rsidRPr="00020424" w:rsidRDefault="00795177" w:rsidP="002A1C58">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قول البجليّ : هذا فرق بيننا وبين الناس ، إشارة إلى ما ذهب إليه العامّة أنّ في خمس وعشرين ابنة مخاض</w:t>
      </w:r>
      <w:r w:rsidR="00992664">
        <w:rPr>
          <w:rtl/>
        </w:rPr>
        <w:t xml:space="preserve"> ».</w:t>
      </w:r>
      <w:r w:rsidR="002A1C58">
        <w:rPr>
          <w:rFonts w:hint="cs"/>
          <w:rtl/>
        </w:rPr>
        <w:t xml:space="preserve">                                              </w:t>
      </w:r>
      <w:r>
        <w:rPr>
          <w:rtl/>
        </w:rPr>
        <w:t>(11).</w:t>
      </w:r>
      <w:r w:rsidR="0014403D">
        <w:rPr>
          <w:rtl/>
        </w:rPr>
        <w:t xml:space="preserve"> </w:t>
      </w:r>
      <w:r w:rsidR="00992664" w:rsidRPr="00020424">
        <w:rPr>
          <w:rtl/>
        </w:rPr>
        <w:t>في « بخ ، بر ، بف » : « إذا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A59F2" w:rsidTr="00AA59F2">
        <w:tc>
          <w:tcPr>
            <w:tcW w:w="4006" w:type="dxa"/>
          </w:tcPr>
          <w:p w:rsidR="00AA59F2" w:rsidRDefault="00AA59F2" w:rsidP="00992664">
            <w:pPr>
              <w:pStyle w:val="libFootnote0"/>
              <w:rPr>
                <w:rtl/>
              </w:rPr>
            </w:pPr>
            <w:r>
              <w:rPr>
                <w:rtl/>
              </w:rPr>
              <w:t xml:space="preserve">(12). </w:t>
            </w:r>
            <w:r w:rsidRPr="00020424">
              <w:rPr>
                <w:rtl/>
              </w:rPr>
              <w:t>في«ى،بث،بخ،بر،بف»</w:t>
            </w:r>
            <w:r w:rsidRPr="00515444">
              <w:rPr>
                <w:rStyle w:val="libFootnoteBoldChar"/>
                <w:rtl/>
              </w:rPr>
              <w:t>والوافي</w:t>
            </w:r>
            <w:r w:rsidRPr="00020424">
              <w:rPr>
                <w:rtl/>
              </w:rPr>
              <w:t>:«ابنة</w:t>
            </w:r>
            <w:r>
              <w:rPr>
                <w:rtl/>
              </w:rPr>
              <w:t>».</w:t>
            </w:r>
          </w:p>
        </w:tc>
        <w:tc>
          <w:tcPr>
            <w:tcW w:w="4006" w:type="dxa"/>
          </w:tcPr>
          <w:p w:rsidR="00AA59F2" w:rsidRDefault="00AA59F2" w:rsidP="00992664">
            <w:pPr>
              <w:pStyle w:val="libFootnote0"/>
              <w:rPr>
                <w:rtl/>
              </w:rPr>
            </w:pPr>
            <w:r>
              <w:rPr>
                <w:rtl/>
              </w:rPr>
              <w:t xml:space="preserve">(13). </w:t>
            </w:r>
            <w:r w:rsidRPr="00020424">
              <w:rPr>
                <w:rtl/>
              </w:rPr>
              <w:t>في « بح » : « خمسة</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ابنتا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الاستبصار : + « فإذا زادت واحدة ففيها حقّتان إلى عشرين ومائة</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زادت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فَفِي كُلِّ خَمْسِينَ حِقَّةٌ</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C61C71">
        <w:rPr>
          <w:rtl/>
        </w:rPr>
        <w:t>5859</w:t>
      </w:r>
      <w:r w:rsidRPr="001155DE">
        <w:rPr>
          <w:rStyle w:val="libBold2Char"/>
          <w:rtl/>
        </w:rPr>
        <w:t xml:space="preserve"> / 3.</w:t>
      </w:r>
      <w:r w:rsidRPr="00020424">
        <w:rPr>
          <w:rtl/>
          <w:lang w:bidi="fa-IR"/>
        </w:rPr>
        <w:t xml:space="preserve"> عَلِيُّ بْنُ إِبْرَاهِيمَ ، عَنْ أَبِيهِ ، عَنِ ابْنِ أَبِي عُمَيْرٍ ، عَنْ عُمَرَ </w:t>
      </w:r>
      <w:r w:rsidRPr="00A91B96">
        <w:rPr>
          <w:rStyle w:val="libFootnotenumChar"/>
          <w:rtl/>
        </w:rPr>
        <w:t>(2)</w:t>
      </w:r>
      <w:r w:rsidRPr="00020424">
        <w:rPr>
          <w:rtl/>
          <w:lang w:bidi="fa-IR"/>
        </w:rPr>
        <w:t xml:space="preserve"> بْنِ أُذَيْنَةَ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لَيْسَ فِي صِغَارِ الْإِبِلِ </w:t>
      </w:r>
      <w:r w:rsidRPr="00A91B96">
        <w:rPr>
          <w:rStyle w:val="libFootnotenumChar"/>
          <w:rtl/>
        </w:rPr>
        <w:t>(3)</w:t>
      </w:r>
      <w:r w:rsidRPr="00020424">
        <w:rPr>
          <w:rtl/>
          <w:lang w:bidi="fa-IR"/>
        </w:rPr>
        <w:t xml:space="preserve"> شَيْ‌ءٌ حَتّى يَحُولَ عَلَيْهَا </w:t>
      </w:r>
      <w:r w:rsidRPr="00A91B96">
        <w:rPr>
          <w:rStyle w:val="libFootnotenumChar"/>
          <w:rtl/>
        </w:rPr>
        <w:t>(4)</w:t>
      </w:r>
      <w:r w:rsidRPr="00020424">
        <w:rPr>
          <w:rtl/>
          <w:lang w:bidi="fa-IR"/>
        </w:rPr>
        <w:t xml:space="preserve"> الْحَوْلُ مِنْ يَوْمِ تُنْتَجُ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Heading2Center"/>
        <w:rPr>
          <w:rtl/>
          <w:lang w:bidi="fa-IR"/>
        </w:rPr>
      </w:pPr>
      <w:bookmarkStart w:id="69" w:name="_Toc345172739"/>
      <w:bookmarkStart w:id="70" w:name="_Toc464562556"/>
      <w:bookmarkStart w:id="71" w:name="_Toc44599859"/>
      <w:r w:rsidRPr="00020424">
        <w:rPr>
          <w:rtl/>
          <w:lang w:bidi="fa-IR"/>
        </w:rPr>
        <w:t>19</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(7)</w:t>
      </w:r>
      <w:bookmarkEnd w:id="69"/>
      <w:bookmarkEnd w:id="70"/>
      <w:bookmarkEnd w:id="71"/>
    </w:p>
    <w:p w:rsidR="00992664" w:rsidRPr="00020424" w:rsidRDefault="00992664" w:rsidP="00992664">
      <w:pPr>
        <w:rPr>
          <w:rtl/>
          <w:lang w:bidi="fa-IR"/>
        </w:rPr>
      </w:pPr>
      <w:r w:rsidRPr="00020424">
        <w:rPr>
          <w:rtl/>
          <w:lang w:bidi="fa-IR"/>
        </w:rPr>
        <w:t xml:space="preserve">أَسْنَانُ الْإِبِلِ : مِنْ أَوَّلِ يَوْمٍ تَطْرَحُهُ أُمُّهُ إِلى تَمَامِ السَّنَةِ حُوَارٌ </w:t>
      </w:r>
      <w:r w:rsidRPr="00A91B96">
        <w:rPr>
          <w:rStyle w:val="libFootnotenumChar"/>
          <w:rtl/>
        </w:rPr>
        <w:t>(8)</w:t>
      </w:r>
      <w:r w:rsidRPr="00020424">
        <w:rPr>
          <w:rtl/>
          <w:lang w:bidi="fa-IR"/>
        </w:rPr>
        <w:t xml:space="preserve"> ، فَإِذَا دَخَلَ فِي الثَّانِيَةِ سُمِّيَ </w:t>
      </w:r>
      <w:r w:rsidRPr="00A91B96">
        <w:rPr>
          <w:rStyle w:val="libFootnotenumChar"/>
          <w:rtl/>
        </w:rPr>
        <w:t>(9)</w:t>
      </w:r>
      <w:r w:rsidRPr="00020424">
        <w:rPr>
          <w:rtl/>
          <w:lang w:bidi="fa-IR"/>
        </w:rPr>
        <w:t xml:space="preserve"> ابْنَ مَخَاضٍ ؛ لِأَنَّ أُمَّهُ قَدْ حَمَلَتْ ، فَإِذَا دَخَلَ </w:t>
      </w:r>
      <w:r w:rsidRPr="00A91B96">
        <w:rPr>
          <w:rStyle w:val="libFootnotenumChar"/>
          <w:rtl/>
        </w:rPr>
        <w:t>(10)</w:t>
      </w:r>
      <w:r w:rsidRPr="00020424">
        <w:rPr>
          <w:rtl/>
          <w:lang w:bidi="fa-IR"/>
        </w:rPr>
        <w:t xml:space="preserve"> فِي السَّنَةِ الثَّالِثَةِ يُسَمَّى </w:t>
      </w:r>
      <w:r w:rsidRPr="00A91B96">
        <w:rPr>
          <w:rStyle w:val="libFootnotenumChar"/>
          <w:rtl/>
        </w:rPr>
        <w:t>(11)</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AA59F2">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23 ، ح 56 ؛ </w:t>
      </w:r>
      <w:r w:rsidR="00992664" w:rsidRPr="00FD6221">
        <w:rPr>
          <w:rStyle w:val="libFootnoteBoldChar"/>
          <w:rtl/>
        </w:rPr>
        <w:t>والاستبصار</w:t>
      </w:r>
      <w:r w:rsidR="00992664" w:rsidRPr="00020424">
        <w:rPr>
          <w:rtl/>
        </w:rPr>
        <w:t xml:space="preserve"> ، ج 2 ، ص 22 ، ح 60 ، معلّقاً عن الكليني. </w:t>
      </w:r>
      <w:r w:rsidR="00992664" w:rsidRPr="00512FD5">
        <w:rPr>
          <w:rtl/>
        </w:rPr>
        <w:t>الاستبصار</w:t>
      </w:r>
      <w:r w:rsidR="00992664" w:rsidRPr="00020424">
        <w:rPr>
          <w:rtl/>
        </w:rPr>
        <w:t xml:space="preserve"> ، ج 2 ، ص 19 ، ح 57 ، بسنده عن محمّد بن أبي عمير ، عن عبدالرحمن بن الحجّاج ، مع اختلاف يسير</w:t>
      </w:r>
      <w:r w:rsidR="00AA59F2">
        <w:rPr>
          <w:rFonts w:hint="cs"/>
          <w:rtl/>
        </w:rPr>
        <w:t>.</w:t>
      </w:r>
      <w:r w:rsidR="00992664" w:rsidRPr="0012008A">
        <w:rPr>
          <w:rStyle w:val="libFootnoteBoldChar"/>
          <w:rtl/>
        </w:rPr>
        <w:t>الوافي</w:t>
      </w:r>
      <w:r w:rsidR="00992664" w:rsidRPr="00020424">
        <w:rPr>
          <w:rtl/>
        </w:rPr>
        <w:t xml:space="preserve"> ، ج 10 ، ص 89 ، ح 9215 ؛ </w:t>
      </w:r>
      <w:r w:rsidR="00992664" w:rsidRPr="0012008A">
        <w:rPr>
          <w:rStyle w:val="libFootnoteBoldChar"/>
          <w:rtl/>
        </w:rPr>
        <w:t>الوسائل</w:t>
      </w:r>
      <w:r w:rsidR="00992664" w:rsidRPr="00020424">
        <w:rPr>
          <w:rtl/>
        </w:rPr>
        <w:t xml:space="preserve"> ، ج 9 ، ص 110 ، ح 11642.</w:t>
      </w:r>
    </w:p>
    <w:tbl>
      <w:tblPr>
        <w:tblStyle w:val="TableGrid"/>
        <w:bidiVisual/>
        <w:tblW w:w="0" w:type="auto"/>
        <w:tblLook w:val="04A0" w:firstRow="1" w:lastRow="0" w:firstColumn="1" w:lastColumn="0" w:noHBand="0" w:noVBand="1"/>
      </w:tblPr>
      <w:tblGrid>
        <w:gridCol w:w="4006"/>
        <w:gridCol w:w="4006"/>
      </w:tblGrid>
      <w:tr w:rsidR="00B928D6" w:rsidTr="00B928D6">
        <w:tc>
          <w:tcPr>
            <w:tcW w:w="4006" w:type="dxa"/>
          </w:tcPr>
          <w:p w:rsidR="00B928D6" w:rsidRDefault="00B928D6" w:rsidP="00B928D6">
            <w:pPr>
              <w:pStyle w:val="libFootnote0"/>
              <w:rPr>
                <w:rtl/>
                <w:lang w:bidi="fa-IR"/>
              </w:rPr>
            </w:pPr>
            <w:r>
              <w:rPr>
                <w:rtl/>
              </w:rPr>
              <w:t xml:space="preserve">(2). </w:t>
            </w:r>
            <w:r w:rsidRPr="00020424">
              <w:rPr>
                <w:rtl/>
              </w:rPr>
              <w:t>في«بح،بخ،بر»</w:t>
            </w:r>
            <w:r w:rsidRPr="00EB1FD9">
              <w:rPr>
                <w:rStyle w:val="libFootnoteBoldChar"/>
                <w:rtl/>
              </w:rPr>
              <w:t>والوسائل</w:t>
            </w:r>
            <w:r w:rsidRPr="00020424">
              <w:rPr>
                <w:rtl/>
              </w:rPr>
              <w:t>:</w:t>
            </w:r>
            <w:r>
              <w:rPr>
                <w:rtl/>
              </w:rPr>
              <w:t>-</w:t>
            </w:r>
            <w:r w:rsidRPr="00020424">
              <w:rPr>
                <w:rtl/>
              </w:rPr>
              <w:t>«عمر</w:t>
            </w:r>
            <w:r>
              <w:rPr>
                <w:rtl/>
              </w:rPr>
              <w:t>».</w:t>
            </w:r>
          </w:p>
        </w:tc>
        <w:tc>
          <w:tcPr>
            <w:tcW w:w="4006" w:type="dxa"/>
          </w:tcPr>
          <w:p w:rsidR="00B928D6" w:rsidRDefault="00B928D6" w:rsidP="00B928D6">
            <w:pPr>
              <w:pStyle w:val="libFootnote0"/>
              <w:rPr>
                <w:rtl/>
                <w:lang w:bidi="fa-IR"/>
              </w:rPr>
            </w:pPr>
            <w:r>
              <w:rPr>
                <w:rtl/>
              </w:rPr>
              <w:t xml:space="preserve">(3). </w:t>
            </w:r>
            <w:r w:rsidRPr="00020424">
              <w:rPr>
                <w:rtl/>
              </w:rPr>
              <w:t>في « بح » : « الغنم</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بس » </w:t>
      </w:r>
      <w:r w:rsidR="00992664" w:rsidRPr="00515444">
        <w:rPr>
          <w:rStyle w:val="libFootnoteBoldChar"/>
          <w:rtl/>
        </w:rPr>
        <w:t>والتهذيب</w:t>
      </w:r>
      <w:r w:rsidR="00992664" w:rsidRPr="00020424">
        <w:rPr>
          <w:rtl/>
        </w:rPr>
        <w:t xml:space="preserve"> ، ص 41 : « عليه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w:t>
      </w:r>
      <w:r w:rsidR="00992664" w:rsidRPr="00515444">
        <w:rPr>
          <w:rStyle w:val="libFootnoteBoldChar"/>
          <w:rtl/>
        </w:rPr>
        <w:t>والتهذيب</w:t>
      </w:r>
      <w:r w:rsidR="00992664" w:rsidRPr="00020424">
        <w:rPr>
          <w:rtl/>
        </w:rPr>
        <w:t xml:space="preserve"> ، ص 41 </w:t>
      </w:r>
      <w:r w:rsidR="00992664" w:rsidRPr="00FD6221">
        <w:rPr>
          <w:rStyle w:val="libFootnoteBoldChar"/>
          <w:rtl/>
        </w:rPr>
        <w:t>والاستبصار</w:t>
      </w:r>
      <w:r w:rsidR="00992664" w:rsidRPr="00020424">
        <w:rPr>
          <w:rtl/>
        </w:rPr>
        <w:t xml:space="preserve"> ، ص 24 : « ينتج</w:t>
      </w:r>
      <w:r w:rsidR="00992664">
        <w:rPr>
          <w:rtl/>
        </w:rPr>
        <w:t xml:space="preserve"> ».</w:t>
      </w:r>
      <w:r w:rsidR="00992664" w:rsidRPr="00020424">
        <w:rPr>
          <w:rtl/>
        </w:rPr>
        <w:t xml:space="preserve"> وفي </w:t>
      </w:r>
      <w:r w:rsidR="00992664" w:rsidRPr="00512FD5">
        <w:rPr>
          <w:rtl/>
        </w:rPr>
        <w:t>مرآة العقول</w:t>
      </w:r>
      <w:r w:rsidR="00992664" w:rsidRPr="00020424">
        <w:rPr>
          <w:rtl/>
        </w:rPr>
        <w:t xml:space="preserve"> : « ذهب أكثر المتأخرين إلى أنّ حول السخال عند استغنائها بالرعي ، وقال الشيخ وجماعة : إنّ حولها من حين النتاج ، واستقرب الشهيد في البيان اعتبار الحول من حين النتاج إذا كان اللبن الذي يشربه من سائمة. وهذا الخبر وكثير من الأخبار يدلّ على مذهب الشيخ </w:t>
      </w:r>
      <w:r w:rsidR="00D64ADA" w:rsidRPr="00D64ADA">
        <w:rPr>
          <w:rStyle w:val="libFootnoteAlaemChar"/>
          <w:rtl/>
        </w:rPr>
        <w:t>رحمه‌الله</w:t>
      </w:r>
      <w:r w:rsidR="00992664">
        <w:rPr>
          <w:rtl/>
        </w:rPr>
        <w:t xml:space="preserve"> ».</w:t>
      </w:r>
      <w:r w:rsidR="00992664" w:rsidRPr="00020424">
        <w:rPr>
          <w:rtl/>
        </w:rPr>
        <w:t xml:space="preserve"> راجع : </w:t>
      </w:r>
      <w:r w:rsidR="00992664" w:rsidRPr="00512FD5">
        <w:rPr>
          <w:rtl/>
        </w:rPr>
        <w:t>البيان</w:t>
      </w:r>
      <w:r w:rsidR="00992664" w:rsidRPr="00020424">
        <w:rPr>
          <w:rtl/>
        </w:rPr>
        <w:t xml:space="preserve"> ، ص 285.</w:t>
      </w:r>
    </w:p>
    <w:p w:rsidR="00992664" w:rsidRPr="00020424" w:rsidRDefault="00795177" w:rsidP="002B0A28">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42 ، ح 108 ؛ </w:t>
      </w:r>
      <w:r w:rsidR="00992664" w:rsidRPr="00FD6221">
        <w:rPr>
          <w:rStyle w:val="libFootnoteBoldChar"/>
          <w:rtl/>
        </w:rPr>
        <w:t>والاستبصار</w:t>
      </w:r>
      <w:r w:rsidR="00992664" w:rsidRPr="00512FD5">
        <w:rPr>
          <w:rtl/>
        </w:rPr>
        <w:t xml:space="preserve"> </w:t>
      </w:r>
      <w:r w:rsidR="00992664" w:rsidRPr="00020424">
        <w:rPr>
          <w:rtl/>
        </w:rPr>
        <w:t xml:space="preserve">، ج 2 ، ص 23 ، ح 63 ، بسندهما عن زرارة ، إلى قوله : « يحول عليها الحول » مع اختلاف يسير وزيادة في آخره. </w:t>
      </w:r>
      <w:r w:rsidR="00992664" w:rsidRPr="00512FD5">
        <w:rPr>
          <w:rtl/>
        </w:rPr>
        <w:t>وفيه</w:t>
      </w:r>
      <w:r w:rsidR="00992664" w:rsidRPr="00020424">
        <w:rPr>
          <w:rtl/>
        </w:rPr>
        <w:t xml:space="preserve"> ، ص 24 ، ح 66 ؛ </w:t>
      </w:r>
      <w:r w:rsidR="00992664" w:rsidRPr="00515444">
        <w:rPr>
          <w:rStyle w:val="libFootnoteBoldChar"/>
          <w:rtl/>
        </w:rPr>
        <w:t>والتهذيب</w:t>
      </w:r>
      <w:r w:rsidR="00992664" w:rsidRPr="00020424">
        <w:rPr>
          <w:rtl/>
        </w:rPr>
        <w:t xml:space="preserve"> ، ج 4 ، ص 41 ، ح 106 ، بسندهما عن زرارة ، عن أحدهما </w:t>
      </w:r>
      <w:r w:rsidR="00D64ADA" w:rsidRPr="00D64ADA">
        <w:rPr>
          <w:rStyle w:val="libFootnoteAlaemChar"/>
          <w:rtl/>
        </w:rPr>
        <w:t>عليهما‌السلام</w:t>
      </w:r>
      <w:r w:rsidR="00992664" w:rsidRPr="00020424">
        <w:rPr>
          <w:rtl/>
        </w:rPr>
        <w:t xml:space="preserve"> ، مع اختلاف وزيادة في أوّله. وراجع : </w:t>
      </w:r>
      <w:r w:rsidR="00992664" w:rsidRPr="002B0A28">
        <w:rPr>
          <w:rStyle w:val="libFootnoteBoldChar"/>
          <w:rtl/>
        </w:rPr>
        <w:t>الاستبصار</w:t>
      </w:r>
      <w:r w:rsidR="00992664" w:rsidRPr="00020424">
        <w:rPr>
          <w:rtl/>
        </w:rPr>
        <w:t xml:space="preserve"> ، ج 2 ، ص 20 ، ذيل ح 58</w:t>
      </w:r>
      <w:r w:rsidR="002B0A28">
        <w:rPr>
          <w:rFonts w:hint="cs"/>
          <w:rtl/>
        </w:rPr>
        <w:t>.</w:t>
      </w:r>
      <w:r w:rsidR="00992664" w:rsidRPr="0012008A">
        <w:rPr>
          <w:rStyle w:val="libFootnoteBoldChar"/>
          <w:rtl/>
        </w:rPr>
        <w:t>الوافي</w:t>
      </w:r>
      <w:r w:rsidR="00992664" w:rsidRPr="00020424">
        <w:rPr>
          <w:rtl/>
        </w:rPr>
        <w:t xml:space="preserve"> ، ج 10 ، ص 97 ، ح 9222 ؛ </w:t>
      </w:r>
      <w:r w:rsidR="00992664" w:rsidRPr="0012008A">
        <w:rPr>
          <w:rStyle w:val="libFootnoteBoldChar"/>
          <w:rtl/>
        </w:rPr>
        <w:t>الوسائل</w:t>
      </w:r>
      <w:r w:rsidR="00992664" w:rsidRPr="00020424">
        <w:rPr>
          <w:rtl/>
        </w:rPr>
        <w:t xml:space="preserve"> ، ج 9 ، ص 122 ، ح 11664.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512FD5">
        <w:rPr>
          <w:rtl/>
        </w:rPr>
        <w:t>مرآة العقول</w:t>
      </w:r>
      <w:r w:rsidR="00992664" w:rsidRPr="00020424">
        <w:rPr>
          <w:rtl/>
        </w:rPr>
        <w:t xml:space="preserve"> : « باب أسنان الإبل. وما فيه كلام المصنّف أخذه من اللغويّين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الحُوار » ، بالضمّ وقد يكسر : ولد الناقة ساعة تضعه ، أو إلى أن يُفْصَل عن أُمّه ، فإذا فصل عنها فهو فصيل. راجع : </w:t>
      </w:r>
      <w:r w:rsidR="00992664" w:rsidRPr="0012008A">
        <w:rPr>
          <w:rStyle w:val="libFootnoteBoldChar"/>
          <w:rtl/>
        </w:rPr>
        <w:t>الصحاح</w:t>
      </w:r>
      <w:r w:rsidR="00992664" w:rsidRPr="00020424">
        <w:rPr>
          <w:rtl/>
        </w:rPr>
        <w:t xml:space="preserve"> ، ج 2 ، ص 640 ؛ </w:t>
      </w:r>
      <w:r w:rsidR="00992664" w:rsidRPr="00A722B1">
        <w:rPr>
          <w:rStyle w:val="libFootnoteBoldChar"/>
          <w:rtl/>
        </w:rPr>
        <w:t>القاموس المحيط</w:t>
      </w:r>
      <w:r w:rsidR="00992664" w:rsidRPr="00020424">
        <w:rPr>
          <w:rtl/>
        </w:rPr>
        <w:t xml:space="preserve"> ، ج 1 ، ص 540 ( حور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بخ ، بر ، بف » : « يسمّى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هكذا في معظم النسخ التي قوبلت. وفي « ى » والمطبوع : « دخلت</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بح ، بس » : « سمّي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ابْنَ لَبُونٍ ؛ وَذلِكَ أَنَّ </w:t>
      </w:r>
      <w:r w:rsidRPr="00A91B96">
        <w:rPr>
          <w:rStyle w:val="libFootnotenumChar"/>
          <w:rtl/>
        </w:rPr>
        <w:t>(1)</w:t>
      </w:r>
      <w:r w:rsidRPr="00020424">
        <w:rPr>
          <w:rtl/>
          <w:lang w:bidi="fa-IR"/>
        </w:rPr>
        <w:t xml:space="preserve"> أُمَّهُ قَدْ وَضَعَتْ وَصَارَ لَهَا لَبَنٌ ، فَإِذَا دَخَلَ فِي السَّنَةِ الرَّابِعَةِ يُسَمَّى </w:t>
      </w:r>
      <w:r w:rsidRPr="00A91B96">
        <w:rPr>
          <w:rStyle w:val="libFootnotenumChar"/>
          <w:rtl/>
        </w:rPr>
        <w:t>(2)</w:t>
      </w:r>
      <w:r w:rsidRPr="00020424">
        <w:rPr>
          <w:rtl/>
          <w:lang w:bidi="fa-IR"/>
        </w:rPr>
        <w:t xml:space="preserve"> الذَّكَرُ حِقّاً </w:t>
      </w:r>
      <w:r w:rsidRPr="00A91B96">
        <w:rPr>
          <w:rStyle w:val="libFootnotenumChar"/>
          <w:rtl/>
        </w:rPr>
        <w:t>(3)</w:t>
      </w:r>
      <w:r w:rsidRPr="00020424">
        <w:rPr>
          <w:rtl/>
          <w:lang w:bidi="fa-IR"/>
        </w:rPr>
        <w:t xml:space="preserve"> ، وَالْأُنْثى حِقَّةً ؛ لِأَنَّهُ قَدِ اسْتَحَقَّ أَنْ يُحْمَلَ عَلَيْهِ ، فَإِذَا دَخَلَ فِي السَّنَةِ </w:t>
      </w:r>
      <w:r w:rsidRPr="00A91B96">
        <w:rPr>
          <w:rStyle w:val="libFootnotenumChar"/>
          <w:rtl/>
        </w:rPr>
        <w:t>(4)</w:t>
      </w:r>
      <w:r w:rsidRPr="00020424">
        <w:rPr>
          <w:rtl/>
          <w:lang w:bidi="fa-IR"/>
        </w:rPr>
        <w:t xml:space="preserve"> الْخَامِسَةِ يُسَمّى جَذَعاً ، فَإِذَا </w:t>
      </w:r>
      <w:r w:rsidRPr="00A91B96">
        <w:rPr>
          <w:rStyle w:val="libFootnotenumChar"/>
          <w:rtl/>
        </w:rPr>
        <w:t>(5)</w:t>
      </w:r>
      <w:r w:rsidRPr="00020424">
        <w:rPr>
          <w:rtl/>
          <w:lang w:bidi="fa-IR"/>
        </w:rPr>
        <w:t xml:space="preserve"> دَخَلَ فِي السَّادِسَةِ يُسَمّى ثَنِيّاً ؛ لِأَنَّهُ قَدْ أَلْقى ثَنِيَّتَهُ </w:t>
      </w:r>
      <w:r w:rsidRPr="00A91B96">
        <w:rPr>
          <w:rStyle w:val="libFootnotenumChar"/>
          <w:rtl/>
        </w:rPr>
        <w:t>(6)</w:t>
      </w:r>
      <w:r w:rsidRPr="00020424">
        <w:rPr>
          <w:rtl/>
          <w:lang w:bidi="fa-IR"/>
        </w:rPr>
        <w:t xml:space="preserve"> ، فَإِذَا دَخَلَ فِي السَّابِعَةِ أَلْقى رَبَاعِيَتَهُ ، وَيُسَمّى </w:t>
      </w:r>
      <w:r w:rsidRPr="00A91B96">
        <w:rPr>
          <w:rStyle w:val="libFootnotenumChar"/>
          <w:rtl/>
        </w:rPr>
        <w:t>(7)</w:t>
      </w:r>
      <w:r w:rsidRPr="00020424">
        <w:rPr>
          <w:rtl/>
          <w:lang w:bidi="fa-IR"/>
        </w:rPr>
        <w:t xml:space="preserve"> رَبَاعِياً </w:t>
      </w:r>
      <w:r w:rsidRPr="00A91B96">
        <w:rPr>
          <w:rStyle w:val="libFootnotenumChar"/>
          <w:rtl/>
        </w:rPr>
        <w:t>(8)</w:t>
      </w:r>
      <w:r w:rsidRPr="00020424">
        <w:rPr>
          <w:rtl/>
          <w:lang w:bidi="fa-IR"/>
        </w:rPr>
        <w:t xml:space="preserve"> ، فَإِذَا دَخَلَ فِي الثَّامِنَةِ أَلْقَى السِّنَّ الَّذِي </w:t>
      </w:r>
      <w:r w:rsidRPr="00A91B96">
        <w:rPr>
          <w:rStyle w:val="libFootnotenumChar"/>
          <w:rtl/>
        </w:rPr>
        <w:t>(9)</w:t>
      </w:r>
      <w:r w:rsidRPr="00020424">
        <w:rPr>
          <w:rtl/>
          <w:lang w:bidi="fa-IR"/>
        </w:rPr>
        <w:t xml:space="preserve"> بَعْدَ الرَّبَاعِيَةِ ، وَسُمِّيَ </w:t>
      </w:r>
      <w:r w:rsidRPr="00A91B96">
        <w:rPr>
          <w:rStyle w:val="libFootnotenumChar"/>
          <w:rtl/>
        </w:rPr>
        <w:t>(10)</w:t>
      </w:r>
      <w:r w:rsidRPr="00020424">
        <w:rPr>
          <w:rtl/>
          <w:lang w:bidi="fa-IR"/>
        </w:rPr>
        <w:t xml:space="preserve"> سَدِيساً ، فَإِذَا دَخَلَ فِي التَّاسِعَةِ وَطَرَحَ </w:t>
      </w:r>
      <w:r w:rsidRPr="00A91B96">
        <w:rPr>
          <w:rStyle w:val="libFootnotenumChar"/>
          <w:rtl/>
        </w:rPr>
        <w:t>(11)</w:t>
      </w:r>
      <w:r w:rsidRPr="00020424">
        <w:rPr>
          <w:rtl/>
          <w:lang w:bidi="fa-IR"/>
        </w:rPr>
        <w:t xml:space="preserve"> نَابَهُ ، سُمِّيَ </w:t>
      </w:r>
      <w:r w:rsidRPr="00A91B96">
        <w:rPr>
          <w:rStyle w:val="libFootnotenumChar"/>
          <w:rtl/>
        </w:rPr>
        <w:t>(12)</w:t>
      </w:r>
      <w:r w:rsidRPr="00020424">
        <w:rPr>
          <w:rtl/>
          <w:lang w:bidi="fa-IR"/>
        </w:rPr>
        <w:t xml:space="preserve"> بَازِلاً ، فَإِذَا دَخَلَ فِي الْعَاشِرَةِ فَهُوَ مُخْلِفٌ ، وَلَيْسَ لَهُ بَعْدَ هذَا </w:t>
      </w:r>
      <w:r w:rsidRPr="00A91B96">
        <w:rPr>
          <w:rStyle w:val="libFootnotenumChar"/>
          <w:rtl/>
        </w:rPr>
        <w:t>(13)</w:t>
      </w:r>
      <w:r w:rsidRPr="00020424">
        <w:rPr>
          <w:rtl/>
          <w:lang w:bidi="fa-IR"/>
        </w:rPr>
        <w:t xml:space="preserve"> اسْمٌ ، وَالْأَسْنَانُ الَّتِي تُؤْخَذُ مِنْهَا </w:t>
      </w:r>
      <w:r w:rsidRPr="00A91B96">
        <w:rPr>
          <w:rStyle w:val="libFootnotenumChar"/>
          <w:rtl/>
        </w:rPr>
        <w:t>(14)</w:t>
      </w:r>
      <w:r w:rsidRPr="00020424">
        <w:rPr>
          <w:rtl/>
          <w:lang w:bidi="fa-IR"/>
        </w:rPr>
        <w:t xml:space="preserve"> فِي الصَّدَقَةِ مِنْ </w:t>
      </w:r>
      <w:r w:rsidRPr="00A91B96">
        <w:rPr>
          <w:rStyle w:val="libFootnotenumChar"/>
          <w:rtl/>
        </w:rPr>
        <w:t>(15)</w:t>
      </w:r>
      <w:r w:rsidRPr="00020424">
        <w:rPr>
          <w:rtl/>
          <w:lang w:bidi="fa-IR"/>
        </w:rPr>
        <w:t xml:space="preserve"> بِنْتِ </w:t>
      </w:r>
      <w:r w:rsidRPr="00A91B96">
        <w:rPr>
          <w:rStyle w:val="libFootnotenumChar"/>
          <w:rtl/>
        </w:rPr>
        <w:t>(16)</w:t>
      </w:r>
      <w:r w:rsidRPr="00020424">
        <w:rPr>
          <w:rtl/>
          <w:lang w:bidi="fa-IR"/>
        </w:rPr>
        <w:t xml:space="preserve"> مَخَاضٍ إِلَى الْجَذَعِ </w:t>
      </w:r>
      <w:r w:rsidRPr="00A91B96">
        <w:rPr>
          <w:rStyle w:val="libFootnotenumChar"/>
          <w:rtl/>
        </w:rPr>
        <w:t>(17)</w:t>
      </w:r>
      <w:r w:rsidR="00CF612C">
        <w:rPr>
          <w:rFonts w:hint="cs"/>
          <w:rtl/>
          <w:lang w:bidi="fa-IR"/>
        </w:rPr>
        <w:t>.</w:t>
      </w:r>
      <w:r w:rsidRPr="00A91B96">
        <w:rPr>
          <w:rStyle w:val="libFootnotenumChar"/>
          <w:rtl/>
        </w:rPr>
        <w:t>(18)</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لأنّ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 « سمّي » وكذا فيما بعد.</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 « حقّاً الذكر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السنّة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بح » : « وإذا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ثنيّه</w:t>
      </w:r>
      <w:r w:rsidR="00992664">
        <w:rPr>
          <w:rtl/>
        </w:rPr>
        <w:t xml:space="preserve"> ».</w:t>
      </w:r>
      <w:r w:rsidR="00992664" w:rsidRPr="00020424">
        <w:rPr>
          <w:rtl/>
        </w:rPr>
        <w:t xml:space="preserve"> ويكون ذلك من الغنم في السنة الثالثة ، ومن البقر كذلك ، ومن الإبل في السادسة. راجع : </w:t>
      </w:r>
      <w:r w:rsidR="00992664" w:rsidRPr="0012008A">
        <w:rPr>
          <w:rStyle w:val="libFootnoteBoldChar"/>
          <w:rtl/>
        </w:rPr>
        <w:t>الصحاح</w:t>
      </w:r>
      <w:r w:rsidR="00992664" w:rsidRPr="00020424">
        <w:rPr>
          <w:rtl/>
        </w:rPr>
        <w:t xml:space="preserve"> ، ج 6 ، ص 2295 ؛ </w:t>
      </w:r>
      <w:r w:rsidR="00992664" w:rsidRPr="0012008A">
        <w:rPr>
          <w:rStyle w:val="libFootnoteBoldChar"/>
          <w:rtl/>
        </w:rPr>
        <w:t>النهاية</w:t>
      </w:r>
      <w:r w:rsidR="00992664" w:rsidRPr="00020424">
        <w:rPr>
          <w:rtl/>
        </w:rPr>
        <w:t xml:space="preserve"> ، ج 1 ، ص 226 ( ثنى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بح ، بر ، بس ، بف » : « وسمّي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هكذا قال الجوهري ، وأمّا ابن الأثير فإنّه قال : « يقال للذكر من الإبل إذا طلعت رَباعيته : رَباعٌ ، والا</w:t>
      </w:r>
      <w:r w:rsidR="00294ECD">
        <w:rPr>
          <w:rFonts w:hint="cs"/>
          <w:rtl/>
        </w:rPr>
        <w:t>ُ</w:t>
      </w:r>
      <w:r w:rsidR="00992664" w:rsidRPr="00020424">
        <w:rPr>
          <w:rtl/>
        </w:rPr>
        <w:t xml:space="preserve">نثى رَباعية بالتخفيف ، وذلك إذا دخلا في السنة السابعة. راجع : </w:t>
      </w:r>
      <w:r w:rsidR="00992664" w:rsidRPr="0012008A">
        <w:rPr>
          <w:rStyle w:val="libFootnoteBoldChar"/>
          <w:rtl/>
        </w:rPr>
        <w:t>الصحاح</w:t>
      </w:r>
      <w:r w:rsidR="00992664" w:rsidRPr="00020424">
        <w:rPr>
          <w:rtl/>
        </w:rPr>
        <w:t xml:space="preserve"> ، ج 3 ، ص 1214 ؛ </w:t>
      </w:r>
      <w:r w:rsidR="00992664" w:rsidRPr="0012008A">
        <w:rPr>
          <w:rStyle w:val="libFootnoteBoldChar"/>
          <w:rtl/>
        </w:rPr>
        <w:t>النهاية</w:t>
      </w:r>
      <w:r w:rsidR="00992664" w:rsidRPr="00020424">
        <w:rPr>
          <w:rtl/>
        </w:rPr>
        <w:t xml:space="preserve"> ، ج 2 ، ص 188 ( ربع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بح » : « التي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ويسمّى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D092E" w:rsidTr="001D092E">
        <w:tc>
          <w:tcPr>
            <w:tcW w:w="4006" w:type="dxa"/>
          </w:tcPr>
          <w:p w:rsidR="001D092E" w:rsidRDefault="001D092E" w:rsidP="00992664">
            <w:pPr>
              <w:pStyle w:val="libFootnote0"/>
              <w:rPr>
                <w:rtl/>
              </w:rPr>
            </w:pPr>
            <w:r>
              <w:rPr>
                <w:rtl/>
              </w:rPr>
              <w:t xml:space="preserve">(11). </w:t>
            </w:r>
            <w:r w:rsidRPr="00020424">
              <w:rPr>
                <w:rtl/>
              </w:rPr>
              <w:t>في « ى ، بح » : « فطرح</w:t>
            </w:r>
            <w:r>
              <w:rPr>
                <w:rtl/>
              </w:rPr>
              <w:t xml:space="preserve"> ».</w:t>
            </w:r>
          </w:p>
        </w:tc>
        <w:tc>
          <w:tcPr>
            <w:tcW w:w="4006" w:type="dxa"/>
          </w:tcPr>
          <w:p w:rsidR="001D092E" w:rsidRDefault="001D092E" w:rsidP="00992664">
            <w:pPr>
              <w:pStyle w:val="libFootnote0"/>
              <w:rPr>
                <w:rtl/>
              </w:rPr>
            </w:pPr>
            <w:r>
              <w:rPr>
                <w:rtl/>
              </w:rPr>
              <w:t xml:space="preserve">(12). </w:t>
            </w:r>
            <w:r w:rsidRPr="00020424">
              <w:rPr>
                <w:rtl/>
              </w:rPr>
              <w:t>في « بث » : « يسمّى</w:t>
            </w:r>
            <w:r>
              <w:rPr>
                <w:rtl/>
              </w:rPr>
              <w:t xml:space="preserve"> ».</w:t>
            </w:r>
          </w:p>
        </w:tc>
      </w:tr>
      <w:tr w:rsidR="001D092E" w:rsidTr="001D092E">
        <w:tc>
          <w:tcPr>
            <w:tcW w:w="4006" w:type="dxa"/>
          </w:tcPr>
          <w:p w:rsidR="001D092E" w:rsidRDefault="001D092E" w:rsidP="001D092E">
            <w:pPr>
              <w:pStyle w:val="libFootnote0"/>
              <w:rPr>
                <w:rtl/>
              </w:rPr>
            </w:pPr>
            <w:r>
              <w:rPr>
                <w:rtl/>
              </w:rPr>
              <w:t xml:space="preserve">(13). </w:t>
            </w:r>
            <w:r w:rsidRPr="00020424">
              <w:rPr>
                <w:rtl/>
              </w:rPr>
              <w:t>في«بخ،بر،بف»:«بعدها»بدل«بعد هذا</w:t>
            </w:r>
            <w:r>
              <w:rPr>
                <w:rtl/>
              </w:rPr>
              <w:t>».</w:t>
            </w:r>
          </w:p>
        </w:tc>
        <w:tc>
          <w:tcPr>
            <w:tcW w:w="4006" w:type="dxa"/>
          </w:tcPr>
          <w:p w:rsidR="001D092E" w:rsidRDefault="001D092E" w:rsidP="00992664">
            <w:pPr>
              <w:pStyle w:val="libFootnote0"/>
              <w:rPr>
                <w:rtl/>
              </w:rPr>
            </w:pPr>
            <w:r>
              <w:rPr>
                <w:rtl/>
              </w:rPr>
              <w:t xml:space="preserve">(14). </w:t>
            </w:r>
            <w:r w:rsidRPr="00020424">
              <w:rPr>
                <w:rtl/>
              </w:rPr>
              <w:t>في « بخ ، بر » :</w:t>
            </w:r>
            <w:r>
              <w:rPr>
                <w:rtl/>
              </w:rPr>
              <w:t xml:space="preserve"> - </w:t>
            </w:r>
            <w:r w:rsidRPr="00020424">
              <w:rPr>
                <w:rtl/>
              </w:rPr>
              <w:t>« منها</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بخ » : « بين</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ظ » : « ابن كذا</w:t>
      </w:r>
      <w:r w:rsidR="00992664">
        <w:rPr>
          <w:rtl/>
        </w:rPr>
        <w:t xml:space="preserve"> ».</w:t>
      </w:r>
      <w:r w:rsidR="00992664" w:rsidRPr="00020424">
        <w:rPr>
          <w:rtl/>
        </w:rPr>
        <w:t xml:space="preserve"> وفي « بث ، بخ ، بر ، بف » : « ابن</w:t>
      </w:r>
      <w:r w:rsidR="00992664">
        <w:rPr>
          <w:rtl/>
        </w:rPr>
        <w:t xml:space="preserve"> ».</w:t>
      </w:r>
      <w:r w:rsidR="00992664" w:rsidRPr="00020424">
        <w:rPr>
          <w:rtl/>
        </w:rPr>
        <w:t xml:space="preserve"> وفي « بح ، جن » : « ابنة</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ظ » : « جذع</w:t>
      </w:r>
      <w:r w:rsidR="00992664">
        <w:rPr>
          <w:rtl/>
        </w:rPr>
        <w:t xml:space="preserve"> ».</w:t>
      </w:r>
      <w:r w:rsidR="00992664" w:rsidRPr="00020424">
        <w:rPr>
          <w:rtl/>
        </w:rPr>
        <w:t xml:space="preserve"> وفي « بخ » : « الجذعة</w:t>
      </w:r>
      <w:r w:rsidR="00992664">
        <w:rPr>
          <w:rtl/>
        </w:rPr>
        <w:t xml:space="preserve"> ».</w:t>
      </w:r>
    </w:p>
    <w:p w:rsidR="00992664" w:rsidRPr="00020424" w:rsidRDefault="00795177" w:rsidP="000728F0">
      <w:pPr>
        <w:pStyle w:val="libFootnote0"/>
        <w:rPr>
          <w:rtl/>
          <w:lang w:bidi="fa-IR"/>
        </w:rPr>
      </w:pPr>
      <w:r>
        <w:rPr>
          <w:rtl/>
        </w:rPr>
        <w:t>(18).</w:t>
      </w:r>
      <w:r w:rsidR="0014403D">
        <w:rPr>
          <w:rtl/>
        </w:rPr>
        <w:t xml:space="preserve"> </w:t>
      </w:r>
      <w:r w:rsidR="00992664" w:rsidRPr="0012008A">
        <w:rPr>
          <w:rStyle w:val="libFootnoteBoldChar"/>
          <w:rtl/>
        </w:rPr>
        <w:t>الفقيه</w:t>
      </w:r>
      <w:r w:rsidR="00992664" w:rsidRPr="00020424">
        <w:rPr>
          <w:rtl/>
        </w:rPr>
        <w:t xml:space="preserve"> ، ج 2 ، ص 25 ، ذيل ح 1606 ، وفيه : « قال مصنّف هذا الكتاب </w:t>
      </w:r>
      <w:r w:rsidR="00D64ADA" w:rsidRPr="00D64ADA">
        <w:rPr>
          <w:rStyle w:val="libFootnoteAlaemChar"/>
          <w:rtl/>
        </w:rPr>
        <w:t>رحمه‌الله</w:t>
      </w:r>
      <w:r w:rsidR="00992664" w:rsidRPr="00020424">
        <w:rPr>
          <w:rtl/>
        </w:rPr>
        <w:t xml:space="preserve"> : أسنان الإبل من أوّل</w:t>
      </w:r>
      <w:r w:rsidR="00992664">
        <w:rPr>
          <w:rtl/>
        </w:rPr>
        <w:t xml:space="preserve"> ..</w:t>
      </w:r>
      <w:r w:rsidR="00992664" w:rsidRPr="00020424">
        <w:rPr>
          <w:rtl/>
        </w:rPr>
        <w:t>.</w:t>
      </w:r>
      <w:r w:rsidR="00992664">
        <w:rPr>
          <w:rtl/>
        </w:rPr>
        <w:t xml:space="preserve"> ».</w:t>
      </w:r>
      <w:r w:rsidR="00992664" w:rsidRPr="00020424">
        <w:rPr>
          <w:rtl/>
        </w:rPr>
        <w:t xml:space="preserve"> </w:t>
      </w:r>
      <w:r w:rsidR="00992664" w:rsidRPr="00512FD5">
        <w:rPr>
          <w:rtl/>
        </w:rPr>
        <w:t>معاني الأخبار</w:t>
      </w:r>
      <w:r w:rsidR="00992664" w:rsidRPr="00020424">
        <w:rPr>
          <w:rtl/>
        </w:rPr>
        <w:t xml:space="preserve"> ، ص 328 ، ذيل ح 1 ، وفيه : « قال مصنّف هذا الكتاب </w:t>
      </w:r>
      <w:r w:rsidR="001D092E" w:rsidRPr="001D092E">
        <w:rPr>
          <w:rStyle w:val="libFootnoteAlaemChar"/>
          <w:rtl/>
        </w:rPr>
        <w:t>رضي‌الله‌عنه</w:t>
      </w:r>
      <w:r w:rsidR="00992664" w:rsidRPr="00020424">
        <w:rPr>
          <w:rtl/>
        </w:rPr>
        <w:t xml:space="preserve"> : وجدت مثبتاً بخطّ سعد بن عبدالله بن أبي خلف </w:t>
      </w:r>
      <w:r w:rsidR="00E832AB" w:rsidRPr="00E832AB">
        <w:rPr>
          <w:rStyle w:val="libFootnoteAlaemChar"/>
          <w:rtl/>
        </w:rPr>
        <w:t>رضي‌الله‌عنه</w:t>
      </w:r>
      <w:r w:rsidR="00992664" w:rsidRPr="00020424">
        <w:rPr>
          <w:rtl/>
        </w:rPr>
        <w:t xml:space="preserve"> في أسنان الإبل من أوّل</w:t>
      </w:r>
      <w:r w:rsidR="00992664">
        <w:rPr>
          <w:rtl/>
        </w:rPr>
        <w:t xml:space="preserve"> ..</w:t>
      </w:r>
      <w:r w:rsidR="00992664" w:rsidRPr="00020424">
        <w:rPr>
          <w:rtl/>
        </w:rPr>
        <w:t>. » وفيهما مع اختلاف يسير</w:t>
      </w:r>
      <w:r w:rsidR="000728F0">
        <w:rPr>
          <w:rFonts w:hint="cs"/>
          <w:rtl/>
        </w:rPr>
        <w:t>.</w:t>
      </w:r>
      <w:r w:rsidR="00992664" w:rsidRPr="0012008A">
        <w:rPr>
          <w:rStyle w:val="libFootnoteBoldChar"/>
          <w:rtl/>
        </w:rPr>
        <w:t>الوافي</w:t>
      </w:r>
      <w:r w:rsidR="00992664" w:rsidRPr="00020424">
        <w:rPr>
          <w:rtl/>
        </w:rPr>
        <w:t xml:space="preserve"> ، ج 10 ، ص 90 ، ذيل ح 9215.</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72" w:name="_Toc345172740"/>
      <w:bookmarkStart w:id="73" w:name="_Toc464562557"/>
      <w:bookmarkStart w:id="74" w:name="_Toc44599860"/>
      <w:r w:rsidRPr="00020424">
        <w:rPr>
          <w:rtl/>
          <w:lang w:bidi="fa-IR"/>
        </w:rPr>
        <w:lastRenderedPageBreak/>
        <w:t>20</w:t>
      </w:r>
      <w:r>
        <w:rPr>
          <w:rtl/>
          <w:lang w:bidi="fa-IR"/>
        </w:rPr>
        <w:t xml:space="preserve"> </w:t>
      </w:r>
      <w:r w:rsidR="009B673F">
        <w:rPr>
          <w:rtl/>
          <w:lang w:bidi="fa-IR"/>
        </w:rPr>
        <w:t>-</w:t>
      </w:r>
      <w:r>
        <w:rPr>
          <w:rtl/>
          <w:lang w:bidi="fa-IR"/>
        </w:rPr>
        <w:t xml:space="preserve"> </w:t>
      </w:r>
      <w:r w:rsidRPr="00020424">
        <w:rPr>
          <w:rtl/>
          <w:lang w:bidi="fa-IR"/>
        </w:rPr>
        <w:t>بَابُ صَدَقَةِ الْبَقَرِ‌</w:t>
      </w:r>
      <w:bookmarkEnd w:id="72"/>
      <w:bookmarkEnd w:id="73"/>
      <w:bookmarkEnd w:id="74"/>
    </w:p>
    <w:p w:rsidR="00992664" w:rsidRPr="00020424" w:rsidRDefault="00992664" w:rsidP="00992664">
      <w:pPr>
        <w:pStyle w:val="libNormal"/>
        <w:rPr>
          <w:rtl/>
          <w:lang w:bidi="fa-IR"/>
        </w:rPr>
      </w:pPr>
      <w:r w:rsidRPr="00512FD5">
        <w:rPr>
          <w:rtl/>
        </w:rPr>
        <w:t>5860</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(1)</w:t>
      </w:r>
      <w:r w:rsidRPr="00020424">
        <w:rPr>
          <w:rtl/>
          <w:lang w:bidi="fa-IR"/>
        </w:rPr>
        <w:t xml:space="preserve"> ، عَنْ حَرِيزٍ ، عَنْ زُرَارَةَ وَمُحَمَّدِ بْنِ مُسْلِمٍ وَأَبِي بَصِيرٍ وَبُرَيْدٍ الْعِجْلِيِّ </w:t>
      </w:r>
      <w:r w:rsidRPr="00A91B96">
        <w:rPr>
          <w:rStyle w:val="libFootnotenumChar"/>
          <w:rtl/>
        </w:rPr>
        <w:t>(2)</w:t>
      </w:r>
      <w:r w:rsidRPr="00020424">
        <w:rPr>
          <w:rtl/>
          <w:lang w:bidi="fa-IR"/>
        </w:rPr>
        <w:t xml:space="preserve"> وَالْفُضَيْلِ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قَالَا : « فِي الْبَقَرِ فِي كُلِّ ثَلَاثِينَ بَقَرَةً تَبِيعٌ </w:t>
      </w:r>
      <w:r w:rsidRPr="00A91B96">
        <w:rPr>
          <w:rStyle w:val="libFootnotenumChar"/>
          <w:rtl/>
        </w:rPr>
        <w:t>(3)</w:t>
      </w:r>
      <w:r w:rsidRPr="00020424">
        <w:rPr>
          <w:rtl/>
          <w:lang w:bidi="fa-IR"/>
        </w:rPr>
        <w:t xml:space="preserve"> حَوْلِيٌّ </w:t>
      </w:r>
      <w:r w:rsidRPr="00A91B96">
        <w:rPr>
          <w:rStyle w:val="libFootnotenumChar"/>
          <w:rtl/>
        </w:rPr>
        <w:t>(4)</w:t>
      </w:r>
      <w:r w:rsidRPr="00020424">
        <w:rPr>
          <w:rtl/>
          <w:lang w:bidi="fa-IR"/>
        </w:rPr>
        <w:t xml:space="preserve"> ، وَلَيْسَ فِي أَقَلَّ مِنْ ذلِكَ شَيْ‌ءٌ ، وَفِي أَرْبَعِينَ بَقَرَةً </w:t>
      </w:r>
      <w:r w:rsidRPr="00A91B96">
        <w:rPr>
          <w:rStyle w:val="libFootnotenumChar"/>
          <w:rtl/>
        </w:rPr>
        <w:t>(5)</w:t>
      </w:r>
      <w:r w:rsidRPr="00020424">
        <w:rPr>
          <w:rtl/>
          <w:lang w:bidi="fa-IR"/>
        </w:rPr>
        <w:t xml:space="preserve"> بَقَرَةٌ مُسِنَّةٌ </w:t>
      </w:r>
      <w:r w:rsidRPr="00A91B96">
        <w:rPr>
          <w:rStyle w:val="libFootnotenumChar"/>
          <w:rtl/>
        </w:rPr>
        <w:t>(6)</w:t>
      </w:r>
      <w:r w:rsidRPr="00020424">
        <w:rPr>
          <w:rtl/>
          <w:lang w:bidi="fa-IR"/>
        </w:rPr>
        <w:t xml:space="preserve"> ، وَلَيْسَ فِيمَا بَيْنَ الثَّلَاثِينَ إِلَى الْأَرْبَعِينَ شَيْ‌ءٌ حَتّى تَبْلُغَ </w:t>
      </w:r>
      <w:r w:rsidRPr="00A91B96">
        <w:rPr>
          <w:rStyle w:val="libFootnotenumChar"/>
          <w:rtl/>
        </w:rPr>
        <w:t>(7)</w:t>
      </w:r>
      <w:r w:rsidRPr="00020424">
        <w:rPr>
          <w:rtl/>
          <w:lang w:bidi="fa-IR"/>
        </w:rPr>
        <w:t xml:space="preserve"> أَرْبَعِينَ ، فَإِذَا بَلَغَتْ أَرْبَعِينَ فَفِيهَا </w:t>
      </w:r>
      <w:r w:rsidRPr="00A91B96">
        <w:rPr>
          <w:rStyle w:val="libFootnotenumChar"/>
          <w:rtl/>
        </w:rPr>
        <w:t>(8)</w:t>
      </w:r>
      <w:r w:rsidRPr="00020424">
        <w:rPr>
          <w:rtl/>
          <w:lang w:bidi="fa-IR"/>
        </w:rPr>
        <w:t xml:space="preserve"> مُسِنَّةٌ </w:t>
      </w:r>
      <w:r w:rsidRPr="00A91B96">
        <w:rPr>
          <w:rStyle w:val="libFootnotenumChar"/>
          <w:rtl/>
        </w:rPr>
        <w:t>(9)</w:t>
      </w:r>
      <w:r w:rsidRPr="00020424">
        <w:rPr>
          <w:rtl/>
          <w:lang w:bidi="fa-IR"/>
        </w:rPr>
        <w:t xml:space="preserve"> ، وَلَيْسَ فِيمَا بَيْنَ الْأَرْبَعِينَ إِلَى السِّتِّينَ شَيْ‌ءٌ </w:t>
      </w:r>
      <w:r w:rsidRPr="00A91B96">
        <w:rPr>
          <w:rStyle w:val="libFootnotenumChar"/>
          <w:rtl/>
        </w:rPr>
        <w:t>(10)</w:t>
      </w:r>
      <w:r w:rsidRPr="00020424">
        <w:rPr>
          <w:rtl/>
          <w:lang w:bidi="fa-IR"/>
        </w:rPr>
        <w:t xml:space="preserve"> ، فَإِذَا بَلَغَتِ السِّتِّينَ فَفِيهَا تَبِيعَانِ إِلى سَبْعِينَ </w:t>
      </w:r>
      <w:r w:rsidRPr="00A91B96">
        <w:rPr>
          <w:rStyle w:val="libFootnotenumChar"/>
          <w:rtl/>
        </w:rPr>
        <w:t>(11)</w:t>
      </w:r>
      <w:r w:rsidRPr="00020424">
        <w:rPr>
          <w:rtl/>
          <w:lang w:bidi="fa-IR"/>
        </w:rPr>
        <w:t xml:space="preserve"> ، فَإِذَا بَلَغَتْ سَبْعِينَ </w:t>
      </w:r>
      <w:r w:rsidRPr="00A91B96">
        <w:rPr>
          <w:rStyle w:val="libFootnotenumChar"/>
          <w:rtl/>
        </w:rPr>
        <w:t>(12)</w:t>
      </w:r>
      <w:r w:rsidRPr="00020424">
        <w:rPr>
          <w:rtl/>
          <w:lang w:bidi="fa-IR"/>
        </w:rPr>
        <w:t xml:space="preserve"> فَفِيهَا تَبِيعٌ </w:t>
      </w:r>
      <w:r w:rsidRPr="00A91B96">
        <w:rPr>
          <w:rStyle w:val="libFootnotenumChar"/>
          <w:rtl/>
        </w:rPr>
        <w:t>(13)</w:t>
      </w:r>
      <w:r w:rsidRPr="00020424">
        <w:rPr>
          <w:rtl/>
          <w:lang w:bidi="fa-IR"/>
        </w:rPr>
        <w:t xml:space="preserve"> وَمُسِنَّةٌ إِلى ثَمَانِينَ </w:t>
      </w:r>
      <w:r w:rsidRPr="00A91B96">
        <w:rPr>
          <w:rStyle w:val="libFootnotenumChar"/>
          <w:rtl/>
        </w:rPr>
        <w:t>(14)</w:t>
      </w:r>
      <w:r w:rsidRPr="00020424">
        <w:rPr>
          <w:rtl/>
          <w:lang w:bidi="fa-IR"/>
        </w:rPr>
        <w:t xml:space="preserve"> ، فَإِذَا بَلَغَتْ ثَمَانِينَ فَفِي كُلِّ أَرْبَعِينَ مُسِنَّةٌ إِلى تِسْعِينَ </w:t>
      </w:r>
      <w:r w:rsidRPr="00A91B96">
        <w:rPr>
          <w:rStyle w:val="libFootnotenumChar"/>
          <w:rtl/>
        </w:rPr>
        <w:t>(15)</w:t>
      </w:r>
      <w:r w:rsidRPr="00020424">
        <w:rPr>
          <w:rtl/>
          <w:lang w:bidi="fa-IR"/>
        </w:rPr>
        <w:t xml:space="preserve"> ، فَإِذَا بَلَغَتْ تِسْعِينَ فَفِيهَا ثَلَاثُ‌</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العجلي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التبيع » : ولد البقرة في أوّل سنة. راجع : </w:t>
      </w:r>
      <w:r w:rsidR="00992664" w:rsidRPr="0012008A">
        <w:rPr>
          <w:rStyle w:val="libFootnoteBoldChar"/>
          <w:rtl/>
        </w:rPr>
        <w:t>الصحاح</w:t>
      </w:r>
      <w:r w:rsidR="00992664" w:rsidRPr="00020424">
        <w:rPr>
          <w:rtl/>
        </w:rPr>
        <w:t xml:space="preserve"> ، ج 3 ، ص 1190 ؛ </w:t>
      </w:r>
      <w:r w:rsidR="00992664" w:rsidRPr="0012008A">
        <w:rPr>
          <w:rStyle w:val="libFootnoteBoldChar"/>
          <w:rtl/>
        </w:rPr>
        <w:t>النهاية</w:t>
      </w:r>
      <w:r w:rsidR="00B50394">
        <w:rPr>
          <w:rtl/>
        </w:rPr>
        <w:t xml:space="preserve"> ، ج 1 ، ص 179 (تبع</w:t>
      </w:r>
      <w:r w:rsidR="00992664" w:rsidRPr="00020424">
        <w:rPr>
          <w:rtl/>
        </w:rPr>
        <w:t>)</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قال الجوهري : « كلّ ذي حافر أوّل سنة حَوْلِيٌّ ، والا</w:t>
      </w:r>
      <w:r w:rsidR="005C3E90">
        <w:rPr>
          <w:rFonts w:hint="cs"/>
          <w:rtl/>
        </w:rPr>
        <w:t>ُ</w:t>
      </w:r>
      <w:r w:rsidR="00992664" w:rsidRPr="00020424">
        <w:rPr>
          <w:rtl/>
        </w:rPr>
        <w:t>نثى : حَوْليّة » ، وقال الفيروزآبادي : « الحَوْلِيّ : ما أتى عليه‌حول من ذي حافر وغيره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1679 ؛ </w:t>
      </w:r>
      <w:r w:rsidR="00992664" w:rsidRPr="00A722B1">
        <w:rPr>
          <w:rStyle w:val="libFootnoteBoldChar"/>
          <w:rtl/>
        </w:rPr>
        <w:t>القاموس المحيط</w:t>
      </w:r>
      <w:r w:rsidR="00992664" w:rsidRPr="00020424">
        <w:rPr>
          <w:rtl/>
        </w:rPr>
        <w:t xml:space="preserve"> ، ج 2 ، ص 1308 ( حول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بح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11647 :</w:t>
      </w:r>
      <w:r w:rsidR="00992664">
        <w:rPr>
          <w:rtl/>
        </w:rPr>
        <w:t xml:space="preserve"> </w:t>
      </w:r>
      <w:r w:rsidR="009B673F">
        <w:rPr>
          <w:rtl/>
        </w:rPr>
        <w:t>-</w:t>
      </w:r>
      <w:r w:rsidR="00992664">
        <w:rPr>
          <w:rtl/>
        </w:rPr>
        <w:t xml:space="preserve"> </w:t>
      </w:r>
      <w:r w:rsidR="00992664" w:rsidRPr="00020424">
        <w:rPr>
          <w:rtl/>
        </w:rPr>
        <w:t>« بقرة</w:t>
      </w:r>
      <w:r w:rsidR="00992664">
        <w:rPr>
          <w:rtl/>
        </w:rPr>
        <w:t xml:space="preserve"> ».</w:t>
      </w:r>
      <w:r w:rsidR="00992664" w:rsidRPr="00020424">
        <w:rPr>
          <w:rtl/>
        </w:rPr>
        <w:t xml:space="preserve"> وفي حاشية « بس » : « مسنّة</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 « البقرة المسنّة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حتّى يبلغ</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بح » </w:t>
      </w:r>
      <w:r w:rsidR="00992664" w:rsidRPr="00EB1FD9">
        <w:rPr>
          <w:rStyle w:val="libFootnoteBoldChar"/>
          <w:rtl/>
        </w:rPr>
        <w:t>والوسائل</w:t>
      </w:r>
      <w:r w:rsidR="00992664" w:rsidRPr="00020424">
        <w:rPr>
          <w:rtl/>
        </w:rPr>
        <w:t xml:space="preserve"> ، ح 11647 : + « بقرة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بس ، جن » : « بقرة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 + « حتّى يبلغ الستّين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11647 : « السبعين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11647 </w:t>
      </w:r>
      <w:r w:rsidR="00992664" w:rsidRPr="00515444">
        <w:rPr>
          <w:rStyle w:val="libFootnoteBoldChar"/>
          <w:rtl/>
        </w:rPr>
        <w:t>والتهذيب</w:t>
      </w:r>
      <w:r w:rsidR="00992664" w:rsidRPr="00020424">
        <w:rPr>
          <w:rtl/>
        </w:rPr>
        <w:t xml:space="preserve"> : « السبعين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بس » : « تبيعة</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11647 </w:t>
      </w:r>
      <w:r w:rsidR="00992664" w:rsidRPr="00515444">
        <w:rPr>
          <w:rStyle w:val="libFootnoteBoldChar"/>
          <w:rtl/>
        </w:rPr>
        <w:t>والتهذيب</w:t>
      </w:r>
      <w:r w:rsidR="00992664" w:rsidRPr="00020424">
        <w:rPr>
          <w:rtl/>
        </w:rPr>
        <w:t xml:space="preserve"> : « الثمانين</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إلى تسعين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تَبَائِعَ </w:t>
      </w:r>
      <w:r w:rsidRPr="00A91B96">
        <w:rPr>
          <w:rStyle w:val="libFootnotenumChar"/>
          <w:rtl/>
        </w:rPr>
        <w:t>(1)</w:t>
      </w:r>
      <w:r w:rsidRPr="00020424">
        <w:rPr>
          <w:rtl/>
          <w:lang w:bidi="fa-IR"/>
        </w:rPr>
        <w:t xml:space="preserve"> حَوْلِيَّاتٍ ، فَإِذَا بَلَغَتْ عِشْرِينَ وَمِائَةً فَفِي كُلِّ أَرْبَعِينَ مُسِنَّةٌ ، ثُمَّ تَرْجِعُ </w:t>
      </w:r>
      <w:r w:rsidRPr="00A91B96">
        <w:rPr>
          <w:rStyle w:val="libFootnotenumChar"/>
          <w:rtl/>
        </w:rPr>
        <w:t>(2)</w:t>
      </w:r>
      <w:r w:rsidRPr="00020424">
        <w:rPr>
          <w:rtl/>
          <w:lang w:bidi="fa-IR"/>
        </w:rPr>
        <w:t xml:space="preserve"> الْبَقَرُ </w:t>
      </w:r>
      <w:r w:rsidRPr="00A91B96">
        <w:rPr>
          <w:rStyle w:val="libFootnotenumChar"/>
          <w:rtl/>
        </w:rPr>
        <w:t>(3)</w:t>
      </w:r>
      <w:r w:rsidRPr="00020424">
        <w:rPr>
          <w:rtl/>
          <w:lang w:bidi="fa-IR"/>
        </w:rPr>
        <w:t xml:space="preserve"> عَلى </w:t>
      </w:r>
      <w:r w:rsidRPr="00A91B96">
        <w:rPr>
          <w:rStyle w:val="libFootnotenumChar"/>
          <w:rtl/>
        </w:rPr>
        <w:t>(4)</w:t>
      </w:r>
      <w:r w:rsidRPr="00020424">
        <w:rPr>
          <w:rtl/>
          <w:lang w:bidi="fa-IR"/>
        </w:rPr>
        <w:t xml:space="preserve"> أَسْنَانِهَا ، وَلَيْسَ عَلَى النَّيِّفِ </w:t>
      </w:r>
      <w:r w:rsidRPr="00A91B96">
        <w:rPr>
          <w:rStyle w:val="libFootnotenumChar"/>
          <w:rtl/>
        </w:rPr>
        <w:t>(5)</w:t>
      </w:r>
      <w:r w:rsidRPr="00020424">
        <w:rPr>
          <w:rtl/>
          <w:lang w:bidi="fa-IR"/>
        </w:rPr>
        <w:t xml:space="preserve"> شَيْ‌ءٌ ، وَلَاعَلَى الْكُسُورِ </w:t>
      </w:r>
      <w:r w:rsidRPr="00A91B96">
        <w:rPr>
          <w:rStyle w:val="libFootnotenumChar"/>
          <w:rtl/>
        </w:rPr>
        <w:t>(6)</w:t>
      </w:r>
      <w:r w:rsidRPr="00020424">
        <w:rPr>
          <w:rtl/>
          <w:lang w:bidi="fa-IR"/>
        </w:rPr>
        <w:t xml:space="preserve"> شَيْ‌ءٌ ، وَلَاعَلَى الْعَوَامِلِ </w:t>
      </w:r>
      <w:r w:rsidRPr="00A91B96">
        <w:rPr>
          <w:rStyle w:val="libFootnotenumChar"/>
          <w:rtl/>
        </w:rPr>
        <w:t>(7)</w:t>
      </w:r>
      <w:r w:rsidRPr="00020424">
        <w:rPr>
          <w:rtl/>
          <w:lang w:bidi="fa-IR"/>
        </w:rPr>
        <w:t xml:space="preserve"> شَيْ‌ءٌ </w:t>
      </w:r>
      <w:r w:rsidRPr="00A91B96">
        <w:rPr>
          <w:rStyle w:val="libFootnotenumChar"/>
          <w:rtl/>
        </w:rPr>
        <w:t>(8)</w:t>
      </w:r>
      <w:r w:rsidRPr="00020424">
        <w:rPr>
          <w:rtl/>
          <w:lang w:bidi="fa-IR"/>
        </w:rPr>
        <w:t xml:space="preserve"> ، إِنَّمَا الصَّدَقَةُ </w:t>
      </w:r>
      <w:r w:rsidRPr="00A91B96">
        <w:rPr>
          <w:rStyle w:val="libFootnotenumChar"/>
          <w:rtl/>
        </w:rPr>
        <w:t>(9)</w:t>
      </w:r>
      <w:r w:rsidRPr="00020424">
        <w:rPr>
          <w:rtl/>
          <w:lang w:bidi="fa-IR"/>
        </w:rPr>
        <w:t xml:space="preserve"> عَلَى السَّائِمَةِ </w:t>
      </w:r>
      <w:r w:rsidRPr="00A91B96">
        <w:rPr>
          <w:rStyle w:val="libFootnotenumChar"/>
          <w:rtl/>
        </w:rPr>
        <w:t>(10)</w:t>
      </w:r>
      <w:r w:rsidRPr="00020424">
        <w:rPr>
          <w:rtl/>
          <w:lang w:bidi="fa-IR"/>
        </w:rPr>
        <w:t xml:space="preserve"> الرَّاعِيَةِ ، وَكُلُّ مَا لَمْ يَحُلْ عَلَيْهِ الْحَوْلُ عِنْدَ رَبِّهِ ، فَلَا شَيْ‌ءَ عَلَيْهِ حَتّى يَحُولَ عَلَيْهِ الْحَوْلُ ، فَإِذَا حَالَ عَلَيْهِ الْحَوْلُ ، وَجَبَ عَلَيْهِ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512FD5">
        <w:rPr>
          <w:rtl/>
        </w:rPr>
        <w:t>5861</w:t>
      </w:r>
      <w:r w:rsidRPr="001155DE">
        <w:rPr>
          <w:rStyle w:val="libBold2Char"/>
          <w:rtl/>
        </w:rPr>
        <w:t xml:space="preserve"> / 2.</w:t>
      </w:r>
      <w:r w:rsidRPr="00020424">
        <w:rPr>
          <w:rtl/>
          <w:lang w:bidi="fa-IR"/>
        </w:rPr>
        <w:t xml:space="preserve"> زُرَارَةُ </w:t>
      </w:r>
      <w:r w:rsidRPr="00A91B96">
        <w:rPr>
          <w:rStyle w:val="libFootnotenumChar"/>
          <w:rtl/>
        </w:rPr>
        <w:t>(13)</w:t>
      </w:r>
      <w:r w:rsidRPr="00020424">
        <w:rPr>
          <w:rtl/>
          <w:lang w:bidi="fa-IR"/>
        </w:rPr>
        <w:t xml:space="preserve"> ، عَنْ أَبِي جَعْفَرٍ </w:t>
      </w:r>
      <w:r w:rsidRPr="00005A81">
        <w:rPr>
          <w:rStyle w:val="libAlaemChar"/>
          <w:rtl/>
        </w:rPr>
        <w:t>عليه‌السلام</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لَهُ </w:t>
      </w:r>
      <w:r w:rsidRPr="00A91B96">
        <w:rPr>
          <w:rStyle w:val="libFootnotenumChar"/>
          <w:rtl/>
        </w:rPr>
        <w:t>(14)</w:t>
      </w:r>
      <w:r w:rsidRPr="00020424">
        <w:rPr>
          <w:rtl/>
          <w:lang w:bidi="fa-IR"/>
        </w:rPr>
        <w:t xml:space="preserve"> : فِي الْجَوَامِيسِ </w:t>
      </w:r>
      <w:r w:rsidRPr="00A91B96">
        <w:rPr>
          <w:rStyle w:val="libFootnotenumChar"/>
          <w:rtl/>
        </w:rPr>
        <w:t>(15)</w:t>
      </w:r>
      <w:r w:rsidRPr="00020424">
        <w:rPr>
          <w:rtl/>
          <w:lang w:bidi="fa-IR"/>
        </w:rPr>
        <w:t xml:space="preserve"> شَيْ‌ءٌ </w:t>
      </w:r>
      <w:r w:rsidRPr="00A91B96">
        <w:rPr>
          <w:rStyle w:val="libFootnotenumChar"/>
          <w:rtl/>
        </w:rPr>
        <w:t>(16)</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A722B1">
      <w:pPr>
        <w:pStyle w:val="libFootnote0"/>
        <w:rPr>
          <w:rtl/>
          <w:lang w:bidi="fa-IR"/>
        </w:rPr>
      </w:pPr>
      <w:r>
        <w:rPr>
          <w:rtl/>
        </w:rPr>
        <w:t>(1).</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تبيعات</w:t>
      </w:r>
      <w:r w:rsidR="00992664">
        <w:rPr>
          <w:rtl/>
        </w:rPr>
        <w:t xml:space="preserve"> ».</w:t>
      </w:r>
      <w:r w:rsidR="00992664" w:rsidRPr="00020424">
        <w:rPr>
          <w:rtl/>
        </w:rPr>
        <w:t xml:space="preserve"> </w:t>
      </w:r>
      <w:r w:rsidR="00992664" w:rsidRPr="006769D1">
        <w:rPr>
          <w:rtl/>
        </w:rPr>
        <w:t>وفي 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تبائع</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722B1" w:rsidTr="00A722B1">
        <w:tc>
          <w:tcPr>
            <w:tcW w:w="4006" w:type="dxa"/>
          </w:tcPr>
          <w:p w:rsidR="00A722B1" w:rsidRDefault="00A722B1" w:rsidP="00992664">
            <w:pPr>
              <w:pStyle w:val="libFootnote0"/>
              <w:rPr>
                <w:rtl/>
                <w:lang w:bidi="fa-IR"/>
              </w:rPr>
            </w:pPr>
            <w:r>
              <w:rPr>
                <w:rtl/>
              </w:rPr>
              <w:t xml:space="preserve">(2). </w:t>
            </w:r>
            <w:r w:rsidRPr="00020424">
              <w:rPr>
                <w:rtl/>
              </w:rPr>
              <w:t>في « بث ، بر ، بف » : « ثمّ يرجع</w:t>
            </w:r>
            <w:r>
              <w:rPr>
                <w:rtl/>
              </w:rPr>
              <w:t xml:space="preserve"> ».</w:t>
            </w:r>
          </w:p>
        </w:tc>
        <w:tc>
          <w:tcPr>
            <w:tcW w:w="4006" w:type="dxa"/>
          </w:tcPr>
          <w:p w:rsidR="00A722B1" w:rsidRDefault="00A722B1" w:rsidP="00992664">
            <w:pPr>
              <w:pStyle w:val="libFootnote0"/>
              <w:rPr>
                <w:rtl/>
                <w:lang w:bidi="fa-IR"/>
              </w:rPr>
            </w:pPr>
            <w:r>
              <w:rPr>
                <w:rtl/>
              </w:rPr>
              <w:t xml:space="preserve">(3). </w:t>
            </w:r>
            <w:r w:rsidRPr="00020424">
              <w:rPr>
                <w:rtl/>
              </w:rPr>
              <w:t>في « ى » :</w:t>
            </w:r>
            <w:r>
              <w:rPr>
                <w:rtl/>
              </w:rPr>
              <w:t xml:space="preserve"> - </w:t>
            </w:r>
            <w:r w:rsidRPr="00020424">
              <w:rPr>
                <w:rtl/>
              </w:rPr>
              <w:t>« البقر</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بف » : « إلى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النَّيْفُ » : الزيادة ، يخفّف ويشدّد ، وأصله من الواو ، وكلّ ما زاد على عِقْد فهو نيّف حتّى يبلغ العقد الثاني. راجع : </w:t>
      </w:r>
      <w:r w:rsidR="00992664" w:rsidRPr="0012008A">
        <w:rPr>
          <w:rStyle w:val="libFootnoteBoldChar"/>
          <w:rtl/>
        </w:rPr>
        <w:t>الصحاح</w:t>
      </w:r>
      <w:r w:rsidR="00992664" w:rsidRPr="00020424">
        <w:rPr>
          <w:rtl/>
        </w:rPr>
        <w:t xml:space="preserve"> ، ج 4 ، ص 1436 ؛ </w:t>
      </w:r>
      <w:r w:rsidR="00992664" w:rsidRPr="0012008A">
        <w:rPr>
          <w:rStyle w:val="libFootnoteBoldChar"/>
          <w:rtl/>
        </w:rPr>
        <w:t>النهاية</w:t>
      </w:r>
      <w:r w:rsidR="00992664" w:rsidRPr="00020424">
        <w:rPr>
          <w:rtl/>
        </w:rPr>
        <w:t xml:space="preserve"> ، ج 5 ، ص 141 ( نيف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الكُسُور » : جمع الكَسْر ، والكسر من الحساب : جزء غير تامّ من أجزاء الواحد ، كالنصف والعُشْر والخُمس والتُسْع ، وقيل : هو ما لا يبلغ سهماً تامّاً. راجع : </w:t>
      </w:r>
      <w:r w:rsidR="00992664" w:rsidRPr="00A722B1">
        <w:rPr>
          <w:rStyle w:val="libFootnoteBoldChar"/>
          <w:rtl/>
        </w:rPr>
        <w:t>المصباح المنير</w:t>
      </w:r>
      <w:r w:rsidR="00992664" w:rsidRPr="00020424">
        <w:rPr>
          <w:rtl/>
        </w:rPr>
        <w:t xml:space="preserve"> ، ص 533 ؛ </w:t>
      </w:r>
      <w:r w:rsidR="00992664" w:rsidRPr="00A722B1">
        <w:rPr>
          <w:rStyle w:val="libFootnoteBoldChar"/>
          <w:rtl/>
        </w:rPr>
        <w:t>القاموس المحيط</w:t>
      </w:r>
      <w:r w:rsidR="00992664" w:rsidRPr="00020424">
        <w:rPr>
          <w:rtl/>
        </w:rPr>
        <w:t xml:space="preserve"> ، ج 1 ، ص 654 ( كسر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A722B1">
        <w:rPr>
          <w:rtl/>
        </w:rPr>
        <w:t>الوافي</w:t>
      </w:r>
      <w:r w:rsidR="00992664" w:rsidRPr="00020424">
        <w:rPr>
          <w:rtl/>
        </w:rPr>
        <w:t xml:space="preserve"> : + « السائمة</w:t>
      </w:r>
      <w:r w:rsidR="00992664">
        <w:rPr>
          <w:rtl/>
        </w:rPr>
        <w:t xml:space="preserve"> ».</w:t>
      </w:r>
      <w:r w:rsidR="00992664" w:rsidRPr="00020424">
        <w:rPr>
          <w:rtl/>
        </w:rPr>
        <w:t xml:space="preserve"> والعوامل من البقر : جمع عاملة ، وهي التي يستقى عليها ويُحرَث وتُستعمل في الأشغال ، وهذا الحكم مطّرد في الإبل. راجع : </w:t>
      </w:r>
      <w:r w:rsidR="00992664" w:rsidRPr="0012008A">
        <w:rPr>
          <w:rStyle w:val="libFootnoteBoldChar"/>
          <w:rtl/>
        </w:rPr>
        <w:t>النهاية</w:t>
      </w:r>
      <w:r w:rsidR="00992664" w:rsidRPr="00020424">
        <w:rPr>
          <w:rtl/>
        </w:rPr>
        <w:t xml:space="preserve"> ، ج 3 ، ص 301 ؛ </w:t>
      </w:r>
      <w:r w:rsidR="00992664" w:rsidRPr="00A722B1">
        <w:rPr>
          <w:rStyle w:val="libFootnoteBoldChar"/>
          <w:rtl/>
        </w:rPr>
        <w:t>لسان العرب</w:t>
      </w:r>
      <w:r w:rsidR="00992664" w:rsidRPr="00020424">
        <w:rPr>
          <w:rtl/>
        </w:rPr>
        <w:t xml:space="preserve"> ، ج 11 ، ص 477 ( عمل )</w:t>
      </w:r>
      <w:r w:rsidR="00992664">
        <w:rPr>
          <w:rtl/>
        </w:rPr>
        <w:t>.</w:t>
      </w:r>
    </w:p>
    <w:tbl>
      <w:tblPr>
        <w:tblStyle w:val="TableGrid"/>
        <w:bidiVisual/>
        <w:tblW w:w="0" w:type="auto"/>
        <w:tblLook w:val="04A0" w:firstRow="1" w:lastRow="0" w:firstColumn="1" w:lastColumn="0" w:noHBand="0" w:noVBand="1"/>
      </w:tblPr>
      <w:tblGrid>
        <w:gridCol w:w="4006"/>
        <w:gridCol w:w="4006"/>
      </w:tblGrid>
      <w:tr w:rsidR="00A722B1" w:rsidTr="00A722B1">
        <w:tc>
          <w:tcPr>
            <w:tcW w:w="4006" w:type="dxa"/>
          </w:tcPr>
          <w:p w:rsidR="00A722B1" w:rsidRDefault="00A722B1" w:rsidP="00992664">
            <w:pPr>
              <w:pStyle w:val="libFootnote0"/>
              <w:rPr>
                <w:rtl/>
              </w:rPr>
            </w:pPr>
            <w:r>
              <w:rPr>
                <w:rtl/>
              </w:rPr>
              <w:t xml:space="preserve">(8). </w:t>
            </w:r>
            <w:r w:rsidRPr="00020424">
              <w:rPr>
                <w:rtl/>
              </w:rPr>
              <w:t>في « بخ » :</w:t>
            </w:r>
            <w:r>
              <w:rPr>
                <w:rtl/>
              </w:rPr>
              <w:t xml:space="preserve"> - </w:t>
            </w:r>
            <w:r w:rsidRPr="00020424">
              <w:rPr>
                <w:rtl/>
              </w:rPr>
              <w:t>« شي‌ء</w:t>
            </w:r>
            <w:r>
              <w:rPr>
                <w:rtl/>
              </w:rPr>
              <w:t xml:space="preserve"> ».</w:t>
            </w:r>
          </w:p>
        </w:tc>
        <w:tc>
          <w:tcPr>
            <w:tcW w:w="4006" w:type="dxa"/>
          </w:tcPr>
          <w:p w:rsidR="00A722B1" w:rsidRDefault="00A722B1" w:rsidP="00992664">
            <w:pPr>
              <w:pStyle w:val="libFootnote0"/>
              <w:rPr>
                <w:rtl/>
              </w:rPr>
            </w:pPr>
            <w:r>
              <w:rPr>
                <w:rtl/>
              </w:rPr>
              <w:t xml:space="preserve">(9). </w:t>
            </w:r>
            <w:r w:rsidRPr="00020424">
              <w:rPr>
                <w:rtl/>
              </w:rPr>
              <w:t>في حاشية « بث » : « الصدقات</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وحاشية « بث » : « السائبة</w:t>
      </w:r>
      <w:r w:rsidR="00992664">
        <w:rPr>
          <w:rtl/>
        </w:rPr>
        <w:t xml:space="preserve"> ».</w:t>
      </w:r>
      <w:r w:rsidR="00992664" w:rsidRPr="00020424">
        <w:rPr>
          <w:rtl/>
        </w:rPr>
        <w:t xml:space="preserve"> </w:t>
      </w:r>
      <w:r w:rsidR="00992664">
        <w:rPr>
          <w:rtl/>
        </w:rPr>
        <w:t>و «</w:t>
      </w:r>
      <w:r w:rsidR="00992664" w:rsidRPr="00020424">
        <w:rPr>
          <w:rtl/>
        </w:rPr>
        <w:t xml:space="preserve"> السائمة » : الراعية بنفسها. </w:t>
      </w:r>
      <w:r w:rsidR="00992664" w:rsidRPr="00A722B1">
        <w:rPr>
          <w:rStyle w:val="libFootnoteBoldChar"/>
          <w:rtl/>
        </w:rPr>
        <w:t>المصباح المنير</w:t>
      </w:r>
      <w:r w:rsidR="00992664" w:rsidRPr="00020424">
        <w:rPr>
          <w:rtl/>
        </w:rPr>
        <w:t xml:space="preserve"> ، ص 97 ( سوم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وجبت فيه</w:t>
      </w:r>
      <w:r w:rsidR="00992664">
        <w:rPr>
          <w:rtl/>
        </w:rPr>
        <w:t xml:space="preserve"> ».</w:t>
      </w:r>
      <w:r w:rsidR="00992664" w:rsidRPr="00020424">
        <w:rPr>
          <w:rtl/>
        </w:rPr>
        <w:t xml:space="preserve"> وهذا من تتمّة الحديث الأوّل من باب صدقة الإبل.</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24 ، ح 57 ، معلّقاً عن الكليني. </w:t>
      </w:r>
      <w:r w:rsidR="00992664" w:rsidRPr="00A722B1">
        <w:rPr>
          <w:rStyle w:val="libFootnoteBoldChar"/>
          <w:rtl/>
        </w:rPr>
        <w:t>الخصال</w:t>
      </w:r>
      <w:r w:rsidR="00992664" w:rsidRPr="00020424">
        <w:rPr>
          <w:rtl/>
        </w:rPr>
        <w:t xml:space="preserve"> ، ص 605 ، أبواب الثمانين وما فوقه ، ضمن الحديث الطويل 9 ، بسند آخر عن جعفر بن محمّد </w:t>
      </w:r>
      <w:r w:rsidR="00D64ADA" w:rsidRPr="00D64ADA">
        <w:rPr>
          <w:rStyle w:val="libFootnoteAlaemChar"/>
          <w:rtl/>
        </w:rPr>
        <w:t>عليهما‌السلام</w:t>
      </w:r>
      <w:r w:rsidR="00992664" w:rsidRPr="00020424">
        <w:rPr>
          <w:rtl/>
        </w:rPr>
        <w:t xml:space="preserve"> ، إلى قوله : « فإذا بلغت عشرين ومائة ففي كلّ أربعين مسنّة » مع اختلاف يسير. </w:t>
      </w:r>
      <w:r w:rsidR="00992664" w:rsidRPr="0012008A">
        <w:rPr>
          <w:rStyle w:val="libFootnoteBoldChar"/>
          <w:rtl/>
        </w:rPr>
        <w:t>الفقيه</w:t>
      </w:r>
      <w:r w:rsidR="00992664" w:rsidRPr="00020424">
        <w:rPr>
          <w:rtl/>
        </w:rPr>
        <w:t xml:space="preserve"> ، ج 2 ، ص 26 ، ذيل ح 1606 ، مع اختلاف يسير </w:t>
      </w:r>
      <w:r w:rsidR="00A722B1">
        <w:rPr>
          <w:rFonts w:hint="cs"/>
          <w:rtl/>
        </w:rPr>
        <w:t>.</w:t>
      </w:r>
      <w:r w:rsidR="00992664" w:rsidRPr="0012008A">
        <w:rPr>
          <w:rStyle w:val="libFootnoteBoldChar"/>
          <w:rtl/>
        </w:rPr>
        <w:t>الوافي</w:t>
      </w:r>
      <w:r w:rsidR="00992664" w:rsidRPr="00020424">
        <w:rPr>
          <w:rtl/>
        </w:rPr>
        <w:t xml:space="preserve"> ، ج 10 ، ص 93 ، ح 9219 ؛ </w:t>
      </w:r>
      <w:r w:rsidR="00992664" w:rsidRPr="0012008A">
        <w:rPr>
          <w:rStyle w:val="libFootnoteBoldChar"/>
          <w:rtl/>
        </w:rPr>
        <w:t>الوسائل</w:t>
      </w:r>
      <w:r w:rsidR="00992664" w:rsidRPr="00020424">
        <w:rPr>
          <w:rtl/>
        </w:rPr>
        <w:t xml:space="preserve"> ، ج 9 ، ص 114 ، ح 11647 ، إلى قوله : « ولا على الكسور شي‌ء » ؛ </w:t>
      </w:r>
      <w:r w:rsidR="00992664" w:rsidRPr="00A722B1">
        <w:rPr>
          <w:rStyle w:val="libFootnoteBoldChar"/>
          <w:rtl/>
        </w:rPr>
        <w:t>وفيه</w:t>
      </w:r>
      <w:r w:rsidR="00992664" w:rsidRPr="00020424">
        <w:rPr>
          <w:rtl/>
        </w:rPr>
        <w:t xml:space="preserve"> ، ص 119 ، ح 11654 ، من قوله : « ليس على النيّف شي‌ء » إلى قوله : « إنّما الصدقة على السائمة الراعية</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السند معلّق على سابقه. ويروي عن زرارة ، عليّ بن إبراهيم عن أبيه عن حمّاد بن عيسى عن حريز.</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بس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A722B1">
      <w:pPr>
        <w:pStyle w:val="libFootnote0"/>
        <w:rPr>
          <w:rtl/>
          <w:lang w:bidi="fa-IR"/>
        </w:rPr>
      </w:pPr>
      <w:r>
        <w:rPr>
          <w:rtl/>
        </w:rPr>
        <w:t>(15).</w:t>
      </w:r>
      <w:r w:rsidR="0014403D">
        <w:rPr>
          <w:rtl/>
        </w:rPr>
        <w:t xml:space="preserve"> </w:t>
      </w:r>
      <w:r w:rsidR="00992664" w:rsidRPr="00020424">
        <w:rPr>
          <w:rtl/>
        </w:rPr>
        <w:t xml:space="preserve">« الجَواميس » : جمع الجاموس ، وهو معرّب گاوميش. راجع : </w:t>
      </w:r>
      <w:r w:rsidR="00992664" w:rsidRPr="0012008A">
        <w:rPr>
          <w:rStyle w:val="libFootnoteBoldChar"/>
          <w:rtl/>
        </w:rPr>
        <w:t>الصحاح</w:t>
      </w:r>
      <w:r w:rsidR="00992664" w:rsidRPr="00020424">
        <w:rPr>
          <w:rtl/>
        </w:rPr>
        <w:t xml:space="preserve"> ، ج 3 ، ص 915 ؛ </w:t>
      </w:r>
      <w:r w:rsidR="00992664" w:rsidRPr="00A722B1">
        <w:rPr>
          <w:rStyle w:val="libFootnoteBoldChar"/>
          <w:rtl/>
        </w:rPr>
        <w:t>المصباح المنير</w:t>
      </w:r>
      <w:r w:rsidR="00992664" w:rsidRPr="00020424">
        <w:rPr>
          <w:rtl/>
        </w:rPr>
        <w:t xml:space="preserve"> ، ج 1 ، ص 737 ( جمس )</w:t>
      </w:r>
      <w:r w:rsidR="00992664">
        <w:rPr>
          <w:rtl/>
        </w:rPr>
        <w:t>.</w:t>
      </w:r>
      <w:r w:rsidR="00A722B1">
        <w:rPr>
          <w:rFonts w:hint="cs"/>
          <w:rtl/>
        </w:rPr>
        <w:t xml:space="preserve">                             </w:t>
      </w:r>
      <w:r>
        <w:rPr>
          <w:rtl/>
        </w:rPr>
        <w:t>(16).</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 زكاة</w:t>
      </w:r>
      <w:r w:rsidR="00992664">
        <w:rPr>
          <w:rtl/>
        </w:rPr>
        <w:t xml:space="preserve"> ».</w:t>
      </w:r>
    </w:p>
    <w:p w:rsidR="00795177" w:rsidRDefault="00795177" w:rsidP="00795177">
      <w:pPr>
        <w:pStyle w:val="libNormal"/>
        <w:rPr>
          <w:rtl/>
          <w:lang w:bidi="fa-IR"/>
        </w:rPr>
      </w:pPr>
      <w:r>
        <w:rPr>
          <w:rtl/>
          <w:lang w:bidi="fa-IR"/>
        </w:rPr>
        <w:lastRenderedPageBreak/>
        <w:br w:type="page"/>
      </w:r>
    </w:p>
    <w:p w:rsidR="00992664" w:rsidRPr="00020424" w:rsidRDefault="00992664" w:rsidP="00992664">
      <w:pPr>
        <w:pStyle w:val="libNormal"/>
        <w:rPr>
          <w:rtl/>
          <w:lang w:bidi="fa-IR"/>
        </w:rPr>
      </w:pPr>
      <w:r w:rsidRPr="00020424">
        <w:rPr>
          <w:rtl/>
          <w:lang w:bidi="fa-IR"/>
        </w:rPr>
        <w:lastRenderedPageBreak/>
        <w:t>قَالَ : « مِثْلُ مَا فِي الْبَقَرِ</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Heading2Center"/>
        <w:rPr>
          <w:rtl/>
          <w:lang w:bidi="fa-IR"/>
        </w:rPr>
      </w:pPr>
      <w:bookmarkStart w:id="75" w:name="_Toc345172741"/>
      <w:bookmarkStart w:id="76" w:name="_Toc464562558"/>
      <w:bookmarkStart w:id="77" w:name="_Toc44599861"/>
      <w:r w:rsidRPr="00020424">
        <w:rPr>
          <w:rtl/>
          <w:lang w:bidi="fa-IR"/>
        </w:rPr>
        <w:t>21</w:t>
      </w:r>
      <w:r>
        <w:rPr>
          <w:rtl/>
          <w:lang w:bidi="fa-IR"/>
        </w:rPr>
        <w:t xml:space="preserve"> </w:t>
      </w:r>
      <w:r w:rsidR="009B673F">
        <w:rPr>
          <w:rtl/>
          <w:lang w:bidi="fa-IR"/>
        </w:rPr>
        <w:t>-</w:t>
      </w:r>
      <w:r>
        <w:rPr>
          <w:rtl/>
          <w:lang w:bidi="fa-IR"/>
        </w:rPr>
        <w:t xml:space="preserve"> </w:t>
      </w:r>
      <w:r w:rsidRPr="00020424">
        <w:rPr>
          <w:rtl/>
          <w:lang w:bidi="fa-IR"/>
        </w:rPr>
        <w:t>بَابُ صَدَقَةِ الْغَنَمِ‌</w:t>
      </w:r>
      <w:bookmarkEnd w:id="75"/>
      <w:bookmarkEnd w:id="76"/>
      <w:bookmarkEnd w:id="77"/>
    </w:p>
    <w:p w:rsidR="00992664" w:rsidRPr="00020424" w:rsidRDefault="00992664" w:rsidP="00992664">
      <w:pPr>
        <w:pStyle w:val="libNormal"/>
        <w:rPr>
          <w:rtl/>
          <w:lang w:bidi="fa-IR"/>
        </w:rPr>
      </w:pPr>
      <w:r w:rsidRPr="00CE46B3">
        <w:rPr>
          <w:rtl/>
        </w:rPr>
        <w:t>5862</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(2)</w:t>
      </w:r>
      <w:r w:rsidRPr="00020424">
        <w:rPr>
          <w:rtl/>
          <w:lang w:bidi="fa-IR"/>
        </w:rPr>
        <w:t xml:space="preserve"> ، عَنْ حَرِيزٍ ، عَنْ زُرَارَةَ وَمُحَمَّدِ بْنِ مُسْلِمٍ وَأَبِي بَصِيرٍ وَبُرَيْدٍ </w:t>
      </w:r>
      <w:r w:rsidRPr="00A91B96">
        <w:rPr>
          <w:rStyle w:val="libFootnotenumChar"/>
          <w:rtl/>
        </w:rPr>
        <w:t>(3)</w:t>
      </w:r>
      <w:r w:rsidRPr="00020424">
        <w:rPr>
          <w:rtl/>
          <w:lang w:bidi="fa-IR"/>
        </w:rPr>
        <w:t xml:space="preserve"> وَالْفُضَيْلِ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w:t>
      </w:r>
      <w:r w:rsidRPr="00A91B96">
        <w:rPr>
          <w:rStyle w:val="libFootnotenumChar"/>
          <w:rtl/>
        </w:rPr>
        <w:t>(4)</w:t>
      </w:r>
      <w:r w:rsidRPr="00020424">
        <w:rPr>
          <w:rtl/>
          <w:lang w:bidi="fa-IR"/>
        </w:rPr>
        <w:t xml:space="preserve"> : « فِي الشَّاةِ فِي كُلِّ أَرْبَعِينَ شَاةً شَاةٌ ، وَلَيْسَ فِيمَا دُونَ الْأَرْبَعِينَ شَيْ‌ءٌ ، ثُمَّ لَيْسَ فِيهَا شَيْ‌ءٌ حَتّى تَبْلُغَ عِشْرِينَ وَمِائَةً ، فَإِذَا بَلَغَتْ عِشْرِينَ وَمِائَةً </w:t>
      </w:r>
      <w:r w:rsidRPr="00A91B96">
        <w:rPr>
          <w:rStyle w:val="libFootnotenumChar"/>
          <w:rtl/>
        </w:rPr>
        <w:t>(5)</w:t>
      </w:r>
      <w:r w:rsidRPr="00020424">
        <w:rPr>
          <w:rtl/>
          <w:lang w:bidi="fa-IR"/>
        </w:rPr>
        <w:t xml:space="preserve"> ، فَفِيهَا مِثْلُ ذلِكَ شَاةٌ وَاحِدَةٌ ، فَإِذَا زَادَتْ عَلى مِائَةٍ وَعِشْرِينَ ، فَفِيهَا شَاتَانِ ، وَلَيْسَ فِيهَا </w:t>
      </w:r>
      <w:r w:rsidRPr="00A91B96">
        <w:rPr>
          <w:rStyle w:val="libFootnotenumChar"/>
          <w:rtl/>
        </w:rPr>
        <w:t>(6)</w:t>
      </w:r>
      <w:r w:rsidRPr="00020424">
        <w:rPr>
          <w:rtl/>
          <w:lang w:bidi="fa-IR"/>
        </w:rPr>
        <w:t xml:space="preserve"> أَكْثَرُ مِنْ شَاتَيْنِ حَتّى تَبْلُغَ مِائَتَيْنِ ، فَإِذَا بَلَغَتِ الْمِائَتَيْنِ </w:t>
      </w:r>
      <w:r w:rsidRPr="00A91B96">
        <w:rPr>
          <w:rStyle w:val="libFootnotenumChar"/>
          <w:rtl/>
        </w:rPr>
        <w:t>(7)</w:t>
      </w:r>
      <w:r w:rsidRPr="00020424">
        <w:rPr>
          <w:rtl/>
          <w:lang w:bidi="fa-IR"/>
        </w:rPr>
        <w:t xml:space="preserve"> ، فَفِيهَا مِثْلُ ذلِكَ ، فَإِذَا زَادَتْ عَلَى الْمِائَتَيْنِ شَاةٌ وَاحِدَةٌ ، فَفِيهَا ثَلَاثُ شِيَاهٍ ، ثُمَّ لَيْسَ فِيهَا شَيْ‌ءٌ </w:t>
      </w:r>
      <w:r w:rsidRPr="00A91B96">
        <w:rPr>
          <w:rStyle w:val="libFootnotenumChar"/>
          <w:rtl/>
        </w:rPr>
        <w:t>(8)</w:t>
      </w:r>
      <w:r w:rsidRPr="00020424">
        <w:rPr>
          <w:rtl/>
          <w:lang w:bidi="fa-IR"/>
        </w:rPr>
        <w:t xml:space="preserve"> أَكْثَرُ مِنْ ذلِكَ حَتّى تَبْلُغَ ثَلَاثَمِائَةٍ ، فَإِذَا بَلَغَتْ ثَلَاثَمِائَةٍ ، فَفِيهَا مِثْلُ ذلِكَ ثَلَاثُ شِيَاهٍ ، فَإِذَا زَادَتْ وَاحِدَةٌ ، فَفِيهَا أَرْبَعُ شِيَاهٍ </w:t>
      </w:r>
      <w:r w:rsidRPr="00A91B96">
        <w:rPr>
          <w:rStyle w:val="libFootnotenumChar"/>
          <w:rtl/>
        </w:rPr>
        <w:t>(9)</w:t>
      </w:r>
      <w:r w:rsidRPr="00020424">
        <w:rPr>
          <w:rtl/>
          <w:lang w:bidi="fa-IR"/>
        </w:rPr>
        <w:t xml:space="preserve"> حَتّى تَبْلُغَ أَرْبَعَمِائَةٍ ، فَإِذَا </w:t>
      </w:r>
      <w:r w:rsidRPr="00A91B96">
        <w:rPr>
          <w:rStyle w:val="libFootnotenumChar"/>
          <w:rtl/>
        </w:rPr>
        <w:t>(10)</w:t>
      </w:r>
      <w:r w:rsidRPr="00020424">
        <w:rPr>
          <w:rtl/>
          <w:lang w:bidi="fa-IR"/>
        </w:rPr>
        <w:t xml:space="preserve"> تَمَّتْ </w:t>
      </w:r>
      <w:r w:rsidRPr="00A91B96">
        <w:rPr>
          <w:rStyle w:val="libFootnotenumChar"/>
          <w:rtl/>
        </w:rPr>
        <w:t>(11)</w:t>
      </w:r>
      <w:r w:rsidRPr="00020424">
        <w:rPr>
          <w:rtl/>
          <w:lang w:bidi="fa-IR"/>
        </w:rPr>
        <w:t xml:space="preserve"> أَرْبَعُمِائَةٍ ، كَانَ عَلى </w:t>
      </w:r>
      <w:r w:rsidRPr="00A91B96">
        <w:rPr>
          <w:rStyle w:val="libFootnotenumChar"/>
          <w:rtl/>
        </w:rPr>
        <w:t>(12)</w:t>
      </w:r>
      <w:r w:rsidRPr="00020424">
        <w:rPr>
          <w:rtl/>
          <w:lang w:bidi="fa-IR"/>
        </w:rPr>
        <w:t xml:space="preserve"> كُلِّ مِائَةٍ شَاةٌ </w:t>
      </w:r>
      <w:r w:rsidRPr="00A91B96">
        <w:rPr>
          <w:rStyle w:val="libFootnotenumChar"/>
          <w:rtl/>
        </w:rPr>
        <w:t>(13)</w:t>
      </w:r>
      <w:r w:rsidRPr="00020424">
        <w:rPr>
          <w:rtl/>
          <w:lang w:bidi="fa-IR"/>
        </w:rPr>
        <w:t xml:space="preserve"> ، وَسَقَطَ </w:t>
      </w:r>
      <w:r w:rsidRPr="00A91B96">
        <w:rPr>
          <w:rStyle w:val="libFootnotenumChar"/>
          <w:rtl/>
        </w:rPr>
        <w:t>(14)</w:t>
      </w:r>
      <w:r w:rsidRPr="00020424">
        <w:rPr>
          <w:rtl/>
          <w:lang w:bidi="fa-IR"/>
        </w:rPr>
        <w:t xml:space="preserve"> الْأَمْرُ الْأَوَّلُ ، وَلَيْسَ عَلى مَا دُونَ الْمِائَةِ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26 ، ح 1607 ، معلّقاً عن حريز ، عن زرارة. </w:t>
      </w:r>
      <w:r w:rsidR="00992664" w:rsidRPr="0012008A">
        <w:rPr>
          <w:rStyle w:val="libFootnoteBoldChar"/>
          <w:rtl/>
        </w:rPr>
        <w:t>المقنعة</w:t>
      </w:r>
      <w:r w:rsidR="00992664" w:rsidRPr="00020424">
        <w:rPr>
          <w:rtl/>
        </w:rPr>
        <w:t xml:space="preserve"> ، ص 258 ، مرسلاً عن زرارة </w:t>
      </w:r>
      <w:r w:rsidR="00556921">
        <w:rPr>
          <w:rFonts w:hint="cs"/>
          <w:rtl/>
        </w:rPr>
        <w:t>.</w:t>
      </w:r>
      <w:r w:rsidR="00992664" w:rsidRPr="0012008A">
        <w:rPr>
          <w:rStyle w:val="libFootnoteBoldChar"/>
          <w:rtl/>
        </w:rPr>
        <w:t>الوافي</w:t>
      </w:r>
      <w:r w:rsidR="00992664" w:rsidRPr="00020424">
        <w:rPr>
          <w:rtl/>
        </w:rPr>
        <w:t xml:space="preserve"> ، ج 10 ، ص 96 ، ح 9220 ؛ </w:t>
      </w:r>
      <w:r w:rsidR="00992664" w:rsidRPr="0012008A">
        <w:rPr>
          <w:rStyle w:val="libFootnoteBoldChar"/>
          <w:rtl/>
        </w:rPr>
        <w:t>الوسائل</w:t>
      </w:r>
      <w:r w:rsidR="00992664" w:rsidRPr="00020424">
        <w:rPr>
          <w:rtl/>
        </w:rPr>
        <w:t xml:space="preserve"> ، ج 9 ، ص 115 ، ح 11648.</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B50394">
        <w:rPr>
          <w:rtl/>
        </w:rPr>
        <w:t>والوسائل والتهذيب ،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556921">
        <w:rPr>
          <w:rtl/>
        </w:rPr>
        <w:t>التهذيب</w:t>
      </w:r>
      <w:r w:rsidR="00992664" w:rsidRPr="00020424">
        <w:rPr>
          <w:rtl/>
        </w:rPr>
        <w:t xml:space="preserve"> ، </w:t>
      </w:r>
      <w:r w:rsidR="00992664" w:rsidRPr="00FD6221">
        <w:rPr>
          <w:rStyle w:val="libFootnoteBoldChar"/>
          <w:rtl/>
        </w:rPr>
        <w:t>والاستبصار</w:t>
      </w:r>
      <w:r w:rsidR="00992664" w:rsidRPr="00020424">
        <w:rPr>
          <w:rtl/>
        </w:rPr>
        <w:t xml:space="preserve"> : + « العجلي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556921">
        <w:rPr>
          <w:rtl/>
        </w:rPr>
        <w:t>الوافي</w:t>
      </w:r>
      <w:r w:rsidR="00992664" w:rsidRPr="00020424">
        <w:rPr>
          <w:rtl/>
        </w:rPr>
        <w:t xml:space="preserve"> : + « وقالا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جس » :</w:t>
      </w:r>
      <w:r w:rsidR="00992664">
        <w:rPr>
          <w:rtl/>
        </w:rPr>
        <w:t xml:space="preserve"> </w:t>
      </w:r>
      <w:r w:rsidR="009B673F">
        <w:rPr>
          <w:rtl/>
        </w:rPr>
        <w:t>-</w:t>
      </w:r>
      <w:r w:rsidR="00992664">
        <w:rPr>
          <w:rtl/>
        </w:rPr>
        <w:t xml:space="preserve"> </w:t>
      </w:r>
      <w:r w:rsidR="00992664" w:rsidRPr="00020424">
        <w:rPr>
          <w:rtl/>
        </w:rPr>
        <w:t>« فإذا بلغت عشرين ومائة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56921" w:rsidTr="00556921">
        <w:tc>
          <w:tcPr>
            <w:tcW w:w="4006" w:type="dxa"/>
          </w:tcPr>
          <w:p w:rsidR="00556921" w:rsidRDefault="00556921" w:rsidP="00992664">
            <w:pPr>
              <w:pStyle w:val="libFootnote0"/>
              <w:rPr>
                <w:rtl/>
              </w:rPr>
            </w:pPr>
            <w:r>
              <w:rPr>
                <w:rtl/>
              </w:rPr>
              <w:t>(6). في «بر</w:t>
            </w:r>
            <w:r w:rsidRPr="00020424">
              <w:rPr>
                <w:rtl/>
              </w:rPr>
              <w:t>» :</w:t>
            </w:r>
            <w:r>
              <w:rPr>
                <w:rtl/>
              </w:rPr>
              <w:t xml:space="preserve"> - «</w:t>
            </w:r>
            <w:r w:rsidRPr="00020424">
              <w:rPr>
                <w:rtl/>
              </w:rPr>
              <w:t>مثل ذلك شاة</w:t>
            </w:r>
            <w:r>
              <w:rPr>
                <w:rtl/>
              </w:rPr>
              <w:t>-</w:t>
            </w:r>
            <w:r w:rsidRPr="00020424">
              <w:rPr>
                <w:rtl/>
              </w:rPr>
              <w:t>إلى</w:t>
            </w:r>
            <w:r>
              <w:rPr>
                <w:rtl/>
              </w:rPr>
              <w:t>-</w:t>
            </w:r>
            <w:r w:rsidRPr="00020424">
              <w:rPr>
                <w:rtl/>
              </w:rPr>
              <w:t>وليس فيها</w:t>
            </w:r>
            <w:r>
              <w:rPr>
                <w:rtl/>
              </w:rPr>
              <w:t xml:space="preserve"> ».</w:t>
            </w:r>
          </w:p>
        </w:tc>
        <w:tc>
          <w:tcPr>
            <w:tcW w:w="4006" w:type="dxa"/>
          </w:tcPr>
          <w:p w:rsidR="00556921" w:rsidRDefault="00556921" w:rsidP="00992664">
            <w:pPr>
              <w:pStyle w:val="libFootnote0"/>
              <w:rPr>
                <w:rtl/>
              </w:rPr>
            </w:pPr>
            <w:r>
              <w:rPr>
                <w:rtl/>
              </w:rPr>
              <w:t xml:space="preserve">(7). </w:t>
            </w:r>
            <w:r w:rsidRPr="00020424">
              <w:rPr>
                <w:rtl/>
              </w:rPr>
              <w:t>في « بس » : « مائتين</w:t>
            </w:r>
            <w:r>
              <w:rPr>
                <w:rtl/>
              </w:rPr>
              <w:t xml:space="preserve"> ».</w:t>
            </w:r>
          </w:p>
        </w:tc>
      </w:tr>
      <w:tr w:rsidR="00556921" w:rsidTr="00556921">
        <w:tc>
          <w:tcPr>
            <w:tcW w:w="4006" w:type="dxa"/>
          </w:tcPr>
          <w:p w:rsidR="00556921" w:rsidRDefault="00556921" w:rsidP="00992664">
            <w:pPr>
              <w:pStyle w:val="libFootnote0"/>
              <w:rPr>
                <w:rtl/>
              </w:rPr>
            </w:pPr>
            <w:r>
              <w:rPr>
                <w:rtl/>
              </w:rPr>
              <w:t xml:space="preserve">(8).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شي‌ء</w:t>
            </w:r>
            <w:r>
              <w:rPr>
                <w:rtl/>
              </w:rPr>
              <w:t xml:space="preserve"> ».</w:t>
            </w:r>
          </w:p>
        </w:tc>
        <w:tc>
          <w:tcPr>
            <w:tcW w:w="4006" w:type="dxa"/>
          </w:tcPr>
          <w:p w:rsidR="00556921" w:rsidRDefault="00556921" w:rsidP="00992664">
            <w:pPr>
              <w:pStyle w:val="libFootnote0"/>
              <w:rPr>
                <w:rtl/>
              </w:rPr>
            </w:pPr>
            <w:r>
              <w:rPr>
                <w:rtl/>
              </w:rPr>
              <w:t xml:space="preserve">(9). </w:t>
            </w:r>
            <w:r w:rsidRPr="00020424">
              <w:rPr>
                <w:rtl/>
              </w:rPr>
              <w:t xml:space="preserve">في </w:t>
            </w:r>
            <w:r w:rsidRPr="00556921">
              <w:rPr>
                <w:rtl/>
              </w:rPr>
              <w:t>الوافي</w:t>
            </w:r>
            <w:r w:rsidRPr="00020424">
              <w:rPr>
                <w:rtl/>
              </w:rPr>
              <w:t xml:space="preserve"> :</w:t>
            </w:r>
            <w:r>
              <w:rPr>
                <w:rtl/>
              </w:rPr>
              <w:t xml:space="preserve"> - </w:t>
            </w:r>
            <w:r w:rsidRPr="00020424">
              <w:rPr>
                <w:rtl/>
              </w:rPr>
              <w:t>« شياه</w:t>
            </w:r>
            <w:r>
              <w:rPr>
                <w:rtl/>
              </w:rPr>
              <w:t xml:space="preserve"> ».</w:t>
            </w:r>
          </w:p>
        </w:tc>
      </w:tr>
      <w:tr w:rsidR="00556921" w:rsidTr="00556921">
        <w:tc>
          <w:tcPr>
            <w:tcW w:w="4006" w:type="dxa"/>
          </w:tcPr>
          <w:p w:rsidR="00556921" w:rsidRDefault="00556921" w:rsidP="00992664">
            <w:pPr>
              <w:pStyle w:val="libFootnote0"/>
              <w:rPr>
                <w:rtl/>
              </w:rPr>
            </w:pPr>
            <w:r>
              <w:rPr>
                <w:rtl/>
              </w:rPr>
              <w:t>(10). في «ظ ،ى ،بح ،بخ ،</w:t>
            </w:r>
            <w:r w:rsidRPr="00020424">
              <w:rPr>
                <w:rtl/>
              </w:rPr>
              <w:t>بر ،</w:t>
            </w:r>
            <w:r>
              <w:rPr>
                <w:rtl/>
              </w:rPr>
              <w:t>بف ،جن»: «</w:t>
            </w:r>
            <w:r w:rsidRPr="00020424">
              <w:rPr>
                <w:rtl/>
              </w:rPr>
              <w:t>فإن</w:t>
            </w:r>
            <w:r>
              <w:rPr>
                <w:rtl/>
              </w:rPr>
              <w:t>».</w:t>
            </w:r>
          </w:p>
        </w:tc>
        <w:tc>
          <w:tcPr>
            <w:tcW w:w="4006" w:type="dxa"/>
          </w:tcPr>
          <w:p w:rsidR="00556921" w:rsidRDefault="00556921" w:rsidP="00992664">
            <w:pPr>
              <w:pStyle w:val="libFootnote0"/>
              <w:rPr>
                <w:rtl/>
              </w:rPr>
            </w:pPr>
            <w:r>
              <w:rPr>
                <w:rtl/>
              </w:rPr>
              <w:t xml:space="preserve">(11). </w:t>
            </w:r>
            <w:r w:rsidRPr="00020424">
              <w:rPr>
                <w:rtl/>
              </w:rPr>
              <w:t>في « بث » : « بلغت</w:t>
            </w:r>
            <w:r>
              <w:rPr>
                <w:rtl/>
              </w:rPr>
              <w:t xml:space="preserve"> ».</w:t>
            </w:r>
          </w:p>
        </w:tc>
      </w:tr>
      <w:tr w:rsidR="00556921" w:rsidTr="00556921">
        <w:tc>
          <w:tcPr>
            <w:tcW w:w="4006" w:type="dxa"/>
          </w:tcPr>
          <w:p w:rsidR="00556921" w:rsidRDefault="00556921" w:rsidP="00992664">
            <w:pPr>
              <w:pStyle w:val="libFootnote0"/>
              <w:rPr>
                <w:rtl/>
              </w:rPr>
            </w:pPr>
            <w:r>
              <w:rPr>
                <w:rtl/>
              </w:rPr>
              <w:t xml:space="preserve">(12). </w:t>
            </w:r>
            <w:r w:rsidRPr="00020424">
              <w:rPr>
                <w:rtl/>
              </w:rPr>
              <w:t>في حاشية « بث » : « في</w:t>
            </w:r>
            <w:r>
              <w:rPr>
                <w:rtl/>
              </w:rPr>
              <w:t xml:space="preserve"> ».</w:t>
            </w:r>
          </w:p>
        </w:tc>
        <w:tc>
          <w:tcPr>
            <w:tcW w:w="4006" w:type="dxa"/>
          </w:tcPr>
          <w:p w:rsidR="00556921" w:rsidRDefault="00556921" w:rsidP="00992664">
            <w:pPr>
              <w:pStyle w:val="libFootnote0"/>
              <w:rPr>
                <w:rtl/>
              </w:rPr>
            </w:pPr>
            <w:r>
              <w:rPr>
                <w:rtl/>
              </w:rPr>
              <w:t>(13). في «بث ،بح ،بخ ،بر،</w:t>
            </w:r>
            <w:r w:rsidRPr="00020424">
              <w:rPr>
                <w:rtl/>
              </w:rPr>
              <w:t>بس » : + « شاة</w:t>
            </w:r>
            <w:r>
              <w:rPr>
                <w:rtl/>
              </w:rPr>
              <w:t xml:space="preserve"> ».</w:t>
            </w:r>
          </w:p>
        </w:tc>
      </w:tr>
      <w:tr w:rsidR="00556921" w:rsidTr="00556921">
        <w:tc>
          <w:tcPr>
            <w:tcW w:w="4006" w:type="dxa"/>
          </w:tcPr>
          <w:p w:rsidR="00556921" w:rsidRDefault="00556921" w:rsidP="00992664">
            <w:pPr>
              <w:pStyle w:val="libFootnote0"/>
              <w:rPr>
                <w:rtl/>
              </w:rPr>
            </w:pPr>
            <w:r>
              <w:rPr>
                <w:rtl/>
              </w:rPr>
              <w:t xml:space="preserve">(14). </w:t>
            </w:r>
            <w:r w:rsidRPr="00020424">
              <w:rPr>
                <w:rtl/>
              </w:rPr>
              <w:t>في « بث » : « ويسقط</w:t>
            </w:r>
            <w:r>
              <w:rPr>
                <w:rtl/>
              </w:rPr>
              <w:t xml:space="preserve"> ».</w:t>
            </w:r>
          </w:p>
        </w:tc>
        <w:tc>
          <w:tcPr>
            <w:tcW w:w="4006" w:type="dxa"/>
          </w:tcPr>
          <w:p w:rsidR="00556921" w:rsidRDefault="00556921" w:rsidP="00992664">
            <w:pPr>
              <w:pStyle w:val="libFootnote0"/>
              <w:rPr>
                <w:rtl/>
              </w:rPr>
            </w:pPr>
            <w:r>
              <w:rPr>
                <w:rtl/>
              </w:rPr>
              <w:t xml:space="preserve">(15). </w:t>
            </w:r>
            <w:r w:rsidRPr="00020424">
              <w:rPr>
                <w:rtl/>
              </w:rPr>
              <w:t>في « بس » : « الثانية</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556921">
      <w:pPr>
        <w:pStyle w:val="libNormal0"/>
        <w:rPr>
          <w:rtl/>
          <w:lang w:bidi="fa-IR"/>
        </w:rPr>
      </w:pPr>
      <w:r w:rsidRPr="00020424">
        <w:rPr>
          <w:rtl/>
          <w:lang w:bidi="fa-IR"/>
        </w:rPr>
        <w:lastRenderedPageBreak/>
        <w:t xml:space="preserve">بَعْدَ ذلِكَ شَيْ‌ءٌ ، وَلَيْسَ فِي </w:t>
      </w:r>
      <w:r w:rsidRPr="00A91B96">
        <w:rPr>
          <w:rStyle w:val="libFootnotenumChar"/>
          <w:rtl/>
        </w:rPr>
        <w:t>(1)</w:t>
      </w:r>
      <w:r w:rsidRPr="00020424">
        <w:rPr>
          <w:rtl/>
          <w:lang w:bidi="fa-IR"/>
        </w:rPr>
        <w:t xml:space="preserve"> النَّيِّفِ شَيْ‌ءٌ</w:t>
      </w:r>
      <w:r>
        <w:rPr>
          <w:rtl/>
          <w:lang w:bidi="fa-IR"/>
        </w:rPr>
        <w:t xml:space="preserve"> ».</w:t>
      </w:r>
    </w:p>
    <w:p w:rsidR="00992664" w:rsidRPr="00020424" w:rsidRDefault="00992664" w:rsidP="009C7F4D">
      <w:pPr>
        <w:pStyle w:val="libNormal"/>
        <w:rPr>
          <w:rtl/>
          <w:lang w:bidi="fa-IR"/>
        </w:rPr>
      </w:pPr>
      <w:r w:rsidRPr="00020424">
        <w:rPr>
          <w:rtl/>
          <w:lang w:bidi="fa-IR"/>
        </w:rPr>
        <w:t xml:space="preserve">وَقَالَا : « كُلُّ مَا </w:t>
      </w:r>
      <w:r w:rsidRPr="00A91B96">
        <w:rPr>
          <w:rStyle w:val="libFootnotenumChar"/>
          <w:rtl/>
        </w:rPr>
        <w:t>(2)</w:t>
      </w:r>
      <w:r w:rsidRPr="00020424">
        <w:rPr>
          <w:rtl/>
          <w:lang w:bidi="fa-IR"/>
        </w:rPr>
        <w:t xml:space="preserve"> لَمْ يَحُلْ </w:t>
      </w:r>
      <w:r w:rsidRPr="00A91B96">
        <w:rPr>
          <w:rStyle w:val="libFootnotenumChar"/>
          <w:rtl/>
        </w:rPr>
        <w:t>(3)</w:t>
      </w:r>
      <w:r w:rsidRPr="00020424">
        <w:rPr>
          <w:rtl/>
          <w:lang w:bidi="fa-IR"/>
        </w:rPr>
        <w:t xml:space="preserve"> عَلَيْهِ الْحَوْلُ </w:t>
      </w:r>
      <w:r w:rsidRPr="00A91B96">
        <w:rPr>
          <w:rStyle w:val="libFootnotenumChar"/>
          <w:rtl/>
        </w:rPr>
        <w:t>(4)</w:t>
      </w:r>
      <w:r w:rsidRPr="00020424">
        <w:rPr>
          <w:rtl/>
          <w:lang w:bidi="fa-IR"/>
        </w:rPr>
        <w:t xml:space="preserve"> عِنْدَ رَبِّهِ </w:t>
      </w:r>
      <w:r w:rsidRPr="00A91B96">
        <w:rPr>
          <w:rStyle w:val="libFootnotenumChar"/>
          <w:rtl/>
        </w:rPr>
        <w:t>(5)</w:t>
      </w:r>
      <w:r w:rsidRPr="00020424">
        <w:rPr>
          <w:rtl/>
          <w:lang w:bidi="fa-IR"/>
        </w:rPr>
        <w:t xml:space="preserve"> ، فَلَا شَيْ‌ءَ عَلَيْهِ </w:t>
      </w:r>
      <w:r w:rsidRPr="00A91B96">
        <w:rPr>
          <w:rStyle w:val="libFootnotenumChar"/>
          <w:rtl/>
        </w:rPr>
        <w:t>(6)</w:t>
      </w:r>
      <w:r w:rsidRPr="00020424">
        <w:rPr>
          <w:rtl/>
          <w:lang w:bidi="fa-IR"/>
        </w:rPr>
        <w:t xml:space="preserve"> ، فَإِذَا حَالَ عَلَيْهِ الْحَوْلُ وَجَبَ عَلَيْهِ » </w:t>
      </w:r>
      <w:r w:rsidRPr="00A91B96">
        <w:rPr>
          <w:rStyle w:val="libFootnotenumChar"/>
          <w:rtl/>
        </w:rPr>
        <w:t>(7)</w:t>
      </w:r>
      <w:r w:rsidR="009C7F4D">
        <w:rPr>
          <w:rFonts w:hint="cs"/>
          <w:rtl/>
          <w:lang w:bidi="fa-IR"/>
        </w:rPr>
        <w:t>.</w:t>
      </w:r>
      <w:r w:rsidRPr="00A91B96">
        <w:rPr>
          <w:rStyle w:val="libFootnotenumChar"/>
          <w:rtl/>
        </w:rPr>
        <w:t>(8)</w:t>
      </w:r>
      <w:r w:rsidRPr="00020424">
        <w:rPr>
          <w:rtl/>
          <w:lang w:bidi="fa-IR"/>
        </w:rPr>
        <w:t xml:space="preserve"> ‌</w:t>
      </w:r>
    </w:p>
    <w:p w:rsidR="009C7F4D" w:rsidRDefault="00992664" w:rsidP="009C7F4D">
      <w:pPr>
        <w:pStyle w:val="libNormal"/>
        <w:rPr>
          <w:rtl/>
          <w:lang w:bidi="fa-IR"/>
        </w:rPr>
      </w:pPr>
      <w:r w:rsidRPr="00CE46B3">
        <w:rPr>
          <w:rtl/>
        </w:rPr>
        <w:t>5863</w:t>
      </w:r>
      <w:r w:rsidRPr="001155DE">
        <w:rPr>
          <w:rStyle w:val="libBold2Char"/>
          <w:rtl/>
        </w:rPr>
        <w:t xml:space="preserve"> / 2.</w:t>
      </w:r>
      <w:r w:rsidRPr="00020424">
        <w:rPr>
          <w:rtl/>
          <w:lang w:bidi="fa-IR"/>
        </w:rPr>
        <w:t xml:space="preserve"> مُحَمَّدُ بْنُ إِسْمَاعِيلَ ، عَنِ الْفَضْلِ بْنِ شَاذَانَ ؛</w:t>
      </w:r>
    </w:p>
    <w:p w:rsidR="00992664" w:rsidRPr="00020424" w:rsidRDefault="009C7F4D" w:rsidP="009C7F4D">
      <w:pPr>
        <w:pStyle w:val="libNormal"/>
        <w:rPr>
          <w:rtl/>
          <w:lang w:bidi="fa-IR"/>
        </w:rPr>
      </w:pPr>
      <w:r>
        <w:rPr>
          <w:rFonts w:hint="cs"/>
          <w:rtl/>
          <w:lang w:bidi="fa-IR"/>
        </w:rPr>
        <w:t xml:space="preserve">             </w:t>
      </w:r>
      <w:r w:rsidR="00992664" w:rsidRPr="00020424">
        <w:rPr>
          <w:rtl/>
          <w:lang w:bidi="fa-IR"/>
        </w:rPr>
        <w:t>وَعَلِيُّ بْنُ إِبْرَاهِيمَ ، عَنْ أَبِيهِ جَمِيعاً ، عَنِ ابْنِ أَبِي عُمَيْرٍ ، عَنْ عَبْدِ الرَّحْمنِ بْنِ الْحَجَّاجِ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w:t>
      </w:r>
      <w:r w:rsidRPr="00A91B96">
        <w:rPr>
          <w:rStyle w:val="libFootnotenumChar"/>
          <w:rtl/>
        </w:rPr>
        <w:t>(9)</w:t>
      </w:r>
      <w:r w:rsidRPr="00020424">
        <w:rPr>
          <w:rtl/>
          <w:lang w:bidi="fa-IR"/>
        </w:rPr>
        <w:t xml:space="preserve"> قَالَ : « لَيْسَ فِي الْأَكِيلَةِ </w:t>
      </w:r>
      <w:r w:rsidRPr="00A91B96">
        <w:rPr>
          <w:rStyle w:val="libFootnotenumChar"/>
          <w:rtl/>
        </w:rPr>
        <w:t>(10)</w:t>
      </w:r>
      <w:r w:rsidRPr="00020424">
        <w:rPr>
          <w:rtl/>
          <w:lang w:bidi="fa-IR"/>
        </w:rPr>
        <w:t xml:space="preserve"> ، وَلَافِي الرُّبّى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C7F4D" w:rsidTr="009C7F4D">
        <w:tc>
          <w:tcPr>
            <w:tcW w:w="4006" w:type="dxa"/>
          </w:tcPr>
          <w:p w:rsidR="009C7F4D" w:rsidRDefault="009C7F4D" w:rsidP="00992664">
            <w:pPr>
              <w:pStyle w:val="libFootnote0"/>
              <w:rPr>
                <w:rtl/>
              </w:rPr>
            </w:pPr>
            <w:r>
              <w:rPr>
                <w:rtl/>
              </w:rPr>
              <w:t xml:space="preserve">(1). </w:t>
            </w:r>
            <w:r w:rsidRPr="00020424">
              <w:rPr>
                <w:rtl/>
              </w:rPr>
              <w:t>في « بح » وحاشية « بث » : « على</w:t>
            </w:r>
            <w:r>
              <w:rPr>
                <w:rtl/>
              </w:rPr>
              <w:t xml:space="preserve"> ».</w:t>
            </w:r>
          </w:p>
        </w:tc>
        <w:tc>
          <w:tcPr>
            <w:tcW w:w="4006" w:type="dxa"/>
          </w:tcPr>
          <w:p w:rsidR="009C7F4D" w:rsidRDefault="009C7F4D" w:rsidP="00992664">
            <w:pPr>
              <w:pStyle w:val="libFootnote0"/>
              <w:rPr>
                <w:rtl/>
              </w:rPr>
            </w:pPr>
            <w:r>
              <w:rPr>
                <w:rtl/>
              </w:rPr>
              <w:t xml:space="preserve">(2). </w:t>
            </w:r>
            <w:r w:rsidRPr="00020424">
              <w:rPr>
                <w:rtl/>
              </w:rPr>
              <w:t>في « ظ ، ى ، بث ، بح ، جن » : « مال</w:t>
            </w:r>
            <w:r>
              <w:rPr>
                <w:rtl/>
              </w:rPr>
              <w:t xml:space="preserve"> ».</w:t>
            </w:r>
          </w:p>
        </w:tc>
      </w:tr>
      <w:tr w:rsidR="009C7F4D" w:rsidTr="009C7F4D">
        <w:tc>
          <w:tcPr>
            <w:tcW w:w="4006" w:type="dxa"/>
          </w:tcPr>
          <w:p w:rsidR="009C7F4D" w:rsidRDefault="009C7F4D" w:rsidP="00992664">
            <w:pPr>
              <w:pStyle w:val="libFootnote0"/>
              <w:rPr>
                <w:rtl/>
              </w:rPr>
            </w:pPr>
            <w:r>
              <w:rPr>
                <w:rtl/>
              </w:rPr>
              <w:t xml:space="preserve">(3). </w:t>
            </w:r>
            <w:r w:rsidRPr="00020424">
              <w:rPr>
                <w:rtl/>
              </w:rPr>
              <w:t xml:space="preserve">في </w:t>
            </w:r>
            <w:r w:rsidRPr="0012008A">
              <w:rPr>
                <w:rStyle w:val="libFootnoteBoldChar"/>
                <w:rtl/>
              </w:rPr>
              <w:t>التهذيب</w:t>
            </w:r>
            <w:r w:rsidRPr="00020424">
              <w:rPr>
                <w:rtl/>
              </w:rPr>
              <w:t xml:space="preserve"> ، ح 58 : « لا يحول</w:t>
            </w:r>
            <w:r>
              <w:rPr>
                <w:rtl/>
              </w:rPr>
              <w:t xml:space="preserve"> ».</w:t>
            </w:r>
          </w:p>
        </w:tc>
        <w:tc>
          <w:tcPr>
            <w:tcW w:w="4006" w:type="dxa"/>
          </w:tcPr>
          <w:p w:rsidR="009C7F4D" w:rsidRDefault="009C7F4D" w:rsidP="00992664">
            <w:pPr>
              <w:pStyle w:val="libFootnote0"/>
              <w:rPr>
                <w:rtl/>
              </w:rPr>
            </w:pPr>
            <w:r>
              <w:rPr>
                <w:rtl/>
              </w:rPr>
              <w:t xml:space="preserve">(4). </w:t>
            </w:r>
            <w:r w:rsidRPr="00020424">
              <w:rPr>
                <w:rtl/>
              </w:rPr>
              <w:t>في « بث ، بخ ، بر ، بف » : + « من ذلك</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 حول</w:t>
      </w:r>
      <w:r w:rsidR="00992664">
        <w:rPr>
          <w:rtl/>
        </w:rPr>
        <w:t xml:space="preserve"> ».</w:t>
      </w:r>
      <w:r w:rsidR="00992664" w:rsidRPr="00020424">
        <w:rPr>
          <w:rtl/>
        </w:rPr>
        <w:t xml:space="preserve"> وفي </w:t>
      </w:r>
      <w:r w:rsidR="00992664" w:rsidRPr="009C7F4D">
        <w:rPr>
          <w:rtl/>
        </w:rPr>
        <w:t>الوافي</w:t>
      </w:r>
      <w:r w:rsidR="00992664" w:rsidRPr="00020424">
        <w:rPr>
          <w:rtl/>
        </w:rPr>
        <w:t xml:space="preserve"> : « كلّ ما لم يحل عليه من ذلك عند ربّه حول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C7F4D" w:rsidTr="009C7F4D">
        <w:tc>
          <w:tcPr>
            <w:tcW w:w="4006" w:type="dxa"/>
          </w:tcPr>
          <w:p w:rsidR="009C7F4D" w:rsidRDefault="009C7F4D" w:rsidP="00992664">
            <w:pPr>
              <w:pStyle w:val="libFootnote0"/>
              <w:rPr>
                <w:rtl/>
              </w:rPr>
            </w:pPr>
            <w:r>
              <w:rPr>
                <w:rtl/>
              </w:rPr>
              <w:t xml:space="preserve">(6). </w:t>
            </w:r>
            <w:r w:rsidRPr="00020424">
              <w:rPr>
                <w:rtl/>
              </w:rPr>
              <w:t>في « بث ، بف » : + « فيه</w:t>
            </w:r>
            <w:r>
              <w:rPr>
                <w:rtl/>
              </w:rPr>
              <w:t xml:space="preserve"> ».</w:t>
            </w:r>
          </w:p>
        </w:tc>
        <w:tc>
          <w:tcPr>
            <w:tcW w:w="4006" w:type="dxa"/>
          </w:tcPr>
          <w:p w:rsidR="009C7F4D" w:rsidRDefault="009C7F4D" w:rsidP="00992664">
            <w:pPr>
              <w:pStyle w:val="libFootnote0"/>
              <w:rPr>
                <w:rtl/>
              </w:rPr>
            </w:pPr>
            <w:r>
              <w:rPr>
                <w:rtl/>
              </w:rPr>
              <w:t xml:space="preserve">(7). </w:t>
            </w:r>
            <w:r w:rsidRPr="00020424">
              <w:rPr>
                <w:rtl/>
              </w:rPr>
              <w:t>هذا تتمّة من الحديث الأوّل من باب صدقة الإبل.</w:t>
            </w:r>
          </w:p>
        </w:tc>
      </w:tr>
    </w:tbl>
    <w:p w:rsidR="00992664" w:rsidRPr="00020424" w:rsidRDefault="00795177" w:rsidP="009C7F4D">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25 ، ح 58 ؛ </w:t>
      </w:r>
      <w:r w:rsidR="00992664" w:rsidRPr="00FD6221">
        <w:rPr>
          <w:rStyle w:val="libFootnoteBoldChar"/>
          <w:rtl/>
        </w:rPr>
        <w:t>والاستبصار</w:t>
      </w:r>
      <w:r w:rsidR="00992664" w:rsidRPr="00020424">
        <w:rPr>
          <w:rtl/>
        </w:rPr>
        <w:t xml:space="preserve"> ، ج 2 ، ص 22 ، ح 61 ، معلّقاً عن الكليني. وفي </w:t>
      </w:r>
      <w:r w:rsidR="00992664" w:rsidRPr="0012008A">
        <w:rPr>
          <w:rStyle w:val="libFootnoteBoldChar"/>
          <w:rtl/>
        </w:rPr>
        <w:t>التهذيب</w:t>
      </w:r>
      <w:r w:rsidR="00992664" w:rsidRPr="00020424">
        <w:rPr>
          <w:rtl/>
        </w:rPr>
        <w:t xml:space="preserve"> ، ج 4 ، ص 25 ، ح 59 ؛ </w:t>
      </w:r>
      <w:r w:rsidR="00992664" w:rsidRPr="00FD6221">
        <w:rPr>
          <w:rStyle w:val="libFootnoteBoldChar"/>
          <w:rtl/>
        </w:rPr>
        <w:t>والاستبصار</w:t>
      </w:r>
      <w:r w:rsidR="00992664" w:rsidRPr="00020424">
        <w:rPr>
          <w:rtl/>
        </w:rPr>
        <w:t xml:space="preserve"> ، ج 2 ، ص 22 ، ح 61 ؛ </w:t>
      </w:r>
      <w:r w:rsidR="00992664" w:rsidRPr="00FD6221">
        <w:rPr>
          <w:rStyle w:val="libFootnoteBoldChar"/>
          <w:rtl/>
        </w:rPr>
        <w:t>والخصال</w:t>
      </w:r>
      <w:r w:rsidR="00992664" w:rsidRPr="00020424">
        <w:rPr>
          <w:rtl/>
        </w:rPr>
        <w:t xml:space="preserve"> ، ص 605 ، أبواب الثمانين وما فوقه ، ضمن الحديث الطويل 9 ، بسند آخر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26 ، ذيل ح 1607 ، وفي الأربعة الأخيرة إلى قوله : « على كلّ مائة شاة » مع اختلاف يسير </w:t>
      </w:r>
      <w:r w:rsidR="009C7F4D">
        <w:rPr>
          <w:rFonts w:hint="cs"/>
          <w:rtl/>
        </w:rPr>
        <w:t>.</w:t>
      </w:r>
      <w:r w:rsidR="00992664" w:rsidRPr="0012008A">
        <w:rPr>
          <w:rStyle w:val="libFootnoteBoldChar"/>
          <w:rtl/>
        </w:rPr>
        <w:t>الوافي</w:t>
      </w:r>
      <w:r w:rsidR="00992664" w:rsidRPr="00020424">
        <w:rPr>
          <w:rtl/>
        </w:rPr>
        <w:t xml:space="preserve"> ، ج 10 ، ص 93 ، ح 9219 ؛ </w:t>
      </w:r>
      <w:r w:rsidR="00992664" w:rsidRPr="0012008A">
        <w:rPr>
          <w:rStyle w:val="libFootnoteBoldChar"/>
          <w:rtl/>
        </w:rPr>
        <w:t>الوسائل</w:t>
      </w:r>
      <w:r w:rsidR="00992664" w:rsidRPr="00020424">
        <w:rPr>
          <w:rtl/>
        </w:rPr>
        <w:t xml:space="preserve"> ، ج 9 ، ص 116 ، ح 11649.</w:t>
      </w:r>
      <w:r w:rsidR="00B50394">
        <w:rPr>
          <w:rFonts w:hint="cs"/>
          <w:rtl/>
        </w:rPr>
        <w:t xml:space="preserve">     </w:t>
      </w:r>
      <w:r w:rsidR="009C7F4D">
        <w:rPr>
          <w:rFonts w:hint="cs"/>
          <w:rtl/>
        </w:rPr>
        <w:t xml:space="preserve">  </w:t>
      </w:r>
      <w:r>
        <w:rPr>
          <w:rtl/>
        </w:rPr>
        <w:t>(9).</w:t>
      </w:r>
      <w:r w:rsidR="0014403D">
        <w:rPr>
          <w:rtl/>
        </w:rPr>
        <w:t xml:space="preserve"> </w:t>
      </w:r>
      <w:r w:rsidR="00992664" w:rsidRPr="00020424">
        <w:rPr>
          <w:rtl/>
        </w:rPr>
        <w:t>في « ى ، بس » :</w:t>
      </w:r>
      <w:r w:rsidR="00992664">
        <w:rPr>
          <w:rtl/>
        </w:rPr>
        <w:t xml:space="preserve"> </w:t>
      </w:r>
      <w:r w:rsidR="009B673F">
        <w:rPr>
          <w:rtl/>
        </w:rPr>
        <w:t>-</w:t>
      </w:r>
      <w:r w:rsidR="00992664">
        <w:rPr>
          <w:rtl/>
        </w:rPr>
        <w:t xml:space="preserve"> </w:t>
      </w:r>
      <w:r w:rsidR="00992664" w:rsidRPr="00020424">
        <w:rPr>
          <w:rtl/>
        </w:rPr>
        <w:t>« أنّه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الأكيلة » : المأكولة ، وهي غير الأكولة الّتي تسمّن للأكل ، ولكنّ الظاهر من كتب الفقهاء ترادفهما ، ولعلّ الترادف في العرف ، كما صرّح به يونس على ما نقل عنه السرخسي بقوله : « قال يونس </w:t>
      </w:r>
      <w:r w:rsidR="00D64ADA" w:rsidRPr="00D64ADA">
        <w:rPr>
          <w:rStyle w:val="libFootnoteAlaemChar"/>
          <w:rtl/>
        </w:rPr>
        <w:t>رحمه‌الله</w:t>
      </w:r>
      <w:r w:rsidR="00992664" w:rsidRPr="00020424">
        <w:rPr>
          <w:rtl/>
        </w:rPr>
        <w:t xml:space="preserve"> : هي</w:t>
      </w:r>
      <w:r w:rsidR="00992664">
        <w:rPr>
          <w:rtl/>
        </w:rPr>
        <w:t xml:space="preserve"> </w:t>
      </w:r>
      <w:r w:rsidR="009B673F">
        <w:rPr>
          <w:rtl/>
        </w:rPr>
        <w:t>-</w:t>
      </w:r>
      <w:r w:rsidR="00992664">
        <w:rPr>
          <w:rtl/>
        </w:rPr>
        <w:t xml:space="preserve"> </w:t>
      </w:r>
      <w:r w:rsidR="00992664" w:rsidRPr="00020424">
        <w:rPr>
          <w:rtl/>
        </w:rPr>
        <w:t>أي التي تسمَّن للأكل</w:t>
      </w:r>
      <w:r w:rsidR="00992664">
        <w:rPr>
          <w:rtl/>
        </w:rPr>
        <w:t xml:space="preserve"> </w:t>
      </w:r>
      <w:r w:rsidR="009B673F">
        <w:rPr>
          <w:rtl/>
        </w:rPr>
        <w:t>-</w:t>
      </w:r>
      <w:r w:rsidR="00992664">
        <w:rPr>
          <w:rtl/>
        </w:rPr>
        <w:t xml:space="preserve"> </w:t>
      </w:r>
      <w:r w:rsidR="00992664" w:rsidRPr="00020424">
        <w:rPr>
          <w:rtl/>
        </w:rPr>
        <w:t>هي الأكولة ، وأمّا الأكيلة فهي التي تكثر تناول العلف ، ولكن في عادة العوامّ أنّهم يسمّون التي تسمَّن للأكل الأكيلة</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1625 ؛ </w:t>
      </w:r>
      <w:r w:rsidR="00992664" w:rsidRPr="0012008A">
        <w:rPr>
          <w:rStyle w:val="libFootnoteBoldChar"/>
          <w:rtl/>
        </w:rPr>
        <w:t>النهاية</w:t>
      </w:r>
      <w:r w:rsidR="00992664" w:rsidRPr="00020424">
        <w:rPr>
          <w:rtl/>
        </w:rPr>
        <w:t xml:space="preserve"> ، ج 1 ، ص 58 ( أكل ) ؛ </w:t>
      </w:r>
      <w:r w:rsidR="00992664" w:rsidRPr="00D0451F">
        <w:rPr>
          <w:rStyle w:val="libFootnoteBoldChar"/>
          <w:rtl/>
        </w:rPr>
        <w:t>رياض المسائل</w:t>
      </w:r>
      <w:r w:rsidR="00992664" w:rsidRPr="00020424">
        <w:rPr>
          <w:rtl/>
        </w:rPr>
        <w:t xml:space="preserve"> ، ج 1 ، ص 268 ؛ </w:t>
      </w:r>
      <w:r w:rsidR="00992664" w:rsidRPr="00D0451F">
        <w:rPr>
          <w:rStyle w:val="libFootnoteBoldChar"/>
          <w:rtl/>
        </w:rPr>
        <w:t>الحدائق الناضرة</w:t>
      </w:r>
      <w:r w:rsidR="00992664" w:rsidRPr="00020424">
        <w:rPr>
          <w:rtl/>
        </w:rPr>
        <w:t xml:space="preserve"> ، ج 12 ، ص 70 ؛ </w:t>
      </w:r>
      <w:r w:rsidR="00992664" w:rsidRPr="00D0451F">
        <w:rPr>
          <w:rStyle w:val="libFootnoteBoldChar"/>
          <w:rtl/>
        </w:rPr>
        <w:t>مصباح الفقيه</w:t>
      </w:r>
      <w:r w:rsidR="00992664" w:rsidRPr="00020424">
        <w:rPr>
          <w:rtl/>
        </w:rPr>
        <w:t xml:space="preserve"> ، ج 3 ، ص 50 ؛ </w:t>
      </w:r>
      <w:r w:rsidR="00992664" w:rsidRPr="00D0451F">
        <w:rPr>
          <w:rStyle w:val="libFootnoteBoldChar"/>
          <w:rtl/>
        </w:rPr>
        <w:t>المبسوط</w:t>
      </w:r>
      <w:r w:rsidR="00992664" w:rsidRPr="00CE46B3">
        <w:rPr>
          <w:rtl/>
        </w:rPr>
        <w:t xml:space="preserve"> </w:t>
      </w:r>
      <w:r w:rsidR="00992664" w:rsidRPr="00E57D58">
        <w:rPr>
          <w:rStyle w:val="libFootnoteBoldChar"/>
          <w:rtl/>
        </w:rPr>
        <w:t>للسرخسي</w:t>
      </w:r>
      <w:r w:rsidR="00992664" w:rsidRPr="00020424">
        <w:rPr>
          <w:rtl/>
        </w:rPr>
        <w:t xml:space="preserve"> ، ج 2 ، ص 172.</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قال الجوهري : « الرُّبّى ، بالضمّ على فُعْلى : الشاة التي وضعت حديثاً ، وجمعها : رُباب بالضمّ ، والمصدر : رِباب بالكسر ، وهو قرب العهد بالولادة</w:t>
      </w:r>
      <w:r w:rsidR="00992664">
        <w:rPr>
          <w:rtl/>
        </w:rPr>
        <w:t xml:space="preserve"> ..</w:t>
      </w:r>
      <w:r w:rsidR="00992664" w:rsidRPr="00020424">
        <w:rPr>
          <w:rtl/>
        </w:rPr>
        <w:t>. وقال أبو زيد : الربّى من المعز ، وقال غيره : من المعز والضأن جميعاً ، وربما جاء في الإبل أيضاً</w:t>
      </w:r>
      <w:r w:rsidR="00992664">
        <w:rPr>
          <w:rtl/>
        </w:rPr>
        <w:t xml:space="preserve"> ».</w:t>
      </w:r>
      <w:r w:rsidR="00992664" w:rsidRPr="00020424">
        <w:rPr>
          <w:rtl/>
        </w:rPr>
        <w:t xml:space="preserve"> وقال ابن الأثير : « الربّى : التي تربّى في الغنم لأجل الغنم. وقيل : هي الشاة القريبة العهد بالولادة</w:t>
      </w:r>
      <w:r w:rsidR="00992664">
        <w:rPr>
          <w:rtl/>
        </w:rPr>
        <w:t xml:space="preserve"> ».</w:t>
      </w:r>
      <w:r w:rsidR="00E57D58">
        <w:rPr>
          <w:rtl/>
        </w:rPr>
        <w:t xml:space="preserve"> قال العل</w:t>
      </w:r>
      <w:r w:rsidR="00E57D58">
        <w:rPr>
          <w:rFonts w:hint="cs"/>
          <w:rtl/>
        </w:rPr>
        <w:t>ّ</w:t>
      </w:r>
      <w:r w:rsidR="00E57D58">
        <w:rPr>
          <w:rtl/>
        </w:rPr>
        <w:t>ا</w:t>
      </w:r>
      <w:r w:rsidR="00992664" w:rsidRPr="00020424">
        <w:rPr>
          <w:rtl/>
        </w:rPr>
        <w:t>مة الفيض : « أمّا ما في الحديث من تفسير الربّى فلم نجده في لغة ، والعلم عند الله</w:t>
      </w:r>
      <w:r w:rsidR="00992664">
        <w:rPr>
          <w:rtl/>
        </w:rPr>
        <w:t xml:space="preserve"> ».</w:t>
      </w:r>
      <w:r w:rsidR="00992664" w:rsidRPr="00020424">
        <w:rPr>
          <w:rtl/>
        </w:rPr>
        <w:t xml:space="preserve"> قال صاحب </w:t>
      </w:r>
      <w:r w:rsidR="00992664" w:rsidRPr="00CE46B3">
        <w:rPr>
          <w:rtl/>
        </w:rPr>
        <w:t>الجواهر</w:t>
      </w:r>
      <w:r w:rsidR="00992664">
        <w:rPr>
          <w:rtl/>
        </w:rPr>
        <w:t xml:space="preserve"> </w:t>
      </w:r>
      <w:r w:rsidR="009B673F">
        <w:rPr>
          <w:rtl/>
        </w:rPr>
        <w:t>-</w:t>
      </w:r>
      <w:r w:rsidR="00992664">
        <w:rPr>
          <w:rtl/>
        </w:rPr>
        <w:t xml:space="preserve"> </w:t>
      </w:r>
      <w:r w:rsidR="00992664" w:rsidRPr="00020424">
        <w:rPr>
          <w:rtl/>
        </w:rPr>
        <w:t xml:space="preserve">بعد ما نقل تفسير الفقهاء بأنّها الوالدة إلى خمسة عشر يوماً ، أو إلى خمسين ، وما </w:t>
      </w:r>
      <w:r w:rsidR="00E57D58">
        <w:rPr>
          <w:rFonts w:hint="cs"/>
          <w:rtl/>
        </w:rPr>
        <w:t>=</w:t>
      </w:r>
    </w:p>
    <w:p w:rsidR="00795177" w:rsidRDefault="00795177" w:rsidP="00795177">
      <w:pPr>
        <w:pStyle w:val="libNormal"/>
        <w:rPr>
          <w:rtl/>
          <w:lang w:bidi="fa-IR"/>
        </w:rPr>
      </w:pPr>
      <w:r>
        <w:rPr>
          <w:rtl/>
          <w:lang w:bidi="fa-IR"/>
        </w:rPr>
        <w:br w:type="page"/>
      </w:r>
    </w:p>
    <w:p w:rsidR="00992664" w:rsidRPr="00020424" w:rsidRDefault="009B673F" w:rsidP="00992664">
      <w:pPr>
        <w:rPr>
          <w:rtl/>
          <w:lang w:bidi="fa-IR"/>
        </w:rPr>
      </w:pPr>
      <w:r>
        <w:rPr>
          <w:rtl/>
          <w:lang w:bidi="fa-IR"/>
        </w:rPr>
        <w:lastRenderedPageBreak/>
        <w:t>-</w:t>
      </w:r>
      <w:r w:rsidR="00992664">
        <w:rPr>
          <w:rtl/>
          <w:lang w:bidi="fa-IR"/>
        </w:rPr>
        <w:t xml:space="preserve"> </w:t>
      </w:r>
      <w:r w:rsidR="00992664" w:rsidRPr="00020424">
        <w:rPr>
          <w:rtl/>
          <w:lang w:bidi="fa-IR"/>
        </w:rPr>
        <w:t xml:space="preserve">وَالرُّبَّى </w:t>
      </w:r>
      <w:r w:rsidR="00992664" w:rsidRPr="00A91B96">
        <w:rPr>
          <w:rStyle w:val="libFootnotenumChar"/>
          <w:rtl/>
        </w:rPr>
        <w:t>(1)</w:t>
      </w:r>
      <w:r w:rsidR="00992664" w:rsidRPr="00020424">
        <w:rPr>
          <w:rtl/>
          <w:lang w:bidi="fa-IR"/>
        </w:rPr>
        <w:t xml:space="preserve"> الَّتِي تُرَبّى اثْنَيْنِ</w:t>
      </w:r>
      <w:r w:rsidR="00992664">
        <w:rPr>
          <w:rtl/>
          <w:lang w:bidi="fa-IR"/>
        </w:rPr>
        <w:t xml:space="preserve"> </w:t>
      </w:r>
      <w:r>
        <w:rPr>
          <w:rtl/>
          <w:lang w:bidi="fa-IR"/>
        </w:rPr>
        <w:t>-</w:t>
      </w:r>
      <w:r w:rsidR="00992664">
        <w:rPr>
          <w:rtl/>
          <w:lang w:bidi="fa-IR"/>
        </w:rPr>
        <w:t xml:space="preserve"> </w:t>
      </w:r>
      <w:r w:rsidR="00992664" w:rsidRPr="00020424">
        <w:rPr>
          <w:rtl/>
          <w:lang w:bidi="fa-IR"/>
        </w:rPr>
        <w:t>وَلَاشَاةِ لَبَنٍ ، وَلَافَحْلِ الْغَنَمِ صَدَقَةٌ</w:t>
      </w:r>
      <w:r w:rsidR="00992664">
        <w:rPr>
          <w:rtl/>
          <w:lang w:bidi="fa-IR"/>
        </w:rPr>
        <w:t xml:space="preserve"> ».</w:t>
      </w:r>
      <w:r w:rsidR="00992664" w:rsidRPr="00020424">
        <w:rPr>
          <w:rtl/>
          <w:lang w:bidi="fa-IR"/>
        </w:rPr>
        <w:t xml:space="preserve"> </w:t>
      </w:r>
      <w:r w:rsidR="00992664" w:rsidRPr="00A91B96">
        <w:rPr>
          <w:rStyle w:val="libFootnotenumChar"/>
          <w:rtl/>
        </w:rPr>
        <w:t>(2)</w:t>
      </w:r>
      <w:r w:rsidR="00992664" w:rsidRPr="00020424">
        <w:rPr>
          <w:rtl/>
          <w:lang w:bidi="fa-IR"/>
        </w:rPr>
        <w:t xml:space="preserve"> ‌</w:t>
      </w:r>
    </w:p>
    <w:p w:rsidR="00992664" w:rsidRPr="00020424" w:rsidRDefault="00992664" w:rsidP="00992664">
      <w:pPr>
        <w:pStyle w:val="libNormal"/>
        <w:rPr>
          <w:rtl/>
          <w:lang w:bidi="fa-IR"/>
        </w:rPr>
      </w:pPr>
      <w:r w:rsidRPr="00AD016D">
        <w:rPr>
          <w:rtl/>
        </w:rPr>
        <w:t>5864</w:t>
      </w:r>
      <w:r w:rsidRPr="001155DE">
        <w:rPr>
          <w:rStyle w:val="libBold2Char"/>
          <w:rtl/>
        </w:rPr>
        <w:t xml:space="preserve"> / 3.</w:t>
      </w:r>
      <w:r w:rsidRPr="00020424">
        <w:rPr>
          <w:rtl/>
          <w:lang w:bidi="fa-IR"/>
        </w:rPr>
        <w:t xml:space="preserve"> مُحَمَّدُ بْنُ يَحْيى ، عَنْ أَحْمَدَ بْنِ مُحَمَّدٍ ، عَنْ عُثْمَانَ بْنِ عِيسى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تُؤْخَذُ </w:t>
      </w:r>
      <w:r w:rsidRPr="00A91B96">
        <w:rPr>
          <w:rStyle w:val="libFootnotenumChar"/>
          <w:rtl/>
        </w:rPr>
        <w:t>(3)</w:t>
      </w:r>
      <w:r w:rsidRPr="00020424">
        <w:rPr>
          <w:rtl/>
          <w:lang w:bidi="fa-IR"/>
        </w:rPr>
        <w:t xml:space="preserve"> أَكُولَةٌ </w:t>
      </w:r>
      <w:r w:rsidRPr="00A91B96">
        <w:rPr>
          <w:rStyle w:val="libFootnotenumChar"/>
          <w:rtl/>
        </w:rPr>
        <w:t>(4)</w:t>
      </w:r>
      <w:r>
        <w:rPr>
          <w:rtl/>
          <w:lang w:bidi="fa-IR"/>
        </w:rPr>
        <w:t xml:space="preserve"> </w:t>
      </w:r>
      <w:r w:rsidR="009B673F">
        <w:rPr>
          <w:rtl/>
          <w:lang w:bidi="fa-IR"/>
        </w:rPr>
        <w:t>-</w:t>
      </w:r>
      <w:r>
        <w:rPr>
          <w:rtl/>
          <w:lang w:bidi="fa-IR"/>
        </w:rPr>
        <w:t xml:space="preserve"> </w:t>
      </w:r>
      <w:r w:rsidRPr="00020424">
        <w:rPr>
          <w:rtl/>
          <w:lang w:bidi="fa-IR"/>
        </w:rPr>
        <w:t xml:space="preserve">وَالْأَكُولَةُ الْكَبِيرَةُ مِنَ الشَّاةِ </w:t>
      </w:r>
      <w:r w:rsidRPr="00A91B96">
        <w:rPr>
          <w:rStyle w:val="libFootnotenumChar"/>
          <w:rtl/>
        </w:rPr>
        <w:t>(5)</w:t>
      </w:r>
      <w:r w:rsidRPr="00020424">
        <w:rPr>
          <w:rtl/>
          <w:lang w:bidi="fa-IR"/>
        </w:rPr>
        <w:t xml:space="preserve"> تَكُونُ فِي الْغَنَمِ</w:t>
      </w:r>
      <w:r>
        <w:rPr>
          <w:rtl/>
          <w:lang w:bidi="fa-IR"/>
        </w:rPr>
        <w:t xml:space="preserve"> </w:t>
      </w:r>
      <w:r w:rsidR="009B673F">
        <w:rPr>
          <w:rtl/>
          <w:lang w:bidi="fa-IR"/>
        </w:rPr>
        <w:t>-</w:t>
      </w:r>
      <w:r>
        <w:rPr>
          <w:rtl/>
          <w:lang w:bidi="fa-IR"/>
        </w:rPr>
        <w:t xml:space="preserve"> </w:t>
      </w:r>
      <w:r w:rsidRPr="00020424">
        <w:rPr>
          <w:rtl/>
          <w:lang w:bidi="fa-IR"/>
        </w:rPr>
        <w:t xml:space="preserve">وَلَاوَالِدَةٌ </w:t>
      </w:r>
      <w:r w:rsidRPr="00A91B96">
        <w:rPr>
          <w:rStyle w:val="libFootnotenumChar"/>
          <w:rtl/>
        </w:rPr>
        <w:t>(6)</w:t>
      </w:r>
      <w:r w:rsidRPr="00020424">
        <w:rPr>
          <w:rtl/>
          <w:lang w:bidi="fa-IR"/>
        </w:rPr>
        <w:t xml:space="preserve"> ، وَلَا</w:t>
      </w:r>
      <w:r>
        <w:rPr>
          <w:rFonts w:hint="cs"/>
          <w:rtl/>
          <w:lang w:bidi="fa-IR"/>
        </w:rPr>
        <w:t xml:space="preserve"> </w:t>
      </w:r>
      <w:r w:rsidRPr="00020424">
        <w:rPr>
          <w:rtl/>
          <w:lang w:bidi="fa-IR"/>
        </w:rPr>
        <w:t xml:space="preserve">الْكَبْشُ </w:t>
      </w:r>
      <w:r w:rsidRPr="00A91B96">
        <w:rPr>
          <w:rStyle w:val="libFootnotenumChar"/>
          <w:rtl/>
        </w:rPr>
        <w:t>(7)</w:t>
      </w:r>
      <w:r w:rsidRPr="00020424">
        <w:rPr>
          <w:rtl/>
          <w:lang w:bidi="fa-IR"/>
        </w:rPr>
        <w:t xml:space="preserve"> الْفَحْلُ</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D016D">
        <w:rPr>
          <w:rtl/>
        </w:rPr>
        <w:t>5865</w:t>
      </w:r>
      <w:r w:rsidRPr="001155DE">
        <w:rPr>
          <w:rStyle w:val="libBold2Char"/>
          <w:rtl/>
        </w:rPr>
        <w:t xml:space="preserve"> / 4.</w:t>
      </w:r>
      <w:r w:rsidRPr="00020424">
        <w:rPr>
          <w:rtl/>
          <w:lang w:bidi="fa-IR"/>
        </w:rPr>
        <w:t xml:space="preserve"> أَحْمَدُ بْنُ إِدْرِيسَ ، عَنْ مُحَمَّدِ بْنِ عَبْدِ الْجَبَّارِ ، عَنْ صَفْوَانَ بْنِ يَحْيى </w:t>
      </w:r>
      <w:r w:rsidRPr="00A91B96">
        <w:rPr>
          <w:rStyle w:val="libFootnotenumChar"/>
          <w:rtl/>
        </w:rPr>
        <w:t>(9)</w:t>
      </w:r>
      <w:r w:rsidRPr="00020424">
        <w:rPr>
          <w:rtl/>
          <w:lang w:bidi="fa-IR"/>
        </w:rPr>
        <w:t xml:space="preserve"> ، عَنْ إِسْحَاقَ بْنِ عَمَّارٍ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السَّخْلُ </w:t>
      </w:r>
      <w:r w:rsidRPr="00A91B96">
        <w:rPr>
          <w:rStyle w:val="libFootnotenumChar"/>
          <w:rtl/>
        </w:rPr>
        <w:t>(10)</w:t>
      </w:r>
      <w:r w:rsidRPr="00020424">
        <w:rPr>
          <w:rtl/>
          <w:lang w:bidi="fa-IR"/>
        </w:rPr>
        <w:t xml:space="preserve"> متى‌</w:t>
      </w:r>
      <w:r w:rsidR="00B50394">
        <w:rPr>
          <w:rFonts w:hint="cs"/>
          <w:rtl/>
          <w:lang w:bidi="fa-IR"/>
        </w:rPr>
        <w:t xml:space="preserve"> ...................</w:t>
      </w:r>
      <w:r w:rsidR="00E57D58">
        <w:rPr>
          <w:rFonts w:hint="cs"/>
          <w:rtl/>
          <w:lang w:bidi="fa-IR"/>
        </w:rPr>
        <w:t>..............</w:t>
      </w:r>
      <w:r w:rsidR="00E57D58">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E57D58" w:rsidP="00992664">
      <w:pPr>
        <w:pStyle w:val="libFootnote0"/>
        <w:rPr>
          <w:rtl/>
          <w:lang w:bidi="fa-IR"/>
        </w:rPr>
      </w:pPr>
      <w:r>
        <w:rPr>
          <w:rFonts w:hint="cs"/>
          <w:rtl/>
        </w:rPr>
        <w:t xml:space="preserve">= </w:t>
      </w:r>
      <w:r w:rsidR="00992664" w:rsidRPr="00020424">
        <w:rPr>
          <w:rtl/>
        </w:rPr>
        <w:t>في اللغة</w:t>
      </w:r>
      <w:r w:rsidR="00992664">
        <w:rPr>
          <w:rtl/>
        </w:rPr>
        <w:t xml:space="preserve"> </w:t>
      </w:r>
      <w:r w:rsidR="009B673F">
        <w:rPr>
          <w:rtl/>
        </w:rPr>
        <w:t>-</w:t>
      </w:r>
      <w:r w:rsidR="00992664">
        <w:rPr>
          <w:rtl/>
        </w:rPr>
        <w:t xml:space="preserve"> </w:t>
      </w:r>
      <w:r w:rsidR="00992664" w:rsidRPr="00020424">
        <w:rPr>
          <w:rtl/>
        </w:rPr>
        <w:t>: « نعم تفسير الربّى بذلك [ أي ما في الحديث ] لم نعثر على من فسّره به من الفقهاء واللغويّين عدا الا</w:t>
      </w:r>
      <w:r>
        <w:rPr>
          <w:rFonts w:hint="cs"/>
          <w:rtl/>
        </w:rPr>
        <w:t>ُ</w:t>
      </w:r>
      <w:r w:rsidR="00992664" w:rsidRPr="00020424">
        <w:rPr>
          <w:rtl/>
        </w:rPr>
        <w:t xml:space="preserve">ستاذ في كشفه ؛ لعلّه من الراوي ولذلك أعرض عنه الأصحاب ، لكن عن </w:t>
      </w:r>
      <w:r w:rsidR="00992664" w:rsidRPr="0012008A">
        <w:rPr>
          <w:rStyle w:val="libFootnoteBoldChar"/>
          <w:rtl/>
        </w:rPr>
        <w:t>الفقيه</w:t>
      </w:r>
      <w:r w:rsidR="00992664" w:rsidRPr="00020424">
        <w:rPr>
          <w:rtl/>
        </w:rPr>
        <w:t xml:space="preserve"> روايته : ولا في الربّى التي تربّى اثنين ، فيتعيّن كونه من لفظ الإمام ، ويمكن أن يكون الحذف فيه من النسّاخ</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131 ؛ </w:t>
      </w:r>
      <w:r w:rsidR="00992664" w:rsidRPr="0012008A">
        <w:rPr>
          <w:rStyle w:val="libFootnoteBoldChar"/>
          <w:rtl/>
        </w:rPr>
        <w:t>النهاية</w:t>
      </w:r>
      <w:r w:rsidR="00992664" w:rsidRPr="00020424">
        <w:rPr>
          <w:rtl/>
        </w:rPr>
        <w:t xml:space="preserve"> ، ج 2 ، ص 180 ( ربب ) ؛ </w:t>
      </w:r>
      <w:r w:rsidR="00992664" w:rsidRPr="00E57D58">
        <w:rPr>
          <w:rStyle w:val="libFootnoteBoldChar"/>
          <w:rtl/>
        </w:rPr>
        <w:t>جواهر الكلام</w:t>
      </w:r>
      <w:r w:rsidR="00992664" w:rsidRPr="00020424">
        <w:rPr>
          <w:rtl/>
        </w:rPr>
        <w:t xml:space="preserve"> ، ج 15 ، ص 158</w:t>
      </w:r>
      <w:r w:rsidR="00992664">
        <w:rPr>
          <w:rtl/>
        </w:rPr>
        <w:t xml:space="preserve"> </w:t>
      </w:r>
      <w:r w:rsidR="009B673F">
        <w:rPr>
          <w:rtl/>
        </w:rPr>
        <w:t>-</w:t>
      </w:r>
      <w:r w:rsidR="00992664">
        <w:rPr>
          <w:rtl/>
        </w:rPr>
        <w:t xml:space="preserve"> </w:t>
      </w:r>
      <w:r w:rsidR="00992664" w:rsidRPr="00020424">
        <w:rPr>
          <w:rtl/>
        </w:rPr>
        <w:t xml:space="preserve">160. وللمزيد راجع : </w:t>
      </w:r>
      <w:r w:rsidR="00992664" w:rsidRPr="00E57D58">
        <w:rPr>
          <w:rStyle w:val="libFootnoteBoldChar"/>
          <w:rtl/>
        </w:rPr>
        <w:t>مدارك الأحكام</w:t>
      </w:r>
      <w:r w:rsidR="00992664" w:rsidRPr="00020424">
        <w:rPr>
          <w:rtl/>
        </w:rPr>
        <w:t xml:space="preserve"> ، ج 5 ، ص 104</w:t>
      </w:r>
      <w:r w:rsidR="00992664">
        <w:rPr>
          <w:rtl/>
        </w:rPr>
        <w:t xml:space="preserve"> </w:t>
      </w:r>
      <w:r w:rsidR="009B673F">
        <w:rPr>
          <w:rtl/>
        </w:rPr>
        <w:t>-</w:t>
      </w:r>
      <w:r w:rsidR="00992664">
        <w:rPr>
          <w:rtl/>
        </w:rPr>
        <w:t xml:space="preserve"> </w:t>
      </w:r>
      <w:r w:rsidR="00992664" w:rsidRPr="00020424">
        <w:rPr>
          <w:rtl/>
        </w:rPr>
        <w:t xml:space="preserve">107 ؛ </w:t>
      </w:r>
      <w:r w:rsidR="00992664" w:rsidRPr="00CE46B3">
        <w:rPr>
          <w:rtl/>
        </w:rPr>
        <w:t>ذخيرة المعاد</w:t>
      </w:r>
      <w:r w:rsidR="00992664" w:rsidRPr="00020424">
        <w:rPr>
          <w:rtl/>
        </w:rPr>
        <w:t xml:space="preserve"> ، ج 3 ، ص 427 ؛ </w:t>
      </w:r>
      <w:r w:rsidR="00992664" w:rsidRPr="00D40182">
        <w:rPr>
          <w:rStyle w:val="libFootnoteBoldChar"/>
          <w:rtl/>
        </w:rPr>
        <w:t>الحدائق الناضرة</w:t>
      </w:r>
      <w:r w:rsidR="00992664" w:rsidRPr="00020424">
        <w:rPr>
          <w:rtl/>
        </w:rPr>
        <w:t xml:space="preserve"> ، ج 12 ، ص 69</w:t>
      </w:r>
      <w:r w:rsidR="00992664">
        <w:rPr>
          <w:rtl/>
        </w:rPr>
        <w:t xml:space="preserve"> </w:t>
      </w:r>
      <w:r w:rsidR="009B673F">
        <w:rPr>
          <w:rtl/>
        </w:rPr>
        <w:t>-</w:t>
      </w:r>
      <w:r w:rsidR="00992664">
        <w:rPr>
          <w:rtl/>
        </w:rPr>
        <w:t xml:space="preserve"> </w:t>
      </w:r>
      <w:r w:rsidR="00992664" w:rsidRPr="00020424">
        <w:rPr>
          <w:rtl/>
        </w:rPr>
        <w:t>70.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الربّى</w:t>
      </w:r>
      <w:r w:rsidR="00992664">
        <w:rPr>
          <w:rtl/>
        </w:rPr>
        <w:t xml:space="preserve"> ».</w:t>
      </w:r>
    </w:p>
    <w:p w:rsidR="00992664" w:rsidRPr="00020424" w:rsidRDefault="00795177" w:rsidP="00D40182">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28 ، ح 1608 ، معلّقاً عن عبدالرحمن بن الحجّاج ، مع اختلاف يسير</w:t>
      </w:r>
      <w:r w:rsidR="00D40182">
        <w:rPr>
          <w:rFonts w:hint="cs"/>
          <w:rtl/>
        </w:rPr>
        <w:t>.</w:t>
      </w:r>
      <w:r w:rsidR="00992664" w:rsidRPr="0012008A">
        <w:rPr>
          <w:rStyle w:val="libFootnoteBoldChar"/>
          <w:rtl/>
        </w:rPr>
        <w:t>الوافي</w:t>
      </w:r>
      <w:r w:rsidR="00992664" w:rsidRPr="00020424">
        <w:rPr>
          <w:rtl/>
        </w:rPr>
        <w:t xml:space="preserve"> ، ج 10 ، ص 97 ، ح 9223 ؛ </w:t>
      </w:r>
      <w:r w:rsidR="00992664" w:rsidRPr="0012008A">
        <w:rPr>
          <w:rStyle w:val="libFootnoteBoldChar"/>
          <w:rtl/>
        </w:rPr>
        <w:t>الوسائل</w:t>
      </w:r>
      <w:r w:rsidR="00992664" w:rsidRPr="00020424">
        <w:rPr>
          <w:rtl/>
        </w:rPr>
        <w:t xml:space="preserve"> ، ج 9 ، ص 124 ، ذيل ح 11669.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بح ، بخ » : « لا يؤخذ</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w:t>
      </w:r>
      <w:r w:rsidR="00992664" w:rsidRPr="00FD6221">
        <w:rPr>
          <w:rStyle w:val="libFootnoteBoldChar"/>
          <w:rtl/>
        </w:rPr>
        <w:t>والفقيه</w:t>
      </w:r>
      <w:r w:rsidR="00992664" w:rsidRPr="00020424">
        <w:rPr>
          <w:rtl/>
        </w:rPr>
        <w:t xml:space="preserve"> : « الأكولة</w:t>
      </w:r>
      <w:r w:rsidR="00992664">
        <w:rPr>
          <w:rtl/>
        </w:rPr>
        <w:t xml:space="preserve"> ».</w:t>
      </w:r>
      <w:r w:rsidR="00992664" w:rsidRPr="00020424">
        <w:rPr>
          <w:rtl/>
        </w:rPr>
        <w:t xml:space="preserve"> </w:t>
      </w:r>
      <w:r w:rsidR="00992664">
        <w:rPr>
          <w:rtl/>
        </w:rPr>
        <w:t>و «</w:t>
      </w:r>
      <w:r w:rsidR="00992664" w:rsidRPr="00020424">
        <w:rPr>
          <w:rtl/>
        </w:rPr>
        <w:t xml:space="preserve"> الأَكُولَةُ » : الشاة التي تُعْزَل للأكل وتُسمَّن. وقيل : هي الخصيّ والهَرِمة والعاقر من الغنم. راجع : </w:t>
      </w:r>
      <w:r w:rsidR="00992664" w:rsidRPr="0012008A">
        <w:rPr>
          <w:rStyle w:val="libFootnoteBoldChar"/>
          <w:rtl/>
        </w:rPr>
        <w:t>الصحاح</w:t>
      </w:r>
      <w:r w:rsidR="00992664" w:rsidRPr="00020424">
        <w:rPr>
          <w:rtl/>
        </w:rPr>
        <w:t xml:space="preserve"> ، ج 4 ، ص 1625 ؛ </w:t>
      </w:r>
      <w:r w:rsidR="00992664" w:rsidRPr="0012008A">
        <w:rPr>
          <w:rStyle w:val="libFootnoteBoldChar"/>
          <w:rtl/>
        </w:rPr>
        <w:t>النهاية</w:t>
      </w:r>
      <w:r w:rsidR="00992664" w:rsidRPr="00020424">
        <w:rPr>
          <w:rtl/>
        </w:rPr>
        <w:t xml:space="preserve"> ، ج 1 ، ص 58 ( أكل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 « الشاء</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هكذا في « ظ ، ى ، بح ، بس ، بف ، جن</w:t>
      </w:r>
      <w:r w:rsidR="00992664">
        <w:rPr>
          <w:rtl/>
        </w:rPr>
        <w:t xml:space="preserve"> ».</w:t>
      </w:r>
      <w:r w:rsidR="00992664" w:rsidRPr="00020424">
        <w:rPr>
          <w:rtl/>
        </w:rPr>
        <w:t xml:space="preserve"> وفي « بخ ، بر » </w:t>
      </w:r>
      <w:r w:rsidR="00992664" w:rsidRPr="00515444">
        <w:rPr>
          <w:rStyle w:val="libFootnoteBoldChar"/>
          <w:rtl/>
        </w:rPr>
        <w:t>والوافي</w:t>
      </w:r>
      <w:r w:rsidR="00992664" w:rsidRPr="00020424">
        <w:rPr>
          <w:rtl/>
        </w:rPr>
        <w:t xml:space="preserve"> : « والد</w:t>
      </w:r>
      <w:r w:rsidR="00992664">
        <w:rPr>
          <w:rtl/>
        </w:rPr>
        <w:t xml:space="preserve"> ».</w:t>
      </w:r>
      <w:r w:rsidR="00992664" w:rsidRPr="00020424">
        <w:rPr>
          <w:rtl/>
        </w:rPr>
        <w:t xml:space="preserve"> وفي المطبوع : « والده</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الكَبْشُ » : فحل الضأن في أيّ سنّ كان ، وقيل : هو الحمل إذا أثنى ، أو إذا خرجت رباعيته. راجع : </w:t>
      </w:r>
      <w:r w:rsidR="00992664" w:rsidRPr="00A722B1">
        <w:rPr>
          <w:rStyle w:val="libFootnoteBoldChar"/>
          <w:rtl/>
        </w:rPr>
        <w:t>لسان العرب</w:t>
      </w:r>
      <w:r w:rsidR="00992664" w:rsidRPr="00020424">
        <w:rPr>
          <w:rtl/>
        </w:rPr>
        <w:t xml:space="preserve"> ، ج 6 ، ص 338 ؛ </w:t>
      </w:r>
      <w:r w:rsidR="00992664" w:rsidRPr="00A722B1">
        <w:rPr>
          <w:rStyle w:val="libFootnoteBoldChar"/>
          <w:rtl/>
        </w:rPr>
        <w:t>القاموس المحيط</w:t>
      </w:r>
      <w:r w:rsidR="00992664" w:rsidRPr="00020424">
        <w:rPr>
          <w:rtl/>
        </w:rPr>
        <w:t xml:space="preserve"> ، ج 1 ، ص 821 ( كبش )</w:t>
      </w:r>
      <w:r w:rsidR="00992664">
        <w:rPr>
          <w:rtl/>
        </w:rPr>
        <w:t>.</w:t>
      </w:r>
    </w:p>
    <w:p w:rsidR="00992664" w:rsidRPr="00020424" w:rsidRDefault="00795177" w:rsidP="002A6E59">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28 ، ح 1609 ، معلّقاً عن سماعة</w:t>
      </w:r>
      <w:r w:rsidR="00E8231E">
        <w:rPr>
          <w:rFonts w:hint="cs"/>
          <w:rtl/>
        </w:rPr>
        <w:t>.</w:t>
      </w:r>
      <w:r w:rsidR="00992664" w:rsidRPr="0012008A">
        <w:rPr>
          <w:rStyle w:val="libFootnoteBoldChar"/>
          <w:rtl/>
        </w:rPr>
        <w:t>الوافي</w:t>
      </w:r>
      <w:r w:rsidR="00992664" w:rsidRPr="00020424">
        <w:rPr>
          <w:rtl/>
        </w:rPr>
        <w:t xml:space="preserve"> ، ج 10 ، ص 98 ، ح 9224 ؛ </w:t>
      </w:r>
      <w:r w:rsidR="00992664" w:rsidRPr="0012008A">
        <w:rPr>
          <w:rStyle w:val="libFootnoteBoldChar"/>
          <w:rtl/>
        </w:rPr>
        <w:t>الوسائل</w:t>
      </w:r>
      <w:r w:rsidR="00992664" w:rsidRPr="00020424">
        <w:rPr>
          <w:rtl/>
        </w:rPr>
        <w:t xml:space="preserve"> ، ج 9 ، ص 125 ، ح 11670.</w:t>
      </w:r>
      <w:r w:rsidR="002A6E59">
        <w:rPr>
          <w:rFonts w:hint="cs"/>
          <w:rtl/>
        </w:rPr>
        <w:t xml:space="preserve">                      </w:t>
      </w:r>
      <w:r>
        <w:rPr>
          <w:rtl/>
        </w:rPr>
        <w:t>(9).</w:t>
      </w:r>
      <w:r w:rsidR="0014403D">
        <w:rPr>
          <w:rtl/>
        </w:rPr>
        <w:t xml:space="preserve"> </w:t>
      </w:r>
      <w:r w:rsidR="00992664" w:rsidRPr="00020424">
        <w:rPr>
          <w:rtl/>
        </w:rPr>
        <w:t xml:space="preserve">في « بر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اللغة : السَّخْلَة تطلق على أولاد الغنم ساعة تضعه من الضأن والمعز جميعاً ، ذكراً كان أو ا</w:t>
      </w:r>
      <w:r w:rsidR="00400BB1">
        <w:rPr>
          <w:rFonts w:hint="cs"/>
          <w:rtl/>
        </w:rPr>
        <w:t>ُ</w:t>
      </w:r>
      <w:r w:rsidR="00992664" w:rsidRPr="00020424">
        <w:rPr>
          <w:rtl/>
        </w:rPr>
        <w:t xml:space="preserve">نثى ، وجمعها سَخْل وسِخال. راجع : </w:t>
      </w:r>
      <w:r w:rsidR="00992664" w:rsidRPr="0012008A">
        <w:rPr>
          <w:rStyle w:val="libFootnoteBoldChar"/>
          <w:rtl/>
        </w:rPr>
        <w:t>الصحاح</w:t>
      </w:r>
      <w:r w:rsidR="00992664" w:rsidRPr="00020424">
        <w:rPr>
          <w:rtl/>
        </w:rPr>
        <w:t xml:space="preserve"> ، ج 5 ، ص 1728 ؛ </w:t>
      </w:r>
      <w:r w:rsidR="00992664" w:rsidRPr="00A722B1">
        <w:rPr>
          <w:rStyle w:val="libFootnoteBoldChar"/>
          <w:rtl/>
        </w:rPr>
        <w:t>المصباح المنير</w:t>
      </w:r>
      <w:r w:rsidR="00992664" w:rsidRPr="00020424">
        <w:rPr>
          <w:rtl/>
        </w:rPr>
        <w:t xml:space="preserve"> ، ص 269 ( سخل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تَجِبُ </w:t>
      </w:r>
      <w:r w:rsidRPr="00A91B96">
        <w:rPr>
          <w:rStyle w:val="libFootnotenumChar"/>
          <w:rtl/>
        </w:rPr>
        <w:t>(1)</w:t>
      </w:r>
      <w:r w:rsidRPr="00020424">
        <w:rPr>
          <w:rtl/>
          <w:lang w:bidi="fa-IR"/>
        </w:rPr>
        <w:t xml:space="preserve"> فِيهِ الصَّدَقَةُ</w:t>
      </w:r>
      <w:r>
        <w:rPr>
          <w:rtl/>
          <w:lang w:bidi="fa-IR"/>
        </w:rPr>
        <w:t>؟</w:t>
      </w:r>
    </w:p>
    <w:p w:rsidR="00992664" w:rsidRPr="00020424" w:rsidRDefault="00992664" w:rsidP="00992664">
      <w:pPr>
        <w:pStyle w:val="libNormal"/>
        <w:rPr>
          <w:rtl/>
          <w:lang w:bidi="fa-IR"/>
        </w:rPr>
      </w:pPr>
      <w:r w:rsidRPr="00020424">
        <w:rPr>
          <w:rtl/>
          <w:lang w:bidi="fa-IR"/>
        </w:rPr>
        <w:t xml:space="preserve">قَالَ : « إِذَا أَجْذَعَ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Heading2Center"/>
        <w:rPr>
          <w:rtl/>
          <w:lang w:bidi="fa-IR"/>
        </w:rPr>
      </w:pPr>
      <w:bookmarkStart w:id="78" w:name="_Toc345172742"/>
      <w:bookmarkStart w:id="79" w:name="_Toc464562559"/>
      <w:bookmarkStart w:id="80" w:name="_Toc44599862"/>
      <w:r w:rsidRPr="00020424">
        <w:rPr>
          <w:rtl/>
          <w:lang w:bidi="fa-IR"/>
        </w:rPr>
        <w:t>22</w:t>
      </w:r>
      <w:r>
        <w:rPr>
          <w:rtl/>
          <w:lang w:bidi="fa-IR"/>
        </w:rPr>
        <w:t xml:space="preserve"> </w:t>
      </w:r>
      <w:r w:rsidR="009B673F">
        <w:rPr>
          <w:rtl/>
          <w:lang w:bidi="fa-IR"/>
        </w:rPr>
        <w:t>-</w:t>
      </w:r>
      <w:r>
        <w:rPr>
          <w:rtl/>
          <w:lang w:bidi="fa-IR"/>
        </w:rPr>
        <w:t xml:space="preserve"> </w:t>
      </w:r>
      <w:r w:rsidRPr="00020424">
        <w:rPr>
          <w:rtl/>
          <w:lang w:bidi="fa-IR"/>
        </w:rPr>
        <w:t>بَابُ أَدَبِ الْمُصَدِّقِ‌</w:t>
      </w:r>
      <w:bookmarkEnd w:id="78"/>
      <w:bookmarkEnd w:id="79"/>
      <w:bookmarkEnd w:id="80"/>
    </w:p>
    <w:p w:rsidR="00992664" w:rsidRPr="00020424" w:rsidRDefault="00992664" w:rsidP="00992664">
      <w:pPr>
        <w:pStyle w:val="libNormal"/>
        <w:rPr>
          <w:rtl/>
          <w:lang w:bidi="fa-IR"/>
        </w:rPr>
      </w:pPr>
      <w:r w:rsidRPr="00AD016D">
        <w:rPr>
          <w:rtl/>
        </w:rPr>
        <w:t>5866</w:t>
      </w:r>
      <w:r w:rsidRPr="001155DE">
        <w:rPr>
          <w:rStyle w:val="libBold2Char"/>
          <w:rtl/>
        </w:rPr>
        <w:t xml:space="preserve"> / 1.</w:t>
      </w:r>
      <w:r w:rsidRPr="00020424">
        <w:rPr>
          <w:rtl/>
          <w:lang w:bidi="fa-IR"/>
        </w:rPr>
        <w:t xml:space="preserve"> عَلِيُّ بْنُ إِبْرَاهِيمَ ، عَنْ أَبِيهِ </w:t>
      </w:r>
      <w:r w:rsidRPr="00A91B96">
        <w:rPr>
          <w:rStyle w:val="libFootnotenumChar"/>
          <w:rtl/>
        </w:rPr>
        <w:t>(4)</w:t>
      </w:r>
      <w:r w:rsidRPr="00020424">
        <w:rPr>
          <w:rtl/>
          <w:lang w:bidi="fa-IR"/>
        </w:rPr>
        <w:t xml:space="preserve"> ، عَنْ حَمَّادِ بْنِ عِيسى ، عَنْ حَرِيزٍ ، عَنْ بُرَيْدِ بْنِ مُعَاوِيَةَ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w:t>
      </w:r>
      <w:r w:rsidRPr="00A91B96">
        <w:rPr>
          <w:rStyle w:val="libFootnotenumChar"/>
          <w:rtl/>
        </w:rPr>
        <w:t>(5)</w:t>
      </w:r>
      <w:r w:rsidRPr="00020424">
        <w:rPr>
          <w:rtl/>
          <w:lang w:bidi="fa-IR"/>
        </w:rPr>
        <w:t xml:space="preserve"> يَقُولُ : « بَعَثَ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مُصَدِّقاً مِنَ الْكُوفَةِ إِلى بَادِيَتِهَا ، فَقَالَ لَهُ : يَا عَبْدَ اللهِ ، انْطَلِقْ ، وَعَلَيْكَ بِتَقْوَى اللهِ وَحْدَهُ لَا شَرِيكَ لَهُ ، وَلَاتُؤْثِرَنَّ </w:t>
      </w:r>
      <w:r w:rsidRPr="00A91B96">
        <w:rPr>
          <w:rStyle w:val="libFootnotenumChar"/>
          <w:rtl/>
        </w:rPr>
        <w:t>(6)</w:t>
      </w:r>
      <w:r w:rsidRPr="00020424">
        <w:rPr>
          <w:rtl/>
          <w:lang w:bidi="fa-IR"/>
        </w:rPr>
        <w:t xml:space="preserve"> دُنْيَاكَ عَلى آخِرَتِكَ </w:t>
      </w:r>
      <w:r w:rsidRPr="00A91B96">
        <w:rPr>
          <w:rStyle w:val="libFootnotenumChar"/>
          <w:rtl/>
        </w:rPr>
        <w:t>(7)</w:t>
      </w:r>
      <w:r w:rsidRPr="00020424">
        <w:rPr>
          <w:rtl/>
          <w:lang w:bidi="fa-IR"/>
        </w:rPr>
        <w:t xml:space="preserve"> ، وَكُنْ حَافِظاً لِمَا ائْتَمَنْتُكَ </w:t>
      </w:r>
      <w:r w:rsidRPr="00A91B96">
        <w:rPr>
          <w:rStyle w:val="libFootnotenumChar"/>
          <w:rtl/>
        </w:rPr>
        <w:t>(8)</w:t>
      </w:r>
      <w:r w:rsidRPr="00020424">
        <w:rPr>
          <w:rtl/>
          <w:lang w:bidi="fa-IR"/>
        </w:rPr>
        <w:t xml:space="preserve"> عَلَيْهِ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بخ » : « يجب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أجذع » ، أي إذا صار جَذَعاً ، وأصل الجذع من أسنان الدوابّ ، وهو ما كان منها شابّاً فتيّاً ، فهو من الإبل ما دخل في السنة الخامسة ، ومن البقر والمعز ما دخل في السنة الثانية ، وقيل : البقر في الثالثة ، ومن الضأن ما تمّت له سنة ، وقيل أقلّ منها ، ومنهم من يخالف بعض هذا في التقدير. راجع : </w:t>
      </w:r>
      <w:r w:rsidR="00992664" w:rsidRPr="0012008A">
        <w:rPr>
          <w:rStyle w:val="libFootnoteBoldChar"/>
          <w:rtl/>
        </w:rPr>
        <w:t>النهاية</w:t>
      </w:r>
      <w:r w:rsidR="00992664" w:rsidRPr="00020424">
        <w:rPr>
          <w:rtl/>
        </w:rPr>
        <w:t xml:space="preserve"> ، ج 1 ، ص 250 ؛ </w:t>
      </w:r>
      <w:r w:rsidR="00992664" w:rsidRPr="00A722B1">
        <w:rPr>
          <w:rStyle w:val="libFootnoteBoldChar"/>
          <w:rtl/>
        </w:rPr>
        <w:t>لسان العرب</w:t>
      </w:r>
      <w:r w:rsidR="00992664" w:rsidRPr="00020424">
        <w:rPr>
          <w:rtl/>
        </w:rPr>
        <w:t xml:space="preserve"> ، ج 8 ، ص 43 ( جذع )</w:t>
      </w:r>
      <w:r w:rsidR="00992664">
        <w:rPr>
          <w:rtl/>
        </w:rPr>
        <w:t>.</w:t>
      </w:r>
    </w:p>
    <w:p w:rsidR="00992664" w:rsidRPr="00020424" w:rsidRDefault="00992664" w:rsidP="00400BB1">
      <w:pPr>
        <w:pStyle w:val="libFootnote0"/>
        <w:rPr>
          <w:rtl/>
          <w:lang w:bidi="fa-IR"/>
        </w:rPr>
      </w:pPr>
      <w:r w:rsidRPr="00400BB1">
        <w:rPr>
          <w:rtl/>
        </w:rPr>
        <w:t xml:space="preserve">هذا ، في هامش </w:t>
      </w:r>
      <w:r w:rsidRPr="0012008A">
        <w:rPr>
          <w:rStyle w:val="libFootnoteBoldChar"/>
          <w:rtl/>
        </w:rPr>
        <w:t>الوافي</w:t>
      </w:r>
      <w:r w:rsidRPr="00400BB1">
        <w:rPr>
          <w:rtl/>
        </w:rPr>
        <w:t xml:space="preserve"> عن مراد </w:t>
      </w:r>
      <w:r w:rsidR="00D64ADA" w:rsidRPr="00D64ADA">
        <w:rPr>
          <w:rStyle w:val="libFootnoteAlaemChar"/>
          <w:rtl/>
        </w:rPr>
        <w:t>رحمه‌الله</w:t>
      </w:r>
      <w:r w:rsidRPr="00400BB1">
        <w:rPr>
          <w:rtl/>
        </w:rPr>
        <w:t xml:space="preserve"> : « إذا أجذع ، أي دخل في وقت لايلقى فيه السنّ ولاينبت ، وهو غير موافق للمشهور وهو استغناؤه بالرعي عن اللبن ، فلا بدّ من تأويله » ، وفيه أيضاً عن سلطان </w:t>
      </w:r>
      <w:r w:rsidR="00D64ADA" w:rsidRPr="00D64ADA">
        <w:rPr>
          <w:rStyle w:val="libFootnoteAlaemChar"/>
          <w:rtl/>
        </w:rPr>
        <w:t>رحمه‌الله</w:t>
      </w:r>
      <w:r w:rsidRPr="00400BB1">
        <w:rPr>
          <w:rtl/>
        </w:rPr>
        <w:t xml:space="preserve"> : « هذا خلاف المشهور ، والمشهور أنّها إذا استغنت عن الا</w:t>
      </w:r>
      <w:r w:rsidR="00400BB1">
        <w:rPr>
          <w:rFonts w:hint="cs"/>
          <w:rtl/>
        </w:rPr>
        <w:t>ُ</w:t>
      </w:r>
      <w:r w:rsidRPr="00400BB1">
        <w:rPr>
          <w:rtl/>
        </w:rPr>
        <w:t>مّهات بالرعي ونقل عن الشيخ من حين النتاج ، ويشكل باعتبار السوم ».</w:t>
      </w:r>
    </w:p>
    <w:p w:rsidR="00992664" w:rsidRPr="00020424" w:rsidRDefault="00992664" w:rsidP="00400BB1">
      <w:pPr>
        <w:pStyle w:val="libFootnote0"/>
        <w:rPr>
          <w:rtl/>
          <w:lang w:bidi="fa-IR"/>
        </w:rPr>
      </w:pPr>
      <w:r w:rsidRPr="00400BB1">
        <w:rPr>
          <w:rtl/>
        </w:rPr>
        <w:t xml:space="preserve">وفي </w:t>
      </w:r>
      <w:r w:rsidRPr="00AD016D">
        <w:rPr>
          <w:rtl/>
        </w:rPr>
        <w:t>مرآة العقول</w:t>
      </w:r>
      <w:r w:rsidRPr="00400BB1">
        <w:rPr>
          <w:rtl/>
        </w:rPr>
        <w:t xml:space="preserve"> ، ج 16 ، ص 65 : « يمكن أن يكون المراد متى يجوز أخذها في صدقة الإبل؟ ... ويحتمل أن يكون المراد </w:t>
      </w:r>
      <w:r w:rsidR="00BF65BB">
        <w:rPr>
          <w:rtl/>
        </w:rPr>
        <w:t>أنّ السخال لاتحسب في النصاب إل</w:t>
      </w:r>
      <w:r w:rsidR="00BF65BB">
        <w:rPr>
          <w:rFonts w:hint="cs"/>
          <w:rtl/>
        </w:rPr>
        <w:t>ّ</w:t>
      </w:r>
      <w:r w:rsidR="00BF65BB">
        <w:rPr>
          <w:rtl/>
        </w:rPr>
        <w:t>ا</w:t>
      </w:r>
      <w:r w:rsidR="00BF65BB">
        <w:rPr>
          <w:rFonts w:hint="cs"/>
          <w:rtl/>
        </w:rPr>
        <w:t xml:space="preserve"> </w:t>
      </w:r>
      <w:r w:rsidRPr="00400BB1">
        <w:rPr>
          <w:rtl/>
        </w:rPr>
        <w:t>بعد صيرورتها جذعاً ؛ لاستغنائها بالرعي حينئذ غالباً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28 ، ح 1610 ، معلّقاً عن إسحاق بن عمّار </w:t>
      </w:r>
      <w:r w:rsidR="00BF65BB">
        <w:rPr>
          <w:rFonts w:hint="cs"/>
          <w:rtl/>
        </w:rPr>
        <w:t>.</w:t>
      </w:r>
      <w:r w:rsidR="00992664" w:rsidRPr="0012008A">
        <w:rPr>
          <w:rStyle w:val="libFootnoteBoldChar"/>
          <w:rtl/>
        </w:rPr>
        <w:t>الوافي</w:t>
      </w:r>
      <w:r w:rsidR="00992664" w:rsidRPr="00020424">
        <w:rPr>
          <w:rtl/>
        </w:rPr>
        <w:t xml:space="preserve"> ، ج 10 ، ص 98 ، ح 9225 ؛ </w:t>
      </w:r>
      <w:r w:rsidR="00992664" w:rsidRPr="0012008A">
        <w:rPr>
          <w:rStyle w:val="libFootnoteBoldChar"/>
          <w:rtl/>
        </w:rPr>
        <w:t>الوسائل</w:t>
      </w:r>
      <w:r w:rsidR="00992664" w:rsidRPr="00020424">
        <w:rPr>
          <w:rtl/>
        </w:rPr>
        <w:t xml:space="preserve"> ، ج 9 ، ص 123 ، ح 11666.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الكافي ، ح 1060 : + « ومحمّد بن يحيى ، عن أحمد بن محمّد جميعاً</w:t>
      </w:r>
      <w:r w:rsidR="00992664">
        <w:rPr>
          <w:rtl/>
        </w:rPr>
        <w:t xml:space="preserve"> ».</w:t>
      </w:r>
    </w:p>
    <w:p w:rsidR="00992664" w:rsidRPr="00020424" w:rsidRDefault="00795177" w:rsidP="007C1F97">
      <w:pPr>
        <w:pStyle w:val="libFootnote0"/>
        <w:rPr>
          <w:rtl/>
          <w:lang w:bidi="fa-IR"/>
        </w:rPr>
      </w:pPr>
      <w:r>
        <w:rPr>
          <w:rtl/>
        </w:rPr>
        <w:t>(5).</w:t>
      </w:r>
      <w:r w:rsidR="0014403D">
        <w:rPr>
          <w:rtl/>
        </w:rPr>
        <w:t xml:space="preserve"> </w:t>
      </w:r>
      <w:r w:rsidR="00992664" w:rsidRPr="00020424">
        <w:rPr>
          <w:rtl/>
        </w:rPr>
        <w:t xml:space="preserve">في الكافي ، ح 1060 : « عن أبي جعفر </w:t>
      </w:r>
      <w:r w:rsidR="007C1F97" w:rsidRPr="007C1F97">
        <w:rPr>
          <w:rStyle w:val="libFootnoteAlaemChar"/>
          <w:rFonts w:eastAsiaTheme="minorHAnsi"/>
          <w:rtl/>
        </w:rPr>
        <w:t>عليه‌السلام</w:t>
      </w:r>
      <w:r w:rsidR="007C1F97" w:rsidRPr="00020424">
        <w:rPr>
          <w:rtl/>
        </w:rPr>
        <w:t xml:space="preserve"> </w:t>
      </w:r>
      <w:r w:rsidR="00992664" w:rsidRPr="00020424">
        <w:rPr>
          <w:rtl/>
        </w:rPr>
        <w:t xml:space="preserve">» بدل « قال : سمعت أبا عبدالله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ولا تؤثر</w:t>
      </w:r>
      <w:r w:rsidR="00992664">
        <w:rPr>
          <w:rtl/>
        </w:rPr>
        <w:t xml:space="preserve"> ».</w:t>
      </w:r>
    </w:p>
    <w:p w:rsidR="00992664" w:rsidRPr="00020424" w:rsidRDefault="00795177" w:rsidP="00104F79">
      <w:pPr>
        <w:pStyle w:val="libFootnote0"/>
        <w:rPr>
          <w:rtl/>
          <w:lang w:bidi="fa-IR"/>
        </w:rPr>
      </w:pPr>
      <w:r>
        <w:rPr>
          <w:rtl/>
        </w:rPr>
        <w:t>(7).</w:t>
      </w:r>
      <w:r w:rsidR="0014403D">
        <w:rPr>
          <w:rtl/>
        </w:rPr>
        <w:t xml:space="preserve"> </w:t>
      </w:r>
      <w:r w:rsidR="00992664" w:rsidRPr="00020424">
        <w:rPr>
          <w:rtl/>
        </w:rPr>
        <w:t xml:space="preserve">« لا تؤثرنّ دنياك على آخرتك » ، أي لا تفضّلها ولا تخترها ولا تقدّمها عليها. راجع : </w:t>
      </w:r>
      <w:r w:rsidR="00992664" w:rsidRPr="00A722B1">
        <w:rPr>
          <w:rStyle w:val="libFootnoteBoldChar"/>
          <w:rtl/>
        </w:rPr>
        <w:t>لسان العرب</w:t>
      </w:r>
      <w:r w:rsidR="00992664" w:rsidRPr="00020424">
        <w:rPr>
          <w:rtl/>
        </w:rPr>
        <w:t xml:space="preserve"> ، ج 4 ، ص 7 ؛ </w:t>
      </w:r>
      <w:r w:rsidR="00992664" w:rsidRPr="00A722B1">
        <w:rPr>
          <w:rStyle w:val="libFootnoteBoldChar"/>
          <w:rtl/>
        </w:rPr>
        <w:t>المصباح المنير</w:t>
      </w:r>
      <w:r w:rsidR="00992664" w:rsidRPr="00020424">
        <w:rPr>
          <w:rtl/>
        </w:rPr>
        <w:t xml:space="preserve"> ، ص 4 ( أثر )</w:t>
      </w:r>
      <w:r w:rsidR="00992664">
        <w:rPr>
          <w:rtl/>
        </w:rPr>
        <w:t>.</w:t>
      </w:r>
      <w:r w:rsidR="00104F79">
        <w:rPr>
          <w:rFonts w:hint="cs"/>
          <w:rtl/>
        </w:rPr>
        <w:t xml:space="preserve">                 </w:t>
      </w:r>
      <w:r>
        <w:rPr>
          <w:rtl/>
        </w:rPr>
        <w:t>(8).</w:t>
      </w:r>
      <w:r w:rsidR="0014403D">
        <w:rPr>
          <w:rtl/>
        </w:rPr>
        <w:t xml:space="preserve"> </w:t>
      </w:r>
      <w:r w:rsidR="00992664" w:rsidRPr="00020424">
        <w:rPr>
          <w:rtl/>
        </w:rPr>
        <w:t>في«بر»:«ائتمنك</w:t>
      </w:r>
      <w:r w:rsidR="00992664">
        <w:rPr>
          <w:rtl/>
        </w:rPr>
        <w:t>».</w:t>
      </w:r>
      <w:r w:rsidR="00992664" w:rsidRPr="00020424">
        <w:rPr>
          <w:rtl/>
        </w:rPr>
        <w:t>وفي«جن»:«يأتمنك</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رَاعِياً </w:t>
      </w:r>
      <w:r w:rsidRPr="00A91B96">
        <w:rPr>
          <w:rStyle w:val="libFootnotenumChar"/>
          <w:rtl/>
        </w:rPr>
        <w:t>(1)</w:t>
      </w:r>
      <w:r w:rsidRPr="00020424">
        <w:rPr>
          <w:rtl/>
          <w:lang w:bidi="fa-IR"/>
        </w:rPr>
        <w:t xml:space="preserve"> لِحَقِّ اللهِ فِيهِ حَتّى تَأْتِيَ نَادِيَ </w:t>
      </w:r>
      <w:r w:rsidRPr="00A91B96">
        <w:rPr>
          <w:rStyle w:val="libFootnotenumChar"/>
          <w:rtl/>
        </w:rPr>
        <w:t>(2)</w:t>
      </w:r>
      <w:r w:rsidRPr="00020424">
        <w:rPr>
          <w:rtl/>
          <w:lang w:bidi="fa-IR"/>
        </w:rPr>
        <w:t xml:space="preserve"> بَنِي فُلَانٍ ، فَإِذَا قَدِمْتَ فَانْزِلْ بِمَائِهِمْ </w:t>
      </w:r>
      <w:r w:rsidRPr="00A91B96">
        <w:rPr>
          <w:rStyle w:val="libFootnotenumChar"/>
          <w:rtl/>
        </w:rPr>
        <w:t>(3)</w:t>
      </w:r>
      <w:r w:rsidRPr="00020424">
        <w:rPr>
          <w:rtl/>
          <w:lang w:bidi="fa-IR"/>
        </w:rPr>
        <w:t xml:space="preserve"> مِنْ غَيْرِ أَنْ تُخَالِطَ أَبْيَاتَهُمْ ، ثُمَّ امْضِ إِلَيْهِمْ بِسَكِينَةٍ وَوَقَارٍ حَتّى تَقُومَ بَيْنَهُمْ ، وَتُسَلِّمَ </w:t>
      </w:r>
      <w:r w:rsidRPr="00A91B96">
        <w:rPr>
          <w:rStyle w:val="libFootnotenumChar"/>
          <w:rtl/>
        </w:rPr>
        <w:t>(4)</w:t>
      </w:r>
      <w:r w:rsidRPr="00020424">
        <w:rPr>
          <w:rtl/>
          <w:lang w:bidi="fa-IR"/>
        </w:rPr>
        <w:t xml:space="preserve"> عَلَيْهِمْ ، ثُمَّ قُلْ لَهُمْ : يَا عِبَادَ اللهِ ، أَرْسَلَنِي إِلَيْكُمْ </w:t>
      </w:r>
      <w:r w:rsidRPr="00A91B96">
        <w:rPr>
          <w:rStyle w:val="libFootnotenumChar"/>
          <w:rtl/>
        </w:rPr>
        <w:t>(5)</w:t>
      </w:r>
      <w:r w:rsidRPr="00020424">
        <w:rPr>
          <w:rtl/>
          <w:lang w:bidi="fa-IR"/>
        </w:rPr>
        <w:t xml:space="preserve"> وَلِيُّ اللهِ لِآخُذَ مِنْكُمْ حَقَّ اللهِ فِي أَمْوَالِكُمْ ، فَهَلْ لِلّهِ فِي أَمْوَالِكُمْ مِنْ </w:t>
      </w:r>
      <w:r w:rsidRPr="00A91B96">
        <w:rPr>
          <w:rStyle w:val="libFootnotenumChar"/>
          <w:rtl/>
        </w:rPr>
        <w:t>(6)</w:t>
      </w:r>
      <w:r w:rsidRPr="00020424">
        <w:rPr>
          <w:rtl/>
          <w:lang w:bidi="fa-IR"/>
        </w:rPr>
        <w:t xml:space="preserve"> حَقٍّ فَتُؤَدُّونَ </w:t>
      </w:r>
      <w:r w:rsidRPr="00A91B96">
        <w:rPr>
          <w:rStyle w:val="libFootnotenumChar"/>
          <w:rtl/>
        </w:rPr>
        <w:t>(7)</w:t>
      </w:r>
      <w:r w:rsidRPr="00020424">
        <w:rPr>
          <w:rtl/>
          <w:lang w:bidi="fa-IR"/>
        </w:rPr>
        <w:t xml:space="preserve"> إِلى وَلِيِّهِ</w:t>
      </w:r>
      <w:r>
        <w:rPr>
          <w:rtl/>
          <w:lang w:bidi="fa-IR"/>
        </w:rPr>
        <w:t>؟</w:t>
      </w:r>
      <w:r w:rsidRPr="00020424">
        <w:rPr>
          <w:rtl/>
          <w:lang w:bidi="fa-IR"/>
        </w:rPr>
        <w:t xml:space="preserve"> فَإِنْ قَالَ لَكَ قَائِلٌ : لَا ، فَلَا تُرَاجِعْهُ ، وَإِنْ </w:t>
      </w:r>
      <w:r w:rsidRPr="00A91B96">
        <w:rPr>
          <w:rStyle w:val="libFootnotenumChar"/>
          <w:rtl/>
        </w:rPr>
        <w:t>(8)</w:t>
      </w:r>
      <w:r w:rsidRPr="00020424">
        <w:rPr>
          <w:rtl/>
          <w:lang w:bidi="fa-IR"/>
        </w:rPr>
        <w:t xml:space="preserve"> أَنْعَمَ لَكَ مِنْهُمْ مُنْعِمٌ </w:t>
      </w:r>
      <w:r w:rsidRPr="00A91B96">
        <w:rPr>
          <w:rStyle w:val="libFootnotenumChar"/>
          <w:rtl/>
        </w:rPr>
        <w:t>(9)</w:t>
      </w:r>
      <w:r w:rsidRPr="00020424">
        <w:rPr>
          <w:rtl/>
          <w:lang w:bidi="fa-IR"/>
        </w:rPr>
        <w:t xml:space="preserve"> ، فَانْطَلِقْ مَعَهُ مِنْ غَيْرِ أَن</w:t>
      </w:r>
      <w:r w:rsidR="00DC1B63">
        <w:rPr>
          <w:rtl/>
          <w:lang w:bidi="fa-IR"/>
        </w:rPr>
        <w:t>ْ تُخِيفَهُ أَوْ تَعِدَهُ إِل</w:t>
      </w:r>
      <w:r w:rsidR="00DC1B63">
        <w:rPr>
          <w:rFonts w:hint="cs"/>
          <w:rtl/>
          <w:lang w:bidi="fa-IR"/>
        </w:rPr>
        <w:t>َّ</w:t>
      </w:r>
      <w:r w:rsidR="00DC1B63">
        <w:rPr>
          <w:rtl/>
          <w:lang w:bidi="fa-IR"/>
        </w:rPr>
        <w:t>ا</w:t>
      </w:r>
      <w:r w:rsidRPr="00020424">
        <w:rPr>
          <w:rtl/>
          <w:lang w:bidi="fa-IR"/>
        </w:rPr>
        <w:t xml:space="preserve"> خَيْراً ، فَإِذَا أَتَيْتَ</w:t>
      </w:r>
      <w:r w:rsidR="00DC1B63">
        <w:rPr>
          <w:rtl/>
          <w:lang w:bidi="fa-IR"/>
        </w:rPr>
        <w:t xml:space="preserve"> مَالَهُ فَلَا تَدْخُلْهُ إِلا</w:t>
      </w:r>
      <w:r w:rsidRPr="00020424">
        <w:rPr>
          <w:rtl/>
          <w:lang w:bidi="fa-IR"/>
        </w:rPr>
        <w:t xml:space="preserve"> بِإِذْنِهِ ، فَإِنَّ أَكْثَرَهُ لَهُ ، فَقُلْ </w:t>
      </w:r>
      <w:r w:rsidRPr="00A91B96">
        <w:rPr>
          <w:rStyle w:val="libFootnotenumChar"/>
          <w:rtl/>
        </w:rPr>
        <w:t>(10)</w:t>
      </w:r>
      <w:r>
        <w:rPr>
          <w:rtl/>
          <w:lang w:bidi="fa-IR"/>
        </w:rPr>
        <w:t xml:space="preserve"> : يَا عَبْدَ اللهِ ، أَ</w:t>
      </w:r>
      <w:r w:rsidRPr="00020424">
        <w:rPr>
          <w:rtl/>
          <w:lang w:bidi="fa-IR"/>
        </w:rPr>
        <w:t>تَأْذَنُ لِي فِي دُخُولِ مَالِكَ</w:t>
      </w:r>
      <w:r>
        <w:rPr>
          <w:rtl/>
          <w:lang w:bidi="fa-IR"/>
        </w:rPr>
        <w:t>؟</w:t>
      </w:r>
      <w:r>
        <w:rPr>
          <w:rFonts w:hint="cs"/>
          <w:rtl/>
          <w:lang w:bidi="fa-IR"/>
        </w:rPr>
        <w:t xml:space="preserve"> </w:t>
      </w:r>
      <w:r w:rsidRPr="00020424">
        <w:rPr>
          <w:rtl/>
          <w:lang w:bidi="fa-IR"/>
        </w:rPr>
        <w:t xml:space="preserve">فَإِنْ أَذِنَ لَكَ </w:t>
      </w:r>
      <w:r w:rsidRPr="00A91B96">
        <w:rPr>
          <w:rStyle w:val="libFootnotenumChar"/>
          <w:rtl/>
        </w:rPr>
        <w:t>(11)</w:t>
      </w:r>
      <w:r w:rsidRPr="00020424">
        <w:rPr>
          <w:rtl/>
          <w:lang w:bidi="fa-IR"/>
        </w:rPr>
        <w:t xml:space="preserve"> فَلَا تَدْخُلْهُ دُخُولَ مُتَسَلِّطٍ عَلَيْهِ فِيهِ ، وَلَاعُنْفٍ </w:t>
      </w:r>
      <w:r w:rsidRPr="00A91B96">
        <w:rPr>
          <w:rStyle w:val="libFootnotenumChar"/>
          <w:rtl/>
        </w:rPr>
        <w:t>(12)</w:t>
      </w:r>
      <w:r w:rsidRPr="00020424">
        <w:rPr>
          <w:rtl/>
          <w:lang w:bidi="fa-IR"/>
        </w:rPr>
        <w:t xml:space="preserve"> بِهِ ، فَاصْدَعِ </w:t>
      </w:r>
      <w:r w:rsidRPr="00A91B96">
        <w:rPr>
          <w:rStyle w:val="libFootnotenumChar"/>
          <w:rtl/>
        </w:rPr>
        <w:t>(13)</w:t>
      </w:r>
      <w:r w:rsidRPr="00020424">
        <w:rPr>
          <w:rtl/>
          <w:lang w:bidi="fa-IR"/>
        </w:rPr>
        <w:t xml:space="preserve"> الْمَالَ صَدْعَيْنِ </w:t>
      </w:r>
      <w:r w:rsidRPr="00A91B96">
        <w:rPr>
          <w:rStyle w:val="libFootnotenumChar"/>
          <w:rtl/>
        </w:rPr>
        <w:t>(14)</w:t>
      </w:r>
      <w:r w:rsidRPr="00020424">
        <w:rPr>
          <w:rtl/>
          <w:lang w:bidi="fa-IR"/>
        </w:rPr>
        <w:t xml:space="preserve"> ، ثُمَّ خَيِّرْهُ أَيَّ الصَّدْعَيْنِ شَاءَ ، فَأَيَّهُمَا اخْتَارَ فَلَا تَعَرَّضْ لَهُ ، ثُمَّ اصْدَعِ الْبَاقِيَ صَدْعَيْنِ ، ثُمَّ خَيِّرْهُ </w:t>
      </w:r>
      <w:r w:rsidRPr="00A91B96">
        <w:rPr>
          <w:rStyle w:val="libFootnotenumChar"/>
          <w:rtl/>
        </w:rPr>
        <w:t>(15)</w:t>
      </w:r>
      <w:r w:rsidRPr="00020424">
        <w:rPr>
          <w:rtl/>
          <w:lang w:bidi="fa-IR"/>
        </w:rPr>
        <w:t xml:space="preserve"> ، فَأَيَّهُمَا اخْتَارَ فَلَا تَعَرَّضْ لَهُ ، وَلَاتَزَالُ </w:t>
      </w:r>
      <w:r w:rsidRPr="00A91B96">
        <w:rPr>
          <w:rStyle w:val="libFootnotenumChar"/>
          <w:rtl/>
        </w:rPr>
        <w:t>(16)</w:t>
      </w:r>
      <w:r w:rsidR="00DC1B63">
        <w:rPr>
          <w:rtl/>
          <w:lang w:bidi="fa-IR"/>
        </w:rPr>
        <w:t xml:space="preserve"> كَذلِكَ حَتّى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مراعياً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النادي » : مجتمع القوم ومجلسهم ومتحدَّثهم ما داموا مجتمعين ، وأهل المجلس فيقع على المجلس وأهله ، ويقال له : النَدِيّ أيضاً. راجع : </w:t>
      </w:r>
      <w:r w:rsidR="00992664" w:rsidRPr="0012008A">
        <w:rPr>
          <w:rStyle w:val="libFootnoteBoldChar"/>
          <w:rtl/>
        </w:rPr>
        <w:t>الصحاح</w:t>
      </w:r>
      <w:r w:rsidR="00992664" w:rsidRPr="00020424">
        <w:rPr>
          <w:rtl/>
        </w:rPr>
        <w:t xml:space="preserve"> ، ج 6 ، ص 2505 ؛ </w:t>
      </w:r>
      <w:r w:rsidR="00992664" w:rsidRPr="0012008A">
        <w:rPr>
          <w:rStyle w:val="libFootnoteBoldChar"/>
          <w:rtl/>
        </w:rPr>
        <w:t>النهاية</w:t>
      </w:r>
      <w:r w:rsidR="00992664" w:rsidRPr="00020424">
        <w:rPr>
          <w:rtl/>
        </w:rPr>
        <w:t xml:space="preserve"> ، ج 5 ، ص 36 ( ندا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الغارات : « بفنائهم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sidRPr="00515444">
        <w:rPr>
          <w:rStyle w:val="libFootnoteBoldChar"/>
          <w:rtl/>
        </w:rPr>
        <w:t>والتهذيب</w:t>
      </w:r>
      <w:r w:rsidR="00992664" w:rsidRPr="00020424">
        <w:rPr>
          <w:rtl/>
        </w:rPr>
        <w:t xml:space="preserve"> : « فتسلّم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C1B63" w:rsidTr="00DC1B63">
        <w:tc>
          <w:tcPr>
            <w:tcW w:w="4006" w:type="dxa"/>
          </w:tcPr>
          <w:p w:rsidR="00DC1B63" w:rsidRDefault="00DC1B63" w:rsidP="00992664">
            <w:pPr>
              <w:pStyle w:val="libFootnote0"/>
              <w:rPr>
                <w:rtl/>
              </w:rPr>
            </w:pPr>
            <w:r>
              <w:rPr>
                <w:rtl/>
              </w:rPr>
              <w:t xml:space="preserve">(5). </w:t>
            </w:r>
            <w:r w:rsidRPr="00020424">
              <w:rPr>
                <w:rtl/>
              </w:rPr>
              <w:t>في « بخ » :</w:t>
            </w:r>
            <w:r>
              <w:rPr>
                <w:rtl/>
              </w:rPr>
              <w:t xml:space="preserve"> - </w:t>
            </w:r>
            <w:r w:rsidRPr="00020424">
              <w:rPr>
                <w:rtl/>
              </w:rPr>
              <w:t>« إليكم</w:t>
            </w:r>
            <w:r>
              <w:rPr>
                <w:rtl/>
              </w:rPr>
              <w:t xml:space="preserve"> ».</w:t>
            </w:r>
          </w:p>
        </w:tc>
        <w:tc>
          <w:tcPr>
            <w:tcW w:w="4006" w:type="dxa"/>
          </w:tcPr>
          <w:p w:rsidR="00DC1B63" w:rsidRDefault="00DC1B63" w:rsidP="00992664">
            <w:pPr>
              <w:pStyle w:val="libFootnote0"/>
              <w:rPr>
                <w:rtl/>
              </w:rPr>
            </w:pPr>
            <w:r>
              <w:rPr>
                <w:rtl/>
              </w:rPr>
              <w:t xml:space="preserve">(6). </w:t>
            </w:r>
            <w:r w:rsidRPr="00020424">
              <w:rPr>
                <w:rtl/>
              </w:rPr>
              <w:t xml:space="preserve">في « بر » </w:t>
            </w:r>
            <w:r w:rsidRPr="00515444">
              <w:rPr>
                <w:rStyle w:val="libFootnoteBoldChar"/>
                <w:rtl/>
              </w:rPr>
              <w:t>والتهذيب</w:t>
            </w:r>
            <w:r w:rsidRPr="00020424">
              <w:rPr>
                <w:rtl/>
              </w:rPr>
              <w:t xml:space="preserve"> :</w:t>
            </w:r>
            <w:r>
              <w:rPr>
                <w:rtl/>
              </w:rPr>
              <w:t xml:space="preserve"> - </w:t>
            </w:r>
            <w:r w:rsidRPr="00020424">
              <w:rPr>
                <w:rtl/>
              </w:rPr>
              <w:t>« من</w:t>
            </w:r>
            <w:r>
              <w:rPr>
                <w:rtl/>
              </w:rPr>
              <w:t xml:space="preserve"> ».</w:t>
            </w:r>
          </w:p>
        </w:tc>
      </w:tr>
    </w:tbl>
    <w:p w:rsidR="00992664" w:rsidRPr="00020424" w:rsidRDefault="00795177" w:rsidP="00DC1B63">
      <w:pPr>
        <w:pStyle w:val="libFootnote0"/>
        <w:rPr>
          <w:rtl/>
          <w:lang w:bidi="fa-IR"/>
        </w:rPr>
      </w:pPr>
      <w:r>
        <w:rPr>
          <w:rtl/>
        </w:rPr>
        <w:t>(7).</w:t>
      </w:r>
      <w:r w:rsidR="0014403D">
        <w:rPr>
          <w:rtl/>
        </w:rPr>
        <w:t xml:space="preserve"> </w:t>
      </w:r>
      <w:r w:rsidR="00992664" w:rsidRPr="00020424">
        <w:rPr>
          <w:rtl/>
        </w:rPr>
        <w:t xml:space="preserve">في « ظ ، بس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و</w:t>
      </w:r>
      <w:r w:rsidR="00992664" w:rsidRPr="00DC1B63">
        <w:rPr>
          <w:rStyle w:val="libFootnoteBoldChar"/>
          <w:rtl/>
        </w:rPr>
        <w:t>الغارات</w:t>
      </w:r>
      <w:r w:rsidR="00992664" w:rsidRPr="00020424">
        <w:rPr>
          <w:rtl/>
        </w:rPr>
        <w:t xml:space="preserve"> : « فتؤدّوه</w:t>
      </w:r>
      <w:r w:rsidR="00992664">
        <w:rPr>
          <w:rtl/>
        </w:rPr>
        <w:t xml:space="preserve"> ».</w:t>
      </w:r>
      <w:r w:rsidR="00992664" w:rsidRPr="00020424">
        <w:rPr>
          <w:rtl/>
        </w:rPr>
        <w:t xml:space="preserve"> وفي « بث ، بخ ، بر ، بف » وحاشية « بح » : « فتؤدّونه</w:t>
      </w:r>
      <w:r w:rsidR="00992664">
        <w:rPr>
          <w:rtl/>
        </w:rPr>
        <w:t xml:space="preserve"> ».</w:t>
      </w:r>
      <w:r w:rsidR="00B50394">
        <w:rPr>
          <w:rFonts w:hint="cs"/>
          <w:rtl/>
        </w:rPr>
        <w:t xml:space="preserve">                        </w:t>
      </w:r>
      <w:r w:rsidR="00DC1B63">
        <w:rPr>
          <w:rFonts w:hint="cs"/>
          <w:rtl/>
        </w:rPr>
        <w:t xml:space="preserve">           </w:t>
      </w: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فإن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فإن أنعم لك منعم منهم</w:t>
      </w:r>
      <w:r w:rsidR="00992664">
        <w:rPr>
          <w:rtl/>
        </w:rPr>
        <w:t xml:space="preserve"> ».</w:t>
      </w:r>
      <w:r w:rsidR="00992664" w:rsidRPr="00020424">
        <w:rPr>
          <w:rtl/>
        </w:rPr>
        <w:t xml:space="preserve"> وقوله : « إِنْ أَنْعَمَ لَكَ : مِنْهُمْ مُنْعِمٌ » ، أي قال لك نَعَم وأجابك بنَعَم. راجع : </w:t>
      </w:r>
      <w:r w:rsidR="00992664" w:rsidRPr="0012008A">
        <w:rPr>
          <w:rStyle w:val="libFootnoteBoldChar"/>
          <w:rtl/>
        </w:rPr>
        <w:t>النهاية</w:t>
      </w:r>
      <w:r w:rsidR="00992664" w:rsidRPr="00020424">
        <w:rPr>
          <w:rtl/>
        </w:rPr>
        <w:t xml:space="preserve"> ، ج 5 ، ص 84 ؛ </w:t>
      </w:r>
      <w:r w:rsidR="00992664" w:rsidRPr="00A722B1">
        <w:rPr>
          <w:rStyle w:val="libFootnoteBoldChar"/>
          <w:rtl/>
        </w:rPr>
        <w:t>المصباح المنير</w:t>
      </w:r>
      <w:r w:rsidR="00992664" w:rsidRPr="00020424">
        <w:rPr>
          <w:rtl/>
        </w:rPr>
        <w:t xml:space="preserve"> ، ص 614 ( نعم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ى ، بح ، بر ، بس ، بف ، جن » </w:t>
      </w:r>
      <w:r w:rsidR="00992664" w:rsidRPr="00515444">
        <w:rPr>
          <w:rStyle w:val="libFootnoteBoldChar"/>
          <w:rtl/>
        </w:rPr>
        <w:t>والوافي</w:t>
      </w:r>
      <w:r w:rsidR="00992664" w:rsidRPr="00020424">
        <w:rPr>
          <w:rtl/>
        </w:rPr>
        <w:t xml:space="preserve"> والغارات : + « له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الغارات : « أنعم » بدل « أذن لك</w:t>
      </w:r>
      <w:r w:rsidR="00992664">
        <w:rPr>
          <w:rtl/>
        </w:rPr>
        <w:t xml:space="preserve"> ».</w:t>
      </w:r>
    </w:p>
    <w:p w:rsidR="00992664" w:rsidRPr="00020424" w:rsidRDefault="00795177" w:rsidP="00DC1B63">
      <w:pPr>
        <w:pStyle w:val="libFootnote0"/>
        <w:rPr>
          <w:rtl/>
          <w:lang w:bidi="fa-IR"/>
        </w:rPr>
      </w:pPr>
      <w:r>
        <w:rPr>
          <w:rtl/>
        </w:rPr>
        <w:t>(12).</w:t>
      </w:r>
      <w:r w:rsidR="0014403D">
        <w:rPr>
          <w:rtl/>
        </w:rPr>
        <w:t xml:space="preserve"> </w:t>
      </w:r>
      <w:r w:rsidR="00992664" w:rsidRPr="00020424">
        <w:rPr>
          <w:rtl/>
        </w:rPr>
        <w:t xml:space="preserve">« العُنْف » : الشدّة والمشقّة ، وهو ضدّ الرفق واللين. راجع : </w:t>
      </w:r>
      <w:r w:rsidR="00992664" w:rsidRPr="0012008A">
        <w:rPr>
          <w:rStyle w:val="libFootnoteBoldChar"/>
          <w:rtl/>
        </w:rPr>
        <w:t>الصحاح</w:t>
      </w:r>
      <w:r w:rsidR="00992664" w:rsidRPr="00020424">
        <w:rPr>
          <w:rtl/>
        </w:rPr>
        <w:t xml:space="preserve"> ، ج 4 ، ص 1407 ؛ </w:t>
      </w:r>
      <w:r w:rsidR="00992664" w:rsidRPr="0012008A">
        <w:rPr>
          <w:rStyle w:val="libFootnoteBoldChar"/>
          <w:rtl/>
        </w:rPr>
        <w:t>النهاية</w:t>
      </w:r>
      <w:r w:rsidR="00992664" w:rsidRPr="00020424">
        <w:rPr>
          <w:rtl/>
        </w:rPr>
        <w:t xml:space="preserve"> ، ج 3 ، ص 309 ( عنف )</w:t>
      </w:r>
      <w:r w:rsidR="00992664">
        <w:rPr>
          <w:rtl/>
        </w:rPr>
        <w:t>.</w:t>
      </w:r>
      <w:r w:rsidR="00B50394">
        <w:rPr>
          <w:rFonts w:hint="cs"/>
          <w:rtl/>
        </w:rPr>
        <w:t xml:space="preserve">                </w:t>
      </w:r>
      <w:r w:rsidR="00DC1B63">
        <w:rPr>
          <w:rFonts w:hint="cs"/>
          <w:rtl/>
        </w:rPr>
        <w:t xml:space="preserve">                    </w:t>
      </w:r>
      <w:r>
        <w:rPr>
          <w:rtl/>
        </w:rPr>
        <w:t>(13).</w:t>
      </w:r>
      <w:r w:rsidR="0014403D">
        <w:rPr>
          <w:rtl/>
        </w:rPr>
        <w:t xml:space="preserve"> </w:t>
      </w:r>
      <w:r w:rsidR="00992664" w:rsidRPr="00020424">
        <w:rPr>
          <w:rtl/>
        </w:rPr>
        <w:t>في « ظ ، ى » : « واصدع</w:t>
      </w:r>
      <w:r w:rsidR="00992664">
        <w:rPr>
          <w:rtl/>
        </w:rPr>
        <w:t xml:space="preserve"> ».</w:t>
      </w:r>
    </w:p>
    <w:p w:rsidR="00992664" w:rsidRPr="00020424" w:rsidRDefault="00795177" w:rsidP="00795168">
      <w:pPr>
        <w:pStyle w:val="libFootnote0"/>
        <w:rPr>
          <w:rtl/>
          <w:lang w:bidi="fa-IR"/>
        </w:rPr>
      </w:pPr>
      <w:r>
        <w:rPr>
          <w:rtl/>
        </w:rPr>
        <w:t>(14).</w:t>
      </w:r>
      <w:r w:rsidR="0014403D">
        <w:rPr>
          <w:rtl/>
        </w:rPr>
        <w:t xml:space="preserve"> </w:t>
      </w:r>
      <w:r w:rsidR="00992664" w:rsidRPr="00020424">
        <w:rPr>
          <w:rtl/>
        </w:rPr>
        <w:t xml:space="preserve">« فاصدع المال صدعين » ، أي شُقّه بنصفين ؛ من الصَدْع بمعنى الشقّ. راجع : </w:t>
      </w:r>
      <w:r w:rsidR="00992664" w:rsidRPr="0012008A">
        <w:rPr>
          <w:rStyle w:val="libFootnoteBoldChar"/>
          <w:rtl/>
        </w:rPr>
        <w:t>الصحاح</w:t>
      </w:r>
      <w:r w:rsidR="00992664" w:rsidRPr="00020424">
        <w:rPr>
          <w:rtl/>
        </w:rPr>
        <w:t xml:space="preserve"> ، ج 3 ، ص 1241 ؛ </w:t>
      </w:r>
      <w:r w:rsidR="00992664" w:rsidRPr="0012008A">
        <w:rPr>
          <w:rStyle w:val="libFootnoteBoldChar"/>
          <w:rtl/>
        </w:rPr>
        <w:t>النهاية</w:t>
      </w:r>
      <w:r w:rsidR="00992664" w:rsidRPr="00020424">
        <w:rPr>
          <w:rtl/>
        </w:rPr>
        <w:t xml:space="preserve"> ، ج 3 ، ص 16 ( صدع )</w:t>
      </w:r>
      <w:r w:rsidR="00992664">
        <w:rPr>
          <w:rtl/>
        </w:rPr>
        <w:t>.</w:t>
      </w:r>
      <w:r w:rsidR="00B50394">
        <w:rPr>
          <w:rFonts w:hint="cs"/>
          <w:rtl/>
        </w:rPr>
        <w:t xml:space="preserve">      </w:t>
      </w:r>
      <w:r w:rsidR="00795168">
        <w:rPr>
          <w:rFonts w:hint="cs"/>
          <w:rtl/>
        </w:rPr>
        <w:t xml:space="preserve">      </w:t>
      </w:r>
      <w:r>
        <w:rPr>
          <w:rtl/>
        </w:rPr>
        <w:t>(15).</w:t>
      </w:r>
      <w:r w:rsidR="0014403D">
        <w:rPr>
          <w:rtl/>
        </w:rPr>
        <w:t xml:space="preserve"> </w:t>
      </w:r>
      <w:r w:rsidR="00992664" w:rsidRPr="00020424">
        <w:rPr>
          <w:rtl/>
        </w:rPr>
        <w:t>في«بر»:+«أيّ الصدعين شاء</w:t>
      </w:r>
      <w:r w:rsidR="00992664">
        <w:rPr>
          <w:rtl/>
        </w:rPr>
        <w:t>».</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بخ » : « فلا تزل</w:t>
      </w:r>
      <w:r w:rsidR="00992664">
        <w:rPr>
          <w:rtl/>
        </w:rPr>
        <w:t xml:space="preserve"> ».</w:t>
      </w:r>
      <w:r w:rsidR="00992664" w:rsidRPr="00020424">
        <w:rPr>
          <w:rtl/>
        </w:rPr>
        <w:t xml:space="preserve"> وفي « بر ، بف » : « فلا تزال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يَبْقى </w:t>
      </w:r>
      <w:r w:rsidRPr="00A91B96">
        <w:rPr>
          <w:rStyle w:val="libFootnotenumChar"/>
          <w:rtl/>
        </w:rPr>
        <w:t>(1)</w:t>
      </w:r>
      <w:r w:rsidRPr="00020424">
        <w:rPr>
          <w:rtl/>
          <w:lang w:bidi="fa-IR"/>
        </w:rPr>
        <w:t xml:space="preserve"> مَا فِيهِ وَفَاءٌ لِحَقِّ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مِنْ </w:t>
      </w:r>
      <w:r w:rsidRPr="00A91B96">
        <w:rPr>
          <w:rStyle w:val="libFootnotenumChar"/>
          <w:rtl/>
        </w:rPr>
        <w:t>(2)</w:t>
      </w:r>
      <w:r w:rsidRPr="00020424">
        <w:rPr>
          <w:rtl/>
          <w:lang w:bidi="fa-IR"/>
        </w:rPr>
        <w:t xml:space="preserve"> مَالِهِ ، فَإِذَا بَقِيَ ذلِكَ فَاقْبِضْ حَقَّ اللهِ مِنْهُ </w:t>
      </w:r>
      <w:r w:rsidRPr="00A91B96">
        <w:rPr>
          <w:rStyle w:val="libFootnotenumChar"/>
          <w:rtl/>
        </w:rPr>
        <w:t>(3)</w:t>
      </w:r>
      <w:r w:rsidRPr="00020424">
        <w:rPr>
          <w:rtl/>
          <w:lang w:bidi="fa-IR"/>
        </w:rPr>
        <w:t xml:space="preserve"> ، وَإِنِ </w:t>
      </w:r>
      <w:r w:rsidRPr="00A91B96">
        <w:rPr>
          <w:rStyle w:val="libFootnotenumChar"/>
          <w:rtl/>
        </w:rPr>
        <w:t>(4)</w:t>
      </w:r>
      <w:r w:rsidRPr="00020424">
        <w:rPr>
          <w:rtl/>
          <w:lang w:bidi="fa-IR"/>
        </w:rPr>
        <w:t xml:space="preserve"> اسْتَقَالَكَ فَأَقِلْهُ ، ثُمَّ اخْلِطْهَا </w:t>
      </w:r>
      <w:r w:rsidRPr="00A91B96">
        <w:rPr>
          <w:rStyle w:val="libFootnotenumChar"/>
          <w:rtl/>
        </w:rPr>
        <w:t>(5)</w:t>
      </w:r>
      <w:r w:rsidRPr="00020424">
        <w:rPr>
          <w:rtl/>
          <w:lang w:bidi="fa-IR"/>
        </w:rPr>
        <w:t xml:space="preserve"> ، وَاصْنَعْ مِثْلَ الَّذِي صَنَعْتَ أَوَّلاً حَتّى تَأْخُذَ حَقَّ اللهِ فِي مَالِهِ ، فَإِذَا قَبَضْ</w:t>
      </w:r>
      <w:r w:rsidR="005B0BFB">
        <w:rPr>
          <w:rtl/>
          <w:lang w:bidi="fa-IR"/>
        </w:rPr>
        <w:t>تَهُ فَلَا تُوَكِّلْ بِهِ إِل</w:t>
      </w:r>
      <w:r w:rsidR="005B0BFB">
        <w:rPr>
          <w:rFonts w:hint="cs"/>
          <w:rtl/>
          <w:lang w:bidi="fa-IR"/>
        </w:rPr>
        <w:t>َّ</w:t>
      </w:r>
      <w:r w:rsidR="005B0BFB">
        <w:rPr>
          <w:rtl/>
          <w:lang w:bidi="fa-IR"/>
        </w:rPr>
        <w:t>ا</w:t>
      </w:r>
      <w:r w:rsidRPr="00020424">
        <w:rPr>
          <w:rtl/>
          <w:lang w:bidi="fa-IR"/>
        </w:rPr>
        <w:t xml:space="preserve"> نَاصِحاً شَفِيقاً أَمِيناً حَفِيظاً غَيْرَ مُعْنِفٍ </w:t>
      </w:r>
      <w:r w:rsidRPr="00A91B96">
        <w:rPr>
          <w:rStyle w:val="libFootnotenumChar"/>
          <w:rtl/>
        </w:rPr>
        <w:t>(6)</w:t>
      </w:r>
      <w:r w:rsidRPr="00020424">
        <w:rPr>
          <w:rtl/>
          <w:lang w:bidi="fa-IR"/>
        </w:rPr>
        <w:t xml:space="preserve"> لِشَيْ‌ءٍ </w:t>
      </w:r>
      <w:r w:rsidRPr="00A91B96">
        <w:rPr>
          <w:rStyle w:val="libFootnotenumChar"/>
          <w:rtl/>
        </w:rPr>
        <w:t>(7)</w:t>
      </w:r>
      <w:r w:rsidRPr="00020424">
        <w:rPr>
          <w:rtl/>
          <w:lang w:bidi="fa-IR"/>
        </w:rPr>
        <w:t xml:space="preserve"> مِنْهَا ، ثُمَّ احْدُرْ </w:t>
      </w:r>
      <w:r w:rsidRPr="00A91B96">
        <w:rPr>
          <w:rStyle w:val="libFootnotenumChar"/>
          <w:rtl/>
        </w:rPr>
        <w:t>(8)</w:t>
      </w:r>
      <w:r w:rsidRPr="00020424">
        <w:rPr>
          <w:rtl/>
          <w:lang w:bidi="fa-IR"/>
        </w:rPr>
        <w:t xml:space="preserve"> كُلَّ </w:t>
      </w:r>
      <w:r w:rsidRPr="00A91B96">
        <w:rPr>
          <w:rStyle w:val="libFootnotenumChar"/>
          <w:rtl/>
        </w:rPr>
        <w:t>(9)</w:t>
      </w:r>
      <w:r w:rsidRPr="00020424">
        <w:rPr>
          <w:rtl/>
          <w:lang w:bidi="fa-IR"/>
        </w:rPr>
        <w:t xml:space="preserve"> مَا اجْتَمَعَ عِنْدَكَ </w:t>
      </w:r>
      <w:r w:rsidRPr="00A91B96">
        <w:rPr>
          <w:rStyle w:val="libFootnotenumChar"/>
          <w:rtl/>
        </w:rPr>
        <w:t>(10)</w:t>
      </w:r>
      <w:r w:rsidRPr="00020424">
        <w:rPr>
          <w:rtl/>
          <w:lang w:bidi="fa-IR"/>
        </w:rPr>
        <w:t xml:space="preserve"> مِنْ كُلِّ نَادٍ إِلَيْنَا نُصَيِّرْهُ </w:t>
      </w:r>
      <w:r w:rsidRPr="00A91B96">
        <w:rPr>
          <w:rStyle w:val="libFootnotenumChar"/>
          <w:rtl/>
        </w:rPr>
        <w:t>(11)</w:t>
      </w:r>
      <w:r w:rsidRPr="00020424">
        <w:rPr>
          <w:rtl/>
          <w:lang w:bidi="fa-IR"/>
        </w:rPr>
        <w:t xml:space="preserve"> حَيْثُ أَمَرَ اللهُ عَزَّ وَ</w:t>
      </w:r>
      <w:r w:rsidR="005B0BFB">
        <w:rPr>
          <w:rFonts w:hint="cs"/>
          <w:rtl/>
          <w:lang w:bidi="fa-IR"/>
        </w:rPr>
        <w:t xml:space="preserve"> </w:t>
      </w:r>
      <w:r w:rsidRPr="00020424">
        <w:rPr>
          <w:rtl/>
          <w:lang w:bidi="fa-IR"/>
        </w:rPr>
        <w:t xml:space="preserve">جَلَّ ، فَإِذَا انْحَدَرَ بِهَا </w:t>
      </w:r>
      <w:r w:rsidRPr="00A91B96">
        <w:rPr>
          <w:rStyle w:val="libFootnotenumChar"/>
          <w:rtl/>
        </w:rPr>
        <w:t>(12)</w:t>
      </w:r>
      <w:r w:rsidRPr="00020424">
        <w:rPr>
          <w:rtl/>
          <w:lang w:bidi="fa-IR"/>
        </w:rPr>
        <w:t xml:space="preserve"> رَسُولُكَ ، فَأَوْعِزْ إِلَيْهِ </w:t>
      </w:r>
      <w:r w:rsidRPr="00A91B96">
        <w:rPr>
          <w:rStyle w:val="libFootnotenumChar"/>
          <w:rtl/>
        </w:rPr>
        <w:t>(13)</w:t>
      </w:r>
      <w:r w:rsidRPr="00020424">
        <w:rPr>
          <w:rtl/>
          <w:lang w:bidi="fa-IR"/>
        </w:rPr>
        <w:t xml:space="preserve"> أَنْ لَايَحُولَ بَيْنَ نَاقَةٍ وَبَيْنَ فَصِيلِهَا </w:t>
      </w:r>
      <w:r w:rsidRPr="00A91B96">
        <w:rPr>
          <w:rStyle w:val="libFootnotenumChar"/>
          <w:rtl/>
        </w:rPr>
        <w:t>(14)</w:t>
      </w:r>
      <w:r w:rsidRPr="00020424">
        <w:rPr>
          <w:rtl/>
          <w:lang w:bidi="fa-IR"/>
        </w:rPr>
        <w:t xml:space="preserve"> ، وَلَايُفَرِّقَ </w:t>
      </w:r>
      <w:r w:rsidRPr="00A91B96">
        <w:rPr>
          <w:rStyle w:val="libFootnotenumChar"/>
          <w:rtl/>
        </w:rPr>
        <w:t>(15)</w:t>
      </w:r>
      <w:r w:rsidRPr="00020424">
        <w:rPr>
          <w:rtl/>
          <w:lang w:bidi="fa-IR"/>
        </w:rPr>
        <w:t xml:space="preserve"> بَيْنَهُمَا </w:t>
      </w:r>
      <w:r w:rsidRPr="00A91B96">
        <w:rPr>
          <w:rStyle w:val="libFootnotenumChar"/>
          <w:rtl/>
        </w:rPr>
        <w:t>(16)</w:t>
      </w:r>
      <w:r w:rsidRPr="00020424">
        <w:rPr>
          <w:rtl/>
          <w:lang w:bidi="fa-IR"/>
        </w:rPr>
        <w:t xml:space="preserve"> ، وَلَايَمْصُرَنَّ </w:t>
      </w:r>
      <w:r w:rsidRPr="00A91B96">
        <w:rPr>
          <w:rStyle w:val="libFootnotenumChar"/>
          <w:rtl/>
        </w:rPr>
        <w:t>(17)</w:t>
      </w:r>
      <w:r w:rsidRPr="00020424">
        <w:rPr>
          <w:rtl/>
          <w:lang w:bidi="fa-IR"/>
        </w:rPr>
        <w:t xml:space="preserve"> لَبَنَهَا ، فَيُضِرَّ </w:t>
      </w:r>
      <w:r w:rsidRPr="00A91B96">
        <w:rPr>
          <w:rStyle w:val="libFootnotenumChar"/>
          <w:rtl/>
        </w:rPr>
        <w:t>(18)</w:t>
      </w:r>
      <w:r w:rsidRPr="00020424">
        <w:rPr>
          <w:rtl/>
          <w:lang w:bidi="fa-IR"/>
        </w:rPr>
        <w:t xml:space="preserve"> ذلِكَ بِفَصِيلِهَا </w:t>
      </w:r>
      <w:r w:rsidRPr="00A91B96">
        <w:rPr>
          <w:rStyle w:val="libFootnotenumChar"/>
          <w:rtl/>
        </w:rPr>
        <w:t>(19)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بح » : « تبقى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بف » </w:t>
      </w:r>
      <w:r w:rsidR="00992664" w:rsidRPr="00515444">
        <w:rPr>
          <w:rStyle w:val="libFootnoteBoldChar"/>
          <w:rtl/>
        </w:rPr>
        <w:t>والوافي</w:t>
      </w:r>
      <w:r w:rsidR="00992664" w:rsidRPr="005B0BFB">
        <w:rPr>
          <w:rtl/>
        </w:rPr>
        <w:t xml:space="preserve"> </w:t>
      </w:r>
      <w:r w:rsidR="00992664" w:rsidRPr="00EB1FD9">
        <w:rPr>
          <w:rStyle w:val="libFootnoteBoldChar"/>
          <w:rtl/>
        </w:rPr>
        <w:t>والوسائل</w:t>
      </w:r>
      <w:r w:rsidR="00992664" w:rsidRPr="005B0BFB">
        <w:rPr>
          <w:rtl/>
        </w:rPr>
        <w:t xml:space="preserve"> والبحار </w:t>
      </w:r>
      <w:r w:rsidR="00992664" w:rsidRPr="00515444">
        <w:rPr>
          <w:rStyle w:val="libFootnoteBoldChar"/>
          <w:rtl/>
        </w:rPr>
        <w:t>والتهذيب</w:t>
      </w:r>
      <w:r w:rsidR="00992664" w:rsidRPr="005B0BFB">
        <w:rPr>
          <w:rtl/>
        </w:rPr>
        <w:t xml:space="preserve"> </w:t>
      </w:r>
      <w:r w:rsidR="00992664" w:rsidRPr="00DE3E80">
        <w:rPr>
          <w:rStyle w:val="libFootnoteBoldChar"/>
          <w:rtl/>
        </w:rPr>
        <w:t>والمقنعة</w:t>
      </w:r>
      <w:r w:rsidR="00992664" w:rsidRPr="005B0BFB">
        <w:rPr>
          <w:rtl/>
        </w:rPr>
        <w:t xml:space="preserve"> </w:t>
      </w:r>
      <w:r w:rsidR="00992664" w:rsidRPr="00020424">
        <w:rPr>
          <w:rtl/>
        </w:rPr>
        <w:t>: «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بر » والغارات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بخ ، بر ، بف » </w:t>
      </w:r>
      <w:r w:rsidR="00992664" w:rsidRPr="00515444">
        <w:rPr>
          <w:rStyle w:val="libFootnoteBoldChar"/>
          <w:rtl/>
        </w:rPr>
        <w:t>والوافي</w:t>
      </w:r>
      <w:r w:rsidR="00992664" w:rsidRPr="00020424">
        <w:rPr>
          <w:rtl/>
        </w:rPr>
        <w:t xml:space="preserve"> والغارات : « فإن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بح ، بخ ، بر ، بس ، بف » </w:t>
      </w:r>
      <w:r w:rsidR="00992664" w:rsidRPr="00B50394">
        <w:rPr>
          <w:rtl/>
        </w:rPr>
        <w:t>والوافي والوسائل والبحار والتهذيب</w:t>
      </w:r>
      <w:r w:rsidR="00992664" w:rsidRPr="00020424">
        <w:rPr>
          <w:rtl/>
        </w:rPr>
        <w:t xml:space="preserve"> : « ثمّ اخلطهما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بس » </w:t>
      </w:r>
      <w:r w:rsidR="00992664" w:rsidRPr="00515444">
        <w:rPr>
          <w:rStyle w:val="libFootnoteBoldChar"/>
          <w:rtl/>
        </w:rPr>
        <w:t>والوافي</w:t>
      </w:r>
      <w:r w:rsidR="00992664" w:rsidRPr="00020424">
        <w:rPr>
          <w:rtl/>
        </w:rPr>
        <w:t xml:space="preserve"> : « معنّف » بالتضعيف.</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بح ، بخ ، بر ، بف ، جن » </w:t>
      </w:r>
      <w:r w:rsidR="00992664" w:rsidRPr="00515444">
        <w:rPr>
          <w:rStyle w:val="libFootnoteBoldChar"/>
          <w:rtl/>
        </w:rPr>
        <w:t>والوافي</w:t>
      </w:r>
      <w:r w:rsidR="00992664" w:rsidRPr="005B0BFB">
        <w:rPr>
          <w:rtl/>
        </w:rPr>
        <w:t xml:space="preserve"> </w:t>
      </w:r>
      <w:r w:rsidR="00992664" w:rsidRPr="00EB1FD9">
        <w:rPr>
          <w:rStyle w:val="libFootnoteBoldChar"/>
          <w:rtl/>
        </w:rPr>
        <w:t>والوسائل</w:t>
      </w:r>
      <w:r w:rsidR="00992664" w:rsidRPr="005B0BFB">
        <w:rPr>
          <w:rtl/>
        </w:rPr>
        <w:t xml:space="preserve"> والبحار </w:t>
      </w:r>
      <w:r w:rsidR="00992664" w:rsidRPr="00515444">
        <w:rPr>
          <w:rStyle w:val="libFootnoteBoldChar"/>
          <w:rtl/>
        </w:rPr>
        <w:t>والتهذيب</w:t>
      </w:r>
      <w:r w:rsidR="00992664" w:rsidRPr="005B0BFB">
        <w:rPr>
          <w:rtl/>
        </w:rPr>
        <w:t xml:space="preserve"> والغارات </w:t>
      </w:r>
      <w:r w:rsidR="00992664" w:rsidRPr="00DE3E80">
        <w:rPr>
          <w:rStyle w:val="libFootnoteBoldChar"/>
          <w:rtl/>
        </w:rPr>
        <w:t>والمقنعة</w:t>
      </w:r>
      <w:r w:rsidR="00992664" w:rsidRPr="005B0BFB">
        <w:rPr>
          <w:rtl/>
        </w:rPr>
        <w:t xml:space="preserve"> </w:t>
      </w:r>
      <w:r w:rsidR="00992664" w:rsidRPr="00020424">
        <w:rPr>
          <w:rtl/>
        </w:rPr>
        <w:t>: « بشي‌ء</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 احذر</w:t>
      </w:r>
      <w:r w:rsidR="00992664">
        <w:rPr>
          <w:rtl/>
        </w:rPr>
        <w:t xml:space="preserve"> ».</w:t>
      </w:r>
      <w:r w:rsidR="00992664" w:rsidRPr="00020424">
        <w:rPr>
          <w:rtl/>
        </w:rPr>
        <w:t xml:space="preserve"> والحَدْر : الإرسال إلى أسفل ، وكلّ شي‌ء أرسلته إلى أسفل فقد حدرته حَدْراً وحُدُوراً. والمطاوعة منه الانحدار. راجع : </w:t>
      </w:r>
      <w:r w:rsidR="00992664" w:rsidRPr="0012008A">
        <w:rPr>
          <w:rStyle w:val="libFootnoteBoldChar"/>
          <w:rtl/>
        </w:rPr>
        <w:t>الصحاح</w:t>
      </w:r>
      <w:r w:rsidR="00992664" w:rsidRPr="00020424">
        <w:rPr>
          <w:rtl/>
        </w:rPr>
        <w:t xml:space="preserve"> ، ج 2 ، ص 625 ؛ </w:t>
      </w:r>
      <w:r w:rsidR="00992664" w:rsidRPr="00A722B1">
        <w:rPr>
          <w:rStyle w:val="libFootnoteBoldChar"/>
          <w:rtl/>
        </w:rPr>
        <w:t>لسان العرب</w:t>
      </w:r>
      <w:r w:rsidR="00992664" w:rsidRPr="00020424">
        <w:rPr>
          <w:rtl/>
        </w:rPr>
        <w:t xml:space="preserve"> ، ج 4 ، ص 172 ( حدر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والغارات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كلّ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عندك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B0BFB" w:rsidTr="005B0BFB">
        <w:tc>
          <w:tcPr>
            <w:tcW w:w="4006" w:type="dxa"/>
          </w:tcPr>
          <w:p w:rsidR="005B0BFB" w:rsidRDefault="005B0BFB" w:rsidP="00992664">
            <w:pPr>
              <w:pStyle w:val="libFootnote0"/>
              <w:rPr>
                <w:rtl/>
              </w:rPr>
            </w:pPr>
            <w:r>
              <w:rPr>
                <w:rtl/>
              </w:rPr>
              <w:t xml:space="preserve">(11). </w:t>
            </w:r>
            <w:r w:rsidRPr="00020424">
              <w:rPr>
                <w:rtl/>
              </w:rPr>
              <w:t>في الغارات : « نضعه</w:t>
            </w:r>
            <w:r>
              <w:rPr>
                <w:rtl/>
              </w:rPr>
              <w:t xml:space="preserve"> ».</w:t>
            </w:r>
          </w:p>
        </w:tc>
        <w:tc>
          <w:tcPr>
            <w:tcW w:w="4006" w:type="dxa"/>
          </w:tcPr>
          <w:p w:rsidR="005B0BFB" w:rsidRDefault="005B0BFB" w:rsidP="00992664">
            <w:pPr>
              <w:pStyle w:val="libFootnote0"/>
              <w:rPr>
                <w:rtl/>
              </w:rPr>
            </w:pPr>
            <w:r>
              <w:rPr>
                <w:rtl/>
              </w:rPr>
              <w:t xml:space="preserve">(12). </w:t>
            </w:r>
            <w:r w:rsidRPr="00020424">
              <w:rPr>
                <w:rtl/>
              </w:rPr>
              <w:t>في « ى » و</w:t>
            </w:r>
            <w:r w:rsidRPr="0012008A">
              <w:rPr>
                <w:rStyle w:val="libFootnoteBoldChar"/>
                <w:rtl/>
              </w:rPr>
              <w:t>البحار</w:t>
            </w:r>
            <w:r w:rsidRPr="00020424">
              <w:rPr>
                <w:rtl/>
              </w:rPr>
              <w:t xml:space="preserve"> : « فيها</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 فأوعز إليه » ، أي أوصه وتقدّم إليه ، يقال : أوعزت إلى فلان في ذلك الأمر ، إذا تقدّمت إليه ؛ من الوَعْز وهو التقدمة في الأمر والتقدّم فيه. راجع : </w:t>
      </w:r>
      <w:r w:rsidR="00992664" w:rsidRPr="0012008A">
        <w:rPr>
          <w:rStyle w:val="libFootnoteBoldChar"/>
          <w:rtl/>
        </w:rPr>
        <w:t>الصحاح</w:t>
      </w:r>
      <w:r w:rsidR="00992664" w:rsidRPr="00020424">
        <w:rPr>
          <w:rtl/>
        </w:rPr>
        <w:t xml:space="preserve"> ، ج 3 ، ص 901 ؛ </w:t>
      </w:r>
      <w:r w:rsidR="00992664" w:rsidRPr="00A722B1">
        <w:rPr>
          <w:rStyle w:val="libFootnoteBoldChar"/>
          <w:rtl/>
        </w:rPr>
        <w:t>لسان العرب</w:t>
      </w:r>
      <w:r w:rsidR="00992664" w:rsidRPr="00020424">
        <w:rPr>
          <w:rtl/>
        </w:rPr>
        <w:t xml:space="preserve"> ، ج 5 ، ص 429 ( وعز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الفصيل » : ولد الناقة إذا فُصل عن ا</w:t>
      </w:r>
      <w:r w:rsidR="001709D6">
        <w:rPr>
          <w:rFonts w:hint="cs"/>
          <w:rtl/>
        </w:rPr>
        <w:t>ُ</w:t>
      </w:r>
      <w:r w:rsidR="00992664" w:rsidRPr="00020424">
        <w:rPr>
          <w:rtl/>
        </w:rPr>
        <w:t xml:space="preserve">مّه ، فعيل بمعنى مفعول ، وأكثر ما يطلق في الإبل ، وقد يقال في البقر. راجع : </w:t>
      </w:r>
      <w:r w:rsidR="00992664" w:rsidRPr="0012008A">
        <w:rPr>
          <w:rStyle w:val="libFootnoteBoldChar"/>
          <w:rtl/>
        </w:rPr>
        <w:t>الصحاح</w:t>
      </w:r>
      <w:r w:rsidR="00992664" w:rsidRPr="00020424">
        <w:rPr>
          <w:rtl/>
        </w:rPr>
        <w:t xml:space="preserve"> ، ج 5 ، ص 1791 ؛ </w:t>
      </w:r>
      <w:r w:rsidR="00992664" w:rsidRPr="0012008A">
        <w:rPr>
          <w:rStyle w:val="libFootnoteBoldChar"/>
          <w:rtl/>
        </w:rPr>
        <w:t>النهاية</w:t>
      </w:r>
      <w:r w:rsidR="00992664" w:rsidRPr="00020424">
        <w:rPr>
          <w:rtl/>
        </w:rPr>
        <w:t xml:space="preserve"> ، ج 3 ، ص 451 ( فصل )</w:t>
      </w:r>
      <w:r w:rsidR="00992664">
        <w:rPr>
          <w:rtl/>
        </w:rPr>
        <w:t>.</w:t>
      </w:r>
    </w:p>
    <w:tbl>
      <w:tblPr>
        <w:tblStyle w:val="TableGrid"/>
        <w:bidiVisual/>
        <w:tblW w:w="0" w:type="auto"/>
        <w:tblLook w:val="04A0" w:firstRow="1" w:lastRow="0" w:firstColumn="1" w:lastColumn="0" w:noHBand="0" w:noVBand="1"/>
      </w:tblPr>
      <w:tblGrid>
        <w:gridCol w:w="4006"/>
        <w:gridCol w:w="4006"/>
      </w:tblGrid>
      <w:tr w:rsidR="001709D6" w:rsidTr="001709D6">
        <w:tc>
          <w:tcPr>
            <w:tcW w:w="4006" w:type="dxa"/>
          </w:tcPr>
          <w:p w:rsidR="001709D6" w:rsidRDefault="001709D6" w:rsidP="00992664">
            <w:pPr>
              <w:pStyle w:val="libFootnote0"/>
              <w:rPr>
                <w:rtl/>
              </w:rPr>
            </w:pPr>
            <w:r>
              <w:rPr>
                <w:rtl/>
              </w:rPr>
              <w:t xml:space="preserve">(15). </w:t>
            </w:r>
            <w:r w:rsidRPr="00020424">
              <w:rPr>
                <w:rtl/>
              </w:rPr>
              <w:t>في « بخ » : « لا تفرق</w:t>
            </w:r>
            <w:r>
              <w:rPr>
                <w:rtl/>
              </w:rPr>
              <w:t xml:space="preserve"> ».</w:t>
            </w:r>
          </w:p>
        </w:tc>
        <w:tc>
          <w:tcPr>
            <w:tcW w:w="4006" w:type="dxa"/>
          </w:tcPr>
          <w:p w:rsidR="001709D6" w:rsidRDefault="001709D6" w:rsidP="00992664">
            <w:pPr>
              <w:pStyle w:val="libFootnote0"/>
              <w:rPr>
                <w:rtl/>
              </w:rPr>
            </w:pPr>
            <w:r>
              <w:rPr>
                <w:rtl/>
              </w:rPr>
              <w:t xml:space="preserve">(16). </w:t>
            </w:r>
            <w:r w:rsidRPr="00020424">
              <w:rPr>
                <w:rtl/>
              </w:rPr>
              <w:t>في « بر ، بف » : « بينها</w:t>
            </w:r>
            <w:r>
              <w:rPr>
                <w:rtl/>
              </w:rPr>
              <w:t xml:space="preserve"> ».</w:t>
            </w:r>
          </w:p>
        </w:tc>
      </w:tr>
    </w:tbl>
    <w:p w:rsidR="00992664" w:rsidRPr="00020424" w:rsidRDefault="00795177" w:rsidP="00A632F5">
      <w:pPr>
        <w:pStyle w:val="libFootnote0"/>
        <w:rPr>
          <w:rtl/>
          <w:lang w:bidi="fa-IR"/>
        </w:rPr>
      </w:pPr>
      <w:r>
        <w:rPr>
          <w:rtl/>
        </w:rPr>
        <w:t>(17).</w:t>
      </w:r>
      <w:r w:rsidR="0014403D">
        <w:rPr>
          <w:rtl/>
        </w:rPr>
        <w:t xml:space="preserve"> </w:t>
      </w:r>
      <w:r w:rsidR="00992664" w:rsidRPr="00020424">
        <w:rPr>
          <w:rtl/>
        </w:rPr>
        <w:t>في « بخ ، بر » : « ولا تمصرنّ</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ولا يصرن</w:t>
      </w:r>
      <w:r w:rsidR="00992664">
        <w:rPr>
          <w:rtl/>
        </w:rPr>
        <w:t xml:space="preserve"> ».</w:t>
      </w:r>
      <w:r w:rsidR="00992664" w:rsidRPr="00020424">
        <w:rPr>
          <w:rtl/>
        </w:rPr>
        <w:t xml:space="preserve"> وفي </w:t>
      </w:r>
      <w:r w:rsidR="00992664" w:rsidRPr="0012008A">
        <w:rPr>
          <w:rStyle w:val="libFootnoteBoldChar"/>
          <w:rtl/>
        </w:rPr>
        <w:t>المقنعة</w:t>
      </w:r>
      <w:r w:rsidR="00992664" w:rsidRPr="00020424">
        <w:rPr>
          <w:rtl/>
        </w:rPr>
        <w:t xml:space="preserve"> : « ولا يمصّ</w:t>
      </w:r>
      <w:r w:rsidR="00992664">
        <w:rPr>
          <w:rtl/>
        </w:rPr>
        <w:t xml:space="preserve"> ».</w:t>
      </w:r>
      <w:r w:rsidR="00A632F5">
        <w:rPr>
          <w:rtl/>
        </w:rPr>
        <w:t xml:space="preserve"> وال</w:t>
      </w:r>
      <w:r w:rsidR="00A632F5">
        <w:rPr>
          <w:rFonts w:hint="cs"/>
          <w:rtl/>
        </w:rPr>
        <w:t>مـَ</w:t>
      </w:r>
      <w:r w:rsidR="00992664" w:rsidRPr="00020424">
        <w:rPr>
          <w:rtl/>
        </w:rPr>
        <w:t xml:space="preserve">صْرُ : الحلب بثلاث أصابع ، وعن ابن السكّيت : </w:t>
      </w:r>
      <w:r w:rsidR="00A632F5">
        <w:rPr>
          <w:rtl/>
        </w:rPr>
        <w:t>ال</w:t>
      </w:r>
      <w:r w:rsidR="00A632F5">
        <w:rPr>
          <w:rFonts w:hint="cs"/>
          <w:rtl/>
        </w:rPr>
        <w:t>مـَ</w:t>
      </w:r>
      <w:r w:rsidR="00A632F5">
        <w:rPr>
          <w:rtl/>
        </w:rPr>
        <w:t>صْر</w:t>
      </w:r>
      <w:r w:rsidR="00992664" w:rsidRPr="00020424">
        <w:rPr>
          <w:rtl/>
        </w:rPr>
        <w:t xml:space="preserve">: حلب كلّ ما في الضرع ، يريد </w:t>
      </w:r>
      <w:r w:rsidR="00992664" w:rsidRPr="00D64ADA">
        <w:rPr>
          <w:rStyle w:val="libFootnoteAlaemChar"/>
          <w:rtl/>
        </w:rPr>
        <w:t>عليه‌السلام</w:t>
      </w:r>
      <w:r w:rsidR="00992664" w:rsidRPr="00020424">
        <w:rPr>
          <w:rtl/>
        </w:rPr>
        <w:t xml:space="preserve"> : لا يُكثر من أخذ لبنها. راجع : </w:t>
      </w:r>
      <w:r w:rsidR="00992664" w:rsidRPr="0012008A">
        <w:rPr>
          <w:rStyle w:val="libFootnoteBoldChar"/>
          <w:rtl/>
        </w:rPr>
        <w:t>الصحاح</w:t>
      </w:r>
      <w:r w:rsidR="00992664" w:rsidRPr="00020424">
        <w:rPr>
          <w:rtl/>
        </w:rPr>
        <w:t xml:space="preserve"> ، ج 2 ، ص 817 ؛ </w:t>
      </w:r>
      <w:r w:rsidR="00992664" w:rsidRPr="0012008A">
        <w:rPr>
          <w:rStyle w:val="libFootnoteBoldChar"/>
          <w:rtl/>
        </w:rPr>
        <w:t>النهاية</w:t>
      </w:r>
      <w:r w:rsidR="00992664" w:rsidRPr="00020424">
        <w:rPr>
          <w:rtl/>
        </w:rPr>
        <w:t xml:space="preserve"> ، ج 4 ، ص 336 ( مصر )</w:t>
      </w:r>
      <w:r w:rsidR="00992664">
        <w:rPr>
          <w:rtl/>
        </w:rPr>
        <w:t>.</w:t>
      </w:r>
    </w:p>
    <w:tbl>
      <w:tblPr>
        <w:tblStyle w:val="TableGrid"/>
        <w:bidiVisual/>
        <w:tblW w:w="0" w:type="auto"/>
        <w:tblLook w:val="04A0" w:firstRow="1" w:lastRow="0" w:firstColumn="1" w:lastColumn="0" w:noHBand="0" w:noVBand="1"/>
      </w:tblPr>
      <w:tblGrid>
        <w:gridCol w:w="4006"/>
        <w:gridCol w:w="4006"/>
      </w:tblGrid>
      <w:tr w:rsidR="00A632F5" w:rsidTr="00A632F5">
        <w:tc>
          <w:tcPr>
            <w:tcW w:w="4006" w:type="dxa"/>
          </w:tcPr>
          <w:p w:rsidR="00A632F5" w:rsidRDefault="00A632F5" w:rsidP="00992664">
            <w:pPr>
              <w:pStyle w:val="libFootnote0"/>
              <w:rPr>
                <w:rtl/>
              </w:rPr>
            </w:pPr>
            <w:r>
              <w:rPr>
                <w:rtl/>
              </w:rPr>
              <w:t xml:space="preserve">(18). </w:t>
            </w:r>
            <w:r w:rsidRPr="00020424">
              <w:rPr>
                <w:rtl/>
              </w:rPr>
              <w:t>في « بر » : « ليضرّ</w:t>
            </w:r>
            <w:r>
              <w:rPr>
                <w:rtl/>
              </w:rPr>
              <w:t xml:space="preserve"> ».</w:t>
            </w:r>
          </w:p>
        </w:tc>
        <w:tc>
          <w:tcPr>
            <w:tcW w:w="4006" w:type="dxa"/>
          </w:tcPr>
          <w:p w:rsidR="00A632F5" w:rsidRDefault="00A632F5" w:rsidP="00992664">
            <w:pPr>
              <w:pStyle w:val="libFootnote0"/>
              <w:rPr>
                <w:rtl/>
              </w:rPr>
            </w:pPr>
            <w:r>
              <w:rPr>
                <w:rtl/>
              </w:rPr>
              <w:t xml:space="preserve">(19). </w:t>
            </w:r>
            <w:r w:rsidRPr="00020424">
              <w:rPr>
                <w:rtl/>
              </w:rPr>
              <w:t>في « ى » : « فصيلها</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وَلَايَجْهَدَ بِهَا </w:t>
      </w:r>
      <w:r w:rsidRPr="00A91B96">
        <w:rPr>
          <w:rStyle w:val="libFootnotenumChar"/>
          <w:rtl/>
        </w:rPr>
        <w:t>(1)</w:t>
      </w:r>
      <w:r w:rsidRPr="00020424">
        <w:rPr>
          <w:rtl/>
          <w:lang w:bidi="fa-IR"/>
        </w:rPr>
        <w:t xml:space="preserve"> رُكُوباً ، وَلْيَعْدِلْ </w:t>
      </w:r>
      <w:r w:rsidRPr="00A91B96">
        <w:rPr>
          <w:rStyle w:val="libFootnotenumChar"/>
          <w:rtl/>
        </w:rPr>
        <w:t>(2)</w:t>
      </w:r>
      <w:r w:rsidRPr="00020424">
        <w:rPr>
          <w:rtl/>
          <w:lang w:bidi="fa-IR"/>
        </w:rPr>
        <w:t xml:space="preserve"> بَيْنَهُنَّ فِي ذلِكَ ، وَلْيُورِدْهُنَّ </w:t>
      </w:r>
      <w:r w:rsidRPr="00A91B96">
        <w:rPr>
          <w:rStyle w:val="libFootnotenumChar"/>
          <w:rtl/>
        </w:rPr>
        <w:t>(3)</w:t>
      </w:r>
      <w:r w:rsidRPr="00020424">
        <w:rPr>
          <w:rtl/>
          <w:lang w:bidi="fa-IR"/>
        </w:rPr>
        <w:t xml:space="preserve"> كُلَّ مَاءٍ يَمُرُّ </w:t>
      </w:r>
      <w:r w:rsidRPr="00A91B96">
        <w:rPr>
          <w:rStyle w:val="libFootnotenumChar"/>
          <w:rtl/>
        </w:rPr>
        <w:t>(4)</w:t>
      </w:r>
      <w:r w:rsidRPr="00020424">
        <w:rPr>
          <w:rtl/>
          <w:lang w:bidi="fa-IR"/>
        </w:rPr>
        <w:t xml:space="preserve"> بِهِ ، وَلَايَعْدِلْ </w:t>
      </w:r>
      <w:r w:rsidRPr="00A91B96">
        <w:rPr>
          <w:rStyle w:val="libFootnotenumChar"/>
          <w:rtl/>
        </w:rPr>
        <w:t>(5)</w:t>
      </w:r>
      <w:r w:rsidRPr="00020424">
        <w:rPr>
          <w:rtl/>
          <w:lang w:bidi="fa-IR"/>
        </w:rPr>
        <w:t xml:space="preserve"> بِهِنَّ عَنْ نَبْتِ الْأَرْضِ إِلى جَوَادِّ </w:t>
      </w:r>
      <w:r w:rsidRPr="00A91B96">
        <w:rPr>
          <w:rStyle w:val="libFootnotenumChar"/>
          <w:rtl/>
        </w:rPr>
        <w:t>(6)</w:t>
      </w:r>
      <w:r w:rsidRPr="00020424">
        <w:rPr>
          <w:rtl/>
          <w:lang w:bidi="fa-IR"/>
        </w:rPr>
        <w:t xml:space="preserve"> الطَّرِيقِ </w:t>
      </w:r>
      <w:r w:rsidRPr="00A91B96">
        <w:rPr>
          <w:rStyle w:val="libFootnotenumChar"/>
          <w:rtl/>
        </w:rPr>
        <w:t>(7)</w:t>
      </w:r>
      <w:r w:rsidRPr="00020424">
        <w:rPr>
          <w:rtl/>
          <w:lang w:bidi="fa-IR"/>
        </w:rPr>
        <w:t xml:space="preserve"> فِي السَّاعَةِ الَّتِي فِيهَا تُرِيحُ </w:t>
      </w:r>
      <w:r w:rsidRPr="00A91B96">
        <w:rPr>
          <w:rStyle w:val="libFootnotenumChar"/>
          <w:rtl/>
        </w:rPr>
        <w:t>(8)</w:t>
      </w:r>
      <w:r w:rsidRPr="00020424">
        <w:rPr>
          <w:rtl/>
          <w:lang w:bidi="fa-IR"/>
        </w:rPr>
        <w:t xml:space="preserve"> وَتَغْبُقُ </w:t>
      </w:r>
      <w:r w:rsidRPr="00A91B96">
        <w:rPr>
          <w:rStyle w:val="libFootnotenumChar"/>
          <w:rtl/>
        </w:rPr>
        <w:t>(9)</w:t>
      </w:r>
      <w:r w:rsidRPr="00020424">
        <w:rPr>
          <w:rtl/>
          <w:lang w:bidi="fa-IR"/>
        </w:rPr>
        <w:t xml:space="preserve"> ، وَلْيَرْفُقْ بِهِنَّ جُهْدَهُ حَتّى يَأْتِيَنَا </w:t>
      </w:r>
      <w:r w:rsidRPr="00A91B96">
        <w:rPr>
          <w:rStyle w:val="libFootnotenumChar"/>
          <w:rtl/>
        </w:rPr>
        <w:t>(10)</w:t>
      </w:r>
      <w:r w:rsidRPr="00020424">
        <w:rPr>
          <w:rtl/>
          <w:lang w:bidi="fa-IR"/>
        </w:rPr>
        <w:t xml:space="preserve"> بِإِذْنِ اللهِ سِحَاحاً </w:t>
      </w:r>
      <w:r w:rsidRPr="00A91B96">
        <w:rPr>
          <w:rStyle w:val="libFootnotenumChar"/>
          <w:rtl/>
        </w:rPr>
        <w:t>(11)</w:t>
      </w:r>
      <w:r w:rsidRPr="00020424">
        <w:rPr>
          <w:rtl/>
          <w:lang w:bidi="fa-IR"/>
        </w:rPr>
        <w:t xml:space="preserve"> سِمَاناً غَيْرَ مُتْعَبَاتٍ‌</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بس </w:t>
      </w:r>
      <w:r w:rsidR="00992664" w:rsidRPr="00425F6C">
        <w:rPr>
          <w:rtl/>
        </w:rPr>
        <w:t xml:space="preserve">» </w:t>
      </w:r>
      <w:r w:rsidR="00992664" w:rsidRPr="00515444">
        <w:rPr>
          <w:rStyle w:val="libFootnoteBoldChar"/>
          <w:rtl/>
        </w:rPr>
        <w:t>والوافي</w:t>
      </w:r>
      <w:r w:rsidR="00992664" w:rsidRPr="00425F6C">
        <w:rPr>
          <w:rtl/>
        </w:rPr>
        <w:t xml:space="preserve"> </w:t>
      </w:r>
      <w:r w:rsidR="00992664" w:rsidRPr="00EB1FD9">
        <w:rPr>
          <w:rStyle w:val="libFootnoteBoldChar"/>
          <w:rtl/>
        </w:rPr>
        <w:t>والوسائل</w:t>
      </w:r>
      <w:r w:rsidR="00992664" w:rsidRPr="00425F6C">
        <w:rPr>
          <w:rtl/>
        </w:rPr>
        <w:t xml:space="preserve"> والغارات</w:t>
      </w:r>
      <w:r w:rsidR="00992664" w:rsidRPr="00020424">
        <w:rPr>
          <w:rtl/>
        </w:rPr>
        <w:t xml:space="preserve"> : « ولا يجهدنّها</w:t>
      </w:r>
      <w:r w:rsidR="00992664">
        <w:rPr>
          <w:rtl/>
        </w:rPr>
        <w:t xml:space="preserve"> ».</w:t>
      </w:r>
      <w:r w:rsidR="00992664" w:rsidRPr="00020424">
        <w:rPr>
          <w:rtl/>
        </w:rPr>
        <w:t xml:space="preserve"> وفي « بخ ، بر ، بف » : « ولا تجهد بها</w:t>
      </w:r>
      <w:r w:rsidR="00992664">
        <w:rPr>
          <w:rtl/>
        </w:rPr>
        <w:t xml:space="preserve"> ».</w:t>
      </w:r>
      <w:r w:rsidR="00425F6C">
        <w:rPr>
          <w:rtl/>
        </w:rPr>
        <w:t xml:space="preserve"> وقرأه‌العل</w:t>
      </w:r>
      <w:r w:rsidR="00425F6C">
        <w:rPr>
          <w:rFonts w:hint="cs"/>
          <w:rtl/>
        </w:rPr>
        <w:t>ّ</w:t>
      </w:r>
      <w:r w:rsidR="00425F6C">
        <w:rPr>
          <w:rtl/>
        </w:rPr>
        <w:t>ا</w:t>
      </w:r>
      <w:r w:rsidR="00992664" w:rsidRPr="00020424">
        <w:rPr>
          <w:rtl/>
        </w:rPr>
        <w:t xml:space="preserve">مة الفيض أيضاً : لايجهدنّها ، من باب الإفعال ، حيث قال في </w:t>
      </w:r>
      <w:r w:rsidR="00992664" w:rsidRPr="0012008A">
        <w:rPr>
          <w:rStyle w:val="libFootnoteBoldChar"/>
          <w:rtl/>
        </w:rPr>
        <w:t>الوافي</w:t>
      </w:r>
      <w:r w:rsidR="00992664" w:rsidRPr="00020424">
        <w:rPr>
          <w:rtl/>
        </w:rPr>
        <w:t xml:space="preserve"> : « الإجهاد : الإيقاع في المشقّة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25F6C" w:rsidTr="00425F6C">
        <w:tc>
          <w:tcPr>
            <w:tcW w:w="4006" w:type="dxa"/>
          </w:tcPr>
          <w:p w:rsidR="00425F6C" w:rsidRDefault="00425F6C" w:rsidP="00992664">
            <w:pPr>
              <w:pStyle w:val="libFootnote0"/>
              <w:rPr>
                <w:rtl/>
              </w:rPr>
            </w:pPr>
            <w:r>
              <w:rPr>
                <w:rtl/>
              </w:rPr>
              <w:t xml:space="preserve">(2). </w:t>
            </w:r>
            <w:r w:rsidRPr="00020424">
              <w:rPr>
                <w:rtl/>
              </w:rPr>
              <w:t>في « ظ ، بر » : « ولتعدل</w:t>
            </w:r>
            <w:r>
              <w:rPr>
                <w:rtl/>
              </w:rPr>
              <w:t xml:space="preserve"> ».</w:t>
            </w:r>
          </w:p>
        </w:tc>
        <w:tc>
          <w:tcPr>
            <w:tcW w:w="4006" w:type="dxa"/>
          </w:tcPr>
          <w:p w:rsidR="00425F6C" w:rsidRDefault="00425F6C" w:rsidP="00992664">
            <w:pPr>
              <w:pStyle w:val="libFootnote0"/>
              <w:rPr>
                <w:rtl/>
              </w:rPr>
            </w:pPr>
            <w:r>
              <w:rPr>
                <w:rtl/>
              </w:rPr>
              <w:t xml:space="preserve">(3). </w:t>
            </w:r>
            <w:r w:rsidRPr="00020424">
              <w:rPr>
                <w:rtl/>
              </w:rPr>
              <w:t>في « بر » : « ولتوردهنّ</w:t>
            </w:r>
            <w:r>
              <w:rPr>
                <w:rtl/>
              </w:rPr>
              <w:t xml:space="preserve"> ».</w:t>
            </w:r>
          </w:p>
        </w:tc>
      </w:tr>
      <w:tr w:rsidR="00425F6C" w:rsidTr="00425F6C">
        <w:tc>
          <w:tcPr>
            <w:tcW w:w="4006" w:type="dxa"/>
          </w:tcPr>
          <w:p w:rsidR="00425F6C" w:rsidRDefault="00425F6C" w:rsidP="00992664">
            <w:pPr>
              <w:pStyle w:val="libFootnote0"/>
              <w:rPr>
                <w:rtl/>
              </w:rPr>
            </w:pPr>
            <w:r>
              <w:rPr>
                <w:rtl/>
              </w:rPr>
              <w:t xml:space="preserve">(4). </w:t>
            </w:r>
            <w:r w:rsidRPr="00020424">
              <w:rPr>
                <w:rtl/>
              </w:rPr>
              <w:t>في « بث ، بس ، جن » : « تمرّ</w:t>
            </w:r>
            <w:r>
              <w:rPr>
                <w:rtl/>
              </w:rPr>
              <w:t xml:space="preserve"> ».</w:t>
            </w:r>
          </w:p>
        </w:tc>
        <w:tc>
          <w:tcPr>
            <w:tcW w:w="4006" w:type="dxa"/>
          </w:tcPr>
          <w:p w:rsidR="00425F6C" w:rsidRDefault="00425F6C" w:rsidP="00992664">
            <w:pPr>
              <w:pStyle w:val="libFootnote0"/>
              <w:rPr>
                <w:rtl/>
              </w:rPr>
            </w:pPr>
            <w:r>
              <w:rPr>
                <w:rtl/>
              </w:rPr>
              <w:t xml:space="preserve">(5). </w:t>
            </w:r>
            <w:r w:rsidRPr="00020424">
              <w:rPr>
                <w:rtl/>
              </w:rPr>
              <w:t>في « بر » : « ولا تعدل</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الجَوادّ » : جمع الجادّة ، وهي معظم الطرق ، وقيل : هي سواد الطريق ووسطه ، وقيل : هي الطريق الأعظم التي تجمع الطرق ولابدّ من المرور عليها. راجع : </w:t>
      </w:r>
      <w:r w:rsidR="00992664" w:rsidRPr="0012008A">
        <w:rPr>
          <w:rStyle w:val="libFootnoteBoldChar"/>
          <w:rtl/>
        </w:rPr>
        <w:t>الصحاح</w:t>
      </w:r>
      <w:r w:rsidR="00992664" w:rsidRPr="00020424">
        <w:rPr>
          <w:rtl/>
        </w:rPr>
        <w:t xml:space="preserve"> ، ج 2 ، ص 452 ؛ </w:t>
      </w:r>
      <w:r w:rsidR="00992664" w:rsidRPr="0012008A">
        <w:rPr>
          <w:rStyle w:val="libFootnoteBoldChar"/>
          <w:rtl/>
        </w:rPr>
        <w:t>النهاية</w:t>
      </w:r>
      <w:r w:rsidR="00992664" w:rsidRPr="00020424">
        <w:rPr>
          <w:rtl/>
        </w:rPr>
        <w:t xml:space="preserve"> ، ج 1 ، ص 244 ( جدد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حاشية « ظ » </w:t>
      </w:r>
      <w:r w:rsidR="00992664" w:rsidRPr="00DE3E80">
        <w:rPr>
          <w:rStyle w:val="libFootnoteBoldChar"/>
          <w:rtl/>
        </w:rPr>
        <w:t>والمقنعة</w:t>
      </w:r>
      <w:r w:rsidR="00992664" w:rsidRPr="00020424">
        <w:rPr>
          <w:rtl/>
        </w:rPr>
        <w:t xml:space="preserve"> : « الطرق</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الإراحة : ردّ الإبل والغنم من العشيّ إلى مُراحها ، حيث تأوي إليه ليلاً ، والإراحة أيضاً : رجوع إبل الرجل وغن</w:t>
      </w:r>
      <w:r w:rsidR="00425F6C">
        <w:rPr>
          <w:rtl/>
        </w:rPr>
        <w:t>مه وماله عليه ، ولايكون ذلك إل</w:t>
      </w:r>
      <w:r w:rsidR="00425F6C">
        <w:rPr>
          <w:rFonts w:hint="cs"/>
          <w:rtl/>
        </w:rPr>
        <w:t>ّ</w:t>
      </w:r>
      <w:r w:rsidR="00425F6C">
        <w:rPr>
          <w:rtl/>
        </w:rPr>
        <w:t>ا</w:t>
      </w:r>
      <w:r w:rsidR="00992664" w:rsidRPr="00020424">
        <w:rPr>
          <w:rtl/>
        </w:rPr>
        <w:t xml:space="preserve">بعد الزوال. راجع : </w:t>
      </w:r>
      <w:r w:rsidR="00992664" w:rsidRPr="00A722B1">
        <w:rPr>
          <w:rStyle w:val="libFootnoteBoldChar"/>
          <w:rtl/>
        </w:rPr>
        <w:t>لسان العرب</w:t>
      </w:r>
      <w:r w:rsidR="00992664" w:rsidRPr="00020424">
        <w:rPr>
          <w:rtl/>
        </w:rPr>
        <w:t xml:space="preserve"> ، ج 2 ، ص 464</w:t>
      </w:r>
      <w:r w:rsidR="00992664">
        <w:rPr>
          <w:rtl/>
        </w:rPr>
        <w:t xml:space="preserve"> </w:t>
      </w:r>
      <w:r w:rsidR="009B673F">
        <w:rPr>
          <w:rtl/>
        </w:rPr>
        <w:t>-</w:t>
      </w:r>
      <w:r w:rsidR="00992664">
        <w:rPr>
          <w:rtl/>
        </w:rPr>
        <w:t xml:space="preserve"> </w:t>
      </w:r>
      <w:r w:rsidR="00992664" w:rsidRPr="00020424">
        <w:rPr>
          <w:rtl/>
        </w:rPr>
        <w:t xml:space="preserve">465 ؛ </w:t>
      </w:r>
      <w:r w:rsidR="00992664" w:rsidRPr="00A722B1">
        <w:rPr>
          <w:rStyle w:val="libFootnoteBoldChar"/>
          <w:rtl/>
        </w:rPr>
        <w:t>المصباح المنير</w:t>
      </w:r>
      <w:r w:rsidR="00992664" w:rsidRPr="00020424">
        <w:rPr>
          <w:rtl/>
        </w:rPr>
        <w:t xml:space="preserve"> ، ص 243 ( روح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AD016D">
        <w:rPr>
          <w:rtl/>
        </w:rPr>
        <w:t>الغارات</w:t>
      </w:r>
      <w:r w:rsidR="00992664" w:rsidRPr="00020424">
        <w:rPr>
          <w:rtl/>
        </w:rPr>
        <w:t xml:space="preserve"> : « وتعنق</w:t>
      </w:r>
      <w:r w:rsidR="00992664">
        <w:rPr>
          <w:rtl/>
        </w:rPr>
        <w:t xml:space="preserve"> ».</w:t>
      </w:r>
      <w:r w:rsidR="00992664" w:rsidRPr="00020424">
        <w:rPr>
          <w:rtl/>
        </w:rPr>
        <w:t xml:space="preserve"> </w:t>
      </w:r>
      <w:r w:rsidR="00992664">
        <w:rPr>
          <w:rtl/>
        </w:rPr>
        <w:t>و «</w:t>
      </w:r>
      <w:r w:rsidR="00992664" w:rsidRPr="00020424">
        <w:rPr>
          <w:rtl/>
        </w:rPr>
        <w:t xml:space="preserve"> تغبق » من الغَبوق ، وهو الشرب بالعشيّ وشرب آخر النهار ، مقابل الصَبوح. راجع : </w:t>
      </w:r>
      <w:r w:rsidR="00992664" w:rsidRPr="0012008A">
        <w:rPr>
          <w:rStyle w:val="libFootnoteBoldChar"/>
          <w:rtl/>
        </w:rPr>
        <w:t>الصحاح</w:t>
      </w:r>
      <w:r w:rsidR="00992664" w:rsidRPr="00020424">
        <w:rPr>
          <w:rtl/>
        </w:rPr>
        <w:t xml:space="preserve"> ، ج 4 ، ص 1535 ؛ </w:t>
      </w:r>
      <w:r w:rsidR="00992664" w:rsidRPr="0012008A">
        <w:rPr>
          <w:rStyle w:val="libFootnoteBoldChar"/>
          <w:rtl/>
        </w:rPr>
        <w:t>النهاية</w:t>
      </w:r>
      <w:r w:rsidR="00992664" w:rsidRPr="00020424">
        <w:rPr>
          <w:rtl/>
        </w:rPr>
        <w:t xml:space="preserve"> ، ج 3 ، ص 341 ( غبق )</w:t>
      </w:r>
      <w:r w:rsidR="00992664">
        <w:rPr>
          <w:rtl/>
        </w:rPr>
        <w:t>.</w:t>
      </w:r>
    </w:p>
    <w:p w:rsidR="00992664" w:rsidRPr="00020424" w:rsidRDefault="00992664" w:rsidP="00425F6C">
      <w:pPr>
        <w:pStyle w:val="libFootnote0"/>
        <w:rPr>
          <w:rtl/>
          <w:lang w:bidi="fa-IR"/>
        </w:rPr>
      </w:pPr>
      <w:r w:rsidRPr="00425F6C">
        <w:rPr>
          <w:rtl/>
        </w:rPr>
        <w:t xml:space="preserve">هذا ، وقد قال ابن إدريس في </w:t>
      </w:r>
      <w:r w:rsidRPr="00AD016D">
        <w:rPr>
          <w:rtl/>
        </w:rPr>
        <w:t>السرائر</w:t>
      </w:r>
      <w:r w:rsidRPr="00425F6C">
        <w:rPr>
          <w:rtl/>
        </w:rPr>
        <w:t xml:space="preserve"> ، ج 1 ، ص 464 : « سمعت من يقول : تريح وتغبق ، بالغين المعجمة والباء ويعتقد أنّه من الغبوق وهو الشرب بالعشيّ ، وهذا تصحيف فاحش وخطأ قبيح وإنّما هو تعنق ، بالعين غير المعجمة المفتوحة والنون المفتوحة ؛ من العنق وهو ضرب من سير الإبل وهو سير شديد ... ؛ لأنّ معنى الكلام أنّه لا تعدل بهنّ عن نبت الأرض إلى جوادّ الطرق في الساعات التي لها فيها راحة ، ولا في الساعات التي فيها مشقّة ، ولأجل هذا قال : تريح ، من الراحة ، ولو كان فيها من الرواح لقال : تروح وما كان يقول : تريح ، ولأنّ الرواح عند العشيّ يكون قريباً منه ، والغبوق هو شرب العشيّ على ما ذكرناه ، فلم يبق له معنى وإنّما المعنى ما بيّناه ، وإنّما أوردت هذه اللفظة في كتابي ؛ لأنّي سمعت جماعة من أصحاب الفقهاء يصحّفونها ».</w:t>
      </w:r>
    </w:p>
    <w:p w:rsidR="00992664" w:rsidRPr="00020424" w:rsidRDefault="00992664" w:rsidP="00425F6C">
      <w:pPr>
        <w:pStyle w:val="libFootnote0"/>
        <w:rPr>
          <w:rtl/>
          <w:lang w:bidi="fa-IR"/>
        </w:rPr>
      </w:pPr>
      <w:r w:rsidRPr="00425F6C">
        <w:rPr>
          <w:rtl/>
        </w:rPr>
        <w:t xml:space="preserve">وقال في </w:t>
      </w:r>
      <w:r w:rsidRPr="0012008A">
        <w:rPr>
          <w:rStyle w:val="libFootnoteBoldChar"/>
          <w:rtl/>
        </w:rPr>
        <w:t>الوافي</w:t>
      </w:r>
      <w:r w:rsidRPr="00425F6C">
        <w:rPr>
          <w:rtl/>
        </w:rPr>
        <w:t xml:space="preserve"> : « قال ا</w:t>
      </w:r>
      <w:r w:rsidR="00425F6C">
        <w:rPr>
          <w:rFonts w:hint="cs"/>
          <w:rtl/>
        </w:rPr>
        <w:t>ُ</w:t>
      </w:r>
      <w:r w:rsidRPr="00425F6C">
        <w:rPr>
          <w:rtl/>
        </w:rPr>
        <w:t xml:space="preserve">ستاذنا </w:t>
      </w:r>
      <w:r w:rsidR="00D64ADA" w:rsidRPr="00D64ADA">
        <w:rPr>
          <w:rStyle w:val="libFootnoteAlaemChar"/>
          <w:rtl/>
        </w:rPr>
        <w:t>رحمه‌الله</w:t>
      </w:r>
      <w:r w:rsidRPr="00425F6C">
        <w:rPr>
          <w:rtl/>
        </w:rPr>
        <w:t xml:space="preserve"> : كون ذلك تصحيفاً غير معلوم ، بل يحتمل الأمرين ».</w:t>
      </w:r>
    </w:p>
    <w:p w:rsidR="00992664" w:rsidRPr="00020424" w:rsidRDefault="00992664" w:rsidP="00425F6C">
      <w:pPr>
        <w:pStyle w:val="libFootnote0"/>
        <w:rPr>
          <w:rtl/>
          <w:lang w:bidi="fa-IR"/>
        </w:rPr>
      </w:pPr>
      <w:r w:rsidRPr="00425F6C">
        <w:rPr>
          <w:rtl/>
        </w:rPr>
        <w:t xml:space="preserve">وقال في </w:t>
      </w:r>
      <w:r w:rsidRPr="00AD016D">
        <w:rPr>
          <w:rtl/>
        </w:rPr>
        <w:t>مرآة العقول</w:t>
      </w:r>
      <w:r w:rsidRPr="00425F6C">
        <w:rPr>
          <w:rtl/>
        </w:rPr>
        <w:t xml:space="preserve"> ، ج 16 ، ص 68 : « قال الفاضل الأسترآبادي : قوله : ويريح ويعنق ، أي الرسول ، والضمائر كلّها راجعة إلى رسول المصدّق ، وحينئذٍ لايتوجّه خطيئة بعض الأذكياء عليه وتشنيعه على الفقهاء ، وفي وصيّة ا</w:t>
      </w:r>
      <w:r w:rsidR="00425F6C">
        <w:rPr>
          <w:rFonts w:hint="cs"/>
          <w:rtl/>
        </w:rPr>
        <w:t>ُ</w:t>
      </w:r>
      <w:r w:rsidRPr="00425F6C">
        <w:rPr>
          <w:rtl/>
        </w:rPr>
        <w:t xml:space="preserve">خرى منه : وأرح فيه بدنك وروّح ظهرك ، مؤيّد لهذا المعنى. وقال في </w:t>
      </w:r>
      <w:r w:rsidRPr="0012008A">
        <w:rPr>
          <w:rStyle w:val="libFootnoteBoldChar"/>
          <w:rtl/>
        </w:rPr>
        <w:t>النهاية</w:t>
      </w:r>
      <w:r w:rsidRPr="00425F6C">
        <w:rPr>
          <w:rtl/>
        </w:rPr>
        <w:t xml:space="preserve"> : فانطلقوا معانقين ، أي مسرعين ، من عانق مثل أعنق ، إذا سارع وأسرع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بث ، بر ، بس » </w:t>
      </w:r>
      <w:r w:rsidR="00992664" w:rsidRPr="00EB1FD9">
        <w:rPr>
          <w:rStyle w:val="libFootnoteBoldChar"/>
          <w:rtl/>
        </w:rPr>
        <w:t>والوسائل</w:t>
      </w:r>
      <w:r w:rsidR="00992664" w:rsidRPr="00020424">
        <w:rPr>
          <w:rtl/>
        </w:rPr>
        <w:t xml:space="preserve"> : « حتّى تأتينا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 « شحاماً</w:t>
      </w:r>
      <w:r w:rsidR="00992664">
        <w:rPr>
          <w:rtl/>
        </w:rPr>
        <w:t xml:space="preserve"> ».</w:t>
      </w:r>
      <w:r w:rsidR="00992664" w:rsidRPr="00020424">
        <w:rPr>
          <w:rtl/>
        </w:rPr>
        <w:t xml:space="preserve"> وفي « بخ » : « سجاحاً</w:t>
      </w:r>
      <w:r w:rsidR="00992664">
        <w:rPr>
          <w:rtl/>
        </w:rPr>
        <w:t xml:space="preserve"> ».</w:t>
      </w:r>
      <w:r w:rsidR="00992664" w:rsidRPr="00020424">
        <w:rPr>
          <w:rtl/>
        </w:rPr>
        <w:t xml:space="preserve"> وفي « جن » </w:t>
      </w:r>
      <w:r w:rsidR="00992664" w:rsidRPr="00515444">
        <w:rPr>
          <w:rStyle w:val="libFootnoteBoldChar"/>
          <w:rtl/>
        </w:rPr>
        <w:t>والتهذيب</w:t>
      </w:r>
      <w:r w:rsidR="00992664" w:rsidRPr="00020424">
        <w:rPr>
          <w:rtl/>
        </w:rPr>
        <w:t xml:space="preserve"> : « صحاحاً</w:t>
      </w:r>
      <w:r w:rsidR="00992664">
        <w:rPr>
          <w:rtl/>
        </w:rPr>
        <w:t xml:space="preserve"> ».</w:t>
      </w:r>
      <w:r w:rsidR="00992664" w:rsidRPr="00020424">
        <w:rPr>
          <w:rtl/>
        </w:rPr>
        <w:t xml:space="preserve"> وفي مرآة العقول : </w:t>
      </w:r>
      <w:r w:rsidR="00425F6C">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وَلَامُجْهَدَاتٍ ، فَيُقْسَمْنَ </w:t>
      </w:r>
      <w:r w:rsidRPr="00A91B96">
        <w:rPr>
          <w:rStyle w:val="libFootnotenumChar"/>
          <w:rtl/>
        </w:rPr>
        <w:t>(1)</w:t>
      </w:r>
      <w:r w:rsidRPr="00020424">
        <w:rPr>
          <w:rtl/>
          <w:lang w:bidi="fa-IR"/>
        </w:rPr>
        <w:t xml:space="preserve"> بِإِذْنِ اللهِ عَلى كِتَابِ اللهِ وَسُنَّةِ نَبِيِّهِ </w:t>
      </w:r>
      <w:r w:rsidR="00024718" w:rsidRPr="00B42914">
        <w:rPr>
          <w:rStyle w:val="libAlaemChar"/>
          <w:rtl/>
        </w:rPr>
        <w:t>صلى‌الله‌عليه‌وآله‌</w:t>
      </w:r>
      <w:r w:rsidR="00024718" w:rsidRPr="00020424">
        <w:rPr>
          <w:rtl/>
          <w:lang w:bidi="fa-IR"/>
        </w:rPr>
        <w:t xml:space="preserve"> </w:t>
      </w:r>
      <w:r w:rsidRPr="00020424">
        <w:rPr>
          <w:rtl/>
          <w:lang w:bidi="fa-IR"/>
        </w:rPr>
        <w:t xml:space="preserve">عَلى أَوْلِيَاءِ اللهِ </w:t>
      </w:r>
      <w:r w:rsidRPr="00A91B96">
        <w:rPr>
          <w:rStyle w:val="libFootnotenumChar"/>
          <w:rtl/>
        </w:rPr>
        <w:t>(2)</w:t>
      </w:r>
      <w:r w:rsidRPr="00020424">
        <w:rPr>
          <w:rtl/>
          <w:lang w:bidi="fa-IR"/>
        </w:rPr>
        <w:t xml:space="preserve"> ؛ فَإِنَّ ذلِكَ أَعْظَمُ لِأَجْرِكَ ، وَأَقْرَبُ لِرُشْدِكَ ، يَنْظُرُ اللهُ إِلَيْهَا وَإِلَيْكَ وَإِلى جُهْدِكَ وَنَصِيحَتِكَ </w:t>
      </w:r>
      <w:r w:rsidRPr="00A91B96">
        <w:rPr>
          <w:rStyle w:val="libFootnotenumChar"/>
          <w:rtl/>
        </w:rPr>
        <w:t>(3)</w:t>
      </w:r>
      <w:r w:rsidRPr="00020424">
        <w:rPr>
          <w:rtl/>
          <w:lang w:bidi="fa-IR"/>
        </w:rPr>
        <w:t xml:space="preserve"> لِمَنْ بَعَثَكَ وَبُعِثْتَ فِي حَاجَتِهِ ؛ فَإِنَّ رَسُولَ اللهِ </w:t>
      </w:r>
      <w:r w:rsidR="00B42914" w:rsidRPr="00B42914">
        <w:rPr>
          <w:rStyle w:val="libAlaemChar"/>
          <w:rtl/>
        </w:rPr>
        <w:t>صلى‌الله‌عليه‌وآله‌</w:t>
      </w:r>
      <w:r w:rsidRPr="00020424">
        <w:rPr>
          <w:rtl/>
          <w:lang w:bidi="fa-IR"/>
        </w:rPr>
        <w:t xml:space="preserve"> قَالَ : مَا يَنْظُرُ </w:t>
      </w:r>
      <w:r w:rsidRPr="00A91B96">
        <w:rPr>
          <w:rStyle w:val="libFootnotenumChar"/>
          <w:rtl/>
        </w:rPr>
        <w:t>(4)</w:t>
      </w:r>
      <w:r w:rsidRPr="00020424">
        <w:rPr>
          <w:rtl/>
          <w:lang w:bidi="fa-IR"/>
        </w:rPr>
        <w:t xml:space="preserve"> اللهُ إِلى وَلِيٍّ لَهُ يَجْهَدُ </w:t>
      </w:r>
      <w:r w:rsidRPr="00A91B96">
        <w:rPr>
          <w:rStyle w:val="libFootnotenumChar"/>
          <w:rtl/>
        </w:rPr>
        <w:t>(5)</w:t>
      </w:r>
      <w:r w:rsidRPr="00020424">
        <w:rPr>
          <w:rtl/>
          <w:lang w:bidi="fa-IR"/>
        </w:rPr>
        <w:t xml:space="preserve"> نَفْسَهُ بِالطَّاعَةِ وَالنَّصِيحَةِ لَهُ وَلِإِمَامِهِ </w:t>
      </w:r>
      <w:r w:rsidRPr="00A91B96">
        <w:rPr>
          <w:rStyle w:val="libFootnotenumChar"/>
          <w:rtl/>
        </w:rPr>
        <w:t>(6)</w:t>
      </w:r>
      <w:r w:rsidR="001708D7">
        <w:rPr>
          <w:rtl/>
          <w:lang w:bidi="fa-IR"/>
        </w:rPr>
        <w:t xml:space="preserve"> إِل</w:t>
      </w:r>
      <w:r w:rsidR="001708D7">
        <w:rPr>
          <w:rFonts w:hint="cs"/>
          <w:rtl/>
          <w:lang w:bidi="fa-IR"/>
        </w:rPr>
        <w:t>َّ</w:t>
      </w:r>
      <w:r w:rsidR="001708D7">
        <w:rPr>
          <w:rtl/>
          <w:lang w:bidi="fa-IR"/>
        </w:rPr>
        <w:t>ا</w:t>
      </w:r>
      <w:r w:rsidR="001708D7">
        <w:rPr>
          <w:rFonts w:hint="cs"/>
          <w:rtl/>
          <w:lang w:bidi="fa-IR"/>
        </w:rPr>
        <w:t xml:space="preserve"> </w:t>
      </w:r>
      <w:r w:rsidRPr="00020424">
        <w:rPr>
          <w:rtl/>
          <w:lang w:bidi="fa-IR"/>
        </w:rPr>
        <w:t>كَانَ مَعَنَا فِي الرَّفِيقِ الْأَعْلى</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ثُمَّ بَكى أَبُو عَبْدِ اللهِ </w:t>
      </w:r>
      <w:r w:rsidRPr="00005A81">
        <w:rPr>
          <w:rStyle w:val="libAlaemChar"/>
          <w:rtl/>
        </w:rPr>
        <w:t>عليه‌السلام</w:t>
      </w:r>
      <w:r w:rsidRPr="00020424">
        <w:rPr>
          <w:rtl/>
          <w:lang w:bidi="fa-IR"/>
        </w:rPr>
        <w:t xml:space="preserve"> ، ثُمَّ قَالَ : « يَا بُرَيْدُ ، لَاوَ اللهِ ، مَا</w:t>
      </w:r>
      <w:r w:rsidR="001708D7">
        <w:rPr>
          <w:rtl/>
          <w:lang w:bidi="fa-IR"/>
        </w:rPr>
        <w:t xml:space="preserve"> بَقِيَتْ لِلّهِ حُرْمَةٌ إِل</w:t>
      </w:r>
      <w:r w:rsidR="001708D7">
        <w:rPr>
          <w:rFonts w:hint="cs"/>
          <w:rtl/>
          <w:lang w:bidi="fa-IR"/>
        </w:rPr>
        <w:t>َّ</w:t>
      </w:r>
      <w:r w:rsidR="001708D7">
        <w:rPr>
          <w:rtl/>
          <w:lang w:bidi="fa-IR"/>
        </w:rPr>
        <w:t>ا</w:t>
      </w:r>
      <w:r w:rsidRPr="00020424">
        <w:rPr>
          <w:rtl/>
          <w:lang w:bidi="fa-IR"/>
        </w:rPr>
        <w:t xml:space="preserve"> انْتُهِكَتْ ، وَلَاعُمِلَ بِكِتَابِ اللهِ وَلَاسُنَّةِ نَبِيِّهِ فِي هذَا الْعَالَمِ ، وَلَا</w:t>
      </w:r>
      <w:r>
        <w:rPr>
          <w:rFonts w:hint="cs"/>
          <w:rtl/>
          <w:lang w:bidi="fa-IR"/>
        </w:rPr>
        <w:t xml:space="preserve"> </w:t>
      </w:r>
      <w:r w:rsidRPr="00020424">
        <w:rPr>
          <w:rtl/>
          <w:lang w:bidi="fa-IR"/>
        </w:rPr>
        <w:t xml:space="preserve">أُقِيمَ فِي هذَا الْخَلْقِ حَدٌّ مُنْذُ قَبَضَ اللهُ أَمِيرَ الْمُؤْمِنِينَ صَلَوَاتُ اللهِ وَسَلَامُهُ </w:t>
      </w:r>
      <w:r w:rsidRPr="00A91B96">
        <w:rPr>
          <w:rStyle w:val="libFootnotenumChar"/>
          <w:rtl/>
        </w:rPr>
        <w:t>(7)</w:t>
      </w:r>
      <w:r w:rsidRPr="00020424">
        <w:rPr>
          <w:rtl/>
          <w:lang w:bidi="fa-IR"/>
        </w:rPr>
        <w:t xml:space="preserve"> عَلَيْهِ </w:t>
      </w:r>
      <w:r w:rsidRPr="00A91B96">
        <w:rPr>
          <w:rStyle w:val="libFootnotenumChar"/>
          <w:rtl/>
        </w:rPr>
        <w:t>(8)</w:t>
      </w:r>
      <w:r w:rsidRPr="00020424">
        <w:rPr>
          <w:rtl/>
          <w:lang w:bidi="fa-IR"/>
        </w:rPr>
        <w:t xml:space="preserve"> ، وَلَاعُمِلَ بِشَيْ‌ءٍ </w:t>
      </w:r>
      <w:r w:rsidRPr="00A91B96">
        <w:rPr>
          <w:rStyle w:val="libFootnotenumChar"/>
          <w:rtl/>
        </w:rPr>
        <w:t>(9)</w:t>
      </w:r>
      <w:r w:rsidRPr="00020424">
        <w:rPr>
          <w:rtl/>
          <w:lang w:bidi="fa-IR"/>
        </w:rPr>
        <w:t xml:space="preserve"> مِنَ الْحَقِّ إِلى يَوْمِ النَّاسِ هذَا</w:t>
      </w:r>
      <w:r>
        <w:rPr>
          <w:rtl/>
          <w:lang w:bidi="fa-IR"/>
        </w:rPr>
        <w:t>».</w:t>
      </w:r>
    </w:p>
    <w:p w:rsidR="00992664" w:rsidRPr="00020424" w:rsidRDefault="00992664" w:rsidP="00992664">
      <w:pPr>
        <w:pStyle w:val="libNormal"/>
        <w:rPr>
          <w:rtl/>
          <w:lang w:bidi="fa-IR"/>
        </w:rPr>
      </w:pPr>
      <w:r w:rsidRPr="00020424">
        <w:rPr>
          <w:rtl/>
          <w:lang w:bidi="fa-IR"/>
        </w:rPr>
        <w:t>ثُمَّ قَالَ : « أَمَا وَ</w:t>
      </w:r>
      <w:r w:rsidR="001708D7">
        <w:rPr>
          <w:rFonts w:hint="cs"/>
          <w:rtl/>
          <w:lang w:bidi="fa-IR"/>
        </w:rPr>
        <w:t xml:space="preserve"> </w:t>
      </w:r>
      <w:r w:rsidRPr="00020424">
        <w:rPr>
          <w:rtl/>
          <w:lang w:bidi="fa-IR"/>
        </w:rPr>
        <w:t>اللهِ ، لَاتَذْهَبُ الْأَيَّامُ وَاللَّيَالِي حَتّى يُحْيِيَ اللهُ الْمَوْتى ، وَيُمِيتَ‌</w:t>
      </w:r>
    </w:p>
    <w:p w:rsidR="00992664" w:rsidRPr="00020424" w:rsidRDefault="00992664" w:rsidP="00992664">
      <w:pPr>
        <w:pStyle w:val="libLine"/>
        <w:rPr>
          <w:rtl/>
          <w:lang w:bidi="fa-IR"/>
        </w:rPr>
      </w:pPr>
      <w:r w:rsidRPr="00020424">
        <w:rPr>
          <w:rtl/>
          <w:lang w:bidi="fa-IR"/>
        </w:rPr>
        <w:t>__________________</w:t>
      </w:r>
    </w:p>
    <w:p w:rsidR="00992664" w:rsidRPr="00020424" w:rsidRDefault="001708D7" w:rsidP="00992664">
      <w:pPr>
        <w:pStyle w:val="libFootnote0"/>
        <w:rPr>
          <w:rtl/>
          <w:lang w:bidi="fa-IR"/>
        </w:rPr>
      </w:pPr>
      <w:r>
        <w:rPr>
          <w:rFonts w:hint="cs"/>
          <w:rtl/>
        </w:rPr>
        <w:t xml:space="preserve">= </w:t>
      </w:r>
      <w:r w:rsidR="00992664" w:rsidRPr="00020424">
        <w:rPr>
          <w:rtl/>
        </w:rPr>
        <w:t>« سجاناً</w:t>
      </w:r>
      <w:r w:rsidR="00992664">
        <w:rPr>
          <w:rtl/>
        </w:rPr>
        <w:t xml:space="preserve"> ».</w:t>
      </w:r>
      <w:r w:rsidR="00992664" w:rsidRPr="00020424">
        <w:rPr>
          <w:rtl/>
        </w:rPr>
        <w:t xml:space="preserve"> وفي </w:t>
      </w:r>
      <w:r w:rsidR="00992664" w:rsidRPr="0012008A">
        <w:rPr>
          <w:rStyle w:val="libFootnoteBoldChar"/>
          <w:rtl/>
        </w:rPr>
        <w:t>المقنعة</w:t>
      </w:r>
      <w:r w:rsidR="00992664" w:rsidRPr="00020424">
        <w:rPr>
          <w:rtl/>
        </w:rPr>
        <w:t xml:space="preserve"> : « سجاجاً</w:t>
      </w:r>
      <w:r w:rsidR="00992664">
        <w:rPr>
          <w:rtl/>
        </w:rPr>
        <w:t xml:space="preserve"> ».</w:t>
      </w:r>
      <w:r w:rsidR="00992664" w:rsidRPr="00020424">
        <w:rPr>
          <w:rtl/>
        </w:rPr>
        <w:t xml:space="preserve"> </w:t>
      </w:r>
      <w:r w:rsidR="00992664">
        <w:rPr>
          <w:rtl/>
        </w:rPr>
        <w:t>و «</w:t>
      </w:r>
      <w:r w:rsidR="00992664" w:rsidRPr="00020424">
        <w:rPr>
          <w:rtl/>
        </w:rPr>
        <w:t xml:space="preserve"> السِحاح » : جمع ساحّ وساحّة ، وهي السمنة ؛ من السَحّ ، وهو أن يسمن غاية السمن ، يقال : سحّت الشاة والبقرة ، إذا سمنت غاية السمن ، وشاة ساحّ وساحّة ، أي ممتلئة سمناً. وقيل : سمنت ولم تنته الغاية. راجع : </w:t>
      </w:r>
      <w:r w:rsidR="00992664" w:rsidRPr="00A722B1">
        <w:rPr>
          <w:rStyle w:val="libFootnoteBoldChar"/>
          <w:rtl/>
        </w:rPr>
        <w:t>لسان العرب</w:t>
      </w:r>
      <w:r w:rsidR="00992664" w:rsidRPr="00020424">
        <w:rPr>
          <w:rtl/>
        </w:rPr>
        <w:t xml:space="preserve"> ، ج 2 ، ص 476 ؛ </w:t>
      </w:r>
      <w:r w:rsidR="00992664" w:rsidRPr="00A722B1">
        <w:rPr>
          <w:rStyle w:val="libFootnoteBoldChar"/>
          <w:rtl/>
        </w:rPr>
        <w:t>القاموس المحيط</w:t>
      </w:r>
      <w:r w:rsidR="00B50394">
        <w:rPr>
          <w:rtl/>
        </w:rPr>
        <w:t xml:space="preserve"> ، ج 1 ، ص 338 (</w:t>
      </w:r>
      <w:r w:rsidR="00992664" w:rsidRPr="00020424">
        <w:rPr>
          <w:rtl/>
        </w:rPr>
        <w:t>سحح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w:t>
      </w:r>
      <w:r w:rsidR="00992664" w:rsidRPr="002F4D0D">
        <w:rPr>
          <w:rtl/>
        </w:rPr>
        <w:t xml:space="preserve"> الوافي </w:t>
      </w:r>
      <w:r w:rsidR="00992664" w:rsidRPr="00EB1FD9">
        <w:rPr>
          <w:rStyle w:val="libFootnoteBoldChar"/>
          <w:rtl/>
        </w:rPr>
        <w:t>والوسائل</w:t>
      </w:r>
      <w:r w:rsidR="00992664" w:rsidRPr="002F4D0D">
        <w:rPr>
          <w:rtl/>
        </w:rPr>
        <w:t xml:space="preserve"> والبحار </w:t>
      </w:r>
      <w:r w:rsidR="00992664" w:rsidRPr="00515444">
        <w:rPr>
          <w:rStyle w:val="libFootnoteBoldChar"/>
          <w:rtl/>
        </w:rPr>
        <w:t>والتهذيب</w:t>
      </w:r>
      <w:r w:rsidR="00992664" w:rsidRPr="002F4D0D">
        <w:rPr>
          <w:rtl/>
        </w:rPr>
        <w:t xml:space="preserve"> </w:t>
      </w:r>
      <w:r w:rsidR="00992664" w:rsidRPr="00DE3E80">
        <w:rPr>
          <w:rStyle w:val="libFootnoteBoldChar"/>
          <w:rtl/>
        </w:rPr>
        <w:t>والمقنعة</w:t>
      </w:r>
      <w:r w:rsidR="00992664" w:rsidRPr="002F4D0D">
        <w:rPr>
          <w:rtl/>
        </w:rPr>
        <w:t xml:space="preserve"> : « فتقس</w:t>
      </w:r>
      <w:r w:rsidR="00992664" w:rsidRPr="00020424">
        <w:rPr>
          <w:rtl/>
        </w:rPr>
        <w:t>مهنّ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الغارات :</w:t>
      </w:r>
      <w:r w:rsidR="00992664">
        <w:rPr>
          <w:rtl/>
        </w:rPr>
        <w:t xml:space="preserve"> </w:t>
      </w:r>
      <w:r w:rsidR="009B673F">
        <w:rPr>
          <w:rtl/>
        </w:rPr>
        <w:t>-</w:t>
      </w:r>
      <w:r w:rsidR="00992664">
        <w:rPr>
          <w:rtl/>
        </w:rPr>
        <w:t xml:space="preserve"> </w:t>
      </w:r>
      <w:r w:rsidR="00992664" w:rsidRPr="00020424">
        <w:rPr>
          <w:rtl/>
        </w:rPr>
        <w:t>« على أولياء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ونصحك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الكافي ، ح 1060 والغارات </w:t>
      </w:r>
      <w:r w:rsidR="00992664" w:rsidRPr="00DE3E80">
        <w:rPr>
          <w:rStyle w:val="libFootnoteBoldChar"/>
          <w:rtl/>
        </w:rPr>
        <w:t>والمقنعة</w:t>
      </w:r>
      <w:r w:rsidR="00992664" w:rsidRPr="00020424">
        <w:rPr>
          <w:rtl/>
        </w:rPr>
        <w:t xml:space="preserve"> : « نظر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 « ليجهد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الكافي ، ح 1060 : « الإمامه والنصيحة » وفي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والنصيحة لإمامه » بدل « والنصيحة له ولإمامه</w:t>
      </w:r>
      <w:r w:rsidR="00992664">
        <w:rPr>
          <w:rtl/>
        </w:rPr>
        <w:t xml:space="preserve"> ».</w:t>
      </w:r>
      <w:r w:rsidR="00992664" w:rsidRPr="00020424">
        <w:rPr>
          <w:rtl/>
        </w:rPr>
        <w:t xml:space="preserve"> وقال ابن الأثير : « النصيحة : كلمة يعبّر بها عن جملة هي إرادة الخير للمنصوح له ، وليس يمكن أن يعبّر هذا المعنى بكلمة واحدة تجمع معناه غيرها ، وأصل النُصْح في اللغة : الخلوص ، يقال : نصحته ونصحت له. ومعنى نصيحة الله : صحّة الاعتقاد في وحدانيّته وإخلاص النيّة في عبادته</w:t>
      </w:r>
      <w:r w:rsidR="00992664">
        <w:rPr>
          <w:rtl/>
        </w:rPr>
        <w:t xml:space="preserve"> ..</w:t>
      </w:r>
      <w:r w:rsidR="00992664" w:rsidRPr="00020424">
        <w:rPr>
          <w:rtl/>
        </w:rPr>
        <w:t>. ونصيحة رسوله : التصديق بنبوّته ورسالته والانقياد لما أمر به ونهى عنه ، ونصيحة الأئمّة : أن يطيعهم في الحقّ</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5 ، ص 62</w:t>
      </w:r>
      <w:r w:rsidR="00992664">
        <w:rPr>
          <w:rtl/>
        </w:rPr>
        <w:t xml:space="preserve"> </w:t>
      </w:r>
      <w:r w:rsidR="009B673F">
        <w:rPr>
          <w:rtl/>
        </w:rPr>
        <w:t>-</w:t>
      </w:r>
      <w:r w:rsidR="00992664">
        <w:rPr>
          <w:rtl/>
        </w:rPr>
        <w:t xml:space="preserve"> </w:t>
      </w:r>
      <w:r w:rsidR="00992664" w:rsidRPr="00020424">
        <w:rPr>
          <w:rtl/>
        </w:rPr>
        <w:t>63 ( نصح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بث ، بح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وسلامه</w:t>
      </w:r>
      <w:r w:rsidR="00992664">
        <w:rPr>
          <w:rtl/>
        </w:rPr>
        <w:t xml:space="preserve"> ».</w:t>
      </w:r>
    </w:p>
    <w:p w:rsidR="00992664" w:rsidRPr="00020424" w:rsidRDefault="00795177" w:rsidP="002F4D0D">
      <w:pPr>
        <w:pStyle w:val="libFootnote0"/>
        <w:rPr>
          <w:rtl/>
          <w:lang w:bidi="fa-IR"/>
        </w:rPr>
      </w:pPr>
      <w:r>
        <w:rPr>
          <w:rtl/>
        </w:rPr>
        <w:t>(8).</w:t>
      </w:r>
      <w:r w:rsidR="0014403D">
        <w:rPr>
          <w:rtl/>
        </w:rPr>
        <w:t xml:space="preserve"> </w:t>
      </w:r>
      <w:r w:rsidR="00992664" w:rsidRPr="00020424">
        <w:rPr>
          <w:rtl/>
        </w:rPr>
        <w:t>في « بخ ، بر ، بس ، بف » و</w:t>
      </w:r>
      <w:r w:rsidR="00992664" w:rsidRPr="0012008A">
        <w:rPr>
          <w:rStyle w:val="libFootnoteBoldChar"/>
          <w:rtl/>
        </w:rPr>
        <w:t>البحار</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w:t>
      </w:r>
      <w:r w:rsidR="002F4D0D">
        <w:rPr>
          <w:rFonts w:hint="cs"/>
          <w:rtl/>
        </w:rPr>
        <w:t xml:space="preserve"> عليه السلام</w:t>
      </w:r>
      <w:r w:rsidR="00992664" w:rsidRPr="00020424">
        <w:rPr>
          <w:rtl/>
        </w:rPr>
        <w:t xml:space="preserve"> » بدل « صلوات الله وسلامه عليه</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بف » : « لشي‌ء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الْأَحْيَاءَ </w:t>
      </w:r>
      <w:r w:rsidRPr="00A91B96">
        <w:rPr>
          <w:rStyle w:val="libFootnotenumChar"/>
          <w:rtl/>
        </w:rPr>
        <w:t>(1)</w:t>
      </w:r>
      <w:r w:rsidRPr="00020424">
        <w:rPr>
          <w:rtl/>
          <w:lang w:bidi="fa-IR"/>
        </w:rPr>
        <w:t xml:space="preserve"> ، وَيَرُدَّ اللهُ </w:t>
      </w:r>
      <w:r w:rsidRPr="00A91B96">
        <w:rPr>
          <w:rStyle w:val="libFootnotenumChar"/>
          <w:rtl/>
        </w:rPr>
        <w:t>(2)</w:t>
      </w:r>
      <w:r w:rsidRPr="00020424">
        <w:rPr>
          <w:rtl/>
          <w:lang w:bidi="fa-IR"/>
        </w:rPr>
        <w:t xml:space="preserve"> الْحَقَّ إِلى أَهْلِهِ ، وَيُقِيمَ دِينَهُ الَّذِي ارْتَضَاهُ لِنَفْسِهِ وَنَبِيِّهِ ، فَأَبْشِرُوا ، ثُمَّ أَبْشِرُوا </w:t>
      </w:r>
      <w:r w:rsidRPr="00A91B96">
        <w:rPr>
          <w:rStyle w:val="libFootnotenumChar"/>
          <w:rtl/>
        </w:rPr>
        <w:t>(3)</w:t>
      </w:r>
      <w:r w:rsidRPr="00020424">
        <w:rPr>
          <w:rtl/>
          <w:lang w:bidi="fa-IR"/>
        </w:rPr>
        <w:t xml:space="preserve"> ، ثُمَّ أَبْشِرُوا ؛ </w:t>
      </w:r>
      <w:r w:rsidR="002F4D0D">
        <w:rPr>
          <w:rtl/>
          <w:lang w:bidi="fa-IR"/>
        </w:rPr>
        <w:t>فَوَ اللهِ ، مَا الْحَقُّ إِل</w:t>
      </w:r>
      <w:r w:rsidR="002F4D0D">
        <w:rPr>
          <w:rFonts w:hint="cs"/>
          <w:rtl/>
          <w:lang w:bidi="fa-IR"/>
        </w:rPr>
        <w:t>َّ</w:t>
      </w:r>
      <w:r w:rsidR="002F4D0D">
        <w:rPr>
          <w:rtl/>
          <w:lang w:bidi="fa-IR"/>
        </w:rPr>
        <w:t>ا</w:t>
      </w:r>
      <w:r w:rsidRPr="00020424">
        <w:rPr>
          <w:rtl/>
          <w:lang w:bidi="fa-IR"/>
        </w:rPr>
        <w:t xml:space="preserve"> فِي أَيْدِيكُمْ</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FD23BE">
        <w:rPr>
          <w:rtl/>
        </w:rPr>
        <w:t>5867</w:t>
      </w:r>
      <w:r w:rsidRPr="001155DE">
        <w:rPr>
          <w:rStyle w:val="libBold2Char"/>
          <w:rtl/>
        </w:rPr>
        <w:t xml:space="preserve"> / 2.</w:t>
      </w:r>
      <w:r w:rsidRPr="00020424">
        <w:rPr>
          <w:rtl/>
          <w:lang w:bidi="fa-IR"/>
        </w:rPr>
        <w:t xml:space="preserve"> حَمَّادُ بْنُ عِيسى </w:t>
      </w:r>
      <w:r w:rsidRPr="00A91B96">
        <w:rPr>
          <w:rStyle w:val="libFootnotenumChar"/>
          <w:rtl/>
        </w:rPr>
        <w:t>(5)</w:t>
      </w:r>
      <w:r w:rsidRPr="00020424">
        <w:rPr>
          <w:rtl/>
          <w:lang w:bidi="fa-IR"/>
        </w:rPr>
        <w:t xml:space="preserve"> ، عَنْ حَرِيزٍ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Pr>
          <w:rtl/>
          <w:lang w:bidi="fa-IR"/>
        </w:rPr>
        <w:t xml:space="preserve"> : أَنَّهُ سُئِلَ : أَ</w:t>
      </w:r>
      <w:r w:rsidRPr="00020424">
        <w:rPr>
          <w:rtl/>
          <w:lang w:bidi="fa-IR"/>
        </w:rPr>
        <w:t xml:space="preserve">يَجْمَعُ النَّاسَ الْمُصَدِّقُ </w:t>
      </w:r>
      <w:r w:rsidRPr="00A91B96">
        <w:rPr>
          <w:rStyle w:val="libFootnotenumChar"/>
          <w:rtl/>
        </w:rPr>
        <w:t>(6)</w:t>
      </w:r>
      <w:r w:rsidRPr="00020424">
        <w:rPr>
          <w:rtl/>
          <w:lang w:bidi="fa-IR"/>
        </w:rPr>
        <w:t xml:space="preserve"> ، أَمْ يَأْتِيهِمْ عَلى مَنَاهِلِهِمْ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قَالَ : « لَا ، بَلْ يَأْتِيهِمْ عَلى مَنَاهِلِهِمْ ، فَيُصَدِّقُهُمْ</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FD23BE">
        <w:rPr>
          <w:rtl/>
        </w:rPr>
        <w:t>5868</w:t>
      </w:r>
      <w:r w:rsidRPr="001155DE">
        <w:rPr>
          <w:rStyle w:val="libBold2Char"/>
          <w:rtl/>
        </w:rPr>
        <w:t xml:space="preserve"> / 3.</w:t>
      </w:r>
      <w:r w:rsidRPr="00020424">
        <w:rPr>
          <w:rtl/>
          <w:lang w:bidi="fa-IR"/>
        </w:rPr>
        <w:t xml:space="preserve"> مُحَمَّدُ بْنُ يَحْيى ، عَنْ أَحْمَدَ بْنِ مُحَمَّدٍ ، عَنْ مُحَمَّدِ بْنِ يَحْيى ،</w:t>
      </w:r>
      <w:r w:rsidR="00B50394">
        <w:rPr>
          <w:rtl/>
          <w:lang w:bidi="fa-IR"/>
        </w:rPr>
        <w:t xml:space="preserve"> عَنْ غِيَاثِ بْنِ إِبْرَاهِيمَ</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قوله : حتّى يحيي الله الموتى ويميت الأحياء إمّا محمول على الحقيقة بناءً على الرجعة ، وإمّاتجوّز ، شبّه الشيعة لقلّتهم وخفائهم وعدم تمكّنهم من إظهار دينهم بالموتى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بح ، بس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ثمّ أبشروا</w:t>
      </w:r>
      <w:r w:rsidR="00992664">
        <w:rPr>
          <w:rtl/>
        </w:rPr>
        <w:t xml:space="preserve"> ».</w:t>
      </w:r>
    </w:p>
    <w:p w:rsidR="00992664" w:rsidRPr="00020424" w:rsidRDefault="00795177" w:rsidP="00C85239">
      <w:pPr>
        <w:pStyle w:val="libFootnote0"/>
        <w:rPr>
          <w:rtl/>
          <w:lang w:bidi="fa-IR"/>
        </w:rPr>
      </w:pPr>
      <w:r>
        <w:rPr>
          <w:rtl/>
        </w:rPr>
        <w:t>(4).</w:t>
      </w:r>
      <w:r w:rsidR="0014403D">
        <w:rPr>
          <w:rtl/>
        </w:rPr>
        <w:t xml:space="preserve"> </w:t>
      </w:r>
      <w:r w:rsidR="00992664" w:rsidRPr="00FD23BE">
        <w:rPr>
          <w:rtl/>
        </w:rPr>
        <w:t>الكافي</w:t>
      </w:r>
      <w:r w:rsidR="00992664" w:rsidRPr="00020424">
        <w:rPr>
          <w:rtl/>
        </w:rPr>
        <w:t xml:space="preserve"> ، كتاب الحجّة ، باب ما أمر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بالنصيحة لأئمّة المسلمين</w:t>
      </w:r>
      <w:r w:rsidR="00992664">
        <w:rPr>
          <w:rtl/>
        </w:rPr>
        <w:t xml:space="preserve"> ..</w:t>
      </w:r>
      <w:r w:rsidR="00992664" w:rsidRPr="00020424">
        <w:rPr>
          <w:rtl/>
        </w:rPr>
        <w:t xml:space="preserve">. ، ح 1060 ، من قوله : « فإنّ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قال » إلى قوله : « كان معنا في الرفيق الأعلى</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96 ، ح 274 ، معلّقاً عن الكليني. </w:t>
      </w:r>
      <w:r w:rsidR="00992664" w:rsidRPr="00FD23BE">
        <w:rPr>
          <w:rtl/>
        </w:rPr>
        <w:t>الغارات</w:t>
      </w:r>
      <w:r w:rsidR="00992664" w:rsidRPr="00020424">
        <w:rPr>
          <w:rtl/>
        </w:rPr>
        <w:t xml:space="preserve"> ، ج 1 ، ص 75 ، بسند آخر ، إلى قوله : « كان معنا في الرفيق الأعلى</w:t>
      </w:r>
      <w:r w:rsidR="00992664">
        <w:rPr>
          <w:rtl/>
        </w:rPr>
        <w:t xml:space="preserve"> ».</w:t>
      </w:r>
      <w:r w:rsidR="00992664" w:rsidRPr="00020424">
        <w:rPr>
          <w:rtl/>
        </w:rPr>
        <w:t xml:space="preserve"> </w:t>
      </w:r>
      <w:r w:rsidR="00992664" w:rsidRPr="00FD23BE">
        <w:rPr>
          <w:rtl/>
        </w:rPr>
        <w:t>نهج البلاغة</w:t>
      </w:r>
      <w:r w:rsidR="00992664" w:rsidRPr="00020424">
        <w:rPr>
          <w:rtl/>
        </w:rPr>
        <w:t xml:space="preserve"> ، ص 380 ، الرسالة 25 ؛ </w:t>
      </w:r>
      <w:r w:rsidR="00992664" w:rsidRPr="0012008A">
        <w:rPr>
          <w:rStyle w:val="libFootnoteBoldChar"/>
          <w:rtl/>
        </w:rPr>
        <w:t>المقنعة</w:t>
      </w:r>
      <w:r w:rsidR="00992664" w:rsidRPr="00020424">
        <w:rPr>
          <w:rtl/>
        </w:rPr>
        <w:t xml:space="preserve"> ، ص 255 ، مرسلاً عن حمّاد ، عن حريز ، عن بريد العجلي ، عن أبي عبدالله </w:t>
      </w:r>
      <w:r w:rsidR="00992664" w:rsidRPr="00D64ADA">
        <w:rPr>
          <w:rStyle w:val="libFootnoteAlaemChar"/>
          <w:rtl/>
        </w:rPr>
        <w:t>عليه‌السلام</w:t>
      </w:r>
      <w:r w:rsidR="00992664" w:rsidRPr="00020424">
        <w:rPr>
          <w:rtl/>
        </w:rPr>
        <w:t xml:space="preserve"> ، وفي الثلاثة الأخيرة مع اختلاف يسير</w:t>
      </w:r>
      <w:r w:rsidR="00C85239">
        <w:rPr>
          <w:rFonts w:hint="cs"/>
          <w:rtl/>
        </w:rPr>
        <w:t>.</w:t>
      </w:r>
      <w:r w:rsidR="00992664" w:rsidRPr="0012008A">
        <w:rPr>
          <w:rStyle w:val="libFootnoteBoldChar"/>
          <w:rtl/>
        </w:rPr>
        <w:t>الوافي</w:t>
      </w:r>
      <w:r w:rsidR="00992664" w:rsidRPr="00020424">
        <w:rPr>
          <w:rtl/>
        </w:rPr>
        <w:t xml:space="preserve"> ، ج 10 ، ص 155 ، ح 9345 ؛ </w:t>
      </w:r>
      <w:r w:rsidR="00992664" w:rsidRPr="0012008A">
        <w:rPr>
          <w:rStyle w:val="libFootnoteBoldChar"/>
          <w:rtl/>
        </w:rPr>
        <w:t>الوسائل</w:t>
      </w:r>
      <w:r w:rsidR="00992664" w:rsidRPr="00020424">
        <w:rPr>
          <w:rtl/>
        </w:rPr>
        <w:t xml:space="preserve"> ، ج 9 ، ص 129 ، ح 11678 ، إلى قوله : « كان معنا في الرفيق الأعلى » ؛ </w:t>
      </w:r>
      <w:r w:rsidR="00992664" w:rsidRPr="0012008A">
        <w:rPr>
          <w:rStyle w:val="libFootnoteBoldChar"/>
          <w:rtl/>
        </w:rPr>
        <w:t>البحار</w:t>
      </w:r>
      <w:r w:rsidR="00992664" w:rsidRPr="00020424">
        <w:rPr>
          <w:rtl/>
        </w:rPr>
        <w:t xml:space="preserve"> ، ج 41 ، ص 126 ، ح 36.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حمّاد بن عيسى ، عليّ بن إبراهيم ، عن أبيه.</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للمصدّق</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63289F">
        <w:rPr>
          <w:rtl/>
        </w:rPr>
        <w:t>« الم</w:t>
      </w:r>
      <w:r w:rsidR="0063289F">
        <w:rPr>
          <w:rFonts w:hint="cs"/>
          <w:rtl/>
        </w:rPr>
        <w:t>ـَ</w:t>
      </w:r>
      <w:r w:rsidR="00992664" w:rsidRPr="00020424">
        <w:rPr>
          <w:rtl/>
        </w:rPr>
        <w:t>ناهل » : جمع مَنْهَل</w:t>
      </w:r>
      <w:r w:rsidR="00D01D7C">
        <w:rPr>
          <w:rtl/>
        </w:rPr>
        <w:t xml:space="preserve"> ، قال الجوهري : « المنهل : ال</w:t>
      </w:r>
      <w:r w:rsidR="00D01D7C">
        <w:rPr>
          <w:rFonts w:hint="cs"/>
          <w:rtl/>
        </w:rPr>
        <w:t>ـَ</w:t>
      </w:r>
      <w:r w:rsidR="00D01D7C">
        <w:rPr>
          <w:rtl/>
        </w:rPr>
        <w:t>م</w:t>
      </w:r>
      <w:r w:rsidR="00992664" w:rsidRPr="00020424">
        <w:rPr>
          <w:rtl/>
        </w:rPr>
        <w:t>وْرِد ، وهو عين ماء ترده الإبل في المراعي ، وتسمّى المنازل التي في المفاوز على طرق السفّار : مناهل ؛ لأنّ فيها ماء</w:t>
      </w:r>
      <w:r w:rsidR="00992664">
        <w:rPr>
          <w:rtl/>
        </w:rPr>
        <w:t xml:space="preserve"> ».</w:t>
      </w:r>
      <w:r w:rsidR="00992664" w:rsidRPr="00020424">
        <w:rPr>
          <w:rtl/>
        </w:rPr>
        <w:t xml:space="preserve"> وقال ابن الأثير : « المنهل من المياه : كلّ ما يطؤه الطريق ، وما كان على غير الطريق لا يدعى منهلاً ولكن يضاف إلى موضعه ، أو إلى من هو مختصّ به فيقال : منهل بني فلان ، أي مشربهم وموضع نَهَلهم ، أي شربهم</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1837 ؛ </w:t>
      </w:r>
      <w:r w:rsidR="00992664" w:rsidRPr="0012008A">
        <w:rPr>
          <w:rStyle w:val="libFootnoteBoldChar"/>
          <w:rtl/>
        </w:rPr>
        <w:t>النهاية</w:t>
      </w:r>
      <w:r w:rsidR="00992664" w:rsidRPr="00020424">
        <w:rPr>
          <w:rtl/>
        </w:rPr>
        <w:t xml:space="preserve"> ، ج 5 ، ص 138 ( نهل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159 ، ح 9348 ؛ </w:t>
      </w:r>
      <w:r w:rsidR="00992664" w:rsidRPr="0012008A">
        <w:rPr>
          <w:rStyle w:val="libFootnoteBoldChar"/>
          <w:rtl/>
        </w:rPr>
        <w:t>الوسائل</w:t>
      </w:r>
      <w:r w:rsidR="00992664" w:rsidRPr="00020424">
        <w:rPr>
          <w:rtl/>
        </w:rPr>
        <w:t xml:space="preserve"> ، ج 9 ، ص 131 ، ح 11679.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جَعْفَرٍ ، عَنْ أَبِيهِ ، عَنْ عَلِيٍّ </w:t>
      </w:r>
      <w:r w:rsidRPr="00005A81">
        <w:rPr>
          <w:rStyle w:val="libAlaemChar"/>
          <w:rtl/>
        </w:rPr>
        <w:t>عليهم‌السلام</w:t>
      </w:r>
      <w:r w:rsidRPr="00020424">
        <w:rPr>
          <w:rtl/>
          <w:lang w:bidi="fa-IR"/>
        </w:rPr>
        <w:t xml:space="preserve"> أَنَّهُ قَالَ : « لَا تُبَاعُ الصَّدَقَةُ حَتّى تُعْقَلَ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p>
    <w:p w:rsidR="00992664" w:rsidRPr="00020424" w:rsidRDefault="00992664" w:rsidP="00992664">
      <w:pPr>
        <w:pStyle w:val="libNormal"/>
        <w:rPr>
          <w:rtl/>
          <w:lang w:bidi="fa-IR"/>
        </w:rPr>
      </w:pPr>
      <w:r w:rsidRPr="00FD23BE">
        <w:rPr>
          <w:rtl/>
        </w:rPr>
        <w:t>5869</w:t>
      </w:r>
      <w:r w:rsidRPr="001155DE">
        <w:rPr>
          <w:rStyle w:val="libBold2Char"/>
          <w:rtl/>
        </w:rPr>
        <w:t xml:space="preserve"> / 4.</w:t>
      </w:r>
      <w:r w:rsidRPr="00020424">
        <w:rPr>
          <w:rtl/>
          <w:lang w:bidi="fa-IR"/>
        </w:rPr>
        <w:t xml:space="preserve"> عِدَّةٌ مِنْ أَصْحَابِنَا ، عَنْ أَحْمَدَ بْنِ مُحَمَّدِ بْنِ عِيسى ، عَنْ مُحَمَّدِ بْنِ يَحْيى ، عَنْ غِيَاثِ بْنِ إِبْرَاهِيمَ :</w:t>
      </w:r>
    </w:p>
    <w:p w:rsidR="00992664" w:rsidRPr="00020424" w:rsidRDefault="00992664" w:rsidP="00992664">
      <w:pPr>
        <w:pStyle w:val="libNormal"/>
        <w:rPr>
          <w:rtl/>
          <w:lang w:bidi="fa-IR"/>
        </w:rPr>
      </w:pPr>
      <w:r w:rsidRPr="00020424">
        <w:rPr>
          <w:rtl/>
          <w:lang w:bidi="fa-IR"/>
        </w:rPr>
        <w:t xml:space="preserve">عَنْ جَعْفَرٍ </w:t>
      </w:r>
      <w:r w:rsidRPr="00A91B96">
        <w:rPr>
          <w:rStyle w:val="libFootnotenumChar"/>
          <w:rtl/>
        </w:rPr>
        <w:t>(3)</w:t>
      </w:r>
      <w:r w:rsidRPr="00020424">
        <w:rPr>
          <w:rtl/>
          <w:lang w:bidi="fa-IR"/>
        </w:rPr>
        <w:t xml:space="preserve"> ، عَنْ أَبِيهِ </w:t>
      </w:r>
      <w:r w:rsidRPr="00005A81">
        <w:rPr>
          <w:rStyle w:val="libAlaemChar"/>
          <w:rtl/>
        </w:rPr>
        <w:t>عليهما‌السلام</w:t>
      </w:r>
      <w:r w:rsidRPr="00020424">
        <w:rPr>
          <w:rtl/>
          <w:lang w:bidi="fa-IR"/>
        </w:rPr>
        <w:t xml:space="preserve"> ، قَالَ : « كَانَ عَلِيٌّ</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إِذَا بَعَثَ مُصَدِّقَهُ ، قَالَ لَهُ </w:t>
      </w:r>
      <w:r w:rsidRPr="00A91B96">
        <w:rPr>
          <w:rStyle w:val="libFootnotenumChar"/>
          <w:rtl/>
        </w:rPr>
        <w:t>(4)</w:t>
      </w:r>
      <w:r w:rsidRPr="00020424">
        <w:rPr>
          <w:rtl/>
          <w:lang w:bidi="fa-IR"/>
        </w:rPr>
        <w:t xml:space="preserve"> : إِذَا أَتَيْتَ عَلى </w:t>
      </w:r>
      <w:r w:rsidRPr="00A91B96">
        <w:rPr>
          <w:rStyle w:val="libFootnotenumChar"/>
          <w:rtl/>
        </w:rPr>
        <w:t>(5)</w:t>
      </w:r>
      <w:r w:rsidRPr="00020424">
        <w:rPr>
          <w:rtl/>
          <w:lang w:bidi="fa-IR"/>
        </w:rPr>
        <w:t xml:space="preserve"> رَبِّ الْمَالِ فَقُلْ لَهُ </w:t>
      </w:r>
      <w:r w:rsidRPr="00A91B96">
        <w:rPr>
          <w:rStyle w:val="libFootnotenumChar"/>
          <w:rtl/>
        </w:rPr>
        <w:t>(6)</w:t>
      </w:r>
      <w:r w:rsidRPr="00020424">
        <w:rPr>
          <w:rtl/>
          <w:lang w:bidi="fa-IR"/>
        </w:rPr>
        <w:t xml:space="preserve"> : تَصَدَّقْ رَحِمَكَ </w:t>
      </w:r>
      <w:r w:rsidRPr="00A91B96">
        <w:rPr>
          <w:rStyle w:val="libFootnotenumChar"/>
          <w:rtl/>
        </w:rPr>
        <w:t>(7)</w:t>
      </w:r>
      <w:r w:rsidRPr="00020424">
        <w:rPr>
          <w:rtl/>
          <w:lang w:bidi="fa-IR"/>
        </w:rPr>
        <w:t xml:space="preserve"> اللهُ مِمَّا أَعْطَاكَ اللهُ ، فَإِنْ وَلّى عَنْكَ فَلَا تُرَاجِعْهُ</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FD23BE">
        <w:rPr>
          <w:rtl/>
        </w:rPr>
        <w:t>5870</w:t>
      </w:r>
      <w:r w:rsidRPr="001155DE">
        <w:rPr>
          <w:rStyle w:val="libBold2Char"/>
          <w:rtl/>
        </w:rPr>
        <w:t xml:space="preserve"> / 5.</w:t>
      </w:r>
      <w:r w:rsidRPr="00020424">
        <w:rPr>
          <w:rtl/>
          <w:lang w:bidi="fa-IR"/>
        </w:rPr>
        <w:t xml:space="preserve"> عَلِيُّ بْنُ إِبْرَاهِيمَ ، عَنْ أَبِيهِ ، عَنِ ابْنِ أَبِي عُمَيْرٍ ، عَنْ عَبْدِ الرَّحْمنِ بْنِ الْحَجَّاجِ ، عَنْ مُحَمَّدِ بْنِ خَالِدٍ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أَنَّهُ سَأَلَ أَبَا عَبْدِ اللهِ </w:t>
      </w:r>
      <w:r w:rsidRPr="00005A81">
        <w:rPr>
          <w:rStyle w:val="libAlaemChar"/>
          <w:rtl/>
        </w:rPr>
        <w:t>عليه‌السلام</w:t>
      </w:r>
      <w:r w:rsidRPr="00020424">
        <w:rPr>
          <w:rtl/>
          <w:lang w:bidi="fa-IR"/>
        </w:rPr>
        <w:t xml:space="preserve"> عَنِ الصَّدَقَةِ</w:t>
      </w:r>
      <w:r>
        <w:rPr>
          <w:rtl/>
          <w:lang w:bidi="fa-IR"/>
        </w:rPr>
        <w:t>؟</w:t>
      </w:r>
    </w:p>
    <w:p w:rsidR="00992664" w:rsidRPr="00020424" w:rsidRDefault="00992664" w:rsidP="00992664">
      <w:pPr>
        <w:pStyle w:val="libNormal"/>
        <w:rPr>
          <w:rtl/>
          <w:lang w:bidi="fa-IR"/>
        </w:rPr>
      </w:pPr>
      <w:r w:rsidRPr="00020424">
        <w:rPr>
          <w:rtl/>
          <w:lang w:bidi="fa-IR"/>
        </w:rPr>
        <w:t xml:space="preserve">فَقَالَ : « إِنَّ ذلِكَ لَايُقْبَلُ مِنْكَ </w:t>
      </w:r>
      <w:r w:rsidRPr="00A91B96">
        <w:rPr>
          <w:rStyle w:val="libFootnotenumChar"/>
          <w:rtl/>
        </w:rPr>
        <w:t>(10)</w:t>
      </w:r>
      <w:r>
        <w:rPr>
          <w:rtl/>
          <w:lang w:bidi="fa-IR"/>
        </w:rPr>
        <w:t xml:space="preserve"> ».</w:t>
      </w:r>
    </w:p>
    <w:p w:rsidR="00992664" w:rsidRPr="00020424" w:rsidRDefault="00992664" w:rsidP="00992664">
      <w:pPr>
        <w:pStyle w:val="libNormal"/>
        <w:rPr>
          <w:rtl/>
          <w:lang w:bidi="fa-IR"/>
        </w:rPr>
      </w:pPr>
      <w:r w:rsidRPr="00020424">
        <w:rPr>
          <w:rtl/>
          <w:lang w:bidi="fa-IR"/>
        </w:rPr>
        <w:t>فَقَالَ : إِنِّي أُحَمِّلُ ذلِكَ فِي مَالِي.</w:t>
      </w:r>
    </w:p>
    <w:p w:rsidR="00992664" w:rsidRPr="00020424" w:rsidRDefault="00992664" w:rsidP="00992664">
      <w:pPr>
        <w:pStyle w:val="libNormal"/>
        <w:rPr>
          <w:rtl/>
          <w:lang w:bidi="fa-IR"/>
        </w:rPr>
      </w:pPr>
      <w:r w:rsidRPr="00020424">
        <w:rPr>
          <w:rtl/>
          <w:lang w:bidi="fa-IR"/>
        </w:rPr>
        <w:t xml:space="preserve">فَقَالَ لَهُ أَبُو عَبْدِ اللهِ </w:t>
      </w:r>
      <w:r w:rsidRPr="00005A81">
        <w:rPr>
          <w:rStyle w:val="libAlaemChar"/>
          <w:rtl/>
        </w:rPr>
        <w:t>عليه‌السلام</w:t>
      </w:r>
      <w:r w:rsidRPr="00020424">
        <w:rPr>
          <w:rtl/>
          <w:lang w:bidi="fa-IR"/>
        </w:rPr>
        <w:t xml:space="preserve"> : « مُرْ مُصَدِّقَكَ أَنْ لَايَحْشُرَ مِنْ مَاءٍ إِلى مَاءٍ </w:t>
      </w:r>
      <w:r w:rsidRPr="00A91B96">
        <w:rPr>
          <w:rStyle w:val="libFootnotenumChar"/>
          <w:rtl/>
        </w:rPr>
        <w:t>(11)</w:t>
      </w:r>
      <w:r w:rsidRPr="00020424">
        <w:rPr>
          <w:rtl/>
          <w:lang w:bidi="fa-IR"/>
        </w:rPr>
        <w:t xml:space="preserve"> ، وَلَايَجْمَعَ‌</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تعقل أي تؤخذ وتدرك وتقبض</w:t>
      </w:r>
      <w:r w:rsidR="00992664">
        <w:rPr>
          <w:rtl/>
        </w:rPr>
        <w:t xml:space="preserve"> ».</w:t>
      </w:r>
    </w:p>
    <w:p w:rsidR="00992664" w:rsidRPr="00020424" w:rsidRDefault="00795177" w:rsidP="00D336A7">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25 ، ح 1606 ، مرسلاً عن عليّ </w:t>
      </w:r>
      <w:r w:rsidR="00992664" w:rsidRPr="00D64ADA">
        <w:rPr>
          <w:rStyle w:val="libFootnoteAlaemChar"/>
          <w:rtl/>
        </w:rPr>
        <w:t>عليه‌السلام</w:t>
      </w:r>
      <w:r w:rsidR="006D02A4">
        <w:rPr>
          <w:rFonts w:hint="cs"/>
          <w:rtl/>
        </w:rPr>
        <w:t>.</w:t>
      </w:r>
      <w:r w:rsidR="00992664" w:rsidRPr="0012008A">
        <w:rPr>
          <w:rStyle w:val="libFootnoteBoldChar"/>
          <w:rtl/>
        </w:rPr>
        <w:t>الوافي</w:t>
      </w:r>
      <w:r w:rsidR="00992664" w:rsidRPr="00020424">
        <w:rPr>
          <w:rtl/>
        </w:rPr>
        <w:t xml:space="preserve"> ، ج 10 ، ص 160 ، ح 9350 ؛ </w:t>
      </w:r>
      <w:r w:rsidR="00992664" w:rsidRPr="0012008A">
        <w:rPr>
          <w:rStyle w:val="libFootnoteBoldChar"/>
          <w:rtl/>
        </w:rPr>
        <w:t>الوسائل</w:t>
      </w:r>
      <w:r w:rsidR="00992664" w:rsidRPr="00020424">
        <w:rPr>
          <w:rtl/>
        </w:rPr>
        <w:t xml:space="preserve"> ، ج 9 ، ص 132 ، ح 11681.</w:t>
      </w:r>
      <w:r w:rsidR="00B50394">
        <w:rPr>
          <w:rFonts w:hint="cs"/>
          <w:rtl/>
        </w:rPr>
        <w:t xml:space="preserve">       </w:t>
      </w:r>
      <w:r w:rsidR="00D336A7">
        <w:rPr>
          <w:rFonts w:hint="cs"/>
          <w:rtl/>
        </w:rPr>
        <w:t xml:space="preserve">        </w:t>
      </w:r>
      <w:r>
        <w:rPr>
          <w:rtl/>
        </w:rPr>
        <w:t>(3).</w:t>
      </w:r>
      <w:r w:rsidR="0014403D">
        <w:rPr>
          <w:rtl/>
        </w:rPr>
        <w:t xml:space="preserve"> </w:t>
      </w:r>
      <w:r w:rsidR="00992664" w:rsidRPr="00020424">
        <w:rPr>
          <w:rtl/>
        </w:rPr>
        <w:t>في « بس » : + « الصادق</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15BB2" w:rsidTr="00815BB2">
        <w:tc>
          <w:tcPr>
            <w:tcW w:w="4006" w:type="dxa"/>
          </w:tcPr>
          <w:p w:rsidR="00815BB2" w:rsidRDefault="00815BB2" w:rsidP="00992664">
            <w:pPr>
              <w:pStyle w:val="libFootnote0"/>
              <w:rPr>
                <w:rtl/>
              </w:rPr>
            </w:pPr>
            <w:r>
              <w:rPr>
                <w:rtl/>
              </w:rPr>
              <w:t xml:space="preserve">(4). </w:t>
            </w:r>
            <w:r w:rsidRPr="00020424">
              <w:rPr>
                <w:rtl/>
              </w:rPr>
              <w:t xml:space="preserve">في « بر ، بف » </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 xml:space="preserve"> :</w:t>
            </w:r>
            <w:r>
              <w:rPr>
                <w:rtl/>
              </w:rPr>
              <w:t xml:space="preserve"> - </w:t>
            </w:r>
            <w:r w:rsidRPr="00020424">
              <w:rPr>
                <w:rtl/>
              </w:rPr>
              <w:t>« له</w:t>
            </w:r>
            <w:r>
              <w:rPr>
                <w:rtl/>
              </w:rPr>
              <w:t xml:space="preserve"> ».</w:t>
            </w:r>
          </w:p>
        </w:tc>
        <w:tc>
          <w:tcPr>
            <w:tcW w:w="4006" w:type="dxa"/>
          </w:tcPr>
          <w:p w:rsidR="00815BB2" w:rsidRDefault="00815BB2" w:rsidP="00992664">
            <w:pPr>
              <w:pStyle w:val="libFootnote0"/>
              <w:rPr>
                <w:rtl/>
              </w:rPr>
            </w:pPr>
            <w:r>
              <w:rPr>
                <w:rtl/>
              </w:rPr>
              <w:t xml:space="preserve">(5). </w:t>
            </w:r>
            <w:r w:rsidRPr="00020424">
              <w:rPr>
                <w:rtl/>
              </w:rPr>
              <w:t>في « بث » : « إلى</w:t>
            </w:r>
            <w:r>
              <w:rPr>
                <w:rtl/>
              </w:rPr>
              <w:t xml:space="preserve"> ».</w:t>
            </w:r>
          </w:p>
        </w:tc>
      </w:tr>
      <w:tr w:rsidR="00815BB2" w:rsidTr="00815BB2">
        <w:tc>
          <w:tcPr>
            <w:tcW w:w="4006" w:type="dxa"/>
          </w:tcPr>
          <w:p w:rsidR="00815BB2" w:rsidRDefault="00815BB2" w:rsidP="00992664">
            <w:pPr>
              <w:pStyle w:val="libFootnote0"/>
              <w:rPr>
                <w:rtl/>
              </w:rPr>
            </w:pPr>
            <w:r>
              <w:rPr>
                <w:rtl/>
              </w:rPr>
              <w:t xml:space="preserve">(6). </w:t>
            </w:r>
            <w:r w:rsidRPr="00020424">
              <w:rPr>
                <w:rtl/>
              </w:rPr>
              <w:t>في « ى ، بح ، جن » :</w:t>
            </w:r>
            <w:r>
              <w:rPr>
                <w:rtl/>
              </w:rPr>
              <w:t xml:space="preserve"> - </w:t>
            </w:r>
            <w:r w:rsidRPr="00020424">
              <w:rPr>
                <w:rtl/>
              </w:rPr>
              <w:t>« له</w:t>
            </w:r>
            <w:r>
              <w:rPr>
                <w:rtl/>
              </w:rPr>
              <w:t xml:space="preserve"> ».</w:t>
            </w:r>
          </w:p>
        </w:tc>
        <w:tc>
          <w:tcPr>
            <w:tcW w:w="4006" w:type="dxa"/>
          </w:tcPr>
          <w:p w:rsidR="00815BB2" w:rsidRDefault="00815BB2" w:rsidP="00992664">
            <w:pPr>
              <w:pStyle w:val="libFootnote0"/>
              <w:rPr>
                <w:rtl/>
              </w:rPr>
            </w:pPr>
            <w:r>
              <w:rPr>
                <w:rtl/>
              </w:rPr>
              <w:t xml:space="preserve">(7). </w:t>
            </w:r>
            <w:r w:rsidRPr="00020424">
              <w:rPr>
                <w:rtl/>
              </w:rPr>
              <w:t>في « بث » : « يرحمك</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160 ، ح 9349 ؛ </w:t>
      </w:r>
      <w:r w:rsidR="00992664" w:rsidRPr="0012008A">
        <w:rPr>
          <w:rStyle w:val="libFootnoteBoldChar"/>
          <w:rtl/>
        </w:rPr>
        <w:t>الوسائل</w:t>
      </w:r>
      <w:r w:rsidR="00992664" w:rsidRPr="00020424">
        <w:rPr>
          <w:rtl/>
        </w:rPr>
        <w:t xml:space="preserve"> ، ج 9 ، ص 132 ، ح 11682 ؛ وص 312 ، ح 12102.</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محمّد بن خالد هو عامل المدينة ، وسؤاله إيّاه </w:t>
      </w:r>
      <w:r w:rsidR="00992664" w:rsidRPr="00D64ADA">
        <w:rPr>
          <w:rStyle w:val="libFootnoteAlaemChar"/>
          <w:rtl/>
        </w:rPr>
        <w:t>عليه‌السلام</w:t>
      </w:r>
      <w:r w:rsidR="00992664" w:rsidRPr="00020424">
        <w:rPr>
          <w:rtl/>
        </w:rPr>
        <w:t xml:space="preserve"> عن الصدقة هنا مجمل ، والظاهر أنّه سأله عمّا يلزمه من التساهل في أمرها وعدم عناية مصدّقه بها ، فأجابه </w:t>
      </w:r>
      <w:r w:rsidR="00992664" w:rsidRPr="00D64ADA">
        <w:rPr>
          <w:rStyle w:val="libFootnoteAlaemChar"/>
          <w:rtl/>
        </w:rPr>
        <w:t>عليه‌السلام</w:t>
      </w:r>
      <w:r w:rsidR="00992664" w:rsidRPr="00020424">
        <w:rPr>
          <w:rtl/>
        </w:rPr>
        <w:t xml:space="preserve"> : إنّ هذا لا يقبل منك ، واعتذر له محمّد بن خالد بضمان ما يتلف وتحمّل ما يفوت منها في ماله</w:t>
      </w:r>
      <w:r w:rsidR="00992664">
        <w:rPr>
          <w:rtl/>
        </w:rPr>
        <w:t xml:space="preserve"> ».</w:t>
      </w:r>
      <w:r w:rsidR="00992664" w:rsidRPr="00020424">
        <w:rPr>
          <w:rtl/>
        </w:rPr>
        <w:t xml:space="preserve"> وقيل غير ذلك. راجع : </w:t>
      </w:r>
      <w:r w:rsidR="00992664" w:rsidRPr="00FD23BE">
        <w:rPr>
          <w:rtl/>
        </w:rPr>
        <w:t>مرآة العقول</w:t>
      </w:r>
      <w:r w:rsidR="00992664" w:rsidRPr="00020424">
        <w:rPr>
          <w:rtl/>
        </w:rPr>
        <w:t xml:space="preserve"> ، ج 16 ، ص 69.</w:t>
      </w:r>
    </w:p>
    <w:p w:rsidR="00992664" w:rsidRPr="00020424" w:rsidRDefault="00795177" w:rsidP="00992664">
      <w:pPr>
        <w:pStyle w:val="libFootnote0"/>
        <w:rPr>
          <w:rtl/>
          <w:lang w:bidi="fa-IR"/>
        </w:rPr>
      </w:pPr>
      <w:r>
        <w:rPr>
          <w:rtl/>
        </w:rPr>
        <w:t>(10).</w:t>
      </w:r>
      <w:r w:rsidR="0014403D">
        <w:rPr>
          <w:rtl/>
        </w:rPr>
        <w:t xml:space="preserve"> </w:t>
      </w:r>
      <w:r w:rsidR="00FD7F2A">
        <w:rPr>
          <w:rtl/>
        </w:rPr>
        <w:t>في حاشية « بث » : + « إل</w:t>
      </w:r>
      <w:r w:rsidR="00FD7F2A">
        <w:rPr>
          <w:rFonts w:hint="cs"/>
          <w:rtl/>
        </w:rPr>
        <w:t>ّ</w:t>
      </w:r>
      <w:r w:rsidR="00FD7F2A">
        <w:rPr>
          <w:rtl/>
        </w:rPr>
        <w:t>ا</w:t>
      </w:r>
      <w:r w:rsidR="00992664" w:rsidRPr="00020424">
        <w:rPr>
          <w:rtl/>
        </w:rPr>
        <w:t xml:space="preserve"> بشروط</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الحَشْر : الجمع والسوق. قال ابن الأثير : « قيل : لايُحْشَرون إلى عامل الزكاة ؛ ليأخذ صدقة أموالهم ، بل يأخذها</w:t>
      </w:r>
      <w:r w:rsidR="00992664">
        <w:rPr>
          <w:rFonts w:hint="cs"/>
          <w:rtl/>
        </w:rPr>
        <w:t xml:space="preserve"> </w:t>
      </w:r>
      <w:r w:rsidR="00F34CC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0D2757">
      <w:pPr>
        <w:pStyle w:val="libNormal0"/>
        <w:rPr>
          <w:rtl/>
          <w:lang w:bidi="fa-IR"/>
        </w:rPr>
      </w:pPr>
      <w:r w:rsidRPr="00020424">
        <w:rPr>
          <w:rtl/>
          <w:lang w:bidi="fa-IR"/>
        </w:rPr>
        <w:lastRenderedPageBreak/>
        <w:t xml:space="preserve">بَيْنَ الْمُتَفَرِّقِ </w:t>
      </w:r>
      <w:r w:rsidRPr="00A91B96">
        <w:rPr>
          <w:rStyle w:val="libFootnotenumChar"/>
          <w:rtl/>
        </w:rPr>
        <w:t>(1)</w:t>
      </w:r>
      <w:r w:rsidRPr="00020424">
        <w:rPr>
          <w:rtl/>
          <w:lang w:bidi="fa-IR"/>
        </w:rPr>
        <w:t xml:space="preserve"> ، وَلَايُفَرِّقَ بَيْنَ الْمُجْتَمِعِ </w:t>
      </w:r>
      <w:r w:rsidRPr="00A91B96">
        <w:rPr>
          <w:rStyle w:val="libFootnotenumChar"/>
          <w:rtl/>
        </w:rPr>
        <w:t>(2)</w:t>
      </w:r>
      <w:r w:rsidRPr="00020424">
        <w:rPr>
          <w:rtl/>
          <w:lang w:bidi="fa-IR"/>
        </w:rPr>
        <w:t xml:space="preserve"> ، وَإِذَا </w:t>
      </w:r>
      <w:r w:rsidRPr="00A91B96">
        <w:rPr>
          <w:rStyle w:val="libFootnotenumChar"/>
          <w:rtl/>
        </w:rPr>
        <w:t>(3)</w:t>
      </w:r>
      <w:r w:rsidRPr="00020424">
        <w:rPr>
          <w:rtl/>
          <w:lang w:bidi="fa-IR"/>
        </w:rPr>
        <w:t xml:space="preserve"> دَخَلَ الْمَالَ فَلْيَقْسِمِ الْغَنَمَ نِصْفَيْنِ ، ثُمَّ يُخَيِّرُ </w:t>
      </w:r>
      <w:r w:rsidRPr="00A91B96">
        <w:rPr>
          <w:rStyle w:val="libFootnotenumChar"/>
          <w:rtl/>
        </w:rPr>
        <w:t>(4)</w:t>
      </w:r>
      <w:r w:rsidRPr="00020424">
        <w:rPr>
          <w:rtl/>
          <w:lang w:bidi="fa-IR"/>
        </w:rPr>
        <w:t xml:space="preserve"> صَاحِبَهَا أَيَّ الْقِسْمَيْنِ شَاءَ ، فَإِذَا </w:t>
      </w:r>
      <w:r w:rsidRPr="00A91B96">
        <w:rPr>
          <w:rStyle w:val="libFootnotenumChar"/>
          <w:rtl/>
        </w:rPr>
        <w:t>(5)</w:t>
      </w:r>
      <w:r w:rsidRPr="00020424">
        <w:rPr>
          <w:rtl/>
          <w:lang w:bidi="fa-IR"/>
        </w:rPr>
        <w:t xml:space="preserve"> اخْتَارَ فَلْيَدْفَعْهُ </w:t>
      </w:r>
      <w:r w:rsidRPr="00A91B96">
        <w:rPr>
          <w:rStyle w:val="libFootnotenumChar"/>
          <w:rtl/>
        </w:rPr>
        <w:t>(6)</w:t>
      </w:r>
      <w:r w:rsidRPr="00020424">
        <w:rPr>
          <w:rtl/>
          <w:lang w:bidi="fa-IR"/>
        </w:rPr>
        <w:t xml:space="preserve"> إِلَيْهِ ، فَإِنْ </w:t>
      </w:r>
      <w:r w:rsidRPr="00A91B96">
        <w:rPr>
          <w:rStyle w:val="libFootnotenumChar"/>
          <w:rtl/>
        </w:rPr>
        <w:t>(7)</w:t>
      </w:r>
      <w:r w:rsidRPr="00020424">
        <w:rPr>
          <w:rtl/>
          <w:lang w:bidi="fa-IR"/>
        </w:rPr>
        <w:t xml:space="preserve"> تَتَبَّعَتْ </w:t>
      </w:r>
      <w:r w:rsidRPr="00A91B96">
        <w:rPr>
          <w:rStyle w:val="libFootnotenumChar"/>
          <w:rtl/>
        </w:rPr>
        <w:t>(8)</w:t>
      </w:r>
      <w:r w:rsidRPr="00020424">
        <w:rPr>
          <w:rtl/>
          <w:lang w:bidi="fa-IR"/>
        </w:rPr>
        <w:t xml:space="preserve"> نَفْسُ صَاحِبِ الْغَنَمِ مِنَ النِّصْفِ الْآخَرِ مِنْهَا شَاةً أَوْ شَاتَيْنِ ، أَوْ ثَلَاثاً ، فَلْيَدْفَعْهَا إِلَيْهِ ، ثُمَّ لْيَأْخُذْ </w:t>
      </w:r>
      <w:r w:rsidRPr="00A91B96">
        <w:rPr>
          <w:rStyle w:val="libFootnotenumChar"/>
          <w:rtl/>
        </w:rPr>
        <w:t>(9)</w:t>
      </w:r>
      <w:r w:rsidRPr="00020424">
        <w:rPr>
          <w:rtl/>
          <w:lang w:bidi="fa-IR"/>
        </w:rPr>
        <w:t xml:space="preserve"> صَدَقَتَهُ ، فَإِذَا أَخْرَجَهَا </w:t>
      </w:r>
      <w:r w:rsidRPr="00A91B96">
        <w:rPr>
          <w:rStyle w:val="libFootnotenumChar"/>
          <w:rtl/>
        </w:rPr>
        <w:t>(10)</w:t>
      </w:r>
      <w:r w:rsidRPr="00020424">
        <w:rPr>
          <w:rtl/>
          <w:lang w:bidi="fa-IR"/>
        </w:rPr>
        <w:t xml:space="preserve"> فَلْيَقْسِمْهَا </w:t>
      </w:r>
      <w:r w:rsidRPr="00A91B96">
        <w:rPr>
          <w:rStyle w:val="libFootnotenumChar"/>
          <w:rtl/>
        </w:rPr>
        <w:t>(11)</w:t>
      </w:r>
      <w:r w:rsidRPr="00020424">
        <w:rPr>
          <w:rtl/>
          <w:lang w:bidi="fa-IR"/>
        </w:rPr>
        <w:t xml:space="preserve"> فِيمَنْ يُرِيدُ ، فَإِذَا قَامَتْ عَلى ثَمَنٍ ، فَإِنْ أَرَادَهَا صَاحِبُهَا ، فَهُوَ أَحَقُّ بِهَا ، وَإِنْ لَمْ يُرِدْهَا فَلْيَبِعْهَا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p>
    <w:p w:rsidR="00992664" w:rsidRPr="00020424" w:rsidRDefault="00992664" w:rsidP="00992664">
      <w:pPr>
        <w:pStyle w:val="libNormal"/>
        <w:rPr>
          <w:rtl/>
          <w:lang w:bidi="fa-IR"/>
        </w:rPr>
      </w:pPr>
      <w:r w:rsidRPr="00187A7E">
        <w:rPr>
          <w:rtl/>
        </w:rPr>
        <w:t>5871</w:t>
      </w:r>
      <w:r w:rsidRPr="001155DE">
        <w:rPr>
          <w:rStyle w:val="libBold2Char"/>
          <w:rtl/>
        </w:rPr>
        <w:t xml:space="preserve"> / 6.</w:t>
      </w:r>
      <w:r w:rsidRPr="00020424">
        <w:rPr>
          <w:rtl/>
          <w:lang w:bidi="fa-IR"/>
        </w:rPr>
        <w:t xml:space="preserve"> عِدَّةٌ مِنْ أَصْحَابِنَا ، عَنْ أَحْمَدَ بْنِ مُحَمَّدٍ ، عَنِ الْحَسَنِ بْنِ عَلِيِّ بْنِ يَقْطِينٍ ، عَنْ أَخِيهِ الْحُسَيْنِ ، عَنْ عَلِيِّ بْنِ يَقْطِينٍ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عَمَّنْ يَلِي صَدَقَةَ </w:t>
      </w:r>
      <w:r w:rsidRPr="00A91B96">
        <w:rPr>
          <w:rStyle w:val="libFootnotenumChar"/>
          <w:rtl/>
        </w:rPr>
        <w:t>(14)</w:t>
      </w:r>
      <w:r w:rsidRPr="00020424">
        <w:rPr>
          <w:rtl/>
          <w:lang w:bidi="fa-IR"/>
        </w:rPr>
        <w:t xml:space="preserve"> الْعُشْرِ عَلى مَنْ لَابَأْسَ بِهِ </w:t>
      </w:r>
      <w:r w:rsidRPr="00A91B96">
        <w:rPr>
          <w:rStyle w:val="libFootnotenumChar"/>
          <w:rtl/>
        </w:rPr>
        <w:t>(15)</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2544CE" w:rsidP="00992664">
      <w:pPr>
        <w:pStyle w:val="libFootnote0"/>
        <w:rPr>
          <w:rtl/>
          <w:lang w:bidi="fa-IR"/>
        </w:rPr>
      </w:pPr>
      <w:r>
        <w:rPr>
          <w:rFonts w:hint="cs"/>
          <w:rtl/>
        </w:rPr>
        <w:t xml:space="preserve">= </w:t>
      </w:r>
      <w:r w:rsidR="00992664" w:rsidRPr="00020424">
        <w:rPr>
          <w:rtl/>
        </w:rPr>
        <w:t>في أماكنهم</w:t>
      </w:r>
      <w:r w:rsidR="00992664">
        <w:rPr>
          <w:rtl/>
        </w:rPr>
        <w:t xml:space="preserve"> ».</w:t>
      </w:r>
      <w:r w:rsidR="006A74D6">
        <w:rPr>
          <w:rtl/>
        </w:rPr>
        <w:t xml:space="preserve"> وقال العل</w:t>
      </w:r>
      <w:r w:rsidR="006A74D6">
        <w:rPr>
          <w:rFonts w:hint="cs"/>
          <w:rtl/>
        </w:rPr>
        <w:t>ّ</w:t>
      </w:r>
      <w:r w:rsidR="006A74D6">
        <w:rPr>
          <w:rtl/>
        </w:rPr>
        <w:t>ا</w:t>
      </w:r>
      <w:r w:rsidR="00992664" w:rsidRPr="00020424">
        <w:rPr>
          <w:rtl/>
        </w:rPr>
        <w:t>مة الفيض : « المعنى : لايبعثها من منزل أهلها إلى منزل آخر ، بل يأخذ الصدقة منهم في أماكنهم ، وإنّما عبّر عن المنزل بالماء ؛ لأنّ عادة العرب النزول عند موارد الماء. وقد ورد هذا المعنى في بعض الأخبار من طريق العامّة ، فما بعده تفسير له ، وقد مضى مثله ، وفي الحديث الآتي</w:t>
      </w:r>
      <w:r w:rsidR="00992664">
        <w:rPr>
          <w:rtl/>
        </w:rPr>
        <w:t xml:space="preserve"> </w:t>
      </w:r>
      <w:r w:rsidR="009B673F">
        <w:rPr>
          <w:rtl/>
        </w:rPr>
        <w:t>-</w:t>
      </w:r>
      <w:r w:rsidR="00992664">
        <w:rPr>
          <w:rtl/>
        </w:rPr>
        <w:t xml:space="preserve"> </w:t>
      </w:r>
      <w:r w:rsidR="00992664" w:rsidRPr="00020424">
        <w:rPr>
          <w:rtl/>
        </w:rPr>
        <w:t>وهو الثاني هنا</w:t>
      </w:r>
      <w:r w:rsidR="00992664">
        <w:rPr>
          <w:rtl/>
        </w:rPr>
        <w:t xml:space="preserve"> </w:t>
      </w:r>
      <w:r w:rsidR="009B673F">
        <w:rPr>
          <w:rtl/>
        </w:rPr>
        <w:t>-</w:t>
      </w:r>
      <w:r w:rsidR="00992664">
        <w:rPr>
          <w:rtl/>
        </w:rPr>
        <w:t xml:space="preserve"> </w:t>
      </w:r>
      <w:r w:rsidR="00992664" w:rsidRPr="00020424">
        <w:rPr>
          <w:rtl/>
        </w:rPr>
        <w:t>إشارة إليه</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1 ، ص 389 ( حشر )</w:t>
      </w:r>
      <w:r w:rsidR="00992664">
        <w:rPr>
          <w:rtl/>
        </w:rPr>
        <w:t>.</w:t>
      </w:r>
    </w:p>
    <w:tbl>
      <w:tblPr>
        <w:tblStyle w:val="TableGrid"/>
        <w:bidiVisual/>
        <w:tblW w:w="0" w:type="auto"/>
        <w:tblLook w:val="04A0" w:firstRow="1" w:lastRow="0" w:firstColumn="1" w:lastColumn="0" w:noHBand="0" w:noVBand="1"/>
      </w:tblPr>
      <w:tblGrid>
        <w:gridCol w:w="4006"/>
        <w:gridCol w:w="4006"/>
      </w:tblGrid>
      <w:tr w:rsidR="006A74D6" w:rsidTr="006A74D6">
        <w:tc>
          <w:tcPr>
            <w:tcW w:w="4006" w:type="dxa"/>
          </w:tcPr>
          <w:p w:rsidR="006A74D6" w:rsidRDefault="006A74D6" w:rsidP="00992664">
            <w:pPr>
              <w:pStyle w:val="libFootnote0"/>
              <w:rPr>
                <w:rtl/>
              </w:rPr>
            </w:pPr>
            <w:r>
              <w:rPr>
                <w:rtl/>
              </w:rPr>
              <w:t xml:space="preserve">(1). </w:t>
            </w:r>
            <w:r w:rsidRPr="00020424">
              <w:rPr>
                <w:rtl/>
              </w:rPr>
              <w:t>في«جن»:«المفترق</w:t>
            </w:r>
            <w:r>
              <w:rPr>
                <w:rtl/>
              </w:rPr>
              <w:t>».</w:t>
            </w:r>
            <w:r w:rsidRPr="00020424">
              <w:rPr>
                <w:rtl/>
              </w:rPr>
              <w:t xml:space="preserve">وفي </w:t>
            </w:r>
            <w:r w:rsidRPr="0012008A">
              <w:rPr>
                <w:rStyle w:val="libFootnoteBoldChar"/>
                <w:rtl/>
              </w:rPr>
              <w:t>الوافي</w:t>
            </w:r>
            <w:r w:rsidRPr="00020424">
              <w:rPr>
                <w:rtl/>
              </w:rPr>
              <w:t>:«متفرّق</w:t>
            </w:r>
            <w:r>
              <w:rPr>
                <w:rtl/>
              </w:rPr>
              <w:t>».</w:t>
            </w:r>
          </w:p>
        </w:tc>
        <w:tc>
          <w:tcPr>
            <w:tcW w:w="4006" w:type="dxa"/>
          </w:tcPr>
          <w:p w:rsidR="006A74D6" w:rsidRDefault="006A74D6"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مجتمع</w:t>
            </w:r>
            <w:r>
              <w:rPr>
                <w:rtl/>
              </w:rPr>
              <w:t xml:space="preserve"> ».</w:t>
            </w:r>
          </w:p>
        </w:tc>
      </w:tr>
      <w:tr w:rsidR="006A74D6" w:rsidTr="006A74D6">
        <w:tc>
          <w:tcPr>
            <w:tcW w:w="4006" w:type="dxa"/>
          </w:tcPr>
          <w:p w:rsidR="006A74D6" w:rsidRDefault="006A74D6" w:rsidP="00992664">
            <w:pPr>
              <w:pStyle w:val="libFootnote0"/>
              <w:rPr>
                <w:rtl/>
              </w:rPr>
            </w:pPr>
            <w:r>
              <w:rPr>
                <w:rtl/>
              </w:rPr>
              <w:t xml:space="preserve">(3). </w:t>
            </w:r>
            <w:r w:rsidRPr="00020424">
              <w:rPr>
                <w:rtl/>
              </w:rPr>
              <w:t xml:space="preserve">في « بس » </w:t>
            </w:r>
            <w:r w:rsidRPr="00515444">
              <w:rPr>
                <w:rStyle w:val="libFootnoteBoldChar"/>
                <w:rtl/>
              </w:rPr>
              <w:t>والتهذيب</w:t>
            </w:r>
            <w:r w:rsidRPr="00020424">
              <w:rPr>
                <w:rtl/>
              </w:rPr>
              <w:t xml:space="preserve"> : « فإذا</w:t>
            </w:r>
            <w:r>
              <w:rPr>
                <w:rtl/>
              </w:rPr>
              <w:t xml:space="preserve"> ».</w:t>
            </w:r>
          </w:p>
        </w:tc>
        <w:tc>
          <w:tcPr>
            <w:tcW w:w="4006" w:type="dxa"/>
          </w:tcPr>
          <w:p w:rsidR="006A74D6" w:rsidRDefault="006A74D6" w:rsidP="00992664">
            <w:pPr>
              <w:pStyle w:val="libFootnote0"/>
              <w:rPr>
                <w:rtl/>
              </w:rPr>
            </w:pPr>
            <w:r>
              <w:rPr>
                <w:rtl/>
              </w:rPr>
              <w:t xml:space="preserve">(4). </w:t>
            </w:r>
            <w:r w:rsidRPr="00020424">
              <w:rPr>
                <w:rtl/>
              </w:rPr>
              <w:t xml:space="preserve">في « بث ، بخ ، بر » </w:t>
            </w:r>
            <w:r w:rsidRPr="00515444">
              <w:rPr>
                <w:rStyle w:val="libFootnoteBoldChar"/>
                <w:rtl/>
              </w:rPr>
              <w:t>والوافي</w:t>
            </w:r>
            <w:r w:rsidRPr="00020424">
              <w:rPr>
                <w:rtl/>
              </w:rPr>
              <w:t xml:space="preserve"> : « ثمّ ليخيّر</w:t>
            </w:r>
            <w:r>
              <w:rPr>
                <w:rtl/>
              </w:rPr>
              <w:t xml:space="preserve"> ».</w:t>
            </w:r>
          </w:p>
        </w:tc>
      </w:tr>
      <w:tr w:rsidR="006A74D6" w:rsidTr="006A74D6">
        <w:tc>
          <w:tcPr>
            <w:tcW w:w="4006" w:type="dxa"/>
          </w:tcPr>
          <w:p w:rsidR="006A74D6" w:rsidRDefault="006A74D6" w:rsidP="00992664">
            <w:pPr>
              <w:pStyle w:val="libFootnote0"/>
              <w:rPr>
                <w:rtl/>
              </w:rPr>
            </w:pPr>
            <w:r>
              <w:rPr>
                <w:rtl/>
              </w:rPr>
              <w:t xml:space="preserve">(5). </w:t>
            </w:r>
            <w:r w:rsidRPr="00020424">
              <w:rPr>
                <w:rtl/>
              </w:rPr>
              <w:t xml:space="preserve">في </w:t>
            </w:r>
            <w:r w:rsidRPr="0012008A">
              <w:rPr>
                <w:rStyle w:val="libFootnoteBoldChar"/>
                <w:rtl/>
              </w:rPr>
              <w:t>التهذيب</w:t>
            </w:r>
            <w:r w:rsidRPr="00020424">
              <w:rPr>
                <w:rtl/>
              </w:rPr>
              <w:t xml:space="preserve"> : « فإن</w:t>
            </w:r>
            <w:r>
              <w:rPr>
                <w:rtl/>
              </w:rPr>
              <w:t xml:space="preserve"> ».</w:t>
            </w:r>
          </w:p>
        </w:tc>
        <w:tc>
          <w:tcPr>
            <w:tcW w:w="4006" w:type="dxa"/>
          </w:tcPr>
          <w:p w:rsidR="006A74D6" w:rsidRDefault="006A74D6" w:rsidP="00992664">
            <w:pPr>
              <w:pStyle w:val="libFootnote0"/>
              <w:rPr>
                <w:rtl/>
              </w:rPr>
            </w:pPr>
            <w:r>
              <w:rPr>
                <w:rtl/>
              </w:rPr>
              <w:t xml:space="preserve">(6). </w:t>
            </w:r>
            <w:r w:rsidRPr="00020424">
              <w:rPr>
                <w:rtl/>
              </w:rPr>
              <w:t>في « بس » : « فليرفعه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التتبّع : التطلّب ، وهو طلب الشي‌ء مرّة بعد ا</w:t>
      </w:r>
      <w:r w:rsidR="0011773B">
        <w:rPr>
          <w:rFonts w:hint="cs"/>
          <w:rtl/>
        </w:rPr>
        <w:t>ُ</w:t>
      </w:r>
      <w:r w:rsidR="00992664" w:rsidRPr="00020424">
        <w:rPr>
          <w:rtl/>
        </w:rPr>
        <w:t xml:space="preserve">خرى مع تكلّف ، أو هو الطلب شيئاً بعد شي‌ء في مهلة. راجع : </w:t>
      </w:r>
      <w:r w:rsidR="00992664" w:rsidRPr="0012008A">
        <w:rPr>
          <w:rStyle w:val="libFootnoteBoldChar"/>
          <w:rtl/>
        </w:rPr>
        <w:t>الصحاح</w:t>
      </w:r>
      <w:r w:rsidR="00992664" w:rsidRPr="00020424">
        <w:rPr>
          <w:rtl/>
        </w:rPr>
        <w:t xml:space="preserve"> ، ج 3 ، ص 1190 ؛ </w:t>
      </w:r>
      <w:r w:rsidR="00992664" w:rsidRPr="00A722B1">
        <w:rPr>
          <w:rStyle w:val="libFootnoteBoldChar"/>
          <w:rtl/>
        </w:rPr>
        <w:t>المصباح المنير</w:t>
      </w:r>
      <w:r w:rsidR="00992664" w:rsidRPr="00020424">
        <w:rPr>
          <w:rtl/>
        </w:rPr>
        <w:t xml:space="preserve"> ، ص 72 ( تبع )</w:t>
      </w:r>
      <w:r w:rsidR="00992664">
        <w:rPr>
          <w:rtl/>
        </w:rPr>
        <w:t>.</w:t>
      </w:r>
    </w:p>
    <w:tbl>
      <w:tblPr>
        <w:tblStyle w:val="TableGrid"/>
        <w:bidiVisual/>
        <w:tblW w:w="0" w:type="auto"/>
        <w:tblLook w:val="04A0" w:firstRow="1" w:lastRow="0" w:firstColumn="1" w:lastColumn="0" w:noHBand="0" w:noVBand="1"/>
      </w:tblPr>
      <w:tblGrid>
        <w:gridCol w:w="4006"/>
        <w:gridCol w:w="4006"/>
      </w:tblGrid>
      <w:tr w:rsidR="0002722C" w:rsidTr="0002722C">
        <w:tc>
          <w:tcPr>
            <w:tcW w:w="4006" w:type="dxa"/>
          </w:tcPr>
          <w:p w:rsidR="0002722C" w:rsidRDefault="0002722C" w:rsidP="0002722C">
            <w:pPr>
              <w:pStyle w:val="libFootnote0"/>
              <w:rPr>
                <w:rtl/>
              </w:rPr>
            </w:pPr>
            <w:r>
              <w:rPr>
                <w:rtl/>
              </w:rPr>
              <w:t xml:space="preserve">(9). </w:t>
            </w:r>
            <w:r w:rsidRPr="00020424">
              <w:rPr>
                <w:rtl/>
              </w:rPr>
              <w:t>في«بح،بخ</w:t>
            </w:r>
            <w:r>
              <w:rPr>
                <w:rtl/>
              </w:rPr>
              <w:t>،</w:t>
            </w:r>
            <w:r w:rsidRPr="00020424">
              <w:rPr>
                <w:rtl/>
              </w:rPr>
              <w:t xml:space="preserve">بر،بف» </w:t>
            </w:r>
            <w:r w:rsidRPr="00515444">
              <w:rPr>
                <w:rStyle w:val="libFootnoteBoldChar"/>
                <w:rtl/>
              </w:rPr>
              <w:t>والوافي</w:t>
            </w:r>
            <w:r>
              <w:rPr>
                <w:rtl/>
              </w:rPr>
              <w:t xml:space="preserve"> :</w:t>
            </w:r>
            <w:r w:rsidRPr="00020424">
              <w:rPr>
                <w:rtl/>
              </w:rPr>
              <w:t>+« منه</w:t>
            </w:r>
            <w:r>
              <w:rPr>
                <w:rtl/>
              </w:rPr>
              <w:t xml:space="preserve"> ».</w:t>
            </w:r>
          </w:p>
        </w:tc>
        <w:tc>
          <w:tcPr>
            <w:tcW w:w="4006" w:type="dxa"/>
          </w:tcPr>
          <w:p w:rsidR="0002722C" w:rsidRDefault="0002722C" w:rsidP="00992664">
            <w:pPr>
              <w:pStyle w:val="libFootnote0"/>
              <w:rPr>
                <w:rtl/>
              </w:rPr>
            </w:pPr>
            <w:r>
              <w:rPr>
                <w:rtl/>
              </w:rPr>
              <w:t xml:space="preserve">(10). </w:t>
            </w:r>
            <w:r w:rsidRPr="00020424">
              <w:rPr>
                <w:rtl/>
              </w:rPr>
              <w:t>في « بس » : « أخذها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بث ، بر ، جن » : « فليقمها</w:t>
      </w:r>
      <w:r w:rsidR="00992664">
        <w:rPr>
          <w:rtl/>
        </w:rPr>
        <w:t xml:space="preserve"> ».</w:t>
      </w:r>
      <w:r w:rsidR="00992664" w:rsidRPr="00020424">
        <w:rPr>
          <w:rtl/>
        </w:rPr>
        <w:t xml:space="preserve"> وفي « بح » : « فليقتسمها</w:t>
      </w:r>
      <w:r w:rsidR="00992664">
        <w:rPr>
          <w:rtl/>
        </w:rPr>
        <w:t xml:space="preserve"> ».</w:t>
      </w:r>
      <w:r w:rsidR="00992664" w:rsidRPr="00020424">
        <w:rPr>
          <w:rtl/>
        </w:rPr>
        <w:t xml:space="preserve"> </w:t>
      </w:r>
      <w:r w:rsidR="00992664" w:rsidRPr="000425DC">
        <w:rPr>
          <w:rtl/>
        </w:rPr>
        <w:t xml:space="preserve">وفي الوافي </w:t>
      </w:r>
      <w:r w:rsidR="00992664" w:rsidRPr="00515444">
        <w:rPr>
          <w:rStyle w:val="libFootnoteBoldChar"/>
          <w:rtl/>
        </w:rPr>
        <w:t>والتهذيب</w:t>
      </w:r>
      <w:r w:rsidR="00992664" w:rsidRPr="00020424">
        <w:rPr>
          <w:rtl/>
        </w:rPr>
        <w:t xml:space="preserve"> : « فليقوّمها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وحاشية « بث » : « فليدفعها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98 ، ح 276 ، معلّقاً عن الكليني </w:t>
      </w:r>
      <w:r w:rsidR="00510836">
        <w:rPr>
          <w:rFonts w:hint="cs"/>
          <w:rtl/>
        </w:rPr>
        <w:t>.</w:t>
      </w:r>
      <w:r w:rsidR="00992664" w:rsidRPr="0012008A">
        <w:rPr>
          <w:rStyle w:val="libFootnoteBoldChar"/>
          <w:rtl/>
        </w:rPr>
        <w:t>الوافي</w:t>
      </w:r>
      <w:r w:rsidR="00992664" w:rsidRPr="00020424">
        <w:rPr>
          <w:rtl/>
        </w:rPr>
        <w:t xml:space="preserve"> ، ج 10 ، ص 158 ، ح 9347 ؛ </w:t>
      </w:r>
      <w:r w:rsidR="00992664" w:rsidRPr="0012008A">
        <w:rPr>
          <w:rStyle w:val="libFootnoteBoldChar"/>
          <w:rtl/>
        </w:rPr>
        <w:t>الوسائل</w:t>
      </w:r>
      <w:r w:rsidR="00992664" w:rsidRPr="00020424">
        <w:rPr>
          <w:rtl/>
        </w:rPr>
        <w:t xml:space="preserve"> ، ج 9 ، ص 131 ، ح 11680 ؛ </w:t>
      </w:r>
      <w:r w:rsidR="00992664" w:rsidRPr="00187A7E">
        <w:rPr>
          <w:rtl/>
        </w:rPr>
        <w:t>وفيه</w:t>
      </w:r>
      <w:r w:rsidR="00992664" w:rsidRPr="00020424">
        <w:rPr>
          <w:rtl/>
        </w:rPr>
        <w:t xml:space="preserve"> ، ص 126 ، ح 11673 ، قطعة منه.</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الصدقة</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مراد السائل استعلام جواز أن يتولّى غيره إعطاء صدقته المفروضة إذا أعطاها من يستحقّها ، فالعشر بدل من الصدقة. ومن لا بأس به ، عبارة عن المستحقّ. وعلى ، صلة الصدقة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 « إِنْ كَانَ ثِقَةً ، فَمُرْهُ يَضَعُهَا فِي مَوَاضِعِهَا ، وَإِنْ لَمْ يَكُنْ ثِقَةً ، فَخُذْهَا مِنْهُ </w:t>
      </w:r>
      <w:r w:rsidRPr="00A91B96">
        <w:rPr>
          <w:rStyle w:val="libFootnotenumChar"/>
          <w:rtl/>
        </w:rPr>
        <w:t>(1)</w:t>
      </w:r>
      <w:r w:rsidRPr="00020424">
        <w:rPr>
          <w:rtl/>
          <w:lang w:bidi="fa-IR"/>
        </w:rPr>
        <w:t xml:space="preserve"> ، وَضَعْهَا فِي مَوَاضِعِهَا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187A7E">
        <w:rPr>
          <w:rtl/>
        </w:rPr>
        <w:t>5872</w:t>
      </w:r>
      <w:r w:rsidRPr="001155DE">
        <w:rPr>
          <w:rStyle w:val="libBold2Char"/>
          <w:rtl/>
        </w:rPr>
        <w:t xml:space="preserve"> / 7.</w:t>
      </w:r>
      <w:r w:rsidRPr="00020424">
        <w:rPr>
          <w:rtl/>
          <w:lang w:bidi="fa-IR"/>
        </w:rPr>
        <w:t xml:space="preserve"> عَلِيُّ بْنُ إِبْرَاهِيمَ </w:t>
      </w:r>
      <w:r w:rsidRPr="00A91B96">
        <w:rPr>
          <w:rStyle w:val="libFootnotenumChar"/>
          <w:rtl/>
        </w:rPr>
        <w:t>(3)</w:t>
      </w:r>
      <w:r w:rsidRPr="00020424">
        <w:rPr>
          <w:rtl/>
          <w:lang w:bidi="fa-IR"/>
        </w:rPr>
        <w:t xml:space="preserve"> ، عَنْ مُحَمَّدِ بْنِ عِيسى ، عَنْ يُونُسَ ، عَنْ مُحَمَّدِ بْنِ مُقَرِّنِ بْنِ عَبْدِ اللهِ بْنِ زَمْعَةَ بْنِ سُبَيْعٍ ، عَنْ أَبِيهِ ، عَنْ جَدِّهِ </w:t>
      </w:r>
      <w:r w:rsidRPr="00A91B96">
        <w:rPr>
          <w:rStyle w:val="libFootnotenumChar"/>
          <w:rtl/>
        </w:rPr>
        <w:t>(4)</w:t>
      </w:r>
      <w:r w:rsidRPr="00020424">
        <w:rPr>
          <w:rtl/>
          <w:lang w:bidi="fa-IR"/>
        </w:rPr>
        <w:t xml:space="preserve"> ، عَنْ جَدِّ أَبِيهِ :</w:t>
      </w:r>
    </w:p>
    <w:p w:rsidR="00992664" w:rsidRPr="00020424" w:rsidRDefault="00992664" w:rsidP="00992664">
      <w:pPr>
        <w:pStyle w:val="libNormal"/>
        <w:rPr>
          <w:rtl/>
          <w:lang w:bidi="fa-IR"/>
        </w:rPr>
      </w:pPr>
      <w:r w:rsidRPr="00020424">
        <w:rPr>
          <w:rtl/>
          <w:lang w:bidi="fa-IR"/>
        </w:rPr>
        <w:t>أَنَّ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كَتَبَ لَهُ فِي كِتَابِهِ الَّذِي كَتَبَ </w:t>
      </w:r>
      <w:r w:rsidRPr="00A91B96">
        <w:rPr>
          <w:rStyle w:val="libFootnotenumChar"/>
          <w:rtl/>
        </w:rPr>
        <w:t>(5)</w:t>
      </w:r>
      <w:r w:rsidRPr="00020424">
        <w:rPr>
          <w:rtl/>
          <w:lang w:bidi="fa-IR"/>
        </w:rPr>
        <w:t xml:space="preserve"> لَهُ بِخَطِّهِ حِينَ بَعَثَهُ عَلَى الصَّدَقَاتِ : « مَنْ بَلَغَتْ عِنْدَهُ مِنَ الْإِبِلِ صَدَقَةُ </w:t>
      </w:r>
      <w:r w:rsidRPr="00A91B96">
        <w:rPr>
          <w:rStyle w:val="libFootnotenumChar"/>
          <w:rtl/>
        </w:rPr>
        <w:t>(6)</w:t>
      </w:r>
      <w:r w:rsidRPr="00020424">
        <w:rPr>
          <w:rtl/>
          <w:lang w:bidi="fa-IR"/>
        </w:rPr>
        <w:t xml:space="preserve"> الْجَذَعَةِ </w:t>
      </w:r>
      <w:r w:rsidRPr="00A91B96">
        <w:rPr>
          <w:rStyle w:val="libFootnotenumChar"/>
          <w:rtl/>
        </w:rPr>
        <w:t>(7)</w:t>
      </w:r>
      <w:r w:rsidRPr="00020424">
        <w:rPr>
          <w:rtl/>
          <w:lang w:bidi="fa-IR"/>
        </w:rPr>
        <w:t xml:space="preserve"> ، وَلَيْسَتْ </w:t>
      </w:r>
      <w:r w:rsidRPr="00A91B96">
        <w:rPr>
          <w:rStyle w:val="libFootnotenumChar"/>
          <w:rtl/>
        </w:rPr>
        <w:t>(8)</w:t>
      </w:r>
      <w:r w:rsidRPr="00020424">
        <w:rPr>
          <w:rtl/>
          <w:lang w:bidi="fa-IR"/>
        </w:rPr>
        <w:t xml:space="preserve"> عِنْدَهُ جَذَعَةٌ ، وَعِنْدَهُ حِقَّةٌ </w:t>
      </w:r>
      <w:r w:rsidRPr="00A91B96">
        <w:rPr>
          <w:rStyle w:val="libFootnotenumChar"/>
          <w:rtl/>
        </w:rPr>
        <w:t>(9)</w:t>
      </w:r>
      <w:r w:rsidRPr="00020424">
        <w:rPr>
          <w:rtl/>
          <w:lang w:bidi="fa-IR"/>
        </w:rPr>
        <w:t xml:space="preserve"> ، فَإِنَّهُ تُقْبَلُ </w:t>
      </w:r>
      <w:r w:rsidRPr="00A91B96">
        <w:rPr>
          <w:rStyle w:val="libFootnotenumChar"/>
          <w:rtl/>
        </w:rPr>
        <w:t>(10)</w:t>
      </w:r>
      <w:r w:rsidRPr="00020424">
        <w:rPr>
          <w:rtl/>
          <w:lang w:bidi="fa-IR"/>
        </w:rPr>
        <w:t xml:space="preserve"> مِنْهُ الْحِقَّةُ ، وَيَجْعَلُ مَعَهَا شَاتَيْنِ ، أَوْ عِشْرِينَ دِرْهَماً.</w:t>
      </w:r>
    </w:p>
    <w:p w:rsidR="00992664" w:rsidRPr="00020424" w:rsidRDefault="00992664" w:rsidP="00992664">
      <w:pPr>
        <w:pStyle w:val="libNormal"/>
        <w:rPr>
          <w:rtl/>
          <w:lang w:bidi="fa-IR"/>
        </w:rPr>
      </w:pPr>
      <w:r w:rsidRPr="00020424">
        <w:rPr>
          <w:rtl/>
          <w:lang w:bidi="fa-IR"/>
        </w:rPr>
        <w:t xml:space="preserve">وَمَنْ بَلَغَتْ عِنْدَهُ صَدَقَةُ الْحِقَّةِ ، وَلَيْسَتْ عِنْدَهُ حِقَّةٌ </w:t>
      </w:r>
      <w:r w:rsidRPr="00A91B96">
        <w:rPr>
          <w:rStyle w:val="libFootnotenumChar"/>
          <w:rtl/>
        </w:rPr>
        <w:t>(11)</w:t>
      </w:r>
      <w:r w:rsidRPr="00020424">
        <w:rPr>
          <w:rtl/>
          <w:lang w:bidi="fa-IR"/>
        </w:rPr>
        <w:t xml:space="preserve"> ، وَعِنْدَهُ جَذَعَةٌ ، فَإِنَّهُ تُقْبَلُ </w:t>
      </w:r>
      <w:r w:rsidRPr="00A91B96">
        <w:rPr>
          <w:rStyle w:val="libFootnotenumChar"/>
          <w:rtl/>
        </w:rPr>
        <w:t>(12)</w:t>
      </w:r>
      <w:r w:rsidRPr="00020424">
        <w:rPr>
          <w:rtl/>
          <w:lang w:bidi="fa-IR"/>
        </w:rPr>
        <w:t xml:space="preserve"> مِنْهُ </w:t>
      </w:r>
      <w:r w:rsidRPr="00A91B96">
        <w:rPr>
          <w:rStyle w:val="libFootnotenumChar"/>
          <w:rtl/>
        </w:rPr>
        <w:t>(13)</w:t>
      </w:r>
      <w:r w:rsidRPr="00020424">
        <w:rPr>
          <w:rtl/>
          <w:lang w:bidi="fa-IR"/>
        </w:rPr>
        <w:t xml:space="preserve"> الْجَذَعَةُ </w:t>
      </w:r>
      <w:r w:rsidRPr="00A91B96">
        <w:rPr>
          <w:rStyle w:val="libFootnotenumChar"/>
          <w:rtl/>
        </w:rPr>
        <w:t>(14)</w:t>
      </w:r>
      <w:r w:rsidRPr="00020424">
        <w:rPr>
          <w:rtl/>
          <w:lang w:bidi="fa-IR"/>
        </w:rPr>
        <w:t xml:space="preserve"> ، وَيُعْطِيهِ الْمُصَدِّقُ شَاتَيْنِ ، أَوْ عِشْرِينَ دِرْهَماً.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بس ، بف ، جن »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160 ، ح 9351 ؛ </w:t>
      </w:r>
      <w:r w:rsidR="00992664" w:rsidRPr="0012008A">
        <w:rPr>
          <w:rStyle w:val="libFootnoteBoldChar"/>
          <w:rtl/>
        </w:rPr>
        <w:t>الوسائل</w:t>
      </w:r>
      <w:r w:rsidR="00992664" w:rsidRPr="00020424">
        <w:rPr>
          <w:rtl/>
        </w:rPr>
        <w:t xml:space="preserve"> ، ج 9 ، ص 280 ، ح 12019.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بر ، جن</w:t>
      </w:r>
      <w:r w:rsidR="00992664">
        <w:rPr>
          <w:rtl/>
        </w:rPr>
        <w:t xml:space="preserve"> ».</w:t>
      </w:r>
      <w:r w:rsidR="00992664" w:rsidRPr="00020424">
        <w:rPr>
          <w:rtl/>
        </w:rPr>
        <w:t xml:space="preserve"> وفي « ظ ، ى ، بث ، بح ، بخ ، بس ، بف ، جر » وحاشية « بر » والمطبوع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 عن أبيه</w:t>
      </w:r>
      <w:r w:rsidR="00992664">
        <w:rPr>
          <w:rtl/>
        </w:rPr>
        <w:t xml:space="preserve"> ».</w:t>
      </w:r>
    </w:p>
    <w:p w:rsidR="00992664" w:rsidRPr="00020424" w:rsidRDefault="00992664" w:rsidP="002D1DC9">
      <w:pPr>
        <w:pStyle w:val="libFootnote0"/>
        <w:rPr>
          <w:rtl/>
          <w:lang w:bidi="fa-IR"/>
        </w:rPr>
      </w:pPr>
      <w:r w:rsidRPr="002D1DC9">
        <w:rPr>
          <w:rtl/>
        </w:rPr>
        <w:t xml:space="preserve">والصواب ما أثبتناه كما تقدّم في </w:t>
      </w:r>
      <w:r w:rsidRPr="002D1DC9">
        <w:rPr>
          <w:rStyle w:val="libFootnoteBoldChar"/>
          <w:rtl/>
        </w:rPr>
        <w:t>الكافي</w:t>
      </w:r>
      <w:r w:rsidRPr="002D1DC9">
        <w:rPr>
          <w:rtl/>
        </w:rPr>
        <w:t xml:space="preserve"> ، ذيل ح 4325 و5766.</w:t>
      </w:r>
    </w:p>
    <w:tbl>
      <w:tblPr>
        <w:tblStyle w:val="TableGrid"/>
        <w:bidiVisual/>
        <w:tblW w:w="0" w:type="auto"/>
        <w:tblLook w:val="04A0" w:firstRow="1" w:lastRow="0" w:firstColumn="1" w:lastColumn="0" w:noHBand="0" w:noVBand="1"/>
      </w:tblPr>
      <w:tblGrid>
        <w:gridCol w:w="4006"/>
        <w:gridCol w:w="4006"/>
      </w:tblGrid>
      <w:tr w:rsidR="004B3335" w:rsidTr="004B3335">
        <w:tc>
          <w:tcPr>
            <w:tcW w:w="4006" w:type="dxa"/>
          </w:tcPr>
          <w:p w:rsidR="004B3335" w:rsidRDefault="004B3335"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عن جدّه</w:t>
            </w:r>
            <w:r>
              <w:rPr>
                <w:rtl/>
              </w:rPr>
              <w:t xml:space="preserve"> ».</w:t>
            </w:r>
          </w:p>
        </w:tc>
        <w:tc>
          <w:tcPr>
            <w:tcW w:w="4006" w:type="dxa"/>
          </w:tcPr>
          <w:p w:rsidR="004B3335" w:rsidRDefault="004B3335" w:rsidP="004F1B40">
            <w:pPr>
              <w:pStyle w:val="libFootnote0"/>
              <w:rPr>
                <w:rtl/>
              </w:rPr>
            </w:pPr>
            <w:r>
              <w:rPr>
                <w:rtl/>
              </w:rPr>
              <w:t xml:space="preserve">(5). </w:t>
            </w:r>
            <w:r w:rsidRPr="00020424">
              <w:rPr>
                <w:rtl/>
              </w:rPr>
              <w:t>في«ى،بث،بح،بخ»</w:t>
            </w:r>
            <w:r w:rsidRPr="00515444">
              <w:rPr>
                <w:rStyle w:val="libFootnoteBoldChar"/>
                <w:rtl/>
              </w:rPr>
              <w:t>والتهذيب</w:t>
            </w:r>
            <w:r w:rsidRPr="00020424">
              <w:rPr>
                <w:rtl/>
              </w:rPr>
              <w:t xml:space="preserve"> </w:t>
            </w:r>
            <w:r w:rsidRPr="00DE3E80">
              <w:rPr>
                <w:rStyle w:val="libFootnoteBoldChar"/>
                <w:rtl/>
              </w:rPr>
              <w:t>والمقنعة</w:t>
            </w:r>
            <w:r w:rsidRPr="00020424">
              <w:rPr>
                <w:rtl/>
              </w:rPr>
              <w:t>:«كتبه</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صدقته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الصدقة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أصل الجذع من أسنان الدوّاب ، وهوما كان شابّاً فتيّاً ، واختلف في تقدير سنّة بحسب الدوابّ. والجَذَعةُ من الإبل : ما دخلت في السنة الخامسة. وللمزيد راجع : ذيل الحديث 5865.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وليس</w:t>
      </w:r>
      <w:r w:rsidR="00992664">
        <w:rPr>
          <w:rtl/>
        </w:rPr>
        <w:t xml:space="preserve"> ».</w:t>
      </w:r>
    </w:p>
    <w:p w:rsidR="00992664" w:rsidRPr="00020424" w:rsidRDefault="00795177" w:rsidP="00015DC0">
      <w:pPr>
        <w:pStyle w:val="libFootnote0"/>
        <w:rPr>
          <w:rtl/>
          <w:lang w:bidi="fa-IR"/>
        </w:rPr>
      </w:pPr>
      <w:r>
        <w:rPr>
          <w:rtl/>
        </w:rPr>
        <w:t>(9).</w:t>
      </w:r>
      <w:r w:rsidR="0014403D">
        <w:rPr>
          <w:rtl/>
        </w:rPr>
        <w:t xml:space="preserve"> </w:t>
      </w:r>
      <w:r w:rsidR="00992664" w:rsidRPr="00020424">
        <w:rPr>
          <w:rtl/>
        </w:rPr>
        <w:t>الحِقّ ، بكسر الحاء : هو من الإبل ما كان ابن ثلاث سنين وقد دخل في السنة الرابعة إلى آخرها ، والا</w:t>
      </w:r>
      <w:r w:rsidR="002D4BC5">
        <w:rPr>
          <w:rFonts w:hint="cs"/>
          <w:rtl/>
        </w:rPr>
        <w:t>ُ</w:t>
      </w:r>
      <w:r w:rsidR="00992664" w:rsidRPr="00020424">
        <w:rPr>
          <w:rtl/>
        </w:rPr>
        <w:t>نثى حِقّة</w:t>
      </w:r>
      <w:r w:rsidR="00015DC0">
        <w:rPr>
          <w:rFonts w:hint="cs"/>
          <w:rtl/>
        </w:rPr>
        <w:t xml:space="preserve"> </w:t>
      </w:r>
      <w:r w:rsidR="00992664" w:rsidRPr="00020424">
        <w:rPr>
          <w:rtl/>
        </w:rPr>
        <w:t>و</w:t>
      </w:r>
      <w:r w:rsidR="00015DC0">
        <w:rPr>
          <w:rFonts w:hint="cs"/>
          <w:rtl/>
        </w:rPr>
        <w:t xml:space="preserve"> </w:t>
      </w:r>
      <w:r w:rsidR="00992664" w:rsidRPr="00020424">
        <w:rPr>
          <w:rtl/>
        </w:rPr>
        <w:t xml:space="preserve">حِقٌّ أيضاً ؛ سمّي بذلك لاستحقاقه أن يركب ويحمل عليه وينتفع به. راجع : </w:t>
      </w:r>
      <w:r w:rsidR="00992664" w:rsidRPr="0012008A">
        <w:rPr>
          <w:rStyle w:val="libFootnoteBoldChar"/>
          <w:rtl/>
        </w:rPr>
        <w:t>الصحاح</w:t>
      </w:r>
      <w:r w:rsidR="00992664" w:rsidRPr="00020424">
        <w:rPr>
          <w:rtl/>
        </w:rPr>
        <w:t xml:space="preserve"> ، ج 4 ، ص 1460 ؛ </w:t>
      </w:r>
      <w:r w:rsidR="00992664" w:rsidRPr="0012008A">
        <w:rPr>
          <w:rStyle w:val="libFootnoteBoldChar"/>
          <w:rtl/>
        </w:rPr>
        <w:t>النهاية</w:t>
      </w:r>
      <w:r w:rsidR="00992664" w:rsidRPr="00020424">
        <w:rPr>
          <w:rtl/>
        </w:rPr>
        <w:t xml:space="preserve"> ، ج 1 ، ص 415 ( حقق )</w:t>
      </w:r>
      <w:r w:rsidR="00992664">
        <w:rPr>
          <w:rtl/>
        </w:rPr>
        <w:t>.</w:t>
      </w:r>
      <w:r w:rsidR="00015DC0">
        <w:rPr>
          <w:rFonts w:hint="cs"/>
          <w:rtl/>
        </w:rPr>
        <w:t xml:space="preserve">     </w:t>
      </w:r>
      <w:r w:rsidR="003F7C97">
        <w:rPr>
          <w:rFonts w:hint="cs"/>
          <w:rtl/>
        </w:rPr>
        <w:t xml:space="preserve">      </w:t>
      </w:r>
      <w:r>
        <w:rPr>
          <w:rtl/>
        </w:rPr>
        <w:t>(10).</w:t>
      </w:r>
      <w:r w:rsidR="0014403D">
        <w:rPr>
          <w:rtl/>
        </w:rPr>
        <w:t xml:space="preserve"> </w:t>
      </w:r>
      <w:r w:rsidR="00992664" w:rsidRPr="00020424">
        <w:rPr>
          <w:rtl/>
        </w:rPr>
        <w:t>في«ى،بث،بح،بخ،بر،جن»</w:t>
      </w:r>
      <w:r w:rsidR="00992664" w:rsidRPr="00EB1FD9">
        <w:rPr>
          <w:rStyle w:val="libFootnoteBoldChar"/>
          <w:rtl/>
        </w:rPr>
        <w:t>والوسائل</w:t>
      </w:r>
      <w:r w:rsidR="00992664" w:rsidRPr="00020424">
        <w:rPr>
          <w:rtl/>
        </w:rPr>
        <w:t>:«يقبل</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الحقّة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43A3" w:rsidTr="006C43A3">
        <w:tc>
          <w:tcPr>
            <w:tcW w:w="4006" w:type="dxa"/>
          </w:tcPr>
          <w:p w:rsidR="006C43A3" w:rsidRDefault="006C43A3" w:rsidP="00992664">
            <w:pPr>
              <w:pStyle w:val="libFootnote0"/>
              <w:rPr>
                <w:rtl/>
              </w:rPr>
            </w:pPr>
            <w:r>
              <w:rPr>
                <w:rtl/>
              </w:rPr>
              <w:t xml:space="preserve">(12). </w:t>
            </w:r>
            <w:r w:rsidRPr="00020424">
              <w:rPr>
                <w:rtl/>
              </w:rPr>
              <w:t>في«ى،بث،بخ،بر،بس،بف»:«يقبل</w:t>
            </w:r>
            <w:r>
              <w:rPr>
                <w:rtl/>
              </w:rPr>
              <w:t>».</w:t>
            </w:r>
          </w:p>
        </w:tc>
        <w:tc>
          <w:tcPr>
            <w:tcW w:w="4006" w:type="dxa"/>
          </w:tcPr>
          <w:p w:rsidR="006C43A3" w:rsidRDefault="006C43A3" w:rsidP="00992664">
            <w:pPr>
              <w:pStyle w:val="libFootnote0"/>
              <w:rPr>
                <w:rtl/>
              </w:rPr>
            </w:pPr>
            <w:r>
              <w:rPr>
                <w:rtl/>
              </w:rPr>
              <w:t xml:space="preserve">(13). </w:t>
            </w:r>
            <w:r w:rsidRPr="00020424">
              <w:rPr>
                <w:rtl/>
              </w:rPr>
              <w:t>في « بر » :</w:t>
            </w:r>
            <w:r>
              <w:rPr>
                <w:rtl/>
              </w:rPr>
              <w:t xml:space="preserve"> - </w:t>
            </w:r>
            <w:r w:rsidRPr="00020424">
              <w:rPr>
                <w:rtl/>
              </w:rPr>
              <w:t>« منه</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معه جذعة » بدل « منه الجذعة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وَمَنْ بَلَغَتْ صَدَقَتُهُ حِقَّةً ، وَلَيْسَتْ عِنْدَهُ حِقَّةٌ ، وَعِنْدَهُ ابْنَةُ لَبُونٍ </w:t>
      </w:r>
      <w:r w:rsidRPr="00A91B96">
        <w:rPr>
          <w:rStyle w:val="libFootnotenumChar"/>
          <w:rtl/>
        </w:rPr>
        <w:t>(1)</w:t>
      </w:r>
      <w:r w:rsidRPr="00020424">
        <w:rPr>
          <w:rtl/>
          <w:lang w:bidi="fa-IR"/>
        </w:rPr>
        <w:t xml:space="preserve"> ، فَإِنَّهُ يُقْبَلُ </w:t>
      </w:r>
      <w:r w:rsidRPr="00A91B96">
        <w:rPr>
          <w:rStyle w:val="libFootnotenumChar"/>
          <w:rtl/>
        </w:rPr>
        <w:t>(2)</w:t>
      </w:r>
      <w:r w:rsidRPr="00020424">
        <w:rPr>
          <w:rtl/>
          <w:lang w:bidi="fa-IR"/>
        </w:rPr>
        <w:t xml:space="preserve"> مِنْهُ ابْنَةُ لَبُونٍ </w:t>
      </w:r>
      <w:r w:rsidRPr="00A91B96">
        <w:rPr>
          <w:rStyle w:val="libFootnotenumChar"/>
          <w:rtl/>
        </w:rPr>
        <w:t>(3)</w:t>
      </w:r>
      <w:r w:rsidRPr="00020424">
        <w:rPr>
          <w:rtl/>
          <w:lang w:bidi="fa-IR"/>
        </w:rPr>
        <w:t xml:space="preserve"> ، وَيُعْطِي مَعَهَا شَاتَيْنِ ، أَوْ عِشْرِينَ دِرْهَماً.</w:t>
      </w:r>
    </w:p>
    <w:p w:rsidR="00992664" w:rsidRPr="00020424" w:rsidRDefault="00992664" w:rsidP="00992664">
      <w:pPr>
        <w:pStyle w:val="libNormal"/>
        <w:rPr>
          <w:rtl/>
          <w:lang w:bidi="fa-IR"/>
        </w:rPr>
      </w:pPr>
      <w:r w:rsidRPr="00020424">
        <w:rPr>
          <w:rtl/>
          <w:lang w:bidi="fa-IR"/>
        </w:rPr>
        <w:t xml:space="preserve">وَمَنْ بَلَغَتْ صَدَقَتُهُ ابْنَةَ لَبُونٍ ، وَلَيْسَتْ عِنْدَهُ ابْنَةُ لَبُونٍ ، وَعِنْدَهُ حِقَّةٌ ، فَإِنَّهُ تُقْبَلُ </w:t>
      </w:r>
      <w:r w:rsidRPr="00A91B96">
        <w:rPr>
          <w:rStyle w:val="libFootnotenumChar"/>
          <w:rtl/>
        </w:rPr>
        <w:t>(4)</w:t>
      </w:r>
      <w:r w:rsidRPr="00020424">
        <w:rPr>
          <w:rtl/>
          <w:lang w:bidi="fa-IR"/>
        </w:rPr>
        <w:t xml:space="preserve"> مِنْهُ الْحِقَّةُ </w:t>
      </w:r>
      <w:r w:rsidRPr="00A91B96">
        <w:rPr>
          <w:rStyle w:val="libFootnotenumChar"/>
          <w:rtl/>
        </w:rPr>
        <w:t>(5)</w:t>
      </w:r>
      <w:r w:rsidRPr="00020424">
        <w:rPr>
          <w:rtl/>
          <w:lang w:bidi="fa-IR"/>
        </w:rPr>
        <w:t xml:space="preserve"> ، وَيُعْطِيهِ الْمُصَدِّقُ شَاتَيْنِ ، أَوْ عِشْرِينَ دِرْهَماً.</w:t>
      </w:r>
    </w:p>
    <w:p w:rsidR="00992664" w:rsidRPr="00020424" w:rsidRDefault="00992664" w:rsidP="00992664">
      <w:pPr>
        <w:pStyle w:val="libNormal"/>
        <w:rPr>
          <w:rtl/>
          <w:lang w:bidi="fa-IR"/>
        </w:rPr>
      </w:pPr>
      <w:r w:rsidRPr="00020424">
        <w:rPr>
          <w:rtl/>
          <w:lang w:bidi="fa-IR"/>
        </w:rPr>
        <w:t xml:space="preserve">وَمَنْ بَلَغَتْ صَدَقَتُهُ ابْنَةَ لَبُونٍ ، وَلَيْسَتْ عِنْدَهُ ابْنَةُ لَبُونٍ ، وَعِنْدَهُ ابْنَةُ مَخَاضٍ </w:t>
      </w:r>
      <w:r w:rsidRPr="00A91B96">
        <w:rPr>
          <w:rStyle w:val="libFootnotenumChar"/>
          <w:rtl/>
        </w:rPr>
        <w:t>(6)</w:t>
      </w:r>
      <w:r w:rsidRPr="00020424">
        <w:rPr>
          <w:rtl/>
          <w:lang w:bidi="fa-IR"/>
        </w:rPr>
        <w:t xml:space="preserve"> ،فَإِنَّهُ تُقْبَلُ </w:t>
      </w:r>
      <w:r w:rsidRPr="00A91B96">
        <w:rPr>
          <w:rStyle w:val="libFootnotenumChar"/>
          <w:rtl/>
        </w:rPr>
        <w:t>(7)</w:t>
      </w:r>
      <w:r w:rsidRPr="00020424">
        <w:rPr>
          <w:rtl/>
          <w:lang w:bidi="fa-IR"/>
        </w:rPr>
        <w:t xml:space="preserve"> مِنْهُ ابْنَةُ مَخَاضٍ ، وَيُعْطِي مَعَهَا شَاتَيْنِ ، أَوْ عِشْرِينَ دِرْهَماً.</w:t>
      </w:r>
    </w:p>
    <w:p w:rsidR="00992664" w:rsidRPr="00020424" w:rsidRDefault="00992664" w:rsidP="00893AE5">
      <w:pPr>
        <w:pStyle w:val="libNormal"/>
        <w:rPr>
          <w:rtl/>
          <w:lang w:bidi="fa-IR"/>
        </w:rPr>
      </w:pPr>
      <w:r w:rsidRPr="00020424">
        <w:rPr>
          <w:rtl/>
          <w:lang w:bidi="fa-IR"/>
        </w:rPr>
        <w:t xml:space="preserve">وَمَنْ بَلَغَتْ صَدَقَتُهُ ابْنَةَ مَخَاضٍ ، وَلَيْسَتْ عِنْدَهُ ابْنَةُ مَخَاضٍ ، وَعِنْدَهُ ابْنَةُ لَبُونٍ ، فَإِنَّهُ تُقْبَلُ </w:t>
      </w:r>
      <w:r w:rsidRPr="00A91B96">
        <w:rPr>
          <w:rStyle w:val="libFootnotenumChar"/>
          <w:rtl/>
        </w:rPr>
        <w:t>(8)</w:t>
      </w:r>
      <w:r w:rsidRPr="00020424">
        <w:rPr>
          <w:rtl/>
          <w:lang w:bidi="fa-IR"/>
        </w:rPr>
        <w:t xml:space="preserve"> مِنْهُ ابْنَةُ لَبُونٍ ، وَيُعْطِيهِ الْمُصَدِّقُ </w:t>
      </w:r>
      <w:r w:rsidRPr="00A91B96">
        <w:rPr>
          <w:rStyle w:val="libFootnotenumChar"/>
          <w:rtl/>
        </w:rPr>
        <w:t>(9)</w:t>
      </w:r>
      <w:r w:rsidRPr="00020424">
        <w:rPr>
          <w:rtl/>
          <w:lang w:bidi="fa-IR"/>
        </w:rPr>
        <w:t xml:space="preserve"> شَاتَيْنِ ، أَوْ عِشْرِينَ دِرْهَماً.</w:t>
      </w:r>
    </w:p>
    <w:p w:rsidR="00992664" w:rsidRPr="00020424" w:rsidRDefault="00992664" w:rsidP="00992664">
      <w:pPr>
        <w:pStyle w:val="libNormal"/>
        <w:rPr>
          <w:rtl/>
          <w:lang w:bidi="fa-IR"/>
        </w:rPr>
      </w:pPr>
      <w:r w:rsidRPr="00020424">
        <w:rPr>
          <w:rtl/>
          <w:lang w:bidi="fa-IR"/>
        </w:rPr>
        <w:t xml:space="preserve">وَمَنْ </w:t>
      </w:r>
      <w:r w:rsidRPr="00A91B96">
        <w:rPr>
          <w:rStyle w:val="libFootnotenumChar"/>
          <w:rtl/>
        </w:rPr>
        <w:t>(10)</w:t>
      </w:r>
      <w:r w:rsidRPr="00020424">
        <w:rPr>
          <w:rtl/>
          <w:lang w:bidi="fa-IR"/>
        </w:rPr>
        <w:t xml:space="preserve"> لَمْ يَكُنْ </w:t>
      </w:r>
      <w:r w:rsidRPr="00A91B96">
        <w:rPr>
          <w:rStyle w:val="libFootnotenumChar"/>
          <w:rtl/>
        </w:rPr>
        <w:t>(11)</w:t>
      </w:r>
      <w:r w:rsidRPr="00020424">
        <w:rPr>
          <w:rtl/>
          <w:lang w:bidi="fa-IR"/>
        </w:rPr>
        <w:t xml:space="preserve"> عِنْدَهُ ابْنَةُ مَخَاضٍ عَلى وَجْهِهَا ، وَعِنْدَهُ ابْنُ لَبُونٍ ذَكَرٌ ، فَإِنَّهُ يُقْبَلُ </w:t>
      </w:r>
      <w:r w:rsidRPr="00A91B96">
        <w:rPr>
          <w:rStyle w:val="libFootnotenumChar"/>
          <w:rtl/>
        </w:rPr>
        <w:t>(12)</w:t>
      </w:r>
      <w:r w:rsidRPr="00020424">
        <w:rPr>
          <w:rtl/>
          <w:lang w:bidi="fa-IR"/>
        </w:rPr>
        <w:t xml:space="preserve"> مِنْهُ ابْنُ لَبُونٍ ، وَلَيْسَ مَعَهُ شَيْ‌ءٌ.</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اللبون » من الشاة والإبل : ذات اللبن غزيرة كانت أو بكيئة ، ويقال لولد الناقة إذا استكمل السنة الثانية ودخل‌في الثالثة : ابن اللبون ، والا</w:t>
      </w:r>
      <w:r w:rsidR="00893AE5">
        <w:rPr>
          <w:rFonts w:hint="cs"/>
          <w:rtl/>
        </w:rPr>
        <w:t>ُ</w:t>
      </w:r>
      <w:r w:rsidR="00992664" w:rsidRPr="00020424">
        <w:rPr>
          <w:rtl/>
        </w:rPr>
        <w:t>نثى : ابنة لبون ؛ لأنّ ا</w:t>
      </w:r>
      <w:r w:rsidR="00893AE5">
        <w:rPr>
          <w:rFonts w:hint="cs"/>
          <w:rtl/>
        </w:rPr>
        <w:t>ُ</w:t>
      </w:r>
      <w:r w:rsidR="00992664" w:rsidRPr="00020424">
        <w:rPr>
          <w:rtl/>
        </w:rPr>
        <w:t xml:space="preserve">مّه حملت غيره ووضعته فصارت ذات لبن. راجع : </w:t>
      </w:r>
      <w:r w:rsidR="00992664" w:rsidRPr="0012008A">
        <w:rPr>
          <w:rStyle w:val="libFootnoteBoldChar"/>
          <w:rtl/>
        </w:rPr>
        <w:t>الصحاح</w:t>
      </w:r>
      <w:r w:rsidR="00992664" w:rsidRPr="00020424">
        <w:rPr>
          <w:rtl/>
        </w:rPr>
        <w:t xml:space="preserve"> ، ج 6 ، ص 2192 ؛ </w:t>
      </w:r>
      <w:r w:rsidR="00992664" w:rsidRPr="0012008A">
        <w:rPr>
          <w:rStyle w:val="libFootnoteBoldChar"/>
          <w:rtl/>
        </w:rPr>
        <w:t>النهاية</w:t>
      </w:r>
      <w:r w:rsidR="00992664" w:rsidRPr="00020424">
        <w:rPr>
          <w:rtl/>
        </w:rPr>
        <w:t xml:space="preserve"> ، ج 4 ، ص 228 ( لبن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تقبل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ابنة لبون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بح ، بخ ، بر ، بس ، بف ، جن » </w:t>
      </w:r>
      <w:r w:rsidR="00992664" w:rsidRPr="00EB1FD9">
        <w:rPr>
          <w:rStyle w:val="libFootnoteBoldChar"/>
          <w:rtl/>
        </w:rPr>
        <w:t>والوسائل</w:t>
      </w:r>
      <w:r w:rsidR="00992664" w:rsidRPr="00020424">
        <w:rPr>
          <w:rtl/>
        </w:rPr>
        <w:t xml:space="preserve"> : « يقبل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الحقّة منه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E828E7">
        <w:rPr>
          <w:rtl/>
        </w:rPr>
        <w:t>« الم</w:t>
      </w:r>
      <w:r w:rsidR="00E828E7">
        <w:rPr>
          <w:rFonts w:hint="cs"/>
          <w:rtl/>
        </w:rPr>
        <w:t>ـَ</w:t>
      </w:r>
      <w:r w:rsidR="00992664" w:rsidRPr="00020424">
        <w:rPr>
          <w:rtl/>
        </w:rPr>
        <w:t>خاض » : اسم للنُوق الحوامل ، واحدتها : خَلِفَة ولا واحد لها من لفظها ، ومنه قيل للفصيل إذا استكمل‌الحول ودخل في السنة الثانية : ابن مخاض ، والا</w:t>
      </w:r>
      <w:r w:rsidR="00E828E7">
        <w:rPr>
          <w:rFonts w:hint="cs"/>
          <w:rtl/>
        </w:rPr>
        <w:t>ُ</w:t>
      </w:r>
      <w:r w:rsidR="00992664" w:rsidRPr="00020424">
        <w:rPr>
          <w:rtl/>
        </w:rPr>
        <w:t>نثى : ابنة مخاض ؛ لأنّه فصل عن ا</w:t>
      </w:r>
      <w:r w:rsidR="00AA2B76">
        <w:rPr>
          <w:rFonts w:hint="cs"/>
          <w:rtl/>
        </w:rPr>
        <w:t>ُ</w:t>
      </w:r>
      <w:r w:rsidR="00992664" w:rsidRPr="00020424">
        <w:rPr>
          <w:rtl/>
        </w:rPr>
        <w:t>مّه وا</w:t>
      </w:r>
      <w:r w:rsidR="00AA2B76">
        <w:rPr>
          <w:rFonts w:hint="cs"/>
          <w:rtl/>
        </w:rPr>
        <w:t>ُ</w:t>
      </w:r>
      <w:r w:rsidR="00992664" w:rsidRPr="00020424">
        <w:rPr>
          <w:rtl/>
        </w:rPr>
        <w:t>لحقت ا</w:t>
      </w:r>
      <w:r w:rsidR="00AA2B76">
        <w:rPr>
          <w:rFonts w:hint="cs"/>
          <w:rtl/>
        </w:rPr>
        <w:t>ُ</w:t>
      </w:r>
      <w:r w:rsidR="00992664" w:rsidRPr="00020424">
        <w:rPr>
          <w:rtl/>
        </w:rPr>
        <w:t xml:space="preserve">مّه بالمخاض ، أي الحوامل وإن لم تكن حاملاً. وقيل غير ذلك. راجع : </w:t>
      </w:r>
      <w:r w:rsidR="00992664" w:rsidRPr="00A722B1">
        <w:rPr>
          <w:rStyle w:val="libFootnoteBoldChar"/>
          <w:rtl/>
        </w:rPr>
        <w:t>لسان العرب</w:t>
      </w:r>
      <w:r w:rsidR="00992664" w:rsidRPr="00020424">
        <w:rPr>
          <w:rtl/>
        </w:rPr>
        <w:t xml:space="preserve"> ، ج 7 ، ص 229 ( مخض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أكثر النسخ التي قوبلت </w:t>
      </w:r>
      <w:r w:rsidR="00992664" w:rsidRPr="00EB1FD9">
        <w:rPr>
          <w:rStyle w:val="libFootnoteBoldChar"/>
          <w:rtl/>
        </w:rPr>
        <w:t>والوسائل</w:t>
      </w:r>
      <w:r w:rsidR="00992664" w:rsidRPr="00020424">
        <w:rPr>
          <w:rtl/>
        </w:rPr>
        <w:t xml:space="preserve"> : « يقبل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بح ، بخ ، بر ، بس ، بف ، جن » </w:t>
      </w:r>
      <w:r w:rsidR="00992664" w:rsidRPr="00515444">
        <w:rPr>
          <w:rStyle w:val="libFootnoteBoldChar"/>
          <w:rtl/>
        </w:rPr>
        <w:t>والوافي</w:t>
      </w:r>
      <w:r w:rsidR="00992664" w:rsidRPr="00020424">
        <w:rPr>
          <w:rtl/>
        </w:rPr>
        <w:t xml:space="preserve"> : « يقبل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A2B76" w:rsidTr="00AA2B76">
        <w:tc>
          <w:tcPr>
            <w:tcW w:w="4006" w:type="dxa"/>
          </w:tcPr>
          <w:p w:rsidR="00AA2B76" w:rsidRDefault="00AA2B76" w:rsidP="00992664">
            <w:pPr>
              <w:pStyle w:val="libFootnote0"/>
              <w:rPr>
                <w:rtl/>
              </w:rPr>
            </w:pPr>
            <w:r>
              <w:rPr>
                <w:rtl/>
              </w:rPr>
              <w:t xml:space="preserve">(9). </w:t>
            </w:r>
            <w:r w:rsidRPr="00020424">
              <w:rPr>
                <w:rtl/>
              </w:rPr>
              <w:t>في « ى » :</w:t>
            </w:r>
            <w:r>
              <w:rPr>
                <w:rtl/>
              </w:rPr>
              <w:t xml:space="preserve"> - </w:t>
            </w:r>
            <w:r w:rsidRPr="00020424">
              <w:rPr>
                <w:rtl/>
              </w:rPr>
              <w:t>« المصدّق</w:t>
            </w:r>
            <w:r>
              <w:rPr>
                <w:rtl/>
              </w:rPr>
              <w:t xml:space="preserve"> ».</w:t>
            </w:r>
          </w:p>
        </w:tc>
        <w:tc>
          <w:tcPr>
            <w:tcW w:w="4006" w:type="dxa"/>
          </w:tcPr>
          <w:p w:rsidR="00AA2B76" w:rsidRDefault="00AA2B76" w:rsidP="00992664">
            <w:pPr>
              <w:pStyle w:val="libFootnote0"/>
              <w:rPr>
                <w:rtl/>
              </w:rPr>
            </w:pPr>
            <w:r>
              <w:rPr>
                <w:rtl/>
              </w:rPr>
              <w:t xml:space="preserve">(10). </w:t>
            </w:r>
            <w:r w:rsidRPr="00020424">
              <w:rPr>
                <w:rtl/>
              </w:rPr>
              <w:t xml:space="preserve">في « بخ ، بف » </w:t>
            </w:r>
            <w:r w:rsidRPr="00515444">
              <w:rPr>
                <w:rStyle w:val="libFootnoteBoldChar"/>
                <w:rtl/>
              </w:rPr>
              <w:t>والوافي</w:t>
            </w:r>
            <w:r w:rsidRPr="00020424">
              <w:rPr>
                <w:rtl/>
              </w:rPr>
              <w:t xml:space="preserve"> : « فمن</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لم تكن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وفي المطبوع : « تقبل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وَمَنْ لَمْ يَكُنْ مَعَهُ شَيْ‌ءٌ </w:t>
      </w:r>
      <w:r w:rsidRPr="00A91B96">
        <w:rPr>
          <w:rStyle w:val="libFootnotenumChar"/>
          <w:rtl/>
        </w:rPr>
        <w:t>(1)</w:t>
      </w:r>
      <w:r w:rsidR="00AA2B76">
        <w:rPr>
          <w:rtl/>
          <w:lang w:bidi="fa-IR"/>
        </w:rPr>
        <w:t xml:space="preserve"> إِل</w:t>
      </w:r>
      <w:r w:rsidR="00AA2B76">
        <w:rPr>
          <w:rFonts w:hint="cs"/>
          <w:rtl/>
          <w:lang w:bidi="fa-IR"/>
        </w:rPr>
        <w:t>َّ</w:t>
      </w:r>
      <w:r w:rsidR="00AA2B76">
        <w:rPr>
          <w:rtl/>
          <w:lang w:bidi="fa-IR"/>
        </w:rPr>
        <w:t>ا</w:t>
      </w:r>
      <w:r w:rsidRPr="00020424">
        <w:rPr>
          <w:rtl/>
          <w:lang w:bidi="fa-IR"/>
        </w:rPr>
        <w:t xml:space="preserve"> أَرْبَعَةٌ </w:t>
      </w:r>
      <w:r w:rsidRPr="00A91B96">
        <w:rPr>
          <w:rStyle w:val="libFootnotenumChar"/>
          <w:rtl/>
        </w:rPr>
        <w:t>(2)</w:t>
      </w:r>
      <w:r w:rsidRPr="00020424">
        <w:rPr>
          <w:rtl/>
          <w:lang w:bidi="fa-IR"/>
        </w:rPr>
        <w:t xml:space="preserve"> مِنَ الْإِبِلِ ، وَلَيْسَ </w:t>
      </w:r>
      <w:r w:rsidRPr="00A91B96">
        <w:rPr>
          <w:rStyle w:val="libFootnotenumChar"/>
          <w:rtl/>
        </w:rPr>
        <w:t>(3)</w:t>
      </w:r>
      <w:r w:rsidRPr="00020424">
        <w:rPr>
          <w:rtl/>
          <w:lang w:bidi="fa-IR"/>
        </w:rPr>
        <w:t xml:space="preserve"> لَهُ </w:t>
      </w:r>
      <w:r w:rsidRPr="00A91B96">
        <w:rPr>
          <w:rStyle w:val="libFootnotenumChar"/>
          <w:rtl/>
        </w:rPr>
        <w:t>(4)</w:t>
      </w:r>
      <w:r w:rsidRPr="00020424">
        <w:rPr>
          <w:rtl/>
          <w:lang w:bidi="fa-IR"/>
        </w:rPr>
        <w:t xml:space="preserve"> مَالٌ غَيْرُهَا ، فَلَيْسَ فِيهَا </w:t>
      </w:r>
      <w:r w:rsidRPr="00A91B96">
        <w:rPr>
          <w:rStyle w:val="libFootnotenumChar"/>
          <w:rtl/>
        </w:rPr>
        <w:t>(5)</w:t>
      </w:r>
      <w:r w:rsidRPr="00020424">
        <w:rPr>
          <w:rtl/>
          <w:lang w:bidi="fa-IR"/>
        </w:rPr>
        <w:t xml:space="preserve"> شَيْ‌ءٌ </w:t>
      </w:r>
      <w:r w:rsidRPr="00A91B96">
        <w:rPr>
          <w:rStyle w:val="libFootnotenumChar"/>
          <w:rtl/>
        </w:rPr>
        <w:t>(6)</w:t>
      </w:r>
      <w:r w:rsidR="00AA2B76">
        <w:rPr>
          <w:rtl/>
          <w:lang w:bidi="fa-IR"/>
        </w:rPr>
        <w:t xml:space="preserve"> إِل</w:t>
      </w:r>
      <w:r w:rsidR="00AA2B76">
        <w:rPr>
          <w:rFonts w:hint="cs"/>
          <w:rtl/>
          <w:lang w:bidi="fa-IR"/>
        </w:rPr>
        <w:t>َّ</w:t>
      </w:r>
      <w:r w:rsidR="00AA2B76">
        <w:rPr>
          <w:rtl/>
          <w:lang w:bidi="fa-IR"/>
        </w:rPr>
        <w:t>ا</w:t>
      </w:r>
      <w:r w:rsidRPr="00020424">
        <w:rPr>
          <w:rtl/>
          <w:lang w:bidi="fa-IR"/>
        </w:rPr>
        <w:t xml:space="preserve"> أَنْ يَشَاءَ رَبُّهَا ، فَإِذَا بَلَغَ </w:t>
      </w:r>
      <w:r w:rsidRPr="00A91B96">
        <w:rPr>
          <w:rStyle w:val="libFootnotenumChar"/>
          <w:rtl/>
        </w:rPr>
        <w:t>(7)</w:t>
      </w:r>
      <w:r w:rsidRPr="00020424">
        <w:rPr>
          <w:rtl/>
          <w:lang w:bidi="fa-IR"/>
        </w:rPr>
        <w:t xml:space="preserve"> مَالُهُ خَمْساً </w:t>
      </w:r>
      <w:r w:rsidRPr="00A91B96">
        <w:rPr>
          <w:rStyle w:val="libFootnotenumChar"/>
          <w:rtl/>
        </w:rPr>
        <w:t>(8)</w:t>
      </w:r>
      <w:r w:rsidRPr="00020424">
        <w:rPr>
          <w:rtl/>
          <w:lang w:bidi="fa-IR"/>
        </w:rPr>
        <w:t xml:space="preserve"> مِنَ الْإِبِلِ </w:t>
      </w:r>
      <w:r w:rsidRPr="00A91B96">
        <w:rPr>
          <w:rStyle w:val="libFootnotenumChar"/>
          <w:rtl/>
        </w:rPr>
        <w:t>(9)</w:t>
      </w:r>
      <w:r w:rsidRPr="00020424">
        <w:rPr>
          <w:rtl/>
          <w:lang w:bidi="fa-IR"/>
        </w:rPr>
        <w:t xml:space="preserve"> فَفِيهَا </w:t>
      </w:r>
      <w:r w:rsidRPr="00A91B96">
        <w:rPr>
          <w:rStyle w:val="libFootnotenumChar"/>
          <w:rtl/>
        </w:rPr>
        <w:t>(10)</w:t>
      </w:r>
      <w:r w:rsidRPr="00020424">
        <w:rPr>
          <w:rtl/>
          <w:lang w:bidi="fa-IR"/>
        </w:rPr>
        <w:t xml:space="preserve"> شَاةٌ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187A7E">
        <w:rPr>
          <w:rtl/>
        </w:rPr>
        <w:t>5873</w:t>
      </w:r>
      <w:r w:rsidRPr="001155DE">
        <w:rPr>
          <w:rStyle w:val="libBold2Char"/>
          <w:rtl/>
        </w:rPr>
        <w:t xml:space="preserve"> / 8.</w:t>
      </w:r>
      <w:r w:rsidRPr="00020424">
        <w:rPr>
          <w:rtl/>
          <w:lang w:bidi="fa-IR"/>
        </w:rPr>
        <w:t xml:space="preserve"> عِدَّةٌ مِنْ أَصْحَابِنَا ، عَنْ سَهْلِ بْنِ زِيَادٍ ، عَنْ عَلِيِّ بْنِ أَسْبَاطٍ ، عَنْ أَحْمَدَ بْنِ مَعْمَرٍ ، قَالَ : أَخْبَرَنِي أَبُو الْحَسَنِ الْعُرَنِيُّ ، قَالَ : حَدَّثَنِي إِسْمَاعِيلُ بْنُ إِبْرَاهِيمَ بْنِ </w:t>
      </w:r>
      <w:r w:rsidRPr="00A91B96">
        <w:rPr>
          <w:rStyle w:val="libFootnotenumChar"/>
          <w:rtl/>
        </w:rPr>
        <w:t>(13)</w:t>
      </w:r>
      <w:r w:rsidRPr="00020424">
        <w:rPr>
          <w:rtl/>
          <w:lang w:bidi="fa-IR"/>
        </w:rPr>
        <w:t xml:space="preserve"> مُهَاجِرٍ ، عَنْ رَجُلٍ مِنْ ثَقِيفٍ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بس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شي‌ء</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الأربعة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 فليس</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ولم يكن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معه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فيها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 « فلا شي‌ء فيها » بدل « فليس فيها شي‌ء</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شي‌ء</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بلغت</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بر ، بس » : « خمسة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خمساً من الإبل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ففيه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E57D58">
        <w:rPr>
          <w:rStyle w:val="libFootnoteBoldChar"/>
          <w:rtl/>
        </w:rPr>
        <w:t>مدارك الأحكام</w:t>
      </w:r>
      <w:r w:rsidR="00992664" w:rsidRPr="00020424">
        <w:rPr>
          <w:rtl/>
        </w:rPr>
        <w:t xml:space="preserve"> ، ج 5 ، ص 84 : « هذه الرواية ضعيفة السند ولعلّ اتّفاق الأصحاب على العمل بها أسقط اعتبار سندها ، ومقتضاها انحصار الجبران في الشاتين أو العشرين درهماً ، والخيار في ذلك إليه لا إلى العامل ، وسواء كانت القيمة السوقيّة مساوية لذلك أو ناقصة عنه أو زائدة عليه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95 ، ح 273 ، معلّقاً عن الكليني. </w:t>
      </w:r>
      <w:r w:rsidR="00992664" w:rsidRPr="0012008A">
        <w:rPr>
          <w:rStyle w:val="libFootnoteBoldChar"/>
          <w:rtl/>
        </w:rPr>
        <w:t>المقنعة</w:t>
      </w:r>
      <w:r w:rsidR="00992664" w:rsidRPr="00020424">
        <w:rPr>
          <w:rtl/>
        </w:rPr>
        <w:t xml:space="preserve"> ، ص 253 ، مع اختلاف يسير ، وفيه : « روى محمّد بن عيسى ، عن محمّد بن مهران ، عن عبدالله بن زمعة ، عن أبيه ، عن جدّ أبيه ، أنّ أميرالمؤمنين صلوات الله عليه كتب</w:t>
      </w:r>
      <w:r w:rsidR="00992664">
        <w:rPr>
          <w:rtl/>
        </w:rPr>
        <w:t xml:space="preserve"> ..</w:t>
      </w:r>
      <w:r w:rsidR="00992664" w:rsidRPr="00020424">
        <w:rPr>
          <w:rtl/>
        </w:rPr>
        <w:t xml:space="preserve">. » </w:t>
      </w:r>
      <w:r w:rsidR="00992664" w:rsidRPr="0012008A">
        <w:rPr>
          <w:rStyle w:val="libFootnoteBoldChar"/>
          <w:rtl/>
        </w:rPr>
        <w:t>الوافي</w:t>
      </w:r>
      <w:r w:rsidR="00992664" w:rsidRPr="00020424">
        <w:rPr>
          <w:rtl/>
        </w:rPr>
        <w:t xml:space="preserve"> ، ج 10 ، ص 152 ، ح 9343 ؛ </w:t>
      </w:r>
      <w:r w:rsidR="00992664" w:rsidRPr="0012008A">
        <w:rPr>
          <w:rStyle w:val="libFootnoteBoldChar"/>
          <w:rtl/>
        </w:rPr>
        <w:t>الوسائل</w:t>
      </w:r>
      <w:r w:rsidR="00992664" w:rsidRPr="00020424">
        <w:rPr>
          <w:rtl/>
        </w:rPr>
        <w:t xml:space="preserve"> ، ج 9 ، ص 128 ، ح 11677 ، إلى قوله : « تقبل منه ابن لبون وليس معه شي‌ء</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هكذا في « بح ، بر ، بف ، جر » وحاشية « ظ ، جن » </w:t>
      </w:r>
      <w:r w:rsidR="00992664" w:rsidRPr="00B50394">
        <w:rPr>
          <w:rtl/>
        </w:rPr>
        <w:t>والوسائل والبحار والتهذيب</w:t>
      </w:r>
      <w:r w:rsidR="00992664" w:rsidRPr="00020424">
        <w:rPr>
          <w:rtl/>
        </w:rPr>
        <w:t>. وفي « ظ ، ى ، بخ ، بس ، جن » والمطبوع : « عن</w:t>
      </w:r>
      <w:r w:rsidR="00992664">
        <w:rPr>
          <w:rtl/>
        </w:rPr>
        <w:t xml:space="preserve"> ».</w:t>
      </w:r>
    </w:p>
    <w:p w:rsidR="00992664" w:rsidRPr="00020424" w:rsidRDefault="00992664" w:rsidP="00AA2B76">
      <w:pPr>
        <w:pStyle w:val="libFootnote0"/>
        <w:rPr>
          <w:rtl/>
          <w:lang w:bidi="fa-IR"/>
        </w:rPr>
      </w:pPr>
      <w:r w:rsidRPr="00AA2B76">
        <w:rPr>
          <w:rtl/>
        </w:rPr>
        <w:t xml:space="preserve">والظاهر أنّ إسماعيل هذا ، هو إسماعيل بن إبراهيم بن مهاجر البجلي المذكور في كتب العامّة. راجع : </w:t>
      </w:r>
      <w:r w:rsidRPr="00187A7E">
        <w:rPr>
          <w:rtl/>
        </w:rPr>
        <w:t>الجرح والتعديل</w:t>
      </w:r>
      <w:r w:rsidRPr="00AA2B76">
        <w:rPr>
          <w:rtl/>
        </w:rPr>
        <w:t xml:space="preserve"> ، ج 2 ، ص 96 ، الرقم 512 ؛ </w:t>
      </w:r>
      <w:r w:rsidRPr="00187A7E">
        <w:rPr>
          <w:rtl/>
        </w:rPr>
        <w:t>تهذيب الكمال</w:t>
      </w:r>
      <w:r w:rsidRPr="00AA2B76">
        <w:rPr>
          <w:rtl/>
        </w:rPr>
        <w:t xml:space="preserve"> ، ج 3 ، ص 33 ، الرقم 418.</w:t>
      </w:r>
    </w:p>
    <w:p w:rsidR="00992664" w:rsidRPr="00020424" w:rsidRDefault="00992664" w:rsidP="00AA2B76">
      <w:pPr>
        <w:pStyle w:val="libFootnote0"/>
        <w:rPr>
          <w:rtl/>
          <w:lang w:bidi="fa-IR"/>
        </w:rPr>
      </w:pPr>
      <w:r w:rsidRPr="00AA2B76">
        <w:rPr>
          <w:rtl/>
        </w:rPr>
        <w:t xml:space="preserve">ويؤيّد ذلك أنّ الخبر أورده الشيخ المفيد في </w:t>
      </w:r>
      <w:r w:rsidRPr="0012008A">
        <w:rPr>
          <w:rStyle w:val="libFootnoteBoldChar"/>
          <w:rtl/>
        </w:rPr>
        <w:t>المقنعة</w:t>
      </w:r>
      <w:r w:rsidRPr="00AA2B76">
        <w:rPr>
          <w:rtl/>
        </w:rPr>
        <w:t xml:space="preserve"> ، ص 257 ، قال : « وروى إسماعيل بن مهاجر ، عن رجل من ثقيف ... » ، والظاهر أنّ العنوان في </w:t>
      </w:r>
      <w:r w:rsidRPr="0012008A">
        <w:rPr>
          <w:rStyle w:val="libFootnoteBoldChar"/>
          <w:rtl/>
        </w:rPr>
        <w:t>المقنعة</w:t>
      </w:r>
      <w:r w:rsidRPr="00AA2B76">
        <w:rPr>
          <w:rtl/>
        </w:rPr>
        <w:t xml:space="preserve"> </w:t>
      </w:r>
      <w:r w:rsidR="009B673F" w:rsidRPr="00AA2B76">
        <w:rPr>
          <w:rtl/>
        </w:rPr>
        <w:t>-</w:t>
      </w:r>
      <w:r w:rsidRPr="00AA2B76">
        <w:rPr>
          <w:rtl/>
        </w:rPr>
        <w:t xml:space="preserve"> منسوب إلى الجدّ.</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اسْتَعْمَلَنِي عَلِيُّ بْنُ أَبِي طَالِبٍ </w:t>
      </w:r>
      <w:r w:rsidRPr="00005A81">
        <w:rPr>
          <w:rStyle w:val="libAlaemChar"/>
          <w:rtl/>
        </w:rPr>
        <w:t>عليه‌السلام</w:t>
      </w:r>
      <w:r w:rsidRPr="00020424">
        <w:rPr>
          <w:rtl/>
          <w:lang w:bidi="fa-IR"/>
        </w:rPr>
        <w:t xml:space="preserve"> عَلى </w:t>
      </w:r>
      <w:r w:rsidRPr="00A91B96">
        <w:rPr>
          <w:rStyle w:val="libFootnotenumChar"/>
          <w:rtl/>
        </w:rPr>
        <w:t>(1)</w:t>
      </w:r>
      <w:r w:rsidRPr="00020424">
        <w:rPr>
          <w:rtl/>
          <w:lang w:bidi="fa-IR"/>
        </w:rPr>
        <w:t xml:space="preserve"> بَانِقْيَا </w:t>
      </w:r>
      <w:r w:rsidRPr="00A91B96">
        <w:rPr>
          <w:rStyle w:val="libFootnotenumChar"/>
          <w:rtl/>
        </w:rPr>
        <w:t>(2)</w:t>
      </w:r>
      <w:r w:rsidRPr="00020424">
        <w:rPr>
          <w:rtl/>
          <w:lang w:bidi="fa-IR"/>
        </w:rPr>
        <w:t xml:space="preserve"> وَسَوَادٍ </w:t>
      </w:r>
      <w:r w:rsidRPr="00A91B96">
        <w:rPr>
          <w:rStyle w:val="libFootnotenumChar"/>
          <w:rtl/>
        </w:rPr>
        <w:t>(3)</w:t>
      </w:r>
      <w:r w:rsidRPr="00020424">
        <w:rPr>
          <w:rtl/>
          <w:lang w:bidi="fa-IR"/>
        </w:rPr>
        <w:t xml:space="preserve"> مِنْ سَوَادِ الْكُوفَةِ ، فَقَالَ لِي وَالنَّاسُ حُضُورٌ </w:t>
      </w:r>
      <w:r w:rsidRPr="00A91B96">
        <w:rPr>
          <w:rStyle w:val="libFootnotenumChar"/>
          <w:rtl/>
        </w:rPr>
        <w:t>(4)</w:t>
      </w:r>
      <w:r w:rsidRPr="00020424">
        <w:rPr>
          <w:rtl/>
          <w:lang w:bidi="fa-IR"/>
        </w:rPr>
        <w:t xml:space="preserve"> : « انْظُرْ </w:t>
      </w:r>
      <w:r w:rsidRPr="00A91B96">
        <w:rPr>
          <w:rStyle w:val="libFootnotenumChar"/>
          <w:rtl/>
        </w:rPr>
        <w:t>(5)</w:t>
      </w:r>
      <w:r w:rsidRPr="00020424">
        <w:rPr>
          <w:rtl/>
          <w:lang w:bidi="fa-IR"/>
        </w:rPr>
        <w:t xml:space="preserve"> خَرَاجَكَ </w:t>
      </w:r>
      <w:r w:rsidRPr="00A91B96">
        <w:rPr>
          <w:rStyle w:val="libFootnotenumChar"/>
          <w:rtl/>
        </w:rPr>
        <w:t>(6)</w:t>
      </w:r>
      <w:r w:rsidRPr="00020424">
        <w:rPr>
          <w:rtl/>
          <w:lang w:bidi="fa-IR"/>
        </w:rPr>
        <w:t xml:space="preserve"> ، فَجِدَّ فِيهِ ، وَلَاتَتْرُكْ </w:t>
      </w:r>
      <w:r w:rsidRPr="00A91B96">
        <w:rPr>
          <w:rStyle w:val="libFootnotenumChar"/>
          <w:rtl/>
        </w:rPr>
        <w:t>(7)</w:t>
      </w:r>
      <w:r w:rsidRPr="00020424">
        <w:rPr>
          <w:rtl/>
          <w:lang w:bidi="fa-IR"/>
        </w:rPr>
        <w:t xml:space="preserve"> مِنْهُ دِرْهَماً ، فَإِذَا أَرَدْتَ أَنْ تَتَوَجَّهَ إِلى عَمَلِكَ </w:t>
      </w:r>
      <w:r w:rsidRPr="00A91B96">
        <w:rPr>
          <w:rStyle w:val="libFootnotenumChar"/>
          <w:rtl/>
        </w:rPr>
        <w:t>(8)</w:t>
      </w:r>
      <w:r w:rsidRPr="00020424">
        <w:rPr>
          <w:rtl/>
          <w:lang w:bidi="fa-IR"/>
        </w:rPr>
        <w:t xml:space="preserve"> ، فَمُرَّ بِي</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فَأَتَيْتُهُ ، فَقَالَ لِي </w:t>
      </w:r>
      <w:r w:rsidRPr="00A91B96">
        <w:rPr>
          <w:rStyle w:val="libFootnotenumChar"/>
          <w:rtl/>
        </w:rPr>
        <w:t>(9)</w:t>
      </w:r>
      <w:r w:rsidRPr="00020424">
        <w:rPr>
          <w:rtl/>
          <w:lang w:bidi="fa-IR"/>
        </w:rPr>
        <w:t xml:space="preserve"> : « إِنَّ الَّذِي سَمِعْتَ </w:t>
      </w:r>
      <w:r w:rsidRPr="00A91B96">
        <w:rPr>
          <w:rStyle w:val="libFootnotenumChar"/>
          <w:rtl/>
        </w:rPr>
        <w:t>(10)</w:t>
      </w:r>
      <w:r w:rsidRPr="00020424">
        <w:rPr>
          <w:rtl/>
          <w:lang w:bidi="fa-IR"/>
        </w:rPr>
        <w:t xml:space="preserve"> مِنِّي خُدْعَةٌ ، إِيَّاكَ </w:t>
      </w:r>
      <w:r w:rsidRPr="00A91B96">
        <w:rPr>
          <w:rStyle w:val="libFootnotenumChar"/>
          <w:rtl/>
        </w:rPr>
        <w:t>(11)</w:t>
      </w:r>
      <w:r w:rsidRPr="00020424">
        <w:rPr>
          <w:rtl/>
          <w:lang w:bidi="fa-IR"/>
        </w:rPr>
        <w:t xml:space="preserve"> أَنْ تَضْرِبَ مُسْلِماً ، أَوْ يَهُودِيّاً ، أَوْ نَصْرَانِيّاً فِي دِرْهَمِ خَرَاجٍ ، أَوْ تَبِيعَ دَابَّةَ عَمَلٍ فِي دِرْهَمٍ ؛ فَإِنَّمَا أُمِرْنَا أَنْ نَأْخُذَ مِنْهُمُ الْعَفْوَ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F51043">
        <w:rPr>
          <w:rtl/>
        </w:rPr>
        <w:t xml:space="preserve">في الوافي </w:t>
      </w:r>
      <w:r w:rsidR="00992664" w:rsidRPr="00515444">
        <w:rPr>
          <w:rStyle w:val="libFootnoteBoldChar"/>
          <w:rtl/>
        </w:rPr>
        <w:t>والتهذيب</w:t>
      </w:r>
      <w:r w:rsidR="00992664" w:rsidRPr="00020424">
        <w:rPr>
          <w:rtl/>
        </w:rPr>
        <w:t xml:space="preserve"> : + « باب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 « بانقياد</w:t>
      </w:r>
      <w:r w:rsidR="00992664">
        <w:rPr>
          <w:rtl/>
        </w:rPr>
        <w:t xml:space="preserve"> ».</w:t>
      </w:r>
      <w:r w:rsidR="00992664" w:rsidRPr="00020424">
        <w:rPr>
          <w:rtl/>
        </w:rPr>
        <w:t xml:space="preserve"> وفي </w:t>
      </w:r>
      <w:r w:rsidR="00992664" w:rsidRPr="00187A7E">
        <w:rPr>
          <w:rtl/>
        </w:rPr>
        <w:t>السرائر</w:t>
      </w:r>
      <w:r w:rsidR="00992664" w:rsidRPr="00020424">
        <w:rPr>
          <w:rtl/>
        </w:rPr>
        <w:t xml:space="preserve"> ، ج 1 ، ص 479 : « بانقياء : هي القادسيّة وما والاها وأعمالها ، وإنّما سمّيت قادسيّة بدعوة إبراهيم الخليل </w:t>
      </w:r>
      <w:r w:rsidR="00992664" w:rsidRPr="00D64ADA">
        <w:rPr>
          <w:rStyle w:val="libFootnoteAlaemChar"/>
          <w:rtl/>
        </w:rPr>
        <w:t>عليه‌السلام</w:t>
      </w:r>
      <w:r w:rsidR="00992664" w:rsidRPr="00020424">
        <w:rPr>
          <w:rtl/>
        </w:rPr>
        <w:t xml:space="preserve"> ؛ لأنّه قال : كوني مقدّسة للقادسيّة ، أي مطهّرة من التقديس ، وإنّما سمّيت القادسيّة بانقياء ؛ لأنّ إبراهيم </w:t>
      </w:r>
      <w:r w:rsidR="00992664" w:rsidRPr="00D64ADA">
        <w:rPr>
          <w:rStyle w:val="libFootnoteAlaemChar"/>
          <w:rtl/>
        </w:rPr>
        <w:t>عليه‌السلام</w:t>
      </w:r>
      <w:r w:rsidR="00992664" w:rsidRPr="00020424">
        <w:rPr>
          <w:rtl/>
        </w:rPr>
        <w:t xml:space="preserve"> اشتراها بمائة نعجة من غنمه ؛ لأنّ « با » مائة ، </w:t>
      </w:r>
      <w:r w:rsidR="00992664">
        <w:rPr>
          <w:rtl/>
        </w:rPr>
        <w:t>و «</w:t>
      </w:r>
      <w:r w:rsidR="00992664" w:rsidRPr="00020424">
        <w:rPr>
          <w:rtl/>
        </w:rPr>
        <w:t xml:space="preserve"> نقيا » شاة بلغة النبط. وقد ذكر بانقيا أعشى قيس في شعره وفسّره علماء اللغة وواضعوا كتب الكوفة من أهل السيرة بما ذكرناه</w:t>
      </w:r>
      <w:r w:rsidR="00992664">
        <w:rPr>
          <w:rtl/>
        </w:rPr>
        <w:t xml:space="preserve"> ».</w:t>
      </w:r>
      <w:r w:rsidR="00992664" w:rsidRPr="00020424">
        <w:rPr>
          <w:rtl/>
        </w:rPr>
        <w:t xml:space="preserve"> وللمزيد راجع : </w:t>
      </w:r>
      <w:r w:rsidR="00992664" w:rsidRPr="00187A7E">
        <w:rPr>
          <w:rtl/>
        </w:rPr>
        <w:t>معجم ما استعجم</w:t>
      </w:r>
      <w:r w:rsidR="00992664" w:rsidRPr="00020424">
        <w:rPr>
          <w:rtl/>
        </w:rPr>
        <w:t xml:space="preserve"> ، ج 1 ، ص 222</w:t>
      </w:r>
      <w:r w:rsidR="00992664">
        <w:rPr>
          <w:rtl/>
        </w:rPr>
        <w:t xml:space="preserve"> </w:t>
      </w:r>
      <w:r w:rsidR="009B673F">
        <w:rPr>
          <w:rtl/>
        </w:rPr>
        <w:t>-</w:t>
      </w:r>
      <w:r w:rsidR="00992664">
        <w:rPr>
          <w:rtl/>
        </w:rPr>
        <w:t xml:space="preserve"> </w:t>
      </w:r>
      <w:r w:rsidR="00992664" w:rsidRPr="00020424">
        <w:rPr>
          <w:rtl/>
        </w:rPr>
        <w:t xml:space="preserve">223 ( بانقيا ) ؛ وج 3 ، ص 1041 ( قادس ) ؛ </w:t>
      </w:r>
      <w:r w:rsidR="00992664" w:rsidRPr="00187A7E">
        <w:rPr>
          <w:rtl/>
        </w:rPr>
        <w:t>تاج العروس</w:t>
      </w:r>
      <w:r w:rsidR="00992664" w:rsidRPr="00020424">
        <w:rPr>
          <w:rtl/>
        </w:rPr>
        <w:t xml:space="preserve"> ، ج 10 ، ص 377 ( نقي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 « سواد » بدون الواو. </w:t>
      </w:r>
      <w:r w:rsidR="00992664">
        <w:rPr>
          <w:rtl/>
        </w:rPr>
        <w:t>و «</w:t>
      </w:r>
      <w:r w:rsidR="00992664" w:rsidRPr="00020424">
        <w:rPr>
          <w:rtl/>
        </w:rPr>
        <w:t xml:space="preserve"> السواد » : قرى المدينة ، والعدد الكثير ، وعامّة الناس. راجع : </w:t>
      </w:r>
      <w:r w:rsidR="00992664" w:rsidRPr="00A722B1">
        <w:rPr>
          <w:rStyle w:val="libFootnoteBoldChar"/>
          <w:rtl/>
        </w:rPr>
        <w:t>القاموس المحيط</w:t>
      </w:r>
      <w:r w:rsidR="00992664" w:rsidRPr="00020424">
        <w:rPr>
          <w:rtl/>
        </w:rPr>
        <w:t xml:space="preserve"> ، ج 10 ، ص 424 ( سود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قال </w:t>
      </w:r>
      <w:r w:rsidR="00992664" w:rsidRPr="00D64ADA">
        <w:rPr>
          <w:rStyle w:val="libFootnoteAlaemChar"/>
          <w:rtl/>
        </w:rPr>
        <w:t>عليه‌السلام</w:t>
      </w:r>
      <w:r w:rsidR="00992664" w:rsidRPr="00020424">
        <w:rPr>
          <w:rtl/>
        </w:rPr>
        <w:t xml:space="preserve"> : في حضور الناس ؛ لمصلحة رآها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إلى</w:t>
      </w:r>
      <w:r w:rsidR="00992664">
        <w:rPr>
          <w:rtl/>
        </w:rPr>
        <w:t xml:space="preserve"> ».</w:t>
      </w:r>
    </w:p>
    <w:p w:rsidR="00992664" w:rsidRPr="00020424" w:rsidRDefault="00795177" w:rsidP="00F51043">
      <w:pPr>
        <w:pStyle w:val="libFootnote0"/>
        <w:rPr>
          <w:rtl/>
          <w:lang w:bidi="fa-IR"/>
        </w:rPr>
      </w:pPr>
      <w:r>
        <w:rPr>
          <w:rtl/>
        </w:rPr>
        <w:t>(6).</w:t>
      </w:r>
      <w:r w:rsidR="0014403D">
        <w:rPr>
          <w:rtl/>
        </w:rPr>
        <w:t xml:space="preserve"> </w:t>
      </w:r>
      <w:r w:rsidR="00992664" w:rsidRPr="00020424">
        <w:rPr>
          <w:rtl/>
        </w:rPr>
        <w:t xml:space="preserve">« الخَراج » : ما يخرج من غَلَّة الأرض أو الغلام ، والغلّة : الدَخْل من كِراء دار أو فائدة أرض ونحو ذلك ، ثمّ سمّي الإتاوة خراجاً ، وهو ما يأخذه السلطان من أموال الناس. راجع : </w:t>
      </w:r>
      <w:r w:rsidR="00992664" w:rsidRPr="00187A7E">
        <w:rPr>
          <w:rtl/>
        </w:rPr>
        <w:t>المغرب</w:t>
      </w:r>
      <w:r w:rsidR="00992664" w:rsidRPr="00020424">
        <w:rPr>
          <w:rtl/>
        </w:rPr>
        <w:t xml:space="preserve"> ، ص 141 ؛ </w:t>
      </w:r>
      <w:r w:rsidR="00992664" w:rsidRPr="00A722B1">
        <w:rPr>
          <w:rStyle w:val="libFootnoteBoldChar"/>
          <w:rtl/>
        </w:rPr>
        <w:t>لسان العرب</w:t>
      </w:r>
      <w:r w:rsidR="00992664" w:rsidRPr="00020424">
        <w:rPr>
          <w:rtl/>
        </w:rPr>
        <w:t xml:space="preserve"> ، ج 2 ، ص 251 ( خرج )</w:t>
      </w:r>
      <w:r w:rsidR="00992664">
        <w:rPr>
          <w:rtl/>
        </w:rPr>
        <w:t>.</w:t>
      </w:r>
      <w:r w:rsidR="00F51043">
        <w:rPr>
          <w:rFonts w:hint="cs"/>
          <w:rtl/>
        </w:rPr>
        <w:t xml:space="preserve">                                    </w:t>
      </w:r>
      <w:r w:rsidR="00B50394">
        <w:rPr>
          <w:rFonts w:hint="cs"/>
          <w:rtl/>
        </w:rPr>
        <w:t xml:space="preserve"> </w:t>
      </w:r>
      <w:r w:rsidR="00F51043">
        <w:rPr>
          <w:rFonts w:hint="cs"/>
          <w:rtl/>
        </w:rPr>
        <w:t xml:space="preserve">      </w:t>
      </w:r>
      <w:r>
        <w:rPr>
          <w:rtl/>
        </w:rPr>
        <w:t>(7).</w:t>
      </w:r>
      <w:r w:rsidR="0014403D">
        <w:rPr>
          <w:rtl/>
        </w:rPr>
        <w:t xml:space="preserve"> </w:t>
      </w:r>
      <w:r w:rsidR="00992664" w:rsidRPr="00020424">
        <w:rPr>
          <w:rtl/>
        </w:rPr>
        <w:t>في « بح » : « فلا تترك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51043" w:rsidTr="00F51043">
        <w:tc>
          <w:tcPr>
            <w:tcW w:w="4006" w:type="dxa"/>
          </w:tcPr>
          <w:p w:rsidR="00F51043" w:rsidRDefault="00F51043" w:rsidP="00992664">
            <w:pPr>
              <w:pStyle w:val="libFootnote0"/>
              <w:rPr>
                <w:rtl/>
              </w:rPr>
            </w:pPr>
            <w:r>
              <w:rPr>
                <w:rtl/>
              </w:rPr>
              <w:t xml:space="preserve">(8). </w:t>
            </w:r>
            <w:r w:rsidRPr="00020424">
              <w:rPr>
                <w:rtl/>
              </w:rPr>
              <w:t>في « ظ » :</w:t>
            </w:r>
            <w:r>
              <w:rPr>
                <w:rtl/>
              </w:rPr>
              <w:t xml:space="preserve"> - </w:t>
            </w:r>
            <w:r w:rsidRPr="00020424">
              <w:rPr>
                <w:rtl/>
              </w:rPr>
              <w:t>« إلى عملك</w:t>
            </w:r>
            <w:r>
              <w:rPr>
                <w:rtl/>
              </w:rPr>
              <w:t xml:space="preserve"> ».</w:t>
            </w:r>
          </w:p>
        </w:tc>
        <w:tc>
          <w:tcPr>
            <w:tcW w:w="4006" w:type="dxa"/>
          </w:tcPr>
          <w:p w:rsidR="00F51043" w:rsidRDefault="00F51043" w:rsidP="00992664">
            <w:pPr>
              <w:pStyle w:val="libFootnote0"/>
              <w:rPr>
                <w:rtl/>
              </w:rPr>
            </w:pPr>
            <w:r>
              <w:rPr>
                <w:rtl/>
              </w:rPr>
              <w:t xml:space="preserve">(9). </w:t>
            </w:r>
            <w:r w:rsidRPr="00020424">
              <w:rPr>
                <w:rtl/>
              </w:rPr>
              <w:t>في « بح » :</w:t>
            </w:r>
            <w:r>
              <w:rPr>
                <w:rtl/>
              </w:rPr>
              <w:t xml:space="preserve"> - </w:t>
            </w:r>
            <w:r w:rsidRPr="00020424">
              <w:rPr>
                <w:rtl/>
              </w:rPr>
              <w:t>« لي</w:t>
            </w:r>
            <w:r>
              <w:rPr>
                <w:rtl/>
              </w:rPr>
              <w:t xml:space="preserve"> ».</w:t>
            </w:r>
          </w:p>
        </w:tc>
      </w:tr>
      <w:tr w:rsidR="00F51043" w:rsidTr="00F51043">
        <w:tc>
          <w:tcPr>
            <w:tcW w:w="4006" w:type="dxa"/>
          </w:tcPr>
          <w:p w:rsidR="00F51043" w:rsidRDefault="00F51043" w:rsidP="00992664">
            <w:pPr>
              <w:pStyle w:val="libFootnote0"/>
              <w:rPr>
                <w:rtl/>
              </w:rPr>
            </w:pPr>
            <w:r>
              <w:rPr>
                <w:rtl/>
              </w:rPr>
              <w:t xml:space="preserve">(10). </w:t>
            </w:r>
            <w:r w:rsidRPr="00282BF1">
              <w:rPr>
                <w:rtl/>
              </w:rPr>
              <w:t xml:space="preserve">في الوسائل </w:t>
            </w:r>
            <w:r w:rsidRPr="00515444">
              <w:rPr>
                <w:rStyle w:val="libFootnoteBoldChar"/>
                <w:rtl/>
              </w:rPr>
              <w:t>والتهذيب</w:t>
            </w:r>
            <w:r w:rsidRPr="00282BF1">
              <w:rPr>
                <w:rtl/>
              </w:rPr>
              <w:t xml:space="preserve"> </w:t>
            </w:r>
            <w:r w:rsidRPr="00FD6221">
              <w:rPr>
                <w:rStyle w:val="libFootnoteBoldChar"/>
                <w:rtl/>
              </w:rPr>
              <w:t>والفقيه</w:t>
            </w:r>
            <w:r w:rsidRPr="00282BF1">
              <w:rPr>
                <w:rtl/>
              </w:rPr>
              <w:t xml:space="preserve"> : «</w:t>
            </w:r>
            <w:r w:rsidRPr="00020424">
              <w:rPr>
                <w:rtl/>
              </w:rPr>
              <w:t xml:space="preserve"> سمعته</w:t>
            </w:r>
            <w:r>
              <w:rPr>
                <w:rtl/>
              </w:rPr>
              <w:t xml:space="preserve"> ».</w:t>
            </w:r>
          </w:p>
        </w:tc>
        <w:tc>
          <w:tcPr>
            <w:tcW w:w="4006" w:type="dxa"/>
          </w:tcPr>
          <w:p w:rsidR="00F51043" w:rsidRDefault="00F51043" w:rsidP="00992664">
            <w:pPr>
              <w:pStyle w:val="libFootnote0"/>
              <w:rPr>
                <w:rtl/>
              </w:rPr>
            </w:pPr>
            <w:r>
              <w:rPr>
                <w:rtl/>
              </w:rPr>
              <w:t xml:space="preserve">(11). </w:t>
            </w:r>
            <w:r w:rsidRPr="00020424">
              <w:rPr>
                <w:rtl/>
              </w:rPr>
              <w:t xml:space="preserve">في </w:t>
            </w:r>
            <w:r w:rsidRPr="0012008A">
              <w:rPr>
                <w:rStyle w:val="libFootnoteBoldChar"/>
                <w:rtl/>
              </w:rPr>
              <w:t>التهذيب</w:t>
            </w:r>
            <w:r w:rsidRPr="00020424">
              <w:rPr>
                <w:rtl/>
              </w:rPr>
              <w:t xml:space="preserve"> : « وإيّاك</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العَفْو » : السهل المتيسّر ، والفضل الذي يجي‌ء بغير كُلْفة ومشقّة ، والمعنى : نقبل منهم ما سهل وتيسّر ولا نستقصي عليهم. راجع : </w:t>
      </w:r>
      <w:r w:rsidR="00992664" w:rsidRPr="00A722B1">
        <w:rPr>
          <w:rStyle w:val="libFootnoteBoldChar"/>
          <w:rtl/>
        </w:rPr>
        <w:t>لسان العرب</w:t>
      </w:r>
      <w:r w:rsidR="00992664" w:rsidRPr="00020424">
        <w:rPr>
          <w:rtl/>
        </w:rPr>
        <w:t xml:space="preserve"> ، ج 15 ، ص 74</w:t>
      </w:r>
      <w:r w:rsidR="00992664">
        <w:rPr>
          <w:rtl/>
        </w:rPr>
        <w:t xml:space="preserve"> </w:t>
      </w:r>
      <w:r w:rsidR="009B673F">
        <w:rPr>
          <w:rtl/>
        </w:rPr>
        <w:t>-</w:t>
      </w:r>
      <w:r w:rsidR="00992664">
        <w:rPr>
          <w:rtl/>
        </w:rPr>
        <w:t xml:space="preserve"> </w:t>
      </w:r>
      <w:r w:rsidR="00992664" w:rsidRPr="00020424">
        <w:rPr>
          <w:rtl/>
        </w:rPr>
        <w:t>75 ( عفا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98 ، ح 275 ، معلّقاً عن الكليني. </w:t>
      </w:r>
      <w:r w:rsidR="00992664" w:rsidRPr="0012008A">
        <w:rPr>
          <w:rStyle w:val="libFootnoteBoldChar"/>
          <w:rtl/>
        </w:rPr>
        <w:t>المقنعة</w:t>
      </w:r>
      <w:r w:rsidR="00992664" w:rsidRPr="00020424">
        <w:rPr>
          <w:rtl/>
        </w:rPr>
        <w:t xml:space="preserve"> ، ص 257 ، مرسلاً عن إسماعيل بن مهاجر ، عن رجل من ثقيف ؛ </w:t>
      </w:r>
      <w:r w:rsidR="00992664" w:rsidRPr="0012008A">
        <w:rPr>
          <w:rStyle w:val="libFootnoteBoldChar"/>
          <w:rtl/>
        </w:rPr>
        <w:t>الفقيه</w:t>
      </w:r>
      <w:r w:rsidR="00992664" w:rsidRPr="00020424">
        <w:rPr>
          <w:rtl/>
        </w:rPr>
        <w:t xml:space="preserve"> ، ج 2 ، ص 24 ، ح 1605 ، مرسلاً عن رجل من ثقيف ، وفي الأخيرين مع اختلاف يسير </w:t>
      </w:r>
      <w:r w:rsidR="00282BF1">
        <w:rPr>
          <w:rFonts w:hint="cs"/>
          <w:rtl/>
        </w:rPr>
        <w:t>.</w:t>
      </w:r>
      <w:r w:rsidR="00992664" w:rsidRPr="0012008A">
        <w:rPr>
          <w:rStyle w:val="libFootnoteBoldChar"/>
          <w:rtl/>
        </w:rPr>
        <w:t>الوافي</w:t>
      </w:r>
      <w:r w:rsidR="00992664" w:rsidRPr="00020424">
        <w:rPr>
          <w:rtl/>
        </w:rPr>
        <w:t xml:space="preserve"> ، ج 10 ، ص 157 ، ح 9346 ؛ </w:t>
      </w:r>
      <w:r w:rsidR="00992664" w:rsidRPr="0012008A">
        <w:rPr>
          <w:rStyle w:val="libFootnoteBoldChar"/>
          <w:rtl/>
        </w:rPr>
        <w:t>الوسائل</w:t>
      </w:r>
      <w:r w:rsidR="00992664" w:rsidRPr="00020424">
        <w:rPr>
          <w:rtl/>
        </w:rPr>
        <w:t xml:space="preserve"> ، ج 9 ، ص 132 ، ح 11683 ؛ </w:t>
      </w:r>
      <w:r w:rsidR="00992664" w:rsidRPr="0012008A">
        <w:rPr>
          <w:rStyle w:val="libFootnoteBoldChar"/>
          <w:rtl/>
        </w:rPr>
        <w:t>البحار</w:t>
      </w:r>
      <w:r w:rsidR="00992664" w:rsidRPr="00020424">
        <w:rPr>
          <w:rtl/>
        </w:rPr>
        <w:t xml:space="preserve"> ، ج 41 ، ص 128 ، ح 37.</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81" w:name="_Toc345172743"/>
      <w:bookmarkStart w:id="82" w:name="_Toc464562560"/>
      <w:bookmarkStart w:id="83" w:name="_Toc44599863"/>
      <w:r w:rsidRPr="00020424">
        <w:rPr>
          <w:rtl/>
          <w:lang w:bidi="fa-IR"/>
        </w:rPr>
        <w:lastRenderedPageBreak/>
        <w:t>23</w:t>
      </w:r>
      <w:r>
        <w:rPr>
          <w:rtl/>
          <w:lang w:bidi="fa-IR"/>
        </w:rPr>
        <w:t xml:space="preserve"> </w:t>
      </w:r>
      <w:r w:rsidR="009B673F">
        <w:rPr>
          <w:rtl/>
          <w:lang w:bidi="fa-IR"/>
        </w:rPr>
        <w:t>-</w:t>
      </w:r>
      <w:r>
        <w:rPr>
          <w:rtl/>
          <w:lang w:bidi="fa-IR"/>
        </w:rPr>
        <w:t xml:space="preserve"> </w:t>
      </w:r>
      <w:r w:rsidRPr="00020424">
        <w:rPr>
          <w:rtl/>
          <w:lang w:bidi="fa-IR"/>
        </w:rPr>
        <w:t>بَابُ زَكَاةِ مَالِ الْيَتِيمِ‌</w:t>
      </w:r>
      <w:bookmarkEnd w:id="81"/>
      <w:bookmarkEnd w:id="82"/>
      <w:bookmarkEnd w:id="83"/>
    </w:p>
    <w:p w:rsidR="00AC14AD" w:rsidRDefault="00992664" w:rsidP="00AC14AD">
      <w:pPr>
        <w:pStyle w:val="libNormal"/>
        <w:rPr>
          <w:rtl/>
          <w:lang w:bidi="fa-IR"/>
        </w:rPr>
      </w:pPr>
      <w:r w:rsidRPr="00187A7E">
        <w:rPr>
          <w:rtl/>
        </w:rPr>
        <w:t>5874</w:t>
      </w:r>
      <w:r w:rsidRPr="001155DE">
        <w:rPr>
          <w:rStyle w:val="libBold2Char"/>
          <w:rtl/>
        </w:rPr>
        <w:t xml:space="preserve"> / 1.</w:t>
      </w:r>
      <w:r w:rsidRPr="00020424">
        <w:rPr>
          <w:rtl/>
          <w:lang w:bidi="fa-IR"/>
        </w:rPr>
        <w:t xml:space="preserve"> عَلِيُّ بْنُ إِبْرَاهِيمَ </w:t>
      </w:r>
      <w:r w:rsidRPr="00A91B96">
        <w:rPr>
          <w:rStyle w:val="libFootnotenumChar"/>
          <w:rtl/>
        </w:rPr>
        <w:t>(1)</w:t>
      </w:r>
      <w:r w:rsidRPr="00020424">
        <w:rPr>
          <w:rtl/>
          <w:lang w:bidi="fa-IR"/>
        </w:rPr>
        <w:t xml:space="preserve"> ، عَنْ أَبِيهِ ؛</w:t>
      </w:r>
    </w:p>
    <w:p w:rsidR="00992664" w:rsidRPr="00020424" w:rsidRDefault="00992664" w:rsidP="00AC14AD">
      <w:pPr>
        <w:pStyle w:val="libNormal"/>
        <w:rPr>
          <w:rtl/>
          <w:lang w:bidi="fa-IR"/>
        </w:rPr>
      </w:pPr>
      <w:r w:rsidRPr="00020424">
        <w:rPr>
          <w:rtl/>
          <w:lang w:bidi="fa-IR"/>
        </w:rPr>
        <w:t xml:space="preserve">وَمُحَمَّدُ بْنُ يَحْيى ، عَنْ أَحْمَدَ بْنِ مُحَمَّدٍ جَمِيعاً ، عَنِ ابْنِ أَبِي عُمَيْرٍ ، عَنْ حَمَّادِ بْنِ عُثْمَانَ </w:t>
      </w:r>
      <w:r w:rsidRPr="00A91B96">
        <w:rPr>
          <w:rStyle w:val="libFootnotenumChar"/>
          <w:rtl/>
        </w:rPr>
        <w:t>(2)</w:t>
      </w:r>
      <w:r w:rsidRPr="00020424">
        <w:rPr>
          <w:rtl/>
          <w:lang w:bidi="fa-IR"/>
        </w:rPr>
        <w:t xml:space="preserve">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فِي مَالِ الْيَتِيمِ عَلَيْهِ زَكَاةٌ</w:t>
      </w:r>
      <w:r>
        <w:rPr>
          <w:rtl/>
          <w:lang w:bidi="fa-IR"/>
        </w:rPr>
        <w:t>؟</w:t>
      </w:r>
    </w:p>
    <w:p w:rsidR="00992664" w:rsidRPr="00020424" w:rsidRDefault="00992664" w:rsidP="00992664">
      <w:pPr>
        <w:pStyle w:val="libNormal"/>
        <w:rPr>
          <w:rtl/>
          <w:lang w:bidi="fa-IR"/>
        </w:rPr>
      </w:pPr>
      <w:r w:rsidRPr="00020424">
        <w:rPr>
          <w:rtl/>
          <w:lang w:bidi="fa-IR"/>
        </w:rPr>
        <w:t xml:space="preserve">فَقَالَ : « إِذَا كَانَ مَوْضُوعاً ، فَلَيْسَ عَلَيْهِ زَكَاةٌ ، وَإِذَا </w:t>
      </w:r>
      <w:r w:rsidRPr="00A91B96">
        <w:rPr>
          <w:rStyle w:val="libFootnotenumChar"/>
          <w:rtl/>
        </w:rPr>
        <w:t>(4)</w:t>
      </w:r>
      <w:r w:rsidRPr="00020424">
        <w:rPr>
          <w:rtl/>
          <w:lang w:bidi="fa-IR"/>
        </w:rPr>
        <w:t xml:space="preserve"> عَمِلْتَ بِهِ ، فَأَنْتَ لَهُ </w:t>
      </w:r>
      <w:r w:rsidRPr="00A91B96">
        <w:rPr>
          <w:rStyle w:val="libFootnotenumChar"/>
          <w:rtl/>
        </w:rPr>
        <w:t>(5)</w:t>
      </w:r>
      <w:r w:rsidRPr="00020424">
        <w:rPr>
          <w:rtl/>
          <w:lang w:bidi="fa-IR"/>
        </w:rPr>
        <w:t xml:space="preserve"> ضَامِنٌ ، وَالرِّبْحُ لِلْيَتِيمِ</w:t>
      </w:r>
      <w:r>
        <w:rPr>
          <w:rtl/>
          <w:lang w:bidi="fa-IR"/>
        </w:rPr>
        <w:t xml:space="preserve"> ».</w:t>
      </w:r>
      <w:r w:rsidRPr="00020424">
        <w:rPr>
          <w:rtl/>
          <w:lang w:bidi="fa-IR"/>
        </w:rPr>
        <w:t xml:space="preserve"> </w:t>
      </w:r>
      <w:r w:rsidRPr="00A91B96">
        <w:rPr>
          <w:rStyle w:val="libFootnotenumChar"/>
          <w:rtl/>
        </w:rPr>
        <w:t>(6)</w:t>
      </w:r>
    </w:p>
    <w:p w:rsidR="00BE05E6" w:rsidRDefault="00992664" w:rsidP="00BE05E6">
      <w:pPr>
        <w:pStyle w:val="libNormal"/>
        <w:rPr>
          <w:rtl/>
          <w:lang w:bidi="fa-IR"/>
        </w:rPr>
      </w:pPr>
      <w:r w:rsidRPr="00187A7E">
        <w:rPr>
          <w:rtl/>
        </w:rPr>
        <w:t>5875</w:t>
      </w:r>
      <w:r w:rsidRPr="001155DE">
        <w:rPr>
          <w:rStyle w:val="libBold2Char"/>
          <w:rtl/>
        </w:rPr>
        <w:t xml:space="preserve"> / 2.</w:t>
      </w:r>
      <w:r w:rsidRPr="00020424">
        <w:rPr>
          <w:rtl/>
          <w:lang w:bidi="fa-IR"/>
        </w:rPr>
        <w:t xml:space="preserve"> مُحَمَّدُ بْنُ إِسْمَاعِيلَ ، عَنِ الْفَضْلِ بْنِ شَاذَانَ ؛</w:t>
      </w:r>
    </w:p>
    <w:p w:rsidR="00992664" w:rsidRPr="00020424" w:rsidRDefault="00992664" w:rsidP="00BE05E6">
      <w:pPr>
        <w:pStyle w:val="libNormal"/>
        <w:rPr>
          <w:rtl/>
          <w:lang w:bidi="fa-IR"/>
        </w:rPr>
      </w:pPr>
      <w:r w:rsidRPr="00020424">
        <w:rPr>
          <w:rtl/>
          <w:lang w:bidi="fa-IR"/>
        </w:rPr>
        <w:t xml:space="preserve">وَأَحْمَدُ بْنُ إِدْرِيسَ ، عَنْ مُحَمَّدِ بْنِ عَبْدِ الْجَبَّارِ جَمِيعاً ، عَنْ صَفْوَانَ بْنِ يَحْيى ، عَنْ إِسْحَاقَ بْنِ عَمَّارٍ ، عَنْ أَبِي الْعُطَارِدِ الْحَنَّاطِ </w:t>
      </w:r>
      <w:r w:rsidRPr="00A91B96">
        <w:rPr>
          <w:rStyle w:val="libFootnotenumChar"/>
          <w:rtl/>
        </w:rPr>
        <w:t>(7)</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مَالُ الْيَتِيمِ يَكُونُ </w:t>
      </w:r>
      <w:r w:rsidRPr="00A91B96">
        <w:rPr>
          <w:rStyle w:val="libFootnotenumChar"/>
          <w:rtl/>
        </w:rPr>
        <w:t>(8)</w:t>
      </w:r>
      <w:r w:rsidRPr="00020424">
        <w:rPr>
          <w:rtl/>
          <w:lang w:bidi="fa-IR"/>
        </w:rPr>
        <w:t xml:space="preserve"> عِنْدِي ، فَأَتَّجِرُ بِهِ.</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(9)</w:t>
      </w:r>
      <w:r w:rsidRPr="00020424">
        <w:rPr>
          <w:rtl/>
          <w:lang w:bidi="fa-IR"/>
        </w:rPr>
        <w:t xml:space="preserve"> : « إِذَا حَرَّكْتَهُ ، فَعَلَيْكَ زَكَاتُهُ </w:t>
      </w:r>
      <w:r w:rsidRPr="00A91B96">
        <w:rPr>
          <w:rStyle w:val="libFootnotenumChar"/>
          <w:rtl/>
        </w:rPr>
        <w:t>(10)</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12A4D" w:rsidTr="00412A4D">
        <w:tc>
          <w:tcPr>
            <w:tcW w:w="4006" w:type="dxa"/>
          </w:tcPr>
          <w:p w:rsidR="00412A4D" w:rsidRDefault="00412A4D" w:rsidP="00992664">
            <w:pPr>
              <w:pStyle w:val="libFootnote0"/>
              <w:rPr>
                <w:rtl/>
              </w:rPr>
            </w:pPr>
            <w:r>
              <w:rPr>
                <w:rtl/>
              </w:rPr>
              <w:t xml:space="preserve">(1). </w:t>
            </w:r>
            <w:r w:rsidRPr="00020424">
              <w:rPr>
                <w:rtl/>
              </w:rPr>
              <w:t>في « بخ ، بف » :</w:t>
            </w:r>
            <w:r>
              <w:rPr>
                <w:rtl/>
              </w:rPr>
              <w:t xml:space="preserve"> - </w:t>
            </w:r>
            <w:r w:rsidRPr="00020424">
              <w:rPr>
                <w:rtl/>
              </w:rPr>
              <w:t>« بن إبراهيم</w:t>
            </w:r>
            <w:r>
              <w:rPr>
                <w:rtl/>
              </w:rPr>
              <w:t xml:space="preserve"> ».</w:t>
            </w:r>
          </w:p>
        </w:tc>
        <w:tc>
          <w:tcPr>
            <w:tcW w:w="4006" w:type="dxa"/>
          </w:tcPr>
          <w:p w:rsidR="00412A4D" w:rsidRDefault="00412A4D" w:rsidP="00992664">
            <w:pPr>
              <w:pStyle w:val="libFootnote0"/>
              <w:rPr>
                <w:rtl/>
              </w:rPr>
            </w:pPr>
            <w:r>
              <w:rPr>
                <w:rtl/>
              </w:rPr>
              <w:t xml:space="preserve">(2). </w:t>
            </w:r>
            <w:r w:rsidRPr="00020424">
              <w:rPr>
                <w:rtl/>
              </w:rPr>
              <w:t xml:space="preserve">في « بر ، بف » </w:t>
            </w:r>
            <w:r w:rsidRPr="00515444">
              <w:rPr>
                <w:rStyle w:val="libFootnoteBoldChar"/>
                <w:rtl/>
              </w:rPr>
              <w:t>والتهذيب</w:t>
            </w:r>
            <w:r w:rsidRPr="00020424">
              <w:rPr>
                <w:rtl/>
              </w:rPr>
              <w:t xml:space="preserve"> :</w:t>
            </w:r>
            <w:r>
              <w:rPr>
                <w:rtl/>
              </w:rPr>
              <w:t xml:space="preserve"> - </w:t>
            </w:r>
            <w:r w:rsidRPr="00020424">
              <w:rPr>
                <w:rtl/>
              </w:rPr>
              <w:t>« بن عثمان</w:t>
            </w:r>
            <w:r>
              <w:rPr>
                <w:rtl/>
              </w:rPr>
              <w:t xml:space="preserve"> ».</w:t>
            </w:r>
          </w:p>
        </w:tc>
      </w:tr>
      <w:tr w:rsidR="00412A4D" w:rsidTr="00412A4D">
        <w:tc>
          <w:tcPr>
            <w:tcW w:w="4006" w:type="dxa"/>
          </w:tcPr>
          <w:p w:rsidR="00412A4D" w:rsidRDefault="00412A4D" w:rsidP="00992664">
            <w:pPr>
              <w:pStyle w:val="libFootnote0"/>
              <w:rPr>
                <w:rtl/>
              </w:rPr>
            </w:pPr>
            <w:r>
              <w:rPr>
                <w:rtl/>
              </w:rPr>
              <w:t xml:space="preserve">(3). </w:t>
            </w:r>
            <w:r w:rsidRPr="00020424">
              <w:rPr>
                <w:rtl/>
              </w:rPr>
              <w:t xml:space="preserve">في </w:t>
            </w:r>
            <w:r w:rsidRPr="0012008A">
              <w:rPr>
                <w:rStyle w:val="libFootnoteBoldChar"/>
                <w:rtl/>
              </w:rPr>
              <w:t>التهذيب</w:t>
            </w:r>
            <w:r w:rsidRPr="00020424">
              <w:rPr>
                <w:rtl/>
              </w:rPr>
              <w:t xml:space="preserve"> : + « قال : قلت له</w:t>
            </w:r>
            <w:r>
              <w:rPr>
                <w:rtl/>
              </w:rPr>
              <w:t xml:space="preserve"> ».</w:t>
            </w:r>
          </w:p>
        </w:tc>
        <w:tc>
          <w:tcPr>
            <w:tcW w:w="4006" w:type="dxa"/>
          </w:tcPr>
          <w:p w:rsidR="00412A4D" w:rsidRDefault="00D73077" w:rsidP="00992664">
            <w:pPr>
              <w:pStyle w:val="libFootnote0"/>
              <w:rPr>
                <w:rtl/>
              </w:rPr>
            </w:pPr>
            <w:r>
              <w:rPr>
                <w:rtl/>
              </w:rPr>
              <w:t xml:space="preserve">(4). </w:t>
            </w:r>
            <w:r w:rsidRPr="00020424">
              <w:rPr>
                <w:rtl/>
              </w:rPr>
              <w:t xml:space="preserve">في « </w:t>
            </w:r>
            <w:r w:rsidRPr="0033500E">
              <w:rPr>
                <w:rtl/>
              </w:rPr>
              <w:t xml:space="preserve">بس » </w:t>
            </w:r>
            <w:r w:rsidRPr="00EB1FD9">
              <w:rPr>
                <w:rStyle w:val="libFootnoteBoldChar"/>
                <w:rtl/>
              </w:rPr>
              <w:t>والوسائل</w:t>
            </w:r>
            <w:r w:rsidRPr="0033500E">
              <w:rPr>
                <w:rtl/>
              </w:rPr>
              <w:t xml:space="preserve"> </w:t>
            </w:r>
            <w:r w:rsidRPr="00515444">
              <w:rPr>
                <w:rStyle w:val="libFootnoteBoldChar"/>
                <w:rtl/>
              </w:rPr>
              <w:t>والتهذيب</w:t>
            </w:r>
            <w:r w:rsidRPr="00020424">
              <w:rPr>
                <w:rtl/>
              </w:rPr>
              <w:t xml:space="preserve"> : « فإذا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BE399B">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26 ، ح 60 ، معلّقاً عن الكليني</w:t>
      </w:r>
      <w:r w:rsidR="000B4CDB">
        <w:rPr>
          <w:rFonts w:hint="cs"/>
          <w:rtl/>
        </w:rPr>
        <w:t xml:space="preserve"> </w:t>
      </w:r>
      <w:r w:rsidR="00BE399B">
        <w:rPr>
          <w:rFonts w:hint="cs"/>
          <w:rtl/>
        </w:rPr>
        <w:t>.</w:t>
      </w:r>
      <w:r w:rsidR="00992664" w:rsidRPr="0012008A">
        <w:rPr>
          <w:rStyle w:val="libFootnoteBoldChar"/>
          <w:rtl/>
        </w:rPr>
        <w:t>الوافي</w:t>
      </w:r>
      <w:r w:rsidR="00992664" w:rsidRPr="00020424">
        <w:rPr>
          <w:rtl/>
        </w:rPr>
        <w:t xml:space="preserve"> ، ج 10 ، ص 123 ، ح 9281 ؛ </w:t>
      </w:r>
      <w:r w:rsidR="00992664" w:rsidRPr="0012008A">
        <w:rPr>
          <w:rStyle w:val="libFootnoteBoldChar"/>
          <w:rtl/>
        </w:rPr>
        <w:t>الوسائل</w:t>
      </w:r>
      <w:r w:rsidR="00992664" w:rsidRPr="00020424">
        <w:rPr>
          <w:rtl/>
        </w:rPr>
        <w:t xml:space="preserve"> ، ج 9 ، ص 83 ، ح 11575.</w:t>
      </w:r>
    </w:p>
    <w:p w:rsidR="00992664" w:rsidRPr="00020424" w:rsidRDefault="00795177" w:rsidP="000B4CDB">
      <w:pPr>
        <w:pStyle w:val="libFootnote0"/>
        <w:rPr>
          <w:rtl/>
          <w:lang w:bidi="fa-IR"/>
        </w:rPr>
      </w:pPr>
      <w:r>
        <w:rPr>
          <w:rtl/>
        </w:rPr>
        <w:t>(7).</w:t>
      </w:r>
      <w:r w:rsidR="0014403D">
        <w:rPr>
          <w:rtl/>
        </w:rPr>
        <w:t xml:space="preserve"> </w:t>
      </w:r>
      <w:r w:rsidR="000B4CDB">
        <w:rPr>
          <w:rtl/>
        </w:rPr>
        <w:t>هكذا نقله العل</w:t>
      </w:r>
      <w:r w:rsidR="000B4CDB">
        <w:rPr>
          <w:rFonts w:hint="cs"/>
          <w:rtl/>
        </w:rPr>
        <w:t>ّ</w:t>
      </w:r>
      <w:r w:rsidR="000B4CDB">
        <w:rPr>
          <w:rtl/>
        </w:rPr>
        <w:t>ا</w:t>
      </w:r>
      <w:r w:rsidR="00992664" w:rsidRPr="00020424">
        <w:rPr>
          <w:rtl/>
        </w:rPr>
        <w:t>مة الخبير السيّد موسى الشبيري</w:t>
      </w:r>
      <w:r w:rsidR="00992664">
        <w:rPr>
          <w:rtl/>
        </w:rPr>
        <w:t xml:space="preserve"> </w:t>
      </w:r>
      <w:r w:rsidR="009B673F">
        <w:rPr>
          <w:rtl/>
        </w:rPr>
        <w:t>-</w:t>
      </w:r>
      <w:r w:rsidR="00992664">
        <w:rPr>
          <w:rtl/>
        </w:rPr>
        <w:t xml:space="preserve"> </w:t>
      </w:r>
      <w:r w:rsidR="00992664" w:rsidRPr="00020424">
        <w:rPr>
          <w:rtl/>
        </w:rPr>
        <w:t>دام ظلّه</w:t>
      </w:r>
      <w:r w:rsidR="00992664">
        <w:rPr>
          <w:rtl/>
        </w:rPr>
        <w:t xml:space="preserve"> </w:t>
      </w:r>
      <w:r w:rsidR="009B673F">
        <w:rPr>
          <w:rtl/>
        </w:rPr>
        <w:t>-</w:t>
      </w:r>
      <w:r w:rsidR="00992664">
        <w:rPr>
          <w:rtl/>
        </w:rPr>
        <w:t xml:space="preserve"> </w:t>
      </w:r>
      <w:r w:rsidR="00992664" w:rsidRPr="00020424">
        <w:rPr>
          <w:rtl/>
        </w:rPr>
        <w:t>من نسخة رمز عنها</w:t>
      </w:r>
      <w:r w:rsidR="00992664">
        <w:rPr>
          <w:rtl/>
        </w:rPr>
        <w:t xml:space="preserve"> ب</w:t>
      </w:r>
      <w:r w:rsidR="000B4CDB">
        <w:rPr>
          <w:rFonts w:hint="cs"/>
          <w:rtl/>
        </w:rPr>
        <w:t>ـ</w:t>
      </w:r>
      <w:r w:rsidR="00992664">
        <w:rPr>
          <w:rtl/>
        </w:rPr>
        <w:t xml:space="preserve"> </w:t>
      </w:r>
      <w:r w:rsidR="00992664" w:rsidRPr="00020424">
        <w:rPr>
          <w:rtl/>
        </w:rPr>
        <w:t>« خ</w:t>
      </w:r>
      <w:r w:rsidR="00992664">
        <w:rPr>
          <w:rtl/>
        </w:rPr>
        <w:t xml:space="preserve"> ».</w:t>
      </w:r>
      <w:r w:rsidR="00992664" w:rsidRPr="00020424">
        <w:rPr>
          <w:rtl/>
        </w:rPr>
        <w:t xml:space="preserve"> وكذا 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والخبر مأخوذ من </w:t>
      </w:r>
      <w:r w:rsidR="00992664" w:rsidRPr="00D742B9">
        <w:rPr>
          <w:rtl/>
        </w:rPr>
        <w:t>الكافي</w:t>
      </w:r>
      <w:r w:rsidR="00992664" w:rsidRPr="00020424">
        <w:rPr>
          <w:rtl/>
        </w:rPr>
        <w:t xml:space="preserve"> بلا ريبٍ وإن لم يصرّح الشيخ باسم المصنّف. وفي « ظ ، ى ، بث ، بح ، بر ، بس ، بف ، جر ، جن » والمطبوع : « الخيّاط</w:t>
      </w:r>
      <w:r w:rsidR="00992664">
        <w:rPr>
          <w:rtl/>
        </w:rPr>
        <w:t xml:space="preserve"> ».</w:t>
      </w:r>
    </w:p>
    <w:p w:rsidR="00992664" w:rsidRPr="00020424" w:rsidRDefault="00992664" w:rsidP="00454B20">
      <w:pPr>
        <w:pStyle w:val="libFootnote0"/>
        <w:rPr>
          <w:rtl/>
          <w:lang w:bidi="fa-IR"/>
        </w:rPr>
      </w:pPr>
      <w:r w:rsidRPr="00454B20">
        <w:rPr>
          <w:rtl/>
        </w:rPr>
        <w:t xml:space="preserve">والظاهر ممّا ورد في </w:t>
      </w:r>
      <w:r w:rsidRPr="00D742B9">
        <w:rPr>
          <w:rtl/>
        </w:rPr>
        <w:t>الكافي</w:t>
      </w:r>
      <w:r w:rsidRPr="00454B20">
        <w:rPr>
          <w:rtl/>
        </w:rPr>
        <w:t xml:space="preserve"> ، ح 8820 ؛ </w:t>
      </w:r>
      <w:r w:rsidRPr="00FD6221">
        <w:rPr>
          <w:rStyle w:val="libFootnoteBoldChar"/>
          <w:rtl/>
        </w:rPr>
        <w:t>والفقيه</w:t>
      </w:r>
      <w:r w:rsidRPr="00454B20">
        <w:rPr>
          <w:rtl/>
        </w:rPr>
        <w:t xml:space="preserve"> ، ج 3 ، ص 207 ، ح 3775 ونفس الخبر أنّ أبا العطارد هذا ، حنّاط ، وليس ب</w:t>
      </w:r>
      <w:r w:rsidR="00454B20">
        <w:rPr>
          <w:rtl/>
        </w:rPr>
        <w:t>خيّاطٍ ، كما أفاده سيّدنا العل</w:t>
      </w:r>
      <w:r w:rsidR="00454B20">
        <w:rPr>
          <w:rFonts w:hint="cs"/>
          <w:rtl/>
        </w:rPr>
        <w:t>ّ</w:t>
      </w:r>
      <w:r w:rsidR="00454B20">
        <w:rPr>
          <w:rtl/>
        </w:rPr>
        <w:t>ا</w:t>
      </w:r>
      <w:r w:rsidRPr="00454B20">
        <w:rPr>
          <w:rtl/>
        </w:rPr>
        <w:t xml:space="preserve">مة </w:t>
      </w:r>
      <w:r w:rsidR="009B673F" w:rsidRPr="00454B20">
        <w:rPr>
          <w:rtl/>
        </w:rPr>
        <w:t>-</w:t>
      </w:r>
      <w:r w:rsidRPr="00454B20">
        <w:rPr>
          <w:rtl/>
        </w:rPr>
        <w:t xml:space="preserve"> دام ظلّه </w:t>
      </w:r>
      <w:r w:rsidR="009B673F" w:rsidRPr="00454B20">
        <w:rPr>
          <w:rtl/>
        </w:rPr>
        <w:t>-</w:t>
      </w:r>
      <w:r w:rsidRPr="00454B20">
        <w:rPr>
          <w:rtl/>
        </w:rPr>
        <w:t xml:space="preserve"> في تعليقته على السند.</w:t>
      </w:r>
    </w:p>
    <w:tbl>
      <w:tblPr>
        <w:tblStyle w:val="TableGrid"/>
        <w:bidiVisual/>
        <w:tblW w:w="0" w:type="auto"/>
        <w:tblLook w:val="04A0" w:firstRow="1" w:lastRow="0" w:firstColumn="1" w:lastColumn="0" w:noHBand="0" w:noVBand="1"/>
      </w:tblPr>
      <w:tblGrid>
        <w:gridCol w:w="4006"/>
        <w:gridCol w:w="4006"/>
      </w:tblGrid>
      <w:tr w:rsidR="00BD4CE7" w:rsidTr="00BD4CE7">
        <w:tc>
          <w:tcPr>
            <w:tcW w:w="4006" w:type="dxa"/>
          </w:tcPr>
          <w:p w:rsidR="00BD4CE7" w:rsidRDefault="00BD4CE7" w:rsidP="00992664">
            <w:pPr>
              <w:pStyle w:val="libFootnote0"/>
              <w:rPr>
                <w:rtl/>
              </w:rPr>
            </w:pPr>
            <w:r>
              <w:rPr>
                <w:rtl/>
              </w:rPr>
              <w:t xml:space="preserve">(8). </w:t>
            </w:r>
            <w:r w:rsidRPr="00020424">
              <w:rPr>
                <w:rtl/>
              </w:rPr>
              <w:t>في « بر » :</w:t>
            </w:r>
            <w:r>
              <w:rPr>
                <w:rtl/>
              </w:rPr>
              <w:t xml:space="preserve"> - </w:t>
            </w:r>
            <w:r w:rsidRPr="00020424">
              <w:rPr>
                <w:rtl/>
              </w:rPr>
              <w:t>« يكون</w:t>
            </w:r>
            <w:r>
              <w:rPr>
                <w:rtl/>
              </w:rPr>
              <w:t xml:space="preserve"> ».</w:t>
            </w:r>
          </w:p>
        </w:tc>
        <w:tc>
          <w:tcPr>
            <w:tcW w:w="4006" w:type="dxa"/>
          </w:tcPr>
          <w:p w:rsidR="00BD4CE7" w:rsidRDefault="00BD4CE7" w:rsidP="00992664">
            <w:pPr>
              <w:pStyle w:val="libFootnote0"/>
              <w:rPr>
                <w:rtl/>
              </w:rPr>
            </w:pPr>
            <w:r>
              <w:rPr>
                <w:rtl/>
              </w:rPr>
              <w:t xml:space="preserve">(9). </w:t>
            </w:r>
            <w:r w:rsidRPr="00020424">
              <w:rPr>
                <w:rtl/>
              </w:rPr>
              <w:t>في«بث،بخ،بر،بف»</w:t>
            </w:r>
            <w:r w:rsidRPr="00515444">
              <w:rPr>
                <w:rStyle w:val="libFootnoteBoldChar"/>
                <w:rtl/>
              </w:rPr>
              <w:t>والوافي</w:t>
            </w:r>
            <w:r w:rsidRPr="00020424">
              <w:rPr>
                <w:rtl/>
              </w:rPr>
              <w:t>:«قال</w:t>
            </w:r>
            <w:r>
              <w:rPr>
                <w:rtl/>
              </w:rPr>
              <w:t>».</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ذيل هذا الحديث : « قوله </w:t>
      </w:r>
      <w:r w:rsidR="00992664" w:rsidRPr="00D64ADA">
        <w:rPr>
          <w:rStyle w:val="libFootnoteAlaemChar"/>
          <w:rtl/>
        </w:rPr>
        <w:t>عليه‌السلام</w:t>
      </w:r>
      <w:r w:rsidR="00992664" w:rsidRPr="00020424">
        <w:rPr>
          <w:rtl/>
        </w:rPr>
        <w:t xml:space="preserve"> : إذا حرّكته فعليك زكاته ، المراد به أنّه عليك تولّي إخراج زكاته ، </w:t>
      </w:r>
      <w:r w:rsidR="00FA503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 قُلْتُ : فَإِنِّي أُحَرِّكُهُ ثَمَانِيَةَ أَشْهُرٍ ، وَأَدَعُهُ </w:t>
      </w:r>
      <w:r w:rsidRPr="00A91B96">
        <w:rPr>
          <w:rStyle w:val="libFootnotenumChar"/>
          <w:rtl/>
        </w:rPr>
        <w:t>(1)</w:t>
      </w:r>
      <w:r w:rsidRPr="00020424">
        <w:rPr>
          <w:rtl/>
          <w:lang w:bidi="fa-IR"/>
        </w:rPr>
        <w:t xml:space="preserve"> أَرْبَعَةَ أَشْهُرٍ.</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عَلَيْكَ زَكَاتُهُ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AC04D8">
        <w:rPr>
          <w:rtl/>
        </w:rPr>
        <w:t>5876</w:t>
      </w:r>
      <w:r w:rsidRPr="001155DE">
        <w:rPr>
          <w:rStyle w:val="libBold2Char"/>
          <w:rtl/>
        </w:rPr>
        <w:t xml:space="preserve"> / 3.</w:t>
      </w:r>
      <w:r w:rsidRPr="00020424">
        <w:rPr>
          <w:rtl/>
          <w:lang w:bidi="fa-IR"/>
        </w:rPr>
        <w:t xml:space="preserve"> عَلِيُّ بْنُ إِبْرَاهِيمَ ، عَنْ أَبِيهِ ، عَنْ حَمَّادِ بْنِ عِيسى </w:t>
      </w:r>
      <w:r w:rsidRPr="00A91B96">
        <w:rPr>
          <w:rStyle w:val="libFootnotenumChar"/>
          <w:rtl/>
        </w:rPr>
        <w:t>(5)</w:t>
      </w:r>
      <w:r w:rsidRPr="00020424">
        <w:rPr>
          <w:rtl/>
          <w:lang w:bidi="fa-IR"/>
        </w:rPr>
        <w:t xml:space="preserve"> ، عَنْ حَرِيزٍ ، عَنْ مُحَمَّدِ بْنِ مُسْلِمٍ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هَلْ عَلى مَالِ الْيَتِيمِ </w:t>
      </w:r>
      <w:r w:rsidRPr="00A91B96">
        <w:rPr>
          <w:rStyle w:val="libFootnotenumChar"/>
          <w:rtl/>
        </w:rPr>
        <w:t>(6)</w:t>
      </w:r>
      <w:r w:rsidRPr="00020424">
        <w:rPr>
          <w:rtl/>
          <w:lang w:bidi="fa-IR"/>
        </w:rPr>
        <w:t xml:space="preserve"> زَكَاةٌ</w:t>
      </w:r>
      <w:r>
        <w:rPr>
          <w:rtl/>
          <w:lang w:bidi="fa-IR"/>
        </w:rPr>
        <w:t>؟</w:t>
      </w:r>
    </w:p>
    <w:p w:rsidR="00992664" w:rsidRPr="00020424" w:rsidRDefault="00985C6C" w:rsidP="00992664">
      <w:pPr>
        <w:pStyle w:val="libNormal"/>
        <w:rPr>
          <w:rtl/>
          <w:lang w:bidi="fa-IR"/>
        </w:rPr>
      </w:pPr>
      <w:r>
        <w:rPr>
          <w:rtl/>
          <w:lang w:bidi="fa-IR"/>
        </w:rPr>
        <w:t>قَالَ : « لَا ، إِل</w:t>
      </w:r>
      <w:r>
        <w:rPr>
          <w:rFonts w:hint="cs"/>
          <w:rtl/>
          <w:lang w:bidi="fa-IR"/>
        </w:rPr>
        <w:t>َّ</w:t>
      </w:r>
      <w:r>
        <w:rPr>
          <w:rtl/>
          <w:lang w:bidi="fa-IR"/>
        </w:rPr>
        <w:t>ا</w:t>
      </w:r>
      <w:r w:rsidR="00992664" w:rsidRPr="00020424">
        <w:rPr>
          <w:rtl/>
          <w:lang w:bidi="fa-IR"/>
        </w:rPr>
        <w:t xml:space="preserve"> أَنْ يُتَّجَرَ </w:t>
      </w:r>
      <w:r w:rsidR="00992664" w:rsidRPr="00A91B96">
        <w:rPr>
          <w:rStyle w:val="libFootnotenumChar"/>
          <w:rtl/>
        </w:rPr>
        <w:t>(7)</w:t>
      </w:r>
      <w:r w:rsidR="00992664" w:rsidRPr="00020424">
        <w:rPr>
          <w:rtl/>
          <w:lang w:bidi="fa-IR"/>
        </w:rPr>
        <w:t xml:space="preserve"> بِهِ ، أَوْ يُعْمَلَ </w:t>
      </w:r>
      <w:r w:rsidR="00992664" w:rsidRPr="00A91B96">
        <w:rPr>
          <w:rStyle w:val="libFootnotenumChar"/>
          <w:rtl/>
        </w:rPr>
        <w:t>(8)</w:t>
      </w:r>
      <w:r w:rsidR="00992664" w:rsidRPr="00020424">
        <w:rPr>
          <w:rtl/>
          <w:lang w:bidi="fa-IR"/>
        </w:rPr>
        <w:t xml:space="preserve"> بِهِ</w:t>
      </w:r>
      <w:r w:rsidR="00992664">
        <w:rPr>
          <w:rtl/>
          <w:lang w:bidi="fa-IR"/>
        </w:rPr>
        <w:t xml:space="preserve"> ».</w:t>
      </w:r>
      <w:r w:rsidR="00992664" w:rsidRPr="00020424">
        <w:rPr>
          <w:rtl/>
          <w:lang w:bidi="fa-IR"/>
        </w:rPr>
        <w:t xml:space="preserve"> </w:t>
      </w:r>
      <w:r w:rsidR="00992664" w:rsidRPr="00A91B96">
        <w:rPr>
          <w:rStyle w:val="libFootnotenumChar"/>
          <w:rtl/>
        </w:rPr>
        <w:t>(9)</w:t>
      </w:r>
    </w:p>
    <w:p w:rsidR="00992664" w:rsidRPr="00020424" w:rsidRDefault="00992664" w:rsidP="00992664">
      <w:pPr>
        <w:pStyle w:val="libNormal"/>
        <w:rPr>
          <w:rtl/>
          <w:lang w:bidi="fa-IR"/>
        </w:rPr>
      </w:pPr>
      <w:r w:rsidRPr="00AC04D8">
        <w:rPr>
          <w:rtl/>
        </w:rPr>
        <w:t>5877</w:t>
      </w:r>
      <w:r w:rsidRPr="001155DE">
        <w:rPr>
          <w:rStyle w:val="libBold2Char"/>
          <w:rtl/>
        </w:rPr>
        <w:t xml:space="preserve"> / 4.</w:t>
      </w:r>
      <w:r w:rsidRPr="00020424">
        <w:rPr>
          <w:rtl/>
          <w:lang w:bidi="fa-IR"/>
        </w:rPr>
        <w:t xml:space="preserve"> حَمَّادُ بْنُ عِيسى </w:t>
      </w:r>
      <w:r w:rsidRPr="00A91B96">
        <w:rPr>
          <w:rStyle w:val="libFootnotenumChar"/>
          <w:rtl/>
        </w:rPr>
        <w:t>(10)</w:t>
      </w:r>
      <w:r w:rsidRPr="00020424">
        <w:rPr>
          <w:rtl/>
          <w:lang w:bidi="fa-IR"/>
        </w:rPr>
        <w:t xml:space="preserve"> ، عَنْ حَرِيزٍ ، عَنْ أَبِي بَصِيرٍ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لَيْسَ عَلى مَالِ الْيَتِيمِ زَكَاةٌ </w:t>
      </w:r>
      <w:r w:rsidRPr="00A91B96">
        <w:rPr>
          <w:rStyle w:val="libFootnotenumChar"/>
          <w:rtl/>
        </w:rPr>
        <w:t>(11)</w:t>
      </w:r>
      <w:r w:rsidRPr="00020424">
        <w:rPr>
          <w:rtl/>
          <w:lang w:bidi="fa-IR"/>
        </w:rPr>
        <w:t xml:space="preserve"> ، وَإِنْ بَلَغَ الْيَتِيمُ ، فَلَيْسَ عَلَيْهِ لِمَا </w:t>
      </w:r>
      <w:r w:rsidRPr="00A91B96">
        <w:rPr>
          <w:rStyle w:val="libFootnotenumChar"/>
          <w:rtl/>
        </w:rPr>
        <w:t>(12)</w:t>
      </w:r>
      <w:r w:rsidRPr="00020424">
        <w:rPr>
          <w:rtl/>
          <w:lang w:bidi="fa-IR"/>
        </w:rPr>
        <w:t xml:space="preserve"> مَضى زَكَاةٌ ، وَلَاعَلَيْهِ فِيمَا بَقِيَ حَتّى يُدْرِكَ ، فَإِذَا أَدْرَكَ فَإِنَّمَا عَلَيْهِ‌</w:t>
      </w:r>
    </w:p>
    <w:p w:rsidR="00992664" w:rsidRPr="00020424" w:rsidRDefault="00992664" w:rsidP="00992664">
      <w:pPr>
        <w:pStyle w:val="libLine"/>
        <w:rPr>
          <w:rtl/>
          <w:lang w:bidi="fa-IR"/>
        </w:rPr>
      </w:pPr>
      <w:r w:rsidRPr="00020424">
        <w:rPr>
          <w:rtl/>
          <w:lang w:bidi="fa-IR"/>
        </w:rPr>
        <w:t>__________________</w:t>
      </w:r>
    </w:p>
    <w:p w:rsidR="00992664" w:rsidRPr="00020424" w:rsidRDefault="008B5816" w:rsidP="00992664">
      <w:pPr>
        <w:pStyle w:val="libFootnote0"/>
        <w:rPr>
          <w:rtl/>
          <w:lang w:bidi="fa-IR"/>
        </w:rPr>
      </w:pPr>
      <w:r>
        <w:rPr>
          <w:rFonts w:hint="cs"/>
          <w:rtl/>
        </w:rPr>
        <w:t xml:space="preserve">= </w:t>
      </w:r>
      <w:r w:rsidR="00992664" w:rsidRPr="00020424">
        <w:rPr>
          <w:rtl/>
        </w:rPr>
        <w:t>دون أن يكون ذلك لازماً في ماله ؛ لأنّه إذا اتّجر بالمال ضمنه ، وإذا ضمنه لم يلزمه مع ذلك إخراج الزكاة من ماله</w:t>
      </w:r>
      <w:r w:rsidR="00992664">
        <w:rPr>
          <w:rtl/>
        </w:rPr>
        <w:t xml:space="preserve"> ».</w:t>
      </w:r>
      <w:r w:rsidR="00992664" w:rsidRPr="00020424">
        <w:rPr>
          <w:rtl/>
        </w:rPr>
        <w:t xml:space="preserve"> ونحوه في </w:t>
      </w:r>
      <w:r w:rsidR="00992664" w:rsidRPr="00D742B9">
        <w:rPr>
          <w:rtl/>
        </w:rPr>
        <w:t>الاستبصار</w:t>
      </w:r>
      <w:r w:rsidR="00992664" w:rsidRPr="0002042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فأدعه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بث ، بخ ، بر ، بف » </w:t>
      </w:r>
      <w:r w:rsidR="00992664" w:rsidRPr="00515444">
        <w:rPr>
          <w:rStyle w:val="libFootnoteBoldChar"/>
          <w:rtl/>
        </w:rPr>
        <w:t>والوافي</w:t>
      </w:r>
      <w:r w:rsidR="00992664" w:rsidRPr="00020424">
        <w:rPr>
          <w:rtl/>
        </w:rPr>
        <w:t>. وفي سائر النسخ والمطبوع : « 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بس ، جن » : « زكاة</w:t>
      </w:r>
      <w:r w:rsidR="00992664">
        <w:rPr>
          <w:rtl/>
        </w:rPr>
        <w:t xml:space="preserve"> ».</w:t>
      </w:r>
    </w:p>
    <w:p w:rsidR="00992664" w:rsidRPr="00020424" w:rsidRDefault="00795177" w:rsidP="006B3435">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28 ، ح 68 ، معلّقاً عن محمّد بن إسماعيل ؛ </w:t>
      </w:r>
      <w:r w:rsidR="00992664" w:rsidRPr="00AC04D8">
        <w:rPr>
          <w:rtl/>
        </w:rPr>
        <w:t>الاستبصار</w:t>
      </w:r>
      <w:r w:rsidR="00992664" w:rsidRPr="00020424">
        <w:rPr>
          <w:rtl/>
        </w:rPr>
        <w:t xml:space="preserve"> ، ج 2 ، ص 29 ، ح 86 ، معلّقاً عن محمّد بن إسماعيل ، عن الفضل بن شاذان ، عن صفوان بن يحيى ، مع اختلاف يسير </w:t>
      </w:r>
      <w:r w:rsidR="00DB7588">
        <w:rPr>
          <w:rFonts w:hint="cs"/>
          <w:rtl/>
        </w:rPr>
        <w:t>.</w:t>
      </w:r>
      <w:r w:rsidR="00992664" w:rsidRPr="0012008A">
        <w:rPr>
          <w:rStyle w:val="libFootnoteBoldChar"/>
          <w:rtl/>
        </w:rPr>
        <w:t>الوافي</w:t>
      </w:r>
      <w:r w:rsidR="00992664" w:rsidRPr="00020424">
        <w:rPr>
          <w:rtl/>
        </w:rPr>
        <w:t xml:space="preserve"> ، ج 10 ، ص123،ح9282؛</w:t>
      </w:r>
      <w:r w:rsidR="00992664" w:rsidRPr="0012008A">
        <w:rPr>
          <w:rStyle w:val="libFootnoteBoldChar"/>
          <w:rtl/>
        </w:rPr>
        <w:t>الوسائل</w:t>
      </w:r>
      <w:r w:rsidR="00992664" w:rsidRPr="00020424">
        <w:rPr>
          <w:rtl/>
        </w:rPr>
        <w:t>،</w:t>
      </w:r>
      <w:r w:rsidR="006B3435">
        <w:rPr>
          <w:rtl/>
        </w:rPr>
        <w:t>ج9</w:t>
      </w:r>
      <w:r w:rsidR="00992664" w:rsidRPr="00020424">
        <w:rPr>
          <w:rtl/>
        </w:rPr>
        <w:t>،ص88،ح11589.</w:t>
      </w:r>
      <w:r w:rsidR="00B50394">
        <w:rPr>
          <w:rFonts w:hint="cs"/>
          <w:rtl/>
        </w:rPr>
        <w:t xml:space="preserve">   </w:t>
      </w:r>
      <w:r w:rsidR="00F37C93">
        <w:rPr>
          <w:rFonts w:hint="cs"/>
          <w:rtl/>
        </w:rPr>
        <w:t xml:space="preserve">   </w:t>
      </w: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B3435" w:rsidTr="006B3435">
        <w:tc>
          <w:tcPr>
            <w:tcW w:w="4006" w:type="dxa"/>
          </w:tcPr>
          <w:p w:rsidR="006B3435" w:rsidRDefault="006B3435" w:rsidP="00992664">
            <w:pPr>
              <w:pStyle w:val="libFootnote0"/>
              <w:rPr>
                <w:rtl/>
              </w:rPr>
            </w:pPr>
            <w:r>
              <w:rPr>
                <w:rtl/>
              </w:rPr>
              <w:t xml:space="preserve">(6). </w:t>
            </w:r>
            <w:r w:rsidRPr="00020424">
              <w:rPr>
                <w:rtl/>
              </w:rPr>
              <w:t>في « بث » : « لليتيم</w:t>
            </w:r>
            <w:r>
              <w:rPr>
                <w:rtl/>
              </w:rPr>
              <w:t xml:space="preserve"> ».</w:t>
            </w:r>
          </w:p>
        </w:tc>
        <w:tc>
          <w:tcPr>
            <w:tcW w:w="4006" w:type="dxa"/>
          </w:tcPr>
          <w:p w:rsidR="006B3435" w:rsidRDefault="006B3435" w:rsidP="00992664">
            <w:pPr>
              <w:pStyle w:val="libFootnote0"/>
              <w:rPr>
                <w:rtl/>
              </w:rPr>
            </w:pPr>
            <w:r>
              <w:rPr>
                <w:rtl/>
              </w:rPr>
              <w:t xml:space="preserve">(7). </w:t>
            </w:r>
            <w:r w:rsidRPr="00020424">
              <w:rPr>
                <w:rtl/>
              </w:rPr>
              <w:t xml:space="preserve">في </w:t>
            </w:r>
            <w:r w:rsidRPr="0012008A">
              <w:rPr>
                <w:rStyle w:val="libFootnoteBoldChar"/>
                <w:rtl/>
              </w:rPr>
              <w:t>الوسائل</w:t>
            </w:r>
            <w:r w:rsidRPr="00020424">
              <w:rPr>
                <w:rtl/>
              </w:rPr>
              <w:t xml:space="preserve"> : « أن تتّجر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 تعمل</w:t>
      </w:r>
      <w:r w:rsidR="00992664">
        <w:rPr>
          <w:rtl/>
        </w:rPr>
        <w:t xml:space="preserve"> ».</w:t>
      </w:r>
    </w:p>
    <w:p w:rsidR="00992664" w:rsidRPr="00020424" w:rsidRDefault="00795177" w:rsidP="00830621">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27 ، ح 64 ، بسند آخر ، مع اختلاف يسير. </w:t>
      </w:r>
      <w:r w:rsidR="00992664" w:rsidRPr="00AC04D8">
        <w:rPr>
          <w:rtl/>
        </w:rPr>
        <w:t>قرب الإسناد</w:t>
      </w:r>
      <w:r w:rsidR="00992664" w:rsidRPr="00020424">
        <w:rPr>
          <w:rtl/>
        </w:rPr>
        <w:t xml:space="preserve"> ، ص 30 ، ح 98 ، بسند آخر ، مع زيادة في آخره. </w:t>
      </w:r>
      <w:r w:rsidR="00992664" w:rsidRPr="00AC04D8">
        <w:rPr>
          <w:rtl/>
        </w:rPr>
        <w:t>الكافي</w:t>
      </w:r>
      <w:r w:rsidR="00992664" w:rsidRPr="00020424">
        <w:rPr>
          <w:rtl/>
        </w:rPr>
        <w:t xml:space="preserve"> ، كتاب الصيام ، باب الفطرة ، ضمن ح 6663 ، بسند آخر عن أبي الحسن </w:t>
      </w:r>
      <w:r w:rsidR="00992664" w:rsidRPr="00D64ADA">
        <w:rPr>
          <w:rStyle w:val="libFootnoteAlaemChar"/>
          <w:rtl/>
        </w:rPr>
        <w:t>عليه‌السلام</w:t>
      </w:r>
      <w:r w:rsidR="00992664" w:rsidRPr="00020424">
        <w:rPr>
          <w:rtl/>
        </w:rPr>
        <w:t>. مع اختلاف يسير ، وفيهما إلى قوله : « قال : لا »</w:t>
      </w:r>
      <w:r w:rsidR="00830621">
        <w:rPr>
          <w:rFonts w:hint="cs"/>
          <w:rtl/>
        </w:rPr>
        <w:t>.</w:t>
      </w:r>
      <w:r w:rsidR="00992664" w:rsidRPr="0012008A">
        <w:rPr>
          <w:rStyle w:val="libFootnoteBoldChar"/>
          <w:rtl/>
        </w:rPr>
        <w:t>الوافي</w:t>
      </w:r>
      <w:r w:rsidR="00992664" w:rsidRPr="00020424">
        <w:rPr>
          <w:rtl/>
        </w:rPr>
        <w:t xml:space="preserve"> ، ج 10 ، ص 124 ، ح 9283 ؛ </w:t>
      </w:r>
      <w:r w:rsidR="00992664" w:rsidRPr="0012008A">
        <w:rPr>
          <w:rStyle w:val="libFootnoteBoldChar"/>
          <w:rtl/>
        </w:rPr>
        <w:t>الوسائل</w:t>
      </w:r>
      <w:r w:rsidR="00992664" w:rsidRPr="00020424">
        <w:rPr>
          <w:rtl/>
        </w:rPr>
        <w:t xml:space="preserve"> ، ج 9 ، ص 87 ، ح 11587.</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 ، كما هو واضح.</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 وليس عليه صلاة وليس على جميع غلاّته من نخل أو زرع أو غلّة زكاة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بث » : « ممّا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زَكَاةٌ وَاحِدَةٌ ، ثُمَّ كَانَ عَلَيْهِ مِثْلُ مَا عَلى غَيْرِهِ مِنَ النَّاسِ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p>
    <w:p w:rsidR="00992664" w:rsidRPr="00020424" w:rsidRDefault="00992664" w:rsidP="00992664">
      <w:pPr>
        <w:pStyle w:val="libNormal"/>
        <w:rPr>
          <w:rtl/>
          <w:lang w:bidi="fa-IR"/>
        </w:rPr>
      </w:pPr>
      <w:r w:rsidRPr="00AC04D8">
        <w:rPr>
          <w:rtl/>
        </w:rPr>
        <w:t>5878</w:t>
      </w:r>
      <w:r w:rsidRPr="001155DE">
        <w:rPr>
          <w:rStyle w:val="libBold2Char"/>
          <w:rtl/>
        </w:rPr>
        <w:t xml:space="preserve"> / 5.</w:t>
      </w:r>
      <w:r w:rsidRPr="00020424">
        <w:rPr>
          <w:rtl/>
          <w:lang w:bidi="fa-IR"/>
        </w:rPr>
        <w:t xml:space="preserve"> حَمَّادُ بْنُ عِيسى </w:t>
      </w:r>
      <w:r w:rsidRPr="00A91B96">
        <w:rPr>
          <w:rStyle w:val="libFootnotenumChar"/>
          <w:rtl/>
        </w:rPr>
        <w:t>(3)</w:t>
      </w:r>
      <w:r w:rsidRPr="00020424">
        <w:rPr>
          <w:rtl/>
          <w:lang w:bidi="fa-IR"/>
        </w:rPr>
        <w:t xml:space="preserve"> ، عَنْ حَرِيزٍ ، عَنْ زُرَارَةَ وَمُحَمَّدِ بْنِ مُسْلِمٍ </w:t>
      </w:r>
      <w:r w:rsidRPr="00A91B96">
        <w:rPr>
          <w:rStyle w:val="libFootnotenumChar"/>
          <w:rtl/>
        </w:rPr>
        <w:t>(4)</w:t>
      </w:r>
      <w:r w:rsidRPr="00020424">
        <w:rPr>
          <w:rtl/>
          <w:lang w:bidi="fa-IR"/>
        </w:rPr>
        <w:t xml:space="preserve"> ، أَنَّهُمَا قَالَا :</w:t>
      </w:r>
    </w:p>
    <w:p w:rsidR="00992664" w:rsidRPr="00020424" w:rsidRDefault="00992664" w:rsidP="00992664">
      <w:pPr>
        <w:pStyle w:val="libNormal"/>
        <w:rPr>
          <w:rtl/>
          <w:lang w:bidi="fa-IR"/>
        </w:rPr>
      </w:pPr>
      <w:r w:rsidRPr="00020424">
        <w:rPr>
          <w:rtl/>
          <w:lang w:bidi="fa-IR"/>
        </w:rPr>
        <w:t xml:space="preserve">لَيْسَ عَلى مَالِ الْيَتِيمِ فِي الدَّينِ وَالْمَالِ </w:t>
      </w:r>
      <w:r w:rsidRPr="00A91B96">
        <w:rPr>
          <w:rStyle w:val="libFootnotenumChar"/>
          <w:rtl/>
        </w:rPr>
        <w:t>(5)</w:t>
      </w:r>
      <w:r w:rsidRPr="00020424">
        <w:rPr>
          <w:rtl/>
          <w:lang w:bidi="fa-IR"/>
        </w:rPr>
        <w:t xml:space="preserve"> الصَّام</w:t>
      </w:r>
      <w:r w:rsidR="00895D80">
        <w:rPr>
          <w:rtl/>
          <w:lang w:bidi="fa-IR"/>
        </w:rPr>
        <w:t>ِتِ شَيْ‌ءٌ ، فَأَمَّا الْغَل</w:t>
      </w:r>
      <w:r w:rsidR="00895D80">
        <w:rPr>
          <w:rFonts w:hint="cs"/>
          <w:rtl/>
          <w:lang w:bidi="fa-IR"/>
        </w:rPr>
        <w:t>َّ</w:t>
      </w:r>
      <w:r w:rsidR="00895D80">
        <w:rPr>
          <w:rtl/>
          <w:lang w:bidi="fa-IR"/>
        </w:rPr>
        <w:t>ا</w:t>
      </w:r>
      <w:r w:rsidRPr="00020424">
        <w:rPr>
          <w:rtl/>
          <w:lang w:bidi="fa-IR"/>
        </w:rPr>
        <w:t>تُ فَعَلَيْهَا الصَّدَقَةُ وَاجِبَةٌ.</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C04D8">
        <w:rPr>
          <w:rtl/>
        </w:rPr>
        <w:t>5879</w:t>
      </w:r>
      <w:r w:rsidRPr="001155DE">
        <w:rPr>
          <w:rStyle w:val="libBold2Char"/>
          <w:rtl/>
        </w:rPr>
        <w:t xml:space="preserve"> / 6.</w:t>
      </w:r>
      <w:r w:rsidRPr="00020424">
        <w:rPr>
          <w:rtl/>
          <w:lang w:bidi="fa-IR"/>
        </w:rPr>
        <w:t xml:space="preserve"> عَلِيُّ بْنُ إِبْرَاهِيمَ ، عَنْ أَبِيهِ ، عَنْ إِسْمَاعِيلَ بْنِ مَرَّارٍ ، عَنْ يُونُسَ ، عَنْ سَعِيدٍ السَّمَّانِ ، قَالَ :</w:t>
      </w:r>
    </w:p>
    <w:p w:rsidR="00992664" w:rsidRPr="00020424" w:rsidRDefault="00992664" w:rsidP="006A346F">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لَيْسَ فِي</w:t>
      </w:r>
      <w:r w:rsidR="006A346F">
        <w:rPr>
          <w:rtl/>
          <w:lang w:bidi="fa-IR"/>
        </w:rPr>
        <w:t xml:space="preserve"> مَالِ الْيَتِيمِ زَكَاةٌ إِل</w:t>
      </w:r>
      <w:r w:rsidR="006A346F">
        <w:rPr>
          <w:rFonts w:hint="cs"/>
          <w:rtl/>
          <w:lang w:bidi="fa-IR"/>
        </w:rPr>
        <w:t>َّ</w:t>
      </w:r>
      <w:r w:rsidR="006A346F">
        <w:rPr>
          <w:rtl/>
          <w:lang w:bidi="fa-IR"/>
        </w:rPr>
        <w:t>ا</w:t>
      </w:r>
      <w:r w:rsidRPr="00020424">
        <w:rPr>
          <w:rtl/>
          <w:lang w:bidi="fa-IR"/>
        </w:rPr>
        <w:t xml:space="preserve"> أَنْ يُتَّجَرَ بِهِ ، فَإِنِ اتُّجِرَ بِهِ فَالرِّبْحُ لِلْيَتِيمِ ، فَإِنْ وُضِعَ </w:t>
      </w:r>
      <w:r w:rsidRPr="00A91B96">
        <w:rPr>
          <w:rStyle w:val="libFootnotenumChar"/>
          <w:rtl/>
        </w:rPr>
        <w:t>(7)</w:t>
      </w:r>
      <w:r w:rsidRPr="00020424">
        <w:rPr>
          <w:rtl/>
          <w:lang w:bidi="fa-IR"/>
        </w:rPr>
        <w:t xml:space="preserve"> فَعَلَى الَّذِي يَتَّجِرُ بِهِ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بس » : « الزكاة</w:t>
      </w:r>
      <w:r w:rsidR="00992664">
        <w:rPr>
          <w:rtl/>
        </w:rPr>
        <w:t xml:space="preserve"> ».</w:t>
      </w:r>
      <w:r w:rsidR="00992664" w:rsidRPr="00020424">
        <w:rPr>
          <w:rtl/>
        </w:rPr>
        <w:t xml:space="preserve"> وفي </w:t>
      </w:r>
      <w:r w:rsidR="00992664" w:rsidRPr="0028442A">
        <w:rPr>
          <w:rtl/>
        </w:rPr>
        <w:t>الوافي</w:t>
      </w:r>
      <w:r w:rsidR="00992664" w:rsidRPr="00020424">
        <w:rPr>
          <w:rtl/>
        </w:rPr>
        <w:t xml:space="preserve"> : « قال </w:t>
      </w:r>
      <w:r w:rsidR="00992664" w:rsidRPr="0028442A">
        <w:rPr>
          <w:rtl/>
        </w:rPr>
        <w:t>في التهذيبين</w:t>
      </w:r>
      <w:r w:rsidR="00992664" w:rsidRPr="00020424">
        <w:rPr>
          <w:rtl/>
        </w:rPr>
        <w:t xml:space="preserve"> : يعني ليس على جمي</w:t>
      </w:r>
      <w:r w:rsidR="0028442A">
        <w:rPr>
          <w:rtl/>
        </w:rPr>
        <w:t>ع غلاّته زكاة ، وإن وجب على غل</w:t>
      </w:r>
      <w:r w:rsidR="0028442A">
        <w:rPr>
          <w:rFonts w:hint="cs"/>
          <w:rtl/>
        </w:rPr>
        <w:t>ّ</w:t>
      </w:r>
      <w:r w:rsidR="0028442A">
        <w:rPr>
          <w:rtl/>
        </w:rPr>
        <w:t>ا</w:t>
      </w:r>
      <w:r w:rsidR="00992664" w:rsidRPr="00020424">
        <w:rPr>
          <w:rtl/>
        </w:rPr>
        <w:t>ته الأربع ، قال : وإنّما خصّ اليتامى بهذا الحكم ؛ لأنّ غيرهم مندوبون إلى إخراج الزكاة على سائر الحبوب. أقول : هذا التأويل بعيد عن ظاهر اللفظ</w:t>
      </w:r>
      <w:r w:rsidR="00992664">
        <w:rPr>
          <w:rtl/>
        </w:rPr>
        <w:t xml:space="preserve"> ».</w:t>
      </w:r>
    </w:p>
    <w:p w:rsidR="00992664" w:rsidRPr="00020424" w:rsidRDefault="00795177" w:rsidP="00A1316A">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29 ، ح 73 ؛ </w:t>
      </w:r>
      <w:r w:rsidR="00992664" w:rsidRPr="00FD6221">
        <w:rPr>
          <w:rStyle w:val="libFootnoteBoldChar"/>
          <w:rtl/>
        </w:rPr>
        <w:t>والاستبصار</w:t>
      </w:r>
      <w:r w:rsidR="00992664" w:rsidRPr="00020424">
        <w:rPr>
          <w:rtl/>
        </w:rPr>
        <w:t xml:space="preserve"> ، ج 2 ، ص 31 ، ح 91 ، بسندهما عن حمّاد ، عن حريز ، مع اختلاف يسير. وفي </w:t>
      </w:r>
      <w:r w:rsidR="00992664" w:rsidRPr="00AC04D8">
        <w:rPr>
          <w:rtl/>
        </w:rPr>
        <w:t>الجعفريّات</w:t>
      </w:r>
      <w:r w:rsidR="00992664" w:rsidRPr="00020424">
        <w:rPr>
          <w:rtl/>
        </w:rPr>
        <w:t xml:space="preserve"> ، ص 54 ، بسند آخر عن عليّ </w:t>
      </w:r>
      <w:r w:rsidR="00992664" w:rsidRPr="00D64ADA">
        <w:rPr>
          <w:rStyle w:val="libFootnoteAlaemChar"/>
          <w:rtl/>
        </w:rPr>
        <w:t>عليه‌السلام</w:t>
      </w:r>
      <w:r w:rsidR="00992664" w:rsidRPr="00020424">
        <w:rPr>
          <w:rtl/>
        </w:rPr>
        <w:t xml:space="preserve"> ، وتمام الرواية هكذا : « مال اليتيم يكون عند الوصيّ لا يحرّكه حتّى يبلغ ، وليس عليه زكاة حتّى يبلغ »</w:t>
      </w:r>
      <w:r w:rsidR="00A1316A">
        <w:rPr>
          <w:rFonts w:hint="cs"/>
          <w:rtl/>
        </w:rPr>
        <w:t>.</w:t>
      </w:r>
      <w:r w:rsidR="00992664" w:rsidRPr="0012008A">
        <w:rPr>
          <w:rStyle w:val="libFootnoteBoldChar"/>
          <w:rtl/>
        </w:rPr>
        <w:t>الوافي</w:t>
      </w:r>
      <w:r w:rsidR="00992664" w:rsidRPr="00020424">
        <w:rPr>
          <w:rtl/>
        </w:rPr>
        <w:t xml:space="preserve"> ، ج 10 ، ص 124 ، ح 9284 ؛ </w:t>
      </w:r>
      <w:r w:rsidR="00992664" w:rsidRPr="0012008A">
        <w:rPr>
          <w:rStyle w:val="libFootnoteBoldChar"/>
          <w:rtl/>
        </w:rPr>
        <w:t>الوسائل</w:t>
      </w:r>
      <w:r w:rsidR="00992664" w:rsidRPr="00020424">
        <w:rPr>
          <w:rtl/>
        </w:rPr>
        <w:t xml:space="preserve"> ، ج 9 ، ص 84 ، ح 11577.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 كسابقه.</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 عن أبي جعفر وأبي عبدالله </w:t>
      </w:r>
      <w:r w:rsidR="00D64ADA" w:rsidRPr="00D64ADA">
        <w:rPr>
          <w:rStyle w:val="libFootnoteAlaemChar"/>
          <w:rtl/>
        </w:rPr>
        <w:t>عليهما‌السلام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في العين </w:t>
      </w:r>
      <w:r w:rsidR="00992664">
        <w:rPr>
          <w:rtl/>
        </w:rPr>
        <w:t>و »</w:t>
      </w:r>
      <w:r w:rsidR="00992664" w:rsidRPr="00020424">
        <w:rPr>
          <w:rtl/>
        </w:rPr>
        <w:t xml:space="preserve"> بدل « في الدين والمال</w:t>
      </w:r>
      <w:r w:rsidR="00992664">
        <w:rPr>
          <w:rtl/>
        </w:rPr>
        <w:t xml:space="preserve"> ».</w:t>
      </w:r>
    </w:p>
    <w:p w:rsidR="00992664" w:rsidRPr="00020424" w:rsidRDefault="00795177" w:rsidP="00F4263E">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29 ، ح 72 ؛ </w:t>
      </w:r>
      <w:r w:rsidR="00992664" w:rsidRPr="00FD6221">
        <w:rPr>
          <w:rStyle w:val="libFootnoteBoldChar"/>
          <w:rtl/>
        </w:rPr>
        <w:t>والاستبصار</w:t>
      </w:r>
      <w:r w:rsidR="00992664" w:rsidRPr="00020424">
        <w:rPr>
          <w:rtl/>
        </w:rPr>
        <w:t xml:space="preserve"> ، ج 2 ، ص 31 ، ح 90 ، بسندهما عن حمّاد بن عيسى ، مع اختلاف يسير. راجع : </w:t>
      </w:r>
      <w:r w:rsidR="00992664" w:rsidRPr="0012008A">
        <w:rPr>
          <w:rStyle w:val="libFootnoteBoldChar"/>
          <w:rtl/>
        </w:rPr>
        <w:t>التهذيب</w:t>
      </w:r>
      <w:r w:rsidR="00992664" w:rsidRPr="00020424">
        <w:rPr>
          <w:rtl/>
        </w:rPr>
        <w:t xml:space="preserve"> ، ج 4 ، ص 35 ، ح 90 ؛ و</w:t>
      </w:r>
      <w:r w:rsidR="00992664" w:rsidRPr="00AC04D8">
        <w:rPr>
          <w:rtl/>
        </w:rPr>
        <w:t>الجعفريّات</w:t>
      </w:r>
      <w:r w:rsidR="00992664" w:rsidRPr="00020424">
        <w:rPr>
          <w:rtl/>
        </w:rPr>
        <w:t xml:space="preserve"> ، ص 83</w:t>
      </w:r>
      <w:r w:rsidR="00F4263E">
        <w:rPr>
          <w:rFonts w:hint="cs"/>
          <w:rtl/>
        </w:rPr>
        <w:t>.</w:t>
      </w:r>
      <w:r w:rsidR="00992664" w:rsidRPr="0012008A">
        <w:rPr>
          <w:rStyle w:val="libFootnoteBoldChar"/>
          <w:rtl/>
        </w:rPr>
        <w:t>الوافي</w:t>
      </w:r>
      <w:r w:rsidR="00992664" w:rsidRPr="00020424">
        <w:rPr>
          <w:rtl/>
        </w:rPr>
        <w:t xml:space="preserve"> ، ج 10 ، ص 125 ، ح 9285 ؛ </w:t>
      </w:r>
      <w:r w:rsidR="00992664" w:rsidRPr="0012008A">
        <w:rPr>
          <w:rStyle w:val="libFootnoteBoldChar"/>
          <w:rtl/>
        </w:rPr>
        <w:t>الوسائل</w:t>
      </w:r>
      <w:r w:rsidR="00992664" w:rsidRPr="00020424">
        <w:rPr>
          <w:rtl/>
        </w:rPr>
        <w:t xml:space="preserve"> ، ج 9 ، ص 83 ، ح 11576.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B50394">
        <w:rPr>
          <w:rtl/>
        </w:rPr>
        <w:t>الوافي والوسائل والتهذيب ،</w:t>
      </w:r>
      <w:r w:rsidR="00992664" w:rsidRPr="00020424">
        <w:rPr>
          <w:rtl/>
        </w:rPr>
        <w:t xml:space="preserve"> ص 27 </w:t>
      </w:r>
      <w:r w:rsidR="00992664" w:rsidRPr="00FD6221">
        <w:rPr>
          <w:rStyle w:val="libFootnoteBoldChar"/>
          <w:rtl/>
        </w:rPr>
        <w:t>والاستبصار</w:t>
      </w:r>
      <w:r w:rsidR="00992664" w:rsidRPr="00020424">
        <w:rPr>
          <w:rtl/>
        </w:rPr>
        <w:t xml:space="preserve"> : « وإن وضع</w:t>
      </w:r>
      <w:r w:rsidR="00992664">
        <w:rPr>
          <w:rtl/>
        </w:rPr>
        <w:t xml:space="preserve"> ».</w:t>
      </w:r>
      <w:r w:rsidR="00992664" w:rsidRPr="00020424">
        <w:rPr>
          <w:rtl/>
        </w:rPr>
        <w:t xml:space="preserve"> وقوله : « وُضِعَ » ، أي خسر. </w:t>
      </w:r>
      <w:r w:rsidR="00992664" w:rsidRPr="0012008A">
        <w:rPr>
          <w:rStyle w:val="libFootnoteBoldChar"/>
          <w:rtl/>
        </w:rPr>
        <w:t>الصحاح</w:t>
      </w:r>
      <w:r w:rsidR="00992664" w:rsidRPr="00020424">
        <w:rPr>
          <w:rtl/>
        </w:rPr>
        <w:t xml:space="preserve"> ، ج 3 ، ص 1300 ( وضع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AC04D8">
        <w:rPr>
          <w:rtl/>
        </w:rPr>
        <w:t>مرآة العقول</w:t>
      </w:r>
      <w:r w:rsidR="00992664" w:rsidRPr="00020424">
        <w:rPr>
          <w:rtl/>
        </w:rPr>
        <w:t xml:space="preserve"> ، ج 16 ، ص 74 : « هذا الخبر لا يكاد يصحّ على مذهب أكثر الأصحاب ؛ إذ الزكاة إنّما يلزم في مال اليتيم إذا كان وليّاً مليّاً وحينئذٍ لا ضمان ، فتأمّل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27 ، ح 65 ؛ </w:t>
      </w:r>
      <w:r w:rsidR="00992664" w:rsidRPr="00FD6221">
        <w:rPr>
          <w:rStyle w:val="libFootnoteBoldChar"/>
          <w:rtl/>
        </w:rPr>
        <w:t>والاستبصار</w:t>
      </w:r>
      <w:r w:rsidR="00992664" w:rsidRPr="00020424">
        <w:rPr>
          <w:rtl/>
        </w:rPr>
        <w:t xml:space="preserve"> ، ج 2 ، ص 29 ، ح 83 ، معلّقاً عن الكليني. </w:t>
      </w:r>
      <w:r w:rsidR="00992664" w:rsidRPr="00AC04D8">
        <w:rPr>
          <w:rtl/>
        </w:rPr>
        <w:t>الكافي</w:t>
      </w:r>
      <w:r w:rsidR="00992664" w:rsidRPr="00020424">
        <w:rPr>
          <w:rtl/>
        </w:rPr>
        <w:t xml:space="preserve"> ، كتاب </w:t>
      </w:r>
      <w:r w:rsidR="0058381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C04D8">
        <w:rPr>
          <w:rtl/>
        </w:rPr>
        <w:lastRenderedPageBreak/>
        <w:t>5880</w:t>
      </w:r>
      <w:r w:rsidRPr="001155DE">
        <w:rPr>
          <w:rStyle w:val="libBold2Char"/>
          <w:rtl/>
        </w:rPr>
        <w:t xml:space="preserve"> / 7.</w:t>
      </w:r>
      <w:r w:rsidRPr="00020424">
        <w:rPr>
          <w:rtl/>
          <w:lang w:bidi="fa-IR"/>
        </w:rPr>
        <w:t xml:space="preserve"> أَحْمَدُ بْنُ إِدْرِيسَ ، عَنْ مُحَمَّدِ بْنِ عَبْدِ الْجَبَّارِ ، عَنْ صَفْوَانَ بْنِ يَحْيى </w:t>
      </w:r>
      <w:r w:rsidRPr="00A91B96">
        <w:rPr>
          <w:rStyle w:val="libFootnotenumChar"/>
          <w:rtl/>
        </w:rPr>
        <w:t>(1)</w:t>
      </w:r>
      <w:r w:rsidRPr="00020424">
        <w:rPr>
          <w:rtl/>
          <w:lang w:bidi="fa-IR"/>
        </w:rPr>
        <w:t xml:space="preserve"> ، عَنْ يُونُسَ بْنِ يَعْقُوبَ ، قَالَ :</w:t>
      </w:r>
    </w:p>
    <w:p w:rsidR="00992664" w:rsidRPr="00020424" w:rsidRDefault="00992664" w:rsidP="00992664">
      <w:pPr>
        <w:pStyle w:val="libNormal"/>
        <w:rPr>
          <w:rtl/>
          <w:lang w:bidi="fa-IR"/>
        </w:rPr>
      </w:pPr>
      <w:r w:rsidRPr="00020424">
        <w:rPr>
          <w:rtl/>
          <w:lang w:bidi="fa-IR"/>
        </w:rPr>
        <w:t xml:space="preserve">أَرْسَلْتُ إِلى أَبِي عَبْدِ اللهِ </w:t>
      </w:r>
      <w:r w:rsidRPr="00005A81">
        <w:rPr>
          <w:rStyle w:val="libAlaemChar"/>
          <w:rtl/>
        </w:rPr>
        <w:t>عليه‌السلام</w:t>
      </w:r>
      <w:r w:rsidRPr="00020424">
        <w:rPr>
          <w:rtl/>
          <w:lang w:bidi="fa-IR"/>
        </w:rPr>
        <w:t xml:space="preserve"> : أَنَّ لِي إِخْوَةً صِغَاراً ، فَمَتى تَجِبُ </w:t>
      </w:r>
      <w:r w:rsidRPr="00A91B96">
        <w:rPr>
          <w:rStyle w:val="libFootnotenumChar"/>
          <w:rtl/>
        </w:rPr>
        <w:t>(2)</w:t>
      </w:r>
      <w:r w:rsidRPr="00020424">
        <w:rPr>
          <w:rtl/>
          <w:lang w:bidi="fa-IR"/>
        </w:rPr>
        <w:t xml:space="preserve"> عَلى أَمْوَالِهِمُ الزَّكَاةُ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إِذَا وَجَبَتْ عَلَيْهِمُ الصَّلَاةُ ، وَجَبَتِ </w:t>
      </w:r>
      <w:r w:rsidRPr="00A91B96">
        <w:rPr>
          <w:rStyle w:val="libFootnotenumChar"/>
          <w:rtl/>
        </w:rPr>
        <w:t>(4)</w:t>
      </w:r>
      <w:r w:rsidRPr="00020424">
        <w:rPr>
          <w:rtl/>
          <w:lang w:bidi="fa-IR"/>
        </w:rPr>
        <w:t xml:space="preserve"> الزَّكَاةُ</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فَمَا </w:t>
      </w:r>
      <w:r w:rsidRPr="00A91B96">
        <w:rPr>
          <w:rStyle w:val="libFootnotenumChar"/>
          <w:rtl/>
        </w:rPr>
        <w:t>(5)</w:t>
      </w:r>
      <w:r w:rsidRPr="00020424">
        <w:rPr>
          <w:rtl/>
          <w:lang w:bidi="fa-IR"/>
        </w:rPr>
        <w:t xml:space="preserve"> لَمْ تَجِبْ </w:t>
      </w:r>
      <w:r w:rsidRPr="00A91B96">
        <w:rPr>
          <w:rStyle w:val="libFootnotenumChar"/>
          <w:rtl/>
        </w:rPr>
        <w:t>(6)</w:t>
      </w:r>
      <w:r w:rsidRPr="00020424">
        <w:rPr>
          <w:rtl/>
          <w:lang w:bidi="fa-IR"/>
        </w:rPr>
        <w:t xml:space="preserve"> عَلَيْهِمُ الصَّلَاةُ</w:t>
      </w:r>
      <w:r>
        <w:rPr>
          <w:rtl/>
          <w:lang w:bidi="fa-IR"/>
        </w:rPr>
        <w:t>؟</w:t>
      </w:r>
    </w:p>
    <w:p w:rsidR="00992664" w:rsidRPr="00020424" w:rsidRDefault="00992664" w:rsidP="00992664">
      <w:pPr>
        <w:pStyle w:val="libNormal"/>
        <w:rPr>
          <w:rtl/>
          <w:lang w:bidi="fa-IR"/>
        </w:rPr>
      </w:pPr>
      <w:r w:rsidRPr="00020424">
        <w:rPr>
          <w:rtl/>
          <w:lang w:bidi="fa-IR"/>
        </w:rPr>
        <w:t xml:space="preserve">قَالَ : « إِذَا اتُّجِرَ بِهِ </w:t>
      </w:r>
      <w:r w:rsidRPr="00A91B96">
        <w:rPr>
          <w:rStyle w:val="libFootnotenumChar"/>
          <w:rtl/>
        </w:rPr>
        <w:t>(7)</w:t>
      </w:r>
      <w:r w:rsidRPr="00020424">
        <w:rPr>
          <w:rtl/>
          <w:lang w:bidi="fa-IR"/>
        </w:rPr>
        <w:t xml:space="preserve"> فَزَكِّهِ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p>
    <w:p w:rsidR="00992664" w:rsidRPr="00020424" w:rsidRDefault="00992664" w:rsidP="00992664">
      <w:pPr>
        <w:pStyle w:val="libNormal"/>
        <w:rPr>
          <w:rtl/>
          <w:lang w:bidi="fa-IR"/>
        </w:rPr>
      </w:pPr>
      <w:r w:rsidRPr="00AC04D8">
        <w:rPr>
          <w:rtl/>
        </w:rPr>
        <w:t>5881</w:t>
      </w:r>
      <w:r w:rsidRPr="001155DE">
        <w:rPr>
          <w:rStyle w:val="libBold2Char"/>
          <w:rtl/>
        </w:rPr>
        <w:t xml:space="preserve"> / 8.</w:t>
      </w:r>
      <w:r w:rsidRPr="00020424">
        <w:rPr>
          <w:rtl/>
          <w:lang w:bidi="fa-IR"/>
        </w:rPr>
        <w:t xml:space="preserve"> مُحَمَّدُ بْنُ يَحْيى ، عَنْ مُحَمَّدِ بْنِ الْحُسَيْنِ ، عَنْ مُحَمَّدِ بْنِ الْق</w:t>
      </w:r>
      <w:r w:rsidR="00B50394">
        <w:rPr>
          <w:rtl/>
          <w:lang w:bidi="fa-IR"/>
        </w:rPr>
        <w:t>َاسِمِ بْنِ الْفُضَيْلِ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كَتَبْتُ إِلى أَبِي الْحَسَنِ الرِّضَا </w:t>
      </w:r>
      <w:r w:rsidRPr="00A91B96">
        <w:rPr>
          <w:rStyle w:val="libFootnotenumChar"/>
          <w:rtl/>
        </w:rPr>
        <w:t>(10)</w:t>
      </w:r>
      <w:r w:rsidRPr="00020424">
        <w:rPr>
          <w:rtl/>
          <w:lang w:bidi="fa-IR"/>
        </w:rPr>
        <w:t xml:space="preserve"> </w:t>
      </w:r>
      <w:r w:rsidRPr="00005A81">
        <w:rPr>
          <w:rStyle w:val="libAlaemChar"/>
          <w:rtl/>
        </w:rPr>
        <w:t>عليه‌السلام</w:t>
      </w:r>
      <w:r w:rsidRPr="00020424">
        <w:rPr>
          <w:rtl/>
          <w:lang w:bidi="fa-IR"/>
        </w:rPr>
        <w:t xml:space="preserve"> </w:t>
      </w:r>
      <w:r>
        <w:rPr>
          <w:rtl/>
          <w:lang w:bidi="fa-IR"/>
        </w:rPr>
        <w:t>أَسْأَلُهُ عَنِ الْوَصِيِّ : أَ</w:t>
      </w:r>
      <w:r w:rsidRPr="00020424">
        <w:rPr>
          <w:rtl/>
          <w:lang w:bidi="fa-IR"/>
        </w:rPr>
        <w:t xml:space="preserve">يُزَكِّي </w:t>
      </w:r>
      <w:r w:rsidRPr="00A91B96">
        <w:rPr>
          <w:rStyle w:val="libFootnotenumChar"/>
          <w:rtl/>
        </w:rPr>
        <w:t>(11)</w:t>
      </w:r>
      <w:r w:rsidRPr="00020424">
        <w:rPr>
          <w:rtl/>
          <w:lang w:bidi="fa-IR"/>
        </w:rPr>
        <w:t xml:space="preserve"> زَكَاةَ الْفِطْرَةِ </w:t>
      </w:r>
      <w:r w:rsidRPr="00A91B96">
        <w:rPr>
          <w:rStyle w:val="libFootnotenumChar"/>
          <w:rtl/>
        </w:rPr>
        <w:t>(12)</w:t>
      </w:r>
      <w:r w:rsidRPr="00020424">
        <w:rPr>
          <w:rtl/>
          <w:lang w:bidi="fa-IR"/>
        </w:rPr>
        <w:t xml:space="preserve"> عَنِ </w:t>
      </w:r>
      <w:r w:rsidRPr="00A91B96">
        <w:rPr>
          <w:rStyle w:val="libFootnotenumChar"/>
          <w:rtl/>
        </w:rPr>
        <w:t>(13)</w:t>
      </w:r>
    </w:p>
    <w:p w:rsidR="00992664" w:rsidRPr="00020424" w:rsidRDefault="00992664" w:rsidP="00992664">
      <w:pPr>
        <w:pStyle w:val="libLine"/>
        <w:rPr>
          <w:rtl/>
          <w:lang w:bidi="fa-IR"/>
        </w:rPr>
      </w:pPr>
      <w:r w:rsidRPr="00020424">
        <w:rPr>
          <w:rtl/>
          <w:lang w:bidi="fa-IR"/>
        </w:rPr>
        <w:t>__________________</w:t>
      </w:r>
    </w:p>
    <w:p w:rsidR="00992664" w:rsidRPr="00020424" w:rsidRDefault="00795341" w:rsidP="00992664">
      <w:pPr>
        <w:pStyle w:val="libFootnote0"/>
        <w:rPr>
          <w:rtl/>
          <w:lang w:bidi="fa-IR"/>
        </w:rPr>
      </w:pPr>
      <w:r>
        <w:rPr>
          <w:rFonts w:hint="cs"/>
          <w:rtl/>
        </w:rPr>
        <w:t xml:space="preserve">= </w:t>
      </w:r>
      <w:r w:rsidR="00992664" w:rsidRPr="00020424">
        <w:rPr>
          <w:rtl/>
        </w:rPr>
        <w:t xml:space="preserve">المعيشة ، باب التجارة في مال اليتيم والقرض منه ، ح 8608 ، بسند آخر ، مع اختلاف. </w:t>
      </w:r>
      <w:r w:rsidR="00992664" w:rsidRPr="0012008A">
        <w:rPr>
          <w:rStyle w:val="libFootnoteBoldChar"/>
          <w:rtl/>
        </w:rPr>
        <w:t>التهذيب</w:t>
      </w:r>
      <w:r w:rsidR="00992664" w:rsidRPr="00020424">
        <w:rPr>
          <w:rtl/>
        </w:rPr>
        <w:t xml:space="preserve"> ، ج 4 ، ص 27 ، ح 63 ، بسند آخر. </w:t>
      </w:r>
      <w:r w:rsidR="00992664" w:rsidRPr="00AC04D8">
        <w:rPr>
          <w:rtl/>
        </w:rPr>
        <w:t>وفيه</w:t>
      </w:r>
      <w:r w:rsidR="00992664" w:rsidRPr="00020424">
        <w:rPr>
          <w:rtl/>
        </w:rPr>
        <w:t xml:space="preserve"> ، ص 26 ، ح 61 ، بسند آخر عن أحدهما </w:t>
      </w:r>
      <w:r w:rsidR="00D64ADA" w:rsidRPr="00D64ADA">
        <w:rPr>
          <w:rStyle w:val="libFootnoteAlaemChar"/>
          <w:rtl/>
        </w:rPr>
        <w:t>عليهما‌السلام</w:t>
      </w:r>
      <w:r w:rsidR="00992664" w:rsidRPr="00020424">
        <w:rPr>
          <w:rtl/>
        </w:rPr>
        <w:t xml:space="preserve">. </w:t>
      </w:r>
      <w:r w:rsidR="00992664" w:rsidRPr="00AC04D8">
        <w:rPr>
          <w:rtl/>
        </w:rPr>
        <w:t>وفيه</w:t>
      </w:r>
      <w:r w:rsidR="00992664" w:rsidRPr="00020424">
        <w:rPr>
          <w:rtl/>
        </w:rPr>
        <w:t xml:space="preserve"> أيضاً ، ح 62 ، بسند آخر عن أبي جعفر </w:t>
      </w:r>
      <w:r w:rsidR="00992664" w:rsidRPr="00D64ADA">
        <w:rPr>
          <w:rStyle w:val="libFootnoteAlaemChar"/>
          <w:rtl/>
        </w:rPr>
        <w:t>عليه‌السلام</w:t>
      </w:r>
      <w:r w:rsidR="00992664" w:rsidRPr="00020424">
        <w:rPr>
          <w:rtl/>
        </w:rPr>
        <w:t xml:space="preserve">. </w:t>
      </w:r>
      <w:r w:rsidR="00992664" w:rsidRPr="00AC04D8">
        <w:rPr>
          <w:rtl/>
        </w:rPr>
        <w:t>الجعفريّات</w:t>
      </w:r>
      <w:r w:rsidR="00992664" w:rsidRPr="00020424">
        <w:rPr>
          <w:rtl/>
        </w:rPr>
        <w:t xml:space="preserve"> ، ص 54 ، بسند آخر عن جعفر بن محمّد ، عن أبيه </w:t>
      </w:r>
      <w:r w:rsidR="00992664" w:rsidRPr="00D64ADA">
        <w:rPr>
          <w:rStyle w:val="libFootnoteAlaemChar"/>
          <w:rtl/>
        </w:rPr>
        <w:t>عليهم‌السلام</w:t>
      </w:r>
      <w:r w:rsidR="00992664" w:rsidRPr="00020424">
        <w:rPr>
          <w:rtl/>
        </w:rPr>
        <w:t xml:space="preserve">. وفي الأربعة الأخيرة فقرة : « ليس في مال اليتيم زكاة » مع اختلاف يسير. </w:t>
      </w:r>
      <w:r w:rsidR="00992664" w:rsidRPr="0012008A">
        <w:rPr>
          <w:rStyle w:val="libFootnoteBoldChar"/>
          <w:rtl/>
        </w:rPr>
        <w:t>الفقيه</w:t>
      </w:r>
      <w:r w:rsidR="00992664" w:rsidRPr="00020424">
        <w:rPr>
          <w:rtl/>
        </w:rPr>
        <w:t xml:space="preserve"> ، ج 2 ، ص 16 ، ذيل ح 1599 ، إلى قوله : « فالربح لليتيم » مع اختلاف يسير </w:t>
      </w:r>
      <w:r>
        <w:rPr>
          <w:rFonts w:hint="cs"/>
          <w:rtl/>
        </w:rPr>
        <w:t>.</w:t>
      </w:r>
      <w:r w:rsidR="00992664" w:rsidRPr="0012008A">
        <w:rPr>
          <w:rStyle w:val="libFootnoteBoldChar"/>
          <w:rtl/>
        </w:rPr>
        <w:t>الوافي</w:t>
      </w:r>
      <w:r w:rsidR="00992664" w:rsidRPr="00020424">
        <w:rPr>
          <w:rtl/>
        </w:rPr>
        <w:t xml:space="preserve"> ، ج 10 ، ص 126 ، ح 9286 ؛ </w:t>
      </w:r>
      <w:r w:rsidR="00992664" w:rsidRPr="0012008A">
        <w:rPr>
          <w:rStyle w:val="libFootnoteBoldChar"/>
          <w:rtl/>
        </w:rPr>
        <w:t>الوسائل</w:t>
      </w:r>
      <w:r w:rsidR="00992664" w:rsidRPr="00020424">
        <w:rPr>
          <w:rtl/>
        </w:rPr>
        <w:t xml:space="preserve"> ، ج 9 ، ص 87 ، ح 11588.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بر » وحاشية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بخ » </w:t>
      </w:r>
      <w:r w:rsidR="00992664" w:rsidRPr="00515444">
        <w:rPr>
          <w:rStyle w:val="libFootnoteBoldChar"/>
          <w:rtl/>
        </w:rPr>
        <w:t>والوافي</w:t>
      </w:r>
      <w:r w:rsidR="00992664" w:rsidRPr="00020424">
        <w:rPr>
          <w:rtl/>
        </w:rPr>
        <w:t xml:space="preserve"> : « يجب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03C99" w:rsidTr="00403C99">
        <w:tc>
          <w:tcPr>
            <w:tcW w:w="4006" w:type="dxa"/>
          </w:tcPr>
          <w:p w:rsidR="00403C99" w:rsidRDefault="00403C99"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:+«عليهم</w:t>
            </w:r>
            <w:r>
              <w:rPr>
                <w:rtl/>
              </w:rPr>
              <w:t>».</w:t>
            </w:r>
          </w:p>
        </w:tc>
        <w:tc>
          <w:tcPr>
            <w:tcW w:w="4006" w:type="dxa"/>
          </w:tcPr>
          <w:p w:rsidR="00403C99" w:rsidRDefault="00403C99" w:rsidP="00992664">
            <w:pPr>
              <w:pStyle w:val="libFootnote0"/>
              <w:rPr>
                <w:rtl/>
              </w:rPr>
            </w:pPr>
            <w:r>
              <w:rPr>
                <w:rtl/>
              </w:rPr>
              <w:t xml:space="preserve">(5). </w:t>
            </w:r>
            <w:r w:rsidRPr="00020424">
              <w:rPr>
                <w:rtl/>
              </w:rPr>
              <w:t>في الاستبصار : « فإن</w:t>
            </w:r>
            <w:r>
              <w:rPr>
                <w:rtl/>
              </w:rPr>
              <w:t xml:space="preserve"> ».</w:t>
            </w:r>
          </w:p>
        </w:tc>
      </w:tr>
      <w:tr w:rsidR="00403C99" w:rsidTr="00403C99">
        <w:tc>
          <w:tcPr>
            <w:tcW w:w="4006" w:type="dxa"/>
          </w:tcPr>
          <w:p w:rsidR="00403C99" w:rsidRDefault="00403C99" w:rsidP="00992664">
            <w:pPr>
              <w:pStyle w:val="libFootnote0"/>
              <w:rPr>
                <w:rtl/>
              </w:rPr>
            </w:pPr>
            <w:r>
              <w:rPr>
                <w:rtl/>
              </w:rPr>
              <w:t xml:space="preserve">(6). </w:t>
            </w:r>
            <w:r w:rsidRPr="00020424">
              <w:rPr>
                <w:rtl/>
              </w:rPr>
              <w:t>في « ى ، بح » : « لم يجب</w:t>
            </w:r>
            <w:r>
              <w:rPr>
                <w:rtl/>
              </w:rPr>
              <w:t xml:space="preserve"> ».</w:t>
            </w:r>
          </w:p>
        </w:tc>
        <w:tc>
          <w:tcPr>
            <w:tcW w:w="4006" w:type="dxa"/>
          </w:tcPr>
          <w:p w:rsidR="00403C99" w:rsidRDefault="00403C99" w:rsidP="00992664">
            <w:pPr>
              <w:pStyle w:val="libFootnote0"/>
              <w:rPr>
                <w:rtl/>
              </w:rPr>
            </w:pPr>
            <w:r>
              <w:rPr>
                <w:rtl/>
              </w:rPr>
              <w:t xml:space="preserve">(7). </w:t>
            </w:r>
            <w:r w:rsidRPr="00020424">
              <w:rPr>
                <w:rtl/>
              </w:rPr>
              <w:t>في«بس»:«اتّجرت»بدل«اتّجر به</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فزكّوه</w:t>
      </w:r>
      <w:r w:rsidR="00992664">
        <w:rPr>
          <w:rtl/>
        </w:rPr>
        <w:t xml:space="preserve"> ».</w:t>
      </w:r>
      <w:r w:rsidR="00992664" w:rsidRPr="00020424">
        <w:rPr>
          <w:rtl/>
        </w:rPr>
        <w:t xml:space="preserve"> وفي الاستبصار : « فزكاة</w:t>
      </w:r>
      <w:r w:rsidR="00992664">
        <w:rPr>
          <w:rtl/>
        </w:rPr>
        <w:t xml:space="preserve"> ».</w:t>
      </w:r>
    </w:p>
    <w:p w:rsidR="00992664" w:rsidRPr="00020424" w:rsidRDefault="00795177" w:rsidP="0032699B">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27 ، ح 66 ؛ </w:t>
      </w:r>
      <w:r w:rsidR="00992664" w:rsidRPr="00FD6221">
        <w:rPr>
          <w:rStyle w:val="libFootnoteBoldChar"/>
          <w:rtl/>
        </w:rPr>
        <w:t>والاستبصار</w:t>
      </w:r>
      <w:r w:rsidR="00992664" w:rsidRPr="00020424">
        <w:rPr>
          <w:rtl/>
        </w:rPr>
        <w:t xml:space="preserve"> ، ج 2 ، ص 29 ، ح 84 ، معلّقاً عن الكليني</w:t>
      </w:r>
      <w:r w:rsidR="0032699B">
        <w:rPr>
          <w:rFonts w:hint="cs"/>
          <w:rtl/>
        </w:rPr>
        <w:t xml:space="preserve"> . </w:t>
      </w:r>
      <w:r w:rsidR="00992664" w:rsidRPr="0012008A">
        <w:rPr>
          <w:rStyle w:val="libFootnoteBoldChar"/>
          <w:rtl/>
        </w:rPr>
        <w:t>الوافي</w:t>
      </w:r>
      <w:r w:rsidR="00992664" w:rsidRPr="00020424">
        <w:rPr>
          <w:rtl/>
        </w:rPr>
        <w:t xml:space="preserve"> ، ج 10 ، ص 126 ، ح 9287 ؛ </w:t>
      </w:r>
      <w:r w:rsidR="00992664" w:rsidRPr="0012008A">
        <w:rPr>
          <w:rStyle w:val="libFootnoteBoldChar"/>
          <w:rtl/>
        </w:rPr>
        <w:t>الوسائل</w:t>
      </w:r>
      <w:r w:rsidR="00992664" w:rsidRPr="00020424">
        <w:rPr>
          <w:rtl/>
        </w:rPr>
        <w:t xml:space="preserve"> ، ج 9 ، ص 85 ، ح 11579.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الرضا</w:t>
      </w:r>
      <w:r w:rsidR="00992664">
        <w:rPr>
          <w:rtl/>
        </w:rPr>
        <w:t xml:space="preserve"> ».</w:t>
      </w:r>
    </w:p>
    <w:p w:rsidR="00992664" w:rsidRPr="00020424" w:rsidRDefault="00795177" w:rsidP="00ED7A2E">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والكافي ، ح 6663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 يزكّي » من دون همزة الاستفهام. وفي حاشية « جن » : « هل يزكّي</w:t>
      </w:r>
      <w:r w:rsidR="00992664">
        <w:rPr>
          <w:rtl/>
        </w:rPr>
        <w:t xml:space="preserve"> ».</w:t>
      </w:r>
      <w:r w:rsidR="00ED7A2E">
        <w:rPr>
          <w:rFonts w:hint="cs"/>
          <w:rtl/>
        </w:rPr>
        <w:t xml:space="preserve">        </w:t>
      </w:r>
      <w:r w:rsidR="00E238DE">
        <w:rPr>
          <w:rFonts w:hint="cs"/>
          <w:rtl/>
        </w:rPr>
        <w:t xml:space="preserve">   </w:t>
      </w: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الفطر</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 « على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الْيَتَامى </w:t>
      </w:r>
      <w:r w:rsidRPr="00A91B96">
        <w:rPr>
          <w:rStyle w:val="libFootnotenumChar"/>
          <w:rtl/>
        </w:rPr>
        <w:t>(1)</w:t>
      </w:r>
      <w:r w:rsidRPr="00020424">
        <w:rPr>
          <w:rtl/>
          <w:lang w:bidi="fa-IR"/>
        </w:rPr>
        <w:t xml:space="preserve"> إِذَا كَانَ لَهُمْ مَالٌ</w:t>
      </w:r>
      <w:r>
        <w:rPr>
          <w:rtl/>
          <w:lang w:bidi="fa-IR"/>
        </w:rPr>
        <w:t>؟</w:t>
      </w:r>
    </w:p>
    <w:p w:rsidR="00992664" w:rsidRPr="00020424" w:rsidRDefault="00992664" w:rsidP="00992664">
      <w:pPr>
        <w:pStyle w:val="libNormal"/>
        <w:rPr>
          <w:rtl/>
          <w:lang w:bidi="fa-IR"/>
        </w:rPr>
      </w:pPr>
      <w:r w:rsidRPr="00020424">
        <w:rPr>
          <w:rtl/>
          <w:lang w:bidi="fa-IR"/>
        </w:rPr>
        <w:t xml:space="preserve">قَالَ : فَكَتَبَ </w:t>
      </w:r>
      <w:r w:rsidRPr="00005A81">
        <w:rPr>
          <w:rStyle w:val="libAlaemChar"/>
          <w:rtl/>
        </w:rPr>
        <w:t>عليه‌السلام</w:t>
      </w:r>
      <w:r w:rsidRPr="00020424">
        <w:rPr>
          <w:rtl/>
          <w:lang w:bidi="fa-IR"/>
        </w:rPr>
        <w:t xml:space="preserve"> : « لَا زَكَاةَ عَلى يَتِيمٍ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Heading2Center"/>
        <w:rPr>
          <w:rtl/>
          <w:lang w:bidi="fa-IR"/>
        </w:rPr>
      </w:pPr>
      <w:bookmarkStart w:id="84" w:name="_Toc345172744"/>
      <w:bookmarkStart w:id="85" w:name="_Toc464562561"/>
      <w:bookmarkStart w:id="86" w:name="_Toc44599864"/>
      <w:r w:rsidRPr="00020424">
        <w:rPr>
          <w:rtl/>
          <w:lang w:bidi="fa-IR"/>
        </w:rPr>
        <w:t>24</w:t>
      </w:r>
      <w:r>
        <w:rPr>
          <w:rtl/>
          <w:lang w:bidi="fa-IR"/>
        </w:rPr>
        <w:t xml:space="preserve"> </w:t>
      </w:r>
      <w:r w:rsidR="009B673F">
        <w:rPr>
          <w:rtl/>
          <w:lang w:bidi="fa-IR"/>
        </w:rPr>
        <w:t>-</w:t>
      </w:r>
      <w:r>
        <w:rPr>
          <w:rtl/>
          <w:lang w:bidi="fa-IR"/>
        </w:rPr>
        <w:t xml:space="preserve"> </w:t>
      </w:r>
      <w:r w:rsidRPr="00020424">
        <w:rPr>
          <w:rtl/>
          <w:lang w:bidi="fa-IR"/>
        </w:rPr>
        <w:t xml:space="preserve">بَابُ زَكَاةِ مَالِ </w:t>
      </w:r>
      <w:r w:rsidRPr="00A91B96">
        <w:rPr>
          <w:rStyle w:val="libFootnotenumChar"/>
          <w:rtl/>
        </w:rPr>
        <w:t>(4)</w:t>
      </w:r>
      <w:r>
        <w:rPr>
          <w:rtl/>
        </w:rPr>
        <w:t xml:space="preserve"> </w:t>
      </w:r>
      <w:r w:rsidRPr="00020424">
        <w:rPr>
          <w:rtl/>
          <w:lang w:bidi="fa-IR"/>
        </w:rPr>
        <w:t>الْمَمْلُوكِ وَالْمُكَاتَبِ وَالْمَجْنُونِ‌</w:t>
      </w:r>
      <w:bookmarkEnd w:id="84"/>
      <w:bookmarkEnd w:id="85"/>
      <w:bookmarkEnd w:id="86"/>
    </w:p>
    <w:p w:rsidR="00992664" w:rsidRPr="00020424" w:rsidRDefault="00992664" w:rsidP="00992664">
      <w:pPr>
        <w:pStyle w:val="libNormal"/>
        <w:rPr>
          <w:rtl/>
          <w:lang w:bidi="fa-IR"/>
        </w:rPr>
      </w:pPr>
      <w:r w:rsidRPr="00AC04D8">
        <w:rPr>
          <w:rtl/>
        </w:rPr>
        <w:t>5882</w:t>
      </w:r>
      <w:r w:rsidRPr="001155DE">
        <w:rPr>
          <w:rStyle w:val="libBold2Char"/>
          <w:rtl/>
        </w:rPr>
        <w:t xml:space="preserve"> / 1.</w:t>
      </w:r>
      <w:r w:rsidRPr="00020424">
        <w:rPr>
          <w:rtl/>
          <w:lang w:bidi="fa-IR"/>
        </w:rPr>
        <w:t xml:space="preserve"> عَلِيُّ بْنُ إِبْرَاهِيمَ ، عَنْ أَبِيهِ ، عَنِ ابْنِ أَبِي عُمَيْرٍ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 فِي مَالِ الْمَمْلُوكِ شَيْ‌ءٌ وَلَوْ كَانَ لَهُ </w:t>
      </w:r>
      <w:r w:rsidRPr="00A91B96">
        <w:rPr>
          <w:rStyle w:val="libFootnotenumChar"/>
          <w:rtl/>
        </w:rPr>
        <w:t>(5)</w:t>
      </w:r>
      <w:r w:rsidRPr="00020424">
        <w:rPr>
          <w:rtl/>
          <w:lang w:bidi="fa-IR"/>
        </w:rPr>
        <w:t xml:space="preserve"> أَلْفُ أَلْفٍ </w:t>
      </w:r>
      <w:r w:rsidRPr="00A91B96">
        <w:rPr>
          <w:rStyle w:val="libFootnotenumChar"/>
          <w:rtl/>
        </w:rPr>
        <w:t>(6)</w:t>
      </w:r>
      <w:r w:rsidRPr="00020424">
        <w:rPr>
          <w:rtl/>
          <w:lang w:bidi="fa-IR"/>
        </w:rPr>
        <w:t xml:space="preserve"> ، وَلَوِ </w:t>
      </w:r>
      <w:r w:rsidRPr="00A91B96">
        <w:rPr>
          <w:rStyle w:val="libFootnotenumChar"/>
          <w:rtl/>
        </w:rPr>
        <w:t>(7)</w:t>
      </w:r>
      <w:r w:rsidRPr="00020424">
        <w:rPr>
          <w:rtl/>
          <w:lang w:bidi="fa-IR"/>
        </w:rPr>
        <w:t xml:space="preserve"> احْتَاجَ لَمْ يُعْطَ مِنَ الزَّكَاةِ شَيْئاً</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AC04D8">
        <w:rPr>
          <w:rtl/>
        </w:rPr>
        <w:t>5883</w:t>
      </w:r>
      <w:r w:rsidRPr="001155DE">
        <w:rPr>
          <w:rStyle w:val="libBold2Char"/>
          <w:rtl/>
        </w:rPr>
        <w:t xml:space="preserve"> / 2.</w:t>
      </w:r>
      <w:r w:rsidRPr="00020424">
        <w:rPr>
          <w:rtl/>
          <w:lang w:bidi="fa-IR"/>
        </w:rPr>
        <w:t xml:space="preserve"> مُحَمَّدُ بْنُ إِسْمَاعِيلَ ، عَنِ الْفَضْلِ بْنِ شَاذَانَ ، عَنِ ابْنِ أَبِي عُمَيْرٍ ، عَنْ عَبْدِ الرَّحْمنِ بْنِ الْحَجَّاجِ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امْرَأَةٌ مِنْ أَهْلِنَا مُخْتَلِطَةٌ </w:t>
      </w:r>
      <w:r w:rsidRPr="00A91B96">
        <w:rPr>
          <w:rStyle w:val="libFootnotenumChar"/>
          <w:rtl/>
        </w:rPr>
        <w:t>(9)</w:t>
      </w:r>
      <w:r>
        <w:rPr>
          <w:rtl/>
          <w:lang w:bidi="fa-IR"/>
        </w:rPr>
        <w:t xml:space="preserve"> ، أَ</w:t>
      </w:r>
      <w:r w:rsidRPr="00020424">
        <w:rPr>
          <w:rtl/>
          <w:lang w:bidi="fa-IR"/>
        </w:rPr>
        <w:t xml:space="preserve">عَلَيْهَا </w:t>
      </w:r>
      <w:r w:rsidRPr="00A91B96">
        <w:rPr>
          <w:rStyle w:val="libFootnotenumChar"/>
          <w:rtl/>
        </w:rPr>
        <w:t>(10)</w:t>
      </w:r>
      <w:r w:rsidRPr="00020424">
        <w:rPr>
          <w:rtl/>
          <w:lang w:bidi="fa-IR"/>
        </w:rPr>
        <w:t xml:space="preserve"> زَكَاةٌ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جن » : « اليتيمة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بف » : « اليتيم</w:t>
      </w:r>
      <w:r w:rsidR="00992664">
        <w:rPr>
          <w:rtl/>
        </w:rPr>
        <w:t xml:space="preserve"> ».</w:t>
      </w:r>
      <w:r w:rsidR="00992664" w:rsidRPr="00020424">
        <w:rPr>
          <w:rtl/>
        </w:rPr>
        <w:t xml:space="preserve"> وفي </w:t>
      </w:r>
      <w:r w:rsidR="00992664" w:rsidRPr="00AC04D8">
        <w:rPr>
          <w:rtl/>
        </w:rPr>
        <w:t>مرآة العقول</w:t>
      </w:r>
      <w:r w:rsidR="00992664" w:rsidRPr="00020424">
        <w:rPr>
          <w:rtl/>
        </w:rPr>
        <w:t xml:space="preserve"> : « ولا خلاف في عدم وجوب زكاة الفطرة على الصبيّ والمجنون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AC04D8">
        <w:rPr>
          <w:rtl/>
        </w:rPr>
        <w:t>الكافي</w:t>
      </w:r>
      <w:r w:rsidR="00992664" w:rsidRPr="00020424">
        <w:rPr>
          <w:rtl/>
        </w:rPr>
        <w:t xml:space="preserve"> ، كتاب الصيام ، باب الفطرة ، صدر ح 6663 ، عن محمّد بن الحسين. وفي </w:t>
      </w:r>
      <w:r w:rsidR="00992664" w:rsidRPr="0012008A">
        <w:rPr>
          <w:rStyle w:val="libFootnoteBoldChar"/>
          <w:rtl/>
        </w:rPr>
        <w:t>الفقيه</w:t>
      </w:r>
      <w:r w:rsidR="00992664" w:rsidRPr="00020424">
        <w:rPr>
          <w:rtl/>
        </w:rPr>
        <w:t xml:space="preserve"> ، ج 2 ، ص 177 ، ح 2065 ، معلّقاً عن محمّد بن القاسم بن الفضيل ؛ </w:t>
      </w:r>
      <w:r w:rsidR="00992664" w:rsidRPr="0012008A">
        <w:rPr>
          <w:rStyle w:val="libFootnoteBoldChar"/>
          <w:rtl/>
        </w:rPr>
        <w:t>التهذيب</w:t>
      </w:r>
      <w:r w:rsidR="00992664" w:rsidRPr="00020424">
        <w:rPr>
          <w:rtl/>
        </w:rPr>
        <w:t xml:space="preserve"> ، ج 4 ، ص 30 ، ح 74 ؛ وص 334 ، ح 1049 ، بسنده عن محمّد بن القاسم بن الفضيل ، وفي كلّ المصادر مع اختلاف يسير </w:t>
      </w:r>
      <w:r w:rsidR="007F2DAE">
        <w:rPr>
          <w:rFonts w:hint="cs"/>
          <w:rtl/>
        </w:rPr>
        <w:t>.</w:t>
      </w:r>
      <w:r w:rsidR="00992664" w:rsidRPr="0012008A">
        <w:rPr>
          <w:rStyle w:val="libFootnoteBoldChar"/>
          <w:rtl/>
        </w:rPr>
        <w:t>الوافي</w:t>
      </w:r>
      <w:r w:rsidR="00992664" w:rsidRPr="00020424">
        <w:rPr>
          <w:rtl/>
        </w:rPr>
        <w:t xml:space="preserve"> ، ج 10 ، ص 126 ، ح 9288 ؛ </w:t>
      </w:r>
      <w:r w:rsidR="00992664" w:rsidRPr="0012008A">
        <w:rPr>
          <w:rStyle w:val="libFootnoteBoldChar"/>
          <w:rtl/>
        </w:rPr>
        <w:t>الوسائل</w:t>
      </w:r>
      <w:r w:rsidR="00992664" w:rsidRPr="00020424">
        <w:rPr>
          <w:rtl/>
        </w:rPr>
        <w:t xml:space="preserve"> ، ج 9 ، ص 84 ، ح 11578.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مال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91B84" w:rsidTr="00991B84">
        <w:tc>
          <w:tcPr>
            <w:tcW w:w="4006" w:type="dxa"/>
          </w:tcPr>
          <w:p w:rsidR="00991B84" w:rsidRDefault="00991B84" w:rsidP="00992664">
            <w:pPr>
              <w:pStyle w:val="libFootnote0"/>
              <w:rPr>
                <w:rtl/>
              </w:rPr>
            </w:pPr>
            <w:r>
              <w:rPr>
                <w:rtl/>
              </w:rPr>
              <w:t xml:space="preserve">(5).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له</w:t>
            </w:r>
            <w:r>
              <w:rPr>
                <w:rtl/>
              </w:rPr>
              <w:t xml:space="preserve"> ».</w:t>
            </w:r>
          </w:p>
        </w:tc>
        <w:tc>
          <w:tcPr>
            <w:tcW w:w="4006" w:type="dxa"/>
          </w:tcPr>
          <w:p w:rsidR="00991B84" w:rsidRDefault="00991B84" w:rsidP="00992664">
            <w:pPr>
              <w:pStyle w:val="libFootnote0"/>
              <w:rPr>
                <w:rtl/>
              </w:rPr>
            </w:pPr>
            <w:r>
              <w:rPr>
                <w:rtl/>
              </w:rPr>
              <w:t xml:space="preserve">(6). </w:t>
            </w:r>
            <w:r w:rsidRPr="00020424">
              <w:rPr>
                <w:rtl/>
              </w:rPr>
              <w:t xml:space="preserve">في </w:t>
            </w:r>
            <w:r w:rsidRPr="0012008A">
              <w:rPr>
                <w:rStyle w:val="libFootnoteBoldChar"/>
                <w:rtl/>
              </w:rPr>
              <w:t>الفقيه</w:t>
            </w:r>
            <w:r w:rsidRPr="00020424">
              <w:rPr>
                <w:rtl/>
              </w:rPr>
              <w:t xml:space="preserve"> : + « درهم</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 أنّه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36 ، ح 1634 ، معلّقاً عن عبدالله بن سنان ، مع اختلاف يسير. وفي </w:t>
      </w:r>
      <w:r w:rsidR="00992664" w:rsidRPr="00AC04D8">
        <w:rPr>
          <w:rtl/>
        </w:rPr>
        <w:t>قرب الإسناد</w:t>
      </w:r>
      <w:r w:rsidR="00992664" w:rsidRPr="00020424">
        <w:rPr>
          <w:rtl/>
        </w:rPr>
        <w:t xml:space="preserve"> ، ص 228 ، ضمن ح 893 ؛ </w:t>
      </w:r>
      <w:r w:rsidR="00992664" w:rsidRPr="00AC04D8">
        <w:rPr>
          <w:rtl/>
        </w:rPr>
        <w:t>مسائل علي بن جعفر</w:t>
      </w:r>
      <w:r w:rsidR="00992664" w:rsidRPr="00020424">
        <w:rPr>
          <w:rtl/>
        </w:rPr>
        <w:t xml:space="preserve"> ، ص 259 ، ضمن ح 627 ، هك</w:t>
      </w:r>
      <w:r w:rsidR="009B165B">
        <w:rPr>
          <w:rtl/>
        </w:rPr>
        <w:t>ذا : « ليس على المملوك زكاة إل</w:t>
      </w:r>
      <w:r w:rsidR="009B165B">
        <w:rPr>
          <w:rFonts w:hint="cs"/>
          <w:rtl/>
        </w:rPr>
        <w:t>ّ</w:t>
      </w:r>
      <w:r w:rsidR="009B165B">
        <w:rPr>
          <w:rtl/>
        </w:rPr>
        <w:t>ا</w:t>
      </w:r>
      <w:r w:rsidR="00992664" w:rsidRPr="00020424">
        <w:rPr>
          <w:rtl/>
        </w:rPr>
        <w:t xml:space="preserve">بإذن مواليه » ، </w:t>
      </w:r>
      <w:r w:rsidR="00992664" w:rsidRPr="00AC04D8">
        <w:rPr>
          <w:rtl/>
        </w:rPr>
        <w:t>وفيه</w:t>
      </w:r>
      <w:r w:rsidR="00992664" w:rsidRPr="00020424">
        <w:rPr>
          <w:rtl/>
        </w:rPr>
        <w:t xml:space="preserve"> ، ص 143 ، ح 167 ، هذه الفقره : « ليس في مال المملوك شي‌ء » مع اختلاف يسير </w:t>
      </w:r>
      <w:r w:rsidR="00586326">
        <w:rPr>
          <w:rFonts w:hint="cs"/>
          <w:rtl/>
        </w:rPr>
        <w:t>.</w:t>
      </w:r>
      <w:r w:rsidR="00992664" w:rsidRPr="0012008A">
        <w:rPr>
          <w:rStyle w:val="libFootnoteBoldChar"/>
          <w:rtl/>
        </w:rPr>
        <w:t>الوافي</w:t>
      </w:r>
      <w:r w:rsidR="00992664" w:rsidRPr="00020424">
        <w:rPr>
          <w:rtl/>
        </w:rPr>
        <w:t xml:space="preserve"> ، ج 10 ، ص 130 ، ح 9301 ؛ </w:t>
      </w:r>
      <w:r w:rsidR="00992664" w:rsidRPr="0012008A">
        <w:rPr>
          <w:rStyle w:val="libFootnoteBoldChar"/>
          <w:rtl/>
        </w:rPr>
        <w:t>الوسائل</w:t>
      </w:r>
      <w:r w:rsidR="00992664" w:rsidRPr="00020424">
        <w:rPr>
          <w:rtl/>
        </w:rPr>
        <w:t xml:space="preserve"> ، ج 9 ، ص 91 ، ح 11597.</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مختلطة » أي فاسدة في عقلها. راجع : </w:t>
      </w:r>
      <w:r w:rsidR="00992664" w:rsidRPr="0012008A">
        <w:rPr>
          <w:rStyle w:val="libFootnoteBoldChar"/>
          <w:rtl/>
        </w:rPr>
        <w:t>الصحاح</w:t>
      </w:r>
      <w:r w:rsidR="00992664" w:rsidRPr="00020424">
        <w:rPr>
          <w:rtl/>
        </w:rPr>
        <w:t xml:space="preserve"> ، ج 3 ، ص 1124 ؛ </w:t>
      </w:r>
      <w:r w:rsidR="00992664" w:rsidRPr="00A722B1">
        <w:rPr>
          <w:rStyle w:val="libFootnoteBoldChar"/>
          <w:rtl/>
        </w:rPr>
        <w:t>القاموس المحيط</w:t>
      </w:r>
      <w:r w:rsidR="00992664" w:rsidRPr="00020424">
        <w:rPr>
          <w:rtl/>
        </w:rPr>
        <w:t xml:space="preserve"> ، ج 1 ، ص 899 ( خلط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عليها » بدون همزة الاستفهام.</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A91B96">
        <w:rPr>
          <w:rStyle w:val="libFootnotenumChar"/>
          <w:rtl/>
        </w:rPr>
        <w:t>(1)</w:t>
      </w:r>
      <w:r w:rsidRPr="00020424">
        <w:rPr>
          <w:rtl/>
          <w:lang w:bidi="fa-IR"/>
        </w:rPr>
        <w:t xml:space="preserve"> : « إِنْ كَانَ عُمِلَ بِهِ ، فَعَلَيْهَا زَكَاةٌ </w:t>
      </w:r>
      <w:r w:rsidRPr="00A91B96">
        <w:rPr>
          <w:rStyle w:val="libFootnotenumChar"/>
          <w:rtl/>
        </w:rPr>
        <w:t>(2)</w:t>
      </w:r>
      <w:r w:rsidRPr="00020424">
        <w:rPr>
          <w:rtl/>
          <w:lang w:bidi="fa-IR"/>
        </w:rPr>
        <w:t xml:space="preserve"> ؛ وَإِنْ لَمْ يُعْمَلْ بِهِ ، فَلَا</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AC04D8">
        <w:rPr>
          <w:rtl/>
        </w:rPr>
        <w:t>5884</w:t>
      </w:r>
      <w:r w:rsidRPr="001155DE">
        <w:rPr>
          <w:rStyle w:val="libBold2Char"/>
          <w:rtl/>
        </w:rPr>
        <w:t xml:space="preserve"> / 3.</w:t>
      </w:r>
      <w:r w:rsidRPr="00020424">
        <w:rPr>
          <w:rtl/>
          <w:lang w:bidi="fa-IR"/>
        </w:rPr>
        <w:t xml:space="preserve"> مُحَمَّدُ بْنُ يَحْيى ، عَنْ أَحْمَدَ بْنِ مُحَمَّدٍ ، عَنِ الْعَبَّاسِ بْنِ مَعْرُوفٍ ، عَنْ عَلِيِّ بْنِ مَهْزِيَارَ ، عَنِ </w:t>
      </w:r>
      <w:r w:rsidRPr="00A91B96">
        <w:rPr>
          <w:rStyle w:val="libFootnotenumChar"/>
          <w:rtl/>
        </w:rPr>
        <w:t>(4)</w:t>
      </w:r>
      <w:r w:rsidRPr="00020424">
        <w:rPr>
          <w:rtl/>
          <w:lang w:bidi="fa-IR"/>
        </w:rPr>
        <w:t xml:space="preserve"> الْحُسَيْنِ بْنِ سَعِيدٍ ، عَنْ مُحَمَّدِ بْنِ الْفُضَيْلِ </w:t>
      </w:r>
      <w:r w:rsidRPr="00A91B96">
        <w:rPr>
          <w:rStyle w:val="libFootnotenumChar"/>
          <w:rtl/>
        </w:rPr>
        <w:t>(5)</w:t>
      </w:r>
      <w:r w:rsidRPr="00020424">
        <w:rPr>
          <w:rtl/>
          <w:lang w:bidi="fa-IR"/>
        </w:rPr>
        <w:t xml:space="preserve"> ، عَنْ مُوسَى بْنِ بَكْرٍ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امْرَأَةٍ مُصَابَةٍ </w:t>
      </w:r>
      <w:r w:rsidRPr="00A91B96">
        <w:rPr>
          <w:rStyle w:val="libFootnotenumChar"/>
          <w:rtl/>
        </w:rPr>
        <w:t>(6)</w:t>
      </w:r>
      <w:r w:rsidRPr="00020424">
        <w:rPr>
          <w:rtl/>
          <w:lang w:bidi="fa-IR"/>
        </w:rPr>
        <w:t xml:space="preserve"> وَلَهَا </w:t>
      </w:r>
      <w:r w:rsidRPr="00A91B96">
        <w:rPr>
          <w:rStyle w:val="libFootnotenumChar"/>
          <w:rtl/>
        </w:rPr>
        <w:t>(7)</w:t>
      </w:r>
      <w:r w:rsidRPr="00020424">
        <w:rPr>
          <w:rtl/>
          <w:lang w:bidi="fa-IR"/>
        </w:rPr>
        <w:t xml:space="preserve"> مَالٌ فِي يَدِ أَخِيهَا ، هَلْ </w:t>
      </w:r>
      <w:r w:rsidRPr="00A91B96">
        <w:rPr>
          <w:rStyle w:val="libFootnotenumChar"/>
          <w:rtl/>
        </w:rPr>
        <w:t>(8)</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33845" w:rsidTr="00333845">
        <w:tc>
          <w:tcPr>
            <w:tcW w:w="4006" w:type="dxa"/>
          </w:tcPr>
          <w:p w:rsidR="00333845" w:rsidRDefault="00333845" w:rsidP="00992664">
            <w:pPr>
              <w:pStyle w:val="libFootnote0"/>
              <w:rPr>
                <w:rtl/>
              </w:rPr>
            </w:pPr>
            <w:r>
              <w:rPr>
                <w:rtl/>
              </w:rPr>
              <w:t xml:space="preserve">(1). </w:t>
            </w:r>
            <w:r w:rsidRPr="00020424">
              <w:rPr>
                <w:rtl/>
              </w:rPr>
              <w:t xml:space="preserve">في « بث ، بخ ، بر ، بف » </w:t>
            </w:r>
            <w:r w:rsidRPr="00515444">
              <w:rPr>
                <w:rStyle w:val="libFootnoteBoldChar"/>
                <w:rtl/>
              </w:rPr>
              <w:t>والوافي</w:t>
            </w:r>
            <w:r w:rsidRPr="00020424">
              <w:rPr>
                <w:rtl/>
              </w:rPr>
              <w:t xml:space="preserve"> : « قال</w:t>
            </w:r>
            <w:r>
              <w:rPr>
                <w:rtl/>
              </w:rPr>
              <w:t xml:space="preserve"> ».</w:t>
            </w:r>
          </w:p>
        </w:tc>
        <w:tc>
          <w:tcPr>
            <w:tcW w:w="4006" w:type="dxa"/>
          </w:tcPr>
          <w:p w:rsidR="00333845" w:rsidRDefault="00FD703E" w:rsidP="00992664">
            <w:pPr>
              <w:pStyle w:val="libFootnote0"/>
              <w:rPr>
                <w:rtl/>
              </w:rPr>
            </w:pPr>
            <w:r>
              <w:rPr>
                <w:rtl/>
              </w:rPr>
              <w:t xml:space="preserve">(2). </w:t>
            </w:r>
            <w:r w:rsidRPr="00020424">
              <w:rPr>
                <w:rtl/>
              </w:rPr>
              <w:t xml:space="preserve">في « بث » </w:t>
            </w:r>
            <w:r w:rsidRPr="00515444">
              <w:rPr>
                <w:rStyle w:val="libFootnoteBoldChar"/>
                <w:rtl/>
              </w:rPr>
              <w:t>والوافي</w:t>
            </w:r>
            <w:r w:rsidRPr="00020424">
              <w:rPr>
                <w:rtl/>
              </w:rPr>
              <w:t xml:space="preserve"> : « الزكاة</w:t>
            </w:r>
            <w:r>
              <w:rPr>
                <w:rtl/>
              </w:rPr>
              <w:t xml:space="preserve"> ».</w:t>
            </w:r>
          </w:p>
        </w:tc>
      </w:tr>
    </w:tbl>
    <w:p w:rsidR="00992664" w:rsidRPr="00020424" w:rsidRDefault="00795177" w:rsidP="005561A1">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30 ، ح 75 ، معلّقاً عن الكليني</w:t>
      </w:r>
      <w:r w:rsidR="005561A1">
        <w:rPr>
          <w:rFonts w:hint="cs"/>
          <w:rtl/>
        </w:rPr>
        <w:t>.</w:t>
      </w:r>
      <w:r w:rsidR="00992664" w:rsidRPr="0012008A">
        <w:rPr>
          <w:rStyle w:val="libFootnoteBoldChar"/>
          <w:rtl/>
        </w:rPr>
        <w:t>الوافي</w:t>
      </w:r>
      <w:r w:rsidR="00992664" w:rsidRPr="00020424">
        <w:rPr>
          <w:rtl/>
        </w:rPr>
        <w:t xml:space="preserve"> ، ج 10 ، ص 128 ، ح 9295 ؛ </w:t>
      </w:r>
      <w:r w:rsidR="00992664" w:rsidRPr="0012008A">
        <w:rPr>
          <w:rStyle w:val="libFootnoteBoldChar"/>
          <w:rtl/>
        </w:rPr>
        <w:t>الوسائل</w:t>
      </w:r>
      <w:r w:rsidR="00992664" w:rsidRPr="00020424">
        <w:rPr>
          <w:rtl/>
        </w:rPr>
        <w:t xml:space="preserve"> ، ج 9 ، ص 90 ، ح 11595.</w:t>
      </w:r>
    </w:p>
    <w:p w:rsidR="00992664" w:rsidRPr="00020424" w:rsidRDefault="00795177" w:rsidP="00992664">
      <w:pPr>
        <w:pStyle w:val="libFootnote0"/>
        <w:rPr>
          <w:rtl/>
          <w:lang w:bidi="fa-IR"/>
        </w:rPr>
      </w:pPr>
      <w:r>
        <w:rPr>
          <w:rtl/>
        </w:rPr>
        <w:t>(4).</w:t>
      </w:r>
      <w:r w:rsidR="0014403D">
        <w:rPr>
          <w:rtl/>
        </w:rPr>
        <w:t xml:space="preserve"> </w:t>
      </w:r>
      <w:r w:rsidR="00BF51F0">
        <w:rPr>
          <w:rtl/>
        </w:rPr>
        <w:t>قال العل</w:t>
      </w:r>
      <w:r w:rsidR="00BF51F0">
        <w:rPr>
          <w:rFonts w:hint="cs"/>
          <w:rtl/>
        </w:rPr>
        <w:t>ّ</w:t>
      </w:r>
      <w:r w:rsidR="00BF51F0">
        <w:rPr>
          <w:rtl/>
        </w:rPr>
        <w:t>ا</w:t>
      </w:r>
      <w:r w:rsidR="00992664" w:rsidRPr="00020424">
        <w:rPr>
          <w:rtl/>
        </w:rPr>
        <w:t xml:space="preserve">مة المجلسي في </w:t>
      </w:r>
      <w:r w:rsidR="00992664" w:rsidRPr="00AC04D8">
        <w:rPr>
          <w:rtl/>
        </w:rPr>
        <w:t>مرآة العقول</w:t>
      </w:r>
      <w:r w:rsidR="00992664" w:rsidRPr="00020424">
        <w:rPr>
          <w:rtl/>
        </w:rPr>
        <w:t xml:space="preserve"> ، ج 16 ، ص 75 : « قال الفاضل التستري </w:t>
      </w:r>
      <w:r w:rsidR="00D64ADA" w:rsidRPr="00D64ADA">
        <w:rPr>
          <w:rStyle w:val="libFootnoteAlaemChar"/>
          <w:rtl/>
        </w:rPr>
        <w:t>رحمه‌الله</w:t>
      </w:r>
      <w:r w:rsidR="00992664" w:rsidRPr="00020424">
        <w:rPr>
          <w:rtl/>
        </w:rPr>
        <w:t xml:space="preserve"> : لعلّ صوابه : والحسين بن سعيد ، ويكون المفاد حينئذٍ رواية عليّ وموسى ، عن أبي الحسن </w:t>
      </w:r>
      <w:r w:rsidR="00992664" w:rsidRPr="00D64ADA">
        <w:rPr>
          <w:rStyle w:val="libFootnoteAlaemChar"/>
          <w:rtl/>
        </w:rPr>
        <w:t>عليه‌السلام</w:t>
      </w:r>
      <w:r w:rsidR="00992664" w:rsidRPr="00020424">
        <w:rPr>
          <w:rtl/>
        </w:rPr>
        <w:t xml:space="preserve"> بالسندين المذكورين</w:t>
      </w:r>
      <w:r w:rsidR="00992664">
        <w:rPr>
          <w:rtl/>
        </w:rPr>
        <w:t xml:space="preserve"> ».</w:t>
      </w:r>
    </w:p>
    <w:p w:rsidR="00992664" w:rsidRPr="00020424" w:rsidRDefault="00992664" w:rsidP="0076007F">
      <w:pPr>
        <w:pStyle w:val="libFootnote0"/>
        <w:rPr>
          <w:rtl/>
          <w:lang w:bidi="fa-IR"/>
        </w:rPr>
      </w:pPr>
      <w:r w:rsidRPr="0076007F">
        <w:rPr>
          <w:rtl/>
        </w:rPr>
        <w:t xml:space="preserve">مفاد قوله </w:t>
      </w:r>
      <w:r w:rsidR="00D64ADA" w:rsidRPr="00D64ADA">
        <w:rPr>
          <w:rStyle w:val="libFootnoteAlaemChar"/>
          <w:rtl/>
        </w:rPr>
        <w:t>قدس‌سره</w:t>
      </w:r>
      <w:r w:rsidRPr="0076007F">
        <w:rPr>
          <w:rtl/>
        </w:rPr>
        <w:t xml:space="preserve"> أنّ السند في أصله كان مشتملاً على التحويل ، ويروي عليّ بن مهزيار وموسى بن بكر معاً عن أبي الحسن </w:t>
      </w:r>
      <w:r w:rsidRPr="00D64ADA">
        <w:rPr>
          <w:rStyle w:val="libFootnoteAlaemChar"/>
          <w:rtl/>
        </w:rPr>
        <w:t>عليه‌السلام</w:t>
      </w:r>
      <w:r w:rsidRPr="0076007F">
        <w:rPr>
          <w:rtl/>
        </w:rPr>
        <w:t>.</w:t>
      </w:r>
    </w:p>
    <w:p w:rsidR="00992664" w:rsidRPr="00020424" w:rsidRDefault="00992664" w:rsidP="0076007F">
      <w:pPr>
        <w:pStyle w:val="libFootnote0"/>
        <w:rPr>
          <w:rtl/>
          <w:lang w:bidi="fa-IR"/>
        </w:rPr>
      </w:pPr>
      <w:r w:rsidRPr="00D82B22">
        <w:rPr>
          <w:rtl/>
        </w:rPr>
        <w:t>هذا ، والظاهر أنّ الموجب لهذا القول وقوع الحسين بن سعيد في السند ؛ فإنّ الحسين بن سعيد من مشايخ أحمد بن محمّد ، وقد تكرّرت في الأسناد رواية محمّد بن يحيى عن أحمد بن محمّد عن الحسين بن سعيد ، فرواية أحمد بن محمّد عن الحسين بن سعيد بواسطتين لاتخلو من خللٍ.</w:t>
      </w:r>
    </w:p>
    <w:p w:rsidR="00992664" w:rsidRPr="00020424" w:rsidRDefault="00992664" w:rsidP="0076007F">
      <w:pPr>
        <w:pStyle w:val="libFootnote0"/>
        <w:rPr>
          <w:rtl/>
          <w:lang w:bidi="fa-IR"/>
        </w:rPr>
      </w:pPr>
      <w:r w:rsidRPr="0076007F">
        <w:rPr>
          <w:rtl/>
        </w:rPr>
        <w:t xml:space="preserve">إذا تبيّن هذا ، نقول : لا وجه للقول بوقوع التحريف في السند ؛ فقد روى محمّد بن يحيى </w:t>
      </w:r>
      <w:r w:rsidR="009B673F" w:rsidRPr="0076007F">
        <w:rPr>
          <w:rtl/>
        </w:rPr>
        <w:t>-</w:t>
      </w:r>
      <w:r w:rsidRPr="0076007F">
        <w:rPr>
          <w:rtl/>
        </w:rPr>
        <w:t xml:space="preserve"> في ضمن آخرين </w:t>
      </w:r>
      <w:r w:rsidR="009B673F" w:rsidRPr="0076007F">
        <w:rPr>
          <w:rtl/>
        </w:rPr>
        <w:t>-</w:t>
      </w:r>
      <w:r w:rsidRPr="0076007F">
        <w:rPr>
          <w:rtl/>
        </w:rPr>
        <w:t xml:space="preserve"> عن أحمد بن محمّد عن العبّاس بن معروف كتب عليّ بن مهزيار ، كما في </w:t>
      </w:r>
      <w:r w:rsidRPr="00D530ED">
        <w:rPr>
          <w:rStyle w:val="libFootnoteBoldChar"/>
          <w:rtl/>
        </w:rPr>
        <w:t>الفهرست للطوسي</w:t>
      </w:r>
      <w:r w:rsidRPr="0076007F">
        <w:rPr>
          <w:rtl/>
        </w:rPr>
        <w:t xml:space="preserve"> ، ص 265 ، الرقم 379. والمظنون قويّاً أنّ هذا السند وما شابهه ممّا ورد في </w:t>
      </w:r>
      <w:r w:rsidRPr="00A23BE1">
        <w:rPr>
          <w:rtl/>
        </w:rPr>
        <w:t>علل الشرائع</w:t>
      </w:r>
      <w:r w:rsidRPr="0076007F">
        <w:rPr>
          <w:rtl/>
        </w:rPr>
        <w:t xml:space="preserve"> ، ص 53 ، ح 1 ، من رواية أحمد بن محمّد بن عيسى ، عن العبّاس بن معروف ، عن عليّ بن مهزيار ، عن الحسين بن سعيد ، قد وقع أحمد بن محمّد في السندين ، في الطريق إلى عليّ بن مهزيار ، وهذا هو وجه وقوع الواسطتين بين أحمد بن محمّد وشيخه الحسين بن سعيد.</w:t>
      </w:r>
    </w:p>
    <w:p w:rsidR="00992664" w:rsidRPr="00020424" w:rsidRDefault="00992664" w:rsidP="0076007F">
      <w:pPr>
        <w:pStyle w:val="libFootnote0"/>
        <w:rPr>
          <w:rtl/>
          <w:lang w:bidi="fa-IR"/>
        </w:rPr>
      </w:pPr>
      <w:r w:rsidRPr="0076007F">
        <w:rPr>
          <w:rtl/>
        </w:rPr>
        <w:t xml:space="preserve">وأضف إلى ذلك أنّ ظاهر عبارة « قال : سألت أبا الحسن </w:t>
      </w:r>
      <w:r w:rsidRPr="00D64ADA">
        <w:rPr>
          <w:rStyle w:val="libFootnoteAlaemChar"/>
          <w:rtl/>
        </w:rPr>
        <w:t>عليه‌السلام</w:t>
      </w:r>
      <w:r w:rsidRPr="0076007F">
        <w:rPr>
          <w:rtl/>
        </w:rPr>
        <w:t xml:space="preserve"> » ، واختلاف طبقة ابن مهزيار وموسى بن بكر ممّا يبعّد وقوع التحريف في السند.</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ظ ، بث ، بح ، بخ ، بر ، بس ، بف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وفي « ى ، جن » والمطبوع : « الفضل</w:t>
      </w:r>
      <w:r w:rsidR="00992664">
        <w:rPr>
          <w:rtl/>
        </w:rPr>
        <w:t xml:space="preserve"> ».</w:t>
      </w:r>
    </w:p>
    <w:p w:rsidR="00992664" w:rsidRPr="00020424" w:rsidRDefault="00992664" w:rsidP="0076007F">
      <w:pPr>
        <w:pStyle w:val="libFootnote0"/>
        <w:rPr>
          <w:rtl/>
          <w:lang w:bidi="fa-IR"/>
        </w:rPr>
      </w:pPr>
      <w:r w:rsidRPr="0076007F">
        <w:rPr>
          <w:rtl/>
        </w:rPr>
        <w:t xml:space="preserve">وقد أكثر الحسين بن سعيد من الرواية عن محمّد بن الفضيل. راجع : </w:t>
      </w:r>
      <w:r w:rsidRPr="00A23BE1">
        <w:rPr>
          <w:rtl/>
        </w:rPr>
        <w:t>معجم رجال الحديث</w:t>
      </w:r>
      <w:r w:rsidRPr="0076007F">
        <w:rPr>
          <w:rtl/>
        </w:rPr>
        <w:t xml:space="preserve"> ، ج 5 ، ص 483 </w:t>
      </w:r>
      <w:r w:rsidR="009B673F" w:rsidRPr="0076007F">
        <w:rPr>
          <w:rtl/>
        </w:rPr>
        <w:t>-</w:t>
      </w:r>
      <w:r w:rsidRPr="0076007F">
        <w:rPr>
          <w:rtl/>
        </w:rPr>
        <w:t xml:space="preserve"> 485.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مصابة » ، أي مجنونة ، يقال : رجل مصاب وفي عقله صابة ، أي فترة وضعف وطرف من الجنون ، وقيل : كأنّه‌مجنون. ويقال للمجنون : مصاب. راجع : </w:t>
      </w:r>
      <w:r w:rsidR="00992664" w:rsidRPr="0012008A">
        <w:rPr>
          <w:rStyle w:val="libFootnoteBoldChar"/>
          <w:rtl/>
        </w:rPr>
        <w:t>الصحاح</w:t>
      </w:r>
      <w:r w:rsidR="00992664" w:rsidRPr="00020424">
        <w:rPr>
          <w:rtl/>
        </w:rPr>
        <w:t xml:space="preserve"> ، ج 1 ، ص 165 ؛ </w:t>
      </w:r>
      <w:r w:rsidR="00992664" w:rsidRPr="00A722B1">
        <w:rPr>
          <w:rStyle w:val="libFootnoteBoldChar"/>
          <w:rtl/>
        </w:rPr>
        <w:t>لسان العرب</w:t>
      </w:r>
      <w:r w:rsidR="00992664" w:rsidRPr="00020424">
        <w:rPr>
          <w:rtl/>
        </w:rPr>
        <w:t xml:space="preserve"> ، ج 1 ، ص 537 ( صوب )</w:t>
      </w:r>
      <w:r w:rsidR="00992664">
        <w:rPr>
          <w:rtl/>
        </w:rPr>
        <w:t>.</w:t>
      </w:r>
    </w:p>
    <w:tbl>
      <w:tblPr>
        <w:tblStyle w:val="TableGrid"/>
        <w:bidiVisual/>
        <w:tblW w:w="0" w:type="auto"/>
        <w:tblLook w:val="04A0" w:firstRow="1" w:lastRow="0" w:firstColumn="1" w:lastColumn="0" w:noHBand="0" w:noVBand="1"/>
      </w:tblPr>
      <w:tblGrid>
        <w:gridCol w:w="4006"/>
        <w:gridCol w:w="4006"/>
      </w:tblGrid>
      <w:tr w:rsidR="0076007F" w:rsidTr="0076007F">
        <w:tc>
          <w:tcPr>
            <w:tcW w:w="4006" w:type="dxa"/>
          </w:tcPr>
          <w:p w:rsidR="0076007F" w:rsidRDefault="0076007F" w:rsidP="00992664">
            <w:pPr>
              <w:pStyle w:val="libFootnote0"/>
              <w:rPr>
                <w:rtl/>
              </w:rPr>
            </w:pPr>
            <w:r>
              <w:rPr>
                <w:rtl/>
              </w:rPr>
              <w:t xml:space="preserve">(7). </w:t>
            </w:r>
            <w:r w:rsidRPr="00020424">
              <w:rPr>
                <w:rtl/>
              </w:rPr>
              <w:t>في « بف » : « فلها</w:t>
            </w:r>
            <w:r>
              <w:rPr>
                <w:rtl/>
              </w:rPr>
              <w:t xml:space="preserve"> ».</w:t>
            </w:r>
          </w:p>
        </w:tc>
        <w:tc>
          <w:tcPr>
            <w:tcW w:w="4006" w:type="dxa"/>
          </w:tcPr>
          <w:p w:rsidR="0076007F" w:rsidRDefault="0076007F"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فهل</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 xml:space="preserve">عَلَيْهِ </w:t>
      </w:r>
      <w:r w:rsidRPr="00A91B96">
        <w:rPr>
          <w:rStyle w:val="libFootnotenumChar"/>
          <w:rtl/>
        </w:rPr>
        <w:t>(1)</w:t>
      </w:r>
      <w:r w:rsidRPr="00020424">
        <w:rPr>
          <w:rtl/>
          <w:lang w:bidi="fa-IR"/>
        </w:rPr>
        <w:t xml:space="preserve"> 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إِنْ كَانَ أَخُوهَا يَتَّجِرُ بِهِ ، فَعَلَيْهِ زَكَاةٌ</w:t>
      </w:r>
      <w:r>
        <w:rPr>
          <w:rtl/>
          <w:lang w:bidi="fa-IR"/>
        </w:rPr>
        <w:t xml:space="preserve"> ».</w:t>
      </w:r>
      <w:r w:rsidRPr="00020424">
        <w:rPr>
          <w:rtl/>
          <w:lang w:bidi="fa-IR"/>
        </w:rPr>
        <w:t xml:space="preserve"> </w:t>
      </w:r>
      <w:r w:rsidRPr="00A91B96">
        <w:rPr>
          <w:rStyle w:val="libFootnotenumChar"/>
          <w:rtl/>
        </w:rPr>
        <w:t>(3)</w:t>
      </w:r>
      <w:r w:rsidRPr="00020424">
        <w:rPr>
          <w:rtl/>
          <w:lang w:bidi="fa-IR"/>
        </w:rPr>
        <w:t>‌</w:t>
      </w:r>
    </w:p>
    <w:p w:rsidR="00992664" w:rsidRPr="00020424" w:rsidRDefault="002208BF" w:rsidP="00992664">
      <w:pPr>
        <w:pStyle w:val="libNormal"/>
        <w:rPr>
          <w:rtl/>
          <w:lang w:bidi="fa-IR"/>
        </w:rPr>
      </w:pPr>
      <w:r>
        <w:rPr>
          <w:rFonts w:hint="cs"/>
          <w:rtl/>
          <w:lang w:bidi="fa-IR"/>
        </w:rPr>
        <w:t xml:space="preserve">* </w:t>
      </w:r>
      <w:r w:rsidR="00992664" w:rsidRPr="00020424">
        <w:rPr>
          <w:rtl/>
          <w:lang w:bidi="fa-IR"/>
        </w:rPr>
        <w:t xml:space="preserve">عِدَّةٌ مِنْ أَصْحَابِنَا ، عَنْ سَهْلِ بْنِ زِيَادٍ ، عَنْ أَحْمَدَ بْنِ مُحَمَّدِ بْنِ أَبِي نَصْرٍ </w:t>
      </w:r>
      <w:r w:rsidR="00992664" w:rsidRPr="00A91B96">
        <w:rPr>
          <w:rStyle w:val="libFootnotenumChar"/>
          <w:rtl/>
        </w:rPr>
        <w:t>(4)</w:t>
      </w:r>
      <w:r w:rsidR="00992664" w:rsidRPr="00020424">
        <w:rPr>
          <w:rtl/>
          <w:lang w:bidi="fa-IR"/>
        </w:rPr>
        <w:t xml:space="preserve"> ، عَنْ مُحَمَّدِ بْنِ سَمَاعَةَ ، عَنْ مُوسَى بْنِ بَكْرٍ ، عَنْ عَبْدٍ صَالِحٍ </w:t>
      </w:r>
      <w:r w:rsidR="00992664" w:rsidRPr="00A91B96">
        <w:rPr>
          <w:rStyle w:val="libFootnotenumChar"/>
          <w:rtl/>
        </w:rPr>
        <w:t>(5)</w:t>
      </w:r>
      <w:r w:rsidR="00992664" w:rsidRPr="00020424">
        <w:rPr>
          <w:rtl/>
          <w:lang w:bidi="fa-IR"/>
        </w:rPr>
        <w:t xml:space="preserve"> </w:t>
      </w:r>
      <w:r w:rsidR="00992664" w:rsidRPr="00005A81">
        <w:rPr>
          <w:rStyle w:val="libAlaemChar"/>
          <w:rtl/>
        </w:rPr>
        <w:t>عليه‌السلام</w:t>
      </w:r>
      <w:r w:rsidR="00992664" w:rsidRPr="00020424">
        <w:rPr>
          <w:rtl/>
          <w:lang w:bidi="fa-IR"/>
        </w:rPr>
        <w:t xml:space="preserve"> مِثْلَهُ.</w:t>
      </w:r>
    </w:p>
    <w:p w:rsidR="00992664" w:rsidRPr="00020424" w:rsidRDefault="00992664" w:rsidP="00992664">
      <w:pPr>
        <w:pStyle w:val="libNormal"/>
        <w:rPr>
          <w:rtl/>
          <w:lang w:bidi="fa-IR"/>
        </w:rPr>
      </w:pPr>
      <w:r w:rsidRPr="00A23BE1">
        <w:rPr>
          <w:rtl/>
        </w:rPr>
        <w:t>5885</w:t>
      </w:r>
      <w:r w:rsidRPr="001155DE">
        <w:rPr>
          <w:rStyle w:val="libBold2Char"/>
          <w:rtl/>
        </w:rPr>
        <w:t xml:space="preserve"> / 4.</w:t>
      </w:r>
      <w:r w:rsidRPr="00020424">
        <w:rPr>
          <w:rtl/>
          <w:lang w:bidi="fa-IR"/>
        </w:rPr>
        <w:t xml:space="preserve"> مُحَمَّدُ بْنُ يَحْيى ، عَنْ أَحْمَدَ بْنِ مُحَمَّدٍ ، عَنْ مُحَمَّدِ بْنِ خَالِدٍ ، عَنْ أَبِي الْبَخْتَرِيِّ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 فِي مَالِ الْمُكَاتَبِ زَكَاةٌ</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Normal"/>
        <w:rPr>
          <w:rtl/>
          <w:lang w:bidi="fa-IR"/>
        </w:rPr>
      </w:pPr>
      <w:r w:rsidRPr="00A23BE1">
        <w:rPr>
          <w:rtl/>
        </w:rPr>
        <w:t>5886</w:t>
      </w:r>
      <w:r w:rsidRPr="001155DE">
        <w:rPr>
          <w:rStyle w:val="libBold2Char"/>
          <w:rtl/>
        </w:rPr>
        <w:t xml:space="preserve"> / 5.</w:t>
      </w:r>
      <w:r w:rsidRPr="00020424">
        <w:rPr>
          <w:rtl/>
          <w:lang w:bidi="fa-IR"/>
        </w:rPr>
        <w:t xml:space="preserve"> مُحَمَّدُ بْنُ يَحْيى ، عَنْ مُحَمَّدِ بْنِ أَحْمَدَ ، عَنِ الْخَشَّابِ ، عَنْ عَلِيِّ بْنِ الْحُسَيْنِ </w:t>
      </w:r>
      <w:r w:rsidRPr="00A91B96">
        <w:rPr>
          <w:rStyle w:val="libFootnotenumChar"/>
          <w:rtl/>
        </w:rPr>
        <w:t>(7)</w:t>
      </w:r>
      <w:r w:rsidRPr="00020424">
        <w:rPr>
          <w:rtl/>
          <w:lang w:bidi="fa-IR"/>
        </w:rPr>
        <w:t xml:space="preserve"> ، عَنْ مُحَمَّدِ بْنِ أَبِي حَمْزَةَ ، عَنْ عَبْدِ اللهِ بْنِ سِنَانٍ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w:t>
      </w:r>
      <w:r>
        <w:rPr>
          <w:rtl/>
          <w:lang w:bidi="fa-IR"/>
        </w:rPr>
        <w:t>مَمْلُوكٌ فِي يَدِهِ مَالٌ ، أَ</w:t>
      </w:r>
      <w:r w:rsidRPr="00020424">
        <w:rPr>
          <w:rtl/>
          <w:lang w:bidi="fa-IR"/>
        </w:rPr>
        <w:t xml:space="preserve">عَلَيْهِ </w:t>
      </w:r>
      <w:r w:rsidRPr="00A91B96">
        <w:rPr>
          <w:rStyle w:val="libFootnotenumChar"/>
          <w:rtl/>
        </w:rPr>
        <w:t>(8)</w:t>
      </w:r>
      <w:r w:rsidRPr="00020424">
        <w:rPr>
          <w:rtl/>
          <w:lang w:bidi="fa-IR"/>
        </w:rPr>
        <w:t xml:space="preserve"> زَكَاةٌ</w:t>
      </w:r>
      <w:r>
        <w:rPr>
          <w:rtl/>
          <w:lang w:bidi="fa-IR"/>
        </w:rPr>
        <w:t>؟</w:t>
      </w:r>
      <w:r w:rsidRPr="00020424">
        <w:rPr>
          <w:rtl/>
          <w:lang w:bidi="fa-IR"/>
        </w:rPr>
        <w:t xml:space="preserve"> قَالَ : « لَا</w:t>
      </w:r>
      <w:r>
        <w:rPr>
          <w:rtl/>
          <w:lang w:bidi="fa-IR"/>
        </w:rPr>
        <w:t xml:space="preserve"> ».</w:t>
      </w:r>
      <w:r w:rsidRPr="00020424">
        <w:rPr>
          <w:rtl/>
          <w:lang w:bidi="fa-IR"/>
        </w:rPr>
        <w:t xml:space="preserve"> قُلْتُ : وَلَا عَلى سَيِّدِهِ</w:t>
      </w:r>
      <w:r>
        <w:rPr>
          <w:rtl/>
          <w:lang w:bidi="fa-IR"/>
        </w:rPr>
        <w:t>؟</w:t>
      </w:r>
      <w:r w:rsidRPr="00020424">
        <w:rPr>
          <w:rtl/>
          <w:lang w:bidi="fa-IR"/>
        </w:rPr>
        <w:t xml:space="preserve"> قَالَ : « لَا ، إِنَّهُ </w:t>
      </w:r>
      <w:r w:rsidRPr="00A91B96">
        <w:rPr>
          <w:rStyle w:val="libFootnotenumChar"/>
          <w:rtl/>
        </w:rPr>
        <w:t>(9)</w:t>
      </w:r>
      <w:r w:rsidRPr="00020424">
        <w:rPr>
          <w:rtl/>
          <w:lang w:bidi="fa-IR"/>
        </w:rPr>
        <w:t xml:space="preserve"> لَمْ يَصِلْ إِلى سَيِّدِهِ ، وَلَيْسَ هُوَ لِلْمَمْلُوكِ</w:t>
      </w:r>
      <w:r>
        <w:rPr>
          <w:rtl/>
          <w:lang w:bidi="fa-IR"/>
        </w:rPr>
        <w:t xml:space="preserve"> ».</w:t>
      </w:r>
      <w:r w:rsidRPr="00020424">
        <w:rPr>
          <w:rtl/>
          <w:lang w:bidi="fa-IR"/>
        </w:rPr>
        <w:t xml:space="preserve"> </w:t>
      </w:r>
      <w:r w:rsidRPr="00A91B96">
        <w:rPr>
          <w:rStyle w:val="libFootnotenumChar"/>
          <w:rtl/>
        </w:rPr>
        <w:t>(10)</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بس ، بف » وحاشية « بح » </w:t>
      </w:r>
      <w:r w:rsidR="00992664" w:rsidRPr="00515444">
        <w:rPr>
          <w:rStyle w:val="libFootnoteBoldChar"/>
          <w:rtl/>
        </w:rPr>
        <w:t>والوافي</w:t>
      </w:r>
      <w:r w:rsidR="00992664" w:rsidRPr="00020424">
        <w:rPr>
          <w:rtl/>
        </w:rPr>
        <w:t xml:space="preserve"> : « عليها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ى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قال</w:t>
      </w:r>
      <w:r w:rsidR="00992664">
        <w:rPr>
          <w:rtl/>
        </w:rPr>
        <w:t xml:space="preserve"> ».</w:t>
      </w:r>
    </w:p>
    <w:p w:rsidR="00992664" w:rsidRPr="00020424" w:rsidRDefault="00795177" w:rsidP="00C85E2F">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30 ، ح 76 ، معلّقاً عن الكليني</w:t>
      </w:r>
      <w:r w:rsidR="00D24173">
        <w:rPr>
          <w:rFonts w:hint="cs"/>
          <w:rtl/>
        </w:rPr>
        <w:t>.</w:t>
      </w:r>
      <w:r w:rsidR="00992664" w:rsidRPr="0012008A">
        <w:rPr>
          <w:rStyle w:val="libFootnoteBoldChar"/>
          <w:rtl/>
        </w:rPr>
        <w:t>الوافي</w:t>
      </w:r>
      <w:r w:rsidR="00992664" w:rsidRPr="00020424">
        <w:rPr>
          <w:rtl/>
        </w:rPr>
        <w:t xml:space="preserve"> ، ج 10 ، ص 128 ، ح 9296 ؛ </w:t>
      </w:r>
      <w:r w:rsidR="00992664" w:rsidRPr="0012008A">
        <w:rPr>
          <w:rStyle w:val="libFootnoteBoldChar"/>
          <w:rtl/>
        </w:rPr>
        <w:t>الوسائل</w:t>
      </w:r>
      <w:r w:rsidR="00992664" w:rsidRPr="00020424">
        <w:rPr>
          <w:rtl/>
        </w:rPr>
        <w:t xml:space="preserve"> ، ج 9 ، ص 90 ، ح 11596.</w:t>
      </w:r>
      <w:r w:rsidR="00C85E2F">
        <w:rPr>
          <w:rFonts w:hint="cs"/>
          <w:rtl/>
        </w:rPr>
        <w:t xml:space="preserve">                       </w:t>
      </w: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أبي نصر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عن العبد الصالح</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36 ، ح 1636 ، بسند آخر عن الصادق ، عن آبائه ، عن عليّ </w:t>
      </w:r>
      <w:r w:rsidR="00992664" w:rsidRPr="00D64ADA">
        <w:rPr>
          <w:rStyle w:val="libFootnoteAlaemChar"/>
          <w:rtl/>
        </w:rPr>
        <w:t>عليهم‌السلام</w:t>
      </w:r>
      <w:r w:rsidR="00992664" w:rsidRPr="00020424">
        <w:rPr>
          <w:rtl/>
        </w:rPr>
        <w:t xml:space="preserve"> </w:t>
      </w:r>
      <w:r w:rsidR="00B25063">
        <w:rPr>
          <w:rFonts w:hint="cs"/>
          <w:rtl/>
        </w:rPr>
        <w:t xml:space="preserve">. </w:t>
      </w:r>
      <w:r w:rsidR="00992664" w:rsidRPr="0012008A">
        <w:rPr>
          <w:rStyle w:val="libFootnoteBoldChar"/>
          <w:rtl/>
        </w:rPr>
        <w:t>الوافي</w:t>
      </w:r>
      <w:r w:rsidR="00992664" w:rsidRPr="00020424">
        <w:rPr>
          <w:rtl/>
        </w:rPr>
        <w:t xml:space="preserve"> ، ج 10 ، ص 129 ، ح 9298 ؛ </w:t>
      </w:r>
      <w:r w:rsidR="00992664" w:rsidRPr="0012008A">
        <w:rPr>
          <w:rStyle w:val="libFootnoteBoldChar"/>
          <w:rtl/>
        </w:rPr>
        <w:t>الوسائل</w:t>
      </w:r>
      <w:r w:rsidR="00992664" w:rsidRPr="00020424">
        <w:rPr>
          <w:rtl/>
        </w:rPr>
        <w:t xml:space="preserve"> ، ج 9 ، ص 92 ، ذيل ح 11601.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لايبعد كون الصواب هو « عليّ بن الحسن » ، والمراد به عليّ بن الحسن الطاطري ؛ فقد روى هو بعناوينه المختلفة</w:t>
      </w:r>
      <w:r w:rsidR="00992664">
        <w:rPr>
          <w:rtl/>
        </w:rPr>
        <w:t xml:space="preserve"> </w:t>
      </w:r>
      <w:r w:rsidR="009B673F">
        <w:rPr>
          <w:rtl/>
        </w:rPr>
        <w:t>-</w:t>
      </w:r>
      <w:r w:rsidR="00992664">
        <w:rPr>
          <w:rtl/>
        </w:rPr>
        <w:t xml:space="preserve"> </w:t>
      </w:r>
      <w:r w:rsidR="00992664" w:rsidRPr="00020424">
        <w:rPr>
          <w:rtl/>
        </w:rPr>
        <w:t>من عليّ بن الحسن الطاطري ، وعليّ بن الحسن الجرمي ، وعليّ الجرمي والطاطري</w:t>
      </w:r>
      <w:r w:rsidR="00992664">
        <w:rPr>
          <w:rtl/>
        </w:rPr>
        <w:t xml:space="preserve"> </w:t>
      </w:r>
      <w:r w:rsidR="009B673F">
        <w:rPr>
          <w:rtl/>
        </w:rPr>
        <w:t>-</w:t>
      </w:r>
      <w:r w:rsidR="00992664">
        <w:rPr>
          <w:rtl/>
        </w:rPr>
        <w:t xml:space="preserve"> </w:t>
      </w:r>
      <w:r w:rsidR="00992664" w:rsidRPr="00020424">
        <w:rPr>
          <w:rtl/>
        </w:rPr>
        <w:t xml:space="preserve">عن محمّد بن أبي حمزة في عددٍ من الأسناد. راجع : </w:t>
      </w:r>
      <w:r w:rsidR="00992664" w:rsidRPr="00A23BE1">
        <w:rPr>
          <w:rtl/>
        </w:rPr>
        <w:t>معجم رجال الحديث</w:t>
      </w:r>
      <w:r w:rsidR="00992664" w:rsidRPr="00020424">
        <w:rPr>
          <w:rtl/>
        </w:rPr>
        <w:t xml:space="preserve"> ، ج 14 ، ص 403</w:t>
      </w:r>
      <w:r w:rsidR="00992664">
        <w:rPr>
          <w:rtl/>
        </w:rPr>
        <w:t xml:space="preserve"> </w:t>
      </w:r>
      <w:r w:rsidR="009B673F">
        <w:rPr>
          <w:rtl/>
        </w:rPr>
        <w:t>-</w:t>
      </w:r>
      <w:r w:rsidR="00992664">
        <w:rPr>
          <w:rtl/>
        </w:rPr>
        <w:t xml:space="preserve"> </w:t>
      </w:r>
      <w:r w:rsidR="00992664" w:rsidRPr="00020424">
        <w:rPr>
          <w:rtl/>
        </w:rPr>
        <w:t>409.</w:t>
      </w:r>
    </w:p>
    <w:p w:rsidR="00992664" w:rsidRPr="00020424" w:rsidRDefault="00992664" w:rsidP="00E40681">
      <w:pPr>
        <w:pStyle w:val="libFootnote0"/>
        <w:rPr>
          <w:rtl/>
          <w:lang w:bidi="fa-IR"/>
        </w:rPr>
      </w:pPr>
      <w:r w:rsidRPr="00E40681">
        <w:rPr>
          <w:rtl/>
        </w:rPr>
        <w:t xml:space="preserve">ويؤيّد ذلك أنّ الخبر رواه الشيخ الصدوق في </w:t>
      </w:r>
      <w:r w:rsidRPr="00A23BE1">
        <w:rPr>
          <w:rtl/>
        </w:rPr>
        <w:t>علل الشرائع</w:t>
      </w:r>
      <w:r w:rsidRPr="00E40681">
        <w:rPr>
          <w:rtl/>
        </w:rPr>
        <w:t xml:space="preserve"> ، ص 372 ، ح 1 ، بسنده عن الحسن بن موسى الخشّاب ، عن عليّ بن الحسن ، عن محمّد بن حمزة </w:t>
      </w:r>
      <w:r w:rsidR="009B673F" w:rsidRPr="00E40681">
        <w:rPr>
          <w:rtl/>
        </w:rPr>
        <w:t>-</w:t>
      </w:r>
      <w:r w:rsidRPr="00E40681">
        <w:rPr>
          <w:rtl/>
        </w:rPr>
        <w:t xml:space="preserve"> والصواب محمّد بن أبي حمزة </w:t>
      </w:r>
      <w:r w:rsidR="009B673F" w:rsidRPr="00E40681">
        <w:rPr>
          <w:rtl/>
        </w:rPr>
        <w:t>-</w:t>
      </w:r>
      <w:r w:rsidRPr="00E40681">
        <w:rPr>
          <w:rtl/>
        </w:rPr>
        <w:t xml:space="preserve"> عن عبدالله بن سنان.</w:t>
      </w:r>
    </w:p>
    <w:tbl>
      <w:tblPr>
        <w:tblStyle w:val="TableGrid"/>
        <w:bidiVisual/>
        <w:tblW w:w="0" w:type="auto"/>
        <w:tblLook w:val="04A0" w:firstRow="1" w:lastRow="0" w:firstColumn="1" w:lastColumn="0" w:noHBand="0" w:noVBand="1"/>
      </w:tblPr>
      <w:tblGrid>
        <w:gridCol w:w="4006"/>
        <w:gridCol w:w="4006"/>
      </w:tblGrid>
      <w:tr w:rsidR="008D28B2" w:rsidTr="008D28B2">
        <w:tc>
          <w:tcPr>
            <w:tcW w:w="4006" w:type="dxa"/>
          </w:tcPr>
          <w:p w:rsidR="008D28B2" w:rsidRDefault="008D28B2" w:rsidP="00992664">
            <w:pPr>
              <w:pStyle w:val="libFootnote0"/>
              <w:rPr>
                <w:rtl/>
              </w:rPr>
            </w:pPr>
            <w:r>
              <w:rPr>
                <w:rtl/>
              </w:rPr>
              <w:t xml:space="preserve">(8). </w:t>
            </w:r>
            <w:r w:rsidRPr="00020424">
              <w:rPr>
                <w:rtl/>
              </w:rPr>
              <w:t xml:space="preserve">في </w:t>
            </w:r>
            <w:r w:rsidRPr="0012008A">
              <w:rPr>
                <w:rStyle w:val="libFootnoteBoldChar"/>
                <w:rtl/>
              </w:rPr>
              <w:t>الوسائل</w:t>
            </w:r>
            <w:r w:rsidRPr="00020424">
              <w:rPr>
                <w:rtl/>
              </w:rPr>
              <w:t xml:space="preserve"> : « عليه » بدون همزة الاستفهام.</w:t>
            </w:r>
          </w:p>
        </w:tc>
        <w:tc>
          <w:tcPr>
            <w:tcW w:w="4006" w:type="dxa"/>
          </w:tcPr>
          <w:p w:rsidR="008D28B2" w:rsidRDefault="008D28B2" w:rsidP="00992664">
            <w:pPr>
              <w:pStyle w:val="libFootnote0"/>
              <w:rPr>
                <w:rtl/>
              </w:rPr>
            </w:pPr>
            <w:r>
              <w:rPr>
                <w:rtl/>
              </w:rPr>
              <w:t xml:space="preserve">(9). </w:t>
            </w:r>
            <w:r w:rsidRPr="00020424">
              <w:rPr>
                <w:rtl/>
              </w:rPr>
              <w:t xml:space="preserve">في </w:t>
            </w:r>
            <w:r w:rsidRPr="00B50394">
              <w:rPr>
                <w:rtl/>
              </w:rPr>
              <w:t>الوافي والوسائل والفقيه :</w:t>
            </w:r>
            <w:r w:rsidRPr="00020424">
              <w:rPr>
                <w:rtl/>
              </w:rPr>
              <w:t xml:space="preserve"> « لأنّه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A23BE1">
        <w:rPr>
          <w:rtl/>
        </w:rPr>
        <w:t>علل الشرائع</w:t>
      </w:r>
      <w:r w:rsidR="00992664" w:rsidRPr="00020424">
        <w:rPr>
          <w:rtl/>
        </w:rPr>
        <w:t xml:space="preserve"> ، ص 372 ، ح 1 ، بسنده عن محمّد بن أحمد ، عن الحسن بن موسى الخشّاب ، عن عليّ بن </w:t>
      </w:r>
      <w:r w:rsidR="00E4040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87" w:name="_Toc345172745"/>
      <w:bookmarkStart w:id="88" w:name="_Toc464562562"/>
      <w:bookmarkStart w:id="89" w:name="_Toc44599865"/>
      <w:r w:rsidRPr="00020424">
        <w:rPr>
          <w:rtl/>
          <w:lang w:bidi="fa-IR"/>
        </w:rPr>
        <w:lastRenderedPageBreak/>
        <w:t>25</w:t>
      </w:r>
      <w:r>
        <w:rPr>
          <w:rtl/>
          <w:lang w:bidi="fa-IR"/>
        </w:rPr>
        <w:t xml:space="preserve"> </w:t>
      </w:r>
      <w:r w:rsidR="009B673F">
        <w:rPr>
          <w:rtl/>
          <w:lang w:bidi="fa-IR"/>
        </w:rPr>
        <w:t>-</w:t>
      </w:r>
      <w:r>
        <w:rPr>
          <w:rtl/>
          <w:lang w:bidi="fa-IR"/>
        </w:rPr>
        <w:t xml:space="preserve"> </w:t>
      </w:r>
      <w:r w:rsidRPr="00020424">
        <w:rPr>
          <w:rtl/>
          <w:lang w:bidi="fa-IR"/>
        </w:rPr>
        <w:t xml:space="preserve">بَابٌ فِيمَا يَأْخُذُ السُّلْطَانُ مِنَ الْخَرَاجِ </w:t>
      </w:r>
      <w:r w:rsidRPr="00A91B96">
        <w:rPr>
          <w:rStyle w:val="libFootnotenumChar"/>
          <w:rtl/>
        </w:rPr>
        <w:t>(1)</w:t>
      </w:r>
      <w:bookmarkEnd w:id="87"/>
      <w:bookmarkEnd w:id="88"/>
      <w:bookmarkEnd w:id="89"/>
    </w:p>
    <w:p w:rsidR="00992664" w:rsidRPr="00020424" w:rsidRDefault="00992664" w:rsidP="00992664">
      <w:pPr>
        <w:pStyle w:val="libNormal"/>
        <w:rPr>
          <w:rtl/>
          <w:lang w:bidi="fa-IR"/>
        </w:rPr>
      </w:pPr>
      <w:r w:rsidRPr="00A23BE1">
        <w:rPr>
          <w:rtl/>
        </w:rPr>
        <w:t>5887</w:t>
      </w:r>
      <w:r w:rsidRPr="001155DE">
        <w:rPr>
          <w:rStyle w:val="libBold2Char"/>
          <w:rtl/>
        </w:rPr>
        <w:t xml:space="preserve"> / 1.</w:t>
      </w:r>
      <w:r w:rsidRPr="00020424">
        <w:rPr>
          <w:rtl/>
          <w:lang w:bidi="fa-IR"/>
        </w:rPr>
        <w:t xml:space="preserve"> عَلِيُّ بْنُ إِبْرَاهِيمَ ، عَنْ أَبِيهِ ، عَنِ ابْنِ أَبِي عُمَيْرٍ ، عَنْ عَبْدِ الرَّحْمنِ بْنِ الْحَجَّاجِ ، عَنْ سُلَيْمَانَ بْنِ خَالِدٍ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إِنَّ أَصْحَابَ أَبِي أَتَوْهُ ، فَسَأَلُوهُ عَمَّا يَأْخُذُ </w:t>
      </w:r>
      <w:r w:rsidRPr="00A91B96">
        <w:rPr>
          <w:rStyle w:val="libFootnotenumChar"/>
          <w:rtl/>
        </w:rPr>
        <w:t>(2)</w:t>
      </w:r>
      <w:r w:rsidRPr="00020424">
        <w:rPr>
          <w:rtl/>
          <w:lang w:bidi="fa-IR"/>
        </w:rPr>
        <w:t xml:space="preserve"> السُّلْطَانُ ، فَرَقَّ لَهُمْ ، وَإِنَّهُ لَيَعْلَمُ أَ</w:t>
      </w:r>
      <w:r w:rsidR="00E4040E">
        <w:rPr>
          <w:rtl/>
          <w:lang w:bidi="fa-IR"/>
        </w:rPr>
        <w:t>نَّ الزَّكَاةَ لَاتَحِلُّ إِل</w:t>
      </w:r>
      <w:r w:rsidR="00E4040E">
        <w:rPr>
          <w:rFonts w:hint="cs"/>
          <w:rtl/>
          <w:lang w:bidi="fa-IR"/>
        </w:rPr>
        <w:t>َّ</w:t>
      </w:r>
      <w:r w:rsidR="00E4040E">
        <w:rPr>
          <w:rtl/>
          <w:lang w:bidi="fa-IR"/>
        </w:rPr>
        <w:t>ا</w:t>
      </w:r>
      <w:r w:rsidRPr="00020424">
        <w:rPr>
          <w:rtl/>
          <w:lang w:bidi="fa-IR"/>
        </w:rPr>
        <w:t xml:space="preserve"> لِأَهْلِهَا ، فَأَمَرَهُمْ أَنْ يَحْتَسِبُوا بِهِ </w:t>
      </w:r>
      <w:r w:rsidRPr="00A91B96">
        <w:rPr>
          <w:rStyle w:val="libFootnotenumChar"/>
          <w:rtl/>
        </w:rPr>
        <w:t>(3)</w:t>
      </w:r>
      <w:r w:rsidRPr="00020424">
        <w:rPr>
          <w:rtl/>
          <w:lang w:bidi="fa-IR"/>
        </w:rPr>
        <w:t xml:space="preserve"> ، فَجَالَ فِكْرِي </w:t>
      </w:r>
      <w:r w:rsidRPr="00A91B96">
        <w:rPr>
          <w:rStyle w:val="libFootnotenumChar"/>
          <w:rtl/>
        </w:rPr>
        <w:t>(4)</w:t>
      </w:r>
      <w:r w:rsidRPr="00020424">
        <w:rPr>
          <w:rtl/>
          <w:lang w:bidi="fa-IR"/>
        </w:rPr>
        <w:t xml:space="preserve"> وَاللهِ لَهُمْ ، فَقُلْتُ </w:t>
      </w:r>
      <w:r w:rsidRPr="00A91B96">
        <w:rPr>
          <w:rStyle w:val="libFootnotenumChar"/>
          <w:rtl/>
        </w:rPr>
        <w:t>(5)</w:t>
      </w:r>
      <w:r w:rsidRPr="00020424">
        <w:rPr>
          <w:rtl/>
          <w:lang w:bidi="fa-IR"/>
        </w:rPr>
        <w:t xml:space="preserve"> : يَا أَبَتِ </w:t>
      </w:r>
      <w:r w:rsidRPr="00A91B96">
        <w:rPr>
          <w:rStyle w:val="libFootnotenumChar"/>
          <w:rtl/>
        </w:rPr>
        <w:t>(6)</w:t>
      </w:r>
      <w:r w:rsidRPr="00020424">
        <w:rPr>
          <w:rtl/>
          <w:lang w:bidi="fa-IR"/>
        </w:rPr>
        <w:t xml:space="preserve"> ، إِنَّهُمْ إِنْ سَمِعُوا إِذاً </w:t>
      </w:r>
      <w:r w:rsidRPr="00A91B96">
        <w:rPr>
          <w:rStyle w:val="libFootnotenumChar"/>
          <w:rtl/>
        </w:rPr>
        <w:t>(7)</w:t>
      </w:r>
      <w:r w:rsidRPr="00020424">
        <w:rPr>
          <w:rtl/>
          <w:lang w:bidi="fa-IR"/>
        </w:rPr>
        <w:t xml:space="preserve"> لَمْ يُزَكِّ أَحَدٌ ، فَقَالَ : يَا بُنَيَّ ، حَقٌّ أَحَبَّ اللهُ أَنْ يُظْهِرَهُ</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libNormal"/>
        <w:rPr>
          <w:rtl/>
          <w:lang w:bidi="fa-IR"/>
        </w:rPr>
      </w:pPr>
      <w:r w:rsidRPr="00A23BE1">
        <w:rPr>
          <w:rtl/>
        </w:rPr>
        <w:t>5888</w:t>
      </w:r>
      <w:r w:rsidRPr="001155DE">
        <w:rPr>
          <w:rStyle w:val="libBold2Char"/>
          <w:rtl/>
        </w:rPr>
        <w:t xml:space="preserve"> / 2.</w:t>
      </w:r>
      <w:r w:rsidRPr="00020424">
        <w:rPr>
          <w:rtl/>
          <w:lang w:bidi="fa-IR"/>
        </w:rPr>
        <w:t xml:space="preserve"> مُحَمَّدُ بْنُ يَحْيى ، عَنْ مُحَمَّدِ بْنِ الْحُسَيْنِ ، عَنْ صَفْوَانَ بْنِ يَحْيى ، عَنْ يَعْقُوبَ بْنِ شُعَيْبٍ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B43C0B" w:rsidP="00825539">
      <w:pPr>
        <w:pStyle w:val="libFootnote0"/>
        <w:rPr>
          <w:rtl/>
          <w:lang w:bidi="fa-IR"/>
        </w:rPr>
      </w:pPr>
      <w:r>
        <w:rPr>
          <w:rFonts w:hint="cs"/>
          <w:rtl/>
        </w:rPr>
        <w:t xml:space="preserve">= </w:t>
      </w:r>
      <w:r w:rsidR="00992664" w:rsidRPr="00020424">
        <w:rPr>
          <w:rtl/>
        </w:rPr>
        <w:t xml:space="preserve">الحسن ، عن محمّد بن حمزة ، عن عبدالله بن سنان. </w:t>
      </w:r>
      <w:r w:rsidR="00992664" w:rsidRPr="0012008A">
        <w:rPr>
          <w:rStyle w:val="libFootnoteBoldChar"/>
          <w:rtl/>
        </w:rPr>
        <w:t>الفقيه</w:t>
      </w:r>
      <w:r w:rsidR="00992664" w:rsidRPr="00020424">
        <w:rPr>
          <w:rtl/>
        </w:rPr>
        <w:t xml:space="preserve"> ، ج 2 ، ص 36 ، ح 1635 ، معلّقاً عن عبدالله بن سنان ، وفيهما مع اختلاف يسير</w:t>
      </w:r>
      <w:r w:rsidR="00825539">
        <w:rPr>
          <w:rFonts w:hint="cs"/>
          <w:rtl/>
        </w:rPr>
        <w:t>.</w:t>
      </w:r>
      <w:r w:rsidR="00992664" w:rsidRPr="0012008A">
        <w:rPr>
          <w:rStyle w:val="libFootnoteBoldChar"/>
          <w:rtl/>
        </w:rPr>
        <w:t>الوافي</w:t>
      </w:r>
      <w:r w:rsidR="00992664" w:rsidRPr="00020424">
        <w:rPr>
          <w:rtl/>
        </w:rPr>
        <w:t xml:space="preserve"> ، ج 10 ، ص 129 ، ح 9299 ؛ </w:t>
      </w:r>
      <w:r w:rsidR="00992664" w:rsidRPr="0012008A">
        <w:rPr>
          <w:rStyle w:val="libFootnoteBoldChar"/>
          <w:rtl/>
        </w:rPr>
        <w:t>الوسائل</w:t>
      </w:r>
      <w:r w:rsidR="00992664" w:rsidRPr="00020424">
        <w:rPr>
          <w:rtl/>
        </w:rPr>
        <w:t xml:space="preserve"> ، ج 18 ، ص 256 ، ح 23620.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الخراج » : ما يخرج من غلّة الأرض أو الغلام ، والغلّة : الدَخْل من كِراء دار أو فائدة أرض ونحو ذلك ، ثمّ سمّي الإتاوة خراجاً ، وهو ما يأخذه السلطان من أموال الناس. راجع : </w:t>
      </w:r>
      <w:r w:rsidR="00992664" w:rsidRPr="00A23BE1">
        <w:rPr>
          <w:rtl/>
        </w:rPr>
        <w:t>المغرب</w:t>
      </w:r>
      <w:r w:rsidR="00992664" w:rsidRPr="00020424">
        <w:rPr>
          <w:rtl/>
        </w:rPr>
        <w:t xml:space="preserve"> ، ص 141 ؛ </w:t>
      </w:r>
      <w:r w:rsidR="00992664" w:rsidRPr="00A722B1">
        <w:rPr>
          <w:rStyle w:val="libFootnoteBoldChar"/>
          <w:rtl/>
        </w:rPr>
        <w:t>لسان العرب</w:t>
      </w:r>
      <w:r w:rsidR="00992664" w:rsidRPr="00020424">
        <w:rPr>
          <w:rtl/>
        </w:rPr>
        <w:t xml:space="preserve"> ، ج 2 ، ص 251 ( خرج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بس » </w:t>
      </w:r>
      <w:r w:rsidR="00992664" w:rsidRPr="00515444">
        <w:rPr>
          <w:rStyle w:val="libFootnoteBoldChar"/>
          <w:rtl/>
        </w:rPr>
        <w:t>والوافي</w:t>
      </w:r>
      <w:r w:rsidR="00992664" w:rsidRPr="00020424">
        <w:rPr>
          <w:rtl/>
        </w:rPr>
        <w:t xml:space="preserve"> : « يأخذه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A23BE1">
        <w:rPr>
          <w:rtl/>
        </w:rPr>
        <w:t>الدورس الشرعيّة</w:t>
      </w:r>
      <w:r w:rsidR="00992664" w:rsidRPr="00020424">
        <w:rPr>
          <w:rtl/>
        </w:rPr>
        <w:t xml:space="preserve"> ، ج 1 ، ص 237 : « لايكفي الخراج عن الزكاة » ، وفي </w:t>
      </w:r>
      <w:r w:rsidR="00992664" w:rsidRPr="003D2901">
        <w:rPr>
          <w:rStyle w:val="libFootnoteBoldChar"/>
          <w:rtl/>
        </w:rPr>
        <w:t>مرآة العقول</w:t>
      </w:r>
      <w:r w:rsidR="00992664" w:rsidRPr="00020424">
        <w:rPr>
          <w:rtl/>
        </w:rPr>
        <w:t xml:space="preserve"> ، ج 16 ، ص 77 : « منهم‌من حمل على أنّ المراد أنّه لايجب إخراج زكاة هذا القدر المأخوذ ، وبه جمعوا بين الأخبار ، ومنهم من حمله على التقيّة » ، وقال في الدورس : لايكفي الخراج عن الزكاة</w:t>
      </w:r>
      <w:r w:rsidR="00992664">
        <w:rPr>
          <w:rtl/>
        </w:rPr>
        <w:t xml:space="preserve"> ».</w:t>
      </w:r>
      <w:r w:rsidR="00992664" w:rsidRPr="00020424">
        <w:rPr>
          <w:rtl/>
        </w:rPr>
        <w:t xml:space="preserve"> وراجع : </w:t>
      </w:r>
      <w:r w:rsidR="00992664" w:rsidRPr="00A23BE1">
        <w:rPr>
          <w:rtl/>
        </w:rPr>
        <w:t>الدروس الشرعيّة</w:t>
      </w:r>
      <w:r w:rsidR="00992664" w:rsidRPr="00020424">
        <w:rPr>
          <w:rtl/>
        </w:rPr>
        <w:t xml:space="preserve"> ، ج 1 ، ص 237.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بف » وحاشية « بث » : « فجاز ذي</w:t>
      </w:r>
      <w:r w:rsidR="00992664">
        <w:rPr>
          <w:rtl/>
        </w:rPr>
        <w:t xml:space="preserve"> ».</w:t>
      </w:r>
      <w:r w:rsidR="00992664" w:rsidRPr="00020424">
        <w:rPr>
          <w:rtl/>
        </w:rPr>
        <w:t xml:space="preserve"> </w:t>
      </w:r>
      <w:r w:rsidR="00992664" w:rsidRPr="00B50394">
        <w:rPr>
          <w:rtl/>
        </w:rPr>
        <w:t>وفي الوافي والتهذيب والاستبصار</w:t>
      </w:r>
      <w:r w:rsidR="00992664" w:rsidRPr="00020424">
        <w:rPr>
          <w:rtl/>
        </w:rPr>
        <w:t xml:space="preserve"> : « فجاز ذا</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في بعض النسخ : فجال فكري والله لهم ، وفي بعضها : فحار فكري ، بالمهملتين ، ولعلّ ما كتبناه أولى</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وفي « بح » والمطبوع : + «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هكذا في « ظ ، بث ، بح ، بس ، جن</w:t>
      </w:r>
      <w:r w:rsidR="00992664">
        <w:rPr>
          <w:rtl/>
        </w:rPr>
        <w:t xml:space="preserve"> ».</w:t>
      </w:r>
      <w:r w:rsidR="00992664" w:rsidRPr="00020424">
        <w:rPr>
          <w:rtl/>
        </w:rPr>
        <w:t xml:space="preserve"> وفي « ى ، بخ ، بر ، بف » : « يا أبه</w:t>
      </w:r>
      <w:r w:rsidR="00992664">
        <w:rPr>
          <w:rtl/>
        </w:rPr>
        <w:t xml:space="preserve"> ».</w:t>
      </w:r>
      <w:r w:rsidR="00992664" w:rsidRPr="00020424">
        <w:rPr>
          <w:rtl/>
        </w:rPr>
        <w:t xml:space="preserve"> وفي المطبوع </w:t>
      </w:r>
      <w:r w:rsidR="00992664" w:rsidRPr="00515444">
        <w:rPr>
          <w:rStyle w:val="libFootnoteBoldChar"/>
          <w:rtl/>
        </w:rPr>
        <w:t>والوافي</w:t>
      </w:r>
      <w:r w:rsidR="00992664" w:rsidRPr="00020424">
        <w:rPr>
          <w:rtl/>
        </w:rPr>
        <w:t xml:space="preserve"> : « يا أبة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ذلك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39 ، ح 98 ؛ </w:t>
      </w:r>
      <w:r w:rsidR="00992664" w:rsidRPr="00FD6221">
        <w:rPr>
          <w:rStyle w:val="libFootnoteBoldChar"/>
          <w:rtl/>
        </w:rPr>
        <w:t>والاستبصار</w:t>
      </w:r>
      <w:r w:rsidR="00992664" w:rsidRPr="00020424">
        <w:rPr>
          <w:rtl/>
        </w:rPr>
        <w:t xml:space="preserve"> ، ج 2 ، ص 27 ، ح 75 ، بسندهما عن محمّد بن أبي عمير ، مع اختلاف يسير </w:t>
      </w:r>
      <w:r w:rsidR="003D2901">
        <w:rPr>
          <w:rFonts w:hint="cs"/>
          <w:rtl/>
        </w:rPr>
        <w:t>.</w:t>
      </w:r>
      <w:r w:rsidR="00992664" w:rsidRPr="0012008A">
        <w:rPr>
          <w:rStyle w:val="libFootnoteBoldChar"/>
          <w:rtl/>
        </w:rPr>
        <w:t>الوافي</w:t>
      </w:r>
      <w:r w:rsidR="00992664" w:rsidRPr="00020424">
        <w:rPr>
          <w:rtl/>
        </w:rPr>
        <w:t xml:space="preserve"> ، ج 10 ، ص 143 ، ح 9326 ؛ </w:t>
      </w:r>
      <w:r w:rsidR="00992664" w:rsidRPr="0012008A">
        <w:rPr>
          <w:rStyle w:val="libFootnoteBoldChar"/>
          <w:rtl/>
        </w:rPr>
        <w:t>الوسائل</w:t>
      </w:r>
      <w:r w:rsidR="00992664" w:rsidRPr="00020424">
        <w:rPr>
          <w:rtl/>
        </w:rPr>
        <w:t xml:space="preserve"> ، ج 9 ، ص 252 ، ح 11955.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سَأَلْتُ أَبَا عَبْدِ اللهِ </w:t>
      </w:r>
      <w:r w:rsidRPr="00005A81">
        <w:rPr>
          <w:rStyle w:val="libAlaemChar"/>
          <w:rtl/>
        </w:rPr>
        <w:t>عليه‌السلام</w:t>
      </w:r>
      <w:r w:rsidRPr="00020424">
        <w:rPr>
          <w:rtl/>
          <w:lang w:bidi="fa-IR"/>
        </w:rPr>
        <w:t xml:space="preserve"> عَنِ الْعُشُورِ الَّت</w:t>
      </w:r>
      <w:r>
        <w:rPr>
          <w:rtl/>
          <w:lang w:bidi="fa-IR"/>
        </w:rPr>
        <w:t>ِي تُؤْخَذُ مِنَ الرَّجُلِ : أَ</w:t>
      </w:r>
      <w:r w:rsidRPr="00020424">
        <w:rPr>
          <w:rtl/>
          <w:lang w:bidi="fa-IR"/>
        </w:rPr>
        <w:t>يَحْتَسِبُ بِهَا مِنْ زَكَاتِهِ</w:t>
      </w:r>
      <w:r>
        <w:rPr>
          <w:rtl/>
          <w:lang w:bidi="fa-IR"/>
        </w:rPr>
        <w:t>؟</w:t>
      </w:r>
    </w:p>
    <w:p w:rsidR="00992664" w:rsidRPr="00020424" w:rsidRDefault="00992664" w:rsidP="00992664">
      <w:pPr>
        <w:pStyle w:val="libNormal"/>
        <w:rPr>
          <w:rtl/>
          <w:lang w:bidi="fa-IR"/>
        </w:rPr>
      </w:pPr>
      <w:r w:rsidRPr="00020424">
        <w:rPr>
          <w:rtl/>
          <w:lang w:bidi="fa-IR"/>
        </w:rPr>
        <w:t>قَالَ : « نَعَمْ ، إِنْ شَاءَ</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A23BE1">
        <w:rPr>
          <w:rtl/>
        </w:rPr>
        <w:t>5889</w:t>
      </w:r>
      <w:r w:rsidRPr="001155DE">
        <w:rPr>
          <w:rStyle w:val="libBold2Char"/>
          <w:rtl/>
        </w:rPr>
        <w:t xml:space="preserve"> / 3.</w:t>
      </w:r>
      <w:r w:rsidRPr="00020424">
        <w:rPr>
          <w:rtl/>
          <w:lang w:bidi="fa-IR"/>
        </w:rPr>
        <w:t xml:space="preserve"> عِدَّةٌ مِنْ أَصْحَابِنَا ، عَنْ سَهْلِ بْنِ زِيَادٍ ، عَنْ أَحْمَدَ بْنِ مُحَمَّدِ بْنِ أَبِي نَصْرٍ ، عَنْ رِفَاعَةَ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يَرِثُ الْأَرْضَ ، أَوْ يَشْتَرِيهَا </w:t>
      </w:r>
      <w:r w:rsidRPr="00A91B96">
        <w:rPr>
          <w:rStyle w:val="libFootnotenumChar"/>
          <w:rtl/>
        </w:rPr>
        <w:t>(2)</w:t>
      </w:r>
      <w:r w:rsidRPr="00020424">
        <w:rPr>
          <w:rtl/>
          <w:lang w:bidi="fa-IR"/>
        </w:rPr>
        <w:t xml:space="preserve"> ، فَيُؤَدِّي خَرَاجَهَا إِلَى</w:t>
      </w:r>
      <w:r>
        <w:rPr>
          <w:rFonts w:hint="cs"/>
          <w:rtl/>
          <w:lang w:bidi="fa-IR"/>
        </w:rPr>
        <w:t xml:space="preserve"> </w:t>
      </w:r>
      <w:r w:rsidRPr="00020424">
        <w:rPr>
          <w:rtl/>
          <w:lang w:bidi="fa-IR"/>
        </w:rPr>
        <w:t xml:space="preserve">السُّلْطَانِ : هَلْ عَلَيْهِ </w:t>
      </w:r>
      <w:r w:rsidRPr="00A91B96">
        <w:rPr>
          <w:rStyle w:val="libFootnotenumChar"/>
          <w:rtl/>
        </w:rPr>
        <w:t>(3)</w:t>
      </w:r>
      <w:r w:rsidRPr="00020424">
        <w:rPr>
          <w:rtl/>
          <w:lang w:bidi="fa-IR"/>
        </w:rPr>
        <w:t xml:space="preserve"> عُشْرٌ</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23BE1">
        <w:rPr>
          <w:rtl/>
        </w:rPr>
        <w:t>5890</w:t>
      </w:r>
      <w:r w:rsidRPr="001155DE">
        <w:rPr>
          <w:rStyle w:val="libBold2Char"/>
          <w:rtl/>
        </w:rPr>
        <w:t xml:space="preserve"> / 4.</w:t>
      </w:r>
      <w:r w:rsidRPr="00020424">
        <w:rPr>
          <w:rtl/>
          <w:lang w:bidi="fa-IR"/>
        </w:rPr>
        <w:t xml:space="preserve"> مُحَمَّدُ بْنُ إِسْمَاعِيلَ ، عَنِ الْفَضْلِ بْنِ شَاذَانَ ، عَنْ صَفْوَانَ بْنِ يَحْيى ، عَنْ عِيصِ بْنِ الْقَاسِمِ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الزَّكَاةِ ، فَقَالَ </w:t>
      </w:r>
      <w:r w:rsidRPr="00A91B96">
        <w:rPr>
          <w:rStyle w:val="libFootnotenumChar"/>
          <w:rtl/>
        </w:rPr>
        <w:t>(5)</w:t>
      </w:r>
      <w:r w:rsidRPr="00020424">
        <w:rPr>
          <w:rtl/>
          <w:lang w:bidi="fa-IR"/>
        </w:rPr>
        <w:t xml:space="preserve"> : « مَا أَخَذَ </w:t>
      </w:r>
      <w:r w:rsidRPr="00A91B96">
        <w:rPr>
          <w:rStyle w:val="libFootnotenumChar"/>
          <w:rtl/>
        </w:rPr>
        <w:t>(6)</w:t>
      </w:r>
      <w:r w:rsidRPr="00020424">
        <w:rPr>
          <w:rtl/>
          <w:lang w:bidi="fa-IR"/>
        </w:rPr>
        <w:t xml:space="preserve"> مِنْكُمْ بَنُو أُمَيَّةَ فَاحْتَسِبُوا بِهِ ، وَلَا تُعْطُوهُمْ شَيْئاً مَا اسْتَطَعْتُمْ ؛ فَإِنَّ الْمَالَ لَايَبْقى عَلى هذَا أَنْ تُزَكِّيَهُ </w:t>
      </w:r>
      <w:r w:rsidRPr="00A91B96">
        <w:rPr>
          <w:rStyle w:val="libFootnotenumChar"/>
          <w:rtl/>
        </w:rPr>
        <w:t>(7)</w:t>
      </w:r>
      <w:r w:rsidRPr="00020424">
        <w:rPr>
          <w:rtl/>
          <w:lang w:bidi="fa-IR"/>
        </w:rPr>
        <w:t xml:space="preserve"> مَرَّتَيْنِ</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23BE1">
        <w:rPr>
          <w:rtl/>
        </w:rPr>
        <w:t>5891</w:t>
      </w:r>
      <w:r w:rsidRPr="001155DE">
        <w:rPr>
          <w:rStyle w:val="libBold2Char"/>
          <w:rtl/>
        </w:rPr>
        <w:t xml:space="preserve"> / 5.</w:t>
      </w:r>
      <w:r w:rsidRPr="00020424">
        <w:rPr>
          <w:rtl/>
          <w:lang w:bidi="fa-IR"/>
        </w:rPr>
        <w:t xml:space="preserve"> مُحَمَّدُ بْنُ يَحْيى ، عَنْ أَحْمَدَ بْنِ مُحَمَّدٍ ، عَنْ عَبْدِ اللهِ بْنِ مَالِكٍ ، عَنْ أَبِي قَتَادَةَ ، عَنْ سَهْلِ بْنِ الْيَسَعِ :</w:t>
      </w:r>
    </w:p>
    <w:p w:rsidR="00992664" w:rsidRPr="00020424" w:rsidRDefault="00992664" w:rsidP="00992664">
      <w:pPr>
        <w:pStyle w:val="libNormal"/>
        <w:rPr>
          <w:rtl/>
          <w:lang w:bidi="fa-IR"/>
        </w:rPr>
      </w:pPr>
      <w:r w:rsidRPr="00020424">
        <w:rPr>
          <w:rtl/>
          <w:lang w:bidi="fa-IR"/>
        </w:rPr>
        <w:t xml:space="preserve">أَنَّهُ حَيْثُ أَنْشَأَ سَهْلَ‌آبَادَ </w:t>
      </w:r>
      <w:r w:rsidRPr="00A91B96">
        <w:rPr>
          <w:rStyle w:val="libFootnotenumChar"/>
          <w:rtl/>
        </w:rPr>
        <w:t>(9)</w:t>
      </w:r>
      <w:r w:rsidRPr="00020424">
        <w:rPr>
          <w:rtl/>
          <w:lang w:bidi="fa-IR"/>
        </w:rPr>
        <w:t xml:space="preserve"> ، وَسَأَلَ </w:t>
      </w:r>
      <w:r w:rsidRPr="00A91B96">
        <w:rPr>
          <w:rStyle w:val="libFootnotenumChar"/>
          <w:rtl/>
        </w:rPr>
        <w:t>(10)</w:t>
      </w:r>
      <w:r w:rsidRPr="00020424">
        <w:rPr>
          <w:rtl/>
          <w:lang w:bidi="fa-IR"/>
        </w:rPr>
        <w:t xml:space="preserve"> أَبَا الْحَسَنِ </w:t>
      </w:r>
      <w:r w:rsidRPr="00A91B96">
        <w:rPr>
          <w:rStyle w:val="libFootnotenumChar"/>
          <w:rtl/>
        </w:rPr>
        <w:t>(11)</w:t>
      </w:r>
      <w:r w:rsidRPr="00020424">
        <w:rPr>
          <w:rtl/>
          <w:lang w:bidi="fa-IR"/>
        </w:rPr>
        <w:t xml:space="preserve"> مُوسى </w:t>
      </w:r>
      <w:r w:rsidRPr="00005A81">
        <w:rPr>
          <w:rStyle w:val="libAlaemChar"/>
          <w:rtl/>
        </w:rPr>
        <w:t>عليه‌السلام</w:t>
      </w:r>
      <w:r w:rsidRPr="00020424">
        <w:rPr>
          <w:rtl/>
          <w:lang w:bidi="fa-IR"/>
        </w:rPr>
        <w:t xml:space="preserve"> عَمَّا يُخْرَجُ مِنْهَا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29 ، ح 1612 ، معلّقاً عن يعقوب بن شعيب ، مع اختلاف يسير </w:t>
      </w:r>
      <w:r w:rsidR="003D2901">
        <w:rPr>
          <w:rFonts w:hint="cs"/>
          <w:rtl/>
        </w:rPr>
        <w:t>.</w:t>
      </w:r>
      <w:r w:rsidR="00992664" w:rsidRPr="0012008A">
        <w:rPr>
          <w:rStyle w:val="libFootnoteBoldChar"/>
          <w:rtl/>
        </w:rPr>
        <w:t>الوافي</w:t>
      </w:r>
      <w:r w:rsidR="00992664" w:rsidRPr="00020424">
        <w:rPr>
          <w:rtl/>
        </w:rPr>
        <w:t xml:space="preserve"> ، ج 10 ، ص 144 ، ح 9328 ؛ </w:t>
      </w:r>
      <w:r w:rsidR="00992664" w:rsidRPr="0012008A">
        <w:rPr>
          <w:rStyle w:val="libFootnoteBoldChar"/>
          <w:rtl/>
        </w:rPr>
        <w:t>الوسائل</w:t>
      </w:r>
      <w:r w:rsidR="00992664" w:rsidRPr="00020424">
        <w:rPr>
          <w:rtl/>
        </w:rPr>
        <w:t xml:space="preserve"> ، ج 9 ، ص 251 ، ح 11952.</w:t>
      </w:r>
    </w:p>
    <w:tbl>
      <w:tblPr>
        <w:tblStyle w:val="TableGrid"/>
        <w:bidiVisual/>
        <w:tblW w:w="0" w:type="auto"/>
        <w:tblLook w:val="04A0" w:firstRow="1" w:lastRow="0" w:firstColumn="1" w:lastColumn="0" w:noHBand="0" w:noVBand="1"/>
      </w:tblPr>
      <w:tblGrid>
        <w:gridCol w:w="4006"/>
        <w:gridCol w:w="4006"/>
      </w:tblGrid>
      <w:tr w:rsidR="003D2901" w:rsidTr="003D2901">
        <w:tc>
          <w:tcPr>
            <w:tcW w:w="4006" w:type="dxa"/>
          </w:tcPr>
          <w:p w:rsidR="003D2901" w:rsidRDefault="003D2901" w:rsidP="00992664">
            <w:pPr>
              <w:pStyle w:val="libFootnote0"/>
              <w:rPr>
                <w:rtl/>
              </w:rPr>
            </w:pPr>
            <w:r>
              <w:rPr>
                <w:rtl/>
              </w:rPr>
              <w:t xml:space="preserve">(2). </w:t>
            </w:r>
            <w:r w:rsidRPr="00020424">
              <w:rPr>
                <w:rtl/>
              </w:rPr>
              <w:t>في « بخ » : « ويشتري</w:t>
            </w:r>
            <w:r>
              <w:rPr>
                <w:rtl/>
              </w:rPr>
              <w:t xml:space="preserve"> ».</w:t>
            </w:r>
          </w:p>
        </w:tc>
        <w:tc>
          <w:tcPr>
            <w:tcW w:w="4006" w:type="dxa"/>
          </w:tcPr>
          <w:p w:rsidR="003D2901" w:rsidRDefault="003D2901" w:rsidP="00992664">
            <w:pPr>
              <w:pStyle w:val="libFootnote0"/>
              <w:rPr>
                <w:rtl/>
              </w:rPr>
            </w:pPr>
            <w:r>
              <w:rPr>
                <w:rtl/>
              </w:rPr>
              <w:t xml:space="preserve">(3). </w:t>
            </w:r>
            <w:r w:rsidRPr="00020424">
              <w:rPr>
                <w:rtl/>
              </w:rPr>
              <w:t>في « ى » : « عليها</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38 ، ح 94 ؛ </w:t>
      </w:r>
      <w:r w:rsidR="00992664" w:rsidRPr="00FD6221">
        <w:rPr>
          <w:rStyle w:val="libFootnoteBoldChar"/>
          <w:rtl/>
        </w:rPr>
        <w:t>والاستبصار</w:t>
      </w:r>
      <w:r w:rsidR="00992664" w:rsidRPr="00020424">
        <w:rPr>
          <w:rtl/>
        </w:rPr>
        <w:t xml:space="preserve"> ، ج 2 ، ص 25 ، ح 71 ، بسندهما عن رفاعة بن موسى ، مع اختلاف يسير </w:t>
      </w:r>
      <w:r w:rsidR="003D2901">
        <w:rPr>
          <w:rFonts w:hint="cs"/>
          <w:rtl/>
        </w:rPr>
        <w:t>.</w:t>
      </w:r>
      <w:r w:rsidR="00992664" w:rsidRPr="0012008A">
        <w:rPr>
          <w:rStyle w:val="libFootnoteBoldChar"/>
          <w:rtl/>
        </w:rPr>
        <w:t>الوافي</w:t>
      </w:r>
      <w:r w:rsidR="00992664" w:rsidRPr="00020424">
        <w:rPr>
          <w:rtl/>
        </w:rPr>
        <w:t xml:space="preserve"> ، ج 10 ، ص 144 ، ح 9329 ؛ </w:t>
      </w:r>
      <w:r w:rsidR="00992664" w:rsidRPr="0012008A">
        <w:rPr>
          <w:rStyle w:val="libFootnoteBoldChar"/>
          <w:rtl/>
        </w:rPr>
        <w:t>الوسائل</w:t>
      </w:r>
      <w:r w:rsidR="00992664" w:rsidRPr="00020424">
        <w:rPr>
          <w:rtl/>
        </w:rPr>
        <w:t xml:space="preserve"> ، ج 9 ، ص 193 ، ح 11814.</w:t>
      </w:r>
    </w:p>
    <w:tbl>
      <w:tblPr>
        <w:tblStyle w:val="TableGrid"/>
        <w:bidiVisual/>
        <w:tblW w:w="0" w:type="auto"/>
        <w:tblLook w:val="04A0" w:firstRow="1" w:lastRow="0" w:firstColumn="1" w:lastColumn="0" w:noHBand="0" w:noVBand="1"/>
      </w:tblPr>
      <w:tblGrid>
        <w:gridCol w:w="4006"/>
        <w:gridCol w:w="4006"/>
      </w:tblGrid>
      <w:tr w:rsidR="003D2901" w:rsidTr="003D2901">
        <w:tc>
          <w:tcPr>
            <w:tcW w:w="4006" w:type="dxa"/>
          </w:tcPr>
          <w:p w:rsidR="003D2901" w:rsidRDefault="003D2901" w:rsidP="00992664">
            <w:pPr>
              <w:pStyle w:val="libFootnote0"/>
              <w:rPr>
                <w:rtl/>
              </w:rPr>
            </w:pPr>
            <w:r>
              <w:rPr>
                <w:rtl/>
              </w:rPr>
              <w:t xml:space="preserve">(5). </w:t>
            </w:r>
            <w:r w:rsidRPr="00020424">
              <w:rPr>
                <w:rtl/>
              </w:rPr>
              <w:t xml:space="preserve">في </w:t>
            </w:r>
            <w:r w:rsidRPr="003D2901">
              <w:rPr>
                <w:rtl/>
              </w:rPr>
              <w:t>الوسائل</w:t>
            </w:r>
            <w:r w:rsidRPr="00020424">
              <w:rPr>
                <w:rtl/>
              </w:rPr>
              <w:t xml:space="preserve"> : « قال</w:t>
            </w:r>
            <w:r>
              <w:rPr>
                <w:rtl/>
              </w:rPr>
              <w:t xml:space="preserve"> ».</w:t>
            </w:r>
          </w:p>
        </w:tc>
        <w:tc>
          <w:tcPr>
            <w:tcW w:w="4006" w:type="dxa"/>
          </w:tcPr>
          <w:p w:rsidR="003D2901" w:rsidRDefault="003D2901" w:rsidP="00992664">
            <w:pPr>
              <w:pStyle w:val="libFootnote0"/>
              <w:rPr>
                <w:rtl/>
              </w:rPr>
            </w:pPr>
            <w:r>
              <w:rPr>
                <w:rtl/>
              </w:rPr>
              <w:t>(6). في«ظ،ى،بث،بح،بخ،بس»</w:t>
            </w:r>
            <w:r w:rsidRPr="00EB1FD9">
              <w:rPr>
                <w:rStyle w:val="libFootnoteBoldChar"/>
                <w:rtl/>
              </w:rPr>
              <w:t>والوسائل</w:t>
            </w:r>
            <w:r>
              <w:rPr>
                <w:rtl/>
              </w:rPr>
              <w:t>:«</w:t>
            </w:r>
            <w:r w:rsidRPr="00020424">
              <w:rPr>
                <w:rtl/>
              </w:rPr>
              <w:t>ما أخذوا</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ي ، بخ ، بر ، بف » </w:t>
      </w:r>
      <w:r w:rsidR="00992664" w:rsidRPr="00515444">
        <w:rPr>
          <w:rStyle w:val="libFootnoteBoldChar"/>
          <w:rtl/>
        </w:rPr>
        <w:t>والوافي</w:t>
      </w:r>
      <w:r w:rsidR="00992664" w:rsidRPr="00020424">
        <w:rPr>
          <w:rtl/>
        </w:rPr>
        <w:t xml:space="preserve"> : « أن يزكّيه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39 ، ح 99 ؛ </w:t>
      </w:r>
      <w:r w:rsidR="00992664" w:rsidRPr="00FD6221">
        <w:rPr>
          <w:rStyle w:val="libFootnoteBoldChar"/>
          <w:rtl/>
        </w:rPr>
        <w:t>والاستبصار</w:t>
      </w:r>
      <w:r w:rsidR="00992664" w:rsidRPr="00020424">
        <w:rPr>
          <w:rtl/>
        </w:rPr>
        <w:t xml:space="preserve"> ، ج 2 ، ص 27 ، ح 76 ، بسندهما عن صفوان بن يحيى ، مع اختلاف يسير </w:t>
      </w:r>
      <w:r w:rsidR="00745005">
        <w:rPr>
          <w:rFonts w:hint="cs"/>
          <w:rtl/>
        </w:rPr>
        <w:t>.</w:t>
      </w:r>
      <w:r w:rsidR="00992664" w:rsidRPr="0012008A">
        <w:rPr>
          <w:rStyle w:val="libFootnoteBoldChar"/>
          <w:rtl/>
        </w:rPr>
        <w:t>الوافي</w:t>
      </w:r>
      <w:r w:rsidR="00992664" w:rsidRPr="00020424">
        <w:rPr>
          <w:rtl/>
        </w:rPr>
        <w:t xml:space="preserve"> ، ج 10 ، ص 143 ، ح 9327 ؛ </w:t>
      </w:r>
      <w:r w:rsidR="00992664" w:rsidRPr="0012008A">
        <w:rPr>
          <w:rStyle w:val="libFootnoteBoldChar"/>
          <w:rtl/>
        </w:rPr>
        <w:t>الوسائل</w:t>
      </w:r>
      <w:r w:rsidR="00992664" w:rsidRPr="00020424">
        <w:rPr>
          <w:rtl/>
        </w:rPr>
        <w:t xml:space="preserve"> ، ج 9 ، ص 252 ، ح 11954.</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 « سهلاً آباد</w:t>
      </w:r>
      <w:r w:rsidR="00992664">
        <w:rPr>
          <w:rtl/>
        </w:rPr>
        <w:t xml:space="preserve"> ».</w:t>
      </w:r>
      <w:r w:rsidR="00992664" w:rsidRPr="00020424">
        <w:rPr>
          <w:rtl/>
        </w:rPr>
        <w:t xml:space="preserve"> وفي </w:t>
      </w:r>
      <w:r w:rsidR="00992664" w:rsidRPr="00745005">
        <w:rPr>
          <w:rtl/>
        </w:rPr>
        <w:t>الوافي</w:t>
      </w:r>
      <w:r w:rsidR="00992664" w:rsidRPr="00020424">
        <w:rPr>
          <w:rtl/>
        </w:rPr>
        <w:t xml:space="preserve"> : « سهل آباذ</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45005" w:rsidTr="00745005">
        <w:tc>
          <w:tcPr>
            <w:tcW w:w="4006" w:type="dxa"/>
          </w:tcPr>
          <w:p w:rsidR="00745005" w:rsidRDefault="00745005" w:rsidP="00992664">
            <w:pPr>
              <w:pStyle w:val="libFootnote0"/>
              <w:rPr>
                <w:rtl/>
              </w:rPr>
            </w:pPr>
            <w:r>
              <w:rPr>
                <w:rtl/>
              </w:rPr>
              <w:t>(10). في «بر،بس»</w:t>
            </w:r>
            <w:r w:rsidRPr="00515444">
              <w:rPr>
                <w:rStyle w:val="libFootnoteBoldChar"/>
                <w:rtl/>
              </w:rPr>
              <w:t>والوافي</w:t>
            </w:r>
            <w:r>
              <w:rPr>
                <w:rtl/>
              </w:rPr>
              <w:t xml:space="preserve"> : «سأل</w:t>
            </w:r>
            <w:r w:rsidRPr="00020424">
              <w:rPr>
                <w:rtl/>
              </w:rPr>
              <w:t>» بدون الواو.</w:t>
            </w:r>
          </w:p>
        </w:tc>
        <w:tc>
          <w:tcPr>
            <w:tcW w:w="4006" w:type="dxa"/>
          </w:tcPr>
          <w:p w:rsidR="00745005" w:rsidRDefault="00745005" w:rsidP="00992664">
            <w:pPr>
              <w:pStyle w:val="libFootnote0"/>
              <w:rPr>
                <w:rtl/>
              </w:rPr>
            </w:pPr>
            <w:r>
              <w:rPr>
                <w:rtl/>
              </w:rPr>
              <w:t xml:space="preserve">(11). </w:t>
            </w:r>
            <w:r w:rsidRPr="00020424">
              <w:rPr>
                <w:rtl/>
              </w:rPr>
              <w:t>في « ى » : « وسئل أبوالحسن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745005">
      <w:pPr>
        <w:pStyle w:val="libNormal0"/>
        <w:rPr>
          <w:rtl/>
          <w:lang w:bidi="fa-IR"/>
        </w:rPr>
      </w:pPr>
      <w:r w:rsidRPr="00020424">
        <w:rPr>
          <w:rtl/>
          <w:lang w:bidi="fa-IR"/>
        </w:rPr>
        <w:lastRenderedPageBreak/>
        <w:t>مَا عَلَيْهِ</w:t>
      </w:r>
      <w:r>
        <w:rPr>
          <w:rtl/>
          <w:lang w:bidi="fa-IR"/>
        </w:rPr>
        <w:t>؟</w:t>
      </w:r>
    </w:p>
    <w:p w:rsidR="00992664" w:rsidRPr="00020424" w:rsidRDefault="00992664" w:rsidP="00992664">
      <w:pPr>
        <w:pStyle w:val="libNormal"/>
        <w:rPr>
          <w:rtl/>
          <w:lang w:bidi="fa-IR"/>
        </w:rPr>
      </w:pPr>
      <w:r w:rsidRPr="00020424">
        <w:rPr>
          <w:rtl/>
          <w:lang w:bidi="fa-IR"/>
        </w:rPr>
        <w:t xml:space="preserve">فَقَالَ : « إِنْ </w:t>
      </w:r>
      <w:r w:rsidRPr="00A91B96">
        <w:rPr>
          <w:rStyle w:val="libFootnotenumChar"/>
          <w:rtl/>
        </w:rPr>
        <w:t>(1)</w:t>
      </w:r>
      <w:r w:rsidRPr="00020424">
        <w:rPr>
          <w:rtl/>
          <w:lang w:bidi="fa-IR"/>
        </w:rPr>
        <w:t xml:space="preserve"> كَانَ السُّلْطَانُ يَأْخُذُ خَرَاجَهُ </w:t>
      </w:r>
      <w:r w:rsidRPr="00A91B96">
        <w:rPr>
          <w:rStyle w:val="libFootnotenumChar"/>
          <w:rtl/>
        </w:rPr>
        <w:t>(2)</w:t>
      </w:r>
      <w:r w:rsidRPr="00020424">
        <w:rPr>
          <w:rtl/>
          <w:lang w:bidi="fa-IR"/>
        </w:rPr>
        <w:t xml:space="preserve"> ، فَلَيْسَ عَلَيْكَ شَيْ‌ءٌ ، وَإِنْ لَمْ يَأْخُذِ السُّلْطَانُ مِنْهَا </w:t>
      </w:r>
      <w:r w:rsidRPr="00A91B96">
        <w:rPr>
          <w:rStyle w:val="libFootnotenumChar"/>
          <w:rtl/>
        </w:rPr>
        <w:t>(3)</w:t>
      </w:r>
      <w:r w:rsidRPr="00020424">
        <w:rPr>
          <w:rtl/>
          <w:lang w:bidi="fa-IR"/>
        </w:rPr>
        <w:t xml:space="preserve"> شَيْئاً ، فَعَلَيْكَ إِخْرَاجُ عُشْرِ مَا يَكُونُ فِيهَا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23BE1">
        <w:rPr>
          <w:rtl/>
        </w:rPr>
        <w:t>5892</w:t>
      </w:r>
      <w:r w:rsidRPr="001155DE">
        <w:rPr>
          <w:rStyle w:val="libBold2Char"/>
          <w:rtl/>
        </w:rPr>
        <w:t xml:space="preserve"> / 6.</w:t>
      </w:r>
      <w:r w:rsidRPr="00020424">
        <w:rPr>
          <w:rtl/>
          <w:lang w:bidi="fa-IR"/>
        </w:rPr>
        <w:t xml:space="preserve"> عَلِيُّ بْنُ إِبْرَاهِيمَ ، عَنْ أَبِيهِ </w:t>
      </w:r>
      <w:r w:rsidRPr="00A91B96">
        <w:rPr>
          <w:rStyle w:val="libFootnotenumChar"/>
          <w:rtl/>
        </w:rPr>
        <w:t>(5)</w:t>
      </w:r>
      <w:r w:rsidRPr="00020424">
        <w:rPr>
          <w:rtl/>
          <w:lang w:bidi="fa-IR"/>
        </w:rPr>
        <w:t xml:space="preserve"> ، عَنِ النَّوْفَلِيِّ ، عَنِ السَّكُونِيِّ :</w:t>
      </w:r>
    </w:p>
    <w:p w:rsidR="00992664" w:rsidRPr="00020424" w:rsidRDefault="00992664" w:rsidP="00992664">
      <w:pPr>
        <w:pStyle w:val="libNormal"/>
        <w:rPr>
          <w:rtl/>
          <w:lang w:bidi="fa-IR"/>
        </w:rPr>
      </w:pPr>
      <w:r w:rsidRPr="00020424">
        <w:rPr>
          <w:rtl/>
          <w:lang w:bidi="fa-IR"/>
        </w:rPr>
        <w:t xml:space="preserve">عَنْ جَعْفَرٍ ، عَنْ آبَائِهِ </w:t>
      </w:r>
      <w:r w:rsidRPr="00005A81">
        <w:rPr>
          <w:rStyle w:val="libAlaemChar"/>
          <w:rtl/>
        </w:rPr>
        <w:t>عليهم‌السلام</w:t>
      </w:r>
      <w:r w:rsidRPr="00020424">
        <w:rPr>
          <w:rtl/>
          <w:lang w:bidi="fa-IR"/>
        </w:rPr>
        <w:t xml:space="preserve"> ، قَالَ : « مَا أَخَذَهُ </w:t>
      </w:r>
      <w:r w:rsidRPr="00A91B96">
        <w:rPr>
          <w:rStyle w:val="libFootnotenumChar"/>
          <w:rtl/>
        </w:rPr>
        <w:t>(6)</w:t>
      </w:r>
      <w:r w:rsidRPr="00020424">
        <w:rPr>
          <w:rtl/>
          <w:lang w:bidi="fa-IR"/>
        </w:rPr>
        <w:t xml:space="preserve"> مِنْكَ الْعَاشِرُ ، فَطَرَحَهُ فِي كُوزِهِ ، فَهُوَ مِنْ زَكَاتِكَ ، وَمَا لَمْ يَطْرَحْ </w:t>
      </w:r>
      <w:r w:rsidRPr="00A91B96">
        <w:rPr>
          <w:rStyle w:val="libFootnotenumChar"/>
          <w:rtl/>
        </w:rPr>
        <w:t>(7)</w:t>
      </w:r>
      <w:r w:rsidRPr="00020424">
        <w:rPr>
          <w:rtl/>
          <w:lang w:bidi="fa-IR"/>
        </w:rPr>
        <w:t xml:space="preserve"> فِي الْكُوزِ </w:t>
      </w:r>
      <w:r w:rsidRPr="00A91B96">
        <w:rPr>
          <w:rStyle w:val="libFootnotenumChar"/>
          <w:rtl/>
        </w:rPr>
        <w:t>(8)</w:t>
      </w:r>
      <w:r w:rsidRPr="00020424">
        <w:rPr>
          <w:rtl/>
          <w:lang w:bidi="fa-IR"/>
        </w:rPr>
        <w:t xml:space="preserve"> ، فَلَا تَحْتَسِبْهُ </w:t>
      </w:r>
      <w:r w:rsidRPr="00A91B96">
        <w:rPr>
          <w:rStyle w:val="libFootnotenumChar"/>
          <w:rtl/>
        </w:rPr>
        <w:t>(9)</w:t>
      </w:r>
      <w:r w:rsidRPr="00020424">
        <w:rPr>
          <w:rtl/>
          <w:lang w:bidi="fa-IR"/>
        </w:rPr>
        <w:t xml:space="preserve"> مِنْ زَكَاتِكَ</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Heading2Center"/>
        <w:rPr>
          <w:rtl/>
          <w:lang w:bidi="fa-IR"/>
        </w:rPr>
      </w:pPr>
      <w:bookmarkStart w:id="90" w:name="_Toc345172746"/>
      <w:bookmarkStart w:id="91" w:name="_Toc464562563"/>
      <w:bookmarkStart w:id="92" w:name="_Toc44599866"/>
      <w:r w:rsidRPr="00020424">
        <w:rPr>
          <w:rtl/>
          <w:lang w:bidi="fa-IR"/>
        </w:rPr>
        <w:t>26</w:t>
      </w:r>
      <w:r>
        <w:rPr>
          <w:rtl/>
          <w:lang w:bidi="fa-IR"/>
        </w:rPr>
        <w:t xml:space="preserve"> </w:t>
      </w:r>
      <w:r w:rsidR="009B673F">
        <w:rPr>
          <w:rtl/>
          <w:lang w:bidi="fa-IR"/>
        </w:rPr>
        <w:t>-</w:t>
      </w:r>
      <w:r>
        <w:rPr>
          <w:rtl/>
          <w:lang w:bidi="fa-IR"/>
        </w:rPr>
        <w:t xml:space="preserve"> </w:t>
      </w:r>
      <w:r w:rsidRPr="00020424">
        <w:rPr>
          <w:rtl/>
          <w:lang w:bidi="fa-IR"/>
        </w:rPr>
        <w:t xml:space="preserve">بَابُ الرَّجُلِ يُخَلِّفُ عِنْدَ أَهْلِهِ مِنَ النَّفَقَةِ مَا يَكُونُ فِي مِثْلِهَا </w:t>
      </w:r>
      <w:r w:rsidRPr="00A91B96">
        <w:rPr>
          <w:rStyle w:val="libFootnotenumChar"/>
          <w:rtl/>
        </w:rPr>
        <w:t>(11)</w:t>
      </w:r>
      <w:r>
        <w:rPr>
          <w:rtl/>
        </w:rPr>
        <w:t xml:space="preserve"> </w:t>
      </w:r>
      <w:r w:rsidRPr="00020424">
        <w:rPr>
          <w:rtl/>
          <w:lang w:bidi="fa-IR"/>
        </w:rPr>
        <w:t>الزَّكَاةُ‌</w:t>
      </w:r>
      <w:bookmarkEnd w:id="90"/>
      <w:bookmarkEnd w:id="91"/>
      <w:bookmarkEnd w:id="92"/>
    </w:p>
    <w:p w:rsidR="00992664" w:rsidRPr="00020424" w:rsidRDefault="00992664" w:rsidP="00992664">
      <w:pPr>
        <w:pStyle w:val="libNormal"/>
        <w:rPr>
          <w:rtl/>
          <w:lang w:bidi="fa-IR"/>
        </w:rPr>
      </w:pPr>
      <w:r w:rsidRPr="00A23BE1">
        <w:rPr>
          <w:rtl/>
        </w:rPr>
        <w:t>5893</w:t>
      </w:r>
      <w:r w:rsidRPr="001155DE">
        <w:rPr>
          <w:rStyle w:val="libBold2Char"/>
          <w:rtl/>
        </w:rPr>
        <w:t xml:space="preserve"> / 1.</w:t>
      </w:r>
      <w:r w:rsidRPr="00020424">
        <w:rPr>
          <w:rtl/>
          <w:lang w:bidi="fa-IR"/>
        </w:rPr>
        <w:t xml:space="preserve"> أَحْمَدُ بْنُ إِدْرِيسَ ، عَنْ مُحَمَّدِ بْنِ عَبْدِ الْجَبَّارِ ، عَنْ صَفْوَانَ بْنِ يَحْيى </w:t>
      </w:r>
      <w:r w:rsidRPr="00A91B96">
        <w:rPr>
          <w:rStyle w:val="libFootnotenumChar"/>
          <w:rtl/>
        </w:rPr>
        <w:t>(12)</w:t>
      </w:r>
      <w:r w:rsidRPr="00020424">
        <w:rPr>
          <w:rtl/>
          <w:lang w:bidi="fa-IR"/>
        </w:rPr>
        <w:t xml:space="preserve"> ، عَنْ إِسْحَاقَ بْنِ عَمَّارٍ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 « إذا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معظم النسخ التي قوبلت </w:t>
      </w:r>
      <w:r w:rsidR="00992664" w:rsidRPr="00EB1FD9">
        <w:rPr>
          <w:rStyle w:val="libFootnoteBoldChar"/>
          <w:rtl/>
        </w:rPr>
        <w:t>والوسائل</w:t>
      </w:r>
      <w:r w:rsidR="00992664" w:rsidRPr="00020424">
        <w:rPr>
          <w:rtl/>
        </w:rPr>
        <w:t>. وفي « بح » والمطبوع : « خراجها</w:t>
      </w:r>
      <w:r w:rsidR="00992664">
        <w:rPr>
          <w:rtl/>
        </w:rPr>
        <w:t xml:space="preserve"> ».</w:t>
      </w:r>
      <w:r w:rsidR="00745005">
        <w:rPr>
          <w:rtl/>
        </w:rPr>
        <w:t xml:space="preserve"> وفي « جن » : «</w:t>
      </w:r>
      <w:r w:rsidR="00992664" w:rsidRPr="00020424">
        <w:rPr>
          <w:rtl/>
        </w:rPr>
        <w:t>خراجك</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بس ، جن » وحاشية « بث » : « منك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144 ، ح 9330 ؛ </w:t>
      </w:r>
      <w:r w:rsidR="00992664" w:rsidRPr="0012008A">
        <w:rPr>
          <w:rStyle w:val="libFootnoteBoldChar"/>
          <w:rtl/>
        </w:rPr>
        <w:t>الوسائل</w:t>
      </w:r>
      <w:r w:rsidR="00992664" w:rsidRPr="00020424">
        <w:rPr>
          <w:rtl/>
        </w:rPr>
        <w:t xml:space="preserve"> ، ج 9 ، ص 192 ، ح 11813.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النسخ </w:t>
      </w:r>
      <w:r w:rsidR="00992664" w:rsidRPr="00EB1FD9">
        <w:rPr>
          <w:rStyle w:val="libFootnoteBoldChar"/>
          <w:rtl/>
        </w:rPr>
        <w:t>والوسائل</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xml:space="preserve">« عن أبيه » ، وهو سقط واضح ؛ فإنّ طريق الكليني إلى السكوني ، وهو « عليّ بن إبراهيم ، عن أبيه ، عن النوفلي » من أشهر طرق </w:t>
      </w:r>
      <w:r w:rsidR="00992664" w:rsidRPr="00A23BE1">
        <w:rPr>
          <w:rtl/>
        </w:rPr>
        <w:t>الكافي</w:t>
      </w:r>
      <w:r w:rsidR="00992664" w:rsidRPr="0002042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بر ، بف » </w:t>
      </w:r>
      <w:r w:rsidR="00992664" w:rsidRPr="00515444">
        <w:rPr>
          <w:rStyle w:val="libFootnoteBoldChar"/>
          <w:rtl/>
        </w:rPr>
        <w:t>والوافي</w:t>
      </w:r>
      <w:r w:rsidR="00992664" w:rsidRPr="00745005">
        <w:rPr>
          <w:rtl/>
        </w:rPr>
        <w:t xml:space="preserve"> </w:t>
      </w:r>
      <w:r w:rsidR="00992664" w:rsidRPr="00FD6221">
        <w:rPr>
          <w:rStyle w:val="libFootnoteBoldChar"/>
          <w:rtl/>
        </w:rPr>
        <w:t>والفقيه</w:t>
      </w:r>
      <w:r w:rsidR="00992664" w:rsidRPr="00020424">
        <w:rPr>
          <w:rtl/>
        </w:rPr>
        <w:t xml:space="preserve"> : « ما أخذ</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بف » </w:t>
      </w:r>
      <w:r w:rsidR="00992664" w:rsidRPr="00515444">
        <w:rPr>
          <w:rStyle w:val="libFootnoteBoldChar"/>
          <w:rtl/>
        </w:rPr>
        <w:t>والوافي</w:t>
      </w:r>
      <w:r w:rsidR="00992664" w:rsidRPr="00020424">
        <w:rPr>
          <w:rtl/>
        </w:rPr>
        <w:t xml:space="preserve"> : « لم يطرحه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العاشر يومئذٍ كان يصرف ما يطرحه من ذلك في الكوز إلى السلطان ، وما لم يطرحه فيه ينفقه على نفسه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بخ ، بس ، بف » </w:t>
      </w:r>
      <w:r w:rsidR="00992664" w:rsidRPr="00FD6221">
        <w:rPr>
          <w:rStyle w:val="libFootnoteBoldChar"/>
          <w:rtl/>
        </w:rPr>
        <w:t>والفقيه</w:t>
      </w:r>
      <w:r w:rsidR="00992664" w:rsidRPr="00020424">
        <w:rPr>
          <w:rtl/>
        </w:rPr>
        <w:t xml:space="preserve"> : « فلا تحسبه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الفقيه</w:t>
      </w:r>
      <w:r w:rsidR="00992664" w:rsidRPr="00020424">
        <w:rPr>
          <w:rtl/>
        </w:rPr>
        <w:t xml:space="preserve"> ، ج 2 ، ص 29 ، ح 1613 ، معلّقاً عن السكوني ، عن جعفر بن محمّد ، عن آبائه ، عن عليّ </w:t>
      </w:r>
      <w:r w:rsidR="00992664" w:rsidRPr="00D64ADA">
        <w:rPr>
          <w:rStyle w:val="libFootnoteAlaemChar"/>
          <w:rtl/>
        </w:rPr>
        <w:t>عليهم‌السلام</w:t>
      </w:r>
      <w:r w:rsidR="00992664" w:rsidRPr="00020424">
        <w:rPr>
          <w:rtl/>
        </w:rPr>
        <w:t xml:space="preserve"> ، مع اختلاف يسير </w:t>
      </w:r>
      <w:r w:rsidR="00745005">
        <w:rPr>
          <w:rFonts w:hint="cs"/>
          <w:rtl/>
        </w:rPr>
        <w:t>.</w:t>
      </w:r>
      <w:r w:rsidR="00992664" w:rsidRPr="0012008A">
        <w:rPr>
          <w:rStyle w:val="libFootnoteBoldChar"/>
          <w:rtl/>
        </w:rPr>
        <w:t>الوافي</w:t>
      </w:r>
      <w:r w:rsidR="00992664" w:rsidRPr="00020424">
        <w:rPr>
          <w:rtl/>
        </w:rPr>
        <w:t xml:space="preserve"> ، ج 10 ، ص 146 ، ح 9335 ؛ </w:t>
      </w:r>
      <w:r w:rsidR="00992664" w:rsidRPr="0012008A">
        <w:rPr>
          <w:rStyle w:val="libFootnoteBoldChar"/>
          <w:rtl/>
        </w:rPr>
        <w:t>الوسائل</w:t>
      </w:r>
      <w:r w:rsidR="00992664" w:rsidRPr="00020424">
        <w:rPr>
          <w:rtl/>
        </w:rPr>
        <w:t xml:space="preserve"> ، ج 9 ، ص 252 ، ح 11953.</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وحاشية « بث » : « مثله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حاشية « بح » </w:t>
      </w:r>
      <w:r w:rsidR="00992664" w:rsidRPr="00EB1FD9">
        <w:rPr>
          <w:rStyle w:val="libFootnoteBoldChar"/>
          <w:rtl/>
        </w:rPr>
        <w:t>والوسائل</w:t>
      </w:r>
      <w:r w:rsidR="00992664" w:rsidRPr="00745005">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الْحَسَنِ الْمَاضِي </w:t>
      </w:r>
      <w:r w:rsidRPr="00005A81">
        <w:rPr>
          <w:rStyle w:val="libAlaemChar"/>
          <w:rtl/>
        </w:rPr>
        <w:t>عليه‌السلام</w:t>
      </w:r>
      <w:r w:rsidRPr="00020424">
        <w:rPr>
          <w:rtl/>
          <w:lang w:bidi="fa-IR"/>
        </w:rPr>
        <w:t xml:space="preserve"> ، قَالَ : قُلْتُ لَهُ : رَجُلٌ خَلَّفَ عِنْدَ أَهْلِهِ نَفَقَةً أَلْفَيْنِ لِسَنَتَيْنِ </w:t>
      </w:r>
      <w:r w:rsidRPr="00A91B96">
        <w:rPr>
          <w:rStyle w:val="libFootnotenumChar"/>
          <w:rtl/>
        </w:rPr>
        <w:t>(1)</w:t>
      </w:r>
      <w:r w:rsidRPr="00020424">
        <w:rPr>
          <w:rtl/>
          <w:lang w:bidi="fa-IR"/>
        </w:rPr>
        <w:t>: عَلَيْهَا 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 إِنْ كَانَ شَاهِداً فَعَلَيْهِ زَكَاةٌ </w:t>
      </w:r>
      <w:r w:rsidRPr="00A91B96">
        <w:rPr>
          <w:rStyle w:val="libFootnotenumChar"/>
          <w:rtl/>
        </w:rPr>
        <w:t>(3)</w:t>
      </w:r>
      <w:r w:rsidRPr="00020424">
        <w:rPr>
          <w:rtl/>
          <w:lang w:bidi="fa-IR"/>
        </w:rPr>
        <w:t xml:space="preserve"> ، وَإِنْ كَانَ غَائِباً فَلَيْسَ عَلَيْهِ زَكَاةٌ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A23BE1">
        <w:rPr>
          <w:rtl/>
        </w:rPr>
        <w:t>5894</w:t>
      </w:r>
      <w:r w:rsidRPr="001155DE">
        <w:rPr>
          <w:rStyle w:val="libBold2Char"/>
          <w:rtl/>
        </w:rPr>
        <w:t xml:space="preserve"> / 2.</w:t>
      </w:r>
      <w:r w:rsidRPr="00020424">
        <w:rPr>
          <w:rtl/>
          <w:lang w:bidi="fa-IR"/>
        </w:rPr>
        <w:t xml:space="preserve"> عِدَّةٌ مِنْ أَصْحَابِنَا ، عَنْ أَحْمَدَ بْنِ مُحَمَّدٍ ، عَنِ ابْنِ أَبِي عُمَيْرٍ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w:t>
      </w:r>
      <w:r w:rsidRPr="00A91B96">
        <w:rPr>
          <w:rStyle w:val="libFootnotenumChar"/>
          <w:rtl/>
        </w:rPr>
        <w:t>(6)</w:t>
      </w:r>
      <w:r w:rsidRPr="00020424">
        <w:rPr>
          <w:rtl/>
          <w:lang w:bidi="fa-IR"/>
        </w:rPr>
        <w:t xml:space="preserve"> رَجُلٍ وَضَعَ لِعِيَالِهِ أَلْفَ دِرْهَمٍ نَفَقَةً ، فَحَالَ عَلَيْهَا الْحَوْلُ ، قَالَ </w:t>
      </w:r>
      <w:r w:rsidRPr="00A91B96">
        <w:rPr>
          <w:rStyle w:val="libFootnotenumChar"/>
          <w:rtl/>
        </w:rPr>
        <w:t>(7)</w:t>
      </w:r>
      <w:r w:rsidRPr="00020424">
        <w:rPr>
          <w:rtl/>
          <w:lang w:bidi="fa-IR"/>
        </w:rPr>
        <w:t xml:space="preserve">: « إِنْ كَانَ مُقِيماً زَكَّاهُ </w:t>
      </w:r>
      <w:r w:rsidRPr="00A91B96">
        <w:rPr>
          <w:rStyle w:val="libFootnotenumChar"/>
          <w:rtl/>
        </w:rPr>
        <w:t>(8)</w:t>
      </w:r>
      <w:r w:rsidRPr="00020424">
        <w:rPr>
          <w:rtl/>
          <w:lang w:bidi="fa-IR"/>
        </w:rPr>
        <w:t xml:space="preserve"> ، وَإِنْ كَانَ غَائِباً لَمْ يُزَكِّهِ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Normal"/>
        <w:rPr>
          <w:rtl/>
          <w:lang w:bidi="fa-IR"/>
        </w:rPr>
      </w:pPr>
      <w:r w:rsidRPr="00A23BE1">
        <w:rPr>
          <w:rtl/>
        </w:rPr>
        <w:t>5895</w:t>
      </w:r>
      <w:r w:rsidRPr="001155DE">
        <w:rPr>
          <w:rStyle w:val="libBold2Char"/>
          <w:rtl/>
        </w:rPr>
        <w:t xml:space="preserve"> / 3.</w:t>
      </w:r>
      <w:r w:rsidRPr="00020424">
        <w:rPr>
          <w:rtl/>
          <w:lang w:bidi="fa-IR"/>
        </w:rPr>
        <w:t xml:space="preserve"> عَلِيُّ بْنُ إِبْرَاهِيمَ ، عَنْ أَبِيهِ ، عَنْ إِسْمَاعِيلَ بْنِ مَرَّارٍ ، عَنْ يُونُسَ ، عَنْ سَمَاعَةَ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الرَّجُلُ يُخَلِّفُ لِأَهْلِهِ </w:t>
      </w:r>
      <w:r w:rsidRPr="00A91B96">
        <w:rPr>
          <w:rStyle w:val="libFootnotenumChar"/>
          <w:rtl/>
        </w:rPr>
        <w:t>(11)</w:t>
      </w:r>
      <w:r w:rsidRPr="00020424">
        <w:rPr>
          <w:rtl/>
          <w:lang w:bidi="fa-IR"/>
        </w:rPr>
        <w:t xml:space="preserve"> ثَلَاثَةَ </w:t>
      </w:r>
      <w:r w:rsidRPr="00A91B96">
        <w:rPr>
          <w:rStyle w:val="libFootnotenumChar"/>
          <w:rtl/>
        </w:rPr>
        <w:t>(12)</w:t>
      </w:r>
      <w:r w:rsidRPr="00020424">
        <w:rPr>
          <w:rtl/>
          <w:lang w:bidi="fa-IR"/>
        </w:rPr>
        <w:t xml:space="preserve"> آلَافِ دِرْهَمٍ نَفَقَةَ سَنَتَيْنِ </w:t>
      </w:r>
      <w:r w:rsidRPr="00A91B96">
        <w:rPr>
          <w:rStyle w:val="libFootnotenumChar"/>
          <w:rtl/>
        </w:rPr>
        <w:t>(13)</w:t>
      </w:r>
      <w:r w:rsidRPr="00020424">
        <w:rPr>
          <w:rtl/>
          <w:lang w:bidi="fa-IR"/>
        </w:rPr>
        <w:t xml:space="preserve"> : عَلَيْهِ زَكَاةٌ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745005">
        <w:rPr>
          <w:rtl/>
        </w:rPr>
        <w:t>التهذيب</w:t>
      </w:r>
      <w:r w:rsidR="00992664" w:rsidRPr="00020424">
        <w:rPr>
          <w:rtl/>
        </w:rPr>
        <w:t xml:space="preserve"> : « لسنين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 الزكاة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745005">
        <w:rPr>
          <w:rStyle w:val="libFootnoteBoldChar"/>
          <w:rtl/>
        </w:rPr>
        <w:t>مرآة العقول</w:t>
      </w:r>
      <w:r w:rsidR="00992664" w:rsidRPr="00020424">
        <w:rPr>
          <w:rtl/>
        </w:rPr>
        <w:t xml:space="preserve"> ، ج 16 ، ص 78 : « هذا هو الأشهر ، وذهب ابن إدريس وجماعة إلى وجوب الزكاة في حالتي الحضور والغيبة إذا كان مالكاً متمكّناً من التصرّف ، وقال في </w:t>
      </w:r>
      <w:r w:rsidR="00992664" w:rsidRPr="00A23BE1">
        <w:rPr>
          <w:rtl/>
        </w:rPr>
        <w:t>الدروس</w:t>
      </w:r>
      <w:r w:rsidR="00992664" w:rsidRPr="00020424">
        <w:rPr>
          <w:rtl/>
        </w:rPr>
        <w:t xml:space="preserve"> : ولا في النفقة المختلفة لعياله ، وتجب مع الحضور. وقول ابن إدريس بعدم الفرق مزيّف</w:t>
      </w:r>
      <w:r w:rsidR="00992664">
        <w:rPr>
          <w:rtl/>
        </w:rPr>
        <w:t xml:space="preserve"> ».</w:t>
      </w:r>
      <w:r w:rsidR="00992664" w:rsidRPr="00020424">
        <w:rPr>
          <w:rtl/>
        </w:rPr>
        <w:t xml:space="preserve"> وراجع : </w:t>
      </w:r>
      <w:r w:rsidR="00992664" w:rsidRPr="00745005">
        <w:rPr>
          <w:rStyle w:val="libFootnoteBoldChar"/>
          <w:rtl/>
        </w:rPr>
        <w:t>السرائر</w:t>
      </w:r>
      <w:r w:rsidR="00992664" w:rsidRPr="00020424">
        <w:rPr>
          <w:rtl/>
        </w:rPr>
        <w:t xml:space="preserve"> ، ج 1 ، ص 447 ؛ </w:t>
      </w:r>
      <w:r w:rsidR="00992664" w:rsidRPr="00745005">
        <w:rPr>
          <w:rStyle w:val="libFootnoteBoldChar"/>
          <w:rtl/>
        </w:rPr>
        <w:t>الدروس الشرعية</w:t>
      </w:r>
      <w:r w:rsidR="00992664" w:rsidRPr="00020424">
        <w:rPr>
          <w:rtl/>
        </w:rPr>
        <w:t xml:space="preserve"> ، ج 1 ، ص 230.</w:t>
      </w:r>
    </w:p>
    <w:p w:rsidR="00992664" w:rsidRPr="00020424" w:rsidRDefault="00795177" w:rsidP="00745005">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99 ، ح 279 ، معلّقاً عن الكليني </w:t>
      </w:r>
      <w:r w:rsidR="00745005">
        <w:rPr>
          <w:rFonts w:hint="cs"/>
          <w:rtl/>
        </w:rPr>
        <w:t>.</w:t>
      </w:r>
      <w:r w:rsidR="00992664" w:rsidRPr="0012008A">
        <w:rPr>
          <w:rStyle w:val="libFootnoteBoldChar"/>
          <w:rtl/>
        </w:rPr>
        <w:t>الوافي</w:t>
      </w:r>
      <w:r w:rsidR="00992664" w:rsidRPr="00020424">
        <w:rPr>
          <w:rtl/>
        </w:rPr>
        <w:t xml:space="preserve"> ، ج 10 ، ص 121 ، ح 9278 ؛ </w:t>
      </w:r>
      <w:r w:rsidR="00992664" w:rsidRPr="0012008A">
        <w:rPr>
          <w:rStyle w:val="libFootnoteBoldChar"/>
          <w:rtl/>
        </w:rPr>
        <w:t>الوسائل</w:t>
      </w:r>
      <w:r w:rsidR="00992664" w:rsidRPr="00020424">
        <w:rPr>
          <w:rtl/>
        </w:rPr>
        <w:t xml:space="preserve"> ، ج 9 ، ص 172 ، ح 11767.</w:t>
      </w:r>
      <w:r w:rsidR="00B50394">
        <w:rPr>
          <w:rFonts w:hint="cs"/>
          <w:rtl/>
        </w:rPr>
        <w:t xml:space="preserve">        </w:t>
      </w:r>
      <w:r w:rsidR="00745005">
        <w:rPr>
          <w:rFonts w:hint="cs"/>
          <w:rtl/>
        </w:rPr>
        <w:t xml:space="preserve">       </w:t>
      </w:r>
      <w:r>
        <w:rPr>
          <w:rtl/>
        </w:rPr>
        <w:t>(6).</w:t>
      </w:r>
      <w:r w:rsidR="0014403D">
        <w:rPr>
          <w:rtl/>
        </w:rPr>
        <w:t xml:space="preserve"> </w:t>
      </w:r>
      <w:r w:rsidR="00745005">
        <w:rPr>
          <w:rtl/>
        </w:rPr>
        <w:t>في «بخ،بر» وحاشية «بث</w:t>
      </w:r>
      <w:r w:rsidR="00992664" w:rsidRPr="00020424">
        <w:rPr>
          <w:rtl/>
        </w:rPr>
        <w:t xml:space="preserve">» </w:t>
      </w:r>
      <w:r w:rsidR="00992664" w:rsidRPr="00515444">
        <w:rPr>
          <w:rStyle w:val="libFootnoteBoldChar"/>
          <w:rtl/>
        </w:rPr>
        <w:t>والوافي</w:t>
      </w:r>
      <w:r w:rsidR="00745005">
        <w:rPr>
          <w:rtl/>
        </w:rPr>
        <w:t>:«</w:t>
      </w:r>
      <w:r w:rsidR="00992664" w:rsidRPr="00020424">
        <w:rPr>
          <w:rtl/>
        </w:rPr>
        <w:t>عن</w:t>
      </w:r>
      <w:r w:rsidR="00992664">
        <w:rPr>
          <w:rtl/>
        </w:rPr>
        <w:t>».</w:t>
      </w:r>
    </w:p>
    <w:tbl>
      <w:tblPr>
        <w:tblStyle w:val="TableGrid"/>
        <w:bidiVisual/>
        <w:tblW w:w="0" w:type="auto"/>
        <w:tblLook w:val="04A0" w:firstRow="1" w:lastRow="0" w:firstColumn="1" w:lastColumn="0" w:noHBand="0" w:noVBand="1"/>
      </w:tblPr>
      <w:tblGrid>
        <w:gridCol w:w="4006"/>
        <w:gridCol w:w="4006"/>
      </w:tblGrid>
      <w:tr w:rsidR="00745005" w:rsidTr="00745005">
        <w:tc>
          <w:tcPr>
            <w:tcW w:w="4006" w:type="dxa"/>
          </w:tcPr>
          <w:p w:rsidR="00745005" w:rsidRDefault="00745005" w:rsidP="00992664">
            <w:pPr>
              <w:pStyle w:val="libFootnote0"/>
              <w:rPr>
                <w:rtl/>
              </w:rPr>
            </w:pPr>
            <w:r>
              <w:rPr>
                <w:rtl/>
              </w:rPr>
              <w:t xml:space="preserve">(7). </w:t>
            </w:r>
            <w:r w:rsidRPr="00020424">
              <w:rPr>
                <w:rtl/>
              </w:rPr>
              <w:t>في « بح » : « فقال</w:t>
            </w:r>
            <w:r>
              <w:rPr>
                <w:rtl/>
              </w:rPr>
              <w:t xml:space="preserve"> ».</w:t>
            </w:r>
          </w:p>
        </w:tc>
        <w:tc>
          <w:tcPr>
            <w:tcW w:w="4006" w:type="dxa"/>
          </w:tcPr>
          <w:p w:rsidR="00745005" w:rsidRDefault="00745005" w:rsidP="00992664">
            <w:pPr>
              <w:pStyle w:val="libFootnote0"/>
              <w:rPr>
                <w:rtl/>
              </w:rPr>
            </w:pPr>
            <w:r>
              <w:rPr>
                <w:rtl/>
              </w:rPr>
              <w:t xml:space="preserve">(8). </w:t>
            </w:r>
            <w:r w:rsidRPr="00020424">
              <w:rPr>
                <w:rtl/>
              </w:rPr>
              <w:t>في حاشية « بث » : « فعليه زكاة</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ى ، بث ، بح ، بخ ، بر ، بف » </w:t>
      </w:r>
      <w:r w:rsidR="00992664" w:rsidRPr="00515444">
        <w:rPr>
          <w:rStyle w:val="libFootnoteBoldChar"/>
          <w:rtl/>
        </w:rPr>
        <w:t>والوافي</w:t>
      </w:r>
      <w:r w:rsidR="00992664" w:rsidRPr="00745005">
        <w:rPr>
          <w:rtl/>
        </w:rPr>
        <w:t xml:space="preserve"> </w:t>
      </w:r>
      <w:r w:rsidR="00992664" w:rsidRPr="00EB1FD9">
        <w:rPr>
          <w:rStyle w:val="libFootnoteBoldChar"/>
          <w:rtl/>
        </w:rPr>
        <w:t>والوسائل</w:t>
      </w:r>
      <w:r w:rsidR="00992664" w:rsidRPr="00020424">
        <w:rPr>
          <w:rtl/>
        </w:rPr>
        <w:t xml:space="preserve"> : « لم يزكّ</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122 ، ح 9280 ؛ </w:t>
      </w:r>
      <w:r w:rsidR="00992664" w:rsidRPr="0012008A">
        <w:rPr>
          <w:rStyle w:val="libFootnoteBoldChar"/>
          <w:rtl/>
        </w:rPr>
        <w:t>الوسائل</w:t>
      </w:r>
      <w:r w:rsidR="00992664" w:rsidRPr="00020424">
        <w:rPr>
          <w:rtl/>
        </w:rPr>
        <w:t xml:space="preserve"> ، ج 9 ، ص 173 ، ح 11768.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بر » </w:t>
      </w:r>
      <w:r w:rsidR="00992664" w:rsidRPr="00B50394">
        <w:rPr>
          <w:rtl/>
        </w:rPr>
        <w:t>والوافي والفقيه والتهذيب</w:t>
      </w:r>
      <w:r w:rsidR="00992664" w:rsidRPr="00020424">
        <w:rPr>
          <w:rtl/>
        </w:rPr>
        <w:t xml:space="preserve"> : + « نفقة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45005" w:rsidTr="00745005">
        <w:tc>
          <w:tcPr>
            <w:tcW w:w="4006" w:type="dxa"/>
          </w:tcPr>
          <w:p w:rsidR="00745005" w:rsidRDefault="00745005" w:rsidP="00992664">
            <w:pPr>
              <w:pStyle w:val="libFootnote0"/>
              <w:rPr>
                <w:rtl/>
              </w:rPr>
            </w:pPr>
            <w:r>
              <w:rPr>
                <w:rtl/>
              </w:rPr>
              <w:t xml:space="preserve">(12). </w:t>
            </w:r>
            <w:r w:rsidRPr="00020424">
              <w:rPr>
                <w:rtl/>
              </w:rPr>
              <w:t xml:space="preserve">في </w:t>
            </w:r>
            <w:r w:rsidRPr="004524AC">
              <w:rPr>
                <w:rtl/>
              </w:rPr>
              <w:t>الوافي</w:t>
            </w:r>
            <w:r w:rsidRPr="00020424">
              <w:rPr>
                <w:rtl/>
              </w:rPr>
              <w:t xml:space="preserve"> : « ثلاث</w:t>
            </w:r>
            <w:r>
              <w:rPr>
                <w:rtl/>
              </w:rPr>
              <w:t xml:space="preserve"> ».</w:t>
            </w:r>
          </w:p>
        </w:tc>
        <w:tc>
          <w:tcPr>
            <w:tcW w:w="4006" w:type="dxa"/>
          </w:tcPr>
          <w:p w:rsidR="00745005" w:rsidRDefault="00745005" w:rsidP="00992664">
            <w:pPr>
              <w:pStyle w:val="libFootnote0"/>
              <w:rPr>
                <w:rtl/>
              </w:rPr>
            </w:pPr>
            <w:r>
              <w:rPr>
                <w:rtl/>
              </w:rPr>
              <w:t xml:space="preserve">(13). </w:t>
            </w:r>
            <w:r w:rsidRPr="00020424">
              <w:rPr>
                <w:rtl/>
              </w:rPr>
              <w:t xml:space="preserve">في « بخ » </w:t>
            </w:r>
            <w:r w:rsidRPr="00515444">
              <w:rPr>
                <w:rStyle w:val="libFootnoteBoldChar"/>
                <w:rtl/>
              </w:rPr>
              <w:t>والتهذيب</w:t>
            </w:r>
            <w:r w:rsidRPr="00020424">
              <w:rPr>
                <w:rtl/>
              </w:rPr>
              <w:t xml:space="preserve"> : « سنين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 « إِنْ كَانَ شَاهِداً فَعَلَيْهَا </w:t>
      </w:r>
      <w:r w:rsidRPr="00A91B96">
        <w:rPr>
          <w:rStyle w:val="libFootnotenumChar"/>
          <w:rtl/>
        </w:rPr>
        <w:t>(1)</w:t>
      </w:r>
      <w:r w:rsidRPr="00020424">
        <w:rPr>
          <w:rtl/>
          <w:lang w:bidi="fa-IR"/>
        </w:rPr>
        <w:t xml:space="preserve"> زَكَاةٌ ، وَإِنْ كَانَ غَائِباً فَلَيْسَ فِيهَا شَيْ‌ءٌ</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93" w:name="_Toc345172747"/>
      <w:bookmarkStart w:id="94" w:name="_Toc464562564"/>
      <w:bookmarkStart w:id="95" w:name="_Toc44599867"/>
      <w:r w:rsidRPr="00020424">
        <w:rPr>
          <w:rtl/>
          <w:lang w:bidi="fa-IR"/>
        </w:rPr>
        <w:t>27</w:t>
      </w:r>
      <w:r>
        <w:rPr>
          <w:rtl/>
          <w:lang w:bidi="fa-IR"/>
        </w:rPr>
        <w:t xml:space="preserve"> </w:t>
      </w:r>
      <w:r w:rsidR="009B673F">
        <w:rPr>
          <w:rtl/>
          <w:lang w:bidi="fa-IR"/>
        </w:rPr>
        <w:t>-</w:t>
      </w:r>
      <w:r>
        <w:rPr>
          <w:rtl/>
          <w:lang w:bidi="fa-IR"/>
        </w:rPr>
        <w:t xml:space="preserve"> </w:t>
      </w:r>
      <w:r w:rsidRPr="00020424">
        <w:rPr>
          <w:rtl/>
          <w:lang w:bidi="fa-IR"/>
        </w:rPr>
        <w:t xml:space="preserve">بَابُ الرَّجُلِ يُعْطِي مِنْ زَكَاتِهِ </w:t>
      </w:r>
      <w:r w:rsidRPr="00A91B96">
        <w:rPr>
          <w:rStyle w:val="libFootnotenumChar"/>
          <w:rtl/>
        </w:rPr>
        <w:t>(3)</w:t>
      </w:r>
      <w:r>
        <w:rPr>
          <w:rtl/>
        </w:rPr>
        <w:t xml:space="preserve"> </w:t>
      </w:r>
      <w:r w:rsidRPr="00020424">
        <w:rPr>
          <w:rtl/>
          <w:lang w:bidi="fa-IR"/>
        </w:rPr>
        <w:t>مَنْ يَظُنُّ أَنَّهُ مُعْسِرٌ ثُمَّ يَجِدُهُ مُوسِراً‌</w:t>
      </w:r>
      <w:bookmarkEnd w:id="93"/>
      <w:bookmarkEnd w:id="94"/>
      <w:bookmarkEnd w:id="95"/>
    </w:p>
    <w:p w:rsidR="00992664" w:rsidRPr="00020424" w:rsidRDefault="00992664" w:rsidP="00992664">
      <w:pPr>
        <w:pStyle w:val="libNormal"/>
        <w:rPr>
          <w:rtl/>
          <w:lang w:bidi="fa-IR"/>
        </w:rPr>
      </w:pPr>
      <w:r w:rsidRPr="00A23BE1">
        <w:rPr>
          <w:rtl/>
        </w:rPr>
        <w:t>5896</w:t>
      </w:r>
      <w:r w:rsidRPr="001155DE">
        <w:rPr>
          <w:rStyle w:val="libBold2Char"/>
          <w:rtl/>
        </w:rPr>
        <w:t xml:space="preserve"> / 1.</w:t>
      </w:r>
      <w:r w:rsidRPr="00020424">
        <w:rPr>
          <w:rtl/>
          <w:lang w:bidi="fa-IR"/>
        </w:rPr>
        <w:t xml:space="preserve"> عِدَّةٌ مِنْ أَصْحَابِنَا ، عَنْ أَحْمَدَ بْنِ مُحَمَّدٍ ، عَنِ ابْنِ أَبِي عُمَيْرٍ ، عَنِ الْحُسَيْنِ بْنِ عُثْمَانَ ، عَمَّنْ ذَكَرَهُ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w:t>
      </w:r>
      <w:r w:rsidRPr="00A91B96">
        <w:rPr>
          <w:rStyle w:val="libFootnotenumChar"/>
          <w:rtl/>
        </w:rPr>
        <w:t>(4)</w:t>
      </w:r>
      <w:r w:rsidRPr="00020424">
        <w:rPr>
          <w:rtl/>
          <w:lang w:bidi="fa-IR"/>
        </w:rPr>
        <w:t xml:space="preserve"> رَجُلٍ يُعْطِي زَكَاةَ مَالِهِ رَجُلاً وَهُوَ يَرى أَنَّهُ مُعْسِرٌ ، فَوَجَدَهُ مُوسِراً ، قَالَ : « لَا يُجْزِئُ عَنْهُ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4524AC" w:rsidRDefault="00992664" w:rsidP="004524AC">
      <w:pPr>
        <w:pStyle w:val="libNormal"/>
        <w:rPr>
          <w:rtl/>
          <w:lang w:bidi="fa-IR"/>
        </w:rPr>
      </w:pPr>
      <w:r w:rsidRPr="00A23BE1">
        <w:rPr>
          <w:rtl/>
        </w:rPr>
        <w:t>5897</w:t>
      </w:r>
      <w:r w:rsidRPr="001155DE">
        <w:rPr>
          <w:rStyle w:val="libBold2Char"/>
          <w:rtl/>
        </w:rPr>
        <w:t xml:space="preserve"> / 2.</w:t>
      </w:r>
      <w:r w:rsidRPr="00020424">
        <w:rPr>
          <w:rtl/>
          <w:lang w:bidi="fa-IR"/>
        </w:rPr>
        <w:t xml:space="preserve"> عَلِيُّ بْنُ إِبْرَاهِيمَ ، عَنْ أَبِيهِ ؛</w:t>
      </w:r>
    </w:p>
    <w:p w:rsidR="00992664" w:rsidRPr="00020424" w:rsidRDefault="004524AC" w:rsidP="004524AC">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الْأَحْوَلِ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w:t>
      </w:r>
      <w:r w:rsidRPr="00A91B96">
        <w:rPr>
          <w:rStyle w:val="libFootnotenumChar"/>
          <w:rtl/>
        </w:rPr>
        <w:t>(7)</w:t>
      </w:r>
      <w:r w:rsidRPr="00020424">
        <w:rPr>
          <w:rtl/>
          <w:lang w:bidi="fa-IR"/>
        </w:rPr>
        <w:t xml:space="preserve"> رَجُلٍ عَجَّلَ زَكَاةَ مَالِهِ ، ثُمَّ أَيْسَرَ الْمُعْطى قَبْلَ رَأْسِ السَّنَةِ ، قَالَ : « يُعِيدُ الْمُعْطِي الزَّكَاةَ</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بخ ، بر ، بف ، جن » </w:t>
      </w:r>
      <w:r w:rsidR="00992664" w:rsidRPr="00515444">
        <w:rPr>
          <w:rStyle w:val="libFootnoteBoldChar"/>
          <w:rtl/>
        </w:rPr>
        <w:t>والوافي</w:t>
      </w:r>
      <w:r w:rsidR="00992664" w:rsidRPr="00020424">
        <w:rPr>
          <w:rtl/>
        </w:rPr>
        <w:t xml:space="preserve"> : « فعليه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99 ، ح 280 ، معلّقاً عن الكليني. </w:t>
      </w:r>
      <w:r w:rsidR="00992664" w:rsidRPr="0012008A">
        <w:rPr>
          <w:rStyle w:val="libFootnoteBoldChar"/>
          <w:rtl/>
        </w:rPr>
        <w:t>الفقيه</w:t>
      </w:r>
      <w:r w:rsidR="00992664" w:rsidRPr="00020424">
        <w:rPr>
          <w:rtl/>
        </w:rPr>
        <w:t xml:space="preserve"> ، ج 2 ، ص 29 ، ح 1614 ، معلّقاً عن سماعة </w:t>
      </w:r>
      <w:r w:rsidR="004524AC">
        <w:rPr>
          <w:rFonts w:hint="cs"/>
          <w:rtl/>
        </w:rPr>
        <w:t>.</w:t>
      </w:r>
      <w:r w:rsidR="00992664" w:rsidRPr="0012008A">
        <w:rPr>
          <w:rStyle w:val="libFootnoteBoldChar"/>
          <w:rtl/>
        </w:rPr>
        <w:t>الوافي</w:t>
      </w:r>
      <w:r w:rsidR="00992664" w:rsidRPr="00020424">
        <w:rPr>
          <w:rtl/>
        </w:rPr>
        <w:t xml:space="preserve"> ، ج 10 ، ص 121 ، ح 9279 ؛ </w:t>
      </w:r>
      <w:r w:rsidR="00992664" w:rsidRPr="0012008A">
        <w:rPr>
          <w:rStyle w:val="libFootnoteBoldChar"/>
          <w:rtl/>
        </w:rPr>
        <w:t>الوسائل</w:t>
      </w:r>
      <w:r w:rsidR="00992664" w:rsidRPr="00020424">
        <w:rPr>
          <w:rtl/>
        </w:rPr>
        <w:t xml:space="preserve"> ، ج 9 ، ص 173 ، ح 11769.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النسخ التي قوبلت </w:t>
      </w:r>
      <w:r w:rsidR="00992664" w:rsidRPr="00515444">
        <w:rPr>
          <w:rStyle w:val="libFootnoteBoldChar"/>
          <w:rtl/>
        </w:rPr>
        <w:t>والوافي</w:t>
      </w:r>
      <w:r w:rsidR="00992664" w:rsidRPr="00020424">
        <w:rPr>
          <w:rtl/>
        </w:rPr>
        <w:t>. وفي المطبوع : « زكاة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4524AC">
        <w:rPr>
          <w:rStyle w:val="libFootnoteBoldChar"/>
          <w:rtl/>
        </w:rPr>
        <w:t>مرآة العقول</w:t>
      </w:r>
      <w:r w:rsidR="00992664" w:rsidRPr="00020424">
        <w:rPr>
          <w:rtl/>
        </w:rPr>
        <w:t xml:space="preserve"> ، ج 16 ، ص 79 : « حمل على ما إذا قصّر في التفحّص عن فقره ؛ وقال في </w:t>
      </w:r>
      <w:r w:rsidR="00992664" w:rsidRPr="00A23BE1">
        <w:rPr>
          <w:rtl/>
        </w:rPr>
        <w:t>المدارك</w:t>
      </w:r>
      <w:r w:rsidR="00992664" w:rsidRPr="00020424">
        <w:rPr>
          <w:rtl/>
        </w:rPr>
        <w:t xml:space="preserve"> : المشهور بين الأصحاب ، بل المقطوع به في كلامهم جواز الدفع إلى مدّعي الفقر إذا لم يعلم له أصل مال من غير تكليف بيّنة ولايمين ، والمشهور أيضاً ذلك في ما إذا علم له أصل مال</w:t>
      </w:r>
      <w:r w:rsidR="00992664">
        <w:rPr>
          <w:rtl/>
        </w:rPr>
        <w:t xml:space="preserve"> ».</w:t>
      </w:r>
      <w:r w:rsidR="00992664" w:rsidRPr="00020424">
        <w:rPr>
          <w:rtl/>
        </w:rPr>
        <w:t xml:space="preserve"> وراجع : </w:t>
      </w:r>
      <w:r w:rsidR="00992664" w:rsidRPr="00E57D58">
        <w:rPr>
          <w:rStyle w:val="libFootnoteBoldChar"/>
          <w:rtl/>
        </w:rPr>
        <w:t>مدارك الأحكام</w:t>
      </w:r>
      <w:r w:rsidR="00992664" w:rsidRPr="00020424">
        <w:rPr>
          <w:rtl/>
        </w:rPr>
        <w:t xml:space="preserve"> ، ج 5 ، ص 202.</w:t>
      </w:r>
    </w:p>
    <w:p w:rsidR="00992664" w:rsidRPr="00020424" w:rsidRDefault="00795177" w:rsidP="004524AC">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51 ، ح 132 ؛ وص 102 ، ح 289 ، معلّقاً عن الكليني. </w:t>
      </w:r>
      <w:r w:rsidR="00992664" w:rsidRPr="0012008A">
        <w:rPr>
          <w:rStyle w:val="libFootnoteBoldChar"/>
          <w:rtl/>
        </w:rPr>
        <w:t>الفقيه</w:t>
      </w:r>
      <w:r w:rsidR="00992664" w:rsidRPr="00020424">
        <w:rPr>
          <w:rtl/>
        </w:rPr>
        <w:t xml:space="preserve"> ، ج 2 ، ص 30 ، ح 1616 ، مرسلاً من دون التصريح باسم المعصوم </w:t>
      </w:r>
      <w:r w:rsidR="00992664" w:rsidRPr="00D64ADA">
        <w:rPr>
          <w:rStyle w:val="libFootnoteAlaemChar"/>
          <w:rtl/>
        </w:rPr>
        <w:t>عليه‌السلام</w:t>
      </w:r>
      <w:r w:rsidR="00992664" w:rsidRPr="00020424">
        <w:rPr>
          <w:rtl/>
        </w:rPr>
        <w:t xml:space="preserve"> </w:t>
      </w:r>
      <w:r w:rsidR="004524AC">
        <w:rPr>
          <w:rFonts w:hint="cs"/>
          <w:rtl/>
        </w:rPr>
        <w:t>.</w:t>
      </w:r>
      <w:r w:rsidR="00992664" w:rsidRPr="0012008A">
        <w:rPr>
          <w:rStyle w:val="libFootnoteBoldChar"/>
          <w:rtl/>
        </w:rPr>
        <w:t>الوافي</w:t>
      </w:r>
      <w:r w:rsidR="00992664" w:rsidRPr="00020424">
        <w:rPr>
          <w:rtl/>
        </w:rPr>
        <w:t xml:space="preserve"> ، ج 10 ، ص 175 ، ح 9373 ؛ </w:t>
      </w:r>
      <w:r w:rsidR="00992664" w:rsidRPr="0012008A">
        <w:rPr>
          <w:rStyle w:val="libFootnoteBoldChar"/>
          <w:rtl/>
        </w:rPr>
        <w:t>الوسائل</w:t>
      </w:r>
      <w:r w:rsidR="00992664" w:rsidRPr="00020424">
        <w:rPr>
          <w:rtl/>
        </w:rPr>
        <w:t xml:space="preserve"> ، ج 9 ، ص 215 ، ح 11869.</w:t>
      </w:r>
      <w:r w:rsidR="004524AC">
        <w:rPr>
          <w:rFonts w:hint="cs"/>
          <w:rtl/>
        </w:rPr>
        <w:t xml:space="preserve">                    </w:t>
      </w:r>
      <w:r>
        <w:rPr>
          <w:rtl/>
        </w:rPr>
        <w:t>(7).</w:t>
      </w:r>
      <w:r w:rsidR="0014403D">
        <w:rPr>
          <w:rtl/>
        </w:rPr>
        <w:t xml:space="preserve"> </w:t>
      </w:r>
      <w:r w:rsidR="00992664" w:rsidRPr="00020424">
        <w:rPr>
          <w:rtl/>
        </w:rPr>
        <w:t>في « بث » : « عن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45 ، ح 117 ، معلّقاً عن الكليني. </w:t>
      </w:r>
      <w:r w:rsidR="00992664" w:rsidRPr="004524AC">
        <w:rPr>
          <w:rStyle w:val="libFootnoteBoldChar"/>
          <w:rtl/>
        </w:rPr>
        <w:t>الاستبصار</w:t>
      </w:r>
      <w:r w:rsidR="00992664" w:rsidRPr="00020424">
        <w:rPr>
          <w:rtl/>
        </w:rPr>
        <w:t xml:space="preserve"> ، ج 2 ، ص 33 ، ح 98 ، بسنده عن </w:t>
      </w:r>
      <w:r w:rsidR="004524AC">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23BE1">
        <w:rPr>
          <w:rtl/>
        </w:rPr>
        <w:lastRenderedPageBreak/>
        <w:t>5898</w:t>
      </w:r>
      <w:r w:rsidRPr="001155DE">
        <w:rPr>
          <w:rStyle w:val="libBold2Char"/>
          <w:rtl/>
        </w:rPr>
        <w:t xml:space="preserve"> / 3.</w:t>
      </w:r>
      <w:r w:rsidRPr="00020424">
        <w:rPr>
          <w:rtl/>
          <w:lang w:bidi="fa-IR"/>
        </w:rPr>
        <w:t xml:space="preserve"> مُحَمَّدُ بْنُ يَحْيى ، عَنْ مُحَمَّدِ بْنِ الْحُسَيْنِ ، عَنْ عُثْمَانَ بْنِ </w:t>
      </w:r>
      <w:r w:rsidR="00B50394">
        <w:rPr>
          <w:rtl/>
          <w:lang w:bidi="fa-IR"/>
        </w:rPr>
        <w:t>عِيسى ، عَنْ أَبِي الْمَغْرَاءِ</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أَشْرَكَ بَيْنَ الْأَغْنِيَاءِ وَالْفُقَرَاءِ فِي الْأَمْوَالِ ، فَلَيْسَ لَهُمْ أَنْ يَصْرِفُوا إِلى غَيْرِ شُرَكَائِهِمْ</w:t>
      </w:r>
      <w:r>
        <w:rPr>
          <w:rtl/>
          <w:lang w:bidi="fa-IR"/>
        </w:rPr>
        <w:t xml:space="preserve"> ».</w:t>
      </w:r>
      <w:r w:rsidRPr="00020424">
        <w:rPr>
          <w:rtl/>
          <w:lang w:bidi="fa-IR"/>
        </w:rPr>
        <w:t xml:space="preserve"> </w:t>
      </w:r>
      <w:r w:rsidRPr="00A91B96">
        <w:rPr>
          <w:rStyle w:val="libFootnotenumChar"/>
          <w:rtl/>
        </w:rPr>
        <w:t>(1)</w:t>
      </w:r>
    </w:p>
    <w:p w:rsidR="00992664" w:rsidRPr="00020424" w:rsidRDefault="00992664" w:rsidP="00992664">
      <w:pPr>
        <w:pStyle w:val="Heading2Center"/>
        <w:rPr>
          <w:rtl/>
          <w:lang w:bidi="fa-IR"/>
        </w:rPr>
      </w:pPr>
      <w:bookmarkStart w:id="96" w:name="_Toc345172748"/>
      <w:bookmarkStart w:id="97" w:name="_Toc464562565"/>
      <w:bookmarkStart w:id="98" w:name="_Toc44599868"/>
      <w:r w:rsidRPr="00020424">
        <w:rPr>
          <w:rtl/>
          <w:lang w:bidi="fa-IR"/>
        </w:rPr>
        <w:t>28</w:t>
      </w:r>
      <w:r>
        <w:rPr>
          <w:rtl/>
          <w:lang w:bidi="fa-IR"/>
        </w:rPr>
        <w:t xml:space="preserve"> </w:t>
      </w:r>
      <w:r w:rsidR="009B673F">
        <w:rPr>
          <w:rtl/>
          <w:lang w:bidi="fa-IR"/>
        </w:rPr>
        <w:t>-</w:t>
      </w:r>
      <w:r>
        <w:rPr>
          <w:rtl/>
          <w:lang w:bidi="fa-IR"/>
        </w:rPr>
        <w:t xml:space="preserve"> </w:t>
      </w:r>
      <w:r w:rsidRPr="00020424">
        <w:rPr>
          <w:rtl/>
          <w:lang w:bidi="fa-IR"/>
        </w:rPr>
        <w:t xml:space="preserve">بَابُ الزَّكَاةِ لَاتُعْطى </w:t>
      </w:r>
      <w:r w:rsidRPr="00A91B96">
        <w:rPr>
          <w:rStyle w:val="libFootnotenumChar"/>
          <w:rtl/>
        </w:rPr>
        <w:t>(2)</w:t>
      </w:r>
      <w:r>
        <w:rPr>
          <w:rtl/>
        </w:rPr>
        <w:t xml:space="preserve"> </w:t>
      </w:r>
      <w:r w:rsidRPr="00020424">
        <w:rPr>
          <w:rtl/>
          <w:lang w:bidi="fa-IR"/>
        </w:rPr>
        <w:t>غَيْرَ أَهْلِ الْوَلَايَةِ‌</w:t>
      </w:r>
      <w:bookmarkEnd w:id="96"/>
      <w:bookmarkEnd w:id="97"/>
      <w:bookmarkEnd w:id="98"/>
    </w:p>
    <w:p w:rsidR="00992664" w:rsidRPr="00020424" w:rsidRDefault="00992664" w:rsidP="00992664">
      <w:pPr>
        <w:pStyle w:val="libNormal"/>
        <w:rPr>
          <w:rtl/>
          <w:lang w:bidi="fa-IR"/>
        </w:rPr>
      </w:pPr>
      <w:r w:rsidRPr="00A23BE1">
        <w:rPr>
          <w:rtl/>
        </w:rPr>
        <w:t>5899</w:t>
      </w:r>
      <w:r w:rsidRPr="001155DE">
        <w:rPr>
          <w:rStyle w:val="libBold2Char"/>
          <w:rtl/>
        </w:rPr>
        <w:t xml:space="preserve"> / 1.</w:t>
      </w:r>
      <w:r w:rsidRPr="00020424">
        <w:rPr>
          <w:rtl/>
          <w:lang w:bidi="fa-IR"/>
        </w:rPr>
        <w:t xml:space="preserve"> عَلِيُّ بْنُ إِبْرَاهِيمَ ، عَنْ أَبِيهِ ، عَنِ ابْنِ أَبِي عُمَيْرٍ ، عَنْ عُمَرَ </w:t>
      </w:r>
      <w:r w:rsidRPr="00A91B96">
        <w:rPr>
          <w:rStyle w:val="libFootnotenumChar"/>
          <w:rtl/>
        </w:rPr>
        <w:t>(3)</w:t>
      </w:r>
      <w:r w:rsidRPr="00020424">
        <w:rPr>
          <w:rtl/>
          <w:lang w:bidi="fa-IR"/>
        </w:rPr>
        <w:t xml:space="preserve"> بْنِ أُذَيْنَةَ ، عَنْ زُرَارَةَ وَبُكَيْرٍ وَالْفُضَيْلِ وَمُحَمَّدِ بْنِ مُسْلِمٍ وَبُرَيْدٍ الْعِجْلِيِّ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أَنَّهُمَا قَالَا فِي الرَّجُلِ يَكُونُ فِي بَعْضِ هذِهِ الْأَهْوَاءِ</w:t>
      </w:r>
      <w:r>
        <w:rPr>
          <w:rtl/>
          <w:lang w:bidi="fa-IR"/>
        </w:rPr>
        <w:t xml:space="preserve"> </w:t>
      </w:r>
      <w:r w:rsidR="009B673F">
        <w:rPr>
          <w:rtl/>
          <w:lang w:bidi="fa-IR"/>
        </w:rPr>
        <w:t>-</w:t>
      </w:r>
      <w:r>
        <w:rPr>
          <w:rtl/>
          <w:lang w:bidi="fa-IR"/>
        </w:rPr>
        <w:t xml:space="preserve"> </w:t>
      </w:r>
      <w:r w:rsidRPr="00020424">
        <w:rPr>
          <w:rtl/>
          <w:lang w:bidi="fa-IR"/>
        </w:rPr>
        <w:t xml:space="preserve">الْحَرُورِيَّةِ </w:t>
      </w:r>
      <w:r w:rsidRPr="00A91B96">
        <w:rPr>
          <w:rStyle w:val="libFootnotenumChar"/>
          <w:rtl/>
        </w:rPr>
        <w:t>(4)</w:t>
      </w:r>
      <w:r w:rsidRPr="00020424">
        <w:rPr>
          <w:rtl/>
          <w:lang w:bidi="fa-IR"/>
        </w:rPr>
        <w:t xml:space="preserve"> وَالْمُرْجِئَةِ </w:t>
      </w:r>
      <w:r w:rsidRPr="00A91B96">
        <w:rPr>
          <w:rStyle w:val="libFootnotenumChar"/>
          <w:rtl/>
        </w:rPr>
        <w:t>(5)</w:t>
      </w:r>
      <w:r w:rsidRPr="00020424">
        <w:rPr>
          <w:rtl/>
          <w:lang w:bidi="fa-IR"/>
        </w:rPr>
        <w:t xml:space="preserve"> ‌</w:t>
      </w:r>
      <w:r w:rsidR="000658E6">
        <w:rPr>
          <w:rFonts w:hint="cs"/>
          <w:rtl/>
          <w:lang w:bidi="fa-IR"/>
        </w:rPr>
        <w:t>.</w:t>
      </w:r>
      <w:r w:rsidR="00B50394">
        <w:rPr>
          <w:rFonts w:hint="cs"/>
          <w:rtl/>
          <w:lang w:bidi="fa-IR"/>
        </w:rPr>
        <w:t>..........................</w:t>
      </w:r>
      <w:r w:rsidR="000658E6">
        <w:rPr>
          <w:rFonts w:hint="cs"/>
          <w:rtl/>
          <w:lang w:bidi="fa-IR"/>
        </w:rPr>
        <w:t>..........................</w:t>
      </w:r>
      <w:r w:rsidR="000658E6">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E6E95" w:rsidP="00992664">
      <w:pPr>
        <w:pStyle w:val="libFootnote0"/>
        <w:rPr>
          <w:rtl/>
          <w:lang w:bidi="fa-IR"/>
        </w:rPr>
      </w:pPr>
      <w:r>
        <w:rPr>
          <w:rFonts w:hint="cs"/>
          <w:rtl/>
        </w:rPr>
        <w:t xml:space="preserve">= </w:t>
      </w:r>
      <w:r w:rsidR="00992664" w:rsidRPr="00020424">
        <w:rPr>
          <w:rtl/>
        </w:rPr>
        <w:t xml:space="preserve">ابن أبي عمير ، عن ابن مسكان ، عن الأحول ، عن أبي عبدالله </w:t>
      </w:r>
      <w:r w:rsidR="00992664" w:rsidRPr="00D64ADA">
        <w:rPr>
          <w:rStyle w:val="libFootnoteAlaemChar"/>
          <w:rtl/>
        </w:rPr>
        <w:t>عليه‌السلام</w:t>
      </w:r>
      <w:r w:rsidR="00992664" w:rsidRPr="00020424">
        <w:rPr>
          <w:rtl/>
        </w:rPr>
        <w:t xml:space="preserve"> ؛ </w:t>
      </w:r>
      <w:r w:rsidR="00992664" w:rsidRPr="00A23BE1">
        <w:rPr>
          <w:rtl/>
        </w:rPr>
        <w:t>تهذيب الأحكام</w:t>
      </w:r>
      <w:r w:rsidR="00992664" w:rsidRPr="00020424">
        <w:rPr>
          <w:rtl/>
        </w:rPr>
        <w:t xml:space="preserve"> ، ج 4 ، ص 45 ، ح 116 ، بسنده عن ابن أبي عمير ، عن ابن مسكان ، عن الأحول ، من دون الإسناد إلى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30 ، ح 1615 ، معلّقاً عن محمّد بن النعمان الأحول ، من دون الإسناد إلى المعصوم </w:t>
      </w:r>
      <w:r w:rsidR="00992664" w:rsidRPr="00D64ADA">
        <w:rPr>
          <w:rStyle w:val="libFootnoteAlaemChar"/>
          <w:rtl/>
        </w:rPr>
        <w:t>عليه‌السلام</w:t>
      </w:r>
      <w:r w:rsidR="00992664" w:rsidRPr="00020424">
        <w:rPr>
          <w:rtl/>
        </w:rPr>
        <w:t xml:space="preserve">. </w:t>
      </w:r>
      <w:r w:rsidR="00992664" w:rsidRPr="00A23BE1">
        <w:rPr>
          <w:rtl/>
        </w:rPr>
        <w:t>الكافي</w:t>
      </w:r>
      <w:r w:rsidR="00992664" w:rsidRPr="00020424">
        <w:rPr>
          <w:rtl/>
        </w:rPr>
        <w:t xml:space="preserve"> ، كتاب الزكاة ، باب أوقات الزكاة ، ذيل ح 5829 ، مرسلاً من دون الإسناد إلى المعصوم </w:t>
      </w:r>
      <w:r w:rsidR="00992664" w:rsidRPr="00D64ADA">
        <w:rPr>
          <w:rStyle w:val="libFootnoteAlaemChar"/>
          <w:rtl/>
        </w:rPr>
        <w:t>عليه‌السلام</w:t>
      </w:r>
      <w:r w:rsidR="00992664" w:rsidRPr="00020424">
        <w:rPr>
          <w:rtl/>
        </w:rPr>
        <w:t xml:space="preserve"> ، مع اختلاف يسير </w:t>
      </w:r>
      <w:r>
        <w:rPr>
          <w:rFonts w:hint="cs"/>
          <w:rtl/>
        </w:rPr>
        <w:t>.</w:t>
      </w:r>
      <w:r w:rsidR="00992664" w:rsidRPr="0012008A">
        <w:rPr>
          <w:rStyle w:val="libFootnoteBoldChar"/>
          <w:rtl/>
        </w:rPr>
        <w:t>الوافي</w:t>
      </w:r>
      <w:r w:rsidR="00992664" w:rsidRPr="00020424">
        <w:rPr>
          <w:rtl/>
        </w:rPr>
        <w:t xml:space="preserve"> ، ج 10 ، ص 136 ، ح 9309 ؛ </w:t>
      </w:r>
      <w:r w:rsidR="00992664" w:rsidRPr="0012008A">
        <w:rPr>
          <w:rStyle w:val="libFootnoteBoldChar"/>
          <w:rtl/>
        </w:rPr>
        <w:t>الوسائل</w:t>
      </w:r>
      <w:r w:rsidR="00992664" w:rsidRPr="00020424">
        <w:rPr>
          <w:rtl/>
        </w:rPr>
        <w:t xml:space="preserve"> ، ج 9 ، ص 214 ، ح 11867 ؛ وص 304 ، ح 12081.</w:t>
      </w:r>
    </w:p>
    <w:p w:rsidR="00992664" w:rsidRPr="00020424" w:rsidRDefault="00795177" w:rsidP="00992664">
      <w:pPr>
        <w:pStyle w:val="libFootnote0"/>
        <w:rPr>
          <w:rtl/>
          <w:lang w:bidi="fa-IR"/>
        </w:rPr>
      </w:pPr>
      <w:r>
        <w:rPr>
          <w:rtl/>
        </w:rPr>
        <w:t>(1).</w:t>
      </w:r>
      <w:r w:rsidR="0014403D">
        <w:rPr>
          <w:rtl/>
        </w:rPr>
        <w:t xml:space="preserve"> </w:t>
      </w:r>
      <w:r w:rsidR="00992664" w:rsidRPr="00A23BE1">
        <w:rPr>
          <w:rtl/>
        </w:rPr>
        <w:t>علل الشرائع</w:t>
      </w:r>
      <w:r w:rsidR="00992664" w:rsidRPr="00020424">
        <w:rPr>
          <w:rtl/>
        </w:rPr>
        <w:t xml:space="preserve"> ، ص 371 ، ح 1 ، بسنده عن محمّد بن الحسن بن أبي الخطّاب ، عن عثمان بن عيسى ، مع اختلاف يسير </w:t>
      </w:r>
      <w:r w:rsidR="00742F76">
        <w:rPr>
          <w:rFonts w:hint="cs"/>
          <w:rtl/>
        </w:rPr>
        <w:t>.</w:t>
      </w:r>
      <w:r w:rsidR="00992664" w:rsidRPr="0012008A">
        <w:rPr>
          <w:rStyle w:val="libFootnoteBoldChar"/>
          <w:rtl/>
        </w:rPr>
        <w:t>الوافي</w:t>
      </w:r>
      <w:r w:rsidR="00992664" w:rsidRPr="00020424">
        <w:rPr>
          <w:rtl/>
        </w:rPr>
        <w:t xml:space="preserve"> ، ج 10 ، ص 175 ، ح 9374 ؛ </w:t>
      </w:r>
      <w:r w:rsidR="00992664" w:rsidRPr="0012008A">
        <w:rPr>
          <w:rStyle w:val="libFootnoteBoldChar"/>
          <w:rtl/>
        </w:rPr>
        <w:t>الوسائل</w:t>
      </w:r>
      <w:r w:rsidR="00992664" w:rsidRPr="00020424">
        <w:rPr>
          <w:rtl/>
        </w:rPr>
        <w:t xml:space="preserve"> ، ج 9 ، ص 215 ، ح 11868 ؛ وص 219 ، ح 11876.</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بث ، بح ، بخ ، بس » و</w:t>
      </w:r>
      <w:r w:rsidR="00992664" w:rsidRPr="00577E83">
        <w:rPr>
          <w:rtl/>
        </w:rPr>
        <w:t>مرآة العقول</w:t>
      </w:r>
      <w:r w:rsidR="00992664" w:rsidRPr="00020424">
        <w:rPr>
          <w:rtl/>
        </w:rPr>
        <w:t xml:space="preserve"> : « تعطى » بدل « لا تعطى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بس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عمر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قال ابن الأثير في </w:t>
      </w:r>
      <w:r w:rsidR="00992664" w:rsidRPr="0012008A">
        <w:rPr>
          <w:rStyle w:val="libFootnoteBoldChar"/>
          <w:rtl/>
        </w:rPr>
        <w:t>النهاية</w:t>
      </w:r>
      <w:r w:rsidR="00992664" w:rsidRPr="00020424">
        <w:rPr>
          <w:rtl/>
        </w:rPr>
        <w:t xml:space="preserve"> ، ج 1 ، ص 366 ( حرر ) : « الحروريّة : طائفة من الخوارج نُسبوا إلى حَروراء بالمدّ</w:t>
      </w:r>
      <w:r w:rsidR="00B54EB4">
        <w:rPr>
          <w:rFonts w:hint="cs"/>
          <w:rtl/>
        </w:rPr>
        <w:t xml:space="preserve"> </w:t>
      </w:r>
      <w:r w:rsidR="00992664" w:rsidRPr="00020424">
        <w:rPr>
          <w:rtl/>
        </w:rPr>
        <w:t>والقصر ، وهو موضع قريب من الكوفة ، كان أوّل مجتمعهم وتحكيمهم فيها ، وهم أحد الخوارج الذين قاتلهم عليّ كرّم الله وجهه ، وكان عندهم من التشدّد في الدين ما هو معروف</w:t>
      </w:r>
      <w:r w:rsidR="00992664">
        <w:rPr>
          <w:rtl/>
        </w:rPr>
        <w:t xml:space="preserve"> ».</w:t>
      </w:r>
      <w:r w:rsidR="00B54EB4">
        <w:rPr>
          <w:rtl/>
        </w:rPr>
        <w:t xml:space="preserve"> وقال العل</w:t>
      </w:r>
      <w:r w:rsidR="00B54EB4">
        <w:rPr>
          <w:rFonts w:hint="cs"/>
          <w:rtl/>
        </w:rPr>
        <w:t>ّ</w:t>
      </w:r>
      <w:r w:rsidR="00B54EB4">
        <w:rPr>
          <w:rtl/>
        </w:rPr>
        <w:t>ا</w:t>
      </w:r>
      <w:r w:rsidR="00992664" w:rsidRPr="00020424">
        <w:rPr>
          <w:rtl/>
        </w:rPr>
        <w:t xml:space="preserve">مة المجلسي في </w:t>
      </w:r>
      <w:r w:rsidR="00992664" w:rsidRPr="00577E83">
        <w:rPr>
          <w:rtl/>
        </w:rPr>
        <w:t>مرآة العقول</w:t>
      </w:r>
      <w:r w:rsidR="00992664" w:rsidRPr="00020424">
        <w:rPr>
          <w:rtl/>
        </w:rPr>
        <w:t xml:space="preserve"> : « ولا خلاف في ذلك بين الأصحاب</w:t>
      </w:r>
      <w:r w:rsidR="00992664">
        <w:rPr>
          <w:rtl/>
        </w:rPr>
        <w:t xml:space="preserve"> ».</w:t>
      </w:r>
      <w:r w:rsidR="00992664" w:rsidRPr="00020424">
        <w:rPr>
          <w:rtl/>
        </w:rPr>
        <w:t xml:space="preserve"> وراجع أيضاً : </w:t>
      </w:r>
      <w:r w:rsidR="00992664" w:rsidRPr="0012008A">
        <w:rPr>
          <w:rStyle w:val="libFootnoteBoldChar"/>
          <w:rtl/>
        </w:rPr>
        <w:t>الصحاح</w:t>
      </w:r>
      <w:r w:rsidR="00992664" w:rsidRPr="00020424">
        <w:rPr>
          <w:rtl/>
        </w:rPr>
        <w:t xml:space="preserve"> ، ج 2 ، ص 628 ( حرر )</w:t>
      </w:r>
      <w:r w:rsidR="00992664">
        <w:rPr>
          <w:rtl/>
        </w:rPr>
        <w:t>.</w:t>
      </w:r>
    </w:p>
    <w:p w:rsidR="00992664" w:rsidRPr="00020424" w:rsidRDefault="00795177" w:rsidP="007415A6">
      <w:pPr>
        <w:pStyle w:val="libFootnote0"/>
        <w:rPr>
          <w:rtl/>
          <w:lang w:bidi="fa-IR"/>
        </w:rPr>
      </w:pPr>
      <w:r>
        <w:rPr>
          <w:rtl/>
        </w:rPr>
        <w:t>(5).</w:t>
      </w:r>
      <w:r w:rsidR="0014403D">
        <w:rPr>
          <w:rtl/>
        </w:rPr>
        <w:t xml:space="preserve"> </w:t>
      </w:r>
      <w:r w:rsidR="00992664" w:rsidRPr="00020424">
        <w:rPr>
          <w:rtl/>
        </w:rPr>
        <w:t>في « بس »:« والمرجئيّة</w:t>
      </w:r>
      <w:r w:rsidR="00992664">
        <w:rPr>
          <w:rtl/>
        </w:rPr>
        <w:t xml:space="preserve"> ».</w:t>
      </w:r>
      <w:r w:rsidR="00992664" w:rsidRPr="00020424">
        <w:rPr>
          <w:rtl/>
        </w:rPr>
        <w:t xml:space="preserve"> </w:t>
      </w:r>
      <w:r w:rsidR="00992664">
        <w:rPr>
          <w:rtl/>
        </w:rPr>
        <w:t>و «</w:t>
      </w:r>
      <w:r w:rsidR="00992664" w:rsidRPr="00020424">
        <w:rPr>
          <w:rtl/>
        </w:rPr>
        <w:t xml:space="preserve"> المرجئة » تطلق على فرقتين : فرقة مقابلة للشيعة ، من الإرجاء بمعنى التأخير ؛ </w:t>
      </w:r>
      <w:r w:rsidR="00597AB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وَالْعُثْمَانِيَّةِ </w:t>
      </w:r>
      <w:r w:rsidRPr="00A91B96">
        <w:rPr>
          <w:rStyle w:val="libFootnotenumChar"/>
          <w:rtl/>
        </w:rPr>
        <w:t>(1)</w:t>
      </w:r>
      <w:r w:rsidRPr="00020424">
        <w:rPr>
          <w:rtl/>
          <w:lang w:bidi="fa-IR"/>
        </w:rPr>
        <w:t xml:space="preserve"> وَالْقَدَرِيَّةِ </w:t>
      </w:r>
      <w:r w:rsidRPr="00A91B96">
        <w:rPr>
          <w:rStyle w:val="libFootnotenumChar"/>
          <w:rtl/>
        </w:rPr>
        <w:t>(2)</w:t>
      </w:r>
      <w:r>
        <w:rPr>
          <w:rtl/>
          <w:lang w:bidi="fa-IR"/>
        </w:rPr>
        <w:t xml:space="preserve"> </w:t>
      </w:r>
      <w:r w:rsidR="009B673F">
        <w:rPr>
          <w:rtl/>
          <w:lang w:bidi="fa-IR"/>
        </w:rPr>
        <w:t>-</w:t>
      </w:r>
      <w:r>
        <w:rPr>
          <w:rtl/>
          <w:lang w:bidi="fa-IR"/>
        </w:rPr>
        <w:t xml:space="preserve"> </w:t>
      </w:r>
      <w:r w:rsidRPr="00020424">
        <w:rPr>
          <w:rtl/>
          <w:lang w:bidi="fa-IR"/>
        </w:rPr>
        <w:t>ثُمَّ يَتُوبُ ، وَيَعْرِفُ هذَا الْأَمْرَ ، وَيُحْ</w:t>
      </w:r>
      <w:r>
        <w:rPr>
          <w:rtl/>
          <w:lang w:bidi="fa-IR"/>
        </w:rPr>
        <w:t>سِنُ رَأْيَهُ : أَ</w:t>
      </w:r>
      <w:r w:rsidR="007415A6">
        <w:rPr>
          <w:rFonts w:hint="cs"/>
          <w:rtl/>
          <w:lang w:bidi="fa-IR"/>
        </w:rPr>
        <w:t xml:space="preserve"> </w:t>
      </w:r>
      <w:r w:rsidR="007415A6">
        <w:rPr>
          <w:rtl/>
          <w:lang w:bidi="fa-IR"/>
        </w:rPr>
        <w:t>يُعِيدُ كُلَّ صَلَاةٍ صَل</w:t>
      </w:r>
      <w:r w:rsidR="007415A6">
        <w:rPr>
          <w:rFonts w:hint="cs"/>
          <w:rtl/>
          <w:lang w:bidi="fa-IR"/>
        </w:rPr>
        <w:t>َّ</w:t>
      </w:r>
      <w:r w:rsidR="007415A6">
        <w:rPr>
          <w:rtl/>
          <w:lang w:bidi="fa-IR"/>
        </w:rPr>
        <w:t>ا</w:t>
      </w:r>
      <w:r w:rsidRPr="00020424">
        <w:rPr>
          <w:rtl/>
          <w:lang w:bidi="fa-IR"/>
        </w:rPr>
        <w:t xml:space="preserve">هَا ، أَوْ صَوْمٍ </w:t>
      </w:r>
      <w:r w:rsidRPr="00A91B96">
        <w:rPr>
          <w:rStyle w:val="libFootnotenumChar"/>
          <w:rtl/>
        </w:rPr>
        <w:t>(3)</w:t>
      </w:r>
      <w:r w:rsidRPr="00020424">
        <w:rPr>
          <w:rtl/>
          <w:lang w:bidi="fa-IR"/>
        </w:rPr>
        <w:t xml:space="preserve"> ، أَوْ زَكَاةٍ </w:t>
      </w:r>
      <w:r w:rsidRPr="00A91B96">
        <w:rPr>
          <w:rStyle w:val="libFootnotenumChar"/>
          <w:rtl/>
        </w:rPr>
        <w:t>(4)</w:t>
      </w:r>
      <w:r w:rsidRPr="00020424">
        <w:rPr>
          <w:rtl/>
          <w:lang w:bidi="fa-IR"/>
        </w:rPr>
        <w:t xml:space="preserve"> ، أَوْ حَجٍّ </w:t>
      </w:r>
      <w:r w:rsidRPr="00A91B96">
        <w:rPr>
          <w:rStyle w:val="libFootnotenumChar"/>
          <w:rtl/>
        </w:rPr>
        <w:t>(5)</w:t>
      </w:r>
      <w:r w:rsidRPr="00020424">
        <w:rPr>
          <w:rtl/>
          <w:lang w:bidi="fa-IR"/>
        </w:rPr>
        <w:t xml:space="preserve"> ، أَوْ لَيْسَ عَلَيْهِ إِعَادَةُ شَيْ‌ءٍ مِنْ ذلِكَ</w:t>
      </w:r>
      <w:r>
        <w:rPr>
          <w:rtl/>
          <w:lang w:bidi="fa-IR"/>
        </w:rPr>
        <w:t>؟</w:t>
      </w:r>
    </w:p>
    <w:p w:rsidR="00992664" w:rsidRPr="00020424" w:rsidRDefault="00992664" w:rsidP="00992664">
      <w:pPr>
        <w:pStyle w:val="libNormal"/>
        <w:rPr>
          <w:rtl/>
          <w:lang w:bidi="fa-IR"/>
        </w:rPr>
      </w:pPr>
      <w:r w:rsidRPr="00020424">
        <w:rPr>
          <w:rtl/>
          <w:lang w:bidi="fa-IR"/>
        </w:rPr>
        <w:t xml:space="preserve">قَالَ : « لَيْسَ عَلَيْهِ إِعَادَةُ شَيْ‌ءٍ مِنْ ذلِكَ </w:t>
      </w:r>
      <w:r w:rsidRPr="00A91B96">
        <w:rPr>
          <w:rStyle w:val="libFootnotenumChar"/>
          <w:rtl/>
        </w:rPr>
        <w:t>(6)</w:t>
      </w:r>
      <w:r w:rsidRPr="00020424">
        <w:rPr>
          <w:rtl/>
          <w:lang w:bidi="fa-IR"/>
        </w:rPr>
        <w:t xml:space="preserve"> غَيْرِ الزَّكَاةِ </w:t>
      </w:r>
      <w:r w:rsidRPr="00A91B96">
        <w:rPr>
          <w:rStyle w:val="libFootnotenumChar"/>
          <w:rtl/>
        </w:rPr>
        <w:t>(7)</w:t>
      </w:r>
      <w:r w:rsidRPr="00020424">
        <w:rPr>
          <w:rtl/>
          <w:lang w:bidi="fa-IR"/>
        </w:rPr>
        <w:t xml:space="preserve"> لَابُدَّ </w:t>
      </w:r>
      <w:r w:rsidRPr="00A91B96">
        <w:rPr>
          <w:rStyle w:val="libFootnotenumChar"/>
          <w:rtl/>
        </w:rPr>
        <w:t>(8)</w:t>
      </w:r>
      <w:r w:rsidRPr="00020424">
        <w:rPr>
          <w:rtl/>
          <w:lang w:bidi="fa-IR"/>
        </w:rPr>
        <w:t xml:space="preserve"> أَنْ يُؤَدِّيَهَا ؛ لِأَنَّهُ وَضَعَ الزَّكَاةَ فِي غَيْرِ مَوْضِعِهَا ، وَإِنَّمَا مَوْضِعُهَا أَهْلُ الْوَلَايَةِ</w:t>
      </w:r>
      <w:r>
        <w:rPr>
          <w:rtl/>
          <w:lang w:bidi="fa-IR"/>
        </w:rPr>
        <w:t xml:space="preserve"> ».</w:t>
      </w:r>
      <w:r w:rsidRPr="00020424">
        <w:rPr>
          <w:rtl/>
          <w:lang w:bidi="fa-IR"/>
        </w:rPr>
        <w:t xml:space="preserve"> </w:t>
      </w:r>
      <w:r w:rsidRPr="00A91B96">
        <w:rPr>
          <w:rStyle w:val="libFootnotenumChar"/>
          <w:rtl/>
        </w:rPr>
        <w:t>(9)</w:t>
      </w:r>
    </w:p>
    <w:p w:rsidR="00992664" w:rsidRPr="00020424" w:rsidRDefault="00992664" w:rsidP="00992664">
      <w:pPr>
        <w:pStyle w:val="libNormal"/>
        <w:rPr>
          <w:rtl/>
          <w:lang w:bidi="fa-IR"/>
        </w:rPr>
      </w:pPr>
      <w:r w:rsidRPr="00577E83">
        <w:rPr>
          <w:rtl/>
        </w:rPr>
        <w:t>5900</w:t>
      </w:r>
      <w:r w:rsidRPr="001155DE">
        <w:rPr>
          <w:rStyle w:val="libBold2Char"/>
          <w:rtl/>
        </w:rPr>
        <w:t xml:space="preserve"> / 2.</w:t>
      </w:r>
      <w:r w:rsidRPr="00020424">
        <w:rPr>
          <w:rtl/>
          <w:lang w:bidi="fa-IR"/>
        </w:rPr>
        <w:t xml:space="preserve"> عَلِيُّ بْنُ إِبْرَاهِيمَ ، عَنْ أَبِيهِ ، عَنْ حَمَّادٍ </w:t>
      </w:r>
      <w:r w:rsidRPr="00A91B96">
        <w:rPr>
          <w:rStyle w:val="libFootnotenumChar"/>
          <w:rtl/>
        </w:rPr>
        <w:t>(10)</w:t>
      </w:r>
      <w:r w:rsidRPr="00020424">
        <w:rPr>
          <w:rtl/>
          <w:lang w:bidi="fa-IR"/>
        </w:rPr>
        <w:t xml:space="preserve"> ، عَنْ حَرِيزٍ ، عَنْ عُبَيْدِ بْنِ زُرَارَةَ ،</w:t>
      </w:r>
    </w:p>
    <w:p w:rsidR="00992664" w:rsidRPr="00020424" w:rsidRDefault="00992664" w:rsidP="00992664">
      <w:pPr>
        <w:pStyle w:val="libLine"/>
        <w:rPr>
          <w:rtl/>
          <w:lang w:bidi="fa-IR"/>
        </w:rPr>
      </w:pPr>
      <w:r w:rsidRPr="00020424">
        <w:rPr>
          <w:rtl/>
          <w:lang w:bidi="fa-IR"/>
        </w:rPr>
        <w:t>__________________</w:t>
      </w:r>
    </w:p>
    <w:p w:rsidR="00992664" w:rsidRPr="00020424" w:rsidRDefault="00CE613D" w:rsidP="00992664">
      <w:pPr>
        <w:pStyle w:val="libFootnote0"/>
        <w:rPr>
          <w:rtl/>
          <w:lang w:bidi="fa-IR"/>
        </w:rPr>
      </w:pPr>
      <w:r>
        <w:rPr>
          <w:rFonts w:hint="cs"/>
          <w:rtl/>
        </w:rPr>
        <w:t xml:space="preserve">= </w:t>
      </w:r>
      <w:r w:rsidR="00992664" w:rsidRPr="00020424">
        <w:rPr>
          <w:rtl/>
        </w:rPr>
        <w:t xml:space="preserve">لتأخيرهم عليّاً </w:t>
      </w:r>
      <w:r w:rsidR="00992664" w:rsidRPr="00D64ADA">
        <w:rPr>
          <w:rStyle w:val="libFootnoteAlaemChar"/>
          <w:rtl/>
        </w:rPr>
        <w:t>عليه‌السلام</w:t>
      </w:r>
      <w:r w:rsidR="00992664" w:rsidRPr="00020424">
        <w:rPr>
          <w:rtl/>
        </w:rPr>
        <w:t xml:space="preserve"> عن مرتبته. وفرقة مقابلة للوعيديّة ، إمّا من الإرجاء بمعنى التأخير ؛ لأنّهم يؤخّرون العمل عن النيّة والقصد ، وإمّا بمعنى إعطاء الرجاء ؛ لأنّهم يعتقدون أنّه لايضرّ مع الإيمان معصية ، كما لاينفع مع الكفر طاعة ، أو بمعنى تأخير حكم الكبيرة إلى يوم القيامة. راجع : </w:t>
      </w:r>
      <w:r w:rsidR="00992664" w:rsidRPr="00577E83">
        <w:rPr>
          <w:rtl/>
        </w:rPr>
        <w:t>الملل والنحل</w:t>
      </w:r>
      <w:r w:rsidR="00992664" w:rsidRPr="00020424">
        <w:rPr>
          <w:rtl/>
        </w:rPr>
        <w:t xml:space="preserve"> للشهرستاني ، ج 1 ، ص 161</w:t>
      </w:r>
      <w:r w:rsidR="00992664">
        <w:rPr>
          <w:rtl/>
        </w:rPr>
        <w:t xml:space="preserve"> </w:t>
      </w:r>
      <w:r w:rsidR="009B673F">
        <w:rPr>
          <w:rtl/>
        </w:rPr>
        <w:t>-</w:t>
      </w:r>
      <w:r w:rsidR="00992664">
        <w:rPr>
          <w:rtl/>
        </w:rPr>
        <w:t xml:space="preserve"> </w:t>
      </w:r>
      <w:r w:rsidR="00992664" w:rsidRPr="00020424">
        <w:rPr>
          <w:rtl/>
        </w:rPr>
        <w:t xml:space="preserve">162 ؛ </w:t>
      </w:r>
      <w:r w:rsidR="00992664" w:rsidRPr="00577E83">
        <w:rPr>
          <w:rtl/>
        </w:rPr>
        <w:t>تعليقة الداماد</w:t>
      </w:r>
      <w:r w:rsidR="00992664" w:rsidRPr="00020424">
        <w:rPr>
          <w:rtl/>
        </w:rPr>
        <w:t xml:space="preserve"> ، ص 120 ؛ </w:t>
      </w:r>
      <w:r w:rsidR="00992664" w:rsidRPr="00577E83">
        <w:rPr>
          <w:rtl/>
        </w:rPr>
        <w:t>شرح صدر المتألّهين</w:t>
      </w:r>
      <w:r w:rsidR="00992664" w:rsidRPr="00020424">
        <w:rPr>
          <w:rtl/>
        </w:rPr>
        <w:t xml:space="preserve"> ، ص 189 ؛ </w:t>
      </w:r>
      <w:r w:rsidR="00992664" w:rsidRPr="00577E83">
        <w:rPr>
          <w:rtl/>
        </w:rPr>
        <w:t>شرح المازندراني</w:t>
      </w:r>
      <w:r w:rsidR="00992664" w:rsidRPr="00020424">
        <w:rPr>
          <w:rtl/>
        </w:rPr>
        <w:t xml:space="preserve"> ، ج 2 ، ص 231 ؛ </w:t>
      </w:r>
      <w:r w:rsidR="00992664" w:rsidRPr="0012008A">
        <w:rPr>
          <w:rStyle w:val="libFootnoteBoldChar"/>
          <w:rtl/>
        </w:rPr>
        <w:t>الوافي</w:t>
      </w:r>
      <w:r w:rsidR="00992664" w:rsidRPr="00020424">
        <w:rPr>
          <w:rtl/>
        </w:rPr>
        <w:t xml:space="preserve"> ، ج 1 ، ص 241 ؛ </w:t>
      </w:r>
      <w:r w:rsidR="00992664" w:rsidRPr="00577E83">
        <w:rPr>
          <w:rtl/>
        </w:rPr>
        <w:t>مرآة العقول</w:t>
      </w:r>
      <w:r w:rsidR="00992664" w:rsidRPr="00020424">
        <w:rPr>
          <w:rtl/>
        </w:rPr>
        <w:t xml:space="preserve"> ، ج 1 ، ص 184.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العثمانيّة » : هم قوم منسوبون إلى عثمان بن عفّان ويفضّلون عثمان على أميرالمؤمنين عليّ </w:t>
      </w:r>
      <w:r w:rsidR="00992664" w:rsidRPr="00D64ADA">
        <w:rPr>
          <w:rStyle w:val="libFootnoteAlaemChar"/>
          <w:rtl/>
        </w:rPr>
        <w:t>عليه‌السلام</w:t>
      </w:r>
      <w:r w:rsidR="00992664" w:rsidRPr="00020424">
        <w:rPr>
          <w:rtl/>
        </w:rPr>
        <w:t xml:space="preserve"> ، ويقولون : إنّ‌عثمان قتل مظلوماً ويدافعون عنه ، وكان سلفهم</w:t>
      </w:r>
      <w:r w:rsidR="00992664">
        <w:rPr>
          <w:rtl/>
        </w:rPr>
        <w:t xml:space="preserve"> </w:t>
      </w:r>
      <w:r w:rsidR="009B673F">
        <w:rPr>
          <w:rtl/>
        </w:rPr>
        <w:t>-</w:t>
      </w:r>
      <w:r w:rsidR="00992664">
        <w:rPr>
          <w:rtl/>
        </w:rPr>
        <w:t xml:space="preserve"> </w:t>
      </w:r>
      <w:r w:rsidR="00992664" w:rsidRPr="00020424">
        <w:rPr>
          <w:rtl/>
        </w:rPr>
        <w:t>وهم أهل الحديث والسنّة</w:t>
      </w:r>
      <w:r w:rsidR="00992664">
        <w:rPr>
          <w:rtl/>
        </w:rPr>
        <w:t xml:space="preserve"> </w:t>
      </w:r>
      <w:r w:rsidR="009B673F">
        <w:rPr>
          <w:rtl/>
        </w:rPr>
        <w:t>-</w:t>
      </w:r>
      <w:r w:rsidR="00992664">
        <w:rPr>
          <w:rtl/>
        </w:rPr>
        <w:t xml:space="preserve"> </w:t>
      </w:r>
      <w:r w:rsidR="00992664" w:rsidRPr="00020424">
        <w:rPr>
          <w:rtl/>
        </w:rPr>
        <w:t xml:space="preserve">ينتقصون عليّاً </w:t>
      </w:r>
      <w:r w:rsidR="00992664" w:rsidRPr="00D64ADA">
        <w:rPr>
          <w:rStyle w:val="libFootnoteAlaemChar"/>
          <w:rtl/>
        </w:rPr>
        <w:t>عليه‌السلام</w:t>
      </w:r>
      <w:r w:rsidR="00992664" w:rsidRPr="00020424">
        <w:rPr>
          <w:rtl/>
        </w:rPr>
        <w:t xml:space="preserve"> وجعلوه ممّن مالأ وأعان على قتل عثمان وممّن اشترك في سفك دمه بغير حقّ وقالوا : إنّه ليس من أئمّة الهدى ، بل هو من أئمّة الفتن</w:t>
      </w:r>
      <w:r w:rsidR="00992664">
        <w:rPr>
          <w:rtl/>
        </w:rPr>
        <w:t>!!</w:t>
      </w:r>
      <w:r w:rsidR="00992664" w:rsidRPr="00020424">
        <w:rPr>
          <w:rtl/>
        </w:rPr>
        <w:t xml:space="preserve"> وأبي كثير منهم أن يحدّثوا بفضائله. راجع : </w:t>
      </w:r>
      <w:r w:rsidR="00992664" w:rsidRPr="00577E83">
        <w:rPr>
          <w:rtl/>
        </w:rPr>
        <w:t>الاختلاف في اللفظ</w:t>
      </w:r>
      <w:r w:rsidR="00992664" w:rsidRPr="00020424">
        <w:rPr>
          <w:rtl/>
        </w:rPr>
        <w:t xml:space="preserve"> ، ص 47 ؛ </w:t>
      </w:r>
      <w:r w:rsidR="00992664" w:rsidRPr="00577E83">
        <w:rPr>
          <w:rtl/>
        </w:rPr>
        <w:t>مسائل الإمامة</w:t>
      </w:r>
      <w:r w:rsidR="00992664" w:rsidRPr="00020424">
        <w:rPr>
          <w:rtl/>
        </w:rPr>
        <w:t xml:space="preserve"> ، ص 19 ؛ </w:t>
      </w:r>
      <w:r w:rsidR="00992664" w:rsidRPr="00577E83">
        <w:rPr>
          <w:rtl/>
        </w:rPr>
        <w:t>الحور العين</w:t>
      </w:r>
      <w:r w:rsidR="00992664" w:rsidRPr="00020424">
        <w:rPr>
          <w:rtl/>
        </w:rPr>
        <w:t xml:space="preserve"> ، ص 180 ؛ </w:t>
      </w:r>
      <w:r w:rsidR="00992664" w:rsidRPr="00577E83">
        <w:rPr>
          <w:rtl/>
        </w:rPr>
        <w:t>المنية والأمل</w:t>
      </w:r>
      <w:r w:rsidR="00992664" w:rsidRPr="00020424">
        <w:rPr>
          <w:rtl/>
        </w:rPr>
        <w:t xml:space="preserve"> ، ص 121.</w:t>
      </w:r>
    </w:p>
    <w:p w:rsidR="00992664" w:rsidRPr="00020424" w:rsidRDefault="00795177" w:rsidP="00F341C5">
      <w:pPr>
        <w:pStyle w:val="libFootnote0"/>
        <w:rPr>
          <w:rtl/>
          <w:lang w:bidi="fa-IR"/>
        </w:rPr>
      </w:pPr>
      <w:r>
        <w:rPr>
          <w:rtl/>
        </w:rPr>
        <w:t>(2).</w:t>
      </w:r>
      <w:r w:rsidR="0014403D">
        <w:rPr>
          <w:rtl/>
        </w:rPr>
        <w:t xml:space="preserve"> </w:t>
      </w:r>
      <w:r w:rsidR="00992664" w:rsidRPr="00020424">
        <w:rPr>
          <w:rtl/>
        </w:rPr>
        <w:t xml:space="preserve">« القدريّة » : هم المنسوبون إلى القَدَر ويقولون بالاختيار وينزّهون الله عن عقاب المجبر على ما يفعل ، ويزعمون أنّ كلّ عبد خالق فعله ، ولايرون المعاصي والكفر بتقدير الله ومشيئته. وقيل : هم جاحدوا القَدَر ، القائلون بنفي كون الخير والشرّ كلّه بتقدير الله ومشيئته. وقيل : يطلق القدريّة على المجبّرة وعلى المفوّضة المنكرين لقضاء الله وقدره. وقيل : سمّوا بذلك لمبالغتهم في نفي القدر ، وقيل : لكثرة ذكرهم القدر. لأنّه بدعتهم وضلالتهم. راجع : </w:t>
      </w:r>
      <w:r w:rsidR="00992664" w:rsidRPr="00577E83">
        <w:rPr>
          <w:rtl/>
        </w:rPr>
        <w:t>مجمع البحرين</w:t>
      </w:r>
      <w:r w:rsidR="00992664" w:rsidRPr="00020424">
        <w:rPr>
          <w:rtl/>
        </w:rPr>
        <w:t xml:space="preserve"> ، ج 3 ، ص 451 ( قدر ) ؛ </w:t>
      </w:r>
      <w:r w:rsidR="00992664" w:rsidRPr="00577E83">
        <w:rPr>
          <w:rtl/>
        </w:rPr>
        <w:t>الفصول المهمّة</w:t>
      </w:r>
      <w:r w:rsidR="00992664" w:rsidRPr="00020424">
        <w:rPr>
          <w:rtl/>
        </w:rPr>
        <w:t xml:space="preserve"> ، ج 1 ، ص 234 ؛ </w:t>
      </w:r>
      <w:r w:rsidR="00992664" w:rsidRPr="0012008A">
        <w:rPr>
          <w:rStyle w:val="libFootnoteBoldChar"/>
          <w:rtl/>
        </w:rPr>
        <w:t>البحار</w:t>
      </w:r>
      <w:r w:rsidR="00992664" w:rsidRPr="00020424">
        <w:rPr>
          <w:rtl/>
        </w:rPr>
        <w:t xml:space="preserve"> ، ج 2 ، ص 303 ، ذيل ح 39 ؛ وج 5 ، ص 5</w:t>
      </w:r>
      <w:r w:rsidR="00992664">
        <w:rPr>
          <w:rtl/>
        </w:rPr>
        <w:t xml:space="preserve"> </w:t>
      </w:r>
      <w:r w:rsidR="009B673F">
        <w:rPr>
          <w:rtl/>
        </w:rPr>
        <w:t>-</w:t>
      </w:r>
      <w:r w:rsidR="00992664">
        <w:rPr>
          <w:rtl/>
        </w:rPr>
        <w:t xml:space="preserve"> </w:t>
      </w:r>
      <w:r w:rsidR="00992664" w:rsidRPr="00020424">
        <w:rPr>
          <w:rtl/>
        </w:rPr>
        <w:t xml:space="preserve">7 ، ذيل ح 4 ؛ </w:t>
      </w:r>
      <w:r w:rsidR="00992664" w:rsidRPr="00577E83">
        <w:rPr>
          <w:rtl/>
        </w:rPr>
        <w:t>الغدير</w:t>
      </w:r>
      <w:r w:rsidR="00992664" w:rsidRPr="00020424">
        <w:rPr>
          <w:rtl/>
        </w:rPr>
        <w:t xml:space="preserve"> ، ج 3 ، ص 41 ؛ </w:t>
      </w:r>
      <w:r w:rsidR="00992664" w:rsidRPr="00577E83">
        <w:rPr>
          <w:rtl/>
        </w:rPr>
        <w:t>العقائد الإسلاميّة</w:t>
      </w:r>
      <w:r w:rsidR="00992664" w:rsidRPr="00020424">
        <w:rPr>
          <w:rtl/>
        </w:rPr>
        <w:t xml:space="preserve"> ، ج 3 ، ص 366 ؛ </w:t>
      </w:r>
      <w:r w:rsidR="00992664" w:rsidRPr="00577E83">
        <w:rPr>
          <w:rtl/>
        </w:rPr>
        <w:t>معجم الفرق الإسلاميّة</w:t>
      </w:r>
      <w:r w:rsidR="00992664" w:rsidRPr="00020424">
        <w:rPr>
          <w:rtl/>
        </w:rPr>
        <w:t xml:space="preserve"> ، ص 190.</w:t>
      </w:r>
      <w:r w:rsidR="00F341C5">
        <w:rPr>
          <w:rFonts w:hint="cs"/>
          <w:rtl/>
        </w:rPr>
        <w:t xml:space="preserve">                                        </w:t>
      </w:r>
      <w:r w:rsidR="00B50394">
        <w:rPr>
          <w:rFonts w:hint="cs"/>
          <w:rtl/>
        </w:rPr>
        <w:t xml:space="preserve">   </w:t>
      </w:r>
      <w:r w:rsidR="00F341C5">
        <w:rPr>
          <w:rFonts w:hint="cs"/>
          <w:rtl/>
        </w:rPr>
        <w:t xml:space="preserve">      </w:t>
      </w:r>
      <w:r>
        <w:rPr>
          <w:rtl/>
        </w:rPr>
        <w:t>(3).</w:t>
      </w:r>
      <w:r w:rsidR="0014403D">
        <w:rPr>
          <w:rtl/>
        </w:rPr>
        <w:t xml:space="preserve"> </w:t>
      </w:r>
      <w:r w:rsidR="00992664" w:rsidRPr="00020424">
        <w:rPr>
          <w:rtl/>
        </w:rPr>
        <w:t>في«ظ،ى،بح،بس»:+«صامه</w:t>
      </w:r>
      <w:r w:rsidR="00992664">
        <w:rPr>
          <w:rtl/>
        </w:rPr>
        <w:t>».</w:t>
      </w:r>
    </w:p>
    <w:tbl>
      <w:tblPr>
        <w:tblStyle w:val="TableGrid"/>
        <w:bidiVisual/>
        <w:tblW w:w="0" w:type="auto"/>
        <w:tblLook w:val="04A0" w:firstRow="1" w:lastRow="0" w:firstColumn="1" w:lastColumn="0" w:noHBand="0" w:noVBand="1"/>
      </w:tblPr>
      <w:tblGrid>
        <w:gridCol w:w="4006"/>
        <w:gridCol w:w="4006"/>
      </w:tblGrid>
      <w:tr w:rsidR="00590C4E" w:rsidTr="00590C4E">
        <w:tc>
          <w:tcPr>
            <w:tcW w:w="4006" w:type="dxa"/>
          </w:tcPr>
          <w:p w:rsidR="00590C4E" w:rsidRDefault="00590C4E" w:rsidP="00992664">
            <w:pPr>
              <w:pStyle w:val="libFootnote0"/>
              <w:rPr>
                <w:rtl/>
              </w:rPr>
            </w:pPr>
            <w:r>
              <w:rPr>
                <w:rtl/>
              </w:rPr>
              <w:t xml:space="preserve">(4). </w:t>
            </w:r>
            <w:r w:rsidRPr="00020424">
              <w:rPr>
                <w:rtl/>
              </w:rPr>
              <w:t>في « بح » : « زكاته</w:t>
            </w:r>
            <w:r>
              <w:rPr>
                <w:rtl/>
              </w:rPr>
              <w:t xml:space="preserve"> ».</w:t>
            </w:r>
          </w:p>
        </w:tc>
        <w:tc>
          <w:tcPr>
            <w:tcW w:w="4006" w:type="dxa"/>
          </w:tcPr>
          <w:p w:rsidR="00590C4E" w:rsidRDefault="00590C4E" w:rsidP="00590C4E">
            <w:pPr>
              <w:pStyle w:val="libFootnote0"/>
              <w:rPr>
                <w:rtl/>
              </w:rPr>
            </w:pPr>
            <w:r>
              <w:rPr>
                <w:rtl/>
              </w:rPr>
              <w:t>(5).</w:t>
            </w:r>
            <w:r w:rsidRPr="00020424">
              <w:rPr>
                <w:rtl/>
              </w:rPr>
              <w:t>في«بر»:</w:t>
            </w:r>
            <w:r>
              <w:rPr>
                <w:rtl/>
              </w:rPr>
              <w:t>-</w:t>
            </w:r>
            <w:r w:rsidRPr="00020424">
              <w:rPr>
                <w:rtl/>
              </w:rPr>
              <w:t>«أو حجّ</w:t>
            </w:r>
            <w:r>
              <w:rPr>
                <w:rtl/>
              </w:rPr>
              <w:t>».وفي</w:t>
            </w:r>
            <w:r w:rsidRPr="00020424">
              <w:rPr>
                <w:rtl/>
              </w:rPr>
              <w:t>«بس»:«أو حجّ أو زكاة</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بح ، بر » :</w:t>
      </w:r>
      <w:r w:rsidR="00992664">
        <w:rPr>
          <w:rtl/>
        </w:rPr>
        <w:t xml:space="preserve"> </w:t>
      </w:r>
      <w:r w:rsidR="009B673F">
        <w:rPr>
          <w:rtl/>
        </w:rPr>
        <w:t>-</w:t>
      </w:r>
      <w:r w:rsidR="00992664">
        <w:rPr>
          <w:rtl/>
        </w:rPr>
        <w:t xml:space="preserve"> </w:t>
      </w:r>
      <w:r w:rsidR="00992664" w:rsidRPr="00020424">
        <w:rPr>
          <w:rtl/>
        </w:rPr>
        <w:t>« قال : ليس عليه إعادة شي‌ء من ذلك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C0961" w:rsidTr="00AC0961">
        <w:tc>
          <w:tcPr>
            <w:tcW w:w="4006" w:type="dxa"/>
          </w:tcPr>
          <w:p w:rsidR="00AC0961" w:rsidRDefault="00AC0961" w:rsidP="00992664">
            <w:pPr>
              <w:pStyle w:val="libFootnote0"/>
              <w:rPr>
                <w:rtl/>
                <w:lang w:bidi="fa-IR"/>
              </w:rPr>
            </w:pPr>
            <w:r>
              <w:rPr>
                <w:rtl/>
              </w:rPr>
              <w:t xml:space="preserve">(7). </w:t>
            </w:r>
            <w:r w:rsidRPr="00020424">
              <w:rPr>
                <w:rtl/>
              </w:rPr>
              <w:t>في « بخ » : + « لأنّه</w:t>
            </w:r>
            <w:r>
              <w:rPr>
                <w:rtl/>
              </w:rPr>
              <w:t xml:space="preserve"> ».</w:t>
            </w:r>
          </w:p>
        </w:tc>
        <w:tc>
          <w:tcPr>
            <w:tcW w:w="4006" w:type="dxa"/>
          </w:tcPr>
          <w:p w:rsidR="00AC0961" w:rsidRDefault="00AC0961" w:rsidP="00992664">
            <w:pPr>
              <w:pStyle w:val="libFootnote0"/>
              <w:rPr>
                <w:rtl/>
                <w:lang w:bidi="fa-IR"/>
              </w:rPr>
            </w:pPr>
            <w:r>
              <w:rPr>
                <w:rtl/>
              </w:rPr>
              <w:t xml:space="preserve">(8). </w:t>
            </w:r>
            <w:r w:rsidRPr="00020424">
              <w:rPr>
                <w:rtl/>
              </w:rPr>
              <w:t xml:space="preserve">في </w:t>
            </w:r>
            <w:r w:rsidRPr="0012008A">
              <w:rPr>
                <w:rStyle w:val="libFootnoteBoldChar"/>
                <w:rtl/>
              </w:rPr>
              <w:t>التهذيب</w:t>
            </w:r>
            <w:r w:rsidRPr="00020424">
              <w:rPr>
                <w:rtl/>
              </w:rPr>
              <w:t xml:space="preserve"> : « ولابدّ</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54 ، ح 143 ، معلّقاً عن الكليني. </w:t>
      </w:r>
      <w:r w:rsidR="00992664" w:rsidRPr="00577E83">
        <w:rPr>
          <w:rtl/>
        </w:rPr>
        <w:t>علل الشرائع</w:t>
      </w:r>
      <w:r w:rsidR="00992664" w:rsidRPr="00020424">
        <w:rPr>
          <w:rtl/>
        </w:rPr>
        <w:t xml:space="preserve"> ، ص 373 ، ح 1 ، بسنده عن عمر بن ا</w:t>
      </w:r>
      <w:r w:rsidR="00A41BD6">
        <w:rPr>
          <w:rFonts w:hint="cs"/>
          <w:rtl/>
        </w:rPr>
        <w:t>ُ</w:t>
      </w:r>
      <w:r w:rsidR="00992664" w:rsidRPr="00020424">
        <w:rPr>
          <w:rtl/>
        </w:rPr>
        <w:t xml:space="preserve">ذينة ، مع اختلاف يسير </w:t>
      </w:r>
      <w:r w:rsidR="00A41BD6">
        <w:rPr>
          <w:rFonts w:hint="cs"/>
          <w:rtl/>
        </w:rPr>
        <w:t>.</w:t>
      </w:r>
      <w:r w:rsidR="00992664" w:rsidRPr="0012008A">
        <w:rPr>
          <w:rStyle w:val="libFootnoteBoldChar"/>
          <w:rtl/>
        </w:rPr>
        <w:t>الوافي</w:t>
      </w:r>
      <w:r w:rsidR="00992664" w:rsidRPr="00020424">
        <w:rPr>
          <w:rtl/>
        </w:rPr>
        <w:t xml:space="preserve"> ، ج 10 ، ص 190 ، ح 9411 ؛ </w:t>
      </w:r>
      <w:r w:rsidR="00992664" w:rsidRPr="0012008A">
        <w:rPr>
          <w:rStyle w:val="libFootnoteBoldChar"/>
          <w:rtl/>
        </w:rPr>
        <w:t>الوسائل</w:t>
      </w:r>
      <w:r w:rsidR="00992664" w:rsidRPr="00020424">
        <w:rPr>
          <w:rtl/>
        </w:rPr>
        <w:t xml:space="preserve"> ، ج 9 ، ص 216 ، ح 11871.</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الكافي ، ح 5746 : + « بن عيسى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مَا مِنْ رَجُلٍ </w:t>
      </w:r>
      <w:r w:rsidRPr="00A91B96">
        <w:rPr>
          <w:rStyle w:val="libFootnotenumChar"/>
          <w:rtl/>
        </w:rPr>
        <w:t>(1)</w:t>
      </w:r>
      <w:r w:rsidRPr="00020424">
        <w:rPr>
          <w:rtl/>
          <w:lang w:bidi="fa-IR"/>
        </w:rPr>
        <w:t xml:space="preserve"> يَمْنَعُ دِرْهَماً مِنْ </w:t>
      </w:r>
      <w:r w:rsidRPr="00A91B96">
        <w:rPr>
          <w:rStyle w:val="libFootnotenumChar"/>
          <w:rtl/>
        </w:rPr>
        <w:t>(2)</w:t>
      </w:r>
      <w:r w:rsidRPr="00020424">
        <w:rPr>
          <w:rtl/>
          <w:lang w:bidi="fa-IR"/>
        </w:rPr>
        <w:t xml:space="preserve"> حَقٍّ </w:t>
      </w:r>
      <w:r w:rsidRPr="00A91B96">
        <w:rPr>
          <w:rStyle w:val="libFootnotenumChar"/>
          <w:rtl/>
        </w:rPr>
        <w:t>(3)</w:t>
      </w:r>
      <w:r w:rsidR="00AB6EBD">
        <w:rPr>
          <w:rtl/>
          <w:lang w:bidi="fa-IR"/>
        </w:rPr>
        <w:t xml:space="preserve"> إِل</w:t>
      </w:r>
      <w:r w:rsidR="00AB6EBD">
        <w:rPr>
          <w:rFonts w:hint="cs"/>
          <w:rtl/>
          <w:lang w:bidi="fa-IR"/>
        </w:rPr>
        <w:t>َّ</w:t>
      </w:r>
      <w:r w:rsidR="00AB6EBD">
        <w:rPr>
          <w:rtl/>
          <w:lang w:bidi="fa-IR"/>
        </w:rPr>
        <w:t>ا</w:t>
      </w:r>
      <w:r w:rsidRPr="00020424">
        <w:rPr>
          <w:rtl/>
          <w:lang w:bidi="fa-IR"/>
        </w:rPr>
        <w:t xml:space="preserve"> أَنْفَقَ اثْنَيْنِ فِي غَيْرِ حَقِّهِ ، وَمَا مِنْ </w:t>
      </w:r>
      <w:r w:rsidRPr="00A91B96">
        <w:rPr>
          <w:rStyle w:val="libFootnotenumChar"/>
          <w:rtl/>
        </w:rPr>
        <w:t>(4)</w:t>
      </w:r>
      <w:r w:rsidRPr="00020424">
        <w:rPr>
          <w:rtl/>
          <w:lang w:bidi="fa-IR"/>
        </w:rPr>
        <w:t xml:space="preserve"> رَجُلٍ مَنَعَ </w:t>
      </w:r>
      <w:r w:rsidRPr="00A91B96">
        <w:rPr>
          <w:rStyle w:val="libFootnotenumChar"/>
          <w:rtl/>
        </w:rPr>
        <w:t>(5)</w:t>
      </w:r>
      <w:r w:rsidRPr="00020424">
        <w:rPr>
          <w:rtl/>
          <w:lang w:bidi="fa-IR"/>
        </w:rPr>
        <w:t xml:space="preserve"> حَقّاً فِي </w:t>
      </w:r>
      <w:r w:rsidRPr="00A91B96">
        <w:rPr>
          <w:rStyle w:val="libFootnotenumChar"/>
          <w:rtl/>
        </w:rPr>
        <w:t>(6)</w:t>
      </w:r>
      <w:r w:rsidR="00AB6EBD">
        <w:rPr>
          <w:rtl/>
          <w:lang w:bidi="fa-IR"/>
        </w:rPr>
        <w:t xml:space="preserve"> مَالِهِ إِل</w:t>
      </w:r>
      <w:r w:rsidR="00AB6EBD">
        <w:rPr>
          <w:rFonts w:hint="cs"/>
          <w:rtl/>
          <w:lang w:bidi="fa-IR"/>
        </w:rPr>
        <w:t>َّ</w:t>
      </w:r>
      <w:r w:rsidR="00AB6EBD">
        <w:rPr>
          <w:rtl/>
          <w:lang w:bidi="fa-IR"/>
        </w:rPr>
        <w:t>ا</w:t>
      </w:r>
      <w:r w:rsidRPr="00020424">
        <w:rPr>
          <w:rtl/>
          <w:lang w:bidi="fa-IR"/>
        </w:rPr>
        <w:t xml:space="preserve"> طَوَّقَهُ اللهُ بِهِ </w:t>
      </w:r>
      <w:r w:rsidRPr="00A91B96">
        <w:rPr>
          <w:rStyle w:val="libFootnotenumChar"/>
          <w:rtl/>
        </w:rPr>
        <w:t>(7)</w:t>
      </w:r>
      <w:r w:rsidRPr="00020424">
        <w:rPr>
          <w:rtl/>
          <w:lang w:bidi="fa-IR"/>
        </w:rPr>
        <w:t xml:space="preserve"> حَيَّةً مِنْ نَارٍ يَوْمَ الْقِيَامَةِ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لَهُ </w:t>
      </w:r>
      <w:r w:rsidRPr="00A91B96">
        <w:rPr>
          <w:rStyle w:val="libFootnotenumChar"/>
          <w:rtl/>
        </w:rPr>
        <w:t>(8)</w:t>
      </w:r>
      <w:r w:rsidRPr="00020424">
        <w:rPr>
          <w:rtl/>
          <w:lang w:bidi="fa-IR"/>
        </w:rPr>
        <w:t xml:space="preserve"> : رَجُلٌ </w:t>
      </w:r>
      <w:r w:rsidRPr="00A91B96">
        <w:rPr>
          <w:rStyle w:val="libFootnotenumChar"/>
          <w:rtl/>
        </w:rPr>
        <w:t>(9)</w:t>
      </w:r>
      <w:r w:rsidRPr="00020424">
        <w:rPr>
          <w:rtl/>
          <w:lang w:bidi="fa-IR"/>
        </w:rPr>
        <w:t xml:space="preserve"> عَارِفٌ أَدّى زَكَاتَهُ </w:t>
      </w:r>
      <w:r w:rsidRPr="00A91B96">
        <w:rPr>
          <w:rStyle w:val="libFootnotenumChar"/>
          <w:rtl/>
        </w:rPr>
        <w:t>(10)</w:t>
      </w:r>
      <w:r w:rsidRPr="00020424">
        <w:rPr>
          <w:rtl/>
          <w:lang w:bidi="fa-IR"/>
        </w:rPr>
        <w:t xml:space="preserve"> إِلى غَيْرِ أَهْلِهَا زَمَاناً ، هَلْ عَلَيْهِ أَنْ يُؤَدِّيَهَا ثَانِياً </w:t>
      </w:r>
      <w:r w:rsidRPr="00A91B96">
        <w:rPr>
          <w:rStyle w:val="libFootnotenumChar"/>
          <w:rtl/>
        </w:rPr>
        <w:t>(11)</w:t>
      </w:r>
      <w:r w:rsidRPr="00020424">
        <w:rPr>
          <w:rtl/>
          <w:lang w:bidi="fa-IR"/>
        </w:rPr>
        <w:t xml:space="preserve"> إِلى أَهْلِهَا إِذَا عَلِمَهُمْ</w:t>
      </w:r>
      <w:r>
        <w:rPr>
          <w:rtl/>
          <w:lang w:bidi="fa-IR"/>
        </w:rPr>
        <w:t>؟</w:t>
      </w:r>
    </w:p>
    <w:p w:rsidR="00992664" w:rsidRPr="00020424" w:rsidRDefault="00992664" w:rsidP="00992664">
      <w:pPr>
        <w:pStyle w:val="libNormal"/>
        <w:rPr>
          <w:rtl/>
          <w:lang w:bidi="fa-IR"/>
        </w:rPr>
      </w:pPr>
      <w:r w:rsidRPr="00020424">
        <w:rPr>
          <w:rtl/>
          <w:lang w:bidi="fa-IR"/>
        </w:rPr>
        <w:t>قَالَ : « نَعَمْ</w:t>
      </w:r>
      <w:r>
        <w:rPr>
          <w:rtl/>
          <w:lang w:bidi="fa-IR"/>
        </w:rPr>
        <w:t xml:space="preserve"> ».</w:t>
      </w:r>
    </w:p>
    <w:p w:rsidR="00992664" w:rsidRDefault="00992664" w:rsidP="00992664">
      <w:pPr>
        <w:pStyle w:val="libNormal"/>
        <w:rPr>
          <w:rtl/>
          <w:lang w:bidi="fa-IR"/>
        </w:rPr>
      </w:pPr>
      <w:r w:rsidRPr="00020424">
        <w:rPr>
          <w:rtl/>
          <w:lang w:bidi="fa-IR"/>
        </w:rPr>
        <w:t xml:space="preserve">قَالَ </w:t>
      </w:r>
      <w:r w:rsidRPr="00A91B96">
        <w:rPr>
          <w:rStyle w:val="libFootnotenumChar"/>
          <w:rtl/>
        </w:rPr>
        <w:t>(12)</w:t>
      </w:r>
      <w:r w:rsidRPr="00020424">
        <w:rPr>
          <w:rtl/>
          <w:lang w:bidi="fa-IR"/>
        </w:rPr>
        <w:t xml:space="preserve"> : قُلْتُ </w:t>
      </w:r>
      <w:r w:rsidRPr="00A91B96">
        <w:rPr>
          <w:rStyle w:val="libFootnotenumChar"/>
          <w:rtl/>
        </w:rPr>
        <w:t>(13)</w:t>
      </w:r>
      <w:r w:rsidRPr="00020424">
        <w:rPr>
          <w:rtl/>
          <w:lang w:bidi="fa-IR"/>
        </w:rPr>
        <w:t xml:space="preserve"> : فَإِنْ لَمْ يَعْرِفْ لَهَا أَهْلاً ، فَلَمْ يُؤَدِّهَا ، أَوْ لَمْ يَعْلَمْ أَنَّهَا عَلَيْهِ </w:t>
      </w:r>
      <w:r w:rsidRPr="00A91B96">
        <w:rPr>
          <w:rStyle w:val="libFootnotenumChar"/>
          <w:rtl/>
        </w:rPr>
        <w:t>(14)</w:t>
      </w:r>
      <w:r w:rsidRPr="00020424">
        <w:rPr>
          <w:rtl/>
          <w:lang w:bidi="fa-IR"/>
        </w:rPr>
        <w:t xml:space="preserve"> ، فَعَلِمَ بَعْدَ ذلِكَ</w:t>
      </w:r>
      <w:r>
        <w:rPr>
          <w:rtl/>
          <w:lang w:bidi="fa-IR"/>
        </w:rPr>
        <w:t>؟</w:t>
      </w:r>
    </w:p>
    <w:p w:rsidR="00992664" w:rsidRPr="00020424" w:rsidRDefault="00992664" w:rsidP="00992664">
      <w:pPr>
        <w:pStyle w:val="libNormal"/>
        <w:rPr>
          <w:rtl/>
          <w:lang w:bidi="fa-IR"/>
        </w:rPr>
      </w:pPr>
      <w:r w:rsidRPr="00020424">
        <w:rPr>
          <w:rtl/>
          <w:lang w:bidi="fa-IR"/>
        </w:rPr>
        <w:t>قَالَ : « يُؤَدِّيهَا إِلى أَهْلِهَا لِمَا مَضى</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لَهُ </w:t>
      </w:r>
      <w:r w:rsidRPr="00A91B96">
        <w:rPr>
          <w:rStyle w:val="libFootnotenumChar"/>
          <w:rtl/>
        </w:rPr>
        <w:t>(</w:t>
      </w:r>
      <w:r w:rsidRPr="00A91B96">
        <w:rPr>
          <w:rStyle w:val="libFootnotenumChar"/>
          <w:rFonts w:hint="cs"/>
          <w:rtl/>
        </w:rPr>
        <w:t>15</w:t>
      </w:r>
      <w:r w:rsidRPr="00A91B96">
        <w:rPr>
          <w:rStyle w:val="libFootnotenumChar"/>
          <w:rtl/>
        </w:rPr>
        <w:t>)</w:t>
      </w:r>
      <w:r w:rsidRPr="00020424">
        <w:rPr>
          <w:rtl/>
          <w:lang w:bidi="fa-IR"/>
        </w:rPr>
        <w:t xml:space="preserve"> : فَإِنَّهُ لَمْ يَعْلَمْ أَهْلَهَا ، فَدَفَعَهَا إِلى مَنْ لَيْسَ هُوَ لَهَا بِأَهْلٍ ، وَقَدْ كَانَ طَلَبَ وَاجْتَهَدَ ، ثُمَّ عَلِمَ بَعْدَ ذلِكَ </w:t>
      </w:r>
      <w:r w:rsidRPr="00A91B96">
        <w:rPr>
          <w:rStyle w:val="libFootnotenumChar"/>
          <w:rtl/>
        </w:rPr>
        <w:t>(</w:t>
      </w:r>
      <w:r w:rsidRPr="00A91B96">
        <w:rPr>
          <w:rStyle w:val="libFootnotenumChar"/>
          <w:rFonts w:hint="cs"/>
          <w:rtl/>
        </w:rPr>
        <w:t>16</w:t>
      </w:r>
      <w:r w:rsidRPr="00A91B96">
        <w:rPr>
          <w:rStyle w:val="libFootnotenumChar"/>
          <w:rtl/>
        </w:rPr>
        <w:t>)</w:t>
      </w:r>
      <w:r w:rsidRPr="00020424">
        <w:rPr>
          <w:rtl/>
          <w:lang w:bidi="fa-IR"/>
        </w:rPr>
        <w:t xml:space="preserve"> سُوءَ </w:t>
      </w:r>
      <w:r w:rsidRPr="00A91B96">
        <w:rPr>
          <w:rStyle w:val="libFootnotenumChar"/>
          <w:rtl/>
        </w:rPr>
        <w:t>(</w:t>
      </w:r>
      <w:r w:rsidRPr="00A91B96">
        <w:rPr>
          <w:rStyle w:val="libFootnotenumChar"/>
          <w:rFonts w:hint="cs"/>
          <w:rtl/>
        </w:rPr>
        <w:t>17</w:t>
      </w:r>
      <w:r w:rsidRPr="00A91B96">
        <w:rPr>
          <w:rStyle w:val="libFootnotenumChar"/>
          <w:rtl/>
        </w:rPr>
        <w:t>)</w:t>
      </w:r>
      <w:r w:rsidRPr="00020424">
        <w:rPr>
          <w:rtl/>
          <w:lang w:bidi="fa-IR"/>
        </w:rPr>
        <w:t xml:space="preserve"> مَا صَنَعَ</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الكافي ، ح 5746 : « عبد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بح ، بخ ، بر » والكافي ، ح 5746 </w:t>
      </w:r>
      <w:r w:rsidR="00992664" w:rsidRPr="00B50394">
        <w:rPr>
          <w:rtl/>
        </w:rPr>
        <w:t>والفقيه والتهذيب والمقنعة</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بس » : + « الله</w:t>
      </w:r>
      <w:r w:rsidR="00992664">
        <w:rPr>
          <w:rtl/>
        </w:rPr>
        <w:t xml:space="preserve"> ».</w:t>
      </w:r>
      <w:r w:rsidR="00992664" w:rsidRPr="00020424">
        <w:rPr>
          <w:rtl/>
        </w:rPr>
        <w:t xml:space="preserve"> وفي الكافي ، ح 5746 </w:t>
      </w:r>
      <w:r w:rsidR="00992664" w:rsidRPr="00B50394">
        <w:rPr>
          <w:rtl/>
        </w:rPr>
        <w:t>والفقيه والتهذيب والمقنعة</w:t>
      </w:r>
      <w:r w:rsidR="00992664" w:rsidRPr="00020424">
        <w:rPr>
          <w:rtl/>
        </w:rPr>
        <w:t xml:space="preserve"> : « حقّه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الكافي ، ح 5746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الكافي ، ح 5746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ص 112 </w:t>
      </w:r>
      <w:r w:rsidR="00992664" w:rsidRPr="00DE3E80">
        <w:rPr>
          <w:rStyle w:val="libFootnoteBoldChar"/>
          <w:rtl/>
        </w:rPr>
        <w:t>والمقنعة</w:t>
      </w:r>
      <w:r w:rsidR="00992664" w:rsidRPr="00020424">
        <w:rPr>
          <w:rtl/>
        </w:rPr>
        <w:t xml:space="preserve"> : « يمنع</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04B6" w:rsidTr="00CA04B6">
        <w:tc>
          <w:tcPr>
            <w:tcW w:w="4006" w:type="dxa"/>
          </w:tcPr>
          <w:p w:rsidR="00CA04B6" w:rsidRDefault="00CA04B6" w:rsidP="00992664">
            <w:pPr>
              <w:pStyle w:val="libFootnote0"/>
              <w:rPr>
                <w:rtl/>
              </w:rPr>
            </w:pPr>
            <w:r>
              <w:rPr>
                <w:rtl/>
              </w:rPr>
              <w:t xml:space="preserve">(6). </w:t>
            </w:r>
            <w:r w:rsidRPr="00020424">
              <w:rPr>
                <w:rtl/>
              </w:rPr>
              <w:t xml:space="preserve">في الكافي ، ح 5746 </w:t>
            </w:r>
            <w:r w:rsidRPr="00515444">
              <w:rPr>
                <w:rStyle w:val="libFootnoteBoldChar"/>
                <w:rtl/>
              </w:rPr>
              <w:t>والتهذيب</w:t>
            </w:r>
            <w:r w:rsidRPr="00020424">
              <w:rPr>
                <w:rtl/>
              </w:rPr>
              <w:t xml:space="preserve"> : « من</w:t>
            </w:r>
            <w:r>
              <w:rPr>
                <w:rtl/>
              </w:rPr>
              <w:t xml:space="preserve"> ».</w:t>
            </w:r>
          </w:p>
        </w:tc>
        <w:tc>
          <w:tcPr>
            <w:tcW w:w="4006" w:type="dxa"/>
          </w:tcPr>
          <w:p w:rsidR="00CA04B6" w:rsidRDefault="00CA04B6"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به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بس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يقول : ما من رجل</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قلت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04B6" w:rsidTr="00CA04B6">
        <w:tc>
          <w:tcPr>
            <w:tcW w:w="4006" w:type="dxa"/>
          </w:tcPr>
          <w:p w:rsidR="00CA04B6" w:rsidRDefault="00CA04B6" w:rsidP="00CA04B6">
            <w:pPr>
              <w:pStyle w:val="libFootnote0"/>
              <w:rPr>
                <w:rtl/>
              </w:rPr>
            </w:pPr>
            <w:r>
              <w:rPr>
                <w:rtl/>
              </w:rPr>
              <w:t>(9). في</w:t>
            </w:r>
            <w:r w:rsidRPr="00020424">
              <w:rPr>
                <w:rtl/>
              </w:rPr>
              <w:t>«بر»:</w:t>
            </w:r>
            <w:r>
              <w:rPr>
                <w:rtl/>
              </w:rPr>
              <w:t>-«</w:t>
            </w:r>
            <w:r w:rsidRPr="00020424">
              <w:rPr>
                <w:rtl/>
              </w:rPr>
              <w:t>منع حقاً</w:t>
            </w:r>
            <w:r>
              <w:rPr>
                <w:rtl/>
              </w:rPr>
              <w:t>-</w:t>
            </w:r>
            <w:r w:rsidRPr="00020424">
              <w:rPr>
                <w:rtl/>
              </w:rPr>
              <w:t>إلى</w:t>
            </w:r>
            <w:r>
              <w:rPr>
                <w:rtl/>
              </w:rPr>
              <w:t>-</w:t>
            </w:r>
            <w:r w:rsidRPr="00020424">
              <w:rPr>
                <w:rtl/>
              </w:rPr>
              <w:t>قلت له:رجل</w:t>
            </w:r>
            <w:r>
              <w:rPr>
                <w:rtl/>
              </w:rPr>
              <w:t>».</w:t>
            </w:r>
          </w:p>
        </w:tc>
        <w:tc>
          <w:tcPr>
            <w:tcW w:w="4006" w:type="dxa"/>
          </w:tcPr>
          <w:p w:rsidR="00CA04B6" w:rsidRDefault="00CA04B6" w:rsidP="00992664">
            <w:pPr>
              <w:pStyle w:val="libFootnote0"/>
              <w:rPr>
                <w:rtl/>
              </w:rPr>
            </w:pPr>
            <w:r>
              <w:rPr>
                <w:rtl/>
              </w:rPr>
              <w:t xml:space="preserve">(10). </w:t>
            </w:r>
            <w:r w:rsidRPr="00020424">
              <w:rPr>
                <w:rtl/>
              </w:rPr>
              <w:t xml:space="preserve">في </w:t>
            </w:r>
            <w:r w:rsidRPr="0012008A">
              <w:rPr>
                <w:rStyle w:val="libFootnoteBoldChar"/>
                <w:rtl/>
              </w:rPr>
              <w:t>التهذيب</w:t>
            </w:r>
            <w:r w:rsidRPr="00020424">
              <w:rPr>
                <w:rtl/>
              </w:rPr>
              <w:t xml:space="preserve"> ، ص 102 : « الزكاة</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بح ، بخ ، بر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ص 102 : « ثانية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04B6" w:rsidTr="00CA04B6">
        <w:tc>
          <w:tcPr>
            <w:tcW w:w="4006" w:type="dxa"/>
          </w:tcPr>
          <w:p w:rsidR="00CA04B6" w:rsidRDefault="00260AF6" w:rsidP="00992664">
            <w:pPr>
              <w:pStyle w:val="libFootnote0"/>
              <w:rPr>
                <w:rtl/>
              </w:rPr>
            </w:pPr>
            <w:r>
              <w:rPr>
                <w:rtl/>
              </w:rPr>
              <w:t xml:space="preserve">(12). </w:t>
            </w:r>
            <w:r w:rsidRPr="00020424">
              <w:rPr>
                <w:rtl/>
              </w:rPr>
              <w:t xml:space="preserve">في « بر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CA04B6" w:rsidRDefault="00260AF6" w:rsidP="00992664">
            <w:pPr>
              <w:pStyle w:val="libFootnote0"/>
              <w:rPr>
                <w:rtl/>
              </w:rPr>
            </w:pPr>
            <w:r>
              <w:rPr>
                <w:rtl/>
              </w:rPr>
              <w:t xml:space="preserve">(13). </w:t>
            </w:r>
            <w:r w:rsidRPr="00020424">
              <w:rPr>
                <w:rtl/>
              </w:rPr>
              <w:t>في « ظ ، بح ، بس » : + « له</w:t>
            </w:r>
            <w:r>
              <w:rPr>
                <w:rtl/>
              </w:rPr>
              <w:t xml:space="preserve"> ».</w:t>
            </w:r>
          </w:p>
        </w:tc>
      </w:tr>
      <w:tr w:rsidR="00CA04B6" w:rsidTr="00CA04B6">
        <w:tc>
          <w:tcPr>
            <w:tcW w:w="4006" w:type="dxa"/>
          </w:tcPr>
          <w:p w:rsidR="00CA04B6" w:rsidRDefault="00260AF6" w:rsidP="00260AF6">
            <w:pPr>
              <w:pStyle w:val="libFootnote0"/>
              <w:rPr>
                <w:rtl/>
              </w:rPr>
            </w:pPr>
            <w:r>
              <w:rPr>
                <w:rtl/>
              </w:rPr>
              <w:t xml:space="preserve">(14). </w:t>
            </w:r>
            <w:r w:rsidRPr="00020424">
              <w:rPr>
                <w:rtl/>
              </w:rPr>
              <w:t>في«بس»:«</w:t>
            </w:r>
            <w:r>
              <w:rPr>
                <w:rtl/>
              </w:rPr>
              <w:t>أنّ عليه زكاة</w:t>
            </w:r>
            <w:r w:rsidRPr="00020424">
              <w:rPr>
                <w:rtl/>
              </w:rPr>
              <w:t>»بدل«أنّها عليه</w:t>
            </w:r>
            <w:r>
              <w:rPr>
                <w:rtl/>
              </w:rPr>
              <w:t>».</w:t>
            </w:r>
          </w:p>
        </w:tc>
        <w:tc>
          <w:tcPr>
            <w:tcW w:w="4006" w:type="dxa"/>
          </w:tcPr>
          <w:p w:rsidR="00CA04B6" w:rsidRDefault="00260AF6" w:rsidP="00992664">
            <w:pPr>
              <w:pStyle w:val="libFootnote0"/>
              <w:rPr>
                <w:rtl/>
              </w:rPr>
            </w:pPr>
            <w:r>
              <w:rPr>
                <w:rtl/>
              </w:rPr>
              <w:t xml:space="preserve">(15). </w:t>
            </w:r>
            <w:r w:rsidRPr="00020424">
              <w:rPr>
                <w:rtl/>
              </w:rPr>
              <w:t xml:space="preserve">في « بر » </w:t>
            </w:r>
            <w:r w:rsidRPr="00515444">
              <w:rPr>
                <w:rStyle w:val="libFootnoteBoldChar"/>
                <w:rtl/>
              </w:rPr>
              <w:t>والتهذيب</w:t>
            </w:r>
            <w:r w:rsidRPr="00020424">
              <w:rPr>
                <w:rtl/>
              </w:rPr>
              <w:t xml:space="preserve"> ، ص 102 :</w:t>
            </w:r>
            <w:r>
              <w:rPr>
                <w:rtl/>
              </w:rPr>
              <w:t xml:space="preserve"> - </w:t>
            </w:r>
            <w:r w:rsidRPr="00020424">
              <w:rPr>
                <w:rtl/>
              </w:rPr>
              <w:t>« له</w:t>
            </w:r>
            <w:r>
              <w:rPr>
                <w:rtl/>
              </w:rPr>
              <w:t xml:space="preserve"> ».</w:t>
            </w:r>
          </w:p>
        </w:tc>
      </w:tr>
      <w:tr w:rsidR="00CA04B6" w:rsidTr="00CA04B6">
        <w:tc>
          <w:tcPr>
            <w:tcW w:w="4006" w:type="dxa"/>
          </w:tcPr>
          <w:p w:rsidR="00CA04B6" w:rsidRDefault="00260AF6" w:rsidP="00992664">
            <w:pPr>
              <w:pStyle w:val="libFootnote0"/>
              <w:rPr>
                <w:rtl/>
              </w:rPr>
            </w:pPr>
            <w:r>
              <w:rPr>
                <w:rtl/>
              </w:rPr>
              <w:t xml:space="preserve">(16). </w:t>
            </w:r>
            <w:r w:rsidRPr="00020424">
              <w:rPr>
                <w:rtl/>
              </w:rPr>
              <w:t xml:space="preserve">في </w:t>
            </w:r>
            <w:r w:rsidRPr="0012008A">
              <w:rPr>
                <w:rStyle w:val="libFootnoteBoldChar"/>
                <w:rtl/>
              </w:rPr>
              <w:t>التهذيب</w:t>
            </w:r>
            <w:r w:rsidRPr="00020424">
              <w:rPr>
                <w:rtl/>
              </w:rPr>
              <w:t xml:space="preserve"> ، ص 102 :</w:t>
            </w:r>
            <w:r>
              <w:rPr>
                <w:rtl/>
              </w:rPr>
              <w:t xml:space="preserve"> - </w:t>
            </w:r>
            <w:r w:rsidRPr="00020424">
              <w:rPr>
                <w:rtl/>
              </w:rPr>
              <w:t>« ذلك</w:t>
            </w:r>
            <w:r>
              <w:rPr>
                <w:rtl/>
              </w:rPr>
              <w:t xml:space="preserve"> ».</w:t>
            </w:r>
          </w:p>
        </w:tc>
        <w:tc>
          <w:tcPr>
            <w:tcW w:w="4006" w:type="dxa"/>
          </w:tcPr>
          <w:p w:rsidR="00CA04B6" w:rsidRDefault="00260AF6" w:rsidP="00992664">
            <w:pPr>
              <w:pStyle w:val="libFootnote0"/>
              <w:rPr>
                <w:rtl/>
              </w:rPr>
            </w:pPr>
            <w:r>
              <w:rPr>
                <w:rtl/>
              </w:rPr>
              <w:t xml:space="preserve">(17). </w:t>
            </w:r>
            <w:r w:rsidRPr="00020424">
              <w:rPr>
                <w:rtl/>
              </w:rPr>
              <w:t>في « بر » :</w:t>
            </w:r>
            <w:r>
              <w:rPr>
                <w:rtl/>
              </w:rPr>
              <w:t xml:space="preserve"> - </w:t>
            </w:r>
            <w:r w:rsidRPr="00020424">
              <w:rPr>
                <w:rtl/>
              </w:rPr>
              <w:t>« ذلك سوء</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قَالَ : « لَيْسَ عَلَيْهِ أَنْ يُؤَدِّيَهَا مَرَّةً أُخْرى</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w:t>
      </w:r>
      <w:r w:rsidRPr="00A91B96">
        <w:rPr>
          <w:rStyle w:val="libFootnotenumChar"/>
          <w:rtl/>
        </w:rPr>
        <w:t>)</w:t>
      </w:r>
    </w:p>
    <w:p w:rsidR="00992664" w:rsidRPr="00020424" w:rsidRDefault="00A76C47" w:rsidP="00992664">
      <w:pPr>
        <w:pStyle w:val="libNormal"/>
        <w:rPr>
          <w:rtl/>
          <w:lang w:bidi="fa-IR"/>
        </w:rPr>
      </w:pPr>
      <w:r>
        <w:rPr>
          <w:rFonts w:hint="cs"/>
          <w:rtl/>
          <w:lang w:bidi="fa-IR"/>
        </w:rPr>
        <w:t xml:space="preserve">* </w:t>
      </w:r>
      <w:r w:rsidR="00992664" w:rsidRPr="00020424">
        <w:rPr>
          <w:rtl/>
          <w:lang w:bidi="fa-IR"/>
        </w:rPr>
        <w:t xml:space="preserve">وَعَنْ زُرَارَةَ </w:t>
      </w:r>
      <w:r w:rsidR="00992664" w:rsidRPr="00A91B96">
        <w:rPr>
          <w:rStyle w:val="libFootnotenumChar"/>
          <w:rtl/>
        </w:rPr>
        <w:t>(</w:t>
      </w:r>
      <w:r w:rsidR="00992664" w:rsidRPr="00A91B96">
        <w:rPr>
          <w:rStyle w:val="libFootnotenumChar"/>
          <w:rFonts w:hint="cs"/>
          <w:rtl/>
        </w:rPr>
        <w:t>2</w:t>
      </w:r>
      <w:r w:rsidR="00992664" w:rsidRPr="00A91B96">
        <w:rPr>
          <w:rStyle w:val="libFootnotenumChar"/>
          <w:rtl/>
        </w:rPr>
        <w:t>)</w:t>
      </w:r>
      <w:r w:rsidR="00992664" w:rsidRPr="00020424">
        <w:rPr>
          <w:rtl/>
          <w:lang w:bidi="fa-IR"/>
        </w:rPr>
        <w:t xml:space="preserve"> مِثْلَهُ غَيْرَ أَنَّهُ قَالَ : « إِنِ </w:t>
      </w:r>
      <w:r w:rsidR="00992664" w:rsidRPr="00A91B96">
        <w:rPr>
          <w:rStyle w:val="libFootnotenumChar"/>
          <w:rtl/>
        </w:rPr>
        <w:t>(</w:t>
      </w:r>
      <w:r w:rsidR="00992664" w:rsidRPr="00A91B96">
        <w:rPr>
          <w:rStyle w:val="libFootnotenumChar"/>
          <w:rFonts w:hint="cs"/>
          <w:rtl/>
        </w:rPr>
        <w:t>3</w:t>
      </w:r>
      <w:r w:rsidR="00992664" w:rsidRPr="00A91B96">
        <w:rPr>
          <w:rStyle w:val="libFootnotenumChar"/>
          <w:rtl/>
        </w:rPr>
        <w:t>)</w:t>
      </w:r>
      <w:r w:rsidR="00992664" w:rsidRPr="00020424">
        <w:rPr>
          <w:rtl/>
          <w:lang w:bidi="fa-IR"/>
        </w:rPr>
        <w:t xml:space="preserve"> اجْتَهَدَ فَقَدْ بَرِئَ ، وَإِنْ </w:t>
      </w:r>
      <w:r w:rsidR="00992664" w:rsidRPr="00A91B96">
        <w:rPr>
          <w:rStyle w:val="libFootnotenumChar"/>
          <w:rtl/>
        </w:rPr>
        <w:t>(</w:t>
      </w:r>
      <w:r w:rsidR="00992664" w:rsidRPr="00A91B96">
        <w:rPr>
          <w:rStyle w:val="libFootnotenumChar"/>
          <w:rFonts w:hint="cs"/>
          <w:rtl/>
        </w:rPr>
        <w:t>4</w:t>
      </w:r>
      <w:r w:rsidR="00992664" w:rsidRPr="00A91B96">
        <w:rPr>
          <w:rStyle w:val="libFootnotenumChar"/>
          <w:rtl/>
        </w:rPr>
        <w:t>)</w:t>
      </w:r>
      <w:r w:rsidR="00992664" w:rsidRPr="00020424">
        <w:rPr>
          <w:rtl/>
          <w:lang w:bidi="fa-IR"/>
        </w:rPr>
        <w:t xml:space="preserve"> قَصَّرَ فِي الِاجْتِهَادِ فِي الطَّلَبِ ، فَلَا</w:t>
      </w:r>
      <w:r w:rsidR="00992664">
        <w:rPr>
          <w:rtl/>
          <w:lang w:bidi="fa-IR"/>
        </w:rPr>
        <w:t xml:space="preserve"> ».</w:t>
      </w:r>
      <w:r w:rsidR="00992664" w:rsidRPr="00020424">
        <w:rPr>
          <w:rtl/>
          <w:lang w:bidi="fa-IR"/>
        </w:rPr>
        <w:t xml:space="preserve"> </w:t>
      </w:r>
      <w:r w:rsidR="00992664" w:rsidRPr="00A91B96">
        <w:rPr>
          <w:rStyle w:val="libFootnotenumChar"/>
          <w:rtl/>
        </w:rPr>
        <w:t>(</w:t>
      </w:r>
      <w:r w:rsidR="00992664" w:rsidRPr="00A91B96">
        <w:rPr>
          <w:rStyle w:val="libFootnotenumChar"/>
          <w:rFonts w:hint="cs"/>
          <w:rtl/>
        </w:rPr>
        <w:t>5</w:t>
      </w:r>
      <w:r w:rsidR="00992664" w:rsidRPr="00A91B96">
        <w:rPr>
          <w:rStyle w:val="libFootnotenumChar"/>
          <w:rtl/>
        </w:rPr>
        <w:t>)</w:t>
      </w:r>
    </w:p>
    <w:p w:rsidR="00992664" w:rsidRPr="00020424" w:rsidRDefault="00992664" w:rsidP="00992664">
      <w:pPr>
        <w:pStyle w:val="libNormal"/>
        <w:rPr>
          <w:rtl/>
          <w:lang w:bidi="fa-IR"/>
        </w:rPr>
      </w:pPr>
      <w:r w:rsidRPr="00577E83">
        <w:rPr>
          <w:rtl/>
        </w:rPr>
        <w:t>5901</w:t>
      </w:r>
      <w:r w:rsidRPr="001155DE">
        <w:rPr>
          <w:rStyle w:val="libBold2Char"/>
          <w:rtl/>
        </w:rPr>
        <w:t xml:space="preserve"> / 3.</w:t>
      </w:r>
      <w:r w:rsidRPr="00020424">
        <w:rPr>
          <w:rtl/>
          <w:lang w:bidi="fa-IR"/>
        </w:rPr>
        <w:t xml:space="preserve"> حَمَّادُ بْنُ عِيسى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 عَنْ حَرِيزٍ ، عَنْ زُرَارَةَ وَمُحَمَّدِ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الصَّدَقَةَ وَالزَّكَاةَ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لَايُحَابى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بِهَا قَرِيبٌ ، وَلَا يُمْنَعْهَا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بَعِيدٌ </w:t>
      </w:r>
      <w:r w:rsidRPr="00A91B96">
        <w:rPr>
          <w:rStyle w:val="libFootnotenumChar"/>
          <w:rtl/>
        </w:rPr>
        <w:t>(</w:t>
      </w:r>
      <w:r w:rsidRPr="00A91B96">
        <w:rPr>
          <w:rStyle w:val="libFootnotenumChar"/>
          <w:rFonts w:hint="cs"/>
          <w:rtl/>
        </w:rPr>
        <w:t>12</w:t>
      </w:r>
      <w:r w:rsidRPr="00A91B96">
        <w:rPr>
          <w:rStyle w:val="libFootnotenumChar"/>
          <w:rtl/>
        </w:rPr>
        <w:t>)</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13</w:t>
      </w:r>
      <w:r w:rsidRPr="00A91B96">
        <w:rPr>
          <w:rStyle w:val="libFootnotenumChar"/>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E176CA">
      <w:pPr>
        <w:pStyle w:val="libFootnote0"/>
        <w:rPr>
          <w:rtl/>
          <w:lang w:bidi="fa-IR"/>
        </w:rPr>
      </w:pPr>
      <w:r>
        <w:rPr>
          <w:rtl/>
        </w:rPr>
        <w:t>(1).</w:t>
      </w:r>
      <w:r w:rsidR="0014403D">
        <w:rPr>
          <w:rtl/>
        </w:rPr>
        <w:t xml:space="preserve"> </w:t>
      </w:r>
      <w:r w:rsidR="00992664" w:rsidRPr="00577E83">
        <w:rPr>
          <w:rtl/>
        </w:rPr>
        <w:t>الكافي</w:t>
      </w:r>
      <w:r w:rsidR="00992664" w:rsidRPr="00020424">
        <w:rPr>
          <w:rtl/>
        </w:rPr>
        <w:t xml:space="preserve"> ، كتاب الزكاة ، باب منع الزكاة ، ح 5746. وفي </w:t>
      </w:r>
      <w:r w:rsidR="00992664" w:rsidRPr="0012008A">
        <w:rPr>
          <w:rStyle w:val="libFootnoteBoldChar"/>
          <w:rtl/>
        </w:rPr>
        <w:t>التهذيب</w:t>
      </w:r>
      <w:r w:rsidR="00992664" w:rsidRPr="00020424">
        <w:rPr>
          <w:rtl/>
        </w:rPr>
        <w:t xml:space="preserve"> ، ج 4 ، ص 112 ، ح 328 ، معلّقاً عن الكليني ، وفيهما إلى قوله : « حيّة من نار يوم القيامة » ؛ </w:t>
      </w:r>
      <w:r w:rsidR="00992664" w:rsidRPr="00577E83">
        <w:rPr>
          <w:rtl/>
        </w:rPr>
        <w:t>وفيه</w:t>
      </w:r>
      <w:r w:rsidR="00992664" w:rsidRPr="00020424">
        <w:rPr>
          <w:rtl/>
        </w:rPr>
        <w:t xml:space="preserve"> ، ص 102 ، ح 290 ، معلّقاً عن الكليني. </w:t>
      </w:r>
      <w:r w:rsidR="00992664" w:rsidRPr="0012008A">
        <w:rPr>
          <w:rStyle w:val="libFootnoteBoldChar"/>
          <w:rtl/>
        </w:rPr>
        <w:t>الفقيه</w:t>
      </w:r>
      <w:r w:rsidR="00992664" w:rsidRPr="00020424">
        <w:rPr>
          <w:rtl/>
        </w:rPr>
        <w:t xml:space="preserve"> ، ج 2 ، ص 11 ، ح 1588 ، معلّقاً عن عبيد بن زرارة ، إلى قوله : « حيّة من نار يوم القيامة</w:t>
      </w:r>
      <w:r w:rsidR="00992664">
        <w:rPr>
          <w:rtl/>
        </w:rPr>
        <w:t xml:space="preserve"> ».</w:t>
      </w:r>
      <w:r w:rsidR="00992664" w:rsidRPr="00020424">
        <w:rPr>
          <w:rtl/>
        </w:rPr>
        <w:t xml:space="preserve"> </w:t>
      </w:r>
      <w:r w:rsidR="00992664" w:rsidRPr="00577E83">
        <w:rPr>
          <w:rtl/>
        </w:rPr>
        <w:t>الكافي</w:t>
      </w:r>
      <w:r w:rsidR="00992664" w:rsidRPr="00020424">
        <w:rPr>
          <w:rtl/>
        </w:rPr>
        <w:t xml:space="preserve"> ، كتاب الزكاة ، باب فرض الزكاة</w:t>
      </w:r>
      <w:r w:rsidR="00992664">
        <w:rPr>
          <w:rtl/>
        </w:rPr>
        <w:t xml:space="preserve"> ..</w:t>
      </w:r>
      <w:r w:rsidR="00992664" w:rsidRPr="00020424">
        <w:rPr>
          <w:rtl/>
        </w:rPr>
        <w:t>. ، ح 5760 ، بسند آخر ، وتمام الرواية فيه : « من منع حقّاً لله‌عزّوجل ، أنفق في باطل مثليه</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268 ، مرسلاً ، إلى قوله : « حيّة من نار يوم القيامة »</w:t>
      </w:r>
      <w:r w:rsidR="00E176CA">
        <w:rPr>
          <w:rFonts w:hint="cs"/>
          <w:rtl/>
        </w:rPr>
        <w:t>.</w:t>
      </w:r>
      <w:r w:rsidR="00992664" w:rsidRPr="0012008A">
        <w:rPr>
          <w:rStyle w:val="libFootnoteBoldChar"/>
          <w:rtl/>
        </w:rPr>
        <w:t>الوافي</w:t>
      </w:r>
      <w:r w:rsidR="00992664" w:rsidRPr="00020424">
        <w:rPr>
          <w:rtl/>
        </w:rPr>
        <w:t xml:space="preserve"> ، ج 10 ، ص 191 ، ح 9414 ؛ </w:t>
      </w:r>
      <w:r w:rsidR="00992664" w:rsidRPr="0012008A">
        <w:rPr>
          <w:rStyle w:val="libFootnoteBoldChar"/>
          <w:rtl/>
        </w:rPr>
        <w:t>الوسائل</w:t>
      </w:r>
      <w:r w:rsidR="00992664" w:rsidRPr="00020424">
        <w:rPr>
          <w:rtl/>
        </w:rPr>
        <w:t xml:space="preserve"> ، ج 9 ، ص 43 ، ذيل ح 11479 ، إلى قوله : « حيّة من نار يوم القيامة » ؛ </w:t>
      </w:r>
      <w:r w:rsidR="00992664" w:rsidRPr="00577E83">
        <w:rPr>
          <w:rtl/>
        </w:rPr>
        <w:t>وفيه</w:t>
      </w:r>
      <w:r w:rsidR="00992664" w:rsidRPr="00020424">
        <w:rPr>
          <w:rtl/>
        </w:rPr>
        <w:t xml:space="preserve"> ، ص 214 ، ح 11865 ، من قوله : « قال : قلت له : رجل عارف</w:t>
      </w:r>
      <w:r w:rsidR="00992664">
        <w:rPr>
          <w:rtl/>
        </w:rPr>
        <w:t xml:space="preserve"> ».</w:t>
      </w:r>
    </w:p>
    <w:p w:rsidR="00992664" w:rsidRPr="00020424" w:rsidRDefault="00795177" w:rsidP="0073219A">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وروى زرارة</w:t>
      </w:r>
      <w:r w:rsidR="00992664">
        <w:rPr>
          <w:rtl/>
        </w:rPr>
        <w:t xml:space="preserve"> ».</w:t>
      </w:r>
      <w:r w:rsidR="00992664" w:rsidRPr="00020424">
        <w:rPr>
          <w:rtl/>
        </w:rPr>
        <w:t xml:space="preserve"> والظاهر أنّ عبارة « وعن زرارة » من كلام حريز ؛ قد أتى بها لبيان الاختلاف بين‌الخبرين ، فيكون السند معلّقاً.</w:t>
      </w:r>
      <w:r w:rsidR="0073219A">
        <w:rPr>
          <w:rFonts w:hint="cs"/>
          <w:rtl/>
        </w:rPr>
        <w:t xml:space="preserve">                                        </w:t>
      </w:r>
      <w:r>
        <w:rPr>
          <w:rtl/>
        </w:rPr>
        <w:t>(3).</w:t>
      </w:r>
      <w:r w:rsidR="0014403D">
        <w:rPr>
          <w:rtl/>
        </w:rPr>
        <w:t xml:space="preserve"> </w:t>
      </w:r>
      <w:r w:rsidR="00992664" w:rsidRPr="00020424">
        <w:rPr>
          <w:rtl/>
        </w:rPr>
        <w:t>في « بث » : « إذا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فإن</w:t>
      </w:r>
      <w:r w:rsidR="00992664">
        <w:rPr>
          <w:rtl/>
        </w:rPr>
        <w:t xml:space="preserve"> ».</w:t>
      </w:r>
    </w:p>
    <w:p w:rsidR="00992664" w:rsidRPr="00020424" w:rsidRDefault="00795177" w:rsidP="00D91079">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103 ، ح 291 ، وفيه : « وعن زرارة مثله</w:t>
      </w:r>
      <w:r w:rsidR="00992664">
        <w:rPr>
          <w:rtl/>
        </w:rPr>
        <w:t xml:space="preserve"> ..</w:t>
      </w:r>
      <w:r w:rsidR="00992664" w:rsidRPr="00020424">
        <w:rPr>
          <w:rtl/>
        </w:rPr>
        <w:t>. »</w:t>
      </w:r>
      <w:r w:rsidR="00D91079">
        <w:rPr>
          <w:rFonts w:hint="cs"/>
          <w:rtl/>
        </w:rPr>
        <w:t>.</w:t>
      </w:r>
      <w:r w:rsidR="00992664" w:rsidRPr="0012008A">
        <w:rPr>
          <w:rStyle w:val="libFootnoteBoldChar"/>
          <w:rtl/>
        </w:rPr>
        <w:t>الوافي</w:t>
      </w:r>
      <w:r w:rsidR="00992664" w:rsidRPr="00020424">
        <w:rPr>
          <w:rtl/>
        </w:rPr>
        <w:t xml:space="preserve"> ، ج 10 ، ص 192 ، ح 9415 ؛ </w:t>
      </w:r>
      <w:r w:rsidR="00992664" w:rsidRPr="0012008A">
        <w:rPr>
          <w:rStyle w:val="libFootnoteBoldChar"/>
          <w:rtl/>
        </w:rPr>
        <w:t>الوسائل</w:t>
      </w:r>
      <w:r w:rsidR="00992664" w:rsidRPr="00020424">
        <w:rPr>
          <w:rtl/>
        </w:rPr>
        <w:t xml:space="preserve"> ، ج 9 ، ص 214 ، ح 11866.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 ، كما لايخفى.</w:t>
      </w:r>
    </w:p>
    <w:tbl>
      <w:tblPr>
        <w:tblStyle w:val="TableGrid"/>
        <w:bidiVisual/>
        <w:tblW w:w="0" w:type="auto"/>
        <w:tblLook w:val="04A0" w:firstRow="1" w:lastRow="0" w:firstColumn="1" w:lastColumn="0" w:noHBand="0" w:noVBand="1"/>
      </w:tblPr>
      <w:tblGrid>
        <w:gridCol w:w="4006"/>
        <w:gridCol w:w="4006"/>
      </w:tblGrid>
      <w:tr w:rsidR="009E0993" w:rsidTr="009E0993">
        <w:tc>
          <w:tcPr>
            <w:tcW w:w="4006" w:type="dxa"/>
          </w:tcPr>
          <w:p w:rsidR="009E0993" w:rsidRDefault="009E0993" w:rsidP="00992664">
            <w:pPr>
              <w:pStyle w:val="libFootnote0"/>
              <w:rPr>
                <w:rtl/>
              </w:rPr>
            </w:pPr>
            <w:r>
              <w:rPr>
                <w:rtl/>
              </w:rPr>
              <w:t xml:space="preserve">(7). </w:t>
            </w:r>
            <w:r w:rsidRPr="00020424">
              <w:rPr>
                <w:rtl/>
              </w:rPr>
              <w:t>في « بخ ، بر ، بف » :</w:t>
            </w:r>
            <w:r>
              <w:rPr>
                <w:rtl/>
              </w:rPr>
              <w:t xml:space="preserve"> - </w:t>
            </w:r>
            <w:r w:rsidRPr="00020424">
              <w:rPr>
                <w:rtl/>
              </w:rPr>
              <w:t>« محمّد</w:t>
            </w:r>
            <w:r>
              <w:rPr>
                <w:rtl/>
              </w:rPr>
              <w:t xml:space="preserve"> ».</w:t>
            </w:r>
          </w:p>
        </w:tc>
        <w:tc>
          <w:tcPr>
            <w:tcW w:w="4006" w:type="dxa"/>
          </w:tcPr>
          <w:p w:rsidR="009E0993" w:rsidRDefault="00CE7D16" w:rsidP="00992664">
            <w:pPr>
              <w:pStyle w:val="libFootnote0"/>
              <w:rPr>
                <w:rtl/>
              </w:rPr>
            </w:pPr>
            <w:r>
              <w:rPr>
                <w:rtl/>
              </w:rPr>
              <w:t xml:space="preserve">(8).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إنّ</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الزكاة والصدقة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لا يحابى » أي لا يعطى ، يقال : حاباه محاباة ، أي سامحه وأعطاه ، مأخوذ من حَبَوْتُهُ : إذا أعطيته ؛ من الحِباء وهو العطاء. راجع : </w:t>
      </w:r>
      <w:r w:rsidR="00992664" w:rsidRPr="00A722B1">
        <w:rPr>
          <w:rStyle w:val="libFootnoteBoldChar"/>
          <w:rtl/>
        </w:rPr>
        <w:t>لسان العرب</w:t>
      </w:r>
      <w:r w:rsidR="00992664" w:rsidRPr="00020424">
        <w:rPr>
          <w:rtl/>
        </w:rPr>
        <w:t xml:space="preserve"> ، ج 14 ، ص 163 ؛ </w:t>
      </w:r>
      <w:r w:rsidR="00992664" w:rsidRPr="00A722B1">
        <w:rPr>
          <w:rStyle w:val="libFootnoteBoldChar"/>
          <w:rtl/>
        </w:rPr>
        <w:t>المصباح المنير</w:t>
      </w:r>
      <w:r w:rsidR="00992664" w:rsidRPr="00020424">
        <w:rPr>
          <w:rtl/>
        </w:rPr>
        <w:t xml:space="preserve"> ، ص 120 ( حبا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لم يمنعها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أنّهما سيّان فيها ؛ لأنّها حقّ الله ، ليس للمعطي أن يؤثر بها قريبه ل</w:t>
      </w:r>
      <w:r w:rsidR="00CF7ADA">
        <w:rPr>
          <w:rtl/>
        </w:rPr>
        <w:t>قربه ، أو يمنع البعيد لبعده إل</w:t>
      </w:r>
      <w:r w:rsidR="00CF7ADA">
        <w:rPr>
          <w:rFonts w:hint="cs"/>
          <w:rtl/>
        </w:rPr>
        <w:t>ّ</w:t>
      </w:r>
      <w:r w:rsidR="00CF7ADA">
        <w:rPr>
          <w:rtl/>
        </w:rPr>
        <w:t>ا</w:t>
      </w:r>
      <w:r w:rsidR="00992664">
        <w:rPr>
          <w:rFonts w:hint="cs"/>
          <w:rtl/>
        </w:rPr>
        <w:t xml:space="preserve"> </w:t>
      </w:r>
      <w:r w:rsidR="00992664" w:rsidRPr="00020424">
        <w:rPr>
          <w:rtl/>
        </w:rPr>
        <w:t>أن يكون القريب أحقّ</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الوافي</w:t>
      </w:r>
      <w:r w:rsidR="00992664" w:rsidRPr="00020424">
        <w:rPr>
          <w:rtl/>
        </w:rPr>
        <w:t xml:space="preserve"> ، ج 10 ، ص 192 ، ح 9416 ؛ </w:t>
      </w:r>
      <w:r w:rsidR="00992664" w:rsidRPr="0012008A">
        <w:rPr>
          <w:rStyle w:val="libFootnoteBoldChar"/>
          <w:rtl/>
        </w:rPr>
        <w:t>الوسائل</w:t>
      </w:r>
      <w:r w:rsidR="00992664" w:rsidRPr="00020424">
        <w:rPr>
          <w:rtl/>
        </w:rPr>
        <w:t xml:space="preserve"> ، ج 9 ، ص 218 ، ح 11874.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577E83">
        <w:rPr>
          <w:rtl/>
        </w:rPr>
        <w:lastRenderedPageBreak/>
        <w:t>5902</w:t>
      </w:r>
      <w:r w:rsidRPr="001155DE">
        <w:rPr>
          <w:rStyle w:val="libBold2Char"/>
          <w:rtl/>
        </w:rPr>
        <w:t xml:space="preserve"> / 4.</w:t>
      </w:r>
      <w:r w:rsidRPr="00020424">
        <w:rPr>
          <w:rtl/>
          <w:lang w:bidi="fa-IR"/>
        </w:rPr>
        <w:t xml:space="preserve"> عَلِيُّ بْنُ إِبْرَاهِيمَ ، عَنْ أَبِيهِ ، عَنِ ابْنِ أَبِي عُمَيْرٍ ، عَنْ جَمِيلِ بْنِ دَرَّاجٍ ، عَنِ الْوَلِيدِ بْنِ صَبِيحٍ ، قَالَ :</w:t>
      </w:r>
    </w:p>
    <w:p w:rsidR="00992664" w:rsidRPr="00020424" w:rsidRDefault="00992664" w:rsidP="00992664">
      <w:pPr>
        <w:pStyle w:val="libNormal"/>
        <w:rPr>
          <w:rtl/>
          <w:lang w:bidi="fa-IR"/>
        </w:rPr>
      </w:pPr>
      <w:r w:rsidRPr="00020424">
        <w:rPr>
          <w:rtl/>
          <w:lang w:bidi="fa-IR"/>
        </w:rPr>
        <w:t xml:space="preserve">قَالَ لِي شِهَابُ بْنُ عَبْدِ رَبِّهِ : أَقْرِئْ أَبَا عَبْدِ اللهِ </w:t>
      </w:r>
      <w:r w:rsidRPr="00005A81">
        <w:rPr>
          <w:rStyle w:val="libAlaemChar"/>
          <w:rtl/>
        </w:rPr>
        <w:t>عليه‌السلام</w:t>
      </w:r>
      <w:r w:rsidRPr="00020424">
        <w:rPr>
          <w:rtl/>
          <w:lang w:bidi="fa-IR"/>
        </w:rPr>
        <w:t xml:space="preserve"> عَنِّي السَّلَامَ ، وَأَعْلِمْهُ أَنَّهُ يُصِيبُنِي فَزَعٌ فِي مَنَامِي ، قَالَ : فَقُلْتُ لَهُ : إِنَّ شِهَاباً يُقْرِئُكَ السَّلَامَ ، وَيَقُولُ لَكَ : إِنَّهُ يُصِيبُنِي فَزَعٌ فِي مَنَامِي </w:t>
      </w:r>
      <w:r w:rsidRPr="00A91B96">
        <w:rPr>
          <w:rStyle w:val="libFootnotenumChar"/>
          <w:rtl/>
        </w:rPr>
        <w:t>(1)</w:t>
      </w:r>
      <w:r w:rsidR="007C29E7">
        <w:rPr>
          <w:rFonts w:hint="cs"/>
          <w:rtl/>
          <w:lang w:bidi="fa-IR"/>
        </w:rPr>
        <w:t>.</w:t>
      </w:r>
    </w:p>
    <w:p w:rsidR="00992664" w:rsidRPr="00020424" w:rsidRDefault="00992664" w:rsidP="00992664">
      <w:pPr>
        <w:pStyle w:val="libNormal"/>
        <w:rPr>
          <w:rtl/>
          <w:lang w:bidi="fa-IR"/>
        </w:rPr>
      </w:pPr>
      <w:r w:rsidRPr="00020424">
        <w:rPr>
          <w:rtl/>
          <w:lang w:bidi="fa-IR"/>
        </w:rPr>
        <w:t>قَالَ : « قُلْ لَهُ ، فَلْيُزَكِّ مَالَهُ</w:t>
      </w:r>
      <w:r>
        <w:rPr>
          <w:rtl/>
          <w:lang w:bidi="fa-IR"/>
        </w:rPr>
        <w:t xml:space="preserve"> ».</w:t>
      </w:r>
    </w:p>
    <w:p w:rsidR="00992664" w:rsidRPr="00020424" w:rsidRDefault="00992664" w:rsidP="00992664">
      <w:pPr>
        <w:pStyle w:val="libNormal"/>
        <w:rPr>
          <w:rtl/>
          <w:lang w:bidi="fa-IR"/>
        </w:rPr>
      </w:pPr>
      <w:r w:rsidRPr="00020424">
        <w:rPr>
          <w:rtl/>
          <w:lang w:bidi="fa-IR"/>
        </w:rPr>
        <w:t>قَالَ : فَأَبْلَغْتُ شِهَاباً ذلِكَ ، فَقَالَ لِي : فَتُبْلِغُهُ عَنِّي</w:t>
      </w:r>
      <w:r>
        <w:rPr>
          <w:rtl/>
          <w:lang w:bidi="fa-IR"/>
        </w:rPr>
        <w:t>؟</w:t>
      </w:r>
      <w:r w:rsidRPr="00020424">
        <w:rPr>
          <w:rtl/>
          <w:lang w:bidi="fa-IR"/>
        </w:rPr>
        <w:t xml:space="preserve"> فَقُلْتُ : نَعَمْ </w:t>
      </w:r>
      <w:r w:rsidRPr="00A91B96">
        <w:rPr>
          <w:rStyle w:val="libFootnotenumChar"/>
          <w:rtl/>
        </w:rPr>
        <w:t>(2)</w:t>
      </w:r>
      <w:r w:rsidRPr="00020424">
        <w:rPr>
          <w:rtl/>
          <w:lang w:bidi="fa-IR"/>
        </w:rPr>
        <w:t xml:space="preserve"> ، فَقَالَ : قُلْ </w:t>
      </w:r>
      <w:r w:rsidRPr="00A91B96">
        <w:rPr>
          <w:rStyle w:val="libFootnotenumChar"/>
          <w:rtl/>
        </w:rPr>
        <w:t>(3)</w:t>
      </w:r>
      <w:r w:rsidRPr="00020424">
        <w:rPr>
          <w:rtl/>
          <w:lang w:bidi="fa-IR"/>
        </w:rPr>
        <w:t xml:space="preserve"> لَهُ : إِنَّ الصِّبْيَانَ</w:t>
      </w:r>
      <w:r>
        <w:rPr>
          <w:rtl/>
          <w:lang w:bidi="fa-IR"/>
        </w:rPr>
        <w:t xml:space="preserve"> </w:t>
      </w:r>
      <w:r w:rsidR="009B673F">
        <w:rPr>
          <w:rtl/>
          <w:lang w:bidi="fa-IR"/>
        </w:rPr>
        <w:t>-</w:t>
      </w:r>
      <w:r>
        <w:rPr>
          <w:rtl/>
          <w:lang w:bidi="fa-IR"/>
        </w:rPr>
        <w:t xml:space="preserve"> </w:t>
      </w:r>
      <w:r w:rsidRPr="00020424">
        <w:rPr>
          <w:rtl/>
          <w:lang w:bidi="fa-IR"/>
        </w:rPr>
        <w:t>فَضْلاً عَنِ الرِّجَالِ</w:t>
      </w:r>
      <w:r>
        <w:rPr>
          <w:rtl/>
          <w:lang w:bidi="fa-IR"/>
        </w:rPr>
        <w:t xml:space="preserve"> </w:t>
      </w:r>
      <w:r w:rsidR="009B673F">
        <w:rPr>
          <w:rtl/>
          <w:lang w:bidi="fa-IR"/>
        </w:rPr>
        <w:t>-</w:t>
      </w:r>
      <w:r>
        <w:rPr>
          <w:rtl/>
          <w:lang w:bidi="fa-IR"/>
        </w:rPr>
        <w:t xml:space="preserve"> </w:t>
      </w:r>
      <w:r w:rsidRPr="00020424">
        <w:rPr>
          <w:rtl/>
          <w:lang w:bidi="fa-IR"/>
        </w:rPr>
        <w:t>لَيَعْلَمُونَ أَنِّي أُزَكِّي مَالِي.</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فَأَبْلَغْتُهُ ، فَقَالَ أَبُو عَبْدِ اللهِ </w:t>
      </w:r>
      <w:r w:rsidRPr="00005A81">
        <w:rPr>
          <w:rStyle w:val="libAlaemChar"/>
          <w:rtl/>
        </w:rPr>
        <w:t>عليه‌السلام</w:t>
      </w:r>
      <w:r w:rsidRPr="00020424">
        <w:rPr>
          <w:rtl/>
          <w:lang w:bidi="fa-IR"/>
        </w:rPr>
        <w:t xml:space="preserve"> : « قُلْ لَهُ </w:t>
      </w:r>
      <w:r w:rsidRPr="00A91B96">
        <w:rPr>
          <w:rStyle w:val="libFootnotenumChar"/>
          <w:rtl/>
        </w:rPr>
        <w:t>(5)</w:t>
      </w:r>
      <w:r w:rsidRPr="00020424">
        <w:rPr>
          <w:rtl/>
          <w:lang w:bidi="fa-IR"/>
        </w:rPr>
        <w:t xml:space="preserve"> : إِنَّكَ تُخْرِجُهَا ، وَلَاتَضَعُهَا </w:t>
      </w:r>
      <w:r w:rsidRPr="00A91B96">
        <w:rPr>
          <w:rStyle w:val="libFootnotenumChar"/>
          <w:rtl/>
        </w:rPr>
        <w:t>(6)</w:t>
      </w:r>
      <w:r w:rsidRPr="00020424">
        <w:rPr>
          <w:rtl/>
          <w:lang w:bidi="fa-IR"/>
        </w:rPr>
        <w:t xml:space="preserve"> فِي </w:t>
      </w:r>
      <w:r w:rsidRPr="00A91B96">
        <w:rPr>
          <w:rStyle w:val="libFootnotenumChar"/>
          <w:rtl/>
        </w:rPr>
        <w:t>(7)</w:t>
      </w:r>
      <w:r w:rsidRPr="00020424">
        <w:rPr>
          <w:rtl/>
          <w:lang w:bidi="fa-IR"/>
        </w:rPr>
        <w:t xml:space="preserve"> مَوَاضِعِهَا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p>
    <w:p w:rsidR="00992664" w:rsidRPr="00020424" w:rsidRDefault="00992664" w:rsidP="00992664">
      <w:pPr>
        <w:pStyle w:val="libNormal"/>
        <w:rPr>
          <w:rtl/>
          <w:lang w:bidi="fa-IR"/>
        </w:rPr>
      </w:pPr>
      <w:r w:rsidRPr="00577E83">
        <w:rPr>
          <w:rtl/>
        </w:rPr>
        <w:t>5903</w:t>
      </w:r>
      <w:r w:rsidRPr="001155DE">
        <w:rPr>
          <w:rStyle w:val="libBold2Char"/>
          <w:rtl/>
        </w:rPr>
        <w:t xml:space="preserve"> / 5.</w:t>
      </w:r>
      <w:r w:rsidRPr="00020424">
        <w:rPr>
          <w:rtl/>
          <w:lang w:bidi="fa-IR"/>
        </w:rPr>
        <w:t xml:space="preserve"> عَلِيُّ بْنُ إِبْرَاهِيمَ </w:t>
      </w:r>
      <w:r w:rsidRPr="00A91B96">
        <w:rPr>
          <w:rStyle w:val="libFootnotenumChar"/>
          <w:rtl/>
        </w:rPr>
        <w:t>(10)</w:t>
      </w:r>
      <w:r w:rsidRPr="00020424">
        <w:rPr>
          <w:rtl/>
          <w:lang w:bidi="fa-IR"/>
        </w:rPr>
        <w:t xml:space="preserve"> ، عَنْ أَبِيهِ ، عَنِ ابْنِ أَبِي عُمَيْرٍ ، عَنِ ابْنِ أُذَيْنَةَ ، قَالَ :</w:t>
      </w:r>
    </w:p>
    <w:p w:rsidR="00992664" w:rsidRPr="00020424" w:rsidRDefault="00992664" w:rsidP="00992664">
      <w:pPr>
        <w:pStyle w:val="libNormal"/>
        <w:rPr>
          <w:rtl/>
          <w:lang w:bidi="fa-IR"/>
        </w:rPr>
      </w:pPr>
      <w:r w:rsidRPr="00020424">
        <w:rPr>
          <w:rtl/>
          <w:lang w:bidi="fa-IR"/>
        </w:rPr>
        <w:t xml:space="preserve">كَتَبَ إِلَيَّ أَبُو عَبْدِ اللهِ </w:t>
      </w:r>
      <w:r w:rsidRPr="00005A81">
        <w:rPr>
          <w:rStyle w:val="libAlaemChar"/>
          <w:rtl/>
        </w:rPr>
        <w:t>عليه‌السلام</w:t>
      </w:r>
      <w:r w:rsidRPr="00020424">
        <w:rPr>
          <w:rtl/>
          <w:lang w:bidi="fa-IR"/>
        </w:rPr>
        <w:t xml:space="preserve"> : « أَنَّ كُلَّ عَمَلٍ عَمِلَهُ النَّاصِبُ </w:t>
      </w:r>
      <w:r w:rsidRPr="00A91B96">
        <w:rPr>
          <w:rStyle w:val="libFootnotenumChar"/>
          <w:rtl/>
        </w:rPr>
        <w:t>(11)</w:t>
      </w:r>
      <w:r w:rsidRPr="00020424">
        <w:rPr>
          <w:rtl/>
          <w:lang w:bidi="fa-IR"/>
        </w:rPr>
        <w:t xml:space="preserve"> فِي حَالِ ضَلَالِهِ ، أَوْ حَالِ‌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إنّه يصيبه فزع في منامه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فقال لي : فتبلغه عنّي</w:t>
      </w:r>
      <w:r w:rsidR="00992664">
        <w:rPr>
          <w:rtl/>
        </w:rPr>
        <w:t>؟</w:t>
      </w:r>
      <w:r w:rsidR="00992664" w:rsidRPr="00020424">
        <w:rPr>
          <w:rtl/>
        </w:rPr>
        <w:t xml:space="preserve"> فقلت : نعم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11BB6" w:rsidTr="00411BB6">
        <w:tc>
          <w:tcPr>
            <w:tcW w:w="4006" w:type="dxa"/>
          </w:tcPr>
          <w:p w:rsidR="00411BB6" w:rsidRDefault="00411BB6" w:rsidP="00992664">
            <w:pPr>
              <w:pStyle w:val="libFootnote0"/>
              <w:rPr>
                <w:rtl/>
              </w:rPr>
            </w:pPr>
            <w:r>
              <w:rPr>
                <w:rtl/>
              </w:rPr>
              <w:t xml:space="preserve">(3). </w:t>
            </w:r>
            <w:r w:rsidRPr="00020424">
              <w:rPr>
                <w:rtl/>
              </w:rPr>
              <w:t>في « بخ ، جن » : « فقل</w:t>
            </w:r>
            <w:r>
              <w:rPr>
                <w:rtl/>
              </w:rPr>
              <w:t xml:space="preserve"> ».</w:t>
            </w:r>
          </w:p>
        </w:tc>
        <w:tc>
          <w:tcPr>
            <w:tcW w:w="4006" w:type="dxa"/>
          </w:tcPr>
          <w:p w:rsidR="00411BB6" w:rsidRDefault="00411BB6" w:rsidP="00992664">
            <w:pPr>
              <w:pStyle w:val="libFootnote0"/>
              <w:rPr>
                <w:rtl/>
              </w:rPr>
            </w:pPr>
            <w:r>
              <w:rPr>
                <w:rtl/>
              </w:rPr>
              <w:t xml:space="preserve">(4). </w:t>
            </w:r>
            <w:r w:rsidRPr="00020424">
              <w:rPr>
                <w:rtl/>
              </w:rPr>
              <w:t xml:space="preserve">في « بخ ، بر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ولا تضع</w:t>
      </w:r>
      <w:r w:rsidR="00992664">
        <w:rPr>
          <w:rtl/>
        </w:rPr>
        <w:t xml:space="preserve"> ».</w:t>
      </w:r>
      <w:r w:rsidR="00992664" w:rsidRPr="00020424">
        <w:rPr>
          <w:rtl/>
        </w:rPr>
        <w:t xml:space="preserve"> وفي « بخ ، بر ، بف » : « فلا تضعها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C37A6" w:rsidTr="00EC37A6">
        <w:tc>
          <w:tcPr>
            <w:tcW w:w="4006" w:type="dxa"/>
          </w:tcPr>
          <w:p w:rsidR="00EC37A6" w:rsidRDefault="00EC37A6" w:rsidP="00992664">
            <w:pPr>
              <w:pStyle w:val="libFootnote0"/>
              <w:rPr>
                <w:rtl/>
              </w:rPr>
            </w:pPr>
            <w:r>
              <w:rPr>
                <w:rtl/>
              </w:rPr>
              <w:t xml:space="preserve">(7). </w:t>
            </w:r>
            <w:r w:rsidRPr="00020424">
              <w:rPr>
                <w:rtl/>
              </w:rPr>
              <w:t xml:space="preserve">في « بر ، بف »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w:t>
            </w:r>
            <w:r>
              <w:rPr>
                <w:rtl/>
              </w:rPr>
              <w:t xml:space="preserve"> - </w:t>
            </w:r>
            <w:r w:rsidRPr="00020424">
              <w:rPr>
                <w:rtl/>
              </w:rPr>
              <w:t>« في</w:t>
            </w:r>
            <w:r>
              <w:rPr>
                <w:rtl/>
              </w:rPr>
              <w:t xml:space="preserve"> ».</w:t>
            </w:r>
          </w:p>
        </w:tc>
        <w:tc>
          <w:tcPr>
            <w:tcW w:w="4006" w:type="dxa"/>
          </w:tcPr>
          <w:p w:rsidR="00EC37A6" w:rsidRDefault="00EC37A6" w:rsidP="00992664">
            <w:pPr>
              <w:pStyle w:val="libFootnote0"/>
              <w:rPr>
                <w:rtl/>
              </w:rPr>
            </w:pPr>
            <w:r>
              <w:rPr>
                <w:rtl/>
              </w:rPr>
              <w:t xml:space="preserve">(8). </w:t>
            </w:r>
            <w:r w:rsidRPr="00020424">
              <w:rPr>
                <w:rtl/>
              </w:rPr>
              <w:t>في « ى » : « موضعها</w:t>
            </w:r>
            <w:r>
              <w:rPr>
                <w:rtl/>
              </w:rPr>
              <w:t xml:space="preserve"> ».</w:t>
            </w:r>
          </w:p>
        </w:tc>
      </w:tr>
    </w:tbl>
    <w:p w:rsidR="00992664" w:rsidRPr="00020424" w:rsidRDefault="00795177" w:rsidP="006F597A">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52 ، ح 136 ، معلّقاً عن عليّ بن إبراهيم</w:t>
      </w:r>
      <w:r w:rsidR="006F597A">
        <w:rPr>
          <w:rFonts w:hint="cs"/>
          <w:rtl/>
        </w:rPr>
        <w:t>.</w:t>
      </w:r>
      <w:r w:rsidR="00992664" w:rsidRPr="0012008A">
        <w:rPr>
          <w:rStyle w:val="libFootnoteBoldChar"/>
          <w:rtl/>
        </w:rPr>
        <w:t>الوافي</w:t>
      </w:r>
      <w:r w:rsidR="00992664" w:rsidRPr="00020424">
        <w:rPr>
          <w:rtl/>
        </w:rPr>
        <w:t xml:space="preserve"> ، ج 10 ، ص 191 ، ح 9413 ؛ </w:t>
      </w:r>
      <w:r w:rsidR="00992664" w:rsidRPr="0012008A">
        <w:rPr>
          <w:rStyle w:val="libFootnoteBoldChar"/>
          <w:rtl/>
        </w:rPr>
        <w:t>الوسائل</w:t>
      </w:r>
      <w:r w:rsidR="00992664" w:rsidRPr="00020424">
        <w:rPr>
          <w:rtl/>
        </w:rPr>
        <w:t xml:space="preserve"> ، ج 9 ، ص 217 ، ح 11873 ، من قوله : « قال : قلت له : إنّ شهاباً يقرئك السلام » ؛ </w:t>
      </w:r>
      <w:r w:rsidR="00992664" w:rsidRPr="0012008A">
        <w:rPr>
          <w:rStyle w:val="libFootnoteBoldChar"/>
          <w:rtl/>
        </w:rPr>
        <w:t>البحار</w:t>
      </w:r>
      <w:r w:rsidR="00992664" w:rsidRPr="00020424">
        <w:rPr>
          <w:rtl/>
        </w:rPr>
        <w:t xml:space="preserve"> ، ج 47 ، ص 364 ، ح 79.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الناصب » : هو الذي يتظاهر بعداوة أهل البيت </w:t>
      </w:r>
      <w:r w:rsidR="00992664" w:rsidRPr="00D64ADA">
        <w:rPr>
          <w:rStyle w:val="libFootnoteAlaemChar"/>
          <w:rtl/>
        </w:rPr>
        <w:t>عليهم‌السلام</w:t>
      </w:r>
      <w:r w:rsidR="00992664" w:rsidRPr="00020424">
        <w:rPr>
          <w:rtl/>
        </w:rPr>
        <w:t xml:space="preserve"> ، أو لمواليهم لأجل متابعتهم لهم ؛ من النصب بمعنى‌المعاداة ، يقال : نصب فلان لفلان نصباً ، أي عاداه. وقال صاحب </w:t>
      </w:r>
      <w:r w:rsidR="00992664" w:rsidRPr="00577E83">
        <w:rPr>
          <w:rtl/>
        </w:rPr>
        <w:t>القاموس</w:t>
      </w:r>
      <w:r w:rsidR="00992664" w:rsidRPr="00020424">
        <w:rPr>
          <w:rtl/>
        </w:rPr>
        <w:t xml:space="preserve"> : « النواصب والناصبيّة وأهل النصب : </w:t>
      </w:r>
      <w:r w:rsidR="00D035B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Poem"/>
        <w:rPr>
          <w:rtl/>
          <w:lang w:bidi="fa-IR"/>
        </w:rPr>
      </w:pPr>
      <w:r w:rsidRPr="00020424">
        <w:rPr>
          <w:rtl/>
          <w:lang w:bidi="fa-IR"/>
        </w:rPr>
        <w:lastRenderedPageBreak/>
        <w:t xml:space="preserve">نَصْبِهِ ، ثُمَّ مَنَّ اللهُ عَلَيْهِ ، وَعَرَّفَهُ هذَا الْأَمْرَ </w:t>
      </w:r>
      <w:r w:rsidRPr="00A91B96">
        <w:rPr>
          <w:rStyle w:val="libFootnotenumChar"/>
          <w:rtl/>
        </w:rPr>
        <w:t>(1)</w:t>
      </w:r>
      <w:r w:rsidRPr="00020424">
        <w:rPr>
          <w:rtl/>
          <w:lang w:bidi="fa-IR"/>
        </w:rPr>
        <w:t xml:space="preserve"> ، فَإِنَّهُ يُؤْجَرُ عَلَيْهِ وَيُكْتَبُ لَهُ </w:t>
      </w:r>
      <w:r w:rsidRPr="00A91B96">
        <w:rPr>
          <w:rStyle w:val="libFootnotenumChar"/>
          <w:rtl/>
        </w:rPr>
        <w:t>(2)</w:t>
      </w:r>
      <w:r w:rsidR="00353D86">
        <w:rPr>
          <w:rtl/>
          <w:lang w:bidi="fa-IR"/>
        </w:rPr>
        <w:t xml:space="preserve"> إِل</w:t>
      </w:r>
      <w:r w:rsidR="00353D86">
        <w:rPr>
          <w:rFonts w:hint="cs"/>
          <w:rtl/>
          <w:lang w:bidi="fa-IR"/>
        </w:rPr>
        <w:t>َّ</w:t>
      </w:r>
      <w:r w:rsidR="00353D86">
        <w:rPr>
          <w:rtl/>
          <w:lang w:bidi="fa-IR"/>
        </w:rPr>
        <w:t>ا</w:t>
      </w:r>
      <w:r w:rsidRPr="00020424">
        <w:rPr>
          <w:rtl/>
          <w:lang w:bidi="fa-IR"/>
        </w:rPr>
        <w:t xml:space="preserve"> الزَّكَاةَ ، فَإِنَّهُ يُعِيدُهَا ؛ لِأَنَّهُ وَضَعَهَا فِي غَيْرِ مَوْضِعِهَا ، وَإِنَّمَا مَوْضِعُهَا أَهْلُ الْوَلَايَةِ ، وَأَمَّا الصَّلَاةُ وَالصَّوْمُ </w:t>
      </w:r>
      <w:r w:rsidRPr="00A91B96">
        <w:rPr>
          <w:rStyle w:val="libFootnotenumChar"/>
          <w:rtl/>
        </w:rPr>
        <w:t>(3)</w:t>
      </w:r>
      <w:r w:rsidRPr="00020424">
        <w:rPr>
          <w:rtl/>
          <w:lang w:bidi="fa-IR"/>
        </w:rPr>
        <w:t xml:space="preserve"> ، فَلَيْسَ عَلَيْهِ قَضَاؤُهُمَا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577E83">
        <w:rPr>
          <w:rtl/>
        </w:rPr>
        <w:t>5904</w:t>
      </w:r>
      <w:r w:rsidRPr="001155DE">
        <w:rPr>
          <w:rStyle w:val="libBold2Char"/>
          <w:rtl/>
        </w:rPr>
        <w:t xml:space="preserve"> / 6.</w:t>
      </w:r>
      <w:r w:rsidRPr="00020424">
        <w:rPr>
          <w:rtl/>
          <w:lang w:bidi="fa-IR"/>
        </w:rPr>
        <w:t xml:space="preserve"> عِدَّةٌ مِنْ أَصْحَابِنَا ، عَنْ أَحْمَدَ بْنِ مُحَمَّدٍ ، عَنْ إِسْمَاعِيلَ بْنِ سَعْدٍ الْأَشْعَرِيِّ :</w:t>
      </w:r>
    </w:p>
    <w:p w:rsidR="00992664" w:rsidRPr="00020424" w:rsidRDefault="00992664" w:rsidP="00992664">
      <w:pPr>
        <w:pStyle w:val="libNormal"/>
        <w:rPr>
          <w:rtl/>
          <w:lang w:bidi="fa-IR"/>
        </w:rPr>
      </w:pPr>
      <w:r w:rsidRPr="00020424">
        <w:rPr>
          <w:rtl/>
          <w:lang w:bidi="fa-IR"/>
        </w:rPr>
        <w:t xml:space="preserve">عَنِ الرِّضَا </w:t>
      </w:r>
      <w:r w:rsidRPr="00005A81">
        <w:rPr>
          <w:rStyle w:val="libAlaemChar"/>
          <w:rtl/>
        </w:rPr>
        <w:t>عليه‌السلام</w:t>
      </w:r>
      <w:r w:rsidRPr="00020424">
        <w:rPr>
          <w:rtl/>
          <w:lang w:bidi="fa-IR"/>
        </w:rPr>
        <w:t xml:space="preserve"> ، قَالَ : سَأَلْتُهُ عَنِ الزَّكَاةِ : هَلْ تُوضَعُ </w:t>
      </w:r>
      <w:r w:rsidRPr="00A91B96">
        <w:rPr>
          <w:rStyle w:val="libFootnotenumChar"/>
          <w:rtl/>
        </w:rPr>
        <w:t>(5)</w:t>
      </w:r>
      <w:r w:rsidRPr="00020424">
        <w:rPr>
          <w:rtl/>
          <w:lang w:bidi="fa-IR"/>
        </w:rPr>
        <w:t xml:space="preserve"> فِيمَنْ لَايَعْرِفُ</w:t>
      </w:r>
      <w:r>
        <w:rPr>
          <w:rtl/>
          <w:lang w:bidi="fa-IR"/>
        </w:rPr>
        <w:t>؟</w:t>
      </w:r>
    </w:p>
    <w:p w:rsidR="00992664" w:rsidRPr="00020424" w:rsidRDefault="00992664" w:rsidP="00992664">
      <w:pPr>
        <w:pStyle w:val="libNormal"/>
        <w:rPr>
          <w:rtl/>
          <w:lang w:bidi="fa-IR"/>
        </w:rPr>
      </w:pPr>
      <w:r w:rsidRPr="00020424">
        <w:rPr>
          <w:rtl/>
          <w:lang w:bidi="fa-IR"/>
        </w:rPr>
        <w:t xml:space="preserve">قَالَ : « لَا ، وَلَازَكَاةُ الْفِطْرَةِ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99" w:name="_Toc345172749"/>
      <w:bookmarkStart w:id="100" w:name="_Toc464562566"/>
      <w:bookmarkStart w:id="101" w:name="_Toc44599869"/>
      <w:r w:rsidRPr="00020424">
        <w:rPr>
          <w:rtl/>
          <w:lang w:bidi="fa-IR"/>
        </w:rPr>
        <w:t>29</w:t>
      </w:r>
      <w:r>
        <w:rPr>
          <w:rtl/>
          <w:lang w:bidi="fa-IR"/>
        </w:rPr>
        <w:t xml:space="preserve"> </w:t>
      </w:r>
      <w:r w:rsidR="009B673F">
        <w:rPr>
          <w:rtl/>
          <w:lang w:bidi="fa-IR"/>
        </w:rPr>
        <w:t>-</w:t>
      </w:r>
      <w:r>
        <w:rPr>
          <w:rtl/>
          <w:lang w:bidi="fa-IR"/>
        </w:rPr>
        <w:t xml:space="preserve"> </w:t>
      </w:r>
      <w:r w:rsidRPr="00020424">
        <w:rPr>
          <w:rtl/>
          <w:lang w:bidi="fa-IR"/>
        </w:rPr>
        <w:t>بَابُ قَضَاءِ الزَّكَاةِ عَنِ الْمَيِّتِ‌</w:t>
      </w:r>
      <w:bookmarkEnd w:id="99"/>
      <w:bookmarkEnd w:id="100"/>
      <w:bookmarkEnd w:id="101"/>
    </w:p>
    <w:p w:rsidR="00992664" w:rsidRPr="00020424" w:rsidRDefault="00992664" w:rsidP="00992664">
      <w:pPr>
        <w:pStyle w:val="libNormal"/>
        <w:rPr>
          <w:rtl/>
          <w:lang w:bidi="fa-IR"/>
        </w:rPr>
      </w:pPr>
      <w:r w:rsidRPr="00577E83">
        <w:rPr>
          <w:rtl/>
        </w:rPr>
        <w:t>5905</w:t>
      </w:r>
      <w:r w:rsidRPr="001155DE">
        <w:rPr>
          <w:rStyle w:val="libBold2Char"/>
          <w:rtl/>
        </w:rPr>
        <w:t xml:space="preserve"> / 1.</w:t>
      </w:r>
      <w:r w:rsidRPr="00020424">
        <w:rPr>
          <w:rtl/>
          <w:lang w:bidi="fa-IR"/>
        </w:rPr>
        <w:t xml:space="preserve"> مُحَمَّدُ بْنُ يَحْيى ، عَنْ أَحْمَدَ بْنِ مُحَمَّدِ </w:t>
      </w:r>
      <w:r w:rsidRPr="00A91B96">
        <w:rPr>
          <w:rStyle w:val="libFootnotenumChar"/>
          <w:rtl/>
        </w:rPr>
        <w:t>(8)</w:t>
      </w:r>
      <w:r w:rsidRPr="00020424">
        <w:rPr>
          <w:rtl/>
          <w:lang w:bidi="fa-IR"/>
        </w:rPr>
        <w:t xml:space="preserve"> بْنِ عِيسى ، عَنِ الْحَسَنِ </w:t>
      </w:r>
      <w:r w:rsidRPr="00A91B96">
        <w:rPr>
          <w:rStyle w:val="libFootnotenumChar"/>
          <w:rtl/>
        </w:rPr>
        <w:t>(9)</w:t>
      </w:r>
      <w:r w:rsidRPr="00020424">
        <w:rPr>
          <w:rtl/>
          <w:lang w:bidi="fa-IR"/>
        </w:rPr>
        <w:t xml:space="preserve"> بْنِ‌</w:t>
      </w:r>
    </w:p>
    <w:p w:rsidR="00992664" w:rsidRPr="00020424" w:rsidRDefault="00992664" w:rsidP="00992664">
      <w:pPr>
        <w:pStyle w:val="libLine"/>
        <w:rPr>
          <w:rtl/>
          <w:lang w:bidi="fa-IR"/>
        </w:rPr>
      </w:pPr>
      <w:r w:rsidRPr="00020424">
        <w:rPr>
          <w:rtl/>
          <w:lang w:bidi="fa-IR"/>
        </w:rPr>
        <w:t>__________________</w:t>
      </w:r>
    </w:p>
    <w:p w:rsidR="00992664" w:rsidRPr="00020424" w:rsidRDefault="00087E9C" w:rsidP="00C31FB6">
      <w:pPr>
        <w:pStyle w:val="libFootnote0"/>
        <w:rPr>
          <w:rtl/>
          <w:lang w:bidi="fa-IR"/>
        </w:rPr>
      </w:pPr>
      <w:r>
        <w:rPr>
          <w:rFonts w:hint="cs"/>
          <w:rtl/>
        </w:rPr>
        <w:t xml:space="preserve">= </w:t>
      </w:r>
      <w:r w:rsidR="00992664" w:rsidRPr="00020424">
        <w:rPr>
          <w:rtl/>
        </w:rPr>
        <w:t xml:space="preserve">المتديّنون بِبغْضَة عليّ </w:t>
      </w:r>
      <w:r w:rsidR="006F057A">
        <w:rPr>
          <w:rFonts w:hint="cs"/>
          <w:rtl/>
        </w:rPr>
        <w:t xml:space="preserve">رضي الله عنه </w:t>
      </w:r>
      <w:r w:rsidR="00992664" w:rsidRPr="00020424">
        <w:rPr>
          <w:rtl/>
        </w:rPr>
        <w:t>؛ لأنّهم نصبوا له ، أي عادوْه</w:t>
      </w:r>
      <w:r w:rsidR="00992664">
        <w:rPr>
          <w:rtl/>
        </w:rPr>
        <w:t xml:space="preserve"> ».</w:t>
      </w:r>
      <w:r w:rsidR="00992664" w:rsidRPr="00020424">
        <w:rPr>
          <w:rtl/>
        </w:rPr>
        <w:t xml:space="preserve"> راجع : </w:t>
      </w:r>
      <w:r w:rsidR="00992664" w:rsidRPr="00A722B1">
        <w:rPr>
          <w:rStyle w:val="libFootnoteBoldChar"/>
          <w:rtl/>
        </w:rPr>
        <w:t>القاموس المحيط</w:t>
      </w:r>
      <w:r w:rsidR="00992664" w:rsidRPr="00020424">
        <w:rPr>
          <w:rtl/>
        </w:rPr>
        <w:t xml:space="preserve"> ، ج 1 ، ص 230 ؛ </w:t>
      </w:r>
      <w:r w:rsidR="00992664" w:rsidRPr="00C31FB6">
        <w:rPr>
          <w:rStyle w:val="libFootnoteBoldChar"/>
          <w:rtl/>
        </w:rPr>
        <w:t>مجمع البحرين</w:t>
      </w:r>
      <w:r w:rsidR="00992664" w:rsidRPr="00020424">
        <w:rPr>
          <w:rtl/>
        </w:rPr>
        <w:t xml:space="preserve"> ، ج 2 ، ص 173 ( نصب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C31FB6">
        <w:rPr>
          <w:rtl/>
        </w:rPr>
        <w:t xml:space="preserve">التهذيب </w:t>
      </w:r>
      <w:r w:rsidR="00992664" w:rsidRPr="00FD6221">
        <w:rPr>
          <w:rStyle w:val="libFootnoteBoldChar"/>
          <w:rtl/>
        </w:rPr>
        <w:t>والاستبصار</w:t>
      </w:r>
      <w:r w:rsidR="00992664" w:rsidRPr="00020424">
        <w:rPr>
          <w:rtl/>
        </w:rPr>
        <w:t xml:space="preserve"> : « الولاية » بدل « هذا الأمر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C31FB6">
        <w:rP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ويكتب 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C31FB6">
        <w:rP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وأمّا الصلاة والحجّ والصيام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5 ، ص 9 ، ذيل ح 23 ؛ </w:t>
      </w:r>
      <w:r w:rsidR="00992664" w:rsidRPr="00FD6221">
        <w:rPr>
          <w:rStyle w:val="libFootnoteBoldChar"/>
          <w:rtl/>
        </w:rPr>
        <w:t>والاستبصار</w:t>
      </w:r>
      <w:r w:rsidR="00992664" w:rsidRPr="00020424">
        <w:rPr>
          <w:rtl/>
        </w:rPr>
        <w:t xml:space="preserve"> ، ج 2 ، ص 145 ، ذيل ح 472 ، معلّقاً عن موسى بن القاسم ، عن صفوان وابن أبي عمير ، عن عمر بن ا</w:t>
      </w:r>
      <w:r w:rsidR="00C31FB6">
        <w:rPr>
          <w:rFonts w:hint="cs"/>
          <w:rtl/>
        </w:rPr>
        <w:t>ُ</w:t>
      </w:r>
      <w:r w:rsidR="00992664" w:rsidRPr="00020424">
        <w:rPr>
          <w:rtl/>
        </w:rPr>
        <w:t xml:space="preserve">ذينة ، عن بريد بن معاوية العجلي ، عن أبي عبدالله </w:t>
      </w:r>
      <w:r w:rsidR="00992664" w:rsidRPr="00D64ADA">
        <w:rPr>
          <w:rStyle w:val="libFootnoteAlaemChar"/>
          <w:rtl/>
        </w:rPr>
        <w:t>عليه‌السلام</w:t>
      </w:r>
      <w:r w:rsidR="00992664" w:rsidRPr="00020424">
        <w:rPr>
          <w:rtl/>
        </w:rPr>
        <w:t xml:space="preserve"> ، مع اختلاف يسير </w:t>
      </w:r>
      <w:r w:rsidR="00C31FB6">
        <w:rPr>
          <w:rFonts w:hint="cs"/>
          <w:rtl/>
        </w:rPr>
        <w:t>.</w:t>
      </w:r>
      <w:r w:rsidR="00992664" w:rsidRPr="0012008A">
        <w:rPr>
          <w:rStyle w:val="libFootnoteBoldChar"/>
          <w:rtl/>
        </w:rPr>
        <w:t>الوافي</w:t>
      </w:r>
      <w:r w:rsidR="00992664" w:rsidRPr="00020424">
        <w:rPr>
          <w:rtl/>
        </w:rPr>
        <w:t xml:space="preserve"> ، ج 10 ، ص 191 ، ح 9412 ؛ </w:t>
      </w:r>
      <w:r w:rsidR="00992664" w:rsidRPr="0012008A">
        <w:rPr>
          <w:rStyle w:val="libFootnoteBoldChar"/>
          <w:rtl/>
        </w:rPr>
        <w:t>الوسائل</w:t>
      </w:r>
      <w:r w:rsidR="00992664" w:rsidRPr="00020424">
        <w:rPr>
          <w:rtl/>
        </w:rPr>
        <w:t xml:space="preserve"> ، ج 1 ، ص 125 ، ذيل ح 317 ؛ وج 9 ، ص 217 ، ح 11872.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بح ، جن » : « يوضع</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بس » </w:t>
      </w:r>
      <w:r w:rsidR="00992664" w:rsidRPr="00515444">
        <w:rPr>
          <w:rStyle w:val="libFootnoteBoldChar"/>
          <w:rtl/>
        </w:rPr>
        <w:t>والوافي</w:t>
      </w:r>
      <w:r w:rsidR="00992664" w:rsidRPr="00020424">
        <w:rPr>
          <w:rtl/>
        </w:rPr>
        <w:t xml:space="preserve"> : « الفطر</w:t>
      </w:r>
      <w:r w:rsidR="00992664">
        <w:rPr>
          <w:rtl/>
        </w:rPr>
        <w:t xml:space="preserve"> ».</w:t>
      </w:r>
      <w:r w:rsidR="00992664" w:rsidRPr="00020424">
        <w:rPr>
          <w:rtl/>
        </w:rPr>
        <w:t xml:space="preserve"> لا خلاف بين الأصحاب في عدم جواز دفع زكاة المال إلى غير المؤمن ، وأمّا زكاة الفطرة فمختلف فيها كلام الأصحاب ، فذهب الأكثر إلى عدم جواز دفعها إلى غير المؤمن مطلقاً ، وذهب الشيخ وأتباعه إلى جواز دفعها مع عدم المؤمن إلى المستضعف ، وهو الذي لايعاند الحقّ من أهل الخلاف. راجع : </w:t>
      </w:r>
      <w:r w:rsidR="00992664" w:rsidRPr="0012008A">
        <w:rPr>
          <w:rStyle w:val="libFootnoteBoldChar"/>
          <w:rtl/>
        </w:rPr>
        <w:t>المقنعة</w:t>
      </w:r>
      <w:r w:rsidR="00992664" w:rsidRPr="00020424">
        <w:rPr>
          <w:rtl/>
        </w:rPr>
        <w:t xml:space="preserve"> ، ص 42 ؛ </w:t>
      </w:r>
      <w:r w:rsidR="00992664" w:rsidRPr="00C31FB6">
        <w:rPr>
          <w:rStyle w:val="libFootnoteBoldChar"/>
          <w:rtl/>
        </w:rPr>
        <w:t>الانتصار</w:t>
      </w:r>
      <w:r w:rsidR="00992664" w:rsidRPr="00020424">
        <w:rPr>
          <w:rtl/>
        </w:rPr>
        <w:t xml:space="preserve"> ، ص 82 ؛ </w:t>
      </w:r>
      <w:r w:rsidR="00992664" w:rsidRPr="0012008A">
        <w:rPr>
          <w:rStyle w:val="libFootnoteBoldChar"/>
          <w:rtl/>
        </w:rPr>
        <w:t>التهذيب</w:t>
      </w:r>
      <w:r w:rsidR="00992664" w:rsidRPr="00020424">
        <w:rPr>
          <w:rtl/>
        </w:rPr>
        <w:t xml:space="preserve"> ، ج 4 ، ص 88 ، ذيل ح 259 ؛ </w:t>
      </w:r>
      <w:r w:rsidR="00992664" w:rsidRPr="0012008A">
        <w:rPr>
          <w:rStyle w:val="libFootnoteBoldChar"/>
          <w:rtl/>
        </w:rPr>
        <w:t>النهاية</w:t>
      </w:r>
      <w:r w:rsidR="00992664" w:rsidRPr="00020424">
        <w:rPr>
          <w:rtl/>
        </w:rPr>
        <w:t xml:space="preserve"> ، ص 192 ؛ </w:t>
      </w:r>
      <w:r w:rsidR="00992664" w:rsidRPr="00C31FB6">
        <w:rPr>
          <w:rStyle w:val="libFootnoteBoldChar"/>
          <w:rtl/>
        </w:rPr>
        <w:t>المبسوط</w:t>
      </w:r>
      <w:r w:rsidR="00992664" w:rsidRPr="00020424">
        <w:rPr>
          <w:rtl/>
        </w:rPr>
        <w:t xml:space="preserve"> ، ج 1 ، ص 242 ؛ </w:t>
      </w:r>
      <w:r w:rsidR="00992664" w:rsidRPr="00577E83">
        <w:rPr>
          <w:rtl/>
        </w:rPr>
        <w:t>السرائر</w:t>
      </w:r>
      <w:r w:rsidR="00992664" w:rsidRPr="00020424">
        <w:rPr>
          <w:rtl/>
        </w:rPr>
        <w:t xml:space="preserve"> ، ج 1 ، ص 471 ؛ </w:t>
      </w:r>
      <w:r w:rsidR="00992664" w:rsidRPr="00577E83">
        <w:rPr>
          <w:rtl/>
        </w:rPr>
        <w:t>شرائع الإسلام</w:t>
      </w:r>
      <w:r w:rsidR="00992664" w:rsidRPr="00020424">
        <w:rPr>
          <w:rtl/>
        </w:rPr>
        <w:t xml:space="preserve"> ، ج 1 ، ص 471 ؛ </w:t>
      </w:r>
      <w:r w:rsidR="00992664" w:rsidRPr="00E57D58">
        <w:rPr>
          <w:rStyle w:val="libFootnoteBoldChar"/>
          <w:rtl/>
        </w:rPr>
        <w:t>مدارك الأحكام</w:t>
      </w:r>
      <w:r w:rsidR="00992664" w:rsidRPr="00020424">
        <w:rPr>
          <w:rtl/>
        </w:rPr>
        <w:t xml:space="preserve"> ، ج 5 ، ص 237</w:t>
      </w:r>
      <w:r w:rsidR="00992664">
        <w:rPr>
          <w:rtl/>
        </w:rPr>
        <w:t xml:space="preserve"> </w:t>
      </w:r>
      <w:r w:rsidR="009B673F">
        <w:rPr>
          <w:rtl/>
        </w:rPr>
        <w:t>-</w:t>
      </w:r>
      <w:r w:rsidR="00992664">
        <w:rPr>
          <w:rtl/>
        </w:rPr>
        <w:t xml:space="preserve"> </w:t>
      </w:r>
      <w:r w:rsidR="00992664" w:rsidRPr="00020424">
        <w:rPr>
          <w:rtl/>
        </w:rPr>
        <w:t>239.</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52 ، ح 137 ، معلّقاً عن الكليني. </w:t>
      </w:r>
      <w:r w:rsidR="00992664" w:rsidRPr="0012008A">
        <w:rPr>
          <w:rStyle w:val="libFootnoteBoldChar"/>
          <w:rtl/>
        </w:rPr>
        <w:t>المقنعة</w:t>
      </w:r>
      <w:r w:rsidR="00992664" w:rsidRPr="00020424">
        <w:rPr>
          <w:rtl/>
        </w:rPr>
        <w:t xml:space="preserve"> ، ص 242 ، مرسلاً عن إسماعيل بن سعد الأشعري </w:t>
      </w:r>
      <w:r w:rsidR="00C31FB6">
        <w:rPr>
          <w:rFonts w:hint="cs"/>
          <w:rtl/>
        </w:rPr>
        <w:t>.</w:t>
      </w:r>
      <w:r w:rsidR="00992664" w:rsidRPr="0012008A">
        <w:rPr>
          <w:rStyle w:val="libFootnoteBoldChar"/>
          <w:rtl/>
        </w:rPr>
        <w:t>الوافي</w:t>
      </w:r>
      <w:r w:rsidR="00992664" w:rsidRPr="00020424">
        <w:rPr>
          <w:rtl/>
        </w:rPr>
        <w:t xml:space="preserve"> ، ج 10 ، ص 187 ، ح 9403 ؛ </w:t>
      </w:r>
      <w:r w:rsidR="00992664" w:rsidRPr="0012008A">
        <w:rPr>
          <w:rStyle w:val="libFootnoteBoldChar"/>
          <w:rtl/>
        </w:rPr>
        <w:t>الوسائل</w:t>
      </w:r>
      <w:r w:rsidR="00992664" w:rsidRPr="00020424">
        <w:rPr>
          <w:rtl/>
        </w:rPr>
        <w:t xml:space="preserve"> ، ج 9 ، ص 221 ، ح 11880.</w:t>
      </w:r>
    </w:p>
    <w:tbl>
      <w:tblPr>
        <w:tblStyle w:val="TableGrid"/>
        <w:bidiVisual/>
        <w:tblW w:w="0" w:type="auto"/>
        <w:tblLook w:val="04A0" w:firstRow="1" w:lastRow="0" w:firstColumn="1" w:lastColumn="0" w:noHBand="0" w:noVBand="1"/>
      </w:tblPr>
      <w:tblGrid>
        <w:gridCol w:w="4006"/>
        <w:gridCol w:w="4006"/>
      </w:tblGrid>
      <w:tr w:rsidR="00C31FB6" w:rsidTr="00C31FB6">
        <w:tc>
          <w:tcPr>
            <w:tcW w:w="4006" w:type="dxa"/>
          </w:tcPr>
          <w:p w:rsidR="00C31FB6" w:rsidRDefault="00C31FB6" w:rsidP="00992664">
            <w:pPr>
              <w:pStyle w:val="libFootnote0"/>
              <w:rPr>
                <w:rtl/>
              </w:rPr>
            </w:pPr>
            <w:r>
              <w:rPr>
                <w:rtl/>
              </w:rPr>
              <w:t xml:space="preserve">(8). </w:t>
            </w:r>
            <w:r w:rsidRPr="00020424">
              <w:rPr>
                <w:rtl/>
              </w:rPr>
              <w:t>في « بر » :</w:t>
            </w:r>
            <w:r>
              <w:rPr>
                <w:rtl/>
              </w:rPr>
              <w:t xml:space="preserve"> - </w:t>
            </w:r>
            <w:r w:rsidRPr="00020424">
              <w:rPr>
                <w:rtl/>
              </w:rPr>
              <w:t>« بن محمّد</w:t>
            </w:r>
            <w:r>
              <w:rPr>
                <w:rtl/>
              </w:rPr>
              <w:t xml:space="preserve"> ».</w:t>
            </w:r>
          </w:p>
        </w:tc>
        <w:tc>
          <w:tcPr>
            <w:tcW w:w="4006" w:type="dxa"/>
          </w:tcPr>
          <w:p w:rsidR="00C31FB6" w:rsidRDefault="00C31FB6" w:rsidP="00992664">
            <w:pPr>
              <w:pStyle w:val="libFootnote0"/>
              <w:rPr>
                <w:rtl/>
              </w:rPr>
            </w:pPr>
            <w:r>
              <w:rPr>
                <w:rtl/>
              </w:rPr>
              <w:t xml:space="preserve">(9). </w:t>
            </w:r>
            <w:r w:rsidRPr="00020424">
              <w:rPr>
                <w:rtl/>
              </w:rPr>
              <w:t>في « بخ ، بر » :</w:t>
            </w:r>
            <w:r>
              <w:rPr>
                <w:rtl/>
              </w:rPr>
              <w:t xml:space="preserve"> - </w:t>
            </w:r>
            <w:r w:rsidRPr="00020424">
              <w:rPr>
                <w:rtl/>
              </w:rPr>
              <w:t>« الحسن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50394">
      <w:pPr>
        <w:pStyle w:val="libNormal0"/>
        <w:rPr>
          <w:rtl/>
          <w:lang w:bidi="fa-IR"/>
        </w:rPr>
      </w:pPr>
      <w:r w:rsidRPr="00020424">
        <w:rPr>
          <w:rtl/>
          <w:lang w:bidi="fa-IR"/>
        </w:rPr>
        <w:lastRenderedPageBreak/>
        <w:t>مَحْبُوبٍ ، عَنْ عَبَّادِ بْنِ صُهَيْبٍ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w:t>
      </w:r>
      <w:r w:rsidRPr="00A91B96">
        <w:rPr>
          <w:rStyle w:val="libFootnotenumChar"/>
          <w:rtl/>
        </w:rPr>
        <w:t>(1)</w:t>
      </w:r>
      <w:r w:rsidRPr="00020424">
        <w:rPr>
          <w:rtl/>
          <w:lang w:bidi="fa-IR"/>
        </w:rPr>
        <w:t xml:space="preserve"> فَرَّطَ فِي إِخْرَاجِ </w:t>
      </w:r>
      <w:r w:rsidRPr="00A91B96">
        <w:rPr>
          <w:rStyle w:val="libFootnotenumChar"/>
          <w:rtl/>
        </w:rPr>
        <w:t>(2)</w:t>
      </w:r>
      <w:r w:rsidRPr="00020424">
        <w:rPr>
          <w:rtl/>
          <w:lang w:bidi="fa-IR"/>
        </w:rPr>
        <w:t xml:space="preserve"> زَكَاتِهِ فِي حَيَاتِهِ ، فَلَمَّا حَضَرَتْهُ الْوَفَاةُ ، حَسَبَ جَمِيعَ مَا كَانَ </w:t>
      </w:r>
      <w:r w:rsidRPr="00A91B96">
        <w:rPr>
          <w:rStyle w:val="libFootnotenumChar"/>
          <w:rtl/>
        </w:rPr>
        <w:t>(3)</w:t>
      </w:r>
      <w:r w:rsidRPr="00020424">
        <w:rPr>
          <w:rtl/>
          <w:lang w:bidi="fa-IR"/>
        </w:rPr>
        <w:t xml:space="preserve"> فَرَّطَ فِيهِ مِمَّا لَزِمَهُ مِنَ الزَّكَاةِ ، ثُمَّ أَوْصى بِهِ أَنْ يُخْرَجَ ذلِكَ ، فَيُدْفَعَ </w:t>
      </w:r>
      <w:r w:rsidRPr="00A91B96">
        <w:rPr>
          <w:rStyle w:val="libFootnotenumChar"/>
          <w:rtl/>
        </w:rPr>
        <w:t>(4)</w:t>
      </w:r>
      <w:r w:rsidRPr="00020424">
        <w:rPr>
          <w:rtl/>
          <w:lang w:bidi="fa-IR"/>
        </w:rPr>
        <w:t xml:space="preserve"> إِلى مَنْ يَجِبُ </w:t>
      </w:r>
      <w:r w:rsidRPr="00A91B96">
        <w:rPr>
          <w:rStyle w:val="libFootnotenumChar"/>
          <w:rtl/>
        </w:rPr>
        <w:t>(5)</w:t>
      </w:r>
      <w:r w:rsidRPr="00020424">
        <w:rPr>
          <w:rtl/>
          <w:lang w:bidi="fa-IR"/>
        </w:rPr>
        <w:t xml:space="preserve"> لَهُ.</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(6)</w:t>
      </w:r>
      <w:r w:rsidRPr="00020424">
        <w:rPr>
          <w:rtl/>
          <w:lang w:bidi="fa-IR"/>
        </w:rPr>
        <w:t xml:space="preserve"> : « جَائِزٌ ، يُخْرَجُ ذلِكَ مِنْ جَمِيعِ الْمَالِ ، إِنَّمَا هُوَ بِمَنْزِلَةِ دَيْنٍ </w:t>
      </w:r>
      <w:r w:rsidRPr="00A91B96">
        <w:rPr>
          <w:rStyle w:val="libFootnotenumChar"/>
          <w:rtl/>
        </w:rPr>
        <w:t>(7)</w:t>
      </w:r>
      <w:r w:rsidRPr="00020424">
        <w:rPr>
          <w:rtl/>
          <w:lang w:bidi="fa-IR"/>
        </w:rPr>
        <w:t xml:space="preserve"> لَوْ كَانَ عَلَيْهِ لَيْسَ لِلْوَرَثَةِ شَيْ‌ءٌ ، حَتّى يُؤَدُّوا مَا أَوْصى بِهِ مِنَ الزَّكَاةِ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577E83">
        <w:rPr>
          <w:rtl/>
        </w:rPr>
        <w:t>5906</w:t>
      </w:r>
      <w:r w:rsidRPr="001155DE">
        <w:rPr>
          <w:rStyle w:val="libBold2Char"/>
          <w:rtl/>
        </w:rPr>
        <w:t xml:space="preserve"> / 2.</w:t>
      </w:r>
      <w:r w:rsidRPr="00020424">
        <w:rPr>
          <w:rtl/>
          <w:lang w:bidi="fa-IR"/>
        </w:rPr>
        <w:t xml:space="preserve"> عَلِيُّ بْنُ إِبْرَاهِيمَ ، عَنْ أَبِيهِ ، عَنْ حَمَّادِ بْنِ عِيسى </w:t>
      </w:r>
      <w:r w:rsidRPr="00A91B96">
        <w:rPr>
          <w:rStyle w:val="libFootnotenumChar"/>
          <w:rtl/>
        </w:rPr>
        <w:t>(10)</w:t>
      </w:r>
      <w:r w:rsidRPr="00020424">
        <w:rPr>
          <w:rtl/>
          <w:lang w:bidi="fa-IR"/>
        </w:rPr>
        <w:t xml:space="preserve"> ، عَنْ حَرِيزٍ ، عَنْ زُرَارَةَ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رَجُلٌ لَمْ يُزَكِّ مَالَهُ ، فَأَخْرَجَ زَكَاتَهُ عِنْدَ مَوْتِهِ ، فَأَدَّاهَا ، كَانَ </w:t>
      </w:r>
      <w:r w:rsidRPr="00A91B96">
        <w:rPr>
          <w:rStyle w:val="libFootnotenumChar"/>
          <w:rtl/>
        </w:rPr>
        <w:t>(11)</w:t>
      </w:r>
      <w:r w:rsidRPr="00020424">
        <w:rPr>
          <w:rtl/>
          <w:lang w:bidi="fa-IR"/>
        </w:rPr>
        <w:t xml:space="preserve"> ذلِكَ يُجْزِئُ عَنْهُ.</w:t>
      </w:r>
    </w:p>
    <w:p w:rsidR="00992664" w:rsidRPr="00020424" w:rsidRDefault="00992664" w:rsidP="00992664">
      <w:pPr>
        <w:pStyle w:val="libNormal"/>
        <w:rPr>
          <w:rtl/>
          <w:lang w:bidi="fa-IR"/>
        </w:rPr>
      </w:pPr>
      <w:r w:rsidRPr="00020424">
        <w:rPr>
          <w:rtl/>
          <w:lang w:bidi="fa-IR"/>
        </w:rPr>
        <w:t>قَالَ : « نَعَمْ</w:t>
      </w:r>
      <w:r>
        <w:rPr>
          <w:rtl/>
          <w:lang w:bidi="fa-IR"/>
        </w:rPr>
        <w:t xml:space="preserve"> ».</w:t>
      </w:r>
    </w:p>
    <w:p w:rsidR="00992664" w:rsidRPr="00020424" w:rsidRDefault="00992664" w:rsidP="00992664">
      <w:pPr>
        <w:pStyle w:val="libNormal"/>
        <w:rPr>
          <w:rtl/>
          <w:lang w:bidi="fa-IR"/>
        </w:rPr>
      </w:pPr>
      <w:r w:rsidRPr="00020424">
        <w:rPr>
          <w:rtl/>
          <w:lang w:bidi="fa-IR"/>
        </w:rPr>
        <w:t>قُلْتُ : فَإِنْ أَوْصى بِوَصِيَّةٍ مِنْ ثُلُثِهِ ،</w:t>
      </w:r>
      <w:r>
        <w:rPr>
          <w:rtl/>
          <w:lang w:bidi="fa-IR"/>
        </w:rPr>
        <w:t xml:space="preserve"> وَلَمْ يَكُنْ زَكّى : أَ</w:t>
      </w:r>
      <w:r w:rsidRPr="00020424">
        <w:rPr>
          <w:rtl/>
          <w:lang w:bidi="fa-IR"/>
        </w:rPr>
        <w:t xml:space="preserve">يُجْزِئُ </w:t>
      </w:r>
      <w:r w:rsidRPr="00A91B96">
        <w:rPr>
          <w:rStyle w:val="libFootnotenumChar"/>
          <w:rtl/>
        </w:rPr>
        <w:t>(12)</w:t>
      </w:r>
      <w:r w:rsidRPr="00020424">
        <w:rPr>
          <w:rtl/>
          <w:lang w:bidi="fa-IR"/>
        </w:rPr>
        <w:t xml:space="preserve"> عَنْهُ مِنْ زَكَاتِهِ</w:t>
      </w:r>
      <w:r>
        <w:rPr>
          <w:rtl/>
          <w:lang w:bidi="fa-IR"/>
        </w:rPr>
        <w:t>؟</w:t>
      </w:r>
    </w:p>
    <w:p w:rsidR="00992664" w:rsidRPr="00020424" w:rsidRDefault="00992664" w:rsidP="00992664">
      <w:pPr>
        <w:pStyle w:val="libNormal"/>
        <w:rPr>
          <w:rtl/>
          <w:lang w:bidi="fa-IR"/>
        </w:rPr>
      </w:pPr>
      <w:r w:rsidRPr="00020424">
        <w:rPr>
          <w:rtl/>
          <w:lang w:bidi="fa-IR"/>
        </w:rPr>
        <w:t xml:space="preserve">قَالَ : « نَعَمْ ، يُحْسَبُ </w:t>
      </w:r>
      <w:r w:rsidRPr="00A91B96">
        <w:rPr>
          <w:rStyle w:val="libFootnotenumChar"/>
          <w:rtl/>
        </w:rPr>
        <w:t>(13)</w:t>
      </w:r>
      <w:r w:rsidRPr="00020424">
        <w:rPr>
          <w:rtl/>
          <w:lang w:bidi="fa-IR"/>
        </w:rPr>
        <w:t xml:space="preserve"> لَهُ زَكَاةٌ ، وَلَاتَكُونُ </w:t>
      </w:r>
      <w:r w:rsidRPr="00A91B96">
        <w:rPr>
          <w:rStyle w:val="libFootnotenumChar"/>
          <w:rtl/>
        </w:rPr>
        <w:t>(14)</w:t>
      </w:r>
      <w:r w:rsidRPr="00020424">
        <w:rPr>
          <w:rtl/>
          <w:lang w:bidi="fa-IR"/>
        </w:rPr>
        <w:t xml:space="preserve"> لَهُ نَافِلَةٌ وَعَلَيْهِ فَرِيضَةٌ</w:t>
      </w:r>
      <w:r>
        <w:rPr>
          <w:rtl/>
          <w:lang w:bidi="fa-IR"/>
        </w:rPr>
        <w:t xml:space="preserve"> ».</w:t>
      </w:r>
      <w:r w:rsidRPr="00020424">
        <w:rPr>
          <w:rtl/>
          <w:lang w:bidi="fa-IR"/>
        </w:rPr>
        <w:t xml:space="preserve">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31FB6" w:rsidTr="00C31FB6">
        <w:tc>
          <w:tcPr>
            <w:tcW w:w="4006" w:type="dxa"/>
          </w:tcPr>
          <w:p w:rsidR="00C31FB6" w:rsidRDefault="00C31FB6" w:rsidP="00992664">
            <w:pPr>
              <w:pStyle w:val="libFootnote0"/>
              <w:rPr>
                <w:rtl/>
              </w:rPr>
            </w:pPr>
            <w:r>
              <w:rPr>
                <w:rtl/>
              </w:rPr>
              <w:t xml:space="preserve">(1). </w:t>
            </w:r>
            <w:r w:rsidRPr="00020424">
              <w:rPr>
                <w:rtl/>
              </w:rPr>
              <w:t>في « بس » : « الرجل</w:t>
            </w:r>
            <w:r>
              <w:rPr>
                <w:rtl/>
              </w:rPr>
              <w:t xml:space="preserve"> ».</w:t>
            </w:r>
          </w:p>
        </w:tc>
        <w:tc>
          <w:tcPr>
            <w:tcW w:w="4006" w:type="dxa"/>
          </w:tcPr>
          <w:p w:rsidR="00C31FB6" w:rsidRDefault="00C31FB6" w:rsidP="00992664">
            <w:pPr>
              <w:pStyle w:val="libFootnote0"/>
              <w:rPr>
                <w:rtl/>
              </w:rPr>
            </w:pPr>
            <w:r>
              <w:rPr>
                <w:rtl/>
              </w:rPr>
              <w:t xml:space="preserve">(2). </w:t>
            </w:r>
            <w:r w:rsidRPr="00020424">
              <w:rPr>
                <w:rtl/>
              </w:rPr>
              <w:t>في « ى » : « إخراجه</w:t>
            </w:r>
            <w:r>
              <w:rPr>
                <w:rtl/>
              </w:rPr>
              <w:t xml:space="preserve"> ».</w:t>
            </w:r>
          </w:p>
        </w:tc>
      </w:tr>
      <w:tr w:rsidR="00C31FB6" w:rsidTr="00C31FB6">
        <w:tc>
          <w:tcPr>
            <w:tcW w:w="4006" w:type="dxa"/>
          </w:tcPr>
          <w:p w:rsidR="00C31FB6" w:rsidRDefault="00C31FB6" w:rsidP="00992664">
            <w:pPr>
              <w:pStyle w:val="libFootnote0"/>
              <w:rPr>
                <w:rtl/>
              </w:rPr>
            </w:pPr>
            <w:r>
              <w:rPr>
                <w:rtl/>
              </w:rPr>
              <w:t xml:space="preserve">(3). </w:t>
            </w:r>
            <w:r w:rsidRPr="00020424">
              <w:rPr>
                <w:rtl/>
              </w:rPr>
              <w:t>في « بخ ، بر » :</w:t>
            </w:r>
            <w:r>
              <w:rPr>
                <w:rtl/>
              </w:rPr>
              <w:t xml:space="preserve"> - </w:t>
            </w:r>
            <w:r w:rsidRPr="00020424">
              <w:rPr>
                <w:rtl/>
              </w:rPr>
              <w:t>« كان</w:t>
            </w:r>
            <w:r>
              <w:rPr>
                <w:rtl/>
              </w:rPr>
              <w:t xml:space="preserve"> ».</w:t>
            </w:r>
          </w:p>
        </w:tc>
        <w:tc>
          <w:tcPr>
            <w:tcW w:w="4006" w:type="dxa"/>
          </w:tcPr>
          <w:p w:rsidR="00C31FB6" w:rsidRDefault="00C31FB6" w:rsidP="00992664">
            <w:pPr>
              <w:pStyle w:val="libFootnote0"/>
              <w:rPr>
                <w:rtl/>
              </w:rPr>
            </w:pPr>
            <w:r>
              <w:rPr>
                <w:rtl/>
              </w:rPr>
              <w:t xml:space="preserve">(4). </w:t>
            </w:r>
            <w:r w:rsidRPr="00020424">
              <w:rPr>
                <w:rtl/>
              </w:rPr>
              <w:t>في « بخ » : « فتدفع</w:t>
            </w:r>
            <w:r>
              <w:rPr>
                <w:rtl/>
              </w:rPr>
              <w:t xml:space="preserve"> ».</w:t>
            </w:r>
          </w:p>
        </w:tc>
      </w:tr>
      <w:tr w:rsidR="00C31FB6" w:rsidTr="00C31FB6">
        <w:tc>
          <w:tcPr>
            <w:tcW w:w="4006" w:type="dxa"/>
          </w:tcPr>
          <w:p w:rsidR="00C31FB6" w:rsidRDefault="00C31FB6" w:rsidP="00992664">
            <w:pPr>
              <w:pStyle w:val="libFootnote0"/>
              <w:rPr>
                <w:rtl/>
              </w:rPr>
            </w:pPr>
            <w:r>
              <w:rPr>
                <w:rtl/>
              </w:rPr>
              <w:t xml:space="preserve">(5). </w:t>
            </w:r>
            <w:r w:rsidRPr="00020424">
              <w:rPr>
                <w:rtl/>
              </w:rPr>
              <w:t xml:space="preserve">في « بخ » </w:t>
            </w:r>
            <w:r w:rsidRPr="00515444">
              <w:rPr>
                <w:rStyle w:val="libFootnoteBoldChar"/>
                <w:rtl/>
              </w:rPr>
              <w:t>والوافي</w:t>
            </w:r>
            <w:r w:rsidRPr="00C31FB6">
              <w:rPr>
                <w:rtl/>
              </w:rPr>
              <w:t xml:space="preserve"> </w:t>
            </w:r>
            <w:r w:rsidRPr="00515444">
              <w:rPr>
                <w:rStyle w:val="libFootnoteBoldChar"/>
                <w:rtl/>
              </w:rPr>
              <w:t>والتهذيب</w:t>
            </w:r>
            <w:r w:rsidRPr="00020424">
              <w:rPr>
                <w:rtl/>
              </w:rPr>
              <w:t xml:space="preserve"> : « تجب</w:t>
            </w:r>
            <w:r>
              <w:rPr>
                <w:rtl/>
              </w:rPr>
              <w:t xml:space="preserve"> ».</w:t>
            </w:r>
          </w:p>
        </w:tc>
        <w:tc>
          <w:tcPr>
            <w:tcW w:w="4006" w:type="dxa"/>
          </w:tcPr>
          <w:p w:rsidR="00C31FB6" w:rsidRDefault="00C31FB6" w:rsidP="00992664">
            <w:pPr>
              <w:pStyle w:val="libFootnote0"/>
              <w:rPr>
                <w:rtl/>
              </w:rPr>
            </w:pPr>
            <w:r>
              <w:rPr>
                <w:rtl/>
              </w:rPr>
              <w:t xml:space="preserve">(6). </w:t>
            </w:r>
            <w:r w:rsidRPr="00020424">
              <w:rPr>
                <w:rtl/>
              </w:rPr>
              <w:t>في « بث » وحاشية « بح » : « فقال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w:t>
      </w:r>
      <w:r w:rsidR="00992664" w:rsidRPr="00515444">
        <w:rPr>
          <w:rStyle w:val="libFootnoteBoldChar"/>
          <w:rtl/>
        </w:rPr>
        <w:t>والتهذيب</w:t>
      </w:r>
      <w:r w:rsidR="00992664" w:rsidRPr="00020424">
        <w:rPr>
          <w:rtl/>
        </w:rPr>
        <w:t xml:space="preserve"> : « الدين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قيل له : فإن كان أوصى بحجّة الإسلام ، قال : جائز ، يحجّ عنه من جميع المال</w:t>
      </w:r>
      <w:r w:rsidR="00992664">
        <w:rPr>
          <w:rtl/>
        </w:rPr>
        <w:t xml:space="preserve"> ».</w:t>
      </w:r>
    </w:p>
    <w:p w:rsidR="00992664" w:rsidRPr="00020424" w:rsidRDefault="00795177" w:rsidP="00C31FB6">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9 ، ص 170 ، ح 693 ، معلّقاً عن الحسن بن محبوب </w:t>
      </w:r>
      <w:r w:rsidR="00C31FB6">
        <w:rPr>
          <w:rFonts w:hint="cs"/>
          <w:rtl/>
        </w:rPr>
        <w:t>.</w:t>
      </w:r>
      <w:r w:rsidR="00992664" w:rsidRPr="0012008A">
        <w:rPr>
          <w:rStyle w:val="libFootnoteBoldChar"/>
          <w:rtl/>
        </w:rPr>
        <w:t>الوافي</w:t>
      </w:r>
      <w:r w:rsidR="00992664" w:rsidRPr="00020424">
        <w:rPr>
          <w:rtl/>
        </w:rPr>
        <w:t xml:space="preserve"> ، ج 10 ، ص 221 ، ح 9480 ؛ </w:t>
      </w:r>
      <w:r w:rsidR="00992664" w:rsidRPr="0012008A">
        <w:rPr>
          <w:rStyle w:val="libFootnoteBoldChar"/>
          <w:rtl/>
        </w:rPr>
        <w:t>الوسائل</w:t>
      </w:r>
      <w:r w:rsidR="00992664" w:rsidRPr="00020424">
        <w:rPr>
          <w:rtl/>
        </w:rPr>
        <w:t xml:space="preserve"> ، ج 9 ، ص 255 ، ح 11961.</w:t>
      </w:r>
      <w:r w:rsidR="00C31FB6">
        <w:rPr>
          <w:rFonts w:hint="cs"/>
          <w:rtl/>
        </w:rPr>
        <w:t xml:space="preserve">       </w:t>
      </w:r>
      <w:r>
        <w:rPr>
          <w:rtl/>
        </w:rPr>
        <w:t>(10).</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31FB6" w:rsidTr="00C31FB6">
        <w:tc>
          <w:tcPr>
            <w:tcW w:w="4006" w:type="dxa"/>
          </w:tcPr>
          <w:p w:rsidR="00C31FB6" w:rsidRDefault="00C31FB6" w:rsidP="00992664">
            <w:pPr>
              <w:pStyle w:val="libFootnote0"/>
              <w:rPr>
                <w:rtl/>
              </w:rPr>
            </w:pPr>
            <w:r>
              <w:rPr>
                <w:rtl/>
              </w:rPr>
              <w:t xml:space="preserve">(11). </w:t>
            </w:r>
            <w:r w:rsidRPr="00020424">
              <w:rPr>
                <w:rtl/>
              </w:rPr>
              <w:t xml:space="preserve">في </w:t>
            </w:r>
            <w:r w:rsidRPr="0012008A">
              <w:rPr>
                <w:rStyle w:val="libFootnoteBoldChar"/>
                <w:rtl/>
              </w:rPr>
              <w:t>الوافي</w:t>
            </w:r>
            <w:r w:rsidRPr="00020424">
              <w:rPr>
                <w:rtl/>
              </w:rPr>
              <w:t xml:space="preserve"> : «</w:t>
            </w:r>
            <w:r>
              <w:rPr>
                <w:rtl/>
              </w:rPr>
              <w:t xml:space="preserve"> أ</w:t>
            </w:r>
            <w:r w:rsidRPr="00020424">
              <w:rPr>
                <w:rtl/>
              </w:rPr>
              <w:t>كان</w:t>
            </w:r>
            <w:r>
              <w:rPr>
                <w:rtl/>
              </w:rPr>
              <w:t xml:space="preserve"> ».</w:t>
            </w:r>
          </w:p>
        </w:tc>
        <w:tc>
          <w:tcPr>
            <w:tcW w:w="4006" w:type="dxa"/>
          </w:tcPr>
          <w:p w:rsidR="00C31FB6" w:rsidRDefault="00C31FB6" w:rsidP="00992664">
            <w:pPr>
              <w:pStyle w:val="libFootnote0"/>
              <w:rPr>
                <w:rtl/>
              </w:rPr>
            </w:pPr>
            <w:r>
              <w:rPr>
                <w:rtl/>
              </w:rPr>
              <w:t xml:space="preserve">(12). </w:t>
            </w:r>
            <w:r w:rsidRPr="00020424">
              <w:rPr>
                <w:rtl/>
              </w:rPr>
              <w:t xml:space="preserve">في </w:t>
            </w:r>
            <w:r w:rsidRPr="00C31FB6">
              <w:rPr>
                <w:rtl/>
              </w:rPr>
              <w:t>الوسائل</w:t>
            </w:r>
            <w:r w:rsidRPr="00020424">
              <w:rPr>
                <w:rtl/>
              </w:rPr>
              <w:t xml:space="preserve"> : « أتجزي</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بث » </w:t>
      </w:r>
      <w:r w:rsidR="00992664" w:rsidRPr="00EB1FD9">
        <w:rPr>
          <w:rStyle w:val="libFootnoteBoldChar"/>
          <w:rtl/>
        </w:rPr>
        <w:t>والوسائل</w:t>
      </w:r>
      <w:r w:rsidR="00992664" w:rsidRPr="00020424">
        <w:rPr>
          <w:rtl/>
        </w:rPr>
        <w:t xml:space="preserve"> : « تحسب</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ى ، بث ، بخ ، بر ، بس ، بف » </w:t>
      </w:r>
      <w:r w:rsidR="00992664" w:rsidRPr="00515444">
        <w:rPr>
          <w:rStyle w:val="libFootnoteBoldChar"/>
          <w:rtl/>
        </w:rPr>
        <w:t>والوافي</w:t>
      </w:r>
      <w:r w:rsidR="00992664" w:rsidRPr="00020424">
        <w:rPr>
          <w:rtl/>
        </w:rPr>
        <w:t xml:space="preserve"> : « ولا يكون</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3139C5">
        <w:rPr>
          <w:rStyle w:val="libFootnoteBoldChar"/>
          <w:rtl/>
        </w:rPr>
        <w:t>الكافي</w:t>
      </w:r>
      <w:r w:rsidR="00992664" w:rsidRPr="00020424">
        <w:rPr>
          <w:rtl/>
        </w:rPr>
        <w:t xml:space="preserve"> ، كتاب الوصايا ، باب النوادر ، ح 13292 ، بسند آخر عنهم </w:t>
      </w:r>
      <w:r w:rsidR="00992664" w:rsidRPr="00D64ADA">
        <w:rPr>
          <w:rStyle w:val="libFootnoteAlaemChar"/>
          <w:rtl/>
        </w:rPr>
        <w:t>عليهم‌السلام</w:t>
      </w:r>
      <w:r w:rsidR="00992664" w:rsidRPr="00020424">
        <w:rPr>
          <w:rtl/>
        </w:rPr>
        <w:t xml:space="preserve"> ، وتمام الرواية فيه : « من أوصى </w:t>
      </w:r>
      <w:r w:rsidR="003139C5">
        <w:rPr>
          <w:rFonts w:hint="cs"/>
          <w:rtl/>
        </w:rPr>
        <w:t>=</w:t>
      </w:r>
    </w:p>
    <w:p w:rsidR="00795177" w:rsidRDefault="00795177" w:rsidP="00795177">
      <w:pPr>
        <w:pStyle w:val="libNormal"/>
        <w:rPr>
          <w:rtl/>
          <w:lang w:bidi="fa-IR"/>
        </w:rPr>
      </w:pPr>
      <w:r>
        <w:rPr>
          <w:rtl/>
          <w:lang w:bidi="fa-IR"/>
        </w:rPr>
        <w:br w:type="page"/>
      </w:r>
    </w:p>
    <w:p w:rsidR="003139C5" w:rsidRDefault="00992664" w:rsidP="003139C5">
      <w:pPr>
        <w:pStyle w:val="libNormal"/>
        <w:rPr>
          <w:rtl/>
          <w:lang w:bidi="fa-IR"/>
        </w:rPr>
      </w:pPr>
      <w:r w:rsidRPr="00030751">
        <w:rPr>
          <w:rtl/>
        </w:rPr>
        <w:lastRenderedPageBreak/>
        <w:t>5907</w:t>
      </w:r>
      <w:r w:rsidRPr="001155DE">
        <w:rPr>
          <w:rStyle w:val="libBold2Char"/>
          <w:rtl/>
        </w:rPr>
        <w:t xml:space="preserve"> / 3.</w:t>
      </w:r>
      <w:r w:rsidRPr="00020424">
        <w:rPr>
          <w:rtl/>
          <w:lang w:bidi="fa-IR"/>
        </w:rPr>
        <w:t xml:space="preserve"> عَلِيُّ بْنُ إِبْرَاهِيمَ </w:t>
      </w:r>
      <w:r w:rsidRPr="00A91B96">
        <w:rPr>
          <w:rStyle w:val="libFootnotenumChar"/>
          <w:rtl/>
        </w:rPr>
        <w:t>(1)</w:t>
      </w:r>
      <w:r w:rsidRPr="00020424">
        <w:rPr>
          <w:rtl/>
          <w:lang w:bidi="fa-IR"/>
        </w:rPr>
        <w:t xml:space="preserve"> ، عَنْ أَبِيهِ ؛</w:t>
      </w:r>
    </w:p>
    <w:p w:rsidR="00992664" w:rsidRPr="00020424" w:rsidRDefault="003139C5" w:rsidP="003139C5">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شُعَيْبٍ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عَلى أَخِي زَكَاةً كَثِيرَةً ، فَأَقْضِيهَا </w:t>
      </w:r>
      <w:r w:rsidRPr="00A91B96">
        <w:rPr>
          <w:rStyle w:val="libFootnotenumChar"/>
          <w:rtl/>
        </w:rPr>
        <w:t>(2)</w:t>
      </w:r>
      <w:r w:rsidRPr="00020424">
        <w:rPr>
          <w:rtl/>
          <w:lang w:bidi="fa-IR"/>
        </w:rPr>
        <w:t xml:space="preserve"> ، أَوْ أُؤَدِّيهَا عَنْهُ</w:t>
      </w:r>
      <w:r>
        <w:rPr>
          <w:rtl/>
          <w:lang w:bidi="fa-IR"/>
        </w:rPr>
        <w:t>؟</w:t>
      </w:r>
    </w:p>
    <w:p w:rsidR="00992664" w:rsidRPr="00020424" w:rsidRDefault="00992664" w:rsidP="00992664">
      <w:pPr>
        <w:pStyle w:val="libNormal"/>
        <w:rPr>
          <w:rtl/>
          <w:lang w:bidi="fa-IR"/>
        </w:rPr>
      </w:pPr>
      <w:r w:rsidRPr="00020424">
        <w:rPr>
          <w:rtl/>
          <w:lang w:bidi="fa-IR"/>
        </w:rPr>
        <w:t>فَقَالَ لِي : « وَكَيْفَ لَكَ بِذلِكَ</w:t>
      </w:r>
      <w:r>
        <w:rPr>
          <w:rtl/>
          <w:lang w:bidi="fa-IR"/>
        </w:rPr>
        <w:t>؟</w:t>
      </w:r>
      <w:r w:rsidRPr="00020424">
        <w:rPr>
          <w:rtl/>
          <w:lang w:bidi="fa-IR"/>
        </w:rPr>
        <w:t xml:space="preserve"> » قُلْتُ </w:t>
      </w:r>
      <w:r w:rsidRPr="00A91B96">
        <w:rPr>
          <w:rStyle w:val="libFootnotenumChar"/>
          <w:rtl/>
        </w:rPr>
        <w:t>(3)</w:t>
      </w:r>
      <w:r w:rsidRPr="00020424">
        <w:rPr>
          <w:rtl/>
          <w:lang w:bidi="fa-IR"/>
        </w:rPr>
        <w:t xml:space="preserve"> : أَحْتَاطُ ، قَالَ : « نَعَمْ ، إِذاً تُفَرِّجَ عَنْهُ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30751">
        <w:rPr>
          <w:rtl/>
        </w:rPr>
        <w:t>5908</w:t>
      </w:r>
      <w:r w:rsidRPr="001155DE">
        <w:rPr>
          <w:rStyle w:val="libBold2Char"/>
          <w:rtl/>
        </w:rPr>
        <w:t xml:space="preserve"> / 4.</w:t>
      </w:r>
      <w:r w:rsidRPr="00020424">
        <w:rPr>
          <w:rtl/>
          <w:lang w:bidi="fa-IR"/>
        </w:rPr>
        <w:t xml:space="preserve"> عَلِيُّ بْنُ إِبْرَاهِيمَ </w:t>
      </w:r>
      <w:r w:rsidRPr="00A91B96">
        <w:rPr>
          <w:rStyle w:val="libFootnotenumChar"/>
          <w:rtl/>
        </w:rPr>
        <w:t>(5)</w:t>
      </w:r>
      <w:r w:rsidRPr="00020424">
        <w:rPr>
          <w:rtl/>
          <w:lang w:bidi="fa-IR"/>
        </w:rPr>
        <w:t xml:space="preserve"> ، عَنْ أَبِيهِ ، عَنِ ابْنِ أَبِي عُمَيْرٍ ، عَنْ مُعَاوِيَةَ بْ</w:t>
      </w:r>
      <w:r w:rsidR="003139C5">
        <w:rPr>
          <w:rtl/>
          <w:lang w:bidi="fa-IR"/>
        </w:rPr>
        <w:t>نِ عَمَّارٍ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لَهُ : رَجُلٌ يَمُوتُ وَعَلَيْهِ خَمْسُمِائَةِ دِرْهَمٍ مِنَ الزَّكَاةِ ، وَعَلَيْهِ حَجَّةُ الْإِسْلَامِ ، وَتَرَكَ ثَلَاثَمِائَةِ دِرْهَمٍ ، فَأَوْصى </w:t>
      </w:r>
      <w:r w:rsidRPr="00A91B96">
        <w:rPr>
          <w:rStyle w:val="libFootnotenumChar"/>
          <w:rtl/>
        </w:rPr>
        <w:t>(6)</w:t>
      </w:r>
      <w:r w:rsidRPr="00020424">
        <w:rPr>
          <w:rtl/>
          <w:lang w:bidi="fa-IR"/>
        </w:rPr>
        <w:t xml:space="preserve"> بِحَجَّةِ الْإِسْلَامِ ، وَأَنْ يُقْضى عَنْهُ دَيْنُ الزَّكَاةِ.</w:t>
      </w:r>
    </w:p>
    <w:p w:rsidR="00992664" w:rsidRPr="00020424" w:rsidRDefault="00992664" w:rsidP="00992664">
      <w:pPr>
        <w:pStyle w:val="libNormal"/>
        <w:rPr>
          <w:rtl/>
          <w:lang w:bidi="fa-IR"/>
        </w:rPr>
      </w:pPr>
      <w:r w:rsidRPr="00020424">
        <w:rPr>
          <w:rtl/>
          <w:lang w:bidi="fa-IR"/>
        </w:rPr>
        <w:t xml:space="preserve">قَالَ : « يُحَجُّ عَنْهُ مِنْ أَقْرَبِ مَا يَكُونُ ، وَيُخْرَجُ </w:t>
      </w:r>
      <w:r w:rsidRPr="00A91B96">
        <w:rPr>
          <w:rStyle w:val="libFootnotenumChar"/>
          <w:rtl/>
        </w:rPr>
        <w:t>(7)</w:t>
      </w:r>
      <w:r w:rsidRPr="00020424">
        <w:rPr>
          <w:rtl/>
          <w:lang w:bidi="fa-IR"/>
        </w:rPr>
        <w:t xml:space="preserve"> الْبَقِيَّةُ فِي الزَّكَاةِ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30751">
        <w:rPr>
          <w:rtl/>
        </w:rPr>
        <w:t>5909</w:t>
      </w:r>
      <w:r w:rsidRPr="001155DE">
        <w:rPr>
          <w:rStyle w:val="libBold2Char"/>
          <w:rtl/>
        </w:rPr>
        <w:t xml:space="preserve"> / 5.</w:t>
      </w:r>
      <w:r w:rsidRPr="00020424">
        <w:rPr>
          <w:rtl/>
          <w:lang w:bidi="fa-IR"/>
        </w:rPr>
        <w:t xml:space="preserve"> عَلِيُّ بْنُ إِبْرَاهِيمَ </w:t>
      </w:r>
      <w:r w:rsidRPr="00A91B96">
        <w:rPr>
          <w:rStyle w:val="libFootnotenumChar"/>
          <w:rtl/>
        </w:rPr>
        <w:t>(10)</w:t>
      </w:r>
      <w:r w:rsidRPr="00020424">
        <w:rPr>
          <w:rtl/>
          <w:lang w:bidi="fa-IR"/>
        </w:rPr>
        <w:t xml:space="preserve"> ، عَنْ أَبِيهِ ، عَنِ ابْنِ أَبِي عُمَيْرٍ ، عَنْ</w:t>
      </w:r>
      <w:r w:rsidR="003139C5">
        <w:rPr>
          <w:rtl/>
          <w:lang w:bidi="fa-IR"/>
        </w:rPr>
        <w:t xml:space="preserve"> عَلِيِّ بْنِ يَقْطِينٍ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لِأَبِي الْحَسَنِ الْأَوَّلِ </w:t>
      </w:r>
      <w:r w:rsidRPr="00005A81">
        <w:rPr>
          <w:rStyle w:val="libAlaemChar"/>
          <w:rtl/>
        </w:rPr>
        <w:t>عليه‌السلام</w:t>
      </w:r>
      <w:r w:rsidRPr="00020424">
        <w:rPr>
          <w:rtl/>
          <w:lang w:bidi="fa-IR"/>
        </w:rPr>
        <w:t xml:space="preserve"> : رَجُلٌ مَاتَ وَعَلَيْهِ زَكَاةٌ </w:t>
      </w:r>
      <w:r w:rsidRPr="00A91B96">
        <w:rPr>
          <w:rStyle w:val="libFootnotenumChar"/>
          <w:rtl/>
        </w:rPr>
        <w:t>(11)</w:t>
      </w:r>
      <w:r w:rsidRPr="00020424">
        <w:rPr>
          <w:rtl/>
          <w:lang w:bidi="fa-IR"/>
        </w:rPr>
        <w:t xml:space="preserve"> ، وَأَوْصى </w:t>
      </w:r>
      <w:r w:rsidRPr="00A91B96">
        <w:rPr>
          <w:rStyle w:val="libFootnotenumChar"/>
          <w:rtl/>
        </w:rPr>
        <w:t>(12)</w:t>
      </w:r>
      <w:r w:rsidRPr="00020424">
        <w:rPr>
          <w:rtl/>
          <w:lang w:bidi="fa-IR"/>
        </w:rPr>
        <w:t xml:space="preserve"> أَنْ يُقْضى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3139C5" w:rsidP="00992664">
      <w:pPr>
        <w:pStyle w:val="libFootnote0"/>
        <w:rPr>
          <w:rtl/>
          <w:lang w:bidi="fa-IR"/>
        </w:rPr>
      </w:pPr>
      <w:r>
        <w:rPr>
          <w:rFonts w:hint="cs"/>
          <w:rtl/>
        </w:rPr>
        <w:t xml:space="preserve">= </w:t>
      </w:r>
      <w:r w:rsidR="00992664" w:rsidRPr="00020424">
        <w:rPr>
          <w:rtl/>
        </w:rPr>
        <w:t xml:space="preserve">بالثلث احتسب له من زكاته » </w:t>
      </w:r>
      <w:r>
        <w:rPr>
          <w:rFonts w:hint="cs"/>
          <w:rtl/>
        </w:rPr>
        <w:t>.</w:t>
      </w:r>
      <w:r w:rsidR="00992664" w:rsidRPr="0012008A">
        <w:rPr>
          <w:rStyle w:val="libFootnoteBoldChar"/>
          <w:rtl/>
        </w:rPr>
        <w:t>الوافي</w:t>
      </w:r>
      <w:r w:rsidR="00992664" w:rsidRPr="00020424">
        <w:rPr>
          <w:rtl/>
        </w:rPr>
        <w:t xml:space="preserve"> ، ج 10 ، ص 221 ، ح 9481 ؛ </w:t>
      </w:r>
      <w:r w:rsidR="00992664" w:rsidRPr="0012008A">
        <w:rPr>
          <w:rStyle w:val="libFootnoteBoldChar"/>
          <w:rtl/>
        </w:rPr>
        <w:t>الوسائل</w:t>
      </w:r>
      <w:r w:rsidR="00992664" w:rsidRPr="00020424">
        <w:rPr>
          <w:rtl/>
        </w:rPr>
        <w:t xml:space="preserve"> ، ج 9 ، ص 256 ، ح 11963.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ى ، بث ، بح » </w:t>
      </w:r>
      <w:r w:rsidR="00992664" w:rsidRPr="00EB1FD9">
        <w:rPr>
          <w:rStyle w:val="libFootnoteBoldChar"/>
          <w:rtl/>
        </w:rPr>
        <w:t>والوسائل</w:t>
      </w:r>
      <w:r w:rsidR="00992664" w:rsidRPr="00020424">
        <w:rPr>
          <w:rtl/>
        </w:rPr>
        <w:t xml:space="preserve"> : «</w:t>
      </w:r>
      <w:r w:rsidR="00992664">
        <w:rPr>
          <w:rtl/>
        </w:rPr>
        <w:t xml:space="preserve"> أ</w:t>
      </w:r>
      <w:r w:rsidR="003139C5">
        <w:rPr>
          <w:rFonts w:hint="cs"/>
          <w:rtl/>
        </w:rPr>
        <w:t xml:space="preserve"> </w:t>
      </w:r>
      <w:r w:rsidR="00992664" w:rsidRPr="00020424">
        <w:rPr>
          <w:rtl/>
        </w:rPr>
        <w:t>فأقضيها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فقلت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222 ، ح 9482 ؛ </w:t>
      </w:r>
      <w:r w:rsidR="00992664" w:rsidRPr="0012008A">
        <w:rPr>
          <w:rStyle w:val="libFootnoteBoldChar"/>
          <w:rtl/>
        </w:rPr>
        <w:t>الوسائل</w:t>
      </w:r>
      <w:r w:rsidR="00992664" w:rsidRPr="00020424">
        <w:rPr>
          <w:rtl/>
        </w:rPr>
        <w:t xml:space="preserve"> ، ج 9 ، ص 256 ، ح 11964.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3139C5">
        <w:rPr>
          <w:rtl/>
        </w:rPr>
        <w:t xml:space="preserve"> </w:t>
      </w:r>
      <w:r w:rsidR="00992664" w:rsidRPr="00EB1FD9">
        <w:rPr>
          <w:rStyle w:val="libFootnoteBoldChar"/>
          <w:rtl/>
        </w:rPr>
        <w:t>والوسائل</w:t>
      </w:r>
      <w:r w:rsidR="00992664" w:rsidRPr="00020424">
        <w:rPr>
          <w:rtl/>
        </w:rPr>
        <w:t xml:space="preserve"> : « وأوصى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ويردّ</w:t>
      </w:r>
      <w:r w:rsidR="00992664">
        <w:rPr>
          <w:rtl/>
        </w:rPr>
        <w:t xml:space="preserve"> ».</w:t>
      </w:r>
      <w:r w:rsidR="00992664" w:rsidRPr="00020424">
        <w:rPr>
          <w:rtl/>
        </w:rPr>
        <w:t xml:space="preserve"> وفي « بخ » وحاشية « بح » : « وتردّ</w:t>
      </w:r>
      <w:r w:rsidR="00992664">
        <w:rPr>
          <w:rtl/>
        </w:rPr>
        <w:t xml:space="preserve"> ».</w:t>
      </w:r>
      <w:r w:rsidR="003139C5">
        <w:rPr>
          <w:rtl/>
        </w:rPr>
        <w:t xml:space="preserve"> وفي « حاشية « بث » : «</w:t>
      </w:r>
      <w:r w:rsidR="00992664" w:rsidRPr="00020424">
        <w:rPr>
          <w:rtl/>
        </w:rPr>
        <w:t>ويترك</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وتخرج</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بخ ، بر ، بف » قدّمت الرواية الخامسة على الرواية الرابعة.</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222 ، ح 9484 ؛ </w:t>
      </w:r>
      <w:r w:rsidR="00992664" w:rsidRPr="0012008A">
        <w:rPr>
          <w:rStyle w:val="libFootnoteBoldChar"/>
          <w:rtl/>
        </w:rPr>
        <w:t>الوسائل</w:t>
      </w:r>
      <w:r w:rsidR="00992664" w:rsidRPr="00020424">
        <w:rPr>
          <w:rtl/>
        </w:rPr>
        <w:t xml:space="preserve"> ، ج 9 ، ص 255 ، ح 11962.</w:t>
      </w:r>
    </w:p>
    <w:tbl>
      <w:tblPr>
        <w:tblStyle w:val="TableGrid"/>
        <w:bidiVisual/>
        <w:tblW w:w="0" w:type="auto"/>
        <w:tblLook w:val="04A0" w:firstRow="1" w:lastRow="0" w:firstColumn="1" w:lastColumn="0" w:noHBand="0" w:noVBand="1"/>
      </w:tblPr>
      <w:tblGrid>
        <w:gridCol w:w="4006"/>
        <w:gridCol w:w="4006"/>
      </w:tblGrid>
      <w:tr w:rsidR="003139C5" w:rsidTr="003139C5">
        <w:tc>
          <w:tcPr>
            <w:tcW w:w="4006" w:type="dxa"/>
          </w:tcPr>
          <w:p w:rsidR="003139C5" w:rsidRDefault="003139C5" w:rsidP="00992664">
            <w:pPr>
              <w:pStyle w:val="libFootnote0"/>
              <w:rPr>
                <w:rtl/>
              </w:rPr>
            </w:pPr>
            <w:r>
              <w:rPr>
                <w:rtl/>
              </w:rPr>
              <w:t xml:space="preserve">(10). </w:t>
            </w:r>
            <w:r w:rsidRPr="00020424">
              <w:rPr>
                <w:rtl/>
              </w:rPr>
              <w:t xml:space="preserve">في « بخ ، بر » </w:t>
            </w:r>
            <w:r w:rsidRPr="00EB1FD9">
              <w:rPr>
                <w:rStyle w:val="libFootnoteBoldChar"/>
                <w:rtl/>
              </w:rPr>
              <w:t>والوسائل</w:t>
            </w:r>
            <w:r w:rsidRPr="00020424">
              <w:rPr>
                <w:rtl/>
              </w:rPr>
              <w:t xml:space="preserve"> :</w:t>
            </w:r>
            <w:r>
              <w:rPr>
                <w:rtl/>
              </w:rPr>
              <w:t xml:space="preserve"> - </w:t>
            </w:r>
            <w:r w:rsidRPr="00020424">
              <w:rPr>
                <w:rtl/>
              </w:rPr>
              <w:t>« بن إبراهيم</w:t>
            </w:r>
            <w:r>
              <w:rPr>
                <w:rtl/>
              </w:rPr>
              <w:t xml:space="preserve"> ».</w:t>
            </w:r>
          </w:p>
        </w:tc>
        <w:tc>
          <w:tcPr>
            <w:tcW w:w="4006" w:type="dxa"/>
          </w:tcPr>
          <w:p w:rsidR="003139C5" w:rsidRDefault="003139C5" w:rsidP="00992664">
            <w:pPr>
              <w:pStyle w:val="libFootnote0"/>
              <w:rPr>
                <w:rtl/>
              </w:rPr>
            </w:pPr>
            <w:r>
              <w:rPr>
                <w:rtl/>
              </w:rPr>
              <w:t xml:space="preserve">(11). </w:t>
            </w:r>
            <w:r w:rsidRPr="00020424">
              <w:rPr>
                <w:rtl/>
              </w:rPr>
              <w:t>في « جن » : « الزكاة</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فأوصى</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هكذا في جميع النسخ التي قوبلت. وفي المطبوع </w:t>
      </w:r>
      <w:r w:rsidR="00992664" w:rsidRPr="00EB1FD9">
        <w:rPr>
          <w:rStyle w:val="libFootnoteBoldChar"/>
          <w:rtl/>
        </w:rPr>
        <w:t>والوسائل</w:t>
      </w:r>
      <w:r w:rsidR="00992664" w:rsidRPr="00020424">
        <w:rPr>
          <w:rtl/>
        </w:rPr>
        <w:t xml:space="preserve"> : « أن تقضى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عَنْهُ الزَّكَاةُ وَوُلْدُهُ مَحَاوِيجُ ، إِنْ دَفَعُوهَا أَضَرَّ ذلِكَ بِهِمْ </w:t>
      </w:r>
      <w:r w:rsidRPr="00A91B96">
        <w:rPr>
          <w:rStyle w:val="libFootnotenumChar"/>
          <w:rtl/>
        </w:rPr>
        <w:t>(1)</w:t>
      </w:r>
      <w:r w:rsidRPr="00020424">
        <w:rPr>
          <w:rtl/>
          <w:lang w:bidi="fa-IR"/>
        </w:rPr>
        <w:t xml:space="preserve"> ضَرَراً شَدِيداً.</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يُخْرِجُونَهَا ، فَيَعُودُونَ </w:t>
      </w:r>
      <w:r w:rsidRPr="00A91B96">
        <w:rPr>
          <w:rStyle w:val="libFootnotenumChar"/>
          <w:rtl/>
        </w:rPr>
        <w:t>(3)</w:t>
      </w:r>
      <w:r w:rsidRPr="00020424">
        <w:rPr>
          <w:rtl/>
          <w:lang w:bidi="fa-IR"/>
        </w:rPr>
        <w:t xml:space="preserve"> بِهَا عَلى أَنْفُسِهِمْ ، وَيُخْرِجُونَ مِنْهَا شَيْئاً ، فَيُدْفَعُ إِلى غَيْرِهِمْ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102" w:name="_Toc345172750"/>
      <w:bookmarkStart w:id="103" w:name="_Toc464562567"/>
      <w:bookmarkStart w:id="104" w:name="_Toc44599870"/>
      <w:r w:rsidRPr="00020424">
        <w:rPr>
          <w:rtl/>
          <w:lang w:bidi="fa-IR"/>
        </w:rPr>
        <w:t>30</w:t>
      </w:r>
      <w:r>
        <w:rPr>
          <w:rtl/>
          <w:lang w:bidi="fa-IR"/>
        </w:rPr>
        <w:t xml:space="preserve"> </w:t>
      </w:r>
      <w:r w:rsidR="009B673F">
        <w:rPr>
          <w:rtl/>
          <w:lang w:bidi="fa-IR"/>
        </w:rPr>
        <w:t>-</w:t>
      </w:r>
      <w:r>
        <w:rPr>
          <w:rtl/>
          <w:lang w:bidi="fa-IR"/>
        </w:rPr>
        <w:t xml:space="preserve"> </w:t>
      </w:r>
      <w:r w:rsidRPr="00020424">
        <w:rPr>
          <w:rtl/>
          <w:lang w:bidi="fa-IR"/>
        </w:rPr>
        <w:t xml:space="preserve">بَابُ أَقَلِّ مَا يُعْطى مِنَ الزَّكَاةِ وَأَكْثَرَ </w:t>
      </w:r>
      <w:r w:rsidRPr="00A91B96">
        <w:rPr>
          <w:rStyle w:val="libFootnotenumChar"/>
          <w:rtl/>
        </w:rPr>
        <w:t>(5)</w:t>
      </w:r>
      <w:r w:rsidRPr="00020424">
        <w:rPr>
          <w:rtl/>
          <w:lang w:bidi="fa-IR"/>
        </w:rPr>
        <w:t xml:space="preserve"> ‌</w:t>
      </w:r>
      <w:bookmarkEnd w:id="102"/>
      <w:bookmarkEnd w:id="103"/>
      <w:bookmarkEnd w:id="104"/>
    </w:p>
    <w:p w:rsidR="00992664" w:rsidRPr="00020424" w:rsidRDefault="00992664" w:rsidP="00992664">
      <w:pPr>
        <w:pStyle w:val="libNormal"/>
        <w:rPr>
          <w:rtl/>
          <w:lang w:bidi="fa-IR"/>
        </w:rPr>
      </w:pPr>
      <w:r w:rsidRPr="009F4DC9">
        <w:rPr>
          <w:rtl/>
        </w:rPr>
        <w:t>5910</w:t>
      </w:r>
      <w:r w:rsidRPr="001155DE">
        <w:rPr>
          <w:rStyle w:val="libBold2Char"/>
          <w:rtl/>
        </w:rPr>
        <w:t xml:space="preserve"> / 1.</w:t>
      </w:r>
      <w:r w:rsidRPr="00020424">
        <w:rPr>
          <w:rtl/>
          <w:lang w:bidi="fa-IR"/>
        </w:rPr>
        <w:t xml:space="preserve"> مُحَمَّدُ بْنُ يَحْيى ، عَنْ أَحْمَدَ بْنِ مُحَمَّدٍ ، عَنِ الْحَسَنِ بْ</w:t>
      </w:r>
      <w:r w:rsidR="003139C5">
        <w:rPr>
          <w:rtl/>
          <w:lang w:bidi="fa-IR"/>
        </w:rPr>
        <w:t>نِ مَحْبُوبٍ ، عَنْ أَبِي وَل</w:t>
      </w:r>
      <w:r w:rsidR="003139C5">
        <w:rPr>
          <w:rFonts w:hint="cs"/>
          <w:rtl/>
          <w:lang w:bidi="fa-IR"/>
        </w:rPr>
        <w:t>َّ</w:t>
      </w:r>
      <w:r w:rsidR="003139C5">
        <w:rPr>
          <w:rtl/>
          <w:lang w:bidi="fa-IR"/>
        </w:rPr>
        <w:t>ا</w:t>
      </w:r>
      <w:r w:rsidRPr="00020424">
        <w:rPr>
          <w:rtl/>
          <w:lang w:bidi="fa-IR"/>
        </w:rPr>
        <w:t>دٍ الْحَنَّاطِ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لَا يُعْطى أَحَدٌ مِنَ الزَّكَاةِ أَقَلَّ مِنْ خَمْسَةِ دَرَاهِمَ ، وَهُوَ أَقَلُّ مَا فَرَضَ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مِنَ الزَّكَاةِ فِي أَمْوَالِ الْمُسْلِمِينَ ، فَلَا تُعْطُوا </w:t>
      </w:r>
      <w:r w:rsidRPr="00A91B96">
        <w:rPr>
          <w:rStyle w:val="libFootnotenumChar"/>
          <w:rtl/>
        </w:rPr>
        <w:t>(6)</w:t>
      </w:r>
      <w:r w:rsidRPr="00020424">
        <w:rPr>
          <w:rtl/>
          <w:lang w:bidi="fa-IR"/>
        </w:rPr>
        <w:t xml:space="preserve"> أَحَداً مِنَ الزَّكَاةِ </w:t>
      </w:r>
      <w:r w:rsidRPr="00A91B96">
        <w:rPr>
          <w:rStyle w:val="libFootnotenumChar"/>
          <w:rtl/>
        </w:rPr>
        <w:t>(7)</w:t>
      </w:r>
      <w:r w:rsidRPr="00020424">
        <w:rPr>
          <w:rtl/>
          <w:lang w:bidi="fa-IR"/>
        </w:rPr>
        <w:t xml:space="preserve"> أَقَلَّ مِنْ خَمْسَةِ دَرَاهِمَ </w:t>
      </w:r>
      <w:r w:rsidRPr="00A91B96">
        <w:rPr>
          <w:rStyle w:val="libFootnotenumChar"/>
          <w:rtl/>
        </w:rPr>
        <w:t>(8)</w:t>
      </w:r>
      <w:r w:rsidRPr="00020424">
        <w:rPr>
          <w:rtl/>
          <w:lang w:bidi="fa-IR"/>
        </w:rPr>
        <w:t xml:space="preserve"> فَصَاعِداً</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بهم ذلك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بس » : « ويعودون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38 ، ح 1641 ، معلّقاً عن عليّ بن يقطين </w:t>
      </w:r>
      <w:r w:rsidR="005A4112">
        <w:rPr>
          <w:rFonts w:hint="cs"/>
          <w:rtl/>
        </w:rPr>
        <w:t>.</w:t>
      </w:r>
      <w:r w:rsidR="00992664" w:rsidRPr="0012008A">
        <w:rPr>
          <w:rStyle w:val="libFootnoteBoldChar"/>
          <w:rtl/>
        </w:rPr>
        <w:t>الوافي</w:t>
      </w:r>
      <w:r w:rsidR="00992664" w:rsidRPr="00020424">
        <w:rPr>
          <w:rtl/>
        </w:rPr>
        <w:t xml:space="preserve"> ، ج 10 ، ص 222 ، ح 9483 ؛ </w:t>
      </w:r>
      <w:r w:rsidR="00992664" w:rsidRPr="0012008A">
        <w:rPr>
          <w:rStyle w:val="libFootnoteBoldChar"/>
          <w:rtl/>
        </w:rPr>
        <w:t>الوسائل</w:t>
      </w:r>
      <w:r w:rsidR="00992664" w:rsidRPr="00020424">
        <w:rPr>
          <w:rtl/>
        </w:rPr>
        <w:t xml:space="preserve"> ، ج 9 ، ص 244 ، ح 11936.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 « وأكثره</w:t>
      </w:r>
      <w:r w:rsidR="00992664">
        <w:rPr>
          <w:rtl/>
        </w:rPr>
        <w:t xml:space="preserve"> ».</w:t>
      </w:r>
      <w:r w:rsidR="00992664" w:rsidRPr="00020424">
        <w:rPr>
          <w:rtl/>
        </w:rPr>
        <w:t xml:space="preserve"> وفي « بف » :</w:t>
      </w:r>
      <w:r w:rsidR="00992664">
        <w:rPr>
          <w:rtl/>
        </w:rPr>
        <w:t xml:space="preserve"> </w:t>
      </w:r>
      <w:r w:rsidR="009B673F">
        <w:rPr>
          <w:rtl/>
        </w:rPr>
        <w:t>-</w:t>
      </w:r>
      <w:r w:rsidR="00992664">
        <w:rPr>
          <w:rtl/>
        </w:rPr>
        <w:t xml:space="preserve"> </w:t>
      </w:r>
      <w:r w:rsidR="00992664" w:rsidRPr="00020424">
        <w:rPr>
          <w:rtl/>
        </w:rPr>
        <w:t>« وأكثر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5A4112">
        <w:rPr>
          <w:rtl/>
        </w:rPr>
        <w:t xml:space="preserve"> </w:t>
      </w:r>
      <w:r w:rsidR="00992664" w:rsidRPr="00EB1FD9">
        <w:rPr>
          <w:rStyle w:val="libFootnoteBoldChar"/>
          <w:rtl/>
        </w:rPr>
        <w:t>والوسائل</w:t>
      </w:r>
      <w:r w:rsidR="00992664" w:rsidRPr="005A4112">
        <w:rPr>
          <w:rtl/>
        </w:rPr>
        <w:t xml:space="preserve"> </w:t>
      </w:r>
      <w:r w:rsidR="00992664" w:rsidRPr="00515444">
        <w:rPr>
          <w:rStyle w:val="libFootnoteBoldChar"/>
          <w:rtl/>
        </w:rPr>
        <w:t>والتهذيب</w:t>
      </w:r>
      <w:r w:rsidR="00992664" w:rsidRPr="00020424">
        <w:rPr>
          <w:rtl/>
        </w:rPr>
        <w:t xml:space="preserve"> ، ح 167. وفي « جن » بالتاء والياء معاً. وفي</w:t>
      </w:r>
      <w:r w:rsidR="005A4112">
        <w:rPr>
          <w:rFonts w:hint="cs"/>
          <w:rtl/>
        </w:rPr>
        <w:t xml:space="preserve"> </w:t>
      </w:r>
      <w:r w:rsidR="00992664" w:rsidRPr="00020424">
        <w:rPr>
          <w:rtl/>
        </w:rPr>
        <w:t>‌المطبوع : « فلا يعطوا</w:t>
      </w:r>
      <w:r w:rsidR="00992664">
        <w:rPr>
          <w:rtl/>
        </w:rPr>
        <w:t xml:space="preserve"> ».</w:t>
      </w:r>
      <w:r w:rsidR="00992664" w:rsidRPr="00020424">
        <w:rPr>
          <w:rtl/>
        </w:rPr>
        <w:t xml:space="preserve"> وفي الاستبصار ، ح 116 : « ولا تعطوا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167 </w:t>
      </w:r>
      <w:r w:rsidR="00992664" w:rsidRPr="00FD6221">
        <w:rPr>
          <w:rStyle w:val="libFootnoteBoldChar"/>
          <w:rtl/>
        </w:rPr>
        <w:t>والاستبصار</w:t>
      </w:r>
      <w:r w:rsidR="00992664" w:rsidRPr="00020424">
        <w:rPr>
          <w:rtl/>
        </w:rPr>
        <w:t xml:space="preserve"> ، ح 116 :</w:t>
      </w:r>
      <w:r w:rsidR="00992664">
        <w:rPr>
          <w:rtl/>
        </w:rPr>
        <w:t xml:space="preserve"> </w:t>
      </w:r>
      <w:r w:rsidR="009B673F">
        <w:rPr>
          <w:rtl/>
        </w:rPr>
        <w:t>-</w:t>
      </w:r>
      <w:r w:rsidR="00992664">
        <w:rPr>
          <w:rtl/>
        </w:rPr>
        <w:t xml:space="preserve"> </w:t>
      </w:r>
      <w:r w:rsidR="00992664" w:rsidRPr="00020424">
        <w:rPr>
          <w:rtl/>
        </w:rPr>
        <w:t>« من الزكاة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 + « وهو أقلّ ما فرض الله من الزكاة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62 ، ح 167 ؛ </w:t>
      </w:r>
      <w:r w:rsidR="00992664" w:rsidRPr="00FD6221">
        <w:rPr>
          <w:rStyle w:val="libFootnoteBoldChar"/>
          <w:rtl/>
        </w:rPr>
        <w:t>والاستبصار</w:t>
      </w:r>
      <w:r w:rsidR="00992664" w:rsidRPr="00020424">
        <w:rPr>
          <w:rtl/>
        </w:rPr>
        <w:t xml:space="preserve"> ، ج 2 ، ص 38 ، ح 116 ، معلّقاً عن الكليني. </w:t>
      </w:r>
      <w:r w:rsidR="00D64ADA" w:rsidRPr="00D64ADA">
        <w:rPr>
          <w:rStyle w:val="libFootnoteBoldChar"/>
          <w:rtl/>
        </w:rPr>
        <w:t>المحاسن</w:t>
      </w:r>
      <w:r w:rsidR="00992664" w:rsidRPr="00020424">
        <w:rPr>
          <w:rtl/>
        </w:rPr>
        <w:t xml:space="preserve"> ، ص 319 ، </w:t>
      </w:r>
      <w:r w:rsidR="00992664" w:rsidRPr="005A4112">
        <w:rPr>
          <w:rStyle w:val="libFootnoteBoldChar"/>
          <w:rtl/>
        </w:rPr>
        <w:t>كتاب العلل</w:t>
      </w:r>
      <w:r w:rsidR="00992664" w:rsidRPr="00020424">
        <w:rPr>
          <w:rtl/>
        </w:rPr>
        <w:t xml:space="preserve"> ، ح 49 ، عن أبيه ، عن الحسن بن محبوب. وفي </w:t>
      </w:r>
      <w:r w:rsidR="00992664" w:rsidRPr="0012008A">
        <w:rPr>
          <w:rStyle w:val="libFootnoteBoldChar"/>
          <w:rtl/>
        </w:rPr>
        <w:t>التهذيب</w:t>
      </w:r>
      <w:r w:rsidR="00992664" w:rsidRPr="00020424">
        <w:rPr>
          <w:rtl/>
        </w:rPr>
        <w:t xml:space="preserve"> ، ج 4 ، ص 62 ، ح 168 ؛ </w:t>
      </w:r>
      <w:r w:rsidR="00992664" w:rsidRPr="00FD6221">
        <w:rPr>
          <w:rStyle w:val="libFootnoteBoldChar"/>
          <w:rtl/>
        </w:rPr>
        <w:t>والاستبصار</w:t>
      </w:r>
      <w:r w:rsidR="00992664" w:rsidRPr="00020424">
        <w:rPr>
          <w:rtl/>
        </w:rPr>
        <w:t xml:space="preserve"> ، ج 2 ، ص 38 ، ح 117 ، بسند آخر. </w:t>
      </w:r>
      <w:r w:rsidR="00992664" w:rsidRPr="0012008A">
        <w:rPr>
          <w:rStyle w:val="libFootnoteBoldChar"/>
          <w:rtl/>
        </w:rPr>
        <w:t>المقنعة</w:t>
      </w:r>
      <w:r w:rsidR="00992664" w:rsidRPr="00020424">
        <w:rPr>
          <w:rtl/>
        </w:rPr>
        <w:t xml:space="preserve"> ، ص 244 ، مرسلاً</w:t>
      </w:r>
      <w:r w:rsidR="005A4112">
        <w:rPr>
          <w:rtl/>
        </w:rPr>
        <w:t xml:space="preserve"> عن الحسن بن محبوب ، عن أبي ول</w:t>
      </w:r>
      <w:r w:rsidR="005A4112">
        <w:rPr>
          <w:rFonts w:hint="cs"/>
          <w:rtl/>
        </w:rPr>
        <w:t>ّ</w:t>
      </w:r>
      <w:r w:rsidR="005A4112">
        <w:rPr>
          <w:rtl/>
        </w:rPr>
        <w:t>ا</w:t>
      </w:r>
      <w:r w:rsidR="00992664" w:rsidRPr="00020424">
        <w:rPr>
          <w:rtl/>
        </w:rPr>
        <w:t xml:space="preserve">د الحنّاط ، عن أبي عبدالله </w:t>
      </w:r>
      <w:r w:rsidR="00992664" w:rsidRPr="00D64ADA">
        <w:rPr>
          <w:rStyle w:val="libFootnoteAlaemChar"/>
          <w:rtl/>
        </w:rPr>
        <w:t>عليه‌السلام</w:t>
      </w:r>
      <w:r w:rsidR="00992664" w:rsidRPr="00020424">
        <w:rPr>
          <w:rtl/>
        </w:rPr>
        <w:t xml:space="preserve"> ، وفي الأربعة الأخيرة إلى قوله : « وهو أقلّ ما فرض الله عزّوجلّ من الزكاة » مع اختلاف يسير </w:t>
      </w:r>
      <w:r w:rsidR="005A4112">
        <w:rPr>
          <w:rFonts w:hint="cs"/>
          <w:rtl/>
        </w:rPr>
        <w:t>.</w:t>
      </w:r>
      <w:r w:rsidR="00992664" w:rsidRPr="0012008A">
        <w:rPr>
          <w:rStyle w:val="libFootnoteBoldChar"/>
          <w:rtl/>
        </w:rPr>
        <w:t>الوافي</w:t>
      </w:r>
      <w:r w:rsidR="00992664" w:rsidRPr="00020424">
        <w:rPr>
          <w:rtl/>
        </w:rPr>
        <w:t xml:space="preserve"> ، ج 10 ، ص 205 ، ح 9444 ؛ </w:t>
      </w:r>
      <w:r w:rsidR="00992664" w:rsidRPr="0012008A">
        <w:rPr>
          <w:rStyle w:val="libFootnoteBoldChar"/>
          <w:rtl/>
        </w:rPr>
        <w:t>الوسائل</w:t>
      </w:r>
      <w:r w:rsidR="00992664" w:rsidRPr="00020424">
        <w:rPr>
          <w:rtl/>
        </w:rPr>
        <w:t xml:space="preserve"> ، ج 9 ، ص 257 ، ح 11966.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9F4DC9">
        <w:rPr>
          <w:rtl/>
        </w:rPr>
        <w:lastRenderedPageBreak/>
        <w:t>5911</w:t>
      </w:r>
      <w:r w:rsidRPr="001155DE">
        <w:rPr>
          <w:rStyle w:val="libBold2Char"/>
          <w:rtl/>
        </w:rPr>
        <w:t xml:space="preserve"> / 2.</w:t>
      </w:r>
      <w:r w:rsidRPr="00020424">
        <w:rPr>
          <w:rtl/>
          <w:lang w:bidi="fa-IR"/>
        </w:rPr>
        <w:t xml:space="preserve"> وَعَنْهُ </w:t>
      </w:r>
      <w:r w:rsidRPr="00A91B96">
        <w:rPr>
          <w:rStyle w:val="libFootnotenumChar"/>
          <w:rtl/>
        </w:rPr>
        <w:t>(1)</w:t>
      </w:r>
      <w:r w:rsidRPr="00020424">
        <w:rPr>
          <w:rtl/>
          <w:lang w:bidi="fa-IR"/>
        </w:rPr>
        <w:t xml:space="preserve"> ، عَنْ أَحْمَدَ </w:t>
      </w:r>
      <w:r w:rsidRPr="00A91B96">
        <w:rPr>
          <w:rStyle w:val="libFootnotenumChar"/>
          <w:rtl/>
        </w:rPr>
        <w:t>(2)</w:t>
      </w:r>
      <w:r w:rsidRPr="00020424">
        <w:rPr>
          <w:rtl/>
          <w:lang w:bidi="fa-IR"/>
        </w:rPr>
        <w:t xml:space="preserve"> ، عَنْ عَبْدِ الْمَلِكِ بْنِ عُتْبَةَ ، عَنْ إِسْحَاقَ بْنِ عَمَّارٍ :</w:t>
      </w:r>
    </w:p>
    <w:p w:rsidR="00992664" w:rsidRPr="00020424" w:rsidRDefault="00992664" w:rsidP="00992664">
      <w:pPr>
        <w:pStyle w:val="libNormal"/>
        <w:rPr>
          <w:rtl/>
          <w:lang w:bidi="fa-IR"/>
        </w:rPr>
      </w:pPr>
      <w:r w:rsidRPr="00020424">
        <w:rPr>
          <w:rtl/>
          <w:lang w:bidi="fa-IR"/>
        </w:rPr>
        <w:t xml:space="preserve">عَنْ أَبِي الْحَسَنِ مُوسى </w:t>
      </w:r>
      <w:r w:rsidRPr="00005A81">
        <w:rPr>
          <w:rStyle w:val="libAlaemChar"/>
          <w:rtl/>
        </w:rPr>
        <w:t>عليه‌السلام</w:t>
      </w:r>
      <w:r w:rsidRPr="00020424">
        <w:rPr>
          <w:rtl/>
          <w:lang w:bidi="fa-IR"/>
        </w:rPr>
        <w:t xml:space="preserve"> ، قَالَ : قُلْتُ لَهُ : أُعْطِي الرَّجُلَ مِنَ الزَّكَاةِ ثَمَانِينَ دِرْهَماً</w:t>
      </w:r>
      <w:r>
        <w:rPr>
          <w:rtl/>
          <w:lang w:bidi="fa-IR"/>
        </w:rPr>
        <w:t>؟</w:t>
      </w:r>
    </w:p>
    <w:p w:rsidR="00992664" w:rsidRPr="00020424" w:rsidRDefault="00992664" w:rsidP="00992664">
      <w:pPr>
        <w:pStyle w:val="libNormal"/>
        <w:rPr>
          <w:rtl/>
          <w:lang w:bidi="fa-IR"/>
        </w:rPr>
      </w:pPr>
      <w:r w:rsidRPr="00020424">
        <w:rPr>
          <w:rtl/>
          <w:lang w:bidi="fa-IR"/>
        </w:rPr>
        <w:t>قَالَ : « نَعَمْ ، وَزِدْهُ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أُعْطِيهِ مِائَةً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 xml:space="preserve">قَالَ : « نَعَمْ ، وَأَغْنِهِ إِنْ قَدَرْتَ </w:t>
      </w:r>
      <w:r w:rsidRPr="00A91B96">
        <w:rPr>
          <w:rStyle w:val="libFootnotenumChar"/>
          <w:rtl/>
        </w:rPr>
        <w:t>(4)</w:t>
      </w:r>
      <w:r w:rsidRPr="00020424">
        <w:rPr>
          <w:rtl/>
          <w:lang w:bidi="fa-IR"/>
        </w:rPr>
        <w:t xml:space="preserve"> أَنْ تُغْنِيَهُ</w:t>
      </w:r>
      <w:r>
        <w:rPr>
          <w:rtl/>
          <w:lang w:bidi="fa-IR"/>
        </w:rPr>
        <w:t xml:space="preserve"> ».</w:t>
      </w:r>
      <w:r w:rsidRPr="00020424">
        <w:rPr>
          <w:rtl/>
          <w:lang w:bidi="fa-IR"/>
        </w:rPr>
        <w:t xml:space="preserve"> </w:t>
      </w:r>
      <w:r w:rsidRPr="00A91B96">
        <w:rPr>
          <w:rStyle w:val="libFootnotenumChar"/>
          <w:rtl/>
        </w:rPr>
        <w:t>(5)</w:t>
      </w:r>
    </w:p>
    <w:p w:rsidR="00992664" w:rsidRPr="00020424" w:rsidRDefault="00992664" w:rsidP="00992664">
      <w:pPr>
        <w:pStyle w:val="libNormal"/>
        <w:rPr>
          <w:rtl/>
          <w:lang w:bidi="fa-IR"/>
        </w:rPr>
      </w:pPr>
      <w:r w:rsidRPr="009F4DC9">
        <w:rPr>
          <w:rtl/>
        </w:rPr>
        <w:t>5912</w:t>
      </w:r>
      <w:r w:rsidRPr="001155DE">
        <w:rPr>
          <w:rStyle w:val="libBold2Char"/>
          <w:rtl/>
        </w:rPr>
        <w:t xml:space="preserve"> / 3.</w:t>
      </w:r>
      <w:r w:rsidRPr="00020424">
        <w:rPr>
          <w:rtl/>
          <w:lang w:bidi="fa-IR"/>
        </w:rPr>
        <w:t xml:space="preserve"> أَحْمَدُ بْنُ إِدْرِيسَ ، عَنْ مُحَمَّدِ بْنِ أَحْمَدَ ، عَنْ أَحْمَدَ بْنِ الْحَ</w:t>
      </w:r>
      <w:r w:rsidR="005A4112">
        <w:rPr>
          <w:rtl/>
          <w:lang w:bidi="fa-IR"/>
        </w:rPr>
        <w:t>سَنِ بْنِ عَلِيِّ بْنِ فَضَّالٍ</w:t>
      </w:r>
      <w:r w:rsidRPr="00020424">
        <w:rPr>
          <w:rtl/>
          <w:lang w:bidi="fa-IR"/>
        </w:rPr>
        <w:t>، عَنْ عَمْرِو بْنِ سَعِيدٍ ، عَنْ مُصَدِّقِ بْنِ صَدَقَةَ ، عَنْ عَمَّارِ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سُئِلَ : كَمْ يُعْطَى الرَّجُلُ مِنَ الزَّكَاةِ</w:t>
      </w:r>
      <w:r>
        <w:rPr>
          <w:rtl/>
          <w:lang w:bidi="fa-IR"/>
        </w:rPr>
        <w:t>؟</w:t>
      </w:r>
    </w:p>
    <w:p w:rsidR="00992664" w:rsidRPr="00020424" w:rsidRDefault="00992664" w:rsidP="00992664">
      <w:pPr>
        <w:pStyle w:val="libNormal"/>
        <w:rPr>
          <w:rtl/>
          <w:lang w:bidi="fa-IR"/>
        </w:rPr>
      </w:pPr>
      <w:r w:rsidRPr="00020424">
        <w:rPr>
          <w:rtl/>
          <w:lang w:bidi="fa-IR"/>
        </w:rPr>
        <w:t xml:space="preserve">قَالَ : « قَالَ أَبُو جَعْفَرٍ </w:t>
      </w:r>
      <w:r w:rsidRPr="00A91B96">
        <w:rPr>
          <w:rStyle w:val="libFootnotenumChar"/>
          <w:rtl/>
        </w:rPr>
        <w:t>(6)</w:t>
      </w:r>
      <w:r w:rsidRPr="00020424">
        <w:rPr>
          <w:rtl/>
          <w:lang w:bidi="fa-IR"/>
        </w:rPr>
        <w:t xml:space="preserve"> </w:t>
      </w:r>
      <w:r w:rsidRPr="00005A81">
        <w:rPr>
          <w:rStyle w:val="libAlaemChar"/>
          <w:rtl/>
        </w:rPr>
        <w:t>عليه‌السلام</w:t>
      </w:r>
      <w:r w:rsidRPr="00020424">
        <w:rPr>
          <w:rtl/>
          <w:lang w:bidi="fa-IR"/>
        </w:rPr>
        <w:t xml:space="preserve"> : إِذَا أَعْطَيْتَ‌</w:t>
      </w:r>
      <w:r w:rsidR="00B50394">
        <w:rPr>
          <w:rFonts w:hint="cs"/>
          <w:rtl/>
          <w:lang w:bidi="fa-IR"/>
        </w:rPr>
        <w:t xml:space="preserve"> ..................</w:t>
      </w:r>
      <w:r w:rsidR="005A4112">
        <w:rPr>
          <w:rFonts w:hint="cs"/>
          <w:rtl/>
          <w:lang w:bidi="fa-IR"/>
        </w:rPr>
        <w:t>............</w:t>
      </w:r>
      <w:r w:rsidR="005A4112">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 « عنه » بدون الواو.</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المراد من أحمد هذا ، هو أحمد بن محمّد المذكور في السند السابق ، وهو أحمد بن محمّد بن عيسى كما تقدّم غير مرّةٍ. وقد تكرّرت في الأسناد رواية أحمد بن محمّد [ بن عيسى ] عن عليّ بن الحكم عن عبدالملك بن عتبة. والظاهر أنّ الواسطة بين أحمد وبين عبدالملك بن عتبة ساقطة. وهو عليّ بن الحكم. راجع : </w:t>
      </w:r>
      <w:r w:rsidR="00992664" w:rsidRPr="005A4112">
        <w:rPr>
          <w:rStyle w:val="libFootnoteBoldChar"/>
          <w:rtl/>
        </w:rPr>
        <w:t>معجم رجال الحديث</w:t>
      </w:r>
      <w:r w:rsidR="00992664" w:rsidRPr="00020424">
        <w:rPr>
          <w:rtl/>
        </w:rPr>
        <w:t xml:space="preserve"> ، ج 11 ، ص 605.</w:t>
      </w:r>
    </w:p>
    <w:p w:rsidR="00992664" w:rsidRPr="00020424" w:rsidRDefault="00992664" w:rsidP="005A4112">
      <w:pPr>
        <w:pStyle w:val="libFootnote0"/>
        <w:rPr>
          <w:rtl/>
          <w:lang w:bidi="fa-IR"/>
        </w:rPr>
      </w:pPr>
      <w:r w:rsidRPr="005A4112">
        <w:rPr>
          <w:rtl/>
        </w:rPr>
        <w:t xml:space="preserve">ويؤيّد ذلك مضافاً إلى ما يأتي في </w:t>
      </w:r>
      <w:r w:rsidRPr="005A4112">
        <w:rPr>
          <w:rStyle w:val="libFootnoteBoldChar"/>
          <w:rtl/>
        </w:rPr>
        <w:t>الكافي</w:t>
      </w:r>
      <w:r w:rsidRPr="005A4112">
        <w:rPr>
          <w:rtl/>
        </w:rPr>
        <w:t xml:space="preserve"> ، ح 5923 و6498 من رواية أحمد بن محمّد [ بن عيسى ] ، عن عليّ بن الحكم ، عن عبدالملك بن عتبة ، عن إسحاق بن عمّار ، عدم ثبوت رواية أحمد بن محمّد بن عيسى عن عبدالملك بن عتبة في موضع.</w:t>
      </w:r>
    </w:p>
    <w:p w:rsidR="00992664" w:rsidRPr="00020424" w:rsidRDefault="00992664" w:rsidP="00992664">
      <w:pPr>
        <w:pStyle w:val="libFootnote0"/>
        <w:rPr>
          <w:rtl/>
          <w:lang w:bidi="fa-IR"/>
        </w:rPr>
      </w:pPr>
      <w:r w:rsidRPr="005A4112">
        <w:rPr>
          <w:rtl/>
        </w:rPr>
        <w:t xml:space="preserve">ثمّ إنّ الخبر رواه الشيخ الطوسي في </w:t>
      </w:r>
      <w:r w:rsidRPr="005A4112">
        <w:rPr>
          <w:rStyle w:val="libFootnoteBoldChar"/>
          <w:rtl/>
        </w:rPr>
        <w:t>التهذيب</w:t>
      </w:r>
      <w:r w:rsidRPr="005A4112">
        <w:rPr>
          <w:rtl/>
        </w:rPr>
        <w:t xml:space="preserve"> ، ج 4 ، ص 64 ، ح 173 وسنده هكذا : « محمّد بن يعقوب ، عن أحمد ، عن عبد</w:t>
      </w:r>
      <w:r w:rsidR="005A4112">
        <w:rPr>
          <w:rFonts w:hint="cs"/>
          <w:rtl/>
        </w:rPr>
        <w:t xml:space="preserve"> </w:t>
      </w:r>
      <w:r w:rsidRPr="005A4112">
        <w:rPr>
          <w:rtl/>
        </w:rPr>
        <w:t>الملك بن عتبة ... ».</w:t>
      </w:r>
    </w:p>
    <w:p w:rsidR="00992664" w:rsidRPr="005A4112" w:rsidRDefault="00992664" w:rsidP="005A4112">
      <w:pPr>
        <w:pStyle w:val="libFootnote0"/>
        <w:rPr>
          <w:rtl/>
        </w:rPr>
      </w:pPr>
      <w:r w:rsidRPr="005A4112">
        <w:rPr>
          <w:rtl/>
        </w:rPr>
        <w:t>ولا يبعد أن يكون السند في نسخة الشيخ مبدوءاً ب</w:t>
      </w:r>
      <w:r w:rsidR="005A4112">
        <w:rPr>
          <w:rFonts w:hint="cs"/>
          <w:rtl/>
        </w:rPr>
        <w:t>ـ</w:t>
      </w:r>
      <w:r w:rsidRPr="005A4112">
        <w:rPr>
          <w:rtl/>
        </w:rPr>
        <w:t xml:space="preserve"> « أحمد » معلّقاً على سابقه ، وقد غفل الشيخ </w:t>
      </w:r>
      <w:r w:rsidR="005A4112" w:rsidRPr="005A4112">
        <w:rPr>
          <w:rStyle w:val="libFootnoteAlaemChar"/>
          <w:rtl/>
        </w:rPr>
        <w:t>قدس‌سره</w:t>
      </w:r>
      <w:r w:rsidRPr="005A4112">
        <w:rPr>
          <w:rtl/>
        </w:rPr>
        <w:t xml:space="preserve"> عن ذلك ، وجعل محمّد بن يعقوب راوياً عن أحمد سهواً.</w:t>
      </w:r>
    </w:p>
    <w:tbl>
      <w:tblPr>
        <w:tblStyle w:val="TableGrid"/>
        <w:bidiVisual/>
        <w:tblW w:w="0" w:type="auto"/>
        <w:tblLook w:val="04A0" w:firstRow="1" w:lastRow="0" w:firstColumn="1" w:lastColumn="0" w:noHBand="0" w:noVBand="1"/>
      </w:tblPr>
      <w:tblGrid>
        <w:gridCol w:w="4006"/>
        <w:gridCol w:w="4006"/>
      </w:tblGrid>
      <w:tr w:rsidR="005A4112" w:rsidTr="005A4112">
        <w:tc>
          <w:tcPr>
            <w:tcW w:w="4006" w:type="dxa"/>
          </w:tcPr>
          <w:p w:rsidR="005A4112" w:rsidRDefault="005A4112" w:rsidP="00992664">
            <w:pPr>
              <w:pStyle w:val="libFootnote0"/>
              <w:rPr>
                <w:rtl/>
              </w:rPr>
            </w:pPr>
            <w:r>
              <w:rPr>
                <w:rtl/>
              </w:rPr>
              <w:t xml:space="preserve">(3). </w:t>
            </w:r>
            <w:r w:rsidRPr="00020424">
              <w:rPr>
                <w:rtl/>
              </w:rPr>
              <w:t xml:space="preserve">في </w:t>
            </w:r>
            <w:r w:rsidRPr="005A4112">
              <w:rPr>
                <w:rtl/>
              </w:rPr>
              <w:t xml:space="preserve">الفقيه </w:t>
            </w:r>
            <w:r w:rsidRPr="00515444">
              <w:rPr>
                <w:rStyle w:val="libFootnoteBoldChar"/>
                <w:rtl/>
              </w:rPr>
              <w:t>والتهذيب</w:t>
            </w:r>
            <w:r w:rsidRPr="00020424">
              <w:rPr>
                <w:rtl/>
              </w:rPr>
              <w:t xml:space="preserve"> : + « درهم</w:t>
            </w:r>
            <w:r>
              <w:rPr>
                <w:rtl/>
              </w:rPr>
              <w:t xml:space="preserve"> ».</w:t>
            </w:r>
          </w:p>
        </w:tc>
        <w:tc>
          <w:tcPr>
            <w:tcW w:w="4006" w:type="dxa"/>
          </w:tcPr>
          <w:p w:rsidR="005A4112" w:rsidRDefault="005A4112" w:rsidP="00992664">
            <w:pPr>
              <w:pStyle w:val="libFootnote0"/>
              <w:rPr>
                <w:rtl/>
              </w:rPr>
            </w:pPr>
            <w:r>
              <w:rPr>
                <w:rtl/>
              </w:rPr>
              <w:t xml:space="preserve">(4). </w:t>
            </w:r>
            <w:r w:rsidRPr="005A4112">
              <w:rPr>
                <w:rtl/>
              </w:rPr>
              <w:t>في التهذيب : +</w:t>
            </w:r>
            <w:r w:rsidRPr="00020424">
              <w:rPr>
                <w:rtl/>
              </w:rPr>
              <w:t xml:space="preserve"> « على</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64 ، ح 173 ، معلّقاً عن الكليني. </w:t>
      </w:r>
      <w:r w:rsidR="00992664" w:rsidRPr="005A4112">
        <w:rPr>
          <w:rStyle w:val="libFootnoteBoldChar"/>
          <w:rtl/>
        </w:rPr>
        <w:t>وفيه</w:t>
      </w:r>
      <w:r w:rsidR="00992664" w:rsidRPr="00020424">
        <w:rPr>
          <w:rtl/>
        </w:rPr>
        <w:t xml:space="preserve"> ، ص 63 ، ح 172 ، بسنده عن إسحاق بن عمّار ، عن أبي عبدالله </w:t>
      </w:r>
      <w:r w:rsidR="00992664" w:rsidRPr="00D64ADA">
        <w:rPr>
          <w:rStyle w:val="libFootnoteAlaemChar"/>
          <w:rtl/>
        </w:rPr>
        <w:t>عليه‌السلام</w:t>
      </w:r>
      <w:r w:rsidR="00992664" w:rsidRPr="00020424">
        <w:rPr>
          <w:rtl/>
        </w:rPr>
        <w:t xml:space="preserve"> ، مع اختلاف. </w:t>
      </w:r>
      <w:r w:rsidR="00992664" w:rsidRPr="0012008A">
        <w:rPr>
          <w:rStyle w:val="libFootnoteBoldChar"/>
          <w:rtl/>
        </w:rPr>
        <w:t>المقنعة</w:t>
      </w:r>
      <w:r w:rsidR="00992664" w:rsidRPr="00020424">
        <w:rPr>
          <w:rtl/>
        </w:rPr>
        <w:t xml:space="preserve"> ، ص 244 ، مرسلاً عن إسحاق بن عمّار ، عن أبي الحسن موسى </w:t>
      </w:r>
      <w:r w:rsidR="00992664" w:rsidRPr="00D64ADA">
        <w:rPr>
          <w:rStyle w:val="libFootnoteAlaemChar"/>
          <w:rtl/>
        </w:rPr>
        <w:t>عليه‌السلام</w:t>
      </w:r>
      <w:r w:rsidR="00992664" w:rsidRPr="00020424">
        <w:rPr>
          <w:rtl/>
        </w:rPr>
        <w:t xml:space="preserve"> ، مع اختلاف يسير </w:t>
      </w:r>
      <w:r w:rsidR="005A4112">
        <w:rPr>
          <w:rFonts w:hint="cs"/>
          <w:rtl/>
        </w:rPr>
        <w:t>.</w:t>
      </w:r>
      <w:r w:rsidR="00992664" w:rsidRPr="0012008A">
        <w:rPr>
          <w:rStyle w:val="libFootnoteBoldChar"/>
          <w:rtl/>
        </w:rPr>
        <w:t>الوافي</w:t>
      </w:r>
      <w:r w:rsidR="00992664" w:rsidRPr="00020424">
        <w:rPr>
          <w:rtl/>
        </w:rPr>
        <w:t xml:space="preserve"> ، ج 10 ، ص 205 ، ح 9445 ؛ </w:t>
      </w:r>
      <w:r w:rsidR="00992664" w:rsidRPr="0012008A">
        <w:rPr>
          <w:rStyle w:val="libFootnoteBoldChar"/>
          <w:rtl/>
        </w:rPr>
        <w:t>الوسائل</w:t>
      </w:r>
      <w:r w:rsidR="00992664" w:rsidRPr="00020424">
        <w:rPr>
          <w:rtl/>
        </w:rPr>
        <w:t xml:space="preserve"> ، ج 9 ، ص 259 ، ح 11972.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 « أبو عبدالله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فَأَغْنِهِ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9F4DC9">
        <w:rPr>
          <w:rtl/>
        </w:rPr>
        <w:t>5913</w:t>
      </w:r>
      <w:r w:rsidRPr="001155DE">
        <w:rPr>
          <w:rStyle w:val="libBold2Char"/>
          <w:rtl/>
        </w:rPr>
        <w:t xml:space="preserve"> / 4.</w:t>
      </w:r>
      <w:r w:rsidRPr="00020424">
        <w:rPr>
          <w:rtl/>
          <w:lang w:bidi="fa-IR"/>
        </w:rPr>
        <w:t xml:space="preserve"> عَلِيُّ بْنُ إِبْرَاهِيمَ ، عَنْ أَبِيهِ ، عَنِ ابْنِ أَبِي عُمَيْرٍ ، عَنْ سَعِيدِ بْنِ غَزْوَانَ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تُعْطِيهِ </w:t>
      </w:r>
      <w:r w:rsidRPr="00A91B96">
        <w:rPr>
          <w:rStyle w:val="libFootnotenumChar"/>
          <w:rtl/>
        </w:rPr>
        <w:t>(3)</w:t>
      </w:r>
      <w:r w:rsidRPr="00020424">
        <w:rPr>
          <w:rtl/>
          <w:lang w:bidi="fa-IR"/>
        </w:rPr>
        <w:t xml:space="preserve"> مِنَ الزَّكَاةِ حَتّى تُغْنِيَهُ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105" w:name="_Toc345172751"/>
      <w:bookmarkStart w:id="106" w:name="_Toc464562568"/>
      <w:bookmarkStart w:id="107" w:name="_Toc44599871"/>
      <w:r w:rsidRPr="00020424">
        <w:rPr>
          <w:rtl/>
          <w:lang w:bidi="fa-IR"/>
        </w:rPr>
        <w:t>31</w:t>
      </w:r>
      <w:r>
        <w:rPr>
          <w:rtl/>
          <w:lang w:bidi="fa-IR"/>
        </w:rPr>
        <w:t xml:space="preserve"> </w:t>
      </w:r>
      <w:r w:rsidR="009B673F">
        <w:rPr>
          <w:rtl/>
          <w:lang w:bidi="fa-IR"/>
        </w:rPr>
        <w:t>-</w:t>
      </w:r>
      <w:r>
        <w:rPr>
          <w:rtl/>
          <w:lang w:bidi="fa-IR"/>
        </w:rPr>
        <w:t xml:space="preserve"> </w:t>
      </w:r>
      <w:r w:rsidRPr="00020424">
        <w:rPr>
          <w:rtl/>
          <w:lang w:bidi="fa-IR"/>
        </w:rPr>
        <w:t xml:space="preserve">بَابُ أَنَّهُ يُعْطى </w:t>
      </w:r>
      <w:r w:rsidRPr="00A91B96">
        <w:rPr>
          <w:rStyle w:val="libFootnotenumChar"/>
          <w:rtl/>
        </w:rPr>
        <w:t>(5)</w:t>
      </w:r>
      <w:r>
        <w:rPr>
          <w:rtl/>
        </w:rPr>
        <w:t xml:space="preserve"> </w:t>
      </w:r>
      <w:r w:rsidRPr="00020424">
        <w:rPr>
          <w:rtl/>
          <w:lang w:bidi="fa-IR"/>
        </w:rPr>
        <w:t xml:space="preserve">عِيَالُ الْمُؤْمِنِ </w:t>
      </w:r>
      <w:r w:rsidRPr="00A91B96">
        <w:rPr>
          <w:rStyle w:val="libFootnotenumChar"/>
          <w:rtl/>
        </w:rPr>
        <w:t>(6)</w:t>
      </w:r>
      <w:r>
        <w:rPr>
          <w:rtl/>
        </w:rPr>
        <w:t xml:space="preserve"> </w:t>
      </w:r>
      <w:r w:rsidRPr="00020424">
        <w:rPr>
          <w:rtl/>
          <w:lang w:bidi="fa-IR"/>
        </w:rPr>
        <w:t>مِنَ الزَّكَاةِ إِذَا كَانُوا صِغَاراً</w:t>
      </w:r>
      <w:bookmarkStart w:id="108" w:name="_Toc345172752"/>
      <w:bookmarkEnd w:id="105"/>
      <w:r>
        <w:rPr>
          <w:rFonts w:hint="cs"/>
          <w:rtl/>
          <w:lang w:bidi="fa-IR"/>
        </w:rPr>
        <w:t xml:space="preserve"> </w:t>
      </w:r>
      <w:r w:rsidRPr="00020424">
        <w:rPr>
          <w:rtl/>
          <w:lang w:bidi="fa-IR"/>
        </w:rPr>
        <w:t xml:space="preserve">وَيُقْضى </w:t>
      </w:r>
      <w:r w:rsidRPr="00A91B96">
        <w:rPr>
          <w:rStyle w:val="libFootnotenumChar"/>
          <w:rtl/>
        </w:rPr>
        <w:t>(7)</w:t>
      </w:r>
      <w:r>
        <w:rPr>
          <w:rtl/>
        </w:rPr>
        <w:t xml:space="preserve"> </w:t>
      </w:r>
      <w:r w:rsidRPr="00020424">
        <w:rPr>
          <w:rtl/>
          <w:lang w:bidi="fa-IR"/>
        </w:rPr>
        <w:t>عَنِ الْمُؤْمِنِينَ</w:t>
      </w:r>
      <w:r w:rsidRPr="00A91B96">
        <w:rPr>
          <w:rStyle w:val="libFootnotenumChar"/>
          <w:rtl/>
        </w:rPr>
        <w:t>(8)</w:t>
      </w:r>
      <w:r>
        <w:rPr>
          <w:rtl/>
        </w:rPr>
        <w:t xml:space="preserve"> </w:t>
      </w:r>
      <w:r w:rsidRPr="00020424">
        <w:rPr>
          <w:rtl/>
          <w:lang w:bidi="fa-IR"/>
        </w:rPr>
        <w:t>الدُّيُونُ مِنَ الزَّكَاةِ‌</w:t>
      </w:r>
      <w:bookmarkEnd w:id="106"/>
      <w:bookmarkEnd w:id="107"/>
      <w:bookmarkEnd w:id="108"/>
    </w:p>
    <w:p w:rsidR="00992664" w:rsidRPr="00020424" w:rsidRDefault="00992664" w:rsidP="00992664">
      <w:pPr>
        <w:pStyle w:val="libNormal"/>
        <w:rPr>
          <w:rtl/>
          <w:lang w:bidi="fa-IR"/>
        </w:rPr>
      </w:pPr>
      <w:r w:rsidRPr="009F4DC9">
        <w:rPr>
          <w:rtl/>
        </w:rPr>
        <w:t>5914</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(9)</w:t>
      </w:r>
      <w:r w:rsidRPr="00020424">
        <w:rPr>
          <w:rtl/>
          <w:lang w:bidi="fa-IR"/>
        </w:rPr>
        <w:t xml:space="preserve"> ، عَنْ حَرِيزٍ ، عَنْ أَبِي بَصِيرٍ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 يَمُوتُ ، وَيَتْرُكُ </w:t>
      </w:r>
      <w:r w:rsidRPr="00A91B96">
        <w:rPr>
          <w:rStyle w:val="libFootnotenumChar"/>
          <w:rtl/>
        </w:rPr>
        <w:t>(10)</w:t>
      </w:r>
      <w:r>
        <w:rPr>
          <w:rtl/>
          <w:lang w:bidi="fa-IR"/>
        </w:rPr>
        <w:t xml:space="preserve"> الْعِيَالَ : أَ</w:t>
      </w:r>
      <w:r w:rsidRPr="00020424">
        <w:rPr>
          <w:rtl/>
          <w:lang w:bidi="fa-IR"/>
        </w:rPr>
        <w:t>يُعْطَوْنَ مِنَ الزَّكَاةِ</w:t>
      </w:r>
      <w:r>
        <w:rPr>
          <w:rtl/>
          <w:lang w:bidi="fa-IR"/>
        </w:rPr>
        <w:t>؟</w:t>
      </w:r>
    </w:p>
    <w:p w:rsidR="00992664" w:rsidRPr="00020424" w:rsidRDefault="00992664" w:rsidP="00992664">
      <w:pPr>
        <w:pStyle w:val="libNormal"/>
        <w:rPr>
          <w:rtl/>
          <w:lang w:bidi="fa-IR"/>
        </w:rPr>
      </w:pPr>
      <w:r w:rsidRPr="00020424">
        <w:rPr>
          <w:rtl/>
          <w:lang w:bidi="fa-IR"/>
        </w:rPr>
        <w:t xml:space="preserve">قَالَ : « نَعَمْ ، حَتّى يَنْشَوْا </w:t>
      </w:r>
      <w:r w:rsidRPr="00A91B96">
        <w:rPr>
          <w:rStyle w:val="libFootnotenumChar"/>
          <w:rtl/>
        </w:rPr>
        <w:t>(11)</w:t>
      </w:r>
      <w:r w:rsidRPr="00020424">
        <w:rPr>
          <w:rtl/>
          <w:lang w:bidi="fa-IR"/>
        </w:rPr>
        <w:t xml:space="preserve"> وَيَبْلُغُوا وَيَسْأَلُوا : مِنْ أَيْنَ كَانُوا يَعِيشُونَ إِذَا قُطِعَ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بر » : « فأعنه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64 ، ح 174 ، معلّقاً عن الكليني. وفي </w:t>
      </w:r>
      <w:r w:rsidR="00992664" w:rsidRPr="0012008A">
        <w:rPr>
          <w:rStyle w:val="libFootnoteBoldChar"/>
          <w:rtl/>
        </w:rPr>
        <w:t>المقنعة</w:t>
      </w:r>
      <w:r w:rsidR="00992664" w:rsidRPr="00020424">
        <w:rPr>
          <w:rtl/>
        </w:rPr>
        <w:t xml:space="preserve"> ، ص 244 هكذا : « وروي عن أبي جعفر </w:t>
      </w:r>
      <w:r w:rsidR="00992664" w:rsidRPr="00D64ADA">
        <w:rPr>
          <w:rStyle w:val="libFootnoteAlaemChar"/>
          <w:rtl/>
        </w:rPr>
        <w:t>عليه‌السلام</w:t>
      </w:r>
      <w:r w:rsidR="00992664" w:rsidRPr="00020424">
        <w:rPr>
          <w:rtl/>
        </w:rPr>
        <w:t xml:space="preserve"> أنّه قال : إذا أعطيت الفقير فأغنه » </w:t>
      </w:r>
      <w:r w:rsidR="005A4112">
        <w:rPr>
          <w:rFonts w:hint="cs"/>
          <w:rtl/>
        </w:rPr>
        <w:t>.</w:t>
      </w:r>
      <w:r w:rsidR="00992664" w:rsidRPr="0012008A">
        <w:rPr>
          <w:rStyle w:val="libFootnoteBoldChar"/>
          <w:rtl/>
        </w:rPr>
        <w:t>الوافي</w:t>
      </w:r>
      <w:r w:rsidR="00992664" w:rsidRPr="00020424">
        <w:rPr>
          <w:rtl/>
        </w:rPr>
        <w:t xml:space="preserve"> ، ج 10 ، ص 206 ، ح 9446 ؛ </w:t>
      </w:r>
      <w:r w:rsidR="00992664" w:rsidRPr="0012008A">
        <w:rPr>
          <w:rStyle w:val="libFootnoteBoldChar"/>
          <w:rtl/>
        </w:rPr>
        <w:t>الوسائل</w:t>
      </w:r>
      <w:r w:rsidR="00992664" w:rsidRPr="00020424">
        <w:rPr>
          <w:rtl/>
        </w:rPr>
        <w:t xml:space="preserve"> ، ج 9 ، ص 259 ، ح 11973.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5A4112">
        <w:rPr>
          <w:rtl/>
        </w:rPr>
        <w:t>التهذيب</w:t>
      </w:r>
      <w:r w:rsidR="00992664" w:rsidRPr="00020424">
        <w:rPr>
          <w:rtl/>
        </w:rPr>
        <w:t xml:space="preserve"> : « سألته : كم يعطى الرجل الواحد من الزكاة</w:t>
      </w:r>
      <w:r w:rsidR="00992664">
        <w:rPr>
          <w:rtl/>
        </w:rPr>
        <w:t>؟</w:t>
      </w:r>
      <w:r w:rsidR="00992664" w:rsidRPr="00020424">
        <w:rPr>
          <w:rtl/>
        </w:rPr>
        <w:t xml:space="preserve"> قال : أعطه » بدل « تعطيه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63 ، ح 170 ، بسنده عن محمّد بن أبي عمير </w:t>
      </w:r>
      <w:r w:rsidR="005A4112">
        <w:rPr>
          <w:rFonts w:hint="cs"/>
          <w:rtl/>
        </w:rPr>
        <w:t>.</w:t>
      </w:r>
      <w:r w:rsidR="00992664" w:rsidRPr="0012008A">
        <w:rPr>
          <w:rStyle w:val="libFootnoteBoldChar"/>
          <w:rtl/>
        </w:rPr>
        <w:t>الوافي</w:t>
      </w:r>
      <w:r w:rsidR="00992664" w:rsidRPr="00020424">
        <w:rPr>
          <w:rtl/>
        </w:rPr>
        <w:t xml:space="preserve"> ، ج 10 ، ص 206 ، ح 9447 ؛ </w:t>
      </w:r>
      <w:r w:rsidR="00992664" w:rsidRPr="0012008A">
        <w:rPr>
          <w:rStyle w:val="libFootnoteBoldChar"/>
          <w:rtl/>
        </w:rPr>
        <w:t>الوسائل</w:t>
      </w:r>
      <w:r w:rsidR="00992664" w:rsidRPr="00020424">
        <w:rPr>
          <w:rtl/>
        </w:rPr>
        <w:t xml:space="preserve"> ، ج 9 ، ص 258 ، ح 11970.</w:t>
      </w:r>
      <w:r w:rsidR="00992664">
        <w:rPr>
          <w:rFonts w:hint="cs"/>
          <w:rtl/>
          <w:lang w:bidi="fa-IR"/>
        </w:rPr>
        <w:t xml:space="preserve"> </w:t>
      </w:r>
      <w:r w:rsidR="00B50394">
        <w:rPr>
          <w:rFonts w:hint="cs"/>
          <w:rtl/>
          <w:lang w:bidi="fa-IR"/>
        </w:rPr>
        <w:t xml:space="preserve">  </w:t>
      </w:r>
      <w:r w:rsidR="005A4112">
        <w:rPr>
          <w:rFonts w:hint="cs"/>
          <w:rtl/>
          <w:lang w:bidi="fa-IR"/>
        </w:rPr>
        <w:t xml:space="preserve">  </w:t>
      </w:r>
      <w:r>
        <w:rPr>
          <w:rtl/>
        </w:rPr>
        <w:t>(5).</w:t>
      </w:r>
      <w:r w:rsidR="0014403D">
        <w:rPr>
          <w:rtl/>
        </w:rPr>
        <w:t xml:space="preserve"> </w:t>
      </w:r>
      <w:r w:rsidR="00992664" w:rsidRPr="00020424">
        <w:rPr>
          <w:rtl/>
        </w:rPr>
        <w:t>في « ى » : « تعطى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A4112" w:rsidTr="005A4112">
        <w:tc>
          <w:tcPr>
            <w:tcW w:w="4006" w:type="dxa"/>
          </w:tcPr>
          <w:p w:rsidR="005A4112" w:rsidRDefault="005A4112" w:rsidP="00992664">
            <w:pPr>
              <w:pStyle w:val="libFootnote0"/>
              <w:rPr>
                <w:rtl/>
              </w:rPr>
            </w:pPr>
            <w:r>
              <w:rPr>
                <w:rtl/>
              </w:rPr>
              <w:t xml:space="preserve">(6). </w:t>
            </w:r>
            <w:r w:rsidRPr="00020424">
              <w:rPr>
                <w:rtl/>
              </w:rPr>
              <w:t>في « بث ، بخ » : « المؤمنين</w:t>
            </w:r>
            <w:r>
              <w:rPr>
                <w:rtl/>
              </w:rPr>
              <w:t xml:space="preserve"> ».</w:t>
            </w:r>
          </w:p>
        </w:tc>
        <w:tc>
          <w:tcPr>
            <w:tcW w:w="4006" w:type="dxa"/>
          </w:tcPr>
          <w:p w:rsidR="005A4112" w:rsidRDefault="005A4112" w:rsidP="00992664">
            <w:pPr>
              <w:pStyle w:val="libFootnote0"/>
              <w:rPr>
                <w:rtl/>
              </w:rPr>
            </w:pPr>
            <w:r>
              <w:rPr>
                <w:rtl/>
              </w:rPr>
              <w:t>(7). في«بح»:«</w:t>
            </w:r>
            <w:r w:rsidRPr="00020424">
              <w:rPr>
                <w:rtl/>
              </w:rPr>
              <w:t>وتقضى</w:t>
            </w:r>
            <w:r>
              <w:rPr>
                <w:rtl/>
              </w:rPr>
              <w:t>».وفي«بخ،بف»:«</w:t>
            </w:r>
            <w:r w:rsidRPr="00020424">
              <w:rPr>
                <w:rtl/>
              </w:rPr>
              <w:t>أو يقضى</w:t>
            </w:r>
            <w:r>
              <w:rPr>
                <w:rtl/>
              </w:rPr>
              <w:t>».</w:t>
            </w:r>
          </w:p>
        </w:tc>
      </w:tr>
      <w:tr w:rsidR="005A4112" w:rsidTr="005A4112">
        <w:tc>
          <w:tcPr>
            <w:tcW w:w="4006" w:type="dxa"/>
          </w:tcPr>
          <w:p w:rsidR="005A4112" w:rsidRDefault="005A4112" w:rsidP="00992664">
            <w:pPr>
              <w:pStyle w:val="libFootnote0"/>
              <w:rPr>
                <w:rtl/>
              </w:rPr>
            </w:pPr>
            <w:r>
              <w:rPr>
                <w:rtl/>
              </w:rPr>
              <w:t xml:space="preserve">(8). </w:t>
            </w:r>
            <w:r w:rsidRPr="00020424">
              <w:rPr>
                <w:rtl/>
              </w:rPr>
              <w:t>في « بف » : « المؤمن</w:t>
            </w:r>
            <w:r>
              <w:rPr>
                <w:rtl/>
              </w:rPr>
              <w:t xml:space="preserve"> ».</w:t>
            </w:r>
          </w:p>
        </w:tc>
        <w:tc>
          <w:tcPr>
            <w:tcW w:w="4006" w:type="dxa"/>
          </w:tcPr>
          <w:p w:rsidR="005A4112" w:rsidRDefault="005A4112" w:rsidP="00992664">
            <w:pPr>
              <w:pStyle w:val="libFootnote0"/>
              <w:rPr>
                <w:rtl/>
              </w:rPr>
            </w:pPr>
            <w:r>
              <w:rPr>
                <w:rtl/>
              </w:rPr>
              <w:t xml:space="preserve">(9). </w:t>
            </w:r>
            <w:r w:rsidRPr="00020424">
              <w:rPr>
                <w:rtl/>
              </w:rPr>
              <w:t xml:space="preserve">في « بر ، بف » </w:t>
            </w:r>
            <w:r w:rsidRPr="00515444">
              <w:rPr>
                <w:rStyle w:val="libFootnoteBoldChar"/>
                <w:rtl/>
              </w:rPr>
              <w:t>والتهذيب</w:t>
            </w:r>
            <w:r w:rsidRPr="00020424">
              <w:rPr>
                <w:rtl/>
              </w:rPr>
              <w:t xml:space="preserve"> :</w:t>
            </w:r>
            <w:r>
              <w:rPr>
                <w:rtl/>
              </w:rPr>
              <w:t xml:space="preserve"> - </w:t>
            </w:r>
            <w:r w:rsidRPr="00020424">
              <w:rPr>
                <w:rtl/>
              </w:rPr>
              <w:t>« بن عيسى</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 « وترك</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5A4112">
        <w:rPr>
          <w:rtl/>
        </w:rPr>
        <w:t>الوافي</w:t>
      </w:r>
      <w:r w:rsidR="00992664" w:rsidRPr="00020424">
        <w:rPr>
          <w:rtl/>
        </w:rPr>
        <w:t xml:space="preserve"> ومرآة العقول </w:t>
      </w:r>
      <w:r w:rsidR="00992664" w:rsidRPr="00515444">
        <w:rPr>
          <w:rStyle w:val="libFootnoteBoldChar"/>
          <w:rtl/>
        </w:rPr>
        <w:t>والتهذيب</w:t>
      </w:r>
      <w:r w:rsidR="00992664" w:rsidRPr="00020424">
        <w:rPr>
          <w:rtl/>
        </w:rPr>
        <w:t xml:space="preserve"> : « ينشأوا</w:t>
      </w:r>
      <w:r w:rsidR="00992664">
        <w:rPr>
          <w:rtl/>
        </w:rPr>
        <w:t xml:space="preserve"> ».</w:t>
      </w:r>
      <w:r w:rsidR="00992664" w:rsidRPr="00020424">
        <w:rPr>
          <w:rtl/>
        </w:rPr>
        <w:t xml:space="preserve"> وقال في </w:t>
      </w:r>
      <w:r w:rsidR="00992664" w:rsidRPr="0012008A">
        <w:rPr>
          <w:rStyle w:val="libFootnoteBoldChar"/>
          <w:rtl/>
        </w:rPr>
        <w:t>النهاية</w:t>
      </w:r>
      <w:r w:rsidR="00992664" w:rsidRPr="00020424">
        <w:rPr>
          <w:rtl/>
        </w:rPr>
        <w:t xml:space="preserve"> : « نشأ الصبيّ ينشأ نشأً فهو ناشئ ، إذا كبر وشبّ‌</w:t>
      </w:r>
      <w:r w:rsidR="005A4112">
        <w:rPr>
          <w:rFonts w:hint="cs"/>
          <w:rtl/>
        </w:rPr>
        <w:t xml:space="preserve"> </w:t>
      </w:r>
      <w:r w:rsidR="00992664" w:rsidRPr="00020424">
        <w:rPr>
          <w:rtl/>
        </w:rPr>
        <w:t>ولم يتكامل</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5 ، ص 51 ( نشأ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5A4112">
        <w:rPr>
          <w:rtl/>
        </w:rPr>
        <w:t>الوافي</w:t>
      </w:r>
      <w:r w:rsidR="00992664" w:rsidRPr="00020424">
        <w:rPr>
          <w:rtl/>
        </w:rPr>
        <w:t xml:space="preserve"> ومرآة العقول : « إذا انقطع</w:t>
      </w:r>
      <w:r w:rsidR="00992664">
        <w:rPr>
          <w:rtl/>
        </w:rPr>
        <w:t xml:space="preserve"> ».</w:t>
      </w:r>
      <w:r w:rsidR="00992664" w:rsidRPr="00020424">
        <w:rPr>
          <w:rtl/>
        </w:rPr>
        <w:t xml:space="preserve"> وفي </w:t>
      </w:r>
      <w:r w:rsidR="00992664" w:rsidRPr="00DE76B9">
        <w:rPr>
          <w:rStyle w:val="libFootnoteBoldChar"/>
          <w:rtl/>
        </w:rPr>
        <w:t>المرآة</w:t>
      </w:r>
      <w:r w:rsidR="00992664" w:rsidRPr="00020424">
        <w:rPr>
          <w:rtl/>
        </w:rPr>
        <w:t xml:space="preserve"> : « قوله </w:t>
      </w:r>
      <w:r w:rsidR="00992664" w:rsidRPr="00D64ADA">
        <w:rPr>
          <w:rStyle w:val="libFootnoteAlaemChar"/>
          <w:rtl/>
        </w:rPr>
        <w:t>عليه‌السلام</w:t>
      </w:r>
      <w:r w:rsidR="00992664" w:rsidRPr="00020424">
        <w:rPr>
          <w:rtl/>
        </w:rPr>
        <w:t xml:space="preserve"> : إذا انقطع ، متعلّق بالسؤال ؛ فإنّ ذلك يوجب محبّة منهم للشيعة ولمذهبهم ؛ لأنّه كان يعيشهم من مالهم ، ثمّ يجيب إليهم ويعرض عليهم دين أبيهم ؛ </w:t>
      </w:r>
      <w:r w:rsidR="005A4112">
        <w:rPr>
          <w:rtl/>
        </w:rPr>
        <w:t>أعني التشيّع ، فإن اختاروا وإل</w:t>
      </w:r>
      <w:r w:rsidR="005A4112">
        <w:rPr>
          <w:rFonts w:hint="cs"/>
          <w:rtl/>
        </w:rPr>
        <w:t>ّ</w:t>
      </w:r>
      <w:r w:rsidR="005A4112">
        <w:rPr>
          <w:rtl/>
        </w:rPr>
        <w:t>ا</w:t>
      </w:r>
      <w:r w:rsidR="00992664" w:rsidRPr="00020424">
        <w:rPr>
          <w:rtl/>
        </w:rPr>
        <w:t xml:space="preserve"> يقطع عنهم. وقال في </w:t>
      </w:r>
      <w:r w:rsidR="00992664" w:rsidRPr="00DE76B9">
        <w:rPr>
          <w:rStyle w:val="libFootnoteBoldChar"/>
          <w:rtl/>
        </w:rPr>
        <w:t>الدورس</w:t>
      </w:r>
      <w:r w:rsidR="00992664" w:rsidRPr="00020424">
        <w:rPr>
          <w:rtl/>
        </w:rPr>
        <w:t xml:space="preserve"> : ويعطى أطفال المؤمنين وإن كان أباؤهم فسّاقاً ، دون أطفال غيرهم</w:t>
      </w:r>
      <w:r w:rsidR="00992664">
        <w:rPr>
          <w:rtl/>
        </w:rPr>
        <w:t xml:space="preserve"> ».</w:t>
      </w:r>
      <w:r w:rsidR="00992664" w:rsidRPr="00020424">
        <w:rPr>
          <w:rtl/>
        </w:rPr>
        <w:t xml:space="preserve"> وراجع : </w:t>
      </w:r>
      <w:r w:rsidR="00992664" w:rsidRPr="00DE76B9">
        <w:rPr>
          <w:rStyle w:val="libFootnoteBoldChar"/>
          <w:rtl/>
        </w:rPr>
        <w:t>الدروس الشرعية</w:t>
      </w:r>
      <w:r w:rsidR="00992664" w:rsidRPr="00020424">
        <w:rPr>
          <w:rtl/>
        </w:rPr>
        <w:t xml:space="preserve"> ، ج 1 ، ص 242.</w:t>
      </w:r>
    </w:p>
    <w:p w:rsidR="00795177" w:rsidRDefault="00795177" w:rsidP="00795177">
      <w:pPr>
        <w:pStyle w:val="libNormal"/>
        <w:rPr>
          <w:rtl/>
          <w:lang w:bidi="fa-IR"/>
        </w:rPr>
      </w:pPr>
      <w:r>
        <w:rPr>
          <w:rtl/>
          <w:lang w:bidi="fa-IR"/>
        </w:rPr>
        <w:br w:type="page"/>
      </w:r>
    </w:p>
    <w:p w:rsidR="00992664" w:rsidRPr="00020424" w:rsidRDefault="00992664" w:rsidP="005A4112">
      <w:pPr>
        <w:pStyle w:val="libNormal0"/>
        <w:rPr>
          <w:rtl/>
          <w:lang w:bidi="fa-IR"/>
        </w:rPr>
      </w:pPr>
      <w:r w:rsidRPr="00020424">
        <w:rPr>
          <w:rtl/>
          <w:lang w:bidi="fa-IR"/>
        </w:rPr>
        <w:lastRenderedPageBreak/>
        <w:t>ذلِكَ عَنْهُمْ</w:t>
      </w:r>
      <w:r>
        <w:rPr>
          <w:rtl/>
          <w:lang w:bidi="fa-IR"/>
        </w:rPr>
        <w:t>؟ ».</w:t>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(1)</w:t>
      </w:r>
      <w:r w:rsidRPr="00020424">
        <w:rPr>
          <w:rtl/>
          <w:lang w:bidi="fa-IR"/>
        </w:rPr>
        <w:t xml:space="preserve"> : إِنَّهُمْ لَايَعْرِفُونَ.</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 يُحْفَظُ فِيهِمْ مَيِّتُهُمْ ، وَيُحَبَّبُ </w:t>
      </w:r>
      <w:r w:rsidRPr="00A91B96">
        <w:rPr>
          <w:rStyle w:val="libFootnotenumChar"/>
          <w:rtl/>
        </w:rPr>
        <w:t>(3)</w:t>
      </w:r>
      <w:r w:rsidRPr="00020424">
        <w:rPr>
          <w:rtl/>
          <w:lang w:bidi="fa-IR"/>
        </w:rPr>
        <w:t xml:space="preserve"> إِلَيْهِمْ دِينُ </w:t>
      </w:r>
      <w:r w:rsidRPr="00A91B96">
        <w:rPr>
          <w:rStyle w:val="libFootnotenumChar"/>
          <w:rtl/>
        </w:rPr>
        <w:t>(4)</w:t>
      </w:r>
      <w:r w:rsidRPr="00020424">
        <w:rPr>
          <w:rtl/>
          <w:lang w:bidi="fa-IR"/>
        </w:rPr>
        <w:t xml:space="preserve"> أَبِيهِمْ </w:t>
      </w:r>
      <w:r w:rsidRPr="00A91B96">
        <w:rPr>
          <w:rStyle w:val="libFootnotenumChar"/>
          <w:rtl/>
        </w:rPr>
        <w:t>(5)</w:t>
      </w:r>
      <w:r w:rsidRPr="00020424">
        <w:rPr>
          <w:rtl/>
          <w:lang w:bidi="fa-IR"/>
        </w:rPr>
        <w:t xml:space="preserve"> ، فَلَا يَلْبَثُوا </w:t>
      </w:r>
      <w:r w:rsidRPr="00A91B96">
        <w:rPr>
          <w:rStyle w:val="libFootnotenumChar"/>
          <w:rtl/>
        </w:rPr>
        <w:t>(6)</w:t>
      </w:r>
      <w:r w:rsidRPr="00020424">
        <w:rPr>
          <w:rtl/>
          <w:lang w:bidi="fa-IR"/>
        </w:rPr>
        <w:t xml:space="preserve"> أَنْ يَهْتَمُّوا بِدِينِ أَبِيهِمْ </w:t>
      </w:r>
      <w:r w:rsidRPr="00A91B96">
        <w:rPr>
          <w:rStyle w:val="libFootnotenumChar"/>
          <w:rtl/>
        </w:rPr>
        <w:t>(7)</w:t>
      </w:r>
      <w:r w:rsidRPr="00020424">
        <w:rPr>
          <w:rtl/>
          <w:lang w:bidi="fa-IR"/>
        </w:rPr>
        <w:t xml:space="preserve"> ، فَإِذَا بَلَغُوا وَعَدَلُوا إِلى غَيْرِكُمْ </w:t>
      </w:r>
      <w:r w:rsidRPr="00A91B96">
        <w:rPr>
          <w:rStyle w:val="libFootnotenumChar"/>
          <w:rtl/>
        </w:rPr>
        <w:t>(8)</w:t>
      </w:r>
      <w:r w:rsidRPr="00020424">
        <w:rPr>
          <w:rtl/>
          <w:lang w:bidi="fa-IR"/>
        </w:rPr>
        <w:t xml:space="preserve"> ، فَلَا تُعْطُوهُمْ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5A4112" w:rsidRDefault="00992664" w:rsidP="005A4112">
      <w:pPr>
        <w:pStyle w:val="libNormal"/>
        <w:rPr>
          <w:rtl/>
          <w:lang w:bidi="fa-IR"/>
        </w:rPr>
      </w:pPr>
      <w:r w:rsidRPr="009F4DC9">
        <w:rPr>
          <w:rtl/>
        </w:rPr>
        <w:t>5915</w:t>
      </w:r>
      <w:r w:rsidRPr="001155DE">
        <w:rPr>
          <w:rStyle w:val="libBold2Char"/>
          <w:rtl/>
        </w:rPr>
        <w:t xml:space="preserve"> / 2.</w:t>
      </w:r>
      <w:r w:rsidRPr="00020424">
        <w:rPr>
          <w:rtl/>
          <w:lang w:bidi="fa-IR"/>
        </w:rPr>
        <w:t xml:space="preserve"> مُحَمَّدُ بْنُ إِسْمَاعِيلَ ، عَنِ الْفَضْلِ بْنِ شَاذَانَ ؛</w:t>
      </w:r>
    </w:p>
    <w:p w:rsidR="00992664" w:rsidRPr="00020424" w:rsidRDefault="005A4112" w:rsidP="005A4112">
      <w:pPr>
        <w:pStyle w:val="libNormal"/>
        <w:rPr>
          <w:rtl/>
          <w:lang w:bidi="fa-IR"/>
        </w:rPr>
      </w:pPr>
      <w:r>
        <w:rPr>
          <w:rFonts w:hint="cs"/>
          <w:rtl/>
          <w:lang w:bidi="fa-IR"/>
        </w:rPr>
        <w:t xml:space="preserve">             </w:t>
      </w:r>
      <w:r w:rsidR="00992664" w:rsidRPr="00020424">
        <w:rPr>
          <w:rtl/>
          <w:lang w:bidi="fa-IR"/>
        </w:rPr>
        <w:t xml:space="preserve">وَمُحَمَّدُ بْنُ يَحْيى ، عَنْ مُحَمَّدِ بْنِ الْحُسَيْنِ جَمِيعاً ، عَنْ صَفْوَانَ بْنِ يَحْيى </w:t>
      </w:r>
      <w:r w:rsidR="00992664" w:rsidRPr="00A91B96">
        <w:rPr>
          <w:rStyle w:val="libFootnotenumChar"/>
          <w:rtl/>
        </w:rPr>
        <w:t>(10)</w:t>
      </w:r>
      <w:r w:rsidR="00992664" w:rsidRPr="00020424">
        <w:rPr>
          <w:rtl/>
          <w:lang w:bidi="fa-IR"/>
        </w:rPr>
        <w:t xml:space="preserve">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رَجُلٍ عَارِفٍ فَاضِلٍ تُوُفِّيَ ، وَتَرَكَ عَلَيْهِ دَيْناً قَدِ ابْتُلِيَ بِهِ ، لَمْ يَكُنْ</w:t>
      </w:r>
      <w:r w:rsidRPr="00A91B96">
        <w:rPr>
          <w:rStyle w:val="libFootnotenumChar"/>
          <w:rtl/>
        </w:rPr>
        <w:t>(11)</w:t>
      </w:r>
      <w:r w:rsidRPr="00020424">
        <w:rPr>
          <w:rtl/>
          <w:lang w:bidi="fa-IR"/>
        </w:rPr>
        <w:t xml:space="preserve"> بِمُفْسِدٍ </w:t>
      </w:r>
      <w:r w:rsidRPr="00A91B96">
        <w:rPr>
          <w:rStyle w:val="libFootnotenumChar"/>
          <w:rtl/>
        </w:rPr>
        <w:t>(12)</w:t>
      </w:r>
      <w:r w:rsidRPr="00020424">
        <w:rPr>
          <w:rtl/>
          <w:lang w:bidi="fa-IR"/>
        </w:rPr>
        <w:t xml:space="preserve"> ، وَلَابِمُسْرِفٍ </w:t>
      </w:r>
      <w:r w:rsidRPr="00A91B96">
        <w:rPr>
          <w:rStyle w:val="libFootnotenumChar"/>
          <w:rtl/>
        </w:rPr>
        <w:t>(13)</w:t>
      </w:r>
      <w:r w:rsidRPr="00020424">
        <w:rPr>
          <w:rtl/>
          <w:lang w:bidi="fa-IR"/>
        </w:rPr>
        <w:t xml:space="preserve"> ، وَلَامَعْرُوفٍ </w:t>
      </w:r>
      <w:r w:rsidRPr="00A91B96">
        <w:rPr>
          <w:rStyle w:val="libFootnotenumChar"/>
          <w:rtl/>
        </w:rPr>
        <w:t>(14)</w:t>
      </w:r>
      <w:r w:rsidRPr="00020424">
        <w:rPr>
          <w:rtl/>
          <w:lang w:bidi="fa-IR"/>
        </w:rPr>
        <w:t xml:space="preserve"> بِالْمَسْأَلَةِ ، هَلْ يُقْضى </w:t>
      </w:r>
      <w:r w:rsidRPr="00A91B96">
        <w:rPr>
          <w:rStyle w:val="libFootnotenumChar"/>
          <w:rtl/>
        </w:rPr>
        <w:t>(15)</w:t>
      </w:r>
      <w:r w:rsidRPr="00020424">
        <w:rPr>
          <w:rtl/>
          <w:lang w:bidi="fa-IR"/>
        </w:rPr>
        <w:t xml:space="preserve"> عَنْهُ مِنَ الزَّكَاةِ الْأَلْفُ وَالْأَلْفَانِ</w:t>
      </w:r>
      <w:r>
        <w:rPr>
          <w:rtl/>
          <w:lang w:bidi="fa-IR"/>
        </w:rPr>
        <w:t>؟</w:t>
      </w:r>
    </w:p>
    <w:p w:rsidR="00992664" w:rsidRPr="00020424" w:rsidRDefault="00992664" w:rsidP="00992664">
      <w:pPr>
        <w:pStyle w:val="libNormal"/>
        <w:rPr>
          <w:rtl/>
          <w:lang w:bidi="fa-IR"/>
        </w:rPr>
      </w:pPr>
      <w:r w:rsidRPr="00020424">
        <w:rPr>
          <w:rtl/>
          <w:lang w:bidi="fa-IR"/>
        </w:rPr>
        <w:t>قَالَ : « نَعَمْ</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3801"/>
        <w:gridCol w:w="4211"/>
      </w:tblGrid>
      <w:tr w:rsidR="005A4112" w:rsidTr="00B50394">
        <w:tc>
          <w:tcPr>
            <w:tcW w:w="3801" w:type="dxa"/>
          </w:tcPr>
          <w:p w:rsidR="005A4112" w:rsidRDefault="005A4112" w:rsidP="00992664">
            <w:pPr>
              <w:pStyle w:val="libFootnote0"/>
              <w:rPr>
                <w:rtl/>
              </w:rPr>
            </w:pPr>
            <w:r>
              <w:rPr>
                <w:rtl/>
              </w:rPr>
              <w:t xml:space="preserve">(1). </w:t>
            </w:r>
            <w:r w:rsidRPr="00020424">
              <w:rPr>
                <w:rtl/>
              </w:rPr>
              <w:t>في « بر ، جن » : « قلت</w:t>
            </w:r>
            <w:r>
              <w:rPr>
                <w:rtl/>
              </w:rPr>
              <w:t xml:space="preserve"> ».</w:t>
            </w:r>
          </w:p>
        </w:tc>
        <w:tc>
          <w:tcPr>
            <w:tcW w:w="4211" w:type="dxa"/>
          </w:tcPr>
          <w:p w:rsidR="005A4112" w:rsidRDefault="005A4112" w:rsidP="00992664">
            <w:pPr>
              <w:pStyle w:val="libFootnote0"/>
              <w:rPr>
                <w:rtl/>
              </w:rPr>
            </w:pPr>
            <w:r>
              <w:rPr>
                <w:rtl/>
              </w:rPr>
              <w:t xml:space="preserve">(2). </w:t>
            </w:r>
            <w:r w:rsidRPr="00020424">
              <w:rPr>
                <w:rtl/>
              </w:rPr>
              <w:t xml:space="preserve">في « بف » </w:t>
            </w:r>
            <w:r w:rsidRPr="00515444">
              <w:rPr>
                <w:rStyle w:val="libFootnoteBoldChar"/>
                <w:rtl/>
              </w:rPr>
              <w:t>والوافي</w:t>
            </w:r>
            <w:r w:rsidRPr="00020424">
              <w:rPr>
                <w:rtl/>
              </w:rPr>
              <w:t xml:space="preserve"> : « فقال</w:t>
            </w:r>
            <w:r>
              <w:rPr>
                <w:rtl/>
              </w:rPr>
              <w:t xml:space="preserve"> ».</w:t>
            </w:r>
          </w:p>
        </w:tc>
      </w:tr>
    </w:tbl>
    <w:p w:rsidR="00992664" w:rsidRPr="00020424" w:rsidRDefault="00795177" w:rsidP="000675D7">
      <w:pPr>
        <w:pStyle w:val="libFootnote0"/>
        <w:rPr>
          <w:rtl/>
          <w:lang w:bidi="fa-IR"/>
        </w:rPr>
      </w:pPr>
      <w:r>
        <w:rPr>
          <w:rtl/>
        </w:rPr>
        <w:t>(3).</w:t>
      </w:r>
      <w:r w:rsidR="0014403D">
        <w:rPr>
          <w:rtl/>
        </w:rPr>
        <w:t xml:space="preserve"> </w:t>
      </w:r>
      <w:r w:rsidR="00992664" w:rsidRPr="00020424">
        <w:rPr>
          <w:rtl/>
        </w:rPr>
        <w:t xml:space="preserve">هكذا في « ظ ، ى ، بث ، بر ، بس ، بف ، جن » </w:t>
      </w:r>
      <w:r w:rsidR="00992664" w:rsidRPr="00515444">
        <w:rPr>
          <w:rStyle w:val="libFootnoteBoldChar"/>
          <w:rtl/>
        </w:rPr>
        <w:t>والوافي</w:t>
      </w:r>
      <w:r w:rsidR="00992664" w:rsidRPr="00020424">
        <w:rPr>
          <w:rtl/>
        </w:rPr>
        <w:t>. وفي « بخ » : « وتحبّب</w:t>
      </w:r>
      <w:r w:rsidR="00992664">
        <w:rPr>
          <w:rtl/>
        </w:rPr>
        <w:t xml:space="preserve"> ».</w:t>
      </w:r>
      <w:r w:rsidR="000675D7">
        <w:rPr>
          <w:rtl/>
        </w:rPr>
        <w:t xml:space="preserve"> وفي المطبوع : «</w:t>
      </w:r>
      <w:r w:rsidR="00992664" w:rsidRPr="00020424">
        <w:rPr>
          <w:rtl/>
        </w:rPr>
        <w:t>ويحبّت</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يجيب</w:t>
      </w:r>
      <w:r w:rsidR="00992664">
        <w:rPr>
          <w:rtl/>
        </w:rPr>
        <w:t xml:space="preserve"> ».</w:t>
      </w:r>
      <w:r w:rsidR="00B50394">
        <w:rPr>
          <w:rFonts w:hint="cs"/>
          <w:rtl/>
        </w:rPr>
        <w:t xml:space="preserve">        </w:t>
      </w:r>
      <w:r w:rsidR="000675D7">
        <w:rPr>
          <w:rFonts w:hint="cs"/>
          <w:rtl/>
        </w:rPr>
        <w:t xml:space="preserve">     </w:t>
      </w:r>
      <w:r>
        <w:rPr>
          <w:rtl/>
        </w:rPr>
        <w:t>(4).</w:t>
      </w:r>
      <w:r w:rsidR="0014403D">
        <w:rPr>
          <w:rtl/>
        </w:rPr>
        <w:t xml:space="preserve"> </w:t>
      </w:r>
      <w:r w:rsidR="00992664" w:rsidRPr="00020424">
        <w:rPr>
          <w:rtl/>
        </w:rPr>
        <w:t>في حاشية « بح » : « بدين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هامش المطبوع : « أي يعطى الأطفال حفظاً لشأن أبيهم المؤمن ؛ فإنّ حفظ حرمة الميّت لحفظ حرمة الحيّ. وقوله </w:t>
      </w:r>
      <w:r w:rsidR="00992664" w:rsidRPr="00D64ADA">
        <w:rPr>
          <w:rStyle w:val="libFootnoteAlaemChar"/>
          <w:rtl/>
        </w:rPr>
        <w:t>عليه‌السلام</w:t>
      </w:r>
      <w:r w:rsidR="00992664" w:rsidRPr="00020424">
        <w:rPr>
          <w:rtl/>
        </w:rPr>
        <w:t xml:space="preserve"> : فلا يلبثوا أن يهتمّوا ، أي لايتوقّفوا في الاهتمام بدين أبيهم ، بل يتلقّون بالقبول إذا نشأوا فيه</w:t>
      </w:r>
      <w:r w:rsidR="00992664">
        <w:rPr>
          <w:rtl/>
        </w:rPr>
        <w:t xml:space="preserve"> ».</w:t>
      </w:r>
    </w:p>
    <w:tbl>
      <w:tblPr>
        <w:tblStyle w:val="TableGrid"/>
        <w:bidiVisual/>
        <w:tblW w:w="0" w:type="auto"/>
        <w:tblLook w:val="04A0" w:firstRow="1" w:lastRow="0" w:firstColumn="1" w:lastColumn="0" w:noHBand="0" w:noVBand="1"/>
      </w:tblPr>
      <w:tblGrid>
        <w:gridCol w:w="3801"/>
        <w:gridCol w:w="4211"/>
      </w:tblGrid>
      <w:tr w:rsidR="000675D7" w:rsidTr="00B50394">
        <w:tc>
          <w:tcPr>
            <w:tcW w:w="3801" w:type="dxa"/>
          </w:tcPr>
          <w:p w:rsidR="000675D7" w:rsidRDefault="000675D7" w:rsidP="00992664">
            <w:pPr>
              <w:pStyle w:val="libFootnote0"/>
              <w:rPr>
                <w:rtl/>
              </w:rPr>
            </w:pPr>
            <w:r>
              <w:rPr>
                <w:rtl/>
              </w:rPr>
              <w:t xml:space="preserve">(6). </w:t>
            </w:r>
            <w:r w:rsidR="00B50394">
              <w:rPr>
                <w:rtl/>
              </w:rPr>
              <w:t>في «بخ،بر،بف</w:t>
            </w:r>
            <w:r w:rsidRPr="00020424">
              <w:rPr>
                <w:rtl/>
              </w:rPr>
              <w:t>»</w:t>
            </w:r>
            <w:r w:rsidRPr="00515444">
              <w:rPr>
                <w:rStyle w:val="libFootnoteBoldChar"/>
                <w:rtl/>
              </w:rPr>
              <w:t>والوافي</w:t>
            </w:r>
            <w:r w:rsidR="00B50394">
              <w:rPr>
                <w:rtl/>
              </w:rPr>
              <w:t xml:space="preserve"> : «</w:t>
            </w:r>
            <w:r w:rsidRPr="00020424">
              <w:rPr>
                <w:rtl/>
              </w:rPr>
              <w:t>فلا يلبثون</w:t>
            </w:r>
            <w:r>
              <w:rPr>
                <w:rtl/>
              </w:rPr>
              <w:t>».</w:t>
            </w:r>
          </w:p>
        </w:tc>
        <w:tc>
          <w:tcPr>
            <w:tcW w:w="4211" w:type="dxa"/>
          </w:tcPr>
          <w:p w:rsidR="000675D7" w:rsidRDefault="000675D7" w:rsidP="00992664">
            <w:pPr>
              <w:pStyle w:val="libFootnote0"/>
              <w:rPr>
                <w:rtl/>
              </w:rPr>
            </w:pPr>
            <w:r>
              <w:rPr>
                <w:rtl/>
              </w:rPr>
              <w:t>(7). في «بح»</w:t>
            </w:r>
            <w:r>
              <w:rPr>
                <w:rFonts w:hint="cs"/>
                <w:rtl/>
              </w:rPr>
              <w:t xml:space="preserve"> </w:t>
            </w:r>
            <w:r w:rsidRPr="00515444">
              <w:rPr>
                <w:rStyle w:val="libFootnoteBoldChar"/>
                <w:rtl/>
              </w:rPr>
              <w:t>والتهذيب</w:t>
            </w:r>
            <w:r>
              <w:rPr>
                <w:rtl/>
              </w:rPr>
              <w:t xml:space="preserve"> : «بدينهم»بدل«</w:t>
            </w:r>
            <w:r w:rsidRPr="00020424">
              <w:rPr>
                <w:rtl/>
              </w:rPr>
              <w:t>بدين أبيهم</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غيرهم</w:t>
      </w:r>
      <w:r w:rsidR="00992664">
        <w:rPr>
          <w:rtl/>
        </w:rPr>
        <w:t xml:space="preserve"> ».</w:t>
      </w:r>
      <w:r w:rsidR="00992664" w:rsidRPr="00020424">
        <w:rPr>
          <w:rtl/>
        </w:rPr>
        <w:t xml:space="preserve"> وفي </w:t>
      </w:r>
      <w:r w:rsidR="00992664" w:rsidRPr="000675D7">
        <w:rPr>
          <w:rtl/>
        </w:rPr>
        <w:t>التهذيب</w:t>
      </w:r>
      <w:r w:rsidR="00992664" w:rsidRPr="00020424">
        <w:rPr>
          <w:rtl/>
        </w:rPr>
        <w:t xml:space="preserve"> : « غير دين أبيهم » بدل « غيركم</w:t>
      </w:r>
      <w:r w:rsidR="00992664">
        <w:rPr>
          <w:rtl/>
        </w:rPr>
        <w:t xml:space="preserve"> ».</w:t>
      </w:r>
    </w:p>
    <w:p w:rsidR="00992664" w:rsidRPr="00020424" w:rsidRDefault="00795177" w:rsidP="000675D7">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102 ، ح 287 ، معلّقاً عن الكليني </w:t>
      </w:r>
      <w:r w:rsidR="000675D7">
        <w:rPr>
          <w:rFonts w:hint="cs"/>
          <w:rtl/>
        </w:rPr>
        <w:t>.</w:t>
      </w:r>
      <w:r w:rsidR="00992664" w:rsidRPr="0012008A">
        <w:rPr>
          <w:rStyle w:val="libFootnoteBoldChar"/>
          <w:rtl/>
        </w:rPr>
        <w:t>الوافي</w:t>
      </w:r>
      <w:r w:rsidR="00992664" w:rsidRPr="00020424">
        <w:rPr>
          <w:rtl/>
        </w:rPr>
        <w:t xml:space="preserve"> ، ج 10 ، ص 180 ، ح 9388 ؛ </w:t>
      </w:r>
      <w:r w:rsidR="00992664" w:rsidRPr="0012008A">
        <w:rPr>
          <w:rStyle w:val="libFootnoteBoldChar"/>
          <w:rtl/>
        </w:rPr>
        <w:t>الوسائل</w:t>
      </w:r>
      <w:r w:rsidR="00992664" w:rsidRPr="00020424">
        <w:rPr>
          <w:rtl/>
        </w:rPr>
        <w:t xml:space="preserve"> ، ج 9 ، ص 226 ، ح 11896.</w:t>
      </w:r>
      <w:r w:rsidR="00B50394">
        <w:rPr>
          <w:rFonts w:hint="cs"/>
          <w:rtl/>
        </w:rPr>
        <w:t xml:space="preserve">      </w:t>
      </w:r>
      <w:r w:rsidR="000675D7">
        <w:rPr>
          <w:rFonts w:hint="cs"/>
          <w:rtl/>
        </w:rPr>
        <w:t xml:space="preserve">       </w:t>
      </w:r>
      <w:r>
        <w:rPr>
          <w:rtl/>
        </w:rPr>
        <w:t>(10).</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tbl>
      <w:tblPr>
        <w:tblStyle w:val="TableGrid"/>
        <w:bidiVisual/>
        <w:tblW w:w="0" w:type="auto"/>
        <w:tblLook w:val="04A0" w:firstRow="1" w:lastRow="0" w:firstColumn="1" w:lastColumn="0" w:noHBand="0" w:noVBand="1"/>
      </w:tblPr>
      <w:tblGrid>
        <w:gridCol w:w="3891"/>
        <w:gridCol w:w="4121"/>
      </w:tblGrid>
      <w:tr w:rsidR="000675D7" w:rsidTr="00B50394">
        <w:tc>
          <w:tcPr>
            <w:tcW w:w="3891" w:type="dxa"/>
          </w:tcPr>
          <w:p w:rsidR="000675D7" w:rsidRDefault="000675D7" w:rsidP="00992664">
            <w:pPr>
              <w:pStyle w:val="libFootnote0"/>
              <w:rPr>
                <w:rtl/>
              </w:rPr>
            </w:pPr>
            <w:r>
              <w:rPr>
                <w:rtl/>
              </w:rPr>
              <w:t xml:space="preserve">(11). </w:t>
            </w:r>
            <w:r w:rsidRPr="00020424">
              <w:rPr>
                <w:rtl/>
              </w:rPr>
              <w:t xml:space="preserve">في </w:t>
            </w:r>
            <w:r w:rsidRPr="000675D7">
              <w:rPr>
                <w:rtl/>
              </w:rPr>
              <w:t>التهذيب</w:t>
            </w:r>
            <w:r w:rsidRPr="00020424">
              <w:rPr>
                <w:rtl/>
              </w:rPr>
              <w:t xml:space="preserve"> ، ج 4 : « ولم يكن</w:t>
            </w:r>
            <w:r>
              <w:rPr>
                <w:rtl/>
              </w:rPr>
              <w:t xml:space="preserve"> ».</w:t>
            </w:r>
          </w:p>
        </w:tc>
        <w:tc>
          <w:tcPr>
            <w:tcW w:w="4121" w:type="dxa"/>
          </w:tcPr>
          <w:p w:rsidR="000675D7" w:rsidRDefault="000675D7" w:rsidP="00992664">
            <w:pPr>
              <w:pStyle w:val="libFootnote0"/>
              <w:rPr>
                <w:rtl/>
              </w:rPr>
            </w:pPr>
            <w:r>
              <w:rPr>
                <w:rtl/>
              </w:rPr>
              <w:t xml:space="preserve">(12). </w:t>
            </w:r>
            <w:r w:rsidRPr="00020424">
              <w:rPr>
                <w:rtl/>
              </w:rPr>
              <w:t xml:space="preserve">في « بخ » </w:t>
            </w:r>
            <w:r w:rsidRPr="00515444">
              <w:rPr>
                <w:rStyle w:val="libFootnoteBoldChar"/>
                <w:rtl/>
              </w:rPr>
              <w:t>والتهذيب</w:t>
            </w:r>
            <w:r w:rsidRPr="00020424">
              <w:rPr>
                <w:rtl/>
              </w:rPr>
              <w:t xml:space="preserve"> ، ج 9 : « مفسداً</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 ج 9 : « ولا مسرفاً</w:t>
      </w:r>
      <w:r w:rsidR="00992664">
        <w:rPr>
          <w:rtl/>
        </w:rPr>
        <w:t xml:space="preserve"> ».</w:t>
      </w:r>
      <w:r w:rsidR="00992664" w:rsidRPr="00020424">
        <w:rPr>
          <w:rtl/>
        </w:rPr>
        <w:t xml:space="preserve"> وفي « بر ، بف » </w:t>
      </w:r>
      <w:r w:rsidR="00992664" w:rsidRPr="00515444">
        <w:rPr>
          <w:rStyle w:val="libFootnoteBoldChar"/>
          <w:rtl/>
        </w:rPr>
        <w:t>والوافي</w:t>
      </w:r>
      <w:r w:rsidR="00992664" w:rsidRPr="00020424">
        <w:rPr>
          <w:rtl/>
        </w:rPr>
        <w:t xml:space="preserve"> : « ولا مسرف</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675D7" w:rsidTr="000675D7">
        <w:tc>
          <w:tcPr>
            <w:tcW w:w="4006" w:type="dxa"/>
          </w:tcPr>
          <w:p w:rsidR="000675D7" w:rsidRDefault="000675D7" w:rsidP="00992664">
            <w:pPr>
              <w:pStyle w:val="libFootnote0"/>
              <w:rPr>
                <w:rtl/>
              </w:rPr>
            </w:pPr>
            <w:r>
              <w:rPr>
                <w:rtl/>
              </w:rPr>
              <w:t xml:space="preserve">(14). </w:t>
            </w:r>
            <w:r w:rsidRPr="00020424">
              <w:rPr>
                <w:rtl/>
              </w:rPr>
              <w:t xml:space="preserve">في « بخ » </w:t>
            </w:r>
            <w:r w:rsidRPr="00515444">
              <w:rPr>
                <w:rStyle w:val="libFootnoteBoldChar"/>
                <w:rtl/>
              </w:rPr>
              <w:t>والتهذيب</w:t>
            </w:r>
            <w:r w:rsidRPr="00020424">
              <w:rPr>
                <w:rtl/>
              </w:rPr>
              <w:t xml:space="preserve"> ، ج 9 : « ولا معروفاً</w:t>
            </w:r>
            <w:r>
              <w:rPr>
                <w:rtl/>
              </w:rPr>
              <w:t xml:space="preserve"> ».</w:t>
            </w:r>
          </w:p>
        </w:tc>
        <w:tc>
          <w:tcPr>
            <w:tcW w:w="4006" w:type="dxa"/>
          </w:tcPr>
          <w:p w:rsidR="000675D7" w:rsidRDefault="000675D7" w:rsidP="00992664">
            <w:pPr>
              <w:pStyle w:val="libFootnote0"/>
              <w:rPr>
                <w:rtl/>
              </w:rPr>
            </w:pPr>
            <w:r>
              <w:rPr>
                <w:rtl/>
              </w:rPr>
              <w:t xml:space="preserve">(15). </w:t>
            </w:r>
            <w:r w:rsidRPr="00020424">
              <w:rPr>
                <w:rtl/>
              </w:rPr>
              <w:t>في « بح » : « تقضى</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102 ، ح 288 ، معلّقاً عن الكليني. </w:t>
      </w:r>
      <w:r w:rsidR="00992664" w:rsidRPr="00DE76B9">
        <w:rPr>
          <w:rStyle w:val="libFootnoteBoldChar"/>
          <w:rtl/>
        </w:rPr>
        <w:t>وفيه</w:t>
      </w:r>
      <w:r w:rsidR="00992664" w:rsidRPr="00020424">
        <w:rPr>
          <w:rtl/>
        </w:rPr>
        <w:t xml:space="preserve"> ، ج 9 ، ص 170 ، ح 692 ، بسنده عن صفوان بن يحيى </w:t>
      </w:r>
      <w:r w:rsidR="000675D7">
        <w:rPr>
          <w:rFonts w:hint="cs"/>
          <w:rtl/>
        </w:rPr>
        <w:t>.</w:t>
      </w:r>
      <w:r w:rsidR="00992664" w:rsidRPr="0012008A">
        <w:rPr>
          <w:rStyle w:val="libFootnoteBoldChar"/>
          <w:rtl/>
        </w:rPr>
        <w:t>الوافي</w:t>
      </w:r>
      <w:r w:rsidR="00992664" w:rsidRPr="00020424">
        <w:rPr>
          <w:rtl/>
        </w:rPr>
        <w:t xml:space="preserve"> ، ج 10 ، ص 179 ، ح 9386 ؛ </w:t>
      </w:r>
      <w:r w:rsidR="00992664" w:rsidRPr="0012008A">
        <w:rPr>
          <w:rStyle w:val="libFootnoteBoldChar"/>
          <w:rtl/>
        </w:rPr>
        <w:t>الوسائل</w:t>
      </w:r>
      <w:r w:rsidR="00992664" w:rsidRPr="00020424">
        <w:rPr>
          <w:rtl/>
        </w:rPr>
        <w:t xml:space="preserve"> ، ج 9 ، ص 258 ، ح 11971 ؛ وص 295 ، ح 12057.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9F4DC9">
        <w:rPr>
          <w:rtl/>
        </w:rPr>
        <w:lastRenderedPageBreak/>
        <w:t>5916</w:t>
      </w:r>
      <w:r w:rsidRPr="001155DE">
        <w:rPr>
          <w:rStyle w:val="libBold2Char"/>
          <w:rtl/>
        </w:rPr>
        <w:t xml:space="preserve"> / 3.</w:t>
      </w:r>
      <w:r w:rsidRPr="00020424">
        <w:rPr>
          <w:rtl/>
          <w:lang w:bidi="fa-IR"/>
        </w:rPr>
        <w:t xml:space="preserve"> الْحُسَيْنُ بْنُ مُحَمَّدٍ ، عَنْ مُعَلَّى بْنِ مُحَمَّدٍ ، عَنِ الْحَسَنِ بْنِ عَلِيٍّ </w:t>
      </w:r>
      <w:r w:rsidRPr="00A91B96">
        <w:rPr>
          <w:rStyle w:val="libFootnotenumChar"/>
          <w:rtl/>
        </w:rPr>
        <w:t>(1)</w:t>
      </w:r>
      <w:r w:rsidRPr="00020424">
        <w:rPr>
          <w:rtl/>
          <w:lang w:bidi="fa-IR"/>
        </w:rPr>
        <w:t xml:space="preserve"> الْوَشَّاءِ ، عَنْ أَحْمَدَ بْنِ عَائِذٍ ، عَنْ أَبِي خَدِيجَةَ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ذُرِّيَّةُ الرَّجُلِ الْمُسْلِمِ إِذَا مَاتَ يُعْطَوْنَ مِنَ الزَّكَاةِ وَالْفِطْرَةِ </w:t>
      </w:r>
      <w:r w:rsidRPr="00A91B96">
        <w:rPr>
          <w:rStyle w:val="libFootnotenumChar"/>
          <w:rtl/>
        </w:rPr>
        <w:t>(2)</w:t>
      </w:r>
      <w:r w:rsidRPr="00020424">
        <w:rPr>
          <w:rtl/>
          <w:lang w:bidi="fa-IR"/>
        </w:rPr>
        <w:t xml:space="preserve"> كَمَا كَانَ يُعْطى أَبُوهُمْ حَتّى يَبْلُغُوا فَإِذَا بَلَغُوا ، وَعَرَفُوا مَا كَانَ أَبُوهُمْ يَعْرِفُ ، أُعْطُوا ، وَإِنْ نَصَبُوا</w:t>
      </w:r>
      <w:r w:rsidRPr="00A91B96">
        <w:rPr>
          <w:rStyle w:val="libFootnotenumChar"/>
          <w:rtl/>
        </w:rPr>
        <w:t>(3)</w:t>
      </w:r>
      <w:r w:rsidRPr="00020424">
        <w:rPr>
          <w:rtl/>
          <w:lang w:bidi="fa-IR"/>
        </w:rPr>
        <w:t xml:space="preserve"> ، لَمْ يُعْطَوْا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p>
    <w:p w:rsidR="00992664" w:rsidRPr="00020424" w:rsidRDefault="00992664" w:rsidP="00992664">
      <w:pPr>
        <w:pStyle w:val="Heading2Center"/>
        <w:rPr>
          <w:rtl/>
          <w:lang w:bidi="fa-IR"/>
        </w:rPr>
      </w:pPr>
      <w:bookmarkStart w:id="109" w:name="_Toc345172753"/>
      <w:bookmarkStart w:id="110" w:name="_Toc464562569"/>
      <w:bookmarkStart w:id="111" w:name="_Toc44599872"/>
      <w:r w:rsidRPr="00020424">
        <w:rPr>
          <w:rtl/>
          <w:lang w:bidi="fa-IR"/>
        </w:rPr>
        <w:t>32</w:t>
      </w:r>
      <w:r>
        <w:rPr>
          <w:rtl/>
          <w:lang w:bidi="fa-IR"/>
        </w:rPr>
        <w:t xml:space="preserve"> </w:t>
      </w:r>
      <w:r w:rsidR="009B673F">
        <w:rPr>
          <w:rtl/>
          <w:lang w:bidi="fa-IR"/>
        </w:rPr>
        <w:t>-</w:t>
      </w:r>
      <w:r>
        <w:rPr>
          <w:rtl/>
          <w:lang w:bidi="fa-IR"/>
        </w:rPr>
        <w:t xml:space="preserve"> </w:t>
      </w:r>
      <w:r w:rsidRPr="00020424">
        <w:rPr>
          <w:rtl/>
          <w:lang w:bidi="fa-IR"/>
        </w:rPr>
        <w:t>بَابُ تَفْضِيلِ أَهْلِ الزَّكَاةِ بَعْضِهِمْ عَلى بَعْضٍ‌</w:t>
      </w:r>
      <w:bookmarkEnd w:id="109"/>
      <w:bookmarkEnd w:id="110"/>
      <w:bookmarkEnd w:id="111"/>
    </w:p>
    <w:p w:rsidR="00992664" w:rsidRPr="00020424" w:rsidRDefault="00992664" w:rsidP="00992664">
      <w:pPr>
        <w:pStyle w:val="libNormal"/>
        <w:rPr>
          <w:rtl/>
          <w:lang w:bidi="fa-IR"/>
        </w:rPr>
      </w:pPr>
      <w:r w:rsidRPr="009F4DC9">
        <w:rPr>
          <w:rtl/>
        </w:rPr>
        <w:t>5917</w:t>
      </w:r>
      <w:r w:rsidRPr="001155DE">
        <w:rPr>
          <w:rStyle w:val="libBold2Char"/>
          <w:rtl/>
        </w:rPr>
        <w:t xml:space="preserve"> / 1.</w:t>
      </w:r>
      <w:r w:rsidRPr="00020424">
        <w:rPr>
          <w:rtl/>
          <w:lang w:bidi="fa-IR"/>
        </w:rPr>
        <w:t xml:space="preserve"> عِدَّةٌ مِنْ أَصْحَابِنَا ، عَنْ سَهْلِ بْنِ زِيَادٍ ، عَنْ أَحْمَدَ بْنِ مُحَمَّدِ بْنِ أَبِي نَصْرٍ ، عَنْ عُتَيْبَةَ </w:t>
      </w:r>
      <w:r w:rsidRPr="00A91B96">
        <w:rPr>
          <w:rStyle w:val="libFootnotenumChar"/>
          <w:rtl/>
        </w:rPr>
        <w:t>(6)</w:t>
      </w:r>
      <w:r w:rsidRPr="00020424">
        <w:rPr>
          <w:rtl/>
          <w:lang w:bidi="fa-IR"/>
        </w:rPr>
        <w:t xml:space="preserve"> ، عَنْ </w:t>
      </w:r>
      <w:r w:rsidRPr="00A91B96">
        <w:rPr>
          <w:rStyle w:val="libFootnotenumChar"/>
          <w:rtl/>
        </w:rPr>
        <w:t>(7)</w:t>
      </w:r>
      <w:r w:rsidRPr="00020424">
        <w:rPr>
          <w:rtl/>
          <w:lang w:bidi="fa-IR"/>
        </w:rPr>
        <w:t xml:space="preserve"> عَبْدِ اللهِ بْنِ عَجْلَانَ السَّكُونِيِّ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إِنِّي رُبَّمَا قَسَمْتُ الشَّيْ‌ءَ بَيْنَ أَصْحَابِي أَصِلُهُمْ بِهِ ، فَكَيْفَ أُعْطِيهِمْ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من الفطرة والزكاة</w:t>
      </w:r>
      <w:r w:rsidR="00992664">
        <w:rPr>
          <w:rtl/>
        </w:rPr>
        <w:t xml:space="preserve"> ».</w:t>
      </w:r>
    </w:p>
    <w:p w:rsidR="00992664" w:rsidRPr="00020424" w:rsidRDefault="00795177" w:rsidP="000675D7">
      <w:pPr>
        <w:pStyle w:val="libFootnote0"/>
        <w:rPr>
          <w:rtl/>
          <w:lang w:bidi="fa-IR"/>
        </w:rPr>
      </w:pPr>
      <w:r>
        <w:rPr>
          <w:rtl/>
        </w:rPr>
        <w:t>(3).</w:t>
      </w:r>
      <w:r w:rsidR="0014403D">
        <w:rPr>
          <w:rtl/>
        </w:rPr>
        <w:t xml:space="preserve"> </w:t>
      </w:r>
      <w:r w:rsidR="00992664" w:rsidRPr="00020424">
        <w:rPr>
          <w:rtl/>
        </w:rPr>
        <w:t>في « بث » : « وإن لم يصيبوا</w:t>
      </w:r>
      <w:r w:rsidR="00992664">
        <w:rPr>
          <w:rtl/>
        </w:rPr>
        <w:t xml:space="preserve"> ».</w:t>
      </w:r>
      <w:r w:rsidR="00992664" w:rsidRPr="00020424">
        <w:rPr>
          <w:rtl/>
        </w:rPr>
        <w:t xml:space="preserve"> </w:t>
      </w:r>
      <w:r w:rsidR="00992664">
        <w:rPr>
          <w:rtl/>
        </w:rPr>
        <w:t>و «</w:t>
      </w:r>
      <w:r w:rsidR="00992664" w:rsidRPr="00020424">
        <w:rPr>
          <w:rtl/>
        </w:rPr>
        <w:t xml:space="preserve"> نصبوا » ، أي تظاهروا بعداوة أهل البيت </w:t>
      </w:r>
      <w:r w:rsidR="00992664" w:rsidRPr="00D64ADA">
        <w:rPr>
          <w:rStyle w:val="libFootnoteAlaemChar"/>
          <w:rtl/>
        </w:rPr>
        <w:t>عليهم‌السلام</w:t>
      </w:r>
      <w:r w:rsidR="00992664" w:rsidRPr="00020424">
        <w:rPr>
          <w:rtl/>
        </w:rPr>
        <w:t xml:space="preserve"> ، أو لمواليهم لأجل متابعتهم لهم. أو تديّنوا بِبعْضة عليّ أميرالمؤمنين </w:t>
      </w:r>
      <w:r w:rsidR="00992664" w:rsidRPr="00D64ADA">
        <w:rPr>
          <w:rStyle w:val="libFootnoteAlaemChar"/>
          <w:rtl/>
        </w:rPr>
        <w:t>عليه‌السلام</w:t>
      </w:r>
      <w:r w:rsidR="00992664" w:rsidRPr="00020424">
        <w:rPr>
          <w:rtl/>
        </w:rPr>
        <w:t xml:space="preserve"> ؛ من النَصْب بمعنى المعاداة. راجع : </w:t>
      </w:r>
      <w:r w:rsidR="00992664" w:rsidRPr="00A722B1">
        <w:rPr>
          <w:rStyle w:val="libFootnoteBoldChar"/>
          <w:rtl/>
        </w:rPr>
        <w:t>القاموس المحيط</w:t>
      </w:r>
      <w:r w:rsidR="00992664" w:rsidRPr="00020424">
        <w:rPr>
          <w:rtl/>
        </w:rPr>
        <w:t xml:space="preserve"> ، ج 1 ، ص 230 ؛ </w:t>
      </w:r>
      <w:r w:rsidR="00992664" w:rsidRPr="00DE76B9">
        <w:rPr>
          <w:rStyle w:val="libFootnoteBoldChar"/>
          <w:rtl/>
        </w:rPr>
        <w:t>مجمع البحرين</w:t>
      </w:r>
      <w:r w:rsidR="00992664" w:rsidRPr="00020424">
        <w:rPr>
          <w:rtl/>
        </w:rPr>
        <w:t xml:space="preserve"> ، ج 2 ، ص 173 ( نصب )</w:t>
      </w:r>
      <w:r w:rsidR="00992664">
        <w:rPr>
          <w:rtl/>
        </w:rPr>
        <w:t>.</w:t>
      </w:r>
      <w:r w:rsidR="000675D7">
        <w:rPr>
          <w:rFonts w:hint="cs"/>
          <w:rtl/>
        </w:rPr>
        <w:t xml:space="preserve">    </w:t>
      </w:r>
      <w:r>
        <w:rPr>
          <w:rtl/>
        </w:rPr>
        <w:t>(4).</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لا يعطوا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179 ، ح 9387 ؛ </w:t>
      </w:r>
      <w:r w:rsidR="00992664" w:rsidRPr="0012008A">
        <w:rPr>
          <w:rStyle w:val="libFootnoteBoldChar"/>
          <w:rtl/>
        </w:rPr>
        <w:t>الوسائل</w:t>
      </w:r>
      <w:r w:rsidR="00992664" w:rsidRPr="00020424">
        <w:rPr>
          <w:rtl/>
        </w:rPr>
        <w:t xml:space="preserve"> ، ج 9 ، ص 227 ، ح 11897.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 « عيينة</w:t>
      </w:r>
      <w:r w:rsidR="00992664">
        <w:rPr>
          <w:rtl/>
        </w:rPr>
        <w:t xml:space="preserve"> ».</w:t>
      </w:r>
      <w:r w:rsidR="00992664" w:rsidRPr="00020424">
        <w:rPr>
          <w:rtl/>
        </w:rPr>
        <w:t xml:space="preserve"> وفي « جن » : « عتبة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هكذا في « بث ، بخ ، بر</w:t>
      </w:r>
      <w:r w:rsidR="00992664">
        <w:rPr>
          <w:rtl/>
        </w:rPr>
        <w:t xml:space="preserve"> ».</w:t>
      </w:r>
      <w:r w:rsidR="00992664" w:rsidRPr="00020424">
        <w:rPr>
          <w:rtl/>
        </w:rPr>
        <w:t xml:space="preserve"> وفي « ظ ، ى ، بح ، بس ، بف ، جن » والمطبوع : « بن</w:t>
      </w:r>
      <w:r w:rsidR="00992664">
        <w:rPr>
          <w:rtl/>
        </w:rPr>
        <w:t xml:space="preserve"> ».</w:t>
      </w:r>
    </w:p>
    <w:p w:rsidR="00992664" w:rsidRPr="000675D7" w:rsidRDefault="00992664" w:rsidP="00992664">
      <w:pPr>
        <w:pStyle w:val="libFootnote0"/>
        <w:rPr>
          <w:rtl/>
        </w:rPr>
      </w:pPr>
      <w:r w:rsidRPr="000675D7">
        <w:rPr>
          <w:rtl/>
        </w:rPr>
        <w:t xml:space="preserve">والخبر رواه الشيخ الصدوق في </w:t>
      </w:r>
      <w:r w:rsidRPr="000675D7">
        <w:rPr>
          <w:rStyle w:val="libFootnoteBoldChar"/>
          <w:rtl/>
        </w:rPr>
        <w:t>الفقيه</w:t>
      </w:r>
      <w:r w:rsidRPr="000675D7">
        <w:rPr>
          <w:rtl/>
        </w:rPr>
        <w:t xml:space="preserve"> ، ج 2 ، ص 35 ، ح 1631 ، قال : « وقال عبدالله بن عجلان السكوني لأبي جعفر</w:t>
      </w:r>
      <w:r w:rsidRPr="00C8681E">
        <w:rPr>
          <w:rStyle w:val="libFootnoteAieChar"/>
          <w:rtl/>
        </w:rPr>
        <w:t xml:space="preserve"> </w:t>
      </w:r>
      <w:r w:rsidRPr="00D64ADA">
        <w:rPr>
          <w:rStyle w:val="libFootnoteAlaemChar"/>
          <w:rtl/>
        </w:rPr>
        <w:t>عليه‌السلام</w:t>
      </w:r>
      <w:r w:rsidRPr="000675D7">
        <w:rPr>
          <w:rtl/>
        </w:rPr>
        <w:t xml:space="preserve"> ». والشيخ الطوسي أيضاً رواه في</w:t>
      </w:r>
      <w:r w:rsidRPr="00C8681E">
        <w:rPr>
          <w:rStyle w:val="libFootnoteAieChar"/>
          <w:rtl/>
        </w:rPr>
        <w:t xml:space="preserve"> </w:t>
      </w:r>
      <w:r w:rsidRPr="000675D7">
        <w:rPr>
          <w:rStyle w:val="libFootnoteBoldChar"/>
          <w:rtl/>
        </w:rPr>
        <w:t>التهذيب</w:t>
      </w:r>
      <w:r w:rsidRPr="000675D7">
        <w:rPr>
          <w:rtl/>
        </w:rPr>
        <w:t xml:space="preserve"> ، ج 4 ، ص 101 ، ح 285 ، بسنده عن أحمد بن محمّد بن أبي نصر ، عن عتبة ، عن عبدالله بن عجلان السكوني.</w:t>
      </w:r>
    </w:p>
    <w:p w:rsidR="00992664" w:rsidRPr="00020424" w:rsidRDefault="00992664" w:rsidP="00992664">
      <w:pPr>
        <w:pStyle w:val="libFootnote0"/>
        <w:rPr>
          <w:rtl/>
          <w:lang w:bidi="fa-IR"/>
        </w:rPr>
      </w:pPr>
      <w:r w:rsidRPr="000675D7">
        <w:rPr>
          <w:rtl/>
        </w:rPr>
        <w:t xml:space="preserve">وعبدالله بن عجلان هو المذكور في كتب الرجال ، ووردت روايته عن أبي جعفر </w:t>
      </w:r>
      <w:r w:rsidRPr="00D64ADA">
        <w:rPr>
          <w:rStyle w:val="libFootnoteAlaemChar"/>
          <w:rtl/>
        </w:rPr>
        <w:t>عليه‌السلام</w:t>
      </w:r>
      <w:r w:rsidRPr="000675D7">
        <w:rPr>
          <w:rtl/>
        </w:rPr>
        <w:t xml:space="preserve"> في بعض الأسناد. راجع : ر</w:t>
      </w:r>
      <w:r w:rsidRPr="00DE76B9">
        <w:rPr>
          <w:rStyle w:val="libFootnoteBoldChar"/>
          <w:rtl/>
        </w:rPr>
        <w:t xml:space="preserve">جال </w:t>
      </w:r>
      <w:r w:rsidRPr="004F0AAD">
        <w:rPr>
          <w:rStyle w:val="libFootnoteBoldChar"/>
          <w:rtl/>
        </w:rPr>
        <w:t>البرقي</w:t>
      </w:r>
      <w:r w:rsidRPr="000675D7">
        <w:rPr>
          <w:rtl/>
        </w:rPr>
        <w:t xml:space="preserve"> ، ص 10 ، وص 22 ؛ </w:t>
      </w:r>
      <w:r w:rsidRPr="004F0AAD">
        <w:rPr>
          <w:rStyle w:val="libFootnoteBoldChar"/>
          <w:rtl/>
        </w:rPr>
        <w:t>رجال الكشّي</w:t>
      </w:r>
      <w:r w:rsidRPr="000675D7">
        <w:rPr>
          <w:rtl/>
        </w:rPr>
        <w:t xml:space="preserve"> ، ص 242 </w:t>
      </w:r>
      <w:r w:rsidR="009B673F" w:rsidRPr="000675D7">
        <w:rPr>
          <w:rtl/>
        </w:rPr>
        <w:t>-</w:t>
      </w:r>
      <w:r w:rsidRPr="000675D7">
        <w:rPr>
          <w:rtl/>
        </w:rPr>
        <w:t xml:space="preserve"> 243 ، الرقم 443 </w:t>
      </w:r>
      <w:r w:rsidR="009B673F" w:rsidRPr="000675D7">
        <w:rPr>
          <w:rtl/>
        </w:rPr>
        <w:t>-</w:t>
      </w:r>
      <w:r w:rsidRPr="000675D7">
        <w:rPr>
          <w:rtl/>
        </w:rPr>
        <w:t xml:space="preserve"> 445 ؛ </w:t>
      </w:r>
      <w:r w:rsidRPr="004F0AAD">
        <w:rPr>
          <w:rStyle w:val="libFootnoteBoldChar"/>
          <w:rtl/>
        </w:rPr>
        <w:t>رجال الطوسي</w:t>
      </w:r>
      <w:r w:rsidRPr="000675D7">
        <w:rPr>
          <w:rtl/>
        </w:rPr>
        <w:t xml:space="preserve"> ، ص 139 ، الرقم 1475 ؛ وص 264 ، الرقم 3781 ؛</w:t>
      </w:r>
      <w:r w:rsidRPr="00C8681E">
        <w:rPr>
          <w:rStyle w:val="libFootnoteAieChar"/>
          <w:rtl/>
        </w:rPr>
        <w:t xml:space="preserve"> </w:t>
      </w:r>
      <w:r w:rsidRPr="00DE76B9">
        <w:rPr>
          <w:rStyle w:val="libFootnoteBoldChar"/>
          <w:rtl/>
        </w:rPr>
        <w:t>معجم رجال الحديث</w:t>
      </w:r>
      <w:r w:rsidRPr="000675D7">
        <w:rPr>
          <w:rtl/>
        </w:rPr>
        <w:t xml:space="preserve"> ، ج 10 ، ص 251 ، الرقم 6986.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w:t>
      </w:r>
      <w:r w:rsidRPr="00A91B96">
        <w:rPr>
          <w:rStyle w:val="libFootnotenumChar"/>
          <w:rtl/>
        </w:rPr>
        <w:t>(1)</w:t>
      </w:r>
      <w:r w:rsidRPr="00020424">
        <w:rPr>
          <w:rtl/>
          <w:lang w:bidi="fa-IR"/>
        </w:rPr>
        <w:t xml:space="preserve"> : « أَعْطِهِمْ عَلَى الْهِجْرَةِ فِي الدِّينِ وَالْعَقْلِ وَالْفِقْهِ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9F4DC9">
        <w:rPr>
          <w:rtl/>
        </w:rPr>
        <w:t>5918</w:t>
      </w:r>
      <w:r w:rsidRPr="001155DE">
        <w:rPr>
          <w:rStyle w:val="libBold2Char"/>
          <w:rtl/>
        </w:rPr>
        <w:t xml:space="preserve"> / 2.</w:t>
      </w:r>
      <w:r w:rsidRPr="00020424">
        <w:rPr>
          <w:rtl/>
          <w:lang w:bidi="fa-IR"/>
        </w:rPr>
        <w:t xml:space="preserve"> مُحَمَّدُ بْنُ إِسْمَاعِيلَ ، عَنِ الْفَضْلِ بْنِ شَاذَانَ ، عَنْ صَفْوَانَ بْنِ يَحْيى </w:t>
      </w:r>
      <w:r w:rsidRPr="00A91B96">
        <w:rPr>
          <w:rStyle w:val="libFootnotenumChar"/>
          <w:rtl/>
        </w:rPr>
        <w:t>(4)</w:t>
      </w:r>
      <w:r w:rsidRPr="00020424">
        <w:rPr>
          <w:rtl/>
          <w:lang w:bidi="fa-IR"/>
        </w:rPr>
        <w:t xml:space="preserve"> وَابْنِ أَبِي عُمَيْرٍ جَمِيعاً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w:t>
      </w:r>
      <w:r w:rsidRPr="00A91B96">
        <w:rPr>
          <w:rStyle w:val="libFootnotenumChar"/>
          <w:rtl/>
        </w:rPr>
        <w:t>(5)</w:t>
      </w:r>
      <w:r w:rsidRPr="00020424">
        <w:rPr>
          <w:rtl/>
          <w:lang w:bidi="fa-IR"/>
        </w:rPr>
        <w:t xml:space="preserve"> </w:t>
      </w:r>
      <w:r w:rsidRPr="00005A81">
        <w:rPr>
          <w:rStyle w:val="libAlaemChar"/>
          <w:rtl/>
        </w:rPr>
        <w:t>عليه‌السلام</w:t>
      </w:r>
      <w:r>
        <w:rPr>
          <w:rtl/>
          <w:lang w:bidi="fa-IR"/>
        </w:rPr>
        <w:t xml:space="preserve"> عَنِ الزَّكَاةِ : أَ</w:t>
      </w:r>
      <w:r w:rsidRPr="00020424">
        <w:rPr>
          <w:rtl/>
          <w:lang w:bidi="fa-IR"/>
        </w:rPr>
        <w:t>يُفَضَّلُ بَعْضُ مَنْ يُعْطى مِمَّنْ لَايَسْأَلُ عَلى غَيْرِهِ</w:t>
      </w:r>
      <w:r>
        <w:rPr>
          <w:rtl/>
          <w:lang w:bidi="fa-IR"/>
        </w:rPr>
        <w:t>؟</w:t>
      </w:r>
    </w:p>
    <w:p w:rsidR="00992664" w:rsidRPr="00020424" w:rsidRDefault="00992664" w:rsidP="00992664">
      <w:pPr>
        <w:pStyle w:val="libNormal"/>
        <w:rPr>
          <w:rtl/>
          <w:lang w:bidi="fa-IR"/>
        </w:rPr>
      </w:pPr>
      <w:r w:rsidRPr="00020424">
        <w:rPr>
          <w:rtl/>
          <w:lang w:bidi="fa-IR"/>
        </w:rPr>
        <w:t xml:space="preserve">قَالَ : « نَعَمْ ، يُفَضَّلُ الَّذِي لَايَسْأَلُ عَلَى الَّذِي يَسْأَلُ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9F4DC9">
        <w:rPr>
          <w:rtl/>
        </w:rPr>
        <w:t>5919</w:t>
      </w:r>
      <w:r w:rsidRPr="001155DE">
        <w:rPr>
          <w:rStyle w:val="libBold2Char"/>
          <w:rtl/>
        </w:rPr>
        <w:t xml:space="preserve"> / 3.</w:t>
      </w:r>
      <w:r w:rsidRPr="00020424">
        <w:rPr>
          <w:rtl/>
          <w:lang w:bidi="fa-IR"/>
        </w:rPr>
        <w:t xml:space="preserve"> عَلِيُّ بْنِ مُحَمَّدٍ ، عَنْ إِبْرَاهِيمَ بْنِ إِسْحَاقَ ، عَنْ مُحَمَّدِ بْنِ سُلَيْمَانَ ، عَنْ عَبْدِ اللهِ بْنِ سِنَانٍ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إِنَّ صَدَقَةَ الْخُفِّ وَالظِّلْفِ </w:t>
      </w:r>
      <w:r w:rsidRPr="00A91B96">
        <w:rPr>
          <w:rStyle w:val="libFootnotenumChar"/>
          <w:rtl/>
        </w:rPr>
        <w:t>(8)</w:t>
      </w:r>
      <w:r w:rsidRPr="00020424">
        <w:rPr>
          <w:rtl/>
          <w:lang w:bidi="fa-IR"/>
        </w:rPr>
        <w:t xml:space="preserve"> تُدْفَعُ إِلَى الْمُتَجَمِّلِينَ مِنَ الْمُسْلِمِينَ </w:t>
      </w:r>
      <w:r w:rsidRPr="00A91B96">
        <w:rPr>
          <w:rStyle w:val="libFootnotenumChar"/>
          <w:rtl/>
        </w:rPr>
        <w:t>(9)</w:t>
      </w:r>
      <w:r w:rsidRPr="00020424">
        <w:rPr>
          <w:rtl/>
          <w:lang w:bidi="fa-IR"/>
        </w:rPr>
        <w:t xml:space="preserve"> ، فَأَمَّا </w:t>
      </w:r>
      <w:r w:rsidRPr="00A91B96">
        <w:rPr>
          <w:rStyle w:val="libFootnotenumChar"/>
          <w:rtl/>
        </w:rPr>
        <w:t>(10)</w:t>
      </w:r>
      <w:r w:rsidRPr="00020424">
        <w:rPr>
          <w:rtl/>
          <w:lang w:bidi="fa-IR"/>
        </w:rPr>
        <w:t xml:space="preserve"> صَدَقَةُ الذَّهَبِ وَالْفِضَّةِ وَمَا كِيلَ بِالْقَفِيزِ مِمَّا </w:t>
      </w:r>
      <w:r w:rsidRPr="00A91B96">
        <w:rPr>
          <w:rStyle w:val="libFootnotenumChar"/>
          <w:rtl/>
        </w:rPr>
        <w:t>(11)</w:t>
      </w:r>
      <w:r w:rsidRPr="00020424">
        <w:rPr>
          <w:rtl/>
          <w:lang w:bidi="fa-IR"/>
        </w:rPr>
        <w:t xml:space="preserve"> أَخْرَجَتِ الْأَرْضُ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بخ ، بر » وحاشية « بف » </w:t>
      </w:r>
      <w:r w:rsidR="00992664" w:rsidRPr="00515444">
        <w:rPr>
          <w:rStyle w:val="libFootnoteBoldChar"/>
          <w:rtl/>
        </w:rPr>
        <w:t>والوافي</w:t>
      </w:r>
      <w:r w:rsidR="00992664" w:rsidRPr="00020424">
        <w:rPr>
          <w:rtl/>
        </w:rPr>
        <w:t xml:space="preserve"> : « والفقه والعقل</w:t>
      </w:r>
      <w:r w:rsidR="00992664">
        <w:rPr>
          <w:rtl/>
        </w:rPr>
        <w:t xml:space="preserve"> ».</w:t>
      </w:r>
      <w:r w:rsidR="00992664" w:rsidRPr="00020424">
        <w:rPr>
          <w:rtl/>
        </w:rPr>
        <w:t xml:space="preserve"> وفي « بف » : « والعفّة والعقل</w:t>
      </w:r>
      <w:r w:rsidR="00992664">
        <w:rPr>
          <w:rtl/>
        </w:rPr>
        <w:t xml:space="preserve"> ».</w:t>
      </w:r>
    </w:p>
    <w:p w:rsidR="00992664" w:rsidRPr="00020424" w:rsidRDefault="00795177" w:rsidP="004F0AAD">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101 ، ح 285 ، معلّقاً عن أحمد بن محمّد بن أبي نصر ؛ </w:t>
      </w:r>
      <w:r w:rsidR="00992664" w:rsidRPr="0012008A">
        <w:rPr>
          <w:rStyle w:val="libFootnoteBoldChar"/>
          <w:rtl/>
        </w:rPr>
        <w:t>الفقيه</w:t>
      </w:r>
      <w:r w:rsidR="00992664" w:rsidRPr="00020424">
        <w:rPr>
          <w:rtl/>
        </w:rPr>
        <w:t xml:space="preserve"> ، ج 2 ، ص 35 ، ح 1631 ، معلّقاً عن عبدالله بن عجلان السكوني ، وفيهما مع اختلاف يسير </w:t>
      </w:r>
      <w:r w:rsidR="004F0AAD">
        <w:rPr>
          <w:rFonts w:hint="cs"/>
          <w:rtl/>
        </w:rPr>
        <w:t>.</w:t>
      </w:r>
      <w:r w:rsidR="00992664" w:rsidRPr="0012008A">
        <w:rPr>
          <w:rStyle w:val="libFootnoteBoldChar"/>
          <w:rtl/>
        </w:rPr>
        <w:t>الوافي</w:t>
      </w:r>
      <w:r w:rsidR="00992664" w:rsidRPr="00020424">
        <w:rPr>
          <w:rtl/>
        </w:rPr>
        <w:t xml:space="preserve"> ، ج 10 ، ص 203 ، ح 9440 ؛ </w:t>
      </w:r>
      <w:r w:rsidR="00992664" w:rsidRPr="0012008A">
        <w:rPr>
          <w:rStyle w:val="libFootnoteBoldChar"/>
          <w:rtl/>
        </w:rPr>
        <w:t>الوسائل</w:t>
      </w:r>
      <w:r w:rsidR="00992664" w:rsidRPr="00020424">
        <w:rPr>
          <w:rtl/>
        </w:rPr>
        <w:t xml:space="preserve"> ، ج 9 ، ص 262 ، ذيل ح 11982.</w:t>
      </w:r>
      <w:r w:rsidR="004F0AAD">
        <w:rPr>
          <w:rFonts w:hint="cs"/>
          <w:rtl/>
        </w:rPr>
        <w:t xml:space="preserve">   </w:t>
      </w:r>
      <w:r>
        <w:rPr>
          <w:rtl/>
        </w:rPr>
        <w:t>(4).</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الأوّل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على الذي يسأل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وذلك لأنّ الذي يسأل أكثر نيلاً لها ، فالتفضيل هنا عين التعديل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101 ، ح 281 ، بسنده عن صفوان بن يحيى ، عن عبدالرحمن بن الحجّاج. وفي </w:t>
      </w:r>
      <w:r w:rsidR="00992664" w:rsidRPr="0012008A">
        <w:rPr>
          <w:rStyle w:val="libFootnoteBoldChar"/>
          <w:rtl/>
        </w:rPr>
        <w:t>الفقيه</w:t>
      </w:r>
      <w:r w:rsidR="00992664" w:rsidRPr="00020424">
        <w:rPr>
          <w:rtl/>
        </w:rPr>
        <w:t xml:space="preserve"> ، ج 2 ، ص 34 ، ذيل ح 1630 ، هكذا : « ويفضّل الذي لا يسأل على الذي يسأل » </w:t>
      </w:r>
      <w:r w:rsidR="004F0AAD">
        <w:rPr>
          <w:rFonts w:hint="cs"/>
          <w:rtl/>
        </w:rPr>
        <w:t>.</w:t>
      </w:r>
      <w:r w:rsidR="00992664" w:rsidRPr="0012008A">
        <w:rPr>
          <w:rStyle w:val="libFootnoteBoldChar"/>
          <w:rtl/>
        </w:rPr>
        <w:t>الوافي</w:t>
      </w:r>
      <w:r w:rsidR="00992664" w:rsidRPr="00020424">
        <w:rPr>
          <w:rtl/>
        </w:rPr>
        <w:t xml:space="preserve"> ، ج 10 ، ص 201 ، ح 9436 ؛ </w:t>
      </w:r>
      <w:r w:rsidR="00992664" w:rsidRPr="0012008A">
        <w:rPr>
          <w:rStyle w:val="libFootnoteBoldChar"/>
          <w:rtl/>
        </w:rPr>
        <w:t>الوسائل</w:t>
      </w:r>
      <w:r w:rsidR="00992664" w:rsidRPr="00020424">
        <w:rPr>
          <w:rtl/>
        </w:rPr>
        <w:t xml:space="preserve"> ، ج 9 ، ص 261 ، ح 11981.</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الظلف للبقر والغنم ، كالحافر للفرس والبغل ، والخفّ للبعير</w:t>
      </w:r>
      <w:r w:rsidR="00992664">
        <w:rPr>
          <w:rtl/>
        </w:rPr>
        <w:t xml:space="preserve"> ..</w:t>
      </w:r>
      <w:r w:rsidR="00992664" w:rsidRPr="00020424">
        <w:rPr>
          <w:rtl/>
        </w:rPr>
        <w:t xml:space="preserve">. وقد يطلق الظلف على ذات الظلف أنفسهامجازاً. وفي </w:t>
      </w:r>
      <w:r w:rsidR="004F0AAD">
        <w:rPr>
          <w:rFonts w:hint="cs"/>
          <w:rtl/>
        </w:rPr>
        <w:t>.</w:t>
      </w:r>
      <w:r w:rsidR="00992664" w:rsidRPr="0012008A">
        <w:rPr>
          <w:rStyle w:val="libFootnoteBoldChar"/>
          <w:rtl/>
        </w:rPr>
        <w:t>الوافي</w:t>
      </w:r>
      <w:r w:rsidR="00992664" w:rsidRPr="00020424">
        <w:rPr>
          <w:rtl/>
        </w:rPr>
        <w:t xml:space="preserve"> : « الخفّ كناية عن الإبل ، والظلف عن البقر والغنم</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3 ، ص 159 ( ظلف )</w:t>
      </w:r>
      <w:r w:rsidR="00992664">
        <w:rPr>
          <w:rtl/>
        </w:rPr>
        <w:t>.</w:t>
      </w:r>
    </w:p>
    <w:tbl>
      <w:tblPr>
        <w:tblStyle w:val="TableGrid"/>
        <w:bidiVisual/>
        <w:tblW w:w="0" w:type="auto"/>
        <w:tblLook w:val="04A0" w:firstRow="1" w:lastRow="0" w:firstColumn="1" w:lastColumn="0" w:noHBand="0" w:noVBand="1"/>
      </w:tblPr>
      <w:tblGrid>
        <w:gridCol w:w="4006"/>
        <w:gridCol w:w="4006"/>
      </w:tblGrid>
      <w:tr w:rsidR="004F0AAD" w:rsidTr="004F0AAD">
        <w:tc>
          <w:tcPr>
            <w:tcW w:w="4006" w:type="dxa"/>
          </w:tcPr>
          <w:p w:rsidR="004F0AAD" w:rsidRDefault="004F0AAD" w:rsidP="00992664">
            <w:pPr>
              <w:pStyle w:val="libFootnote0"/>
              <w:rPr>
                <w:rtl/>
              </w:rPr>
            </w:pPr>
            <w:r>
              <w:rPr>
                <w:rtl/>
              </w:rPr>
              <w:t xml:space="preserve">(9). </w:t>
            </w:r>
            <w:r w:rsidRPr="00020424">
              <w:rPr>
                <w:rtl/>
              </w:rPr>
              <w:t xml:space="preserve">في </w:t>
            </w:r>
            <w:r w:rsidRPr="00D64ADA">
              <w:rPr>
                <w:rStyle w:val="libFootnoteBoldChar"/>
                <w:rtl/>
              </w:rPr>
              <w:t>المحاسن</w:t>
            </w:r>
            <w:r w:rsidRPr="00020424">
              <w:rPr>
                <w:rtl/>
              </w:rPr>
              <w:t xml:space="preserve"> :</w:t>
            </w:r>
            <w:r>
              <w:rPr>
                <w:rtl/>
              </w:rPr>
              <w:t xml:space="preserve"> - </w:t>
            </w:r>
            <w:r w:rsidRPr="00020424">
              <w:rPr>
                <w:rtl/>
              </w:rPr>
              <w:t>« من المسلمين</w:t>
            </w:r>
            <w:r>
              <w:rPr>
                <w:rtl/>
              </w:rPr>
              <w:t xml:space="preserve"> ».</w:t>
            </w:r>
          </w:p>
        </w:tc>
        <w:tc>
          <w:tcPr>
            <w:tcW w:w="4006" w:type="dxa"/>
          </w:tcPr>
          <w:p w:rsidR="004F0AAD" w:rsidRDefault="004F0AAD" w:rsidP="00992664">
            <w:pPr>
              <w:pStyle w:val="libFootnote0"/>
              <w:rPr>
                <w:rtl/>
              </w:rPr>
            </w:pPr>
            <w:r>
              <w:rPr>
                <w:rtl/>
              </w:rPr>
              <w:t xml:space="preserve">(10). </w:t>
            </w:r>
            <w:r w:rsidRPr="00020424">
              <w:rPr>
                <w:rtl/>
              </w:rPr>
              <w:t xml:space="preserve">في « بح » </w:t>
            </w:r>
            <w:r w:rsidRPr="00EB1FD9">
              <w:rPr>
                <w:rStyle w:val="libFootnoteBoldChar"/>
                <w:rtl/>
              </w:rPr>
              <w:t>والوسائل</w:t>
            </w:r>
            <w:r w:rsidRPr="00020424">
              <w:rPr>
                <w:rtl/>
              </w:rPr>
              <w:t xml:space="preserve"> : « وأمّا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وما</w:t>
      </w:r>
      <w:r w:rsidR="00992664">
        <w:rPr>
          <w:rtl/>
        </w:rPr>
        <w:t xml:space="preserve"> ».</w:t>
      </w:r>
      <w:r w:rsidR="00992664" w:rsidRPr="00020424">
        <w:rPr>
          <w:rtl/>
        </w:rPr>
        <w:t xml:space="preserve"> وفي </w:t>
      </w:r>
      <w:r w:rsidR="00D64ADA" w:rsidRPr="00D64ADA">
        <w:rPr>
          <w:rStyle w:val="libFootnoteBoldCha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كيل بالقفيز ممّا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AAD">
      <w:pPr>
        <w:pStyle w:val="libNormal0"/>
        <w:rPr>
          <w:rtl/>
          <w:lang w:bidi="fa-IR"/>
        </w:rPr>
      </w:pPr>
      <w:r w:rsidRPr="00020424">
        <w:rPr>
          <w:rtl/>
          <w:lang w:bidi="fa-IR"/>
        </w:rPr>
        <w:lastRenderedPageBreak/>
        <w:t xml:space="preserve">فَلِلْفُقَرَاءِ الْمُدْقَعِينَ </w:t>
      </w:r>
      <w:r w:rsidRPr="00A91B96">
        <w:rPr>
          <w:rStyle w:val="libFootnotenumChar"/>
          <w:rtl/>
        </w:rPr>
        <w:t>(1)</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ابْنُ سِنَانٍ : قُلْتُ : وَكَيْفَ صَارَ هذَا هكَذَا </w:t>
      </w:r>
      <w:r w:rsidRPr="00A91B96">
        <w:rPr>
          <w:rStyle w:val="libFootnotenumChar"/>
          <w:rtl/>
        </w:rPr>
        <w:t>(2)</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(3)</w:t>
      </w:r>
      <w:r w:rsidRPr="00020424">
        <w:rPr>
          <w:rtl/>
          <w:lang w:bidi="fa-IR"/>
        </w:rPr>
        <w:t xml:space="preserve"> : « لِأَنَّ هؤُلَاءِ مُتَجَمِّلُونَ يَسْتَحْيُونَ </w:t>
      </w:r>
      <w:r w:rsidRPr="00A91B96">
        <w:rPr>
          <w:rStyle w:val="libFootnotenumChar"/>
          <w:rtl/>
        </w:rPr>
        <w:t>(4)</w:t>
      </w:r>
      <w:r w:rsidRPr="00020424">
        <w:rPr>
          <w:rtl/>
          <w:lang w:bidi="fa-IR"/>
        </w:rPr>
        <w:t xml:space="preserve"> مِنَ النَّاسِ ، فَيُدْفَعُ إِلَيْهِمْ أَجْمَلُ الْأَمْرَيْنِ عِنْدَ النَّاسِ ، وَكُلٌّ صَدَقَةٌ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9F4DC9">
        <w:rPr>
          <w:rtl/>
        </w:rPr>
        <w:t>5920</w:t>
      </w:r>
      <w:r w:rsidRPr="001155DE">
        <w:rPr>
          <w:rStyle w:val="libBold2Char"/>
          <w:rtl/>
        </w:rPr>
        <w:t xml:space="preserve"> / 4.</w:t>
      </w:r>
      <w:r w:rsidRPr="00020424">
        <w:rPr>
          <w:rtl/>
          <w:lang w:bidi="fa-IR"/>
        </w:rPr>
        <w:t xml:space="preserve"> عَلِيُّ بْنُ إِبْرَاهِيمَ ، عَنْ أَبِيهِ ، عَنْ إِسْمَاعِيلَ بْنِ مَرَّارٍ ، عَنْ يُونُسَ </w:t>
      </w:r>
      <w:r w:rsidRPr="00A91B96">
        <w:rPr>
          <w:rStyle w:val="libFootnotenumChar"/>
          <w:rtl/>
        </w:rPr>
        <w:t>(7)</w:t>
      </w:r>
      <w:r w:rsidRPr="00020424">
        <w:rPr>
          <w:rtl/>
          <w:lang w:bidi="fa-IR"/>
        </w:rPr>
        <w:t xml:space="preserve"> ، عَنْ عَلِيِّ بْنِ أَبِي حَمْزَةَ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قُلْتُ لَهُ : الرَّجُلُ يُعْطِي الْأَلْفَ </w:t>
      </w:r>
      <w:r w:rsidRPr="00A91B96">
        <w:rPr>
          <w:rStyle w:val="libFootnotenumChar"/>
          <w:rtl/>
        </w:rPr>
        <w:t>(8)</w:t>
      </w:r>
      <w:r w:rsidRPr="00020424">
        <w:rPr>
          <w:rtl/>
          <w:lang w:bidi="fa-IR"/>
        </w:rPr>
        <w:t xml:space="preserve"> الدِّرْهَمِ </w:t>
      </w:r>
      <w:r w:rsidRPr="00A91B96">
        <w:rPr>
          <w:rStyle w:val="libFootnotenumChar"/>
          <w:rtl/>
        </w:rPr>
        <w:t>(9)</w:t>
      </w:r>
      <w:r w:rsidRPr="00020424">
        <w:rPr>
          <w:rtl/>
          <w:lang w:bidi="fa-IR"/>
        </w:rPr>
        <w:t xml:space="preserve"> مِنَ الزَّكَاةِ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المدقعين</w:t>
      </w:r>
      <w:r w:rsidR="00992664">
        <w:rPr>
          <w:rtl/>
        </w:rPr>
        <w:t xml:space="preserve"> ».</w:t>
      </w:r>
      <w:r w:rsidR="00992664" w:rsidRPr="00020424">
        <w:rPr>
          <w:rtl/>
        </w:rPr>
        <w:t xml:space="preserve"> </w:t>
      </w:r>
      <w:r w:rsidR="00992664">
        <w:rPr>
          <w:rtl/>
        </w:rPr>
        <w:t>و «</w:t>
      </w:r>
      <w:r w:rsidR="004F0AAD">
        <w:rPr>
          <w:rtl/>
        </w:rPr>
        <w:t xml:space="preserve"> الم</w:t>
      </w:r>
      <w:r w:rsidR="004F0AAD">
        <w:rPr>
          <w:rFonts w:hint="cs"/>
          <w:rtl/>
        </w:rPr>
        <w:t>ـُ</w:t>
      </w:r>
      <w:r w:rsidR="00992664" w:rsidRPr="00020424">
        <w:rPr>
          <w:rtl/>
        </w:rPr>
        <w:t>دْقَعُ » : الفقير الذي قد لصق بالدَقْعاء</w:t>
      </w:r>
      <w:r w:rsidR="00992664">
        <w:rPr>
          <w:rtl/>
        </w:rPr>
        <w:t xml:space="preserve"> </w:t>
      </w:r>
      <w:r w:rsidR="009B673F">
        <w:rPr>
          <w:rtl/>
        </w:rPr>
        <w:t>-</w:t>
      </w:r>
      <w:r w:rsidR="00992664">
        <w:rPr>
          <w:rtl/>
        </w:rPr>
        <w:t xml:space="preserve"> </w:t>
      </w:r>
      <w:r w:rsidR="00992664" w:rsidRPr="00020424">
        <w:rPr>
          <w:rtl/>
        </w:rPr>
        <w:t>وهي التراب</w:t>
      </w:r>
      <w:r w:rsidR="00992664">
        <w:rPr>
          <w:rtl/>
        </w:rPr>
        <w:t xml:space="preserve"> </w:t>
      </w:r>
      <w:r w:rsidR="009B673F">
        <w:rPr>
          <w:rtl/>
        </w:rPr>
        <w:t>-</w:t>
      </w:r>
      <w:r w:rsidR="00992664">
        <w:rPr>
          <w:rtl/>
        </w:rPr>
        <w:t xml:space="preserve"> </w:t>
      </w:r>
      <w:r w:rsidR="00992664" w:rsidRPr="00020424">
        <w:rPr>
          <w:rtl/>
        </w:rPr>
        <w:t>من الفقر ، يقال : دَ</w:t>
      </w:r>
      <w:r w:rsidR="004F0AAD">
        <w:rPr>
          <w:rtl/>
        </w:rPr>
        <w:t>قِعَ الرجلُ ، أي لصق بالتراب ذ</w:t>
      </w:r>
      <w:r w:rsidR="004F0AAD">
        <w:rPr>
          <w:rFonts w:hint="cs"/>
          <w:rtl/>
        </w:rPr>
        <w:t>لّ</w:t>
      </w:r>
      <w:r w:rsidR="00992664" w:rsidRPr="00020424">
        <w:rPr>
          <w:rtl/>
        </w:rPr>
        <w:t>ا</w:t>
      </w:r>
      <w:r w:rsidR="004F0AAD">
        <w:rPr>
          <w:rFonts w:hint="cs"/>
          <w:rtl/>
        </w:rPr>
        <w:t>ً</w:t>
      </w:r>
      <w:r w:rsidR="00992664" w:rsidRPr="00020424">
        <w:rPr>
          <w:rtl/>
        </w:rPr>
        <w:t xml:space="preserve"> ، أو فقراً ؛ من الدَقَع ، وهو الخضوع في الطلب. وقيل : هو من الدَقَع وهو سوء احتمال الفقر. راجع : </w:t>
      </w:r>
      <w:r w:rsidR="00992664" w:rsidRPr="0012008A">
        <w:rPr>
          <w:rStyle w:val="libFootnoteBoldChar"/>
          <w:rtl/>
        </w:rPr>
        <w:t>الصحاح</w:t>
      </w:r>
      <w:r w:rsidR="00992664" w:rsidRPr="00020424">
        <w:rPr>
          <w:rtl/>
        </w:rPr>
        <w:t xml:space="preserve"> ، ج 3 ، ص 1208 ؛ </w:t>
      </w:r>
      <w:r w:rsidR="00992664" w:rsidRPr="00A722B1">
        <w:rPr>
          <w:rStyle w:val="libFootnoteBoldChar"/>
          <w:rtl/>
        </w:rPr>
        <w:t>لسان العرب</w:t>
      </w:r>
      <w:r w:rsidR="00992664" w:rsidRPr="00020424">
        <w:rPr>
          <w:rtl/>
        </w:rPr>
        <w:t xml:space="preserve"> ، ج 8 ، ص 90 ( دقع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4F0AAD">
        <w:rPr>
          <w:rtl/>
        </w:rPr>
        <w:t xml:space="preserve"> </w:t>
      </w:r>
      <w:r w:rsidR="00992664" w:rsidRPr="00EB1FD9">
        <w:rPr>
          <w:rStyle w:val="libFootnoteBoldChar"/>
          <w:rtl/>
        </w:rPr>
        <w:t>والوسائل</w:t>
      </w:r>
      <w:r w:rsidR="00992664" w:rsidRPr="004F0AAD">
        <w:rPr>
          <w:rtl/>
        </w:rPr>
        <w:t xml:space="preserve"> </w:t>
      </w:r>
      <w:r w:rsidR="00992664" w:rsidRPr="00515444">
        <w:rPr>
          <w:rStyle w:val="libFootnoteBoldChar"/>
          <w:rtl/>
        </w:rPr>
        <w:t>والتهذيب</w:t>
      </w:r>
      <w:r w:rsidR="00992664" w:rsidRPr="004F0AAD">
        <w:rPr>
          <w:rtl/>
        </w:rPr>
        <w:t>.</w:t>
      </w:r>
      <w:r w:rsidR="00992664" w:rsidRPr="00020424">
        <w:rPr>
          <w:rtl/>
        </w:rPr>
        <w:t xml:space="preserve"> وفي المطبوع : « كذا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بر ، بس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4F0AAD">
        <w:rPr>
          <w:rtl/>
        </w:rPr>
        <w:t>التهذيب</w:t>
      </w:r>
      <w:r w:rsidR="00992664" w:rsidRPr="00020424">
        <w:rPr>
          <w:rtl/>
        </w:rPr>
        <w:t xml:space="preserve"> : « ويستحيون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وكلّ صدقة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101 ، ح 286 ، معلّقاً عن الكليني. </w:t>
      </w:r>
      <w:r w:rsidR="00992664" w:rsidRPr="00DE76B9">
        <w:rPr>
          <w:rStyle w:val="libFootnoteBoldChar"/>
          <w:rtl/>
        </w:rPr>
        <w:t>علل الشرائع</w:t>
      </w:r>
      <w:r w:rsidR="00992664" w:rsidRPr="00020424">
        <w:rPr>
          <w:rtl/>
        </w:rPr>
        <w:t xml:space="preserve"> ، ص 371 ، ح 1 ، بسنده عن إبراهيم بن إسحاق ، عن محمّد بن سليمان الديلمي ، عن عبدالله بن سنان. </w:t>
      </w:r>
      <w:r w:rsidR="00D64ADA" w:rsidRPr="00D64ADA">
        <w:rPr>
          <w:rStyle w:val="libFootnoteBoldChar"/>
          <w:rtl/>
        </w:rPr>
        <w:t>المحاسن</w:t>
      </w:r>
      <w:r w:rsidR="00992664" w:rsidRPr="00020424">
        <w:rPr>
          <w:rtl/>
        </w:rPr>
        <w:t xml:space="preserve"> ، ص 304 ، كتاب العلل ، ح 13 ، عن أبيه ، عن ابن الديلمي ، عن عبدالله بن سنان ، وفي الأخيرين مع اختلاف يسير </w:t>
      </w:r>
      <w:r w:rsidR="004F0AAD">
        <w:rPr>
          <w:rFonts w:hint="cs"/>
          <w:rtl/>
        </w:rPr>
        <w:t>.</w:t>
      </w:r>
      <w:r w:rsidR="00992664" w:rsidRPr="0012008A">
        <w:rPr>
          <w:rStyle w:val="libFootnoteBoldChar"/>
          <w:rtl/>
        </w:rPr>
        <w:t>الوافي</w:t>
      </w:r>
      <w:r w:rsidR="00992664" w:rsidRPr="00020424">
        <w:rPr>
          <w:rtl/>
        </w:rPr>
        <w:t xml:space="preserve"> ، ج 10 ، ص 205 ، ح 9443 ؛ </w:t>
      </w:r>
      <w:r w:rsidR="00992664" w:rsidRPr="0012008A">
        <w:rPr>
          <w:rStyle w:val="libFootnoteBoldChar"/>
          <w:rtl/>
        </w:rPr>
        <w:t>الوسائل</w:t>
      </w:r>
      <w:r w:rsidR="00992664" w:rsidRPr="00020424">
        <w:rPr>
          <w:rtl/>
        </w:rPr>
        <w:t xml:space="preserve"> ، ج 9 ، ص 263 ، ح 11983.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ظ ، ى ، بث ، بح ، بخ ، جن » </w:t>
      </w:r>
      <w:r w:rsidR="00992664" w:rsidRPr="00EB1FD9">
        <w:rPr>
          <w:rStyle w:val="libFootnoteBoldChar"/>
          <w:rtl/>
        </w:rPr>
        <w:t>والوسائل</w:t>
      </w:r>
      <w:r w:rsidR="00992664" w:rsidRPr="00020424">
        <w:rPr>
          <w:rtl/>
        </w:rPr>
        <w:t>. وفي « بر ، بف » والمطبوع : + « عن ابن أبي عمير</w:t>
      </w:r>
      <w:r w:rsidR="00992664">
        <w:rPr>
          <w:rtl/>
        </w:rPr>
        <w:t>».</w:t>
      </w:r>
      <w:r w:rsidR="00992664" w:rsidRPr="00020424">
        <w:rPr>
          <w:rtl/>
        </w:rPr>
        <w:t xml:space="preserve"> وفي « بس » : « عن ابن أبي عمير » بدل « عن يونس</w:t>
      </w:r>
      <w:r w:rsidR="00992664">
        <w:rPr>
          <w:rtl/>
        </w:rPr>
        <w:t xml:space="preserve"> ».</w:t>
      </w:r>
    </w:p>
    <w:p w:rsidR="00992664" w:rsidRPr="00020424" w:rsidRDefault="00992664" w:rsidP="00992664">
      <w:pPr>
        <w:pStyle w:val="libFootnote0"/>
        <w:rPr>
          <w:rtl/>
          <w:lang w:bidi="fa-IR"/>
        </w:rPr>
      </w:pPr>
      <w:r w:rsidRPr="004F0AAD">
        <w:rPr>
          <w:rtl/>
        </w:rPr>
        <w:t xml:space="preserve">هذا ، ولم نجد توسّط ابن أبي عمير بين يونس </w:t>
      </w:r>
      <w:r w:rsidR="009B673F" w:rsidRPr="004F0AAD">
        <w:rPr>
          <w:rtl/>
        </w:rPr>
        <w:t>-</w:t>
      </w:r>
      <w:r w:rsidRPr="004F0AAD">
        <w:rPr>
          <w:rtl/>
        </w:rPr>
        <w:t xml:space="preserve"> وهو ابن عبدالرحمن بقرينة رواية إسماعيل بن مرّار عنه </w:t>
      </w:r>
      <w:r w:rsidR="009B673F" w:rsidRPr="004F0AAD">
        <w:rPr>
          <w:rtl/>
        </w:rPr>
        <w:t>-</w:t>
      </w:r>
      <w:r w:rsidRPr="004F0AAD">
        <w:rPr>
          <w:rtl/>
        </w:rPr>
        <w:t xml:space="preserve"> وبين عليّ بن أبي حمزة ؛ بل لم تثبت رواية يونس عن ابن أبي عمير. كما أنّا لم نجد رواية إسماعيل بن مرّار عن ابن أبي عمير في موضع. وأمّا يونس ، فقد توسّط بين إسماعيل مرّار وبين عليّ بن أبي حمزة في </w:t>
      </w:r>
      <w:r w:rsidRPr="004F0AAD">
        <w:rPr>
          <w:rStyle w:val="libFootnoteBoldChar"/>
          <w:rtl/>
        </w:rPr>
        <w:t>الكافي</w:t>
      </w:r>
      <w:r w:rsidRPr="004F0AAD">
        <w:rPr>
          <w:rtl/>
        </w:rPr>
        <w:t xml:space="preserve"> ، ح 7158 و7723 و8022.</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بس » : « ألف</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بس ، بف » </w:t>
      </w:r>
      <w:r w:rsidR="00992664" w:rsidRPr="00515444">
        <w:rPr>
          <w:rStyle w:val="libFootnoteBoldChar"/>
          <w:rtl/>
        </w:rPr>
        <w:t>والوافي</w:t>
      </w:r>
      <w:r w:rsidR="00992664" w:rsidRPr="004F0AAD">
        <w:rPr>
          <w:rtl/>
        </w:rPr>
        <w:t xml:space="preserve"> </w:t>
      </w:r>
      <w:r w:rsidR="00992664" w:rsidRPr="00EB1FD9">
        <w:rPr>
          <w:rStyle w:val="libFootnoteBoldChar"/>
          <w:rtl/>
        </w:rPr>
        <w:t>والوسائل</w:t>
      </w:r>
      <w:r w:rsidR="00992664" w:rsidRPr="00020424">
        <w:rPr>
          <w:rtl/>
        </w:rPr>
        <w:t xml:space="preserve"> : « درهم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AAD">
      <w:pPr>
        <w:pStyle w:val="libNormal0"/>
        <w:rPr>
          <w:rtl/>
          <w:lang w:bidi="fa-IR"/>
        </w:rPr>
      </w:pPr>
      <w:r w:rsidRPr="00020424">
        <w:rPr>
          <w:rtl/>
          <w:lang w:bidi="fa-IR"/>
        </w:rPr>
        <w:lastRenderedPageBreak/>
        <w:t xml:space="preserve">فَيَقْسِمُهَا </w:t>
      </w:r>
      <w:r w:rsidRPr="00A91B96">
        <w:rPr>
          <w:rStyle w:val="libFootnotenumChar"/>
          <w:rtl/>
        </w:rPr>
        <w:t>(1)</w:t>
      </w:r>
      <w:r w:rsidRPr="00020424">
        <w:rPr>
          <w:rtl/>
          <w:lang w:bidi="fa-IR"/>
        </w:rPr>
        <w:t xml:space="preserve"> ، فَيُحَدِّثُ نَفْسَهُ أَنْ يُعْطِيَ الرَّجُلَ </w:t>
      </w:r>
      <w:r w:rsidRPr="00A91B96">
        <w:rPr>
          <w:rStyle w:val="libFootnotenumChar"/>
          <w:rtl/>
        </w:rPr>
        <w:t>(2)</w:t>
      </w:r>
      <w:r w:rsidRPr="00020424">
        <w:rPr>
          <w:rtl/>
          <w:lang w:bidi="fa-IR"/>
        </w:rPr>
        <w:t xml:space="preserve"> مِنْهَا ، ثُمَّ يَبْدُو لَهُ </w:t>
      </w:r>
      <w:r w:rsidRPr="00A91B96">
        <w:rPr>
          <w:rStyle w:val="libFootnotenumChar"/>
          <w:rtl/>
        </w:rPr>
        <w:t>(3)</w:t>
      </w:r>
      <w:r w:rsidRPr="00020424">
        <w:rPr>
          <w:rtl/>
          <w:lang w:bidi="fa-IR"/>
        </w:rPr>
        <w:t xml:space="preserve"> وَيَعْزِلُهُ </w:t>
      </w:r>
      <w:r w:rsidRPr="00A91B96">
        <w:rPr>
          <w:rStyle w:val="libFootnotenumChar"/>
          <w:rtl/>
        </w:rPr>
        <w:t>(4)</w:t>
      </w:r>
      <w:r w:rsidRPr="00020424">
        <w:rPr>
          <w:rtl/>
          <w:lang w:bidi="fa-IR"/>
        </w:rPr>
        <w:t xml:space="preserve"> ، فَيُعْطِي </w:t>
      </w:r>
      <w:r w:rsidRPr="00A91B96">
        <w:rPr>
          <w:rStyle w:val="libFootnotenumChar"/>
          <w:rtl/>
        </w:rPr>
        <w:t>(5)</w:t>
      </w:r>
      <w:r w:rsidRPr="00020424">
        <w:rPr>
          <w:rtl/>
          <w:lang w:bidi="fa-IR"/>
        </w:rPr>
        <w:t xml:space="preserve"> غَيْرَهُ</w:t>
      </w:r>
      <w:r>
        <w:rPr>
          <w:rtl/>
          <w:lang w:bidi="fa-IR"/>
        </w:rPr>
        <w:t>؟</w:t>
      </w:r>
    </w:p>
    <w:p w:rsidR="00992664" w:rsidRPr="00020424" w:rsidRDefault="00992664" w:rsidP="00992664">
      <w:pPr>
        <w:pStyle w:val="libNormal"/>
        <w:rPr>
          <w:rtl/>
          <w:lang w:bidi="fa-IR"/>
        </w:rPr>
      </w:pPr>
      <w:r w:rsidRPr="00020424">
        <w:rPr>
          <w:rtl/>
          <w:lang w:bidi="fa-IR"/>
        </w:rPr>
        <w:t>قَالَ : « لَا بَأْسَ بِهِ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2A55FC">
        <w:rPr>
          <w:rtl/>
        </w:rPr>
        <w:t>5921</w:t>
      </w:r>
      <w:r w:rsidRPr="001155DE">
        <w:rPr>
          <w:rStyle w:val="libBold2Char"/>
          <w:rtl/>
        </w:rPr>
        <w:t xml:space="preserve"> / 5.</w:t>
      </w:r>
      <w:r w:rsidRPr="00020424">
        <w:rPr>
          <w:rtl/>
          <w:lang w:bidi="fa-IR"/>
        </w:rPr>
        <w:t xml:space="preserve"> عَلِيُّ بْنُ إِبْرَاهِيمَ ، عَنْ أَبِيهِ ، عَنْ بَعْضِ أَصْحَابِهِ </w:t>
      </w:r>
      <w:r w:rsidRPr="00A91B96">
        <w:rPr>
          <w:rStyle w:val="libFootnotenumChar"/>
          <w:rtl/>
        </w:rPr>
        <w:t>(7)</w:t>
      </w:r>
      <w:r w:rsidRPr="00020424">
        <w:rPr>
          <w:rtl/>
          <w:lang w:bidi="fa-IR"/>
        </w:rPr>
        <w:t xml:space="preserve"> ، عَنْ عَنْبَسَةَ بْنِ مُصْعَبٍ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أُتِيَ النَّبِيُّ </w:t>
      </w:r>
      <w:r w:rsidR="00B42914" w:rsidRPr="00B42914">
        <w:rPr>
          <w:rStyle w:val="libAlaemChar"/>
          <w:rtl/>
        </w:rPr>
        <w:t>صلى‌الله‌عليه‌وآله‌</w:t>
      </w:r>
      <w:r w:rsidRPr="00020424">
        <w:rPr>
          <w:rtl/>
          <w:lang w:bidi="fa-IR"/>
        </w:rPr>
        <w:t xml:space="preserve"> بِشَيْ‌ءٍ ، فَقَسَمَهُ </w:t>
      </w:r>
      <w:r w:rsidRPr="00A91B96">
        <w:rPr>
          <w:rStyle w:val="libFootnotenumChar"/>
          <w:rtl/>
        </w:rPr>
        <w:t>(8)</w:t>
      </w:r>
      <w:r w:rsidRPr="00020424">
        <w:rPr>
          <w:rtl/>
          <w:lang w:bidi="fa-IR"/>
        </w:rPr>
        <w:t xml:space="preserve"> ، فَلَمْ يَسَعْ أَهْلَ الصُّفَّةِ </w:t>
      </w:r>
      <w:r w:rsidRPr="00A91B96">
        <w:rPr>
          <w:rStyle w:val="libFootnotenumChar"/>
          <w:rtl/>
        </w:rPr>
        <w:t>(9)</w:t>
      </w:r>
      <w:r w:rsidRPr="00020424">
        <w:rPr>
          <w:rtl/>
          <w:lang w:bidi="fa-IR"/>
        </w:rPr>
        <w:t xml:space="preserve"> جَمِيعاً ، فَخَصَّ بِهِ </w:t>
      </w:r>
      <w:r w:rsidRPr="00A91B96">
        <w:rPr>
          <w:rStyle w:val="libFootnotenumChar"/>
          <w:rtl/>
        </w:rPr>
        <w:t>(10)</w:t>
      </w:r>
      <w:r w:rsidRPr="00020424">
        <w:rPr>
          <w:rtl/>
          <w:lang w:bidi="fa-IR"/>
        </w:rPr>
        <w:t xml:space="preserve"> أُنَاساً </w:t>
      </w:r>
      <w:r w:rsidRPr="00A91B96">
        <w:rPr>
          <w:rStyle w:val="libFootnotenumChar"/>
          <w:rtl/>
        </w:rPr>
        <w:t>(11)</w:t>
      </w:r>
      <w:r w:rsidRPr="00020424">
        <w:rPr>
          <w:rtl/>
          <w:lang w:bidi="fa-IR"/>
        </w:rPr>
        <w:t xml:space="preserve"> مِنْهُمْ ، فَخَافَ رَسُولُ اللهِ </w:t>
      </w:r>
      <w:r w:rsidR="00B42914" w:rsidRPr="00B42914">
        <w:rPr>
          <w:rStyle w:val="libAlaemChar"/>
          <w:rtl/>
        </w:rPr>
        <w:t>صلى‌الله‌عليه‌وآله‌</w:t>
      </w:r>
      <w:r w:rsidRPr="00020424">
        <w:rPr>
          <w:rtl/>
          <w:lang w:bidi="fa-IR"/>
        </w:rPr>
        <w:t xml:space="preserve"> أَنْ يَكُونَ قَدْ دَخَلَ قُلُوبَ الْآخَرِينَ شَيْ‌ءٌ ، فَخَرَجَ إِلَيْهِمْ ، فَقَالَ : مَعْذِرَةً إِلَى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وَإِلَيْكُمْ يَا أَهْلَ الصُّفَّةِ ، إِنَّا أُوتِينَا </w:t>
      </w:r>
      <w:r w:rsidRPr="00A91B96">
        <w:rPr>
          <w:rStyle w:val="libFootnotenumChar"/>
          <w:rtl/>
        </w:rPr>
        <w:t>(12)</w:t>
      </w:r>
      <w:r w:rsidRPr="00020424">
        <w:rPr>
          <w:rtl/>
          <w:lang w:bidi="fa-IR"/>
        </w:rPr>
        <w:t xml:space="preserve"> بِشَيْ‌ءٍ ، فَأَرَدْنَا أَنْ نَقْسِمَهُ بَيْنَكُمْ ، فَلَمْ يَسَعْكُمْ ، فَخَصَصْتُ </w:t>
      </w:r>
      <w:r w:rsidRPr="00A91B96">
        <w:rPr>
          <w:rStyle w:val="libFootnotenumChar"/>
          <w:rtl/>
        </w:rPr>
        <w:t>(13)</w:t>
      </w:r>
      <w:r w:rsidRPr="00020424">
        <w:rPr>
          <w:rtl/>
          <w:lang w:bidi="fa-IR"/>
        </w:rPr>
        <w:t xml:space="preserve"> بِهِ أُنَاساً مِنْكُمْ خَشِينَا جَزَعَهُمْ وَهَلَعَهُمْ </w:t>
      </w:r>
      <w:r w:rsidRPr="00A91B96">
        <w:rPr>
          <w:rStyle w:val="libFootnotenumChar"/>
          <w:rtl/>
        </w:rPr>
        <w:t>(14)</w:t>
      </w:r>
      <w:r>
        <w:rPr>
          <w:rtl/>
          <w:lang w:bidi="fa-IR"/>
        </w:rPr>
        <w:t xml:space="preserve"> ».</w:t>
      </w:r>
      <w:r w:rsidRPr="00020424">
        <w:rPr>
          <w:rtl/>
          <w:lang w:bidi="fa-IR"/>
        </w:rPr>
        <w:t xml:space="preserve">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بس » : « يقسمها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رجلاً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يبدوله » ، أي يظهر له ، يقال : بدا له في الأمر ، أي ظهر له ما لم يظهر أوّلاً ، والاسم : البَداء ، وهو فينا استصواب شي‌ء عُلم بعد أن لم يعلم. راجع : </w:t>
      </w:r>
      <w:r w:rsidR="00992664" w:rsidRPr="0012008A">
        <w:rPr>
          <w:rStyle w:val="libFootnoteBoldChar"/>
          <w:rtl/>
        </w:rPr>
        <w:t>النهاية</w:t>
      </w:r>
      <w:r w:rsidR="00992664" w:rsidRPr="00020424">
        <w:rPr>
          <w:rtl/>
        </w:rPr>
        <w:t xml:space="preserve"> ، ج 1 ، ص 109 ؛ </w:t>
      </w:r>
      <w:r w:rsidR="00992664" w:rsidRPr="00A722B1">
        <w:rPr>
          <w:rStyle w:val="libFootnoteBoldChar"/>
          <w:rtl/>
        </w:rPr>
        <w:t>المصباح المنير</w:t>
      </w:r>
      <w:r w:rsidR="00992664" w:rsidRPr="00020424">
        <w:rPr>
          <w:rtl/>
        </w:rPr>
        <w:t xml:space="preserve"> ، ص 40 ( بدا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4F0AAD">
        <w:rPr>
          <w:rtl/>
        </w:rPr>
        <w:t>الوافي</w:t>
      </w:r>
      <w:r w:rsidR="00992664" w:rsidRPr="00020424">
        <w:rPr>
          <w:rtl/>
        </w:rPr>
        <w:t xml:space="preserve"> : « فيعزله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بث ، بح ، بخ ، بر ، بف ، جن » </w:t>
      </w:r>
      <w:r w:rsidR="00992664" w:rsidRPr="00515444">
        <w:rPr>
          <w:rStyle w:val="libFootnoteBoldChar"/>
          <w:rtl/>
        </w:rPr>
        <w:t>والوافي</w:t>
      </w:r>
      <w:r w:rsidR="00992664" w:rsidRPr="004F0AAD">
        <w:rPr>
          <w:rtl/>
        </w:rPr>
        <w:t xml:space="preserve"> </w:t>
      </w:r>
      <w:r w:rsidR="00992664" w:rsidRPr="00EB1FD9">
        <w:rPr>
          <w:rStyle w:val="libFootnoteBoldChar"/>
          <w:rtl/>
        </w:rPr>
        <w:t>والوسائل</w:t>
      </w:r>
      <w:r w:rsidR="00992664" w:rsidRPr="00020424">
        <w:rPr>
          <w:rtl/>
        </w:rPr>
        <w:t>. وفي سائر النسخ والمطبوع : « ويعطى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208 ، ح 9455 ؛ </w:t>
      </w:r>
      <w:r w:rsidR="00992664" w:rsidRPr="0012008A">
        <w:rPr>
          <w:rStyle w:val="libFootnoteBoldChar"/>
          <w:rtl/>
        </w:rPr>
        <w:t>الوسائل</w:t>
      </w:r>
      <w:r w:rsidR="00992664" w:rsidRPr="00020424">
        <w:rPr>
          <w:rtl/>
        </w:rPr>
        <w:t xml:space="preserve"> ، ج 9 ، ص 264 ، ح 11985.</w:t>
      </w:r>
    </w:p>
    <w:tbl>
      <w:tblPr>
        <w:tblStyle w:val="TableGrid"/>
        <w:bidiVisual/>
        <w:tblW w:w="0" w:type="auto"/>
        <w:tblLook w:val="04A0" w:firstRow="1" w:lastRow="0" w:firstColumn="1" w:lastColumn="0" w:noHBand="0" w:noVBand="1"/>
      </w:tblPr>
      <w:tblGrid>
        <w:gridCol w:w="4006"/>
        <w:gridCol w:w="4006"/>
      </w:tblGrid>
      <w:tr w:rsidR="004F0AAD" w:rsidTr="004F0AAD">
        <w:tc>
          <w:tcPr>
            <w:tcW w:w="4006" w:type="dxa"/>
          </w:tcPr>
          <w:p w:rsidR="004F0AAD" w:rsidRDefault="004F0AAD" w:rsidP="00992664">
            <w:pPr>
              <w:pStyle w:val="libFootnote0"/>
              <w:rPr>
                <w:rtl/>
              </w:rPr>
            </w:pPr>
            <w:r>
              <w:rPr>
                <w:rtl/>
              </w:rPr>
              <w:t xml:space="preserve">(7). </w:t>
            </w:r>
            <w:r w:rsidRPr="00020424">
              <w:rPr>
                <w:rtl/>
              </w:rPr>
              <w:t>في « بح » : « بعض أصحابنا</w:t>
            </w:r>
            <w:r>
              <w:rPr>
                <w:rtl/>
              </w:rPr>
              <w:t xml:space="preserve"> ».</w:t>
            </w:r>
          </w:p>
        </w:tc>
        <w:tc>
          <w:tcPr>
            <w:tcW w:w="4006" w:type="dxa"/>
          </w:tcPr>
          <w:p w:rsidR="004F0AAD" w:rsidRDefault="004F0AAD" w:rsidP="00992664">
            <w:pPr>
              <w:pStyle w:val="libFootnote0"/>
              <w:rPr>
                <w:rtl/>
              </w:rPr>
            </w:pPr>
            <w:r>
              <w:rPr>
                <w:rtl/>
              </w:rPr>
              <w:t>(8). في «ظ،ى،بث،بخ،بس»</w:t>
            </w:r>
            <w:r w:rsidRPr="00EB1FD9">
              <w:rPr>
                <w:rStyle w:val="libFootnoteBoldChar"/>
                <w:rtl/>
              </w:rPr>
              <w:t>والوسائل</w:t>
            </w:r>
            <w:r>
              <w:rPr>
                <w:rtl/>
              </w:rPr>
              <w:t xml:space="preserve"> : «</w:t>
            </w:r>
            <w:r w:rsidRPr="00020424">
              <w:rPr>
                <w:rtl/>
              </w:rPr>
              <w:t>يقسمه</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الصُفَّة » : هو موضع مظلَّل من المسجد كان يأوي إليه المساكين. وأهل الصُفَّة : هم فقراء المهاجرين ومن لم‌</w:t>
      </w:r>
      <w:r w:rsidR="004F0AAD">
        <w:rPr>
          <w:rFonts w:hint="cs"/>
          <w:rtl/>
        </w:rPr>
        <w:t xml:space="preserve"> </w:t>
      </w:r>
      <w:r w:rsidR="00992664" w:rsidRPr="00020424">
        <w:rPr>
          <w:rtl/>
        </w:rPr>
        <w:t xml:space="preserve">يكن له منهم منزل يسكنه ، فكانوا يأوون إلى موضع مظلَّل في مسجد المدينة يسكنونه. راجع : </w:t>
      </w:r>
      <w:r w:rsidR="00992664" w:rsidRPr="0012008A">
        <w:rPr>
          <w:rStyle w:val="libFootnoteBoldChar"/>
          <w:rtl/>
        </w:rPr>
        <w:t>النهاية</w:t>
      </w:r>
      <w:r w:rsidR="00992664" w:rsidRPr="00020424">
        <w:rPr>
          <w:rtl/>
        </w:rPr>
        <w:t xml:space="preserve"> ، ج 3 ، ص 37 ؛ </w:t>
      </w:r>
      <w:r w:rsidR="00992664" w:rsidRPr="00A722B1">
        <w:rPr>
          <w:rStyle w:val="libFootnoteBoldChar"/>
          <w:rtl/>
        </w:rPr>
        <w:t>لسان العرب</w:t>
      </w:r>
      <w:r w:rsidR="00992664" w:rsidRPr="00020424">
        <w:rPr>
          <w:rtl/>
        </w:rPr>
        <w:t xml:space="preserve"> ، ج 9 ، ص 195 ( صفف )</w:t>
      </w:r>
      <w:r w:rsidR="00992664">
        <w:rPr>
          <w:rtl/>
        </w:rPr>
        <w:t>.</w:t>
      </w:r>
    </w:p>
    <w:tbl>
      <w:tblPr>
        <w:tblStyle w:val="TableGrid"/>
        <w:bidiVisual/>
        <w:tblW w:w="0" w:type="auto"/>
        <w:tblLook w:val="04A0" w:firstRow="1" w:lastRow="0" w:firstColumn="1" w:lastColumn="0" w:noHBand="0" w:noVBand="1"/>
      </w:tblPr>
      <w:tblGrid>
        <w:gridCol w:w="4006"/>
        <w:gridCol w:w="4006"/>
      </w:tblGrid>
      <w:tr w:rsidR="004F0AAD" w:rsidTr="004F0AAD">
        <w:tc>
          <w:tcPr>
            <w:tcW w:w="4006" w:type="dxa"/>
          </w:tcPr>
          <w:p w:rsidR="004F0AAD" w:rsidRDefault="004F0AAD" w:rsidP="00992664">
            <w:pPr>
              <w:pStyle w:val="libFootnote0"/>
              <w:rPr>
                <w:rtl/>
              </w:rPr>
            </w:pPr>
            <w:r>
              <w:rPr>
                <w:rtl/>
              </w:rPr>
              <w:t xml:space="preserve">(10). </w:t>
            </w:r>
            <w:r w:rsidRPr="00020424">
              <w:rPr>
                <w:rtl/>
              </w:rPr>
              <w:t>في « بخ » :</w:t>
            </w:r>
            <w:r>
              <w:rPr>
                <w:rtl/>
              </w:rPr>
              <w:t xml:space="preserve"> - </w:t>
            </w:r>
            <w:r w:rsidRPr="00020424">
              <w:rPr>
                <w:rtl/>
              </w:rPr>
              <w:t>« به</w:t>
            </w:r>
            <w:r>
              <w:rPr>
                <w:rtl/>
              </w:rPr>
              <w:t xml:space="preserve"> ».</w:t>
            </w:r>
          </w:p>
        </w:tc>
        <w:tc>
          <w:tcPr>
            <w:tcW w:w="4006" w:type="dxa"/>
          </w:tcPr>
          <w:p w:rsidR="004F0AAD" w:rsidRDefault="004F0AAD" w:rsidP="00992664">
            <w:pPr>
              <w:pStyle w:val="libFootnote0"/>
              <w:rPr>
                <w:rtl/>
              </w:rPr>
            </w:pPr>
            <w:r>
              <w:rPr>
                <w:rtl/>
              </w:rPr>
              <w:t xml:space="preserve">(11). </w:t>
            </w:r>
            <w:r w:rsidRPr="00020424">
              <w:rPr>
                <w:rtl/>
              </w:rPr>
              <w:t>في « بر » : « ناساً</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بر » : « أتينا</w:t>
      </w:r>
      <w:r w:rsidR="00992664">
        <w:rPr>
          <w:rtl/>
        </w:rPr>
        <w:t xml:space="preserve"> ».</w:t>
      </w:r>
      <w:r w:rsidR="00992664" w:rsidRPr="00020424">
        <w:rPr>
          <w:rtl/>
        </w:rPr>
        <w:t xml:space="preserve"> وفي </w:t>
      </w:r>
      <w:r w:rsidR="00992664" w:rsidRPr="004F0AAD">
        <w:rPr>
          <w:rtl/>
        </w:rPr>
        <w:t>الوافي</w:t>
      </w:r>
      <w:r w:rsidR="00992664" w:rsidRPr="00020424">
        <w:rPr>
          <w:rtl/>
        </w:rPr>
        <w:t xml:space="preserve"> « قد ا</w:t>
      </w:r>
      <w:r w:rsidR="004F0AAD">
        <w:rPr>
          <w:rFonts w:hint="cs"/>
          <w:rtl/>
        </w:rPr>
        <w:t>ُ</w:t>
      </w:r>
      <w:r w:rsidR="00992664" w:rsidRPr="00020424">
        <w:rPr>
          <w:rtl/>
        </w:rPr>
        <w:t>وتينا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بح » : « فخصّصت » بالتضعيف.</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 الهَلَع » : أفحش الجزع. وقيل : هو أشدّ الجزع والضجر. راجع : </w:t>
      </w:r>
      <w:r w:rsidR="00992664" w:rsidRPr="0012008A">
        <w:rPr>
          <w:rStyle w:val="libFootnoteBoldChar"/>
          <w:rtl/>
        </w:rPr>
        <w:t>الصحاح</w:t>
      </w:r>
      <w:r w:rsidR="00992664" w:rsidRPr="00020424">
        <w:rPr>
          <w:rtl/>
        </w:rPr>
        <w:t xml:space="preserve"> ، ج 3 ، ص 1308 ؛ </w:t>
      </w:r>
      <w:r w:rsidR="00992664" w:rsidRPr="0012008A">
        <w:rPr>
          <w:rStyle w:val="libFootnoteBoldChar"/>
          <w:rtl/>
        </w:rPr>
        <w:t>النهاية</w:t>
      </w:r>
      <w:r w:rsidR="00992664" w:rsidRPr="00020424">
        <w:rPr>
          <w:rtl/>
        </w:rPr>
        <w:t xml:space="preserve"> ، ج 5 ، ص 269 ( هلع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12008A">
        <w:rPr>
          <w:rStyle w:val="libFootnoteBoldChar"/>
          <w:rtl/>
        </w:rPr>
        <w:t>الوافي</w:t>
      </w:r>
      <w:r w:rsidR="00992664" w:rsidRPr="00020424">
        <w:rPr>
          <w:rtl/>
        </w:rPr>
        <w:t xml:space="preserve"> ، ج 10 ، ص 201 ، ح 9437 ؛ </w:t>
      </w:r>
      <w:r w:rsidR="00992664" w:rsidRPr="0012008A">
        <w:rPr>
          <w:rStyle w:val="libFootnoteBoldChar"/>
          <w:rtl/>
        </w:rPr>
        <w:t>الوسائل</w:t>
      </w:r>
      <w:r w:rsidR="00992664" w:rsidRPr="00020424">
        <w:rPr>
          <w:rtl/>
        </w:rPr>
        <w:t xml:space="preserve"> ، ج 9 ، ص 266 ، ح 11988 ؛ </w:t>
      </w:r>
      <w:r w:rsidR="00992664" w:rsidRPr="0012008A">
        <w:rPr>
          <w:rStyle w:val="libFootnoteBoldChar"/>
          <w:rtl/>
        </w:rPr>
        <w:t>البحار</w:t>
      </w:r>
      <w:r w:rsidR="00992664" w:rsidRPr="00020424">
        <w:rPr>
          <w:rtl/>
        </w:rPr>
        <w:t xml:space="preserve"> ، ج 16 ، ص 269 ، ح 81.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A55FC">
        <w:rPr>
          <w:rtl/>
        </w:rPr>
        <w:lastRenderedPageBreak/>
        <w:t>5922</w:t>
      </w:r>
      <w:r w:rsidRPr="001155DE">
        <w:rPr>
          <w:rStyle w:val="libBold2Char"/>
          <w:rtl/>
        </w:rPr>
        <w:t xml:space="preserve"> / 6.</w:t>
      </w:r>
      <w:r w:rsidRPr="00020424">
        <w:rPr>
          <w:rtl/>
          <w:lang w:bidi="fa-IR"/>
        </w:rPr>
        <w:t xml:space="preserve"> عَلِيُّ بْنُ إِبْرَاهِيمَ </w:t>
      </w:r>
      <w:r w:rsidRPr="00A91B96">
        <w:rPr>
          <w:rStyle w:val="libFootnotenumChar"/>
          <w:rtl/>
        </w:rPr>
        <w:t>(1)</w:t>
      </w:r>
      <w:r w:rsidRPr="00020424">
        <w:rPr>
          <w:rtl/>
          <w:lang w:bidi="fa-IR"/>
        </w:rPr>
        <w:t xml:space="preserve"> ، عَنْ أَبِيهِ ، عَنِ ابْنِ أَبِي عُمَيْرٍ ، عَنِ الْحُسَيْنِ بْنِ عُثْمَانَ ، عَمَّنْ ذَكَرَهُ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أَوْ عَنْ أَبِي الْحَسَنِ </w:t>
      </w:r>
      <w:r w:rsidRPr="00005A81">
        <w:rPr>
          <w:rStyle w:val="libAlaemChar"/>
          <w:rtl/>
        </w:rPr>
        <w:t>عليه‌السلام</w:t>
      </w:r>
      <w:r w:rsidRPr="00020424">
        <w:rPr>
          <w:rtl/>
          <w:lang w:bidi="fa-IR"/>
        </w:rPr>
        <w:t xml:space="preserve"> فِي الرَّجُلِ يَأْخُذُ الشَّيْ‌ءَ لِلرَّجُلِ ، ثُمَّ يَبْدُو لَهُ ، فَيَجْعَلُهُ لِغَيْرِهِ ، قَالَ : « لَا بَأْسَ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112" w:name="_Toc345172754"/>
      <w:bookmarkStart w:id="113" w:name="_Toc464562570"/>
      <w:bookmarkStart w:id="114" w:name="_Toc44599873"/>
      <w:r w:rsidRPr="00020424">
        <w:rPr>
          <w:rtl/>
          <w:lang w:bidi="fa-IR"/>
        </w:rPr>
        <w:t>33</w:t>
      </w:r>
      <w:r>
        <w:rPr>
          <w:rtl/>
          <w:lang w:bidi="fa-IR"/>
        </w:rPr>
        <w:t xml:space="preserve"> </w:t>
      </w:r>
      <w:r w:rsidR="009B673F">
        <w:rPr>
          <w:rtl/>
          <w:lang w:bidi="fa-IR"/>
        </w:rPr>
        <w:t>-</w:t>
      </w:r>
      <w:r>
        <w:rPr>
          <w:rtl/>
          <w:lang w:bidi="fa-IR"/>
        </w:rPr>
        <w:t xml:space="preserve"> </w:t>
      </w:r>
      <w:r w:rsidRPr="00020424">
        <w:rPr>
          <w:rtl/>
          <w:lang w:bidi="fa-IR"/>
        </w:rPr>
        <w:t>بَابُ تَفْضِيلِ الْقَرَابَةِ فِي الزَّكَاةِ وَمَنْ لَايَجُوزُ مِنْهُمْ أَنْ يُعْطَوْا مِنَ الزَّكَاةِ‌</w:t>
      </w:r>
      <w:bookmarkEnd w:id="112"/>
      <w:bookmarkEnd w:id="113"/>
      <w:bookmarkEnd w:id="114"/>
    </w:p>
    <w:p w:rsidR="00992664" w:rsidRPr="00020424" w:rsidRDefault="00992664" w:rsidP="00992664">
      <w:pPr>
        <w:pStyle w:val="libNormal"/>
        <w:rPr>
          <w:rtl/>
          <w:lang w:bidi="fa-IR"/>
        </w:rPr>
      </w:pPr>
      <w:r w:rsidRPr="002A55FC">
        <w:rPr>
          <w:rtl/>
        </w:rPr>
        <w:t>5923</w:t>
      </w:r>
      <w:r w:rsidRPr="001155DE">
        <w:rPr>
          <w:rStyle w:val="libBold2Char"/>
          <w:rtl/>
        </w:rPr>
        <w:t xml:space="preserve"> / 1.</w:t>
      </w:r>
      <w:r w:rsidRPr="00020424">
        <w:rPr>
          <w:rtl/>
          <w:lang w:bidi="fa-IR"/>
        </w:rPr>
        <w:t xml:space="preserve"> عِدَّةٌ مِنْ أَصْحَابِنَا ، عَنْ أَحْمَدَ بْنِ مُحَمَّدِ بْنِ عِيسى ، عَنْ عَلِيِّ بْنِ الْحَكَمِ ، عَنْ عَبْدِ الْمَلِكِ </w:t>
      </w:r>
      <w:r w:rsidRPr="00A91B96">
        <w:rPr>
          <w:rStyle w:val="libFootnotenumChar"/>
          <w:rtl/>
        </w:rPr>
        <w:t>(4)</w:t>
      </w:r>
      <w:r w:rsidRPr="00020424">
        <w:rPr>
          <w:rtl/>
          <w:lang w:bidi="fa-IR"/>
        </w:rPr>
        <w:t xml:space="preserve"> بْنِ عُتْبَةَ ، عَنْ إِسْحَاقَ بْنِ عَمَّارٍ :</w:t>
      </w:r>
    </w:p>
    <w:p w:rsidR="00992664" w:rsidRPr="00020424" w:rsidRDefault="00992664" w:rsidP="00992664">
      <w:pPr>
        <w:rPr>
          <w:rtl/>
          <w:lang w:bidi="fa-IR"/>
        </w:rPr>
      </w:pPr>
      <w:r w:rsidRPr="00020424">
        <w:rPr>
          <w:rtl/>
          <w:lang w:bidi="fa-IR"/>
        </w:rPr>
        <w:t xml:space="preserve">عَنْ أَبِي الْحَسَنِ مُوسى </w:t>
      </w:r>
      <w:r w:rsidRPr="00005A81">
        <w:rPr>
          <w:rStyle w:val="libAlaemChar"/>
          <w:rtl/>
        </w:rPr>
        <w:t>عليه‌السلام</w:t>
      </w:r>
      <w:r w:rsidRPr="00020424">
        <w:rPr>
          <w:rtl/>
          <w:lang w:bidi="fa-IR"/>
        </w:rPr>
        <w:t xml:space="preserve"> ، قَالَ : قُلْتُ لَهُ : لِي قَرَابَةٌ أُنْفِقُ عَلى بَعْضِهِمْ ، وَأُفَضِّلُ </w:t>
      </w:r>
      <w:r w:rsidRPr="00A91B96">
        <w:rPr>
          <w:rStyle w:val="libFootnotenumChar"/>
          <w:rtl/>
        </w:rPr>
        <w:t>(5)</w:t>
      </w:r>
      <w:r w:rsidRPr="00020424">
        <w:rPr>
          <w:rtl/>
          <w:lang w:bidi="fa-IR"/>
        </w:rPr>
        <w:t xml:space="preserve"> بَعْضَهُمْ عَلى بَعْضٍ </w:t>
      </w:r>
      <w:r w:rsidRPr="00A91B96">
        <w:rPr>
          <w:rStyle w:val="libFootnotenumChar"/>
          <w:rtl/>
        </w:rPr>
        <w:t>(6)</w:t>
      </w:r>
      <w:r w:rsidRPr="00020424">
        <w:rPr>
          <w:rtl/>
          <w:lang w:bidi="fa-IR"/>
        </w:rPr>
        <w:t xml:space="preserve"> ، فَيَأْتِينِي إِبَّانُ </w:t>
      </w:r>
      <w:r w:rsidRPr="00A91B96">
        <w:rPr>
          <w:rStyle w:val="libFootnotenumChar"/>
          <w:rtl/>
        </w:rPr>
        <w:t>(7)</w:t>
      </w:r>
      <w:r>
        <w:rPr>
          <w:rtl/>
          <w:lang w:bidi="fa-IR"/>
        </w:rPr>
        <w:t xml:space="preserve"> الزَّكَاةِ ، أَ</w:t>
      </w:r>
      <w:r w:rsidR="004F0AAD">
        <w:rPr>
          <w:rFonts w:hint="cs"/>
          <w:rtl/>
          <w:lang w:bidi="fa-IR"/>
        </w:rPr>
        <w:t xml:space="preserve"> </w:t>
      </w:r>
      <w:r w:rsidRPr="00020424">
        <w:rPr>
          <w:rtl/>
          <w:lang w:bidi="fa-IR"/>
        </w:rPr>
        <w:t xml:space="preserve">فَأُعْطِيهِمْ </w:t>
      </w:r>
      <w:r w:rsidRPr="00A91B96">
        <w:rPr>
          <w:rStyle w:val="libFootnotenumChar"/>
          <w:rtl/>
        </w:rPr>
        <w:t>(8)</w:t>
      </w:r>
      <w:r w:rsidRPr="00020424">
        <w:rPr>
          <w:rtl/>
          <w:lang w:bidi="fa-IR"/>
        </w:rPr>
        <w:t xml:space="preserve"> مِنْهَا</w:t>
      </w:r>
      <w:r>
        <w:rPr>
          <w:rtl/>
          <w:lang w:bidi="fa-IR"/>
        </w:rPr>
        <w:t>؟</w:t>
      </w:r>
      <w:r w:rsidRPr="00020424">
        <w:rPr>
          <w:rtl/>
          <w:lang w:bidi="fa-IR"/>
        </w:rPr>
        <w:t xml:space="preserve"> قَالَ : « مُسْتَحِقُّونَ </w:t>
      </w:r>
      <w:r w:rsidRPr="00A91B96">
        <w:rPr>
          <w:rStyle w:val="libFootnotenumChar"/>
          <w:rtl/>
        </w:rPr>
        <w:t>(9)</w:t>
      </w:r>
      <w:r w:rsidRPr="00020424">
        <w:rPr>
          <w:rtl/>
          <w:lang w:bidi="fa-IR"/>
        </w:rPr>
        <w:t xml:space="preserve"> لَهَا</w:t>
      </w:r>
      <w:r>
        <w:rPr>
          <w:rtl/>
          <w:lang w:bidi="fa-IR"/>
        </w:rPr>
        <w:t>؟</w:t>
      </w:r>
      <w:r w:rsidRPr="00020424">
        <w:rPr>
          <w:rtl/>
          <w:lang w:bidi="fa-IR"/>
        </w:rPr>
        <w:t>»</w:t>
      </w:r>
      <w:r>
        <w:rPr>
          <w:rFonts w:hint="cs"/>
          <w:rtl/>
          <w:lang w:bidi="fa-IR"/>
        </w:rPr>
        <w:t xml:space="preserve"> </w:t>
      </w:r>
      <w:r w:rsidRPr="00020424">
        <w:rPr>
          <w:rtl/>
          <w:lang w:bidi="fa-IR"/>
        </w:rPr>
        <w:t>قُلْتُ : نَعَمْ ، قَالَ : « هُمْ أَفْضَلُ مِنْ غَيْرِهِمْ ، أَعْطِهِمْ</w:t>
      </w:r>
      <w:r>
        <w:rPr>
          <w:rtl/>
          <w:lang w:bidi="fa-IR"/>
        </w:rPr>
        <w:t xml:space="preserve"> ».</w:t>
      </w:r>
    </w:p>
    <w:p w:rsidR="00992664" w:rsidRDefault="00992664" w:rsidP="00992664">
      <w:pPr>
        <w:pStyle w:val="libNormal"/>
        <w:rPr>
          <w:rtl/>
          <w:lang w:bidi="fa-IR"/>
        </w:rPr>
      </w:pPr>
      <w:r w:rsidRPr="00020424">
        <w:rPr>
          <w:rtl/>
          <w:lang w:bidi="fa-IR"/>
        </w:rPr>
        <w:t xml:space="preserve">قَالَ : قُلْتُ : فَمَنْ ذَا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الَّذِي يَلْزَمُنِي مِنْ ذَوِي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قَرَابَتِي حَتّى لَا</w:t>
      </w:r>
      <w:r>
        <w:rPr>
          <w:rFonts w:hint="cs"/>
          <w:rtl/>
          <w:lang w:bidi="fa-IR"/>
        </w:rPr>
        <w:t xml:space="preserve"> </w:t>
      </w:r>
      <w:r w:rsidRPr="00020424">
        <w:rPr>
          <w:rtl/>
          <w:lang w:bidi="fa-IR"/>
        </w:rPr>
        <w:t xml:space="preserve">أَحْسُبَ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الزَّكَاةَ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حاشية « بح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208 ، ح 9456 ؛ </w:t>
      </w:r>
      <w:r w:rsidR="00992664" w:rsidRPr="0012008A">
        <w:rPr>
          <w:rStyle w:val="libFootnoteBoldChar"/>
          <w:rtl/>
        </w:rPr>
        <w:t>الوسائل</w:t>
      </w:r>
      <w:r w:rsidR="00992664" w:rsidRPr="00020424">
        <w:rPr>
          <w:rtl/>
        </w:rPr>
        <w:t xml:space="preserve"> ، ج 9 ، ص 264 ، ح 11986.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56 </w:t>
      </w:r>
      <w:r w:rsidR="00992664" w:rsidRPr="00FD6221">
        <w:rPr>
          <w:rStyle w:val="libFootnoteBoldChar"/>
          <w:rtl/>
        </w:rPr>
        <w:t>والاستبصار</w:t>
      </w:r>
      <w:r w:rsidR="00992664" w:rsidRPr="00020424">
        <w:rPr>
          <w:rtl/>
        </w:rPr>
        <w:t xml:space="preserve"> : « عبدالله</w:t>
      </w:r>
      <w:r w:rsidR="00992664">
        <w:rPr>
          <w:rtl/>
        </w:rPr>
        <w:t xml:space="preserve"> ».</w:t>
      </w:r>
      <w:r w:rsidR="00992664" w:rsidRPr="00020424">
        <w:rPr>
          <w:rtl/>
        </w:rPr>
        <w:t xml:space="preserve"> والمتكرّر في الأسناد رواية عليّ بن الحكم عن عبدالملك بن عتبة. وأمّا روايته عن عبدالله بن عتبة ، فلم نجدها في موضع. راجع : </w:t>
      </w:r>
      <w:r w:rsidR="00992664" w:rsidRPr="00DE76B9">
        <w:rPr>
          <w:rStyle w:val="libFootnoteBoldChar"/>
          <w:rtl/>
        </w:rPr>
        <w:t>معجم رجال الحديث</w:t>
      </w:r>
      <w:r w:rsidR="00992664" w:rsidRPr="00020424">
        <w:rPr>
          <w:rtl/>
        </w:rPr>
        <w:t xml:space="preserve"> ، ج 11 ، ص 605.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100 : « فا</w:t>
      </w:r>
      <w:r w:rsidR="004F0AAD">
        <w:rPr>
          <w:rFonts w:hint="cs"/>
          <w:rtl/>
        </w:rPr>
        <w:t>ُ</w:t>
      </w:r>
      <w:r w:rsidR="00992664" w:rsidRPr="00020424">
        <w:rPr>
          <w:rtl/>
        </w:rPr>
        <w:t>فضّل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بث ، بح ، بر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 بعض</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إبّان الشي‌ء » : وقته وأوانه. أو وقت ظهوره. راجع : </w:t>
      </w:r>
      <w:r w:rsidR="00992664" w:rsidRPr="0012008A">
        <w:rPr>
          <w:rStyle w:val="libFootnoteBoldChar"/>
          <w:rtl/>
        </w:rPr>
        <w:t>الصحاح</w:t>
      </w:r>
      <w:r w:rsidR="00992664" w:rsidRPr="00020424">
        <w:rPr>
          <w:rtl/>
        </w:rPr>
        <w:t xml:space="preserve"> ، ج 5 ، ص 2066 ؛ </w:t>
      </w:r>
      <w:r w:rsidR="00992664" w:rsidRPr="0012008A">
        <w:rPr>
          <w:rStyle w:val="libFootnoteBoldChar"/>
          <w:rtl/>
        </w:rPr>
        <w:t>النهاية</w:t>
      </w:r>
      <w:r w:rsidR="00992664" w:rsidRPr="00020424">
        <w:rPr>
          <w:rtl/>
        </w:rPr>
        <w:t xml:space="preserve"> ، ج 1 ، ص 17 ( أبن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جن » : « فا</w:t>
      </w:r>
      <w:r w:rsidR="004F0AAD">
        <w:rPr>
          <w:rFonts w:hint="cs"/>
          <w:rtl/>
        </w:rPr>
        <w:t>ُ</w:t>
      </w:r>
      <w:r w:rsidR="00992664" w:rsidRPr="00020424">
        <w:rPr>
          <w:rtl/>
        </w:rPr>
        <w:t>عطيهم » بدون همزة الاستفهام.</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 « يستحقّون</w:t>
      </w:r>
      <w:r w:rsidR="00992664">
        <w:rPr>
          <w:rtl/>
        </w:rPr>
        <w:t xml:space="preserve"> ».</w:t>
      </w:r>
      <w:r w:rsidR="00992664" w:rsidRPr="00020424">
        <w:rPr>
          <w:rtl/>
        </w:rPr>
        <w:t xml:space="preserve"> وفي « بخ ، بر ، بف » : « مستحقّين</w:t>
      </w:r>
      <w:r w:rsidR="00992664">
        <w:rPr>
          <w:rtl/>
        </w:rPr>
        <w:t xml:space="preserve"> ».</w:t>
      </w:r>
      <w:r w:rsidR="00992664" w:rsidRPr="00020424">
        <w:rPr>
          <w:rtl/>
        </w:rPr>
        <w:t xml:space="preserve"> وفي</w:t>
      </w:r>
      <w:r w:rsidR="00992664" w:rsidRPr="004F0AAD">
        <w:rPr>
          <w:rtl/>
        </w:rPr>
        <w:t xml:space="preserve"> التهذيب</w:t>
      </w:r>
      <w:r w:rsidR="00992664" w:rsidRPr="00020424">
        <w:rPr>
          <w:rtl/>
        </w:rPr>
        <w:t xml:space="preserve"> </w:t>
      </w:r>
      <w:r w:rsidR="00992664" w:rsidRPr="00FD6221">
        <w:rPr>
          <w:rStyle w:val="libFootnoteBoldChar"/>
          <w:rtl/>
        </w:rPr>
        <w:t>والاستبصار</w:t>
      </w:r>
      <w:r w:rsidR="00992664" w:rsidRPr="00020424">
        <w:rPr>
          <w:rtl/>
        </w:rPr>
        <w:t xml:space="preserve"> : «</w:t>
      </w:r>
      <w:r w:rsidR="00992664">
        <w:rPr>
          <w:rtl/>
        </w:rPr>
        <w:t>أ</w:t>
      </w:r>
      <w:r w:rsidR="00992664" w:rsidRPr="00020424">
        <w:rPr>
          <w:rtl/>
        </w:rPr>
        <w:t>مستحقّون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F0AAD" w:rsidTr="004F0AAD">
        <w:tc>
          <w:tcPr>
            <w:tcW w:w="4006" w:type="dxa"/>
          </w:tcPr>
          <w:p w:rsidR="004F0AAD" w:rsidRDefault="004F0AAD" w:rsidP="00992664">
            <w:pPr>
              <w:pStyle w:val="libFootnote0"/>
              <w:rPr>
                <w:rtl/>
              </w:rPr>
            </w:pPr>
            <w:r>
              <w:rPr>
                <w:rtl/>
              </w:rPr>
              <w:t xml:space="preserve">(10). </w:t>
            </w:r>
            <w:r w:rsidRPr="00020424">
              <w:rPr>
                <w:rtl/>
              </w:rPr>
              <w:t xml:space="preserve">في « بخ ، بر ، بف » </w:t>
            </w:r>
            <w:r w:rsidRPr="00515444">
              <w:rPr>
                <w:rStyle w:val="libFootnoteBoldChar"/>
                <w:rtl/>
              </w:rPr>
              <w:t>والتهذيب</w:t>
            </w:r>
            <w:r w:rsidRPr="00020424">
              <w:rPr>
                <w:rtl/>
              </w:rPr>
              <w:t xml:space="preserve"> :</w:t>
            </w:r>
            <w:r>
              <w:rPr>
                <w:rtl/>
              </w:rPr>
              <w:t xml:space="preserve"> - </w:t>
            </w:r>
            <w:r w:rsidRPr="00020424">
              <w:rPr>
                <w:rtl/>
              </w:rPr>
              <w:t>« ذا</w:t>
            </w:r>
            <w:r>
              <w:rPr>
                <w:rtl/>
              </w:rPr>
              <w:t xml:space="preserve"> ».</w:t>
            </w:r>
          </w:p>
        </w:tc>
        <w:tc>
          <w:tcPr>
            <w:tcW w:w="4006" w:type="dxa"/>
          </w:tcPr>
          <w:p w:rsidR="004F0AAD" w:rsidRDefault="004F0AAD" w:rsidP="00992664">
            <w:pPr>
              <w:pStyle w:val="libFootnote0"/>
              <w:rPr>
                <w:rtl/>
              </w:rPr>
            </w:pPr>
            <w:r>
              <w:rPr>
                <w:rtl/>
              </w:rPr>
              <w:t xml:space="preserve">(11). </w:t>
            </w:r>
            <w:r w:rsidRPr="00020424">
              <w:rPr>
                <w:rtl/>
              </w:rPr>
              <w:t>في « بس » : « ذي</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بخ » </w:t>
      </w:r>
      <w:r w:rsidR="00992664" w:rsidRPr="00EB1FD9">
        <w:rPr>
          <w:rStyle w:val="libFootnoteBoldChar"/>
          <w:rtl/>
        </w:rPr>
        <w:t>والوسائل</w:t>
      </w:r>
      <w:r w:rsidR="00992664" w:rsidRPr="00020424">
        <w:rPr>
          <w:rtl/>
        </w:rPr>
        <w:t xml:space="preserve"> ، ح 11929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لا أحتسب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AAD">
      <w:pPr>
        <w:pStyle w:val="libNormal0"/>
        <w:rPr>
          <w:rtl/>
          <w:lang w:bidi="fa-IR"/>
        </w:rPr>
      </w:pPr>
      <w:r w:rsidRPr="00020424">
        <w:rPr>
          <w:rtl/>
          <w:lang w:bidi="fa-IR"/>
        </w:rPr>
        <w:lastRenderedPageBreak/>
        <w:t xml:space="preserve">عَلَيْهِمْ </w:t>
      </w:r>
      <w:r w:rsidRPr="00A91B96">
        <w:rPr>
          <w:rStyle w:val="libFootnotenumChar"/>
          <w:rtl/>
        </w:rPr>
        <w:t>(</w:t>
      </w:r>
      <w:r w:rsidRPr="00A91B96">
        <w:rPr>
          <w:rStyle w:val="libFootnotenumChar"/>
          <w:rFonts w:hint="cs"/>
          <w:rtl/>
        </w:rPr>
        <w:t>1</w:t>
      </w:r>
      <w:r w:rsidRPr="00A91B96">
        <w:rPr>
          <w:rStyle w:val="libFootnotenumChar"/>
          <w:rtl/>
        </w:rPr>
        <w:t>)</w:t>
      </w:r>
      <w:r>
        <w:rPr>
          <w:rtl/>
          <w:lang w:bidi="fa-IR"/>
        </w:rPr>
        <w:t>؟</w:t>
      </w:r>
      <w:r w:rsidRPr="00020424">
        <w:rPr>
          <w:rtl/>
          <w:lang w:bidi="fa-IR"/>
        </w:rPr>
        <w:t xml:space="preserve"> فَقَالَ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 « أَبُوكَ وَأُمُّكَ</w:t>
      </w:r>
      <w:r>
        <w:rPr>
          <w:rtl/>
          <w:lang w:bidi="fa-IR"/>
        </w:rPr>
        <w:t xml:space="preserve"> ».</w:t>
      </w:r>
    </w:p>
    <w:p w:rsidR="00992664" w:rsidRPr="00020424" w:rsidRDefault="00992664" w:rsidP="004F0AAD">
      <w:pPr>
        <w:pStyle w:val="libNormal"/>
        <w:rPr>
          <w:rtl/>
          <w:lang w:bidi="fa-IR"/>
        </w:rPr>
      </w:pPr>
      <w:r w:rsidRPr="00020424">
        <w:rPr>
          <w:rtl/>
          <w:lang w:bidi="fa-IR"/>
        </w:rPr>
        <w:t>قُلْتُ : أَبِي وَأُمِّي</w:t>
      </w:r>
      <w:r>
        <w:rPr>
          <w:rtl/>
          <w:lang w:bidi="fa-IR"/>
        </w:rPr>
        <w:t>؟</w:t>
      </w:r>
      <w:r w:rsidRPr="00020424">
        <w:rPr>
          <w:rtl/>
          <w:lang w:bidi="fa-IR"/>
        </w:rPr>
        <w:t xml:space="preserve"> قَالَ : « الْوَالِدَانِ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وَالْوُلْدُ</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325D54">
        <w:rPr>
          <w:rtl/>
        </w:rPr>
        <w:t>5924</w:t>
      </w:r>
      <w:r w:rsidRPr="001155DE">
        <w:rPr>
          <w:rStyle w:val="libBold2Char"/>
          <w:rtl/>
        </w:rPr>
        <w:t xml:space="preserve"> / 2.</w:t>
      </w:r>
      <w:r w:rsidRPr="00020424">
        <w:rPr>
          <w:rtl/>
          <w:lang w:bidi="fa-IR"/>
        </w:rPr>
        <w:t xml:space="preserve"> أَحْمَدُ بْنُ مُحَمَّدٍ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 عَنْ عَلِيِّ بْنِ الْحَكَمِ ، عَنْ مُثَنًّى ، عَنْ أَبِي بَصِيرٍ ، قَالَ :</w:t>
      </w:r>
    </w:p>
    <w:p w:rsidR="00992664" w:rsidRPr="00020424" w:rsidRDefault="00992664" w:rsidP="00992664">
      <w:pPr>
        <w:pStyle w:val="libNormal"/>
        <w:rPr>
          <w:rtl/>
          <w:lang w:bidi="fa-IR"/>
        </w:rPr>
      </w:pPr>
      <w:r w:rsidRPr="00020424">
        <w:rPr>
          <w:rtl/>
          <w:lang w:bidi="fa-IR"/>
        </w:rPr>
        <w:t xml:space="preserve">سَأَلَهُ رَجُلٌ وَأَنَا أَسْمَعُ ، قَالَ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 أُعْطِي قَرَابَتِي مِنْ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زَكَاةِ مَالِي وَهُمْ لَايَعْرِفُونَ </w:t>
      </w:r>
      <w:r w:rsidRPr="00A91B96">
        <w:rPr>
          <w:rStyle w:val="libFootnotenumChar"/>
          <w:rtl/>
        </w:rPr>
        <w:t>(</w:t>
      </w:r>
      <w:r w:rsidRPr="00A91B96">
        <w:rPr>
          <w:rStyle w:val="libFootnotenumChar"/>
          <w:rFonts w:hint="cs"/>
          <w:rtl/>
        </w:rPr>
        <w:t>8</w:t>
      </w:r>
      <w:r w:rsidRPr="00A91B96">
        <w:rPr>
          <w:rStyle w:val="libFootnotenumChar"/>
          <w:rtl/>
        </w:rPr>
        <w:t>)</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 فَقَالَ : « لَا تُعْطِ </w:t>
      </w:r>
      <w:r w:rsidRPr="00A91B96">
        <w:rPr>
          <w:rStyle w:val="libFootnotenumChar"/>
          <w:rtl/>
        </w:rPr>
        <w:t>(</w:t>
      </w:r>
      <w:r w:rsidRPr="00A91B96">
        <w:rPr>
          <w:rStyle w:val="libFootnotenumChar"/>
          <w:rFonts w:hint="cs"/>
          <w:rtl/>
        </w:rPr>
        <w:t>10</w:t>
      </w:r>
      <w:r w:rsidRPr="00A91B96">
        <w:rPr>
          <w:rStyle w:val="libFootnotenumChar"/>
          <w:rtl/>
        </w:rPr>
        <w:t>)</w:t>
      </w:r>
      <w:r w:rsidR="004F0AAD">
        <w:rPr>
          <w:rtl/>
          <w:lang w:bidi="fa-IR"/>
        </w:rPr>
        <w:t xml:space="preserve"> الزَّكَاةَ إِل</w:t>
      </w:r>
      <w:r w:rsidR="004F0AAD">
        <w:rPr>
          <w:rFonts w:hint="cs"/>
          <w:rtl/>
          <w:lang w:bidi="fa-IR"/>
        </w:rPr>
        <w:t>َّ</w:t>
      </w:r>
      <w:r w:rsidR="004F0AAD">
        <w:rPr>
          <w:rtl/>
          <w:lang w:bidi="fa-IR"/>
        </w:rPr>
        <w:t>ا</w:t>
      </w:r>
      <w:r w:rsidRPr="00020424">
        <w:rPr>
          <w:rtl/>
          <w:lang w:bidi="fa-IR"/>
        </w:rPr>
        <w:t xml:space="preserve"> مُسْلِماً ، وَأَعْطِهِمْ مِنْ غَيْرِ ذلِكَ</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أَبُو عَبْدِ اللهِ </w:t>
      </w:r>
      <w:r w:rsidRPr="00005A81">
        <w:rPr>
          <w:rStyle w:val="libAlaemChar"/>
          <w:rtl/>
        </w:rPr>
        <w:t>عليه‌السلام</w:t>
      </w:r>
      <w:r>
        <w:rPr>
          <w:rtl/>
          <w:lang w:bidi="fa-IR"/>
        </w:rPr>
        <w:t xml:space="preserve"> : « أَ</w:t>
      </w:r>
      <w:r w:rsidRPr="00020424">
        <w:rPr>
          <w:rtl/>
          <w:lang w:bidi="fa-IR"/>
        </w:rPr>
        <w:t>تَرَوْنَ أَنَّ مَا فِي الْمَالِ الزَّكَاةُ وَحْدَهَا</w:t>
      </w:r>
      <w:r>
        <w:rPr>
          <w:rtl/>
          <w:lang w:bidi="fa-IR"/>
        </w:rPr>
        <w:t>؟</w:t>
      </w:r>
      <w:r w:rsidRPr="00020424">
        <w:rPr>
          <w:rtl/>
          <w:lang w:bidi="fa-IR"/>
        </w:rPr>
        <w:t xml:space="preserve"> مَا فَرَضَ اللهُ فِي الْمَالِ مِنْ غَيْرِ الزَّكَاةِ</w:t>
      </w:r>
      <w:r>
        <w:rPr>
          <w:rFonts w:hint="cs"/>
          <w:rtl/>
          <w:lang w:bidi="fa-IR"/>
        </w:rPr>
        <w:t xml:space="preserve"> </w:t>
      </w:r>
      <w:r w:rsidRPr="00020424">
        <w:rPr>
          <w:rtl/>
          <w:lang w:bidi="fa-IR"/>
        </w:rPr>
        <w:t xml:space="preserve">أَكْثَرُ ، تُعْطِي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مِنْهُ الْقَرَابَةَ وَالْمُعْتَرِضَ لَكَ مِمَّنْ يَسْأَلُكَ ، فَتُعْطِيهِ مَا لَمْ تَعْرِفْهُ بِالنَّصْبِ</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 فَإِذَا عَرَفْتَهُ بِالنَّصْبِ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 فَلَا تُعْطِهِ </w:t>
      </w:r>
      <w:r w:rsidRPr="00A91B96">
        <w:rPr>
          <w:rStyle w:val="libFootnotenumChar"/>
          <w:rtl/>
        </w:rPr>
        <w:t>(</w:t>
      </w:r>
      <w:r w:rsidRPr="00A91B96">
        <w:rPr>
          <w:rStyle w:val="libFootnotenumChar"/>
          <w:rFonts w:hint="cs"/>
          <w:rtl/>
        </w:rPr>
        <w:t>14</w:t>
      </w:r>
      <w:r w:rsidRPr="00A91B96">
        <w:rPr>
          <w:rStyle w:val="libFootnotenumChar"/>
          <w:rtl/>
        </w:rPr>
        <w:t>)</w:t>
      </w:r>
      <w:r w:rsidR="004F0AAD">
        <w:rPr>
          <w:rtl/>
          <w:lang w:bidi="fa-IR"/>
        </w:rPr>
        <w:t xml:space="preserve"> إِل</w:t>
      </w:r>
      <w:r w:rsidR="004F0AAD">
        <w:rPr>
          <w:rFonts w:hint="cs"/>
          <w:rtl/>
          <w:lang w:bidi="fa-IR"/>
        </w:rPr>
        <w:t>َّ</w:t>
      </w:r>
      <w:r w:rsidR="004F0AAD">
        <w:rPr>
          <w:rtl/>
          <w:lang w:bidi="fa-IR"/>
        </w:rPr>
        <w:t>ا</w:t>
      </w:r>
      <w:r w:rsidRPr="00020424">
        <w:rPr>
          <w:rtl/>
          <w:lang w:bidi="fa-IR"/>
        </w:rPr>
        <w:t xml:space="preserve"> أَنْ تَخَافَ لِسَانَهُ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بح ، بر » </w:t>
      </w:r>
      <w:r w:rsidR="00992664" w:rsidRPr="00A05922">
        <w:rPr>
          <w:rtl/>
        </w:rPr>
        <w:t>والوافي والتهذيب والاستبصار</w:t>
      </w:r>
      <w:r w:rsidR="00992664" w:rsidRPr="00020424">
        <w:rPr>
          <w:rtl/>
        </w:rPr>
        <w:t xml:space="preserve"> : « عليه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4F0AAD">
        <w:rPr>
          <w:rtl/>
        </w:rPr>
        <w:t xml:space="preserve"> </w:t>
      </w:r>
      <w:r w:rsidR="00992664" w:rsidRPr="00EB1FD9">
        <w:rPr>
          <w:rStyle w:val="libFootnoteBoldChar"/>
          <w:rtl/>
        </w:rPr>
        <w:t>والوسائل</w:t>
      </w:r>
      <w:r w:rsidR="00992664" w:rsidRPr="00020424">
        <w:rPr>
          <w:rtl/>
        </w:rPr>
        <w:t xml:space="preserve"> ، ح 11929 </w:t>
      </w:r>
      <w:r w:rsidR="00992664" w:rsidRPr="00515444">
        <w:rPr>
          <w:rStyle w:val="libFootnoteBoldChar"/>
          <w:rtl/>
        </w:rPr>
        <w:t>والتهذيب</w:t>
      </w:r>
      <w:r w:rsidR="00992664" w:rsidRPr="004F0AAD">
        <w:rPr>
          <w:rStyle w:val="libFootnoteBoldChar"/>
          <w:rtl/>
        </w:rPr>
        <w:t xml:space="preserve"> </w:t>
      </w:r>
      <w:r w:rsidR="00992664" w:rsidRPr="00FD6221">
        <w:rPr>
          <w:rStyle w:val="libFootnoteBoldChar"/>
          <w:rtl/>
        </w:rPr>
        <w:t>والاستبصار</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الوالدان ، أي من ذوي القربات ، فلا ينافي دخول الزوجة والمملوك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56 ، ح 149 ؛ وص 100 ، ح 283 ؛ </w:t>
      </w:r>
      <w:r w:rsidR="00992664" w:rsidRPr="00FD6221">
        <w:rPr>
          <w:rStyle w:val="libFootnoteBoldChar"/>
          <w:rtl/>
        </w:rPr>
        <w:t>والاستبصار</w:t>
      </w:r>
      <w:r w:rsidR="00992664" w:rsidRPr="00020424">
        <w:rPr>
          <w:rtl/>
        </w:rPr>
        <w:t xml:space="preserve"> ، ج 2 ، ص 33 ، ح 100 ، معلّقاً عن الكليني. </w:t>
      </w:r>
      <w:r w:rsidR="00992664" w:rsidRPr="00DE76B9">
        <w:rPr>
          <w:rStyle w:val="libFootnoteBoldChar"/>
          <w:rtl/>
        </w:rPr>
        <w:t>الكافي</w:t>
      </w:r>
      <w:r w:rsidR="00992664" w:rsidRPr="00020424">
        <w:rPr>
          <w:rtl/>
        </w:rPr>
        <w:t xml:space="preserve"> ، كتاب الزكاة ، باب من يلزم نفقته ، ح 6052 ، بسند آخر عن أبي عبدالله </w:t>
      </w:r>
      <w:r w:rsidR="00992664" w:rsidRPr="00D64ADA">
        <w:rPr>
          <w:rStyle w:val="libFootnoteAlaemChar"/>
          <w:rtl/>
        </w:rPr>
        <w:t>عليه‌السلام</w:t>
      </w:r>
      <w:r w:rsidR="00992664" w:rsidRPr="00020424">
        <w:rPr>
          <w:rtl/>
        </w:rPr>
        <w:t xml:space="preserve"> ، من قوله : « قال : قلت : فمن ذا الذي يلزمني » مع اختلاف يسير </w:t>
      </w:r>
      <w:r w:rsidR="004F0AAD">
        <w:rPr>
          <w:rFonts w:hint="cs"/>
          <w:rtl/>
        </w:rPr>
        <w:t>.</w:t>
      </w:r>
      <w:r w:rsidR="00992664" w:rsidRPr="0012008A">
        <w:rPr>
          <w:rStyle w:val="libFootnoteBoldChar"/>
          <w:rtl/>
        </w:rPr>
        <w:t>الوافي</w:t>
      </w:r>
      <w:r w:rsidR="00992664" w:rsidRPr="00020424">
        <w:rPr>
          <w:rtl/>
        </w:rPr>
        <w:t xml:space="preserve"> ، ج 10 ، ص 183 ، ح 9394 ؛ </w:t>
      </w:r>
      <w:r w:rsidR="00992664" w:rsidRPr="0012008A">
        <w:rPr>
          <w:rStyle w:val="libFootnoteBoldChar"/>
          <w:rtl/>
        </w:rPr>
        <w:t>الوسائل</w:t>
      </w:r>
      <w:r w:rsidR="00992664" w:rsidRPr="00020424">
        <w:rPr>
          <w:rtl/>
        </w:rPr>
        <w:t xml:space="preserve"> ، ج 9 ، ص 241 ، ح 11929 ، من قوله : « قال : قلت : فمن ذا الذي يلزمني » ؛ </w:t>
      </w:r>
      <w:r w:rsidR="00992664" w:rsidRPr="00DE76B9">
        <w:rPr>
          <w:rStyle w:val="libFootnoteBoldChar"/>
          <w:rtl/>
        </w:rPr>
        <w:t>وفيه</w:t>
      </w:r>
      <w:r w:rsidR="00992664" w:rsidRPr="00020424">
        <w:rPr>
          <w:rtl/>
        </w:rPr>
        <w:t xml:space="preserve"> ، ص 245 ، ح 11939 إلى قوله : « هم أفضل من غيرهم ، أعطهم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عدّة من أصحابنا.</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بس ، بف » </w:t>
      </w:r>
      <w:r w:rsidR="00992664" w:rsidRPr="00515444">
        <w:rPr>
          <w:rStyle w:val="libFootnoteBoldChar"/>
          <w:rtl/>
        </w:rPr>
        <w:t>والوافي</w:t>
      </w:r>
      <w:r w:rsidR="00992664" w:rsidRPr="004F0AAD">
        <w:rPr>
          <w:rtl/>
        </w:rPr>
        <w:t xml:space="preserve"> </w:t>
      </w:r>
      <w:r w:rsidR="00992664" w:rsidRPr="00515444">
        <w:rPr>
          <w:rStyle w:val="libFootnoteBoldChar"/>
          <w:rtl/>
        </w:rPr>
        <w:t>والتهذيب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ظ ، بث ، بح ، بخ ، بر ، بس ، بف » </w:t>
      </w:r>
      <w:r w:rsidR="00992664" w:rsidRPr="00515444">
        <w:rPr>
          <w:rStyle w:val="libFootnoteBoldChar"/>
          <w:rtl/>
        </w:rPr>
        <w:t>والوافي</w:t>
      </w:r>
      <w:r w:rsidR="00992664" w:rsidRPr="004F0AAD">
        <w:rPr>
          <w:rtl/>
        </w:rPr>
        <w:t xml:space="preserve"> </w:t>
      </w:r>
      <w:r w:rsidR="00992664" w:rsidRPr="00515444">
        <w:rPr>
          <w:rStyle w:val="libFootnoteBoldChar"/>
          <w:rtl/>
        </w:rPr>
        <w:t>والتهذيب</w:t>
      </w:r>
      <w:r w:rsidR="00992664" w:rsidRPr="004F0AAD">
        <w:rPr>
          <w:rtl/>
        </w:rPr>
        <w:t>.</w:t>
      </w:r>
      <w:r w:rsidR="00992664" w:rsidRPr="00020424">
        <w:rPr>
          <w:rtl/>
        </w:rPr>
        <w:t xml:space="preserve"> وفي بعض النسخ والمطبوع :</w:t>
      </w:r>
      <w:r w:rsidR="00992664">
        <w:rPr>
          <w:rtl/>
        </w:rPr>
        <w:t xml:space="preserve"> </w:t>
      </w:r>
      <w:r w:rsidR="009B673F">
        <w:rPr>
          <w:rtl/>
        </w:rPr>
        <w:t>-</w:t>
      </w:r>
      <w:r w:rsidR="00992664">
        <w:rPr>
          <w:rtl/>
        </w:rPr>
        <w:t xml:space="preserve"> </w:t>
      </w:r>
      <w:r w:rsidR="004F0AAD">
        <w:rPr>
          <w:rtl/>
        </w:rPr>
        <w:t>«</w:t>
      </w:r>
      <w:r w:rsidR="00992664" w:rsidRPr="00020424">
        <w:rPr>
          <w:rtl/>
        </w:rPr>
        <w:t>من</w:t>
      </w:r>
      <w:r w:rsidR="00992664">
        <w:rPr>
          <w:rtl/>
        </w:rPr>
        <w:t>».</w:t>
      </w:r>
    </w:p>
    <w:tbl>
      <w:tblPr>
        <w:tblStyle w:val="TableGrid"/>
        <w:bidiVisual/>
        <w:tblW w:w="0" w:type="auto"/>
        <w:tblLook w:val="04A0" w:firstRow="1" w:lastRow="0" w:firstColumn="1" w:lastColumn="0" w:noHBand="0" w:noVBand="1"/>
      </w:tblPr>
      <w:tblGrid>
        <w:gridCol w:w="4006"/>
        <w:gridCol w:w="4006"/>
      </w:tblGrid>
      <w:tr w:rsidR="004F0AAD" w:rsidTr="004F0AAD">
        <w:tc>
          <w:tcPr>
            <w:tcW w:w="4006" w:type="dxa"/>
          </w:tcPr>
          <w:p w:rsidR="004F0AAD" w:rsidRDefault="004F0AAD" w:rsidP="00992664">
            <w:pPr>
              <w:pStyle w:val="libFootnote0"/>
              <w:rPr>
                <w:rtl/>
                <w:lang w:bidi="fa-IR"/>
              </w:rPr>
            </w:pPr>
            <w:r>
              <w:rPr>
                <w:rtl/>
              </w:rPr>
              <w:t xml:space="preserve">(8). </w:t>
            </w:r>
            <w:r w:rsidRPr="00020424">
              <w:rPr>
                <w:rtl/>
              </w:rPr>
              <w:t xml:space="preserve">في </w:t>
            </w:r>
            <w:r w:rsidRPr="004F0AAD">
              <w:rPr>
                <w:rtl/>
              </w:rPr>
              <w:t>التهذيب</w:t>
            </w:r>
            <w:r w:rsidRPr="00020424">
              <w:rPr>
                <w:rtl/>
              </w:rPr>
              <w:t xml:space="preserve"> : « لا يعرفونك</w:t>
            </w:r>
            <w:r>
              <w:rPr>
                <w:rtl/>
              </w:rPr>
              <w:t xml:space="preserve"> ».</w:t>
            </w:r>
          </w:p>
        </w:tc>
        <w:tc>
          <w:tcPr>
            <w:tcW w:w="4006" w:type="dxa"/>
          </w:tcPr>
          <w:p w:rsidR="004F0AAD" w:rsidRDefault="004F0AAD" w:rsidP="00992664">
            <w:pPr>
              <w:pStyle w:val="libFootnote0"/>
              <w:rPr>
                <w:rtl/>
                <w:lang w:bidi="fa-IR"/>
              </w:rPr>
            </w:pPr>
            <w:r>
              <w:rPr>
                <w:rtl/>
              </w:rPr>
              <w:t xml:space="preserve">(9). </w:t>
            </w:r>
            <w:r w:rsidRPr="00020424">
              <w:rPr>
                <w:rtl/>
              </w:rPr>
              <w:t xml:space="preserve">في « بخ ، بر ، بف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 « لا يعطى</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بخ ، بر ، بف » : « يعطى</w:t>
      </w:r>
      <w:r w:rsidR="00992664">
        <w:rPr>
          <w:rtl/>
        </w:rPr>
        <w:t xml:space="preserve"> ».</w:t>
      </w:r>
      <w:r w:rsidR="00992664" w:rsidRPr="00020424">
        <w:rPr>
          <w:rtl/>
        </w:rPr>
        <w:t xml:space="preserve"> وفي </w:t>
      </w:r>
      <w:r w:rsidR="00992664" w:rsidRPr="004F0AAD">
        <w:rPr>
          <w:rtl/>
        </w:rPr>
        <w:t>التهذيب</w:t>
      </w:r>
      <w:r w:rsidR="00992664" w:rsidRPr="00020424">
        <w:rPr>
          <w:rtl/>
        </w:rPr>
        <w:t xml:space="preserve"> : « ممّا تعطي</w:t>
      </w:r>
      <w:r w:rsidR="00992664">
        <w:rPr>
          <w:rtl/>
        </w:rPr>
        <w:t xml:space="preserve"> ».</w:t>
      </w:r>
    </w:p>
    <w:p w:rsidR="00992664" w:rsidRPr="00020424" w:rsidRDefault="00795177" w:rsidP="004F0AAD">
      <w:pPr>
        <w:pStyle w:val="libFootnote0"/>
        <w:rPr>
          <w:rtl/>
          <w:lang w:bidi="fa-IR"/>
        </w:rPr>
      </w:pPr>
      <w:r>
        <w:rPr>
          <w:rtl/>
        </w:rPr>
        <w:t>(12).</w:t>
      </w:r>
      <w:r w:rsidR="0014403D">
        <w:rPr>
          <w:rtl/>
        </w:rPr>
        <w:t xml:space="preserve"> </w:t>
      </w:r>
      <w:r w:rsidR="00992664" w:rsidRPr="00020424">
        <w:rPr>
          <w:rtl/>
        </w:rPr>
        <w:t xml:space="preserve">« النَصْب » : المعاداة ، والمراد التظاهر بعداوة أهل البيت </w:t>
      </w:r>
      <w:r w:rsidR="00992664" w:rsidRPr="00D64ADA">
        <w:rPr>
          <w:rStyle w:val="libFootnoteAlaemChar"/>
          <w:rtl/>
        </w:rPr>
        <w:t>عليهم‌السلام</w:t>
      </w:r>
      <w:r w:rsidR="00992664" w:rsidRPr="00020424">
        <w:rPr>
          <w:rtl/>
        </w:rPr>
        <w:t xml:space="preserve"> ، أو لمواليهم لأجل متابعتهم لهم ، أو المراد التديّن‌</w:t>
      </w:r>
      <w:r w:rsidR="004F0AAD">
        <w:rPr>
          <w:rFonts w:hint="cs"/>
          <w:rtl/>
        </w:rPr>
        <w:t xml:space="preserve"> </w:t>
      </w:r>
      <w:r w:rsidR="00992664" w:rsidRPr="00020424">
        <w:rPr>
          <w:rtl/>
        </w:rPr>
        <w:t xml:space="preserve">ببِغْضَة عليّ أميرالمؤمنين </w:t>
      </w:r>
      <w:r w:rsidR="00992664" w:rsidRPr="00D64ADA">
        <w:rPr>
          <w:rStyle w:val="libFootnoteAlaemChar"/>
          <w:rtl/>
        </w:rPr>
        <w:t>عليه‌السلام</w:t>
      </w:r>
      <w:r w:rsidR="00992664" w:rsidRPr="00020424">
        <w:rPr>
          <w:rtl/>
        </w:rPr>
        <w:t xml:space="preserve">. راجع : </w:t>
      </w:r>
      <w:r w:rsidR="00992664" w:rsidRPr="00A722B1">
        <w:rPr>
          <w:rStyle w:val="libFootnoteBoldChar"/>
          <w:rtl/>
        </w:rPr>
        <w:t>القاموس المحيط</w:t>
      </w:r>
      <w:r w:rsidR="00992664" w:rsidRPr="00020424">
        <w:rPr>
          <w:rtl/>
        </w:rPr>
        <w:t xml:space="preserve"> ، ج 1 ، ص 230 ؛ </w:t>
      </w:r>
      <w:r w:rsidR="00992664" w:rsidRPr="00DE76B9">
        <w:rPr>
          <w:rStyle w:val="libFootnoteBoldChar"/>
          <w:rtl/>
        </w:rPr>
        <w:t>مجمع البحرين</w:t>
      </w:r>
      <w:r w:rsidR="00992664" w:rsidRPr="00020424">
        <w:rPr>
          <w:rtl/>
        </w:rPr>
        <w:t xml:space="preserve"> ، ج 2 ، ص 173 ( نصب )</w:t>
      </w:r>
      <w:r w:rsidR="00992664">
        <w:rPr>
          <w:rtl/>
        </w:rPr>
        <w:t>.</w:t>
      </w:r>
      <w:r w:rsidR="004F0AAD">
        <w:rPr>
          <w:rFonts w:hint="cs"/>
          <w:rtl/>
        </w:rPr>
        <w:t xml:space="preserve">  </w:t>
      </w:r>
      <w:r w:rsidR="00A05922">
        <w:rPr>
          <w:rFonts w:hint="cs"/>
          <w:rtl/>
        </w:rPr>
        <w:t xml:space="preserve">                          </w:t>
      </w:r>
      <w:r w:rsidR="004F0AAD">
        <w:rPr>
          <w:rFonts w:hint="cs"/>
          <w:rtl/>
        </w:rPr>
        <w:t xml:space="preserve">            </w:t>
      </w:r>
      <w:r>
        <w:rPr>
          <w:rtl/>
        </w:rPr>
        <w:t>(13).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بالنصب</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11944 : « فلا تعط</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AAD">
      <w:pPr>
        <w:pStyle w:val="libNormal0"/>
        <w:rPr>
          <w:rtl/>
          <w:lang w:bidi="fa-IR"/>
        </w:rPr>
      </w:pPr>
      <w:r w:rsidRPr="00020424">
        <w:rPr>
          <w:rtl/>
          <w:lang w:bidi="fa-IR"/>
        </w:rPr>
        <w:lastRenderedPageBreak/>
        <w:t>فَتَشْتَرِيَ دِينَكَ وَعِرْضَكَ مِنْهُ</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325D54">
        <w:rPr>
          <w:rtl/>
        </w:rPr>
        <w:t>5925</w:t>
      </w:r>
      <w:r w:rsidRPr="001155DE">
        <w:rPr>
          <w:rStyle w:val="libBold2Char"/>
          <w:rtl/>
        </w:rPr>
        <w:t xml:space="preserve"> / 3.</w:t>
      </w:r>
      <w:r w:rsidRPr="00020424">
        <w:rPr>
          <w:rtl/>
          <w:lang w:bidi="fa-IR"/>
        </w:rPr>
        <w:t xml:space="preserve"> عِدَّةٌ مِنْ أَصْحَابِنَا ، عَنْ سَهْلِ بْنِ زِيَادٍ وَأَحْمَدَ </w:t>
      </w:r>
      <w:r w:rsidRPr="00A91B96">
        <w:rPr>
          <w:rStyle w:val="libFootnotenumChar"/>
          <w:rtl/>
        </w:rPr>
        <w:t>(2)</w:t>
      </w:r>
      <w:r w:rsidRPr="00020424">
        <w:rPr>
          <w:rtl/>
          <w:lang w:bidi="fa-IR"/>
        </w:rPr>
        <w:t xml:space="preserve"> بْنِ مُحَمَّدِ بْنِ عِيسى ، عَنْ أَحْمَدَ بْنِ مُحَمَّدِ بْنِ أَبِي نَصْرٍ ، قَالَ :</w:t>
      </w:r>
    </w:p>
    <w:p w:rsidR="00992664" w:rsidRPr="00020424" w:rsidRDefault="00992664" w:rsidP="00992664">
      <w:pPr>
        <w:pStyle w:val="libNormal"/>
        <w:rPr>
          <w:rtl/>
          <w:lang w:bidi="fa-IR"/>
        </w:rPr>
      </w:pPr>
      <w:r w:rsidRPr="00020424">
        <w:rPr>
          <w:rtl/>
          <w:lang w:bidi="fa-IR"/>
        </w:rPr>
        <w:t xml:space="preserve">سَأَلْتُ الرِّضَا </w:t>
      </w:r>
      <w:r w:rsidRPr="00005A81">
        <w:rPr>
          <w:rStyle w:val="libAlaemChar"/>
          <w:rtl/>
        </w:rPr>
        <w:t>عليه‌السلام</w:t>
      </w:r>
      <w:r w:rsidRPr="00020424">
        <w:rPr>
          <w:rtl/>
          <w:lang w:bidi="fa-IR"/>
        </w:rPr>
        <w:t xml:space="preserve"> عَنِ الرَّجُلِ </w:t>
      </w:r>
      <w:r w:rsidRPr="00A91B96">
        <w:rPr>
          <w:rStyle w:val="libFootnotenumChar"/>
          <w:rtl/>
        </w:rPr>
        <w:t>(3)</w:t>
      </w:r>
      <w:r w:rsidRPr="00020424">
        <w:rPr>
          <w:rtl/>
          <w:lang w:bidi="fa-IR"/>
        </w:rPr>
        <w:t xml:space="preserve"> لَهُ قَرَابَةٌ وَمَوَالٍ </w:t>
      </w:r>
      <w:r w:rsidRPr="00A91B96">
        <w:rPr>
          <w:rStyle w:val="libFootnotenumChar"/>
          <w:rtl/>
        </w:rPr>
        <w:t>(4)</w:t>
      </w:r>
      <w:r w:rsidRPr="00020424">
        <w:rPr>
          <w:rtl/>
          <w:lang w:bidi="fa-IR"/>
        </w:rPr>
        <w:t xml:space="preserve"> وَأَتْبَاعٌ </w:t>
      </w:r>
      <w:r w:rsidRPr="00A91B96">
        <w:rPr>
          <w:rStyle w:val="libFootnotenumChar"/>
          <w:rtl/>
        </w:rPr>
        <w:t>(5)</w:t>
      </w:r>
      <w:r w:rsidRPr="00020424">
        <w:rPr>
          <w:rtl/>
          <w:lang w:bidi="fa-IR"/>
        </w:rPr>
        <w:t xml:space="preserve"> يُحِبُّونَ أَمِيرَ الْمُؤْمِنِينَ صَلَوَاتُ اللهِ عَلَيْهِ ، وَلَيْسَ </w:t>
      </w:r>
      <w:r w:rsidRPr="00A91B96">
        <w:rPr>
          <w:rStyle w:val="libFootnotenumChar"/>
          <w:rtl/>
        </w:rPr>
        <w:t>(6)</w:t>
      </w:r>
      <w:r w:rsidRPr="00020424">
        <w:rPr>
          <w:rtl/>
          <w:lang w:bidi="fa-IR"/>
        </w:rPr>
        <w:t xml:space="preserve"> يَعْرِفُ</w:t>
      </w:r>
      <w:r>
        <w:rPr>
          <w:rtl/>
          <w:lang w:bidi="fa-IR"/>
        </w:rPr>
        <w:t>ونَ صَاحِبَ هذَا الْأَمْرِ ، أَ</w:t>
      </w:r>
      <w:r w:rsidRPr="00020424">
        <w:rPr>
          <w:rtl/>
          <w:lang w:bidi="fa-IR"/>
        </w:rPr>
        <w:t xml:space="preserve">يُعْطَوْنَ </w:t>
      </w:r>
      <w:r w:rsidRPr="00A91B96">
        <w:rPr>
          <w:rStyle w:val="libFootnotenumChar"/>
          <w:rtl/>
        </w:rPr>
        <w:t>(7)</w:t>
      </w:r>
      <w:r w:rsidRPr="00020424">
        <w:rPr>
          <w:rtl/>
          <w:lang w:bidi="fa-IR"/>
        </w:rPr>
        <w:t xml:space="preserve"> مِنَ الزَّكَاةِ</w:t>
      </w:r>
      <w:r>
        <w:rPr>
          <w:rtl/>
          <w:lang w:bidi="fa-IR"/>
        </w:rPr>
        <w:t>؟</w:t>
      </w:r>
      <w:r w:rsidRPr="00020424">
        <w:rPr>
          <w:rtl/>
          <w:lang w:bidi="fa-IR"/>
        </w:rPr>
        <w:t xml:space="preserve"> قَالَ :</w:t>
      </w:r>
      <w:r>
        <w:rPr>
          <w:rFonts w:hint="cs"/>
          <w:rtl/>
          <w:lang w:bidi="fa-IR"/>
        </w:rPr>
        <w:t xml:space="preserve"> </w:t>
      </w:r>
      <w:r w:rsidRPr="00020424">
        <w:rPr>
          <w:rtl/>
          <w:lang w:bidi="fa-IR"/>
        </w:rPr>
        <w:t>« لَا</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Default="00992664" w:rsidP="00992664">
      <w:pPr>
        <w:pStyle w:val="libNormal"/>
        <w:rPr>
          <w:rtl/>
          <w:lang w:bidi="fa-IR"/>
        </w:rPr>
      </w:pPr>
      <w:r w:rsidRPr="00325D54">
        <w:rPr>
          <w:rtl/>
        </w:rPr>
        <w:t>5926</w:t>
      </w:r>
      <w:r w:rsidRPr="001155DE">
        <w:rPr>
          <w:rStyle w:val="libBold2Char"/>
          <w:rtl/>
        </w:rPr>
        <w:t xml:space="preserve"> / 4.</w:t>
      </w:r>
      <w:r w:rsidRPr="00020424">
        <w:rPr>
          <w:rtl/>
          <w:lang w:bidi="fa-IR"/>
        </w:rPr>
        <w:t xml:space="preserve"> مُحَمَّدُ بْنُ يَحْيى ، عَنْ أَحْمَدَ بْنِ مُحَمَّدٍ ، عَنِ الْحُسَيْنِ بْنِ سَعِيدٍ ، عَنِ النَّضْرِ بْنِ سُوَيْدٍ ، عَنْ زُرْعَةَ بْنِ مُحَمَّدٍ </w:t>
      </w:r>
      <w:r w:rsidRPr="00A91B96">
        <w:rPr>
          <w:rStyle w:val="libFootnotenumChar"/>
          <w:rtl/>
        </w:rPr>
        <w:t>(9)</w:t>
      </w:r>
      <w:r w:rsidRPr="00020424">
        <w:rPr>
          <w:rtl/>
          <w:lang w:bidi="fa-IR"/>
        </w:rPr>
        <w:t xml:space="preserve"> ، عَنْ أَبِي بَصِيرٍ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 يَكُونُ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لَهُ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الزَّكَاةُ ، وَلَهُ قَرَابَةٌ مُحْتَاجُونَ غَيْرُ</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55 ، ح 146 ، معلّقاً عن الكليني. </w:t>
      </w:r>
      <w:r w:rsidR="00992664" w:rsidRPr="0012008A">
        <w:rPr>
          <w:rStyle w:val="libFootnoteBoldChar"/>
          <w:rtl/>
        </w:rPr>
        <w:t>المقنعة</w:t>
      </w:r>
      <w:r w:rsidR="00992664" w:rsidRPr="00020424">
        <w:rPr>
          <w:rtl/>
        </w:rPr>
        <w:t xml:space="preserve"> ، ص 262 ، مرسلاً من قوله : « قال أبوعبدالله </w:t>
      </w:r>
      <w:r w:rsidR="00992664" w:rsidRPr="00D64ADA">
        <w:rPr>
          <w:rStyle w:val="libFootnoteAlaemChar"/>
          <w:rtl/>
        </w:rPr>
        <w:t>عليه‌السلام</w:t>
      </w:r>
      <w:r w:rsidR="00992664" w:rsidRPr="00020424">
        <w:rPr>
          <w:rtl/>
        </w:rPr>
        <w:t xml:space="preserve"> :</w:t>
      </w:r>
      <w:r w:rsidR="00992664">
        <w:rPr>
          <w:rtl/>
        </w:rPr>
        <w:t xml:space="preserve"> أ</w:t>
      </w:r>
      <w:r w:rsidR="00992664" w:rsidRPr="00020424">
        <w:rPr>
          <w:rtl/>
        </w:rPr>
        <w:t xml:space="preserve">ترون أنّ ما في المال » مع اختلاف يسير </w:t>
      </w:r>
      <w:r w:rsidR="004F0AAD">
        <w:rPr>
          <w:rFonts w:hint="cs"/>
          <w:rtl/>
        </w:rPr>
        <w:t>.</w:t>
      </w:r>
      <w:r w:rsidR="00992664" w:rsidRPr="0012008A">
        <w:rPr>
          <w:rStyle w:val="libFootnoteBoldChar"/>
          <w:rtl/>
        </w:rPr>
        <w:t>الوافي</w:t>
      </w:r>
      <w:r w:rsidR="00992664" w:rsidRPr="00020424">
        <w:rPr>
          <w:rtl/>
        </w:rPr>
        <w:t xml:space="preserve"> ، ج 10 ، ص 186 ، ح 9400 ؛ </w:t>
      </w:r>
      <w:r w:rsidR="00992664" w:rsidRPr="0012008A">
        <w:rPr>
          <w:rStyle w:val="libFootnoteBoldChar"/>
          <w:rtl/>
        </w:rPr>
        <w:t>الوسائل</w:t>
      </w:r>
      <w:r w:rsidR="00992664" w:rsidRPr="00020424">
        <w:rPr>
          <w:rtl/>
        </w:rPr>
        <w:t xml:space="preserve"> ، ج 9 ، ص 48 ، ح 11489 ، من قوله : « قال أبوعبدالله </w:t>
      </w:r>
      <w:r w:rsidR="00992664" w:rsidRPr="00D64ADA">
        <w:rPr>
          <w:rStyle w:val="libFootnoteAlaemChar"/>
          <w:rtl/>
        </w:rPr>
        <w:t>عليه‌السلام</w:t>
      </w:r>
      <w:r w:rsidR="00992664" w:rsidRPr="00020424">
        <w:rPr>
          <w:rtl/>
        </w:rPr>
        <w:t xml:space="preserve"> :</w:t>
      </w:r>
      <w:r w:rsidR="00992664">
        <w:rPr>
          <w:rtl/>
        </w:rPr>
        <w:t xml:space="preserve"> أ</w:t>
      </w:r>
      <w:r w:rsidR="00992664" w:rsidRPr="00020424">
        <w:rPr>
          <w:rtl/>
        </w:rPr>
        <w:t>ترون أنّ ما في المال » إلى قوله : « والمعترض لك ممّن يسألك » ؛ وص 247 ، ح 11944.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حاشية « بح » </w:t>
      </w:r>
      <w:r w:rsidR="00992664" w:rsidRPr="00EB1FD9">
        <w:rPr>
          <w:rStyle w:val="libFootnoteBoldChar"/>
          <w:rtl/>
        </w:rPr>
        <w:t>والوسائل</w:t>
      </w:r>
      <w:r w:rsidR="00992664" w:rsidRPr="00020424">
        <w:rPr>
          <w:rtl/>
        </w:rPr>
        <w:t xml:space="preserve">. وفي « ظ ، ى ، بث ، بح ، بخ ، بر ، بس ، بف ، جر ، جن » والمطبوع </w:t>
      </w:r>
      <w:r w:rsidR="00992664" w:rsidRPr="00515444">
        <w:rPr>
          <w:rStyle w:val="libFootnoteBoldChar"/>
          <w:rtl/>
        </w:rPr>
        <w:t>والتهذيب</w:t>
      </w:r>
      <w:r w:rsidR="00992664" w:rsidRPr="00020424">
        <w:rPr>
          <w:rtl/>
        </w:rPr>
        <w:t xml:space="preserve"> : « عن أحمد » بدل « وأحمد</w:t>
      </w:r>
      <w:r w:rsidR="00992664">
        <w:rPr>
          <w:rtl/>
        </w:rPr>
        <w:t xml:space="preserve"> ».</w:t>
      </w:r>
    </w:p>
    <w:p w:rsidR="00992664" w:rsidRPr="00020424" w:rsidRDefault="00992664" w:rsidP="00992664">
      <w:pPr>
        <w:pStyle w:val="libFootnote0"/>
        <w:rPr>
          <w:rtl/>
          <w:lang w:bidi="fa-IR"/>
        </w:rPr>
      </w:pPr>
      <w:r w:rsidRPr="00AF63B0">
        <w:rPr>
          <w:rtl/>
        </w:rPr>
        <w:t xml:space="preserve">والصواب ما أثبتناه ؛ فقد أكثر سهل بن زياد من الرواية عن أحمد بن محمّد بن أبي نصر ، فوقوع الواسطة بينهما بعيدٌ جدّاً. أضف إلى ذلك عدم ثبوت رواية سهل بن زياد عن أحمد بن محمّد بن عيسى في موضع. راجع : </w:t>
      </w:r>
      <w:r w:rsidRPr="00AF63B0">
        <w:rPr>
          <w:rStyle w:val="libFootnoteBoldChar"/>
          <w:rtl/>
        </w:rPr>
        <w:t>معجم رجال الحديث</w:t>
      </w:r>
      <w:r w:rsidRPr="00AF63B0">
        <w:rPr>
          <w:rtl/>
        </w:rPr>
        <w:t xml:space="preserve"> ، ج 8 ، ص 495 </w:t>
      </w:r>
      <w:r w:rsidR="009B673F" w:rsidRPr="00AF63B0">
        <w:rPr>
          <w:rtl/>
        </w:rPr>
        <w:t>-</w:t>
      </w:r>
      <w:r w:rsidRPr="00AF63B0">
        <w:rPr>
          <w:rtl/>
        </w:rPr>
        <w:t xml:space="preserve"> 496 ؛ و503 </w:t>
      </w:r>
      <w:r w:rsidR="009B673F" w:rsidRPr="00AF63B0">
        <w:rPr>
          <w:rtl/>
        </w:rPr>
        <w:t>-</w:t>
      </w:r>
      <w:r w:rsidRPr="00AF63B0">
        <w:rPr>
          <w:rtl/>
        </w:rPr>
        <w:t xml:space="preserve"> 507.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AF63B0">
        <w:rPr>
          <w:rtl/>
        </w:rPr>
        <w:t>الوسائل</w:t>
      </w:r>
      <w:r w:rsidR="00992664" w:rsidRPr="00020424">
        <w:rPr>
          <w:rtl/>
        </w:rPr>
        <w:t xml:space="preserve"> : « رجل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AF63B0">
        <w:rPr>
          <w:rtl/>
        </w:rPr>
        <w:t>هكذا في «</w:t>
      </w:r>
      <w:r w:rsidR="00992664" w:rsidRPr="00020424">
        <w:rPr>
          <w:rtl/>
        </w:rPr>
        <w:t xml:space="preserve">ظ ، بح ، بخ ، بس ، جن » </w:t>
      </w:r>
      <w:r w:rsidR="00992664" w:rsidRPr="00515444">
        <w:rPr>
          <w:rStyle w:val="libFootnoteBoldChar"/>
          <w:rtl/>
        </w:rPr>
        <w:t>والوافي</w:t>
      </w:r>
      <w:r w:rsidR="00992664" w:rsidRPr="00AF63B0">
        <w:rPr>
          <w:rtl/>
        </w:rPr>
        <w:t xml:space="preserve"> </w:t>
      </w:r>
      <w:r w:rsidR="00992664" w:rsidRPr="00EB1FD9">
        <w:rPr>
          <w:rStyle w:val="libFootnoteBoldChar"/>
          <w:rtl/>
        </w:rPr>
        <w:t>والوسائل</w:t>
      </w:r>
      <w:r w:rsidR="00992664" w:rsidRPr="00AF63B0">
        <w:rPr>
          <w:rtl/>
        </w:rPr>
        <w:t xml:space="preserve"> </w:t>
      </w:r>
      <w:r w:rsidR="00992664" w:rsidRPr="00515444">
        <w:rPr>
          <w:rStyle w:val="libFootnoteBoldChar"/>
          <w:rtl/>
        </w:rPr>
        <w:t>والتهذيب</w:t>
      </w:r>
      <w:r w:rsidR="00992664" w:rsidRPr="00020424">
        <w:rPr>
          <w:rtl/>
        </w:rPr>
        <w:t>. وفي سائر النسخ والمطبوع : « موالي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F63B0" w:rsidTr="00AF63B0">
        <w:tc>
          <w:tcPr>
            <w:tcW w:w="4006" w:type="dxa"/>
          </w:tcPr>
          <w:p w:rsidR="00AF63B0" w:rsidRDefault="00AF63B0" w:rsidP="00992664">
            <w:pPr>
              <w:pStyle w:val="libFootnote0"/>
              <w:rPr>
                <w:rtl/>
              </w:rPr>
            </w:pPr>
            <w:r>
              <w:rPr>
                <w:rtl/>
              </w:rPr>
              <w:t xml:space="preserve">(5). </w:t>
            </w:r>
            <w:r w:rsidRPr="00020424">
              <w:rPr>
                <w:rtl/>
              </w:rPr>
              <w:t xml:space="preserve">في </w:t>
            </w:r>
            <w:r w:rsidRPr="00AF63B0">
              <w:rPr>
                <w:rtl/>
              </w:rPr>
              <w:t>التهذيب</w:t>
            </w:r>
            <w:r w:rsidRPr="00020424">
              <w:rPr>
                <w:rtl/>
              </w:rPr>
              <w:t xml:space="preserve"> : « وأيتام</w:t>
            </w:r>
            <w:r>
              <w:rPr>
                <w:rtl/>
              </w:rPr>
              <w:t xml:space="preserve"> ».</w:t>
            </w:r>
          </w:p>
        </w:tc>
        <w:tc>
          <w:tcPr>
            <w:tcW w:w="4006" w:type="dxa"/>
          </w:tcPr>
          <w:p w:rsidR="00AF63B0" w:rsidRDefault="00AF63B0" w:rsidP="00992664">
            <w:pPr>
              <w:pStyle w:val="libFootnote0"/>
              <w:rPr>
                <w:rtl/>
              </w:rPr>
            </w:pPr>
            <w:r>
              <w:rPr>
                <w:rtl/>
              </w:rPr>
              <w:t xml:space="preserve">(6). </w:t>
            </w:r>
            <w:r w:rsidRPr="00020424">
              <w:rPr>
                <w:rtl/>
              </w:rPr>
              <w:t>في « بس » : « وليسوا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 « يعطون » من دون همزة الاستفهام.</w:t>
      </w:r>
    </w:p>
    <w:p w:rsidR="00992664" w:rsidRPr="00020424" w:rsidRDefault="00795177" w:rsidP="00AF63B0">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55 ، ح 147 ، معلّقاً عن الكليني </w:t>
      </w:r>
      <w:r w:rsidR="00AF63B0">
        <w:rPr>
          <w:rFonts w:hint="cs"/>
          <w:rtl/>
        </w:rPr>
        <w:t>.</w:t>
      </w:r>
      <w:r w:rsidR="00992664" w:rsidRPr="0012008A">
        <w:rPr>
          <w:rStyle w:val="libFootnoteBoldChar"/>
          <w:rtl/>
        </w:rPr>
        <w:t>الوافي</w:t>
      </w:r>
      <w:r w:rsidR="00992664" w:rsidRPr="00020424">
        <w:rPr>
          <w:rtl/>
        </w:rPr>
        <w:t xml:space="preserve"> ، ج 10 ، ص 186 ، ح 9401 ؛ </w:t>
      </w:r>
      <w:r w:rsidR="00992664" w:rsidRPr="0012008A">
        <w:rPr>
          <w:rStyle w:val="libFootnoteBoldChar"/>
          <w:rtl/>
        </w:rPr>
        <w:t>الوسائل</w:t>
      </w:r>
      <w:r w:rsidR="00992664" w:rsidRPr="00020424">
        <w:rPr>
          <w:rtl/>
        </w:rPr>
        <w:t xml:space="preserve"> ، ج 9 ، ص 248 ، ح 11946.</w:t>
      </w:r>
      <w:r w:rsidR="00A05922">
        <w:rPr>
          <w:rFonts w:hint="cs"/>
          <w:rtl/>
        </w:rPr>
        <w:t xml:space="preserve">        </w:t>
      </w:r>
      <w:r w:rsidR="00AF63B0">
        <w:rPr>
          <w:rFonts w:hint="cs"/>
          <w:rtl/>
        </w:rPr>
        <w:t xml:space="preserve">       </w:t>
      </w:r>
      <w:r>
        <w:rPr>
          <w:rtl/>
        </w:rPr>
        <w:t>(9).</w:t>
      </w:r>
      <w:r w:rsidR="0014403D">
        <w:rPr>
          <w:rtl/>
        </w:rPr>
        <w:t xml:space="preserve"> </w:t>
      </w:r>
      <w:r w:rsidR="00992664" w:rsidRPr="00020424">
        <w:rPr>
          <w:rtl/>
        </w:rPr>
        <w:t xml:space="preserve">في </w:t>
      </w:r>
      <w:r w:rsidR="00992664" w:rsidRPr="00AF63B0">
        <w:rPr>
          <w:rtl/>
        </w:rPr>
        <w:t>الوسائل</w:t>
      </w:r>
      <w:r w:rsidR="00992664" w:rsidRPr="00020424">
        <w:rPr>
          <w:rtl/>
        </w:rPr>
        <w:t xml:space="preserve"> : + « عن سماعة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F63B0" w:rsidTr="00AF63B0">
        <w:tc>
          <w:tcPr>
            <w:tcW w:w="4006" w:type="dxa"/>
          </w:tcPr>
          <w:p w:rsidR="00AF63B0" w:rsidRDefault="00AF63B0" w:rsidP="00992664">
            <w:pPr>
              <w:pStyle w:val="libFootnote0"/>
              <w:rPr>
                <w:rtl/>
              </w:rPr>
            </w:pPr>
            <w:r>
              <w:rPr>
                <w:rtl/>
              </w:rPr>
              <w:t xml:space="preserve">(10). </w:t>
            </w:r>
            <w:r w:rsidRPr="00020424">
              <w:rPr>
                <w:rtl/>
              </w:rPr>
              <w:t xml:space="preserve">في </w:t>
            </w:r>
            <w:r w:rsidRPr="00AF63B0">
              <w:rPr>
                <w:rtl/>
              </w:rPr>
              <w:t xml:space="preserve">الوافي </w:t>
            </w:r>
            <w:r w:rsidRPr="00515444">
              <w:rPr>
                <w:rStyle w:val="libFootnoteBoldChar"/>
                <w:rtl/>
              </w:rPr>
              <w:t>والتهذيب</w:t>
            </w:r>
            <w:r w:rsidRPr="00AF63B0">
              <w:rPr>
                <w:rtl/>
              </w:rPr>
              <w:t xml:space="preserve"> :</w:t>
            </w:r>
            <w:r w:rsidRPr="00020424">
              <w:rPr>
                <w:rtl/>
              </w:rPr>
              <w:t xml:space="preserve"> « تكون</w:t>
            </w:r>
            <w:r>
              <w:rPr>
                <w:rtl/>
              </w:rPr>
              <w:t xml:space="preserve"> ».</w:t>
            </w:r>
          </w:p>
        </w:tc>
        <w:tc>
          <w:tcPr>
            <w:tcW w:w="4006" w:type="dxa"/>
          </w:tcPr>
          <w:p w:rsidR="00AF63B0" w:rsidRDefault="00AF63B0" w:rsidP="00992664">
            <w:pPr>
              <w:pStyle w:val="libFootnote0"/>
              <w:rPr>
                <w:rtl/>
              </w:rPr>
            </w:pPr>
            <w:r>
              <w:rPr>
                <w:rtl/>
              </w:rPr>
              <w:t xml:space="preserve">(11). </w:t>
            </w:r>
            <w:r w:rsidRPr="00020424">
              <w:rPr>
                <w:rtl/>
              </w:rPr>
              <w:t xml:space="preserve">في </w:t>
            </w:r>
            <w:r w:rsidRPr="0012008A">
              <w:rPr>
                <w:rStyle w:val="libFootnoteBoldChar"/>
                <w:rtl/>
              </w:rPr>
              <w:t>التهذيب</w:t>
            </w:r>
            <w:r w:rsidRPr="00020424">
              <w:rPr>
                <w:rtl/>
              </w:rPr>
              <w:t xml:space="preserve"> : « عليه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AF63B0">
      <w:pPr>
        <w:pStyle w:val="libNormal0"/>
        <w:rPr>
          <w:rtl/>
          <w:lang w:bidi="fa-IR"/>
        </w:rPr>
      </w:pPr>
      <w:r>
        <w:rPr>
          <w:rtl/>
          <w:lang w:bidi="fa-IR"/>
        </w:rPr>
        <w:lastRenderedPageBreak/>
        <w:t>عَارِفِينَ ، أَ</w:t>
      </w:r>
      <w:r w:rsidRPr="00020424">
        <w:rPr>
          <w:rtl/>
          <w:lang w:bidi="fa-IR"/>
        </w:rPr>
        <w:t>يُعْطِيهِمْ مِنَ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 « لَا ، وَلَاكَرَامَةَ ، لَايَجْعَلُ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الزَّكَاةَ وِقَايَةً لِمَالِهِ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 يُعْطِيهِمْ مِنْ غَيْرِ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الزَّكَاةِ إِنْ أَرَادَ</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C6616E">
        <w:rPr>
          <w:rtl/>
        </w:rPr>
        <w:t>5927</w:t>
      </w:r>
      <w:r w:rsidRPr="001155DE">
        <w:rPr>
          <w:rStyle w:val="libBold2Char"/>
          <w:rtl/>
        </w:rPr>
        <w:t xml:space="preserve"> / 5.</w:t>
      </w:r>
      <w:r w:rsidRPr="00020424">
        <w:rPr>
          <w:rtl/>
          <w:lang w:bidi="fa-IR"/>
        </w:rPr>
        <w:t xml:space="preserve"> مُحَمَّدُ بْنُ يَحْيى ، عَنْ مُحَمَّدِ بْنِ الْحُسَيْنِ ، عَنْ صَفْوَانَ بْنِ يَحْيى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 عَنْ عَبْدِ الرَّحْمنِ بْنِ الْحَجَّاجِ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خَمْسَةٌ لَايُعْطَوْنَ مِنَ الزَّكَاةِ شَيْئاً : الْأَبُ ، وَالْأُمُّ ، وَالْوَلَدُ ، وَالْمَمْلُوكُ ، وَالْمَرْأَةُ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 وَذلِكَ أَنَّهُمْ عِيَالُهُ لَازِمُونَ لَهُ</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8</w:t>
      </w:r>
      <w:r w:rsidRPr="00A91B96">
        <w:rPr>
          <w:rStyle w:val="libFootnotenumChar"/>
          <w:rtl/>
        </w:rPr>
        <w:t>)</w:t>
      </w:r>
    </w:p>
    <w:p w:rsidR="00992664" w:rsidRPr="00020424" w:rsidRDefault="00992664" w:rsidP="00992664">
      <w:pPr>
        <w:pStyle w:val="libNormal"/>
        <w:rPr>
          <w:rtl/>
          <w:lang w:bidi="fa-IR"/>
        </w:rPr>
      </w:pPr>
      <w:r w:rsidRPr="00C6616E">
        <w:rPr>
          <w:rtl/>
        </w:rPr>
        <w:t>5928</w:t>
      </w:r>
      <w:r w:rsidRPr="001155DE">
        <w:rPr>
          <w:rStyle w:val="libBold2Char"/>
          <w:rtl/>
        </w:rPr>
        <w:t xml:space="preserve"> / 6.</w:t>
      </w:r>
      <w:r w:rsidRPr="00020424">
        <w:rPr>
          <w:rtl/>
          <w:lang w:bidi="fa-IR"/>
        </w:rPr>
        <w:t xml:space="preserve"> أَحْمَدُ بْنُ إِدْرِيسَ وَغَيْرُهُ ، عَنْ مُحَمَّدِ بْنِ أَحْمَدَ ، عَنْ مُحَمَّدِ بْنِ عَبْدِ الْحَمِيدِ ، عَنْ أَبِي جَمِيلَةَ ، عَنْ زَيْدٍ الشَّحَّامِ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فِي الزَّكَاةِ : « يُعْطى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مِنْهَا : الْأَخُ ، وَالْأُخْتُ ، وَالْعَمُّ ، وَالْعَمَّةُ ، وَالْخَالُ ، وَالْخَالَةُ ، وَلَايُعْطَى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الْجَدُّ ، وَلَا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الْجَدَّةُ</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F63B0" w:rsidTr="00AF63B0">
        <w:tc>
          <w:tcPr>
            <w:tcW w:w="4006" w:type="dxa"/>
          </w:tcPr>
          <w:p w:rsidR="00AF63B0" w:rsidRDefault="00AF63B0" w:rsidP="00992664">
            <w:pPr>
              <w:pStyle w:val="libFootnote0"/>
              <w:rPr>
                <w:rtl/>
              </w:rPr>
            </w:pPr>
            <w:r>
              <w:rPr>
                <w:rtl/>
              </w:rPr>
              <w:t xml:space="preserve">(1). </w:t>
            </w:r>
            <w:r w:rsidRPr="00020424">
              <w:rPr>
                <w:rtl/>
              </w:rPr>
              <w:t xml:space="preserve">في « بر ، بس ، بف » </w:t>
            </w:r>
            <w:r w:rsidRPr="00515444">
              <w:rPr>
                <w:rStyle w:val="libFootnoteBoldChar"/>
                <w:rtl/>
              </w:rPr>
              <w:t>والوافي</w:t>
            </w:r>
            <w:r w:rsidRPr="00020424">
              <w:rPr>
                <w:rtl/>
              </w:rPr>
              <w:t xml:space="preserve"> : « قال</w:t>
            </w:r>
            <w:r>
              <w:rPr>
                <w:rtl/>
              </w:rPr>
              <w:t xml:space="preserve"> ».</w:t>
            </w:r>
          </w:p>
        </w:tc>
        <w:tc>
          <w:tcPr>
            <w:tcW w:w="4006" w:type="dxa"/>
          </w:tcPr>
          <w:p w:rsidR="00AF63B0" w:rsidRDefault="00AF63B0" w:rsidP="00992664">
            <w:pPr>
              <w:pStyle w:val="libFootnote0"/>
              <w:rPr>
                <w:rtl/>
              </w:rPr>
            </w:pPr>
            <w:r>
              <w:rPr>
                <w:rtl/>
              </w:rPr>
              <w:t xml:space="preserve">(2). </w:t>
            </w:r>
            <w:r w:rsidRPr="00020424">
              <w:rPr>
                <w:rtl/>
              </w:rPr>
              <w:t>في « بح ، بخ ، بر ، جن » : « لا تجعل</w:t>
            </w:r>
            <w:r>
              <w:rPr>
                <w:rtl/>
              </w:rPr>
              <w:t xml:space="preserve"> ».</w:t>
            </w:r>
          </w:p>
        </w:tc>
      </w:tr>
      <w:tr w:rsidR="00AF63B0" w:rsidTr="00AF63B0">
        <w:tc>
          <w:tcPr>
            <w:tcW w:w="4006" w:type="dxa"/>
          </w:tcPr>
          <w:p w:rsidR="00AF63B0" w:rsidRDefault="00AF63B0" w:rsidP="00992664">
            <w:pPr>
              <w:pStyle w:val="libFootnote0"/>
              <w:rPr>
                <w:rtl/>
              </w:rPr>
            </w:pPr>
            <w:r>
              <w:rPr>
                <w:rtl/>
              </w:rPr>
              <w:t xml:space="preserve">(3). </w:t>
            </w:r>
            <w:r w:rsidRPr="00020424">
              <w:rPr>
                <w:rtl/>
              </w:rPr>
              <w:t>في « بر » : « لمالك</w:t>
            </w:r>
            <w:r>
              <w:rPr>
                <w:rtl/>
              </w:rPr>
              <w:t xml:space="preserve"> ».</w:t>
            </w:r>
          </w:p>
        </w:tc>
        <w:tc>
          <w:tcPr>
            <w:tcW w:w="4006" w:type="dxa"/>
          </w:tcPr>
          <w:p w:rsidR="00AF63B0" w:rsidRDefault="00AF63B0" w:rsidP="00992664">
            <w:pPr>
              <w:pStyle w:val="libFootnote0"/>
              <w:rPr>
                <w:rtl/>
              </w:rPr>
            </w:pPr>
            <w:r>
              <w:rPr>
                <w:rtl/>
              </w:rPr>
              <w:t xml:space="preserve">(4). </w:t>
            </w:r>
            <w:r w:rsidRPr="00020424">
              <w:rPr>
                <w:rtl/>
              </w:rPr>
              <w:t>في « جن » : + « مال</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55 ، ح 148 ، معلّقاً عن الحسين بن سعيد ، عن النضر بن سويد ، عن زرعة ، عن سماعة ومحمّد بن أبي نصر ، عن أبي بصير </w:t>
      </w:r>
      <w:r w:rsidR="00AF63B0">
        <w:rPr>
          <w:rFonts w:hint="cs"/>
          <w:rtl/>
        </w:rPr>
        <w:t>.</w:t>
      </w:r>
      <w:r w:rsidR="00992664" w:rsidRPr="0012008A">
        <w:rPr>
          <w:rStyle w:val="libFootnoteBoldChar"/>
          <w:rtl/>
        </w:rPr>
        <w:t>الوافي</w:t>
      </w:r>
      <w:r w:rsidR="00992664" w:rsidRPr="00020424">
        <w:rPr>
          <w:rtl/>
        </w:rPr>
        <w:t xml:space="preserve"> ، ج 10 ، ص 187 ، ح 9402 ؛ </w:t>
      </w:r>
      <w:r w:rsidR="00992664" w:rsidRPr="0012008A">
        <w:rPr>
          <w:rStyle w:val="libFootnoteBoldChar"/>
          <w:rtl/>
        </w:rPr>
        <w:t>الوسائل</w:t>
      </w:r>
      <w:r w:rsidR="00992664" w:rsidRPr="00020424">
        <w:rPr>
          <w:rtl/>
        </w:rPr>
        <w:t xml:space="preserve"> ، ج 9 ، ص 248 ، ح 11945.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بف » </w:t>
      </w:r>
      <w:r w:rsidR="00992664" w:rsidRPr="00A05922">
        <w:rPr>
          <w:rtl/>
        </w:rPr>
        <w:t>والوسائل والتهذيب والاستبصار</w:t>
      </w:r>
      <w:r w:rsidR="00992664" w:rsidRPr="00AF63B0">
        <w:rPr>
          <w:rtl/>
        </w:rPr>
        <w:t xml:space="preserve"> </w:t>
      </w:r>
      <w:r w:rsidR="00992664" w:rsidRPr="00020424">
        <w:rPr>
          <w:rtl/>
        </w:rPr>
        <w:t>:</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والمرأة والمملوك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56 ، ح 150 ؛ </w:t>
      </w:r>
      <w:r w:rsidR="00992664" w:rsidRPr="00FD6221">
        <w:rPr>
          <w:rStyle w:val="libFootnoteBoldChar"/>
          <w:rtl/>
        </w:rPr>
        <w:t>والاستبصار</w:t>
      </w:r>
      <w:r w:rsidR="00992664" w:rsidRPr="00020424">
        <w:rPr>
          <w:rtl/>
        </w:rPr>
        <w:t xml:space="preserve"> ، ج 2 ، ص 33 ، ح 101 ، معلّقاً عن الكليني. وفي </w:t>
      </w:r>
      <w:r w:rsidR="00992664" w:rsidRPr="00A722B1">
        <w:rPr>
          <w:rStyle w:val="libFootnoteBoldChar"/>
          <w:rtl/>
        </w:rPr>
        <w:t>الخصال</w:t>
      </w:r>
      <w:r w:rsidR="00992664" w:rsidRPr="00020424">
        <w:rPr>
          <w:rtl/>
        </w:rPr>
        <w:t xml:space="preserve"> ، ص 288 ، باب الخمسة ، ح 45 ؛ </w:t>
      </w:r>
      <w:r w:rsidR="00992664" w:rsidRPr="00515444">
        <w:rPr>
          <w:rStyle w:val="libFootnoteBoldChar"/>
          <w:rtl/>
        </w:rPr>
        <w:t>وعلل الشرائع</w:t>
      </w:r>
      <w:r w:rsidR="00992664" w:rsidRPr="00020424">
        <w:rPr>
          <w:rtl/>
        </w:rPr>
        <w:t xml:space="preserve"> ، ص 371 ، ح 1 ، بسند آخر. </w:t>
      </w:r>
      <w:r w:rsidR="00992664" w:rsidRPr="00587829">
        <w:rPr>
          <w:rStyle w:val="libFootnoteBoldChar"/>
          <w:rtl/>
        </w:rPr>
        <w:t>الأمالي للصدوق</w:t>
      </w:r>
      <w:r w:rsidR="00992664" w:rsidRPr="00020424">
        <w:rPr>
          <w:rtl/>
        </w:rPr>
        <w:t xml:space="preserve"> ، ص 647 ، المجلس 93 ، ضمن وصف دين الإماميّة على الإيجاز والاختصار. </w:t>
      </w:r>
      <w:r w:rsidR="00992664" w:rsidRPr="0012008A">
        <w:rPr>
          <w:rStyle w:val="libFootnoteBoldChar"/>
          <w:rtl/>
        </w:rPr>
        <w:t>الفقيه</w:t>
      </w:r>
      <w:r w:rsidR="00992664" w:rsidRPr="00020424">
        <w:rPr>
          <w:rtl/>
        </w:rPr>
        <w:t xml:space="preserve"> ، ج 2 ، ص 18 ، ضمن ح 1602 ، مرسلاً من دون الإسناد إلى المعصوم </w:t>
      </w:r>
      <w:r w:rsidR="00992664" w:rsidRPr="00D64ADA">
        <w:rPr>
          <w:rStyle w:val="libFootnoteAlaemChar"/>
          <w:rtl/>
        </w:rPr>
        <w:t>عليه‌السلام</w:t>
      </w:r>
      <w:r w:rsidR="00992664" w:rsidRPr="00020424">
        <w:rPr>
          <w:rtl/>
        </w:rPr>
        <w:t xml:space="preserve"> ، وفي الأربعة الأخيرة مع اختلاف يسير </w:t>
      </w:r>
      <w:r w:rsidR="00AF63B0">
        <w:rPr>
          <w:rFonts w:hint="cs"/>
          <w:rtl/>
        </w:rPr>
        <w:t>.</w:t>
      </w:r>
      <w:r w:rsidR="00992664" w:rsidRPr="0012008A">
        <w:rPr>
          <w:rStyle w:val="libFootnoteBoldChar"/>
          <w:rtl/>
        </w:rPr>
        <w:t>الوافي</w:t>
      </w:r>
      <w:r w:rsidR="00992664" w:rsidRPr="00020424">
        <w:rPr>
          <w:rtl/>
        </w:rPr>
        <w:t xml:space="preserve"> ، ج 10 ، ص 184 ، ح 9395 ؛ </w:t>
      </w:r>
      <w:r w:rsidR="00992664" w:rsidRPr="0012008A">
        <w:rPr>
          <w:rStyle w:val="libFootnoteBoldChar"/>
          <w:rtl/>
        </w:rPr>
        <w:t>الوسائل</w:t>
      </w:r>
      <w:r w:rsidR="00992664" w:rsidRPr="00020424">
        <w:rPr>
          <w:rtl/>
        </w:rPr>
        <w:t xml:space="preserve"> ، ج 9 ، ص 240 ، ح 11928 ؛ وج 21 ، ص 525 ، ح 27759.</w:t>
      </w:r>
    </w:p>
    <w:tbl>
      <w:tblPr>
        <w:tblStyle w:val="TableGrid"/>
        <w:bidiVisual/>
        <w:tblW w:w="0" w:type="auto"/>
        <w:tblLook w:val="04A0" w:firstRow="1" w:lastRow="0" w:firstColumn="1" w:lastColumn="0" w:noHBand="0" w:noVBand="1"/>
      </w:tblPr>
      <w:tblGrid>
        <w:gridCol w:w="4006"/>
        <w:gridCol w:w="4006"/>
      </w:tblGrid>
      <w:tr w:rsidR="00AF63B0" w:rsidTr="00AF63B0">
        <w:tc>
          <w:tcPr>
            <w:tcW w:w="4006" w:type="dxa"/>
          </w:tcPr>
          <w:p w:rsidR="00AF63B0" w:rsidRDefault="00AF63B0" w:rsidP="00992664">
            <w:pPr>
              <w:pStyle w:val="libFootnote0"/>
              <w:rPr>
                <w:rtl/>
              </w:rPr>
            </w:pPr>
            <w:r>
              <w:rPr>
                <w:rtl/>
              </w:rPr>
              <w:t xml:space="preserve">(9). </w:t>
            </w:r>
            <w:r w:rsidRPr="00020424">
              <w:rPr>
                <w:rtl/>
              </w:rPr>
              <w:t>في « بر » : « تعطى</w:t>
            </w:r>
            <w:r>
              <w:rPr>
                <w:rtl/>
              </w:rPr>
              <w:t xml:space="preserve"> ».</w:t>
            </w:r>
          </w:p>
        </w:tc>
        <w:tc>
          <w:tcPr>
            <w:tcW w:w="4006" w:type="dxa"/>
          </w:tcPr>
          <w:p w:rsidR="00AF63B0" w:rsidRDefault="00AF63B0" w:rsidP="00992664">
            <w:pPr>
              <w:pStyle w:val="libFootnote0"/>
              <w:rPr>
                <w:rtl/>
              </w:rPr>
            </w:pPr>
            <w:r>
              <w:rPr>
                <w:rtl/>
              </w:rPr>
              <w:t>(10). في«بخ»:+«</w:t>
            </w:r>
            <w:r w:rsidRPr="00020424">
              <w:rPr>
                <w:rtl/>
              </w:rPr>
              <w:t>منها</w:t>
            </w:r>
            <w:r>
              <w:rPr>
                <w:rtl/>
              </w:rPr>
              <w:t>».وفي «بر،بف»:«</w:t>
            </w:r>
            <w:r w:rsidRPr="00020424">
              <w:rPr>
                <w:rtl/>
              </w:rPr>
              <w:t>ولا تعطى</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لا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56 ، ح 151 ، معلّقاً عن الكليني. </w:t>
      </w:r>
      <w:r w:rsidR="00992664" w:rsidRPr="0012008A">
        <w:rPr>
          <w:rStyle w:val="libFootnoteBoldChar"/>
          <w:rtl/>
        </w:rPr>
        <w:t>الفقيه</w:t>
      </w:r>
      <w:r w:rsidR="00992664" w:rsidRPr="00020424">
        <w:rPr>
          <w:rtl/>
        </w:rPr>
        <w:t xml:space="preserve"> ، ج 2 ، ص 18 ، ضمن ح 1602 ، مرسلاً من دون </w:t>
      </w:r>
      <w:r w:rsidR="00AF63B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96173">
        <w:rPr>
          <w:rtl/>
        </w:rPr>
        <w:lastRenderedPageBreak/>
        <w:t>5929</w:t>
      </w:r>
      <w:r w:rsidRPr="001155DE">
        <w:rPr>
          <w:rStyle w:val="libBold2Char"/>
          <w:rtl/>
        </w:rPr>
        <w:t xml:space="preserve"> / 7.</w:t>
      </w:r>
      <w:r w:rsidRPr="00020424">
        <w:rPr>
          <w:rtl/>
          <w:lang w:bidi="fa-IR"/>
        </w:rPr>
        <w:t xml:space="preserve"> مُحَمَّدُ بْنُ يَحْيى وَمُحَمَّدُ بْنُ عَبْدِ اللهِ </w:t>
      </w:r>
      <w:r w:rsidRPr="00A91B96">
        <w:rPr>
          <w:rStyle w:val="libFootnotenumChar"/>
          <w:rtl/>
        </w:rPr>
        <w:t>(1)</w:t>
      </w:r>
      <w:r w:rsidRPr="00020424">
        <w:rPr>
          <w:rtl/>
          <w:lang w:bidi="fa-IR"/>
        </w:rPr>
        <w:t xml:space="preserve"> ، عَنْ عَبْدِ اللهِ بْنِ جَعْفَرٍ ، عَنْ أَحْمَدَ بْنِ حَمْزَةَ ، قَالَ :</w:t>
      </w:r>
    </w:p>
    <w:p w:rsidR="00992664" w:rsidRPr="00020424" w:rsidRDefault="00992664" w:rsidP="00992664">
      <w:pPr>
        <w:pStyle w:val="libNormal"/>
        <w:rPr>
          <w:rtl/>
          <w:lang w:bidi="fa-IR"/>
        </w:rPr>
      </w:pPr>
      <w:r w:rsidRPr="00020424">
        <w:rPr>
          <w:rtl/>
          <w:lang w:bidi="fa-IR"/>
        </w:rPr>
        <w:t xml:space="preserve">قُلْتُ لِأَبِي الْحَسَنِ </w:t>
      </w:r>
      <w:r w:rsidRPr="00005A81">
        <w:rPr>
          <w:rStyle w:val="libAlaemChar"/>
          <w:rtl/>
        </w:rPr>
        <w:t>عليه‌السلام</w:t>
      </w:r>
      <w:r w:rsidRPr="00020424">
        <w:rPr>
          <w:rtl/>
          <w:lang w:bidi="fa-IR"/>
        </w:rPr>
        <w:t xml:space="preserve"> : رَجُلٌ مِنْ مَوَالِيكَ ، لَهُ قَرَابَةٌ كُلُّهُمْ يَقُولُ </w:t>
      </w:r>
      <w:r w:rsidRPr="00A91B96">
        <w:rPr>
          <w:rStyle w:val="libFootnotenumChar"/>
          <w:rtl/>
        </w:rPr>
        <w:t>(2)</w:t>
      </w:r>
      <w:r w:rsidRPr="00020424">
        <w:rPr>
          <w:rtl/>
          <w:lang w:bidi="fa-IR"/>
        </w:rPr>
        <w:t xml:space="preserve"> بِكَ ، وَلَهُ زَكَاةٌ ، </w:t>
      </w:r>
      <w:r>
        <w:rPr>
          <w:rtl/>
          <w:lang w:bidi="fa-IR"/>
        </w:rPr>
        <w:t>أَ</w:t>
      </w:r>
      <w:r w:rsidRPr="00020424">
        <w:rPr>
          <w:rtl/>
          <w:lang w:bidi="fa-IR"/>
        </w:rPr>
        <w:t xml:space="preserve">يَجُوزُ لَهُ </w:t>
      </w:r>
      <w:r w:rsidRPr="00A91B96">
        <w:rPr>
          <w:rStyle w:val="libFootnotenumChar"/>
          <w:rtl/>
        </w:rPr>
        <w:t>(3)</w:t>
      </w:r>
      <w:r w:rsidRPr="00020424">
        <w:rPr>
          <w:rtl/>
          <w:lang w:bidi="fa-IR"/>
        </w:rPr>
        <w:t xml:space="preserve"> أَنْ يُعْطِيَهُمْ جَمِيعَ زَكَاتِهِ</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173">
        <w:rPr>
          <w:rtl/>
        </w:rPr>
        <w:t>5930</w:t>
      </w:r>
      <w:r w:rsidRPr="001155DE">
        <w:rPr>
          <w:rStyle w:val="libBold2Char"/>
          <w:rtl/>
        </w:rPr>
        <w:t xml:space="preserve"> / 8.</w:t>
      </w:r>
      <w:r w:rsidRPr="00020424">
        <w:rPr>
          <w:rtl/>
          <w:lang w:bidi="fa-IR"/>
        </w:rPr>
        <w:t xml:space="preserve"> مُحَمَّدُ بْنُ أَبِي عَبْدِ اللهِ ، عَنْ سَهْلِ بْنِ زِيَادٍ ، عَنْ عَلِيِّ بْنِ مَهْزِيَارَ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سَأَلْتُهُ عَنِ الرَّجُلِ يَضَعُ زَكَاتَهُ كُلَّهَا فِي أَهْلِ بَيْتِهِ </w:t>
      </w:r>
      <w:r w:rsidRPr="00A91B96">
        <w:rPr>
          <w:rStyle w:val="libFootnotenumChar"/>
          <w:rtl/>
        </w:rPr>
        <w:t>(5)</w:t>
      </w:r>
      <w:r w:rsidRPr="00020424">
        <w:rPr>
          <w:rtl/>
          <w:lang w:bidi="fa-IR"/>
        </w:rPr>
        <w:t xml:space="preserve"> وَهُمْ يَتَوَلَّوْنَكَ</w:t>
      </w:r>
      <w:r w:rsidRPr="00A91B96">
        <w:rPr>
          <w:rStyle w:val="libFootnotenumChar"/>
          <w:rtl/>
        </w:rPr>
        <w:t>(6)</w:t>
      </w:r>
      <w:r>
        <w:rPr>
          <w:rtl/>
          <w:lang w:bidi="fa-IR"/>
        </w:rPr>
        <w:t>؟</w:t>
      </w:r>
      <w:r w:rsidRPr="00020424">
        <w:rPr>
          <w:rtl/>
          <w:lang w:bidi="fa-IR"/>
        </w:rPr>
        <w:t xml:space="preserve"> فَقَالَ </w:t>
      </w:r>
      <w:r w:rsidRPr="00A91B96">
        <w:rPr>
          <w:rStyle w:val="libFootnotenumChar"/>
          <w:rtl/>
        </w:rPr>
        <w:t>(7)</w:t>
      </w:r>
      <w:r w:rsidRPr="00020424">
        <w:rPr>
          <w:rtl/>
          <w:lang w:bidi="fa-IR"/>
        </w:rPr>
        <w:t xml:space="preserve"> : « نَعَمْ</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896173">
        <w:rPr>
          <w:rtl/>
        </w:rPr>
        <w:t>5931</w:t>
      </w:r>
      <w:r w:rsidRPr="001155DE">
        <w:rPr>
          <w:rStyle w:val="libBold2Char"/>
          <w:rtl/>
        </w:rPr>
        <w:t xml:space="preserve"> / 9.</w:t>
      </w:r>
      <w:r w:rsidRPr="00020424">
        <w:rPr>
          <w:rtl/>
          <w:lang w:bidi="fa-IR"/>
        </w:rPr>
        <w:t xml:space="preserve"> مُحَمَّدُ بْنُ يَحْيى ، عَنْ أَحْمَدَ بْنِ مُحَمَّدٍ ، عَنْ عِمْرَانَ بْنِ إِسْمَاعِيلَ بْنِ عِمْرَانَ الْقُمِّيِّ ، قَالَ :</w:t>
      </w:r>
    </w:p>
    <w:p w:rsidR="00992664" w:rsidRPr="00020424" w:rsidRDefault="00992664" w:rsidP="00992664">
      <w:pPr>
        <w:pStyle w:val="libNormal"/>
        <w:rPr>
          <w:rtl/>
          <w:lang w:bidi="fa-IR"/>
        </w:rPr>
      </w:pPr>
      <w:r w:rsidRPr="00020424">
        <w:rPr>
          <w:rtl/>
          <w:lang w:bidi="fa-IR"/>
        </w:rPr>
        <w:t xml:space="preserve">كَتَبْتُ إِلى أَبِي الْحَسَنِ الثَّالِثِ </w:t>
      </w:r>
      <w:r w:rsidRPr="00005A81">
        <w:rPr>
          <w:rStyle w:val="libAlaemChar"/>
          <w:rtl/>
        </w:rPr>
        <w:t>عليه‌السلام</w:t>
      </w:r>
      <w:r w:rsidRPr="00020424">
        <w:rPr>
          <w:rtl/>
          <w:lang w:bidi="fa-IR"/>
        </w:rPr>
        <w:t xml:space="preserve"> : أَنَّ لِي </w:t>
      </w:r>
      <w:r>
        <w:rPr>
          <w:rtl/>
          <w:lang w:bidi="fa-IR"/>
        </w:rPr>
        <w:t>وُلْداً رِجَالاً وَنِسَاءً : أَ</w:t>
      </w:r>
      <w:r w:rsidRPr="00020424">
        <w:rPr>
          <w:rtl/>
          <w:lang w:bidi="fa-IR"/>
        </w:rPr>
        <w:t xml:space="preserve">فَيَجُوزُ </w:t>
      </w:r>
      <w:r w:rsidRPr="00A91B96">
        <w:rPr>
          <w:rStyle w:val="libFootnotenumChar"/>
          <w:rtl/>
        </w:rPr>
        <w:t>(9)</w:t>
      </w:r>
      <w:r w:rsidRPr="00020424">
        <w:rPr>
          <w:rtl/>
          <w:lang w:bidi="fa-IR"/>
        </w:rPr>
        <w:t xml:space="preserve"> أَنْ أُعْطِيَهُمْ‌</w:t>
      </w:r>
    </w:p>
    <w:p w:rsidR="00992664" w:rsidRPr="00020424" w:rsidRDefault="00992664" w:rsidP="00992664">
      <w:pPr>
        <w:pStyle w:val="libLine"/>
        <w:rPr>
          <w:rtl/>
          <w:lang w:bidi="fa-IR"/>
        </w:rPr>
      </w:pPr>
      <w:r w:rsidRPr="00020424">
        <w:rPr>
          <w:rtl/>
          <w:lang w:bidi="fa-IR"/>
        </w:rPr>
        <w:t>__________________</w:t>
      </w:r>
    </w:p>
    <w:p w:rsidR="00992664" w:rsidRPr="00020424" w:rsidRDefault="00AF63B0" w:rsidP="00992664">
      <w:pPr>
        <w:pStyle w:val="libFootnote0"/>
        <w:rPr>
          <w:rtl/>
          <w:lang w:bidi="fa-IR"/>
        </w:rPr>
      </w:pPr>
      <w:r>
        <w:rPr>
          <w:rFonts w:hint="cs"/>
          <w:rtl/>
        </w:rPr>
        <w:t xml:space="preserve">= </w:t>
      </w:r>
      <w:r w:rsidR="00992664" w:rsidRPr="00020424">
        <w:rPr>
          <w:rtl/>
        </w:rPr>
        <w:t xml:space="preserve">الإسناد إلى المعصوم </w:t>
      </w:r>
      <w:r w:rsidR="00992664" w:rsidRPr="00D64ADA">
        <w:rPr>
          <w:rStyle w:val="libFootnoteAlaemChar"/>
          <w:rtl/>
        </w:rPr>
        <w:t>عليه‌السلام</w:t>
      </w:r>
      <w:r w:rsidR="00992664" w:rsidRPr="00020424">
        <w:rPr>
          <w:rtl/>
        </w:rPr>
        <w:t xml:space="preserve">. مع اختلاف يسير </w:t>
      </w:r>
      <w:r>
        <w:rPr>
          <w:rFonts w:hint="cs"/>
          <w:rtl/>
        </w:rPr>
        <w:t>.</w:t>
      </w:r>
      <w:r w:rsidR="00992664" w:rsidRPr="0012008A">
        <w:rPr>
          <w:rStyle w:val="libFootnoteBoldChar"/>
          <w:rtl/>
        </w:rPr>
        <w:t>الوافي</w:t>
      </w:r>
      <w:r w:rsidR="00992664" w:rsidRPr="00020424">
        <w:rPr>
          <w:rtl/>
        </w:rPr>
        <w:t xml:space="preserve"> ، ج 10 ، ص 184 ، ح 9396 ؛ </w:t>
      </w:r>
      <w:r w:rsidR="00992664" w:rsidRPr="0012008A">
        <w:rPr>
          <w:rStyle w:val="libFootnoteBoldChar"/>
          <w:rtl/>
        </w:rPr>
        <w:t>الوسائل</w:t>
      </w:r>
      <w:r w:rsidR="00992664" w:rsidRPr="00020424">
        <w:rPr>
          <w:rtl/>
        </w:rPr>
        <w:t xml:space="preserve"> ، ج 9 ، ص 241 ، ح 11930.</w:t>
      </w:r>
    </w:p>
    <w:p w:rsidR="00992664" w:rsidRPr="00020424" w:rsidRDefault="00795177" w:rsidP="00AF63B0">
      <w:pPr>
        <w:pStyle w:val="libFootnote0"/>
        <w:rPr>
          <w:rtl/>
          <w:lang w:bidi="fa-IR"/>
        </w:rPr>
      </w:pPr>
      <w:r>
        <w:rPr>
          <w:rtl/>
        </w:rPr>
        <w:t>(1).</w:t>
      </w:r>
      <w:r w:rsidR="0014403D">
        <w:rPr>
          <w:rtl/>
        </w:rPr>
        <w:t xml:space="preserve"> </w:t>
      </w:r>
      <w:r w:rsidR="00992664" w:rsidRPr="00020424">
        <w:rPr>
          <w:rtl/>
        </w:rPr>
        <w:t xml:space="preserve">في </w:t>
      </w:r>
      <w:r w:rsidR="00992664" w:rsidRPr="00AF63B0">
        <w:rPr>
          <w:rtl/>
        </w:rPr>
        <w:t>الوسائل</w:t>
      </w:r>
      <w:r w:rsidR="00992664" w:rsidRPr="00020424">
        <w:rPr>
          <w:rtl/>
        </w:rPr>
        <w:t xml:space="preserve"> : « محمّد بن أبي عبدالله</w:t>
      </w:r>
      <w:r w:rsidR="00992664">
        <w:rPr>
          <w:rtl/>
        </w:rPr>
        <w:t xml:space="preserve"> ».</w:t>
      </w:r>
      <w:r w:rsidR="00992664" w:rsidRPr="00020424">
        <w:rPr>
          <w:rtl/>
        </w:rPr>
        <w:t xml:space="preserve"> وهو سهو. والمراد من محمّد بن عبدالله ، هو محمّد بن عبدالله بن جعفر</w:t>
      </w:r>
      <w:r w:rsidR="00AF63B0">
        <w:rPr>
          <w:rFonts w:hint="cs"/>
          <w:rtl/>
        </w:rPr>
        <w:t xml:space="preserve"> </w:t>
      </w:r>
      <w:r w:rsidR="00992664" w:rsidRPr="00020424">
        <w:rPr>
          <w:rtl/>
        </w:rPr>
        <w:t>الحميري.</w:t>
      </w:r>
      <w:r w:rsidR="00AF63B0">
        <w:rPr>
          <w:rFonts w:hint="cs"/>
          <w:rtl/>
        </w:rPr>
        <w:t xml:space="preserve">                                       </w:t>
      </w:r>
      <w:r>
        <w:rPr>
          <w:rtl/>
        </w:rPr>
        <w:t>(2).</w:t>
      </w:r>
      <w:r w:rsidR="0014403D">
        <w:rPr>
          <w:rtl/>
        </w:rPr>
        <w:t xml:space="preserve"> </w:t>
      </w:r>
      <w:r w:rsidR="00992664" w:rsidRPr="00020424">
        <w:rPr>
          <w:rtl/>
        </w:rPr>
        <w:t xml:space="preserve">في « ظ ، بر ، بس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يقولون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AF63B0">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54 ، ح 144 ؛ </w:t>
      </w:r>
      <w:r w:rsidR="00992664" w:rsidRPr="00FD6221">
        <w:rPr>
          <w:rStyle w:val="libFootnoteBoldChar"/>
          <w:rtl/>
        </w:rPr>
        <w:t>والاستبصار</w:t>
      </w:r>
      <w:r w:rsidR="00992664" w:rsidRPr="00020424">
        <w:rPr>
          <w:rtl/>
        </w:rPr>
        <w:t xml:space="preserve"> ، ج 2 ، ص 35 ، ح 104 ، معلّقاً عن الكليني </w:t>
      </w:r>
      <w:r w:rsidR="00AF63B0">
        <w:rPr>
          <w:rFonts w:hint="cs"/>
          <w:rtl/>
        </w:rPr>
        <w:t>.</w:t>
      </w:r>
      <w:r w:rsidR="00992664" w:rsidRPr="0012008A">
        <w:rPr>
          <w:rStyle w:val="libFootnoteBoldChar"/>
          <w:rtl/>
        </w:rPr>
        <w:t>الوافي</w:t>
      </w:r>
      <w:r w:rsidR="00992664" w:rsidRPr="00020424">
        <w:rPr>
          <w:rtl/>
        </w:rPr>
        <w:t xml:space="preserve"> ، ج 10 ، ص 181 ، ح 9392 ؛ </w:t>
      </w:r>
      <w:r w:rsidR="00992664" w:rsidRPr="0012008A">
        <w:rPr>
          <w:rStyle w:val="libFootnoteBoldChar"/>
          <w:rtl/>
        </w:rPr>
        <w:t>الوسائل</w:t>
      </w:r>
      <w:r w:rsidR="00992664" w:rsidRPr="00020424">
        <w:rPr>
          <w:rtl/>
        </w:rPr>
        <w:t xml:space="preserve"> ، ج 9 ، ص 245 ، ح 11938.</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w:t>
      </w:r>
      <w:r w:rsidR="00AF63B0">
        <w:rPr>
          <w:rFonts w:hint="cs"/>
          <w:rtl/>
        </w:rPr>
        <w:t>ُ</w:t>
      </w:r>
      <w:r w:rsidR="00992664" w:rsidRPr="00020424">
        <w:rPr>
          <w:rtl/>
        </w:rPr>
        <w:t>ريد بالقرابة وأهل البيت في الخبرين من لاتجب نفقته عليه من عياله ، أو محمول على حال‌</w:t>
      </w:r>
      <w:r w:rsidR="00AF63B0">
        <w:rPr>
          <w:rFonts w:hint="cs"/>
          <w:rtl/>
        </w:rPr>
        <w:t xml:space="preserve"> </w:t>
      </w:r>
      <w:r w:rsidR="00992664" w:rsidRPr="00020424">
        <w:rPr>
          <w:rtl/>
        </w:rPr>
        <w:t>الاضطرار ؛ لما يأتى من عدم جواز إعطائه</w:t>
      </w:r>
      <w:r w:rsidR="00AF63B0">
        <w:rPr>
          <w:rtl/>
        </w:rPr>
        <w:t>ا العيال الواجب نفقتهم عليه إل</w:t>
      </w:r>
      <w:r w:rsidR="00AF63B0">
        <w:rPr>
          <w:rFonts w:hint="cs"/>
          <w:rtl/>
        </w:rPr>
        <w:t>ّ</w:t>
      </w:r>
      <w:r w:rsidR="00AF63B0">
        <w:rPr>
          <w:rtl/>
        </w:rPr>
        <w:t>ا</w:t>
      </w:r>
      <w:r w:rsidR="00992664" w:rsidRPr="00020424">
        <w:rPr>
          <w:rtl/>
        </w:rPr>
        <w:t>مع قلّة بضاعته وكثرة عياله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وحاشية « بث ، بح » : « يقولون بك</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54 ، ح 145 ، معلّقاً عن محمّد بن أبي عبدالله ؛ </w:t>
      </w:r>
      <w:r w:rsidR="00992664" w:rsidRPr="00DE76B9">
        <w:rPr>
          <w:rStyle w:val="libFootnoteBoldChar"/>
          <w:rtl/>
        </w:rPr>
        <w:t>الاستبصار</w:t>
      </w:r>
      <w:r w:rsidR="00992664" w:rsidRPr="00020424">
        <w:rPr>
          <w:rtl/>
        </w:rPr>
        <w:t xml:space="preserve"> ، ج 2 ، ص 35 ، ح 105 ، معلّقاً عن سهل بن زياد ، عن عليّ بن مهزيار ، عن أبي الحسن الأوّل </w:t>
      </w:r>
      <w:r w:rsidR="00992664" w:rsidRPr="00D64ADA">
        <w:rPr>
          <w:rStyle w:val="libFootnoteAlaemChar"/>
          <w:rtl/>
        </w:rPr>
        <w:t>عليه‌السلام</w:t>
      </w:r>
      <w:r w:rsidR="00992664" w:rsidRPr="00020424">
        <w:rPr>
          <w:rtl/>
        </w:rPr>
        <w:t xml:space="preserve"> </w:t>
      </w:r>
      <w:r w:rsidR="00AC7ABB">
        <w:rPr>
          <w:rFonts w:hint="cs"/>
          <w:rtl/>
        </w:rPr>
        <w:t>.</w:t>
      </w:r>
      <w:r w:rsidR="00992664" w:rsidRPr="0012008A">
        <w:rPr>
          <w:rStyle w:val="libFootnoteBoldChar"/>
          <w:rtl/>
        </w:rPr>
        <w:t>الوافي</w:t>
      </w:r>
      <w:r w:rsidR="00992664" w:rsidRPr="00020424">
        <w:rPr>
          <w:rtl/>
        </w:rPr>
        <w:t xml:space="preserve"> ، ج 10 ، ص 181 ، ح 9393 ؛ </w:t>
      </w:r>
      <w:r w:rsidR="00992664" w:rsidRPr="0012008A">
        <w:rPr>
          <w:rStyle w:val="libFootnoteBoldChar"/>
          <w:rtl/>
        </w:rPr>
        <w:t>الوسائل</w:t>
      </w:r>
      <w:r w:rsidR="00992664" w:rsidRPr="00020424">
        <w:rPr>
          <w:rtl/>
        </w:rPr>
        <w:t xml:space="preserve"> ، ج 9 ، ص 246 ، ح 11940.</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AC7ABB">
        <w:rPr>
          <w:rtl/>
        </w:rPr>
        <w:t xml:space="preserve"> </w:t>
      </w:r>
      <w:r w:rsidR="00992664" w:rsidRPr="00EB1FD9">
        <w:rPr>
          <w:rStyle w:val="libFootnoteBoldChar"/>
          <w:rtl/>
        </w:rPr>
        <w:t>والوسائل</w:t>
      </w:r>
      <w:r w:rsidR="00992664" w:rsidRPr="00AC7ABB">
        <w:rPr>
          <w:rtl/>
        </w:rPr>
        <w:t xml:space="preserve"> </w:t>
      </w:r>
      <w:r w:rsidR="00992664" w:rsidRPr="00515444">
        <w:rPr>
          <w:rStyle w:val="libFootnoteBoldChar"/>
          <w:rtl/>
        </w:rPr>
        <w:t>والتهذيب</w:t>
      </w:r>
      <w:r w:rsidR="00992664" w:rsidRPr="00AC7ABB">
        <w:rPr>
          <w:rtl/>
        </w:rPr>
        <w:t>.</w:t>
      </w:r>
      <w:r w:rsidR="00992664" w:rsidRPr="00020424">
        <w:rPr>
          <w:rtl/>
        </w:rPr>
        <w:t xml:space="preserve"> وفي « بح » والمطبوع : + « لي</w:t>
      </w:r>
      <w:r w:rsidR="00992664">
        <w:rPr>
          <w:rtl/>
        </w:rPr>
        <w:t xml:space="preserve"> ».</w:t>
      </w:r>
      <w:r w:rsidR="00992664" w:rsidRPr="00020424">
        <w:rPr>
          <w:rtl/>
        </w:rPr>
        <w:t xml:space="preserve"> وفي</w:t>
      </w:r>
      <w:r w:rsidR="00AC7ABB">
        <w:rPr>
          <w:rFonts w:hint="cs"/>
          <w:rtl/>
        </w:rPr>
        <w:t xml:space="preserve"> </w:t>
      </w:r>
      <w:r w:rsidR="00992664" w:rsidRPr="00020424">
        <w:rPr>
          <w:rtl/>
        </w:rPr>
        <w:t>‌الاستبصار : « فيجوز » بدون الهمزة.</w:t>
      </w:r>
    </w:p>
    <w:p w:rsidR="00795177" w:rsidRDefault="00795177" w:rsidP="00795177">
      <w:pPr>
        <w:pStyle w:val="libNormal"/>
        <w:rPr>
          <w:rtl/>
          <w:lang w:bidi="fa-IR"/>
        </w:rPr>
      </w:pPr>
      <w:r>
        <w:rPr>
          <w:rtl/>
          <w:lang w:bidi="fa-IR"/>
        </w:rPr>
        <w:br w:type="page"/>
      </w:r>
    </w:p>
    <w:p w:rsidR="00992664" w:rsidRPr="00020424" w:rsidRDefault="00992664" w:rsidP="00AC7ABB">
      <w:pPr>
        <w:pStyle w:val="libFootnote0"/>
        <w:rPr>
          <w:rtl/>
          <w:lang w:bidi="fa-IR"/>
        </w:rPr>
      </w:pPr>
      <w:r w:rsidRPr="00020424">
        <w:rPr>
          <w:rtl/>
          <w:lang w:bidi="fa-IR"/>
        </w:rPr>
        <w:lastRenderedPageBreak/>
        <w:t xml:space="preserve">مِنَ الزَّكَاةِ شَيْئاً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فَكَتَبَ </w:t>
      </w:r>
      <w:r w:rsidRPr="00005A81">
        <w:rPr>
          <w:rStyle w:val="libAlaemChar"/>
          <w:rtl/>
        </w:rPr>
        <w:t>عليه‌السلام</w:t>
      </w:r>
      <w:r w:rsidRPr="00020424">
        <w:rPr>
          <w:rtl/>
          <w:lang w:bidi="fa-IR"/>
        </w:rPr>
        <w:t xml:space="preserve"> : « أَنَّ ذلِكَ جَائِزٌ لَكَ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96173">
        <w:rPr>
          <w:rtl/>
        </w:rPr>
        <w:t>5932</w:t>
      </w:r>
      <w:r w:rsidRPr="001155DE">
        <w:rPr>
          <w:rStyle w:val="libBold2Char"/>
          <w:rtl/>
        </w:rPr>
        <w:t xml:space="preserve"> / 10.</w:t>
      </w:r>
      <w:r w:rsidRPr="00020424">
        <w:rPr>
          <w:rtl/>
          <w:lang w:bidi="fa-IR"/>
        </w:rPr>
        <w:t xml:space="preserve"> أَحْمَدُ بْنُ إِدْرِيسَ وَغَيْرُهُ ، عَنْ مُحَمَّدِ بْنِ أَحْمَدَ ، عَنْ بَعْضِ أَصْحَابِنَا ، عَنْ مُحَمَّدِ بْنِ جَزَّكٍ ، قَالَ :</w:t>
      </w:r>
    </w:p>
    <w:p w:rsidR="00992664" w:rsidRPr="00020424" w:rsidRDefault="00992664" w:rsidP="00992664">
      <w:pPr>
        <w:pStyle w:val="libNormal"/>
        <w:rPr>
          <w:rtl/>
          <w:lang w:bidi="fa-IR"/>
        </w:rPr>
      </w:pPr>
      <w:r w:rsidRPr="00020424">
        <w:rPr>
          <w:rtl/>
          <w:lang w:bidi="fa-IR"/>
        </w:rPr>
        <w:t xml:space="preserve">سَأَلْتُ الصَّادِقَ </w:t>
      </w:r>
      <w:r w:rsidRPr="00005A81">
        <w:rPr>
          <w:rStyle w:val="libAlaemChar"/>
          <w:rtl/>
        </w:rPr>
        <w:t>عليه‌السلام</w:t>
      </w:r>
      <w:r w:rsidRPr="00020424">
        <w:rPr>
          <w:rtl/>
          <w:lang w:bidi="fa-IR"/>
        </w:rPr>
        <w:t xml:space="preserve"> : أَدْفَعُ عُشْرَ مَالِي </w:t>
      </w:r>
      <w:r w:rsidRPr="00A91B96">
        <w:rPr>
          <w:rStyle w:val="libFootnotenumChar"/>
          <w:rtl/>
        </w:rPr>
        <w:t>(4)</w:t>
      </w:r>
      <w:r w:rsidRPr="00020424">
        <w:rPr>
          <w:rtl/>
          <w:lang w:bidi="fa-IR"/>
        </w:rPr>
        <w:t xml:space="preserve"> إِلى وُلْدِ ابْنَتِي </w:t>
      </w:r>
      <w:r w:rsidRPr="00A91B96">
        <w:rPr>
          <w:rStyle w:val="libFootnotenumChar"/>
          <w:rtl/>
        </w:rPr>
        <w:t>(5)</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(6)</w:t>
      </w:r>
      <w:r w:rsidRPr="00020424">
        <w:rPr>
          <w:rtl/>
          <w:lang w:bidi="fa-IR"/>
        </w:rPr>
        <w:t xml:space="preserve"> : « نَعَمْ ، لَابَأْسَ</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115" w:name="_Toc345172755"/>
      <w:bookmarkStart w:id="116" w:name="_Toc464562571"/>
      <w:bookmarkStart w:id="117" w:name="_Toc44599874"/>
      <w:r w:rsidRPr="00020424">
        <w:rPr>
          <w:rtl/>
          <w:lang w:bidi="fa-IR"/>
        </w:rPr>
        <w:t>34</w:t>
      </w:r>
      <w:r>
        <w:rPr>
          <w:rtl/>
          <w:lang w:bidi="fa-IR"/>
        </w:rPr>
        <w:t xml:space="preserve"> </w:t>
      </w:r>
      <w:r w:rsidR="009B673F">
        <w:rPr>
          <w:rtl/>
          <w:lang w:bidi="fa-IR"/>
        </w:rPr>
        <w:t>-</w:t>
      </w:r>
      <w:r>
        <w:rPr>
          <w:rtl/>
          <w:lang w:bidi="fa-IR"/>
        </w:rPr>
        <w:t xml:space="preserve"> </w:t>
      </w:r>
      <w:r w:rsidRPr="00020424">
        <w:rPr>
          <w:rtl/>
          <w:lang w:bidi="fa-IR"/>
        </w:rPr>
        <w:t>بَابٌ نَادِرٌ‌</w:t>
      </w:r>
      <w:bookmarkEnd w:id="115"/>
      <w:bookmarkEnd w:id="116"/>
      <w:bookmarkEnd w:id="117"/>
    </w:p>
    <w:p w:rsidR="00992664" w:rsidRPr="00020424" w:rsidRDefault="00992664" w:rsidP="00992664">
      <w:pPr>
        <w:pStyle w:val="libNormal"/>
        <w:rPr>
          <w:rtl/>
          <w:lang w:bidi="fa-IR"/>
        </w:rPr>
      </w:pPr>
      <w:r w:rsidRPr="00896173">
        <w:rPr>
          <w:rtl/>
        </w:rPr>
        <w:t>5933</w:t>
      </w:r>
      <w:r w:rsidRPr="001155DE">
        <w:rPr>
          <w:rStyle w:val="libBold2Char"/>
          <w:rtl/>
        </w:rPr>
        <w:t xml:space="preserve"> / 1.</w:t>
      </w:r>
      <w:r w:rsidRPr="00020424">
        <w:rPr>
          <w:rtl/>
          <w:lang w:bidi="fa-IR"/>
        </w:rPr>
        <w:t xml:space="preserve"> عِدَّةٌ مِنْ أَصْحَابِنَا ، عَنْ أَحْمَدَ بْنِ مُحَمَّدٍ ، عَنِ الْحَسَنِ </w:t>
      </w:r>
      <w:r w:rsidRPr="00A91B96">
        <w:rPr>
          <w:rStyle w:val="libFootnotenumChar"/>
          <w:rtl/>
        </w:rPr>
        <w:t>(8)</w:t>
      </w:r>
      <w:r w:rsidRPr="00020424">
        <w:rPr>
          <w:rtl/>
          <w:lang w:bidi="fa-IR"/>
        </w:rPr>
        <w:t xml:space="preserve"> بْنِ مَحْبُوبٍ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شيئاً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غ ، بث ، بخ ، بر ، بس ، بف » وحاشية « بح » </w:t>
      </w:r>
      <w:r w:rsidR="00992664" w:rsidRPr="00A05922">
        <w:rPr>
          <w:rtl/>
        </w:rPr>
        <w:t>والوافي والوسائل والتهذيب والاستبصار</w:t>
      </w:r>
      <w:r w:rsidR="00992664">
        <w:rPr>
          <w:rtl/>
        </w:rPr>
        <w:t xml:space="preserve"> ».</w:t>
      </w:r>
      <w:r w:rsidR="00992664" w:rsidRPr="00020424">
        <w:rPr>
          <w:rtl/>
        </w:rPr>
        <w:t xml:space="preserve"> وفي سائر النسخ والمطبوع : « لكم</w:t>
      </w:r>
      <w:r w:rsidR="00992664">
        <w:rPr>
          <w:rtl/>
        </w:rPr>
        <w:t xml:space="preserve"> ».</w:t>
      </w:r>
    </w:p>
    <w:p w:rsidR="00992664" w:rsidRPr="00020424" w:rsidRDefault="00992664" w:rsidP="00AC7ABB">
      <w:pPr>
        <w:pStyle w:val="libFootnote0"/>
        <w:rPr>
          <w:rtl/>
          <w:lang w:bidi="fa-IR"/>
        </w:rPr>
      </w:pPr>
      <w:r w:rsidRPr="00AC7ABB">
        <w:rPr>
          <w:rtl/>
        </w:rPr>
        <w:t>ولو ا</w:t>
      </w:r>
      <w:r w:rsidR="00AC7ABB">
        <w:rPr>
          <w:rFonts w:hint="cs"/>
          <w:rtl/>
        </w:rPr>
        <w:t>ُ</w:t>
      </w:r>
      <w:r w:rsidRPr="00AC7ABB">
        <w:rPr>
          <w:rtl/>
        </w:rPr>
        <w:t>جري هذا الخبر على حقيقته لزم مخالفته للإجماع ، فلابدّ من التأويل ؛ فحمله الشيخ في التهذيبين على اختصاصه بالسائل ومن حاله كحاله في أنّ بضاعته</w:t>
      </w:r>
      <w:r w:rsidR="00AC7ABB">
        <w:rPr>
          <w:rtl/>
        </w:rPr>
        <w:t xml:space="preserve"> لا تفي بنفقة عياله. وذكر العل</w:t>
      </w:r>
      <w:r w:rsidR="00AC7ABB">
        <w:rPr>
          <w:rFonts w:hint="cs"/>
          <w:rtl/>
        </w:rPr>
        <w:t>ّ</w:t>
      </w:r>
      <w:r w:rsidR="00AC7ABB">
        <w:rPr>
          <w:rtl/>
        </w:rPr>
        <w:t>ا</w:t>
      </w:r>
      <w:r w:rsidRPr="00AC7ABB">
        <w:rPr>
          <w:rtl/>
        </w:rPr>
        <w:t xml:space="preserve">مة وجهين آخرين : أحدهما احتمال أن يكون الرجال أو النساء من ذوي الأقارب وأطلق عليهم اسم الولد مجازاً بسبب مخالطتهم للأولاد ، ثانيهما : احتمال أنّه أراد الزكاة المندوبة. وفي </w:t>
      </w:r>
      <w:r w:rsidRPr="00DE76B9">
        <w:rPr>
          <w:rStyle w:val="libFootnoteBoldChar"/>
          <w:rtl/>
        </w:rPr>
        <w:t>المدارك</w:t>
      </w:r>
      <w:r w:rsidRPr="00AC7ABB">
        <w:rPr>
          <w:rtl/>
        </w:rPr>
        <w:t xml:space="preserve"> وجه آخر أيضاً وهو الطعن في السند بجهالة الراوي. راجع : </w:t>
      </w:r>
      <w:r w:rsidRPr="00AC7ABB">
        <w:rPr>
          <w:rStyle w:val="libFootnoteBoldChar"/>
          <w:rtl/>
        </w:rPr>
        <w:t>منتهى المطلب</w:t>
      </w:r>
      <w:r w:rsidRPr="00AC7ABB">
        <w:rPr>
          <w:rtl/>
        </w:rPr>
        <w:t xml:space="preserve"> ، ج 8 ، ص 367 ؛ </w:t>
      </w:r>
      <w:r w:rsidRPr="00DE76B9">
        <w:rPr>
          <w:rStyle w:val="libFootnoteBoldChar"/>
          <w:rtl/>
        </w:rPr>
        <w:t>مدارك الأحكام</w:t>
      </w:r>
      <w:r w:rsidRPr="00AC7ABB">
        <w:rPr>
          <w:rtl/>
        </w:rPr>
        <w:t xml:space="preserve"> ، ج 5 ، ص 246.</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56 ، ح 152 ؛ </w:t>
      </w:r>
      <w:r w:rsidR="00992664" w:rsidRPr="00FD6221">
        <w:rPr>
          <w:rStyle w:val="libFootnoteBoldChar"/>
          <w:rtl/>
        </w:rPr>
        <w:t>والاستبصار</w:t>
      </w:r>
      <w:r w:rsidR="00992664" w:rsidRPr="00020424">
        <w:rPr>
          <w:rtl/>
        </w:rPr>
        <w:t xml:space="preserve"> ، ج 2 ، ص 34 ، ح 102 ، معلّقاً عن الكليني </w:t>
      </w:r>
      <w:r w:rsidR="00AC7ABB">
        <w:rPr>
          <w:rFonts w:hint="cs"/>
          <w:rtl/>
        </w:rPr>
        <w:t>.</w:t>
      </w:r>
      <w:r w:rsidR="00992664" w:rsidRPr="0012008A">
        <w:rPr>
          <w:rStyle w:val="libFootnoteBoldChar"/>
          <w:rtl/>
        </w:rPr>
        <w:t>الوافي</w:t>
      </w:r>
      <w:r w:rsidR="00992664" w:rsidRPr="00020424">
        <w:rPr>
          <w:rtl/>
        </w:rPr>
        <w:t xml:space="preserve"> ، ج 10 ، ص 185 ، ح 9398 ؛ </w:t>
      </w:r>
      <w:r w:rsidR="00992664" w:rsidRPr="0012008A">
        <w:rPr>
          <w:rStyle w:val="libFootnoteBoldChar"/>
          <w:rtl/>
        </w:rPr>
        <w:t>الوسائل</w:t>
      </w:r>
      <w:r w:rsidR="00992664" w:rsidRPr="00020424">
        <w:rPr>
          <w:rtl/>
        </w:rPr>
        <w:t xml:space="preserve"> ، ج 9 ، ص 243 ، ح 11934.</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 أراد بعشر ماله الزكاة ، كما هو الظاهر من </w:t>
      </w:r>
      <w:r w:rsidR="00992664" w:rsidRPr="00DE76B9">
        <w:rPr>
          <w:rStyle w:val="libFootnoteBoldChar"/>
          <w:rtl/>
        </w:rPr>
        <w:t>الكافي</w:t>
      </w:r>
      <w:r w:rsidR="00992664" w:rsidRPr="00020424">
        <w:rPr>
          <w:rtl/>
        </w:rPr>
        <w:t xml:space="preserve"> ، فينبغي حمله على حال الضرورة ، أو يبنى على أنّ ولد الولد ممّن لا تجب نفقته ؛ لأنّه أورده في باب من لايجوز إعطاؤه من الزكاة من القرابة ، فإنّ في ذلك اشتباهاً. وإن أراد أن يشاور معه </w:t>
      </w:r>
      <w:r w:rsidR="00992664" w:rsidRPr="00D64ADA">
        <w:rPr>
          <w:rStyle w:val="libFootnoteAlaemChar"/>
          <w:rtl/>
        </w:rPr>
        <w:t>عليه‌السلام</w:t>
      </w:r>
      <w:r w:rsidR="00992664" w:rsidRPr="00020424">
        <w:rPr>
          <w:rtl/>
        </w:rPr>
        <w:t xml:space="preserve"> في هبة أو وصيّة ولم يكن سؤالاً عن الزكاة ، فلا ينافي ما قرّرناه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ابني</w:t>
      </w:r>
      <w:r w:rsidR="00992664">
        <w:rPr>
          <w:rtl/>
        </w:rPr>
        <w:t xml:space="preserve"> ».</w:t>
      </w:r>
      <w:r w:rsidR="00992664" w:rsidRPr="00020424">
        <w:rPr>
          <w:rtl/>
        </w:rPr>
        <w:t xml:space="preserve"> وفي حاشية « بث » : « أبي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185 ، ح 9399 ؛ </w:t>
      </w:r>
      <w:r w:rsidR="00992664" w:rsidRPr="0012008A">
        <w:rPr>
          <w:rStyle w:val="libFootnoteBoldChar"/>
          <w:rtl/>
        </w:rPr>
        <w:t>الوسائل</w:t>
      </w:r>
      <w:r w:rsidR="00992664" w:rsidRPr="00020424">
        <w:rPr>
          <w:rtl/>
        </w:rPr>
        <w:t xml:space="preserve"> ، ج 9 ، ص 243 ، ح 11935.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بف » وحاشية « بح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C7ABB">
      <w:pPr>
        <w:pStyle w:val="libNormal0"/>
        <w:rPr>
          <w:rtl/>
          <w:lang w:bidi="fa-IR"/>
        </w:rPr>
      </w:pPr>
      <w:r w:rsidRPr="00020424">
        <w:rPr>
          <w:rtl/>
          <w:lang w:bidi="fa-IR"/>
        </w:rPr>
        <w:lastRenderedPageBreak/>
        <w:t>أَبِي مُحَمَّدٍ الْوَابِشِيِّ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سَأَلَهُ بَعْضُ أَصْحَابِنَا ، عَنْ رَجُلٍ اشْتَرى أَبَاهُ مِنَ الزَّكَاةِ ؛ زَكَاةِ مَالِهِ</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اشْتَرى خَيْرَ رَقَبَةٍ ، لَابَأْسَ بِذلِكَ</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96173">
        <w:rPr>
          <w:rtl/>
        </w:rPr>
        <w:t>5934</w:t>
      </w:r>
      <w:r w:rsidRPr="001155DE">
        <w:rPr>
          <w:rStyle w:val="libBold2Char"/>
          <w:rtl/>
        </w:rPr>
        <w:t xml:space="preserve"> / 2.</w:t>
      </w:r>
      <w:r w:rsidRPr="00020424">
        <w:rPr>
          <w:rtl/>
          <w:lang w:bidi="fa-IR"/>
        </w:rPr>
        <w:t xml:space="preserve"> أَحْمَدُ بْنُ إِدْرِيسَ ، عَنْ مُحَمَّدِ بْنِ عَبْدِ الْجَبَّارِ ، عَنْ صَفْوَانَ بْنِ يَحْيى </w:t>
      </w:r>
      <w:r w:rsidRPr="00A91B96">
        <w:rPr>
          <w:rStyle w:val="libFootnotenumChar"/>
          <w:rtl/>
        </w:rPr>
        <w:t>(3)</w:t>
      </w:r>
      <w:r w:rsidRPr="00020424">
        <w:rPr>
          <w:rtl/>
          <w:lang w:bidi="fa-IR"/>
        </w:rPr>
        <w:t xml:space="preserve"> ، عَنْ إِسْحَاقَ بْنِ عَمَّارٍ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عَلى أَبِيهِ دَيْنٌ ، وَلِأَبِيهِ </w:t>
      </w:r>
      <w:r w:rsidRPr="00A91B96">
        <w:rPr>
          <w:rStyle w:val="libFootnotenumChar"/>
          <w:rtl/>
        </w:rPr>
        <w:t>(4)</w:t>
      </w:r>
      <w:r>
        <w:rPr>
          <w:rtl/>
          <w:lang w:bidi="fa-IR"/>
        </w:rPr>
        <w:t xml:space="preserve"> مَؤُونَةٌ ، أَ</w:t>
      </w:r>
      <w:r w:rsidRPr="00020424">
        <w:rPr>
          <w:rtl/>
          <w:lang w:bidi="fa-IR"/>
        </w:rPr>
        <w:t>يُعْطِي أَبَاهُ مِنْ زَكَاتِهِ يَقْضِي دَيْنَهُ</w:t>
      </w:r>
      <w:r>
        <w:rPr>
          <w:rtl/>
          <w:lang w:bidi="fa-IR"/>
        </w:rPr>
        <w:t>؟</w:t>
      </w:r>
    </w:p>
    <w:p w:rsidR="00992664" w:rsidRPr="00020424" w:rsidRDefault="00992664" w:rsidP="00992664">
      <w:pPr>
        <w:pStyle w:val="libNormal"/>
        <w:rPr>
          <w:rtl/>
          <w:lang w:bidi="fa-IR"/>
        </w:rPr>
      </w:pPr>
      <w:r w:rsidRPr="00020424">
        <w:rPr>
          <w:rtl/>
          <w:lang w:bidi="fa-IR"/>
        </w:rPr>
        <w:t>قَالَ : « نَعَمْ ، وَمَنْ أَحَقُّ مِنْ أَبِيهِ</w:t>
      </w:r>
      <w:r>
        <w:rPr>
          <w:rtl/>
          <w:lang w:bidi="fa-IR"/>
        </w:rPr>
        <w:t>؟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896173">
        <w:rPr>
          <w:rtl/>
        </w:rPr>
        <w:t>5935</w:t>
      </w:r>
      <w:r w:rsidRPr="001155DE">
        <w:rPr>
          <w:rStyle w:val="libBold2Char"/>
          <w:rtl/>
        </w:rPr>
        <w:t xml:space="preserve"> / 3.</w:t>
      </w:r>
      <w:r w:rsidRPr="00020424">
        <w:rPr>
          <w:rtl/>
          <w:lang w:bidi="fa-IR"/>
        </w:rPr>
        <w:t xml:space="preserve"> عَلِيُّ بْنُ إِبْرَاهِيمَ ، عَنْ أَبِيهِ ، عَنْ حَمَّادِ بْنِ عِيسى </w:t>
      </w:r>
      <w:r w:rsidRPr="00A91B96">
        <w:rPr>
          <w:rStyle w:val="libFootnotenumChar"/>
          <w:rtl/>
        </w:rPr>
        <w:t>(6)</w:t>
      </w:r>
      <w:r w:rsidRPr="00020424">
        <w:rPr>
          <w:rtl/>
          <w:lang w:bidi="fa-IR"/>
        </w:rPr>
        <w:t xml:space="preserve"> ، عَنْ حَرِيزٍ ، عَنْ زُرَارَةَ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حَلَّتْ عَلَيْهِ الزَّكَاةُ ، وَمَاتَ</w:t>
      </w:r>
      <w:r>
        <w:rPr>
          <w:rtl/>
          <w:lang w:bidi="fa-IR"/>
        </w:rPr>
        <w:t xml:space="preserve"> أَبُوهُ وَعَلَيْهِ دَيْنٌ ، أَ</w:t>
      </w:r>
      <w:r w:rsidRPr="00020424">
        <w:rPr>
          <w:rtl/>
          <w:lang w:bidi="fa-IR"/>
        </w:rPr>
        <w:t>يُؤَدِّي زَكَاتَهُ فِي دَيْنِ أَبِيهِ وَلِلِابْنِ مَالٌ كَثِيرٌ</w:t>
      </w:r>
      <w:r>
        <w:rPr>
          <w:rtl/>
          <w:lang w:bidi="fa-IR"/>
        </w:rPr>
        <w:t>؟</w:t>
      </w:r>
    </w:p>
    <w:p w:rsidR="00992664" w:rsidRPr="00020424" w:rsidRDefault="00992664" w:rsidP="00992664">
      <w:pPr>
        <w:pStyle w:val="libNormal"/>
        <w:rPr>
          <w:rtl/>
          <w:lang w:bidi="fa-IR"/>
        </w:rPr>
      </w:pPr>
      <w:r w:rsidRPr="00020424">
        <w:rPr>
          <w:rtl/>
          <w:lang w:bidi="fa-IR"/>
        </w:rPr>
        <w:t xml:space="preserve">فَقَالَ : « إِنْ كَانَ أَبُوهُ </w:t>
      </w:r>
      <w:r w:rsidRPr="00A91B96">
        <w:rPr>
          <w:rStyle w:val="libFootnotenumChar"/>
          <w:rtl/>
        </w:rPr>
        <w:t>(7)</w:t>
      </w:r>
      <w:r w:rsidRPr="00020424">
        <w:rPr>
          <w:rtl/>
          <w:lang w:bidi="fa-IR"/>
        </w:rPr>
        <w:t xml:space="preserve"> أَوْرَثَهُ مَالاً ، ثُمَّ ظَهَرَ عَلَيْهِ دَيْنٌ لَمْ يَعْلَمْ بِهِ يَوْمَئِذٍ فَيَقْضِيَهُ عَنْهُ ، قَضَاهُ مِنْ جَمِيعِ‌الْمِيرَاثِ ، وَلَمْ يَقْضِهِ مِنْ زَكَاتِهِ ، وَإِنْ لَمْ يَكُنْ أَوْرَثَهُ مَالاً </w:t>
      </w:r>
      <w:r w:rsidRPr="00A91B96">
        <w:rPr>
          <w:rStyle w:val="libFootnotenumChar"/>
          <w:rtl/>
        </w:rPr>
        <w:t>(8)</w:t>
      </w:r>
      <w:r w:rsidRPr="00020424">
        <w:rPr>
          <w:rtl/>
          <w:lang w:bidi="fa-IR"/>
        </w:rPr>
        <w:t xml:space="preserve"> ، لَمْ يَكُنْ أَحَدٌ‌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198 ، مع اختلاف يسير </w:t>
      </w:r>
      <w:r w:rsidR="00AC7ABB">
        <w:rPr>
          <w:rFonts w:hint="cs"/>
          <w:rtl/>
        </w:rPr>
        <w:t>.</w:t>
      </w:r>
      <w:r w:rsidR="00992664" w:rsidRPr="0012008A">
        <w:rPr>
          <w:rStyle w:val="libFootnoteBoldChar"/>
          <w:rtl/>
        </w:rPr>
        <w:t>الوافي</w:t>
      </w:r>
      <w:r w:rsidR="00992664" w:rsidRPr="00020424">
        <w:rPr>
          <w:rtl/>
        </w:rPr>
        <w:t xml:space="preserve"> ، ج 10 ، ص 180 ، ح 9389 ؛ </w:t>
      </w:r>
      <w:r w:rsidR="00992664" w:rsidRPr="0012008A">
        <w:rPr>
          <w:rStyle w:val="libFootnoteBoldChar"/>
          <w:rtl/>
        </w:rPr>
        <w:t>الوسائل</w:t>
      </w:r>
      <w:r w:rsidR="00992664" w:rsidRPr="00020424">
        <w:rPr>
          <w:rtl/>
        </w:rPr>
        <w:t xml:space="preserve"> ، ج 9 ، ص 251 ، ح 11951.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بر ، بف » </w:t>
      </w:r>
      <w:r w:rsidR="00992664" w:rsidRPr="00515444">
        <w:rPr>
          <w:rStyle w:val="libFootnoteBoldChar"/>
          <w:rtl/>
        </w:rPr>
        <w:t>والوافي</w:t>
      </w:r>
      <w:r w:rsidR="00992664" w:rsidRPr="00020424">
        <w:rPr>
          <w:rtl/>
        </w:rPr>
        <w:t xml:space="preserve"> : « ولابنه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180 ، ح 9390 ؛ </w:t>
      </w:r>
      <w:r w:rsidR="00992664" w:rsidRPr="0012008A">
        <w:rPr>
          <w:rStyle w:val="libFootnoteBoldChar"/>
          <w:rtl/>
        </w:rPr>
        <w:t>الوسائل</w:t>
      </w:r>
      <w:r w:rsidR="00992664" w:rsidRPr="00020424">
        <w:rPr>
          <w:rtl/>
        </w:rPr>
        <w:t xml:space="preserve"> ، ج 9 ، ص 250 ، ح 11950.</w:t>
      </w:r>
    </w:p>
    <w:tbl>
      <w:tblPr>
        <w:tblStyle w:val="TableGrid"/>
        <w:bidiVisual/>
        <w:tblW w:w="0" w:type="auto"/>
        <w:tblLook w:val="04A0" w:firstRow="1" w:lastRow="0" w:firstColumn="1" w:lastColumn="0" w:noHBand="0" w:noVBand="1"/>
      </w:tblPr>
      <w:tblGrid>
        <w:gridCol w:w="4006"/>
        <w:gridCol w:w="4006"/>
      </w:tblGrid>
      <w:tr w:rsidR="00AC7ABB" w:rsidTr="00AC7ABB">
        <w:tc>
          <w:tcPr>
            <w:tcW w:w="4006" w:type="dxa"/>
          </w:tcPr>
          <w:p w:rsidR="00AC7ABB" w:rsidRDefault="00AC7ABB" w:rsidP="00992664">
            <w:pPr>
              <w:pStyle w:val="libFootnote0"/>
              <w:rPr>
                <w:rtl/>
              </w:rPr>
            </w:pPr>
            <w:r>
              <w:rPr>
                <w:rtl/>
              </w:rPr>
              <w:t xml:space="preserve">(6). </w:t>
            </w:r>
            <w:r w:rsidRPr="00020424">
              <w:rPr>
                <w:rtl/>
              </w:rPr>
              <w:t>في « بر » :</w:t>
            </w:r>
            <w:r>
              <w:rPr>
                <w:rtl/>
              </w:rPr>
              <w:t xml:space="preserve"> - </w:t>
            </w:r>
            <w:r w:rsidRPr="00020424">
              <w:rPr>
                <w:rtl/>
              </w:rPr>
              <w:t>« بن عيسى</w:t>
            </w:r>
            <w:r>
              <w:rPr>
                <w:rtl/>
              </w:rPr>
              <w:t xml:space="preserve"> ».</w:t>
            </w:r>
          </w:p>
        </w:tc>
        <w:tc>
          <w:tcPr>
            <w:tcW w:w="4006" w:type="dxa"/>
          </w:tcPr>
          <w:p w:rsidR="00AC7ABB" w:rsidRDefault="00AC7ABB" w:rsidP="00992664">
            <w:pPr>
              <w:pStyle w:val="libFootnote0"/>
              <w:rPr>
                <w:rtl/>
              </w:rPr>
            </w:pPr>
            <w:r>
              <w:rPr>
                <w:rtl/>
              </w:rPr>
              <w:t xml:space="preserve">(7). </w:t>
            </w:r>
            <w:r w:rsidRPr="00020424">
              <w:rPr>
                <w:rtl/>
              </w:rPr>
              <w:t>في « ى » :</w:t>
            </w:r>
            <w:r>
              <w:rPr>
                <w:rtl/>
              </w:rPr>
              <w:t xml:space="preserve"> - </w:t>
            </w:r>
            <w:r w:rsidRPr="00020424">
              <w:rPr>
                <w:rtl/>
              </w:rPr>
              <w:t>« أبوه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ماله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C7ABB">
      <w:pPr>
        <w:pStyle w:val="libNormal0"/>
        <w:rPr>
          <w:rtl/>
          <w:lang w:bidi="fa-IR"/>
        </w:rPr>
      </w:pPr>
      <w:r w:rsidRPr="00020424">
        <w:rPr>
          <w:rtl/>
          <w:lang w:bidi="fa-IR"/>
        </w:rPr>
        <w:lastRenderedPageBreak/>
        <w:t xml:space="preserve">أَحَقَّ بِزَكَاتِهِ مِنْ دَيْنِ أَبِيهِ ، فَإِذَا أَدَّاهَا فِي دَيْنِ أَبِيهِ عَلى هذِهِ </w:t>
      </w:r>
      <w:r w:rsidRPr="00A91B96">
        <w:rPr>
          <w:rStyle w:val="libFootnotenumChar"/>
          <w:rtl/>
        </w:rPr>
        <w:t>(1)</w:t>
      </w:r>
      <w:r w:rsidRPr="00020424">
        <w:rPr>
          <w:rtl/>
          <w:lang w:bidi="fa-IR"/>
        </w:rPr>
        <w:t xml:space="preserve"> الْحَالِ </w:t>
      </w:r>
      <w:r w:rsidRPr="00A91B96">
        <w:rPr>
          <w:rStyle w:val="libFootnotenumChar"/>
          <w:rtl/>
        </w:rPr>
        <w:t>(2)</w:t>
      </w:r>
      <w:r w:rsidRPr="00020424">
        <w:rPr>
          <w:rtl/>
          <w:lang w:bidi="fa-IR"/>
        </w:rPr>
        <w:t xml:space="preserve"> ، أَجْزَأَتْ عَنْهُ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118" w:name="_Toc345172756"/>
      <w:bookmarkStart w:id="119" w:name="_Toc464562572"/>
      <w:bookmarkStart w:id="120" w:name="_Toc44599875"/>
      <w:r w:rsidRPr="00020424">
        <w:rPr>
          <w:rtl/>
          <w:lang w:bidi="fa-IR"/>
        </w:rPr>
        <w:t>35</w:t>
      </w:r>
      <w:r>
        <w:rPr>
          <w:rtl/>
          <w:lang w:bidi="fa-IR"/>
        </w:rPr>
        <w:t xml:space="preserve"> </w:t>
      </w:r>
      <w:r w:rsidR="009B673F">
        <w:rPr>
          <w:rtl/>
          <w:lang w:bidi="fa-IR"/>
        </w:rPr>
        <w:t>-</w:t>
      </w:r>
      <w:r>
        <w:rPr>
          <w:rtl/>
          <w:lang w:bidi="fa-IR"/>
        </w:rPr>
        <w:t xml:space="preserve"> </w:t>
      </w:r>
      <w:r w:rsidRPr="00020424">
        <w:rPr>
          <w:rtl/>
          <w:lang w:bidi="fa-IR"/>
        </w:rPr>
        <w:t xml:space="preserve">بَابُ الزَّكَاةِ تُبْعَثُ </w:t>
      </w:r>
      <w:r w:rsidRPr="00A91B96">
        <w:rPr>
          <w:rStyle w:val="libFootnotenumChar"/>
          <w:rtl/>
        </w:rPr>
        <w:t>(4)</w:t>
      </w:r>
      <w:r>
        <w:rPr>
          <w:rtl/>
        </w:rPr>
        <w:t xml:space="preserve"> </w:t>
      </w:r>
      <w:r w:rsidRPr="00020424">
        <w:rPr>
          <w:rtl/>
          <w:lang w:bidi="fa-IR"/>
        </w:rPr>
        <w:t xml:space="preserve">مِنْ بَلَدٍ إِلى بَلَدٍ أَوْ تُدْفَعُ </w:t>
      </w:r>
      <w:r w:rsidRPr="00A91B96">
        <w:rPr>
          <w:rStyle w:val="libFootnotenumChar"/>
          <w:rtl/>
        </w:rPr>
        <w:t>(5)</w:t>
      </w:r>
      <w:r>
        <w:rPr>
          <w:rtl/>
        </w:rPr>
        <w:t xml:space="preserve"> </w:t>
      </w:r>
      <w:r w:rsidRPr="00020424">
        <w:rPr>
          <w:rtl/>
          <w:lang w:bidi="fa-IR"/>
        </w:rPr>
        <w:t xml:space="preserve">إِلى مَنْ يَقْسِمُهَا فَتَضِيعُ </w:t>
      </w:r>
      <w:r w:rsidRPr="00A91B96">
        <w:rPr>
          <w:rStyle w:val="libFootnotenumChar"/>
          <w:rtl/>
        </w:rPr>
        <w:t>(6)</w:t>
      </w:r>
      <w:r w:rsidRPr="00020424">
        <w:rPr>
          <w:rtl/>
          <w:lang w:bidi="fa-IR"/>
        </w:rPr>
        <w:t xml:space="preserve"> ‌</w:t>
      </w:r>
      <w:bookmarkEnd w:id="118"/>
      <w:bookmarkEnd w:id="119"/>
      <w:bookmarkEnd w:id="120"/>
    </w:p>
    <w:p w:rsidR="00992664" w:rsidRPr="00020424" w:rsidRDefault="00992664" w:rsidP="00992664">
      <w:pPr>
        <w:pStyle w:val="libNormal"/>
        <w:rPr>
          <w:rtl/>
          <w:lang w:bidi="fa-IR"/>
        </w:rPr>
      </w:pPr>
      <w:r w:rsidRPr="00896173">
        <w:rPr>
          <w:rtl/>
        </w:rPr>
        <w:t>5936</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(7)</w:t>
      </w:r>
      <w:r w:rsidRPr="00020424">
        <w:rPr>
          <w:rtl/>
          <w:lang w:bidi="fa-IR"/>
        </w:rPr>
        <w:t xml:space="preserve"> ، عَنْ حَرِيزٍ </w:t>
      </w:r>
      <w:r w:rsidRPr="00A91B96">
        <w:rPr>
          <w:rStyle w:val="libFootnotenumChar"/>
          <w:rtl/>
        </w:rPr>
        <w:t>(8)</w:t>
      </w:r>
      <w:r w:rsidRPr="00020424">
        <w:rPr>
          <w:rtl/>
          <w:lang w:bidi="fa-IR"/>
        </w:rPr>
        <w:t xml:space="preserve"> ، عَنْ مُحَمَّدِ بْنِ مُسْلِمٍ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بَعَثَ </w:t>
      </w:r>
      <w:r w:rsidRPr="00A91B96">
        <w:rPr>
          <w:rStyle w:val="libFootnotenumChar"/>
          <w:rtl/>
        </w:rPr>
        <w:t>(9)</w:t>
      </w:r>
      <w:r w:rsidRPr="00020424">
        <w:rPr>
          <w:rtl/>
          <w:lang w:bidi="fa-IR"/>
        </w:rPr>
        <w:t xml:space="preserve"> بِزَكَاةِ مَالِهِ لِتُقْسَمَ </w:t>
      </w:r>
      <w:r w:rsidRPr="00A91B96">
        <w:rPr>
          <w:rStyle w:val="libFootnotenumChar"/>
          <w:rtl/>
        </w:rPr>
        <w:t>(10)</w:t>
      </w:r>
      <w:r w:rsidRPr="00020424">
        <w:rPr>
          <w:rtl/>
          <w:lang w:bidi="fa-IR"/>
        </w:rPr>
        <w:t xml:space="preserve"> ، فَضَاعَتْ ، هَلْ عَلَيْهِ ضَمَانُهَا حَتّى تُقْسَمَ </w:t>
      </w:r>
      <w:r w:rsidRPr="00A91B96">
        <w:rPr>
          <w:rStyle w:val="libFootnotenumChar"/>
          <w:rtl/>
        </w:rPr>
        <w:t>(11)</w:t>
      </w:r>
      <w:r>
        <w:rPr>
          <w:rtl/>
          <w:lang w:bidi="fa-IR"/>
        </w:rPr>
        <w:t>؟</w:t>
      </w:r>
    </w:p>
    <w:p w:rsidR="00992664" w:rsidRPr="00020424" w:rsidRDefault="00992664" w:rsidP="00992664">
      <w:pPr>
        <w:pStyle w:val="libNormal"/>
        <w:rPr>
          <w:rtl/>
          <w:lang w:bidi="fa-IR"/>
        </w:rPr>
      </w:pPr>
      <w:r w:rsidRPr="00020424">
        <w:rPr>
          <w:rtl/>
          <w:lang w:bidi="fa-IR"/>
        </w:rPr>
        <w:t xml:space="preserve">فَقَالَ : « إِذَا وَجَدَ لَهَا مَوْضِعاً </w:t>
      </w:r>
      <w:r w:rsidRPr="00A91B96">
        <w:rPr>
          <w:rStyle w:val="libFootnotenumChar"/>
          <w:rtl/>
        </w:rPr>
        <w:t>(12)</w:t>
      </w:r>
      <w:r w:rsidRPr="00020424">
        <w:rPr>
          <w:rtl/>
          <w:lang w:bidi="fa-IR"/>
        </w:rPr>
        <w:t xml:space="preserve"> ، فَلَمْ يَدْفَعْهَا </w:t>
      </w:r>
      <w:r w:rsidRPr="00A91B96">
        <w:rPr>
          <w:rStyle w:val="libFootnotenumChar"/>
          <w:rtl/>
        </w:rPr>
        <w:t>(13)</w:t>
      </w:r>
      <w:r w:rsidRPr="00020424">
        <w:rPr>
          <w:rtl/>
          <w:lang w:bidi="fa-IR"/>
        </w:rPr>
        <w:t xml:space="preserve"> ، فَهُوَ لَهَا ضَامِنٌ حَتّى يَدْفَعَهَا ، وَإِنْ </w:t>
      </w:r>
      <w:r w:rsidRPr="00A91B96">
        <w:rPr>
          <w:rStyle w:val="libFootnotenumChar"/>
          <w:rtl/>
        </w:rPr>
        <w:t>(14)</w:t>
      </w:r>
      <w:r w:rsidRPr="00020424">
        <w:rPr>
          <w:rtl/>
          <w:lang w:bidi="fa-IR"/>
        </w:rPr>
        <w:t xml:space="preserve"> لَمْ يَجِدْ لَهَا مَنْ يَدْفَعُهَا إِلَيْهِ ، فَبَعَثَ بِهَا إِلى أَهْلِهَا ، فَلَيْسَ عَلَيْهِ ضَمَانٌ ؛ لِأَنَّهَا قَدْ </w:t>
      </w:r>
      <w:r w:rsidRPr="00A91B96">
        <w:rPr>
          <w:rStyle w:val="libFootnotenumChar"/>
          <w:rtl/>
        </w:rPr>
        <w:t>(15)</w:t>
      </w:r>
      <w:r w:rsidRPr="00020424">
        <w:rPr>
          <w:rtl/>
          <w:lang w:bidi="fa-IR"/>
        </w:rPr>
        <w:t xml:space="preserve"> خَرَجَتْ مِنْ يَدِهِ ، وَكَذلِكَ الْوَصِيُّ الَّذِي يُوصى إِلَيْهِ يَكُونُ ضَامِناً لِمَا دُفِعَ إِلَيْهِ إِذَا وَجَدَ رَبَّهُ الَّذِي أُمِرَ بِدَفْعِهِ إِلَيْهِ ، فَإِنْ </w:t>
      </w:r>
      <w:r w:rsidRPr="00A91B96">
        <w:rPr>
          <w:rStyle w:val="libFootnotenumChar"/>
          <w:rtl/>
        </w:rPr>
        <w:t>(16)</w:t>
      </w:r>
      <w:r w:rsidRPr="00020424">
        <w:rPr>
          <w:rtl/>
          <w:lang w:bidi="fa-IR"/>
        </w:rPr>
        <w:t xml:space="preserve"> لَمْ يَجِدْ </w:t>
      </w:r>
      <w:r w:rsidRPr="00A91B96">
        <w:rPr>
          <w:rStyle w:val="libFootnotenumChar"/>
          <w:rtl/>
        </w:rPr>
        <w:t>(17)</w:t>
      </w:r>
      <w:r w:rsidRPr="00020424">
        <w:rPr>
          <w:rtl/>
          <w:lang w:bidi="fa-IR"/>
        </w:rPr>
        <w:t xml:space="preserve"> فَلَيْسَ عَلَيْهِ ضَمَانٌ</w:t>
      </w:r>
      <w:r>
        <w:rPr>
          <w:rtl/>
          <w:lang w:bidi="fa-IR"/>
        </w:rPr>
        <w:t xml:space="preserve"> ».</w:t>
      </w:r>
      <w:r w:rsidRPr="00020424">
        <w:rPr>
          <w:rtl/>
          <w:lang w:bidi="fa-IR"/>
        </w:rPr>
        <w:t xml:space="preserve"> </w:t>
      </w:r>
      <w:r w:rsidRPr="00A91B96">
        <w:rPr>
          <w:rStyle w:val="libFootnotenumChar"/>
          <w:rtl/>
        </w:rPr>
        <w:t>(18)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B2CD2" w:rsidTr="00AB2CD2">
        <w:tc>
          <w:tcPr>
            <w:tcW w:w="4006" w:type="dxa"/>
          </w:tcPr>
          <w:p w:rsidR="00AB2CD2" w:rsidRDefault="00AB2CD2" w:rsidP="00992664">
            <w:pPr>
              <w:pStyle w:val="libFootnote0"/>
              <w:rPr>
                <w:rtl/>
              </w:rPr>
            </w:pPr>
            <w:r>
              <w:rPr>
                <w:rtl/>
              </w:rPr>
              <w:t xml:space="preserve">(1). </w:t>
            </w:r>
            <w:r w:rsidRPr="00020424">
              <w:rPr>
                <w:rtl/>
              </w:rPr>
              <w:t xml:space="preserve">في « بر ، بف » </w:t>
            </w:r>
            <w:r w:rsidRPr="00515444">
              <w:rPr>
                <w:rStyle w:val="libFootnoteBoldChar"/>
                <w:rtl/>
              </w:rPr>
              <w:t>والوافي</w:t>
            </w:r>
            <w:r w:rsidRPr="00020424">
              <w:rPr>
                <w:rtl/>
              </w:rPr>
              <w:t xml:space="preserve"> : « هذا</w:t>
            </w:r>
            <w:r>
              <w:rPr>
                <w:rtl/>
              </w:rPr>
              <w:t xml:space="preserve"> ».</w:t>
            </w:r>
          </w:p>
        </w:tc>
        <w:tc>
          <w:tcPr>
            <w:tcW w:w="4006" w:type="dxa"/>
          </w:tcPr>
          <w:p w:rsidR="00AB2CD2" w:rsidRDefault="00AB2CD2" w:rsidP="00992664">
            <w:pPr>
              <w:pStyle w:val="libFootnote0"/>
              <w:rPr>
                <w:rtl/>
              </w:rPr>
            </w:pPr>
            <w:r>
              <w:rPr>
                <w:rtl/>
              </w:rPr>
              <w:t xml:space="preserve">(2). </w:t>
            </w:r>
            <w:r w:rsidRPr="00020424">
              <w:rPr>
                <w:rtl/>
              </w:rPr>
              <w:t>في « بخ » : « الحالة</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180 ، ح 9391 ؛ </w:t>
      </w:r>
      <w:r w:rsidR="00992664" w:rsidRPr="0012008A">
        <w:rPr>
          <w:rStyle w:val="libFootnoteBoldChar"/>
          <w:rtl/>
        </w:rPr>
        <w:t>الوسائل</w:t>
      </w:r>
      <w:r w:rsidR="00992664" w:rsidRPr="00020424">
        <w:rPr>
          <w:rtl/>
        </w:rPr>
        <w:t xml:space="preserve"> ، ج 9 ، ص 250 ، ح 11949.</w:t>
      </w:r>
    </w:p>
    <w:tbl>
      <w:tblPr>
        <w:tblStyle w:val="TableGrid"/>
        <w:bidiVisual/>
        <w:tblW w:w="0" w:type="auto"/>
        <w:tblLook w:val="04A0" w:firstRow="1" w:lastRow="0" w:firstColumn="1" w:lastColumn="0" w:noHBand="0" w:noVBand="1"/>
      </w:tblPr>
      <w:tblGrid>
        <w:gridCol w:w="4006"/>
        <w:gridCol w:w="4006"/>
      </w:tblGrid>
      <w:tr w:rsidR="00AB2CD2" w:rsidTr="00AB2CD2">
        <w:tc>
          <w:tcPr>
            <w:tcW w:w="4006" w:type="dxa"/>
          </w:tcPr>
          <w:p w:rsidR="00AB2CD2" w:rsidRDefault="00AB2CD2" w:rsidP="00992664">
            <w:pPr>
              <w:pStyle w:val="libFootnote0"/>
              <w:rPr>
                <w:rtl/>
              </w:rPr>
            </w:pPr>
            <w:r>
              <w:rPr>
                <w:rtl/>
              </w:rPr>
              <w:t xml:space="preserve">(4). </w:t>
            </w:r>
            <w:r w:rsidRPr="00020424">
              <w:rPr>
                <w:rtl/>
              </w:rPr>
              <w:t>في « ظ » : « يبعث</w:t>
            </w:r>
            <w:r>
              <w:rPr>
                <w:rtl/>
              </w:rPr>
              <w:t xml:space="preserve"> ».</w:t>
            </w:r>
          </w:p>
        </w:tc>
        <w:tc>
          <w:tcPr>
            <w:tcW w:w="4006" w:type="dxa"/>
          </w:tcPr>
          <w:p w:rsidR="00AB2CD2" w:rsidRDefault="00AB2CD2" w:rsidP="00992664">
            <w:pPr>
              <w:pStyle w:val="libFootnote0"/>
              <w:rPr>
                <w:rtl/>
              </w:rPr>
            </w:pPr>
            <w:r>
              <w:rPr>
                <w:rtl/>
              </w:rPr>
              <w:t>(5). في «ظ» : «</w:t>
            </w:r>
            <w:r w:rsidRPr="00020424">
              <w:rPr>
                <w:rtl/>
              </w:rPr>
              <w:t>يدفع</w:t>
            </w:r>
            <w:r>
              <w:rPr>
                <w:rtl/>
              </w:rPr>
              <w:t>». وفي «ى</w:t>
            </w:r>
            <w:r w:rsidRPr="00020424">
              <w:rPr>
                <w:rtl/>
              </w:rPr>
              <w:t>» : « يدفع به</w:t>
            </w:r>
            <w:r>
              <w:rPr>
                <w:rtl/>
              </w:rPr>
              <w:t xml:space="preserve"> ».</w:t>
            </w:r>
          </w:p>
        </w:tc>
      </w:tr>
      <w:tr w:rsidR="00AB2CD2" w:rsidTr="00AB2CD2">
        <w:tc>
          <w:tcPr>
            <w:tcW w:w="4006" w:type="dxa"/>
          </w:tcPr>
          <w:p w:rsidR="00AB2CD2" w:rsidRDefault="00AB2CD2" w:rsidP="00992664">
            <w:pPr>
              <w:pStyle w:val="libFootnote0"/>
              <w:rPr>
                <w:rtl/>
              </w:rPr>
            </w:pPr>
            <w:r>
              <w:rPr>
                <w:rtl/>
              </w:rPr>
              <w:t xml:space="preserve">(6). </w:t>
            </w:r>
            <w:r w:rsidRPr="00020424">
              <w:rPr>
                <w:rtl/>
              </w:rPr>
              <w:t>في « بخ » : « فيضيع</w:t>
            </w:r>
            <w:r>
              <w:rPr>
                <w:rtl/>
              </w:rPr>
              <w:t xml:space="preserve"> ».</w:t>
            </w:r>
          </w:p>
        </w:tc>
        <w:tc>
          <w:tcPr>
            <w:tcW w:w="4006" w:type="dxa"/>
          </w:tcPr>
          <w:p w:rsidR="00AB2CD2" w:rsidRDefault="00AB2CD2" w:rsidP="00992664">
            <w:pPr>
              <w:pStyle w:val="libFootnote0"/>
              <w:rPr>
                <w:rtl/>
              </w:rPr>
            </w:pPr>
            <w:r>
              <w:rPr>
                <w:rtl/>
              </w:rPr>
              <w:t>(7). في«بر» وحاشية «بح»</w:t>
            </w:r>
            <w:r w:rsidRPr="00515444">
              <w:rPr>
                <w:rStyle w:val="libFootnoteBoldChar"/>
                <w:rtl/>
              </w:rPr>
              <w:t>والتهذيب</w:t>
            </w:r>
            <w:r w:rsidRPr="00020424">
              <w:rPr>
                <w:rtl/>
              </w:rPr>
              <w:t>:</w:t>
            </w:r>
            <w:r>
              <w:rPr>
                <w:rtl/>
              </w:rPr>
              <w:t>-«</w:t>
            </w:r>
            <w:r w:rsidRPr="00020424">
              <w:rPr>
                <w:rtl/>
              </w:rPr>
              <w:t>بن عيسى</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النسخ </w:t>
      </w:r>
      <w:r w:rsidR="00992664" w:rsidRPr="00EB1FD9">
        <w:rPr>
          <w:rStyle w:val="libFootnoteBoldChar"/>
          <w:rtl/>
        </w:rPr>
        <w:t>والوسائل</w:t>
      </w:r>
      <w:r w:rsidR="00992664" w:rsidRPr="00AB2CD2">
        <w:rPr>
          <w:rtl/>
        </w:rPr>
        <w:t xml:space="preserve"> </w:t>
      </w:r>
      <w:r w:rsidR="00992664" w:rsidRPr="00515444">
        <w:rPr>
          <w:rStyle w:val="libFootnoteBoldChar"/>
          <w:rtl/>
        </w:rPr>
        <w:t>والتهذيب</w:t>
      </w:r>
      <w:r w:rsidR="00992664" w:rsidRPr="00020424">
        <w:rPr>
          <w:rtl/>
        </w:rPr>
        <w:t>. وفي المطبوع : + « [ عن زرارة ]</w:t>
      </w:r>
      <w:r w:rsidR="00992664">
        <w:rPr>
          <w:rtl/>
        </w:rPr>
        <w:t xml:space="preserve"> ».</w:t>
      </w:r>
    </w:p>
    <w:p w:rsidR="00992664" w:rsidRPr="00020424" w:rsidRDefault="00992664" w:rsidP="00992664">
      <w:pPr>
        <w:pStyle w:val="libFootnote0"/>
        <w:rPr>
          <w:rtl/>
          <w:lang w:bidi="fa-IR"/>
        </w:rPr>
      </w:pPr>
      <w:r w:rsidRPr="00AB2CD2">
        <w:rPr>
          <w:rtl/>
        </w:rPr>
        <w:t xml:space="preserve">وقد توسّط حريز [ بن عبدالله ] بين حمّاد [ بن عيسى ] وبين محمّد بن مسلم في كثيرٍ من الأسناد جدّاً. راجع : </w:t>
      </w:r>
      <w:r w:rsidRPr="00DE76B9">
        <w:rPr>
          <w:rStyle w:val="libFootnoteBoldChar"/>
          <w:rtl/>
        </w:rPr>
        <w:t>معجم رجال الحديث</w:t>
      </w:r>
      <w:r w:rsidRPr="00AB2CD2">
        <w:rPr>
          <w:rtl/>
        </w:rPr>
        <w:t xml:space="preserve"> ، ج 4 ، ص 484 </w:t>
      </w:r>
      <w:r w:rsidR="009B673F" w:rsidRPr="00AB2CD2">
        <w:rPr>
          <w:rtl/>
        </w:rPr>
        <w:t>-</w:t>
      </w:r>
      <w:r w:rsidRPr="00AB2CD2">
        <w:rPr>
          <w:rtl/>
        </w:rPr>
        <w:t xml:space="preserve"> 488 ؛ وص 495.</w:t>
      </w:r>
    </w:p>
    <w:tbl>
      <w:tblPr>
        <w:tblStyle w:val="TableGrid"/>
        <w:bidiVisual/>
        <w:tblW w:w="0" w:type="auto"/>
        <w:tblLook w:val="04A0" w:firstRow="1" w:lastRow="0" w:firstColumn="1" w:lastColumn="0" w:noHBand="0" w:noVBand="1"/>
      </w:tblPr>
      <w:tblGrid>
        <w:gridCol w:w="4006"/>
        <w:gridCol w:w="4006"/>
      </w:tblGrid>
      <w:tr w:rsidR="00AB2CD2" w:rsidTr="00AB2CD2">
        <w:tc>
          <w:tcPr>
            <w:tcW w:w="4006" w:type="dxa"/>
          </w:tcPr>
          <w:p w:rsidR="00AB2CD2" w:rsidRDefault="00AB2CD2" w:rsidP="00992664">
            <w:pPr>
              <w:pStyle w:val="libFootnote0"/>
              <w:rPr>
                <w:rtl/>
              </w:rPr>
            </w:pPr>
            <w:r>
              <w:rPr>
                <w:rtl/>
              </w:rPr>
              <w:t xml:space="preserve">(9). </w:t>
            </w:r>
            <w:r w:rsidRPr="00020424">
              <w:rPr>
                <w:rtl/>
              </w:rPr>
              <w:t>في « بح » : « يبعث</w:t>
            </w:r>
            <w:r>
              <w:rPr>
                <w:rtl/>
              </w:rPr>
              <w:t xml:space="preserve"> ».</w:t>
            </w:r>
          </w:p>
        </w:tc>
        <w:tc>
          <w:tcPr>
            <w:tcW w:w="4006" w:type="dxa"/>
          </w:tcPr>
          <w:p w:rsidR="00AB2CD2" w:rsidRDefault="00AB2CD2" w:rsidP="00992664">
            <w:pPr>
              <w:pStyle w:val="libFootnote0"/>
              <w:rPr>
                <w:rtl/>
              </w:rPr>
            </w:pPr>
            <w:r>
              <w:rPr>
                <w:rtl/>
              </w:rPr>
              <w:t xml:space="preserve">(10). </w:t>
            </w:r>
            <w:r w:rsidRPr="00020424">
              <w:rPr>
                <w:rtl/>
              </w:rPr>
              <w:t xml:space="preserve">في </w:t>
            </w:r>
            <w:r w:rsidRPr="00AB2CD2">
              <w:rPr>
                <w:rtl/>
              </w:rPr>
              <w:t>الوافي</w:t>
            </w:r>
            <w:r w:rsidRPr="00020424">
              <w:rPr>
                <w:rtl/>
              </w:rPr>
              <w:t xml:space="preserve"> : « ليقسم</w:t>
            </w:r>
            <w:r>
              <w:rPr>
                <w:rtl/>
              </w:rPr>
              <w:t xml:space="preserve"> ».</w:t>
            </w:r>
          </w:p>
        </w:tc>
      </w:tr>
      <w:tr w:rsidR="00AB2CD2" w:rsidTr="00AB2CD2">
        <w:tc>
          <w:tcPr>
            <w:tcW w:w="4006" w:type="dxa"/>
          </w:tcPr>
          <w:p w:rsidR="00AB2CD2" w:rsidRDefault="00AB2CD2" w:rsidP="00992664">
            <w:pPr>
              <w:pStyle w:val="libFootnote0"/>
              <w:rPr>
                <w:rtl/>
              </w:rPr>
            </w:pPr>
            <w:r>
              <w:rPr>
                <w:rtl/>
              </w:rPr>
              <w:t xml:space="preserve">(11). </w:t>
            </w:r>
            <w:r w:rsidRPr="00020424">
              <w:rPr>
                <w:rtl/>
              </w:rPr>
              <w:t xml:space="preserve">في « بح » </w:t>
            </w:r>
            <w:r w:rsidRPr="00515444">
              <w:rPr>
                <w:rStyle w:val="libFootnoteBoldChar"/>
                <w:rtl/>
              </w:rPr>
              <w:t>والوافي</w:t>
            </w:r>
            <w:r w:rsidRPr="00020424">
              <w:rPr>
                <w:rtl/>
              </w:rPr>
              <w:t xml:space="preserve"> : « حتّى يقسم</w:t>
            </w:r>
            <w:r>
              <w:rPr>
                <w:rtl/>
              </w:rPr>
              <w:t xml:space="preserve"> ».</w:t>
            </w:r>
          </w:p>
        </w:tc>
        <w:tc>
          <w:tcPr>
            <w:tcW w:w="4006" w:type="dxa"/>
          </w:tcPr>
          <w:p w:rsidR="00AB2CD2" w:rsidRDefault="00AB2CD2" w:rsidP="00992664">
            <w:pPr>
              <w:pStyle w:val="libFootnote0"/>
              <w:rPr>
                <w:rtl/>
              </w:rPr>
            </w:pPr>
            <w:r>
              <w:rPr>
                <w:rtl/>
              </w:rPr>
              <w:t xml:space="preserve">(12). </w:t>
            </w:r>
            <w:r w:rsidRPr="00020424">
              <w:rPr>
                <w:rtl/>
              </w:rPr>
              <w:t>في « بح » : « موضعها</w:t>
            </w:r>
            <w:r>
              <w:rPr>
                <w:rtl/>
              </w:rPr>
              <w:t xml:space="preserve"> ».</w:t>
            </w:r>
          </w:p>
        </w:tc>
      </w:tr>
      <w:tr w:rsidR="00AB2CD2" w:rsidTr="00AB2CD2">
        <w:tc>
          <w:tcPr>
            <w:tcW w:w="4006" w:type="dxa"/>
          </w:tcPr>
          <w:p w:rsidR="00AB2CD2" w:rsidRDefault="00AB2CD2" w:rsidP="00992664">
            <w:pPr>
              <w:pStyle w:val="libFootnote0"/>
              <w:rPr>
                <w:rtl/>
              </w:rPr>
            </w:pPr>
            <w:r>
              <w:rPr>
                <w:rtl/>
              </w:rPr>
              <w:t xml:space="preserve">(13). </w:t>
            </w:r>
            <w:r w:rsidRPr="00020424">
              <w:rPr>
                <w:rtl/>
              </w:rPr>
              <w:t xml:space="preserve">في « بف » </w:t>
            </w:r>
            <w:r w:rsidRPr="00515444">
              <w:rPr>
                <w:rStyle w:val="libFootnoteBoldChar"/>
                <w:rtl/>
              </w:rPr>
              <w:t>والوافي</w:t>
            </w:r>
            <w:r w:rsidRPr="00020424">
              <w:rPr>
                <w:rtl/>
              </w:rPr>
              <w:t xml:space="preserve"> : + « إليه</w:t>
            </w:r>
            <w:r>
              <w:rPr>
                <w:rtl/>
              </w:rPr>
              <w:t xml:space="preserve"> ».</w:t>
            </w:r>
          </w:p>
        </w:tc>
        <w:tc>
          <w:tcPr>
            <w:tcW w:w="4006" w:type="dxa"/>
          </w:tcPr>
          <w:p w:rsidR="00AB2CD2" w:rsidRDefault="00AB2CD2" w:rsidP="00992664">
            <w:pPr>
              <w:pStyle w:val="libFootnote0"/>
              <w:rPr>
                <w:rtl/>
              </w:rPr>
            </w:pPr>
            <w:r>
              <w:rPr>
                <w:rtl/>
              </w:rPr>
              <w:t xml:space="preserve">(14). </w:t>
            </w:r>
            <w:r w:rsidRPr="00020424">
              <w:rPr>
                <w:rtl/>
              </w:rPr>
              <w:t xml:space="preserve">في </w:t>
            </w:r>
            <w:r w:rsidRPr="00AB2CD2">
              <w:rPr>
                <w:rtl/>
              </w:rPr>
              <w:t xml:space="preserve">الفقيه </w:t>
            </w:r>
            <w:r w:rsidRPr="00515444">
              <w:rPr>
                <w:rStyle w:val="libFootnoteBoldChar"/>
                <w:rtl/>
              </w:rPr>
              <w:t>والتهذيب</w:t>
            </w:r>
            <w:r w:rsidRPr="00020424">
              <w:rPr>
                <w:rtl/>
              </w:rPr>
              <w:t xml:space="preserve"> : « فإن</w:t>
            </w:r>
            <w:r>
              <w:rPr>
                <w:rtl/>
              </w:rPr>
              <w:t xml:space="preserve"> ».</w:t>
            </w:r>
          </w:p>
        </w:tc>
      </w:tr>
      <w:tr w:rsidR="00AB2CD2" w:rsidTr="00AB2CD2">
        <w:tc>
          <w:tcPr>
            <w:tcW w:w="4006" w:type="dxa"/>
          </w:tcPr>
          <w:p w:rsidR="00AB2CD2" w:rsidRDefault="00AB2CD2" w:rsidP="00992664">
            <w:pPr>
              <w:pStyle w:val="libFootnote0"/>
              <w:rPr>
                <w:rtl/>
              </w:rPr>
            </w:pPr>
            <w:r>
              <w:rPr>
                <w:rtl/>
              </w:rPr>
              <w:t xml:space="preserve">(15). </w:t>
            </w:r>
            <w:r w:rsidRPr="00020424">
              <w:rPr>
                <w:rtl/>
              </w:rPr>
              <w:t>في « بح » :</w:t>
            </w:r>
            <w:r>
              <w:rPr>
                <w:rtl/>
              </w:rPr>
              <w:t xml:space="preserve"> - </w:t>
            </w:r>
            <w:r w:rsidRPr="00020424">
              <w:rPr>
                <w:rtl/>
              </w:rPr>
              <w:t>« قد</w:t>
            </w:r>
            <w:r>
              <w:rPr>
                <w:rtl/>
              </w:rPr>
              <w:t xml:space="preserve"> ».</w:t>
            </w:r>
          </w:p>
        </w:tc>
        <w:tc>
          <w:tcPr>
            <w:tcW w:w="4006" w:type="dxa"/>
          </w:tcPr>
          <w:p w:rsidR="00AB2CD2" w:rsidRDefault="00AB2CD2" w:rsidP="00992664">
            <w:pPr>
              <w:pStyle w:val="libFootnote0"/>
              <w:rPr>
                <w:rtl/>
              </w:rPr>
            </w:pPr>
            <w:r>
              <w:rPr>
                <w:rtl/>
              </w:rPr>
              <w:t xml:space="preserve">(16). </w:t>
            </w:r>
            <w:r w:rsidRPr="00020424">
              <w:rPr>
                <w:rtl/>
              </w:rPr>
              <w:t xml:space="preserve">في « بخ ، بر ، بف » </w:t>
            </w:r>
            <w:r w:rsidRPr="00515444">
              <w:rPr>
                <w:rStyle w:val="libFootnoteBoldChar"/>
                <w:rtl/>
              </w:rPr>
              <w:t>والوافي</w:t>
            </w:r>
            <w:r w:rsidRPr="00020424">
              <w:rPr>
                <w:rtl/>
              </w:rPr>
              <w:t xml:space="preserve"> : « وإن</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بس » : « لم يجده</w:t>
      </w:r>
      <w:r w:rsidR="00992664">
        <w:rPr>
          <w:rtl/>
        </w:rPr>
        <w:t xml:space="preserve"> ».</w:t>
      </w:r>
    </w:p>
    <w:p w:rsidR="00992664" w:rsidRPr="00020424" w:rsidRDefault="00795177" w:rsidP="00992664">
      <w:pPr>
        <w:pStyle w:val="libFootnote0"/>
        <w:rPr>
          <w:rtl/>
          <w:lang w:bidi="fa-IR"/>
        </w:rPr>
      </w:pPr>
      <w:r>
        <w:rPr>
          <w:rtl/>
        </w:rPr>
        <w:t>(18).</w:t>
      </w:r>
      <w:r w:rsidR="0014403D">
        <w:rPr>
          <w:rtl/>
        </w:rPr>
        <w:t xml:space="preserve"> </w:t>
      </w:r>
      <w:r w:rsidR="00992664" w:rsidRPr="0012008A">
        <w:rPr>
          <w:rStyle w:val="libFootnoteBoldChar"/>
          <w:rtl/>
        </w:rPr>
        <w:t>التهذيب</w:t>
      </w:r>
      <w:r w:rsidR="00992664" w:rsidRPr="00020424">
        <w:rPr>
          <w:rtl/>
        </w:rPr>
        <w:t xml:space="preserve"> ، ج 4 ، ص 47 ، ح 125 ، معلّقاً عن الكليني. </w:t>
      </w:r>
      <w:r w:rsidR="00992664" w:rsidRPr="0012008A">
        <w:rPr>
          <w:rStyle w:val="libFootnoteBoldChar"/>
          <w:rtl/>
        </w:rPr>
        <w:t>الفقيه</w:t>
      </w:r>
      <w:r w:rsidR="00992664" w:rsidRPr="00020424">
        <w:rPr>
          <w:rtl/>
        </w:rPr>
        <w:t xml:space="preserve"> ، ج 2 ، ص 30 ، ح 1617 ، معلّقاً عن محمّد بن </w:t>
      </w:r>
      <w:r w:rsidR="00AB2CD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96173">
        <w:rPr>
          <w:rtl/>
        </w:rPr>
        <w:lastRenderedPageBreak/>
        <w:t>5937</w:t>
      </w:r>
      <w:r w:rsidRPr="001155DE">
        <w:rPr>
          <w:rStyle w:val="libBold2Char"/>
          <w:rtl/>
        </w:rPr>
        <w:t xml:space="preserve"> / 2.</w:t>
      </w:r>
      <w:r w:rsidRPr="00020424">
        <w:rPr>
          <w:rtl/>
          <w:lang w:bidi="fa-IR"/>
        </w:rPr>
        <w:t xml:space="preserve"> حَمَّادُ بْنُ عِيسى </w:t>
      </w:r>
      <w:r w:rsidRPr="00A91B96">
        <w:rPr>
          <w:rStyle w:val="libFootnotenumChar"/>
          <w:rtl/>
        </w:rPr>
        <w:t>(1)</w:t>
      </w:r>
      <w:r w:rsidRPr="00020424">
        <w:rPr>
          <w:rtl/>
          <w:lang w:bidi="fa-IR"/>
        </w:rPr>
        <w:t xml:space="preserve"> ، عَنْ حَرِيزٍ ، عَنْ أَبِي بَصِيرٍ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إِذَا أَخْرَجَ الرَّجُلُ الزَّكَاةَ مِنْ مَالِهِ ، ثُمَّ سَمَّاهَا لِقَوْمٍ ، فَضَاعَتْ ، أَوْ أَرْسَلَ بِهَا إِلَيْهِمْ ، فَضَاعَتْ ، فَلَا شَيْ‌ءَ عَلَيْهِ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96173">
        <w:rPr>
          <w:rtl/>
        </w:rPr>
        <w:t>5938</w:t>
      </w:r>
      <w:r w:rsidRPr="001155DE">
        <w:rPr>
          <w:rStyle w:val="libBold2Char"/>
          <w:rtl/>
        </w:rPr>
        <w:t xml:space="preserve"> / 3.</w:t>
      </w:r>
      <w:r w:rsidRPr="00020424">
        <w:rPr>
          <w:rtl/>
          <w:lang w:bidi="fa-IR"/>
        </w:rPr>
        <w:t xml:space="preserve"> حَرِيزٌ </w:t>
      </w:r>
      <w:r w:rsidRPr="00A91B96">
        <w:rPr>
          <w:rStyle w:val="libFootnotenumChar"/>
          <w:rtl/>
        </w:rPr>
        <w:t>(3)</w:t>
      </w:r>
      <w:r w:rsidRPr="00020424">
        <w:rPr>
          <w:rtl/>
          <w:lang w:bidi="fa-IR"/>
        </w:rPr>
        <w:t xml:space="preserve"> ، عَنْ عُبَيْدِ بْنِ زُرَارَةَ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قَالَ : « إِذَا أَخْرَجَهَا مِنْ مَالِهِ ، فَذَهَبَتْ ، وَلَمْ يُسَمِّهَا لِأَحَدٍ ، فَقَدْ بَرِئَ مِنْهَا</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896173">
        <w:rPr>
          <w:rtl/>
        </w:rPr>
        <w:t>5939</w:t>
      </w:r>
      <w:r w:rsidRPr="001155DE">
        <w:rPr>
          <w:rStyle w:val="libBold2Char"/>
          <w:rtl/>
        </w:rPr>
        <w:t xml:space="preserve"> / 4.</w:t>
      </w:r>
      <w:r w:rsidRPr="00020424">
        <w:rPr>
          <w:rtl/>
          <w:lang w:bidi="fa-IR"/>
        </w:rPr>
        <w:t xml:space="preserve"> حَرِيزٌ </w:t>
      </w:r>
      <w:r w:rsidRPr="00A91B96">
        <w:rPr>
          <w:rStyle w:val="libFootnotenumChar"/>
          <w:rtl/>
        </w:rPr>
        <w:t>(5)</w:t>
      </w:r>
      <w:r w:rsidRPr="00020424">
        <w:rPr>
          <w:rtl/>
          <w:lang w:bidi="fa-IR"/>
        </w:rPr>
        <w:t xml:space="preserve"> ، عَنْ زُرَارَةَ ، قَالَ :</w:t>
      </w:r>
    </w:p>
    <w:p w:rsidR="00992664" w:rsidRPr="00020424" w:rsidRDefault="00992664" w:rsidP="00992664">
      <w:pPr>
        <w:pStyle w:val="libNormal"/>
        <w:rPr>
          <w:rtl/>
          <w:lang w:bidi="fa-IR"/>
        </w:rPr>
      </w:pPr>
      <w:r w:rsidRPr="00020424">
        <w:rPr>
          <w:rtl/>
          <w:lang w:bidi="fa-IR"/>
        </w:rPr>
        <w:t xml:space="preserve">سَأَلْتُ أَبَا عَبْدِ اللهِ </w:t>
      </w:r>
      <w:r w:rsidRPr="00A91B96">
        <w:rPr>
          <w:rStyle w:val="libFootnotenumChar"/>
          <w:rtl/>
        </w:rPr>
        <w:t>(6)</w:t>
      </w:r>
      <w:r w:rsidRPr="00020424">
        <w:rPr>
          <w:rtl/>
          <w:lang w:bidi="fa-IR"/>
        </w:rPr>
        <w:t xml:space="preserve"> </w:t>
      </w:r>
      <w:r w:rsidRPr="00005A81">
        <w:rPr>
          <w:rStyle w:val="libAlaemChar"/>
          <w:rtl/>
        </w:rPr>
        <w:t>عليه‌السلام</w:t>
      </w:r>
      <w:r w:rsidRPr="00020424">
        <w:rPr>
          <w:rtl/>
          <w:lang w:bidi="fa-IR"/>
        </w:rPr>
        <w:t xml:space="preserve"> عَنْ رَجُلٍ بَعَثَ إِلَيْهِ </w:t>
      </w:r>
      <w:r w:rsidRPr="00A91B96">
        <w:rPr>
          <w:rStyle w:val="libFootnotenumChar"/>
          <w:rtl/>
        </w:rPr>
        <w:t>(7)</w:t>
      </w:r>
      <w:r w:rsidRPr="00020424">
        <w:rPr>
          <w:rtl/>
          <w:lang w:bidi="fa-IR"/>
        </w:rPr>
        <w:t xml:space="preserve"> أَخٌ لَهُ زَكَاتَهُ </w:t>
      </w:r>
      <w:r w:rsidRPr="00A91B96">
        <w:rPr>
          <w:rStyle w:val="libFootnotenumChar"/>
          <w:rtl/>
        </w:rPr>
        <w:t>(8)</w:t>
      </w:r>
      <w:r w:rsidRPr="00020424">
        <w:rPr>
          <w:rtl/>
          <w:lang w:bidi="fa-IR"/>
        </w:rPr>
        <w:t xml:space="preserve"> لِيَقْسِمَهَا ، فَضَاعَتْ</w:t>
      </w:r>
      <w:r>
        <w:rPr>
          <w:rtl/>
          <w:lang w:bidi="fa-IR"/>
        </w:rPr>
        <w:t>؟</w:t>
      </w:r>
    </w:p>
    <w:p w:rsidR="00992664" w:rsidRPr="00020424" w:rsidRDefault="00992664" w:rsidP="00992664">
      <w:pPr>
        <w:pStyle w:val="libNormal"/>
        <w:rPr>
          <w:rtl/>
          <w:lang w:bidi="fa-IR"/>
        </w:rPr>
      </w:pPr>
      <w:r w:rsidRPr="00020424">
        <w:rPr>
          <w:rtl/>
          <w:lang w:bidi="fa-IR"/>
        </w:rPr>
        <w:t>فَقَالَ : « لَيْسَ عَلَى الرَّسُولِ وَلَاعَلَى الْمُؤَدِّي ضَمَانٌ</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فَإِنَّهُ </w:t>
      </w:r>
      <w:r w:rsidRPr="00A91B96">
        <w:rPr>
          <w:rStyle w:val="libFootnotenumChar"/>
          <w:rtl/>
        </w:rPr>
        <w:t>(9)</w:t>
      </w:r>
      <w:r w:rsidRPr="00020424">
        <w:rPr>
          <w:rtl/>
          <w:lang w:bidi="fa-IR"/>
        </w:rPr>
        <w:t xml:space="preserve"> لَمْ يَجِدْ لَهَا أَهْلاً </w:t>
      </w:r>
      <w:r>
        <w:rPr>
          <w:rtl/>
          <w:lang w:bidi="fa-IR"/>
        </w:rPr>
        <w:t>، فَفَسَدَتْ وَتَغَيَّرَتْ ، أَ</w:t>
      </w:r>
      <w:r w:rsidRPr="00020424">
        <w:rPr>
          <w:rtl/>
          <w:lang w:bidi="fa-IR"/>
        </w:rPr>
        <w:t>يَضْمَنُهَا</w:t>
      </w:r>
      <w:r>
        <w:rPr>
          <w:rtl/>
          <w:lang w:bidi="fa-IR"/>
        </w:rPr>
        <w:t>؟</w:t>
      </w:r>
    </w:p>
    <w:p w:rsidR="00992664" w:rsidRPr="00020424" w:rsidRDefault="00992664" w:rsidP="00992664">
      <w:pPr>
        <w:pStyle w:val="libNormal"/>
        <w:rPr>
          <w:rtl/>
          <w:lang w:bidi="fa-IR"/>
        </w:rPr>
      </w:pPr>
      <w:r w:rsidRPr="00020424">
        <w:rPr>
          <w:rtl/>
          <w:lang w:bidi="fa-IR"/>
        </w:rPr>
        <w:t xml:space="preserve">قَالَ : « لَا ، وَلكِنْ إِنْ </w:t>
      </w:r>
      <w:r w:rsidRPr="00A91B96">
        <w:rPr>
          <w:rStyle w:val="libFootnotenumChar"/>
          <w:rtl/>
        </w:rPr>
        <w:t>(10)</w:t>
      </w:r>
      <w:r w:rsidRPr="00020424">
        <w:rPr>
          <w:rtl/>
          <w:lang w:bidi="fa-IR"/>
        </w:rPr>
        <w:t xml:space="preserve"> عَرَفَ لَهَا أَهْلاً ، فَعَطِبَتْ </w:t>
      </w:r>
      <w:r w:rsidRPr="00A91B96">
        <w:rPr>
          <w:rStyle w:val="libFootnotenumChar"/>
          <w:rtl/>
        </w:rPr>
        <w:t>(11)</w:t>
      </w:r>
      <w:r w:rsidRPr="00020424">
        <w:rPr>
          <w:rtl/>
          <w:lang w:bidi="fa-IR"/>
        </w:rPr>
        <w:t xml:space="preserve"> أَوْ فَسَدَتْ ، فَهُوَ لَهَا ضَامِنٌ حَتّى‌</w:t>
      </w:r>
    </w:p>
    <w:p w:rsidR="00992664" w:rsidRPr="00020424" w:rsidRDefault="00992664" w:rsidP="00992664">
      <w:pPr>
        <w:pStyle w:val="libLine"/>
        <w:rPr>
          <w:rtl/>
          <w:lang w:bidi="fa-IR"/>
        </w:rPr>
      </w:pPr>
      <w:r w:rsidRPr="00020424">
        <w:rPr>
          <w:rtl/>
          <w:lang w:bidi="fa-IR"/>
        </w:rPr>
        <w:t>__________________</w:t>
      </w:r>
    </w:p>
    <w:p w:rsidR="00992664" w:rsidRPr="00020424" w:rsidRDefault="004A5B15" w:rsidP="00992664">
      <w:pPr>
        <w:pStyle w:val="libFootnote0"/>
        <w:rPr>
          <w:rtl/>
          <w:lang w:bidi="fa-IR"/>
        </w:rPr>
      </w:pPr>
      <w:r>
        <w:rPr>
          <w:rFonts w:hint="cs"/>
          <w:rtl/>
        </w:rPr>
        <w:t xml:space="preserve">= </w:t>
      </w:r>
      <w:r w:rsidR="00992664" w:rsidRPr="00020424">
        <w:rPr>
          <w:rtl/>
        </w:rPr>
        <w:t xml:space="preserve">مسلم ، من دون التصريح باسم المعصوم </w:t>
      </w:r>
      <w:r w:rsidR="00992664" w:rsidRPr="00D64ADA">
        <w:rPr>
          <w:rStyle w:val="libFootnoteAlaemChar"/>
          <w:rtl/>
        </w:rPr>
        <w:t>عليه‌السلام</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10 ، ص 213 ، ح 9466 ؛ </w:t>
      </w:r>
      <w:r w:rsidR="00992664" w:rsidRPr="0012008A">
        <w:rPr>
          <w:rStyle w:val="libFootnoteBoldChar"/>
          <w:rtl/>
        </w:rPr>
        <w:t>الوسائل</w:t>
      </w:r>
      <w:r w:rsidR="00992664" w:rsidRPr="00020424">
        <w:rPr>
          <w:rtl/>
        </w:rPr>
        <w:t xml:space="preserve"> ، ج 9 ، ص 285 ، ح 12033 ؛ وج 19 ، ص 346 ، ح 24736 ، إلى قوله : « فهولها ضامن » ومن قوله : « وكذلك الوصيّ</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حمّاد بن عثمان » ، وهو سهو واضح.</w:t>
      </w:r>
    </w:p>
    <w:p w:rsidR="00992664" w:rsidRPr="00020424" w:rsidRDefault="00992664" w:rsidP="004A5B15">
      <w:pPr>
        <w:pStyle w:val="libFootnote0"/>
        <w:rPr>
          <w:rtl/>
          <w:lang w:bidi="fa-IR"/>
        </w:rPr>
      </w:pPr>
      <w:r w:rsidRPr="00D82B22">
        <w:rPr>
          <w:rtl/>
        </w:rPr>
        <w:t>ثمّ إنّ السند معلّق على سابقه. ويروي عن حمّاد بن عيسى ، عليّ بن إبراهيم عن أبيه.</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47 ، ح 123 ، معلّقاً عن الكليني. </w:t>
      </w:r>
      <w:r w:rsidR="00992664" w:rsidRPr="0012008A">
        <w:rPr>
          <w:rStyle w:val="libFootnoteBoldChar"/>
          <w:rtl/>
        </w:rPr>
        <w:t>الفقيه</w:t>
      </w:r>
      <w:r w:rsidR="00992664" w:rsidRPr="00020424">
        <w:rPr>
          <w:rtl/>
        </w:rPr>
        <w:t xml:space="preserve"> ، ج 2 ، ص 30 ، ح 1618 ، معلّقاً عن أبي بصير </w:t>
      </w:r>
      <w:r w:rsidR="00FB09D9">
        <w:rPr>
          <w:rFonts w:hint="cs"/>
          <w:rtl/>
        </w:rPr>
        <w:t>.</w:t>
      </w:r>
      <w:r w:rsidR="00992664" w:rsidRPr="0012008A">
        <w:rPr>
          <w:rStyle w:val="libFootnoteBoldChar"/>
          <w:rtl/>
        </w:rPr>
        <w:t>الوافي</w:t>
      </w:r>
      <w:r w:rsidR="00992664" w:rsidRPr="00020424">
        <w:rPr>
          <w:rtl/>
        </w:rPr>
        <w:t xml:space="preserve"> ، ج 10 ، ص 213 ، ح 9467 ؛ </w:t>
      </w:r>
      <w:r w:rsidR="00992664" w:rsidRPr="0012008A">
        <w:rPr>
          <w:rStyle w:val="libFootnoteBoldChar"/>
          <w:rtl/>
        </w:rPr>
        <w:t>الوسائل</w:t>
      </w:r>
      <w:r w:rsidR="00992664" w:rsidRPr="00020424">
        <w:rPr>
          <w:rtl/>
        </w:rPr>
        <w:t xml:space="preserve"> ، ج 9 ، ص 286 ، ح 12035.</w:t>
      </w:r>
    </w:p>
    <w:p w:rsidR="00992664" w:rsidRPr="00020424" w:rsidRDefault="00795177" w:rsidP="00992664">
      <w:pPr>
        <w:pStyle w:val="libFootnote0"/>
        <w:rPr>
          <w:rtl/>
          <w:lang w:bidi="fa-IR"/>
        </w:rPr>
      </w:pPr>
      <w:r>
        <w:rPr>
          <w:rtl/>
        </w:rPr>
        <w:t>(3).</w:t>
      </w:r>
      <w:r w:rsidR="0014403D">
        <w:rPr>
          <w:rtl/>
        </w:rPr>
        <w:t xml:space="preserve"> </w:t>
      </w:r>
      <w:r w:rsidR="00992664" w:rsidRPr="00FB09D9">
        <w:rPr>
          <w:rStyle w:val="libFootnoteBoldChar"/>
          <w:rtl/>
        </w:rPr>
        <w:t>السند معلّق</w:t>
      </w:r>
      <w:r w:rsidR="00992664" w:rsidRPr="00020424">
        <w:rPr>
          <w:rtl/>
        </w:rPr>
        <w:t>. ويروي عن حريز ، عليّ بن إبراهيم عن أبيه عن حمّاد بن عيسى.</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214 ، ح 9468 ؛ </w:t>
      </w:r>
      <w:r w:rsidR="00992664" w:rsidRPr="0012008A">
        <w:rPr>
          <w:rStyle w:val="libFootnoteBoldChar"/>
          <w:rtl/>
        </w:rPr>
        <w:t>الوسائل</w:t>
      </w:r>
      <w:r w:rsidR="00992664" w:rsidRPr="00020424">
        <w:rPr>
          <w:rtl/>
        </w:rPr>
        <w:t xml:space="preserve"> ، ج 9 ، ص 286 ، ح 12036.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كسابقه.</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عن أبي عبدالله » بدل « قال : سألت أبا عبدالله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B09D9" w:rsidTr="00FB09D9">
        <w:tc>
          <w:tcPr>
            <w:tcW w:w="4006" w:type="dxa"/>
          </w:tcPr>
          <w:p w:rsidR="00FB09D9" w:rsidRDefault="00FB09D9" w:rsidP="00992664">
            <w:pPr>
              <w:pStyle w:val="libFootnote0"/>
              <w:rPr>
                <w:rtl/>
              </w:rPr>
            </w:pPr>
            <w:r>
              <w:rPr>
                <w:rtl/>
              </w:rPr>
              <w:t xml:space="preserve">(7). </w:t>
            </w:r>
            <w:r w:rsidRPr="00020424">
              <w:rPr>
                <w:rtl/>
              </w:rPr>
              <w:t>في « بس » وحاشية « ظ » : « إلى</w:t>
            </w:r>
            <w:r>
              <w:rPr>
                <w:rtl/>
              </w:rPr>
              <w:t xml:space="preserve"> ».</w:t>
            </w:r>
          </w:p>
        </w:tc>
        <w:tc>
          <w:tcPr>
            <w:tcW w:w="4006" w:type="dxa"/>
          </w:tcPr>
          <w:p w:rsidR="00FB09D9" w:rsidRDefault="00FB09D9"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زكاة</w:t>
            </w:r>
            <w:r>
              <w:rPr>
                <w:rtl/>
              </w:rPr>
              <w:t xml:space="preserve"> ».</w:t>
            </w:r>
          </w:p>
        </w:tc>
      </w:tr>
      <w:tr w:rsidR="00FB09D9" w:rsidTr="00FB09D9">
        <w:tc>
          <w:tcPr>
            <w:tcW w:w="4006" w:type="dxa"/>
          </w:tcPr>
          <w:p w:rsidR="00FB09D9" w:rsidRDefault="00FB09D9" w:rsidP="00992664">
            <w:pPr>
              <w:pStyle w:val="libFootnote0"/>
              <w:rPr>
                <w:rtl/>
              </w:rPr>
            </w:pPr>
            <w:r>
              <w:rPr>
                <w:rtl/>
              </w:rPr>
              <w:t xml:space="preserve">(9). </w:t>
            </w:r>
            <w:r w:rsidRPr="00020424">
              <w:rPr>
                <w:rtl/>
              </w:rPr>
              <w:t xml:space="preserve">في « بث » </w:t>
            </w:r>
            <w:r w:rsidRPr="00515444">
              <w:rPr>
                <w:rStyle w:val="libFootnoteBoldChar"/>
                <w:rtl/>
              </w:rPr>
              <w:t>والتهذيب</w:t>
            </w:r>
            <w:r w:rsidRPr="00020424">
              <w:rPr>
                <w:rtl/>
              </w:rPr>
              <w:t xml:space="preserve"> : « فإن</w:t>
            </w:r>
            <w:r>
              <w:rPr>
                <w:rtl/>
              </w:rPr>
              <w:t xml:space="preserve"> ».</w:t>
            </w:r>
          </w:p>
        </w:tc>
        <w:tc>
          <w:tcPr>
            <w:tcW w:w="4006" w:type="dxa"/>
          </w:tcPr>
          <w:p w:rsidR="00FB09D9" w:rsidRDefault="00FB09D9" w:rsidP="00992664">
            <w:pPr>
              <w:pStyle w:val="libFootnote0"/>
              <w:rPr>
                <w:rtl/>
              </w:rPr>
            </w:pPr>
            <w:r>
              <w:rPr>
                <w:rtl/>
              </w:rPr>
              <w:t xml:space="preserve">(10). </w:t>
            </w:r>
            <w:r w:rsidRPr="00020424">
              <w:rPr>
                <w:rtl/>
              </w:rPr>
              <w:t>في « بح ، بر ، بف » : « إذا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فعطبت » ، أي هلكت ؛ من العطب بمعنى الهلاك. راجع : </w:t>
      </w:r>
      <w:r w:rsidR="00992664" w:rsidRPr="0012008A">
        <w:rPr>
          <w:rStyle w:val="libFootnoteBoldChar"/>
          <w:rtl/>
        </w:rPr>
        <w:t>الصحاح</w:t>
      </w:r>
      <w:r w:rsidR="00992664" w:rsidRPr="00020424">
        <w:rPr>
          <w:rtl/>
        </w:rPr>
        <w:t xml:space="preserve"> ، ج 1 ، ص 184 ( عطب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FB09D9">
      <w:pPr>
        <w:pStyle w:val="libNormal0"/>
        <w:rPr>
          <w:rtl/>
          <w:lang w:bidi="fa-IR"/>
        </w:rPr>
      </w:pPr>
      <w:r w:rsidRPr="00020424">
        <w:rPr>
          <w:rtl/>
          <w:lang w:bidi="fa-IR"/>
        </w:rPr>
        <w:lastRenderedPageBreak/>
        <w:t xml:space="preserve">يُخْرِجَهَا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96173">
        <w:rPr>
          <w:rtl/>
        </w:rPr>
        <w:t>5940</w:t>
      </w:r>
      <w:r w:rsidRPr="001155DE">
        <w:rPr>
          <w:rStyle w:val="libBold2Char"/>
          <w:rtl/>
        </w:rPr>
        <w:t xml:space="preserve"> / 5.</w:t>
      </w:r>
      <w:r w:rsidRPr="00020424">
        <w:rPr>
          <w:rtl/>
          <w:lang w:bidi="fa-IR"/>
        </w:rPr>
        <w:t xml:space="preserve"> مُحَمَّدُ بْنُ يَحْيى ، عَنْ أَحْمَدَ بْنِ مُحَمَّدٍ ، عَنِ الْحَسَنِ </w:t>
      </w:r>
      <w:r w:rsidRPr="00A91B96">
        <w:rPr>
          <w:rStyle w:val="libFootnotenumChar"/>
          <w:rtl/>
        </w:rPr>
        <w:t>(3)</w:t>
      </w:r>
      <w:r w:rsidRPr="00020424">
        <w:rPr>
          <w:rtl/>
          <w:lang w:bidi="fa-IR"/>
        </w:rPr>
        <w:t xml:space="preserve"> بْنِ مَحْبُوبٍ ، عَنْ جَمِيلِ بْنِ صَالِحٍ ، عَنْ بُكَيْرِ بْنِ أَعْيَنَ ، قَالَ :</w:t>
      </w:r>
    </w:p>
    <w:p w:rsidR="00992664" w:rsidRPr="00020424" w:rsidRDefault="00992664" w:rsidP="00992664">
      <w:pPr>
        <w:pStyle w:val="libNormal"/>
        <w:rPr>
          <w:rtl/>
          <w:lang w:bidi="fa-IR"/>
        </w:rPr>
      </w:pPr>
      <w:r w:rsidRPr="00020424">
        <w:rPr>
          <w:rtl/>
          <w:lang w:bidi="fa-IR"/>
        </w:rPr>
        <w:t xml:space="preserve">سَأَلْتُ أَبَا جَعْفَرٍ </w:t>
      </w:r>
      <w:r w:rsidRPr="00005A81">
        <w:rPr>
          <w:rStyle w:val="libAlaemChar"/>
          <w:rtl/>
        </w:rPr>
        <w:t>عليه‌السلام</w:t>
      </w:r>
      <w:r w:rsidRPr="00020424">
        <w:rPr>
          <w:rtl/>
          <w:lang w:bidi="fa-IR"/>
        </w:rPr>
        <w:t xml:space="preserve"> عَنِ الرَّجُلِ </w:t>
      </w:r>
      <w:r w:rsidRPr="00A91B96">
        <w:rPr>
          <w:rStyle w:val="libFootnotenumChar"/>
          <w:rtl/>
        </w:rPr>
        <w:t>(4)</w:t>
      </w:r>
      <w:r w:rsidRPr="00020424">
        <w:rPr>
          <w:rtl/>
          <w:lang w:bidi="fa-IR"/>
        </w:rPr>
        <w:t xml:space="preserve"> يَبْعَثُ بِزَكَاتِهِ </w:t>
      </w:r>
      <w:r w:rsidRPr="00A91B96">
        <w:rPr>
          <w:rStyle w:val="libFootnotenumChar"/>
          <w:rtl/>
        </w:rPr>
        <w:t>(5)</w:t>
      </w:r>
      <w:r w:rsidRPr="00020424">
        <w:rPr>
          <w:rtl/>
          <w:lang w:bidi="fa-IR"/>
        </w:rPr>
        <w:t xml:space="preserve"> ، فَتُسْرَقُ أَوْ تَضِيعُ</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(6)</w:t>
      </w:r>
      <w:r w:rsidRPr="00020424">
        <w:rPr>
          <w:rtl/>
          <w:lang w:bidi="fa-IR"/>
        </w:rPr>
        <w:t xml:space="preserve"> : « لَيْسَ عَلَيْهِ شَيْ‌ءٌ</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896173">
        <w:rPr>
          <w:rtl/>
        </w:rPr>
        <w:t>5941</w:t>
      </w:r>
      <w:r w:rsidRPr="001155DE">
        <w:rPr>
          <w:rStyle w:val="libBold2Char"/>
          <w:rtl/>
        </w:rPr>
        <w:t xml:space="preserve"> / 6.</w:t>
      </w:r>
      <w:r w:rsidRPr="00020424">
        <w:rPr>
          <w:rtl/>
          <w:lang w:bidi="fa-IR"/>
        </w:rPr>
        <w:t xml:space="preserve"> عَلِيُّ بْنُ إِبْرَاهِيمَ ، عَنْ أَبِيهِ ، عَنِ ابْنِ أَبِي عُمَيْرٍ ، عَمَّنْ أَخْبَرَهُ ، عَنْ دُرُسْتَ ، عَنْ رَجُلٍ :</w:t>
      </w:r>
    </w:p>
    <w:p w:rsidR="00992664" w:rsidRPr="00020424" w:rsidRDefault="00992664" w:rsidP="00FB09D9">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قَالَ فِي الزَّكَاةِ يَبْعَثُ بِهَا الرَّجُلُ إِلى بَلَدٍ غَيْرِ بَلَدِهِ ، قَالَ : « لَا بَأْسَ أَنْ يَبْعَثَ </w:t>
      </w:r>
      <w:r w:rsidRPr="00A91B96">
        <w:rPr>
          <w:rStyle w:val="libFootnotenumChar"/>
          <w:rtl/>
        </w:rPr>
        <w:t>(8)</w:t>
      </w:r>
      <w:r w:rsidRPr="00020424">
        <w:rPr>
          <w:rtl/>
          <w:lang w:bidi="fa-IR"/>
        </w:rPr>
        <w:t xml:space="preserve"> الثُّلُثَ ، أَوِ الرُّبُعَ » شَكَّ أَبُو أَحْمَدَ </w:t>
      </w:r>
      <w:r w:rsidRPr="00A91B96">
        <w:rPr>
          <w:rStyle w:val="libFootnotenumChar"/>
          <w:rtl/>
        </w:rPr>
        <w:t>(9)</w:t>
      </w:r>
      <w:r w:rsidR="00FB09D9">
        <w:rPr>
          <w:rFonts w:hint="cs"/>
          <w:rtl/>
          <w:lang w:bidi="fa-IR"/>
        </w:rPr>
        <w:t>.</w:t>
      </w:r>
      <w:r w:rsidRPr="00A91B96">
        <w:rPr>
          <w:rStyle w:val="libFootnotenumChar"/>
          <w:rtl/>
        </w:rPr>
        <w:t>(10)</w:t>
      </w:r>
      <w:r w:rsidRPr="00020424">
        <w:rPr>
          <w:rtl/>
          <w:lang w:bidi="fa-IR"/>
        </w:rPr>
        <w:t xml:space="preserve"> ‌</w:t>
      </w:r>
    </w:p>
    <w:p w:rsidR="00FB09D9" w:rsidRDefault="00992664" w:rsidP="00FB09D9">
      <w:pPr>
        <w:pStyle w:val="libNormal"/>
        <w:rPr>
          <w:rtl/>
          <w:lang w:bidi="fa-IR"/>
        </w:rPr>
      </w:pPr>
      <w:r w:rsidRPr="00896173">
        <w:rPr>
          <w:rtl/>
        </w:rPr>
        <w:t>5942</w:t>
      </w:r>
      <w:r w:rsidRPr="001155DE">
        <w:rPr>
          <w:rStyle w:val="libBold2Char"/>
          <w:rtl/>
        </w:rPr>
        <w:t xml:space="preserve"> / 7.</w:t>
      </w:r>
      <w:r w:rsidRPr="00020424">
        <w:rPr>
          <w:rtl/>
          <w:lang w:bidi="fa-IR"/>
        </w:rPr>
        <w:t xml:space="preserve"> مُحَمَّدُ بْنُ إِسْمَاعِيلَ ، عَنِ الْفَضْلِ بْنِ شَاذَانَ ؛</w:t>
      </w:r>
    </w:p>
    <w:p w:rsidR="00992664" w:rsidRPr="00020424" w:rsidRDefault="00FB09D9" w:rsidP="00FB09D9">
      <w:pPr>
        <w:pStyle w:val="libNormal"/>
        <w:rPr>
          <w:rtl/>
          <w:lang w:bidi="fa-IR"/>
        </w:rPr>
      </w:pPr>
      <w:r>
        <w:rPr>
          <w:rFonts w:hint="cs"/>
          <w:rtl/>
          <w:lang w:bidi="fa-IR"/>
        </w:rPr>
        <w:t xml:space="preserve">             </w:t>
      </w:r>
      <w:r w:rsidR="00992664" w:rsidRPr="00020424">
        <w:rPr>
          <w:rtl/>
          <w:lang w:bidi="fa-IR"/>
        </w:rPr>
        <w:t>وَعَلِيُّ بْنُ إِبْرَاهِيمَ ، عَنْ أَبِيهِ جَمِيعاً ، عَنِ ابْنِ أَبِي عُمَيْرٍ ، عَنْ هِشَامِ بْنِ الْحَكَمِ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w:t>
      </w:r>
      <w:r w:rsidR="00992664" w:rsidRPr="00515444">
        <w:rPr>
          <w:rStyle w:val="libFootnoteBoldChar"/>
          <w:rtl/>
        </w:rPr>
        <w:t>والتهذيب</w:t>
      </w:r>
      <w:r w:rsidR="00992664" w:rsidRPr="00020424">
        <w:rPr>
          <w:rtl/>
        </w:rPr>
        <w:t xml:space="preserve"> : « من حين أخّرها</w:t>
      </w:r>
      <w:r w:rsidR="00992664">
        <w:rPr>
          <w:rtl/>
        </w:rPr>
        <w:t xml:space="preserve"> ».</w:t>
      </w:r>
      <w:r w:rsidR="00992664" w:rsidRPr="00020424">
        <w:rPr>
          <w:rtl/>
        </w:rPr>
        <w:t xml:space="preserve"> وفي « بف » : « من حين أخرجها » ، كلاهما بدل « حتّى يخرجها</w:t>
      </w:r>
      <w:r w:rsidR="00992664">
        <w:rPr>
          <w:rtl/>
        </w:rPr>
        <w:t xml:space="preserve"> ».</w:t>
      </w:r>
      <w:r w:rsidR="00992664" w:rsidRPr="00020424">
        <w:rPr>
          <w:rtl/>
        </w:rPr>
        <w:t xml:space="preserve"> وفي حاشية « بث » : « حتّى أخّرها</w:t>
      </w:r>
      <w:r w:rsidR="00992664">
        <w:rPr>
          <w:rtl/>
        </w:rPr>
        <w:t xml:space="preserve"> ».</w:t>
      </w:r>
    </w:p>
    <w:p w:rsidR="00992664" w:rsidRPr="00020424" w:rsidRDefault="00795177" w:rsidP="00FB09D9">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48 ، ح 126 ، معلّقاً عن الكليني </w:t>
      </w:r>
      <w:r w:rsidR="00FB09D9">
        <w:rPr>
          <w:rFonts w:hint="cs"/>
          <w:rtl/>
        </w:rPr>
        <w:t>.</w:t>
      </w:r>
      <w:r w:rsidR="00992664" w:rsidRPr="0012008A">
        <w:rPr>
          <w:rStyle w:val="libFootnoteBoldChar"/>
          <w:rtl/>
        </w:rPr>
        <w:t>الوافي</w:t>
      </w:r>
      <w:r w:rsidR="00992664" w:rsidRPr="00020424">
        <w:rPr>
          <w:rtl/>
        </w:rPr>
        <w:t xml:space="preserve"> ، ج 10 ، ص 214 ، ح 9469 ؛ </w:t>
      </w:r>
      <w:r w:rsidR="00992664" w:rsidRPr="0012008A">
        <w:rPr>
          <w:rStyle w:val="libFootnoteBoldChar"/>
          <w:rtl/>
        </w:rPr>
        <w:t>الوسائل</w:t>
      </w:r>
      <w:r w:rsidR="00992664" w:rsidRPr="00020424">
        <w:rPr>
          <w:rtl/>
        </w:rPr>
        <w:t xml:space="preserve"> ، ج 9 ، ص 286 ، ح 12034.</w:t>
      </w:r>
      <w:r w:rsidR="00FB09D9">
        <w:rPr>
          <w:rFonts w:hint="cs"/>
          <w:rtl/>
        </w:rPr>
        <w:t xml:space="preserve">              </w:t>
      </w:r>
      <w:r>
        <w:rPr>
          <w:rtl/>
        </w:rPr>
        <w:t>(3).</w:t>
      </w:r>
      <w:r w:rsidR="0014403D">
        <w:rPr>
          <w:rtl/>
        </w:rPr>
        <w:t xml:space="preserve"> </w:t>
      </w:r>
      <w:r w:rsidR="00FB09D9">
        <w:rPr>
          <w:rtl/>
        </w:rPr>
        <w:t>في «بخ،بر،بف»</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w:t>
      </w:r>
      <w:r w:rsidR="00992664">
        <w:rPr>
          <w:rtl/>
        </w:rPr>
        <w:t xml:space="preserve"> </w:t>
      </w:r>
      <w:r w:rsidR="009B673F">
        <w:rPr>
          <w:rtl/>
        </w:rPr>
        <w:t>-</w:t>
      </w:r>
      <w:r w:rsidR="00FB09D9">
        <w:rPr>
          <w:rtl/>
        </w:rPr>
        <w:t>«</w:t>
      </w:r>
      <w:r w:rsidR="00992664" w:rsidRPr="00020424">
        <w:rPr>
          <w:rtl/>
        </w:rPr>
        <w:t>الحسن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B09D9" w:rsidTr="00FB09D9">
        <w:tc>
          <w:tcPr>
            <w:tcW w:w="4006" w:type="dxa"/>
          </w:tcPr>
          <w:p w:rsidR="00FB09D9" w:rsidRDefault="00FB09D9" w:rsidP="00992664">
            <w:pPr>
              <w:pStyle w:val="libFootnote0"/>
              <w:rPr>
                <w:rtl/>
              </w:rPr>
            </w:pPr>
            <w:r>
              <w:rPr>
                <w:rtl/>
              </w:rPr>
              <w:t xml:space="preserve">(4). </w:t>
            </w:r>
            <w:r w:rsidRPr="00020424">
              <w:rPr>
                <w:rtl/>
              </w:rPr>
              <w:t>في « بح ، جن » : « رجل</w:t>
            </w:r>
            <w:r>
              <w:rPr>
                <w:rtl/>
              </w:rPr>
              <w:t xml:space="preserve"> ».</w:t>
            </w:r>
          </w:p>
        </w:tc>
        <w:tc>
          <w:tcPr>
            <w:tcW w:w="4006" w:type="dxa"/>
          </w:tcPr>
          <w:p w:rsidR="00FB09D9" w:rsidRDefault="00FB09D9" w:rsidP="00992664">
            <w:pPr>
              <w:pStyle w:val="libFootnote0"/>
              <w:rPr>
                <w:rtl/>
              </w:rPr>
            </w:pPr>
            <w:r>
              <w:rPr>
                <w:rtl/>
              </w:rPr>
              <w:t xml:space="preserve">(5). </w:t>
            </w:r>
            <w:r w:rsidRPr="00020424">
              <w:rPr>
                <w:rtl/>
              </w:rPr>
              <w:t>في « بر » : « بزكاة</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FB09D9">
        <w:rPr>
          <w:rtl/>
        </w:rPr>
        <w:t>التهذيب</w:t>
      </w:r>
      <w:r w:rsidR="00992664" w:rsidRPr="00020424">
        <w:rPr>
          <w:rtl/>
        </w:rPr>
        <w:t xml:space="preserve"> : « فقال</w:t>
      </w:r>
      <w:r w:rsidR="00992664">
        <w:rPr>
          <w:rtl/>
        </w:rPr>
        <w:t xml:space="preserve"> ».</w:t>
      </w:r>
    </w:p>
    <w:p w:rsidR="00992664" w:rsidRPr="00020424" w:rsidRDefault="00795177" w:rsidP="00FB09D9">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47 ، ح 124 ، معلّقاً عن الكليني </w:t>
      </w:r>
      <w:r w:rsidR="00FB09D9">
        <w:rPr>
          <w:rFonts w:hint="cs"/>
          <w:rtl/>
        </w:rPr>
        <w:t>.</w:t>
      </w:r>
      <w:r w:rsidR="00992664" w:rsidRPr="0012008A">
        <w:rPr>
          <w:rStyle w:val="libFootnoteBoldChar"/>
          <w:rtl/>
        </w:rPr>
        <w:t>الوافي</w:t>
      </w:r>
      <w:r w:rsidR="00992664" w:rsidRPr="00020424">
        <w:rPr>
          <w:rtl/>
        </w:rPr>
        <w:t xml:space="preserve"> ، ج 10 ، ص 214 ، ح 9470 ؛ </w:t>
      </w:r>
      <w:r w:rsidR="00992664" w:rsidRPr="0012008A">
        <w:rPr>
          <w:rStyle w:val="libFootnoteBoldChar"/>
          <w:rtl/>
        </w:rPr>
        <w:t>الوسائل</w:t>
      </w:r>
      <w:r w:rsidR="00992664" w:rsidRPr="00020424">
        <w:rPr>
          <w:rtl/>
        </w:rPr>
        <w:t xml:space="preserve"> ، ج 9 ، ص 287 ، ح 12037.</w:t>
      </w:r>
      <w:r w:rsidR="00FB09D9">
        <w:rPr>
          <w:rFonts w:hint="cs"/>
          <w:rtl/>
        </w:rPr>
        <w:t xml:space="preserve">         </w:t>
      </w:r>
      <w:r>
        <w:rPr>
          <w:rtl/>
        </w:rPr>
        <w:t>(8).</w:t>
      </w:r>
      <w:r w:rsidR="0014403D">
        <w:rPr>
          <w:rtl/>
        </w:rPr>
        <w:t xml:space="preserve"> </w:t>
      </w:r>
      <w:r w:rsidR="00FB09D9">
        <w:rPr>
          <w:rtl/>
        </w:rPr>
        <w:t>في «بح،بر،بف،جن» : + «</w:t>
      </w:r>
      <w:r w:rsidR="00992664" w:rsidRPr="00020424">
        <w:rPr>
          <w:rtl/>
        </w:rPr>
        <w:t>به</w:t>
      </w:r>
      <w:r w:rsidR="00992664">
        <w:rPr>
          <w:rtl/>
        </w:rPr>
        <w:t>».</w:t>
      </w:r>
      <w:r w:rsidR="00992664" w:rsidRPr="00020424">
        <w:rPr>
          <w:rtl/>
        </w:rPr>
        <w:t xml:space="preserve"> وفي </w:t>
      </w:r>
      <w:r w:rsidR="00992664" w:rsidRPr="00FB09D9">
        <w:rPr>
          <w:rtl/>
        </w:rPr>
        <w:t>الوافي</w:t>
      </w:r>
      <w:r w:rsidR="00992664" w:rsidRPr="00020424">
        <w:rPr>
          <w:rtl/>
        </w:rPr>
        <w:t xml:space="preserve"> : + « بها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بأبي أحمد : ابن أبي عمير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46 ، ح 120 ، بسنده عن محمّد بن أبى عمير ؛ </w:t>
      </w:r>
      <w:r w:rsidR="00992664" w:rsidRPr="0012008A">
        <w:rPr>
          <w:rStyle w:val="libFootnoteBoldChar"/>
          <w:rtl/>
        </w:rPr>
        <w:t>الفقيه</w:t>
      </w:r>
      <w:r w:rsidR="00992664" w:rsidRPr="00020424">
        <w:rPr>
          <w:rtl/>
        </w:rPr>
        <w:t xml:space="preserve"> ، ج 2 ، ص 31 ، ح 1620 ، معلّقاً عن درست بن أبي منصور ، عن أبي عبدالله </w:t>
      </w:r>
      <w:r w:rsidR="00992664" w:rsidRPr="00D64ADA">
        <w:rPr>
          <w:rStyle w:val="libFootnoteAlaemChar"/>
          <w:rtl/>
        </w:rPr>
        <w:t>عليه‌السلام</w:t>
      </w:r>
      <w:r w:rsidR="00992664" w:rsidRPr="00020424">
        <w:rPr>
          <w:rtl/>
        </w:rPr>
        <w:t xml:space="preserve"> ، وفيهما مع اختلاف يسير </w:t>
      </w:r>
      <w:r w:rsidR="00FB09D9">
        <w:rPr>
          <w:rFonts w:hint="cs"/>
          <w:rtl/>
        </w:rPr>
        <w:t>.</w:t>
      </w:r>
      <w:r w:rsidR="00992664" w:rsidRPr="0012008A">
        <w:rPr>
          <w:rStyle w:val="libFootnoteBoldChar"/>
          <w:rtl/>
        </w:rPr>
        <w:t>الوافي</w:t>
      </w:r>
      <w:r w:rsidR="00992664" w:rsidRPr="00020424">
        <w:rPr>
          <w:rtl/>
        </w:rPr>
        <w:t xml:space="preserve"> ، ج 10 ، ص 214 ، ح 9471 ؛ </w:t>
      </w:r>
      <w:r w:rsidR="00992664" w:rsidRPr="0012008A">
        <w:rPr>
          <w:rStyle w:val="libFootnoteBoldChar"/>
          <w:rtl/>
        </w:rPr>
        <w:t>الوسائل</w:t>
      </w:r>
      <w:r w:rsidR="00992664" w:rsidRPr="00020424">
        <w:rPr>
          <w:rtl/>
        </w:rPr>
        <w:t xml:space="preserve"> ، ج 9 ، ص 283 ، ذيل ح 12027.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فِي الرَّجُلِ يُعْ</w:t>
      </w:r>
      <w:r>
        <w:rPr>
          <w:rtl/>
          <w:lang w:bidi="fa-IR"/>
        </w:rPr>
        <w:t>طَى الزَّكَاةَ يَقْسِمُهَا ، أَ</w:t>
      </w:r>
      <w:r w:rsidR="00FB09D9">
        <w:rPr>
          <w:rFonts w:hint="cs"/>
          <w:rtl/>
          <w:lang w:bidi="fa-IR"/>
        </w:rPr>
        <w:t xml:space="preserve"> </w:t>
      </w:r>
      <w:r w:rsidRPr="00020424">
        <w:rPr>
          <w:rtl/>
          <w:lang w:bidi="fa-IR"/>
        </w:rPr>
        <w:t xml:space="preserve">لَهُ أَنْ يُخْرِجَ الشَّيْ‌ءَ مِنْهَا مِنَ الْبَلْدَةِ الَّتِي </w:t>
      </w:r>
      <w:r w:rsidRPr="00A91B96">
        <w:rPr>
          <w:rStyle w:val="libFootnotenumChar"/>
          <w:rtl/>
        </w:rPr>
        <w:t>(1)</w:t>
      </w:r>
      <w:r w:rsidRPr="00020424">
        <w:rPr>
          <w:rtl/>
          <w:lang w:bidi="fa-IR"/>
        </w:rPr>
        <w:t xml:space="preserve"> هُوَ فِيهَا </w:t>
      </w:r>
      <w:r w:rsidRPr="00A91B96">
        <w:rPr>
          <w:rStyle w:val="libFootnotenumChar"/>
          <w:rtl/>
        </w:rPr>
        <w:t>(2)</w:t>
      </w:r>
      <w:r w:rsidRPr="00020424">
        <w:rPr>
          <w:rtl/>
          <w:lang w:bidi="fa-IR"/>
        </w:rPr>
        <w:t xml:space="preserve"> إِلى غَيْرِهَا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لَا بَأْسَ</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896173">
        <w:rPr>
          <w:rtl/>
        </w:rPr>
        <w:t>5943</w:t>
      </w:r>
      <w:r w:rsidRPr="001155DE">
        <w:rPr>
          <w:rStyle w:val="libBold2Char"/>
          <w:rtl/>
        </w:rPr>
        <w:t xml:space="preserve"> / 8.</w:t>
      </w:r>
      <w:r w:rsidRPr="00020424">
        <w:rPr>
          <w:rtl/>
          <w:lang w:bidi="fa-IR"/>
        </w:rPr>
        <w:t xml:space="preserve"> عَلِيُّ بْنُ إِبْرَاهِيمَ ، عَنْ أَبِيهِ ، عَنِ ابْنِ أَبِي عُمَيْرٍ ، عَنْ عُمَرَ </w:t>
      </w:r>
      <w:r w:rsidRPr="00A91B96">
        <w:rPr>
          <w:rStyle w:val="libFootnotenumChar"/>
          <w:rtl/>
        </w:rPr>
        <w:t>(6)</w:t>
      </w:r>
      <w:r w:rsidRPr="00020424">
        <w:rPr>
          <w:rtl/>
          <w:lang w:bidi="fa-IR"/>
        </w:rPr>
        <w:t xml:space="preserve"> بْنِ أُذَيْنَةَ ، عَنْ زُرَارَةَ ، عَنْ عَبْدِ الْكَرِيمِ </w:t>
      </w:r>
      <w:r w:rsidRPr="00A91B96">
        <w:rPr>
          <w:rStyle w:val="libFootnotenumChar"/>
          <w:rtl/>
        </w:rPr>
        <w:t>(7)</w:t>
      </w:r>
      <w:r w:rsidRPr="00020424">
        <w:rPr>
          <w:rtl/>
          <w:lang w:bidi="fa-IR"/>
        </w:rPr>
        <w:t xml:space="preserve"> بْنِ عُتْبَةَ الْهَاشِمِيِّ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يَقْسِمُ صَدَقَةَ أَهْلِ الْبَوَادِي فِي أَهْلِ الْبَوَادِي ، وَصَدَقَةَ أَهْلِ الْحَضَرِ فِي أَهْلِ الْحَضَرِ ، وَلَايَقْسِمُهَا </w:t>
      </w:r>
      <w:r w:rsidRPr="00A91B96">
        <w:rPr>
          <w:rStyle w:val="libFootnotenumChar"/>
          <w:rtl/>
        </w:rPr>
        <w:t>(8)</w:t>
      </w:r>
      <w:r w:rsidRPr="00020424">
        <w:rPr>
          <w:rtl/>
          <w:lang w:bidi="fa-IR"/>
        </w:rPr>
        <w:t xml:space="preserve"> بَيْنَهُمْ بِالسَّوِيَّةِ ، إِنَّمَا يَقْسِمُهَا </w:t>
      </w:r>
      <w:r w:rsidRPr="00A91B96">
        <w:rPr>
          <w:rStyle w:val="libFootnotenumChar"/>
          <w:rtl/>
        </w:rPr>
        <w:t>(9)</w:t>
      </w:r>
      <w:r w:rsidRPr="00020424">
        <w:rPr>
          <w:rtl/>
          <w:lang w:bidi="fa-IR"/>
        </w:rPr>
        <w:t xml:space="preserve"> عَلى قَدْرِ مَا </w:t>
      </w:r>
      <w:r w:rsidRPr="00A91B96">
        <w:rPr>
          <w:rStyle w:val="libFootnotenumChar"/>
          <w:rtl/>
        </w:rPr>
        <w:t>(10)</w:t>
      </w:r>
      <w:r w:rsidRPr="00020424">
        <w:rPr>
          <w:rtl/>
          <w:lang w:bidi="fa-IR"/>
        </w:rPr>
        <w:t xml:space="preserve"> يَحْضُرُهُ </w:t>
      </w:r>
      <w:r w:rsidRPr="00A91B96">
        <w:rPr>
          <w:rStyle w:val="libFootnotenumChar"/>
          <w:rtl/>
        </w:rPr>
        <w:t>(11)</w:t>
      </w:r>
      <w:r w:rsidRPr="00020424">
        <w:rPr>
          <w:rtl/>
          <w:lang w:bidi="fa-IR"/>
        </w:rPr>
        <w:t xml:space="preserve"> مِنْهُمْ ، وَمَا يَرى </w:t>
      </w:r>
      <w:r w:rsidRPr="00A91B96">
        <w:rPr>
          <w:rStyle w:val="libFootnotenumChar"/>
          <w:rtl/>
        </w:rPr>
        <w:t>(12)</w:t>
      </w:r>
      <w:r w:rsidRPr="00020424">
        <w:rPr>
          <w:rtl/>
          <w:lang w:bidi="fa-IR"/>
        </w:rPr>
        <w:t xml:space="preserve"> ، لَيْسَ </w:t>
      </w:r>
      <w:r w:rsidRPr="00A91B96">
        <w:rPr>
          <w:rStyle w:val="libFootnotenumChar"/>
          <w:rtl/>
        </w:rPr>
        <w:t>(13)</w:t>
      </w:r>
      <w:r w:rsidRPr="00020424">
        <w:rPr>
          <w:rtl/>
          <w:lang w:bidi="fa-IR"/>
        </w:rPr>
        <w:t xml:space="preserve"> فِي ذلِكَ شَيْ‌ءٌ مُوَقَّتٌ</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 « من البلد الذي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فيه</w:t>
      </w:r>
      <w:r w:rsidR="00992664">
        <w:rPr>
          <w:rtl/>
        </w:rPr>
        <w:t xml:space="preserve"> ».</w:t>
      </w:r>
      <w:r w:rsidR="00992664" w:rsidRPr="00020424">
        <w:rPr>
          <w:rtl/>
        </w:rPr>
        <w:t xml:space="preserve"> وفي « بخ ، بر ، بف » وحاشية « بث ، بح » </w:t>
      </w:r>
      <w:r w:rsidR="00992664" w:rsidRPr="00515444">
        <w:rPr>
          <w:rStyle w:val="libFootnoteBoldChar"/>
          <w:rtl/>
        </w:rPr>
        <w:t>والوافي</w:t>
      </w:r>
      <w:r w:rsidR="00992664" w:rsidRPr="00020424">
        <w:rPr>
          <w:rtl/>
        </w:rPr>
        <w:t xml:space="preserve"> : «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بث ، بح ، بخ ، بر ، بف » </w:t>
      </w:r>
      <w:r w:rsidR="00992664" w:rsidRPr="00515444">
        <w:rPr>
          <w:rStyle w:val="libFootnoteBoldChar"/>
          <w:rtl/>
        </w:rPr>
        <w:t>والوافي</w:t>
      </w:r>
      <w:r w:rsidR="00992664" w:rsidRPr="00020424">
        <w:rPr>
          <w:rtl/>
        </w:rPr>
        <w:t xml:space="preserve"> : « غيره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فقال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31 ، ح 1621 ، معلّقاً عن هشام بن الحكم ، مع اختلاف يسير </w:t>
      </w:r>
      <w:r w:rsidR="00362851">
        <w:rPr>
          <w:rFonts w:hint="cs"/>
          <w:rtl/>
        </w:rPr>
        <w:t>.</w:t>
      </w:r>
      <w:r w:rsidR="00992664" w:rsidRPr="0012008A">
        <w:rPr>
          <w:rStyle w:val="libFootnoteBoldChar"/>
          <w:rtl/>
        </w:rPr>
        <w:t>الوافي</w:t>
      </w:r>
      <w:r w:rsidR="00992664" w:rsidRPr="00020424">
        <w:rPr>
          <w:rtl/>
        </w:rPr>
        <w:t xml:space="preserve"> ، ج 10 ، ص 215 ، ح 9473 ؛ </w:t>
      </w:r>
      <w:r w:rsidR="00992664" w:rsidRPr="0012008A">
        <w:rPr>
          <w:rStyle w:val="libFootnoteBoldChar"/>
          <w:rtl/>
        </w:rPr>
        <w:t>الوسائل</w:t>
      </w:r>
      <w:r w:rsidR="00992664" w:rsidRPr="00020424">
        <w:rPr>
          <w:rtl/>
        </w:rPr>
        <w:t xml:space="preserve"> ، ج 9 ، ص 282 ، ذيل ح 12026.</w:t>
      </w:r>
    </w:p>
    <w:tbl>
      <w:tblPr>
        <w:tblStyle w:val="TableGrid"/>
        <w:bidiVisual/>
        <w:tblW w:w="0" w:type="auto"/>
        <w:tblLook w:val="04A0" w:firstRow="1" w:lastRow="0" w:firstColumn="1" w:lastColumn="0" w:noHBand="0" w:noVBand="1"/>
      </w:tblPr>
      <w:tblGrid>
        <w:gridCol w:w="4006"/>
        <w:gridCol w:w="4006"/>
      </w:tblGrid>
      <w:tr w:rsidR="00362851" w:rsidTr="00362851">
        <w:tc>
          <w:tcPr>
            <w:tcW w:w="4006" w:type="dxa"/>
          </w:tcPr>
          <w:p w:rsidR="00362851" w:rsidRDefault="00362851" w:rsidP="00992664">
            <w:pPr>
              <w:pStyle w:val="libFootnote0"/>
              <w:rPr>
                <w:rtl/>
              </w:rPr>
            </w:pPr>
            <w:r>
              <w:rPr>
                <w:rtl/>
              </w:rPr>
              <w:t xml:space="preserve">(6). </w:t>
            </w:r>
            <w:r w:rsidRPr="00020424">
              <w:rPr>
                <w:rtl/>
              </w:rPr>
              <w:t>في « بح ، بر ، بف » :</w:t>
            </w:r>
            <w:r>
              <w:rPr>
                <w:rtl/>
              </w:rPr>
              <w:t xml:space="preserve"> - </w:t>
            </w:r>
            <w:r w:rsidRPr="00020424">
              <w:rPr>
                <w:rtl/>
              </w:rPr>
              <w:t>« عمر</w:t>
            </w:r>
            <w:r>
              <w:rPr>
                <w:rtl/>
              </w:rPr>
              <w:t xml:space="preserve"> ».</w:t>
            </w:r>
          </w:p>
        </w:tc>
        <w:tc>
          <w:tcPr>
            <w:tcW w:w="4006" w:type="dxa"/>
          </w:tcPr>
          <w:p w:rsidR="00362851" w:rsidRDefault="00362851" w:rsidP="00992664">
            <w:pPr>
              <w:pStyle w:val="libFootnote0"/>
              <w:rPr>
                <w:rtl/>
              </w:rPr>
            </w:pPr>
            <w:r>
              <w:rPr>
                <w:rtl/>
              </w:rPr>
              <w:t xml:space="preserve">(7). </w:t>
            </w:r>
            <w:r w:rsidRPr="00020424">
              <w:rPr>
                <w:rtl/>
              </w:rPr>
              <w:t xml:space="preserve">في </w:t>
            </w:r>
            <w:r w:rsidRPr="00362851">
              <w:rPr>
                <w:rtl/>
              </w:rPr>
              <w:t>الوسائل</w:t>
            </w:r>
            <w:r w:rsidRPr="00020424">
              <w:rPr>
                <w:rtl/>
              </w:rPr>
              <w:t xml:space="preserve"> : « عبدالملك</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w:t>
      </w:r>
      <w:r w:rsidR="00992664" w:rsidRPr="00515444">
        <w:rPr>
          <w:rStyle w:val="libFootnoteBoldChar"/>
          <w:rtl/>
        </w:rPr>
        <w:t>والتهذيب</w:t>
      </w:r>
      <w:r w:rsidR="00992664" w:rsidRPr="00020424">
        <w:rPr>
          <w:rtl/>
        </w:rPr>
        <w:t xml:space="preserve"> ، ج 6 : « ولا يقسم</w:t>
      </w:r>
      <w:r w:rsidR="00992664">
        <w:rPr>
          <w:rtl/>
        </w:rPr>
        <w:t xml:space="preserve"> ».</w:t>
      </w:r>
      <w:r w:rsidR="00992664" w:rsidRPr="00020424">
        <w:rPr>
          <w:rtl/>
        </w:rPr>
        <w:t xml:space="preserve"> وفي الكافي ، ح 8227 : « ولا يقسمه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الكافي ، ح 8227 </w:t>
      </w:r>
      <w:r w:rsidR="00992664" w:rsidRPr="00515444">
        <w:rPr>
          <w:rStyle w:val="libFootnoteBoldChar"/>
          <w:rtl/>
        </w:rPr>
        <w:t>والتهذيب</w:t>
      </w:r>
      <w:r w:rsidR="00992664" w:rsidRPr="00020424">
        <w:rPr>
          <w:rtl/>
        </w:rPr>
        <w:t xml:space="preserve"> ، ج 6 </w:t>
      </w:r>
      <w:r w:rsidR="00992664" w:rsidRPr="00DE3E80">
        <w:rPr>
          <w:rStyle w:val="libFootnoteBoldChar"/>
          <w:rtl/>
        </w:rPr>
        <w:t>والمقنعة</w:t>
      </w:r>
      <w:r w:rsidR="00992664" w:rsidRPr="00020424">
        <w:rPr>
          <w:rtl/>
        </w:rPr>
        <w:t xml:space="preserve"> : « يقسمه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62851" w:rsidTr="00362851">
        <w:tc>
          <w:tcPr>
            <w:tcW w:w="4006" w:type="dxa"/>
          </w:tcPr>
          <w:p w:rsidR="00362851" w:rsidRDefault="00362851" w:rsidP="00992664">
            <w:pPr>
              <w:pStyle w:val="libFootnote0"/>
              <w:rPr>
                <w:rtl/>
              </w:rPr>
            </w:pPr>
            <w:r>
              <w:rPr>
                <w:rtl/>
              </w:rPr>
              <w:t xml:space="preserve">(10). </w:t>
            </w:r>
            <w:r w:rsidRPr="00020424">
              <w:rPr>
                <w:rtl/>
              </w:rPr>
              <w:t xml:space="preserve">في </w:t>
            </w:r>
            <w:r w:rsidRPr="00362851">
              <w:rPr>
                <w:rtl/>
              </w:rPr>
              <w:t xml:space="preserve">الوافي </w:t>
            </w:r>
            <w:r w:rsidRPr="00DE3E80">
              <w:rPr>
                <w:rStyle w:val="libFootnoteBoldChar"/>
                <w:rtl/>
              </w:rPr>
              <w:t>والمقنعة</w:t>
            </w:r>
            <w:r w:rsidRPr="00020424">
              <w:rPr>
                <w:rtl/>
              </w:rPr>
              <w:t xml:space="preserve"> : « من</w:t>
            </w:r>
            <w:r>
              <w:rPr>
                <w:rtl/>
              </w:rPr>
              <w:t xml:space="preserve"> ».</w:t>
            </w:r>
          </w:p>
        </w:tc>
        <w:tc>
          <w:tcPr>
            <w:tcW w:w="4006" w:type="dxa"/>
          </w:tcPr>
          <w:p w:rsidR="00362851" w:rsidRDefault="00362851" w:rsidP="00992664">
            <w:pPr>
              <w:pStyle w:val="libFootnote0"/>
              <w:rPr>
                <w:rtl/>
              </w:rPr>
            </w:pPr>
            <w:r>
              <w:rPr>
                <w:rtl/>
              </w:rPr>
              <w:t xml:space="preserve">(11). </w:t>
            </w:r>
            <w:r w:rsidRPr="00020424">
              <w:rPr>
                <w:rtl/>
              </w:rPr>
              <w:t xml:space="preserve">في </w:t>
            </w:r>
            <w:r w:rsidRPr="00362851">
              <w:rPr>
                <w:rtl/>
              </w:rPr>
              <w:t>الوافي</w:t>
            </w:r>
            <w:r w:rsidRPr="00020424">
              <w:rPr>
                <w:rtl/>
              </w:rPr>
              <w:t xml:space="preserve"> : « يحضرها</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103 : « قال » بدل « ما يرى</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الكافي ، ح 8227 : « وليس عليه</w:t>
      </w:r>
      <w:r w:rsidR="00992664">
        <w:rPr>
          <w:rtl/>
        </w:rPr>
        <w:t xml:space="preserve"> ».</w:t>
      </w:r>
      <w:r w:rsidR="00992664" w:rsidRPr="00020424">
        <w:rPr>
          <w:rtl/>
        </w:rPr>
        <w:t xml:space="preserve"> وفي </w:t>
      </w:r>
      <w:r w:rsidR="00992664" w:rsidRPr="00362851">
        <w:rPr>
          <w:rtl/>
        </w:rPr>
        <w:t>التهذيب</w:t>
      </w:r>
      <w:r w:rsidR="00992664" w:rsidRPr="00020424">
        <w:rPr>
          <w:rtl/>
        </w:rPr>
        <w:t xml:space="preserve"> ، ج 6 : + « عليه</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DE76B9">
        <w:rPr>
          <w:rStyle w:val="libFootnoteBoldChar"/>
          <w:rtl/>
        </w:rPr>
        <w:t>الكافي</w:t>
      </w:r>
      <w:r w:rsidR="00992664" w:rsidRPr="00020424">
        <w:rPr>
          <w:rtl/>
        </w:rPr>
        <w:t xml:space="preserve"> ، </w:t>
      </w:r>
      <w:r w:rsidR="00992664" w:rsidRPr="00362851">
        <w:rPr>
          <w:rStyle w:val="libFootnoteBoldChar"/>
          <w:rtl/>
        </w:rPr>
        <w:t>كتاب الجهاد</w:t>
      </w:r>
      <w:r w:rsidR="00992664" w:rsidRPr="00020424">
        <w:rPr>
          <w:rtl/>
        </w:rPr>
        <w:t xml:space="preserve"> ، باب دخول عمرو بن عبيد والمعتزلة على أبي عبدالله </w:t>
      </w:r>
      <w:r w:rsidR="00992664" w:rsidRPr="00D64ADA">
        <w:rPr>
          <w:rStyle w:val="libFootnoteAlaemChar"/>
          <w:rtl/>
        </w:rPr>
        <w:t>عليه‌السلام</w:t>
      </w:r>
      <w:r w:rsidR="00992664" w:rsidRPr="00020424">
        <w:rPr>
          <w:rtl/>
        </w:rPr>
        <w:t xml:space="preserve"> ، ضمن الحديث الطويل 8227. وفي </w:t>
      </w:r>
      <w:r w:rsidR="00992664" w:rsidRPr="0012008A">
        <w:rPr>
          <w:rStyle w:val="libFootnoteBoldChar"/>
          <w:rtl/>
        </w:rPr>
        <w:t>التهذيب</w:t>
      </w:r>
      <w:r w:rsidR="00992664" w:rsidRPr="00020424">
        <w:rPr>
          <w:rtl/>
        </w:rPr>
        <w:t xml:space="preserve"> ، ج 4 ، ص 103 ، ح 292 ، معلّقاً عن الكليني. </w:t>
      </w:r>
      <w:r w:rsidR="00992664" w:rsidRPr="00DE76B9">
        <w:rPr>
          <w:rStyle w:val="libFootnoteBoldChar"/>
          <w:rtl/>
        </w:rPr>
        <w:t>وفيه</w:t>
      </w:r>
      <w:r w:rsidR="00992664" w:rsidRPr="00020424">
        <w:rPr>
          <w:rtl/>
        </w:rPr>
        <w:t xml:space="preserve"> ، ج 6 ، ص 150 ، ضمن الحديث الطويل 261 ، معلّقاً عن عليّ بن إبراهيم. </w:t>
      </w:r>
      <w:r w:rsidR="00992664" w:rsidRPr="00DE76B9">
        <w:rPr>
          <w:rStyle w:val="libFootnoteBoldChar"/>
          <w:rtl/>
        </w:rPr>
        <w:t>وفيه</w:t>
      </w:r>
      <w:r w:rsidR="00992664" w:rsidRPr="00020424">
        <w:rPr>
          <w:rtl/>
        </w:rPr>
        <w:t xml:space="preserve"> أيضاً ، ص 130 ، ضمن الحديث الطويل 366 ، بسند آخر عن أبي الحسن الأوّل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المقنعة</w:t>
      </w:r>
      <w:r w:rsidR="00992664" w:rsidRPr="00020424">
        <w:rPr>
          <w:rtl/>
        </w:rPr>
        <w:t xml:space="preserve"> ، ص 260 ، مرسلاً عن عبد الكريم بن عتبة الهاشمي. </w:t>
      </w:r>
      <w:r w:rsidR="00992664" w:rsidRPr="0012008A">
        <w:rPr>
          <w:rStyle w:val="libFootnoteBoldChar"/>
          <w:rtl/>
        </w:rPr>
        <w:t>الفقيه</w:t>
      </w:r>
      <w:r w:rsidR="00992664" w:rsidRPr="00020424">
        <w:rPr>
          <w:rtl/>
        </w:rPr>
        <w:t xml:space="preserve"> ، ج 2 ، ص 31 ، ح 1619 ، مرسلاً ، هكذا : « وكان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يقسم</w:t>
      </w:r>
      <w:r w:rsidR="00992664">
        <w:rPr>
          <w:rtl/>
        </w:rPr>
        <w:t xml:space="preserve"> ....</w:t>
      </w:r>
      <w:r w:rsidR="00992664" w:rsidRPr="00020424">
        <w:rPr>
          <w:rtl/>
        </w:rPr>
        <w:t xml:space="preserve"> » </w:t>
      </w:r>
      <w:r w:rsidR="00362851">
        <w:rPr>
          <w:rFonts w:hint="cs"/>
          <w:rtl/>
        </w:rPr>
        <w:t>.</w:t>
      </w:r>
      <w:r w:rsidR="00992664" w:rsidRPr="0012008A">
        <w:rPr>
          <w:rStyle w:val="libFootnoteBoldChar"/>
          <w:rtl/>
        </w:rPr>
        <w:t>الوافي</w:t>
      </w:r>
      <w:r w:rsidR="00992664" w:rsidRPr="00020424">
        <w:rPr>
          <w:rtl/>
        </w:rPr>
        <w:t xml:space="preserve"> ، ج 10 ، ص 202 ، ح 9438 ؛ </w:t>
      </w:r>
      <w:r w:rsidR="00992664" w:rsidRPr="0012008A">
        <w:rPr>
          <w:rStyle w:val="libFootnoteBoldChar"/>
          <w:rtl/>
        </w:rPr>
        <w:t>الوسائل</w:t>
      </w:r>
      <w:r w:rsidR="00992664" w:rsidRPr="00020424">
        <w:rPr>
          <w:rtl/>
        </w:rPr>
        <w:t xml:space="preserve"> ، ج 9 ، ص 284 ، ح 12032 ، إلى قوله : « وصدقة أهل الحضر في أهل الحضر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96173">
        <w:rPr>
          <w:rtl/>
        </w:rPr>
        <w:lastRenderedPageBreak/>
        <w:t>5944</w:t>
      </w:r>
      <w:r w:rsidRPr="001155DE">
        <w:rPr>
          <w:rStyle w:val="libBold2Char"/>
          <w:rtl/>
        </w:rPr>
        <w:t xml:space="preserve"> / 9.</w:t>
      </w:r>
      <w:r w:rsidRPr="00020424">
        <w:rPr>
          <w:rtl/>
          <w:lang w:bidi="fa-IR"/>
        </w:rPr>
        <w:t xml:space="preserve"> عِدَّةٌ مِنْ أَصْحَابِنَا ، عَنْ أَحْمَدَ بْنِ مُحَمَّدٍ ، عَنِ الْحَسَنِ بْنِ عَلِيٍّ ، عَنْ وُهَيْبِ بْنِ حَفْصٍ ، قَالَ :</w:t>
      </w:r>
    </w:p>
    <w:p w:rsidR="00992664" w:rsidRPr="00020424" w:rsidRDefault="00992664" w:rsidP="00992664">
      <w:pPr>
        <w:pStyle w:val="libNormal"/>
        <w:rPr>
          <w:rtl/>
          <w:lang w:bidi="fa-IR"/>
        </w:rPr>
      </w:pPr>
      <w:r w:rsidRPr="00020424">
        <w:rPr>
          <w:rtl/>
          <w:lang w:bidi="fa-IR"/>
        </w:rPr>
        <w:t xml:space="preserve">كُنَّا مَعَ أَبِي بَصِيرٍ ، فَأَتَاهُ عَمْرُو بْنُ إِلْيَاسَ ، فَقَالَ لَهُ : يَا أَبَا مُحَمَّدٍ </w:t>
      </w:r>
      <w:r w:rsidRPr="00A91B96">
        <w:rPr>
          <w:rStyle w:val="libFootnotenumChar"/>
          <w:rtl/>
        </w:rPr>
        <w:t>(1)</w:t>
      </w:r>
      <w:r w:rsidRPr="00020424">
        <w:rPr>
          <w:rtl/>
          <w:lang w:bidi="fa-IR"/>
        </w:rPr>
        <w:t xml:space="preserve"> ، إِنَّ أَخِي بِحَلَبَ بَعَثَ إِلَيَّ بِمَالٍ مِنَ الزَّكَاةِ </w:t>
      </w:r>
      <w:r w:rsidRPr="00A91B96">
        <w:rPr>
          <w:rStyle w:val="libFootnotenumChar"/>
          <w:rtl/>
        </w:rPr>
        <w:t>(2)</w:t>
      </w:r>
      <w:r w:rsidRPr="00020424">
        <w:rPr>
          <w:rtl/>
          <w:lang w:bidi="fa-IR"/>
        </w:rPr>
        <w:t xml:space="preserve"> أَقْسِمُهُ بِالْكُوفَةِ ، فَقُطِعَ عَلَيْهِ الطَّرِيقُ ، فَهَلْ عِنْدَكَ فِيهِ </w:t>
      </w:r>
      <w:r w:rsidRPr="00A91B96">
        <w:rPr>
          <w:rStyle w:val="libFootnotenumChar"/>
          <w:rtl/>
        </w:rPr>
        <w:t>(3)</w:t>
      </w:r>
      <w:r w:rsidRPr="00020424">
        <w:rPr>
          <w:rtl/>
          <w:lang w:bidi="fa-IR"/>
        </w:rPr>
        <w:t xml:space="preserve"> رِوَايَةٌ </w:t>
      </w:r>
      <w:r w:rsidRPr="00A91B96">
        <w:rPr>
          <w:rStyle w:val="libFootnotenumChar"/>
          <w:rtl/>
        </w:rPr>
        <w:t>(4)</w:t>
      </w:r>
      <w:r>
        <w:rPr>
          <w:rtl/>
          <w:lang w:bidi="fa-IR"/>
        </w:rPr>
        <w:t>؟</w:t>
      </w:r>
    </w:p>
    <w:p w:rsidR="00992664" w:rsidRPr="00020424" w:rsidRDefault="00992664" w:rsidP="00A05922">
      <w:pPr>
        <w:pStyle w:val="libNormal"/>
        <w:rPr>
          <w:rtl/>
          <w:lang w:bidi="fa-IR"/>
        </w:rPr>
      </w:pPr>
      <w:r w:rsidRPr="00020424">
        <w:rPr>
          <w:rtl/>
          <w:lang w:bidi="fa-IR"/>
        </w:rPr>
        <w:t xml:space="preserve">فَقَالَ : نَعَمْ ، سَأَلْتُ أَبَا جَعْفَرٍ </w:t>
      </w:r>
      <w:r w:rsidRPr="00005A81">
        <w:rPr>
          <w:rStyle w:val="libAlaemChar"/>
          <w:rtl/>
        </w:rPr>
        <w:t>عليه‌السلام</w:t>
      </w:r>
      <w:r w:rsidRPr="00020424">
        <w:rPr>
          <w:rtl/>
          <w:lang w:bidi="fa-IR"/>
        </w:rPr>
        <w:t xml:space="preserve"> عَنْ هذِهِ الْمَسْأَلَةِ ، وَلَمْ أَظُنَّ </w:t>
      </w:r>
      <w:r w:rsidRPr="00A91B96">
        <w:rPr>
          <w:rStyle w:val="libFootnotenumChar"/>
          <w:rtl/>
        </w:rPr>
        <w:t>(5)</w:t>
      </w:r>
      <w:r w:rsidRPr="00020424">
        <w:rPr>
          <w:rtl/>
          <w:lang w:bidi="fa-IR"/>
        </w:rPr>
        <w:t xml:space="preserve"> أَنَّ </w:t>
      </w:r>
      <w:r w:rsidRPr="00A91B96">
        <w:rPr>
          <w:rStyle w:val="libFootnotenumChar"/>
          <w:rtl/>
        </w:rPr>
        <w:t>(6)</w:t>
      </w:r>
      <w:r w:rsidRPr="00020424">
        <w:rPr>
          <w:rtl/>
          <w:lang w:bidi="fa-IR"/>
        </w:rPr>
        <w:t xml:space="preserve"> أَحَداً يَسْأَلُنِي عَنْهَا أَبَداً ، فَقُلْتُ لِأَبِي جَعْفَرٍ </w:t>
      </w:r>
      <w:r w:rsidR="00A05922" w:rsidRPr="00005A81">
        <w:rPr>
          <w:rStyle w:val="libAlaemChar"/>
          <w:rtl/>
        </w:rPr>
        <w:t>عليه‌السلام</w:t>
      </w:r>
      <w:r w:rsidRPr="00020424">
        <w:rPr>
          <w:rtl/>
          <w:lang w:bidi="fa-IR"/>
        </w:rPr>
        <w:t xml:space="preserve">: جُعِلْتُ فِدَاكَ ، الرَّجُلُ يَبْعَثُ بِزَكَاتِهِ </w:t>
      </w:r>
      <w:r w:rsidRPr="00A91B96">
        <w:rPr>
          <w:rStyle w:val="libFootnotenumChar"/>
          <w:rtl/>
        </w:rPr>
        <w:t>(7)</w:t>
      </w:r>
      <w:r w:rsidRPr="00020424">
        <w:rPr>
          <w:rtl/>
          <w:lang w:bidi="fa-IR"/>
        </w:rPr>
        <w:t xml:space="preserve"> مِنْ أَرْضٍ إِلى أَرْضٍ ، فَيُقْطَعُ </w:t>
      </w:r>
      <w:r w:rsidRPr="00A91B96">
        <w:rPr>
          <w:rStyle w:val="libFootnotenumChar"/>
          <w:rtl/>
        </w:rPr>
        <w:t>(8)</w:t>
      </w:r>
      <w:r w:rsidRPr="00020424">
        <w:rPr>
          <w:rtl/>
          <w:lang w:bidi="fa-IR"/>
        </w:rPr>
        <w:t xml:space="preserve"> عَلَيْهِ الطَّرِيقُ ، فَقَالَ : « قَدْ أَجْزَأَتْ </w:t>
      </w:r>
      <w:r w:rsidRPr="00A91B96">
        <w:rPr>
          <w:rStyle w:val="libFootnotenumChar"/>
          <w:rtl/>
        </w:rPr>
        <w:t>(9)</w:t>
      </w:r>
      <w:r w:rsidRPr="00020424">
        <w:rPr>
          <w:rtl/>
          <w:lang w:bidi="fa-IR"/>
        </w:rPr>
        <w:t xml:space="preserve"> عَنْهُ </w:t>
      </w:r>
      <w:r w:rsidRPr="00A91B96">
        <w:rPr>
          <w:rStyle w:val="libFootnotenumChar"/>
          <w:rtl/>
        </w:rPr>
        <w:t>(10)</w:t>
      </w:r>
      <w:r w:rsidRPr="00020424">
        <w:rPr>
          <w:rtl/>
          <w:lang w:bidi="fa-IR"/>
        </w:rPr>
        <w:t xml:space="preserve"> ، وَلَوْ كُنْتُ أَنَا لَأَعَدْتُهَا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896173">
        <w:rPr>
          <w:rtl/>
        </w:rPr>
        <w:t>5945</w:t>
      </w:r>
      <w:r w:rsidRPr="001155DE">
        <w:rPr>
          <w:rStyle w:val="libBold2Char"/>
          <w:rtl/>
        </w:rPr>
        <w:t xml:space="preserve"> / 10.</w:t>
      </w:r>
      <w:r w:rsidRPr="00020424">
        <w:rPr>
          <w:rtl/>
          <w:lang w:bidi="fa-IR"/>
        </w:rPr>
        <w:t xml:space="preserve"> أَبُو عَلِيٍّ الْأَشْعَرِيُّ ، عَنْ مُحَمَّدِ بْنِ عَبْدِ الْجَبَّارِ ، عَنْ صَفْوَانَ بْنِ يَحْيى </w:t>
      </w:r>
      <w:r w:rsidRPr="00A91B96">
        <w:rPr>
          <w:rStyle w:val="libFootnotenumChar"/>
          <w:rtl/>
        </w:rPr>
        <w:t>(13)</w:t>
      </w:r>
      <w:r w:rsidRPr="00020424">
        <w:rPr>
          <w:rtl/>
          <w:lang w:bidi="fa-IR"/>
        </w:rPr>
        <w:t xml:space="preserve"> ، عَنْ عَبْدِ اللهِ بْنِ مُسْكَانَ </w:t>
      </w:r>
      <w:r w:rsidRPr="00A91B96">
        <w:rPr>
          <w:rStyle w:val="libFootnotenumChar"/>
          <w:rtl/>
        </w:rPr>
        <w:t>(14)</w:t>
      </w:r>
      <w:r w:rsidRPr="00020424">
        <w:rPr>
          <w:rtl/>
          <w:lang w:bidi="fa-IR"/>
        </w:rPr>
        <w:t xml:space="preserve">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تَحِلُّ صَدَقَةُ الْمُهَاجِرِينَ لِلْأَعْرَابِ </w:t>
      </w:r>
      <w:r w:rsidRPr="00A91B96">
        <w:rPr>
          <w:rStyle w:val="libFootnotenumChar"/>
          <w:rtl/>
        </w:rPr>
        <w:t>(15)</w:t>
      </w:r>
      <w:r w:rsidRPr="00020424">
        <w:rPr>
          <w:rtl/>
          <w:lang w:bidi="fa-IR"/>
        </w:rPr>
        <w:t xml:space="preserve"> ، وَلَاصَدَقَةُ الْأَعْرَابِ لِلْمُهَاجِرِينَ </w:t>
      </w:r>
      <w:r w:rsidRPr="00A91B96">
        <w:rPr>
          <w:rStyle w:val="libFootnotenumChar"/>
          <w:rtl/>
        </w:rPr>
        <w:t>(16)</w:t>
      </w:r>
      <w:r>
        <w:rPr>
          <w:rtl/>
          <w:lang w:bidi="fa-IR"/>
        </w:rPr>
        <w:t xml:space="preserve"> ».</w:t>
      </w:r>
      <w:r w:rsidRPr="00020424">
        <w:rPr>
          <w:rtl/>
          <w:lang w:bidi="fa-IR"/>
        </w:rPr>
        <w:t xml:space="preserve"> </w:t>
      </w:r>
      <w:r w:rsidRPr="00A91B96">
        <w:rPr>
          <w:rStyle w:val="libFootnotenumChar"/>
          <w:rtl/>
        </w:rPr>
        <w:t>(17)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F1071" w:rsidTr="00AF1071">
        <w:tc>
          <w:tcPr>
            <w:tcW w:w="4006" w:type="dxa"/>
          </w:tcPr>
          <w:p w:rsidR="00AF1071" w:rsidRDefault="00AF1071" w:rsidP="00992664">
            <w:pPr>
              <w:pStyle w:val="libFootnote0"/>
              <w:rPr>
                <w:rtl/>
              </w:rPr>
            </w:pPr>
            <w:r>
              <w:rPr>
                <w:rtl/>
              </w:rPr>
              <w:t xml:space="preserve">(1). </w:t>
            </w:r>
            <w:r w:rsidRPr="00020424">
              <w:rPr>
                <w:rtl/>
              </w:rPr>
              <w:t>في « بف ، جن » : « يا با محمّد</w:t>
            </w:r>
            <w:r>
              <w:rPr>
                <w:rtl/>
              </w:rPr>
              <w:t xml:space="preserve"> ».</w:t>
            </w:r>
          </w:p>
        </w:tc>
        <w:tc>
          <w:tcPr>
            <w:tcW w:w="4006" w:type="dxa"/>
          </w:tcPr>
          <w:p w:rsidR="00AF1071" w:rsidRDefault="00AF1071" w:rsidP="00992664">
            <w:pPr>
              <w:pStyle w:val="libFootnote0"/>
              <w:rPr>
                <w:rtl/>
              </w:rPr>
            </w:pPr>
            <w:r>
              <w:rPr>
                <w:rtl/>
              </w:rPr>
              <w:t xml:space="preserve">(2). </w:t>
            </w:r>
            <w:r w:rsidRPr="00020424">
              <w:rPr>
                <w:rtl/>
              </w:rPr>
              <w:t>في « جن » : « زكاة</w:t>
            </w:r>
            <w:r>
              <w:rPr>
                <w:rtl/>
              </w:rPr>
              <w:t xml:space="preserve"> ».</w:t>
            </w:r>
          </w:p>
        </w:tc>
      </w:tr>
      <w:tr w:rsidR="00AF1071" w:rsidTr="00AF1071">
        <w:tc>
          <w:tcPr>
            <w:tcW w:w="4006" w:type="dxa"/>
          </w:tcPr>
          <w:p w:rsidR="00AF1071" w:rsidRDefault="00AF1071" w:rsidP="00992664">
            <w:pPr>
              <w:pStyle w:val="libFootnote0"/>
              <w:rPr>
                <w:rtl/>
              </w:rPr>
            </w:pPr>
            <w:r>
              <w:rPr>
                <w:rtl/>
              </w:rPr>
              <w:t xml:space="preserve">(3). </w:t>
            </w:r>
            <w:r w:rsidRPr="00020424">
              <w:rPr>
                <w:rtl/>
              </w:rPr>
              <w:t>في « ظ » : « عنه</w:t>
            </w:r>
            <w:r>
              <w:rPr>
                <w:rtl/>
              </w:rPr>
              <w:t xml:space="preserve"> ».</w:t>
            </w:r>
          </w:p>
        </w:tc>
        <w:tc>
          <w:tcPr>
            <w:tcW w:w="4006" w:type="dxa"/>
          </w:tcPr>
          <w:p w:rsidR="00AF1071" w:rsidRDefault="00AF1071" w:rsidP="00992664">
            <w:pPr>
              <w:pStyle w:val="libFootnote0"/>
              <w:rPr>
                <w:rtl/>
              </w:rPr>
            </w:pPr>
            <w:r>
              <w:rPr>
                <w:rtl/>
              </w:rPr>
              <w:t xml:space="preserve">(4). </w:t>
            </w:r>
            <w:r w:rsidRPr="00020424">
              <w:rPr>
                <w:rtl/>
              </w:rPr>
              <w:t>في « بح » وحاشية « ظ ، بس » : « شي‌ء</w:t>
            </w:r>
            <w:r>
              <w:rPr>
                <w:rtl/>
              </w:rPr>
              <w:t xml:space="preserve"> ».</w:t>
            </w:r>
          </w:p>
        </w:tc>
      </w:tr>
      <w:tr w:rsidR="00AF1071" w:rsidTr="00AF1071">
        <w:tc>
          <w:tcPr>
            <w:tcW w:w="4006" w:type="dxa"/>
          </w:tcPr>
          <w:p w:rsidR="00AF1071" w:rsidRDefault="00AF1071" w:rsidP="00992664">
            <w:pPr>
              <w:pStyle w:val="libFootnote0"/>
              <w:rPr>
                <w:rtl/>
              </w:rPr>
            </w:pPr>
            <w:r>
              <w:rPr>
                <w:rtl/>
              </w:rPr>
              <w:t>(5). في «بخ ،بر،بف » وحاشية «بث» : «</w:t>
            </w:r>
            <w:r w:rsidRPr="00020424">
              <w:rPr>
                <w:rtl/>
              </w:rPr>
              <w:t>وما أظنّ</w:t>
            </w:r>
            <w:r>
              <w:rPr>
                <w:rtl/>
              </w:rPr>
              <w:t>».</w:t>
            </w:r>
          </w:p>
        </w:tc>
        <w:tc>
          <w:tcPr>
            <w:tcW w:w="4006" w:type="dxa"/>
          </w:tcPr>
          <w:p w:rsidR="00AF1071" w:rsidRDefault="00AF1071" w:rsidP="00992664">
            <w:pPr>
              <w:pStyle w:val="libFootnote0"/>
              <w:rPr>
                <w:rtl/>
              </w:rPr>
            </w:pPr>
            <w:r>
              <w:rPr>
                <w:rtl/>
              </w:rPr>
              <w:t xml:space="preserve">(6). </w:t>
            </w:r>
            <w:r w:rsidRPr="00020424">
              <w:rPr>
                <w:rtl/>
              </w:rPr>
              <w:t>في « ى ، بر » :</w:t>
            </w:r>
            <w:r>
              <w:rPr>
                <w:rtl/>
              </w:rPr>
              <w:t xml:space="preserve"> - </w:t>
            </w:r>
            <w:r w:rsidRPr="00020424">
              <w:rPr>
                <w:rtl/>
              </w:rPr>
              <w:t>« أنّ</w:t>
            </w:r>
            <w:r>
              <w:rPr>
                <w:rtl/>
              </w:rPr>
              <w:t xml:space="preserve"> ».</w:t>
            </w:r>
          </w:p>
        </w:tc>
      </w:tr>
      <w:tr w:rsidR="00AF1071" w:rsidTr="00AF1071">
        <w:tc>
          <w:tcPr>
            <w:tcW w:w="4006" w:type="dxa"/>
          </w:tcPr>
          <w:p w:rsidR="00AF1071" w:rsidRDefault="00AF1071" w:rsidP="00992664">
            <w:pPr>
              <w:pStyle w:val="libFootnote0"/>
              <w:rPr>
                <w:rtl/>
              </w:rPr>
            </w:pPr>
            <w:r>
              <w:rPr>
                <w:rtl/>
              </w:rPr>
              <w:t xml:space="preserve">(7). </w:t>
            </w:r>
            <w:r w:rsidRPr="00020424">
              <w:rPr>
                <w:rtl/>
              </w:rPr>
              <w:t xml:space="preserve">في </w:t>
            </w:r>
            <w:r w:rsidRPr="00AF1071">
              <w:rPr>
                <w:rtl/>
              </w:rPr>
              <w:t>الوسائل</w:t>
            </w:r>
            <w:r w:rsidRPr="00020424">
              <w:rPr>
                <w:rtl/>
              </w:rPr>
              <w:t xml:space="preserve"> : « بزكاة ماله</w:t>
            </w:r>
            <w:r>
              <w:rPr>
                <w:rtl/>
              </w:rPr>
              <w:t xml:space="preserve"> ».</w:t>
            </w:r>
          </w:p>
        </w:tc>
        <w:tc>
          <w:tcPr>
            <w:tcW w:w="4006" w:type="dxa"/>
          </w:tcPr>
          <w:p w:rsidR="00AF1071" w:rsidRDefault="00AF1071" w:rsidP="00992664">
            <w:pPr>
              <w:pStyle w:val="libFootnote0"/>
              <w:rPr>
                <w:rtl/>
              </w:rPr>
            </w:pPr>
            <w:r>
              <w:rPr>
                <w:rtl/>
              </w:rPr>
              <w:t xml:space="preserve">(8). </w:t>
            </w:r>
            <w:r w:rsidRPr="00020424">
              <w:rPr>
                <w:rtl/>
              </w:rPr>
              <w:t xml:space="preserve">في « بخ ، بر ، بف » </w:t>
            </w:r>
            <w:r w:rsidRPr="00515444">
              <w:rPr>
                <w:rStyle w:val="libFootnoteBoldChar"/>
                <w:rtl/>
              </w:rPr>
              <w:t>والوافي</w:t>
            </w:r>
            <w:r w:rsidRPr="00020424">
              <w:rPr>
                <w:rtl/>
              </w:rPr>
              <w:t xml:space="preserve"> : « فقطع</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بخ ، بف » </w:t>
      </w:r>
      <w:r w:rsidR="00992664" w:rsidRPr="00515444">
        <w:rPr>
          <w:rStyle w:val="libFootnoteBoldChar"/>
          <w:rtl/>
        </w:rPr>
        <w:t>والوافي</w:t>
      </w:r>
      <w:r w:rsidR="00992664" w:rsidRPr="00AF1071">
        <w:rPr>
          <w:rtl/>
        </w:rPr>
        <w:t xml:space="preserve"> </w:t>
      </w:r>
      <w:r w:rsidR="00992664" w:rsidRPr="00EB1FD9">
        <w:rPr>
          <w:rStyle w:val="libFootnoteBoldChar"/>
          <w:rtl/>
        </w:rPr>
        <w:t>والوسائل</w:t>
      </w:r>
      <w:r w:rsidR="00992664" w:rsidRPr="00020424">
        <w:rPr>
          <w:rtl/>
        </w:rPr>
        <w:t xml:space="preserve"> : « أجزأته</w:t>
      </w:r>
      <w:r w:rsidR="00992664">
        <w:rPr>
          <w:rtl/>
        </w:rPr>
        <w:t xml:space="preserve"> ».</w:t>
      </w:r>
      <w:r w:rsidR="00992664" w:rsidRPr="00020424">
        <w:rPr>
          <w:rtl/>
        </w:rPr>
        <w:t xml:space="preserve"> وفي « بح » : « أجزأه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بخ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عنه</w:t>
      </w:r>
      <w:r w:rsidR="00992664">
        <w:rPr>
          <w:rtl/>
        </w:rPr>
        <w:t xml:space="preserve"> ».</w:t>
      </w:r>
      <w:r w:rsidR="00992664" w:rsidRPr="00020424">
        <w:rPr>
          <w:rtl/>
        </w:rPr>
        <w:t xml:space="preserve"> وفي </w:t>
      </w:r>
      <w:r w:rsidR="00992664" w:rsidRPr="00AF1071">
        <w:rPr>
          <w:rtl/>
        </w:rPr>
        <w:t>الوافي</w:t>
      </w:r>
      <w:r w:rsidR="00992664" w:rsidRPr="00020424">
        <w:rPr>
          <w:rtl/>
        </w:rPr>
        <w:t xml:space="preserve"> عن بعض النسخ : « به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ى » : « لأعدت</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215 ، ح 9474 ؛ </w:t>
      </w:r>
      <w:r w:rsidR="00992664" w:rsidRPr="0012008A">
        <w:rPr>
          <w:rStyle w:val="libFootnoteBoldChar"/>
          <w:rtl/>
        </w:rPr>
        <w:t>الوسائل</w:t>
      </w:r>
      <w:r w:rsidR="00992664" w:rsidRPr="00020424">
        <w:rPr>
          <w:rtl/>
        </w:rPr>
        <w:t xml:space="preserve"> ، ج 9 </w:t>
      </w:r>
      <w:r w:rsidR="00AF1071">
        <w:rPr>
          <w:rtl/>
        </w:rPr>
        <w:t>، ص 287 ، ح 12038 ، من قوله : «</w:t>
      </w:r>
      <w:r w:rsidR="00992664" w:rsidRPr="00020424">
        <w:rPr>
          <w:rtl/>
        </w:rPr>
        <w:t xml:space="preserve">فقلت لأبي جعفر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بر ، بف » وحاشية « بح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بخ ، بر ، بف » وحاشية « بح » </w:t>
      </w:r>
      <w:r w:rsidR="00992664" w:rsidRPr="00515444">
        <w:rPr>
          <w:rStyle w:val="libFootnoteBoldChar"/>
          <w:rtl/>
        </w:rPr>
        <w:t>والتهذيب</w:t>
      </w:r>
      <w:r w:rsidR="00992664" w:rsidRPr="00020424">
        <w:rPr>
          <w:rtl/>
        </w:rPr>
        <w:t xml:space="preserve"> : « عن ابن مسكان</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 في الأعراب</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بث ، بح ، بخ ، بر ، بف ، جن » </w:t>
      </w:r>
      <w:r w:rsidR="00992664" w:rsidRPr="00EB1FD9">
        <w:rPr>
          <w:rStyle w:val="libFootnoteBoldChar"/>
          <w:rtl/>
        </w:rPr>
        <w:t>والوسائل</w:t>
      </w:r>
      <w:r w:rsidR="00992664" w:rsidRPr="00AF1071">
        <w:rPr>
          <w:rtl/>
        </w:rPr>
        <w:t xml:space="preserve"> </w:t>
      </w:r>
      <w:r w:rsidR="00992664" w:rsidRPr="00515444">
        <w:rPr>
          <w:rStyle w:val="libFootnoteBoldChar"/>
          <w:rtl/>
        </w:rPr>
        <w:t>والتهذيب</w:t>
      </w:r>
      <w:r w:rsidR="00992664" w:rsidRPr="00AF1071">
        <w:rPr>
          <w:rtl/>
        </w:rPr>
        <w:t xml:space="preserve"> </w:t>
      </w:r>
      <w:r w:rsidR="00992664" w:rsidRPr="00DE3E80">
        <w:rPr>
          <w:rStyle w:val="libFootnoteBoldChar"/>
          <w:rtl/>
        </w:rPr>
        <w:t>والمقنعة</w:t>
      </w:r>
      <w:r w:rsidR="00992664" w:rsidRPr="00020424">
        <w:rPr>
          <w:rtl/>
        </w:rPr>
        <w:t xml:space="preserve"> : « في المهاجرين</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12008A">
        <w:rPr>
          <w:rStyle w:val="libFootnoteBoldChar"/>
          <w:rtl/>
        </w:rPr>
        <w:t>التهذيب</w:t>
      </w:r>
      <w:r w:rsidR="00992664" w:rsidRPr="00020424">
        <w:rPr>
          <w:rtl/>
        </w:rPr>
        <w:t xml:space="preserve"> ، ج 4 ، ص 108 ، ح 309 ، معلّقاً عن الكليني. </w:t>
      </w:r>
      <w:r w:rsidR="00992664" w:rsidRPr="0012008A">
        <w:rPr>
          <w:rStyle w:val="libFootnoteBoldChar"/>
          <w:rtl/>
        </w:rPr>
        <w:t>المقنعة</w:t>
      </w:r>
      <w:r w:rsidR="00992664" w:rsidRPr="00020424">
        <w:rPr>
          <w:rtl/>
        </w:rPr>
        <w:t xml:space="preserve"> ، ص 263 ، مرسلاً </w:t>
      </w:r>
      <w:r w:rsidR="00AF1071">
        <w:rPr>
          <w:rFonts w:hint="cs"/>
          <w:rtl/>
        </w:rPr>
        <w:t>.</w:t>
      </w:r>
      <w:r w:rsidR="00992664" w:rsidRPr="0012008A">
        <w:rPr>
          <w:rStyle w:val="libFootnoteBoldChar"/>
          <w:rtl/>
        </w:rPr>
        <w:t>الوافي</w:t>
      </w:r>
      <w:r w:rsidR="00992664" w:rsidRPr="00020424">
        <w:rPr>
          <w:rtl/>
        </w:rPr>
        <w:t xml:space="preserve"> ، ج 10 ، ص 202 ، </w:t>
      </w:r>
      <w:r w:rsidR="00AF107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42BE5">
        <w:rPr>
          <w:rtl/>
        </w:rPr>
        <w:lastRenderedPageBreak/>
        <w:t>5946</w:t>
      </w:r>
      <w:r w:rsidRPr="001155DE">
        <w:rPr>
          <w:rStyle w:val="libBold2Char"/>
          <w:rtl/>
        </w:rPr>
        <w:t xml:space="preserve"> / 11.</w:t>
      </w:r>
      <w:r w:rsidRPr="00020424">
        <w:rPr>
          <w:rtl/>
          <w:lang w:bidi="fa-IR"/>
        </w:rPr>
        <w:t xml:space="preserve"> مُحَمَّدُ بْنُ يَحْيى ، عَنْ أَحْمَدَ بْنِ مُحَمَّدٍ ، عَنِ الْحُسَيْنِ بْنِ سَعِيدٍ ، عَنِ النَّضْرِ بْنِ سُوَيْدٍ ، عَنْ يَحْيَى بْنِ عِمْرَانَ ، عَنِ ابْنِ مُسْكَانَ ، عَنْ ضُرَيْسٍ ، قَالَ :</w:t>
      </w:r>
    </w:p>
    <w:p w:rsidR="00992664" w:rsidRPr="00020424" w:rsidRDefault="00992664" w:rsidP="00992664">
      <w:pPr>
        <w:pStyle w:val="libNormal"/>
        <w:rPr>
          <w:rtl/>
          <w:lang w:bidi="fa-IR"/>
        </w:rPr>
      </w:pPr>
      <w:r w:rsidRPr="00020424">
        <w:rPr>
          <w:rtl/>
          <w:lang w:bidi="fa-IR"/>
        </w:rPr>
        <w:t xml:space="preserve">سَأَلَ الْمَدَائِنِيُّ أَبَا جَعْفَرٍ </w:t>
      </w:r>
      <w:r w:rsidRPr="00005A81">
        <w:rPr>
          <w:rStyle w:val="libAlaemChar"/>
          <w:rtl/>
        </w:rPr>
        <w:t>عليه‌السلام</w:t>
      </w:r>
      <w:r w:rsidRPr="00020424">
        <w:rPr>
          <w:rtl/>
          <w:lang w:bidi="fa-IR"/>
        </w:rPr>
        <w:t xml:space="preserve"> ، قَالَ </w:t>
      </w:r>
      <w:r w:rsidRPr="00A91B96">
        <w:rPr>
          <w:rStyle w:val="libFootnotenumChar"/>
          <w:rtl/>
        </w:rPr>
        <w:t>(1)</w:t>
      </w:r>
      <w:r w:rsidRPr="00020424">
        <w:rPr>
          <w:rtl/>
          <w:lang w:bidi="fa-IR"/>
        </w:rPr>
        <w:t xml:space="preserve"> : إِنَّ </w:t>
      </w:r>
      <w:r w:rsidRPr="00A91B96">
        <w:rPr>
          <w:rStyle w:val="libFootnotenumChar"/>
          <w:rtl/>
        </w:rPr>
        <w:t>(2)</w:t>
      </w:r>
      <w:r w:rsidRPr="00020424">
        <w:rPr>
          <w:rtl/>
          <w:lang w:bidi="fa-IR"/>
        </w:rPr>
        <w:t xml:space="preserve"> لَنَا زَكَاةً نُخْرِجُهَا مِنْ أَمْوَالِنَا ، فَفِي مَنْ نَضَعُهَا</w:t>
      </w:r>
      <w:r>
        <w:rPr>
          <w:rtl/>
          <w:lang w:bidi="fa-IR"/>
        </w:rPr>
        <w:t>؟</w:t>
      </w:r>
    </w:p>
    <w:p w:rsidR="00992664" w:rsidRPr="00020424" w:rsidRDefault="00992664" w:rsidP="00992664">
      <w:pPr>
        <w:pStyle w:val="libNormal"/>
        <w:rPr>
          <w:rtl/>
          <w:lang w:bidi="fa-IR"/>
        </w:rPr>
      </w:pPr>
      <w:r w:rsidRPr="00020424">
        <w:rPr>
          <w:rtl/>
          <w:lang w:bidi="fa-IR"/>
        </w:rPr>
        <w:t xml:space="preserve">فَقَالَ : « فِي </w:t>
      </w:r>
      <w:r w:rsidRPr="00A91B96">
        <w:rPr>
          <w:rStyle w:val="libFootnotenumChar"/>
          <w:rtl/>
        </w:rPr>
        <w:t>(3)</w:t>
      </w:r>
      <w:r w:rsidRPr="00020424">
        <w:rPr>
          <w:rtl/>
          <w:lang w:bidi="fa-IR"/>
        </w:rPr>
        <w:t xml:space="preserve"> أَهْلِ وَلَايَتِكَ</w:t>
      </w:r>
      <w:r>
        <w:rPr>
          <w:rtl/>
          <w:lang w:bidi="fa-IR"/>
        </w:rPr>
        <w:t xml:space="preserve"> ».</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إِنِّي فِي بِلَادٍ لَيْسَ فِيهَا أَحَدٌ مِنْ أَوْلِيَائِكَ</w:t>
      </w:r>
      <w:r>
        <w:rPr>
          <w:rtl/>
          <w:lang w:bidi="fa-IR"/>
        </w:rPr>
        <w:t>؟</w:t>
      </w:r>
    </w:p>
    <w:p w:rsidR="00992664" w:rsidRPr="00020424" w:rsidRDefault="00992664" w:rsidP="00992664">
      <w:pPr>
        <w:pStyle w:val="libNormal"/>
        <w:rPr>
          <w:rtl/>
          <w:lang w:bidi="fa-IR"/>
        </w:rPr>
      </w:pPr>
      <w:r w:rsidRPr="00020424">
        <w:rPr>
          <w:rtl/>
          <w:lang w:bidi="fa-IR"/>
        </w:rPr>
        <w:t xml:space="preserve">فَقَالَ : « ابْعَثْ بِهَا إِلى بَلَدِهِمْ تُدْفَعُ إِلَيْهِمْ ، وَلَاتَدْفَعْهَا </w:t>
      </w:r>
      <w:r w:rsidRPr="00A91B96">
        <w:rPr>
          <w:rStyle w:val="libFootnotenumChar"/>
          <w:rtl/>
        </w:rPr>
        <w:t>(5)</w:t>
      </w:r>
      <w:r w:rsidRPr="00020424">
        <w:rPr>
          <w:rtl/>
          <w:lang w:bidi="fa-IR"/>
        </w:rPr>
        <w:t xml:space="preserve"> إِلى قَوْمٍ إِنْ دَعَوْتَهُمْ غَداً إِلى أَمْرِكَ لَمْ يُجِيبُوكَ ، وَكَانَ </w:t>
      </w:r>
      <w:r w:rsidRPr="00A91B96">
        <w:rPr>
          <w:rStyle w:val="libFootnotenumChar"/>
          <w:rtl/>
        </w:rPr>
        <w:t>(6)</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 xml:space="preserve">الذَّبْحُ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121" w:name="_Toc345172757"/>
      <w:bookmarkStart w:id="122" w:name="_Toc464562573"/>
      <w:bookmarkStart w:id="123" w:name="_Toc44599876"/>
      <w:r w:rsidRPr="00020424">
        <w:rPr>
          <w:rtl/>
          <w:lang w:bidi="fa-IR"/>
        </w:rPr>
        <w:t>36</w:t>
      </w:r>
      <w:r>
        <w:rPr>
          <w:rtl/>
          <w:lang w:bidi="fa-IR"/>
        </w:rPr>
        <w:t xml:space="preserve"> </w:t>
      </w:r>
      <w:r w:rsidR="009B673F">
        <w:rPr>
          <w:rtl/>
          <w:lang w:bidi="fa-IR"/>
        </w:rPr>
        <w:t>-</w:t>
      </w:r>
      <w:r>
        <w:rPr>
          <w:rtl/>
          <w:lang w:bidi="fa-IR"/>
        </w:rPr>
        <w:t xml:space="preserve"> </w:t>
      </w:r>
      <w:r w:rsidRPr="00020424">
        <w:rPr>
          <w:rtl/>
          <w:lang w:bidi="fa-IR"/>
        </w:rPr>
        <w:t xml:space="preserve">بَابُ الرَّجُلِ يُدْفَعُ إِلَيْهِ الشَّيْ‌ءُ يُفَرِّقُهُ وَهُوَ مُحْتَاجٌ إِلَيْهِ </w:t>
      </w:r>
      <w:r w:rsidRPr="00A91B96">
        <w:rPr>
          <w:rStyle w:val="libFootnotenumChar"/>
          <w:rtl/>
        </w:rPr>
        <w:t>(9)</w:t>
      </w:r>
      <w:r>
        <w:rPr>
          <w:rtl/>
        </w:rPr>
        <w:t xml:space="preserve"> </w:t>
      </w:r>
      <w:r w:rsidRPr="00020424">
        <w:rPr>
          <w:rtl/>
          <w:lang w:bidi="fa-IR"/>
        </w:rPr>
        <w:t>يَأْخُذُ لِنَفْسِهِ‌</w:t>
      </w:r>
      <w:bookmarkEnd w:id="121"/>
      <w:bookmarkEnd w:id="122"/>
      <w:bookmarkEnd w:id="123"/>
    </w:p>
    <w:p w:rsidR="00992664" w:rsidRPr="00020424" w:rsidRDefault="00992664" w:rsidP="00992664">
      <w:pPr>
        <w:pStyle w:val="libNormal"/>
        <w:rPr>
          <w:rtl/>
          <w:lang w:bidi="fa-IR"/>
        </w:rPr>
      </w:pPr>
      <w:r w:rsidRPr="00442BE5">
        <w:rPr>
          <w:rtl/>
        </w:rPr>
        <w:t>5947</w:t>
      </w:r>
      <w:r w:rsidRPr="001155DE">
        <w:rPr>
          <w:rStyle w:val="libBold2Char"/>
          <w:rtl/>
        </w:rPr>
        <w:t xml:space="preserve"> / 1.</w:t>
      </w:r>
      <w:r w:rsidRPr="00020424">
        <w:rPr>
          <w:rtl/>
          <w:lang w:bidi="fa-IR"/>
        </w:rPr>
        <w:t xml:space="preserve"> مُحَمَّدُ بْنُ يَحْيى ، عَنْ أَحْمَدَ بْنِ مُحَمَّدٍ ، عَنْ عَلِيِّ بْنِ الْحَكَمِ ، عَنْ أَبَانِ بْنِ عُثْمَانَ ، عَنْ سَعِيدِ بْنِ يَسَارٍ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 يُعْطَى الزَّكَاةَ يَقْسِمُهَا </w:t>
      </w:r>
      <w:r w:rsidRPr="00A91B96">
        <w:rPr>
          <w:rStyle w:val="libFootnotenumChar"/>
          <w:rtl/>
        </w:rPr>
        <w:t>(10)</w:t>
      </w:r>
      <w:r>
        <w:rPr>
          <w:rtl/>
          <w:lang w:bidi="fa-IR"/>
        </w:rPr>
        <w:t xml:space="preserve"> فِي أَصْحَابِهِ ، أَ</w:t>
      </w:r>
      <w:r w:rsidRPr="00020424">
        <w:rPr>
          <w:rtl/>
          <w:lang w:bidi="fa-IR"/>
        </w:rPr>
        <w:t>يَأْخُذُ مِنْهَا‌</w:t>
      </w:r>
    </w:p>
    <w:p w:rsidR="00992664" w:rsidRPr="00020424" w:rsidRDefault="00992664" w:rsidP="00992664">
      <w:pPr>
        <w:pStyle w:val="libLine"/>
        <w:rPr>
          <w:rtl/>
          <w:lang w:bidi="fa-IR"/>
        </w:rPr>
      </w:pPr>
      <w:r w:rsidRPr="00020424">
        <w:rPr>
          <w:rtl/>
          <w:lang w:bidi="fa-IR"/>
        </w:rPr>
        <w:t>__________________</w:t>
      </w:r>
    </w:p>
    <w:p w:rsidR="00992664" w:rsidRPr="00020424" w:rsidRDefault="005410FD" w:rsidP="00992664">
      <w:pPr>
        <w:pStyle w:val="libFootnote0"/>
        <w:rPr>
          <w:rtl/>
          <w:lang w:bidi="fa-IR"/>
        </w:rPr>
      </w:pPr>
      <w:r>
        <w:rPr>
          <w:rFonts w:hint="cs"/>
          <w:rtl/>
        </w:rPr>
        <w:t xml:space="preserve">= </w:t>
      </w:r>
      <w:r w:rsidR="00992664" w:rsidRPr="00020424">
        <w:rPr>
          <w:rtl/>
        </w:rPr>
        <w:t xml:space="preserve">ح 9439 ؛ </w:t>
      </w:r>
      <w:r w:rsidR="00992664" w:rsidRPr="0012008A">
        <w:rPr>
          <w:rStyle w:val="libFootnoteBoldChar"/>
          <w:rtl/>
        </w:rPr>
        <w:t>الوسائل</w:t>
      </w:r>
      <w:r w:rsidR="00992664" w:rsidRPr="00020424">
        <w:rPr>
          <w:rtl/>
        </w:rPr>
        <w:t xml:space="preserve"> ، ج 9 ، ص 284 ، ح 12031.</w:t>
      </w:r>
    </w:p>
    <w:tbl>
      <w:tblPr>
        <w:tblStyle w:val="TableGrid"/>
        <w:bidiVisual/>
        <w:tblW w:w="0" w:type="auto"/>
        <w:tblLook w:val="04A0" w:firstRow="1" w:lastRow="0" w:firstColumn="1" w:lastColumn="0" w:noHBand="0" w:noVBand="1"/>
      </w:tblPr>
      <w:tblGrid>
        <w:gridCol w:w="4006"/>
        <w:gridCol w:w="4006"/>
      </w:tblGrid>
      <w:tr w:rsidR="005410FD" w:rsidTr="005410FD">
        <w:tc>
          <w:tcPr>
            <w:tcW w:w="4006" w:type="dxa"/>
          </w:tcPr>
          <w:p w:rsidR="005410FD" w:rsidRDefault="005410FD" w:rsidP="00992664">
            <w:pPr>
              <w:pStyle w:val="libFootnote0"/>
              <w:rPr>
                <w:rtl/>
                <w:lang w:bidi="fa-IR"/>
              </w:rPr>
            </w:pPr>
            <w:r>
              <w:rPr>
                <w:rtl/>
              </w:rPr>
              <w:t xml:space="preserve">(1). </w:t>
            </w:r>
            <w:r w:rsidRPr="00020424">
              <w:rPr>
                <w:rtl/>
              </w:rPr>
              <w:t xml:space="preserve">في « بخ ، بر ، بف » </w:t>
            </w:r>
            <w:r w:rsidRPr="00515444">
              <w:rPr>
                <w:rStyle w:val="libFootnoteBoldChar"/>
                <w:rtl/>
              </w:rPr>
              <w:t>والوافي</w:t>
            </w:r>
            <w:r w:rsidRPr="00020424">
              <w:rPr>
                <w:rtl/>
              </w:rPr>
              <w:t xml:space="preserve"> : « فقال</w:t>
            </w:r>
            <w:r>
              <w:rPr>
                <w:rtl/>
              </w:rPr>
              <w:t xml:space="preserve"> ».</w:t>
            </w:r>
          </w:p>
        </w:tc>
        <w:tc>
          <w:tcPr>
            <w:tcW w:w="4006" w:type="dxa"/>
          </w:tcPr>
          <w:p w:rsidR="005410FD" w:rsidRDefault="005410FD" w:rsidP="00992664">
            <w:pPr>
              <w:pStyle w:val="libFootnote0"/>
              <w:rPr>
                <w:rtl/>
                <w:lang w:bidi="fa-IR"/>
              </w:rPr>
            </w:pPr>
            <w:r>
              <w:rPr>
                <w:rtl/>
              </w:rPr>
              <w:t xml:space="preserve">(2). </w:t>
            </w:r>
            <w:r w:rsidRPr="00020424">
              <w:rPr>
                <w:rtl/>
              </w:rPr>
              <w:t>في « ى » :</w:t>
            </w:r>
            <w:r>
              <w:rPr>
                <w:rtl/>
              </w:rPr>
              <w:t xml:space="preserve"> - </w:t>
            </w:r>
            <w:r w:rsidRPr="00020424">
              <w:rPr>
                <w:rtl/>
              </w:rPr>
              <w:t>« إنّ</w:t>
            </w:r>
            <w:r>
              <w:rPr>
                <w:rtl/>
              </w:rPr>
              <w:t xml:space="preserve"> ».</w:t>
            </w:r>
          </w:p>
        </w:tc>
      </w:tr>
      <w:tr w:rsidR="005410FD" w:rsidTr="005410FD">
        <w:tc>
          <w:tcPr>
            <w:tcW w:w="4006" w:type="dxa"/>
          </w:tcPr>
          <w:p w:rsidR="005410FD" w:rsidRDefault="005410FD" w:rsidP="00992664">
            <w:pPr>
              <w:pStyle w:val="libFootnote0"/>
              <w:rPr>
                <w:rtl/>
                <w:lang w:bidi="fa-IR"/>
              </w:rPr>
            </w:pPr>
            <w:r>
              <w:rPr>
                <w:rtl/>
              </w:rPr>
              <w:t xml:space="preserve">(3). </w:t>
            </w:r>
            <w:r w:rsidRPr="00020424">
              <w:rPr>
                <w:rtl/>
              </w:rPr>
              <w:t>في « ى » : « إلى</w:t>
            </w:r>
            <w:r>
              <w:rPr>
                <w:rtl/>
              </w:rPr>
              <w:t xml:space="preserve"> ».</w:t>
            </w:r>
          </w:p>
        </w:tc>
        <w:tc>
          <w:tcPr>
            <w:tcW w:w="4006" w:type="dxa"/>
          </w:tcPr>
          <w:p w:rsidR="005410FD" w:rsidRDefault="005410FD" w:rsidP="00992664">
            <w:pPr>
              <w:pStyle w:val="libFootnote0"/>
              <w:rPr>
                <w:rtl/>
                <w:lang w:bidi="fa-IR"/>
              </w:rPr>
            </w:pPr>
            <w:r>
              <w:rPr>
                <w:rtl/>
              </w:rPr>
              <w:t xml:space="preserve">(4). </w:t>
            </w:r>
            <w:r w:rsidRPr="00020424">
              <w:rPr>
                <w:rtl/>
              </w:rPr>
              <w:t xml:space="preserve">في </w:t>
            </w:r>
            <w:r w:rsidRPr="0012008A">
              <w:rPr>
                <w:rStyle w:val="libFootnoteBoldChar"/>
                <w:rtl/>
              </w:rPr>
              <w:t>الوسائل</w:t>
            </w:r>
            <w:r w:rsidRPr="00020424">
              <w:rPr>
                <w:rtl/>
              </w:rPr>
              <w:t xml:space="preserve"> ، ص ح 12030 : « فقلت</w:t>
            </w:r>
            <w:r>
              <w:rPr>
                <w:rtl/>
              </w:rPr>
              <w:t xml:space="preserve"> ».</w:t>
            </w:r>
          </w:p>
        </w:tc>
      </w:tr>
      <w:tr w:rsidR="005410FD" w:rsidTr="005410FD">
        <w:tc>
          <w:tcPr>
            <w:tcW w:w="4006" w:type="dxa"/>
          </w:tcPr>
          <w:p w:rsidR="005410FD" w:rsidRDefault="005410FD" w:rsidP="00992664">
            <w:pPr>
              <w:pStyle w:val="libFootnote0"/>
              <w:rPr>
                <w:rtl/>
                <w:lang w:bidi="fa-IR"/>
              </w:rPr>
            </w:pPr>
            <w:r>
              <w:rPr>
                <w:rtl/>
              </w:rPr>
              <w:t xml:space="preserve">(5). </w:t>
            </w:r>
            <w:r w:rsidRPr="00020424">
              <w:rPr>
                <w:rtl/>
              </w:rPr>
              <w:t>في « ى » : « فلا تدفعها</w:t>
            </w:r>
            <w:r>
              <w:rPr>
                <w:rtl/>
              </w:rPr>
              <w:t xml:space="preserve"> ».</w:t>
            </w:r>
          </w:p>
        </w:tc>
        <w:tc>
          <w:tcPr>
            <w:tcW w:w="4006" w:type="dxa"/>
          </w:tcPr>
          <w:p w:rsidR="005410FD" w:rsidRDefault="005410FD" w:rsidP="00992664">
            <w:pPr>
              <w:pStyle w:val="libFootnote0"/>
              <w:rPr>
                <w:rtl/>
                <w:lang w:bidi="fa-IR"/>
              </w:rPr>
            </w:pPr>
            <w:r>
              <w:rPr>
                <w:rtl/>
              </w:rPr>
              <w:t xml:space="preserve">(6). </w:t>
            </w:r>
            <w:r w:rsidRPr="00020424">
              <w:rPr>
                <w:rtl/>
              </w:rPr>
              <w:t xml:space="preserve">في « بر » </w:t>
            </w:r>
            <w:r w:rsidRPr="00515444">
              <w:rPr>
                <w:rStyle w:val="libFootnoteBoldChar"/>
                <w:rtl/>
              </w:rPr>
              <w:t>والوافي</w:t>
            </w:r>
            <w:r w:rsidRPr="00020424">
              <w:rPr>
                <w:rtl/>
              </w:rPr>
              <w:t xml:space="preserve"> : « كان » بدون الواو.</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أربح</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كأنّه أراد إن دعوتهم إلى الجهاد معك ونصرة دينك لم يجيبوك ؛ لأنّهم لم يدينوا بدينك ، كان والله أربح ؛ يعني أنّ بعثها إلى بلد الأولياء أربح من إعطائها أهل البلد الذين هذا حالهم. وفي بعض النسخ : وكان والله الذبح ؛ ولعلّ المراد به أنّك إن أعطيت أهل البلد لم تجد من يعينك ، وفي ذلك القتل بأيدي الأعداء إن ظهر أمرك</w:t>
      </w:r>
      <w:r w:rsidR="00992664">
        <w:rPr>
          <w:rtl/>
        </w:rPr>
        <w:t xml:space="preserve"> ».</w:t>
      </w:r>
    </w:p>
    <w:p w:rsidR="00992664" w:rsidRPr="00020424" w:rsidRDefault="00795177" w:rsidP="005410FD">
      <w:pPr>
        <w:pStyle w:val="libFootnote0"/>
        <w:rPr>
          <w:rtl/>
          <w:lang w:bidi="fa-IR"/>
        </w:rPr>
      </w:pPr>
      <w:r>
        <w:rPr>
          <w:rtl/>
          <w:lang w:bidi="fa-IR"/>
        </w:rPr>
        <w:t>(8).</w:t>
      </w:r>
      <w:r w:rsidR="0014403D">
        <w:rPr>
          <w:rtl/>
          <w:lang w:bidi="fa-IR"/>
        </w:rPr>
        <w:t xml:space="preserve"> </w:t>
      </w:r>
      <w:r w:rsidR="00992664" w:rsidRPr="0012008A">
        <w:rPr>
          <w:rStyle w:val="libFootnoteBoldChar"/>
          <w:rtl/>
        </w:rPr>
        <w:t>الوافي</w:t>
      </w:r>
      <w:r w:rsidR="00992664" w:rsidRPr="00020424">
        <w:rPr>
          <w:rtl/>
          <w:lang w:bidi="fa-IR"/>
        </w:rPr>
        <w:t xml:space="preserve"> ، ج 10 ، ص 187 ، ح 9404 ؛ </w:t>
      </w:r>
      <w:r w:rsidR="00992664" w:rsidRPr="0012008A">
        <w:rPr>
          <w:rStyle w:val="libFootnoteBoldChar"/>
          <w:rtl/>
        </w:rPr>
        <w:t>الوسائل</w:t>
      </w:r>
      <w:r w:rsidR="00992664" w:rsidRPr="00020424">
        <w:rPr>
          <w:rtl/>
          <w:lang w:bidi="fa-IR"/>
        </w:rPr>
        <w:t xml:space="preserve"> ، ج 9 ، ص 222 ، ح 11882 ؛ </w:t>
      </w:r>
      <w:r w:rsidR="00992664" w:rsidRPr="00DE76B9">
        <w:rPr>
          <w:rStyle w:val="libFootnoteBoldChar"/>
          <w:rtl/>
        </w:rPr>
        <w:t>وفيه</w:t>
      </w:r>
      <w:r w:rsidR="00992664" w:rsidRPr="00020424">
        <w:rPr>
          <w:rtl/>
          <w:lang w:bidi="fa-IR"/>
        </w:rPr>
        <w:t xml:space="preserve"> ، ص 284 ، ح 12030 ، إلى قوله : « ابعث بها إلى بلدهم تدفع إليهم</w:t>
      </w:r>
      <w:r w:rsidR="00992664">
        <w:rPr>
          <w:rtl/>
          <w:lang w:bidi="fa-IR"/>
        </w:rPr>
        <w:t xml:space="preserve"> ».</w:t>
      </w:r>
      <w:r w:rsidR="005410FD">
        <w:rPr>
          <w:rFonts w:hint="cs"/>
          <w:rtl/>
          <w:lang w:bidi="fa-IR"/>
        </w:rPr>
        <w:t xml:space="preserve">   </w:t>
      </w:r>
      <w:r>
        <w:rPr>
          <w:rtl/>
        </w:rPr>
        <w:t>(9).</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إليه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 « تقسم</w:t>
      </w:r>
      <w:r w:rsidR="00992664">
        <w:rPr>
          <w:rtl/>
        </w:rPr>
        <w:t xml:space="preserve"> ».</w:t>
      </w:r>
      <w:r w:rsidR="00992664" w:rsidRPr="00020424">
        <w:rPr>
          <w:rtl/>
        </w:rPr>
        <w:t xml:space="preserve"> وفي </w:t>
      </w:r>
      <w:r w:rsidR="00992664" w:rsidRPr="005410FD">
        <w:rPr>
          <w:rtl/>
        </w:rPr>
        <w:t>الوسائل</w:t>
      </w:r>
      <w:r w:rsidR="00992664" w:rsidRPr="00020424">
        <w:rPr>
          <w:rtl/>
        </w:rPr>
        <w:t xml:space="preserve"> : « فيقسّمها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410FD">
      <w:pPr>
        <w:pStyle w:val="libNormal0"/>
        <w:rPr>
          <w:rtl/>
          <w:lang w:bidi="fa-IR"/>
        </w:rPr>
      </w:pPr>
      <w:r w:rsidRPr="00020424">
        <w:rPr>
          <w:rtl/>
          <w:lang w:bidi="fa-IR"/>
        </w:rPr>
        <w:lastRenderedPageBreak/>
        <w:t>شَيْئاً</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442BE5">
        <w:rPr>
          <w:rtl/>
        </w:rPr>
        <w:t>5948</w:t>
      </w:r>
      <w:r w:rsidRPr="001155DE">
        <w:rPr>
          <w:rStyle w:val="libBold2Char"/>
          <w:rtl/>
        </w:rPr>
        <w:t xml:space="preserve"> / 2.</w:t>
      </w:r>
      <w:r w:rsidRPr="00020424">
        <w:rPr>
          <w:rtl/>
          <w:lang w:bidi="fa-IR"/>
        </w:rPr>
        <w:t xml:space="preserve"> عَلِيُّ بْنُ إِبْرَاهِيمَ ، عَنْ أَبِيهِ ، عَنِ ابْنِ أَبِي عُمَيْرٍ ، عَنِ الْحُسَيْنِ بْنِ عُثْمَانَ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فِي رَجُلٍ أُعْطِيَ مَالاً يُفَرِّقُهُ فِيمَنْ يَحِلُّ لَهُ </w:t>
      </w:r>
      <w:r w:rsidRPr="00A91B96">
        <w:rPr>
          <w:rStyle w:val="libFootnotenumChar"/>
          <w:rtl/>
        </w:rPr>
        <w:t>(2)</w:t>
      </w:r>
      <w:r>
        <w:rPr>
          <w:rtl/>
          <w:lang w:bidi="fa-IR"/>
        </w:rPr>
        <w:t xml:space="preserve"> ، أَ</w:t>
      </w:r>
      <w:r w:rsidRPr="00020424">
        <w:rPr>
          <w:rtl/>
          <w:lang w:bidi="fa-IR"/>
        </w:rPr>
        <w:t xml:space="preserve">لَهُ أَنْ يَأْخُذَ مِنْهُ شَيْئاً لِنَفْسِهِ وَإِنْ </w:t>
      </w:r>
      <w:r w:rsidRPr="00A91B96">
        <w:rPr>
          <w:rStyle w:val="libFootnotenumChar"/>
          <w:rtl/>
        </w:rPr>
        <w:t>(3)</w:t>
      </w:r>
      <w:r w:rsidRPr="00020424">
        <w:rPr>
          <w:rtl/>
          <w:lang w:bidi="fa-IR"/>
        </w:rPr>
        <w:t xml:space="preserve"> لَمْ يُسَمَّ لَهُ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قَالَ : « يَأْخُذُ مِنْهُ لِنَفْسِهِ مِثْلَ مَا يُعْطِي غَيْرَهُ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42BE5">
        <w:rPr>
          <w:rtl/>
        </w:rPr>
        <w:t>5949</w:t>
      </w:r>
      <w:r w:rsidRPr="001155DE">
        <w:rPr>
          <w:rStyle w:val="libBold2Char"/>
          <w:rtl/>
        </w:rPr>
        <w:t xml:space="preserve"> / 3.</w:t>
      </w:r>
      <w:r w:rsidRPr="00020424">
        <w:rPr>
          <w:rtl/>
          <w:lang w:bidi="fa-IR"/>
        </w:rPr>
        <w:t xml:space="preserve"> عَلِيُّ بْنُ إِبْرَاهِيمَ ، عَنْ مُحَمَّدِ بْنِ عِيسى ، عَنْ يُونُسَ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الرَّجُلِ يُعْطِي الرَّجُلَ الدَّرَاهِمَ يَقْسِمُهَا وَيَضَعُهَا فِي مَوَاضِعِهَا ، وَهُوَ مِمَّنْ يَحِلُّ </w:t>
      </w:r>
      <w:r w:rsidRPr="00A91B96">
        <w:rPr>
          <w:rStyle w:val="libFootnotenumChar"/>
          <w:rtl/>
        </w:rPr>
        <w:t>(7)</w:t>
      </w:r>
      <w:r w:rsidRPr="00020424">
        <w:rPr>
          <w:rtl/>
          <w:lang w:bidi="fa-IR"/>
        </w:rPr>
        <w:t xml:space="preserve"> لَهُ الصَّدَقَةُ</w:t>
      </w:r>
      <w:r>
        <w:rPr>
          <w:rtl/>
          <w:lang w:bidi="fa-IR"/>
        </w:rPr>
        <w:t>؟</w:t>
      </w:r>
    </w:p>
    <w:p w:rsidR="00992664" w:rsidRPr="00020424" w:rsidRDefault="00992664" w:rsidP="00992664">
      <w:pPr>
        <w:pStyle w:val="libNormal"/>
        <w:rPr>
          <w:rtl/>
          <w:lang w:bidi="fa-IR"/>
        </w:rPr>
      </w:pPr>
      <w:r w:rsidRPr="00020424">
        <w:rPr>
          <w:rtl/>
          <w:lang w:bidi="fa-IR"/>
        </w:rPr>
        <w:t>قَالَ : « لَا بَأْسَ أَنْ يَأْخُذَ لِنَفْسِهِ كَمَا يُعْطِي غَيْرَهُ » قَالَ : « وَلَايَجُوزُ لَهُ أَنْ يَأْخُذَ إِذَا أَمَرَهُ أَنْ يَضَعَهَا</w:t>
      </w:r>
      <w:r w:rsidR="006F43B0">
        <w:rPr>
          <w:rtl/>
          <w:lang w:bidi="fa-IR"/>
        </w:rPr>
        <w:t xml:space="preserve"> فِي مَوَاضِعَ مُسَمَّاةٍ إِل</w:t>
      </w:r>
      <w:r w:rsidR="006F43B0">
        <w:rPr>
          <w:rFonts w:hint="cs"/>
          <w:rtl/>
          <w:lang w:bidi="fa-IR"/>
        </w:rPr>
        <w:t>َّ</w:t>
      </w:r>
      <w:r w:rsidR="006F43B0">
        <w:rPr>
          <w:rtl/>
          <w:lang w:bidi="fa-IR"/>
        </w:rPr>
        <w:t>ا</w:t>
      </w:r>
      <w:r w:rsidRPr="00020424">
        <w:rPr>
          <w:rtl/>
          <w:lang w:bidi="fa-IR"/>
        </w:rPr>
        <w:t xml:space="preserve"> بِإِذْنِهِ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124" w:name="_Toc345172758"/>
      <w:bookmarkStart w:id="125" w:name="_Toc464562574"/>
      <w:bookmarkStart w:id="126" w:name="_Toc44599877"/>
      <w:r w:rsidRPr="00020424">
        <w:rPr>
          <w:rtl/>
          <w:lang w:bidi="fa-IR"/>
        </w:rPr>
        <w:t>37</w:t>
      </w:r>
      <w:r>
        <w:rPr>
          <w:rtl/>
          <w:lang w:bidi="fa-IR"/>
        </w:rPr>
        <w:t xml:space="preserve"> </w:t>
      </w:r>
      <w:r w:rsidR="009B673F">
        <w:rPr>
          <w:rtl/>
          <w:lang w:bidi="fa-IR"/>
        </w:rPr>
        <w:t>-</w:t>
      </w:r>
      <w:r>
        <w:rPr>
          <w:rtl/>
          <w:lang w:bidi="fa-IR"/>
        </w:rPr>
        <w:t xml:space="preserve"> </w:t>
      </w:r>
      <w:r w:rsidRPr="00020424">
        <w:rPr>
          <w:rtl/>
          <w:lang w:bidi="fa-IR"/>
        </w:rPr>
        <w:t xml:space="preserve">بَابُ الرَّجُلِ إِذَا وَصَلَتْ إِلَيْهِ الزَّكَاةُ فَهِيَ كَسَبِيلِ مَالِهِ يَفْعَلُ بِهَا مَا يَشَاءُ </w:t>
      </w:r>
      <w:r w:rsidRPr="00A91B96">
        <w:rPr>
          <w:rStyle w:val="libFootnotenumChar"/>
          <w:rtl/>
        </w:rPr>
        <w:t>(9)</w:t>
      </w:r>
      <w:r w:rsidRPr="00020424">
        <w:rPr>
          <w:rtl/>
          <w:lang w:bidi="fa-IR"/>
        </w:rPr>
        <w:t xml:space="preserve"> ‌</w:t>
      </w:r>
      <w:bookmarkEnd w:id="124"/>
      <w:bookmarkEnd w:id="125"/>
      <w:bookmarkEnd w:id="126"/>
    </w:p>
    <w:p w:rsidR="00992664" w:rsidRPr="00020424" w:rsidRDefault="00992664" w:rsidP="00992664">
      <w:pPr>
        <w:pStyle w:val="libNormal"/>
        <w:rPr>
          <w:rtl/>
          <w:lang w:bidi="fa-IR"/>
        </w:rPr>
      </w:pPr>
      <w:r w:rsidRPr="00442BE5">
        <w:rPr>
          <w:rtl/>
        </w:rPr>
        <w:t>5950</w:t>
      </w:r>
      <w:r w:rsidRPr="001155DE">
        <w:rPr>
          <w:rStyle w:val="libBold2Char"/>
          <w:rtl/>
        </w:rPr>
        <w:t xml:space="preserve"> / 1.</w:t>
      </w:r>
      <w:r w:rsidRPr="00020424">
        <w:rPr>
          <w:rtl/>
          <w:lang w:bidi="fa-IR"/>
        </w:rPr>
        <w:t xml:space="preserve"> مُحَمَّدُ بْنُ يَحْيى ، عَنْ أَحْمَدَ بْنِ مُحَمَّدٍ ، عَنْ عُثْمَانَ بْنِ عِيسى ، عَنْ سَمَاعَةَ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10 ، ص 208 ، ح 9457 ؛ </w:t>
      </w:r>
      <w:r w:rsidR="00992664" w:rsidRPr="0012008A">
        <w:rPr>
          <w:rStyle w:val="libFootnoteBoldChar"/>
          <w:rtl/>
        </w:rPr>
        <w:t>الوسائل</w:t>
      </w:r>
      <w:r w:rsidR="00992664" w:rsidRPr="00020424">
        <w:rPr>
          <w:rtl/>
        </w:rPr>
        <w:t xml:space="preserve"> ، ج 9 ، ص 287 ، ح 12039 ؛ وج 17 ، ص 277 ، ح 22512.</w:t>
      </w:r>
    </w:p>
    <w:tbl>
      <w:tblPr>
        <w:tblStyle w:val="TableGrid"/>
        <w:bidiVisual/>
        <w:tblW w:w="0" w:type="auto"/>
        <w:tblLook w:val="04A0" w:firstRow="1" w:lastRow="0" w:firstColumn="1" w:lastColumn="0" w:noHBand="0" w:noVBand="1"/>
      </w:tblPr>
      <w:tblGrid>
        <w:gridCol w:w="4006"/>
        <w:gridCol w:w="4006"/>
      </w:tblGrid>
      <w:tr w:rsidR="006F43B0" w:rsidTr="006F43B0">
        <w:tc>
          <w:tcPr>
            <w:tcW w:w="4006" w:type="dxa"/>
          </w:tcPr>
          <w:p w:rsidR="006F43B0" w:rsidRDefault="006F43B0" w:rsidP="00992664">
            <w:pPr>
              <w:pStyle w:val="libFootnote0"/>
              <w:rPr>
                <w:rtl/>
              </w:rPr>
            </w:pPr>
            <w:r>
              <w:rPr>
                <w:rtl/>
              </w:rPr>
              <w:t xml:space="preserve">(2). </w:t>
            </w:r>
            <w:r w:rsidRPr="00020424">
              <w:rPr>
                <w:rtl/>
              </w:rPr>
              <w:t>في « بخ » :</w:t>
            </w:r>
            <w:r>
              <w:rPr>
                <w:rtl/>
              </w:rPr>
              <w:t xml:space="preserve"> - </w:t>
            </w:r>
            <w:r w:rsidRPr="00020424">
              <w:rPr>
                <w:rtl/>
              </w:rPr>
              <w:t>« له</w:t>
            </w:r>
            <w:r>
              <w:rPr>
                <w:rtl/>
              </w:rPr>
              <w:t xml:space="preserve"> ».</w:t>
            </w:r>
          </w:p>
        </w:tc>
        <w:tc>
          <w:tcPr>
            <w:tcW w:w="4006" w:type="dxa"/>
          </w:tcPr>
          <w:p w:rsidR="006F43B0" w:rsidRDefault="006F43B0" w:rsidP="00992664">
            <w:pPr>
              <w:pStyle w:val="libFootnote0"/>
              <w:rPr>
                <w:rtl/>
              </w:rPr>
            </w:pPr>
            <w:r>
              <w:rPr>
                <w:rtl/>
              </w:rPr>
              <w:t xml:space="preserve">(3). </w:t>
            </w:r>
            <w:r w:rsidRPr="00020424">
              <w:rPr>
                <w:rtl/>
              </w:rPr>
              <w:t xml:space="preserve">في « بخ ، بر » </w:t>
            </w:r>
            <w:r w:rsidRPr="00515444">
              <w:rPr>
                <w:rStyle w:val="libFootnoteBoldChar"/>
                <w:rtl/>
              </w:rPr>
              <w:t>والتهذيب</w:t>
            </w:r>
            <w:r w:rsidRPr="00020424">
              <w:rPr>
                <w:rtl/>
              </w:rPr>
              <w:t xml:space="preserve"> :</w:t>
            </w:r>
            <w:r>
              <w:rPr>
                <w:rtl/>
              </w:rPr>
              <w:t xml:space="preserve"> - </w:t>
            </w:r>
            <w:r w:rsidRPr="00020424">
              <w:rPr>
                <w:rtl/>
              </w:rPr>
              <w:t>« إن</w:t>
            </w:r>
            <w:r>
              <w:rPr>
                <w:rtl/>
              </w:rPr>
              <w:t xml:space="preserve"> ».</w:t>
            </w:r>
          </w:p>
        </w:tc>
      </w:tr>
      <w:tr w:rsidR="006F43B0" w:rsidTr="006F43B0">
        <w:tc>
          <w:tcPr>
            <w:tcW w:w="4006" w:type="dxa"/>
          </w:tcPr>
          <w:p w:rsidR="006F43B0" w:rsidRDefault="006F43B0" w:rsidP="00992664">
            <w:pPr>
              <w:pStyle w:val="libFootnote0"/>
              <w:rPr>
                <w:rtl/>
              </w:rPr>
            </w:pPr>
            <w:r>
              <w:rPr>
                <w:rtl/>
              </w:rPr>
              <w:t xml:space="preserve">(4). </w:t>
            </w:r>
            <w:r w:rsidRPr="00020424">
              <w:rPr>
                <w:rtl/>
              </w:rPr>
              <w:t>في « بس » :</w:t>
            </w:r>
            <w:r>
              <w:rPr>
                <w:rtl/>
              </w:rPr>
              <w:t xml:space="preserve"> - </w:t>
            </w:r>
            <w:r w:rsidRPr="00020424">
              <w:rPr>
                <w:rtl/>
              </w:rPr>
              <w:t>« له</w:t>
            </w:r>
            <w:r>
              <w:rPr>
                <w:rtl/>
              </w:rPr>
              <w:t xml:space="preserve"> ».</w:t>
            </w:r>
          </w:p>
        </w:tc>
        <w:tc>
          <w:tcPr>
            <w:tcW w:w="4006" w:type="dxa"/>
          </w:tcPr>
          <w:p w:rsidR="006F43B0" w:rsidRDefault="006F43B0" w:rsidP="00992664">
            <w:pPr>
              <w:pStyle w:val="libFootnote0"/>
              <w:rPr>
                <w:rtl/>
              </w:rPr>
            </w:pPr>
            <w:r>
              <w:rPr>
                <w:rtl/>
              </w:rPr>
              <w:t xml:space="preserve">(5). </w:t>
            </w:r>
            <w:r w:rsidRPr="00020424">
              <w:rPr>
                <w:rtl/>
              </w:rPr>
              <w:t xml:space="preserve">في </w:t>
            </w:r>
            <w:r w:rsidRPr="006F43B0">
              <w:rPr>
                <w:rtl/>
              </w:rPr>
              <w:t>التهذيب</w:t>
            </w:r>
            <w:r w:rsidRPr="00020424">
              <w:rPr>
                <w:rtl/>
              </w:rPr>
              <w:t xml:space="preserve"> : « لغيره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104 ، ح 295 ، معلّقاً عن الكليني </w:t>
      </w:r>
      <w:r w:rsidR="006F43B0">
        <w:rPr>
          <w:rFonts w:hint="cs"/>
          <w:rtl/>
        </w:rPr>
        <w:t>.</w:t>
      </w:r>
      <w:r w:rsidR="00992664" w:rsidRPr="0012008A">
        <w:rPr>
          <w:rStyle w:val="libFootnoteBoldChar"/>
          <w:rtl/>
        </w:rPr>
        <w:t>الوافي</w:t>
      </w:r>
      <w:r w:rsidR="00992664" w:rsidRPr="00020424">
        <w:rPr>
          <w:rtl/>
        </w:rPr>
        <w:t xml:space="preserve"> ، ج 10 ، ص 209 ، ح 9458 ؛ </w:t>
      </w:r>
      <w:r w:rsidR="00992664" w:rsidRPr="0012008A">
        <w:rPr>
          <w:rStyle w:val="libFootnoteBoldChar"/>
          <w:rtl/>
        </w:rPr>
        <w:t>الوسائل</w:t>
      </w:r>
      <w:r w:rsidR="00992664" w:rsidRPr="00020424">
        <w:rPr>
          <w:rtl/>
        </w:rPr>
        <w:t xml:space="preserve"> ، ج 9 ، ص 288 ، ح 12040.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بس ، بف ، جن » </w:t>
      </w:r>
      <w:r w:rsidR="00992664" w:rsidRPr="00515444">
        <w:rPr>
          <w:rStyle w:val="libFootnoteBoldChar"/>
          <w:rtl/>
        </w:rPr>
        <w:t>والوافي</w:t>
      </w:r>
      <w:r w:rsidR="00992664" w:rsidRPr="006F43B0">
        <w:rPr>
          <w:rtl/>
        </w:rPr>
        <w:t xml:space="preserve"> </w:t>
      </w:r>
      <w:r w:rsidR="00992664" w:rsidRPr="00EB1FD9">
        <w:rPr>
          <w:rStyle w:val="libFootnoteBoldChar"/>
          <w:rtl/>
        </w:rPr>
        <w:t>والوسائل</w:t>
      </w:r>
      <w:r w:rsidR="00992664" w:rsidRPr="006F43B0">
        <w:rPr>
          <w:rtl/>
        </w:rPr>
        <w:t xml:space="preserve"> </w:t>
      </w:r>
      <w:r w:rsidR="00992664" w:rsidRPr="00515444">
        <w:rPr>
          <w:rStyle w:val="libFootnoteBoldChar"/>
          <w:rtl/>
        </w:rPr>
        <w:t>والتهذيب</w:t>
      </w:r>
      <w:r w:rsidR="00992664" w:rsidRPr="00020424">
        <w:rPr>
          <w:rtl/>
        </w:rPr>
        <w:t xml:space="preserve"> : « تحلّ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104 ، ح 296 ، معلّقاً عن الكليني. </w:t>
      </w:r>
      <w:r w:rsidR="00992664" w:rsidRPr="0012008A">
        <w:rPr>
          <w:rStyle w:val="libFootnoteBoldChar"/>
          <w:rtl/>
        </w:rPr>
        <w:t>المقنعة</w:t>
      </w:r>
      <w:r w:rsidR="00992664" w:rsidRPr="00020424">
        <w:rPr>
          <w:rtl/>
        </w:rPr>
        <w:t xml:space="preserve"> ، ص 261 ، مرسلاً ، مع اختلاف يسير </w:t>
      </w:r>
      <w:r w:rsidR="006F43B0">
        <w:rPr>
          <w:rFonts w:hint="cs"/>
          <w:rtl/>
        </w:rPr>
        <w:t>.</w:t>
      </w:r>
      <w:r w:rsidR="00992664" w:rsidRPr="0012008A">
        <w:rPr>
          <w:rStyle w:val="libFootnoteBoldChar"/>
          <w:rtl/>
        </w:rPr>
        <w:t>الوافي</w:t>
      </w:r>
      <w:r w:rsidR="00992664" w:rsidRPr="00020424">
        <w:rPr>
          <w:rtl/>
        </w:rPr>
        <w:t xml:space="preserve"> ، ج 10 ، ص 209 ، ح 9459 ؛ </w:t>
      </w:r>
      <w:r w:rsidR="00992664" w:rsidRPr="0012008A">
        <w:rPr>
          <w:rStyle w:val="libFootnoteBoldChar"/>
          <w:rtl/>
        </w:rPr>
        <w:t>الوسائل</w:t>
      </w:r>
      <w:r w:rsidR="00992664" w:rsidRPr="00020424">
        <w:rPr>
          <w:rtl/>
        </w:rPr>
        <w:t xml:space="preserve"> ، ج 9 ، ص 288 ، ح 12041.</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بخ » : « شاء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 قَالَ : « إِذَا أَخَذَ الرَّجُلُ الزَّكَاةَ ، فَهِيَ كَمَالِهِ </w:t>
      </w:r>
      <w:r w:rsidRPr="00A91B96">
        <w:rPr>
          <w:rStyle w:val="libFootnotenumChar"/>
          <w:rtl/>
        </w:rPr>
        <w:t>(1)</w:t>
      </w:r>
      <w:r w:rsidRPr="00020424">
        <w:rPr>
          <w:rtl/>
          <w:lang w:bidi="fa-IR"/>
        </w:rPr>
        <w:t xml:space="preserve"> يَصْنَعُ بِهَا </w:t>
      </w:r>
      <w:r w:rsidRPr="00A91B96">
        <w:rPr>
          <w:rStyle w:val="libFootnotenumChar"/>
          <w:rtl/>
        </w:rPr>
        <w:t>(2)</w:t>
      </w:r>
      <w:r w:rsidRPr="00020424">
        <w:rPr>
          <w:rtl/>
          <w:lang w:bidi="fa-IR"/>
        </w:rPr>
        <w:t xml:space="preserve"> مَا يَشَاءُ </w:t>
      </w:r>
      <w:r w:rsidRPr="00A91B96">
        <w:rPr>
          <w:rStyle w:val="libFootnotenumChar"/>
          <w:rtl/>
        </w:rPr>
        <w:t>(3)</w:t>
      </w:r>
      <w:r>
        <w:rPr>
          <w:rtl/>
          <w:lang w:bidi="fa-IR"/>
        </w:rPr>
        <w:t xml:space="preserve"> ».</w:t>
      </w:r>
      <w:r w:rsidRPr="00020424">
        <w:rPr>
          <w:rtl/>
          <w:lang w:bidi="fa-IR"/>
        </w:rPr>
        <w:t xml:space="preserve"> قَالَ : وَقَالَ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فَرَضَ لِلْفُقَرَاءِ فِي أَمْوَالِ الْأَغْنِيَاءِ فَرِيضَةً لَا يُحْمَدُونَ</w:t>
      </w:r>
      <w:r w:rsidRPr="00A91B96">
        <w:rPr>
          <w:rStyle w:val="libFootnotenumChar"/>
          <w:rtl/>
        </w:rPr>
        <w:t>(4)</w:t>
      </w:r>
      <w:r w:rsidRPr="00020424">
        <w:rPr>
          <w:rtl/>
          <w:lang w:bidi="fa-IR"/>
        </w:rPr>
        <w:t xml:space="preserve"> بِأَدَائِهَا ، وَهِيَ الزَّكَاةُ ، فَإِذَا هِيَ وَصَلَتْ إِلَى الْفَقِيرِ ، فَهِيَ بِمَنْزِلَةِ مَالِهِ يَصْنَعُ بِهَا مَا يَشَاءُ </w:t>
      </w:r>
      <w:r w:rsidRPr="00A91B96">
        <w:rPr>
          <w:rStyle w:val="libFootnotenumChar"/>
          <w:rtl/>
        </w:rPr>
        <w:t>(5)</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يَتَزَوَّجُ </w:t>
      </w:r>
      <w:r w:rsidRPr="00A91B96">
        <w:rPr>
          <w:rStyle w:val="libFootnotenumChar"/>
          <w:rtl/>
        </w:rPr>
        <w:t>(6)</w:t>
      </w:r>
      <w:r w:rsidRPr="00020424">
        <w:rPr>
          <w:rtl/>
          <w:lang w:bidi="fa-IR"/>
        </w:rPr>
        <w:t xml:space="preserve"> بِهَا </w:t>
      </w:r>
      <w:r w:rsidRPr="00A91B96">
        <w:rPr>
          <w:rStyle w:val="libFootnotenumChar"/>
          <w:rtl/>
        </w:rPr>
        <w:t>(7)</w:t>
      </w:r>
      <w:r w:rsidRPr="00020424">
        <w:rPr>
          <w:rtl/>
          <w:lang w:bidi="fa-IR"/>
        </w:rPr>
        <w:t xml:space="preserve"> ، وَيَحُجُّ مِنْهَا</w:t>
      </w:r>
      <w:r>
        <w:rPr>
          <w:rtl/>
          <w:lang w:bidi="fa-IR"/>
        </w:rPr>
        <w:t>؟</w:t>
      </w:r>
    </w:p>
    <w:p w:rsidR="00992664" w:rsidRPr="00020424" w:rsidRDefault="00992664" w:rsidP="00992664">
      <w:pPr>
        <w:pStyle w:val="libNormal"/>
        <w:rPr>
          <w:rtl/>
          <w:lang w:bidi="fa-IR"/>
        </w:rPr>
      </w:pPr>
      <w:r w:rsidRPr="00020424">
        <w:rPr>
          <w:rtl/>
          <w:lang w:bidi="fa-IR"/>
        </w:rPr>
        <w:t>قَالَ : « نَعَمْ ، هِيَ مَالُهُ</w:t>
      </w:r>
      <w:r>
        <w:rPr>
          <w:rtl/>
          <w:lang w:bidi="fa-IR"/>
        </w:rPr>
        <w:t xml:space="preserve"> ».</w:t>
      </w:r>
    </w:p>
    <w:p w:rsidR="00992664" w:rsidRPr="00020424" w:rsidRDefault="00992664" w:rsidP="00992664">
      <w:pPr>
        <w:pStyle w:val="libNormal"/>
        <w:rPr>
          <w:rtl/>
          <w:lang w:bidi="fa-IR"/>
        </w:rPr>
      </w:pPr>
      <w:r w:rsidRPr="00020424">
        <w:rPr>
          <w:rtl/>
          <w:lang w:bidi="fa-IR"/>
        </w:rPr>
        <w:t>قُلْتُ : فَهَلْ يُؤْجَرُ الْفَقِيرُ إِذَا حَجَّ مِنَ الزَّكَاةِ كَمَا يُؤْجَرُ الْغَنِيُّ صَاحِبُ الْمَالِ</w:t>
      </w:r>
      <w:r>
        <w:rPr>
          <w:rtl/>
          <w:lang w:bidi="fa-IR"/>
        </w:rPr>
        <w:t>؟</w:t>
      </w:r>
    </w:p>
    <w:p w:rsidR="00992664" w:rsidRDefault="00992664" w:rsidP="00992664">
      <w:pPr>
        <w:pStyle w:val="libNormal"/>
        <w:rPr>
          <w:rtl/>
          <w:lang w:bidi="fa-IR"/>
        </w:rPr>
      </w:pPr>
      <w:r w:rsidRPr="00020424">
        <w:rPr>
          <w:rtl/>
          <w:lang w:bidi="fa-IR"/>
        </w:rPr>
        <w:t>قَالَ : « نَعَمْ</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442BE5">
        <w:rPr>
          <w:rtl/>
        </w:rPr>
        <w:t>5951</w:t>
      </w:r>
      <w:r w:rsidRPr="001155DE">
        <w:rPr>
          <w:rStyle w:val="libBold2Char"/>
          <w:rtl/>
        </w:rPr>
        <w:t xml:space="preserve"> / 2.</w:t>
      </w:r>
      <w:r w:rsidRPr="00020424">
        <w:rPr>
          <w:rtl/>
          <w:lang w:bidi="fa-IR"/>
        </w:rPr>
        <w:t xml:space="preserve"> عِدَّةٌ مِنْ أَصْحَابِنَا </w:t>
      </w:r>
      <w:r w:rsidRPr="00A91B96">
        <w:rPr>
          <w:rStyle w:val="libFootnotenumChar"/>
          <w:rtl/>
        </w:rPr>
        <w:t>(9)</w:t>
      </w:r>
      <w:r w:rsidRPr="00020424">
        <w:rPr>
          <w:rtl/>
          <w:lang w:bidi="fa-IR"/>
        </w:rPr>
        <w:t xml:space="preserve"> ، عَنْ أَحْمَدَ بْنِ مُحَمَّدٍ ، عَنِ الْحُسَيْنِ بْنِ سَعِيدٍ ، عَنِ النَّضْرِ بْنِ سُوَيْدٍ ، عَنْ عَاصِمِ بْنِ حُمَيْدٍ ، عَنْ أَبِي بَصِيرٍ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شَيْخاً مِنْ أَصْحَابِنَا</w:t>
      </w:r>
      <w:r>
        <w:rPr>
          <w:rtl/>
          <w:lang w:bidi="fa-IR"/>
        </w:rPr>
        <w:t xml:space="preserve"> </w:t>
      </w:r>
      <w:r w:rsidR="009B673F">
        <w:rPr>
          <w:rtl/>
          <w:lang w:bidi="fa-IR"/>
        </w:rPr>
        <w:t>-</w:t>
      </w:r>
      <w:r>
        <w:rPr>
          <w:rtl/>
          <w:lang w:bidi="fa-IR"/>
        </w:rPr>
        <w:t xml:space="preserve"> </w:t>
      </w:r>
      <w:r w:rsidRPr="00020424">
        <w:rPr>
          <w:rtl/>
          <w:lang w:bidi="fa-IR"/>
        </w:rPr>
        <w:t>يُقَالُ لَهُ : عُمَرُ</w:t>
      </w:r>
      <w:r>
        <w:rPr>
          <w:rtl/>
          <w:lang w:bidi="fa-IR"/>
        </w:rPr>
        <w:t xml:space="preserve"> </w:t>
      </w:r>
      <w:r w:rsidR="009B673F">
        <w:rPr>
          <w:rtl/>
          <w:lang w:bidi="fa-IR"/>
        </w:rPr>
        <w:t>-</w:t>
      </w:r>
      <w:r>
        <w:rPr>
          <w:rtl/>
          <w:lang w:bidi="fa-IR"/>
        </w:rPr>
        <w:t xml:space="preserve"> </w:t>
      </w:r>
      <w:r w:rsidRPr="00020424">
        <w:rPr>
          <w:rtl/>
          <w:lang w:bidi="fa-IR"/>
        </w:rPr>
        <w:t>سَأَلَ عِيسَى بْنَ‌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 « ماله</w:t>
      </w:r>
      <w:r w:rsidR="00992664">
        <w:rPr>
          <w:rtl/>
        </w:rPr>
        <w:t xml:space="preserve"> ».</w:t>
      </w:r>
      <w:r w:rsidR="00992664" w:rsidRPr="00020424">
        <w:rPr>
          <w:rtl/>
        </w:rPr>
        <w:t xml:space="preserve"> وفي « بخ ، بر ، بف » وحاشية « بث » : « فهو ماله » بدل « فهي كماله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w:t>
      </w:r>
      <w:r w:rsidR="00992664" w:rsidRPr="00515444">
        <w:rPr>
          <w:rStyle w:val="libFootnoteBoldChar"/>
          <w:rtl/>
        </w:rPr>
        <w:t>والوافي</w:t>
      </w:r>
      <w:r w:rsidR="00992664" w:rsidRPr="006D1542">
        <w:rPr>
          <w:rStyle w:val="libFootnoteBoldChar"/>
          <w:rtl/>
        </w:rPr>
        <w:t xml:space="preserve"> </w:t>
      </w:r>
      <w:r w:rsidR="00992664" w:rsidRPr="00EB1FD9">
        <w:rPr>
          <w:rStyle w:val="libFootnoteBoldChar"/>
          <w:rtl/>
        </w:rPr>
        <w:t>والوسائل</w:t>
      </w:r>
      <w:r w:rsidR="00992664" w:rsidRPr="00020424">
        <w:rPr>
          <w:rtl/>
        </w:rPr>
        <w:t xml:space="preserve"> ، ح 12042 : « ما شاء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6D1542">
        <w:rPr>
          <w:rtl/>
        </w:rPr>
        <w:t>.</w:t>
      </w:r>
      <w:r w:rsidR="006D1542">
        <w:rPr>
          <w:rtl/>
        </w:rPr>
        <w:t xml:space="preserve"> وفي المطبوع : + « إل</w:t>
      </w:r>
      <w:r w:rsidR="006D1542">
        <w:rPr>
          <w:rFonts w:hint="cs"/>
          <w:rtl/>
        </w:rPr>
        <w:t>ّ</w:t>
      </w:r>
      <w:r w:rsidR="006D1542">
        <w:rPr>
          <w:rtl/>
        </w:rPr>
        <w:t>ا</w:t>
      </w:r>
      <w:r w:rsidR="00992664">
        <w:rPr>
          <w:rtl/>
        </w:rPr>
        <w:t xml:space="preserve"> ».</w:t>
      </w:r>
      <w:r w:rsidR="00992664" w:rsidRPr="00020424">
        <w:rPr>
          <w:rtl/>
        </w:rPr>
        <w:t xml:space="preserve"> وفي « ى » : « لايجحدون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 « ما شاء</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بف » : « تزوّج</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بح » : « منها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الزكاة ، باب فرض الزكاة وما يجب في المال من الحقوق ، صدر ح 5727. وفي </w:t>
      </w:r>
      <w:r w:rsidR="00992664" w:rsidRPr="00DE76B9">
        <w:rPr>
          <w:rStyle w:val="libFootnoteBoldChar"/>
          <w:rtl/>
        </w:rPr>
        <w:t>تفسير العيّاشي</w:t>
      </w:r>
      <w:r w:rsidR="00992664" w:rsidRPr="00020424">
        <w:rPr>
          <w:rtl/>
        </w:rPr>
        <w:t xml:space="preserve"> ، ج 2 ، ص 210 ، صدر ح 36 ، عن سماعة ، من دون الإسناد إلى المعصوم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وفيه</w:t>
      </w:r>
      <w:r w:rsidR="00992664" w:rsidRPr="00020424">
        <w:rPr>
          <w:rtl/>
        </w:rPr>
        <w:t xml:space="preserve"> ، ص 230 ، صدر ح 29 ، عن زرعة ، عن سماعة ، من دون الإسناد إلى المعصوم </w:t>
      </w:r>
      <w:r w:rsidR="00992664" w:rsidRPr="00D64ADA">
        <w:rPr>
          <w:rStyle w:val="libFootnoteAlaemChar"/>
          <w:rtl/>
        </w:rPr>
        <w:t>عليه‌السلام</w:t>
      </w:r>
      <w:r w:rsidR="00992664" w:rsidRPr="00020424">
        <w:rPr>
          <w:rtl/>
        </w:rPr>
        <w:t xml:space="preserve"> ، وفي كلّها من قوله :</w:t>
      </w:r>
      <w:r w:rsidR="006D1542">
        <w:rPr>
          <w:rtl/>
        </w:rPr>
        <w:t xml:space="preserve"> « إنّ الله عزّوجّل فرض للفقراء</w:t>
      </w:r>
      <w:r w:rsidR="00992664" w:rsidRPr="00020424">
        <w:rPr>
          <w:rtl/>
        </w:rPr>
        <w:t xml:space="preserve">» إلى قوله : « وهي الزكاة » </w:t>
      </w:r>
      <w:r w:rsidR="006D1542">
        <w:rPr>
          <w:rFonts w:hint="cs"/>
          <w:rtl/>
        </w:rPr>
        <w:t>.</w:t>
      </w:r>
      <w:r w:rsidR="00992664" w:rsidRPr="0012008A">
        <w:rPr>
          <w:rStyle w:val="libFootnoteBoldChar"/>
          <w:rtl/>
        </w:rPr>
        <w:t>الوافي</w:t>
      </w:r>
      <w:r w:rsidR="00992664" w:rsidRPr="00020424">
        <w:rPr>
          <w:rtl/>
        </w:rPr>
        <w:t xml:space="preserve"> ، ج 10 ، ص 177 ، ح 9380 ؛ </w:t>
      </w:r>
      <w:r w:rsidR="00992664" w:rsidRPr="0012008A">
        <w:rPr>
          <w:rStyle w:val="libFootnoteBoldChar"/>
          <w:rtl/>
        </w:rPr>
        <w:t>الوسائل</w:t>
      </w:r>
      <w:r w:rsidR="00992664" w:rsidRPr="00020424">
        <w:rPr>
          <w:rtl/>
        </w:rPr>
        <w:t xml:space="preserve"> ، ج 9 ، ص 13 ، ح 11396 ، من قوله : « إنّ الله عزّوجّل فرض للفقراء » إلى قوله : « وهي الزكاة » ؛ وص 289 ، ح 12042.</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هامش المطبوع عن بعض النسخ : « محمّد بن يحيى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D1542">
      <w:pPr>
        <w:pStyle w:val="libNormal0"/>
        <w:rPr>
          <w:rtl/>
          <w:lang w:bidi="fa-IR"/>
        </w:rPr>
      </w:pPr>
      <w:r w:rsidRPr="00020424">
        <w:rPr>
          <w:rtl/>
          <w:lang w:bidi="fa-IR"/>
        </w:rPr>
        <w:lastRenderedPageBreak/>
        <w:t xml:space="preserve">أَعْيَنَ وَهُوَ مُحْتَاجٌ ، فَقَالَ لَهُ </w:t>
      </w:r>
      <w:r w:rsidRPr="00A91B96">
        <w:rPr>
          <w:rStyle w:val="libFootnotenumChar"/>
          <w:rtl/>
        </w:rPr>
        <w:t>(1)</w:t>
      </w:r>
      <w:r w:rsidRPr="00020424">
        <w:rPr>
          <w:rtl/>
          <w:lang w:bidi="fa-IR"/>
        </w:rPr>
        <w:t xml:space="preserve"> عِيسَى بْنُ أَعْيَنَ </w:t>
      </w:r>
      <w:r w:rsidRPr="00A91B96">
        <w:rPr>
          <w:rStyle w:val="libFootnotenumChar"/>
          <w:rtl/>
        </w:rPr>
        <w:t>(2)</w:t>
      </w:r>
      <w:r w:rsidRPr="00020424">
        <w:rPr>
          <w:rtl/>
          <w:lang w:bidi="fa-IR"/>
        </w:rPr>
        <w:t xml:space="preserve"> : أَمَا إِنَّ عِنْدِي مِنَ الزَّكَاةِ وَلكِنْ لَا أُعْطِيكَ مِنْهَا ، فَقَالَ لَهُ : وَلِمَ</w:t>
      </w:r>
      <w:r>
        <w:rPr>
          <w:rtl/>
          <w:lang w:bidi="fa-IR"/>
        </w:rPr>
        <w:t>؟</w:t>
      </w:r>
      <w:r w:rsidRPr="00020424">
        <w:rPr>
          <w:rtl/>
          <w:lang w:bidi="fa-IR"/>
        </w:rPr>
        <w:t xml:space="preserve"> فَقَالَ </w:t>
      </w:r>
      <w:r w:rsidRPr="00A91B96">
        <w:rPr>
          <w:rStyle w:val="libFootnotenumChar"/>
          <w:rtl/>
        </w:rPr>
        <w:t>(3)</w:t>
      </w:r>
      <w:r w:rsidRPr="00020424">
        <w:rPr>
          <w:rtl/>
          <w:lang w:bidi="fa-IR"/>
        </w:rPr>
        <w:t xml:space="preserve"> : لِأَنِّي رَأَيْتُكَ اشْتَرَيْتَ لَحْماً وَتَمْراً ، فَقَالَ : إِنَّمَا رَبِحْتُ دِرْهَماً ، فَاشْتَرَيْتُ بِدَانِقَيْنِ </w:t>
      </w:r>
      <w:r w:rsidRPr="00A91B96">
        <w:rPr>
          <w:rStyle w:val="libFootnotenumChar"/>
          <w:rtl/>
        </w:rPr>
        <w:t>(4)</w:t>
      </w:r>
      <w:r w:rsidRPr="00020424">
        <w:rPr>
          <w:rtl/>
          <w:lang w:bidi="fa-IR"/>
        </w:rPr>
        <w:t xml:space="preserve"> لَحْماً ، وَبِدَانِقَيْنِ تَمْراً ، وَرَجَعْتُ </w:t>
      </w:r>
      <w:r w:rsidRPr="00A91B96">
        <w:rPr>
          <w:rStyle w:val="libFootnotenumChar"/>
          <w:rtl/>
        </w:rPr>
        <w:t>(5)</w:t>
      </w:r>
      <w:r w:rsidRPr="00020424">
        <w:rPr>
          <w:rtl/>
          <w:lang w:bidi="fa-IR"/>
        </w:rPr>
        <w:t xml:space="preserve"> بِدَانِقَيْنِ لِحَاجَةٍ </w:t>
      </w:r>
      <w:r w:rsidRPr="00A91B96">
        <w:rPr>
          <w:rStyle w:val="libFootnotenumChar"/>
          <w:rtl/>
        </w:rPr>
        <w:t>(6)</w:t>
      </w:r>
      <w:r w:rsidR="006D1542" w:rsidRPr="006D1542">
        <w:rPr>
          <w:rStyle w:val="libNormalChar"/>
          <w:rFonts w:hint="cs"/>
          <w:rtl/>
        </w:rPr>
        <w:t>.</w:t>
      </w:r>
    </w:p>
    <w:p w:rsidR="00992664" w:rsidRPr="00020424" w:rsidRDefault="00992664" w:rsidP="00992664">
      <w:pPr>
        <w:pStyle w:val="libNormal"/>
        <w:rPr>
          <w:rtl/>
          <w:lang w:bidi="fa-IR"/>
        </w:rPr>
      </w:pPr>
      <w:r w:rsidRPr="00020424">
        <w:rPr>
          <w:rtl/>
          <w:lang w:bidi="fa-IR"/>
        </w:rPr>
        <w:t xml:space="preserve">قَالَ : فَوَضَعَ أَبُو عَبْدِ اللهِ </w:t>
      </w:r>
      <w:r w:rsidRPr="00005A81">
        <w:rPr>
          <w:rStyle w:val="libAlaemChar"/>
          <w:rtl/>
        </w:rPr>
        <w:t>عليه‌السلام</w:t>
      </w:r>
      <w:r w:rsidRPr="00020424">
        <w:rPr>
          <w:rtl/>
          <w:lang w:bidi="fa-IR"/>
        </w:rPr>
        <w:t xml:space="preserve"> يَدَهُ عَلى جَبْهَتِهِ سَاعَةً ، ثُمَّ رَفَعَ رَأْسَهُ ، ثُمَّ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نَظَرَ فِي أَمْوَالِ الْأَغْنِيَاءِ ، ثُمَّ نَظَرَ فِي الْفُقَرَاءِ ، فَجَعَلَ فِي أَمْوَالِ الْأَغْنِيَاءِ مَا يَكْتَفُونَ بِهِ ، وَلَوْ لَمْ يَكْفِهِمْ لَزَادَهُمْ ، بَلْ </w:t>
      </w:r>
      <w:r w:rsidRPr="00A91B96">
        <w:rPr>
          <w:rStyle w:val="libFootnotenumChar"/>
          <w:rtl/>
        </w:rPr>
        <w:t>(7)</w:t>
      </w:r>
      <w:r w:rsidRPr="00020424">
        <w:rPr>
          <w:rtl/>
          <w:lang w:bidi="fa-IR"/>
        </w:rPr>
        <w:t xml:space="preserve"> يُعْطِيهِ </w:t>
      </w:r>
      <w:r w:rsidRPr="00A91B96">
        <w:rPr>
          <w:rStyle w:val="libFootnotenumChar"/>
          <w:rtl/>
        </w:rPr>
        <w:t>(8)</w:t>
      </w:r>
      <w:r w:rsidRPr="00020424">
        <w:rPr>
          <w:rtl/>
          <w:lang w:bidi="fa-IR"/>
        </w:rPr>
        <w:t xml:space="preserve"> مَا يَأْكُلُ وَيَشْرَبُ وَيَكْتَسِي وَيَتَزَوَّجُ وَيَتَصَدَّقُ وَيَحُجُّ</w:t>
      </w:r>
      <w:r>
        <w:rPr>
          <w:rtl/>
          <w:lang w:bidi="fa-IR"/>
        </w:rPr>
        <w:t>».</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442BE5">
        <w:rPr>
          <w:rtl/>
        </w:rPr>
        <w:t>5952</w:t>
      </w:r>
      <w:r w:rsidRPr="001155DE">
        <w:rPr>
          <w:rStyle w:val="libBold2Char"/>
          <w:rtl/>
        </w:rPr>
        <w:t xml:space="preserve"> / 3.</w:t>
      </w:r>
      <w:r w:rsidRPr="00020424">
        <w:rPr>
          <w:rtl/>
          <w:lang w:bidi="fa-IR"/>
        </w:rPr>
        <w:t xml:space="preserve"> مُحَمَّدُ بْنُ يَحْيى ، عَنْ أَحْمَدَ بْنِ مُحَمَّدٍ ، عَنْ عَلِيِّ بْنِ الْحَكَمِ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 رَجُلٌ أَبَا عَبْدِ اللهِ </w:t>
      </w:r>
      <w:r w:rsidRPr="00005A81">
        <w:rPr>
          <w:rStyle w:val="libAlaemChar"/>
          <w:rtl/>
        </w:rPr>
        <w:t>عليه‌السلام</w:t>
      </w:r>
      <w:r w:rsidRPr="00020424">
        <w:rPr>
          <w:rtl/>
          <w:lang w:bidi="fa-IR"/>
        </w:rPr>
        <w:t xml:space="preserve"> وَأَنَا جَالِسٌ ، فَقَالَ : إِنِّي أُعْطى مِنَ الزَّكَاةِ ، فَأَجْمَعُهُ حَتّى أَحُجَّ بِهِ</w:t>
      </w:r>
      <w:r>
        <w:rPr>
          <w:rtl/>
          <w:lang w:bidi="fa-IR"/>
        </w:rPr>
        <w:t>؟</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D1542" w:rsidTr="006D1542">
        <w:tc>
          <w:tcPr>
            <w:tcW w:w="4006" w:type="dxa"/>
          </w:tcPr>
          <w:p w:rsidR="006D1542" w:rsidRDefault="006D1542" w:rsidP="00992664">
            <w:pPr>
              <w:pStyle w:val="libFootnote0"/>
              <w:rPr>
                <w:rtl/>
              </w:rPr>
            </w:pPr>
            <w:r>
              <w:rPr>
                <w:rtl/>
              </w:rPr>
              <w:t xml:space="preserve">(1). </w:t>
            </w:r>
            <w:r w:rsidRPr="00020424">
              <w:rPr>
                <w:rtl/>
              </w:rPr>
              <w:t>في « ى » :</w:t>
            </w:r>
            <w:r>
              <w:rPr>
                <w:rtl/>
              </w:rPr>
              <w:t xml:space="preserve"> - </w:t>
            </w:r>
            <w:r w:rsidRPr="00020424">
              <w:rPr>
                <w:rtl/>
              </w:rPr>
              <w:t>« له</w:t>
            </w:r>
            <w:r>
              <w:rPr>
                <w:rtl/>
              </w:rPr>
              <w:t xml:space="preserve"> ».</w:t>
            </w:r>
          </w:p>
        </w:tc>
        <w:tc>
          <w:tcPr>
            <w:tcW w:w="4006" w:type="dxa"/>
          </w:tcPr>
          <w:p w:rsidR="006D1542" w:rsidRDefault="006D1542" w:rsidP="00992664">
            <w:pPr>
              <w:pStyle w:val="libFootnote0"/>
              <w:rPr>
                <w:rtl/>
              </w:rPr>
            </w:pPr>
            <w:r>
              <w:rPr>
                <w:rtl/>
              </w:rPr>
              <w:t xml:space="preserve">(2). </w:t>
            </w:r>
            <w:r w:rsidRPr="00020424">
              <w:rPr>
                <w:rtl/>
              </w:rPr>
              <w:t xml:space="preserve">في « بخ ، بر ، بف » </w:t>
            </w:r>
            <w:r w:rsidRPr="00515444">
              <w:rPr>
                <w:rStyle w:val="libFootnoteBoldChar"/>
                <w:rtl/>
              </w:rPr>
              <w:t>والوافي</w:t>
            </w:r>
            <w:r w:rsidRPr="00020424">
              <w:rPr>
                <w:rtl/>
              </w:rPr>
              <w:t xml:space="preserve"> :</w:t>
            </w:r>
            <w:r>
              <w:rPr>
                <w:rtl/>
              </w:rPr>
              <w:t xml:space="preserve"> - </w:t>
            </w:r>
            <w:r w:rsidRPr="00020424">
              <w:rPr>
                <w:rtl/>
              </w:rPr>
              <w:t>« بن أعين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الدانق</w:t>
      </w:r>
      <w:r w:rsidR="00992664">
        <w:rPr>
          <w:rtl/>
        </w:rPr>
        <w:t xml:space="preserve"> </w:t>
      </w:r>
      <w:r w:rsidR="009B673F">
        <w:rPr>
          <w:rtl/>
        </w:rPr>
        <w:t>-</w:t>
      </w:r>
      <w:r w:rsidR="00992664">
        <w:rPr>
          <w:rtl/>
        </w:rPr>
        <w:t xml:space="preserve"> </w:t>
      </w:r>
      <w:r w:rsidR="00992664" w:rsidRPr="00020424">
        <w:rPr>
          <w:rtl/>
        </w:rPr>
        <w:t>بكسر النون وفتحها</w:t>
      </w:r>
      <w:r w:rsidR="00992664">
        <w:rPr>
          <w:rtl/>
        </w:rPr>
        <w:t xml:space="preserve"> </w:t>
      </w:r>
      <w:r w:rsidR="009B673F">
        <w:rPr>
          <w:rtl/>
        </w:rPr>
        <w:t>-</w:t>
      </w:r>
      <w:r w:rsidR="00992664">
        <w:rPr>
          <w:rtl/>
        </w:rPr>
        <w:t xml:space="preserve"> </w:t>
      </w:r>
      <w:r w:rsidR="00992664" w:rsidRPr="00020424">
        <w:rPr>
          <w:rtl/>
        </w:rPr>
        <w:t xml:space="preserve">: سدس الدرهم والدينار ، وقال الفيّومي </w:t>
      </w:r>
      <w:r w:rsidR="006D1542">
        <w:rPr>
          <w:rtl/>
        </w:rPr>
        <w:t>: « الدانق : معرّب وهو سدس درهم</w:t>
      </w:r>
      <w:r w:rsidR="00992664" w:rsidRPr="00020424">
        <w:rPr>
          <w:rtl/>
        </w:rPr>
        <w:t>، وهو عند اليونان حبّتا خُرنوب ؛ لأنّ الدرهم عندهم اثنتا عشرة حبّة خرنوب ، والدانق الإسلامي حبّتا خرنوب وثلثا حبّة خرنوب ؛ فإنّ الدرهم الإسلامي ستّ عشرة حبّة خرنوب</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10 ، ص 105 ؛ </w:t>
      </w:r>
      <w:r w:rsidR="00992664" w:rsidRPr="00A722B1">
        <w:rPr>
          <w:rStyle w:val="libFootnoteBoldChar"/>
          <w:rtl/>
        </w:rPr>
        <w:t>المصباح المنير</w:t>
      </w:r>
      <w:r w:rsidR="00992664" w:rsidRPr="00020424">
        <w:rPr>
          <w:rtl/>
        </w:rPr>
        <w:t xml:space="preserve"> ، ص 201 ( دنق )</w:t>
      </w:r>
      <w:r w:rsidR="00992664">
        <w:rPr>
          <w:rtl/>
        </w:rPr>
        <w:t>.</w:t>
      </w:r>
      <w:r w:rsidR="00992664" w:rsidRPr="00020424">
        <w:rPr>
          <w:rtl/>
        </w:rPr>
        <w:t xml:space="preserve"> هذا ، وإن أردت تحقيق ذلك فراجع : </w:t>
      </w:r>
      <w:r w:rsidR="00992664" w:rsidRPr="00DE76B9">
        <w:rPr>
          <w:rStyle w:val="libFootnoteBoldChar"/>
          <w:rtl/>
        </w:rPr>
        <w:t>جواهر الكلام</w:t>
      </w:r>
      <w:r w:rsidR="00992664" w:rsidRPr="00020424">
        <w:rPr>
          <w:rtl/>
        </w:rPr>
        <w:t xml:space="preserve"> ، ج 15 ، ص 174</w:t>
      </w:r>
      <w:r w:rsidR="00992664">
        <w:rPr>
          <w:rtl/>
        </w:rPr>
        <w:t xml:space="preserve"> </w:t>
      </w:r>
      <w:r w:rsidR="009B673F">
        <w:rPr>
          <w:rtl/>
        </w:rPr>
        <w:t>-</w:t>
      </w:r>
      <w:r w:rsidR="00992664">
        <w:rPr>
          <w:rtl/>
        </w:rPr>
        <w:t xml:space="preserve"> </w:t>
      </w:r>
      <w:r w:rsidR="00992664" w:rsidRPr="00020424">
        <w:rPr>
          <w:rtl/>
        </w:rPr>
        <w:t>179.</w:t>
      </w:r>
    </w:p>
    <w:p w:rsidR="00992664" w:rsidRPr="00020424" w:rsidRDefault="00795177" w:rsidP="006D1542">
      <w:pPr>
        <w:pStyle w:val="libFootnote0"/>
        <w:rPr>
          <w:rtl/>
          <w:lang w:bidi="fa-IR"/>
        </w:rPr>
      </w:pPr>
      <w:r>
        <w:rPr>
          <w:rtl/>
        </w:rPr>
        <w:t>(5).</w:t>
      </w:r>
      <w:r w:rsidR="0014403D">
        <w:rPr>
          <w:rtl/>
        </w:rPr>
        <w:t xml:space="preserve"> </w:t>
      </w:r>
      <w:r w:rsidR="00992664" w:rsidRPr="00020424">
        <w:rPr>
          <w:rtl/>
        </w:rPr>
        <w:t xml:space="preserve">هكذا في « ظ ، بح ، بخ ، بر ، بف » </w:t>
      </w:r>
      <w:r w:rsidR="00992664" w:rsidRPr="00515444">
        <w:rPr>
          <w:rStyle w:val="libFootnoteBoldChar"/>
          <w:rtl/>
        </w:rPr>
        <w:t>والوافي</w:t>
      </w:r>
      <w:r w:rsidR="00992664" w:rsidRPr="00020424">
        <w:rPr>
          <w:rtl/>
        </w:rPr>
        <w:t xml:space="preserve">. وفي « ى ، بث ، بس ، جن » </w:t>
      </w:r>
      <w:r w:rsidR="00992664" w:rsidRPr="00EB1FD9">
        <w:rPr>
          <w:rStyle w:val="libFootnoteBoldChar"/>
          <w:rtl/>
        </w:rPr>
        <w:t>والوسائل</w:t>
      </w:r>
      <w:r w:rsidR="00992664" w:rsidRPr="00020424">
        <w:rPr>
          <w:rtl/>
        </w:rPr>
        <w:t xml:space="preserve"> : « ثمّ رجعت</w:t>
      </w:r>
      <w:r w:rsidR="00992664">
        <w:rPr>
          <w:rtl/>
        </w:rPr>
        <w:t xml:space="preserve"> ».</w:t>
      </w:r>
      <w:r w:rsidR="00992664" w:rsidRPr="00020424">
        <w:rPr>
          <w:rtl/>
        </w:rPr>
        <w:t xml:space="preserve"> وفي المطبوع : « ثمّ ورجعت</w:t>
      </w:r>
      <w:r w:rsidR="00992664">
        <w:rPr>
          <w:rtl/>
        </w:rPr>
        <w:t xml:space="preserve"> ».</w:t>
      </w:r>
      <w:r w:rsidR="006D1542">
        <w:rPr>
          <w:rFonts w:hint="cs"/>
          <w:rtl/>
        </w:rPr>
        <w:t xml:space="preserve">                            </w:t>
      </w:r>
      <w:r>
        <w:rPr>
          <w:rtl/>
        </w:rPr>
        <w:t>(6).</w:t>
      </w:r>
      <w:r w:rsidR="0014403D">
        <w:rPr>
          <w:rtl/>
        </w:rPr>
        <w:t xml:space="preserve"> </w:t>
      </w:r>
      <w:r w:rsidR="00992664" w:rsidRPr="00020424">
        <w:rPr>
          <w:rtl/>
        </w:rPr>
        <w:t>في حاشية « بث » : « لحاجتي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6D1542">
        <w:rPr>
          <w:rtl/>
        </w:rPr>
        <w:t xml:space="preserve"> </w:t>
      </w:r>
      <w:r w:rsidR="00992664" w:rsidRPr="00EB1FD9">
        <w:rPr>
          <w:rStyle w:val="libFootnoteBoldChar"/>
          <w:rtl/>
        </w:rPr>
        <w:t>والوسائل</w:t>
      </w:r>
      <w:r w:rsidR="00992664" w:rsidRPr="00020424">
        <w:rPr>
          <w:rtl/>
        </w:rPr>
        <w:t xml:space="preserve"> : « بلى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بخ ، بر ، بف » وحاشية « بث » </w:t>
      </w:r>
      <w:r w:rsidR="00992664" w:rsidRPr="00515444">
        <w:rPr>
          <w:rStyle w:val="libFootnoteBoldChar"/>
          <w:rtl/>
        </w:rPr>
        <w:t>والوافي</w:t>
      </w:r>
      <w:r w:rsidR="00992664" w:rsidRPr="006D1542">
        <w:rPr>
          <w:rtl/>
        </w:rPr>
        <w:t xml:space="preserve"> </w:t>
      </w:r>
      <w:r w:rsidR="00992664" w:rsidRPr="00EB1FD9">
        <w:rPr>
          <w:rStyle w:val="libFootnoteBoldChar"/>
          <w:rtl/>
        </w:rPr>
        <w:t>والوسائل</w:t>
      </w:r>
      <w:r w:rsidR="00992664" w:rsidRPr="00020424">
        <w:rPr>
          <w:rtl/>
        </w:rPr>
        <w:t xml:space="preserve"> : « فليعطه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الكافي</w:t>
      </w:r>
      <w:r w:rsidR="00992664" w:rsidRPr="00020424">
        <w:rPr>
          <w:rtl/>
        </w:rPr>
        <w:t xml:space="preserve"> ، كتاب الزكاة ، باب فرض الزكاة وما يجب في المال من الحقوق ، ح 5726 ؛ </w:t>
      </w:r>
      <w:r w:rsidR="00992664" w:rsidRPr="00FD6221">
        <w:rPr>
          <w:rStyle w:val="libFootnoteBoldChar"/>
          <w:rtl/>
        </w:rPr>
        <w:t>والفقيه</w:t>
      </w:r>
      <w:r w:rsidR="00992664" w:rsidRPr="00020424">
        <w:rPr>
          <w:rtl/>
        </w:rPr>
        <w:t xml:space="preserve"> ، ج 2 ، ص 3 ، ح 1574 ؛ </w:t>
      </w:r>
      <w:r w:rsidR="00992664" w:rsidRPr="00515444">
        <w:rPr>
          <w:rStyle w:val="libFootnoteBoldChar"/>
          <w:rtl/>
        </w:rPr>
        <w:t>وعلل الشرائع</w:t>
      </w:r>
      <w:r w:rsidR="00992664" w:rsidRPr="00020424">
        <w:rPr>
          <w:rtl/>
        </w:rPr>
        <w:t xml:space="preserve"> ، ص 368 ، ح 2 ، بسند آخر من قوله : « إنّ الله تبارك وتعالى نظر في أموال الأغنياء » إلى قوله : « ولولم يكفهم لزادهم » مع زيادة في أوّله وآخره </w:t>
      </w:r>
      <w:r w:rsidR="006D1542">
        <w:rPr>
          <w:rFonts w:hint="cs"/>
          <w:rtl/>
        </w:rPr>
        <w:t>.</w:t>
      </w:r>
      <w:r w:rsidR="00992664" w:rsidRPr="0012008A">
        <w:rPr>
          <w:rStyle w:val="libFootnoteBoldChar"/>
          <w:rtl/>
        </w:rPr>
        <w:t>الوافي</w:t>
      </w:r>
      <w:r w:rsidR="00992664" w:rsidRPr="00020424">
        <w:rPr>
          <w:rtl/>
        </w:rPr>
        <w:t xml:space="preserve"> ، ج 10 ، ص 176 ، ح 9378 ؛ </w:t>
      </w:r>
      <w:r w:rsidR="00992664" w:rsidRPr="0012008A">
        <w:rPr>
          <w:rStyle w:val="libFootnoteBoldChar"/>
          <w:rtl/>
        </w:rPr>
        <w:t>الوسائل</w:t>
      </w:r>
      <w:r w:rsidR="00992664" w:rsidRPr="00020424">
        <w:rPr>
          <w:rtl/>
        </w:rPr>
        <w:t xml:space="preserve"> ، ج 9 ، ص 289 ، ح 12043.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w:t>
      </w:r>
      <w:r w:rsidRPr="00A91B96">
        <w:rPr>
          <w:rStyle w:val="libFootnotenumChar"/>
          <w:rtl/>
        </w:rPr>
        <w:t>(1)</w:t>
      </w:r>
      <w:r w:rsidRPr="00020424">
        <w:rPr>
          <w:rtl/>
          <w:lang w:bidi="fa-IR"/>
        </w:rPr>
        <w:t xml:space="preserve"> : « نَعَمْ ، يَأْجُرُ اللهُ مَنْ يُعْطِيكَ</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127" w:name="_Toc345172759"/>
      <w:bookmarkStart w:id="128" w:name="_Toc464562575"/>
      <w:bookmarkStart w:id="129" w:name="_Toc44599878"/>
      <w:r w:rsidRPr="00020424">
        <w:rPr>
          <w:rtl/>
          <w:lang w:bidi="fa-IR"/>
        </w:rPr>
        <w:t>38</w:t>
      </w:r>
      <w:r>
        <w:rPr>
          <w:rtl/>
          <w:lang w:bidi="fa-IR"/>
        </w:rPr>
        <w:t xml:space="preserve"> </w:t>
      </w:r>
      <w:r w:rsidR="009B673F">
        <w:rPr>
          <w:rtl/>
          <w:lang w:bidi="fa-IR"/>
        </w:rPr>
        <w:t>-</w:t>
      </w:r>
      <w:r>
        <w:rPr>
          <w:rtl/>
          <w:lang w:bidi="fa-IR"/>
        </w:rPr>
        <w:t xml:space="preserve"> </w:t>
      </w:r>
      <w:r w:rsidRPr="00020424">
        <w:rPr>
          <w:rtl/>
          <w:lang w:bidi="fa-IR"/>
        </w:rPr>
        <w:t xml:space="preserve">بَابُ الرَّجُلِ يَحُجُّ مِنَ الزَّكَاةِ </w:t>
      </w:r>
      <w:r w:rsidRPr="00A91B96">
        <w:rPr>
          <w:rStyle w:val="libFootnotenumChar"/>
          <w:rtl/>
        </w:rPr>
        <w:t>(3)</w:t>
      </w:r>
      <w:r>
        <w:rPr>
          <w:rtl/>
        </w:rPr>
        <w:t xml:space="preserve"> </w:t>
      </w:r>
      <w:r w:rsidRPr="00020424">
        <w:rPr>
          <w:rtl/>
          <w:lang w:bidi="fa-IR"/>
        </w:rPr>
        <w:t>أَوْ يُعْتِقُ‌</w:t>
      </w:r>
      <w:bookmarkEnd w:id="127"/>
      <w:bookmarkEnd w:id="128"/>
      <w:bookmarkEnd w:id="129"/>
    </w:p>
    <w:p w:rsidR="00992664" w:rsidRPr="00020424" w:rsidRDefault="00992664" w:rsidP="00992664">
      <w:pPr>
        <w:pStyle w:val="libNormal"/>
        <w:rPr>
          <w:rtl/>
          <w:lang w:bidi="fa-IR"/>
        </w:rPr>
      </w:pPr>
      <w:r w:rsidRPr="00442BE5">
        <w:rPr>
          <w:rtl/>
        </w:rPr>
        <w:t>5953</w:t>
      </w:r>
      <w:r w:rsidRPr="001155DE">
        <w:rPr>
          <w:rStyle w:val="libBold2Char"/>
          <w:rtl/>
        </w:rPr>
        <w:t xml:space="preserve"> / 1.</w:t>
      </w:r>
      <w:r w:rsidRPr="00020424">
        <w:rPr>
          <w:rtl/>
          <w:lang w:bidi="fa-IR"/>
        </w:rPr>
        <w:t xml:space="preserve"> عِدَّةٌ مِنْ أَصْحَابِنَا ، عَنْ أَحْمَدَ بْنِ مُحَمَّدٍ ، عَنِ ابْنِ أَبِي عُمَيْرٍ ، عَنْ جَمِيلِ بْنِ دَرَّاجٍ </w:t>
      </w:r>
      <w:r w:rsidRPr="00A91B96">
        <w:rPr>
          <w:rStyle w:val="libFootnotenumChar"/>
          <w:rtl/>
        </w:rPr>
        <w:t>(4)</w:t>
      </w:r>
      <w:r w:rsidRPr="00020424">
        <w:rPr>
          <w:rtl/>
          <w:lang w:bidi="fa-IR"/>
        </w:rPr>
        <w:t xml:space="preserve"> ، عَنْ إِسْمَاعِيلَ الشَّعِيرِيِّ </w:t>
      </w:r>
      <w:r w:rsidRPr="00A91B96">
        <w:rPr>
          <w:rStyle w:val="libFootnotenumChar"/>
          <w:rtl/>
        </w:rPr>
        <w:t>(5)</w:t>
      </w:r>
      <w:r w:rsidRPr="00020424">
        <w:rPr>
          <w:rtl/>
          <w:lang w:bidi="fa-IR"/>
        </w:rPr>
        <w:t xml:space="preserve"> ، عَنِ الْحَكَمِ بْنِ عُتَيْبَةَ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w:t>
      </w:r>
      <w:r w:rsidRPr="00A91B96">
        <w:rPr>
          <w:rStyle w:val="libFootnotenumChar"/>
          <w:rtl/>
        </w:rPr>
        <w:t>(6)</w:t>
      </w:r>
      <w:r w:rsidRPr="00020424">
        <w:rPr>
          <w:rtl/>
          <w:lang w:bidi="fa-IR"/>
        </w:rPr>
        <w:t xml:space="preserve"> يُعْطِي الرَّجُلَ مِنْ زَكَاةِ مَالِهِ يَحُجُّ </w:t>
      </w:r>
      <w:r w:rsidRPr="00A91B96">
        <w:rPr>
          <w:rStyle w:val="libFootnotenumChar"/>
          <w:rtl/>
        </w:rPr>
        <w:t>(7)</w:t>
      </w:r>
      <w:r w:rsidRPr="00020424">
        <w:rPr>
          <w:rtl/>
          <w:lang w:bidi="fa-IR"/>
        </w:rPr>
        <w:t xml:space="preserve"> بِهَا.</w:t>
      </w:r>
    </w:p>
    <w:p w:rsidR="00992664" w:rsidRPr="00020424" w:rsidRDefault="00992664" w:rsidP="00992664">
      <w:pPr>
        <w:pStyle w:val="libNormal"/>
        <w:rPr>
          <w:rtl/>
          <w:lang w:bidi="fa-IR"/>
        </w:rPr>
      </w:pPr>
      <w:r w:rsidRPr="00020424">
        <w:rPr>
          <w:rtl/>
          <w:lang w:bidi="fa-IR"/>
        </w:rPr>
        <w:t xml:space="preserve">قَالَ : « مَالُ الزَّكَاةِ </w:t>
      </w:r>
      <w:r w:rsidRPr="00A91B96">
        <w:rPr>
          <w:rStyle w:val="libFootnotenumChar"/>
          <w:rtl/>
        </w:rPr>
        <w:t>(8)</w:t>
      </w:r>
      <w:r w:rsidRPr="00020424">
        <w:rPr>
          <w:rtl/>
          <w:lang w:bidi="fa-IR"/>
        </w:rPr>
        <w:t xml:space="preserve"> يُحَجُّ بِهِ </w:t>
      </w:r>
      <w:r w:rsidRPr="00A91B96">
        <w:rPr>
          <w:rStyle w:val="libFootnotenumChar"/>
          <w:rtl/>
        </w:rPr>
        <w:t>(9)</w:t>
      </w:r>
      <w:r>
        <w:rPr>
          <w:rtl/>
          <w:lang w:bidi="fa-IR"/>
        </w:rPr>
        <w:t>؟</w:t>
      </w:r>
      <w:r w:rsidRPr="00020424">
        <w:rPr>
          <w:rtl/>
          <w:lang w:bidi="fa-IR"/>
        </w:rPr>
        <w:t xml:space="preserve"> » فَقُلْتُ لَهُ : إِنَّهُ رَجُلٌ مُسْلِمٌ أَعْطى رَجُلاً مُسْلِماً.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بف »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177 ، ح 9379 ؛ </w:t>
      </w:r>
      <w:r w:rsidR="00992664" w:rsidRPr="0012008A">
        <w:rPr>
          <w:rStyle w:val="libFootnoteBoldChar"/>
          <w:rtl/>
        </w:rPr>
        <w:t>الوسائل</w:t>
      </w:r>
      <w:r w:rsidR="00992664" w:rsidRPr="00020424">
        <w:rPr>
          <w:rtl/>
        </w:rPr>
        <w:t xml:space="preserve"> ، ج 9 ، ص 291 ، ح 12047.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بف » : « زكاته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بف » وحاشية « بح » :</w:t>
      </w:r>
      <w:r w:rsidR="00992664">
        <w:rPr>
          <w:rtl/>
        </w:rPr>
        <w:t xml:space="preserve"> </w:t>
      </w:r>
      <w:r w:rsidR="009B673F">
        <w:rPr>
          <w:rtl/>
        </w:rPr>
        <w:t>-</w:t>
      </w:r>
      <w:r w:rsidR="00992664">
        <w:rPr>
          <w:rtl/>
        </w:rPr>
        <w:t xml:space="preserve"> </w:t>
      </w:r>
      <w:r w:rsidR="00992664" w:rsidRPr="00020424">
        <w:rPr>
          <w:rtl/>
        </w:rPr>
        <w:t>« بن درّاج</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المراد من إسماعيل الشعيري هو إسماعيل بن أبي زياد مسلم السكوني الذي قد ورد في كثيرٍ من الأسناد جدّاً بعنوان السكوني. ولم نجد في شي‌ءٍ من الأسناد رواية جميل بن درّاج ، ولاجميل بن صالح عنه ، كما أنّا لم نجد</w:t>
      </w:r>
      <w:r w:rsidR="00992664">
        <w:rPr>
          <w:rtl/>
        </w:rPr>
        <w:t xml:space="preserve"> </w:t>
      </w:r>
      <w:r w:rsidR="009B673F">
        <w:rPr>
          <w:rtl/>
        </w:rPr>
        <w:t>-</w:t>
      </w:r>
      <w:r w:rsidR="00992664">
        <w:rPr>
          <w:rtl/>
        </w:rPr>
        <w:t xml:space="preserve"> </w:t>
      </w:r>
      <w:r w:rsidR="00992664" w:rsidRPr="00020424">
        <w:rPr>
          <w:rtl/>
        </w:rPr>
        <w:t>حسب تتبّعنا</w:t>
      </w:r>
      <w:r w:rsidR="00992664">
        <w:rPr>
          <w:rtl/>
        </w:rPr>
        <w:t xml:space="preserve"> </w:t>
      </w:r>
      <w:r w:rsidR="009B673F">
        <w:rPr>
          <w:rtl/>
        </w:rPr>
        <w:t>-</w:t>
      </w:r>
      <w:r w:rsidR="00992664">
        <w:rPr>
          <w:rtl/>
        </w:rPr>
        <w:t xml:space="preserve"> </w:t>
      </w:r>
      <w:r w:rsidR="00992664" w:rsidRPr="00020424">
        <w:rPr>
          <w:rtl/>
        </w:rPr>
        <w:t xml:space="preserve">روايته عن أبي عبدالله </w:t>
      </w:r>
      <w:r w:rsidR="00992664" w:rsidRPr="00D64ADA">
        <w:rPr>
          <w:rStyle w:val="libFootnoteAlaemChar"/>
          <w:rtl/>
        </w:rPr>
        <w:t>عليه‌السلام</w:t>
      </w:r>
      <w:r w:rsidR="00992664" w:rsidRPr="00020424">
        <w:rPr>
          <w:rtl/>
        </w:rPr>
        <w:t xml:space="preserve"> بالتوسّط. راجع : </w:t>
      </w:r>
      <w:r w:rsidR="00992664" w:rsidRPr="00DE76B9">
        <w:rPr>
          <w:rStyle w:val="libFootnoteBoldChar"/>
          <w:rtl/>
        </w:rPr>
        <w:t>رجال النجاشي</w:t>
      </w:r>
      <w:r w:rsidR="00992664" w:rsidRPr="00020424">
        <w:rPr>
          <w:rtl/>
        </w:rPr>
        <w:t xml:space="preserve"> ، ص 26 ، الرقم 47 ؛ </w:t>
      </w:r>
      <w:r w:rsidR="00992664" w:rsidRPr="00D530ED">
        <w:rPr>
          <w:rStyle w:val="libFootnoteBoldChar"/>
          <w:rtl/>
        </w:rPr>
        <w:t>الفهرست للطوسي</w:t>
      </w:r>
      <w:r w:rsidR="00992664" w:rsidRPr="00020424">
        <w:rPr>
          <w:rtl/>
        </w:rPr>
        <w:t xml:space="preserve"> ، ص 33 ، الرقم 38 ؛ </w:t>
      </w:r>
      <w:r w:rsidR="00992664" w:rsidRPr="00DE76B9">
        <w:rPr>
          <w:rStyle w:val="libFootnoteBoldChar"/>
          <w:rtl/>
        </w:rPr>
        <w:t>معجم رجال الحديث</w:t>
      </w:r>
      <w:r w:rsidR="00992664" w:rsidRPr="00020424">
        <w:rPr>
          <w:rtl/>
        </w:rPr>
        <w:t xml:space="preserve"> ، ج 23 ، ص 103 ، الرقم 15337.</w:t>
      </w:r>
    </w:p>
    <w:p w:rsidR="00992664" w:rsidRPr="00020424" w:rsidRDefault="00992664" w:rsidP="00992664">
      <w:pPr>
        <w:pStyle w:val="libFootnote0"/>
        <w:rPr>
          <w:rtl/>
          <w:lang w:bidi="fa-IR"/>
        </w:rPr>
      </w:pPr>
      <w:r w:rsidRPr="00D530ED">
        <w:rPr>
          <w:rtl/>
        </w:rPr>
        <w:t xml:space="preserve">هذا ، وقد ورد في </w:t>
      </w:r>
      <w:r w:rsidRPr="009A5435">
        <w:rPr>
          <w:rStyle w:val="libFootnoteBoldChar"/>
          <w:rtl/>
        </w:rPr>
        <w:t>الكافي</w:t>
      </w:r>
      <w:r w:rsidRPr="00D530ED">
        <w:rPr>
          <w:rtl/>
        </w:rPr>
        <w:t xml:space="preserve"> ، ح 13182 خبرٌ رواه ابن أبي عمير ، عن جميل بن درّاج ، عن زكريّا بن يحيى الشعيري ، عن الحكم بن عتيبة. وقد ورد الخبر في ح 13624 أيضاً ، والمذكور هناك زكريّا بن يحيى ، عن الشعيري ، وفي</w:t>
      </w:r>
      <w:r w:rsidRPr="009A5435">
        <w:rPr>
          <w:rtl/>
        </w:rPr>
        <w:t xml:space="preserve"> </w:t>
      </w:r>
      <w:r w:rsidRPr="009A5435">
        <w:rPr>
          <w:rStyle w:val="libFootnoteBoldChar"/>
          <w:rtl/>
        </w:rPr>
        <w:t>الفقيه</w:t>
      </w:r>
      <w:r w:rsidRPr="00D530ED">
        <w:rPr>
          <w:rtl/>
        </w:rPr>
        <w:t xml:space="preserve"> ، ج 4 ، ص 224 ، ح 5527 ، زكريّا بن أبي يحيى السعدي </w:t>
      </w:r>
      <w:r w:rsidR="009B673F" w:rsidRPr="00D530ED">
        <w:rPr>
          <w:rtl/>
        </w:rPr>
        <w:t>-</w:t>
      </w:r>
      <w:r w:rsidRPr="00D530ED">
        <w:rPr>
          <w:rtl/>
        </w:rPr>
        <w:t xml:space="preserve"> ولم ترد لفظة « أبي » في بعض نسخه </w:t>
      </w:r>
      <w:r w:rsidR="009B673F" w:rsidRPr="00D530ED">
        <w:rPr>
          <w:rtl/>
        </w:rPr>
        <w:t>-</w:t>
      </w:r>
      <w:r w:rsidRPr="00D530ED">
        <w:rPr>
          <w:rtl/>
        </w:rPr>
        <w:t xml:space="preserve"> كما أنّ المذكور في </w:t>
      </w:r>
      <w:r w:rsidRPr="009A5435">
        <w:rPr>
          <w:rStyle w:val="libFootnoteBoldChar"/>
          <w:rtl/>
        </w:rPr>
        <w:t>التهذيب</w:t>
      </w:r>
      <w:r w:rsidRPr="00D530ED">
        <w:rPr>
          <w:rtl/>
        </w:rPr>
        <w:t xml:space="preserve"> ، ج 9 ، ص 164 ، ح 671 ، جميل بن درّاج ، عن الشعيري ، عن الحكم بن عتيبة ، وفي </w:t>
      </w:r>
      <w:r w:rsidRPr="009A5435">
        <w:rPr>
          <w:rStyle w:val="libFootnoteBoldChar"/>
          <w:rtl/>
        </w:rPr>
        <w:t>الاستبصار المطبوع</w:t>
      </w:r>
      <w:r w:rsidRPr="00D530ED">
        <w:rPr>
          <w:rtl/>
        </w:rPr>
        <w:t xml:space="preserve"> ، ج 4 ، ص 114 ، ح 436 : جميل بن درّاج ، عن الشعيري ، وعن الحكم بن عتيبة ، قالا ؛ لكن في بعض نسخه : « الشعيري عن الحكم بن عتيبة قال ». والظاهر بملاحظة ما ذُكِر أنّ الصواب في سند ذاك الخبر هو ، زكريّا بن يحيى الشعيري.</w:t>
      </w:r>
    </w:p>
    <w:p w:rsidR="00992664" w:rsidRPr="00020424" w:rsidRDefault="00992664" w:rsidP="00D530ED">
      <w:pPr>
        <w:pStyle w:val="libFootnote0"/>
        <w:rPr>
          <w:rtl/>
          <w:lang w:bidi="fa-IR"/>
        </w:rPr>
      </w:pPr>
      <w:r w:rsidRPr="00D82B22">
        <w:rPr>
          <w:rtl/>
        </w:rPr>
        <w:t>إذا تبيّن هذا ، فنقول : المظنون أنّ إسماعيل في ما نحن فيه زائد ، وكان الأصل في العنوان هو الشعيري. ثمّ فسِّر بإسماعيل سهواً ، فزيد « إسماعيل » في المتن بتخيّل سقوطه منه.</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بخ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الرجل</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رجل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 « ليحجّ</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بس » </w:t>
      </w:r>
      <w:r w:rsidR="00992664" w:rsidRPr="00515444">
        <w:rPr>
          <w:rStyle w:val="libFootnoteBoldChar"/>
          <w:rtl/>
        </w:rPr>
        <w:t>والوافي</w:t>
      </w:r>
      <w:r w:rsidR="00992664" w:rsidRPr="009A5435">
        <w:rPr>
          <w:rtl/>
        </w:rPr>
        <w:t xml:space="preserve"> </w:t>
      </w:r>
      <w:r w:rsidR="00992664" w:rsidRPr="00EB1FD9">
        <w:rPr>
          <w:rStyle w:val="libFootnoteBoldChar"/>
          <w:rtl/>
        </w:rPr>
        <w:t>والوسائل</w:t>
      </w:r>
      <w:r w:rsidR="00992664" w:rsidRPr="00020424">
        <w:rPr>
          <w:rtl/>
        </w:rPr>
        <w:t xml:space="preserve"> : « ما للزكاة » بدل « مال الزكاة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بح ، بخ ، بر ، بف » وحاشية « بس » </w:t>
      </w:r>
      <w:r w:rsidR="00992664" w:rsidRPr="00515444">
        <w:rPr>
          <w:rStyle w:val="libFootnoteBoldChar"/>
          <w:rtl/>
        </w:rPr>
        <w:t>والوافي</w:t>
      </w:r>
      <w:r w:rsidR="00992664" w:rsidRPr="009A5435">
        <w:rPr>
          <w:rtl/>
        </w:rPr>
        <w:t xml:space="preserve"> </w:t>
      </w:r>
      <w:r w:rsidR="00992664" w:rsidRPr="00EB1FD9">
        <w:rPr>
          <w:rStyle w:val="libFootnoteBoldChar"/>
          <w:rtl/>
        </w:rPr>
        <w:t>والوسائل</w:t>
      </w:r>
      <w:r w:rsidR="00992664" w:rsidRPr="00020424">
        <w:rPr>
          <w:rtl/>
        </w:rPr>
        <w:t xml:space="preserve"> : « بها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 « إِنْ كَانَ مُحْتَاجاً ، فَلْيُعْطِهِ لِحَاجَتِهِ وَفَقْرِهِ ، وَلَايَقُولُ </w:t>
      </w:r>
      <w:r w:rsidRPr="00A91B96">
        <w:rPr>
          <w:rStyle w:val="libFootnotenumChar"/>
          <w:rtl/>
        </w:rPr>
        <w:t>(1)</w:t>
      </w:r>
      <w:r w:rsidRPr="00020424">
        <w:rPr>
          <w:rtl/>
          <w:lang w:bidi="fa-IR"/>
        </w:rPr>
        <w:t xml:space="preserve"> لَهُ : حُجَّ بِهَا ، يَصْنَعُ بِهَا بَعْدُ </w:t>
      </w:r>
      <w:r w:rsidRPr="00A91B96">
        <w:rPr>
          <w:rStyle w:val="libFootnotenumChar"/>
          <w:rtl/>
        </w:rPr>
        <w:t>(2)</w:t>
      </w:r>
      <w:r w:rsidRPr="00020424">
        <w:rPr>
          <w:rtl/>
          <w:lang w:bidi="fa-IR"/>
        </w:rPr>
        <w:t xml:space="preserve"> مَا يَشَاءُ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4316F">
        <w:rPr>
          <w:rtl/>
        </w:rPr>
        <w:t>5954</w:t>
      </w:r>
      <w:r w:rsidRPr="001155DE">
        <w:rPr>
          <w:rStyle w:val="libBold2Char"/>
          <w:rtl/>
        </w:rPr>
        <w:t xml:space="preserve"> / 2.</w:t>
      </w:r>
      <w:r w:rsidRPr="00020424">
        <w:rPr>
          <w:rtl/>
          <w:lang w:bidi="fa-IR"/>
        </w:rPr>
        <w:t xml:space="preserve"> أَحْمَدُ بْنُ مُحَمَّدٍ </w:t>
      </w:r>
      <w:r w:rsidRPr="00A91B96">
        <w:rPr>
          <w:rStyle w:val="libFootnotenumChar"/>
          <w:rtl/>
        </w:rPr>
        <w:t>(5)</w:t>
      </w:r>
      <w:r w:rsidRPr="00020424">
        <w:rPr>
          <w:rtl/>
          <w:lang w:bidi="fa-IR"/>
        </w:rPr>
        <w:t xml:space="preserve"> ، عَنْ عَلِيِّ بْنِ الْحَكَمِ ، عَنْ عَمْرِو بْنِ أَبِي نَصْرٍ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يَجْتَمِعُ عِنْدَهُ مِنَ الزَّكَاةِ الْخَمْسُمِائَةِ وَالسِّتُّمِائَةِ يَشْتَرِي بِهَا </w:t>
      </w:r>
      <w:r w:rsidRPr="00A91B96">
        <w:rPr>
          <w:rStyle w:val="libFootnotenumChar"/>
          <w:rtl/>
        </w:rPr>
        <w:t>(7)</w:t>
      </w:r>
      <w:r w:rsidRPr="00020424">
        <w:rPr>
          <w:rtl/>
          <w:lang w:bidi="fa-IR"/>
        </w:rPr>
        <w:t xml:space="preserve"> نَسَمَةً </w:t>
      </w:r>
      <w:r w:rsidRPr="00A91B96">
        <w:rPr>
          <w:rStyle w:val="libFootnotenumChar"/>
          <w:rtl/>
        </w:rPr>
        <w:t>(8)</w:t>
      </w:r>
      <w:r w:rsidRPr="00020424">
        <w:rPr>
          <w:rtl/>
          <w:lang w:bidi="fa-IR"/>
        </w:rPr>
        <w:t xml:space="preserve"> ‌</w:t>
      </w:r>
      <w:r w:rsidR="009A5435">
        <w:rPr>
          <w:rFonts w:hint="cs"/>
          <w:rtl/>
          <w:lang w:bidi="fa-IR"/>
        </w:rPr>
        <w:t>........................................................</w:t>
      </w:r>
      <w:r w:rsidR="009A5435">
        <w:rPr>
          <w:rFonts w:hint="cs"/>
          <w:rtl/>
          <w:lang w:bidi="fa-IR"/>
        </w:rPr>
        <w:tab/>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A5435" w:rsidTr="009A5435">
        <w:tc>
          <w:tcPr>
            <w:tcW w:w="4006" w:type="dxa"/>
          </w:tcPr>
          <w:p w:rsidR="009A5435" w:rsidRDefault="009A5435" w:rsidP="00992664">
            <w:pPr>
              <w:pStyle w:val="libFootnote0"/>
              <w:rPr>
                <w:rtl/>
              </w:rPr>
            </w:pPr>
            <w:r>
              <w:rPr>
                <w:rtl/>
              </w:rPr>
              <w:t xml:space="preserve">(1). </w:t>
            </w:r>
            <w:r w:rsidRPr="00020424">
              <w:rPr>
                <w:rtl/>
              </w:rPr>
              <w:t xml:space="preserve">في </w:t>
            </w:r>
            <w:r w:rsidRPr="009A5435">
              <w:rPr>
                <w:rtl/>
              </w:rPr>
              <w:t>الوسائل</w:t>
            </w:r>
            <w:r w:rsidRPr="00020424">
              <w:rPr>
                <w:rtl/>
              </w:rPr>
              <w:t xml:space="preserve"> : « ولا يقل</w:t>
            </w:r>
            <w:r>
              <w:rPr>
                <w:rtl/>
              </w:rPr>
              <w:t xml:space="preserve"> ».</w:t>
            </w:r>
          </w:p>
        </w:tc>
        <w:tc>
          <w:tcPr>
            <w:tcW w:w="4006" w:type="dxa"/>
          </w:tcPr>
          <w:p w:rsidR="009A5435" w:rsidRDefault="009A5435" w:rsidP="00992664">
            <w:pPr>
              <w:pStyle w:val="libFootnote0"/>
              <w:rPr>
                <w:rtl/>
              </w:rPr>
            </w:pPr>
            <w:r>
              <w:rPr>
                <w:rtl/>
              </w:rPr>
              <w:t>(2). في «ظ،بح»:</w:t>
            </w:r>
            <w:r w:rsidRPr="00020424">
              <w:rPr>
                <w:rtl/>
              </w:rPr>
              <w:t>« بعده</w:t>
            </w:r>
            <w:r>
              <w:rPr>
                <w:rtl/>
              </w:rPr>
              <w:t xml:space="preserve"> ». وفي «بف»</w:t>
            </w:r>
            <w:r w:rsidRPr="00020424">
              <w:rPr>
                <w:rtl/>
              </w:rPr>
              <w:t>:</w:t>
            </w:r>
            <w:r>
              <w:rPr>
                <w:rtl/>
              </w:rPr>
              <w:t>-«</w:t>
            </w:r>
            <w:r w:rsidRPr="00020424">
              <w:rPr>
                <w:rtl/>
              </w:rPr>
              <w:t>بعد</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جن » </w:t>
      </w:r>
      <w:r w:rsidR="00992664" w:rsidRPr="00515444">
        <w:rPr>
          <w:rStyle w:val="libFootnoteBoldChar"/>
          <w:rtl/>
        </w:rPr>
        <w:t>والوافي</w:t>
      </w:r>
      <w:r w:rsidR="00992664" w:rsidRPr="00020424">
        <w:rPr>
          <w:rtl/>
        </w:rPr>
        <w:t xml:space="preserve"> : « ما شاء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176 ، ح 9376 ؛ </w:t>
      </w:r>
      <w:r w:rsidR="00992664" w:rsidRPr="0012008A">
        <w:rPr>
          <w:rStyle w:val="libFootnoteBoldChar"/>
          <w:rtl/>
        </w:rPr>
        <w:t>الوسائل</w:t>
      </w:r>
      <w:r w:rsidR="00992664" w:rsidRPr="00020424">
        <w:rPr>
          <w:rtl/>
        </w:rPr>
        <w:t xml:space="preserve"> ، ج 9 ، ص 290 ، ح 12044.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وحاشية « بح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 ويروي عن أحمد بن محمّد ، عدّة من أصحابنا ؛ فما ورد في </w:t>
      </w:r>
      <w:r w:rsidR="00992664" w:rsidRPr="0012008A">
        <w:rPr>
          <w:rStyle w:val="libFootnoteBoldChar"/>
          <w:rtl/>
        </w:rPr>
        <w:t>التهذيب</w:t>
      </w:r>
      <w:r w:rsidR="00992664" w:rsidRPr="00020424">
        <w:rPr>
          <w:rtl/>
        </w:rPr>
        <w:t xml:space="preserve"> من « عنه عن أحمد » الظاهر منه أنّ رجوع الضمير إلى محمّد بن يعقوب سهوٌ ناشٍ من عدم الالتفات إلى وقوع التعليق في السند.</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حاشية « جر » وفي نسخة معتبرةٍ من </w:t>
      </w:r>
      <w:r w:rsidR="00992664" w:rsidRPr="0012008A">
        <w:rPr>
          <w:rStyle w:val="libFootnoteBoldChar"/>
          <w:rtl/>
        </w:rPr>
        <w:t>التهذيب</w:t>
      </w:r>
      <w:r w:rsidR="00992664" w:rsidRPr="00020424">
        <w:rPr>
          <w:rtl/>
        </w:rPr>
        <w:t>. وفي « ى » وحاشية « بح » : « عمر بن أبي نصر</w:t>
      </w:r>
      <w:r w:rsidR="00992664">
        <w:rPr>
          <w:rtl/>
        </w:rPr>
        <w:t>».</w:t>
      </w:r>
      <w:r w:rsidR="00992664" w:rsidRPr="00020424">
        <w:rPr>
          <w:rtl/>
        </w:rPr>
        <w:t xml:space="preserve"> وفي « ظ ، بح ، بخ ، بر ، بس ، بف ، جر ، جن » والمطبوع </w:t>
      </w:r>
      <w:r w:rsidR="00992664" w:rsidRPr="00EB1FD9">
        <w:rPr>
          <w:rStyle w:val="libFootnoteBoldChar"/>
          <w:rtl/>
        </w:rPr>
        <w:t>والوسائل</w:t>
      </w:r>
      <w:r w:rsidR="00992664" w:rsidRPr="00515444">
        <w:rPr>
          <w:rtl/>
        </w:rPr>
        <w:t xml:space="preserve"> والتهذيب</w:t>
      </w:r>
      <w:r w:rsidR="00992664" w:rsidRPr="00020424">
        <w:rPr>
          <w:rtl/>
        </w:rPr>
        <w:t xml:space="preserve"> : « عمرو ، عن أبي بصير</w:t>
      </w:r>
      <w:r w:rsidR="00992664">
        <w:rPr>
          <w:rtl/>
        </w:rPr>
        <w:t xml:space="preserve"> ».</w:t>
      </w:r>
    </w:p>
    <w:p w:rsidR="00992664" w:rsidRPr="00020424" w:rsidRDefault="00992664" w:rsidP="00992664">
      <w:pPr>
        <w:pStyle w:val="libFootnote0"/>
        <w:rPr>
          <w:rtl/>
          <w:lang w:bidi="fa-IR"/>
        </w:rPr>
      </w:pPr>
      <w:r w:rsidRPr="00515444">
        <w:rPr>
          <w:rtl/>
        </w:rPr>
        <w:t xml:space="preserve">والظاهر أنّ الصواب ما أثبتناه ؛ فإنّا لم نجد </w:t>
      </w:r>
      <w:r w:rsidR="009B673F" w:rsidRPr="00515444">
        <w:rPr>
          <w:rtl/>
        </w:rPr>
        <w:t>-</w:t>
      </w:r>
      <w:r w:rsidRPr="00515444">
        <w:rPr>
          <w:rtl/>
        </w:rPr>
        <w:t xml:space="preserve"> مع الفحص الأكيد </w:t>
      </w:r>
      <w:r w:rsidR="009B673F" w:rsidRPr="00515444">
        <w:rPr>
          <w:rtl/>
        </w:rPr>
        <w:t>-</w:t>
      </w:r>
      <w:r w:rsidRPr="00515444">
        <w:rPr>
          <w:rtl/>
        </w:rPr>
        <w:t xml:space="preserve"> في من يتوسّط بين عليّ بن الحكم وأبي بصير ، من يسمّى بعمرو. وقد روى عمرو بن أبي نصر عن أبي عبدالله عليه‌السلام في عدّة من الأسناد وعدّه البرقي والنجاشي والشيخ الطوسي من أصحاب أبي عبدالله </w:t>
      </w:r>
      <w:r w:rsidRPr="00D64ADA">
        <w:rPr>
          <w:rStyle w:val="libFootnoteAlaemChar"/>
          <w:rtl/>
        </w:rPr>
        <w:t>عليه‌السلام</w:t>
      </w:r>
      <w:r w:rsidRPr="00515444">
        <w:rPr>
          <w:rtl/>
        </w:rPr>
        <w:t xml:space="preserve">. راجع : </w:t>
      </w:r>
      <w:r w:rsidRPr="00DE76B9">
        <w:rPr>
          <w:rStyle w:val="libFootnoteBoldChar"/>
          <w:rtl/>
        </w:rPr>
        <w:t>معجم رجال الحديث</w:t>
      </w:r>
      <w:r w:rsidRPr="00515444">
        <w:rPr>
          <w:rtl/>
        </w:rPr>
        <w:t xml:space="preserve"> ، ج 13 ، ص 76 ؛ </w:t>
      </w:r>
      <w:r w:rsidRPr="00515444">
        <w:rPr>
          <w:rStyle w:val="libFootnoteBoldChar"/>
          <w:rtl/>
        </w:rPr>
        <w:t>رج</w:t>
      </w:r>
      <w:r w:rsidRPr="00DE76B9">
        <w:rPr>
          <w:rStyle w:val="libFootnoteBoldChar"/>
          <w:rtl/>
        </w:rPr>
        <w:t>ال النجاشي</w:t>
      </w:r>
      <w:r w:rsidRPr="00C8681E">
        <w:rPr>
          <w:rStyle w:val="libFootnoteAieChar"/>
          <w:rtl/>
        </w:rPr>
        <w:t xml:space="preserve"> </w:t>
      </w:r>
      <w:r w:rsidRPr="00515444">
        <w:rPr>
          <w:rtl/>
        </w:rPr>
        <w:t xml:space="preserve">، ص 290 ، الرقم 778 ؛ </w:t>
      </w:r>
      <w:r w:rsidRPr="00DE76B9">
        <w:rPr>
          <w:rStyle w:val="libFootnoteBoldChar"/>
          <w:rtl/>
        </w:rPr>
        <w:t>رجال البرقي</w:t>
      </w:r>
      <w:r w:rsidRPr="00515444">
        <w:rPr>
          <w:rtl/>
        </w:rPr>
        <w:t xml:space="preserve"> ، ص 35 ؛ </w:t>
      </w:r>
      <w:r w:rsidRPr="00DE76B9">
        <w:rPr>
          <w:rStyle w:val="libFootnoteBoldChar"/>
          <w:rtl/>
        </w:rPr>
        <w:t>رجال الطوسي</w:t>
      </w:r>
      <w:r w:rsidRPr="00515444">
        <w:rPr>
          <w:rtl/>
        </w:rPr>
        <w:t xml:space="preserve"> ، ص 250 ، الرقم 3502. ولاحظ أيضاً : </w:t>
      </w:r>
      <w:r w:rsidRPr="00D530ED">
        <w:rPr>
          <w:rStyle w:val="libFootnoteBoldChar"/>
          <w:rtl/>
        </w:rPr>
        <w:t>الفهرست للطوسي</w:t>
      </w:r>
      <w:r w:rsidRPr="00515444">
        <w:rPr>
          <w:rtl/>
        </w:rPr>
        <w:t xml:space="preserve"> ، ص 319 ، الرقم 494 ؛ </w:t>
      </w:r>
      <w:r w:rsidRPr="00DE76B9">
        <w:rPr>
          <w:rStyle w:val="libFootnoteBoldChar"/>
          <w:rtl/>
        </w:rPr>
        <w:t>رجال الكشّي</w:t>
      </w:r>
      <w:r w:rsidRPr="00515444">
        <w:rPr>
          <w:rtl/>
        </w:rPr>
        <w:t xml:space="preserve"> ، ص 589 ، الرقم 1102.</w:t>
      </w:r>
    </w:p>
    <w:p w:rsidR="00992664" w:rsidRPr="00020424" w:rsidRDefault="00992664" w:rsidP="00992664">
      <w:pPr>
        <w:pStyle w:val="libFootnote0"/>
        <w:rPr>
          <w:rtl/>
          <w:lang w:bidi="fa-IR"/>
        </w:rPr>
      </w:pPr>
      <w:r w:rsidRPr="00515444">
        <w:rPr>
          <w:rtl/>
        </w:rPr>
        <w:t xml:space="preserve">ولايقال : ذكر الشيخ الطوسي في رجاله ، ص 254 ، الرقم 3578 ، عمر بن أبي نصر أيضاً في أصحاب أبي عبدالله </w:t>
      </w:r>
      <w:r w:rsidRPr="00515444">
        <w:rPr>
          <w:rStyle w:val="libFootnoteAlaemChar"/>
          <w:rtl/>
        </w:rPr>
        <w:t>عليه‌السلام</w:t>
      </w:r>
      <w:r w:rsidRPr="00515444">
        <w:rPr>
          <w:rtl/>
        </w:rPr>
        <w:t xml:space="preserve"> ، وقد ورد هذا العنوان في </w:t>
      </w:r>
      <w:r w:rsidR="00D64ADA" w:rsidRPr="00D64ADA">
        <w:rPr>
          <w:rStyle w:val="libFootnoteBoldChar"/>
          <w:rtl/>
        </w:rPr>
        <w:t>المحاسن</w:t>
      </w:r>
      <w:r w:rsidRPr="00515444">
        <w:rPr>
          <w:rtl/>
        </w:rPr>
        <w:t xml:space="preserve"> ، ج 1 ، ص 218 ، ح 115 ؛ </w:t>
      </w:r>
      <w:r w:rsidRPr="00515444">
        <w:rPr>
          <w:rStyle w:val="libFootnoteBoldChar"/>
          <w:rtl/>
        </w:rPr>
        <w:t>وعلل الشرائع</w:t>
      </w:r>
      <w:r w:rsidRPr="00DE76B9">
        <w:rPr>
          <w:rStyle w:val="libFootnoteBoldChar"/>
          <w:rtl/>
        </w:rPr>
        <w:t xml:space="preserve"> </w:t>
      </w:r>
      <w:r w:rsidRPr="00515444">
        <w:rPr>
          <w:rtl/>
        </w:rPr>
        <w:t>، ص 210 ، ح 1 ، فلا يحصل الاطمئنان بصحّة « عمرو بن أبي نصر ».</w:t>
      </w:r>
    </w:p>
    <w:p w:rsidR="00992664" w:rsidRPr="00020424" w:rsidRDefault="00992664" w:rsidP="00992664">
      <w:pPr>
        <w:pStyle w:val="libFootnote0"/>
        <w:rPr>
          <w:rtl/>
          <w:lang w:bidi="fa-IR"/>
        </w:rPr>
      </w:pPr>
      <w:r w:rsidRPr="00515444">
        <w:rPr>
          <w:rtl/>
        </w:rPr>
        <w:t xml:space="preserve">فإنّه يقال : أمّا خبر </w:t>
      </w:r>
      <w:r w:rsidR="00D64ADA" w:rsidRPr="00D64ADA">
        <w:rPr>
          <w:rStyle w:val="libFootnoteBoldChar"/>
          <w:rtl/>
        </w:rPr>
        <w:t>المحاسن</w:t>
      </w:r>
      <w:r w:rsidRPr="00515444">
        <w:rPr>
          <w:rtl/>
        </w:rPr>
        <w:t xml:space="preserve"> ، فقد وردت قطعة منه في </w:t>
      </w:r>
      <w:r w:rsidRPr="00515444">
        <w:rPr>
          <w:rStyle w:val="libFootnoteBoldChar"/>
          <w:rtl/>
        </w:rPr>
        <w:t>الوسائل</w:t>
      </w:r>
      <w:r w:rsidRPr="00515444">
        <w:rPr>
          <w:rtl/>
        </w:rPr>
        <w:t xml:space="preserve"> ، ج 28 ، ص 345 ، ح 34922 وفي سنده « عمرو بن أبي نصر » ، كما أنّ خبر </w:t>
      </w:r>
      <w:r w:rsidRPr="00DE76B9">
        <w:rPr>
          <w:rStyle w:val="libFootnoteBoldChar"/>
          <w:rtl/>
        </w:rPr>
        <w:t>العلل</w:t>
      </w:r>
      <w:r w:rsidRPr="00515444">
        <w:rPr>
          <w:rtl/>
        </w:rPr>
        <w:t xml:space="preserve"> ورد في </w:t>
      </w:r>
      <w:r w:rsidRPr="0012008A">
        <w:rPr>
          <w:rStyle w:val="libFootnoteBoldChar"/>
          <w:rtl/>
        </w:rPr>
        <w:t>البحار</w:t>
      </w:r>
      <w:r w:rsidRPr="00515444">
        <w:rPr>
          <w:rtl/>
        </w:rPr>
        <w:t xml:space="preserve"> ، ج 24 ، ص 53 ، ح</w:t>
      </w:r>
      <w:r w:rsidR="00515444">
        <w:rPr>
          <w:rtl/>
        </w:rPr>
        <w:t xml:space="preserve"> 9 وفيه أيضاً « عمرو بن أبي نصر</w:t>
      </w:r>
      <w:r w:rsidRPr="00515444">
        <w:rPr>
          <w:rtl/>
        </w:rPr>
        <w:t>».</w:t>
      </w:r>
    </w:p>
    <w:p w:rsidR="00992664" w:rsidRPr="00020424" w:rsidRDefault="00992664" w:rsidP="00992664">
      <w:pPr>
        <w:pStyle w:val="libFootnote0"/>
        <w:rPr>
          <w:rtl/>
          <w:lang w:bidi="fa-IR"/>
        </w:rPr>
      </w:pPr>
      <w:r w:rsidRPr="00515444">
        <w:rPr>
          <w:rtl/>
        </w:rPr>
        <w:t xml:space="preserve">وأمّا ما ورد في </w:t>
      </w:r>
      <w:r w:rsidRPr="00DE76B9">
        <w:rPr>
          <w:rStyle w:val="libFootnoteBoldChar"/>
          <w:rtl/>
        </w:rPr>
        <w:t>رجال الشيخ</w:t>
      </w:r>
      <w:r w:rsidRPr="00515444">
        <w:rPr>
          <w:rtl/>
        </w:rPr>
        <w:t xml:space="preserve"> ، ص 254 ، الرقم 3578 ، فاحتمال وقوع التحريف فيه وأخذه من بعض الأسناد المحرّفة قويّ جدّاً.</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منها</w:t>
      </w:r>
      <w:r w:rsidR="00992664">
        <w:rPr>
          <w:rtl/>
        </w:rPr>
        <w:t xml:space="preserve"> ».</w:t>
      </w:r>
      <w:r w:rsidR="00992664" w:rsidRPr="00020424">
        <w:rPr>
          <w:rtl/>
        </w:rPr>
        <w:t xml:space="preserve"> وفي « جن » : « بهما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قال الجوهريّ : « النسمة : الإنسان » ، وقال ابن الأثير : « النسمة : النفس والروح ، وكلّ دابّة فيها روح فهي نسمة » ، والمراد المملوك ، ذكراً كان أو ا</w:t>
      </w:r>
      <w:r w:rsidR="00515444">
        <w:rPr>
          <w:rFonts w:hint="cs"/>
          <w:rtl/>
        </w:rPr>
        <w:t>ُ</w:t>
      </w:r>
      <w:r w:rsidR="00992664" w:rsidRPr="00020424">
        <w:rPr>
          <w:rtl/>
        </w:rPr>
        <w:t xml:space="preserve">نثى. راجع : </w:t>
      </w:r>
      <w:r w:rsidR="00992664" w:rsidRPr="0012008A">
        <w:rPr>
          <w:rStyle w:val="libFootnoteBoldChar"/>
          <w:rtl/>
        </w:rPr>
        <w:t>الصحاح</w:t>
      </w:r>
      <w:r w:rsidR="00992664" w:rsidRPr="00020424">
        <w:rPr>
          <w:rtl/>
        </w:rPr>
        <w:t xml:space="preserve"> ، ج 5 ، ص 2040 ؛ </w:t>
      </w:r>
      <w:r w:rsidR="00992664" w:rsidRPr="0012008A">
        <w:rPr>
          <w:rStyle w:val="libFootnoteBoldChar"/>
          <w:rtl/>
        </w:rPr>
        <w:t>النهاية</w:t>
      </w:r>
      <w:r w:rsidR="00515444">
        <w:rPr>
          <w:rtl/>
        </w:rPr>
        <w:t xml:space="preserve"> ، ج 5 ، ص 49 (</w:t>
      </w:r>
      <w:r w:rsidR="00992664" w:rsidRPr="00020424">
        <w:rPr>
          <w:rtl/>
        </w:rPr>
        <w:t>نسم )</w:t>
      </w:r>
      <w:r w:rsidR="00992664">
        <w:rPr>
          <w:rtl/>
        </w:rPr>
        <w:t>.</w:t>
      </w:r>
    </w:p>
    <w:p w:rsidR="00795177" w:rsidRDefault="00795177" w:rsidP="00795177">
      <w:pPr>
        <w:pStyle w:val="libNormal"/>
        <w:rPr>
          <w:rtl/>
          <w:lang w:bidi="fa-IR"/>
        </w:rPr>
      </w:pPr>
      <w:r>
        <w:rPr>
          <w:rtl/>
          <w:lang w:bidi="fa-IR"/>
        </w:rPr>
        <w:lastRenderedPageBreak/>
        <w:br w:type="page"/>
      </w:r>
    </w:p>
    <w:p w:rsidR="00992664" w:rsidRPr="00020424" w:rsidRDefault="00992664" w:rsidP="00515444">
      <w:pPr>
        <w:pStyle w:val="libNormal0"/>
        <w:rPr>
          <w:rtl/>
          <w:lang w:bidi="fa-IR"/>
        </w:rPr>
      </w:pPr>
      <w:r w:rsidRPr="00020424">
        <w:rPr>
          <w:rtl/>
          <w:lang w:bidi="fa-IR"/>
        </w:rPr>
        <w:lastRenderedPageBreak/>
        <w:t xml:space="preserve">وَيُعْتِقُهَا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إِذاً يَظْلِمَ قَوْماً آخَرِينَ حُقُوقَهُمْ » ثُمَّ مَكَثَ مَلِيّاً </w:t>
      </w:r>
      <w:r w:rsidRPr="00A91B96">
        <w:rPr>
          <w:rStyle w:val="libFootnotenumChar"/>
          <w:rtl/>
        </w:rPr>
        <w:t>(3)</w:t>
      </w:r>
      <w:r w:rsidR="00515444">
        <w:rPr>
          <w:rtl/>
          <w:lang w:bidi="fa-IR"/>
        </w:rPr>
        <w:t xml:space="preserve"> ، ثُمَّ قَالَ : « إِل</w:t>
      </w:r>
      <w:r w:rsidR="00515444">
        <w:rPr>
          <w:rFonts w:hint="cs"/>
          <w:rtl/>
          <w:lang w:bidi="fa-IR"/>
        </w:rPr>
        <w:t>َّ</w:t>
      </w:r>
      <w:r w:rsidR="00515444">
        <w:rPr>
          <w:rtl/>
          <w:lang w:bidi="fa-IR"/>
        </w:rPr>
        <w:t>ا</w:t>
      </w:r>
      <w:r w:rsidRPr="00020424">
        <w:rPr>
          <w:rtl/>
          <w:lang w:bidi="fa-IR"/>
        </w:rPr>
        <w:t xml:space="preserve"> أَنْ يَكُونَ عَبْداً مُسْلِماً فِي ضَرُورَةٍ ، فَيَشْتَرِيَهُ </w:t>
      </w:r>
      <w:r w:rsidRPr="00A91B96">
        <w:rPr>
          <w:rStyle w:val="libFootnotenumChar"/>
          <w:rtl/>
        </w:rPr>
        <w:t>(4)</w:t>
      </w:r>
      <w:r w:rsidRPr="00020424">
        <w:rPr>
          <w:rtl/>
          <w:lang w:bidi="fa-IR"/>
        </w:rPr>
        <w:t xml:space="preserve"> وَيُعْتِقَهُ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B4316F">
        <w:rPr>
          <w:rtl/>
        </w:rPr>
        <w:t>5955</w:t>
      </w:r>
      <w:r w:rsidRPr="001155DE">
        <w:rPr>
          <w:rStyle w:val="libBold2Char"/>
          <w:rtl/>
        </w:rPr>
        <w:t xml:space="preserve"> / 3.</w:t>
      </w:r>
      <w:r w:rsidRPr="00020424">
        <w:rPr>
          <w:rtl/>
          <w:lang w:bidi="fa-IR"/>
        </w:rPr>
        <w:t xml:space="preserve"> عَلِيُّ بْنُ إِبْرَاهِيمَ ، عَنْ أَبِيهِ ، عَنِ ابْنِ فَضَّالٍ ، عَنْ مَرْوَانَ بْنِ مُسْلِمٍ </w:t>
      </w:r>
      <w:r w:rsidRPr="00A91B96">
        <w:rPr>
          <w:rStyle w:val="libFootnotenumChar"/>
          <w:rtl/>
        </w:rPr>
        <w:t>(6)</w:t>
      </w:r>
      <w:r w:rsidRPr="00020424">
        <w:rPr>
          <w:rtl/>
          <w:lang w:bidi="fa-IR"/>
        </w:rPr>
        <w:t xml:space="preserve"> ، عَنِ ابْنِ بُكَيْرٍ ، عَنْ عُبَيْدِ بْنِ زُرَارَةَ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أَخْرَجَ زَكَاةَ مَالِهِ أَلْفَ دِرْهَمٍ ، فَلَمْ يَجِدْ </w:t>
      </w:r>
      <w:r w:rsidRPr="00A91B96">
        <w:rPr>
          <w:rStyle w:val="libFootnotenumChar"/>
          <w:rtl/>
        </w:rPr>
        <w:t>(7)</w:t>
      </w:r>
      <w:r w:rsidRPr="00020424">
        <w:rPr>
          <w:rtl/>
          <w:lang w:bidi="fa-IR"/>
        </w:rPr>
        <w:t xml:space="preserve"> مَوْضِعاً </w:t>
      </w:r>
      <w:r w:rsidRPr="00A91B96">
        <w:rPr>
          <w:rStyle w:val="libFootnotenumChar"/>
          <w:rtl/>
        </w:rPr>
        <w:t>(8)</w:t>
      </w:r>
      <w:r w:rsidRPr="00020424">
        <w:rPr>
          <w:rtl/>
          <w:lang w:bidi="fa-IR"/>
        </w:rPr>
        <w:t xml:space="preserve"> يَدْفَعُ ذلِكَ إِلَيْهِ </w:t>
      </w:r>
      <w:r w:rsidRPr="00A91B96">
        <w:rPr>
          <w:rStyle w:val="libFootnotenumChar"/>
          <w:rtl/>
        </w:rPr>
        <w:t>(9)</w:t>
      </w:r>
      <w:r w:rsidRPr="00020424">
        <w:rPr>
          <w:rtl/>
          <w:lang w:bidi="fa-IR"/>
        </w:rPr>
        <w:t xml:space="preserve"> ، فَنَظَرَ إِلى مَمْلُوكٍ يُبَاعُ فِيمَنْ يُرِيدُهُ </w:t>
      </w:r>
      <w:r w:rsidRPr="00A91B96">
        <w:rPr>
          <w:rStyle w:val="libFootnotenumChar"/>
          <w:rtl/>
        </w:rPr>
        <w:t>(10)</w:t>
      </w:r>
      <w:r w:rsidRPr="00020424">
        <w:rPr>
          <w:rtl/>
          <w:lang w:bidi="fa-IR"/>
        </w:rPr>
        <w:t xml:space="preserve"> ، فَاشْتَرَاهُ بِتِلْكَ الْأَلْفِ الدِّرْهَمِ </w:t>
      </w:r>
      <w:r w:rsidRPr="00A91B96">
        <w:rPr>
          <w:rStyle w:val="libFootnotenumChar"/>
          <w:rtl/>
        </w:rPr>
        <w:t>(11)</w:t>
      </w:r>
      <w:r w:rsidRPr="00020424">
        <w:rPr>
          <w:rtl/>
          <w:lang w:bidi="fa-IR"/>
        </w:rPr>
        <w:t xml:space="preserve"> الَّتِي أَخْرَجَهَا مِنْ زَكَاتِهِ ، فَأَعْتَقَهُ ، هَلْ يَجُوزُ لَهُ </w:t>
      </w:r>
      <w:r w:rsidRPr="00A91B96">
        <w:rPr>
          <w:rStyle w:val="libFootnotenumChar"/>
          <w:rtl/>
        </w:rPr>
        <w:t>(12)</w:t>
      </w:r>
      <w:r w:rsidRPr="00020424">
        <w:rPr>
          <w:rtl/>
          <w:lang w:bidi="fa-IR"/>
        </w:rPr>
        <w:t xml:space="preserve"> ذلِكَ</w:t>
      </w:r>
      <w:r>
        <w:rPr>
          <w:rtl/>
          <w:lang w:bidi="fa-IR"/>
        </w:rPr>
        <w:t>؟</w:t>
      </w:r>
    </w:p>
    <w:p w:rsidR="00992664" w:rsidRPr="00020424" w:rsidRDefault="00992664" w:rsidP="00992664">
      <w:pPr>
        <w:pStyle w:val="libNormal"/>
        <w:rPr>
          <w:rtl/>
          <w:lang w:bidi="fa-IR"/>
        </w:rPr>
      </w:pPr>
      <w:r w:rsidRPr="00020424">
        <w:rPr>
          <w:rtl/>
          <w:lang w:bidi="fa-IR"/>
        </w:rPr>
        <w:t>قَالَ : « نَعَمْ ، لَابَأْسَ بِذلِكَ</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(13)</w:t>
      </w:r>
      <w:r w:rsidRPr="00020424">
        <w:rPr>
          <w:rtl/>
          <w:lang w:bidi="fa-IR"/>
        </w:rPr>
        <w:t xml:space="preserve"> : فَإِنَّهُ لَمَّا </w:t>
      </w:r>
      <w:r w:rsidRPr="00A91B96">
        <w:rPr>
          <w:rStyle w:val="libFootnotenumChar"/>
          <w:rtl/>
        </w:rPr>
        <w:t>(14)</w:t>
      </w:r>
      <w:r w:rsidRPr="00020424">
        <w:rPr>
          <w:rtl/>
          <w:lang w:bidi="fa-IR"/>
        </w:rPr>
        <w:t xml:space="preserve"> أَنْ أُعْتِقَ وَصَارَ حُرّاً ، اتَّجَرَ ، وَاحْتَرَفَ ، وَأَصَابَ </w:t>
      </w:r>
      <w:r w:rsidRPr="00A91B96">
        <w:rPr>
          <w:rStyle w:val="libFootnotenumChar"/>
          <w:rtl/>
        </w:rPr>
        <w:t>(15)</w:t>
      </w:r>
      <w:r w:rsidRPr="00020424">
        <w:rPr>
          <w:rtl/>
          <w:lang w:bidi="fa-IR"/>
        </w:rPr>
        <w:t xml:space="preserve"> مَالاً ، ثُمَّ مَاتَ ، وَلَيْسَ لَهُ وَارِثٌ ، فَمَنْ يَرِثُهُ إِذَا لَمْ يَكُنْ لَهُ وَارِثٌ</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 « يعتقها » بدون الواو.</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بح ، بخ ، بر ، بف » </w:t>
      </w:r>
      <w:r w:rsidR="00992664" w:rsidRPr="00791E4B">
        <w:rPr>
          <w:rtl/>
        </w:rPr>
        <w:t>والوافي</w:t>
      </w:r>
      <w:r w:rsidR="00992664" w:rsidRPr="00020424">
        <w:rPr>
          <w:rtl/>
        </w:rPr>
        <w:t xml:space="preserve"> : « قال</w:t>
      </w:r>
      <w:r w:rsidR="00992664">
        <w:rPr>
          <w:rtl/>
        </w:rPr>
        <w:t xml:space="preserve"> ».</w:t>
      </w:r>
    </w:p>
    <w:p w:rsidR="00992664" w:rsidRPr="00020424" w:rsidRDefault="00795177" w:rsidP="00791E4B">
      <w:pPr>
        <w:pStyle w:val="libFootnote0"/>
        <w:rPr>
          <w:rtl/>
          <w:lang w:bidi="fa-IR"/>
        </w:rPr>
      </w:pPr>
      <w:r>
        <w:rPr>
          <w:rtl/>
        </w:rPr>
        <w:t>(3).</w:t>
      </w:r>
      <w:r w:rsidR="0014403D">
        <w:rPr>
          <w:rtl/>
        </w:rPr>
        <w:t xml:space="preserve"> </w:t>
      </w:r>
      <w:r w:rsidR="00791E4B">
        <w:rPr>
          <w:rtl/>
        </w:rPr>
        <w:t>« الم</w:t>
      </w:r>
      <w:r w:rsidR="00791E4B">
        <w:rPr>
          <w:rFonts w:hint="cs"/>
          <w:rtl/>
        </w:rPr>
        <w:t>ـَ</w:t>
      </w:r>
      <w:r w:rsidR="00992664" w:rsidRPr="00020424">
        <w:rPr>
          <w:rtl/>
        </w:rPr>
        <w:t xml:space="preserve">ليّ » : الطائفة من الزمان لاحدّ لها ، يقال : مضى مليّ‌من النهار ومن الدهر ، أي طائفة منه. راجع : </w:t>
      </w:r>
      <w:r w:rsidR="00992664" w:rsidRPr="0012008A">
        <w:rPr>
          <w:rStyle w:val="libFootnoteBoldChar"/>
          <w:rtl/>
        </w:rPr>
        <w:t>النهاية</w:t>
      </w:r>
      <w:r w:rsidR="00992664" w:rsidRPr="00020424">
        <w:rPr>
          <w:rtl/>
        </w:rPr>
        <w:t xml:space="preserve"> ، ج 4 ، ص 363 ( ملا )</w:t>
      </w:r>
      <w:r w:rsidR="00992664">
        <w:rPr>
          <w:rtl/>
        </w:rPr>
        <w:t>.</w:t>
      </w:r>
      <w:r w:rsidR="00791E4B">
        <w:rPr>
          <w:rFonts w:hint="cs"/>
          <w:rtl/>
        </w:rPr>
        <w:t xml:space="preserve">                         </w:t>
      </w:r>
      <w:r>
        <w:rPr>
          <w:rtl/>
        </w:rPr>
        <w:t>(4).</w:t>
      </w:r>
      <w:r w:rsidR="0014403D">
        <w:rPr>
          <w:rtl/>
        </w:rPr>
        <w:t xml:space="preserve"> </w:t>
      </w:r>
      <w:r w:rsidR="00791E4B">
        <w:rPr>
          <w:rtl/>
        </w:rPr>
        <w:t>في «بخ،بر،</w:t>
      </w:r>
      <w:r w:rsidR="00992664" w:rsidRPr="00020424">
        <w:rPr>
          <w:rtl/>
        </w:rPr>
        <w:t xml:space="preserve">بف » </w:t>
      </w:r>
      <w:r w:rsidR="00992664" w:rsidRPr="00791E4B">
        <w:rPr>
          <w:rtl/>
        </w:rPr>
        <w:t>والوافي والتهذيب</w:t>
      </w:r>
      <w:r w:rsidR="00992664" w:rsidRPr="00020424">
        <w:rPr>
          <w:rtl/>
        </w:rPr>
        <w:t xml:space="preserve"> : « فليشتره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100 ، ح 282 ، معلّقاً عن الكليني </w:t>
      </w:r>
      <w:r w:rsidR="00791E4B">
        <w:rPr>
          <w:rFonts w:hint="cs"/>
          <w:rtl/>
        </w:rPr>
        <w:t>.</w:t>
      </w:r>
      <w:r w:rsidR="00992664" w:rsidRPr="0012008A">
        <w:rPr>
          <w:rStyle w:val="libFootnoteBoldChar"/>
          <w:rtl/>
        </w:rPr>
        <w:t>الوافي</w:t>
      </w:r>
      <w:r w:rsidR="00992664" w:rsidRPr="00020424">
        <w:rPr>
          <w:rtl/>
        </w:rPr>
        <w:t xml:space="preserve"> ، ج 10 ، ص 178 ، ح 9383 ؛ </w:t>
      </w:r>
      <w:r w:rsidR="00992664" w:rsidRPr="0012008A">
        <w:rPr>
          <w:rStyle w:val="libFootnoteBoldChar"/>
          <w:rtl/>
        </w:rPr>
        <w:t>الوسائل</w:t>
      </w:r>
      <w:r w:rsidR="00992664" w:rsidRPr="00020424">
        <w:rPr>
          <w:rtl/>
        </w:rPr>
        <w:t xml:space="preserve"> ، ج 9 ، ص 291 ، ح 12049.</w:t>
      </w:r>
    </w:p>
    <w:p w:rsidR="00992664" w:rsidRPr="00020424" w:rsidRDefault="00795177" w:rsidP="00791E4B">
      <w:pPr>
        <w:pStyle w:val="libFootnote0"/>
        <w:rPr>
          <w:rtl/>
          <w:lang w:bidi="fa-IR"/>
        </w:rPr>
      </w:pPr>
      <w:r>
        <w:rPr>
          <w:rtl/>
        </w:rPr>
        <w:t>(6).</w:t>
      </w:r>
      <w:r w:rsidR="0014403D">
        <w:rPr>
          <w:rtl/>
        </w:rPr>
        <w:t xml:space="preserve"> </w:t>
      </w:r>
      <w:r w:rsidR="00992664" w:rsidRPr="00020424">
        <w:rPr>
          <w:rtl/>
        </w:rPr>
        <w:t xml:space="preserve">ورد الخبر في </w:t>
      </w:r>
      <w:r w:rsidR="00D64ADA" w:rsidRPr="00D64ADA">
        <w:rPr>
          <w:rStyle w:val="libFootnoteBoldChar"/>
          <w:rtl/>
        </w:rPr>
        <w:t>المحاسن</w:t>
      </w:r>
      <w:r w:rsidR="00992664" w:rsidRPr="00020424">
        <w:rPr>
          <w:rtl/>
        </w:rPr>
        <w:t xml:space="preserve"> ، ص 305 ، ح 15 ، عن ابن فضّال ، عن هارون بن مسلم. والصواب مروان بن مسلم. لاحظ ما يأتي في </w:t>
      </w:r>
      <w:r w:rsidR="00992664" w:rsidRPr="00DE76B9">
        <w:rPr>
          <w:rStyle w:val="libFootnoteBoldChar"/>
          <w:rtl/>
        </w:rPr>
        <w:t>الكافي</w:t>
      </w:r>
      <w:r w:rsidR="00992664" w:rsidRPr="00020424">
        <w:rPr>
          <w:rtl/>
        </w:rPr>
        <w:t xml:space="preserve"> ، ذيل ح 10983.</w:t>
      </w:r>
      <w:r w:rsidR="00791E4B">
        <w:rPr>
          <w:rFonts w:hint="cs"/>
          <w:rtl/>
        </w:rPr>
        <w:t xml:space="preserve">         </w:t>
      </w: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لها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91E4B" w:rsidTr="00791E4B">
        <w:tc>
          <w:tcPr>
            <w:tcW w:w="4006" w:type="dxa"/>
          </w:tcPr>
          <w:p w:rsidR="00791E4B" w:rsidRDefault="00791E4B" w:rsidP="00992664">
            <w:pPr>
              <w:pStyle w:val="libFootnote0"/>
              <w:rPr>
                <w:rtl/>
              </w:rPr>
            </w:pPr>
            <w:r>
              <w:rPr>
                <w:rtl/>
              </w:rPr>
              <w:t xml:space="preserve">(8). </w:t>
            </w:r>
            <w:r w:rsidRPr="00020424">
              <w:rPr>
                <w:rtl/>
              </w:rPr>
              <w:t xml:space="preserve">في </w:t>
            </w:r>
            <w:r w:rsidRPr="00D64ADA">
              <w:rPr>
                <w:rStyle w:val="libFootnoteBoldChar"/>
                <w:rtl/>
              </w:rPr>
              <w:t>المحاسن</w:t>
            </w:r>
            <w:r w:rsidRPr="00020424">
              <w:rPr>
                <w:rtl/>
              </w:rPr>
              <w:t xml:space="preserve"> : « مؤمناً</w:t>
            </w:r>
            <w:r>
              <w:rPr>
                <w:rtl/>
              </w:rPr>
              <w:t xml:space="preserve"> ».</w:t>
            </w:r>
          </w:p>
        </w:tc>
        <w:tc>
          <w:tcPr>
            <w:tcW w:w="4006" w:type="dxa"/>
          </w:tcPr>
          <w:p w:rsidR="00791E4B" w:rsidRDefault="00791E4B" w:rsidP="00992664">
            <w:pPr>
              <w:pStyle w:val="libFootnote0"/>
              <w:rPr>
                <w:rtl/>
              </w:rPr>
            </w:pPr>
            <w:r>
              <w:rPr>
                <w:rtl/>
              </w:rPr>
              <w:t xml:space="preserve">(9). </w:t>
            </w:r>
            <w:r w:rsidRPr="00020424">
              <w:rPr>
                <w:rtl/>
              </w:rPr>
              <w:t>في « ظ » : « إليهم</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بخ ، بر ، بف » : « يريد</w:t>
      </w:r>
      <w:r w:rsidR="00992664">
        <w:rPr>
          <w:rtl/>
        </w:rPr>
        <w:t xml:space="preserve"> ».</w:t>
      </w:r>
      <w:r w:rsidR="00992664" w:rsidRPr="00020424">
        <w:rPr>
          <w:rtl/>
        </w:rPr>
        <w:t xml:space="preserve"> وفي « بس » : « يزيده</w:t>
      </w:r>
      <w:r w:rsidR="00992664">
        <w:rPr>
          <w:rtl/>
        </w:rPr>
        <w:t xml:space="preserve"> ».</w:t>
      </w:r>
      <w:r w:rsidR="00992664" w:rsidRPr="00020424">
        <w:rPr>
          <w:rtl/>
        </w:rPr>
        <w:t xml:space="preserve"> </w:t>
      </w:r>
      <w:r w:rsidR="00992664" w:rsidRPr="00791E4B">
        <w:rPr>
          <w:rtl/>
        </w:rPr>
        <w:t>وفي الوافي والتهذيب</w:t>
      </w:r>
      <w:r w:rsidR="00992664" w:rsidRPr="00020424">
        <w:rPr>
          <w:rtl/>
        </w:rPr>
        <w:t xml:space="preserve"> : « يزيد</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w:t>
      </w:r>
      <w:r w:rsidR="00992664" w:rsidRPr="00791E4B">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الدرهم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بث ، بح ، بس » </w:t>
      </w:r>
      <w:r w:rsidR="00992664" w:rsidRPr="00EB1FD9">
        <w:rPr>
          <w:rStyle w:val="libFootnoteBoldChar"/>
          <w:rtl/>
        </w:rPr>
        <w:t>والوسائل</w:t>
      </w:r>
      <w:r w:rsidR="00992664" w:rsidRPr="00791E4B">
        <w:rPr>
          <w:rtl/>
        </w:rPr>
        <w:t xml:space="preserve"> والتهذيب و</w:t>
      </w:r>
      <w:r w:rsidR="00D64ADA" w:rsidRPr="00791E4B">
        <w:rP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91E4B" w:rsidTr="00791E4B">
        <w:tc>
          <w:tcPr>
            <w:tcW w:w="4006" w:type="dxa"/>
          </w:tcPr>
          <w:p w:rsidR="00791E4B" w:rsidRDefault="00791E4B" w:rsidP="00992664">
            <w:pPr>
              <w:pStyle w:val="libFootnote0"/>
              <w:rPr>
                <w:rtl/>
              </w:rPr>
            </w:pPr>
            <w:r>
              <w:rPr>
                <w:rtl/>
              </w:rPr>
              <w:t xml:space="preserve">(13). </w:t>
            </w:r>
            <w:r w:rsidRPr="00020424">
              <w:rPr>
                <w:rtl/>
              </w:rPr>
              <w:t xml:space="preserve">في </w:t>
            </w:r>
            <w:r w:rsidRPr="0012008A">
              <w:rPr>
                <w:rStyle w:val="libFootnoteBoldChar"/>
                <w:rtl/>
              </w:rPr>
              <w:t>التهذيب</w:t>
            </w:r>
            <w:r w:rsidRPr="00020424">
              <w:rPr>
                <w:rtl/>
              </w:rPr>
              <w:t xml:space="preserve"> : + « له</w:t>
            </w:r>
            <w:r>
              <w:rPr>
                <w:rtl/>
              </w:rPr>
              <w:t xml:space="preserve"> ».</w:t>
            </w:r>
          </w:p>
        </w:tc>
        <w:tc>
          <w:tcPr>
            <w:tcW w:w="4006" w:type="dxa"/>
          </w:tcPr>
          <w:p w:rsidR="00791E4B" w:rsidRDefault="00791E4B" w:rsidP="00992664">
            <w:pPr>
              <w:pStyle w:val="libFootnote0"/>
              <w:rPr>
                <w:rtl/>
              </w:rPr>
            </w:pPr>
            <w:r>
              <w:rPr>
                <w:rtl/>
              </w:rPr>
              <w:t xml:space="preserve">(14). </w:t>
            </w:r>
            <w:r w:rsidRPr="00020424">
              <w:rPr>
                <w:rtl/>
              </w:rPr>
              <w:t>في « بح » :</w:t>
            </w:r>
            <w:r>
              <w:rPr>
                <w:rtl/>
              </w:rPr>
              <w:t xml:space="preserve"> - « لم</w:t>
            </w:r>
            <w:r>
              <w:rPr>
                <w:rFonts w:hint="cs"/>
                <w:rtl/>
              </w:rPr>
              <w:t>ـّ</w:t>
            </w:r>
            <w:r w:rsidRPr="00020424">
              <w:rPr>
                <w:rtl/>
              </w:rPr>
              <w:t>ا</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بث ، بح ، بخ ، بر ، بف » </w:t>
      </w:r>
      <w:r w:rsidR="00992664" w:rsidRPr="00791E4B">
        <w:rPr>
          <w:rtl/>
        </w:rPr>
        <w:t xml:space="preserve">والوافي </w:t>
      </w:r>
      <w:r w:rsidR="00992664" w:rsidRPr="00EB1FD9">
        <w:rPr>
          <w:rStyle w:val="libFootnoteBoldChar"/>
          <w:rtl/>
        </w:rPr>
        <w:t>والوسائل</w:t>
      </w:r>
      <w:r w:rsidR="00992664" w:rsidRPr="00791E4B">
        <w:rPr>
          <w:rtl/>
        </w:rPr>
        <w:t xml:space="preserve"> والتهذيب و</w:t>
      </w:r>
      <w:r w:rsidR="00D64ADA" w:rsidRPr="00791E4B">
        <w:rPr>
          <w:rtl/>
        </w:rPr>
        <w:t>المحاسن</w:t>
      </w:r>
      <w:r w:rsidR="00992664" w:rsidRPr="00020424">
        <w:rPr>
          <w:rtl/>
        </w:rPr>
        <w:t xml:space="preserve"> : « فأصاب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791E4B">
      <w:pPr>
        <w:pStyle w:val="libNormal"/>
        <w:rPr>
          <w:rtl/>
          <w:lang w:bidi="fa-IR"/>
        </w:rPr>
      </w:pPr>
      <w:r w:rsidRPr="00020424">
        <w:rPr>
          <w:rtl/>
          <w:lang w:bidi="fa-IR"/>
        </w:rPr>
        <w:lastRenderedPageBreak/>
        <w:t xml:space="preserve">قَالَ </w:t>
      </w:r>
      <w:r w:rsidRPr="00A91B96">
        <w:rPr>
          <w:rStyle w:val="libFootnotenumChar"/>
          <w:rtl/>
        </w:rPr>
        <w:t>(1)</w:t>
      </w:r>
      <w:r w:rsidRPr="00020424">
        <w:rPr>
          <w:rtl/>
          <w:lang w:bidi="fa-IR"/>
        </w:rPr>
        <w:t xml:space="preserve"> : « يَرِثُهُ الْفُقَرَاءُ الْمُؤْمِنُونَ </w:t>
      </w:r>
      <w:r w:rsidRPr="00A91B96">
        <w:rPr>
          <w:rStyle w:val="libFootnotenumChar"/>
          <w:rtl/>
        </w:rPr>
        <w:t>(2)</w:t>
      </w:r>
      <w:r w:rsidRPr="00020424">
        <w:rPr>
          <w:rtl/>
          <w:lang w:bidi="fa-IR"/>
        </w:rPr>
        <w:t xml:space="preserve"> الَّذِينَ يَسْتَحِقُّونَ الزَّكَاةَ ؛ لِأَنَّهُ إِنَّمَا </w:t>
      </w:r>
      <w:r w:rsidRPr="00A91B96">
        <w:rPr>
          <w:rStyle w:val="libFootnotenumChar"/>
          <w:rtl/>
        </w:rPr>
        <w:t>(3)</w:t>
      </w:r>
      <w:r w:rsidRPr="00020424">
        <w:rPr>
          <w:rtl/>
          <w:lang w:bidi="fa-IR"/>
        </w:rPr>
        <w:t xml:space="preserve"> اشْتُرِيَ </w:t>
      </w:r>
      <w:r w:rsidRPr="00A91B96">
        <w:rPr>
          <w:rStyle w:val="libFootnotenumChar"/>
          <w:rtl/>
        </w:rPr>
        <w:t>(4)</w:t>
      </w:r>
      <w:r w:rsidRPr="00020424">
        <w:rPr>
          <w:rtl/>
          <w:lang w:bidi="fa-IR"/>
        </w:rPr>
        <w:t xml:space="preserve"> بِمَالِهِمْ</w:t>
      </w:r>
      <w:r>
        <w:rPr>
          <w:rtl/>
          <w:lang w:bidi="fa-IR"/>
        </w:rPr>
        <w:t>».</w:t>
      </w:r>
      <w:r w:rsidRPr="00A91B96">
        <w:rPr>
          <w:rStyle w:val="libFootnotenumChar"/>
          <w:rtl/>
        </w:rPr>
        <w:t>(5)</w:t>
      </w:r>
    </w:p>
    <w:p w:rsidR="00992664" w:rsidRPr="00020424" w:rsidRDefault="00992664" w:rsidP="00992664">
      <w:pPr>
        <w:pStyle w:val="Heading2Center"/>
        <w:rPr>
          <w:rtl/>
          <w:lang w:bidi="fa-IR"/>
        </w:rPr>
      </w:pPr>
      <w:bookmarkStart w:id="130" w:name="_Toc345172760"/>
      <w:bookmarkStart w:id="131" w:name="_Toc464562576"/>
      <w:bookmarkStart w:id="132" w:name="_Toc44599879"/>
      <w:r w:rsidRPr="00020424">
        <w:rPr>
          <w:rtl/>
          <w:lang w:bidi="fa-IR"/>
        </w:rPr>
        <w:t>39</w:t>
      </w:r>
      <w:r>
        <w:rPr>
          <w:rtl/>
          <w:lang w:bidi="fa-IR"/>
        </w:rPr>
        <w:t xml:space="preserve"> </w:t>
      </w:r>
      <w:r w:rsidR="009B673F">
        <w:rPr>
          <w:rtl/>
          <w:lang w:bidi="fa-IR"/>
        </w:rPr>
        <w:t>-</w:t>
      </w:r>
      <w:r>
        <w:rPr>
          <w:rtl/>
          <w:lang w:bidi="fa-IR"/>
        </w:rPr>
        <w:t xml:space="preserve"> </w:t>
      </w:r>
      <w:r w:rsidRPr="00020424">
        <w:rPr>
          <w:rtl/>
          <w:lang w:bidi="fa-IR"/>
        </w:rPr>
        <w:t>بَابُ الْقَرْضِ أَنَّهُ حِمَى الزَّكَاةِ‌</w:t>
      </w:r>
      <w:bookmarkEnd w:id="130"/>
      <w:bookmarkEnd w:id="131"/>
      <w:bookmarkEnd w:id="132"/>
    </w:p>
    <w:p w:rsidR="00992664" w:rsidRPr="00020424" w:rsidRDefault="00992664" w:rsidP="00992664">
      <w:pPr>
        <w:pStyle w:val="libNormal"/>
        <w:rPr>
          <w:rtl/>
          <w:lang w:bidi="fa-IR"/>
        </w:rPr>
      </w:pPr>
      <w:r w:rsidRPr="00B4316F">
        <w:rPr>
          <w:rtl/>
        </w:rPr>
        <w:t>5956</w:t>
      </w:r>
      <w:r w:rsidRPr="001155DE">
        <w:rPr>
          <w:rStyle w:val="libBold2Char"/>
          <w:rtl/>
        </w:rPr>
        <w:t xml:space="preserve"> / 1.</w:t>
      </w:r>
      <w:r w:rsidRPr="00020424">
        <w:rPr>
          <w:rtl/>
          <w:lang w:bidi="fa-IR"/>
        </w:rPr>
        <w:t xml:space="preserve"> عِدَّةٌ مِنْ أَصْحَابِنَا ، عَنْ أَحْمَدَ بْنِ مُحَمَّدٍ ، عَنِ ابْنِ فَضَّالٍ وَالْحَجَّالِ ، عَنْ ثَعْلَبَةَ بْنِ مَيْمُونٍ </w:t>
      </w:r>
      <w:r w:rsidRPr="00A91B96">
        <w:rPr>
          <w:rStyle w:val="libFootnotenumChar"/>
          <w:rtl/>
        </w:rPr>
        <w:t>(6)</w:t>
      </w:r>
      <w:r w:rsidRPr="00020424">
        <w:rPr>
          <w:rtl/>
          <w:lang w:bidi="fa-IR"/>
        </w:rPr>
        <w:t xml:space="preserve"> ، عَنْ إِبْرَاهِيمَ بْنِ السِّنْدِيِّ ، عَنْ يُونُسَ بْنِ </w:t>
      </w:r>
      <w:r w:rsidRPr="00A91B96">
        <w:rPr>
          <w:rStyle w:val="libFootnotenumChar"/>
          <w:rtl/>
        </w:rPr>
        <w:t>(7)</w:t>
      </w:r>
      <w:r w:rsidRPr="00020424">
        <w:rPr>
          <w:rtl/>
          <w:lang w:bidi="fa-IR"/>
        </w:rPr>
        <w:t xml:space="preserve"> عَمَّارٍ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قَرْضُ الْمُؤْمِنِ غَنِيمَةٌ </w:t>
      </w:r>
      <w:r w:rsidRPr="00A91B96">
        <w:rPr>
          <w:rStyle w:val="libFootnotenumChar"/>
          <w:rtl/>
        </w:rPr>
        <w:t>(8)</w:t>
      </w:r>
      <w:r w:rsidRPr="00020424">
        <w:rPr>
          <w:rtl/>
          <w:lang w:bidi="fa-IR"/>
        </w:rPr>
        <w:t xml:space="preserve"> وَتَعْجِيلُ </w:t>
      </w:r>
      <w:r w:rsidRPr="00A91B96">
        <w:rPr>
          <w:rStyle w:val="libFootnotenumChar"/>
          <w:rtl/>
        </w:rPr>
        <w:t>(9)</w:t>
      </w:r>
      <w:r w:rsidRPr="00020424">
        <w:rPr>
          <w:rtl/>
          <w:lang w:bidi="fa-IR"/>
        </w:rPr>
        <w:t xml:space="preserve"> أَجْرٍ </w:t>
      </w:r>
      <w:r w:rsidRPr="00A91B96">
        <w:rPr>
          <w:rStyle w:val="libFootnotenumChar"/>
          <w:rtl/>
        </w:rPr>
        <w:t>(10)</w:t>
      </w:r>
      <w:r w:rsidRPr="00020424">
        <w:rPr>
          <w:rtl/>
          <w:lang w:bidi="fa-IR"/>
        </w:rPr>
        <w:t xml:space="preserve"> ، إِنْ أَيْسَرَ قَضَاكَ </w:t>
      </w:r>
      <w:r w:rsidRPr="00A91B96">
        <w:rPr>
          <w:rStyle w:val="libFootnotenumChar"/>
          <w:rtl/>
        </w:rPr>
        <w:t>(11)</w:t>
      </w:r>
      <w:r w:rsidRPr="00020424">
        <w:rPr>
          <w:rtl/>
          <w:lang w:bidi="fa-IR"/>
        </w:rPr>
        <w:t xml:space="preserve"> ، وَإِنْ مَاتَ قَبْلَ ذلِكَ احْتَسَبْتَ </w:t>
      </w:r>
      <w:r w:rsidRPr="00A91B96">
        <w:rPr>
          <w:rStyle w:val="libFootnotenumChar"/>
          <w:rtl/>
        </w:rPr>
        <w:t>(12)</w:t>
      </w:r>
      <w:r w:rsidRPr="00020424">
        <w:rPr>
          <w:rtl/>
          <w:lang w:bidi="fa-IR"/>
        </w:rPr>
        <w:t xml:space="preserve"> بِهِ مِنَ الزَّكَاةِ</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جن » : « فقراء المؤمنين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إنّما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وحاشية « بث » : « اشتراه</w:t>
      </w:r>
      <w:r w:rsidR="00992664">
        <w:rPr>
          <w:rtl/>
        </w:rPr>
        <w:t xml:space="preserve"> ».</w:t>
      </w:r>
    </w:p>
    <w:p w:rsidR="00992664" w:rsidRPr="00020424" w:rsidRDefault="00795177" w:rsidP="00791E4B">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100 ، ح 281 ، معلّقاً عن الكليني. </w:t>
      </w:r>
      <w:r w:rsidR="00D64ADA" w:rsidRPr="00D64ADA">
        <w:rPr>
          <w:rStyle w:val="libFootnoteBoldChar"/>
          <w:rtl/>
        </w:rPr>
        <w:t>المحاسن</w:t>
      </w:r>
      <w:r w:rsidR="00992664" w:rsidRPr="00020424">
        <w:rPr>
          <w:rtl/>
        </w:rPr>
        <w:t xml:space="preserve"> ، ص 305 ، </w:t>
      </w:r>
      <w:r w:rsidR="00992664" w:rsidRPr="00791E4B">
        <w:rPr>
          <w:rStyle w:val="libFootnoteBoldChar"/>
          <w:rtl/>
        </w:rPr>
        <w:t>كتاب العلل</w:t>
      </w:r>
      <w:r w:rsidR="00992664" w:rsidRPr="00020424">
        <w:rPr>
          <w:rtl/>
        </w:rPr>
        <w:t xml:space="preserve"> ، ح 15 ، عن ابن فضّال ، عن هارون بن مسلم ، عن ابن بكير ، مع اختلاف يسير </w:t>
      </w:r>
      <w:r w:rsidR="00791E4B">
        <w:rPr>
          <w:rFonts w:hint="cs"/>
          <w:rtl/>
        </w:rPr>
        <w:t>.</w:t>
      </w:r>
      <w:r w:rsidR="00992664" w:rsidRPr="0012008A">
        <w:rPr>
          <w:rStyle w:val="libFootnoteBoldChar"/>
          <w:rtl/>
        </w:rPr>
        <w:t>الوافي</w:t>
      </w:r>
      <w:r w:rsidR="00992664" w:rsidRPr="00020424">
        <w:rPr>
          <w:rtl/>
        </w:rPr>
        <w:t xml:space="preserve"> ، ج 10 ، ص 178 ، ح 9384 ؛ </w:t>
      </w:r>
      <w:r w:rsidR="00992664" w:rsidRPr="0012008A">
        <w:rPr>
          <w:rStyle w:val="libFootnoteBoldChar"/>
          <w:rtl/>
        </w:rPr>
        <w:t>الوسائل</w:t>
      </w:r>
      <w:r w:rsidR="00992664" w:rsidRPr="00020424">
        <w:rPr>
          <w:rtl/>
        </w:rPr>
        <w:t xml:space="preserve"> ، ج 9 ، ص 292 ، ح 12050.</w:t>
      </w:r>
      <w:r w:rsidR="00791E4B">
        <w:rPr>
          <w:rFonts w:hint="cs"/>
          <w:rtl/>
        </w:rPr>
        <w:t xml:space="preserve">    </w:t>
      </w:r>
      <w:r>
        <w:rPr>
          <w:rtl/>
        </w:rPr>
        <w:t>(6).</w:t>
      </w:r>
      <w:r w:rsidR="0014403D">
        <w:rPr>
          <w:rtl/>
        </w:rPr>
        <w:t xml:space="preserve"> </w:t>
      </w:r>
      <w:r w:rsidR="00992664" w:rsidRPr="00020424">
        <w:rPr>
          <w:rtl/>
        </w:rPr>
        <w:t xml:space="preserve">في « بخ ، بر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ميمون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ى ، بح ، بس ، بف » : « عن</w:t>
      </w:r>
      <w:r w:rsidR="00992664">
        <w:rPr>
          <w:rtl/>
        </w:rPr>
        <w:t xml:space="preserve"> ».</w:t>
      </w:r>
      <w:r w:rsidR="00992664" w:rsidRPr="00020424">
        <w:rPr>
          <w:rtl/>
        </w:rPr>
        <w:t xml:space="preserve"> وهو سهو ؛ فقد روى إبراهيم بن السندي عن يونس بن عمّار في </w:t>
      </w:r>
      <w:r w:rsidR="00992664" w:rsidRPr="00DE76B9">
        <w:rPr>
          <w:rStyle w:val="libFootnoteBoldChar"/>
          <w:rtl/>
        </w:rPr>
        <w:t>الكافي</w:t>
      </w:r>
      <w:r w:rsidR="00992664" w:rsidRPr="00020424">
        <w:rPr>
          <w:rtl/>
        </w:rPr>
        <w:t xml:space="preserve"> ، ح 8520. ويونس هذا ، هو يونس بن عمّار الصيرفي أخو إسحاق بن عمّار. راجع : </w:t>
      </w:r>
      <w:r w:rsidR="00992664" w:rsidRPr="00DE76B9">
        <w:rPr>
          <w:rStyle w:val="libFootnoteBoldChar"/>
          <w:rtl/>
        </w:rPr>
        <w:t>رجال النجاشي</w:t>
      </w:r>
      <w:r w:rsidR="00992664" w:rsidRPr="00020424">
        <w:rPr>
          <w:rtl/>
        </w:rPr>
        <w:t xml:space="preserve"> ، ص 71 ، الرقم 169 ؛ </w:t>
      </w:r>
      <w:r w:rsidR="00992664" w:rsidRPr="00DE76B9">
        <w:rPr>
          <w:rStyle w:val="libFootnoteBoldChar"/>
          <w:rtl/>
        </w:rPr>
        <w:t xml:space="preserve">رجال البرقي </w:t>
      </w:r>
      <w:r w:rsidR="00992664" w:rsidRPr="00020424">
        <w:rPr>
          <w:rtl/>
        </w:rPr>
        <w:t xml:space="preserve">، ص 29 ؛ </w:t>
      </w:r>
      <w:r w:rsidR="00992664" w:rsidRPr="00DE76B9">
        <w:rPr>
          <w:rStyle w:val="libFootnoteBoldChar"/>
          <w:rtl/>
        </w:rPr>
        <w:t>رجال الطوسي</w:t>
      </w:r>
      <w:r w:rsidR="00992664" w:rsidRPr="00020424">
        <w:rPr>
          <w:rtl/>
        </w:rPr>
        <w:t xml:space="preserve"> ، ص 324 ، الرقم 4851.</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كان القرض غنيمة لأنّه يوجب ثواباً من دون نقص من المال ، وإنّما كان تعجيل أجر أو خير</w:t>
      </w:r>
      <w:r w:rsidR="00992664">
        <w:rPr>
          <w:rtl/>
        </w:rPr>
        <w:t xml:space="preserve"> </w:t>
      </w:r>
      <w:r w:rsidR="009B673F">
        <w:rPr>
          <w:rtl/>
        </w:rPr>
        <w:t>-</w:t>
      </w:r>
      <w:r w:rsidR="00992664">
        <w:rPr>
          <w:rtl/>
        </w:rPr>
        <w:t xml:space="preserve"> </w:t>
      </w:r>
      <w:r w:rsidR="00992664" w:rsidRPr="00020424">
        <w:rPr>
          <w:rtl/>
        </w:rPr>
        <w:t>على اختلاف النسختين</w:t>
      </w:r>
      <w:r w:rsidR="00992664">
        <w:rPr>
          <w:rtl/>
        </w:rPr>
        <w:t xml:space="preserve"> </w:t>
      </w:r>
      <w:r w:rsidR="009B673F">
        <w:rPr>
          <w:rtl/>
        </w:rPr>
        <w:t>-</w:t>
      </w:r>
      <w:r w:rsidR="00992664">
        <w:rPr>
          <w:rtl/>
        </w:rPr>
        <w:t xml:space="preserve"> </w:t>
      </w:r>
      <w:r w:rsidR="00992664" w:rsidRPr="00020424">
        <w:rPr>
          <w:rtl/>
        </w:rPr>
        <w:t>لأنّه أداء زكاة قبل أوانها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بح ، بخ » : « وتعجل</w:t>
      </w:r>
      <w:r w:rsidR="00992664">
        <w:rPr>
          <w:rtl/>
        </w:rPr>
        <w:t xml:space="preserve"> ».</w:t>
      </w:r>
      <w:r w:rsidR="00992664" w:rsidRPr="00020424">
        <w:rPr>
          <w:rtl/>
        </w:rPr>
        <w:t xml:space="preserve"> وفي « بر ، بف » وحاشية « بث » : « ويعجل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91E4B" w:rsidTr="00791E4B">
        <w:tc>
          <w:tcPr>
            <w:tcW w:w="4006" w:type="dxa"/>
          </w:tcPr>
          <w:p w:rsidR="00791E4B" w:rsidRDefault="00791E4B" w:rsidP="00992664">
            <w:pPr>
              <w:pStyle w:val="libFootnote0"/>
              <w:rPr>
                <w:rtl/>
              </w:rPr>
            </w:pPr>
            <w:r>
              <w:rPr>
                <w:rtl/>
              </w:rPr>
              <w:t xml:space="preserve">(10). </w:t>
            </w:r>
            <w:r w:rsidRPr="00020424">
              <w:rPr>
                <w:rtl/>
              </w:rPr>
              <w:t>في « بخ ، بر » وحاشية « بث » : « أجراً</w:t>
            </w:r>
            <w:r>
              <w:rPr>
                <w:rtl/>
              </w:rPr>
              <w:t xml:space="preserve"> ».</w:t>
            </w:r>
          </w:p>
        </w:tc>
        <w:tc>
          <w:tcPr>
            <w:tcW w:w="4006" w:type="dxa"/>
          </w:tcPr>
          <w:p w:rsidR="00791E4B" w:rsidRDefault="00791E4B" w:rsidP="00992664">
            <w:pPr>
              <w:pStyle w:val="libFootnote0"/>
              <w:rPr>
                <w:rtl/>
              </w:rPr>
            </w:pPr>
            <w:r>
              <w:rPr>
                <w:rtl/>
              </w:rPr>
              <w:t xml:space="preserve">(11). </w:t>
            </w:r>
            <w:r w:rsidRPr="00020424">
              <w:rPr>
                <w:rtl/>
              </w:rPr>
              <w:t xml:space="preserve">في </w:t>
            </w:r>
            <w:r w:rsidRPr="00791E4B">
              <w:rPr>
                <w:rtl/>
              </w:rPr>
              <w:t>الوافي</w:t>
            </w:r>
            <w:r w:rsidRPr="00020424">
              <w:rPr>
                <w:rtl/>
              </w:rPr>
              <w:t xml:space="preserve"> عن بعض النسخ : « أدّاه</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بس ، جن » </w:t>
      </w:r>
      <w:r w:rsidR="00992664" w:rsidRPr="00791E4B">
        <w:rPr>
          <w:rtl/>
        </w:rPr>
        <w:t>والوافي</w:t>
      </w:r>
      <w:r w:rsidR="00992664" w:rsidRPr="00020424">
        <w:rPr>
          <w:rtl/>
        </w:rPr>
        <w:t xml:space="preserve"> والكافي ، ح 6132 </w:t>
      </w:r>
      <w:r w:rsidR="00992664" w:rsidRPr="00FD6221">
        <w:rPr>
          <w:rStyle w:val="libFootnoteBoldChar"/>
          <w:rtl/>
        </w:rPr>
        <w:t>والفقيه</w:t>
      </w:r>
      <w:r w:rsidR="00992664" w:rsidRPr="00020424">
        <w:rPr>
          <w:rtl/>
        </w:rPr>
        <w:t xml:space="preserve"> : « احتسب</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الزكاة ، باب القرض ، ح 6132 ، بسنده عن إبراهيم بن السندي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18 ، ح 1601 وص 58 ، ح 1700 مرسلاً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198 ، وفي كلّ المصادر مع اختلاف يسير </w:t>
      </w:r>
      <w:r w:rsidR="00791E4B">
        <w:rPr>
          <w:rFonts w:hint="cs"/>
          <w:rtl/>
        </w:rPr>
        <w:t>.</w:t>
      </w:r>
      <w:r w:rsidR="00992664" w:rsidRPr="0012008A">
        <w:rPr>
          <w:rStyle w:val="libFootnoteBoldChar"/>
          <w:rtl/>
        </w:rPr>
        <w:t>الوافي</w:t>
      </w:r>
      <w:r w:rsidR="00992664" w:rsidRPr="00020424">
        <w:rPr>
          <w:rtl/>
        </w:rPr>
        <w:t xml:space="preserve"> ، ج 10 ، ص 466 ، ح 9901 ؛ </w:t>
      </w:r>
      <w:r w:rsidR="00992664" w:rsidRPr="0012008A">
        <w:rPr>
          <w:rStyle w:val="libFootnoteBoldChar"/>
          <w:rtl/>
        </w:rPr>
        <w:t>الوسائل</w:t>
      </w:r>
      <w:r w:rsidR="00992664" w:rsidRPr="00020424">
        <w:rPr>
          <w:rtl/>
        </w:rPr>
        <w:t xml:space="preserve"> ، ج 9 ، ص 299 ، ح 12064.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B4316F">
        <w:rPr>
          <w:rtl/>
        </w:rPr>
        <w:lastRenderedPageBreak/>
        <w:t>5957</w:t>
      </w:r>
      <w:r w:rsidRPr="001155DE">
        <w:rPr>
          <w:rStyle w:val="libBold2Char"/>
          <w:rtl/>
        </w:rPr>
        <w:t xml:space="preserve"> / 2.</w:t>
      </w:r>
      <w:r w:rsidRPr="00020424">
        <w:rPr>
          <w:rtl/>
          <w:lang w:bidi="fa-IR"/>
        </w:rPr>
        <w:t xml:space="preserve"> أَحْمَدُ بْنُ مُحَمَّدٍ </w:t>
      </w:r>
      <w:r w:rsidRPr="00A91B96">
        <w:rPr>
          <w:rStyle w:val="libFootnotenumChar"/>
          <w:rtl/>
        </w:rPr>
        <w:t>(1)</w:t>
      </w:r>
      <w:r w:rsidRPr="00020424">
        <w:rPr>
          <w:rtl/>
          <w:lang w:bidi="fa-IR"/>
        </w:rPr>
        <w:t xml:space="preserve"> ، عَنْ مُحَمَّدِ بْنِ عَلِيٍّ ، عَنْ مُحَمَّدِ بْنِ فُضَيْلٍ ، عَنْ مُوسَى بْنِ بَكْرٍ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كَانَ عَلِيٌّ</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يَقُولُ : قَرْضُ الْمَالِ حِمَى الزَّكَاةِ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4316F">
        <w:rPr>
          <w:rtl/>
        </w:rPr>
        <w:t>5958</w:t>
      </w:r>
      <w:r w:rsidRPr="001155DE">
        <w:rPr>
          <w:rStyle w:val="libBold2Char"/>
          <w:rtl/>
        </w:rPr>
        <w:t xml:space="preserve"> / 3.</w:t>
      </w:r>
      <w:r w:rsidRPr="00020424">
        <w:rPr>
          <w:rtl/>
          <w:lang w:bidi="fa-IR"/>
        </w:rPr>
        <w:t xml:space="preserve"> أَحْمَدُ بْنُ مُحَمَّدٍ </w:t>
      </w:r>
      <w:r w:rsidRPr="00A91B96">
        <w:rPr>
          <w:rStyle w:val="libFootnotenumChar"/>
          <w:rtl/>
        </w:rPr>
        <w:t>(4)</w:t>
      </w:r>
      <w:r w:rsidRPr="00020424">
        <w:rPr>
          <w:rtl/>
          <w:lang w:bidi="fa-IR"/>
        </w:rPr>
        <w:t xml:space="preserve"> ، عَنْ أَبِيهِ ، عَنْ أَحْمَدَ بْنِ النَّضْرِ ، عَنْ عَمْرِو بْنِ شِمْرٍ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مَنْ أَقْرَضَ رَجُلاً </w:t>
      </w:r>
      <w:r w:rsidRPr="00A91B96">
        <w:rPr>
          <w:rStyle w:val="libFootnotenumChar"/>
          <w:rtl/>
        </w:rPr>
        <w:t>(5)</w:t>
      </w:r>
      <w:r w:rsidRPr="00020424">
        <w:rPr>
          <w:rtl/>
          <w:lang w:bidi="fa-IR"/>
        </w:rPr>
        <w:t xml:space="preserve"> قَرْضاً إِلى مَيْسَرَةٍ ، كَانَ مَالُهُ فِي زَكَاةٍ </w:t>
      </w:r>
      <w:r w:rsidRPr="00A91B96">
        <w:rPr>
          <w:rStyle w:val="libFootnotenumChar"/>
          <w:rtl/>
        </w:rPr>
        <w:t>(6)</w:t>
      </w:r>
      <w:r w:rsidRPr="00020424">
        <w:rPr>
          <w:rtl/>
          <w:lang w:bidi="fa-IR"/>
        </w:rPr>
        <w:t xml:space="preserve"> ، وَكَانَ هُوَ </w:t>
      </w:r>
      <w:r w:rsidRPr="00A91B96">
        <w:rPr>
          <w:rStyle w:val="libFootnotenumChar"/>
          <w:rtl/>
        </w:rPr>
        <w:t>(7)</w:t>
      </w:r>
      <w:r w:rsidRPr="00020424">
        <w:rPr>
          <w:rtl/>
          <w:lang w:bidi="fa-IR"/>
        </w:rPr>
        <w:t xml:space="preserve"> فِي الصَّلَاةِ مَعَ الْمَلَائِكَةِ حَتّى يَقْضِيَهُ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الحِمى » : المخطور الذي لا يُقْرَب ولا يُجترأ عليه. وفي </w:t>
      </w:r>
      <w:r w:rsidR="00992664" w:rsidRPr="0012008A">
        <w:rPr>
          <w:rStyle w:val="libFootnoteBoldChar"/>
          <w:rtl/>
        </w:rPr>
        <w:t>الوافي</w:t>
      </w:r>
      <w:r w:rsidR="00992664" w:rsidRPr="00020424">
        <w:rPr>
          <w:rtl/>
        </w:rPr>
        <w:t xml:space="preserve"> : « حمى الزكاة ، أي حرماً مانعاً من منعها ، وذلك لأنّ القرض يؤدّي إلى أداء الزكاة ويمنع من منعها باعتبار أنّ صاحبه إذا عجز عن أدائه أمكن احتسابه عليه من الزكاة ، كما هو مصرّح به في هذه الأخبار</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1 ، ص 447 ؛ </w:t>
      </w:r>
      <w:r w:rsidR="00992664" w:rsidRPr="00A722B1">
        <w:rPr>
          <w:rStyle w:val="libFootnoteBoldChar"/>
          <w:rtl/>
        </w:rPr>
        <w:t>المصباح المنير</w:t>
      </w:r>
      <w:r w:rsidR="00791E4B">
        <w:rPr>
          <w:rtl/>
        </w:rPr>
        <w:t xml:space="preserve"> ، ص 153 (حما</w:t>
      </w:r>
      <w:r w:rsidR="00992664" w:rsidRPr="00020424">
        <w:rPr>
          <w:rtl/>
        </w:rPr>
        <w:t>)</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107 ، ح 305 ، معلّقاً عن أحمد بن محمّد. </w:t>
      </w:r>
      <w:r w:rsidR="00992664" w:rsidRPr="0012008A">
        <w:rPr>
          <w:rStyle w:val="libFootnoteBoldChar"/>
          <w:rtl/>
        </w:rPr>
        <w:t>المقنعة</w:t>
      </w:r>
      <w:r w:rsidR="00992664" w:rsidRPr="00020424">
        <w:rPr>
          <w:rtl/>
        </w:rPr>
        <w:t xml:space="preserve"> ، ص 262 ، مرسلاً </w:t>
      </w:r>
      <w:r w:rsidR="00791E4B">
        <w:rPr>
          <w:rFonts w:hint="cs"/>
          <w:rtl/>
        </w:rPr>
        <w:t>.</w:t>
      </w:r>
      <w:r w:rsidR="00992664" w:rsidRPr="0012008A">
        <w:rPr>
          <w:rStyle w:val="libFootnoteBoldChar"/>
          <w:rtl/>
        </w:rPr>
        <w:t>الوافي</w:t>
      </w:r>
      <w:r w:rsidR="00992664" w:rsidRPr="00020424">
        <w:rPr>
          <w:rtl/>
        </w:rPr>
        <w:t xml:space="preserve"> ، ج 10 ، ص 467 ، ح 9902 ؛ </w:t>
      </w:r>
      <w:r w:rsidR="00992664" w:rsidRPr="0012008A">
        <w:rPr>
          <w:rStyle w:val="libFootnoteBoldChar"/>
          <w:rtl/>
        </w:rPr>
        <w:t>الوسائل</w:t>
      </w:r>
      <w:r w:rsidR="00992664" w:rsidRPr="00020424">
        <w:rPr>
          <w:rtl/>
        </w:rPr>
        <w:t xml:space="preserve"> ، ج 9 ، ص 301 ، ح 12068.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وحاشية « بح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والسند معلّق كسابقه ؛ فقد روى أحمد بن محمّد بن‌خالد ، عن أبيه ، عن أحمد بن النضر في </w:t>
      </w:r>
      <w:r w:rsidR="00992664" w:rsidRPr="00DE76B9">
        <w:rPr>
          <w:rStyle w:val="libFootnoteBoldChar"/>
          <w:rtl/>
        </w:rPr>
        <w:t>الكافي</w:t>
      </w:r>
      <w:r w:rsidR="00992664" w:rsidRPr="00020424">
        <w:rPr>
          <w:rtl/>
        </w:rPr>
        <w:t xml:space="preserve"> ، ح 356 و6079. ولاحظ أيضاً : </w:t>
      </w:r>
      <w:r w:rsidR="00992664" w:rsidRPr="00DE76B9">
        <w:rPr>
          <w:rStyle w:val="libFootnoteBoldChar"/>
          <w:rtl/>
        </w:rPr>
        <w:t>الكافي</w:t>
      </w:r>
      <w:r w:rsidR="00992664" w:rsidRPr="00020424">
        <w:rPr>
          <w:rtl/>
        </w:rPr>
        <w:t xml:space="preserve"> ، ح 1622 و9476 و10131.</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ثواب الأعمال</w:t>
      </w:r>
      <w:r w:rsidR="00992664" w:rsidRPr="00020424">
        <w:rPr>
          <w:rtl/>
        </w:rPr>
        <w:t xml:space="preserve"> : « مؤمناً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الزكاة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هو</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791E4B">
        <w:rPr>
          <w:rtl/>
        </w:rPr>
        <w:t xml:space="preserve">الوافي </w:t>
      </w:r>
      <w:r w:rsidR="00992664" w:rsidRPr="00FD6221">
        <w:rPr>
          <w:rStyle w:val="libFootnoteBoldChar"/>
          <w:rtl/>
        </w:rPr>
        <w:t>والفقيه</w:t>
      </w:r>
      <w:r w:rsidR="00992664" w:rsidRPr="00020424">
        <w:rPr>
          <w:rtl/>
        </w:rPr>
        <w:t xml:space="preserve"> : « حتّى يقبضه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ثواب الأعمال</w:t>
      </w:r>
      <w:r w:rsidR="00992664" w:rsidRPr="00020424">
        <w:rPr>
          <w:rtl/>
        </w:rPr>
        <w:t xml:space="preserve"> ، ص 166 ، ح 1 ، بسنده عن أحمد بن أبي عبدالله ، عن أبيه ، عن أحمد بن النضر ، عن عمرو بن شمر ، عن جابر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3 ، ص 188 ، ح 3708 ، مرسلاً ، وفيهما مع اختلاف يسير </w:t>
      </w:r>
      <w:r w:rsidR="00791E4B">
        <w:rPr>
          <w:rFonts w:hint="cs"/>
          <w:rtl/>
        </w:rPr>
        <w:t>.</w:t>
      </w:r>
      <w:r w:rsidR="00992664" w:rsidRPr="0012008A">
        <w:rPr>
          <w:rStyle w:val="libFootnoteBoldChar"/>
          <w:rtl/>
        </w:rPr>
        <w:t>الوافي</w:t>
      </w:r>
      <w:r w:rsidR="00992664" w:rsidRPr="00020424">
        <w:rPr>
          <w:rtl/>
        </w:rPr>
        <w:t xml:space="preserve"> ، ج 10 ، ص 467 ، ح 9905 ؛ </w:t>
      </w:r>
      <w:r w:rsidR="00992664" w:rsidRPr="0012008A">
        <w:rPr>
          <w:rStyle w:val="libFootnoteBoldChar"/>
          <w:rtl/>
        </w:rPr>
        <w:t>الوسائل</w:t>
      </w:r>
      <w:r w:rsidR="00992664" w:rsidRPr="00020424">
        <w:rPr>
          <w:rtl/>
        </w:rPr>
        <w:t xml:space="preserve"> ، ج 9 ، ص 301 ، ح 12069.</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33" w:name="_Toc345172761"/>
      <w:bookmarkStart w:id="134" w:name="_Toc464562577"/>
      <w:bookmarkStart w:id="135" w:name="_Toc44599880"/>
      <w:r w:rsidRPr="00020424">
        <w:rPr>
          <w:rtl/>
          <w:lang w:bidi="fa-IR"/>
        </w:rPr>
        <w:lastRenderedPageBreak/>
        <w:t>40</w:t>
      </w:r>
      <w:r>
        <w:rPr>
          <w:rtl/>
          <w:lang w:bidi="fa-IR"/>
        </w:rPr>
        <w:t xml:space="preserve"> </w:t>
      </w:r>
      <w:r w:rsidR="009B673F">
        <w:rPr>
          <w:rtl/>
          <w:lang w:bidi="fa-IR"/>
        </w:rPr>
        <w:t>-</w:t>
      </w:r>
      <w:r>
        <w:rPr>
          <w:rtl/>
          <w:lang w:bidi="fa-IR"/>
        </w:rPr>
        <w:t xml:space="preserve"> </w:t>
      </w:r>
      <w:r w:rsidRPr="00020424">
        <w:rPr>
          <w:rtl/>
          <w:lang w:bidi="fa-IR"/>
        </w:rPr>
        <w:t xml:space="preserve">بَابُ قِصَاصِ </w:t>
      </w:r>
      <w:r w:rsidRPr="00A91B96">
        <w:rPr>
          <w:rStyle w:val="libFootnotenumChar"/>
          <w:rtl/>
        </w:rPr>
        <w:t>(1)</w:t>
      </w:r>
      <w:r>
        <w:rPr>
          <w:rtl/>
        </w:rPr>
        <w:t xml:space="preserve"> </w:t>
      </w:r>
      <w:r w:rsidRPr="00020424">
        <w:rPr>
          <w:rtl/>
          <w:lang w:bidi="fa-IR"/>
        </w:rPr>
        <w:t>الزَّكَاةِ بِالدَّيْنِ‌</w:t>
      </w:r>
      <w:bookmarkEnd w:id="133"/>
      <w:bookmarkEnd w:id="134"/>
      <w:bookmarkEnd w:id="135"/>
    </w:p>
    <w:p w:rsidR="00791E4B" w:rsidRDefault="00992664" w:rsidP="00791E4B">
      <w:pPr>
        <w:pStyle w:val="libNormal"/>
        <w:rPr>
          <w:rtl/>
          <w:lang w:bidi="fa-IR"/>
        </w:rPr>
      </w:pPr>
      <w:r w:rsidRPr="00B4316F">
        <w:rPr>
          <w:rtl/>
        </w:rPr>
        <w:t>5959</w:t>
      </w:r>
      <w:r w:rsidRPr="001155DE">
        <w:rPr>
          <w:rStyle w:val="libBold2Char"/>
          <w:rtl/>
        </w:rPr>
        <w:t xml:space="preserve"> / 1.</w:t>
      </w:r>
      <w:r w:rsidRPr="00020424">
        <w:rPr>
          <w:rtl/>
          <w:lang w:bidi="fa-IR"/>
        </w:rPr>
        <w:t xml:space="preserve"> مُحَمَّدُ بْنُ يَحْيى ، عَنْ مُحَمَّدِ بْنِ الْحُسَيْنِ ؛</w:t>
      </w:r>
    </w:p>
    <w:p w:rsidR="00992664" w:rsidRPr="00020424" w:rsidRDefault="00791E4B" w:rsidP="00791E4B">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صَفْوَانَ بْنِ يَحْيى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الْأَوَّلَ </w:t>
      </w:r>
      <w:r w:rsidRPr="00A91B96">
        <w:rPr>
          <w:rStyle w:val="libFootnotenumChar"/>
          <w:rtl/>
        </w:rPr>
        <w:t>(2)</w:t>
      </w:r>
      <w:r w:rsidRPr="00020424">
        <w:rPr>
          <w:rtl/>
          <w:lang w:bidi="fa-IR"/>
        </w:rPr>
        <w:t xml:space="preserve"> </w:t>
      </w:r>
      <w:r w:rsidRPr="00005A81">
        <w:rPr>
          <w:rStyle w:val="libAlaemChar"/>
          <w:rtl/>
        </w:rPr>
        <w:t>عليه‌السلام</w:t>
      </w:r>
      <w:r w:rsidRPr="00020424">
        <w:rPr>
          <w:rtl/>
          <w:lang w:bidi="fa-IR"/>
        </w:rPr>
        <w:t xml:space="preserve"> عَنْ دَيْنٍ لِي عَلى قَوْمٍ قَدْ طَالَ حَبْسُهُ عِنْدَهُمْ ، لَا يَقْدِرُونَ عَلى قَضَائِهِ ، وَهُمْ مُسْتَوْجِبُونَ لِلزَّكَاةِ ، هَلْ لِي </w:t>
      </w:r>
      <w:r w:rsidRPr="00A91B96">
        <w:rPr>
          <w:rStyle w:val="libFootnotenumChar"/>
          <w:rtl/>
        </w:rPr>
        <w:t>(3)</w:t>
      </w:r>
      <w:r w:rsidRPr="00020424">
        <w:rPr>
          <w:rtl/>
          <w:lang w:bidi="fa-IR"/>
        </w:rPr>
        <w:t xml:space="preserve"> أَنْ أَدَعَهُ </w:t>
      </w:r>
      <w:r w:rsidRPr="00A91B96">
        <w:rPr>
          <w:rStyle w:val="libFootnotenumChar"/>
          <w:rtl/>
        </w:rPr>
        <w:t>(4)</w:t>
      </w:r>
      <w:r w:rsidRPr="00020424">
        <w:rPr>
          <w:rtl/>
          <w:lang w:bidi="fa-IR"/>
        </w:rPr>
        <w:t xml:space="preserve"> ، وَأَحْتَسِبَ </w:t>
      </w:r>
      <w:r w:rsidRPr="00A91B96">
        <w:rPr>
          <w:rStyle w:val="libFootnotenumChar"/>
          <w:rtl/>
        </w:rPr>
        <w:t>(5)</w:t>
      </w:r>
      <w:r w:rsidRPr="00020424">
        <w:rPr>
          <w:rtl/>
          <w:lang w:bidi="fa-IR"/>
        </w:rPr>
        <w:t xml:space="preserve"> بِهِ عَلَيْهِمْ مِنَ الزَّكَاةِ</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4316F">
        <w:rPr>
          <w:rtl/>
        </w:rPr>
        <w:t>5960</w:t>
      </w:r>
      <w:r w:rsidRPr="001155DE">
        <w:rPr>
          <w:rStyle w:val="libBold2Char"/>
          <w:rtl/>
        </w:rPr>
        <w:t xml:space="preserve"> / 2.</w:t>
      </w:r>
      <w:r w:rsidRPr="00020424">
        <w:rPr>
          <w:rtl/>
          <w:lang w:bidi="fa-IR"/>
        </w:rPr>
        <w:t xml:space="preserve"> عِدَّةٌ مِنْ أَصْحَابِنَا ، عَنْ أَحْمَدَ بْنِ مُحَمَّدٍ ، عَنِ الْحُسَيْنِ بْنِ سَعِيدٍ ، عَنْ أَخِيهِ الْحَسَنِ ، عَنْ زُرْعَةَ بْنِ مُحَمَّدٍ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يَكُونُ لَهُ الدَّيْنُ عَلى رَجُلٍ فَقِيرٍ يُرِيدُ أَنْ يُعْطِيَهُ مِنَ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إِنْ كَانَ الْفَقِيرُ عِنْدَهُ وَفَاءٌ بِمَا كَانَ عَلَيْهِ مِنْ دَيْنٍ </w:t>
      </w:r>
      <w:r w:rsidRPr="00A91B96">
        <w:rPr>
          <w:rStyle w:val="libFootnotenumChar"/>
          <w:rtl/>
        </w:rPr>
        <w:t>(7)</w:t>
      </w:r>
      <w:r w:rsidRPr="00020424">
        <w:rPr>
          <w:rtl/>
          <w:lang w:bidi="fa-IR"/>
        </w:rPr>
        <w:t xml:space="preserve"> مِنْ عَرْضٍ مِنْ دَارٍ ، أَوْ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791E4B">
      <w:pPr>
        <w:pStyle w:val="libFootnote0"/>
        <w:rPr>
          <w:rtl/>
          <w:lang w:bidi="fa-IR"/>
        </w:rPr>
      </w:pPr>
      <w:r>
        <w:rPr>
          <w:rtl/>
        </w:rPr>
        <w:t>(1).</w:t>
      </w:r>
      <w:r w:rsidR="0014403D">
        <w:rPr>
          <w:rtl/>
        </w:rPr>
        <w:t xml:space="preserve"> </w:t>
      </w:r>
      <w:r w:rsidR="00992664" w:rsidRPr="00020424">
        <w:rPr>
          <w:rtl/>
        </w:rPr>
        <w:t xml:space="preserve">« القِصاص » : مصدر قولك : قاصصتُه مقاصّةً ، من باب قاتل : إذا كان لك عليه دين مثل مالَهُ عليك ، فجعلتَ الدين في مقابلة الدين ؛ مأخوذ من اقتصاص الأثر ، وهو اقتفاؤه واتّباعه. وقال </w:t>
      </w:r>
      <w:r w:rsidR="00992664" w:rsidRPr="00791E4B">
        <w:rPr>
          <w:rStyle w:val="libFootnoteBoldChar"/>
          <w:rtl/>
        </w:rPr>
        <w:t>صاحب المدارك</w:t>
      </w:r>
      <w:r w:rsidR="00992664" w:rsidRPr="00020424">
        <w:rPr>
          <w:rtl/>
        </w:rPr>
        <w:t xml:space="preserve"> : « المراد بالمقاصّة هنا القصد إلى إسقاط ما في ذمّة الفقير للمزكّي من الدين على وجه الزكاة. وفي معنى الفقير الغنيّ ؛ أعني مالك قوت السنة إذ كان بحيث لايتمكّن من أداء الدين ، وذكر الشارح أنّ معنى المقاصّة احتساب الزكاة على الفقير ثمّ أخذها مقاصّة ، وهو بعيد. وهذا الحكم ؛ أعني جواز مقاصّة المديون بما عليه من الزكاة ، مقطوع به في كلام الأصحاب</w:t>
      </w:r>
      <w:r w:rsidR="00992664">
        <w:rPr>
          <w:rtl/>
        </w:rPr>
        <w:t xml:space="preserve"> ».</w:t>
      </w:r>
      <w:r w:rsidR="00992664" w:rsidRPr="00020424">
        <w:rPr>
          <w:rtl/>
        </w:rPr>
        <w:t xml:space="preserve"> راجع : </w:t>
      </w:r>
      <w:r w:rsidR="00992664" w:rsidRPr="00A722B1">
        <w:rPr>
          <w:rStyle w:val="libFootnoteBoldChar"/>
          <w:rtl/>
        </w:rPr>
        <w:t>المصباح المنير</w:t>
      </w:r>
      <w:r w:rsidR="00992664" w:rsidRPr="00020424">
        <w:rPr>
          <w:rtl/>
        </w:rPr>
        <w:t xml:space="preserve"> ، ص 505 ( قصص ) ؛ </w:t>
      </w:r>
      <w:r w:rsidR="00992664" w:rsidRPr="00DE76B9">
        <w:rPr>
          <w:rStyle w:val="libFootnoteBoldChar"/>
          <w:rtl/>
        </w:rPr>
        <w:t>مسالك الأفهام</w:t>
      </w:r>
      <w:r w:rsidR="00992664" w:rsidRPr="00020424">
        <w:rPr>
          <w:rtl/>
        </w:rPr>
        <w:t xml:space="preserve"> ، ج 1 ، ص 417 ؛ </w:t>
      </w:r>
      <w:r w:rsidR="00992664" w:rsidRPr="00E57D58">
        <w:rPr>
          <w:rStyle w:val="libFootnoteBoldChar"/>
          <w:rtl/>
        </w:rPr>
        <w:t>مدارك الأحكام</w:t>
      </w:r>
      <w:r w:rsidR="00992664" w:rsidRPr="00020424">
        <w:rPr>
          <w:rtl/>
        </w:rPr>
        <w:t xml:space="preserve"> ، ج 5 ، ص 225.</w:t>
      </w:r>
      <w:r w:rsidR="00791E4B">
        <w:rPr>
          <w:rFonts w:hint="cs"/>
          <w:rtl/>
        </w:rPr>
        <w:t xml:space="preserve">    </w:t>
      </w:r>
      <w:r w:rsidR="00A05922">
        <w:rPr>
          <w:rFonts w:hint="cs"/>
          <w:rtl/>
        </w:rPr>
        <w:t xml:space="preserve">                          </w:t>
      </w:r>
      <w:r w:rsidR="00791E4B">
        <w:rPr>
          <w:rFonts w:hint="cs"/>
          <w:rtl/>
        </w:rPr>
        <w:t xml:space="preserve">                  </w:t>
      </w:r>
      <w:r>
        <w:rPr>
          <w:rtl/>
        </w:rPr>
        <w:t>(2).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الأوّل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91E4B" w:rsidTr="00791E4B">
        <w:tc>
          <w:tcPr>
            <w:tcW w:w="4006" w:type="dxa"/>
          </w:tcPr>
          <w:p w:rsidR="00791E4B" w:rsidRDefault="00791E4B" w:rsidP="00992664">
            <w:pPr>
              <w:pStyle w:val="libFootnote0"/>
              <w:rPr>
                <w:rtl/>
              </w:rPr>
            </w:pPr>
            <w:r>
              <w:rPr>
                <w:rtl/>
              </w:rPr>
              <w:t xml:space="preserve">(3). </w:t>
            </w:r>
            <w:r w:rsidRPr="00020424">
              <w:rPr>
                <w:rtl/>
              </w:rPr>
              <w:t>في « بر » :</w:t>
            </w:r>
            <w:r>
              <w:rPr>
                <w:rtl/>
              </w:rPr>
              <w:t xml:space="preserve"> - </w:t>
            </w:r>
            <w:r w:rsidRPr="00020424">
              <w:rPr>
                <w:rtl/>
              </w:rPr>
              <w:t>« لي</w:t>
            </w:r>
            <w:r>
              <w:rPr>
                <w:rtl/>
              </w:rPr>
              <w:t xml:space="preserve"> ».</w:t>
            </w:r>
          </w:p>
        </w:tc>
        <w:tc>
          <w:tcPr>
            <w:tcW w:w="4006" w:type="dxa"/>
          </w:tcPr>
          <w:p w:rsidR="00791E4B" w:rsidRDefault="00791E4B" w:rsidP="00992664">
            <w:pPr>
              <w:pStyle w:val="libFootnote0"/>
              <w:rPr>
                <w:rtl/>
              </w:rPr>
            </w:pPr>
            <w:r>
              <w:rPr>
                <w:rtl/>
              </w:rPr>
              <w:t xml:space="preserve">(4). </w:t>
            </w:r>
            <w:r w:rsidRPr="00020424">
              <w:rPr>
                <w:rtl/>
              </w:rPr>
              <w:t>في « ظ » : + « لهم</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791E4B">
        <w:rPr>
          <w:rtl/>
        </w:rPr>
        <w:t xml:space="preserve">والوافي </w:t>
      </w:r>
      <w:r w:rsidR="00992664" w:rsidRPr="00EB1FD9">
        <w:rPr>
          <w:rStyle w:val="libFootnoteBoldChar"/>
          <w:rtl/>
        </w:rPr>
        <w:t>والوسائل</w:t>
      </w:r>
      <w:r w:rsidR="00992664" w:rsidRPr="00020424">
        <w:rPr>
          <w:rtl/>
        </w:rPr>
        <w:t xml:space="preserve"> : « فاحتسب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149 ، ح 9338 ؛ </w:t>
      </w:r>
      <w:r w:rsidR="00992664" w:rsidRPr="0012008A">
        <w:rPr>
          <w:rStyle w:val="libFootnoteBoldChar"/>
          <w:rtl/>
        </w:rPr>
        <w:t>الوسائل</w:t>
      </w:r>
      <w:r w:rsidR="00992664" w:rsidRPr="00020424">
        <w:rPr>
          <w:rtl/>
        </w:rPr>
        <w:t xml:space="preserve"> ، ج 9 ، ص 295 ، ح 12058.</w:t>
      </w:r>
    </w:p>
    <w:tbl>
      <w:tblPr>
        <w:tblStyle w:val="TableGrid"/>
        <w:bidiVisual/>
        <w:tblW w:w="0" w:type="auto"/>
        <w:tblLook w:val="04A0" w:firstRow="1" w:lastRow="0" w:firstColumn="1" w:lastColumn="0" w:noHBand="0" w:noVBand="1"/>
      </w:tblPr>
      <w:tblGrid>
        <w:gridCol w:w="4006"/>
        <w:gridCol w:w="4006"/>
      </w:tblGrid>
      <w:tr w:rsidR="00791E4B" w:rsidTr="00791E4B">
        <w:tc>
          <w:tcPr>
            <w:tcW w:w="4006" w:type="dxa"/>
          </w:tcPr>
          <w:p w:rsidR="00791E4B" w:rsidRDefault="00791E4B" w:rsidP="00992664">
            <w:pPr>
              <w:pStyle w:val="libFootnote0"/>
              <w:rPr>
                <w:rtl/>
              </w:rPr>
            </w:pPr>
            <w:r>
              <w:rPr>
                <w:rtl/>
              </w:rPr>
              <w:t xml:space="preserve">(7). </w:t>
            </w:r>
            <w:r w:rsidRPr="00020424">
              <w:rPr>
                <w:rtl/>
              </w:rPr>
              <w:t xml:space="preserve">في « بث ، بر ، بف » </w:t>
            </w:r>
            <w:r w:rsidRPr="00515444">
              <w:rPr>
                <w:rStyle w:val="libFootnoteBoldChar"/>
                <w:rtl/>
              </w:rPr>
              <w:t>والوافي</w:t>
            </w:r>
            <w:r w:rsidRPr="00020424">
              <w:rPr>
                <w:rtl/>
              </w:rPr>
              <w:t xml:space="preserve"> : « من الدين</w:t>
            </w:r>
            <w:r>
              <w:rPr>
                <w:rtl/>
              </w:rPr>
              <w:t xml:space="preserve"> ».</w:t>
            </w:r>
          </w:p>
        </w:tc>
        <w:tc>
          <w:tcPr>
            <w:tcW w:w="4006" w:type="dxa"/>
          </w:tcPr>
          <w:p w:rsidR="00791E4B" w:rsidRDefault="00791E4B" w:rsidP="00992664">
            <w:pPr>
              <w:pStyle w:val="libFootnote0"/>
              <w:rPr>
                <w:rtl/>
              </w:rPr>
            </w:pPr>
            <w:r>
              <w:rPr>
                <w:rtl/>
              </w:rPr>
              <w:t xml:space="preserve">(8). </w:t>
            </w:r>
            <w:r w:rsidRPr="00020424">
              <w:rPr>
                <w:rtl/>
              </w:rPr>
              <w:t>في « بح » : + « من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791E4B">
      <w:pPr>
        <w:pStyle w:val="libNormal0"/>
        <w:rPr>
          <w:rtl/>
          <w:lang w:bidi="fa-IR"/>
        </w:rPr>
      </w:pPr>
      <w:r w:rsidRPr="00020424">
        <w:rPr>
          <w:rtl/>
          <w:lang w:bidi="fa-IR"/>
        </w:rPr>
        <w:lastRenderedPageBreak/>
        <w:t xml:space="preserve">مَتَاعٍ مِنْ مَتَاعِ الْبَيْتِ ، أَوْ يُعَالِجُ عَمَلاً يَتَقَلَّبُ </w:t>
      </w:r>
      <w:r w:rsidRPr="00A91B96">
        <w:rPr>
          <w:rStyle w:val="libFootnotenumChar"/>
          <w:rtl/>
        </w:rPr>
        <w:t>(1)</w:t>
      </w:r>
      <w:r w:rsidRPr="00020424">
        <w:rPr>
          <w:rtl/>
          <w:lang w:bidi="fa-IR"/>
        </w:rPr>
        <w:t xml:space="preserve"> فِيهَا </w:t>
      </w:r>
      <w:r w:rsidRPr="00A91B96">
        <w:rPr>
          <w:rStyle w:val="libFootnotenumChar"/>
          <w:rtl/>
        </w:rPr>
        <w:t>(2)</w:t>
      </w:r>
      <w:r w:rsidRPr="00020424">
        <w:rPr>
          <w:rtl/>
          <w:lang w:bidi="fa-IR"/>
        </w:rPr>
        <w:t xml:space="preserve"> بِوَجْهِهِ ، فَهُوَ يَرْجُو أَنْ يَأْخُذَ مِنْهُ مَالَهُ عِنْدَهُ مِنْ دَيْنِهِ ، فَلَا بَأْسَ أَنْ يُقَاصَّهُ بِمَا أَرَادَ أَنْ يُعْطِيَهُ مِنَ الزَّكَاةِ ، أَوْ يَحْتَسِبَ بِهَا ، فَإِنْ </w:t>
      </w:r>
      <w:r w:rsidRPr="00A91B96">
        <w:rPr>
          <w:rStyle w:val="libFootnotenumChar"/>
          <w:rtl/>
        </w:rPr>
        <w:t>(3)</w:t>
      </w:r>
      <w:r w:rsidRPr="00020424">
        <w:rPr>
          <w:rtl/>
          <w:lang w:bidi="fa-IR"/>
        </w:rPr>
        <w:t xml:space="preserve"> لَمْ يَكُنْ عِنْدَ الْفَقِيرِ وَفَاءٌ ، وَلَايَرْجُو </w:t>
      </w:r>
      <w:r w:rsidRPr="00A91B96">
        <w:rPr>
          <w:rStyle w:val="libFootnotenumChar"/>
          <w:rtl/>
        </w:rPr>
        <w:t>(4)</w:t>
      </w:r>
      <w:r w:rsidRPr="00020424">
        <w:rPr>
          <w:rtl/>
          <w:lang w:bidi="fa-IR"/>
        </w:rPr>
        <w:t xml:space="preserve"> أَنْ يَأْخُذَ مِنْهُ شَيْئاً ، فَلْيُعْطِهِ </w:t>
      </w:r>
      <w:r w:rsidRPr="00A91B96">
        <w:rPr>
          <w:rStyle w:val="libFootnotenumChar"/>
          <w:rtl/>
        </w:rPr>
        <w:t>(5)</w:t>
      </w:r>
      <w:r w:rsidRPr="00020424">
        <w:rPr>
          <w:rtl/>
          <w:lang w:bidi="fa-IR"/>
        </w:rPr>
        <w:t xml:space="preserve"> مِنْ زَكَاتِهِ </w:t>
      </w:r>
      <w:r w:rsidRPr="00A91B96">
        <w:rPr>
          <w:rStyle w:val="libFootnotenumChar"/>
          <w:rtl/>
        </w:rPr>
        <w:t>(6)</w:t>
      </w:r>
      <w:r w:rsidRPr="00020424">
        <w:rPr>
          <w:rtl/>
          <w:lang w:bidi="fa-IR"/>
        </w:rPr>
        <w:t xml:space="preserve"> ، وَلَايُقَاصَّهُ بِشَيْ‌ءٍ مِنَ الزَّكَاةِ</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136" w:name="_Toc345172762"/>
      <w:bookmarkStart w:id="137" w:name="_Toc464562578"/>
      <w:bookmarkStart w:id="138" w:name="_Toc44599881"/>
      <w:r w:rsidRPr="00020424">
        <w:rPr>
          <w:rtl/>
          <w:lang w:bidi="fa-IR"/>
        </w:rPr>
        <w:t>41</w:t>
      </w:r>
      <w:r>
        <w:rPr>
          <w:rtl/>
          <w:lang w:bidi="fa-IR"/>
        </w:rPr>
        <w:t xml:space="preserve"> </w:t>
      </w:r>
      <w:r w:rsidR="009B673F">
        <w:rPr>
          <w:rtl/>
          <w:lang w:bidi="fa-IR"/>
        </w:rPr>
        <w:t>-</w:t>
      </w:r>
      <w:r>
        <w:rPr>
          <w:rtl/>
          <w:lang w:bidi="fa-IR"/>
        </w:rPr>
        <w:t xml:space="preserve"> </w:t>
      </w:r>
      <w:r w:rsidRPr="00020424">
        <w:rPr>
          <w:rtl/>
          <w:lang w:bidi="fa-IR"/>
        </w:rPr>
        <w:t>بَابُ مَنْ فَرَّ بِمَالِهِ مِنَ الزَّكَاةِ‌</w:t>
      </w:r>
      <w:bookmarkEnd w:id="136"/>
      <w:bookmarkEnd w:id="137"/>
      <w:bookmarkEnd w:id="138"/>
    </w:p>
    <w:p w:rsidR="00992664" w:rsidRPr="00020424" w:rsidRDefault="00992664" w:rsidP="00992664">
      <w:pPr>
        <w:pStyle w:val="libNormal"/>
        <w:rPr>
          <w:rtl/>
          <w:lang w:bidi="fa-IR"/>
        </w:rPr>
      </w:pPr>
      <w:r w:rsidRPr="00F711EB">
        <w:rPr>
          <w:rtl/>
        </w:rPr>
        <w:t>5961</w:t>
      </w:r>
      <w:r w:rsidRPr="001155DE">
        <w:rPr>
          <w:rStyle w:val="libBold2Char"/>
          <w:rtl/>
        </w:rPr>
        <w:t xml:space="preserve"> / 1.</w:t>
      </w:r>
      <w:r w:rsidRPr="00020424">
        <w:rPr>
          <w:rtl/>
          <w:lang w:bidi="fa-IR"/>
        </w:rPr>
        <w:t xml:space="preserve"> عَلِيُّ بْنُ إِبْرَاهِيمَ ، عَنْ أَبِيهِ ، عَنْ حَمَّادٍ ، عَنْ حَرِيزٍ ، عَنْ عُمَرَ بْنِ يَزِيدَ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فَرَّ بِمَالِهِ مِنَ الزَّكَاةِ ، فَاشْتَر</w:t>
      </w:r>
      <w:r>
        <w:rPr>
          <w:rtl/>
          <w:lang w:bidi="fa-IR"/>
        </w:rPr>
        <w:t>ى بِهِ أَرْضاً أَوْ دَاراً ، أَ</w:t>
      </w:r>
      <w:r w:rsidR="00791E4B">
        <w:rPr>
          <w:rFonts w:hint="cs"/>
          <w:rtl/>
          <w:lang w:bidi="fa-IR"/>
        </w:rPr>
        <w:t xml:space="preserve"> </w:t>
      </w:r>
      <w:r w:rsidRPr="00020424">
        <w:rPr>
          <w:rtl/>
          <w:lang w:bidi="fa-IR"/>
        </w:rPr>
        <w:t xml:space="preserve">عَلَيْهِ فِيهِ </w:t>
      </w:r>
      <w:r w:rsidRPr="00A91B96">
        <w:rPr>
          <w:rStyle w:val="libFootnotenumChar"/>
          <w:rtl/>
        </w:rPr>
        <w:t>(8)</w:t>
      </w:r>
      <w:r w:rsidRPr="00020424">
        <w:rPr>
          <w:rtl/>
          <w:lang w:bidi="fa-IR"/>
        </w:rPr>
        <w:t xml:space="preserve"> شَيْ‌ءٌ</w:t>
      </w:r>
      <w:r>
        <w:rPr>
          <w:rtl/>
          <w:lang w:bidi="fa-IR"/>
        </w:rPr>
        <w:t>؟</w:t>
      </w:r>
    </w:p>
    <w:p w:rsidR="00992664" w:rsidRPr="00020424" w:rsidRDefault="00992664" w:rsidP="00992664">
      <w:pPr>
        <w:pStyle w:val="libNormal"/>
        <w:rPr>
          <w:rtl/>
          <w:lang w:bidi="fa-IR"/>
        </w:rPr>
      </w:pPr>
      <w:r w:rsidRPr="00020424">
        <w:rPr>
          <w:rtl/>
          <w:lang w:bidi="fa-IR"/>
        </w:rPr>
        <w:t xml:space="preserve">فَقَالَ : « لَا ، وَلَوْ جَعَلَهُ حُلِيّاً أَوْ نُقَراً ، فَلَا شَيْ‌ءَ عَلَيْهِ فِيهِ </w:t>
      </w:r>
      <w:r w:rsidRPr="00A91B96">
        <w:rPr>
          <w:rStyle w:val="libFootnotenumChar"/>
          <w:rtl/>
        </w:rPr>
        <w:t>(9)</w:t>
      </w:r>
      <w:r w:rsidRPr="00020424">
        <w:rPr>
          <w:rtl/>
          <w:lang w:bidi="fa-IR"/>
        </w:rPr>
        <w:t xml:space="preserve"> ، وَمَا </w:t>
      </w:r>
      <w:r w:rsidRPr="00A91B96">
        <w:rPr>
          <w:rStyle w:val="libFootnotenumChar"/>
          <w:rtl/>
        </w:rPr>
        <w:t>(10)</w:t>
      </w:r>
      <w:r w:rsidRPr="00020424">
        <w:rPr>
          <w:rtl/>
          <w:lang w:bidi="fa-IR"/>
        </w:rPr>
        <w:t xml:space="preserve"> مَنَعَ نَفْسَهُ مِنْ فَضْلِهِ أَكْثَرُ مِمَّا مَنَعَ مِنْ حَقِّ اللهِ بِأَنْ </w:t>
      </w:r>
      <w:r w:rsidRPr="00A91B96">
        <w:rPr>
          <w:rStyle w:val="libFootnotenumChar"/>
          <w:rtl/>
        </w:rPr>
        <w:t>(11)</w:t>
      </w:r>
      <w:r w:rsidRPr="00020424">
        <w:rPr>
          <w:rtl/>
          <w:lang w:bidi="fa-IR"/>
        </w:rPr>
        <w:t xml:space="preserve"> يَكُونَ فِيهِ</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تتقلّب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وحاشية « بث » </w:t>
      </w:r>
      <w:r w:rsidR="00992664" w:rsidRPr="00EE0C68">
        <w:rPr>
          <w:rtl/>
        </w:rPr>
        <w:t>والوافي</w:t>
      </w:r>
      <w:r w:rsidR="00992664" w:rsidRPr="00020424">
        <w:rPr>
          <w:rtl/>
        </w:rPr>
        <w:t xml:space="preserve"> : « فيه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بف » </w:t>
      </w:r>
      <w:r w:rsidR="00992664" w:rsidRPr="00EE0C68">
        <w:rPr>
          <w:rtl/>
        </w:rPr>
        <w:t>والوافي</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 « ولا يرجونّ</w:t>
      </w:r>
      <w:r w:rsidR="00992664">
        <w:rPr>
          <w:rtl/>
        </w:rPr>
        <w:t xml:space="preserve"> ».</w:t>
      </w:r>
      <w:r w:rsidR="00992664" w:rsidRPr="00020424">
        <w:rPr>
          <w:rtl/>
        </w:rPr>
        <w:t xml:space="preserve"> وفي « ى ، بح » : « لا يرجو » بدون الواو.</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حاشية « بح » </w:t>
      </w:r>
      <w:r w:rsidR="00992664" w:rsidRPr="00EB1FD9">
        <w:rPr>
          <w:rStyle w:val="libFootnoteBoldChar"/>
          <w:rtl/>
        </w:rPr>
        <w:t>والوسائل</w:t>
      </w:r>
      <w:r w:rsidR="00992664" w:rsidRPr="00020424">
        <w:rPr>
          <w:rtl/>
        </w:rPr>
        <w:t xml:space="preserve"> : « فيعطيه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من الزكاة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149 ، ح 9339 ؛ </w:t>
      </w:r>
      <w:r w:rsidR="00992664" w:rsidRPr="0012008A">
        <w:rPr>
          <w:rStyle w:val="libFootnoteBoldChar"/>
          <w:rtl/>
        </w:rPr>
        <w:t>الوسائل</w:t>
      </w:r>
      <w:r w:rsidR="00992664" w:rsidRPr="00020424">
        <w:rPr>
          <w:rtl/>
        </w:rPr>
        <w:t xml:space="preserve"> ، ج 9 ، ص 296 ، ح 12059.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 « منه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بف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بخ ، بر ، بس ، بف » وحاشية « بح » </w:t>
      </w:r>
      <w:r w:rsidR="00992664" w:rsidRPr="00EE0C68">
        <w:rPr>
          <w:rtl/>
        </w:rPr>
        <w:t>والوافي</w:t>
      </w:r>
      <w:r w:rsidR="00992664" w:rsidRPr="00020424">
        <w:rPr>
          <w:rtl/>
        </w:rPr>
        <w:t xml:space="preserve"> : « ولما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الّذي</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الفقيه</w:t>
      </w:r>
      <w:r w:rsidR="00992664" w:rsidRPr="00020424">
        <w:rPr>
          <w:rtl/>
        </w:rPr>
        <w:t xml:space="preserve"> ، ج 2 ، ص 32 ، ح 1624 ، معلّقاً عن عمر بن يزيد. راجع : </w:t>
      </w:r>
      <w:r w:rsidR="00992664" w:rsidRPr="00DE76B9">
        <w:rPr>
          <w:rStyle w:val="libFootnoteBoldChar"/>
          <w:rtl/>
        </w:rPr>
        <w:t>الكافي</w:t>
      </w:r>
      <w:r w:rsidR="00992664" w:rsidRPr="00020424">
        <w:rPr>
          <w:rtl/>
        </w:rPr>
        <w:t xml:space="preserve"> ، كتاب الزكاة ، باب المال الذي لا يحول عليه الحول في يد صاحبه ، ح 5836 ؛ </w:t>
      </w:r>
      <w:r w:rsidR="00992664" w:rsidRPr="00515444">
        <w:rPr>
          <w:rStyle w:val="libFootnoteBoldChar"/>
          <w:rtl/>
        </w:rPr>
        <w:t>وعلل الشرائع</w:t>
      </w:r>
      <w:r w:rsidR="00992664" w:rsidRPr="00DE76B9">
        <w:rPr>
          <w:rStyle w:val="libFootnoteBoldChar"/>
          <w:rtl/>
        </w:rPr>
        <w:t xml:space="preserve"> </w:t>
      </w:r>
      <w:r w:rsidR="00992664" w:rsidRPr="00020424">
        <w:rPr>
          <w:rtl/>
        </w:rPr>
        <w:t xml:space="preserve">، ص 374 ، ح 1 ؛ </w:t>
      </w:r>
      <w:r w:rsidR="00992664" w:rsidRPr="00515444">
        <w:rPr>
          <w:rStyle w:val="libFootnoteBoldChar"/>
          <w:rtl/>
        </w:rPr>
        <w:t>والتهذيب</w:t>
      </w:r>
      <w:r w:rsidR="00992664" w:rsidRPr="00020424">
        <w:rPr>
          <w:rtl/>
        </w:rPr>
        <w:t xml:space="preserve"> ، ج 4 ، ص 35 ، ح 92 </w:t>
      </w:r>
      <w:r w:rsidR="00EE0C68">
        <w:rPr>
          <w:rFonts w:hint="cs"/>
          <w:rtl/>
        </w:rPr>
        <w:t>.</w:t>
      </w:r>
      <w:r w:rsidR="00992664" w:rsidRPr="0012008A">
        <w:rPr>
          <w:rStyle w:val="libFootnoteBoldChar"/>
          <w:rtl/>
        </w:rPr>
        <w:t>الوافي</w:t>
      </w:r>
      <w:r w:rsidR="00992664" w:rsidRPr="00020424">
        <w:rPr>
          <w:rtl/>
        </w:rPr>
        <w:t xml:space="preserve"> ، ج 10 ، ص 73 ، ح 9180 ؛ </w:t>
      </w:r>
      <w:r w:rsidR="00992664" w:rsidRPr="0012008A">
        <w:rPr>
          <w:rStyle w:val="libFootnoteBoldChar"/>
          <w:rtl/>
        </w:rPr>
        <w:t>الوسائل</w:t>
      </w:r>
      <w:r w:rsidR="00992664" w:rsidRPr="00020424">
        <w:rPr>
          <w:rtl/>
        </w:rPr>
        <w:t xml:space="preserve"> ، ج 9 ، ص 159 ، ذيل ح 11741.</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39" w:name="_Toc345172763"/>
      <w:bookmarkStart w:id="140" w:name="_Toc464562579"/>
      <w:bookmarkStart w:id="141" w:name="_Toc44599882"/>
      <w:r w:rsidRPr="00020424">
        <w:rPr>
          <w:rtl/>
          <w:lang w:bidi="fa-IR"/>
        </w:rPr>
        <w:lastRenderedPageBreak/>
        <w:t>42</w:t>
      </w:r>
      <w:r>
        <w:rPr>
          <w:rtl/>
          <w:lang w:bidi="fa-IR"/>
        </w:rPr>
        <w:t xml:space="preserve"> </w:t>
      </w:r>
      <w:r w:rsidR="009B673F">
        <w:rPr>
          <w:rtl/>
          <w:lang w:bidi="fa-IR"/>
        </w:rPr>
        <w:t>-</w:t>
      </w:r>
      <w:r>
        <w:rPr>
          <w:rtl/>
          <w:lang w:bidi="fa-IR"/>
        </w:rPr>
        <w:t xml:space="preserve"> </w:t>
      </w:r>
      <w:r w:rsidRPr="00020424">
        <w:rPr>
          <w:rtl/>
          <w:lang w:bidi="fa-IR"/>
        </w:rPr>
        <w:t xml:space="preserve">بَابُ الرَّجُلِ يُعْطِي عَنْ زَكَاتِهِ </w:t>
      </w:r>
      <w:r w:rsidRPr="00A91B96">
        <w:rPr>
          <w:rStyle w:val="libFootnotenumChar"/>
          <w:rtl/>
        </w:rPr>
        <w:t>(1)</w:t>
      </w:r>
      <w:r>
        <w:rPr>
          <w:rtl/>
        </w:rPr>
        <w:t xml:space="preserve"> </w:t>
      </w:r>
      <w:r w:rsidRPr="00020424">
        <w:rPr>
          <w:rtl/>
          <w:lang w:bidi="fa-IR"/>
        </w:rPr>
        <w:t>الْعِوَضَ‌</w:t>
      </w:r>
      <w:bookmarkEnd w:id="139"/>
      <w:bookmarkEnd w:id="140"/>
      <w:bookmarkEnd w:id="141"/>
    </w:p>
    <w:p w:rsidR="00992664" w:rsidRPr="00020424" w:rsidRDefault="00992664" w:rsidP="00992664">
      <w:pPr>
        <w:pStyle w:val="libNormal"/>
        <w:rPr>
          <w:rtl/>
          <w:lang w:bidi="fa-IR"/>
        </w:rPr>
      </w:pPr>
      <w:r w:rsidRPr="00F711EB">
        <w:rPr>
          <w:rtl/>
        </w:rPr>
        <w:t>5962</w:t>
      </w:r>
      <w:r w:rsidRPr="001155DE">
        <w:rPr>
          <w:rStyle w:val="libBold2Char"/>
          <w:rtl/>
        </w:rPr>
        <w:t xml:space="preserve"> / 1.</w:t>
      </w:r>
      <w:r w:rsidRPr="00020424">
        <w:rPr>
          <w:rtl/>
          <w:lang w:bidi="fa-IR"/>
        </w:rPr>
        <w:t xml:space="preserve"> مُحَمَّدُ بْنُ يَحْيى ، عَنْ أَحْمَدَ بْنِ مُحَمَّدٍ ، عَنْ مُحَمَّدِ بْنِ خَالِدٍ الْبَرْقِيِّ ، قَالَ :</w:t>
      </w:r>
    </w:p>
    <w:p w:rsidR="00992664" w:rsidRPr="00020424" w:rsidRDefault="00992664" w:rsidP="00992664">
      <w:pPr>
        <w:pStyle w:val="libNormal"/>
        <w:rPr>
          <w:rtl/>
          <w:lang w:bidi="fa-IR"/>
        </w:rPr>
      </w:pPr>
      <w:r w:rsidRPr="00020424">
        <w:rPr>
          <w:rtl/>
          <w:lang w:bidi="fa-IR"/>
        </w:rPr>
        <w:t xml:space="preserve">كَتَبْتُ إِلى أَبِي جَعْفَرٍ الثَّانِي </w:t>
      </w:r>
      <w:r w:rsidRPr="00005A81">
        <w:rPr>
          <w:rStyle w:val="libAlaemChar"/>
          <w:rtl/>
        </w:rPr>
        <w:t>عليه‌السلام</w:t>
      </w:r>
      <w:r w:rsidRPr="00020424">
        <w:rPr>
          <w:rtl/>
          <w:lang w:bidi="fa-IR"/>
        </w:rPr>
        <w:t xml:space="preserve"> : هَلْ يَجُوزُ أَنْ يُخْرَجَ </w:t>
      </w:r>
      <w:r w:rsidRPr="00A91B96">
        <w:rPr>
          <w:rStyle w:val="libFootnotenumChar"/>
          <w:rtl/>
        </w:rPr>
        <w:t>(2)</w:t>
      </w:r>
      <w:r w:rsidRPr="00020424">
        <w:rPr>
          <w:rtl/>
          <w:lang w:bidi="fa-IR"/>
        </w:rPr>
        <w:t xml:space="preserve"> عَمَّا يَجِبُ فِي الْحَرْثِ مِنَ الْحِنْطَةِ وَالشَّعِيرِ ، وَمَا يَجِبُ عَلَى الذَّهَبِ دَرَاهِمُ بِقِيمَةِ مَا</w:t>
      </w:r>
      <w:r w:rsidR="00EE0C68">
        <w:rPr>
          <w:rtl/>
          <w:lang w:bidi="fa-IR"/>
        </w:rPr>
        <w:t xml:space="preserve"> يَسْوى ، أَمْ لَايَجُوزُ إِل</w:t>
      </w:r>
      <w:r w:rsidR="00EE0C68">
        <w:rPr>
          <w:rFonts w:hint="cs"/>
          <w:rtl/>
          <w:lang w:bidi="fa-IR"/>
        </w:rPr>
        <w:t>َّ</w:t>
      </w:r>
      <w:r w:rsidR="00EE0C68">
        <w:rPr>
          <w:rtl/>
          <w:lang w:bidi="fa-IR"/>
        </w:rPr>
        <w:t>ا</w:t>
      </w:r>
      <w:r w:rsidRPr="00020424">
        <w:rPr>
          <w:rtl/>
          <w:lang w:bidi="fa-IR"/>
        </w:rPr>
        <w:t xml:space="preserve"> أَنْ يُخْرَجَ مِنْ كُلِّ شَيْ‌ءٍ مَا فِيهِ</w:t>
      </w:r>
      <w:r>
        <w:rPr>
          <w:rtl/>
          <w:lang w:bidi="fa-IR"/>
        </w:rPr>
        <w:t>؟</w:t>
      </w:r>
    </w:p>
    <w:p w:rsidR="00992664" w:rsidRPr="00020424" w:rsidRDefault="00992664" w:rsidP="00992664">
      <w:pPr>
        <w:pStyle w:val="libNormal"/>
        <w:rPr>
          <w:rtl/>
          <w:lang w:bidi="fa-IR"/>
        </w:rPr>
      </w:pPr>
      <w:r w:rsidRPr="00020424">
        <w:rPr>
          <w:rtl/>
          <w:lang w:bidi="fa-IR"/>
        </w:rPr>
        <w:t xml:space="preserve">فَأَجَابَ </w:t>
      </w:r>
      <w:r w:rsidRPr="00005A81">
        <w:rPr>
          <w:rStyle w:val="libAlaemChar"/>
          <w:rtl/>
        </w:rPr>
        <w:t>عليه‌السلام</w:t>
      </w:r>
      <w:r w:rsidRPr="00020424">
        <w:rPr>
          <w:rtl/>
          <w:lang w:bidi="fa-IR"/>
        </w:rPr>
        <w:t xml:space="preserve"> : « أَيُّمَا تَيَسَّرَ يُخْرَجُ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F711EB">
        <w:rPr>
          <w:rtl/>
        </w:rPr>
        <w:t>5963</w:t>
      </w:r>
      <w:r w:rsidRPr="001155DE">
        <w:rPr>
          <w:rStyle w:val="libBold2Char"/>
          <w:rtl/>
        </w:rPr>
        <w:t xml:space="preserve"> / 2.</w:t>
      </w:r>
      <w:r w:rsidRPr="00020424">
        <w:rPr>
          <w:rtl/>
          <w:lang w:bidi="fa-IR"/>
        </w:rPr>
        <w:t xml:space="preserve"> مُحَمَّدُ بْنُ يَحْيى </w:t>
      </w:r>
      <w:r w:rsidRPr="00A91B96">
        <w:rPr>
          <w:rStyle w:val="libFootnotenumChar"/>
          <w:rtl/>
        </w:rPr>
        <w:t>(5)</w:t>
      </w:r>
      <w:r w:rsidRPr="00020424">
        <w:rPr>
          <w:rtl/>
          <w:lang w:bidi="fa-IR"/>
        </w:rPr>
        <w:t xml:space="preserve"> ، عَنِ الْعَمْرَكِيِّ بْنِ عَلِيٍّ </w:t>
      </w:r>
      <w:r w:rsidRPr="00A91B96">
        <w:rPr>
          <w:rStyle w:val="libFootnotenumChar"/>
          <w:rtl/>
        </w:rPr>
        <w:t>(6)</w:t>
      </w:r>
      <w:r w:rsidRPr="00020424">
        <w:rPr>
          <w:rtl/>
          <w:lang w:bidi="fa-IR"/>
        </w:rPr>
        <w:t xml:space="preserve"> ، عَنْ عَلِيِّ بْنِ جَعْفَرٍ ، قَالَ :</w:t>
      </w:r>
    </w:p>
    <w:p w:rsidR="00992664" w:rsidRPr="00020424" w:rsidRDefault="00992664" w:rsidP="00992664">
      <w:pPr>
        <w:pStyle w:val="libNormal"/>
        <w:rPr>
          <w:rtl/>
          <w:lang w:bidi="fa-IR"/>
        </w:rPr>
      </w:pPr>
      <w:r w:rsidRPr="00020424">
        <w:rPr>
          <w:rtl/>
          <w:lang w:bidi="fa-IR"/>
        </w:rPr>
        <w:t xml:space="preserve">سَأَلْتُ أَبَا الْحَسَنِ مُوسى </w:t>
      </w:r>
      <w:r w:rsidRPr="00005A81">
        <w:rPr>
          <w:rStyle w:val="libAlaemChar"/>
          <w:rtl/>
        </w:rPr>
        <w:t>عليه‌السلام</w:t>
      </w:r>
      <w:r w:rsidRPr="00020424">
        <w:rPr>
          <w:rtl/>
          <w:lang w:bidi="fa-IR"/>
        </w:rPr>
        <w:t xml:space="preserve"> عَنِ الرَّجُلِ يُعْطِي عَنْ </w:t>
      </w:r>
      <w:r w:rsidRPr="00A91B96">
        <w:rPr>
          <w:rStyle w:val="libFootnotenumChar"/>
          <w:rtl/>
        </w:rPr>
        <w:t>(7)</w:t>
      </w:r>
      <w:r w:rsidRPr="00020424">
        <w:rPr>
          <w:rtl/>
          <w:lang w:bidi="fa-IR"/>
        </w:rPr>
        <w:t xml:space="preserve"> زَكَاتِهِ عَنِ </w:t>
      </w:r>
      <w:r w:rsidRPr="00A91B96">
        <w:rPr>
          <w:rStyle w:val="libFootnotenumChar"/>
          <w:rtl/>
        </w:rPr>
        <w:t>(8)</w:t>
      </w:r>
      <w:r w:rsidRPr="00020424">
        <w:rPr>
          <w:rtl/>
          <w:lang w:bidi="fa-IR"/>
        </w:rPr>
        <w:t xml:space="preserve"> الدَّرَاهِمِ دَنَانِيرَ ، وَعَنِ الدَّنَانِ</w:t>
      </w:r>
      <w:r>
        <w:rPr>
          <w:rtl/>
          <w:lang w:bidi="fa-IR"/>
        </w:rPr>
        <w:t>يرِ دَرَاهِمَ بِالْقِيمَةِ ، أَ</w:t>
      </w:r>
      <w:r w:rsidRPr="00020424">
        <w:rPr>
          <w:rtl/>
          <w:lang w:bidi="fa-IR"/>
        </w:rPr>
        <w:t>يَحِلُّ ذلِكَ</w:t>
      </w:r>
      <w:r>
        <w:rPr>
          <w:rtl/>
          <w:lang w:bidi="fa-IR"/>
        </w:rPr>
        <w:t>؟</w:t>
      </w:r>
    </w:p>
    <w:p w:rsidR="00992664" w:rsidRPr="00020424" w:rsidRDefault="00992664" w:rsidP="00992664">
      <w:pPr>
        <w:pStyle w:val="libNormal"/>
        <w:rPr>
          <w:rtl/>
          <w:lang w:bidi="fa-IR"/>
        </w:rPr>
      </w:pPr>
      <w:r w:rsidRPr="00020424">
        <w:rPr>
          <w:rtl/>
          <w:lang w:bidi="fa-IR"/>
        </w:rPr>
        <w:t xml:space="preserve">قَالَ : « لَا بَأْسَ بِهِ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F711EB">
        <w:rPr>
          <w:rtl/>
        </w:rPr>
        <w:t>5964</w:t>
      </w:r>
      <w:r w:rsidRPr="001155DE">
        <w:rPr>
          <w:rStyle w:val="libBold2Char"/>
          <w:rtl/>
        </w:rPr>
        <w:t xml:space="preserve"> / 3.</w:t>
      </w:r>
      <w:r w:rsidRPr="00020424">
        <w:rPr>
          <w:rtl/>
          <w:lang w:bidi="fa-IR"/>
        </w:rPr>
        <w:t xml:space="preserve"> مُحَمَّدُ بْنُ أَبِي عَبْدِ اللهِ ، عَنْ سَهْلِ بْنِ زِيَادٍ ، عَنْ أَحْمَدَ بْنِ مُحَمَّدِ بْنِ‌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E0C68" w:rsidTr="00EE0C68">
        <w:tc>
          <w:tcPr>
            <w:tcW w:w="4006" w:type="dxa"/>
          </w:tcPr>
          <w:p w:rsidR="00EE0C68" w:rsidRDefault="00EE0C68" w:rsidP="00992664">
            <w:pPr>
              <w:pStyle w:val="libFootnote0"/>
              <w:rPr>
                <w:rtl/>
              </w:rPr>
            </w:pPr>
            <w:r>
              <w:rPr>
                <w:rtl/>
              </w:rPr>
              <w:t xml:space="preserve">(1). </w:t>
            </w:r>
            <w:r w:rsidRPr="00020424">
              <w:rPr>
                <w:rtl/>
              </w:rPr>
              <w:t>في « بخ » : « الزكاة</w:t>
            </w:r>
            <w:r>
              <w:rPr>
                <w:rtl/>
              </w:rPr>
              <w:t xml:space="preserve"> ».</w:t>
            </w:r>
          </w:p>
        </w:tc>
        <w:tc>
          <w:tcPr>
            <w:tcW w:w="4006" w:type="dxa"/>
          </w:tcPr>
          <w:p w:rsidR="00EE0C68" w:rsidRDefault="00EE0C68" w:rsidP="00992664">
            <w:pPr>
              <w:pStyle w:val="libFootnote0"/>
              <w:rPr>
                <w:rtl/>
              </w:rPr>
            </w:pPr>
            <w:r>
              <w:rPr>
                <w:rtl/>
              </w:rPr>
              <w:t xml:space="preserve">(2). </w:t>
            </w:r>
            <w:r w:rsidR="00A05922">
              <w:rPr>
                <w:rtl/>
              </w:rPr>
              <w:t>في «ظ ، بث</w:t>
            </w:r>
            <w:r w:rsidRPr="00020424">
              <w:rPr>
                <w:rtl/>
              </w:rPr>
              <w:t xml:space="preserve">» </w:t>
            </w:r>
            <w:r w:rsidRPr="00EE0C68">
              <w:rPr>
                <w:rtl/>
              </w:rPr>
              <w:t xml:space="preserve">والوافي </w:t>
            </w:r>
            <w:r w:rsidRPr="00EB1FD9">
              <w:rPr>
                <w:rStyle w:val="libFootnoteBoldChar"/>
                <w:rtl/>
              </w:rPr>
              <w:t>والوسائل</w:t>
            </w:r>
            <w:r w:rsidRPr="00020424">
              <w:rPr>
                <w:rtl/>
              </w:rPr>
              <w:t xml:space="preserve"> : « أن ا</w:t>
            </w:r>
            <w:r>
              <w:rPr>
                <w:rFonts w:hint="cs"/>
                <w:rtl/>
              </w:rPr>
              <w:t>ُ</w:t>
            </w:r>
            <w:r w:rsidRPr="00020424">
              <w:rPr>
                <w:rtl/>
              </w:rPr>
              <w:t>خرج</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 « فيخرج</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95 ، ح 271 ، بسنده عن أحمد بن محمّد ، عن البرقي ، عن أبي جعفر الثاني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32 ، ح 1623 ، معلّقاً عن محمّد بن خالد البرقي ، وفيهما مع اختلاف يسير </w:t>
      </w:r>
      <w:r w:rsidR="00EE0C68">
        <w:rPr>
          <w:rFonts w:hint="cs"/>
          <w:rtl/>
        </w:rPr>
        <w:t>.</w:t>
      </w:r>
      <w:r w:rsidR="00992664" w:rsidRPr="0012008A">
        <w:rPr>
          <w:rStyle w:val="libFootnoteBoldChar"/>
          <w:rtl/>
        </w:rPr>
        <w:t>الوافي</w:t>
      </w:r>
      <w:r w:rsidR="00992664" w:rsidRPr="00020424">
        <w:rPr>
          <w:rtl/>
        </w:rPr>
        <w:t xml:space="preserve"> ، ج 10 ، ص 151 ، ح 9340 ؛ </w:t>
      </w:r>
      <w:r w:rsidR="00992664" w:rsidRPr="0012008A">
        <w:rPr>
          <w:rStyle w:val="libFootnoteBoldChar"/>
          <w:rtl/>
        </w:rPr>
        <w:t>الوسائل</w:t>
      </w:r>
      <w:r w:rsidR="00992664" w:rsidRPr="00020424">
        <w:rPr>
          <w:rtl/>
        </w:rPr>
        <w:t xml:space="preserve"> ، ج 9 ، ص 167 ، ح 11753 ؛ وص 192 ، ح 11812.</w:t>
      </w:r>
    </w:p>
    <w:tbl>
      <w:tblPr>
        <w:tblStyle w:val="TableGrid"/>
        <w:bidiVisual/>
        <w:tblW w:w="0" w:type="auto"/>
        <w:tblLook w:val="04A0" w:firstRow="1" w:lastRow="0" w:firstColumn="1" w:lastColumn="0" w:noHBand="0" w:noVBand="1"/>
      </w:tblPr>
      <w:tblGrid>
        <w:gridCol w:w="4006"/>
        <w:gridCol w:w="4006"/>
      </w:tblGrid>
      <w:tr w:rsidR="00EE0C68" w:rsidTr="00EE0C68">
        <w:tc>
          <w:tcPr>
            <w:tcW w:w="4006" w:type="dxa"/>
          </w:tcPr>
          <w:p w:rsidR="00EE0C68" w:rsidRDefault="00EE0C68" w:rsidP="00992664">
            <w:pPr>
              <w:pStyle w:val="libFootnote0"/>
              <w:rPr>
                <w:rtl/>
              </w:rPr>
            </w:pPr>
            <w:r>
              <w:rPr>
                <w:rtl/>
              </w:rPr>
              <w:t xml:space="preserve">(5). </w:t>
            </w:r>
            <w:r w:rsidRPr="00020424">
              <w:rPr>
                <w:rtl/>
              </w:rPr>
              <w:t>في « بر » وحاشية « بح » :</w:t>
            </w:r>
            <w:r>
              <w:rPr>
                <w:rtl/>
              </w:rPr>
              <w:t xml:space="preserve"> - </w:t>
            </w:r>
            <w:r w:rsidRPr="00020424">
              <w:rPr>
                <w:rtl/>
              </w:rPr>
              <w:t>« بن يحيى</w:t>
            </w:r>
            <w:r>
              <w:rPr>
                <w:rtl/>
              </w:rPr>
              <w:t xml:space="preserve"> ».</w:t>
            </w:r>
          </w:p>
        </w:tc>
        <w:tc>
          <w:tcPr>
            <w:tcW w:w="4006" w:type="dxa"/>
          </w:tcPr>
          <w:p w:rsidR="00EE0C68" w:rsidRDefault="00EE0C68" w:rsidP="00992664">
            <w:pPr>
              <w:pStyle w:val="libFootnote0"/>
              <w:rPr>
                <w:rtl/>
              </w:rPr>
            </w:pPr>
            <w:r>
              <w:rPr>
                <w:rtl/>
              </w:rPr>
              <w:t xml:space="preserve">(6). </w:t>
            </w:r>
            <w:r w:rsidRPr="00020424">
              <w:rPr>
                <w:rtl/>
              </w:rPr>
              <w:t xml:space="preserve">في « بث » </w:t>
            </w:r>
            <w:r w:rsidRPr="00EB1FD9">
              <w:rPr>
                <w:rStyle w:val="libFootnoteBoldChar"/>
                <w:rtl/>
              </w:rPr>
              <w:t>والوسائل</w:t>
            </w:r>
            <w:r w:rsidRPr="00020424">
              <w:rPr>
                <w:rtl/>
              </w:rPr>
              <w:t xml:space="preserve"> :</w:t>
            </w:r>
            <w:r>
              <w:rPr>
                <w:rtl/>
              </w:rPr>
              <w:t xml:space="preserve"> - </w:t>
            </w:r>
            <w:r w:rsidRPr="00020424">
              <w:rPr>
                <w:rtl/>
              </w:rPr>
              <w:t>« بن عليّ</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بف » </w:t>
      </w:r>
      <w:r w:rsidR="00992664" w:rsidRPr="00A05922">
        <w:rPr>
          <w:rtl/>
        </w:rPr>
        <w:t>والوافي والفقيه وقرب الإسناد</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ومسائل عليّ بن جعف</w:t>
      </w:r>
      <w:r w:rsidR="00EE0C68">
        <w:rPr>
          <w:rtl/>
        </w:rPr>
        <w:t xml:space="preserve">ر </w:t>
      </w:r>
      <w:r w:rsidR="00EE0C68" w:rsidRPr="00EE0C68">
        <w:rPr>
          <w:rStyle w:val="libFootnoteBoldChar"/>
          <w:rtl/>
        </w:rPr>
        <w:t>وقرب الإسناد</w:t>
      </w:r>
      <w:r w:rsidR="00EE0C68">
        <w:rPr>
          <w:rtl/>
        </w:rPr>
        <w:t>. وفي المطبوع : «</w:t>
      </w:r>
      <w:r w:rsidR="00992664" w:rsidRPr="00020424">
        <w:rPr>
          <w:rtl/>
        </w:rPr>
        <w:t>من</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w:t>
      </w:r>
      <w:r w:rsidR="00992664" w:rsidRPr="00EE0C68">
        <w:rPr>
          <w:rtl/>
        </w:rPr>
        <w:t xml:space="preserve">والتهذيب </w:t>
      </w:r>
      <w:r w:rsidR="00992664" w:rsidRPr="00020424">
        <w:rPr>
          <w:rtl/>
        </w:rPr>
        <w:t xml:space="preserve">ومسائل عليّ بن جعفر </w:t>
      </w:r>
      <w:r w:rsidR="00992664" w:rsidRPr="00EE0C68">
        <w:rPr>
          <w:rStyle w:val="libFootnoteBoldChar"/>
          <w:rtl/>
        </w:rPr>
        <w:t>وقرب الإسناد</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مسائل عليّ بن جعفر</w:t>
      </w:r>
      <w:r w:rsidR="00992664" w:rsidRPr="00020424">
        <w:rPr>
          <w:rtl/>
        </w:rPr>
        <w:t xml:space="preserve"> ، ص 125. وفي </w:t>
      </w:r>
      <w:r w:rsidR="00992664" w:rsidRPr="0012008A">
        <w:rPr>
          <w:rStyle w:val="libFootnoteBoldChar"/>
          <w:rtl/>
        </w:rPr>
        <w:t>الفقيه</w:t>
      </w:r>
      <w:r w:rsidR="00992664" w:rsidRPr="00020424">
        <w:rPr>
          <w:rtl/>
        </w:rPr>
        <w:t xml:space="preserve"> ، ج 2 ، ص 31 ، ح 1622 ، معلّقاً عن عليّ بن جعفر ؛ وفي </w:t>
      </w:r>
      <w:r w:rsidR="00992664" w:rsidRPr="0012008A">
        <w:rPr>
          <w:rStyle w:val="libFootnoteBoldChar"/>
          <w:rtl/>
        </w:rPr>
        <w:t>التهذيب</w:t>
      </w:r>
      <w:r w:rsidR="00992664" w:rsidRPr="00020424">
        <w:rPr>
          <w:rtl/>
        </w:rPr>
        <w:t xml:space="preserve"> ، ج 4 ، ص 95 ، ح 272 ؛ </w:t>
      </w:r>
      <w:r w:rsidR="00992664" w:rsidRPr="00EE0C68">
        <w:rPr>
          <w:rStyle w:val="libFootnoteBoldChar"/>
          <w:rtl/>
        </w:rPr>
        <w:t>وقرب الإسناد</w:t>
      </w:r>
      <w:r w:rsidR="00992664" w:rsidRPr="00020424">
        <w:rPr>
          <w:rtl/>
        </w:rPr>
        <w:t xml:space="preserve"> ، ص 229 ، ح 896 ، بسندهما عن عليّ بن جعفر </w:t>
      </w:r>
      <w:r w:rsidR="00EE0C68">
        <w:rPr>
          <w:rFonts w:hint="cs"/>
          <w:rtl/>
        </w:rPr>
        <w:t>.</w:t>
      </w:r>
      <w:r w:rsidR="00992664" w:rsidRPr="0012008A">
        <w:rPr>
          <w:rStyle w:val="libFootnoteBoldChar"/>
          <w:rtl/>
        </w:rPr>
        <w:t>الوافي</w:t>
      </w:r>
      <w:r w:rsidR="00992664" w:rsidRPr="00020424">
        <w:rPr>
          <w:rtl/>
        </w:rPr>
        <w:t xml:space="preserve"> ، ج 10 ، ص 152 ، ح 9341 ؛ </w:t>
      </w:r>
      <w:r w:rsidR="00992664" w:rsidRPr="0012008A">
        <w:rPr>
          <w:rStyle w:val="libFootnoteBoldChar"/>
          <w:rtl/>
        </w:rPr>
        <w:t>الوسائل</w:t>
      </w:r>
      <w:r w:rsidR="00992664" w:rsidRPr="00020424">
        <w:rPr>
          <w:rtl/>
        </w:rPr>
        <w:t xml:space="preserve"> ، ج 9 ، ص 167 ، ح 11754.</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أَبِي نَصْرٍ ، عَنْ سَعِيدِ بْنِ عَمْرٍو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w:t>
      </w:r>
      <w:r w:rsidRPr="00A91B96">
        <w:rPr>
          <w:rStyle w:val="libFootnotenumChar"/>
          <w:rtl/>
        </w:rPr>
        <w:t>(2)</w:t>
      </w:r>
      <w:r w:rsidRPr="00020424">
        <w:rPr>
          <w:rtl/>
          <w:lang w:bidi="fa-IR"/>
        </w:rPr>
        <w:t xml:space="preserve"> : يَشْتَرِي الرَّجُلُ مِنَ الزَّكَاةِ الثِّيَابَ وَالسَّوِيقَ </w:t>
      </w:r>
      <w:r w:rsidRPr="00A91B96">
        <w:rPr>
          <w:rStyle w:val="libFootnotenumChar"/>
          <w:rtl/>
        </w:rPr>
        <w:t>(3)</w:t>
      </w:r>
      <w:r w:rsidRPr="00020424">
        <w:rPr>
          <w:rtl/>
          <w:lang w:bidi="fa-IR"/>
        </w:rPr>
        <w:t xml:space="preserve"> وَالدَّقِيقَ وَالْبِطِّيخَ وَالْعِنَبَ ، فَيَقْسِمُهُ.</w:t>
      </w:r>
    </w:p>
    <w:p w:rsidR="00992664" w:rsidRPr="00020424" w:rsidRDefault="00EE0C68" w:rsidP="00992664">
      <w:pPr>
        <w:pStyle w:val="libNormal"/>
        <w:rPr>
          <w:rtl/>
          <w:lang w:bidi="fa-IR"/>
        </w:rPr>
      </w:pPr>
      <w:r>
        <w:rPr>
          <w:rtl/>
          <w:lang w:bidi="fa-IR"/>
        </w:rPr>
        <w:t>قَالَ : « لَا يُعْطِيهِمْ إِل</w:t>
      </w:r>
      <w:r>
        <w:rPr>
          <w:rFonts w:hint="cs"/>
          <w:rtl/>
          <w:lang w:bidi="fa-IR"/>
        </w:rPr>
        <w:t>َّ</w:t>
      </w:r>
      <w:r>
        <w:rPr>
          <w:rtl/>
          <w:lang w:bidi="fa-IR"/>
        </w:rPr>
        <w:t>ا</w:t>
      </w:r>
      <w:r w:rsidR="00992664" w:rsidRPr="00020424">
        <w:rPr>
          <w:rtl/>
          <w:lang w:bidi="fa-IR"/>
        </w:rPr>
        <w:t xml:space="preserve"> الدَّرَاهِمَ كَمَا أَمَرَ </w:t>
      </w:r>
      <w:r w:rsidR="00992664" w:rsidRPr="00A91B96">
        <w:rPr>
          <w:rStyle w:val="libFootnotenumChar"/>
          <w:rtl/>
        </w:rPr>
        <w:t>(4)</w:t>
      </w:r>
      <w:r w:rsidR="00992664" w:rsidRPr="00020424">
        <w:rPr>
          <w:rtl/>
          <w:lang w:bidi="fa-IR"/>
        </w:rPr>
        <w:t xml:space="preserve"> اللهُ تَبَارَكَ وَتَعَالى</w:t>
      </w:r>
      <w:r w:rsidR="00992664">
        <w:rPr>
          <w:rtl/>
          <w:lang w:bidi="fa-IR"/>
        </w:rPr>
        <w:t xml:space="preserve"> ».</w:t>
      </w:r>
      <w:r w:rsidR="00992664" w:rsidRPr="00020424">
        <w:rPr>
          <w:rtl/>
          <w:lang w:bidi="fa-IR"/>
        </w:rPr>
        <w:t xml:space="preserve"> </w:t>
      </w:r>
      <w:r w:rsidR="00992664" w:rsidRPr="00A91B96">
        <w:rPr>
          <w:rStyle w:val="libFootnotenumChar"/>
          <w:rtl/>
        </w:rPr>
        <w:t>(5)</w:t>
      </w:r>
      <w:r w:rsidR="00992664" w:rsidRPr="00020424">
        <w:rPr>
          <w:rtl/>
          <w:lang w:bidi="fa-IR"/>
        </w:rPr>
        <w:t xml:space="preserve"> ‌</w:t>
      </w:r>
    </w:p>
    <w:p w:rsidR="00992664" w:rsidRPr="00020424" w:rsidRDefault="00992664" w:rsidP="00992664">
      <w:pPr>
        <w:pStyle w:val="Heading2Center"/>
        <w:rPr>
          <w:rtl/>
          <w:lang w:bidi="fa-IR"/>
        </w:rPr>
      </w:pPr>
      <w:bookmarkStart w:id="142" w:name="_Toc345172764"/>
      <w:bookmarkStart w:id="143" w:name="_Toc464562580"/>
      <w:bookmarkStart w:id="144" w:name="_Toc44599883"/>
      <w:r w:rsidRPr="00020424">
        <w:rPr>
          <w:rtl/>
          <w:lang w:bidi="fa-IR"/>
        </w:rPr>
        <w:t>43</w:t>
      </w:r>
      <w:r>
        <w:rPr>
          <w:rtl/>
          <w:lang w:bidi="fa-IR"/>
        </w:rPr>
        <w:t xml:space="preserve"> </w:t>
      </w:r>
      <w:r w:rsidR="009B673F">
        <w:rPr>
          <w:rtl/>
          <w:lang w:bidi="fa-IR"/>
        </w:rPr>
        <w:t>-</w:t>
      </w:r>
      <w:r>
        <w:rPr>
          <w:rtl/>
          <w:lang w:bidi="fa-IR"/>
        </w:rPr>
        <w:t xml:space="preserve"> </w:t>
      </w:r>
      <w:r w:rsidRPr="00020424">
        <w:rPr>
          <w:rtl/>
          <w:lang w:bidi="fa-IR"/>
        </w:rPr>
        <w:t xml:space="preserve">بَابُ مَنْ يَحِلُّ </w:t>
      </w:r>
      <w:r w:rsidRPr="00A91B96">
        <w:rPr>
          <w:rStyle w:val="libFootnotenumChar"/>
          <w:rtl/>
        </w:rPr>
        <w:t>(6)</w:t>
      </w:r>
      <w:r>
        <w:rPr>
          <w:rtl/>
        </w:rPr>
        <w:t xml:space="preserve"> </w:t>
      </w:r>
      <w:r w:rsidRPr="00020424">
        <w:rPr>
          <w:rtl/>
          <w:lang w:bidi="fa-IR"/>
        </w:rPr>
        <w:t xml:space="preserve">لَهُ أَنْ يَأْخُذَ </w:t>
      </w:r>
      <w:r w:rsidRPr="00A91B96">
        <w:rPr>
          <w:rStyle w:val="libFootnotenumChar"/>
          <w:rtl/>
        </w:rPr>
        <w:t>(7)</w:t>
      </w:r>
      <w:r>
        <w:rPr>
          <w:rtl/>
        </w:rPr>
        <w:t xml:space="preserve"> </w:t>
      </w:r>
      <w:r w:rsidRPr="00020424">
        <w:rPr>
          <w:rtl/>
          <w:lang w:bidi="fa-IR"/>
        </w:rPr>
        <w:t xml:space="preserve">الزَّكَاةَ وَمَنْ لَايَحِلُّ </w:t>
      </w:r>
      <w:r w:rsidRPr="00A91B96">
        <w:rPr>
          <w:rStyle w:val="libFootnotenumChar"/>
          <w:rtl/>
        </w:rPr>
        <w:t>(8)</w:t>
      </w:r>
      <w:r>
        <w:rPr>
          <w:rtl/>
        </w:rPr>
        <w:t xml:space="preserve"> </w:t>
      </w:r>
      <w:r w:rsidRPr="00020424">
        <w:rPr>
          <w:rtl/>
          <w:lang w:bidi="fa-IR"/>
        </w:rPr>
        <w:t>لَهُ وَمَنْ لَهُ الْمَالُ الْقَلِيلُ‌</w:t>
      </w:r>
      <w:bookmarkEnd w:id="142"/>
      <w:bookmarkEnd w:id="143"/>
      <w:bookmarkEnd w:id="144"/>
    </w:p>
    <w:p w:rsidR="00992664" w:rsidRPr="00020424" w:rsidRDefault="00992664" w:rsidP="00992664">
      <w:pPr>
        <w:pStyle w:val="libNormal"/>
        <w:rPr>
          <w:rtl/>
          <w:lang w:bidi="fa-IR"/>
        </w:rPr>
      </w:pPr>
      <w:r w:rsidRPr="00F711EB">
        <w:rPr>
          <w:rtl/>
        </w:rPr>
        <w:t>5965</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(9)</w:t>
      </w:r>
      <w:r w:rsidRPr="00020424">
        <w:rPr>
          <w:rtl/>
          <w:lang w:bidi="fa-IR"/>
        </w:rPr>
        <w:t xml:space="preserve"> ، عَنْ حَرِيزٍ ، عَنْ أَبِي بَصِيرٍ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يَأْخُذُ الزَّكَاةَ صَاحِبُ السَّبْعِمِائَةِ إِذَا لَمْ يَجِدْ غَيْرَهُ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صَاحِبَ السَّبْعِمِائَةِ تَجِبُ </w:t>
      </w:r>
      <w:r w:rsidRPr="00A91B96">
        <w:rPr>
          <w:rStyle w:val="libFootnotenumChar"/>
          <w:rtl/>
        </w:rPr>
        <w:t>(10)</w:t>
      </w:r>
      <w:r w:rsidRPr="00020424">
        <w:rPr>
          <w:rtl/>
          <w:lang w:bidi="fa-IR"/>
        </w:rPr>
        <w:t xml:space="preserve"> عَلَيْهِ الزَّكَاةُ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(11)</w:t>
      </w:r>
      <w:r w:rsidRPr="00020424">
        <w:rPr>
          <w:rtl/>
          <w:lang w:bidi="fa-IR"/>
        </w:rPr>
        <w:t xml:space="preserve"> : « زَكَاتُهُ صَدَقَةٌ </w:t>
      </w:r>
      <w:r w:rsidRPr="00A91B96">
        <w:rPr>
          <w:rStyle w:val="libFootnotenumChar"/>
          <w:rtl/>
        </w:rPr>
        <w:t>(12)</w:t>
      </w:r>
      <w:r w:rsidRPr="00020424">
        <w:rPr>
          <w:rtl/>
          <w:lang w:bidi="fa-IR"/>
        </w:rPr>
        <w:t xml:space="preserve"> عَلى عِيَالِهِ ، وَلَايَأْخُذُهَا </w:t>
      </w:r>
      <w:r w:rsidRPr="00A91B96">
        <w:rPr>
          <w:rStyle w:val="libFootnotenumChar"/>
          <w:rtl/>
        </w:rPr>
        <w:t>(13)</w:t>
      </w:r>
      <w:r w:rsidR="00EE0C68">
        <w:rPr>
          <w:rtl/>
          <w:lang w:bidi="fa-IR"/>
        </w:rPr>
        <w:t xml:space="preserve"> إِل</w:t>
      </w:r>
      <w:r w:rsidR="00EE0C68">
        <w:rPr>
          <w:rFonts w:hint="cs"/>
          <w:rtl/>
          <w:lang w:bidi="fa-IR"/>
        </w:rPr>
        <w:t>َّ</w:t>
      </w:r>
      <w:r w:rsidR="00EE0C68">
        <w:rPr>
          <w:rtl/>
          <w:lang w:bidi="fa-IR"/>
        </w:rPr>
        <w:t>ا</w:t>
      </w:r>
      <w:r w:rsidRPr="00020424">
        <w:rPr>
          <w:rtl/>
          <w:lang w:bidi="fa-IR"/>
        </w:rPr>
        <w:t xml:space="preserve"> أَنْ يَكُونَ إِذَا اعْتَمَدَ عَلَى‌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بس » </w:t>
      </w:r>
      <w:r w:rsidR="00992664" w:rsidRPr="00EB1FD9">
        <w:rPr>
          <w:rStyle w:val="libFootnoteBoldChar"/>
          <w:rtl/>
        </w:rPr>
        <w:t>والوسائل</w:t>
      </w:r>
      <w:r w:rsidR="00992664" w:rsidRPr="00020424">
        <w:rPr>
          <w:rtl/>
        </w:rPr>
        <w:t xml:space="preserve"> : « عمر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EE0C68">
        <w:rPr>
          <w:rtl/>
        </w:rPr>
        <w:t>والوافي</w:t>
      </w:r>
      <w:r w:rsidR="00992664" w:rsidRPr="00020424">
        <w:rPr>
          <w:rtl/>
        </w:rPr>
        <w:t>. وفي المطبوع : + « 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السَويق » : دقيق مقلوّ يعمل من الحنطة المشويّة أو الشعير. راجع : </w:t>
      </w:r>
      <w:r w:rsidR="00992664" w:rsidRPr="00A722B1">
        <w:rPr>
          <w:rStyle w:val="libFootnoteBoldChar"/>
          <w:rtl/>
        </w:rPr>
        <w:t>المصباح المنير</w:t>
      </w:r>
      <w:r w:rsidR="00992664" w:rsidRPr="00020424">
        <w:rPr>
          <w:rtl/>
        </w:rPr>
        <w:t xml:space="preserve"> ، ص 296 ؛ </w:t>
      </w:r>
      <w:r w:rsidR="00992664" w:rsidRPr="00DE76B9">
        <w:rPr>
          <w:rStyle w:val="libFootnoteBoldChar"/>
          <w:rtl/>
        </w:rPr>
        <w:t>مجمع‌البحرين</w:t>
      </w:r>
      <w:r w:rsidR="00992664" w:rsidRPr="00020424">
        <w:rPr>
          <w:rtl/>
        </w:rPr>
        <w:t xml:space="preserve"> ، ج 5 ، ص 189 ( سوق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أمره</w:t>
      </w:r>
      <w:r w:rsidR="00992664">
        <w:rPr>
          <w:rtl/>
        </w:rPr>
        <w:t xml:space="preserve"> ».</w:t>
      </w:r>
      <w:r w:rsidR="00992664" w:rsidRPr="00020424">
        <w:rPr>
          <w:rtl/>
        </w:rPr>
        <w:t xml:space="preserve"> </w:t>
      </w:r>
      <w:r w:rsidR="00992664" w:rsidRPr="00DE76B9">
        <w:rPr>
          <w:rStyle w:val="libFootnoteBoldChar"/>
          <w:rtl/>
        </w:rPr>
        <w:t>وفيه</w:t>
      </w:r>
      <w:r w:rsidR="00992664" w:rsidRPr="00020424">
        <w:rPr>
          <w:rtl/>
        </w:rPr>
        <w:t xml:space="preserve"> : « هذا الحديث لاينافي ما قبله ؛ لأنّ التبديل إنّما يجوز بالدراهم والدنانير دون غيرهما</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152 ، ح 9342 ؛ </w:t>
      </w:r>
      <w:r w:rsidR="00992664" w:rsidRPr="0012008A">
        <w:rPr>
          <w:rStyle w:val="libFootnoteBoldChar"/>
          <w:rtl/>
        </w:rPr>
        <w:t>الوسائل</w:t>
      </w:r>
      <w:r w:rsidR="00992664" w:rsidRPr="00020424">
        <w:rPr>
          <w:rtl/>
        </w:rPr>
        <w:t xml:space="preserve"> ، ج 9 ، ص 168 ، ح 11755.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تحلّ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ى ، بث ، بخ ، بر ، بس » : + « من</w:t>
      </w:r>
      <w:r w:rsidR="00992664">
        <w:rPr>
          <w:rtl/>
        </w:rPr>
        <w:t xml:space="preserve"> ».</w:t>
      </w:r>
      <w:r w:rsidR="00992664" w:rsidRPr="00020424">
        <w:rPr>
          <w:rtl/>
        </w:rPr>
        <w:t xml:space="preserve"> وفي « بح » :</w:t>
      </w:r>
      <w:r w:rsidR="00992664">
        <w:rPr>
          <w:rtl/>
        </w:rPr>
        <w:t xml:space="preserve"> </w:t>
      </w:r>
      <w:r w:rsidR="009B673F">
        <w:rPr>
          <w:rtl/>
        </w:rPr>
        <w:t>-</w:t>
      </w:r>
      <w:r w:rsidR="00992664">
        <w:rPr>
          <w:rtl/>
        </w:rPr>
        <w:t xml:space="preserve"> </w:t>
      </w:r>
      <w:r w:rsidR="00992664" w:rsidRPr="00020424">
        <w:rPr>
          <w:rtl/>
        </w:rPr>
        <w:t>« أن يأخذ</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 « لا تحلّ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بح ، بس ، جن » : « يجب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E0C68" w:rsidTr="00EE0C68">
        <w:tc>
          <w:tcPr>
            <w:tcW w:w="4006" w:type="dxa"/>
          </w:tcPr>
          <w:p w:rsidR="00EE0C68" w:rsidRDefault="00EE0C68" w:rsidP="00992664">
            <w:pPr>
              <w:pStyle w:val="libFootnote0"/>
              <w:rPr>
                <w:rtl/>
              </w:rPr>
            </w:pPr>
            <w:r>
              <w:rPr>
                <w:rtl/>
              </w:rPr>
              <w:t>(11). في «بث ،بخ ،بر ،</w:t>
            </w:r>
            <w:r w:rsidRPr="00020424">
              <w:rPr>
                <w:rtl/>
              </w:rPr>
              <w:t xml:space="preserve">بف » </w:t>
            </w:r>
            <w:r w:rsidRPr="00EE0C68">
              <w:rPr>
                <w:rtl/>
              </w:rPr>
              <w:t>والوافي</w:t>
            </w:r>
            <w:r w:rsidRPr="00020424">
              <w:rPr>
                <w:rtl/>
              </w:rPr>
              <w:t xml:space="preserve"> : « فقال</w:t>
            </w:r>
            <w:r>
              <w:rPr>
                <w:rtl/>
              </w:rPr>
              <w:t xml:space="preserve"> ».</w:t>
            </w:r>
          </w:p>
        </w:tc>
        <w:tc>
          <w:tcPr>
            <w:tcW w:w="4006" w:type="dxa"/>
          </w:tcPr>
          <w:p w:rsidR="00EE0C68" w:rsidRDefault="00EE0C68" w:rsidP="00992664">
            <w:pPr>
              <w:pStyle w:val="libFootnote0"/>
              <w:rPr>
                <w:rtl/>
              </w:rPr>
            </w:pPr>
            <w:r>
              <w:rPr>
                <w:rtl/>
              </w:rPr>
              <w:t xml:space="preserve">(12). </w:t>
            </w:r>
            <w:r w:rsidRPr="00020424">
              <w:rPr>
                <w:rtl/>
              </w:rPr>
              <w:t>في « ى ، بس » : « صدقته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بخ ، بر ، بف » </w:t>
      </w:r>
      <w:r w:rsidR="00992664" w:rsidRPr="00283D3E">
        <w:rPr>
          <w:rtl/>
        </w:rPr>
        <w:t>والوافي</w:t>
      </w:r>
      <w:r w:rsidR="00992664" w:rsidRPr="00020424">
        <w:rPr>
          <w:rtl/>
        </w:rPr>
        <w:t xml:space="preserve"> : « فلا يأخذها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83D3E">
      <w:pPr>
        <w:pStyle w:val="libNormal0"/>
        <w:rPr>
          <w:rtl/>
          <w:lang w:bidi="fa-IR"/>
        </w:rPr>
      </w:pPr>
      <w:r w:rsidRPr="00020424">
        <w:rPr>
          <w:rtl/>
          <w:lang w:bidi="fa-IR"/>
        </w:rPr>
        <w:lastRenderedPageBreak/>
        <w:t xml:space="preserve">السَّبْعِمِائَةِ ، أَنْفَدَهَا فِي أَقَلَّ مِنْ سَنَةٍ ، فَهذَا يَأْخُذُهَا ، وَلَاتَحِلُّ الزَّكَاةُ </w:t>
      </w:r>
      <w:r w:rsidRPr="00A91B96">
        <w:rPr>
          <w:rStyle w:val="libFootnotenumChar"/>
          <w:rtl/>
        </w:rPr>
        <w:t>(1)</w:t>
      </w:r>
      <w:r w:rsidRPr="00020424">
        <w:rPr>
          <w:rtl/>
          <w:lang w:bidi="fa-IR"/>
        </w:rPr>
        <w:t xml:space="preserve"> لِمَنْ كَانَ مُحْتَرِفاً </w:t>
      </w:r>
      <w:r w:rsidRPr="00A91B96">
        <w:rPr>
          <w:rStyle w:val="libFootnotenumChar"/>
          <w:rtl/>
        </w:rPr>
        <w:t>(2)</w:t>
      </w:r>
      <w:r w:rsidRPr="00020424">
        <w:rPr>
          <w:rtl/>
          <w:lang w:bidi="fa-IR"/>
        </w:rPr>
        <w:t xml:space="preserve"> وَعِنْدَهُ مَا يَجِبُ </w:t>
      </w:r>
      <w:r w:rsidRPr="00A91B96">
        <w:rPr>
          <w:rStyle w:val="libFootnotenumChar"/>
          <w:rtl/>
        </w:rPr>
        <w:t>(3)</w:t>
      </w:r>
      <w:r w:rsidRPr="00020424">
        <w:rPr>
          <w:rtl/>
          <w:lang w:bidi="fa-IR"/>
        </w:rPr>
        <w:t xml:space="preserve"> فِيهِ الزَّكَاةُ </w:t>
      </w:r>
      <w:r w:rsidRPr="00A91B96">
        <w:rPr>
          <w:rStyle w:val="libFootnotenumChar"/>
          <w:rtl/>
        </w:rPr>
        <w:t>(4)</w:t>
      </w:r>
      <w:r w:rsidRPr="00020424">
        <w:rPr>
          <w:rtl/>
          <w:lang w:bidi="fa-IR"/>
        </w:rPr>
        <w:t xml:space="preserve"> أَنْ يَأْخُذَ الزَّكَاةَ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F711EB">
        <w:rPr>
          <w:rtl/>
        </w:rPr>
        <w:t>5966</w:t>
      </w:r>
      <w:r w:rsidRPr="001155DE">
        <w:rPr>
          <w:rStyle w:val="libBold2Char"/>
          <w:rtl/>
        </w:rPr>
        <w:t xml:space="preserve"> / 2.</w:t>
      </w:r>
      <w:r w:rsidRPr="00020424">
        <w:rPr>
          <w:rtl/>
          <w:lang w:bidi="fa-IR"/>
        </w:rPr>
        <w:t xml:space="preserve"> حَمَّادُ بْنُ عِيسى </w:t>
      </w:r>
      <w:r w:rsidRPr="00A91B96">
        <w:rPr>
          <w:rStyle w:val="libFootnotenumChar"/>
          <w:rtl/>
        </w:rPr>
        <w:t>(6)</w:t>
      </w:r>
      <w:r w:rsidRPr="00020424">
        <w:rPr>
          <w:rtl/>
          <w:lang w:bidi="fa-IR"/>
        </w:rPr>
        <w:t xml:space="preserve"> ، عَنْ حَرِيزِ بْنِ عَبْدِ اللهِ </w:t>
      </w:r>
      <w:r w:rsidRPr="00A91B96">
        <w:rPr>
          <w:rStyle w:val="libFootnotenumChar"/>
          <w:rtl/>
        </w:rPr>
        <w:t>(7)</w:t>
      </w:r>
      <w:r w:rsidRPr="00020424">
        <w:rPr>
          <w:rtl/>
          <w:lang w:bidi="fa-IR"/>
        </w:rPr>
        <w:t xml:space="preserve"> ، عَنْ زُرَارَةَ بْنِ أَعْيَنَ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سَمِعْتُهُ يَقُولُ : « إِنَّ الصَّدَقَةَ لَاتَحِلُّ لِمُحْتَرِفٍ </w:t>
      </w:r>
      <w:r w:rsidRPr="00A91B96">
        <w:rPr>
          <w:rStyle w:val="libFootnotenumChar"/>
          <w:rtl/>
        </w:rPr>
        <w:t>(9)</w:t>
      </w:r>
      <w:r w:rsidRPr="00020424">
        <w:rPr>
          <w:rtl/>
          <w:lang w:bidi="fa-IR"/>
        </w:rPr>
        <w:t xml:space="preserve"> ، وَلَالِذِي مِرَّةٍ سَوِيٍّ </w:t>
      </w:r>
      <w:r w:rsidRPr="00A91B96">
        <w:rPr>
          <w:rStyle w:val="libFootnotenumChar"/>
          <w:rtl/>
        </w:rPr>
        <w:t>(10)</w:t>
      </w:r>
      <w:r w:rsidRPr="00020424">
        <w:rPr>
          <w:rtl/>
          <w:lang w:bidi="fa-IR"/>
        </w:rPr>
        <w:t xml:space="preserve"> قَوِيٍّ ، فَتَنَزَّهُوا عَنْهَا</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F711EB">
        <w:rPr>
          <w:rtl/>
        </w:rPr>
        <w:t>5967</w:t>
      </w:r>
      <w:r w:rsidRPr="001155DE">
        <w:rPr>
          <w:rStyle w:val="libBold2Char"/>
          <w:rtl/>
        </w:rPr>
        <w:t xml:space="preserve"> / 3.</w:t>
      </w:r>
      <w:r w:rsidRPr="00020424">
        <w:rPr>
          <w:rtl/>
          <w:lang w:bidi="fa-IR"/>
        </w:rPr>
        <w:t xml:space="preserve"> عَلِيُّ بْنُ إِبْرَاهِيمَ </w:t>
      </w:r>
      <w:r w:rsidRPr="00A91B96">
        <w:rPr>
          <w:rStyle w:val="libFootnotenumChar"/>
          <w:rtl/>
        </w:rPr>
        <w:t>(12)</w:t>
      </w:r>
      <w:r w:rsidRPr="00020424">
        <w:rPr>
          <w:rtl/>
          <w:lang w:bidi="fa-IR"/>
        </w:rPr>
        <w:t xml:space="preserve"> ، عَنْ أَبِيهِ ، عَنْ بَكْرِ بْنِ صَالِحٍ ، عَنِ الْحَسَنِ بْنِ عَلِيٍّ ، عَنْ إِسْمَاعِيلَ بْنِ عَبْدِ الْعَزِيزِ ، عَنْ أَبِيهِ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مِنْ أَصْحَابِنَا ، لَهُ ثَمَانُمِائَةِ دِرْهَمٍ ، وَهُوَ رَجُلٌ‌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الزكاة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المحترف » : المكتسبِ ، يقال : هو يحترف لعياله ، ويحرف ، أي يكتسب. راجع : </w:t>
      </w:r>
      <w:r w:rsidR="00992664" w:rsidRPr="0012008A">
        <w:rPr>
          <w:rStyle w:val="libFootnoteBoldChar"/>
          <w:rtl/>
        </w:rPr>
        <w:t>النهاية</w:t>
      </w:r>
      <w:r w:rsidR="00992664" w:rsidRPr="00020424">
        <w:rPr>
          <w:rtl/>
        </w:rPr>
        <w:t xml:space="preserve"> ، ج 1 ، ص 369 ( حرف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 « تجب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w:t>
      </w:r>
      <w:r w:rsidR="00992664" w:rsidRPr="00283D3E">
        <w:rPr>
          <w:rtl/>
        </w:rPr>
        <w:t xml:space="preserve">النسخ والوافي </w:t>
      </w:r>
      <w:r w:rsidR="00992664" w:rsidRPr="00EB1FD9">
        <w:rPr>
          <w:rStyle w:val="libFootnoteBoldChar"/>
          <w:rtl/>
        </w:rPr>
        <w:t>والوسائل</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أن يأخذ الزكاة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167 ، ح 9356 ؛ </w:t>
      </w:r>
      <w:r w:rsidR="00992664" w:rsidRPr="0012008A">
        <w:rPr>
          <w:rStyle w:val="libFootnoteBoldChar"/>
          <w:rtl/>
        </w:rPr>
        <w:t>الوسائل</w:t>
      </w:r>
      <w:r w:rsidR="00992664" w:rsidRPr="00020424">
        <w:rPr>
          <w:rtl/>
        </w:rPr>
        <w:t xml:space="preserve"> ، ج 9 ، ص 231 ، ح 11905.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بف » وحاشية « بح »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r w:rsidR="00992664" w:rsidRPr="00020424">
        <w:rPr>
          <w:rtl/>
        </w:rPr>
        <w:t xml:space="preserve"> والسند معلّق على سابقه كما هو واضح.</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بف » وحاشية « بح » :</w:t>
      </w:r>
      <w:r w:rsidR="00992664">
        <w:rPr>
          <w:rtl/>
        </w:rPr>
        <w:t xml:space="preserve"> </w:t>
      </w:r>
      <w:r w:rsidR="009B673F">
        <w:rPr>
          <w:rtl/>
        </w:rPr>
        <w:t>-</w:t>
      </w:r>
      <w:r w:rsidR="00992664">
        <w:rPr>
          <w:rtl/>
        </w:rPr>
        <w:t xml:space="preserve"> </w:t>
      </w:r>
      <w:r w:rsidR="00992664" w:rsidRPr="00020424">
        <w:rPr>
          <w:rtl/>
        </w:rPr>
        <w:t>« بن عبدالله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بر ، بف » وحاشية « بح » :</w:t>
      </w:r>
      <w:r w:rsidR="00992664">
        <w:rPr>
          <w:rtl/>
        </w:rPr>
        <w:t xml:space="preserve"> </w:t>
      </w:r>
      <w:r w:rsidR="009B673F">
        <w:rPr>
          <w:rtl/>
        </w:rPr>
        <w:t>-</w:t>
      </w:r>
      <w:r w:rsidR="00992664">
        <w:rPr>
          <w:rtl/>
        </w:rPr>
        <w:t xml:space="preserve"> </w:t>
      </w:r>
      <w:r w:rsidR="00992664" w:rsidRPr="00020424">
        <w:rPr>
          <w:rtl/>
        </w:rPr>
        <w:t>« بن أعين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قرب الإسناد </w:t>
      </w:r>
      <w:r w:rsidR="00992664" w:rsidRPr="00216E45">
        <w:rPr>
          <w:rStyle w:val="libFootnoteBoldChar"/>
          <w:rtl/>
        </w:rPr>
        <w:t>ومعاني الأخبار</w:t>
      </w:r>
      <w:r w:rsidR="00992664" w:rsidRPr="00020424">
        <w:rPr>
          <w:rtl/>
        </w:rPr>
        <w:t xml:space="preserve"> ، ح 2 : « لغنيّ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المِرَّة » : القوّة والشدّة ، </w:t>
      </w:r>
      <w:r w:rsidR="00992664">
        <w:rPr>
          <w:rtl/>
        </w:rPr>
        <w:t>و «</w:t>
      </w:r>
      <w:r w:rsidR="00992664" w:rsidRPr="00020424">
        <w:rPr>
          <w:rtl/>
        </w:rPr>
        <w:t xml:space="preserve"> السويّ » : الصحيح الأعضاء. راجع : </w:t>
      </w:r>
      <w:r w:rsidR="00992664" w:rsidRPr="0012008A">
        <w:rPr>
          <w:rStyle w:val="libFootnoteBoldChar"/>
          <w:rtl/>
        </w:rPr>
        <w:t>النهاية</w:t>
      </w:r>
      <w:r w:rsidR="00992664" w:rsidRPr="00020424">
        <w:rPr>
          <w:rtl/>
        </w:rPr>
        <w:t xml:space="preserve"> ، ج 4 ، ص 316 ؛ </w:t>
      </w:r>
      <w:r w:rsidR="00992664" w:rsidRPr="00A722B1">
        <w:rPr>
          <w:rStyle w:val="libFootnoteBoldChar"/>
          <w:rtl/>
        </w:rPr>
        <w:t>لسان العرب</w:t>
      </w:r>
      <w:r w:rsidR="00992664" w:rsidRPr="00020424">
        <w:rPr>
          <w:rtl/>
        </w:rPr>
        <w:t xml:space="preserve"> ، ج 5 ، ص 168 ( مرر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معاني الأخبار</w:t>
      </w:r>
      <w:r w:rsidR="00992664" w:rsidRPr="00020424">
        <w:rPr>
          <w:rtl/>
        </w:rPr>
        <w:t xml:space="preserve"> ، ص 262 ، ح 1 ، بسنده عن حمّاد بن عيسى ، عن حريز ، عن زرارة ، عن أبي جعفر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آخره. </w:t>
      </w:r>
      <w:r w:rsidR="00992664" w:rsidRPr="00DE76B9">
        <w:rPr>
          <w:rStyle w:val="libFootnoteBoldChar"/>
          <w:rtl/>
        </w:rPr>
        <w:t>قرب الإسناد</w:t>
      </w:r>
      <w:r w:rsidR="00992664" w:rsidRPr="00020424">
        <w:rPr>
          <w:rtl/>
        </w:rPr>
        <w:t xml:space="preserve"> ، ص 155 ، ح 570 ، بسند آخر عن جعفر ، عن أبيه ، عن عليّ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المقنعة</w:t>
      </w:r>
      <w:r w:rsidR="00992664" w:rsidRPr="00020424">
        <w:rPr>
          <w:rtl/>
        </w:rPr>
        <w:t xml:space="preserve"> ، ص 241 ، مرسلاً عن زرارة بن أعين ،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معاني الأخبار</w:t>
      </w:r>
      <w:r w:rsidR="00992664" w:rsidRPr="00020424">
        <w:rPr>
          <w:rtl/>
        </w:rPr>
        <w:t xml:space="preserve"> ، ص 262 ، ح 2 ، مرسلاً عن الصادق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 إلى </w:t>
      </w:r>
      <w:r w:rsidR="00283D3E">
        <w:rPr>
          <w:rtl/>
        </w:rPr>
        <w:t>قوله : « ولا لذي مرّة سويّ قويّ</w:t>
      </w:r>
      <w:r w:rsidR="00992664" w:rsidRPr="00020424">
        <w:rPr>
          <w:rtl/>
        </w:rPr>
        <w:t xml:space="preserve">» مع اختلاف يسير </w:t>
      </w:r>
      <w:r w:rsidR="00283D3E">
        <w:rPr>
          <w:rFonts w:hint="cs"/>
          <w:rtl/>
        </w:rPr>
        <w:t>.</w:t>
      </w:r>
      <w:r w:rsidR="00992664" w:rsidRPr="0012008A">
        <w:rPr>
          <w:rStyle w:val="libFootnoteBoldChar"/>
          <w:rtl/>
        </w:rPr>
        <w:t>الوافي</w:t>
      </w:r>
      <w:r w:rsidR="00992664" w:rsidRPr="00020424">
        <w:rPr>
          <w:rtl/>
        </w:rPr>
        <w:t xml:space="preserve"> ، ج 10 ، ص 174 ، ح 9370 ؛ </w:t>
      </w:r>
      <w:r w:rsidR="00992664" w:rsidRPr="0012008A">
        <w:rPr>
          <w:rStyle w:val="libFootnoteBoldChar"/>
          <w:rtl/>
        </w:rPr>
        <w:t>الوسائل</w:t>
      </w:r>
      <w:r w:rsidR="00992664" w:rsidRPr="00020424">
        <w:rPr>
          <w:rtl/>
        </w:rPr>
        <w:t xml:space="preserve"> ، ج 9 ، ص 231 ، ح 11906.</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حاشية « بح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83D3E">
      <w:pPr>
        <w:pStyle w:val="libNormal0"/>
        <w:rPr>
          <w:rtl/>
          <w:lang w:bidi="fa-IR"/>
        </w:rPr>
      </w:pPr>
      <w:r w:rsidRPr="00020424">
        <w:rPr>
          <w:rtl/>
          <w:lang w:bidi="fa-IR"/>
        </w:rPr>
        <w:lastRenderedPageBreak/>
        <w:t xml:space="preserve">خَفَّافٌ ، وَلَهُ عِيَالٌ كَثِيرَةٌ </w:t>
      </w:r>
      <w:r w:rsidRPr="00A91B96">
        <w:rPr>
          <w:rStyle w:val="libFootnotenumChar"/>
          <w:rtl/>
        </w:rPr>
        <w:t>(1)</w:t>
      </w:r>
      <w:r>
        <w:rPr>
          <w:rtl/>
          <w:lang w:bidi="fa-IR"/>
        </w:rPr>
        <w:t xml:space="preserve"> ، أَ</w:t>
      </w:r>
      <w:r w:rsidRPr="00020424">
        <w:rPr>
          <w:rtl/>
          <w:lang w:bidi="fa-IR"/>
        </w:rPr>
        <w:t>لَهُ أَنْ يَأْخُذَ مِنَ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يَا أَبَا مُحَمَّدٍ </w:t>
      </w:r>
      <w:r w:rsidRPr="00A91B96">
        <w:rPr>
          <w:rStyle w:val="libFootnotenumChar"/>
          <w:rtl/>
        </w:rPr>
        <w:t>(3)</w:t>
      </w:r>
      <w:r>
        <w:rPr>
          <w:rtl/>
          <w:lang w:bidi="fa-IR"/>
        </w:rPr>
        <w:t xml:space="preserve"> ، أَ</w:t>
      </w:r>
      <w:r w:rsidRPr="00020424">
        <w:rPr>
          <w:rtl/>
          <w:lang w:bidi="fa-IR"/>
        </w:rPr>
        <w:t xml:space="preserve">يَرْبَحُ </w:t>
      </w:r>
      <w:r w:rsidRPr="00A91B96">
        <w:rPr>
          <w:rStyle w:val="libFootnotenumChar"/>
          <w:rtl/>
        </w:rPr>
        <w:t>(4)</w:t>
      </w:r>
      <w:r w:rsidRPr="00020424">
        <w:rPr>
          <w:rtl/>
          <w:lang w:bidi="fa-IR"/>
        </w:rPr>
        <w:t xml:space="preserve"> فِي دَرَاهِمِهِ </w:t>
      </w:r>
      <w:r w:rsidRPr="00A91B96">
        <w:rPr>
          <w:rStyle w:val="libFootnotenumChar"/>
          <w:rtl/>
        </w:rPr>
        <w:t>(5)</w:t>
      </w:r>
      <w:r w:rsidRPr="00020424">
        <w:rPr>
          <w:rtl/>
          <w:lang w:bidi="fa-IR"/>
        </w:rPr>
        <w:t xml:space="preserve"> مَا يَقُوتُ بِهِ </w:t>
      </w:r>
      <w:r w:rsidRPr="00A91B96">
        <w:rPr>
          <w:rStyle w:val="libFootnotenumChar"/>
          <w:rtl/>
        </w:rPr>
        <w:t>(6)</w:t>
      </w:r>
      <w:r w:rsidRPr="00020424">
        <w:rPr>
          <w:rtl/>
          <w:lang w:bidi="fa-IR"/>
        </w:rPr>
        <w:t xml:space="preserve"> عِيَالَهُ وَيَفْضُلُ</w:t>
      </w:r>
      <w:r>
        <w:rPr>
          <w:rtl/>
          <w:lang w:bidi="fa-IR"/>
        </w:rPr>
        <w:t>؟</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قُلْتُ : نَعَمْ ، قَالَ : « كَمْ يَفْضُلُ</w:t>
      </w:r>
      <w:r>
        <w:rPr>
          <w:rtl/>
          <w:lang w:bidi="fa-IR"/>
        </w:rPr>
        <w:t>؟</w:t>
      </w:r>
      <w:r w:rsidRPr="00020424">
        <w:rPr>
          <w:rtl/>
          <w:lang w:bidi="fa-IR"/>
        </w:rPr>
        <w:t xml:space="preserve"> » قُلْتُ : لَا</w:t>
      </w:r>
      <w:r>
        <w:rPr>
          <w:rFonts w:hint="cs"/>
          <w:rtl/>
          <w:lang w:bidi="fa-IR"/>
        </w:rPr>
        <w:t xml:space="preserve"> </w:t>
      </w:r>
      <w:r w:rsidRPr="00020424">
        <w:rPr>
          <w:rtl/>
          <w:lang w:bidi="fa-IR"/>
        </w:rPr>
        <w:t>أَدْرِي ، قَالَ : « إِنْ كَانَ يَفْضُلُ عَنِ الْقُوتِ مِقْدَارُ نِصْفِ الْقُوتِ ، فَلَا يَأْخُذِ الزَّكَاةَ ، وَإِنْ كَانَ أَقَلَّ مِنْ نِصْفِ الْقُوتِ ، أَخَذَ الزَّكَاةَ</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فَعَلَيْهِ فِي مَالِهِ زَكَاةٌ تَلْزَمُهُ </w:t>
      </w:r>
      <w:r w:rsidRPr="00A91B96">
        <w:rPr>
          <w:rStyle w:val="libFootnotenumChar"/>
          <w:rtl/>
        </w:rPr>
        <w:t>(7)</w:t>
      </w:r>
      <w:r>
        <w:rPr>
          <w:rtl/>
          <w:lang w:bidi="fa-IR"/>
        </w:rPr>
        <w:t>؟</w:t>
      </w:r>
      <w:r w:rsidRPr="00020424">
        <w:rPr>
          <w:rtl/>
          <w:lang w:bidi="fa-IR"/>
        </w:rPr>
        <w:t xml:space="preserve"> قَالَ : « بَلى » قُلْتُ : كَيْفَ يَصْنَعُ</w:t>
      </w:r>
      <w:r>
        <w:rPr>
          <w:rtl/>
          <w:lang w:bidi="fa-IR"/>
        </w:rPr>
        <w:t>؟</w:t>
      </w:r>
      <w:r w:rsidRPr="00020424">
        <w:rPr>
          <w:rtl/>
          <w:lang w:bidi="fa-IR"/>
        </w:rPr>
        <w:t xml:space="preserve"> قَالَ : « يُوَسِّعُ </w:t>
      </w:r>
      <w:r w:rsidRPr="00A91B96">
        <w:rPr>
          <w:rStyle w:val="libFootnotenumChar"/>
          <w:rtl/>
        </w:rPr>
        <w:t>(8)</w:t>
      </w:r>
      <w:r w:rsidRPr="00020424">
        <w:rPr>
          <w:rtl/>
          <w:lang w:bidi="fa-IR"/>
        </w:rPr>
        <w:t xml:space="preserve"> بِهَا عَلى عِيَالِهِ </w:t>
      </w:r>
      <w:r w:rsidRPr="00A91B96">
        <w:rPr>
          <w:rStyle w:val="libFootnotenumChar"/>
          <w:rtl/>
        </w:rPr>
        <w:t>(9)</w:t>
      </w:r>
      <w:r w:rsidRPr="00020424">
        <w:rPr>
          <w:rtl/>
          <w:lang w:bidi="fa-IR"/>
        </w:rPr>
        <w:t xml:space="preserve"> فِي طَعَامِهِمْ وَشَرَابِهِمْ </w:t>
      </w:r>
      <w:r w:rsidRPr="00A91B96">
        <w:rPr>
          <w:rStyle w:val="libFootnotenumChar"/>
          <w:rtl/>
        </w:rPr>
        <w:t>(10)</w:t>
      </w:r>
      <w:r w:rsidRPr="00020424">
        <w:rPr>
          <w:rtl/>
          <w:lang w:bidi="fa-IR"/>
        </w:rPr>
        <w:t xml:space="preserve"> وَكِسْوَتِهِمْ ، وَإِنْ بَقِيَ مِنْهَا شَيْ‌ءٌ ، يُنَاوِلُهُ </w:t>
      </w:r>
      <w:r w:rsidRPr="00A91B96">
        <w:rPr>
          <w:rStyle w:val="libFootnotenumChar"/>
          <w:rtl/>
        </w:rPr>
        <w:t>(11)</w:t>
      </w:r>
      <w:r w:rsidRPr="00020424">
        <w:rPr>
          <w:rtl/>
          <w:lang w:bidi="fa-IR"/>
        </w:rPr>
        <w:t xml:space="preserve"> غَيْرَهُمْ ، وَمَا أَخَذَ </w:t>
      </w:r>
      <w:r w:rsidRPr="00A91B96">
        <w:rPr>
          <w:rStyle w:val="libFootnotenumChar"/>
          <w:rtl/>
        </w:rPr>
        <w:t>(12)</w:t>
      </w:r>
      <w:r w:rsidRPr="00020424">
        <w:rPr>
          <w:rtl/>
          <w:lang w:bidi="fa-IR"/>
        </w:rPr>
        <w:t xml:space="preserve"> مِنَ الزَّكَاةِ ، فَضَّهُ </w:t>
      </w:r>
      <w:r w:rsidRPr="00A91B96">
        <w:rPr>
          <w:rStyle w:val="libFootnotenumChar"/>
          <w:rtl/>
        </w:rPr>
        <w:t>(13)</w:t>
      </w:r>
      <w:r w:rsidRPr="00020424">
        <w:rPr>
          <w:rtl/>
          <w:lang w:bidi="fa-IR"/>
        </w:rPr>
        <w:t xml:space="preserve"> عَلى عِيَالِهِ حَتّى يُلْحِقَهُمْ </w:t>
      </w:r>
      <w:r w:rsidRPr="00A91B96">
        <w:rPr>
          <w:rStyle w:val="libFootnotenumChar"/>
          <w:rtl/>
        </w:rPr>
        <w:t>(14)</w:t>
      </w:r>
      <w:r w:rsidRPr="00020424">
        <w:rPr>
          <w:rtl/>
          <w:lang w:bidi="fa-IR"/>
        </w:rPr>
        <w:t xml:space="preserve"> بِالنَّاسِ </w:t>
      </w:r>
      <w:r w:rsidRPr="00A91B96">
        <w:rPr>
          <w:rStyle w:val="libFootnotenumChar"/>
          <w:rtl/>
        </w:rPr>
        <w:t>(15)</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Normal"/>
        <w:rPr>
          <w:rtl/>
          <w:lang w:bidi="fa-IR"/>
        </w:rPr>
      </w:pPr>
      <w:r w:rsidRPr="005020B1">
        <w:rPr>
          <w:rtl/>
        </w:rPr>
        <w:t>5968</w:t>
      </w:r>
      <w:r w:rsidRPr="001155DE">
        <w:rPr>
          <w:rStyle w:val="libBold2Char"/>
          <w:rtl/>
        </w:rPr>
        <w:t xml:space="preserve"> / 4.</w:t>
      </w:r>
      <w:r w:rsidRPr="00020424">
        <w:rPr>
          <w:rtl/>
          <w:lang w:bidi="fa-IR"/>
        </w:rPr>
        <w:t xml:space="preserve"> عِدَّةٌ مِنْ أَصْحَابِنَا ، عَنْ أَحْمَدَ بْنِ مُحَمَّدٍ ، عَنِ الْحُسَيْنِ بْنِ سَعِيدٍ ، عَنْ أَخِيهِ الْحَسَنِ ، عَنْ زُرْعَةَ بْنِ مُحَمَّدٍ </w:t>
      </w:r>
      <w:r w:rsidRPr="00A91B96">
        <w:rPr>
          <w:rStyle w:val="libFootnotenumChar"/>
          <w:rtl/>
        </w:rPr>
        <w:t>(17)</w:t>
      </w:r>
      <w:r w:rsidRPr="00020424">
        <w:rPr>
          <w:rtl/>
          <w:lang w:bidi="fa-IR"/>
        </w:rPr>
        <w:t xml:space="preserve"> ، عَنْ سَمَاعَةَ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بخ ، بر ، بف » </w:t>
      </w:r>
      <w:r w:rsidR="00992664" w:rsidRPr="00283D3E">
        <w:rPr>
          <w:rtl/>
        </w:rPr>
        <w:t xml:space="preserve">والوافي </w:t>
      </w:r>
      <w:r w:rsidR="00992664" w:rsidRPr="00FD6221">
        <w:rPr>
          <w:rStyle w:val="libFootnoteBoldChar"/>
          <w:rtl/>
        </w:rPr>
        <w:t>والفقيه</w:t>
      </w:r>
      <w:r w:rsidR="00992664" w:rsidRPr="00020424">
        <w:rPr>
          <w:rtl/>
        </w:rPr>
        <w:t xml:space="preserve"> : « كثير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83D3E" w:rsidTr="00283D3E">
        <w:tc>
          <w:tcPr>
            <w:tcW w:w="4006" w:type="dxa"/>
          </w:tcPr>
          <w:p w:rsidR="00283D3E" w:rsidRDefault="00283D3E" w:rsidP="00992664">
            <w:pPr>
              <w:pStyle w:val="libFootnote0"/>
              <w:rPr>
                <w:rtl/>
              </w:rPr>
            </w:pPr>
            <w:r>
              <w:rPr>
                <w:rtl/>
              </w:rPr>
              <w:t xml:space="preserve">(2). </w:t>
            </w:r>
            <w:r w:rsidRPr="00020424">
              <w:rPr>
                <w:rtl/>
              </w:rPr>
              <w:t>في « بس » : + « له</w:t>
            </w:r>
            <w:r>
              <w:rPr>
                <w:rtl/>
              </w:rPr>
              <w:t xml:space="preserve"> ».</w:t>
            </w:r>
          </w:p>
        </w:tc>
        <w:tc>
          <w:tcPr>
            <w:tcW w:w="4006" w:type="dxa"/>
          </w:tcPr>
          <w:p w:rsidR="00283D3E" w:rsidRDefault="00283D3E" w:rsidP="00992664">
            <w:pPr>
              <w:pStyle w:val="libFootnote0"/>
              <w:rPr>
                <w:rtl/>
              </w:rPr>
            </w:pPr>
            <w:r>
              <w:rPr>
                <w:rtl/>
              </w:rPr>
              <w:t xml:space="preserve">(3). </w:t>
            </w:r>
            <w:r w:rsidRPr="00020424">
              <w:rPr>
                <w:rtl/>
              </w:rPr>
              <w:t>في « بث ، بر ، بف » : « يا بامحمّد</w:t>
            </w:r>
            <w:r>
              <w:rPr>
                <w:rtl/>
              </w:rPr>
              <w:t xml:space="preserve"> ».</w:t>
            </w:r>
          </w:p>
        </w:tc>
      </w:tr>
      <w:tr w:rsidR="00283D3E" w:rsidTr="00283D3E">
        <w:tc>
          <w:tcPr>
            <w:tcW w:w="4006" w:type="dxa"/>
          </w:tcPr>
          <w:p w:rsidR="00283D3E" w:rsidRDefault="00283D3E" w:rsidP="00992664">
            <w:pPr>
              <w:pStyle w:val="libFootnote0"/>
              <w:rPr>
                <w:rtl/>
              </w:rPr>
            </w:pPr>
            <w:r>
              <w:rPr>
                <w:rtl/>
              </w:rPr>
              <w:t xml:space="preserve">(4). </w:t>
            </w:r>
            <w:r w:rsidRPr="00020424">
              <w:rPr>
                <w:rtl/>
              </w:rPr>
              <w:t>في « بخ » : « يربح » من دون همزة الاستفهام.</w:t>
            </w:r>
          </w:p>
        </w:tc>
        <w:tc>
          <w:tcPr>
            <w:tcW w:w="4006" w:type="dxa"/>
          </w:tcPr>
          <w:p w:rsidR="00283D3E" w:rsidRDefault="00283D3E" w:rsidP="00992664">
            <w:pPr>
              <w:pStyle w:val="libFootnote0"/>
              <w:rPr>
                <w:rtl/>
              </w:rPr>
            </w:pPr>
            <w:r>
              <w:rPr>
                <w:rtl/>
              </w:rPr>
              <w:t xml:space="preserve">(5). </w:t>
            </w:r>
            <w:r w:rsidRPr="00020424">
              <w:rPr>
                <w:rtl/>
              </w:rPr>
              <w:t>في « بح » : « دراهم</w:t>
            </w:r>
            <w:r>
              <w:rPr>
                <w:rtl/>
              </w:rPr>
              <w:t xml:space="preserve"> ».</w:t>
            </w:r>
          </w:p>
        </w:tc>
      </w:tr>
      <w:tr w:rsidR="00283D3E" w:rsidTr="00283D3E">
        <w:tc>
          <w:tcPr>
            <w:tcW w:w="4006" w:type="dxa"/>
          </w:tcPr>
          <w:p w:rsidR="00283D3E" w:rsidRDefault="00283D3E" w:rsidP="00992664">
            <w:pPr>
              <w:pStyle w:val="libFootnote0"/>
              <w:rPr>
                <w:rtl/>
              </w:rPr>
            </w:pPr>
            <w:r>
              <w:rPr>
                <w:rtl/>
              </w:rPr>
              <w:t xml:space="preserve">(6). </w:t>
            </w:r>
            <w:r w:rsidRPr="00020424">
              <w:rPr>
                <w:rtl/>
              </w:rPr>
              <w:t>في « بخ » :</w:t>
            </w:r>
            <w:r>
              <w:rPr>
                <w:rtl/>
              </w:rPr>
              <w:t xml:space="preserve"> - </w:t>
            </w:r>
            <w:r w:rsidRPr="00020424">
              <w:rPr>
                <w:rtl/>
              </w:rPr>
              <w:t>« به</w:t>
            </w:r>
            <w:r>
              <w:rPr>
                <w:rtl/>
              </w:rPr>
              <w:t xml:space="preserve"> ».</w:t>
            </w:r>
          </w:p>
        </w:tc>
        <w:tc>
          <w:tcPr>
            <w:tcW w:w="4006" w:type="dxa"/>
          </w:tcPr>
          <w:p w:rsidR="00283D3E" w:rsidRDefault="00283D3E" w:rsidP="00992664">
            <w:pPr>
              <w:pStyle w:val="libFootnote0"/>
              <w:rPr>
                <w:rtl/>
              </w:rPr>
            </w:pPr>
            <w:r>
              <w:rPr>
                <w:rtl/>
              </w:rPr>
              <w:t xml:space="preserve">(7). </w:t>
            </w:r>
            <w:r w:rsidRPr="00020424">
              <w:rPr>
                <w:rtl/>
              </w:rPr>
              <w:t>في « ى ، بح » : « يلزمه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بخ ، بر ، بف » </w:t>
      </w:r>
      <w:r w:rsidR="00992664" w:rsidRPr="00283D3E">
        <w:rPr>
          <w:rtl/>
        </w:rPr>
        <w:t>والوافي</w:t>
      </w:r>
      <w:r w:rsidR="00992664" w:rsidRPr="00020424">
        <w:rPr>
          <w:rtl/>
        </w:rPr>
        <w:t xml:space="preserve"> : « يتوسّع</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هامش </w:t>
      </w:r>
      <w:r w:rsidR="00992664" w:rsidRPr="0012008A">
        <w:rPr>
          <w:rStyle w:val="libFootnoteBoldChar"/>
          <w:rtl/>
        </w:rPr>
        <w:t>الوافي</w:t>
      </w:r>
      <w:r w:rsidR="00992664" w:rsidRPr="00020424">
        <w:rPr>
          <w:rtl/>
        </w:rPr>
        <w:t xml:space="preserve"> عن سلطان : « قوله : يتوسّع بها على عياله ، أي يعطيهم من زكاته ما زاد على النفقة الواجبة التي‌</w:t>
      </w:r>
      <w:r w:rsidR="00283D3E">
        <w:rPr>
          <w:rFonts w:hint="cs"/>
          <w:rtl/>
        </w:rPr>
        <w:t xml:space="preserve"> </w:t>
      </w:r>
      <w:r w:rsidR="00992664" w:rsidRPr="00020424">
        <w:rPr>
          <w:rtl/>
        </w:rPr>
        <w:t>لايجوز حسابها من الزكاة ، فيكون إعطاؤهم من سهم سبيل الله. أو المراد بالعيال غير الواجب نفقتهم ، أو من سهم الفقراء بناء على عدم وفاء نفقتهم سائرمؤن سنتهم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w:t>
      </w:r>
      <w:r w:rsidR="00992664" w:rsidRPr="00283D3E">
        <w:rPr>
          <w:rtl/>
        </w:rPr>
        <w:t xml:space="preserve">والوافي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وشرابهم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 « يناول بها</w:t>
      </w:r>
      <w:r w:rsidR="00992664">
        <w:rPr>
          <w:rtl/>
        </w:rPr>
        <w:t xml:space="preserve"> ».</w:t>
      </w:r>
      <w:r w:rsidR="00992664" w:rsidRPr="00020424">
        <w:rPr>
          <w:rtl/>
        </w:rPr>
        <w:t xml:space="preserve"> وفي « بخ ، بر » : « تناول بها</w:t>
      </w:r>
      <w:r w:rsidR="00992664">
        <w:rPr>
          <w:rtl/>
        </w:rPr>
        <w:t xml:space="preserve"> ».</w:t>
      </w:r>
      <w:r w:rsidR="00992664" w:rsidRPr="00020424">
        <w:rPr>
          <w:rtl/>
        </w:rPr>
        <w:t xml:space="preserve"> وفي « بف » : « تناول</w:t>
      </w:r>
      <w:r w:rsidR="00992664">
        <w:rPr>
          <w:rtl/>
        </w:rPr>
        <w:t xml:space="preserve"> ».</w:t>
      </w:r>
      <w:r w:rsidR="00283D3E">
        <w:rPr>
          <w:rtl/>
        </w:rPr>
        <w:t xml:space="preserve"> وفي حاشية « بح</w:t>
      </w:r>
      <w:r w:rsidR="00992664" w:rsidRPr="00020424">
        <w:rPr>
          <w:rtl/>
        </w:rPr>
        <w:t>» : + « به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بخ ، بف » : « أخذه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 فضّه على عياله » أي وزّعه وقسمه عليهم ؛ من الفضّ بمعنى التفريق. راجع : </w:t>
      </w:r>
      <w:r w:rsidR="00992664" w:rsidRPr="0012008A">
        <w:rPr>
          <w:rStyle w:val="libFootnoteBoldChar"/>
          <w:rtl/>
        </w:rPr>
        <w:t>الصحاح</w:t>
      </w:r>
      <w:r w:rsidR="00992664" w:rsidRPr="00020424">
        <w:rPr>
          <w:rtl/>
        </w:rPr>
        <w:t xml:space="preserve"> ، ج 3 ، ص 1098 ( فضض )</w:t>
      </w:r>
      <w:r w:rsidR="00992664">
        <w:rPr>
          <w:rtl/>
        </w:rPr>
        <w:t>.</w:t>
      </w:r>
      <w:r w:rsidR="00283D3E">
        <w:rPr>
          <w:rFonts w:hint="cs"/>
          <w:rtl/>
        </w:rPr>
        <w:t xml:space="preserve">                     </w:t>
      </w:r>
      <w:r w:rsidR="00992664">
        <w:rPr>
          <w:rFonts w:hint="cs"/>
          <w:rtl/>
          <w:lang w:bidi="fa-IR"/>
        </w:rPr>
        <w:t xml:space="preserve"> </w:t>
      </w:r>
      <w:r>
        <w:rPr>
          <w:rtl/>
        </w:rPr>
        <w:t>(14).</w:t>
      </w:r>
      <w:r w:rsidR="0014403D">
        <w:rPr>
          <w:rtl/>
        </w:rPr>
        <w:t xml:space="preserve"> </w:t>
      </w:r>
      <w:r w:rsidR="00992664" w:rsidRPr="00020424">
        <w:rPr>
          <w:rtl/>
        </w:rPr>
        <w:t>في « بخ ، بر ، بف » : « حتّى يلحق</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حتّى يلحقهم بالناس ، أي يغنيهم ويرفع عنهم الحاجة</w:t>
      </w:r>
      <w:r w:rsidR="00992664">
        <w:rPr>
          <w:rtl/>
        </w:rPr>
        <w:t xml:space="preserve"> ».</w:t>
      </w:r>
    </w:p>
    <w:p w:rsidR="00992664" w:rsidRPr="00020424" w:rsidRDefault="00795177" w:rsidP="00283D3E">
      <w:pPr>
        <w:pStyle w:val="libFootnote0"/>
        <w:rPr>
          <w:rtl/>
          <w:lang w:bidi="fa-IR"/>
        </w:rPr>
      </w:pPr>
      <w:r>
        <w:rPr>
          <w:rtl/>
        </w:rPr>
        <w:t>(16).</w:t>
      </w:r>
      <w:r w:rsidR="0014403D">
        <w:rPr>
          <w:rtl/>
        </w:rPr>
        <w:t xml:space="preserve"> </w:t>
      </w:r>
      <w:r w:rsidR="00992664" w:rsidRPr="0012008A">
        <w:rPr>
          <w:rStyle w:val="libFootnoteBoldChar"/>
          <w:rtl/>
        </w:rPr>
        <w:t>الفقيه</w:t>
      </w:r>
      <w:r w:rsidR="00992664" w:rsidRPr="00020424">
        <w:rPr>
          <w:rtl/>
        </w:rPr>
        <w:t xml:space="preserve"> ، ج 2 ، ص 34 ، ح 1630 ، معلّقاً عن أبي بصير ، مع اختلاف يسير </w:t>
      </w:r>
      <w:r w:rsidR="00283D3E">
        <w:rPr>
          <w:rFonts w:hint="cs"/>
          <w:rtl/>
        </w:rPr>
        <w:t>.</w:t>
      </w:r>
      <w:r w:rsidR="00992664" w:rsidRPr="0012008A">
        <w:rPr>
          <w:rStyle w:val="libFootnoteBoldChar"/>
          <w:rtl/>
        </w:rPr>
        <w:t>الوافي</w:t>
      </w:r>
      <w:r w:rsidR="00992664" w:rsidRPr="00020424">
        <w:rPr>
          <w:rtl/>
        </w:rPr>
        <w:t xml:space="preserve"> ، ج 10 ، ص 170 ، ح 9361 ؛ </w:t>
      </w:r>
      <w:r w:rsidR="00992664" w:rsidRPr="0012008A">
        <w:rPr>
          <w:rStyle w:val="libFootnoteBoldChar"/>
          <w:rtl/>
        </w:rPr>
        <w:t>الوسائل</w:t>
      </w:r>
      <w:r w:rsidR="00992664" w:rsidRPr="00020424">
        <w:rPr>
          <w:rtl/>
        </w:rPr>
        <w:t xml:space="preserve"> ، ج 9 ، ص 232 ، ذيل ح 11908.</w:t>
      </w:r>
      <w:r w:rsidR="00283D3E">
        <w:rPr>
          <w:rFonts w:hint="cs"/>
          <w:rtl/>
        </w:rPr>
        <w:t xml:space="preserve">  </w:t>
      </w:r>
      <w:r>
        <w:rPr>
          <w:rtl/>
        </w:rPr>
        <w:t>(17).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سَأَلْتُ أَبَا عَبْدِ اللهِ </w:t>
      </w:r>
      <w:r w:rsidRPr="00005A81">
        <w:rPr>
          <w:rStyle w:val="libAlaemChar"/>
          <w:rtl/>
        </w:rPr>
        <w:t>عليه‌السلام</w:t>
      </w:r>
      <w:r w:rsidRPr="00020424">
        <w:rPr>
          <w:rtl/>
          <w:lang w:bidi="fa-IR"/>
        </w:rPr>
        <w:t xml:space="preserve"> عَنِ الزَّكَاةِ ، هَلْ تَصْلُحُ </w:t>
      </w:r>
      <w:r w:rsidRPr="00A91B96">
        <w:rPr>
          <w:rStyle w:val="libFootnotenumChar"/>
          <w:rtl/>
        </w:rPr>
        <w:t>(1)</w:t>
      </w:r>
      <w:r w:rsidRPr="00020424">
        <w:rPr>
          <w:rtl/>
          <w:lang w:bidi="fa-IR"/>
        </w:rPr>
        <w:t xml:space="preserve"> لِصَاحِبِ الدَّارِ وَالْخَادِمِ</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00283D3E">
        <w:rPr>
          <w:rtl/>
          <w:lang w:bidi="fa-IR"/>
        </w:rPr>
        <w:t xml:space="preserve"> : « نَعَمْ ، إِل</w:t>
      </w:r>
      <w:r w:rsidR="00283D3E">
        <w:rPr>
          <w:rFonts w:hint="cs"/>
          <w:rtl/>
          <w:lang w:bidi="fa-IR"/>
        </w:rPr>
        <w:t>َّ</w:t>
      </w:r>
      <w:r w:rsidR="00283D3E">
        <w:rPr>
          <w:rtl/>
          <w:lang w:bidi="fa-IR"/>
        </w:rPr>
        <w:t>ا</w:t>
      </w:r>
      <w:r w:rsidRPr="00020424">
        <w:rPr>
          <w:rtl/>
          <w:lang w:bidi="fa-IR"/>
        </w:rPr>
        <w:t xml:space="preserve"> أَنْ تَكُونَ </w:t>
      </w:r>
      <w:r w:rsidRPr="00A91B96">
        <w:rPr>
          <w:rStyle w:val="libFootnotenumChar"/>
          <w:rtl/>
        </w:rPr>
        <w:t>(3)</w:t>
      </w:r>
      <w:r w:rsidRPr="00020424">
        <w:rPr>
          <w:rtl/>
          <w:lang w:bidi="fa-IR"/>
        </w:rPr>
        <w:t xml:space="preserve"> دَارُهُ دَارَ غَلَّةٍ </w:t>
      </w:r>
      <w:r w:rsidRPr="00A91B96">
        <w:rPr>
          <w:rStyle w:val="libFootnotenumChar"/>
          <w:rtl/>
        </w:rPr>
        <w:t>(4)</w:t>
      </w:r>
      <w:r w:rsidRPr="00020424">
        <w:rPr>
          <w:rtl/>
          <w:lang w:bidi="fa-IR"/>
        </w:rPr>
        <w:t xml:space="preserve"> ، فَيَخْرُجَ </w:t>
      </w:r>
      <w:r w:rsidRPr="00A91B96">
        <w:rPr>
          <w:rStyle w:val="libFootnotenumChar"/>
          <w:rtl/>
        </w:rPr>
        <w:t>(5)</w:t>
      </w:r>
      <w:r w:rsidRPr="00020424">
        <w:rPr>
          <w:rtl/>
          <w:lang w:bidi="fa-IR"/>
        </w:rPr>
        <w:t xml:space="preserve"> لَهُ </w:t>
      </w:r>
      <w:r w:rsidRPr="00A91B96">
        <w:rPr>
          <w:rStyle w:val="libFootnotenumChar"/>
          <w:rtl/>
        </w:rPr>
        <w:t>(6)</w:t>
      </w:r>
      <w:r w:rsidRPr="00020424">
        <w:rPr>
          <w:rtl/>
          <w:lang w:bidi="fa-IR"/>
        </w:rPr>
        <w:t xml:space="preserve"> مِنْ غَلَّتِهَا دَرَاهِمُ مَا يَكْفِيهِ </w:t>
      </w:r>
      <w:r w:rsidRPr="00A91B96">
        <w:rPr>
          <w:rStyle w:val="libFootnotenumChar"/>
          <w:rtl/>
        </w:rPr>
        <w:t>(7)</w:t>
      </w:r>
      <w:r w:rsidRPr="00020424">
        <w:rPr>
          <w:rtl/>
          <w:lang w:bidi="fa-IR"/>
        </w:rPr>
        <w:t xml:space="preserve"> لِنَفْسِهِ </w:t>
      </w:r>
      <w:r w:rsidRPr="00A91B96">
        <w:rPr>
          <w:rStyle w:val="libFootnotenumChar"/>
          <w:rtl/>
        </w:rPr>
        <w:t>(8)</w:t>
      </w:r>
      <w:r w:rsidRPr="00020424">
        <w:rPr>
          <w:rtl/>
          <w:lang w:bidi="fa-IR"/>
        </w:rPr>
        <w:t xml:space="preserve"> وَعِيَالِهِ ؛ فَإِنْ لَمْ تَكُنِ </w:t>
      </w:r>
      <w:r w:rsidRPr="00A91B96">
        <w:rPr>
          <w:rStyle w:val="libFootnotenumChar"/>
          <w:rtl/>
        </w:rPr>
        <w:t>(9)</w:t>
      </w:r>
      <w:r w:rsidRPr="00020424">
        <w:rPr>
          <w:rtl/>
          <w:lang w:bidi="fa-IR"/>
        </w:rPr>
        <w:t xml:space="preserve"> الْغَلَّةُ تَكْفِيهِ </w:t>
      </w:r>
      <w:r w:rsidRPr="00A91B96">
        <w:rPr>
          <w:rStyle w:val="libFootnotenumChar"/>
          <w:rtl/>
        </w:rPr>
        <w:t>(10)</w:t>
      </w:r>
      <w:r w:rsidRPr="00020424">
        <w:rPr>
          <w:rtl/>
          <w:lang w:bidi="fa-IR"/>
        </w:rPr>
        <w:t xml:space="preserve"> لِنَفْسِهِ وَعِيَالِهِ </w:t>
      </w:r>
      <w:r w:rsidRPr="00A91B96">
        <w:rPr>
          <w:rStyle w:val="libFootnotenumChar"/>
          <w:rtl/>
        </w:rPr>
        <w:t>(11)</w:t>
      </w:r>
      <w:r w:rsidRPr="00020424">
        <w:rPr>
          <w:rtl/>
          <w:lang w:bidi="fa-IR"/>
        </w:rPr>
        <w:t xml:space="preserve"> فِي طَعَامِهِمْ </w:t>
      </w:r>
      <w:r w:rsidRPr="00A91B96">
        <w:rPr>
          <w:rStyle w:val="libFootnotenumChar"/>
          <w:rtl/>
        </w:rPr>
        <w:t>(12)</w:t>
      </w:r>
      <w:r w:rsidRPr="00020424">
        <w:rPr>
          <w:rtl/>
          <w:lang w:bidi="fa-IR"/>
        </w:rPr>
        <w:t xml:space="preserve"> وَكِسْوَتِهِمْ وَحَاجَتِهِمْ مِنْ </w:t>
      </w:r>
      <w:r w:rsidRPr="00A91B96">
        <w:rPr>
          <w:rStyle w:val="libFootnotenumChar"/>
          <w:rtl/>
        </w:rPr>
        <w:t>(13)</w:t>
      </w:r>
      <w:r w:rsidRPr="00020424">
        <w:rPr>
          <w:rtl/>
          <w:lang w:bidi="fa-IR"/>
        </w:rPr>
        <w:t xml:space="preserve"> غَيْرِ إِسْرَافٍ ، فَقَدْ حَلَّتْ لَهُ الزَّكَاةُ ؛ فَإِنْ </w:t>
      </w:r>
      <w:r w:rsidRPr="00A91B96">
        <w:rPr>
          <w:rStyle w:val="libFootnotenumChar"/>
          <w:rtl/>
        </w:rPr>
        <w:t>(14)</w:t>
      </w:r>
      <w:r w:rsidRPr="00020424">
        <w:rPr>
          <w:rtl/>
          <w:lang w:bidi="fa-IR"/>
        </w:rPr>
        <w:t xml:space="preserve"> كَانَتْ </w:t>
      </w:r>
      <w:r w:rsidRPr="00A91B96">
        <w:rPr>
          <w:rStyle w:val="libFootnotenumChar"/>
          <w:rtl/>
        </w:rPr>
        <w:t>(15)</w:t>
      </w:r>
      <w:r w:rsidRPr="00020424">
        <w:rPr>
          <w:rtl/>
          <w:lang w:bidi="fa-IR"/>
        </w:rPr>
        <w:t xml:space="preserve"> غَلَّتُهَا تَكْفِيهِمْ ، فَلَا</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Normal"/>
        <w:rPr>
          <w:rtl/>
          <w:lang w:bidi="fa-IR"/>
        </w:rPr>
      </w:pPr>
      <w:r w:rsidRPr="005020B1">
        <w:rPr>
          <w:rtl/>
        </w:rPr>
        <w:t>5969</w:t>
      </w:r>
      <w:r w:rsidRPr="001155DE">
        <w:rPr>
          <w:rStyle w:val="libBold2Char"/>
          <w:rtl/>
        </w:rPr>
        <w:t xml:space="preserve"> / 5.</w:t>
      </w:r>
      <w:r w:rsidRPr="00020424">
        <w:rPr>
          <w:rtl/>
          <w:lang w:bidi="fa-IR"/>
        </w:rPr>
        <w:t xml:space="preserve"> مُحَمَّدُ بْنُ يَحْيى ، عَنْ مُحَمَّدِ بْنِ الْحُسَيْنِ ، عَنْ صَفْوَانَ بْنِ يَحْيى ، عَنْ عَبْدِ‌</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55ED5" w:rsidTr="00355ED5">
        <w:tc>
          <w:tcPr>
            <w:tcW w:w="4006" w:type="dxa"/>
          </w:tcPr>
          <w:p w:rsidR="00355ED5" w:rsidRDefault="00355ED5" w:rsidP="00992664">
            <w:pPr>
              <w:pStyle w:val="libFootnote0"/>
              <w:rPr>
                <w:rtl/>
              </w:rPr>
            </w:pPr>
            <w:r>
              <w:rPr>
                <w:rtl/>
              </w:rPr>
              <w:t xml:space="preserve">(1). </w:t>
            </w:r>
            <w:r w:rsidRPr="00020424">
              <w:rPr>
                <w:rtl/>
              </w:rPr>
              <w:t>في «</w:t>
            </w:r>
            <w:r>
              <w:rPr>
                <w:rtl/>
              </w:rPr>
              <w:t>بح»:«</w:t>
            </w:r>
            <w:r w:rsidRPr="00020424">
              <w:rPr>
                <w:rtl/>
              </w:rPr>
              <w:t>يصلح</w:t>
            </w:r>
            <w:r>
              <w:rPr>
                <w:rtl/>
              </w:rPr>
              <w:t>». وفي « جن » : «</w:t>
            </w:r>
            <w:r w:rsidRPr="00020424">
              <w:rPr>
                <w:rtl/>
              </w:rPr>
              <w:t>تصحّ</w:t>
            </w:r>
            <w:r>
              <w:rPr>
                <w:rtl/>
              </w:rPr>
              <w:t>».</w:t>
            </w:r>
          </w:p>
        </w:tc>
        <w:tc>
          <w:tcPr>
            <w:tcW w:w="4006" w:type="dxa"/>
          </w:tcPr>
          <w:p w:rsidR="00355ED5" w:rsidRDefault="00355ED5" w:rsidP="00992664">
            <w:pPr>
              <w:pStyle w:val="libFootnote0"/>
              <w:rPr>
                <w:rtl/>
              </w:rPr>
            </w:pPr>
            <w:r>
              <w:rPr>
                <w:rtl/>
              </w:rPr>
              <w:t xml:space="preserve">(2). </w:t>
            </w:r>
            <w:r w:rsidRPr="00020424">
              <w:rPr>
                <w:rtl/>
              </w:rPr>
              <w:t xml:space="preserve">في « بخ ، بر ، بف » </w:t>
            </w:r>
            <w:r w:rsidRPr="00355ED5">
              <w:rPr>
                <w:rtl/>
              </w:rPr>
              <w:t>والوافي</w:t>
            </w:r>
            <w:r w:rsidRPr="00020424">
              <w:rPr>
                <w:rtl/>
              </w:rPr>
              <w:t xml:space="preserve"> : « 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بح ، بر ، بس ، بف » : « أن يكون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الغَلّة » : الدخل الذي يحصل من الزرع والثمر واللبن والإجارة والنتاج ونحو ذلك. راجع : </w:t>
      </w:r>
      <w:r w:rsidR="00992664" w:rsidRPr="0012008A">
        <w:rPr>
          <w:rStyle w:val="libFootnoteBoldChar"/>
          <w:rtl/>
        </w:rPr>
        <w:t>النهاية</w:t>
      </w:r>
      <w:r w:rsidR="00992664" w:rsidRPr="00020424">
        <w:rPr>
          <w:rtl/>
        </w:rPr>
        <w:t xml:space="preserve"> ، ج 3 ، ص 381 ؛ </w:t>
      </w:r>
      <w:r w:rsidR="00992664" w:rsidRPr="00A722B1">
        <w:rPr>
          <w:rStyle w:val="libFootnoteBoldChar"/>
          <w:rtl/>
        </w:rPr>
        <w:t>القاموس المحيط</w:t>
      </w:r>
      <w:r w:rsidR="00992664" w:rsidRPr="00020424">
        <w:rPr>
          <w:rtl/>
        </w:rPr>
        <w:t xml:space="preserve"> ، ج 2 ، ص 1373 ( غلل )</w:t>
      </w:r>
      <w:r w:rsidR="00992664">
        <w:rPr>
          <w:rtl/>
        </w:rPr>
        <w:t>.</w:t>
      </w:r>
      <w:r w:rsidR="00992664" w:rsidRPr="00020424">
        <w:rPr>
          <w:rtl/>
        </w:rPr>
        <w:t xml:space="preserve"> هذا ، وفي هامش </w:t>
      </w:r>
      <w:r w:rsidR="00992664" w:rsidRPr="0012008A">
        <w:rPr>
          <w:rStyle w:val="libFootnoteBoldChar"/>
          <w:rtl/>
        </w:rPr>
        <w:t>الوافي</w:t>
      </w:r>
      <w:r w:rsidR="00355ED5">
        <w:rPr>
          <w:rtl/>
        </w:rPr>
        <w:t xml:space="preserve"> عن سلطان : « قوله : إل</w:t>
      </w:r>
      <w:r w:rsidR="00355ED5">
        <w:rPr>
          <w:rFonts w:hint="cs"/>
          <w:rtl/>
        </w:rPr>
        <w:t>ّ</w:t>
      </w:r>
      <w:r w:rsidR="00355ED5">
        <w:rPr>
          <w:rtl/>
        </w:rPr>
        <w:t>ا</w:t>
      </w:r>
      <w:r w:rsidR="00992664">
        <w:rPr>
          <w:rFonts w:hint="cs"/>
          <w:rtl/>
        </w:rPr>
        <w:t xml:space="preserve"> </w:t>
      </w:r>
      <w:r w:rsidR="00992664" w:rsidRPr="00020424">
        <w:rPr>
          <w:rtl/>
        </w:rPr>
        <w:t xml:space="preserve">أن تكون داره دار غلّة ، هذا يدلّ على أنّ المناط في استحقاق الزكاة عدم كفاية الحاصل والغلّة لا قيمة الملك ، فيجوز أخذ الزكاة إذا لم يكف حاصل الملك لقوت السنة وإن كفى قيمته لو باع. صرّح بهذه المسألة الشهيد الثاني في </w:t>
      </w:r>
      <w:r w:rsidR="00992664" w:rsidRPr="00355ED5">
        <w:rPr>
          <w:rStyle w:val="libFootnoteBoldChar"/>
          <w:rtl/>
        </w:rPr>
        <w:t>شرح اللمعة</w:t>
      </w:r>
      <w:r w:rsidR="00992664">
        <w:rPr>
          <w:rtl/>
        </w:rPr>
        <w:t>».</w:t>
      </w:r>
      <w:r w:rsidR="00992664" w:rsidRPr="00020424">
        <w:rPr>
          <w:rtl/>
        </w:rPr>
        <w:t xml:space="preserve"> وفيه أيضاً عن مراد : « المستفاد من هذا الحديث أنّ دار الغلّة أيضاً باعتبار قيمتها لايخرج المالك عن استحقاق ، ولو دلّ دليل على خلاف ذلك لأمكن حملها على ماله مانع من البيع كالوقف</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55ED5" w:rsidTr="00355ED5">
        <w:tc>
          <w:tcPr>
            <w:tcW w:w="4006" w:type="dxa"/>
          </w:tcPr>
          <w:p w:rsidR="00355ED5" w:rsidRDefault="00355ED5" w:rsidP="00992664">
            <w:pPr>
              <w:pStyle w:val="libFootnote0"/>
              <w:rPr>
                <w:rtl/>
                <w:lang w:bidi="fa-IR"/>
              </w:rPr>
            </w:pPr>
            <w:r>
              <w:rPr>
                <w:rtl/>
              </w:rPr>
              <w:t xml:space="preserve">(5). </w:t>
            </w:r>
            <w:r w:rsidRPr="00020424">
              <w:rPr>
                <w:rtl/>
              </w:rPr>
              <w:t>في « بخ » : « فتخرج</w:t>
            </w:r>
            <w:r>
              <w:rPr>
                <w:rtl/>
              </w:rPr>
              <w:t xml:space="preserve"> ».</w:t>
            </w:r>
          </w:p>
        </w:tc>
        <w:tc>
          <w:tcPr>
            <w:tcW w:w="4006" w:type="dxa"/>
          </w:tcPr>
          <w:p w:rsidR="00355ED5" w:rsidRDefault="00355ED5" w:rsidP="00992664">
            <w:pPr>
              <w:pStyle w:val="libFootnote0"/>
              <w:rPr>
                <w:rtl/>
                <w:lang w:bidi="fa-IR"/>
              </w:rPr>
            </w:pPr>
            <w:r>
              <w:rPr>
                <w:rtl/>
              </w:rPr>
              <w:t xml:space="preserve">(6). </w:t>
            </w:r>
            <w:r w:rsidRPr="00020424">
              <w:rPr>
                <w:rtl/>
              </w:rPr>
              <w:t>في « بخ ، بر ، بف »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بخ ، بر ، بف » : « تكفيه » بدل « ما يكفيه</w:t>
      </w:r>
      <w:r w:rsidR="00992664">
        <w:rPr>
          <w:rtl/>
        </w:rPr>
        <w:t xml:space="preserve"> ».</w:t>
      </w:r>
      <w:r w:rsidR="00992664" w:rsidRPr="00020424">
        <w:rPr>
          <w:rtl/>
        </w:rPr>
        <w:t xml:space="preserve"> وفي « بح » </w:t>
      </w:r>
      <w:r w:rsidR="00992664" w:rsidRPr="00515444">
        <w:rPr>
          <w:rStyle w:val="libFootnoteBoldChar"/>
          <w:rtl/>
        </w:rPr>
        <w:t>والتهذيب</w:t>
      </w:r>
      <w:r w:rsidR="00992664" w:rsidRPr="00020424">
        <w:rPr>
          <w:rtl/>
        </w:rPr>
        <w:t xml:space="preserve"> : « ما تكفيه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بف » </w:t>
      </w:r>
      <w:r w:rsidR="00992664" w:rsidRPr="00355ED5">
        <w:rPr>
          <w:rtl/>
        </w:rPr>
        <w:t>والوافي والتهذيب</w:t>
      </w:r>
      <w:r w:rsidR="00992664" w:rsidRPr="00020424">
        <w:rPr>
          <w:rtl/>
        </w:rPr>
        <w:t xml:space="preserve"> ، ص 107 :</w:t>
      </w:r>
      <w:r w:rsidR="00992664">
        <w:rPr>
          <w:rtl/>
        </w:rPr>
        <w:t xml:space="preserve"> </w:t>
      </w:r>
      <w:r w:rsidR="009B673F">
        <w:rPr>
          <w:rtl/>
        </w:rPr>
        <w:t>-</w:t>
      </w:r>
      <w:r w:rsidR="00992664">
        <w:rPr>
          <w:rtl/>
        </w:rPr>
        <w:t xml:space="preserve"> </w:t>
      </w:r>
      <w:r w:rsidR="00992664" w:rsidRPr="00020424">
        <w:rPr>
          <w:rtl/>
        </w:rPr>
        <w:t>« لنفسه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55ED5" w:rsidTr="00355ED5">
        <w:tc>
          <w:tcPr>
            <w:tcW w:w="4006" w:type="dxa"/>
          </w:tcPr>
          <w:p w:rsidR="00355ED5" w:rsidRDefault="00355ED5" w:rsidP="00992664">
            <w:pPr>
              <w:pStyle w:val="libFootnote0"/>
              <w:rPr>
                <w:rtl/>
              </w:rPr>
            </w:pPr>
            <w:r>
              <w:rPr>
                <w:rtl/>
              </w:rPr>
              <w:t xml:space="preserve">(9). </w:t>
            </w:r>
            <w:r w:rsidRPr="00020424">
              <w:rPr>
                <w:rtl/>
              </w:rPr>
              <w:t>في « بث ، بح ، بف » : « لم يكن</w:t>
            </w:r>
            <w:r>
              <w:rPr>
                <w:rtl/>
              </w:rPr>
              <w:t xml:space="preserve"> ».</w:t>
            </w:r>
          </w:p>
        </w:tc>
        <w:tc>
          <w:tcPr>
            <w:tcW w:w="4006" w:type="dxa"/>
          </w:tcPr>
          <w:p w:rsidR="00355ED5" w:rsidRDefault="00355ED5" w:rsidP="00992664">
            <w:pPr>
              <w:pStyle w:val="libFootnote0"/>
              <w:rPr>
                <w:rtl/>
              </w:rPr>
            </w:pPr>
            <w:r>
              <w:rPr>
                <w:rtl/>
              </w:rPr>
              <w:t xml:space="preserve">(10). </w:t>
            </w:r>
            <w:r w:rsidRPr="00020424">
              <w:rPr>
                <w:rtl/>
              </w:rPr>
              <w:t>في « بح » : « يكفيه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بف » </w:t>
      </w:r>
      <w:r w:rsidR="00992664" w:rsidRPr="00355ED5">
        <w:rPr>
          <w:rtl/>
        </w:rPr>
        <w:t xml:space="preserve">والوافي </w:t>
      </w:r>
      <w:r w:rsidR="00992664" w:rsidRPr="00DE3E80">
        <w:rPr>
          <w:rStyle w:val="libFootnoteBoldChar"/>
          <w:rtl/>
        </w:rPr>
        <w:t>والمقنعة</w:t>
      </w:r>
      <w:r w:rsidR="00992664" w:rsidRPr="00020424">
        <w:rPr>
          <w:rtl/>
        </w:rPr>
        <w:t xml:space="preserve"> : « ولعياله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بس » : + « وشرابهم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بث ، بح ، بخ ، بر ، بف » </w:t>
      </w:r>
      <w:r w:rsidR="00992664" w:rsidRPr="00FD6221">
        <w:rPr>
          <w:rStyle w:val="libFootnoteBoldChar"/>
          <w:rtl/>
        </w:rPr>
        <w:t>والفقيه</w:t>
      </w:r>
      <w:r w:rsidR="00992664" w:rsidRPr="00355ED5">
        <w:rPr>
          <w:rtl/>
        </w:rPr>
        <w:t xml:space="preserve"> والتهذيب</w:t>
      </w:r>
      <w:r w:rsidR="00992664" w:rsidRPr="00020424">
        <w:rPr>
          <w:rtl/>
        </w:rPr>
        <w:t xml:space="preserve"> : « في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55ED5" w:rsidTr="00355ED5">
        <w:tc>
          <w:tcPr>
            <w:tcW w:w="4006" w:type="dxa"/>
          </w:tcPr>
          <w:p w:rsidR="00355ED5" w:rsidRDefault="00355ED5" w:rsidP="00992664">
            <w:pPr>
              <w:pStyle w:val="libFootnote0"/>
              <w:rPr>
                <w:rtl/>
              </w:rPr>
            </w:pPr>
            <w:r>
              <w:rPr>
                <w:rtl/>
              </w:rPr>
              <w:t xml:space="preserve">(14). </w:t>
            </w:r>
            <w:r w:rsidRPr="00020424">
              <w:rPr>
                <w:rtl/>
              </w:rPr>
              <w:t xml:space="preserve">في « بث » </w:t>
            </w:r>
            <w:r w:rsidRPr="00FD6221">
              <w:rPr>
                <w:rStyle w:val="libFootnoteBoldChar"/>
                <w:rtl/>
              </w:rPr>
              <w:t>والفقيه</w:t>
            </w:r>
            <w:r w:rsidRPr="00355ED5">
              <w:rPr>
                <w:rtl/>
              </w:rPr>
              <w:t xml:space="preserve"> والتهذيب</w:t>
            </w:r>
            <w:r w:rsidRPr="00020424">
              <w:rPr>
                <w:rtl/>
              </w:rPr>
              <w:t xml:space="preserve"> : « وإن</w:t>
            </w:r>
            <w:r>
              <w:rPr>
                <w:rtl/>
              </w:rPr>
              <w:t xml:space="preserve"> ».</w:t>
            </w:r>
          </w:p>
        </w:tc>
        <w:tc>
          <w:tcPr>
            <w:tcW w:w="4006" w:type="dxa"/>
          </w:tcPr>
          <w:p w:rsidR="00355ED5" w:rsidRDefault="00355ED5" w:rsidP="00992664">
            <w:pPr>
              <w:pStyle w:val="libFootnote0"/>
              <w:rPr>
                <w:rtl/>
              </w:rPr>
            </w:pPr>
            <w:r>
              <w:rPr>
                <w:rtl/>
              </w:rPr>
              <w:t xml:space="preserve">(15). </w:t>
            </w:r>
            <w:r w:rsidRPr="00020424">
              <w:rPr>
                <w:rtl/>
              </w:rPr>
              <w:t>في « ظ ، ى ، بث ، بخ ، جن » : « كان</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107 ، ح 308 ، معلّقاً عن الحسين بن سعيد ، عن أخيه ، عن زرعة ، عن سماعة بن مهران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48 ، ذيل ح 127 ، بسنده عن سعيد ، عن زرعة ، عن سماعة ، من دون الإسناد إلى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أيضاً ، ص 52 ، ح 134 ، بسند آخر ، إلى قوله : « لصاحب الدار والخادم ، فقال : نعم</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263 مرسلاً ، وفي كلّ المصادر مع اختلاف يسير </w:t>
      </w:r>
      <w:r w:rsidR="00355ED5">
        <w:rPr>
          <w:rFonts w:hint="cs"/>
          <w:rtl/>
        </w:rPr>
        <w:t>.</w:t>
      </w:r>
      <w:r w:rsidR="00992664" w:rsidRPr="0012008A">
        <w:rPr>
          <w:rStyle w:val="libFootnoteBoldChar"/>
          <w:rtl/>
        </w:rPr>
        <w:t>الوافي</w:t>
      </w:r>
      <w:r w:rsidR="00992664" w:rsidRPr="00020424">
        <w:rPr>
          <w:rtl/>
        </w:rPr>
        <w:t xml:space="preserve"> ، ج 10 ، ص 167 ، ح 9357 ؛ </w:t>
      </w:r>
      <w:r w:rsidR="00992664" w:rsidRPr="0012008A">
        <w:rPr>
          <w:rStyle w:val="libFootnoteBoldChar"/>
          <w:rtl/>
        </w:rPr>
        <w:t>الوسائل</w:t>
      </w:r>
      <w:r w:rsidR="00992664" w:rsidRPr="00020424">
        <w:rPr>
          <w:rtl/>
        </w:rPr>
        <w:t xml:space="preserve"> ، ج 9 ، ص 235 ، ح 11916.</w:t>
      </w:r>
    </w:p>
    <w:p w:rsidR="00795177" w:rsidRDefault="00795177" w:rsidP="00795177">
      <w:pPr>
        <w:pStyle w:val="libNormal"/>
        <w:rPr>
          <w:rtl/>
          <w:lang w:bidi="fa-IR"/>
        </w:rPr>
      </w:pPr>
      <w:r>
        <w:rPr>
          <w:rtl/>
          <w:lang w:bidi="fa-IR"/>
        </w:rPr>
        <w:br w:type="page"/>
      </w:r>
    </w:p>
    <w:p w:rsidR="00992664" w:rsidRPr="00020424" w:rsidRDefault="00992664" w:rsidP="00355ED5">
      <w:pPr>
        <w:pStyle w:val="libNormal0"/>
        <w:rPr>
          <w:rtl/>
          <w:lang w:bidi="fa-IR"/>
        </w:rPr>
      </w:pPr>
      <w:r w:rsidRPr="00020424">
        <w:rPr>
          <w:rtl/>
          <w:lang w:bidi="fa-IR"/>
        </w:rPr>
        <w:lastRenderedPageBreak/>
        <w:t>الرَّحْمنِ بْنِ الْحَجَّاجِ :</w:t>
      </w:r>
    </w:p>
    <w:p w:rsidR="00992664" w:rsidRPr="00020424" w:rsidRDefault="00992664" w:rsidP="00992664">
      <w:pPr>
        <w:pStyle w:val="libNormal"/>
        <w:rPr>
          <w:rtl/>
          <w:lang w:bidi="fa-IR"/>
        </w:rPr>
      </w:pPr>
      <w:r w:rsidRPr="00020424">
        <w:rPr>
          <w:rtl/>
          <w:lang w:bidi="fa-IR"/>
        </w:rPr>
        <w:t xml:space="preserve">عَنْ أَبِي الْحَسَنِ الْأَوَّلِ </w:t>
      </w:r>
      <w:r w:rsidRPr="00005A81">
        <w:rPr>
          <w:rStyle w:val="libAlaemChar"/>
          <w:rtl/>
        </w:rPr>
        <w:t>عليه‌السلام</w:t>
      </w:r>
      <w:r w:rsidRPr="00020424">
        <w:rPr>
          <w:rtl/>
          <w:lang w:bidi="fa-IR"/>
        </w:rPr>
        <w:t xml:space="preserve"> ، قَالَ : سَأَلْتُهُ عَنِ الرَّجُلِ يَكُونُ أَبُوهُ أَوْ عَمُّهُ أَوْ أَخُوهُ يَكْفِيهِ مَؤ</w:t>
      </w:r>
      <w:r>
        <w:rPr>
          <w:rtl/>
          <w:lang w:bidi="fa-IR"/>
        </w:rPr>
        <w:t>ُونَتَهُ ، أَ</w:t>
      </w:r>
      <w:r w:rsidRPr="00020424">
        <w:rPr>
          <w:rtl/>
          <w:lang w:bidi="fa-IR"/>
        </w:rPr>
        <w:t>يَأْخُذُ مِنَ الزَّكَاةِ ، فَيَتَوَسَّعَ بِهِ إِنْ كَانُوا لَايُوَسِّعُونَ عَلَيْهِ فِي كُلِّ مَا يَحْتَاجُ إِلَيْهِ</w:t>
      </w:r>
      <w:r>
        <w:rPr>
          <w:rtl/>
          <w:lang w:bidi="fa-IR"/>
        </w:rPr>
        <w:t>؟</w:t>
      </w:r>
    </w:p>
    <w:p w:rsidR="00992664" w:rsidRPr="00020424" w:rsidRDefault="00992664" w:rsidP="00992664">
      <w:pPr>
        <w:pStyle w:val="libNormal"/>
        <w:rPr>
          <w:rtl/>
          <w:lang w:bidi="fa-IR"/>
        </w:rPr>
      </w:pPr>
      <w:r w:rsidRPr="00020424">
        <w:rPr>
          <w:rtl/>
          <w:lang w:bidi="fa-IR"/>
        </w:rPr>
        <w:t>فَقَالَ : « لَا بَأْسَ</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7D116F">
        <w:rPr>
          <w:rtl/>
        </w:rPr>
        <w:t>5970</w:t>
      </w:r>
      <w:r w:rsidRPr="001155DE">
        <w:rPr>
          <w:rStyle w:val="libBold2Char"/>
          <w:rtl/>
        </w:rPr>
        <w:t xml:space="preserve"> / 6.</w:t>
      </w:r>
      <w:r w:rsidRPr="00020424">
        <w:rPr>
          <w:rtl/>
          <w:lang w:bidi="fa-IR"/>
        </w:rPr>
        <w:t xml:space="preserve"> صَفْوَانُ بْنُ يَحْيى </w:t>
      </w:r>
      <w:r w:rsidRPr="00A91B96">
        <w:rPr>
          <w:rStyle w:val="libFootnotenumChar"/>
          <w:rtl/>
        </w:rPr>
        <w:t>(2)</w:t>
      </w:r>
      <w:r w:rsidRPr="00020424">
        <w:rPr>
          <w:rtl/>
          <w:lang w:bidi="fa-IR"/>
        </w:rPr>
        <w:t xml:space="preserve"> ، عَنْ مُعَاوِيَةَ بْنِ وَهْبٍ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يَكُونُ </w:t>
      </w:r>
      <w:r w:rsidRPr="00A91B96">
        <w:rPr>
          <w:rStyle w:val="libFootnotenumChar"/>
          <w:rtl/>
        </w:rPr>
        <w:t>(3)</w:t>
      </w:r>
      <w:r w:rsidRPr="00020424">
        <w:rPr>
          <w:rtl/>
          <w:lang w:bidi="fa-IR"/>
        </w:rPr>
        <w:t xml:space="preserve"> لَهُ ثَلَاثُمِائَةِ دِرْهَمٍ أَوْ أَرْبَعُمِائَةِ دِرْهَمٍ وَلَهُ عِيَالٌ وَهُوَ يَحْتَرِفُ </w:t>
      </w:r>
      <w:r w:rsidRPr="00A91B96">
        <w:rPr>
          <w:rStyle w:val="libFootnotenumChar"/>
          <w:rtl/>
        </w:rPr>
        <w:t>(4)</w:t>
      </w:r>
      <w:r w:rsidRPr="00020424">
        <w:rPr>
          <w:rtl/>
          <w:lang w:bidi="fa-IR"/>
        </w:rPr>
        <w:t xml:space="preserve"> ، فَلَا</w:t>
      </w:r>
      <w:r>
        <w:rPr>
          <w:rtl/>
          <w:lang w:bidi="fa-IR"/>
        </w:rPr>
        <w:t xml:space="preserve"> يُصِيبُ نَفَقَتَهُ فِيهَا ، أَ</w:t>
      </w:r>
      <w:r w:rsidRPr="00020424">
        <w:rPr>
          <w:rtl/>
          <w:lang w:bidi="fa-IR"/>
        </w:rPr>
        <w:t xml:space="preserve">يُكِبُّ </w:t>
      </w:r>
      <w:r w:rsidRPr="00A91B96">
        <w:rPr>
          <w:rStyle w:val="libFootnotenumChar"/>
          <w:rtl/>
        </w:rPr>
        <w:t>(5)</w:t>
      </w:r>
      <w:r w:rsidRPr="00020424">
        <w:rPr>
          <w:rtl/>
          <w:lang w:bidi="fa-IR"/>
        </w:rPr>
        <w:t xml:space="preserve"> فَيَأْكُلَهَا وَلَايَأْخُذَ الزَّكَاةَ ، أَوْ يَأْخُذُ الزَّكَاةَ</w:t>
      </w:r>
      <w:r>
        <w:rPr>
          <w:rtl/>
          <w:lang w:bidi="fa-IR"/>
        </w:rPr>
        <w:t>؟</w:t>
      </w:r>
    </w:p>
    <w:p w:rsidR="00992664" w:rsidRPr="00020424" w:rsidRDefault="00992664" w:rsidP="00992664">
      <w:pPr>
        <w:pStyle w:val="libNormal"/>
        <w:rPr>
          <w:rtl/>
          <w:lang w:bidi="fa-IR"/>
        </w:rPr>
      </w:pPr>
      <w:r w:rsidRPr="00020424">
        <w:rPr>
          <w:rtl/>
          <w:lang w:bidi="fa-IR"/>
        </w:rPr>
        <w:t xml:space="preserve">قَالَ : « لَا ، بَلْ يَنْظُرُ إِلى فَضْلِهَا ، فَيَقُوتُ بِهَا نَفْسَهُ </w:t>
      </w:r>
      <w:r w:rsidRPr="00A91B96">
        <w:rPr>
          <w:rStyle w:val="libFootnotenumChar"/>
          <w:rtl/>
        </w:rPr>
        <w:t>(6)</w:t>
      </w:r>
      <w:r w:rsidRPr="00020424">
        <w:rPr>
          <w:rtl/>
          <w:lang w:bidi="fa-IR"/>
        </w:rPr>
        <w:t xml:space="preserve"> وَمَنْ وَسِعَهُ ذلِكَ مِنْ عِيَالِهِ ، وَيَأْخُذُ الْبَقِيَّةَ مِنَ الزَّكَاةِ ، وَيَتَصَرَّفُ </w:t>
      </w:r>
      <w:r w:rsidRPr="00A91B96">
        <w:rPr>
          <w:rStyle w:val="libFootnotenumChar"/>
          <w:rtl/>
        </w:rPr>
        <w:t>(7)</w:t>
      </w:r>
      <w:r w:rsidRPr="00020424">
        <w:rPr>
          <w:rtl/>
          <w:lang w:bidi="fa-IR"/>
        </w:rPr>
        <w:t xml:space="preserve"> بِهذِهِ </w:t>
      </w:r>
      <w:r w:rsidRPr="00A91B96">
        <w:rPr>
          <w:rStyle w:val="libFootnotenumChar"/>
          <w:rtl/>
        </w:rPr>
        <w:t>(8)</w:t>
      </w:r>
      <w:r w:rsidRPr="00020424">
        <w:rPr>
          <w:rtl/>
          <w:lang w:bidi="fa-IR"/>
        </w:rPr>
        <w:t xml:space="preserve"> لَايُنْفِقُهَا</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7D116F">
        <w:rPr>
          <w:rtl/>
        </w:rPr>
        <w:t>5971</w:t>
      </w:r>
      <w:r w:rsidRPr="001155DE">
        <w:rPr>
          <w:rStyle w:val="libBold2Char"/>
          <w:rtl/>
        </w:rPr>
        <w:t xml:space="preserve"> / 7.</w:t>
      </w:r>
      <w:r w:rsidRPr="00020424">
        <w:rPr>
          <w:rtl/>
          <w:lang w:bidi="fa-IR"/>
        </w:rPr>
        <w:t xml:space="preserve"> عَلِيُّ بْنُ إِبْرَاهِيمَ ، عَنْ أَبِيهِ ، عَنِ ابْنِ أَبِي عُمَيْرٍ ، عَنْ عُمَرَ </w:t>
      </w:r>
      <w:r w:rsidRPr="00A91B96">
        <w:rPr>
          <w:rStyle w:val="libFootnotenumChar"/>
          <w:rtl/>
        </w:rPr>
        <w:t>(10)</w:t>
      </w:r>
      <w:r w:rsidRPr="00020424">
        <w:rPr>
          <w:rtl/>
          <w:lang w:bidi="fa-IR"/>
        </w:rPr>
        <w:t xml:space="preserve"> بْنِ أُذَيْنَةَ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108 ، ح 310 ، معلّقاً عن الكليني. </w:t>
      </w:r>
      <w:r w:rsidR="00992664" w:rsidRPr="0012008A">
        <w:rPr>
          <w:rStyle w:val="libFootnoteBoldChar"/>
          <w:rtl/>
        </w:rPr>
        <w:t>المقنعة</w:t>
      </w:r>
      <w:r w:rsidR="00992664" w:rsidRPr="00020424">
        <w:rPr>
          <w:rtl/>
        </w:rPr>
        <w:t xml:space="preserve"> ، ص 264 ، مرسلاً </w:t>
      </w:r>
      <w:r w:rsidR="00762C1C">
        <w:rPr>
          <w:rFonts w:hint="cs"/>
          <w:rtl/>
        </w:rPr>
        <w:t>.</w:t>
      </w:r>
      <w:r w:rsidR="00992664" w:rsidRPr="0012008A">
        <w:rPr>
          <w:rStyle w:val="libFootnoteBoldChar"/>
          <w:rtl/>
        </w:rPr>
        <w:t>الوافي</w:t>
      </w:r>
      <w:r w:rsidR="00992664" w:rsidRPr="00020424">
        <w:rPr>
          <w:rtl/>
        </w:rPr>
        <w:t xml:space="preserve"> ، ج 10 ، ص 170 ، ح 9362 ؛ </w:t>
      </w:r>
      <w:r w:rsidR="00992664" w:rsidRPr="0012008A">
        <w:rPr>
          <w:rStyle w:val="libFootnoteBoldChar"/>
          <w:rtl/>
        </w:rPr>
        <w:t>الوسائل</w:t>
      </w:r>
      <w:r w:rsidR="00992664" w:rsidRPr="00020424">
        <w:rPr>
          <w:rtl/>
        </w:rPr>
        <w:t xml:space="preserve"> ، ج 9 ، ص 238 ، ح 11922.</w:t>
      </w:r>
    </w:p>
    <w:p w:rsidR="00992664" w:rsidRPr="00020424" w:rsidRDefault="00795177" w:rsidP="00762C1C">
      <w:pPr>
        <w:pStyle w:val="libFootnote0"/>
        <w:rPr>
          <w:rtl/>
          <w:lang w:bidi="fa-IR"/>
        </w:rPr>
      </w:pPr>
      <w:r>
        <w:rPr>
          <w:rtl/>
        </w:rPr>
        <w:t>(2).</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r w:rsidR="00992664" w:rsidRPr="00020424">
        <w:rPr>
          <w:rtl/>
        </w:rPr>
        <w:t xml:space="preserve"> والسند معلّق على سابقه. ويروي عن صفوان بن يحيى ، محمّد بن يحيى عن محمّد بن الحسين.</w:t>
      </w:r>
      <w:r w:rsidR="00762C1C">
        <w:rPr>
          <w:rFonts w:hint="cs"/>
          <w:rtl/>
        </w:rPr>
        <w:t xml:space="preserve">                                             </w:t>
      </w:r>
      <w:r>
        <w:rPr>
          <w:rtl/>
        </w:rPr>
        <w:t>(3).</w:t>
      </w:r>
      <w:r w:rsidR="0014403D">
        <w:rPr>
          <w:rtl/>
        </w:rPr>
        <w:t xml:space="preserve"> </w:t>
      </w:r>
      <w:r w:rsidR="00992664" w:rsidRPr="00020424">
        <w:rPr>
          <w:rtl/>
        </w:rPr>
        <w:t xml:space="preserve">في </w:t>
      </w:r>
      <w:r w:rsidR="00992664" w:rsidRPr="00762C1C">
        <w:rPr>
          <w:rtl/>
        </w:rPr>
        <w:t>الوافي</w:t>
      </w:r>
      <w:r w:rsidR="00992664" w:rsidRPr="00020424">
        <w:rPr>
          <w:rtl/>
        </w:rPr>
        <w:t xml:space="preserve"> : « تكون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يقال : هو يحترف لعياله ، ويحرف ، أي يكتسب. </w:t>
      </w:r>
      <w:r w:rsidR="00992664" w:rsidRPr="0012008A">
        <w:rPr>
          <w:rStyle w:val="libFootnoteBoldChar"/>
          <w:rtl/>
        </w:rPr>
        <w:t>النهاية</w:t>
      </w:r>
      <w:r w:rsidR="00992664" w:rsidRPr="00020424">
        <w:rPr>
          <w:rtl/>
        </w:rPr>
        <w:t xml:space="preserve"> ، ج 1 ، ص 369 ( حرف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 « أيكتسب</w:t>
      </w:r>
      <w:r w:rsidR="00992664">
        <w:rPr>
          <w:rtl/>
        </w:rPr>
        <w:t xml:space="preserve"> ».</w:t>
      </w:r>
      <w:r w:rsidR="00992664" w:rsidRPr="00020424">
        <w:rPr>
          <w:rtl/>
        </w:rPr>
        <w:t xml:space="preserve"> والإكباب : الإقبال واللزوم ، يقال : أكبّ على الشي‌ء ، أي أقبل عليه يفعله ولزمه. راجع : </w:t>
      </w:r>
      <w:r w:rsidR="00992664" w:rsidRPr="0012008A">
        <w:rPr>
          <w:rStyle w:val="libFootnoteBoldChar"/>
          <w:rtl/>
        </w:rPr>
        <w:t>الصحاح</w:t>
      </w:r>
      <w:r w:rsidR="00992664" w:rsidRPr="00020424">
        <w:rPr>
          <w:rtl/>
        </w:rPr>
        <w:t xml:space="preserve"> ، ج 1 ، ص 208 ؛ </w:t>
      </w:r>
      <w:r w:rsidR="00992664" w:rsidRPr="00A722B1">
        <w:rPr>
          <w:rStyle w:val="libFootnoteBoldChar"/>
          <w:rtl/>
        </w:rPr>
        <w:t>لسان العرب</w:t>
      </w:r>
      <w:r w:rsidR="00992664" w:rsidRPr="00020424">
        <w:rPr>
          <w:rtl/>
        </w:rPr>
        <w:t xml:space="preserve"> ، ج 1 ، ص 695 ( كبب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فيقوت بها نفسه » ، أي يحفظ ، يقال : قُتُّ الرجلَ أقوته قَوْتاً ، إذا حفظتَ نَفْسَهُ بما يقوته ، وأعلته برزق قليل ، وأعطيته قوتاً. والقُوت : اسم الشي‌ء الذي يحفظ نَفْسَهُ ، وما يمسك الرمق من الرزق. راجع : </w:t>
      </w:r>
      <w:r w:rsidR="00992664" w:rsidRPr="00A722B1">
        <w:rPr>
          <w:rStyle w:val="libFootnoteBoldChar"/>
          <w:rtl/>
        </w:rPr>
        <w:t>لسان العرب</w:t>
      </w:r>
      <w:r w:rsidR="00992664" w:rsidRPr="00020424">
        <w:rPr>
          <w:rtl/>
        </w:rPr>
        <w:t xml:space="preserve"> ، ج 2 ، ص 74 و75 ؛ </w:t>
      </w:r>
      <w:r w:rsidR="00992664" w:rsidRPr="00A722B1">
        <w:rPr>
          <w:rStyle w:val="libFootnoteBoldChar"/>
          <w:rtl/>
        </w:rPr>
        <w:t>المصباح المنير</w:t>
      </w:r>
      <w:r w:rsidR="00992664" w:rsidRPr="00020424">
        <w:rPr>
          <w:rtl/>
        </w:rPr>
        <w:t xml:space="preserve"> ، ص 518 ( قوت )</w:t>
      </w:r>
      <w:r w:rsidR="00992664">
        <w:rPr>
          <w:rtl/>
        </w:rPr>
        <w:t>.</w:t>
      </w:r>
    </w:p>
    <w:tbl>
      <w:tblPr>
        <w:tblStyle w:val="TableGrid"/>
        <w:bidiVisual/>
        <w:tblW w:w="0" w:type="auto"/>
        <w:tblLook w:val="04A0" w:firstRow="1" w:lastRow="0" w:firstColumn="1" w:lastColumn="0" w:noHBand="0" w:noVBand="1"/>
      </w:tblPr>
      <w:tblGrid>
        <w:gridCol w:w="4006"/>
        <w:gridCol w:w="4006"/>
      </w:tblGrid>
      <w:tr w:rsidR="00762C1C" w:rsidTr="00762C1C">
        <w:tc>
          <w:tcPr>
            <w:tcW w:w="4006" w:type="dxa"/>
          </w:tcPr>
          <w:p w:rsidR="00762C1C" w:rsidRDefault="00762C1C" w:rsidP="00992664">
            <w:pPr>
              <w:pStyle w:val="libFootnote0"/>
              <w:rPr>
                <w:rtl/>
              </w:rPr>
            </w:pPr>
            <w:r>
              <w:rPr>
                <w:rtl/>
              </w:rPr>
              <w:t xml:space="preserve">(7). </w:t>
            </w:r>
            <w:r w:rsidRPr="00020424">
              <w:rPr>
                <w:rtl/>
              </w:rPr>
              <w:t>في « ي ، بح ، بخ » : « وينصرف</w:t>
            </w:r>
            <w:r>
              <w:rPr>
                <w:rtl/>
              </w:rPr>
              <w:t xml:space="preserve"> ».</w:t>
            </w:r>
          </w:p>
        </w:tc>
        <w:tc>
          <w:tcPr>
            <w:tcW w:w="4006" w:type="dxa"/>
          </w:tcPr>
          <w:p w:rsidR="00762C1C" w:rsidRDefault="00762C1C" w:rsidP="00992664">
            <w:pPr>
              <w:pStyle w:val="libFootnote0"/>
              <w:rPr>
                <w:rtl/>
              </w:rPr>
            </w:pPr>
            <w:r>
              <w:rPr>
                <w:rtl/>
              </w:rPr>
              <w:t xml:space="preserve">(8). </w:t>
            </w:r>
            <w:r w:rsidRPr="00020424">
              <w:rPr>
                <w:rtl/>
              </w:rPr>
              <w:t xml:space="preserve">في « بخ ، بر ، بف » </w:t>
            </w:r>
            <w:r w:rsidRPr="00762C1C">
              <w:rPr>
                <w:rtl/>
              </w:rPr>
              <w:t>والوافي</w:t>
            </w:r>
            <w:r w:rsidRPr="00020424">
              <w:rPr>
                <w:rtl/>
              </w:rPr>
              <w:t xml:space="preserve"> : « بها</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171 ، ح 9363 ؛ </w:t>
      </w:r>
      <w:r w:rsidR="00992664" w:rsidRPr="0012008A">
        <w:rPr>
          <w:rStyle w:val="libFootnoteBoldChar"/>
          <w:rtl/>
        </w:rPr>
        <w:t>الوسائل</w:t>
      </w:r>
      <w:r w:rsidR="00992664" w:rsidRPr="00020424">
        <w:rPr>
          <w:rtl/>
        </w:rPr>
        <w:t xml:space="preserve"> ، ج 9 ، ص 238 ، ح 11923.</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بخ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عمر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762C1C">
      <w:pPr>
        <w:pStyle w:val="libNormal0"/>
        <w:rPr>
          <w:rtl/>
          <w:lang w:bidi="fa-IR"/>
        </w:rPr>
      </w:pPr>
      <w:r w:rsidRPr="00020424">
        <w:rPr>
          <w:rtl/>
          <w:lang w:bidi="fa-IR"/>
        </w:rPr>
        <w:lastRenderedPageBreak/>
        <w:t>غَيْرِ وَاحِدٍ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أَنَّهُمَا سُئِلَا عَنِ الرَّجُلِ لَهُ دَارٌ وَخَادِمٌ </w:t>
      </w:r>
      <w:r w:rsidRPr="00A91B96">
        <w:rPr>
          <w:rStyle w:val="libFootnotenumChar"/>
          <w:rtl/>
        </w:rPr>
        <w:t>(1)</w:t>
      </w:r>
      <w:r w:rsidRPr="00020424">
        <w:rPr>
          <w:rtl/>
          <w:lang w:bidi="fa-IR"/>
        </w:rPr>
        <w:t xml:space="preserve"> ، أَوْ عَبْدٌ </w:t>
      </w:r>
      <w:r w:rsidRPr="00A91B96">
        <w:rPr>
          <w:rStyle w:val="libFootnotenumChar"/>
          <w:rtl/>
        </w:rPr>
        <w:t>(2)</w:t>
      </w:r>
      <w:r>
        <w:rPr>
          <w:rtl/>
          <w:lang w:bidi="fa-IR"/>
        </w:rPr>
        <w:t xml:space="preserve"> ، أَ</w:t>
      </w:r>
      <w:r w:rsidRPr="00020424">
        <w:rPr>
          <w:rtl/>
          <w:lang w:bidi="fa-IR"/>
        </w:rPr>
        <w:t xml:space="preserve">يَقْبَلُ </w:t>
      </w:r>
      <w:r w:rsidRPr="00A91B96">
        <w:rPr>
          <w:rStyle w:val="libFootnotenumChar"/>
          <w:rtl/>
        </w:rPr>
        <w:t>(3)</w:t>
      </w:r>
      <w:r w:rsidRPr="00020424">
        <w:rPr>
          <w:rtl/>
          <w:lang w:bidi="fa-IR"/>
        </w:rPr>
        <w:t xml:space="preserve"> الزَّكَاةَ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نَعَمْ ، إِنَّ الدَّارَ وَالْخَادِمَ لَيْسَتَا </w:t>
      </w:r>
      <w:r w:rsidRPr="00A91B96">
        <w:rPr>
          <w:rStyle w:val="libFootnotenumChar"/>
          <w:rtl/>
        </w:rPr>
        <w:t>(5)</w:t>
      </w:r>
      <w:r w:rsidRPr="00020424">
        <w:rPr>
          <w:rtl/>
          <w:lang w:bidi="fa-IR"/>
        </w:rPr>
        <w:t xml:space="preserve"> بِمَالٍ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7D116F">
        <w:rPr>
          <w:rtl/>
        </w:rPr>
        <w:t>5972</w:t>
      </w:r>
      <w:r w:rsidRPr="001155DE">
        <w:rPr>
          <w:rStyle w:val="libBold2Char"/>
          <w:rtl/>
        </w:rPr>
        <w:t xml:space="preserve"> / 8.</w:t>
      </w:r>
      <w:r w:rsidRPr="00020424">
        <w:rPr>
          <w:rtl/>
          <w:lang w:bidi="fa-IR"/>
        </w:rPr>
        <w:t xml:space="preserve"> أَحْمَدُ بْنُ إِدْرِيسَ ، عَنْ مُحَمَّدِ بْنِ عَبْدِ الْجَبَّارِ ، عَنْ صَفْوَانَ بْنِ يَحْيى ، عَنْ إِسْحَاقَ بْنِ عَمَّارٍ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لَهُ ثَمَانُمِائَةِ </w:t>
      </w:r>
      <w:r w:rsidRPr="00A91B96">
        <w:rPr>
          <w:rStyle w:val="libFootnotenumChar"/>
          <w:rtl/>
        </w:rPr>
        <w:t>(8)</w:t>
      </w:r>
      <w:r w:rsidRPr="00020424">
        <w:rPr>
          <w:rtl/>
          <w:lang w:bidi="fa-IR"/>
        </w:rPr>
        <w:t xml:space="preserve"> دِرْهَمٍ ، وَلِابْنٍ لَهُ مِائَتَا دِرْهَمٍ ، وَلَهُ عَشْرٌ </w:t>
      </w:r>
      <w:r w:rsidRPr="00A91B96">
        <w:rPr>
          <w:rStyle w:val="libFootnotenumChar"/>
          <w:rtl/>
        </w:rPr>
        <w:t>(9)</w:t>
      </w:r>
      <w:r w:rsidRPr="00020424">
        <w:rPr>
          <w:rtl/>
          <w:lang w:bidi="fa-IR"/>
        </w:rPr>
        <w:t xml:space="preserve"> مِنَ الْعِيَالِ وَهُوَ يَقُوتُهُمْ فِيهَا </w:t>
      </w:r>
      <w:r w:rsidRPr="00A91B96">
        <w:rPr>
          <w:rStyle w:val="libFootnotenumChar"/>
          <w:rtl/>
        </w:rPr>
        <w:t>(10)</w:t>
      </w:r>
      <w:r w:rsidRPr="00020424">
        <w:rPr>
          <w:rtl/>
          <w:lang w:bidi="fa-IR"/>
        </w:rPr>
        <w:t xml:space="preserve"> قُوتاً شَدِيداً </w:t>
      </w:r>
      <w:r w:rsidRPr="00A91B96">
        <w:rPr>
          <w:rStyle w:val="libFootnotenumChar"/>
          <w:rtl/>
        </w:rPr>
        <w:t>(11)</w:t>
      </w:r>
      <w:r w:rsidRPr="00020424">
        <w:rPr>
          <w:rtl/>
          <w:lang w:bidi="fa-IR"/>
        </w:rPr>
        <w:t xml:space="preserve"> ، وَلَيْسَ </w:t>
      </w:r>
      <w:r w:rsidRPr="00A91B96">
        <w:rPr>
          <w:rStyle w:val="libFootnotenumChar"/>
          <w:rtl/>
        </w:rPr>
        <w:t>(12)</w:t>
      </w:r>
      <w:r w:rsidRPr="00020424">
        <w:rPr>
          <w:rtl/>
          <w:lang w:bidi="fa-IR"/>
        </w:rPr>
        <w:t xml:space="preserve"> لَهُ حِرْفَةٌ بِيَدِهِ ، وَإِنَّمَا </w:t>
      </w:r>
      <w:r w:rsidRPr="00A91B96">
        <w:rPr>
          <w:rStyle w:val="libFootnotenumChar"/>
          <w:rtl/>
        </w:rPr>
        <w:t>(13)</w:t>
      </w:r>
      <w:r w:rsidRPr="00020424">
        <w:rPr>
          <w:rtl/>
          <w:lang w:bidi="fa-IR"/>
        </w:rPr>
        <w:t xml:space="preserve"> يَسْتَبْضِعُهَا </w:t>
      </w:r>
      <w:r w:rsidRPr="00A91B96">
        <w:rPr>
          <w:rStyle w:val="libFootnotenumChar"/>
          <w:rtl/>
        </w:rPr>
        <w:t>(14)</w:t>
      </w:r>
      <w:r w:rsidRPr="00020424">
        <w:rPr>
          <w:rtl/>
          <w:lang w:bidi="fa-IR"/>
        </w:rPr>
        <w:t xml:space="preserve"> ، فَتَغِيبُ </w:t>
      </w:r>
      <w:r w:rsidRPr="00A91B96">
        <w:rPr>
          <w:rStyle w:val="libFootnotenumChar"/>
          <w:rtl/>
        </w:rPr>
        <w:t>(15)</w:t>
      </w:r>
      <w:r w:rsidRPr="00020424">
        <w:rPr>
          <w:rtl/>
          <w:lang w:bidi="fa-IR"/>
        </w:rPr>
        <w:t xml:space="preserve"> عَنْهُ الْأَشْهُرَ ، ثُم</w:t>
      </w:r>
      <w:r>
        <w:rPr>
          <w:rtl/>
          <w:lang w:bidi="fa-IR"/>
        </w:rPr>
        <w:t>َّ يَأْكُلُ مِنْ فَضْلِهَا ، أَ</w:t>
      </w:r>
      <w:r w:rsidRPr="00020424">
        <w:rPr>
          <w:rtl/>
          <w:lang w:bidi="fa-IR"/>
        </w:rPr>
        <w:t xml:space="preserve">تَرى </w:t>
      </w:r>
      <w:r w:rsidRPr="00A91B96">
        <w:rPr>
          <w:rStyle w:val="libFootnotenumChar"/>
          <w:rtl/>
        </w:rPr>
        <w:t>(16)</w:t>
      </w:r>
      <w:r w:rsidRPr="00020424">
        <w:rPr>
          <w:rtl/>
          <w:lang w:bidi="fa-IR"/>
        </w:rPr>
        <w:t xml:space="preserve"> لَهُ إِذَا حَضَرَتِ الزَّكَاةُ‌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بف ، جن » : « أو خادم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بح ، بر » </w:t>
      </w:r>
      <w:r w:rsidR="00992664" w:rsidRPr="004D4B4B">
        <w:rPr>
          <w:rtl/>
        </w:rPr>
        <w:t xml:space="preserve">والوافي </w:t>
      </w:r>
      <w:r w:rsidR="00992664" w:rsidRPr="00FD6221">
        <w:rPr>
          <w:rStyle w:val="libFootnoteBoldChar"/>
          <w:rtl/>
        </w:rPr>
        <w:t>والفقيه</w:t>
      </w:r>
      <w:r w:rsidR="00992664" w:rsidRPr="004D4B4B">
        <w:rPr>
          <w:rtl/>
        </w:rPr>
        <w:t xml:space="preserve"> والتهذيب</w:t>
      </w:r>
      <w:r w:rsidR="00992664" w:rsidRPr="00020424">
        <w:rPr>
          <w:rtl/>
        </w:rPr>
        <w:t xml:space="preserve"> : « وعبد</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w:t>
      </w:r>
      <w:r w:rsidR="00992664">
        <w:rPr>
          <w:rtl/>
        </w:rPr>
        <w:t xml:space="preserve"> أ</w:t>
      </w:r>
      <w:r w:rsidR="00992664" w:rsidRPr="00020424">
        <w:rPr>
          <w:rtl/>
        </w:rPr>
        <w:t>تقبل</w:t>
      </w:r>
      <w:r w:rsidR="00992664">
        <w:rPr>
          <w:rtl/>
        </w:rPr>
        <w:t xml:space="preserve"> ».</w:t>
      </w:r>
      <w:r w:rsidR="00992664" w:rsidRPr="00020424">
        <w:rPr>
          <w:rtl/>
        </w:rPr>
        <w:t xml:space="preserve"> وفي « جن » </w:t>
      </w:r>
      <w:r w:rsidR="00992664" w:rsidRPr="004D4B4B">
        <w:rPr>
          <w:rtl/>
        </w:rPr>
        <w:t>والتهذيب</w:t>
      </w:r>
      <w:r w:rsidR="00992664" w:rsidRPr="00020424">
        <w:rPr>
          <w:rtl/>
        </w:rPr>
        <w:t xml:space="preserve"> : « يقبل » بدون همزة الاستفهام.</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4D4B4B">
        <w:rPr>
          <w:rtl/>
        </w:rPr>
        <w:t>الوافي والتهذيب</w:t>
      </w:r>
      <w:r w:rsidR="00992664" w:rsidRPr="00020424">
        <w:rPr>
          <w:rtl/>
        </w:rPr>
        <w:t xml:space="preserve"> : « فقالا</w:t>
      </w:r>
      <w:r w:rsidR="00992664">
        <w:rPr>
          <w:rtl/>
        </w:rPr>
        <w:t xml:space="preserve"> ».</w:t>
      </w:r>
      <w:r w:rsidR="00992664" w:rsidRPr="00020424">
        <w:rPr>
          <w:rtl/>
        </w:rPr>
        <w:t xml:space="preserve"> وفي </w:t>
      </w:r>
      <w:r w:rsidR="00992664" w:rsidRPr="004D4B4B">
        <w:rPr>
          <w:rtl/>
        </w:rPr>
        <w:t xml:space="preserve">الوسائل </w:t>
      </w:r>
      <w:r w:rsidR="00992664" w:rsidRPr="00FD6221">
        <w:rPr>
          <w:rStyle w:val="libFootnoteBoldChar"/>
          <w:rtl/>
        </w:rPr>
        <w:t>والفقيه</w:t>
      </w:r>
      <w:r w:rsidR="00992664" w:rsidRPr="00020424">
        <w:rPr>
          <w:rtl/>
        </w:rPr>
        <w:t xml:space="preserve"> : « قالا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بخ ، بر ، بس ، بف » </w:t>
      </w:r>
      <w:r w:rsidR="00992664" w:rsidRPr="00EB1FD9">
        <w:rPr>
          <w:rStyle w:val="libFootnoteBoldChar"/>
          <w:rtl/>
        </w:rPr>
        <w:t>والوسائل</w:t>
      </w:r>
      <w:r w:rsidR="00992664" w:rsidRPr="00020424">
        <w:rPr>
          <w:rtl/>
        </w:rPr>
        <w:t xml:space="preserve"> : « ليسا</w:t>
      </w:r>
      <w:r w:rsidR="00992664">
        <w:rPr>
          <w:rtl/>
        </w:rPr>
        <w:t xml:space="preserve"> ».</w:t>
      </w:r>
      <w:r w:rsidR="00992664" w:rsidRPr="00020424">
        <w:rPr>
          <w:rtl/>
        </w:rPr>
        <w:t xml:space="preserve"> وفي « جن » : « ليست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4D4B4B">
        <w:rPr>
          <w:rtl/>
        </w:rPr>
        <w:t>التهذيب</w:t>
      </w:r>
      <w:r w:rsidR="00992664" w:rsidRPr="00020424">
        <w:rPr>
          <w:rtl/>
        </w:rPr>
        <w:t xml:space="preserve"> : « بملك</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51 ، ح 133 ، بسنده عن عمر بن ا</w:t>
      </w:r>
      <w:r w:rsidR="004D4B4B">
        <w:rPr>
          <w:rFonts w:hint="cs"/>
          <w:rtl/>
        </w:rPr>
        <w:t>ُ</w:t>
      </w:r>
      <w:r w:rsidR="00992664" w:rsidRPr="00020424">
        <w:rPr>
          <w:rtl/>
        </w:rPr>
        <w:t xml:space="preserve">ذينة. </w:t>
      </w:r>
      <w:r w:rsidR="00992664" w:rsidRPr="0012008A">
        <w:rPr>
          <w:rStyle w:val="libFootnoteBoldChar"/>
          <w:rtl/>
        </w:rPr>
        <w:t>الفقيه</w:t>
      </w:r>
      <w:r w:rsidR="00992664" w:rsidRPr="00020424">
        <w:rPr>
          <w:rtl/>
        </w:rPr>
        <w:t xml:space="preserve"> ، ج 2 ، ص 33 ، ح 1627 ، مرسلاً عن أبي جعفر وأبي عبدالله </w:t>
      </w:r>
      <w:r w:rsidR="00D64ADA" w:rsidRPr="00D64ADA">
        <w:rPr>
          <w:rStyle w:val="libFootnoteAlaemChar"/>
          <w:rtl/>
        </w:rPr>
        <w:t>عليهما‌السلام</w:t>
      </w:r>
      <w:r w:rsidR="00992664" w:rsidRPr="00020424">
        <w:rPr>
          <w:rtl/>
        </w:rPr>
        <w:t xml:space="preserve"> </w:t>
      </w:r>
      <w:r w:rsidR="004D4B4B">
        <w:rPr>
          <w:rFonts w:hint="cs"/>
          <w:rtl/>
        </w:rPr>
        <w:t>.</w:t>
      </w:r>
      <w:r w:rsidR="00992664" w:rsidRPr="0012008A">
        <w:rPr>
          <w:rStyle w:val="libFootnoteBoldChar"/>
          <w:rtl/>
        </w:rPr>
        <w:t>الوافي</w:t>
      </w:r>
      <w:r w:rsidR="00992664" w:rsidRPr="00020424">
        <w:rPr>
          <w:rtl/>
        </w:rPr>
        <w:t xml:space="preserve"> ، ج 10 ، ص 173 ، ح 9366 ؛ </w:t>
      </w:r>
      <w:r w:rsidR="00992664" w:rsidRPr="0012008A">
        <w:rPr>
          <w:rStyle w:val="libFootnoteBoldChar"/>
          <w:rtl/>
        </w:rPr>
        <w:t>الوسائل</w:t>
      </w:r>
      <w:r w:rsidR="00992664" w:rsidRPr="00020424">
        <w:rPr>
          <w:rtl/>
        </w:rPr>
        <w:t xml:space="preserve"> ، ج 9 ، ص 235 ، ح 11917.</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وحاشية « بث » : « ثمانون ومائة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بر ، بف ، جن » : « عشرة</w:t>
      </w:r>
      <w:r w:rsidR="00992664">
        <w:rPr>
          <w:rtl/>
        </w:rPr>
        <w:t xml:space="preserve"> ».</w:t>
      </w:r>
      <w:r w:rsidR="00992664" w:rsidRPr="00020424">
        <w:rPr>
          <w:rtl/>
        </w:rPr>
        <w:t xml:space="preserve"> وفي هامش </w:t>
      </w:r>
      <w:r w:rsidR="00992664" w:rsidRPr="0012008A">
        <w:rPr>
          <w:rStyle w:val="libFootnoteBoldChar"/>
          <w:rtl/>
        </w:rPr>
        <w:t>الوافي</w:t>
      </w:r>
      <w:r w:rsidR="00992664" w:rsidRPr="00020424">
        <w:rPr>
          <w:rtl/>
        </w:rPr>
        <w:t xml:space="preserve"> عن ابن المصنّف : « لعلّ ما ثبت العشر باعتبار النفوس</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D4B4B" w:rsidTr="004D4B4B">
        <w:tc>
          <w:tcPr>
            <w:tcW w:w="4006" w:type="dxa"/>
          </w:tcPr>
          <w:p w:rsidR="004D4B4B" w:rsidRDefault="004D4B4B" w:rsidP="00992664">
            <w:pPr>
              <w:pStyle w:val="libFootnote0"/>
              <w:rPr>
                <w:rtl/>
              </w:rPr>
            </w:pPr>
            <w:r>
              <w:rPr>
                <w:rtl/>
              </w:rPr>
              <w:t xml:space="preserve">(10). </w:t>
            </w:r>
            <w:r w:rsidRPr="00020424">
              <w:rPr>
                <w:rtl/>
              </w:rPr>
              <w:t xml:space="preserve">في « بر ، بف » </w:t>
            </w:r>
            <w:r w:rsidRPr="004D4B4B">
              <w:rPr>
                <w:rtl/>
              </w:rPr>
              <w:t>والوافي</w:t>
            </w:r>
            <w:r w:rsidRPr="00020424">
              <w:rPr>
                <w:rtl/>
              </w:rPr>
              <w:t xml:space="preserve"> : « منها</w:t>
            </w:r>
            <w:r>
              <w:rPr>
                <w:rtl/>
              </w:rPr>
              <w:t xml:space="preserve"> ».</w:t>
            </w:r>
          </w:p>
        </w:tc>
        <w:tc>
          <w:tcPr>
            <w:tcW w:w="4006" w:type="dxa"/>
          </w:tcPr>
          <w:p w:rsidR="004D4B4B" w:rsidRDefault="004D4B4B" w:rsidP="00992664">
            <w:pPr>
              <w:pStyle w:val="libFootnote0"/>
              <w:rPr>
                <w:rtl/>
              </w:rPr>
            </w:pPr>
            <w:r>
              <w:rPr>
                <w:rtl/>
              </w:rPr>
              <w:t xml:space="preserve">(11). </w:t>
            </w:r>
            <w:r w:rsidRPr="00020424">
              <w:rPr>
                <w:rtl/>
              </w:rPr>
              <w:t xml:space="preserve">في </w:t>
            </w:r>
            <w:r w:rsidRPr="0012008A">
              <w:rPr>
                <w:rStyle w:val="libFootnoteBoldChar"/>
                <w:rtl/>
              </w:rPr>
              <w:t>الوافي</w:t>
            </w:r>
            <w:r>
              <w:rPr>
                <w:rtl/>
              </w:rPr>
              <w:t xml:space="preserve"> : «قوتاً شديداً</w:t>
            </w:r>
            <w:r w:rsidRPr="00020424">
              <w:rPr>
                <w:rtl/>
              </w:rPr>
              <w:t>، أي ذا شدّة وضيق</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بر ، بف » </w:t>
      </w:r>
      <w:r w:rsidR="00992664" w:rsidRPr="004D4B4B">
        <w:rPr>
          <w:rtl/>
        </w:rPr>
        <w:t>والوافي</w:t>
      </w:r>
      <w:r w:rsidR="00992664" w:rsidRPr="00020424">
        <w:rPr>
          <w:rtl/>
        </w:rPr>
        <w:t xml:space="preserve"> : « وليست</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بخ ، بر ، بف » </w:t>
      </w:r>
      <w:r w:rsidR="00992664" w:rsidRPr="004D4B4B">
        <w:rPr>
          <w:rtl/>
        </w:rPr>
        <w:t xml:space="preserve">والوافي </w:t>
      </w:r>
      <w:r w:rsidR="00992664" w:rsidRPr="00EB1FD9">
        <w:rPr>
          <w:rStyle w:val="libFootnoteBoldChar"/>
          <w:rtl/>
        </w:rPr>
        <w:t>والوسائل</w:t>
      </w:r>
      <w:r w:rsidR="00992664" w:rsidRPr="00020424">
        <w:rPr>
          <w:rtl/>
        </w:rPr>
        <w:t xml:space="preserve"> : « إنّما » بدون الواو.</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بف » : « يستضعها</w:t>
      </w:r>
      <w:r w:rsidR="00992664">
        <w:rPr>
          <w:rtl/>
        </w:rPr>
        <w:t xml:space="preserve"> ».</w:t>
      </w:r>
      <w:r w:rsidR="00992664" w:rsidRPr="00020424">
        <w:rPr>
          <w:rtl/>
        </w:rPr>
        <w:t xml:space="preserve"> وقوله : « يستبضعها » أي يجعلها بضاعة ، والبضاعة : طائفة من مالك تبعثها</w:t>
      </w:r>
      <w:r w:rsidR="004D4B4B">
        <w:rPr>
          <w:rFonts w:hint="cs"/>
          <w:rtl/>
        </w:rPr>
        <w:t xml:space="preserve"> </w:t>
      </w:r>
      <w:r w:rsidR="00992664" w:rsidRPr="00020424">
        <w:rPr>
          <w:rtl/>
        </w:rPr>
        <w:t xml:space="preserve">للتجارة. راجع : </w:t>
      </w:r>
      <w:r w:rsidR="00992664" w:rsidRPr="0012008A">
        <w:rPr>
          <w:rStyle w:val="libFootnoteBoldChar"/>
          <w:rtl/>
        </w:rPr>
        <w:t>الصحاح</w:t>
      </w:r>
      <w:r w:rsidR="00992664" w:rsidRPr="00020424">
        <w:rPr>
          <w:rtl/>
        </w:rPr>
        <w:t xml:space="preserve"> ، ج 3 ، ص 1186 ؛ </w:t>
      </w:r>
      <w:r w:rsidR="00992664" w:rsidRPr="00A722B1">
        <w:rPr>
          <w:rStyle w:val="libFootnoteBoldChar"/>
          <w:rtl/>
        </w:rPr>
        <w:t>المصباح المنير</w:t>
      </w:r>
      <w:r w:rsidR="00992664" w:rsidRPr="00020424">
        <w:rPr>
          <w:rtl/>
        </w:rPr>
        <w:t xml:space="preserve"> ، ص 50 ( بضع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فيغيب</w:t>
      </w:r>
      <w:r w:rsidR="00992664">
        <w:rPr>
          <w:rtl/>
        </w:rPr>
        <w:t xml:space="preserve"> ».</w:t>
      </w:r>
      <w:r w:rsidR="00992664" w:rsidRPr="00020424">
        <w:rPr>
          <w:rtl/>
        </w:rPr>
        <w:t xml:space="preserve"> وفي « بر » : « يتغيّب</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بخ ، بر » : « ترى » بدون الهمزة.</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أَنْ يُخْرِجَهَا مِنْ مَالِهِ ، فَيَعُودَ بِهَا عَلى عِيَالِهِ </w:t>
      </w:r>
      <w:r w:rsidRPr="00A91B96">
        <w:rPr>
          <w:rStyle w:val="libFootnotenumChar"/>
          <w:rtl/>
        </w:rPr>
        <w:t>(1)</w:t>
      </w:r>
      <w:r w:rsidRPr="00020424">
        <w:rPr>
          <w:rtl/>
          <w:lang w:bidi="fa-IR"/>
        </w:rPr>
        <w:t xml:space="preserve"> يُسْبِغُ </w:t>
      </w:r>
      <w:r w:rsidRPr="00A91B96">
        <w:rPr>
          <w:rStyle w:val="libFootnotenumChar"/>
          <w:rtl/>
        </w:rPr>
        <w:t>(2)</w:t>
      </w:r>
      <w:r w:rsidRPr="00020424">
        <w:rPr>
          <w:rtl/>
          <w:lang w:bidi="fa-IR"/>
        </w:rPr>
        <w:t xml:space="preserve"> عَلَيْهِمْ بِهَا النَّفَقَةَ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 xml:space="preserve">قَالَ : « نَعَمْ ، وَلكِنْ يُخْرِجُ </w:t>
      </w:r>
      <w:r w:rsidRPr="00A91B96">
        <w:rPr>
          <w:rStyle w:val="libFootnotenumChar"/>
          <w:rtl/>
        </w:rPr>
        <w:t>(4)</w:t>
      </w:r>
      <w:r w:rsidRPr="00020424">
        <w:rPr>
          <w:rtl/>
          <w:lang w:bidi="fa-IR"/>
        </w:rPr>
        <w:t xml:space="preserve"> مِنْهَا الشَّيْ‌ءَ الدِّرْهَمَ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7D116F">
        <w:rPr>
          <w:rtl/>
        </w:rPr>
        <w:t>5973</w:t>
      </w:r>
      <w:r w:rsidRPr="001155DE">
        <w:rPr>
          <w:rStyle w:val="libBold2Char"/>
          <w:rtl/>
        </w:rPr>
        <w:t xml:space="preserve"> / 9.</w:t>
      </w:r>
      <w:r w:rsidRPr="00020424">
        <w:rPr>
          <w:rtl/>
          <w:lang w:bidi="fa-IR"/>
        </w:rPr>
        <w:t xml:space="preserve"> عِدَّةٌ مِنْ أَصْحَابِنَا ، عَنْ أَحْمَدَ بْنِ مُحَمَّدٍ ، عَنِ الْحُسَيْنِ بْنِ سَعِيدٍ ، عَنْ أَخِيهِ الْحَسَنِ </w:t>
      </w:r>
      <w:r w:rsidRPr="00A91B96">
        <w:rPr>
          <w:rStyle w:val="libFootnotenumChar"/>
          <w:rtl/>
        </w:rPr>
        <w:t>(7)</w:t>
      </w:r>
      <w:r w:rsidRPr="00020424">
        <w:rPr>
          <w:rtl/>
          <w:lang w:bidi="fa-IR"/>
        </w:rPr>
        <w:t xml:space="preserve"> ، عَنْ زُرْعَةَ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قَدْ تَحِلُّ الزَّكَاةُ لِصَاحِبِ السَّبْعِمِائَةِ </w:t>
      </w:r>
      <w:r w:rsidRPr="00A91B96">
        <w:rPr>
          <w:rStyle w:val="libFootnotenumChar"/>
          <w:rtl/>
        </w:rPr>
        <w:t>(8)</w:t>
      </w:r>
      <w:r w:rsidRPr="00020424">
        <w:rPr>
          <w:rtl/>
          <w:lang w:bidi="fa-IR"/>
        </w:rPr>
        <w:t xml:space="preserve"> ، وَتَحْرُمُ </w:t>
      </w:r>
      <w:r w:rsidRPr="00A91B96">
        <w:rPr>
          <w:rStyle w:val="libFootnotenumChar"/>
          <w:rtl/>
        </w:rPr>
        <w:t>(9)</w:t>
      </w:r>
      <w:r w:rsidRPr="00020424">
        <w:rPr>
          <w:rtl/>
          <w:lang w:bidi="fa-IR"/>
        </w:rPr>
        <w:t xml:space="preserve"> عَلى صَاحِبِ الْخَمْسِينَ دِرْهَماً</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لَهُ </w:t>
      </w:r>
      <w:r w:rsidRPr="00A91B96">
        <w:rPr>
          <w:rStyle w:val="libFootnotenumChar"/>
          <w:rtl/>
        </w:rPr>
        <w:t>(10)</w:t>
      </w:r>
      <w:r w:rsidRPr="00020424">
        <w:rPr>
          <w:rtl/>
          <w:lang w:bidi="fa-IR"/>
        </w:rPr>
        <w:t xml:space="preserve"> : وَكَيْفَ يَكُونُ </w:t>
      </w:r>
      <w:r w:rsidRPr="00A91B96">
        <w:rPr>
          <w:rStyle w:val="libFootnotenumChar"/>
          <w:rtl/>
        </w:rPr>
        <w:t>(11)</w:t>
      </w:r>
      <w:r w:rsidRPr="00020424">
        <w:rPr>
          <w:rtl/>
          <w:lang w:bidi="fa-IR"/>
        </w:rPr>
        <w:t xml:space="preserve"> هذَا</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(12)</w:t>
      </w:r>
      <w:r w:rsidRPr="00020424">
        <w:rPr>
          <w:rtl/>
          <w:lang w:bidi="fa-IR"/>
        </w:rPr>
        <w:t xml:space="preserve"> : « إِذَا كَانَ صَاحِبُ السَّبْعِمِائَةِ لَهُ عِيَالٌ كَثِيرٌ ، فَلَوْ قَسَمَهَا بَيْنَهُمْ لَمْ تَكْفِهِ </w:t>
      </w:r>
      <w:r w:rsidRPr="00A91B96">
        <w:rPr>
          <w:rStyle w:val="libFootnotenumChar"/>
          <w:rtl/>
        </w:rPr>
        <w:t>(13)</w:t>
      </w:r>
      <w:r w:rsidRPr="00020424">
        <w:rPr>
          <w:rtl/>
          <w:lang w:bidi="fa-IR"/>
        </w:rPr>
        <w:t xml:space="preserve"> ، فَلْيُعِفَّ عَنْهَا نَفْسُهُ ، وَلْيَأْخُذْهَا </w:t>
      </w:r>
      <w:r w:rsidRPr="00A91B96">
        <w:rPr>
          <w:rStyle w:val="libFootnotenumChar"/>
          <w:rtl/>
        </w:rPr>
        <w:t>(14)</w:t>
      </w:r>
      <w:r w:rsidRPr="00020424">
        <w:rPr>
          <w:rtl/>
          <w:lang w:bidi="fa-IR"/>
        </w:rPr>
        <w:t xml:space="preserve"> لِعِيَالِهِ ، وَأَمَّا صَاحِبُ الْخَمْسِينَ ، فَإِنَّهُ يَحْرُمُ </w:t>
      </w:r>
      <w:r w:rsidRPr="00A91B96">
        <w:rPr>
          <w:rStyle w:val="libFootnotenumChar"/>
          <w:rtl/>
        </w:rPr>
        <w:t>(15)</w:t>
      </w:r>
      <w:r w:rsidRPr="00020424">
        <w:rPr>
          <w:rtl/>
          <w:lang w:bidi="fa-IR"/>
        </w:rPr>
        <w:t xml:space="preserve"> عَلَيْهِ إِذَا كَانَ وَحْدَهُ ، وَهُوَ مُحْتَرِفٌ يَعْمَلُ بِهَا ، وَهُوَ </w:t>
      </w:r>
      <w:r w:rsidRPr="00A91B96">
        <w:rPr>
          <w:rStyle w:val="libFootnotenumChar"/>
          <w:rtl/>
        </w:rPr>
        <w:t>(16)</w:t>
      </w:r>
      <w:r w:rsidRPr="00020424">
        <w:rPr>
          <w:rtl/>
          <w:lang w:bidi="fa-IR"/>
        </w:rPr>
        <w:t xml:space="preserve"> يُصِيبُ مِنْهَا مَا </w:t>
      </w:r>
      <w:r w:rsidRPr="00A91B96">
        <w:rPr>
          <w:rStyle w:val="libFootnotenumChar"/>
          <w:rtl/>
        </w:rPr>
        <w:t>(17)</w:t>
      </w:r>
      <w:r w:rsidRPr="00020424">
        <w:rPr>
          <w:rtl/>
          <w:lang w:bidi="fa-IR"/>
        </w:rPr>
        <w:t xml:space="preserve"> يَكْفِيهِ إِنْ شَاءَ اللهُ</w:t>
      </w:r>
      <w:r>
        <w:rPr>
          <w:rtl/>
          <w:lang w:bidi="fa-IR"/>
        </w:rPr>
        <w:t xml:space="preserve"> ».</w:t>
      </w:r>
      <w:r w:rsidRPr="00020424">
        <w:rPr>
          <w:rtl/>
          <w:lang w:bidi="fa-IR"/>
        </w:rPr>
        <w:t xml:space="preserve"> </w:t>
      </w:r>
      <w:r w:rsidRPr="00A91B96">
        <w:rPr>
          <w:rStyle w:val="libFootnotenumChar"/>
          <w:rtl/>
        </w:rPr>
        <w:t>(18)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فيعود بها على عياله » ، يعني يجود عليهم ويتفضّل. راجع : </w:t>
      </w:r>
      <w:r w:rsidR="00992664" w:rsidRPr="00A722B1">
        <w:rPr>
          <w:rStyle w:val="libFootnoteBoldChar"/>
          <w:rtl/>
        </w:rPr>
        <w:t>المصباح المنير</w:t>
      </w:r>
      <w:r w:rsidR="00992664" w:rsidRPr="00020424">
        <w:rPr>
          <w:rtl/>
        </w:rPr>
        <w:t xml:space="preserve"> ، ص 436 ( عود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 « يوسع</w:t>
      </w:r>
      <w:r w:rsidR="00992664">
        <w:rPr>
          <w:rtl/>
        </w:rPr>
        <w:t xml:space="preserve"> ».</w:t>
      </w:r>
      <w:r w:rsidR="00992664" w:rsidRPr="00020424">
        <w:rPr>
          <w:rtl/>
        </w:rPr>
        <w:t xml:space="preserve"> وفي حاشية « ظ ، بح ، جن » </w:t>
      </w:r>
      <w:r w:rsidR="00992664" w:rsidRPr="00EB1FD9">
        <w:rPr>
          <w:rStyle w:val="libFootnoteBoldChar"/>
          <w:rtl/>
        </w:rPr>
        <w:t>والوسائل</w:t>
      </w:r>
      <w:r w:rsidR="00992664" w:rsidRPr="00020424">
        <w:rPr>
          <w:rtl/>
        </w:rPr>
        <w:t xml:space="preserve"> : « يتّسع</w:t>
      </w:r>
      <w:r w:rsidR="00992664">
        <w:rPr>
          <w:rtl/>
        </w:rPr>
        <w:t xml:space="preserve"> ».</w:t>
      </w:r>
      <w:r w:rsidR="00992664" w:rsidRPr="00020424">
        <w:rPr>
          <w:rtl/>
        </w:rPr>
        <w:t xml:space="preserve"> وفي </w:t>
      </w:r>
      <w:r w:rsidR="00992664" w:rsidRPr="000F4D1C">
        <w:rPr>
          <w:rtl/>
        </w:rPr>
        <w:t>الوافي</w:t>
      </w:r>
      <w:r w:rsidR="00992664" w:rsidRPr="00020424">
        <w:rPr>
          <w:rtl/>
        </w:rPr>
        <w:t xml:space="preserve"> عن بعض النسخ : « ليسع</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الإسباغ : الإتمام والتوسعة ، أي ينفق عليهم تمام ما يحتاجون إليه ، ويوسّع عليهم فيها. راجع : </w:t>
      </w:r>
      <w:r w:rsidR="00992664" w:rsidRPr="0012008A">
        <w:rPr>
          <w:rStyle w:val="libFootnoteBoldChar"/>
          <w:rtl/>
        </w:rPr>
        <w:t>الصحاح</w:t>
      </w:r>
      <w:r w:rsidR="00992664" w:rsidRPr="00020424">
        <w:rPr>
          <w:rtl/>
        </w:rPr>
        <w:t xml:space="preserve"> ، ج 4 ، ص 1321 ؛ </w:t>
      </w:r>
      <w:r w:rsidR="00992664" w:rsidRPr="0012008A">
        <w:rPr>
          <w:rStyle w:val="libFootnoteBoldChar"/>
          <w:rtl/>
        </w:rPr>
        <w:t>النهاية</w:t>
      </w:r>
      <w:r w:rsidR="00992664" w:rsidRPr="00020424">
        <w:rPr>
          <w:rtl/>
        </w:rPr>
        <w:t xml:space="preserve"> ، ج 2 ، ص 338 ( سبغ )</w:t>
      </w:r>
      <w:r w:rsidR="00992664">
        <w:rPr>
          <w:rtl/>
        </w:rPr>
        <w:t>.</w:t>
      </w:r>
      <w:r w:rsidR="00A05922">
        <w:rPr>
          <w:rFonts w:hint="cs"/>
          <w:rtl/>
          <w:lang w:bidi="fa-IR"/>
        </w:rPr>
        <w:t xml:space="preserve">  </w:t>
      </w:r>
      <w:r w:rsidR="000F4D1C">
        <w:rPr>
          <w:rFonts w:hint="cs"/>
          <w:rtl/>
          <w:lang w:bidi="fa-IR"/>
        </w:rPr>
        <w:t xml:space="preserve"> </w:t>
      </w:r>
      <w:r>
        <w:rPr>
          <w:rtl/>
        </w:rPr>
        <w:t>(4).</w:t>
      </w:r>
      <w:r w:rsidR="0014403D">
        <w:rPr>
          <w:rtl/>
        </w:rPr>
        <w:t xml:space="preserve"> </w:t>
      </w:r>
      <w:r w:rsidR="00992664" w:rsidRPr="00020424">
        <w:rPr>
          <w:rtl/>
        </w:rPr>
        <w:t>في « ظ » : « تخرج</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بح » : « الدراهم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169 ، ح 9360 ؛ </w:t>
      </w:r>
      <w:r w:rsidR="00992664" w:rsidRPr="0012008A">
        <w:rPr>
          <w:rStyle w:val="libFootnoteBoldChar"/>
          <w:rtl/>
        </w:rPr>
        <w:t>الوسائل</w:t>
      </w:r>
      <w:r w:rsidR="00992664" w:rsidRPr="00020424">
        <w:rPr>
          <w:rtl/>
        </w:rPr>
        <w:t xml:space="preserve"> ، ج 9 ، ص 242 ، ح 11932.</w:t>
      </w:r>
    </w:p>
    <w:tbl>
      <w:tblPr>
        <w:tblStyle w:val="TableGrid"/>
        <w:bidiVisual/>
        <w:tblW w:w="0" w:type="auto"/>
        <w:tblLook w:val="04A0" w:firstRow="1" w:lastRow="0" w:firstColumn="1" w:lastColumn="0" w:noHBand="0" w:noVBand="1"/>
      </w:tblPr>
      <w:tblGrid>
        <w:gridCol w:w="3764"/>
        <w:gridCol w:w="4248"/>
      </w:tblGrid>
      <w:tr w:rsidR="000F4D1C" w:rsidTr="00446CCA">
        <w:tc>
          <w:tcPr>
            <w:tcW w:w="3764" w:type="dxa"/>
          </w:tcPr>
          <w:p w:rsidR="000F4D1C" w:rsidRDefault="000F4D1C" w:rsidP="00992664">
            <w:pPr>
              <w:pStyle w:val="libFootnote0"/>
              <w:rPr>
                <w:rtl/>
              </w:rPr>
            </w:pPr>
            <w:r>
              <w:rPr>
                <w:rtl/>
              </w:rPr>
              <w:t xml:space="preserve">(7). </w:t>
            </w:r>
            <w:r w:rsidRPr="00020424">
              <w:rPr>
                <w:rtl/>
              </w:rPr>
              <w:t>في « بر ، بف » : + « بن سعيد</w:t>
            </w:r>
            <w:r>
              <w:rPr>
                <w:rtl/>
              </w:rPr>
              <w:t xml:space="preserve"> ».</w:t>
            </w:r>
          </w:p>
        </w:tc>
        <w:tc>
          <w:tcPr>
            <w:tcW w:w="4248" w:type="dxa"/>
          </w:tcPr>
          <w:p w:rsidR="000F4D1C" w:rsidRDefault="000F4D1C" w:rsidP="00992664">
            <w:pPr>
              <w:pStyle w:val="libFootnote0"/>
              <w:rPr>
                <w:rtl/>
              </w:rPr>
            </w:pPr>
            <w:r>
              <w:rPr>
                <w:rtl/>
              </w:rPr>
              <w:t xml:space="preserve">(8). </w:t>
            </w:r>
            <w:r w:rsidR="00446CCA">
              <w:rPr>
                <w:rtl/>
              </w:rPr>
              <w:t>في «ظ،بح»:+«</w:t>
            </w:r>
            <w:r w:rsidRPr="00020424">
              <w:rPr>
                <w:rtl/>
              </w:rPr>
              <w:t>الدرهم</w:t>
            </w:r>
            <w:r>
              <w:rPr>
                <w:rtl/>
              </w:rPr>
              <w:t>».</w:t>
            </w:r>
            <w:r w:rsidR="00446CCA">
              <w:rPr>
                <w:rtl/>
              </w:rPr>
              <w:t>وفي«جن»:+«</w:t>
            </w:r>
            <w:r w:rsidRPr="00020424">
              <w:rPr>
                <w:rtl/>
              </w:rPr>
              <w:t>درهم</w:t>
            </w:r>
            <w:r>
              <w:rPr>
                <w:rtl/>
              </w:rPr>
              <w:t>».</w:t>
            </w:r>
          </w:p>
        </w:tc>
      </w:tr>
      <w:tr w:rsidR="000F4D1C" w:rsidTr="00446CCA">
        <w:tc>
          <w:tcPr>
            <w:tcW w:w="3764" w:type="dxa"/>
          </w:tcPr>
          <w:p w:rsidR="000F4D1C" w:rsidRDefault="000F4D1C" w:rsidP="00992664">
            <w:pPr>
              <w:pStyle w:val="libFootnote0"/>
              <w:rPr>
                <w:rtl/>
              </w:rPr>
            </w:pPr>
            <w:r>
              <w:rPr>
                <w:rtl/>
              </w:rPr>
              <w:t xml:space="preserve">(9). </w:t>
            </w:r>
            <w:r w:rsidRPr="00020424">
              <w:rPr>
                <w:rtl/>
              </w:rPr>
              <w:t>في « بح » : « ويحرم</w:t>
            </w:r>
            <w:r>
              <w:rPr>
                <w:rtl/>
              </w:rPr>
              <w:t xml:space="preserve"> ».</w:t>
            </w:r>
          </w:p>
        </w:tc>
        <w:tc>
          <w:tcPr>
            <w:tcW w:w="4248" w:type="dxa"/>
          </w:tcPr>
          <w:p w:rsidR="000F4D1C" w:rsidRDefault="000F4D1C" w:rsidP="00992664">
            <w:pPr>
              <w:pStyle w:val="libFootnote0"/>
              <w:rPr>
                <w:rtl/>
              </w:rPr>
            </w:pPr>
            <w:r>
              <w:rPr>
                <w:rtl/>
              </w:rPr>
              <w:t xml:space="preserve">(10). </w:t>
            </w:r>
            <w:r w:rsidRPr="00020424">
              <w:rPr>
                <w:rtl/>
              </w:rPr>
              <w:t>في « بر » :</w:t>
            </w:r>
            <w:r>
              <w:rPr>
                <w:rtl/>
              </w:rPr>
              <w:t xml:space="preserve"> - </w:t>
            </w:r>
            <w:r w:rsidRPr="00020424">
              <w:rPr>
                <w:rtl/>
              </w:rPr>
              <w:t>« له</w:t>
            </w:r>
            <w:r>
              <w:rPr>
                <w:rtl/>
              </w:rPr>
              <w:t xml:space="preserve"> ».</w:t>
            </w:r>
          </w:p>
        </w:tc>
      </w:tr>
      <w:tr w:rsidR="000F4D1C" w:rsidTr="00446CCA">
        <w:tc>
          <w:tcPr>
            <w:tcW w:w="3764" w:type="dxa"/>
          </w:tcPr>
          <w:p w:rsidR="000F4D1C" w:rsidRDefault="000F4D1C" w:rsidP="00992664">
            <w:pPr>
              <w:pStyle w:val="libFootnote0"/>
              <w:rPr>
                <w:rtl/>
              </w:rPr>
            </w:pPr>
            <w:r>
              <w:rPr>
                <w:rtl/>
              </w:rPr>
              <w:t xml:space="preserve">(11). </w:t>
            </w:r>
            <w:r w:rsidRPr="00020424">
              <w:rPr>
                <w:rtl/>
              </w:rPr>
              <w:t>في « بر ، بف » :</w:t>
            </w:r>
            <w:r>
              <w:rPr>
                <w:rtl/>
              </w:rPr>
              <w:t xml:space="preserve"> - </w:t>
            </w:r>
            <w:r w:rsidRPr="00020424">
              <w:rPr>
                <w:rtl/>
              </w:rPr>
              <w:t>« يكون</w:t>
            </w:r>
            <w:r>
              <w:rPr>
                <w:rtl/>
              </w:rPr>
              <w:t xml:space="preserve"> ».</w:t>
            </w:r>
          </w:p>
        </w:tc>
        <w:tc>
          <w:tcPr>
            <w:tcW w:w="4248" w:type="dxa"/>
          </w:tcPr>
          <w:p w:rsidR="000F4D1C" w:rsidRDefault="000F4D1C" w:rsidP="00992664">
            <w:pPr>
              <w:pStyle w:val="libFootnote0"/>
              <w:rPr>
                <w:rtl/>
              </w:rPr>
            </w:pPr>
            <w:r>
              <w:rPr>
                <w:rtl/>
              </w:rPr>
              <w:t xml:space="preserve">(12). </w:t>
            </w:r>
            <w:r w:rsidR="00446CCA">
              <w:rPr>
                <w:rtl/>
              </w:rPr>
              <w:t>في «بث،بر،بف</w:t>
            </w:r>
            <w:r w:rsidRPr="00020424">
              <w:rPr>
                <w:rtl/>
              </w:rPr>
              <w:t xml:space="preserve">» </w:t>
            </w:r>
            <w:r w:rsidRPr="00446CCA">
              <w:rPr>
                <w:rtl/>
              </w:rPr>
              <w:t xml:space="preserve">والوافي </w:t>
            </w:r>
            <w:r w:rsidRPr="00EB1FD9">
              <w:rPr>
                <w:rStyle w:val="libFootnoteBoldChar"/>
                <w:rtl/>
              </w:rPr>
              <w:t>والوسائل</w:t>
            </w:r>
            <w:r w:rsidRPr="00020424">
              <w:rPr>
                <w:rtl/>
              </w:rPr>
              <w:t xml:space="preserve"> : « قال</w:t>
            </w:r>
            <w:r>
              <w:rPr>
                <w:rtl/>
              </w:rPr>
              <w:t xml:space="preserve"> ».</w:t>
            </w:r>
          </w:p>
        </w:tc>
      </w:tr>
      <w:tr w:rsidR="000F4D1C" w:rsidTr="00446CCA">
        <w:tc>
          <w:tcPr>
            <w:tcW w:w="3764" w:type="dxa"/>
          </w:tcPr>
          <w:p w:rsidR="000F4D1C" w:rsidRDefault="000F4D1C" w:rsidP="00992664">
            <w:pPr>
              <w:pStyle w:val="libFootnote0"/>
              <w:rPr>
                <w:rtl/>
              </w:rPr>
            </w:pPr>
            <w:r>
              <w:rPr>
                <w:rtl/>
              </w:rPr>
              <w:t xml:space="preserve">(13). </w:t>
            </w:r>
            <w:r w:rsidRPr="00020424">
              <w:rPr>
                <w:rtl/>
              </w:rPr>
              <w:t>في « ى » : « لم تكف</w:t>
            </w:r>
            <w:r>
              <w:rPr>
                <w:rtl/>
              </w:rPr>
              <w:t xml:space="preserve"> ».</w:t>
            </w:r>
          </w:p>
        </w:tc>
        <w:tc>
          <w:tcPr>
            <w:tcW w:w="4248" w:type="dxa"/>
          </w:tcPr>
          <w:p w:rsidR="000F4D1C" w:rsidRDefault="000F4D1C" w:rsidP="00992664">
            <w:pPr>
              <w:pStyle w:val="libFootnote0"/>
              <w:rPr>
                <w:rtl/>
              </w:rPr>
            </w:pPr>
            <w:r>
              <w:rPr>
                <w:rtl/>
              </w:rPr>
              <w:t xml:space="preserve">(14). </w:t>
            </w:r>
            <w:r w:rsidRPr="00020424">
              <w:rPr>
                <w:rtl/>
              </w:rPr>
              <w:t>في « ى ، بر ، بف » : « وليأخذ</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بس » </w:t>
      </w:r>
      <w:r w:rsidR="00992664" w:rsidRPr="00446CCA">
        <w:rPr>
          <w:rtl/>
        </w:rPr>
        <w:t xml:space="preserve">والوافي </w:t>
      </w:r>
      <w:r w:rsidR="00992664" w:rsidRPr="00EB1FD9">
        <w:rPr>
          <w:rStyle w:val="libFootnoteBoldChar"/>
          <w:rtl/>
        </w:rPr>
        <w:t>والوسائل</w:t>
      </w:r>
      <w:r w:rsidR="00992664" w:rsidRPr="00446CCA">
        <w:rPr>
          <w:rtl/>
        </w:rPr>
        <w:t xml:space="preserve"> </w:t>
      </w:r>
      <w:r w:rsidR="00992664" w:rsidRPr="00FD6221">
        <w:rPr>
          <w:rStyle w:val="libFootnoteBoldChar"/>
          <w:rtl/>
        </w:rPr>
        <w:t>والفقيه</w:t>
      </w:r>
      <w:r w:rsidR="00992664" w:rsidRPr="00446CCA">
        <w:rPr>
          <w:rtl/>
        </w:rPr>
        <w:t xml:space="preserve"> والتهذيب</w:t>
      </w:r>
      <w:r w:rsidR="00992664" w:rsidRPr="00020424">
        <w:rPr>
          <w:rtl/>
        </w:rPr>
        <w:t xml:space="preserve"> وتفسير العيّاشي : « تحرم</w:t>
      </w:r>
      <w:r w:rsidR="00992664">
        <w:rPr>
          <w:rtl/>
        </w:rPr>
        <w:t xml:space="preserve"> ».</w:t>
      </w:r>
    </w:p>
    <w:tbl>
      <w:tblPr>
        <w:tblStyle w:val="TableGrid"/>
        <w:bidiVisual/>
        <w:tblW w:w="0" w:type="auto"/>
        <w:tblLook w:val="04A0" w:firstRow="1" w:lastRow="0" w:firstColumn="1" w:lastColumn="0" w:noHBand="0" w:noVBand="1"/>
      </w:tblPr>
      <w:tblGrid>
        <w:gridCol w:w="3764"/>
        <w:gridCol w:w="4248"/>
      </w:tblGrid>
      <w:tr w:rsidR="00446CCA" w:rsidTr="00446CCA">
        <w:tc>
          <w:tcPr>
            <w:tcW w:w="3764" w:type="dxa"/>
          </w:tcPr>
          <w:p w:rsidR="00446CCA" w:rsidRDefault="00446CCA" w:rsidP="00992664">
            <w:pPr>
              <w:pStyle w:val="libFootnote0"/>
              <w:rPr>
                <w:rtl/>
              </w:rPr>
            </w:pPr>
            <w:r>
              <w:rPr>
                <w:rtl/>
              </w:rPr>
              <w:t xml:space="preserve">(16). </w:t>
            </w:r>
            <w:r w:rsidRPr="00020424">
              <w:rPr>
                <w:rtl/>
              </w:rPr>
              <w:t>في « ى » : « فهو</w:t>
            </w:r>
            <w:r>
              <w:rPr>
                <w:rtl/>
              </w:rPr>
              <w:t xml:space="preserve"> ».</w:t>
            </w:r>
          </w:p>
        </w:tc>
        <w:tc>
          <w:tcPr>
            <w:tcW w:w="4248" w:type="dxa"/>
          </w:tcPr>
          <w:p w:rsidR="00446CCA" w:rsidRDefault="00446CCA" w:rsidP="00992664">
            <w:pPr>
              <w:pStyle w:val="libFootnote0"/>
              <w:rPr>
                <w:rtl/>
              </w:rPr>
            </w:pPr>
            <w:r>
              <w:rPr>
                <w:rtl/>
              </w:rPr>
              <w:t>(17).في«بر»</w:t>
            </w:r>
            <w:r w:rsidRPr="00020424">
              <w:rPr>
                <w:rtl/>
              </w:rPr>
              <w:t>:</w:t>
            </w:r>
            <w:r>
              <w:rPr>
                <w:rtl/>
              </w:rPr>
              <w:t>-«</w:t>
            </w:r>
            <w:r w:rsidRPr="00020424">
              <w:rPr>
                <w:rtl/>
              </w:rPr>
              <w:t>لعياله وأمّا صاحب</w:t>
            </w:r>
            <w:r>
              <w:rPr>
                <w:rtl/>
              </w:rPr>
              <w:t>-</w:t>
            </w:r>
            <w:r w:rsidRPr="00020424">
              <w:rPr>
                <w:rtl/>
              </w:rPr>
              <w:t>إلى</w:t>
            </w:r>
            <w:r>
              <w:rPr>
                <w:rtl/>
              </w:rPr>
              <w:t>-</w:t>
            </w:r>
            <w:r w:rsidRPr="00020424">
              <w:rPr>
                <w:rtl/>
              </w:rPr>
              <w:t>يصيب منها ما</w:t>
            </w:r>
            <w:r>
              <w:rPr>
                <w:rtl/>
              </w:rPr>
              <w:t>».</w:t>
            </w:r>
          </w:p>
        </w:tc>
      </w:tr>
    </w:tbl>
    <w:p w:rsidR="00992664" w:rsidRPr="00020424" w:rsidRDefault="00795177" w:rsidP="00A05922">
      <w:pPr>
        <w:pStyle w:val="libFootnote0"/>
        <w:rPr>
          <w:rtl/>
          <w:lang w:bidi="fa-IR"/>
        </w:rPr>
      </w:pPr>
      <w:r>
        <w:rPr>
          <w:rtl/>
        </w:rPr>
        <w:t>(18).</w:t>
      </w:r>
      <w:r w:rsidR="0014403D">
        <w:rPr>
          <w:rtl/>
        </w:rPr>
        <w:t xml:space="preserve"> </w:t>
      </w:r>
      <w:r w:rsidR="00992664" w:rsidRPr="0012008A">
        <w:rPr>
          <w:rStyle w:val="libFootnoteBoldChar"/>
          <w:rtl/>
        </w:rPr>
        <w:t>التهذيب</w:t>
      </w:r>
      <w:r w:rsidR="00992664" w:rsidRPr="00020424">
        <w:rPr>
          <w:rtl/>
        </w:rPr>
        <w:t xml:space="preserve"> ، ج 4 ، ص 48 ، ضمن ح 127 ، بسنده عن سعيد ، عن زرعة ، عن سماعة ، من دون الإسناد إلى المعصوم </w:t>
      </w:r>
      <w:r w:rsidR="00A05922" w:rsidRPr="00D64ADA">
        <w:rPr>
          <w:rStyle w:val="libFootnoteAlaemChar"/>
          <w:rtl/>
        </w:rPr>
        <w:t>عليه‌السلام</w:t>
      </w:r>
      <w:r w:rsidR="00992664" w:rsidRPr="00020424">
        <w:rPr>
          <w:rtl/>
        </w:rPr>
        <w:t xml:space="preserve">. </w:t>
      </w:r>
      <w:r w:rsidR="00992664" w:rsidRPr="00DE76B9">
        <w:rPr>
          <w:rStyle w:val="libFootnoteBoldChar"/>
          <w:rtl/>
        </w:rPr>
        <w:t>تفسير العيّاشي</w:t>
      </w:r>
      <w:r w:rsidR="00992664" w:rsidRPr="00020424">
        <w:rPr>
          <w:rtl/>
        </w:rPr>
        <w:t xml:space="preserve"> ، ج 2 ، ص 90 ، ح 63 ، عن سماعة ، من دون الإسناد إلى المعصوم </w:t>
      </w:r>
      <w:r w:rsidR="00992664" w:rsidRPr="00D64ADA">
        <w:rPr>
          <w:rStyle w:val="libFootnoteAlaemChar"/>
          <w:rtl/>
        </w:rPr>
        <w:t>عليه‌السلام</w:t>
      </w:r>
      <w:r w:rsidR="00992664" w:rsidRPr="00020424">
        <w:rPr>
          <w:rtl/>
        </w:rPr>
        <w:t xml:space="preserve"> ، مع زيادة في </w:t>
      </w:r>
      <w:r w:rsidR="00446CC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D116F">
        <w:rPr>
          <w:rtl/>
        </w:rPr>
        <w:lastRenderedPageBreak/>
        <w:t>5974</w:t>
      </w:r>
      <w:r w:rsidRPr="001155DE">
        <w:rPr>
          <w:rStyle w:val="libBold2Char"/>
          <w:rtl/>
        </w:rPr>
        <w:t xml:space="preserve"> / 10.</w:t>
      </w:r>
      <w:r w:rsidRPr="00020424">
        <w:rPr>
          <w:rtl/>
          <w:lang w:bidi="fa-IR"/>
        </w:rPr>
        <w:t xml:space="preserve"> عَلِيُّ بْنُ إِبْرَاهِيمَ ، عَنْ أَبِيهِ </w:t>
      </w:r>
      <w:r w:rsidRPr="00A91B96">
        <w:rPr>
          <w:rStyle w:val="libFootnotenumChar"/>
          <w:rtl/>
        </w:rPr>
        <w:t>(1)</w:t>
      </w:r>
      <w:r w:rsidRPr="00020424">
        <w:rPr>
          <w:rtl/>
          <w:lang w:bidi="fa-IR"/>
        </w:rPr>
        <w:t xml:space="preserve"> ، عَنْ إِسْمَاعِيلَ بْنِ عَبْدِ الْعَزِيزِ ، عَنْ أَبِيهِ ، قَالَ :</w:t>
      </w:r>
    </w:p>
    <w:p w:rsidR="00992664" w:rsidRPr="00020424" w:rsidRDefault="00992664" w:rsidP="00992664">
      <w:pPr>
        <w:pStyle w:val="libNormal"/>
        <w:rPr>
          <w:rtl/>
          <w:lang w:bidi="fa-IR"/>
        </w:rPr>
      </w:pPr>
      <w:r w:rsidRPr="00020424">
        <w:rPr>
          <w:rtl/>
          <w:lang w:bidi="fa-IR"/>
        </w:rPr>
        <w:t xml:space="preserve">دَخَلْتُ أَنَا وَأَبُو بَصِيرٍ عَلى أَبِي عَبْدِ اللهِ </w:t>
      </w:r>
      <w:r w:rsidRPr="00005A81">
        <w:rPr>
          <w:rStyle w:val="libAlaemChar"/>
          <w:rtl/>
        </w:rPr>
        <w:t>عليه‌السلام</w:t>
      </w:r>
      <w:r w:rsidRPr="00020424">
        <w:rPr>
          <w:rtl/>
          <w:lang w:bidi="fa-IR"/>
        </w:rPr>
        <w:t xml:space="preserve"> ، فَقَالَ لَهُ أَبُو بَصِيرٍ : إِنَّ لَنَا </w:t>
      </w:r>
      <w:r w:rsidRPr="00A91B96">
        <w:rPr>
          <w:rStyle w:val="libFootnotenumChar"/>
          <w:rtl/>
        </w:rPr>
        <w:t>(2)</w:t>
      </w:r>
      <w:r w:rsidRPr="00020424">
        <w:rPr>
          <w:rtl/>
          <w:lang w:bidi="fa-IR"/>
        </w:rPr>
        <w:t xml:space="preserve"> صَدِيقاً وَهُوَ رَجُلٌ صَدُوقٌ </w:t>
      </w:r>
      <w:r w:rsidRPr="00A91B96">
        <w:rPr>
          <w:rStyle w:val="libFootnotenumChar"/>
          <w:rtl/>
        </w:rPr>
        <w:t>(3)</w:t>
      </w:r>
      <w:r w:rsidRPr="00020424">
        <w:rPr>
          <w:rtl/>
          <w:lang w:bidi="fa-IR"/>
        </w:rPr>
        <w:t xml:space="preserve"> يَدِينُ اللهَ بِمَا نَدِينُ </w:t>
      </w:r>
      <w:r w:rsidRPr="00A91B96">
        <w:rPr>
          <w:rStyle w:val="libFootnotenumChar"/>
          <w:rtl/>
        </w:rPr>
        <w:t>(4)</w:t>
      </w:r>
      <w:r w:rsidRPr="00020424">
        <w:rPr>
          <w:rtl/>
          <w:lang w:bidi="fa-IR"/>
        </w:rPr>
        <w:t xml:space="preserve"> بِهِ.</w:t>
      </w:r>
    </w:p>
    <w:p w:rsidR="00992664" w:rsidRPr="00020424" w:rsidRDefault="00992664" w:rsidP="00992664">
      <w:pPr>
        <w:pStyle w:val="libNormal"/>
        <w:rPr>
          <w:rtl/>
          <w:lang w:bidi="fa-IR"/>
        </w:rPr>
      </w:pPr>
      <w:r w:rsidRPr="00020424">
        <w:rPr>
          <w:rtl/>
          <w:lang w:bidi="fa-IR"/>
        </w:rPr>
        <w:t xml:space="preserve">فَقَالَ : « مَنْ هذَا يَا أَبَا مُحَمَّدٍ </w:t>
      </w:r>
      <w:r w:rsidRPr="00A91B96">
        <w:rPr>
          <w:rStyle w:val="libFootnotenumChar"/>
          <w:rtl/>
        </w:rPr>
        <w:t>(5)</w:t>
      </w:r>
      <w:r w:rsidRPr="00020424">
        <w:rPr>
          <w:rtl/>
          <w:lang w:bidi="fa-IR"/>
        </w:rPr>
        <w:t xml:space="preserve"> الَّذِي تُزَكِّيهِ</w:t>
      </w:r>
      <w:r>
        <w:rPr>
          <w:rtl/>
          <w:lang w:bidi="fa-IR"/>
        </w:rPr>
        <w:t>؟ ».</w:t>
      </w:r>
    </w:p>
    <w:p w:rsidR="00992664" w:rsidRPr="00020424" w:rsidRDefault="00992664" w:rsidP="00992664">
      <w:pPr>
        <w:pStyle w:val="libNormal"/>
        <w:rPr>
          <w:rtl/>
          <w:lang w:bidi="fa-IR"/>
        </w:rPr>
      </w:pPr>
      <w:r w:rsidRPr="00020424">
        <w:rPr>
          <w:rtl/>
          <w:lang w:bidi="fa-IR"/>
        </w:rPr>
        <w:t>فَقَالَ : الْعَبَّاسُ بْنُ الْوَلِيدِ بْنِ صَبِيحٍ.</w:t>
      </w:r>
    </w:p>
    <w:p w:rsidR="00992664" w:rsidRPr="00020424" w:rsidRDefault="00992664" w:rsidP="00992664">
      <w:pPr>
        <w:pStyle w:val="libNormal"/>
        <w:rPr>
          <w:rtl/>
          <w:lang w:bidi="fa-IR"/>
        </w:rPr>
      </w:pPr>
      <w:r w:rsidRPr="00020424">
        <w:rPr>
          <w:rtl/>
          <w:lang w:bidi="fa-IR"/>
        </w:rPr>
        <w:t>فَقَالَ : « رَحِمَ اللهُ الْوَلِيدَ بْنَ صَبِيحٍ ، مَا لَهُ يَا أَبَا مُحَمَّدٍ</w:t>
      </w:r>
      <w:r>
        <w:rPr>
          <w:rtl/>
          <w:lang w:bidi="fa-IR"/>
        </w:rPr>
        <w:t>؟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(6)</w:t>
      </w:r>
      <w:r w:rsidRPr="00020424">
        <w:rPr>
          <w:rtl/>
          <w:lang w:bidi="fa-IR"/>
        </w:rPr>
        <w:t xml:space="preserve"> : جُعِلْتُ فِدَاكَ ، لَهُ دَارٌ تَسْوى </w:t>
      </w:r>
      <w:r w:rsidRPr="00A91B96">
        <w:rPr>
          <w:rStyle w:val="libFootnotenumChar"/>
          <w:rtl/>
        </w:rPr>
        <w:t>(7)</w:t>
      </w:r>
      <w:r w:rsidRPr="00020424">
        <w:rPr>
          <w:rtl/>
          <w:lang w:bidi="fa-IR"/>
        </w:rPr>
        <w:t xml:space="preserve"> أَرْبَعَةَ آلَافِ دِرْهَمٍ ، وَلَهُ جَارِيَةٌ ، وَلَهُ غُلَامٌ يَسْتَقِي عَلَى الْجَمَلِ </w:t>
      </w:r>
      <w:r w:rsidRPr="00A91B96">
        <w:rPr>
          <w:rStyle w:val="libFootnotenumChar"/>
          <w:rtl/>
        </w:rPr>
        <w:t>(8)</w:t>
      </w:r>
      <w:r w:rsidRPr="00020424">
        <w:rPr>
          <w:rtl/>
          <w:lang w:bidi="fa-IR"/>
        </w:rPr>
        <w:t xml:space="preserve"> كُلَّ يَوْمٍ مَا بَيْنَ الدِّرْهَمَيْنِ إِلَى الْأَرْبَعَةِ </w:t>
      </w:r>
      <w:r w:rsidRPr="00A91B96">
        <w:rPr>
          <w:rStyle w:val="libFootnotenumChar"/>
          <w:rtl/>
        </w:rPr>
        <w:t>(9)</w:t>
      </w:r>
      <w:r w:rsidRPr="00020424">
        <w:rPr>
          <w:rtl/>
          <w:lang w:bidi="fa-IR"/>
        </w:rPr>
        <w:t xml:space="preserve"> سِوى عَلَفِ </w:t>
      </w:r>
      <w:r>
        <w:rPr>
          <w:rtl/>
          <w:lang w:bidi="fa-IR"/>
        </w:rPr>
        <w:t>الْجَمَلِ ، وَلَهُ عِيَالٌ ، أَ</w:t>
      </w:r>
      <w:r w:rsidRPr="00020424">
        <w:rPr>
          <w:rtl/>
          <w:lang w:bidi="fa-IR"/>
        </w:rPr>
        <w:t>لَهُ أَنْ يَأْخُذَ مِنَ الزَّكَاةِ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 نَعَمْ</w:t>
      </w:r>
      <w:r>
        <w:rPr>
          <w:rtl/>
          <w:lang w:bidi="fa-IR"/>
        </w:rPr>
        <w:t xml:space="preserve"> ».</w:t>
      </w:r>
    </w:p>
    <w:p w:rsidR="00992664" w:rsidRDefault="00992664" w:rsidP="00992664">
      <w:pPr>
        <w:pStyle w:val="libNormal"/>
        <w:rPr>
          <w:rtl/>
          <w:lang w:bidi="fa-IR"/>
        </w:rPr>
      </w:pPr>
      <w:r w:rsidRPr="00020424">
        <w:rPr>
          <w:rtl/>
          <w:lang w:bidi="fa-IR"/>
        </w:rPr>
        <w:t>قَالَ : وَلَهُ هذِهِ الْعُرُوضُ</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w:t>
      </w:r>
      <w:r w:rsidRPr="00A91B96">
        <w:rPr>
          <w:rStyle w:val="libFootnotenumChar"/>
          <w:rFonts w:hint="cs"/>
          <w:rtl/>
        </w:rPr>
        <w:t>1</w:t>
      </w:r>
      <w:r w:rsidRPr="00A91B96">
        <w:rPr>
          <w:rStyle w:val="libFootnotenumChar"/>
          <w:rtl/>
        </w:rPr>
        <w:t>1)</w:t>
      </w:r>
      <w:r w:rsidRPr="00020424">
        <w:rPr>
          <w:rtl/>
          <w:lang w:bidi="fa-IR"/>
        </w:rPr>
        <w:t xml:space="preserve"> : « يَا أَبَا مُحَمَّدٍ ، فَتَأْمُرُنِي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أَنْ آمُرَهُ أَنْ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يَبِيعَ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دَارَهُ وَهِيَ عِزُّهُ وَمَسْقَطُ</w:t>
      </w:r>
    </w:p>
    <w:p w:rsidR="00992664" w:rsidRPr="00020424" w:rsidRDefault="00992664" w:rsidP="00992664">
      <w:pPr>
        <w:pStyle w:val="libLine"/>
        <w:rPr>
          <w:rtl/>
          <w:lang w:bidi="fa-IR"/>
        </w:rPr>
      </w:pPr>
      <w:r w:rsidRPr="00020424">
        <w:rPr>
          <w:rtl/>
          <w:lang w:bidi="fa-IR"/>
        </w:rPr>
        <w:t>__________________</w:t>
      </w:r>
    </w:p>
    <w:p w:rsidR="00992664" w:rsidRPr="00020424" w:rsidRDefault="00446CCA" w:rsidP="00992664">
      <w:pPr>
        <w:pStyle w:val="libFootnote0"/>
        <w:rPr>
          <w:rtl/>
          <w:lang w:bidi="fa-IR"/>
        </w:rPr>
      </w:pPr>
      <w:r>
        <w:rPr>
          <w:rFonts w:hint="cs"/>
          <w:rtl/>
        </w:rPr>
        <w:t xml:space="preserve">= </w:t>
      </w:r>
      <w:r w:rsidR="00992664" w:rsidRPr="00020424">
        <w:rPr>
          <w:rtl/>
        </w:rPr>
        <w:t xml:space="preserve">أوّله. </w:t>
      </w:r>
      <w:r w:rsidR="00992664" w:rsidRPr="0012008A">
        <w:rPr>
          <w:rStyle w:val="libFootnoteBoldChar"/>
          <w:rtl/>
        </w:rPr>
        <w:t>الفقيه</w:t>
      </w:r>
      <w:r w:rsidR="00992664" w:rsidRPr="00020424">
        <w:rPr>
          <w:rtl/>
        </w:rPr>
        <w:t xml:space="preserve"> ، ج 2 ، ص 33 ، ح 1628 ، من دون الإسناد إلى المعصوم </w:t>
      </w:r>
      <w:r w:rsidR="00992664" w:rsidRPr="00D64ADA">
        <w:rPr>
          <w:rStyle w:val="libFootnoteAlaemChar"/>
          <w:rtl/>
        </w:rPr>
        <w:t>عليه‌السلام</w:t>
      </w:r>
      <w:r w:rsidR="00992664" w:rsidRPr="00020424">
        <w:rPr>
          <w:rtl/>
        </w:rPr>
        <w:t xml:space="preserve"> ، وفي كلّ المصادر مع اختلاف يسير </w:t>
      </w:r>
      <w:r>
        <w:rPr>
          <w:rFonts w:hint="cs"/>
          <w:rtl/>
        </w:rPr>
        <w:t>.</w:t>
      </w:r>
      <w:r w:rsidR="00992664" w:rsidRPr="0012008A">
        <w:rPr>
          <w:rStyle w:val="libFootnoteBoldChar"/>
          <w:rtl/>
        </w:rPr>
        <w:t>الوافي</w:t>
      </w:r>
      <w:r w:rsidR="00992664" w:rsidRPr="00020424">
        <w:rPr>
          <w:rtl/>
        </w:rPr>
        <w:t xml:space="preserve"> ، ج 10 ، ص 168 ، ح 9358 ؛ </w:t>
      </w:r>
      <w:r w:rsidR="00992664" w:rsidRPr="0012008A">
        <w:rPr>
          <w:rStyle w:val="libFootnoteBoldChar"/>
          <w:rtl/>
        </w:rPr>
        <w:t>الوسائل</w:t>
      </w:r>
      <w:r w:rsidR="00992664" w:rsidRPr="00020424">
        <w:rPr>
          <w:rtl/>
        </w:rPr>
        <w:t xml:space="preserve"> ، ج 9 ، ص 239 ، ح 11924.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أورد الكشّي صدر الخبر في رجاله ، ص 319 ، الرقم 579 بسنده عن إبراهيم بن هاشم ، عن بكر بن صالح ، عن الحسن بن علي ، عن إسماعيل بن عبدالعزيز. وقد تقدّمت في </w:t>
      </w:r>
      <w:r w:rsidR="00992664" w:rsidRPr="00DE76B9">
        <w:rPr>
          <w:rStyle w:val="libFootnoteBoldChar"/>
          <w:rtl/>
        </w:rPr>
        <w:t>الكافي</w:t>
      </w:r>
      <w:r w:rsidR="00992664" w:rsidRPr="00020424">
        <w:rPr>
          <w:rtl/>
        </w:rPr>
        <w:t xml:space="preserve"> ، ح 5967 رواية عليّ بن إبراهيم ، عن أبيه ، عن بكر بن صالح ، عن الحسن بن عليّ ، عن إسماعيل بن عبد العزيز ، عن أبيه. فاحتمال سقوط الواسطة في ما نحن فيه غير منفيّ.</w:t>
      </w:r>
      <w:r w:rsidR="00446CCA">
        <w:rPr>
          <w:rFonts w:hint="cs"/>
          <w:rtl/>
        </w:rPr>
        <w:t xml:space="preserve">     </w:t>
      </w:r>
      <w:r w:rsidR="00A05922">
        <w:rPr>
          <w:rFonts w:hint="cs"/>
          <w:rtl/>
        </w:rPr>
        <w:t xml:space="preserve">                           </w:t>
      </w:r>
      <w:r w:rsidR="00446CCA">
        <w:rPr>
          <w:rFonts w:hint="cs"/>
          <w:rtl/>
        </w:rPr>
        <w:t xml:space="preserve">            </w:t>
      </w:r>
      <w:r w:rsidR="00992664">
        <w:rPr>
          <w:rFonts w:hint="cs"/>
          <w:rtl/>
          <w:lang w:bidi="fa-IR"/>
        </w:rPr>
        <w:t xml:space="preserve"> </w:t>
      </w:r>
      <w:r>
        <w:rPr>
          <w:rtl/>
        </w:rPr>
        <w:t>(2).</w:t>
      </w:r>
      <w:r w:rsidR="0014403D">
        <w:rPr>
          <w:rtl/>
        </w:rPr>
        <w:t xml:space="preserve"> </w:t>
      </w:r>
      <w:r w:rsidR="00992664" w:rsidRPr="00020424">
        <w:rPr>
          <w:rtl/>
        </w:rPr>
        <w:t>في « بث ، بخ ، بر ، بف » : + « رجلاً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46CCA" w:rsidTr="00446CCA">
        <w:tc>
          <w:tcPr>
            <w:tcW w:w="4006" w:type="dxa"/>
          </w:tcPr>
          <w:p w:rsidR="00446CCA" w:rsidRDefault="00446CCA" w:rsidP="00992664">
            <w:pPr>
              <w:pStyle w:val="libFootnote0"/>
              <w:rPr>
                <w:rtl/>
              </w:rPr>
            </w:pPr>
            <w:r>
              <w:rPr>
                <w:rtl/>
              </w:rPr>
              <w:t xml:space="preserve">(3). </w:t>
            </w:r>
            <w:r w:rsidRPr="00020424">
              <w:rPr>
                <w:rtl/>
              </w:rPr>
              <w:t>في « بح » ورجال الكشّي : « صدق</w:t>
            </w:r>
            <w:r>
              <w:rPr>
                <w:rtl/>
              </w:rPr>
              <w:t xml:space="preserve"> ».</w:t>
            </w:r>
          </w:p>
        </w:tc>
        <w:tc>
          <w:tcPr>
            <w:tcW w:w="4006" w:type="dxa"/>
          </w:tcPr>
          <w:p w:rsidR="00446CCA" w:rsidRDefault="00446CCA" w:rsidP="00992664">
            <w:pPr>
              <w:pStyle w:val="libFootnote0"/>
              <w:rPr>
                <w:rtl/>
              </w:rPr>
            </w:pPr>
            <w:r>
              <w:rPr>
                <w:rtl/>
              </w:rPr>
              <w:t xml:space="preserve">(4). </w:t>
            </w:r>
            <w:r w:rsidRPr="00020424">
              <w:rPr>
                <w:rtl/>
              </w:rPr>
              <w:t>في « بخ ، بر » : « يدين</w:t>
            </w:r>
            <w:r>
              <w:rPr>
                <w:rtl/>
              </w:rPr>
              <w:t xml:space="preserve"> ».</w:t>
            </w:r>
          </w:p>
        </w:tc>
      </w:tr>
      <w:tr w:rsidR="00446CCA" w:rsidTr="00446CCA">
        <w:tc>
          <w:tcPr>
            <w:tcW w:w="4006" w:type="dxa"/>
          </w:tcPr>
          <w:p w:rsidR="00446CCA" w:rsidRDefault="00446CCA" w:rsidP="00992664">
            <w:pPr>
              <w:pStyle w:val="libFootnote0"/>
              <w:rPr>
                <w:rtl/>
              </w:rPr>
            </w:pPr>
            <w:r>
              <w:rPr>
                <w:rtl/>
              </w:rPr>
              <w:t xml:space="preserve">(5). </w:t>
            </w:r>
            <w:r w:rsidRPr="00020424">
              <w:rPr>
                <w:rtl/>
              </w:rPr>
              <w:t>في « بث ، بر ، جن » : « يا با محمّد</w:t>
            </w:r>
            <w:r>
              <w:rPr>
                <w:rtl/>
              </w:rPr>
              <w:t xml:space="preserve"> ».</w:t>
            </w:r>
          </w:p>
        </w:tc>
        <w:tc>
          <w:tcPr>
            <w:tcW w:w="4006" w:type="dxa"/>
          </w:tcPr>
          <w:p w:rsidR="00446CCA" w:rsidRDefault="00446CCA" w:rsidP="00992664">
            <w:pPr>
              <w:pStyle w:val="libFootnote0"/>
              <w:rPr>
                <w:rtl/>
              </w:rPr>
            </w:pPr>
            <w:r>
              <w:rPr>
                <w:rtl/>
              </w:rPr>
              <w:t xml:space="preserve">(6). </w:t>
            </w:r>
            <w:r w:rsidRPr="00020424">
              <w:rPr>
                <w:rtl/>
              </w:rPr>
              <w:t>في « بخ » وحاشية « جن » : « قلت</w:t>
            </w:r>
            <w:r>
              <w:rPr>
                <w:rtl/>
              </w:rPr>
              <w:t xml:space="preserve"> ».</w:t>
            </w:r>
          </w:p>
        </w:tc>
      </w:tr>
      <w:tr w:rsidR="00446CCA" w:rsidTr="00446CCA">
        <w:tc>
          <w:tcPr>
            <w:tcW w:w="4006" w:type="dxa"/>
          </w:tcPr>
          <w:p w:rsidR="00446CCA" w:rsidRDefault="00446CCA" w:rsidP="00992664">
            <w:pPr>
              <w:pStyle w:val="libFootnote0"/>
              <w:rPr>
                <w:rtl/>
              </w:rPr>
            </w:pPr>
            <w:r>
              <w:rPr>
                <w:rtl/>
              </w:rPr>
              <w:t xml:space="preserve">(7). </w:t>
            </w:r>
            <w:r w:rsidRPr="00020424">
              <w:rPr>
                <w:rtl/>
              </w:rPr>
              <w:t xml:space="preserve">في </w:t>
            </w:r>
            <w:r w:rsidRPr="00446CCA">
              <w:rPr>
                <w:rtl/>
              </w:rPr>
              <w:t>الوافي</w:t>
            </w:r>
            <w:r w:rsidRPr="00020424">
              <w:rPr>
                <w:rtl/>
              </w:rPr>
              <w:t xml:space="preserve"> : « تساوي</w:t>
            </w:r>
            <w:r>
              <w:rPr>
                <w:rtl/>
              </w:rPr>
              <w:t xml:space="preserve"> ».</w:t>
            </w:r>
          </w:p>
        </w:tc>
        <w:tc>
          <w:tcPr>
            <w:tcW w:w="4006" w:type="dxa"/>
          </w:tcPr>
          <w:p w:rsidR="00446CCA" w:rsidRDefault="00446CCA" w:rsidP="00992664">
            <w:pPr>
              <w:pStyle w:val="libFootnote0"/>
              <w:rPr>
                <w:rtl/>
              </w:rPr>
            </w:pPr>
            <w:r>
              <w:rPr>
                <w:rtl/>
              </w:rPr>
              <w:t xml:space="preserve">(8). </w:t>
            </w:r>
            <w:r w:rsidRPr="00020424">
              <w:rPr>
                <w:rtl/>
              </w:rPr>
              <w:t>في « بر ، بف » : « الجمال</w:t>
            </w:r>
            <w:r>
              <w:rPr>
                <w:rtl/>
              </w:rPr>
              <w:t xml:space="preserve"> ».</w:t>
            </w:r>
          </w:p>
        </w:tc>
      </w:tr>
      <w:tr w:rsidR="00446CCA" w:rsidTr="00446CCA">
        <w:tc>
          <w:tcPr>
            <w:tcW w:w="4006" w:type="dxa"/>
          </w:tcPr>
          <w:p w:rsidR="00446CCA" w:rsidRDefault="00446CCA" w:rsidP="00992664">
            <w:pPr>
              <w:pStyle w:val="libFootnote0"/>
              <w:rPr>
                <w:rtl/>
              </w:rPr>
            </w:pPr>
            <w:r>
              <w:rPr>
                <w:rtl/>
              </w:rPr>
              <w:t xml:space="preserve">(9). </w:t>
            </w:r>
            <w:r w:rsidRPr="00020424">
              <w:rPr>
                <w:rtl/>
              </w:rPr>
              <w:t>في « بس ، جن » : « أربعة</w:t>
            </w:r>
            <w:r>
              <w:rPr>
                <w:rtl/>
              </w:rPr>
              <w:t xml:space="preserve"> ».</w:t>
            </w:r>
          </w:p>
        </w:tc>
        <w:tc>
          <w:tcPr>
            <w:tcW w:w="4006" w:type="dxa"/>
          </w:tcPr>
          <w:p w:rsidR="00446CCA" w:rsidRDefault="00446CCA" w:rsidP="00992664">
            <w:pPr>
              <w:pStyle w:val="libFootnote0"/>
              <w:rPr>
                <w:rtl/>
              </w:rPr>
            </w:pPr>
            <w:r>
              <w:rPr>
                <w:rtl/>
              </w:rPr>
              <w:t xml:space="preserve">(10). </w:t>
            </w:r>
            <w:r w:rsidRPr="00020424">
              <w:rPr>
                <w:rtl/>
              </w:rPr>
              <w:t>في « ظ » : « فقال</w:t>
            </w:r>
            <w:r>
              <w:rPr>
                <w:rtl/>
              </w:rPr>
              <w:t xml:space="preserve"> ».</w:t>
            </w:r>
          </w:p>
        </w:tc>
      </w:tr>
      <w:tr w:rsidR="00446CCA" w:rsidTr="00446CCA">
        <w:tc>
          <w:tcPr>
            <w:tcW w:w="4006" w:type="dxa"/>
          </w:tcPr>
          <w:p w:rsidR="00446CCA" w:rsidRDefault="00446CCA" w:rsidP="00992664">
            <w:pPr>
              <w:pStyle w:val="libFootnote0"/>
              <w:rPr>
                <w:rtl/>
              </w:rPr>
            </w:pPr>
            <w:r>
              <w:rPr>
                <w:rtl/>
              </w:rPr>
              <w:t xml:space="preserve">(11). </w:t>
            </w:r>
            <w:r w:rsidRPr="00020424">
              <w:rPr>
                <w:rtl/>
              </w:rPr>
              <w:t>في « بخ » : + « له</w:t>
            </w:r>
            <w:r>
              <w:rPr>
                <w:rtl/>
              </w:rPr>
              <w:t xml:space="preserve"> ».</w:t>
            </w:r>
          </w:p>
        </w:tc>
        <w:tc>
          <w:tcPr>
            <w:tcW w:w="4006" w:type="dxa"/>
          </w:tcPr>
          <w:p w:rsidR="00446CCA" w:rsidRDefault="00446CCA" w:rsidP="00992664">
            <w:pPr>
              <w:pStyle w:val="libFootnote0"/>
              <w:rPr>
                <w:rtl/>
              </w:rPr>
            </w:pPr>
            <w:r>
              <w:rPr>
                <w:rtl/>
              </w:rPr>
              <w:t xml:space="preserve">(12). </w:t>
            </w:r>
            <w:r w:rsidRPr="00020424">
              <w:rPr>
                <w:rtl/>
              </w:rPr>
              <w:t>في « بح » : «</w:t>
            </w:r>
            <w:r>
              <w:rPr>
                <w:rtl/>
              </w:rPr>
              <w:t xml:space="preserve"> أ</w:t>
            </w:r>
            <w:r>
              <w:rPr>
                <w:rFonts w:hint="cs"/>
                <w:rtl/>
              </w:rPr>
              <w:t xml:space="preserve"> </w:t>
            </w:r>
            <w:r w:rsidRPr="00020424">
              <w:rPr>
                <w:rtl/>
              </w:rPr>
              <w:t>فتأمرني</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ى ، بث ، بح ، بس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ى ، بث ، بس ، جن » </w:t>
      </w:r>
      <w:r w:rsidR="00992664" w:rsidRPr="00EB1FD9">
        <w:rPr>
          <w:rStyle w:val="libFootnoteBoldChar"/>
          <w:rtl/>
        </w:rPr>
        <w:t>والوسائل</w:t>
      </w:r>
      <w:r w:rsidR="00992664" w:rsidRPr="00020424">
        <w:rPr>
          <w:rtl/>
        </w:rPr>
        <w:t xml:space="preserve"> : « ببيع</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46CCA">
      <w:pPr>
        <w:pStyle w:val="libNormal0"/>
        <w:rPr>
          <w:rtl/>
          <w:lang w:bidi="fa-IR"/>
        </w:rPr>
      </w:pPr>
      <w:r w:rsidRPr="00020424">
        <w:rPr>
          <w:rtl/>
          <w:lang w:bidi="fa-IR"/>
        </w:rPr>
        <w:lastRenderedPageBreak/>
        <w:t xml:space="preserve">رَأْسِهِ ، أَوْ يَبِيعَ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جَارِيَتَهُ الَّتِي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تَقِيهِ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الْحَرَّ وَالْبَرْدَ وَتَصُونُ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وَجْهَهُ وَوَجْهَ عِيَالِهِ ، أَوْ آمُرَهُ أَنْ يَبِيعَ غُلَامَهُ وَجَمَلَهُ وَهُوَ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مَعِيشَتُهُ وَقُوتُهُ</w:t>
      </w:r>
      <w:r>
        <w:rPr>
          <w:rtl/>
          <w:lang w:bidi="fa-IR"/>
        </w:rPr>
        <w:t>؟</w:t>
      </w:r>
      <w:r w:rsidRPr="00020424">
        <w:rPr>
          <w:rtl/>
          <w:lang w:bidi="fa-IR"/>
        </w:rPr>
        <w:t xml:space="preserve"> بَلْ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يَأْخُذُ الزَّكَاةَ ، فَهِيَ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لَهُ حَلَالٌ ، وَلَايَبِيعُ دَارَهُ ، وَلَا</w:t>
      </w:r>
      <w:r w:rsidR="00446CCA">
        <w:rPr>
          <w:rFonts w:hint="cs"/>
          <w:rtl/>
          <w:lang w:bidi="fa-IR"/>
        </w:rPr>
        <w:t xml:space="preserve"> </w:t>
      </w:r>
      <w:r w:rsidRPr="00020424">
        <w:rPr>
          <w:rtl/>
          <w:lang w:bidi="fa-IR"/>
        </w:rPr>
        <w:t>غُلَامَهُ ، وَلَاجَمَلَهُ</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AE4279">
        <w:rPr>
          <w:rtl/>
        </w:rPr>
        <w:t>5975</w:t>
      </w:r>
      <w:r w:rsidRPr="001155DE">
        <w:rPr>
          <w:rStyle w:val="libBold2Char"/>
          <w:rtl/>
        </w:rPr>
        <w:t xml:space="preserve"> / 11.</w:t>
      </w:r>
      <w:r w:rsidRPr="00020424">
        <w:rPr>
          <w:rtl/>
          <w:lang w:bidi="fa-IR"/>
        </w:rPr>
        <w:t xml:space="preserve"> عِدَّةٌ مِنْ أَصْحَابِنَا ، عَنْ أَحْمَدَ بْنِ مُحَمَّدٍ ، عَنِ الْحُسَيْنِ بْنِ سَعِيدٍ ، عَنْ أَخِيهِ الْحَسَنِ ، عَنْ زُرْعَةَ ، عَنْ 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يَكُونُ لَهُ الدَّرَاهِمُ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يَعْمَلُ بِهَا ، وَقَدْ وَجَبَ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عَلَيْهِ فِيهَا الزَّكَاةُ ، وَيَكُونُ فَضْلُهُ الَّذِي يَكْسِبُ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بِمَالِهِ كَفَافَ عِيَالِهِ لِطَعَامِهِمْ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وَكِسْوَتِهِمْ ، لَايَسَعُهُ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لِأُدُمِهِمْ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 وَإِنَّمَا هُوَ مَا يَقُوتُهُمْ فِي الطَّعَامِ وَالْكِسْوَةِ</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بس » </w:t>
      </w:r>
      <w:r w:rsidR="00992664" w:rsidRPr="00EB1FD9">
        <w:rPr>
          <w:rStyle w:val="libFootnoteBoldChar"/>
          <w:rtl/>
        </w:rPr>
        <w:t>والوسائل</w:t>
      </w:r>
      <w:r w:rsidR="00992664" w:rsidRPr="00020424">
        <w:rPr>
          <w:rtl/>
        </w:rPr>
        <w:t xml:space="preserve"> : « ببيع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 « خادمه التي</w:t>
      </w:r>
      <w:r w:rsidR="00992664">
        <w:rPr>
          <w:rtl/>
        </w:rPr>
        <w:t xml:space="preserve"> ».</w:t>
      </w:r>
      <w:r w:rsidR="00992664" w:rsidRPr="00020424">
        <w:rPr>
          <w:rtl/>
        </w:rPr>
        <w:t xml:space="preserve"> وفي « بخ ، بر ، بف » </w:t>
      </w:r>
      <w:r w:rsidR="00992664" w:rsidRPr="00EB1FD9">
        <w:rPr>
          <w:rStyle w:val="libFootnoteBoldChar"/>
          <w:rtl/>
        </w:rPr>
        <w:t>والوسائل</w:t>
      </w:r>
      <w:r w:rsidR="00992664" w:rsidRPr="00020424">
        <w:rPr>
          <w:rtl/>
        </w:rPr>
        <w:t xml:space="preserve"> : « خادمه الذي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 « يقي</w:t>
      </w:r>
      <w:r w:rsidR="00992664">
        <w:rPr>
          <w:rtl/>
        </w:rPr>
        <w:t xml:space="preserve"> ».</w:t>
      </w:r>
      <w:r w:rsidR="00992664" w:rsidRPr="00020424">
        <w:rPr>
          <w:rtl/>
        </w:rPr>
        <w:t xml:space="preserve"> وفي « بخ ، بر » </w:t>
      </w:r>
      <w:r w:rsidR="00992664" w:rsidRPr="00EB1FD9">
        <w:rPr>
          <w:rStyle w:val="libFootnoteBoldChar"/>
          <w:rtl/>
        </w:rPr>
        <w:t>والوسائل</w:t>
      </w:r>
      <w:r w:rsidR="00992664" w:rsidRPr="00020424">
        <w:rPr>
          <w:rtl/>
        </w:rPr>
        <w:t xml:space="preserve"> : « يقيه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بخ ، بر ، بف » </w:t>
      </w:r>
      <w:r w:rsidR="00992664" w:rsidRPr="00EB1FD9">
        <w:rPr>
          <w:rStyle w:val="libFootnoteBoldChar"/>
          <w:rtl/>
        </w:rPr>
        <w:t>والوسائل</w:t>
      </w:r>
      <w:r w:rsidR="00992664" w:rsidRPr="00020424">
        <w:rPr>
          <w:rtl/>
        </w:rPr>
        <w:t xml:space="preserve"> : « ويصون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446CCA">
        <w:rPr>
          <w:rtl/>
        </w:rPr>
        <w:t>والوافي</w:t>
      </w:r>
      <w:r w:rsidR="00992664" w:rsidRPr="00020424">
        <w:rPr>
          <w:rtl/>
        </w:rPr>
        <w:t xml:space="preserve"> : « وهي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446CCA">
        <w:rP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معظم النسخ التي قوبلت </w:t>
      </w:r>
      <w:r w:rsidR="00992664" w:rsidRPr="00446CCA">
        <w:rPr>
          <w:rtl/>
        </w:rPr>
        <w:t>والوافي</w:t>
      </w:r>
      <w:r w:rsidR="00992664" w:rsidRPr="00020424">
        <w:rPr>
          <w:rtl/>
        </w:rPr>
        <w:t>. وفي « بح » والمطبوع : « وهي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رجال الكشّي</w:t>
      </w:r>
      <w:r w:rsidR="00992664" w:rsidRPr="00020424">
        <w:rPr>
          <w:rtl/>
        </w:rPr>
        <w:t xml:space="preserve"> ، ص 319 ، ح 579 ، بسنده عن إبراهيم بن هاشم ، عن بكر بن صالح ، عن الحسن بن عليّ ، عن إسماعيل بن عبدالعزيز ، مع اختلاف يسير </w:t>
      </w:r>
      <w:r w:rsidR="00446CCA">
        <w:rPr>
          <w:rFonts w:hint="cs"/>
          <w:rtl/>
        </w:rPr>
        <w:t>.</w:t>
      </w:r>
      <w:r w:rsidR="00992664" w:rsidRPr="0012008A">
        <w:rPr>
          <w:rStyle w:val="libFootnoteBoldChar"/>
          <w:rtl/>
        </w:rPr>
        <w:t>الوافي</w:t>
      </w:r>
      <w:r w:rsidR="00992664" w:rsidRPr="00020424">
        <w:rPr>
          <w:rtl/>
        </w:rPr>
        <w:t xml:space="preserve"> ، ج 10 ، ص 172 ، ح 9365 ؛ </w:t>
      </w:r>
      <w:r w:rsidR="00992664" w:rsidRPr="0012008A">
        <w:rPr>
          <w:rStyle w:val="libFootnoteBoldChar"/>
          <w:rtl/>
        </w:rPr>
        <w:t>الوسائل</w:t>
      </w:r>
      <w:r w:rsidR="00992664" w:rsidRPr="00020424">
        <w:rPr>
          <w:rtl/>
        </w:rPr>
        <w:t xml:space="preserve"> ، ج 9 ، ص 236 ، ح 11918.</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بر » وحاشية « بف ، جن » </w:t>
      </w:r>
      <w:r w:rsidR="00992664" w:rsidRPr="00EB1FD9">
        <w:rPr>
          <w:rStyle w:val="libFootnoteBoldChar"/>
          <w:rtl/>
        </w:rPr>
        <w:t>والوسائل</w:t>
      </w:r>
      <w:r w:rsidR="00992664" w:rsidRPr="00020424">
        <w:rPr>
          <w:rtl/>
        </w:rPr>
        <w:t xml:space="preserve"> : « ألف درهم » بدل « الدراهم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46CCA" w:rsidTr="00446CCA">
        <w:tc>
          <w:tcPr>
            <w:tcW w:w="4006" w:type="dxa"/>
          </w:tcPr>
          <w:p w:rsidR="00446CCA" w:rsidRDefault="00446CCA" w:rsidP="00992664">
            <w:pPr>
              <w:pStyle w:val="libFootnote0"/>
              <w:rPr>
                <w:rtl/>
              </w:rPr>
            </w:pPr>
            <w:r>
              <w:rPr>
                <w:rtl/>
              </w:rPr>
              <w:t xml:space="preserve">(10). </w:t>
            </w:r>
            <w:r w:rsidRPr="00020424">
              <w:rPr>
                <w:rtl/>
              </w:rPr>
              <w:t xml:space="preserve">في « بخ » </w:t>
            </w:r>
            <w:r w:rsidRPr="00446CCA">
              <w:rPr>
                <w:rtl/>
              </w:rPr>
              <w:t>والوافي</w:t>
            </w:r>
            <w:r w:rsidRPr="00020424">
              <w:rPr>
                <w:rtl/>
              </w:rPr>
              <w:t xml:space="preserve"> : « وجبت</w:t>
            </w:r>
            <w:r>
              <w:rPr>
                <w:rtl/>
              </w:rPr>
              <w:t xml:space="preserve"> ».</w:t>
            </w:r>
          </w:p>
        </w:tc>
        <w:tc>
          <w:tcPr>
            <w:tcW w:w="4006" w:type="dxa"/>
          </w:tcPr>
          <w:p w:rsidR="00446CCA" w:rsidRDefault="00446CCA" w:rsidP="00992664">
            <w:pPr>
              <w:pStyle w:val="libFootnote0"/>
              <w:rPr>
                <w:rtl/>
              </w:rPr>
            </w:pPr>
            <w:r>
              <w:rPr>
                <w:rtl/>
              </w:rPr>
              <w:t>(11). في «بح ،بخ ،بر ،</w:t>
            </w:r>
            <w:r w:rsidRPr="00020424">
              <w:rPr>
                <w:rtl/>
              </w:rPr>
              <w:t xml:space="preserve">بف » </w:t>
            </w:r>
            <w:r w:rsidRPr="00446CCA">
              <w:rPr>
                <w:rtl/>
              </w:rPr>
              <w:t>والوافي</w:t>
            </w:r>
            <w:r w:rsidRPr="00020424">
              <w:rPr>
                <w:rtl/>
              </w:rPr>
              <w:t xml:space="preserve"> </w:t>
            </w:r>
            <w:r>
              <w:rPr>
                <w:rtl/>
              </w:rPr>
              <w:t>: «</w:t>
            </w:r>
            <w:r w:rsidRPr="00020424">
              <w:rPr>
                <w:rtl/>
              </w:rPr>
              <w:t>يكتسب</w:t>
            </w:r>
            <w:r>
              <w:rPr>
                <w:rtl/>
              </w:rPr>
              <w:t>».</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 « بطعامهم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بث ، بف ، جن » </w:t>
      </w:r>
      <w:r w:rsidR="00992664" w:rsidRPr="00EB1FD9">
        <w:rPr>
          <w:rStyle w:val="libFootnoteBoldChar"/>
          <w:rtl/>
        </w:rPr>
        <w:t>والوسائل</w:t>
      </w:r>
      <w:r w:rsidR="00992664" w:rsidRPr="00020424">
        <w:rPr>
          <w:rtl/>
        </w:rPr>
        <w:t xml:space="preserve"> : « ولا يسعه</w:t>
      </w:r>
      <w:r w:rsidR="00992664">
        <w:rPr>
          <w:rtl/>
        </w:rPr>
        <w:t xml:space="preserve"> ».</w:t>
      </w:r>
      <w:r w:rsidR="00992664" w:rsidRPr="00020424">
        <w:rPr>
          <w:rtl/>
        </w:rPr>
        <w:t xml:space="preserve"> وفي « بخ » </w:t>
      </w:r>
      <w:r w:rsidR="00992664" w:rsidRPr="00446CCA">
        <w:rPr>
          <w:rtl/>
        </w:rPr>
        <w:t>والوافي</w:t>
      </w:r>
      <w:r w:rsidR="00992664" w:rsidRPr="00020424">
        <w:rPr>
          <w:rtl/>
        </w:rPr>
        <w:t xml:space="preserve"> : « ولا يسعهم</w:t>
      </w:r>
      <w:r w:rsidR="00992664">
        <w:rPr>
          <w:rtl/>
        </w:rPr>
        <w:t xml:space="preserve"> ».</w:t>
      </w:r>
      <w:r w:rsidR="00992664" w:rsidRPr="00020424">
        <w:rPr>
          <w:rtl/>
        </w:rPr>
        <w:t xml:space="preserve"> وفي « بح » وحاشية « بث » : « لايسعهم » بدون الواو.</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قال ابن الأثير : « الإدام بالكسر ، والا</w:t>
      </w:r>
      <w:r w:rsidR="00446CCA">
        <w:rPr>
          <w:rFonts w:hint="cs"/>
          <w:rtl/>
        </w:rPr>
        <w:t>ُ</w:t>
      </w:r>
      <w:r w:rsidR="00992664" w:rsidRPr="00020424">
        <w:rPr>
          <w:rtl/>
        </w:rPr>
        <w:t>دُم بالضمّ : ما يؤكل مع الخبز أيّ شي‌ء كان » ، وقال الفيّومي : « الإدام : ما يؤتدم به مائعاً كان أو جامداً ، وجمعه : ا</w:t>
      </w:r>
      <w:r w:rsidR="00446CCA">
        <w:rPr>
          <w:rFonts w:hint="cs"/>
          <w:rtl/>
        </w:rPr>
        <w:t>ُ</w:t>
      </w:r>
      <w:r w:rsidR="00992664" w:rsidRPr="00020424">
        <w:rPr>
          <w:rtl/>
        </w:rPr>
        <w:t>دُم ، مثل كتاب وكتب ، ويسكّن للتخفيف فيعامل معاملة المفرد ، ويجمع على آدامٍ ، مثل قفل وأقفال</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1 ، ص 31 ؛ </w:t>
      </w:r>
      <w:r w:rsidR="00992664" w:rsidRPr="00A722B1">
        <w:rPr>
          <w:rStyle w:val="libFootnoteBoldChar"/>
          <w:rtl/>
        </w:rPr>
        <w:t>المصباح المنير</w:t>
      </w:r>
      <w:r w:rsidR="00992664" w:rsidRPr="00020424">
        <w:rPr>
          <w:rtl/>
        </w:rPr>
        <w:t xml:space="preserve"> ، ص 9 ( أدم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 « فَلْيَنْظُرْ إِلى زَكَاةِ مَالِهِ ذلِكَ ، فَلْيُخْرِجْ مِنْهَا شَيْئاً قَلَّ أَوْ كَثُرَ ، فَيُعْطِيهِ </w:t>
      </w:r>
      <w:r w:rsidRPr="00A91B96">
        <w:rPr>
          <w:rStyle w:val="libFootnotenumChar"/>
          <w:rtl/>
        </w:rPr>
        <w:t>(1)</w:t>
      </w:r>
      <w:r w:rsidRPr="00020424">
        <w:rPr>
          <w:rtl/>
          <w:lang w:bidi="fa-IR"/>
        </w:rPr>
        <w:t xml:space="preserve"> بَعْضَ مَنْ </w:t>
      </w:r>
      <w:r w:rsidRPr="00A91B96">
        <w:rPr>
          <w:rStyle w:val="libFootnotenumChar"/>
          <w:rtl/>
        </w:rPr>
        <w:t>(2)</w:t>
      </w:r>
      <w:r w:rsidRPr="00020424">
        <w:rPr>
          <w:rtl/>
          <w:lang w:bidi="fa-IR"/>
        </w:rPr>
        <w:t xml:space="preserve"> تَحِلُّ </w:t>
      </w:r>
      <w:r w:rsidRPr="00A91B96">
        <w:rPr>
          <w:rStyle w:val="libFootnotenumChar"/>
          <w:rtl/>
        </w:rPr>
        <w:t>(3)</w:t>
      </w:r>
      <w:r w:rsidRPr="00020424">
        <w:rPr>
          <w:rtl/>
          <w:lang w:bidi="fa-IR"/>
        </w:rPr>
        <w:t xml:space="preserve"> لَهُ الزَّكَاةُ ، وَلْيَعُدْ بِمَا بَقِيَ مِنَ الزَّكَاةِ عَلى عِيَالِهِ ، وَلْيَشْتَرِ </w:t>
      </w:r>
      <w:r w:rsidRPr="00A91B96">
        <w:rPr>
          <w:rStyle w:val="libFootnotenumChar"/>
          <w:rtl/>
        </w:rPr>
        <w:t>(4)</w:t>
      </w:r>
      <w:r w:rsidRPr="00020424">
        <w:rPr>
          <w:rtl/>
          <w:lang w:bidi="fa-IR"/>
        </w:rPr>
        <w:t xml:space="preserve"> بِذلِكَ آدَامَهُمْ وَمَا يُصْلِحُهُمْ </w:t>
      </w:r>
      <w:r w:rsidRPr="00A91B96">
        <w:rPr>
          <w:rStyle w:val="libFootnotenumChar"/>
          <w:rtl/>
        </w:rPr>
        <w:t>(5)</w:t>
      </w:r>
      <w:r w:rsidRPr="00020424">
        <w:rPr>
          <w:rtl/>
          <w:lang w:bidi="fa-IR"/>
        </w:rPr>
        <w:t xml:space="preserve"> مِنْ طَعَامِهِمْ مِنْ </w:t>
      </w:r>
      <w:r w:rsidRPr="00A91B96">
        <w:rPr>
          <w:rStyle w:val="libFootnotenumChar"/>
          <w:rtl/>
        </w:rPr>
        <w:t>(6)</w:t>
      </w:r>
      <w:r w:rsidRPr="00020424">
        <w:rPr>
          <w:rtl/>
          <w:lang w:bidi="fa-IR"/>
        </w:rPr>
        <w:t xml:space="preserve"> غَيْرِ إِسْرَافٍ ، وَلَايَأْكُلْ هُوَ مِنْهُ ، فَإِنَّهُ رُبَّ فَقِيرٍ أَسْرَفُ مِنْ غَنِيٍّ</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كَيْفَ يَكُونُ الْفَقِيرُ أَسْرَفَ مِنَ الْغَنِيِّ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فَقَالَ : « إِنَّ </w:t>
      </w:r>
      <w:r w:rsidRPr="00A91B96">
        <w:rPr>
          <w:rStyle w:val="libFootnotenumChar"/>
          <w:rtl/>
        </w:rPr>
        <w:t>(8)</w:t>
      </w:r>
      <w:r w:rsidRPr="00020424">
        <w:rPr>
          <w:rtl/>
          <w:lang w:bidi="fa-IR"/>
        </w:rPr>
        <w:t xml:space="preserve"> الْغَنِيَّ يُنْفِقُ مِمَّا أُوتِيَ ، وَالْفَقِيرَ يُنْفِقُ مِنْ غَيْرِ مَا أُوتِيَ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AE4279">
        <w:rPr>
          <w:rtl/>
        </w:rPr>
        <w:t>5976</w:t>
      </w:r>
      <w:r w:rsidRPr="001155DE">
        <w:rPr>
          <w:rStyle w:val="libBold2Char"/>
          <w:rtl/>
        </w:rPr>
        <w:t xml:space="preserve"> / 12.</w:t>
      </w:r>
      <w:r w:rsidRPr="00020424">
        <w:rPr>
          <w:rtl/>
          <w:lang w:bidi="fa-IR"/>
        </w:rPr>
        <w:t xml:space="preserve"> عِدَّةٌ مِنْ أَصْحَابِنَا ، عَنْ أَحْمَدَ بْنِ مُحَمَّدٍ ، عَنِ الْحَسَنِ </w:t>
      </w:r>
      <w:r w:rsidRPr="00A91B96">
        <w:rPr>
          <w:rStyle w:val="libFootnotenumChar"/>
          <w:rtl/>
        </w:rPr>
        <w:t>(11)</w:t>
      </w:r>
      <w:r w:rsidRPr="00020424">
        <w:rPr>
          <w:rtl/>
          <w:lang w:bidi="fa-IR"/>
        </w:rPr>
        <w:t xml:space="preserve"> بْنِ مَحْبُوبٍ ، عَنْ مُعَاوِيَةَ بْنِ وَهْبٍ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يَرْوُونَ عَنِ النَّبِيِّ </w:t>
      </w:r>
      <w:r w:rsidR="00B42914" w:rsidRPr="00B42914">
        <w:rPr>
          <w:rStyle w:val="libAlaemChar"/>
          <w:rtl/>
        </w:rPr>
        <w:t>صلى‌الله‌عليه‌وآله‌</w:t>
      </w:r>
      <w:r w:rsidRPr="00020424">
        <w:rPr>
          <w:rtl/>
          <w:lang w:bidi="fa-IR"/>
        </w:rPr>
        <w:t xml:space="preserve"> أَنَّ الصَّدَقَةَ لَاتَحِلُّ لِغَنِيٍّ </w:t>
      </w:r>
      <w:r w:rsidRPr="00A91B96">
        <w:rPr>
          <w:rStyle w:val="libFootnotenumChar"/>
          <w:rtl/>
        </w:rPr>
        <w:t>(12)</w:t>
      </w:r>
      <w:r w:rsidRPr="00020424">
        <w:rPr>
          <w:rtl/>
          <w:lang w:bidi="fa-IR"/>
        </w:rPr>
        <w:t xml:space="preserve"> ، وَلَالِذِي مِرَّةٍ سَوِيٍّ </w:t>
      </w:r>
      <w:r w:rsidRPr="00A91B96">
        <w:rPr>
          <w:rStyle w:val="libFootnotenumChar"/>
          <w:rtl/>
        </w:rPr>
        <w:t>(13)</w:t>
      </w:r>
      <w:r w:rsidR="00000E27" w:rsidRPr="00000E27">
        <w:rP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وحاشية « بث » : « وليعطه</w:t>
      </w:r>
      <w:r w:rsidR="00992664">
        <w:rPr>
          <w:rtl/>
        </w:rPr>
        <w:t xml:space="preserve"> ».</w:t>
      </w:r>
      <w:r w:rsidR="00992664" w:rsidRPr="00020424">
        <w:rPr>
          <w:rtl/>
        </w:rPr>
        <w:t xml:space="preserve"> وفي « بر ، بف » </w:t>
      </w:r>
      <w:r w:rsidR="00992664" w:rsidRPr="00000E27">
        <w:rPr>
          <w:rtl/>
        </w:rPr>
        <w:t>والوافي</w:t>
      </w:r>
      <w:r w:rsidR="00992664" w:rsidRPr="00020424">
        <w:rPr>
          <w:rtl/>
        </w:rPr>
        <w:t xml:space="preserve"> : « فليعطه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جن » : « يحلّ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بر ، بس ، بف » </w:t>
      </w:r>
      <w:r w:rsidR="00992664" w:rsidRPr="00EB1FD9">
        <w:rPr>
          <w:rStyle w:val="libFootnoteBoldChar"/>
          <w:rtl/>
        </w:rPr>
        <w:t>والوسائل</w:t>
      </w:r>
      <w:r w:rsidR="00992664" w:rsidRPr="00020424">
        <w:rPr>
          <w:rtl/>
        </w:rPr>
        <w:t xml:space="preserve"> : « فليشتر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بخ ، بر ، بف » </w:t>
      </w:r>
      <w:r w:rsidR="00992664" w:rsidRPr="00000E27">
        <w:rPr>
          <w:rtl/>
        </w:rPr>
        <w:t>والوافي</w:t>
      </w:r>
      <w:r w:rsidR="00992664" w:rsidRPr="00020424">
        <w:rPr>
          <w:rtl/>
        </w:rPr>
        <w:t xml:space="preserve"> : « وما يصلح لهم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بر ، بف » </w:t>
      </w:r>
      <w:r w:rsidR="00992664" w:rsidRPr="00EB1FD9">
        <w:rPr>
          <w:rStyle w:val="libFootnoteBoldChar"/>
          <w:rtl/>
        </w:rPr>
        <w:t>والوسائل</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بس ، بف » : « غنيّ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بث »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r w:rsidR="00992664" w:rsidRPr="00020424">
        <w:rPr>
          <w:rtl/>
        </w:rPr>
        <w:t xml:space="preserve"> وفي « بر » » : « لأنّ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يستفاد من هذا الحديث أنّ الفقير إذا كان يأخذ وينفق فيما ينفق فيه الغنيّ ممّا لا حاجة مهمّة تدعو إليه فهو مسرف في ذلك الإنفاق ، وإن كان الغنيّ قد يكون غير مسرف</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الكافي</w:t>
      </w:r>
      <w:r w:rsidR="00992664" w:rsidRPr="00020424">
        <w:rPr>
          <w:rtl/>
        </w:rPr>
        <w:t xml:space="preserve"> ، كتاب الزكاة ، باب كراهية السرف والتقتير ، ح 6223 ، بسند آخر ، من قوله : « ربّ فقير أسرف من غنيّ » مع اختلاف يسير </w:t>
      </w:r>
      <w:r w:rsidR="00000E27">
        <w:rPr>
          <w:rFonts w:hint="cs"/>
          <w:rtl/>
        </w:rPr>
        <w:t>.</w:t>
      </w:r>
      <w:r w:rsidR="00992664" w:rsidRPr="0012008A">
        <w:rPr>
          <w:rStyle w:val="libFootnoteBoldChar"/>
          <w:rtl/>
        </w:rPr>
        <w:t>الوافي</w:t>
      </w:r>
      <w:r w:rsidR="00992664" w:rsidRPr="00020424">
        <w:rPr>
          <w:rtl/>
        </w:rPr>
        <w:t xml:space="preserve"> ، ج 10 ، ص 171 ، ح 9364 ؛ </w:t>
      </w:r>
      <w:r w:rsidR="00992664" w:rsidRPr="0012008A">
        <w:rPr>
          <w:rStyle w:val="libFootnoteBoldChar"/>
          <w:rtl/>
        </w:rPr>
        <w:t>الوسائل</w:t>
      </w:r>
      <w:r w:rsidR="00992664" w:rsidRPr="00020424">
        <w:rPr>
          <w:rtl/>
        </w:rPr>
        <w:t xml:space="preserve"> ، ج 9 ، ص 242 ، ح 11933.</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 « للغنيّ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قد مضى معنى المرّة والسويّ ذيل الحديث الثاني من هذا الباب.</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فَقَالَ أَبُو عَبْدِ اللهِ </w:t>
      </w:r>
      <w:r w:rsidRPr="00005A81">
        <w:rPr>
          <w:rStyle w:val="libAlaemChar"/>
          <w:rtl/>
        </w:rPr>
        <w:t>عليه‌السلام</w:t>
      </w:r>
      <w:r w:rsidRPr="00020424">
        <w:rPr>
          <w:rtl/>
          <w:lang w:bidi="fa-IR"/>
        </w:rPr>
        <w:t xml:space="preserve"> : « لَا تَصْلُحُ </w:t>
      </w:r>
      <w:r w:rsidRPr="00A91B96">
        <w:rPr>
          <w:rStyle w:val="libFootnotenumChar"/>
          <w:rtl/>
        </w:rPr>
        <w:t>(1)</w:t>
      </w:r>
      <w:r w:rsidRPr="00020424">
        <w:rPr>
          <w:rtl/>
          <w:lang w:bidi="fa-IR"/>
        </w:rPr>
        <w:t xml:space="preserve"> لِغَنِيٍّ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E4279">
        <w:rPr>
          <w:rtl/>
        </w:rPr>
        <w:t>5977</w:t>
      </w:r>
      <w:r w:rsidRPr="001155DE">
        <w:rPr>
          <w:rStyle w:val="libBold2Char"/>
          <w:rtl/>
        </w:rPr>
        <w:t xml:space="preserve"> / 13.</w:t>
      </w:r>
      <w:r w:rsidRPr="00020424">
        <w:rPr>
          <w:rtl/>
          <w:lang w:bidi="fa-IR"/>
        </w:rPr>
        <w:t xml:space="preserve"> عَلِيُّ بْنُ إِبْرَاهِيمَ ، عَنْ أَبِيهِ ، عَنِ ابْنِ أَبِي عُمَيْرٍ ، عَنْ حَمَّادِ بْنِ عُثْمَانَ </w:t>
      </w:r>
      <w:r w:rsidRPr="00A91B96">
        <w:rPr>
          <w:rStyle w:val="libFootnotenumChar"/>
          <w:rtl/>
        </w:rPr>
        <w:t>(4)</w:t>
      </w:r>
      <w:r w:rsidRPr="00020424">
        <w:rPr>
          <w:rtl/>
          <w:lang w:bidi="fa-IR"/>
        </w:rPr>
        <w:t xml:space="preserve">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مَا يُعْطَى الْمُصَدِّقُ</w:t>
      </w:r>
      <w:r>
        <w:rPr>
          <w:rtl/>
          <w:lang w:bidi="fa-IR"/>
        </w:rPr>
        <w:t>؟</w:t>
      </w:r>
    </w:p>
    <w:p w:rsidR="00992664" w:rsidRPr="00020424" w:rsidRDefault="00992664" w:rsidP="00992664">
      <w:pPr>
        <w:pStyle w:val="libNormal"/>
        <w:rPr>
          <w:rtl/>
          <w:lang w:bidi="fa-IR"/>
        </w:rPr>
      </w:pPr>
      <w:r w:rsidRPr="00020424">
        <w:rPr>
          <w:rtl/>
          <w:lang w:bidi="fa-IR"/>
        </w:rPr>
        <w:t xml:space="preserve">قَالَ : « مَا يَرَى الْإِمَامُ ، وَلَايُقَدَّرُ لَهُ </w:t>
      </w:r>
      <w:r w:rsidRPr="00A91B96">
        <w:rPr>
          <w:rStyle w:val="libFootnotenumChar"/>
          <w:rtl/>
        </w:rPr>
        <w:t>(5)</w:t>
      </w:r>
      <w:r w:rsidRPr="00020424">
        <w:rPr>
          <w:rtl/>
          <w:lang w:bidi="fa-IR"/>
        </w:rPr>
        <w:t xml:space="preserve"> شَيْ‌ءٌ</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Normal"/>
        <w:rPr>
          <w:rtl/>
          <w:lang w:bidi="fa-IR"/>
        </w:rPr>
      </w:pPr>
      <w:r w:rsidRPr="00AE4279">
        <w:rPr>
          <w:rtl/>
        </w:rPr>
        <w:t>5978</w:t>
      </w:r>
      <w:r w:rsidRPr="001155DE">
        <w:rPr>
          <w:rStyle w:val="libBold2Char"/>
          <w:rtl/>
        </w:rPr>
        <w:t xml:space="preserve"> / 14.</w:t>
      </w:r>
      <w:r w:rsidRPr="00020424">
        <w:rPr>
          <w:rtl/>
          <w:lang w:bidi="fa-IR"/>
        </w:rPr>
        <w:t xml:space="preserve"> مُحَمَّدُ بْنُ إِسْمَاعِيلَ ، عَنِ الْفَضْلِ بْنِ شَاذَانَ ، عَنْ صَفْوَانَ بْنِ يَحْيى </w:t>
      </w:r>
      <w:r w:rsidRPr="00A91B96">
        <w:rPr>
          <w:rStyle w:val="libFootnotenumChar"/>
          <w:rtl/>
        </w:rPr>
        <w:t>(7)</w:t>
      </w:r>
      <w:r w:rsidRPr="00020424">
        <w:rPr>
          <w:rtl/>
          <w:lang w:bidi="fa-IR"/>
        </w:rPr>
        <w:t xml:space="preserve"> ، عَنْ عَبْدِ الرَّحْمنِ بْنِ الْحَجَّاجِ ، قَالَ :</w:t>
      </w:r>
    </w:p>
    <w:p w:rsidR="00992664" w:rsidRPr="00020424" w:rsidRDefault="00992664" w:rsidP="00992664">
      <w:pPr>
        <w:pStyle w:val="libNormal"/>
        <w:rPr>
          <w:rtl/>
          <w:lang w:bidi="fa-IR"/>
        </w:rPr>
      </w:pPr>
      <w:r w:rsidRPr="00020424">
        <w:rPr>
          <w:rtl/>
          <w:lang w:bidi="fa-IR"/>
        </w:rPr>
        <w:t xml:space="preserve">قُلْتُ لِأَبِي الْحَسَنِ </w:t>
      </w:r>
      <w:r w:rsidRPr="00A91B96">
        <w:rPr>
          <w:rStyle w:val="libFootnotenumChar"/>
          <w:rtl/>
        </w:rPr>
        <w:t>(8)</w:t>
      </w:r>
      <w:r w:rsidRPr="00020424">
        <w:rPr>
          <w:rtl/>
          <w:lang w:bidi="fa-IR"/>
        </w:rPr>
        <w:t xml:space="preserve"> </w:t>
      </w:r>
      <w:r w:rsidRPr="00005A81">
        <w:rPr>
          <w:rStyle w:val="libAlaemChar"/>
          <w:rtl/>
        </w:rPr>
        <w:t>عليه‌السلام</w:t>
      </w:r>
      <w:r w:rsidRPr="00020424">
        <w:rPr>
          <w:rtl/>
          <w:lang w:bidi="fa-IR"/>
        </w:rPr>
        <w:t xml:space="preserve"> : رَجُلٌ مُسْلِمٌ مَمْلُوكٌ ، وَمَوْلَاهُ رَجُلٌ مُسْلِمٌ ، وَلَهُ مَالٌ يُزَكِّيهِ ، وَلِلْمَمْلُوكِ وَلَدٌ صَغِيرٌ حُرٌّ </w:t>
      </w:r>
      <w:r w:rsidRPr="00A91B96">
        <w:rPr>
          <w:rStyle w:val="libFootnotenumChar"/>
          <w:rtl/>
        </w:rPr>
        <w:t>(9)</w:t>
      </w:r>
      <w:r>
        <w:rPr>
          <w:rtl/>
          <w:lang w:bidi="fa-IR"/>
        </w:rPr>
        <w:t xml:space="preserve"> ، أَ</w:t>
      </w:r>
      <w:r w:rsidRPr="00020424">
        <w:rPr>
          <w:rtl/>
          <w:lang w:bidi="fa-IR"/>
        </w:rPr>
        <w:t xml:space="preserve">يُجْزِئُ </w:t>
      </w:r>
      <w:r w:rsidRPr="00A91B96">
        <w:rPr>
          <w:rStyle w:val="libFootnotenumChar"/>
          <w:rtl/>
        </w:rPr>
        <w:t>(10)</w:t>
      </w:r>
      <w:r w:rsidRPr="00020424">
        <w:rPr>
          <w:rtl/>
          <w:lang w:bidi="fa-IR"/>
        </w:rPr>
        <w:t xml:space="preserve"> مَوْلَاهُ أَنْ يُعْطِيَ ابْنَ عَبْدِهِ مِنَ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 « لَا بَأْسَ بِهِ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 « لايصلح</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أقول : ذكر الغنيّ يغني عن ذكر ذي المرّة السويّ ولذا لم يقله ؛ وذلك لأنّ الغناء قد يكون بالقوّة والشدّة ، كما يكون بالمال ، ولو فرض رجل لا تغنيه القوّة والشدّة فهو فقير محتاج لا وجه لمنعه من الصدقة ،</w:t>
      </w:r>
      <w:r w:rsidR="00000E27">
        <w:rPr>
          <w:rtl/>
        </w:rPr>
        <w:t xml:space="preserve"> فبناء المنع على الغناء ليس إل</w:t>
      </w:r>
      <w:r w:rsidR="00000E27">
        <w:rPr>
          <w:rFonts w:hint="cs"/>
          <w:rtl/>
        </w:rPr>
        <w:t>ّ</w:t>
      </w:r>
      <w:r w:rsidR="00000E27">
        <w:rPr>
          <w:rtl/>
        </w:rPr>
        <w:t>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113 : « قوله </w:t>
      </w:r>
      <w:r w:rsidR="00992664" w:rsidRPr="00D64ADA">
        <w:rPr>
          <w:rStyle w:val="libFootnoteAlaemChar"/>
          <w:rtl/>
        </w:rPr>
        <w:t>عليه‌السلام</w:t>
      </w:r>
      <w:r w:rsidR="00992664" w:rsidRPr="00020424">
        <w:rPr>
          <w:rtl/>
        </w:rPr>
        <w:t xml:space="preserve"> : لاتصلح الغنيّ ؛ يعني أنّ ذا المرّة إذا كان قادراً ع</w:t>
      </w:r>
      <w:r w:rsidR="00000E27">
        <w:rPr>
          <w:rtl/>
        </w:rPr>
        <w:t>لى تحصيل القوت فهو غنيّ ، وإل</w:t>
      </w:r>
      <w:r w:rsidR="00000E27">
        <w:rPr>
          <w:rFonts w:hint="cs"/>
          <w:rtl/>
        </w:rPr>
        <w:t>ّ</w:t>
      </w:r>
      <w:r w:rsidR="00000E27">
        <w:rPr>
          <w:rtl/>
        </w:rPr>
        <w:t>ا</w:t>
      </w:r>
      <w:r w:rsidR="00992664" w:rsidRPr="00020424">
        <w:rPr>
          <w:rtl/>
        </w:rPr>
        <w:t xml:space="preserve"> فلا مانع من أخذها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51 ، صدر ح 130 ، بسند آخر. </w:t>
      </w:r>
      <w:r w:rsidR="00992664" w:rsidRPr="0012008A">
        <w:rPr>
          <w:rStyle w:val="libFootnoteBoldChar"/>
          <w:rtl/>
        </w:rPr>
        <w:t>الفقيه</w:t>
      </w:r>
      <w:r w:rsidR="00992664" w:rsidRPr="00020424">
        <w:rPr>
          <w:rtl/>
        </w:rPr>
        <w:t xml:space="preserve"> ، ج 3 ، ص 177 ، ح 3671 ، مرسلاً ، وفيهما مع اختلاف يسير </w:t>
      </w:r>
      <w:r w:rsidR="00F007ED">
        <w:rPr>
          <w:rFonts w:hint="cs"/>
          <w:rtl/>
        </w:rPr>
        <w:t>.</w:t>
      </w:r>
      <w:r w:rsidR="00992664" w:rsidRPr="0012008A">
        <w:rPr>
          <w:rStyle w:val="libFootnoteBoldChar"/>
          <w:rtl/>
        </w:rPr>
        <w:t>الوافي</w:t>
      </w:r>
      <w:r w:rsidR="00992664" w:rsidRPr="00020424">
        <w:rPr>
          <w:rtl/>
        </w:rPr>
        <w:t xml:space="preserve"> ، ج 10 ، ص 173 ، ح 9368 ؛ </w:t>
      </w:r>
      <w:r w:rsidR="00992664" w:rsidRPr="0012008A">
        <w:rPr>
          <w:rStyle w:val="libFootnoteBoldChar"/>
          <w:rtl/>
        </w:rPr>
        <w:t>الوسائل</w:t>
      </w:r>
      <w:r w:rsidR="00992664" w:rsidRPr="00020424">
        <w:rPr>
          <w:rtl/>
        </w:rPr>
        <w:t xml:space="preserve"> ، ج 9 ، ص 231 ، ح 11907.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وحاشية « بح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عثمان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ولا تقدّر » بدل « ولا يقدّر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108 ، ح 311 ، معلّقاً عن الكليني. </w:t>
      </w:r>
      <w:r w:rsidR="00992664" w:rsidRPr="0012008A">
        <w:rPr>
          <w:rStyle w:val="libFootnoteBoldChar"/>
          <w:rtl/>
        </w:rPr>
        <w:t>المقنعة</w:t>
      </w:r>
      <w:r w:rsidR="00992664" w:rsidRPr="00020424">
        <w:rPr>
          <w:rtl/>
        </w:rPr>
        <w:t xml:space="preserve"> ، ص 264 ، مرسلاً </w:t>
      </w:r>
      <w:r w:rsidR="00F007ED">
        <w:rPr>
          <w:rFonts w:hint="cs"/>
          <w:rtl/>
        </w:rPr>
        <w:t>.</w:t>
      </w:r>
      <w:r w:rsidR="00992664" w:rsidRPr="0012008A">
        <w:rPr>
          <w:rStyle w:val="libFootnoteBoldChar"/>
          <w:rtl/>
        </w:rPr>
        <w:t>الوافي</w:t>
      </w:r>
      <w:r w:rsidR="00992664" w:rsidRPr="00020424">
        <w:rPr>
          <w:rtl/>
        </w:rPr>
        <w:t xml:space="preserve"> ، ج 10 ، ص 208 ، ح 9454 ؛ </w:t>
      </w:r>
      <w:r w:rsidR="00992664" w:rsidRPr="0012008A">
        <w:rPr>
          <w:rStyle w:val="libFootnoteBoldChar"/>
          <w:rtl/>
        </w:rPr>
        <w:t>الوسائل</w:t>
      </w:r>
      <w:r w:rsidR="00992664" w:rsidRPr="00020424">
        <w:rPr>
          <w:rtl/>
        </w:rPr>
        <w:t xml:space="preserve"> ، ج 9 ، ص 211 ، ح 11859 ؛ وص 257 ، ح 11967.</w:t>
      </w:r>
    </w:p>
    <w:tbl>
      <w:tblPr>
        <w:tblStyle w:val="TableGrid"/>
        <w:bidiVisual/>
        <w:tblW w:w="0" w:type="auto"/>
        <w:tblLook w:val="04A0" w:firstRow="1" w:lastRow="0" w:firstColumn="1" w:lastColumn="0" w:noHBand="0" w:noVBand="1"/>
      </w:tblPr>
      <w:tblGrid>
        <w:gridCol w:w="4006"/>
        <w:gridCol w:w="4006"/>
      </w:tblGrid>
      <w:tr w:rsidR="00F007ED" w:rsidTr="00F007ED">
        <w:tc>
          <w:tcPr>
            <w:tcW w:w="4006" w:type="dxa"/>
          </w:tcPr>
          <w:p w:rsidR="00F007ED" w:rsidRDefault="00F007ED" w:rsidP="00992664">
            <w:pPr>
              <w:pStyle w:val="libFootnote0"/>
              <w:rPr>
                <w:rtl/>
              </w:rPr>
            </w:pPr>
            <w:r>
              <w:rPr>
                <w:rtl/>
              </w:rPr>
              <w:t>(7). في «بر ، بف» وحاشية «بح</w:t>
            </w:r>
            <w:r w:rsidRPr="00020424">
              <w:rPr>
                <w:rtl/>
              </w:rPr>
              <w:t>» :</w:t>
            </w:r>
            <w:r>
              <w:rPr>
                <w:rtl/>
              </w:rPr>
              <w:t xml:space="preserve"> - «</w:t>
            </w:r>
            <w:r w:rsidRPr="00020424">
              <w:rPr>
                <w:rtl/>
              </w:rPr>
              <w:t>بن يحيى</w:t>
            </w:r>
            <w:r>
              <w:rPr>
                <w:rtl/>
              </w:rPr>
              <w:t>».</w:t>
            </w:r>
          </w:p>
        </w:tc>
        <w:tc>
          <w:tcPr>
            <w:tcW w:w="4006" w:type="dxa"/>
          </w:tcPr>
          <w:p w:rsidR="00F007ED" w:rsidRDefault="00F007ED" w:rsidP="00992664">
            <w:pPr>
              <w:pStyle w:val="libFootnote0"/>
              <w:rPr>
                <w:rtl/>
              </w:rPr>
            </w:pPr>
            <w:r>
              <w:rPr>
                <w:rtl/>
              </w:rPr>
              <w:t xml:space="preserve">(8). </w:t>
            </w:r>
            <w:r w:rsidRPr="00020424">
              <w:rPr>
                <w:rtl/>
              </w:rPr>
              <w:t>في حاشية « بر » : « لأبي عبدالله</w:t>
            </w:r>
            <w:r>
              <w:rPr>
                <w:rtl/>
              </w:rPr>
              <w:t xml:space="preserve"> ».</w:t>
            </w:r>
          </w:p>
        </w:tc>
      </w:tr>
      <w:tr w:rsidR="00F007ED" w:rsidTr="00F007ED">
        <w:tc>
          <w:tcPr>
            <w:tcW w:w="4006" w:type="dxa"/>
          </w:tcPr>
          <w:p w:rsidR="00F007ED" w:rsidRDefault="00F007ED" w:rsidP="00992664">
            <w:pPr>
              <w:pStyle w:val="libFootnote0"/>
              <w:rPr>
                <w:rtl/>
              </w:rPr>
            </w:pPr>
            <w:r>
              <w:rPr>
                <w:rtl/>
              </w:rPr>
              <w:t>(9). في «ظ ،ى ،بث ،بس ،جن</w:t>
            </w:r>
            <w:r w:rsidRPr="00020424">
              <w:rPr>
                <w:rtl/>
              </w:rPr>
              <w:t>» : « حرّ صغير</w:t>
            </w:r>
            <w:r>
              <w:rPr>
                <w:rtl/>
              </w:rPr>
              <w:t xml:space="preserve"> ».</w:t>
            </w:r>
          </w:p>
        </w:tc>
        <w:tc>
          <w:tcPr>
            <w:tcW w:w="4006" w:type="dxa"/>
          </w:tcPr>
          <w:p w:rsidR="00F007ED" w:rsidRDefault="00F007ED" w:rsidP="00992664">
            <w:pPr>
              <w:pStyle w:val="libFootnote0"/>
              <w:rPr>
                <w:rtl/>
              </w:rPr>
            </w:pPr>
            <w:r>
              <w:rPr>
                <w:rtl/>
              </w:rPr>
              <w:t xml:space="preserve">(10). </w:t>
            </w:r>
            <w:r w:rsidRPr="00020424">
              <w:rPr>
                <w:rtl/>
              </w:rPr>
              <w:t xml:space="preserve">في </w:t>
            </w:r>
            <w:r w:rsidRPr="00F007ED">
              <w:rPr>
                <w:rtl/>
              </w:rPr>
              <w:t>الوسائل</w:t>
            </w:r>
            <w:r w:rsidRPr="00020424">
              <w:rPr>
                <w:rtl/>
              </w:rPr>
              <w:t xml:space="preserve"> : « يجزئ » بدون همزة الاستفهام.</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ى » : « من الزكاة شيئاً</w:t>
      </w:r>
      <w:r w:rsidR="00992664">
        <w:rPr>
          <w:rtl/>
        </w:rPr>
        <w:t>؟</w:t>
      </w:r>
      <w:r w:rsidR="00992664" w:rsidRPr="00020424">
        <w:rPr>
          <w:rtl/>
        </w:rPr>
        <w:t xml:space="preserve"> قال : لا » بدل « من الزكاة</w:t>
      </w:r>
      <w:r w:rsidR="00992664">
        <w:rPr>
          <w:rtl/>
        </w:rPr>
        <w:t>؟</w:t>
      </w:r>
      <w:r w:rsidR="00992664" w:rsidRPr="00020424">
        <w:rPr>
          <w:rtl/>
        </w:rPr>
        <w:t xml:space="preserve"> قال : لا بأس به</w:t>
      </w:r>
      <w:r w:rsidR="00992664">
        <w:rPr>
          <w:rtl/>
        </w:rPr>
        <w:t xml:space="preserve"> ».</w:t>
      </w:r>
      <w:r w:rsidR="00992664" w:rsidRPr="00020424">
        <w:rPr>
          <w:rtl/>
        </w:rPr>
        <w:t xml:space="preserve"> وفي </w:t>
      </w:r>
      <w:r w:rsidR="00992664" w:rsidRPr="00F007ED">
        <w:rP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179 ، ح 9385 ؛ </w:t>
      </w:r>
      <w:r w:rsidR="00992664" w:rsidRPr="0012008A">
        <w:rPr>
          <w:rStyle w:val="libFootnoteBoldChar"/>
          <w:rtl/>
        </w:rPr>
        <w:t>الوسائل</w:t>
      </w:r>
      <w:r w:rsidR="00992664" w:rsidRPr="00020424">
        <w:rPr>
          <w:rtl/>
        </w:rPr>
        <w:t xml:space="preserve"> ، ج 9 ، ص 294 ، ح 12056.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E4279">
        <w:rPr>
          <w:rtl/>
        </w:rPr>
        <w:lastRenderedPageBreak/>
        <w:t>5979</w:t>
      </w:r>
      <w:r w:rsidRPr="001155DE">
        <w:rPr>
          <w:rStyle w:val="libBold2Char"/>
          <w:rtl/>
        </w:rPr>
        <w:t xml:space="preserve"> / 15.</w:t>
      </w:r>
      <w:r w:rsidRPr="00020424">
        <w:rPr>
          <w:rtl/>
          <w:lang w:bidi="fa-IR"/>
        </w:rPr>
        <w:t xml:space="preserve"> عَلِيُّ بْنُ إِبْرَاهِيمَ ، عَنْ مُحَمَّدِ بْنِ عِيسى ، عَنْ دَاوُدَ الصَّرْمِيِّ ، قَالَ :</w:t>
      </w:r>
    </w:p>
    <w:p w:rsidR="00992664" w:rsidRPr="00020424" w:rsidRDefault="00992664" w:rsidP="00992664">
      <w:pPr>
        <w:pStyle w:val="libNormal"/>
        <w:rPr>
          <w:rtl/>
          <w:lang w:bidi="fa-IR"/>
        </w:rPr>
      </w:pPr>
      <w:r w:rsidRPr="00020424">
        <w:rPr>
          <w:rtl/>
          <w:lang w:bidi="fa-IR"/>
        </w:rPr>
        <w:t>سَأَلْتُهُ عَنْ شَارِبِ الْخَمْرِ يُعْطى مِنَ الزَّكَاةِ شَيْئاً</w:t>
      </w:r>
      <w:r>
        <w:rPr>
          <w:rtl/>
          <w:lang w:bidi="fa-IR"/>
        </w:rPr>
        <w:t>؟</w:t>
      </w:r>
      <w:r w:rsidRPr="00020424">
        <w:rPr>
          <w:rtl/>
          <w:lang w:bidi="fa-IR"/>
        </w:rPr>
        <w:t xml:space="preserve"> قَالَ : « لَا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145" w:name="_Toc345172765"/>
      <w:bookmarkStart w:id="146" w:name="_Toc464562581"/>
      <w:bookmarkStart w:id="147" w:name="_Toc44599884"/>
      <w:r w:rsidRPr="00020424">
        <w:rPr>
          <w:rtl/>
          <w:lang w:bidi="fa-IR"/>
        </w:rPr>
        <w:t>44</w:t>
      </w:r>
      <w:r>
        <w:rPr>
          <w:rtl/>
          <w:lang w:bidi="fa-IR"/>
        </w:rPr>
        <w:t xml:space="preserve"> </w:t>
      </w:r>
      <w:r w:rsidR="009B673F">
        <w:rPr>
          <w:rtl/>
          <w:lang w:bidi="fa-IR"/>
        </w:rPr>
        <w:t>-</w:t>
      </w:r>
      <w:r>
        <w:rPr>
          <w:rtl/>
          <w:lang w:bidi="fa-IR"/>
        </w:rPr>
        <w:t xml:space="preserve"> </w:t>
      </w:r>
      <w:r w:rsidRPr="00020424">
        <w:rPr>
          <w:rtl/>
          <w:lang w:bidi="fa-IR"/>
        </w:rPr>
        <w:t xml:space="preserve">بَابُ مَنْ تَحِلُّ </w:t>
      </w:r>
      <w:r w:rsidRPr="00A91B96">
        <w:rPr>
          <w:rStyle w:val="libFootnotenumChar"/>
          <w:rtl/>
        </w:rPr>
        <w:t>(3)</w:t>
      </w:r>
      <w:r>
        <w:rPr>
          <w:rtl/>
        </w:rPr>
        <w:t xml:space="preserve"> </w:t>
      </w:r>
      <w:r w:rsidRPr="00020424">
        <w:rPr>
          <w:rtl/>
          <w:lang w:bidi="fa-IR"/>
        </w:rPr>
        <w:t xml:space="preserve">لَهُ الزَّكَاةُ فَيَمْتَنِعُ </w:t>
      </w:r>
      <w:r w:rsidRPr="00A91B96">
        <w:rPr>
          <w:rStyle w:val="libFootnotenumChar"/>
          <w:rtl/>
        </w:rPr>
        <w:t>(4)</w:t>
      </w:r>
      <w:r>
        <w:rPr>
          <w:rtl/>
          <w:lang w:bidi="fa-IR"/>
        </w:rPr>
        <w:t xml:space="preserve"> </w:t>
      </w:r>
      <w:r w:rsidRPr="00020424">
        <w:rPr>
          <w:rtl/>
          <w:lang w:bidi="fa-IR"/>
        </w:rPr>
        <w:t>مِنْ أَخْذِهَا‌</w:t>
      </w:r>
      <w:bookmarkEnd w:id="145"/>
      <w:bookmarkEnd w:id="146"/>
      <w:bookmarkEnd w:id="147"/>
    </w:p>
    <w:p w:rsidR="00992664" w:rsidRPr="00020424" w:rsidRDefault="00992664" w:rsidP="00992664">
      <w:pPr>
        <w:pStyle w:val="libNormal"/>
        <w:rPr>
          <w:rtl/>
          <w:lang w:bidi="fa-IR"/>
        </w:rPr>
      </w:pPr>
      <w:r w:rsidRPr="00AE4279">
        <w:rPr>
          <w:rtl/>
        </w:rPr>
        <w:t>5980</w:t>
      </w:r>
      <w:r w:rsidRPr="001155DE">
        <w:rPr>
          <w:rStyle w:val="libBold2Char"/>
          <w:rtl/>
        </w:rPr>
        <w:t xml:space="preserve"> / 1.</w:t>
      </w:r>
      <w:r w:rsidRPr="00020424">
        <w:rPr>
          <w:rtl/>
          <w:lang w:bidi="fa-IR"/>
        </w:rPr>
        <w:t xml:space="preserve"> مُحَمَّدُ بْنُ يَحْيى ، عَنْ أَحْمَدَ بْنِ مُحَمَّدِ بْنِ عِيسى ، عَنِ الْهَيْثَمِ بْنِ أَبِي مَسْرُوقٍ ، عَنِ الْحَسَنِ بْنِ عَلِيٍّ ، عَنْ مَرْوَانَ بْنِ مُسْلِمٍ ، عَنْ عَبْدِ اللهِ بْنِ هِلَالِ بْنِ جَابَانَ </w:t>
      </w:r>
      <w:r w:rsidRPr="00A91B96">
        <w:rPr>
          <w:rStyle w:val="libFootnotenumChar"/>
          <w:rtl/>
        </w:rPr>
        <w:t>(5)</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تَارِكُ الزَّكَاةِ وَقَدْ وَجَبَتْ لَهُ </w:t>
      </w:r>
      <w:r w:rsidRPr="00A91B96">
        <w:rPr>
          <w:rStyle w:val="libFootnotenumChar"/>
          <w:rtl/>
        </w:rPr>
        <w:t>(6)</w:t>
      </w:r>
      <w:r w:rsidRPr="00020424">
        <w:rPr>
          <w:rtl/>
          <w:lang w:bidi="fa-IR"/>
        </w:rPr>
        <w:t xml:space="preserve"> ، مِثْلُ مَانِعِهَا </w:t>
      </w:r>
      <w:r w:rsidRPr="00A91B96">
        <w:rPr>
          <w:rStyle w:val="libFootnotenumChar"/>
          <w:rtl/>
        </w:rPr>
        <w:t>(7)</w:t>
      </w:r>
      <w:r w:rsidRPr="00020424">
        <w:rPr>
          <w:rtl/>
          <w:lang w:bidi="fa-IR"/>
        </w:rPr>
        <w:t xml:space="preserve"> وَقَدْ وَجَبَتْ عَلَيْهِ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AE4279">
        <w:rPr>
          <w:rtl/>
        </w:rPr>
        <w:t>5981</w:t>
      </w:r>
      <w:r w:rsidRPr="001155DE">
        <w:rPr>
          <w:rStyle w:val="libBold2Char"/>
          <w:rtl/>
        </w:rPr>
        <w:t xml:space="preserve"> / 2.</w:t>
      </w:r>
      <w:r w:rsidRPr="00020424">
        <w:rPr>
          <w:rtl/>
          <w:lang w:bidi="fa-IR"/>
        </w:rPr>
        <w:t xml:space="preserve"> عِدَّةٌ مِنْ أَصْحَابِنَا ، عَنْ أَحْمَدَ بْنِ أَبِي عَبْدِ اللهِ ، عَنْ عَبْدِ الْعَظِيمِ بْنِ عَبْدِ اللهِ‌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سقط هذا الحديث من نسخة « 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52 ، ح 138 ؛ </w:t>
      </w:r>
      <w:r w:rsidR="00992664" w:rsidRPr="0012008A">
        <w:rPr>
          <w:rStyle w:val="libFootnoteBoldChar"/>
          <w:rtl/>
        </w:rPr>
        <w:t>المقنعة</w:t>
      </w:r>
      <w:r w:rsidR="00992664" w:rsidRPr="00020424">
        <w:rPr>
          <w:rtl/>
        </w:rPr>
        <w:t xml:space="preserve"> ، ص 242 ، وفيهما هكذا : « وروى محمّد بن عيسى عن داود الصرمي</w:t>
      </w:r>
      <w:r w:rsidR="00992664">
        <w:rPr>
          <w:rtl/>
        </w:rPr>
        <w:t xml:space="preserve"> ..</w:t>
      </w:r>
      <w:r w:rsidR="00992664" w:rsidRPr="00020424">
        <w:rPr>
          <w:rtl/>
        </w:rPr>
        <w:t>.</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33 ، ذيل ح 1628 ، من دون الإسناد إلى المعصوم </w:t>
      </w:r>
      <w:r w:rsidR="00992664" w:rsidRPr="00D64ADA">
        <w:rPr>
          <w:rStyle w:val="libFootnoteAlaemChar"/>
          <w:rtl/>
        </w:rPr>
        <w:t>عليه‌السلام</w:t>
      </w:r>
      <w:r w:rsidR="00992664" w:rsidRPr="00020424">
        <w:rPr>
          <w:rtl/>
        </w:rPr>
        <w:t xml:space="preserve"> ، مع اختلاف يسير </w:t>
      </w:r>
      <w:r w:rsidR="00F007ED">
        <w:rPr>
          <w:rFonts w:hint="cs"/>
          <w:rtl/>
        </w:rPr>
        <w:t>.</w:t>
      </w:r>
      <w:r w:rsidR="00992664" w:rsidRPr="0012008A">
        <w:rPr>
          <w:rStyle w:val="libFootnoteBoldChar"/>
          <w:rtl/>
        </w:rPr>
        <w:t>الوافي</w:t>
      </w:r>
      <w:r w:rsidR="00992664" w:rsidRPr="00020424">
        <w:rPr>
          <w:rtl/>
        </w:rPr>
        <w:t xml:space="preserve"> ، ج 10 ، ص 192 ، ح 9417 ؛ </w:t>
      </w:r>
      <w:r w:rsidR="00992664" w:rsidRPr="0012008A">
        <w:rPr>
          <w:rStyle w:val="libFootnoteBoldChar"/>
          <w:rtl/>
        </w:rPr>
        <w:t>الوسائل</w:t>
      </w:r>
      <w:r w:rsidR="00992664" w:rsidRPr="00020424">
        <w:rPr>
          <w:rtl/>
        </w:rPr>
        <w:t xml:space="preserve"> ، ج 9 ، ص 249 ، ذيل ح 11947.</w:t>
      </w:r>
    </w:p>
    <w:tbl>
      <w:tblPr>
        <w:tblStyle w:val="TableGrid"/>
        <w:bidiVisual/>
        <w:tblW w:w="0" w:type="auto"/>
        <w:tblLook w:val="04A0" w:firstRow="1" w:lastRow="0" w:firstColumn="1" w:lastColumn="0" w:noHBand="0" w:noVBand="1"/>
      </w:tblPr>
      <w:tblGrid>
        <w:gridCol w:w="4006"/>
        <w:gridCol w:w="4006"/>
      </w:tblGrid>
      <w:tr w:rsidR="00F007ED" w:rsidTr="00F007ED">
        <w:tc>
          <w:tcPr>
            <w:tcW w:w="4006" w:type="dxa"/>
          </w:tcPr>
          <w:p w:rsidR="00F007ED" w:rsidRDefault="00F007ED" w:rsidP="00992664">
            <w:pPr>
              <w:pStyle w:val="libFootnote0"/>
              <w:rPr>
                <w:rtl/>
              </w:rPr>
            </w:pPr>
            <w:r>
              <w:rPr>
                <w:rtl/>
              </w:rPr>
              <w:t xml:space="preserve">(3). </w:t>
            </w:r>
            <w:r w:rsidRPr="00020424">
              <w:rPr>
                <w:rtl/>
              </w:rPr>
              <w:t>في « ى » : « يحلّ</w:t>
            </w:r>
            <w:r>
              <w:rPr>
                <w:rtl/>
              </w:rPr>
              <w:t xml:space="preserve"> ».</w:t>
            </w:r>
          </w:p>
        </w:tc>
        <w:tc>
          <w:tcPr>
            <w:tcW w:w="4006" w:type="dxa"/>
          </w:tcPr>
          <w:p w:rsidR="00F007ED" w:rsidRDefault="00F007ED" w:rsidP="00992664">
            <w:pPr>
              <w:pStyle w:val="libFootnote0"/>
              <w:rPr>
                <w:rtl/>
              </w:rPr>
            </w:pPr>
            <w:r>
              <w:rPr>
                <w:rtl/>
              </w:rPr>
              <w:t xml:space="preserve">(4). </w:t>
            </w:r>
            <w:r w:rsidRPr="00020424">
              <w:rPr>
                <w:rtl/>
              </w:rPr>
              <w:t>في « بر » : « فيمنع</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حاشية « بث » ونسخة عتيقةٍ من </w:t>
      </w:r>
      <w:r w:rsidR="00992664" w:rsidRPr="0012008A">
        <w:rPr>
          <w:rStyle w:val="libFootnoteBoldChar"/>
          <w:rtl/>
        </w:rPr>
        <w:t>التهذيب</w:t>
      </w:r>
      <w:r w:rsidR="00992664" w:rsidRPr="00020424">
        <w:rPr>
          <w:rtl/>
        </w:rPr>
        <w:t xml:space="preserve">. وفي « ظ ، ى ، بث ، بح ، بخ ، بر ، بس ، بف ، جن » والمطبوع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خاقان</w:t>
      </w:r>
      <w:r w:rsidR="00992664">
        <w:rPr>
          <w:rtl/>
        </w:rPr>
        <w:t xml:space="preserve"> ».</w:t>
      </w:r>
    </w:p>
    <w:p w:rsidR="00992664" w:rsidRPr="00020424" w:rsidRDefault="00992664" w:rsidP="00992664">
      <w:pPr>
        <w:pStyle w:val="libFootnote0"/>
        <w:rPr>
          <w:rtl/>
          <w:lang w:bidi="fa-IR"/>
        </w:rPr>
      </w:pPr>
      <w:r w:rsidRPr="00F007ED">
        <w:rPr>
          <w:rtl/>
        </w:rPr>
        <w:t xml:space="preserve">والمذكور في </w:t>
      </w:r>
      <w:r w:rsidRPr="00DE76B9">
        <w:rPr>
          <w:rStyle w:val="libFootnoteBoldChar"/>
          <w:rtl/>
        </w:rPr>
        <w:t>رجال الطوسي</w:t>
      </w:r>
      <w:r w:rsidRPr="00F007ED">
        <w:rPr>
          <w:rtl/>
        </w:rPr>
        <w:t xml:space="preserve"> هو عبدالله بن هلال بن جابان وإخوته إبراهيم وسعيد وسليمان. راجع : </w:t>
      </w:r>
      <w:r w:rsidRPr="00F007ED">
        <w:rPr>
          <w:rStyle w:val="libFootnoteBoldChar"/>
          <w:rtl/>
        </w:rPr>
        <w:t>رجال الطوسي</w:t>
      </w:r>
      <w:r w:rsidRPr="00F007ED">
        <w:rPr>
          <w:rtl/>
        </w:rPr>
        <w:t xml:space="preserve"> ، ص 157 ، الرقم 1746 ؛ وص 214 ، الرقم 2810 ؛ ص 217 ، الرقم 2861 ؛ وص 231 ، الرقم 3125.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وقد وجبت له ، أي اضطرّ إليها</w:t>
      </w:r>
      <w:r w:rsidR="00992664">
        <w:rPr>
          <w:rtl/>
        </w:rPr>
        <w:t xml:space="preserve"> ».</w:t>
      </w:r>
    </w:p>
    <w:p w:rsidR="00992664" w:rsidRPr="00020424" w:rsidRDefault="00795177" w:rsidP="00F007ED">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F007ED">
        <w:rPr>
          <w:rtl/>
        </w:rPr>
        <w:t>والوافي</w:t>
      </w:r>
      <w:r w:rsidR="00992664" w:rsidRPr="00020424">
        <w:rPr>
          <w:rtl/>
        </w:rPr>
        <w:t xml:space="preserve"> : « كمانعها</w:t>
      </w:r>
      <w:r w:rsidR="00992664">
        <w:rPr>
          <w:rtl/>
        </w:rPr>
        <w:t xml:space="preserve"> ».</w:t>
      </w:r>
      <w:r w:rsidR="00992664" w:rsidRPr="00020424">
        <w:rPr>
          <w:rtl/>
        </w:rPr>
        <w:t xml:space="preserve"> في </w:t>
      </w:r>
      <w:r w:rsidR="00992664" w:rsidRPr="00DE76B9">
        <w:rPr>
          <w:rStyle w:val="libFootnoteBoldChar"/>
          <w:rtl/>
        </w:rPr>
        <w:t>الدروس الشرعيّة</w:t>
      </w:r>
      <w:r w:rsidR="00992664" w:rsidRPr="00020424">
        <w:rPr>
          <w:rtl/>
        </w:rPr>
        <w:t xml:space="preserve"> ، ج 1 ، ص 240</w:t>
      </w:r>
      <w:r w:rsidR="00992664">
        <w:rPr>
          <w:rtl/>
        </w:rPr>
        <w:t xml:space="preserve"> </w:t>
      </w:r>
      <w:r w:rsidR="009B673F">
        <w:rPr>
          <w:rtl/>
        </w:rPr>
        <w:t>-</w:t>
      </w:r>
      <w:r w:rsidR="00992664">
        <w:rPr>
          <w:rtl/>
        </w:rPr>
        <w:t xml:space="preserve"> </w:t>
      </w:r>
      <w:r w:rsidR="00992664" w:rsidRPr="00020424">
        <w:rPr>
          <w:rtl/>
        </w:rPr>
        <w:t>241 ، ذيل الدرس 64 : « ولو تعفّف المستحقّ ففي رواية : هو كمن يمتنع من أداء ما يجب</w:t>
      </w:r>
      <w:r w:rsidR="00F007ED">
        <w:rPr>
          <w:rtl/>
        </w:rPr>
        <w:t xml:space="preserve"> عليه. وتحمل على الكراهية ، إل</w:t>
      </w:r>
      <w:r w:rsidR="00F007ED">
        <w:rPr>
          <w:rFonts w:hint="cs"/>
          <w:rtl/>
        </w:rPr>
        <w:t>ّ</w:t>
      </w:r>
      <w:r w:rsidR="00F007ED">
        <w:rPr>
          <w:rtl/>
        </w:rPr>
        <w:t>ا</w:t>
      </w:r>
      <w:r w:rsidR="00992664">
        <w:rPr>
          <w:rFonts w:hint="cs"/>
          <w:rtl/>
        </w:rPr>
        <w:t xml:space="preserve"> </w:t>
      </w:r>
      <w:r w:rsidR="00992664" w:rsidRPr="00020424">
        <w:rPr>
          <w:rtl/>
        </w:rPr>
        <w:t>أن يخاف التلف ؛ فيحرم الامتناع</w:t>
      </w:r>
      <w:r w:rsidR="00992664">
        <w:rPr>
          <w:rtl/>
        </w:rPr>
        <w:t xml:space="preserve"> ».</w:t>
      </w:r>
      <w:r w:rsidR="00F007ED">
        <w:rPr>
          <w:rFonts w:hint="cs"/>
          <w:rtl/>
        </w:rPr>
        <w:t xml:space="preserve">                                </w:t>
      </w:r>
      <w:r>
        <w:rPr>
          <w:rtl/>
        </w:rPr>
        <w:t>(8).</w:t>
      </w:r>
      <w:r w:rsidR="0014403D">
        <w:rPr>
          <w:rtl/>
        </w:rPr>
        <w:t xml:space="preserve"> </w:t>
      </w:r>
      <w:r w:rsidR="00992664" w:rsidRPr="00020424">
        <w:rPr>
          <w:rtl/>
        </w:rPr>
        <w:t xml:space="preserve">في </w:t>
      </w:r>
      <w:r w:rsidR="00992664" w:rsidRPr="00F007ED">
        <w:rPr>
          <w:rtl/>
        </w:rPr>
        <w:t>الوسائل</w:t>
      </w:r>
      <w:r w:rsidR="00992664" w:rsidRPr="00020424">
        <w:rPr>
          <w:rtl/>
        </w:rPr>
        <w:t xml:space="preserve"> : « 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103 ، ح 293 ، معلّقاً عن الكليني. </w:t>
      </w:r>
      <w:r w:rsidR="00992664" w:rsidRPr="0012008A">
        <w:rPr>
          <w:rStyle w:val="libFootnoteBoldChar"/>
          <w:rtl/>
        </w:rPr>
        <w:t>الفقيه</w:t>
      </w:r>
      <w:r w:rsidR="00992664" w:rsidRPr="00020424">
        <w:rPr>
          <w:rtl/>
        </w:rPr>
        <w:t xml:space="preserve"> ، ج 2 ، ص 13 ، ح 1596 ، معلّقاً عن مروان بن مسلم. </w:t>
      </w:r>
      <w:r w:rsidR="00992664" w:rsidRPr="0012008A">
        <w:rPr>
          <w:rStyle w:val="libFootnoteBoldChar"/>
          <w:rtl/>
        </w:rPr>
        <w:t>المقنعة</w:t>
      </w:r>
      <w:r w:rsidR="00992664" w:rsidRPr="00020424">
        <w:rPr>
          <w:rtl/>
        </w:rPr>
        <w:t xml:space="preserve"> ، ص 260 ، مرسلاً </w:t>
      </w:r>
      <w:r w:rsidR="00F007ED">
        <w:rPr>
          <w:rFonts w:hint="cs"/>
          <w:rtl/>
        </w:rPr>
        <w:t>.</w:t>
      </w:r>
      <w:r w:rsidR="00992664" w:rsidRPr="0012008A">
        <w:rPr>
          <w:rStyle w:val="libFootnoteBoldChar"/>
          <w:rtl/>
        </w:rPr>
        <w:t>الوافي</w:t>
      </w:r>
      <w:r w:rsidR="00992664" w:rsidRPr="00020424">
        <w:rPr>
          <w:rtl/>
        </w:rPr>
        <w:t xml:space="preserve"> ، ج 10 ، ص 217 ، ح 9476 ؛ </w:t>
      </w:r>
      <w:r w:rsidR="00992664" w:rsidRPr="0012008A">
        <w:rPr>
          <w:rStyle w:val="libFootnoteBoldChar"/>
          <w:rtl/>
        </w:rPr>
        <w:t>الوسائل</w:t>
      </w:r>
      <w:r w:rsidR="00992664" w:rsidRPr="00020424">
        <w:rPr>
          <w:rtl/>
        </w:rPr>
        <w:t xml:space="preserve"> ، ج 9 ، ص 313 ، ح 12105.</w:t>
      </w:r>
    </w:p>
    <w:p w:rsidR="00795177" w:rsidRDefault="00795177" w:rsidP="00795177">
      <w:pPr>
        <w:pStyle w:val="libNormal"/>
        <w:rPr>
          <w:rtl/>
          <w:lang w:bidi="fa-IR"/>
        </w:rPr>
      </w:pPr>
      <w:r>
        <w:rPr>
          <w:rtl/>
          <w:lang w:bidi="fa-IR"/>
        </w:rPr>
        <w:br w:type="page"/>
      </w:r>
    </w:p>
    <w:p w:rsidR="00992664" w:rsidRPr="00020424" w:rsidRDefault="00992664" w:rsidP="00F007ED">
      <w:pPr>
        <w:pStyle w:val="libNormal0"/>
        <w:rPr>
          <w:rtl/>
          <w:lang w:bidi="fa-IR"/>
        </w:rPr>
      </w:pPr>
      <w:r w:rsidRPr="00020424">
        <w:rPr>
          <w:rtl/>
          <w:lang w:bidi="fa-IR"/>
        </w:rPr>
        <w:lastRenderedPageBreak/>
        <w:t xml:space="preserve">الْعَلَوِيِّ ، عَنِ الْحُسَيْنِ </w:t>
      </w:r>
      <w:r w:rsidRPr="00A91B96">
        <w:rPr>
          <w:rStyle w:val="libFootnotenumChar"/>
          <w:rtl/>
        </w:rPr>
        <w:t>(1)</w:t>
      </w:r>
      <w:r w:rsidRPr="00020424">
        <w:rPr>
          <w:rtl/>
          <w:lang w:bidi="fa-IR"/>
        </w:rPr>
        <w:t xml:space="preserve"> بْنِ عَلِيٍّ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تَارِكُ الزَّكَاةِ وَقَدْ وَجَبَتْ لَهُ ، كَمَانِعِهَا وَقَدْ وَجَبَتْ عَلَيْهِ</w:t>
      </w:r>
      <w:r w:rsidRPr="00A91B96">
        <w:rPr>
          <w:rStyle w:val="libFootnotenumChar"/>
          <w:rtl/>
        </w:rPr>
        <w:t>(2)</w:t>
      </w:r>
      <w:r>
        <w:rPr>
          <w:rtl/>
          <w:lang w:bidi="fa-IR"/>
        </w:rPr>
        <w:t>».</w:t>
      </w:r>
      <w:r w:rsidRPr="00A91B96">
        <w:rPr>
          <w:rStyle w:val="libFootnotenumChar"/>
          <w:rtl/>
        </w:rPr>
        <w:t>(3)</w:t>
      </w:r>
    </w:p>
    <w:p w:rsidR="00992664" w:rsidRPr="00020424" w:rsidRDefault="00992664" w:rsidP="00992664">
      <w:pPr>
        <w:pStyle w:val="libNormal"/>
        <w:rPr>
          <w:rtl/>
          <w:lang w:bidi="fa-IR"/>
        </w:rPr>
      </w:pPr>
      <w:r w:rsidRPr="00AE4279">
        <w:rPr>
          <w:rtl/>
        </w:rPr>
        <w:t>5982</w:t>
      </w:r>
      <w:r w:rsidRPr="001155DE">
        <w:rPr>
          <w:rStyle w:val="libBold2Char"/>
          <w:rtl/>
        </w:rPr>
        <w:t xml:space="preserve"> / 3.</w:t>
      </w:r>
      <w:r w:rsidRPr="00020424">
        <w:rPr>
          <w:rtl/>
          <w:lang w:bidi="fa-IR"/>
        </w:rPr>
        <w:t xml:space="preserve"> عِدَّةٌ مِنْ أَصْحَابِنَا ، عَنْ سَهْلِ بْنِ زِيَادٍ ، عَنْ أَحْمَدَ بْنِ مُحَمَّدِ بْنِ أَبِي نَصْرٍ ، عَنْ عَاصِمِ بْنِ حُمَيْدٍ ، عَنْ أَبِي بَصِيرٍ ، قَالَ :</w:t>
      </w:r>
    </w:p>
    <w:p w:rsidR="00992664" w:rsidRPr="00020424" w:rsidRDefault="00992664" w:rsidP="00992664">
      <w:pPr>
        <w:pStyle w:val="libNormal"/>
        <w:rPr>
          <w:rtl/>
          <w:lang w:bidi="fa-IR"/>
        </w:rPr>
      </w:pPr>
      <w:r w:rsidRPr="00020424">
        <w:rPr>
          <w:rtl/>
          <w:lang w:bidi="fa-IR"/>
        </w:rPr>
        <w:t xml:space="preserve">قُلْتُ لِأَبِي جَعْفَرٍ </w:t>
      </w:r>
      <w:r w:rsidRPr="00A91B96">
        <w:rPr>
          <w:rStyle w:val="libFootnotenumChar"/>
          <w:rtl/>
        </w:rPr>
        <w:t>(4)</w:t>
      </w:r>
      <w:r w:rsidRPr="00020424">
        <w:rPr>
          <w:rtl/>
          <w:lang w:bidi="fa-IR"/>
        </w:rPr>
        <w:t xml:space="preserve"> </w:t>
      </w:r>
      <w:r w:rsidRPr="00005A81">
        <w:rPr>
          <w:rStyle w:val="libAlaemChar"/>
          <w:rtl/>
        </w:rPr>
        <w:t>عليه‌السلام</w:t>
      </w:r>
      <w:r w:rsidRPr="00020424">
        <w:rPr>
          <w:rtl/>
          <w:lang w:bidi="fa-IR"/>
        </w:rPr>
        <w:t xml:space="preserve"> : الرَّجُلُ مِنْ أَصْحَابِنَا يَسْتَحْيِي </w:t>
      </w:r>
      <w:r w:rsidRPr="00A91B96">
        <w:rPr>
          <w:rStyle w:val="libFootnotenumChar"/>
          <w:rtl/>
        </w:rPr>
        <w:t>(5)</w:t>
      </w:r>
      <w:r w:rsidRPr="00020424">
        <w:rPr>
          <w:rtl/>
          <w:lang w:bidi="fa-IR"/>
        </w:rPr>
        <w:t xml:space="preserve"> أَنْ يَأْخُذَ مِنَ الزَّكَاةِ ، فَأُعْطِيهِ مِنَ الزَّكَاةِ وَلَا</w:t>
      </w:r>
      <w:r>
        <w:rPr>
          <w:rFonts w:hint="cs"/>
          <w:rtl/>
          <w:lang w:bidi="fa-IR"/>
        </w:rPr>
        <w:t xml:space="preserve"> </w:t>
      </w:r>
      <w:r w:rsidRPr="00020424">
        <w:rPr>
          <w:rtl/>
          <w:lang w:bidi="fa-IR"/>
        </w:rPr>
        <w:t>أُسَمِّي لَهُ أَنَّهَا مِنَ الزَّكَاةِ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أَعْطِهِ ، وَلَاتُسَمِّ لَهُ ، وَلَاتُذِلَّ الْمُؤْمِنَ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AE4279">
        <w:rPr>
          <w:rtl/>
        </w:rPr>
        <w:t>5983</w:t>
      </w:r>
      <w:r w:rsidRPr="001155DE">
        <w:rPr>
          <w:rStyle w:val="libBold2Char"/>
          <w:rtl/>
        </w:rPr>
        <w:t xml:space="preserve"> / 4.</w:t>
      </w:r>
      <w:r w:rsidRPr="00020424">
        <w:rPr>
          <w:rtl/>
          <w:lang w:bidi="fa-IR"/>
        </w:rPr>
        <w:t xml:space="preserve"> عَلِيُّ بْنُ إِبْرَاهِيمَ </w:t>
      </w:r>
      <w:r w:rsidRPr="00A91B96">
        <w:rPr>
          <w:rStyle w:val="libFootnotenumChar"/>
          <w:rtl/>
        </w:rPr>
        <w:t>(8)</w:t>
      </w:r>
      <w:r w:rsidRPr="00020424">
        <w:rPr>
          <w:rtl/>
          <w:lang w:bidi="fa-IR"/>
        </w:rPr>
        <w:t xml:space="preserve"> ، عَنْ أَبِيهِ ، عَنْ حَمَّادٍ ، عَنْ حَرِيزٍ ، عَنْ مُحَمَّدِ بْنِ مُسْلِمٍ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الرَّجُلُ يَكُونُ مُحْتَاجاً ، فَيُبْعَثُ </w:t>
      </w:r>
      <w:r w:rsidRPr="00A91B96">
        <w:rPr>
          <w:rStyle w:val="libFootnotenumChar"/>
          <w:rtl/>
        </w:rPr>
        <w:t>(9)</w:t>
      </w:r>
      <w:r w:rsidRPr="00020424">
        <w:rPr>
          <w:rtl/>
          <w:lang w:bidi="fa-IR"/>
        </w:rPr>
        <w:t xml:space="preserve"> إِلَيْهِ بِالصَّدَقَةِ ، فَلَا يَقْبَلُهَا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5C0DB2">
        <w:rPr>
          <w:rStyle w:val="libFootnoteBoldChar"/>
          <w:rtl/>
        </w:rPr>
        <w:t>الوسائل و</w:t>
      </w:r>
      <w:r w:rsidR="00D64ADA" w:rsidRPr="005C0DB2">
        <w:rPr>
          <w:rStyle w:val="libFootnoteBoldChar"/>
          <w:rtl/>
        </w:rPr>
        <w:t>المحاسن</w:t>
      </w:r>
      <w:r w:rsidR="00992664" w:rsidRPr="005C0DB2">
        <w:rPr>
          <w:rStyle w:val="libFootnoteBoldChar"/>
          <w:rtl/>
        </w:rPr>
        <w:t xml:space="preserve"> </w:t>
      </w:r>
      <w:r w:rsidR="00992664" w:rsidRPr="006C7A1F">
        <w:rPr>
          <w:rStyle w:val="libFootnoteBoldChar"/>
          <w:rtl/>
        </w:rPr>
        <w:t>وثواب الأعمال</w:t>
      </w:r>
      <w:r w:rsidR="00992664" w:rsidRPr="00020424">
        <w:rPr>
          <w:rtl/>
        </w:rPr>
        <w:t xml:space="preserve"> : « الحسن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 « عن أبي عبدالله </w:t>
      </w:r>
      <w:r w:rsidR="00992664" w:rsidRPr="00D64ADA">
        <w:rPr>
          <w:rStyle w:val="libFootnoteAlaemChar"/>
          <w:rtl/>
        </w:rPr>
        <w:t>عليه‌السلام</w:t>
      </w:r>
      <w:r w:rsidR="00992664" w:rsidRPr="00020424">
        <w:rPr>
          <w:rtl/>
        </w:rPr>
        <w:t xml:space="preserve"> مثله » بدل « عن أبي عبدالله </w:t>
      </w:r>
      <w:r w:rsidR="00992664" w:rsidRPr="00D64ADA">
        <w:rPr>
          <w:rStyle w:val="libFootnoteAlaemChar"/>
          <w:rtl/>
        </w:rPr>
        <w:t>عليه‌السلام</w:t>
      </w:r>
      <w:r w:rsidR="00992664" w:rsidRPr="00020424">
        <w:rPr>
          <w:rtl/>
        </w:rPr>
        <w:t xml:space="preserve"> » إلى آخر الحديث.</w:t>
      </w:r>
    </w:p>
    <w:p w:rsidR="00992664" w:rsidRPr="00020424" w:rsidRDefault="00795177" w:rsidP="00992664">
      <w:pPr>
        <w:pStyle w:val="libFootnote0"/>
        <w:rPr>
          <w:rtl/>
          <w:lang w:bidi="fa-IR"/>
        </w:rPr>
      </w:pPr>
      <w:r>
        <w:rPr>
          <w:rtl/>
        </w:rPr>
        <w:t>(3).</w:t>
      </w:r>
      <w:r w:rsidR="0014403D">
        <w:rPr>
          <w:rtl/>
        </w:rPr>
        <w:t xml:space="preserve"> </w:t>
      </w:r>
      <w:r w:rsidR="00D64ADA" w:rsidRPr="00D64ADA">
        <w:rPr>
          <w:rStyle w:val="libFootnoteBoldChar"/>
          <w:rtl/>
        </w:rPr>
        <w:t>المحاسن</w:t>
      </w:r>
      <w:r w:rsidR="00992664" w:rsidRPr="00020424">
        <w:rPr>
          <w:rtl/>
        </w:rPr>
        <w:t xml:space="preserve"> ، ص 88 ، كتاب عقاب الأعمال ، ح 30 ، عن عبدالعظيم بن عبدالله العلوي. </w:t>
      </w:r>
      <w:r w:rsidR="00992664" w:rsidRPr="0012008A">
        <w:rPr>
          <w:rStyle w:val="libFootnoteBoldChar"/>
          <w:rtl/>
        </w:rPr>
        <w:t>ثواب الأعمال</w:t>
      </w:r>
      <w:r w:rsidR="00992664" w:rsidRPr="00020424">
        <w:rPr>
          <w:rtl/>
        </w:rPr>
        <w:t xml:space="preserve"> ، ص 281 ، ح 1 ، بسنده عن أحمد بن محمّد بن خالد ، عن عبدالعظيم بن عبدالله العلوي </w:t>
      </w:r>
      <w:r w:rsidR="005C0DB2">
        <w:rPr>
          <w:rFonts w:hint="cs"/>
          <w:rtl/>
        </w:rPr>
        <w:t>.</w:t>
      </w:r>
      <w:r w:rsidR="00992664" w:rsidRPr="0012008A">
        <w:rPr>
          <w:rStyle w:val="libFootnoteBoldChar"/>
          <w:rtl/>
        </w:rPr>
        <w:t>الوافي</w:t>
      </w:r>
      <w:r w:rsidR="00992664" w:rsidRPr="00020424">
        <w:rPr>
          <w:rtl/>
        </w:rPr>
        <w:t xml:space="preserve"> ، ج 10 ، ص 217 ، ح 9477 ؛ </w:t>
      </w:r>
      <w:r w:rsidR="00992664" w:rsidRPr="0012008A">
        <w:rPr>
          <w:rStyle w:val="libFootnoteBoldChar"/>
          <w:rtl/>
        </w:rPr>
        <w:t>الوسائل</w:t>
      </w:r>
      <w:r w:rsidR="00992664" w:rsidRPr="00020424">
        <w:rPr>
          <w:rtl/>
        </w:rPr>
        <w:t xml:space="preserve"> ، ج 9 ، ص 314 ، ح 12106.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بس » : « لأبي عبدالله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 « يستحقّ</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قال</w:t>
      </w:r>
      <w:r w:rsidR="00992664">
        <w:rPr>
          <w:rtl/>
        </w:rPr>
        <w:t xml:space="preserve"> ».</w:t>
      </w:r>
    </w:p>
    <w:p w:rsidR="00992664" w:rsidRPr="00020424" w:rsidRDefault="00795177" w:rsidP="005C0DB2">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103 ، ح 294 ، معلّقاً عن الكليني. </w:t>
      </w:r>
      <w:r w:rsidR="00992664" w:rsidRPr="0012008A">
        <w:rPr>
          <w:rStyle w:val="libFootnoteBoldChar"/>
          <w:rtl/>
        </w:rPr>
        <w:t>الفقيه</w:t>
      </w:r>
      <w:r w:rsidR="00992664" w:rsidRPr="00020424">
        <w:rPr>
          <w:rtl/>
        </w:rPr>
        <w:t xml:space="preserve"> ، ج 2 ، ص 13 ، ح 1597 ، معلّقاً عن عاصم بن حميد. </w:t>
      </w:r>
      <w:r w:rsidR="00992664" w:rsidRPr="0012008A">
        <w:rPr>
          <w:rStyle w:val="libFootnoteBoldChar"/>
          <w:rtl/>
        </w:rPr>
        <w:t>المقنعة</w:t>
      </w:r>
      <w:r w:rsidR="00992664" w:rsidRPr="00020424">
        <w:rPr>
          <w:rtl/>
        </w:rPr>
        <w:t xml:space="preserve"> ، ص 260 ، مرسلاً ، مع اختلاف يسير </w:t>
      </w:r>
      <w:r w:rsidR="005C0DB2">
        <w:rPr>
          <w:rFonts w:hint="cs"/>
          <w:rtl/>
        </w:rPr>
        <w:t>.</w:t>
      </w:r>
      <w:r w:rsidR="00992664" w:rsidRPr="0012008A">
        <w:rPr>
          <w:rStyle w:val="libFootnoteBoldChar"/>
          <w:rtl/>
        </w:rPr>
        <w:t>الوافي</w:t>
      </w:r>
      <w:r w:rsidR="00992664" w:rsidRPr="00020424">
        <w:rPr>
          <w:rtl/>
        </w:rPr>
        <w:t xml:space="preserve"> ، ج 10 ، ص 218 ، ح 9478 ؛ </w:t>
      </w:r>
      <w:r w:rsidR="00992664" w:rsidRPr="0012008A">
        <w:rPr>
          <w:rStyle w:val="libFootnoteBoldChar"/>
          <w:rtl/>
        </w:rPr>
        <w:t>الوسائل</w:t>
      </w:r>
      <w:r w:rsidR="00992664" w:rsidRPr="00020424">
        <w:rPr>
          <w:rtl/>
        </w:rPr>
        <w:t xml:space="preserve"> ، ج 9 ، ص 314 ، ح 12107.</w:t>
      </w:r>
      <w:r w:rsidR="005C0DB2">
        <w:rPr>
          <w:rFonts w:hint="cs"/>
          <w:rtl/>
        </w:rPr>
        <w:t xml:space="preserve">             </w:t>
      </w:r>
      <w:r>
        <w:rPr>
          <w:rtl/>
        </w:rPr>
        <w:t>(8).</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بف » </w:t>
      </w:r>
      <w:r w:rsidR="00992664" w:rsidRPr="005C0DB2">
        <w:rPr>
          <w:rtl/>
        </w:rPr>
        <w:t>والوافي</w:t>
      </w:r>
      <w:r w:rsidR="00992664" w:rsidRPr="00020424">
        <w:rPr>
          <w:rtl/>
        </w:rPr>
        <w:t xml:space="preserve"> : « فنبعث</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12104 : « يبعث</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w:t>
      </w:r>
      <w:r w:rsidR="00992664" w:rsidRPr="005C0DB2">
        <w:rPr>
          <w:rtl/>
        </w:rPr>
        <w:t>والوافي</w:t>
      </w:r>
      <w:r w:rsidR="00992664" w:rsidRPr="00020424">
        <w:rPr>
          <w:rtl/>
        </w:rPr>
        <w:t xml:space="preserve"> : « ولا يقبلها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C0DB2">
      <w:pPr>
        <w:pStyle w:val="libNormal0"/>
        <w:rPr>
          <w:rtl/>
          <w:lang w:bidi="fa-IR"/>
        </w:rPr>
      </w:pPr>
      <w:r w:rsidRPr="00020424">
        <w:rPr>
          <w:rtl/>
          <w:lang w:bidi="fa-IR"/>
        </w:rPr>
        <w:lastRenderedPageBreak/>
        <w:t>عَلى وَجْهِ الصَّدَقَةِ ، يَأْخُذُهُ مِنْ ذلِكَ ذِمَامٌ و</w:t>
      </w:r>
      <w:r>
        <w:rPr>
          <w:rtl/>
          <w:lang w:bidi="fa-IR"/>
        </w:rPr>
        <w:t>َاسْتِحْيَاءٌ وَانْقِبَاضٌ ، أَ</w:t>
      </w:r>
      <w:r w:rsidRPr="00020424">
        <w:rPr>
          <w:rtl/>
          <w:lang w:bidi="fa-IR"/>
        </w:rPr>
        <w:t xml:space="preserve">فَيُعْطِيهَا </w:t>
      </w:r>
      <w:r w:rsidRPr="00A91B96">
        <w:rPr>
          <w:rStyle w:val="libFootnotenumChar"/>
          <w:rtl/>
        </w:rPr>
        <w:t>(1)</w:t>
      </w:r>
      <w:r w:rsidRPr="00020424">
        <w:rPr>
          <w:rtl/>
          <w:lang w:bidi="fa-IR"/>
        </w:rPr>
        <w:t xml:space="preserve"> إِيَّاهُ </w:t>
      </w:r>
      <w:r w:rsidRPr="00A91B96">
        <w:rPr>
          <w:rStyle w:val="libFootnotenumChar"/>
          <w:rtl/>
        </w:rPr>
        <w:t>(2)</w:t>
      </w:r>
      <w:r w:rsidRPr="00020424">
        <w:rPr>
          <w:rtl/>
          <w:lang w:bidi="fa-IR"/>
        </w:rPr>
        <w:t xml:space="preserve"> عَلى غَيْرِ ذلِكَ الْوَجْهِ ، وَهِيَ مِنَّا صَدَقَةٌ</w:t>
      </w:r>
      <w:r>
        <w:rPr>
          <w:rtl/>
          <w:lang w:bidi="fa-IR"/>
        </w:rPr>
        <w:t>؟</w:t>
      </w:r>
    </w:p>
    <w:p w:rsidR="00992664" w:rsidRPr="00020424" w:rsidRDefault="00992664" w:rsidP="00992664">
      <w:pPr>
        <w:pStyle w:val="libNormal"/>
        <w:rPr>
          <w:rtl/>
          <w:lang w:bidi="fa-IR"/>
        </w:rPr>
      </w:pPr>
      <w:r w:rsidRPr="00020424">
        <w:rPr>
          <w:rtl/>
          <w:lang w:bidi="fa-IR"/>
        </w:rPr>
        <w:t xml:space="preserve">فَقَالَ : « لَا ، إِذَا كَانَتْ </w:t>
      </w:r>
      <w:r w:rsidRPr="00A91B96">
        <w:rPr>
          <w:rStyle w:val="libFootnotenumChar"/>
          <w:rtl/>
        </w:rPr>
        <w:t>(3)</w:t>
      </w:r>
      <w:r w:rsidRPr="00020424">
        <w:rPr>
          <w:rtl/>
          <w:lang w:bidi="fa-IR"/>
        </w:rPr>
        <w:t xml:space="preserve"> زَكَاةً ، فَلَهُ أَنْ يَقْبَلَهَا </w:t>
      </w:r>
      <w:r w:rsidRPr="00A91B96">
        <w:rPr>
          <w:rStyle w:val="libFootnotenumChar"/>
          <w:rtl/>
        </w:rPr>
        <w:t>(4)</w:t>
      </w:r>
      <w:r w:rsidRPr="00020424">
        <w:rPr>
          <w:rtl/>
          <w:lang w:bidi="fa-IR"/>
        </w:rPr>
        <w:t xml:space="preserve"> ، فَإِنْ لَمْ يَقْبَلْهَا </w:t>
      </w:r>
      <w:r w:rsidRPr="00A91B96">
        <w:rPr>
          <w:rStyle w:val="libFootnotenumChar"/>
          <w:rtl/>
        </w:rPr>
        <w:t>(5)</w:t>
      </w:r>
      <w:r w:rsidRPr="00020424">
        <w:rPr>
          <w:rtl/>
          <w:lang w:bidi="fa-IR"/>
        </w:rPr>
        <w:t xml:space="preserve"> عَلى وَجْهِ الزَّكَاةِ ، فَلَا تُعْطِهَا </w:t>
      </w:r>
      <w:r w:rsidRPr="00A91B96">
        <w:rPr>
          <w:rStyle w:val="libFootnotenumChar"/>
          <w:rtl/>
        </w:rPr>
        <w:t>(6)</w:t>
      </w:r>
      <w:r w:rsidRPr="00020424">
        <w:rPr>
          <w:rtl/>
          <w:lang w:bidi="fa-IR"/>
        </w:rPr>
        <w:t xml:space="preserve"> إِيَّاهُ </w:t>
      </w:r>
      <w:r w:rsidRPr="00A91B96">
        <w:rPr>
          <w:rStyle w:val="libFootnotenumChar"/>
          <w:rtl/>
        </w:rPr>
        <w:t>(7)</w:t>
      </w:r>
      <w:r w:rsidRPr="00020424">
        <w:rPr>
          <w:rtl/>
          <w:lang w:bidi="fa-IR"/>
        </w:rPr>
        <w:t xml:space="preserve"> ، وَمَا يَنْبَغِي </w:t>
      </w:r>
      <w:r w:rsidRPr="00A91B96">
        <w:rPr>
          <w:rStyle w:val="libFootnotenumChar"/>
          <w:rtl/>
        </w:rPr>
        <w:t>(8)</w:t>
      </w:r>
      <w:r w:rsidRPr="00020424">
        <w:rPr>
          <w:rtl/>
          <w:lang w:bidi="fa-IR"/>
        </w:rPr>
        <w:t xml:space="preserve"> لَهُ أَنْ يَسْتَحْيِيَ مِمَّا فَرَضَ اللهُ عَزَّ وَجَلَّ ؛ إِنَّمَا هِيَ فَرِيضَةُ اللهِ لَهُ </w:t>
      </w:r>
      <w:r w:rsidRPr="00A91B96">
        <w:rPr>
          <w:rStyle w:val="libFootnotenumChar"/>
          <w:rtl/>
        </w:rPr>
        <w:t>(9)</w:t>
      </w:r>
      <w:r w:rsidRPr="00020424">
        <w:rPr>
          <w:rtl/>
          <w:lang w:bidi="fa-IR"/>
        </w:rPr>
        <w:t xml:space="preserve"> ، فَلَا يَسْتَحْيِي مِنْهَا</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Heading2Center"/>
        <w:rPr>
          <w:rtl/>
          <w:lang w:bidi="fa-IR"/>
        </w:rPr>
      </w:pPr>
      <w:bookmarkStart w:id="148" w:name="_Toc345172766"/>
      <w:bookmarkStart w:id="149" w:name="_Toc464562582"/>
      <w:bookmarkStart w:id="150" w:name="_Toc44599885"/>
      <w:r w:rsidRPr="00020424">
        <w:rPr>
          <w:rtl/>
          <w:lang w:bidi="fa-IR"/>
        </w:rPr>
        <w:t>45</w:t>
      </w:r>
      <w:r>
        <w:rPr>
          <w:rtl/>
          <w:lang w:bidi="fa-IR"/>
        </w:rPr>
        <w:t xml:space="preserve"> </w:t>
      </w:r>
      <w:r w:rsidR="009B673F">
        <w:rPr>
          <w:rtl/>
          <w:lang w:bidi="fa-IR"/>
        </w:rPr>
        <w:t>-</w:t>
      </w:r>
      <w:r>
        <w:rPr>
          <w:rtl/>
          <w:lang w:bidi="fa-IR"/>
        </w:rPr>
        <w:t xml:space="preserve"> </w:t>
      </w:r>
      <w:r w:rsidRPr="00020424">
        <w:rPr>
          <w:rtl/>
          <w:lang w:bidi="fa-IR"/>
        </w:rPr>
        <w:t xml:space="preserve">بَابُ الْحَصَادِ </w:t>
      </w:r>
      <w:r w:rsidRPr="00A91B96">
        <w:rPr>
          <w:rStyle w:val="libFootnotenumChar"/>
          <w:rtl/>
        </w:rPr>
        <w:t>(11)</w:t>
      </w:r>
      <w:r>
        <w:rPr>
          <w:rtl/>
        </w:rPr>
        <w:t xml:space="preserve"> </w:t>
      </w:r>
      <w:r w:rsidRPr="00020424">
        <w:rPr>
          <w:rtl/>
          <w:lang w:bidi="fa-IR"/>
        </w:rPr>
        <w:t xml:space="preserve">وَالْجَدَادِ </w:t>
      </w:r>
      <w:r w:rsidRPr="00A91B96">
        <w:rPr>
          <w:rStyle w:val="libFootnotenumChar"/>
          <w:rtl/>
        </w:rPr>
        <w:t>(12)</w:t>
      </w:r>
      <w:r w:rsidRPr="00020424">
        <w:rPr>
          <w:rtl/>
          <w:lang w:bidi="fa-IR"/>
        </w:rPr>
        <w:t xml:space="preserve"> ‌</w:t>
      </w:r>
      <w:bookmarkEnd w:id="148"/>
      <w:bookmarkEnd w:id="149"/>
      <w:bookmarkEnd w:id="150"/>
    </w:p>
    <w:p w:rsidR="00992664" w:rsidRPr="00020424" w:rsidRDefault="00992664" w:rsidP="00992664">
      <w:pPr>
        <w:pStyle w:val="libNormal"/>
        <w:rPr>
          <w:rtl/>
          <w:lang w:bidi="fa-IR"/>
        </w:rPr>
      </w:pPr>
      <w:r w:rsidRPr="00AE4279">
        <w:rPr>
          <w:rtl/>
        </w:rPr>
        <w:t>5984</w:t>
      </w:r>
      <w:r w:rsidRPr="001155DE">
        <w:rPr>
          <w:rStyle w:val="libBold2Char"/>
          <w:rtl/>
        </w:rPr>
        <w:t xml:space="preserve"> / 1.</w:t>
      </w:r>
      <w:r w:rsidRPr="00020424">
        <w:rPr>
          <w:rtl/>
          <w:lang w:bidi="fa-IR"/>
        </w:rPr>
        <w:t xml:space="preserve"> عَلِيُّ بْنُ إِبْرَاهِيمَ ، عَنْ أَبِيهِ ، عَنِ ابْنِ أَبِي عُمَيْرٍ ، عَنْ مُعَاوِيَةَ بْنِ شُرَيْحٍ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فِي الزَّرْعِ حَقَّانِ : حَقٌّ تُؤْخَذُ </w:t>
      </w:r>
      <w:r w:rsidRPr="00A91B96">
        <w:rPr>
          <w:rStyle w:val="libFootnotenumChar"/>
          <w:rtl/>
        </w:rPr>
        <w:t>(13)</w:t>
      </w:r>
      <w:r w:rsidRPr="00020424">
        <w:rPr>
          <w:rtl/>
          <w:lang w:bidi="fa-IR"/>
        </w:rPr>
        <w:t xml:space="preserve"> بِهِ </w:t>
      </w:r>
      <w:r w:rsidRPr="00A91B96">
        <w:rPr>
          <w:rStyle w:val="libFootnotenumChar"/>
          <w:rtl/>
        </w:rPr>
        <w:t>(14)</w:t>
      </w:r>
      <w:r w:rsidRPr="00020424">
        <w:rPr>
          <w:rtl/>
          <w:lang w:bidi="fa-IR"/>
        </w:rPr>
        <w:t xml:space="preserve"> ، وَحَقٌّ‌</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بس » </w:t>
      </w:r>
      <w:r w:rsidR="00992664" w:rsidRPr="00515444">
        <w:rPr>
          <w:rStyle w:val="libFootnoteBoldChar"/>
          <w:rtl/>
        </w:rPr>
        <w:t>والوافي</w:t>
      </w:r>
      <w:r w:rsidR="00992664" w:rsidRPr="00020424">
        <w:rPr>
          <w:rtl/>
        </w:rPr>
        <w:t xml:space="preserve"> : «</w:t>
      </w:r>
      <w:r w:rsidR="00992664">
        <w:rPr>
          <w:rtl/>
        </w:rPr>
        <w:t xml:space="preserve"> أ</w:t>
      </w:r>
      <w:r w:rsidR="00992664" w:rsidRPr="00020424">
        <w:rPr>
          <w:rtl/>
        </w:rPr>
        <w:t>فنعطيها</w:t>
      </w:r>
      <w:r w:rsidR="00992664">
        <w:rPr>
          <w:rtl/>
        </w:rPr>
        <w:t xml:space="preserve"> ».</w:t>
      </w:r>
      <w:r w:rsidR="00992664" w:rsidRPr="00020424">
        <w:rPr>
          <w:rtl/>
        </w:rPr>
        <w:t xml:space="preserve"> وفي « بث » : «</w:t>
      </w:r>
      <w:r w:rsidR="00992664">
        <w:rPr>
          <w:rtl/>
        </w:rPr>
        <w:t xml:space="preserve"> أ</w:t>
      </w:r>
      <w:r w:rsidR="00992664" w:rsidRPr="00020424">
        <w:rPr>
          <w:rtl/>
        </w:rPr>
        <w:t>فا</w:t>
      </w:r>
      <w:r w:rsidR="005C0DB2">
        <w:rPr>
          <w:rFonts w:hint="cs"/>
          <w:rtl/>
        </w:rPr>
        <w:t>ُ</w:t>
      </w:r>
      <w:r w:rsidR="00992664" w:rsidRPr="00020424">
        <w:rPr>
          <w:rtl/>
        </w:rPr>
        <w:t>عطيها</w:t>
      </w:r>
      <w:r w:rsidR="00992664">
        <w:rPr>
          <w:rtl/>
        </w:rPr>
        <w:t xml:space="preserve"> ».</w:t>
      </w:r>
      <w:r w:rsidR="00992664" w:rsidRPr="00020424">
        <w:rPr>
          <w:rtl/>
        </w:rPr>
        <w:t xml:space="preserve"> وفي « بخ » : « فا</w:t>
      </w:r>
      <w:r w:rsidR="005C0DB2">
        <w:rPr>
          <w:rFonts w:hint="cs"/>
          <w:rtl/>
        </w:rPr>
        <w:t>ُ</w:t>
      </w:r>
      <w:r w:rsidR="00992664" w:rsidRPr="00020424">
        <w:rPr>
          <w:rtl/>
        </w:rPr>
        <w:t>عطيه</w:t>
      </w:r>
      <w:r w:rsidR="00992664">
        <w:rPr>
          <w:rtl/>
        </w:rPr>
        <w:t xml:space="preserve"> ».</w:t>
      </w:r>
      <w:r w:rsidR="00992664" w:rsidRPr="00020424">
        <w:rPr>
          <w:rtl/>
        </w:rPr>
        <w:t xml:space="preserve"> وفي « بح » : «</w:t>
      </w:r>
      <w:r w:rsidR="00992664">
        <w:rPr>
          <w:rtl/>
        </w:rPr>
        <w:t xml:space="preserve"> أ</w:t>
      </w:r>
      <w:r w:rsidR="00992664" w:rsidRPr="00020424">
        <w:rPr>
          <w:rtl/>
        </w:rPr>
        <w:t>فتعطيها</w:t>
      </w:r>
      <w:r w:rsidR="00992664">
        <w:rPr>
          <w:rtl/>
        </w:rPr>
        <w:t xml:space="preserve"> ».</w:t>
      </w:r>
      <w:r w:rsidR="00992664" w:rsidRPr="00020424">
        <w:rPr>
          <w:rtl/>
        </w:rPr>
        <w:t xml:space="preserve"> وفي « بر ، بف » : «</w:t>
      </w:r>
      <w:r w:rsidR="00992664">
        <w:rPr>
          <w:rtl/>
        </w:rPr>
        <w:t xml:space="preserve"> أ</w:t>
      </w:r>
      <w:r w:rsidR="00992664" w:rsidRPr="00020424">
        <w:rPr>
          <w:rtl/>
        </w:rPr>
        <w:t>فا</w:t>
      </w:r>
      <w:r w:rsidR="005C0DB2">
        <w:rPr>
          <w:rFonts w:hint="cs"/>
          <w:rtl/>
        </w:rPr>
        <w:t>ُ</w:t>
      </w:r>
      <w:r w:rsidR="00992664" w:rsidRPr="00020424">
        <w:rPr>
          <w:rtl/>
        </w:rPr>
        <w:t>عطيه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12108 : « فنعطيها » بدون الهمزة.</w:t>
      </w:r>
    </w:p>
    <w:tbl>
      <w:tblPr>
        <w:tblStyle w:val="TableGrid"/>
        <w:bidiVisual/>
        <w:tblW w:w="0" w:type="auto"/>
        <w:tblLook w:val="04A0" w:firstRow="1" w:lastRow="0" w:firstColumn="1" w:lastColumn="0" w:noHBand="0" w:noVBand="1"/>
      </w:tblPr>
      <w:tblGrid>
        <w:gridCol w:w="4006"/>
        <w:gridCol w:w="4006"/>
      </w:tblGrid>
      <w:tr w:rsidR="005C0DB2" w:rsidTr="005C0DB2">
        <w:tc>
          <w:tcPr>
            <w:tcW w:w="4006" w:type="dxa"/>
          </w:tcPr>
          <w:p w:rsidR="005C0DB2" w:rsidRDefault="005C0DB2" w:rsidP="00992664">
            <w:pPr>
              <w:pStyle w:val="libFootnote0"/>
              <w:rPr>
                <w:rtl/>
                <w:lang w:bidi="fa-IR"/>
              </w:rPr>
            </w:pPr>
            <w:r>
              <w:rPr>
                <w:rtl/>
              </w:rPr>
              <w:t xml:space="preserve">(2). </w:t>
            </w:r>
            <w:r w:rsidRPr="00020424">
              <w:rPr>
                <w:rtl/>
              </w:rPr>
              <w:t>في « بر ، بف » : « إيّاها</w:t>
            </w:r>
            <w:r>
              <w:rPr>
                <w:rtl/>
              </w:rPr>
              <w:t xml:space="preserve"> ».</w:t>
            </w:r>
          </w:p>
        </w:tc>
        <w:tc>
          <w:tcPr>
            <w:tcW w:w="4006" w:type="dxa"/>
          </w:tcPr>
          <w:p w:rsidR="005C0DB2" w:rsidRDefault="005C0DB2" w:rsidP="00992664">
            <w:pPr>
              <w:pStyle w:val="libFootnote0"/>
              <w:rPr>
                <w:rtl/>
                <w:lang w:bidi="fa-IR"/>
              </w:rPr>
            </w:pPr>
            <w:r>
              <w:rPr>
                <w:rtl/>
              </w:rPr>
              <w:t xml:space="preserve">(3). </w:t>
            </w:r>
            <w:r w:rsidRPr="00020424">
              <w:rPr>
                <w:rtl/>
              </w:rPr>
              <w:t>في « بخ » : + « صدقة</w:t>
            </w:r>
            <w:r>
              <w:rPr>
                <w:rtl/>
              </w:rPr>
              <w:t xml:space="preserve"> ».</w:t>
            </w:r>
          </w:p>
        </w:tc>
      </w:tr>
      <w:tr w:rsidR="005C0DB2" w:rsidTr="005C0DB2">
        <w:tc>
          <w:tcPr>
            <w:tcW w:w="4006" w:type="dxa"/>
          </w:tcPr>
          <w:p w:rsidR="005C0DB2" w:rsidRDefault="005C0DB2" w:rsidP="00992664">
            <w:pPr>
              <w:pStyle w:val="libFootnote0"/>
              <w:rPr>
                <w:rtl/>
                <w:lang w:bidi="fa-IR"/>
              </w:rPr>
            </w:pPr>
            <w:r>
              <w:rPr>
                <w:rtl/>
              </w:rPr>
              <w:t xml:space="preserve">(4). </w:t>
            </w:r>
            <w:r w:rsidRPr="00020424">
              <w:rPr>
                <w:rtl/>
              </w:rPr>
              <w:t>في « جن » : + « على وجه الزكاة</w:t>
            </w:r>
            <w:r>
              <w:rPr>
                <w:rtl/>
              </w:rPr>
              <w:t xml:space="preserve"> ».</w:t>
            </w:r>
          </w:p>
        </w:tc>
        <w:tc>
          <w:tcPr>
            <w:tcW w:w="4006" w:type="dxa"/>
          </w:tcPr>
          <w:p w:rsidR="005C0DB2" w:rsidRDefault="005C0DB2" w:rsidP="00992664">
            <w:pPr>
              <w:pStyle w:val="libFootnote0"/>
              <w:rPr>
                <w:rtl/>
                <w:lang w:bidi="fa-IR"/>
              </w:rPr>
            </w:pPr>
            <w:r>
              <w:rPr>
                <w:rtl/>
              </w:rPr>
              <w:t xml:space="preserve">(5). </w:t>
            </w:r>
            <w:r w:rsidRPr="00020424">
              <w:rPr>
                <w:rtl/>
              </w:rPr>
              <w:t>في « بر » : « لم يقبل</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بخ ، بر ، بف » : « فلا تعطه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بر ، بف » : « إيّاها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لعلّ الفرق بين هذا وما في الخبر السابق أنّ ذاك كان قد عُلم من حاله الاستحياء منها والتنزّه عنها ، ولكنّه كان بحيث إذا بُعثتْ إليه لَقَبِلَها إذا كان مضطرّاً إليها ، بخلاف هذا ؛ فإنّه قد بُعثتْ إليه واستنكف منها. وإنّما نهي عن إعطائها إيّاه لأنّه إن كان مضطرّاً إليها فقد وجبت عليه أخذها ، فإن لم يأخذ فهو عاص وهو كمانع الزكاة وقد وجبت عليه ، وإن لم يضطرّ إليها ولم يقبلها فلا وجه لإعطائها إيّاه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بس » : « وما لا ينبغي</w:t>
      </w:r>
      <w:r w:rsidR="00992664">
        <w:rPr>
          <w:rtl/>
        </w:rPr>
        <w:t xml:space="preserve"> ».</w:t>
      </w:r>
      <w:r w:rsidR="00992664" w:rsidRPr="00020424">
        <w:rPr>
          <w:rtl/>
        </w:rPr>
        <w:t xml:space="preserve"> وفي « بر ، بف » </w:t>
      </w:r>
      <w:r w:rsidR="00992664" w:rsidRPr="005C0DB2">
        <w:rPr>
          <w:rtl/>
        </w:rPr>
        <w:t>والوافي</w:t>
      </w:r>
      <w:r w:rsidR="00992664" w:rsidRPr="00020424">
        <w:rPr>
          <w:rtl/>
        </w:rPr>
        <w:t xml:space="preserve"> : « ولاينبغي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218 ، ح 9479 ؛ </w:t>
      </w:r>
      <w:r w:rsidR="00992664" w:rsidRPr="0012008A">
        <w:rPr>
          <w:rStyle w:val="libFootnoteBoldChar"/>
          <w:rtl/>
        </w:rPr>
        <w:t>الوسائل</w:t>
      </w:r>
      <w:r w:rsidR="00992664" w:rsidRPr="00020424">
        <w:rPr>
          <w:rtl/>
        </w:rPr>
        <w:t xml:space="preserve"> ، ج 9 ، ص 313 ، ح 12104 ؛ وص 315 ، ح 12108.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الحَصاد » ،</w:t>
      </w:r>
      <w:r w:rsidR="00992664">
        <w:rPr>
          <w:rtl/>
        </w:rPr>
        <w:t xml:space="preserve"> </w:t>
      </w:r>
      <w:r w:rsidR="009B673F">
        <w:rPr>
          <w:rtl/>
        </w:rPr>
        <w:t>-</w:t>
      </w:r>
      <w:r w:rsidR="00992664">
        <w:rPr>
          <w:rtl/>
        </w:rPr>
        <w:t xml:space="preserve"> </w:t>
      </w:r>
      <w:r w:rsidR="00992664" w:rsidRPr="00020424">
        <w:rPr>
          <w:rtl/>
        </w:rPr>
        <w:t>بالفتح والكسر</w:t>
      </w:r>
      <w:r w:rsidR="00992664">
        <w:rPr>
          <w:rtl/>
        </w:rPr>
        <w:t xml:space="preserve"> </w:t>
      </w:r>
      <w:r w:rsidR="009B673F">
        <w:rPr>
          <w:rtl/>
        </w:rPr>
        <w:t>-</w:t>
      </w:r>
      <w:r w:rsidR="00992664">
        <w:rPr>
          <w:rtl/>
        </w:rPr>
        <w:t xml:space="preserve"> </w:t>
      </w:r>
      <w:r w:rsidR="00992664" w:rsidRPr="00020424">
        <w:rPr>
          <w:rtl/>
        </w:rPr>
        <w:t xml:space="preserve">: قطع الزرع وجزّه من البرّ ونحوه من النبات. راجع : </w:t>
      </w:r>
      <w:r w:rsidR="00992664" w:rsidRPr="0012008A">
        <w:rPr>
          <w:rStyle w:val="libFootnoteBoldChar"/>
          <w:rtl/>
        </w:rPr>
        <w:t>النهاية</w:t>
      </w:r>
      <w:r w:rsidR="00992664" w:rsidRPr="00020424">
        <w:rPr>
          <w:rtl/>
        </w:rPr>
        <w:t xml:space="preserve"> ، ج 1 ، ص 394 ؛ </w:t>
      </w:r>
      <w:r w:rsidR="00992664" w:rsidRPr="00A722B1">
        <w:rPr>
          <w:rStyle w:val="libFootnoteBoldChar"/>
          <w:rtl/>
        </w:rPr>
        <w:t>لسان العرب</w:t>
      </w:r>
      <w:r w:rsidR="00992664" w:rsidRPr="00DE76B9">
        <w:rPr>
          <w:rStyle w:val="libFootnoteBoldChar"/>
          <w:rtl/>
        </w:rPr>
        <w:t xml:space="preserve"> ،</w:t>
      </w:r>
      <w:r w:rsidR="00992664" w:rsidRPr="00020424">
        <w:rPr>
          <w:rtl/>
        </w:rPr>
        <w:t xml:space="preserve"> ج 3 ، ص 151 ( حصد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ظ ، ى ، جن » : « الجذاذ</w:t>
      </w:r>
      <w:r w:rsidR="00992664">
        <w:rPr>
          <w:rtl/>
        </w:rPr>
        <w:t xml:space="preserve"> ».</w:t>
      </w:r>
      <w:r w:rsidR="00992664" w:rsidRPr="00020424">
        <w:rPr>
          <w:rtl/>
        </w:rPr>
        <w:t xml:space="preserve"> </w:t>
      </w:r>
      <w:r w:rsidR="00992664">
        <w:rPr>
          <w:rtl/>
        </w:rPr>
        <w:t>و «</w:t>
      </w:r>
      <w:r w:rsidR="00992664" w:rsidRPr="00020424">
        <w:rPr>
          <w:rtl/>
        </w:rPr>
        <w:t xml:space="preserve"> الجَداد ،</w:t>
      </w:r>
      <w:r w:rsidR="00992664">
        <w:rPr>
          <w:rtl/>
        </w:rPr>
        <w:t xml:space="preserve"> </w:t>
      </w:r>
      <w:r w:rsidR="009B673F">
        <w:rPr>
          <w:rtl/>
        </w:rPr>
        <w:t>-</w:t>
      </w:r>
      <w:r w:rsidR="00992664">
        <w:rPr>
          <w:rtl/>
        </w:rPr>
        <w:t xml:space="preserve"> </w:t>
      </w:r>
      <w:r w:rsidR="00992664" w:rsidRPr="00020424">
        <w:rPr>
          <w:rtl/>
        </w:rPr>
        <w:t>بالفتح والكسر</w:t>
      </w:r>
      <w:r w:rsidR="00992664">
        <w:rPr>
          <w:rtl/>
        </w:rPr>
        <w:t xml:space="preserve"> </w:t>
      </w:r>
      <w:r w:rsidR="009B673F">
        <w:rPr>
          <w:rtl/>
        </w:rPr>
        <w:t>-</w:t>
      </w:r>
      <w:r w:rsidR="00992664">
        <w:rPr>
          <w:rtl/>
        </w:rPr>
        <w:t xml:space="preserve"> </w:t>
      </w:r>
      <w:r w:rsidR="00992664" w:rsidRPr="00020424">
        <w:rPr>
          <w:rtl/>
        </w:rPr>
        <w:t xml:space="preserve">: صِرام النخل وهو قطع ثمرتها. راجع : </w:t>
      </w:r>
      <w:r w:rsidR="00992664" w:rsidRPr="0012008A">
        <w:rPr>
          <w:rStyle w:val="libFootnoteBoldChar"/>
          <w:rtl/>
        </w:rPr>
        <w:t>الصحاح</w:t>
      </w:r>
      <w:r w:rsidR="00992664" w:rsidRPr="00020424">
        <w:rPr>
          <w:rtl/>
        </w:rPr>
        <w:t xml:space="preserve"> ، ج 2 ، ص 454 ؛ </w:t>
      </w:r>
      <w:r w:rsidR="00992664" w:rsidRPr="0012008A">
        <w:rPr>
          <w:rStyle w:val="libFootnoteBoldChar"/>
          <w:rtl/>
        </w:rPr>
        <w:t>النهاية</w:t>
      </w:r>
      <w:r w:rsidR="00992664" w:rsidRPr="00020424">
        <w:rPr>
          <w:rtl/>
        </w:rPr>
        <w:t xml:space="preserve"> ، ج 1 ، ص 244 ( جدد )</w:t>
      </w:r>
      <w:r w:rsidR="00992664">
        <w:rPr>
          <w:rtl/>
        </w:rPr>
        <w:t>.</w:t>
      </w:r>
    </w:p>
    <w:tbl>
      <w:tblPr>
        <w:tblStyle w:val="TableGrid"/>
        <w:bidiVisual/>
        <w:tblW w:w="0" w:type="auto"/>
        <w:tblLook w:val="04A0" w:firstRow="1" w:lastRow="0" w:firstColumn="1" w:lastColumn="0" w:noHBand="0" w:noVBand="1"/>
      </w:tblPr>
      <w:tblGrid>
        <w:gridCol w:w="4006"/>
        <w:gridCol w:w="4006"/>
      </w:tblGrid>
      <w:tr w:rsidR="005C0DB2" w:rsidTr="005C0DB2">
        <w:tc>
          <w:tcPr>
            <w:tcW w:w="4006" w:type="dxa"/>
          </w:tcPr>
          <w:p w:rsidR="005C0DB2" w:rsidRDefault="005C0DB2" w:rsidP="00992664">
            <w:pPr>
              <w:pStyle w:val="libFootnote0"/>
              <w:rPr>
                <w:rtl/>
              </w:rPr>
            </w:pPr>
            <w:r>
              <w:rPr>
                <w:rtl/>
              </w:rPr>
              <w:t xml:space="preserve">(13). </w:t>
            </w:r>
            <w:r w:rsidRPr="00020424">
              <w:rPr>
                <w:rtl/>
              </w:rPr>
              <w:t>في « بح ، بخ » : « يؤخذ</w:t>
            </w:r>
            <w:r>
              <w:rPr>
                <w:rtl/>
              </w:rPr>
              <w:t xml:space="preserve"> ».</w:t>
            </w:r>
          </w:p>
        </w:tc>
        <w:tc>
          <w:tcPr>
            <w:tcW w:w="4006" w:type="dxa"/>
          </w:tcPr>
          <w:p w:rsidR="005C0DB2" w:rsidRDefault="005C0DB2" w:rsidP="00992664">
            <w:pPr>
              <w:pStyle w:val="libFootnote0"/>
              <w:rPr>
                <w:rtl/>
              </w:rPr>
            </w:pPr>
            <w:r>
              <w:rPr>
                <w:rtl/>
              </w:rPr>
              <w:t xml:space="preserve">(14). </w:t>
            </w:r>
            <w:r w:rsidRPr="00020424">
              <w:rPr>
                <w:rtl/>
              </w:rPr>
              <w:t>في « بر » :</w:t>
            </w:r>
            <w:r>
              <w:rPr>
                <w:rtl/>
              </w:rPr>
              <w:t xml:space="preserve"> - </w:t>
            </w:r>
            <w:r w:rsidRPr="00020424">
              <w:rPr>
                <w:rtl/>
              </w:rPr>
              <w:t>« له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5C0DB2">
      <w:pPr>
        <w:pStyle w:val="libNormal0"/>
        <w:rPr>
          <w:rtl/>
          <w:lang w:bidi="fa-IR"/>
        </w:rPr>
      </w:pPr>
      <w:r w:rsidRPr="00020424">
        <w:rPr>
          <w:rtl/>
          <w:lang w:bidi="fa-IR"/>
        </w:rPr>
        <w:lastRenderedPageBreak/>
        <w:t xml:space="preserve">تُعْطِيهِ </w:t>
      </w:r>
      <w:r w:rsidRPr="00A91B96">
        <w:rPr>
          <w:rStyle w:val="libFootnotenumChar"/>
          <w:rtl/>
        </w:rPr>
        <w:t>(1)</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وَمَا الَّذِي أُوخَذُ </w:t>
      </w:r>
      <w:r w:rsidRPr="00A91B96">
        <w:rPr>
          <w:rStyle w:val="libFootnotenumChar"/>
          <w:rtl/>
        </w:rPr>
        <w:t>(2)</w:t>
      </w:r>
      <w:r w:rsidRPr="00020424">
        <w:rPr>
          <w:rtl/>
          <w:lang w:bidi="fa-IR"/>
        </w:rPr>
        <w:t xml:space="preserve"> بِهِ</w:t>
      </w:r>
      <w:r>
        <w:rPr>
          <w:rtl/>
          <w:lang w:bidi="fa-IR"/>
        </w:rPr>
        <w:t>؟</w:t>
      </w:r>
      <w:r w:rsidRPr="00020424">
        <w:rPr>
          <w:rtl/>
          <w:lang w:bidi="fa-IR"/>
        </w:rPr>
        <w:t xml:space="preserve"> وَمَا الَّذِي أُعْطِيهِ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 xml:space="preserve">قَالَ : « أَمَّا الَّذِي تُؤْخَذُ </w:t>
      </w:r>
      <w:r w:rsidRPr="00A91B96">
        <w:rPr>
          <w:rStyle w:val="libFootnotenumChar"/>
          <w:rtl/>
        </w:rPr>
        <w:t>(4)</w:t>
      </w:r>
      <w:r w:rsidRPr="00020424">
        <w:rPr>
          <w:rtl/>
          <w:lang w:bidi="fa-IR"/>
        </w:rPr>
        <w:t xml:space="preserve"> بِهِ ، فَالْعُشُرُ ، وَنِصْفُ الْعُشُرِ ؛ وَأَمَّا الَّذِي تُعْطِيهِ </w:t>
      </w:r>
      <w:r w:rsidRPr="00A91B96">
        <w:rPr>
          <w:rStyle w:val="libFootnotenumChar"/>
          <w:rtl/>
        </w:rPr>
        <w:t>(5)</w:t>
      </w:r>
      <w:r w:rsidRPr="00020424">
        <w:rPr>
          <w:rtl/>
          <w:lang w:bidi="fa-IR"/>
        </w:rPr>
        <w:t xml:space="preserve"> ، فَقَوْلُ </w:t>
      </w:r>
      <w:r w:rsidRPr="00A91B96">
        <w:rPr>
          <w:rStyle w:val="libFootnotenumChar"/>
          <w:rtl/>
        </w:rPr>
        <w:t>(6)</w:t>
      </w:r>
      <w:r w:rsidRPr="00020424">
        <w:rPr>
          <w:rtl/>
          <w:lang w:bidi="fa-IR"/>
        </w:rPr>
        <w:t xml:space="preserve"> اللهِ </w:t>
      </w:r>
      <w:r w:rsidRPr="00A91B96">
        <w:rPr>
          <w:rStyle w:val="libFootnotenumChar"/>
          <w:rtl/>
        </w:rPr>
        <w:t>(7)</w:t>
      </w:r>
      <w:r w:rsidRPr="00020424">
        <w:rPr>
          <w:rtl/>
          <w:lang w:bidi="fa-IR"/>
        </w:rPr>
        <w:t xml:space="preserve"> عَزَّ وَجَلَّ : </w:t>
      </w:r>
      <w:r w:rsidRPr="00005A81">
        <w:rPr>
          <w:rStyle w:val="libAlaemChar"/>
          <w:rtl/>
        </w:rPr>
        <w:t>(</w:t>
      </w:r>
      <w:r w:rsidRPr="004E5AB4">
        <w:rPr>
          <w:rStyle w:val="libAieChar"/>
          <w:rtl/>
        </w:rPr>
        <w:t xml:space="preserve"> وَآتُوا حَقَّهُ يَوْمَ حَصادِهِ </w:t>
      </w:r>
      <w:r w:rsidRPr="00005A81">
        <w:rPr>
          <w:rStyle w:val="libAlaemChar"/>
          <w:rtl/>
        </w:rPr>
        <w:t>)</w:t>
      </w:r>
      <w:r w:rsidRPr="00020424">
        <w:rPr>
          <w:rtl/>
          <w:lang w:bidi="fa-IR"/>
        </w:rPr>
        <w:t xml:space="preserve"> </w:t>
      </w:r>
      <w:r w:rsidRPr="00A91B96">
        <w:rPr>
          <w:rStyle w:val="libFootnotenumChar"/>
          <w:rtl/>
        </w:rPr>
        <w:t>(8)</w:t>
      </w:r>
      <w:r w:rsidRPr="00020424">
        <w:rPr>
          <w:rtl/>
          <w:lang w:bidi="fa-IR"/>
        </w:rPr>
        <w:t xml:space="preserve"> يَعْنِي مِنْ </w:t>
      </w:r>
      <w:r w:rsidRPr="00A91B96">
        <w:rPr>
          <w:rStyle w:val="libFootnotenumChar"/>
          <w:rtl/>
        </w:rPr>
        <w:t>(9)</w:t>
      </w:r>
      <w:r w:rsidRPr="00020424">
        <w:rPr>
          <w:rtl/>
          <w:lang w:bidi="fa-IR"/>
        </w:rPr>
        <w:t xml:space="preserve"> حَصْدِكَ </w:t>
      </w:r>
      <w:r w:rsidRPr="00A91B96">
        <w:rPr>
          <w:rStyle w:val="libFootnotenumChar"/>
          <w:rtl/>
        </w:rPr>
        <w:t>(10)</w:t>
      </w:r>
      <w:r w:rsidRPr="00020424">
        <w:rPr>
          <w:rtl/>
          <w:lang w:bidi="fa-IR"/>
        </w:rPr>
        <w:t xml:space="preserve"> الشَّيْ‌ءَ بَعْدَ </w:t>
      </w:r>
      <w:r w:rsidRPr="00A91B96">
        <w:rPr>
          <w:rStyle w:val="libFootnotenumChar"/>
          <w:rtl/>
        </w:rPr>
        <w:t>(11)</w:t>
      </w:r>
      <w:r w:rsidRPr="00020424">
        <w:rPr>
          <w:rtl/>
          <w:lang w:bidi="fa-IR"/>
        </w:rPr>
        <w:t xml:space="preserve"> الشّ</w:t>
      </w:r>
      <w:r w:rsidR="005C0DB2">
        <w:rPr>
          <w:rtl/>
          <w:lang w:bidi="fa-IR"/>
        </w:rPr>
        <w:t>َيْ‌ءِ » وَلَا أَعْلَمُهُ إِل</w:t>
      </w:r>
      <w:r w:rsidR="005C0DB2">
        <w:rPr>
          <w:rFonts w:hint="cs"/>
          <w:rtl/>
          <w:lang w:bidi="fa-IR"/>
        </w:rPr>
        <w:t>َّ</w:t>
      </w:r>
      <w:r w:rsidR="005C0DB2">
        <w:rPr>
          <w:rtl/>
          <w:lang w:bidi="fa-IR"/>
        </w:rPr>
        <w:t>ا</w:t>
      </w:r>
      <w:r w:rsidRPr="00020424">
        <w:rPr>
          <w:rtl/>
          <w:lang w:bidi="fa-IR"/>
        </w:rPr>
        <w:t xml:space="preserve"> قَالَ : « الضِّغْثَ </w:t>
      </w:r>
      <w:r w:rsidRPr="00A91B96">
        <w:rPr>
          <w:rStyle w:val="libFootnotenumChar"/>
          <w:rtl/>
        </w:rPr>
        <w:t>(12)</w:t>
      </w:r>
      <w:r w:rsidRPr="00020424">
        <w:rPr>
          <w:rtl/>
          <w:lang w:bidi="fa-IR"/>
        </w:rPr>
        <w:t xml:space="preserve"> ثُمَّ الضِّغْثَ </w:t>
      </w:r>
      <w:r w:rsidRPr="00A91B96">
        <w:rPr>
          <w:rStyle w:val="libFootnotenumChar"/>
          <w:rtl/>
        </w:rPr>
        <w:t>(13)</w:t>
      </w:r>
      <w:r w:rsidRPr="00020424">
        <w:rPr>
          <w:rtl/>
          <w:lang w:bidi="fa-IR"/>
        </w:rPr>
        <w:t xml:space="preserve"> حَتّى يَفْرُغَ </w:t>
      </w:r>
      <w:r w:rsidRPr="00A91B96">
        <w:rPr>
          <w:rStyle w:val="libFootnotenumChar"/>
          <w:rtl/>
        </w:rPr>
        <w:t>(14)</w:t>
      </w:r>
      <w:r>
        <w:rPr>
          <w:rtl/>
          <w:lang w:bidi="fa-IR"/>
        </w:rPr>
        <w:t xml:space="preserve"> ».</w:t>
      </w:r>
      <w:r w:rsidRPr="00020424">
        <w:rPr>
          <w:rtl/>
          <w:lang w:bidi="fa-IR"/>
        </w:rPr>
        <w:t xml:space="preserve">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C0DB2" w:rsidTr="005C0DB2">
        <w:tc>
          <w:tcPr>
            <w:tcW w:w="4006" w:type="dxa"/>
          </w:tcPr>
          <w:p w:rsidR="005C0DB2" w:rsidRDefault="005C0DB2" w:rsidP="00992664">
            <w:pPr>
              <w:pStyle w:val="libFootnote0"/>
              <w:rPr>
                <w:rtl/>
              </w:rPr>
            </w:pPr>
            <w:r>
              <w:rPr>
                <w:rtl/>
              </w:rPr>
              <w:t xml:space="preserve">(1). </w:t>
            </w:r>
            <w:r w:rsidRPr="00020424">
              <w:rPr>
                <w:rtl/>
              </w:rPr>
              <w:t>في « بخ ، جن » : « يعطيه</w:t>
            </w:r>
            <w:r>
              <w:rPr>
                <w:rtl/>
              </w:rPr>
              <w:t xml:space="preserve"> ».</w:t>
            </w:r>
          </w:p>
        </w:tc>
        <w:tc>
          <w:tcPr>
            <w:tcW w:w="4006" w:type="dxa"/>
          </w:tcPr>
          <w:p w:rsidR="005C0DB2" w:rsidRDefault="005C0DB2" w:rsidP="00992664">
            <w:pPr>
              <w:pStyle w:val="libFootnote0"/>
              <w:rPr>
                <w:rtl/>
              </w:rPr>
            </w:pPr>
            <w:r>
              <w:rPr>
                <w:rtl/>
              </w:rPr>
              <w:t xml:space="preserve">(2). </w:t>
            </w:r>
            <w:r w:rsidRPr="00020424">
              <w:rPr>
                <w:rtl/>
              </w:rPr>
              <w:t>في « بث ، بر » : « يؤخذ</w:t>
            </w:r>
            <w:r>
              <w:rPr>
                <w:rtl/>
              </w:rPr>
              <w:t xml:space="preserve"> ».</w:t>
            </w:r>
          </w:p>
        </w:tc>
      </w:tr>
      <w:tr w:rsidR="005C0DB2" w:rsidTr="005C0DB2">
        <w:tc>
          <w:tcPr>
            <w:tcW w:w="4006" w:type="dxa"/>
          </w:tcPr>
          <w:p w:rsidR="005C0DB2" w:rsidRDefault="005C0DB2" w:rsidP="00992664">
            <w:pPr>
              <w:pStyle w:val="libFootnote0"/>
              <w:rPr>
                <w:rtl/>
              </w:rPr>
            </w:pPr>
            <w:r>
              <w:rPr>
                <w:rtl/>
              </w:rPr>
              <w:t xml:space="preserve">(3). </w:t>
            </w:r>
            <w:r w:rsidRPr="00020424">
              <w:rPr>
                <w:rtl/>
              </w:rPr>
              <w:t>في « بث ، جن » : « يعطيه</w:t>
            </w:r>
            <w:r>
              <w:rPr>
                <w:rtl/>
              </w:rPr>
              <w:t xml:space="preserve"> ».</w:t>
            </w:r>
          </w:p>
        </w:tc>
        <w:tc>
          <w:tcPr>
            <w:tcW w:w="4006" w:type="dxa"/>
          </w:tcPr>
          <w:p w:rsidR="005C0DB2" w:rsidRDefault="005C0DB2" w:rsidP="00992664">
            <w:pPr>
              <w:pStyle w:val="libFootnote0"/>
              <w:rPr>
                <w:rtl/>
              </w:rPr>
            </w:pPr>
            <w:r>
              <w:rPr>
                <w:rtl/>
              </w:rPr>
              <w:t xml:space="preserve">(4). </w:t>
            </w:r>
            <w:r w:rsidRPr="00020424">
              <w:rPr>
                <w:rtl/>
              </w:rPr>
              <w:t>في « بث ، بخ ، بر » : « يؤخذ</w:t>
            </w:r>
            <w:r>
              <w:rPr>
                <w:rtl/>
              </w:rPr>
              <w:t xml:space="preserve"> ».</w:t>
            </w:r>
          </w:p>
        </w:tc>
      </w:tr>
      <w:tr w:rsidR="005C0DB2" w:rsidTr="005C0DB2">
        <w:tc>
          <w:tcPr>
            <w:tcW w:w="4006" w:type="dxa"/>
          </w:tcPr>
          <w:p w:rsidR="005C0DB2" w:rsidRDefault="005C0DB2" w:rsidP="00992664">
            <w:pPr>
              <w:pStyle w:val="libFootnote0"/>
              <w:rPr>
                <w:rtl/>
              </w:rPr>
            </w:pPr>
            <w:r>
              <w:rPr>
                <w:rtl/>
              </w:rPr>
              <w:t xml:space="preserve">(5). </w:t>
            </w:r>
            <w:r w:rsidRPr="00020424">
              <w:rPr>
                <w:rtl/>
              </w:rPr>
              <w:t>في « بث ، بخ ، بر » : « يعطيه</w:t>
            </w:r>
            <w:r>
              <w:rPr>
                <w:rtl/>
              </w:rPr>
              <w:t xml:space="preserve"> ».</w:t>
            </w:r>
          </w:p>
        </w:tc>
        <w:tc>
          <w:tcPr>
            <w:tcW w:w="4006" w:type="dxa"/>
          </w:tcPr>
          <w:p w:rsidR="005C0DB2" w:rsidRDefault="005C0DB2" w:rsidP="00992664">
            <w:pPr>
              <w:pStyle w:val="libFootnote0"/>
              <w:rPr>
                <w:rtl/>
              </w:rPr>
            </w:pPr>
            <w:r>
              <w:rPr>
                <w:rtl/>
              </w:rPr>
              <w:t xml:space="preserve">(6). </w:t>
            </w:r>
            <w:r w:rsidRPr="00020424">
              <w:rPr>
                <w:rtl/>
              </w:rPr>
              <w:t>في « بر » وتفسير العيّاشي : « يقول</w:t>
            </w:r>
            <w:r>
              <w:rPr>
                <w:rtl/>
              </w:rPr>
              <w:t xml:space="preserve"> ».</w:t>
            </w:r>
          </w:p>
        </w:tc>
      </w:tr>
      <w:tr w:rsidR="005C0DB2" w:rsidTr="005C0DB2">
        <w:tc>
          <w:tcPr>
            <w:tcW w:w="4006" w:type="dxa"/>
          </w:tcPr>
          <w:p w:rsidR="005C0DB2" w:rsidRDefault="005C0DB2" w:rsidP="00992664">
            <w:pPr>
              <w:pStyle w:val="libFootnote0"/>
              <w:rPr>
                <w:rtl/>
              </w:rPr>
            </w:pPr>
            <w:r>
              <w:rPr>
                <w:rtl/>
              </w:rPr>
              <w:t xml:space="preserve">(7). </w:t>
            </w:r>
            <w:r w:rsidRPr="00020424">
              <w:rPr>
                <w:rtl/>
              </w:rPr>
              <w:t>في « بح ، بر » وتفسير العيّاشي :</w:t>
            </w:r>
            <w:r>
              <w:rPr>
                <w:rtl/>
              </w:rPr>
              <w:t xml:space="preserve"> - </w:t>
            </w:r>
            <w:r w:rsidRPr="00020424">
              <w:rPr>
                <w:rtl/>
              </w:rPr>
              <w:t>« الله</w:t>
            </w:r>
            <w:r>
              <w:rPr>
                <w:rtl/>
              </w:rPr>
              <w:t xml:space="preserve"> ».</w:t>
            </w:r>
          </w:p>
        </w:tc>
        <w:tc>
          <w:tcPr>
            <w:tcW w:w="4006" w:type="dxa"/>
          </w:tcPr>
          <w:p w:rsidR="005C0DB2" w:rsidRDefault="005C0DB2" w:rsidP="00992664">
            <w:pPr>
              <w:pStyle w:val="libFootnote0"/>
              <w:rPr>
                <w:rtl/>
              </w:rPr>
            </w:pPr>
            <w:r>
              <w:rPr>
                <w:rtl/>
              </w:rPr>
              <w:t xml:space="preserve">(8). </w:t>
            </w:r>
            <w:r w:rsidRPr="00020424">
              <w:rPr>
                <w:rtl/>
              </w:rPr>
              <w:t xml:space="preserve">الأنعام </w:t>
            </w:r>
            <w:r>
              <w:rPr>
                <w:rtl/>
              </w:rPr>
              <w:t xml:space="preserve">(6) </w:t>
            </w:r>
            <w:r w:rsidRPr="00020424">
              <w:rPr>
                <w:rtl/>
              </w:rPr>
              <w:t>: 141.</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بر » وحاشية « بث » : « ما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بث ، بح ، بخ ، بس ، بف » </w:t>
      </w:r>
      <w:r w:rsidR="00992664" w:rsidRPr="00EB1FD9">
        <w:rPr>
          <w:rStyle w:val="libFootnoteBoldChar"/>
          <w:rtl/>
        </w:rPr>
        <w:t>والوسائل</w:t>
      </w:r>
      <w:r w:rsidR="00992664" w:rsidRPr="00020424">
        <w:rPr>
          <w:rtl/>
        </w:rPr>
        <w:t xml:space="preserve"> : « حضرك</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5C0DB2">
        <w:rPr>
          <w:rtl/>
        </w:rPr>
        <w:t>والوافي</w:t>
      </w:r>
      <w:r w:rsidR="00992664" w:rsidRPr="00020424">
        <w:rPr>
          <w:rtl/>
        </w:rPr>
        <w:t xml:space="preserve"> : « ثمّ</w:t>
      </w:r>
      <w:r w:rsidR="00992664">
        <w:rPr>
          <w:rtl/>
        </w:rPr>
        <w:t xml:space="preserve"> ».</w:t>
      </w:r>
    </w:p>
    <w:p w:rsidR="00992664" w:rsidRPr="00020424" w:rsidRDefault="00795177" w:rsidP="005C0DB2">
      <w:pPr>
        <w:pStyle w:val="libFootnote0"/>
        <w:rPr>
          <w:rtl/>
          <w:lang w:bidi="fa-IR"/>
        </w:rPr>
      </w:pPr>
      <w:r>
        <w:rPr>
          <w:rtl/>
        </w:rPr>
        <w:t>(12).</w:t>
      </w:r>
      <w:r w:rsidR="0014403D">
        <w:rPr>
          <w:rtl/>
        </w:rPr>
        <w:t xml:space="preserve"> </w:t>
      </w:r>
      <w:r w:rsidR="00992664" w:rsidRPr="00020424">
        <w:rPr>
          <w:rtl/>
        </w:rPr>
        <w:t xml:space="preserve">« الضِغْث » : القُبْضة ، أي مل‌ء اليد من الحشيش مختلط الرطب باليابس. راجع : </w:t>
      </w:r>
      <w:r w:rsidR="00992664" w:rsidRPr="0012008A">
        <w:rPr>
          <w:rStyle w:val="libFootnoteBoldChar"/>
          <w:rtl/>
        </w:rPr>
        <w:t>الصحاح</w:t>
      </w:r>
      <w:r w:rsidR="00992664" w:rsidRPr="00020424">
        <w:rPr>
          <w:rtl/>
        </w:rPr>
        <w:t xml:space="preserve"> ، ج 1 ، ص 285 ؛ </w:t>
      </w:r>
      <w:r w:rsidR="00992664" w:rsidRPr="0012008A">
        <w:rPr>
          <w:rStyle w:val="libFootnoteBoldChar"/>
          <w:rtl/>
        </w:rPr>
        <w:t>النهاية</w:t>
      </w:r>
      <w:r w:rsidR="00992664" w:rsidRPr="00020424">
        <w:rPr>
          <w:rtl/>
        </w:rPr>
        <w:t xml:space="preserve"> ، ج 3 ، ص 90 ( ضغث )</w:t>
      </w:r>
      <w:r w:rsidR="00992664">
        <w:rPr>
          <w:rtl/>
        </w:rPr>
        <w:t>.</w:t>
      </w:r>
      <w:r w:rsidR="005C0DB2">
        <w:rPr>
          <w:rFonts w:hint="cs"/>
          <w:rtl/>
        </w:rPr>
        <w:t xml:space="preserve">               </w:t>
      </w:r>
      <w:r>
        <w:rPr>
          <w:rtl/>
        </w:rPr>
        <w:t>(13).</w:t>
      </w:r>
      <w:r w:rsidR="0014403D">
        <w:rPr>
          <w:rtl/>
        </w:rPr>
        <w:t xml:space="preserve"> </w:t>
      </w:r>
      <w:r w:rsidR="00992664" w:rsidRPr="00020424">
        <w:rPr>
          <w:rtl/>
        </w:rPr>
        <w:t>في « ى » : + « ثمّ الضغث</w:t>
      </w:r>
      <w:r w:rsidR="00992664">
        <w:rPr>
          <w:rtl/>
        </w:rPr>
        <w:t xml:space="preserve"> ».</w:t>
      </w:r>
    </w:p>
    <w:p w:rsidR="00992664" w:rsidRPr="00020424" w:rsidRDefault="00795177" w:rsidP="005C0DB2">
      <w:pPr>
        <w:pStyle w:val="libFootnote0"/>
        <w:rPr>
          <w:rtl/>
          <w:lang w:bidi="fa-IR"/>
        </w:rPr>
      </w:pPr>
      <w:r>
        <w:rPr>
          <w:rtl/>
        </w:rPr>
        <w:t>(14).</w:t>
      </w:r>
      <w:r w:rsidR="0014403D">
        <w:rPr>
          <w:rtl/>
        </w:rPr>
        <w:t xml:space="preserve"> </w:t>
      </w:r>
      <w:r w:rsidR="00992664" w:rsidRPr="00020424">
        <w:rPr>
          <w:rtl/>
        </w:rPr>
        <w:t xml:space="preserve">في « بس » </w:t>
      </w:r>
      <w:r w:rsidR="00992664" w:rsidRPr="005C0DB2">
        <w:rPr>
          <w:rtl/>
        </w:rPr>
        <w:t>والوافي</w:t>
      </w:r>
      <w:r w:rsidR="00992664" w:rsidRPr="00020424">
        <w:rPr>
          <w:rtl/>
        </w:rPr>
        <w:t xml:space="preserve"> وتفسير العيّاشي : « حتّى تفرغ</w:t>
      </w:r>
      <w:r w:rsidR="00992664">
        <w:rPr>
          <w:rtl/>
        </w:rPr>
        <w:t xml:space="preserve"> ».</w:t>
      </w:r>
      <w:r w:rsidR="00992664" w:rsidRPr="00020424">
        <w:rPr>
          <w:rtl/>
        </w:rPr>
        <w:t xml:space="preserve"> وقال في </w:t>
      </w:r>
      <w:r w:rsidR="00992664" w:rsidRPr="00DE76B9">
        <w:rPr>
          <w:rStyle w:val="libFootnoteBoldChar"/>
          <w:rtl/>
        </w:rPr>
        <w:t>الخلاف</w:t>
      </w:r>
      <w:r w:rsidR="00992664" w:rsidRPr="00020424">
        <w:rPr>
          <w:rtl/>
        </w:rPr>
        <w:t xml:space="preserve"> </w:t>
      </w:r>
      <w:r w:rsidR="005C0DB2">
        <w:rPr>
          <w:rtl/>
        </w:rPr>
        <w:t>، ج 2 ، ص 5 ، ذيل المسألة 1 : «</w:t>
      </w:r>
      <w:r w:rsidR="00992664" w:rsidRPr="00020424">
        <w:rPr>
          <w:rtl/>
        </w:rPr>
        <w:t xml:space="preserve">يجب في المال حقّ سوى الزكاة المفروضة ، وهو ما يخرج يوم الحصاد من الضغث بعد الضغث والحفنة بعد الحفنة يوم الجذاذ ، وبه قال الشافعيّ النخعيّ ومجاهد وخالف جميع الفقهاء في ذلك. دليلنا إجماع الفرقة وأخبارهم ، وأيضاً قوله تعالى : </w:t>
      </w:r>
      <w:r w:rsidR="00992664" w:rsidRPr="005C0DB2">
        <w:rPr>
          <w:rStyle w:val="libFootnoteAlaemChar"/>
          <w:rtl/>
        </w:rPr>
        <w:t>(</w:t>
      </w:r>
      <w:r w:rsidR="00992664" w:rsidRPr="006B2AC6">
        <w:rPr>
          <w:rStyle w:val="libFootnoteAieChar"/>
          <w:rFonts w:hint="cs"/>
          <w:rtl/>
        </w:rPr>
        <w:t xml:space="preserve"> </w:t>
      </w:r>
      <w:r w:rsidR="00992664" w:rsidRPr="006B2AC6">
        <w:rPr>
          <w:rStyle w:val="libFootnoteAieChar"/>
          <w:rtl/>
        </w:rPr>
        <w:t>وَ</w:t>
      </w:r>
      <w:r w:rsidR="005C0DB2">
        <w:rPr>
          <w:rStyle w:val="libFootnoteAieChar"/>
          <w:rFonts w:hint="cs"/>
          <w:rtl/>
        </w:rPr>
        <w:t>ءَا</w:t>
      </w:r>
      <w:r w:rsidR="00992664" w:rsidRPr="006B2AC6">
        <w:rPr>
          <w:rStyle w:val="libFootnoteAieChar"/>
          <w:rtl/>
        </w:rPr>
        <w:t xml:space="preserve">تُوا حَقَّهُ يَوْمَ حَصادِهِ </w:t>
      </w:r>
      <w:r w:rsidR="00992664" w:rsidRPr="005C0DB2">
        <w:rPr>
          <w:rStyle w:val="libFootnoteAlaemChar"/>
          <w:rtl/>
        </w:rPr>
        <w:t>)</w:t>
      </w:r>
      <w:r w:rsidR="00992664" w:rsidRPr="00020424">
        <w:rPr>
          <w:rtl/>
        </w:rPr>
        <w:t xml:space="preserve"> فأوجب إخراج حقّه يوم الحصاد ، والأمر يقتضي ال</w:t>
      </w:r>
      <w:r w:rsidR="00992664">
        <w:rPr>
          <w:rtl/>
        </w:rPr>
        <w:t>و</w:t>
      </w:r>
      <w:r w:rsidR="005C0DB2">
        <w:rPr>
          <w:rtl/>
        </w:rPr>
        <w:t>جوب ، والزكاة لا تجب إل</w:t>
      </w:r>
      <w:r w:rsidR="005C0DB2">
        <w:rPr>
          <w:rFonts w:hint="cs"/>
          <w:rtl/>
        </w:rPr>
        <w:t>ّ</w:t>
      </w:r>
      <w:r w:rsidR="005C0DB2">
        <w:rPr>
          <w:rtl/>
        </w:rPr>
        <w:t>ا</w:t>
      </w:r>
      <w:r w:rsidR="005C0DB2">
        <w:rPr>
          <w:rFonts w:hint="cs"/>
          <w:rtl/>
        </w:rPr>
        <w:t xml:space="preserve"> </w:t>
      </w:r>
      <w:r w:rsidR="00992664">
        <w:rPr>
          <w:rtl/>
        </w:rPr>
        <w:t>بعد ا</w:t>
      </w:r>
      <w:r w:rsidR="00992664" w:rsidRPr="00020424">
        <w:rPr>
          <w:rtl/>
        </w:rPr>
        <w:t>لتصفية والتذرية وبلوغ المبلغ الذي تجب فيه الزكاة</w:t>
      </w:r>
      <w:r w:rsidR="00992664">
        <w:rPr>
          <w:rtl/>
        </w:rPr>
        <w:t xml:space="preserve"> ».</w:t>
      </w:r>
    </w:p>
    <w:p w:rsidR="00992664" w:rsidRPr="00020424" w:rsidRDefault="00992664" w:rsidP="00992664">
      <w:pPr>
        <w:pStyle w:val="libFootnote0"/>
        <w:rPr>
          <w:rtl/>
          <w:lang w:bidi="fa-IR"/>
        </w:rPr>
      </w:pPr>
      <w:r w:rsidRPr="005C0DB2">
        <w:rPr>
          <w:rtl/>
        </w:rPr>
        <w:t xml:space="preserve">وأجاب عنه في </w:t>
      </w:r>
      <w:r w:rsidRPr="00DE76B9">
        <w:rPr>
          <w:rStyle w:val="libFootnoteBoldChar"/>
          <w:rtl/>
        </w:rPr>
        <w:t>مختلف الشيعة</w:t>
      </w:r>
      <w:r w:rsidRPr="005C0DB2">
        <w:rPr>
          <w:rtl/>
        </w:rPr>
        <w:t xml:space="preserve"> ، ج 3 ، ص 257 بعد ما قال : « المشهور هو الاستحباب » بقوله : « والجواب : المنع من الإجماع على الوجوب ، نعم الإجماع على الأرجحيّة الشاملة للندب والواجب ، والمشهور الندب ، ونمنع أنّ الأمر للوجوب. سلّمنا ، لكن لم لايجوز أن يكون المراد من الحقّ هنا الزكاة؟ ... والحديثان </w:t>
      </w:r>
      <w:r w:rsidR="009B673F" w:rsidRPr="005C0DB2">
        <w:rPr>
          <w:rtl/>
        </w:rPr>
        <w:t>-</w:t>
      </w:r>
      <w:r w:rsidRPr="005C0DB2">
        <w:rPr>
          <w:rtl/>
        </w:rPr>
        <w:t xml:space="preserve"> وهو الثاني هنا وآخر عن طرق العامّة </w:t>
      </w:r>
      <w:r w:rsidR="009B673F" w:rsidRPr="005C0DB2">
        <w:rPr>
          <w:rtl/>
        </w:rPr>
        <w:t>-</w:t>
      </w:r>
      <w:r w:rsidRPr="005C0DB2">
        <w:rPr>
          <w:rtl/>
        </w:rPr>
        <w:t xml:space="preserve"> لايدلاّن على الوجوب ؛ فإنّ الإجماع واقع على استحباب الصدقة ، وحينئذٍ يصدق أنّ في المال حقّاً سوى الزكاة ، وليس في الحديث ما يدلّ على أنّه حقّ واجب ». وللمزيد راجع : </w:t>
      </w:r>
      <w:r w:rsidRPr="00DE76B9">
        <w:rPr>
          <w:rStyle w:val="libFootnoteBoldChar"/>
          <w:rtl/>
        </w:rPr>
        <w:t>تذكرة</w:t>
      </w:r>
      <w:r w:rsidRPr="005C0DB2">
        <w:rPr>
          <w:rStyle w:val="libFootnoteBoldChar"/>
          <w:rtl/>
        </w:rPr>
        <w:t xml:space="preserve"> الفقهاء</w:t>
      </w:r>
      <w:r w:rsidRPr="005C0DB2">
        <w:rPr>
          <w:rtl/>
        </w:rPr>
        <w:t xml:space="preserve"> ، ج 5 ، ص 11 ، المسألة 4 ؛ </w:t>
      </w:r>
      <w:r w:rsidRPr="00D90FBA">
        <w:rPr>
          <w:rStyle w:val="libFootnoteBoldChar"/>
          <w:rtl/>
        </w:rPr>
        <w:t>مدارك الأحكام</w:t>
      </w:r>
      <w:r w:rsidRPr="005C0DB2">
        <w:rPr>
          <w:rtl/>
        </w:rPr>
        <w:t xml:space="preserve"> ، ج 5 ، ص 12 </w:t>
      </w:r>
      <w:r w:rsidR="009B673F" w:rsidRPr="005C0DB2">
        <w:rPr>
          <w:rtl/>
        </w:rPr>
        <w:t>-</w:t>
      </w:r>
      <w:r w:rsidRPr="005C0DB2">
        <w:rPr>
          <w:rtl/>
        </w:rPr>
        <w:t xml:space="preserve"> 13 ؛ </w:t>
      </w:r>
      <w:r w:rsidRPr="00DE76B9">
        <w:rPr>
          <w:rStyle w:val="libFootnoteBoldChar"/>
          <w:rtl/>
        </w:rPr>
        <w:t>الحدائق الناضرة</w:t>
      </w:r>
      <w:r w:rsidRPr="005C0DB2">
        <w:rPr>
          <w:rtl/>
        </w:rPr>
        <w:t xml:space="preserve"> ، ج 12 ، ص 12 </w:t>
      </w:r>
      <w:r w:rsidR="009B673F" w:rsidRPr="005C0DB2">
        <w:rPr>
          <w:rtl/>
        </w:rPr>
        <w:t>-</w:t>
      </w:r>
      <w:r w:rsidRPr="005C0DB2">
        <w:rPr>
          <w:rtl/>
        </w:rPr>
        <w:t xml:space="preserve"> 15 ؛ </w:t>
      </w:r>
      <w:r w:rsidRPr="00DE76B9">
        <w:rPr>
          <w:rStyle w:val="libFootnoteBoldChar"/>
          <w:rtl/>
        </w:rPr>
        <w:t>جواهر الكلام</w:t>
      </w:r>
      <w:r w:rsidRPr="005C0DB2">
        <w:rPr>
          <w:rtl/>
        </w:rPr>
        <w:t xml:space="preserve"> ، ج 15 ، ص 8 </w:t>
      </w:r>
      <w:r w:rsidR="009B673F" w:rsidRPr="005C0DB2">
        <w:rPr>
          <w:rtl/>
        </w:rPr>
        <w:t>-</w:t>
      </w:r>
      <w:r w:rsidRPr="005C0DB2">
        <w:rPr>
          <w:rtl/>
        </w:rPr>
        <w:t xml:space="preserve"> 12.</w:t>
      </w:r>
    </w:p>
    <w:p w:rsidR="00992664" w:rsidRPr="00020424" w:rsidRDefault="00795177" w:rsidP="00992664">
      <w:pPr>
        <w:pStyle w:val="libFootnote0"/>
        <w:rPr>
          <w:rtl/>
          <w:lang w:bidi="fa-IR"/>
        </w:rPr>
      </w:pPr>
      <w:r>
        <w:rPr>
          <w:rtl/>
        </w:rPr>
        <w:t>(15).</w:t>
      </w:r>
      <w:r w:rsidR="0014403D">
        <w:rPr>
          <w:rtl/>
        </w:rPr>
        <w:t xml:space="preserve"> </w:t>
      </w:r>
      <w:r w:rsidR="00992664" w:rsidRPr="00DE76B9">
        <w:rPr>
          <w:rStyle w:val="libFootnoteBoldChar"/>
          <w:rtl/>
        </w:rPr>
        <w:t>تفسير العيّاشي</w:t>
      </w:r>
      <w:r w:rsidR="00992664" w:rsidRPr="00020424">
        <w:rPr>
          <w:rtl/>
        </w:rPr>
        <w:t xml:space="preserve"> ، ج 1 ، ص 378 ، ح 101 ، عن معاوية بن ميسرة عن أبي عبدالله </w:t>
      </w:r>
      <w:r w:rsidR="00992664" w:rsidRPr="00D64ADA">
        <w:rPr>
          <w:rStyle w:val="libFootnoteAlaemChar"/>
          <w:rtl/>
        </w:rPr>
        <w:t>عليه‌السلام</w:t>
      </w:r>
      <w:r w:rsidR="00992664" w:rsidRPr="00020424">
        <w:rPr>
          <w:rtl/>
        </w:rPr>
        <w:t xml:space="preserve"> ، مع اختلاف يسير </w:t>
      </w:r>
      <w:r w:rsidR="00D90FBA">
        <w:rPr>
          <w:rFonts w:hint="cs"/>
          <w:rtl/>
        </w:rPr>
        <w:t>.</w:t>
      </w:r>
      <w:r w:rsidR="00992664" w:rsidRPr="0012008A">
        <w:rPr>
          <w:rStyle w:val="libFootnoteBoldChar"/>
          <w:rtl/>
        </w:rPr>
        <w:t>الوافي</w:t>
      </w:r>
      <w:r w:rsidR="00992664" w:rsidRPr="00020424">
        <w:rPr>
          <w:rtl/>
        </w:rPr>
        <w:t xml:space="preserve"> ، ج 10 ، ص 381 ، ح 9723 ؛ </w:t>
      </w:r>
      <w:r w:rsidR="00992664" w:rsidRPr="0012008A">
        <w:rPr>
          <w:rStyle w:val="libFootnoteBoldChar"/>
          <w:rtl/>
        </w:rPr>
        <w:t>الوسائل</w:t>
      </w:r>
      <w:r w:rsidR="00992664" w:rsidRPr="00020424">
        <w:rPr>
          <w:rtl/>
        </w:rPr>
        <w:t xml:space="preserve"> ، ج 9 ، ص 196 ، ح 11820.</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079D1">
        <w:rPr>
          <w:rtl/>
        </w:rPr>
        <w:lastRenderedPageBreak/>
        <w:t>5985</w:t>
      </w:r>
      <w:r w:rsidRPr="001155DE">
        <w:rPr>
          <w:rStyle w:val="libBold2Char"/>
          <w:rtl/>
        </w:rPr>
        <w:t xml:space="preserve"> / 2.</w:t>
      </w:r>
      <w:r w:rsidRPr="00020424">
        <w:rPr>
          <w:rtl/>
          <w:lang w:bidi="fa-IR"/>
        </w:rPr>
        <w:t xml:space="preserve"> عَلِيُّ بْنُ إِبْرَاهِيمَ </w:t>
      </w:r>
      <w:r w:rsidRPr="00A91B96">
        <w:rPr>
          <w:rStyle w:val="libFootnotenumChar"/>
          <w:rtl/>
        </w:rPr>
        <w:t>(1)</w:t>
      </w:r>
      <w:r w:rsidRPr="00020424">
        <w:rPr>
          <w:rtl/>
          <w:lang w:bidi="fa-IR"/>
        </w:rPr>
        <w:t xml:space="preserve"> ، عَنْ أَبِيهِ ، عَنْ حَمَّادِ بْنِ عِيسى </w:t>
      </w:r>
      <w:r w:rsidRPr="00A91B96">
        <w:rPr>
          <w:rStyle w:val="libFootnotenumChar"/>
          <w:rtl/>
        </w:rPr>
        <w:t>(2)</w:t>
      </w:r>
      <w:r w:rsidRPr="00020424">
        <w:rPr>
          <w:rtl/>
          <w:lang w:bidi="fa-IR"/>
        </w:rPr>
        <w:t xml:space="preserve"> ، عَنْ حَرِيزٍ ، عَنْ زُرَارَةَ وَمُحَمَّدِ بْنِ مُسْلِمٍ وَأَبِي بَصِيرٍ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وَآتُوا حَقَّهُ يَوْمَ حَصادِهِ </w:t>
      </w:r>
      <w:r w:rsidRPr="00005A81">
        <w:rPr>
          <w:rStyle w:val="libAlaemChar"/>
          <w:rtl/>
        </w:rPr>
        <w:t>)</w:t>
      </w:r>
      <w:r w:rsidRPr="00020424">
        <w:rPr>
          <w:rtl/>
          <w:lang w:bidi="fa-IR"/>
        </w:rPr>
        <w:t xml:space="preserve"> فَقَالُوا جَمِيعاً :</w:t>
      </w:r>
      <w:r>
        <w:rPr>
          <w:rFonts w:hint="cs"/>
          <w:rtl/>
          <w:lang w:bidi="fa-IR"/>
        </w:rPr>
        <w:t xml:space="preserve"> </w:t>
      </w:r>
      <w:r w:rsidRPr="00020424">
        <w:rPr>
          <w:rtl/>
          <w:lang w:bidi="fa-IR"/>
        </w:rPr>
        <w:t xml:space="preserve">قَالَ أَبُو جَعْفَرٍ </w:t>
      </w:r>
      <w:r w:rsidRPr="00005A81">
        <w:rPr>
          <w:rStyle w:val="libAlaemChar"/>
          <w:rtl/>
        </w:rPr>
        <w:t>عليه‌السلام</w:t>
      </w:r>
      <w:r w:rsidRPr="00020424">
        <w:rPr>
          <w:rtl/>
          <w:lang w:bidi="fa-IR"/>
        </w:rPr>
        <w:t xml:space="preserve"> : « هذَا مِنَ </w:t>
      </w:r>
      <w:r w:rsidRPr="00A91B96">
        <w:rPr>
          <w:rStyle w:val="libFootnotenumChar"/>
          <w:rtl/>
        </w:rPr>
        <w:t>(3)</w:t>
      </w:r>
      <w:r w:rsidRPr="00020424">
        <w:rPr>
          <w:rtl/>
          <w:lang w:bidi="fa-IR"/>
        </w:rPr>
        <w:t xml:space="preserve"> الصَّدَقَةِ يُعْطِي </w:t>
      </w:r>
      <w:r w:rsidRPr="00A91B96">
        <w:rPr>
          <w:rStyle w:val="libFootnotenumChar"/>
          <w:rtl/>
        </w:rPr>
        <w:t>(4)</w:t>
      </w:r>
      <w:r w:rsidRPr="00020424">
        <w:rPr>
          <w:rtl/>
          <w:lang w:bidi="fa-IR"/>
        </w:rPr>
        <w:t xml:space="preserve"> الْمِسْكِينَ الْقَبْضَةَ بَعْدَ الْقَبْضَةِ ، وَمِنَ الْجَدَادِ </w:t>
      </w:r>
      <w:r w:rsidRPr="00A91B96">
        <w:rPr>
          <w:rStyle w:val="libFootnotenumChar"/>
          <w:rtl/>
        </w:rPr>
        <w:t>(5)</w:t>
      </w:r>
      <w:r w:rsidRPr="00020424">
        <w:rPr>
          <w:rtl/>
          <w:lang w:bidi="fa-IR"/>
        </w:rPr>
        <w:t xml:space="preserve"> الْحَفْنَةَ </w:t>
      </w:r>
      <w:r w:rsidRPr="00A91B96">
        <w:rPr>
          <w:rStyle w:val="libFootnotenumChar"/>
          <w:rtl/>
        </w:rPr>
        <w:t>(6)</w:t>
      </w:r>
      <w:r w:rsidRPr="00020424">
        <w:rPr>
          <w:rtl/>
          <w:lang w:bidi="fa-IR"/>
        </w:rPr>
        <w:t xml:space="preserve"> بَعْدَ الْحَفْنَةِ حَتّى يَفْرُغَ ، وَيُعْطِي </w:t>
      </w:r>
      <w:r w:rsidRPr="00A91B96">
        <w:rPr>
          <w:rStyle w:val="libFootnotenumChar"/>
          <w:rtl/>
        </w:rPr>
        <w:t>(7)</w:t>
      </w:r>
      <w:r w:rsidRPr="00020424">
        <w:rPr>
          <w:rtl/>
          <w:lang w:bidi="fa-IR"/>
        </w:rPr>
        <w:t xml:space="preserve"> الْحَارِسَ </w:t>
      </w:r>
      <w:r w:rsidRPr="00A91B96">
        <w:rPr>
          <w:rStyle w:val="libFootnotenumChar"/>
          <w:rtl/>
        </w:rPr>
        <w:t>(8)</w:t>
      </w:r>
      <w:r w:rsidRPr="00020424">
        <w:rPr>
          <w:rtl/>
          <w:lang w:bidi="fa-IR"/>
        </w:rPr>
        <w:t xml:space="preserve"> أَجْراً </w:t>
      </w:r>
      <w:r w:rsidRPr="00A91B96">
        <w:rPr>
          <w:rStyle w:val="libFootnotenumChar"/>
          <w:rtl/>
        </w:rPr>
        <w:t>(9)</w:t>
      </w:r>
      <w:r w:rsidRPr="00020424">
        <w:rPr>
          <w:rtl/>
          <w:lang w:bidi="fa-IR"/>
        </w:rPr>
        <w:t xml:space="preserve"> مَعْلُوماً ، وَيَتْرُكُ مِنَ النَّخْلِ </w:t>
      </w:r>
      <w:r w:rsidRPr="00A91B96">
        <w:rPr>
          <w:rStyle w:val="libFootnotenumChar"/>
          <w:rtl/>
        </w:rPr>
        <w:t>(10)</w:t>
      </w:r>
      <w:r w:rsidRPr="00020424">
        <w:rPr>
          <w:rtl/>
          <w:lang w:bidi="fa-IR"/>
        </w:rPr>
        <w:t xml:space="preserve"> مِعى فَأْرَةٍ </w:t>
      </w:r>
      <w:r w:rsidRPr="00A91B96">
        <w:rPr>
          <w:rStyle w:val="libFootnotenumChar"/>
          <w:rtl/>
        </w:rPr>
        <w:t>(11)</w:t>
      </w:r>
      <w:r w:rsidRPr="00020424">
        <w:rPr>
          <w:rtl/>
          <w:lang w:bidi="fa-IR"/>
        </w:rPr>
        <w:t xml:space="preserve"> ، وَأُمَّ جُعْرُورٍ </w:t>
      </w:r>
      <w:r w:rsidRPr="00A91B96">
        <w:rPr>
          <w:rStyle w:val="libFootnotenumChar"/>
          <w:rtl/>
        </w:rPr>
        <w:t>(12)</w:t>
      </w:r>
      <w:r w:rsidRPr="00020424">
        <w:rPr>
          <w:rtl/>
          <w:lang w:bidi="fa-IR"/>
        </w:rPr>
        <w:t xml:space="preserve"> ، وَيُتْرَكُ </w:t>
      </w:r>
      <w:r w:rsidRPr="00A91B96">
        <w:rPr>
          <w:rStyle w:val="libFootnotenumChar"/>
          <w:rtl/>
        </w:rPr>
        <w:t>(13)</w:t>
      </w:r>
      <w:r w:rsidRPr="00020424">
        <w:rPr>
          <w:rtl/>
          <w:lang w:bidi="fa-IR"/>
        </w:rPr>
        <w:t xml:space="preserve"> لِلْحَارِسِ ، يَكُونُ فِي الْحَائِطِ الْعَذْقُ </w:t>
      </w:r>
      <w:r w:rsidRPr="00A91B96">
        <w:rPr>
          <w:rStyle w:val="libFootnotenumChar"/>
          <w:rtl/>
        </w:rPr>
        <w:t>(14)</w:t>
      </w:r>
      <w:r w:rsidRPr="00020424">
        <w:rPr>
          <w:rtl/>
          <w:lang w:bidi="fa-IR"/>
        </w:rPr>
        <w:t xml:space="preserve"> وَالْعَذْقَانِ </w:t>
      </w:r>
      <w:r w:rsidRPr="00A91B96">
        <w:rPr>
          <w:rStyle w:val="libFootnotenumChar"/>
          <w:rtl/>
        </w:rPr>
        <w:t>(15)</w:t>
      </w:r>
      <w:r w:rsidRPr="00020424">
        <w:rPr>
          <w:rtl/>
          <w:lang w:bidi="fa-IR"/>
        </w:rPr>
        <w:t xml:space="preserve"> وَالثَّلَاثَةُ لِحِفْظِهِ إِيَّاهُ </w:t>
      </w:r>
      <w:r w:rsidRPr="00A91B96">
        <w:rPr>
          <w:rStyle w:val="libFootnotenumChar"/>
          <w:rtl/>
        </w:rPr>
        <w:t>(16)</w:t>
      </w:r>
      <w:r>
        <w:rPr>
          <w:rtl/>
          <w:lang w:bidi="fa-IR"/>
        </w:rPr>
        <w:t xml:space="preserve"> ».</w:t>
      </w:r>
      <w:r w:rsidRPr="00020424">
        <w:rPr>
          <w:rtl/>
          <w:lang w:bidi="fa-IR"/>
        </w:rPr>
        <w:t xml:space="preserve"> </w:t>
      </w:r>
      <w:r w:rsidRPr="00A91B96">
        <w:rPr>
          <w:rStyle w:val="libFootnotenumChar"/>
          <w:rtl/>
        </w:rPr>
        <w:t>(17)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90FBA" w:rsidTr="00D90FBA">
        <w:tc>
          <w:tcPr>
            <w:tcW w:w="4006" w:type="dxa"/>
          </w:tcPr>
          <w:p w:rsidR="00D90FBA" w:rsidRDefault="00D90FBA" w:rsidP="00992664">
            <w:pPr>
              <w:pStyle w:val="libFootnote0"/>
              <w:rPr>
                <w:rtl/>
              </w:rPr>
            </w:pPr>
            <w:r>
              <w:rPr>
                <w:rtl/>
              </w:rPr>
              <w:t xml:space="preserve">(1). </w:t>
            </w:r>
            <w:r w:rsidRPr="00020424">
              <w:rPr>
                <w:rtl/>
              </w:rPr>
              <w:t>في « بخ ، بف » :</w:t>
            </w:r>
            <w:r>
              <w:rPr>
                <w:rtl/>
              </w:rPr>
              <w:t xml:space="preserve"> - </w:t>
            </w:r>
            <w:r w:rsidRPr="00020424">
              <w:rPr>
                <w:rtl/>
              </w:rPr>
              <w:t>« بن إبراهيم</w:t>
            </w:r>
            <w:r>
              <w:rPr>
                <w:rtl/>
              </w:rPr>
              <w:t xml:space="preserve"> ».</w:t>
            </w:r>
          </w:p>
        </w:tc>
        <w:tc>
          <w:tcPr>
            <w:tcW w:w="4006" w:type="dxa"/>
          </w:tcPr>
          <w:p w:rsidR="00D90FBA" w:rsidRDefault="00D90FBA" w:rsidP="00992664">
            <w:pPr>
              <w:pStyle w:val="libFootnote0"/>
              <w:rPr>
                <w:rtl/>
              </w:rPr>
            </w:pPr>
            <w:r>
              <w:rPr>
                <w:rtl/>
              </w:rPr>
              <w:t>(2).في«بر،بف»</w:t>
            </w:r>
            <w:r w:rsidRPr="00D90FBA">
              <w:rPr>
                <w:rtl/>
              </w:rPr>
              <w:t>والتهذيب</w:t>
            </w:r>
            <w:r>
              <w:rPr>
                <w:rtl/>
              </w:rPr>
              <w:t>، ص 106</w:t>
            </w:r>
            <w:r w:rsidRPr="00020424">
              <w:rPr>
                <w:rtl/>
              </w:rPr>
              <w:t>:</w:t>
            </w:r>
            <w:r>
              <w:rPr>
                <w:rtl/>
              </w:rPr>
              <w:t>-</w:t>
            </w:r>
            <w:r w:rsidRPr="00020424">
              <w:rPr>
                <w:rtl/>
              </w:rPr>
              <w:t>« بن عيسى</w:t>
            </w:r>
            <w:r>
              <w:rPr>
                <w:rtl/>
              </w:rPr>
              <w:t>».</w:t>
            </w:r>
          </w:p>
        </w:tc>
      </w:tr>
      <w:tr w:rsidR="00D90FBA" w:rsidTr="00D90FBA">
        <w:tc>
          <w:tcPr>
            <w:tcW w:w="4006" w:type="dxa"/>
          </w:tcPr>
          <w:p w:rsidR="00D90FBA" w:rsidRDefault="00D90FBA" w:rsidP="00992664">
            <w:pPr>
              <w:pStyle w:val="libFootnote0"/>
              <w:rPr>
                <w:rtl/>
              </w:rPr>
            </w:pPr>
            <w:r>
              <w:rPr>
                <w:rtl/>
              </w:rPr>
              <w:t xml:space="preserve">(3). </w:t>
            </w:r>
            <w:r w:rsidRPr="00020424">
              <w:rPr>
                <w:rtl/>
              </w:rPr>
              <w:t>في تفسير العيّاشي : + « غير</w:t>
            </w:r>
            <w:r>
              <w:rPr>
                <w:rtl/>
              </w:rPr>
              <w:t xml:space="preserve"> ».</w:t>
            </w:r>
          </w:p>
        </w:tc>
        <w:tc>
          <w:tcPr>
            <w:tcW w:w="4006" w:type="dxa"/>
          </w:tcPr>
          <w:p w:rsidR="00D90FBA" w:rsidRDefault="00D90FBA" w:rsidP="00992664">
            <w:pPr>
              <w:pStyle w:val="libFootnote0"/>
              <w:rPr>
                <w:rtl/>
              </w:rPr>
            </w:pPr>
            <w:r>
              <w:rPr>
                <w:rtl/>
              </w:rPr>
              <w:t xml:space="preserve">(4). </w:t>
            </w:r>
            <w:r w:rsidRPr="00020424">
              <w:rPr>
                <w:rtl/>
              </w:rPr>
              <w:t xml:space="preserve">في </w:t>
            </w:r>
            <w:r w:rsidRPr="00D90FBA">
              <w:rPr>
                <w:rtl/>
              </w:rPr>
              <w:t>الوسائل</w:t>
            </w:r>
            <w:r w:rsidRPr="00020424">
              <w:rPr>
                <w:rtl/>
              </w:rPr>
              <w:t xml:space="preserve"> ، ح 11819 : « تعطي</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بح ، بخ ، بف » </w:t>
      </w:r>
      <w:r w:rsidR="00992664" w:rsidRPr="00EB1FD9">
        <w:rPr>
          <w:rStyle w:val="libFootnoteBoldChar"/>
          <w:rtl/>
        </w:rPr>
        <w:t>والوسائل</w:t>
      </w:r>
      <w:r w:rsidR="00992664" w:rsidRPr="00020424">
        <w:rPr>
          <w:rtl/>
        </w:rPr>
        <w:t xml:space="preserve"> ، ح 11819 </w:t>
      </w:r>
      <w:r w:rsidR="00992664" w:rsidRPr="00515444">
        <w:rPr>
          <w:rStyle w:val="libFootnoteBoldChar"/>
          <w:rtl/>
        </w:rPr>
        <w:t>والتهذيب</w:t>
      </w:r>
      <w:r w:rsidR="00992664" w:rsidRPr="00020424">
        <w:rPr>
          <w:rtl/>
        </w:rPr>
        <w:t xml:space="preserve"> ، ص 106 : « الجذاذ</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قال الجوهري : « الحَفْنَة : مل‌ء الكفّين من طعام</w:t>
      </w:r>
      <w:r w:rsidR="00992664">
        <w:rPr>
          <w:rtl/>
        </w:rPr>
        <w:t xml:space="preserve"> ».</w:t>
      </w:r>
      <w:r w:rsidR="00992664" w:rsidRPr="00020424">
        <w:rPr>
          <w:rtl/>
        </w:rPr>
        <w:t xml:space="preserve"> </w:t>
      </w:r>
      <w:r w:rsidR="00992664" w:rsidRPr="0012008A">
        <w:rPr>
          <w:rStyle w:val="libFootnoteBoldChar"/>
          <w:rtl/>
        </w:rPr>
        <w:t>الصحاح</w:t>
      </w:r>
      <w:r w:rsidR="00992664" w:rsidRPr="00020424">
        <w:rPr>
          <w:rtl/>
        </w:rPr>
        <w:t xml:space="preserve"> ، ج 5 ، ص 2102 ؛ ( حفن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وحاشية « بح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ص 106 وتفسيرالعيّاشي : « ويترك</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11811 : « قال : تترك</w:t>
      </w:r>
      <w:r w:rsidR="00992664">
        <w:rPr>
          <w:rtl/>
        </w:rPr>
        <w:t xml:space="preserve"> ».</w:t>
      </w:r>
    </w:p>
    <w:p w:rsidR="00992664" w:rsidRPr="00020424" w:rsidRDefault="00795177" w:rsidP="00D90FBA">
      <w:pPr>
        <w:pStyle w:val="libFootnote0"/>
        <w:rPr>
          <w:rtl/>
          <w:lang w:bidi="fa-IR"/>
        </w:rPr>
      </w:pPr>
      <w:r>
        <w:rPr>
          <w:rtl/>
        </w:rPr>
        <w:t>(8).</w:t>
      </w:r>
      <w:r w:rsidR="0014403D">
        <w:rPr>
          <w:rtl/>
        </w:rPr>
        <w:t xml:space="preserve"> </w:t>
      </w:r>
      <w:r w:rsidR="00992664" w:rsidRPr="00020424">
        <w:rPr>
          <w:rtl/>
        </w:rPr>
        <w:t xml:space="preserve">في « بث ، بر ، بف » </w:t>
      </w:r>
      <w:r w:rsidR="00992664" w:rsidRPr="00EB1FD9">
        <w:rPr>
          <w:rStyle w:val="libFootnoteBoldChar"/>
          <w:rtl/>
        </w:rPr>
        <w:t>والوسائل</w:t>
      </w:r>
      <w:r w:rsidR="00992664" w:rsidRPr="00020424">
        <w:rPr>
          <w:rtl/>
        </w:rPr>
        <w:t xml:space="preserve"> ، ح 11811 </w:t>
      </w:r>
      <w:r w:rsidR="00992664" w:rsidRPr="00515444">
        <w:rPr>
          <w:rStyle w:val="libFootnoteBoldChar"/>
          <w:rtl/>
        </w:rPr>
        <w:t>والتهذيب</w:t>
      </w:r>
      <w:r w:rsidR="00992664" w:rsidRPr="00020424">
        <w:rPr>
          <w:rtl/>
        </w:rPr>
        <w:t xml:space="preserve"> ، ص 106 : « للحارس</w:t>
      </w:r>
      <w:r w:rsidR="00992664">
        <w:rPr>
          <w:rtl/>
        </w:rPr>
        <w:t xml:space="preserve"> ».</w:t>
      </w:r>
      <w:r w:rsidR="00992664" w:rsidRPr="00020424">
        <w:rPr>
          <w:rtl/>
        </w:rPr>
        <w:t xml:space="preserve"> وفي « بخ » وحاشية « بث ، بف » </w:t>
      </w:r>
      <w:r w:rsidR="00992664" w:rsidRPr="00D90FBA">
        <w:rPr>
          <w:rtl/>
        </w:rPr>
        <w:t>والوافي</w:t>
      </w:r>
      <w:r w:rsidR="00992664" w:rsidRPr="00020424">
        <w:rPr>
          <w:rtl/>
        </w:rPr>
        <w:t xml:space="preserve"> وتفسير العيّاشي : « للخارص</w:t>
      </w:r>
      <w:r w:rsidR="00992664">
        <w:rPr>
          <w:rtl/>
        </w:rPr>
        <w:t xml:space="preserve"> ».</w:t>
      </w:r>
      <w:r w:rsidR="00D90FBA">
        <w:rPr>
          <w:rFonts w:hint="cs"/>
          <w:rtl/>
        </w:rPr>
        <w:t xml:space="preserve">   </w:t>
      </w:r>
      <w:r>
        <w:rPr>
          <w:rtl/>
        </w:rPr>
        <w:t>(9).</w:t>
      </w:r>
      <w:r w:rsidR="0014403D">
        <w:rPr>
          <w:rtl/>
        </w:rPr>
        <w:t xml:space="preserve"> </w:t>
      </w:r>
      <w:r w:rsidR="00992664" w:rsidRPr="00020424">
        <w:rPr>
          <w:rtl/>
        </w:rPr>
        <w:t xml:space="preserve">في </w:t>
      </w:r>
      <w:r w:rsidR="00992664" w:rsidRPr="00D90FBA">
        <w:rPr>
          <w:rtl/>
        </w:rPr>
        <w:t>الوافي</w:t>
      </w:r>
      <w:r w:rsidR="00992664" w:rsidRPr="00020424">
        <w:rPr>
          <w:rtl/>
        </w:rPr>
        <w:t xml:space="preserve"> : « قدراً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D90FBA">
        <w:rPr>
          <w:rtl/>
        </w:rPr>
        <w:t>الوافي</w:t>
      </w:r>
      <w:r w:rsidR="00992664" w:rsidRPr="00020424">
        <w:rPr>
          <w:rtl/>
        </w:rPr>
        <w:t xml:space="preserve"> : « النخلة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DE76B9">
        <w:rPr>
          <w:rStyle w:val="libFootnoteBoldChar"/>
          <w:rtl/>
        </w:rPr>
        <w:t>اللسان</w:t>
      </w:r>
      <w:r w:rsidR="00992664" w:rsidRPr="00020424">
        <w:rPr>
          <w:rtl/>
        </w:rPr>
        <w:t xml:space="preserve"> : « مِعَى الفأرة : ضرب من ردي‌ء تمر الحجاز</w:t>
      </w:r>
      <w:r w:rsidR="00992664">
        <w:rPr>
          <w:rtl/>
        </w:rPr>
        <w:t xml:space="preserve"> ».</w:t>
      </w:r>
      <w:r w:rsidR="00992664" w:rsidRPr="00020424">
        <w:rPr>
          <w:rtl/>
        </w:rPr>
        <w:t xml:space="preserve"> وفي </w:t>
      </w:r>
      <w:r w:rsidR="00992664" w:rsidRPr="00DE76B9">
        <w:rPr>
          <w:rStyle w:val="libFootnoteBoldChar"/>
          <w:rtl/>
        </w:rPr>
        <w:t>القاموس</w:t>
      </w:r>
      <w:r w:rsidR="00992664" w:rsidRPr="00020424">
        <w:rPr>
          <w:rtl/>
        </w:rPr>
        <w:t xml:space="preserve"> : « مِعَى الفأر : تمر ردي‌ء</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15 ، ص 288 ؛ </w:t>
      </w:r>
      <w:r w:rsidR="00992664" w:rsidRPr="00A722B1">
        <w:rPr>
          <w:rStyle w:val="libFootnoteBoldChar"/>
          <w:rtl/>
        </w:rPr>
        <w:t>القاموس المحيط</w:t>
      </w:r>
      <w:r w:rsidR="00992664" w:rsidRPr="00020424">
        <w:rPr>
          <w:rtl/>
        </w:rPr>
        <w:t xml:space="preserve"> ، ج 2 ، ص 1749 ( معى )</w:t>
      </w:r>
      <w:r w:rsidR="00992664">
        <w:rPr>
          <w:rtl/>
        </w:rPr>
        <w:t>.</w:t>
      </w:r>
    </w:p>
    <w:p w:rsidR="00992664" w:rsidRPr="00020424" w:rsidRDefault="00795177" w:rsidP="00D90FBA">
      <w:pPr>
        <w:pStyle w:val="libFootnote0"/>
        <w:rPr>
          <w:rtl/>
          <w:lang w:bidi="fa-IR"/>
        </w:rPr>
      </w:pPr>
      <w:r>
        <w:rPr>
          <w:rtl/>
        </w:rPr>
        <w:t>(12).</w:t>
      </w:r>
      <w:r w:rsidR="0014403D">
        <w:rPr>
          <w:rtl/>
        </w:rPr>
        <w:t xml:space="preserve"> </w:t>
      </w:r>
      <w:r w:rsidR="00992664" w:rsidRPr="00020424">
        <w:rPr>
          <w:rtl/>
        </w:rPr>
        <w:t>في تفسير العيّاشي : + « لا يخرصان</w:t>
      </w:r>
      <w:r w:rsidR="00992664">
        <w:rPr>
          <w:rtl/>
        </w:rPr>
        <w:t xml:space="preserve"> ».</w:t>
      </w:r>
      <w:r w:rsidR="00992664" w:rsidRPr="00020424">
        <w:rPr>
          <w:rtl/>
        </w:rPr>
        <w:t xml:space="preserve"> « ا</w:t>
      </w:r>
      <w:r w:rsidR="00D90FBA">
        <w:rPr>
          <w:rFonts w:hint="cs"/>
          <w:rtl/>
        </w:rPr>
        <w:t>ُ</w:t>
      </w:r>
      <w:r w:rsidR="00992664" w:rsidRPr="00020424">
        <w:rPr>
          <w:rtl/>
        </w:rPr>
        <w:t>مّ جعرور » ، في اللغة بدون لفظة « ا</w:t>
      </w:r>
      <w:r w:rsidR="00D90FBA">
        <w:rPr>
          <w:rFonts w:hint="cs"/>
          <w:rtl/>
        </w:rPr>
        <w:t>ُ</w:t>
      </w:r>
      <w:r w:rsidR="00992664" w:rsidRPr="00020424">
        <w:rPr>
          <w:rtl/>
        </w:rPr>
        <w:t>مّ » ، قال الجوهري : الجعرور : ضرب من الدَّقَل ، وهو أردأ التمر » ، وقال ابن الأثير : « الجعرور : ضرب من الدَّقَل ، يحمل رطباً صغاراً لا خير فيه</w:t>
      </w:r>
      <w:r w:rsidR="00992664">
        <w:rPr>
          <w:rtl/>
        </w:rPr>
        <w:t>».</w:t>
      </w:r>
      <w:r w:rsidR="00992664" w:rsidRPr="00020424">
        <w:rPr>
          <w:rtl/>
        </w:rPr>
        <w:t xml:space="preserve"> وقيل : « الجعرور : تمر ردي‌ء</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615 ؛ </w:t>
      </w:r>
      <w:r w:rsidR="00992664" w:rsidRPr="0012008A">
        <w:rPr>
          <w:rStyle w:val="libFootnoteBoldChar"/>
          <w:rtl/>
        </w:rPr>
        <w:t>النهاية</w:t>
      </w:r>
      <w:r w:rsidR="00992664" w:rsidRPr="00020424">
        <w:rPr>
          <w:rtl/>
        </w:rPr>
        <w:t xml:space="preserve"> ، ج 1 ، ص 276 ؛ </w:t>
      </w:r>
      <w:r w:rsidR="00992664" w:rsidRPr="00A722B1">
        <w:rPr>
          <w:rStyle w:val="libFootnoteBoldChar"/>
          <w:rtl/>
        </w:rPr>
        <w:t>القاموس المحيط</w:t>
      </w:r>
      <w:r w:rsidR="00992664" w:rsidRPr="00020424">
        <w:rPr>
          <w:rtl/>
        </w:rPr>
        <w:t xml:space="preserve"> ، ج 1 ، ص 521 ( جعر )</w:t>
      </w:r>
      <w:r w:rsidR="00992664">
        <w:rPr>
          <w:rtl/>
        </w:rPr>
        <w:t>.</w:t>
      </w:r>
      <w:r w:rsidR="00D90FBA">
        <w:rPr>
          <w:rFonts w:hint="cs"/>
          <w:rtl/>
        </w:rPr>
        <w:t xml:space="preserve">        </w:t>
      </w:r>
      <w:r>
        <w:rPr>
          <w:rtl/>
        </w:rPr>
        <w:t>(13).</w:t>
      </w:r>
      <w:r w:rsidR="0014403D">
        <w:rPr>
          <w:rtl/>
        </w:rPr>
        <w:t xml:space="preserve"> </w:t>
      </w:r>
      <w:r w:rsidR="00992664" w:rsidRPr="00020424">
        <w:rPr>
          <w:rtl/>
        </w:rPr>
        <w:t>في « ظ » : « يترك » بدون الواو.</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 العَذْق » : النخلة بحملها. راجع : </w:t>
      </w:r>
      <w:r w:rsidR="00992664" w:rsidRPr="0012008A">
        <w:rPr>
          <w:rStyle w:val="libFootnoteBoldChar"/>
          <w:rtl/>
        </w:rPr>
        <w:t>الصحاح</w:t>
      </w:r>
      <w:r w:rsidR="00992664" w:rsidRPr="00020424">
        <w:rPr>
          <w:rtl/>
        </w:rPr>
        <w:t xml:space="preserve"> ، ج 4 ، ص 1522 ( عذق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106 : « العذقين</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بخ ، بر ، بف » وحاشية « بث » </w:t>
      </w:r>
      <w:r w:rsidR="00992664" w:rsidRPr="00D90FBA">
        <w:rPr>
          <w:rtl/>
        </w:rPr>
        <w:t>والوافي والتهذيب</w:t>
      </w:r>
      <w:r w:rsidR="00992664" w:rsidRPr="00020424">
        <w:rPr>
          <w:rtl/>
        </w:rPr>
        <w:t xml:space="preserve"> ، ص 106 وتفسير العيّاشي : « له</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12008A">
        <w:rPr>
          <w:rStyle w:val="libFootnoteBoldChar"/>
          <w:rtl/>
        </w:rPr>
        <w:t>التهذيب</w:t>
      </w:r>
      <w:r w:rsidR="00992664" w:rsidRPr="00020424">
        <w:rPr>
          <w:rtl/>
        </w:rPr>
        <w:t xml:space="preserve"> ، ج 4 ، ص 106 ، ح 303 ، معلّقاً عن الكليني. وفي </w:t>
      </w:r>
      <w:r w:rsidR="00992664" w:rsidRPr="00DE76B9">
        <w:rPr>
          <w:rStyle w:val="libFootnoteBoldChar"/>
          <w:rtl/>
        </w:rPr>
        <w:t>الكافي</w:t>
      </w:r>
      <w:r w:rsidR="00992664" w:rsidRPr="00020424">
        <w:rPr>
          <w:rtl/>
        </w:rPr>
        <w:t xml:space="preserve"> ، كتاب الزكاة ، باب أقلّ ما يجب فيه الزكاة </w:t>
      </w:r>
      <w:r w:rsidR="00D90FB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079D1">
        <w:rPr>
          <w:rtl/>
        </w:rPr>
        <w:lastRenderedPageBreak/>
        <w:t>5986</w:t>
      </w:r>
      <w:r w:rsidRPr="001155DE">
        <w:rPr>
          <w:rStyle w:val="libBold2Char"/>
          <w:rtl/>
        </w:rPr>
        <w:t xml:space="preserve"> / 3.</w:t>
      </w:r>
      <w:r w:rsidRPr="00020424">
        <w:rPr>
          <w:rtl/>
          <w:lang w:bidi="fa-IR"/>
        </w:rPr>
        <w:t xml:space="preserve"> عِدَّةٌ مِنْ أَصْحَابِنَا ، عَنْ أَحْمَدَ بْنِ مُحَمَّدٍ ، عَنِ الْحَسَنِ بْنِ عَلِيٍّ </w:t>
      </w:r>
      <w:r w:rsidRPr="00A91B96">
        <w:rPr>
          <w:rStyle w:val="libFootnotenumChar"/>
          <w:rtl/>
        </w:rPr>
        <w:t>(1)</w:t>
      </w:r>
      <w:r w:rsidRPr="00020424">
        <w:rPr>
          <w:rtl/>
          <w:lang w:bidi="fa-IR"/>
        </w:rPr>
        <w:t xml:space="preserve"> الْوَشَّاءِ ، عَنْ عَبْدِ اللهِ بْنِ مُسْكَانَ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تَصْرِمْ </w:t>
      </w:r>
      <w:r w:rsidRPr="00A91B96">
        <w:rPr>
          <w:rStyle w:val="libFootnotenumChar"/>
          <w:rtl/>
        </w:rPr>
        <w:t>(2)</w:t>
      </w:r>
      <w:r w:rsidRPr="00020424">
        <w:rPr>
          <w:rtl/>
          <w:lang w:bidi="fa-IR"/>
        </w:rPr>
        <w:t xml:space="preserve"> بِاللَّيْلِ ، وَلَاتَحْصُدْ </w:t>
      </w:r>
      <w:r w:rsidRPr="00A91B96">
        <w:rPr>
          <w:rStyle w:val="libFootnotenumChar"/>
          <w:rtl/>
        </w:rPr>
        <w:t>(3)</w:t>
      </w:r>
      <w:r w:rsidRPr="00020424">
        <w:rPr>
          <w:rtl/>
          <w:lang w:bidi="fa-IR"/>
        </w:rPr>
        <w:t xml:space="preserve"> بِاللَّيْلِ ، وَلَاتُضَحِّ </w:t>
      </w:r>
      <w:r w:rsidRPr="00A91B96">
        <w:rPr>
          <w:rStyle w:val="libFootnotenumChar"/>
          <w:rtl/>
        </w:rPr>
        <w:t>(4)</w:t>
      </w:r>
      <w:r w:rsidRPr="00020424">
        <w:rPr>
          <w:rtl/>
          <w:lang w:bidi="fa-IR"/>
        </w:rPr>
        <w:t xml:space="preserve"> بِاللَّيْلِ ، وَلَاتَبْذُرْ </w:t>
      </w:r>
      <w:r w:rsidRPr="00A91B96">
        <w:rPr>
          <w:rStyle w:val="libFootnotenumChar"/>
          <w:rtl/>
        </w:rPr>
        <w:t>(5)</w:t>
      </w:r>
      <w:r w:rsidRPr="00020424">
        <w:rPr>
          <w:rtl/>
          <w:lang w:bidi="fa-IR"/>
        </w:rPr>
        <w:t xml:space="preserve"> بِاللَّيْلِ ؛ فَإِنَّكَ إِنْ تَفْعَلْ </w:t>
      </w:r>
      <w:r w:rsidRPr="00A91B96">
        <w:rPr>
          <w:rStyle w:val="libFootnotenumChar"/>
          <w:rtl/>
        </w:rPr>
        <w:t>(6)</w:t>
      </w:r>
      <w:r w:rsidRPr="00020424">
        <w:rPr>
          <w:rtl/>
          <w:lang w:bidi="fa-IR"/>
        </w:rPr>
        <w:t xml:space="preserve"> ، لَمْ يَأْتِكَ الْقَانِعُ وَالْمُعْتَرُّ</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(7)</w:t>
      </w:r>
      <w:r w:rsidRPr="00020424">
        <w:rPr>
          <w:rtl/>
          <w:lang w:bidi="fa-IR"/>
        </w:rPr>
        <w:t xml:space="preserve"> : مَا </w:t>
      </w:r>
      <w:r w:rsidRPr="00A91B96">
        <w:rPr>
          <w:rStyle w:val="libFootnotenumChar"/>
          <w:rtl/>
        </w:rPr>
        <w:t>(8)</w:t>
      </w:r>
      <w:r w:rsidRPr="00020424">
        <w:rPr>
          <w:rtl/>
          <w:lang w:bidi="fa-IR"/>
        </w:rPr>
        <w:t xml:space="preserve"> الْقَانِعُ وَالْمُعْتَرُّ</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(9)</w:t>
      </w:r>
      <w:r w:rsidRPr="00020424">
        <w:rPr>
          <w:rtl/>
          <w:lang w:bidi="fa-IR"/>
        </w:rPr>
        <w:t xml:space="preserve"> : « الْقَانِعُ : الَّذِي يَقْنَعُ بِمَا أَعْطَيْتَهُ ، وَالْمُعْتَرُّ : الَّذِي يَمُرُّ بِكَ ، فَيَسْأَلُكَ ؛ وَإِنْ‌</w:t>
      </w:r>
    </w:p>
    <w:p w:rsidR="00992664" w:rsidRPr="00020424" w:rsidRDefault="00992664" w:rsidP="00992664">
      <w:pPr>
        <w:pStyle w:val="libLine"/>
        <w:rPr>
          <w:rtl/>
          <w:lang w:bidi="fa-IR"/>
        </w:rPr>
      </w:pPr>
      <w:r w:rsidRPr="00020424">
        <w:rPr>
          <w:rtl/>
          <w:lang w:bidi="fa-IR"/>
        </w:rPr>
        <w:t>__________________</w:t>
      </w:r>
    </w:p>
    <w:p w:rsidR="00992664" w:rsidRPr="00020424" w:rsidRDefault="006E504D" w:rsidP="00992664">
      <w:pPr>
        <w:pStyle w:val="libFootnote0"/>
        <w:rPr>
          <w:rtl/>
          <w:lang w:bidi="fa-IR"/>
        </w:rPr>
      </w:pPr>
      <w:r>
        <w:rPr>
          <w:rFonts w:hint="cs"/>
          <w:rtl/>
        </w:rPr>
        <w:t xml:space="preserve">= </w:t>
      </w:r>
      <w:r w:rsidR="00992664" w:rsidRPr="00020424">
        <w:rPr>
          <w:rtl/>
        </w:rPr>
        <w:t xml:space="preserve">من الحرث ، ح 5787 ؛ </w:t>
      </w:r>
      <w:r w:rsidR="00992664" w:rsidRPr="00515444">
        <w:rPr>
          <w:rStyle w:val="libFootnoteBoldChar"/>
          <w:rtl/>
        </w:rPr>
        <w:t>والتهذيب</w:t>
      </w:r>
      <w:r w:rsidR="00992664" w:rsidRPr="00020424">
        <w:rPr>
          <w:rtl/>
        </w:rPr>
        <w:t xml:space="preserve"> ، ج 4 ، ص 106 ، ح 303 ، بسند آخر عن أبي عبدالله </w:t>
      </w:r>
      <w:r w:rsidR="00992664" w:rsidRPr="00D64ADA">
        <w:rPr>
          <w:rStyle w:val="libFootnoteAlaemChar"/>
          <w:rtl/>
        </w:rPr>
        <w:t>عليه‌السلام</w:t>
      </w:r>
      <w:r w:rsidR="00992664" w:rsidRPr="00020424">
        <w:rPr>
          <w:rtl/>
        </w:rPr>
        <w:t xml:space="preserve"> ، من قوله : « ويترك من النخل » إلى قوله : « العذق والعذقان » مع اختلاف يسير وزيادة في أوّله وآخره. </w:t>
      </w:r>
      <w:r w:rsidR="00992664" w:rsidRPr="00DE76B9">
        <w:rPr>
          <w:rStyle w:val="libFootnoteBoldChar"/>
          <w:rtl/>
        </w:rPr>
        <w:t>تفسير العيّاشي</w:t>
      </w:r>
      <w:r w:rsidR="00992664" w:rsidRPr="00020424">
        <w:rPr>
          <w:rtl/>
        </w:rPr>
        <w:t xml:space="preserve"> ، ج 1 ، ص 378 ، ح 104 ، عن زرارة ومحمّد بن مسلم وأبي بصير ،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380 ، ح 113 ، عن الحلبيّ ، عن أبي عبدالله </w:t>
      </w:r>
      <w:r w:rsidR="00992664" w:rsidRPr="00D64ADA">
        <w:rPr>
          <w:rStyle w:val="libFootnoteAlaemChar"/>
          <w:rtl/>
        </w:rPr>
        <w:t>عليه‌السلام</w:t>
      </w:r>
      <w:r w:rsidR="00992664" w:rsidRPr="00020424">
        <w:rPr>
          <w:rtl/>
        </w:rPr>
        <w:t xml:space="preserve"> ، وفيهما مع اختلاف يسير ؛ </w:t>
      </w:r>
      <w:r w:rsidR="00992664" w:rsidRPr="0012008A">
        <w:rPr>
          <w:rStyle w:val="libFootnoteBoldChar"/>
          <w:rtl/>
        </w:rPr>
        <w:t>المقنعة</w:t>
      </w:r>
      <w:r w:rsidR="00992664" w:rsidRPr="00020424">
        <w:rPr>
          <w:rtl/>
        </w:rPr>
        <w:t xml:space="preserve"> ، ص 262 ، مرسلاً عن أبي عبدالله </w:t>
      </w:r>
      <w:r w:rsidR="00992664" w:rsidRPr="00D64ADA">
        <w:rPr>
          <w:rStyle w:val="libFootnoteAlaemChar"/>
          <w:rtl/>
        </w:rPr>
        <w:t>عليه‌السلام</w:t>
      </w:r>
      <w:r w:rsidR="00992664" w:rsidRPr="00020424">
        <w:rPr>
          <w:rtl/>
        </w:rPr>
        <w:t xml:space="preserve"> ، إلى قوله : « الحفنة بعد الحفنة حتّى يفرغ » مع اختلاف. </w:t>
      </w:r>
      <w:r w:rsidR="00992664" w:rsidRPr="0012008A">
        <w:rPr>
          <w:rStyle w:val="libFootnoteBoldChar"/>
          <w:rtl/>
        </w:rPr>
        <w:t>الفقيه</w:t>
      </w:r>
      <w:r w:rsidR="00992664" w:rsidRPr="00020424">
        <w:rPr>
          <w:rtl/>
        </w:rPr>
        <w:t xml:space="preserve"> ، ج 2 ، ص 46 ، من دون الإسناد إلى المعصوم </w:t>
      </w:r>
      <w:r w:rsidR="00992664" w:rsidRPr="00D64ADA">
        <w:rPr>
          <w:rStyle w:val="libFootnoteAlaemChar"/>
          <w:rtl/>
        </w:rPr>
        <w:t>عليه‌السلام</w:t>
      </w:r>
      <w:r w:rsidR="00992664" w:rsidRPr="00020424">
        <w:rPr>
          <w:rtl/>
        </w:rPr>
        <w:t xml:space="preserve"> ، مع اختلاف يسير </w:t>
      </w:r>
      <w:r>
        <w:rPr>
          <w:rFonts w:hint="cs"/>
          <w:rtl/>
        </w:rPr>
        <w:t>.</w:t>
      </w:r>
      <w:r w:rsidR="00992664" w:rsidRPr="0012008A">
        <w:rPr>
          <w:rStyle w:val="libFootnoteBoldChar"/>
          <w:rtl/>
        </w:rPr>
        <w:t>الوافي</w:t>
      </w:r>
      <w:r w:rsidR="00992664" w:rsidRPr="00020424">
        <w:rPr>
          <w:rtl/>
        </w:rPr>
        <w:t xml:space="preserve"> ، ج 10 ، ص 381 ، ح 9724 ؛ </w:t>
      </w:r>
      <w:r w:rsidR="00992664" w:rsidRPr="0012008A">
        <w:rPr>
          <w:rStyle w:val="libFootnoteBoldChar"/>
          <w:rtl/>
        </w:rPr>
        <w:t>الوسائل</w:t>
      </w:r>
      <w:r w:rsidR="00992664" w:rsidRPr="00020424">
        <w:rPr>
          <w:rtl/>
        </w:rPr>
        <w:t xml:space="preserve"> ، ج 9 ، ص 191 ، ح 11811 ، من قوله : « ويعطى الحارس أجراً معلوماً » ؛ </w:t>
      </w:r>
      <w:r w:rsidR="00992664" w:rsidRPr="00DE76B9">
        <w:rPr>
          <w:rStyle w:val="libFootnoteBoldChar"/>
          <w:rtl/>
        </w:rPr>
        <w:t>وفيه</w:t>
      </w:r>
      <w:r w:rsidR="00992664" w:rsidRPr="00020424">
        <w:rPr>
          <w:rtl/>
        </w:rPr>
        <w:t xml:space="preserve"> ، ص 195 ، ح 11819 ، إلى قوله : « الحفنة بعد الحفنة حتّى يفرغ</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w:t>
      </w:r>
      <w:r w:rsidR="00992664" w:rsidRPr="006E504D">
        <w:rPr>
          <w:rtl/>
        </w:rPr>
        <w:t>والوافي</w:t>
      </w:r>
      <w:r w:rsidR="00992664" w:rsidRPr="00020424">
        <w:rPr>
          <w:rtl/>
        </w:rPr>
        <w:t xml:space="preserve"> : « لا تجدّ</w:t>
      </w:r>
      <w:r w:rsidR="00992664">
        <w:rPr>
          <w:rtl/>
        </w:rPr>
        <w:t xml:space="preserve"> ».</w:t>
      </w:r>
      <w:r w:rsidR="00992664" w:rsidRPr="00020424">
        <w:rPr>
          <w:rtl/>
        </w:rPr>
        <w:t xml:space="preserve"> وفي « بخ » وحاشية « ظ ، بث » </w:t>
      </w:r>
      <w:r w:rsidR="00992664" w:rsidRPr="00515444">
        <w:rPr>
          <w:rStyle w:val="libFootnoteBoldChar"/>
          <w:rtl/>
        </w:rPr>
        <w:t>والتهذيب</w:t>
      </w:r>
      <w:r w:rsidR="00992664" w:rsidRPr="00020424">
        <w:rPr>
          <w:rtl/>
        </w:rPr>
        <w:t xml:space="preserve"> والعلل : « لا تجذّ</w:t>
      </w:r>
      <w:r w:rsidR="00992664">
        <w:rPr>
          <w:rtl/>
        </w:rPr>
        <w:t xml:space="preserve"> ».</w:t>
      </w:r>
      <w:r w:rsidR="00992664" w:rsidRPr="00020424">
        <w:rPr>
          <w:rtl/>
        </w:rPr>
        <w:t xml:space="preserve"> وفي « بر ، بف » : « لايجذّ</w:t>
      </w:r>
      <w:r w:rsidR="00992664">
        <w:rPr>
          <w:rtl/>
        </w:rPr>
        <w:t xml:space="preserve"> ».</w:t>
      </w:r>
      <w:r w:rsidR="00992664" w:rsidRPr="00020424">
        <w:rPr>
          <w:rtl/>
        </w:rPr>
        <w:t xml:space="preserve"> والصَرْم والصِرام : القطع ، وصِرام النخلة : قطع الثمرة واجتناؤها منها ، وقد يطلق الصرام على </w:t>
      </w:r>
      <w:r w:rsidR="00992664">
        <w:rPr>
          <w:rtl/>
        </w:rPr>
        <w:t>ا</w:t>
      </w:r>
      <w:r w:rsidR="00992664" w:rsidRPr="00020424">
        <w:rPr>
          <w:rtl/>
        </w:rPr>
        <w:t xml:space="preserve">لنخل نفسه ؛ لأنّه يُصْرَم. راجع : </w:t>
      </w:r>
      <w:r w:rsidR="00992664" w:rsidRPr="0012008A">
        <w:rPr>
          <w:rStyle w:val="libFootnoteBoldChar"/>
          <w:rtl/>
        </w:rPr>
        <w:t>النهاية</w:t>
      </w:r>
      <w:r w:rsidR="00992664" w:rsidRPr="00020424">
        <w:rPr>
          <w:rtl/>
        </w:rPr>
        <w:t xml:space="preserve"> ، ج 3 ، ص 26 ؛ </w:t>
      </w:r>
      <w:r w:rsidR="00992664" w:rsidRPr="00A722B1">
        <w:rPr>
          <w:rStyle w:val="libFootnoteBoldChar"/>
          <w:rtl/>
        </w:rPr>
        <w:t>لسان العرب</w:t>
      </w:r>
      <w:r w:rsidR="00992664" w:rsidRPr="00020424">
        <w:rPr>
          <w:rtl/>
        </w:rPr>
        <w:t xml:space="preserve"> ، ج 12 ، ص 334 ( صرم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 « ولا يحصد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بف » : « ولا يضحّى</w:t>
      </w:r>
      <w:r w:rsidR="00992664">
        <w:rPr>
          <w:rtl/>
        </w:rPr>
        <w:t xml:space="preserve"> ».</w:t>
      </w:r>
      <w:r w:rsidR="00992664" w:rsidRPr="00020424">
        <w:rPr>
          <w:rtl/>
        </w:rPr>
        <w:t xml:space="preserve"> وفي « جن » : « ولاتضحّى</w:t>
      </w:r>
      <w:r w:rsidR="00992664">
        <w:rPr>
          <w:rtl/>
        </w:rPr>
        <w:t xml:space="preserve"> ».</w:t>
      </w:r>
      <w:r w:rsidR="00992664" w:rsidRPr="00020424">
        <w:rPr>
          <w:rtl/>
        </w:rPr>
        <w:t xml:space="preserve"> والتضحية : الإطعام في الضحى ، والرعي فيها ، والذبح فيها من أيّام التشريق ، أو في أيّ وقت كان منها. والظاهر أنّ المراد هنا مطلق الذبح. راجع : </w:t>
      </w:r>
      <w:r w:rsidR="00992664" w:rsidRPr="00A722B1">
        <w:rPr>
          <w:rStyle w:val="libFootnoteBoldChar"/>
          <w:rtl/>
        </w:rPr>
        <w:t>لسان العرب</w:t>
      </w:r>
      <w:r w:rsidR="00992664" w:rsidRPr="00020424">
        <w:rPr>
          <w:rtl/>
        </w:rPr>
        <w:t xml:space="preserve"> ، ج 14 ، ص 475 ( ضحا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لا تبذر » ، من البَذْر ، وهو الزرع ونثر الحبّ في الأرض للزراعة. راجع : </w:t>
      </w:r>
      <w:r w:rsidR="00992664" w:rsidRPr="00A722B1">
        <w:rPr>
          <w:rStyle w:val="libFootnoteBoldChar"/>
          <w:rtl/>
        </w:rPr>
        <w:t>لسان العرب</w:t>
      </w:r>
      <w:r w:rsidR="00992664" w:rsidRPr="00020424">
        <w:rPr>
          <w:rtl/>
        </w:rPr>
        <w:t xml:space="preserve"> ، ج 4 ، ص 50 ؛ </w:t>
      </w:r>
      <w:r w:rsidR="00992664" w:rsidRPr="00A722B1">
        <w:rPr>
          <w:rStyle w:val="libFootnoteBoldChar"/>
          <w:rtl/>
        </w:rPr>
        <w:t>المصباح المنير</w:t>
      </w:r>
      <w:r w:rsidR="00992664" w:rsidRPr="00020424">
        <w:rPr>
          <w:rtl/>
        </w:rPr>
        <w:t xml:space="preserve"> ، ص 40 ( بذر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إن فعلت ذلك</w:t>
      </w:r>
      <w:r w:rsidR="00992664">
        <w:rPr>
          <w:rtl/>
        </w:rPr>
        <w:t xml:space="preserve"> ».</w:t>
      </w:r>
      <w:r w:rsidR="00992664" w:rsidRPr="00020424">
        <w:rPr>
          <w:rtl/>
        </w:rPr>
        <w:t xml:space="preserve"> وفي « بح » </w:t>
      </w:r>
      <w:r w:rsidR="00992664" w:rsidRPr="00EB1FD9">
        <w:rPr>
          <w:rStyle w:val="libFootnoteBoldChar"/>
          <w:rtl/>
        </w:rPr>
        <w:t>والوسائل</w:t>
      </w:r>
      <w:r w:rsidR="00992664" w:rsidRPr="006E504D">
        <w:rPr>
          <w:rtl/>
        </w:rPr>
        <w:t xml:space="preserve"> والتهذيب</w:t>
      </w:r>
      <w:r w:rsidR="00992664" w:rsidRPr="00020424">
        <w:rPr>
          <w:rtl/>
        </w:rPr>
        <w:t xml:space="preserve"> </w:t>
      </w:r>
      <w:r w:rsidR="006E504D">
        <w:rPr>
          <w:rtl/>
        </w:rPr>
        <w:t>: «</w:t>
      </w:r>
      <w:r w:rsidR="00992664" w:rsidRPr="00020424">
        <w:rPr>
          <w:rtl/>
        </w:rPr>
        <w:t>إن فعلت</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6E504D">
        <w:rPr>
          <w:rtl/>
        </w:rPr>
        <w:t>التهذيب</w:t>
      </w:r>
      <w:r w:rsidR="00992664" w:rsidRPr="00020424">
        <w:rPr>
          <w:rtl/>
        </w:rPr>
        <w:t xml:space="preserve"> : « قلت</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بر ، بف ، جن » </w:t>
      </w:r>
      <w:r w:rsidR="00992664" w:rsidRPr="006E504D">
        <w:rPr>
          <w:rtl/>
        </w:rPr>
        <w:t>والوافي والتهذيب</w:t>
      </w:r>
      <w:r w:rsidR="00992664" w:rsidRPr="00020424">
        <w:rPr>
          <w:rtl/>
        </w:rPr>
        <w:t xml:space="preserve"> : « وما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w:t>
      </w:r>
      <w:r w:rsidR="00992664" w:rsidRPr="006E504D">
        <w:rPr>
          <w:rtl/>
        </w:rPr>
        <w:t>والوافي</w:t>
      </w:r>
      <w:r w:rsidR="00992664" w:rsidRPr="00020424">
        <w:rPr>
          <w:rtl/>
        </w:rPr>
        <w:t xml:space="preserve"> : « فقال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E504D">
      <w:pPr>
        <w:pStyle w:val="libNormal0"/>
        <w:rPr>
          <w:rtl/>
          <w:lang w:bidi="fa-IR"/>
        </w:rPr>
      </w:pPr>
      <w:r w:rsidRPr="00020424">
        <w:rPr>
          <w:rtl/>
          <w:lang w:bidi="fa-IR"/>
        </w:rPr>
        <w:lastRenderedPageBreak/>
        <w:t xml:space="preserve">حَصَدْتَ بِاللَّيْلِ ، لَمْ يَأْتِكَ السُّؤَّالُ وَهُوَ قَوْلُ اللهِ تَعَالى : </w:t>
      </w:r>
      <w:r w:rsidRPr="00005A81">
        <w:rPr>
          <w:rStyle w:val="libAlaemChar"/>
          <w:rtl/>
        </w:rPr>
        <w:t>(</w:t>
      </w:r>
      <w:r w:rsidRPr="004E5AB4">
        <w:rPr>
          <w:rStyle w:val="libAieChar"/>
          <w:rtl/>
        </w:rPr>
        <w:t xml:space="preserve"> وَآتُوا </w:t>
      </w:r>
      <w:r w:rsidRPr="00A91B96">
        <w:rPr>
          <w:rStyle w:val="libFootnotenumChar"/>
          <w:rtl/>
        </w:rPr>
        <w:t>(1)</w:t>
      </w:r>
      <w:r w:rsidRPr="004E5AB4">
        <w:rPr>
          <w:rStyle w:val="libAieChar"/>
          <w:rtl/>
        </w:rPr>
        <w:t xml:space="preserve"> حَقَّهُ يَوْمَ حَصادِهِ </w:t>
      </w:r>
      <w:r w:rsidRPr="00005A81">
        <w:rPr>
          <w:rStyle w:val="libAlaemChar"/>
          <w:rtl/>
        </w:rPr>
        <w:t>)</w:t>
      </w:r>
      <w:r w:rsidRPr="00020424">
        <w:rPr>
          <w:rtl/>
          <w:lang w:bidi="fa-IR"/>
        </w:rPr>
        <w:t xml:space="preserve"> : عِنْدَ الْحَصَادِ ، يَعْنِي الْقَبْضَةَ بَعْدَ الْقَبْضَةِ إِذَا حَصَدْتَهُ ، وَإِذَا </w:t>
      </w:r>
      <w:r w:rsidRPr="00A91B96">
        <w:rPr>
          <w:rStyle w:val="libFootnotenumChar"/>
          <w:rtl/>
        </w:rPr>
        <w:t>(2)</w:t>
      </w:r>
      <w:r w:rsidRPr="00020424">
        <w:rPr>
          <w:rtl/>
          <w:lang w:bidi="fa-IR"/>
        </w:rPr>
        <w:t xml:space="preserve"> خَرَجَ فَالْحَفْنَةَ بَعْدَ الْحَفْنَةِ ، وَكَذلِكَ عِنْدَ الصِّرَامِ ، وَكَذلِكَ عِنْدَ </w:t>
      </w:r>
      <w:r w:rsidRPr="00A91B96">
        <w:rPr>
          <w:rStyle w:val="libFootnotenumChar"/>
          <w:rtl/>
        </w:rPr>
        <w:t>(3)</w:t>
      </w:r>
      <w:r w:rsidRPr="00020424">
        <w:rPr>
          <w:rtl/>
          <w:lang w:bidi="fa-IR"/>
        </w:rPr>
        <w:t xml:space="preserve"> الْبَذْرِ ، وَلَاتَبْذُرْ </w:t>
      </w:r>
      <w:r w:rsidRPr="00A91B96">
        <w:rPr>
          <w:rStyle w:val="libFootnotenumChar"/>
          <w:rtl/>
        </w:rPr>
        <w:t>(4)</w:t>
      </w:r>
      <w:r w:rsidRPr="00020424">
        <w:rPr>
          <w:rtl/>
          <w:lang w:bidi="fa-IR"/>
        </w:rPr>
        <w:t xml:space="preserve"> بِاللَّيْلِ ؛ لِأَنَّكَ تُعْطِي مِنَ </w:t>
      </w:r>
      <w:r w:rsidRPr="00A91B96">
        <w:rPr>
          <w:rStyle w:val="libFootnotenumChar"/>
          <w:rtl/>
        </w:rPr>
        <w:t>(5)</w:t>
      </w:r>
      <w:r w:rsidRPr="00020424">
        <w:rPr>
          <w:rtl/>
          <w:lang w:bidi="fa-IR"/>
        </w:rPr>
        <w:t xml:space="preserve"> الْبَذْرِ كَمَا تُعْطِي مِنَ </w:t>
      </w:r>
      <w:r w:rsidRPr="00A91B96">
        <w:rPr>
          <w:rStyle w:val="libFootnotenumChar"/>
          <w:rtl/>
        </w:rPr>
        <w:t>(6)</w:t>
      </w:r>
      <w:r w:rsidRPr="00020424">
        <w:rPr>
          <w:rtl/>
          <w:lang w:bidi="fa-IR"/>
        </w:rPr>
        <w:t xml:space="preserve"> الْحَصَادِ</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0079D1">
        <w:rPr>
          <w:rtl/>
        </w:rPr>
        <w:t>5987</w:t>
      </w:r>
      <w:r w:rsidRPr="001155DE">
        <w:rPr>
          <w:rStyle w:val="libBold2Char"/>
          <w:rtl/>
        </w:rPr>
        <w:t xml:space="preserve"> / 4.</w:t>
      </w:r>
      <w:r w:rsidRPr="00020424">
        <w:rPr>
          <w:rtl/>
          <w:lang w:bidi="fa-IR"/>
        </w:rPr>
        <w:t xml:space="preserve"> الْحُسَيْنُ بْنُ مُحَمَّدٍ ، عَنْ مُعَلَّى بْنِ مُحَمَّدٍ ، عَنِ الْحَسَنِ بْنِ عَلِيٍّ ، عَنْ أَبَانٍ ، عَنْ أَبِي مَرْيَمَ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وَآتُوا حَقَّهُ يَوْمَ حَصادِهِ </w:t>
      </w:r>
      <w:r w:rsidRPr="00005A81">
        <w:rPr>
          <w:rStyle w:val="libAlaemChar"/>
          <w:rtl/>
        </w:rPr>
        <w:t>)</w:t>
      </w:r>
      <w:r w:rsidRPr="00020424">
        <w:rPr>
          <w:rtl/>
          <w:lang w:bidi="fa-IR"/>
        </w:rPr>
        <w:t xml:space="preserve"> قَالَ : « تُعْطِي الْمِسْكِينَ يَوْمَ حَصَادِكَ </w:t>
      </w:r>
      <w:r w:rsidRPr="00A91B96">
        <w:rPr>
          <w:rStyle w:val="libFootnotenumChar"/>
          <w:rtl/>
        </w:rPr>
        <w:t>(8)</w:t>
      </w:r>
      <w:r w:rsidRPr="00020424">
        <w:rPr>
          <w:rtl/>
          <w:lang w:bidi="fa-IR"/>
        </w:rPr>
        <w:t xml:space="preserve"> الضِّغْثَ ، ثُمَّ إِذَا وَقَعَ </w:t>
      </w:r>
      <w:r w:rsidRPr="00A91B96">
        <w:rPr>
          <w:rStyle w:val="libFootnotenumChar"/>
          <w:rtl/>
        </w:rPr>
        <w:t>(9)</w:t>
      </w:r>
      <w:r w:rsidRPr="00020424">
        <w:rPr>
          <w:rtl/>
          <w:lang w:bidi="fa-IR"/>
        </w:rPr>
        <w:t xml:space="preserve"> فِي الْبَيْدَرِ </w:t>
      </w:r>
      <w:r w:rsidRPr="00A91B96">
        <w:rPr>
          <w:rStyle w:val="libFootnotenumChar"/>
          <w:rtl/>
        </w:rPr>
        <w:t>(10)</w:t>
      </w:r>
      <w:r w:rsidRPr="00020424">
        <w:rPr>
          <w:rtl/>
          <w:lang w:bidi="fa-IR"/>
        </w:rPr>
        <w:t xml:space="preserve"> ، ثُمَّ إِذَا وَقَعَ </w:t>
      </w:r>
      <w:r w:rsidRPr="00A91B96">
        <w:rPr>
          <w:rStyle w:val="libFootnotenumChar"/>
          <w:rtl/>
        </w:rPr>
        <w:t>(11)</w:t>
      </w:r>
      <w:r w:rsidRPr="00020424">
        <w:rPr>
          <w:rtl/>
          <w:lang w:bidi="fa-IR"/>
        </w:rPr>
        <w:t xml:space="preserve"> فِي الصَّاعِ الْعُشْرُ وَنِصْفُ الْعُشْرِ</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القرآن وفي جميع النسخ التي قوبلت </w:t>
      </w:r>
      <w:r w:rsidR="00992664" w:rsidRPr="006E504D">
        <w:rPr>
          <w:rtl/>
        </w:rPr>
        <w:t xml:space="preserve">والوافي </w:t>
      </w:r>
      <w:r w:rsidR="00992664" w:rsidRPr="00EB1FD9">
        <w:rPr>
          <w:rStyle w:val="libFootnoteBoldChar"/>
          <w:rtl/>
        </w:rPr>
        <w:t>والوسائل</w:t>
      </w:r>
      <w:r w:rsidR="00992664" w:rsidRPr="00020424">
        <w:rPr>
          <w:rtl/>
        </w:rPr>
        <w:t>. وفي المطبوع : « آتُوا » بدون الواو.</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ى ، بث ، بح ، بخ ، بر ، بس ، بف » </w:t>
      </w:r>
      <w:r w:rsidR="00992664" w:rsidRPr="006E504D">
        <w:rPr>
          <w:rtl/>
        </w:rPr>
        <w:t xml:space="preserve">والوافي </w:t>
      </w:r>
      <w:r w:rsidR="00992664" w:rsidRPr="00EB1FD9">
        <w:rPr>
          <w:rStyle w:val="libFootnoteBoldChar"/>
          <w:rtl/>
        </w:rPr>
        <w:t>والوسائل</w:t>
      </w:r>
      <w:r w:rsidR="00992664" w:rsidRPr="00020424">
        <w:rPr>
          <w:rtl/>
        </w:rPr>
        <w:t xml:space="preserve"> : « فإذا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بث ، بخ ، بس ، جن » </w:t>
      </w:r>
      <w:r w:rsidR="00992664" w:rsidRPr="00EB1FD9">
        <w:rPr>
          <w:rStyle w:val="libFootnoteBoldChar"/>
          <w:rtl/>
        </w:rPr>
        <w:t>والوسائل</w:t>
      </w:r>
      <w:r w:rsidR="00992664" w:rsidRPr="006E504D">
        <w:rPr>
          <w:rtl/>
        </w:rPr>
        <w:t xml:space="preserve"> والتهذيب</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عند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ي » : « لا تبذر » بدون الواو. وفي « بح » : « لا يبذر</w:t>
      </w:r>
      <w:r w:rsidR="00992664">
        <w:rPr>
          <w:rtl/>
        </w:rPr>
        <w:t xml:space="preserve"> ».</w:t>
      </w:r>
      <w:r w:rsidR="00992664" w:rsidRPr="00020424">
        <w:rPr>
          <w:rtl/>
        </w:rPr>
        <w:t xml:space="preserve"> بدون الواو. وفي « بس » : « ولا تبذره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بث ، بخ ، بر ، بف » </w:t>
      </w:r>
      <w:r w:rsidR="00992664" w:rsidRPr="00EB1FD9">
        <w:rPr>
          <w:rStyle w:val="libFootnoteBoldChar"/>
          <w:rtl/>
        </w:rPr>
        <w:t>والوسائل</w:t>
      </w:r>
      <w:r w:rsidR="00992664" w:rsidRPr="006E504D">
        <w:rPr>
          <w:rtl/>
        </w:rPr>
        <w:t xml:space="preserve"> والتهذيب</w:t>
      </w:r>
      <w:r w:rsidR="00992664" w:rsidRPr="00020424">
        <w:rPr>
          <w:rtl/>
        </w:rPr>
        <w:t xml:space="preserve"> والعلل : «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بث ، بح ، بخ ، بر ، بف » </w:t>
      </w:r>
      <w:r w:rsidR="00992664" w:rsidRPr="00EB1FD9">
        <w:rPr>
          <w:rStyle w:val="libFootnoteBoldChar"/>
          <w:rtl/>
        </w:rPr>
        <w:t>والوسائل</w:t>
      </w:r>
      <w:r w:rsidR="00992664" w:rsidRPr="006E504D">
        <w:rPr>
          <w:rtl/>
        </w:rPr>
        <w:t xml:space="preserve"> والتهذيب</w:t>
      </w:r>
      <w:r w:rsidR="00992664" w:rsidRPr="00020424">
        <w:rPr>
          <w:rtl/>
        </w:rPr>
        <w:t xml:space="preserve"> ، والعلل : «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106 ، ح 304 ، معلّقاً عن الكليني. </w:t>
      </w:r>
      <w:r w:rsidR="00992664" w:rsidRPr="00DE76B9">
        <w:rPr>
          <w:rStyle w:val="libFootnoteBoldChar"/>
          <w:rtl/>
        </w:rPr>
        <w:t>علل الشرائع</w:t>
      </w:r>
      <w:r w:rsidR="00992664" w:rsidRPr="00020424">
        <w:rPr>
          <w:rtl/>
        </w:rPr>
        <w:t xml:space="preserve"> ، ص 377 ، ح 1 ، بسنده عن عبدالله بن مسكان ، مع اختلاف. </w:t>
      </w:r>
      <w:r w:rsidR="00992664" w:rsidRPr="00DE76B9">
        <w:rPr>
          <w:rStyle w:val="libFootnoteBoldChar"/>
          <w:rtl/>
        </w:rPr>
        <w:t>تفسير العيّاشي</w:t>
      </w:r>
      <w:r w:rsidR="00992664" w:rsidRPr="00020424">
        <w:rPr>
          <w:rtl/>
        </w:rPr>
        <w:t xml:space="preserve"> ، ج 1 ، ص 379 ، ح 107 ، عن سماعة ، عن أبي عبدالله </w:t>
      </w:r>
      <w:r w:rsidR="00992664" w:rsidRPr="00D64ADA">
        <w:rPr>
          <w:rStyle w:val="libFootnoteAlaemChar"/>
          <w:rtl/>
        </w:rPr>
        <w:t>عليه‌السلام</w:t>
      </w:r>
      <w:r w:rsidR="00992664" w:rsidRPr="00020424">
        <w:rPr>
          <w:rtl/>
        </w:rPr>
        <w:t xml:space="preserve"> ، مع اختلاف. </w:t>
      </w:r>
      <w:r w:rsidR="00992664" w:rsidRPr="0012008A">
        <w:rPr>
          <w:rStyle w:val="libFootnoteBoldChar"/>
          <w:rtl/>
        </w:rPr>
        <w:t>الفقيه</w:t>
      </w:r>
      <w:r w:rsidR="00992664" w:rsidRPr="00020424">
        <w:rPr>
          <w:rtl/>
        </w:rPr>
        <w:t xml:space="preserve"> ، ج 2 ، ص 47 ، ح 1664 ، مرسلاً ، مع اختلاف يسير ، وفي الأخيرين إلى قوله : « لم يأتك القانع والمعترّ</w:t>
      </w:r>
      <w:r w:rsidR="00992664">
        <w:rPr>
          <w:rtl/>
        </w:rPr>
        <w:t xml:space="preserve"> ».</w:t>
      </w:r>
      <w:r w:rsidR="00992664" w:rsidRPr="00020424">
        <w:rPr>
          <w:rtl/>
        </w:rPr>
        <w:t xml:space="preserve"> راجع : </w:t>
      </w:r>
      <w:r w:rsidR="00992664" w:rsidRPr="00DE76B9">
        <w:rPr>
          <w:rStyle w:val="libFootnoteBoldChar"/>
          <w:rtl/>
        </w:rPr>
        <w:t>الكافي</w:t>
      </w:r>
      <w:r w:rsidR="00992664" w:rsidRPr="00020424">
        <w:rPr>
          <w:rtl/>
        </w:rPr>
        <w:t xml:space="preserve"> ، كتاب الحجّ ، باب الأكل من الهدي الواجب</w:t>
      </w:r>
      <w:r w:rsidR="00992664">
        <w:rPr>
          <w:rtl/>
        </w:rPr>
        <w:t xml:space="preserve"> ..</w:t>
      </w:r>
      <w:r w:rsidR="00992664" w:rsidRPr="00020424">
        <w:rPr>
          <w:rtl/>
        </w:rPr>
        <w:t xml:space="preserve">. ، ح 7887 ؛ ونفس الباب ، ح 7891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2 ، ص 493 ، ح 3053 ؛ </w:t>
      </w:r>
      <w:r w:rsidR="00992664" w:rsidRPr="00515444">
        <w:rPr>
          <w:rStyle w:val="libFootnoteBoldChar"/>
          <w:rtl/>
        </w:rPr>
        <w:t>والتهذيب</w:t>
      </w:r>
      <w:r w:rsidR="00992664" w:rsidRPr="00020424">
        <w:rPr>
          <w:rtl/>
        </w:rPr>
        <w:t xml:space="preserve"> ، ج 5 ، ص 223 ، ح 751 و753 </w:t>
      </w:r>
      <w:r w:rsidR="005D0EBA">
        <w:rPr>
          <w:rFonts w:hint="cs"/>
          <w:rtl/>
        </w:rPr>
        <w:t>.</w:t>
      </w:r>
      <w:r w:rsidR="00992664" w:rsidRPr="0012008A">
        <w:rPr>
          <w:rStyle w:val="libFootnoteBoldChar"/>
          <w:rtl/>
        </w:rPr>
        <w:t>الوافي</w:t>
      </w:r>
      <w:r w:rsidR="00992664" w:rsidRPr="00020424">
        <w:rPr>
          <w:rtl/>
        </w:rPr>
        <w:t xml:space="preserve"> ، ج 10 ، ص 382 ، ح 9725 ؛ </w:t>
      </w:r>
      <w:r w:rsidR="00992664" w:rsidRPr="0012008A">
        <w:rPr>
          <w:rStyle w:val="libFootnoteBoldChar"/>
          <w:rtl/>
        </w:rPr>
        <w:t>الوسائل</w:t>
      </w:r>
      <w:r w:rsidR="00992664" w:rsidRPr="00020424">
        <w:rPr>
          <w:rtl/>
        </w:rPr>
        <w:t xml:space="preserve"> ، ج 9 ، ص 198 ، ح 11830.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5D0EBA">
        <w:rPr>
          <w:rtl/>
        </w:rPr>
        <w:t>الوافي</w:t>
      </w:r>
      <w:r w:rsidR="00992664" w:rsidRPr="00020424">
        <w:rPr>
          <w:rtl/>
        </w:rPr>
        <w:t xml:space="preserve"> عن بعض النسخ : « حصاده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بف » : « أوقع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البَيْدَر » : الموضع الذي تداس فيه الحبوب. راجع : </w:t>
      </w:r>
      <w:r w:rsidR="00992664" w:rsidRPr="00A722B1">
        <w:rPr>
          <w:rStyle w:val="libFootnoteBoldChar"/>
          <w:rtl/>
        </w:rPr>
        <w:t>المصباح المنير</w:t>
      </w:r>
      <w:r w:rsidR="00992664" w:rsidRPr="00020424">
        <w:rPr>
          <w:rtl/>
        </w:rPr>
        <w:t xml:space="preserve"> ، ص 38 ( بدر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بف » : « أوقع</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383 ، ح 9727 ؛ </w:t>
      </w:r>
      <w:r w:rsidR="00992664" w:rsidRPr="0012008A">
        <w:rPr>
          <w:rStyle w:val="libFootnoteBoldChar"/>
          <w:rtl/>
        </w:rPr>
        <w:t>الوسائل</w:t>
      </w:r>
      <w:r w:rsidR="00992664" w:rsidRPr="00020424">
        <w:rPr>
          <w:rtl/>
        </w:rPr>
        <w:t xml:space="preserve"> ، ج 9 ، ص 196 ، ح 11821.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772A7">
        <w:rPr>
          <w:rtl/>
        </w:rPr>
        <w:lastRenderedPageBreak/>
        <w:t>5988</w:t>
      </w:r>
      <w:r w:rsidRPr="001155DE">
        <w:rPr>
          <w:rStyle w:val="libBold2Char"/>
          <w:rtl/>
        </w:rPr>
        <w:t xml:space="preserve"> / 5.</w:t>
      </w:r>
      <w:r w:rsidRPr="00020424">
        <w:rPr>
          <w:rtl/>
          <w:lang w:bidi="fa-IR"/>
        </w:rPr>
        <w:t xml:space="preserve"> مُحَمَّدُ بْنُ يَحْيى ، عَنْ أَحْمَدَ بْنِ مُحَمَّدٍ ، عَنْ عَلِيِّ بْنِ حَدِيدٍ ، عَنْ مُرَازِمٍ ، عَنْ مُصَادِفٍ ، قَالَ :</w:t>
      </w:r>
    </w:p>
    <w:p w:rsidR="00992664" w:rsidRPr="00020424" w:rsidRDefault="00992664" w:rsidP="00992664">
      <w:pPr>
        <w:pStyle w:val="libNormal"/>
        <w:rPr>
          <w:rtl/>
          <w:lang w:bidi="fa-IR"/>
        </w:rPr>
      </w:pPr>
      <w:r w:rsidRPr="00020424">
        <w:rPr>
          <w:rtl/>
          <w:lang w:bidi="fa-IR"/>
        </w:rPr>
        <w:t xml:space="preserve">كُنْتُ مَعَ أَبِي عَبْدِ اللهِ </w:t>
      </w:r>
      <w:r w:rsidRPr="00005A81">
        <w:rPr>
          <w:rStyle w:val="libAlaemChar"/>
          <w:rtl/>
        </w:rPr>
        <w:t>عليه‌السلام</w:t>
      </w:r>
      <w:r w:rsidRPr="00020424">
        <w:rPr>
          <w:rtl/>
          <w:lang w:bidi="fa-IR"/>
        </w:rPr>
        <w:t xml:space="preserve"> فِي أَرْضٍ لَهُ ، وَهُمْ يَصْرِمُونَ ، فَجَاءَ سَائِلٌ يَسْأَلُ ، فَقُلْتُ :</w:t>
      </w:r>
      <w:r>
        <w:rPr>
          <w:rFonts w:hint="cs"/>
          <w:rtl/>
          <w:lang w:bidi="fa-IR"/>
        </w:rPr>
        <w:t xml:space="preserve"> </w:t>
      </w:r>
      <w:r w:rsidRPr="00020424">
        <w:rPr>
          <w:rtl/>
          <w:lang w:bidi="fa-IR"/>
        </w:rPr>
        <w:t xml:space="preserve">اللهُ يَرْزُقُكَ ، فَقَالَ </w:t>
      </w:r>
      <w:r w:rsidRPr="00005A81">
        <w:rPr>
          <w:rStyle w:val="libAlaemChar"/>
          <w:rtl/>
        </w:rPr>
        <w:t>عليه‌السلام</w:t>
      </w:r>
      <w:r w:rsidRPr="00020424">
        <w:rPr>
          <w:rtl/>
          <w:lang w:bidi="fa-IR"/>
        </w:rPr>
        <w:t xml:space="preserve"> : « مَهْ ، لَيْسَ ذلِكَ </w:t>
      </w:r>
      <w:r w:rsidRPr="00A91B96">
        <w:rPr>
          <w:rStyle w:val="libFootnotenumChar"/>
          <w:rtl/>
        </w:rPr>
        <w:t>(1)</w:t>
      </w:r>
      <w:r w:rsidRPr="00020424">
        <w:rPr>
          <w:rtl/>
          <w:lang w:bidi="fa-IR"/>
        </w:rPr>
        <w:t xml:space="preserve"> لَكُمْ حَتّى تُعْطُوا ثَلَاثَةً ، فَإِذَا أَعْطَيْتُمْ ثَلَاثَةً ، فَإِنْ أَعْطَيْتُمْ </w:t>
      </w:r>
      <w:r w:rsidRPr="00A91B96">
        <w:rPr>
          <w:rStyle w:val="libFootnotenumChar"/>
          <w:rtl/>
        </w:rPr>
        <w:t>(2)</w:t>
      </w:r>
      <w:r w:rsidRPr="00020424">
        <w:rPr>
          <w:rtl/>
          <w:lang w:bidi="fa-IR"/>
        </w:rPr>
        <w:t xml:space="preserve"> فَلَكُمْ ، وَإِنْ أَمْسَكْتُمْ فَلَكُمْ</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7772A7">
        <w:rPr>
          <w:rtl/>
        </w:rPr>
        <w:t>5989</w:t>
      </w:r>
      <w:r w:rsidRPr="001155DE">
        <w:rPr>
          <w:rStyle w:val="libBold2Char"/>
          <w:rtl/>
        </w:rPr>
        <w:t xml:space="preserve"> / 6.</w:t>
      </w:r>
      <w:r w:rsidRPr="00020424">
        <w:rPr>
          <w:rtl/>
          <w:lang w:bidi="fa-IR"/>
        </w:rPr>
        <w:t xml:space="preserve"> مُحَمَّدُ بْنُ يَحْيى ، عَنْ أَحْمَدَ بْنِ مُحَمَّدٍ ، عَنِ ابْنِ أَبِي نَصْرٍ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الْحَسَنِ </w:t>
      </w:r>
      <w:r w:rsidRPr="00A91B96">
        <w:rPr>
          <w:rStyle w:val="libFootnotenumChar"/>
          <w:rtl/>
        </w:rPr>
        <w:t>(5)</w:t>
      </w:r>
      <w:r w:rsidRPr="00020424">
        <w:rPr>
          <w:rtl/>
          <w:lang w:bidi="fa-IR"/>
        </w:rPr>
        <w:t xml:space="preserve"> </w:t>
      </w:r>
      <w:r w:rsidRPr="00005A81">
        <w:rPr>
          <w:rStyle w:val="libAlaemChar"/>
          <w:rtl/>
        </w:rPr>
        <w:t>عليه‌السلام</w:t>
      </w:r>
      <w:r w:rsidRPr="00020424">
        <w:rPr>
          <w:rtl/>
          <w:lang w:bidi="fa-IR"/>
        </w:rPr>
        <w:t xml:space="preserve"> ، قَالَ : سَأَلْتُهُ عَنْ قَوْلِ اللهِ عَزَّ وَجَلَّ : </w:t>
      </w:r>
      <w:r w:rsidRPr="00005A81">
        <w:rPr>
          <w:rStyle w:val="libAlaemChar"/>
          <w:rtl/>
        </w:rPr>
        <w:t>(</w:t>
      </w:r>
      <w:r w:rsidRPr="004E5AB4">
        <w:rPr>
          <w:rStyle w:val="libAieChar"/>
          <w:rtl/>
        </w:rPr>
        <w:t xml:space="preserve"> وَآتُوا حَقَّهُ يَوْمَ حَصادِهِ وَل</w:t>
      </w:r>
      <w:r w:rsidR="005D0EBA">
        <w:rPr>
          <w:rStyle w:val="libAieChar"/>
          <w:rFonts w:hint="cs"/>
          <w:rtl/>
        </w:rPr>
        <w:t>َ</w:t>
      </w:r>
      <w:r w:rsidRPr="004E5AB4">
        <w:rPr>
          <w:rStyle w:val="libAieChar"/>
          <w:rtl/>
        </w:rPr>
        <w:t xml:space="preserve">ا تُسْرِفُوا </w:t>
      </w:r>
      <w:r w:rsidRPr="00005A81">
        <w:rPr>
          <w:rStyle w:val="libAlaemChar"/>
          <w:rtl/>
        </w:rPr>
        <w:t>)</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كَانَ أَبِي </w:t>
      </w:r>
      <w:r w:rsidRPr="00005A81">
        <w:rPr>
          <w:rStyle w:val="libAlaemChar"/>
          <w:rtl/>
        </w:rPr>
        <w:t>عليه‌السلام</w:t>
      </w:r>
      <w:r w:rsidRPr="00020424">
        <w:rPr>
          <w:rtl/>
          <w:lang w:bidi="fa-IR"/>
        </w:rPr>
        <w:t xml:space="preserve"> يَقُولُ : مِنَ الْإِسْرَافِ فِي الْحَصَادِ وَالْجَدَادِ </w:t>
      </w:r>
      <w:r w:rsidRPr="00A91B96">
        <w:rPr>
          <w:rStyle w:val="libFootnotenumChar"/>
          <w:rtl/>
        </w:rPr>
        <w:t>(7)</w:t>
      </w:r>
      <w:r w:rsidRPr="00020424">
        <w:rPr>
          <w:rtl/>
          <w:lang w:bidi="fa-IR"/>
        </w:rPr>
        <w:t xml:space="preserve"> أَنْ يَصَّدَّقَ </w:t>
      </w:r>
      <w:r w:rsidRPr="00A91B96">
        <w:rPr>
          <w:rStyle w:val="libFootnotenumChar"/>
          <w:rtl/>
        </w:rPr>
        <w:t>(8)</w:t>
      </w:r>
      <w:r w:rsidRPr="00020424">
        <w:rPr>
          <w:rtl/>
          <w:lang w:bidi="fa-IR"/>
        </w:rPr>
        <w:t xml:space="preserve"> الرَّجُلُ بِكَفَّيْهِ جَمِيعاً ، وَكَانَ أَبِي إِذَا حَضَرَ شَيْئاً </w:t>
      </w:r>
      <w:r w:rsidRPr="00A91B96">
        <w:rPr>
          <w:rStyle w:val="libFootnotenumChar"/>
          <w:rtl/>
        </w:rPr>
        <w:t>(9)</w:t>
      </w:r>
      <w:r w:rsidRPr="00020424">
        <w:rPr>
          <w:rtl/>
          <w:lang w:bidi="fa-IR"/>
        </w:rPr>
        <w:t xml:space="preserve"> مِنْ هذَا ، فَرَأى أَحَداً مِنْ غِلْمَانِهِ يَتَصَدَّقُ </w:t>
      </w:r>
      <w:r w:rsidRPr="00A91B96">
        <w:rPr>
          <w:rStyle w:val="libFootnotenumChar"/>
          <w:rtl/>
        </w:rPr>
        <w:t>(10)</w:t>
      </w:r>
      <w:r w:rsidRPr="00020424">
        <w:rPr>
          <w:rtl/>
          <w:lang w:bidi="fa-IR"/>
        </w:rPr>
        <w:t xml:space="preserve"> بِكَفَّيْهِ ، صَاحَ بِهِ : أَعْطِ </w:t>
      </w:r>
      <w:r w:rsidRPr="00A91B96">
        <w:rPr>
          <w:rStyle w:val="libFootnotenumChar"/>
          <w:rtl/>
        </w:rPr>
        <w:t>(11)</w:t>
      </w:r>
      <w:r w:rsidRPr="00020424">
        <w:rPr>
          <w:rtl/>
          <w:lang w:bidi="fa-IR"/>
        </w:rPr>
        <w:t xml:space="preserve"> بِيَدٍ وَاحِدَةٍ الْقَبْضَةَ بَعْدَ الْقَبْضَةِ ، وَالضِّغْثَ بَعْدَ الضِّغْثِ مِنَ السُّنْبُلِ</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D0EBA" w:rsidTr="005D0EBA">
        <w:tc>
          <w:tcPr>
            <w:tcW w:w="4006" w:type="dxa"/>
          </w:tcPr>
          <w:p w:rsidR="005D0EBA" w:rsidRDefault="005D0EBA" w:rsidP="00992664">
            <w:pPr>
              <w:pStyle w:val="libFootnote0"/>
              <w:rPr>
                <w:rtl/>
              </w:rPr>
            </w:pPr>
            <w:r>
              <w:rPr>
                <w:rtl/>
              </w:rPr>
              <w:t xml:space="preserve">(1). </w:t>
            </w:r>
            <w:r w:rsidRPr="00020424">
              <w:rPr>
                <w:rtl/>
              </w:rPr>
              <w:t xml:space="preserve">في « بخ ، بر </w:t>
            </w:r>
            <w:r w:rsidRPr="005D0EBA">
              <w:rPr>
                <w:rtl/>
              </w:rPr>
              <w:t xml:space="preserve">» والوافي </w:t>
            </w:r>
            <w:r w:rsidRPr="00FD6221">
              <w:rPr>
                <w:rStyle w:val="libFootnoteBoldChar"/>
                <w:rtl/>
              </w:rPr>
              <w:t>والفقيه</w:t>
            </w:r>
            <w:r w:rsidRPr="00020424">
              <w:rPr>
                <w:rtl/>
              </w:rPr>
              <w:t xml:space="preserve"> : « ذاك</w:t>
            </w:r>
            <w:r>
              <w:rPr>
                <w:rtl/>
              </w:rPr>
              <w:t xml:space="preserve"> ».</w:t>
            </w:r>
          </w:p>
        </w:tc>
        <w:tc>
          <w:tcPr>
            <w:tcW w:w="4006" w:type="dxa"/>
          </w:tcPr>
          <w:p w:rsidR="005D0EBA" w:rsidRDefault="005D0EBA" w:rsidP="00992664">
            <w:pPr>
              <w:pStyle w:val="libFootnote0"/>
              <w:rPr>
                <w:rtl/>
              </w:rPr>
            </w:pPr>
            <w:r>
              <w:rPr>
                <w:rtl/>
              </w:rPr>
              <w:t xml:space="preserve">(2). </w:t>
            </w:r>
            <w:r w:rsidR="00CA522E">
              <w:rPr>
                <w:rtl/>
              </w:rPr>
              <w:t>في «ى»: «</w:t>
            </w:r>
            <w:r w:rsidRPr="00020424">
              <w:rPr>
                <w:rtl/>
              </w:rPr>
              <w:t>أعطيتهم</w:t>
            </w:r>
            <w:r>
              <w:rPr>
                <w:rtl/>
              </w:rPr>
              <w:t>».</w:t>
            </w:r>
            <w:r w:rsidRPr="00020424">
              <w:rPr>
                <w:rtl/>
              </w:rPr>
              <w:t xml:space="preserve">وفي </w:t>
            </w:r>
            <w:r w:rsidRPr="0012008A">
              <w:rPr>
                <w:rStyle w:val="libFootnoteBoldChar"/>
                <w:rtl/>
              </w:rPr>
              <w:t>الفقيه</w:t>
            </w:r>
            <w:r w:rsidR="00CA522E">
              <w:rPr>
                <w:rtl/>
              </w:rPr>
              <w:t>:+</w:t>
            </w:r>
            <w:r w:rsidRPr="00020424">
              <w:rPr>
                <w:rtl/>
              </w:rPr>
              <w:t>« بعد ذلك</w:t>
            </w:r>
            <w:r>
              <w:rPr>
                <w:rtl/>
              </w:rPr>
              <w:t xml:space="preserve"> ».</w:t>
            </w:r>
          </w:p>
        </w:tc>
      </w:tr>
    </w:tbl>
    <w:p w:rsidR="00992664" w:rsidRPr="00020424" w:rsidRDefault="00795177" w:rsidP="00CA522E">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47 ، ح 1665 ، معلّقاً عن مصادف ، مع اختلاف يسير </w:t>
      </w:r>
      <w:r w:rsidR="00CA522E">
        <w:rPr>
          <w:rFonts w:hint="cs"/>
          <w:rtl/>
        </w:rPr>
        <w:t>.</w:t>
      </w:r>
      <w:r w:rsidR="00992664" w:rsidRPr="0012008A">
        <w:rPr>
          <w:rStyle w:val="libFootnoteBoldChar"/>
          <w:rtl/>
        </w:rPr>
        <w:t>الوافي</w:t>
      </w:r>
      <w:r w:rsidR="00992664" w:rsidRPr="00020424">
        <w:rPr>
          <w:rtl/>
        </w:rPr>
        <w:t xml:space="preserve"> ، ج 10 ، ص 383 ، ح 9728 ؛ </w:t>
      </w:r>
      <w:r w:rsidR="00992664" w:rsidRPr="0012008A">
        <w:rPr>
          <w:rStyle w:val="libFootnoteBoldChar"/>
          <w:rtl/>
        </w:rPr>
        <w:t>الوسائل</w:t>
      </w:r>
      <w:r w:rsidR="00992664" w:rsidRPr="00020424">
        <w:rPr>
          <w:rtl/>
        </w:rPr>
        <w:t xml:space="preserve"> ، ج 9 ، ص 202 ، ح 11804.</w:t>
      </w:r>
      <w:r w:rsidR="00CA522E">
        <w:rPr>
          <w:rFonts w:hint="cs"/>
          <w:rtl/>
        </w:rPr>
        <w:t xml:space="preserve"> </w:t>
      </w:r>
      <w:r>
        <w:rPr>
          <w:rtl/>
        </w:rPr>
        <w:t>(4).</w:t>
      </w:r>
      <w:r w:rsidR="00CA522E">
        <w:rPr>
          <w:rtl/>
        </w:rPr>
        <w:t>في«بخ،بر،بف»:«</w:t>
      </w:r>
      <w:r w:rsidR="00992664" w:rsidRPr="00020424">
        <w:rPr>
          <w:rtl/>
        </w:rPr>
        <w:t>عن أحمد بن محمّد بن أبي نصر</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تفسير العيّاشي : + « الرضا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بث ، بخ ، بر ، بف » </w:t>
      </w:r>
      <w:r w:rsidR="00992664" w:rsidRPr="00CA522E">
        <w:rPr>
          <w:rtl/>
        </w:rPr>
        <w:t>والوافي</w:t>
      </w:r>
      <w:r w:rsidR="00992664" w:rsidRPr="00020424">
        <w:rPr>
          <w:rtl/>
        </w:rPr>
        <w:t>. وفي سائر النسخ والمطبوع : « 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 « الجذاذ والحصاد</w:t>
      </w:r>
      <w:r w:rsidR="00992664">
        <w:rPr>
          <w:rtl/>
        </w:rPr>
        <w:t xml:space="preserve"> ».</w:t>
      </w:r>
      <w:r w:rsidR="00992664" w:rsidRPr="00020424">
        <w:rPr>
          <w:rtl/>
        </w:rPr>
        <w:t xml:space="preserve"> وفي « ى ، بث ، بح ، بر ، بف ، جن » </w:t>
      </w:r>
      <w:r w:rsidR="00992664" w:rsidRPr="00EB1FD9">
        <w:rPr>
          <w:rStyle w:val="libFootnoteBoldChar"/>
          <w:rtl/>
        </w:rPr>
        <w:t>والوسائل</w:t>
      </w:r>
      <w:r w:rsidR="00992664" w:rsidRPr="00020424">
        <w:rPr>
          <w:rtl/>
        </w:rPr>
        <w:t xml:space="preserve"> وتفسير العيّاشي : « والجذاذ</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522E" w:rsidTr="00CA522E">
        <w:tc>
          <w:tcPr>
            <w:tcW w:w="4006" w:type="dxa"/>
          </w:tcPr>
          <w:p w:rsidR="00CA522E" w:rsidRDefault="00CA522E" w:rsidP="00992664">
            <w:pPr>
              <w:pStyle w:val="libFootnote0"/>
              <w:rPr>
                <w:rtl/>
              </w:rPr>
            </w:pPr>
            <w:r>
              <w:rPr>
                <w:rtl/>
              </w:rPr>
              <w:t xml:space="preserve">(8). </w:t>
            </w:r>
            <w:r w:rsidRPr="00020424">
              <w:rPr>
                <w:rtl/>
              </w:rPr>
              <w:t>في « ى » : « أن يتصدّق</w:t>
            </w:r>
            <w:r>
              <w:rPr>
                <w:rtl/>
              </w:rPr>
              <w:t xml:space="preserve"> ».</w:t>
            </w:r>
          </w:p>
        </w:tc>
        <w:tc>
          <w:tcPr>
            <w:tcW w:w="4006" w:type="dxa"/>
          </w:tcPr>
          <w:p w:rsidR="00CA522E" w:rsidRDefault="00CA522E" w:rsidP="00992664">
            <w:pPr>
              <w:pStyle w:val="libFootnote0"/>
              <w:rPr>
                <w:rtl/>
              </w:rPr>
            </w:pPr>
            <w:r>
              <w:rPr>
                <w:rtl/>
              </w:rPr>
              <w:t>(9). في قرب الإسناد : «حصد شي‌ء</w:t>
            </w:r>
            <w:r w:rsidRPr="00020424">
              <w:rPr>
                <w:rtl/>
              </w:rPr>
              <w:t>» بدل « شيئاً</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 « يصدّق</w:t>
      </w:r>
      <w:r w:rsidR="00992664">
        <w:rPr>
          <w:rtl/>
        </w:rPr>
        <w:t xml:space="preserve"> ».</w:t>
      </w:r>
      <w:r w:rsidR="00992664" w:rsidRPr="00020424">
        <w:rPr>
          <w:rtl/>
        </w:rPr>
        <w:t xml:space="preserve"> وفي « بر » </w:t>
      </w:r>
      <w:r w:rsidR="00992664" w:rsidRPr="00CA522E">
        <w:rPr>
          <w:rtl/>
        </w:rPr>
        <w:t>وقرب الإسناد</w:t>
      </w:r>
      <w:r w:rsidR="00992664" w:rsidRPr="00020424">
        <w:rPr>
          <w:rtl/>
        </w:rPr>
        <w:t xml:space="preserve"> وتفسير العيّاشي : « تصدّق</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w:t>
      </w:r>
      <w:r w:rsidR="00992664" w:rsidRPr="00CA522E">
        <w:rPr>
          <w:rtl/>
        </w:rPr>
        <w:t>وقرب الإسناد</w:t>
      </w:r>
      <w:r w:rsidR="00992664" w:rsidRPr="00020424">
        <w:rPr>
          <w:rtl/>
        </w:rPr>
        <w:t xml:space="preserve"> : « أعطه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DE76B9">
        <w:rPr>
          <w:rStyle w:val="libFootnoteBoldChar"/>
          <w:rtl/>
        </w:rPr>
        <w:t>قرب الإسناد</w:t>
      </w:r>
      <w:r w:rsidR="00992664" w:rsidRPr="00020424">
        <w:rPr>
          <w:rtl/>
        </w:rPr>
        <w:t xml:space="preserve"> ، ص 367 ، ح 1316 ، عن أحمد بن محمّد ، عن أحمد بن محمّد بن أبي نصر ، مع زيادة. </w:t>
      </w:r>
      <w:r w:rsidR="00992664" w:rsidRPr="00DE76B9">
        <w:rPr>
          <w:rStyle w:val="libFootnoteBoldChar"/>
          <w:rtl/>
        </w:rPr>
        <w:t>تفسير العيّاشي</w:t>
      </w:r>
      <w:r w:rsidR="00992664" w:rsidRPr="00020424">
        <w:rPr>
          <w:rtl/>
        </w:rPr>
        <w:t xml:space="preserve"> ، ج 1 ، ص 379 ، ح 106 ، عن أحمد بن محمّد ، عن أبي الحسن الرضا </w:t>
      </w:r>
      <w:r w:rsidR="00992664" w:rsidRPr="00D64ADA">
        <w:rPr>
          <w:rStyle w:val="libFootnoteAlaemChar"/>
          <w:rtl/>
        </w:rPr>
        <w:t>عليه‌السلام</w:t>
      </w:r>
      <w:r w:rsidR="00992664" w:rsidRPr="00020424">
        <w:rPr>
          <w:rtl/>
        </w:rPr>
        <w:t xml:space="preserve"> ، من قوله : « من الإسراف في الحصاد » مع اختلاف يسير </w:t>
      </w:r>
      <w:r w:rsidR="00CA522E">
        <w:rPr>
          <w:rFonts w:hint="cs"/>
          <w:rtl/>
        </w:rPr>
        <w:t>.</w:t>
      </w:r>
      <w:r w:rsidR="00992664" w:rsidRPr="0012008A">
        <w:rPr>
          <w:rStyle w:val="libFootnoteBoldChar"/>
          <w:rtl/>
        </w:rPr>
        <w:t>الوافي</w:t>
      </w:r>
      <w:r w:rsidR="00992664" w:rsidRPr="00020424">
        <w:rPr>
          <w:rtl/>
        </w:rPr>
        <w:t xml:space="preserve"> ، ج 10 ، ص 383 ، ح 9729 ؛ </w:t>
      </w:r>
      <w:r w:rsidR="00992664" w:rsidRPr="0012008A">
        <w:rPr>
          <w:rStyle w:val="libFootnoteBoldChar"/>
          <w:rtl/>
        </w:rPr>
        <w:t>الوسائل</w:t>
      </w:r>
      <w:r w:rsidR="00992664" w:rsidRPr="00020424">
        <w:rPr>
          <w:rtl/>
        </w:rPr>
        <w:t xml:space="preserve"> ، ج 9 ، ص 202 ، ح 11842.</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51" w:name="_Toc345172767"/>
      <w:bookmarkStart w:id="152" w:name="_Toc464562583"/>
      <w:bookmarkStart w:id="153" w:name="_Toc44599886"/>
      <w:r w:rsidRPr="00020424">
        <w:rPr>
          <w:rtl/>
          <w:lang w:bidi="fa-IR"/>
        </w:rPr>
        <w:lastRenderedPageBreak/>
        <w:t>46</w:t>
      </w:r>
      <w:r>
        <w:rPr>
          <w:rtl/>
          <w:lang w:bidi="fa-IR"/>
        </w:rPr>
        <w:t xml:space="preserve"> </w:t>
      </w:r>
      <w:r w:rsidR="009B673F">
        <w:rPr>
          <w:rtl/>
          <w:lang w:bidi="fa-IR"/>
        </w:rPr>
        <w:t>-</w:t>
      </w:r>
      <w:r>
        <w:rPr>
          <w:rtl/>
          <w:lang w:bidi="fa-IR"/>
        </w:rPr>
        <w:t xml:space="preserve"> </w:t>
      </w:r>
      <w:r w:rsidRPr="00020424">
        <w:rPr>
          <w:rtl/>
          <w:lang w:bidi="fa-IR"/>
        </w:rPr>
        <w:t>بَابُ صَدَقَةِ أَهْلِ الْجِزْيَةِ‌</w:t>
      </w:r>
      <w:bookmarkEnd w:id="151"/>
      <w:bookmarkEnd w:id="152"/>
      <w:bookmarkEnd w:id="153"/>
    </w:p>
    <w:p w:rsidR="00992664" w:rsidRPr="00020424" w:rsidRDefault="00992664" w:rsidP="00992664">
      <w:pPr>
        <w:pStyle w:val="libNormal"/>
        <w:rPr>
          <w:rtl/>
          <w:lang w:bidi="fa-IR"/>
        </w:rPr>
      </w:pPr>
      <w:r w:rsidRPr="00F13A9C">
        <w:rPr>
          <w:rtl/>
        </w:rPr>
        <w:t>5990</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(1)</w:t>
      </w:r>
      <w:r w:rsidRPr="00020424">
        <w:rPr>
          <w:rtl/>
          <w:lang w:bidi="fa-IR"/>
        </w:rPr>
        <w:t xml:space="preserve"> ، عَنْ حَرِيزٍ ، عَنْ زُرَارَةَ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حَدُّ الْجِزْيَةِّ </w:t>
      </w:r>
      <w:r w:rsidRPr="00A91B96">
        <w:rPr>
          <w:rStyle w:val="libFootnotenumChar"/>
          <w:rtl/>
        </w:rPr>
        <w:t>(2)</w:t>
      </w:r>
      <w:r w:rsidRPr="00020424">
        <w:rPr>
          <w:rtl/>
          <w:lang w:bidi="fa-IR"/>
        </w:rPr>
        <w:t xml:space="preserve"> عَلى أَهْلِ الْكِتَابِ</w:t>
      </w:r>
      <w:r>
        <w:rPr>
          <w:rtl/>
          <w:lang w:bidi="fa-IR"/>
        </w:rPr>
        <w:t>؟</w:t>
      </w:r>
      <w:r w:rsidRPr="00020424">
        <w:rPr>
          <w:rtl/>
          <w:lang w:bidi="fa-IR"/>
        </w:rPr>
        <w:t xml:space="preserve"> وَهَلْ عَلَيْهِمْ فِي ذلِكَ شَيْ‌ءٌ مُوَظَّفٌ </w:t>
      </w:r>
      <w:r w:rsidRPr="00A91B96">
        <w:rPr>
          <w:rStyle w:val="libFootnotenumChar"/>
          <w:rtl/>
        </w:rPr>
        <w:t>(3)</w:t>
      </w:r>
      <w:r w:rsidRPr="00F13A9C">
        <w:rPr>
          <w:rFonts w:hint="cs"/>
          <w:rtl/>
        </w:rPr>
        <w:t xml:space="preserve"> </w:t>
      </w:r>
      <w:r w:rsidRPr="00020424">
        <w:rPr>
          <w:rtl/>
          <w:lang w:bidi="fa-IR"/>
        </w:rPr>
        <w:t xml:space="preserve">لَايَنْبَغِي أَنْ يَجُوزُوا </w:t>
      </w:r>
      <w:r w:rsidRPr="00A91B96">
        <w:rPr>
          <w:rStyle w:val="libFootnotenumChar"/>
          <w:rtl/>
        </w:rPr>
        <w:t>(4)</w:t>
      </w:r>
      <w:r w:rsidRPr="00020424">
        <w:rPr>
          <w:rtl/>
          <w:lang w:bidi="fa-IR"/>
        </w:rPr>
        <w:t xml:space="preserve"> إِلى غَيْرِهِ</w:t>
      </w:r>
      <w:r>
        <w:rPr>
          <w:rtl/>
          <w:lang w:bidi="fa-IR"/>
        </w:rPr>
        <w:t>؟</w:t>
      </w:r>
    </w:p>
    <w:p w:rsidR="00992664" w:rsidRPr="00020424" w:rsidRDefault="00992664" w:rsidP="00992664">
      <w:pPr>
        <w:pStyle w:val="libNormal"/>
        <w:rPr>
          <w:rtl/>
          <w:lang w:bidi="fa-IR"/>
        </w:rPr>
      </w:pPr>
      <w:r w:rsidRPr="00020424">
        <w:rPr>
          <w:rtl/>
          <w:lang w:bidi="fa-IR"/>
        </w:rPr>
        <w:t xml:space="preserve">فَقَالَ : « ذَاكَ </w:t>
      </w:r>
      <w:r w:rsidRPr="00A91B96">
        <w:rPr>
          <w:rStyle w:val="libFootnotenumChar"/>
          <w:rtl/>
        </w:rPr>
        <w:t>(5)</w:t>
      </w:r>
      <w:r w:rsidRPr="00020424">
        <w:rPr>
          <w:rtl/>
          <w:lang w:bidi="fa-IR"/>
        </w:rPr>
        <w:t xml:space="preserve"> إِلَى الْإِمَامِ ، يَأْخُذُ </w:t>
      </w:r>
      <w:r w:rsidRPr="00A91B96">
        <w:rPr>
          <w:rStyle w:val="libFootnotenumChar"/>
          <w:rtl/>
        </w:rPr>
        <w:t>(6)</w:t>
      </w:r>
      <w:r w:rsidRPr="00020424">
        <w:rPr>
          <w:rtl/>
          <w:lang w:bidi="fa-IR"/>
        </w:rPr>
        <w:t xml:space="preserve"> مِنْ كُلِّ إِنْسَانٍ مِنْهُمْ مَا شَاءَ </w:t>
      </w:r>
      <w:r w:rsidRPr="00A91B96">
        <w:rPr>
          <w:rStyle w:val="libFootnotenumChar"/>
          <w:rtl/>
        </w:rPr>
        <w:t>(7)</w:t>
      </w:r>
      <w:r w:rsidRPr="00020424">
        <w:rPr>
          <w:rtl/>
          <w:lang w:bidi="fa-IR"/>
        </w:rPr>
        <w:t xml:space="preserve"> عَلى قَدْرِ مَالِهِ بِمَا يُطِيقُ </w:t>
      </w:r>
      <w:r w:rsidRPr="00A91B96">
        <w:rPr>
          <w:rStyle w:val="libFootnotenumChar"/>
          <w:rtl/>
        </w:rPr>
        <w:t>(8)</w:t>
      </w:r>
      <w:r w:rsidRPr="00020424">
        <w:rPr>
          <w:rtl/>
          <w:lang w:bidi="fa-IR"/>
        </w:rPr>
        <w:t xml:space="preserve"> ، إِنَّمَا هُمْ قَوْمٌ فَدَوْا أَنْفُسَهُمْ مِنْ أَنْ يُسْتَعْبَدُوا </w:t>
      </w:r>
      <w:r w:rsidRPr="00A91B96">
        <w:rPr>
          <w:rStyle w:val="libFootnotenumChar"/>
          <w:rtl/>
        </w:rPr>
        <w:t>(9)</w:t>
      </w:r>
      <w:r w:rsidRPr="00020424">
        <w:rPr>
          <w:rtl/>
          <w:lang w:bidi="fa-IR"/>
        </w:rPr>
        <w:t xml:space="preserve"> أَوْ يُقْتَلُوا </w:t>
      </w:r>
      <w:r w:rsidRPr="00A91B96">
        <w:rPr>
          <w:rStyle w:val="libFootnotenumChar"/>
          <w:rtl/>
        </w:rPr>
        <w:t>(10)</w:t>
      </w:r>
      <w:r w:rsidRPr="00020424">
        <w:rPr>
          <w:rtl/>
          <w:lang w:bidi="fa-IR"/>
        </w:rPr>
        <w:t xml:space="preserve"> ، فَالْجِزْيَةُ تُؤْخَذُ </w:t>
      </w:r>
      <w:r w:rsidRPr="00A91B96">
        <w:rPr>
          <w:rStyle w:val="libFootnotenumChar"/>
          <w:rtl/>
        </w:rPr>
        <w:t>(11)</w:t>
      </w:r>
      <w:r w:rsidRPr="00020424">
        <w:rPr>
          <w:rtl/>
          <w:lang w:bidi="fa-IR"/>
        </w:rPr>
        <w:t xml:space="preserve"> مِنْهُمْ عَلى قَدْرِ </w:t>
      </w:r>
      <w:r w:rsidRPr="00A91B96">
        <w:rPr>
          <w:rStyle w:val="libFootnotenumChar"/>
          <w:rtl/>
        </w:rPr>
        <w:t>(12)</w:t>
      </w:r>
      <w:r w:rsidRPr="00020424">
        <w:rPr>
          <w:rtl/>
          <w:lang w:bidi="fa-IR"/>
        </w:rPr>
        <w:t xml:space="preserve"> مَا يُطِيقُونَ لَهُ أَنْ يَأْخُذَهُمْ </w:t>
      </w:r>
      <w:r w:rsidRPr="00A91B96">
        <w:rPr>
          <w:rStyle w:val="libFootnotenumChar"/>
          <w:rtl/>
        </w:rPr>
        <w:t>(13)</w:t>
      </w:r>
      <w:r w:rsidRPr="00020424">
        <w:rPr>
          <w:rtl/>
          <w:lang w:bidi="fa-IR"/>
        </w:rPr>
        <w:t xml:space="preserve"> بِهِ </w:t>
      </w:r>
      <w:r w:rsidRPr="00A91B96">
        <w:rPr>
          <w:rStyle w:val="libFootnotenumChar"/>
          <w:rtl/>
        </w:rPr>
        <w:t>(14)</w:t>
      </w:r>
      <w:r w:rsidRPr="00020424">
        <w:rPr>
          <w:rtl/>
          <w:lang w:bidi="fa-IR"/>
        </w:rPr>
        <w:t xml:space="preserve"> حَتّى يُسْلِمُوا ، فَإِنَّ </w:t>
      </w:r>
      <w:r w:rsidRPr="00A91B96">
        <w:rPr>
          <w:rStyle w:val="libFootnotenumChar"/>
          <w:rtl/>
        </w:rPr>
        <w:t>(15)</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قال الجوهري : « الجزية : ما يؤخذ من أهل الذمّة » ، وقال ابن الأثير : « هي عبارة عن المال الذي يُعقَد للكتابيّ‌عليه الذمّة ، وهي فِعْلة من الجزاء ، كأنّها جزت عن قتله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2302 ؛ </w:t>
      </w:r>
      <w:r w:rsidR="00992664" w:rsidRPr="0012008A">
        <w:rPr>
          <w:rStyle w:val="libFootnoteBoldChar"/>
          <w:rtl/>
        </w:rPr>
        <w:t>النهاية</w:t>
      </w:r>
      <w:r w:rsidR="00992664" w:rsidRPr="00020424">
        <w:rPr>
          <w:rtl/>
        </w:rPr>
        <w:t xml:space="preserve"> ، ج 1 ، ص 271 ( جزا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تفسير القمّي : « يوصف</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بح ، بر ، بس ، بف » وحاشية « ظ » </w:t>
      </w:r>
      <w:r w:rsidR="00992664" w:rsidRPr="00A05922">
        <w:rPr>
          <w:rtl/>
        </w:rPr>
        <w:t>والوافي والوسائل والفقيه وتفسير القمّي</w:t>
      </w:r>
      <w:r w:rsidR="00992664" w:rsidRPr="00020424">
        <w:rPr>
          <w:rtl/>
        </w:rPr>
        <w:t xml:space="preserve"> : « أن يجوز</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w:t>
      </w:r>
      <w:r w:rsidR="00992664" w:rsidRPr="00CA522E">
        <w:rPr>
          <w:rtl/>
        </w:rPr>
        <w:t xml:space="preserve">والوافي </w:t>
      </w:r>
      <w:r w:rsidR="00992664" w:rsidRPr="00EB1FD9">
        <w:rPr>
          <w:rStyle w:val="libFootnoteBoldChar"/>
          <w:rtl/>
        </w:rPr>
        <w:t>والوسائل</w:t>
      </w:r>
      <w:r w:rsidR="00992664" w:rsidRPr="00CA522E">
        <w:rPr>
          <w:rtl/>
        </w:rPr>
        <w:t xml:space="preserve"> </w:t>
      </w:r>
      <w:r w:rsidR="00992664" w:rsidRPr="00FD6221">
        <w:rPr>
          <w:rStyle w:val="libFootnoteBoldChar"/>
          <w:rtl/>
        </w:rPr>
        <w:t>والفقيه</w:t>
      </w:r>
      <w:r w:rsidR="00992664" w:rsidRPr="00CA522E">
        <w:rPr>
          <w:rtl/>
        </w:rPr>
        <w:t xml:space="preserve"> والتهذيب </w:t>
      </w:r>
      <w:r w:rsidR="00992664" w:rsidRPr="00FD6221">
        <w:rPr>
          <w:rStyle w:val="libFootnoteBoldChar"/>
          <w:rtl/>
        </w:rPr>
        <w:t>والاستبصار</w:t>
      </w:r>
      <w:r w:rsidR="00992664" w:rsidRPr="00020424">
        <w:rPr>
          <w:rtl/>
        </w:rPr>
        <w:t xml:space="preserve"> : « ذلك</w:t>
      </w:r>
      <w:r w:rsidR="00992664">
        <w:rPr>
          <w:rtl/>
        </w:rPr>
        <w:t xml:space="preserve"> ».</w:t>
      </w:r>
    </w:p>
    <w:p w:rsidR="00992664" w:rsidRPr="00020424" w:rsidRDefault="00795177" w:rsidP="00CA522E">
      <w:pPr>
        <w:pStyle w:val="libFootnote0"/>
        <w:rPr>
          <w:rtl/>
          <w:lang w:bidi="fa-IR"/>
        </w:rPr>
      </w:pPr>
      <w:r>
        <w:rPr>
          <w:rtl/>
        </w:rPr>
        <w:t>(6).</w:t>
      </w:r>
      <w:r w:rsidR="0014403D">
        <w:rPr>
          <w:rtl/>
        </w:rPr>
        <w:t xml:space="preserve"> </w:t>
      </w:r>
      <w:r w:rsidR="00992664" w:rsidRPr="00020424">
        <w:rPr>
          <w:rtl/>
        </w:rPr>
        <w:t xml:space="preserve">هكذا في « غ ، بح ، بخ ، بر ، بس ، بف » </w:t>
      </w:r>
      <w:r w:rsidR="00992664" w:rsidRPr="00CA522E">
        <w:rPr>
          <w:rtl/>
        </w:rPr>
        <w:t xml:space="preserve">والوافي </w:t>
      </w:r>
      <w:r w:rsidR="00992664" w:rsidRPr="00EB1FD9">
        <w:rPr>
          <w:rStyle w:val="libFootnoteBoldChar"/>
          <w:rtl/>
        </w:rPr>
        <w:t>والوسائل</w:t>
      </w:r>
      <w:r w:rsidR="00992664" w:rsidRPr="00CA522E">
        <w:rPr>
          <w:rtl/>
        </w:rPr>
        <w:t xml:space="preserve"> 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sidRPr="00EB1FD9">
        <w:rPr>
          <w:rStyle w:val="libFootnoteBoldChar"/>
          <w:rtl/>
        </w:rPr>
        <w:t>وتفسير القمّي</w:t>
      </w:r>
      <w:r w:rsidR="00992664" w:rsidRPr="00020424">
        <w:rPr>
          <w:rtl/>
        </w:rPr>
        <w:t xml:space="preserve"> </w:t>
      </w:r>
      <w:r w:rsidR="00992664" w:rsidRPr="00DE3E80">
        <w:rPr>
          <w:rStyle w:val="libFootnoteBoldChar"/>
          <w:rtl/>
        </w:rPr>
        <w:t>والمقنعة</w:t>
      </w:r>
      <w:r w:rsidR="00992664" w:rsidRPr="00020424">
        <w:rPr>
          <w:rtl/>
        </w:rPr>
        <w:t>. وفي سائر النسخ والمطبوع : « أن يأخذ</w:t>
      </w:r>
      <w:r w:rsidR="00992664">
        <w:rPr>
          <w:rtl/>
        </w:rPr>
        <w:t xml:space="preserve"> ».</w:t>
      </w:r>
      <w:r w:rsidR="00CA522E">
        <w:rPr>
          <w:rFonts w:hint="cs"/>
          <w:rtl/>
        </w:rPr>
        <w:t xml:space="preserve">              </w:t>
      </w: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مايشاء</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غ » : « ما يطيقون</w:t>
      </w:r>
      <w:r w:rsidR="00992664">
        <w:rPr>
          <w:rtl/>
        </w:rPr>
        <w:t xml:space="preserve"> ».</w:t>
      </w:r>
      <w:r w:rsidR="00992664" w:rsidRPr="00020424">
        <w:rPr>
          <w:rtl/>
        </w:rPr>
        <w:t xml:space="preserve"> وفي « بر » </w:t>
      </w:r>
      <w:r w:rsidR="00992664" w:rsidRPr="00EB1FD9">
        <w:rPr>
          <w:rStyle w:val="libFootnoteBoldChar"/>
          <w:rtl/>
        </w:rPr>
        <w:t>والوسائل</w:t>
      </w:r>
      <w:r w:rsidR="00992664" w:rsidRPr="00020424">
        <w:rPr>
          <w:rtl/>
        </w:rPr>
        <w:t xml:space="preserve"> </w:t>
      </w:r>
      <w:r w:rsidR="00992664" w:rsidRPr="00EB1FD9">
        <w:rPr>
          <w:rStyle w:val="libFootnoteBoldChar"/>
          <w:rtl/>
        </w:rPr>
        <w:t>وتفسير القمّي</w:t>
      </w:r>
      <w:r w:rsidR="00992664" w:rsidRPr="00020424">
        <w:rPr>
          <w:rtl/>
        </w:rPr>
        <w:t xml:space="preserve"> : « ما يطيق</w:t>
      </w:r>
      <w:r w:rsidR="00992664">
        <w:rPr>
          <w:rtl/>
        </w:rPr>
        <w:t xml:space="preserve"> ».</w:t>
      </w:r>
      <w:r w:rsidR="00992664" w:rsidRPr="00020424">
        <w:rPr>
          <w:rtl/>
        </w:rPr>
        <w:t xml:space="preserve"> وفي </w:t>
      </w:r>
      <w:r w:rsidR="00992664" w:rsidRPr="00CA522E">
        <w:rPr>
          <w:rtl/>
        </w:rPr>
        <w:t>الوافي</w:t>
      </w:r>
      <w:r w:rsidR="00992664" w:rsidRPr="00020424">
        <w:rPr>
          <w:rtl/>
        </w:rPr>
        <w:t xml:space="preserve"> : « وما يطيق</w:t>
      </w:r>
      <w:r w:rsidR="00992664">
        <w:rPr>
          <w:rtl/>
        </w:rPr>
        <w:t xml:space="preserve"> ».</w:t>
      </w:r>
    </w:p>
    <w:p w:rsidR="00992664" w:rsidRPr="00020424" w:rsidRDefault="00795177" w:rsidP="00CA522E">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من أن لايستعبدوا</w:t>
      </w:r>
      <w:r w:rsidR="00992664">
        <w:rPr>
          <w:rtl/>
        </w:rPr>
        <w:t xml:space="preserve"> ».</w:t>
      </w:r>
      <w:r w:rsidR="00992664" w:rsidRPr="00020424">
        <w:rPr>
          <w:rtl/>
        </w:rPr>
        <w:t xml:space="preserve"> وفي هامش المطبوع عن الشيخ البهائي : « هكذا وجد في النسخ التي بين أظهرنا ، والصحيح : أن لايستعبدوا ، كما في </w:t>
      </w:r>
      <w:r w:rsidR="00992664" w:rsidRPr="0012008A">
        <w:rPr>
          <w:rStyle w:val="libFootnoteBoldChar"/>
          <w:rtl/>
        </w:rPr>
        <w:t>الفقيه</w:t>
      </w:r>
      <w:r w:rsidR="00992664" w:rsidRPr="00020424">
        <w:rPr>
          <w:rtl/>
        </w:rPr>
        <w:t xml:space="preserve"> ، ولعلّ ذلك على حذف المضاف ، كما في قوله تعالى : </w:t>
      </w:r>
      <w:r w:rsidR="00992664" w:rsidRPr="00CA522E">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يُبَيِّنُ اللهُ لَكُمْ أَنْ تَضِلُّوا </w:t>
      </w:r>
      <w:r w:rsidR="00992664" w:rsidRPr="00CA522E">
        <w:rPr>
          <w:rStyle w:val="libFootnoteAlaemChar"/>
          <w:rtl/>
        </w:rPr>
        <w:t>)</w:t>
      </w:r>
      <w:r w:rsidR="00992664" w:rsidRPr="00020424">
        <w:rPr>
          <w:rtl/>
        </w:rPr>
        <w:t xml:space="preserve"> [ النساء </w:t>
      </w:r>
      <w:r>
        <w:rPr>
          <w:rtl/>
        </w:rPr>
        <w:t>(4).</w:t>
      </w:r>
      <w:r w:rsidR="0014403D">
        <w:rPr>
          <w:rtl/>
        </w:rPr>
        <w:t xml:space="preserve"> </w:t>
      </w:r>
      <w:r w:rsidR="00992664" w:rsidRPr="00020424">
        <w:rPr>
          <w:rtl/>
        </w:rPr>
        <w:t>: 176 ] ، أي كراهة أن تضلّوا ، أو كلمة « لا » محذوفة ، أي لايستعبدوا ، أو كراهة أن يستعبدوا</w:t>
      </w:r>
      <w:r w:rsidR="00992664">
        <w:rPr>
          <w:rtl/>
        </w:rPr>
        <w:t xml:space="preserve"> ».</w:t>
      </w:r>
      <w:r w:rsidR="00A05922">
        <w:rPr>
          <w:rFonts w:hint="cs"/>
          <w:rtl/>
        </w:rPr>
        <w:t xml:space="preserve">                           </w:t>
      </w:r>
      <w:r w:rsidR="00CA522E">
        <w:rPr>
          <w:rFonts w:hint="cs"/>
          <w:rtl/>
        </w:rPr>
        <w:t xml:space="preserve">          </w:t>
      </w:r>
      <w:r>
        <w:rPr>
          <w:rtl/>
        </w:rPr>
        <w:t>(10).</w:t>
      </w:r>
      <w:r w:rsidR="0014403D">
        <w:rPr>
          <w:rtl/>
        </w:rPr>
        <w:t xml:space="preserve"> </w:t>
      </w:r>
      <w:r w:rsidR="00992664" w:rsidRPr="00020424">
        <w:rPr>
          <w:rtl/>
        </w:rPr>
        <w:t>في « بح » : « تقتلوا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522E" w:rsidTr="00CA522E">
        <w:tc>
          <w:tcPr>
            <w:tcW w:w="4006" w:type="dxa"/>
          </w:tcPr>
          <w:p w:rsidR="00CA522E" w:rsidRDefault="00CA522E" w:rsidP="00992664">
            <w:pPr>
              <w:pStyle w:val="libFootnote0"/>
              <w:rPr>
                <w:rtl/>
              </w:rPr>
            </w:pPr>
            <w:r>
              <w:rPr>
                <w:rtl/>
              </w:rPr>
              <w:t xml:space="preserve">(11). </w:t>
            </w:r>
            <w:r w:rsidRPr="00020424">
              <w:rPr>
                <w:rtl/>
              </w:rPr>
              <w:t xml:space="preserve">في « بر ، بف » </w:t>
            </w:r>
            <w:r w:rsidRPr="00FD6221">
              <w:rPr>
                <w:rStyle w:val="libFootnoteBoldChar"/>
                <w:rtl/>
              </w:rPr>
              <w:t>والفقيه</w:t>
            </w:r>
            <w:r w:rsidRPr="00020424">
              <w:rPr>
                <w:rtl/>
              </w:rPr>
              <w:t xml:space="preserve"> : « يؤخذ</w:t>
            </w:r>
            <w:r>
              <w:rPr>
                <w:rtl/>
              </w:rPr>
              <w:t xml:space="preserve"> ».</w:t>
            </w:r>
          </w:p>
        </w:tc>
        <w:tc>
          <w:tcPr>
            <w:tcW w:w="4006" w:type="dxa"/>
          </w:tcPr>
          <w:p w:rsidR="00CA522E" w:rsidRDefault="00CA522E" w:rsidP="00992664">
            <w:pPr>
              <w:pStyle w:val="libFootnote0"/>
              <w:rPr>
                <w:rtl/>
              </w:rPr>
            </w:pPr>
            <w:r>
              <w:rPr>
                <w:rtl/>
              </w:rPr>
              <w:t>(12). في تفسير القمّي وتفسير العيّاشي</w:t>
            </w:r>
            <w:r w:rsidRPr="00020424">
              <w:rPr>
                <w:rtl/>
              </w:rPr>
              <w:t>:</w:t>
            </w:r>
            <w:r>
              <w:rPr>
                <w:rtl/>
              </w:rPr>
              <w:t>-«</w:t>
            </w:r>
            <w:r w:rsidRPr="00020424">
              <w:rPr>
                <w:rtl/>
              </w:rPr>
              <w:t>على قدر</w:t>
            </w:r>
            <w:r>
              <w:rPr>
                <w:rtl/>
              </w:rPr>
              <w:t>».</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بح » </w:t>
      </w:r>
      <w:r w:rsidR="00992664" w:rsidRPr="00EB1FD9">
        <w:rPr>
          <w:rStyle w:val="libFootnoteBoldChar"/>
          <w:rtl/>
        </w:rPr>
        <w:t>وتفسير القمّي</w:t>
      </w:r>
      <w:r w:rsidR="00992664" w:rsidRPr="00020424">
        <w:rPr>
          <w:rtl/>
        </w:rPr>
        <w:t xml:space="preserve"> : « أن يأخذ منهم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522E" w:rsidTr="00CA522E">
        <w:tc>
          <w:tcPr>
            <w:tcW w:w="4006" w:type="dxa"/>
          </w:tcPr>
          <w:p w:rsidR="00CA522E" w:rsidRDefault="00CA522E" w:rsidP="00992664">
            <w:pPr>
              <w:pStyle w:val="libFootnote0"/>
              <w:rPr>
                <w:rtl/>
              </w:rPr>
            </w:pPr>
            <w:r>
              <w:rPr>
                <w:rtl/>
              </w:rPr>
              <w:t xml:space="preserve">(14). </w:t>
            </w:r>
            <w:r w:rsidRPr="00020424">
              <w:rPr>
                <w:rtl/>
              </w:rPr>
              <w:t>في تفسير القمّي وتفسير العيّاشي : « بها</w:t>
            </w:r>
            <w:r>
              <w:rPr>
                <w:rtl/>
              </w:rPr>
              <w:t xml:space="preserve"> ».</w:t>
            </w:r>
          </w:p>
        </w:tc>
        <w:tc>
          <w:tcPr>
            <w:tcW w:w="4006" w:type="dxa"/>
          </w:tcPr>
          <w:p w:rsidR="00CA522E" w:rsidRDefault="00CA522E" w:rsidP="00992664">
            <w:pPr>
              <w:pStyle w:val="libFootnote0"/>
              <w:rPr>
                <w:rtl/>
              </w:rPr>
            </w:pPr>
            <w:r>
              <w:rPr>
                <w:rtl/>
              </w:rPr>
              <w:t xml:space="preserve">(15). </w:t>
            </w:r>
            <w:r w:rsidRPr="00020424">
              <w:rPr>
                <w:rtl/>
              </w:rPr>
              <w:t xml:space="preserve">في </w:t>
            </w:r>
            <w:r w:rsidRPr="00CA522E">
              <w:rPr>
                <w:rtl/>
              </w:rPr>
              <w:t>الوافي</w:t>
            </w:r>
            <w:r w:rsidRPr="00020424">
              <w:rPr>
                <w:rtl/>
              </w:rPr>
              <w:t xml:space="preserve"> : « إنّ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52273D">
      <w:pPr>
        <w:pStyle w:val="libNormal0"/>
        <w:rPr>
          <w:rtl/>
          <w:lang w:bidi="fa-IR"/>
        </w:rPr>
      </w:pPr>
      <w:r w:rsidRPr="00020424">
        <w:rPr>
          <w:rtl/>
          <w:lang w:bidi="fa-IR"/>
        </w:rPr>
        <w:lastRenderedPageBreak/>
        <w:t xml:space="preserve">قَالَ : </w:t>
      </w:r>
      <w:r w:rsidRPr="00005A81">
        <w:rPr>
          <w:rStyle w:val="libAlaemChar"/>
          <w:rtl/>
        </w:rPr>
        <w:t>(</w:t>
      </w:r>
      <w:r w:rsidRPr="004E5AB4">
        <w:rPr>
          <w:rStyle w:val="libAieChar"/>
          <w:rtl/>
        </w:rPr>
        <w:t xml:space="preserve"> حَتّى يُعْطُوا الْجِزْيَةَ عَنْ يَدٍ وَهُمْ صاغِرُونَ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وَكَيْفَ يَكُونُ صَاغِراً وَهُوَ </w:t>
      </w:r>
      <w:r w:rsidRPr="00A91B96">
        <w:rPr>
          <w:rStyle w:val="libFootnotenumChar"/>
          <w:rtl/>
        </w:rPr>
        <w:t>(2)</w:t>
      </w:r>
      <w:r w:rsidRPr="00020424">
        <w:rPr>
          <w:rtl/>
          <w:lang w:bidi="fa-IR"/>
        </w:rPr>
        <w:t xml:space="preserve"> لَايَكْتَرِثُ</w:t>
      </w:r>
      <w:r w:rsidRPr="00A91B96">
        <w:rPr>
          <w:rStyle w:val="libFootnotenumChar"/>
          <w:rtl/>
        </w:rPr>
        <w:t>(3)</w:t>
      </w:r>
      <w:r w:rsidRPr="00020424">
        <w:rPr>
          <w:rtl/>
          <w:lang w:bidi="fa-IR"/>
        </w:rPr>
        <w:t xml:space="preserve"> لِمَا يُؤْخَذُ مِنْهُ </w:t>
      </w:r>
      <w:r w:rsidRPr="00A91B96">
        <w:rPr>
          <w:rStyle w:val="libFootnotenumChar"/>
          <w:rtl/>
        </w:rPr>
        <w:t>(4)</w:t>
      </w:r>
      <w:r w:rsidRPr="00020424">
        <w:rPr>
          <w:rtl/>
          <w:lang w:bidi="fa-IR"/>
        </w:rPr>
        <w:t xml:space="preserve"> حَتّى يَجِدَ </w:t>
      </w:r>
      <w:r w:rsidRPr="00A91B96">
        <w:rPr>
          <w:rStyle w:val="libFootnotenumChar"/>
          <w:rtl/>
        </w:rPr>
        <w:t>(5)</w:t>
      </w:r>
      <w:r w:rsidR="0052273D">
        <w:rPr>
          <w:rtl/>
          <w:lang w:bidi="fa-IR"/>
        </w:rPr>
        <w:t xml:space="preserve"> ذُل</w:t>
      </w:r>
      <w:r w:rsidR="0052273D">
        <w:rPr>
          <w:rFonts w:hint="cs"/>
          <w:rtl/>
          <w:lang w:bidi="fa-IR"/>
        </w:rPr>
        <w:t>َّ</w:t>
      </w:r>
      <w:r w:rsidR="0052273D">
        <w:rPr>
          <w:rtl/>
          <w:lang w:bidi="fa-IR"/>
        </w:rPr>
        <w:t>ا</w:t>
      </w:r>
      <w:r w:rsidRPr="00020424">
        <w:rPr>
          <w:rtl/>
          <w:lang w:bidi="fa-IR"/>
        </w:rPr>
        <w:t xml:space="preserve"> لِمَا أُخِذَ </w:t>
      </w:r>
      <w:r w:rsidRPr="00A91B96">
        <w:rPr>
          <w:rStyle w:val="libFootnotenumChar"/>
          <w:rtl/>
        </w:rPr>
        <w:t>(6)</w:t>
      </w:r>
      <w:r w:rsidRPr="00020424">
        <w:rPr>
          <w:rtl/>
          <w:lang w:bidi="fa-IR"/>
        </w:rPr>
        <w:t xml:space="preserve"> مِنْهُ ، فَيَأْلَمَ </w:t>
      </w:r>
      <w:r w:rsidRPr="00A91B96">
        <w:rPr>
          <w:rStyle w:val="libFootnotenumChar"/>
          <w:rtl/>
        </w:rPr>
        <w:t>(7)</w:t>
      </w:r>
      <w:r w:rsidRPr="00020424">
        <w:rPr>
          <w:rtl/>
          <w:lang w:bidi="fa-IR"/>
        </w:rPr>
        <w:t xml:space="preserve"> لِذلِكَ ، فَيُسْلِمَ</w:t>
      </w:r>
      <w:r>
        <w:rPr>
          <w:rtl/>
          <w:lang w:bidi="fa-IR"/>
        </w:rPr>
        <w:t xml:space="preserve"> ».</w:t>
      </w:r>
    </w:p>
    <w:p w:rsidR="00992664" w:rsidRPr="00020424" w:rsidRDefault="0052273D" w:rsidP="00992664">
      <w:pPr>
        <w:pStyle w:val="libNormal"/>
        <w:rPr>
          <w:rtl/>
          <w:lang w:bidi="fa-IR"/>
        </w:rPr>
      </w:pPr>
      <w:r>
        <w:rPr>
          <w:rFonts w:hint="cs"/>
          <w:rtl/>
          <w:lang w:bidi="fa-IR"/>
        </w:rPr>
        <w:t xml:space="preserve">قَالَ </w:t>
      </w:r>
      <w:r w:rsidRPr="0052273D">
        <w:rPr>
          <w:rStyle w:val="libFootnotenumChar"/>
          <w:rFonts w:hint="cs"/>
          <w:rtl/>
        </w:rPr>
        <w:t>(8)</w:t>
      </w:r>
      <w:r>
        <w:rPr>
          <w:rFonts w:hint="cs"/>
          <w:rtl/>
          <w:lang w:bidi="fa-IR"/>
        </w:rPr>
        <w:t xml:space="preserve"> : وَ قَالَ ابْنُ </w:t>
      </w:r>
      <w:r w:rsidR="00992664" w:rsidRPr="00020424">
        <w:rPr>
          <w:rtl/>
          <w:lang w:bidi="fa-IR"/>
        </w:rPr>
        <w:t xml:space="preserve">مُسْلِمٍ : قُلْتُ لِأَبِي عَبْدِ اللهِ </w:t>
      </w:r>
      <w:r w:rsidR="00992664" w:rsidRPr="00005A81">
        <w:rPr>
          <w:rStyle w:val="libAlaemChar"/>
          <w:rtl/>
        </w:rPr>
        <w:t>عليه‌السلام</w:t>
      </w:r>
      <w:r w:rsidR="00992664">
        <w:rPr>
          <w:rtl/>
          <w:lang w:bidi="fa-IR"/>
        </w:rPr>
        <w:t xml:space="preserve"> : أَ</w:t>
      </w:r>
      <w:r>
        <w:rPr>
          <w:rFonts w:hint="cs"/>
          <w:rtl/>
          <w:lang w:bidi="fa-IR"/>
        </w:rPr>
        <w:t xml:space="preserve"> </w:t>
      </w:r>
      <w:r w:rsidR="00992664" w:rsidRPr="00020424">
        <w:rPr>
          <w:rtl/>
          <w:lang w:bidi="fa-IR"/>
        </w:rPr>
        <w:t xml:space="preserve">رَأَيْتَ ، مَا يَأْخُذُ هؤُلَاءِ مِنْ هذَا </w:t>
      </w:r>
      <w:r w:rsidR="00992664" w:rsidRPr="00A91B96">
        <w:rPr>
          <w:rStyle w:val="libFootnotenumChar"/>
          <w:rtl/>
        </w:rPr>
        <w:t>(9)</w:t>
      </w:r>
      <w:r w:rsidR="00992664" w:rsidRPr="00020424">
        <w:rPr>
          <w:rtl/>
          <w:lang w:bidi="fa-IR"/>
        </w:rPr>
        <w:t xml:space="preserve"> الْخُمُسِ </w:t>
      </w:r>
      <w:r w:rsidR="00992664" w:rsidRPr="00A91B96">
        <w:rPr>
          <w:rStyle w:val="libFootnotenumChar"/>
          <w:rtl/>
        </w:rPr>
        <w:t>(10)</w:t>
      </w:r>
      <w:r w:rsidR="00992664" w:rsidRPr="00020424">
        <w:rPr>
          <w:rtl/>
          <w:lang w:bidi="fa-IR"/>
        </w:rPr>
        <w:t xml:space="preserve"> مِنْ أَرْضِ الْجِزْيَةِ ، وَيَأْخُذُ </w:t>
      </w:r>
      <w:r w:rsidR="00992664" w:rsidRPr="00A91B96">
        <w:rPr>
          <w:rStyle w:val="libFootnotenumChar"/>
          <w:rtl/>
        </w:rPr>
        <w:t>(11)</w:t>
      </w:r>
      <w:r w:rsidR="00992664" w:rsidRPr="00020424">
        <w:rPr>
          <w:rtl/>
          <w:lang w:bidi="fa-IR"/>
        </w:rPr>
        <w:t xml:space="preserve"> مِنَ الدَّهَاقِينِ </w:t>
      </w:r>
      <w:r w:rsidR="00992664" w:rsidRPr="00A91B96">
        <w:rPr>
          <w:rStyle w:val="libFootnotenumChar"/>
          <w:rtl/>
        </w:rPr>
        <w:t>(12)</w:t>
      </w:r>
      <w:r w:rsidR="00992664" w:rsidRPr="00020424">
        <w:rPr>
          <w:rtl/>
          <w:lang w:bidi="fa-IR"/>
        </w:rPr>
        <w:t xml:space="preserve"> جِزْيَةَ رُؤُوسِهِمْ</w:t>
      </w:r>
      <w:r w:rsidR="00992664">
        <w:rPr>
          <w:rtl/>
          <w:lang w:bidi="fa-IR"/>
        </w:rPr>
        <w:t>؟ أَ</w:t>
      </w:r>
      <w:r>
        <w:rPr>
          <w:rFonts w:hint="cs"/>
          <w:rtl/>
          <w:lang w:bidi="fa-IR"/>
        </w:rPr>
        <w:t xml:space="preserve"> </w:t>
      </w:r>
      <w:r w:rsidR="00992664" w:rsidRPr="00020424">
        <w:rPr>
          <w:rtl/>
          <w:lang w:bidi="fa-IR"/>
        </w:rPr>
        <w:t>مَا عَلَيْهِمْ فِي ذلِكَ شَيْ‌ءٌ مُوَظَّفٌ</w:t>
      </w:r>
      <w:r w:rsidR="00992664">
        <w:rPr>
          <w:rtl/>
          <w:lang w:bidi="fa-IR"/>
        </w:rPr>
        <w:t>؟</w:t>
      </w:r>
    </w:p>
    <w:p w:rsidR="00992664" w:rsidRPr="00020424" w:rsidRDefault="00992664" w:rsidP="00992664">
      <w:pPr>
        <w:pStyle w:val="libNormal"/>
        <w:rPr>
          <w:rtl/>
          <w:lang w:bidi="fa-IR"/>
        </w:rPr>
      </w:pPr>
      <w:r w:rsidRPr="00020424">
        <w:rPr>
          <w:rtl/>
          <w:lang w:bidi="fa-IR"/>
        </w:rPr>
        <w:t xml:space="preserve">فَقَالَ : « كَانَ عَلَيْهِمْ مَا أَجَازُوا عَلى أَنْفُسِهِمْ </w:t>
      </w:r>
      <w:r w:rsidRPr="00A91B96">
        <w:rPr>
          <w:rStyle w:val="libFootnotenumChar"/>
          <w:rtl/>
        </w:rPr>
        <w:t>(13)</w:t>
      </w:r>
      <w:r w:rsidRPr="00020424">
        <w:rPr>
          <w:rtl/>
          <w:lang w:bidi="fa-IR"/>
        </w:rPr>
        <w:t xml:space="preserve"> ، وَلَيْسَ لِلْإِمَامِ </w:t>
      </w:r>
      <w:r w:rsidRPr="00A91B96">
        <w:rPr>
          <w:rStyle w:val="libFootnotenumChar"/>
          <w:rtl/>
        </w:rPr>
        <w:t>(14)</w:t>
      </w:r>
      <w:r w:rsidRPr="00020424">
        <w:rPr>
          <w:rtl/>
          <w:lang w:bidi="fa-IR"/>
        </w:rPr>
        <w:t xml:space="preserve"> أَكْثَرُ مِنَ الْجِزْيَةِ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التوبة </w:t>
      </w:r>
      <w:r w:rsidR="0052273D">
        <w:rPr>
          <w:rtl/>
        </w:rPr>
        <w:t>(9)</w:t>
      </w:r>
      <w:r w:rsidR="0014403D">
        <w:rPr>
          <w:rtl/>
        </w:rPr>
        <w:t xml:space="preserve"> </w:t>
      </w:r>
      <w:r w:rsidR="00992664" w:rsidRPr="00020424">
        <w:rPr>
          <w:rtl/>
        </w:rPr>
        <w:t>: 29. وفي تفسير القمّي : + « قلت</w:t>
      </w:r>
      <w:r w:rsidR="00992664">
        <w:rPr>
          <w:rtl/>
        </w:rPr>
        <w:t xml:space="preserve"> ».</w:t>
      </w:r>
    </w:p>
    <w:p w:rsidR="00992664" w:rsidRPr="00020424" w:rsidRDefault="00992664" w:rsidP="00C368E8">
      <w:pPr>
        <w:pStyle w:val="libFootnote0"/>
        <w:rPr>
          <w:rtl/>
          <w:lang w:bidi="fa-IR"/>
        </w:rPr>
      </w:pPr>
      <w:r w:rsidRPr="00C368E8">
        <w:rPr>
          <w:rtl/>
        </w:rPr>
        <w:t xml:space="preserve">وفي </w:t>
      </w:r>
      <w:r w:rsidRPr="00DE76B9">
        <w:rPr>
          <w:rStyle w:val="libFootnoteBoldChar"/>
          <w:rtl/>
        </w:rPr>
        <w:t>مرآة العقول</w:t>
      </w:r>
      <w:r w:rsidRPr="00C368E8">
        <w:rPr>
          <w:rtl/>
        </w:rPr>
        <w:t xml:space="preserve"> ، ج 16 ، ص 119 : « قوله تعالى : </w:t>
      </w:r>
      <w:r w:rsidR="00C368E8" w:rsidRPr="00C368E8">
        <w:rPr>
          <w:rStyle w:val="libFootnoteAlaemChar"/>
          <w:rFonts w:hint="cs"/>
          <w:rtl/>
        </w:rPr>
        <w:t>(</w:t>
      </w:r>
      <w:r w:rsidRPr="00C368E8">
        <w:rPr>
          <w:rStyle w:val="libFootnoteAieChar"/>
          <w:rtl/>
        </w:rPr>
        <w:t xml:space="preserve"> ص</w:t>
      </w:r>
      <w:r w:rsidR="00C368E8" w:rsidRPr="00C368E8">
        <w:rPr>
          <w:rStyle w:val="libFootnoteAieChar"/>
          <w:rFonts w:hint="cs"/>
          <w:rtl/>
        </w:rPr>
        <w:t>َا</w:t>
      </w:r>
      <w:r w:rsidRPr="00C368E8">
        <w:rPr>
          <w:rStyle w:val="libFootnoteAieChar"/>
          <w:rtl/>
        </w:rPr>
        <w:t xml:space="preserve">غِرُونَ </w:t>
      </w:r>
      <w:r w:rsidR="00C368E8" w:rsidRPr="00C368E8">
        <w:rPr>
          <w:rStyle w:val="libFootnoteAlaemChar"/>
          <w:rFonts w:hint="cs"/>
          <w:rtl/>
        </w:rPr>
        <w:t>)</w:t>
      </w:r>
      <w:r w:rsidRPr="00C368E8">
        <w:rPr>
          <w:rtl/>
        </w:rPr>
        <w:t xml:space="preserve"> المشهور في تعريف الصغار أنّه التزام الجزية على ما يحكم به الإمام من غير أن تكون مقدّرة وإلزام أحكامنا عليهم. وقيل : هو أن يؤخذ الجزية من الذمّي قائماً والمسلم قاعد ، وقيل غير ذلك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هو</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الاكتراث : الاعتناء والمبالاة ، يقال : هو لايكترث لهذا الأمر ، أي يعبأ به ولا يبا</w:t>
      </w:r>
      <w:r w:rsidR="00C368E8">
        <w:rPr>
          <w:rtl/>
        </w:rPr>
        <w:t>ليه ولايعتني به. ولا تستعمل إل</w:t>
      </w:r>
      <w:r w:rsidR="00C368E8">
        <w:rPr>
          <w:rFonts w:hint="cs"/>
          <w:rtl/>
        </w:rPr>
        <w:t xml:space="preserve">ّا </w:t>
      </w:r>
      <w:r w:rsidR="00992664" w:rsidRPr="00020424">
        <w:rPr>
          <w:rtl/>
        </w:rPr>
        <w:t xml:space="preserve">في النفي ، ومجيئه في الإثبات شاذّ. راجع : </w:t>
      </w:r>
      <w:r w:rsidR="00992664" w:rsidRPr="0012008A">
        <w:rPr>
          <w:rStyle w:val="libFootnoteBoldChar"/>
          <w:rtl/>
        </w:rPr>
        <w:t>النهاية</w:t>
      </w:r>
      <w:r w:rsidR="00992664" w:rsidRPr="00020424">
        <w:rPr>
          <w:rtl/>
        </w:rPr>
        <w:t xml:space="preserve"> ، ج 4 ، ص 161 ؛ </w:t>
      </w:r>
      <w:r w:rsidR="00992664" w:rsidRPr="00A722B1">
        <w:rPr>
          <w:rStyle w:val="libFootnoteBoldChar"/>
          <w:rtl/>
        </w:rPr>
        <w:t>المصباح المنير</w:t>
      </w:r>
      <w:r w:rsidR="00992664" w:rsidRPr="00020424">
        <w:rPr>
          <w:rtl/>
        </w:rPr>
        <w:t xml:space="preserve"> ، ص 530 ( كرث )</w:t>
      </w:r>
      <w:r w:rsidR="00992664">
        <w:rPr>
          <w:rtl/>
        </w:rPr>
        <w:t>.</w:t>
      </w:r>
    </w:p>
    <w:tbl>
      <w:tblPr>
        <w:tblStyle w:val="TableGrid"/>
        <w:bidiVisual/>
        <w:tblW w:w="0" w:type="auto"/>
        <w:tblLook w:val="04A0" w:firstRow="1" w:lastRow="0" w:firstColumn="1" w:lastColumn="0" w:noHBand="0" w:noVBand="1"/>
      </w:tblPr>
      <w:tblGrid>
        <w:gridCol w:w="4006"/>
        <w:gridCol w:w="4006"/>
      </w:tblGrid>
      <w:tr w:rsidR="00C368E8" w:rsidTr="00C368E8">
        <w:tc>
          <w:tcPr>
            <w:tcW w:w="4006" w:type="dxa"/>
          </w:tcPr>
          <w:p w:rsidR="00C368E8" w:rsidRDefault="00C368E8" w:rsidP="00992664">
            <w:pPr>
              <w:pStyle w:val="libFootnote0"/>
              <w:rPr>
                <w:rtl/>
              </w:rPr>
            </w:pPr>
            <w:r>
              <w:rPr>
                <w:rtl/>
              </w:rPr>
              <w:t xml:space="preserve">(4). </w:t>
            </w:r>
            <w:r w:rsidRPr="00020424">
              <w:rPr>
                <w:rtl/>
              </w:rPr>
              <w:t>في تفسير القمّي : + « قال : لا</w:t>
            </w:r>
            <w:r>
              <w:rPr>
                <w:rtl/>
              </w:rPr>
              <w:t xml:space="preserve"> ».</w:t>
            </w:r>
          </w:p>
        </w:tc>
        <w:tc>
          <w:tcPr>
            <w:tcW w:w="4006" w:type="dxa"/>
          </w:tcPr>
          <w:p w:rsidR="00C368E8" w:rsidRDefault="00C368E8" w:rsidP="00992664">
            <w:pPr>
              <w:pStyle w:val="libFootnote0"/>
              <w:rPr>
                <w:rtl/>
              </w:rPr>
            </w:pPr>
            <w:r>
              <w:rPr>
                <w:rtl/>
              </w:rPr>
              <w:t xml:space="preserve">(5). </w:t>
            </w:r>
            <w:r w:rsidRPr="00020424">
              <w:rPr>
                <w:rtl/>
              </w:rPr>
              <w:t xml:space="preserve">في « ظ ، بح » </w:t>
            </w:r>
            <w:r w:rsidRPr="00EB1FD9">
              <w:rPr>
                <w:rStyle w:val="libFootnoteBoldChar"/>
                <w:rtl/>
              </w:rPr>
              <w:t>والوسائل</w:t>
            </w:r>
            <w:r w:rsidRPr="00020424">
              <w:rPr>
                <w:rtl/>
              </w:rPr>
              <w:t xml:space="preserve"> : « حتّى لا يجد</w:t>
            </w:r>
            <w:r>
              <w:rPr>
                <w:rtl/>
              </w:rPr>
              <w:t xml:space="preserve"> ».</w:t>
            </w:r>
          </w:p>
        </w:tc>
      </w:tr>
      <w:tr w:rsidR="00C368E8" w:rsidTr="00C368E8">
        <w:tc>
          <w:tcPr>
            <w:tcW w:w="4006" w:type="dxa"/>
          </w:tcPr>
          <w:p w:rsidR="00C368E8" w:rsidRDefault="00C368E8" w:rsidP="00992664">
            <w:pPr>
              <w:pStyle w:val="libFootnote0"/>
              <w:rPr>
                <w:rtl/>
              </w:rPr>
            </w:pPr>
            <w:r>
              <w:rPr>
                <w:rtl/>
              </w:rPr>
              <w:t xml:space="preserve">(6). </w:t>
            </w:r>
            <w:r w:rsidRPr="00020424">
              <w:rPr>
                <w:rtl/>
              </w:rPr>
              <w:t>في « جن » : « ا</w:t>
            </w:r>
            <w:r>
              <w:rPr>
                <w:rFonts w:hint="cs"/>
                <w:rtl/>
              </w:rPr>
              <w:t>ُ</w:t>
            </w:r>
            <w:r w:rsidRPr="00020424">
              <w:rPr>
                <w:rtl/>
              </w:rPr>
              <w:t>خذت</w:t>
            </w:r>
            <w:r>
              <w:rPr>
                <w:rtl/>
              </w:rPr>
              <w:t xml:space="preserve"> ».</w:t>
            </w:r>
          </w:p>
        </w:tc>
        <w:tc>
          <w:tcPr>
            <w:tcW w:w="4006" w:type="dxa"/>
          </w:tcPr>
          <w:p w:rsidR="00C368E8" w:rsidRDefault="00C368E8" w:rsidP="00992664">
            <w:pPr>
              <w:pStyle w:val="libFootnote0"/>
              <w:rPr>
                <w:rtl/>
              </w:rPr>
            </w:pPr>
            <w:r>
              <w:rPr>
                <w:rtl/>
              </w:rPr>
              <w:t xml:space="preserve">(7). </w:t>
            </w:r>
            <w:r w:rsidRPr="00020424">
              <w:rPr>
                <w:rtl/>
              </w:rPr>
              <w:t>في التفسير القمّي : « فيتألّم</w:t>
            </w:r>
            <w:r>
              <w:rPr>
                <w:rtl/>
              </w:rPr>
              <w:t xml:space="preserve"> ».</w:t>
            </w:r>
          </w:p>
        </w:tc>
      </w:tr>
    </w:tbl>
    <w:p w:rsidR="00992664" w:rsidRPr="00020424" w:rsidRDefault="00795177" w:rsidP="00C368E8">
      <w:pPr>
        <w:pStyle w:val="libFootnote0"/>
        <w:rPr>
          <w:rtl/>
          <w:lang w:bidi="fa-IR"/>
        </w:rPr>
      </w:pPr>
      <w:r>
        <w:rPr>
          <w:rtl/>
        </w:rPr>
        <w:t>(8).</w:t>
      </w:r>
      <w:r w:rsidR="0014403D">
        <w:rPr>
          <w:rtl/>
        </w:rPr>
        <w:t xml:space="preserve"> </w:t>
      </w:r>
      <w:r w:rsidR="00992664" w:rsidRPr="00020424">
        <w:rPr>
          <w:rtl/>
        </w:rPr>
        <w:t>الضمير المستتر في « قال » ، راجع إلى حريز ، والمراد من ابن مسلم هو محمّد بن مسلم كما صرّح به في</w:t>
      </w:r>
      <w:r w:rsidR="00992664">
        <w:rPr>
          <w:rFonts w:hint="cs"/>
          <w:rtl/>
        </w:rPr>
        <w:t xml:space="preserve"> </w:t>
      </w:r>
      <w:r w:rsidR="00992664" w:rsidRPr="00DE76B9">
        <w:rPr>
          <w:rStyle w:val="libFootnoteBoldChar"/>
          <w:rtl/>
        </w:rPr>
        <w:t>‌</w:t>
      </w:r>
      <w:r w:rsidR="00992664" w:rsidRPr="0012008A">
        <w:rPr>
          <w:rStyle w:val="libFootnoteBoldChar"/>
          <w:rtl/>
        </w:rPr>
        <w:t>الوافي</w:t>
      </w:r>
      <w:r w:rsidR="00992664" w:rsidRPr="00020424">
        <w:rPr>
          <w:rtl/>
        </w:rPr>
        <w:t xml:space="preserve"> ؛ فقد روى المصنّف </w:t>
      </w:r>
      <w:r w:rsidR="00D64ADA" w:rsidRPr="00D64ADA">
        <w:rPr>
          <w:rStyle w:val="libFootnoteAlaemChar"/>
          <w:rtl/>
        </w:rPr>
        <w:t>قدس‌سره</w:t>
      </w:r>
      <w:r w:rsidR="00992664" w:rsidRPr="00020424">
        <w:rPr>
          <w:rtl/>
        </w:rPr>
        <w:t xml:space="preserve"> عن عليّ بن إبراهيم ، عن حمّاد بن عيسى ، عن حريز ، عن محمّد بن مسلم في كثيرٍ من الأسناد.</w:t>
      </w:r>
      <w:r w:rsidR="00C368E8">
        <w:rPr>
          <w:rFonts w:hint="cs"/>
          <w:rtl/>
        </w:rPr>
        <w:t xml:space="preserve">               </w:t>
      </w:r>
      <w:r w:rsidR="00A05922">
        <w:rPr>
          <w:rFonts w:hint="cs"/>
          <w:rtl/>
        </w:rPr>
        <w:t xml:space="preserve">                           </w:t>
      </w:r>
      <w:r w:rsidR="00C368E8">
        <w:rPr>
          <w:rFonts w:hint="cs"/>
          <w:rtl/>
        </w:rPr>
        <w:t xml:space="preserve">        </w:t>
      </w:r>
      <w:r>
        <w:rPr>
          <w:rtl/>
        </w:rPr>
        <w:t>(9).</w:t>
      </w:r>
      <w:r w:rsidR="0014403D">
        <w:rPr>
          <w:rtl/>
        </w:rPr>
        <w:t xml:space="preserve"> </w:t>
      </w:r>
      <w:r w:rsidR="00C368E8">
        <w:rPr>
          <w:rtl/>
        </w:rPr>
        <w:t>في «جن</w:t>
      </w:r>
      <w:r w:rsidR="00992664" w:rsidRPr="00020424">
        <w:rPr>
          <w:rtl/>
        </w:rPr>
        <w:t xml:space="preserve">» </w:t>
      </w:r>
      <w:r w:rsidR="00992664" w:rsidRPr="00C368E8">
        <w:rPr>
          <w:rtl/>
        </w:rPr>
        <w:t xml:space="preserve">والوافي والتهذيب </w:t>
      </w:r>
      <w:r w:rsidR="00992664" w:rsidRPr="00FD6221">
        <w:rPr>
          <w:rStyle w:val="libFootnoteBoldChar"/>
          <w:rtl/>
        </w:rPr>
        <w:t>والاستبصار</w:t>
      </w:r>
      <w:r w:rsidR="00992664" w:rsidRPr="00020424">
        <w:rPr>
          <w:rtl/>
        </w:rPr>
        <w:t>:</w:t>
      </w:r>
      <w:r w:rsidR="009B673F">
        <w:rPr>
          <w:rtl/>
        </w:rPr>
        <w:t>-</w:t>
      </w:r>
      <w:r w:rsidR="00C368E8">
        <w:rPr>
          <w:rtl/>
        </w:rPr>
        <w:t>«</w:t>
      </w:r>
      <w:r w:rsidR="00992664" w:rsidRPr="00020424">
        <w:rPr>
          <w:rtl/>
        </w:rPr>
        <w:t>هذا</w:t>
      </w:r>
      <w:r w:rsidR="00992664">
        <w:rPr>
          <w:rtl/>
        </w:rPr>
        <w:t>».</w:t>
      </w:r>
    </w:p>
    <w:p w:rsidR="00992664" w:rsidRPr="00020424" w:rsidRDefault="00795177" w:rsidP="00C368E8">
      <w:pPr>
        <w:pStyle w:val="libFootnote0"/>
        <w:rPr>
          <w:rtl/>
          <w:lang w:bidi="fa-IR"/>
        </w:rPr>
      </w:pPr>
      <w:r>
        <w:rPr>
          <w:rtl/>
        </w:rPr>
        <w:t>(10).</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من هذا الخمس ، الذي وضع عمر على نصارى تغلب من تضعيف الزكاة ورفع</w:t>
      </w:r>
      <w:r w:rsidR="00C368E8">
        <w:rPr>
          <w:rFonts w:hint="cs"/>
          <w:rtl/>
        </w:rPr>
        <w:t xml:space="preserve"> </w:t>
      </w:r>
      <w:r w:rsidR="00992664" w:rsidRPr="00020424">
        <w:rPr>
          <w:rtl/>
        </w:rPr>
        <w:t>‌الجزية</w:t>
      </w:r>
      <w:r w:rsidR="00992664">
        <w:rPr>
          <w:rtl/>
        </w:rPr>
        <w:t xml:space="preserve"> ».</w:t>
      </w:r>
      <w:r w:rsidR="00C368E8">
        <w:rPr>
          <w:rFonts w:hint="cs"/>
          <w:rtl/>
        </w:rPr>
        <w:t xml:space="preserve">                                            </w:t>
      </w:r>
      <w:r>
        <w:rPr>
          <w:rtl/>
        </w:rPr>
        <w:t>(11).</w:t>
      </w:r>
      <w:r w:rsidR="0014403D">
        <w:rPr>
          <w:rtl/>
        </w:rPr>
        <w:t xml:space="preserve"> </w:t>
      </w:r>
      <w:r w:rsidR="00992664" w:rsidRPr="00020424">
        <w:rPr>
          <w:rtl/>
        </w:rPr>
        <w:t xml:space="preserve">في </w:t>
      </w:r>
      <w:r w:rsidR="00992664" w:rsidRPr="00C368E8">
        <w:rPr>
          <w:rtl/>
        </w:rPr>
        <w:t>الوافي</w:t>
      </w:r>
      <w:r w:rsidR="00992664" w:rsidRPr="00020424">
        <w:rPr>
          <w:rtl/>
        </w:rPr>
        <w:t xml:space="preserve"> : « ويأخذون</w:t>
      </w:r>
      <w:r w:rsidR="00992664">
        <w:rPr>
          <w:rtl/>
        </w:rPr>
        <w:t xml:space="preserve"> ».</w:t>
      </w:r>
      <w:r w:rsidR="00992664" w:rsidRPr="00020424">
        <w:rPr>
          <w:rtl/>
        </w:rPr>
        <w:t xml:space="preserve"> وفي </w:t>
      </w:r>
      <w:r w:rsidR="00992664" w:rsidRPr="00C368E8">
        <w:rPr>
          <w:rtl/>
        </w:rPr>
        <w:t>التهذيب</w:t>
      </w:r>
      <w:r w:rsidR="00992664" w:rsidRPr="00020424">
        <w:rPr>
          <w:rtl/>
        </w:rPr>
        <w:t xml:space="preserve"> </w:t>
      </w:r>
      <w:r w:rsidR="00C368E8">
        <w:rPr>
          <w:rtl/>
        </w:rPr>
        <w:t>: «</w:t>
      </w:r>
      <w:r w:rsidR="00992664" w:rsidRPr="00020424">
        <w:rPr>
          <w:rtl/>
        </w:rPr>
        <w:t>ويؤخذ</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من</w:t>
      </w:r>
      <w:r w:rsidR="00992664">
        <w:rPr>
          <w:rtl/>
        </w:rPr>
        <w:t xml:space="preserve"> ».</w:t>
      </w:r>
      <w:r w:rsidR="00992664" w:rsidRPr="00020424">
        <w:rPr>
          <w:rtl/>
        </w:rPr>
        <w:t xml:space="preserve"> </w:t>
      </w:r>
      <w:r w:rsidR="00992664">
        <w:rPr>
          <w:rtl/>
        </w:rPr>
        <w:t>و «</w:t>
      </w:r>
      <w:r w:rsidR="00992664" w:rsidRPr="00020424">
        <w:rPr>
          <w:rtl/>
        </w:rPr>
        <w:t xml:space="preserve"> الدهاقين » : جمع الدهقان ، وهو بفتح الدال وضمّها رئيس القرية ومقدّم التُنّاء</w:t>
      </w:r>
      <w:r w:rsidR="00992664">
        <w:rPr>
          <w:rtl/>
        </w:rPr>
        <w:t xml:space="preserve"> </w:t>
      </w:r>
      <w:r w:rsidR="009B673F">
        <w:rPr>
          <w:rtl/>
        </w:rPr>
        <w:t>-</w:t>
      </w:r>
      <w:r w:rsidR="00992664">
        <w:rPr>
          <w:rtl/>
        </w:rPr>
        <w:t xml:space="preserve"> </w:t>
      </w:r>
      <w:r w:rsidR="00992664" w:rsidRPr="00020424">
        <w:rPr>
          <w:rtl/>
        </w:rPr>
        <w:t>وهم المقيمون في البلد</w:t>
      </w:r>
      <w:r w:rsidR="00992664">
        <w:rPr>
          <w:rtl/>
        </w:rPr>
        <w:t xml:space="preserve"> </w:t>
      </w:r>
      <w:r w:rsidR="009B673F">
        <w:rPr>
          <w:rtl/>
        </w:rPr>
        <w:t>-</w:t>
      </w:r>
      <w:r w:rsidR="00992664">
        <w:rPr>
          <w:rtl/>
        </w:rPr>
        <w:t xml:space="preserve"> </w:t>
      </w:r>
      <w:r w:rsidR="00992664" w:rsidRPr="00020424">
        <w:rPr>
          <w:rtl/>
        </w:rPr>
        <w:t xml:space="preserve">وأصحاب الزراعة. وقيل : هو التاجر ، فارسيّ معرّب. راجع : </w:t>
      </w:r>
      <w:r w:rsidR="00992664" w:rsidRPr="00A722B1">
        <w:rPr>
          <w:rStyle w:val="libFootnoteBoldChar"/>
          <w:rtl/>
        </w:rPr>
        <w:t>لسان العرب</w:t>
      </w:r>
      <w:r w:rsidR="00992664" w:rsidRPr="00020424">
        <w:rPr>
          <w:rtl/>
        </w:rPr>
        <w:t xml:space="preserve"> ، ج 13 ، ص 163 ( دهقن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بح » : « لأنفسهم</w:t>
      </w:r>
      <w:r w:rsidR="00992664">
        <w:rPr>
          <w:rtl/>
        </w:rPr>
        <w:t xml:space="preserve"> ».</w:t>
      </w:r>
      <w:r w:rsidR="00992664" w:rsidRPr="00020424">
        <w:rPr>
          <w:rtl/>
        </w:rPr>
        <w:t xml:space="preserve"> وفي </w:t>
      </w:r>
      <w:r w:rsidR="00992664" w:rsidRPr="00C368E8">
        <w:rPr>
          <w:rtl/>
        </w:rPr>
        <w:t>الوافي</w:t>
      </w:r>
      <w:r w:rsidR="00992664" w:rsidRPr="00020424">
        <w:rPr>
          <w:rtl/>
        </w:rPr>
        <w:t xml:space="preserve"> عن بعض النسخ : « على نفوسهم</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وليس للإمام ، كأنّ المراد أنّهم وإن أجاز على أنفسهم ، لكن ليس للإمام العدل أن يفعل ذلك. أو المراد أنّه ليس لها مقدار مقدّر مخصوص ، لكن كلّما قدّر لهم ينبغي أن يوضع إمّا على رؤوسهم وإمّا على أموالهم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020424">
        <w:rPr>
          <w:rtl/>
          <w:lang w:bidi="fa-IR"/>
        </w:rPr>
        <w:lastRenderedPageBreak/>
        <w:t xml:space="preserve">إِنْ شَاءَ الْإِمَامُ وَضَعَ ذلِكَ عَلى رُؤُوسِهِمْ </w:t>
      </w:r>
      <w:r w:rsidRPr="00A91B96">
        <w:rPr>
          <w:rStyle w:val="libFootnotenumChar"/>
          <w:rtl/>
        </w:rPr>
        <w:t>(1)</w:t>
      </w:r>
      <w:r w:rsidRPr="00020424">
        <w:rPr>
          <w:rtl/>
          <w:lang w:bidi="fa-IR"/>
        </w:rPr>
        <w:t xml:space="preserve"> ، وَلَيْسَ عَلى أَمْوَالِهِمْ شَيْ‌ءٌ ، وَإِنْ شَاءَ فَعَلى أَمْوَالِهِمْ ، وَلَيْسَ عَلى رُؤُوسِهِمْ شَيْ‌ءٌ</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فَهذَا </w:t>
      </w:r>
      <w:r w:rsidRPr="00A91B96">
        <w:rPr>
          <w:rStyle w:val="libFootnotenumChar"/>
          <w:rtl/>
        </w:rPr>
        <w:t>(2)</w:t>
      </w:r>
      <w:r w:rsidRPr="00020424">
        <w:rPr>
          <w:rtl/>
          <w:lang w:bidi="fa-IR"/>
        </w:rPr>
        <w:t xml:space="preserve"> ، الْخُمُسُ</w:t>
      </w:r>
      <w:r>
        <w:rPr>
          <w:rtl/>
          <w:lang w:bidi="fa-IR"/>
        </w:rPr>
        <w:t>؟</w:t>
      </w:r>
    </w:p>
    <w:p w:rsidR="00992664" w:rsidRPr="00020424" w:rsidRDefault="00992664" w:rsidP="00992664">
      <w:pPr>
        <w:pStyle w:val="libNormal"/>
        <w:rPr>
          <w:rtl/>
          <w:lang w:bidi="fa-IR"/>
        </w:rPr>
      </w:pPr>
      <w:r w:rsidRPr="00020424">
        <w:rPr>
          <w:rtl/>
          <w:lang w:bidi="fa-IR"/>
        </w:rPr>
        <w:t xml:space="preserve">فَقَالَ : « إِنَّمَا هذَا شَيْ‌ءٌ كَانَ </w:t>
      </w:r>
      <w:r w:rsidRPr="00A91B96">
        <w:rPr>
          <w:rStyle w:val="libFootnotenumChar"/>
          <w:rtl/>
        </w:rPr>
        <w:t>(3)</w:t>
      </w:r>
      <w:r w:rsidRPr="00020424">
        <w:rPr>
          <w:rtl/>
          <w:lang w:bidi="fa-IR"/>
        </w:rPr>
        <w:t xml:space="preserve"> صَالَحَهُمْ </w:t>
      </w:r>
      <w:r w:rsidRPr="00A91B96">
        <w:rPr>
          <w:rStyle w:val="libFootnotenumChar"/>
          <w:rtl/>
        </w:rPr>
        <w:t>(4)</w:t>
      </w:r>
      <w:r w:rsidRPr="00020424">
        <w:rPr>
          <w:rtl/>
          <w:lang w:bidi="fa-IR"/>
        </w:rPr>
        <w:t xml:space="preserve"> عَلَيْهِ رَسُولُ اللهِ </w:t>
      </w:r>
      <w:r w:rsidR="00B42914" w:rsidRPr="00B42914">
        <w:rPr>
          <w:rStyle w:val="libAlaemChar"/>
          <w:rtl/>
        </w:rPr>
        <w:t>صلى‌الله‌عليه‌وآله‌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10736">
        <w:rPr>
          <w:rtl/>
        </w:rPr>
        <w:t>5991</w:t>
      </w:r>
      <w:r w:rsidRPr="001155DE">
        <w:rPr>
          <w:rStyle w:val="libBold2Char"/>
          <w:rtl/>
        </w:rPr>
        <w:t xml:space="preserve"> / 2.</w:t>
      </w:r>
      <w:r w:rsidRPr="00020424">
        <w:rPr>
          <w:rtl/>
          <w:lang w:bidi="fa-IR"/>
        </w:rPr>
        <w:t xml:space="preserve"> حَرِيزٌ </w:t>
      </w:r>
      <w:r w:rsidRPr="00A91B96">
        <w:rPr>
          <w:rStyle w:val="libFootnotenumChar"/>
          <w:rtl/>
        </w:rPr>
        <w:t>(6)</w:t>
      </w:r>
      <w:r w:rsidRPr="00020424">
        <w:rPr>
          <w:rtl/>
          <w:lang w:bidi="fa-IR"/>
        </w:rPr>
        <w:t xml:space="preserve"> ، عَنْ مُحَمَّدِ بْنِ مُسْلِمٍ ، قَالَ :</w:t>
      </w:r>
    </w:p>
    <w:p w:rsidR="00992664" w:rsidRPr="00020424" w:rsidRDefault="00992664" w:rsidP="00992664">
      <w:pPr>
        <w:pStyle w:val="libNormal"/>
        <w:rPr>
          <w:rtl/>
          <w:lang w:bidi="fa-IR"/>
        </w:rPr>
      </w:pPr>
      <w:r w:rsidRPr="00020424">
        <w:rPr>
          <w:rtl/>
          <w:lang w:bidi="fa-IR"/>
        </w:rPr>
        <w:t xml:space="preserve">سَأَلْتُهُ عَنْ أَهْلِ الذِّمَّةِ : مَا ذَا عَلَيْهِمْ مِمَّا </w:t>
      </w:r>
      <w:r w:rsidRPr="00A91B96">
        <w:rPr>
          <w:rStyle w:val="libFootnotenumChar"/>
          <w:rtl/>
        </w:rPr>
        <w:t>(7)</w:t>
      </w:r>
      <w:r w:rsidRPr="00020424">
        <w:rPr>
          <w:rtl/>
          <w:lang w:bidi="fa-IR"/>
        </w:rPr>
        <w:t xml:space="preserve"> يَحْقُنُونَ بِهِ دِمَاءَهُمْ وَأَمْوَالَهُمْ</w:t>
      </w:r>
      <w:r>
        <w:rPr>
          <w:rtl/>
          <w:lang w:bidi="fa-IR"/>
        </w:rPr>
        <w:t>؟</w:t>
      </w:r>
    </w:p>
    <w:p w:rsidR="00992664" w:rsidRPr="00020424" w:rsidRDefault="00992664" w:rsidP="00992664">
      <w:pPr>
        <w:pStyle w:val="libNormal"/>
        <w:rPr>
          <w:rtl/>
          <w:lang w:bidi="fa-IR"/>
        </w:rPr>
      </w:pPr>
      <w:r w:rsidRPr="00020424">
        <w:rPr>
          <w:rtl/>
          <w:lang w:bidi="fa-IR"/>
        </w:rPr>
        <w:t xml:space="preserve">قَالَ : « الْخَرَاجُ ، فَإِنْ </w:t>
      </w:r>
      <w:r w:rsidRPr="00A91B96">
        <w:rPr>
          <w:rStyle w:val="libFootnotenumChar"/>
          <w:rtl/>
        </w:rPr>
        <w:t>(8)</w:t>
      </w:r>
      <w:r w:rsidRPr="00020424">
        <w:rPr>
          <w:rtl/>
          <w:lang w:bidi="fa-IR"/>
        </w:rPr>
        <w:t xml:space="preserve"> أُخِذَ مِنْ رُؤُوسِهِمُ الْجِزْيَةُ ، فَلَا سَبِيلَ عَلى أَرْضِهِمْ </w:t>
      </w:r>
      <w:r w:rsidRPr="00A91B96">
        <w:rPr>
          <w:rStyle w:val="libFootnotenumChar"/>
          <w:rtl/>
        </w:rPr>
        <w:t>(9)</w:t>
      </w:r>
      <w:r w:rsidRPr="00020424">
        <w:rPr>
          <w:rtl/>
          <w:lang w:bidi="fa-IR"/>
        </w:rPr>
        <w:t xml:space="preserve"> ، وَإِنْ أُخِذَ </w:t>
      </w:r>
      <w:r w:rsidRPr="00A91B96">
        <w:rPr>
          <w:rStyle w:val="libFootnotenumChar"/>
          <w:rtl/>
        </w:rPr>
        <w:t>(10)</w:t>
      </w:r>
      <w:r w:rsidRPr="00020424">
        <w:rPr>
          <w:rtl/>
          <w:lang w:bidi="fa-IR"/>
        </w:rPr>
        <w:t xml:space="preserve"> مِنْ أَرْضِهِمْ </w:t>
      </w:r>
      <w:r w:rsidRPr="00A91B96">
        <w:rPr>
          <w:rStyle w:val="libFootnotenumChar"/>
          <w:rtl/>
        </w:rPr>
        <w:t>(11)</w:t>
      </w:r>
      <w:r w:rsidRPr="00020424">
        <w:rPr>
          <w:rtl/>
          <w:lang w:bidi="fa-IR"/>
        </w:rPr>
        <w:t xml:space="preserve"> ، فَلَا سَبِيلَ عَلى رُؤُوسِهِمْ</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010736">
        <w:rPr>
          <w:rtl/>
        </w:rPr>
        <w:t>5992</w:t>
      </w:r>
      <w:r w:rsidRPr="001155DE">
        <w:rPr>
          <w:rStyle w:val="libBold2Char"/>
          <w:rtl/>
        </w:rPr>
        <w:t xml:space="preserve"> / 3.</w:t>
      </w:r>
      <w:r w:rsidRPr="00020424">
        <w:rPr>
          <w:rtl/>
          <w:lang w:bidi="fa-IR"/>
        </w:rPr>
        <w:t xml:space="preserve"> عَلِيُّ بْنُ إِبْرَاهِيمَ ، عَنْ أَبِيهِ ؛</w:t>
      </w:r>
      <w:r w:rsidRPr="00010736">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026D9E">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وضع على رؤوسهم ، المشهور عدم جواز الجمع بين الرؤوس والأراضي. وقيل : يجوز</w:t>
      </w:r>
      <w:r w:rsidR="00992664">
        <w:rPr>
          <w:rtl/>
        </w:rPr>
        <w:t xml:space="preserve"> ».</w:t>
      </w:r>
      <w:r w:rsidR="00026D9E">
        <w:rPr>
          <w:rFonts w:hint="cs"/>
          <w:rtl/>
        </w:rPr>
        <w:t xml:space="preserve">                                 </w:t>
      </w:r>
      <w:r>
        <w:rPr>
          <w:rtl/>
        </w:rPr>
        <w:t>(2).</w:t>
      </w:r>
      <w:r w:rsidR="0014403D">
        <w:rPr>
          <w:rtl/>
        </w:rPr>
        <w:t xml:space="preserve"> </w:t>
      </w:r>
      <w:r w:rsidR="00992664" w:rsidRPr="00020424">
        <w:rPr>
          <w:rtl/>
        </w:rPr>
        <w:t xml:space="preserve">في </w:t>
      </w:r>
      <w:r w:rsidR="00992664" w:rsidRPr="00026D9E">
        <w:rP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وهذا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كان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كان صالحهم ، الظاهر أنّه </w:t>
      </w:r>
      <w:r w:rsidR="00992664" w:rsidRPr="00D64ADA">
        <w:rPr>
          <w:rStyle w:val="libFootnoteAlaemChar"/>
          <w:rtl/>
        </w:rPr>
        <w:t>عليه‌السلام</w:t>
      </w:r>
      <w:r w:rsidR="00992664" w:rsidRPr="00020424">
        <w:rPr>
          <w:rtl/>
        </w:rPr>
        <w:t xml:space="preserve"> بيّن أوّلاً أنّ الخمس من البدع ، فلمّا لم يفهم السائل وأعاد السؤال غيّر </w:t>
      </w:r>
      <w:r w:rsidR="00992664" w:rsidRPr="00D64ADA">
        <w:rPr>
          <w:rStyle w:val="libFootnoteAlaemChar"/>
          <w:rtl/>
        </w:rPr>
        <w:t>عليه‌السلام</w:t>
      </w:r>
      <w:r w:rsidR="00992664" w:rsidRPr="00020424">
        <w:rPr>
          <w:rtl/>
        </w:rPr>
        <w:t xml:space="preserve"> الكلام تقيّة. أو يكون هذا إشارة إلى ما مرّ سابقاً من أمر الجزية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117 ، ح 337 ؛ </w:t>
      </w:r>
      <w:r w:rsidR="00992664" w:rsidRPr="00FD6221">
        <w:rPr>
          <w:rStyle w:val="libFootnoteBoldChar"/>
          <w:rtl/>
        </w:rPr>
        <w:t>والاستبصار</w:t>
      </w:r>
      <w:r w:rsidR="00992664" w:rsidRPr="00020424">
        <w:rPr>
          <w:rtl/>
        </w:rPr>
        <w:t xml:space="preserve"> ، ج 2 ، ص 53 ، ح 176 ، معلّقاً عن الكليني. </w:t>
      </w:r>
      <w:r w:rsidR="00992664" w:rsidRPr="00DE76B9">
        <w:rPr>
          <w:rStyle w:val="libFootnoteBoldChar"/>
          <w:rtl/>
        </w:rPr>
        <w:t>تفسير القمّي</w:t>
      </w:r>
      <w:r w:rsidR="00992664" w:rsidRPr="00020424">
        <w:rPr>
          <w:rtl/>
        </w:rPr>
        <w:t xml:space="preserve"> ، ج 1 ، ص 288 ، بسنده عن حمّاد بن عيسى. </w:t>
      </w:r>
      <w:r w:rsidR="00992664" w:rsidRPr="0012008A">
        <w:rPr>
          <w:rStyle w:val="libFootnoteBoldChar"/>
          <w:rtl/>
        </w:rPr>
        <w:t>الفقيه</w:t>
      </w:r>
      <w:r w:rsidR="00992664" w:rsidRPr="00020424">
        <w:rPr>
          <w:rtl/>
        </w:rPr>
        <w:t xml:space="preserve"> ، ج 2 ، ص 50 ، ح 1670 ، معلّقاً عن حريز. </w:t>
      </w:r>
      <w:r w:rsidR="00992664" w:rsidRPr="00DE76B9">
        <w:rPr>
          <w:rStyle w:val="libFootnoteBoldChar"/>
          <w:rtl/>
        </w:rPr>
        <w:t>تفسير العيّاشي</w:t>
      </w:r>
      <w:r w:rsidR="00992664" w:rsidRPr="00020424">
        <w:rPr>
          <w:rtl/>
        </w:rPr>
        <w:t xml:space="preserve"> ، ج 2 ، ص 85 ، ح 41 ، عن زرارة ، عن أبي عبدالله </w:t>
      </w:r>
      <w:r w:rsidR="00992664" w:rsidRPr="00D64ADA">
        <w:rPr>
          <w:rStyle w:val="libFootnoteAlaemChar"/>
          <w:rtl/>
        </w:rPr>
        <w:t>عليه‌السلام</w:t>
      </w:r>
      <w:r w:rsidR="00992664" w:rsidRPr="00020424">
        <w:rPr>
          <w:rtl/>
        </w:rPr>
        <w:t xml:space="preserve"> ، وفي الثلاثة الأخيرة إلى قوله : « فيألم لذلك فيسلم » مع اختلاف يسير. </w:t>
      </w:r>
      <w:r w:rsidR="00992664" w:rsidRPr="0012008A">
        <w:rPr>
          <w:rStyle w:val="libFootnoteBoldChar"/>
          <w:rtl/>
        </w:rPr>
        <w:t>المقنعة</w:t>
      </w:r>
      <w:r w:rsidR="00992664" w:rsidRPr="00020424">
        <w:rPr>
          <w:rtl/>
        </w:rPr>
        <w:t xml:space="preserve"> ، ص 272 ، مرسلاً عن حريز ، عن زرارة ، عن أبي عبدالله </w:t>
      </w:r>
      <w:r w:rsidR="00992664" w:rsidRPr="00D64ADA">
        <w:rPr>
          <w:rStyle w:val="libFootnoteAlaemChar"/>
          <w:rtl/>
        </w:rPr>
        <w:t>عليه‌السلام</w:t>
      </w:r>
      <w:r w:rsidR="00992664" w:rsidRPr="00020424">
        <w:rPr>
          <w:rtl/>
        </w:rPr>
        <w:t xml:space="preserve"> ، مع اختلاف يسير </w:t>
      </w:r>
      <w:r w:rsidR="00026D9E">
        <w:rPr>
          <w:rFonts w:hint="cs"/>
          <w:rtl/>
        </w:rPr>
        <w:t>.</w:t>
      </w:r>
      <w:r w:rsidR="00992664" w:rsidRPr="0012008A">
        <w:rPr>
          <w:rStyle w:val="libFootnoteBoldChar"/>
          <w:rtl/>
        </w:rPr>
        <w:t>الوافي</w:t>
      </w:r>
      <w:r w:rsidR="00992664" w:rsidRPr="00020424">
        <w:rPr>
          <w:rtl/>
        </w:rPr>
        <w:t xml:space="preserve"> ، ج 10 ، ص 348 ، ح 9679 ؛ </w:t>
      </w:r>
      <w:r w:rsidR="00992664" w:rsidRPr="0012008A">
        <w:rPr>
          <w:rStyle w:val="libFootnoteBoldChar"/>
          <w:rtl/>
        </w:rPr>
        <w:t>الوسائل</w:t>
      </w:r>
      <w:r w:rsidR="00992664" w:rsidRPr="00020424">
        <w:rPr>
          <w:rtl/>
        </w:rPr>
        <w:t xml:space="preserve"> ، ج 15 ، ص 149 ، ح 20185.</w:t>
      </w:r>
    </w:p>
    <w:tbl>
      <w:tblPr>
        <w:tblStyle w:val="TableGrid"/>
        <w:bidiVisual/>
        <w:tblW w:w="0" w:type="auto"/>
        <w:tblLook w:val="04A0" w:firstRow="1" w:lastRow="0" w:firstColumn="1" w:lastColumn="0" w:noHBand="0" w:noVBand="1"/>
      </w:tblPr>
      <w:tblGrid>
        <w:gridCol w:w="4006"/>
        <w:gridCol w:w="4006"/>
      </w:tblGrid>
      <w:tr w:rsidR="00026D9E" w:rsidTr="00026D9E">
        <w:tc>
          <w:tcPr>
            <w:tcW w:w="4006" w:type="dxa"/>
          </w:tcPr>
          <w:p w:rsidR="00026D9E" w:rsidRDefault="00026D9E" w:rsidP="00992664">
            <w:pPr>
              <w:pStyle w:val="libFootnote0"/>
              <w:rPr>
                <w:rtl/>
              </w:rPr>
            </w:pPr>
            <w:r>
              <w:rPr>
                <w:rtl/>
              </w:rPr>
              <w:t xml:space="preserve">(6). </w:t>
            </w:r>
            <w:r w:rsidRPr="00020424">
              <w:rPr>
                <w:rtl/>
              </w:rPr>
              <w:t>السند معلّق ، كما هو واضح.</w:t>
            </w:r>
          </w:p>
        </w:tc>
        <w:tc>
          <w:tcPr>
            <w:tcW w:w="4006" w:type="dxa"/>
          </w:tcPr>
          <w:p w:rsidR="00026D9E" w:rsidRDefault="00026D9E" w:rsidP="00992664">
            <w:pPr>
              <w:pStyle w:val="libFootnote0"/>
              <w:rPr>
                <w:rtl/>
              </w:rPr>
            </w:pPr>
            <w:r>
              <w:rPr>
                <w:rtl/>
              </w:rPr>
              <w:t xml:space="preserve">(7). </w:t>
            </w:r>
            <w:r w:rsidRPr="00020424">
              <w:rPr>
                <w:rtl/>
              </w:rPr>
              <w:t>في « بث ، بخ ، بر ، بف » : « ما</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بخ ، بر ، بف » : « فإذا</w:t>
      </w:r>
      <w:r w:rsidR="00992664">
        <w:rPr>
          <w:rtl/>
        </w:rPr>
        <w:t xml:space="preserve"> ».</w:t>
      </w:r>
      <w:r w:rsidR="00992664" w:rsidRPr="00020424">
        <w:rPr>
          <w:rtl/>
        </w:rPr>
        <w:t xml:space="preserve"> وفي « بح » </w:t>
      </w:r>
      <w:r w:rsidR="00992664" w:rsidRPr="00EB1FD9">
        <w:rPr>
          <w:rStyle w:val="libFootnoteBoldChar"/>
          <w:rtl/>
        </w:rPr>
        <w:t>والوسائل</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026D9E">
        <w:rPr>
          <w:rtl/>
        </w:rPr>
        <w:t>الوافي 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أراضيهم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 « فإن ا</w:t>
      </w:r>
      <w:r w:rsidR="00026D9E">
        <w:rPr>
          <w:rFonts w:hint="cs"/>
          <w:rtl/>
        </w:rPr>
        <w:t>ُ</w:t>
      </w:r>
      <w:r w:rsidR="00992664" w:rsidRPr="00020424">
        <w:rPr>
          <w:rtl/>
        </w:rPr>
        <w:t>خذوا</w:t>
      </w:r>
      <w:r w:rsidR="00992664">
        <w:rPr>
          <w:rtl/>
        </w:rPr>
        <w:t xml:space="preserve"> ».</w:t>
      </w:r>
      <w:r w:rsidR="00992664" w:rsidRPr="00020424">
        <w:rPr>
          <w:rtl/>
        </w:rPr>
        <w:t xml:space="preserve"> وفي « بف » : « فإن ا</w:t>
      </w:r>
      <w:r w:rsidR="00026D9E">
        <w:rPr>
          <w:rFonts w:hint="cs"/>
          <w:rtl/>
        </w:rPr>
        <w:t>ُ</w:t>
      </w:r>
      <w:r w:rsidR="00992664" w:rsidRPr="00020424">
        <w:rPr>
          <w:rtl/>
        </w:rPr>
        <w:t>خذ</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026D9E">
        <w:rPr>
          <w:rtl/>
        </w:rPr>
        <w:t>الوافي 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أراضيهم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118 ، ح 338 ؛ </w:t>
      </w:r>
      <w:r w:rsidR="00992664" w:rsidRPr="00FD6221">
        <w:rPr>
          <w:rStyle w:val="libFootnoteBoldChar"/>
          <w:rtl/>
        </w:rPr>
        <w:t>والاستبصار</w:t>
      </w:r>
      <w:r w:rsidR="00992664" w:rsidRPr="00020424">
        <w:rPr>
          <w:rtl/>
        </w:rPr>
        <w:t xml:space="preserve"> ، ج 2 ، ص 53 ، ح 177 ، معلّقاً عن حريز </w:t>
      </w:r>
      <w:r w:rsidR="00026D9E">
        <w:rPr>
          <w:rFonts w:hint="cs"/>
          <w:rtl/>
        </w:rPr>
        <w:t>.</w:t>
      </w:r>
      <w:r w:rsidR="00992664" w:rsidRPr="0012008A">
        <w:rPr>
          <w:rStyle w:val="libFootnoteBoldChar"/>
          <w:rtl/>
        </w:rPr>
        <w:t>الوافي</w:t>
      </w:r>
      <w:r w:rsidR="00992664" w:rsidRPr="00020424">
        <w:rPr>
          <w:rtl/>
        </w:rPr>
        <w:t xml:space="preserve"> ، ج 10 ، ص 349 ، ح 9680 ؛ </w:t>
      </w:r>
      <w:r w:rsidR="00992664" w:rsidRPr="0012008A">
        <w:rPr>
          <w:rStyle w:val="libFootnoteBoldChar"/>
          <w:rtl/>
        </w:rPr>
        <w:t>الوسائل</w:t>
      </w:r>
      <w:r w:rsidR="00992664" w:rsidRPr="00020424">
        <w:rPr>
          <w:rtl/>
        </w:rPr>
        <w:t xml:space="preserve"> ، ج 15 ، ص 150 ، ح 20186.</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020424">
        <w:rPr>
          <w:rtl/>
          <w:lang w:bidi="fa-IR"/>
        </w:rPr>
        <w:lastRenderedPageBreak/>
        <w:t>وَ</w:t>
      </w:r>
      <w:r>
        <w:rPr>
          <w:rFonts w:hint="cs"/>
          <w:rtl/>
          <w:lang w:bidi="fa-IR"/>
        </w:rPr>
        <w:t xml:space="preserve"> </w:t>
      </w:r>
      <w:r w:rsidRPr="00A91B96">
        <w:rPr>
          <w:rStyle w:val="libFootnotenumChar"/>
          <w:rtl/>
        </w:rPr>
        <w:t>(1)</w:t>
      </w:r>
      <w:r w:rsidRPr="00020424">
        <w:rPr>
          <w:rtl/>
          <w:lang w:bidi="fa-IR"/>
        </w:rPr>
        <w:t xml:space="preserve"> مُحَمَّدُ بْنُ يَحْيى ، عَنْ أَحْمَدَ بْنِ مُحَمَّدٍ ، عَنْ مُحَمَّدِ بْنِ يَحْيى جَمِيعاً ، عَنْ عَبْدِ اللهِ بْنِ الْمُغِيرَةِ ، عَنْ طَلْحَةَ بْنِ 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جَرَتِ السُّنَّةُ أَنْ لَاتُؤْخَذَ </w:t>
      </w:r>
      <w:r w:rsidRPr="00A91B96">
        <w:rPr>
          <w:rStyle w:val="libFootnotenumChar"/>
          <w:rtl/>
        </w:rPr>
        <w:t>(2)</w:t>
      </w:r>
      <w:r w:rsidRPr="00020424">
        <w:rPr>
          <w:rtl/>
          <w:lang w:bidi="fa-IR"/>
        </w:rPr>
        <w:t xml:space="preserve"> الْجِزْيَةُ مِنَ الْمَعْتُوهِ </w:t>
      </w:r>
      <w:r w:rsidRPr="00A91B96">
        <w:rPr>
          <w:rStyle w:val="libFootnotenumChar"/>
          <w:rtl/>
        </w:rPr>
        <w:t>(3)</w:t>
      </w:r>
      <w:r w:rsidRPr="00020424">
        <w:rPr>
          <w:rtl/>
          <w:lang w:bidi="fa-IR"/>
        </w:rPr>
        <w:t xml:space="preserve"> وَلَامِنَ الْمَغْلُوبِ عَلى عَقْلِهِ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10736">
        <w:rPr>
          <w:rtl/>
        </w:rPr>
        <w:t>5993</w:t>
      </w:r>
      <w:r w:rsidRPr="001155DE">
        <w:rPr>
          <w:rStyle w:val="libBold2Char"/>
          <w:rtl/>
        </w:rPr>
        <w:t xml:space="preserve"> / 4.</w:t>
      </w:r>
      <w:r w:rsidRPr="00020424">
        <w:rPr>
          <w:rtl/>
          <w:lang w:bidi="fa-IR"/>
        </w:rPr>
        <w:t xml:space="preserve"> مُحَمَّدُ بْنُ يَحْيى ، عَنْ أَحْمَدَ بْنِ مُحَمَّدٍ ، عَنْ أَبِي يَحْيَى الْوَاسِطِيِّ ، عَنْ بَعْضِ‌</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السند تحويل بعطف « محمّد بن يحيى ، عن أحمد بن محمّد ، عن محمّد بن يحيى » على « عليّ بن إبراهيم ، عن أبيه</w:t>
      </w:r>
      <w:r w:rsidR="00992664">
        <w:rPr>
          <w:rtl/>
        </w:rPr>
        <w:t xml:space="preserve"> ».</w:t>
      </w:r>
    </w:p>
    <w:p w:rsidR="00992664" w:rsidRPr="00020424" w:rsidRDefault="00992664" w:rsidP="00992664">
      <w:pPr>
        <w:pStyle w:val="libFootnote0"/>
        <w:rPr>
          <w:rtl/>
          <w:lang w:bidi="fa-IR"/>
        </w:rPr>
      </w:pPr>
      <w:r w:rsidRPr="00026D9E">
        <w:rPr>
          <w:rtl/>
        </w:rPr>
        <w:t xml:space="preserve">هذا مقتضى ظاهر السند ، ولازمه رواية أحمد بن محمّد </w:t>
      </w:r>
      <w:r w:rsidR="009B673F" w:rsidRPr="00026D9E">
        <w:rPr>
          <w:rtl/>
        </w:rPr>
        <w:t>-</w:t>
      </w:r>
      <w:r w:rsidRPr="00026D9E">
        <w:rPr>
          <w:rtl/>
        </w:rPr>
        <w:t xml:space="preserve"> وهو أحمد بن محمّد بن عيسى بقرينة رواية محمّد بن يحيى عنه </w:t>
      </w:r>
      <w:r w:rsidR="009B673F" w:rsidRPr="00026D9E">
        <w:rPr>
          <w:rtl/>
        </w:rPr>
        <w:t>-</w:t>
      </w:r>
      <w:r w:rsidRPr="00026D9E">
        <w:rPr>
          <w:rtl/>
        </w:rPr>
        <w:t xml:space="preserve"> عن محمّد بن يحيى عن عبدالله بن المغيرة عن طلحة بن زيد ، وهذا الارتباط وإن وقع في التهذيب ، ج 6 ، ص 135 ، ح 229 ؛ وص 143 ، ح 245 ، لكنّه خلاف المعهود ؛ فقد روى أحمد بن محمّد [ بن عيسى ] عن محمّد بن يحيى [ الخزّاز ] عن طلحة بن زيد في أسناد كثيرة. راجع : </w:t>
      </w:r>
      <w:r w:rsidRPr="00DE76B9">
        <w:rPr>
          <w:rStyle w:val="libFootnoteBoldChar"/>
          <w:rtl/>
        </w:rPr>
        <w:t>معجم رجال الحديث</w:t>
      </w:r>
      <w:r w:rsidRPr="00026D9E">
        <w:rPr>
          <w:rtl/>
        </w:rPr>
        <w:t xml:space="preserve"> ، ج 18 ، ص 387 </w:t>
      </w:r>
      <w:r w:rsidR="009B673F" w:rsidRPr="00026D9E">
        <w:rPr>
          <w:rtl/>
        </w:rPr>
        <w:t>-</w:t>
      </w:r>
      <w:r w:rsidRPr="00026D9E">
        <w:rPr>
          <w:rtl/>
        </w:rPr>
        <w:t xml:space="preserve"> 388 ؛ وص 392.</w:t>
      </w:r>
    </w:p>
    <w:p w:rsidR="00992664" w:rsidRPr="00020424" w:rsidRDefault="00992664" w:rsidP="00992664">
      <w:pPr>
        <w:pStyle w:val="libFootnote0"/>
        <w:rPr>
          <w:rtl/>
          <w:lang w:bidi="fa-IR"/>
        </w:rPr>
      </w:pPr>
      <w:r w:rsidRPr="00026D9E">
        <w:rPr>
          <w:rtl/>
        </w:rPr>
        <w:t xml:space="preserve">والظاهر وقوع خلل في سندنا هذا وسندي </w:t>
      </w:r>
      <w:r w:rsidRPr="00026D9E">
        <w:rPr>
          <w:rStyle w:val="libFootnoteBoldChar"/>
          <w:rtl/>
        </w:rPr>
        <w:t>التهذيب</w:t>
      </w:r>
      <w:r w:rsidRPr="00026D9E">
        <w:rPr>
          <w:rtl/>
        </w:rPr>
        <w:t xml:space="preserve"> ، ويؤيّد ذلك أنّ خبر </w:t>
      </w:r>
      <w:r w:rsidRPr="00026D9E">
        <w:rPr>
          <w:rStyle w:val="libFootnoteBoldChar"/>
          <w:rtl/>
        </w:rPr>
        <w:t>التهذيب</w:t>
      </w:r>
      <w:r w:rsidRPr="00026D9E">
        <w:rPr>
          <w:rtl/>
        </w:rPr>
        <w:t xml:space="preserve"> ، ج 6 ، ص 143 ، ح 245 ، رواه الكليني في </w:t>
      </w:r>
      <w:r w:rsidRPr="00DE76B9">
        <w:rPr>
          <w:rStyle w:val="libFootnoteBoldChar"/>
          <w:rtl/>
        </w:rPr>
        <w:t>الكافي</w:t>
      </w:r>
      <w:r w:rsidRPr="00026D9E">
        <w:rPr>
          <w:rtl/>
        </w:rPr>
        <w:t xml:space="preserve"> ، ح 8244 وسنده هكذا : « محمّد بن يحيى ، عن أحمد بن محمّد ، عن محمّد بن يحيى ، عن طلحة بن زيد ». ولعلّ الصواب في السند أن يكون عبدالله بن المغيرة معطوفاً على محمّد بن يحيى </w:t>
      </w:r>
      <w:r w:rsidR="009B673F" w:rsidRPr="00026D9E">
        <w:rPr>
          <w:rtl/>
        </w:rPr>
        <w:t>-</w:t>
      </w:r>
      <w:r w:rsidRPr="00026D9E">
        <w:rPr>
          <w:rtl/>
        </w:rPr>
        <w:t xml:space="preserve"> كما احتمله الا</w:t>
      </w:r>
      <w:r w:rsidR="00026D9E">
        <w:rPr>
          <w:rFonts w:hint="cs"/>
          <w:rtl/>
        </w:rPr>
        <w:t>ُ</w:t>
      </w:r>
      <w:r w:rsidRPr="00026D9E">
        <w:rPr>
          <w:rtl/>
        </w:rPr>
        <w:t xml:space="preserve">ستاد السيّد محمّد جواد الشبيري </w:t>
      </w:r>
      <w:r w:rsidR="009B673F" w:rsidRPr="00026D9E">
        <w:rPr>
          <w:rtl/>
        </w:rPr>
        <w:t>-</w:t>
      </w:r>
      <w:r w:rsidRPr="00026D9E">
        <w:rPr>
          <w:rtl/>
        </w:rPr>
        <w:t xml:space="preserve"> دام توفيقه </w:t>
      </w:r>
      <w:r w:rsidR="009B673F" w:rsidRPr="00026D9E">
        <w:rPr>
          <w:rtl/>
        </w:rPr>
        <w:t>-</w:t>
      </w:r>
      <w:r w:rsidRPr="00026D9E">
        <w:rPr>
          <w:rtl/>
        </w:rPr>
        <w:t xml:space="preserve"> في تعليقته على السند ؛ فقد روى عليّ بن إبراهيم ، عن أبيه ، عن محمّد بن يحيى ، عن طلحة بن زيد في </w:t>
      </w:r>
      <w:r w:rsidRPr="00DE76B9">
        <w:rPr>
          <w:rStyle w:val="libFootnoteBoldChar"/>
          <w:rtl/>
        </w:rPr>
        <w:t>الكافي</w:t>
      </w:r>
      <w:r w:rsidRPr="00026D9E">
        <w:rPr>
          <w:rtl/>
        </w:rPr>
        <w:t xml:space="preserve"> ، ح 133 و4485 وذيل ح 8287 و12844 و14687.</w:t>
      </w:r>
    </w:p>
    <w:p w:rsidR="00992664" w:rsidRPr="00020424" w:rsidRDefault="00992664" w:rsidP="00992664">
      <w:pPr>
        <w:pStyle w:val="libFootnote0"/>
        <w:rPr>
          <w:rtl/>
          <w:lang w:bidi="fa-IR"/>
        </w:rPr>
      </w:pPr>
      <w:r w:rsidRPr="00026D9E">
        <w:rPr>
          <w:rtl/>
        </w:rPr>
        <w:t xml:space="preserve">وأمّا عطف عبدالله بن المغيرة على محمّد بن يحيى وإن لم نجده في </w:t>
      </w:r>
      <w:r w:rsidRPr="00DE76B9">
        <w:rPr>
          <w:rStyle w:val="libFootnoteBoldChar"/>
          <w:rtl/>
        </w:rPr>
        <w:t>الكافي</w:t>
      </w:r>
      <w:r w:rsidRPr="00026D9E">
        <w:rPr>
          <w:rtl/>
        </w:rPr>
        <w:t xml:space="preserve"> ، لكن وردت رواية محمّد بن يحيى الخزّاز ومحمّد بن سنان وعبدالله بن المغيرة عن طلحة بن زيد في </w:t>
      </w:r>
      <w:r w:rsidRPr="0012008A">
        <w:rPr>
          <w:rStyle w:val="libFootnoteBoldChar"/>
          <w:rtl/>
        </w:rPr>
        <w:t>ثواب الأعمال</w:t>
      </w:r>
      <w:r w:rsidRPr="00026D9E">
        <w:rPr>
          <w:rtl/>
        </w:rPr>
        <w:t xml:space="preserve"> ، ص 270 ، ح 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بح » : « أن لا يؤخذ</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قال الجوهريّ : « المعتوه : الناقص العقل » ، وقال ابن الأثير : « هو المجنون المصاب بعقله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2239 ؛ </w:t>
      </w:r>
      <w:r w:rsidR="00992664" w:rsidRPr="0012008A">
        <w:rPr>
          <w:rStyle w:val="libFootnoteBoldChar"/>
          <w:rtl/>
        </w:rPr>
        <w:t>النهاية</w:t>
      </w:r>
      <w:r w:rsidR="00992664" w:rsidRPr="00020424">
        <w:rPr>
          <w:rtl/>
        </w:rPr>
        <w:t xml:space="preserve"> ، ج 3 ، ص 181 ( عته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ولا من المغلوب ، الظاهر أنّه عطف تفسيريّ ، أو قريب من السابق</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114 ، ح 334 ؛ معلّقاً عن الكليني. </w:t>
      </w:r>
      <w:r w:rsidR="00992664" w:rsidRPr="00DE76B9">
        <w:rPr>
          <w:rStyle w:val="libFootnoteBoldChar"/>
          <w:rtl/>
        </w:rPr>
        <w:t>وفيه</w:t>
      </w:r>
      <w:r w:rsidR="00992664" w:rsidRPr="00020424">
        <w:rPr>
          <w:rtl/>
        </w:rPr>
        <w:t xml:space="preserve"> ، ج 6 ، ص 159 ، ح 286 ، معلّقاً عن أحمد بن محمّد ، عن محمّد بن يحيى ، عن عبدالله بن المغيرة ، مع اختلاف يسير. </w:t>
      </w:r>
      <w:r w:rsidR="00992664" w:rsidRPr="0012008A">
        <w:rPr>
          <w:rStyle w:val="libFootnoteBoldChar"/>
          <w:rtl/>
        </w:rPr>
        <w:t>الفقيه</w:t>
      </w:r>
      <w:r w:rsidR="00992664" w:rsidRPr="00020424">
        <w:rPr>
          <w:rtl/>
        </w:rPr>
        <w:t xml:space="preserve"> ، ج 2 ، ص 52 ، ح 1674 ، معلّقاً عن طلحة بن زيد </w:t>
      </w:r>
      <w:r w:rsidR="00757DAF">
        <w:rPr>
          <w:rFonts w:hint="cs"/>
          <w:rtl/>
        </w:rPr>
        <w:t>.</w:t>
      </w:r>
      <w:r w:rsidR="00992664" w:rsidRPr="0012008A">
        <w:rPr>
          <w:rStyle w:val="libFootnoteBoldChar"/>
          <w:rtl/>
        </w:rPr>
        <w:t>الوافي</w:t>
      </w:r>
      <w:r w:rsidR="00992664" w:rsidRPr="00020424">
        <w:rPr>
          <w:rtl/>
        </w:rPr>
        <w:t xml:space="preserve"> ، ج 10 ، ص 350 ، ح 9684 ؛ </w:t>
      </w:r>
      <w:r w:rsidR="00992664" w:rsidRPr="0012008A">
        <w:rPr>
          <w:rStyle w:val="libFootnoteBoldChar"/>
          <w:rtl/>
        </w:rPr>
        <w:t>الوسائل</w:t>
      </w:r>
      <w:r w:rsidR="00992664" w:rsidRPr="00020424">
        <w:rPr>
          <w:rtl/>
        </w:rPr>
        <w:t xml:space="preserve"> ، ج 15 ، ص 65 ، ذيل ح 19995 ؛ وص 131 ، ح 20146.</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020424">
        <w:rPr>
          <w:rtl/>
          <w:lang w:bidi="fa-IR"/>
        </w:rPr>
        <w:lastRenderedPageBreak/>
        <w:t>أَصْحَابِنَا ، قَالَ :</w:t>
      </w:r>
    </w:p>
    <w:p w:rsidR="00992664" w:rsidRPr="00020424" w:rsidRDefault="00992664" w:rsidP="00992664">
      <w:pPr>
        <w:pStyle w:val="libNormal"/>
        <w:rPr>
          <w:rtl/>
          <w:lang w:bidi="fa-IR"/>
        </w:rPr>
      </w:pPr>
      <w:r w:rsidRPr="00020424">
        <w:rPr>
          <w:rtl/>
          <w:lang w:bidi="fa-IR"/>
        </w:rPr>
        <w:t xml:space="preserve">سُئِلَ أَبُو عَبْدِ اللهِ </w:t>
      </w:r>
      <w:r w:rsidRPr="00005A81">
        <w:rPr>
          <w:rStyle w:val="libAlaemChar"/>
          <w:rtl/>
        </w:rPr>
        <w:t>عليه‌السلام</w:t>
      </w:r>
      <w:r>
        <w:rPr>
          <w:rtl/>
          <w:lang w:bidi="fa-IR"/>
        </w:rPr>
        <w:t xml:space="preserve"> عَنِ الْمَجُوسِ : أَ</w:t>
      </w:r>
      <w:r w:rsidRPr="00020424">
        <w:rPr>
          <w:rtl/>
          <w:lang w:bidi="fa-IR"/>
        </w:rPr>
        <w:t>كَانَ لَهُمْ نَبِيٌّ</w:t>
      </w:r>
      <w:r>
        <w:rPr>
          <w:rtl/>
          <w:lang w:bidi="fa-IR"/>
        </w:rPr>
        <w:t>؟</w:t>
      </w:r>
    </w:p>
    <w:p w:rsidR="00992664" w:rsidRPr="00020424" w:rsidRDefault="00992664" w:rsidP="00992664">
      <w:pPr>
        <w:pStyle w:val="libNormal"/>
        <w:rPr>
          <w:rtl/>
          <w:lang w:bidi="fa-IR"/>
        </w:rPr>
      </w:pPr>
      <w:r>
        <w:rPr>
          <w:rtl/>
          <w:lang w:bidi="fa-IR"/>
        </w:rPr>
        <w:t>فَقَالَ : « نَعَمْ ، أَ</w:t>
      </w:r>
      <w:r w:rsidRPr="00020424">
        <w:rPr>
          <w:rtl/>
          <w:lang w:bidi="fa-IR"/>
        </w:rPr>
        <w:t xml:space="preserve">مَا </w:t>
      </w:r>
      <w:r w:rsidRPr="00A91B96">
        <w:rPr>
          <w:rStyle w:val="libFootnotenumChar"/>
          <w:rtl/>
        </w:rPr>
        <w:t>(1)</w:t>
      </w:r>
      <w:r w:rsidRPr="00020424">
        <w:rPr>
          <w:rtl/>
          <w:lang w:bidi="fa-IR"/>
        </w:rPr>
        <w:t xml:space="preserve"> بَلَغَكَ كِتَابُ رَسُولِ اللهِ </w:t>
      </w:r>
      <w:r w:rsidR="00B42914" w:rsidRPr="00B42914">
        <w:rPr>
          <w:rStyle w:val="libAlaemChar"/>
          <w:rtl/>
        </w:rPr>
        <w:t>صلى‌الله‌عليه‌وآله‌</w:t>
      </w:r>
      <w:r w:rsidRPr="00020424">
        <w:rPr>
          <w:rtl/>
          <w:lang w:bidi="fa-IR"/>
        </w:rPr>
        <w:t xml:space="preserve"> إِلى أَهْلِ مَكّ</w:t>
      </w:r>
      <w:r w:rsidR="00757DAF">
        <w:rPr>
          <w:rtl/>
          <w:lang w:bidi="fa-IR"/>
        </w:rPr>
        <w:t>َةَ : أَنْ أَسْلِمُوا ، وَإِل</w:t>
      </w:r>
      <w:r w:rsidR="00757DAF">
        <w:rPr>
          <w:rFonts w:hint="cs"/>
          <w:rtl/>
          <w:lang w:bidi="fa-IR"/>
        </w:rPr>
        <w:t>َّ</w:t>
      </w:r>
      <w:r w:rsidR="00757DAF">
        <w:rPr>
          <w:rtl/>
          <w:lang w:bidi="fa-IR"/>
        </w:rPr>
        <w:t>ا</w:t>
      </w:r>
      <w:r w:rsidRPr="00020424">
        <w:rPr>
          <w:rtl/>
          <w:lang w:bidi="fa-IR"/>
        </w:rPr>
        <w:t xml:space="preserve"> نَابَذْتُكُمْ بِحَرْبٍ </w:t>
      </w:r>
      <w:r w:rsidRPr="00A91B96">
        <w:rPr>
          <w:rStyle w:val="libFootnotenumChar"/>
          <w:rtl/>
        </w:rPr>
        <w:t>(2)</w:t>
      </w:r>
      <w:r>
        <w:rPr>
          <w:rtl/>
          <w:lang w:bidi="fa-IR"/>
        </w:rPr>
        <w:t>؟</w:t>
      </w:r>
      <w:r w:rsidRPr="00020424">
        <w:rPr>
          <w:rtl/>
          <w:lang w:bidi="fa-IR"/>
        </w:rPr>
        <w:t xml:space="preserve"> فَكَتَبُوا إِلى رَسُولِ اللهِ </w:t>
      </w:r>
      <w:r w:rsidRPr="00A91B96">
        <w:rPr>
          <w:rStyle w:val="libFootnotenumChar"/>
          <w:rtl/>
        </w:rPr>
        <w:t>(3)</w:t>
      </w:r>
      <w:r w:rsidRPr="00020424">
        <w:rPr>
          <w:rtl/>
          <w:lang w:bidi="fa-IR"/>
        </w:rPr>
        <w:t xml:space="preserve"> </w:t>
      </w:r>
      <w:r w:rsidR="00B42914" w:rsidRPr="00B42914">
        <w:rPr>
          <w:rStyle w:val="libAlaemChar"/>
          <w:rtl/>
        </w:rPr>
        <w:t>صلى‌الله‌عليه‌وآله‌</w:t>
      </w:r>
      <w:r w:rsidRPr="00020424">
        <w:rPr>
          <w:rtl/>
          <w:lang w:bidi="fa-IR"/>
        </w:rPr>
        <w:t xml:space="preserve"> : أَنْ خُذْ مِنَّا الْجِزْيَةَ ، وَدَعْنَا عَلى </w:t>
      </w:r>
      <w:r w:rsidRPr="00A91B96">
        <w:rPr>
          <w:rStyle w:val="libFootnotenumChar"/>
          <w:rtl/>
        </w:rPr>
        <w:t>(4)</w:t>
      </w:r>
      <w:r w:rsidRPr="00020424">
        <w:rPr>
          <w:rtl/>
          <w:lang w:bidi="fa-IR"/>
        </w:rPr>
        <w:t xml:space="preserve"> عِبَادَةِ الْأَوْثَانِ. فَكَتَبَ إِلَيْهِمُ النَّبِيُّ </w:t>
      </w:r>
      <w:r w:rsidR="00B42914" w:rsidRPr="00B42914">
        <w:rPr>
          <w:rStyle w:val="libAlaemChar"/>
          <w:rtl/>
        </w:rPr>
        <w:t>صلى‌الله‌عليه‌وآله‌</w:t>
      </w:r>
      <w:r w:rsidRPr="00020424">
        <w:rPr>
          <w:rtl/>
          <w:lang w:bidi="fa-IR"/>
        </w:rPr>
        <w:t xml:space="preserve"> : أَنِّي</w:t>
      </w:r>
      <w:r w:rsidR="00757DAF">
        <w:rPr>
          <w:rtl/>
          <w:lang w:bidi="fa-IR"/>
        </w:rPr>
        <w:t xml:space="preserve"> لَسْتُ آخُذُ الْجِزْيَةَ إِل</w:t>
      </w:r>
      <w:r w:rsidR="00757DAF">
        <w:rPr>
          <w:rFonts w:hint="cs"/>
          <w:rtl/>
          <w:lang w:bidi="fa-IR"/>
        </w:rPr>
        <w:t>َّ</w:t>
      </w:r>
      <w:r w:rsidR="00757DAF">
        <w:rPr>
          <w:rtl/>
          <w:lang w:bidi="fa-IR"/>
        </w:rPr>
        <w:t>ا</w:t>
      </w:r>
      <w:r w:rsidRPr="00020424">
        <w:rPr>
          <w:rtl/>
          <w:lang w:bidi="fa-IR"/>
        </w:rPr>
        <w:t xml:space="preserve"> مِنْ أَهْلِ الْكِتَابِ ، فَكَتَبُوا إِلَيْهِ</w:t>
      </w:r>
      <w:r>
        <w:rPr>
          <w:rtl/>
          <w:lang w:bidi="fa-IR"/>
        </w:rPr>
        <w:t xml:space="preserve"> </w:t>
      </w:r>
      <w:r w:rsidR="009B673F">
        <w:rPr>
          <w:rtl/>
          <w:lang w:bidi="fa-IR"/>
        </w:rPr>
        <w:t>-</w:t>
      </w:r>
      <w:r>
        <w:rPr>
          <w:rtl/>
          <w:lang w:bidi="fa-IR"/>
        </w:rPr>
        <w:t xml:space="preserve"> </w:t>
      </w:r>
      <w:r w:rsidRPr="00020424">
        <w:rPr>
          <w:rtl/>
          <w:lang w:bidi="fa-IR"/>
        </w:rPr>
        <w:t>يُرِيدُونَ بِذلِكَ تَكْذِيبَهُ</w:t>
      </w:r>
      <w:r>
        <w:rPr>
          <w:rtl/>
          <w:lang w:bidi="fa-IR"/>
        </w:rPr>
        <w:t xml:space="preserve"> </w:t>
      </w:r>
      <w:r w:rsidR="009B673F">
        <w:rPr>
          <w:rtl/>
          <w:lang w:bidi="fa-IR"/>
        </w:rPr>
        <w:t>-</w:t>
      </w:r>
      <w:r>
        <w:rPr>
          <w:rtl/>
          <w:lang w:bidi="fa-IR"/>
        </w:rPr>
        <w:t xml:space="preserve"> </w:t>
      </w:r>
      <w:r w:rsidRPr="00020424">
        <w:rPr>
          <w:rtl/>
          <w:lang w:bidi="fa-IR"/>
        </w:rPr>
        <w:t>: زَعَمْتَ أَنَّكَ لَاتَأْخُذُ الْجِز</w:t>
      </w:r>
      <w:r w:rsidR="008E7F55">
        <w:rPr>
          <w:rtl/>
          <w:lang w:bidi="fa-IR"/>
        </w:rPr>
        <w:t>ْيَةَ إِل</w:t>
      </w:r>
      <w:r w:rsidR="008E7F55">
        <w:rPr>
          <w:rFonts w:hint="cs"/>
          <w:rtl/>
          <w:lang w:bidi="fa-IR"/>
        </w:rPr>
        <w:t>َّ</w:t>
      </w:r>
      <w:r w:rsidR="008E7F55">
        <w:rPr>
          <w:rtl/>
          <w:lang w:bidi="fa-IR"/>
        </w:rPr>
        <w:t>ا</w:t>
      </w:r>
      <w:r w:rsidRPr="00020424">
        <w:rPr>
          <w:rtl/>
          <w:lang w:bidi="fa-IR"/>
        </w:rPr>
        <w:t xml:space="preserve"> مِنْ أَهْلِ الْكِتَابِ ، ثُمَّ أَخَذْتَ الْجِزْيَةَ </w:t>
      </w:r>
      <w:r w:rsidRPr="00A91B96">
        <w:rPr>
          <w:rStyle w:val="libFootnotenumChar"/>
          <w:rtl/>
        </w:rPr>
        <w:t>(5)</w:t>
      </w:r>
      <w:r w:rsidRPr="00020424">
        <w:rPr>
          <w:rtl/>
          <w:lang w:bidi="fa-IR"/>
        </w:rPr>
        <w:t xml:space="preserve"> مِنْ مَجُوسِ هَجَرَ </w:t>
      </w:r>
      <w:r w:rsidRPr="00A91B96">
        <w:rPr>
          <w:rStyle w:val="libFootnotenumChar"/>
          <w:rtl/>
        </w:rPr>
        <w:t>(6)</w:t>
      </w:r>
      <w:r w:rsidRPr="00020424">
        <w:rPr>
          <w:rtl/>
          <w:lang w:bidi="fa-IR"/>
        </w:rPr>
        <w:t xml:space="preserve"> فَكَتَبَ إِلَيْهِمُ النَّبِيُّ </w:t>
      </w:r>
      <w:r w:rsidRPr="00A91B96">
        <w:rPr>
          <w:rStyle w:val="libFootnotenumChar"/>
          <w:rtl/>
        </w:rPr>
        <w:t>(7)</w:t>
      </w:r>
      <w:r w:rsidRPr="00020424">
        <w:rPr>
          <w:rtl/>
          <w:lang w:bidi="fa-IR"/>
        </w:rPr>
        <w:t xml:space="preserve"> </w:t>
      </w:r>
      <w:r w:rsidR="00B42914" w:rsidRPr="00B42914">
        <w:rPr>
          <w:rStyle w:val="libAlaemChar"/>
          <w:rtl/>
        </w:rPr>
        <w:t>صلى‌الله‌عليه‌وآله‌</w:t>
      </w:r>
      <w:r w:rsidRPr="00020424">
        <w:rPr>
          <w:rtl/>
          <w:lang w:bidi="fa-IR"/>
        </w:rPr>
        <w:t xml:space="preserve"> : أَنَّ الْمَجُوسَ كَانَ لَهُمْ نَبِيٌّ فَقَتَلُوهُ </w:t>
      </w:r>
      <w:r w:rsidRPr="00A91B96">
        <w:rPr>
          <w:rStyle w:val="libFootnotenumChar"/>
          <w:rtl/>
        </w:rPr>
        <w:t>(8)</w:t>
      </w:r>
      <w:r w:rsidRPr="00020424">
        <w:rPr>
          <w:rtl/>
          <w:lang w:bidi="fa-IR"/>
        </w:rPr>
        <w:t xml:space="preserve"> ، وَكِتَابٌ أَحْرَقُوهُ ، أَتَاهُمْ نَبِيُّهُمْ بِكِتَابِهِمْ فِي اثْنَيْ عَشَرَ أَلْفَ </w:t>
      </w:r>
      <w:r w:rsidRPr="00A91B96">
        <w:rPr>
          <w:rStyle w:val="libFootnotenumChar"/>
          <w:rtl/>
        </w:rPr>
        <w:t>(9)</w:t>
      </w:r>
      <w:r w:rsidRPr="00020424">
        <w:rPr>
          <w:rtl/>
          <w:lang w:bidi="fa-IR"/>
        </w:rPr>
        <w:t xml:space="preserve"> جِلْدِ ثَوْرٍ</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010736">
        <w:rPr>
          <w:rtl/>
        </w:rPr>
        <w:t>5994</w:t>
      </w:r>
      <w:r w:rsidRPr="001155DE">
        <w:rPr>
          <w:rStyle w:val="libBold2Char"/>
          <w:rtl/>
        </w:rPr>
        <w:t xml:space="preserve"> / 5.</w:t>
      </w:r>
      <w:r w:rsidRPr="00020424">
        <w:rPr>
          <w:rtl/>
          <w:lang w:bidi="fa-IR"/>
        </w:rPr>
        <w:t xml:space="preserve"> عَلِيُّ بْنُ إِبْرَاهِيمَ ، عَنْ أَبِيهِ ، عَنْ حَمَّادِ بْنِ عِيسى </w:t>
      </w:r>
      <w:r w:rsidRPr="00A91B96">
        <w:rPr>
          <w:rStyle w:val="libFootnotenumChar"/>
          <w:rtl/>
        </w:rPr>
        <w:t>(11)</w:t>
      </w:r>
      <w:r w:rsidRPr="00020424">
        <w:rPr>
          <w:rtl/>
          <w:lang w:bidi="fa-IR"/>
        </w:rPr>
        <w:t xml:space="preserve"> ، عَنْ حَرِيزٍ ، عَنْ مُحَمَّدِ بْنِ مُسْلِمٍ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ما » بدون همزة الاستفهام.</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بر ، بف » وحاشية « ظ ، بث » : « فأذنوا بحرب</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 نابذتكم بالحرب</w:t>
      </w:r>
      <w:r w:rsidR="00992664">
        <w:rPr>
          <w:rtl/>
        </w:rPr>
        <w:t>».</w:t>
      </w:r>
      <w:r w:rsidR="00992664" w:rsidRPr="00020424">
        <w:rPr>
          <w:rtl/>
        </w:rPr>
        <w:t xml:space="preserve"> وقوله « نابذتكم بحرب » ، أي جاهرتكم بها وكاشفتكم إيّاها. راجع : </w:t>
      </w:r>
      <w:r w:rsidR="00992664" w:rsidRPr="0012008A">
        <w:rPr>
          <w:rStyle w:val="libFootnoteBoldChar"/>
          <w:rtl/>
        </w:rPr>
        <w:t>الصحاح</w:t>
      </w:r>
      <w:r w:rsidR="00992664" w:rsidRPr="00020424">
        <w:rPr>
          <w:rtl/>
        </w:rPr>
        <w:t xml:space="preserve"> ، ج 2 ، ص 571 ؛ </w:t>
      </w:r>
      <w:r w:rsidR="00992664" w:rsidRPr="00A722B1">
        <w:rPr>
          <w:rStyle w:val="libFootnoteBoldChar"/>
          <w:rtl/>
        </w:rPr>
        <w:t>المصباح المنير</w:t>
      </w:r>
      <w:r w:rsidR="00992664" w:rsidRPr="00020424">
        <w:rPr>
          <w:rtl/>
        </w:rPr>
        <w:t xml:space="preserve"> ، ص 590 ( نبذ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بح ، بر ، بف » وحاشية « بث » </w:t>
      </w:r>
      <w:r w:rsidR="00992664" w:rsidRPr="008E7F55">
        <w:rPr>
          <w:rtl/>
        </w:rPr>
        <w:t xml:space="preserve">والوافي </w:t>
      </w:r>
      <w:r w:rsidR="00992664" w:rsidRPr="00EB1FD9">
        <w:rPr>
          <w:rStyle w:val="libFootnoteBoldChar"/>
          <w:rtl/>
        </w:rPr>
        <w:t>والوسائل</w:t>
      </w:r>
      <w:r w:rsidR="00992664" w:rsidRPr="008E7F55">
        <w:rPr>
          <w:rtl/>
        </w:rPr>
        <w:t xml:space="preserve"> والبحار والتهذيب</w:t>
      </w:r>
      <w:r w:rsidR="00992664" w:rsidRPr="00020424">
        <w:rPr>
          <w:rtl/>
        </w:rPr>
        <w:t xml:space="preserve"> : « إلى النبيّ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E7F55" w:rsidTr="008E7F55">
        <w:tc>
          <w:tcPr>
            <w:tcW w:w="4006" w:type="dxa"/>
          </w:tcPr>
          <w:p w:rsidR="008E7F55" w:rsidRDefault="008E7F55" w:rsidP="00992664">
            <w:pPr>
              <w:pStyle w:val="libFootnote0"/>
              <w:rPr>
                <w:rtl/>
              </w:rPr>
            </w:pPr>
            <w:r>
              <w:rPr>
                <w:rtl/>
              </w:rPr>
              <w:t xml:space="preserve">(4). </w:t>
            </w:r>
            <w:r w:rsidRPr="00020424">
              <w:rPr>
                <w:rtl/>
              </w:rPr>
              <w:t xml:space="preserve">في </w:t>
            </w:r>
            <w:r w:rsidRPr="008E7F55">
              <w:rPr>
                <w:rtl/>
              </w:rPr>
              <w:t>الوافي</w:t>
            </w:r>
            <w:r w:rsidRPr="00020424">
              <w:rPr>
                <w:rtl/>
              </w:rPr>
              <w:t xml:space="preserve"> : « إلى</w:t>
            </w:r>
            <w:r>
              <w:rPr>
                <w:rtl/>
              </w:rPr>
              <w:t xml:space="preserve"> ».</w:t>
            </w:r>
          </w:p>
        </w:tc>
        <w:tc>
          <w:tcPr>
            <w:tcW w:w="4006" w:type="dxa"/>
          </w:tcPr>
          <w:p w:rsidR="008E7F55" w:rsidRDefault="008E7F55" w:rsidP="00992664">
            <w:pPr>
              <w:pStyle w:val="libFootnote0"/>
              <w:rPr>
                <w:rtl/>
              </w:rPr>
            </w:pPr>
            <w:r>
              <w:rPr>
                <w:rtl/>
              </w:rPr>
              <w:t xml:space="preserve">(5). </w:t>
            </w:r>
            <w:r w:rsidRPr="00020424">
              <w:rPr>
                <w:rtl/>
              </w:rPr>
              <w:t>في « ى » :</w:t>
            </w:r>
            <w:r>
              <w:rPr>
                <w:rtl/>
              </w:rPr>
              <w:t xml:space="preserve"> - </w:t>
            </w:r>
            <w:r w:rsidRPr="00020424">
              <w:rPr>
                <w:rtl/>
              </w:rPr>
              <w:t>« الجزية</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هَجَر » ، بفتحتين : بلد بقرب المدينة. وهَجَر أيضاً من بلاد نجد. وقيل : اسم بلد معروف بالبحرين. وفي </w:t>
      </w:r>
      <w:r w:rsidR="00992664" w:rsidRPr="0012008A">
        <w:rPr>
          <w:rStyle w:val="libFootnoteBoldChar"/>
          <w:rtl/>
        </w:rPr>
        <w:t>الوافي</w:t>
      </w:r>
      <w:r w:rsidR="00992664" w:rsidRPr="00020424">
        <w:rPr>
          <w:rtl/>
        </w:rPr>
        <w:t xml:space="preserve"> : « هجر</w:t>
      </w:r>
      <w:r w:rsidR="00992664">
        <w:rPr>
          <w:rtl/>
        </w:rPr>
        <w:t xml:space="preserve"> </w:t>
      </w:r>
      <w:r w:rsidR="009B673F">
        <w:rPr>
          <w:rtl/>
        </w:rPr>
        <w:t>-</w:t>
      </w:r>
      <w:r w:rsidR="00992664">
        <w:rPr>
          <w:rtl/>
        </w:rPr>
        <w:t xml:space="preserve"> </w:t>
      </w:r>
      <w:r w:rsidR="00992664" w:rsidRPr="00020424">
        <w:rPr>
          <w:rtl/>
        </w:rPr>
        <w:t>محرّكة</w:t>
      </w:r>
      <w:r w:rsidR="00992664">
        <w:rPr>
          <w:rtl/>
        </w:rPr>
        <w:t xml:space="preserve"> </w:t>
      </w:r>
      <w:r w:rsidR="009B673F">
        <w:rPr>
          <w:rtl/>
        </w:rPr>
        <w:t>-</w:t>
      </w:r>
      <w:r w:rsidR="00992664">
        <w:rPr>
          <w:rtl/>
        </w:rPr>
        <w:t xml:space="preserve"> </w:t>
      </w:r>
      <w:r w:rsidR="00992664" w:rsidRPr="00020424">
        <w:rPr>
          <w:rtl/>
        </w:rPr>
        <w:t>بلد باليمن ، وقرية كانت قرب المدينة ، واسم لجميع أرض البحرين</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5 ، ص 246 ؛ </w:t>
      </w:r>
      <w:r w:rsidR="00992664" w:rsidRPr="00A722B1">
        <w:rPr>
          <w:rStyle w:val="libFootnoteBoldChar"/>
          <w:rtl/>
        </w:rPr>
        <w:t>لسان العرب</w:t>
      </w:r>
      <w:r w:rsidR="00992664" w:rsidRPr="00020424">
        <w:rPr>
          <w:rtl/>
        </w:rPr>
        <w:t xml:space="preserve"> ، ج 5 ، ص 257 ؛ </w:t>
      </w:r>
      <w:r w:rsidR="00992664" w:rsidRPr="00A722B1">
        <w:rPr>
          <w:rStyle w:val="libFootnoteBoldChar"/>
          <w:rtl/>
        </w:rPr>
        <w:t>المصباح المنير</w:t>
      </w:r>
      <w:r w:rsidR="00992664" w:rsidRPr="00020424">
        <w:rPr>
          <w:rtl/>
        </w:rPr>
        <w:t xml:space="preserve"> ، ص 634 ( هجر )</w:t>
      </w:r>
      <w:r w:rsidR="00992664">
        <w:rPr>
          <w:rtl/>
        </w:rPr>
        <w:t>.</w:t>
      </w:r>
    </w:p>
    <w:tbl>
      <w:tblPr>
        <w:tblStyle w:val="TableGrid"/>
        <w:bidiVisual/>
        <w:tblW w:w="0" w:type="auto"/>
        <w:tblLook w:val="04A0" w:firstRow="1" w:lastRow="0" w:firstColumn="1" w:lastColumn="0" w:noHBand="0" w:noVBand="1"/>
      </w:tblPr>
      <w:tblGrid>
        <w:gridCol w:w="4006"/>
        <w:gridCol w:w="4006"/>
      </w:tblGrid>
      <w:tr w:rsidR="008E7F55" w:rsidTr="008E7F55">
        <w:tc>
          <w:tcPr>
            <w:tcW w:w="4006" w:type="dxa"/>
          </w:tcPr>
          <w:p w:rsidR="008E7F55" w:rsidRDefault="008E7F55" w:rsidP="00992664">
            <w:pPr>
              <w:pStyle w:val="libFootnote0"/>
              <w:rPr>
                <w:rtl/>
              </w:rPr>
            </w:pPr>
            <w:r>
              <w:rPr>
                <w:rtl/>
              </w:rPr>
              <w:t xml:space="preserve">(7). </w:t>
            </w:r>
            <w:r w:rsidRPr="00020424">
              <w:rPr>
                <w:rtl/>
              </w:rPr>
              <w:t xml:space="preserve">في </w:t>
            </w:r>
            <w:r w:rsidRPr="008E7F55">
              <w:rPr>
                <w:rtl/>
              </w:rPr>
              <w:t>الوسائل والتهذيب</w:t>
            </w:r>
            <w:r w:rsidRPr="00020424">
              <w:rPr>
                <w:rtl/>
              </w:rPr>
              <w:t xml:space="preserve"> ، ج 6 : « رسول الله</w:t>
            </w:r>
            <w:r>
              <w:rPr>
                <w:rtl/>
              </w:rPr>
              <w:t xml:space="preserve"> ».</w:t>
            </w:r>
          </w:p>
        </w:tc>
        <w:tc>
          <w:tcPr>
            <w:tcW w:w="4006" w:type="dxa"/>
          </w:tcPr>
          <w:p w:rsidR="008E7F55" w:rsidRDefault="008E7F55" w:rsidP="00992664">
            <w:pPr>
              <w:pStyle w:val="libFootnote0"/>
              <w:rPr>
                <w:rtl/>
              </w:rPr>
            </w:pPr>
            <w:r>
              <w:rPr>
                <w:rtl/>
              </w:rPr>
              <w:t xml:space="preserve">(8). </w:t>
            </w:r>
            <w:r w:rsidRPr="00020424">
              <w:rPr>
                <w:rtl/>
              </w:rPr>
              <w:t>في « بر » : « قتلوه</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ألف</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113 ، ح 332 ، معلّقاً عن الكليني. </w:t>
      </w:r>
      <w:r w:rsidR="00992664" w:rsidRPr="00DE76B9">
        <w:rPr>
          <w:rStyle w:val="libFootnoteBoldChar"/>
          <w:rtl/>
        </w:rPr>
        <w:t>وفيه</w:t>
      </w:r>
      <w:r w:rsidR="00992664" w:rsidRPr="00020424">
        <w:rPr>
          <w:rtl/>
        </w:rPr>
        <w:t xml:space="preserve"> ، ج 6 ، ص 158 ، ح 285 ، معلّقاً عن أحمد بن محمّد </w:t>
      </w:r>
      <w:r w:rsidR="008E7F55">
        <w:rPr>
          <w:rFonts w:hint="cs"/>
          <w:rtl/>
        </w:rPr>
        <w:t>.</w:t>
      </w:r>
      <w:r w:rsidR="00992664" w:rsidRPr="0012008A">
        <w:rPr>
          <w:rStyle w:val="libFootnoteBoldChar"/>
          <w:rtl/>
        </w:rPr>
        <w:t>الوافي</w:t>
      </w:r>
      <w:r w:rsidR="00992664" w:rsidRPr="00020424">
        <w:rPr>
          <w:rtl/>
        </w:rPr>
        <w:t xml:space="preserve"> ، ج 10 ، ص 347 ، ح 9676 ؛ </w:t>
      </w:r>
      <w:r w:rsidR="00992664" w:rsidRPr="0012008A">
        <w:rPr>
          <w:rStyle w:val="libFootnoteBoldChar"/>
          <w:rtl/>
        </w:rPr>
        <w:t>الوسائل</w:t>
      </w:r>
      <w:r w:rsidR="00992664" w:rsidRPr="00020424">
        <w:rPr>
          <w:rtl/>
        </w:rPr>
        <w:t xml:space="preserve"> ، ج 15 ، ص 126 ، ح 20131 ؛ </w:t>
      </w:r>
      <w:r w:rsidR="00992664" w:rsidRPr="0012008A">
        <w:rPr>
          <w:rStyle w:val="libFootnoteBoldChar"/>
          <w:rtl/>
        </w:rPr>
        <w:t>البحار</w:t>
      </w:r>
      <w:r w:rsidR="00992664" w:rsidRPr="00020424">
        <w:rPr>
          <w:rtl/>
        </w:rPr>
        <w:t xml:space="preserve"> ، ج 14 ، ص 463 ، ح 28.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بر ، بف » وحاشية « بح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عيسى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سَأَلْتُ أَبَا عَبْدِ اللهِ </w:t>
      </w:r>
      <w:r w:rsidRPr="00005A81">
        <w:rPr>
          <w:rStyle w:val="libAlaemChar"/>
          <w:rtl/>
        </w:rPr>
        <w:t>عليه‌السلام</w:t>
      </w:r>
      <w:r w:rsidRPr="00020424">
        <w:rPr>
          <w:rtl/>
          <w:lang w:bidi="fa-IR"/>
        </w:rPr>
        <w:t xml:space="preserve"> عَنْ صَدَقَاتِ أَهْلِ الْجِزْيَةِ </w:t>
      </w:r>
      <w:r w:rsidRPr="00A91B96">
        <w:rPr>
          <w:rStyle w:val="libFootnotenumChar"/>
          <w:rtl/>
        </w:rPr>
        <w:t>(1)</w:t>
      </w:r>
      <w:r w:rsidRPr="00020424">
        <w:rPr>
          <w:rtl/>
          <w:lang w:bidi="fa-IR"/>
        </w:rPr>
        <w:t xml:space="preserve"> ، وَمَا يُؤْخَذُ </w:t>
      </w:r>
      <w:r w:rsidRPr="00A91B96">
        <w:rPr>
          <w:rStyle w:val="libFootnotenumChar"/>
          <w:rtl/>
        </w:rPr>
        <w:t>(2)</w:t>
      </w:r>
      <w:r w:rsidRPr="00020424">
        <w:rPr>
          <w:rtl/>
          <w:lang w:bidi="fa-IR"/>
        </w:rPr>
        <w:t xml:space="preserve"> مِنْهُمْ </w:t>
      </w:r>
      <w:r w:rsidRPr="00A91B96">
        <w:rPr>
          <w:rStyle w:val="libFootnotenumChar"/>
          <w:rtl/>
        </w:rPr>
        <w:t>(3)</w:t>
      </w:r>
      <w:r w:rsidRPr="00020424">
        <w:rPr>
          <w:rtl/>
          <w:lang w:bidi="fa-IR"/>
        </w:rPr>
        <w:t xml:space="preserve"> مِنْ ثَمَنِ خُمُورِهِمْ وَلَحْمِ </w:t>
      </w:r>
      <w:r w:rsidRPr="00A91B96">
        <w:rPr>
          <w:rStyle w:val="libFootnotenumChar"/>
          <w:rtl/>
        </w:rPr>
        <w:t>(4)</w:t>
      </w:r>
      <w:r w:rsidRPr="00020424">
        <w:rPr>
          <w:rtl/>
          <w:lang w:bidi="fa-IR"/>
        </w:rPr>
        <w:t xml:space="preserve"> خَنَازِيرِهِمْ وَمَيِّتِهِمْ </w:t>
      </w:r>
      <w:r w:rsidRPr="00A91B96">
        <w:rPr>
          <w:rStyle w:val="libFootnotenumChar"/>
          <w:rtl/>
        </w:rPr>
        <w:t>(5)</w:t>
      </w:r>
      <w:r>
        <w:rPr>
          <w:rtl/>
          <w:lang w:bidi="fa-IR"/>
        </w:rPr>
        <w:t>؟</w:t>
      </w:r>
    </w:p>
    <w:p w:rsidR="00992664" w:rsidRPr="00020424" w:rsidRDefault="00992664" w:rsidP="00992664">
      <w:pPr>
        <w:pStyle w:val="libNormal"/>
        <w:rPr>
          <w:rtl/>
          <w:lang w:bidi="fa-IR"/>
        </w:rPr>
      </w:pPr>
      <w:r w:rsidRPr="00020424">
        <w:rPr>
          <w:rtl/>
          <w:lang w:bidi="fa-IR"/>
        </w:rPr>
        <w:t xml:space="preserve">قَالَ : « عَلَيْهِمُ الْجِزْيَةُ </w:t>
      </w:r>
      <w:r w:rsidRPr="00A91B96">
        <w:rPr>
          <w:rStyle w:val="libFootnotenumChar"/>
          <w:rtl/>
        </w:rPr>
        <w:t>(6)</w:t>
      </w:r>
      <w:r w:rsidRPr="00020424">
        <w:rPr>
          <w:rtl/>
          <w:lang w:bidi="fa-IR"/>
        </w:rPr>
        <w:t xml:space="preserve"> فِي أَمْوَالِهِمْ ، يُؤْخَذُ </w:t>
      </w:r>
      <w:r w:rsidRPr="00A91B96">
        <w:rPr>
          <w:rStyle w:val="libFootnotenumChar"/>
          <w:rtl/>
        </w:rPr>
        <w:t>(7)</w:t>
      </w:r>
      <w:r w:rsidRPr="00020424">
        <w:rPr>
          <w:rtl/>
          <w:lang w:bidi="fa-IR"/>
        </w:rPr>
        <w:t xml:space="preserve"> مِنْهُمْ </w:t>
      </w:r>
      <w:r w:rsidRPr="00A91B96">
        <w:rPr>
          <w:rStyle w:val="libFootnotenumChar"/>
          <w:rtl/>
        </w:rPr>
        <w:t>(8)</w:t>
      </w:r>
      <w:r w:rsidRPr="00020424">
        <w:rPr>
          <w:rtl/>
          <w:lang w:bidi="fa-IR"/>
        </w:rPr>
        <w:t xml:space="preserve"> مِنْ ثَمَنِ لَحْمِ الْخِنْزِيرِ أَوْ خَمْرٍ </w:t>
      </w:r>
      <w:r w:rsidRPr="00A91B96">
        <w:rPr>
          <w:rStyle w:val="libFootnotenumChar"/>
          <w:rtl/>
        </w:rPr>
        <w:t>(9)</w:t>
      </w:r>
      <w:r w:rsidRPr="00020424">
        <w:rPr>
          <w:rtl/>
          <w:lang w:bidi="fa-IR"/>
        </w:rPr>
        <w:t xml:space="preserve"> ، وَكُلُّ </w:t>
      </w:r>
      <w:r w:rsidRPr="00A91B96">
        <w:rPr>
          <w:rStyle w:val="libFootnotenumChar"/>
          <w:rtl/>
        </w:rPr>
        <w:t>(10)</w:t>
      </w:r>
      <w:r w:rsidRPr="00020424">
        <w:rPr>
          <w:rtl/>
          <w:lang w:bidi="fa-IR"/>
        </w:rPr>
        <w:t xml:space="preserve"> مَا </w:t>
      </w:r>
      <w:r w:rsidRPr="00A91B96">
        <w:rPr>
          <w:rStyle w:val="libFootnotenumChar"/>
          <w:rtl/>
        </w:rPr>
        <w:t>(11)</w:t>
      </w:r>
      <w:r w:rsidRPr="00020424">
        <w:rPr>
          <w:rtl/>
          <w:lang w:bidi="fa-IR"/>
        </w:rPr>
        <w:t xml:space="preserve"> أَخَذُوا مِنْهُمْ مِنْ ذلِكَ ، فَوِزْرُ ذلِكَ </w:t>
      </w:r>
      <w:r w:rsidRPr="00A91B96">
        <w:rPr>
          <w:rStyle w:val="libFootnotenumChar"/>
          <w:rtl/>
        </w:rPr>
        <w:t>(12)</w:t>
      </w:r>
      <w:r w:rsidRPr="00020424">
        <w:rPr>
          <w:rtl/>
          <w:lang w:bidi="fa-IR"/>
        </w:rPr>
        <w:t xml:space="preserve"> عَلَيْهِمْ ، وَثَمَنُهُ لِلْمُسْلِمِينَ حَلَالٌ ، يَأْخُذُونَهُ </w:t>
      </w:r>
      <w:r w:rsidRPr="00A91B96">
        <w:rPr>
          <w:rStyle w:val="libFootnotenumChar"/>
          <w:rtl/>
        </w:rPr>
        <w:t>(13)</w:t>
      </w:r>
      <w:r w:rsidRPr="00020424">
        <w:rPr>
          <w:rtl/>
          <w:lang w:bidi="fa-IR"/>
        </w:rPr>
        <w:t xml:space="preserve"> فِي جِزْيَتِهِمْ</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Normal"/>
        <w:rPr>
          <w:rtl/>
          <w:lang w:bidi="fa-IR"/>
        </w:rPr>
      </w:pPr>
      <w:r w:rsidRPr="00010736">
        <w:rPr>
          <w:rtl/>
        </w:rPr>
        <w:t>5995</w:t>
      </w:r>
      <w:r w:rsidRPr="001155DE">
        <w:rPr>
          <w:rStyle w:val="libBold2Char"/>
          <w:rtl/>
        </w:rPr>
        <w:t xml:space="preserve"> / 6.</w:t>
      </w:r>
      <w:r w:rsidRPr="00020424">
        <w:rPr>
          <w:rtl/>
          <w:lang w:bidi="fa-IR"/>
        </w:rPr>
        <w:t xml:space="preserve"> عِدَّةٌ مِنْ أَصْحَابِنَا ، عَنْ سَهْلِ بْنِ زِيَادٍ ، عَنْ أَحْمَدَ بْنِ مُحَمَّدِ بْنِ أَبِي نَصْرٍ ، عَنِ ابْنِ أَبِي يَعْفُورٍ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أَرْضَ الْجِزْيَةِ لَاتُرْفَعُ عَنْهَا </w:t>
      </w:r>
      <w:r w:rsidRPr="00A91B96">
        <w:rPr>
          <w:rStyle w:val="libFootnotenumChar"/>
          <w:rtl/>
        </w:rPr>
        <w:t>(15)</w:t>
      </w:r>
      <w:r w:rsidRPr="00020424">
        <w:rPr>
          <w:rtl/>
          <w:lang w:bidi="fa-IR"/>
        </w:rPr>
        <w:t xml:space="preserve"> الْجِزْيَةُ ، وَإِنَّمَا الْجِزْيَةُ‌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بر ، بف » وحاشية « بث » </w:t>
      </w:r>
      <w:r w:rsidR="00992664" w:rsidRPr="008E7F55">
        <w:rPr>
          <w:rtl/>
        </w:rPr>
        <w:t xml:space="preserve">والوافي </w:t>
      </w:r>
      <w:r w:rsidR="00992664" w:rsidRPr="00EB1FD9">
        <w:rPr>
          <w:rStyle w:val="libFootnoteBoldChar"/>
          <w:rtl/>
        </w:rPr>
        <w:t>والوسائل</w:t>
      </w:r>
      <w:r w:rsidR="00992664" w:rsidRPr="008E7F55">
        <w:rPr>
          <w:rtl/>
        </w:rPr>
        <w:t xml:space="preserve"> والتهذيب</w:t>
      </w:r>
      <w:r w:rsidR="00992664" w:rsidRPr="00020424">
        <w:rPr>
          <w:rtl/>
        </w:rPr>
        <w:t xml:space="preserve"> : « الذمّة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جن » : « وما تؤخذ</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 + « من جزيتهم</w:t>
      </w:r>
      <w:r w:rsidR="00992664">
        <w:rPr>
          <w:rtl/>
        </w:rPr>
        <w:t xml:space="preserve"> ».</w:t>
      </w:r>
      <w:r w:rsidR="00992664" w:rsidRPr="00020424">
        <w:rPr>
          <w:rtl/>
        </w:rPr>
        <w:t xml:space="preserve"> وفي « بر ، بف » </w:t>
      </w:r>
      <w:r w:rsidR="00992664" w:rsidRPr="008E7F55">
        <w:rPr>
          <w:rtl/>
        </w:rPr>
        <w:t xml:space="preserve">والوافي </w:t>
      </w:r>
      <w:r w:rsidR="00992664" w:rsidRPr="00EB1FD9">
        <w:rPr>
          <w:rStyle w:val="libFootnoteBoldChar"/>
          <w:rtl/>
        </w:rPr>
        <w:t>والوسائل</w:t>
      </w:r>
      <w:r w:rsidR="00992664" w:rsidRPr="008E7F55">
        <w:rPr>
          <w:rtl/>
        </w:rPr>
        <w:t xml:space="preserve"> </w:t>
      </w:r>
      <w:r w:rsidR="00992664" w:rsidRPr="00FD6221">
        <w:rPr>
          <w:rStyle w:val="libFootnoteBoldChar"/>
          <w:rtl/>
        </w:rPr>
        <w:t>والفقيه</w:t>
      </w:r>
      <w:r w:rsidR="00992664" w:rsidRPr="008E7F55">
        <w:rPr>
          <w:rtl/>
        </w:rPr>
        <w:t xml:space="preserve"> والتهذيب :</w:t>
      </w:r>
      <w:r w:rsidR="00992664" w:rsidRPr="00020424">
        <w:rPr>
          <w:rtl/>
        </w:rPr>
        <w:t xml:space="preserve"> « من جزيتهم » بدل « منهم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8E7F55">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لحم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ميّتهم</w:t>
      </w:r>
      <w:r w:rsidR="00992664">
        <w:rPr>
          <w:rtl/>
        </w:rPr>
        <w:t xml:space="preserve"> ».</w:t>
      </w:r>
      <w:r w:rsidR="00992664" w:rsidRPr="00020424">
        <w:rPr>
          <w:rtl/>
        </w:rPr>
        <w:t xml:space="preserve"> وفي </w:t>
      </w:r>
      <w:r w:rsidR="00992664" w:rsidRPr="008E7F55">
        <w:rPr>
          <w:rtl/>
        </w:rPr>
        <w:t xml:space="preserve">الوسائل </w:t>
      </w:r>
      <w:r w:rsidR="00992664" w:rsidRPr="00FD6221">
        <w:rPr>
          <w:rStyle w:val="libFootnoteBoldChar"/>
          <w:rtl/>
        </w:rPr>
        <w:t>والفقيه</w:t>
      </w:r>
      <w:r w:rsidR="00992664" w:rsidRPr="008E7F55">
        <w:rPr>
          <w:rtl/>
        </w:rPr>
        <w:t xml:space="preserve"> والتهذيب</w:t>
      </w:r>
      <w:r w:rsidR="00992664" w:rsidRPr="00020424">
        <w:rPr>
          <w:rtl/>
        </w:rPr>
        <w:t xml:space="preserve"> : « ميتتهم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8E7F55">
        <w:rPr>
          <w:rtl/>
        </w:rPr>
        <w:t>الفقيه</w:t>
      </w:r>
      <w:r w:rsidR="00992664" w:rsidRPr="00020424">
        <w:rPr>
          <w:rtl/>
        </w:rPr>
        <w:t xml:space="preserve"> : « الذمّة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بس » </w:t>
      </w:r>
      <w:r w:rsidR="00992664" w:rsidRPr="008E7F55">
        <w:rPr>
          <w:rtl/>
        </w:rPr>
        <w:t xml:space="preserve">والوافي </w:t>
      </w:r>
      <w:r w:rsidR="00992664" w:rsidRPr="00EB1FD9">
        <w:rPr>
          <w:rStyle w:val="libFootnoteBoldChar"/>
          <w:rtl/>
        </w:rPr>
        <w:t>والوسائل</w:t>
      </w:r>
      <w:r w:rsidR="00992664" w:rsidRPr="008E7F55">
        <w:rPr>
          <w:rtl/>
        </w:rPr>
        <w:t xml:space="preserve"> والتهذيب</w:t>
      </w:r>
      <w:r w:rsidR="00992664" w:rsidRPr="00020424">
        <w:rPr>
          <w:rtl/>
        </w:rPr>
        <w:t xml:space="preserve"> ، ص 135 : « تؤخذ</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8E7F55">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منهم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8E7F55">
        <w:rPr>
          <w:rtl/>
        </w:rPr>
        <w:t>الوافي</w:t>
      </w:r>
      <w:r w:rsidR="00992664" w:rsidRPr="00020424">
        <w:rPr>
          <w:rtl/>
        </w:rPr>
        <w:t xml:space="preserve"> : « أو الخمر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بث ، بح ، بر ، بف » </w:t>
      </w:r>
      <w:r w:rsidR="00992664" w:rsidRPr="00EB1FD9">
        <w:rPr>
          <w:rStyle w:val="libFootnoteBoldChar"/>
          <w:rtl/>
        </w:rPr>
        <w:t>والوسائل</w:t>
      </w:r>
      <w:r w:rsidR="00992664" w:rsidRPr="008E7F55">
        <w:rPr>
          <w:rtl/>
        </w:rPr>
        <w:t xml:space="preserve"> والتهذيب</w:t>
      </w:r>
      <w:r w:rsidR="00992664" w:rsidRPr="00020424">
        <w:rPr>
          <w:rtl/>
        </w:rPr>
        <w:t xml:space="preserve"> : « فكلّ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E7F55" w:rsidTr="008E7F55">
        <w:tc>
          <w:tcPr>
            <w:tcW w:w="4006" w:type="dxa"/>
          </w:tcPr>
          <w:p w:rsidR="008E7F55" w:rsidRDefault="008E7F55" w:rsidP="00992664">
            <w:pPr>
              <w:pStyle w:val="libFootnote0"/>
              <w:rPr>
                <w:rtl/>
              </w:rPr>
            </w:pPr>
            <w:r>
              <w:rPr>
                <w:rtl/>
              </w:rPr>
              <w:t xml:space="preserve">(11). </w:t>
            </w:r>
            <w:r w:rsidRPr="00020424">
              <w:rPr>
                <w:rtl/>
              </w:rPr>
              <w:t xml:space="preserve">في </w:t>
            </w:r>
            <w:r w:rsidRPr="008E7F55">
              <w:rPr>
                <w:rtl/>
              </w:rPr>
              <w:t>الوافي</w:t>
            </w:r>
            <w:r w:rsidRPr="00020424">
              <w:rPr>
                <w:rtl/>
              </w:rPr>
              <w:t xml:space="preserve"> : « فكلّما » بدل « وكلّ ما</w:t>
            </w:r>
            <w:r>
              <w:rPr>
                <w:rtl/>
              </w:rPr>
              <w:t xml:space="preserve"> ».</w:t>
            </w:r>
          </w:p>
        </w:tc>
        <w:tc>
          <w:tcPr>
            <w:tcW w:w="4006" w:type="dxa"/>
          </w:tcPr>
          <w:p w:rsidR="008E7F55" w:rsidRDefault="008E7F55" w:rsidP="00992664">
            <w:pPr>
              <w:pStyle w:val="libFootnote0"/>
              <w:rPr>
                <w:rtl/>
              </w:rPr>
            </w:pPr>
            <w:r>
              <w:rPr>
                <w:rtl/>
              </w:rPr>
              <w:t xml:space="preserve">(12). </w:t>
            </w:r>
            <w:r w:rsidRPr="00020424">
              <w:rPr>
                <w:rtl/>
              </w:rPr>
              <w:t>في « ى » :</w:t>
            </w:r>
            <w:r>
              <w:rPr>
                <w:rtl/>
              </w:rPr>
              <w:t xml:space="preserve"> - </w:t>
            </w:r>
            <w:r w:rsidRPr="00020424">
              <w:rPr>
                <w:rtl/>
              </w:rPr>
              <w:t>« ذلك</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قال الفاضل التستريّ : فيه دلالة على أنّ الكافر يؤخذ بما يستحلّه إذا كان حراماً في شريعة الإسلام ، وأنّ ما يأخذونه على اعتقاد حلّ حلال علينا وإن كان ذلك الأخذ حراماً عندنا ، ولعلّ من هذا القبيل ما يأخذه السلطان الجائر من الخراج والمقاسمة وأشباههما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التهذيب</w:t>
      </w:r>
      <w:r w:rsidR="00992664" w:rsidRPr="00020424">
        <w:rPr>
          <w:rtl/>
        </w:rPr>
        <w:t xml:space="preserve"> ، ج 4 ، ص 113 ، ح 333 ؛ وص 135 ، ح 379 ، معلّقاً عن الكليني. </w:t>
      </w:r>
      <w:r w:rsidR="00992664" w:rsidRPr="0012008A">
        <w:rPr>
          <w:rStyle w:val="libFootnoteBoldChar"/>
          <w:rtl/>
        </w:rPr>
        <w:t>الفقيه</w:t>
      </w:r>
      <w:r w:rsidR="00992664" w:rsidRPr="00020424">
        <w:rPr>
          <w:rtl/>
        </w:rPr>
        <w:t xml:space="preserve"> ، ج 2 ، ص 52 ، ح 1673 ، معلّقاً عن محمّد بن مسلم. </w:t>
      </w:r>
      <w:r w:rsidR="00992664" w:rsidRPr="0012008A">
        <w:rPr>
          <w:rStyle w:val="libFootnoteBoldChar"/>
          <w:rtl/>
        </w:rPr>
        <w:t>المقنعة</w:t>
      </w:r>
      <w:r w:rsidR="00992664" w:rsidRPr="00020424">
        <w:rPr>
          <w:rtl/>
        </w:rPr>
        <w:t xml:space="preserve"> ، ص 279 ، مرسلاً عن محمّد بن مسلم ، عن أبي عبدالله </w:t>
      </w:r>
      <w:r w:rsidR="00992664" w:rsidRPr="00D64ADA">
        <w:rPr>
          <w:rStyle w:val="libFootnoteAlaemChar"/>
          <w:rtl/>
        </w:rPr>
        <w:t>عليه‌السلام</w:t>
      </w:r>
      <w:r w:rsidR="00992664" w:rsidRPr="00020424">
        <w:rPr>
          <w:rtl/>
        </w:rPr>
        <w:t xml:space="preserve"> ، وفي الأخيرين مع اختلاف يسير </w:t>
      </w:r>
      <w:r w:rsidR="008E7F55">
        <w:rPr>
          <w:rFonts w:hint="cs"/>
          <w:rtl/>
        </w:rPr>
        <w:t>.</w:t>
      </w:r>
      <w:r w:rsidR="00992664" w:rsidRPr="0012008A">
        <w:rPr>
          <w:rStyle w:val="libFootnoteBoldChar"/>
          <w:rtl/>
        </w:rPr>
        <w:t>الوافي</w:t>
      </w:r>
      <w:r w:rsidR="00992664" w:rsidRPr="00020424">
        <w:rPr>
          <w:rtl/>
        </w:rPr>
        <w:t xml:space="preserve"> ، ج 10 ، ص 350 ، ح 9683 ؛ </w:t>
      </w:r>
      <w:r w:rsidR="00992664" w:rsidRPr="0012008A">
        <w:rPr>
          <w:rStyle w:val="libFootnoteBoldChar"/>
          <w:rtl/>
        </w:rPr>
        <w:t>الوسائل</w:t>
      </w:r>
      <w:r w:rsidR="00992664" w:rsidRPr="00020424">
        <w:rPr>
          <w:rtl/>
        </w:rPr>
        <w:t xml:space="preserve"> ، ج 15 ، ص 154 ، ح 20195.</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ى ، بث ، بح ، بس ، جن » </w:t>
      </w:r>
      <w:r w:rsidR="00992664" w:rsidRPr="008E7F55">
        <w:rPr>
          <w:rtl/>
        </w:rPr>
        <w:t xml:space="preserve">والوافي </w:t>
      </w:r>
      <w:r w:rsidR="00992664" w:rsidRPr="00EB1FD9">
        <w:rPr>
          <w:rStyle w:val="libFootnoteBoldChar"/>
          <w:rtl/>
        </w:rPr>
        <w:t>والوسائل</w:t>
      </w:r>
      <w:r w:rsidR="00992664" w:rsidRPr="008E7F55">
        <w:rPr>
          <w:rtl/>
        </w:rPr>
        <w:t xml:space="preserve"> والتهذيب</w:t>
      </w:r>
      <w:r w:rsidR="00992664" w:rsidRPr="00020424">
        <w:rPr>
          <w:rtl/>
        </w:rPr>
        <w:t xml:space="preserve"> ، ص 118 و136 : « عنهم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8E7F55">
      <w:pPr>
        <w:pStyle w:val="libNormal0"/>
        <w:rPr>
          <w:rtl/>
          <w:lang w:bidi="fa-IR"/>
        </w:rPr>
      </w:pPr>
      <w:r w:rsidRPr="00020424">
        <w:rPr>
          <w:rtl/>
          <w:lang w:bidi="fa-IR"/>
        </w:rPr>
        <w:lastRenderedPageBreak/>
        <w:t xml:space="preserve">عَطَاءُ الْمُهَاجِرِينَ </w:t>
      </w:r>
      <w:r w:rsidRPr="00A91B96">
        <w:rPr>
          <w:rStyle w:val="libFootnotenumChar"/>
          <w:rtl/>
        </w:rPr>
        <w:t>(1)</w:t>
      </w:r>
      <w:r w:rsidRPr="00020424">
        <w:rPr>
          <w:rtl/>
          <w:lang w:bidi="fa-IR"/>
        </w:rPr>
        <w:t xml:space="preserve"> ، وَالصَّدَقَةُ </w:t>
      </w:r>
      <w:r w:rsidRPr="00A91B96">
        <w:rPr>
          <w:rStyle w:val="libFootnotenumChar"/>
          <w:rtl/>
        </w:rPr>
        <w:t>(2)</w:t>
      </w:r>
      <w:r w:rsidRPr="00020424">
        <w:rPr>
          <w:rtl/>
          <w:lang w:bidi="fa-IR"/>
        </w:rPr>
        <w:t xml:space="preserve"> لِأَهْلِهَا الَّذِينَ </w:t>
      </w:r>
      <w:r w:rsidRPr="00A91B96">
        <w:rPr>
          <w:rStyle w:val="libFootnotenumChar"/>
          <w:rtl/>
        </w:rPr>
        <w:t>(3)</w:t>
      </w:r>
      <w:r w:rsidRPr="00020424">
        <w:rPr>
          <w:rtl/>
          <w:lang w:bidi="fa-IR"/>
        </w:rPr>
        <w:t xml:space="preserve"> سَمَّى </w:t>
      </w:r>
      <w:r w:rsidRPr="00A91B96">
        <w:rPr>
          <w:rStyle w:val="libFootnotenumChar"/>
          <w:rtl/>
        </w:rPr>
        <w:t>(4)</w:t>
      </w:r>
      <w:r w:rsidRPr="00020424">
        <w:rPr>
          <w:rtl/>
          <w:lang w:bidi="fa-IR"/>
        </w:rPr>
        <w:t xml:space="preserve"> اللهُ فِي كِتَابِهِ ، وَلَيْسَ </w:t>
      </w:r>
      <w:r w:rsidRPr="00A91B96">
        <w:rPr>
          <w:rStyle w:val="libFootnotenumChar"/>
          <w:rtl/>
        </w:rPr>
        <w:t>(5)</w:t>
      </w:r>
      <w:r w:rsidRPr="00020424">
        <w:rPr>
          <w:rtl/>
          <w:lang w:bidi="fa-IR"/>
        </w:rPr>
        <w:t xml:space="preserve"> لَهُمْ مِنَ </w:t>
      </w:r>
      <w:r w:rsidRPr="00A91B96">
        <w:rPr>
          <w:rStyle w:val="libFootnotenumChar"/>
          <w:rtl/>
        </w:rPr>
        <w:t>(6)</w:t>
      </w:r>
      <w:r w:rsidRPr="00020424">
        <w:rPr>
          <w:rtl/>
          <w:lang w:bidi="fa-IR"/>
        </w:rPr>
        <w:t xml:space="preserve"> الْجِزْيَةِ شَيْ‌ءٌ » ثُمَّ قَالَ : « مَا أَوْسَعَ </w:t>
      </w:r>
      <w:r w:rsidRPr="00A91B96">
        <w:rPr>
          <w:rStyle w:val="libFootnotenumChar"/>
          <w:rtl/>
        </w:rPr>
        <w:t>(7)</w:t>
      </w:r>
      <w:r w:rsidRPr="00020424">
        <w:rPr>
          <w:rtl/>
          <w:lang w:bidi="fa-IR"/>
        </w:rPr>
        <w:t xml:space="preserve"> الْعَدْلَ</w:t>
      </w:r>
      <w:r>
        <w:rPr>
          <w:rtl/>
          <w:lang w:bidi="fa-IR"/>
        </w:rPr>
        <w:t>!</w:t>
      </w:r>
      <w:r w:rsidRPr="00020424">
        <w:rPr>
          <w:rtl/>
          <w:lang w:bidi="fa-IR"/>
        </w:rPr>
        <w:t xml:space="preserve"> » ثُمَّ قَالَ </w:t>
      </w:r>
      <w:r w:rsidRPr="00A91B96">
        <w:rPr>
          <w:rStyle w:val="libFootnotenumChar"/>
          <w:rtl/>
        </w:rPr>
        <w:t>(8)</w:t>
      </w:r>
      <w:r w:rsidRPr="00020424">
        <w:rPr>
          <w:rtl/>
          <w:lang w:bidi="fa-IR"/>
        </w:rPr>
        <w:t xml:space="preserve"> : « إِنَّ النَّاسَ يَسْتَغْنُونَ </w:t>
      </w:r>
      <w:r w:rsidRPr="00A91B96">
        <w:rPr>
          <w:rStyle w:val="libFootnotenumChar"/>
          <w:rtl/>
        </w:rPr>
        <w:t>(9)</w:t>
      </w:r>
      <w:r w:rsidRPr="00020424">
        <w:rPr>
          <w:rtl/>
          <w:lang w:bidi="fa-IR"/>
        </w:rPr>
        <w:t xml:space="preserve"> إِذَا عُدِلَ بَيْنَهُمْ ، وَتُنْزِلُ </w:t>
      </w:r>
      <w:r w:rsidRPr="00A91B96">
        <w:rPr>
          <w:rStyle w:val="libFootnotenumChar"/>
          <w:rtl/>
        </w:rPr>
        <w:t>(10)</w:t>
      </w:r>
      <w:r w:rsidRPr="00020424">
        <w:rPr>
          <w:rtl/>
          <w:lang w:bidi="fa-IR"/>
        </w:rPr>
        <w:t xml:space="preserve"> السَّمَاءُ رِزْقَهَا ، وَتُخْرِجُ الْأَرْضُ بَرَكَتَهَا بِإِذْنِ اللهِ تَعَالى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661CD1">
        <w:rPr>
          <w:rtl/>
        </w:rPr>
        <w:t>5996</w:t>
      </w:r>
      <w:r w:rsidRPr="001155DE">
        <w:rPr>
          <w:rStyle w:val="libBold2Char"/>
          <w:rtl/>
        </w:rPr>
        <w:t xml:space="preserve"> / 7.</w:t>
      </w:r>
      <w:r w:rsidRPr="00020424">
        <w:rPr>
          <w:rtl/>
          <w:lang w:bidi="fa-IR"/>
        </w:rPr>
        <w:t xml:space="preserve"> مُحَمَّدُ بْنُ يَحْيى ، عَنْ أَحْمَدَ بْنِ مُحَمَّدٍ ، عَنِ الْحَسَنِ </w:t>
      </w:r>
      <w:r w:rsidRPr="00A91B96">
        <w:rPr>
          <w:rStyle w:val="libFootnotenumChar"/>
          <w:rtl/>
        </w:rPr>
        <w:t>(13)</w:t>
      </w:r>
      <w:r w:rsidRPr="00020424">
        <w:rPr>
          <w:rtl/>
          <w:lang w:bidi="fa-IR"/>
        </w:rPr>
        <w:t xml:space="preserve"> بْنِ مَحْبُوبٍ ، عَنْ أَبِي أَيُّوبَ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أَهْلِ الْجِزْيَةِ : يُؤْخَذُ </w:t>
      </w:r>
      <w:r w:rsidRPr="00A91B96">
        <w:rPr>
          <w:rStyle w:val="libFootnotenumChar"/>
          <w:rtl/>
        </w:rPr>
        <w:t>(14)</w:t>
      </w:r>
      <w:r w:rsidRPr="00020424">
        <w:rPr>
          <w:rtl/>
          <w:lang w:bidi="fa-IR"/>
        </w:rPr>
        <w:t xml:space="preserve"> مِنْ أَمْوَالِهِمْ وَمَوَاشِيهِمْ </w:t>
      </w:r>
      <w:r w:rsidRPr="00A91B96">
        <w:rPr>
          <w:rStyle w:val="libFootnotenumChar"/>
          <w:rtl/>
        </w:rPr>
        <w:t>(15)</w:t>
      </w:r>
      <w:r w:rsidRPr="00020424">
        <w:rPr>
          <w:rtl/>
          <w:lang w:bidi="fa-IR"/>
        </w:rPr>
        <w:t xml:space="preserve"> شَيْ‌ءٌ سِوَى الْجِزْيَةِ</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6B544A">
        <w:rPr>
          <w:rtl/>
        </w:rPr>
        <w:t>الفقيه</w:t>
      </w:r>
      <w:r w:rsidR="00992664" w:rsidRPr="00020424">
        <w:rPr>
          <w:rtl/>
        </w:rPr>
        <w:t xml:space="preserve"> : « المجاهدين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6B544A">
        <w:rPr>
          <w:rtl/>
        </w:rPr>
        <w:t>الوافي</w:t>
      </w:r>
      <w:r w:rsidR="00992664" w:rsidRPr="00020424">
        <w:rPr>
          <w:rtl/>
        </w:rPr>
        <w:t xml:space="preserve"> : « والصدقات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جن » : « الذي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4166F8">
        <w:rPr>
          <w:rtl/>
        </w:rPr>
        <w:t>التهذيب</w:t>
      </w:r>
      <w:r w:rsidR="00992664" w:rsidRPr="00020424">
        <w:rPr>
          <w:rtl/>
        </w:rPr>
        <w:t xml:space="preserve"> ، ص 136 : « سمّاهم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4166F8">
        <w:rPr>
          <w:rtl/>
        </w:rPr>
        <w:t>الوسائل</w:t>
      </w:r>
      <w:r w:rsidR="00992664" w:rsidRPr="00020424">
        <w:rPr>
          <w:rtl/>
        </w:rPr>
        <w:t xml:space="preserve"> : « فليس</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4166F8">
        <w:rPr>
          <w:rtl/>
        </w:rPr>
        <w:t>الوافي</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A05922">
        <w:rPr>
          <w:rtl/>
        </w:rPr>
        <w:t>والوافي والوسائل والفقيه والتهذيب</w:t>
      </w:r>
      <w:r w:rsidR="00992664" w:rsidRPr="00020424">
        <w:rPr>
          <w:rtl/>
        </w:rPr>
        <w:t>. وفي المطبوع : + « [ الله ]</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ثمّ 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118 : « يتّسعون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166F8" w:rsidTr="004166F8">
        <w:tc>
          <w:tcPr>
            <w:tcW w:w="4006" w:type="dxa"/>
          </w:tcPr>
          <w:p w:rsidR="004166F8" w:rsidRDefault="004166F8" w:rsidP="00992664">
            <w:pPr>
              <w:pStyle w:val="libFootnote0"/>
              <w:rPr>
                <w:rtl/>
              </w:rPr>
            </w:pPr>
            <w:r>
              <w:rPr>
                <w:rtl/>
              </w:rPr>
              <w:t xml:space="preserve">(10). </w:t>
            </w:r>
            <w:r w:rsidRPr="00020424">
              <w:rPr>
                <w:rtl/>
              </w:rPr>
              <w:t xml:space="preserve">في </w:t>
            </w:r>
            <w:r w:rsidRPr="004166F8">
              <w:rPr>
                <w:rtl/>
              </w:rPr>
              <w:t>الوافي</w:t>
            </w:r>
            <w:r w:rsidRPr="00020424">
              <w:rPr>
                <w:rtl/>
              </w:rPr>
              <w:t xml:space="preserve"> : « وينزل</w:t>
            </w:r>
            <w:r>
              <w:rPr>
                <w:rtl/>
              </w:rPr>
              <w:t xml:space="preserve"> ».</w:t>
            </w:r>
          </w:p>
        </w:tc>
        <w:tc>
          <w:tcPr>
            <w:tcW w:w="4006" w:type="dxa"/>
          </w:tcPr>
          <w:p w:rsidR="004166F8" w:rsidRDefault="004166F8" w:rsidP="00992664">
            <w:pPr>
              <w:pStyle w:val="libFootnote0"/>
              <w:rPr>
                <w:rtl/>
              </w:rPr>
            </w:pPr>
            <w:r>
              <w:rPr>
                <w:rtl/>
              </w:rPr>
              <w:t xml:space="preserve">(11). </w:t>
            </w:r>
            <w:r w:rsidRPr="00020424">
              <w:rPr>
                <w:rtl/>
              </w:rPr>
              <w:t>في « بح » : + « وليس لهم من الجزية شي‌ء</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136 ، ح 380 ، معلّقاً عن الكليني. </w:t>
      </w:r>
      <w:r w:rsidR="00992664" w:rsidRPr="00DE76B9">
        <w:rPr>
          <w:rStyle w:val="libFootnoteBoldChar"/>
          <w:rtl/>
        </w:rPr>
        <w:t>وفيه</w:t>
      </w:r>
      <w:r w:rsidR="00992664" w:rsidRPr="00020424">
        <w:rPr>
          <w:rtl/>
        </w:rPr>
        <w:t xml:space="preserve"> ، ص 118 ، ذيل ح 1 ؛ </w:t>
      </w:r>
      <w:r w:rsidR="00992664" w:rsidRPr="00FD6221">
        <w:rPr>
          <w:rStyle w:val="libFootnoteBoldChar"/>
          <w:rtl/>
        </w:rPr>
        <w:t>والفقيه</w:t>
      </w:r>
      <w:r w:rsidR="00992664" w:rsidRPr="00020424">
        <w:rPr>
          <w:rtl/>
        </w:rPr>
        <w:t xml:space="preserve"> ، ج 2 ، ص 53 ، ذيل ح 1677 ، بسند آخر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279 ، مرسلاً ، وفي الثلاثة الأخيرة مع اختلاف يسير </w:t>
      </w:r>
      <w:r w:rsidR="004166F8">
        <w:rPr>
          <w:rFonts w:hint="cs"/>
          <w:rtl/>
        </w:rPr>
        <w:t>.</w:t>
      </w:r>
      <w:r w:rsidR="00992664" w:rsidRPr="0012008A">
        <w:rPr>
          <w:rStyle w:val="libFootnoteBoldChar"/>
          <w:rtl/>
        </w:rPr>
        <w:t>الوافي</w:t>
      </w:r>
      <w:r w:rsidR="00992664" w:rsidRPr="00020424">
        <w:rPr>
          <w:rtl/>
        </w:rPr>
        <w:t xml:space="preserve"> ، ج 10 ، ص 353 ، ح 9689 ؛ </w:t>
      </w:r>
      <w:r w:rsidR="00992664" w:rsidRPr="0012008A">
        <w:rPr>
          <w:rStyle w:val="libFootnoteBoldChar"/>
          <w:rtl/>
        </w:rPr>
        <w:t>الوسائل</w:t>
      </w:r>
      <w:r w:rsidR="00992664" w:rsidRPr="00020424">
        <w:rPr>
          <w:rtl/>
        </w:rPr>
        <w:t xml:space="preserve"> ، ج 15 ، ص 153 ، ح 20192.</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بر ، بف » وحاشية « بح » </w:t>
      </w:r>
      <w:r w:rsidR="00992664" w:rsidRPr="00EB1FD9">
        <w:rPr>
          <w:rStyle w:val="libFootnoteBoldChar"/>
          <w:rtl/>
        </w:rPr>
        <w:t>والوسائل</w:t>
      </w:r>
      <w:r w:rsidR="00992664" w:rsidRPr="004166F8">
        <w:rPr>
          <w:rtl/>
        </w:rPr>
        <w:t xml:space="preserve"> 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ظ » : « تؤخذ</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أيؤخذ</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قال ابن الأثير : « الماشية</w:t>
      </w:r>
      <w:r w:rsidR="00992664">
        <w:rPr>
          <w:rtl/>
        </w:rPr>
        <w:t xml:space="preserve"> ..</w:t>
      </w:r>
      <w:r w:rsidR="00992664" w:rsidRPr="00020424">
        <w:rPr>
          <w:rtl/>
        </w:rPr>
        <w:t>. جمعها : المواشي ، وهي اسم يقع على الإبل والبقر والغنم ، وأكثر ما يستعمل في الغنم</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4 ، ص 335 ( مشى )</w:t>
      </w:r>
      <w:r w:rsidR="00992664">
        <w:rPr>
          <w:rtl/>
        </w:rPr>
        <w:t>.</w:t>
      </w:r>
    </w:p>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118 ، ح 339 ، معلّقاً عن الكليني. </w:t>
      </w:r>
      <w:r w:rsidR="00992664" w:rsidRPr="0012008A">
        <w:rPr>
          <w:rStyle w:val="libFootnoteBoldChar"/>
          <w:rtl/>
        </w:rPr>
        <w:t>الفقيه</w:t>
      </w:r>
      <w:r w:rsidR="00992664" w:rsidRPr="00020424">
        <w:rPr>
          <w:rtl/>
        </w:rPr>
        <w:t xml:space="preserve"> ، ج 2 ، ص 51 ، ح 1671 ، معلّقاً عن محمّد بن مسلم. </w:t>
      </w:r>
      <w:r w:rsidR="00992664" w:rsidRPr="0012008A">
        <w:rPr>
          <w:rStyle w:val="libFootnoteBoldChar"/>
          <w:rtl/>
        </w:rPr>
        <w:t>المقنعة</w:t>
      </w:r>
      <w:r w:rsidR="00992664" w:rsidRPr="00020424">
        <w:rPr>
          <w:rtl/>
        </w:rPr>
        <w:t xml:space="preserve"> ، ص 274 ، مرسلاً عن محمّد بن مسلم ، عن أبي جعفر </w:t>
      </w:r>
      <w:r w:rsidR="00992664" w:rsidRPr="00D64ADA">
        <w:rPr>
          <w:rStyle w:val="libFootnoteAlaemChar"/>
          <w:rtl/>
        </w:rPr>
        <w:t>عليه‌السلام</w:t>
      </w:r>
      <w:r w:rsidR="00992664" w:rsidRPr="00020424">
        <w:rPr>
          <w:rtl/>
        </w:rPr>
        <w:t xml:space="preserve"> ، مع اختلاف يسير </w:t>
      </w:r>
      <w:r w:rsidR="004166F8">
        <w:rPr>
          <w:rFonts w:hint="cs"/>
          <w:rtl/>
        </w:rPr>
        <w:t>.</w:t>
      </w:r>
      <w:r w:rsidR="00992664" w:rsidRPr="0012008A">
        <w:rPr>
          <w:rStyle w:val="libFootnoteBoldChar"/>
          <w:rtl/>
        </w:rPr>
        <w:t>الوافي</w:t>
      </w:r>
      <w:r w:rsidR="00992664" w:rsidRPr="00020424">
        <w:rPr>
          <w:rtl/>
        </w:rPr>
        <w:t xml:space="preserve"> ، ج 10 ، ص 349 ، ح 9681 ؛ </w:t>
      </w:r>
      <w:r w:rsidR="00992664" w:rsidRPr="0012008A">
        <w:rPr>
          <w:rStyle w:val="libFootnoteBoldChar"/>
          <w:rtl/>
        </w:rPr>
        <w:t>الوسائل</w:t>
      </w:r>
      <w:r w:rsidR="00992664" w:rsidRPr="00020424">
        <w:rPr>
          <w:rtl/>
        </w:rPr>
        <w:t xml:space="preserve"> ، ج 15 ، ص 151 ، ح 20187.</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54" w:name="_Toc345172768"/>
      <w:bookmarkStart w:id="155" w:name="_Toc464562584"/>
      <w:bookmarkStart w:id="156" w:name="_Toc44599887"/>
      <w:r w:rsidRPr="00020424">
        <w:rPr>
          <w:rtl/>
          <w:lang w:bidi="fa-IR"/>
        </w:rPr>
        <w:lastRenderedPageBreak/>
        <w:t>47</w:t>
      </w:r>
      <w:r>
        <w:rPr>
          <w:rtl/>
          <w:lang w:bidi="fa-IR"/>
        </w:rPr>
        <w:t xml:space="preserve"> </w:t>
      </w:r>
      <w:r w:rsidR="009B673F">
        <w:rPr>
          <w:rtl/>
          <w:lang w:bidi="fa-IR"/>
        </w:rPr>
        <w:t>-</w:t>
      </w:r>
      <w:r>
        <w:rPr>
          <w:rtl/>
          <w:lang w:bidi="fa-IR"/>
        </w:rPr>
        <w:t xml:space="preserve"> </w:t>
      </w:r>
      <w:r w:rsidRPr="00020424">
        <w:rPr>
          <w:rtl/>
          <w:lang w:bidi="fa-IR"/>
        </w:rPr>
        <w:t>بَابٌ نَادِرٌ‌</w:t>
      </w:r>
      <w:bookmarkEnd w:id="154"/>
      <w:bookmarkEnd w:id="155"/>
      <w:bookmarkEnd w:id="156"/>
    </w:p>
    <w:p w:rsidR="00992664" w:rsidRPr="00020424" w:rsidRDefault="00992664" w:rsidP="00992664">
      <w:pPr>
        <w:pStyle w:val="libNormal"/>
        <w:rPr>
          <w:rtl/>
          <w:lang w:bidi="fa-IR"/>
        </w:rPr>
      </w:pPr>
      <w:r w:rsidRPr="00661CD1">
        <w:rPr>
          <w:rtl/>
        </w:rPr>
        <w:t>5997</w:t>
      </w:r>
      <w:r w:rsidRPr="001155DE">
        <w:rPr>
          <w:rStyle w:val="libBold2Char"/>
          <w:rtl/>
        </w:rPr>
        <w:t xml:space="preserve"> / 1.</w:t>
      </w:r>
      <w:r w:rsidRPr="00020424">
        <w:rPr>
          <w:rtl/>
          <w:lang w:bidi="fa-IR"/>
        </w:rPr>
        <w:t xml:space="preserve"> عَلِيُّ بْنُ إِبْرَاهِيمَ ، عَنْ أَبِيهِ ، عَنْ إِسْمَاعِيلَ بْنِ مَرَّارٍ ، عَنْ يُونُسَ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بَأْسَ بِالرَّجُلِ يَمُرُّ عَلَى الثَّمَرَةِ وَيَأْكُلُ مِنْهَا ، وَلَا يُفْسِدُ ؛ قَدْ نَهى </w:t>
      </w:r>
      <w:r w:rsidRPr="00A91B96">
        <w:rPr>
          <w:rStyle w:val="libFootnotenumChar"/>
          <w:rtl/>
        </w:rPr>
        <w:t>(1)</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أَنْ تُبْنَى </w:t>
      </w:r>
      <w:r w:rsidRPr="00A91B96">
        <w:rPr>
          <w:rStyle w:val="libFootnotenumChar"/>
          <w:rtl/>
        </w:rPr>
        <w:t>(2)</w:t>
      </w:r>
      <w:r w:rsidRPr="00020424">
        <w:rPr>
          <w:rtl/>
          <w:lang w:bidi="fa-IR"/>
        </w:rPr>
        <w:t xml:space="preserve"> الْحِيطَانُ بِالْمَدِينَةِ ؛ لِمَكَانِ الْمَارَّةِ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وَكَانَ إِذَا بَلَغَ نَخْلُهُ </w:t>
      </w:r>
      <w:r w:rsidRPr="00A91B96">
        <w:rPr>
          <w:rStyle w:val="libFootnotenumChar"/>
          <w:rtl/>
        </w:rPr>
        <w:t>(3)</w:t>
      </w:r>
      <w:r w:rsidRPr="00020424">
        <w:rPr>
          <w:rtl/>
          <w:lang w:bidi="fa-IR"/>
        </w:rPr>
        <w:t xml:space="preserve"> ، أَمَرَ بِالْحِيطَانِ فَخُرِقَتْ ؛ لِمَكَانِ الْمَارَّةِ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4166F8" w:rsidP="00992664">
      <w:pPr>
        <w:pStyle w:val="libNormal"/>
        <w:rPr>
          <w:rtl/>
          <w:lang w:bidi="fa-IR"/>
        </w:rPr>
      </w:pPr>
      <w:r>
        <w:rPr>
          <w:rFonts w:hint="cs"/>
          <w:rtl/>
          <w:lang w:bidi="fa-IR"/>
        </w:rPr>
        <w:t xml:space="preserve">* </w:t>
      </w:r>
      <w:r w:rsidR="00992664" w:rsidRPr="00020424">
        <w:rPr>
          <w:rtl/>
          <w:lang w:bidi="fa-IR"/>
        </w:rPr>
        <w:t xml:space="preserve">مُحَمَّدُ بْنُ يَحْيى ، عَنْ أَحْمَدَ بْنِ مُحَمَّدٍ ، عَنِ الْحَسَنِ </w:t>
      </w:r>
      <w:r w:rsidR="00992664" w:rsidRPr="00A91B96">
        <w:rPr>
          <w:rStyle w:val="libFootnotenumChar"/>
          <w:rtl/>
        </w:rPr>
        <w:t>(5)</w:t>
      </w:r>
      <w:r w:rsidR="00992664" w:rsidRPr="00020424">
        <w:rPr>
          <w:rtl/>
          <w:lang w:bidi="fa-IR"/>
        </w:rPr>
        <w:t xml:space="preserve"> بْنِ مَحْبُوبٍ ، عَنْ خَالِدِ بْنِ جَرِيرٍ ، عَنْ أَبِي الرَّبِيعِ الشَّامِيِّ </w:t>
      </w:r>
      <w:r w:rsidR="00992664" w:rsidRPr="00A91B96">
        <w:rPr>
          <w:rStyle w:val="libFootnotenumChar"/>
          <w:rtl/>
        </w:rPr>
        <w:t>(6)</w:t>
      </w:r>
      <w:r w:rsidR="00992664"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004166F8">
        <w:rPr>
          <w:rtl/>
          <w:lang w:bidi="fa-IR"/>
        </w:rPr>
        <w:t xml:space="preserve"> نَحْوَهُ إِل</w:t>
      </w:r>
      <w:r w:rsidR="004166F8">
        <w:rPr>
          <w:rFonts w:hint="cs"/>
          <w:rtl/>
          <w:lang w:bidi="fa-IR"/>
        </w:rPr>
        <w:t>َّ</w:t>
      </w:r>
      <w:r w:rsidR="004166F8">
        <w:rPr>
          <w:rtl/>
          <w:lang w:bidi="fa-IR"/>
        </w:rPr>
        <w:t>ا</w:t>
      </w:r>
      <w:r w:rsidRPr="00020424">
        <w:rPr>
          <w:rtl/>
          <w:lang w:bidi="fa-IR"/>
        </w:rPr>
        <w:t xml:space="preserve"> أَنَّهُ قَالَ : « وَلَايُفْسِدُ </w:t>
      </w:r>
      <w:r w:rsidRPr="00A91B96">
        <w:rPr>
          <w:rStyle w:val="libFootnotenumChar"/>
          <w:rtl/>
        </w:rPr>
        <w:t>(7)</w:t>
      </w:r>
      <w:r w:rsidRPr="00020424">
        <w:rPr>
          <w:rtl/>
          <w:lang w:bidi="fa-IR"/>
        </w:rPr>
        <w:t xml:space="preserve"> ، وَلَايَحْمِلُ</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61CD1">
        <w:rPr>
          <w:rtl/>
        </w:rPr>
        <w:t>5998</w:t>
      </w:r>
      <w:r w:rsidRPr="001155DE">
        <w:rPr>
          <w:rStyle w:val="libBold2Char"/>
          <w:rtl/>
        </w:rPr>
        <w:t xml:space="preserve"> / 2.</w:t>
      </w:r>
      <w:r w:rsidRPr="00020424">
        <w:rPr>
          <w:rtl/>
          <w:lang w:bidi="fa-IR"/>
        </w:rPr>
        <w:t xml:space="preserve"> أَحْمَدُ بْنُ إِدْرِيسَ وَغَيْرُهُ ، عَنْ مُحَمَّدِ بْنِ أَحْمَدَ ، عَنْ عَلِيِّ بْنِ الرَّيَّانِ ، عَنْ أَبِيهِ ، عَنْ يُونُسَ أَوْ غَيْرِهِ ، عَمَّنْ ذَكَرَهُ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و</w:t>
      </w:r>
      <w:r w:rsidR="00992664" w:rsidRPr="0012008A">
        <w:rPr>
          <w:rStyle w:val="libFootnoteBoldChar"/>
          <w:rtl/>
        </w:rPr>
        <w:t>البحار</w:t>
      </w:r>
      <w:r w:rsidR="00992664" w:rsidRPr="00020424">
        <w:rPr>
          <w:rtl/>
        </w:rPr>
        <w:t xml:space="preserve"> : « وقد نهى</w:t>
      </w:r>
      <w:r w:rsidR="00992664">
        <w:rPr>
          <w:rtl/>
        </w:rPr>
        <w:t xml:space="preserve"> ».</w:t>
      </w:r>
      <w:r w:rsidR="00992664" w:rsidRPr="00020424">
        <w:rPr>
          <w:rtl/>
        </w:rPr>
        <w:t xml:space="preserve"> وفي « بح » : « حتّى قد نهى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أن يبنى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ى ، بث » </w:t>
      </w:r>
      <w:r w:rsidR="00992664" w:rsidRPr="004166F8">
        <w:rPr>
          <w:rtl/>
        </w:rPr>
        <w:t>والوافي</w:t>
      </w:r>
      <w:r w:rsidR="00992664" w:rsidRPr="00020424">
        <w:rPr>
          <w:rtl/>
        </w:rPr>
        <w:t>. وفي سائر النسخ التي قوبلت والمطبوع : « نخلة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D64ADA" w:rsidRPr="00D64ADA">
        <w:rPr>
          <w:rStyle w:val="libFootnoteBoldChar"/>
          <w:rtl/>
        </w:rPr>
        <w:t>المحاسن</w:t>
      </w:r>
      <w:r w:rsidR="00992664" w:rsidRPr="00020424">
        <w:rPr>
          <w:rtl/>
        </w:rPr>
        <w:t xml:space="preserve"> ، ص 528 ، كتاب المآكل ، ح 766 ، عن أبيه ، عن يونس بن عبدالرحمن ، عن عبدالله بن سنان. </w:t>
      </w:r>
      <w:r w:rsidR="00992664" w:rsidRPr="00DE76B9">
        <w:rPr>
          <w:rStyle w:val="libFootnoteBoldChar"/>
          <w:rtl/>
        </w:rPr>
        <w:t>مسائل علّي بن جعفر</w:t>
      </w:r>
      <w:r w:rsidR="00992664" w:rsidRPr="00020424">
        <w:rPr>
          <w:rtl/>
        </w:rPr>
        <w:t xml:space="preserve"> ، ص 148 ، وفيهما إلى قوله : « الحيطان بالمدينة لمكان المارّة » مع اختلاف يسير </w:t>
      </w:r>
      <w:r w:rsidR="004166F8">
        <w:rPr>
          <w:rFonts w:hint="cs"/>
          <w:rtl/>
        </w:rPr>
        <w:t>.</w:t>
      </w:r>
      <w:r w:rsidR="00992664" w:rsidRPr="0012008A">
        <w:rPr>
          <w:rStyle w:val="libFootnoteBoldChar"/>
          <w:rtl/>
        </w:rPr>
        <w:t>الوافي</w:t>
      </w:r>
      <w:r w:rsidR="00992664" w:rsidRPr="00020424">
        <w:rPr>
          <w:rtl/>
        </w:rPr>
        <w:t xml:space="preserve"> ، ج 10 ، ص 385 ، ح 9732 ؛ وج 18 ، ص 1077 ، ح 18846 ؛ </w:t>
      </w:r>
      <w:r w:rsidR="00992664" w:rsidRPr="0012008A">
        <w:rPr>
          <w:rStyle w:val="libFootnoteBoldChar"/>
          <w:rtl/>
        </w:rPr>
        <w:t>الوسائل</w:t>
      </w:r>
      <w:r w:rsidR="00992664" w:rsidRPr="00020424">
        <w:rPr>
          <w:rtl/>
        </w:rPr>
        <w:t xml:space="preserve"> ، ج 9 ، ص 203 ، ح 11844 ؛ </w:t>
      </w:r>
      <w:r w:rsidR="00992664" w:rsidRPr="0012008A">
        <w:rPr>
          <w:rStyle w:val="libFootnoteBoldChar"/>
          <w:rtl/>
        </w:rPr>
        <w:t>البحار</w:t>
      </w:r>
      <w:r w:rsidR="00992664" w:rsidRPr="00020424">
        <w:rPr>
          <w:rtl/>
        </w:rPr>
        <w:t xml:space="preserve"> ، ج 16 ، ص 274 ، ح 107 ، إلى قوله : « الحيطان بالمدينة لمكان المارّة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وحاشية « بح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وحاشية « بح » :</w:t>
      </w:r>
      <w:r w:rsidR="00992664">
        <w:rPr>
          <w:rtl/>
        </w:rPr>
        <w:t xml:space="preserve"> </w:t>
      </w:r>
      <w:r w:rsidR="009B673F">
        <w:rPr>
          <w:rtl/>
        </w:rPr>
        <w:t>-</w:t>
      </w:r>
      <w:r w:rsidR="00992664">
        <w:rPr>
          <w:rtl/>
        </w:rPr>
        <w:t xml:space="preserve"> </w:t>
      </w:r>
      <w:r w:rsidR="00992664" w:rsidRPr="00020424">
        <w:rPr>
          <w:rtl/>
        </w:rPr>
        <w:t>« الشامي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لا يفسد » بدون الواو.</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385 ، ح 9733 ؛ وج 18 ، ص 1077 ، ح 18847 ؛ </w:t>
      </w:r>
      <w:r w:rsidR="00992664" w:rsidRPr="0012008A">
        <w:rPr>
          <w:rStyle w:val="libFootnoteBoldChar"/>
          <w:rtl/>
        </w:rPr>
        <w:t>الوسائل</w:t>
      </w:r>
      <w:r w:rsidR="00992664" w:rsidRPr="00020424">
        <w:rPr>
          <w:rtl/>
        </w:rPr>
        <w:t xml:space="preserve"> ، ج 9 ، ص 204 ، ح 11845 ؛ وج 18 ، ص 229 ، ذيل ح 23563.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عَبْدِ اللهِ </w:t>
      </w:r>
      <w:r w:rsidRPr="00005A81">
        <w:rPr>
          <w:rStyle w:val="libAlaemChar"/>
          <w:rtl/>
        </w:rPr>
        <w:t>عليه‌السلام</w:t>
      </w:r>
      <w:r w:rsidRPr="00020424">
        <w:rPr>
          <w:rtl/>
          <w:lang w:bidi="fa-IR"/>
        </w:rPr>
        <w:t xml:space="preserve"> ، قَالَ : قُلْتُ لَهُ : جُعِلْتُ فِدَاكَ ، بَلَغَنِي أَنَّكَ كُنْتَ تَفْعَلُ </w:t>
      </w:r>
      <w:r w:rsidRPr="00A91B96">
        <w:rPr>
          <w:rStyle w:val="libFootnotenumChar"/>
          <w:rtl/>
        </w:rPr>
        <w:t>(1)</w:t>
      </w:r>
      <w:r w:rsidRPr="00020424">
        <w:rPr>
          <w:rtl/>
          <w:lang w:bidi="fa-IR"/>
        </w:rPr>
        <w:t xml:space="preserve"> فِي غَلَّةِ </w:t>
      </w:r>
      <w:r w:rsidRPr="00A91B96">
        <w:rPr>
          <w:rStyle w:val="libFootnotenumChar"/>
          <w:rtl/>
        </w:rPr>
        <w:t>(2)</w:t>
      </w:r>
      <w:r w:rsidRPr="00020424">
        <w:rPr>
          <w:rtl/>
          <w:lang w:bidi="fa-IR"/>
        </w:rPr>
        <w:t xml:space="preserve"> عَيْنِ زِيَادٍ شَيْئاً ، وَأَنَا </w:t>
      </w:r>
      <w:r w:rsidRPr="00A91B96">
        <w:rPr>
          <w:rStyle w:val="libFootnotenumChar"/>
          <w:rtl/>
        </w:rPr>
        <w:t>(3)</w:t>
      </w:r>
      <w:r w:rsidRPr="00020424">
        <w:rPr>
          <w:rtl/>
          <w:lang w:bidi="fa-IR"/>
        </w:rPr>
        <w:t xml:space="preserve"> أُحِبُّ أَنْ </w:t>
      </w:r>
      <w:r w:rsidRPr="00A91B96">
        <w:rPr>
          <w:rStyle w:val="libFootnotenumChar"/>
          <w:rtl/>
        </w:rPr>
        <w:t>(4)</w:t>
      </w:r>
      <w:r w:rsidRPr="00020424">
        <w:rPr>
          <w:rtl/>
          <w:lang w:bidi="fa-IR"/>
        </w:rPr>
        <w:t xml:space="preserve"> أَسْمَعَهُ مِنْكَ.</w:t>
      </w:r>
    </w:p>
    <w:p w:rsidR="00992664" w:rsidRPr="00020424" w:rsidRDefault="00992664" w:rsidP="00992664">
      <w:pPr>
        <w:pStyle w:val="libNormal"/>
        <w:rPr>
          <w:rtl/>
          <w:lang w:bidi="fa-IR"/>
        </w:rPr>
      </w:pPr>
      <w:r w:rsidRPr="00020424">
        <w:rPr>
          <w:rtl/>
          <w:lang w:bidi="fa-IR"/>
        </w:rPr>
        <w:t xml:space="preserve">قَالَ : فَقَالَ لِي </w:t>
      </w:r>
      <w:r w:rsidRPr="00A91B96">
        <w:rPr>
          <w:rStyle w:val="libFootnotenumChar"/>
          <w:rtl/>
        </w:rPr>
        <w:t>(5)</w:t>
      </w:r>
      <w:r w:rsidRPr="00020424">
        <w:rPr>
          <w:rtl/>
          <w:lang w:bidi="fa-IR"/>
        </w:rPr>
        <w:t xml:space="preserve"> : « نَعَمْ ، كُنْتُ آمُرُ إِذَا أَدْرَكَتِ الثَّمَرَةُ أَنْ يُثْلَمَ </w:t>
      </w:r>
      <w:r w:rsidRPr="00A91B96">
        <w:rPr>
          <w:rStyle w:val="libFootnotenumChar"/>
          <w:rtl/>
        </w:rPr>
        <w:t>(6)</w:t>
      </w:r>
      <w:r w:rsidRPr="00020424">
        <w:rPr>
          <w:rtl/>
          <w:lang w:bidi="fa-IR"/>
        </w:rPr>
        <w:t xml:space="preserve"> فِي حِيطَانِهَا الثُّلَمُ ؛ لِيَدْخُلَ النَّاسُ وَيَأْكُلُوا </w:t>
      </w:r>
      <w:r w:rsidRPr="00A91B96">
        <w:rPr>
          <w:rStyle w:val="libFootnotenumChar"/>
          <w:rtl/>
        </w:rPr>
        <w:t>(7)</w:t>
      </w:r>
      <w:r w:rsidRPr="00020424">
        <w:rPr>
          <w:rtl/>
          <w:lang w:bidi="fa-IR"/>
        </w:rPr>
        <w:t xml:space="preserve"> ، وَكُنْتُ </w:t>
      </w:r>
      <w:r w:rsidRPr="00A91B96">
        <w:rPr>
          <w:rStyle w:val="libFootnotenumChar"/>
          <w:rtl/>
        </w:rPr>
        <w:t>(8)</w:t>
      </w:r>
      <w:r w:rsidRPr="00020424">
        <w:rPr>
          <w:rtl/>
          <w:lang w:bidi="fa-IR"/>
        </w:rPr>
        <w:t xml:space="preserve"> آمُرُ فِي كُلِّ يَوْمٍ أَنْ يُوضَعَ </w:t>
      </w:r>
      <w:r w:rsidRPr="00A91B96">
        <w:rPr>
          <w:rStyle w:val="libFootnotenumChar"/>
          <w:rtl/>
        </w:rPr>
        <w:t>(9)</w:t>
      </w:r>
      <w:r w:rsidRPr="00020424">
        <w:rPr>
          <w:rtl/>
          <w:lang w:bidi="fa-IR"/>
        </w:rPr>
        <w:t xml:space="preserve"> عَشْرُ بُنَيَّاتٍ </w:t>
      </w:r>
      <w:r w:rsidRPr="00A91B96">
        <w:rPr>
          <w:rStyle w:val="libFootnotenumChar"/>
          <w:rtl/>
        </w:rPr>
        <w:t>(10)</w:t>
      </w:r>
      <w:r w:rsidRPr="00020424">
        <w:rPr>
          <w:rtl/>
          <w:lang w:bidi="fa-IR"/>
        </w:rPr>
        <w:t xml:space="preserve"> ، يَقْعُدُ عَلى كُلِّ بُنَيَّةٍ </w:t>
      </w:r>
      <w:r w:rsidRPr="00A91B96">
        <w:rPr>
          <w:rStyle w:val="libFootnotenumChar"/>
          <w:rtl/>
        </w:rPr>
        <w:t>(11)</w:t>
      </w:r>
      <w:r w:rsidRPr="00020424">
        <w:rPr>
          <w:rtl/>
          <w:lang w:bidi="fa-IR"/>
        </w:rPr>
        <w:t xml:space="preserve"> عَشَرَةٌ </w:t>
      </w:r>
      <w:r w:rsidRPr="00A91B96">
        <w:rPr>
          <w:rStyle w:val="libFootnotenumChar"/>
          <w:rtl/>
        </w:rPr>
        <w:t>(12)</w:t>
      </w:r>
      <w:r w:rsidRPr="00020424">
        <w:rPr>
          <w:rtl/>
          <w:lang w:bidi="fa-IR"/>
        </w:rPr>
        <w:t xml:space="preserve"> ، كُلَّمَا </w:t>
      </w:r>
      <w:r w:rsidRPr="00A91B96">
        <w:rPr>
          <w:rStyle w:val="libFootnotenumChar"/>
          <w:rtl/>
        </w:rPr>
        <w:t>(13)</w:t>
      </w:r>
      <w:r w:rsidRPr="00020424">
        <w:rPr>
          <w:rtl/>
          <w:lang w:bidi="fa-IR"/>
        </w:rPr>
        <w:t xml:space="preserve"> أَكَلَ عَشَرَةٌ جَاءَ عَشَرَةٌ أُخْرى ، يُلْقى لِكُلِّ نَفْسٍ مِنْهُمْ مُدٌّ مِنْ رُطَبٍ ، وَكُنْتُ آمُرُ لِجِيرَانِ </w:t>
      </w:r>
      <w:r w:rsidRPr="00A91B96">
        <w:rPr>
          <w:rStyle w:val="libFootnotenumChar"/>
          <w:rtl/>
        </w:rPr>
        <w:t>(14)</w:t>
      </w:r>
      <w:r w:rsidRPr="00020424">
        <w:rPr>
          <w:rtl/>
          <w:lang w:bidi="fa-IR"/>
        </w:rPr>
        <w:t xml:space="preserve"> الضَّيْعَةِ </w:t>
      </w:r>
      <w:r w:rsidRPr="00A91B96">
        <w:rPr>
          <w:rStyle w:val="libFootnotenumChar"/>
          <w:rtl/>
        </w:rPr>
        <w:t>(15)</w:t>
      </w:r>
      <w:r w:rsidRPr="00020424">
        <w:rPr>
          <w:rtl/>
          <w:lang w:bidi="fa-IR"/>
        </w:rPr>
        <w:t xml:space="preserve"> كُلِّهِمُ : الشَّيْخِ ، وَالْعَجُوزِ ، وَالصَّبِيِّ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 « تقول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الغَلّة » : الدخل الذي يحصل من الزرع والثمر واللبن والإجارة والنتاج ونحو ذلك. راجع : </w:t>
      </w:r>
      <w:r w:rsidR="00992664" w:rsidRPr="0012008A">
        <w:rPr>
          <w:rStyle w:val="libFootnoteBoldChar"/>
          <w:rtl/>
        </w:rPr>
        <w:t>النهاية</w:t>
      </w:r>
      <w:r w:rsidR="00992664" w:rsidRPr="00020424">
        <w:rPr>
          <w:rtl/>
        </w:rPr>
        <w:t xml:space="preserve"> ، ج 3 ، ص 381 ؛ </w:t>
      </w:r>
      <w:r w:rsidR="00992664" w:rsidRPr="00A722B1">
        <w:rPr>
          <w:rStyle w:val="libFootnoteBoldChar"/>
          <w:rtl/>
        </w:rPr>
        <w:t>القاموس المحيط</w:t>
      </w:r>
      <w:r w:rsidR="00992664" w:rsidRPr="00020424">
        <w:rPr>
          <w:rtl/>
        </w:rPr>
        <w:t xml:space="preserve"> ، ج 2 ، ص 1373 ( غلل )</w:t>
      </w:r>
      <w:r w:rsidR="00992664">
        <w:rPr>
          <w:rtl/>
        </w:rPr>
        <w:t>.</w:t>
      </w:r>
    </w:p>
    <w:tbl>
      <w:tblPr>
        <w:tblStyle w:val="TableGrid"/>
        <w:bidiVisual/>
        <w:tblW w:w="0" w:type="auto"/>
        <w:tblLook w:val="04A0" w:firstRow="1" w:lastRow="0" w:firstColumn="1" w:lastColumn="0" w:noHBand="0" w:noVBand="1"/>
      </w:tblPr>
      <w:tblGrid>
        <w:gridCol w:w="4006"/>
        <w:gridCol w:w="4006"/>
      </w:tblGrid>
      <w:tr w:rsidR="004166F8" w:rsidTr="004166F8">
        <w:tc>
          <w:tcPr>
            <w:tcW w:w="4006" w:type="dxa"/>
          </w:tcPr>
          <w:p w:rsidR="004166F8" w:rsidRDefault="004166F8" w:rsidP="00992664">
            <w:pPr>
              <w:pStyle w:val="libFootnote0"/>
              <w:rPr>
                <w:rtl/>
              </w:rPr>
            </w:pPr>
            <w:r>
              <w:rPr>
                <w:rtl/>
              </w:rPr>
              <w:t xml:space="preserve">(3). </w:t>
            </w:r>
            <w:r w:rsidRPr="00020424">
              <w:rPr>
                <w:rtl/>
              </w:rPr>
              <w:t xml:space="preserve">في « بح ، بر ، بف » </w:t>
            </w:r>
            <w:r w:rsidRPr="004166F8">
              <w:rPr>
                <w:rtl/>
              </w:rPr>
              <w:t>والوافي</w:t>
            </w:r>
            <w:r w:rsidRPr="00020424">
              <w:rPr>
                <w:rtl/>
              </w:rPr>
              <w:t xml:space="preserve"> : « فأنا</w:t>
            </w:r>
            <w:r>
              <w:rPr>
                <w:rtl/>
              </w:rPr>
              <w:t xml:space="preserve"> ».</w:t>
            </w:r>
          </w:p>
        </w:tc>
        <w:tc>
          <w:tcPr>
            <w:tcW w:w="4006" w:type="dxa"/>
          </w:tcPr>
          <w:p w:rsidR="004166F8" w:rsidRDefault="004166F8" w:rsidP="00992664">
            <w:pPr>
              <w:pStyle w:val="libFootnote0"/>
              <w:rPr>
                <w:rtl/>
              </w:rPr>
            </w:pPr>
            <w:r>
              <w:rPr>
                <w:rtl/>
              </w:rPr>
              <w:t xml:space="preserve">(4). </w:t>
            </w:r>
            <w:r w:rsidRPr="00020424">
              <w:rPr>
                <w:rtl/>
              </w:rPr>
              <w:t>في « ى » :</w:t>
            </w:r>
            <w:r>
              <w:rPr>
                <w:rtl/>
              </w:rPr>
              <w:t xml:space="preserve"> - </w:t>
            </w:r>
            <w:r w:rsidRPr="00020424">
              <w:rPr>
                <w:rtl/>
              </w:rPr>
              <w:t>« أن</w:t>
            </w:r>
            <w:r>
              <w:rPr>
                <w:rtl/>
              </w:rPr>
              <w:t xml:space="preserve"> ».</w:t>
            </w:r>
          </w:p>
        </w:tc>
      </w:tr>
      <w:tr w:rsidR="004166F8" w:rsidTr="004166F8">
        <w:tc>
          <w:tcPr>
            <w:tcW w:w="4006" w:type="dxa"/>
          </w:tcPr>
          <w:p w:rsidR="004166F8" w:rsidRDefault="004166F8" w:rsidP="00992664">
            <w:pPr>
              <w:pStyle w:val="libFootnote0"/>
              <w:rPr>
                <w:rtl/>
              </w:rPr>
            </w:pPr>
            <w:r>
              <w:rPr>
                <w:rtl/>
              </w:rPr>
              <w:t xml:space="preserve">(5). </w:t>
            </w:r>
            <w:r w:rsidRPr="00020424">
              <w:rPr>
                <w:rtl/>
              </w:rPr>
              <w:t xml:space="preserve">في « بر ، بف » </w:t>
            </w:r>
            <w:r w:rsidRPr="004166F8">
              <w:rPr>
                <w:rtl/>
              </w:rPr>
              <w:t>والوافي</w:t>
            </w:r>
            <w:r w:rsidRPr="00020424">
              <w:rPr>
                <w:rtl/>
              </w:rPr>
              <w:t xml:space="preserve"> :</w:t>
            </w:r>
            <w:r>
              <w:rPr>
                <w:rtl/>
              </w:rPr>
              <w:t xml:space="preserve"> - </w:t>
            </w:r>
            <w:r w:rsidRPr="00020424">
              <w:rPr>
                <w:rtl/>
              </w:rPr>
              <w:t>« لي</w:t>
            </w:r>
            <w:r>
              <w:rPr>
                <w:rtl/>
              </w:rPr>
              <w:t xml:space="preserve"> ».</w:t>
            </w:r>
          </w:p>
        </w:tc>
        <w:tc>
          <w:tcPr>
            <w:tcW w:w="4006" w:type="dxa"/>
          </w:tcPr>
          <w:p w:rsidR="004166F8" w:rsidRDefault="004166F8" w:rsidP="00992664">
            <w:pPr>
              <w:pStyle w:val="libFootnote0"/>
              <w:rPr>
                <w:rtl/>
              </w:rPr>
            </w:pPr>
            <w:r>
              <w:rPr>
                <w:rtl/>
              </w:rPr>
              <w:t xml:space="preserve">(6). </w:t>
            </w:r>
            <w:r w:rsidRPr="00020424">
              <w:rPr>
                <w:rtl/>
              </w:rPr>
              <w:t>في « بر ، بف » : « أن تثلم</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بر » : « ويأكلون</w:t>
      </w:r>
      <w:r w:rsidR="00992664">
        <w:rPr>
          <w:rtl/>
        </w:rPr>
        <w:t xml:space="preserve"> ».</w:t>
      </w:r>
      <w:r w:rsidR="00992664" w:rsidRPr="00020424">
        <w:rPr>
          <w:rtl/>
        </w:rPr>
        <w:t xml:space="preserve"> وفي </w:t>
      </w:r>
      <w:r w:rsidR="00992664" w:rsidRPr="004166F8">
        <w:rPr>
          <w:rtl/>
        </w:rPr>
        <w:t>الوافي</w:t>
      </w:r>
      <w:r w:rsidR="00992664" w:rsidRPr="00020424">
        <w:rPr>
          <w:rtl/>
        </w:rPr>
        <w:t xml:space="preserve"> : « ويأكلوه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فكنت</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بح » : « أن يضع</w:t>
      </w:r>
      <w:r w:rsidR="00992664">
        <w:rPr>
          <w:rtl/>
        </w:rPr>
        <w:t xml:space="preserve"> ».</w:t>
      </w:r>
      <w:r w:rsidR="00992664" w:rsidRPr="00020424">
        <w:rPr>
          <w:rtl/>
        </w:rPr>
        <w:t xml:space="preserve"> وفي « بر ، بف » </w:t>
      </w:r>
      <w:r w:rsidR="00992664" w:rsidRPr="00515444">
        <w:rPr>
          <w:rStyle w:val="libFootnoteBoldChar"/>
          <w:rtl/>
        </w:rPr>
        <w:t>والوافي</w:t>
      </w:r>
      <w:r w:rsidR="00992664" w:rsidRPr="00020424">
        <w:rPr>
          <w:rtl/>
        </w:rPr>
        <w:t xml:space="preserve"> : « أن توضع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جن » : « ثنيّات</w:t>
      </w:r>
      <w:r w:rsidR="00992664">
        <w:rPr>
          <w:rtl/>
        </w:rPr>
        <w:t xml:space="preserve"> ».</w:t>
      </w:r>
      <w:r w:rsidR="00992664" w:rsidRPr="00020424">
        <w:rPr>
          <w:rtl/>
        </w:rPr>
        <w:t xml:space="preserve"> </w:t>
      </w:r>
      <w:r w:rsidR="00992664">
        <w:rPr>
          <w:rtl/>
        </w:rPr>
        <w:t>و «</w:t>
      </w:r>
      <w:r w:rsidR="00992664" w:rsidRPr="00020424">
        <w:rPr>
          <w:rtl/>
        </w:rPr>
        <w:t xml:space="preserve"> بُنَيّات » : جمع بُنَيَّة ، وهي تصغير بناء ، كسُمَيّة في تصغير سماء ، والبناء : النِطْع ، وهو بساط من أديم وجلد. راجع : </w:t>
      </w:r>
      <w:r w:rsidR="00992664" w:rsidRPr="0012008A">
        <w:rPr>
          <w:rStyle w:val="libFootnoteBoldChar"/>
          <w:rtl/>
        </w:rPr>
        <w:t>النهاية</w:t>
      </w:r>
      <w:r w:rsidR="00992664" w:rsidRPr="00020424">
        <w:rPr>
          <w:rtl/>
        </w:rPr>
        <w:t xml:space="preserve"> ، ج 1 ، ص 157 ( بنا ) ؛ </w:t>
      </w:r>
      <w:r w:rsidR="00992664" w:rsidRPr="00A722B1">
        <w:rPr>
          <w:rStyle w:val="libFootnoteBoldChar"/>
          <w:rtl/>
        </w:rPr>
        <w:t>القاموس المحيط</w:t>
      </w:r>
      <w:r w:rsidR="00992664" w:rsidRPr="00020424">
        <w:rPr>
          <w:rtl/>
        </w:rPr>
        <w:t xml:space="preserve"> ، ج 2 ، ص 1026 ( نطع ) ؛ </w:t>
      </w:r>
      <w:r w:rsidR="00992664" w:rsidRPr="00DE76B9">
        <w:rPr>
          <w:rStyle w:val="libFootnoteBoldChar"/>
          <w:rtl/>
        </w:rPr>
        <w:t xml:space="preserve">النحو </w:t>
      </w:r>
      <w:r w:rsidR="00992664" w:rsidRPr="0012008A">
        <w:rPr>
          <w:rStyle w:val="libFootnoteBoldChar"/>
          <w:rtl/>
        </w:rPr>
        <w:t>الوافي</w:t>
      </w:r>
      <w:r w:rsidR="00992664" w:rsidRPr="00020424">
        <w:rPr>
          <w:rtl/>
        </w:rPr>
        <w:t xml:space="preserve"> ، ج 4 ، ص 638.</w:t>
      </w:r>
    </w:p>
    <w:p w:rsidR="00992664" w:rsidRPr="00020424" w:rsidRDefault="00992664" w:rsidP="00992664">
      <w:pPr>
        <w:pStyle w:val="libFootnote0"/>
        <w:rPr>
          <w:rtl/>
          <w:lang w:bidi="fa-IR"/>
        </w:rPr>
      </w:pPr>
      <w:r w:rsidRPr="004166F8">
        <w:rPr>
          <w:rtl/>
        </w:rPr>
        <w:t xml:space="preserve">وقال في </w:t>
      </w:r>
      <w:r w:rsidRPr="00DE76B9">
        <w:rPr>
          <w:rStyle w:val="libFootnoteBoldChar"/>
          <w:rtl/>
        </w:rPr>
        <w:t>مرآة</w:t>
      </w:r>
      <w:r w:rsidRPr="004166F8">
        <w:rPr>
          <w:rStyle w:val="libFootnoteBoldChar"/>
          <w:rtl/>
        </w:rPr>
        <w:t xml:space="preserve"> العقول</w:t>
      </w:r>
      <w:r w:rsidRPr="004166F8">
        <w:rPr>
          <w:rtl/>
        </w:rPr>
        <w:t xml:space="preserve"> ، ج 16 ، ص 123 : « وفي بعض النسخ : ثبنة ، بالثاء المثلّثة ، ثمّ الباء الموحّدة ، ثمّ النون. وهو أظهر » ، ونقل عن الفيروز آبادي أنّه قال : « والثَبين والثِبان بالكسر والثُبْنَة بالضمّ : الموضع الذي تحمل فيه من ثوبك تثنية بين يديك ، ثمّ تجعل فيه من التمر أو غيره » ، ونقل عن ابن الأثير أنّ ثبنة واحدة الثِبان ، وهو الوعاء الذي يحمل فيه الشي‌ء ويوضع بين يدي الإنسان ، ثمّ قال : « وعلى هذا فيمكن أن يكون الثبنات تصحيف الثِبان ، أو يقال : إنّه قد يجمع هكذا ، أيضاً ، كغرفة على غرفات ، ولبنة على لبنات ، وتمرة على تمرات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جن » : « ثنيّة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166F8" w:rsidTr="004166F8">
        <w:tc>
          <w:tcPr>
            <w:tcW w:w="4006" w:type="dxa"/>
          </w:tcPr>
          <w:p w:rsidR="004166F8" w:rsidRDefault="004166F8" w:rsidP="00992664">
            <w:pPr>
              <w:pStyle w:val="libFootnote0"/>
              <w:rPr>
                <w:rtl/>
              </w:rPr>
            </w:pPr>
            <w:r>
              <w:rPr>
                <w:rtl/>
              </w:rPr>
              <w:t xml:space="preserve">(12). </w:t>
            </w:r>
            <w:r w:rsidRPr="00020424">
              <w:rPr>
                <w:rtl/>
              </w:rPr>
              <w:t>في « ظ » : « عشرة بنيّة</w:t>
            </w:r>
            <w:r>
              <w:rPr>
                <w:rtl/>
              </w:rPr>
              <w:t xml:space="preserve"> ».</w:t>
            </w:r>
          </w:p>
        </w:tc>
        <w:tc>
          <w:tcPr>
            <w:tcW w:w="4006" w:type="dxa"/>
          </w:tcPr>
          <w:p w:rsidR="004166F8" w:rsidRDefault="004166F8" w:rsidP="00992664">
            <w:pPr>
              <w:pStyle w:val="libFootnote0"/>
              <w:rPr>
                <w:rtl/>
              </w:rPr>
            </w:pPr>
            <w:r>
              <w:rPr>
                <w:rtl/>
              </w:rPr>
              <w:t xml:space="preserve">(13). </w:t>
            </w:r>
            <w:r w:rsidRPr="00020424">
              <w:rPr>
                <w:rtl/>
              </w:rPr>
              <w:t>في « بح » : « فلمّا</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جن » : « بجيران</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الضَيْعَة » : الأرض المغلّة ، أو العِقار ، وهو كلّ ملك ثابت له أصل وقرار ، كالأرض والدار والنخل والكَرْم ، </w:t>
      </w:r>
      <w:r w:rsidR="004166F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4166F8">
      <w:pPr>
        <w:pStyle w:val="libNormal0"/>
        <w:rPr>
          <w:rtl/>
          <w:lang w:bidi="fa-IR"/>
        </w:rPr>
      </w:pPr>
      <w:r w:rsidRPr="00020424">
        <w:rPr>
          <w:rtl/>
          <w:lang w:bidi="fa-IR"/>
        </w:rPr>
        <w:lastRenderedPageBreak/>
        <w:t xml:space="preserve">وَالْمَرِيضِ </w:t>
      </w:r>
      <w:r w:rsidRPr="00A91B96">
        <w:rPr>
          <w:rStyle w:val="libFootnotenumChar"/>
          <w:rtl/>
        </w:rPr>
        <w:t>(1)</w:t>
      </w:r>
      <w:r w:rsidRPr="00020424">
        <w:rPr>
          <w:rtl/>
          <w:lang w:bidi="fa-IR"/>
        </w:rPr>
        <w:t xml:space="preserve"> ، وَالْمَرْأَةِ ، وَمَنْ لَايَقْدِرُ أَنْ يَجِي‌ءَ فَيَأْكُلَ مِنْهَا ، لِكُلِّ إِنْسَانٍ مِنْهُمْ </w:t>
      </w:r>
      <w:r w:rsidRPr="00A91B96">
        <w:rPr>
          <w:rStyle w:val="libFootnotenumChar"/>
          <w:rtl/>
        </w:rPr>
        <w:t>(2)</w:t>
      </w:r>
      <w:r w:rsidRPr="00020424">
        <w:rPr>
          <w:rtl/>
          <w:lang w:bidi="fa-IR"/>
        </w:rPr>
        <w:t xml:space="preserve"> مُدٌّ </w:t>
      </w:r>
      <w:r w:rsidRPr="00A91B96">
        <w:rPr>
          <w:rStyle w:val="libFootnotenumChar"/>
          <w:rtl/>
        </w:rPr>
        <w:t>(3)</w:t>
      </w:r>
      <w:r w:rsidRPr="00020424">
        <w:rPr>
          <w:rtl/>
          <w:lang w:bidi="fa-IR"/>
        </w:rPr>
        <w:t xml:space="preserve"> ، فَإِذَا كَانَ الْجَذَاذُ </w:t>
      </w:r>
      <w:r w:rsidRPr="00A91B96">
        <w:rPr>
          <w:rStyle w:val="libFootnotenumChar"/>
          <w:rtl/>
        </w:rPr>
        <w:t>(4)</w:t>
      </w:r>
      <w:r w:rsidRPr="00020424">
        <w:rPr>
          <w:rtl/>
          <w:lang w:bidi="fa-IR"/>
        </w:rPr>
        <w:t xml:space="preserve"> أَوْفَيْتُ </w:t>
      </w:r>
      <w:r w:rsidRPr="00A91B96">
        <w:rPr>
          <w:rStyle w:val="libFootnotenumChar"/>
          <w:rtl/>
        </w:rPr>
        <w:t>(5)</w:t>
      </w:r>
      <w:r w:rsidRPr="00020424">
        <w:rPr>
          <w:rtl/>
          <w:lang w:bidi="fa-IR"/>
        </w:rPr>
        <w:t xml:space="preserve"> الْقُوَّامَ وَالْوُكَلَاءَ وَالرِّجَالَ أُجْرَتَهُمْ ، وَأَحْمِلُ الْبَاقِيَ إِلَى الْمَدِينَةِ ، فَفَرَّقْتُ فِي أَهْلِ الْبُيُوتَاتِ وَالْمُسْتَحِقِّينَ الرَّاحِلَتَيْنِ </w:t>
      </w:r>
      <w:r w:rsidRPr="00A91B96">
        <w:rPr>
          <w:rStyle w:val="libFootnotenumChar"/>
          <w:rtl/>
        </w:rPr>
        <w:t>(6)</w:t>
      </w:r>
      <w:r w:rsidRPr="00020424">
        <w:rPr>
          <w:rtl/>
          <w:lang w:bidi="fa-IR"/>
        </w:rPr>
        <w:t xml:space="preserve"> وَالثَّلَاثَةَ وَالْأَقَلَّ وَالْأَكْثَرَ عَلى قَدْرِ اسْتِحْقَاقِهِمْ ، وَحَصَلَ لِي بَعْدَ ذلِكَ أَرْبَعُمِائَةِ دِينَارٍ ، وَكَانَ غَلَّتُهَا أَرْبَعَةَ آلَافِ دِينَارٍ</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661CD1">
        <w:rPr>
          <w:rtl/>
        </w:rPr>
        <w:t>5999</w:t>
      </w:r>
      <w:r w:rsidRPr="001155DE">
        <w:rPr>
          <w:rStyle w:val="libBold2Char"/>
          <w:rtl/>
        </w:rPr>
        <w:t xml:space="preserve"> / 3.</w:t>
      </w:r>
      <w:r w:rsidRPr="00020424">
        <w:rPr>
          <w:rtl/>
          <w:lang w:bidi="fa-IR"/>
        </w:rPr>
        <w:t xml:space="preserve"> عَلِيُّ بْنُ مُحَمَّدِ بْنِ عَبْدِ اللهِ ، عَنْ أَحْمَدَ بْنِ أَبِي عَبْدِ اللهِ ، عَنْ عَلِيِّ بْنِ مُحَمَّدٍ الْقَاسَانِيِّ ، عَمَّنْ حَدَّثَهُ ، عَنْ عَبْدِ اللهِ بْنِ الْقَاسِمِ الْجَعْفَرِيِّ ، عَنْ أَبِيهِ ، قَالَ :</w:t>
      </w:r>
    </w:p>
    <w:p w:rsidR="00992664" w:rsidRPr="00020424" w:rsidRDefault="00992664" w:rsidP="004166F8">
      <w:pPr>
        <w:pStyle w:val="libNormal"/>
        <w:rPr>
          <w:rtl/>
          <w:lang w:bidi="fa-IR"/>
        </w:rPr>
      </w:pPr>
      <w:r w:rsidRPr="00020424">
        <w:rPr>
          <w:rtl/>
          <w:lang w:bidi="fa-IR"/>
        </w:rPr>
        <w:t xml:space="preserve">كَانَ النَّبِيُّ </w:t>
      </w:r>
      <w:r w:rsidR="00B42914" w:rsidRPr="00B42914">
        <w:rPr>
          <w:rStyle w:val="libAlaemChar"/>
          <w:rtl/>
        </w:rPr>
        <w:t>صلى‌الله‌عليه‌وآله‌</w:t>
      </w:r>
      <w:r w:rsidRPr="00020424">
        <w:rPr>
          <w:rtl/>
          <w:lang w:bidi="fa-IR"/>
        </w:rPr>
        <w:t xml:space="preserve"> إِذَا بَلَغَتِ الثِّمَارُ ، أَمَرَ بِالْحِيطَانِ </w:t>
      </w:r>
      <w:r w:rsidRPr="00A91B96">
        <w:rPr>
          <w:rStyle w:val="libFootnotenumChar"/>
          <w:rtl/>
        </w:rPr>
        <w:t>(8)</w:t>
      </w:r>
      <w:r w:rsidRPr="00020424">
        <w:rPr>
          <w:rtl/>
          <w:lang w:bidi="fa-IR"/>
        </w:rPr>
        <w:t xml:space="preserve"> ، فَثُلِمَتْ </w:t>
      </w:r>
      <w:r w:rsidRPr="00A91B96">
        <w:rPr>
          <w:rStyle w:val="libFootnotenumChar"/>
          <w:rtl/>
        </w:rPr>
        <w:t>(9)</w:t>
      </w:r>
      <w:r w:rsidR="004166F8">
        <w:rPr>
          <w:rFonts w:hint="cs"/>
          <w:rtl/>
          <w:lang w:bidi="fa-IR"/>
        </w:rPr>
        <w:t>.</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4166F8" w:rsidP="004166F8">
      <w:pPr>
        <w:pStyle w:val="libFootnote0"/>
        <w:rPr>
          <w:rtl/>
          <w:lang w:bidi="fa-IR"/>
        </w:rPr>
      </w:pPr>
      <w:r>
        <w:rPr>
          <w:rFonts w:hint="cs"/>
          <w:rtl/>
        </w:rPr>
        <w:t xml:space="preserve">= </w:t>
      </w:r>
      <w:r w:rsidR="00992664" w:rsidRPr="00020424">
        <w:rPr>
          <w:rtl/>
        </w:rPr>
        <w:t>وربما ا</w:t>
      </w:r>
      <w:r>
        <w:rPr>
          <w:rFonts w:hint="cs"/>
          <w:rtl/>
        </w:rPr>
        <w:t>ُ</w:t>
      </w:r>
      <w:r w:rsidR="00992664" w:rsidRPr="00020424">
        <w:rPr>
          <w:rtl/>
        </w:rPr>
        <w:t xml:space="preserve">طلق على المتاع. وقيل : الضيعة : ما منه معاش الرجل ، كالصنعة والتجارة والزراعة وغير ذلك. راجع : </w:t>
      </w:r>
      <w:r w:rsidR="00992664" w:rsidRPr="00A722B1">
        <w:rPr>
          <w:rStyle w:val="libFootnoteBoldChar"/>
          <w:rtl/>
        </w:rPr>
        <w:t>لسان العرب</w:t>
      </w:r>
      <w:r w:rsidR="00992664" w:rsidRPr="00020424">
        <w:rPr>
          <w:rtl/>
        </w:rPr>
        <w:t xml:space="preserve"> ، ج 8 ، ص 230 ( ضيع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4166F8">
        <w:rPr>
          <w:rtl/>
        </w:rPr>
        <w:t>الوافي</w:t>
      </w:r>
      <w:r w:rsidR="00992664" w:rsidRPr="00020424">
        <w:rPr>
          <w:rtl/>
        </w:rPr>
        <w:t xml:space="preserve"> : « والمريض والصبّي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بف » </w:t>
      </w:r>
      <w:r w:rsidR="00992664" w:rsidRPr="004166F8">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منهم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بر ، بف » </w:t>
      </w:r>
      <w:r w:rsidR="00992664" w:rsidRPr="004166F8">
        <w:rPr>
          <w:rtl/>
        </w:rPr>
        <w:t>والوافي</w:t>
      </w:r>
      <w:r w:rsidR="00992664" w:rsidRPr="00020424">
        <w:rPr>
          <w:rtl/>
        </w:rPr>
        <w:t xml:space="preserve"> : « مدّاً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بس ، جن » </w:t>
      </w:r>
      <w:r w:rsidR="00992664" w:rsidRPr="004166F8">
        <w:rPr>
          <w:rtl/>
        </w:rPr>
        <w:t>والوافي</w:t>
      </w:r>
      <w:r w:rsidR="00992664" w:rsidRPr="00020424">
        <w:rPr>
          <w:rtl/>
        </w:rPr>
        <w:t xml:space="preserve"> : « الجداد</w:t>
      </w:r>
      <w:r w:rsidR="00992664">
        <w:rPr>
          <w:rtl/>
        </w:rPr>
        <w:t xml:space="preserve"> ».</w:t>
      </w:r>
      <w:r w:rsidR="00992664" w:rsidRPr="00020424">
        <w:rPr>
          <w:rtl/>
        </w:rPr>
        <w:t xml:space="preserve"> </w:t>
      </w:r>
      <w:r w:rsidR="00992664">
        <w:rPr>
          <w:rtl/>
        </w:rPr>
        <w:t>و «</w:t>
      </w:r>
      <w:r w:rsidR="00992664" w:rsidRPr="00020424">
        <w:rPr>
          <w:rtl/>
        </w:rPr>
        <w:t xml:space="preserve"> الجَذاذ » : فصل الشي‌ء عن الشي‌ء. راجع : </w:t>
      </w:r>
      <w:r w:rsidR="00992664" w:rsidRPr="00A722B1">
        <w:rPr>
          <w:rStyle w:val="libFootnoteBoldChar"/>
          <w:rtl/>
        </w:rPr>
        <w:t>القاموس المحيط</w:t>
      </w:r>
      <w:r w:rsidR="00992664" w:rsidRPr="00020424">
        <w:rPr>
          <w:rtl/>
        </w:rPr>
        <w:t xml:space="preserve"> ، ج 1 ، ص 477 ( جذذ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بر ، بس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 وفيت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 « الراجلتين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384 ، ح 9730 ؛ </w:t>
      </w:r>
      <w:r w:rsidR="00992664" w:rsidRPr="0012008A">
        <w:rPr>
          <w:rStyle w:val="libFootnoteBoldChar"/>
          <w:rtl/>
        </w:rPr>
        <w:t>الوسائل</w:t>
      </w:r>
      <w:r w:rsidR="00992664" w:rsidRPr="00020424">
        <w:rPr>
          <w:rtl/>
        </w:rPr>
        <w:t xml:space="preserve"> ، ج 9 ، ص 205 ، ح 11847 ؛ </w:t>
      </w:r>
      <w:r w:rsidR="00992664" w:rsidRPr="0012008A">
        <w:rPr>
          <w:rStyle w:val="libFootnoteBoldChar"/>
          <w:rtl/>
        </w:rPr>
        <w:t>البحار</w:t>
      </w:r>
      <w:r w:rsidR="00992664" w:rsidRPr="00020424">
        <w:rPr>
          <w:rtl/>
        </w:rPr>
        <w:t xml:space="preserve"> ، ج 47 ، ص 51 ، ح 83.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 « بالحائط</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 + « تمّ كتاب الزكاة</w:t>
      </w:r>
      <w:r w:rsidR="00992664">
        <w:rPr>
          <w:rtl/>
        </w:rPr>
        <w:t xml:space="preserve"> ».</w:t>
      </w:r>
      <w:r w:rsidR="00992664" w:rsidRPr="00020424">
        <w:rPr>
          <w:rtl/>
        </w:rPr>
        <w:t xml:space="preserve"> وفي </w:t>
      </w:r>
      <w:r w:rsidR="00992664" w:rsidRPr="00DE76B9">
        <w:rPr>
          <w:rStyle w:val="libFootnoteBoldChar"/>
          <w:rtl/>
        </w:rPr>
        <w:t>الدروس الشرعيّة</w:t>
      </w:r>
      <w:r w:rsidR="00992664" w:rsidRPr="00020424">
        <w:rPr>
          <w:rtl/>
        </w:rPr>
        <w:t xml:space="preserve"> ، ج 3 ، ص 21 ، ذيل الدرس 205 : « الظاهر أنّ الرخصة ما دامت الثمرة على الشجرة ، فلو جعلت في الخزين وشبهه فالظاهر التحريم ، ولو نهى المالك حرم مطلقاً على الأصحّ ، ولو أذن مطلقاً جاز ، ولو علم منه الكراهية فالأقرب أنّه كالنهي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D64ADA" w:rsidRPr="00D64ADA">
        <w:rPr>
          <w:rStyle w:val="libFootnoteBoldChar"/>
          <w:rtl/>
        </w:rPr>
        <w:t>المحاسن</w:t>
      </w:r>
      <w:r w:rsidR="00992664" w:rsidRPr="00020424">
        <w:rPr>
          <w:rtl/>
        </w:rPr>
        <w:t xml:space="preserve"> ، ص 528 ، كتاب المآكل ، ح 765 ، عن عليّ بن محمّد القاساني </w:t>
      </w:r>
      <w:r w:rsidR="004166F8">
        <w:rPr>
          <w:rFonts w:hint="cs"/>
          <w:rtl/>
        </w:rPr>
        <w:t>.</w:t>
      </w:r>
      <w:r w:rsidR="00992664" w:rsidRPr="0012008A">
        <w:rPr>
          <w:rStyle w:val="libFootnoteBoldChar"/>
          <w:rtl/>
        </w:rPr>
        <w:t>الوافي</w:t>
      </w:r>
      <w:r w:rsidR="00992664" w:rsidRPr="00020424">
        <w:rPr>
          <w:rtl/>
        </w:rPr>
        <w:t xml:space="preserve"> ، ج 10 ، ص 385 ، ح 9731 ؛ </w:t>
      </w:r>
      <w:r w:rsidR="00992664" w:rsidRPr="0012008A">
        <w:rPr>
          <w:rStyle w:val="libFootnoteBoldChar"/>
          <w:rtl/>
        </w:rPr>
        <w:t>الوسائل</w:t>
      </w:r>
      <w:r w:rsidR="00992664" w:rsidRPr="00020424">
        <w:rPr>
          <w:rtl/>
        </w:rPr>
        <w:t xml:space="preserve"> ، ج 9 ، ص 204 ، ح 11846 ؛ </w:t>
      </w:r>
      <w:r w:rsidR="00992664" w:rsidRPr="0012008A">
        <w:rPr>
          <w:rStyle w:val="libFootnoteBoldChar"/>
          <w:rtl/>
        </w:rPr>
        <w:t>البحار</w:t>
      </w:r>
      <w:r w:rsidR="00992664" w:rsidRPr="00020424">
        <w:rPr>
          <w:rtl/>
        </w:rPr>
        <w:t xml:space="preserve"> ، ج 16 ، ص 275 ، ح 108.</w:t>
      </w:r>
    </w:p>
    <w:p w:rsidR="00795177" w:rsidRDefault="00795177" w:rsidP="00795177">
      <w:pPr>
        <w:pStyle w:val="libNormal"/>
        <w:rPr>
          <w:rtl/>
          <w:lang w:bidi="fa-IR"/>
        </w:rPr>
      </w:pPr>
      <w:r>
        <w:rPr>
          <w:rtl/>
          <w:lang w:bidi="fa-IR"/>
        </w:rPr>
        <w:br w:type="page"/>
      </w:r>
    </w:p>
    <w:p w:rsidR="00992664" w:rsidRPr="00AE2EA5" w:rsidRDefault="00992664" w:rsidP="004166F8">
      <w:pPr>
        <w:pStyle w:val="libCenter"/>
        <w:rPr>
          <w:rtl/>
        </w:rPr>
      </w:pPr>
      <w:r w:rsidRPr="00AE2EA5">
        <w:rPr>
          <w:rtl/>
        </w:rPr>
        <w:lastRenderedPageBreak/>
        <w:t>بِسْمِ اللهِ الرَّحْمنِ الرَّحِيمِ</w:t>
      </w:r>
      <w:r w:rsidRPr="004166F8">
        <w:rPr>
          <w:rStyle w:val="libNormalChar"/>
          <w:rtl/>
        </w:rPr>
        <w:t xml:space="preserve"> </w:t>
      </w:r>
      <w:r w:rsidRPr="00A91B96">
        <w:rPr>
          <w:rStyle w:val="libFootnotenumChar"/>
          <w:rtl/>
        </w:rPr>
        <w:t>(1)</w:t>
      </w:r>
      <w:r w:rsidRPr="004166F8">
        <w:rPr>
          <w:rStyle w:val="libNormalChar"/>
          <w:rtl/>
        </w:rPr>
        <w:t xml:space="preserve"> ‌</w:t>
      </w:r>
    </w:p>
    <w:p w:rsidR="00992664" w:rsidRPr="00020424" w:rsidRDefault="00992664" w:rsidP="00992664">
      <w:pPr>
        <w:pStyle w:val="Heading1Center"/>
        <w:rPr>
          <w:rtl/>
          <w:lang w:bidi="fa-IR"/>
        </w:rPr>
      </w:pPr>
      <w:bookmarkStart w:id="157" w:name="_Toc345172769"/>
      <w:bookmarkStart w:id="158" w:name="_Toc464562585"/>
      <w:bookmarkStart w:id="159" w:name="_Toc44599888"/>
      <w:r w:rsidRPr="00020424">
        <w:rPr>
          <w:rtl/>
          <w:lang w:bidi="fa-IR"/>
        </w:rPr>
        <w:t xml:space="preserve">أَبْوَابُ الصَّدَقَةِ </w:t>
      </w:r>
      <w:r w:rsidRPr="00A91B96">
        <w:rPr>
          <w:rStyle w:val="libFootnotenumChar"/>
          <w:rtl/>
        </w:rPr>
        <w:t>(2)</w:t>
      </w:r>
      <w:r w:rsidRPr="00020424">
        <w:rPr>
          <w:rtl/>
          <w:lang w:bidi="fa-IR"/>
        </w:rPr>
        <w:t xml:space="preserve"> ‌</w:t>
      </w:r>
      <w:bookmarkEnd w:id="157"/>
      <w:bookmarkEnd w:id="158"/>
      <w:bookmarkEnd w:id="159"/>
    </w:p>
    <w:p w:rsidR="00992664" w:rsidRPr="00020424" w:rsidRDefault="00992664" w:rsidP="00992664">
      <w:pPr>
        <w:pStyle w:val="Heading2Center"/>
        <w:rPr>
          <w:rtl/>
          <w:lang w:bidi="fa-IR"/>
        </w:rPr>
      </w:pPr>
      <w:bookmarkStart w:id="160" w:name="_Toc345172770"/>
      <w:bookmarkStart w:id="161" w:name="_Toc464562586"/>
      <w:bookmarkStart w:id="162" w:name="_Toc44599889"/>
      <w:r w:rsidRPr="00020424">
        <w:rPr>
          <w:rtl/>
          <w:lang w:bidi="fa-IR"/>
        </w:rPr>
        <w:t>48</w:t>
      </w:r>
      <w:r>
        <w:rPr>
          <w:rtl/>
          <w:lang w:bidi="fa-IR"/>
        </w:rPr>
        <w:t xml:space="preserve"> </w:t>
      </w:r>
      <w:r w:rsidR="009B673F">
        <w:rPr>
          <w:rtl/>
          <w:lang w:bidi="fa-IR"/>
        </w:rPr>
        <w:t>-</w:t>
      </w:r>
      <w:r>
        <w:rPr>
          <w:rtl/>
          <w:lang w:bidi="fa-IR"/>
        </w:rPr>
        <w:t xml:space="preserve"> </w:t>
      </w:r>
      <w:r w:rsidRPr="00020424">
        <w:rPr>
          <w:rtl/>
          <w:lang w:bidi="fa-IR"/>
        </w:rPr>
        <w:t>بَابُ فَضْلِ الصَّدَقَةِ‌</w:t>
      </w:r>
      <w:bookmarkEnd w:id="160"/>
      <w:bookmarkEnd w:id="161"/>
      <w:bookmarkEnd w:id="162"/>
    </w:p>
    <w:p w:rsidR="00992664" w:rsidRPr="00020424" w:rsidRDefault="00992664" w:rsidP="00992664">
      <w:pPr>
        <w:pStyle w:val="libNormal"/>
        <w:rPr>
          <w:rtl/>
          <w:lang w:bidi="fa-IR"/>
        </w:rPr>
      </w:pPr>
      <w:r w:rsidRPr="00AE2EA5">
        <w:rPr>
          <w:rtl/>
        </w:rPr>
        <w:t>6000</w:t>
      </w:r>
      <w:r w:rsidRPr="001155DE">
        <w:rPr>
          <w:rStyle w:val="libBold2Char"/>
          <w:rtl/>
        </w:rPr>
        <w:t xml:space="preserve"> / 1.</w:t>
      </w:r>
      <w:r w:rsidRPr="00020424">
        <w:rPr>
          <w:rtl/>
          <w:lang w:bidi="fa-IR"/>
        </w:rPr>
        <w:t xml:space="preserve"> عَلِيُّ بْنُ إِبْرَاهِيمَ بْنِ هَاشِمٍ </w:t>
      </w:r>
      <w:r w:rsidRPr="00A91B96">
        <w:rPr>
          <w:rStyle w:val="libFootnotenumChar"/>
          <w:rtl/>
        </w:rPr>
        <w:t>(3)</w:t>
      </w:r>
      <w:r w:rsidRPr="00020424">
        <w:rPr>
          <w:rtl/>
          <w:lang w:bidi="fa-IR"/>
        </w:rPr>
        <w:t xml:space="preserve"> ، عَنْ أَبِيهِ ، عَنِ الْحُسَيْنِ بْنِ يَزِيدَ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الصَّدَقَةُ تَدْفَعُ مِيتَةَ السَّوْءِ</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4166F8" w:rsidRDefault="00992664" w:rsidP="004166F8">
      <w:pPr>
        <w:pStyle w:val="libNormal"/>
        <w:rPr>
          <w:rtl/>
          <w:lang w:bidi="fa-IR"/>
        </w:rPr>
      </w:pPr>
      <w:r w:rsidRPr="00AE2EA5">
        <w:rPr>
          <w:rtl/>
        </w:rPr>
        <w:t>6001</w:t>
      </w:r>
      <w:r w:rsidRPr="001155DE">
        <w:rPr>
          <w:rStyle w:val="libBold2Char"/>
          <w:rtl/>
        </w:rPr>
        <w:t xml:space="preserve"> / 2.</w:t>
      </w:r>
      <w:r w:rsidRPr="00020424">
        <w:rPr>
          <w:rtl/>
          <w:lang w:bidi="fa-IR"/>
        </w:rPr>
        <w:t xml:space="preserve"> مُحَمَّدُ بْنُ إِسْمَاعِيلَ ، عَنِ الْفَضْلِ بْنِ شَاذَانَ ؛</w:t>
      </w:r>
    </w:p>
    <w:p w:rsidR="00992664" w:rsidRPr="00020424" w:rsidRDefault="004166F8" w:rsidP="004166F8">
      <w:pPr>
        <w:pStyle w:val="libNormal"/>
        <w:rPr>
          <w:rtl/>
          <w:lang w:bidi="fa-IR"/>
        </w:rPr>
      </w:pPr>
      <w:r>
        <w:rPr>
          <w:rFonts w:hint="cs"/>
          <w:rtl/>
          <w:lang w:bidi="fa-IR"/>
        </w:rPr>
        <w:t xml:space="preserve">            </w:t>
      </w:r>
      <w:r w:rsidR="00992664" w:rsidRPr="00020424">
        <w:rPr>
          <w:rtl/>
          <w:lang w:bidi="fa-IR"/>
        </w:rPr>
        <w:t>وَأَحْمَدُ بْنُ إِدْرِيسَ ، عَنْ مُحَمَّدِ بْنِ عَبْدِ الْجَبَّارِ جَمِيعاً ، عَنْ صَفْوَانَ بْنِ يَحْيى ، عَنْ إِسْحَاقَ بْنِ غَالِبٍ ، عَمَّنْ حَدَّثَهُ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ى ، بث ، بح ، بخ ، بف ، جن » :</w:t>
      </w:r>
      <w:r w:rsidR="00992664">
        <w:rPr>
          <w:rtl/>
        </w:rPr>
        <w:t xml:space="preserve"> </w:t>
      </w:r>
      <w:r w:rsidR="009B673F">
        <w:rPr>
          <w:rtl/>
        </w:rPr>
        <w:t>-</w:t>
      </w:r>
      <w:r w:rsidR="00992664">
        <w:rPr>
          <w:rtl/>
        </w:rPr>
        <w:t xml:space="preserve"> </w:t>
      </w:r>
      <w:r w:rsidR="00992664" w:rsidRPr="00020424">
        <w:rPr>
          <w:rtl/>
        </w:rPr>
        <w:t>« بسم الله الرحمن الرحيم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أبواب الصدقة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بخ ، بف » :</w:t>
      </w:r>
      <w:r w:rsidR="00992664">
        <w:rPr>
          <w:rtl/>
        </w:rPr>
        <w:t xml:space="preserve"> </w:t>
      </w:r>
      <w:r w:rsidR="009B673F">
        <w:rPr>
          <w:rtl/>
        </w:rPr>
        <w:t>-</w:t>
      </w:r>
      <w:r w:rsidR="00992664">
        <w:rPr>
          <w:rtl/>
        </w:rPr>
        <w:t xml:space="preserve"> </w:t>
      </w:r>
      <w:r w:rsidR="00992664" w:rsidRPr="00020424">
        <w:rPr>
          <w:rtl/>
        </w:rPr>
        <w:t>« بن هاشم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169 ، ح 8 ، عن أبيه ، عن عليّ بن إبراهيم</w:t>
      </w:r>
      <w:r w:rsidR="00992664">
        <w:rPr>
          <w:rtl/>
        </w:rPr>
        <w:t xml:space="preserve"> ..</w:t>
      </w:r>
      <w:r w:rsidR="00992664" w:rsidRPr="00020424">
        <w:rPr>
          <w:rtl/>
        </w:rPr>
        <w:t xml:space="preserve">.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الكافي</w:t>
      </w:r>
      <w:r w:rsidR="00992664" w:rsidRPr="00020424">
        <w:rPr>
          <w:rtl/>
        </w:rPr>
        <w:t xml:space="preserve"> ، كتاب الزكاة ، باب أنّ الصدقة تدفع البلاء ، ذيل ح 6013 ، بسند آخر. </w:t>
      </w:r>
      <w:r w:rsidR="00992664" w:rsidRPr="00DE76B9">
        <w:rPr>
          <w:rStyle w:val="libFootnoteBoldChar"/>
          <w:rtl/>
        </w:rPr>
        <w:t>الجعفريّات</w:t>
      </w:r>
      <w:r w:rsidR="00992664" w:rsidRPr="00020424">
        <w:rPr>
          <w:rtl/>
        </w:rPr>
        <w:t xml:space="preserve"> ، ص 56 و231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w:t>
      </w:r>
      <w:r w:rsidR="00992664" w:rsidRPr="0012008A">
        <w:rPr>
          <w:rStyle w:val="libFootnoteBoldChar"/>
          <w:rtl/>
        </w:rPr>
        <w:t>ثواب الأعمال</w:t>
      </w:r>
      <w:r w:rsidR="00992664" w:rsidRPr="00020424">
        <w:rPr>
          <w:rtl/>
        </w:rPr>
        <w:t xml:space="preserve"> ، ص 169 ، ح 7 ، بسند آخر عن أبي عبدالله </w:t>
      </w:r>
      <w:r w:rsidR="00992664" w:rsidRPr="00D64ADA">
        <w:rPr>
          <w:rStyle w:val="libFootnoteAlaemChar"/>
          <w:rtl/>
        </w:rPr>
        <w:t>عليه‌السلام</w:t>
      </w:r>
      <w:r w:rsidR="00992664" w:rsidRPr="00020424">
        <w:rPr>
          <w:rtl/>
        </w:rPr>
        <w:t xml:space="preserve"> ، من دون الإسناد إلى الرسول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w:t>
      </w:r>
      <w:r w:rsidR="00992664" w:rsidRPr="00DE76B9">
        <w:rPr>
          <w:rStyle w:val="libFootnoteBoldChar"/>
          <w:rtl/>
        </w:rPr>
        <w:t>الكافي</w:t>
      </w:r>
      <w:r w:rsidR="00992664" w:rsidRPr="00020424">
        <w:rPr>
          <w:rtl/>
        </w:rPr>
        <w:t xml:space="preserve"> ، كتاب الزكاة ، باب أنّ الصدقة تدفع البلاء ، ح 6016 ، بسند آخر عن أبي جعفر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وزيادة في أوّله وآخره. وفي </w:t>
      </w:r>
      <w:r w:rsidR="00992664" w:rsidRPr="00DE76B9">
        <w:rPr>
          <w:rStyle w:val="libFootnoteBoldChar"/>
          <w:rtl/>
        </w:rPr>
        <w:t>نهج البلاغة</w:t>
      </w:r>
      <w:r w:rsidR="00992664" w:rsidRPr="00020424">
        <w:rPr>
          <w:rtl/>
        </w:rPr>
        <w:t xml:space="preserve"> ، ص 163 ، ضمن الخطبة 110 ؛ </w:t>
      </w:r>
      <w:r w:rsidR="00992664" w:rsidRPr="00A83B0E">
        <w:rPr>
          <w:rStyle w:val="libFootnoteBoldChar"/>
          <w:rtl/>
        </w:rPr>
        <w:t>وتحف العقول</w:t>
      </w:r>
      <w:r w:rsidR="00992664" w:rsidRPr="00DE76B9">
        <w:rPr>
          <w:rStyle w:val="libFootnoteBoldChar"/>
          <w:rtl/>
        </w:rPr>
        <w:t xml:space="preserve"> </w:t>
      </w:r>
      <w:r w:rsidR="00992664" w:rsidRPr="00020424">
        <w:rPr>
          <w:rtl/>
        </w:rPr>
        <w:t xml:space="preserve">، ص 149 ، عن أميرالمؤمنين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4166F8">
        <w:rPr>
          <w:rFonts w:hint="cs"/>
          <w:rtl/>
        </w:rPr>
        <w:t>.</w:t>
      </w:r>
      <w:r w:rsidR="00992664" w:rsidRPr="0012008A">
        <w:rPr>
          <w:rStyle w:val="libFootnoteBoldChar"/>
          <w:rtl/>
        </w:rPr>
        <w:t>الوافي</w:t>
      </w:r>
      <w:r w:rsidR="00992664" w:rsidRPr="00020424">
        <w:rPr>
          <w:rtl/>
        </w:rPr>
        <w:t xml:space="preserve"> ، ج 10 ، ص 387 ، ح 9735 ؛ </w:t>
      </w:r>
      <w:r w:rsidR="00992664" w:rsidRPr="0012008A">
        <w:rPr>
          <w:rStyle w:val="libFootnoteBoldChar"/>
          <w:rtl/>
        </w:rPr>
        <w:t>الوسائل</w:t>
      </w:r>
      <w:r w:rsidR="00992664" w:rsidRPr="00020424">
        <w:rPr>
          <w:rtl/>
        </w:rPr>
        <w:t xml:space="preserve"> ، ج 9 ، ص 367 ، ح 12253.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أَبِي جَعْفَرٍ </w:t>
      </w:r>
      <w:r w:rsidRPr="00005A81">
        <w:rPr>
          <w:rStyle w:val="libAlaemChar"/>
          <w:rtl/>
        </w:rPr>
        <w:t>عليه‌السلام</w:t>
      </w:r>
      <w:r w:rsidRPr="00020424">
        <w:rPr>
          <w:rtl/>
          <w:lang w:bidi="fa-IR"/>
        </w:rPr>
        <w:t xml:space="preserve"> ، قَالَ : « الْبِرُّ وَالصَّدَقَةُ </w:t>
      </w:r>
      <w:r w:rsidRPr="00A91B96">
        <w:rPr>
          <w:rStyle w:val="libFootnotenumChar"/>
          <w:rtl/>
        </w:rPr>
        <w:t>(1)</w:t>
      </w:r>
      <w:r w:rsidRPr="00020424">
        <w:rPr>
          <w:rtl/>
          <w:lang w:bidi="fa-IR"/>
        </w:rPr>
        <w:t xml:space="preserve"> يَنْفِيَانِ الْفَقْرَ ، وَيَزِيدَانِ فِي الْعُمُرِ ، وَيَدْفَعَانِ </w:t>
      </w:r>
      <w:r w:rsidRPr="00A91B96">
        <w:rPr>
          <w:rStyle w:val="libFootnotenumChar"/>
          <w:rtl/>
        </w:rPr>
        <w:t>(2)</w:t>
      </w:r>
      <w:r w:rsidRPr="00020424">
        <w:rPr>
          <w:rtl/>
          <w:lang w:bidi="fa-IR"/>
        </w:rPr>
        <w:t xml:space="preserve"> تِسْعِينَ </w:t>
      </w:r>
      <w:r w:rsidRPr="00A91B96">
        <w:rPr>
          <w:rStyle w:val="libFootnotenumChar"/>
          <w:rtl/>
        </w:rPr>
        <w:t>(3)</w:t>
      </w:r>
      <w:r w:rsidRPr="00020424">
        <w:rPr>
          <w:rtl/>
          <w:lang w:bidi="fa-IR"/>
        </w:rPr>
        <w:t xml:space="preserve"> مِيتَةَ السَّوْءِ</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4166F8" w:rsidP="00992664">
      <w:pPr>
        <w:pStyle w:val="libNormal"/>
        <w:rPr>
          <w:rtl/>
          <w:lang w:bidi="fa-IR"/>
        </w:rPr>
      </w:pPr>
      <w:r>
        <w:rPr>
          <w:rFonts w:hint="cs"/>
          <w:rtl/>
          <w:lang w:bidi="fa-IR"/>
        </w:rPr>
        <w:t xml:space="preserve">* </w:t>
      </w:r>
      <w:r w:rsidR="00992664" w:rsidRPr="00020424">
        <w:rPr>
          <w:rtl/>
          <w:lang w:bidi="fa-IR"/>
        </w:rPr>
        <w:t xml:space="preserve">وَفِي خَبَرٍ </w:t>
      </w:r>
      <w:r w:rsidR="00992664" w:rsidRPr="00A91B96">
        <w:rPr>
          <w:rStyle w:val="libFootnotenumChar"/>
          <w:rtl/>
        </w:rPr>
        <w:t>(5)</w:t>
      </w:r>
      <w:r w:rsidR="00992664" w:rsidRPr="00020424">
        <w:rPr>
          <w:rtl/>
          <w:lang w:bidi="fa-IR"/>
        </w:rPr>
        <w:t xml:space="preserve"> آخَرَ : « وَيَدْفَعَانِ عَنْ شِيعَتِي مِيتَةَ السَّوْءِ</w:t>
      </w:r>
      <w:r w:rsidR="00992664">
        <w:rPr>
          <w:rtl/>
          <w:lang w:bidi="fa-IR"/>
        </w:rPr>
        <w:t xml:space="preserve"> ».</w:t>
      </w:r>
      <w:r w:rsidR="00992664" w:rsidRPr="00020424">
        <w:rPr>
          <w:rtl/>
          <w:lang w:bidi="fa-IR"/>
        </w:rPr>
        <w:t xml:space="preserve"> </w:t>
      </w:r>
      <w:r w:rsidR="00992664" w:rsidRPr="00A91B96">
        <w:rPr>
          <w:rStyle w:val="libFootnotenumChar"/>
          <w:rtl/>
        </w:rPr>
        <w:t>(6)</w:t>
      </w:r>
      <w:r w:rsidR="00992664" w:rsidRPr="00020424">
        <w:rPr>
          <w:rtl/>
          <w:lang w:bidi="fa-IR"/>
        </w:rPr>
        <w:t xml:space="preserve"> ‌</w:t>
      </w:r>
    </w:p>
    <w:p w:rsidR="00992664" w:rsidRPr="00020424" w:rsidRDefault="00992664" w:rsidP="00992664">
      <w:pPr>
        <w:pStyle w:val="libNormal"/>
        <w:rPr>
          <w:rtl/>
          <w:lang w:bidi="fa-IR"/>
        </w:rPr>
      </w:pPr>
      <w:r w:rsidRPr="00AE2EA5">
        <w:rPr>
          <w:rtl/>
        </w:rPr>
        <w:t>6002</w:t>
      </w:r>
      <w:r w:rsidRPr="001155DE">
        <w:rPr>
          <w:rStyle w:val="libBold2Char"/>
          <w:rtl/>
        </w:rPr>
        <w:t xml:space="preserve"> / 3.</w:t>
      </w:r>
      <w:r w:rsidRPr="00020424">
        <w:rPr>
          <w:rtl/>
          <w:lang w:bidi="fa-IR"/>
        </w:rPr>
        <w:t xml:space="preserve"> عِدَّةٌ مِنْ أَصْحَابِنَا ، عَنْ أَحْمَدَ بْنِ أَبِي عَبْدِ اللهِ </w:t>
      </w:r>
      <w:r w:rsidRPr="00A91B96">
        <w:rPr>
          <w:rStyle w:val="libFootnotenumChar"/>
          <w:rtl/>
        </w:rPr>
        <w:t>(7)</w:t>
      </w:r>
      <w:r w:rsidRPr="00020424">
        <w:rPr>
          <w:rtl/>
          <w:lang w:bidi="fa-IR"/>
        </w:rPr>
        <w:t xml:space="preserve"> ، عَنْ أَبِيهِ ، عَنْ خَلَفِ بْنِ حَمَّادٍ ، عَنْ إِسْمَاعِيلَ الْجَوْهَرِيِّ </w:t>
      </w:r>
      <w:r w:rsidRPr="00A91B96">
        <w:rPr>
          <w:rStyle w:val="libFootnotenumChar"/>
          <w:rtl/>
        </w:rPr>
        <w:t>(8)</w:t>
      </w:r>
      <w:r w:rsidRPr="00020424">
        <w:rPr>
          <w:rtl/>
          <w:lang w:bidi="fa-IR"/>
        </w:rPr>
        <w:t xml:space="preserve"> ، عَنْ أَبِي بَصِيرٍ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لَأَنْ أَحُجَّ حَجَّةً أَحَبُّ إِلَيَّ مِنْ أَنْ أُعْتِقَ </w:t>
      </w:r>
      <w:r w:rsidRPr="00A91B96">
        <w:rPr>
          <w:rStyle w:val="libFootnotenumChar"/>
          <w:rtl/>
        </w:rPr>
        <w:t>(9)</w:t>
      </w:r>
      <w:r w:rsidRPr="00020424">
        <w:rPr>
          <w:rtl/>
          <w:lang w:bidi="fa-IR"/>
        </w:rPr>
        <w:t xml:space="preserve"> رَقَبَةً وَرَقَبَةً </w:t>
      </w:r>
      <w:r w:rsidRPr="00A91B96">
        <w:rPr>
          <w:rStyle w:val="libFootnotenumChar"/>
          <w:rtl/>
        </w:rPr>
        <w:t>(10)</w:t>
      </w:r>
      <w:r w:rsidRPr="00020424">
        <w:rPr>
          <w:rtl/>
          <w:lang w:bidi="fa-IR"/>
        </w:rPr>
        <w:t xml:space="preserve"> » حَتَّى انْتَهى إِلى عَشْرٍ </w:t>
      </w:r>
      <w:r w:rsidRPr="00A91B96">
        <w:rPr>
          <w:rStyle w:val="libFootnotenumChar"/>
          <w:rtl/>
        </w:rPr>
        <w:t>(11)</w:t>
      </w:r>
      <w:r w:rsidRPr="00020424">
        <w:rPr>
          <w:rtl/>
          <w:lang w:bidi="fa-IR"/>
        </w:rPr>
        <w:t xml:space="preserve"> « وَمِثْلَهَا وَمِثْلَهَا » </w:t>
      </w:r>
      <w:r w:rsidRPr="00A91B96">
        <w:rPr>
          <w:rStyle w:val="libFootnotenumChar"/>
          <w:rtl/>
        </w:rPr>
        <w:t>(12)</w:t>
      </w:r>
      <w:r w:rsidRPr="00020424">
        <w:rPr>
          <w:rtl/>
          <w:lang w:bidi="fa-IR"/>
        </w:rPr>
        <w:t xml:space="preserve"> حَتَّى انْتَهى إِلى سَبْعِينَ « وَلَأَنْ أَعُولَ أَهْلَ بَيْتٍ مِنَ الْمُسْلِمِينَ</w:t>
      </w:r>
      <w:r>
        <w:rPr>
          <w:rtl/>
          <w:lang w:bidi="fa-IR"/>
        </w:rPr>
        <w:t xml:space="preserve"> </w:t>
      </w:r>
      <w:r w:rsidR="009B673F">
        <w:rPr>
          <w:rtl/>
          <w:lang w:bidi="fa-IR"/>
        </w:rPr>
        <w:t>-</w:t>
      </w:r>
      <w:r>
        <w:rPr>
          <w:rtl/>
          <w:lang w:bidi="fa-IR"/>
        </w:rPr>
        <w:t xml:space="preserve"> </w:t>
      </w:r>
      <w:r w:rsidRPr="00020424">
        <w:rPr>
          <w:rtl/>
          <w:lang w:bidi="fa-IR"/>
        </w:rPr>
        <w:t>أُشْبِعَ جَوْعَتَهُمْ ، وَأَكْسُوَ عَوْرَتَهُمْ ، وَأَكُفَّ وُجُوهَهُمْ عَنِ النَّاسِ</w:t>
      </w:r>
      <w:r>
        <w:rPr>
          <w:rtl/>
          <w:lang w:bidi="fa-IR"/>
        </w:rPr>
        <w:t xml:space="preserve"> </w:t>
      </w:r>
      <w:r w:rsidR="009B673F">
        <w:rPr>
          <w:rtl/>
          <w:lang w:bidi="fa-IR"/>
        </w:rPr>
        <w:t>-</w:t>
      </w:r>
      <w:r>
        <w:rPr>
          <w:rtl/>
          <w:lang w:bidi="fa-IR"/>
        </w:rPr>
        <w:t xml:space="preserve"> </w:t>
      </w:r>
      <w:r w:rsidRPr="00020424">
        <w:rPr>
          <w:rtl/>
          <w:lang w:bidi="fa-IR"/>
        </w:rPr>
        <w:t xml:space="preserve">أَحَبُّ إِلَيَّ مِنْ أَنْ أَحُجَّ حَجَّةً وَحَجَّةً وَحَجَّةً </w:t>
      </w:r>
      <w:r w:rsidRPr="00A91B96">
        <w:rPr>
          <w:rStyle w:val="libFootnotenumChar"/>
          <w:rtl/>
        </w:rPr>
        <w:t>(13)</w:t>
      </w:r>
      <w:r w:rsidRPr="00020424">
        <w:rPr>
          <w:rtl/>
          <w:lang w:bidi="fa-IR"/>
        </w:rPr>
        <w:t xml:space="preserve"> » حَتَّى انْتَهى إِلى عَشْرٍ وَعَشْرٍ‌</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الزهد : « وصدقة السرّ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بث ، بح ، بخ ، بف » </w:t>
      </w:r>
      <w:r w:rsidR="00992664" w:rsidRPr="00EB1FD9">
        <w:rPr>
          <w:rStyle w:val="libFootnoteBoldChar"/>
          <w:rtl/>
        </w:rPr>
        <w:t>والوسائل</w:t>
      </w:r>
      <w:r w:rsidR="00992664" w:rsidRPr="00020424">
        <w:rPr>
          <w:rtl/>
        </w:rPr>
        <w:t xml:space="preserve"> </w:t>
      </w:r>
      <w:r w:rsidR="00992664" w:rsidRPr="007C1D2B">
        <w:rPr>
          <w:rStyle w:val="libFootnoteBoldChar"/>
          <w:rtl/>
        </w:rPr>
        <w:t>والزهد</w:t>
      </w:r>
      <w:r w:rsidR="00992664" w:rsidRPr="00020424">
        <w:rPr>
          <w:rtl/>
        </w:rPr>
        <w:t xml:space="preserve"> : + « عن</w:t>
      </w:r>
      <w:r w:rsidR="00992664">
        <w:rPr>
          <w:rtl/>
        </w:rPr>
        <w:t xml:space="preserve"> ».</w:t>
      </w:r>
      <w:r w:rsidR="00992664" w:rsidRPr="00020424">
        <w:rPr>
          <w:rtl/>
        </w:rPr>
        <w:t xml:space="preserve"> وفى </w:t>
      </w:r>
      <w:r w:rsidR="00992664" w:rsidRPr="004166F8">
        <w:rPr>
          <w:rtl/>
        </w:rPr>
        <w:t xml:space="preserve">الفقيه </w:t>
      </w:r>
      <w:r w:rsidR="00992664" w:rsidRPr="006C7A1F">
        <w:rPr>
          <w:rStyle w:val="libFootnoteBoldChar"/>
          <w:rtl/>
        </w:rPr>
        <w:t>وثواب الأعمال</w:t>
      </w:r>
      <w:r w:rsidR="00992664" w:rsidRPr="00020424">
        <w:rPr>
          <w:rtl/>
        </w:rPr>
        <w:t xml:space="preserve"> : + « عن صاحبهما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بح » وحاشية « بث ، جن » </w:t>
      </w:r>
      <w:r w:rsidR="00992664" w:rsidRPr="004166F8">
        <w:rPr>
          <w:rtl/>
        </w:rPr>
        <w:t xml:space="preserve">والوافي </w:t>
      </w:r>
      <w:r w:rsidR="00992664" w:rsidRPr="00A05922">
        <w:rPr>
          <w:rtl/>
        </w:rPr>
        <w:t>والوسائل والفقيه والزهد والخصال وثواب الأعمال</w:t>
      </w:r>
      <w:r w:rsidR="00992664" w:rsidRPr="00020424">
        <w:rPr>
          <w:rtl/>
        </w:rPr>
        <w:t xml:space="preserve"> : « سبعين</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الزهد</w:t>
      </w:r>
      <w:r w:rsidR="00992664" w:rsidRPr="00020424">
        <w:rPr>
          <w:rtl/>
        </w:rPr>
        <w:t xml:space="preserve"> ، ص 93 ، ح 75 ، عن صفوان ، عن إسحاق بن غالب ، عن أبيه ، عن أبي جعفر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ثواب الأعمال</w:t>
      </w:r>
      <w:r w:rsidR="00992664" w:rsidRPr="00020424">
        <w:rPr>
          <w:rtl/>
        </w:rPr>
        <w:t xml:space="preserve"> ، ص 169 ، ح 11 ؛ </w:t>
      </w:r>
      <w:r w:rsidR="00992664" w:rsidRPr="00FD6221">
        <w:rPr>
          <w:rStyle w:val="libFootnoteBoldChar"/>
          <w:rtl/>
        </w:rPr>
        <w:t>والخصال</w:t>
      </w:r>
      <w:r w:rsidR="00992664" w:rsidRPr="00020424">
        <w:rPr>
          <w:rtl/>
        </w:rPr>
        <w:t xml:space="preserve"> ، ص 48 ، باب الاثنين ، ح 53 ، بسندهما عن صفوان بن يحيى. </w:t>
      </w:r>
      <w:r w:rsidR="00992664" w:rsidRPr="0012008A">
        <w:rPr>
          <w:rStyle w:val="libFootnoteBoldChar"/>
          <w:rtl/>
        </w:rPr>
        <w:t>الفقيه</w:t>
      </w:r>
      <w:r w:rsidR="00992664" w:rsidRPr="00020424">
        <w:rPr>
          <w:rtl/>
        </w:rPr>
        <w:t xml:space="preserve"> ، ج 2 ، ص 66 ، ح 1729 ، مرسلاً </w:t>
      </w:r>
      <w:r w:rsidR="004166F8">
        <w:rPr>
          <w:rFonts w:hint="cs"/>
          <w:rtl/>
        </w:rPr>
        <w:t>.</w:t>
      </w:r>
      <w:r w:rsidR="00992664" w:rsidRPr="0012008A">
        <w:rPr>
          <w:rStyle w:val="libFootnoteBoldChar"/>
          <w:rtl/>
        </w:rPr>
        <w:t>الوافي</w:t>
      </w:r>
      <w:r w:rsidR="00992664" w:rsidRPr="00020424">
        <w:rPr>
          <w:rtl/>
        </w:rPr>
        <w:t xml:space="preserve"> ، ج 10 ، ص 388 ، ح 9736 ؛ </w:t>
      </w:r>
      <w:r w:rsidR="00992664" w:rsidRPr="0012008A">
        <w:rPr>
          <w:rStyle w:val="libFootnoteBoldChar"/>
          <w:rtl/>
        </w:rPr>
        <w:t>الوسائل</w:t>
      </w:r>
      <w:r w:rsidR="00992664" w:rsidRPr="00020424">
        <w:rPr>
          <w:rtl/>
        </w:rPr>
        <w:t xml:space="preserve"> ، ج 9 ، ص 368 ، ح 12255.</w:t>
      </w:r>
    </w:p>
    <w:tbl>
      <w:tblPr>
        <w:tblStyle w:val="TableGrid"/>
        <w:bidiVisual/>
        <w:tblW w:w="0" w:type="auto"/>
        <w:tblLook w:val="04A0" w:firstRow="1" w:lastRow="0" w:firstColumn="1" w:lastColumn="0" w:noHBand="0" w:noVBand="1"/>
      </w:tblPr>
      <w:tblGrid>
        <w:gridCol w:w="4006"/>
        <w:gridCol w:w="4006"/>
      </w:tblGrid>
      <w:tr w:rsidR="004166F8" w:rsidTr="004166F8">
        <w:tc>
          <w:tcPr>
            <w:tcW w:w="4006" w:type="dxa"/>
          </w:tcPr>
          <w:p w:rsidR="004166F8" w:rsidRDefault="004166F8" w:rsidP="00992664">
            <w:pPr>
              <w:pStyle w:val="libFootnote0"/>
              <w:rPr>
                <w:rtl/>
              </w:rPr>
            </w:pPr>
            <w:r>
              <w:rPr>
                <w:rtl/>
              </w:rPr>
              <w:t xml:space="preserve">(5). </w:t>
            </w:r>
            <w:r w:rsidRPr="00020424">
              <w:rPr>
                <w:rtl/>
              </w:rPr>
              <w:t>في « بح » : « حديث</w:t>
            </w:r>
            <w:r>
              <w:rPr>
                <w:rtl/>
              </w:rPr>
              <w:t xml:space="preserve"> ».</w:t>
            </w:r>
          </w:p>
        </w:tc>
        <w:tc>
          <w:tcPr>
            <w:tcW w:w="4006" w:type="dxa"/>
          </w:tcPr>
          <w:p w:rsidR="004166F8" w:rsidRDefault="004166F8" w:rsidP="00992664">
            <w:pPr>
              <w:pStyle w:val="libFootnote0"/>
              <w:rPr>
                <w:rtl/>
              </w:rPr>
            </w:pPr>
            <w:r>
              <w:rPr>
                <w:rtl/>
              </w:rPr>
              <w:t xml:space="preserve">(6). </w:t>
            </w:r>
            <w:r w:rsidRPr="0012008A">
              <w:rPr>
                <w:rStyle w:val="libFootnoteBoldChar"/>
                <w:rtl/>
              </w:rPr>
              <w:t>الوافي</w:t>
            </w:r>
            <w:r w:rsidRPr="00020424">
              <w:rPr>
                <w:rtl/>
              </w:rPr>
              <w:t xml:space="preserve"> ، ج 10 ، ص 388 ، ح 9737.</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بح ، بخ ، بف » وحاشية « ظ » </w:t>
      </w:r>
      <w:r w:rsidR="00992664" w:rsidRPr="00EB1FD9">
        <w:rPr>
          <w:rStyle w:val="libFootnoteBoldChar"/>
          <w:rtl/>
        </w:rPr>
        <w:t>والوسائل</w:t>
      </w:r>
      <w:r w:rsidR="00992664" w:rsidRPr="00020424">
        <w:rPr>
          <w:rtl/>
        </w:rPr>
        <w:t>. وفي « ى ، بث ، بس ، جن » والمطبوع : « أحمد بن محمّد بن‌أبي عبد الله</w:t>
      </w:r>
      <w:r w:rsidR="00992664">
        <w:rPr>
          <w:rtl/>
        </w:rPr>
        <w:t xml:space="preserve"> ».</w:t>
      </w:r>
    </w:p>
    <w:p w:rsidR="00992664" w:rsidRPr="00020424" w:rsidRDefault="00992664" w:rsidP="00992664">
      <w:pPr>
        <w:pStyle w:val="libFootnote0"/>
        <w:rPr>
          <w:rtl/>
          <w:lang w:bidi="fa-IR"/>
        </w:rPr>
      </w:pPr>
      <w:r w:rsidRPr="004166F8">
        <w:rPr>
          <w:rtl/>
        </w:rPr>
        <w:t xml:space="preserve">وأحمد بن أبي عبد الله هو أحمد بن محمّد بن خالد البرقي ، روى عن أبيه كتاب خلف بن حمّاد الأسدي. راجع : </w:t>
      </w:r>
      <w:r w:rsidRPr="00D530ED">
        <w:rPr>
          <w:rStyle w:val="libFootnoteBoldChar"/>
          <w:rtl/>
        </w:rPr>
        <w:t>الفهرست للطوسي</w:t>
      </w:r>
      <w:r w:rsidRPr="004166F8">
        <w:rPr>
          <w:rtl/>
        </w:rPr>
        <w:t xml:space="preserve"> ، ص 176 ، الرقم 272.</w:t>
      </w:r>
    </w:p>
    <w:p w:rsidR="00992664" w:rsidRPr="00020424" w:rsidRDefault="00992664" w:rsidP="00992664">
      <w:pPr>
        <w:pStyle w:val="libFootnote0"/>
        <w:rPr>
          <w:rtl/>
          <w:lang w:bidi="fa-IR"/>
        </w:rPr>
      </w:pPr>
      <w:r w:rsidRPr="004166F8">
        <w:rPr>
          <w:rtl/>
        </w:rPr>
        <w:t xml:space="preserve">وتقدّم الخبر في </w:t>
      </w:r>
      <w:r w:rsidRPr="00DE76B9">
        <w:rPr>
          <w:rStyle w:val="libFootnoteBoldChar"/>
          <w:rtl/>
        </w:rPr>
        <w:t>الكافي</w:t>
      </w:r>
      <w:r w:rsidRPr="004166F8">
        <w:rPr>
          <w:rtl/>
        </w:rPr>
        <w:t xml:space="preserve"> ، ح 2154 عن عدّة من أصحابنا ، عن أحمد بن محمّد بن خالد ، عن أبيه ، عن خلف بن حمّاد ، عن بعض أصحابه ، عن أبي‌جعفر </w:t>
      </w:r>
      <w:r w:rsidRPr="00D64ADA">
        <w:rPr>
          <w:rStyle w:val="libFootnoteAlaemChar"/>
          <w:rtl/>
        </w:rPr>
        <w:t>عليه‌السلام</w:t>
      </w:r>
      <w:r w:rsidRPr="004166F8">
        <w:rPr>
          <w:rtl/>
        </w:rPr>
        <w:t>.</w:t>
      </w:r>
      <w:r>
        <w:rPr>
          <w:rFonts w:hint="cs"/>
          <w:rtl/>
          <w:lang w:bidi="fa-IR"/>
        </w:rPr>
        <w:t xml:space="preserve"> </w:t>
      </w:r>
      <w:r w:rsidR="004166F8">
        <w:rPr>
          <w:rFonts w:hint="cs"/>
          <w:rtl/>
          <w:lang w:bidi="fa-IR"/>
        </w:rPr>
        <w:t xml:space="preserve"> </w:t>
      </w:r>
      <w:r w:rsidR="00795177">
        <w:rPr>
          <w:rtl/>
        </w:rPr>
        <w:t>(8).</w:t>
      </w:r>
      <w:r w:rsidR="0014403D">
        <w:rPr>
          <w:rtl/>
        </w:rPr>
        <w:t xml:space="preserve"> </w:t>
      </w:r>
      <w:r w:rsidRPr="00020424">
        <w:rPr>
          <w:rtl/>
        </w:rPr>
        <w:t xml:space="preserve">في </w:t>
      </w:r>
      <w:r w:rsidRPr="0012008A">
        <w:rPr>
          <w:rStyle w:val="libFootnoteBoldChar"/>
          <w:rtl/>
        </w:rPr>
        <w:t>الوسائل</w:t>
      </w:r>
      <w:r w:rsidRPr="00020424">
        <w:rPr>
          <w:rtl/>
        </w:rPr>
        <w:t xml:space="preserve"> ، ح 14403 :</w:t>
      </w:r>
      <w:r>
        <w:rPr>
          <w:rtl/>
        </w:rPr>
        <w:t xml:space="preserve"> </w:t>
      </w:r>
      <w:r w:rsidR="009B673F">
        <w:rPr>
          <w:rtl/>
        </w:rPr>
        <w:t>-</w:t>
      </w:r>
      <w:r>
        <w:rPr>
          <w:rtl/>
        </w:rPr>
        <w:t xml:space="preserve"> </w:t>
      </w:r>
      <w:r w:rsidRPr="00020424">
        <w:rPr>
          <w:rtl/>
        </w:rPr>
        <w:t>« عن إسماعيل الجوهري</w:t>
      </w:r>
      <w:r>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 « من ا</w:t>
      </w:r>
      <w:r w:rsidR="004166F8">
        <w:rPr>
          <w:rFonts w:hint="cs"/>
          <w:rtl/>
        </w:rPr>
        <w:t>ُ</w:t>
      </w:r>
      <w:r w:rsidR="00992664" w:rsidRPr="00020424">
        <w:rPr>
          <w:rtl/>
        </w:rPr>
        <w:t>عتق</w:t>
      </w:r>
      <w:r w:rsidR="00992664">
        <w:rPr>
          <w:rtl/>
        </w:rPr>
        <w:t xml:space="preserve"> ».</w:t>
      </w:r>
      <w:r w:rsidR="00992664" w:rsidRPr="00020424">
        <w:rPr>
          <w:rtl/>
        </w:rPr>
        <w:t xml:space="preserve"> وفي « بف » : « من عتق » كلاهما بدل « من أن ا</w:t>
      </w:r>
      <w:r w:rsidR="004166F8">
        <w:rPr>
          <w:rFonts w:hint="cs"/>
          <w:rtl/>
        </w:rPr>
        <w:t>ُ</w:t>
      </w:r>
      <w:r w:rsidR="00992664" w:rsidRPr="00020424">
        <w:rPr>
          <w:rtl/>
        </w:rPr>
        <w:t>عتق</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بر ، بف » </w:t>
      </w:r>
      <w:r w:rsidR="00992664" w:rsidRPr="004166F8">
        <w:rPr>
          <w:rtl/>
        </w:rPr>
        <w:t xml:space="preserve">والوافي </w:t>
      </w:r>
      <w:r w:rsidR="00992664" w:rsidRPr="00EB1FD9">
        <w:rPr>
          <w:rStyle w:val="libFootnoteBoldChar"/>
          <w:rtl/>
        </w:rPr>
        <w:t>والوسائل</w:t>
      </w:r>
      <w:r w:rsidR="00992664" w:rsidRPr="00020424">
        <w:rPr>
          <w:rtl/>
        </w:rPr>
        <w:t xml:space="preserve"> : + « ورقبة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جميع النسخ التي قوبلت </w:t>
      </w:r>
      <w:r w:rsidR="00992664" w:rsidRPr="004166F8">
        <w:rPr>
          <w:rtl/>
        </w:rPr>
        <w:t xml:space="preserve">والوافي </w:t>
      </w:r>
      <w:r w:rsidR="00992664" w:rsidRPr="00EB1FD9">
        <w:rPr>
          <w:rStyle w:val="libFootnoteBoldChar"/>
          <w:rtl/>
        </w:rPr>
        <w:t>والوسائل</w:t>
      </w:r>
      <w:r w:rsidR="00992664" w:rsidRPr="00020424">
        <w:rPr>
          <w:rtl/>
        </w:rPr>
        <w:t xml:space="preserve"> ، ح 12273. وفي المطبوع : « عشرة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166F8" w:rsidTr="004166F8">
        <w:tc>
          <w:tcPr>
            <w:tcW w:w="4006" w:type="dxa"/>
          </w:tcPr>
          <w:p w:rsidR="004166F8" w:rsidRDefault="004166F8" w:rsidP="00992664">
            <w:pPr>
              <w:pStyle w:val="libFootnote0"/>
              <w:rPr>
                <w:rtl/>
              </w:rPr>
            </w:pPr>
            <w:r>
              <w:rPr>
                <w:rtl/>
              </w:rPr>
              <w:t xml:space="preserve">(12). </w:t>
            </w:r>
            <w:r w:rsidRPr="00020424">
              <w:rPr>
                <w:rtl/>
              </w:rPr>
              <w:t>في « بخ ، بر ، بف » :</w:t>
            </w:r>
            <w:r>
              <w:rPr>
                <w:rtl/>
              </w:rPr>
              <w:t xml:space="preserve"> - </w:t>
            </w:r>
            <w:r w:rsidRPr="00020424">
              <w:rPr>
                <w:rtl/>
              </w:rPr>
              <w:t>« ومثلها</w:t>
            </w:r>
            <w:r>
              <w:rPr>
                <w:rtl/>
              </w:rPr>
              <w:t xml:space="preserve"> ».</w:t>
            </w:r>
          </w:p>
        </w:tc>
        <w:tc>
          <w:tcPr>
            <w:tcW w:w="4006" w:type="dxa"/>
          </w:tcPr>
          <w:p w:rsidR="004166F8" w:rsidRDefault="004166F8" w:rsidP="00992664">
            <w:pPr>
              <w:pStyle w:val="libFootnote0"/>
              <w:rPr>
                <w:rtl/>
              </w:rPr>
            </w:pPr>
            <w:r>
              <w:rPr>
                <w:rtl/>
              </w:rPr>
              <w:t>(13). في «ى»</w:t>
            </w:r>
            <w:r w:rsidRPr="00EB1FD9">
              <w:rPr>
                <w:rStyle w:val="libFootnoteBoldChar"/>
                <w:rtl/>
              </w:rPr>
              <w:t>والوسائل</w:t>
            </w:r>
            <w:r>
              <w:rPr>
                <w:rtl/>
              </w:rPr>
              <w:t xml:space="preserve"> ، ح 12273</w:t>
            </w:r>
            <w:r w:rsidRPr="00020424">
              <w:rPr>
                <w:rtl/>
              </w:rPr>
              <w:t>:</w:t>
            </w:r>
            <w:r>
              <w:rPr>
                <w:rtl/>
              </w:rPr>
              <w:t>-</w:t>
            </w:r>
            <w:r w:rsidRPr="00020424">
              <w:rPr>
                <w:rtl/>
              </w:rPr>
              <w:t>« وحجّة</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4166F8">
      <w:pPr>
        <w:pStyle w:val="libNormal0"/>
        <w:rPr>
          <w:rtl/>
          <w:lang w:bidi="fa-IR"/>
        </w:rPr>
      </w:pPr>
      <w:r w:rsidRPr="00020424">
        <w:rPr>
          <w:rtl/>
          <w:lang w:bidi="fa-IR"/>
        </w:rPr>
        <w:lastRenderedPageBreak/>
        <w:t xml:space="preserve">وَعَشْرٍ </w:t>
      </w:r>
      <w:r w:rsidRPr="00A91B96">
        <w:rPr>
          <w:rStyle w:val="libFootnotenumChar"/>
          <w:rtl/>
        </w:rPr>
        <w:t>(1)</w:t>
      </w:r>
      <w:r w:rsidRPr="00020424">
        <w:rPr>
          <w:rtl/>
          <w:lang w:bidi="fa-IR"/>
        </w:rPr>
        <w:t xml:space="preserve"> « وَمِثْلَهَا وَمِثْلَهَا </w:t>
      </w:r>
      <w:r w:rsidRPr="00A91B96">
        <w:rPr>
          <w:rStyle w:val="libFootnotenumChar"/>
          <w:rtl/>
        </w:rPr>
        <w:t>(2)</w:t>
      </w:r>
      <w:r w:rsidRPr="00020424">
        <w:rPr>
          <w:rtl/>
          <w:lang w:bidi="fa-IR"/>
        </w:rPr>
        <w:t xml:space="preserve"> » حَتَّى انْتَهى إِلى سَبْعِينَ.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E2EA5">
        <w:rPr>
          <w:rtl/>
        </w:rPr>
        <w:t>6003</w:t>
      </w:r>
      <w:r w:rsidRPr="001155DE">
        <w:rPr>
          <w:rStyle w:val="libBold2Char"/>
          <w:rtl/>
        </w:rPr>
        <w:t xml:space="preserve"> / 4.</w:t>
      </w:r>
      <w:r w:rsidRPr="00020424">
        <w:rPr>
          <w:rtl/>
          <w:lang w:bidi="fa-IR"/>
        </w:rPr>
        <w:t xml:space="preserve"> عِدَّةٌ مِنْ أَصْحَابِنَا ، عَنْ سَهْلِ بْنِ زِيَادٍ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صَدَّقَ </w:t>
      </w:r>
      <w:r w:rsidRPr="00A91B96">
        <w:rPr>
          <w:rStyle w:val="libFootnotenumChar"/>
          <w:rtl/>
        </w:rPr>
        <w:t>(4)</w:t>
      </w:r>
      <w:r w:rsidRPr="00020424">
        <w:rPr>
          <w:rtl/>
          <w:lang w:bidi="fa-IR"/>
        </w:rPr>
        <w:t xml:space="preserve"> بِالْخَلَفِ ، جَادَ بِالْعَطِيَّةِ</w:t>
      </w:r>
      <w:r w:rsidRPr="00A91B96">
        <w:rPr>
          <w:rStyle w:val="libFootnotenumChar"/>
          <w:rtl/>
        </w:rPr>
        <w:t>(5)</w:t>
      </w:r>
      <w:r>
        <w:rPr>
          <w:rtl/>
          <w:lang w:bidi="fa-IR"/>
        </w:rPr>
        <w:t>».</w:t>
      </w:r>
      <w:r w:rsidRPr="00A91B96">
        <w:rPr>
          <w:rStyle w:val="libFootnotenumChar"/>
          <w:rtl/>
        </w:rPr>
        <w:t>(6)</w:t>
      </w:r>
    </w:p>
    <w:p w:rsidR="00992664" w:rsidRPr="00020424" w:rsidRDefault="00992664" w:rsidP="00992664">
      <w:pPr>
        <w:pStyle w:val="libNormal"/>
        <w:rPr>
          <w:rtl/>
          <w:lang w:bidi="fa-IR"/>
        </w:rPr>
      </w:pPr>
      <w:r w:rsidRPr="00AE2EA5">
        <w:rPr>
          <w:rtl/>
        </w:rPr>
        <w:t>6004</w:t>
      </w:r>
      <w:r w:rsidRPr="001155DE">
        <w:rPr>
          <w:rStyle w:val="libBold2Char"/>
          <w:rtl/>
        </w:rPr>
        <w:t xml:space="preserve"> / 5.</w:t>
      </w:r>
      <w:r w:rsidRPr="00020424">
        <w:rPr>
          <w:rtl/>
          <w:lang w:bidi="fa-IR"/>
        </w:rPr>
        <w:t xml:space="preserve"> عَلِيُّ بْنُ مُحَمَّدٍ </w:t>
      </w:r>
      <w:r w:rsidRPr="00A91B96">
        <w:rPr>
          <w:rStyle w:val="libFootnotenumChar"/>
          <w:rtl/>
        </w:rPr>
        <w:t>(7)</w:t>
      </w:r>
      <w:r w:rsidRPr="00020424">
        <w:rPr>
          <w:rtl/>
          <w:lang w:bidi="fa-IR"/>
        </w:rPr>
        <w:t xml:space="preserve"> ، عَنْ أَحْمَدَ بْنِ مُحَمَّدٍ ، عَنْ مُحَمَّدِ بْنِ خَالِدٍ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جن » </w:t>
      </w:r>
      <w:r w:rsidR="00992664" w:rsidRPr="004166F8">
        <w:rPr>
          <w:rtl/>
        </w:rPr>
        <w:t xml:space="preserve">والوافي </w:t>
      </w:r>
      <w:r w:rsidR="00992664" w:rsidRPr="00EB1FD9">
        <w:rPr>
          <w:rStyle w:val="libFootnoteBoldChar"/>
          <w:rtl/>
        </w:rPr>
        <w:t>والوسائل</w:t>
      </w:r>
      <w:r w:rsidR="00992664" w:rsidRPr="00020424">
        <w:rPr>
          <w:rtl/>
        </w:rPr>
        <w:t xml:space="preserve"> ، ح 12273 :</w:t>
      </w:r>
      <w:r w:rsidR="00992664">
        <w:rPr>
          <w:rtl/>
        </w:rPr>
        <w:t xml:space="preserve"> </w:t>
      </w:r>
      <w:r w:rsidR="009B673F">
        <w:rPr>
          <w:rtl/>
        </w:rPr>
        <w:t>-</w:t>
      </w:r>
      <w:r w:rsidR="00992664">
        <w:rPr>
          <w:rtl/>
        </w:rPr>
        <w:t xml:space="preserve"> </w:t>
      </w:r>
      <w:r w:rsidR="00992664" w:rsidRPr="00020424">
        <w:rPr>
          <w:rtl/>
        </w:rPr>
        <w:t>« وعشر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w:t>
      </w:r>
      <w:r w:rsidR="00992664" w:rsidRPr="00EB1FD9">
        <w:rPr>
          <w:rStyle w:val="libFootnoteBoldChar"/>
          <w:rtl/>
        </w:rPr>
        <w:t>والوسائل</w:t>
      </w:r>
      <w:r w:rsidR="00992664" w:rsidRPr="00020424">
        <w:rPr>
          <w:rtl/>
        </w:rPr>
        <w:t xml:space="preserve"> ، ح 12273 :</w:t>
      </w:r>
      <w:r w:rsidR="00992664">
        <w:rPr>
          <w:rtl/>
        </w:rPr>
        <w:t xml:space="preserve"> </w:t>
      </w:r>
      <w:r w:rsidR="009B673F">
        <w:rPr>
          <w:rtl/>
        </w:rPr>
        <w:t>-</w:t>
      </w:r>
      <w:r w:rsidR="00992664">
        <w:rPr>
          <w:rtl/>
        </w:rPr>
        <w:t xml:space="preserve"> </w:t>
      </w:r>
      <w:r w:rsidR="00992664" w:rsidRPr="00020424">
        <w:rPr>
          <w:rtl/>
        </w:rPr>
        <w:t>« ومثلها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قضاء حاجة المؤمن ، ح 2154 ، بنفس السند ، عن خلف بن حمّاد ، عن بعض أصحابه ، عن أبي جعفر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ثواب الأعمال</w:t>
      </w:r>
      <w:r w:rsidR="00992664" w:rsidRPr="00020424">
        <w:rPr>
          <w:rtl/>
        </w:rPr>
        <w:t xml:space="preserve"> ، ص 170 ، ح 13 ، بسنده عن أحمد بن أبي عبدالله ، عن أبيه ، عن خلف بن حمّاد. وفي </w:t>
      </w:r>
      <w:r w:rsidR="00992664" w:rsidRPr="00DE76B9">
        <w:rPr>
          <w:rStyle w:val="libFootnoteBoldChar"/>
          <w:rtl/>
        </w:rPr>
        <w:t>الكافي</w:t>
      </w:r>
      <w:r w:rsidR="00992664" w:rsidRPr="00020424">
        <w:rPr>
          <w:rtl/>
        </w:rPr>
        <w:t xml:space="preserve"> ، كتاب الحجّ ، باب فضل الحجّ والعمرة وثوابهما ، ضمن ح 6892 وصدر ح 6893 ؛ </w:t>
      </w:r>
      <w:r w:rsidR="00992664" w:rsidRPr="00515444">
        <w:rPr>
          <w:rStyle w:val="libFootnoteBoldChar"/>
          <w:rtl/>
        </w:rPr>
        <w:t>والتهذيب</w:t>
      </w:r>
      <w:r w:rsidR="00992664" w:rsidRPr="00020424">
        <w:rPr>
          <w:rtl/>
        </w:rPr>
        <w:t xml:space="preserve"> ، ج 5 ، ص 22 ، ضمن ح 66 ، بسند آخر عن أبي عبدالله </w:t>
      </w:r>
      <w:r w:rsidR="00992664" w:rsidRPr="00D64ADA">
        <w:rPr>
          <w:rStyle w:val="libFootnoteAlaemChar"/>
          <w:rtl/>
        </w:rPr>
        <w:t>عليه‌السلام</w:t>
      </w:r>
      <w:r w:rsidR="00992664" w:rsidRPr="00020424">
        <w:rPr>
          <w:rtl/>
        </w:rPr>
        <w:t xml:space="preserve"> ، إلى قوله : « رقبة ورقبة حتّى انتهى إلى عشر » مع اختلاف يسير </w:t>
      </w:r>
      <w:r w:rsidR="004166F8">
        <w:rPr>
          <w:rFonts w:hint="cs"/>
          <w:rtl/>
        </w:rPr>
        <w:t>.</w:t>
      </w:r>
      <w:r w:rsidR="00992664" w:rsidRPr="0012008A">
        <w:rPr>
          <w:rStyle w:val="libFootnoteBoldChar"/>
          <w:rtl/>
        </w:rPr>
        <w:t>الوافي</w:t>
      </w:r>
      <w:r w:rsidR="00992664" w:rsidRPr="00020424">
        <w:rPr>
          <w:rtl/>
        </w:rPr>
        <w:t xml:space="preserve"> ، ج 10 ، ص 388 ، ح 9738 ؛ </w:t>
      </w:r>
      <w:r w:rsidR="00992664" w:rsidRPr="0012008A">
        <w:rPr>
          <w:rStyle w:val="libFootnoteBoldChar"/>
          <w:rtl/>
        </w:rPr>
        <w:t>الوسائل</w:t>
      </w:r>
      <w:r w:rsidR="00992664" w:rsidRPr="00020424">
        <w:rPr>
          <w:rtl/>
        </w:rPr>
        <w:t xml:space="preserve"> ، ج 9 ، ص 373 ، ح 12273 ؛ </w:t>
      </w:r>
      <w:r w:rsidR="00992664" w:rsidRPr="00DE76B9">
        <w:rPr>
          <w:rStyle w:val="libFootnoteBoldChar"/>
          <w:rtl/>
        </w:rPr>
        <w:t>فيه</w:t>
      </w:r>
      <w:r w:rsidR="00992664" w:rsidRPr="00020424">
        <w:rPr>
          <w:rtl/>
        </w:rPr>
        <w:t xml:space="preserve"> ، ج 11 ، ص 120 ، ح 14403 ، إلى قوله : حتّى انتهى إلى سبعين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A05922">
        <w:rPr>
          <w:rtl/>
        </w:rPr>
        <w:t>الفقيه ونهج البلاغة وتحف العقول</w:t>
      </w:r>
      <w:r w:rsidR="00992664" w:rsidRPr="00020424">
        <w:rPr>
          <w:rtl/>
        </w:rPr>
        <w:t xml:space="preserve"> ، ص 110 و221 و403 </w:t>
      </w:r>
      <w:r w:rsidR="00992664" w:rsidRPr="00A05922">
        <w:rPr>
          <w:rtl/>
        </w:rPr>
        <w:t>والأمالي للصدوق والخصال</w:t>
      </w:r>
      <w:r w:rsidR="00992664" w:rsidRPr="00020424">
        <w:rPr>
          <w:rtl/>
        </w:rPr>
        <w:t xml:space="preserve"> والعيون‌وخصائص الأئمّة </w:t>
      </w:r>
      <w:r w:rsidR="00992664" w:rsidRPr="00666432">
        <w:rPr>
          <w:rStyle w:val="libFootnoteBoldChar"/>
          <w:rtl/>
        </w:rPr>
        <w:t>والاختصاص</w:t>
      </w:r>
      <w:r w:rsidR="00992664" w:rsidRPr="00020424">
        <w:rPr>
          <w:rtl/>
        </w:rPr>
        <w:t xml:space="preserve"> : « أيقن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هامش الطبعة الحجريّة : « من صدّق بالخلف جاد بالعطيّة ، أي من صدّق بأنّ ما ينفقه في سبيل الله فهو يستخلف له ويدّخر له يوم القيامة ، سخت نفسه بالعطيّة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4 ، ص 416 ، ضمن ح 5904 ، بسند آخر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الكافي</w:t>
      </w:r>
      <w:r w:rsidR="00992664" w:rsidRPr="00020424">
        <w:rPr>
          <w:rtl/>
        </w:rPr>
        <w:t xml:space="preserve"> ، كتاب الزكاة ، باب الإنفاق ، ح 6168 ، بسند آخر عن أبي عبدالله أو أبي جعفر </w:t>
      </w:r>
      <w:r w:rsidR="00D64ADA" w:rsidRPr="00D64ADA">
        <w:rPr>
          <w:rStyle w:val="libFootnoteAlaemChar"/>
          <w:rtl/>
        </w:rPr>
        <w:t>عليهما‌السلام</w:t>
      </w:r>
      <w:r w:rsidR="00992664" w:rsidRPr="00020424">
        <w:rPr>
          <w:rtl/>
        </w:rPr>
        <w:t xml:space="preserve"> ، مع زيادة في أوّله ، وفيهما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نفس الباب ، ح 6163 ، بسند آخر عن أبي الحسن </w:t>
      </w:r>
      <w:r w:rsidR="00992664" w:rsidRPr="00D64ADA">
        <w:rPr>
          <w:rStyle w:val="libFootnoteAlaemChar"/>
          <w:rtl/>
        </w:rPr>
        <w:t>عليه‌السلام</w:t>
      </w:r>
      <w:r w:rsidR="00992664" w:rsidRPr="00020424">
        <w:rPr>
          <w:rtl/>
        </w:rPr>
        <w:t xml:space="preserve">. </w:t>
      </w:r>
      <w:r w:rsidR="00992664" w:rsidRPr="00A722B1">
        <w:rPr>
          <w:rStyle w:val="libFootnoteBoldChar"/>
          <w:rtl/>
        </w:rPr>
        <w:t>الخصال</w:t>
      </w:r>
      <w:r w:rsidR="00992664" w:rsidRPr="00020424">
        <w:rPr>
          <w:rtl/>
        </w:rPr>
        <w:t xml:space="preserve"> ، ص 621 ، أبواب الثمانين ومافوقه ، ضمن الحديث الطويل 10 ، بسند آخر عن أبي عبدالله ، عن آبائه ، عن أميرالمؤمنين </w:t>
      </w:r>
      <w:r w:rsidR="00992664" w:rsidRPr="00D64ADA">
        <w:rPr>
          <w:rStyle w:val="libFootnoteAlaemChar"/>
          <w:rtl/>
        </w:rPr>
        <w:t>عليهم‌السلام</w:t>
      </w:r>
      <w:r w:rsidR="00992664" w:rsidRPr="00020424">
        <w:rPr>
          <w:rtl/>
        </w:rPr>
        <w:t xml:space="preserve">. وفي </w:t>
      </w:r>
      <w:r w:rsidR="00992664" w:rsidRPr="00587829">
        <w:rPr>
          <w:rStyle w:val="libFootnoteBoldChar"/>
          <w:rtl/>
        </w:rPr>
        <w:t>الأمالي للصدوق</w:t>
      </w:r>
      <w:r w:rsidR="00992664" w:rsidRPr="00020424">
        <w:rPr>
          <w:rtl/>
        </w:rPr>
        <w:t xml:space="preserve"> ، ص 447 ، المجلس 68 ، ضمن الحديث الطويل 9 ؛ </w:t>
      </w:r>
      <w:r w:rsidR="00992664" w:rsidRPr="00DF4D84">
        <w:rPr>
          <w:rStyle w:val="libFootnoteBoldChar"/>
          <w:rtl/>
        </w:rPr>
        <w:t>وعيون الأخبار</w:t>
      </w:r>
      <w:r w:rsidR="00992664" w:rsidRPr="00020424">
        <w:rPr>
          <w:rtl/>
        </w:rPr>
        <w:t xml:space="preserve"> ، ج 2 ، ص 53 ، ضمن الحديث الطويل 204 ، بسند آخر عن الرضا ، عن آبائه ، عن أميرالمؤمنين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62 ، ح 1712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الاختصاص</w:t>
      </w:r>
      <w:r w:rsidR="00992664" w:rsidRPr="00020424">
        <w:rPr>
          <w:rtl/>
        </w:rPr>
        <w:t xml:space="preserve"> ، ص 234 ، مرسلاً عن الصادق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وفيهما مع زيادة في أوّله. </w:t>
      </w:r>
      <w:r w:rsidR="00992664" w:rsidRPr="00DE76B9">
        <w:rPr>
          <w:rStyle w:val="libFootnoteBoldChar"/>
          <w:rtl/>
        </w:rPr>
        <w:t>وفيه</w:t>
      </w:r>
      <w:r w:rsidR="00992664" w:rsidRPr="00020424">
        <w:rPr>
          <w:rtl/>
        </w:rPr>
        <w:t xml:space="preserve"> ، ص 30 ، مرسلاً عن أبي جعفر </w:t>
      </w:r>
      <w:r w:rsidR="00992664" w:rsidRPr="00D64ADA">
        <w:rPr>
          <w:rStyle w:val="libFootnoteAlaemChar"/>
          <w:rtl/>
        </w:rPr>
        <w:t>عليه‌السلام</w:t>
      </w:r>
      <w:r w:rsidR="00992664" w:rsidRPr="00020424">
        <w:rPr>
          <w:rtl/>
        </w:rPr>
        <w:t xml:space="preserve">. وفي </w:t>
      </w:r>
      <w:r w:rsidR="00992664" w:rsidRPr="00DE76B9">
        <w:rPr>
          <w:rStyle w:val="libFootnoteBoldChar"/>
          <w:rtl/>
        </w:rPr>
        <w:t>نهج البلاغة</w:t>
      </w:r>
      <w:r w:rsidR="00992664" w:rsidRPr="00020424">
        <w:rPr>
          <w:rtl/>
        </w:rPr>
        <w:t xml:space="preserve"> ، ص 494 ، الحكمة 138 ؛ </w:t>
      </w:r>
      <w:r w:rsidR="00992664" w:rsidRPr="004166F8">
        <w:rPr>
          <w:rStyle w:val="libFootnoteBoldChar"/>
          <w:rtl/>
        </w:rPr>
        <w:t>و</w:t>
      </w:r>
      <w:r w:rsidR="00992664" w:rsidRPr="00DE76B9">
        <w:rPr>
          <w:rStyle w:val="libFootnoteBoldChar"/>
          <w:rtl/>
        </w:rPr>
        <w:t>خصائص الأئمّة</w:t>
      </w:r>
      <w:r w:rsidR="00992664" w:rsidRPr="00020424">
        <w:rPr>
          <w:rtl/>
        </w:rPr>
        <w:t xml:space="preserve"> ، ص 104 ؛ </w:t>
      </w:r>
      <w:r w:rsidR="00992664" w:rsidRPr="00A83B0E">
        <w:rPr>
          <w:rStyle w:val="libFootnoteBoldChar"/>
          <w:rtl/>
        </w:rPr>
        <w:t>وتحف العقول</w:t>
      </w:r>
      <w:r w:rsidR="00992664" w:rsidRPr="00020424">
        <w:rPr>
          <w:rtl/>
        </w:rPr>
        <w:t xml:space="preserve"> ، ص 109 و111 و221 ، مرسلاً عن أميرالمؤمنين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403 ، عن موسى‌بن جعفر </w:t>
      </w:r>
      <w:r w:rsidR="00D64ADA" w:rsidRPr="00D64ADA">
        <w:rPr>
          <w:rStyle w:val="libFootnoteAlaemChar"/>
          <w:rtl/>
        </w:rPr>
        <w:t>عليهما‌السلام</w:t>
      </w:r>
      <w:r w:rsidR="00992664" w:rsidRPr="00020424">
        <w:rPr>
          <w:rtl/>
        </w:rPr>
        <w:t xml:space="preserve"> ، وفي كلّ المصادر مع اختلاف يسير </w:t>
      </w:r>
      <w:r w:rsidR="004166F8">
        <w:rPr>
          <w:rFonts w:hint="cs"/>
          <w:rtl/>
        </w:rPr>
        <w:t>.</w:t>
      </w:r>
      <w:r w:rsidR="00992664" w:rsidRPr="0012008A">
        <w:rPr>
          <w:rStyle w:val="libFootnoteBoldChar"/>
          <w:rtl/>
        </w:rPr>
        <w:t>الوافي</w:t>
      </w:r>
      <w:r w:rsidR="00992664" w:rsidRPr="00020424">
        <w:rPr>
          <w:rtl/>
        </w:rPr>
        <w:t xml:space="preserve"> ، ج 10 ، ص 389 ، ح 9739 ؛ </w:t>
      </w:r>
      <w:r w:rsidR="00992664" w:rsidRPr="0012008A">
        <w:rPr>
          <w:rStyle w:val="libFootnoteBoldChar"/>
          <w:rtl/>
        </w:rPr>
        <w:t>الوسائل</w:t>
      </w:r>
      <w:r w:rsidR="00992664" w:rsidRPr="00020424">
        <w:rPr>
          <w:rtl/>
        </w:rPr>
        <w:t xml:space="preserve"> ، ج 9 ، ص 368 ، ح 12257.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بث ، بح ، بف » </w:t>
      </w:r>
      <w:r w:rsidR="00992664" w:rsidRPr="00515444">
        <w:rPr>
          <w:rStyle w:val="libFootnoteBoldChar"/>
          <w:rtl/>
        </w:rPr>
        <w:t>والتهذيب</w:t>
      </w:r>
      <w:r w:rsidR="00992664" w:rsidRPr="00020424">
        <w:rPr>
          <w:rtl/>
        </w:rPr>
        <w:t xml:space="preserve"> : + « بن عبد الله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166F8">
      <w:pPr>
        <w:pStyle w:val="libNormal0"/>
        <w:rPr>
          <w:rtl/>
          <w:lang w:bidi="fa-IR"/>
        </w:rPr>
      </w:pPr>
      <w:r w:rsidRPr="00020424">
        <w:rPr>
          <w:rtl/>
          <w:lang w:bidi="fa-IR"/>
        </w:rPr>
        <w:lastRenderedPageBreak/>
        <w:t>عَبْدِ اللهِ بْنِ الْقَاسِمِ ، عَنْ عَبْدِ اللهِ بْنِ سِنَانٍ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دَاوُوا مَرْضَاكُمْ بِالصَّدَقَةِ ، وَادْفَعُوا الْبَلَاءَ بِالدُّعَاءِ ، وَاسْتَنْزِلُوا الرِّزْقَ بِالصَّدَقَةِ ؛ فَإِنَّهَا تُفَكُّ </w:t>
      </w:r>
      <w:r w:rsidRPr="00A91B96">
        <w:rPr>
          <w:rStyle w:val="libFootnotenumChar"/>
          <w:rtl/>
        </w:rPr>
        <w:t>(1)</w:t>
      </w:r>
      <w:r w:rsidRPr="00020424">
        <w:rPr>
          <w:rtl/>
          <w:lang w:bidi="fa-IR"/>
        </w:rPr>
        <w:t xml:space="preserve"> مِنْ بَيْنِ لُحِيِّ </w:t>
      </w:r>
      <w:r w:rsidRPr="00A91B96">
        <w:rPr>
          <w:rStyle w:val="libFootnotenumChar"/>
          <w:rtl/>
        </w:rPr>
        <w:t>(2)</w:t>
      </w:r>
      <w:r w:rsidRPr="00020424">
        <w:rPr>
          <w:rtl/>
          <w:lang w:bidi="fa-IR"/>
        </w:rPr>
        <w:t xml:space="preserve"> سَبْعِمِائَةِ شَيْطَانٍ ، وَلَيْسَ </w:t>
      </w:r>
      <w:r w:rsidRPr="00A91B96">
        <w:rPr>
          <w:rStyle w:val="libFootnotenumChar"/>
          <w:rtl/>
        </w:rPr>
        <w:t>(3)</w:t>
      </w:r>
      <w:r w:rsidRPr="00020424">
        <w:rPr>
          <w:rtl/>
          <w:lang w:bidi="fa-IR"/>
        </w:rPr>
        <w:t xml:space="preserve"> شَيْ‌ءٌ أَثْقَلَ عَلَى الشَّيْطَانِ مِنَ الصَّدَقَةِ عَلَى الْمُؤْمِنِ ، وَهِيَ تَقَعُ فِي يَدِ الرَّبِّ</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قَبْلَ أَنْ تَقَعَ فِي يَدِ الْعَبْدِ</w:t>
      </w:r>
      <w:r>
        <w:rPr>
          <w:rtl/>
          <w:lang w:bidi="fa-IR"/>
        </w:rPr>
        <w:t>».</w:t>
      </w:r>
      <w:r w:rsidRPr="00A91B96">
        <w:rPr>
          <w:rStyle w:val="libFootnotenumChar"/>
          <w:rtl/>
        </w:rPr>
        <w:t>(4)</w:t>
      </w:r>
      <w:r w:rsidRPr="00020424">
        <w:rPr>
          <w:rtl/>
          <w:lang w:bidi="fa-IR"/>
        </w:rPr>
        <w:t>‌</w:t>
      </w:r>
    </w:p>
    <w:p w:rsidR="00992664" w:rsidRPr="00020424" w:rsidRDefault="00992664" w:rsidP="00992664">
      <w:pPr>
        <w:pStyle w:val="libNormal"/>
        <w:rPr>
          <w:rtl/>
          <w:lang w:bidi="fa-IR"/>
        </w:rPr>
      </w:pPr>
      <w:r w:rsidRPr="00AE2EA5">
        <w:rPr>
          <w:rtl/>
        </w:rPr>
        <w:t>6005</w:t>
      </w:r>
      <w:r w:rsidRPr="001155DE">
        <w:rPr>
          <w:rStyle w:val="libBold2Char"/>
          <w:rtl/>
        </w:rPr>
        <w:t xml:space="preserve"> / 6.</w:t>
      </w:r>
      <w:r w:rsidRPr="00020424">
        <w:rPr>
          <w:rtl/>
          <w:lang w:bidi="fa-IR"/>
        </w:rPr>
        <w:t xml:space="preserve"> أَحْمَدُ بْنُ عَبْدِ اللهِ ، عَنْ جَدِّهِ ، عَنْ مُحَمَّدِ بْنِ عَلِيٍّ ، عَنْ مُحَمَّدِ بْنِ الْفُضَيْلِ ، عَنْ عَبْدِ الرَّحْمنِ بْنِ 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أَرْضُ الْقِيَامَةِ نَارٌ مَا خَلَا ظِلَّ‌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هامش الطبعة الحجريّة : « قوله </w:t>
      </w:r>
      <w:r w:rsidR="00992664" w:rsidRPr="00D64ADA">
        <w:rPr>
          <w:rStyle w:val="libFootnoteAlaemChar"/>
          <w:rtl/>
        </w:rPr>
        <w:t>عليه‌السلام</w:t>
      </w:r>
      <w:r w:rsidR="00992664" w:rsidRPr="00020424">
        <w:rPr>
          <w:rtl/>
        </w:rPr>
        <w:t xml:space="preserve"> : فإنّها تفكّ ، على صيغة المعلوم أو المجهول ، وعلى الأوّل أي هي فاكّة</w:t>
      </w:r>
      <w:r w:rsidR="004166F8">
        <w:rPr>
          <w:rFonts w:hint="cs"/>
          <w:rtl/>
        </w:rPr>
        <w:t xml:space="preserve"> </w:t>
      </w:r>
      <w:r w:rsidR="00992664" w:rsidRPr="00020424">
        <w:rPr>
          <w:rtl/>
        </w:rPr>
        <w:t>للبرّ من الصوادّ والموانع من بين لحيّ سبعمائة شيطان كلّهم يصادّون ويمنعون عن الإتيان بالبرّ أو المعروف ، وعلى الثاني أي أنّها مفكوكة من بين إلخ ، والله أعلم</w:t>
      </w:r>
      <w:r w:rsidR="00992664">
        <w:rPr>
          <w:rtl/>
        </w:rPr>
        <w:t xml:space="preserve"> ».</w:t>
      </w:r>
    </w:p>
    <w:p w:rsidR="00992664" w:rsidRPr="00020424" w:rsidRDefault="00795177" w:rsidP="004166F8">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ج 2 </w:t>
      </w:r>
      <w:r w:rsidR="00992664" w:rsidRPr="004166F8">
        <w:rPr>
          <w:rtl/>
        </w:rPr>
        <w:t>والتهذيب</w:t>
      </w:r>
      <w:r w:rsidR="00992664" w:rsidRPr="00020424">
        <w:rPr>
          <w:rtl/>
        </w:rPr>
        <w:t xml:space="preserve"> : « لحيي » </w:t>
      </w:r>
      <w:r w:rsidR="00992664">
        <w:rPr>
          <w:rtl/>
        </w:rPr>
        <w:t>و «</w:t>
      </w:r>
      <w:r w:rsidR="004166F8">
        <w:rPr>
          <w:rtl/>
        </w:rPr>
        <w:t xml:space="preserve"> اللُّحِيُّ » على فُعُول إل</w:t>
      </w:r>
      <w:r w:rsidR="004166F8">
        <w:rPr>
          <w:rFonts w:hint="cs"/>
          <w:rtl/>
        </w:rPr>
        <w:t>ّ</w:t>
      </w:r>
      <w:r w:rsidR="004166F8">
        <w:rPr>
          <w:rtl/>
        </w:rPr>
        <w:t>ا</w:t>
      </w:r>
      <w:r w:rsidR="00992664">
        <w:rPr>
          <w:rFonts w:hint="cs"/>
          <w:rtl/>
        </w:rPr>
        <w:t xml:space="preserve"> </w:t>
      </w:r>
      <w:r w:rsidR="00992664" w:rsidRPr="00020424">
        <w:rPr>
          <w:rtl/>
        </w:rPr>
        <w:t xml:space="preserve">أنّهم كسروا الحاء ؛ لتسلم الياء ، وهو جمع اللَّحْي بمعنى منبت اللحية من الإنسان وغيره. راجع : </w:t>
      </w:r>
      <w:r w:rsidR="00992664" w:rsidRPr="0012008A">
        <w:rPr>
          <w:rStyle w:val="libFootnoteBoldChar"/>
          <w:rtl/>
        </w:rPr>
        <w:t>الصحاح</w:t>
      </w:r>
      <w:r w:rsidR="00992664" w:rsidRPr="00020424">
        <w:rPr>
          <w:rtl/>
        </w:rPr>
        <w:t xml:space="preserve"> ، ج 6 ، ص 2480 ؛ </w:t>
      </w:r>
      <w:r w:rsidR="00992664" w:rsidRPr="00A722B1">
        <w:rPr>
          <w:rStyle w:val="libFootnoteBoldChar"/>
          <w:rtl/>
        </w:rPr>
        <w:t>لسان العرب</w:t>
      </w:r>
      <w:r w:rsidR="00992664" w:rsidRPr="00020424">
        <w:rPr>
          <w:rtl/>
        </w:rPr>
        <w:t xml:space="preserve"> ، ج 15 ، ص 243 ( لحا )</w:t>
      </w:r>
      <w:r w:rsidR="00992664">
        <w:rPr>
          <w:rtl/>
        </w:rPr>
        <w:t>.</w:t>
      </w:r>
      <w:r w:rsidR="004166F8">
        <w:rPr>
          <w:rFonts w:hint="cs"/>
          <w:rtl/>
        </w:rPr>
        <w:t xml:space="preserve">                   </w:t>
      </w:r>
      <w:r>
        <w:rPr>
          <w:rtl/>
        </w:rPr>
        <w:t>(3).</w:t>
      </w:r>
      <w:r w:rsidR="0014403D">
        <w:rPr>
          <w:rtl/>
        </w:rPr>
        <w:t xml:space="preserve"> </w:t>
      </w:r>
      <w:r w:rsidR="00992664" w:rsidRPr="00020424">
        <w:rPr>
          <w:rtl/>
        </w:rPr>
        <w:t xml:space="preserve">في « بخ ، بف » </w:t>
      </w:r>
      <w:r w:rsidR="00992664" w:rsidRPr="004166F8">
        <w:rPr>
          <w:rtl/>
        </w:rPr>
        <w:t>والوافي</w:t>
      </w:r>
      <w:r w:rsidR="00992664" w:rsidRPr="00020424">
        <w:rPr>
          <w:rtl/>
        </w:rPr>
        <w:t xml:space="preserve"> : « ولا</w:t>
      </w:r>
      <w:r w:rsidR="00992664">
        <w:rPr>
          <w:rtl/>
        </w:rPr>
        <w:t xml:space="preserve"> ».</w:t>
      </w:r>
    </w:p>
    <w:p w:rsidR="00992664" w:rsidRPr="00020424" w:rsidRDefault="00795177" w:rsidP="00006C3A">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112 ، ح 331 ، معلّقاً عن الكليني. </w:t>
      </w:r>
      <w:r w:rsidR="00D64ADA" w:rsidRPr="00D64ADA">
        <w:rPr>
          <w:rStyle w:val="libFootnoteBoldChar"/>
          <w:rtl/>
        </w:rPr>
        <w:t>المحاسن</w:t>
      </w:r>
      <w:r w:rsidR="00992664" w:rsidRPr="00020424">
        <w:rPr>
          <w:rtl/>
        </w:rPr>
        <w:t xml:space="preserve"> ، ص 294 ، كتاب مصابيح الظلم ، ح 458 ، بسند آخر. وفي </w:t>
      </w:r>
      <w:r w:rsidR="00992664" w:rsidRPr="00DE76B9">
        <w:rPr>
          <w:rStyle w:val="libFootnoteBoldChar"/>
          <w:rtl/>
        </w:rPr>
        <w:t>قرب الإسناد</w:t>
      </w:r>
      <w:r w:rsidR="00992664" w:rsidRPr="00020424">
        <w:rPr>
          <w:rtl/>
        </w:rPr>
        <w:t xml:space="preserve"> ، ص 117 ، ح 410 ؛ و</w:t>
      </w:r>
      <w:r w:rsidR="00992664" w:rsidRPr="00DE76B9">
        <w:rPr>
          <w:rStyle w:val="libFootnoteBoldChar"/>
          <w:rtl/>
        </w:rPr>
        <w:t xml:space="preserve">الجعفريّات </w:t>
      </w:r>
      <w:r w:rsidR="00992664" w:rsidRPr="00020424">
        <w:rPr>
          <w:rtl/>
        </w:rPr>
        <w:t xml:space="preserve">، ص 53 و221 ، بسند آخر عن جعفر بن محمّد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الأربعة الأخيرة إلى قوله : « وادفعوا البلاء بالدعاء » مع اختلاف يسير. </w:t>
      </w:r>
      <w:r w:rsidR="00992664" w:rsidRPr="00A722B1">
        <w:rPr>
          <w:rStyle w:val="libFootnoteBoldChar"/>
          <w:rtl/>
        </w:rPr>
        <w:t>الخصال</w:t>
      </w:r>
      <w:r w:rsidR="00992664" w:rsidRPr="00020424">
        <w:rPr>
          <w:rtl/>
        </w:rPr>
        <w:t xml:space="preserve"> ، ص 620 ، أبواب الثمانين ومافوقه ، ضمن الحديث الطويل 10 ، بسند آخر عن أبي عبدالله ، عن آبائه ، عن عليّ </w:t>
      </w:r>
      <w:r w:rsidR="00992664" w:rsidRPr="00D64ADA">
        <w:rPr>
          <w:rStyle w:val="libFootnoteAlaemChar"/>
          <w:rtl/>
        </w:rPr>
        <w:t>عليهم‌السلام</w:t>
      </w:r>
      <w:r w:rsidR="00992664" w:rsidRPr="00020424">
        <w:rPr>
          <w:rtl/>
        </w:rPr>
        <w:t xml:space="preserve">. </w:t>
      </w:r>
      <w:r w:rsidR="00992664" w:rsidRPr="00DE76B9">
        <w:rPr>
          <w:rStyle w:val="libFootnoteBoldChar"/>
          <w:rtl/>
        </w:rPr>
        <w:t>تحف العقول</w:t>
      </w:r>
      <w:r w:rsidR="00992664" w:rsidRPr="00020424">
        <w:rPr>
          <w:rtl/>
        </w:rPr>
        <w:t xml:space="preserve"> ، ص 110 ، عن أميرالمؤمنين </w:t>
      </w:r>
      <w:r w:rsidR="00992664" w:rsidRPr="00D64ADA">
        <w:rPr>
          <w:rStyle w:val="libFootnoteAlaemChar"/>
          <w:rtl/>
        </w:rPr>
        <w:t>عليه‌السلام</w:t>
      </w:r>
      <w:r w:rsidR="00992664" w:rsidRPr="00020424">
        <w:rPr>
          <w:rtl/>
        </w:rPr>
        <w:t xml:space="preserve"> ، وفي الأخيرين إلى قوله : « واستنزلوا الرزق بالصدقة » مع اختلاف يسير. </w:t>
      </w:r>
      <w:r w:rsidR="00992664" w:rsidRPr="0012008A">
        <w:rPr>
          <w:rStyle w:val="libFootnoteBoldChar"/>
          <w:rtl/>
        </w:rPr>
        <w:t>الفقيه</w:t>
      </w:r>
      <w:r w:rsidR="00992664" w:rsidRPr="00020424">
        <w:rPr>
          <w:rtl/>
        </w:rPr>
        <w:t xml:space="preserve"> ، ج 2 ، ص 66 ، ح 1730 ، مرسلاً. راجع : </w:t>
      </w:r>
      <w:r w:rsidR="00992664" w:rsidRPr="00DE76B9">
        <w:rPr>
          <w:rStyle w:val="libFootnoteBoldChar"/>
          <w:rtl/>
        </w:rPr>
        <w:t>الكافي</w:t>
      </w:r>
      <w:r w:rsidR="00992664" w:rsidRPr="00020424">
        <w:rPr>
          <w:rtl/>
        </w:rPr>
        <w:t xml:space="preserve"> ، كتاب الزكاة ، باب في أنّ الصدقة تزيد في المال ، ح 6031 ؛ </w:t>
      </w:r>
      <w:r w:rsidR="00992664" w:rsidRPr="00FD6221">
        <w:rPr>
          <w:rStyle w:val="libFootnoteBoldChar"/>
          <w:rtl/>
        </w:rPr>
        <w:t>والفقيه</w:t>
      </w:r>
      <w:r w:rsidR="00992664" w:rsidRPr="00DE76B9">
        <w:rPr>
          <w:rStyle w:val="libFootnoteBoldChar"/>
          <w:rtl/>
        </w:rPr>
        <w:t xml:space="preserve"> </w:t>
      </w:r>
      <w:r w:rsidR="00992664" w:rsidRPr="00020424">
        <w:rPr>
          <w:rtl/>
        </w:rPr>
        <w:t>، ج 4 ، ص 381 ، ح 5824 و5825 ؛ وص 416 ، ح 5904 ؛ و</w:t>
      </w:r>
      <w:r w:rsidR="00992664" w:rsidRPr="00DE76B9">
        <w:rPr>
          <w:rStyle w:val="libFootnoteBoldChar"/>
          <w:rtl/>
        </w:rPr>
        <w:t>صحيفة الرضا</w:t>
      </w:r>
      <w:r w:rsidR="00992664" w:rsidRPr="00020424">
        <w:rPr>
          <w:rtl/>
        </w:rPr>
        <w:t xml:space="preserve"> </w:t>
      </w:r>
      <w:r w:rsidR="00992664" w:rsidRPr="00D64ADA">
        <w:rPr>
          <w:rStyle w:val="libFootnoteAlaemChar"/>
          <w:rtl/>
        </w:rPr>
        <w:t>عليه‌السلام</w:t>
      </w:r>
      <w:r w:rsidR="00992664" w:rsidRPr="00020424">
        <w:rPr>
          <w:rtl/>
        </w:rPr>
        <w:t xml:space="preserve"> ، ص 52 ، ح 51 ؛ و</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342 ؛ </w:t>
      </w:r>
      <w:r w:rsidR="00992664" w:rsidRPr="00EE0C68">
        <w:rPr>
          <w:rStyle w:val="libFootnoteBoldChar"/>
          <w:rtl/>
        </w:rPr>
        <w:t>وقرب الإسناد</w:t>
      </w:r>
      <w:r w:rsidR="00992664" w:rsidRPr="00020424">
        <w:rPr>
          <w:rtl/>
        </w:rPr>
        <w:t xml:space="preserve"> ، ص 118 ، ح 414 ؛ و</w:t>
      </w:r>
      <w:r w:rsidR="00992664" w:rsidRPr="00DE76B9">
        <w:rPr>
          <w:rStyle w:val="libFootnoteBoldChar"/>
          <w:rtl/>
        </w:rPr>
        <w:t>الجعفريّات</w:t>
      </w:r>
      <w:r w:rsidR="00992664" w:rsidRPr="00020424">
        <w:rPr>
          <w:rtl/>
        </w:rPr>
        <w:t xml:space="preserve"> ، ص 57 ؛ و</w:t>
      </w:r>
      <w:r w:rsidR="00992664" w:rsidRPr="00DE76B9">
        <w:rPr>
          <w:rStyle w:val="libFootnoteBoldChar"/>
          <w:rtl/>
        </w:rPr>
        <w:t>تفسير العيّاشي</w:t>
      </w:r>
      <w:r w:rsidR="00992664" w:rsidRPr="00020424">
        <w:rPr>
          <w:rtl/>
        </w:rPr>
        <w:t xml:space="preserve"> ، ج 2 ، ص 108 ، ح 117 و118 ؛ و</w:t>
      </w:r>
      <w:r w:rsidR="00992664" w:rsidRPr="00DE76B9">
        <w:rPr>
          <w:rStyle w:val="libFootnoteBoldChar"/>
          <w:rtl/>
        </w:rPr>
        <w:t>التوحيد</w:t>
      </w:r>
      <w:r w:rsidR="00992664" w:rsidRPr="00020424">
        <w:rPr>
          <w:rtl/>
        </w:rPr>
        <w:t xml:space="preserve"> ، ص 68 ، ح 24 ؛ </w:t>
      </w:r>
      <w:r w:rsidR="00992664" w:rsidRPr="006C7A1F">
        <w:rPr>
          <w:rStyle w:val="libFootnoteBoldChar"/>
          <w:rtl/>
        </w:rPr>
        <w:t>وثواب الأعمال</w:t>
      </w:r>
      <w:r w:rsidR="00992664" w:rsidRPr="00020424">
        <w:rPr>
          <w:rtl/>
        </w:rPr>
        <w:t xml:space="preserve"> ، ص 70 ، ح 3 وص 168 ، ح 3 ؛ </w:t>
      </w:r>
      <w:r w:rsidR="00992664" w:rsidRPr="00DF4D84">
        <w:rPr>
          <w:rStyle w:val="libFootnoteBoldChar"/>
          <w:rtl/>
        </w:rPr>
        <w:t>وعيون الأخبار</w:t>
      </w:r>
      <w:r w:rsidR="00992664" w:rsidRPr="00020424">
        <w:rPr>
          <w:rtl/>
        </w:rPr>
        <w:t xml:space="preserve"> ، ج 2 ، ص 35 ، ح 75 ؛ و</w:t>
      </w:r>
      <w:r w:rsidR="00992664" w:rsidRPr="00DE76B9">
        <w:rPr>
          <w:rStyle w:val="libFootnoteBoldChar"/>
          <w:rtl/>
        </w:rPr>
        <w:t xml:space="preserve">خصاص الأئمّة </w:t>
      </w:r>
      <w:r w:rsidR="00992664" w:rsidRPr="00D64ADA">
        <w:rPr>
          <w:rStyle w:val="libFootnoteAlaemChar"/>
          <w:rtl/>
        </w:rPr>
        <w:t>عليهم‌السلام</w:t>
      </w:r>
      <w:r w:rsidR="00992664" w:rsidRPr="00020424">
        <w:rPr>
          <w:rtl/>
        </w:rPr>
        <w:t xml:space="preserve"> ، ص 105 ؛ </w:t>
      </w:r>
      <w:r w:rsidR="00992664" w:rsidRPr="00D27EE2">
        <w:rPr>
          <w:rStyle w:val="libFootnoteBoldChar"/>
          <w:rtl/>
        </w:rPr>
        <w:t>ونهج البلاغة</w:t>
      </w:r>
      <w:r w:rsidR="00992664" w:rsidRPr="00DE76B9">
        <w:rPr>
          <w:rStyle w:val="libFootnoteBoldChar"/>
          <w:rtl/>
        </w:rPr>
        <w:t xml:space="preserve"> </w:t>
      </w:r>
      <w:r w:rsidR="00992664" w:rsidRPr="00020424">
        <w:rPr>
          <w:rtl/>
        </w:rPr>
        <w:t xml:space="preserve">، ص 494 ، الحكمة 137 ؛ </w:t>
      </w:r>
      <w:r w:rsidR="00992664" w:rsidRPr="00666432">
        <w:rPr>
          <w:rStyle w:val="libFootnoteBoldChar"/>
          <w:rtl/>
        </w:rPr>
        <w:t>والاختصاص</w:t>
      </w:r>
      <w:r w:rsidR="00992664" w:rsidRPr="00DE76B9">
        <w:rPr>
          <w:rStyle w:val="libFootnoteBoldChar"/>
          <w:rtl/>
        </w:rPr>
        <w:t xml:space="preserve"> </w:t>
      </w:r>
      <w:r w:rsidR="00992664" w:rsidRPr="00020424">
        <w:rPr>
          <w:rtl/>
        </w:rPr>
        <w:t xml:space="preserve">، ص 25 و335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673 ، المجلس 36 ، ح 26 </w:t>
      </w:r>
      <w:r w:rsidR="00006C3A">
        <w:rPr>
          <w:rFonts w:hint="cs"/>
          <w:rtl/>
        </w:rPr>
        <w:t>.</w:t>
      </w:r>
      <w:r w:rsidR="00992664" w:rsidRPr="0012008A">
        <w:rPr>
          <w:rStyle w:val="libFootnoteBoldChar"/>
          <w:rtl/>
        </w:rPr>
        <w:t>الوافي</w:t>
      </w:r>
      <w:r w:rsidR="00992664" w:rsidRPr="00020424">
        <w:rPr>
          <w:rtl/>
        </w:rPr>
        <w:t xml:space="preserve"> ، ج 10 ، ص 389 ، ح 9740 ؛ </w:t>
      </w:r>
      <w:r w:rsidR="00992664" w:rsidRPr="0012008A">
        <w:rPr>
          <w:rStyle w:val="libFootnoteBoldChar"/>
          <w:rtl/>
        </w:rPr>
        <w:t>الوسائل</w:t>
      </w:r>
      <w:r w:rsidR="00992664" w:rsidRPr="00020424">
        <w:rPr>
          <w:rtl/>
        </w:rPr>
        <w:t xml:space="preserve"> ، ج 9 ، ص 374 ، ح 12276 ، إلى قوله : « سبعمائة شيطان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الْمُؤْمِنِ ؛ فَإِنَّ صَدَقَتَهُ تُظِلُّهُ</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114A7B">
        <w:rPr>
          <w:rtl/>
        </w:rPr>
        <w:t>6006</w:t>
      </w:r>
      <w:r w:rsidRPr="001155DE">
        <w:rPr>
          <w:rStyle w:val="libBold2Char"/>
          <w:rtl/>
        </w:rPr>
        <w:t xml:space="preserve"> / 7.</w:t>
      </w:r>
      <w:r w:rsidRPr="00020424">
        <w:rPr>
          <w:rtl/>
          <w:lang w:bidi="fa-IR"/>
        </w:rPr>
        <w:t xml:space="preserve"> عَلِيُّ بْنُ إِبْرَاهِيمَ ، عَنْ أَبِيهِ ، عَنِ ابْنِ أَبِي عُمَيْرٍ ، عَنْ عَبْدِ اللهِ بْنِ سِنَانٍ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الصَّدَقَةُ </w:t>
      </w:r>
      <w:r w:rsidRPr="00A91B96">
        <w:rPr>
          <w:rStyle w:val="libFootnotenumChar"/>
          <w:rtl/>
        </w:rPr>
        <w:t>(2)</w:t>
      </w:r>
      <w:r w:rsidRPr="00020424">
        <w:rPr>
          <w:rtl/>
          <w:lang w:bidi="fa-IR"/>
        </w:rPr>
        <w:t xml:space="preserve"> بِالْيَدِ تَقِي مِيتَةَ السَّوْءِ ، وَتَدْفَعُ سَبْعِينَ نَوْعاً مِنْ أَنْوَاعِ الْبَلَاءِ ، وَتُفَكُّ عَنْ </w:t>
      </w:r>
      <w:r w:rsidRPr="00A91B96">
        <w:rPr>
          <w:rStyle w:val="libFootnotenumChar"/>
          <w:rtl/>
        </w:rPr>
        <w:t>(3)</w:t>
      </w:r>
      <w:r w:rsidRPr="00020424">
        <w:rPr>
          <w:rtl/>
          <w:lang w:bidi="fa-IR"/>
        </w:rPr>
        <w:t xml:space="preserve"> لُحِيِّ </w:t>
      </w:r>
      <w:r w:rsidRPr="00A91B96">
        <w:rPr>
          <w:rStyle w:val="libFootnotenumChar"/>
          <w:rtl/>
        </w:rPr>
        <w:t>(4)</w:t>
      </w:r>
      <w:r w:rsidRPr="00020424">
        <w:rPr>
          <w:rtl/>
          <w:lang w:bidi="fa-IR"/>
        </w:rPr>
        <w:t xml:space="preserve"> سَبْعِينَ شَيْطَاناً كُلُّهُمْ يَأْمُرُهُ </w:t>
      </w:r>
      <w:r w:rsidRPr="00A91B96">
        <w:rPr>
          <w:rStyle w:val="libFootnotenumChar"/>
          <w:rtl/>
        </w:rPr>
        <w:t>(5)</w:t>
      </w:r>
      <w:r w:rsidRPr="00020424">
        <w:rPr>
          <w:rtl/>
          <w:lang w:bidi="fa-IR"/>
        </w:rPr>
        <w:t xml:space="preserve"> أَنْ لَايَفْعَلَ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14A7B">
        <w:rPr>
          <w:rtl/>
        </w:rPr>
        <w:t>6007</w:t>
      </w:r>
      <w:r w:rsidRPr="001155DE">
        <w:rPr>
          <w:rStyle w:val="libBold2Char"/>
          <w:rtl/>
        </w:rPr>
        <w:t xml:space="preserve"> / 8.</w:t>
      </w:r>
      <w:r w:rsidRPr="00020424">
        <w:rPr>
          <w:rtl/>
          <w:lang w:bidi="fa-IR"/>
        </w:rPr>
        <w:t xml:space="preserve"> مُحَمَّدُ بْنُ يَحْيى ، عَنْ أَحْمَدَ بْنِ مُحَمَّدِ بْنِ عِيسى ، عَنْ عَلِيِّ بْنِ النُّعْمَانِ ، عَنْ مُعَاوِيَةَ بْنِ عَمَّارٍ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كَانَ فِي وَصِيَّةِ النَّبِيِّ </w:t>
      </w:r>
      <w:r w:rsidRPr="00A91B96">
        <w:rPr>
          <w:rStyle w:val="libFootnotenumChar"/>
          <w:rtl/>
        </w:rPr>
        <w:t>(8)</w:t>
      </w:r>
      <w:r w:rsidRPr="00020424">
        <w:rPr>
          <w:rtl/>
          <w:lang w:bidi="fa-IR"/>
        </w:rPr>
        <w:t xml:space="preserve"> </w:t>
      </w:r>
      <w:r w:rsidR="00B42914" w:rsidRPr="00B42914">
        <w:rPr>
          <w:rStyle w:val="libAlaemChar"/>
          <w:rtl/>
        </w:rPr>
        <w:t>صلى‌الله‌عليه‌وآله‌</w:t>
      </w:r>
      <w:r w:rsidRPr="00020424">
        <w:rPr>
          <w:rtl/>
          <w:lang w:bidi="fa-IR"/>
        </w:rPr>
        <w:t xml:space="preserve"> لِأَمِيرِ الْمُؤْمِنِينَ </w:t>
      </w:r>
      <w:r w:rsidRPr="00A91B96">
        <w:rPr>
          <w:rStyle w:val="libFootnotenumChar"/>
          <w:rtl/>
        </w:rPr>
        <w:t>(9)</w:t>
      </w:r>
      <w:r w:rsidRPr="00020424">
        <w:rPr>
          <w:rtl/>
          <w:lang w:bidi="fa-IR"/>
        </w:rPr>
        <w:t xml:space="preserve"> صَلَوَاتُ اللهِ وَسَلَامُهُ </w:t>
      </w:r>
      <w:r w:rsidRPr="00A91B96">
        <w:rPr>
          <w:rStyle w:val="libFootnotenumChar"/>
          <w:rtl/>
        </w:rPr>
        <w:t>(10)</w:t>
      </w:r>
      <w:r w:rsidRPr="00020424">
        <w:rPr>
          <w:rtl/>
          <w:lang w:bidi="fa-IR"/>
        </w:rPr>
        <w:t xml:space="preserve"> عَلَيْهِ </w:t>
      </w:r>
      <w:r w:rsidRPr="00A91B96">
        <w:rPr>
          <w:rStyle w:val="libFootnotenumChar"/>
          <w:rtl/>
        </w:rPr>
        <w:t>(11)</w:t>
      </w:r>
      <w:r w:rsidRPr="00020424">
        <w:rPr>
          <w:rtl/>
          <w:lang w:bidi="fa-IR"/>
        </w:rPr>
        <w:t xml:space="preserve"> : وَأَمَّا </w:t>
      </w:r>
      <w:r w:rsidRPr="00A91B96">
        <w:rPr>
          <w:rStyle w:val="libFootnotenumChar"/>
          <w:rtl/>
        </w:rPr>
        <w:t>(12)</w:t>
      </w:r>
      <w:r w:rsidRPr="00020424">
        <w:rPr>
          <w:rtl/>
          <w:lang w:bidi="fa-IR"/>
        </w:rPr>
        <w:t xml:space="preserve"> الصَّدَقَةُ ، فَجُهْدَكَ‌</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006C3A">
      <w:pPr>
        <w:pStyle w:val="libFootnote0"/>
        <w:rPr>
          <w:rtl/>
          <w:lang w:bidi="fa-IR"/>
        </w:rPr>
      </w:pPr>
      <w:r>
        <w:rPr>
          <w:rtl/>
        </w:rPr>
        <w:t>(1).</w:t>
      </w:r>
      <w:r w:rsidR="0014403D">
        <w:rPr>
          <w:rtl/>
        </w:rPr>
        <w:t xml:space="preserve"> </w:t>
      </w:r>
      <w:r w:rsidR="00992664" w:rsidRPr="0012008A">
        <w:rPr>
          <w:rStyle w:val="libFootnoteBoldChar"/>
          <w:rtl/>
        </w:rPr>
        <w:t>ثواب الأعمال</w:t>
      </w:r>
      <w:r w:rsidR="00992664" w:rsidRPr="00020424">
        <w:rPr>
          <w:rtl/>
        </w:rPr>
        <w:t xml:space="preserve"> ، ص 169 ، ح 9 ، بسنده عن أحمد بن أبي عبدالله ، عن محمّد بن عليّ ، عن محمّد بن الفضيل ، عن عبدالرحمن بن زيد بن أسلم التنوخي ، عن الصادق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66 ، ح 1728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006C3A">
        <w:rPr>
          <w:rFonts w:hint="cs"/>
          <w:rtl/>
        </w:rPr>
        <w:t>.</w:t>
      </w:r>
      <w:r w:rsidR="00992664" w:rsidRPr="0012008A">
        <w:rPr>
          <w:rStyle w:val="libFootnoteBoldChar"/>
          <w:rtl/>
        </w:rPr>
        <w:t>الوافي</w:t>
      </w:r>
      <w:r w:rsidR="00992664" w:rsidRPr="00020424">
        <w:rPr>
          <w:rtl/>
        </w:rPr>
        <w:t xml:space="preserve"> ، ج 10 ، ص 396 ، ح 9758 ؛ </w:t>
      </w:r>
      <w:r w:rsidR="00992664" w:rsidRPr="0012008A">
        <w:rPr>
          <w:rStyle w:val="libFootnoteBoldChar"/>
          <w:rtl/>
        </w:rPr>
        <w:t>الوسائل</w:t>
      </w:r>
      <w:r w:rsidR="00006C3A">
        <w:rPr>
          <w:rtl/>
        </w:rPr>
        <w:t xml:space="preserve"> ، ج 9،ص 369،ح 12258</w:t>
      </w:r>
      <w:r w:rsidR="00992664" w:rsidRPr="00020424">
        <w:rPr>
          <w:rtl/>
        </w:rPr>
        <w:t>؛</w:t>
      </w:r>
      <w:r w:rsidR="00992664" w:rsidRPr="0012008A">
        <w:rPr>
          <w:rStyle w:val="libFootnoteBoldChar"/>
          <w:rtl/>
        </w:rPr>
        <w:t>البحار</w:t>
      </w:r>
      <w:r w:rsidR="00006C3A">
        <w:rPr>
          <w:rtl/>
        </w:rPr>
        <w:t>،</w:t>
      </w:r>
      <w:r w:rsidR="00992664" w:rsidRPr="00020424">
        <w:rPr>
          <w:rtl/>
        </w:rPr>
        <w:t>ج 7</w:t>
      </w:r>
      <w:r w:rsidR="00006C3A">
        <w:rPr>
          <w:rtl/>
        </w:rPr>
        <w:t>،ص 291،</w:t>
      </w:r>
      <w:r w:rsidR="00992664" w:rsidRPr="00020424">
        <w:rPr>
          <w:rtl/>
        </w:rPr>
        <w:t>ح 2.</w:t>
      </w:r>
      <w:r w:rsidR="00006C3A">
        <w:rPr>
          <w:rFonts w:hint="cs"/>
          <w:rtl/>
        </w:rPr>
        <w:t xml:space="preserve"> </w:t>
      </w:r>
      <w:r>
        <w:rPr>
          <w:rtl/>
        </w:rPr>
        <w:t>(2).</w:t>
      </w:r>
      <w:r w:rsidR="0014403D">
        <w:rPr>
          <w:rtl/>
        </w:rPr>
        <w:t xml:space="preserve"> </w:t>
      </w:r>
      <w:r w:rsidR="00006C3A">
        <w:rPr>
          <w:rtl/>
        </w:rPr>
        <w:t>في«بح،</w:t>
      </w:r>
      <w:r w:rsidR="00992664" w:rsidRPr="00020424">
        <w:rPr>
          <w:rtl/>
        </w:rPr>
        <w:t xml:space="preserve">بخ ، بر ، بف » </w:t>
      </w:r>
      <w:r w:rsidR="00992664" w:rsidRPr="00515444">
        <w:rPr>
          <w:rStyle w:val="libFootnoteBoldChar"/>
          <w:rtl/>
        </w:rPr>
        <w:t>والوافي</w:t>
      </w:r>
      <w:r w:rsidR="00992664" w:rsidRPr="00020424">
        <w:rPr>
          <w:rtl/>
        </w:rPr>
        <w:t xml:space="preserve"> : « إنّ الصدقة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06C3A" w:rsidTr="00006C3A">
        <w:tc>
          <w:tcPr>
            <w:tcW w:w="4006" w:type="dxa"/>
          </w:tcPr>
          <w:p w:rsidR="00006C3A" w:rsidRDefault="00006C3A"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من</w:t>
            </w:r>
            <w:r>
              <w:rPr>
                <w:rtl/>
              </w:rPr>
              <w:t xml:space="preserve"> ».</w:t>
            </w:r>
          </w:p>
        </w:tc>
        <w:tc>
          <w:tcPr>
            <w:tcW w:w="4006" w:type="dxa"/>
          </w:tcPr>
          <w:p w:rsidR="00006C3A" w:rsidRDefault="0050371E" w:rsidP="00992664">
            <w:pPr>
              <w:pStyle w:val="libFootnote0"/>
              <w:rPr>
                <w:rtl/>
              </w:rPr>
            </w:pPr>
            <w:r>
              <w:rPr>
                <w:rtl/>
              </w:rPr>
              <w:t xml:space="preserve">(4). </w:t>
            </w:r>
            <w:r w:rsidRPr="00020424">
              <w:rPr>
                <w:rtl/>
              </w:rPr>
              <w:t xml:space="preserve">في </w:t>
            </w:r>
            <w:r w:rsidRPr="0012008A">
              <w:rPr>
                <w:rStyle w:val="libFootnoteBoldChar"/>
                <w:rtl/>
              </w:rPr>
              <w:t>الوسائل</w:t>
            </w:r>
            <w:r w:rsidRPr="00020424">
              <w:rPr>
                <w:rtl/>
              </w:rPr>
              <w:t xml:space="preserve"> </w:t>
            </w:r>
            <w:r w:rsidRPr="00FD6221">
              <w:rPr>
                <w:rStyle w:val="libFootnoteBoldChar"/>
                <w:rtl/>
              </w:rPr>
              <w:t>والفقيه</w:t>
            </w:r>
            <w:r w:rsidRPr="00020424">
              <w:rPr>
                <w:rtl/>
              </w:rPr>
              <w:t xml:space="preserve"> : « لحيي</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يأمر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بخ ، جن » </w:t>
      </w:r>
      <w:r w:rsidR="00992664" w:rsidRPr="00EB1FD9">
        <w:rPr>
          <w:rStyle w:val="libFootnoteBoldChar"/>
          <w:rtl/>
        </w:rPr>
        <w:t>والوسائل</w:t>
      </w:r>
      <w:r w:rsidR="00992664" w:rsidRPr="00020424">
        <w:rPr>
          <w:rtl/>
        </w:rPr>
        <w:t xml:space="preserve"> </w:t>
      </w:r>
      <w:r w:rsidR="00992664" w:rsidRPr="006C7A1F">
        <w:rPr>
          <w:rStyle w:val="libFootnoteBoldChar"/>
          <w:rtl/>
        </w:rPr>
        <w:t>وثواب الأعمال</w:t>
      </w:r>
      <w:r w:rsidR="00992664" w:rsidRPr="00020424">
        <w:rPr>
          <w:rtl/>
        </w:rPr>
        <w:t xml:space="preserve"> ، ص 171 : « لا تفعل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ثواب الأعمال</w:t>
      </w:r>
      <w:r w:rsidR="00992664" w:rsidRPr="00020424">
        <w:rPr>
          <w:rtl/>
        </w:rPr>
        <w:t xml:space="preserve"> ، ص 171 ، ح 7 ، بسنده عن ابن أبي عمير. </w:t>
      </w:r>
      <w:r w:rsidR="00992664" w:rsidRPr="00DE76B9">
        <w:rPr>
          <w:rStyle w:val="libFootnoteBoldChar"/>
          <w:rtl/>
        </w:rPr>
        <w:t>وفيه</w:t>
      </w:r>
      <w:r w:rsidR="00992664" w:rsidRPr="00020424">
        <w:rPr>
          <w:rtl/>
        </w:rPr>
        <w:t xml:space="preserve"> ، ص 172 ، ح 1 ، بسنده عن عليّ بن إبراهيم ، عن أبيه ، عن ابن فضّال ، عن عبدالله بن سنان ، عن أبي عبدالله </w:t>
      </w:r>
      <w:r w:rsidR="00992664" w:rsidRPr="00D64ADA">
        <w:rPr>
          <w:rStyle w:val="libFootnoteAlaemChar"/>
          <w:rtl/>
        </w:rPr>
        <w:t>عليه‌السلام</w:t>
      </w:r>
      <w:r w:rsidR="00992664" w:rsidRPr="00020424">
        <w:rPr>
          <w:rtl/>
        </w:rPr>
        <w:t xml:space="preserve"> ، وتمام الرواية هكذا : « الصدقة بالليل تدفع ميتة السوء ، وتدفع سبعين نوعاً من البلاء</w:t>
      </w:r>
      <w:r w:rsidR="00992664">
        <w:rPr>
          <w:rtl/>
        </w:rPr>
        <w:t xml:space="preserve"> ».</w:t>
      </w:r>
      <w:r w:rsidR="00992664" w:rsidRPr="00020424">
        <w:rPr>
          <w:rtl/>
        </w:rPr>
        <w:t xml:space="preserve"> </w:t>
      </w:r>
      <w:r w:rsidR="00992664" w:rsidRPr="00DE76B9">
        <w:rPr>
          <w:rStyle w:val="libFootnoteBoldChar"/>
          <w:rtl/>
        </w:rPr>
        <w:t>الكافي</w:t>
      </w:r>
      <w:r w:rsidR="00992664" w:rsidRPr="00020424">
        <w:rPr>
          <w:rtl/>
        </w:rPr>
        <w:t xml:space="preserve"> ، كتاب الزكاة ، باب أنّ الصدقة تدفع البلاء ، ح 6016 ، بسند آخر عن أبي جعفر </w:t>
      </w:r>
      <w:r w:rsidR="00992664" w:rsidRPr="00D64ADA">
        <w:rPr>
          <w:rStyle w:val="libFootnoteAlaemChar"/>
          <w:rtl/>
        </w:rPr>
        <w:t>عليه‌السلام</w:t>
      </w:r>
      <w:r w:rsidR="00992664" w:rsidRPr="00020424">
        <w:rPr>
          <w:rtl/>
        </w:rPr>
        <w:t xml:space="preserve"> ، إلى قوله : « من أنواع البلاء » مع اختلاف يسير وزيادة في آخره. </w:t>
      </w:r>
      <w:r w:rsidR="00992664" w:rsidRPr="0012008A">
        <w:rPr>
          <w:rStyle w:val="libFootnoteBoldChar"/>
          <w:rtl/>
        </w:rPr>
        <w:t>الفقيه</w:t>
      </w:r>
      <w:r w:rsidR="00992664" w:rsidRPr="00020424">
        <w:rPr>
          <w:rtl/>
        </w:rPr>
        <w:t xml:space="preserve"> ، ج 2 ، ص 66 ، ح 1731 ، مرسلاً من دون التصريح باسم المعصوم </w:t>
      </w:r>
      <w:r w:rsidR="00992664" w:rsidRPr="00D64ADA">
        <w:rPr>
          <w:rStyle w:val="libFootnoteAlaemChar"/>
          <w:rtl/>
        </w:rPr>
        <w:t>عليه‌السلام</w:t>
      </w:r>
      <w:r w:rsidR="00992664" w:rsidRPr="00020424">
        <w:rPr>
          <w:rtl/>
        </w:rPr>
        <w:t xml:space="preserve">. وراجع : </w:t>
      </w:r>
      <w:r w:rsidR="00992664" w:rsidRPr="0012008A">
        <w:rPr>
          <w:rStyle w:val="libFootnoteBoldChar"/>
          <w:rtl/>
        </w:rPr>
        <w:t>ثواب الأعمال</w:t>
      </w:r>
      <w:r w:rsidR="00992664" w:rsidRPr="00020424">
        <w:rPr>
          <w:rtl/>
        </w:rPr>
        <w:t xml:space="preserve"> ، ص 169 ، ح 12 </w:t>
      </w:r>
      <w:r w:rsidR="003342F1">
        <w:rPr>
          <w:rFonts w:hint="cs"/>
          <w:rtl/>
        </w:rPr>
        <w:t>.</w:t>
      </w:r>
      <w:r w:rsidR="00992664" w:rsidRPr="0012008A">
        <w:rPr>
          <w:rStyle w:val="libFootnoteBoldChar"/>
          <w:rtl/>
        </w:rPr>
        <w:t>الوافي</w:t>
      </w:r>
      <w:r w:rsidR="00992664" w:rsidRPr="00020424">
        <w:rPr>
          <w:rtl/>
        </w:rPr>
        <w:t xml:space="preserve"> ، ج 10 ، ص 391 ، ح 9747 ؛ </w:t>
      </w:r>
      <w:r w:rsidR="00992664" w:rsidRPr="0012008A">
        <w:rPr>
          <w:rStyle w:val="libFootnoteBoldChar"/>
          <w:rtl/>
        </w:rPr>
        <w:t>الوسائل</w:t>
      </w:r>
      <w:r w:rsidR="00992664" w:rsidRPr="00020424">
        <w:rPr>
          <w:rtl/>
        </w:rPr>
        <w:t xml:space="preserve"> ، ج 9 ، ص 377 ، ح 12280.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رسول الله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حاشية « بث » : « لوصيّه » بدل « لأمير المؤمنين</w:t>
      </w:r>
      <w:r w:rsidR="00992664">
        <w:rPr>
          <w:rtl/>
        </w:rPr>
        <w:t xml:space="preserve"> ».</w:t>
      </w:r>
      <w:r w:rsidR="00992664" w:rsidRPr="00020424">
        <w:rPr>
          <w:rtl/>
        </w:rPr>
        <w:t xml:space="preserve"> وفي الكافي ، ح 14848 </w:t>
      </w:r>
      <w:r w:rsidR="00992664" w:rsidRPr="00515444">
        <w:rPr>
          <w:rStyle w:val="libFootnoteBoldChar"/>
          <w:rtl/>
        </w:rPr>
        <w:t>والتهذيب</w:t>
      </w:r>
      <w:r w:rsidR="00992664" w:rsidRPr="00020424">
        <w:rPr>
          <w:rtl/>
        </w:rPr>
        <w:t xml:space="preserve"> : « لعليّ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ى ، بث » :</w:t>
      </w:r>
      <w:r w:rsidR="00992664">
        <w:rPr>
          <w:rtl/>
        </w:rPr>
        <w:t xml:space="preserve"> </w:t>
      </w:r>
      <w:r w:rsidR="009B673F">
        <w:rPr>
          <w:rtl/>
        </w:rPr>
        <w:t>-</w:t>
      </w:r>
      <w:r w:rsidR="00992664">
        <w:rPr>
          <w:rtl/>
        </w:rPr>
        <w:t xml:space="preserve"> </w:t>
      </w:r>
      <w:r w:rsidR="00992664" w:rsidRPr="00020424">
        <w:rPr>
          <w:rtl/>
        </w:rPr>
        <w:t>« وسلامه</w:t>
      </w:r>
      <w:r w:rsidR="00992664">
        <w:rPr>
          <w:rtl/>
        </w:rPr>
        <w:t xml:space="preserve"> ».</w:t>
      </w:r>
    </w:p>
    <w:p w:rsidR="00992664" w:rsidRPr="00020424" w:rsidRDefault="00795177" w:rsidP="003342F1">
      <w:pPr>
        <w:pStyle w:val="libFootnote0"/>
        <w:rPr>
          <w:rtl/>
          <w:lang w:bidi="fa-IR"/>
        </w:rPr>
      </w:pPr>
      <w:r>
        <w:rPr>
          <w:rtl/>
        </w:rPr>
        <w:t>(11).</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والكافي ، ح 14848 </w:t>
      </w:r>
      <w:r w:rsidR="00992664" w:rsidRPr="00515444">
        <w:rPr>
          <w:rStyle w:val="libFootnoteBoldChar"/>
          <w:rtl/>
        </w:rPr>
        <w:t>والتهذيب</w:t>
      </w:r>
      <w:r w:rsidR="00992664" w:rsidRPr="00020424">
        <w:rPr>
          <w:rtl/>
        </w:rPr>
        <w:t xml:space="preserve"> : « </w:t>
      </w:r>
      <w:r w:rsidR="00992664" w:rsidRPr="00D64ADA">
        <w:rPr>
          <w:rStyle w:val="libFootnoteAlaemChar"/>
          <w:rtl/>
        </w:rPr>
        <w:t>عليه‌السلام</w:t>
      </w:r>
      <w:r w:rsidR="00992664" w:rsidRPr="00020424">
        <w:rPr>
          <w:rtl/>
        </w:rPr>
        <w:t xml:space="preserve"> » بدل « صلوات الله وسلامه عليه</w:t>
      </w:r>
      <w:r w:rsidR="00992664">
        <w:rPr>
          <w:rtl/>
        </w:rPr>
        <w:t xml:space="preserve"> ».</w:t>
      </w:r>
      <w:r w:rsidR="003342F1">
        <w:rPr>
          <w:rFonts w:hint="cs"/>
          <w:rtl/>
        </w:rPr>
        <w:t xml:space="preserve">                    </w:t>
      </w:r>
      <w:r>
        <w:rPr>
          <w:rtl/>
        </w:rPr>
        <w:t>(12).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أمّا » بدون الواو.</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جُهْدَكَ </w:t>
      </w:r>
      <w:r w:rsidRPr="00A91B96">
        <w:rPr>
          <w:rStyle w:val="libFootnotenumChar"/>
          <w:rtl/>
        </w:rPr>
        <w:t>(1)</w:t>
      </w:r>
      <w:r w:rsidRPr="00020424">
        <w:rPr>
          <w:rtl/>
          <w:lang w:bidi="fa-IR"/>
        </w:rPr>
        <w:t xml:space="preserve"> حَتّى يُقَالَ : </w:t>
      </w:r>
      <w:r w:rsidRPr="00A91B96">
        <w:rPr>
          <w:rStyle w:val="libFootnotenumChar"/>
          <w:rtl/>
        </w:rPr>
        <w:t>(2)</w:t>
      </w:r>
      <w:r w:rsidRPr="00020424">
        <w:rPr>
          <w:rtl/>
          <w:lang w:bidi="fa-IR"/>
        </w:rPr>
        <w:t xml:space="preserve"> قَدْ أَسْرَفْتَ </w:t>
      </w:r>
      <w:r w:rsidRPr="00A91B96">
        <w:rPr>
          <w:rStyle w:val="libFootnotenumChar"/>
          <w:rtl/>
        </w:rPr>
        <w:t>(3)</w:t>
      </w:r>
      <w:r w:rsidRPr="00020424">
        <w:rPr>
          <w:rtl/>
          <w:lang w:bidi="fa-IR"/>
        </w:rPr>
        <w:t xml:space="preserve"> ، وَلَمْ تُسْرِفْ</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717768">
        <w:rPr>
          <w:rtl/>
        </w:rPr>
        <w:t>6008</w:t>
      </w:r>
      <w:r w:rsidRPr="001155DE">
        <w:rPr>
          <w:rStyle w:val="libBold2Char"/>
          <w:rtl/>
        </w:rPr>
        <w:t xml:space="preserve"> / 9.</w:t>
      </w:r>
      <w:r w:rsidRPr="00020424">
        <w:rPr>
          <w:rtl/>
          <w:lang w:bidi="fa-IR"/>
        </w:rPr>
        <w:t xml:space="preserve"> عَلِيُّ بْنُ إِبْرَاهِيمَ ، عَنْ أَبِيهِ ، عَنِ ابْنِ أَبِي عُمَيْرٍ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يُسْتَحَبُّ لِلْمَرِيضِ أَنْ يُعْطِيَ السَّائِلَ بِيَدِهِ ، وَيَأْمُرَ السَّائِلَ أَنْ يَدْعُوَ 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17768">
        <w:rPr>
          <w:rtl/>
        </w:rPr>
        <w:t>6009</w:t>
      </w:r>
      <w:r w:rsidRPr="001155DE">
        <w:rPr>
          <w:rStyle w:val="libBold2Char"/>
          <w:rtl/>
        </w:rPr>
        <w:t xml:space="preserve"> / 10.</w:t>
      </w:r>
      <w:r w:rsidRPr="00020424">
        <w:rPr>
          <w:rtl/>
          <w:lang w:bidi="fa-IR"/>
        </w:rPr>
        <w:t xml:space="preserve"> عِدَّةٌ مِنْ أَصْحَابِنَا ، عَنْ أَحْمَدَ بْنِ أَبِي عَبْدِ اللهِ ، عَنْ مُحَمَّدِ بْنِ عَلِيٍّ ، عَنْ مُحَمَّدِ بْنِ عُمَرَ بْنِ يَزِيدَ ، قَالَ :</w:t>
      </w:r>
    </w:p>
    <w:p w:rsidR="00992664" w:rsidRPr="00020424" w:rsidRDefault="00992664" w:rsidP="00992664">
      <w:pPr>
        <w:pStyle w:val="libNormal"/>
        <w:rPr>
          <w:rtl/>
          <w:lang w:bidi="fa-IR"/>
        </w:rPr>
      </w:pPr>
      <w:r w:rsidRPr="00020424">
        <w:rPr>
          <w:rtl/>
          <w:lang w:bidi="fa-IR"/>
        </w:rPr>
        <w:t xml:space="preserve">أَخْبَرْتُ أَبَا الْحَسَنِ الرِّضَا </w:t>
      </w:r>
      <w:r w:rsidRPr="00005A81">
        <w:rPr>
          <w:rStyle w:val="libAlaemChar"/>
          <w:rtl/>
        </w:rPr>
        <w:t>عليه‌السلام</w:t>
      </w:r>
      <w:r w:rsidRPr="00020424">
        <w:rPr>
          <w:rtl/>
          <w:lang w:bidi="fa-IR"/>
        </w:rPr>
        <w:t xml:space="preserve"> أَنِّي أُصِبْتُ بِابْنَيْنِ ، وَبَقِيَ لِي بُنَيٌّ صَغِيرٌ.</w:t>
      </w:r>
    </w:p>
    <w:p w:rsidR="00992664" w:rsidRPr="00020424" w:rsidRDefault="00992664" w:rsidP="00992664">
      <w:pPr>
        <w:pStyle w:val="libNormal"/>
        <w:rPr>
          <w:rtl/>
          <w:lang w:bidi="fa-IR"/>
        </w:rPr>
      </w:pPr>
      <w:r w:rsidRPr="00020424">
        <w:rPr>
          <w:rtl/>
          <w:lang w:bidi="fa-IR"/>
        </w:rPr>
        <w:t xml:space="preserve">فَقَالَ : « تَصَدَّقْ عَنْهُ » ثُمَّ قَالَ حِينَ حَضَرَ قِيَامِي : « مُرِ الصَّبِيَّ ، فَلْيَتَصَدَّقْ بِيَدِهِ بِالْكِسْرَةِ </w:t>
      </w:r>
      <w:r w:rsidRPr="00A91B96">
        <w:rPr>
          <w:rStyle w:val="libFootnotenumChar"/>
          <w:rtl/>
        </w:rPr>
        <w:t>(6)</w:t>
      </w:r>
      <w:r w:rsidRPr="00020424">
        <w:rPr>
          <w:rtl/>
          <w:lang w:bidi="fa-IR"/>
        </w:rPr>
        <w:t xml:space="preserve"> وَالْقَبْضَةِ وَالشَّيْ‌ءِ وَإِنْ قَلَّ ؛ فَإِنَّ كُلَّ شَيْ‌ءٍ يُرَادُ بِهِ اللهُ وَإِنْ قَلَّ</w:t>
      </w:r>
      <w:r>
        <w:rPr>
          <w:rtl/>
          <w:lang w:bidi="fa-IR"/>
        </w:rPr>
        <w:t xml:space="preserve"> </w:t>
      </w:r>
      <w:r w:rsidR="009B673F">
        <w:rPr>
          <w:rtl/>
          <w:lang w:bidi="fa-IR"/>
        </w:rPr>
        <w:t>-</w:t>
      </w:r>
      <w:r>
        <w:rPr>
          <w:rtl/>
          <w:lang w:bidi="fa-IR"/>
        </w:rPr>
        <w:t xml:space="preserve"> </w:t>
      </w:r>
      <w:r w:rsidRPr="00020424">
        <w:rPr>
          <w:rtl/>
          <w:lang w:bidi="fa-IR"/>
        </w:rPr>
        <w:t>بَعْدَ أَنْ تَصْدُقَ النِّيَّةُ فِيهِ</w:t>
      </w:r>
      <w:r>
        <w:rPr>
          <w:rtl/>
          <w:lang w:bidi="fa-IR"/>
        </w:rPr>
        <w:t xml:space="preserve"> </w:t>
      </w:r>
      <w:r w:rsidR="009B673F">
        <w:rPr>
          <w:rtl/>
          <w:lang w:bidi="fa-IR"/>
        </w:rPr>
        <w:t>-</w:t>
      </w:r>
      <w:r>
        <w:rPr>
          <w:rtl/>
          <w:lang w:bidi="fa-IR"/>
        </w:rPr>
        <w:t xml:space="preserve"> </w:t>
      </w:r>
      <w:r w:rsidRPr="00020424">
        <w:rPr>
          <w:rtl/>
          <w:lang w:bidi="fa-IR"/>
        </w:rPr>
        <w:t>عَظِيمٌ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فَمَنْ يَعْمَلْ مِثْقالَ ذَرَّةٍ خَيْراً يَرَهُ </w:t>
      </w:r>
      <w:r w:rsidR="003342F1">
        <w:rPr>
          <w:rStyle w:val="libAieChar"/>
          <w:rFonts w:hint="cs"/>
          <w:rtl/>
        </w:rPr>
        <w:t xml:space="preserve">* </w:t>
      </w:r>
      <w:r w:rsidRPr="004E5AB4">
        <w:rPr>
          <w:rStyle w:val="libAieChar"/>
          <w:rtl/>
        </w:rPr>
        <w:t xml:space="preserve">وَمَنْ يَعْمَلْ مِثْقالَ ذَرَّةٍ شَرًّا يَرَهُ </w:t>
      </w:r>
      <w:r w:rsidRPr="00005A81">
        <w:rPr>
          <w:rStyle w:val="libAlaemChar"/>
          <w:rtl/>
        </w:rPr>
        <w:t>)</w:t>
      </w:r>
      <w:r w:rsidRPr="00020424">
        <w:rPr>
          <w:rtl/>
          <w:lang w:bidi="fa-IR"/>
        </w:rPr>
        <w:t xml:space="preserve"> </w:t>
      </w:r>
      <w:r w:rsidRPr="00A91B96">
        <w:rPr>
          <w:rStyle w:val="libFootnotenumChar"/>
          <w:rtl/>
        </w:rPr>
        <w:t>(7)</w:t>
      </w:r>
      <w:r w:rsidRPr="00020424">
        <w:rPr>
          <w:rtl/>
          <w:lang w:bidi="fa-IR"/>
        </w:rPr>
        <w:t xml:space="preserve"> وَقَالَ : </w:t>
      </w:r>
      <w:r w:rsidRPr="00005A81">
        <w:rPr>
          <w:rStyle w:val="libAlaemChar"/>
          <w:rtl/>
        </w:rPr>
        <w:t>(</w:t>
      </w:r>
      <w:r w:rsidRPr="004E5AB4">
        <w:rPr>
          <w:rStyle w:val="libAieChar"/>
          <w:rtl/>
        </w:rPr>
        <w:t xml:space="preserve"> فَلَا اقْتَحَمَ الْعَقَبَةَ </w:t>
      </w:r>
      <w:r w:rsidR="00F127C9">
        <w:rPr>
          <w:rStyle w:val="libAieChar"/>
          <w:rFonts w:hint="cs"/>
          <w:rtl/>
        </w:rPr>
        <w:t xml:space="preserve">* </w:t>
      </w:r>
      <w:r w:rsidRPr="004E5AB4">
        <w:rPr>
          <w:rStyle w:val="libAieChar"/>
          <w:rtl/>
        </w:rPr>
        <w:t xml:space="preserve">وَما أَدْراكَ مَا الْعَقَبَةُ </w:t>
      </w:r>
      <w:r w:rsidR="00F127C9">
        <w:rPr>
          <w:rStyle w:val="libAieChar"/>
          <w:rFonts w:hint="cs"/>
          <w:rtl/>
        </w:rPr>
        <w:t xml:space="preserve">* </w:t>
      </w:r>
      <w:r w:rsidRPr="004E5AB4">
        <w:rPr>
          <w:rStyle w:val="libAieChar"/>
          <w:rtl/>
        </w:rPr>
        <w:t xml:space="preserve">فَكُّ رَقَبَةٍ </w:t>
      </w:r>
      <w:r w:rsidR="00F127C9">
        <w:rPr>
          <w:rStyle w:val="libAieCha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والكافي ، ح 14848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7C1D2B">
        <w:rPr>
          <w:rStyle w:val="libFootnoteBoldChar"/>
          <w:rtl/>
        </w:rPr>
        <w:t>والزهد</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جهدك</w:t>
      </w:r>
      <w:r w:rsidR="00992664">
        <w:rPr>
          <w:rtl/>
        </w:rPr>
        <w:t xml:space="preserve"> ».</w:t>
      </w:r>
      <w:r w:rsidR="00992664" w:rsidRPr="00020424">
        <w:rPr>
          <w:rtl/>
        </w:rPr>
        <w:t xml:space="preserve"> والجَهد والجُهد : الطاقة. </w:t>
      </w:r>
      <w:r w:rsidR="00992664" w:rsidRPr="00A722B1">
        <w:rPr>
          <w:rStyle w:val="libFootnoteBoldChar"/>
          <w:rtl/>
        </w:rPr>
        <w:t>لسان العرب</w:t>
      </w:r>
      <w:r w:rsidR="00992664" w:rsidRPr="00020424">
        <w:rPr>
          <w:rtl/>
        </w:rPr>
        <w:t xml:space="preserve"> ، ج 3 ، ص 133 ( جهد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و</w:t>
      </w:r>
      <w:r w:rsidR="00992664" w:rsidRPr="0012008A">
        <w:rPr>
          <w:rStyle w:val="libFootnoteBoldChar"/>
          <w:rtl/>
        </w:rPr>
        <w:t>البحار</w:t>
      </w:r>
      <w:r w:rsidR="00992664" w:rsidRPr="00020424">
        <w:rPr>
          <w:rtl/>
        </w:rPr>
        <w:t xml:space="preserve"> والكافي ، ح 14848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و</w:t>
      </w:r>
      <w:r w:rsidR="00D64ADA" w:rsidRPr="00D64ADA">
        <w:rPr>
          <w:rStyle w:val="libFootnoteBoldChar"/>
          <w:rtl/>
        </w:rPr>
        <w:t>المحاسن</w:t>
      </w:r>
      <w:r w:rsidR="00992664" w:rsidRPr="00020424">
        <w:rPr>
          <w:rtl/>
        </w:rPr>
        <w:t xml:space="preserve"> : « حتّى تقول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أسرفت وأسرفت » بدل « قد أسرفت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الروضة ، ضمن ح 14848. وفي </w:t>
      </w:r>
      <w:r w:rsidR="00992664" w:rsidRPr="0012008A">
        <w:rPr>
          <w:rStyle w:val="libFootnoteBoldChar"/>
          <w:rtl/>
        </w:rPr>
        <w:t>التهذيب</w:t>
      </w:r>
      <w:r w:rsidR="00992664" w:rsidRPr="00020424">
        <w:rPr>
          <w:rtl/>
        </w:rPr>
        <w:t xml:space="preserve"> ، ج 9 ، ص 175 ، ح 713 ، بسنده عن معاوية بن عمّار. </w:t>
      </w:r>
      <w:r w:rsidR="00D64ADA" w:rsidRPr="00D64ADA">
        <w:rPr>
          <w:rStyle w:val="libFootnoteBoldChar"/>
          <w:rtl/>
        </w:rPr>
        <w:t>المحاسن</w:t>
      </w:r>
      <w:r w:rsidR="00992664" w:rsidRPr="00020424">
        <w:rPr>
          <w:rtl/>
        </w:rPr>
        <w:t xml:space="preserve"> ، ص 17 ، ضمن ح 48 ، بسند آخر. وفي </w:t>
      </w:r>
      <w:r w:rsidR="00992664" w:rsidRPr="00DE76B9">
        <w:rPr>
          <w:rStyle w:val="libFootnoteBoldChar"/>
          <w:rtl/>
        </w:rPr>
        <w:t>الزهد</w:t>
      </w:r>
      <w:r w:rsidR="00992664" w:rsidRPr="00020424">
        <w:rPr>
          <w:rtl/>
        </w:rPr>
        <w:t xml:space="preserve"> ، ص 82 ، ضمن ح 48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4 ، ص 188 ، ضمن ح 5432 ، بسند آخر عن أبي جعفر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FD3051">
        <w:rPr>
          <w:rFonts w:hint="cs"/>
          <w:rtl/>
        </w:rPr>
        <w:t>.</w:t>
      </w:r>
      <w:r w:rsidR="00992664" w:rsidRPr="0012008A">
        <w:rPr>
          <w:rStyle w:val="libFootnoteBoldChar"/>
          <w:rtl/>
        </w:rPr>
        <w:t>الوافي</w:t>
      </w:r>
      <w:r w:rsidR="00992664" w:rsidRPr="00020424">
        <w:rPr>
          <w:rtl/>
        </w:rPr>
        <w:t xml:space="preserve"> ، ج 10 ، ص 396 ، ح 9759 ؛ </w:t>
      </w:r>
      <w:r w:rsidR="00992664" w:rsidRPr="0012008A">
        <w:rPr>
          <w:rStyle w:val="libFootnoteBoldChar"/>
          <w:rtl/>
        </w:rPr>
        <w:t>الوسائل</w:t>
      </w:r>
      <w:r w:rsidR="00992664" w:rsidRPr="00020424">
        <w:rPr>
          <w:rtl/>
        </w:rPr>
        <w:t xml:space="preserve"> ، ج 9 ، ص 378 ، ح 12284.</w:t>
      </w:r>
    </w:p>
    <w:p w:rsidR="00992664" w:rsidRPr="00020424" w:rsidRDefault="00795177" w:rsidP="00FD3051">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66 ، ح 1732 ، مرسلاً </w:t>
      </w:r>
      <w:r w:rsidR="00FD3051">
        <w:rPr>
          <w:rFonts w:hint="cs"/>
          <w:rtl/>
        </w:rPr>
        <w:t>.</w:t>
      </w:r>
      <w:r w:rsidR="00992664" w:rsidRPr="0012008A">
        <w:rPr>
          <w:rStyle w:val="libFootnoteBoldChar"/>
          <w:rtl/>
        </w:rPr>
        <w:t>الوافي</w:t>
      </w:r>
      <w:r w:rsidR="00992664" w:rsidRPr="00020424">
        <w:rPr>
          <w:rtl/>
        </w:rPr>
        <w:t xml:space="preserve"> ، ج 10 ، ص 391 ، ح 9748 ؛ </w:t>
      </w:r>
      <w:r w:rsidR="00992664" w:rsidRPr="0012008A">
        <w:rPr>
          <w:rStyle w:val="libFootnoteBoldChar"/>
          <w:rtl/>
        </w:rPr>
        <w:t>الوسائل</w:t>
      </w:r>
      <w:r w:rsidR="00992664" w:rsidRPr="00020424">
        <w:rPr>
          <w:rtl/>
        </w:rPr>
        <w:t xml:space="preserve"> ، ج 9 ، ص 377 ، ح 12281.</w:t>
      </w:r>
      <w:r w:rsidR="00FD3051">
        <w:rPr>
          <w:rFonts w:hint="cs"/>
          <w:rtl/>
        </w:rPr>
        <w:t xml:space="preserve">                                              </w:t>
      </w: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بالكسيرة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الزلزلة (99) : 7</w:t>
      </w:r>
      <w:r w:rsidR="00992664">
        <w:rPr>
          <w:rtl/>
        </w:rPr>
        <w:t xml:space="preserve"> </w:t>
      </w:r>
      <w:r w:rsidR="009B673F">
        <w:rPr>
          <w:rtl/>
        </w:rPr>
        <w:t>-</w:t>
      </w:r>
      <w:r w:rsidR="00992664">
        <w:rPr>
          <w:rtl/>
        </w:rPr>
        <w:t xml:space="preserve"> </w:t>
      </w:r>
      <w:r w:rsidR="00992664" w:rsidRPr="00020424">
        <w:rPr>
          <w:rtl/>
        </w:rPr>
        <w:t xml:space="preserve">8. وقال الشيخ الطوسي </w:t>
      </w:r>
      <w:r w:rsidR="00D64ADA" w:rsidRPr="00D64ADA">
        <w:rPr>
          <w:rStyle w:val="libFootnoteAlaemChar"/>
          <w:rtl/>
        </w:rPr>
        <w:t>رحمه‌الله</w:t>
      </w:r>
      <w:r w:rsidR="00992664" w:rsidRPr="00020424">
        <w:rPr>
          <w:rtl/>
        </w:rPr>
        <w:t xml:space="preserve"> في </w:t>
      </w:r>
      <w:r w:rsidR="00992664" w:rsidRPr="00DE76B9">
        <w:rPr>
          <w:rStyle w:val="libFootnoteBoldChar"/>
          <w:rtl/>
        </w:rPr>
        <w:t>التبيان</w:t>
      </w:r>
      <w:r w:rsidR="00992664" w:rsidRPr="00020424">
        <w:rPr>
          <w:rtl/>
        </w:rPr>
        <w:t xml:space="preserve"> ، ج 10 ، ص 394 : « ويمكن أن يستدلّ بذلك على‌بطلان الإحباط ؛ لأنّ عموم الآية يدلّ أنّه لا</w:t>
      </w:r>
      <w:r w:rsidR="00FD3051">
        <w:rPr>
          <w:rtl/>
        </w:rPr>
        <w:t>يفعل شيئاً من طاعة أو معصية إل</w:t>
      </w:r>
      <w:r w:rsidR="00FD3051">
        <w:rPr>
          <w:rFonts w:hint="cs"/>
          <w:rtl/>
        </w:rPr>
        <w:t>ّ</w:t>
      </w:r>
      <w:r w:rsidR="00FD3051">
        <w:rPr>
          <w:rtl/>
        </w:rPr>
        <w:t>ا</w:t>
      </w:r>
      <w:r w:rsidR="00992664" w:rsidRPr="00020424">
        <w:rPr>
          <w:rtl/>
        </w:rPr>
        <w:t xml:space="preserve"> ويجازي عليها ، وعلى مذهب القائلين بالإحباط بخلاف ذلك ؛ فإنّ ما يقع محبطاً لايجازي عليه ، ولايدلّ على أنّه لايجوز أن يعفي عن </w:t>
      </w:r>
      <w:r w:rsidR="00FD305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4E5AB4">
        <w:rPr>
          <w:rStyle w:val="libAieChar"/>
          <w:rtl/>
        </w:rPr>
        <w:lastRenderedPageBreak/>
        <w:t xml:space="preserve">أَوْ إِطْعامٌ فِي يَوْمٍ ذِي مَسْغَبَةٍ </w:t>
      </w:r>
      <w:r w:rsidR="00FD3051">
        <w:rPr>
          <w:rStyle w:val="libAieChar"/>
          <w:rFonts w:hint="cs"/>
          <w:rtl/>
        </w:rPr>
        <w:t xml:space="preserve">* </w:t>
      </w:r>
      <w:r w:rsidRPr="004E5AB4">
        <w:rPr>
          <w:rStyle w:val="libAieChar"/>
          <w:rtl/>
        </w:rPr>
        <w:t xml:space="preserve">يَتِيماً ذا مَقْرَبَةٍ </w:t>
      </w:r>
      <w:r w:rsidR="00FD3051">
        <w:rPr>
          <w:rStyle w:val="libAieChar"/>
          <w:rFonts w:hint="cs"/>
          <w:rtl/>
        </w:rPr>
        <w:t xml:space="preserve">* </w:t>
      </w:r>
      <w:r w:rsidRPr="004E5AB4">
        <w:rPr>
          <w:rStyle w:val="libAieChar"/>
          <w:rtl/>
        </w:rPr>
        <w:t xml:space="preserve">أَوْ مِسْكِيناً ذا مَتْرَبَةٍ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عَلِمَ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أَنَّ كُلَّ أَحَدٍ لايَقْدِرُ عَلى فَكِّ رَقَبَةٍ ، فَجَعَلَ إِطْعَامَ </w:t>
      </w:r>
      <w:r w:rsidRPr="00A91B96">
        <w:rPr>
          <w:rStyle w:val="libFootnotenumChar"/>
          <w:rtl/>
        </w:rPr>
        <w:t>(2)</w:t>
      </w:r>
      <w:r w:rsidRPr="00020424">
        <w:rPr>
          <w:rtl/>
          <w:lang w:bidi="fa-IR"/>
        </w:rPr>
        <w:t xml:space="preserve"> الْيَتِيمِ وَالْمِسْكِينِ </w:t>
      </w:r>
      <w:r w:rsidRPr="00A91B96">
        <w:rPr>
          <w:rStyle w:val="libFootnotenumChar"/>
          <w:rtl/>
        </w:rPr>
        <w:t>(3)</w:t>
      </w:r>
      <w:r w:rsidRPr="00020424">
        <w:rPr>
          <w:rtl/>
          <w:lang w:bidi="fa-IR"/>
        </w:rPr>
        <w:t xml:space="preserve"> مِثْلَ ذلِكَ ، تَصَدَّقْ عَنْهُ</w:t>
      </w:r>
      <w:r>
        <w:rPr>
          <w:rtl/>
          <w:lang w:bidi="fa-IR"/>
        </w:rPr>
        <w:t>».</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717768">
        <w:rPr>
          <w:rtl/>
        </w:rPr>
        <w:t>6010</w:t>
      </w:r>
      <w:r w:rsidRPr="001155DE">
        <w:rPr>
          <w:rStyle w:val="libBold2Char"/>
          <w:rtl/>
        </w:rPr>
        <w:t xml:space="preserve"> / 11.</w:t>
      </w:r>
      <w:r w:rsidRPr="00020424">
        <w:rPr>
          <w:rtl/>
          <w:lang w:bidi="fa-IR"/>
        </w:rPr>
        <w:t xml:space="preserve"> غَيْرُ وَاحِدٍ مِنْ أَصْحَابِنَا ، عَنْ أَحْمَدَ بْنِ أَبِي عَبْدِ اللهِ ، عَنْ غَيْرِ وَاحِدٍ ، عَنْ أَبِي جَمِيلَةَ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تَصَدَّقُوا ، وَلَوْ بِصَاعٍ مِنْ تَمْرٍ ، وَلَوْ بِبَعْضِ صَاعٍ ، وَلَوْ بِقَبْضَةٍ ، وَلَوْ بِبَعْضِ قَبْضَةٍ </w:t>
      </w:r>
      <w:r w:rsidRPr="00A91B96">
        <w:rPr>
          <w:rStyle w:val="libFootnotenumChar"/>
          <w:rtl/>
        </w:rPr>
        <w:t>(5)</w:t>
      </w:r>
      <w:r w:rsidRPr="00020424">
        <w:rPr>
          <w:rtl/>
          <w:lang w:bidi="fa-IR"/>
        </w:rPr>
        <w:t xml:space="preserve"> ، وَلَوْ بِتَمْرَةٍ ، وَلَوْ بِشِقِّ تَمْرَةٍ ، فَمَنْ </w:t>
      </w:r>
      <w:r w:rsidRPr="00A91B96">
        <w:rPr>
          <w:rStyle w:val="libFootnotenumChar"/>
          <w:rtl/>
        </w:rPr>
        <w:t>(6)</w:t>
      </w:r>
      <w:r w:rsidRPr="00020424">
        <w:rPr>
          <w:rtl/>
          <w:lang w:bidi="fa-IR"/>
        </w:rPr>
        <w:t xml:space="preserve"> لَمْ يَجِدْ فَبِكَلِمَةٍ </w:t>
      </w:r>
      <w:r w:rsidRPr="00A91B96">
        <w:rPr>
          <w:rStyle w:val="libFootnotenumChar"/>
          <w:rtl/>
        </w:rPr>
        <w:t>(7)</w:t>
      </w:r>
      <w:r w:rsidRPr="00020424">
        <w:rPr>
          <w:rtl/>
          <w:lang w:bidi="fa-IR"/>
        </w:rPr>
        <w:t xml:space="preserve"> لَيِّنَةٍ </w:t>
      </w:r>
      <w:r w:rsidRPr="00A91B96">
        <w:rPr>
          <w:rStyle w:val="libFootnotenumChar"/>
          <w:rtl/>
        </w:rPr>
        <w:t>(8)</w:t>
      </w:r>
      <w:r w:rsidRPr="00020424">
        <w:rPr>
          <w:rtl/>
          <w:lang w:bidi="fa-IR"/>
        </w:rPr>
        <w:t xml:space="preserve"> ، فَإِنَّ أَحَدَكُمْ لاقٍ </w:t>
      </w:r>
      <w:r w:rsidRPr="00A91B96">
        <w:rPr>
          <w:rStyle w:val="libFootnotenumChar"/>
          <w:rtl/>
        </w:rPr>
        <w:t>(9)</w:t>
      </w:r>
      <w:r w:rsidRPr="00020424">
        <w:rPr>
          <w:rtl/>
          <w:lang w:bidi="fa-IR"/>
        </w:rPr>
        <w:t xml:space="preserve"> اللهَ </w:t>
      </w:r>
      <w:r w:rsidRPr="00A91B96">
        <w:rPr>
          <w:rStyle w:val="libFootnotenumChar"/>
          <w:rtl/>
        </w:rPr>
        <w:t>(10)</w:t>
      </w:r>
      <w:r w:rsidRPr="00020424">
        <w:rPr>
          <w:rtl/>
          <w:lang w:bidi="fa-IR"/>
        </w:rPr>
        <w:t xml:space="preserve"> ، فَقَائِلٌ </w:t>
      </w:r>
      <w:r w:rsidRPr="00A91B96">
        <w:rPr>
          <w:rStyle w:val="libFootnotenumChar"/>
          <w:rtl/>
        </w:rPr>
        <w:t>(11)</w:t>
      </w:r>
      <w:r>
        <w:rPr>
          <w:rtl/>
          <w:lang w:bidi="fa-IR"/>
        </w:rPr>
        <w:t xml:space="preserve"> لَهُ : أَ</w:t>
      </w:r>
      <w:r w:rsidRPr="00020424">
        <w:rPr>
          <w:rtl/>
          <w:lang w:bidi="fa-IR"/>
        </w:rPr>
        <w:t xml:space="preserve">لَمْ أَفْعَلْ بِكَ </w:t>
      </w:r>
      <w:r w:rsidRPr="00A91B96">
        <w:rPr>
          <w:rStyle w:val="libFootnotenumChar"/>
          <w:rtl/>
        </w:rPr>
        <w:t>(12)</w:t>
      </w:r>
      <w:r>
        <w:rPr>
          <w:rtl/>
          <w:lang w:bidi="fa-IR"/>
        </w:rPr>
        <w:t>؟ أَ</w:t>
      </w:r>
      <w:r w:rsidRPr="00020424">
        <w:rPr>
          <w:rtl/>
          <w:lang w:bidi="fa-IR"/>
        </w:rPr>
        <w:t>لَمْ أَجْعَلْكَ‌</w:t>
      </w:r>
    </w:p>
    <w:p w:rsidR="00992664" w:rsidRPr="00020424" w:rsidRDefault="00992664" w:rsidP="00992664">
      <w:pPr>
        <w:pStyle w:val="libLine"/>
        <w:rPr>
          <w:rtl/>
          <w:lang w:bidi="fa-IR"/>
        </w:rPr>
      </w:pPr>
      <w:r w:rsidRPr="00020424">
        <w:rPr>
          <w:rtl/>
          <w:lang w:bidi="fa-IR"/>
        </w:rPr>
        <w:t>__________________</w:t>
      </w:r>
    </w:p>
    <w:p w:rsidR="00992664" w:rsidRPr="00020424" w:rsidRDefault="00FD3051" w:rsidP="00992664">
      <w:pPr>
        <w:pStyle w:val="libFootnote0"/>
        <w:rPr>
          <w:rtl/>
          <w:lang w:bidi="fa-IR"/>
        </w:rPr>
      </w:pPr>
      <w:r>
        <w:rPr>
          <w:rFonts w:hint="cs"/>
          <w:rtl/>
        </w:rPr>
        <w:t xml:space="preserve">= </w:t>
      </w:r>
      <w:r w:rsidR="00992664" w:rsidRPr="00020424">
        <w:rPr>
          <w:rtl/>
        </w:rPr>
        <w:t>مرتكب كبيرة ؛ لأنّ الآية مخصوصة بلاخلاف ، لأنّه إن تاب عفى عنه ، وقد شرطوا أن لايكون معصية صغيرة ، فإذا شرطوا الأمرين جاز أن نخصّ من يعفو الله عنه</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البلد (90) : 11</w:t>
      </w:r>
      <w:r w:rsidR="00992664">
        <w:rPr>
          <w:rtl/>
        </w:rPr>
        <w:t xml:space="preserve"> </w:t>
      </w:r>
      <w:r w:rsidR="009B673F">
        <w:rPr>
          <w:rtl/>
        </w:rPr>
        <w:t>-</w:t>
      </w:r>
      <w:r w:rsidR="00992664">
        <w:rPr>
          <w:rtl/>
        </w:rPr>
        <w:t xml:space="preserve"> </w:t>
      </w:r>
      <w:r w:rsidR="00992664" w:rsidRPr="00020424">
        <w:rPr>
          <w:rtl/>
        </w:rPr>
        <w:t xml:space="preserve">16. وقال البيضاوي في تفسيره ، ج 5 ، ص 493 : « </w:t>
      </w:r>
      <w:r w:rsidR="00992664" w:rsidRPr="00A05922">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فَلَا اقْتَحَمَ الْعَقَبَةَ </w:t>
      </w:r>
      <w:r w:rsidR="00992664" w:rsidRPr="00A05922">
        <w:rPr>
          <w:rStyle w:val="libFootnoteAlaemChar"/>
          <w:rtl/>
        </w:rPr>
        <w:t>)</w:t>
      </w:r>
      <w:r w:rsidR="00992664" w:rsidRPr="00020424">
        <w:rPr>
          <w:rtl/>
        </w:rPr>
        <w:t xml:space="preserve"> أي فلم يشكر تلك‌الأيادي باقتحام العقبة ، وهو الدخول في أمر شديد. والعقبة : الطريق في الجبل استعارها بما فسّرها</w:t>
      </w:r>
      <w:r w:rsidR="00992664">
        <w:rPr>
          <w:rtl/>
        </w:rPr>
        <w:t xml:space="preserve"> </w:t>
      </w:r>
      <w:r w:rsidR="009B673F">
        <w:rPr>
          <w:rtl/>
        </w:rPr>
        <w:t>-</w:t>
      </w:r>
      <w:r w:rsidR="00992664">
        <w:rPr>
          <w:rtl/>
        </w:rPr>
        <w:t xml:space="preserve"> </w:t>
      </w:r>
      <w:r w:rsidR="00992664" w:rsidRPr="00020424">
        <w:rPr>
          <w:rtl/>
        </w:rPr>
        <w:t>عزّوجلّ</w:t>
      </w:r>
      <w:r w:rsidR="00992664">
        <w:rPr>
          <w:rtl/>
        </w:rPr>
        <w:t xml:space="preserve"> </w:t>
      </w:r>
      <w:r w:rsidR="009B673F">
        <w:rPr>
          <w:rtl/>
        </w:rPr>
        <w:t>-</w:t>
      </w:r>
      <w:r w:rsidR="00992664">
        <w:rPr>
          <w:rtl/>
        </w:rPr>
        <w:t xml:space="preserve"> </w:t>
      </w:r>
      <w:r w:rsidR="00992664" w:rsidRPr="00020424">
        <w:rPr>
          <w:rtl/>
        </w:rPr>
        <w:t xml:space="preserve">من الفكّ والإطعام في قوله : </w:t>
      </w:r>
      <w:r w:rsidR="00992664" w:rsidRPr="00A05922">
        <w:rPr>
          <w:rStyle w:val="libFootnoteAlaemChar"/>
          <w:rtl/>
        </w:rPr>
        <w:t>(</w:t>
      </w:r>
      <w:r w:rsidR="00992664" w:rsidRPr="006B2AC6">
        <w:rPr>
          <w:rStyle w:val="libFootnoteAieChar"/>
          <w:rFonts w:hint="cs"/>
          <w:rtl/>
        </w:rPr>
        <w:t xml:space="preserve"> </w:t>
      </w:r>
      <w:r w:rsidR="00992664" w:rsidRPr="006B2AC6">
        <w:rPr>
          <w:rStyle w:val="libFootnoteAieChar"/>
          <w:rtl/>
        </w:rPr>
        <w:t>وَم</w:t>
      </w:r>
      <w:r w:rsidR="00FD3051">
        <w:rPr>
          <w:rStyle w:val="libFootnoteAieChar"/>
          <w:rFonts w:hint="cs"/>
          <w:rtl/>
        </w:rPr>
        <w:t>َ</w:t>
      </w:r>
      <w:r w:rsidR="00992664" w:rsidRPr="006B2AC6">
        <w:rPr>
          <w:rStyle w:val="libFootnoteAieChar"/>
          <w:rtl/>
        </w:rPr>
        <w:t>ا أَدْر</w:t>
      </w:r>
      <w:r w:rsidR="00FD3051">
        <w:rPr>
          <w:rStyle w:val="libFootnoteAieChar"/>
          <w:rFonts w:hint="cs"/>
          <w:rtl/>
        </w:rPr>
        <w:t>َ</w:t>
      </w:r>
      <w:r w:rsidR="00992664" w:rsidRPr="006B2AC6">
        <w:rPr>
          <w:rStyle w:val="libFootnoteAieChar"/>
          <w:rtl/>
        </w:rPr>
        <w:t xml:space="preserve">اكَ مَا الْعَقَبَةُ </w:t>
      </w:r>
      <w:r w:rsidR="00FD3051">
        <w:rPr>
          <w:rStyle w:val="libFootnoteAieChar"/>
          <w:rFonts w:hint="cs"/>
          <w:rtl/>
        </w:rPr>
        <w:t xml:space="preserve">* </w:t>
      </w:r>
      <w:r w:rsidR="00992664" w:rsidRPr="006B2AC6">
        <w:rPr>
          <w:rStyle w:val="libFootnoteAieChar"/>
          <w:rtl/>
        </w:rPr>
        <w:t>فَكُّ رَقَبَةٍ</w:t>
      </w:r>
      <w:r w:rsidR="00FD3051">
        <w:rPr>
          <w:rStyle w:val="libFootnoteAieChar"/>
          <w:rFonts w:hint="cs"/>
          <w:rtl/>
        </w:rPr>
        <w:t xml:space="preserve"> *</w:t>
      </w:r>
      <w:r w:rsidR="00992664" w:rsidRPr="006B2AC6">
        <w:rPr>
          <w:rStyle w:val="libFootnoteAieChar"/>
          <w:rtl/>
        </w:rPr>
        <w:t xml:space="preserve"> أَوْ إِطْع</w:t>
      </w:r>
      <w:r w:rsidR="00FD3051">
        <w:rPr>
          <w:rStyle w:val="libFootnoteAieChar"/>
          <w:rFonts w:hint="cs"/>
          <w:rtl/>
        </w:rPr>
        <w:t>َ</w:t>
      </w:r>
      <w:r w:rsidR="00992664" w:rsidRPr="006B2AC6">
        <w:rPr>
          <w:rStyle w:val="libFootnoteAieChar"/>
          <w:rtl/>
        </w:rPr>
        <w:t>امٌ فِي يَوْمٍ ذِي مَسْغَبَةٍ</w:t>
      </w:r>
      <w:r w:rsidR="00FD3051">
        <w:rPr>
          <w:rStyle w:val="libFootnoteAieChar"/>
          <w:rFonts w:hint="cs"/>
          <w:rtl/>
        </w:rPr>
        <w:t xml:space="preserve"> *</w:t>
      </w:r>
      <w:r w:rsidR="00992664" w:rsidRPr="006B2AC6">
        <w:rPr>
          <w:rStyle w:val="libFootnoteAieChar"/>
          <w:rtl/>
        </w:rPr>
        <w:t xml:space="preserve"> يَتِيماً ذ</w:t>
      </w:r>
      <w:r w:rsidR="00FD3051">
        <w:rPr>
          <w:rStyle w:val="libFootnoteAieChar"/>
          <w:rFonts w:hint="cs"/>
          <w:rtl/>
        </w:rPr>
        <w:t>َ</w:t>
      </w:r>
      <w:r w:rsidR="00992664" w:rsidRPr="006B2AC6">
        <w:rPr>
          <w:rStyle w:val="libFootnoteAieChar"/>
          <w:rtl/>
        </w:rPr>
        <w:t>ا مَقْرَبَةٍ</w:t>
      </w:r>
      <w:r w:rsidR="00FD3051">
        <w:rPr>
          <w:rStyle w:val="libFootnoteAieChar"/>
          <w:rFonts w:hint="cs"/>
          <w:rtl/>
        </w:rPr>
        <w:t xml:space="preserve"> *</w:t>
      </w:r>
      <w:r w:rsidR="00992664" w:rsidRPr="006B2AC6">
        <w:rPr>
          <w:rStyle w:val="libFootnoteAieChar"/>
          <w:rtl/>
        </w:rPr>
        <w:t xml:space="preserve"> أَوْ مِسْكِيناً ذا مَتْرَبَةٍ </w:t>
      </w:r>
      <w:r w:rsidR="00992664" w:rsidRPr="00A05922">
        <w:rPr>
          <w:rStyle w:val="libFootnoteAlaemChar"/>
          <w:rtl/>
        </w:rPr>
        <w:t>)</w:t>
      </w:r>
      <w:r w:rsidR="00992664" w:rsidRPr="00020424">
        <w:rPr>
          <w:rtl/>
        </w:rPr>
        <w:t xml:space="preserve"> لما فيهما من مجاهدة النفس ، ولتعدّد المراد بها حسن وقوع لا</w:t>
      </w:r>
      <w:r w:rsidR="00FD3051">
        <w:rPr>
          <w:rtl/>
        </w:rPr>
        <w:t>موقع لم ، فانّها لاتكاد تقع إل</w:t>
      </w:r>
      <w:r w:rsidR="00FD3051">
        <w:rPr>
          <w:rFonts w:hint="cs"/>
          <w:rtl/>
        </w:rPr>
        <w:t>ّ</w:t>
      </w:r>
      <w:r w:rsidR="00FD3051">
        <w:rPr>
          <w:rtl/>
        </w:rPr>
        <w:t>ا</w:t>
      </w:r>
      <w:r w:rsidR="00992664" w:rsidRPr="00020424">
        <w:rPr>
          <w:rtl/>
        </w:rPr>
        <w:t xml:space="preserve"> مكرّرة ؛ إذ المعنى : فلا فك رقبة ، ولا أطعم يتيماً أو مسكيناً. المسغبة والمقربة والمتربة ، مفعلات من سَغِبَ ، إذا جاء ؛ وقرب في النسب ؛ وقرب ، إذا افتقر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00BB5" w:rsidTr="00400BB5">
        <w:tc>
          <w:tcPr>
            <w:tcW w:w="4006" w:type="dxa"/>
          </w:tcPr>
          <w:p w:rsidR="00400BB5" w:rsidRDefault="00400BB5"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لطعام</w:t>
            </w:r>
            <w:r>
              <w:rPr>
                <w:rtl/>
              </w:rPr>
              <w:t xml:space="preserve"> ».</w:t>
            </w:r>
          </w:p>
        </w:tc>
        <w:tc>
          <w:tcPr>
            <w:tcW w:w="4006" w:type="dxa"/>
          </w:tcPr>
          <w:p w:rsidR="00400BB5" w:rsidRDefault="00400BB5" w:rsidP="00992664">
            <w:pPr>
              <w:pStyle w:val="libFootnote0"/>
              <w:rPr>
                <w:rtl/>
              </w:rPr>
            </w:pPr>
            <w:r>
              <w:rPr>
                <w:rtl/>
              </w:rPr>
              <w:t xml:space="preserve">(3). </w:t>
            </w:r>
            <w:r w:rsidRPr="00020424">
              <w:rPr>
                <w:rtl/>
              </w:rPr>
              <w:t>في « ى » : « المسكين واليتيم</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الزكاة ، باب فضل إطعام الطعام ، ذيل ح 6206 ، بسند آخر من قوله : « وقال</w:t>
      </w:r>
      <w:r w:rsidR="00992664" w:rsidRPr="00A05922">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فَلَا اقْتَحَمَ الْعَقَبَةَ </w:t>
      </w:r>
      <w:r w:rsidR="00992664" w:rsidRPr="00A05922">
        <w:rPr>
          <w:rStyle w:val="libFootnoteAlaemChar"/>
          <w:rtl/>
        </w:rPr>
        <w:t>)</w:t>
      </w:r>
      <w:r w:rsidR="00992664" w:rsidRPr="00020424">
        <w:rPr>
          <w:rtl/>
        </w:rPr>
        <w:t xml:space="preserve"> مع اختلاف يسير </w:t>
      </w:r>
      <w:r w:rsidR="006A1E61">
        <w:rPr>
          <w:rFonts w:hint="cs"/>
          <w:rtl/>
        </w:rPr>
        <w:t>.</w:t>
      </w:r>
      <w:r w:rsidR="00992664" w:rsidRPr="0012008A">
        <w:rPr>
          <w:rStyle w:val="libFootnoteBoldChar"/>
          <w:rtl/>
        </w:rPr>
        <w:t>الوافي</w:t>
      </w:r>
      <w:r w:rsidR="00992664" w:rsidRPr="00020424">
        <w:rPr>
          <w:rtl/>
        </w:rPr>
        <w:t xml:space="preserve"> ، ج 10 ، ص 391 ، ح 9750 ؛ </w:t>
      </w:r>
      <w:r w:rsidR="00992664" w:rsidRPr="0012008A">
        <w:rPr>
          <w:rStyle w:val="libFootnoteBoldChar"/>
          <w:rtl/>
        </w:rPr>
        <w:t>الوسائل</w:t>
      </w:r>
      <w:r w:rsidR="00992664" w:rsidRPr="00020424">
        <w:rPr>
          <w:rtl/>
        </w:rPr>
        <w:t xml:space="preserve"> ، ج 9 ، ص 376 ، ح 12278 ؛ </w:t>
      </w:r>
      <w:r w:rsidR="00992664" w:rsidRPr="00DE76B9">
        <w:rPr>
          <w:rStyle w:val="libFootnoteBoldChar"/>
          <w:rtl/>
        </w:rPr>
        <w:t>وفيه</w:t>
      </w:r>
      <w:r w:rsidR="00992664" w:rsidRPr="00020424">
        <w:rPr>
          <w:rtl/>
        </w:rPr>
        <w:t xml:space="preserve"> ، ج 1 ، ص 115 ، ح 288 ، من قوله : « فليتصدّق بيده » إلى قوله : </w:t>
      </w:r>
      <w:r w:rsidR="00992664" w:rsidRPr="00A05922">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مِثْقالَ ذَرَّةٍ شَرًّا يَرَهُ </w:t>
      </w:r>
      <w:r w:rsidR="00992664" w:rsidRPr="00A05922">
        <w:rPr>
          <w:rStyle w:val="libFootnoteAlaemChar"/>
          <w:rtl/>
        </w:rPr>
        <w:t>)</w:t>
      </w:r>
      <w:r w:rsidR="00992664" w:rsidRPr="00020424">
        <w:rPr>
          <w:rtl/>
        </w:rPr>
        <w:t>.</w:t>
      </w:r>
    </w:p>
    <w:tbl>
      <w:tblPr>
        <w:tblStyle w:val="TableGrid"/>
        <w:bidiVisual/>
        <w:tblW w:w="0" w:type="auto"/>
        <w:tblLook w:val="04A0" w:firstRow="1" w:lastRow="0" w:firstColumn="1" w:lastColumn="0" w:noHBand="0" w:noVBand="1"/>
      </w:tblPr>
      <w:tblGrid>
        <w:gridCol w:w="4006"/>
        <w:gridCol w:w="4006"/>
      </w:tblGrid>
      <w:tr w:rsidR="006A1E61" w:rsidTr="006A1E61">
        <w:tc>
          <w:tcPr>
            <w:tcW w:w="4006" w:type="dxa"/>
          </w:tcPr>
          <w:p w:rsidR="006A1E61" w:rsidRDefault="006A1E61" w:rsidP="00992664">
            <w:pPr>
              <w:pStyle w:val="libFootnote0"/>
              <w:rPr>
                <w:rtl/>
              </w:rPr>
            </w:pPr>
            <w:r>
              <w:rPr>
                <w:rtl/>
              </w:rPr>
              <w:t xml:space="preserve">(5). </w:t>
            </w:r>
            <w:r w:rsidRPr="00020424">
              <w:rPr>
                <w:rtl/>
              </w:rPr>
              <w:t>في « جن » :</w:t>
            </w:r>
            <w:r>
              <w:rPr>
                <w:rtl/>
              </w:rPr>
              <w:t xml:space="preserve"> - </w:t>
            </w:r>
            <w:r w:rsidRPr="00020424">
              <w:rPr>
                <w:rtl/>
              </w:rPr>
              <w:t>« ولو ببعض قبضة</w:t>
            </w:r>
            <w:r>
              <w:rPr>
                <w:rtl/>
              </w:rPr>
              <w:t xml:space="preserve"> ».</w:t>
            </w:r>
          </w:p>
        </w:tc>
        <w:tc>
          <w:tcPr>
            <w:tcW w:w="4006" w:type="dxa"/>
          </w:tcPr>
          <w:p w:rsidR="006A1E61" w:rsidRDefault="006A1E61" w:rsidP="00992664">
            <w:pPr>
              <w:pStyle w:val="libFootnote0"/>
              <w:rPr>
                <w:rtl/>
              </w:rPr>
            </w:pPr>
            <w:r>
              <w:rPr>
                <w:rtl/>
              </w:rPr>
              <w:t xml:space="preserve">(6). </w:t>
            </w:r>
            <w:r w:rsidRPr="00020424">
              <w:rPr>
                <w:rtl/>
              </w:rPr>
              <w:t>في « بر ، بف » : « ومن</w:t>
            </w:r>
            <w:r>
              <w:rPr>
                <w:rtl/>
              </w:rPr>
              <w:t xml:space="preserve"> ».</w:t>
            </w:r>
          </w:p>
        </w:tc>
      </w:tr>
      <w:tr w:rsidR="006A1E61" w:rsidTr="006A1E61">
        <w:tc>
          <w:tcPr>
            <w:tcW w:w="4006" w:type="dxa"/>
          </w:tcPr>
          <w:p w:rsidR="006A1E61" w:rsidRDefault="006A1E61" w:rsidP="00992664">
            <w:pPr>
              <w:pStyle w:val="libFootnote0"/>
              <w:rPr>
                <w:rtl/>
              </w:rPr>
            </w:pPr>
            <w:r>
              <w:rPr>
                <w:rtl/>
              </w:rPr>
              <w:t>(7). في «ى، بح، بخ، بر، بف،</w:t>
            </w:r>
            <w:r w:rsidRPr="00020424">
              <w:rPr>
                <w:rtl/>
              </w:rPr>
              <w:t>جن » : « فكلمة</w:t>
            </w:r>
            <w:r>
              <w:rPr>
                <w:rtl/>
              </w:rPr>
              <w:t xml:space="preserve"> ».</w:t>
            </w:r>
          </w:p>
        </w:tc>
        <w:tc>
          <w:tcPr>
            <w:tcW w:w="4006" w:type="dxa"/>
          </w:tcPr>
          <w:p w:rsidR="006A1E61" w:rsidRDefault="006A1E61" w:rsidP="00992664">
            <w:pPr>
              <w:pStyle w:val="libFootnote0"/>
              <w:rPr>
                <w:rtl/>
              </w:rPr>
            </w:pPr>
            <w:r>
              <w:rPr>
                <w:rtl/>
              </w:rPr>
              <w:t xml:space="preserve">(8). </w:t>
            </w:r>
            <w:r w:rsidR="00E60848">
              <w:rPr>
                <w:rtl/>
              </w:rPr>
              <w:t>في «بح»وحاشية«ظ،جن</w:t>
            </w:r>
            <w:r w:rsidRPr="00020424">
              <w:rPr>
                <w:rtl/>
              </w:rPr>
              <w:t xml:space="preserve">» </w:t>
            </w:r>
            <w:r w:rsidRPr="00EB1FD9">
              <w:rPr>
                <w:rStyle w:val="libFootnoteBoldChar"/>
                <w:rtl/>
              </w:rPr>
              <w:t>والوسائل</w:t>
            </w:r>
            <w:r w:rsidR="00E60848">
              <w:rPr>
                <w:rtl/>
              </w:rPr>
              <w:t xml:space="preserve"> :</w:t>
            </w:r>
            <w:r w:rsidRPr="00020424">
              <w:rPr>
                <w:rtl/>
              </w:rPr>
              <w:t>« طيّبة</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بث ، بح ، بر ، بف » وحاشية « ظ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لاقي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لله</w:t>
      </w:r>
      <w:r w:rsidR="00992664">
        <w:rPr>
          <w:rtl/>
        </w:rPr>
        <w:t xml:space="preserve"> ».</w:t>
      </w:r>
      <w:r w:rsidR="00992664" w:rsidRPr="00020424">
        <w:rPr>
          <w:rtl/>
        </w:rPr>
        <w:t xml:space="preserve"> وفي حاشية « بف » : « لله تعالى</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بخ » : « فقال</w:t>
      </w:r>
      <w:r w:rsidR="00992664">
        <w:rPr>
          <w:rtl/>
        </w:rPr>
        <w:t xml:space="preserve"> ».</w:t>
      </w:r>
      <w:r w:rsidR="00992664" w:rsidRPr="00020424">
        <w:rPr>
          <w:rtl/>
        </w:rPr>
        <w:t xml:space="preserve"> وفي « بر ، بف » </w:t>
      </w:r>
      <w:r w:rsidR="00992664" w:rsidRPr="00515444">
        <w:rPr>
          <w:rStyle w:val="libFootnoteBoldChar"/>
          <w:rtl/>
        </w:rPr>
        <w:t>والوافي</w:t>
      </w:r>
      <w:r w:rsidR="00992664" w:rsidRPr="00020424">
        <w:rPr>
          <w:rtl/>
        </w:rPr>
        <w:t xml:space="preserve"> : « فيقال</w:t>
      </w:r>
      <w:r w:rsidR="00992664">
        <w:rPr>
          <w:rtl/>
        </w:rPr>
        <w:t xml:space="preserve"> ».</w:t>
      </w:r>
      <w:r w:rsidR="00992664" w:rsidRPr="00020424">
        <w:rPr>
          <w:rtl/>
        </w:rPr>
        <w:t xml:space="preserve"> وفي « بث » : « يقال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بح ، جن » </w:t>
      </w:r>
      <w:r w:rsidR="00992664" w:rsidRPr="00EB1FD9">
        <w:rPr>
          <w:rStyle w:val="libFootnoteBoldChar"/>
          <w:rtl/>
        </w:rPr>
        <w:t>والوسائل</w:t>
      </w:r>
      <w:r w:rsidR="00992664" w:rsidRPr="00020424">
        <w:rPr>
          <w:rtl/>
        </w:rPr>
        <w:t xml:space="preserve"> : + « ألم أفعل بك</w:t>
      </w:r>
      <w:r w:rsidR="00992664">
        <w:rPr>
          <w:rtl/>
        </w:rPr>
        <w:t xml:space="preserve"> ».</w:t>
      </w:r>
      <w:r w:rsidR="00992664" w:rsidRPr="00020424">
        <w:rPr>
          <w:rtl/>
        </w:rPr>
        <w:t xml:space="preserve"> وفي « ى ، بث » : + « ألم أفعل بك ، ألم أفعل بك</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0768F">
      <w:pPr>
        <w:pStyle w:val="libNormal0"/>
        <w:rPr>
          <w:rtl/>
          <w:lang w:bidi="fa-IR"/>
        </w:rPr>
      </w:pPr>
      <w:r w:rsidRPr="00020424">
        <w:rPr>
          <w:rtl/>
          <w:lang w:bidi="fa-IR"/>
        </w:rPr>
        <w:lastRenderedPageBreak/>
        <w:t>سَمِيعاً بَصِيراً</w:t>
      </w:r>
      <w:r>
        <w:rPr>
          <w:rtl/>
          <w:lang w:bidi="fa-IR"/>
        </w:rPr>
        <w:t>؟ أَ</w:t>
      </w:r>
      <w:r w:rsidRPr="00020424">
        <w:rPr>
          <w:rtl/>
          <w:lang w:bidi="fa-IR"/>
        </w:rPr>
        <w:t xml:space="preserve">لَمْ أَجْعَلْ لَكَ مَالاً وَوَلَداً </w:t>
      </w:r>
      <w:r w:rsidRPr="00A91B96">
        <w:rPr>
          <w:rStyle w:val="libFootnotenumChar"/>
          <w:rtl/>
        </w:rPr>
        <w:t>(1)</w:t>
      </w:r>
      <w:r>
        <w:rPr>
          <w:rtl/>
          <w:lang w:bidi="fa-IR"/>
        </w:rPr>
        <w:t>؟</w:t>
      </w:r>
      <w:r w:rsidRPr="00020424">
        <w:rPr>
          <w:rtl/>
          <w:lang w:bidi="fa-IR"/>
        </w:rPr>
        <w:t xml:space="preserve"> فَيَقُولُ : بَلى ، فَيَقُولُ اللهُ </w:t>
      </w:r>
      <w:r w:rsidRPr="00A91B96">
        <w:rPr>
          <w:rStyle w:val="libFootnotenumChar"/>
          <w:rtl/>
        </w:rPr>
        <w:t>(2)</w:t>
      </w:r>
      <w:r w:rsidRPr="00020424">
        <w:rPr>
          <w:rtl/>
          <w:lang w:bidi="fa-IR"/>
        </w:rPr>
        <w:t xml:space="preserve"> تَبَارَكَ وَتَعَالى :</w:t>
      </w:r>
      <w:r>
        <w:rPr>
          <w:rFonts w:hint="cs"/>
          <w:rtl/>
          <w:lang w:bidi="fa-IR"/>
        </w:rPr>
        <w:t xml:space="preserve"> </w:t>
      </w:r>
      <w:r w:rsidRPr="00020424">
        <w:rPr>
          <w:rtl/>
          <w:lang w:bidi="fa-IR"/>
        </w:rPr>
        <w:t>فَانْظُرْ مَا قَدَّمْتَ لِنَفْسِكَ</w:t>
      </w:r>
      <w:r>
        <w:rPr>
          <w:rtl/>
          <w:lang w:bidi="fa-IR"/>
        </w:rPr>
        <w:t>؟</w:t>
      </w:r>
      <w:r w:rsidRPr="00020424">
        <w:rPr>
          <w:rtl/>
          <w:lang w:bidi="fa-IR"/>
        </w:rPr>
        <w:t xml:space="preserve"> » قَالَ : « فَيَنْظُرُ قُدَّامَهُ وَخَلْفَهُ وَعَنْ يَمِينِهِ وَعَنْ شِمَالِهِ ، فَلَا يَجِدُ شَيْئاً يَقِي بِهِ وَجْهَهُ مِنَ النَّارِ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163" w:name="_Toc345172771"/>
      <w:bookmarkStart w:id="164" w:name="_Toc464562587"/>
      <w:bookmarkStart w:id="165" w:name="_Toc44599890"/>
      <w:r w:rsidRPr="00020424">
        <w:rPr>
          <w:rtl/>
          <w:lang w:bidi="fa-IR"/>
        </w:rPr>
        <w:t>49</w:t>
      </w:r>
      <w:r>
        <w:rPr>
          <w:rtl/>
          <w:lang w:bidi="fa-IR"/>
        </w:rPr>
        <w:t xml:space="preserve"> </w:t>
      </w:r>
      <w:r w:rsidR="009B673F">
        <w:rPr>
          <w:rtl/>
          <w:lang w:bidi="fa-IR"/>
        </w:rPr>
        <w:t>-</w:t>
      </w:r>
      <w:r>
        <w:rPr>
          <w:rtl/>
          <w:lang w:bidi="fa-IR"/>
        </w:rPr>
        <w:t xml:space="preserve"> </w:t>
      </w:r>
      <w:r w:rsidRPr="00020424">
        <w:rPr>
          <w:rtl/>
          <w:lang w:bidi="fa-IR"/>
        </w:rPr>
        <w:t>بَابُ أَنَّ الصَّدَقَةَ تَدْفَعُ الْبَلَاءَ‌</w:t>
      </w:r>
      <w:bookmarkEnd w:id="163"/>
      <w:bookmarkEnd w:id="164"/>
      <w:bookmarkEnd w:id="165"/>
    </w:p>
    <w:p w:rsidR="00992664" w:rsidRPr="00020424" w:rsidRDefault="00992664" w:rsidP="00992664">
      <w:pPr>
        <w:pStyle w:val="libNormal"/>
        <w:rPr>
          <w:rtl/>
          <w:lang w:bidi="fa-IR"/>
        </w:rPr>
      </w:pPr>
      <w:r w:rsidRPr="00717768">
        <w:rPr>
          <w:rtl/>
        </w:rPr>
        <w:t>6011</w:t>
      </w:r>
      <w:r w:rsidRPr="001155DE">
        <w:rPr>
          <w:rStyle w:val="libBold2Char"/>
          <w:rtl/>
        </w:rPr>
        <w:t xml:space="preserve"> / 1.</w:t>
      </w:r>
      <w:r w:rsidRPr="00020424">
        <w:rPr>
          <w:rtl/>
          <w:lang w:bidi="fa-IR"/>
        </w:rPr>
        <w:t xml:space="preserve"> عِدَّةٌ مِنْ أَصْحَابِنَا ، عَنْ سَهْلِ بْنِ زِيَادٍ ، عَنِ الْحَسَنِ بْنِ مَحْبُوبٍ </w:t>
      </w:r>
      <w:r w:rsidRPr="00A91B96">
        <w:rPr>
          <w:rStyle w:val="libFootnotenumChar"/>
          <w:rtl/>
        </w:rPr>
        <w:t>(4)</w:t>
      </w:r>
      <w:r w:rsidR="0050768F">
        <w:rPr>
          <w:rtl/>
          <w:lang w:bidi="fa-IR"/>
        </w:rPr>
        <w:t xml:space="preserve"> ، عَنْ أَبِي وَل</w:t>
      </w:r>
      <w:r w:rsidR="001E5709">
        <w:rPr>
          <w:rFonts w:hint="cs"/>
          <w:rtl/>
          <w:lang w:bidi="fa-IR"/>
        </w:rPr>
        <w:t>َّ</w:t>
      </w:r>
      <w:r w:rsidR="0050768F">
        <w:rPr>
          <w:rtl/>
          <w:lang w:bidi="fa-IR"/>
        </w:rPr>
        <w:t>ا</w:t>
      </w:r>
      <w:r w:rsidRPr="00020424">
        <w:rPr>
          <w:rtl/>
          <w:lang w:bidi="fa-IR"/>
        </w:rPr>
        <w:t>دٍ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بَكِّرُوا بِالصَّدَقَةِ ، وَارْغَبُوا فِيهَا ، فَمَا مِنْ مُؤْمِنٍ يَتَصَدَّقُ بِصَدَقَةٍ يُرِيدُ بِهَا مَا عِنْدَ اللهِ لِيَدْفَعَ اللهُ بِهَا عَنْهُ شَرَّ مَا يَنْزِلُ </w:t>
      </w:r>
      <w:r w:rsidRPr="00A91B96">
        <w:rPr>
          <w:rStyle w:val="libFootnotenumChar"/>
          <w:rtl/>
        </w:rPr>
        <w:t>(5)</w:t>
      </w:r>
      <w:r w:rsidRPr="00020424">
        <w:rPr>
          <w:rtl/>
          <w:lang w:bidi="fa-IR"/>
        </w:rPr>
        <w:t xml:space="preserve"> مِنَ السَّمَاءِ إِلَى الْأ</w:t>
      </w:r>
      <w:r w:rsidR="008A76BA">
        <w:rPr>
          <w:rtl/>
          <w:lang w:bidi="fa-IR"/>
        </w:rPr>
        <w:t>َرْضِ فِي ذلِكَ الْيَوْمِ إِل</w:t>
      </w:r>
      <w:r w:rsidR="008A76BA">
        <w:rPr>
          <w:rFonts w:hint="cs"/>
          <w:rtl/>
          <w:lang w:bidi="fa-IR"/>
        </w:rPr>
        <w:t>َّ</w:t>
      </w:r>
      <w:r w:rsidR="008A76BA">
        <w:rPr>
          <w:rtl/>
          <w:lang w:bidi="fa-IR"/>
        </w:rPr>
        <w:t>ا</w:t>
      </w:r>
      <w:r w:rsidRPr="00020424">
        <w:rPr>
          <w:rtl/>
          <w:lang w:bidi="fa-IR"/>
        </w:rPr>
        <w:t xml:space="preserve"> وَقَاهُ اللهُ شَرَّ مَا يَنْزِلُ </w:t>
      </w:r>
      <w:r w:rsidRPr="00A91B96">
        <w:rPr>
          <w:rStyle w:val="libFootnotenumChar"/>
          <w:rtl/>
        </w:rPr>
        <w:t>(6)</w:t>
      </w:r>
      <w:r w:rsidRPr="00020424">
        <w:rPr>
          <w:rtl/>
          <w:lang w:bidi="fa-IR"/>
        </w:rPr>
        <w:t xml:space="preserve"> مِنَ السَّمَاءِ إِلَى الْأَرْضِ </w:t>
      </w:r>
      <w:r w:rsidRPr="00A91B96">
        <w:rPr>
          <w:rStyle w:val="libFootnotenumChar"/>
          <w:rtl/>
        </w:rPr>
        <w:t>(7)</w:t>
      </w:r>
      <w:r w:rsidRPr="00020424">
        <w:rPr>
          <w:rtl/>
          <w:lang w:bidi="fa-IR"/>
        </w:rPr>
        <w:t xml:space="preserve"> فِي ذلِكَ الْيَوْمِ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717768">
        <w:rPr>
          <w:rtl/>
        </w:rPr>
        <w:t>6012</w:t>
      </w:r>
      <w:r w:rsidRPr="001155DE">
        <w:rPr>
          <w:rStyle w:val="libBold2Char"/>
          <w:rtl/>
        </w:rPr>
        <w:t xml:space="preserve"> / 2.</w:t>
      </w:r>
      <w:r w:rsidRPr="00020424">
        <w:rPr>
          <w:rtl/>
          <w:lang w:bidi="fa-IR"/>
        </w:rPr>
        <w:t xml:space="preserve"> عَلِيُّ بْنُ إِبْرَاهِيمَ ، عَنْ أَبِيهِ ، عَنِ النَّوْفَلِيِّ ، عَنِ السَّكُونِيِّ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02B51" w:rsidTr="00C02B51">
        <w:tc>
          <w:tcPr>
            <w:tcW w:w="4006" w:type="dxa"/>
          </w:tcPr>
          <w:p w:rsidR="00C02B51" w:rsidRDefault="00C02B51" w:rsidP="00992664">
            <w:pPr>
              <w:pStyle w:val="libFootnote0"/>
              <w:rPr>
                <w:rtl/>
              </w:rPr>
            </w:pPr>
            <w:r>
              <w:rPr>
                <w:rtl/>
              </w:rPr>
              <w:t xml:space="preserve">(1). </w:t>
            </w:r>
            <w:r w:rsidRPr="00020424">
              <w:rPr>
                <w:rtl/>
              </w:rPr>
              <w:t>في « بح ، بر » :</w:t>
            </w:r>
            <w:r>
              <w:rPr>
                <w:rtl/>
              </w:rPr>
              <w:t xml:space="preserve"> - </w:t>
            </w:r>
            <w:r w:rsidRPr="00020424">
              <w:rPr>
                <w:rtl/>
              </w:rPr>
              <w:t>« وولداً</w:t>
            </w:r>
            <w:r>
              <w:rPr>
                <w:rtl/>
              </w:rPr>
              <w:t xml:space="preserve"> ».</w:t>
            </w:r>
          </w:p>
        </w:tc>
        <w:tc>
          <w:tcPr>
            <w:tcW w:w="4006" w:type="dxa"/>
          </w:tcPr>
          <w:p w:rsidR="00C02B51" w:rsidRDefault="00C02B51" w:rsidP="00992664">
            <w:pPr>
              <w:pStyle w:val="libFootnote0"/>
              <w:rPr>
                <w:rtl/>
              </w:rPr>
            </w:pPr>
            <w:r>
              <w:rPr>
                <w:rtl/>
              </w:rPr>
              <w:t xml:space="preserve">(2). </w:t>
            </w:r>
            <w:r w:rsidRPr="00020424">
              <w:rPr>
                <w:rtl/>
              </w:rPr>
              <w:t>في « جن » :</w:t>
            </w:r>
            <w:r>
              <w:rPr>
                <w:rtl/>
              </w:rPr>
              <w:t xml:space="preserve"> - </w:t>
            </w:r>
            <w:r w:rsidRPr="00020424">
              <w:rPr>
                <w:rtl/>
              </w:rPr>
              <w:t>« الله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395 ، ح 9757 ؛ </w:t>
      </w:r>
      <w:r w:rsidR="00992664" w:rsidRPr="0012008A">
        <w:rPr>
          <w:rStyle w:val="libFootnoteBoldChar"/>
          <w:rtl/>
        </w:rPr>
        <w:t>الوسائل</w:t>
      </w:r>
      <w:r w:rsidR="00992664" w:rsidRPr="00020424">
        <w:rPr>
          <w:rtl/>
        </w:rPr>
        <w:t xml:space="preserve"> ، ج 9 ، ص 379 ، ح 12285.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992664" w:rsidP="00353CF5">
      <w:pPr>
        <w:pStyle w:val="libFootnote0"/>
        <w:rPr>
          <w:rtl/>
          <w:lang w:bidi="fa-IR"/>
        </w:rPr>
      </w:pPr>
      <w:r w:rsidRPr="00353CF5">
        <w:rPr>
          <w:rtl/>
        </w:rPr>
        <w:t xml:space="preserve">ثمّ إنّ في </w:t>
      </w:r>
      <w:r w:rsidRPr="0012008A">
        <w:rPr>
          <w:rStyle w:val="libFootnoteBoldChar"/>
          <w:rtl/>
        </w:rPr>
        <w:t>الوسائل</w:t>
      </w:r>
      <w:r w:rsidRPr="00353CF5">
        <w:rPr>
          <w:rtl/>
        </w:rPr>
        <w:t xml:space="preserve"> : + « عن أبي أ</w:t>
      </w:r>
      <w:r w:rsidR="00353CF5">
        <w:rPr>
          <w:rtl/>
        </w:rPr>
        <w:t>يّوب » لكنّه سهو ؛ فإنّ أبا ول</w:t>
      </w:r>
      <w:r w:rsidR="00353CF5">
        <w:rPr>
          <w:rFonts w:hint="cs"/>
          <w:rtl/>
        </w:rPr>
        <w:t>ّ</w:t>
      </w:r>
      <w:r w:rsidR="00353CF5">
        <w:rPr>
          <w:rtl/>
        </w:rPr>
        <w:t>اد هذا ، هو حفص أبو ول</w:t>
      </w:r>
      <w:r w:rsidR="00353CF5">
        <w:rPr>
          <w:rFonts w:hint="cs"/>
          <w:rtl/>
        </w:rPr>
        <w:t>ّ</w:t>
      </w:r>
      <w:r w:rsidR="00353CF5">
        <w:rPr>
          <w:rtl/>
        </w:rPr>
        <w:t>ا</w:t>
      </w:r>
      <w:r w:rsidRPr="00353CF5">
        <w:rPr>
          <w:rtl/>
        </w:rPr>
        <w:t xml:space="preserve">د الحنّاط ، روى الحسن بن محبوب كتابه ، وأكثر من الرواية عنه في الأسناد. راجع : </w:t>
      </w:r>
      <w:r w:rsidRPr="00DE76B9">
        <w:rPr>
          <w:rStyle w:val="libFootnoteBoldChar"/>
          <w:rtl/>
        </w:rPr>
        <w:t>رجال النجاشي</w:t>
      </w:r>
      <w:r w:rsidRPr="00353CF5">
        <w:rPr>
          <w:rtl/>
        </w:rPr>
        <w:t xml:space="preserve"> ، ص 135 ، الرقم 347 ؛ </w:t>
      </w:r>
      <w:r w:rsidRPr="00D530ED">
        <w:rPr>
          <w:rStyle w:val="libFootnoteBoldChar"/>
          <w:rtl/>
        </w:rPr>
        <w:t>الفهرست للطوسي</w:t>
      </w:r>
      <w:r w:rsidRPr="00353CF5">
        <w:rPr>
          <w:rtl/>
        </w:rPr>
        <w:t xml:space="preserve"> ، ص 159 ، الرقم 245 ؛ </w:t>
      </w:r>
      <w:r w:rsidRPr="00DE76B9">
        <w:rPr>
          <w:rStyle w:val="libFootnoteBoldChar"/>
          <w:rtl/>
        </w:rPr>
        <w:t>معجم رجال الحديث</w:t>
      </w:r>
      <w:r w:rsidRPr="00353CF5">
        <w:rPr>
          <w:rtl/>
        </w:rPr>
        <w:t xml:space="preserve"> ، ج 5 ، ص 337 </w:t>
      </w:r>
      <w:r w:rsidR="009B673F" w:rsidRPr="00353CF5">
        <w:rPr>
          <w:rtl/>
        </w:rPr>
        <w:t>-</w:t>
      </w:r>
      <w:r w:rsidRPr="00353CF5">
        <w:rPr>
          <w:rtl/>
        </w:rPr>
        <w:t xml:space="preserve"> 339 ؛ وج 23 ، ص 242 </w:t>
      </w:r>
      <w:r w:rsidR="009B673F" w:rsidRPr="00353CF5">
        <w:rPr>
          <w:rtl/>
        </w:rPr>
        <w:t>-</w:t>
      </w:r>
      <w:r w:rsidRPr="00353CF5">
        <w:rPr>
          <w:rtl/>
        </w:rPr>
        <w:t xml:space="preserve"> 244.</w:t>
      </w:r>
    </w:p>
    <w:p w:rsidR="00992664" w:rsidRPr="00020424" w:rsidRDefault="00992664" w:rsidP="00353CF5">
      <w:pPr>
        <w:pStyle w:val="libFootnote0"/>
        <w:rPr>
          <w:rtl/>
          <w:lang w:bidi="fa-IR"/>
        </w:rPr>
      </w:pPr>
      <w:r w:rsidRPr="00D82B22">
        <w:rPr>
          <w:rtl/>
        </w:rPr>
        <w:t>ويؤكّد ذلك أنّا لم نجد توسّط أبي أيّوب</w:t>
      </w:r>
      <w:r>
        <w:rPr>
          <w:rtl/>
        </w:rPr>
        <w:t xml:space="preserve"> </w:t>
      </w:r>
      <w:r w:rsidR="009B673F">
        <w:rPr>
          <w:rtl/>
        </w:rPr>
        <w:t>-</w:t>
      </w:r>
      <w:r>
        <w:rPr>
          <w:rtl/>
        </w:rPr>
        <w:t xml:space="preserve"> </w:t>
      </w:r>
      <w:r w:rsidRPr="00D82B22">
        <w:rPr>
          <w:rtl/>
        </w:rPr>
        <w:t>بعناوينه المختلفة</w:t>
      </w:r>
      <w:r>
        <w:rPr>
          <w:rtl/>
        </w:rPr>
        <w:t xml:space="preserve"> </w:t>
      </w:r>
      <w:r w:rsidR="009B673F">
        <w:rPr>
          <w:rtl/>
        </w:rPr>
        <w:t>-</w:t>
      </w:r>
      <w:r>
        <w:rPr>
          <w:rtl/>
        </w:rPr>
        <w:t xml:space="preserve"> </w:t>
      </w:r>
      <w:r w:rsidRPr="00D82B22">
        <w:rPr>
          <w:rtl/>
        </w:rPr>
        <w:t>بين ابن محبوب وبين أبي</w:t>
      </w:r>
      <w:r w:rsidR="003C1CA8">
        <w:rPr>
          <w:rtl/>
        </w:rPr>
        <w:t xml:space="preserve"> ول</w:t>
      </w:r>
      <w:r w:rsidR="003C1CA8">
        <w:rPr>
          <w:rFonts w:hint="cs"/>
          <w:rtl/>
        </w:rPr>
        <w:t>ّ</w:t>
      </w:r>
      <w:r w:rsidR="003C1CA8">
        <w:rPr>
          <w:rtl/>
        </w:rPr>
        <w:t>ا</w:t>
      </w:r>
      <w:r w:rsidRPr="00D82B22">
        <w:rPr>
          <w:rtl/>
        </w:rPr>
        <w:t>د في موضع.</w:t>
      </w:r>
    </w:p>
    <w:tbl>
      <w:tblPr>
        <w:tblStyle w:val="TableGrid"/>
        <w:bidiVisual/>
        <w:tblW w:w="0" w:type="auto"/>
        <w:tblLook w:val="04A0" w:firstRow="1" w:lastRow="0" w:firstColumn="1" w:lastColumn="0" w:noHBand="0" w:noVBand="1"/>
      </w:tblPr>
      <w:tblGrid>
        <w:gridCol w:w="4006"/>
        <w:gridCol w:w="4006"/>
      </w:tblGrid>
      <w:tr w:rsidR="003C1CA8" w:rsidTr="003C1CA8">
        <w:tc>
          <w:tcPr>
            <w:tcW w:w="4006" w:type="dxa"/>
          </w:tcPr>
          <w:p w:rsidR="003C1CA8" w:rsidRDefault="003C1CA8" w:rsidP="00992664">
            <w:pPr>
              <w:pStyle w:val="libFootnote0"/>
              <w:rPr>
                <w:rtl/>
              </w:rPr>
            </w:pPr>
            <w:r>
              <w:rPr>
                <w:rtl/>
              </w:rPr>
              <w:t xml:space="preserve">(5). </w:t>
            </w:r>
            <w:r w:rsidRPr="00020424">
              <w:rPr>
                <w:rtl/>
              </w:rPr>
              <w:t>في « بر » : « ما نزل</w:t>
            </w:r>
            <w:r>
              <w:rPr>
                <w:rtl/>
              </w:rPr>
              <w:t xml:space="preserve"> ».</w:t>
            </w:r>
          </w:p>
        </w:tc>
        <w:tc>
          <w:tcPr>
            <w:tcW w:w="4006" w:type="dxa"/>
          </w:tcPr>
          <w:p w:rsidR="003C1CA8" w:rsidRDefault="003C1CA8" w:rsidP="00992664">
            <w:pPr>
              <w:pStyle w:val="libFootnote0"/>
              <w:rPr>
                <w:rtl/>
              </w:rPr>
            </w:pPr>
            <w:r>
              <w:rPr>
                <w:rtl/>
              </w:rPr>
              <w:t xml:space="preserve">(6). </w:t>
            </w:r>
            <w:r w:rsidRPr="00020424">
              <w:rPr>
                <w:rtl/>
              </w:rPr>
              <w:t>في « بر ، بف » : « ما نزل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بف » :</w:t>
      </w:r>
      <w:r w:rsidR="00992664">
        <w:rPr>
          <w:rtl/>
        </w:rPr>
        <w:t xml:space="preserve"> </w:t>
      </w:r>
      <w:r w:rsidR="009B673F">
        <w:rPr>
          <w:rtl/>
        </w:rPr>
        <w:t>-</w:t>
      </w:r>
      <w:r w:rsidR="00992664">
        <w:rPr>
          <w:rtl/>
        </w:rPr>
        <w:t xml:space="preserve"> </w:t>
      </w:r>
      <w:r w:rsidR="00992664" w:rsidRPr="00020424">
        <w:rPr>
          <w:rtl/>
        </w:rPr>
        <w:t>« إلى الأرض</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 السماء إلى الأرض</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بخ » :</w:t>
      </w:r>
      <w:r w:rsidR="00992664">
        <w:rPr>
          <w:rtl/>
        </w:rPr>
        <w:t xml:space="preserve"> </w:t>
      </w:r>
      <w:r w:rsidR="009B673F">
        <w:rPr>
          <w:rtl/>
        </w:rPr>
        <w:t>-</w:t>
      </w:r>
      <w:r w:rsidR="00992664">
        <w:rPr>
          <w:rtl/>
        </w:rPr>
        <w:t xml:space="preserve"> </w:t>
      </w:r>
      <w:r w:rsidR="00154BB6">
        <w:rPr>
          <w:rtl/>
        </w:rPr>
        <w:t>« إل</w:t>
      </w:r>
      <w:r w:rsidR="00154BB6">
        <w:rPr>
          <w:rFonts w:hint="cs"/>
          <w:rtl/>
        </w:rPr>
        <w:t>ّ</w:t>
      </w:r>
      <w:r w:rsidR="00154BB6">
        <w:rPr>
          <w:rtl/>
        </w:rPr>
        <w:t>ا</w:t>
      </w:r>
      <w:r w:rsidR="00992664" w:rsidRPr="00020424">
        <w:rPr>
          <w:rtl/>
        </w:rPr>
        <w:t xml:space="preserve"> وقاه الله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ذلك اليوم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67 ، ح 1733 ، مرسلاً ، مع اختلاف يسير وزيادة في آخره </w:t>
      </w:r>
      <w:r w:rsidR="00154C61">
        <w:rPr>
          <w:rFonts w:hint="cs"/>
          <w:rtl/>
        </w:rPr>
        <w:t>.</w:t>
      </w:r>
      <w:r w:rsidR="00992664" w:rsidRPr="0012008A">
        <w:rPr>
          <w:rStyle w:val="libFootnoteBoldChar"/>
          <w:rtl/>
        </w:rPr>
        <w:t>الوافي</w:t>
      </w:r>
      <w:r w:rsidR="00992664" w:rsidRPr="00020424">
        <w:rPr>
          <w:rtl/>
        </w:rPr>
        <w:t xml:space="preserve"> ، ج 10 ، ص 390 ، ح 9744 ؛ </w:t>
      </w:r>
      <w:r w:rsidR="00992664" w:rsidRPr="0012008A">
        <w:rPr>
          <w:rStyle w:val="libFootnoteBoldChar"/>
          <w:rtl/>
        </w:rPr>
        <w:t>الوسائل</w:t>
      </w:r>
      <w:r w:rsidR="00992664" w:rsidRPr="00020424">
        <w:rPr>
          <w:rtl/>
        </w:rPr>
        <w:t xml:space="preserve"> ، ج 9 ، ص 384 ، ح 12295.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عَنْ جَعْفَرٍ ، عَنْ آبَائِهِ </w:t>
      </w:r>
      <w:r w:rsidRPr="00005A81">
        <w:rPr>
          <w:rStyle w:val="libAlaemChar"/>
          <w:rtl/>
        </w:rPr>
        <w:t>عليهم‌السلام</w:t>
      </w:r>
      <w:r w:rsidRPr="00020424">
        <w:rPr>
          <w:rtl/>
          <w:lang w:bidi="fa-IR"/>
        </w:rPr>
        <w:t xml:space="preserve"> </w:t>
      </w:r>
      <w:r w:rsidRPr="00A91B96">
        <w:rPr>
          <w:rStyle w:val="libFootnotenumChar"/>
          <w:rtl/>
        </w:rPr>
        <w:t>(1)</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لَا</w:t>
      </w:r>
      <w:r>
        <w:rPr>
          <w:rFonts w:hint="cs"/>
          <w:rtl/>
          <w:lang w:bidi="fa-IR"/>
        </w:rPr>
        <w:t xml:space="preserve"> </w:t>
      </w:r>
      <w:r w:rsidR="00154C61">
        <w:rPr>
          <w:rtl/>
          <w:lang w:bidi="fa-IR"/>
        </w:rPr>
        <w:t>إِلَهَ إِل</w:t>
      </w:r>
      <w:r w:rsidR="00154C61">
        <w:rPr>
          <w:rFonts w:hint="cs"/>
          <w:rtl/>
          <w:lang w:bidi="fa-IR"/>
        </w:rPr>
        <w:t>َّ</w:t>
      </w:r>
      <w:r w:rsidR="00154C61">
        <w:rPr>
          <w:rtl/>
          <w:lang w:bidi="fa-IR"/>
        </w:rPr>
        <w:t>ا</w:t>
      </w:r>
      <w:r w:rsidRPr="00020424">
        <w:rPr>
          <w:rtl/>
          <w:lang w:bidi="fa-IR"/>
        </w:rPr>
        <w:t xml:space="preserve"> هُوَ</w:t>
      </w:r>
      <w:r>
        <w:rPr>
          <w:rtl/>
          <w:lang w:bidi="fa-IR"/>
        </w:rPr>
        <w:t xml:space="preserve"> </w:t>
      </w:r>
      <w:r w:rsidR="009B673F">
        <w:rPr>
          <w:rtl/>
          <w:lang w:bidi="fa-IR"/>
        </w:rPr>
        <w:t>-</w:t>
      </w:r>
      <w:r>
        <w:rPr>
          <w:rtl/>
          <w:lang w:bidi="fa-IR"/>
        </w:rPr>
        <w:t xml:space="preserve"> </w:t>
      </w:r>
      <w:r w:rsidRPr="00020424">
        <w:rPr>
          <w:rtl/>
          <w:lang w:bidi="fa-IR"/>
        </w:rPr>
        <w:t xml:space="preserve">لَيَدْفَعُ بِالصَّدَقَةِ الدَّاءَ وَالدُّبَيْلَةَ </w:t>
      </w:r>
      <w:r w:rsidRPr="00A91B96">
        <w:rPr>
          <w:rStyle w:val="libFootnotenumChar"/>
          <w:rtl/>
        </w:rPr>
        <w:t>(2)</w:t>
      </w:r>
      <w:r w:rsidRPr="00020424">
        <w:rPr>
          <w:rtl/>
          <w:lang w:bidi="fa-IR"/>
        </w:rPr>
        <w:t xml:space="preserve"> وَالْحَرَقَ وَالْغَرَقَ </w:t>
      </w:r>
      <w:r w:rsidRPr="00A91B96">
        <w:rPr>
          <w:rStyle w:val="libFootnotenumChar"/>
          <w:rtl/>
        </w:rPr>
        <w:t>(3)</w:t>
      </w:r>
      <w:r w:rsidRPr="00020424">
        <w:rPr>
          <w:rtl/>
          <w:lang w:bidi="fa-IR"/>
        </w:rPr>
        <w:t xml:space="preserve"> وَالْهَدْمَ وَالْجُنُونَ ، وَعَدَّ </w:t>
      </w:r>
      <w:r w:rsidRPr="00A91B96">
        <w:rPr>
          <w:rStyle w:val="libFootnotenumChar"/>
          <w:rtl/>
        </w:rPr>
        <w:t>(4)</w:t>
      </w:r>
      <w:r w:rsidRPr="00020424">
        <w:rPr>
          <w:rtl/>
          <w:lang w:bidi="fa-IR"/>
        </w:rPr>
        <w:t xml:space="preserve"> </w:t>
      </w:r>
      <w:r w:rsidR="00B42914" w:rsidRPr="00B42914">
        <w:rPr>
          <w:rStyle w:val="libAlaemChar"/>
          <w:rtl/>
        </w:rPr>
        <w:t>صلى‌الله‌عليه‌وآله‌</w:t>
      </w:r>
      <w:r w:rsidRPr="00020424">
        <w:rPr>
          <w:rtl/>
          <w:lang w:bidi="fa-IR"/>
        </w:rPr>
        <w:t xml:space="preserve"> سَبْعِينَ بَاباً مِنَ السُّوءِ</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17768">
        <w:rPr>
          <w:rtl/>
        </w:rPr>
        <w:t>6013</w:t>
      </w:r>
      <w:r w:rsidRPr="001155DE">
        <w:rPr>
          <w:rStyle w:val="libBold2Char"/>
          <w:rtl/>
        </w:rPr>
        <w:t xml:space="preserve"> / 3.</w:t>
      </w:r>
      <w:r w:rsidRPr="00020424">
        <w:rPr>
          <w:rtl/>
          <w:lang w:bidi="fa-IR"/>
        </w:rPr>
        <w:t xml:space="preserve"> عَلِيُّ بْنُ مُحَمَّدٍ </w:t>
      </w:r>
      <w:r w:rsidRPr="00A91B96">
        <w:rPr>
          <w:rStyle w:val="libFootnotenumChar"/>
          <w:rtl/>
        </w:rPr>
        <w:t>(6)</w:t>
      </w:r>
      <w:r w:rsidRPr="00020424">
        <w:rPr>
          <w:rtl/>
          <w:lang w:bidi="fa-IR"/>
        </w:rPr>
        <w:t xml:space="preserve"> ، عَنْ أَحْمَدَ بْنِ مُحَمَّدٍ ، عَنْ مُحَمَّدِ بْنِ عَلِيٍّ ، عَنْ عَبْدِ الرَّحْمنِ بْنِ مُحَمَّدٍ الْأَسَدِيِّ ، عَنْ سَالِمِ بْنِ مُكْرَمٍ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مَرَّ يَهُودِيٌّ بِالنَّبِيِّ </w:t>
      </w:r>
      <w:r w:rsidR="00B42914" w:rsidRPr="00B42914">
        <w:rPr>
          <w:rStyle w:val="libAlaemChar"/>
          <w:rtl/>
        </w:rPr>
        <w:t>صلى‌الله‌عليه‌وآله‌</w:t>
      </w:r>
      <w:r w:rsidRPr="00020424">
        <w:rPr>
          <w:rtl/>
          <w:lang w:bidi="fa-IR"/>
        </w:rPr>
        <w:t xml:space="preserve"> ، فَقَالَ : السَّامُ عَلَيْكَ ، فَقَالَ </w:t>
      </w:r>
      <w:r w:rsidRPr="00A91B96">
        <w:rPr>
          <w:rStyle w:val="libFootnotenumChar"/>
          <w:rtl/>
        </w:rPr>
        <w:t>(7)</w:t>
      </w:r>
      <w:r w:rsidRPr="00020424">
        <w:rPr>
          <w:rtl/>
          <w:lang w:bidi="fa-IR"/>
        </w:rPr>
        <w:t xml:space="preserve"> رَسُولُ اللهِ </w:t>
      </w:r>
      <w:r w:rsidRPr="00A91B96">
        <w:rPr>
          <w:rStyle w:val="libFootnotenumChar"/>
          <w:rtl/>
        </w:rPr>
        <w:t>(8)</w:t>
      </w:r>
      <w:r w:rsidRPr="00020424">
        <w:rPr>
          <w:rtl/>
          <w:lang w:bidi="fa-IR"/>
        </w:rPr>
        <w:t xml:space="preserve"> </w:t>
      </w:r>
      <w:r w:rsidR="00B42914" w:rsidRPr="00B42914">
        <w:rPr>
          <w:rStyle w:val="libAlaemChar"/>
          <w:rtl/>
        </w:rPr>
        <w:t>صلى‌الله‌عليه‌وآله‌</w:t>
      </w:r>
      <w:r w:rsidRPr="00020424">
        <w:rPr>
          <w:rtl/>
          <w:lang w:bidi="fa-IR"/>
        </w:rPr>
        <w:t xml:space="preserve"> : عَلَيْكَ ، فَقَالَ أَصْحَابُهُ : إِنَّمَا سَلَّمَ عَلَيْكَ بِالْمَوْتِ ، فَقَالَ </w:t>
      </w:r>
      <w:r w:rsidRPr="00A91B96">
        <w:rPr>
          <w:rStyle w:val="libFootnotenumChar"/>
          <w:rtl/>
        </w:rPr>
        <w:t>(9)</w:t>
      </w:r>
      <w:r w:rsidRPr="00020424">
        <w:rPr>
          <w:rtl/>
          <w:lang w:bidi="fa-IR"/>
        </w:rPr>
        <w:t xml:space="preserve"> : الْمَوْتُ عَلَيْكَ</w:t>
      </w:r>
      <w:r>
        <w:rPr>
          <w:rFonts w:hint="cs"/>
          <w:rtl/>
          <w:lang w:bidi="fa-IR"/>
        </w:rPr>
        <w:t xml:space="preserve">. </w:t>
      </w:r>
      <w:r w:rsidRPr="00020424">
        <w:rPr>
          <w:rtl/>
          <w:lang w:bidi="fa-IR"/>
        </w:rPr>
        <w:t xml:space="preserve">قَالَ </w:t>
      </w:r>
      <w:r w:rsidRPr="00A91B96">
        <w:rPr>
          <w:rStyle w:val="libFootnotenumChar"/>
          <w:rtl/>
        </w:rPr>
        <w:t>(10)</w:t>
      </w:r>
      <w:r w:rsidRPr="00020424">
        <w:rPr>
          <w:rtl/>
          <w:lang w:bidi="fa-IR"/>
        </w:rPr>
        <w:t xml:space="preserve"> النَّبِيُّ </w:t>
      </w:r>
      <w:r w:rsidR="00B42914" w:rsidRPr="00B42914">
        <w:rPr>
          <w:rStyle w:val="libAlaemChar"/>
          <w:rtl/>
        </w:rPr>
        <w:t>صلى‌الله‌عليه‌وآله‌</w:t>
      </w:r>
      <w:r w:rsidRPr="00020424">
        <w:rPr>
          <w:rtl/>
          <w:lang w:bidi="fa-IR"/>
        </w:rPr>
        <w:t xml:space="preserve"> : وَكَذلِكَ رَدَدْتُ ، ثُمَّ قَالَ النَّبِيُّ </w:t>
      </w:r>
      <w:r w:rsidR="00B42914" w:rsidRPr="00B42914">
        <w:rPr>
          <w:rStyle w:val="libAlaemChar"/>
          <w:rtl/>
        </w:rPr>
        <w:t>صلى‌الله‌عليه‌وآله‌</w:t>
      </w:r>
      <w:r w:rsidRPr="00020424">
        <w:rPr>
          <w:rtl/>
          <w:lang w:bidi="fa-IR"/>
        </w:rPr>
        <w:t xml:space="preserve"> : إِنَّ هذَا الْيَهُودِيَّ يَعَضُّهُ أَسْوَدُ فِي قَفَاهُ ، فَيَقْتُلُهُ ، قَالَ : فَذَهَبَ الْيَهُودِيُّ ، فَاحْتَطَبَ حَطَباً كَثِيراً ، فَاحْتَمَلَهُ </w:t>
      </w:r>
      <w:r w:rsidRPr="00A91B96">
        <w:rPr>
          <w:rStyle w:val="libFootnotenumChar"/>
          <w:rtl/>
        </w:rPr>
        <w:t>(11)</w:t>
      </w:r>
      <w:r w:rsidR="00911F3C">
        <w:rPr>
          <w:rtl/>
          <w:lang w:bidi="fa-IR"/>
        </w:rPr>
        <w:t xml:space="preserve"> ،</w:t>
      </w:r>
      <w:r w:rsidRPr="00020424">
        <w:rPr>
          <w:rtl/>
          <w:lang w:bidi="fa-IR"/>
        </w:rPr>
        <w:t xml:space="preserve">ثُمَّ لَمْ يَلْبَثْ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xml:space="preserve">« عن آبائه </w:t>
      </w:r>
      <w:r w:rsidR="00992664" w:rsidRPr="00D64ADA">
        <w:rPr>
          <w:rStyle w:val="libFootnoteAlaemChar"/>
          <w:rtl/>
        </w:rPr>
        <w:t>عليهم‌السلام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 « الدبيلة » بدون الواو. </w:t>
      </w:r>
      <w:r w:rsidR="00992664">
        <w:rPr>
          <w:rtl/>
        </w:rPr>
        <w:t>و «</w:t>
      </w:r>
      <w:r w:rsidR="00992664" w:rsidRPr="00020424">
        <w:rPr>
          <w:rtl/>
        </w:rPr>
        <w:t xml:space="preserve"> الدُبَيْلَة » كجهينة : الداهيةُ ، أي الأمر العظيم والمصيبة ، حكاه الجوهري‌عن أبي عبيد. وقال ابن الأثير : « هي خَراج ، ودُمَّل كبير تظهر في الجوف وتنفجر إلى داخل فتقتل صاحبها غالباً ، وهي تصغير دُبْلة. وكلّ شي‌ء جُمع فقد دُبل</w:t>
      </w:r>
      <w:r w:rsidR="00992664">
        <w:rPr>
          <w:rtl/>
        </w:rPr>
        <w:t xml:space="preserve"> ».</w:t>
      </w:r>
      <w:r w:rsidR="00992664" w:rsidRPr="00020424">
        <w:rPr>
          <w:rtl/>
        </w:rPr>
        <w:t xml:space="preserve"> أو هي الطاعون أيضاً من ال</w:t>
      </w:r>
      <w:r w:rsidR="00911F3C">
        <w:rPr>
          <w:rtl/>
        </w:rPr>
        <w:t>دَبْل بمعناه ، كما قال به العل</w:t>
      </w:r>
      <w:r w:rsidR="00911F3C">
        <w:rPr>
          <w:rFonts w:hint="cs"/>
          <w:rtl/>
        </w:rPr>
        <w:t>ّ</w:t>
      </w:r>
      <w:r w:rsidR="00911F3C">
        <w:rPr>
          <w:rtl/>
        </w:rPr>
        <w:t>ا</w:t>
      </w:r>
      <w:r w:rsidR="00992664" w:rsidRPr="00020424">
        <w:rPr>
          <w:rtl/>
        </w:rPr>
        <w:t xml:space="preserve">مة الفيض. راجع : </w:t>
      </w:r>
      <w:r w:rsidR="00992664" w:rsidRPr="0012008A">
        <w:rPr>
          <w:rStyle w:val="libFootnoteBoldChar"/>
          <w:rtl/>
        </w:rPr>
        <w:t>الصحاح</w:t>
      </w:r>
      <w:r w:rsidR="00992664" w:rsidRPr="00020424">
        <w:rPr>
          <w:rtl/>
        </w:rPr>
        <w:t xml:space="preserve"> ، ج 4 ، ص 1694 ؛ </w:t>
      </w:r>
      <w:r w:rsidR="00992664" w:rsidRPr="0012008A">
        <w:rPr>
          <w:rStyle w:val="libFootnoteBoldChar"/>
          <w:rtl/>
        </w:rPr>
        <w:t>النهاية</w:t>
      </w:r>
      <w:r w:rsidR="00992664" w:rsidRPr="00020424">
        <w:rPr>
          <w:rtl/>
        </w:rPr>
        <w:t xml:space="preserve"> ، ج 2 ، ص 99 ؛ </w:t>
      </w:r>
      <w:r w:rsidR="00992664" w:rsidRPr="00A722B1">
        <w:rPr>
          <w:rStyle w:val="libFootnoteBoldChar"/>
          <w:rtl/>
        </w:rPr>
        <w:t>لسان العرب</w:t>
      </w:r>
      <w:r w:rsidR="00992664" w:rsidRPr="00020424">
        <w:rPr>
          <w:rtl/>
        </w:rPr>
        <w:t xml:space="preserve"> ، ج 11 ، ص 235 ( دبل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والغرق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 رسول 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الجعفريّات</w:t>
      </w:r>
      <w:r w:rsidR="00992664" w:rsidRPr="00020424">
        <w:rPr>
          <w:rtl/>
        </w:rPr>
        <w:t xml:space="preserve"> ، ص 56 ، صدر الحديث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67 ، ح 1734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11F3C">
        <w:rPr>
          <w:rFonts w:hint="cs"/>
          <w:rtl/>
        </w:rPr>
        <w:t>.</w:t>
      </w:r>
      <w:r w:rsidR="00992664" w:rsidRPr="0012008A">
        <w:rPr>
          <w:rStyle w:val="libFootnoteBoldChar"/>
          <w:rtl/>
        </w:rPr>
        <w:t>الوافي</w:t>
      </w:r>
      <w:r w:rsidR="00992664" w:rsidRPr="00020424">
        <w:rPr>
          <w:rtl/>
        </w:rPr>
        <w:t xml:space="preserve"> ، ج 10 ، ص 390 ، ح 9746 ؛ </w:t>
      </w:r>
      <w:r w:rsidR="00992664" w:rsidRPr="0012008A">
        <w:rPr>
          <w:rStyle w:val="libFootnoteBoldChar"/>
          <w:rtl/>
        </w:rPr>
        <w:t>الوسائل</w:t>
      </w:r>
      <w:r w:rsidR="00992664" w:rsidRPr="00020424">
        <w:rPr>
          <w:rtl/>
        </w:rPr>
        <w:t xml:space="preserve"> ، ج 9 ، ص 386 ، ح 12300.</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حاشية « بث ، بر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 عليّ بن إبراهيم</w:t>
      </w:r>
      <w:r w:rsidR="00992664">
        <w:rPr>
          <w:rtl/>
        </w:rPr>
        <w:t xml:space="preserve"> ».</w:t>
      </w:r>
      <w:r w:rsidR="00992664" w:rsidRPr="00020424">
        <w:rPr>
          <w:rtl/>
        </w:rPr>
        <w:t xml:space="preserve"> لكن لم نجد سنداً روى فيه عليّ بن إبراهيم ، عن‌أحمد بن محمّد ، عن محمّد بن عليّ ، وهو أبو سمينة الكوفي. والمتكرّر رواية عليّ بن محمّد</w:t>
      </w:r>
      <w:r w:rsidR="00992664">
        <w:rPr>
          <w:rtl/>
        </w:rPr>
        <w:t xml:space="preserve"> </w:t>
      </w:r>
      <w:r w:rsidR="009B673F">
        <w:rPr>
          <w:rtl/>
        </w:rPr>
        <w:t>-</w:t>
      </w:r>
      <w:r w:rsidR="00992664">
        <w:rPr>
          <w:rtl/>
        </w:rPr>
        <w:t xml:space="preserve"> </w:t>
      </w:r>
      <w:r w:rsidR="00992664" w:rsidRPr="00020424">
        <w:rPr>
          <w:rtl/>
        </w:rPr>
        <w:t>بعناوينه المختلفة</w:t>
      </w:r>
      <w:r w:rsidR="00992664">
        <w:rPr>
          <w:rtl/>
        </w:rPr>
        <w:t xml:space="preserve"> </w:t>
      </w:r>
      <w:r w:rsidR="009B673F">
        <w:rPr>
          <w:rtl/>
        </w:rPr>
        <w:t>-</w:t>
      </w:r>
      <w:r w:rsidR="00992664">
        <w:rPr>
          <w:rtl/>
        </w:rPr>
        <w:t xml:space="preserve"> </w:t>
      </w:r>
      <w:r w:rsidR="00992664" w:rsidRPr="00020424">
        <w:rPr>
          <w:rtl/>
        </w:rPr>
        <w:t>عن أحمد بن محمّد ، أو عن أحمد بن أبي عبدالله عن محمّد بن عليّ.</w:t>
      </w:r>
    </w:p>
    <w:tbl>
      <w:tblPr>
        <w:tblStyle w:val="TableGrid"/>
        <w:bidiVisual/>
        <w:tblW w:w="0" w:type="auto"/>
        <w:tblLook w:val="04A0" w:firstRow="1" w:lastRow="0" w:firstColumn="1" w:lastColumn="0" w:noHBand="0" w:noVBand="1"/>
      </w:tblPr>
      <w:tblGrid>
        <w:gridCol w:w="4006"/>
        <w:gridCol w:w="4006"/>
      </w:tblGrid>
      <w:tr w:rsidR="00911F3C" w:rsidTr="00911F3C">
        <w:tc>
          <w:tcPr>
            <w:tcW w:w="4006" w:type="dxa"/>
          </w:tcPr>
          <w:p w:rsidR="00911F3C" w:rsidRDefault="00911F3C" w:rsidP="00992664">
            <w:pPr>
              <w:pStyle w:val="libFootnote0"/>
              <w:rPr>
                <w:rtl/>
              </w:rPr>
            </w:pPr>
            <w:r>
              <w:rPr>
                <w:rtl/>
              </w:rPr>
              <w:t xml:space="preserve">(7). </w:t>
            </w:r>
            <w:r w:rsidRPr="00020424">
              <w:rPr>
                <w:rtl/>
              </w:rPr>
              <w:t>في « ى ، بث ، جن » : « قال</w:t>
            </w:r>
            <w:r>
              <w:rPr>
                <w:rtl/>
              </w:rPr>
              <w:t xml:space="preserve"> ».</w:t>
            </w:r>
          </w:p>
        </w:tc>
        <w:tc>
          <w:tcPr>
            <w:tcW w:w="4006" w:type="dxa"/>
          </w:tcPr>
          <w:p w:rsidR="00911F3C" w:rsidRDefault="00911F3C" w:rsidP="00992664">
            <w:pPr>
              <w:pStyle w:val="libFootnote0"/>
              <w:rPr>
                <w:rtl/>
              </w:rPr>
            </w:pPr>
            <w:r>
              <w:rPr>
                <w:rtl/>
              </w:rPr>
              <w:t xml:space="preserve">(8). </w:t>
            </w:r>
            <w:r w:rsidRPr="00020424">
              <w:rPr>
                <w:rtl/>
              </w:rPr>
              <w:t>في « ظ ، بث ، جن » و</w:t>
            </w:r>
            <w:r w:rsidRPr="0012008A">
              <w:rPr>
                <w:rStyle w:val="libFootnoteBoldChar"/>
                <w:rtl/>
              </w:rPr>
              <w:t>البحار</w:t>
            </w:r>
            <w:r w:rsidRPr="00020424">
              <w:rPr>
                <w:rtl/>
              </w:rPr>
              <w:t xml:space="preserve"> : « النبيّ</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15690 و</w:t>
      </w:r>
      <w:r w:rsidR="00992664" w:rsidRPr="0012008A">
        <w:rPr>
          <w:rStyle w:val="libFootnoteBoldChar"/>
          <w:rtl/>
        </w:rPr>
        <w:t>البحار</w:t>
      </w:r>
      <w:r w:rsidR="00992664" w:rsidRPr="00020424">
        <w:rPr>
          <w:rtl/>
        </w:rPr>
        <w:t xml:space="preserve"> ، ج 4. وفي سائر النسخ والمطبوع : « 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w:t>
      </w:r>
      <w:r w:rsidR="00992664" w:rsidRPr="00EB1FD9">
        <w:rPr>
          <w:rStyle w:val="libFootnoteBoldChar"/>
          <w:rtl/>
        </w:rPr>
        <w:t>والوسائل</w:t>
      </w:r>
      <w:r w:rsidR="00992664" w:rsidRPr="00020424">
        <w:rPr>
          <w:rtl/>
        </w:rPr>
        <w:t xml:space="preserve"> ، ح 15690 و</w:t>
      </w:r>
      <w:r w:rsidR="00992664" w:rsidRPr="0012008A">
        <w:rPr>
          <w:rStyle w:val="libFootnoteBoldChar"/>
          <w:rtl/>
        </w:rPr>
        <w:t>البحار</w:t>
      </w:r>
      <w:r w:rsidR="00992664" w:rsidRPr="00020424">
        <w:rPr>
          <w:rtl/>
        </w:rPr>
        <w:t xml:space="preserve"> ، ج 4 : « فقال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11F3C" w:rsidTr="00911F3C">
        <w:tc>
          <w:tcPr>
            <w:tcW w:w="4006" w:type="dxa"/>
          </w:tcPr>
          <w:p w:rsidR="00911F3C" w:rsidRDefault="00911F3C" w:rsidP="00992664">
            <w:pPr>
              <w:pStyle w:val="libFootnote0"/>
              <w:rPr>
                <w:rtl/>
              </w:rPr>
            </w:pPr>
            <w:r>
              <w:rPr>
                <w:rtl/>
              </w:rPr>
              <w:t xml:space="preserve">(11). </w:t>
            </w:r>
            <w:r w:rsidRPr="00020424">
              <w:rPr>
                <w:rtl/>
              </w:rPr>
              <w:t xml:space="preserve">في « بر ، بف » </w:t>
            </w:r>
            <w:r w:rsidRPr="00515444">
              <w:rPr>
                <w:rStyle w:val="libFootnoteBoldChar"/>
                <w:rtl/>
              </w:rPr>
              <w:t>والوافي</w:t>
            </w:r>
            <w:r w:rsidRPr="00020424">
              <w:rPr>
                <w:rtl/>
              </w:rPr>
              <w:t xml:space="preserve"> : « واحتمله</w:t>
            </w:r>
            <w:r>
              <w:rPr>
                <w:rtl/>
              </w:rPr>
              <w:t xml:space="preserve"> ».</w:t>
            </w:r>
          </w:p>
        </w:tc>
        <w:tc>
          <w:tcPr>
            <w:tcW w:w="4006" w:type="dxa"/>
          </w:tcPr>
          <w:p w:rsidR="00911F3C" w:rsidRDefault="00911F3C" w:rsidP="00992664">
            <w:pPr>
              <w:pStyle w:val="libFootnote0"/>
              <w:rPr>
                <w:rtl/>
              </w:rPr>
            </w:pPr>
            <w:r>
              <w:rPr>
                <w:rtl/>
              </w:rPr>
              <w:t xml:space="preserve">(12). </w:t>
            </w:r>
            <w:r w:rsidRPr="00020424">
              <w:rPr>
                <w:rtl/>
              </w:rPr>
              <w:t>في « ظ ، بر » : « ولم يلبث</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أَنِ انْصَرَفَ ، فَقَالَ لَهُ رَسُولُ اللهِ </w:t>
      </w:r>
      <w:r w:rsidR="00B42914" w:rsidRPr="00B42914">
        <w:rPr>
          <w:rStyle w:val="libAlaemChar"/>
          <w:rtl/>
        </w:rPr>
        <w:t>صلى‌الله‌عليه‌وآله‌</w:t>
      </w:r>
      <w:r w:rsidRPr="00020424">
        <w:rPr>
          <w:rtl/>
          <w:lang w:bidi="fa-IR"/>
        </w:rPr>
        <w:t xml:space="preserve"> : ضَعْهُ ، فَوَضَعَ الْحَطَبَ ، فَإِذَا أَسْوَدُ فِي جَوْفِ الْحَطَبِ ، عَاضٌّ عَلى عُودٍ ، فَقَالَ : يَا يَهُودِيُّ ، مَا </w:t>
      </w:r>
      <w:r w:rsidRPr="00A91B96">
        <w:rPr>
          <w:rStyle w:val="libFootnotenumChar"/>
          <w:rtl/>
        </w:rPr>
        <w:t>(1)</w:t>
      </w:r>
      <w:r w:rsidRPr="00020424">
        <w:rPr>
          <w:rtl/>
          <w:lang w:bidi="fa-IR"/>
        </w:rPr>
        <w:t xml:space="preserve"> عَمِلْتَ الْيَوْمَ</w:t>
      </w:r>
      <w:r>
        <w:rPr>
          <w:rtl/>
          <w:lang w:bidi="fa-IR"/>
        </w:rPr>
        <w:t>؟</w:t>
      </w:r>
      <w:r w:rsidRPr="00020424">
        <w:rPr>
          <w:rtl/>
          <w:lang w:bidi="fa-IR"/>
        </w:rPr>
        <w:t xml:space="preserve"> قَالَ </w:t>
      </w:r>
      <w:r w:rsidRPr="00A91B96">
        <w:rPr>
          <w:rStyle w:val="libFootnotenumChar"/>
          <w:rtl/>
        </w:rPr>
        <w:t>(2)</w:t>
      </w:r>
      <w:r w:rsidRPr="00020424">
        <w:rPr>
          <w:rtl/>
          <w:lang w:bidi="fa-IR"/>
        </w:rPr>
        <w:t xml:space="preserve"> : مَا عَمِلْتُ </w:t>
      </w:r>
      <w:r w:rsidRPr="00A91B96">
        <w:rPr>
          <w:rStyle w:val="libFootnotenumChar"/>
          <w:rtl/>
        </w:rPr>
        <w:t>(3)</w:t>
      </w:r>
      <w:r w:rsidR="008A4A90">
        <w:rPr>
          <w:rtl/>
          <w:lang w:bidi="fa-IR"/>
        </w:rPr>
        <w:t xml:space="preserve"> عَمَلاً إِل</w:t>
      </w:r>
      <w:r w:rsidR="008A4A90">
        <w:rPr>
          <w:rFonts w:hint="cs"/>
          <w:rtl/>
          <w:lang w:bidi="fa-IR"/>
        </w:rPr>
        <w:t>َّ</w:t>
      </w:r>
      <w:r w:rsidR="008A4A90">
        <w:rPr>
          <w:rtl/>
          <w:lang w:bidi="fa-IR"/>
        </w:rPr>
        <w:t>ا</w:t>
      </w:r>
      <w:r w:rsidRPr="00020424">
        <w:rPr>
          <w:rtl/>
          <w:lang w:bidi="fa-IR"/>
        </w:rPr>
        <w:t xml:space="preserve"> حَطَبِي هذَا احْتَمَلْتُهُ </w:t>
      </w:r>
      <w:r w:rsidRPr="00A91B96">
        <w:rPr>
          <w:rStyle w:val="libFootnotenumChar"/>
          <w:rtl/>
        </w:rPr>
        <w:t>(4)</w:t>
      </w:r>
      <w:r w:rsidRPr="00020424">
        <w:rPr>
          <w:rtl/>
          <w:lang w:bidi="fa-IR"/>
        </w:rPr>
        <w:t xml:space="preserve"> ، فَجِئْتُ </w:t>
      </w:r>
      <w:r w:rsidRPr="00A91B96">
        <w:rPr>
          <w:rStyle w:val="libFootnotenumChar"/>
          <w:rtl/>
        </w:rPr>
        <w:t>(5)</w:t>
      </w:r>
      <w:r w:rsidRPr="00020424">
        <w:rPr>
          <w:rtl/>
          <w:lang w:bidi="fa-IR"/>
        </w:rPr>
        <w:t xml:space="preserve"> بِهِ ، وَكَانَ </w:t>
      </w:r>
      <w:r w:rsidRPr="00A91B96">
        <w:rPr>
          <w:rStyle w:val="libFootnotenumChar"/>
          <w:rtl/>
        </w:rPr>
        <w:t>(6)</w:t>
      </w:r>
      <w:r w:rsidRPr="00020424">
        <w:rPr>
          <w:rtl/>
          <w:lang w:bidi="fa-IR"/>
        </w:rPr>
        <w:t xml:space="preserve"> مَعِي كَعْكَتَانِ </w:t>
      </w:r>
      <w:r w:rsidRPr="00A91B96">
        <w:rPr>
          <w:rStyle w:val="libFootnotenumChar"/>
          <w:rtl/>
        </w:rPr>
        <w:t>(7)</w:t>
      </w:r>
      <w:r w:rsidRPr="00020424">
        <w:rPr>
          <w:rtl/>
          <w:lang w:bidi="fa-IR"/>
        </w:rPr>
        <w:t xml:space="preserve"> ، فَأَكَلْتُ وَاحِدَةً ، وَتَصَدَّقْتُ بِوَاحِدَةٍ عَلى مِسْكِينٍ ، فَقَالَ رَسُولُ اللهِ </w:t>
      </w:r>
      <w:r w:rsidR="00B42914" w:rsidRPr="00B42914">
        <w:rPr>
          <w:rStyle w:val="libAlaemChar"/>
          <w:rtl/>
        </w:rPr>
        <w:t>صلى‌الله‌عليه‌وآله‌</w:t>
      </w:r>
      <w:r w:rsidRPr="00020424">
        <w:rPr>
          <w:rtl/>
          <w:lang w:bidi="fa-IR"/>
        </w:rPr>
        <w:t xml:space="preserve"> : بِهَا دَفَعَ اللهُ </w:t>
      </w:r>
      <w:r w:rsidRPr="00A91B96">
        <w:rPr>
          <w:rStyle w:val="libFootnotenumChar"/>
          <w:rtl/>
        </w:rPr>
        <w:t>(8)</w:t>
      </w:r>
      <w:r w:rsidRPr="00020424">
        <w:rPr>
          <w:rtl/>
          <w:lang w:bidi="fa-IR"/>
        </w:rPr>
        <w:t xml:space="preserve"> عَنْهُ </w:t>
      </w:r>
      <w:r w:rsidRPr="00A91B96">
        <w:rPr>
          <w:rStyle w:val="libFootnotenumChar"/>
          <w:rtl/>
        </w:rPr>
        <w:t>(9)</w:t>
      </w:r>
      <w:r w:rsidRPr="00020424">
        <w:rPr>
          <w:rtl/>
          <w:lang w:bidi="fa-IR"/>
        </w:rPr>
        <w:t xml:space="preserve"> ، وَقَالَ : إِنَّ الصَّدَقَةَ تَدْفَعُ مِيتَةَ السَّوْءِ عَنِ الْإِنْسَانِ</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717768">
        <w:rPr>
          <w:rtl/>
        </w:rPr>
        <w:t>6014</w:t>
      </w:r>
      <w:r w:rsidRPr="001155DE">
        <w:rPr>
          <w:rStyle w:val="libBold2Char"/>
          <w:rtl/>
        </w:rPr>
        <w:t xml:space="preserve"> / 4.</w:t>
      </w:r>
      <w:r w:rsidRPr="00020424">
        <w:rPr>
          <w:rtl/>
          <w:lang w:bidi="fa-IR"/>
        </w:rPr>
        <w:t xml:space="preserve"> عَلِيُّ بْنُ إِبْرَاهِيمَ ، عَنْ أَبِيهِ ، عَنِ النَّوْفَلِيِّ ، عَنِ السَّكُونِيِّ :</w:t>
      </w:r>
    </w:p>
    <w:p w:rsidR="00992664" w:rsidRPr="00020424" w:rsidRDefault="00992664" w:rsidP="00003059">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عَلِيٌّ </w:t>
      </w:r>
      <w:r w:rsidRPr="00005A81">
        <w:rPr>
          <w:rStyle w:val="libAlaemChar"/>
          <w:rtl/>
        </w:rPr>
        <w:t>عليه‌السلام</w:t>
      </w:r>
      <w:r w:rsidRPr="00020424">
        <w:rPr>
          <w:rtl/>
          <w:lang w:bidi="fa-IR"/>
        </w:rPr>
        <w:t xml:space="preserve"> : كَانُوا يَرَوْنَ أَنَّ الصَّدَقَةَ يُدْفَعُ </w:t>
      </w:r>
      <w:r w:rsidRPr="00A91B96">
        <w:rPr>
          <w:rStyle w:val="libFootnotenumChar"/>
          <w:rtl/>
        </w:rPr>
        <w:t>(11)</w:t>
      </w:r>
      <w:r w:rsidRPr="00020424">
        <w:rPr>
          <w:rtl/>
          <w:lang w:bidi="fa-IR"/>
        </w:rPr>
        <w:t xml:space="preserve"> بِهَا عَنْ الرَّجُلِ الظَّلُومِ</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717768">
        <w:rPr>
          <w:rtl/>
        </w:rPr>
        <w:t>6015</w:t>
      </w:r>
      <w:r w:rsidRPr="001155DE">
        <w:rPr>
          <w:rStyle w:val="libBold2Char"/>
          <w:rtl/>
        </w:rPr>
        <w:t xml:space="preserve"> / 5.</w:t>
      </w:r>
      <w:r w:rsidRPr="00020424">
        <w:rPr>
          <w:rtl/>
          <w:lang w:bidi="fa-IR"/>
        </w:rPr>
        <w:t xml:space="preserve"> مُحَمَّدُ بْنُ يَحْيى ، عَنْ أَحْمَدَ بْنِ مُحَمَّدٍ ، عَنْ عَلِيِّ بْنِ الْحَكَمِ ، عَنْ سُلَيْمَانَ بْنِ عَمْرٍو النَّخَعِيِّ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قَالَ رَسُولُ اللهِ </w:t>
      </w:r>
      <w:r w:rsidR="00B42914" w:rsidRPr="00B42914">
        <w:rPr>
          <w:rStyle w:val="libAlaemChar"/>
          <w:rtl/>
        </w:rPr>
        <w:t>صلى‌الله‌عليه‌وآله‌</w:t>
      </w:r>
      <w:r w:rsidRPr="00020424">
        <w:rPr>
          <w:rtl/>
          <w:lang w:bidi="fa-IR"/>
        </w:rPr>
        <w:t xml:space="preserve"> : بَكِّرُوا بِالصَّدَقَةِ ؛ فَإِنَّ الْبَلَاءَ‌</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بح ، بخ ، بر ، بف » وحاشية « بث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12302 : « أيّ شي‌ء » بدل « 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12302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 + « اليوم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و</w:t>
      </w:r>
      <w:r w:rsidR="00992664" w:rsidRPr="0012008A">
        <w:rPr>
          <w:rStyle w:val="libFootnoteBoldChar"/>
          <w:rtl/>
        </w:rPr>
        <w:t>البحار</w:t>
      </w:r>
      <w:r w:rsidR="00992664" w:rsidRPr="00020424">
        <w:rPr>
          <w:rtl/>
        </w:rPr>
        <w:t xml:space="preserve"> ، ج 4 : « حملته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03059" w:rsidTr="00003059">
        <w:tc>
          <w:tcPr>
            <w:tcW w:w="4006" w:type="dxa"/>
          </w:tcPr>
          <w:p w:rsidR="00003059" w:rsidRDefault="00003059" w:rsidP="00992664">
            <w:pPr>
              <w:pStyle w:val="libFootnote0"/>
              <w:rPr>
                <w:rtl/>
              </w:rPr>
            </w:pPr>
            <w:r>
              <w:rPr>
                <w:rtl/>
              </w:rPr>
              <w:t xml:space="preserve">(5). </w:t>
            </w:r>
            <w:r w:rsidRPr="00020424">
              <w:rPr>
                <w:rtl/>
              </w:rPr>
              <w:t>في « بر ، بف » : « وجئت</w:t>
            </w:r>
            <w:r>
              <w:rPr>
                <w:rtl/>
              </w:rPr>
              <w:t xml:space="preserve"> ».</w:t>
            </w:r>
          </w:p>
        </w:tc>
        <w:tc>
          <w:tcPr>
            <w:tcW w:w="4006" w:type="dxa"/>
          </w:tcPr>
          <w:p w:rsidR="00003059" w:rsidRDefault="00003059" w:rsidP="00992664">
            <w:pPr>
              <w:pStyle w:val="libFootnote0"/>
              <w:rPr>
                <w:rtl/>
              </w:rPr>
            </w:pPr>
            <w:r>
              <w:rPr>
                <w:rtl/>
              </w:rPr>
              <w:t xml:space="preserve">(6). </w:t>
            </w:r>
            <w:r w:rsidRPr="00020424">
              <w:rPr>
                <w:rtl/>
              </w:rPr>
              <w:t>في حاشية « بف » : « فكان</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الكعك : خبزٌ ، وهو فارسيّ معرّب. </w:t>
      </w:r>
      <w:r w:rsidR="00992664" w:rsidRPr="0012008A">
        <w:rPr>
          <w:rStyle w:val="libFootnoteBoldChar"/>
          <w:rtl/>
        </w:rPr>
        <w:t>الصحاح</w:t>
      </w:r>
      <w:r w:rsidR="00992664" w:rsidRPr="00020424">
        <w:rPr>
          <w:rtl/>
        </w:rPr>
        <w:t xml:space="preserve"> ، ج 4 ، ص 1605 ( كعك )</w:t>
      </w:r>
      <w:r w:rsidR="00992664">
        <w:rPr>
          <w:rtl/>
        </w:rPr>
        <w:t>.</w:t>
      </w:r>
    </w:p>
    <w:tbl>
      <w:tblPr>
        <w:tblStyle w:val="TableGrid"/>
        <w:bidiVisual/>
        <w:tblW w:w="0" w:type="auto"/>
        <w:tblLook w:val="04A0" w:firstRow="1" w:lastRow="0" w:firstColumn="1" w:lastColumn="0" w:noHBand="0" w:noVBand="1"/>
      </w:tblPr>
      <w:tblGrid>
        <w:gridCol w:w="4006"/>
        <w:gridCol w:w="4006"/>
      </w:tblGrid>
      <w:tr w:rsidR="00003059" w:rsidTr="00003059">
        <w:tc>
          <w:tcPr>
            <w:tcW w:w="4006" w:type="dxa"/>
          </w:tcPr>
          <w:p w:rsidR="00003059" w:rsidRDefault="00003059" w:rsidP="00992664">
            <w:pPr>
              <w:pStyle w:val="libFootnote0"/>
              <w:rPr>
                <w:rtl/>
                <w:lang w:bidi="fa-IR"/>
              </w:rPr>
            </w:pPr>
            <w:r>
              <w:rPr>
                <w:rtl/>
              </w:rPr>
              <w:t xml:space="preserve">(8). </w:t>
            </w:r>
            <w:r w:rsidRPr="00020424">
              <w:rPr>
                <w:rtl/>
              </w:rPr>
              <w:t>في « بخ ، بر » :</w:t>
            </w:r>
            <w:r>
              <w:rPr>
                <w:rtl/>
              </w:rPr>
              <w:t xml:space="preserve"> - </w:t>
            </w:r>
            <w:r w:rsidRPr="00020424">
              <w:rPr>
                <w:rtl/>
              </w:rPr>
              <w:t>« الله</w:t>
            </w:r>
            <w:r>
              <w:rPr>
                <w:rtl/>
              </w:rPr>
              <w:t xml:space="preserve"> ».</w:t>
            </w:r>
          </w:p>
        </w:tc>
        <w:tc>
          <w:tcPr>
            <w:tcW w:w="4006" w:type="dxa"/>
          </w:tcPr>
          <w:p w:rsidR="00003059" w:rsidRDefault="00003059" w:rsidP="00992664">
            <w:pPr>
              <w:pStyle w:val="libFootnote0"/>
              <w:rPr>
                <w:rtl/>
                <w:lang w:bidi="fa-IR"/>
              </w:rPr>
            </w:pPr>
            <w:r>
              <w:rPr>
                <w:rtl/>
              </w:rPr>
              <w:t xml:space="preserve">(9). </w:t>
            </w:r>
            <w:r w:rsidRPr="00020424">
              <w:rPr>
                <w:rtl/>
              </w:rPr>
              <w:t>في « بث » : « عنك</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الزكاة ، باب فضل الصدقة ، ح 6000 ومصادره </w:t>
      </w:r>
      <w:r w:rsidR="007F0D64">
        <w:rPr>
          <w:rFonts w:hint="cs"/>
          <w:rtl/>
        </w:rPr>
        <w:t>.</w:t>
      </w:r>
      <w:r w:rsidR="00992664" w:rsidRPr="0012008A">
        <w:rPr>
          <w:rStyle w:val="libFootnoteBoldChar"/>
          <w:rtl/>
        </w:rPr>
        <w:t>الوافي</w:t>
      </w:r>
      <w:r w:rsidR="00992664" w:rsidRPr="00020424">
        <w:rPr>
          <w:rtl/>
        </w:rPr>
        <w:t xml:space="preserve"> ، ج 10 ، ص 393 ، ح 9752 ؛ </w:t>
      </w:r>
      <w:r w:rsidR="00992664" w:rsidRPr="0012008A">
        <w:rPr>
          <w:rStyle w:val="libFootnoteBoldChar"/>
          <w:rtl/>
        </w:rPr>
        <w:t>الوسائل</w:t>
      </w:r>
      <w:r w:rsidR="00992664" w:rsidRPr="00020424">
        <w:rPr>
          <w:rtl/>
        </w:rPr>
        <w:t xml:space="preserve"> ، ج 9 ، ص 386 ، ح 12302 ؛ </w:t>
      </w:r>
      <w:r w:rsidR="00992664" w:rsidRPr="00DE76B9">
        <w:rPr>
          <w:rStyle w:val="libFootnoteBoldChar"/>
          <w:rtl/>
        </w:rPr>
        <w:t>وفيه</w:t>
      </w:r>
      <w:r w:rsidR="00992664" w:rsidRPr="00020424">
        <w:rPr>
          <w:rtl/>
        </w:rPr>
        <w:t xml:space="preserve"> ، ج 12 ، ص 78 ، ح 15690 ، إلى قوله : « وكذلك رددت » ؛ </w:t>
      </w:r>
      <w:r w:rsidR="00992664" w:rsidRPr="0012008A">
        <w:rPr>
          <w:rStyle w:val="libFootnoteBoldChar"/>
          <w:rtl/>
        </w:rPr>
        <w:t>البحار</w:t>
      </w:r>
      <w:r w:rsidR="00992664" w:rsidRPr="00020424">
        <w:rPr>
          <w:rtl/>
        </w:rPr>
        <w:t xml:space="preserve"> ، ج 4 ، ص 121 ، ح 67 ؛ وج 18 ، ص 21 ، ح 48.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 بث ، بخ ، جت ، جش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والجعفريّات. وفي سائر النسخ والمطبوع : « تدفع</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DE76B9">
        <w:rPr>
          <w:rStyle w:val="libFootnoteBoldChar"/>
          <w:rtl/>
        </w:rPr>
        <w:t>الجعفريّات</w:t>
      </w:r>
      <w:r w:rsidR="00992664" w:rsidRPr="00020424">
        <w:rPr>
          <w:rtl/>
        </w:rPr>
        <w:t xml:space="preserve"> ، ص 56 ، بسند آخر عن جعفر بن محمّد ، عن أبيه ، عن عليّ </w:t>
      </w:r>
      <w:r w:rsidR="00992664" w:rsidRPr="00D64ADA">
        <w:rPr>
          <w:rStyle w:val="libFootnoteAlaemChar"/>
          <w:rtl/>
        </w:rPr>
        <w:t>عليهم‌السلام</w:t>
      </w:r>
      <w:r w:rsidR="00992664" w:rsidRPr="00020424">
        <w:rPr>
          <w:rtl/>
        </w:rPr>
        <w:t xml:space="preserve"> </w:t>
      </w:r>
      <w:r w:rsidR="007F0D64">
        <w:rPr>
          <w:rFonts w:hint="cs"/>
          <w:rtl/>
        </w:rPr>
        <w:t>.</w:t>
      </w:r>
      <w:r w:rsidR="00992664" w:rsidRPr="0012008A">
        <w:rPr>
          <w:rStyle w:val="libFootnoteBoldChar"/>
          <w:rtl/>
        </w:rPr>
        <w:t>الوافي</w:t>
      </w:r>
      <w:r w:rsidR="00992664" w:rsidRPr="00020424">
        <w:rPr>
          <w:rtl/>
        </w:rPr>
        <w:t xml:space="preserve"> ، ج 10 ، ص 393 ، ح 9753 ؛ </w:t>
      </w:r>
      <w:r w:rsidR="00992664" w:rsidRPr="0012008A">
        <w:rPr>
          <w:rStyle w:val="libFootnoteBoldChar"/>
          <w:rtl/>
        </w:rPr>
        <w:t>الوسائل</w:t>
      </w:r>
      <w:r w:rsidR="00992664" w:rsidRPr="00020424">
        <w:rPr>
          <w:rtl/>
        </w:rPr>
        <w:t xml:space="preserve"> ، ج 9 ، ص 386 ، ح 12301.</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020424">
        <w:rPr>
          <w:rtl/>
          <w:lang w:bidi="fa-IR"/>
        </w:rPr>
        <w:lastRenderedPageBreak/>
        <w:t>لَا يَتَخَطَّاهَا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717768">
        <w:rPr>
          <w:rtl/>
        </w:rPr>
        <w:t>6016</w:t>
      </w:r>
      <w:r w:rsidRPr="001155DE">
        <w:rPr>
          <w:rStyle w:val="libBold2Char"/>
          <w:rtl/>
        </w:rPr>
        <w:t xml:space="preserve"> / 6.</w:t>
      </w:r>
      <w:r w:rsidRPr="00020424">
        <w:rPr>
          <w:rtl/>
          <w:lang w:bidi="fa-IR"/>
        </w:rPr>
        <w:t xml:space="preserve"> عِدَّةٌ مِنْ أَصْحَابِنَا ، عَنْ أَحْمَدَ بْنِ أَبِي عَبْدِ اللهِ ، عَنْ عَبْدِ الرَّحْمنِ بْنِ حَمَّادٍ ، عَنْ حَنَانِ بْنِ سَدِيرٍ ، عَنْ أَبِيهِ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الصَّدَقَةَ لَتَدْفَعُ سَبْعِينَ بَلِيَّةً مِنْ بَلَايَا الدُّنْيَا مَعَ مِيتَةِ السَّوْءِ ، إِنَّ صَاحِبَهَا لايَمُوتُ مِيتَةَ السَّوْءِ أَبَداً ، مَعَ مَا يُدَّخَرُ لِصَاحِبِهَا فِي الْآخِرَةِ</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717768">
        <w:rPr>
          <w:rtl/>
        </w:rPr>
        <w:t>6017</w:t>
      </w:r>
      <w:r w:rsidRPr="001155DE">
        <w:rPr>
          <w:rStyle w:val="libBold2Char"/>
          <w:rtl/>
        </w:rPr>
        <w:t xml:space="preserve"> / 7.</w:t>
      </w:r>
      <w:r w:rsidRPr="00020424">
        <w:rPr>
          <w:rtl/>
          <w:lang w:bidi="fa-IR"/>
        </w:rPr>
        <w:t xml:space="preserve"> عَلِيُّ بْنُ إِبْرَاهِيمَ ، عَنْ أَبِيهِ ، عَنِ ابْنِ أَبِي عُمَيْرٍ ، عَنْ بِشْرِ بْنِ مَسْلَمَةَ </w:t>
      </w:r>
      <w:r w:rsidRPr="00A91B96">
        <w:rPr>
          <w:rStyle w:val="libFootnotenumChar"/>
          <w:rtl/>
        </w:rPr>
        <w:t>(3)</w:t>
      </w:r>
      <w:r w:rsidRPr="00020424">
        <w:rPr>
          <w:rtl/>
          <w:lang w:bidi="fa-IR"/>
        </w:rPr>
        <w:t xml:space="preserve"> ، عَنْ مِسْمَعِ بْنِ عَبْدِ الْمَلِكِ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تَصَدَّقَ بِصَدَقَةٍ حِينَ يُصْبِحُ ، أَذْهَبَ اللهُ عَنْهُ نَحْسَ ذلِكَ الْيَوْمِ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717768">
        <w:rPr>
          <w:rtl/>
        </w:rPr>
        <w:t>6018</w:t>
      </w:r>
      <w:r w:rsidRPr="001155DE">
        <w:rPr>
          <w:rStyle w:val="libBold2Char"/>
          <w:rtl/>
        </w:rPr>
        <w:t xml:space="preserve"> / 8.</w:t>
      </w:r>
      <w:r w:rsidRPr="00020424">
        <w:rPr>
          <w:rtl/>
          <w:lang w:bidi="fa-IR"/>
        </w:rPr>
        <w:t xml:space="preserve"> عَلِيُّ بْنُ مُحَمَّدِ بْنِ عَبْدِ اللهِ ، عَنْ أَحْمَدَ بْنِ مُحَمَّدٍ ، عَنْ غَيْرِ وَاحِدٍ ، عَنْ عَلِيِّ بْنِ أَسْبَاطٍ ، عَنِ الْحَسَنِ بْنِ الْجَهْمِ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757F3F">
        <w:rPr>
          <w:rStyle w:val="libFootnoteBoldChar"/>
          <w:rtl/>
        </w:rPr>
        <w:t>الأمالي للطوسي</w:t>
      </w:r>
      <w:r w:rsidR="00992664" w:rsidRPr="00020424">
        <w:rPr>
          <w:rtl/>
        </w:rPr>
        <w:t xml:space="preserve"> ، ص 157 ، المجلس 6 ، ح 13 ، بسند آخر. </w:t>
      </w:r>
      <w:r w:rsidR="00992664" w:rsidRPr="00DE76B9">
        <w:rPr>
          <w:rStyle w:val="libFootnoteBoldChar"/>
          <w:rtl/>
        </w:rPr>
        <w:t>عيون الأخبار</w:t>
      </w:r>
      <w:r w:rsidR="00992664" w:rsidRPr="00020424">
        <w:rPr>
          <w:rtl/>
        </w:rPr>
        <w:t xml:space="preserve"> ، ج 2 ، ص 62 ، ح 251 ، بسند آخر عن الرضا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وتمام الرواية : « باكروا بالصدقة ، فمن باكر بها لم يتخطّاه الدعاء » </w:t>
      </w:r>
      <w:r w:rsidR="007F0D64">
        <w:rPr>
          <w:rFonts w:hint="cs"/>
          <w:rtl/>
        </w:rPr>
        <w:t>.</w:t>
      </w:r>
      <w:r w:rsidR="00992664" w:rsidRPr="0012008A">
        <w:rPr>
          <w:rStyle w:val="libFootnoteBoldChar"/>
          <w:rtl/>
        </w:rPr>
        <w:t>الوافي</w:t>
      </w:r>
      <w:r w:rsidR="00992664" w:rsidRPr="00020424">
        <w:rPr>
          <w:rtl/>
        </w:rPr>
        <w:t xml:space="preserve"> ، ج 10 ، ص 390 ، ح 9743 ؛ </w:t>
      </w:r>
      <w:r w:rsidR="00992664" w:rsidRPr="0012008A">
        <w:rPr>
          <w:rStyle w:val="libFootnoteBoldChar"/>
          <w:rtl/>
        </w:rPr>
        <w:t>الوسائل</w:t>
      </w:r>
      <w:r w:rsidR="00992664" w:rsidRPr="00020424">
        <w:rPr>
          <w:rtl/>
        </w:rPr>
        <w:t xml:space="preserve"> ، ج 9 ، ص 383 ، ح 12293.</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الزكاة ، باب فضل الصدقة ، ح 6006 ومصادره </w:t>
      </w:r>
      <w:r w:rsidR="007F0D64">
        <w:rPr>
          <w:rFonts w:hint="cs"/>
          <w:rtl/>
        </w:rPr>
        <w:t>.</w:t>
      </w:r>
      <w:r w:rsidR="00992664" w:rsidRPr="0012008A">
        <w:rPr>
          <w:rStyle w:val="libFootnoteBoldChar"/>
          <w:rtl/>
        </w:rPr>
        <w:t>الوافي</w:t>
      </w:r>
      <w:r w:rsidR="00992664" w:rsidRPr="00020424">
        <w:rPr>
          <w:rtl/>
        </w:rPr>
        <w:t xml:space="preserve"> ، ج 10 ، ص 389 ، ح 9741 ؛ </w:t>
      </w:r>
      <w:r w:rsidR="00992664" w:rsidRPr="0012008A">
        <w:rPr>
          <w:rStyle w:val="libFootnoteBoldChar"/>
          <w:rtl/>
        </w:rPr>
        <w:t>الوسائل</w:t>
      </w:r>
      <w:r w:rsidR="00992664" w:rsidRPr="00020424">
        <w:rPr>
          <w:rtl/>
        </w:rPr>
        <w:t xml:space="preserve"> ، ج 9 ، ص 387 ، ح 12303.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ظ</w:t>
      </w:r>
      <w:r w:rsidR="00992664">
        <w:rPr>
          <w:rtl/>
        </w:rPr>
        <w:t xml:space="preserve"> ».</w:t>
      </w:r>
      <w:r w:rsidR="00992664" w:rsidRPr="00020424">
        <w:rPr>
          <w:rtl/>
        </w:rPr>
        <w:t xml:space="preserve"> وفي « ى ، بث ، بح ، بخ ، بس ، بر ، بف ، جن » والمطبوع </w:t>
      </w:r>
      <w:r w:rsidR="00992664" w:rsidRPr="00EB1FD9">
        <w:rPr>
          <w:rStyle w:val="libFootnoteBoldChar"/>
          <w:rtl/>
        </w:rPr>
        <w:t>والوسائل</w:t>
      </w:r>
      <w:r w:rsidR="00992664" w:rsidRPr="00020424">
        <w:rPr>
          <w:rtl/>
        </w:rPr>
        <w:t xml:space="preserve"> : « سلمة</w:t>
      </w:r>
      <w:r w:rsidR="00992664">
        <w:rPr>
          <w:rtl/>
        </w:rPr>
        <w:t xml:space="preserve"> ».</w:t>
      </w:r>
      <w:r w:rsidR="00992664" w:rsidRPr="00020424">
        <w:rPr>
          <w:rtl/>
        </w:rPr>
        <w:t xml:space="preserve"> وبشر هذا ، هوبشر بن مسلمة روى ابن أبي عمير عنه كتابه. راجع : </w:t>
      </w:r>
      <w:r w:rsidR="00992664" w:rsidRPr="00DE76B9">
        <w:rPr>
          <w:rStyle w:val="libFootnoteBoldChar"/>
          <w:rtl/>
        </w:rPr>
        <w:t>رجال النجاشي</w:t>
      </w:r>
      <w:r w:rsidR="00992664" w:rsidRPr="00020424">
        <w:rPr>
          <w:rtl/>
        </w:rPr>
        <w:t xml:space="preserve"> ، ص 111 ، الرقم 285 ؛ </w:t>
      </w:r>
      <w:r w:rsidR="00992664" w:rsidRPr="00D530ED">
        <w:rPr>
          <w:rStyle w:val="libFootnoteBoldChar"/>
          <w:rtl/>
        </w:rPr>
        <w:t>الفهرست للطوسي</w:t>
      </w:r>
      <w:r w:rsidR="00992664" w:rsidRPr="00020424">
        <w:rPr>
          <w:rtl/>
        </w:rPr>
        <w:t xml:space="preserve"> ، ص 97 ، الرقم 130.</w:t>
      </w:r>
    </w:p>
    <w:p w:rsidR="00992664" w:rsidRPr="00020424" w:rsidRDefault="00795177" w:rsidP="00992664">
      <w:pPr>
        <w:pStyle w:val="libFootnote0"/>
        <w:rPr>
          <w:rtl/>
          <w:lang w:bidi="fa-IR"/>
        </w:rPr>
      </w:pPr>
      <w:r>
        <w:rPr>
          <w:rtl/>
        </w:rPr>
        <w:t>(4).</w:t>
      </w:r>
      <w:r w:rsidR="0014403D">
        <w:rPr>
          <w:rtl/>
        </w:rPr>
        <w:t xml:space="preserve"> </w:t>
      </w:r>
      <w:r w:rsidR="00D64ADA" w:rsidRPr="00D64ADA">
        <w:rPr>
          <w:rStyle w:val="libFootnoteBoldChar"/>
          <w:rtl/>
        </w:rPr>
        <w:t>المحاسن</w:t>
      </w:r>
      <w:r w:rsidR="00992664" w:rsidRPr="00020424">
        <w:rPr>
          <w:rtl/>
        </w:rPr>
        <w:t xml:space="preserve"> ، ص 349 ، ح 27 ، عن ابن أبي عمير ، عن بشر بن سلمة ، عن مسمع كردين ، عن أبي عبدالله </w:t>
      </w:r>
      <w:r w:rsidR="00992664" w:rsidRPr="00D64ADA">
        <w:rPr>
          <w:rStyle w:val="libFootnoteAlaemChar"/>
          <w:rtl/>
        </w:rPr>
        <w:t>عليه‌السلام</w:t>
      </w:r>
      <w:r w:rsidR="00992664" w:rsidRPr="00020424">
        <w:rPr>
          <w:rtl/>
        </w:rPr>
        <w:t xml:space="preserve">. </w:t>
      </w:r>
      <w:r w:rsidR="00992664" w:rsidRPr="00587829">
        <w:rPr>
          <w:rStyle w:val="libFootnoteBoldChar"/>
          <w:rtl/>
        </w:rPr>
        <w:t>الأمالي للصدوق</w:t>
      </w:r>
      <w:r w:rsidR="00992664" w:rsidRPr="00020424">
        <w:rPr>
          <w:rtl/>
        </w:rPr>
        <w:t xml:space="preserve"> ، ص 443 ، المجلس 67 ، ح 7 ، بسنده عن محمّد بن أبي عمير ، عن بشر بن مسلمة ، عن مسمع أبي سيّار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269 ، ح 2407 ، معلّقاً عن كردين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قرب الإسناد</w:t>
      </w:r>
      <w:r w:rsidR="00992664" w:rsidRPr="00020424">
        <w:rPr>
          <w:rtl/>
        </w:rPr>
        <w:t xml:space="preserve"> ، ص 120 ، ح 423 ، بسند آخر عن جعفر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آخره. </w:t>
      </w:r>
      <w:r w:rsidR="00992664" w:rsidRPr="00DE76B9">
        <w:rPr>
          <w:rStyle w:val="libFootnoteBoldChar"/>
          <w:rtl/>
        </w:rPr>
        <w:t>الجعفريّات</w:t>
      </w:r>
      <w:r w:rsidR="00992664" w:rsidRPr="00020424">
        <w:rPr>
          <w:rtl/>
        </w:rPr>
        <w:t xml:space="preserve"> ، ص 56 ، بسند آخر عن جعفر بن محمّد ، عن أبيه </w:t>
      </w:r>
      <w:r w:rsidR="00D64ADA" w:rsidRPr="00D64ADA">
        <w:rPr>
          <w:rStyle w:val="libFootnoteAlaemChar"/>
          <w:rtl/>
        </w:rPr>
        <w:t>عليهما‌السلام</w:t>
      </w:r>
      <w:r w:rsidR="00992664" w:rsidRPr="00020424">
        <w:rPr>
          <w:rtl/>
        </w:rPr>
        <w:t xml:space="preserve"> ، ضمن الحديث ، وفيهما مع اختلاف يسير </w:t>
      </w:r>
      <w:r w:rsidR="007F0D64">
        <w:rPr>
          <w:rFonts w:hint="cs"/>
          <w:rtl/>
        </w:rPr>
        <w:t>.</w:t>
      </w:r>
      <w:r w:rsidR="00992664" w:rsidRPr="0012008A">
        <w:rPr>
          <w:rStyle w:val="libFootnoteBoldChar"/>
          <w:rtl/>
        </w:rPr>
        <w:t>الوافي</w:t>
      </w:r>
      <w:r w:rsidR="00992664" w:rsidRPr="00020424">
        <w:rPr>
          <w:rtl/>
        </w:rPr>
        <w:t xml:space="preserve"> ، ج 10 ، ص 389 ، ح 9742 ؛ </w:t>
      </w:r>
      <w:r w:rsidR="00992664" w:rsidRPr="0012008A">
        <w:rPr>
          <w:rStyle w:val="libFootnoteBoldChar"/>
          <w:rtl/>
        </w:rPr>
        <w:t>الوسائل</w:t>
      </w:r>
      <w:r w:rsidR="00992664" w:rsidRPr="00020424">
        <w:rPr>
          <w:rtl/>
        </w:rPr>
        <w:t xml:space="preserve"> ، ج 9 ، ص 383 ، ح 12294.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قَالَ أَبُو الْحَسَنِ </w:t>
      </w:r>
      <w:r w:rsidRPr="00005A81">
        <w:rPr>
          <w:rStyle w:val="libAlaemChar"/>
          <w:rtl/>
        </w:rPr>
        <w:t>عليه‌السلام</w:t>
      </w:r>
      <w:r w:rsidRPr="00020424">
        <w:rPr>
          <w:rtl/>
          <w:lang w:bidi="fa-IR"/>
        </w:rPr>
        <w:t xml:space="preserve"> لِإِسْمَاعِيلَ بْنِ مُحَمَّدٍ</w:t>
      </w:r>
      <w:r>
        <w:rPr>
          <w:rtl/>
          <w:lang w:bidi="fa-IR"/>
        </w:rPr>
        <w:t xml:space="preserve"> </w:t>
      </w:r>
      <w:r w:rsidR="009B673F">
        <w:rPr>
          <w:rtl/>
          <w:lang w:bidi="fa-IR"/>
        </w:rPr>
        <w:t>-</w:t>
      </w:r>
      <w:r>
        <w:rPr>
          <w:rtl/>
          <w:lang w:bidi="fa-IR"/>
        </w:rPr>
        <w:t xml:space="preserve"> </w:t>
      </w:r>
      <w:r w:rsidRPr="00020424">
        <w:rPr>
          <w:rtl/>
          <w:lang w:bidi="fa-IR"/>
        </w:rPr>
        <w:t xml:space="preserve">وَذَكَرَ لَهُ أَنَّ </w:t>
      </w:r>
      <w:r w:rsidRPr="00A91B96">
        <w:rPr>
          <w:rStyle w:val="libFootnotenumChar"/>
          <w:rtl/>
        </w:rPr>
        <w:t>(1)</w:t>
      </w:r>
      <w:r w:rsidRPr="00020424">
        <w:rPr>
          <w:rtl/>
          <w:lang w:bidi="fa-IR"/>
        </w:rPr>
        <w:t xml:space="preserve"> ابْنَهُ صَدَّقَ عَنْهُ</w:t>
      </w:r>
      <w:r>
        <w:rPr>
          <w:rtl/>
          <w:lang w:bidi="fa-IR"/>
        </w:rPr>
        <w:t xml:space="preserve"> </w:t>
      </w:r>
      <w:r w:rsidR="009B673F">
        <w:rPr>
          <w:rtl/>
          <w:lang w:bidi="fa-IR"/>
        </w:rPr>
        <w:t>-</w:t>
      </w:r>
      <w:r>
        <w:rPr>
          <w:rtl/>
          <w:lang w:bidi="fa-IR"/>
        </w:rPr>
        <w:t xml:space="preserve"> </w:t>
      </w:r>
      <w:r w:rsidRPr="00020424">
        <w:rPr>
          <w:rtl/>
          <w:lang w:bidi="fa-IR"/>
        </w:rPr>
        <w:t xml:space="preserve">قَالَ : إِنَّهُ رَجُلٌ </w:t>
      </w:r>
      <w:r w:rsidRPr="00A91B96">
        <w:rPr>
          <w:rStyle w:val="libFootnotenumChar"/>
          <w:rtl/>
        </w:rPr>
        <w:t>(2)</w:t>
      </w:r>
      <w:r w:rsidRPr="00020424">
        <w:rPr>
          <w:rtl/>
          <w:lang w:bidi="fa-IR"/>
        </w:rPr>
        <w:t xml:space="preserve"> ، قَالَ : « فَمُرْهُ أَنْ يَتَصَدَّقَ وَلَوْ بِالْكِسْرَةِ </w:t>
      </w:r>
      <w:r w:rsidRPr="00A91B96">
        <w:rPr>
          <w:rStyle w:val="libFootnotenumChar"/>
          <w:rtl/>
        </w:rPr>
        <w:t>(3)</w:t>
      </w:r>
      <w:r w:rsidRPr="00020424">
        <w:rPr>
          <w:rtl/>
          <w:lang w:bidi="fa-IR"/>
        </w:rPr>
        <w:t xml:space="preserve"> مِنَ الْخُبْزِ</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قَالَ </w:t>
      </w:r>
      <w:r w:rsidRPr="00A91B96">
        <w:rPr>
          <w:rStyle w:val="libFootnotenumChar"/>
          <w:rtl/>
        </w:rPr>
        <w:t>(4)</w:t>
      </w:r>
      <w:r w:rsidRPr="00020424">
        <w:rPr>
          <w:rtl/>
          <w:lang w:bidi="fa-IR"/>
        </w:rPr>
        <w:t xml:space="preserve"> أَبُو جَعْفَرٍ </w:t>
      </w:r>
      <w:r w:rsidRPr="00005A81">
        <w:rPr>
          <w:rStyle w:val="libAlaemChar"/>
          <w:rtl/>
        </w:rPr>
        <w:t>عليه‌السلام</w:t>
      </w:r>
      <w:r w:rsidRPr="00020424">
        <w:rPr>
          <w:rtl/>
          <w:lang w:bidi="fa-IR"/>
        </w:rPr>
        <w:t xml:space="preserve"> : إِنَّ رَجُلاً مِنْ بَنِي إِسْرَائِيلَ كَانَ لَهُ ابْنٌ وَكَانَ لَهُ مُحِبّاً ، فَأُتِيَ فِي مَنَامِهِ ، فَقِيلَ لَهُ : إِنَّ ابْنَكَ لَيْلَةَ يَدْخُلُ بِأَهْلِهِ يَمُوتُ ، قَالَ : فَلَمَّا كَانَ تِلْكَ اللَّيْلَةُ وَبنَى عَلَيْهِ أَبُوهُ </w:t>
      </w:r>
      <w:r w:rsidRPr="00A91B96">
        <w:rPr>
          <w:rStyle w:val="libFootnotenumChar"/>
          <w:rtl/>
        </w:rPr>
        <w:t>(5)</w:t>
      </w:r>
      <w:r w:rsidRPr="00020424">
        <w:rPr>
          <w:rtl/>
          <w:lang w:bidi="fa-IR"/>
        </w:rPr>
        <w:t xml:space="preserve"> ، تَوَقَّعَ </w:t>
      </w:r>
      <w:r w:rsidRPr="00A91B96">
        <w:rPr>
          <w:rStyle w:val="libFootnotenumChar"/>
          <w:rtl/>
        </w:rPr>
        <w:t>(6)</w:t>
      </w:r>
      <w:r w:rsidRPr="00020424">
        <w:rPr>
          <w:rtl/>
          <w:lang w:bidi="fa-IR"/>
        </w:rPr>
        <w:t xml:space="preserve"> أَبُوهُ ذلِكَ ، فَأَصْبَحَ ابْنُهُ سَلِيماً </w:t>
      </w:r>
      <w:r w:rsidRPr="00A91B96">
        <w:rPr>
          <w:rStyle w:val="libFootnotenumChar"/>
          <w:rtl/>
        </w:rPr>
        <w:t>(7)</w:t>
      </w:r>
      <w:r w:rsidRPr="00020424">
        <w:rPr>
          <w:rtl/>
          <w:lang w:bidi="fa-IR"/>
        </w:rPr>
        <w:t xml:space="preserve"> ، فَأَتَاهُ أَبُوهُ ، فَقَالَ لَهُ </w:t>
      </w:r>
      <w:r w:rsidRPr="00A91B96">
        <w:rPr>
          <w:rStyle w:val="libFootnotenumChar"/>
          <w:rtl/>
        </w:rPr>
        <w:t>(8)</w:t>
      </w:r>
      <w:r w:rsidRPr="00020424">
        <w:rPr>
          <w:rtl/>
          <w:lang w:bidi="fa-IR"/>
        </w:rPr>
        <w:t xml:space="preserve"> : يَا بُنَيَّ ، هَلْ عَمِلْتَ الْبَارِحَةَ شَيْئاً مِنَ الْخَيْرِ</w:t>
      </w:r>
      <w:r>
        <w:rPr>
          <w:rtl/>
          <w:lang w:bidi="fa-IR"/>
        </w:rPr>
        <w:t>؟</w:t>
      </w:r>
      <w:r w:rsidR="007F0D64">
        <w:rPr>
          <w:rtl/>
          <w:lang w:bidi="fa-IR"/>
        </w:rPr>
        <w:t xml:space="preserve"> قَالَ : لَا ، إِل</w:t>
      </w:r>
      <w:r w:rsidR="007F0D64">
        <w:rPr>
          <w:rFonts w:hint="cs"/>
          <w:rtl/>
          <w:lang w:bidi="fa-IR"/>
        </w:rPr>
        <w:t>َّ</w:t>
      </w:r>
      <w:r w:rsidR="007F0D64">
        <w:rPr>
          <w:rtl/>
          <w:lang w:bidi="fa-IR"/>
        </w:rPr>
        <w:t>ا</w:t>
      </w:r>
      <w:r w:rsidRPr="00020424">
        <w:rPr>
          <w:rtl/>
          <w:lang w:bidi="fa-IR"/>
        </w:rPr>
        <w:t xml:space="preserve"> أَنَّ سَائِلاً أَتَى الْبَابَ وَقَدْ كَانُوا ادَّخَرُوا لِي طَعَاماً ، فَأَعْطَيْتُهُ السَّائِلَ ، فَقَالَ : بِهذَا دَفَعَ اللهُ </w:t>
      </w:r>
      <w:r w:rsidRPr="00A91B96">
        <w:rPr>
          <w:rStyle w:val="libFootnotenumChar"/>
          <w:rtl/>
        </w:rPr>
        <w:t>(9)</w:t>
      </w:r>
      <w:r w:rsidRPr="00020424">
        <w:rPr>
          <w:rtl/>
          <w:lang w:bidi="fa-IR"/>
        </w:rPr>
        <w:t xml:space="preserve"> عَنْكَ</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717768">
        <w:rPr>
          <w:rtl/>
        </w:rPr>
        <w:t>6019</w:t>
      </w:r>
      <w:r w:rsidRPr="001155DE">
        <w:rPr>
          <w:rStyle w:val="libBold2Char"/>
          <w:rtl/>
        </w:rPr>
        <w:t xml:space="preserve"> / 9.</w:t>
      </w:r>
      <w:r w:rsidRPr="00020424">
        <w:rPr>
          <w:rtl/>
          <w:lang w:bidi="fa-IR"/>
        </w:rPr>
        <w:t xml:space="preserve"> وَبِهذَا الْإِسْنَادِ ، عَنْ عَلِيِّ بْنِ أَسْبَاطٍ ، عَمَّنْ رَوَاهُ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بَيْنِي وَبَيْنَ رَجُلٍ قِسْمَةُ أَرْضٍ ، وَكَانَ الرَّجُلُ صَاحِبَ نُجُومٍ </w:t>
      </w:r>
      <w:r w:rsidRPr="00A91B96">
        <w:rPr>
          <w:rStyle w:val="libFootnotenumChar"/>
          <w:rtl/>
        </w:rPr>
        <w:t>(11)</w:t>
      </w:r>
      <w:r w:rsidRPr="00020424">
        <w:rPr>
          <w:rtl/>
          <w:lang w:bidi="fa-IR"/>
        </w:rPr>
        <w:t xml:space="preserve"> ، وَكَانَ يَتَوَخّى </w:t>
      </w:r>
      <w:r w:rsidRPr="00A91B96">
        <w:rPr>
          <w:rStyle w:val="libFootnotenumChar"/>
          <w:rtl/>
        </w:rPr>
        <w:t>(12)</w:t>
      </w:r>
      <w:r w:rsidRPr="00020424">
        <w:rPr>
          <w:rtl/>
          <w:lang w:bidi="fa-IR"/>
        </w:rPr>
        <w:t xml:space="preserve"> سَاعَةَ السُّعُودِ ، فَيَخْرُجُ </w:t>
      </w:r>
      <w:r w:rsidRPr="00A91B96">
        <w:rPr>
          <w:rStyle w:val="libFootnotenumChar"/>
          <w:rtl/>
        </w:rPr>
        <w:t>(13)</w:t>
      </w:r>
      <w:r w:rsidRPr="00020424">
        <w:rPr>
          <w:rtl/>
          <w:lang w:bidi="fa-IR"/>
        </w:rPr>
        <w:t xml:space="preserve"> فِيهَا ، وَأَخْرُجُ أَنَا فِي سَاعَةِ‌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795177" w:rsidP="002838A9">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وذكر له ابنه ؛ يعني علّة ابنه. صدّق عنه ، أي تصدّق عنه. إنّه رجل ، أي مستقلّ باموره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 قال ، أي الراوي : إنّه رجل ، أي بالغ يجوز تصرّفاته ، أو قال الإمام </w:t>
      </w:r>
      <w:r w:rsidR="00992664" w:rsidRPr="00D64ADA">
        <w:rPr>
          <w:rStyle w:val="libFootnoteAlaemChar"/>
          <w:rtl/>
        </w:rPr>
        <w:t>عليه‌السلام</w:t>
      </w:r>
      <w:r w:rsidR="00992664" w:rsidRPr="00020424">
        <w:rPr>
          <w:rtl/>
        </w:rPr>
        <w:t xml:space="preserve"> ، على المدح : إنّه رجل ، وكثيراً ما يقال في المدح : إنّه رجل وفحل</w:t>
      </w:r>
      <w:r w:rsidR="00992664">
        <w:rPr>
          <w:rtl/>
        </w:rPr>
        <w:t xml:space="preserve"> ».</w:t>
      </w:r>
      <w:r w:rsidR="002838A9">
        <w:rPr>
          <w:rFonts w:hint="cs"/>
          <w:rtl/>
        </w:rPr>
        <w:t xml:space="preserve">                      </w:t>
      </w: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بالكسيرة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أبوه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وبني عليه ، كناية عن الدخول بالأهل ؛ فإنّهم كانوا يبنون على‌الزوجين ليلة الزفاف بناءاً ، على حدة من خيمة ونحوها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بس » </w:t>
      </w:r>
      <w:r w:rsidR="00992664" w:rsidRPr="00EB1FD9">
        <w:rPr>
          <w:rStyle w:val="libFootnoteBoldChar"/>
          <w:rtl/>
        </w:rPr>
        <w:t>والوسائل</w:t>
      </w:r>
      <w:r w:rsidR="00992664" w:rsidRPr="00020424">
        <w:rPr>
          <w:rtl/>
        </w:rPr>
        <w:t xml:space="preserve"> : « فتوقّع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بث ، بر ، بس » وحاشية « بح » </w:t>
      </w:r>
      <w:r w:rsidR="00992664" w:rsidRPr="00EB1FD9">
        <w:rPr>
          <w:rStyle w:val="libFootnoteBoldChar"/>
          <w:rtl/>
        </w:rPr>
        <w:t>والوسائل</w:t>
      </w:r>
      <w:r w:rsidR="00992664" w:rsidRPr="00020424">
        <w:rPr>
          <w:rtl/>
        </w:rPr>
        <w:t xml:space="preserve"> : « سالماً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بح ، بخ ، بف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جن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392 ، ح 9751 ؛ </w:t>
      </w:r>
      <w:r w:rsidR="00992664" w:rsidRPr="0012008A">
        <w:rPr>
          <w:rStyle w:val="libFootnoteBoldChar"/>
          <w:rtl/>
        </w:rPr>
        <w:t>الوسائل</w:t>
      </w:r>
      <w:r w:rsidR="00992664" w:rsidRPr="00020424">
        <w:rPr>
          <w:rtl/>
        </w:rPr>
        <w:t xml:space="preserve"> ، ج 9 ، ص 376 ، ح 12279 ؛ </w:t>
      </w:r>
      <w:r w:rsidR="00992664" w:rsidRPr="0012008A">
        <w:rPr>
          <w:rStyle w:val="libFootnoteBoldChar"/>
          <w:rtl/>
        </w:rPr>
        <w:t>البحار</w:t>
      </w:r>
      <w:r w:rsidR="00992664" w:rsidRPr="00020424">
        <w:rPr>
          <w:rtl/>
        </w:rPr>
        <w:t xml:space="preserve"> ، ج 14 ، ص 501 ، ح 26 ، من قوله : « قال أبوجعفر </w:t>
      </w:r>
      <w:r w:rsidR="00992664" w:rsidRPr="00D64ADA">
        <w:rPr>
          <w:rStyle w:val="libFootnoteAlaemChar"/>
          <w:rtl/>
        </w:rPr>
        <w:t>عليه‌السلام</w:t>
      </w:r>
      <w:r w:rsidR="00992664">
        <w:rPr>
          <w:rtl/>
        </w:rPr>
        <w:t xml:space="preserve"> ».</w:t>
      </w:r>
    </w:p>
    <w:p w:rsidR="00992664" w:rsidRPr="00020424" w:rsidRDefault="00795177" w:rsidP="005753EF">
      <w:pPr>
        <w:pStyle w:val="libFootnote0"/>
        <w:rPr>
          <w:rtl/>
          <w:lang w:bidi="fa-IR"/>
        </w:rPr>
      </w:pPr>
      <w:r>
        <w:rPr>
          <w:rtl/>
        </w:rPr>
        <w:t>(11).</w:t>
      </w:r>
      <w:r w:rsidR="0014403D">
        <w:rPr>
          <w:rtl/>
        </w:rPr>
        <w:t xml:space="preserve"> </w:t>
      </w:r>
      <w:r w:rsidR="00992664" w:rsidRPr="00020424">
        <w:rPr>
          <w:rtl/>
        </w:rPr>
        <w:t>في « ى » : « النجوم</w:t>
      </w:r>
      <w:r w:rsidR="00992664">
        <w:rPr>
          <w:rtl/>
        </w:rPr>
        <w:t xml:space="preserve"> ».</w:t>
      </w:r>
      <w:r w:rsidR="005753EF">
        <w:rPr>
          <w:rFonts w:hint="cs"/>
          <w:rtl/>
        </w:rPr>
        <w:t xml:space="preserve">                                         </w:t>
      </w:r>
      <w:r>
        <w:rPr>
          <w:rtl/>
        </w:rPr>
        <w:t>(12).</w:t>
      </w:r>
      <w:r w:rsidR="0014403D">
        <w:rPr>
          <w:rtl/>
        </w:rPr>
        <w:t xml:space="preserve"> </w:t>
      </w:r>
      <w:r w:rsidR="00992664" w:rsidRPr="00020424">
        <w:rPr>
          <w:rtl/>
        </w:rPr>
        <w:t xml:space="preserve">يقال : توخّى الأمرَ ، أي قصد إليه وتعمّد فعله وتحرّى فيه. راجع : </w:t>
      </w:r>
      <w:r w:rsidR="00992664" w:rsidRPr="0012008A">
        <w:rPr>
          <w:rStyle w:val="libFootnoteBoldChar"/>
          <w:rtl/>
        </w:rPr>
        <w:t>الصحاح</w:t>
      </w:r>
      <w:r w:rsidR="00992664" w:rsidRPr="00020424">
        <w:rPr>
          <w:rtl/>
        </w:rPr>
        <w:t xml:space="preserve"> ، ج 6 ، ص 2521 ؛ </w:t>
      </w:r>
      <w:r w:rsidR="00992664" w:rsidRPr="0012008A">
        <w:rPr>
          <w:rStyle w:val="libFootnoteBoldChar"/>
          <w:rtl/>
        </w:rPr>
        <w:t>النهاية</w:t>
      </w:r>
      <w:r w:rsidR="00992664" w:rsidRPr="00020424">
        <w:rPr>
          <w:rtl/>
        </w:rPr>
        <w:t xml:space="preserve"> ، ج 5 ، ص 164</w:t>
      </w:r>
      <w:r w:rsidR="00992664">
        <w:rPr>
          <w:rtl/>
        </w:rPr>
        <w:t xml:space="preserve"> </w:t>
      </w:r>
      <w:r w:rsidR="009B673F">
        <w:rPr>
          <w:rtl/>
        </w:rPr>
        <w:t>-</w:t>
      </w:r>
      <w:r w:rsidR="00992664">
        <w:rPr>
          <w:rtl/>
        </w:rPr>
        <w:t xml:space="preserve"> </w:t>
      </w:r>
      <w:r w:rsidR="00992664" w:rsidRPr="00020424">
        <w:rPr>
          <w:rtl/>
        </w:rPr>
        <w:t>165 ( وخا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ليخرج</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05922">
      <w:pPr>
        <w:pStyle w:val="libNormal0"/>
        <w:rPr>
          <w:rtl/>
          <w:lang w:bidi="fa-IR"/>
        </w:rPr>
      </w:pPr>
      <w:r w:rsidRPr="00020424">
        <w:rPr>
          <w:rtl/>
          <w:lang w:bidi="fa-IR"/>
        </w:rPr>
        <w:lastRenderedPageBreak/>
        <w:t xml:space="preserve">النُّحُوسِ ، فَاقْتَسَمْنَا ، فَخَرَجَ لِي خَيْرُ الْقِسْمَيْنِ ، فَضَرَبَ الرَّجُلُ يَدَهُ </w:t>
      </w:r>
      <w:r w:rsidRPr="00A91B96">
        <w:rPr>
          <w:rStyle w:val="libFootnotenumChar"/>
          <w:rtl/>
        </w:rPr>
        <w:t>(1)</w:t>
      </w:r>
      <w:r w:rsidRPr="00020424">
        <w:rPr>
          <w:rtl/>
          <w:lang w:bidi="fa-IR"/>
        </w:rPr>
        <w:t xml:space="preserve"> الْيُمْنى عَلَى </w:t>
      </w:r>
      <w:r w:rsidRPr="00A91B96">
        <w:rPr>
          <w:rStyle w:val="libFootnotenumChar"/>
          <w:rtl/>
        </w:rPr>
        <w:t>(2)</w:t>
      </w:r>
      <w:r w:rsidRPr="00020424">
        <w:rPr>
          <w:rtl/>
          <w:lang w:bidi="fa-IR"/>
        </w:rPr>
        <w:t xml:space="preserve"> الْيُسْرى ، ثُمَّ قَالَ : مَا رَأَيْتُ كَالْيَوْمِ قَطُّ ، قُلْتُ : وَيْلَ </w:t>
      </w:r>
      <w:r w:rsidRPr="00A91B96">
        <w:rPr>
          <w:rStyle w:val="libFootnotenumChar"/>
          <w:rtl/>
        </w:rPr>
        <w:t>(3)</w:t>
      </w:r>
      <w:r w:rsidRPr="00020424">
        <w:rPr>
          <w:rtl/>
          <w:lang w:bidi="fa-IR"/>
        </w:rPr>
        <w:t xml:space="preserve"> الْآخَرِ </w:t>
      </w:r>
      <w:r w:rsidRPr="00A91B96">
        <w:rPr>
          <w:rStyle w:val="libFootnotenumChar"/>
          <w:rtl/>
        </w:rPr>
        <w:t>(4)</w:t>
      </w:r>
      <w:r w:rsidRPr="00020424">
        <w:rPr>
          <w:rtl/>
          <w:lang w:bidi="fa-IR"/>
        </w:rPr>
        <w:t xml:space="preserve"> وَمَا ذَاكَ </w:t>
      </w:r>
      <w:r w:rsidRPr="00A91B96">
        <w:rPr>
          <w:rStyle w:val="libFootnotenumChar"/>
          <w:rtl/>
        </w:rPr>
        <w:t>(5)</w:t>
      </w:r>
      <w:r>
        <w:rPr>
          <w:rtl/>
          <w:lang w:bidi="fa-IR"/>
        </w:rPr>
        <w:t>؟</w:t>
      </w:r>
      <w:r w:rsidRPr="00020424">
        <w:rPr>
          <w:rtl/>
          <w:lang w:bidi="fa-IR"/>
        </w:rPr>
        <w:t xml:space="preserve"> قَالَ : إِنِّي صَاحِبُ نُجُومٍ </w:t>
      </w:r>
      <w:r w:rsidRPr="00A91B96">
        <w:rPr>
          <w:rStyle w:val="libFootnotenumChar"/>
          <w:rtl/>
        </w:rPr>
        <w:t>(6)</w:t>
      </w:r>
      <w:r w:rsidRPr="00020424">
        <w:rPr>
          <w:rtl/>
          <w:lang w:bidi="fa-IR"/>
        </w:rPr>
        <w:t xml:space="preserve"> أَخْرَجْتُكَ فِي سَاعَةِ النُّحُوسِ ، وَخَرَجْتُ أَنَا فِي سَاعَةِ السُّعُودِ ، ثُمَّ قَسَمْنَا ، فَخَرَجَ لَكَ خَيْرُ الْقِسْمَيْنِ.</w:t>
      </w:r>
    </w:p>
    <w:p w:rsidR="00992664" w:rsidRPr="00020424" w:rsidRDefault="00992664" w:rsidP="00992664">
      <w:pPr>
        <w:pStyle w:val="libNormal"/>
        <w:rPr>
          <w:rtl/>
          <w:lang w:bidi="fa-IR"/>
        </w:rPr>
      </w:pPr>
      <w:r>
        <w:rPr>
          <w:rtl/>
          <w:lang w:bidi="fa-IR"/>
        </w:rPr>
        <w:t>فَقُلْتُ : أَ</w:t>
      </w:r>
      <w:r w:rsidR="007302BF">
        <w:rPr>
          <w:rFonts w:hint="cs"/>
          <w:rtl/>
          <w:lang w:bidi="fa-IR"/>
        </w:rPr>
        <w:t xml:space="preserve"> </w:t>
      </w:r>
      <w:r w:rsidRPr="00020424">
        <w:rPr>
          <w:rtl/>
          <w:lang w:bidi="fa-IR"/>
        </w:rPr>
        <w:t xml:space="preserve">لا أُحَدِّثُكَ بِحَدِيثٍ حَدَّثَنِي بِهِ </w:t>
      </w:r>
      <w:r w:rsidRPr="00A91B96">
        <w:rPr>
          <w:rStyle w:val="libFootnotenumChar"/>
          <w:rtl/>
        </w:rPr>
        <w:t>(7)</w:t>
      </w:r>
      <w:r w:rsidRPr="00020424">
        <w:rPr>
          <w:rtl/>
          <w:lang w:bidi="fa-IR"/>
        </w:rPr>
        <w:t xml:space="preserve"> أَبِي</w:t>
      </w:r>
      <w:r>
        <w:rPr>
          <w:rtl/>
          <w:lang w:bidi="fa-IR"/>
        </w:rPr>
        <w:t>؟</w:t>
      </w:r>
      <w:r w:rsidRPr="00020424">
        <w:rPr>
          <w:rtl/>
          <w:lang w:bidi="fa-IR"/>
        </w:rPr>
        <w:t xml:space="preserve"> قَالَ : قَالَ رَسُولُ اللهِ </w:t>
      </w:r>
      <w:r w:rsidR="00B42914" w:rsidRPr="00B42914">
        <w:rPr>
          <w:rStyle w:val="libAlaemChar"/>
          <w:rtl/>
        </w:rPr>
        <w:t>صلى‌الله‌عليه‌وآله‌</w:t>
      </w:r>
      <w:r w:rsidRPr="00020424">
        <w:rPr>
          <w:rtl/>
          <w:lang w:bidi="fa-IR"/>
        </w:rPr>
        <w:t xml:space="preserve"> : مَنْ سَرَّهُ أَنْ يَدْفَعَ اللهُ </w:t>
      </w:r>
      <w:r w:rsidRPr="00A91B96">
        <w:rPr>
          <w:rStyle w:val="libFootnotenumChar"/>
          <w:rtl/>
        </w:rPr>
        <w:t>(8)</w:t>
      </w:r>
      <w:r w:rsidRPr="00020424">
        <w:rPr>
          <w:rtl/>
          <w:lang w:bidi="fa-IR"/>
        </w:rPr>
        <w:t xml:space="preserve"> عَنْهُ </w:t>
      </w:r>
      <w:r w:rsidRPr="00A91B96">
        <w:rPr>
          <w:rStyle w:val="libFootnotenumChar"/>
          <w:rtl/>
        </w:rPr>
        <w:t>(9)</w:t>
      </w:r>
      <w:r w:rsidRPr="00020424">
        <w:rPr>
          <w:rtl/>
          <w:lang w:bidi="fa-IR"/>
        </w:rPr>
        <w:t xml:space="preserve"> نَحْسَ يَوْمِهِ ، فَلْيَفْتَتِحْ يَوْمَهُ بِصَدَقَةٍ يُذْهِبُ اللهُ بِهَا عَنْهُ </w:t>
      </w:r>
      <w:r w:rsidRPr="00A91B96">
        <w:rPr>
          <w:rStyle w:val="libFootnotenumChar"/>
          <w:rtl/>
        </w:rPr>
        <w:t>(10)</w:t>
      </w:r>
      <w:r w:rsidRPr="00020424">
        <w:rPr>
          <w:rtl/>
          <w:lang w:bidi="fa-IR"/>
        </w:rPr>
        <w:t xml:space="preserve"> نَحْسَ يَوْمِهِ ، وَمَنْ أَحَبَّ أَنْ يُذْهِبَ اللهُ </w:t>
      </w:r>
      <w:r w:rsidRPr="00A91B96">
        <w:rPr>
          <w:rStyle w:val="libFootnotenumChar"/>
          <w:rtl/>
        </w:rPr>
        <w:t>(11)</w:t>
      </w:r>
      <w:r w:rsidRPr="00020424">
        <w:rPr>
          <w:rtl/>
          <w:lang w:bidi="fa-IR"/>
        </w:rPr>
        <w:t xml:space="preserve"> عَنْهُ نَحْسَ لَيْلَتِهِ </w:t>
      </w:r>
      <w:r w:rsidRPr="00A91B96">
        <w:rPr>
          <w:rStyle w:val="libFootnotenumChar"/>
          <w:rtl/>
        </w:rPr>
        <w:t>(12)</w:t>
      </w:r>
      <w:r w:rsidRPr="00020424">
        <w:rPr>
          <w:rtl/>
          <w:lang w:bidi="fa-IR"/>
        </w:rPr>
        <w:t xml:space="preserve"> ، فَلْيَفْتَتِحْ لَيْلَتَهُ </w:t>
      </w:r>
      <w:r w:rsidRPr="00A91B96">
        <w:rPr>
          <w:rStyle w:val="libFootnotenumChar"/>
          <w:rtl/>
        </w:rPr>
        <w:t>(13)</w:t>
      </w:r>
      <w:r w:rsidRPr="00020424">
        <w:rPr>
          <w:rtl/>
          <w:lang w:bidi="fa-IR"/>
        </w:rPr>
        <w:t xml:space="preserve"> بِصَدَقَةٍ يَدْفَعُ </w:t>
      </w:r>
      <w:r w:rsidRPr="00A91B96">
        <w:rPr>
          <w:rStyle w:val="libFootnotenumChar"/>
          <w:rtl/>
        </w:rPr>
        <w:t>(14)</w:t>
      </w:r>
      <w:r w:rsidRPr="00020424">
        <w:rPr>
          <w:rtl/>
          <w:lang w:bidi="fa-IR"/>
        </w:rPr>
        <w:t xml:space="preserve"> اللهُ </w:t>
      </w:r>
      <w:r w:rsidRPr="00A91B96">
        <w:rPr>
          <w:rStyle w:val="libFootnotenumChar"/>
          <w:rtl/>
        </w:rPr>
        <w:t>(15)</w:t>
      </w:r>
      <w:r w:rsidRPr="00020424">
        <w:rPr>
          <w:rtl/>
          <w:lang w:bidi="fa-IR"/>
        </w:rPr>
        <w:t xml:space="preserve"> عَنْهُ </w:t>
      </w:r>
      <w:r w:rsidRPr="00A91B96">
        <w:rPr>
          <w:rStyle w:val="libFootnotenumChar"/>
          <w:rtl/>
        </w:rPr>
        <w:t>(16)</w:t>
      </w:r>
      <w:r w:rsidRPr="00020424">
        <w:rPr>
          <w:rtl/>
          <w:lang w:bidi="fa-IR"/>
        </w:rPr>
        <w:t xml:space="preserve"> نَحْسَ لَيْلَتِهِ ، فَقُلْتُ </w:t>
      </w:r>
      <w:r w:rsidRPr="00A91B96">
        <w:rPr>
          <w:rStyle w:val="libFootnotenumChar"/>
          <w:rtl/>
        </w:rPr>
        <w:t>(17)</w:t>
      </w:r>
      <w:r w:rsidRPr="00020424">
        <w:rPr>
          <w:rtl/>
          <w:lang w:bidi="fa-IR"/>
        </w:rPr>
        <w:t xml:space="preserve"> : وَإِنِّي </w:t>
      </w:r>
      <w:r w:rsidRPr="00A91B96">
        <w:rPr>
          <w:rStyle w:val="libFootnotenumChar"/>
          <w:rtl/>
        </w:rPr>
        <w:t>(18)</w:t>
      </w:r>
      <w:r w:rsidRPr="00020424">
        <w:rPr>
          <w:rtl/>
          <w:lang w:bidi="fa-IR"/>
        </w:rPr>
        <w:t xml:space="preserve"> افْتَتَحْتُ خُرُوجِي بِصَدَقَةٍ ، فَهذَا خَيْرٌ لَكَ مِنْ عِلْمِ </w:t>
      </w:r>
      <w:r w:rsidRPr="00A91B96">
        <w:rPr>
          <w:rStyle w:val="libFootnotenumChar"/>
          <w:rtl/>
        </w:rPr>
        <w:t>(19)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بخ ، بر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ج 47 : « بيده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 + « يده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و</w:t>
      </w:r>
      <w:r w:rsidR="00992664" w:rsidRPr="0012008A">
        <w:rPr>
          <w:rStyle w:val="libFootnoteBoldChar"/>
          <w:rtl/>
        </w:rPr>
        <w:t>البحار</w:t>
      </w:r>
      <w:r w:rsidR="00992664" w:rsidRPr="00020424">
        <w:rPr>
          <w:rtl/>
        </w:rPr>
        <w:t xml:space="preserve"> ، ج 47 : « ويك</w:t>
      </w:r>
      <w:r w:rsidR="00992664">
        <w:rPr>
          <w:rtl/>
        </w:rPr>
        <w:t xml:space="preserve"> ».</w:t>
      </w:r>
    </w:p>
    <w:p w:rsidR="00992664" w:rsidRPr="00020424" w:rsidRDefault="00795177" w:rsidP="00232EF6">
      <w:pPr>
        <w:pStyle w:val="libFootnote0"/>
        <w:rPr>
          <w:rtl/>
          <w:lang w:bidi="fa-IR"/>
        </w:rPr>
      </w:pPr>
      <w:r>
        <w:rPr>
          <w:rtl/>
        </w:rPr>
        <w:t>(4).</w:t>
      </w:r>
      <w:r w:rsidR="0014403D">
        <w:rPr>
          <w:rtl/>
        </w:rPr>
        <w:t xml:space="preserve"> </w:t>
      </w:r>
      <w:r w:rsidR="00992664" w:rsidRPr="00020424">
        <w:rPr>
          <w:rtl/>
        </w:rPr>
        <w:t>في « جن » : « الأخير</w:t>
      </w:r>
      <w:r w:rsidR="00992664">
        <w:rPr>
          <w:rtl/>
        </w:rPr>
        <w:t xml:space="preserve"> ».</w:t>
      </w:r>
      <w:r w:rsidR="00992664" w:rsidRPr="00020424">
        <w:rPr>
          <w:rtl/>
        </w:rPr>
        <w:t xml:space="preserve"> وفي مرآة العقول و</w:t>
      </w:r>
      <w:r w:rsidR="00992664" w:rsidRPr="0012008A">
        <w:rPr>
          <w:rStyle w:val="libFootnoteBoldChar"/>
          <w:rtl/>
        </w:rPr>
        <w:t>البحار</w:t>
      </w:r>
      <w:r w:rsidR="00992664" w:rsidRPr="00020424">
        <w:rPr>
          <w:rtl/>
        </w:rPr>
        <w:t xml:space="preserve"> ، ج 47 : « ألا ا</w:t>
      </w:r>
      <w:r w:rsidR="007302BF">
        <w:rPr>
          <w:rFonts w:hint="cs"/>
          <w:rtl/>
        </w:rPr>
        <w:t>ُ</w:t>
      </w:r>
      <w:r w:rsidR="00992664" w:rsidRPr="00020424">
        <w:rPr>
          <w:rtl/>
        </w:rPr>
        <w:t>خبرك » بدل « الآخر</w:t>
      </w:r>
      <w:r w:rsidR="00992664">
        <w:rPr>
          <w:rtl/>
        </w:rPr>
        <w:t xml:space="preserve"> ».</w:t>
      </w:r>
    </w:p>
    <w:p w:rsidR="00992664" w:rsidRPr="00020424" w:rsidRDefault="00992664" w:rsidP="00232EF6">
      <w:pPr>
        <w:pStyle w:val="libFootnote0"/>
        <w:rPr>
          <w:rtl/>
          <w:lang w:bidi="fa-IR"/>
        </w:rPr>
      </w:pPr>
      <w:r w:rsidRPr="00232EF6">
        <w:rPr>
          <w:rtl/>
        </w:rPr>
        <w:t xml:space="preserve">وفي </w:t>
      </w:r>
      <w:r w:rsidRPr="0012008A">
        <w:rPr>
          <w:rStyle w:val="libFootnoteBoldChar"/>
          <w:rtl/>
        </w:rPr>
        <w:t>الوافي</w:t>
      </w:r>
      <w:r w:rsidRPr="00232EF6">
        <w:rPr>
          <w:rtl/>
        </w:rPr>
        <w:t xml:space="preserve"> : « لعلّ المراد بقوله </w:t>
      </w:r>
      <w:r w:rsidRPr="00D64ADA">
        <w:rPr>
          <w:rStyle w:val="libFootnoteAlaemChar"/>
          <w:rtl/>
        </w:rPr>
        <w:t>عليه‌السلام</w:t>
      </w:r>
      <w:r w:rsidRPr="00232EF6">
        <w:rPr>
          <w:rtl/>
        </w:rPr>
        <w:t xml:space="preserve"> : ويل الآخر ، ويل لك اليوم الآخر ، يعنى يوم القيامة ، أراد أنّ سوء هذا اليوم سهل بالإضافة إلى ذلك ». وفي </w:t>
      </w:r>
      <w:r w:rsidRPr="00DE76B9">
        <w:rPr>
          <w:rStyle w:val="libFootnoteBoldChar"/>
          <w:rtl/>
        </w:rPr>
        <w:t>مرآة العقول</w:t>
      </w:r>
      <w:r w:rsidRPr="00232EF6">
        <w:rPr>
          <w:rtl/>
        </w:rPr>
        <w:t xml:space="preserve"> : « قاعدة العرب إذا أرادوا تعظيم المخاطب لا يخاطبونه بويلك ، بل يقولون : ويل الآخر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بح ، بس ، جن » و</w:t>
      </w:r>
      <w:r w:rsidR="00992664" w:rsidRPr="0012008A">
        <w:rPr>
          <w:rStyle w:val="libFootnoteBoldChar"/>
          <w:rtl/>
        </w:rPr>
        <w:t>البحار</w:t>
      </w:r>
      <w:r w:rsidR="00992664" w:rsidRPr="00020424">
        <w:rPr>
          <w:rtl/>
        </w:rPr>
        <w:t xml:space="preserve"> ، ج 58 : « ما ذاك » بدون الواو. وفي </w:t>
      </w:r>
      <w:r w:rsidR="00992664" w:rsidRPr="0012008A">
        <w:rPr>
          <w:rStyle w:val="libFootnoteBoldChar"/>
          <w:rtl/>
        </w:rPr>
        <w:t>البحار</w:t>
      </w:r>
      <w:r w:rsidR="00992664" w:rsidRPr="00020424">
        <w:rPr>
          <w:rtl/>
        </w:rPr>
        <w:t xml:space="preserve"> ، ج 47 :</w:t>
      </w:r>
      <w:r w:rsidR="00992664">
        <w:rPr>
          <w:rtl/>
        </w:rPr>
        <w:t xml:space="preserve"> </w:t>
      </w:r>
      <w:r w:rsidR="009B673F">
        <w:rPr>
          <w:rtl/>
        </w:rPr>
        <w:t>-</w:t>
      </w:r>
      <w:r w:rsidR="00992664">
        <w:rPr>
          <w:rtl/>
        </w:rPr>
        <w:t xml:space="preserve"> </w:t>
      </w:r>
      <w:r w:rsidR="00992664" w:rsidRPr="00020424">
        <w:rPr>
          <w:rtl/>
        </w:rPr>
        <w:t>« وما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32EF6" w:rsidTr="00232EF6">
        <w:tc>
          <w:tcPr>
            <w:tcW w:w="4006" w:type="dxa"/>
          </w:tcPr>
          <w:p w:rsidR="00232EF6" w:rsidRDefault="00232EF6" w:rsidP="00992664">
            <w:pPr>
              <w:pStyle w:val="libFootnote0"/>
              <w:rPr>
                <w:rtl/>
              </w:rPr>
            </w:pPr>
            <w:r>
              <w:rPr>
                <w:rtl/>
              </w:rPr>
              <w:t xml:space="preserve">(6). </w:t>
            </w:r>
            <w:r w:rsidRPr="00020424">
              <w:rPr>
                <w:rtl/>
              </w:rPr>
              <w:t>في « ى » و</w:t>
            </w:r>
            <w:r w:rsidRPr="0012008A">
              <w:rPr>
                <w:rStyle w:val="libFootnoteBoldChar"/>
                <w:rtl/>
              </w:rPr>
              <w:t>البحار</w:t>
            </w:r>
            <w:r w:rsidRPr="00020424">
              <w:rPr>
                <w:rtl/>
              </w:rPr>
              <w:t xml:space="preserve"> ، ج 58 : « النجوم</w:t>
            </w:r>
            <w:r>
              <w:rPr>
                <w:rtl/>
              </w:rPr>
              <w:t xml:space="preserve"> ».</w:t>
            </w:r>
          </w:p>
        </w:tc>
        <w:tc>
          <w:tcPr>
            <w:tcW w:w="4006" w:type="dxa"/>
          </w:tcPr>
          <w:p w:rsidR="00232EF6" w:rsidRDefault="00232EF6" w:rsidP="00992664">
            <w:pPr>
              <w:pStyle w:val="libFootnote0"/>
              <w:rPr>
                <w:rtl/>
              </w:rPr>
            </w:pPr>
            <w:r>
              <w:rPr>
                <w:rtl/>
              </w:rPr>
              <w:t xml:space="preserve">(7). </w:t>
            </w:r>
            <w:r w:rsidRPr="00020424">
              <w:rPr>
                <w:rtl/>
              </w:rPr>
              <w:t>في « ظ ، جن » :</w:t>
            </w:r>
            <w:r>
              <w:rPr>
                <w:rtl/>
              </w:rPr>
              <w:t xml:space="preserve"> - </w:t>
            </w:r>
            <w:r w:rsidRPr="00020424">
              <w:rPr>
                <w:rtl/>
              </w:rPr>
              <w:t>« به</w:t>
            </w:r>
            <w:r>
              <w:rPr>
                <w:rtl/>
              </w:rPr>
              <w:t xml:space="preserve"> ».</w:t>
            </w:r>
          </w:p>
        </w:tc>
      </w:tr>
      <w:tr w:rsidR="00232EF6" w:rsidTr="00232EF6">
        <w:tc>
          <w:tcPr>
            <w:tcW w:w="4006" w:type="dxa"/>
          </w:tcPr>
          <w:p w:rsidR="00232EF6" w:rsidRDefault="00232EF6" w:rsidP="00992664">
            <w:pPr>
              <w:pStyle w:val="libFootnote0"/>
              <w:rPr>
                <w:rtl/>
              </w:rPr>
            </w:pPr>
            <w:r>
              <w:rPr>
                <w:rtl/>
              </w:rPr>
              <w:t xml:space="preserve">(8). </w:t>
            </w:r>
            <w:r w:rsidRPr="00020424">
              <w:rPr>
                <w:rtl/>
              </w:rPr>
              <w:t xml:space="preserve">في « بر ، بف » </w:t>
            </w:r>
            <w:r w:rsidRPr="00EB1FD9">
              <w:rPr>
                <w:rStyle w:val="libFootnoteBoldChar"/>
                <w:rtl/>
              </w:rPr>
              <w:t>والوسائل</w:t>
            </w:r>
            <w:r w:rsidRPr="00020424">
              <w:rPr>
                <w:rtl/>
              </w:rPr>
              <w:t xml:space="preserve"> :</w:t>
            </w:r>
            <w:r>
              <w:rPr>
                <w:rtl/>
              </w:rPr>
              <w:t xml:space="preserve"> - </w:t>
            </w:r>
            <w:r w:rsidRPr="00020424">
              <w:rPr>
                <w:rtl/>
              </w:rPr>
              <w:t>« الله</w:t>
            </w:r>
            <w:r>
              <w:rPr>
                <w:rtl/>
              </w:rPr>
              <w:t xml:space="preserve"> ».</w:t>
            </w:r>
          </w:p>
        </w:tc>
        <w:tc>
          <w:tcPr>
            <w:tcW w:w="4006" w:type="dxa"/>
          </w:tcPr>
          <w:p w:rsidR="00232EF6" w:rsidRDefault="00232EF6" w:rsidP="00992664">
            <w:pPr>
              <w:pStyle w:val="libFootnote0"/>
              <w:rPr>
                <w:rtl/>
              </w:rPr>
            </w:pPr>
            <w:r>
              <w:rPr>
                <w:rtl/>
              </w:rPr>
              <w:t xml:space="preserve">(9). </w:t>
            </w:r>
            <w:r w:rsidRPr="00020424">
              <w:rPr>
                <w:rtl/>
              </w:rPr>
              <w:t>في « بخ ، بر ، بف » :</w:t>
            </w:r>
            <w:r>
              <w:rPr>
                <w:rtl/>
              </w:rPr>
              <w:t xml:space="preserve"> - </w:t>
            </w:r>
            <w:r w:rsidRPr="00020424">
              <w:rPr>
                <w:rtl/>
              </w:rPr>
              <w:t>« عنه</w:t>
            </w:r>
            <w:r>
              <w:rPr>
                <w:rtl/>
              </w:rPr>
              <w:t xml:space="preserve"> ».</w:t>
            </w:r>
          </w:p>
        </w:tc>
      </w:tr>
      <w:tr w:rsidR="00232EF6" w:rsidTr="00232EF6">
        <w:tc>
          <w:tcPr>
            <w:tcW w:w="4006" w:type="dxa"/>
          </w:tcPr>
          <w:p w:rsidR="00232EF6" w:rsidRDefault="00232EF6" w:rsidP="00992664">
            <w:pPr>
              <w:pStyle w:val="libFootnote0"/>
              <w:rPr>
                <w:rtl/>
              </w:rPr>
            </w:pPr>
            <w:r>
              <w:rPr>
                <w:rtl/>
              </w:rPr>
              <w:t xml:space="preserve">(10). </w:t>
            </w:r>
            <w:r w:rsidRPr="00020424">
              <w:rPr>
                <w:rtl/>
              </w:rPr>
              <w:t>في « بر » :</w:t>
            </w:r>
            <w:r>
              <w:rPr>
                <w:rtl/>
              </w:rPr>
              <w:t xml:space="preserve"> - </w:t>
            </w:r>
            <w:r w:rsidRPr="00020424">
              <w:rPr>
                <w:rtl/>
              </w:rPr>
              <w:t>« عنه</w:t>
            </w:r>
            <w:r>
              <w:rPr>
                <w:rtl/>
              </w:rPr>
              <w:t xml:space="preserve"> ».</w:t>
            </w:r>
          </w:p>
        </w:tc>
        <w:tc>
          <w:tcPr>
            <w:tcW w:w="4006" w:type="dxa"/>
          </w:tcPr>
          <w:p w:rsidR="00232EF6" w:rsidRDefault="00232EF6" w:rsidP="00992664">
            <w:pPr>
              <w:pStyle w:val="libFootnote0"/>
              <w:rPr>
                <w:rtl/>
              </w:rPr>
            </w:pPr>
            <w:r>
              <w:rPr>
                <w:rtl/>
              </w:rPr>
              <w:t xml:space="preserve">(11). </w:t>
            </w:r>
            <w:r w:rsidRPr="00020424">
              <w:rPr>
                <w:rtl/>
              </w:rPr>
              <w:t>في « بر » :</w:t>
            </w:r>
            <w:r>
              <w:rPr>
                <w:rtl/>
              </w:rPr>
              <w:t xml:space="preserve"> - </w:t>
            </w:r>
            <w:r w:rsidRPr="00020424">
              <w:rPr>
                <w:rtl/>
              </w:rPr>
              <w:t>« الله</w:t>
            </w:r>
            <w:r>
              <w:rPr>
                <w:rtl/>
              </w:rPr>
              <w:t xml:space="preserve"> ».</w:t>
            </w:r>
          </w:p>
        </w:tc>
      </w:tr>
      <w:tr w:rsidR="00232EF6" w:rsidTr="00232EF6">
        <w:tc>
          <w:tcPr>
            <w:tcW w:w="4006" w:type="dxa"/>
          </w:tcPr>
          <w:p w:rsidR="00232EF6" w:rsidRDefault="00232EF6" w:rsidP="00992664">
            <w:pPr>
              <w:pStyle w:val="libFootnote0"/>
              <w:rPr>
                <w:rtl/>
              </w:rPr>
            </w:pPr>
            <w:r>
              <w:rPr>
                <w:rtl/>
              </w:rPr>
              <w:t xml:space="preserve">(12). </w:t>
            </w:r>
            <w:r w:rsidRPr="00020424">
              <w:rPr>
                <w:rtl/>
              </w:rPr>
              <w:t xml:space="preserve">في « جن » </w:t>
            </w:r>
            <w:r w:rsidRPr="00515444">
              <w:rPr>
                <w:rStyle w:val="libFootnoteBoldChar"/>
                <w:rtl/>
              </w:rPr>
              <w:t>والوافي</w:t>
            </w:r>
            <w:r w:rsidRPr="00020424">
              <w:rPr>
                <w:rtl/>
              </w:rPr>
              <w:t xml:space="preserve"> : « ليله</w:t>
            </w:r>
            <w:r>
              <w:rPr>
                <w:rtl/>
              </w:rPr>
              <w:t xml:space="preserve"> ».</w:t>
            </w:r>
          </w:p>
        </w:tc>
        <w:tc>
          <w:tcPr>
            <w:tcW w:w="4006" w:type="dxa"/>
          </w:tcPr>
          <w:p w:rsidR="00232EF6" w:rsidRDefault="00232EF6"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 « ليله</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بح ، بر » </w:t>
      </w:r>
      <w:r w:rsidR="00992664" w:rsidRPr="00515444">
        <w:rPr>
          <w:rStyle w:val="libFootnoteBoldChar"/>
          <w:rtl/>
        </w:rPr>
        <w:t>والوافي</w:t>
      </w:r>
      <w:r w:rsidR="00992664" w:rsidRPr="00020424">
        <w:rPr>
          <w:rtl/>
        </w:rPr>
        <w:t xml:space="preserve"> « تدفع</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ظ ، بح ، بر ، جن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r w:rsidR="00992664" w:rsidRPr="00020424">
        <w:rPr>
          <w:rtl/>
        </w:rPr>
        <w:t xml:space="preserve"> وفي « بخ » : « بها</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عنه</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في « بث ، بح ، بخ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ثمّ قلت</w:t>
      </w:r>
      <w:r w:rsidR="00992664">
        <w:rPr>
          <w:rtl/>
        </w:rPr>
        <w:t xml:space="preserve"> ».</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في « ظ ، بس » و</w:t>
      </w:r>
      <w:r w:rsidR="00992664" w:rsidRPr="0012008A">
        <w:rPr>
          <w:rStyle w:val="libFootnoteBoldChar"/>
          <w:rtl/>
        </w:rPr>
        <w:t>البحار</w:t>
      </w:r>
      <w:r w:rsidR="00992664" w:rsidRPr="00020424">
        <w:rPr>
          <w:rtl/>
        </w:rPr>
        <w:t xml:space="preserve"> ، ج 47 : « إنّي » بدون الواو. وفي « بث ، بخ ، بر ، بف » </w:t>
      </w:r>
      <w:r w:rsidR="00992664" w:rsidRPr="00515444">
        <w:rPr>
          <w:rStyle w:val="libFootnoteBoldChar"/>
          <w:rtl/>
        </w:rPr>
        <w:t>والوافي</w:t>
      </w:r>
      <w:r w:rsidR="00381A63">
        <w:rPr>
          <w:rtl/>
        </w:rPr>
        <w:t xml:space="preserve"> : «</w:t>
      </w:r>
      <w:r w:rsidR="00992664" w:rsidRPr="00020424">
        <w:rPr>
          <w:rtl/>
        </w:rPr>
        <w:t>فإنّي</w:t>
      </w:r>
      <w:r w:rsidR="00992664">
        <w:rPr>
          <w:rtl/>
        </w:rPr>
        <w:t>».</w:t>
      </w:r>
    </w:p>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ج 58 :</w:t>
      </w:r>
      <w:r w:rsidR="00992664">
        <w:rPr>
          <w:rtl/>
        </w:rPr>
        <w:t xml:space="preserve"> </w:t>
      </w:r>
      <w:r w:rsidR="009B673F">
        <w:rPr>
          <w:rtl/>
        </w:rPr>
        <w:t>-</w:t>
      </w:r>
      <w:r w:rsidR="00992664">
        <w:rPr>
          <w:rtl/>
        </w:rPr>
        <w:t xml:space="preserve"> </w:t>
      </w:r>
      <w:r w:rsidR="00992664" w:rsidRPr="00020424">
        <w:rPr>
          <w:rtl/>
        </w:rPr>
        <w:t>« علم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النُّجُومِ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6C1DE8">
        <w:rPr>
          <w:rtl/>
        </w:rPr>
        <w:t>6020</w:t>
      </w:r>
      <w:r w:rsidRPr="001155DE">
        <w:rPr>
          <w:rStyle w:val="libBold2Char"/>
          <w:rtl/>
        </w:rPr>
        <w:t xml:space="preserve"> / 10.</w:t>
      </w:r>
      <w:r w:rsidRPr="00020424">
        <w:rPr>
          <w:rtl/>
          <w:lang w:bidi="fa-IR"/>
        </w:rPr>
        <w:t xml:space="preserve"> الْحُسَيْنُ بْنُ مُحَمَّدٍ ، عَنْ مُعَلَّى بْنِ مُحَمَّدٍ ، عَنِ الْحَسَنِ بْنِ عَلِيٍّ </w:t>
      </w:r>
      <w:r w:rsidRPr="00A91B96">
        <w:rPr>
          <w:rStyle w:val="libFootnotenumChar"/>
          <w:rtl/>
        </w:rPr>
        <w:t>(2)</w:t>
      </w:r>
      <w:r w:rsidRPr="00020424">
        <w:rPr>
          <w:rtl/>
          <w:lang w:bidi="fa-IR"/>
        </w:rPr>
        <w:t xml:space="preserve"> الْوَشَّاءِ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سَمِعْتُهُ يَقُولُ : « كَانَ رَجُلٌ مِنْ بَنِي إِسْرَائِيلَ ، وَلَمْ يَكُنْ لَهُ وَلَدٌ ، فَوُلِدَ لَهُ غُلَامٌ ، وَقِيلَ لَهُ : إِنَّهُ يَمُوتُ </w:t>
      </w:r>
      <w:r w:rsidRPr="00A91B96">
        <w:rPr>
          <w:rStyle w:val="libFootnotenumChar"/>
          <w:rtl/>
        </w:rPr>
        <w:t>(3)</w:t>
      </w:r>
      <w:r w:rsidRPr="00020424">
        <w:rPr>
          <w:rtl/>
          <w:lang w:bidi="fa-IR"/>
        </w:rPr>
        <w:t xml:space="preserve"> لَيْلَةَ عُرْسِهِ ، فَمَكَثَ الْغُلَامُ ، فَلَمَّا كَانَ لَيْلَةُ عُرْسِهِ ، نَظَرَ إِلى شَيْخٍ كَبِيرٍ ضَعِيفٍ </w:t>
      </w:r>
      <w:r w:rsidRPr="00A91B96">
        <w:rPr>
          <w:rStyle w:val="libFootnotenumChar"/>
          <w:rtl/>
        </w:rPr>
        <w:t>(4)</w:t>
      </w:r>
      <w:r w:rsidRPr="00020424">
        <w:rPr>
          <w:rtl/>
          <w:lang w:bidi="fa-IR"/>
        </w:rPr>
        <w:t xml:space="preserve"> ، فَرَحِمَهُ الْغُلَامُ ، فَدَعَاهُ </w:t>
      </w:r>
      <w:r w:rsidRPr="00A91B96">
        <w:rPr>
          <w:rStyle w:val="libFootnotenumChar"/>
          <w:rtl/>
        </w:rPr>
        <w:t>(5)</w:t>
      </w:r>
      <w:r w:rsidRPr="00020424">
        <w:rPr>
          <w:rtl/>
          <w:lang w:bidi="fa-IR"/>
        </w:rPr>
        <w:t xml:space="preserve"> ، فَأَطْعَمَهُ ، فَقَالَ لَهُ </w:t>
      </w:r>
      <w:r w:rsidRPr="00A91B96">
        <w:rPr>
          <w:rStyle w:val="libFootnotenumChar"/>
          <w:rtl/>
        </w:rPr>
        <w:t>(6)</w:t>
      </w:r>
      <w:r w:rsidRPr="00020424">
        <w:rPr>
          <w:rtl/>
          <w:lang w:bidi="fa-IR"/>
        </w:rPr>
        <w:t xml:space="preserve"> السَّائِلُ : أَحْيَيْتَنِي أَحْيَاكَ اللهُ ، قَالَ : فَأَتَاهُ آتٍ فِي النَّوْمِ ، فَقَالَ </w:t>
      </w:r>
      <w:r w:rsidRPr="00A91B96">
        <w:rPr>
          <w:rStyle w:val="libFootnotenumChar"/>
          <w:rtl/>
        </w:rPr>
        <w:t>(7)</w:t>
      </w:r>
      <w:r w:rsidRPr="00020424">
        <w:rPr>
          <w:rtl/>
          <w:lang w:bidi="fa-IR"/>
        </w:rPr>
        <w:t xml:space="preserve"> لَهُ : سَلِ ابْنَكَ : مَا صَنَعَ</w:t>
      </w:r>
      <w:r>
        <w:rPr>
          <w:rtl/>
          <w:lang w:bidi="fa-IR"/>
        </w:rPr>
        <w:t>؟</w:t>
      </w:r>
      <w:r>
        <w:rPr>
          <w:rFonts w:hint="cs"/>
          <w:rtl/>
          <w:lang w:bidi="fa-IR"/>
        </w:rPr>
        <w:t xml:space="preserve"> </w:t>
      </w:r>
      <w:r w:rsidRPr="00020424">
        <w:rPr>
          <w:rtl/>
          <w:lang w:bidi="fa-IR"/>
        </w:rPr>
        <w:t xml:space="preserve">فَسَأَلَهُ </w:t>
      </w:r>
      <w:r w:rsidRPr="00A91B96">
        <w:rPr>
          <w:rStyle w:val="libFootnotenumChar"/>
          <w:rtl/>
        </w:rPr>
        <w:t>(8)</w:t>
      </w:r>
      <w:r w:rsidRPr="00020424">
        <w:rPr>
          <w:rtl/>
          <w:lang w:bidi="fa-IR"/>
        </w:rPr>
        <w:t xml:space="preserve"> ، فَخَبَّرَهُ بِصَنِيعِهِ </w:t>
      </w:r>
      <w:r w:rsidRPr="00A91B96">
        <w:rPr>
          <w:rStyle w:val="libFootnotenumChar"/>
          <w:rtl/>
        </w:rPr>
        <w:t>(9)</w:t>
      </w:r>
      <w:r w:rsidRPr="00020424">
        <w:rPr>
          <w:rtl/>
          <w:lang w:bidi="fa-IR"/>
        </w:rPr>
        <w:t xml:space="preserve"> ، قَالَ : فَأَتَاهُ الْآتِي مَرَّةً أُخْرى فِي النَّوْمِ ، فَقَالَ لَهُ : إِنَّ اللهَ أَحْيَا لَكَ ابْنَكَ بِمَا صَنَعَ بِالشَّيْخِ</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6C1DE8">
        <w:rPr>
          <w:rtl/>
        </w:rPr>
        <w:t>6021</w:t>
      </w:r>
      <w:r w:rsidRPr="001155DE">
        <w:rPr>
          <w:rStyle w:val="libBold2Char"/>
          <w:rtl/>
        </w:rPr>
        <w:t xml:space="preserve"> / 11.</w:t>
      </w:r>
      <w:r w:rsidRPr="00020424">
        <w:rPr>
          <w:rtl/>
          <w:lang w:bidi="fa-IR"/>
        </w:rPr>
        <w:t xml:space="preserve"> عَلِيُّ بْنُ مُحَمَّدِ بْنِ عَبْدِ اللهِ ، عَنْ أَحْمَدَ بْنِ مُحَمَّدِ بْنِ خَالِدٍ ، عَنْ أَبِيهِ ، عَنْ فَضَالَةَ بْنِ أَيُّوبَ </w:t>
      </w:r>
      <w:r w:rsidRPr="00A91B96">
        <w:rPr>
          <w:rStyle w:val="libFootnotenumChar"/>
          <w:rtl/>
        </w:rPr>
        <w:t>(11)</w:t>
      </w:r>
      <w:r w:rsidRPr="00020424">
        <w:rPr>
          <w:rtl/>
          <w:lang w:bidi="fa-IR"/>
        </w:rPr>
        <w:t xml:space="preserve"> ، عَمَّنْ ذَكَرَهُ ، عَنْ مُحَمَّدِ بْنِ مُسْلِمٍ ، قَالَ :</w:t>
      </w:r>
    </w:p>
    <w:p w:rsidR="00992664" w:rsidRPr="00020424" w:rsidRDefault="00992664" w:rsidP="00992664">
      <w:pPr>
        <w:pStyle w:val="libNormal"/>
        <w:rPr>
          <w:rtl/>
          <w:lang w:bidi="fa-IR"/>
        </w:rPr>
      </w:pPr>
      <w:r w:rsidRPr="00020424">
        <w:rPr>
          <w:rtl/>
          <w:lang w:bidi="fa-IR"/>
        </w:rPr>
        <w:t xml:space="preserve">كُنْتُ مَعَ أَبِي جَعْفَرٍ </w:t>
      </w:r>
      <w:r w:rsidRPr="00005A81">
        <w:rPr>
          <w:rStyle w:val="libAlaemChar"/>
          <w:rtl/>
        </w:rPr>
        <w:t>عليه‌السلام</w:t>
      </w:r>
      <w:r w:rsidRPr="00020424">
        <w:rPr>
          <w:rtl/>
          <w:lang w:bidi="fa-IR"/>
        </w:rPr>
        <w:t xml:space="preserve"> فِي مَسْجِدِ الرَّسُولِ </w:t>
      </w:r>
      <w:r w:rsidRPr="00A91B96">
        <w:rPr>
          <w:rStyle w:val="libFootnotenumChar"/>
          <w:rtl/>
        </w:rPr>
        <w:t>(12)</w:t>
      </w:r>
      <w:r w:rsidRPr="00020424">
        <w:rPr>
          <w:rtl/>
          <w:lang w:bidi="fa-IR"/>
        </w:rPr>
        <w:t xml:space="preserve"> </w:t>
      </w:r>
      <w:r w:rsidR="00B42914" w:rsidRPr="00B42914">
        <w:rPr>
          <w:rStyle w:val="libAlaemChar"/>
          <w:rtl/>
        </w:rPr>
        <w:t>صلى‌الله‌عليه‌وآله‌</w:t>
      </w:r>
      <w:r w:rsidRPr="00020424">
        <w:rPr>
          <w:rtl/>
          <w:lang w:bidi="fa-IR"/>
        </w:rPr>
        <w:t xml:space="preserve"> ، فَسَقَطَ </w:t>
      </w:r>
      <w:r w:rsidRPr="00A91B96">
        <w:rPr>
          <w:rStyle w:val="libFootnotenumChar"/>
          <w:rtl/>
        </w:rPr>
        <w:t>(13)</w:t>
      </w:r>
      <w:r w:rsidRPr="00020424">
        <w:rPr>
          <w:rtl/>
          <w:lang w:bidi="fa-IR"/>
        </w:rPr>
        <w:t xml:space="preserve"> شُرْفَةٌ </w:t>
      </w:r>
      <w:r w:rsidRPr="00A91B96">
        <w:rPr>
          <w:rStyle w:val="libFootnotenumChar"/>
          <w:rtl/>
        </w:rPr>
        <w:t>(14)</w:t>
      </w:r>
      <w:r w:rsidRPr="00020424">
        <w:rPr>
          <w:rtl/>
          <w:lang w:bidi="fa-IR"/>
        </w:rPr>
        <w:t xml:space="preserve"> مِنْ شُرَفِ الْمَسْجِدِ ، فَوَقَعَتْ عَلى رَجُلٍ ، فَلَمْ تَضُرَّهُ ، فَأَصَابَتْ </w:t>
      </w:r>
      <w:r w:rsidRPr="00A91B96">
        <w:rPr>
          <w:rStyle w:val="libFootnotenumChar"/>
          <w:rtl/>
        </w:rPr>
        <w:t>(15)</w:t>
      </w:r>
      <w:r w:rsidRPr="00020424">
        <w:rPr>
          <w:rtl/>
          <w:lang w:bidi="fa-IR"/>
        </w:rPr>
        <w:t xml:space="preserve"> رِجْلَهُ. فَقَالَ أَبُو جَعْفَرٍ </w:t>
      </w:r>
      <w:r w:rsidRPr="00005A81">
        <w:rPr>
          <w:rStyle w:val="libAlaemChar"/>
          <w:rtl/>
        </w:rPr>
        <w:t>عليه‌السلام</w:t>
      </w:r>
      <w:r w:rsidRPr="00020424">
        <w:rPr>
          <w:rtl/>
          <w:lang w:bidi="fa-IR"/>
        </w:rPr>
        <w:t xml:space="preserve"> : « سَلُوهُ‌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10 ، ص 394 ، ح 9754 ؛ </w:t>
      </w:r>
      <w:r w:rsidR="00992664" w:rsidRPr="0012008A">
        <w:rPr>
          <w:rStyle w:val="libFootnoteBoldChar"/>
          <w:rtl/>
        </w:rPr>
        <w:t>الوسائل</w:t>
      </w:r>
      <w:r w:rsidR="00992664" w:rsidRPr="00020424">
        <w:rPr>
          <w:rtl/>
        </w:rPr>
        <w:t xml:space="preserve"> ، ج 9 ، ص 392 ، ح 12311 ؛ </w:t>
      </w:r>
      <w:r w:rsidR="00992664" w:rsidRPr="0012008A">
        <w:rPr>
          <w:rStyle w:val="libFootnoteBoldChar"/>
          <w:rtl/>
        </w:rPr>
        <w:t>البحار</w:t>
      </w:r>
      <w:r w:rsidR="00992664" w:rsidRPr="00020424">
        <w:rPr>
          <w:rtl/>
        </w:rPr>
        <w:t xml:space="preserve"> ، ج 47 ، ص 52 ، ح 84 ؛ وج 58 ، ص 273 ، ح 62.</w:t>
      </w:r>
      <w:r w:rsidR="00992664">
        <w:rPr>
          <w:rFonts w:hint="cs"/>
          <w:rtl/>
          <w:lang w:bidi="fa-IR"/>
        </w:rPr>
        <w:t xml:space="preserve"> </w:t>
      </w:r>
      <w:r w:rsidR="00A90FD5">
        <w:rPr>
          <w:rFonts w:hint="cs"/>
          <w:rtl/>
          <w:lang w:bidi="fa-IR"/>
        </w:rPr>
        <w:t xml:space="preserve">    </w:t>
      </w:r>
      <w:r w:rsidR="00381A63">
        <w:rPr>
          <w:rFonts w:hint="cs"/>
          <w:rtl/>
          <w:lang w:bidi="fa-IR"/>
        </w:rPr>
        <w:t xml:space="preserve">   </w:t>
      </w:r>
      <w:r>
        <w:rPr>
          <w:rtl/>
        </w:rPr>
        <w:t>(2).</w:t>
      </w:r>
      <w:r w:rsidR="0014403D">
        <w:rPr>
          <w:rtl/>
        </w:rPr>
        <w:t xml:space="preserve"> </w:t>
      </w:r>
      <w:r w:rsidR="00381A63">
        <w:rPr>
          <w:rtl/>
        </w:rPr>
        <w:t>في «بر ، بخ ، بف</w:t>
      </w:r>
      <w:r w:rsidR="00992664" w:rsidRPr="00020424">
        <w:rPr>
          <w:rtl/>
        </w:rPr>
        <w:t>»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81A63" w:rsidTr="00381A63">
        <w:tc>
          <w:tcPr>
            <w:tcW w:w="4006" w:type="dxa"/>
          </w:tcPr>
          <w:p w:rsidR="00381A63" w:rsidRDefault="00381A63" w:rsidP="00992664">
            <w:pPr>
              <w:pStyle w:val="libFootnote0"/>
              <w:rPr>
                <w:rtl/>
              </w:rPr>
            </w:pPr>
            <w:r>
              <w:rPr>
                <w:rtl/>
              </w:rPr>
              <w:t xml:space="preserve">(3). </w:t>
            </w:r>
            <w:r w:rsidRPr="00020424">
              <w:rPr>
                <w:rtl/>
              </w:rPr>
              <w:t>في « جن » : + « في</w:t>
            </w:r>
            <w:r>
              <w:rPr>
                <w:rtl/>
              </w:rPr>
              <w:t xml:space="preserve"> ».</w:t>
            </w:r>
          </w:p>
        </w:tc>
        <w:tc>
          <w:tcPr>
            <w:tcW w:w="4006" w:type="dxa"/>
          </w:tcPr>
          <w:p w:rsidR="00381A63" w:rsidRDefault="00381A63" w:rsidP="00992664">
            <w:pPr>
              <w:pStyle w:val="libFootnote0"/>
              <w:rPr>
                <w:rtl/>
              </w:rPr>
            </w:pPr>
            <w:r>
              <w:rPr>
                <w:rtl/>
              </w:rPr>
              <w:t>(4). في «بح، بخ، بر، بف</w:t>
            </w:r>
            <w:r w:rsidRPr="00020424">
              <w:rPr>
                <w:rtl/>
              </w:rPr>
              <w:t>»</w:t>
            </w:r>
            <w:r w:rsidRPr="00515444">
              <w:rPr>
                <w:rStyle w:val="libFootnoteBoldChar"/>
                <w:rtl/>
              </w:rPr>
              <w:t>والوافي</w:t>
            </w:r>
            <w:r w:rsidRPr="00020424">
              <w:rPr>
                <w:rtl/>
              </w:rPr>
              <w:t>: « ضعيف كبير</w:t>
            </w:r>
            <w:r>
              <w:rPr>
                <w:rtl/>
              </w:rPr>
              <w:t xml:space="preserve"> ».</w:t>
            </w:r>
          </w:p>
        </w:tc>
      </w:tr>
      <w:tr w:rsidR="00381A63" w:rsidTr="00381A63">
        <w:tc>
          <w:tcPr>
            <w:tcW w:w="4006" w:type="dxa"/>
          </w:tcPr>
          <w:p w:rsidR="00381A63" w:rsidRDefault="00381A63" w:rsidP="00992664">
            <w:pPr>
              <w:pStyle w:val="libFootnote0"/>
              <w:rPr>
                <w:rtl/>
              </w:rPr>
            </w:pPr>
            <w:r>
              <w:rPr>
                <w:rtl/>
              </w:rPr>
              <w:t xml:space="preserve">(5). </w:t>
            </w:r>
            <w:r w:rsidRPr="00020424">
              <w:rPr>
                <w:rtl/>
              </w:rPr>
              <w:t>في « جن » :</w:t>
            </w:r>
            <w:r>
              <w:rPr>
                <w:rtl/>
              </w:rPr>
              <w:t xml:space="preserve"> - </w:t>
            </w:r>
            <w:r w:rsidRPr="00020424">
              <w:rPr>
                <w:rtl/>
              </w:rPr>
              <w:t>« فدعاه</w:t>
            </w:r>
            <w:r>
              <w:rPr>
                <w:rtl/>
              </w:rPr>
              <w:t xml:space="preserve"> ».</w:t>
            </w:r>
          </w:p>
        </w:tc>
        <w:tc>
          <w:tcPr>
            <w:tcW w:w="4006" w:type="dxa"/>
          </w:tcPr>
          <w:p w:rsidR="00381A63" w:rsidRDefault="00381A63" w:rsidP="00992664">
            <w:pPr>
              <w:pStyle w:val="libFootnote0"/>
              <w:rPr>
                <w:rtl/>
              </w:rPr>
            </w:pPr>
            <w:r>
              <w:rPr>
                <w:rtl/>
              </w:rPr>
              <w:t xml:space="preserve">(6). </w:t>
            </w:r>
            <w:r w:rsidRPr="00020424">
              <w:rPr>
                <w:rtl/>
              </w:rPr>
              <w:t xml:space="preserve">في « بح ، بخ ، بر » </w:t>
            </w:r>
            <w:r w:rsidRPr="00515444">
              <w:rPr>
                <w:rStyle w:val="libFootnoteBoldChar"/>
                <w:rtl/>
              </w:rPr>
              <w:t>والوافي</w:t>
            </w:r>
            <w:r w:rsidRPr="00020424">
              <w:rPr>
                <w:rtl/>
              </w:rPr>
              <w:t xml:space="preserve"> :</w:t>
            </w:r>
            <w:r>
              <w:rPr>
                <w:rtl/>
              </w:rPr>
              <w:t xml:space="preserve"> - </w:t>
            </w:r>
            <w:r w:rsidRPr="00020424">
              <w:rPr>
                <w:rtl/>
              </w:rPr>
              <w:t>« له</w:t>
            </w:r>
            <w:r>
              <w:rPr>
                <w:rtl/>
              </w:rPr>
              <w:t xml:space="preserve"> ».</w:t>
            </w:r>
          </w:p>
        </w:tc>
      </w:tr>
      <w:tr w:rsidR="00381A63" w:rsidTr="00381A63">
        <w:tc>
          <w:tcPr>
            <w:tcW w:w="4006" w:type="dxa"/>
          </w:tcPr>
          <w:p w:rsidR="00381A63" w:rsidRDefault="00381A63" w:rsidP="00992664">
            <w:pPr>
              <w:pStyle w:val="libFootnote0"/>
              <w:rPr>
                <w:rtl/>
              </w:rPr>
            </w:pPr>
            <w:r>
              <w:rPr>
                <w:rtl/>
              </w:rPr>
              <w:t xml:space="preserve">(7). </w:t>
            </w:r>
            <w:r w:rsidRPr="00020424">
              <w:rPr>
                <w:rtl/>
              </w:rPr>
              <w:t xml:space="preserve">في « بخ » </w:t>
            </w:r>
            <w:r w:rsidRPr="00515444">
              <w:rPr>
                <w:rStyle w:val="libFootnoteBoldChar"/>
                <w:rtl/>
              </w:rPr>
              <w:t>والوافي</w:t>
            </w:r>
            <w:r w:rsidRPr="00020424">
              <w:rPr>
                <w:rtl/>
              </w:rPr>
              <w:t xml:space="preserve"> : « وقال</w:t>
            </w:r>
            <w:r>
              <w:rPr>
                <w:rtl/>
              </w:rPr>
              <w:t xml:space="preserve"> ».</w:t>
            </w:r>
          </w:p>
        </w:tc>
        <w:tc>
          <w:tcPr>
            <w:tcW w:w="4006" w:type="dxa"/>
          </w:tcPr>
          <w:p w:rsidR="00381A63" w:rsidRDefault="00381A63" w:rsidP="00992664">
            <w:pPr>
              <w:pStyle w:val="libFootnote0"/>
              <w:rPr>
                <w:rtl/>
              </w:rPr>
            </w:pPr>
            <w:r>
              <w:rPr>
                <w:rtl/>
              </w:rPr>
              <w:t xml:space="preserve">(8). </w:t>
            </w:r>
            <w:r w:rsidRPr="00020424">
              <w:rPr>
                <w:rtl/>
              </w:rPr>
              <w:t>في « بر » :</w:t>
            </w:r>
            <w:r>
              <w:rPr>
                <w:rtl/>
              </w:rPr>
              <w:t xml:space="preserve"> - </w:t>
            </w:r>
            <w:r w:rsidRPr="00020424">
              <w:rPr>
                <w:rtl/>
              </w:rPr>
              <w:t>« فسأله</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بف » : « بصنعته</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 بصنعه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394 ، ح 9755 ؛ </w:t>
      </w:r>
      <w:r w:rsidR="00992664" w:rsidRPr="0012008A">
        <w:rPr>
          <w:rStyle w:val="libFootnoteBoldChar"/>
          <w:rtl/>
        </w:rPr>
        <w:t>الوسائل</w:t>
      </w:r>
      <w:r w:rsidR="00992664" w:rsidRPr="00020424">
        <w:rPr>
          <w:rtl/>
        </w:rPr>
        <w:t xml:space="preserve"> ، ج 9 ، ص 387 ، ح 12304 ؛ </w:t>
      </w:r>
      <w:r w:rsidR="00992664" w:rsidRPr="0012008A">
        <w:rPr>
          <w:rStyle w:val="libFootnoteBoldChar"/>
          <w:rtl/>
        </w:rPr>
        <w:t>البحار</w:t>
      </w:r>
      <w:r w:rsidR="00992664" w:rsidRPr="00020424">
        <w:rPr>
          <w:rtl/>
        </w:rPr>
        <w:t xml:space="preserve"> ، ج 14 ، ص 502 ، ح 27.</w:t>
      </w:r>
    </w:p>
    <w:tbl>
      <w:tblPr>
        <w:tblStyle w:val="TableGrid"/>
        <w:bidiVisual/>
        <w:tblW w:w="0" w:type="auto"/>
        <w:tblLook w:val="04A0" w:firstRow="1" w:lastRow="0" w:firstColumn="1" w:lastColumn="0" w:noHBand="0" w:noVBand="1"/>
      </w:tblPr>
      <w:tblGrid>
        <w:gridCol w:w="4006"/>
        <w:gridCol w:w="4006"/>
      </w:tblGrid>
      <w:tr w:rsidR="004062F1" w:rsidTr="004062F1">
        <w:tc>
          <w:tcPr>
            <w:tcW w:w="4006" w:type="dxa"/>
          </w:tcPr>
          <w:p w:rsidR="004062F1" w:rsidRDefault="004062F1" w:rsidP="00992664">
            <w:pPr>
              <w:pStyle w:val="libFootnote0"/>
              <w:rPr>
                <w:rtl/>
              </w:rPr>
            </w:pPr>
            <w:r>
              <w:rPr>
                <w:rtl/>
              </w:rPr>
              <w:t xml:space="preserve">(11). </w:t>
            </w:r>
            <w:r w:rsidRPr="00020424">
              <w:rPr>
                <w:rtl/>
              </w:rPr>
              <w:t>في « بر ، بف » :</w:t>
            </w:r>
            <w:r>
              <w:rPr>
                <w:rtl/>
              </w:rPr>
              <w:t xml:space="preserve"> - </w:t>
            </w:r>
            <w:r w:rsidRPr="00020424">
              <w:rPr>
                <w:rtl/>
              </w:rPr>
              <w:t>« بن أيّوب</w:t>
            </w:r>
            <w:r>
              <w:rPr>
                <w:rtl/>
              </w:rPr>
              <w:t xml:space="preserve"> ».</w:t>
            </w:r>
          </w:p>
        </w:tc>
        <w:tc>
          <w:tcPr>
            <w:tcW w:w="4006" w:type="dxa"/>
          </w:tcPr>
          <w:p w:rsidR="004062F1" w:rsidRDefault="004062F1" w:rsidP="00992664">
            <w:pPr>
              <w:pStyle w:val="libFootnote0"/>
              <w:rPr>
                <w:rtl/>
              </w:rPr>
            </w:pPr>
            <w:r>
              <w:rPr>
                <w:rtl/>
              </w:rPr>
              <w:t xml:space="preserve">(12). </w:t>
            </w:r>
            <w:r w:rsidR="00573A8C">
              <w:rPr>
                <w:rtl/>
              </w:rPr>
              <w:t>في«بح،بخ،بر،بف</w:t>
            </w:r>
            <w:r w:rsidRPr="00020424">
              <w:rPr>
                <w:rtl/>
              </w:rPr>
              <w:t xml:space="preserve">» </w:t>
            </w:r>
            <w:r w:rsidRPr="00515444">
              <w:rPr>
                <w:rStyle w:val="libFootnoteBoldChar"/>
                <w:rtl/>
              </w:rPr>
              <w:t>والوافي</w:t>
            </w:r>
            <w:r w:rsidRPr="00020424">
              <w:rPr>
                <w:rtl/>
              </w:rPr>
              <w:t xml:space="preserve"> : « رسول الله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فسقطت</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 الشُرْفة » : ما يوضع على أعالي القصور والمدن ، والجمع : شُرَفٌ. راجع : </w:t>
      </w:r>
      <w:r w:rsidR="00992664" w:rsidRPr="00A722B1">
        <w:rPr>
          <w:rStyle w:val="libFootnoteBoldChar"/>
          <w:rtl/>
        </w:rPr>
        <w:t>لسان العرب</w:t>
      </w:r>
      <w:r w:rsidR="00992664" w:rsidRPr="00020424">
        <w:rPr>
          <w:rtl/>
        </w:rPr>
        <w:t xml:space="preserve"> ، ج 9 ، ص 171 ( شرف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وأصابت</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فأصابت </w:t>
      </w:r>
      <w:r w:rsidR="00B824E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lastRenderedPageBreak/>
        <w:t>أَيَّ شَيْ‌ءٍ عَمِلَ الْيَوْمَ</w:t>
      </w:r>
      <w:r>
        <w:rPr>
          <w:rtl/>
          <w:lang w:bidi="fa-IR"/>
        </w:rPr>
        <w:t>؟ ».</w:t>
      </w:r>
      <w:r w:rsidRPr="00020424">
        <w:rPr>
          <w:rtl/>
          <w:lang w:bidi="fa-IR"/>
        </w:rPr>
        <w:t xml:space="preserve"> فَسَأَلُوهُ ، فَقَالَ : خَرَجْتُ وَفِي كُمِّي تَمْرٌ ، فَمَرَرْتُ بِسَائِلٍ ، فَتَصَدَّقْتُ </w:t>
      </w:r>
      <w:r w:rsidRPr="00A91B96">
        <w:rPr>
          <w:rStyle w:val="libFootnotenumChar"/>
          <w:rtl/>
        </w:rPr>
        <w:t>(1)</w:t>
      </w:r>
      <w:r w:rsidRPr="00020424">
        <w:rPr>
          <w:rtl/>
          <w:lang w:bidi="fa-IR"/>
        </w:rPr>
        <w:t xml:space="preserve"> عَلَيْهِ بِتَمْرَةٍ ، فَقَالَ أَبُو جَعْفَرٍ </w:t>
      </w:r>
      <w:r w:rsidRPr="00005A81">
        <w:rPr>
          <w:rStyle w:val="libAlaemChar"/>
          <w:rtl/>
        </w:rPr>
        <w:t>عليه‌السلام</w:t>
      </w:r>
      <w:r w:rsidRPr="00020424">
        <w:rPr>
          <w:rtl/>
          <w:lang w:bidi="fa-IR"/>
        </w:rPr>
        <w:t xml:space="preserve"> : « بِهَا دَفَعَ اللهُ </w:t>
      </w:r>
      <w:r w:rsidRPr="00A91B96">
        <w:rPr>
          <w:rStyle w:val="libFootnotenumChar"/>
          <w:rtl/>
        </w:rPr>
        <w:t>(2)</w:t>
      </w:r>
      <w:r w:rsidRPr="00020424">
        <w:rPr>
          <w:rtl/>
          <w:lang w:bidi="fa-IR"/>
        </w:rPr>
        <w:t xml:space="preserve"> عَنْكَ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Heading2Center"/>
        <w:rPr>
          <w:rtl/>
          <w:lang w:bidi="fa-IR"/>
        </w:rPr>
      </w:pPr>
      <w:bookmarkStart w:id="166" w:name="_Toc345172772"/>
      <w:bookmarkStart w:id="167" w:name="_Toc464562588"/>
      <w:bookmarkStart w:id="168" w:name="_Toc44599891"/>
      <w:r w:rsidRPr="00020424">
        <w:rPr>
          <w:rtl/>
          <w:lang w:bidi="fa-IR"/>
        </w:rPr>
        <w:t>50</w:t>
      </w:r>
      <w:r>
        <w:rPr>
          <w:rtl/>
          <w:lang w:bidi="fa-IR"/>
        </w:rPr>
        <w:t xml:space="preserve"> </w:t>
      </w:r>
      <w:r w:rsidR="009B673F">
        <w:rPr>
          <w:rtl/>
          <w:lang w:bidi="fa-IR"/>
        </w:rPr>
        <w:t>-</w:t>
      </w:r>
      <w:r>
        <w:rPr>
          <w:rtl/>
          <w:lang w:bidi="fa-IR"/>
        </w:rPr>
        <w:t xml:space="preserve"> </w:t>
      </w:r>
      <w:r w:rsidRPr="00020424">
        <w:rPr>
          <w:rtl/>
          <w:lang w:bidi="fa-IR"/>
        </w:rPr>
        <w:t xml:space="preserve">بَابُ فَضْلِ صَدَقَةِ السِّرِّ </w:t>
      </w:r>
      <w:r w:rsidRPr="00A91B96">
        <w:rPr>
          <w:rStyle w:val="libFootnotenumChar"/>
          <w:rtl/>
        </w:rPr>
        <w:t>(5)</w:t>
      </w:r>
      <w:r w:rsidRPr="00020424">
        <w:rPr>
          <w:rtl/>
          <w:lang w:bidi="fa-IR"/>
        </w:rPr>
        <w:t xml:space="preserve"> ‌</w:t>
      </w:r>
      <w:bookmarkEnd w:id="166"/>
      <w:bookmarkEnd w:id="167"/>
      <w:bookmarkEnd w:id="168"/>
    </w:p>
    <w:p w:rsidR="00992664" w:rsidRPr="00020424" w:rsidRDefault="00992664" w:rsidP="00992664">
      <w:pPr>
        <w:pStyle w:val="libNormal"/>
        <w:rPr>
          <w:rtl/>
          <w:lang w:bidi="fa-IR"/>
        </w:rPr>
      </w:pPr>
      <w:r w:rsidRPr="006C1DE8">
        <w:rPr>
          <w:rtl/>
        </w:rPr>
        <w:t>6022</w:t>
      </w:r>
      <w:r w:rsidRPr="001155DE">
        <w:rPr>
          <w:rStyle w:val="libBold2Char"/>
          <w:rtl/>
        </w:rPr>
        <w:t xml:space="preserve"> / 1.</w:t>
      </w:r>
      <w:r w:rsidRPr="00020424">
        <w:rPr>
          <w:rtl/>
          <w:lang w:bidi="fa-IR"/>
        </w:rPr>
        <w:t xml:space="preserve"> عِدَّةٌ مِنْ أَصْحَابِنَا ، عَنْ سَهْلِ بْنِ زِيَادٍ ، عَنْ جَعْفَرِ بْنِ مُحَمَّدٍ الْأَشْعَرِيِّ ، عَنِ ابْنِ الْقَدَّاحِ :</w:t>
      </w:r>
    </w:p>
    <w:p w:rsidR="00992664" w:rsidRPr="00020424" w:rsidRDefault="00992664" w:rsidP="00992664">
      <w:pPr>
        <w:pStyle w:val="libNormal"/>
        <w:rPr>
          <w:rtl/>
          <w:lang w:bidi="fa-IR"/>
        </w:rPr>
      </w:pPr>
      <w:r w:rsidRPr="00020424">
        <w:rPr>
          <w:rtl/>
          <w:lang w:bidi="fa-IR"/>
        </w:rPr>
        <w:t xml:space="preserve">عَنْ أَبِي عَبْدِ اللهِ ، عَنْ أَبِيهِ </w:t>
      </w:r>
      <w:r w:rsidRPr="00A91B96">
        <w:rPr>
          <w:rStyle w:val="libFootnotenumChar"/>
          <w:rtl/>
        </w:rPr>
        <w:t>(6)</w:t>
      </w:r>
      <w:r w:rsidRPr="00020424">
        <w:rPr>
          <w:rtl/>
          <w:lang w:bidi="fa-IR"/>
        </w:rPr>
        <w:t xml:space="preserve"> </w:t>
      </w:r>
      <w:r w:rsidRPr="00005A81">
        <w:rPr>
          <w:rStyle w:val="libAlaemChar"/>
          <w:rtl/>
        </w:rPr>
        <w:t>عليهما‌السلام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صَدَقَةُ السِّرِّ تُطْفِئُ غَضَبَ الرَّبِّ</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6C1DE8">
        <w:rPr>
          <w:rtl/>
        </w:rPr>
        <w:t>6023</w:t>
      </w:r>
      <w:r w:rsidRPr="001155DE">
        <w:rPr>
          <w:rStyle w:val="libBold2Char"/>
          <w:rtl/>
        </w:rPr>
        <w:t xml:space="preserve"> / 2.</w:t>
      </w:r>
      <w:r w:rsidRPr="00020424">
        <w:rPr>
          <w:rtl/>
          <w:lang w:bidi="fa-IR"/>
        </w:rPr>
        <w:t xml:space="preserve"> الْحُسَيْنُ بْنُ مُحَمَّدٍ </w:t>
      </w:r>
      <w:r w:rsidRPr="00A91B96">
        <w:rPr>
          <w:rStyle w:val="libFootnotenumChar"/>
          <w:rtl/>
        </w:rPr>
        <w:t>(8)</w:t>
      </w:r>
      <w:r w:rsidRPr="00020424">
        <w:rPr>
          <w:rtl/>
          <w:lang w:bidi="fa-IR"/>
        </w:rPr>
        <w:t xml:space="preserve"> ، عَنْ مُعَلَّى بْنِ مُحَمَّدٍ ، عَنْ عَلِيِّ بْنِ مِرْدَاسٍ ، عَنْ‌</w:t>
      </w:r>
    </w:p>
    <w:p w:rsidR="00992664" w:rsidRPr="00020424" w:rsidRDefault="00992664" w:rsidP="00992664">
      <w:pPr>
        <w:pStyle w:val="libLine"/>
        <w:rPr>
          <w:rtl/>
          <w:lang w:bidi="fa-IR"/>
        </w:rPr>
      </w:pPr>
      <w:r w:rsidRPr="00020424">
        <w:rPr>
          <w:rtl/>
          <w:lang w:bidi="fa-IR"/>
        </w:rPr>
        <w:t>__________________</w:t>
      </w:r>
    </w:p>
    <w:p w:rsidR="00992664" w:rsidRPr="00020424" w:rsidRDefault="0014275E" w:rsidP="00992664">
      <w:pPr>
        <w:pStyle w:val="libFootnote0"/>
        <w:rPr>
          <w:rtl/>
          <w:lang w:bidi="fa-IR"/>
        </w:rPr>
      </w:pPr>
      <w:r>
        <w:rPr>
          <w:rFonts w:hint="cs"/>
          <w:rtl/>
        </w:rPr>
        <w:t xml:space="preserve">= </w:t>
      </w:r>
      <w:r w:rsidR="00992664" w:rsidRPr="00020424">
        <w:rPr>
          <w:rtl/>
        </w:rPr>
        <w:t>رجله ؛ يعني من دون ضرار ، أو أنّ المراد بنفي الضرر في قوله : فلم يضرّه نفي الهلاك والكسر ونحوهما. ويشبه أن يكون في الكلام تقديم وتأخير من النسّاخ وكان هكذا : فأصابت رجله فلم تضرّه ، وعلى هذا لا يحتاج إلى التأويل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F45EE" w:rsidTr="006F45EE">
        <w:tc>
          <w:tcPr>
            <w:tcW w:w="4006" w:type="dxa"/>
          </w:tcPr>
          <w:p w:rsidR="006F45EE" w:rsidRDefault="006F45EE" w:rsidP="00992664">
            <w:pPr>
              <w:pStyle w:val="libFootnote0"/>
              <w:rPr>
                <w:rtl/>
              </w:rPr>
            </w:pPr>
            <w:r>
              <w:rPr>
                <w:rtl/>
              </w:rPr>
              <w:t xml:space="preserve">(1). </w:t>
            </w:r>
            <w:r w:rsidRPr="00020424">
              <w:rPr>
                <w:rtl/>
              </w:rPr>
              <w:t>في « بس » : « وتصدّقت</w:t>
            </w:r>
            <w:r>
              <w:rPr>
                <w:rtl/>
              </w:rPr>
              <w:t xml:space="preserve"> ».</w:t>
            </w:r>
          </w:p>
        </w:tc>
        <w:tc>
          <w:tcPr>
            <w:tcW w:w="4006" w:type="dxa"/>
          </w:tcPr>
          <w:p w:rsidR="006F45EE" w:rsidRDefault="006F45EE" w:rsidP="00992664">
            <w:pPr>
              <w:pStyle w:val="libFootnote0"/>
              <w:rPr>
                <w:rtl/>
              </w:rPr>
            </w:pPr>
            <w:r>
              <w:rPr>
                <w:rtl/>
              </w:rPr>
              <w:t xml:space="preserve">(2). </w:t>
            </w:r>
            <w:r w:rsidRPr="00020424">
              <w:rPr>
                <w:rtl/>
              </w:rPr>
              <w:t>في « ى ، بر » :</w:t>
            </w:r>
            <w:r>
              <w:rPr>
                <w:rtl/>
              </w:rPr>
              <w:t xml:space="preserve"> - </w:t>
            </w:r>
            <w:r w:rsidRPr="00020424">
              <w:rPr>
                <w:rtl/>
              </w:rPr>
              <w:t>« الله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بف » : « عنه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395 ، ح 9756 ؛ </w:t>
      </w:r>
      <w:r w:rsidR="00992664" w:rsidRPr="0012008A">
        <w:rPr>
          <w:rStyle w:val="libFootnoteBoldChar"/>
          <w:rtl/>
        </w:rPr>
        <w:t>الوسائل</w:t>
      </w:r>
      <w:r w:rsidR="00992664" w:rsidRPr="00020424">
        <w:rPr>
          <w:rtl/>
        </w:rPr>
        <w:t xml:space="preserve"> ، ج 9 ، ص 388 ، ح 12305.</w:t>
      </w:r>
    </w:p>
    <w:tbl>
      <w:tblPr>
        <w:tblStyle w:val="TableGrid"/>
        <w:bidiVisual/>
        <w:tblW w:w="0" w:type="auto"/>
        <w:tblLook w:val="04A0" w:firstRow="1" w:lastRow="0" w:firstColumn="1" w:lastColumn="0" w:noHBand="0" w:noVBand="1"/>
      </w:tblPr>
      <w:tblGrid>
        <w:gridCol w:w="4006"/>
        <w:gridCol w:w="4006"/>
      </w:tblGrid>
      <w:tr w:rsidR="00FF758E" w:rsidTr="00FF758E">
        <w:tc>
          <w:tcPr>
            <w:tcW w:w="4006" w:type="dxa"/>
          </w:tcPr>
          <w:p w:rsidR="00FF758E" w:rsidRDefault="00FF758E" w:rsidP="00992664">
            <w:pPr>
              <w:pStyle w:val="libFootnote0"/>
              <w:rPr>
                <w:rtl/>
              </w:rPr>
            </w:pPr>
            <w:r>
              <w:rPr>
                <w:rtl/>
              </w:rPr>
              <w:t xml:space="preserve">(5). </w:t>
            </w:r>
            <w:r w:rsidRPr="00020424">
              <w:rPr>
                <w:rtl/>
              </w:rPr>
              <w:t>في حاشية « بث » : + « وفضل العبادة</w:t>
            </w:r>
            <w:r>
              <w:rPr>
                <w:rtl/>
              </w:rPr>
              <w:t xml:space="preserve"> ».</w:t>
            </w:r>
          </w:p>
        </w:tc>
        <w:tc>
          <w:tcPr>
            <w:tcW w:w="4006" w:type="dxa"/>
          </w:tcPr>
          <w:p w:rsidR="00FF758E" w:rsidRDefault="00FF758E" w:rsidP="00992664">
            <w:pPr>
              <w:pStyle w:val="libFootnote0"/>
              <w:rPr>
                <w:rtl/>
              </w:rPr>
            </w:pPr>
            <w:r>
              <w:rPr>
                <w:rtl/>
              </w:rPr>
              <w:t>(6).في«ى،بس،جن»</w:t>
            </w:r>
            <w:r w:rsidRPr="00EB1FD9">
              <w:rPr>
                <w:rStyle w:val="libFootnoteBoldChar"/>
                <w:rtl/>
              </w:rPr>
              <w:t>والوسائل</w:t>
            </w:r>
            <w:r w:rsidRPr="00020424">
              <w:rPr>
                <w:rtl/>
              </w:rPr>
              <w:t xml:space="preserve"> </w:t>
            </w:r>
            <w:r w:rsidRPr="00515444">
              <w:rPr>
                <w:rStyle w:val="libFootnoteBoldChar"/>
                <w:rtl/>
              </w:rPr>
              <w:t>والتهذيب</w:t>
            </w:r>
            <w:r w:rsidRPr="00020424">
              <w:rPr>
                <w:rtl/>
              </w:rPr>
              <w:t>:</w:t>
            </w:r>
            <w:r>
              <w:rPr>
                <w:rtl/>
              </w:rPr>
              <w:t>-«</w:t>
            </w:r>
            <w:r w:rsidRPr="00020424">
              <w:rPr>
                <w:rtl/>
              </w:rPr>
              <w:t>عن أبيه</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105 ، ح 299 ، معلّقاً عن الكليني. </w:t>
      </w:r>
      <w:r w:rsidR="00992664" w:rsidRPr="00DE76B9">
        <w:rPr>
          <w:rStyle w:val="libFootnoteBoldChar"/>
          <w:rtl/>
        </w:rPr>
        <w:t>الجعفريّات</w:t>
      </w:r>
      <w:r w:rsidR="00992664" w:rsidRPr="00020424">
        <w:rPr>
          <w:rtl/>
        </w:rPr>
        <w:t xml:space="preserve"> ، ص 56 ، بسند آخر. </w:t>
      </w:r>
      <w:r w:rsidR="00992664" w:rsidRPr="0012008A">
        <w:rPr>
          <w:rStyle w:val="libFootnoteBoldChar"/>
          <w:rtl/>
        </w:rPr>
        <w:t>ثواب الأعمال</w:t>
      </w:r>
      <w:r w:rsidR="00992664" w:rsidRPr="00020424">
        <w:rPr>
          <w:rtl/>
        </w:rPr>
        <w:t xml:space="preserve"> ، ص 172 ، ح 1 ، بسند آخر عن أبي عبدالله ، عن عليّ بن الحسين </w:t>
      </w:r>
      <w:r w:rsidR="00992664" w:rsidRPr="00D64ADA">
        <w:rPr>
          <w:rStyle w:val="libFootnoteAlaemChar"/>
          <w:rtl/>
        </w:rPr>
        <w:t>عليهم‌السلام</w:t>
      </w:r>
      <w:r w:rsidR="00992664" w:rsidRPr="00020424">
        <w:rPr>
          <w:rtl/>
        </w:rPr>
        <w:t xml:space="preserve">. </w:t>
      </w:r>
      <w:r w:rsidR="00992664" w:rsidRPr="00DE76B9">
        <w:rPr>
          <w:rStyle w:val="libFootnoteBoldChar"/>
          <w:rtl/>
        </w:rPr>
        <w:t>وفيه</w:t>
      </w:r>
      <w:r w:rsidR="00992664" w:rsidRPr="00020424">
        <w:rPr>
          <w:rtl/>
        </w:rPr>
        <w:t xml:space="preserve"> ، ح 1 ، بسند آخر عن أبي عبدالله </w:t>
      </w:r>
      <w:r w:rsidR="00992664" w:rsidRPr="00D64ADA">
        <w:rPr>
          <w:rStyle w:val="libFootnoteAlaemChar"/>
          <w:rtl/>
        </w:rPr>
        <w:t>عليه‌السلام</w:t>
      </w:r>
      <w:r w:rsidR="00992664" w:rsidRPr="00020424">
        <w:rPr>
          <w:rtl/>
        </w:rPr>
        <w:t xml:space="preserve"> ، من دون الإسناد إلى آبائه </w:t>
      </w:r>
      <w:r w:rsidR="00992664" w:rsidRPr="00D64ADA">
        <w:rPr>
          <w:rStyle w:val="libFootnoteAlaemChar"/>
          <w:rtl/>
        </w:rPr>
        <w:t>عليهم‌السلام</w:t>
      </w:r>
      <w:r w:rsidR="00992664" w:rsidRPr="00020424">
        <w:rPr>
          <w:rtl/>
        </w:rPr>
        <w:t xml:space="preserve">. </w:t>
      </w:r>
      <w:r w:rsidR="00992664" w:rsidRPr="00A722B1">
        <w:rPr>
          <w:rStyle w:val="libFootnoteBoldChar"/>
          <w:rtl/>
        </w:rPr>
        <w:t>الخصال</w:t>
      </w:r>
      <w:r w:rsidR="00992664" w:rsidRPr="00020424">
        <w:rPr>
          <w:rtl/>
        </w:rPr>
        <w:t xml:space="preserve"> ، ص 180 ، باب الثلاثة ، ح 246 ، بسند آخر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الأخيرين مع اختلاف يسير وزيادة في أوّله. </w:t>
      </w:r>
      <w:r w:rsidR="00992664" w:rsidRPr="0012008A">
        <w:rPr>
          <w:rStyle w:val="libFootnoteBoldChar"/>
          <w:rtl/>
        </w:rPr>
        <w:t>الفقيه</w:t>
      </w:r>
      <w:r w:rsidR="00992664" w:rsidRPr="00020424">
        <w:rPr>
          <w:rtl/>
        </w:rPr>
        <w:t xml:space="preserve"> ، ج 2 ، ص 67 ، ح 1735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261 ، مرسلاً عن أبي عبدالله </w:t>
      </w:r>
      <w:r w:rsidR="00992664" w:rsidRPr="00D64ADA">
        <w:rPr>
          <w:rStyle w:val="libFootnoteAlaemChar"/>
          <w:rtl/>
        </w:rPr>
        <w:t>عليه‌السلام</w:t>
      </w:r>
      <w:r w:rsidR="00992664" w:rsidRPr="00020424">
        <w:rPr>
          <w:rtl/>
        </w:rPr>
        <w:t xml:space="preserve"> ، من دون الإسناد إلى آبائه </w:t>
      </w:r>
      <w:r w:rsidR="00992664" w:rsidRPr="00D64ADA">
        <w:rPr>
          <w:rStyle w:val="libFootnoteAlaemChar"/>
          <w:rtl/>
        </w:rPr>
        <w:t>عليهم‌السلام</w:t>
      </w:r>
      <w:r w:rsidR="00992664" w:rsidRPr="00020424">
        <w:rPr>
          <w:rtl/>
        </w:rPr>
        <w:t xml:space="preserve">. راجع : </w:t>
      </w:r>
      <w:r w:rsidR="00992664" w:rsidRPr="00DE76B9">
        <w:rPr>
          <w:rStyle w:val="libFootnoteBoldChar"/>
          <w:rtl/>
        </w:rPr>
        <w:t>الكافي</w:t>
      </w:r>
      <w:r w:rsidR="00992664" w:rsidRPr="00020424">
        <w:rPr>
          <w:rtl/>
        </w:rPr>
        <w:t xml:space="preserve"> ، كتاب الزكاة ، باب صدقة الليل ، ح 6027 ؛ وكتاب الوصايا ، باب صدقات النبيّ </w:t>
      </w:r>
      <w:r w:rsidR="00D64ADA" w:rsidRPr="00D64ADA">
        <w:rPr>
          <w:rStyle w:val="libFootnoteAlaemChar"/>
          <w:rtl/>
        </w:rPr>
        <w:t>صلى‌الله‌عليه‌وآله</w:t>
      </w:r>
      <w:r w:rsidR="00B42914" w:rsidRPr="00B42914">
        <w:rPr>
          <w:rStyle w:val="libAlaemChar"/>
          <w:rtl/>
        </w:rPr>
        <w:t>‌</w:t>
      </w:r>
      <w:r w:rsidR="00992664">
        <w:rPr>
          <w:rtl/>
        </w:rPr>
        <w:t xml:space="preserve"> ..</w:t>
      </w:r>
      <w:r w:rsidR="00992664" w:rsidRPr="00020424">
        <w:rPr>
          <w:rtl/>
        </w:rPr>
        <w:t xml:space="preserve">. ، ح 13276 ؛ </w:t>
      </w:r>
      <w:r w:rsidR="00992664" w:rsidRPr="00FD6221">
        <w:rPr>
          <w:rStyle w:val="libFootnoteBoldChar"/>
          <w:rtl/>
        </w:rPr>
        <w:t>والفقيه</w:t>
      </w:r>
      <w:r w:rsidR="00992664" w:rsidRPr="00020424">
        <w:rPr>
          <w:rtl/>
        </w:rPr>
        <w:t xml:space="preserve"> ، ج 1 ، ص 205 ، ح 613 ؛ وج 4 ، ص 189 ، ح 5433 ؛ </w:t>
      </w:r>
      <w:r w:rsidR="00992664" w:rsidRPr="00515444">
        <w:rPr>
          <w:rStyle w:val="libFootnoteBoldChar"/>
          <w:rtl/>
        </w:rPr>
        <w:t>والتهذيب</w:t>
      </w:r>
      <w:r w:rsidR="00992664" w:rsidRPr="00020424">
        <w:rPr>
          <w:rtl/>
        </w:rPr>
        <w:t xml:space="preserve"> ، ج 9 ، ص 176 ، ح 714 ؛ </w:t>
      </w:r>
      <w:r w:rsidR="00992664" w:rsidRPr="00EE0C68">
        <w:rPr>
          <w:rStyle w:val="libFootnoteBoldChar"/>
          <w:rtl/>
        </w:rPr>
        <w:t>وقرب الإسناد</w:t>
      </w:r>
      <w:r w:rsidR="00992664" w:rsidRPr="00020424">
        <w:rPr>
          <w:rtl/>
        </w:rPr>
        <w:t xml:space="preserve"> ، ص 76 ، ح 244 </w:t>
      </w:r>
      <w:r w:rsidR="00DB31B3">
        <w:rPr>
          <w:rFonts w:hint="cs"/>
          <w:rtl/>
        </w:rPr>
        <w:t>.</w:t>
      </w:r>
      <w:r w:rsidR="00992664" w:rsidRPr="0012008A">
        <w:rPr>
          <w:rStyle w:val="libFootnoteBoldChar"/>
          <w:rtl/>
        </w:rPr>
        <w:t>الوافي</w:t>
      </w:r>
      <w:r w:rsidR="00992664" w:rsidRPr="00020424">
        <w:rPr>
          <w:rtl/>
        </w:rPr>
        <w:t xml:space="preserve"> ، ج 10 ، ص 401 ، ح 9768 ؛ </w:t>
      </w:r>
      <w:r w:rsidR="00992664" w:rsidRPr="0012008A">
        <w:rPr>
          <w:rStyle w:val="libFootnoteBoldChar"/>
          <w:rtl/>
        </w:rPr>
        <w:t>الوسائل</w:t>
      </w:r>
      <w:r w:rsidR="00992664" w:rsidRPr="00020424">
        <w:rPr>
          <w:rtl/>
        </w:rPr>
        <w:t xml:space="preserve"> ، ج 9 ، ص 395 ، ح 12319.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الكافي ، ح 889 : + « الأشعري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lastRenderedPageBreak/>
        <w:t xml:space="preserve">صَفْوَانَ بْنِ يَحْيى </w:t>
      </w:r>
      <w:r w:rsidRPr="00A91B96">
        <w:rPr>
          <w:rStyle w:val="libFootnotenumChar"/>
          <w:rtl/>
        </w:rPr>
        <w:t>(1)</w:t>
      </w:r>
      <w:r w:rsidRPr="00020424">
        <w:rPr>
          <w:rtl/>
          <w:lang w:bidi="fa-IR"/>
        </w:rPr>
        <w:t xml:space="preserve"> وَالْحَسَنِ </w:t>
      </w:r>
      <w:r w:rsidRPr="00A91B96">
        <w:rPr>
          <w:rStyle w:val="libFootnotenumChar"/>
          <w:rtl/>
        </w:rPr>
        <w:t>(2)</w:t>
      </w:r>
      <w:r w:rsidRPr="00020424">
        <w:rPr>
          <w:rtl/>
          <w:lang w:bidi="fa-IR"/>
        </w:rPr>
        <w:t xml:space="preserve"> بْنِ مَحْبُوبٍ ، عَنْ هِشَامِ بْنِ سَالِمٍ ، عَنْ عَمَّارٍ السَّابَاطِيِّ ، قَالَ :</w:t>
      </w:r>
    </w:p>
    <w:p w:rsidR="00992664" w:rsidRPr="00020424" w:rsidRDefault="00992664" w:rsidP="00992664">
      <w:pPr>
        <w:pStyle w:val="libNormal"/>
        <w:rPr>
          <w:rtl/>
          <w:lang w:bidi="fa-IR"/>
        </w:rPr>
      </w:pPr>
      <w:r w:rsidRPr="00020424">
        <w:rPr>
          <w:rtl/>
          <w:lang w:bidi="fa-IR"/>
        </w:rPr>
        <w:t xml:space="preserve">قَالَ لِي </w:t>
      </w:r>
      <w:r w:rsidRPr="00A91B96">
        <w:rPr>
          <w:rStyle w:val="libFootnotenumChar"/>
          <w:rtl/>
        </w:rPr>
        <w:t>(3)</w:t>
      </w:r>
      <w:r w:rsidRPr="00020424">
        <w:rPr>
          <w:rtl/>
          <w:lang w:bidi="fa-IR"/>
        </w:rPr>
        <w:t xml:space="preserve"> أَبُو عَبْدِ اللهِ </w:t>
      </w:r>
      <w:r w:rsidRPr="00005A81">
        <w:rPr>
          <w:rStyle w:val="libAlaemChar"/>
          <w:rtl/>
        </w:rPr>
        <w:t>عليه‌السلام</w:t>
      </w:r>
      <w:r w:rsidRPr="00020424">
        <w:rPr>
          <w:rtl/>
          <w:lang w:bidi="fa-IR"/>
        </w:rPr>
        <w:t xml:space="preserve"> : « يَا عَمَّارُ </w:t>
      </w:r>
      <w:r w:rsidRPr="00A91B96">
        <w:rPr>
          <w:rStyle w:val="libFootnotenumChar"/>
          <w:rtl/>
        </w:rPr>
        <w:t>(4)</w:t>
      </w:r>
      <w:r w:rsidRPr="00020424">
        <w:rPr>
          <w:rtl/>
          <w:lang w:bidi="fa-IR"/>
        </w:rPr>
        <w:t xml:space="preserve"> ، الصَّدَقَةُ</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 xml:space="preserve">فِي السِّرِّ </w:t>
      </w:r>
      <w:r w:rsidRPr="00A91B96">
        <w:rPr>
          <w:rStyle w:val="libFootnotenumChar"/>
          <w:rtl/>
        </w:rPr>
        <w:t>(5)</w:t>
      </w:r>
      <w:r w:rsidRPr="00020424">
        <w:rPr>
          <w:rtl/>
          <w:lang w:bidi="fa-IR"/>
        </w:rPr>
        <w:t xml:space="preserve"> أَفْضَلُ مِنَ الصَّدَقَةِ </w:t>
      </w:r>
      <w:r w:rsidRPr="00A91B96">
        <w:rPr>
          <w:rStyle w:val="libFootnotenumChar"/>
          <w:rtl/>
        </w:rPr>
        <w:t>(6)</w:t>
      </w:r>
      <w:r w:rsidRPr="00020424">
        <w:rPr>
          <w:rtl/>
          <w:lang w:bidi="fa-IR"/>
        </w:rPr>
        <w:t xml:space="preserve"> فِي الْعَلَانِيَةِ ، وَكَذلِكَ</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 xml:space="preserve">الْعِبَادَةُ فِي السِّرِّ أَفْضَلُ مِنْهَا فِي الْعَلَانِيَةِ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C1DE8">
        <w:rPr>
          <w:rtl/>
        </w:rPr>
        <w:t>6024</w:t>
      </w:r>
      <w:r w:rsidRPr="001155DE">
        <w:rPr>
          <w:rStyle w:val="libBold2Char"/>
          <w:rtl/>
        </w:rPr>
        <w:t xml:space="preserve"> / 3.</w:t>
      </w:r>
      <w:r w:rsidRPr="00020424">
        <w:rPr>
          <w:rtl/>
          <w:lang w:bidi="fa-IR"/>
        </w:rPr>
        <w:t xml:space="preserve"> عِدَّةٌ مِنْ أَصْحَابِنَا ، عَنْ أَحْمَدَ بْنِ أَبِي عَبْدِ اللهِ ، عَنْ أَبِيهِ ، عَنْ صَفْوَانَ بْنِ يَحْيى </w:t>
      </w:r>
      <w:r w:rsidRPr="00A91B96">
        <w:rPr>
          <w:rStyle w:val="libFootnotenumChar"/>
          <w:rtl/>
        </w:rPr>
        <w:t>(9)</w:t>
      </w:r>
      <w:r w:rsidRPr="00020424">
        <w:rPr>
          <w:rtl/>
          <w:lang w:bidi="fa-IR"/>
        </w:rPr>
        <w:t xml:space="preserve"> ، عَنْ عَبْدِ اللهِ بْنِ الْوَلِيدِ الْوَصَّافِيِّ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صَدَقَةُ السِّرِّ تُطْفِئُ غَضَبَ الرَّبِّ تَبَارَكَ وَتَعَالى</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Heading2Center"/>
        <w:rPr>
          <w:rtl/>
          <w:lang w:bidi="fa-IR"/>
        </w:rPr>
      </w:pPr>
      <w:bookmarkStart w:id="169" w:name="_Toc345172773"/>
      <w:bookmarkStart w:id="170" w:name="_Toc464562589"/>
      <w:bookmarkStart w:id="171" w:name="_Toc44599892"/>
      <w:r w:rsidRPr="00020424">
        <w:rPr>
          <w:rtl/>
          <w:lang w:bidi="fa-IR"/>
        </w:rPr>
        <w:t>51</w:t>
      </w:r>
      <w:r>
        <w:rPr>
          <w:rtl/>
          <w:lang w:bidi="fa-IR"/>
        </w:rPr>
        <w:t xml:space="preserve"> </w:t>
      </w:r>
      <w:r w:rsidR="009B673F">
        <w:rPr>
          <w:rtl/>
          <w:lang w:bidi="fa-IR"/>
        </w:rPr>
        <w:t>-</w:t>
      </w:r>
      <w:r>
        <w:rPr>
          <w:rtl/>
          <w:lang w:bidi="fa-IR"/>
        </w:rPr>
        <w:t xml:space="preserve"> </w:t>
      </w:r>
      <w:r w:rsidRPr="00020424">
        <w:rPr>
          <w:rtl/>
          <w:lang w:bidi="fa-IR"/>
        </w:rPr>
        <w:t xml:space="preserve">بَابُ صَدَقَةِ اللَّيْلِ </w:t>
      </w:r>
      <w:r w:rsidRPr="00A91B96">
        <w:rPr>
          <w:rStyle w:val="libFootnotenumChar"/>
          <w:rtl/>
        </w:rPr>
        <w:t>(11)</w:t>
      </w:r>
      <w:r w:rsidRPr="00020424">
        <w:rPr>
          <w:rtl/>
          <w:lang w:bidi="fa-IR"/>
        </w:rPr>
        <w:t xml:space="preserve"> ‌</w:t>
      </w:r>
      <w:bookmarkEnd w:id="169"/>
      <w:bookmarkEnd w:id="170"/>
      <w:bookmarkEnd w:id="171"/>
    </w:p>
    <w:p w:rsidR="00992664" w:rsidRPr="00020424" w:rsidRDefault="00992664" w:rsidP="00992664">
      <w:pPr>
        <w:pStyle w:val="libNormal"/>
        <w:rPr>
          <w:rtl/>
          <w:lang w:bidi="fa-IR"/>
        </w:rPr>
      </w:pPr>
      <w:r w:rsidRPr="006C1DE8">
        <w:rPr>
          <w:rtl/>
        </w:rPr>
        <w:t>6025</w:t>
      </w:r>
      <w:r w:rsidRPr="001155DE">
        <w:rPr>
          <w:rStyle w:val="libBold2Char"/>
          <w:rtl/>
        </w:rPr>
        <w:t xml:space="preserve"> / 1.</w:t>
      </w:r>
      <w:r w:rsidRPr="00020424">
        <w:rPr>
          <w:rtl/>
          <w:lang w:bidi="fa-IR"/>
        </w:rPr>
        <w:t xml:space="preserve"> مُحَمَّدُ بْنُ يَحْيى ، عَنْ أَحْمَدَ بْنِ مُحَمَّدٍ ، عَنِ ابْنِ أَبِي عُمَيْرٍ ، عَنْ هِشَامِ بْنِ سَالِمٍ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B31B3" w:rsidTr="00DB31B3">
        <w:tc>
          <w:tcPr>
            <w:tcW w:w="4006" w:type="dxa"/>
          </w:tcPr>
          <w:p w:rsidR="00DB31B3" w:rsidRDefault="00DB31B3" w:rsidP="00992664">
            <w:pPr>
              <w:pStyle w:val="libFootnote0"/>
              <w:rPr>
                <w:rtl/>
              </w:rPr>
            </w:pPr>
            <w:r>
              <w:rPr>
                <w:rtl/>
              </w:rPr>
              <w:t xml:space="preserve">(1). </w:t>
            </w:r>
            <w:r w:rsidRPr="00020424">
              <w:rPr>
                <w:rtl/>
              </w:rPr>
              <w:t>في « بر » :</w:t>
            </w:r>
            <w:r>
              <w:rPr>
                <w:rtl/>
              </w:rPr>
              <w:t xml:space="preserve"> - </w:t>
            </w:r>
            <w:r w:rsidRPr="00020424">
              <w:rPr>
                <w:rtl/>
              </w:rPr>
              <w:t>« بن يحيى</w:t>
            </w:r>
            <w:r>
              <w:rPr>
                <w:rtl/>
              </w:rPr>
              <w:t xml:space="preserve"> ».</w:t>
            </w:r>
          </w:p>
        </w:tc>
        <w:tc>
          <w:tcPr>
            <w:tcW w:w="4006" w:type="dxa"/>
          </w:tcPr>
          <w:p w:rsidR="00DB31B3" w:rsidRDefault="00DB31B3" w:rsidP="00992664">
            <w:pPr>
              <w:pStyle w:val="libFootnote0"/>
              <w:rPr>
                <w:rtl/>
              </w:rPr>
            </w:pPr>
            <w:r>
              <w:rPr>
                <w:rtl/>
              </w:rPr>
              <w:t xml:space="preserve">(2). </w:t>
            </w:r>
            <w:r w:rsidRPr="00020424">
              <w:rPr>
                <w:rtl/>
              </w:rPr>
              <w:t>في « بر ، بف » :</w:t>
            </w:r>
            <w:r>
              <w:rPr>
                <w:rtl/>
              </w:rPr>
              <w:t xml:space="preserve"> - </w:t>
            </w:r>
            <w:r w:rsidRPr="00020424">
              <w:rPr>
                <w:rtl/>
              </w:rPr>
              <w:t>« الحسن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 إنّ</w:t>
      </w:r>
      <w:r w:rsidR="00992664">
        <w:rPr>
          <w:rtl/>
        </w:rPr>
        <w:t xml:space="preserve"> ».</w:t>
      </w:r>
      <w:r w:rsidR="00992664" w:rsidRPr="00020424">
        <w:rPr>
          <w:rtl/>
        </w:rPr>
        <w:t xml:space="preserve"> وفي « بر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يا عمّار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1AD6" w:rsidTr="00721AD6">
        <w:tc>
          <w:tcPr>
            <w:tcW w:w="4006" w:type="dxa"/>
          </w:tcPr>
          <w:p w:rsidR="00721AD6" w:rsidRDefault="00721AD6"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في السرّ والله</w:t>
            </w:r>
            <w:r>
              <w:rPr>
                <w:rtl/>
              </w:rPr>
              <w:t xml:space="preserve"> ».</w:t>
            </w:r>
          </w:p>
        </w:tc>
        <w:tc>
          <w:tcPr>
            <w:tcW w:w="4006" w:type="dxa"/>
          </w:tcPr>
          <w:p w:rsidR="00721AD6" w:rsidRDefault="00721AD6" w:rsidP="00992664">
            <w:pPr>
              <w:pStyle w:val="libFootnote0"/>
              <w:rPr>
                <w:rtl/>
              </w:rPr>
            </w:pPr>
            <w:r>
              <w:rPr>
                <w:rtl/>
              </w:rPr>
              <w:t xml:space="preserve">(6). </w:t>
            </w:r>
            <w:r w:rsidR="00DD6828">
              <w:rPr>
                <w:rtl/>
              </w:rPr>
              <w:t>في «بر ، بف</w:t>
            </w:r>
            <w:r w:rsidRPr="00020424">
              <w:rPr>
                <w:rtl/>
              </w:rPr>
              <w:t>» : « منها » بدل « من الصدقة</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وكذلك والله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في العلانية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الحجّة ، باب نادر في حال الغيبة ، ضمن ح 889. وفي </w:t>
      </w:r>
      <w:r w:rsidR="00992664" w:rsidRPr="00DE76B9">
        <w:rPr>
          <w:rStyle w:val="libFootnoteBoldChar"/>
          <w:rtl/>
        </w:rPr>
        <w:t>كمال الدين</w:t>
      </w:r>
      <w:r w:rsidR="00992664" w:rsidRPr="00020424">
        <w:rPr>
          <w:rtl/>
        </w:rPr>
        <w:t xml:space="preserve"> ، ص 645 ، ضمن ح 7 ، بسنده عن الحسن بن محبوب ، مع اختلاف يسير. </w:t>
      </w:r>
      <w:r w:rsidR="00992664" w:rsidRPr="0012008A">
        <w:rPr>
          <w:rStyle w:val="libFootnoteBoldChar"/>
          <w:rtl/>
        </w:rPr>
        <w:t>الفقيه</w:t>
      </w:r>
      <w:r w:rsidR="00992664" w:rsidRPr="00020424">
        <w:rPr>
          <w:rtl/>
        </w:rPr>
        <w:t xml:space="preserve"> ، ج 2 ، ص 67 ، ح 1736 ، معلّقاً عن عمّار ، عن الصادق </w:t>
      </w:r>
      <w:r w:rsidR="00992664" w:rsidRPr="00D64ADA">
        <w:rPr>
          <w:rStyle w:val="libFootnoteAlaemChar"/>
          <w:rtl/>
        </w:rPr>
        <w:t>عليه‌السلام</w:t>
      </w:r>
      <w:r w:rsidR="00992664" w:rsidRPr="00020424">
        <w:rPr>
          <w:rtl/>
        </w:rPr>
        <w:t xml:space="preserve"> </w:t>
      </w:r>
      <w:r w:rsidR="00B81A26">
        <w:rPr>
          <w:rFonts w:hint="cs"/>
          <w:rtl/>
        </w:rPr>
        <w:t>.</w:t>
      </w:r>
      <w:r w:rsidR="00992664" w:rsidRPr="0012008A">
        <w:rPr>
          <w:rStyle w:val="libFootnoteBoldChar"/>
          <w:rtl/>
        </w:rPr>
        <w:t>الوافي</w:t>
      </w:r>
      <w:r w:rsidR="00992664" w:rsidRPr="00020424">
        <w:rPr>
          <w:rtl/>
        </w:rPr>
        <w:t xml:space="preserve"> ، ج 10 ، ص 401 ، ح 9770 ؛ </w:t>
      </w:r>
      <w:r w:rsidR="00992664" w:rsidRPr="0012008A">
        <w:rPr>
          <w:rStyle w:val="libFootnoteBoldChar"/>
          <w:rtl/>
        </w:rPr>
        <w:t>الوسائل</w:t>
      </w:r>
      <w:r w:rsidR="00992664" w:rsidRPr="00020424">
        <w:rPr>
          <w:rtl/>
        </w:rPr>
        <w:t xml:space="preserve"> ، ج 1 ، ص 77 ، ح 174 ؛ وج 9 ، ص 395 ، ح 12320.</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الزهد</w:t>
      </w:r>
      <w:r w:rsidR="00992664" w:rsidRPr="00020424">
        <w:rPr>
          <w:rtl/>
        </w:rPr>
        <w:t xml:space="preserve"> ، ص 101 ، ح 97 ، بسنده عن الوصّافي ، عن أبي جعفر </w:t>
      </w:r>
      <w:r w:rsidR="00992664" w:rsidRPr="00D64ADA">
        <w:rPr>
          <w:rStyle w:val="libFootnoteAlaemChar"/>
          <w:rtl/>
        </w:rPr>
        <w:t>عليه‌السلام</w:t>
      </w:r>
      <w:r w:rsidR="00992664" w:rsidRPr="00020424">
        <w:rPr>
          <w:rtl/>
        </w:rPr>
        <w:t xml:space="preserve"> ، مع زيادة في آخره. </w:t>
      </w:r>
      <w:r w:rsidR="00992664" w:rsidRPr="00DE76B9">
        <w:rPr>
          <w:rStyle w:val="libFootnoteBoldChar"/>
          <w:rtl/>
        </w:rPr>
        <w:t>وفيه</w:t>
      </w:r>
      <w:r w:rsidR="00992664" w:rsidRPr="00020424">
        <w:rPr>
          <w:rtl/>
        </w:rPr>
        <w:t xml:space="preserve"> ، ص 38 ، ح 101 ، بسنده عن عبدالله بن الوليد الوصّافي ، مع زيادة في أوّله. </w:t>
      </w:r>
      <w:r w:rsidR="00992664" w:rsidRPr="00DE76B9">
        <w:rPr>
          <w:rStyle w:val="libFootnoteBoldChar"/>
          <w:rtl/>
        </w:rPr>
        <w:t>الكافي</w:t>
      </w:r>
      <w:r w:rsidR="00992664" w:rsidRPr="00020424">
        <w:rPr>
          <w:rtl/>
        </w:rPr>
        <w:t xml:space="preserve"> ، كتاب الزكاة ، باب صدقة الليل ، ضمن ح 6027 ، بسند آخر عن أبي عبدالله </w:t>
      </w:r>
      <w:r w:rsidR="00992664" w:rsidRPr="00D64ADA">
        <w:rPr>
          <w:rStyle w:val="libFootnoteAlaemChar"/>
          <w:rtl/>
        </w:rPr>
        <w:t>عليه‌السلام</w:t>
      </w:r>
      <w:r w:rsidR="00992664" w:rsidRPr="00020424">
        <w:rPr>
          <w:rtl/>
        </w:rPr>
        <w:t xml:space="preserve"> ، وفيه هكذا : « إنّ صدقة الليل تطفي غضب الربّ » </w:t>
      </w:r>
      <w:r w:rsidR="00B81A26">
        <w:rPr>
          <w:rFonts w:hint="cs"/>
          <w:rtl/>
        </w:rPr>
        <w:t>.</w:t>
      </w:r>
      <w:r w:rsidR="00992664" w:rsidRPr="0012008A">
        <w:rPr>
          <w:rStyle w:val="libFootnoteBoldChar"/>
          <w:rtl/>
        </w:rPr>
        <w:t>الوافي</w:t>
      </w:r>
      <w:r w:rsidR="00992664" w:rsidRPr="00020424">
        <w:rPr>
          <w:rtl/>
        </w:rPr>
        <w:t xml:space="preserve"> ، ج 10 ، ص 401 ، ح 9769 ؛ </w:t>
      </w:r>
      <w:r w:rsidR="00992664" w:rsidRPr="0012008A">
        <w:rPr>
          <w:rStyle w:val="libFootnoteBoldChar"/>
          <w:rtl/>
        </w:rPr>
        <w:t>الوسائل</w:t>
      </w:r>
      <w:r w:rsidR="00992664" w:rsidRPr="00020424">
        <w:rPr>
          <w:rtl/>
        </w:rPr>
        <w:t xml:space="preserve"> ، ج 9 ، ص 395 ، ح 12318.</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حاشية « بث » : « باب الصدقة بالليل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lastRenderedPageBreak/>
        <w:t xml:space="preserve">كَانَ أَبُو عَبْدِ اللهِ </w:t>
      </w:r>
      <w:r w:rsidRPr="00005A81">
        <w:rPr>
          <w:rStyle w:val="libAlaemChar"/>
          <w:rtl/>
        </w:rPr>
        <w:t>عليه‌السلام</w:t>
      </w:r>
      <w:r w:rsidRPr="00020424">
        <w:rPr>
          <w:rtl/>
          <w:lang w:bidi="fa-IR"/>
        </w:rPr>
        <w:t xml:space="preserve"> إِذَا أَعْتَمَ </w:t>
      </w:r>
      <w:r w:rsidRPr="00A91B96">
        <w:rPr>
          <w:rStyle w:val="libFootnotenumChar"/>
          <w:rtl/>
        </w:rPr>
        <w:t>(1)</w:t>
      </w:r>
      <w:r w:rsidRPr="00020424">
        <w:rPr>
          <w:rtl/>
          <w:lang w:bidi="fa-IR"/>
        </w:rPr>
        <w:t xml:space="preserve"> وَذَهَبَ مِنَ اللَّيْلِ شَطْرُهُ ، أَخَذَ جِرَاباً </w:t>
      </w:r>
      <w:r w:rsidRPr="00A91B96">
        <w:rPr>
          <w:rStyle w:val="libFootnotenumChar"/>
          <w:rtl/>
        </w:rPr>
        <w:t>(2)</w:t>
      </w:r>
      <w:r w:rsidRPr="00020424">
        <w:rPr>
          <w:rtl/>
          <w:lang w:bidi="fa-IR"/>
        </w:rPr>
        <w:t xml:space="preserve"> فِيهِ خُبْزٌ وَلَحْمٌ وَالدَّرَاهِمُ ، فَحَمَلَهُ </w:t>
      </w:r>
      <w:r w:rsidRPr="00A91B96">
        <w:rPr>
          <w:rStyle w:val="libFootnotenumChar"/>
          <w:rtl/>
        </w:rPr>
        <w:t>(3)</w:t>
      </w:r>
      <w:r w:rsidRPr="00020424">
        <w:rPr>
          <w:rtl/>
          <w:lang w:bidi="fa-IR"/>
        </w:rPr>
        <w:t xml:space="preserve"> عَلى عُنُقِهِ ، ثُمَّ ذَهَبَ بِهِ </w:t>
      </w:r>
      <w:r w:rsidRPr="00A91B96">
        <w:rPr>
          <w:rStyle w:val="libFootnotenumChar"/>
          <w:rtl/>
        </w:rPr>
        <w:t>(4)</w:t>
      </w:r>
      <w:r w:rsidRPr="00020424">
        <w:rPr>
          <w:rtl/>
          <w:lang w:bidi="fa-IR"/>
        </w:rPr>
        <w:t xml:space="preserve"> إِلى أَهْلِ الْحَاجَةِ مِنْ أَهْلِ الْمَدِينَةِ ، فَقَسَمَهُ </w:t>
      </w:r>
      <w:r w:rsidRPr="00A91B96">
        <w:rPr>
          <w:rStyle w:val="libFootnotenumChar"/>
          <w:rtl/>
        </w:rPr>
        <w:t>(5)</w:t>
      </w:r>
      <w:r w:rsidRPr="00020424">
        <w:rPr>
          <w:rtl/>
          <w:lang w:bidi="fa-IR"/>
        </w:rPr>
        <w:t xml:space="preserve"> فِيهِمْ ، وَلايَعْرِفُونَهُ </w:t>
      </w:r>
      <w:r w:rsidRPr="00A91B96">
        <w:rPr>
          <w:rStyle w:val="libFootnotenumChar"/>
          <w:rtl/>
        </w:rPr>
        <w:t>(6)</w:t>
      </w:r>
      <w:r w:rsidRPr="00020424">
        <w:rPr>
          <w:rtl/>
          <w:lang w:bidi="fa-IR"/>
        </w:rPr>
        <w:t xml:space="preserve"> ، فَلَمَّا مَضى أَبُو عَبْدِ اللهِ </w:t>
      </w:r>
      <w:r w:rsidRPr="00005A81">
        <w:rPr>
          <w:rStyle w:val="libAlaemChar"/>
          <w:rtl/>
        </w:rPr>
        <w:t>عليه‌السلام</w:t>
      </w:r>
      <w:r w:rsidRPr="00020424">
        <w:rPr>
          <w:rtl/>
          <w:lang w:bidi="fa-IR"/>
        </w:rPr>
        <w:t xml:space="preserve"> فَقَدُوا ذلِكَ ، فَعَلِمُوا أَنَّهُ كَانَ أَبَا عَبْدِ اللهِ </w:t>
      </w:r>
      <w:r w:rsidRPr="00005A81">
        <w:rPr>
          <w:rStyle w:val="libAlaemChar"/>
          <w:rtl/>
        </w:rPr>
        <w:t>عليه‌السلام</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6C1DE8">
        <w:rPr>
          <w:rtl/>
        </w:rPr>
        <w:t>6026</w:t>
      </w:r>
      <w:r w:rsidRPr="001155DE">
        <w:rPr>
          <w:rStyle w:val="libBold2Char"/>
          <w:rtl/>
        </w:rPr>
        <w:t xml:space="preserve"> / 2.</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إِذَا طَرَقَكُمْ سَائِلٌ ذَكَرٌ </w:t>
      </w:r>
      <w:r w:rsidRPr="00A91B96">
        <w:rPr>
          <w:rStyle w:val="libFootnotenumChar"/>
          <w:rtl/>
        </w:rPr>
        <w:t>(8)</w:t>
      </w:r>
      <w:r w:rsidRPr="00020424">
        <w:rPr>
          <w:rtl/>
          <w:lang w:bidi="fa-IR"/>
        </w:rPr>
        <w:t xml:space="preserve"> بِلَيْلٍ </w:t>
      </w:r>
      <w:r w:rsidRPr="00A91B96">
        <w:rPr>
          <w:rStyle w:val="libFootnotenumChar"/>
          <w:rtl/>
        </w:rPr>
        <w:t>(9)</w:t>
      </w:r>
      <w:r w:rsidRPr="00020424">
        <w:rPr>
          <w:rtl/>
          <w:lang w:bidi="fa-IR"/>
        </w:rPr>
        <w:t xml:space="preserve"> ، فَلَا تَرُدُّوهُ</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6C1DE8">
        <w:rPr>
          <w:rtl/>
        </w:rPr>
        <w:t>6027</w:t>
      </w:r>
      <w:r w:rsidRPr="001155DE">
        <w:rPr>
          <w:rStyle w:val="libBold2Char"/>
          <w:rtl/>
        </w:rPr>
        <w:t xml:space="preserve"> / 3.</w:t>
      </w:r>
      <w:r w:rsidRPr="00020424">
        <w:rPr>
          <w:rtl/>
          <w:lang w:bidi="fa-IR"/>
        </w:rPr>
        <w:t xml:space="preserve"> عِدَّةٌ مِنْ أَصْحَابِنَا ، عَنْ أَحْمَدَ بْنِ مُحَمَّدٍ ، عَنْ مُحَمَّدِ بْنِ خَالِدٍ ، عَنْ سَعْدَانَ بْنِ مُسْلِمٍ ، عَنْ مُعَلَّى بْنِ خُنَيْسٍ ، قَالَ :</w:t>
      </w:r>
    </w:p>
    <w:p w:rsidR="00992664" w:rsidRPr="00020424" w:rsidRDefault="00992664" w:rsidP="00992664">
      <w:pPr>
        <w:pStyle w:val="libNormal"/>
        <w:rPr>
          <w:rtl/>
          <w:lang w:bidi="fa-IR"/>
        </w:rPr>
      </w:pPr>
      <w:r w:rsidRPr="00020424">
        <w:rPr>
          <w:rtl/>
          <w:lang w:bidi="fa-IR"/>
        </w:rPr>
        <w:t xml:space="preserve">خَرَجَ أَبُو عَبْدِ اللهِ </w:t>
      </w:r>
      <w:r w:rsidRPr="00005A81">
        <w:rPr>
          <w:rStyle w:val="libAlaemChar"/>
          <w:rtl/>
        </w:rPr>
        <w:t>عليه‌السلام</w:t>
      </w:r>
      <w:r w:rsidRPr="00020424">
        <w:rPr>
          <w:rtl/>
          <w:lang w:bidi="fa-IR"/>
        </w:rPr>
        <w:t xml:space="preserve"> فِي لَيْلَةٍ قَدْ رُشَّتْ </w:t>
      </w:r>
      <w:r w:rsidRPr="00A91B96">
        <w:rPr>
          <w:rStyle w:val="libFootnotenumChar"/>
          <w:rtl/>
        </w:rPr>
        <w:t>(11)</w:t>
      </w:r>
      <w:r w:rsidRPr="00020424">
        <w:rPr>
          <w:rtl/>
          <w:lang w:bidi="fa-IR"/>
        </w:rPr>
        <w:t xml:space="preserve"> وَهُوَ يُرِيدُ ظُلَّةَ بَنِي سَاعِدَةَ ، فَاتَّبَعْتُهُ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بر » : « اغتمّ</w:t>
      </w:r>
      <w:r w:rsidR="00992664">
        <w:rPr>
          <w:rtl/>
        </w:rPr>
        <w:t xml:space="preserve"> ».</w:t>
      </w:r>
      <w:r w:rsidR="00992664" w:rsidRPr="00020424">
        <w:rPr>
          <w:rtl/>
        </w:rPr>
        <w:t xml:space="preserve"> </w:t>
      </w:r>
      <w:r w:rsidR="00992664">
        <w:rPr>
          <w:rtl/>
        </w:rPr>
        <w:t>و «</w:t>
      </w:r>
      <w:r w:rsidR="00992664" w:rsidRPr="00020424">
        <w:rPr>
          <w:rtl/>
        </w:rPr>
        <w:t xml:space="preserve"> أَعْتَمَ » ، أي دخل في العتمة وصار فيها ، والعتمة عند الخليل : الثلث الأوّل من الليل‌بعد غيبوبة الشفق ، وعند الجوهر</w:t>
      </w:r>
      <w:r w:rsidR="00B81A26">
        <w:rPr>
          <w:rtl/>
        </w:rPr>
        <w:t>ي : وقت صلاة العشاء. وقال العل</w:t>
      </w:r>
      <w:r w:rsidR="00B81A26">
        <w:rPr>
          <w:rFonts w:hint="cs"/>
          <w:rtl/>
        </w:rPr>
        <w:t>ّ</w:t>
      </w:r>
      <w:r w:rsidR="00B81A26">
        <w:rPr>
          <w:rtl/>
        </w:rPr>
        <w:t>ا</w:t>
      </w:r>
      <w:r w:rsidR="00992664" w:rsidRPr="00020424">
        <w:rPr>
          <w:rtl/>
        </w:rPr>
        <w:t xml:space="preserve">مة الفيض : « أعتم : صلّى العتمة ؛ يعني صلاة </w:t>
      </w:r>
      <w:r w:rsidR="001E2856">
        <w:rPr>
          <w:rtl/>
        </w:rPr>
        <w:t>العشاء الآخرة » ونحوه قال العل</w:t>
      </w:r>
      <w:r w:rsidR="001E2856">
        <w:rPr>
          <w:rFonts w:hint="cs"/>
          <w:rtl/>
        </w:rPr>
        <w:t>ّ</w:t>
      </w:r>
      <w:r w:rsidR="001E2856">
        <w:rPr>
          <w:rtl/>
        </w:rPr>
        <w:t>ا</w:t>
      </w:r>
      <w:r w:rsidR="00992664" w:rsidRPr="00020424">
        <w:rPr>
          <w:rtl/>
        </w:rPr>
        <w:t xml:space="preserve">مة المجلسي. راجع : </w:t>
      </w:r>
      <w:r w:rsidR="00992664" w:rsidRPr="00DE76B9">
        <w:rPr>
          <w:rStyle w:val="libFootnoteBoldChar"/>
          <w:rtl/>
        </w:rPr>
        <w:t>ترتيب كتاب العين</w:t>
      </w:r>
      <w:r w:rsidR="00992664" w:rsidRPr="00020424">
        <w:rPr>
          <w:rtl/>
        </w:rPr>
        <w:t xml:space="preserve"> ، ج 2 ، ص 1136 ؛ </w:t>
      </w:r>
      <w:r w:rsidR="00992664" w:rsidRPr="0012008A">
        <w:rPr>
          <w:rStyle w:val="libFootnoteBoldChar"/>
          <w:rtl/>
        </w:rPr>
        <w:t>الصحاح</w:t>
      </w:r>
      <w:r w:rsidR="00992664" w:rsidRPr="00020424">
        <w:rPr>
          <w:rtl/>
        </w:rPr>
        <w:t xml:space="preserve"> ، ج 5 ، ص 1979 ( عتم )</w:t>
      </w:r>
      <w:r w:rsidR="00992664">
        <w:rPr>
          <w:rtl/>
        </w:rPr>
        <w:t>.</w:t>
      </w:r>
    </w:p>
    <w:p w:rsidR="00992664" w:rsidRPr="00020424" w:rsidRDefault="00795177" w:rsidP="001E2856">
      <w:pPr>
        <w:pStyle w:val="libFootnote0"/>
        <w:rPr>
          <w:rtl/>
          <w:lang w:bidi="fa-IR"/>
        </w:rPr>
      </w:pPr>
      <w:r>
        <w:rPr>
          <w:rtl/>
        </w:rPr>
        <w:t>(2).</w:t>
      </w:r>
      <w:r w:rsidR="0014403D">
        <w:rPr>
          <w:rtl/>
        </w:rPr>
        <w:t xml:space="preserve"> </w:t>
      </w:r>
      <w:r w:rsidR="00992664" w:rsidRPr="00020424">
        <w:rPr>
          <w:rtl/>
        </w:rPr>
        <w:t xml:space="preserve">« الجِرابُ » : وِعاء يوعى فيه ، وهو من إهاب الشاء ، والجمع : جُرُب. راجع : </w:t>
      </w:r>
      <w:r w:rsidR="00992664" w:rsidRPr="00DE76B9">
        <w:rPr>
          <w:rStyle w:val="libFootnoteBoldChar"/>
          <w:rtl/>
        </w:rPr>
        <w:t>ترتيب كتاب العين</w:t>
      </w:r>
      <w:r w:rsidR="00992664" w:rsidRPr="00020424">
        <w:rPr>
          <w:rtl/>
        </w:rPr>
        <w:t xml:space="preserve"> ، ج 1 ، ص 275 ( جرب )</w:t>
      </w:r>
      <w:r w:rsidR="00992664">
        <w:rPr>
          <w:rtl/>
        </w:rPr>
        <w:t>.</w:t>
      </w:r>
      <w:r w:rsidR="001E2856">
        <w:rPr>
          <w:rFonts w:hint="cs"/>
          <w:rtl/>
        </w:rPr>
        <w:t xml:space="preserve">    </w:t>
      </w:r>
      <w:r w:rsidR="00A90FD5">
        <w:rPr>
          <w:rFonts w:hint="cs"/>
          <w:rtl/>
        </w:rPr>
        <w:t xml:space="preserve">                           </w:t>
      </w:r>
      <w:r w:rsidR="001E2856">
        <w:rPr>
          <w:rFonts w:hint="cs"/>
          <w:rtl/>
        </w:rPr>
        <w:t xml:space="preserve">       </w:t>
      </w:r>
      <w:r>
        <w:rPr>
          <w:rtl/>
        </w:rPr>
        <w:t>(3).</w:t>
      </w:r>
      <w:r w:rsidR="0014403D">
        <w:rPr>
          <w:rtl/>
        </w:rPr>
        <w:t xml:space="preserve"> </w:t>
      </w:r>
      <w:r w:rsidR="001E2856">
        <w:rPr>
          <w:rtl/>
        </w:rPr>
        <w:t>في «</w:t>
      </w:r>
      <w:r w:rsidR="00992664" w:rsidRPr="00020424">
        <w:rPr>
          <w:rtl/>
        </w:rPr>
        <w:t>ب</w:t>
      </w:r>
      <w:r w:rsidR="001E2856">
        <w:rPr>
          <w:rtl/>
        </w:rPr>
        <w:t>خ،بر، ف»وحاشية«بث» : «</w:t>
      </w:r>
      <w:r w:rsidR="00992664" w:rsidRPr="00020424">
        <w:rPr>
          <w:rtl/>
        </w:rPr>
        <w:t>فجعله</w:t>
      </w:r>
      <w:r w:rsidR="00992664">
        <w:rPr>
          <w:rtl/>
        </w:rPr>
        <w:t>».</w:t>
      </w:r>
    </w:p>
    <w:tbl>
      <w:tblPr>
        <w:tblStyle w:val="TableGrid"/>
        <w:bidiVisual/>
        <w:tblW w:w="0" w:type="auto"/>
        <w:tblLook w:val="04A0" w:firstRow="1" w:lastRow="0" w:firstColumn="1" w:lastColumn="0" w:noHBand="0" w:noVBand="1"/>
      </w:tblPr>
      <w:tblGrid>
        <w:gridCol w:w="4006"/>
        <w:gridCol w:w="4006"/>
      </w:tblGrid>
      <w:tr w:rsidR="001E2856" w:rsidTr="001E2856">
        <w:tc>
          <w:tcPr>
            <w:tcW w:w="4006" w:type="dxa"/>
          </w:tcPr>
          <w:p w:rsidR="001E2856" w:rsidRDefault="001E2856" w:rsidP="00992664">
            <w:pPr>
              <w:pStyle w:val="libFootnote0"/>
              <w:rPr>
                <w:rtl/>
              </w:rPr>
            </w:pPr>
            <w:r>
              <w:rPr>
                <w:rtl/>
              </w:rPr>
              <w:t xml:space="preserve">(4). </w:t>
            </w:r>
            <w:r w:rsidRPr="00020424">
              <w:rPr>
                <w:rtl/>
              </w:rPr>
              <w:t>في « بح » و</w:t>
            </w:r>
            <w:r w:rsidRPr="0012008A">
              <w:rPr>
                <w:rStyle w:val="libFootnoteBoldChar"/>
                <w:rtl/>
              </w:rPr>
              <w:t>البحار</w:t>
            </w:r>
            <w:r w:rsidRPr="00020424">
              <w:rPr>
                <w:rtl/>
              </w:rPr>
              <w:t xml:space="preserve"> :</w:t>
            </w:r>
            <w:r>
              <w:rPr>
                <w:rtl/>
              </w:rPr>
              <w:t xml:space="preserve"> - </w:t>
            </w:r>
            <w:r w:rsidRPr="00020424">
              <w:rPr>
                <w:rtl/>
              </w:rPr>
              <w:t>« به</w:t>
            </w:r>
            <w:r>
              <w:rPr>
                <w:rtl/>
              </w:rPr>
              <w:t xml:space="preserve"> ».</w:t>
            </w:r>
          </w:p>
        </w:tc>
        <w:tc>
          <w:tcPr>
            <w:tcW w:w="4006" w:type="dxa"/>
          </w:tcPr>
          <w:p w:rsidR="001E2856" w:rsidRDefault="001E2856" w:rsidP="00992664">
            <w:pPr>
              <w:pStyle w:val="libFootnote0"/>
              <w:rPr>
                <w:rtl/>
              </w:rPr>
            </w:pPr>
            <w:r>
              <w:rPr>
                <w:rtl/>
              </w:rPr>
              <w:t>(5). في«ظ،بث،بح،بخ،بر،بف»</w:t>
            </w:r>
            <w:r w:rsidRPr="00EB1FD9">
              <w:rPr>
                <w:rStyle w:val="libFootnoteBoldChar"/>
                <w:rtl/>
              </w:rPr>
              <w:t>والوسائل</w:t>
            </w:r>
            <w:r>
              <w:rPr>
                <w:rtl/>
              </w:rPr>
              <w:t>:«</w:t>
            </w:r>
            <w:r w:rsidRPr="00020424">
              <w:rPr>
                <w:rtl/>
              </w:rPr>
              <w:t>فيقسمه</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وهم لا يعرفونه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402 ، ح 9771 ؛ </w:t>
      </w:r>
      <w:r w:rsidR="00992664" w:rsidRPr="0012008A">
        <w:rPr>
          <w:rStyle w:val="libFootnoteBoldChar"/>
          <w:rtl/>
        </w:rPr>
        <w:t>الوسائل</w:t>
      </w:r>
      <w:r w:rsidR="00992664" w:rsidRPr="00020424">
        <w:rPr>
          <w:rtl/>
        </w:rPr>
        <w:t xml:space="preserve"> ، ج 9 ، ص 399 ، ح 12330 ؛ </w:t>
      </w:r>
      <w:r w:rsidR="00992664" w:rsidRPr="0012008A">
        <w:rPr>
          <w:rStyle w:val="libFootnoteBoldChar"/>
          <w:rtl/>
        </w:rPr>
        <w:t>البحار</w:t>
      </w:r>
      <w:r w:rsidR="00992664" w:rsidRPr="00020424">
        <w:rPr>
          <w:rtl/>
        </w:rPr>
        <w:t xml:space="preserve"> ، ج 47 ، ص 38 ، ح 40.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جن » :</w:t>
      </w:r>
      <w:r w:rsidR="00992664">
        <w:rPr>
          <w:rtl/>
        </w:rPr>
        <w:t xml:space="preserve"> </w:t>
      </w:r>
      <w:r w:rsidR="009B673F">
        <w:rPr>
          <w:rtl/>
        </w:rPr>
        <w:t>-</w:t>
      </w:r>
      <w:r w:rsidR="00992664">
        <w:rPr>
          <w:rtl/>
        </w:rPr>
        <w:t xml:space="preserve"> </w:t>
      </w:r>
      <w:r w:rsidR="00992664" w:rsidRPr="00020424">
        <w:rPr>
          <w:rtl/>
        </w:rPr>
        <w:t>« ذكر</w:t>
      </w:r>
      <w:r w:rsidR="00992664">
        <w:rPr>
          <w:rtl/>
        </w:rPr>
        <w:t xml:space="preserve"> ».</w:t>
      </w:r>
      <w:r w:rsidR="00992664" w:rsidRPr="00020424">
        <w:rPr>
          <w:rtl/>
        </w:rPr>
        <w:t xml:space="preserve"> وفي الجعفريّات : + « بالله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بخ » :</w:t>
      </w:r>
      <w:r w:rsidR="00992664">
        <w:rPr>
          <w:rtl/>
        </w:rPr>
        <w:t xml:space="preserve"> </w:t>
      </w:r>
      <w:r w:rsidR="009B673F">
        <w:rPr>
          <w:rtl/>
        </w:rPr>
        <w:t>-</w:t>
      </w:r>
      <w:r w:rsidR="00992664">
        <w:rPr>
          <w:rtl/>
        </w:rPr>
        <w:t xml:space="preserve"> </w:t>
      </w:r>
      <w:r w:rsidR="00992664" w:rsidRPr="00020424">
        <w:rPr>
          <w:rtl/>
        </w:rPr>
        <w:t>« بليل</w:t>
      </w:r>
      <w:r w:rsidR="00992664">
        <w:rPr>
          <w:rtl/>
        </w:rPr>
        <w:t xml:space="preserve"> ».</w:t>
      </w:r>
      <w:r w:rsidR="00992664" w:rsidRPr="00020424">
        <w:rPr>
          <w:rtl/>
        </w:rPr>
        <w:t xml:space="preserve"> وفي « جن » : « بليل ذكر » بدل « ذكر بليل</w:t>
      </w:r>
      <w:r w:rsidR="00992664">
        <w:rPr>
          <w:rtl/>
        </w:rPr>
        <w:t xml:space="preserve"> ».</w:t>
      </w:r>
      <w:r w:rsidR="00992664" w:rsidRPr="00020424">
        <w:rPr>
          <w:rtl/>
        </w:rPr>
        <w:t xml:space="preserve"> وفي الجعفريّات : « بالليل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الجعفريّات</w:t>
      </w:r>
      <w:r w:rsidR="00992664" w:rsidRPr="00020424">
        <w:rPr>
          <w:rtl/>
        </w:rPr>
        <w:t xml:space="preserve"> ، ص 57 ، بسند آخر. </w:t>
      </w:r>
      <w:r w:rsidR="00992664" w:rsidRPr="0012008A">
        <w:rPr>
          <w:rStyle w:val="libFootnoteBoldChar"/>
          <w:rtl/>
        </w:rPr>
        <w:t>الفقيه</w:t>
      </w:r>
      <w:r w:rsidR="00992664" w:rsidRPr="00020424">
        <w:rPr>
          <w:rtl/>
        </w:rPr>
        <w:t xml:space="preserve"> ، ج 2 ، ص 67 ، ح 1737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1E2856">
        <w:rPr>
          <w:rFonts w:hint="cs"/>
          <w:rtl/>
        </w:rPr>
        <w:t>.</w:t>
      </w:r>
      <w:r w:rsidR="00992664" w:rsidRPr="0012008A">
        <w:rPr>
          <w:rStyle w:val="libFootnoteBoldChar"/>
          <w:rtl/>
        </w:rPr>
        <w:t>الوافي</w:t>
      </w:r>
      <w:r w:rsidR="00992664" w:rsidRPr="00020424">
        <w:rPr>
          <w:rtl/>
        </w:rPr>
        <w:t xml:space="preserve"> ، ج 10 ، ص 411 ، ح 9792 ؛ </w:t>
      </w:r>
      <w:r w:rsidR="00992664" w:rsidRPr="0012008A">
        <w:rPr>
          <w:rStyle w:val="libFootnoteBoldChar"/>
          <w:rtl/>
        </w:rPr>
        <w:t>الوسائل</w:t>
      </w:r>
      <w:r w:rsidR="00992664" w:rsidRPr="00020424">
        <w:rPr>
          <w:rtl/>
        </w:rPr>
        <w:t xml:space="preserve"> ، ج 9 ، ص 405 ، ح 12344.</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ثواب الأعمال</w:t>
      </w:r>
      <w:r w:rsidR="00992664" w:rsidRPr="00020424">
        <w:rPr>
          <w:rtl/>
        </w:rPr>
        <w:t xml:space="preserve"> : + « السماء</w:t>
      </w:r>
      <w:r w:rsidR="00992664">
        <w:rPr>
          <w:rtl/>
        </w:rPr>
        <w:t xml:space="preserve"> ».</w:t>
      </w:r>
      <w:r w:rsidR="001E2856">
        <w:rPr>
          <w:rtl/>
        </w:rPr>
        <w:t xml:space="preserve"> والظاهر من كلام العل</w:t>
      </w:r>
      <w:r w:rsidR="001E2856">
        <w:rPr>
          <w:rFonts w:hint="cs"/>
          <w:rtl/>
        </w:rPr>
        <w:t>ّ</w:t>
      </w:r>
      <w:r w:rsidR="001E2856">
        <w:rPr>
          <w:rtl/>
        </w:rPr>
        <w:t>ا</w:t>
      </w:r>
      <w:r w:rsidR="00992664" w:rsidRPr="00020424">
        <w:rPr>
          <w:rtl/>
        </w:rPr>
        <w:t xml:space="preserve">مة الفيض في </w:t>
      </w:r>
      <w:r w:rsidR="00992664" w:rsidRPr="0012008A">
        <w:rPr>
          <w:rStyle w:val="libFootnoteBoldChar"/>
          <w:rtl/>
        </w:rPr>
        <w:t>الوافي</w:t>
      </w:r>
      <w:r w:rsidR="00992664" w:rsidRPr="00020424">
        <w:rPr>
          <w:rtl/>
        </w:rPr>
        <w:t xml:space="preserve"> كون الفعل معلوماً ، حيث قال : « قد</w:t>
      </w:r>
      <w:r w:rsidR="00992664">
        <w:rPr>
          <w:rFonts w:hint="cs"/>
          <w:rtl/>
        </w:rPr>
        <w:t xml:space="preserve"> </w:t>
      </w:r>
      <w:r w:rsidR="009745D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lastRenderedPageBreak/>
        <w:t xml:space="preserve">فَإِذَا هُوَ قَدْ سَقَطَ مِنْهُ </w:t>
      </w:r>
      <w:r w:rsidRPr="00A91B96">
        <w:rPr>
          <w:rStyle w:val="libFootnotenumChar"/>
          <w:rtl/>
        </w:rPr>
        <w:t>(1)</w:t>
      </w:r>
      <w:r w:rsidRPr="00020424">
        <w:rPr>
          <w:rtl/>
          <w:lang w:bidi="fa-IR"/>
        </w:rPr>
        <w:t xml:space="preserve"> شَيْ‌ءٌ ، فَقَالَ : « بِسْمِ اللهِ ، الل</w:t>
      </w:r>
      <w:r w:rsidR="00255CB4">
        <w:rPr>
          <w:rFonts w:hint="cs"/>
          <w:rtl/>
          <w:lang w:bidi="fa-IR"/>
        </w:rPr>
        <w:t>ّ</w:t>
      </w:r>
      <w:r w:rsidRPr="00020424">
        <w:rPr>
          <w:rtl/>
          <w:lang w:bidi="fa-IR"/>
        </w:rPr>
        <w:t>هُمَّ رُدَّ عَلَيْنَا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فَأَتَيْتُهُ ، فَسَلَّمْتُ </w:t>
      </w:r>
      <w:r w:rsidRPr="00A91B96">
        <w:rPr>
          <w:rStyle w:val="libFootnotenumChar"/>
          <w:rtl/>
        </w:rPr>
        <w:t>(3)</w:t>
      </w:r>
      <w:r w:rsidRPr="00020424">
        <w:rPr>
          <w:rtl/>
          <w:lang w:bidi="fa-IR"/>
        </w:rPr>
        <w:t xml:space="preserve"> عَلَيْهِ ، قَالَ </w:t>
      </w:r>
      <w:r w:rsidRPr="00A91B96">
        <w:rPr>
          <w:rStyle w:val="libFootnotenumChar"/>
          <w:rtl/>
        </w:rPr>
        <w:t>(4)</w:t>
      </w:r>
      <w:r w:rsidRPr="00020424">
        <w:rPr>
          <w:rtl/>
          <w:lang w:bidi="fa-IR"/>
        </w:rPr>
        <w:t xml:space="preserve"> : فَقَالَ : « مُعَلًّى</w:t>
      </w:r>
      <w:r>
        <w:rPr>
          <w:rtl/>
          <w:lang w:bidi="fa-IR"/>
        </w:rPr>
        <w:t>؟</w:t>
      </w:r>
      <w:r w:rsidRPr="00020424">
        <w:rPr>
          <w:rtl/>
          <w:lang w:bidi="fa-IR"/>
        </w:rPr>
        <w:t xml:space="preserve"> » قُلْتُ : نَعَمْ ، جُعِلْتُ فِدَاكَ ، فَقَالَ لِي : « الْتَمِسْ بِيَدِكَ </w:t>
      </w:r>
      <w:r w:rsidRPr="00A91B96">
        <w:rPr>
          <w:rStyle w:val="libFootnotenumChar"/>
          <w:rtl/>
        </w:rPr>
        <w:t>(5)</w:t>
      </w:r>
      <w:r w:rsidRPr="00020424">
        <w:rPr>
          <w:rtl/>
          <w:lang w:bidi="fa-IR"/>
        </w:rPr>
        <w:t xml:space="preserve"> ، فَمَا وَجَدْتَ مِنْ شَيْ‌ءٍ فَادْفَعْهُ إِلَيَّ » فَإِذَا أَنَا بِخُبْزٍ مُنْتَشِرٍ </w:t>
      </w:r>
      <w:r w:rsidRPr="00A91B96">
        <w:rPr>
          <w:rStyle w:val="libFootnotenumChar"/>
          <w:rtl/>
        </w:rPr>
        <w:t>(6)</w:t>
      </w:r>
      <w:r w:rsidRPr="00020424">
        <w:rPr>
          <w:rtl/>
          <w:lang w:bidi="fa-IR"/>
        </w:rPr>
        <w:t xml:space="preserve"> كَثِيرٍ </w:t>
      </w:r>
      <w:r w:rsidRPr="00A91B96">
        <w:rPr>
          <w:rStyle w:val="libFootnotenumChar"/>
          <w:rtl/>
        </w:rPr>
        <w:t>(7)</w:t>
      </w:r>
      <w:r w:rsidRPr="00020424">
        <w:rPr>
          <w:rtl/>
          <w:lang w:bidi="fa-IR"/>
        </w:rPr>
        <w:t xml:space="preserve"> ، فَجَعَلْتُ أَدْفَعُ إِلَيْهِ مَا وَجَدْتُ </w:t>
      </w:r>
      <w:r w:rsidRPr="00A91B96">
        <w:rPr>
          <w:rStyle w:val="libFootnotenumChar"/>
          <w:rtl/>
        </w:rPr>
        <w:t>(8)</w:t>
      </w:r>
      <w:r w:rsidRPr="00020424">
        <w:rPr>
          <w:rtl/>
          <w:lang w:bidi="fa-IR"/>
        </w:rPr>
        <w:t xml:space="preserve"> ، فَإِذَا أَنَا بِجِرَابٍ أَعْجِزُ عَنْ حَمْلِهِ مِنْ خُبْزٍ ، فَقُلْتُ :</w:t>
      </w:r>
      <w:r>
        <w:rPr>
          <w:rFonts w:hint="cs"/>
          <w:rtl/>
          <w:lang w:bidi="fa-IR"/>
        </w:rPr>
        <w:t xml:space="preserve"> </w:t>
      </w:r>
      <w:r w:rsidRPr="00020424">
        <w:rPr>
          <w:rtl/>
          <w:lang w:bidi="fa-IR"/>
        </w:rPr>
        <w:t xml:space="preserve">جُعِلْتُ فِدَاكَ ، أَحْمِلُهُ </w:t>
      </w:r>
      <w:r w:rsidRPr="00A91B96">
        <w:rPr>
          <w:rStyle w:val="libFootnotenumChar"/>
          <w:rtl/>
        </w:rPr>
        <w:t>(9)</w:t>
      </w:r>
      <w:r w:rsidRPr="00020424">
        <w:rPr>
          <w:rtl/>
          <w:lang w:bidi="fa-IR"/>
        </w:rPr>
        <w:t xml:space="preserve"> عَلى رَأْسِي </w:t>
      </w:r>
      <w:r w:rsidRPr="00A91B96">
        <w:rPr>
          <w:rStyle w:val="libFootnotenumChar"/>
          <w:rtl/>
        </w:rPr>
        <w:t>(10)</w:t>
      </w:r>
      <w:r w:rsidRPr="00020424">
        <w:rPr>
          <w:rtl/>
          <w:lang w:bidi="fa-IR"/>
        </w:rPr>
        <w:t xml:space="preserve"> ، فَقَالَ : « لَا ، أَنَا أَوْلى بِهِ مِنْكَ ، وَلكِنِ امْضِ مَعِي</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فَأَتَيْنَا ظُلَّةَ بَنِي سَاعِدَةَ ، فَإِذَا </w:t>
      </w:r>
      <w:r w:rsidRPr="00A91B96">
        <w:rPr>
          <w:rStyle w:val="libFootnotenumChar"/>
          <w:rtl/>
        </w:rPr>
        <w:t>(11)</w:t>
      </w:r>
      <w:r w:rsidRPr="00020424">
        <w:rPr>
          <w:rtl/>
          <w:lang w:bidi="fa-IR"/>
        </w:rPr>
        <w:t xml:space="preserve"> نَحْنُ بِقَوْمٍ نِيَامٍ ، فَجَعَلَ يَدُسُّ </w:t>
      </w:r>
      <w:r w:rsidRPr="00A91B96">
        <w:rPr>
          <w:rStyle w:val="libFootnotenumChar"/>
          <w:rtl/>
        </w:rPr>
        <w:t>(12)</w:t>
      </w:r>
      <w:r w:rsidRPr="00020424">
        <w:rPr>
          <w:rtl/>
          <w:lang w:bidi="fa-IR"/>
        </w:rPr>
        <w:t xml:space="preserve"> الرَّغِيفَ </w:t>
      </w:r>
      <w:r w:rsidRPr="00A91B96">
        <w:rPr>
          <w:rStyle w:val="libFootnotenumChar"/>
          <w:rtl/>
        </w:rPr>
        <w:t>(13)</w:t>
      </w:r>
      <w:r w:rsidRPr="00020424">
        <w:rPr>
          <w:rtl/>
          <w:lang w:bidi="fa-IR"/>
        </w:rPr>
        <w:t xml:space="preserve"> وَالرَّغِيفَيْنِ حَتّى أَتى عَلى آخِرِهِمْ </w:t>
      </w:r>
      <w:r w:rsidRPr="00A91B96">
        <w:rPr>
          <w:rStyle w:val="libFootnotenumChar"/>
          <w:rtl/>
        </w:rPr>
        <w:t>(14)</w:t>
      </w:r>
      <w:r w:rsidRPr="00020424">
        <w:rPr>
          <w:rtl/>
          <w:lang w:bidi="fa-IR"/>
        </w:rPr>
        <w:t xml:space="preserve"> ، ثُمَّ انْصَرَفْنَا ، فَقُلْتُ : جُعِلْتُ فِدَاكَ يَعْرِفُ هؤُلاءِ الْحَقَّ</w:t>
      </w:r>
      <w:r>
        <w:rPr>
          <w:rtl/>
          <w:lang w:bidi="fa-IR"/>
        </w:rPr>
        <w:t>؟</w:t>
      </w:r>
      <w:r w:rsidRPr="00020424">
        <w:rPr>
          <w:rtl/>
          <w:lang w:bidi="fa-IR"/>
        </w:rPr>
        <w:t xml:space="preserve"> فَقَالَ : « لَوْ عَرَفُوهُ لَوَاسَيْنَاهُمْ </w:t>
      </w:r>
      <w:r w:rsidRPr="00A91B96">
        <w:rPr>
          <w:rStyle w:val="libFootnotenumChar"/>
          <w:rtl/>
        </w:rPr>
        <w:t>(15)</w:t>
      </w:r>
      <w:r w:rsidRPr="00020424">
        <w:rPr>
          <w:rtl/>
          <w:lang w:bidi="fa-IR"/>
        </w:rPr>
        <w:t xml:space="preserve"> بِالدُّقَّةِ</w:t>
      </w:r>
      <w:r>
        <w:rPr>
          <w:rtl/>
          <w:lang w:bidi="fa-IR"/>
        </w:rPr>
        <w:t xml:space="preserve"> </w:t>
      </w:r>
      <w:r w:rsidR="009B673F">
        <w:rPr>
          <w:rtl/>
          <w:lang w:bidi="fa-IR"/>
        </w:rPr>
        <w:t>-</w:t>
      </w:r>
      <w:r>
        <w:rPr>
          <w:rtl/>
          <w:lang w:bidi="fa-IR"/>
        </w:rPr>
        <w:t xml:space="preserve"> </w:t>
      </w:r>
      <w:r w:rsidRPr="00020424">
        <w:rPr>
          <w:rtl/>
          <w:lang w:bidi="fa-IR"/>
        </w:rPr>
        <w:t>وَالدُّقَّةُ هِيَ الْمِلْحُ</w:t>
      </w:r>
      <w:r>
        <w:rPr>
          <w:rtl/>
          <w:lang w:bidi="fa-IR"/>
        </w:rPr>
        <w:t xml:space="preserve"> </w:t>
      </w:r>
      <w:r w:rsidR="009B673F">
        <w:rPr>
          <w:rtl/>
          <w:lang w:bidi="fa-IR"/>
        </w:rPr>
        <w:t>-</w:t>
      </w:r>
      <w:r>
        <w:rPr>
          <w:rtl/>
          <w:lang w:bidi="fa-IR"/>
        </w:rPr>
        <w:t xml:space="preserve"> </w:t>
      </w:r>
      <w:r w:rsidRPr="00020424">
        <w:rPr>
          <w:rtl/>
          <w:lang w:bidi="fa-IR"/>
        </w:rPr>
        <w:t>إِنَّ اللهَ تَبَارَكَ وَتَعَ</w:t>
      </w:r>
      <w:r w:rsidR="00255CB4">
        <w:rPr>
          <w:rtl/>
          <w:lang w:bidi="fa-IR"/>
        </w:rPr>
        <w:t>الى لَمْ يَخْلُقْ شَيْئاً إِل</w:t>
      </w:r>
      <w:r w:rsidR="00255CB4">
        <w:rPr>
          <w:rFonts w:hint="cs"/>
          <w:rtl/>
          <w:lang w:bidi="fa-IR"/>
        </w:rPr>
        <w:t>َّ</w:t>
      </w:r>
      <w:r w:rsidR="00255CB4">
        <w:rPr>
          <w:rtl/>
          <w:lang w:bidi="fa-IR"/>
        </w:rPr>
        <w:t>ا</w:t>
      </w:r>
      <w:r w:rsidRPr="00020424">
        <w:rPr>
          <w:rtl/>
          <w:lang w:bidi="fa-IR"/>
        </w:rPr>
        <w:t xml:space="preserve"> </w:t>
      </w:r>
      <w:r w:rsidR="00355F75">
        <w:rPr>
          <w:rtl/>
          <w:lang w:bidi="fa-IR"/>
        </w:rPr>
        <w:t>وَلَهُ خَازِنٌ يَخْزُنُهُ إِل</w:t>
      </w:r>
      <w:r w:rsidR="00355F75">
        <w:rPr>
          <w:rFonts w:hint="cs"/>
          <w:rtl/>
          <w:lang w:bidi="fa-IR"/>
        </w:rPr>
        <w:t>َّ</w:t>
      </w:r>
      <w:r w:rsidR="00355F75">
        <w:rPr>
          <w:rtl/>
          <w:lang w:bidi="fa-IR"/>
        </w:rPr>
        <w:t>ا</w:t>
      </w:r>
      <w:r w:rsidRPr="00020424">
        <w:rPr>
          <w:rtl/>
          <w:lang w:bidi="fa-IR"/>
        </w:rPr>
        <w:t xml:space="preserve"> الصَّدَقَةَ ، فَإِنَّ الرَّبَّ يَلِيهَا بِنَفْسِهِ ، وَكَانَ‌</w:t>
      </w:r>
    </w:p>
    <w:p w:rsidR="00992664" w:rsidRPr="00020424" w:rsidRDefault="00992664" w:rsidP="00992664">
      <w:pPr>
        <w:pStyle w:val="libLine"/>
        <w:rPr>
          <w:rtl/>
          <w:lang w:bidi="fa-IR"/>
        </w:rPr>
      </w:pPr>
      <w:r w:rsidRPr="00020424">
        <w:rPr>
          <w:rtl/>
          <w:lang w:bidi="fa-IR"/>
        </w:rPr>
        <w:t>__________________</w:t>
      </w:r>
    </w:p>
    <w:p w:rsidR="00992664" w:rsidRPr="00020424" w:rsidRDefault="00B233CF" w:rsidP="00992664">
      <w:pPr>
        <w:pStyle w:val="libFootnote0"/>
        <w:rPr>
          <w:rtl/>
          <w:lang w:bidi="fa-IR"/>
        </w:rPr>
      </w:pPr>
      <w:r>
        <w:rPr>
          <w:rFonts w:hint="cs"/>
          <w:rtl/>
        </w:rPr>
        <w:t xml:space="preserve">= </w:t>
      </w:r>
      <w:r w:rsidR="00992664" w:rsidRPr="00020424">
        <w:rPr>
          <w:rtl/>
        </w:rPr>
        <w:t xml:space="preserve">رشّت : أمطرت مطراً قليلاً » ، كأنه أخذه من الرَّشّ بمعنى المطر القليل ، والجمع رِشاش ، يقال : رَشَّتِ السماءُ وأرشّت ، أي جاءت بالرشاش. راجع : </w:t>
      </w:r>
      <w:r w:rsidR="00992664" w:rsidRPr="0012008A">
        <w:rPr>
          <w:rStyle w:val="libFootnoteBoldChar"/>
          <w:rtl/>
        </w:rPr>
        <w:t>الصحاح</w:t>
      </w:r>
      <w:r w:rsidR="00992664" w:rsidRPr="00020424">
        <w:rPr>
          <w:rtl/>
        </w:rPr>
        <w:t xml:space="preserve"> ، ج 3 ، ص 1006 ؛ </w:t>
      </w:r>
      <w:r w:rsidR="00992664" w:rsidRPr="00A722B1">
        <w:rPr>
          <w:rStyle w:val="libFootnoteBoldChar"/>
          <w:rtl/>
        </w:rPr>
        <w:t>لسان العرب</w:t>
      </w:r>
      <w:r w:rsidR="00F324BD">
        <w:rPr>
          <w:rtl/>
        </w:rPr>
        <w:t xml:space="preserve"> ، ج 6 ، ص 303 ( رشش</w:t>
      </w:r>
      <w:r w:rsidR="00992664" w:rsidRPr="00020424">
        <w:rPr>
          <w:rtl/>
        </w:rPr>
        <w:t>)</w:t>
      </w:r>
      <w:r w:rsidR="00992664">
        <w:rPr>
          <w:rtl/>
        </w:rPr>
        <w:t>.</w:t>
      </w:r>
    </w:p>
    <w:tbl>
      <w:tblPr>
        <w:tblStyle w:val="TableGrid"/>
        <w:bidiVisual/>
        <w:tblW w:w="0" w:type="auto"/>
        <w:tblLook w:val="04A0" w:firstRow="1" w:lastRow="0" w:firstColumn="1" w:lastColumn="0" w:noHBand="0" w:noVBand="1"/>
      </w:tblPr>
      <w:tblGrid>
        <w:gridCol w:w="4006"/>
        <w:gridCol w:w="4006"/>
      </w:tblGrid>
      <w:tr w:rsidR="00F324BD" w:rsidTr="00F324BD">
        <w:tc>
          <w:tcPr>
            <w:tcW w:w="4006" w:type="dxa"/>
          </w:tcPr>
          <w:p w:rsidR="00F324BD" w:rsidRDefault="00F324BD" w:rsidP="00992664">
            <w:pPr>
              <w:pStyle w:val="libFootnote0"/>
              <w:rPr>
                <w:rtl/>
                <w:lang w:bidi="fa-IR"/>
              </w:rPr>
            </w:pPr>
            <w:r>
              <w:rPr>
                <w:rtl/>
              </w:rPr>
              <w:t xml:space="preserve">(1). </w:t>
            </w:r>
            <w:r w:rsidRPr="00020424">
              <w:rPr>
                <w:rtl/>
              </w:rPr>
              <w:t>في « ى » : « عنه</w:t>
            </w:r>
            <w:r>
              <w:rPr>
                <w:rtl/>
              </w:rPr>
              <w:t xml:space="preserve"> ».</w:t>
            </w:r>
          </w:p>
        </w:tc>
        <w:tc>
          <w:tcPr>
            <w:tcW w:w="4006" w:type="dxa"/>
          </w:tcPr>
          <w:p w:rsidR="00F324BD" w:rsidRDefault="00F324BD" w:rsidP="00992664">
            <w:pPr>
              <w:pStyle w:val="libFootnote0"/>
              <w:rPr>
                <w:rtl/>
                <w:lang w:bidi="fa-IR"/>
              </w:rPr>
            </w:pPr>
            <w:r>
              <w:rPr>
                <w:rtl/>
              </w:rPr>
              <w:t xml:space="preserve">(2). </w:t>
            </w:r>
            <w:r w:rsidRPr="00020424">
              <w:rPr>
                <w:rtl/>
              </w:rPr>
              <w:t xml:space="preserve">في </w:t>
            </w:r>
            <w:r w:rsidRPr="0012008A">
              <w:rPr>
                <w:rStyle w:val="libFootnoteBoldChar"/>
                <w:rtl/>
              </w:rPr>
              <w:t>التهذيب</w:t>
            </w:r>
            <w:r w:rsidRPr="00020424">
              <w:rPr>
                <w:rtl/>
              </w:rPr>
              <w:t xml:space="preserve"> وتفسير العيّاشي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وسلّمت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بث ، بح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12331 </w:t>
      </w:r>
      <w:r w:rsidR="00992664" w:rsidRPr="00515444">
        <w:rPr>
          <w:rStyle w:val="libFootnoteBoldChar"/>
          <w:rtl/>
        </w:rPr>
        <w:t>والتهذيب</w:t>
      </w:r>
      <w:r w:rsidR="00992664" w:rsidRPr="00020424">
        <w:rPr>
          <w:rtl/>
        </w:rPr>
        <w:t xml:space="preserve"> وتفسير العيّاشي </w:t>
      </w:r>
      <w:r w:rsidR="00992664" w:rsidRPr="006C7A1F">
        <w:rPr>
          <w:rStyle w:val="libFootnoteBoldChar"/>
          <w:rtl/>
        </w:rPr>
        <w:t>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r w:rsidR="00992664">
        <w:rPr>
          <w:rFonts w:hint="cs"/>
          <w:rtl/>
          <w:lang w:bidi="fa-IR"/>
        </w:rPr>
        <w:t xml:space="preserve"> </w:t>
      </w:r>
      <w:r w:rsidR="00A90FD5">
        <w:rPr>
          <w:rFonts w:hint="cs"/>
          <w:rtl/>
          <w:lang w:bidi="fa-IR"/>
        </w:rPr>
        <w:t xml:space="preserve">                     </w:t>
      </w:r>
      <w:r w:rsidR="00D45E4C">
        <w:rPr>
          <w:rFonts w:hint="cs"/>
          <w:rtl/>
          <w:lang w:bidi="fa-IR"/>
        </w:rPr>
        <w:t xml:space="preserve">      </w:t>
      </w: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عندك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بث ، بف » </w:t>
      </w:r>
      <w:r w:rsidR="00992664" w:rsidRPr="00515444">
        <w:rPr>
          <w:rStyle w:val="libFootnoteBoldChar"/>
          <w:rtl/>
        </w:rPr>
        <w:t>والوافي</w:t>
      </w:r>
      <w:r w:rsidR="00992664" w:rsidRPr="00020424">
        <w:rPr>
          <w:rtl/>
        </w:rPr>
        <w:t xml:space="preserve"> </w:t>
      </w:r>
      <w:r w:rsidR="00992664" w:rsidRPr="006C7A1F">
        <w:rPr>
          <w:rStyle w:val="libFootnoteBoldChar"/>
          <w:rtl/>
        </w:rPr>
        <w:t>وثواب الأعمال</w:t>
      </w:r>
      <w:r w:rsidR="00992664" w:rsidRPr="00020424">
        <w:rPr>
          <w:rtl/>
        </w:rPr>
        <w:t xml:space="preserve"> : « منتثر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45E4C" w:rsidTr="00D45E4C">
        <w:tc>
          <w:tcPr>
            <w:tcW w:w="4006" w:type="dxa"/>
          </w:tcPr>
          <w:p w:rsidR="00D45E4C" w:rsidRDefault="00D45E4C" w:rsidP="00992664">
            <w:pPr>
              <w:pStyle w:val="libFootnote0"/>
              <w:rPr>
                <w:rtl/>
              </w:rPr>
            </w:pPr>
            <w:r>
              <w:rPr>
                <w:rtl/>
              </w:rPr>
              <w:t xml:space="preserve">(7). </w:t>
            </w:r>
            <w:r w:rsidRPr="00020424">
              <w:rPr>
                <w:rtl/>
              </w:rPr>
              <w:t xml:space="preserve">في « ى » </w:t>
            </w:r>
            <w:r w:rsidRPr="006C7A1F">
              <w:rPr>
                <w:rStyle w:val="libFootnoteBoldChar"/>
                <w:rtl/>
              </w:rPr>
              <w:t>وثواب الأعمال</w:t>
            </w:r>
            <w:r w:rsidRPr="00020424">
              <w:rPr>
                <w:rtl/>
              </w:rPr>
              <w:t xml:space="preserve"> :</w:t>
            </w:r>
            <w:r>
              <w:rPr>
                <w:rtl/>
              </w:rPr>
              <w:t xml:space="preserve"> - </w:t>
            </w:r>
            <w:r w:rsidRPr="00020424">
              <w:rPr>
                <w:rtl/>
              </w:rPr>
              <w:t>« كثير</w:t>
            </w:r>
            <w:r>
              <w:rPr>
                <w:rtl/>
              </w:rPr>
              <w:t xml:space="preserve"> ».</w:t>
            </w:r>
          </w:p>
        </w:tc>
        <w:tc>
          <w:tcPr>
            <w:tcW w:w="4006" w:type="dxa"/>
          </w:tcPr>
          <w:p w:rsidR="00D45E4C" w:rsidRDefault="00D45E4C" w:rsidP="00992664">
            <w:pPr>
              <w:pStyle w:val="libFootnote0"/>
              <w:rPr>
                <w:rtl/>
              </w:rPr>
            </w:pPr>
            <w:r>
              <w:rPr>
                <w:rtl/>
              </w:rPr>
              <w:t>(8). في«بح»</w:t>
            </w:r>
            <w:r w:rsidRPr="00EB1FD9">
              <w:rPr>
                <w:rStyle w:val="libFootnoteBoldChar"/>
                <w:rtl/>
              </w:rPr>
              <w:t>والوسائل</w:t>
            </w:r>
            <w:r w:rsidRPr="00020424">
              <w:rPr>
                <w:rtl/>
              </w:rPr>
              <w:t xml:space="preserve"> ، ح 12331 : « ما وجدته</w:t>
            </w:r>
            <w:r>
              <w:rPr>
                <w:rtl/>
              </w:rPr>
              <w:t xml:space="preserve"> ».</w:t>
            </w:r>
          </w:p>
        </w:tc>
      </w:tr>
      <w:tr w:rsidR="00D45E4C" w:rsidTr="00D45E4C">
        <w:tc>
          <w:tcPr>
            <w:tcW w:w="4006" w:type="dxa"/>
          </w:tcPr>
          <w:p w:rsidR="00D45E4C" w:rsidRDefault="00D45E4C"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 « أحمل</w:t>
            </w:r>
            <w:r>
              <w:rPr>
                <w:rtl/>
              </w:rPr>
              <w:t xml:space="preserve"> ».</w:t>
            </w:r>
          </w:p>
        </w:tc>
        <w:tc>
          <w:tcPr>
            <w:tcW w:w="4006" w:type="dxa"/>
          </w:tcPr>
          <w:p w:rsidR="00D45E4C" w:rsidRDefault="00D45E4C" w:rsidP="00992664">
            <w:pPr>
              <w:pStyle w:val="libFootnote0"/>
              <w:rPr>
                <w:rtl/>
              </w:rPr>
            </w:pPr>
            <w:r>
              <w:rPr>
                <w:rtl/>
              </w:rPr>
              <w:t>(10). في«بخ</w:t>
            </w:r>
            <w:r w:rsidRPr="00020424">
              <w:rPr>
                <w:rtl/>
              </w:rPr>
              <w:t xml:space="preserve">»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 « على عاتقي</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ى ، بس » : « وإذا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يقسم</w:t>
      </w:r>
      <w:r w:rsidR="00992664">
        <w:rPr>
          <w:rtl/>
        </w:rPr>
        <w:t xml:space="preserve"> ».</w:t>
      </w:r>
      <w:r w:rsidR="00992664" w:rsidRPr="00020424">
        <w:rPr>
          <w:rtl/>
        </w:rPr>
        <w:t xml:space="preserve"> والدسُّ : الإخفاء ، ودفن الشي‌ء تحت الشي‌ء ، وإدخال الشي‌ء في الشي‌ء بقهر وقوّة. راجع : </w:t>
      </w:r>
      <w:r w:rsidR="00992664" w:rsidRPr="0012008A">
        <w:rPr>
          <w:rStyle w:val="libFootnoteBoldChar"/>
          <w:rtl/>
        </w:rPr>
        <w:t>النهاية</w:t>
      </w:r>
      <w:r w:rsidR="00992664" w:rsidRPr="00020424">
        <w:rPr>
          <w:rtl/>
        </w:rPr>
        <w:t xml:space="preserve"> ، ج 2 ، ص 117 ؛ </w:t>
      </w:r>
      <w:r w:rsidR="00992664" w:rsidRPr="00A722B1">
        <w:rPr>
          <w:rStyle w:val="libFootnoteBoldChar"/>
          <w:rtl/>
        </w:rPr>
        <w:t>القاموس المحيط</w:t>
      </w:r>
      <w:r w:rsidR="00992664" w:rsidRPr="00020424">
        <w:rPr>
          <w:rtl/>
        </w:rPr>
        <w:t xml:space="preserve"> ، ج 1 ، ص 748 ( دسس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 الرغيف » : الخبزة ، والكُتْلَة من العجين ؛ من الرَّغْف ، وهو جمعك العجين أو الطين تكتلّه بيدك ، أي تجمعه بيدك مستديراً. راجع : </w:t>
      </w:r>
      <w:r w:rsidR="00992664" w:rsidRPr="00A722B1">
        <w:rPr>
          <w:rStyle w:val="libFootnoteBoldChar"/>
          <w:rtl/>
        </w:rPr>
        <w:t>المصباح المنير</w:t>
      </w:r>
      <w:r w:rsidR="00992664" w:rsidRPr="00020424">
        <w:rPr>
          <w:rtl/>
        </w:rPr>
        <w:t xml:space="preserve"> ، ص 231 ؛ </w:t>
      </w:r>
      <w:r w:rsidR="00992664" w:rsidRPr="00A722B1">
        <w:rPr>
          <w:rStyle w:val="libFootnoteBoldChar"/>
          <w:rtl/>
        </w:rPr>
        <w:t>القاموس المحيط</w:t>
      </w:r>
      <w:r w:rsidR="00992664" w:rsidRPr="00020424">
        <w:rPr>
          <w:rtl/>
        </w:rPr>
        <w:t xml:space="preserve"> ، ج 2 ، ص 1085 ( رغف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بح ، بخ ، بر ، بف » وحاشية « بث » : « آخره</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المواساة : المشاركة والمساهمة في المعاش والرزق ، وأصلها الهمزة فقلبت واواً تخفيفاً. راجع : </w:t>
      </w:r>
      <w:r w:rsidR="00992664" w:rsidRPr="0012008A">
        <w:rPr>
          <w:rStyle w:val="libFootnoteBoldChar"/>
          <w:rtl/>
        </w:rPr>
        <w:t>النهاية</w:t>
      </w:r>
      <w:r w:rsidR="00992664" w:rsidRPr="00020424">
        <w:rPr>
          <w:rtl/>
        </w:rPr>
        <w:t xml:space="preserve"> ، ج 1 ، ص 50 ؛ </w:t>
      </w:r>
      <w:r w:rsidR="00992664" w:rsidRPr="00A722B1">
        <w:rPr>
          <w:rStyle w:val="libFootnoteBoldChar"/>
          <w:rtl/>
        </w:rPr>
        <w:t>القاموس المحيط</w:t>
      </w:r>
      <w:r w:rsidR="00992664" w:rsidRPr="00020424">
        <w:rPr>
          <w:rtl/>
        </w:rPr>
        <w:t xml:space="preserve"> ، ج 2 ، ص 1654 ( أسا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lastRenderedPageBreak/>
        <w:t xml:space="preserve">أَبِي إِذَا تَصَدَّقَ بِشَيْ‌ءٍ وَضَعَهُ فِي يَدِ السَّائِلِ ، ثُمَّ ارْتَدَّهُ مِنْهُ ، فَقَبَّلَهُ وَشَمَّهُ ، ثُمَّ رَدَّهُ فِي يَدِ السَّائِلِ ، إِنَّ صَدَقَةَ اللَّيْلِ تُطْفِئُ غَضَبَ الرَّبِّ ، وَتَمْحُو الذَّنْبَ الْعَظِيمَ ، وَتُهَوِّنُ الْحِسَابَ ، وَصَدَقَةَ النَّهَارِ تُثْمِرُ </w:t>
      </w:r>
      <w:r w:rsidRPr="00A91B96">
        <w:rPr>
          <w:rStyle w:val="libFootnotenumChar"/>
          <w:rtl/>
        </w:rPr>
        <w:t>(1)</w:t>
      </w:r>
      <w:r w:rsidRPr="00020424">
        <w:rPr>
          <w:rtl/>
          <w:lang w:bidi="fa-IR"/>
        </w:rPr>
        <w:t xml:space="preserve"> الْمَالَ ، وَتَزِيدُ فِي الْعُمُرِ ، إِنَّ عِيسَى ابْنَ مَرْيَمَ </w:t>
      </w:r>
      <w:r w:rsidRPr="00005A81">
        <w:rPr>
          <w:rStyle w:val="libAlaemChar"/>
          <w:rtl/>
        </w:rPr>
        <w:t>عليه‌السلام</w:t>
      </w:r>
      <w:r w:rsidRPr="00020424">
        <w:rPr>
          <w:rtl/>
          <w:lang w:bidi="fa-IR"/>
        </w:rPr>
        <w:t xml:space="preserve"> لَمَّا أَنْ </w:t>
      </w:r>
      <w:r w:rsidRPr="00A91B96">
        <w:rPr>
          <w:rStyle w:val="libFootnotenumChar"/>
          <w:rtl/>
        </w:rPr>
        <w:t>(2)</w:t>
      </w:r>
      <w:r w:rsidRPr="00020424">
        <w:rPr>
          <w:rtl/>
          <w:lang w:bidi="fa-IR"/>
        </w:rPr>
        <w:t xml:space="preserve"> مَرَّ عَلى شَاطِئِ الْبَحْرِ ، رَمى بِقُرْصٍ مِنْ قُوتِهِ فِي الْمَاءِ ، فَقَالَ لَهُ </w:t>
      </w:r>
      <w:r w:rsidRPr="00A91B96">
        <w:rPr>
          <w:rStyle w:val="libFootnotenumChar"/>
          <w:rtl/>
        </w:rPr>
        <w:t>(3)</w:t>
      </w:r>
      <w:r w:rsidRPr="00020424">
        <w:rPr>
          <w:rtl/>
          <w:lang w:bidi="fa-IR"/>
        </w:rPr>
        <w:t xml:space="preserve"> بَعْضُ الْحَوَارِيِّينَ : يَا رُوحَ اللهِ وَكَلِمَتَهُ ، لِمَ فَعَلْتَ هذَا ، وَإِنَّمَا هُوَ </w:t>
      </w:r>
      <w:r w:rsidRPr="00A91B96">
        <w:rPr>
          <w:rStyle w:val="libFootnotenumChar"/>
          <w:rtl/>
        </w:rPr>
        <w:t>(4)</w:t>
      </w:r>
      <w:r w:rsidRPr="00020424">
        <w:rPr>
          <w:rtl/>
          <w:lang w:bidi="fa-IR"/>
        </w:rPr>
        <w:t xml:space="preserve"> مِنْ قُوتِكَ</w:t>
      </w:r>
      <w:r>
        <w:rPr>
          <w:rtl/>
          <w:lang w:bidi="fa-IR"/>
        </w:rPr>
        <w:t>؟</w:t>
      </w:r>
      <w:r w:rsidRPr="00020424">
        <w:rPr>
          <w:rtl/>
          <w:lang w:bidi="fa-IR"/>
        </w:rPr>
        <w:t xml:space="preserve"> » قَالَ : « فَقَالَ </w:t>
      </w:r>
      <w:r w:rsidRPr="00A91B96">
        <w:rPr>
          <w:rStyle w:val="libFootnotenumChar"/>
          <w:rtl/>
        </w:rPr>
        <w:t>(5)</w:t>
      </w:r>
      <w:r w:rsidRPr="00020424">
        <w:rPr>
          <w:rtl/>
          <w:lang w:bidi="fa-IR"/>
        </w:rPr>
        <w:t xml:space="preserve"> : فَعَلْتُ هذَا لِدَابَّةٍ تَأْكُلُهُ مِنْ دَوَابِّ الْمَاءِ ، وَثَوَابُهُ عِنْدَ اللهِ عَظِيمٌ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172" w:name="_Toc345172774"/>
      <w:bookmarkStart w:id="173" w:name="_Toc464562590"/>
      <w:bookmarkStart w:id="174" w:name="_Toc44599893"/>
      <w:r w:rsidRPr="00020424">
        <w:rPr>
          <w:rtl/>
          <w:lang w:bidi="fa-IR"/>
        </w:rPr>
        <w:t>52</w:t>
      </w:r>
      <w:r>
        <w:rPr>
          <w:rtl/>
          <w:lang w:bidi="fa-IR"/>
        </w:rPr>
        <w:t xml:space="preserve"> </w:t>
      </w:r>
      <w:r w:rsidR="009B673F">
        <w:rPr>
          <w:rtl/>
          <w:lang w:bidi="fa-IR"/>
        </w:rPr>
        <w:t>-</w:t>
      </w:r>
      <w:r>
        <w:rPr>
          <w:rtl/>
          <w:lang w:bidi="fa-IR"/>
        </w:rPr>
        <w:t xml:space="preserve"> </w:t>
      </w:r>
      <w:r w:rsidRPr="00020424">
        <w:rPr>
          <w:rtl/>
          <w:lang w:bidi="fa-IR"/>
        </w:rPr>
        <w:t>بَابٌ فِي أَنَّ الصَّدَقَةَ تَزِيدُ فِي الْمَالِ‌</w:t>
      </w:r>
      <w:bookmarkEnd w:id="172"/>
      <w:bookmarkEnd w:id="173"/>
      <w:bookmarkEnd w:id="174"/>
    </w:p>
    <w:p w:rsidR="00992664" w:rsidRPr="00020424" w:rsidRDefault="00992664" w:rsidP="00992664">
      <w:pPr>
        <w:pStyle w:val="libNormal"/>
        <w:rPr>
          <w:rtl/>
          <w:lang w:bidi="fa-IR"/>
        </w:rPr>
      </w:pPr>
      <w:r w:rsidRPr="00677525">
        <w:rPr>
          <w:rtl/>
        </w:rPr>
        <w:t>6028</w:t>
      </w:r>
      <w:r w:rsidRPr="001155DE">
        <w:rPr>
          <w:rStyle w:val="libBold2Char"/>
          <w:rtl/>
        </w:rPr>
        <w:t xml:space="preserve"> / 1.</w:t>
      </w:r>
      <w:r w:rsidRPr="00020424">
        <w:rPr>
          <w:rtl/>
          <w:lang w:bidi="fa-IR"/>
        </w:rPr>
        <w:t xml:space="preserve"> مُحَمَّدُ بْنُ يَحْيَى ، عَنْ أَحْمَدَ بْنِ مُحَمَّدٍ ، عَنْ مُحَمَّدِ بْنِ يَحْيى ،</w:t>
      </w:r>
      <w:r w:rsidR="002D1E0D">
        <w:rPr>
          <w:rtl/>
          <w:lang w:bidi="fa-IR"/>
        </w:rPr>
        <w:t>عَنْ غِيَاثِ بْنِ إِبْرَاهِيمَ</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الصَّدَقَةَ تَقْضِي الدَّيْنَ ، وَتَخْلُفُ بِالْبَرَكَةِ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77525">
        <w:rPr>
          <w:rtl/>
        </w:rPr>
        <w:t>6029</w:t>
      </w:r>
      <w:r w:rsidRPr="001155DE">
        <w:rPr>
          <w:rStyle w:val="libBold2Char"/>
          <w:rtl/>
        </w:rPr>
        <w:t xml:space="preserve"> / 2.</w:t>
      </w:r>
      <w:r w:rsidRPr="00020424">
        <w:rPr>
          <w:rtl/>
          <w:lang w:bidi="fa-IR"/>
        </w:rPr>
        <w:t xml:space="preserve"> عِدَّةٌ مِنْ أَصْحَابِنَا ، عَنْ أَحْمَدَ بْنِ أَبِي عَبْدِ اللهِ ، قَالَ : حَدَّثَنِي الْجَهْمُ </w:t>
      </w:r>
      <w:r w:rsidRPr="00A91B96">
        <w:rPr>
          <w:rStyle w:val="libFootnotenumChar"/>
          <w:rtl/>
        </w:rPr>
        <w:t>(9)</w:t>
      </w:r>
      <w:r w:rsidRPr="00020424">
        <w:rPr>
          <w:rtl/>
          <w:lang w:bidi="fa-IR"/>
        </w:rPr>
        <w:t xml:space="preserve"> بْنُ‌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D1E0D" w:rsidTr="002D1E0D">
        <w:tc>
          <w:tcPr>
            <w:tcW w:w="4006" w:type="dxa"/>
          </w:tcPr>
          <w:p w:rsidR="002D1E0D" w:rsidRDefault="002D1E0D"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عن بعض النسخ : « تنمي</w:t>
            </w:r>
            <w:r>
              <w:rPr>
                <w:rtl/>
              </w:rPr>
              <w:t xml:space="preserve"> ».</w:t>
            </w:r>
          </w:p>
        </w:tc>
        <w:tc>
          <w:tcPr>
            <w:tcW w:w="4006" w:type="dxa"/>
          </w:tcPr>
          <w:p w:rsidR="002D1E0D" w:rsidRDefault="002D1E0D" w:rsidP="00992664">
            <w:pPr>
              <w:pStyle w:val="libFootnote0"/>
              <w:rPr>
                <w:rtl/>
              </w:rPr>
            </w:pPr>
            <w:r>
              <w:rPr>
                <w:rtl/>
              </w:rPr>
              <w:t xml:space="preserve">(2). </w:t>
            </w:r>
            <w:r w:rsidRPr="00020424">
              <w:rPr>
                <w:rtl/>
              </w:rPr>
              <w:t xml:space="preserve">في </w:t>
            </w:r>
            <w:r w:rsidRPr="0012008A">
              <w:rPr>
                <w:rStyle w:val="libFootnoteBoldChar"/>
                <w:rtl/>
              </w:rPr>
              <w:t>الوسائل</w:t>
            </w:r>
            <w:r w:rsidRPr="00020424">
              <w:rPr>
                <w:rtl/>
              </w:rPr>
              <w:t xml:space="preserve"> ، ح 12348 :</w:t>
            </w:r>
            <w:r>
              <w:rPr>
                <w:rtl/>
              </w:rPr>
              <w:t xml:space="preserve"> - </w:t>
            </w:r>
            <w:r w:rsidRPr="00020424">
              <w:rPr>
                <w:rtl/>
              </w:rPr>
              <w:t>« أن</w:t>
            </w:r>
            <w:r>
              <w:rPr>
                <w:rtl/>
              </w:rPr>
              <w:t xml:space="preserve"> ».</w:t>
            </w:r>
          </w:p>
        </w:tc>
      </w:tr>
      <w:tr w:rsidR="002D1E0D" w:rsidTr="002D1E0D">
        <w:tc>
          <w:tcPr>
            <w:tcW w:w="4006" w:type="dxa"/>
          </w:tcPr>
          <w:p w:rsidR="002D1E0D" w:rsidRDefault="002D1E0D" w:rsidP="00992664">
            <w:pPr>
              <w:pStyle w:val="libFootnote0"/>
              <w:rPr>
                <w:rtl/>
              </w:rPr>
            </w:pPr>
            <w:r>
              <w:rPr>
                <w:rtl/>
              </w:rPr>
              <w:t>(3). في «بخ،بر،بف</w:t>
            </w:r>
            <w:r w:rsidRPr="00020424">
              <w:rPr>
                <w:rtl/>
              </w:rPr>
              <w:t xml:space="preserve">»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w:t>
            </w:r>
            <w:r>
              <w:rPr>
                <w:rtl/>
              </w:rPr>
              <w:t xml:space="preserve"> - </w:t>
            </w:r>
            <w:r w:rsidRPr="00020424">
              <w:rPr>
                <w:rtl/>
              </w:rPr>
              <w:t>« له</w:t>
            </w:r>
            <w:r>
              <w:rPr>
                <w:rtl/>
              </w:rPr>
              <w:t xml:space="preserve"> ».</w:t>
            </w:r>
          </w:p>
        </w:tc>
        <w:tc>
          <w:tcPr>
            <w:tcW w:w="4006" w:type="dxa"/>
          </w:tcPr>
          <w:p w:rsidR="002D1E0D" w:rsidRDefault="002D1E0D"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 + « شي‌ء</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فقال</w:t>
      </w:r>
      <w:r w:rsidR="00992664">
        <w:rPr>
          <w:rtl/>
        </w:rPr>
        <w:t xml:space="preserve"> ».</w:t>
      </w:r>
      <w:r w:rsidR="00992664" w:rsidRPr="00020424">
        <w:rPr>
          <w:rtl/>
        </w:rPr>
        <w:t xml:space="preserve"> وفي « بث ، بر » : « قال</w:t>
      </w:r>
      <w:r w:rsidR="00992664">
        <w:rPr>
          <w:rtl/>
        </w:rPr>
        <w:t xml:space="preserve"> ».</w:t>
      </w:r>
    </w:p>
    <w:p w:rsidR="00992664" w:rsidRPr="00020424" w:rsidRDefault="00795177" w:rsidP="00E35529">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105 ، ح 300 ، معلّقاً عن الكليني. </w:t>
      </w:r>
      <w:r w:rsidR="00992664" w:rsidRPr="0012008A">
        <w:rPr>
          <w:rStyle w:val="libFootnoteBoldChar"/>
          <w:rtl/>
        </w:rPr>
        <w:t>ثواب الأعمال</w:t>
      </w:r>
      <w:r w:rsidR="00992664" w:rsidRPr="00020424">
        <w:rPr>
          <w:rtl/>
        </w:rPr>
        <w:t xml:space="preserve"> ، ص 173 ، ح 2 ، بسنده عن أحمد بن أبي عبدالله ، عن أبيه ، عن سعدان بن مسلم. </w:t>
      </w:r>
      <w:r w:rsidR="00992664" w:rsidRPr="00DE76B9">
        <w:rPr>
          <w:rStyle w:val="libFootnoteBoldChar"/>
          <w:rtl/>
        </w:rPr>
        <w:t>تفسير العيّاشي</w:t>
      </w:r>
      <w:r w:rsidR="00992664" w:rsidRPr="00020424">
        <w:rPr>
          <w:rtl/>
        </w:rPr>
        <w:t xml:space="preserve"> ، ج 2 ، ص 107 ، ح 114 ، عن معلّى بن خنيس ، عن أبي عبدالله </w:t>
      </w:r>
      <w:r w:rsidR="00992664" w:rsidRPr="00D64ADA">
        <w:rPr>
          <w:rStyle w:val="libFootnoteAlaemChar"/>
          <w:rtl/>
        </w:rPr>
        <w:t>عليه‌السلام</w:t>
      </w:r>
      <w:r w:rsidR="00992664" w:rsidRPr="00020424">
        <w:rPr>
          <w:rtl/>
        </w:rPr>
        <w:t xml:space="preserve"> ، إلى قوله : « وصدقة النهار تثمر المال وتزيد في العمر » وفي الأخيرين مع اختلاف يسير. راجع : </w:t>
      </w:r>
      <w:r w:rsidR="00992664" w:rsidRPr="00DE76B9">
        <w:rPr>
          <w:rStyle w:val="libFootnoteBoldChar"/>
          <w:rtl/>
        </w:rPr>
        <w:t>الكافي</w:t>
      </w:r>
      <w:r w:rsidR="00992664" w:rsidRPr="00020424">
        <w:rPr>
          <w:rtl/>
        </w:rPr>
        <w:t xml:space="preserve"> ، كتاب الإيمان والكفر ، باب صلة الرحم ، ح 2005 ؛ وكتاب الزكاة ، باب فضل صدقة السرّ ، ح 6022 و6024 </w:t>
      </w:r>
      <w:r w:rsidR="00E35529">
        <w:rPr>
          <w:rFonts w:hint="cs"/>
          <w:rtl/>
        </w:rPr>
        <w:t>.</w:t>
      </w:r>
      <w:r w:rsidR="00992664" w:rsidRPr="0012008A">
        <w:rPr>
          <w:rStyle w:val="libFootnoteBoldChar"/>
          <w:rtl/>
        </w:rPr>
        <w:t>الوافي</w:t>
      </w:r>
      <w:r w:rsidR="00992664" w:rsidRPr="00020424">
        <w:rPr>
          <w:rtl/>
        </w:rPr>
        <w:t xml:space="preserve"> ، ج 10 ، ص 402 ، ح 9772 ؛ </w:t>
      </w:r>
      <w:r w:rsidR="00992664" w:rsidRPr="0012008A">
        <w:rPr>
          <w:rStyle w:val="libFootnoteBoldChar"/>
          <w:rtl/>
        </w:rPr>
        <w:t>الوسائل</w:t>
      </w:r>
      <w:r w:rsidR="00992664" w:rsidRPr="00020424">
        <w:rPr>
          <w:rtl/>
        </w:rPr>
        <w:t xml:space="preserve"> ، ج 9 ، ص 393 ، ح 12312 ، من قوله : « إنّ صدقة الليل » إلى قوله : « تزيد في العمر » ؛ </w:t>
      </w:r>
      <w:r w:rsidR="00992664" w:rsidRPr="00DE76B9">
        <w:rPr>
          <w:rStyle w:val="libFootnoteBoldChar"/>
          <w:rtl/>
        </w:rPr>
        <w:t>وفيه</w:t>
      </w:r>
      <w:r w:rsidR="00992664" w:rsidRPr="00020424">
        <w:rPr>
          <w:rtl/>
        </w:rPr>
        <w:t xml:space="preserve"> ، ص 399 ، ح 12331 ، إلى قوله : « وتمحو الذنب العظيم وتهوّن الحساب » ؛ </w:t>
      </w:r>
      <w:r w:rsidR="00992664" w:rsidRPr="00DE76B9">
        <w:rPr>
          <w:rStyle w:val="libFootnoteBoldChar"/>
          <w:rtl/>
        </w:rPr>
        <w:t>وفيه</w:t>
      </w:r>
      <w:r w:rsidR="00992664" w:rsidRPr="00020424">
        <w:rPr>
          <w:rtl/>
        </w:rPr>
        <w:t xml:space="preserve"> ، ص 408 ، ح 12348 ، ملخّصاً.</w:t>
      </w:r>
      <w:r w:rsidR="00E35529">
        <w:rPr>
          <w:rFonts w:hint="cs"/>
          <w:rtl/>
        </w:rPr>
        <w:t xml:space="preserve">   </w:t>
      </w: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البركة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396 ، ح 9760 ؛ </w:t>
      </w:r>
      <w:r w:rsidR="00992664" w:rsidRPr="0012008A">
        <w:rPr>
          <w:rStyle w:val="libFootnoteBoldChar"/>
          <w:rtl/>
        </w:rPr>
        <w:t>الوسائل</w:t>
      </w:r>
      <w:r w:rsidR="00992664" w:rsidRPr="00020424">
        <w:rPr>
          <w:rtl/>
        </w:rPr>
        <w:t xml:space="preserve"> ، ج 9 ، ص 367 ، ح 12252 ؛ وص 435 ، ح 2423.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حاشية « بح » : « جهم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lastRenderedPageBreak/>
        <w:t>الْحَكَمِ الْمَدَائِنِيُّ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تَصَدَّقُوا ؛ فَإِنَّ الصَّدَقَةَ تَزِيدُ فِي </w:t>
      </w:r>
      <w:r w:rsidRPr="00A91B96">
        <w:rPr>
          <w:rStyle w:val="libFootnotenumChar"/>
          <w:rtl/>
        </w:rPr>
        <w:t>(1)</w:t>
      </w:r>
      <w:r w:rsidRPr="00020424">
        <w:rPr>
          <w:rtl/>
          <w:lang w:bidi="fa-IR"/>
        </w:rPr>
        <w:t xml:space="preserve"> الْمَالِ كَثْرَةً ، وَتَصَدَّقُوا </w:t>
      </w:r>
      <w:r w:rsidRPr="00A91B96">
        <w:rPr>
          <w:rStyle w:val="libFootnotenumChar"/>
          <w:rtl/>
        </w:rPr>
        <w:t>(2)</w:t>
      </w:r>
      <w:r w:rsidRPr="00020424">
        <w:rPr>
          <w:rtl/>
          <w:lang w:bidi="fa-IR"/>
        </w:rPr>
        <w:t xml:space="preserve"> رَحِمَكُمُ اللهُ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77525">
        <w:rPr>
          <w:rtl/>
        </w:rPr>
        <w:t>6030</w:t>
      </w:r>
      <w:r w:rsidRPr="001155DE">
        <w:rPr>
          <w:rStyle w:val="libBold2Char"/>
          <w:rtl/>
        </w:rPr>
        <w:t xml:space="preserve"> / 3.</w:t>
      </w:r>
      <w:r w:rsidRPr="00020424">
        <w:rPr>
          <w:rtl/>
          <w:lang w:bidi="fa-IR"/>
        </w:rPr>
        <w:t xml:space="preserve"> أَحْمَدُ </w:t>
      </w:r>
      <w:r w:rsidRPr="00A91B96">
        <w:rPr>
          <w:rStyle w:val="libFootnotenumChar"/>
          <w:rtl/>
        </w:rPr>
        <w:t>(4)</w:t>
      </w:r>
      <w:r w:rsidRPr="00020424">
        <w:rPr>
          <w:rtl/>
          <w:lang w:bidi="fa-IR"/>
        </w:rPr>
        <w:t xml:space="preserve"> ، عَنْ أَبِيهِ ، عَنْ عَلِيِّ بْنِ وَهْبَانَ ، عَنْ عَمِّهِ هَارُونَ بْنِ عِيسى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لِمُحَمَّدٍ ابْنِهِ : « يَا بُنَيَّ </w:t>
      </w:r>
      <w:r w:rsidRPr="00A91B96">
        <w:rPr>
          <w:rStyle w:val="libFootnotenumChar"/>
          <w:rtl/>
        </w:rPr>
        <w:t>(5)</w:t>
      </w:r>
      <w:r w:rsidRPr="00020424">
        <w:rPr>
          <w:rtl/>
          <w:lang w:bidi="fa-IR"/>
        </w:rPr>
        <w:t xml:space="preserve"> ، كَمْ فَضَلَ مَعَكَ مِنْ تِلْكَ النَّفَقَةِ</w:t>
      </w:r>
      <w:r>
        <w:rPr>
          <w:rtl/>
          <w:lang w:bidi="fa-IR"/>
        </w:rPr>
        <w:t>؟</w:t>
      </w:r>
      <w:r w:rsidRPr="00020424">
        <w:rPr>
          <w:rtl/>
          <w:lang w:bidi="fa-IR"/>
        </w:rPr>
        <w:t xml:space="preserve"> » قَالَ :أَرْبَعُونَ دِينَاراً ، قَالَ : « اخْرُجْ ، فَتَصَدَّقْ </w:t>
      </w:r>
      <w:r w:rsidRPr="00A91B96">
        <w:rPr>
          <w:rStyle w:val="libFootnotenumChar"/>
          <w:rtl/>
        </w:rPr>
        <w:t>(6)</w:t>
      </w:r>
      <w:r w:rsidRPr="00020424">
        <w:rPr>
          <w:rtl/>
          <w:lang w:bidi="fa-IR"/>
        </w:rPr>
        <w:t xml:space="preserve"> بِهَا » قَالَ : إِنَّهُ لَمْ يَبْقَ مَعِي غَيْرُهَا ، قَالَ : « تَصَدَّقْ </w:t>
      </w:r>
      <w:r w:rsidRPr="00A91B96">
        <w:rPr>
          <w:rStyle w:val="libFootnotenumChar"/>
          <w:rtl/>
        </w:rPr>
        <w:t>(7)</w:t>
      </w:r>
      <w:r w:rsidRPr="00020424">
        <w:rPr>
          <w:rtl/>
          <w:lang w:bidi="fa-IR"/>
        </w:rPr>
        <w:t xml:space="preserve"> بِهَا ؛ فَإِنَّ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يُخْلِفُهَا ، أَ</w:t>
      </w:r>
      <w:r w:rsidRPr="00020424">
        <w:rPr>
          <w:rtl/>
          <w:lang w:bidi="fa-IR"/>
        </w:rPr>
        <w:t xml:space="preserve">مَا عَلِمْتَ أَنَّ لِكُلِّ شَيْ‌ءٍ مِفْتَاحاً ، وَمِفْتَاحُ الرِّزْقِ الصَّدَقَةُ ؛ فَتَصَدَّقْ بِهَا » فَفَعَلَ ، فَمَا لَبِثَ أَبُو عَبْدِ اللهِ </w:t>
      </w:r>
      <w:r w:rsidRPr="00005A81">
        <w:rPr>
          <w:rStyle w:val="libAlaemChar"/>
          <w:rtl/>
        </w:rPr>
        <w:t>عليه‌السلام</w:t>
      </w:r>
      <w:r w:rsidRPr="00020424">
        <w:rPr>
          <w:rtl/>
          <w:lang w:bidi="fa-IR"/>
        </w:rPr>
        <w:t xml:space="preserve"> إ</w:t>
      </w:r>
      <w:r w:rsidR="0092785F">
        <w:rPr>
          <w:rtl/>
          <w:lang w:bidi="fa-IR"/>
        </w:rPr>
        <w:t>ِل</w:t>
      </w:r>
      <w:r w:rsidR="0092785F">
        <w:rPr>
          <w:rFonts w:hint="cs"/>
          <w:rtl/>
          <w:lang w:bidi="fa-IR"/>
        </w:rPr>
        <w:t>َّ</w:t>
      </w:r>
      <w:r w:rsidR="0092785F">
        <w:rPr>
          <w:rtl/>
          <w:lang w:bidi="fa-IR"/>
        </w:rPr>
        <w:t>ا</w:t>
      </w:r>
      <w:r w:rsidRPr="00020424">
        <w:rPr>
          <w:rtl/>
          <w:lang w:bidi="fa-IR"/>
        </w:rPr>
        <w:t xml:space="preserve"> </w:t>
      </w:r>
      <w:r w:rsidRPr="00A91B96">
        <w:rPr>
          <w:rStyle w:val="libFootnotenumChar"/>
          <w:rtl/>
        </w:rPr>
        <w:t>(8)</w:t>
      </w:r>
      <w:r w:rsidRPr="00020424">
        <w:rPr>
          <w:rtl/>
          <w:lang w:bidi="fa-IR"/>
        </w:rPr>
        <w:t xml:space="preserve"> عَشَرَةَ أَيَّامٍ </w:t>
      </w:r>
      <w:r w:rsidRPr="00A91B96">
        <w:rPr>
          <w:rStyle w:val="libFootnotenumChar"/>
          <w:rtl/>
        </w:rPr>
        <w:t>(9)</w:t>
      </w:r>
      <w:r w:rsidRPr="00020424">
        <w:rPr>
          <w:rtl/>
          <w:lang w:bidi="fa-IR"/>
        </w:rPr>
        <w:t xml:space="preserve"> حَتّى جَاءَهُ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جن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بف » </w:t>
      </w:r>
      <w:r w:rsidR="00992664" w:rsidRPr="00515444">
        <w:rPr>
          <w:rStyle w:val="libFootnoteBoldChar"/>
          <w:rtl/>
        </w:rPr>
        <w:t>والوافي</w:t>
      </w:r>
      <w:r w:rsidR="00992664" w:rsidRPr="00020424">
        <w:rPr>
          <w:rtl/>
        </w:rPr>
        <w:t xml:space="preserve"> : « تصدّقوا » بدون الواو. وفي </w:t>
      </w:r>
      <w:r w:rsidR="00992664" w:rsidRPr="0012008A">
        <w:rPr>
          <w:rStyle w:val="libFootnoteBoldChar"/>
          <w:rtl/>
        </w:rPr>
        <w:t>الوسائل</w:t>
      </w:r>
      <w:r w:rsidR="00992664" w:rsidRPr="00020424">
        <w:rPr>
          <w:rtl/>
        </w:rPr>
        <w:t xml:space="preserve"> : « فتصدّقوا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التواضع ، ضمن ح 1863 ؛ </w:t>
      </w:r>
      <w:r w:rsidR="00992664" w:rsidRPr="00DE3E80">
        <w:rPr>
          <w:rStyle w:val="libFootnoteBoldChar"/>
          <w:rtl/>
        </w:rPr>
        <w:t>و</w:t>
      </w:r>
      <w:r w:rsidR="00992664" w:rsidRPr="006C7A1F">
        <w:rPr>
          <w:rStyle w:val="libFootnoteBoldChar"/>
          <w:rtl/>
        </w:rPr>
        <w:t>الأمالي للمفيد</w:t>
      </w:r>
      <w:r w:rsidR="00992664" w:rsidRPr="00020424">
        <w:rPr>
          <w:rtl/>
        </w:rPr>
        <w:t xml:space="preserve"> ، ص 238 ، المجلس 28 ، ضمن ح 2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14 ، المجلس 1 ، ضمن ح 18 ، بسند آخر ، مع اختلاف يسير </w:t>
      </w:r>
      <w:r w:rsidR="0092785F">
        <w:rPr>
          <w:rFonts w:hint="cs"/>
          <w:rtl/>
        </w:rPr>
        <w:t>.</w:t>
      </w:r>
      <w:r w:rsidR="00992664" w:rsidRPr="0012008A">
        <w:rPr>
          <w:rStyle w:val="libFootnoteBoldChar"/>
          <w:rtl/>
        </w:rPr>
        <w:t>الوافي</w:t>
      </w:r>
      <w:r w:rsidR="00992664" w:rsidRPr="00020424">
        <w:rPr>
          <w:rtl/>
        </w:rPr>
        <w:t xml:space="preserve"> ، ج 10 ، ص 397 ، ح 9761 ؛ </w:t>
      </w:r>
      <w:r w:rsidR="00992664" w:rsidRPr="0012008A">
        <w:rPr>
          <w:rStyle w:val="libFootnoteBoldChar"/>
          <w:rtl/>
        </w:rPr>
        <w:t>الوسائل</w:t>
      </w:r>
      <w:r w:rsidR="00992664" w:rsidRPr="00020424">
        <w:rPr>
          <w:rtl/>
        </w:rPr>
        <w:t xml:space="preserve"> ، ج 9 ، ص 369 ، ح 12259.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بخ ، بر ، جر » وحاشية « بح » </w:t>
      </w:r>
      <w:r w:rsidR="00992664" w:rsidRPr="00EB1FD9">
        <w:rPr>
          <w:rStyle w:val="libFootnoteBoldChar"/>
          <w:rtl/>
        </w:rPr>
        <w:t>والوسائل</w:t>
      </w:r>
      <w:r w:rsidR="00992664" w:rsidRPr="00020424">
        <w:rPr>
          <w:rtl/>
        </w:rPr>
        <w:t>. وفي « ظ ، ى ، بث ، بح ، بس ، بف ، جن » والمطبوع : + « بن محمّد</w:t>
      </w:r>
      <w:r w:rsidR="00992664">
        <w:rPr>
          <w:rtl/>
        </w:rPr>
        <w:t xml:space="preserve"> ».</w:t>
      </w:r>
      <w:r w:rsidR="00992664" w:rsidRPr="00020424">
        <w:rPr>
          <w:rtl/>
        </w:rPr>
        <w:t xml:space="preserve"> والصواب ما أثبتناه. والمراد من أحمد هو أحمد بن أبي عبد الله المذكور في السند السابق ، فقد روى هو عن أبيه كتاب عليّ بن وهبان. راجع : </w:t>
      </w:r>
      <w:r w:rsidR="00992664" w:rsidRPr="00D530ED">
        <w:rPr>
          <w:rStyle w:val="libFootnoteBoldChar"/>
          <w:rtl/>
        </w:rPr>
        <w:t>الفهرست للطوسي</w:t>
      </w:r>
      <w:r w:rsidR="00992664" w:rsidRPr="00020424">
        <w:rPr>
          <w:rtl/>
        </w:rPr>
        <w:t xml:space="preserve"> ، ص 282 ، الرقم 418.</w:t>
      </w:r>
    </w:p>
    <w:p w:rsidR="00992664" w:rsidRPr="00020424" w:rsidRDefault="00992664" w:rsidP="0092785F">
      <w:pPr>
        <w:pStyle w:val="libFootnote0"/>
        <w:rPr>
          <w:rtl/>
          <w:lang w:bidi="fa-IR"/>
        </w:rPr>
      </w:pPr>
      <w:r w:rsidRPr="0092785F">
        <w:rPr>
          <w:rtl/>
        </w:rPr>
        <w:t>وتوهُّمُ أنّ أحمد بن أبي عبدالله هو أحمد بن محمّد بن خالد فيصحّ التعبير عنه ب</w:t>
      </w:r>
      <w:r w:rsidR="0092785F">
        <w:rPr>
          <w:rFonts w:hint="cs"/>
          <w:rtl/>
        </w:rPr>
        <w:t>ـ</w:t>
      </w:r>
      <w:r w:rsidRPr="0092785F">
        <w:rPr>
          <w:rtl/>
        </w:rPr>
        <w:t xml:space="preserve"> « أحمد بن محمّد » ، مدفوعٌ بأنّ التعبير عن الرجل ب</w:t>
      </w:r>
      <w:r w:rsidR="009B673F" w:rsidRPr="0092785F">
        <w:rPr>
          <w:rtl/>
        </w:rPr>
        <w:t>-</w:t>
      </w:r>
      <w:r w:rsidRPr="0092785F">
        <w:rPr>
          <w:rtl/>
        </w:rPr>
        <w:t xml:space="preserve"> « أحمد بن محمّد » في المقام ، يوجب انصرافه إلى أحمد بن محمّد المذكور في سند الحديث الأوّل من الباب </w:t>
      </w:r>
      <w:r w:rsidR="009B673F" w:rsidRPr="0092785F">
        <w:rPr>
          <w:rtl/>
        </w:rPr>
        <w:t>-</w:t>
      </w:r>
      <w:r w:rsidRPr="0092785F">
        <w:rPr>
          <w:rtl/>
        </w:rPr>
        <w:t xml:space="preserve"> وقد تقدّم غير مرّة أنّ أحمد بن محمّد في مشايخ محمّد بن يحيى ، هو أحمد بن محمّد بن عيسى </w:t>
      </w:r>
      <w:r w:rsidR="009B673F" w:rsidRPr="0092785F">
        <w:rPr>
          <w:rtl/>
        </w:rPr>
        <w:t>-</w:t>
      </w:r>
      <w:r w:rsidRPr="0092785F">
        <w:rPr>
          <w:rtl/>
        </w:rPr>
        <w:t xml:space="preserve"> فيتلقّى كون السند معلّقاً على ذاك السند. ويؤيّد ما أشرنا إليه من الانصراف أنّ الخبر أورده المجلسي في </w:t>
      </w:r>
      <w:r w:rsidRPr="0012008A">
        <w:rPr>
          <w:rStyle w:val="libFootnoteBoldChar"/>
          <w:rtl/>
        </w:rPr>
        <w:t>البحار</w:t>
      </w:r>
      <w:r w:rsidRPr="0092785F">
        <w:rPr>
          <w:rtl/>
        </w:rPr>
        <w:t xml:space="preserve"> ، ج 47 ، ص 38 ، ح 41 نقلاً من </w:t>
      </w:r>
      <w:r w:rsidRPr="00DE76B9">
        <w:rPr>
          <w:rStyle w:val="libFootnoteBoldChar"/>
          <w:rtl/>
        </w:rPr>
        <w:t>الكافي</w:t>
      </w:r>
      <w:r w:rsidRPr="0092785F">
        <w:rPr>
          <w:rtl/>
        </w:rPr>
        <w:t xml:space="preserve"> عن محمّد بن يحيى عن أحمد بن محمّد ، إلخ.</w:t>
      </w:r>
    </w:p>
    <w:p w:rsidR="00992664" w:rsidRPr="00020424" w:rsidRDefault="00992664" w:rsidP="0092785F">
      <w:pPr>
        <w:pStyle w:val="libFootnote0"/>
        <w:rPr>
          <w:rtl/>
          <w:lang w:bidi="fa-IR"/>
        </w:rPr>
      </w:pPr>
      <w:r w:rsidRPr="00D82B22">
        <w:rPr>
          <w:rtl/>
        </w:rPr>
        <w:t>فتحصّل أنّ السند معلّق على سابقه ، والمراد من أحمد هو أحمد بن أبي عبد الله ، ويروي عنه عدّة من أصحابنا.</w:t>
      </w:r>
    </w:p>
    <w:tbl>
      <w:tblPr>
        <w:tblStyle w:val="TableGrid"/>
        <w:bidiVisual/>
        <w:tblW w:w="0" w:type="auto"/>
        <w:tblLook w:val="04A0" w:firstRow="1" w:lastRow="0" w:firstColumn="1" w:lastColumn="0" w:noHBand="0" w:noVBand="1"/>
      </w:tblPr>
      <w:tblGrid>
        <w:gridCol w:w="4006"/>
        <w:gridCol w:w="4006"/>
      </w:tblGrid>
      <w:tr w:rsidR="0092785F" w:rsidTr="0092785F">
        <w:tc>
          <w:tcPr>
            <w:tcW w:w="4006" w:type="dxa"/>
          </w:tcPr>
          <w:p w:rsidR="0092785F" w:rsidRDefault="0092785F" w:rsidP="00992664">
            <w:pPr>
              <w:pStyle w:val="libFootnote0"/>
              <w:rPr>
                <w:rtl/>
              </w:rPr>
            </w:pPr>
            <w:r>
              <w:rPr>
                <w:rtl/>
              </w:rPr>
              <w:t xml:space="preserve">(5). </w:t>
            </w:r>
            <w:r w:rsidRPr="00020424">
              <w:rPr>
                <w:rtl/>
              </w:rPr>
              <w:t xml:space="preserve">في </w:t>
            </w:r>
            <w:r w:rsidRPr="0012008A">
              <w:rPr>
                <w:rStyle w:val="libFootnoteBoldChar"/>
                <w:rtl/>
              </w:rPr>
              <w:t>البحار</w:t>
            </w:r>
            <w:r w:rsidRPr="00020424">
              <w:rPr>
                <w:rtl/>
              </w:rPr>
              <w:t xml:space="preserve"> :</w:t>
            </w:r>
            <w:r>
              <w:rPr>
                <w:rtl/>
              </w:rPr>
              <w:t xml:space="preserve"> - </w:t>
            </w:r>
            <w:r w:rsidRPr="00020424">
              <w:rPr>
                <w:rtl/>
              </w:rPr>
              <w:t>« يا بنيّ</w:t>
            </w:r>
            <w:r>
              <w:rPr>
                <w:rtl/>
              </w:rPr>
              <w:t xml:space="preserve"> ».</w:t>
            </w:r>
          </w:p>
        </w:tc>
        <w:tc>
          <w:tcPr>
            <w:tcW w:w="4006" w:type="dxa"/>
          </w:tcPr>
          <w:p w:rsidR="0092785F" w:rsidRDefault="0092785F" w:rsidP="00992664">
            <w:pPr>
              <w:pStyle w:val="libFootnote0"/>
              <w:rPr>
                <w:rtl/>
              </w:rPr>
            </w:pPr>
            <w:r>
              <w:rPr>
                <w:rtl/>
              </w:rPr>
              <w:t xml:space="preserve">(6). </w:t>
            </w:r>
            <w:r w:rsidRPr="00020424">
              <w:rPr>
                <w:rtl/>
              </w:rPr>
              <w:t>في « ى ، بر ، جن » و</w:t>
            </w:r>
            <w:r w:rsidRPr="0012008A">
              <w:rPr>
                <w:rStyle w:val="libFootnoteBoldChar"/>
                <w:rtl/>
              </w:rPr>
              <w:t>البحار</w:t>
            </w:r>
            <w:r w:rsidRPr="00020424">
              <w:rPr>
                <w:rtl/>
              </w:rPr>
              <w:t xml:space="preserve"> : « وتصدّق</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فتصدّق</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بث ، بح ، بخ ، بر ، بس ، بف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وفي قليل من النسخ والمطبوع :</w:t>
      </w:r>
      <w:r w:rsidR="00992664">
        <w:rPr>
          <w:rtl/>
        </w:rPr>
        <w:t xml:space="preserve"> </w:t>
      </w:r>
      <w:r w:rsidR="009B673F">
        <w:rPr>
          <w:rtl/>
        </w:rPr>
        <w:t>-</w:t>
      </w:r>
      <w:r w:rsidR="00992664">
        <w:rPr>
          <w:rtl/>
        </w:rPr>
        <w:t xml:space="preserve"> </w:t>
      </w:r>
      <w:r w:rsidR="0005422E">
        <w:rPr>
          <w:rtl/>
        </w:rPr>
        <w:t>« إل</w:t>
      </w:r>
      <w:r w:rsidR="0005422E">
        <w:rPr>
          <w:rFonts w:hint="cs"/>
          <w:rtl/>
        </w:rPr>
        <w:t>ّ</w:t>
      </w:r>
      <w:r w:rsidR="0005422E">
        <w:rPr>
          <w:rtl/>
        </w:rPr>
        <w:t>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عشرة أيّام</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عشرة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lastRenderedPageBreak/>
        <w:t xml:space="preserve">مَوْضِعٍ أَرْبَعَةُ آلَافِ دِينَارٍ ، فَقَالَ : « يَا بُنَيَّ ، أَعْطَيْنَا لِلّهِ </w:t>
      </w:r>
      <w:r w:rsidRPr="00A91B96">
        <w:rPr>
          <w:rStyle w:val="libFootnotenumChar"/>
          <w:rtl/>
        </w:rPr>
        <w:t>(1)</w:t>
      </w:r>
      <w:r w:rsidRPr="00020424">
        <w:rPr>
          <w:rtl/>
          <w:lang w:bidi="fa-IR"/>
        </w:rPr>
        <w:t xml:space="preserve"> أَرْبَعِينَ دِينَاراً ، فَأَعْطَانَا اللهُ </w:t>
      </w:r>
      <w:r w:rsidRPr="00A91B96">
        <w:rPr>
          <w:rStyle w:val="libFootnotenumChar"/>
          <w:rtl/>
        </w:rPr>
        <w:t>(2)</w:t>
      </w:r>
      <w:r w:rsidRPr="00020424">
        <w:rPr>
          <w:rtl/>
          <w:lang w:bidi="fa-IR"/>
        </w:rPr>
        <w:t xml:space="preserve"> أَرْبَعَةَ آلَافِ دِينَارٍ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77525">
        <w:rPr>
          <w:rtl/>
        </w:rPr>
        <w:t>6031</w:t>
      </w:r>
      <w:r w:rsidRPr="001155DE">
        <w:rPr>
          <w:rStyle w:val="libBold2Char"/>
          <w:rtl/>
        </w:rPr>
        <w:t xml:space="preserve"> / 4.</w:t>
      </w:r>
      <w:r w:rsidRPr="00020424">
        <w:rPr>
          <w:rtl/>
          <w:lang w:bidi="fa-IR"/>
        </w:rPr>
        <w:t xml:space="preserve"> قَالَ </w:t>
      </w:r>
      <w:r w:rsidRPr="00A91B96">
        <w:rPr>
          <w:rStyle w:val="libFootnotenumChar"/>
          <w:rtl/>
        </w:rPr>
        <w:t>(4)</w:t>
      </w:r>
      <w:r w:rsidRPr="00020424">
        <w:rPr>
          <w:rtl/>
          <w:lang w:bidi="fa-IR"/>
        </w:rPr>
        <w:t xml:space="preserve"> : وَحَدَّثَنِي عَلِيُّ بْنُ حَسَّانَ ، عَنْ مُوسَى بْنِ بَكْرٍ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اسْتَنْزِلُوا الرِّزْقَ بِالصَّدَقَةِ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77525">
        <w:rPr>
          <w:rtl/>
        </w:rPr>
        <w:t>6032</w:t>
      </w:r>
      <w:r w:rsidRPr="001155DE">
        <w:rPr>
          <w:rStyle w:val="libBold2Char"/>
          <w:rtl/>
        </w:rPr>
        <w:t xml:space="preserve"> / 5.</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مَا أَحْسَنَ عَبْدٌ ا</w:t>
      </w:r>
      <w:r w:rsidR="0078206D">
        <w:rPr>
          <w:rtl/>
          <w:lang w:bidi="fa-IR"/>
        </w:rPr>
        <w:t>لصَّدَقَةَ فِي الدُّنْيَا إِل</w:t>
      </w:r>
      <w:r w:rsidR="0078206D">
        <w:rPr>
          <w:rFonts w:hint="cs"/>
          <w:rtl/>
          <w:lang w:bidi="fa-IR"/>
        </w:rPr>
        <w:t>َّ</w:t>
      </w:r>
      <w:r w:rsidR="0078206D">
        <w:rPr>
          <w:rtl/>
          <w:lang w:bidi="fa-IR"/>
        </w:rPr>
        <w:t>ا</w:t>
      </w:r>
      <w:r w:rsidRPr="00020424">
        <w:rPr>
          <w:rtl/>
          <w:lang w:bidi="fa-IR"/>
        </w:rPr>
        <w:t xml:space="preserve"> أَحْسَنَ اللهُ الْخِلَافَةَ عَلى </w:t>
      </w:r>
      <w:r w:rsidRPr="00A91B96">
        <w:rPr>
          <w:rStyle w:val="libFootnotenumChar"/>
          <w:rtl/>
        </w:rPr>
        <w:t>(6)</w:t>
      </w:r>
      <w:r w:rsidRPr="00020424">
        <w:rPr>
          <w:rtl/>
          <w:lang w:bidi="fa-IR"/>
        </w:rPr>
        <w:t xml:space="preserve"> وُلْدِهِ مِنْ بَعْدِهِ</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 « حُسْنُ الصَّدَقَةِ يَقْضِي </w:t>
      </w:r>
      <w:r w:rsidRPr="00A91B96">
        <w:rPr>
          <w:rStyle w:val="libFootnotenumChar"/>
          <w:rtl/>
        </w:rPr>
        <w:t>(7)</w:t>
      </w:r>
      <w:r w:rsidRPr="00020424">
        <w:rPr>
          <w:rtl/>
          <w:lang w:bidi="fa-IR"/>
        </w:rPr>
        <w:t xml:space="preserve"> الدَّيْنَ ، وَيَخْلُفُ </w:t>
      </w:r>
      <w:r w:rsidRPr="00A91B96">
        <w:rPr>
          <w:rStyle w:val="libFootnotenumChar"/>
          <w:rtl/>
        </w:rPr>
        <w:t>(8)</w:t>
      </w:r>
      <w:r w:rsidRPr="00020424">
        <w:rPr>
          <w:rtl/>
          <w:lang w:bidi="fa-IR"/>
        </w:rPr>
        <w:t xml:space="preserve"> عَلَى الْبَرَكَةِ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بث ، بح ، بخ ، بس ، جن » وحاشية « ظ ، بف » : « 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397 ، ح 9762 ؛ </w:t>
      </w:r>
      <w:r w:rsidR="00992664" w:rsidRPr="0012008A">
        <w:rPr>
          <w:rStyle w:val="libFootnoteBoldChar"/>
          <w:rtl/>
        </w:rPr>
        <w:t>الوسائل</w:t>
      </w:r>
      <w:r w:rsidR="00992664" w:rsidRPr="00020424">
        <w:rPr>
          <w:rtl/>
        </w:rPr>
        <w:t xml:space="preserve"> ، ج 9 ، ص 369 ، ح 12260 ؛ </w:t>
      </w:r>
      <w:r w:rsidR="00992664" w:rsidRPr="0012008A">
        <w:rPr>
          <w:rStyle w:val="libFootnoteBoldChar"/>
          <w:rtl/>
        </w:rPr>
        <w:t>البحار</w:t>
      </w:r>
      <w:r w:rsidR="00992664" w:rsidRPr="00020424">
        <w:rPr>
          <w:rtl/>
        </w:rPr>
        <w:t xml:space="preserve"> ، ج 47 ، ص 38 ، ح 41.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الضمير المستتر في « قال » راجع إلى أحمد المذكور في السند السابق ؛ فقد روى أحمد</w:t>
      </w:r>
      <w:r w:rsidR="00992664">
        <w:rPr>
          <w:rtl/>
        </w:rPr>
        <w:t xml:space="preserve"> </w:t>
      </w:r>
      <w:r w:rsidR="009B673F">
        <w:rPr>
          <w:rtl/>
        </w:rPr>
        <w:t>-</w:t>
      </w:r>
      <w:r w:rsidR="00992664">
        <w:rPr>
          <w:rtl/>
        </w:rPr>
        <w:t xml:space="preserve"> </w:t>
      </w:r>
      <w:r w:rsidR="00992664" w:rsidRPr="00020424">
        <w:rPr>
          <w:rtl/>
        </w:rPr>
        <w:t>وهو البرقي</w:t>
      </w:r>
      <w:r w:rsidR="00992664">
        <w:rPr>
          <w:rtl/>
        </w:rPr>
        <w:t xml:space="preserve"> </w:t>
      </w:r>
      <w:r w:rsidR="009B673F">
        <w:rPr>
          <w:rtl/>
        </w:rPr>
        <w:t>-</w:t>
      </w:r>
      <w:r w:rsidR="00992664">
        <w:rPr>
          <w:rtl/>
        </w:rPr>
        <w:t xml:space="preserve"> </w:t>
      </w:r>
      <w:r w:rsidR="00992664" w:rsidRPr="00020424">
        <w:rPr>
          <w:rtl/>
        </w:rPr>
        <w:t xml:space="preserve">عن عليّ بن حسّان ، عن موسى بن بكر في عددٍ من الأسناد. انظر على سبيل المثال : </w:t>
      </w:r>
      <w:r w:rsidR="00D64ADA" w:rsidRPr="00D64ADA">
        <w:rPr>
          <w:rStyle w:val="libFootnoteBoldChar"/>
          <w:rtl/>
        </w:rPr>
        <w:t>المحاسن</w:t>
      </w:r>
      <w:r w:rsidR="00992664" w:rsidRPr="00020424">
        <w:rPr>
          <w:rtl/>
        </w:rPr>
        <w:t xml:space="preserve"> ، ج 1 ، ص 221 ، ح 132 ؛ ج 2 ، ص 464 ، ح 429 ؛ ص 468 ، ح 450 ؛ ص 476 ، ذيل ح 482 ؛ وص 481 ، ح 510.</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قرب الإسناد</w:t>
      </w:r>
      <w:r w:rsidR="00992664" w:rsidRPr="00020424">
        <w:rPr>
          <w:rtl/>
        </w:rPr>
        <w:t xml:space="preserve"> ، ص 118 ، ح 414 ، بسند آخر عن جعفر ، عن أبيه </w:t>
      </w:r>
      <w:r w:rsidR="00D64ADA" w:rsidRPr="00901C39">
        <w:rPr>
          <w:rStyle w:val="libFootnoteAlaemChar"/>
          <w:rtl/>
        </w:rPr>
        <w:t>عليهما‌السلام</w:t>
      </w:r>
      <w:r w:rsidR="00992664" w:rsidRPr="00020424">
        <w:rPr>
          <w:rtl/>
        </w:rPr>
        <w:t xml:space="preserve"> عن رسول الله </w:t>
      </w:r>
      <w:r w:rsidR="00D64ADA" w:rsidRPr="00901C39">
        <w:rPr>
          <w:rStyle w:val="libFootnoteAlaemChar"/>
          <w:rtl/>
        </w:rPr>
        <w:t>صلى‌الله‌عليه‌وآله</w:t>
      </w:r>
      <w:r w:rsidR="00B42914" w:rsidRPr="00901C39">
        <w:rPr>
          <w:rStyle w:val="libFootnoteAlaemChar"/>
          <w:rtl/>
        </w:rPr>
        <w:t>‌</w:t>
      </w:r>
      <w:r w:rsidR="00992664" w:rsidRPr="00020424">
        <w:rPr>
          <w:rtl/>
        </w:rPr>
        <w:t xml:space="preserve"> ؛ </w:t>
      </w:r>
      <w:r w:rsidR="00992664" w:rsidRPr="00DE76B9">
        <w:rPr>
          <w:rStyle w:val="libFootnoteBoldChar"/>
          <w:rtl/>
        </w:rPr>
        <w:t>الجعفريّات</w:t>
      </w:r>
      <w:r w:rsidR="00992664" w:rsidRPr="00020424">
        <w:rPr>
          <w:rtl/>
        </w:rPr>
        <w:t xml:space="preserve"> ، ص 57 ، بسند آخر عن جعفر بن محمّد ، عن آبائه </w:t>
      </w:r>
      <w:r w:rsidR="00992664" w:rsidRPr="00901C39">
        <w:rPr>
          <w:rStyle w:val="libFootnoteAlaemChar"/>
          <w:rtl/>
        </w:rPr>
        <w:t>عليهم‌السلام</w:t>
      </w:r>
      <w:r w:rsidR="00992664" w:rsidRPr="00020424">
        <w:rPr>
          <w:rtl/>
        </w:rPr>
        <w:t xml:space="preserve"> عن رسول الله </w:t>
      </w:r>
      <w:r w:rsidR="00D64ADA" w:rsidRPr="00901C39">
        <w:rPr>
          <w:rStyle w:val="libFootnoteAlaemChar"/>
          <w:rtl/>
        </w:rPr>
        <w:t>صلى‌الله‌عليه‌وآله</w:t>
      </w:r>
      <w:r w:rsidR="00B42914" w:rsidRPr="00901C39">
        <w:rPr>
          <w:rStyle w:val="libFootnoteAlaemChar"/>
          <w:rtl/>
        </w:rPr>
        <w:t>‌</w:t>
      </w:r>
      <w:r w:rsidR="00992664" w:rsidRPr="00020424">
        <w:rPr>
          <w:rtl/>
        </w:rPr>
        <w:t xml:space="preserve">. وفي </w:t>
      </w:r>
      <w:r w:rsidR="00992664" w:rsidRPr="00DE76B9">
        <w:rPr>
          <w:rStyle w:val="libFootnoteBoldChar"/>
          <w:rtl/>
        </w:rPr>
        <w:t>الكافي</w:t>
      </w:r>
      <w:r w:rsidR="00992664" w:rsidRPr="00020424">
        <w:rPr>
          <w:rtl/>
        </w:rPr>
        <w:t xml:space="preserve"> ، كتاب الزكاة ، باب فضل الصدقة ، ضمن ح 6004 ؛ </w:t>
      </w:r>
      <w:r w:rsidR="00992664" w:rsidRPr="00FD6221">
        <w:rPr>
          <w:rStyle w:val="libFootnoteBoldChar"/>
          <w:rtl/>
        </w:rPr>
        <w:t>والفقيه</w:t>
      </w:r>
      <w:r w:rsidR="00992664" w:rsidRPr="00020424">
        <w:rPr>
          <w:rtl/>
        </w:rPr>
        <w:t xml:space="preserve"> ، ج 4 ، ص 416 ، ضمن ح 5904 ؛ </w:t>
      </w:r>
      <w:r w:rsidR="00992664" w:rsidRPr="00515444">
        <w:rPr>
          <w:rStyle w:val="libFootnoteBoldChar"/>
          <w:rtl/>
        </w:rPr>
        <w:t>والتهذيب</w:t>
      </w:r>
      <w:r w:rsidR="00992664" w:rsidRPr="00020424">
        <w:rPr>
          <w:rtl/>
        </w:rPr>
        <w:t xml:space="preserve"> ، ج 4 ، ص 112 ، ضمن ح 331 ، بسند آخر عن أبي عبدالله </w:t>
      </w:r>
      <w:r w:rsidR="00992664" w:rsidRPr="00901C39">
        <w:rPr>
          <w:rStyle w:val="libFootnoteAlaemChar"/>
          <w:rtl/>
        </w:rPr>
        <w:t>عليه‌السلام</w:t>
      </w:r>
      <w:r w:rsidR="00992664" w:rsidRPr="00020424">
        <w:rPr>
          <w:rtl/>
        </w:rPr>
        <w:t xml:space="preserve">. وفي </w:t>
      </w:r>
      <w:r w:rsidR="00992664" w:rsidRPr="00DE76B9">
        <w:rPr>
          <w:rStyle w:val="libFootnoteBoldChar"/>
          <w:rtl/>
        </w:rPr>
        <w:t>صحيفة الرضا</w:t>
      </w:r>
      <w:r w:rsidR="00992664" w:rsidRPr="00020424">
        <w:rPr>
          <w:rtl/>
        </w:rPr>
        <w:t xml:space="preserve"> </w:t>
      </w:r>
      <w:r w:rsidR="00992664" w:rsidRPr="00901C39">
        <w:rPr>
          <w:rStyle w:val="libFootnoteAlaemChar"/>
          <w:rtl/>
        </w:rPr>
        <w:t>عليه‌السلام</w:t>
      </w:r>
      <w:r w:rsidR="00992664" w:rsidRPr="00020424">
        <w:rPr>
          <w:rtl/>
        </w:rPr>
        <w:t xml:space="preserve"> ، ص 52 ، ح 51 ؛ و</w:t>
      </w:r>
      <w:r w:rsidR="00992664" w:rsidRPr="00DE76B9">
        <w:rPr>
          <w:rStyle w:val="libFootnoteBoldChar"/>
          <w:rtl/>
        </w:rPr>
        <w:t>التوحيد</w:t>
      </w:r>
      <w:r w:rsidR="00992664" w:rsidRPr="00020424">
        <w:rPr>
          <w:rtl/>
        </w:rPr>
        <w:t xml:space="preserve"> ، ص 68 ، ح 24 ؛ </w:t>
      </w:r>
      <w:r w:rsidR="00992664" w:rsidRPr="00DF4D84">
        <w:rPr>
          <w:rStyle w:val="libFootnoteBoldChar"/>
          <w:rtl/>
        </w:rPr>
        <w:t>وعيون الأخبار</w:t>
      </w:r>
      <w:r w:rsidR="00992664" w:rsidRPr="00020424">
        <w:rPr>
          <w:rtl/>
        </w:rPr>
        <w:t xml:space="preserve"> ، ج 2 ، ص 35 ، ح 75 ، بسند آخر عن الرضا ، عن آبائه </w:t>
      </w:r>
      <w:r w:rsidR="00992664" w:rsidRPr="00901C39">
        <w:rPr>
          <w:rStyle w:val="libFootnoteAlaemChar"/>
          <w:rtl/>
        </w:rPr>
        <w:t>عليهم‌السلام</w:t>
      </w:r>
      <w:r w:rsidR="00992664" w:rsidRPr="00020424">
        <w:rPr>
          <w:rtl/>
        </w:rPr>
        <w:t xml:space="preserve"> عن رسول الله </w:t>
      </w:r>
      <w:r w:rsidR="00D64ADA" w:rsidRPr="00901C39">
        <w:rPr>
          <w:rStyle w:val="libFootnoteAlaemChar"/>
          <w:rtl/>
        </w:rPr>
        <w:t>صلى‌الله‌عليه‌وآله</w:t>
      </w:r>
      <w:r w:rsidR="00B42914" w:rsidRPr="00901C39">
        <w:rPr>
          <w:rStyle w:val="libFootnoteAlaemChar"/>
          <w:rtl/>
        </w:rPr>
        <w:t>‌</w:t>
      </w:r>
      <w:r w:rsidR="00992664" w:rsidRPr="00020424">
        <w:rPr>
          <w:rtl/>
        </w:rPr>
        <w:t xml:space="preserve"> ، مع اختلاف يسير وزيادة في أوّله. </w:t>
      </w:r>
      <w:r w:rsidR="00992664" w:rsidRPr="00A722B1">
        <w:rPr>
          <w:rStyle w:val="libFootnoteBoldChar"/>
          <w:rtl/>
        </w:rPr>
        <w:t>الخصال</w:t>
      </w:r>
      <w:r w:rsidR="00992664" w:rsidRPr="00020424">
        <w:rPr>
          <w:rtl/>
        </w:rPr>
        <w:t xml:space="preserve"> ، ص 621 ، أبواب الثمانين ومافوقه ، ضمن الحديث الطويل ، بسند آخرعن أبي عبدالله ، عن آبائه ، عن أميرالمؤمنين </w:t>
      </w:r>
      <w:r w:rsidR="00992664" w:rsidRPr="00901C39">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66 ، ضمن ح 1730 ، مرسلاً عن الصادق </w:t>
      </w:r>
      <w:r w:rsidR="00992664" w:rsidRPr="00901C39">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ج 4 ، ص 381 ، ح 5824 ؛ </w:t>
      </w:r>
      <w:r w:rsidR="00992664" w:rsidRPr="00A83B0E">
        <w:rPr>
          <w:rStyle w:val="libFootnoteBoldChar"/>
          <w:rtl/>
        </w:rPr>
        <w:t>وتحف العقول</w:t>
      </w:r>
      <w:r w:rsidR="00992664" w:rsidRPr="00020424">
        <w:rPr>
          <w:rtl/>
        </w:rPr>
        <w:t xml:space="preserve"> ، ص 60 ، مرسلاً عن النبيّ </w:t>
      </w:r>
      <w:r w:rsidR="00D64ADA" w:rsidRPr="00901C39">
        <w:rPr>
          <w:rStyle w:val="libFootnoteAlaemChar"/>
          <w:rtl/>
        </w:rPr>
        <w:t>صلى‌الله‌عليه‌وآله</w:t>
      </w:r>
      <w:r w:rsidR="00B42914" w:rsidRPr="00901C39">
        <w:rPr>
          <w:rStyle w:val="libFootnoteAlaemChar"/>
          <w:rtl/>
        </w:rPr>
        <w:t>‌</w:t>
      </w:r>
      <w:r w:rsidR="00992664" w:rsidRPr="00020424">
        <w:rPr>
          <w:rtl/>
        </w:rPr>
        <w:t xml:space="preserve">. وفي </w:t>
      </w:r>
      <w:r w:rsidR="00992664" w:rsidRPr="00DE76B9">
        <w:rPr>
          <w:rStyle w:val="libFootnoteBoldChar"/>
          <w:rtl/>
        </w:rPr>
        <w:t>تحف العقول</w:t>
      </w:r>
      <w:r w:rsidR="00992664" w:rsidRPr="00020424">
        <w:rPr>
          <w:rtl/>
        </w:rPr>
        <w:t xml:space="preserve"> ، ص 110 و221 ؛ </w:t>
      </w:r>
      <w:r w:rsidR="00992664" w:rsidRPr="00D27EE2">
        <w:rPr>
          <w:rStyle w:val="libFootnoteBoldChar"/>
          <w:rtl/>
        </w:rPr>
        <w:t>ونهج البلاغة</w:t>
      </w:r>
      <w:r w:rsidR="00992664" w:rsidRPr="00DE76B9">
        <w:rPr>
          <w:rStyle w:val="libFootnoteBoldChar"/>
          <w:rtl/>
        </w:rPr>
        <w:t xml:space="preserve"> </w:t>
      </w:r>
      <w:r w:rsidR="00992664" w:rsidRPr="00020424">
        <w:rPr>
          <w:rtl/>
        </w:rPr>
        <w:t>، ص 494 ، ح 137 ؛ و</w:t>
      </w:r>
      <w:r w:rsidR="00992664" w:rsidRPr="00DE76B9">
        <w:rPr>
          <w:rStyle w:val="libFootnoteBoldChar"/>
          <w:rtl/>
        </w:rPr>
        <w:t>خصائص الأئمّة</w:t>
      </w:r>
      <w:r w:rsidR="00992664" w:rsidRPr="00020424">
        <w:rPr>
          <w:rtl/>
        </w:rPr>
        <w:t xml:space="preserve"> </w:t>
      </w:r>
      <w:r w:rsidR="00992664" w:rsidRPr="00901C39">
        <w:rPr>
          <w:rStyle w:val="libFootnoteAlaemChar"/>
          <w:rtl/>
        </w:rPr>
        <w:t>عليهم‌السلام</w:t>
      </w:r>
      <w:r w:rsidR="00992664" w:rsidRPr="00020424">
        <w:rPr>
          <w:rtl/>
        </w:rPr>
        <w:t xml:space="preserve"> ، ص 104 ، مرسلاً عن عليّ </w:t>
      </w:r>
      <w:r w:rsidR="00992664" w:rsidRPr="00901C39">
        <w:rPr>
          <w:rStyle w:val="libFootnoteAlaemChar"/>
          <w:rtl/>
        </w:rPr>
        <w:t>عليه‌السلام</w:t>
      </w:r>
      <w:r w:rsidR="00992664" w:rsidRPr="00020424">
        <w:rPr>
          <w:rtl/>
        </w:rPr>
        <w:t xml:space="preserve"> </w:t>
      </w:r>
      <w:r w:rsidR="00901C39">
        <w:rPr>
          <w:rFonts w:hint="cs"/>
          <w:rtl/>
        </w:rPr>
        <w:t>.</w:t>
      </w:r>
      <w:r w:rsidR="00992664" w:rsidRPr="0012008A">
        <w:rPr>
          <w:rStyle w:val="libFootnoteBoldChar"/>
          <w:rtl/>
        </w:rPr>
        <w:t>الوافي</w:t>
      </w:r>
      <w:r w:rsidR="00992664" w:rsidRPr="00020424">
        <w:rPr>
          <w:rtl/>
        </w:rPr>
        <w:t xml:space="preserve"> ، ج 10 ، ص 397 ، ذيل ح 9762 ؛ </w:t>
      </w:r>
      <w:r w:rsidR="00992664" w:rsidRPr="0012008A">
        <w:rPr>
          <w:rStyle w:val="libFootnoteBoldChar"/>
          <w:rtl/>
        </w:rPr>
        <w:t>الوسائل</w:t>
      </w:r>
      <w:r w:rsidR="00992664" w:rsidRPr="00020424">
        <w:rPr>
          <w:rtl/>
        </w:rPr>
        <w:t xml:space="preserve"> ، ج 9 ، ص 370 ، ح 12261.</w:t>
      </w:r>
    </w:p>
    <w:tbl>
      <w:tblPr>
        <w:tblStyle w:val="TableGrid"/>
        <w:bidiVisual/>
        <w:tblW w:w="0" w:type="auto"/>
        <w:tblLook w:val="04A0" w:firstRow="1" w:lastRow="0" w:firstColumn="1" w:lastColumn="0" w:noHBand="0" w:noVBand="1"/>
      </w:tblPr>
      <w:tblGrid>
        <w:gridCol w:w="4006"/>
        <w:gridCol w:w="4006"/>
      </w:tblGrid>
      <w:tr w:rsidR="00901C39" w:rsidTr="00901C39">
        <w:tc>
          <w:tcPr>
            <w:tcW w:w="4006" w:type="dxa"/>
          </w:tcPr>
          <w:p w:rsidR="00901C39" w:rsidRDefault="00901C39" w:rsidP="00992664">
            <w:pPr>
              <w:pStyle w:val="libFootnote0"/>
              <w:rPr>
                <w:rtl/>
              </w:rPr>
            </w:pPr>
            <w:r>
              <w:rPr>
                <w:rtl/>
              </w:rPr>
              <w:t xml:space="preserve">(6). </w:t>
            </w:r>
            <w:r w:rsidRPr="00020424">
              <w:rPr>
                <w:rtl/>
              </w:rPr>
              <w:t>في « ى » : « في</w:t>
            </w:r>
            <w:r>
              <w:rPr>
                <w:rtl/>
              </w:rPr>
              <w:t xml:space="preserve"> ».</w:t>
            </w:r>
          </w:p>
        </w:tc>
        <w:tc>
          <w:tcPr>
            <w:tcW w:w="4006" w:type="dxa"/>
          </w:tcPr>
          <w:p w:rsidR="00901C39" w:rsidRDefault="00901C39" w:rsidP="00992664">
            <w:pPr>
              <w:pStyle w:val="libFootnote0"/>
              <w:rPr>
                <w:rtl/>
              </w:rPr>
            </w:pPr>
            <w:r>
              <w:rPr>
                <w:rtl/>
              </w:rPr>
              <w:t xml:space="preserve">(7). </w:t>
            </w:r>
            <w:r w:rsidRPr="00020424">
              <w:rPr>
                <w:rtl/>
              </w:rPr>
              <w:t>في « بح » : « تقضي</w:t>
            </w:r>
            <w:r>
              <w:rPr>
                <w:rtl/>
              </w:rPr>
              <w:t xml:space="preserve"> ».</w:t>
            </w:r>
          </w:p>
        </w:tc>
      </w:tr>
      <w:tr w:rsidR="00901C39" w:rsidTr="00901C39">
        <w:tc>
          <w:tcPr>
            <w:tcW w:w="4006" w:type="dxa"/>
          </w:tcPr>
          <w:p w:rsidR="00901C39" w:rsidRDefault="00901C39" w:rsidP="00992664">
            <w:pPr>
              <w:pStyle w:val="libFootnote0"/>
              <w:rPr>
                <w:rtl/>
              </w:rPr>
            </w:pPr>
            <w:r>
              <w:rPr>
                <w:rtl/>
              </w:rPr>
              <w:t xml:space="preserve">(8). </w:t>
            </w:r>
            <w:r w:rsidRPr="00020424">
              <w:rPr>
                <w:rtl/>
              </w:rPr>
              <w:t>في « بث ، بح » : « وتخلف</w:t>
            </w:r>
            <w:r>
              <w:rPr>
                <w:rtl/>
              </w:rPr>
              <w:t xml:space="preserve"> ».</w:t>
            </w:r>
          </w:p>
        </w:tc>
        <w:tc>
          <w:tcPr>
            <w:tcW w:w="4006" w:type="dxa"/>
          </w:tcPr>
          <w:p w:rsidR="00901C39" w:rsidRDefault="00901C39" w:rsidP="00992664">
            <w:pPr>
              <w:pStyle w:val="libFootnote0"/>
              <w:rPr>
                <w:rtl/>
              </w:rPr>
            </w:pPr>
            <w:r>
              <w:rPr>
                <w:rtl/>
              </w:rPr>
              <w:t xml:space="preserve">(9). </w:t>
            </w:r>
            <w:r w:rsidRPr="00020424">
              <w:rPr>
                <w:rtl/>
              </w:rPr>
              <w:t>في « ى » : « بالبركة</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397 ، ح 9763 ؛ </w:t>
      </w:r>
      <w:r w:rsidR="00992664" w:rsidRPr="0012008A">
        <w:rPr>
          <w:rStyle w:val="libFootnoteBoldChar"/>
          <w:rtl/>
        </w:rPr>
        <w:t>الوسائل</w:t>
      </w:r>
      <w:r w:rsidR="00992664" w:rsidRPr="00020424">
        <w:rPr>
          <w:rtl/>
        </w:rPr>
        <w:t xml:space="preserve"> ، ج 9 ، ص 367 ، ح 12254.</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75" w:name="_Toc345172775"/>
      <w:bookmarkStart w:id="176" w:name="_Toc464562591"/>
      <w:bookmarkStart w:id="177" w:name="_Toc44599894"/>
      <w:r w:rsidRPr="00020424">
        <w:rPr>
          <w:rtl/>
          <w:lang w:bidi="fa-IR"/>
        </w:rPr>
        <w:lastRenderedPageBreak/>
        <w:t>53</w:t>
      </w:r>
      <w:r>
        <w:rPr>
          <w:rtl/>
          <w:lang w:bidi="fa-IR"/>
        </w:rPr>
        <w:t xml:space="preserve"> </w:t>
      </w:r>
      <w:r w:rsidR="009B673F">
        <w:rPr>
          <w:rtl/>
          <w:lang w:bidi="fa-IR"/>
        </w:rPr>
        <w:t>-</w:t>
      </w:r>
      <w:r>
        <w:rPr>
          <w:rtl/>
          <w:lang w:bidi="fa-IR"/>
        </w:rPr>
        <w:t xml:space="preserve"> </w:t>
      </w:r>
      <w:r w:rsidRPr="00020424">
        <w:rPr>
          <w:rtl/>
          <w:lang w:bidi="fa-IR"/>
        </w:rPr>
        <w:t xml:space="preserve">بَابُ الصَّدَقَةِ عَلَى الْقَرَابَةِ </w:t>
      </w:r>
      <w:r w:rsidRPr="00A91B96">
        <w:rPr>
          <w:rStyle w:val="libFootnotenumChar"/>
          <w:rtl/>
        </w:rPr>
        <w:t>(1)</w:t>
      </w:r>
      <w:r w:rsidRPr="00020424">
        <w:rPr>
          <w:rtl/>
          <w:lang w:bidi="fa-IR"/>
        </w:rPr>
        <w:t xml:space="preserve"> ‌</w:t>
      </w:r>
      <w:bookmarkEnd w:id="175"/>
      <w:bookmarkEnd w:id="176"/>
      <w:bookmarkEnd w:id="177"/>
    </w:p>
    <w:p w:rsidR="00992664" w:rsidRPr="00020424" w:rsidRDefault="00992664" w:rsidP="00992664">
      <w:pPr>
        <w:pStyle w:val="libNormal"/>
        <w:rPr>
          <w:rtl/>
          <w:lang w:bidi="fa-IR"/>
        </w:rPr>
      </w:pPr>
      <w:r w:rsidRPr="00A6124A">
        <w:rPr>
          <w:rtl/>
        </w:rPr>
        <w:t>6033</w:t>
      </w:r>
      <w:r w:rsidRPr="001155DE">
        <w:rPr>
          <w:rStyle w:val="libBold2Char"/>
          <w:rtl/>
        </w:rPr>
        <w:t xml:space="preserve"> / 1.</w:t>
      </w:r>
      <w:r w:rsidRPr="00020424">
        <w:rPr>
          <w:rtl/>
          <w:lang w:bidi="fa-IR"/>
        </w:rPr>
        <w:t xml:space="preserve"> مُحَمَّدُ بْنُ يَحْيى ، عَنْ أَحْمَدَ بْنِ مُحَمَّدٍ ، عَنِ ابْنِ فَضَّالٍ ، عَنْ أَبِي جَمِيلَةَ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وَصَلَ قَرِيباً بِحَجَّةٍ أَوْ عُمْرَةٍ ، كَتَبَ اللهُ لَهُ </w:t>
      </w:r>
      <w:r w:rsidRPr="00A91B96">
        <w:rPr>
          <w:rStyle w:val="libFootnotenumChar"/>
          <w:rtl/>
        </w:rPr>
        <w:t>(2)</w:t>
      </w:r>
      <w:r w:rsidRPr="00020424">
        <w:rPr>
          <w:rtl/>
          <w:lang w:bidi="fa-IR"/>
        </w:rPr>
        <w:t xml:space="preserve"> حَجَّتَيْنِ </w:t>
      </w:r>
      <w:r w:rsidRPr="00A91B96">
        <w:rPr>
          <w:rStyle w:val="libFootnotenumChar"/>
          <w:rtl/>
        </w:rPr>
        <w:t>(3)</w:t>
      </w:r>
      <w:r w:rsidRPr="00020424">
        <w:rPr>
          <w:rtl/>
          <w:lang w:bidi="fa-IR"/>
        </w:rPr>
        <w:t xml:space="preserve"> وَعُمْرَتَيْنِ ، وَكَذلِكَ مَنْ حَمَلَ </w:t>
      </w:r>
      <w:r w:rsidRPr="00A91B96">
        <w:rPr>
          <w:rStyle w:val="libFootnotenumChar"/>
          <w:rtl/>
        </w:rPr>
        <w:t>(4)</w:t>
      </w:r>
      <w:r w:rsidRPr="00020424">
        <w:rPr>
          <w:rtl/>
          <w:lang w:bidi="fa-IR"/>
        </w:rPr>
        <w:t xml:space="preserve"> عَنْ </w:t>
      </w:r>
      <w:r w:rsidRPr="00A91B96">
        <w:rPr>
          <w:rStyle w:val="libFootnotenumChar"/>
          <w:rtl/>
        </w:rPr>
        <w:t>(5)</w:t>
      </w:r>
      <w:r w:rsidRPr="00020424">
        <w:rPr>
          <w:rtl/>
          <w:lang w:bidi="fa-IR"/>
        </w:rPr>
        <w:t xml:space="preserve"> حَمِيمٍ </w:t>
      </w:r>
      <w:r w:rsidRPr="00A91B96">
        <w:rPr>
          <w:rStyle w:val="libFootnotenumChar"/>
          <w:rtl/>
        </w:rPr>
        <w:t>(6)</w:t>
      </w:r>
      <w:r w:rsidRPr="00020424">
        <w:rPr>
          <w:rtl/>
          <w:lang w:bidi="fa-IR"/>
        </w:rPr>
        <w:t xml:space="preserve"> ، يُضَاعِفُ </w:t>
      </w:r>
      <w:r w:rsidRPr="00A91B96">
        <w:rPr>
          <w:rStyle w:val="libFootnotenumChar"/>
          <w:rtl/>
        </w:rPr>
        <w:t>(7)</w:t>
      </w:r>
      <w:r w:rsidRPr="00020424">
        <w:rPr>
          <w:rtl/>
          <w:lang w:bidi="fa-IR"/>
        </w:rPr>
        <w:t xml:space="preserve"> اللهُ لَهُ الْأَجْرَ ضِعْفَيْنِ</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6124A">
        <w:rPr>
          <w:rtl/>
        </w:rPr>
        <w:t>6034</w:t>
      </w:r>
      <w:r w:rsidRPr="001155DE">
        <w:rPr>
          <w:rStyle w:val="libBold2Char"/>
          <w:rtl/>
        </w:rPr>
        <w:t xml:space="preserve"> / 2.</w:t>
      </w:r>
      <w:r w:rsidRPr="00020424">
        <w:rPr>
          <w:rtl/>
          <w:lang w:bidi="fa-IR"/>
        </w:rPr>
        <w:t xml:space="preserve"> عَلِيُّ بْنُ إِبْرَاهِيمَ ، عَنْ أَبِيهِ ، عَنِ النَّوْفَلِيِّ ، عَنِ السَّكُونِيِّ :</w:t>
      </w:r>
    </w:p>
    <w:p w:rsidR="00992664" w:rsidRPr="00020424" w:rsidRDefault="00992664" w:rsidP="00D60F6F">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سُئِلَ رَسُولُ اللهِ </w:t>
      </w:r>
      <w:r w:rsidR="00B42914" w:rsidRPr="00B42914">
        <w:rPr>
          <w:rStyle w:val="libAlaemChar"/>
          <w:rtl/>
        </w:rPr>
        <w:t>صلى‌الله‌عليه‌وآله‌</w:t>
      </w:r>
      <w:r w:rsidRPr="00020424">
        <w:rPr>
          <w:rtl/>
          <w:lang w:bidi="fa-IR"/>
        </w:rPr>
        <w:t xml:space="preserve"> : أَيُّ الصَّدَقَةِ أَفْضَلُ</w:t>
      </w:r>
      <w:r>
        <w:rPr>
          <w:rtl/>
          <w:lang w:bidi="fa-IR"/>
        </w:rPr>
        <w:t>؟</w:t>
      </w:r>
      <w:r w:rsidRPr="00020424">
        <w:rPr>
          <w:rtl/>
          <w:lang w:bidi="fa-IR"/>
        </w:rPr>
        <w:t xml:space="preserve"> قَالَ : عَلى ذِي الرَّحِمِ الْكَاشِحِ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059EC" w:rsidTr="007059EC">
        <w:tc>
          <w:tcPr>
            <w:tcW w:w="4006" w:type="dxa"/>
          </w:tcPr>
          <w:p w:rsidR="007059EC" w:rsidRDefault="007059EC" w:rsidP="00992664">
            <w:pPr>
              <w:pStyle w:val="libFootnote0"/>
              <w:rPr>
                <w:rtl/>
              </w:rPr>
            </w:pPr>
            <w:r>
              <w:rPr>
                <w:rtl/>
              </w:rPr>
              <w:t xml:space="preserve">(1). </w:t>
            </w:r>
            <w:r w:rsidRPr="00020424">
              <w:rPr>
                <w:rtl/>
              </w:rPr>
              <w:t>في حاشية « بف » : « ذي الرحم</w:t>
            </w:r>
            <w:r>
              <w:rPr>
                <w:rtl/>
              </w:rPr>
              <w:t xml:space="preserve"> ».</w:t>
            </w:r>
          </w:p>
        </w:tc>
        <w:tc>
          <w:tcPr>
            <w:tcW w:w="4006" w:type="dxa"/>
          </w:tcPr>
          <w:p w:rsidR="007059EC" w:rsidRDefault="007059EC" w:rsidP="00992664">
            <w:pPr>
              <w:pStyle w:val="libFootnote0"/>
              <w:rPr>
                <w:rtl/>
              </w:rPr>
            </w:pPr>
            <w:r>
              <w:rPr>
                <w:rtl/>
              </w:rPr>
              <w:t xml:space="preserve">(2). </w:t>
            </w:r>
            <w:r w:rsidRPr="00020424">
              <w:rPr>
                <w:rtl/>
              </w:rPr>
              <w:t>في « ى » :</w:t>
            </w:r>
            <w:r>
              <w:rPr>
                <w:rtl/>
              </w:rPr>
              <w:t xml:space="preserve"> - </w:t>
            </w:r>
            <w:r w:rsidRPr="00020424">
              <w:rPr>
                <w:rtl/>
              </w:rPr>
              <w:t>« الله له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w:t>
      </w:r>
      <w:r w:rsidR="00992664" w:rsidRPr="0013047A">
        <w:rPr>
          <w:rtl/>
        </w:rPr>
        <w:t>والوافي</w:t>
      </w:r>
      <w:r w:rsidR="00992664" w:rsidRPr="00020424">
        <w:rPr>
          <w:rtl/>
        </w:rPr>
        <w:t xml:space="preserve"> : « بحجّتين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من حمل ، أي نفقته أو دينه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قال الجوهري : « حميمك : قريبك الذي تهتمّ لأمره</w:t>
      </w:r>
      <w:r w:rsidR="00992664">
        <w:rPr>
          <w:rtl/>
        </w:rPr>
        <w:t xml:space="preserve"> ».</w:t>
      </w:r>
      <w:r w:rsidR="00992664" w:rsidRPr="00020424">
        <w:rPr>
          <w:rtl/>
        </w:rPr>
        <w:t xml:space="preserve"> وقال ابن الأثير : « حامّة الإنسان : خاصّته ومن يقرب منه ، وهو الحميم أيضاً</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1905 ؛ </w:t>
      </w:r>
      <w:r w:rsidR="00992664" w:rsidRPr="0012008A">
        <w:rPr>
          <w:rStyle w:val="libFootnoteBoldChar"/>
          <w:rtl/>
        </w:rPr>
        <w:t>النهاية</w:t>
      </w:r>
      <w:r w:rsidR="00992664" w:rsidRPr="00020424">
        <w:rPr>
          <w:rtl/>
        </w:rPr>
        <w:t xml:space="preserve"> ، ج 1 ، ص 446 ( حمم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3047A">
        <w:rPr>
          <w:rtl/>
        </w:rPr>
        <w:t>الوافي</w:t>
      </w:r>
      <w:r w:rsidR="00992664" w:rsidRPr="00020424">
        <w:rPr>
          <w:rtl/>
        </w:rPr>
        <w:t xml:space="preserve"> : « ضاعف</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224 ، ح 2244 ، مرسلاً من دون الإسناد إلى المعصوم </w:t>
      </w:r>
      <w:r w:rsidR="00992664" w:rsidRPr="00D64ADA">
        <w:rPr>
          <w:rStyle w:val="libFootnoteAlaemChar"/>
          <w:rtl/>
        </w:rPr>
        <w:t>عليه‌السلام</w:t>
      </w:r>
      <w:r w:rsidR="00992664" w:rsidRPr="00020424">
        <w:rPr>
          <w:rtl/>
        </w:rPr>
        <w:t xml:space="preserve"> ، مع اختلاف يسير وزيادة في أوّله </w:t>
      </w:r>
      <w:r w:rsidR="0013047A">
        <w:rPr>
          <w:rFonts w:hint="cs"/>
          <w:rtl/>
        </w:rPr>
        <w:t>.</w:t>
      </w:r>
      <w:r w:rsidR="00992664" w:rsidRPr="0012008A">
        <w:rPr>
          <w:rStyle w:val="libFootnoteBoldChar"/>
          <w:rtl/>
        </w:rPr>
        <w:t>الوافي</w:t>
      </w:r>
      <w:r w:rsidR="00992664" w:rsidRPr="00020424">
        <w:rPr>
          <w:rtl/>
        </w:rPr>
        <w:t xml:space="preserve"> ، ج 10 ، ص 455 ، ح 9878 ؛ </w:t>
      </w:r>
      <w:r w:rsidR="00992664" w:rsidRPr="0012008A">
        <w:rPr>
          <w:rStyle w:val="libFootnoteBoldChar"/>
          <w:rtl/>
        </w:rPr>
        <w:t>الوسائل</w:t>
      </w:r>
      <w:r w:rsidR="00992664" w:rsidRPr="00020424">
        <w:rPr>
          <w:rtl/>
        </w:rPr>
        <w:t xml:space="preserve"> ، ج 9 ، ص 412 ، ح 12356 ؛ وج 11 ، ص 198 ، ح 14614.</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الكاشِحُ » : العدوّ الذي يُضمِر لك عداوته ويطوي عليها كَشْحَه ، أي باطنه ، والكشح : ما بين الخاصرة إلى الضلع الخَلْف ، أو الذي يطوي عنك كشحه ولا يألفك. راجع : </w:t>
      </w:r>
      <w:r w:rsidR="00992664" w:rsidRPr="0012008A">
        <w:rPr>
          <w:rStyle w:val="libFootnoteBoldChar"/>
          <w:rtl/>
        </w:rPr>
        <w:t>الصحاح</w:t>
      </w:r>
      <w:r w:rsidR="00992664" w:rsidRPr="00020424">
        <w:rPr>
          <w:rtl/>
        </w:rPr>
        <w:t xml:space="preserve"> ، ج 1 ، ص 399 ؛ </w:t>
      </w:r>
      <w:r w:rsidR="00992664" w:rsidRPr="0012008A">
        <w:rPr>
          <w:rStyle w:val="libFootnoteBoldChar"/>
          <w:rtl/>
        </w:rPr>
        <w:t>النهاية</w:t>
      </w:r>
      <w:r w:rsidR="00992664" w:rsidRPr="00020424">
        <w:rPr>
          <w:rtl/>
        </w:rPr>
        <w:t xml:space="preserve"> ، ج 4 ، ص 175 ( كشح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106 ، ح 301 ، معلّقاً عن الكليني. </w:t>
      </w:r>
      <w:r w:rsidR="00992664" w:rsidRPr="0012008A">
        <w:rPr>
          <w:rStyle w:val="libFootnoteBoldChar"/>
          <w:rtl/>
        </w:rPr>
        <w:t>ثواب الأعمال</w:t>
      </w:r>
      <w:r w:rsidR="00992664" w:rsidRPr="00020424">
        <w:rPr>
          <w:rtl/>
        </w:rPr>
        <w:t xml:space="preserve"> ، ص 871 ، ح 18 ، عن أبيه ، عن عليّ بن إبراهيم ، عن أبيه ، عن النوفلي ، عن السكوني ،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الجعفريّات</w:t>
      </w:r>
      <w:r w:rsidR="00992664" w:rsidRPr="00020424">
        <w:rPr>
          <w:rtl/>
        </w:rPr>
        <w:t xml:space="preserve"> ، ص 55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68 ، ح 1739 ، </w:t>
      </w:r>
      <w:r w:rsidR="0013047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6124A">
        <w:rPr>
          <w:rtl/>
        </w:rPr>
        <w:t>6035</w:t>
      </w:r>
      <w:r w:rsidRPr="001155DE">
        <w:rPr>
          <w:rStyle w:val="libBold2Char"/>
          <w:rtl/>
        </w:rPr>
        <w:t xml:space="preserve"> / 3.</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الصَّدَقَةُ بِعَشَرَةٍ ، وَالْقَرْضُ بِثَمَانِيَةَ عَشَرَ </w:t>
      </w:r>
      <w:r w:rsidRPr="00A91B96">
        <w:rPr>
          <w:rStyle w:val="libFootnotenumChar"/>
          <w:rtl/>
        </w:rPr>
        <w:t>(1)</w:t>
      </w:r>
      <w:r w:rsidRPr="00020424">
        <w:rPr>
          <w:rtl/>
          <w:lang w:bidi="fa-IR"/>
        </w:rPr>
        <w:t xml:space="preserve"> ، وَصِلَةُ الْإِخْوَانِ بِعِشْرِينَ ، وَصِلَةُ الرَّحِمِ بِأَرْبَعَةٍ وَعِشْرِينَ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178" w:name="_Toc345172776"/>
      <w:bookmarkStart w:id="179" w:name="_Toc464562592"/>
      <w:bookmarkStart w:id="180" w:name="_Toc44599895"/>
      <w:r w:rsidRPr="00020424">
        <w:rPr>
          <w:rtl/>
          <w:lang w:bidi="fa-IR"/>
        </w:rPr>
        <w:t>54</w:t>
      </w:r>
      <w:r>
        <w:rPr>
          <w:rtl/>
          <w:lang w:bidi="fa-IR"/>
        </w:rPr>
        <w:t xml:space="preserve"> </w:t>
      </w:r>
      <w:r w:rsidR="009B673F">
        <w:rPr>
          <w:rtl/>
          <w:lang w:bidi="fa-IR"/>
        </w:rPr>
        <w:t>-</w:t>
      </w:r>
      <w:r>
        <w:rPr>
          <w:rtl/>
          <w:lang w:bidi="fa-IR"/>
        </w:rPr>
        <w:t xml:space="preserve"> </w:t>
      </w:r>
      <w:r w:rsidRPr="00020424">
        <w:rPr>
          <w:rtl/>
          <w:lang w:bidi="fa-IR"/>
        </w:rPr>
        <w:t>بَابُ كِفَايَةِ الْعِيَالِ وَالتَّوَسُّعِ عَلَيْهِمْ‌</w:t>
      </w:r>
      <w:bookmarkEnd w:id="178"/>
      <w:bookmarkEnd w:id="179"/>
      <w:bookmarkEnd w:id="180"/>
    </w:p>
    <w:p w:rsidR="00992664" w:rsidRPr="00020424" w:rsidRDefault="00992664" w:rsidP="00992664">
      <w:pPr>
        <w:pStyle w:val="libNormal"/>
        <w:rPr>
          <w:rtl/>
          <w:lang w:bidi="fa-IR"/>
        </w:rPr>
      </w:pPr>
      <w:r w:rsidRPr="00A6124A">
        <w:rPr>
          <w:rtl/>
        </w:rPr>
        <w:t>6036</w:t>
      </w:r>
      <w:r w:rsidRPr="001155DE">
        <w:rPr>
          <w:rStyle w:val="libBold2Char"/>
          <w:rtl/>
        </w:rPr>
        <w:t xml:space="preserve"> / 1.</w:t>
      </w:r>
      <w:r w:rsidRPr="00020424">
        <w:rPr>
          <w:rtl/>
          <w:lang w:bidi="fa-IR"/>
        </w:rPr>
        <w:t xml:space="preserve"> عِدَّةٌ مِنْ أَصْحَابِنَا ، عَنْ سَهْلِ بْنِ زِيَادٍ وَأَحْمَدَ بْنِ مُحَمَّدٍ جَمِيعاً ، عَنِ الْحَسَنِ </w:t>
      </w:r>
      <w:r w:rsidRPr="00A91B96">
        <w:rPr>
          <w:rStyle w:val="libFootnotenumChar"/>
          <w:rtl/>
        </w:rPr>
        <w:t>(3)</w:t>
      </w:r>
      <w:r w:rsidRPr="00020424">
        <w:rPr>
          <w:rtl/>
          <w:lang w:bidi="fa-IR"/>
        </w:rPr>
        <w:t xml:space="preserve"> بْنِ مَحْبُوبٍ ، عَنْ مَالِكِ بْنِ عَطِيَّةَ ، عَنْ أَبِي حَمْزَةَ الثُّمَالِيِّ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عَلِيِّ بْنِ الْحُسَيْنِ </w:t>
      </w:r>
      <w:r w:rsidRPr="00005A81">
        <w:rPr>
          <w:rStyle w:val="libAlaemChar"/>
          <w:rtl/>
        </w:rPr>
        <w:t>عليهما‌السلام</w:t>
      </w:r>
      <w:r w:rsidRPr="00020424">
        <w:rPr>
          <w:rtl/>
          <w:lang w:bidi="fa-IR"/>
        </w:rPr>
        <w:t xml:space="preserve"> ، قَالَ : « أَرْضَاكُمْ عِنْدَ اللهِ أَسْبَغُكُمْ عَلى عِيَالِهِ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B1FD9" w:rsidP="00992664">
      <w:pPr>
        <w:pStyle w:val="libFootnote0"/>
        <w:rPr>
          <w:rtl/>
          <w:lang w:bidi="fa-IR"/>
        </w:rPr>
      </w:pPr>
      <w:r>
        <w:rPr>
          <w:rFonts w:hint="cs"/>
          <w:rtl/>
        </w:rPr>
        <w:t xml:space="preserve">= </w:t>
      </w:r>
      <w:r w:rsidR="00992664" w:rsidRPr="00020424">
        <w:rPr>
          <w:rtl/>
        </w:rPr>
        <w:t xml:space="preserve">مرسلاً من دون التصريح باسم المعصوم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المقنعة</w:t>
      </w:r>
      <w:r w:rsidR="00992664" w:rsidRPr="00020424">
        <w:rPr>
          <w:rtl/>
        </w:rPr>
        <w:t xml:space="preserve"> ، ص 261 ، مرسلاً </w:t>
      </w:r>
      <w:r>
        <w:rPr>
          <w:rFonts w:hint="cs"/>
          <w:rtl/>
        </w:rPr>
        <w:t>.</w:t>
      </w:r>
      <w:r w:rsidR="00992664" w:rsidRPr="0012008A">
        <w:rPr>
          <w:rStyle w:val="libFootnoteBoldChar"/>
          <w:rtl/>
        </w:rPr>
        <w:t>الوافي</w:t>
      </w:r>
      <w:r w:rsidR="00992664" w:rsidRPr="00020424">
        <w:rPr>
          <w:rtl/>
        </w:rPr>
        <w:t xml:space="preserve"> ، ج 10 ، ص 405 ، ح 9775 ؛ </w:t>
      </w:r>
      <w:r w:rsidR="00992664" w:rsidRPr="0012008A">
        <w:rPr>
          <w:rStyle w:val="libFootnoteBoldChar"/>
          <w:rtl/>
        </w:rPr>
        <w:t>الوسائل</w:t>
      </w:r>
      <w:r w:rsidR="00992664" w:rsidRPr="00020424">
        <w:rPr>
          <w:rtl/>
        </w:rPr>
        <w:t xml:space="preserve"> ، ج 9 ، ص 411 ، ح 12354.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هامش المطبوع : « قيل : إنّما جعل الله جزاء الحسنة عشر أمثالها والقرض حسنة فإذا أخذ المعطي ما أعطاه قرضاً من المقروض بقي له عند الله تسعة وقد وعده تعالى أن يضاعفها له فتصير ثمانية عشر ، ووجه التفصيل هو أنّ الصدقة تقع في يد</w:t>
      </w:r>
      <w:r w:rsidR="00EB1FD9">
        <w:rPr>
          <w:rtl/>
        </w:rPr>
        <w:t xml:space="preserve"> المحتاج وغيره والقرض لايقع إل</w:t>
      </w:r>
      <w:r w:rsidR="00EB1FD9">
        <w:rPr>
          <w:rFonts w:hint="cs"/>
          <w:rtl/>
        </w:rPr>
        <w:t>ّ</w:t>
      </w:r>
      <w:r w:rsidR="00EB1FD9">
        <w:rPr>
          <w:rtl/>
        </w:rPr>
        <w:t>ا</w:t>
      </w:r>
      <w:r w:rsidR="00EB1FD9">
        <w:rPr>
          <w:rFonts w:hint="cs"/>
          <w:rtl/>
        </w:rPr>
        <w:t xml:space="preserve"> </w:t>
      </w:r>
      <w:r w:rsidR="00992664" w:rsidRPr="00020424">
        <w:rPr>
          <w:rtl/>
        </w:rPr>
        <w:t>في يد المحتاج غالباً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106 ، ح 302 ، معلّقاً عن الكليني. </w:t>
      </w:r>
      <w:r w:rsidR="00992664" w:rsidRPr="00DE76B9">
        <w:rPr>
          <w:rStyle w:val="libFootnoteBoldChar"/>
          <w:rtl/>
        </w:rPr>
        <w:t>الكافي</w:t>
      </w:r>
      <w:r w:rsidR="00992664" w:rsidRPr="00020424">
        <w:rPr>
          <w:rtl/>
        </w:rPr>
        <w:t xml:space="preserve"> ، كتاب الزكاة ، باب القرض ، ح 6128 وضمن ح 6131 ، بسند آخر عن أبي عبدالله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2 ، ص 58 ، ح 1697 ؛ </w:t>
      </w:r>
      <w:r w:rsidR="00992664" w:rsidRPr="00EB1FD9">
        <w:rPr>
          <w:rStyle w:val="libFootnoteBoldChar"/>
          <w:rtl/>
        </w:rPr>
        <w:t>وتفسير القمّي</w:t>
      </w:r>
      <w:r w:rsidR="00992664" w:rsidRPr="00020424">
        <w:rPr>
          <w:rtl/>
        </w:rPr>
        <w:t xml:space="preserve"> ، ج 2 ، ص 159 و350 ، مرسلاً عن أبي عبدالله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w:t>
      </w:r>
      <w:r w:rsidR="00992664">
        <w:rPr>
          <w:rtl/>
        </w:rPr>
        <w:t xml:space="preserve"> </w:t>
      </w:r>
      <w:r w:rsidR="009B673F">
        <w:rPr>
          <w:rtl/>
        </w:rPr>
        <w:t>-</w:t>
      </w:r>
      <w:r w:rsidR="00992664">
        <w:rPr>
          <w:rtl/>
        </w:rPr>
        <w:t xml:space="preserve"> </w:t>
      </w:r>
      <w:r w:rsidR="00EB1FD9">
        <w:rPr>
          <w:rtl/>
        </w:rPr>
        <w:t>إل</w:t>
      </w:r>
      <w:r w:rsidR="00EB1FD9">
        <w:rPr>
          <w:rFonts w:hint="cs"/>
          <w:rtl/>
        </w:rPr>
        <w:t>ّ</w:t>
      </w:r>
      <w:r w:rsidR="00EB1FD9">
        <w:rPr>
          <w:rtl/>
        </w:rPr>
        <w:t>ا</w:t>
      </w:r>
      <w:r w:rsidR="00992664">
        <w:rPr>
          <w:rFonts w:hint="cs"/>
          <w:rtl/>
        </w:rPr>
        <w:t xml:space="preserve"> </w:t>
      </w:r>
      <w:r w:rsidR="00992664" w:rsidRPr="00EB1FD9">
        <w:rPr>
          <w:rtl/>
        </w:rPr>
        <w:t>التهذيب</w:t>
      </w:r>
      <w:r w:rsidR="00992664">
        <w:rPr>
          <w:rtl/>
        </w:rPr>
        <w:t xml:space="preserve"> </w:t>
      </w:r>
      <w:r w:rsidR="009B673F">
        <w:rPr>
          <w:rtl/>
        </w:rPr>
        <w:t>-</w:t>
      </w:r>
      <w:r w:rsidR="00992664">
        <w:rPr>
          <w:rtl/>
        </w:rPr>
        <w:t xml:space="preserve"> </w:t>
      </w:r>
      <w:r w:rsidR="00992664" w:rsidRPr="00020424">
        <w:rPr>
          <w:rtl/>
        </w:rPr>
        <w:t xml:space="preserve">مع اختلاف يسير. </w:t>
      </w:r>
      <w:r w:rsidR="00992664" w:rsidRPr="0012008A">
        <w:rPr>
          <w:rStyle w:val="libFootnoteBoldChar"/>
          <w:rtl/>
        </w:rPr>
        <w:t>الفقيه</w:t>
      </w:r>
      <w:r w:rsidR="00992664" w:rsidRPr="00020424">
        <w:rPr>
          <w:rtl/>
        </w:rPr>
        <w:t xml:space="preserve"> ، ج 2 ، ص 67 ، ح 1738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EB1FD9">
        <w:rPr>
          <w:rFonts w:hint="cs"/>
          <w:rtl/>
        </w:rPr>
        <w:t>.</w:t>
      </w:r>
      <w:r w:rsidR="00992664" w:rsidRPr="0012008A">
        <w:rPr>
          <w:rStyle w:val="libFootnoteBoldChar"/>
          <w:rtl/>
        </w:rPr>
        <w:t>الوافي</w:t>
      </w:r>
      <w:r w:rsidR="00992664" w:rsidRPr="00020424">
        <w:rPr>
          <w:rtl/>
        </w:rPr>
        <w:t xml:space="preserve"> ، ج 5 ، ص 513 ، ح 2465 ؛ وج 10 ، ص 455 ، ح 9879 ؛ </w:t>
      </w:r>
      <w:r w:rsidR="00992664" w:rsidRPr="0012008A">
        <w:rPr>
          <w:rStyle w:val="libFootnoteBoldChar"/>
          <w:rtl/>
        </w:rPr>
        <w:t>الوسائل</w:t>
      </w:r>
      <w:r w:rsidR="00992664" w:rsidRPr="00020424">
        <w:rPr>
          <w:rtl/>
        </w:rPr>
        <w:t xml:space="preserve"> ، ج 9 ، ص 411 ، ح 12355.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ورد الخبر في </w:t>
      </w:r>
      <w:r w:rsidR="00992664" w:rsidRPr="00DE76B9">
        <w:rPr>
          <w:rStyle w:val="libFootnoteBoldChar"/>
          <w:rtl/>
        </w:rPr>
        <w:t>الكافي</w:t>
      </w:r>
      <w:r w:rsidR="00992664" w:rsidRPr="00020424">
        <w:rPr>
          <w:rtl/>
        </w:rPr>
        <w:t xml:space="preserve"> ، ضمن ح 14839 ، عن الحسن بن محبوب ، عن هلال بن عطيّة ، عن أبي حمزة وعنوان « هلال بن عطيّة » محرّف من « مالك بن عطيّة » ، كما نوضحه في موضعه.</w:t>
      </w:r>
    </w:p>
    <w:p w:rsidR="00992664" w:rsidRPr="00020424" w:rsidRDefault="00992664" w:rsidP="00992664">
      <w:pPr>
        <w:pStyle w:val="libFootnote0"/>
        <w:rPr>
          <w:rtl/>
          <w:lang w:bidi="fa-IR"/>
        </w:rPr>
      </w:pPr>
      <w:r w:rsidRPr="00EB1FD9">
        <w:rPr>
          <w:rtl/>
        </w:rPr>
        <w:t xml:space="preserve">ثمّ إنّ الخبر ورد في </w:t>
      </w:r>
      <w:r w:rsidRPr="0012008A">
        <w:rPr>
          <w:rStyle w:val="libFootnoteBoldChar"/>
          <w:rtl/>
        </w:rPr>
        <w:t>الفقيه</w:t>
      </w:r>
      <w:r w:rsidRPr="00EB1FD9">
        <w:rPr>
          <w:rtl/>
        </w:rPr>
        <w:t xml:space="preserve"> ، ج 4 ، ص 408 ، ضمن ح 5884 ، عن الحسن بن محبوب ، عن مالك بن عطيّة ، عن عائذ الأحمسي ، عن أبي حمزة الثمالي ، والظاهر زيادة « عن عائذ الأحمسي » في سند </w:t>
      </w:r>
      <w:r w:rsidRPr="0012008A">
        <w:rPr>
          <w:rStyle w:val="libFootnoteBoldChar"/>
          <w:rtl/>
        </w:rPr>
        <w:t>الفقيه</w:t>
      </w:r>
      <w:r w:rsidRPr="00EB1FD9">
        <w:rPr>
          <w:rtl/>
        </w:rPr>
        <w:t xml:space="preserve"> ؛ فإنّا لم نجد رواية عائذ الأحمسي عن أبي حمزة في موضع.</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الكافي</w:t>
      </w:r>
      <w:r w:rsidR="00992664" w:rsidRPr="00020424">
        <w:rPr>
          <w:rtl/>
        </w:rPr>
        <w:t xml:space="preserve"> ، كتاب الروضة ، ضمن ح 14839. وفي </w:t>
      </w:r>
      <w:r w:rsidR="00992664" w:rsidRPr="0012008A">
        <w:rPr>
          <w:rStyle w:val="libFootnoteBoldChar"/>
          <w:rtl/>
        </w:rPr>
        <w:t>الفقيه</w:t>
      </w:r>
      <w:r w:rsidR="00992664" w:rsidRPr="00020424">
        <w:rPr>
          <w:rtl/>
        </w:rPr>
        <w:t xml:space="preserve"> ، ج 4 ، ص 408 ، ضمن ح 5884 ، معلّقاً عن الحسن بن </w:t>
      </w:r>
      <w:r w:rsidR="00EB1FD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6124A">
        <w:rPr>
          <w:rtl/>
        </w:rPr>
        <w:t>6037</w:t>
      </w:r>
      <w:r w:rsidRPr="001155DE">
        <w:rPr>
          <w:rStyle w:val="libBold2Char"/>
          <w:rtl/>
        </w:rPr>
        <w:t xml:space="preserve"> / 2.</w:t>
      </w:r>
      <w:r w:rsidRPr="00020424">
        <w:rPr>
          <w:rtl/>
          <w:lang w:bidi="fa-IR"/>
        </w:rPr>
        <w:t xml:space="preserve"> وَعَنْهُمَا </w:t>
      </w:r>
      <w:r w:rsidRPr="00A91B96">
        <w:rPr>
          <w:rStyle w:val="libFootnotenumChar"/>
          <w:rtl/>
        </w:rPr>
        <w:t>(1)</w:t>
      </w:r>
      <w:r w:rsidRPr="00020424">
        <w:rPr>
          <w:rtl/>
          <w:lang w:bidi="fa-IR"/>
        </w:rPr>
        <w:t xml:space="preserve"> ، عَنِ الْحَسَنِ </w:t>
      </w:r>
      <w:r w:rsidRPr="00A91B96">
        <w:rPr>
          <w:rStyle w:val="libFootnotenumChar"/>
          <w:rtl/>
        </w:rPr>
        <w:t>(2)</w:t>
      </w:r>
      <w:r w:rsidRPr="00020424">
        <w:rPr>
          <w:rtl/>
          <w:lang w:bidi="fa-IR"/>
        </w:rPr>
        <w:t xml:space="preserve"> بْنِ مَحْبُوبٍ ، عَنِ الْعَلَاءِ بْنِ رَزِينٍ ، عَنْ مُحَمَّدِ بْنِ مُسْلِمٍ ، قَالَ :</w:t>
      </w:r>
    </w:p>
    <w:p w:rsidR="00992664" w:rsidRPr="00020424" w:rsidRDefault="00992664" w:rsidP="00992664">
      <w:pPr>
        <w:pStyle w:val="libNormal"/>
        <w:rPr>
          <w:rtl/>
          <w:lang w:bidi="fa-IR"/>
        </w:rPr>
      </w:pPr>
      <w:r w:rsidRPr="00020424">
        <w:rPr>
          <w:rtl/>
          <w:lang w:bidi="fa-IR"/>
        </w:rPr>
        <w:t xml:space="preserve">قَالَ رَجُلٌ لِأَبِي جَعْفَرٍ </w:t>
      </w:r>
      <w:r w:rsidRPr="00005A81">
        <w:rPr>
          <w:rStyle w:val="libAlaemChar"/>
          <w:rtl/>
        </w:rPr>
        <w:t>عليه‌السلام</w:t>
      </w:r>
      <w:r w:rsidRPr="00020424">
        <w:rPr>
          <w:rtl/>
          <w:lang w:bidi="fa-IR"/>
        </w:rPr>
        <w:t xml:space="preserve"> : إِنَّ لِي ضَيْعَةً </w:t>
      </w:r>
      <w:r w:rsidRPr="00A91B96">
        <w:rPr>
          <w:rStyle w:val="libFootnotenumChar"/>
          <w:rtl/>
        </w:rPr>
        <w:t>(3)</w:t>
      </w:r>
      <w:r w:rsidRPr="00020424">
        <w:rPr>
          <w:rtl/>
          <w:lang w:bidi="fa-IR"/>
        </w:rPr>
        <w:t xml:space="preserve"> بِالْجَبَلِ أَسْتَغِلُّهَا </w:t>
      </w:r>
      <w:r w:rsidRPr="00A91B96">
        <w:rPr>
          <w:rStyle w:val="libFootnotenumChar"/>
          <w:rtl/>
        </w:rPr>
        <w:t>(4)</w:t>
      </w:r>
      <w:r w:rsidRPr="00020424">
        <w:rPr>
          <w:rtl/>
          <w:lang w:bidi="fa-IR"/>
        </w:rPr>
        <w:t xml:space="preserve"> فِي كُلِّ سَنَةٍ ثَلَاثَةَ </w:t>
      </w:r>
      <w:r w:rsidRPr="00A91B96">
        <w:rPr>
          <w:rStyle w:val="libFootnotenumChar"/>
          <w:rtl/>
        </w:rPr>
        <w:t>(5)</w:t>
      </w:r>
      <w:r w:rsidRPr="00020424">
        <w:rPr>
          <w:rtl/>
          <w:lang w:bidi="fa-IR"/>
        </w:rPr>
        <w:t xml:space="preserve"> آلَافِ دِرْهَمٍ ، فَأُنْفِقُ عَلى عِيَالِي مِنْهَا أَلْفَيْ دِرْهَمٍ ، وَأَتَصَدَّقُ مِنْهَا بِأَلْفِ </w:t>
      </w:r>
      <w:r w:rsidRPr="00A91B96">
        <w:rPr>
          <w:rStyle w:val="libFootnotenumChar"/>
          <w:rtl/>
        </w:rPr>
        <w:t>(6)</w:t>
      </w:r>
      <w:r w:rsidRPr="00020424">
        <w:rPr>
          <w:rtl/>
          <w:lang w:bidi="fa-IR"/>
        </w:rPr>
        <w:t xml:space="preserve"> دِرْهَمٍ فِي </w:t>
      </w:r>
      <w:r w:rsidRPr="00A91B96">
        <w:rPr>
          <w:rStyle w:val="libFootnotenumChar"/>
          <w:rtl/>
        </w:rPr>
        <w:t>(7)</w:t>
      </w:r>
      <w:r w:rsidRPr="00020424">
        <w:rPr>
          <w:rtl/>
          <w:lang w:bidi="fa-IR"/>
        </w:rPr>
        <w:t xml:space="preserve"> كُلِّ سَنَةٍ.</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(8)</w:t>
      </w:r>
      <w:r w:rsidRPr="00020424">
        <w:rPr>
          <w:rtl/>
          <w:lang w:bidi="fa-IR"/>
        </w:rPr>
        <w:t xml:space="preserve"> أَبُو جَعْفَرٍ </w:t>
      </w:r>
      <w:r w:rsidRPr="00005A81">
        <w:rPr>
          <w:rStyle w:val="libAlaemChar"/>
          <w:rtl/>
        </w:rPr>
        <w:t>عليه‌السلام</w:t>
      </w:r>
      <w:r w:rsidRPr="00020424">
        <w:rPr>
          <w:rtl/>
          <w:lang w:bidi="fa-IR"/>
        </w:rPr>
        <w:t xml:space="preserve"> : « إِنْ كَانَتِ </w:t>
      </w:r>
      <w:r w:rsidRPr="00A91B96">
        <w:rPr>
          <w:rStyle w:val="libFootnotenumChar"/>
          <w:rtl/>
        </w:rPr>
        <w:t>(9)</w:t>
      </w:r>
      <w:r w:rsidRPr="00020424">
        <w:rPr>
          <w:rtl/>
          <w:lang w:bidi="fa-IR"/>
        </w:rPr>
        <w:t xml:space="preserve"> الْأَلْفَانِ تَكْفِيهِمْ فِي جَمِيعِ مَا يَحْتَاجُونَ إِلَيْهِ لِسَنَتِهِمْ ، فَقَدْ نَظَرْتَ لِنَفْسِكَ ، وَوُفِّقْتَ لِرُشْدِكَ ، وَأَجْرَيْتَ نَفْسَكَ فِي حَيَاتِكَ </w:t>
      </w:r>
      <w:r w:rsidRPr="00A91B96">
        <w:rPr>
          <w:rStyle w:val="libFootnotenumChar"/>
          <w:rtl/>
        </w:rPr>
        <w:t>(10)</w:t>
      </w:r>
      <w:r w:rsidRPr="00020424">
        <w:rPr>
          <w:rtl/>
          <w:lang w:bidi="fa-IR"/>
        </w:rPr>
        <w:t xml:space="preserve"> بِمَنْزِلَةِ مَا يُوصِي بِهِ الْحَيُّ عِنْدَ مَوْتِهِ</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A6124A">
        <w:rPr>
          <w:rtl/>
        </w:rPr>
        <w:t>6038</w:t>
      </w:r>
      <w:r w:rsidRPr="001155DE">
        <w:rPr>
          <w:rStyle w:val="libBold2Char"/>
          <w:rtl/>
        </w:rPr>
        <w:t xml:space="preserve"> / 3.</w:t>
      </w:r>
      <w:r w:rsidRPr="00020424">
        <w:rPr>
          <w:rtl/>
          <w:lang w:bidi="fa-IR"/>
        </w:rPr>
        <w:t xml:space="preserve"> مُحَمَّدُ بْنُ يَحْيى ، عَنْ أَحْمَدَ بْنِ مُحَمَّدِ بْنِ عِ</w:t>
      </w:r>
      <w:r w:rsidR="00EB1FD9">
        <w:rPr>
          <w:rtl/>
          <w:lang w:bidi="fa-IR"/>
        </w:rPr>
        <w:t>يسى ، عَنْ مُعَمَّرِ بْنِ خَل</w:t>
      </w:r>
      <w:r w:rsidR="00EB1FD9">
        <w:rPr>
          <w:rFonts w:hint="cs"/>
          <w:rtl/>
          <w:lang w:bidi="fa-IR"/>
        </w:rPr>
        <w:t>َّ</w:t>
      </w:r>
      <w:r w:rsidR="00EB1FD9">
        <w:rPr>
          <w:rtl/>
          <w:lang w:bidi="fa-IR"/>
        </w:rPr>
        <w:t>ا</w:t>
      </w:r>
      <w:r w:rsidRPr="00020424">
        <w:rPr>
          <w:rtl/>
          <w:lang w:bidi="fa-IR"/>
        </w:rPr>
        <w:t>دٍ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يَنْبَغِي لِلرَّجُلِ أَنْ يُوَسِّعَ عَلى عِيَالِهِ كَيْلَا </w:t>
      </w:r>
      <w:r w:rsidRPr="00A91B96">
        <w:rPr>
          <w:rStyle w:val="libFootnotenumChar"/>
          <w:rtl/>
        </w:rPr>
        <w:t>(12)</w:t>
      </w:r>
      <w:r w:rsidRPr="00020424">
        <w:rPr>
          <w:rtl/>
          <w:lang w:bidi="fa-IR"/>
        </w:rPr>
        <w:t xml:space="preserve"> يَتَمَنَّوْا‌</w:t>
      </w:r>
    </w:p>
    <w:p w:rsidR="00992664" w:rsidRPr="00020424" w:rsidRDefault="00992664" w:rsidP="00992664">
      <w:pPr>
        <w:pStyle w:val="libLine"/>
        <w:rPr>
          <w:rtl/>
          <w:lang w:bidi="fa-IR"/>
        </w:rPr>
      </w:pPr>
      <w:r w:rsidRPr="00020424">
        <w:rPr>
          <w:rtl/>
          <w:lang w:bidi="fa-IR"/>
        </w:rPr>
        <w:t>__________________</w:t>
      </w:r>
    </w:p>
    <w:p w:rsidR="00992664" w:rsidRPr="00020424" w:rsidRDefault="00EB1FD9" w:rsidP="00992664">
      <w:pPr>
        <w:pStyle w:val="libFootnote0"/>
        <w:rPr>
          <w:rtl/>
          <w:lang w:bidi="fa-IR"/>
        </w:rPr>
      </w:pPr>
      <w:r>
        <w:rPr>
          <w:rFonts w:hint="cs"/>
          <w:rtl/>
        </w:rPr>
        <w:t xml:space="preserve">= </w:t>
      </w:r>
      <w:r w:rsidR="00992664" w:rsidRPr="00020424">
        <w:rPr>
          <w:rtl/>
        </w:rPr>
        <w:t xml:space="preserve">محبوب ، عن مالك بن عطيّة ، عن عائذ الأحمسي ، عن أبي حمزة الثمالي. </w:t>
      </w:r>
      <w:r w:rsidR="00992664" w:rsidRPr="00DE76B9">
        <w:rPr>
          <w:rStyle w:val="libFootnoteBoldChar"/>
          <w:rtl/>
        </w:rPr>
        <w:t>تحف العقول</w:t>
      </w:r>
      <w:r w:rsidR="00992664" w:rsidRPr="00020424">
        <w:rPr>
          <w:rtl/>
        </w:rPr>
        <w:t xml:space="preserve"> ، ص 279 ، ضمن الحديث </w:t>
      </w:r>
      <w:r>
        <w:rPr>
          <w:rFonts w:hint="cs"/>
          <w:rtl/>
        </w:rPr>
        <w:t>.</w:t>
      </w:r>
      <w:r w:rsidR="00992664" w:rsidRPr="0012008A">
        <w:rPr>
          <w:rStyle w:val="libFootnoteBoldChar"/>
          <w:rtl/>
        </w:rPr>
        <w:t>الوافي</w:t>
      </w:r>
      <w:r w:rsidR="00992664" w:rsidRPr="00020424">
        <w:rPr>
          <w:rtl/>
        </w:rPr>
        <w:t xml:space="preserve"> ، ج 10 ، ص 435 ، ح 9827 ؛ </w:t>
      </w:r>
      <w:r w:rsidR="00992664" w:rsidRPr="0012008A">
        <w:rPr>
          <w:rStyle w:val="libFootnoteBoldChar"/>
          <w:rtl/>
        </w:rPr>
        <w:t>الوسائل</w:t>
      </w:r>
      <w:r w:rsidR="00992664" w:rsidRPr="00020424">
        <w:rPr>
          <w:rtl/>
        </w:rPr>
        <w:t xml:space="preserve"> ، ج 21 ، ص 540 ، ح 27806.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 « عنهما » بدون الواو. والضمير راجع إلى سهل بن زياد وأحمد بن محمّد ، كما هو واضح ؛ فيكون السند معلّقاً.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الضَيْعَةُ » : العقار ، وهو كلّ ملك ثابت له أصل ، كالدار والنخل والأرض ، وربما ا</w:t>
      </w:r>
      <w:r w:rsidR="00EB1FD9">
        <w:rPr>
          <w:rFonts w:hint="cs"/>
          <w:rtl/>
        </w:rPr>
        <w:t>ُ</w:t>
      </w:r>
      <w:r w:rsidR="00992664" w:rsidRPr="00020424">
        <w:rPr>
          <w:rtl/>
        </w:rPr>
        <w:t xml:space="preserve">طلق على المتاع. وقيل : الضيعة : ما منه معاش الرجل ، كالصنعة والزراعة وغير ذلك. </w:t>
      </w:r>
      <w:r w:rsidR="00992664" w:rsidRPr="0012008A">
        <w:rPr>
          <w:rStyle w:val="libFootnoteBoldChar"/>
          <w:rtl/>
        </w:rPr>
        <w:t>الصحاح</w:t>
      </w:r>
      <w:r w:rsidR="00992664" w:rsidRPr="00020424">
        <w:rPr>
          <w:rtl/>
        </w:rPr>
        <w:t xml:space="preserve"> ، ج 3 ، ص 1252 ؛ </w:t>
      </w:r>
      <w:r w:rsidR="00992664" w:rsidRPr="0012008A">
        <w:rPr>
          <w:rStyle w:val="libFootnoteBoldChar"/>
          <w:rtl/>
        </w:rPr>
        <w:t>النهاية</w:t>
      </w:r>
      <w:r w:rsidR="00992664" w:rsidRPr="00020424">
        <w:rPr>
          <w:rtl/>
        </w:rPr>
        <w:t xml:space="preserve"> ، ج 3 ، ص 108 ؛ </w:t>
      </w:r>
      <w:r w:rsidR="00992664" w:rsidRPr="00A722B1">
        <w:rPr>
          <w:rStyle w:val="libFootnoteBoldChar"/>
          <w:rtl/>
        </w:rPr>
        <w:t>المصباح المنير</w:t>
      </w:r>
      <w:r w:rsidR="00992664" w:rsidRPr="00020424">
        <w:rPr>
          <w:rtl/>
        </w:rPr>
        <w:t xml:space="preserve"> ، ص 366 ( ضيع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w:t>
      </w:r>
      <w:r w:rsidR="00992664" w:rsidRPr="00EB1FD9">
        <w:rPr>
          <w:rStyle w:val="libFootnoteBoldChar"/>
          <w:rtl/>
        </w:rPr>
        <w:t>والوسائل</w:t>
      </w:r>
      <w:r w:rsidR="00992664" w:rsidRPr="00020424">
        <w:rPr>
          <w:rtl/>
        </w:rPr>
        <w:t xml:space="preserve"> : « أشتغلها</w:t>
      </w:r>
      <w:r w:rsidR="00992664">
        <w:rPr>
          <w:rtl/>
        </w:rPr>
        <w:t xml:space="preserve"> ».</w:t>
      </w:r>
      <w:r w:rsidR="00992664" w:rsidRPr="00020424">
        <w:rPr>
          <w:rtl/>
        </w:rPr>
        <w:t xml:space="preserve"> واستغلال الضيعة : أخذ غلّتها ، والغلّة : الدخل الذي يحصل من الزرع والثمر واللبن والإجارة والنتاج ونحو ذلك. راجع : </w:t>
      </w:r>
      <w:r w:rsidR="00992664" w:rsidRPr="0012008A">
        <w:rPr>
          <w:rStyle w:val="libFootnoteBoldChar"/>
          <w:rtl/>
        </w:rPr>
        <w:t>الصحاح</w:t>
      </w:r>
      <w:r w:rsidR="00992664" w:rsidRPr="00020424">
        <w:rPr>
          <w:rtl/>
        </w:rPr>
        <w:t xml:space="preserve"> ، ج 5 ، ص 1785 ؛ </w:t>
      </w:r>
      <w:r w:rsidR="00992664" w:rsidRPr="00A722B1">
        <w:rPr>
          <w:rStyle w:val="libFootnoteBoldChar"/>
          <w:rtl/>
        </w:rPr>
        <w:t>لسان العرب</w:t>
      </w:r>
      <w:r w:rsidR="00992664" w:rsidRPr="00020424">
        <w:rPr>
          <w:rtl/>
        </w:rPr>
        <w:t xml:space="preserve"> ، ج 11 ، ص 504 ( غلل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معظم النسخ التي قوبلت </w:t>
      </w:r>
      <w:r w:rsidR="00992664" w:rsidRPr="00EB1FD9">
        <w:rPr>
          <w:rtl/>
        </w:rPr>
        <w:t>والوافي والوسائل</w:t>
      </w:r>
      <w:r w:rsidR="00992664" w:rsidRPr="00020424">
        <w:rPr>
          <w:rtl/>
        </w:rPr>
        <w:t>. وفي « ى » والمطبوع : « ثلاث</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B1FD9" w:rsidTr="00EB1FD9">
        <w:tc>
          <w:tcPr>
            <w:tcW w:w="4006" w:type="dxa"/>
          </w:tcPr>
          <w:p w:rsidR="00EB1FD9" w:rsidRDefault="00EB1FD9" w:rsidP="00992664">
            <w:pPr>
              <w:pStyle w:val="libFootnote0"/>
              <w:rPr>
                <w:rtl/>
              </w:rPr>
            </w:pPr>
            <w:r>
              <w:rPr>
                <w:rtl/>
              </w:rPr>
              <w:t xml:space="preserve">(6). </w:t>
            </w:r>
            <w:r w:rsidRPr="00020424">
              <w:rPr>
                <w:rtl/>
              </w:rPr>
              <w:t>في « ى » : « ألف</w:t>
            </w:r>
            <w:r>
              <w:rPr>
                <w:rtl/>
              </w:rPr>
              <w:t xml:space="preserve"> ».</w:t>
            </w:r>
          </w:p>
        </w:tc>
        <w:tc>
          <w:tcPr>
            <w:tcW w:w="4006" w:type="dxa"/>
          </w:tcPr>
          <w:p w:rsidR="00EB1FD9" w:rsidRDefault="00EB1FD9" w:rsidP="00992664">
            <w:pPr>
              <w:pStyle w:val="libFootnote0"/>
              <w:rPr>
                <w:rtl/>
              </w:rPr>
            </w:pPr>
            <w:r>
              <w:rPr>
                <w:rtl/>
              </w:rPr>
              <w:t xml:space="preserve">(7). </w:t>
            </w:r>
            <w:r w:rsidRPr="00020424">
              <w:rPr>
                <w:rtl/>
              </w:rPr>
              <w:t>في « بح » :</w:t>
            </w:r>
            <w:r>
              <w:rPr>
                <w:rtl/>
              </w:rPr>
              <w:t xml:space="preserve"> - </w:t>
            </w:r>
            <w:r w:rsidRPr="00020424">
              <w:rPr>
                <w:rtl/>
              </w:rPr>
              <w:t>« في</w:t>
            </w:r>
            <w:r>
              <w:rPr>
                <w:rtl/>
              </w:rPr>
              <w:t xml:space="preserve"> ».</w:t>
            </w:r>
          </w:p>
        </w:tc>
      </w:tr>
      <w:tr w:rsidR="00EB1FD9" w:rsidTr="00EB1FD9">
        <w:tc>
          <w:tcPr>
            <w:tcW w:w="4006" w:type="dxa"/>
          </w:tcPr>
          <w:p w:rsidR="00EB1FD9" w:rsidRDefault="00EB1FD9" w:rsidP="00992664">
            <w:pPr>
              <w:pStyle w:val="libFootnote0"/>
              <w:rPr>
                <w:rtl/>
              </w:rPr>
            </w:pPr>
            <w:r>
              <w:rPr>
                <w:rtl/>
              </w:rPr>
              <w:t xml:space="preserve">(8). </w:t>
            </w:r>
            <w:r w:rsidRPr="00020424">
              <w:rPr>
                <w:rtl/>
              </w:rPr>
              <w:t xml:space="preserve">في </w:t>
            </w:r>
            <w:r w:rsidRPr="00EB1FD9">
              <w:rPr>
                <w:rtl/>
              </w:rPr>
              <w:t>الوافي</w:t>
            </w:r>
            <w:r w:rsidRPr="00020424">
              <w:rPr>
                <w:rtl/>
              </w:rPr>
              <w:t xml:space="preserve"> : + « له</w:t>
            </w:r>
            <w:r>
              <w:rPr>
                <w:rtl/>
              </w:rPr>
              <w:t xml:space="preserve"> ».</w:t>
            </w:r>
          </w:p>
        </w:tc>
        <w:tc>
          <w:tcPr>
            <w:tcW w:w="4006" w:type="dxa"/>
          </w:tcPr>
          <w:p w:rsidR="00EB1FD9" w:rsidRDefault="00EB1FD9" w:rsidP="00992664">
            <w:pPr>
              <w:pStyle w:val="libFootnote0"/>
              <w:rPr>
                <w:rtl/>
              </w:rPr>
            </w:pPr>
            <w:r>
              <w:rPr>
                <w:rtl/>
              </w:rPr>
              <w:t xml:space="preserve">(9). </w:t>
            </w:r>
            <w:r w:rsidRPr="00020424">
              <w:rPr>
                <w:rtl/>
              </w:rPr>
              <w:t>في « بث » : « كان</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 حياتك</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435 ، ح 9828 ؛ </w:t>
      </w:r>
      <w:r w:rsidR="00992664" w:rsidRPr="0012008A">
        <w:rPr>
          <w:rStyle w:val="libFootnoteBoldChar"/>
          <w:rtl/>
        </w:rPr>
        <w:t>الوسائل</w:t>
      </w:r>
      <w:r w:rsidR="00992664" w:rsidRPr="00020424">
        <w:rPr>
          <w:rtl/>
        </w:rPr>
        <w:t xml:space="preserve"> ، ج 21 ، ص 542 ، ح 27812.</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بس ، بف » وحاشية « بح ، جن » </w:t>
      </w:r>
      <w:r w:rsidR="00992664" w:rsidRPr="00EB1FD9">
        <w:rPr>
          <w:rtl/>
        </w:rPr>
        <w:t xml:space="preserve">والوافي والوسائل </w:t>
      </w:r>
      <w:r w:rsidR="00992664" w:rsidRPr="00FD6221">
        <w:rPr>
          <w:rStyle w:val="libFootnoteBoldChar"/>
          <w:rtl/>
        </w:rPr>
        <w:t>والفقيه</w:t>
      </w:r>
      <w:r w:rsidR="00992664" w:rsidRPr="00020424">
        <w:rPr>
          <w:rtl/>
        </w:rPr>
        <w:t xml:space="preserve"> </w:t>
      </w:r>
      <w:r w:rsidR="00EB1FD9">
        <w:rPr>
          <w:rtl/>
        </w:rPr>
        <w:t>، ج 2 : « لئل</w:t>
      </w:r>
      <w:r w:rsidR="00EB1FD9">
        <w:rPr>
          <w:rFonts w:hint="cs"/>
          <w:rtl/>
        </w:rPr>
        <w:t>ّ</w:t>
      </w:r>
      <w:r w:rsidR="00EB1FD9">
        <w:rPr>
          <w:rtl/>
        </w:rPr>
        <w:t>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EB1FD9">
      <w:pPr>
        <w:pStyle w:val="libNormal0"/>
        <w:rPr>
          <w:rtl/>
          <w:lang w:bidi="fa-IR"/>
        </w:rPr>
      </w:pPr>
      <w:r w:rsidRPr="00020424">
        <w:rPr>
          <w:rtl/>
          <w:lang w:bidi="fa-IR"/>
        </w:rPr>
        <w:t xml:space="preserve">مَوْتَهُ » وَتَلَا هذِهِ الْآيَةَ : </w:t>
      </w:r>
      <w:r w:rsidRPr="00005A81">
        <w:rPr>
          <w:rStyle w:val="libAlaemChar"/>
          <w:rtl/>
        </w:rPr>
        <w:t>(</w:t>
      </w:r>
      <w:r w:rsidRPr="004E5AB4">
        <w:rPr>
          <w:rStyle w:val="libAieChar"/>
          <w:rtl/>
        </w:rPr>
        <w:t xml:space="preserve"> وَيُطْعِمُونَ الطَّعامَ عَلى حُبِّهِ مِسْكِيناً وَيَتِيماً وَأَسِيراً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قَالَ : « الْأَسِيرُ عِيَالُ الرَّجُلِ ، يَنْبَغِي </w:t>
      </w:r>
      <w:r w:rsidRPr="00A91B96">
        <w:rPr>
          <w:rStyle w:val="libFootnotenumChar"/>
          <w:rtl/>
        </w:rPr>
        <w:t>(2)</w:t>
      </w:r>
      <w:r w:rsidRPr="00020424">
        <w:rPr>
          <w:rtl/>
          <w:lang w:bidi="fa-IR"/>
        </w:rPr>
        <w:t xml:space="preserve"> لِلرَّجُلِ </w:t>
      </w:r>
      <w:r w:rsidRPr="00A91B96">
        <w:rPr>
          <w:rStyle w:val="libFootnotenumChar"/>
          <w:rtl/>
        </w:rPr>
        <w:t>(3)</w:t>
      </w:r>
      <w:r w:rsidRPr="00020424">
        <w:rPr>
          <w:rtl/>
          <w:lang w:bidi="fa-IR"/>
        </w:rPr>
        <w:t xml:space="preserve"> إِذَا زِيدَ فِي النِّعْمَةِ أَنْ يَزِيدَ أُسَرَاءَهُ فِي السَّعَةِ عَلَيْهِمْ</w:t>
      </w:r>
      <w:r>
        <w:rPr>
          <w:rtl/>
          <w:lang w:bidi="fa-IR"/>
        </w:rPr>
        <w:t xml:space="preserve"> ».</w:t>
      </w:r>
    </w:p>
    <w:p w:rsidR="00992664" w:rsidRPr="00020424" w:rsidRDefault="00992664" w:rsidP="00992664">
      <w:pPr>
        <w:pStyle w:val="libNormal"/>
        <w:rPr>
          <w:rtl/>
          <w:lang w:bidi="fa-IR"/>
        </w:rPr>
      </w:pPr>
      <w:r w:rsidRPr="00020424">
        <w:rPr>
          <w:rtl/>
          <w:lang w:bidi="fa-IR"/>
        </w:rPr>
        <w:t>ثُمَّ قَالَ : « إِنَّ فُلَاناً أَنْعَمَ اللهُ عَلَيْهِ بِنِعْمَةٍ ، فَمَنَعَهَا أُسَرَاءَهُ ، وَجَعَلَهَا عِنْدَ فُلَانٍ ، فَذَهَبَ اللهُ بِهَا</w:t>
      </w:r>
      <w:r>
        <w:rPr>
          <w:rtl/>
          <w:lang w:bidi="fa-IR"/>
        </w:rPr>
        <w:t xml:space="preserve"> ».</w:t>
      </w:r>
      <w:r w:rsidRPr="00020424">
        <w:rPr>
          <w:rtl/>
          <w:lang w:bidi="fa-IR"/>
        </w:rPr>
        <w:t xml:space="preserve"> قَالَ مُعَمَّرٌ : وَكَانَ فُلَانٌ حَاضِراً.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6124A">
        <w:rPr>
          <w:rtl/>
        </w:rPr>
        <w:t>6039</w:t>
      </w:r>
      <w:r w:rsidRPr="001155DE">
        <w:rPr>
          <w:rStyle w:val="libBold2Char"/>
          <w:rtl/>
        </w:rPr>
        <w:t xml:space="preserve"> / 4.</w:t>
      </w:r>
      <w:r w:rsidRPr="00020424">
        <w:rPr>
          <w:rtl/>
          <w:lang w:bidi="fa-IR"/>
        </w:rPr>
        <w:t xml:space="preserve"> عَلِيُّ بْنُ إِبْرَاهِيمَ ، عَنْ أَبِيهِ ، عَنِ ابْنِ أَبِي عُمَيْرٍ ، عَنْ حَمَّادِ بْنِ عُثْمَانَ ، عَنِ الرَّبِيعِ بْنِ يَزِيدَ </w:t>
      </w:r>
      <w:r w:rsidRPr="00A91B96">
        <w:rPr>
          <w:rStyle w:val="libFootnotenumChar"/>
          <w:rtl/>
        </w:rPr>
        <w:t>(5)</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الْيَدُ الْعُلْيَا خَيْرٌ مِنَ الْيَدِ السُّفْلى </w:t>
      </w:r>
      <w:r w:rsidRPr="00A91B96">
        <w:rPr>
          <w:rStyle w:val="libFootnotenumChar"/>
          <w:rtl/>
        </w:rPr>
        <w:t>(6)</w:t>
      </w:r>
      <w:r w:rsidRPr="00020424">
        <w:rPr>
          <w:rtl/>
          <w:lang w:bidi="fa-IR"/>
        </w:rPr>
        <w:t xml:space="preserve"> ، وَابْدَأْ بِمَنْ تَعُولُ</w:t>
      </w:r>
      <w:r>
        <w:rPr>
          <w:rtl/>
          <w:lang w:bidi="fa-IR"/>
        </w:rPr>
        <w:t>».</w:t>
      </w:r>
      <w:r w:rsidRPr="00A91B96">
        <w:rPr>
          <w:rStyle w:val="libFootnotenumChar"/>
          <w:rtl/>
        </w:rPr>
        <w:t>(7)</w:t>
      </w:r>
      <w:r w:rsidRPr="00020424">
        <w:rPr>
          <w:rtl/>
          <w:lang w:bidi="fa-IR"/>
        </w:rPr>
        <w:t>‌</w:t>
      </w:r>
    </w:p>
    <w:p w:rsidR="00992664" w:rsidRPr="00020424" w:rsidRDefault="00992664" w:rsidP="00992664">
      <w:pPr>
        <w:pStyle w:val="libNormal"/>
        <w:rPr>
          <w:rtl/>
          <w:lang w:bidi="fa-IR"/>
        </w:rPr>
      </w:pPr>
      <w:r w:rsidRPr="00A6124A">
        <w:rPr>
          <w:rtl/>
        </w:rPr>
        <w:t>6040</w:t>
      </w:r>
      <w:r w:rsidRPr="001155DE">
        <w:rPr>
          <w:rStyle w:val="libBold2Char"/>
          <w:rtl/>
        </w:rPr>
        <w:t xml:space="preserve"> / 5.</w:t>
      </w:r>
      <w:r w:rsidRPr="00020424">
        <w:rPr>
          <w:rtl/>
          <w:lang w:bidi="fa-IR"/>
        </w:rPr>
        <w:t xml:space="preserve"> عِدَّةٌ مِنْ أَصْحَابِنَا ، عَنْ سَهْلِ بْنِ زِيَادٍ ، عَنِ ابْنِ أَبِي نَصْرٍ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66432" w:rsidTr="00666432">
        <w:tc>
          <w:tcPr>
            <w:tcW w:w="4006" w:type="dxa"/>
          </w:tcPr>
          <w:p w:rsidR="00666432" w:rsidRDefault="00666432" w:rsidP="00992664">
            <w:pPr>
              <w:pStyle w:val="libFootnote0"/>
              <w:rPr>
                <w:rtl/>
              </w:rPr>
            </w:pPr>
            <w:r>
              <w:rPr>
                <w:rtl/>
              </w:rPr>
              <w:t xml:space="preserve">(1). </w:t>
            </w:r>
            <w:r w:rsidRPr="00020424">
              <w:rPr>
                <w:rtl/>
              </w:rPr>
              <w:t>الإنسان (76) : 8.</w:t>
            </w:r>
          </w:p>
        </w:tc>
        <w:tc>
          <w:tcPr>
            <w:tcW w:w="4006" w:type="dxa"/>
          </w:tcPr>
          <w:p w:rsidR="00666432" w:rsidRDefault="00666432" w:rsidP="00992664">
            <w:pPr>
              <w:pStyle w:val="libFootnote0"/>
              <w:rPr>
                <w:rtl/>
              </w:rPr>
            </w:pPr>
            <w:r>
              <w:rPr>
                <w:rtl/>
              </w:rPr>
              <w:t xml:space="preserve">(2). </w:t>
            </w:r>
            <w:r w:rsidRPr="00020424">
              <w:rPr>
                <w:rtl/>
              </w:rPr>
              <w:t xml:space="preserve">في « بث ، بخ ، بر » </w:t>
            </w:r>
            <w:r w:rsidRPr="00666432">
              <w:rPr>
                <w:rtl/>
              </w:rPr>
              <w:t>والوافي</w:t>
            </w:r>
            <w:r w:rsidRPr="00020424">
              <w:rPr>
                <w:rtl/>
              </w:rPr>
              <w:t xml:space="preserve"> : « فينبغي</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666432">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للرجل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4 ، ص 402 ، ح 5867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442 ، المجلس 68 ، ح 3 ، بسند آخر عن موسى‌بن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3 ، ص 556 ، ح 4910 ، مرسلاً عن موسى‌بن جعفر </w:t>
      </w:r>
      <w:r w:rsidR="00992664" w:rsidRPr="00D64ADA">
        <w:rPr>
          <w:rStyle w:val="libFootnoteAlaemChar"/>
          <w:rtl/>
        </w:rPr>
        <w:t>عليه‌السلام</w:t>
      </w:r>
      <w:r w:rsidR="00992664" w:rsidRPr="00020424">
        <w:rPr>
          <w:rtl/>
        </w:rPr>
        <w:t xml:space="preserve"> ، وفي كلّ المصادر من قوله : « الأسير عيال الرجل » مع اختلاف يسير ؛ </w:t>
      </w:r>
      <w:r w:rsidR="00992664" w:rsidRPr="0012008A">
        <w:rPr>
          <w:rStyle w:val="libFootnoteBoldChar"/>
          <w:rtl/>
        </w:rPr>
        <w:t>الفقيه</w:t>
      </w:r>
      <w:r w:rsidR="00992664" w:rsidRPr="00020424">
        <w:rPr>
          <w:rtl/>
        </w:rPr>
        <w:t xml:space="preserve"> ، ج 2 ، ص 68 ، ح 1742 ، مرسلاً عن أبي الحسن الرضا </w:t>
      </w:r>
      <w:r w:rsidR="00992664" w:rsidRPr="00D64ADA">
        <w:rPr>
          <w:rStyle w:val="libFootnoteAlaemChar"/>
          <w:rtl/>
        </w:rPr>
        <w:t>عليه‌السلام</w:t>
      </w:r>
      <w:r w:rsidR="00992664" w:rsidRPr="00020424">
        <w:rPr>
          <w:rtl/>
        </w:rPr>
        <w:t xml:space="preserve"> ، مع اختلاف يسير </w:t>
      </w:r>
      <w:r w:rsidR="00666432">
        <w:rPr>
          <w:rFonts w:hint="cs"/>
          <w:rtl/>
        </w:rPr>
        <w:t>.</w:t>
      </w:r>
      <w:r w:rsidR="00992664" w:rsidRPr="0012008A">
        <w:rPr>
          <w:rStyle w:val="libFootnoteBoldChar"/>
          <w:rtl/>
        </w:rPr>
        <w:t>الوافي</w:t>
      </w:r>
      <w:r w:rsidR="00992664" w:rsidRPr="00020424">
        <w:rPr>
          <w:rtl/>
        </w:rPr>
        <w:t xml:space="preserve"> ، ج 10 ، ص 436 ، ح 9829 ؛ </w:t>
      </w:r>
      <w:r w:rsidR="00992664" w:rsidRPr="0012008A">
        <w:rPr>
          <w:rStyle w:val="libFootnoteBoldChar"/>
          <w:rtl/>
        </w:rPr>
        <w:t>الوسائل</w:t>
      </w:r>
      <w:r w:rsidR="00992664" w:rsidRPr="00020424">
        <w:rPr>
          <w:rtl/>
        </w:rPr>
        <w:t xml:space="preserve"> ، ج 21 ، ص 540 ، ح 27805 ، إلى قوله : « أن يزيد ا</w:t>
      </w:r>
      <w:r w:rsidR="00666432">
        <w:rPr>
          <w:rFonts w:hint="cs"/>
          <w:rtl/>
        </w:rPr>
        <w:t>ُ</w:t>
      </w:r>
      <w:r w:rsidR="00992664" w:rsidRPr="00020424">
        <w:rPr>
          <w:rtl/>
        </w:rPr>
        <w:t>سراءه في السعة عليهم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 « أبي الربيع بن يزيد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اليد العليا » : المتعفّفة ، أو المنفقة. والسفلى : السائلة. وقيل : العليا : المعطية. والسفلى : الآخذة. وقيل : السفلى : المانعة. راجع : </w:t>
      </w:r>
      <w:r w:rsidR="00992664" w:rsidRPr="0012008A">
        <w:rPr>
          <w:rStyle w:val="libFootnoteBoldChar"/>
          <w:rtl/>
        </w:rPr>
        <w:t>النهاية</w:t>
      </w:r>
      <w:r w:rsidR="00992664" w:rsidRPr="00020424">
        <w:rPr>
          <w:rtl/>
        </w:rPr>
        <w:t xml:space="preserve"> ، ج 3 ، ص 294 ؛ </w:t>
      </w:r>
      <w:r w:rsidR="00992664" w:rsidRPr="00A722B1">
        <w:rPr>
          <w:rStyle w:val="libFootnoteBoldChar"/>
          <w:rtl/>
        </w:rPr>
        <w:t>لسان العرب</w:t>
      </w:r>
      <w:r w:rsidR="00992664" w:rsidRPr="00020424">
        <w:rPr>
          <w:rtl/>
        </w:rPr>
        <w:t xml:space="preserve"> ، ج 15 ، ص 86 ( علا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الكافي</w:t>
      </w:r>
      <w:r w:rsidR="00992664" w:rsidRPr="00020424">
        <w:rPr>
          <w:rtl/>
        </w:rPr>
        <w:t xml:space="preserve"> ، كتاب الزكاة ، باب الإيثار ، ذيل ح 6071 ، بسند آخر. </w:t>
      </w:r>
      <w:r w:rsidR="00992664" w:rsidRPr="00DE76B9">
        <w:rPr>
          <w:rStyle w:val="libFootnoteBoldChar"/>
          <w:rtl/>
        </w:rPr>
        <w:t>وفيه</w:t>
      </w:r>
      <w:r w:rsidR="00992664" w:rsidRPr="00020424">
        <w:rPr>
          <w:rtl/>
        </w:rPr>
        <w:t xml:space="preserve"> ، باب فضل المعروف ، ح 6095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وزيادة في أوّله وآخره. </w:t>
      </w:r>
      <w:r w:rsidR="00992664" w:rsidRPr="00DE76B9">
        <w:rPr>
          <w:rStyle w:val="libFootnoteBoldChar"/>
          <w:rtl/>
        </w:rPr>
        <w:t>المؤمن</w:t>
      </w:r>
      <w:r w:rsidR="00992664" w:rsidRPr="00020424">
        <w:rPr>
          <w:rtl/>
        </w:rPr>
        <w:t xml:space="preserve"> ، ص 44 ، ذيل ح 102 ، مرسلاً من دون التصريح باسم المعصوم </w:t>
      </w:r>
      <w:r w:rsidR="00992664" w:rsidRPr="00D64ADA">
        <w:rPr>
          <w:rStyle w:val="libFootnoteAlaemChar"/>
          <w:rtl/>
        </w:rPr>
        <w:t>عليه‌السلام</w:t>
      </w:r>
      <w:r w:rsidR="00992664" w:rsidRPr="00020424">
        <w:rPr>
          <w:rtl/>
        </w:rPr>
        <w:t xml:space="preserve"> ، مع اختلاف يسير. وفي </w:t>
      </w:r>
      <w:r w:rsidR="00992664" w:rsidRPr="0012008A">
        <w:rPr>
          <w:rStyle w:val="libFootnoteBoldChar"/>
          <w:rtl/>
        </w:rPr>
        <w:t>الفقيه</w:t>
      </w:r>
      <w:r w:rsidR="00992664" w:rsidRPr="00020424">
        <w:rPr>
          <w:rtl/>
        </w:rPr>
        <w:t xml:space="preserve"> ، ج 4 ، ص 376 ، ح 5763 ؛ </w:t>
      </w:r>
      <w:r w:rsidR="00992664" w:rsidRPr="00EB1FD9">
        <w:rPr>
          <w:rStyle w:val="libFootnoteBoldChar"/>
          <w:rtl/>
        </w:rPr>
        <w:t>وتفسير القمّي</w:t>
      </w:r>
      <w:r w:rsidR="00992664" w:rsidRPr="00020424">
        <w:rPr>
          <w:rtl/>
        </w:rPr>
        <w:t xml:space="preserve"> ، ج 1 ، ص 291 ، ضمن الحديث ؛ </w:t>
      </w:r>
      <w:r w:rsidR="00992664" w:rsidRPr="00666432">
        <w:rPr>
          <w:rStyle w:val="libFootnoteBoldChar"/>
          <w:rtl/>
        </w:rPr>
        <w:t>والاختصاص</w:t>
      </w:r>
      <w:r w:rsidR="00992664" w:rsidRPr="00020424">
        <w:rPr>
          <w:rtl/>
        </w:rPr>
        <w:t xml:space="preserve"> ، ص 342 ، ضمن الحديث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وتمام الرواية هكذا : « اليد العليا خير من اليد السفلى</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56 ، ح 1688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وآخره. </w:t>
      </w:r>
      <w:r w:rsidR="00992664" w:rsidRPr="00DE76B9">
        <w:rPr>
          <w:rStyle w:val="libFootnoteBoldChar"/>
          <w:rtl/>
        </w:rPr>
        <w:t>تحف العقول</w:t>
      </w:r>
      <w:r w:rsidR="00992664" w:rsidRPr="00020424">
        <w:rPr>
          <w:rtl/>
        </w:rPr>
        <w:t xml:space="preserve"> ، ص 380 ؛ ضمن الحديث عن الصادق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666432">
        <w:rPr>
          <w:rFonts w:hint="cs"/>
          <w:rtl/>
        </w:rPr>
        <w:t>.</w:t>
      </w:r>
      <w:r w:rsidR="00992664" w:rsidRPr="0012008A">
        <w:rPr>
          <w:rStyle w:val="libFootnoteBoldChar"/>
          <w:rtl/>
        </w:rPr>
        <w:t>الوافي</w:t>
      </w:r>
      <w:r w:rsidR="00992664" w:rsidRPr="00020424">
        <w:rPr>
          <w:rtl/>
        </w:rPr>
        <w:t xml:space="preserve"> ، ج 10 ، ص 437 ، ح 9831 ؛ </w:t>
      </w:r>
      <w:r w:rsidR="00992664" w:rsidRPr="0012008A">
        <w:rPr>
          <w:rStyle w:val="libFootnoteBoldChar"/>
          <w:rtl/>
        </w:rPr>
        <w:t>الوسائل</w:t>
      </w:r>
      <w:r w:rsidR="00992664" w:rsidRPr="00020424">
        <w:rPr>
          <w:rtl/>
        </w:rPr>
        <w:t xml:space="preserve"> ، ج 21 ، ص 542 ، ح 27813.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الرِّضَا </w:t>
      </w:r>
      <w:r w:rsidRPr="00005A81">
        <w:rPr>
          <w:rStyle w:val="libAlaemChar"/>
          <w:rtl/>
        </w:rPr>
        <w:t>عليه‌السلام</w:t>
      </w:r>
      <w:r w:rsidRPr="00020424">
        <w:rPr>
          <w:rtl/>
          <w:lang w:bidi="fa-IR"/>
        </w:rPr>
        <w:t xml:space="preserve"> ، قَالَ : قَالَ : « صَاحِبُ النِّعْمَةِ يَجِبُ عَلَيْهِ التَّوْسِعَةُ </w:t>
      </w:r>
      <w:r w:rsidRPr="00A91B96">
        <w:rPr>
          <w:rStyle w:val="libFootnotenumChar"/>
          <w:rtl/>
        </w:rPr>
        <w:t>(1)</w:t>
      </w:r>
      <w:r w:rsidRPr="00020424">
        <w:rPr>
          <w:rtl/>
          <w:lang w:bidi="fa-IR"/>
        </w:rPr>
        <w:t xml:space="preserve"> على </w:t>
      </w:r>
      <w:r w:rsidRPr="00A91B96">
        <w:rPr>
          <w:rStyle w:val="libFootnotenumChar"/>
          <w:rtl/>
        </w:rPr>
        <w:t>(2)</w:t>
      </w:r>
      <w:r w:rsidRPr="00020424">
        <w:rPr>
          <w:rtl/>
          <w:lang w:bidi="fa-IR"/>
        </w:rPr>
        <w:t xml:space="preserve"> عِيَالِهِ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6124A">
        <w:rPr>
          <w:rtl/>
        </w:rPr>
        <w:t>6041</w:t>
      </w:r>
      <w:r w:rsidRPr="001155DE">
        <w:rPr>
          <w:rStyle w:val="libBold2Char"/>
          <w:rtl/>
        </w:rPr>
        <w:t xml:space="preserve"> / 6.</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الْمُؤْمِنُ يَأْكُلُ بِشَهْوَةِ أَهْلِهِ </w:t>
      </w:r>
      <w:r w:rsidRPr="00A91B96">
        <w:rPr>
          <w:rStyle w:val="libFootnotenumChar"/>
          <w:rtl/>
        </w:rPr>
        <w:t>(4)</w:t>
      </w:r>
      <w:r w:rsidRPr="00020424">
        <w:rPr>
          <w:rtl/>
          <w:lang w:bidi="fa-IR"/>
        </w:rPr>
        <w:t xml:space="preserve"> ، وَالْمُنَافِقُ يَأْكُلُ أَهْلُهُ بِشَهْوَتِهِ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A6124A">
        <w:rPr>
          <w:rStyle w:val="PageNumber"/>
          <w:rtl/>
        </w:rPr>
        <w:t>6042</w:t>
      </w:r>
      <w:r w:rsidRPr="001155DE">
        <w:rPr>
          <w:rStyle w:val="libBold2Char"/>
          <w:rtl/>
        </w:rPr>
        <w:t xml:space="preserve"> / 7.</w:t>
      </w:r>
      <w:r w:rsidRPr="00020424">
        <w:rPr>
          <w:rtl/>
          <w:lang w:bidi="fa-IR"/>
        </w:rPr>
        <w:t xml:space="preserve"> سَهْلُ بْنُ زِيَادٍ </w:t>
      </w:r>
      <w:r w:rsidRPr="00A91B96">
        <w:rPr>
          <w:rStyle w:val="libFootnotenumChar"/>
          <w:rtl/>
        </w:rPr>
        <w:t>(6)</w:t>
      </w:r>
      <w:r w:rsidRPr="00020424">
        <w:rPr>
          <w:rtl/>
          <w:lang w:bidi="fa-IR"/>
        </w:rPr>
        <w:t xml:space="preserve"> ، عَنْ عَلِيِّ </w:t>
      </w:r>
      <w:r w:rsidRPr="00A91B96">
        <w:rPr>
          <w:rStyle w:val="libFootnotenumChar"/>
          <w:rtl/>
        </w:rPr>
        <w:t>(7)</w:t>
      </w:r>
      <w:r w:rsidRPr="00020424">
        <w:rPr>
          <w:rtl/>
          <w:lang w:bidi="fa-IR"/>
        </w:rPr>
        <w:t xml:space="preserve"> بْنِ أَسْبَاطٍ ، عَنْ أَبِيهِ :</w:t>
      </w:r>
    </w:p>
    <w:p w:rsidR="00992664" w:rsidRPr="00020424" w:rsidRDefault="00992664" w:rsidP="00992664">
      <w:pPr>
        <w:pStyle w:val="libNormal"/>
        <w:rPr>
          <w:rtl/>
          <w:lang w:bidi="fa-IR"/>
        </w:rPr>
      </w:pPr>
      <w:r w:rsidRPr="00020424">
        <w:rPr>
          <w:rtl/>
          <w:lang w:bidi="fa-IR"/>
        </w:rPr>
        <w:t xml:space="preserve">أَنَّ أَبَا عَبْدِ اللهِ </w:t>
      </w:r>
      <w:r w:rsidRPr="00005A81">
        <w:rPr>
          <w:rStyle w:val="libAlaemChar"/>
          <w:rtl/>
        </w:rPr>
        <w:t>عليه‌السلام</w:t>
      </w:r>
      <w:r>
        <w:rPr>
          <w:rtl/>
          <w:lang w:bidi="fa-IR"/>
        </w:rPr>
        <w:t xml:space="preserve"> سُئِلَ : أَ</w:t>
      </w:r>
      <w:r w:rsidRPr="00020424">
        <w:rPr>
          <w:rtl/>
          <w:lang w:bidi="fa-IR"/>
        </w:rPr>
        <w:t xml:space="preserve">كَانَ رَسُولُ اللهِ </w:t>
      </w:r>
      <w:r w:rsidR="00B42914" w:rsidRPr="00B42914">
        <w:rPr>
          <w:rStyle w:val="libAlaemChar"/>
          <w:rtl/>
        </w:rPr>
        <w:t>صلى‌الله‌عليه‌وآله‌</w:t>
      </w:r>
      <w:r w:rsidRPr="00020424">
        <w:rPr>
          <w:rtl/>
          <w:lang w:bidi="fa-IR"/>
        </w:rPr>
        <w:t xml:space="preserve"> يَقُوتُ عِيَالَهُ </w:t>
      </w:r>
      <w:r w:rsidRPr="00A91B96">
        <w:rPr>
          <w:rStyle w:val="libFootnotenumChar"/>
          <w:rtl/>
        </w:rPr>
        <w:t>(8)</w:t>
      </w:r>
      <w:r w:rsidRPr="00020424">
        <w:rPr>
          <w:rtl/>
          <w:lang w:bidi="fa-IR"/>
        </w:rPr>
        <w:t xml:space="preserve"> قُوتاً مَعْرُوفاً</w:t>
      </w:r>
      <w:r>
        <w:rPr>
          <w:rtl/>
          <w:lang w:bidi="fa-IR"/>
        </w:rPr>
        <w:t>؟</w:t>
      </w:r>
    </w:p>
    <w:p w:rsidR="00992664" w:rsidRPr="00020424" w:rsidRDefault="00992664" w:rsidP="00992664">
      <w:pPr>
        <w:pStyle w:val="libNormal"/>
        <w:rPr>
          <w:rtl/>
          <w:lang w:bidi="fa-IR"/>
        </w:rPr>
      </w:pPr>
      <w:r w:rsidRPr="00020424">
        <w:rPr>
          <w:rtl/>
          <w:lang w:bidi="fa-IR"/>
        </w:rPr>
        <w:t>قَالَ : « نَعَمْ ، إِنَّ النَّفْسَ إِذَا عَرَفَتْ قُوتَهَا قَنِعَتْ بِهِ ، وَنَبَتَ عَلَيْهِ اللَّحْمُ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A6124A">
        <w:rPr>
          <w:rtl/>
        </w:rPr>
        <w:t>6043</w:t>
      </w:r>
      <w:r w:rsidRPr="001155DE">
        <w:rPr>
          <w:rStyle w:val="libBold2Char"/>
          <w:rtl/>
        </w:rPr>
        <w:t xml:space="preserve"> / 8.</w:t>
      </w:r>
      <w:r w:rsidRPr="00020424">
        <w:rPr>
          <w:rtl/>
          <w:lang w:bidi="fa-IR"/>
        </w:rPr>
        <w:t xml:space="preserve"> عَلِيُّ بْنُ إِبْرَاهِيمَ ، عَنْ أَبِيهِ ، عَنِ ابْنِ أَبِي عُمَيْرٍ ، عَنْ هِشَامِ بْنِ سَالِمٍ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كَفى بِالْمَرْءِ إِثْماً أَنْ يُضَيِّعَ مَنْ يَعُولُهُ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A6124A">
        <w:rPr>
          <w:rtl/>
        </w:rPr>
        <w:t>6044</w:t>
      </w:r>
      <w:r w:rsidRPr="001155DE">
        <w:rPr>
          <w:rStyle w:val="libBold2Char"/>
          <w:rtl/>
        </w:rPr>
        <w:t xml:space="preserve"> / 9.</w:t>
      </w:r>
      <w:r w:rsidRPr="00020424">
        <w:rPr>
          <w:rtl/>
          <w:lang w:bidi="fa-IR"/>
        </w:rPr>
        <w:t xml:space="preserve"> عِدَّةٌ مِنْ أَصْحَابِنَا ، عَنْ أَحْمَدَ بْنِ أَبِي عَبْدِ اللهِ ، عَنْ أَبِي الْخَزْرَجِ الْأَنْصَارِيِّ ، عَنْ عَلِيِّ بْنِ غُرَابٍ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مَلْعُونٌ مَلْعُونٌ </w:t>
      </w:r>
      <w:r w:rsidRPr="00A91B96">
        <w:rPr>
          <w:rStyle w:val="libFootnotenumChar"/>
          <w:rtl/>
        </w:rPr>
        <w:t>(12)</w:t>
      </w:r>
      <w:r w:rsidRPr="00020424">
        <w:rPr>
          <w:rtl/>
          <w:lang w:bidi="fa-IR"/>
        </w:rPr>
        <w:t xml:space="preserve"> مَنْ أَلْقى‌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التوسّع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A214E8">
        <w:rPr>
          <w:rtl/>
        </w:rPr>
        <w:t>والوافي والوسائل</w:t>
      </w:r>
      <w:r w:rsidR="00992664" w:rsidRPr="00020424">
        <w:rPr>
          <w:rtl/>
        </w:rPr>
        <w:t>. وفي المطبوع : « عن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تحف العقول</w:t>
      </w:r>
      <w:r w:rsidR="00992664" w:rsidRPr="00020424">
        <w:rPr>
          <w:rtl/>
        </w:rPr>
        <w:t xml:space="preserve"> ، ص 442 </w:t>
      </w:r>
      <w:r w:rsidR="00A214E8">
        <w:rPr>
          <w:rFonts w:hint="cs"/>
          <w:rtl/>
        </w:rPr>
        <w:t>.</w:t>
      </w:r>
      <w:r w:rsidR="00992664" w:rsidRPr="0012008A">
        <w:rPr>
          <w:rStyle w:val="libFootnoteBoldChar"/>
          <w:rtl/>
        </w:rPr>
        <w:t>الوافي</w:t>
      </w:r>
      <w:r w:rsidR="00992664" w:rsidRPr="00020424">
        <w:rPr>
          <w:rtl/>
        </w:rPr>
        <w:t xml:space="preserve"> ، ج 10 ، ص 437 ، ح 9832 ؛ </w:t>
      </w:r>
      <w:r w:rsidR="00992664" w:rsidRPr="0012008A">
        <w:rPr>
          <w:rStyle w:val="libFootnoteBoldChar"/>
          <w:rtl/>
        </w:rPr>
        <w:t>الوسائل</w:t>
      </w:r>
      <w:r w:rsidR="00992664" w:rsidRPr="00020424">
        <w:rPr>
          <w:rtl/>
        </w:rPr>
        <w:t xml:space="preserve"> ، ج 21 ، ص 540 ، ح 27807.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وحاشية « جن » </w:t>
      </w:r>
      <w:r w:rsidR="00992664" w:rsidRPr="00A214E8">
        <w:rPr>
          <w:rtl/>
        </w:rPr>
        <w:t>والوسائل</w:t>
      </w:r>
      <w:r w:rsidR="00992664" w:rsidRPr="00020424">
        <w:rPr>
          <w:rtl/>
        </w:rPr>
        <w:t xml:space="preserve"> : « عياله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437 ، ح 9833 ؛ </w:t>
      </w:r>
      <w:r w:rsidR="00992664" w:rsidRPr="0012008A">
        <w:rPr>
          <w:rStyle w:val="libFootnoteBoldChar"/>
          <w:rtl/>
        </w:rPr>
        <w:t>الوسائل</w:t>
      </w:r>
      <w:r w:rsidR="00992664" w:rsidRPr="00020424">
        <w:rPr>
          <w:rtl/>
        </w:rPr>
        <w:t xml:space="preserve"> ، ج 21 ، ص 542 ، ح 27814.</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السند معلّق على سند الحديث الخامس. ويروي عن سهل بن زياد ، عدّة من أصحابنا.</w:t>
      </w:r>
    </w:p>
    <w:tbl>
      <w:tblPr>
        <w:tblStyle w:val="TableGrid"/>
        <w:bidiVisual/>
        <w:tblW w:w="0" w:type="auto"/>
        <w:tblLook w:val="04A0" w:firstRow="1" w:lastRow="0" w:firstColumn="1" w:lastColumn="0" w:noHBand="0" w:noVBand="1"/>
      </w:tblPr>
      <w:tblGrid>
        <w:gridCol w:w="4006"/>
        <w:gridCol w:w="4006"/>
      </w:tblGrid>
      <w:tr w:rsidR="00A214E8" w:rsidTr="00A214E8">
        <w:tc>
          <w:tcPr>
            <w:tcW w:w="4006" w:type="dxa"/>
          </w:tcPr>
          <w:p w:rsidR="00A214E8" w:rsidRDefault="00FD6221" w:rsidP="00992664">
            <w:pPr>
              <w:pStyle w:val="libFootnote0"/>
              <w:rPr>
                <w:rtl/>
              </w:rPr>
            </w:pPr>
            <w:r>
              <w:rPr>
                <w:rtl/>
              </w:rPr>
              <w:t xml:space="preserve">(7). </w:t>
            </w:r>
            <w:r w:rsidRPr="00020424">
              <w:rPr>
                <w:rtl/>
              </w:rPr>
              <w:t>في « جن » :</w:t>
            </w:r>
            <w:r>
              <w:rPr>
                <w:rtl/>
              </w:rPr>
              <w:t xml:space="preserve"> - </w:t>
            </w:r>
            <w:r w:rsidRPr="00020424">
              <w:rPr>
                <w:rtl/>
              </w:rPr>
              <w:t>« عليّ</w:t>
            </w:r>
            <w:r>
              <w:rPr>
                <w:rtl/>
              </w:rPr>
              <w:t xml:space="preserve"> ».</w:t>
            </w:r>
          </w:p>
        </w:tc>
        <w:tc>
          <w:tcPr>
            <w:tcW w:w="4006" w:type="dxa"/>
          </w:tcPr>
          <w:p w:rsidR="00A214E8" w:rsidRDefault="00FD6221" w:rsidP="00992664">
            <w:pPr>
              <w:pStyle w:val="libFootnote0"/>
              <w:rPr>
                <w:rtl/>
              </w:rPr>
            </w:pPr>
            <w:r>
              <w:rPr>
                <w:rtl/>
              </w:rPr>
              <w:t xml:space="preserve">(8). </w:t>
            </w:r>
            <w:r w:rsidRPr="00020424">
              <w:rPr>
                <w:rtl/>
              </w:rPr>
              <w:t xml:space="preserve">في « بث ، بخ ، بف » </w:t>
            </w:r>
            <w:r w:rsidRPr="00FD6221">
              <w:rPr>
                <w:rtl/>
              </w:rPr>
              <w:t>والوافي</w:t>
            </w:r>
            <w:r w:rsidRPr="00020424">
              <w:rPr>
                <w:rtl/>
              </w:rPr>
              <w:t xml:space="preserve"> : « أهله</w:t>
            </w:r>
            <w:r>
              <w:rPr>
                <w:rtl/>
              </w:rPr>
              <w:t xml:space="preserve"> ».</w:t>
            </w:r>
          </w:p>
        </w:tc>
      </w:tr>
      <w:tr w:rsidR="00A214E8" w:rsidTr="00A214E8">
        <w:tc>
          <w:tcPr>
            <w:tcW w:w="4006" w:type="dxa"/>
          </w:tcPr>
          <w:p w:rsidR="00A214E8" w:rsidRDefault="00FD6221" w:rsidP="00992664">
            <w:pPr>
              <w:pStyle w:val="libFootnote0"/>
              <w:rPr>
                <w:rtl/>
              </w:rPr>
            </w:pPr>
            <w:r>
              <w:rPr>
                <w:rtl/>
              </w:rPr>
              <w:t xml:space="preserve">(9). </w:t>
            </w:r>
            <w:r w:rsidRPr="0012008A">
              <w:rPr>
                <w:rStyle w:val="libFootnoteBoldChar"/>
                <w:rtl/>
              </w:rPr>
              <w:t>الوافي</w:t>
            </w:r>
            <w:r w:rsidRPr="00020424">
              <w:rPr>
                <w:rtl/>
              </w:rPr>
              <w:t xml:space="preserve"> ، ج 10 ، ص 437 ، ح 9834.</w:t>
            </w:r>
          </w:p>
        </w:tc>
        <w:tc>
          <w:tcPr>
            <w:tcW w:w="4006" w:type="dxa"/>
          </w:tcPr>
          <w:p w:rsidR="00A214E8" w:rsidRDefault="00FD6221" w:rsidP="00992664">
            <w:pPr>
              <w:pStyle w:val="libFootnote0"/>
              <w:rPr>
                <w:rtl/>
              </w:rPr>
            </w:pPr>
            <w:r>
              <w:rPr>
                <w:rtl/>
              </w:rPr>
              <w:t xml:space="preserve">(10). </w:t>
            </w:r>
            <w:r w:rsidRPr="00020424">
              <w:rPr>
                <w:rtl/>
              </w:rPr>
              <w:t xml:space="preserve">في « ظ ، بح » </w:t>
            </w:r>
            <w:r w:rsidRPr="00FD6221">
              <w:rPr>
                <w:rStyle w:val="libFootnoteBoldChar"/>
                <w:rtl/>
              </w:rPr>
              <w:t>والفقيه</w:t>
            </w:r>
            <w:r w:rsidRPr="00020424">
              <w:rPr>
                <w:rtl/>
              </w:rPr>
              <w:t xml:space="preserve"> : « يعول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الجعفريّات</w:t>
      </w:r>
      <w:r w:rsidR="00992664" w:rsidRPr="00020424">
        <w:rPr>
          <w:rtl/>
        </w:rPr>
        <w:t xml:space="preserve"> ، ص 165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3 ، ص 168 ، ح 3629 ، مرسلاً من دون التصريح باسم المعصوم </w:t>
      </w:r>
      <w:r w:rsidR="00992664" w:rsidRPr="00D64ADA">
        <w:rPr>
          <w:rStyle w:val="libFootnoteAlaemChar"/>
          <w:rtl/>
        </w:rPr>
        <w:t>عليه‌السلام</w:t>
      </w:r>
      <w:r w:rsidR="00992664" w:rsidRPr="00020424">
        <w:rPr>
          <w:rtl/>
        </w:rPr>
        <w:t xml:space="preserve"> </w:t>
      </w:r>
      <w:r w:rsidR="00FD6221">
        <w:rPr>
          <w:rFonts w:hint="cs"/>
          <w:rtl/>
        </w:rPr>
        <w:t>.</w:t>
      </w:r>
      <w:r w:rsidR="00992664" w:rsidRPr="0012008A">
        <w:rPr>
          <w:rStyle w:val="libFootnoteBoldChar"/>
          <w:rtl/>
        </w:rPr>
        <w:t>الوافي</w:t>
      </w:r>
      <w:r w:rsidR="00992664" w:rsidRPr="00020424">
        <w:rPr>
          <w:rtl/>
        </w:rPr>
        <w:t xml:space="preserve"> ، ج 10 ، ص 437 ، ح 9835 ؛ </w:t>
      </w:r>
      <w:r w:rsidR="00992664" w:rsidRPr="0012008A">
        <w:rPr>
          <w:rStyle w:val="libFootnoteBoldChar"/>
          <w:rtl/>
        </w:rPr>
        <w:t>الوسائل</w:t>
      </w:r>
      <w:r w:rsidR="00992664" w:rsidRPr="00020424">
        <w:rPr>
          <w:rtl/>
        </w:rPr>
        <w:t xml:space="preserve"> ، ج 21 ، ص 542 ، ح 27815.</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الكافي ، ح 8362 </w:t>
      </w:r>
      <w:r w:rsidR="00992664" w:rsidRPr="00515444">
        <w:rPr>
          <w:rStyle w:val="libFootnoteBoldChar"/>
          <w:rtl/>
        </w:rPr>
        <w:t>والتهذيب</w:t>
      </w:r>
      <w:r w:rsidR="00992664" w:rsidRPr="00020424">
        <w:rPr>
          <w:rtl/>
        </w:rPr>
        <w:t xml:space="preserve"> </w:t>
      </w:r>
      <w:r w:rsidR="00992664" w:rsidRPr="00A83B0E">
        <w:rPr>
          <w:rStyle w:val="libFootnoteBoldChar"/>
          <w:rtl/>
        </w:rPr>
        <w:t>وتحف العقول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ملعون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sidRPr="00020424">
        <w:rPr>
          <w:rtl/>
          <w:lang w:bidi="fa-IR"/>
        </w:rPr>
        <w:t xml:space="preserve">كَلَّهُ </w:t>
      </w:r>
      <w:r w:rsidRPr="00A91B96">
        <w:rPr>
          <w:rStyle w:val="libFootnotenumChar"/>
          <w:rtl/>
        </w:rPr>
        <w:t>(1)</w:t>
      </w:r>
      <w:r w:rsidRPr="00020424">
        <w:rPr>
          <w:rtl/>
          <w:lang w:bidi="fa-IR"/>
        </w:rPr>
        <w:t xml:space="preserve"> عَلَى النَّاسِ ، مَلْعُونٌ مَلْعُونٌ مَنْ ضَيَّعَ مَنْ يَعُولُ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44B35">
        <w:rPr>
          <w:rtl/>
        </w:rPr>
        <w:t>6045</w:t>
      </w:r>
      <w:r w:rsidRPr="001155DE">
        <w:rPr>
          <w:rStyle w:val="libBold2Char"/>
          <w:rtl/>
        </w:rPr>
        <w:t xml:space="preserve"> / 10.</w:t>
      </w:r>
      <w:r w:rsidRPr="00020424">
        <w:rPr>
          <w:rtl/>
          <w:lang w:bidi="fa-IR"/>
        </w:rPr>
        <w:t xml:space="preserve"> عَلِيُّ بْنُ إِبْرَاهِيمَ ، عَنْ أَبِيهِ ، عَنِ ابْنِ أَبِي عُمَيْرٍ ، عَنْ سَيْفِ بْنِ عَمِيرَةَ ، عَنْ أَبِي حَمْزَةَ ، قَالَ :</w:t>
      </w:r>
    </w:p>
    <w:p w:rsidR="00992664" w:rsidRPr="00020424" w:rsidRDefault="00992664" w:rsidP="00992664">
      <w:pPr>
        <w:pStyle w:val="libNormal"/>
        <w:rPr>
          <w:rtl/>
          <w:lang w:bidi="fa-IR"/>
        </w:rPr>
      </w:pPr>
      <w:r w:rsidRPr="00020424">
        <w:rPr>
          <w:rtl/>
          <w:lang w:bidi="fa-IR"/>
        </w:rPr>
        <w:t xml:space="preserve">قَالَ عَلِيُّ بْنُ الْحُسَيْنِ </w:t>
      </w:r>
      <w:r w:rsidRPr="00005A81">
        <w:rPr>
          <w:rStyle w:val="libAlaemChar"/>
          <w:rtl/>
        </w:rPr>
        <w:t>عليهما‌السلام</w:t>
      </w:r>
      <w:r w:rsidRPr="00020424">
        <w:rPr>
          <w:rtl/>
          <w:lang w:bidi="fa-IR"/>
        </w:rPr>
        <w:t xml:space="preserve"> : « لَأَنْ أَدْخُلَ السُّوقَ وَمَعِي دَرَاهِمُ </w:t>
      </w:r>
      <w:r w:rsidRPr="00A91B96">
        <w:rPr>
          <w:rStyle w:val="libFootnotenumChar"/>
          <w:rtl/>
        </w:rPr>
        <w:t>(4)</w:t>
      </w:r>
      <w:r w:rsidRPr="00020424">
        <w:rPr>
          <w:rtl/>
          <w:lang w:bidi="fa-IR"/>
        </w:rPr>
        <w:t xml:space="preserve"> أَبْتَاعُ بِهِ </w:t>
      </w:r>
      <w:r w:rsidRPr="00A91B96">
        <w:rPr>
          <w:rStyle w:val="libFootnotenumChar"/>
          <w:rtl/>
        </w:rPr>
        <w:t>(5)</w:t>
      </w:r>
      <w:r w:rsidRPr="00020424">
        <w:rPr>
          <w:rtl/>
          <w:lang w:bidi="fa-IR"/>
        </w:rPr>
        <w:t xml:space="preserve"> لِعِيَالِي لَحْماً </w:t>
      </w:r>
      <w:r w:rsidRPr="00A91B96">
        <w:rPr>
          <w:rStyle w:val="libFootnotenumChar"/>
          <w:rtl/>
        </w:rPr>
        <w:t>(6)</w:t>
      </w:r>
      <w:r w:rsidRPr="00020424">
        <w:rPr>
          <w:rtl/>
          <w:lang w:bidi="fa-IR"/>
        </w:rPr>
        <w:t xml:space="preserve"> وَقَدْ قَرِمُوا </w:t>
      </w:r>
      <w:r w:rsidRPr="00A91B96">
        <w:rPr>
          <w:rStyle w:val="libFootnotenumChar"/>
          <w:rtl/>
        </w:rPr>
        <w:t>(7)</w:t>
      </w:r>
      <w:r w:rsidRPr="00020424">
        <w:rPr>
          <w:rtl/>
          <w:lang w:bidi="fa-IR"/>
        </w:rPr>
        <w:t xml:space="preserve"> ، أَحَبُّ إِلَيَّ مِنْ أَنْ أُعْتِقَ نَسَمَةً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B44B35">
        <w:rPr>
          <w:rtl/>
        </w:rPr>
        <w:t>6046</w:t>
      </w:r>
      <w:r w:rsidRPr="001155DE">
        <w:rPr>
          <w:rStyle w:val="libBold2Char"/>
          <w:rtl/>
        </w:rPr>
        <w:t xml:space="preserve"> / 11.</w:t>
      </w:r>
      <w:r w:rsidRPr="00020424">
        <w:rPr>
          <w:rtl/>
          <w:lang w:bidi="fa-IR"/>
        </w:rPr>
        <w:t xml:space="preserve"> عَلِيُّ بْنُ إِبْرَاهِيمَ </w:t>
      </w:r>
      <w:r w:rsidRPr="00A91B96">
        <w:rPr>
          <w:rStyle w:val="libFootnotenumChar"/>
          <w:rtl/>
        </w:rPr>
        <w:t>(10)</w:t>
      </w:r>
      <w:r w:rsidRPr="00020424">
        <w:rPr>
          <w:rtl/>
          <w:lang w:bidi="fa-IR"/>
        </w:rPr>
        <w:t xml:space="preserve"> ، عَنْ أَبِيهِ ، عَنِ ابْنِ أَبِي عُمَيْرٍ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عَلِيُّ بْنُ الْحُسَيْنِ </w:t>
      </w:r>
      <w:r w:rsidRPr="00005A81">
        <w:rPr>
          <w:rStyle w:val="libAlaemChar"/>
          <w:rtl/>
        </w:rPr>
        <w:t>عليهما‌السلام</w:t>
      </w:r>
      <w:r w:rsidRPr="00020424">
        <w:rPr>
          <w:rtl/>
          <w:lang w:bidi="fa-IR"/>
        </w:rPr>
        <w:t xml:space="preserve"> إِذَا أَصْبَحَ ، خَرَجَ غَادِياً فِي طَلَبِ الرِّزْقِ ، فَقِيلَ لَهُ : يَا ابْنَ رَسُولِ اللهِ ، أَيْنَ تَذْهَبُ</w:t>
      </w:r>
      <w:r>
        <w:rPr>
          <w:rtl/>
          <w:lang w:bidi="fa-IR"/>
        </w:rPr>
        <w:t>؟</w:t>
      </w:r>
      <w:r w:rsidRPr="00020424">
        <w:rPr>
          <w:rtl/>
          <w:lang w:bidi="fa-IR"/>
        </w:rPr>
        <w:t xml:space="preserve"> فَقَالَ : أَتَصَدَّقُ لِعِيَالِي </w:t>
      </w:r>
      <w:r w:rsidRPr="00A91B96">
        <w:rPr>
          <w:rStyle w:val="libFootnotenumChar"/>
          <w:rtl/>
        </w:rPr>
        <w:t>(11)</w:t>
      </w:r>
      <w:r w:rsidRPr="00020424">
        <w:rPr>
          <w:rtl/>
          <w:lang w:bidi="fa-IR"/>
        </w:rPr>
        <w:t xml:space="preserve"> ، قِيلَ‌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الكَلُّ » : الثقل من كلّ ما يتكل</w:t>
      </w:r>
      <w:r w:rsidR="00FD6221">
        <w:rPr>
          <w:rtl/>
        </w:rPr>
        <w:t>ّف. والكلّ : العيال. وقال العل</w:t>
      </w:r>
      <w:r w:rsidR="00FD6221">
        <w:rPr>
          <w:rFonts w:hint="cs"/>
          <w:rtl/>
        </w:rPr>
        <w:t>ّ</w:t>
      </w:r>
      <w:r w:rsidR="00FD6221">
        <w:rPr>
          <w:rtl/>
        </w:rPr>
        <w:t>ا</w:t>
      </w:r>
      <w:r w:rsidR="00992664" w:rsidRPr="00020424">
        <w:rPr>
          <w:rtl/>
        </w:rPr>
        <w:t xml:space="preserve">مة المجلسي : « قوله </w:t>
      </w:r>
      <w:r w:rsidR="00992664" w:rsidRPr="00D64ADA">
        <w:rPr>
          <w:rStyle w:val="libFootnoteAlaemChar"/>
          <w:rtl/>
        </w:rPr>
        <w:t>عليه‌السلام</w:t>
      </w:r>
      <w:r w:rsidR="00992664" w:rsidRPr="00020424">
        <w:rPr>
          <w:rtl/>
        </w:rPr>
        <w:t xml:space="preserve"> : كَلَّهُ ، أي قوت نفسه أو عياله أو الأعمّ</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1811 ؛ </w:t>
      </w:r>
      <w:r w:rsidR="00992664" w:rsidRPr="0012008A">
        <w:rPr>
          <w:rStyle w:val="libFootnoteBoldChar"/>
          <w:rtl/>
        </w:rPr>
        <w:t>النهاية</w:t>
      </w:r>
      <w:r w:rsidR="00992664" w:rsidRPr="00020424">
        <w:rPr>
          <w:rtl/>
        </w:rPr>
        <w:t xml:space="preserve"> ، ج 4 ، ص 198 ( كلل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بف » : « يعوله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المعيشة ، باب الاستعانة بالدنيا على الآخرة ، ح 8362. وفي </w:t>
      </w:r>
      <w:r w:rsidR="00992664" w:rsidRPr="0012008A">
        <w:rPr>
          <w:rStyle w:val="libFootnoteBoldChar"/>
          <w:rtl/>
        </w:rPr>
        <w:t>التهذيب</w:t>
      </w:r>
      <w:r w:rsidR="00992664" w:rsidRPr="00020424">
        <w:rPr>
          <w:rtl/>
        </w:rPr>
        <w:t xml:space="preserve"> ، ج 6 ، ص 327 ، ح 902 ، معلّقاً عن أحمد بن أبي عبدالله. </w:t>
      </w:r>
      <w:r w:rsidR="00992664" w:rsidRPr="00DE76B9">
        <w:rPr>
          <w:rStyle w:val="libFootnoteBoldChar"/>
          <w:rtl/>
        </w:rPr>
        <w:t>تحف العقول</w:t>
      </w:r>
      <w:r w:rsidR="00992664" w:rsidRPr="00020424">
        <w:rPr>
          <w:rtl/>
        </w:rPr>
        <w:t xml:space="preserve"> ، ص 37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كلّها إلى قوله : « ألقى كلّه على الناس</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68 ، ح 1741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ج 3 ، ص 168 ، ح 3630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 </w:t>
      </w:r>
      <w:r w:rsidR="00992664" w:rsidRPr="00DE76B9">
        <w:rPr>
          <w:rStyle w:val="libFootnoteBoldChar"/>
          <w:rtl/>
        </w:rPr>
        <w:t>وفيه</w:t>
      </w:r>
      <w:r w:rsidR="00992664" w:rsidRPr="00020424">
        <w:rPr>
          <w:rtl/>
        </w:rPr>
        <w:t xml:space="preserve"> ، ص 555 ، ح 4907 ، مرسلاً من دون التصريح باسم المعصوم </w:t>
      </w:r>
      <w:r w:rsidR="00992664" w:rsidRPr="00D64ADA">
        <w:rPr>
          <w:rStyle w:val="libFootnoteAlaemChar"/>
          <w:rtl/>
        </w:rPr>
        <w:t>عليه‌السلام</w:t>
      </w:r>
      <w:r w:rsidR="00992664" w:rsidRPr="00020424">
        <w:rPr>
          <w:rtl/>
        </w:rPr>
        <w:t xml:space="preserve"> ، وفي الأخيرين وردت هذه الفقرة : « معلون ملعون من ضيّع من يعول » </w:t>
      </w:r>
      <w:r w:rsidR="00FD6221">
        <w:rPr>
          <w:rFonts w:hint="cs"/>
          <w:rtl/>
        </w:rPr>
        <w:t>.</w:t>
      </w:r>
      <w:r w:rsidR="00992664" w:rsidRPr="0012008A">
        <w:rPr>
          <w:rStyle w:val="libFootnoteBoldChar"/>
          <w:rtl/>
        </w:rPr>
        <w:t>الوافي</w:t>
      </w:r>
      <w:r w:rsidR="00992664" w:rsidRPr="00020424">
        <w:rPr>
          <w:rtl/>
        </w:rPr>
        <w:t xml:space="preserve"> ، ج 10 ، ص 438 ، ح 9836 ؛ </w:t>
      </w:r>
      <w:r w:rsidR="00992664" w:rsidRPr="0012008A">
        <w:rPr>
          <w:rStyle w:val="libFootnoteBoldChar"/>
          <w:rtl/>
        </w:rPr>
        <w:t>الوسائل</w:t>
      </w:r>
      <w:r w:rsidR="00992664" w:rsidRPr="00020424">
        <w:rPr>
          <w:rtl/>
        </w:rPr>
        <w:t xml:space="preserve"> ، ج 21 ، ص 543 ، ح 27816.</w:t>
      </w:r>
    </w:p>
    <w:tbl>
      <w:tblPr>
        <w:tblStyle w:val="TableGrid"/>
        <w:bidiVisual/>
        <w:tblW w:w="0" w:type="auto"/>
        <w:tblLook w:val="04A0" w:firstRow="1" w:lastRow="0" w:firstColumn="1" w:lastColumn="0" w:noHBand="0" w:noVBand="1"/>
      </w:tblPr>
      <w:tblGrid>
        <w:gridCol w:w="4006"/>
        <w:gridCol w:w="4006"/>
      </w:tblGrid>
      <w:tr w:rsidR="00FD6221" w:rsidTr="00FD6221">
        <w:tc>
          <w:tcPr>
            <w:tcW w:w="4006" w:type="dxa"/>
          </w:tcPr>
          <w:p w:rsidR="00FD6221" w:rsidRDefault="00FD6221" w:rsidP="00992664">
            <w:pPr>
              <w:pStyle w:val="libFootnote0"/>
              <w:rPr>
                <w:rtl/>
              </w:rPr>
            </w:pPr>
            <w:r>
              <w:rPr>
                <w:rtl/>
              </w:rPr>
              <w:t>(4). في «بث،بخ،بر،بف</w:t>
            </w:r>
            <w:r w:rsidRPr="00020424">
              <w:rPr>
                <w:rtl/>
              </w:rPr>
              <w:t xml:space="preserve">» </w:t>
            </w:r>
            <w:r w:rsidRPr="00FD6221">
              <w:rPr>
                <w:rtl/>
              </w:rPr>
              <w:t>والوسائل</w:t>
            </w:r>
            <w:r w:rsidRPr="00020424">
              <w:rPr>
                <w:rtl/>
              </w:rPr>
              <w:t xml:space="preserve"> : « درهم</w:t>
            </w:r>
            <w:r>
              <w:rPr>
                <w:rtl/>
              </w:rPr>
              <w:t xml:space="preserve"> ».</w:t>
            </w:r>
          </w:p>
        </w:tc>
        <w:tc>
          <w:tcPr>
            <w:tcW w:w="4006" w:type="dxa"/>
          </w:tcPr>
          <w:p w:rsidR="00FD6221" w:rsidRDefault="00FD6221" w:rsidP="00992664">
            <w:pPr>
              <w:pStyle w:val="libFootnote0"/>
              <w:rPr>
                <w:rtl/>
              </w:rPr>
            </w:pPr>
            <w:r>
              <w:rPr>
                <w:rtl/>
              </w:rPr>
              <w:t xml:space="preserve">(5). </w:t>
            </w:r>
            <w:r w:rsidRPr="00020424">
              <w:rPr>
                <w:rtl/>
              </w:rPr>
              <w:t>في « بخ ، بر ، بس » : « بها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w:t>
      </w:r>
      <w:r w:rsidR="00992664" w:rsidRPr="00FD6221">
        <w:rPr>
          <w:rtl/>
        </w:rPr>
        <w:t>والوسائل</w:t>
      </w:r>
      <w:r w:rsidR="00992664" w:rsidRPr="00020424">
        <w:rPr>
          <w:rtl/>
        </w:rPr>
        <w:t xml:space="preserve"> : « لحماً لعيالي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بر » وحاشية « ظ ، بف » </w:t>
      </w:r>
      <w:r w:rsidR="00992664" w:rsidRPr="00FD6221">
        <w:rPr>
          <w:rtl/>
        </w:rPr>
        <w:t>والبحار</w:t>
      </w:r>
      <w:r w:rsidR="00992664" w:rsidRPr="00020424">
        <w:rPr>
          <w:rtl/>
        </w:rPr>
        <w:t xml:space="preserve"> : + « إليه</w:t>
      </w:r>
      <w:r w:rsidR="00992664">
        <w:rPr>
          <w:rtl/>
        </w:rPr>
        <w:t xml:space="preserve"> ».</w:t>
      </w:r>
      <w:r w:rsidR="00992664" w:rsidRPr="00020424">
        <w:rPr>
          <w:rtl/>
        </w:rPr>
        <w:t xml:space="preserve"> والقَرَم</w:t>
      </w:r>
      <w:r w:rsidR="00992664">
        <w:rPr>
          <w:rtl/>
        </w:rPr>
        <w:t xml:space="preserve"> </w:t>
      </w:r>
      <w:r w:rsidR="009B673F">
        <w:rPr>
          <w:rtl/>
        </w:rPr>
        <w:t>-</w:t>
      </w:r>
      <w:r w:rsidR="00992664">
        <w:rPr>
          <w:rtl/>
        </w:rPr>
        <w:t xml:space="preserve"> </w:t>
      </w:r>
      <w:r w:rsidR="00992664" w:rsidRPr="00020424">
        <w:rPr>
          <w:rtl/>
        </w:rPr>
        <w:t>بالتحريك</w:t>
      </w:r>
      <w:r w:rsidR="00992664">
        <w:rPr>
          <w:rtl/>
        </w:rPr>
        <w:t xml:space="preserve"> </w:t>
      </w:r>
      <w:r w:rsidR="009B673F">
        <w:rPr>
          <w:rtl/>
        </w:rPr>
        <w:t>-</w:t>
      </w:r>
      <w:r w:rsidR="00992664">
        <w:rPr>
          <w:rtl/>
        </w:rPr>
        <w:t xml:space="preserve"> </w:t>
      </w:r>
      <w:r w:rsidR="00992664" w:rsidRPr="00020424">
        <w:rPr>
          <w:rtl/>
        </w:rPr>
        <w:t xml:space="preserve">: شدّة شهوة اللحم حتّى لا يصبر عليه ؛ يقال : قَرِمتُ إلى اللحم ، إذا اشتهيته ، وحكى بعضهم فيه : قَرِمته. راجع : </w:t>
      </w:r>
      <w:r w:rsidR="00992664" w:rsidRPr="0012008A">
        <w:rPr>
          <w:rStyle w:val="libFootnoteBoldChar"/>
          <w:rtl/>
        </w:rPr>
        <w:t>الصحاح</w:t>
      </w:r>
      <w:r w:rsidR="00992664" w:rsidRPr="00020424">
        <w:rPr>
          <w:rtl/>
        </w:rPr>
        <w:t xml:space="preserve"> ، ج 5 ، ص 2009 ؛ </w:t>
      </w:r>
      <w:r w:rsidR="00992664" w:rsidRPr="0012008A">
        <w:rPr>
          <w:rStyle w:val="libFootnoteBoldChar"/>
          <w:rtl/>
        </w:rPr>
        <w:t>النهاية</w:t>
      </w:r>
      <w:r w:rsidR="00992664" w:rsidRPr="00020424">
        <w:rPr>
          <w:rtl/>
        </w:rPr>
        <w:t xml:space="preserve"> ، ج 4 ، ص 49 ( قرم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النسمة » : الإنسان ، والنفس ، والروح. ا</w:t>
      </w:r>
      <w:r w:rsidR="00FD6221">
        <w:rPr>
          <w:rFonts w:hint="cs"/>
          <w:rtl/>
        </w:rPr>
        <w:t>ُ</w:t>
      </w:r>
      <w:r w:rsidR="00992664" w:rsidRPr="00020424">
        <w:rPr>
          <w:rtl/>
        </w:rPr>
        <w:t xml:space="preserve">نظر : </w:t>
      </w:r>
      <w:r w:rsidR="00992664" w:rsidRPr="0012008A">
        <w:rPr>
          <w:rStyle w:val="libFootnoteBoldChar"/>
          <w:rtl/>
        </w:rPr>
        <w:t>الصحاح</w:t>
      </w:r>
      <w:r w:rsidR="00992664" w:rsidRPr="00020424">
        <w:rPr>
          <w:rtl/>
        </w:rPr>
        <w:t xml:space="preserve"> ، ج 5 ، ص 2040 ؛ </w:t>
      </w:r>
      <w:r w:rsidR="00992664" w:rsidRPr="0012008A">
        <w:rPr>
          <w:rStyle w:val="libFootnoteBoldChar"/>
          <w:rtl/>
        </w:rPr>
        <w:t>النهاية</w:t>
      </w:r>
      <w:r w:rsidR="00FD6221">
        <w:rPr>
          <w:rtl/>
        </w:rPr>
        <w:t xml:space="preserve"> ، ج 5 ، ص 49 (</w:t>
      </w:r>
      <w:r w:rsidR="00992664" w:rsidRPr="00020424">
        <w:rPr>
          <w:rtl/>
        </w:rPr>
        <w:t>نسم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438 ، ح 9837 ؛ </w:t>
      </w:r>
      <w:r w:rsidR="00992664" w:rsidRPr="0012008A">
        <w:rPr>
          <w:rStyle w:val="libFootnoteBoldChar"/>
          <w:rtl/>
        </w:rPr>
        <w:t>الوسائل</w:t>
      </w:r>
      <w:r w:rsidR="00992664" w:rsidRPr="00020424">
        <w:rPr>
          <w:rtl/>
        </w:rPr>
        <w:t xml:space="preserve"> ، ج 21 ، ص 543 ، ح 27817 ؛ </w:t>
      </w:r>
      <w:r w:rsidR="00992664" w:rsidRPr="0012008A">
        <w:rPr>
          <w:rStyle w:val="libFootnoteBoldChar"/>
          <w:rtl/>
        </w:rPr>
        <w:t>البحار</w:t>
      </w:r>
      <w:r w:rsidR="00992664" w:rsidRPr="00020424">
        <w:rPr>
          <w:rtl/>
        </w:rPr>
        <w:t xml:space="preserve"> ، ج 46 ، ص 66 ، ح 31.</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أتصدّق لعيالي ؛ يعني آخذ الصدقة من الله لهم وأتقبّلها لأجلهم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Pr>
          <w:rtl/>
          <w:lang w:bidi="fa-IR"/>
        </w:rPr>
        <w:t>لَهُ : أَ</w:t>
      </w:r>
      <w:r w:rsidRPr="00020424">
        <w:rPr>
          <w:rtl/>
          <w:lang w:bidi="fa-IR"/>
        </w:rPr>
        <w:t>تَتَصَدَّقُ</w:t>
      </w:r>
      <w:r>
        <w:rPr>
          <w:rtl/>
          <w:lang w:bidi="fa-IR"/>
        </w:rPr>
        <w:t>؟</w:t>
      </w:r>
      <w:r w:rsidRPr="00020424">
        <w:rPr>
          <w:rtl/>
          <w:lang w:bidi="fa-IR"/>
        </w:rPr>
        <w:t xml:space="preserve"> قَالَ : مَنْ طَلَبَ </w:t>
      </w:r>
      <w:r w:rsidRPr="00A91B96">
        <w:rPr>
          <w:rStyle w:val="libFootnotenumChar"/>
          <w:rtl/>
        </w:rPr>
        <w:t>(1)</w:t>
      </w:r>
      <w:r w:rsidRPr="00020424">
        <w:rPr>
          <w:rtl/>
          <w:lang w:bidi="fa-IR"/>
        </w:rPr>
        <w:t xml:space="preserve"> الْحَلَالَ ، فَهُوَ مِنَ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صَدَقَةٌ عَلَيْهِ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44B35">
        <w:rPr>
          <w:rtl/>
        </w:rPr>
        <w:t>6047</w:t>
      </w:r>
      <w:r w:rsidRPr="001155DE">
        <w:rPr>
          <w:rStyle w:val="libBold2Char"/>
          <w:rtl/>
        </w:rPr>
        <w:t xml:space="preserve"> / 12.</w:t>
      </w:r>
      <w:r w:rsidRPr="00020424">
        <w:rPr>
          <w:rtl/>
          <w:lang w:bidi="fa-IR"/>
        </w:rPr>
        <w:t xml:space="preserve"> عَلِيُّ بْنُ مُحَمَّدِ بْنِ بُنْدَارَ ، عَنْ أَحْمَدَ بْنِ أَبِي عَبْدِ اللهِ ، عَنْ مُحَمَّدِ بْنِ عِيسى ، عَنْ أَبِي مُحَمَّدٍ الْأَنْصَارِيِّ ، عَنْ عُمَرَ بْنِ يَزِيدَ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الْمُؤْمِنَ يَأْخُذُ بِأَدَبِ </w:t>
      </w:r>
      <w:r w:rsidRPr="00A91B96">
        <w:rPr>
          <w:rStyle w:val="libFootnotenumChar"/>
          <w:rtl/>
        </w:rPr>
        <w:t>(4)</w:t>
      </w:r>
      <w:r w:rsidRPr="00020424">
        <w:rPr>
          <w:rtl/>
          <w:lang w:bidi="fa-IR"/>
        </w:rPr>
        <w:t xml:space="preserve"> اللهِ عَزَّ وَجَلَّ ، إِذَا وَسَّعَ </w:t>
      </w:r>
      <w:r w:rsidRPr="00A91B96">
        <w:rPr>
          <w:rStyle w:val="libFootnotenumChar"/>
          <w:rtl/>
        </w:rPr>
        <w:t>(5)</w:t>
      </w:r>
      <w:r w:rsidRPr="00020424">
        <w:rPr>
          <w:rtl/>
          <w:lang w:bidi="fa-IR"/>
        </w:rPr>
        <w:t xml:space="preserve"> عَلَيْهِ اتَّسَعَ ، وَإِذَا أَمْسَكَ عَلَيْهِ </w:t>
      </w:r>
      <w:r w:rsidRPr="00A91B96">
        <w:rPr>
          <w:rStyle w:val="libFootnotenumChar"/>
          <w:rtl/>
        </w:rPr>
        <w:t>(6)</w:t>
      </w:r>
      <w:r w:rsidRPr="00020424">
        <w:rPr>
          <w:rtl/>
          <w:lang w:bidi="fa-IR"/>
        </w:rPr>
        <w:t xml:space="preserve"> أَمْسَكَ</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B44B35">
        <w:rPr>
          <w:rtl/>
        </w:rPr>
        <w:t>6048</w:t>
      </w:r>
      <w:r w:rsidRPr="001155DE">
        <w:rPr>
          <w:rStyle w:val="libBold2Char"/>
          <w:rtl/>
        </w:rPr>
        <w:t xml:space="preserve"> / 13.</w:t>
      </w:r>
      <w:r w:rsidRPr="00020424">
        <w:rPr>
          <w:rtl/>
          <w:lang w:bidi="fa-IR"/>
        </w:rPr>
        <w:t xml:space="preserve"> عَلِيُّ بْنُ إِبْرَاهِيمَ ، عَنْ أَبِيهِ ، عَنِ ابْنِ أَبِي عُمَيْرٍ ، عَنْ مُرَازِمٍ ، عَنْ مُ</w:t>
      </w:r>
      <w:r w:rsidR="00FD6221">
        <w:rPr>
          <w:rtl/>
          <w:lang w:bidi="fa-IR"/>
        </w:rPr>
        <w:t>عَاذِ بْنِ كَثِيرٍ</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سَعَادَةِ الرَّجُلِ أَنْ يَكُونَ الْقَيِّمَ عَلى عِيَالِهِ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B44B35">
        <w:rPr>
          <w:rtl/>
        </w:rPr>
        <w:t>6049</w:t>
      </w:r>
      <w:r w:rsidRPr="001155DE">
        <w:rPr>
          <w:rStyle w:val="libBold2Char"/>
          <w:rtl/>
        </w:rPr>
        <w:t xml:space="preserve"> / 14.</w:t>
      </w:r>
      <w:r w:rsidRPr="00020424">
        <w:rPr>
          <w:rtl/>
          <w:lang w:bidi="fa-IR"/>
        </w:rPr>
        <w:t xml:space="preserve"> عَلِيُّ بْنُ إِبْرَاهِيمَ </w:t>
      </w:r>
      <w:r w:rsidRPr="00A91B96">
        <w:rPr>
          <w:rStyle w:val="libFootnotenumChar"/>
          <w:rtl/>
        </w:rPr>
        <w:t>(9)</w:t>
      </w:r>
      <w:r w:rsidRPr="00020424">
        <w:rPr>
          <w:rtl/>
          <w:lang w:bidi="fa-IR"/>
        </w:rPr>
        <w:t xml:space="preserve"> ، عَنْ يَاسِرٍ الْخَادِمِ ، قَالَ :</w:t>
      </w:r>
    </w:p>
    <w:p w:rsidR="00992664" w:rsidRPr="00020424" w:rsidRDefault="00992664" w:rsidP="00992664">
      <w:pPr>
        <w:pStyle w:val="libNormal"/>
        <w:rPr>
          <w:rtl/>
          <w:lang w:bidi="fa-IR"/>
        </w:rPr>
      </w:pPr>
      <w:r w:rsidRPr="00020424">
        <w:rPr>
          <w:rtl/>
          <w:lang w:bidi="fa-IR"/>
        </w:rPr>
        <w:t xml:space="preserve">سَمِعْتُ الرِّضَا </w:t>
      </w:r>
      <w:r w:rsidRPr="00005A81">
        <w:rPr>
          <w:rStyle w:val="libAlaemChar"/>
          <w:rtl/>
        </w:rPr>
        <w:t>عليه‌السلام</w:t>
      </w:r>
      <w:r w:rsidRPr="00020424">
        <w:rPr>
          <w:rtl/>
          <w:lang w:bidi="fa-IR"/>
        </w:rPr>
        <w:t xml:space="preserve"> يَقُولُ : « يَنْبَغِي لِلْمُؤْمِنِ أَنْ يَنْقُصَ مِنْ قُوتِ عِيَالِهِ فِي الشِّتَاءِ ، وَيَزِيدَ فِي وَقُودِهِمْ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FD6221">
        <w:rPr>
          <w:rtl/>
        </w:rPr>
        <w:t>والوافي</w:t>
      </w:r>
      <w:r w:rsidR="00992664" w:rsidRPr="00020424">
        <w:rPr>
          <w:rtl/>
        </w:rPr>
        <w:t xml:space="preserve"> : + « من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عليه صدقة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438 ، ح 9838 ؛ </w:t>
      </w:r>
      <w:r w:rsidR="00992664" w:rsidRPr="0012008A">
        <w:rPr>
          <w:rStyle w:val="libFootnoteBoldChar"/>
          <w:rtl/>
        </w:rPr>
        <w:t>الوسائل</w:t>
      </w:r>
      <w:r w:rsidR="00992664" w:rsidRPr="00020424">
        <w:rPr>
          <w:rtl/>
        </w:rPr>
        <w:t xml:space="preserve"> ، ج 17 ، ص 67 ، ح 22004 ؛ </w:t>
      </w:r>
      <w:r w:rsidR="00992664" w:rsidRPr="0012008A">
        <w:rPr>
          <w:rStyle w:val="libFootnoteBoldChar"/>
          <w:rtl/>
        </w:rPr>
        <w:t>البحار</w:t>
      </w:r>
      <w:r w:rsidR="00992664" w:rsidRPr="00020424">
        <w:rPr>
          <w:rtl/>
        </w:rPr>
        <w:t xml:space="preserve"> ، ج 46 ، ص 67 ، ح 32.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بح » </w:t>
      </w:r>
      <w:r w:rsidR="00992664" w:rsidRPr="00FD6221">
        <w:rPr>
          <w:rtl/>
        </w:rPr>
        <w:t>والوسائل</w:t>
      </w:r>
      <w:r w:rsidR="00992664" w:rsidRPr="00020424">
        <w:rPr>
          <w:rtl/>
        </w:rPr>
        <w:t xml:space="preserve"> : « بآداب</w:t>
      </w:r>
      <w:r w:rsidR="00992664">
        <w:rPr>
          <w:rtl/>
        </w:rPr>
        <w:t xml:space="preserve"> ».</w:t>
      </w:r>
      <w:r w:rsidR="00992664" w:rsidRPr="00020424">
        <w:rPr>
          <w:rtl/>
        </w:rPr>
        <w:t xml:space="preserve"> وفي « ى » : « بإذن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بث ، بح ، بس » </w:t>
      </w:r>
      <w:r w:rsidR="00992664" w:rsidRPr="00FD6221">
        <w:rPr>
          <w:rtl/>
        </w:rPr>
        <w:t>والوسائل</w:t>
      </w:r>
      <w:r w:rsidR="00992664" w:rsidRPr="00020424">
        <w:rPr>
          <w:rtl/>
        </w:rPr>
        <w:t xml:space="preserve"> </w:t>
      </w:r>
      <w:r w:rsidR="00992664" w:rsidRPr="00A83B0E">
        <w:rPr>
          <w:rStyle w:val="libFootnoteBoldChar"/>
          <w:rtl/>
        </w:rPr>
        <w:t>وتحف العقول</w:t>
      </w:r>
      <w:r w:rsidR="00992664" w:rsidRPr="00020424">
        <w:rPr>
          <w:rtl/>
        </w:rPr>
        <w:t xml:space="preserve"> : + «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وحاشية « بث ، جن » </w:t>
      </w:r>
      <w:r w:rsidR="00992664" w:rsidRPr="00FD6221">
        <w:rPr>
          <w:rtl/>
        </w:rPr>
        <w:t>والوسائل</w:t>
      </w:r>
      <w:r w:rsidR="00992664" w:rsidRPr="00020424">
        <w:rPr>
          <w:rtl/>
        </w:rPr>
        <w:t xml:space="preserve"> </w:t>
      </w:r>
      <w:r w:rsidR="00992664" w:rsidRPr="00A83B0E">
        <w:rPr>
          <w:rStyle w:val="libFootnoteBoldChar"/>
          <w:rtl/>
        </w:rPr>
        <w:t>وتحف العقول</w:t>
      </w:r>
      <w:r w:rsidR="00992664" w:rsidRPr="00020424">
        <w:rPr>
          <w:rtl/>
        </w:rPr>
        <w:t xml:space="preserve"> : « عنه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تحف العقول</w:t>
      </w:r>
      <w:r w:rsidR="00992664" w:rsidRPr="00020424">
        <w:rPr>
          <w:rtl/>
        </w:rPr>
        <w:t xml:space="preserve"> ، ص 52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FD6221">
        <w:rPr>
          <w:rFonts w:hint="cs"/>
          <w:rtl/>
        </w:rPr>
        <w:t>.</w:t>
      </w:r>
      <w:r w:rsidR="00992664" w:rsidRPr="0012008A">
        <w:rPr>
          <w:rStyle w:val="libFootnoteBoldChar"/>
          <w:rtl/>
        </w:rPr>
        <w:t>الوافي</w:t>
      </w:r>
      <w:r w:rsidR="00992664" w:rsidRPr="00020424">
        <w:rPr>
          <w:rtl/>
        </w:rPr>
        <w:t xml:space="preserve"> ، ج 10 ، ص 439 ، ح 9839 ؛ </w:t>
      </w:r>
      <w:r w:rsidR="00992664" w:rsidRPr="0012008A">
        <w:rPr>
          <w:rStyle w:val="libFootnoteBoldChar"/>
          <w:rtl/>
        </w:rPr>
        <w:t>الوسائل</w:t>
      </w:r>
      <w:r w:rsidR="00992664" w:rsidRPr="00020424">
        <w:rPr>
          <w:rtl/>
        </w:rPr>
        <w:t xml:space="preserve"> ، ج 21 ، ص 540 ، ح 27808.</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3 ، ص 168 ، ح 3628 ، مرسلاً من دون التصريح باسم المعصوم </w:t>
      </w:r>
      <w:r w:rsidR="00992664" w:rsidRPr="00D64ADA">
        <w:rPr>
          <w:rStyle w:val="libFootnoteAlaemChar"/>
          <w:rtl/>
        </w:rPr>
        <w:t>عليه‌السلام</w:t>
      </w:r>
      <w:r w:rsidR="00992664" w:rsidRPr="00020424">
        <w:rPr>
          <w:rtl/>
        </w:rPr>
        <w:t xml:space="preserve"> </w:t>
      </w:r>
      <w:r w:rsidR="00FD6221">
        <w:rPr>
          <w:rFonts w:hint="cs"/>
          <w:rtl/>
        </w:rPr>
        <w:t>.</w:t>
      </w:r>
      <w:r w:rsidR="00992664" w:rsidRPr="0012008A">
        <w:rPr>
          <w:rStyle w:val="libFootnoteBoldChar"/>
          <w:rtl/>
        </w:rPr>
        <w:t>الوافي</w:t>
      </w:r>
      <w:r w:rsidR="00992664" w:rsidRPr="00020424">
        <w:rPr>
          <w:rtl/>
        </w:rPr>
        <w:t xml:space="preserve"> ، ج 10 ، ص 439 ، ح 9840 ؛ </w:t>
      </w:r>
      <w:r w:rsidR="00992664" w:rsidRPr="0012008A">
        <w:rPr>
          <w:rStyle w:val="libFootnoteBoldChar"/>
          <w:rtl/>
        </w:rPr>
        <w:t>الوسائل</w:t>
      </w:r>
      <w:r w:rsidR="00992664" w:rsidRPr="00020424">
        <w:rPr>
          <w:rtl/>
        </w:rPr>
        <w:t xml:space="preserve"> ، ج 21 ، ص 543 ، ح 27818.</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ى ، بث ، بح ، بر ، بس ، بف ، جر ، جن » </w:t>
      </w:r>
      <w:r w:rsidR="00992664" w:rsidRPr="00FD6221">
        <w:rPr>
          <w:rtl/>
        </w:rPr>
        <w:t>والوسائل</w:t>
      </w:r>
      <w:r w:rsidR="00992664" w:rsidRPr="00020424">
        <w:rPr>
          <w:rtl/>
        </w:rPr>
        <w:t xml:space="preserve">. وفي « ظ ، بخ » والمطبوع </w:t>
      </w:r>
      <w:r w:rsidR="00992664" w:rsidRPr="00FD6221">
        <w:rPr>
          <w:rtl/>
        </w:rPr>
        <w:t>والوافي</w:t>
      </w:r>
      <w:r w:rsidR="00992664" w:rsidRPr="00020424">
        <w:rPr>
          <w:rtl/>
        </w:rPr>
        <w:t xml:space="preserve"> : + « عن أبيه</w:t>
      </w:r>
      <w:r w:rsidR="00992664">
        <w:rPr>
          <w:rtl/>
        </w:rPr>
        <w:t xml:space="preserve"> ».</w:t>
      </w:r>
    </w:p>
    <w:p w:rsidR="00992664" w:rsidRPr="00020424" w:rsidRDefault="00992664" w:rsidP="00FD6221">
      <w:pPr>
        <w:pStyle w:val="libFootnote0"/>
        <w:rPr>
          <w:rtl/>
          <w:lang w:bidi="fa-IR"/>
        </w:rPr>
      </w:pPr>
      <w:r w:rsidRPr="00FD6221">
        <w:rPr>
          <w:rtl/>
        </w:rPr>
        <w:t xml:space="preserve">والظاهر أنّ الصواب ما أثبتناه ، كما تقدّم تفصيل الكلام في </w:t>
      </w:r>
      <w:r w:rsidRPr="00DE76B9">
        <w:rPr>
          <w:rStyle w:val="libFootnoteBoldChar"/>
          <w:rtl/>
        </w:rPr>
        <w:t>الكافي</w:t>
      </w:r>
      <w:r w:rsidRPr="00FD6221">
        <w:rPr>
          <w:rtl/>
        </w:rPr>
        <w:t xml:space="preserve"> ، ذيل ح 3223 ، فلاحظ.</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الوَقود » بالفتح : الحطب. وبالضمّ : الاتّقاد ، أي الاشتعال. وقيل : « الوقود » : ما توقَد به النار ، وكلّ ما ا</w:t>
      </w:r>
      <w:r w:rsidR="00FD6221">
        <w:rPr>
          <w:rFonts w:hint="cs"/>
          <w:rtl/>
        </w:rPr>
        <w:t>ُ</w:t>
      </w:r>
      <w:r w:rsidR="00992664" w:rsidRPr="00020424">
        <w:rPr>
          <w:rtl/>
        </w:rPr>
        <w:t>وقدت به فهو وقود. ا</w:t>
      </w:r>
      <w:r w:rsidR="00FD6221">
        <w:rPr>
          <w:rFonts w:hint="cs"/>
          <w:rtl/>
        </w:rPr>
        <w:t>ُ</w:t>
      </w:r>
      <w:r w:rsidR="00992664" w:rsidRPr="00020424">
        <w:rPr>
          <w:rtl/>
        </w:rPr>
        <w:t xml:space="preserve">نظر : </w:t>
      </w:r>
      <w:r w:rsidR="00992664" w:rsidRPr="0012008A">
        <w:rPr>
          <w:rStyle w:val="libFootnoteBoldChar"/>
          <w:rtl/>
        </w:rPr>
        <w:t>الصحاح</w:t>
      </w:r>
      <w:r w:rsidR="00992664" w:rsidRPr="00020424">
        <w:rPr>
          <w:rtl/>
        </w:rPr>
        <w:t xml:space="preserve"> ، ج 2 ، ص 553 ؛ </w:t>
      </w:r>
      <w:r w:rsidR="00992664" w:rsidRPr="00A722B1">
        <w:rPr>
          <w:rStyle w:val="libFootnoteBoldChar"/>
          <w:rtl/>
        </w:rPr>
        <w:t>لسان العرب</w:t>
      </w:r>
      <w:r w:rsidR="00992664" w:rsidRPr="00020424">
        <w:rPr>
          <w:rtl/>
        </w:rPr>
        <w:t xml:space="preserve"> ، ج 3 ، ص 465</w:t>
      </w:r>
      <w:r w:rsidR="00992664">
        <w:rPr>
          <w:rtl/>
        </w:rPr>
        <w:t xml:space="preserve"> </w:t>
      </w:r>
      <w:r w:rsidR="009B673F">
        <w:rPr>
          <w:rtl/>
        </w:rPr>
        <w:t>-</w:t>
      </w:r>
      <w:r w:rsidR="00992664">
        <w:rPr>
          <w:rtl/>
        </w:rPr>
        <w:t xml:space="preserve"> </w:t>
      </w:r>
      <w:r w:rsidR="00992664" w:rsidRPr="00020424">
        <w:rPr>
          <w:rtl/>
        </w:rPr>
        <w:t>466 ( وقد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439 ، ح 9841 ؛ </w:t>
      </w:r>
      <w:r w:rsidR="00992664" w:rsidRPr="0012008A">
        <w:rPr>
          <w:rStyle w:val="libFootnoteBoldChar"/>
          <w:rtl/>
        </w:rPr>
        <w:t>الوسائل</w:t>
      </w:r>
      <w:r w:rsidR="00992664" w:rsidRPr="00020424">
        <w:rPr>
          <w:rtl/>
        </w:rPr>
        <w:t xml:space="preserve"> ، ج 21 ، ص 541 ، ح 27809.</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181" w:name="_Toc345172777"/>
      <w:bookmarkStart w:id="182" w:name="_Toc464562593"/>
      <w:bookmarkStart w:id="183" w:name="_Toc44599896"/>
      <w:r w:rsidRPr="00020424">
        <w:rPr>
          <w:rtl/>
          <w:lang w:bidi="fa-IR"/>
        </w:rPr>
        <w:t>55</w:t>
      </w:r>
      <w:r>
        <w:rPr>
          <w:rtl/>
          <w:lang w:bidi="fa-IR"/>
        </w:rPr>
        <w:t xml:space="preserve"> </w:t>
      </w:r>
      <w:r w:rsidR="009B673F">
        <w:rPr>
          <w:rtl/>
          <w:lang w:bidi="fa-IR"/>
        </w:rPr>
        <w:t>-</w:t>
      </w:r>
      <w:r>
        <w:rPr>
          <w:rtl/>
          <w:lang w:bidi="fa-IR"/>
        </w:rPr>
        <w:t xml:space="preserve"> </w:t>
      </w:r>
      <w:r w:rsidRPr="00020424">
        <w:rPr>
          <w:rtl/>
          <w:lang w:bidi="fa-IR"/>
        </w:rPr>
        <w:t xml:space="preserve">بَابُ مَنْ يَلْزَمُ </w:t>
      </w:r>
      <w:r w:rsidRPr="00A91B96">
        <w:rPr>
          <w:rStyle w:val="libFootnotenumChar"/>
          <w:rtl/>
        </w:rPr>
        <w:t>(1)</w:t>
      </w:r>
      <w:r>
        <w:rPr>
          <w:rtl/>
        </w:rPr>
        <w:t xml:space="preserve"> </w:t>
      </w:r>
      <w:r w:rsidRPr="00020424">
        <w:rPr>
          <w:rtl/>
          <w:lang w:bidi="fa-IR"/>
        </w:rPr>
        <w:t>نَفَقَتُهُ‌</w:t>
      </w:r>
      <w:bookmarkEnd w:id="181"/>
      <w:bookmarkEnd w:id="182"/>
      <w:bookmarkEnd w:id="183"/>
    </w:p>
    <w:p w:rsidR="00992664" w:rsidRPr="00020424" w:rsidRDefault="00992664" w:rsidP="00992664">
      <w:pPr>
        <w:pStyle w:val="libNormal"/>
        <w:rPr>
          <w:rtl/>
          <w:lang w:bidi="fa-IR"/>
        </w:rPr>
      </w:pPr>
      <w:r w:rsidRPr="007F146C">
        <w:rPr>
          <w:rtl/>
        </w:rPr>
        <w:t>6050</w:t>
      </w:r>
      <w:r w:rsidRPr="001155DE">
        <w:rPr>
          <w:rStyle w:val="libBold2Char"/>
          <w:rtl/>
        </w:rPr>
        <w:t xml:space="preserve"> / 1.</w:t>
      </w:r>
      <w:r w:rsidRPr="00020424">
        <w:rPr>
          <w:rtl/>
          <w:lang w:bidi="fa-IR"/>
        </w:rPr>
        <w:t xml:space="preserve"> عَلِيُّ بْنُ إِبْرَاهِيمَ ، عَنْ أَبِيهِ ، عَنْ عَبْدِ اللهِ بْنِ الْمُغِيرَةِ ، عَنْ حَرِيزٍ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مَنِ </w:t>
      </w:r>
      <w:r w:rsidRPr="00A91B96">
        <w:rPr>
          <w:rStyle w:val="libFootnotenumChar"/>
          <w:rtl/>
        </w:rPr>
        <w:t>(2)</w:t>
      </w:r>
      <w:r w:rsidRPr="00020424">
        <w:rPr>
          <w:rtl/>
          <w:lang w:bidi="fa-IR"/>
        </w:rPr>
        <w:t xml:space="preserve"> الَّذِي أُجْبَرُ </w:t>
      </w:r>
      <w:r w:rsidRPr="00A91B96">
        <w:rPr>
          <w:rStyle w:val="libFootnotenumChar"/>
          <w:rtl/>
        </w:rPr>
        <w:t>(3)</w:t>
      </w:r>
      <w:r w:rsidRPr="00020424">
        <w:rPr>
          <w:rtl/>
          <w:lang w:bidi="fa-IR"/>
        </w:rPr>
        <w:t xml:space="preserve"> عَلَيْهِ وَتَلْزَمُنِي </w:t>
      </w:r>
      <w:r w:rsidRPr="00A91B96">
        <w:rPr>
          <w:rStyle w:val="libFootnotenumChar"/>
          <w:rtl/>
        </w:rPr>
        <w:t>(4)</w:t>
      </w:r>
      <w:r w:rsidRPr="00020424">
        <w:rPr>
          <w:rtl/>
          <w:lang w:bidi="fa-IR"/>
        </w:rPr>
        <w:t xml:space="preserve"> نَفَقَتُهُ</w:t>
      </w:r>
      <w:r>
        <w:rPr>
          <w:rtl/>
          <w:lang w:bidi="fa-IR"/>
        </w:rPr>
        <w:t>؟</w:t>
      </w:r>
    </w:p>
    <w:p w:rsidR="00992664" w:rsidRPr="00020424" w:rsidRDefault="00992664" w:rsidP="00FD6221">
      <w:pPr>
        <w:pStyle w:val="libNormal"/>
        <w:rPr>
          <w:rtl/>
          <w:lang w:bidi="fa-IR"/>
        </w:rPr>
      </w:pPr>
      <w:r w:rsidRPr="00020424">
        <w:rPr>
          <w:rtl/>
          <w:lang w:bidi="fa-IR"/>
        </w:rPr>
        <w:t xml:space="preserve">قَالَ </w:t>
      </w:r>
      <w:r w:rsidRPr="00A91B96">
        <w:rPr>
          <w:rStyle w:val="libFootnotenumChar"/>
          <w:rtl/>
        </w:rPr>
        <w:t>(5)</w:t>
      </w:r>
      <w:r w:rsidRPr="00020424">
        <w:rPr>
          <w:rtl/>
          <w:lang w:bidi="fa-IR"/>
        </w:rPr>
        <w:t xml:space="preserve"> : « الْوَالِدَانِ ، وَالْوَلَدُ ، وَالزَّوْجَةُ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p>
    <w:p w:rsidR="00992664" w:rsidRPr="00020424" w:rsidRDefault="00992664" w:rsidP="00992664">
      <w:pPr>
        <w:pStyle w:val="libNormal"/>
        <w:rPr>
          <w:rtl/>
          <w:lang w:bidi="fa-IR"/>
        </w:rPr>
      </w:pPr>
      <w:r w:rsidRPr="007F146C">
        <w:rPr>
          <w:rtl/>
        </w:rPr>
        <w:t>6051</w:t>
      </w:r>
      <w:r w:rsidRPr="001155DE">
        <w:rPr>
          <w:rStyle w:val="libBold2Char"/>
          <w:rtl/>
        </w:rPr>
        <w:t xml:space="preserve"> / 2.</w:t>
      </w:r>
      <w:r w:rsidRPr="00020424">
        <w:rPr>
          <w:rtl/>
          <w:lang w:bidi="fa-IR"/>
        </w:rPr>
        <w:t xml:space="preserve"> مُحَمَّدُ بْنُ يَحْيى ، عَنْ أَحْمَدَ بْنِ مُحَمَّدٍ ، عَنْ مُحَمَّدِ بْنِ يَحْيى ، عَنْ غِيَاثِ بْنِ إِبْرَاهِيمَ</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أُتِيَ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بِيَتِيمٍ ، فَقَالَ :</w:t>
      </w:r>
      <w:r>
        <w:rPr>
          <w:rFonts w:hint="cs"/>
          <w:rtl/>
          <w:lang w:bidi="fa-IR"/>
        </w:rPr>
        <w:t xml:space="preserve"> </w:t>
      </w:r>
      <w:r w:rsidRPr="00020424">
        <w:rPr>
          <w:rtl/>
          <w:lang w:bidi="fa-IR"/>
        </w:rPr>
        <w:t xml:space="preserve">خُذُوا بِنَفَقَتِهِ أَقْرَبَ النَّاسِ مِنْهُ </w:t>
      </w:r>
      <w:r w:rsidRPr="00A91B96">
        <w:rPr>
          <w:rStyle w:val="libFootnotenumChar"/>
          <w:rtl/>
        </w:rPr>
        <w:t>(9)</w:t>
      </w:r>
      <w:r w:rsidRPr="00020424">
        <w:rPr>
          <w:rtl/>
          <w:lang w:bidi="fa-IR"/>
        </w:rPr>
        <w:t xml:space="preserve"> مِنَ الْعَشِيرَةِ كَمَا يَأْكُلُ مِيرَاثَهُ</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 « تلزم</w:t>
      </w:r>
      <w:r w:rsidR="00992664">
        <w:rPr>
          <w:rtl/>
        </w:rPr>
        <w:t xml:space="preserve"> ».</w:t>
      </w:r>
      <w:r w:rsidR="00992664" w:rsidRPr="00020424">
        <w:rPr>
          <w:rtl/>
        </w:rPr>
        <w:t xml:space="preserve"> وفي « جن » بالتاء والياء معاً.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FD6221">
        <w:rPr>
          <w:rtl/>
        </w:rPr>
        <w:t>الوافي</w:t>
      </w:r>
      <w:r w:rsidR="00992664" w:rsidRPr="00020424">
        <w:rPr>
          <w:rtl/>
        </w:rPr>
        <w:t xml:space="preserve"> : + « 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معظم النسخ التي قوبلت وحاشية « جن » </w:t>
      </w:r>
      <w:r w:rsidR="00992664" w:rsidRPr="00FD6221">
        <w:rPr>
          <w:rtl/>
        </w:rPr>
        <w:t>والوافي والوسائل والفقيه والتهذيب</w:t>
      </w:r>
      <w:r w:rsidR="00992664" w:rsidRPr="00020424">
        <w:rPr>
          <w:rtl/>
        </w:rPr>
        <w:t xml:space="preserve"> </w:t>
      </w:r>
      <w:r w:rsidR="00FD6221" w:rsidRPr="00FD6221">
        <w:rPr>
          <w:rStyle w:val="libFootnoteBoldChar"/>
          <w:rtl/>
        </w:rPr>
        <w:t>والاستبصار</w:t>
      </w:r>
      <w:r w:rsidR="00FD6221">
        <w:rPr>
          <w:rtl/>
        </w:rPr>
        <w:t>. وفي « جن</w:t>
      </w:r>
      <w:r w:rsidR="00992664" w:rsidRPr="00020424">
        <w:rPr>
          <w:rtl/>
        </w:rPr>
        <w:t>» والمطبوع : « أحتنّ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بر ، بس ، بف » </w:t>
      </w:r>
      <w:r w:rsidR="00992664" w:rsidRPr="00FD6221">
        <w:rPr>
          <w:rtl/>
        </w:rPr>
        <w:t>والوافي والتهذيب</w:t>
      </w:r>
      <w:r w:rsidR="00992664" w:rsidRPr="00020424">
        <w:rPr>
          <w:rtl/>
        </w:rPr>
        <w:t xml:space="preserve"> : « ويلزمني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FD6221">
        <w:rP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والوارث الصغير ؛ يعني الأخ وابن الأخ وغيره</w:t>
      </w:r>
      <w:r w:rsidR="00992664">
        <w:rPr>
          <w:rtl/>
        </w:rPr>
        <w:t xml:space="preserve"> ».</w:t>
      </w:r>
    </w:p>
    <w:p w:rsidR="00992664" w:rsidRPr="00020424" w:rsidRDefault="00992664" w:rsidP="00992664">
      <w:pPr>
        <w:pStyle w:val="libFootnote0"/>
        <w:rPr>
          <w:rtl/>
          <w:lang w:bidi="fa-IR"/>
        </w:rPr>
      </w:pPr>
      <w:r w:rsidRPr="00FD6221">
        <w:rPr>
          <w:rtl/>
        </w:rPr>
        <w:t xml:space="preserve">وفي </w:t>
      </w:r>
      <w:r w:rsidRPr="00DE76B9">
        <w:rPr>
          <w:rStyle w:val="libFootnoteBoldChar"/>
          <w:rtl/>
        </w:rPr>
        <w:t>مرآة العقول</w:t>
      </w:r>
      <w:r w:rsidRPr="00FD6221">
        <w:rPr>
          <w:rtl/>
        </w:rPr>
        <w:t xml:space="preserve"> ، ج 16 ، ص 139 : « ذهب الأصحاب إلى انسحاب هذا الحكم للآباء وإن علوا ، والأولاد وإنّ نزلوا ، ومن حيث الدليل لا يخلو من نظر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6 ، ص 293 ، ح 812 ؛ </w:t>
      </w:r>
      <w:r w:rsidR="00992664" w:rsidRPr="00FD6221">
        <w:rPr>
          <w:rStyle w:val="libFootnoteBoldChar"/>
          <w:rtl/>
        </w:rPr>
        <w:t>والاستبصار</w:t>
      </w:r>
      <w:r w:rsidR="00992664" w:rsidRPr="00020424">
        <w:rPr>
          <w:rtl/>
        </w:rPr>
        <w:t xml:space="preserve"> ، ج 3 ، ص 43 ، ح 144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247 ، باب الأربعة ، ح 109 ، بسند آخر عن عبدالله بن المغيرة. </w:t>
      </w:r>
      <w:r w:rsidR="00992664" w:rsidRPr="0012008A">
        <w:rPr>
          <w:rStyle w:val="libFootnoteBoldChar"/>
          <w:rtl/>
        </w:rPr>
        <w:t>الفقيه</w:t>
      </w:r>
      <w:r w:rsidR="00992664" w:rsidRPr="00020424">
        <w:rPr>
          <w:rtl/>
        </w:rPr>
        <w:t xml:space="preserve"> ، ج 3 ، ص 105 ، ح 3424 ، بسند آخر ، مع زيادة في آخره </w:t>
      </w:r>
      <w:r w:rsidR="00FD6221">
        <w:rPr>
          <w:rFonts w:hint="cs"/>
          <w:rtl/>
        </w:rPr>
        <w:t>.</w:t>
      </w:r>
      <w:r w:rsidR="00992664" w:rsidRPr="0012008A">
        <w:rPr>
          <w:rStyle w:val="libFootnoteBoldChar"/>
          <w:rtl/>
        </w:rPr>
        <w:t>الوافي</w:t>
      </w:r>
      <w:r w:rsidR="00992664" w:rsidRPr="00020424">
        <w:rPr>
          <w:rtl/>
        </w:rPr>
        <w:t xml:space="preserve"> ، ج 10 ، ص 443 ، ح 9847 ؛ </w:t>
      </w:r>
      <w:r w:rsidR="00992664" w:rsidRPr="0012008A">
        <w:rPr>
          <w:rStyle w:val="libFootnoteBoldChar"/>
          <w:rtl/>
        </w:rPr>
        <w:t>الوسائل</w:t>
      </w:r>
      <w:r w:rsidR="00992664" w:rsidRPr="00020424">
        <w:rPr>
          <w:rtl/>
        </w:rPr>
        <w:t xml:space="preserve"> ، ج 21 ، ص 525 ، ح 27761.</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w:t>
      </w:r>
      <w:r w:rsidR="00992664" w:rsidRPr="00FD6221">
        <w:rPr>
          <w:rtl/>
        </w:rPr>
        <w:t>والوافي والتهذيب والاستبصار</w:t>
      </w:r>
      <w:r w:rsidR="00992664" w:rsidRPr="00020424">
        <w:rPr>
          <w:rtl/>
        </w:rPr>
        <w:t xml:space="preserve"> : « إليه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6 ، ص 293 ، ح 814 ؛ </w:t>
      </w:r>
      <w:r w:rsidR="00992664" w:rsidRPr="00FD6221">
        <w:rPr>
          <w:rStyle w:val="libFootnoteBoldChar"/>
          <w:rtl/>
        </w:rPr>
        <w:t>والاستبصار</w:t>
      </w:r>
      <w:r w:rsidR="00992664" w:rsidRPr="00020424">
        <w:rPr>
          <w:rtl/>
        </w:rPr>
        <w:t xml:space="preserve"> ، ج 3 ، ص 44 ، ح 147 ، بسندهما عن غياث ، عن جعفر ، عن أبيه ، عن عليّ </w:t>
      </w:r>
      <w:r w:rsidR="00992664" w:rsidRPr="00D64ADA">
        <w:rPr>
          <w:rStyle w:val="libFootnoteAlaemChar"/>
          <w:rtl/>
        </w:rPr>
        <w:t>عليهم‌السلام</w:t>
      </w:r>
      <w:r w:rsidR="00992664" w:rsidRPr="00020424">
        <w:rPr>
          <w:rtl/>
        </w:rPr>
        <w:t xml:space="preserve"> ، مع اختلاف يسير </w:t>
      </w:r>
      <w:r w:rsidR="00FD6221">
        <w:rPr>
          <w:rFonts w:hint="cs"/>
          <w:rtl/>
        </w:rPr>
        <w:t>.</w:t>
      </w:r>
      <w:r w:rsidR="00992664" w:rsidRPr="0012008A">
        <w:rPr>
          <w:rStyle w:val="libFootnoteBoldChar"/>
          <w:rtl/>
        </w:rPr>
        <w:t>الوافي</w:t>
      </w:r>
      <w:r w:rsidR="00992664" w:rsidRPr="00020424">
        <w:rPr>
          <w:rtl/>
        </w:rPr>
        <w:t xml:space="preserve"> ، ج 10 ، ص 444 ، ح 9849 ؛ </w:t>
      </w:r>
      <w:r w:rsidR="00992664" w:rsidRPr="0012008A">
        <w:rPr>
          <w:rStyle w:val="libFootnoteBoldChar"/>
          <w:rtl/>
        </w:rPr>
        <w:t>الوسائل</w:t>
      </w:r>
      <w:r w:rsidR="00992664" w:rsidRPr="00020424">
        <w:rPr>
          <w:rtl/>
        </w:rPr>
        <w:t xml:space="preserve"> ، ج 21 ، ص 526 ، ح 27762.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F146C">
        <w:rPr>
          <w:rtl/>
        </w:rPr>
        <w:t>6052</w:t>
      </w:r>
      <w:r w:rsidRPr="001155DE">
        <w:rPr>
          <w:rStyle w:val="libBold2Char"/>
          <w:rtl/>
        </w:rPr>
        <w:t xml:space="preserve"> / 3.</w:t>
      </w:r>
      <w:r w:rsidRPr="00020424">
        <w:rPr>
          <w:rtl/>
          <w:lang w:bidi="fa-IR"/>
        </w:rPr>
        <w:t xml:space="preserve"> سَهْلُ بْنُ زِيَادٍ </w:t>
      </w:r>
      <w:r w:rsidRPr="00A91B96">
        <w:rPr>
          <w:rStyle w:val="libFootnotenumChar"/>
          <w:rtl/>
        </w:rPr>
        <w:t>(1)</w:t>
      </w:r>
      <w:r w:rsidRPr="00020424">
        <w:rPr>
          <w:rtl/>
          <w:lang w:bidi="fa-IR"/>
        </w:rPr>
        <w:t xml:space="preserve"> ، عَنْ </w:t>
      </w:r>
      <w:r w:rsidRPr="00A91B96">
        <w:rPr>
          <w:rStyle w:val="libFootnotenumChar"/>
          <w:rtl/>
        </w:rPr>
        <w:t>(2)</w:t>
      </w:r>
      <w:r w:rsidRPr="00020424">
        <w:rPr>
          <w:rtl/>
          <w:lang w:bidi="fa-IR"/>
        </w:rPr>
        <w:t xml:space="preserve"> عَلِيِّ بْنِ الْحَكَمِ ، عَنِ الْعَلَاءِ بْنِ رَزِينٍ </w:t>
      </w:r>
      <w:r w:rsidRPr="00A91B96">
        <w:rPr>
          <w:rStyle w:val="libFootnotenumChar"/>
          <w:rtl/>
        </w:rPr>
        <w:t>(3)</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مَنْ يَلْزَمُ الرَّجُلَ مِنْ قَرَابَتِهِ </w:t>
      </w:r>
      <w:r w:rsidRPr="00A91B96">
        <w:rPr>
          <w:rStyle w:val="libFootnotenumChar"/>
          <w:rtl/>
        </w:rPr>
        <w:t>(4)</w:t>
      </w:r>
      <w:r w:rsidRPr="00020424">
        <w:rPr>
          <w:rtl/>
          <w:lang w:bidi="fa-IR"/>
        </w:rPr>
        <w:t xml:space="preserve"> مِمَّنْ يُنْفِقُ عَلَيْهِ</w:t>
      </w:r>
      <w:r>
        <w:rPr>
          <w:rtl/>
          <w:lang w:bidi="fa-IR"/>
        </w:rPr>
        <w:t>؟</w:t>
      </w:r>
    </w:p>
    <w:p w:rsidR="00992664" w:rsidRPr="00020424" w:rsidRDefault="00992664" w:rsidP="00992664">
      <w:pPr>
        <w:pStyle w:val="libNormal"/>
        <w:rPr>
          <w:rtl/>
          <w:lang w:bidi="fa-IR"/>
        </w:rPr>
      </w:pPr>
      <w:r w:rsidRPr="00020424">
        <w:rPr>
          <w:rtl/>
          <w:lang w:bidi="fa-IR"/>
        </w:rPr>
        <w:t>قَالَ : « الْوَالِدَانِ ، وَالْوَلَدُ ، وَالزَّوْجَةُ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184" w:name="_Toc345172778"/>
      <w:bookmarkStart w:id="185" w:name="_Toc464562594"/>
      <w:bookmarkStart w:id="186" w:name="_Toc44599897"/>
      <w:r w:rsidRPr="00020424">
        <w:rPr>
          <w:rtl/>
          <w:lang w:bidi="fa-IR"/>
        </w:rPr>
        <w:t>56</w:t>
      </w:r>
      <w:r>
        <w:rPr>
          <w:rtl/>
          <w:lang w:bidi="fa-IR"/>
        </w:rPr>
        <w:t xml:space="preserve"> </w:t>
      </w:r>
      <w:r w:rsidR="009B673F">
        <w:rPr>
          <w:rtl/>
          <w:lang w:bidi="fa-IR"/>
        </w:rPr>
        <w:t>-</w:t>
      </w:r>
      <w:r>
        <w:rPr>
          <w:rtl/>
          <w:lang w:bidi="fa-IR"/>
        </w:rPr>
        <w:t xml:space="preserve"> </w:t>
      </w:r>
      <w:r w:rsidRPr="00020424">
        <w:rPr>
          <w:rtl/>
          <w:lang w:bidi="fa-IR"/>
        </w:rPr>
        <w:t xml:space="preserve">بَابُ الصَّدَقَةِ عَلى مَنْ لَاتَعْرِفُهُ </w:t>
      </w:r>
      <w:r w:rsidRPr="00A91B96">
        <w:rPr>
          <w:rStyle w:val="libFootnotenumChar"/>
          <w:rtl/>
        </w:rPr>
        <w:t>(6)</w:t>
      </w:r>
      <w:r w:rsidRPr="00020424">
        <w:rPr>
          <w:rtl/>
          <w:lang w:bidi="fa-IR"/>
        </w:rPr>
        <w:t xml:space="preserve"> ‌</w:t>
      </w:r>
      <w:bookmarkEnd w:id="184"/>
      <w:bookmarkEnd w:id="185"/>
      <w:bookmarkEnd w:id="186"/>
    </w:p>
    <w:p w:rsidR="00992664" w:rsidRPr="00020424" w:rsidRDefault="00992664" w:rsidP="00992664">
      <w:pPr>
        <w:pStyle w:val="libNormal"/>
        <w:rPr>
          <w:rtl/>
          <w:lang w:bidi="fa-IR"/>
        </w:rPr>
      </w:pPr>
      <w:r w:rsidRPr="007F146C">
        <w:rPr>
          <w:rtl/>
        </w:rPr>
        <w:t>6053</w:t>
      </w:r>
      <w:r w:rsidRPr="001155DE">
        <w:rPr>
          <w:rStyle w:val="libBold2Char"/>
          <w:rtl/>
        </w:rPr>
        <w:t xml:space="preserve"> / 1.</w:t>
      </w:r>
      <w:r w:rsidRPr="00020424">
        <w:rPr>
          <w:rtl/>
          <w:lang w:bidi="fa-IR"/>
        </w:rPr>
        <w:t xml:space="preserve"> عَلِيُّ بْنُ إِبْرَاهِيمَ ، عَنْ أَبِيهِ ، عَنْ حَمَّادِ بْنِ عِيسى ، عَنْ حَرِيزٍ ، عَنْ سَدِيرٍ الصَّيْرَفِيِّ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أُطْعِمُ سَائِلاً لَا</w:t>
      </w:r>
      <w:r>
        <w:rPr>
          <w:rFonts w:hint="cs"/>
          <w:rtl/>
          <w:lang w:bidi="fa-IR"/>
        </w:rPr>
        <w:t xml:space="preserve"> </w:t>
      </w:r>
      <w:r w:rsidRPr="00020424">
        <w:rPr>
          <w:rtl/>
          <w:lang w:bidi="fa-IR"/>
        </w:rPr>
        <w:t>أَعْرِفُهُ مُسْلِماً</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 نَعَمْ ، أَعْطِ مَنْ لَاتَعْرِفُهُ بِوَلايَةٍ وَلَاعَدَاوَةٍ لِلْحَقِّ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يَقُولُ :</w:t>
      </w:r>
      <w:r>
        <w:rPr>
          <w:rFonts w:hint="cs"/>
          <w:rtl/>
          <w:lang w:bidi="fa-IR"/>
        </w:rPr>
        <w:t xml:space="preserve"> </w:t>
      </w:r>
      <w:r w:rsidRPr="00005A81">
        <w:rPr>
          <w:rStyle w:val="libAlaemChar"/>
          <w:rtl/>
        </w:rPr>
        <w:t>(</w:t>
      </w:r>
      <w:r w:rsidRPr="004E5AB4">
        <w:rPr>
          <w:rStyle w:val="libAieChar"/>
          <w:rtl/>
        </w:rPr>
        <w:t xml:space="preserve"> وَقُولُوا لِلنّاسِ حُسْناً </w:t>
      </w:r>
      <w:r w:rsidRPr="00005A81">
        <w:rPr>
          <w:rStyle w:val="libAlaemChar"/>
          <w:rtl/>
        </w:rPr>
        <w:t>)</w:t>
      </w:r>
      <w:r w:rsidRPr="00020424">
        <w:rPr>
          <w:rtl/>
          <w:lang w:bidi="fa-IR"/>
        </w:rPr>
        <w:t xml:space="preserve"> </w:t>
      </w:r>
      <w:r w:rsidRPr="00A91B96">
        <w:rPr>
          <w:rStyle w:val="libFootnotenumChar"/>
          <w:rtl/>
        </w:rPr>
        <w:t>(8)</w:t>
      </w:r>
      <w:r w:rsidRPr="00020424">
        <w:rPr>
          <w:rtl/>
          <w:lang w:bidi="fa-IR"/>
        </w:rPr>
        <w:t xml:space="preserve"> وَلَاتُطْعِمْ مَنْ نَصَبَ </w:t>
      </w:r>
      <w:r w:rsidRPr="00A91B96">
        <w:rPr>
          <w:rStyle w:val="libFootnotenumChar"/>
          <w:rtl/>
        </w:rPr>
        <w:t>(9)</w:t>
      </w:r>
      <w:r w:rsidRPr="00020424">
        <w:rPr>
          <w:rtl/>
          <w:lang w:bidi="fa-IR"/>
        </w:rPr>
        <w:t xml:space="preserve"> لِشَيْ‌ءٍ مِنَ الْحَقِّ ، أَوْ دَعَا إِلى شَيْ‌ءٍ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ليس سهل بن زياد من مشايخ الكليني ، ولم يتقدّم في الباب ما يصلح أن يكون هذا السند معلّقاً عليه ، الل</w:t>
      </w:r>
      <w:r w:rsidR="00FD6221">
        <w:rPr>
          <w:rFonts w:hint="cs"/>
          <w:rtl/>
        </w:rPr>
        <w:t>ّ</w:t>
      </w:r>
      <w:r w:rsidR="00FD6221">
        <w:rPr>
          <w:rtl/>
        </w:rPr>
        <w:t>هُمَّ إل</w:t>
      </w:r>
      <w:r w:rsidR="00FD6221">
        <w:rPr>
          <w:rFonts w:hint="cs"/>
          <w:rtl/>
        </w:rPr>
        <w:t>ّ</w:t>
      </w:r>
      <w:r w:rsidR="00FD6221">
        <w:rPr>
          <w:rtl/>
        </w:rPr>
        <w:t>ا</w:t>
      </w:r>
      <w:r w:rsidR="00992664">
        <w:rPr>
          <w:rFonts w:hint="cs"/>
          <w:rtl/>
        </w:rPr>
        <w:t xml:space="preserve"> </w:t>
      </w:r>
      <w:r w:rsidR="00992664" w:rsidRPr="00020424">
        <w:rPr>
          <w:rtl/>
        </w:rPr>
        <w:t>أن يكون هذا النحو من ذكرالسند لوضوح طريق الكليني إلى سهل بن زياد وهو « عدّة من أصحابنا » في أكثر من الثمانين بالنسبة إلى المائة في أسناد سهل بن زياد.</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وعن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بف » : « علا » بدل « العلاء بن رزين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 « القرابة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الزكاة ، باب تفضيل القرابة في الزكاة</w:t>
      </w:r>
      <w:r w:rsidR="00992664">
        <w:rPr>
          <w:rtl/>
        </w:rPr>
        <w:t xml:space="preserve"> ..</w:t>
      </w:r>
      <w:r w:rsidR="00992664" w:rsidRPr="00020424">
        <w:rPr>
          <w:rtl/>
        </w:rPr>
        <w:t xml:space="preserve">. ، ح 5923 ؛ </w:t>
      </w:r>
      <w:r w:rsidR="00992664" w:rsidRPr="00515444">
        <w:rPr>
          <w:rStyle w:val="libFootnoteBoldChar"/>
          <w:rtl/>
        </w:rPr>
        <w:t>والتهذيب</w:t>
      </w:r>
      <w:r w:rsidR="00992664" w:rsidRPr="00020424">
        <w:rPr>
          <w:rtl/>
        </w:rPr>
        <w:t xml:space="preserve"> ، ج 4 ، ص 56 ، ح 149 و150 ؛ وص 100 ، ح 283 ؛ </w:t>
      </w:r>
      <w:r w:rsidR="00992664" w:rsidRPr="00FD6221">
        <w:rPr>
          <w:rStyle w:val="libFootnoteBoldChar"/>
          <w:rtl/>
        </w:rPr>
        <w:t>والاستبصار</w:t>
      </w:r>
      <w:r w:rsidR="00992664" w:rsidRPr="00020424">
        <w:rPr>
          <w:rtl/>
        </w:rPr>
        <w:t xml:space="preserve"> ، ج 2 ، ص 33 ، ح 100 </w:t>
      </w:r>
      <w:r w:rsidR="00FD6221">
        <w:rPr>
          <w:rFonts w:hint="cs"/>
          <w:rtl/>
        </w:rPr>
        <w:t>.</w:t>
      </w:r>
      <w:r w:rsidR="00992664" w:rsidRPr="0012008A">
        <w:rPr>
          <w:rStyle w:val="libFootnoteBoldChar"/>
          <w:rtl/>
        </w:rPr>
        <w:t>الوافي</w:t>
      </w:r>
      <w:r w:rsidR="00992664" w:rsidRPr="00020424">
        <w:rPr>
          <w:rtl/>
        </w:rPr>
        <w:t xml:space="preserve"> ، ج 10 ، ص 445 ، ح 9850 ؛ </w:t>
      </w:r>
      <w:r w:rsidR="00992664" w:rsidRPr="0012008A">
        <w:rPr>
          <w:rStyle w:val="libFootnoteBoldChar"/>
          <w:rtl/>
        </w:rPr>
        <w:t>الوسائل</w:t>
      </w:r>
      <w:r w:rsidR="00992664" w:rsidRPr="00020424">
        <w:rPr>
          <w:rtl/>
        </w:rPr>
        <w:t xml:space="preserve"> ، ج 21 ، ص 526 ، ح 27763.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لا يعرف</w:t>
      </w:r>
      <w:r w:rsidR="00992664">
        <w:rPr>
          <w:rtl/>
        </w:rPr>
        <w:t xml:space="preserve"> ».</w:t>
      </w:r>
      <w:r w:rsidR="00992664" w:rsidRPr="00020424">
        <w:rPr>
          <w:rtl/>
        </w:rPr>
        <w:t xml:space="preserve"> وفي « بخ » : « لا يعرفه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بح » </w:t>
      </w:r>
      <w:r w:rsidR="00992664" w:rsidRPr="00FD6221">
        <w:rPr>
          <w:rtl/>
        </w:rPr>
        <w:t>والوسائل والبحار</w:t>
      </w:r>
      <w:r w:rsidR="00992664" w:rsidRPr="00020424">
        <w:rPr>
          <w:rtl/>
        </w:rPr>
        <w:t xml:space="preserve"> وتفسير العيّاشي : « 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البقرة </w:t>
      </w:r>
      <w:r w:rsidR="00FD6221">
        <w:rPr>
          <w:rtl/>
        </w:rPr>
        <w:t>(2)</w:t>
      </w:r>
      <w:r w:rsidR="0014403D">
        <w:rPr>
          <w:rtl/>
        </w:rPr>
        <w:t xml:space="preserve"> </w:t>
      </w:r>
      <w:r w:rsidR="00992664" w:rsidRPr="00020424">
        <w:rPr>
          <w:rtl/>
        </w:rPr>
        <w:t>: 83.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النَصْب » : المعاداة ، يقال : نَصَبَ فلان لفلان نَصْباً : إذا قصد له وعاداه وتجرّد له. راجع : </w:t>
      </w:r>
      <w:r w:rsidR="00992664" w:rsidRPr="0012008A">
        <w:rPr>
          <w:rStyle w:val="libFootnoteBoldChar"/>
          <w:rtl/>
        </w:rPr>
        <w:t>الصحاح</w:t>
      </w:r>
      <w:r w:rsidR="00992664" w:rsidRPr="00020424">
        <w:rPr>
          <w:rtl/>
        </w:rPr>
        <w:t xml:space="preserve"> ، ج 1 ، ص 225 ؛ </w:t>
      </w:r>
      <w:r w:rsidR="00992664" w:rsidRPr="00A722B1">
        <w:rPr>
          <w:rStyle w:val="libFootnoteBoldChar"/>
          <w:rtl/>
        </w:rPr>
        <w:t>لسان العرب</w:t>
      </w:r>
      <w:r w:rsidR="00992664" w:rsidRPr="00020424">
        <w:rPr>
          <w:rtl/>
        </w:rPr>
        <w:t xml:space="preserve"> ، ج 1 ، ص 761 ( نصب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sidRPr="00020424">
        <w:rPr>
          <w:rtl/>
          <w:lang w:bidi="fa-IR"/>
        </w:rPr>
        <w:t>الْبَاطِلِ</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7F146C">
        <w:rPr>
          <w:rtl/>
        </w:rPr>
        <w:t>6054</w:t>
      </w:r>
      <w:r w:rsidRPr="001155DE">
        <w:rPr>
          <w:rStyle w:val="libBold2Char"/>
          <w:rtl/>
        </w:rPr>
        <w:t xml:space="preserve"> / 2.</w:t>
      </w:r>
      <w:r w:rsidRPr="00020424">
        <w:rPr>
          <w:rtl/>
          <w:lang w:bidi="fa-IR"/>
        </w:rPr>
        <w:t xml:space="preserve"> عِدَّةٌ مِنْ أَصْحَابِنَا ، عَنْ أَحْمَدَ بْنِ أَبِي عَبْدِ اللهِ ، عَنْ أَبِيهِ ، عَنْ عَبْدِ اللهِ بْنِ الْفَضْلِ </w:t>
      </w:r>
      <w:r w:rsidRPr="00A91B96">
        <w:rPr>
          <w:rStyle w:val="libFootnotenumChar"/>
          <w:rtl/>
        </w:rPr>
        <w:t>(2)</w:t>
      </w:r>
      <w:r w:rsidRPr="00020424">
        <w:rPr>
          <w:rtl/>
          <w:lang w:bidi="fa-IR"/>
        </w:rPr>
        <w:t xml:space="preserve"> النَّوْفَلِيِّ ، عَنْ أَبِيهِ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السَّائِلِ يَسْأَلُ </w:t>
      </w:r>
      <w:r w:rsidRPr="00A91B96">
        <w:rPr>
          <w:rStyle w:val="libFootnotenumChar"/>
          <w:rtl/>
        </w:rPr>
        <w:t>(3)</w:t>
      </w:r>
      <w:r w:rsidRPr="00020424">
        <w:rPr>
          <w:rtl/>
          <w:lang w:bidi="fa-IR"/>
        </w:rPr>
        <w:t xml:space="preserve"> ، وَلَايُدْرى مَا هُوَ</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أَعْطِ مَنْ وَقَعَتْ لَهُ الرَّحْمَةُ فِي قَلْبِكَ </w:t>
      </w:r>
      <w:r w:rsidRPr="00A91B96">
        <w:rPr>
          <w:rStyle w:val="libFootnotenumChar"/>
          <w:rtl/>
        </w:rPr>
        <w:t>(5)</w:t>
      </w:r>
      <w:r w:rsidRPr="00020424">
        <w:rPr>
          <w:rtl/>
          <w:lang w:bidi="fa-IR"/>
        </w:rPr>
        <w:t xml:space="preserve"> » وَقَالَ </w:t>
      </w:r>
      <w:r w:rsidRPr="00A91B96">
        <w:rPr>
          <w:rStyle w:val="libFootnotenumChar"/>
          <w:rtl/>
        </w:rPr>
        <w:t>(6)</w:t>
      </w:r>
      <w:r w:rsidRPr="00020424">
        <w:rPr>
          <w:rtl/>
          <w:lang w:bidi="fa-IR"/>
        </w:rPr>
        <w:t xml:space="preserve"> : « أَعْطِ </w:t>
      </w:r>
      <w:r w:rsidRPr="00A91B96">
        <w:rPr>
          <w:rStyle w:val="libFootnotenumChar"/>
          <w:rtl/>
        </w:rPr>
        <w:t>(7)</w:t>
      </w:r>
      <w:r w:rsidRPr="00020424">
        <w:rPr>
          <w:rtl/>
          <w:lang w:bidi="fa-IR"/>
        </w:rPr>
        <w:t xml:space="preserve"> دُونَ الدِّرْهَمِ</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(8)</w:t>
      </w:r>
      <w:r w:rsidRPr="00020424">
        <w:rPr>
          <w:rtl/>
          <w:lang w:bidi="fa-IR"/>
        </w:rPr>
        <w:t xml:space="preserve"> : أَكْثَرُ مَا يُعْطى</w:t>
      </w:r>
      <w:r>
        <w:rPr>
          <w:rtl/>
          <w:lang w:bidi="fa-IR"/>
        </w:rPr>
        <w:t>؟</w:t>
      </w:r>
      <w:r w:rsidRPr="00020424">
        <w:rPr>
          <w:rtl/>
          <w:lang w:bidi="fa-IR"/>
        </w:rPr>
        <w:t xml:space="preserve"> قَالَ : « أَرْبَعَةُ دَوَانِيقَ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Heading2Center"/>
        <w:rPr>
          <w:rtl/>
          <w:lang w:bidi="fa-IR"/>
        </w:rPr>
      </w:pPr>
      <w:bookmarkStart w:id="187" w:name="_Toc345172779"/>
      <w:bookmarkStart w:id="188" w:name="_Toc464562595"/>
      <w:bookmarkStart w:id="189" w:name="_Toc44599898"/>
      <w:r w:rsidRPr="00020424">
        <w:rPr>
          <w:rtl/>
          <w:lang w:bidi="fa-IR"/>
        </w:rPr>
        <w:t>57</w:t>
      </w:r>
      <w:r>
        <w:rPr>
          <w:rtl/>
          <w:lang w:bidi="fa-IR"/>
        </w:rPr>
        <w:t xml:space="preserve"> </w:t>
      </w:r>
      <w:r w:rsidR="009B673F">
        <w:rPr>
          <w:rtl/>
          <w:lang w:bidi="fa-IR"/>
        </w:rPr>
        <w:t>-</w:t>
      </w:r>
      <w:r>
        <w:rPr>
          <w:rtl/>
          <w:lang w:bidi="fa-IR"/>
        </w:rPr>
        <w:t xml:space="preserve"> </w:t>
      </w:r>
      <w:r w:rsidRPr="00020424">
        <w:rPr>
          <w:rtl/>
          <w:lang w:bidi="fa-IR"/>
        </w:rPr>
        <w:t xml:space="preserve">بَابُ الصَّدَقَةِ عَلى أَهْلِ الْبَوَادِي وَأَهْلِ </w:t>
      </w:r>
      <w:r w:rsidRPr="00A91B96">
        <w:rPr>
          <w:rStyle w:val="libFootnotenumChar"/>
          <w:rtl/>
        </w:rPr>
        <w:t>(11)</w:t>
      </w:r>
      <w:r>
        <w:rPr>
          <w:rtl/>
        </w:rPr>
        <w:t xml:space="preserve"> </w:t>
      </w:r>
      <w:r w:rsidRPr="00020424">
        <w:rPr>
          <w:rtl/>
          <w:lang w:bidi="fa-IR"/>
        </w:rPr>
        <w:t>السَّوَادِ‌</w:t>
      </w:r>
      <w:bookmarkEnd w:id="187"/>
      <w:bookmarkEnd w:id="188"/>
      <w:bookmarkEnd w:id="189"/>
    </w:p>
    <w:p w:rsidR="00992664" w:rsidRPr="00020424" w:rsidRDefault="00992664" w:rsidP="00992664">
      <w:pPr>
        <w:pStyle w:val="libNormal"/>
        <w:rPr>
          <w:rtl/>
          <w:lang w:bidi="fa-IR"/>
        </w:rPr>
      </w:pPr>
      <w:r w:rsidRPr="007F146C">
        <w:rPr>
          <w:rtl/>
        </w:rPr>
        <w:t>6055</w:t>
      </w:r>
      <w:r w:rsidRPr="001155DE">
        <w:rPr>
          <w:rStyle w:val="libBold2Char"/>
          <w:rtl/>
        </w:rPr>
        <w:t xml:space="preserve"> / 1.</w:t>
      </w:r>
      <w:r w:rsidRPr="00020424">
        <w:rPr>
          <w:rtl/>
          <w:lang w:bidi="fa-IR"/>
        </w:rPr>
        <w:t xml:space="preserve"> عِدَّةٌ مِنْ أَصْحَابِنَا ، عَنْ أَحْمَدَ بْنِ مُحَمَّدٍ ، عَنْ مُحَمَّدِ بْنِ إِسْمَاعِيلَ بْنِ بَزِيعٍ أَوْ‌</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107 ، ح 306 ، معلّقاً عن الكليني. </w:t>
      </w:r>
      <w:r w:rsidR="00992664" w:rsidRPr="00DE76B9">
        <w:rPr>
          <w:rStyle w:val="libFootnoteBoldChar"/>
          <w:rtl/>
        </w:rPr>
        <w:t>تفسير العيّاشي</w:t>
      </w:r>
      <w:r w:rsidR="00992664" w:rsidRPr="00020424">
        <w:rPr>
          <w:rtl/>
        </w:rPr>
        <w:t xml:space="preserve"> ، ج 1 ، ص 48 ، ح 64 ، عن حريز ، عن برير ، عن أبي عبدالله </w:t>
      </w:r>
      <w:r w:rsidR="00992664" w:rsidRPr="00D64ADA">
        <w:rPr>
          <w:rStyle w:val="libFootnoteAlaemChar"/>
          <w:rtl/>
        </w:rPr>
        <w:t>عليه‌السلام</w:t>
      </w:r>
      <w:r w:rsidR="00992664" w:rsidRPr="00020424">
        <w:rPr>
          <w:rtl/>
        </w:rPr>
        <w:t xml:space="preserve"> مع اختلاف يسير </w:t>
      </w:r>
      <w:r w:rsidR="00FD6221">
        <w:rPr>
          <w:rFonts w:hint="cs"/>
          <w:rtl/>
        </w:rPr>
        <w:t>.</w:t>
      </w:r>
      <w:r w:rsidR="00992664" w:rsidRPr="0012008A">
        <w:rPr>
          <w:rStyle w:val="libFootnoteBoldChar"/>
          <w:rtl/>
        </w:rPr>
        <w:t>الوافي</w:t>
      </w:r>
      <w:r w:rsidR="00992664" w:rsidRPr="00020424">
        <w:rPr>
          <w:rtl/>
        </w:rPr>
        <w:t xml:space="preserve"> ، ج 10 ، ص 405 ، ح 9777 ؛ </w:t>
      </w:r>
      <w:r w:rsidR="00992664" w:rsidRPr="0012008A">
        <w:rPr>
          <w:rStyle w:val="libFootnoteBoldChar"/>
          <w:rtl/>
        </w:rPr>
        <w:t>الوسائل</w:t>
      </w:r>
      <w:r w:rsidR="00992664" w:rsidRPr="00020424">
        <w:rPr>
          <w:rtl/>
        </w:rPr>
        <w:t xml:space="preserve"> ، ج 9 ، ص 414 ، ح 12363.</w:t>
      </w:r>
    </w:p>
    <w:p w:rsidR="00992664" w:rsidRPr="00020424" w:rsidRDefault="00795177" w:rsidP="00FD6221">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عن</w:t>
      </w:r>
      <w:r w:rsidR="00992664">
        <w:rPr>
          <w:rtl/>
        </w:rPr>
        <w:t xml:space="preserve"> ».</w:t>
      </w:r>
      <w:r w:rsidR="00992664" w:rsidRPr="00020424">
        <w:rPr>
          <w:rtl/>
        </w:rPr>
        <w:t xml:space="preserve"> ولكنّه لم يرد في بعض نسخه المعتبرة ، وهو الظاهر. راجع : </w:t>
      </w:r>
      <w:r w:rsidR="00992664" w:rsidRPr="00DE76B9">
        <w:rPr>
          <w:rStyle w:val="libFootnoteBoldChar"/>
          <w:rtl/>
        </w:rPr>
        <w:t>رجال النجاشي</w:t>
      </w:r>
      <w:r w:rsidR="00992664" w:rsidRPr="00020424">
        <w:rPr>
          <w:rtl/>
        </w:rPr>
        <w:t xml:space="preserve"> ، ص 224 ، الرقم 585.</w:t>
      </w:r>
      <w:r w:rsidR="00FD6221">
        <w:rPr>
          <w:rFonts w:hint="cs"/>
          <w:rtl/>
        </w:rPr>
        <w:t xml:space="preserve">                                   </w:t>
      </w:r>
      <w:r>
        <w:rPr>
          <w:rtl/>
        </w:rPr>
        <w:t>(3).</w:t>
      </w:r>
      <w:r w:rsidR="0014403D">
        <w:rPr>
          <w:rtl/>
        </w:rPr>
        <w:t xml:space="preserve"> </w:t>
      </w:r>
      <w:r w:rsidR="00992664" w:rsidRPr="00020424">
        <w:rPr>
          <w:rtl/>
        </w:rPr>
        <w:t>في « بر » : « بليل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بح ، بر ، بف » </w:t>
      </w:r>
      <w:r w:rsidR="00992664" w:rsidRPr="00FD6221">
        <w:rPr>
          <w:rtl/>
        </w:rPr>
        <w:t>والوافي والوسائل والفقيه والتهذيب</w:t>
      </w:r>
      <w:r w:rsidR="00992664" w:rsidRPr="00020424">
        <w:rPr>
          <w:rtl/>
        </w:rPr>
        <w:t>. وفي سائر النسخ والمطبوع : « قال</w:t>
      </w:r>
      <w:r w:rsidR="00992664">
        <w:rPr>
          <w:rtl/>
        </w:rPr>
        <w:t xml:space="preserve"> ».</w:t>
      </w:r>
    </w:p>
    <w:p w:rsidR="00992664" w:rsidRPr="00020424" w:rsidRDefault="00795177" w:rsidP="00FD6221">
      <w:pPr>
        <w:pStyle w:val="libFootnote0"/>
        <w:rPr>
          <w:rtl/>
          <w:lang w:bidi="fa-IR"/>
        </w:rPr>
      </w:pPr>
      <w:r>
        <w:rPr>
          <w:rtl/>
        </w:rPr>
        <w:t>(5).</w:t>
      </w:r>
      <w:r w:rsidR="0014403D">
        <w:rPr>
          <w:rtl/>
        </w:rPr>
        <w:t xml:space="preserve"> </w:t>
      </w:r>
      <w:r w:rsidR="00992664" w:rsidRPr="00020424">
        <w:rPr>
          <w:rtl/>
        </w:rPr>
        <w:t xml:space="preserve">في « بح » </w:t>
      </w:r>
      <w:r w:rsidR="00992664" w:rsidRPr="00FD6221">
        <w:rPr>
          <w:rtl/>
        </w:rPr>
        <w:t>والوسائل والتهذيب</w:t>
      </w:r>
      <w:r w:rsidR="00992664" w:rsidRPr="00020424">
        <w:rPr>
          <w:rtl/>
        </w:rPr>
        <w:t xml:space="preserve"> : « في قلبك له الرحمة</w:t>
      </w:r>
      <w:r w:rsidR="00992664">
        <w:rPr>
          <w:rtl/>
        </w:rPr>
        <w:t xml:space="preserve"> ».</w:t>
      </w:r>
      <w:r w:rsidR="00992664" w:rsidRPr="00020424">
        <w:rPr>
          <w:rtl/>
        </w:rPr>
        <w:t xml:space="preserve"> وفي « بخ ، بر ، بف </w:t>
      </w:r>
      <w:r w:rsidR="00992664" w:rsidRPr="00FD6221">
        <w:rPr>
          <w:rtl/>
        </w:rPr>
        <w:t>» والوافي والفقيه</w:t>
      </w:r>
      <w:r w:rsidR="00992664" w:rsidRPr="00020424">
        <w:rPr>
          <w:rtl/>
        </w:rPr>
        <w:t xml:space="preserve"> : « في قلبك الرحمة له</w:t>
      </w:r>
      <w:r w:rsidR="00992664">
        <w:rPr>
          <w:rtl/>
        </w:rPr>
        <w:t xml:space="preserve"> ».</w:t>
      </w:r>
      <w:r w:rsidR="00FD6221">
        <w:rPr>
          <w:rFonts w:hint="cs"/>
          <w:rtl/>
        </w:rPr>
        <w:t xml:space="preserve">                                            </w:t>
      </w:r>
      <w:r>
        <w:rPr>
          <w:rtl/>
        </w:rPr>
        <w:t>(6).</w:t>
      </w:r>
      <w:r w:rsidR="0014403D">
        <w:rPr>
          <w:rtl/>
        </w:rPr>
        <w:t xml:space="preserve"> </w:t>
      </w:r>
      <w:r w:rsidR="00992664" w:rsidRPr="00020424">
        <w:rPr>
          <w:rtl/>
        </w:rPr>
        <w:t xml:space="preserve">في « بح » </w:t>
      </w:r>
      <w:r w:rsidR="00992664" w:rsidRPr="00FD6221">
        <w:rPr>
          <w:rtl/>
        </w:rPr>
        <w:t>والوافي والوسائل</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بف » : + « ما</w:t>
      </w:r>
      <w:r w:rsidR="00992664">
        <w:rPr>
          <w:rtl/>
        </w:rPr>
        <w:t xml:space="preserve"> ».</w:t>
      </w:r>
      <w:r w:rsidR="00992664" w:rsidRPr="00020424">
        <w:rPr>
          <w:rtl/>
        </w:rPr>
        <w:t xml:space="preserve"> وفي </w:t>
      </w:r>
      <w:r w:rsidR="00992664" w:rsidRPr="00FD6221">
        <w:rPr>
          <w:rtl/>
        </w:rPr>
        <w:t>الوافي</w:t>
      </w:r>
      <w:r w:rsidR="00992664" w:rsidRPr="00020424">
        <w:rPr>
          <w:rtl/>
        </w:rPr>
        <w:t xml:space="preserve"> : « أعطه 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FD6221">
        <w:rPr>
          <w:rtl/>
        </w:rPr>
        <w:t>التهذيب</w:t>
      </w:r>
      <w:r w:rsidR="00992664" w:rsidRPr="00020424">
        <w:rPr>
          <w:rtl/>
        </w:rPr>
        <w:t xml:space="preserve"> : « فقلت</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دَوانيق » : جمع دانق ، وهو</w:t>
      </w:r>
      <w:r w:rsidR="00992664">
        <w:rPr>
          <w:rtl/>
        </w:rPr>
        <w:t xml:space="preserve"> </w:t>
      </w:r>
      <w:r w:rsidR="009B673F">
        <w:rPr>
          <w:rtl/>
        </w:rPr>
        <w:t>-</w:t>
      </w:r>
      <w:r w:rsidR="00992664">
        <w:rPr>
          <w:rtl/>
        </w:rPr>
        <w:t xml:space="preserve"> </w:t>
      </w:r>
      <w:r w:rsidR="00992664" w:rsidRPr="00020424">
        <w:rPr>
          <w:rtl/>
        </w:rPr>
        <w:t>بكسر النون وفتحها</w:t>
      </w:r>
      <w:r w:rsidR="00992664">
        <w:rPr>
          <w:rtl/>
        </w:rPr>
        <w:t xml:space="preserve"> </w:t>
      </w:r>
      <w:r w:rsidR="009B673F">
        <w:rPr>
          <w:rtl/>
        </w:rPr>
        <w:t>-</w:t>
      </w:r>
      <w:r w:rsidR="00992664">
        <w:rPr>
          <w:rtl/>
        </w:rPr>
        <w:t xml:space="preserve"> </w:t>
      </w:r>
      <w:r w:rsidR="00992664" w:rsidRPr="00020424">
        <w:rPr>
          <w:rtl/>
        </w:rPr>
        <w:t>سدس الدرهم والدينار. وقال الفيّومي : « الدانق : معرّب وهو سدس درهم ، وهو عند اليونان حبّتا خَرنوب ؛ لأنّ الدرهم عندهم اثنتا عشرة حبّة خرنوب ، والدانق الإسلامي حبّتا خرنوب وثلثا حبّة خرنوب ؛ فإنّ الدرهم الإسلامي ستّ عشرة حبّة خرنوب</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10 ، ص 105 ؛ </w:t>
      </w:r>
      <w:r w:rsidR="00992664" w:rsidRPr="00A722B1">
        <w:rPr>
          <w:rStyle w:val="libFootnoteBoldChar"/>
          <w:rtl/>
        </w:rPr>
        <w:t>المصباح المنير</w:t>
      </w:r>
      <w:r w:rsidR="00992664" w:rsidRPr="00020424">
        <w:rPr>
          <w:rtl/>
        </w:rPr>
        <w:t xml:space="preserve"> ، ص 201 ( دنق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107 ، ح 307 ، معلّقاً عن الكليني. </w:t>
      </w:r>
      <w:r w:rsidR="00992664" w:rsidRPr="0012008A">
        <w:rPr>
          <w:rStyle w:val="libFootnoteBoldChar"/>
          <w:rtl/>
        </w:rPr>
        <w:t>الفقيه</w:t>
      </w:r>
      <w:r w:rsidR="00992664" w:rsidRPr="00020424">
        <w:rPr>
          <w:rtl/>
        </w:rPr>
        <w:t xml:space="preserve"> ، ج 2 ، ص 68 ، ح 1743 ، مرسلاً مع اختلاف يسير </w:t>
      </w:r>
      <w:r w:rsidR="00FD6221">
        <w:rPr>
          <w:rFonts w:hint="cs"/>
          <w:rtl/>
        </w:rPr>
        <w:t>.</w:t>
      </w:r>
      <w:r w:rsidR="00992664" w:rsidRPr="0012008A">
        <w:rPr>
          <w:rStyle w:val="libFootnoteBoldChar"/>
          <w:rtl/>
        </w:rPr>
        <w:t>الوافي</w:t>
      </w:r>
      <w:r w:rsidR="00992664" w:rsidRPr="00020424">
        <w:rPr>
          <w:rtl/>
        </w:rPr>
        <w:t xml:space="preserve"> ، ج 10 ، ص 406 ، ح 9778 ؛ </w:t>
      </w:r>
      <w:r w:rsidR="00992664" w:rsidRPr="0012008A">
        <w:rPr>
          <w:rStyle w:val="libFootnoteBoldChar"/>
          <w:rtl/>
        </w:rPr>
        <w:t>الوسائل</w:t>
      </w:r>
      <w:r w:rsidR="00992664" w:rsidRPr="00020424">
        <w:rPr>
          <w:rtl/>
        </w:rPr>
        <w:t xml:space="preserve"> ، ج 9 ، ص 414 ، ح 12364.</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أهل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sidRPr="00020424">
        <w:rPr>
          <w:rtl/>
          <w:lang w:bidi="fa-IR"/>
        </w:rPr>
        <w:t>غَيْرِهِ ، عَنْ مُحَمَّدِ بْنِ عُذَافِرٍ ، عَنْ عُمَرَ بْنِ يَزِيدَ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الصَّدَقَةِ عَلى أَهْلِ الْبَوَادِي وَالسَّوَادِ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 تَصَدَّقْ </w:t>
      </w:r>
      <w:r w:rsidRPr="00A91B96">
        <w:rPr>
          <w:rStyle w:val="libFootnotenumChar"/>
          <w:rtl/>
        </w:rPr>
        <w:t>(3)</w:t>
      </w:r>
      <w:r w:rsidRPr="00020424">
        <w:rPr>
          <w:rtl/>
          <w:lang w:bidi="fa-IR"/>
        </w:rPr>
        <w:t xml:space="preserve"> عَلَى الصِّبْيَانِ وَالنِّسَاءِ وَالزَّمْنى </w:t>
      </w:r>
      <w:r w:rsidRPr="00A91B96">
        <w:rPr>
          <w:rStyle w:val="libFootnotenumChar"/>
          <w:rtl/>
        </w:rPr>
        <w:t>(4)</w:t>
      </w:r>
      <w:r w:rsidRPr="00020424">
        <w:rPr>
          <w:rtl/>
          <w:lang w:bidi="fa-IR"/>
        </w:rPr>
        <w:t xml:space="preserve"> وَالضُّعَفَاءِ وَالشُّيُوخِ » وَكَانَ يَنْهى عَنْ أُولئِكَ الْجُمَّانِينَ </w:t>
      </w:r>
      <w:r w:rsidRPr="00A91B96">
        <w:rPr>
          <w:rStyle w:val="libFootnotenumChar"/>
          <w:rtl/>
        </w:rPr>
        <w:t>(5)</w:t>
      </w:r>
      <w:r w:rsidRPr="00020424">
        <w:rPr>
          <w:rtl/>
          <w:lang w:bidi="fa-IR"/>
        </w:rPr>
        <w:t xml:space="preserve"> ، يَعْنِي أَصْحَابَ الشُّعُورِ.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7F146C">
        <w:rPr>
          <w:rtl/>
        </w:rPr>
        <w:t>6056</w:t>
      </w:r>
      <w:r w:rsidRPr="001155DE">
        <w:rPr>
          <w:rStyle w:val="libBold2Char"/>
          <w:rtl/>
        </w:rPr>
        <w:t xml:space="preserve"> / 2.</w:t>
      </w:r>
      <w:r w:rsidRPr="00020424">
        <w:rPr>
          <w:rtl/>
          <w:lang w:bidi="fa-IR"/>
        </w:rPr>
        <w:t xml:space="preserve"> أَحْمَدُ بْنُ مُحَمَّدٍ </w:t>
      </w:r>
      <w:r w:rsidRPr="00A91B96">
        <w:rPr>
          <w:rStyle w:val="libFootnotenumChar"/>
          <w:rtl/>
        </w:rPr>
        <w:t>(7)</w:t>
      </w:r>
      <w:r w:rsidRPr="00020424">
        <w:rPr>
          <w:rtl/>
          <w:lang w:bidi="fa-IR"/>
        </w:rPr>
        <w:t xml:space="preserve"> ، عَنْ عَلِيِّ بْنِ الصَّلْتِ ، عَنْ زُرْعَةَ ، عَنْ مِنْهَالٍ الْقَصَّابِ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FD6221" w:rsidTr="00FD6221">
        <w:tc>
          <w:tcPr>
            <w:tcW w:w="4006" w:type="dxa"/>
          </w:tcPr>
          <w:p w:rsidR="00FD6221" w:rsidRDefault="00FD6221" w:rsidP="00992664">
            <w:pPr>
              <w:pStyle w:val="libFootnote0"/>
              <w:rPr>
                <w:rtl/>
              </w:rPr>
            </w:pPr>
            <w:r>
              <w:rPr>
                <w:rtl/>
              </w:rPr>
              <w:t xml:space="preserve">(1). </w:t>
            </w:r>
            <w:r w:rsidRPr="00020424">
              <w:rPr>
                <w:rtl/>
              </w:rPr>
              <w:t xml:space="preserve">في « بر » </w:t>
            </w:r>
            <w:r w:rsidRPr="00FD6221">
              <w:rPr>
                <w:rtl/>
              </w:rPr>
              <w:t>والوافي</w:t>
            </w:r>
            <w:r w:rsidRPr="00020424">
              <w:rPr>
                <w:rtl/>
              </w:rPr>
              <w:t xml:space="preserve"> :</w:t>
            </w:r>
            <w:r>
              <w:rPr>
                <w:rtl/>
              </w:rPr>
              <w:t xml:space="preserve"> - </w:t>
            </w:r>
            <w:r w:rsidRPr="00020424">
              <w:rPr>
                <w:rtl/>
              </w:rPr>
              <w:t>« والسواد</w:t>
            </w:r>
            <w:r>
              <w:rPr>
                <w:rtl/>
              </w:rPr>
              <w:t xml:space="preserve"> ».</w:t>
            </w:r>
          </w:p>
        </w:tc>
        <w:tc>
          <w:tcPr>
            <w:tcW w:w="4006" w:type="dxa"/>
          </w:tcPr>
          <w:p w:rsidR="00FD6221" w:rsidRDefault="00FD6221" w:rsidP="00992664">
            <w:pPr>
              <w:pStyle w:val="libFootnote0"/>
              <w:rPr>
                <w:rtl/>
              </w:rPr>
            </w:pPr>
            <w:r>
              <w:rPr>
                <w:rtl/>
              </w:rPr>
              <w:t xml:space="preserve">(2). </w:t>
            </w:r>
            <w:r w:rsidRPr="00020424">
              <w:rPr>
                <w:rtl/>
              </w:rPr>
              <w:t xml:space="preserve">في « بث ، بخ ، بر » </w:t>
            </w:r>
            <w:r w:rsidRPr="00FD6221">
              <w:rPr>
                <w:rtl/>
              </w:rPr>
              <w:t>والوافي</w:t>
            </w:r>
            <w:r w:rsidRPr="00020424">
              <w:rPr>
                <w:rtl/>
              </w:rPr>
              <w:t xml:space="preserve"> : « 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FD6221">
        <w:rPr>
          <w:rtl/>
        </w:rPr>
        <w:t>الوافي</w:t>
      </w:r>
      <w:r w:rsidR="00992664" w:rsidRPr="00020424">
        <w:rPr>
          <w:rtl/>
        </w:rPr>
        <w:t xml:space="preserve"> : « تصرف</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بر ، بف » </w:t>
      </w:r>
      <w:r w:rsidR="00992664" w:rsidRPr="00FD6221">
        <w:rPr>
          <w:rtl/>
        </w:rPr>
        <w:t>والوافي والوسائل</w:t>
      </w:r>
      <w:r w:rsidR="00992664" w:rsidRPr="00020424">
        <w:rPr>
          <w:rtl/>
        </w:rPr>
        <w:t>. وفي سائر النسخ والمطبوع : « الزمناء</w:t>
      </w:r>
      <w:r w:rsidR="00992664">
        <w:rPr>
          <w:rtl/>
        </w:rPr>
        <w:t xml:space="preserve"> ».</w:t>
      </w:r>
      <w:r w:rsidR="00992664" w:rsidRPr="00020424">
        <w:rPr>
          <w:rtl/>
        </w:rPr>
        <w:t xml:space="preserve"> والزَّمانة : آفة في الحيوانات. وقيل : هو المرض الذي يدوم زماناً ، فهو زَمِينٌ ، والجمع : زَمْنى ؛ لأنّه جنس للبلايا التي يصابون بها ويدخلون فيها وهم لها كارهون ، فطابق باب فعيل الذي بمعنى مفعول ، وتكسيره على هذا البناء نحو جريح وجرحى. وقال صدر المتألّهين : « هي آفة في الإنسان بل في الحيوان ، أو في عضو منه يمنعه عن الحركة ، كالفالج واللغوة والبرص وغيرها</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13 ، ص 199 ؛ </w:t>
      </w:r>
      <w:r w:rsidR="00992664" w:rsidRPr="00A722B1">
        <w:rPr>
          <w:rStyle w:val="libFootnoteBoldChar"/>
          <w:rtl/>
        </w:rPr>
        <w:t>المصباح المنير</w:t>
      </w:r>
      <w:r w:rsidR="00992664" w:rsidRPr="00020424">
        <w:rPr>
          <w:rtl/>
        </w:rPr>
        <w:t xml:space="preserve"> ، ص 256 ( زمن ) ؛ </w:t>
      </w:r>
      <w:r w:rsidR="00992664" w:rsidRPr="00DE76B9">
        <w:rPr>
          <w:rStyle w:val="libFootnoteBoldChar"/>
          <w:rtl/>
        </w:rPr>
        <w:t>شرح صدر المتألّهين</w:t>
      </w:r>
      <w:r w:rsidR="00992664" w:rsidRPr="00020424">
        <w:rPr>
          <w:rtl/>
        </w:rPr>
        <w:t xml:space="preserve"> ، ص 107.</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بس ، جن » </w:t>
      </w:r>
      <w:r w:rsidR="00992664" w:rsidRPr="00FD6221">
        <w:rPr>
          <w:rtl/>
        </w:rPr>
        <w:t>والوسائل</w:t>
      </w:r>
      <w:r w:rsidR="00992664" w:rsidRPr="00020424">
        <w:rPr>
          <w:rtl/>
        </w:rPr>
        <w:t xml:space="preserve"> : « المجانين</w:t>
      </w:r>
      <w:r w:rsidR="00992664">
        <w:rPr>
          <w:rtl/>
        </w:rPr>
        <w:t xml:space="preserve"> ».</w:t>
      </w:r>
      <w:r w:rsidR="00992664" w:rsidRPr="00020424">
        <w:rPr>
          <w:rtl/>
        </w:rPr>
        <w:t xml:space="preserve"> وفي </w:t>
      </w:r>
      <w:r w:rsidR="00992664" w:rsidRPr="00FD6221">
        <w:rPr>
          <w:rtl/>
        </w:rPr>
        <w:t>الوافي</w:t>
      </w:r>
      <w:r w:rsidR="00992664" w:rsidRPr="00020424">
        <w:rPr>
          <w:rtl/>
        </w:rPr>
        <w:t xml:space="preserve"> : « الجمّانيّين</w:t>
      </w:r>
      <w:r w:rsidR="00992664">
        <w:rPr>
          <w:rtl/>
        </w:rPr>
        <w:t xml:space="preserve"> ».</w:t>
      </w:r>
      <w:r w:rsidR="00992664" w:rsidRPr="00020424">
        <w:rPr>
          <w:rtl/>
        </w:rPr>
        <w:t xml:space="preserve"> وقال الطريحيّ : « قيل : الجُمانين ، كأنّه فُعال من الجمن للنسبة إليها ؛ فإنّ فُعالاً قد يكون للنسبة ، كجبار ؛ لكثرة القردان فيهم » ، و</w:t>
      </w:r>
      <w:r w:rsidR="00FD6221">
        <w:rPr>
          <w:rtl/>
        </w:rPr>
        <w:t>ظاهره تخفيف الميم ، وقرأه العل</w:t>
      </w:r>
      <w:r w:rsidR="00FD6221">
        <w:rPr>
          <w:rFonts w:hint="cs"/>
          <w:rtl/>
        </w:rPr>
        <w:t>ّ</w:t>
      </w:r>
      <w:r w:rsidR="00FD6221">
        <w:rPr>
          <w:rtl/>
        </w:rPr>
        <w:t>ا</w:t>
      </w:r>
      <w:r w:rsidR="00992664" w:rsidRPr="00020424">
        <w:rPr>
          <w:rtl/>
        </w:rPr>
        <w:t>مة الفيض : الجمّانيّين</w:t>
      </w:r>
      <w:r w:rsidR="00992664">
        <w:rPr>
          <w:rtl/>
        </w:rPr>
        <w:t xml:space="preserve"> </w:t>
      </w:r>
      <w:r w:rsidR="009B673F">
        <w:rPr>
          <w:rtl/>
        </w:rPr>
        <w:t>-</w:t>
      </w:r>
      <w:r w:rsidR="00992664">
        <w:rPr>
          <w:rtl/>
        </w:rPr>
        <w:t xml:space="preserve"> </w:t>
      </w:r>
      <w:r w:rsidR="00992664" w:rsidRPr="00020424">
        <w:rPr>
          <w:rtl/>
        </w:rPr>
        <w:t>بتشديد الميم وبالياءين مع شدّ ا</w:t>
      </w:r>
      <w:r w:rsidR="00FD6221">
        <w:rPr>
          <w:rFonts w:hint="cs"/>
          <w:rtl/>
        </w:rPr>
        <w:t>ُ</w:t>
      </w:r>
      <w:r w:rsidR="00992664" w:rsidRPr="00020424">
        <w:rPr>
          <w:rtl/>
        </w:rPr>
        <w:t>ولاهما</w:t>
      </w:r>
      <w:r w:rsidR="00992664">
        <w:rPr>
          <w:rtl/>
        </w:rPr>
        <w:t xml:space="preserve"> </w:t>
      </w:r>
      <w:r w:rsidR="009B673F">
        <w:rPr>
          <w:rtl/>
        </w:rPr>
        <w:t>-</w:t>
      </w:r>
      <w:r w:rsidR="00992664">
        <w:rPr>
          <w:rtl/>
        </w:rPr>
        <w:t xml:space="preserve"> </w:t>
      </w:r>
      <w:r w:rsidR="00992664" w:rsidRPr="00020424">
        <w:rPr>
          <w:rtl/>
        </w:rPr>
        <w:t>وقال : « الجُمّة : من شعر الرأس</w:t>
      </w:r>
      <w:r w:rsidR="00992664">
        <w:rPr>
          <w:rtl/>
        </w:rPr>
        <w:t xml:space="preserve"> </w:t>
      </w:r>
      <w:r w:rsidR="009B673F">
        <w:rPr>
          <w:rtl/>
        </w:rPr>
        <w:t>-</w:t>
      </w:r>
      <w:r w:rsidR="00992664">
        <w:rPr>
          <w:rtl/>
        </w:rPr>
        <w:t xml:space="preserve"> </w:t>
      </w:r>
      <w:r w:rsidR="00992664" w:rsidRPr="00020424">
        <w:rPr>
          <w:rtl/>
        </w:rPr>
        <w:t>بالضمّ والتشديد</w:t>
      </w:r>
      <w:r w:rsidR="00992664">
        <w:rPr>
          <w:rtl/>
        </w:rPr>
        <w:t xml:space="preserve"> </w:t>
      </w:r>
      <w:r w:rsidR="009B673F">
        <w:rPr>
          <w:rtl/>
        </w:rPr>
        <w:t>-</w:t>
      </w:r>
      <w:r w:rsidR="00992664">
        <w:rPr>
          <w:rtl/>
        </w:rPr>
        <w:t xml:space="preserve"> </w:t>
      </w:r>
      <w:r w:rsidR="00992664" w:rsidRPr="00020424">
        <w:rPr>
          <w:rtl/>
        </w:rPr>
        <w:t>ما سقط على المنكبين ، ويقال للرجل الطويل الجمّة : جُمّانيّ بالنون على غير قياس ، ولعلّهم يومئذٍ كانوا طائفة معروفة » ، وهذا ما تساعده</w:t>
      </w:r>
      <w:r w:rsidR="00FD6221">
        <w:rPr>
          <w:rtl/>
        </w:rPr>
        <w:t xml:space="preserve"> اللغة أيضاً كما نقل عنها العل</w:t>
      </w:r>
      <w:r w:rsidR="00FD6221">
        <w:rPr>
          <w:rFonts w:hint="cs"/>
          <w:rtl/>
        </w:rPr>
        <w:t>ّ</w:t>
      </w:r>
      <w:r w:rsidR="00FD6221">
        <w:rPr>
          <w:rtl/>
        </w:rPr>
        <w:t>ا</w:t>
      </w:r>
      <w:r w:rsidR="00992664" w:rsidRPr="00020424">
        <w:rPr>
          <w:rtl/>
        </w:rPr>
        <w:t xml:space="preserve">مة المجلسي. راجع : </w:t>
      </w:r>
      <w:r w:rsidR="00992664" w:rsidRPr="0012008A">
        <w:rPr>
          <w:rStyle w:val="libFootnoteBoldChar"/>
          <w:rtl/>
        </w:rPr>
        <w:t>الصحاح</w:t>
      </w:r>
      <w:r w:rsidR="00992664" w:rsidRPr="00020424">
        <w:rPr>
          <w:rtl/>
        </w:rPr>
        <w:t xml:space="preserve"> ، ج 5 ، ص 1890 ؛ </w:t>
      </w:r>
      <w:r w:rsidR="00992664" w:rsidRPr="0012008A">
        <w:rPr>
          <w:rStyle w:val="libFootnoteBoldChar"/>
          <w:rtl/>
        </w:rPr>
        <w:t>النهاية</w:t>
      </w:r>
      <w:r w:rsidR="00992664" w:rsidRPr="00020424">
        <w:rPr>
          <w:rtl/>
        </w:rPr>
        <w:t xml:space="preserve"> ، ج 1 ، ص 300 ؛ </w:t>
      </w:r>
      <w:r w:rsidR="00992664" w:rsidRPr="00DE76B9">
        <w:rPr>
          <w:rStyle w:val="libFootnoteBoldChar"/>
          <w:rtl/>
        </w:rPr>
        <w:t>مجمع البحرين</w:t>
      </w:r>
      <w:r w:rsidR="00992664" w:rsidRPr="00020424">
        <w:rPr>
          <w:rtl/>
        </w:rPr>
        <w:t xml:space="preserve"> ، ج 6 ، ص 30 ( جمم ) ؛ </w:t>
      </w:r>
      <w:r w:rsidR="00992664" w:rsidRPr="00DE76B9">
        <w:rPr>
          <w:rStyle w:val="libFootnoteBoldChar"/>
          <w:rtl/>
        </w:rPr>
        <w:t>مرآة العقول</w:t>
      </w:r>
      <w:r w:rsidR="00992664" w:rsidRPr="00020424">
        <w:rPr>
          <w:rtl/>
        </w:rPr>
        <w:t xml:space="preserve"> ، ج 16 ، ص 141.</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407 ، ح 9782 ؛ </w:t>
      </w:r>
      <w:r w:rsidR="00992664" w:rsidRPr="0012008A">
        <w:rPr>
          <w:rStyle w:val="libFootnoteBoldChar"/>
          <w:rtl/>
        </w:rPr>
        <w:t>الوسائل</w:t>
      </w:r>
      <w:r w:rsidR="00992664" w:rsidRPr="00020424">
        <w:rPr>
          <w:rtl/>
        </w:rPr>
        <w:t xml:space="preserve"> ، ج 9 ، ص 415 ، ح 12365.</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992664" w:rsidRPr="00D250F8" w:rsidRDefault="00992664" w:rsidP="00FD6221">
      <w:pPr>
        <w:pStyle w:val="libFootnote0"/>
        <w:rPr>
          <w:rtl/>
        </w:rPr>
      </w:pPr>
      <w:r w:rsidRPr="00D250F8">
        <w:rPr>
          <w:rtl/>
        </w:rPr>
        <w:t xml:space="preserve">ثمّ إنّ السند معلّق على سابقه. ويروي عن أحمد بن محمّد ، عدّة من أصحابنا ؛ فقد روى أحمد بن محمّد بن خالد كتاب عليّ بن الصلت ، كما في </w:t>
      </w:r>
      <w:r w:rsidRPr="00FD6221">
        <w:rPr>
          <w:rStyle w:val="libFootnoteBoldChar"/>
          <w:rtl/>
        </w:rPr>
        <w:t>رجال النجاشي</w:t>
      </w:r>
      <w:r w:rsidRPr="00D250F8">
        <w:rPr>
          <w:rtl/>
        </w:rPr>
        <w:t xml:space="preserve"> ، ص 279 ، الرقم 735 </w:t>
      </w:r>
      <w:r w:rsidR="009B673F">
        <w:rPr>
          <w:rtl/>
        </w:rPr>
        <w:t>-</w:t>
      </w:r>
      <w:r w:rsidRPr="00D250F8">
        <w:rPr>
          <w:rtl/>
        </w:rPr>
        <w:t xml:space="preserve"> 737. والمراد من أحمد بن محمّد في أسناد الأحاديث ( 1 إلى 3 ) هو أحمد بن محمّد بن خالد ؛ فقد روى أحمد بن محمّد عن محمّد بن عليّ في سند الحديث 3. ومحمّد بن عليّ هو محمّد بن عليّ أبو سمينة الكوفي الذي أخرجه أحمد بن محمّد بن عيسى عن قم ، وقد روى عنه أحمد بن محمّد بن خالد </w:t>
      </w:r>
      <w:r w:rsidR="009B673F">
        <w:rPr>
          <w:rtl/>
        </w:rPr>
        <w:t>-</w:t>
      </w:r>
      <w:r w:rsidRPr="00D250F8">
        <w:rPr>
          <w:rtl/>
        </w:rPr>
        <w:t xml:space="preserve"> بمختلف عناوينه </w:t>
      </w:r>
      <w:r w:rsidR="009B673F">
        <w:rPr>
          <w:rtl/>
        </w:rPr>
        <w:t>-</w:t>
      </w:r>
      <w:r w:rsidRPr="00D250F8">
        <w:rPr>
          <w:rtl/>
        </w:rPr>
        <w:t xml:space="preserve"> في كثيرٍ من الأسناد. راجع : معجم رجال الحديث ، ج 2 ، ص 404 </w:t>
      </w:r>
      <w:r w:rsidR="009B673F">
        <w:rPr>
          <w:rtl/>
        </w:rPr>
        <w:t>-</w:t>
      </w:r>
      <w:r w:rsidRPr="00D250F8">
        <w:rPr>
          <w:rtl/>
        </w:rPr>
        <w:t xml:space="preserve"> 405 ؛ وص 414 </w:t>
      </w:r>
      <w:r w:rsidR="009B673F">
        <w:rPr>
          <w:rtl/>
        </w:rPr>
        <w:t>-</w:t>
      </w:r>
      <w:r w:rsidRPr="00D250F8">
        <w:rPr>
          <w:rtl/>
        </w:rPr>
        <w:t xml:space="preserve"> 415 ؛ وص 642 </w:t>
      </w:r>
      <w:r w:rsidR="009B673F">
        <w:rPr>
          <w:rtl/>
        </w:rPr>
        <w:t>-</w:t>
      </w:r>
      <w:r w:rsidRPr="00D250F8">
        <w:rPr>
          <w:rtl/>
        </w:rPr>
        <w:t xml:space="preserve"> 643.</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sidRPr="00020424">
        <w:rPr>
          <w:rtl/>
          <w:lang w:bidi="fa-IR"/>
        </w:rPr>
        <w:t>قَالَ :</w:t>
      </w:r>
    </w:p>
    <w:p w:rsidR="00992664" w:rsidRPr="00020424" w:rsidRDefault="00992664" w:rsidP="00FD6221">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أَعْطِ الْكَبِيرَ وَالْكَبِيرَةَ ، وَالصَّغِيرَ وَالصَّغِيرَةَ ، وَمَنْ وَقَعَتْ لَهُ فِي قَلْبِكَ رَحْمَةٌ </w:t>
      </w:r>
      <w:r w:rsidRPr="00A91B96">
        <w:rPr>
          <w:rStyle w:val="libFootnotenumChar"/>
          <w:rtl/>
        </w:rPr>
        <w:t>(1)</w:t>
      </w:r>
      <w:r w:rsidRPr="00020424">
        <w:rPr>
          <w:rtl/>
          <w:lang w:bidi="fa-IR"/>
        </w:rPr>
        <w:t xml:space="preserve"> ، وَإِيَّاكَ وَكُلَّ </w:t>
      </w:r>
      <w:r w:rsidRPr="00A91B96">
        <w:rPr>
          <w:rStyle w:val="libFootnotenumChar"/>
          <w:rtl/>
        </w:rPr>
        <w:t>(2)</w:t>
      </w:r>
      <w:r w:rsidRPr="00020424">
        <w:rPr>
          <w:rtl/>
          <w:lang w:bidi="fa-IR"/>
        </w:rPr>
        <w:t xml:space="preserve"> » وَقَالَ بِيَدِهِ </w:t>
      </w:r>
      <w:r w:rsidRPr="00A91B96">
        <w:rPr>
          <w:rStyle w:val="libFootnotenumChar"/>
          <w:rtl/>
        </w:rPr>
        <w:t>(3)</w:t>
      </w:r>
      <w:r w:rsidRPr="00020424">
        <w:rPr>
          <w:rtl/>
          <w:lang w:bidi="fa-IR"/>
        </w:rPr>
        <w:t xml:space="preserve"> وَهَزَّهَا </w:t>
      </w:r>
      <w:r w:rsidRPr="00A91B96">
        <w:rPr>
          <w:rStyle w:val="libFootnotenumChar"/>
          <w:rtl/>
        </w:rPr>
        <w:t>(4)</w:t>
      </w:r>
      <w:r w:rsidR="00FD6221">
        <w:rPr>
          <w:rFonts w:hint="cs"/>
          <w:rtl/>
          <w:lang w:bidi="fa-IR"/>
        </w:rPr>
        <w:t>.</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F146C">
        <w:rPr>
          <w:rtl/>
        </w:rPr>
        <w:t>6057</w:t>
      </w:r>
      <w:r w:rsidRPr="001155DE">
        <w:rPr>
          <w:rStyle w:val="libBold2Char"/>
          <w:rtl/>
        </w:rPr>
        <w:t xml:space="preserve"> / 3.</w:t>
      </w:r>
      <w:r w:rsidRPr="00020424">
        <w:rPr>
          <w:rtl/>
          <w:lang w:bidi="fa-IR"/>
        </w:rPr>
        <w:t xml:space="preserve"> أَحْمَدُ بْنُ مُحَمَّدٍ </w:t>
      </w:r>
      <w:r w:rsidRPr="00A91B96">
        <w:rPr>
          <w:rStyle w:val="libFootnotenumChar"/>
          <w:rtl/>
        </w:rPr>
        <w:t>(6)</w:t>
      </w:r>
      <w:r w:rsidRPr="00020424">
        <w:rPr>
          <w:rtl/>
          <w:lang w:bidi="fa-IR"/>
        </w:rPr>
        <w:t xml:space="preserve"> ، عَنْ مُحَمَّدِ بْنِ عَلِيّ ، عَنِ الْحَكَمِ بْنِ مِسْكِينٍ ، عَنْ عَمْرِو بْنِ أَبِي نَصْرٍ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أَهْلَ السَّوَادِ </w:t>
      </w:r>
      <w:r w:rsidRPr="00A91B96">
        <w:rPr>
          <w:rStyle w:val="libFootnotenumChar"/>
          <w:rtl/>
        </w:rPr>
        <w:t>(7)</w:t>
      </w:r>
      <w:r w:rsidRPr="00020424">
        <w:rPr>
          <w:rtl/>
          <w:lang w:bidi="fa-IR"/>
        </w:rPr>
        <w:t xml:space="preserve"> يَقْتَحِمُونَ عَلَيْنَا </w:t>
      </w:r>
      <w:r w:rsidRPr="00A91B96">
        <w:rPr>
          <w:rStyle w:val="libFootnotenumChar"/>
          <w:rtl/>
        </w:rPr>
        <w:t>(8)</w:t>
      </w:r>
      <w:r w:rsidRPr="00020424">
        <w:rPr>
          <w:rtl/>
          <w:lang w:bidi="fa-IR"/>
        </w:rPr>
        <w:t xml:space="preserve"> ، وَفِيهِمُ الْيَهُودُ وَالنَّصَارى وَالْمَجُوسُ ، فَنَتَصَدَّقُ </w:t>
      </w:r>
      <w:r w:rsidRPr="00A91B96">
        <w:rPr>
          <w:rStyle w:val="libFootnotenumChar"/>
          <w:rtl/>
        </w:rPr>
        <w:t>(9)</w:t>
      </w:r>
      <w:r w:rsidRPr="00020424">
        <w:rPr>
          <w:rtl/>
          <w:lang w:bidi="fa-IR"/>
        </w:rPr>
        <w:t xml:space="preserve"> عَلَيْهِمْ</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(10)</w:t>
      </w:r>
      <w:r w:rsidRPr="00020424">
        <w:rPr>
          <w:rtl/>
          <w:lang w:bidi="fa-IR"/>
        </w:rPr>
        <w:t xml:space="preserve"> : « نَعَمْ</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Heading2Center"/>
        <w:rPr>
          <w:rtl/>
          <w:lang w:bidi="fa-IR"/>
        </w:rPr>
      </w:pPr>
      <w:bookmarkStart w:id="190" w:name="_Toc345172780"/>
      <w:bookmarkStart w:id="191" w:name="_Toc464562596"/>
      <w:bookmarkStart w:id="192" w:name="_Toc44599899"/>
      <w:r w:rsidRPr="00020424">
        <w:rPr>
          <w:rtl/>
          <w:lang w:bidi="fa-IR"/>
        </w:rPr>
        <w:t>58</w:t>
      </w:r>
      <w:r>
        <w:rPr>
          <w:rtl/>
          <w:lang w:bidi="fa-IR"/>
        </w:rPr>
        <w:t xml:space="preserve"> </w:t>
      </w:r>
      <w:r w:rsidR="009B673F">
        <w:rPr>
          <w:rtl/>
          <w:lang w:bidi="fa-IR"/>
        </w:rPr>
        <w:t>-</w:t>
      </w:r>
      <w:r>
        <w:rPr>
          <w:rtl/>
          <w:lang w:bidi="fa-IR"/>
        </w:rPr>
        <w:t xml:space="preserve"> </w:t>
      </w:r>
      <w:r w:rsidRPr="00020424">
        <w:rPr>
          <w:rtl/>
          <w:lang w:bidi="fa-IR"/>
        </w:rPr>
        <w:t xml:space="preserve">بَابُ كَرَاهِيَةِ </w:t>
      </w:r>
      <w:r w:rsidRPr="00A91B96">
        <w:rPr>
          <w:rStyle w:val="libFootnotenumChar"/>
          <w:rtl/>
        </w:rPr>
        <w:t>(12)</w:t>
      </w:r>
      <w:r>
        <w:rPr>
          <w:rtl/>
        </w:rPr>
        <w:t xml:space="preserve"> </w:t>
      </w:r>
      <w:r w:rsidRPr="00020424">
        <w:rPr>
          <w:rtl/>
          <w:lang w:bidi="fa-IR"/>
        </w:rPr>
        <w:t>رَدِّ السَّائِلِ‌</w:t>
      </w:r>
      <w:bookmarkEnd w:id="190"/>
      <w:bookmarkEnd w:id="191"/>
      <w:bookmarkEnd w:id="192"/>
    </w:p>
    <w:p w:rsidR="00992664" w:rsidRPr="00020424" w:rsidRDefault="00992664" w:rsidP="00992664">
      <w:pPr>
        <w:pStyle w:val="libNormal"/>
        <w:rPr>
          <w:rtl/>
          <w:lang w:bidi="fa-IR"/>
        </w:rPr>
      </w:pPr>
      <w:r w:rsidRPr="007F146C">
        <w:rPr>
          <w:rtl/>
        </w:rPr>
        <w:t>6058</w:t>
      </w:r>
      <w:r w:rsidRPr="001155DE">
        <w:rPr>
          <w:rStyle w:val="libBold2Char"/>
          <w:rtl/>
        </w:rPr>
        <w:t xml:space="preserve"> / 1.</w:t>
      </w:r>
      <w:r w:rsidRPr="00020424">
        <w:rPr>
          <w:rtl/>
          <w:lang w:bidi="fa-IR"/>
        </w:rPr>
        <w:t xml:space="preserve"> عَلِيُّ بْنُ إِبْرَاهِيمَ ، عَنْ أَبِيهِ ، عَنِ الْحُسَيْنِ بْنِ يَزِيدَ النَّوْفَلِيِّ ، عَنْ إِسْمَاعِيلَ بْنِ‌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بخ ، بر ، بس ، بف » وحاشية « بث » </w:t>
      </w:r>
      <w:r w:rsidR="00992664" w:rsidRPr="00FD6221">
        <w:rPr>
          <w:rtl/>
        </w:rPr>
        <w:t>والوافي</w:t>
      </w:r>
      <w:r w:rsidR="00992664" w:rsidRPr="00020424">
        <w:rPr>
          <w:rtl/>
        </w:rPr>
        <w:t xml:space="preserve"> : « رقّه</w:t>
      </w:r>
      <w:r w:rsidR="00992664">
        <w:rPr>
          <w:rtl/>
        </w:rPr>
        <w:t xml:space="preserve"> ».</w:t>
      </w:r>
      <w:r w:rsidR="00992664" w:rsidRPr="00020424">
        <w:rPr>
          <w:rtl/>
        </w:rPr>
        <w:t xml:space="preserve"> وفي « ى » وحاشية « ظ » </w:t>
      </w:r>
      <w:r w:rsidR="00992664" w:rsidRPr="00FD6221">
        <w:rPr>
          <w:rtl/>
        </w:rPr>
        <w:t>والوسائل</w:t>
      </w:r>
      <w:r w:rsidR="00992664" w:rsidRPr="00020424">
        <w:rPr>
          <w:rtl/>
        </w:rPr>
        <w:t xml:space="preserve"> : « رأفة</w:t>
      </w:r>
      <w:r w:rsidR="00992664">
        <w:rPr>
          <w:rtl/>
        </w:rPr>
        <w:t xml:space="preserve"> ».</w:t>
      </w:r>
      <w:r w:rsidR="00992664" w:rsidRPr="00020424">
        <w:rPr>
          <w:rtl/>
        </w:rPr>
        <w:t xml:space="preserve"> وفي « بح » :</w:t>
      </w:r>
      <w:r w:rsidR="00992664">
        <w:rPr>
          <w:rtl/>
        </w:rPr>
        <w:t xml:space="preserve"> </w:t>
      </w:r>
      <w:r w:rsidR="009B673F">
        <w:rPr>
          <w:rtl/>
        </w:rPr>
        <w:t>-</w:t>
      </w:r>
      <w:r w:rsidR="00992664">
        <w:rPr>
          <w:rtl/>
        </w:rPr>
        <w:t xml:space="preserve"> </w:t>
      </w:r>
      <w:r w:rsidR="00992664" w:rsidRPr="00020424">
        <w:rPr>
          <w:rtl/>
        </w:rPr>
        <w:t>« رحمة</w:t>
      </w:r>
      <w:r w:rsidR="00992664">
        <w:rPr>
          <w:rtl/>
        </w:rPr>
        <w:t xml:space="preserve"> ».</w:t>
      </w:r>
    </w:p>
    <w:p w:rsidR="00992664" w:rsidRPr="00020424" w:rsidRDefault="00795177" w:rsidP="00FD6221">
      <w:pPr>
        <w:pStyle w:val="libFootnote0"/>
        <w:rPr>
          <w:rtl/>
          <w:lang w:bidi="fa-IR"/>
        </w:rPr>
      </w:pPr>
      <w:r>
        <w:rPr>
          <w:rtl/>
        </w:rPr>
        <w:t>(2).</w:t>
      </w:r>
      <w:r w:rsidR="0014403D">
        <w:rPr>
          <w:rtl/>
        </w:rPr>
        <w:t xml:space="preserve"> </w:t>
      </w:r>
      <w:r w:rsidR="00992664" w:rsidRPr="00020424">
        <w:rPr>
          <w:rtl/>
        </w:rPr>
        <w:t>في هامش الطبعة الحجريّة : « المضاف إليه للكلّ محذوف مدلولاً إليه بإشارة اليد ، أي وقوله : قال بيده وهزّها ، أي أشار بيده وحرّكها</w:t>
      </w:r>
      <w:r w:rsidR="00992664">
        <w:rPr>
          <w:rtl/>
        </w:rPr>
        <w:t xml:space="preserve"> ».</w:t>
      </w:r>
      <w:r w:rsidR="00FD6221">
        <w:rPr>
          <w:rFonts w:hint="cs"/>
          <w:rtl/>
        </w:rPr>
        <w:t xml:space="preserve">                           </w:t>
      </w:r>
      <w:r>
        <w:rPr>
          <w:rtl/>
        </w:rPr>
        <w:t>(3).</w:t>
      </w:r>
      <w:r w:rsidR="0014403D">
        <w:rPr>
          <w:rtl/>
        </w:rPr>
        <w:t xml:space="preserve"> </w:t>
      </w:r>
      <w:r w:rsidR="00992664" w:rsidRPr="00020424">
        <w:rPr>
          <w:rtl/>
        </w:rPr>
        <w:t>في « بح » وحاشية « بث ، جن » : « بيدها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بح ، بخ » : « فهزّها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407 ، ح 9783 ؛ </w:t>
      </w:r>
      <w:r w:rsidR="00992664" w:rsidRPr="0012008A">
        <w:rPr>
          <w:rStyle w:val="libFootnoteBoldChar"/>
          <w:rtl/>
        </w:rPr>
        <w:t>الوسائل</w:t>
      </w:r>
      <w:r w:rsidR="00992664" w:rsidRPr="00020424">
        <w:rPr>
          <w:rtl/>
        </w:rPr>
        <w:t xml:space="preserve"> ، ج 9 ، ص 415 ، ح 12366.</w:t>
      </w:r>
    </w:p>
    <w:tbl>
      <w:tblPr>
        <w:tblStyle w:val="TableGrid"/>
        <w:bidiVisual/>
        <w:tblW w:w="0" w:type="auto"/>
        <w:tblLook w:val="04A0" w:firstRow="1" w:lastRow="0" w:firstColumn="1" w:lastColumn="0" w:noHBand="0" w:noVBand="1"/>
      </w:tblPr>
      <w:tblGrid>
        <w:gridCol w:w="4006"/>
        <w:gridCol w:w="4006"/>
      </w:tblGrid>
      <w:tr w:rsidR="00FD6221" w:rsidTr="00FD6221">
        <w:tc>
          <w:tcPr>
            <w:tcW w:w="4006" w:type="dxa"/>
          </w:tcPr>
          <w:p w:rsidR="00FD6221" w:rsidRDefault="00FD6221" w:rsidP="00992664">
            <w:pPr>
              <w:pStyle w:val="libFootnote0"/>
              <w:rPr>
                <w:rtl/>
              </w:rPr>
            </w:pPr>
            <w:r>
              <w:rPr>
                <w:rtl/>
              </w:rPr>
              <w:t xml:space="preserve">(6). </w:t>
            </w:r>
            <w:r w:rsidRPr="00020424">
              <w:rPr>
                <w:rtl/>
              </w:rPr>
              <w:t>السند معلّق ، كسابقه.</w:t>
            </w:r>
          </w:p>
        </w:tc>
        <w:tc>
          <w:tcPr>
            <w:tcW w:w="4006" w:type="dxa"/>
          </w:tcPr>
          <w:p w:rsidR="00FD6221" w:rsidRDefault="00FD6221" w:rsidP="00992664">
            <w:pPr>
              <w:pStyle w:val="libFootnote0"/>
              <w:rPr>
                <w:rtl/>
              </w:rPr>
            </w:pPr>
            <w:r>
              <w:rPr>
                <w:rtl/>
              </w:rPr>
              <w:t>(7). في «بح» وحاشية «ظ،جن</w:t>
            </w:r>
            <w:r w:rsidRPr="00020424">
              <w:rPr>
                <w:rtl/>
              </w:rPr>
              <w:t xml:space="preserve">» </w:t>
            </w:r>
            <w:r w:rsidRPr="00FD6221">
              <w:rPr>
                <w:rtl/>
              </w:rPr>
              <w:t>والوسائل</w:t>
            </w:r>
            <w:r w:rsidRPr="00020424">
              <w:rPr>
                <w:rtl/>
              </w:rPr>
              <w:t xml:space="preserve"> </w:t>
            </w:r>
            <w:r>
              <w:rPr>
                <w:rtl/>
              </w:rPr>
              <w:t>:«</w:t>
            </w:r>
            <w:r w:rsidRPr="00020424">
              <w:rPr>
                <w:rtl/>
              </w:rPr>
              <w:t>البوادي</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يقتحمون علينا » أي يردون ويدخلون علينا. والاقتحام : هو الرمي بالنفس في أمر من غير رويّة وتثبّت. راجع : </w:t>
      </w:r>
      <w:r w:rsidR="00992664" w:rsidRPr="0012008A">
        <w:rPr>
          <w:rStyle w:val="libFootnoteBoldChar"/>
          <w:rtl/>
        </w:rPr>
        <w:t>النهاية</w:t>
      </w:r>
      <w:r w:rsidR="00992664" w:rsidRPr="00020424">
        <w:rPr>
          <w:rtl/>
        </w:rPr>
        <w:t xml:space="preserve"> ، ج 4 ، ص 18 ؛ </w:t>
      </w:r>
      <w:r w:rsidR="00992664" w:rsidRPr="00A722B1">
        <w:rPr>
          <w:rStyle w:val="libFootnoteBoldChar"/>
          <w:rtl/>
        </w:rPr>
        <w:t>لسان العرب</w:t>
      </w:r>
      <w:r w:rsidR="00992664" w:rsidRPr="00020424">
        <w:rPr>
          <w:rtl/>
        </w:rPr>
        <w:t xml:space="preserve"> ، 12 ، ص 462 ( قحم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بح » : « فيتصدّق</w:t>
      </w:r>
      <w:r w:rsidR="00992664">
        <w:rPr>
          <w:rtl/>
        </w:rPr>
        <w:t xml:space="preserve"> ».</w:t>
      </w:r>
      <w:r w:rsidR="00992664" w:rsidRPr="00020424">
        <w:rPr>
          <w:rtl/>
        </w:rPr>
        <w:t xml:space="preserve"> وفي « بخ ، جن » : « فتتصدّق</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بح ، بر ، بف » </w:t>
      </w:r>
      <w:r w:rsidR="00992664" w:rsidRPr="00FD6221">
        <w:rPr>
          <w:rtl/>
        </w:rPr>
        <w:t>والوافي والوسائل</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408 ، ح 9784 ؛ </w:t>
      </w:r>
      <w:r w:rsidR="00992664" w:rsidRPr="0012008A">
        <w:rPr>
          <w:rStyle w:val="libFootnoteBoldChar"/>
          <w:rtl/>
        </w:rPr>
        <w:t>الوسائل</w:t>
      </w:r>
      <w:r w:rsidR="00992664" w:rsidRPr="00020424">
        <w:rPr>
          <w:rtl/>
        </w:rPr>
        <w:t xml:space="preserve"> ، ج 9 ، ص 415 ، ح 12367.</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 « كراهة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D6221">
      <w:pPr>
        <w:pStyle w:val="libNormal0"/>
        <w:rPr>
          <w:rtl/>
          <w:lang w:bidi="fa-IR"/>
        </w:rPr>
      </w:pPr>
      <w:r w:rsidRPr="00020424">
        <w:rPr>
          <w:rtl/>
          <w:lang w:bidi="fa-IR"/>
        </w:rPr>
        <w:t>أَبِي زِيَادٍ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لَاتَقْطَعُوا عَلَى السَّائِلِ مَسْأَلَتَهُ ، فَلَوْلَا أَنَّ الْمَسَاكِينَ يَكْذِبُونَ ، مَا أَفْلَحَ مَنْ رَدَّهُمْ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7F146C">
        <w:rPr>
          <w:rtl/>
        </w:rPr>
        <w:t>6059</w:t>
      </w:r>
      <w:r w:rsidRPr="001155DE">
        <w:rPr>
          <w:rStyle w:val="libBold2Char"/>
          <w:rtl/>
        </w:rPr>
        <w:t xml:space="preserve"> / 2.</w:t>
      </w:r>
      <w:r w:rsidRPr="00020424">
        <w:rPr>
          <w:rtl/>
          <w:lang w:bidi="fa-IR"/>
        </w:rPr>
        <w:t xml:space="preserve"> مُحَمَّدُ بْنُ يَحْيى ، عَنْ أَحْمَدَ بْنِ مُحَمَّدٍ </w:t>
      </w:r>
      <w:r w:rsidRPr="00A91B96">
        <w:rPr>
          <w:rStyle w:val="libFootnotenumChar"/>
          <w:rtl/>
        </w:rPr>
        <w:t>(2)</w:t>
      </w:r>
      <w:r w:rsidRPr="00020424">
        <w:rPr>
          <w:rtl/>
          <w:lang w:bidi="fa-IR"/>
        </w:rPr>
        <w:t xml:space="preserve"> ، عَنِ ابْنِ أَبِي عُمَيْرٍ ، عَنْ هِشَامِ بْنِ سَالِمٍ ، عَنْ مُحَمَّدِ بْنِ</w:t>
      </w:r>
      <w:r>
        <w:rPr>
          <w:rFonts w:hint="cs"/>
          <w:rtl/>
          <w:lang w:bidi="fa-IR"/>
        </w:rPr>
        <w:t xml:space="preserve"> </w:t>
      </w:r>
      <w:r w:rsidRPr="00020424">
        <w:rPr>
          <w:rtl/>
          <w:lang w:bidi="fa-IR"/>
        </w:rPr>
        <w:t>مُسْلِمٍ ، قَالَ :</w:t>
      </w:r>
    </w:p>
    <w:p w:rsidR="00992664" w:rsidRPr="00020424" w:rsidRDefault="00992664" w:rsidP="00992664">
      <w:pPr>
        <w:pStyle w:val="libNormal"/>
        <w:rPr>
          <w:rtl/>
          <w:lang w:bidi="fa-IR"/>
        </w:rPr>
      </w:pPr>
      <w:r w:rsidRPr="00020424">
        <w:rPr>
          <w:rtl/>
          <w:lang w:bidi="fa-IR"/>
        </w:rPr>
        <w:t xml:space="preserve">قَالَ أَبُو جَعْفَرٍ </w:t>
      </w:r>
      <w:r w:rsidRPr="00005A81">
        <w:rPr>
          <w:rStyle w:val="libAlaemChar"/>
          <w:rtl/>
        </w:rPr>
        <w:t>عليه‌السلام</w:t>
      </w:r>
      <w:r w:rsidRPr="00020424">
        <w:rPr>
          <w:rtl/>
          <w:lang w:bidi="fa-IR"/>
        </w:rPr>
        <w:t xml:space="preserve"> : « أَعْطِ السَّائِلَ وَلَوْ كَانَ </w:t>
      </w:r>
      <w:r w:rsidRPr="00A91B96">
        <w:rPr>
          <w:rStyle w:val="libFootnotenumChar"/>
          <w:rtl/>
        </w:rPr>
        <w:t>(3)</w:t>
      </w:r>
      <w:r w:rsidRPr="00020424">
        <w:rPr>
          <w:rtl/>
          <w:lang w:bidi="fa-IR"/>
        </w:rPr>
        <w:t xml:space="preserve"> عَلى ظَهْرِ فَرَسٍ</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155DE">
        <w:rPr>
          <w:rStyle w:val="libBold2Char"/>
          <w:rtl/>
        </w:rPr>
        <w:t>6060 / 3.</w:t>
      </w:r>
      <w:r w:rsidRPr="00020424">
        <w:rPr>
          <w:rtl/>
          <w:lang w:bidi="fa-IR"/>
        </w:rPr>
        <w:t xml:space="preserve"> عِدَّةٌ مِنْ أَصْحَابِنَا ، عَنْ أَحْمَدَ بْنِ أَبِي عَبْدِ اللهِ ، عَنْ أَبِيهِ ، عَنْ مُحَمَّدِ بْنِ سِنَانٍ ، عَنْ إِسْحَاقَ بْنِ عَمَّارٍ ، عَنْ الْوَصَّافِيِّ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كَانَ </w:t>
      </w:r>
      <w:r w:rsidRPr="00A91B96">
        <w:rPr>
          <w:rStyle w:val="libFootnotenumChar"/>
          <w:rtl/>
        </w:rPr>
        <w:t>(5)</w:t>
      </w:r>
      <w:r w:rsidRPr="00020424">
        <w:rPr>
          <w:rtl/>
          <w:lang w:bidi="fa-IR"/>
        </w:rPr>
        <w:t xml:space="preserve"> فِيمَا نَاجَى </w:t>
      </w:r>
      <w:r w:rsidRPr="00A91B96">
        <w:rPr>
          <w:rStyle w:val="libFootnotenumChar"/>
          <w:rtl/>
        </w:rPr>
        <w:t>(6)</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بِهِ مُوسى </w:t>
      </w:r>
      <w:r w:rsidRPr="00005A81">
        <w:rPr>
          <w:rStyle w:val="libAlaemChar"/>
          <w:rtl/>
        </w:rPr>
        <w:t>عليه‌السلام</w:t>
      </w:r>
      <w:r w:rsidRPr="00020424">
        <w:rPr>
          <w:rtl/>
          <w:lang w:bidi="fa-IR"/>
        </w:rPr>
        <w:t xml:space="preserve"> </w:t>
      </w:r>
      <w:r w:rsidRPr="00A91B96">
        <w:rPr>
          <w:rStyle w:val="libFootnotenumChar"/>
          <w:rtl/>
        </w:rPr>
        <w:t>(7)</w:t>
      </w:r>
      <w:r w:rsidRPr="00020424">
        <w:rPr>
          <w:rtl/>
          <w:lang w:bidi="fa-IR"/>
        </w:rPr>
        <w:t xml:space="preserve"> قَالَ :</w:t>
      </w:r>
      <w:r>
        <w:rPr>
          <w:rFonts w:hint="cs"/>
          <w:rtl/>
          <w:lang w:bidi="fa-IR"/>
        </w:rPr>
        <w:t xml:space="preserve"> </w:t>
      </w:r>
      <w:r w:rsidRPr="00020424">
        <w:rPr>
          <w:rtl/>
          <w:lang w:bidi="fa-IR"/>
        </w:rPr>
        <w:t xml:space="preserve">يَا مُوسى ، أَكْرِمِ السَّائِلَ بِبَذْلٍ يَسِيرٍ ، أَوْ بِرَدٍّ جَمِيلٍ ؛ لِأَنَّهُ </w:t>
      </w:r>
      <w:r w:rsidRPr="00A91B96">
        <w:rPr>
          <w:rStyle w:val="libFootnotenumChar"/>
          <w:rtl/>
        </w:rPr>
        <w:t>(8)</w:t>
      </w:r>
      <w:r w:rsidRPr="00020424">
        <w:rPr>
          <w:rtl/>
          <w:lang w:bidi="fa-IR"/>
        </w:rPr>
        <w:t xml:space="preserve"> يَأْتِيكَ مَنْ لَيْسَ بِإِنْسٍ </w:t>
      </w:r>
      <w:r w:rsidRPr="00A91B96">
        <w:rPr>
          <w:rStyle w:val="libFootnotenumChar"/>
          <w:rtl/>
        </w:rPr>
        <w:t>(9)</w:t>
      </w:r>
      <w:r w:rsidRPr="00020424">
        <w:rPr>
          <w:rtl/>
          <w:lang w:bidi="fa-IR"/>
        </w:rPr>
        <w:t xml:space="preserve"> وَ</w:t>
      </w:r>
      <w:r w:rsidR="002E44A0">
        <w:rPr>
          <w:rFonts w:hint="cs"/>
          <w:rtl/>
          <w:lang w:bidi="fa-IR"/>
        </w:rPr>
        <w:t xml:space="preserve"> </w:t>
      </w:r>
      <w:r w:rsidRPr="00020424">
        <w:rPr>
          <w:rtl/>
          <w:lang w:bidi="fa-IR"/>
        </w:rPr>
        <w:t xml:space="preserve">لَاجَانٍّ مَلَائِكَةٌ مِنْ مَلَائِكَةِ الرَّحْمنِ يَبْلُونَكَ </w:t>
      </w:r>
      <w:r w:rsidRPr="00A91B96">
        <w:rPr>
          <w:rStyle w:val="libFootnotenumChar"/>
          <w:rtl/>
        </w:rPr>
        <w:t>(10)</w:t>
      </w:r>
      <w:r w:rsidRPr="00020424">
        <w:rPr>
          <w:rtl/>
          <w:lang w:bidi="fa-IR"/>
        </w:rPr>
        <w:t xml:space="preserve"> فِيمَا خَوَّلْتُكَ </w:t>
      </w:r>
      <w:r w:rsidRPr="00A91B96">
        <w:rPr>
          <w:rStyle w:val="libFootnotenumChar"/>
          <w:rtl/>
        </w:rPr>
        <w:t>(11)</w:t>
      </w:r>
      <w:r w:rsidRPr="00020424">
        <w:rPr>
          <w:rtl/>
          <w:lang w:bidi="fa-IR"/>
        </w:rPr>
        <w:t xml:space="preserve"> ، وَيَسْأَلُونَكَ‌</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110 ، ح 320 ، معلّقاً عن الكليني. </w:t>
      </w:r>
      <w:r w:rsidR="00992664" w:rsidRPr="00DE76B9">
        <w:rPr>
          <w:rStyle w:val="libFootnoteBoldChar"/>
          <w:rtl/>
        </w:rPr>
        <w:t>الجعفريّات</w:t>
      </w:r>
      <w:r w:rsidR="00992664" w:rsidRPr="00020424">
        <w:rPr>
          <w:rtl/>
        </w:rPr>
        <w:t xml:space="preserve"> ، ص 57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من قوله : « فلولا أنّ المساكين</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69 ، ح 1746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2E44A0">
        <w:rPr>
          <w:rFonts w:hint="cs"/>
          <w:rtl/>
        </w:rPr>
        <w:t>.</w:t>
      </w:r>
      <w:r w:rsidR="00992664" w:rsidRPr="0012008A">
        <w:rPr>
          <w:rStyle w:val="libFootnoteBoldChar"/>
          <w:rtl/>
        </w:rPr>
        <w:t>الوافي</w:t>
      </w:r>
      <w:r w:rsidR="00992664" w:rsidRPr="00020424">
        <w:rPr>
          <w:rtl/>
        </w:rPr>
        <w:t xml:space="preserve"> ، ج 10 ، ص 409 ، ح 9785 ؛ </w:t>
      </w:r>
      <w:r w:rsidR="00992664" w:rsidRPr="0012008A">
        <w:rPr>
          <w:rStyle w:val="libFootnoteBoldChar"/>
          <w:rtl/>
        </w:rPr>
        <w:t>الوسائل</w:t>
      </w:r>
      <w:r w:rsidR="00992664" w:rsidRPr="00020424">
        <w:rPr>
          <w:rtl/>
        </w:rPr>
        <w:t xml:space="preserve"> ، ج 9 ، ص 418 ، ح 12373.</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كان</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142 : « قوله </w:t>
      </w:r>
      <w:r w:rsidR="00992664" w:rsidRPr="00D64ADA">
        <w:rPr>
          <w:rStyle w:val="libFootnoteAlaemChar"/>
          <w:rtl/>
        </w:rPr>
        <w:t>عليه‌السلام</w:t>
      </w:r>
      <w:r w:rsidR="00992664" w:rsidRPr="00020424">
        <w:rPr>
          <w:rtl/>
        </w:rPr>
        <w:t xml:space="preserve"> : ولو كان ، أي السائل راكباً على فرس ؛ فإنّ ركوبه لا يمنع العطاء. وفي بعض الروايات : ولو على ظهر فرس ، فيحتمل أن يكون المراد : ولو كان المسؤول راكباً ؛ فإنّه قلّ ما يتيسّر في تلك الحالة شي‌ء يعطيه. أو المعنى : ولو لم يكن معك غير الفرس الذي أنت راكبه فلا تردّه وأعطه الفرس. وعلى نسخة « كان » يحتمل هذا الوجه على الالتفات ، لكنّه بعيد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110 ، ح 321 ، معلّقاً عن الكليني. </w:t>
      </w:r>
      <w:r w:rsidR="00992664" w:rsidRPr="0012008A">
        <w:rPr>
          <w:rStyle w:val="libFootnoteBoldChar"/>
          <w:rtl/>
        </w:rPr>
        <w:t>الفقيه</w:t>
      </w:r>
      <w:r w:rsidR="00992664" w:rsidRPr="00020424">
        <w:rPr>
          <w:rtl/>
        </w:rPr>
        <w:t xml:space="preserve"> ، ج 2 ، ص 69 ، ح 1745 ، مرسلاً من دون التصريح باسم المعصوم </w:t>
      </w:r>
      <w:r w:rsidR="00992664" w:rsidRPr="00D64ADA">
        <w:rPr>
          <w:rStyle w:val="libFootnoteAlaemChar"/>
          <w:rtl/>
        </w:rPr>
        <w:t>عليه‌السلام</w:t>
      </w:r>
      <w:r w:rsidR="00992664" w:rsidRPr="00020424">
        <w:rPr>
          <w:rtl/>
        </w:rPr>
        <w:t xml:space="preserve"> </w:t>
      </w:r>
      <w:r w:rsidR="00A65453">
        <w:rPr>
          <w:rFonts w:hint="cs"/>
          <w:rtl/>
        </w:rPr>
        <w:t>.</w:t>
      </w:r>
      <w:r w:rsidR="00992664" w:rsidRPr="0012008A">
        <w:rPr>
          <w:rStyle w:val="libFootnoteBoldChar"/>
          <w:rtl/>
        </w:rPr>
        <w:t>الوافي</w:t>
      </w:r>
      <w:r w:rsidR="00992664" w:rsidRPr="00020424">
        <w:rPr>
          <w:rtl/>
        </w:rPr>
        <w:t xml:space="preserve"> ، ج 10 ، ص 409 ، ح 9786 ؛ </w:t>
      </w:r>
      <w:r w:rsidR="00992664" w:rsidRPr="0012008A">
        <w:rPr>
          <w:rStyle w:val="libFootnoteBoldChar"/>
          <w:rtl/>
        </w:rPr>
        <w:t>الوسائل</w:t>
      </w:r>
      <w:r w:rsidR="00992664" w:rsidRPr="00020424">
        <w:rPr>
          <w:rtl/>
        </w:rPr>
        <w:t xml:space="preserve"> ، ج 9 ، ص 417 ، ح 12371.</w:t>
      </w:r>
    </w:p>
    <w:tbl>
      <w:tblPr>
        <w:tblStyle w:val="TableGrid"/>
        <w:bidiVisual/>
        <w:tblW w:w="0" w:type="auto"/>
        <w:tblLook w:val="04A0" w:firstRow="1" w:lastRow="0" w:firstColumn="1" w:lastColumn="0" w:noHBand="0" w:noVBand="1"/>
      </w:tblPr>
      <w:tblGrid>
        <w:gridCol w:w="4006"/>
        <w:gridCol w:w="4006"/>
      </w:tblGrid>
      <w:tr w:rsidR="00A65453" w:rsidTr="00A65453">
        <w:tc>
          <w:tcPr>
            <w:tcW w:w="4006" w:type="dxa"/>
          </w:tcPr>
          <w:p w:rsidR="00A65453" w:rsidRDefault="00A65453" w:rsidP="00992664">
            <w:pPr>
              <w:pStyle w:val="libFootnote0"/>
              <w:rPr>
                <w:rtl/>
              </w:rPr>
            </w:pPr>
            <w:r>
              <w:rPr>
                <w:rtl/>
              </w:rPr>
              <w:t xml:space="preserve">(5). </w:t>
            </w:r>
            <w:r w:rsidRPr="00020424">
              <w:rPr>
                <w:rtl/>
              </w:rPr>
              <w:t>في « ى » :</w:t>
            </w:r>
            <w:r>
              <w:rPr>
                <w:rtl/>
              </w:rPr>
              <w:t xml:space="preserve"> - </w:t>
            </w:r>
            <w:r w:rsidRPr="00020424">
              <w:rPr>
                <w:rtl/>
              </w:rPr>
              <w:t>« كان</w:t>
            </w:r>
            <w:r>
              <w:rPr>
                <w:rtl/>
              </w:rPr>
              <w:t xml:space="preserve"> ».</w:t>
            </w:r>
          </w:p>
        </w:tc>
        <w:tc>
          <w:tcPr>
            <w:tcW w:w="4006" w:type="dxa"/>
          </w:tcPr>
          <w:p w:rsidR="00A65453" w:rsidRDefault="00A65453" w:rsidP="00992664">
            <w:pPr>
              <w:pStyle w:val="libFootnote0"/>
              <w:rPr>
                <w:rtl/>
              </w:rPr>
            </w:pPr>
            <w:r>
              <w:rPr>
                <w:rtl/>
              </w:rPr>
              <w:t xml:space="preserve">(6). </w:t>
            </w:r>
            <w:r w:rsidRPr="00020424">
              <w:rPr>
                <w:rtl/>
              </w:rPr>
              <w:t>في « بث » : « أوحى</w:t>
            </w:r>
            <w:r>
              <w:rPr>
                <w:rtl/>
              </w:rPr>
              <w:t xml:space="preserve"> ».</w:t>
            </w:r>
          </w:p>
        </w:tc>
      </w:tr>
      <w:tr w:rsidR="00A65453" w:rsidTr="00A65453">
        <w:tc>
          <w:tcPr>
            <w:tcW w:w="4006" w:type="dxa"/>
          </w:tcPr>
          <w:p w:rsidR="00A65453" w:rsidRDefault="00A65453" w:rsidP="00992664">
            <w:pPr>
              <w:pStyle w:val="libFootnote0"/>
              <w:rPr>
                <w:rtl/>
              </w:rPr>
            </w:pPr>
            <w:r>
              <w:rPr>
                <w:rtl/>
              </w:rPr>
              <w:t xml:space="preserve">(7). </w:t>
            </w:r>
            <w:r w:rsidRPr="00020424">
              <w:rPr>
                <w:rtl/>
              </w:rPr>
              <w:t xml:space="preserve">في </w:t>
            </w:r>
            <w:r w:rsidRPr="00A65453">
              <w:rPr>
                <w:rtl/>
              </w:rPr>
              <w:t>الوافي</w:t>
            </w:r>
            <w:r w:rsidRPr="00020424">
              <w:rPr>
                <w:rtl/>
              </w:rPr>
              <w:t xml:space="preserve"> : + « أن</w:t>
            </w:r>
            <w:r>
              <w:rPr>
                <w:rtl/>
              </w:rPr>
              <w:t xml:space="preserve"> ».</w:t>
            </w:r>
          </w:p>
        </w:tc>
        <w:tc>
          <w:tcPr>
            <w:tcW w:w="4006" w:type="dxa"/>
          </w:tcPr>
          <w:p w:rsidR="00A65453" w:rsidRDefault="00A65453" w:rsidP="00992664">
            <w:pPr>
              <w:pStyle w:val="libFootnote0"/>
              <w:rPr>
                <w:rtl/>
              </w:rPr>
            </w:pPr>
            <w:r>
              <w:rPr>
                <w:rtl/>
              </w:rPr>
              <w:t xml:space="preserve">(8). </w:t>
            </w:r>
            <w:r w:rsidRPr="00020424">
              <w:rPr>
                <w:rtl/>
              </w:rPr>
              <w:t xml:space="preserve">في « بخ ، بر » </w:t>
            </w:r>
            <w:r w:rsidRPr="00A65453">
              <w:rPr>
                <w:rtl/>
              </w:rPr>
              <w:t>والبحار ، والفقيه</w:t>
            </w:r>
            <w:r w:rsidRPr="00020424">
              <w:rPr>
                <w:rtl/>
              </w:rPr>
              <w:t xml:space="preserve"> : « أنّه</w:t>
            </w:r>
            <w:r>
              <w:rPr>
                <w:rtl/>
              </w:rPr>
              <w:t xml:space="preserve"> ».</w:t>
            </w:r>
          </w:p>
        </w:tc>
      </w:tr>
      <w:tr w:rsidR="00A65453" w:rsidTr="00A65453">
        <w:tc>
          <w:tcPr>
            <w:tcW w:w="4006" w:type="dxa"/>
          </w:tcPr>
          <w:p w:rsidR="00A65453" w:rsidRDefault="00A65453" w:rsidP="00992664">
            <w:pPr>
              <w:pStyle w:val="libFootnote0"/>
              <w:rPr>
                <w:rtl/>
              </w:rPr>
            </w:pPr>
            <w:r>
              <w:rPr>
                <w:rtl/>
              </w:rPr>
              <w:t xml:space="preserve">(9). </w:t>
            </w:r>
            <w:r w:rsidRPr="00020424">
              <w:rPr>
                <w:rtl/>
              </w:rPr>
              <w:t xml:space="preserve">في </w:t>
            </w:r>
            <w:r w:rsidRPr="00A65453">
              <w:rPr>
                <w:rtl/>
              </w:rPr>
              <w:t>الوافي</w:t>
            </w:r>
            <w:r w:rsidRPr="00020424">
              <w:rPr>
                <w:rtl/>
              </w:rPr>
              <w:t xml:space="preserve"> : « بإنسيّ</w:t>
            </w:r>
            <w:r>
              <w:rPr>
                <w:rtl/>
              </w:rPr>
              <w:t xml:space="preserve"> ».</w:t>
            </w:r>
          </w:p>
        </w:tc>
        <w:tc>
          <w:tcPr>
            <w:tcW w:w="4006" w:type="dxa"/>
          </w:tcPr>
          <w:p w:rsidR="00A65453" w:rsidRDefault="00A65453" w:rsidP="00A65453">
            <w:pPr>
              <w:pStyle w:val="libFootnote0"/>
              <w:rPr>
                <w:rtl/>
              </w:rPr>
            </w:pPr>
            <w:r>
              <w:rPr>
                <w:rtl/>
              </w:rPr>
              <w:t>(10). في «ظ</w:t>
            </w:r>
            <w:r w:rsidRPr="00020424">
              <w:rPr>
                <w:rtl/>
              </w:rPr>
              <w:t>،</w:t>
            </w:r>
            <w:r>
              <w:rPr>
                <w:rtl/>
              </w:rPr>
              <w:t>ى،</w:t>
            </w:r>
            <w:r w:rsidRPr="00020424">
              <w:rPr>
                <w:rtl/>
              </w:rPr>
              <w:t>بث</w:t>
            </w:r>
            <w:r>
              <w:rPr>
                <w:rtl/>
              </w:rPr>
              <w:t>،بح،بس،بف،جن»:«</w:t>
            </w:r>
            <w:r w:rsidRPr="00020424">
              <w:rPr>
                <w:rtl/>
              </w:rPr>
              <w:t>يسألونك</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التخويل : التمليك والإعطاء. وقيل : هو الإعطاء تفضّلاً. والخَوَل : ما أعطاك الله تعالى من النعم. راجع : </w:t>
      </w:r>
      <w:r w:rsidR="00A6545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عَمَّا </w:t>
      </w:r>
      <w:r w:rsidRPr="00A91B96">
        <w:rPr>
          <w:rStyle w:val="libFootnotenumChar"/>
          <w:rtl/>
        </w:rPr>
        <w:t>(1)</w:t>
      </w:r>
      <w:r w:rsidRPr="00020424">
        <w:rPr>
          <w:rtl/>
          <w:lang w:bidi="fa-IR"/>
        </w:rPr>
        <w:t xml:space="preserve"> نَوَّلْتُكَ </w:t>
      </w:r>
      <w:r w:rsidRPr="00A91B96">
        <w:rPr>
          <w:rStyle w:val="libFootnotenumChar"/>
          <w:rtl/>
        </w:rPr>
        <w:t>(2)</w:t>
      </w:r>
      <w:r w:rsidRPr="00020424">
        <w:rPr>
          <w:rtl/>
          <w:lang w:bidi="fa-IR"/>
        </w:rPr>
        <w:t xml:space="preserve"> ، فَانْظُرْ كَيْفَ أَنْتَ صَانِعٌ يَا ابْنَ عِمْرَانَ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1D01A7">
        <w:rPr>
          <w:rtl/>
        </w:rPr>
        <w:t>6061</w:t>
      </w:r>
      <w:r w:rsidRPr="001155DE">
        <w:rPr>
          <w:rStyle w:val="libBold2Char"/>
          <w:rtl/>
        </w:rPr>
        <w:t xml:space="preserve"> / 4.</w:t>
      </w:r>
      <w:r w:rsidRPr="00020424">
        <w:rPr>
          <w:rtl/>
          <w:lang w:bidi="fa-IR"/>
        </w:rPr>
        <w:t xml:space="preserve"> عِدَّةٌ مِنْ أَصْحَابِنَا ، عَنْ سَهْلِ بْنِ زِيَادٍ ، عَنِ الْحَسَنِ </w:t>
      </w:r>
      <w:r w:rsidRPr="00A91B96">
        <w:rPr>
          <w:rStyle w:val="libFootnotenumChar"/>
          <w:rtl/>
        </w:rPr>
        <w:t>(4)</w:t>
      </w:r>
      <w:r w:rsidRPr="00020424">
        <w:rPr>
          <w:rtl/>
          <w:lang w:bidi="fa-IR"/>
        </w:rPr>
        <w:t xml:space="preserve"> بْنِ مَحْبُوبٍ ، عَنْ عَبْدِ اللهِ بْنِ غَالِبٍ الْأَسَدِيِّ ، عَنْ أَبِيهِ ، عَنْ سَعِيدِ بْنِ الْمُسَيَّبِ ، قَالَ :</w:t>
      </w:r>
    </w:p>
    <w:p w:rsidR="00992664" w:rsidRPr="00020424" w:rsidRDefault="00992664" w:rsidP="00992664">
      <w:pPr>
        <w:pStyle w:val="libNormal"/>
        <w:rPr>
          <w:rtl/>
          <w:lang w:bidi="fa-IR"/>
        </w:rPr>
      </w:pPr>
      <w:r w:rsidRPr="00020424">
        <w:rPr>
          <w:rtl/>
          <w:lang w:bidi="fa-IR"/>
        </w:rPr>
        <w:t xml:space="preserve">حَضَرْتُ عَلِيَّ بْنَ الْحُسَيْنِ </w:t>
      </w:r>
      <w:r w:rsidRPr="00005A81">
        <w:rPr>
          <w:rStyle w:val="libAlaemChar"/>
          <w:rtl/>
        </w:rPr>
        <w:t>عليهما‌السلام</w:t>
      </w:r>
      <w:r w:rsidRPr="00020424">
        <w:rPr>
          <w:rtl/>
          <w:lang w:bidi="fa-IR"/>
        </w:rPr>
        <w:t xml:space="preserve"> يَوْماً حِينَ صَلَّى الْغَدَاةَ ، فَإِذَا سَائِلٌ بِالْبَابِ </w:t>
      </w:r>
      <w:r w:rsidRPr="00A91B96">
        <w:rPr>
          <w:rStyle w:val="libFootnotenumChar"/>
          <w:rtl/>
        </w:rPr>
        <w:t>(5)</w:t>
      </w:r>
      <w:r w:rsidRPr="00020424">
        <w:rPr>
          <w:rtl/>
          <w:lang w:bidi="fa-IR"/>
        </w:rPr>
        <w:t xml:space="preserve"> ، فَقَالَ عَلِيُّ بْنُ الْحُسَيْنِ </w:t>
      </w:r>
      <w:r w:rsidRPr="00005A81">
        <w:rPr>
          <w:rStyle w:val="libAlaemChar"/>
          <w:rtl/>
        </w:rPr>
        <w:t>عليهما‌السلام</w:t>
      </w:r>
      <w:r w:rsidRPr="00020424">
        <w:rPr>
          <w:rtl/>
          <w:lang w:bidi="fa-IR"/>
        </w:rPr>
        <w:t xml:space="preserve"> : « أَعْطُوا السَّائِلَ ، وَلَاتَرُدُّوا سَائِلاً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1D01A7">
        <w:rPr>
          <w:rtl/>
        </w:rPr>
        <w:t>6062</w:t>
      </w:r>
      <w:r w:rsidRPr="001155DE">
        <w:rPr>
          <w:rStyle w:val="libBold2Char"/>
          <w:rtl/>
        </w:rPr>
        <w:t xml:space="preserve"> / 5.</w:t>
      </w:r>
      <w:r w:rsidRPr="00020424">
        <w:rPr>
          <w:rtl/>
          <w:lang w:bidi="fa-IR"/>
        </w:rPr>
        <w:t xml:space="preserve"> عَلِيُّ بْنُ مُحَمَّدِ بْنِ عَبْدِ اللهِ ، عَنْ أَحْمَدَ بْنِ أَبِي عَبْدِ اللهِ </w:t>
      </w:r>
      <w:r w:rsidRPr="00A91B96">
        <w:rPr>
          <w:rStyle w:val="libFootnotenumChar"/>
          <w:rtl/>
        </w:rPr>
        <w:t>(7)</w:t>
      </w:r>
      <w:r w:rsidRPr="00020424">
        <w:rPr>
          <w:rtl/>
          <w:lang w:bidi="fa-IR"/>
        </w:rPr>
        <w:t xml:space="preserve"> ، عَنْ أَبِيهِ ، عَنْ إِسْمَاعِيلَ بْنِ مِهْرَانَ ، عَنْ أَيْمَنَ بْنِ مُحْرِزٍ ، عَنْ أَبِي أُسَامَةَ </w:t>
      </w:r>
      <w:r w:rsidRPr="00A91B96">
        <w:rPr>
          <w:rStyle w:val="libFootnotenumChar"/>
          <w:rtl/>
        </w:rPr>
        <w:t>(8)</w:t>
      </w:r>
      <w:r w:rsidRPr="00020424">
        <w:rPr>
          <w:rtl/>
          <w:lang w:bidi="fa-IR"/>
        </w:rPr>
        <w:t xml:space="preserve"> زَيْدٍ الشَّحَّامِ :</w:t>
      </w:r>
    </w:p>
    <w:p w:rsidR="00992664" w:rsidRPr="00020424" w:rsidRDefault="00992664" w:rsidP="00992664">
      <w:pPr>
        <w:pStyle w:val="libLine"/>
        <w:rPr>
          <w:rtl/>
          <w:lang w:bidi="fa-IR"/>
        </w:rPr>
      </w:pPr>
      <w:r w:rsidRPr="00020424">
        <w:rPr>
          <w:rtl/>
          <w:lang w:bidi="fa-IR"/>
        </w:rPr>
        <w:t>__________________</w:t>
      </w:r>
    </w:p>
    <w:p w:rsidR="00992664" w:rsidRPr="00020424" w:rsidRDefault="00A65453" w:rsidP="00992664">
      <w:pPr>
        <w:pStyle w:val="libFootnote0"/>
        <w:rPr>
          <w:rtl/>
          <w:lang w:bidi="fa-IR"/>
        </w:rPr>
      </w:pPr>
      <w:r w:rsidRPr="00A65453">
        <w:rPr>
          <w:rFonts w:hint="cs"/>
          <w:rtl/>
        </w:rPr>
        <w:t xml:space="preserve">= </w:t>
      </w:r>
      <w:r w:rsidR="00992664" w:rsidRPr="00A722B1">
        <w:rPr>
          <w:rStyle w:val="libFootnoteBoldChar"/>
          <w:rtl/>
        </w:rPr>
        <w:t>لسان العرب</w:t>
      </w:r>
      <w:r w:rsidR="00992664" w:rsidRPr="00020424">
        <w:rPr>
          <w:rtl/>
        </w:rPr>
        <w:t xml:space="preserve"> ، ج 11 ، ص 225 ؛ </w:t>
      </w:r>
      <w:r w:rsidR="00992664" w:rsidRPr="00A722B1">
        <w:rPr>
          <w:rStyle w:val="libFootnoteBoldChar"/>
          <w:rtl/>
        </w:rPr>
        <w:t>القاموس المحيط</w:t>
      </w:r>
      <w:r w:rsidR="00992664" w:rsidRPr="00020424">
        <w:rPr>
          <w:rtl/>
        </w:rPr>
        <w:t xml:space="preserve"> ، ج 2 ، ص 1317 ( خول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بح ، بخ ، بر ، بف » وحاشية « بث » </w:t>
      </w:r>
      <w:r w:rsidR="00992664" w:rsidRPr="00A65453">
        <w:rPr>
          <w:rtl/>
        </w:rPr>
        <w:t>والبحار</w:t>
      </w:r>
      <w:r w:rsidR="00992664" w:rsidRPr="00020424">
        <w:rPr>
          <w:rtl/>
        </w:rPr>
        <w:t xml:space="preserve"> : « فيما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التنويل : الإعطاء. راجع : </w:t>
      </w:r>
      <w:r w:rsidR="00992664" w:rsidRPr="00A722B1">
        <w:rPr>
          <w:rStyle w:val="libFootnoteBoldChar"/>
          <w:rtl/>
        </w:rPr>
        <w:t>لسان العرب</w:t>
      </w:r>
      <w:r w:rsidR="00992664" w:rsidRPr="00020424">
        <w:rPr>
          <w:rtl/>
        </w:rPr>
        <w:t xml:space="preserve"> ، ج 11 ، ص 683 ( نول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ص 68 ، ح 1744 ، معلّقاً عن الوصّافي. </w:t>
      </w:r>
      <w:r w:rsidR="00992664" w:rsidRPr="00DE76B9">
        <w:rPr>
          <w:rStyle w:val="libFootnoteBoldChar"/>
          <w:rtl/>
        </w:rPr>
        <w:t>قرب الإسناد</w:t>
      </w:r>
      <w:r w:rsidR="00992664" w:rsidRPr="00020424">
        <w:rPr>
          <w:rtl/>
        </w:rPr>
        <w:t xml:space="preserve"> ، ص 96 ، ح 326 ؛ وص 148 ، ح 538 ، بسند آخر عن جعفر بن محمّد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من دون نسبة مناجاة الله عزّوجلّ لموسى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الكافي</w:t>
      </w:r>
      <w:r w:rsidR="00992664" w:rsidRPr="00020424">
        <w:rPr>
          <w:rtl/>
        </w:rPr>
        <w:t xml:space="preserve"> ، كتاب الروضة ، ضمن الحديث الطويل 14823 ، بسند آخر. </w:t>
      </w:r>
      <w:r w:rsidR="00992664" w:rsidRPr="00DE76B9">
        <w:rPr>
          <w:rStyle w:val="libFootnoteBoldChar"/>
          <w:rtl/>
        </w:rPr>
        <w:t>تحف العقول</w:t>
      </w:r>
      <w:r w:rsidR="00992664" w:rsidRPr="00020424">
        <w:rPr>
          <w:rtl/>
        </w:rPr>
        <w:t xml:space="preserve"> ، ص 490 ، ضمن مناجاة الله عزّوجلّ لموسى </w:t>
      </w:r>
      <w:r w:rsidR="00992664" w:rsidRPr="00D64ADA">
        <w:rPr>
          <w:rStyle w:val="libFootnoteAlaemChar"/>
          <w:rtl/>
        </w:rPr>
        <w:t>عليه‌السلام</w:t>
      </w:r>
      <w:r w:rsidR="00992664" w:rsidRPr="00020424">
        <w:rPr>
          <w:rtl/>
        </w:rPr>
        <w:t xml:space="preserve"> ، وفي كلّ المصادر مع اختلاف يسير </w:t>
      </w:r>
      <w:r w:rsidR="00A65453">
        <w:rPr>
          <w:rFonts w:hint="cs"/>
          <w:rtl/>
        </w:rPr>
        <w:t>.</w:t>
      </w:r>
      <w:r w:rsidR="00992664" w:rsidRPr="0012008A">
        <w:rPr>
          <w:rStyle w:val="libFootnoteBoldChar"/>
          <w:rtl/>
        </w:rPr>
        <w:t>الوافي</w:t>
      </w:r>
      <w:r w:rsidR="00992664" w:rsidRPr="00020424">
        <w:rPr>
          <w:rtl/>
        </w:rPr>
        <w:t xml:space="preserve"> ، ج 10 ، ص 410 ، ح 9787 ؛ </w:t>
      </w:r>
      <w:r w:rsidR="00992664" w:rsidRPr="0012008A">
        <w:rPr>
          <w:rStyle w:val="libFootnoteBoldChar"/>
          <w:rtl/>
        </w:rPr>
        <w:t>الوسائل</w:t>
      </w:r>
      <w:r w:rsidR="00992664" w:rsidRPr="00020424">
        <w:rPr>
          <w:rtl/>
        </w:rPr>
        <w:t xml:space="preserve"> ، ج 9 ، ص 419 ، ح 12377 ؛ </w:t>
      </w:r>
      <w:r w:rsidR="00992664" w:rsidRPr="0012008A">
        <w:rPr>
          <w:rStyle w:val="libFootnoteBoldChar"/>
          <w:rtl/>
        </w:rPr>
        <w:t>البحار</w:t>
      </w:r>
      <w:r w:rsidR="00992664" w:rsidRPr="00020424">
        <w:rPr>
          <w:rtl/>
        </w:rPr>
        <w:t xml:space="preserve"> ، ج 59 ، ص 190 ، ح 43.</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وحاشية « بح » : « من الباب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411 ، ح 9789 ؛ </w:t>
      </w:r>
      <w:r w:rsidR="00992664" w:rsidRPr="0012008A">
        <w:rPr>
          <w:rStyle w:val="libFootnoteBoldChar"/>
          <w:rtl/>
        </w:rPr>
        <w:t>الوسائل</w:t>
      </w:r>
      <w:r w:rsidR="00992664" w:rsidRPr="00020424">
        <w:rPr>
          <w:rtl/>
        </w:rPr>
        <w:t xml:space="preserve"> ، ج 9 ، ص 420 ، ح 12379 ؛ </w:t>
      </w:r>
      <w:r w:rsidR="00992664" w:rsidRPr="0012008A">
        <w:rPr>
          <w:rStyle w:val="libFootnoteBoldChar"/>
          <w:rtl/>
        </w:rPr>
        <w:t>البحار</w:t>
      </w:r>
      <w:r w:rsidR="00992664" w:rsidRPr="00020424">
        <w:rPr>
          <w:rtl/>
        </w:rPr>
        <w:t xml:space="preserve"> ، ج 46 ، ص 107 ، ح 103.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روى أحمد بن أبي عبد الله عن إسماعيل بن مهران مباشرةً في كثيرٍ من الأسناد ، ولم نجد توسُّط والده بينهما</w:t>
      </w:r>
      <w:r w:rsidR="00992664">
        <w:rPr>
          <w:rFonts w:hint="cs"/>
          <w:rtl/>
        </w:rPr>
        <w:t xml:space="preserve"> </w:t>
      </w:r>
      <w:r w:rsidR="00A65453">
        <w:rPr>
          <w:rtl/>
        </w:rPr>
        <w:t>إل</w:t>
      </w:r>
      <w:r w:rsidR="00A65453">
        <w:rPr>
          <w:rFonts w:hint="cs"/>
          <w:rtl/>
        </w:rPr>
        <w:t>ّ</w:t>
      </w:r>
      <w:r w:rsidR="00A65453">
        <w:rPr>
          <w:rtl/>
        </w:rPr>
        <w:t>ا</w:t>
      </w:r>
      <w:r w:rsidR="00992664" w:rsidRPr="00020424">
        <w:rPr>
          <w:rtl/>
        </w:rPr>
        <w:t xml:space="preserve"> في ثلاثة أسنادٍ هذا أحدها ، وأمّا الآخران ، فورد أحدهما في </w:t>
      </w:r>
      <w:r w:rsidR="00D64ADA" w:rsidRPr="00D64ADA">
        <w:rPr>
          <w:rStyle w:val="libFootnoteBoldChar"/>
          <w:rtl/>
        </w:rPr>
        <w:t>المحاسن</w:t>
      </w:r>
      <w:r w:rsidR="00992664" w:rsidRPr="00020424">
        <w:rPr>
          <w:rtl/>
        </w:rPr>
        <w:t xml:space="preserve"> ، ص 305 ، ح 16. وثانيهما مذكور في </w:t>
      </w:r>
      <w:r w:rsidR="00992664" w:rsidRPr="00A65453">
        <w:rPr>
          <w:rStyle w:val="libFootnoteBoldChar"/>
          <w:rtl/>
        </w:rPr>
        <w:t xml:space="preserve">مشيخة </w:t>
      </w:r>
      <w:r w:rsidR="00992664" w:rsidRPr="0012008A">
        <w:rPr>
          <w:rStyle w:val="libFootnoteBoldChar"/>
          <w:rtl/>
        </w:rPr>
        <w:t>الفقيه</w:t>
      </w:r>
      <w:r w:rsidR="00992664" w:rsidRPr="00020424">
        <w:rPr>
          <w:rtl/>
        </w:rPr>
        <w:t xml:space="preserve"> ، وهو طريقه إلى إسماعيل بن مهران</w:t>
      </w:r>
      <w:r w:rsidR="00992664">
        <w:rPr>
          <w:rtl/>
        </w:rPr>
        <w:t xml:space="preserve"> </w:t>
      </w:r>
      <w:r w:rsidR="009B673F">
        <w:rPr>
          <w:rtl/>
        </w:rPr>
        <w:t>-</w:t>
      </w:r>
      <w:r w:rsidR="00992664">
        <w:rPr>
          <w:rtl/>
        </w:rPr>
        <w:t xml:space="preserve"> </w:t>
      </w:r>
      <w:r w:rsidR="00992664" w:rsidRPr="00020424">
        <w:rPr>
          <w:rtl/>
        </w:rPr>
        <w:t xml:space="preserve">ص 531. راجع : </w:t>
      </w:r>
      <w:r w:rsidR="00992664" w:rsidRPr="00DE76B9">
        <w:rPr>
          <w:rStyle w:val="libFootnoteBoldChar"/>
          <w:rtl/>
        </w:rPr>
        <w:t>معجم رجال الحديث</w:t>
      </w:r>
      <w:r w:rsidR="00992664" w:rsidRPr="00020424">
        <w:rPr>
          <w:rtl/>
        </w:rPr>
        <w:t xml:space="preserve"> ، ج 2 ، ص 397 وص 633</w:t>
      </w:r>
      <w:r w:rsidR="00992664">
        <w:rPr>
          <w:rtl/>
        </w:rPr>
        <w:t xml:space="preserve"> </w:t>
      </w:r>
      <w:r w:rsidR="009B673F">
        <w:rPr>
          <w:rtl/>
        </w:rPr>
        <w:t>-</w:t>
      </w:r>
      <w:r w:rsidR="00992664">
        <w:rPr>
          <w:rtl/>
        </w:rPr>
        <w:t xml:space="preserve"> </w:t>
      </w:r>
      <w:r w:rsidR="00992664" w:rsidRPr="00020424">
        <w:rPr>
          <w:rtl/>
        </w:rPr>
        <w:t>634.</w:t>
      </w:r>
    </w:p>
    <w:p w:rsidR="00992664" w:rsidRPr="00020424" w:rsidRDefault="00992664" w:rsidP="00A65453">
      <w:pPr>
        <w:pStyle w:val="libFootnote0"/>
        <w:rPr>
          <w:rtl/>
          <w:lang w:bidi="fa-IR"/>
        </w:rPr>
      </w:pPr>
      <w:r w:rsidRPr="00A65453">
        <w:rPr>
          <w:rtl/>
        </w:rPr>
        <w:t xml:space="preserve">هذا ، وما ورد في مشيخة </w:t>
      </w:r>
      <w:r w:rsidRPr="0012008A">
        <w:rPr>
          <w:rStyle w:val="libFootnoteBoldChar"/>
          <w:rtl/>
        </w:rPr>
        <w:t>الفقيه</w:t>
      </w:r>
      <w:r w:rsidRPr="00A65453">
        <w:rPr>
          <w:rtl/>
        </w:rPr>
        <w:t xml:space="preserve"> طريقٌ إلى خطبة فاطمة الزهراء </w:t>
      </w:r>
      <w:r w:rsidR="009B673F" w:rsidRPr="00A65453">
        <w:rPr>
          <w:rtl/>
        </w:rPr>
        <w:t>-</w:t>
      </w:r>
      <w:r w:rsidRPr="00A65453">
        <w:rPr>
          <w:rtl/>
        </w:rPr>
        <w:t xml:space="preserve"> سلام الله عليها </w:t>
      </w:r>
      <w:r w:rsidR="009B673F" w:rsidRPr="00A65453">
        <w:rPr>
          <w:rtl/>
        </w:rPr>
        <w:t>-</w:t>
      </w:r>
      <w:r w:rsidRPr="00A65453">
        <w:rPr>
          <w:rtl/>
        </w:rPr>
        <w:t xml:space="preserve"> في معنى فدك المذكورة في </w:t>
      </w:r>
      <w:r w:rsidRPr="0012008A">
        <w:rPr>
          <w:rStyle w:val="libFootnoteBoldChar"/>
          <w:rtl/>
        </w:rPr>
        <w:t>الفقيه</w:t>
      </w:r>
      <w:r w:rsidRPr="00A65453">
        <w:rPr>
          <w:rtl/>
        </w:rPr>
        <w:t xml:space="preserve"> ، ج 3 ، ص 567 ، ح 4940. لكنّ الخطبة ذكرها الصدوق في </w:t>
      </w:r>
      <w:r w:rsidRPr="00DE76B9">
        <w:rPr>
          <w:rStyle w:val="libFootnoteBoldChar"/>
          <w:rtl/>
        </w:rPr>
        <w:t>علل الشرائع</w:t>
      </w:r>
      <w:r w:rsidRPr="00A65453">
        <w:rPr>
          <w:rtl/>
        </w:rPr>
        <w:t xml:space="preserve"> ، ص 248 ، ح 3 بنفس السند المذكور في المشيخة عن أحمد بن أبي عبد الله البرقي ، عن إسماعيل بن مهران. فعليه ، لا يبعد القول بزيادة « عن أبيه » في ما نحن فيه وسند </w:t>
      </w:r>
      <w:r w:rsidR="00D64ADA" w:rsidRPr="00D64ADA">
        <w:rPr>
          <w:rStyle w:val="libFootnoteBoldChar"/>
          <w:rtl/>
        </w:rPr>
        <w:t>المحاسن</w:t>
      </w:r>
      <w:r w:rsidRPr="00A65453">
        <w:rPr>
          <w:rtl/>
        </w:rPr>
        <w:t>.</w:t>
      </w:r>
      <w:r w:rsidR="00A65453" w:rsidRPr="00A65453">
        <w:rPr>
          <w:rFonts w:hint="cs"/>
          <w:rtl/>
        </w:rPr>
        <w:t xml:space="preserve">              </w:t>
      </w:r>
      <w:r w:rsidR="00A65453">
        <w:rPr>
          <w:rFonts w:hint="cs"/>
          <w:rtl/>
        </w:rPr>
        <w:t xml:space="preserve">               </w:t>
      </w:r>
      <w:r w:rsidR="00795177">
        <w:rPr>
          <w:rtl/>
        </w:rPr>
        <w:t>(8).</w:t>
      </w:r>
      <w:r w:rsidR="0014403D">
        <w:rPr>
          <w:rtl/>
        </w:rPr>
        <w:t xml:space="preserve"> </w:t>
      </w:r>
      <w:r w:rsidRPr="00020424">
        <w:rPr>
          <w:rtl/>
        </w:rPr>
        <w:t xml:space="preserve">في </w:t>
      </w:r>
      <w:r w:rsidRPr="00A65453">
        <w:rPr>
          <w:rtl/>
        </w:rPr>
        <w:t>البحار</w:t>
      </w:r>
      <w:r w:rsidRPr="00020424">
        <w:rPr>
          <w:rtl/>
        </w:rPr>
        <w:t xml:space="preserve"> :</w:t>
      </w:r>
      <w:r>
        <w:rPr>
          <w:rtl/>
        </w:rPr>
        <w:t xml:space="preserve"> </w:t>
      </w:r>
      <w:r w:rsidR="009B673F">
        <w:rPr>
          <w:rtl/>
        </w:rPr>
        <w:t>-</w:t>
      </w:r>
      <w:r>
        <w:rPr>
          <w:rtl/>
        </w:rPr>
        <w:t xml:space="preserve"> </w:t>
      </w:r>
      <w:r w:rsidRPr="00020424">
        <w:rPr>
          <w:rtl/>
        </w:rPr>
        <w:t>« أبي ا</w:t>
      </w:r>
      <w:r w:rsidR="00A65453">
        <w:rPr>
          <w:rFonts w:hint="cs"/>
          <w:rtl/>
        </w:rPr>
        <w:t>ُ</w:t>
      </w:r>
      <w:r w:rsidRPr="00020424">
        <w:rPr>
          <w:rtl/>
        </w:rPr>
        <w:t>سامة</w:t>
      </w:r>
      <w:r>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w:t>
      </w:r>
      <w:r w:rsidRPr="00A91B96">
        <w:rPr>
          <w:rStyle w:val="libFootnotenumChar"/>
          <w:rtl/>
        </w:rPr>
        <w:t>(1)</w:t>
      </w:r>
      <w:r w:rsidRPr="00020424">
        <w:rPr>
          <w:rtl/>
          <w:lang w:bidi="fa-IR"/>
        </w:rPr>
        <w:t xml:space="preserve"> : « مَا مَنَعَ رَسُولُ اللهِ </w:t>
      </w:r>
      <w:r w:rsidR="00B42914" w:rsidRPr="00B42914">
        <w:rPr>
          <w:rStyle w:val="libAlaemChar"/>
          <w:rtl/>
        </w:rPr>
        <w:t>صلى‌الله‌عليه‌وآله‌</w:t>
      </w:r>
      <w:r w:rsidRPr="00020424">
        <w:rPr>
          <w:rtl/>
          <w:lang w:bidi="fa-IR"/>
        </w:rPr>
        <w:t xml:space="preserve"> سَائِلاً قَطُّ ؛ إِنْ </w:t>
      </w:r>
      <w:r w:rsidRPr="00A91B96">
        <w:rPr>
          <w:rStyle w:val="libFootnotenumChar"/>
          <w:rtl/>
        </w:rPr>
        <w:t>(2)</w:t>
      </w:r>
      <w:r w:rsidRPr="00020424">
        <w:rPr>
          <w:rtl/>
          <w:lang w:bidi="fa-IR"/>
        </w:rPr>
        <w:t xml:space="preserve"> </w:t>
      </w:r>
      <w:r w:rsidR="00A65453">
        <w:rPr>
          <w:rtl/>
          <w:lang w:bidi="fa-IR"/>
        </w:rPr>
        <w:t>كَانَ عِنْدَهُ أَعْطى ، وَإِل</w:t>
      </w:r>
      <w:r w:rsidR="00A65453">
        <w:rPr>
          <w:rFonts w:hint="cs"/>
          <w:rtl/>
          <w:lang w:bidi="fa-IR"/>
        </w:rPr>
        <w:t>َّ</w:t>
      </w:r>
      <w:r w:rsidR="00A65453">
        <w:rPr>
          <w:rtl/>
          <w:lang w:bidi="fa-IR"/>
        </w:rPr>
        <w:t>ا</w:t>
      </w:r>
      <w:r w:rsidRPr="00020424">
        <w:rPr>
          <w:rtl/>
          <w:lang w:bidi="fa-IR"/>
        </w:rPr>
        <w:t xml:space="preserve"> قَالَ : يَأْتِي اللهُ بِهِ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1D01A7">
        <w:rPr>
          <w:rtl/>
        </w:rPr>
        <w:t>6063</w:t>
      </w:r>
      <w:r w:rsidRPr="001155DE">
        <w:rPr>
          <w:rStyle w:val="libBold2Char"/>
          <w:rtl/>
        </w:rPr>
        <w:t xml:space="preserve"> / 6.</w:t>
      </w:r>
      <w:r w:rsidRPr="00020424">
        <w:rPr>
          <w:rtl/>
          <w:lang w:bidi="fa-IR"/>
        </w:rPr>
        <w:t xml:space="preserve"> أَحْمَدُ </w:t>
      </w:r>
      <w:r w:rsidRPr="00A91B96">
        <w:rPr>
          <w:rStyle w:val="libFootnotenumChar"/>
          <w:rtl/>
        </w:rPr>
        <w:t>(4)</w:t>
      </w:r>
      <w:r w:rsidRPr="00020424">
        <w:rPr>
          <w:rtl/>
          <w:lang w:bidi="fa-IR"/>
        </w:rPr>
        <w:t xml:space="preserve"> ، عَنْ أَبِيهِ ، عَنْ هَارُونَ بْنِ الْجَهْمِ ، عَنْ حَفْصِ بْنِ عُمَرَ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لَاتَرُدُّوا السَّائِلَ ، وَلَوْ بِظِلْفٍ </w:t>
      </w:r>
      <w:r w:rsidRPr="00A91B96">
        <w:rPr>
          <w:rStyle w:val="libFootnotenumChar"/>
          <w:rtl/>
        </w:rPr>
        <w:t>(5)</w:t>
      </w:r>
      <w:r w:rsidRPr="00020424">
        <w:rPr>
          <w:rtl/>
          <w:lang w:bidi="fa-IR"/>
        </w:rPr>
        <w:t xml:space="preserve"> مُحْتَرِقٍ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193" w:name="_Toc345172781"/>
      <w:bookmarkStart w:id="194" w:name="_Toc464562597"/>
      <w:bookmarkStart w:id="195" w:name="_Toc44599900"/>
      <w:r w:rsidRPr="00020424">
        <w:rPr>
          <w:rtl/>
          <w:lang w:bidi="fa-IR"/>
        </w:rPr>
        <w:t>59</w:t>
      </w:r>
      <w:r>
        <w:rPr>
          <w:rtl/>
          <w:lang w:bidi="fa-IR"/>
        </w:rPr>
        <w:t xml:space="preserve"> </w:t>
      </w:r>
      <w:r w:rsidR="009B673F">
        <w:rPr>
          <w:rtl/>
          <w:lang w:bidi="fa-IR"/>
        </w:rPr>
        <w:t>-</w:t>
      </w:r>
      <w:r>
        <w:rPr>
          <w:rtl/>
          <w:lang w:bidi="fa-IR"/>
        </w:rPr>
        <w:t xml:space="preserve"> </w:t>
      </w:r>
      <w:r w:rsidRPr="00020424">
        <w:rPr>
          <w:rtl/>
          <w:lang w:bidi="fa-IR"/>
        </w:rPr>
        <w:t>بَابُ قَدْرِ مَا يُعْطَى السَّائِلُ‌</w:t>
      </w:r>
      <w:bookmarkEnd w:id="193"/>
      <w:bookmarkEnd w:id="194"/>
      <w:bookmarkEnd w:id="195"/>
    </w:p>
    <w:p w:rsidR="00992664" w:rsidRPr="00020424" w:rsidRDefault="00992664" w:rsidP="00992664">
      <w:pPr>
        <w:pStyle w:val="libNormal"/>
        <w:rPr>
          <w:rtl/>
          <w:lang w:bidi="fa-IR"/>
        </w:rPr>
      </w:pPr>
      <w:r w:rsidRPr="001D01A7">
        <w:rPr>
          <w:rtl/>
        </w:rPr>
        <w:t>6064</w:t>
      </w:r>
      <w:r w:rsidRPr="001155DE">
        <w:rPr>
          <w:rStyle w:val="libBold2Char"/>
          <w:rtl/>
        </w:rPr>
        <w:t xml:space="preserve"> / 1.</w:t>
      </w:r>
      <w:r w:rsidRPr="00020424">
        <w:rPr>
          <w:rtl/>
          <w:lang w:bidi="fa-IR"/>
        </w:rPr>
        <w:t xml:space="preserve"> مُحَمَّدُ بْنُ يَحْيى ، عَنْ أَحْمَدَ بْنِ مُحَمَّدِ بْنِ عِيسى ، عَنِ الْحَسَنِ بْنِ مَحْبُوبٍ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A65453">
        <w:rPr>
          <w:rtl/>
        </w:rPr>
        <w:t>والوافي والوسائل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 « إذا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الروضة ، ضمن ح 14990 ، بسند آخر </w:t>
      </w:r>
      <w:r w:rsidR="00A65453">
        <w:rPr>
          <w:rFonts w:hint="cs"/>
          <w:rtl/>
        </w:rPr>
        <w:t>.</w:t>
      </w:r>
      <w:r w:rsidR="00992664" w:rsidRPr="0012008A">
        <w:rPr>
          <w:rStyle w:val="libFootnoteBoldChar"/>
          <w:rtl/>
        </w:rPr>
        <w:t>الوافي</w:t>
      </w:r>
      <w:r w:rsidR="00992664" w:rsidRPr="00020424">
        <w:rPr>
          <w:rtl/>
        </w:rPr>
        <w:t xml:space="preserve"> ، ج 10 ، ص 411 ، ح 9790 ؛ </w:t>
      </w:r>
      <w:r w:rsidR="00992664" w:rsidRPr="0012008A">
        <w:rPr>
          <w:rStyle w:val="libFootnoteBoldChar"/>
          <w:rtl/>
        </w:rPr>
        <w:t>الوسائل</w:t>
      </w:r>
      <w:r w:rsidR="00992664" w:rsidRPr="00020424">
        <w:rPr>
          <w:rtl/>
        </w:rPr>
        <w:t xml:space="preserve"> ، ج 9 ، ص 418 ، ح 12374 ؛ </w:t>
      </w:r>
      <w:r w:rsidR="00992664" w:rsidRPr="0012008A">
        <w:rPr>
          <w:rStyle w:val="libFootnoteBoldChar"/>
          <w:rtl/>
        </w:rPr>
        <w:t>البحار</w:t>
      </w:r>
      <w:r w:rsidR="00992664" w:rsidRPr="00020424">
        <w:rPr>
          <w:rtl/>
        </w:rPr>
        <w:t xml:space="preserve"> ، ج 16 ، ص 269 ، ح 84.</w:t>
      </w:r>
    </w:p>
    <w:p w:rsidR="00992664" w:rsidRPr="00020424" w:rsidRDefault="00795177" w:rsidP="00A65453">
      <w:pPr>
        <w:pStyle w:val="libFootnote0"/>
        <w:rPr>
          <w:rtl/>
          <w:lang w:bidi="fa-IR"/>
        </w:rPr>
      </w:pPr>
      <w:r>
        <w:rPr>
          <w:rtl/>
        </w:rPr>
        <w:t>(4).</w:t>
      </w:r>
      <w:r w:rsidR="0014403D">
        <w:rPr>
          <w:rtl/>
        </w:rPr>
        <w:t xml:space="preserve"> </w:t>
      </w:r>
      <w:r w:rsidR="00992664" w:rsidRPr="00020424">
        <w:rPr>
          <w:rtl/>
        </w:rPr>
        <w:t xml:space="preserve">هكذا في « جر » </w:t>
      </w:r>
      <w:r w:rsidR="00992664" w:rsidRPr="00A65453">
        <w:rPr>
          <w:rtl/>
        </w:rPr>
        <w:t>والوسائل</w:t>
      </w:r>
      <w:r w:rsidR="00992664" w:rsidRPr="00020424">
        <w:rPr>
          <w:rtl/>
        </w:rPr>
        <w:t>. وفي « بر » : « عليّ</w:t>
      </w:r>
      <w:r w:rsidR="00992664">
        <w:rPr>
          <w:rtl/>
        </w:rPr>
        <w:t xml:space="preserve"> ».</w:t>
      </w:r>
      <w:r w:rsidR="00992664" w:rsidRPr="00020424">
        <w:rPr>
          <w:rtl/>
        </w:rPr>
        <w:t xml:space="preserve"> وفي « ظ ، ى ، بح ، بخ ، بس ، بف ، جن » والمطبوع : « أحمد بن محمّد</w:t>
      </w:r>
      <w:r w:rsidR="00992664">
        <w:rPr>
          <w:rtl/>
        </w:rPr>
        <w:t xml:space="preserve"> ».</w:t>
      </w:r>
      <w:r w:rsidR="00992664" w:rsidRPr="00020424">
        <w:rPr>
          <w:rtl/>
        </w:rPr>
        <w:t xml:space="preserve"> والمراد من أحمد ، هو أحمد بن أبي عبدالله المذكور في السند السابق ؛ فقد روى هو عن أبيه كتاب هارون بن الجهم ، كما في </w:t>
      </w:r>
      <w:r w:rsidR="00992664" w:rsidRPr="00D530ED">
        <w:rPr>
          <w:rStyle w:val="libFootnoteBoldChar"/>
          <w:rtl/>
        </w:rPr>
        <w:t>الفهرست للطوسي</w:t>
      </w:r>
      <w:r w:rsidR="00992664" w:rsidRPr="00020424">
        <w:rPr>
          <w:rtl/>
        </w:rPr>
        <w:t xml:space="preserve"> ، ص 496 ، الرقم 784. وأحمد بن أبي عبدالله وإن كان متّحداً مع أحمد بن محمد بن خالد فيصحّ التعبير عنه</w:t>
      </w:r>
      <w:r w:rsidR="00992664">
        <w:rPr>
          <w:rtl/>
        </w:rPr>
        <w:t xml:space="preserve"> ب</w:t>
      </w:r>
      <w:r w:rsidR="00A65453">
        <w:rPr>
          <w:rFonts w:hint="cs"/>
          <w:rtl/>
        </w:rPr>
        <w:t>ـ</w:t>
      </w:r>
      <w:r w:rsidR="00992664">
        <w:rPr>
          <w:rtl/>
        </w:rPr>
        <w:t xml:space="preserve"> </w:t>
      </w:r>
      <w:r w:rsidR="00992664" w:rsidRPr="00020424">
        <w:rPr>
          <w:rtl/>
        </w:rPr>
        <w:t>« أحمد بن محمّد » ، لكنّ المناسب في المقام</w:t>
      </w:r>
      <w:r w:rsidR="00992664">
        <w:rPr>
          <w:rtl/>
        </w:rPr>
        <w:t xml:space="preserve"> </w:t>
      </w:r>
      <w:r w:rsidR="009B673F">
        <w:rPr>
          <w:rtl/>
        </w:rPr>
        <w:t>-</w:t>
      </w:r>
      <w:r w:rsidR="00992664">
        <w:rPr>
          <w:rtl/>
        </w:rPr>
        <w:t xml:space="preserve"> </w:t>
      </w:r>
      <w:r w:rsidR="00992664" w:rsidRPr="00020424">
        <w:rPr>
          <w:rtl/>
        </w:rPr>
        <w:t>وهو كون السند معلّقاً</w:t>
      </w:r>
      <w:r w:rsidR="009B673F">
        <w:rPr>
          <w:rtl/>
        </w:rPr>
        <w:t>-</w:t>
      </w:r>
      <w:r w:rsidR="00992664">
        <w:rPr>
          <w:rtl/>
        </w:rPr>
        <w:t xml:space="preserve"> </w:t>
      </w:r>
      <w:r w:rsidR="00992664" w:rsidRPr="00020424">
        <w:rPr>
          <w:rtl/>
        </w:rPr>
        <w:t>التعبير بما هو يوافق العنوان المتقدّم ، أو يكون مختصراً عنه ، كما هو مرسوم في كثيرٍ من الأسناد المعلّقة والمظنون أنّ « بن محمّد » كانت عبارة تفسيريّة في حاشية بعض النسخ ، ثمّ ا</w:t>
      </w:r>
      <w:r w:rsidR="00A65453">
        <w:rPr>
          <w:rFonts w:hint="cs"/>
          <w:rtl/>
        </w:rPr>
        <w:t>ُ</w:t>
      </w:r>
      <w:r w:rsidR="00992664" w:rsidRPr="00020424">
        <w:rPr>
          <w:rtl/>
        </w:rPr>
        <w:t>درجت في المتن في الاستنساخات التالية بتوهّم سقوطها منه. وأمّا ما ورد في « بر » من « عليّ » بدل « أحمد » فلا يبعد كونه محرّفاً من « عنه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الظلف » للبقر والغنم كالحافر للفرس والبغل ، والخفّ للبعير. وقيل : الظلف للبقرة والشاة والظبي وشبهها</w:t>
      </w:r>
      <w:r w:rsidR="00A65453">
        <w:rPr>
          <w:rFonts w:hint="cs"/>
          <w:rtl/>
        </w:rPr>
        <w:t xml:space="preserve"> </w:t>
      </w:r>
      <w:r w:rsidR="00992664" w:rsidRPr="00020424">
        <w:rPr>
          <w:rtl/>
        </w:rPr>
        <w:t xml:space="preserve">بمنزلة القدم لنا. راجع : </w:t>
      </w:r>
      <w:r w:rsidR="00992664" w:rsidRPr="0012008A">
        <w:rPr>
          <w:rStyle w:val="libFootnoteBoldChar"/>
          <w:rtl/>
        </w:rPr>
        <w:t>النهاية</w:t>
      </w:r>
      <w:r w:rsidR="00992664" w:rsidRPr="00020424">
        <w:rPr>
          <w:rtl/>
        </w:rPr>
        <w:t xml:space="preserve"> ، ج 3 ، ص 159 ؛ </w:t>
      </w:r>
      <w:r w:rsidR="00992664" w:rsidRPr="00A722B1">
        <w:rPr>
          <w:rStyle w:val="libFootnoteBoldChar"/>
          <w:rtl/>
        </w:rPr>
        <w:t>القاموس المحيط</w:t>
      </w:r>
      <w:r w:rsidR="00992664" w:rsidRPr="00020424">
        <w:rPr>
          <w:rtl/>
        </w:rPr>
        <w:t xml:space="preserve"> ، ج 2 ، ص 1111 ( ظلف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محرق</w:t>
      </w:r>
      <w:r w:rsidR="00992664">
        <w:rPr>
          <w:rtl/>
        </w:rPr>
        <w:t xml:space="preserve"> ».</w:t>
      </w:r>
      <w:r w:rsidR="00992664" w:rsidRPr="00020424">
        <w:rPr>
          <w:rtl/>
        </w:rPr>
        <w:t xml:space="preserve"> وفي « بر » : « مجترف</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محرق</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الجعفريّات</w:t>
      </w:r>
      <w:r w:rsidR="00992664" w:rsidRPr="00020424">
        <w:rPr>
          <w:rtl/>
        </w:rPr>
        <w:t xml:space="preserve"> ، ص 57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A65453">
        <w:rPr>
          <w:rFonts w:hint="cs"/>
          <w:rtl/>
        </w:rPr>
        <w:t>.</w:t>
      </w:r>
      <w:r w:rsidR="00992664" w:rsidRPr="0012008A">
        <w:rPr>
          <w:rStyle w:val="libFootnoteBoldChar"/>
          <w:rtl/>
        </w:rPr>
        <w:t>الوافي</w:t>
      </w:r>
      <w:r w:rsidR="00992664" w:rsidRPr="00020424">
        <w:rPr>
          <w:rtl/>
        </w:rPr>
        <w:t xml:space="preserve"> ، ج 10 ، ص 411 ، ح 9791 ؛ </w:t>
      </w:r>
      <w:r w:rsidR="00992664" w:rsidRPr="0012008A">
        <w:rPr>
          <w:rStyle w:val="libFootnoteBoldChar"/>
          <w:rtl/>
        </w:rPr>
        <w:t>الوسائل</w:t>
      </w:r>
      <w:r w:rsidR="00992664" w:rsidRPr="00020424">
        <w:rPr>
          <w:rtl/>
        </w:rPr>
        <w:t xml:space="preserve"> ، ج 9 ، ص 419 ، ح 12376.</w:t>
      </w:r>
    </w:p>
    <w:p w:rsidR="00795177" w:rsidRDefault="00795177" w:rsidP="00795177">
      <w:pPr>
        <w:pStyle w:val="libNormal"/>
        <w:rPr>
          <w:rtl/>
          <w:lang w:bidi="fa-IR"/>
        </w:rPr>
      </w:pPr>
      <w:r>
        <w:rPr>
          <w:rtl/>
          <w:lang w:bidi="fa-IR"/>
        </w:rPr>
        <w:br w:type="page"/>
      </w:r>
    </w:p>
    <w:p w:rsidR="00992664" w:rsidRPr="00020424" w:rsidRDefault="00992664" w:rsidP="00A65453">
      <w:pPr>
        <w:pStyle w:val="libNormal0"/>
        <w:rPr>
          <w:rtl/>
          <w:lang w:bidi="fa-IR"/>
        </w:rPr>
      </w:pPr>
      <w:r w:rsidRPr="00020424">
        <w:rPr>
          <w:rtl/>
          <w:lang w:bidi="fa-IR"/>
        </w:rPr>
        <w:t>عَنْ عَبْدِ اللهِ بْنِ سِنَانٍ ، عَنِ الْوَلِيدِ بْنِ صَبِيحٍ ، قَالَ :</w:t>
      </w:r>
    </w:p>
    <w:p w:rsidR="00992664" w:rsidRPr="00020424" w:rsidRDefault="00992664" w:rsidP="00992664">
      <w:pPr>
        <w:pStyle w:val="libNormal"/>
        <w:rPr>
          <w:rtl/>
          <w:lang w:bidi="fa-IR"/>
        </w:rPr>
      </w:pPr>
      <w:r w:rsidRPr="00020424">
        <w:rPr>
          <w:rtl/>
          <w:lang w:bidi="fa-IR"/>
        </w:rPr>
        <w:t xml:space="preserve">كُنْتُ عِنْدَ أَبِي عَبْدِ اللهِ </w:t>
      </w:r>
      <w:r w:rsidRPr="00005A81">
        <w:rPr>
          <w:rStyle w:val="libAlaemChar"/>
          <w:rtl/>
        </w:rPr>
        <w:t>عليه‌السلام</w:t>
      </w:r>
      <w:r w:rsidRPr="00020424">
        <w:rPr>
          <w:rtl/>
          <w:lang w:bidi="fa-IR"/>
        </w:rPr>
        <w:t xml:space="preserve"> ، فَجَاءَهُ </w:t>
      </w:r>
      <w:r w:rsidRPr="00A91B96">
        <w:rPr>
          <w:rStyle w:val="libFootnotenumChar"/>
          <w:rtl/>
        </w:rPr>
        <w:t>(1)</w:t>
      </w:r>
      <w:r w:rsidRPr="00020424">
        <w:rPr>
          <w:rtl/>
          <w:lang w:bidi="fa-IR"/>
        </w:rPr>
        <w:t xml:space="preserve"> سَائِلٌ </w:t>
      </w:r>
      <w:r w:rsidRPr="00A91B96">
        <w:rPr>
          <w:rStyle w:val="libFootnotenumChar"/>
          <w:rtl/>
        </w:rPr>
        <w:t>(2)</w:t>
      </w:r>
      <w:r w:rsidRPr="00020424">
        <w:rPr>
          <w:rtl/>
          <w:lang w:bidi="fa-IR"/>
        </w:rPr>
        <w:t xml:space="preserve"> ، فَأَعْطَاهُ ، ثُمَّ جَاءَهُ </w:t>
      </w:r>
      <w:r w:rsidRPr="00A91B96">
        <w:rPr>
          <w:rStyle w:val="libFootnotenumChar"/>
          <w:rtl/>
        </w:rPr>
        <w:t>(3)</w:t>
      </w:r>
      <w:r w:rsidRPr="00020424">
        <w:rPr>
          <w:rtl/>
          <w:lang w:bidi="fa-IR"/>
        </w:rPr>
        <w:t xml:space="preserve"> آخَرُ ، فَأَعْطَاهُ ، ثُمَّ جَاءَهُ </w:t>
      </w:r>
      <w:r w:rsidRPr="00A91B96">
        <w:rPr>
          <w:rStyle w:val="libFootnotenumChar"/>
          <w:rtl/>
        </w:rPr>
        <w:t>(4)</w:t>
      </w:r>
      <w:r w:rsidRPr="00020424">
        <w:rPr>
          <w:rtl/>
          <w:lang w:bidi="fa-IR"/>
        </w:rPr>
        <w:t xml:space="preserve"> آخَرُ ، فَأَعْطَاهُ ، ثُمَّ جَاءَهُ </w:t>
      </w:r>
      <w:r w:rsidRPr="00A91B96">
        <w:rPr>
          <w:rStyle w:val="libFootnotenumChar"/>
          <w:rtl/>
        </w:rPr>
        <w:t>(5)</w:t>
      </w:r>
      <w:r w:rsidRPr="00020424">
        <w:rPr>
          <w:rtl/>
          <w:lang w:bidi="fa-IR"/>
        </w:rPr>
        <w:t xml:space="preserve"> آخَرُ </w:t>
      </w:r>
      <w:r w:rsidRPr="00A91B96">
        <w:rPr>
          <w:rStyle w:val="libFootnotenumChar"/>
          <w:rtl/>
        </w:rPr>
        <w:t>(6)</w:t>
      </w:r>
      <w:r w:rsidRPr="00020424">
        <w:rPr>
          <w:rtl/>
          <w:lang w:bidi="fa-IR"/>
        </w:rPr>
        <w:t xml:space="preserve"> ، فَقَالَ : « يَسَعُ </w:t>
      </w:r>
      <w:r w:rsidRPr="00A91B96">
        <w:rPr>
          <w:rStyle w:val="libFootnotenumChar"/>
          <w:rtl/>
        </w:rPr>
        <w:t>(7)</w:t>
      </w:r>
      <w:r w:rsidRPr="00020424">
        <w:rPr>
          <w:rtl/>
          <w:lang w:bidi="fa-IR"/>
        </w:rPr>
        <w:t xml:space="preserve"> اللهُ عَلَيْكَ</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إِنَّ رَجُلاً لَوْ كَانَ لَهُ مَالٌ يَبْلُغُ ثَلَاثِينَ أَوْ أَرْبَعِينَ أَلْفَ دِرْهَمٍ ، ثُمَّ شَاءَ أَنْ لَا يَبْقى مِنْهَا </w:t>
      </w:r>
      <w:r w:rsidRPr="00A91B96">
        <w:rPr>
          <w:rStyle w:val="libFootnotenumChar"/>
          <w:rtl/>
        </w:rPr>
        <w:t>(8)</w:t>
      </w:r>
      <w:r w:rsidR="00A65453">
        <w:rPr>
          <w:rtl/>
          <w:lang w:bidi="fa-IR"/>
        </w:rPr>
        <w:t xml:space="preserve"> إِل</w:t>
      </w:r>
      <w:r w:rsidR="00A65453">
        <w:rPr>
          <w:rFonts w:hint="cs"/>
          <w:rtl/>
          <w:lang w:bidi="fa-IR"/>
        </w:rPr>
        <w:t>َّ</w:t>
      </w:r>
      <w:r w:rsidR="00A65453">
        <w:rPr>
          <w:rtl/>
          <w:lang w:bidi="fa-IR"/>
        </w:rPr>
        <w:t>ا</w:t>
      </w:r>
      <w:r w:rsidRPr="00020424">
        <w:rPr>
          <w:rtl/>
          <w:lang w:bidi="fa-IR"/>
        </w:rPr>
        <w:t xml:space="preserve"> وَضَعَهَا فِي حَقٍّ ، لَفَعَلَ ، فَيَبْقى لَامَالَ لَهُ ، فَيَكُونُ مِنَ الثَّلَاثَةِ الَّذِينَ يُرَدُّ دُعَاؤُهُمْ</w:t>
      </w:r>
      <w:r>
        <w:rPr>
          <w:rtl/>
          <w:lang w:bidi="fa-IR"/>
        </w:rPr>
        <w:t xml:space="preserve"> ».</w:t>
      </w:r>
    </w:p>
    <w:p w:rsidR="00992664" w:rsidRPr="00020424" w:rsidRDefault="00992664" w:rsidP="00992664">
      <w:pPr>
        <w:pStyle w:val="libNormal"/>
        <w:rPr>
          <w:rtl/>
          <w:lang w:bidi="fa-IR"/>
        </w:rPr>
      </w:pPr>
      <w:r w:rsidRPr="00020424">
        <w:rPr>
          <w:rtl/>
          <w:lang w:bidi="fa-IR"/>
        </w:rPr>
        <w:t>قُلْتُ : مَنْ هُمْ</w:t>
      </w:r>
      <w:r>
        <w:rPr>
          <w:rtl/>
          <w:lang w:bidi="fa-IR"/>
        </w:rPr>
        <w:t>؟</w:t>
      </w:r>
    </w:p>
    <w:p w:rsidR="00992664" w:rsidRPr="00020424" w:rsidRDefault="00992664" w:rsidP="00992664">
      <w:pPr>
        <w:pStyle w:val="libNormal"/>
        <w:rPr>
          <w:rtl/>
          <w:lang w:bidi="fa-IR"/>
        </w:rPr>
      </w:pPr>
      <w:r w:rsidRPr="00020424">
        <w:rPr>
          <w:rtl/>
          <w:lang w:bidi="fa-IR"/>
        </w:rPr>
        <w:t xml:space="preserve">قَالَ : « أَحَدُهُمْ رَجُلٌ كَانَ لَهُ مَالٌ ، فَأَنْفَقَهُ فِي وَجْهِهِ </w:t>
      </w:r>
      <w:r w:rsidRPr="00A91B96">
        <w:rPr>
          <w:rStyle w:val="libFootnotenumChar"/>
          <w:rtl/>
        </w:rPr>
        <w:t>(9)</w:t>
      </w:r>
      <w:r w:rsidRPr="00020424">
        <w:rPr>
          <w:rtl/>
          <w:lang w:bidi="fa-IR"/>
        </w:rPr>
        <w:t xml:space="preserve"> ، ثُمَّ قَالَ : يَا رَبِّ ارْزُقْنِي ، فَيُقَالُ </w:t>
      </w:r>
      <w:r w:rsidRPr="00A91B96">
        <w:rPr>
          <w:rStyle w:val="libFootnotenumChar"/>
          <w:rtl/>
        </w:rPr>
        <w:t>(10)</w:t>
      </w:r>
      <w:r w:rsidRPr="00020424">
        <w:rPr>
          <w:rtl/>
          <w:lang w:bidi="fa-IR"/>
        </w:rPr>
        <w:t xml:space="preserve"> لَهُ </w:t>
      </w:r>
      <w:r w:rsidRPr="00A91B96">
        <w:rPr>
          <w:rStyle w:val="libFootnotenumChar"/>
          <w:rtl/>
        </w:rPr>
        <w:t>(11)</w:t>
      </w:r>
      <w:r>
        <w:rPr>
          <w:rtl/>
          <w:lang w:bidi="fa-IR"/>
        </w:rPr>
        <w:t xml:space="preserve"> : أَ</w:t>
      </w:r>
      <w:r w:rsidRPr="00020424">
        <w:rPr>
          <w:rtl/>
          <w:lang w:bidi="fa-IR"/>
        </w:rPr>
        <w:t xml:space="preserve">لَمْ أَجْعَلْ لَكَ سَبِيلاً إِلى طَلَبِ الرِّزْقِ </w:t>
      </w:r>
      <w:r w:rsidRPr="00A91B96">
        <w:rPr>
          <w:rStyle w:val="libFootnotenumChar"/>
          <w:rtl/>
        </w:rPr>
        <w:t>(12)</w:t>
      </w:r>
      <w:r>
        <w:rPr>
          <w:rtl/>
          <w:lang w:bidi="fa-IR"/>
        </w:rPr>
        <w:t>؟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65453" w:rsidTr="00A65453">
        <w:tc>
          <w:tcPr>
            <w:tcW w:w="4006" w:type="dxa"/>
          </w:tcPr>
          <w:p w:rsidR="00A65453" w:rsidRDefault="00A65453" w:rsidP="00992664">
            <w:pPr>
              <w:pStyle w:val="libFootnote0"/>
              <w:rPr>
                <w:rtl/>
              </w:rPr>
            </w:pPr>
            <w:r>
              <w:rPr>
                <w:rtl/>
              </w:rPr>
              <w:t xml:space="preserve">(1). </w:t>
            </w:r>
            <w:r w:rsidRPr="00020424">
              <w:rPr>
                <w:rtl/>
              </w:rPr>
              <w:t>في « ى ، بر ، بف » : « فجاء</w:t>
            </w:r>
            <w:r>
              <w:rPr>
                <w:rtl/>
              </w:rPr>
              <w:t xml:space="preserve"> ».</w:t>
            </w:r>
          </w:p>
        </w:tc>
        <w:tc>
          <w:tcPr>
            <w:tcW w:w="4006" w:type="dxa"/>
          </w:tcPr>
          <w:p w:rsidR="00A65453" w:rsidRDefault="00A65453" w:rsidP="00992664">
            <w:pPr>
              <w:pStyle w:val="libFootnote0"/>
              <w:rPr>
                <w:rtl/>
              </w:rPr>
            </w:pPr>
            <w:r>
              <w:rPr>
                <w:rtl/>
              </w:rPr>
              <w:t xml:space="preserve">(2). </w:t>
            </w:r>
            <w:r w:rsidRPr="00020424">
              <w:rPr>
                <w:rtl/>
              </w:rPr>
              <w:t>في « ى » : « السائل</w:t>
            </w:r>
            <w:r>
              <w:rPr>
                <w:rtl/>
              </w:rPr>
              <w:t xml:space="preserve"> ».</w:t>
            </w:r>
          </w:p>
        </w:tc>
      </w:tr>
      <w:tr w:rsidR="00A65453" w:rsidTr="00A65453">
        <w:tc>
          <w:tcPr>
            <w:tcW w:w="4006" w:type="dxa"/>
          </w:tcPr>
          <w:p w:rsidR="00A65453" w:rsidRDefault="00A65453" w:rsidP="00992664">
            <w:pPr>
              <w:pStyle w:val="libFootnote0"/>
              <w:rPr>
                <w:rtl/>
              </w:rPr>
            </w:pPr>
            <w:r>
              <w:rPr>
                <w:rtl/>
              </w:rPr>
              <w:t xml:space="preserve">(3). </w:t>
            </w:r>
            <w:r w:rsidRPr="00020424">
              <w:rPr>
                <w:rtl/>
              </w:rPr>
              <w:t xml:space="preserve">في « ى ، بث ، بر ، بف » </w:t>
            </w:r>
            <w:r w:rsidRPr="00A65453">
              <w:rPr>
                <w:rtl/>
              </w:rPr>
              <w:t>والوافي</w:t>
            </w:r>
            <w:r w:rsidRPr="00020424">
              <w:rPr>
                <w:rtl/>
              </w:rPr>
              <w:t xml:space="preserve"> : « جاء</w:t>
            </w:r>
            <w:r>
              <w:rPr>
                <w:rtl/>
              </w:rPr>
              <w:t xml:space="preserve"> ».</w:t>
            </w:r>
          </w:p>
        </w:tc>
        <w:tc>
          <w:tcPr>
            <w:tcW w:w="4006" w:type="dxa"/>
          </w:tcPr>
          <w:p w:rsidR="00A65453" w:rsidRDefault="00A65453" w:rsidP="00992664">
            <w:pPr>
              <w:pStyle w:val="libFootnote0"/>
              <w:rPr>
                <w:rtl/>
              </w:rPr>
            </w:pPr>
            <w:r>
              <w:rPr>
                <w:rtl/>
              </w:rPr>
              <w:t xml:space="preserve">(4). </w:t>
            </w:r>
            <w:r w:rsidRPr="00020424">
              <w:rPr>
                <w:rtl/>
              </w:rPr>
              <w:t xml:space="preserve">في « بث ، بر ، بف » </w:t>
            </w:r>
            <w:r w:rsidRPr="00A65453">
              <w:rPr>
                <w:rtl/>
              </w:rPr>
              <w:t>والوافي</w:t>
            </w:r>
            <w:r w:rsidRPr="00020424">
              <w:rPr>
                <w:rtl/>
              </w:rPr>
              <w:t xml:space="preserve"> : « جاء</w:t>
            </w:r>
            <w:r>
              <w:rPr>
                <w:rtl/>
              </w:rPr>
              <w:t xml:space="preserve"> ».</w:t>
            </w:r>
          </w:p>
        </w:tc>
      </w:tr>
      <w:tr w:rsidR="00A65453" w:rsidTr="00A65453">
        <w:tc>
          <w:tcPr>
            <w:tcW w:w="4006" w:type="dxa"/>
          </w:tcPr>
          <w:p w:rsidR="00A65453" w:rsidRDefault="00A65453" w:rsidP="00992664">
            <w:pPr>
              <w:pStyle w:val="libFootnote0"/>
              <w:rPr>
                <w:rtl/>
              </w:rPr>
            </w:pPr>
            <w:r>
              <w:rPr>
                <w:rtl/>
              </w:rPr>
              <w:t xml:space="preserve">(5). </w:t>
            </w:r>
            <w:r w:rsidRPr="00020424">
              <w:rPr>
                <w:rtl/>
              </w:rPr>
              <w:t xml:space="preserve">في « بث ، بر ، بف » </w:t>
            </w:r>
            <w:r w:rsidRPr="00A65453">
              <w:rPr>
                <w:rtl/>
              </w:rPr>
              <w:t>والوافي</w:t>
            </w:r>
            <w:r w:rsidRPr="00020424">
              <w:rPr>
                <w:rtl/>
              </w:rPr>
              <w:t xml:space="preserve"> : « جاء</w:t>
            </w:r>
            <w:r>
              <w:rPr>
                <w:rtl/>
              </w:rPr>
              <w:t xml:space="preserve"> ».</w:t>
            </w:r>
          </w:p>
        </w:tc>
        <w:tc>
          <w:tcPr>
            <w:tcW w:w="4006" w:type="dxa"/>
          </w:tcPr>
          <w:p w:rsidR="00A65453" w:rsidRDefault="00A65453" w:rsidP="00A65453">
            <w:pPr>
              <w:pStyle w:val="libFootnote0"/>
              <w:rPr>
                <w:rtl/>
              </w:rPr>
            </w:pPr>
            <w:r>
              <w:rPr>
                <w:rtl/>
              </w:rPr>
              <w:t>(6). في «ظ</w:t>
            </w:r>
            <w:r w:rsidRPr="00020424">
              <w:rPr>
                <w:rtl/>
              </w:rPr>
              <w:t>،ى</w:t>
            </w:r>
            <w:r>
              <w:rPr>
                <w:rtl/>
              </w:rPr>
              <w:t>،</w:t>
            </w:r>
            <w:r w:rsidRPr="00020424">
              <w:rPr>
                <w:rtl/>
              </w:rPr>
              <w:t>ب</w:t>
            </w:r>
            <w:r>
              <w:rPr>
                <w:rtl/>
              </w:rPr>
              <w:t>خ،بس»</w:t>
            </w:r>
            <w:r w:rsidRPr="00020424">
              <w:rPr>
                <w:rtl/>
              </w:rPr>
              <w:t>:</w:t>
            </w:r>
            <w:r>
              <w:rPr>
                <w:rtl/>
              </w:rPr>
              <w:t>-«</w:t>
            </w:r>
            <w:r w:rsidRPr="00020424">
              <w:rPr>
                <w:rtl/>
              </w:rPr>
              <w:t>فأعطاه ، ثمّ جاءه آخر</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فيسبغ</w:t>
      </w:r>
      <w:r w:rsidR="00992664">
        <w:rPr>
          <w:rtl/>
        </w:rPr>
        <w:t xml:space="preserve"> ».</w:t>
      </w:r>
      <w:r w:rsidR="00992664" w:rsidRPr="00020424">
        <w:rPr>
          <w:rtl/>
        </w:rPr>
        <w:t xml:space="preserve"> وفي </w:t>
      </w:r>
      <w:r w:rsidR="00992664" w:rsidRPr="00A65453">
        <w:rPr>
          <w:rtl/>
        </w:rPr>
        <w:t>الوسائل</w:t>
      </w:r>
      <w:r w:rsidR="00992664" w:rsidRPr="00020424">
        <w:rPr>
          <w:rtl/>
        </w:rPr>
        <w:t xml:space="preserve"> ، ح 12383 </w:t>
      </w:r>
      <w:r w:rsidR="00992664" w:rsidRPr="00FD6221">
        <w:rPr>
          <w:rStyle w:val="libFootnoteBoldChar"/>
          <w:rtl/>
        </w:rPr>
        <w:t>والفقيه</w:t>
      </w:r>
      <w:r w:rsidR="00992664" w:rsidRPr="00020424">
        <w:rPr>
          <w:rtl/>
        </w:rPr>
        <w:t xml:space="preserve"> : « وسع</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w:t>
      </w:r>
      <w:r w:rsidR="00992664" w:rsidRPr="00FD6221">
        <w:rPr>
          <w:rStyle w:val="libFootnoteBoldChar"/>
          <w:rtl/>
        </w:rPr>
        <w:t>والفقيه</w:t>
      </w:r>
      <w:r w:rsidR="00992664" w:rsidRPr="00020424">
        <w:rPr>
          <w:rtl/>
        </w:rPr>
        <w:t xml:space="preserve"> : + « شيئاً</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منها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ظ ، ى ، بث ، بح ، بخ ، بس ، بف ، جن » </w:t>
      </w:r>
      <w:r w:rsidR="00992664" w:rsidRPr="00A65453">
        <w:rPr>
          <w:rtl/>
        </w:rPr>
        <w:t>والوافي والوسائل</w:t>
      </w:r>
      <w:r w:rsidR="00992664" w:rsidRPr="00020424">
        <w:rPr>
          <w:rtl/>
        </w:rPr>
        <w:t>. وفي « بر » والمطبوع : « في غير وجهه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هكذا في جميع النسخ التي قوبلت </w:t>
      </w:r>
      <w:r w:rsidR="00992664" w:rsidRPr="00A65453">
        <w:rPr>
          <w:rtl/>
        </w:rPr>
        <w:t>والوافي والوسائل</w:t>
      </w:r>
      <w:r w:rsidR="00992664" w:rsidRPr="00020424">
        <w:rPr>
          <w:rtl/>
        </w:rPr>
        <w:t>. وفي المطبوع : « فقال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بخ ، بر ، بف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هامش الطبعة الحجريّة : « قوله : ألم أجعل لك سبيلاً إلخ ، لعلّ في هذا سقطاً وقع سهواً من قلم الناسخ ، أو اشتباهاً منه للتماثل بين الكلمات ؛ لعدم مطابقة الجواب مع السؤال ، والصواب ما رواه رئيس المحدّثين في </w:t>
      </w:r>
      <w:r w:rsidR="00992664" w:rsidRPr="0012008A">
        <w:rPr>
          <w:rStyle w:val="libFootnoteBoldChar"/>
          <w:rtl/>
        </w:rPr>
        <w:t>الفقيه</w:t>
      </w:r>
      <w:r w:rsidR="00992664" w:rsidRPr="00020424">
        <w:rPr>
          <w:rtl/>
        </w:rPr>
        <w:t xml:space="preserve"> وهو ذكر ما ترك في هذا الحديث ، وفي </w:t>
      </w:r>
      <w:r w:rsidR="00992664" w:rsidRPr="0012008A">
        <w:rPr>
          <w:rStyle w:val="libFootnoteBoldChar"/>
          <w:rtl/>
        </w:rPr>
        <w:t>الفقيه</w:t>
      </w:r>
      <w:r w:rsidR="00992664" w:rsidRPr="00020424">
        <w:rPr>
          <w:rtl/>
        </w:rPr>
        <w:t xml:space="preserve"> هكذا :</w:t>
      </w:r>
      <w:r w:rsidR="00992664">
        <w:rPr>
          <w:rtl/>
        </w:rPr>
        <w:t xml:space="preserve"> ..</w:t>
      </w:r>
      <w:r w:rsidR="00992664" w:rsidRPr="00020424">
        <w:rPr>
          <w:rtl/>
        </w:rPr>
        <w:t>. وفيه دلالة على ما ذكرناه من الترك من أنّ المذكور في هذا الكتاب هو جواب سؤال من جلس في بيته ولا يسعى في طلب الرزق. ويمكن أن يبنى الكلام على عدم الترك ويقال في تطبي</w:t>
      </w:r>
      <w:r w:rsidR="00A65453">
        <w:rPr>
          <w:rtl/>
        </w:rPr>
        <w:t>ق الجواب للسؤال : إنّه تعالى لم</w:t>
      </w:r>
      <w:r w:rsidR="00A65453">
        <w:rPr>
          <w:rFonts w:hint="cs"/>
          <w:rtl/>
        </w:rPr>
        <w:t>ـّ</w:t>
      </w:r>
      <w:r w:rsidR="00992664" w:rsidRPr="00020424">
        <w:rPr>
          <w:rtl/>
        </w:rPr>
        <w:t>ا رزقه وأنّه أنفقه وضيّعه ، وكله إلى نفسه فكأنّه قال متهاوناً به : إنّي جعلت لك سبيلاً إلى طلب الرزق فاطلبه من سبيله ولأيّ شي‌ء تطلبه منّي</w:t>
      </w:r>
      <w:r w:rsidR="00992664">
        <w:rPr>
          <w:rtl/>
        </w:rPr>
        <w:t>؟</w:t>
      </w:r>
      <w:r w:rsidR="00992664" w:rsidRPr="00020424">
        <w:rPr>
          <w:rtl/>
        </w:rPr>
        <w:t xml:space="preserve"> فيردّ دعاءه ، فليتأمّل.</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الدعاء ، باب من لاتستجاب دعوته ، ح 3249 ، بسنده عن عبدالله بن سنان ، من قوله : « فيكون </w:t>
      </w:r>
      <w:r w:rsidR="00A6545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1D01A7">
        <w:rPr>
          <w:rtl/>
        </w:rPr>
        <w:t>6065</w:t>
      </w:r>
      <w:r w:rsidRPr="001155DE">
        <w:rPr>
          <w:rStyle w:val="libBold2Char"/>
          <w:rtl/>
        </w:rPr>
        <w:t xml:space="preserve"> / 2.</w:t>
      </w:r>
      <w:r w:rsidRPr="00020424">
        <w:rPr>
          <w:rtl/>
          <w:lang w:bidi="fa-IR"/>
        </w:rPr>
        <w:t xml:space="preserve"> وَعَنْهُ </w:t>
      </w:r>
      <w:r w:rsidRPr="00A91B96">
        <w:rPr>
          <w:rStyle w:val="libFootnotenumChar"/>
          <w:rtl/>
        </w:rPr>
        <w:t>(1)</w:t>
      </w:r>
      <w:r w:rsidRPr="00020424">
        <w:rPr>
          <w:rtl/>
          <w:lang w:bidi="fa-IR"/>
        </w:rPr>
        <w:t xml:space="preserve"> ، عَنْ أَحْمَدَ بْنِ مُحَمَّدٍ </w:t>
      </w:r>
      <w:r w:rsidRPr="00A91B96">
        <w:rPr>
          <w:rStyle w:val="libFootnotenumChar"/>
          <w:rtl/>
        </w:rPr>
        <w:t>(2)</w:t>
      </w:r>
      <w:r w:rsidRPr="00020424">
        <w:rPr>
          <w:rtl/>
          <w:lang w:bidi="fa-IR"/>
        </w:rPr>
        <w:t xml:space="preserve"> ، عَنْ عُثْمَانَ بْنِ عِيسى ، عَنْ عَلِيِّ بْنِ أَبِي حَمْزَةَ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فِي السُّؤَّالِ : « أَطْعِمُوا ثَلَاثَةً </w:t>
      </w:r>
      <w:r w:rsidRPr="00A91B96">
        <w:rPr>
          <w:rStyle w:val="libFootnotenumChar"/>
          <w:rtl/>
        </w:rPr>
        <w:t>(3)</w:t>
      </w:r>
      <w:r w:rsidRPr="00020424">
        <w:rPr>
          <w:rtl/>
          <w:lang w:bidi="fa-IR"/>
        </w:rPr>
        <w:t xml:space="preserve"> ، وإِنْ </w:t>
      </w:r>
      <w:r w:rsidRPr="00A91B96">
        <w:rPr>
          <w:rStyle w:val="libFootnotenumChar"/>
          <w:rtl/>
        </w:rPr>
        <w:t>(4)</w:t>
      </w:r>
      <w:r w:rsidRPr="00020424">
        <w:rPr>
          <w:rtl/>
          <w:lang w:bidi="fa-IR"/>
        </w:rPr>
        <w:t xml:space="preserve"> شِئْتُمْ أَنْ تَزْد</w:t>
      </w:r>
      <w:r w:rsidR="00D87002">
        <w:rPr>
          <w:rtl/>
          <w:lang w:bidi="fa-IR"/>
        </w:rPr>
        <w:t>َادُوا ، فَازْدَادُوا ، وَإِل</w:t>
      </w:r>
      <w:r w:rsidR="00D87002">
        <w:rPr>
          <w:rFonts w:hint="cs"/>
          <w:rtl/>
          <w:lang w:bidi="fa-IR"/>
        </w:rPr>
        <w:t>َّ</w:t>
      </w:r>
      <w:r w:rsidR="00D87002">
        <w:rPr>
          <w:rtl/>
          <w:lang w:bidi="fa-IR"/>
        </w:rPr>
        <w:t>ا</w:t>
      </w:r>
      <w:r w:rsidRPr="00020424">
        <w:rPr>
          <w:rtl/>
          <w:lang w:bidi="fa-IR"/>
        </w:rPr>
        <w:t xml:space="preserve"> فَقَدْ أَدَّيْتُمْ حَقَّ يَوْمِكُمْ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196" w:name="_Toc345172782"/>
      <w:bookmarkStart w:id="197" w:name="_Toc464562598"/>
      <w:bookmarkStart w:id="198" w:name="_Toc44599901"/>
      <w:r w:rsidRPr="00020424">
        <w:rPr>
          <w:rtl/>
          <w:lang w:bidi="fa-IR"/>
        </w:rPr>
        <w:t>60</w:t>
      </w:r>
      <w:r>
        <w:rPr>
          <w:rtl/>
          <w:lang w:bidi="fa-IR"/>
        </w:rPr>
        <w:t xml:space="preserve"> </w:t>
      </w:r>
      <w:r w:rsidR="009B673F">
        <w:rPr>
          <w:rtl/>
          <w:lang w:bidi="fa-IR"/>
        </w:rPr>
        <w:t>-</w:t>
      </w:r>
      <w:r>
        <w:rPr>
          <w:rtl/>
          <w:lang w:bidi="fa-IR"/>
        </w:rPr>
        <w:t xml:space="preserve"> </w:t>
      </w:r>
      <w:r w:rsidRPr="00020424">
        <w:rPr>
          <w:rtl/>
          <w:lang w:bidi="fa-IR"/>
        </w:rPr>
        <w:t>بَابُ دُعَاءِ السَّائِلِ‌</w:t>
      </w:r>
      <w:bookmarkEnd w:id="196"/>
      <w:bookmarkEnd w:id="197"/>
      <w:bookmarkEnd w:id="198"/>
    </w:p>
    <w:p w:rsidR="00992664" w:rsidRPr="00020424" w:rsidRDefault="00992664" w:rsidP="00992664">
      <w:pPr>
        <w:pStyle w:val="libNormal"/>
        <w:rPr>
          <w:rtl/>
          <w:lang w:bidi="fa-IR"/>
        </w:rPr>
      </w:pPr>
      <w:r w:rsidRPr="001D01A7">
        <w:rPr>
          <w:rtl/>
        </w:rPr>
        <w:t>6066</w:t>
      </w:r>
      <w:r w:rsidRPr="001155DE">
        <w:rPr>
          <w:rStyle w:val="libBold2Char"/>
          <w:rtl/>
        </w:rPr>
        <w:t xml:space="preserve"> / 1.</w:t>
      </w:r>
      <w:r w:rsidRPr="00020424">
        <w:rPr>
          <w:rtl/>
          <w:lang w:bidi="fa-IR"/>
        </w:rPr>
        <w:t xml:space="preserve"> عِدَّةٌ مِنْ أَصْحَابِنَا ، عَنْ أَحْمَدَ بْنِ أَبِي عَبْدِ اللهِ </w:t>
      </w:r>
      <w:r w:rsidRPr="00A91B96">
        <w:rPr>
          <w:rStyle w:val="libFootnotenumChar"/>
          <w:rtl/>
        </w:rPr>
        <w:t>(6)</w:t>
      </w:r>
      <w:r w:rsidRPr="00020424">
        <w:rPr>
          <w:rtl/>
          <w:lang w:bidi="fa-IR"/>
        </w:rPr>
        <w:t xml:space="preserve"> ، عَنْ يَعْقُوبَ بْنِ يَزِيدَ وَغَيْرِهِ ، عَنْ زِيَادٍ الْقَنْدِيِّ ، عَمَّنْ ذَكَرَهُ ، قَالَ :</w:t>
      </w:r>
    </w:p>
    <w:p w:rsidR="00992664" w:rsidRPr="00020424" w:rsidRDefault="00992664" w:rsidP="00992664">
      <w:pPr>
        <w:pStyle w:val="libNormal"/>
        <w:rPr>
          <w:rtl/>
          <w:lang w:bidi="fa-IR"/>
        </w:rPr>
      </w:pPr>
      <w:r w:rsidRPr="00020424">
        <w:rPr>
          <w:rtl/>
          <w:lang w:bidi="fa-IR"/>
        </w:rPr>
        <w:t xml:space="preserve">إِذَا أَعْطَيْتُمُوهُمْ فَلَقِّنُوهُمُ الدُّعَاءَ ؛ فَإِنَّهُ يُسْتَجَابُ الدُّعَاءُ </w:t>
      </w:r>
      <w:r w:rsidRPr="00A91B96">
        <w:rPr>
          <w:rStyle w:val="libFootnotenumChar"/>
          <w:rtl/>
        </w:rPr>
        <w:t>(7)</w:t>
      </w:r>
      <w:r w:rsidRPr="00020424">
        <w:rPr>
          <w:rtl/>
          <w:lang w:bidi="fa-IR"/>
        </w:rPr>
        <w:t xml:space="preserve"> لَهُمْ </w:t>
      </w:r>
      <w:r w:rsidRPr="00A91B96">
        <w:rPr>
          <w:rStyle w:val="libFootnotenumChar"/>
          <w:rtl/>
        </w:rPr>
        <w:t>(8)</w:t>
      </w:r>
      <w:r w:rsidRPr="00020424">
        <w:rPr>
          <w:rtl/>
          <w:lang w:bidi="fa-IR"/>
        </w:rPr>
        <w:t xml:space="preserve"> فِيكُمْ ، وَلَايُسْتَجَابُ لَهُمْ فِي أَنْفُسِهِمْ.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1D01A7">
        <w:rPr>
          <w:rtl/>
        </w:rPr>
        <w:t>6067</w:t>
      </w:r>
      <w:r w:rsidRPr="001155DE">
        <w:rPr>
          <w:rStyle w:val="libBold2Char"/>
          <w:rtl/>
        </w:rPr>
        <w:t xml:space="preserve"> / 2.</w:t>
      </w:r>
      <w:r w:rsidRPr="00020424">
        <w:rPr>
          <w:rtl/>
          <w:lang w:bidi="fa-IR"/>
        </w:rPr>
        <w:t xml:space="preserve"> مُحَمَّدُ بْنُ يَحْيى ، عَنْ أَحْمَدَ بْنِ مُحَمَّدٍ ، عَنْ مُحَمَّدِ بْنِ إِسْمَاعِيلَ ، عَنِ الْحَسَنِ بْنِ الْجَهْمِ :</w:t>
      </w:r>
    </w:p>
    <w:p w:rsidR="00992664" w:rsidRPr="00020424" w:rsidRDefault="00992664" w:rsidP="00992664">
      <w:pPr>
        <w:pStyle w:val="libLine"/>
        <w:rPr>
          <w:rtl/>
          <w:lang w:bidi="fa-IR"/>
        </w:rPr>
      </w:pPr>
      <w:r w:rsidRPr="00020424">
        <w:rPr>
          <w:rtl/>
          <w:lang w:bidi="fa-IR"/>
        </w:rPr>
        <w:t>__________________</w:t>
      </w:r>
    </w:p>
    <w:p w:rsidR="00992664" w:rsidRPr="00020424" w:rsidRDefault="00D87002" w:rsidP="00992664">
      <w:pPr>
        <w:pStyle w:val="libFootnote0"/>
        <w:rPr>
          <w:rtl/>
          <w:lang w:bidi="fa-IR"/>
        </w:rPr>
      </w:pPr>
      <w:r>
        <w:rPr>
          <w:rFonts w:hint="cs"/>
          <w:rtl/>
        </w:rPr>
        <w:t xml:space="preserve">= </w:t>
      </w:r>
      <w:r w:rsidR="00992664" w:rsidRPr="00020424">
        <w:rPr>
          <w:rtl/>
        </w:rPr>
        <w:t xml:space="preserve">من الثلاثة » مع اختلاف يسير وزيادة. </w:t>
      </w:r>
      <w:r w:rsidR="00992664" w:rsidRPr="0012008A">
        <w:rPr>
          <w:rStyle w:val="libFootnoteBoldChar"/>
          <w:rtl/>
        </w:rPr>
        <w:t>الفقيه</w:t>
      </w:r>
      <w:r w:rsidR="00992664" w:rsidRPr="00020424">
        <w:rPr>
          <w:rtl/>
        </w:rPr>
        <w:t xml:space="preserve"> ، ج 2 ، ص 69 ، ح 1747 ، معلّقاً عن الوليد بن صبيح ، مع اختلاف يسير وزيادة في آخره </w:t>
      </w:r>
      <w:r>
        <w:rPr>
          <w:rFonts w:hint="cs"/>
          <w:rtl/>
        </w:rPr>
        <w:t>.</w:t>
      </w:r>
      <w:r w:rsidR="00992664" w:rsidRPr="0012008A">
        <w:rPr>
          <w:rStyle w:val="libFootnoteBoldChar"/>
          <w:rtl/>
        </w:rPr>
        <w:t>الوافي</w:t>
      </w:r>
      <w:r w:rsidR="00992664" w:rsidRPr="00020424">
        <w:rPr>
          <w:rtl/>
        </w:rPr>
        <w:t xml:space="preserve"> ، ج 10 ، ص 412 ، ح 9794 ؛ </w:t>
      </w:r>
      <w:r w:rsidR="00992664" w:rsidRPr="0012008A">
        <w:rPr>
          <w:rStyle w:val="libFootnoteBoldChar"/>
          <w:rtl/>
        </w:rPr>
        <w:t>الوسائل</w:t>
      </w:r>
      <w:r w:rsidR="00992664" w:rsidRPr="00020424">
        <w:rPr>
          <w:rtl/>
        </w:rPr>
        <w:t xml:space="preserve"> ، ج 9 ، ص 421 ، ح 12383 ؛ وص 460 ، ح 12498.</w:t>
      </w:r>
    </w:p>
    <w:tbl>
      <w:tblPr>
        <w:tblStyle w:val="TableGrid"/>
        <w:bidiVisual/>
        <w:tblW w:w="0" w:type="auto"/>
        <w:tblLook w:val="04A0" w:firstRow="1" w:lastRow="0" w:firstColumn="1" w:lastColumn="0" w:noHBand="0" w:noVBand="1"/>
      </w:tblPr>
      <w:tblGrid>
        <w:gridCol w:w="4006"/>
        <w:gridCol w:w="4006"/>
      </w:tblGrid>
      <w:tr w:rsidR="00D87002" w:rsidTr="00D87002">
        <w:tc>
          <w:tcPr>
            <w:tcW w:w="4006" w:type="dxa"/>
          </w:tcPr>
          <w:p w:rsidR="00D87002" w:rsidRDefault="00D87002" w:rsidP="00992664">
            <w:pPr>
              <w:pStyle w:val="libFootnote0"/>
              <w:rPr>
                <w:rtl/>
              </w:rPr>
            </w:pPr>
            <w:r>
              <w:rPr>
                <w:rtl/>
              </w:rPr>
              <w:t xml:space="preserve">(1). </w:t>
            </w:r>
            <w:r w:rsidRPr="00020424">
              <w:rPr>
                <w:rtl/>
              </w:rPr>
              <w:t>في « بخ ، بر ، بف » : « عنه » بدون الواو.</w:t>
            </w:r>
          </w:p>
        </w:tc>
        <w:tc>
          <w:tcPr>
            <w:tcW w:w="4006" w:type="dxa"/>
          </w:tcPr>
          <w:p w:rsidR="00D87002" w:rsidRDefault="00D87002" w:rsidP="00992664">
            <w:pPr>
              <w:pStyle w:val="libFootnote0"/>
              <w:rPr>
                <w:rtl/>
              </w:rPr>
            </w:pPr>
            <w:r>
              <w:rPr>
                <w:rtl/>
              </w:rPr>
              <w:t xml:space="preserve">(2). </w:t>
            </w:r>
            <w:r w:rsidRPr="00020424">
              <w:rPr>
                <w:rtl/>
              </w:rPr>
              <w:t xml:space="preserve">في « بخ ، بر » </w:t>
            </w:r>
            <w:r w:rsidRPr="00D87002">
              <w:rPr>
                <w:rtl/>
              </w:rPr>
              <w:t>والوسائل</w:t>
            </w:r>
            <w:r w:rsidRPr="00020424">
              <w:rPr>
                <w:rtl/>
              </w:rPr>
              <w:t xml:space="preserve"> :</w:t>
            </w:r>
            <w:r>
              <w:rPr>
                <w:rtl/>
              </w:rPr>
              <w:t xml:space="preserve"> - </w:t>
            </w:r>
            <w:r w:rsidRPr="00020424">
              <w:rPr>
                <w:rtl/>
              </w:rPr>
              <w:t>« بن محمّد</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w:t>
      </w:r>
      <w:r w:rsidR="00992664" w:rsidRPr="00D87002">
        <w:rPr>
          <w:rtl/>
        </w:rPr>
        <w:t>والوسائل والفقيه</w:t>
      </w:r>
      <w:r w:rsidR="00992664" w:rsidRPr="00020424">
        <w:rPr>
          <w:rtl/>
        </w:rPr>
        <w:t xml:space="preserve"> : « الثلاثة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بخ ، بر ، بس ، بف ، جن » </w:t>
      </w:r>
      <w:r w:rsidR="00992664" w:rsidRPr="00D87002">
        <w:rPr>
          <w:rtl/>
        </w:rPr>
        <w:t>والوافي والوسائل والفقيه</w:t>
      </w:r>
      <w:r w:rsidR="00992664" w:rsidRPr="00020424">
        <w:rPr>
          <w:rtl/>
        </w:rPr>
        <w:t>. وفي « ظ ، ى ، بح » والمطبوع : « إن » بدون الواو.</w:t>
      </w:r>
    </w:p>
    <w:p w:rsidR="00992664" w:rsidRPr="00020424" w:rsidRDefault="00795177" w:rsidP="00D87002">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69 ، ح 1748 ، مرسلاً </w:t>
      </w:r>
      <w:r w:rsidR="00D87002">
        <w:rPr>
          <w:rFonts w:hint="cs"/>
          <w:rtl/>
        </w:rPr>
        <w:t>.</w:t>
      </w:r>
      <w:r w:rsidR="00992664" w:rsidRPr="0012008A">
        <w:rPr>
          <w:rStyle w:val="libFootnoteBoldChar"/>
          <w:rtl/>
        </w:rPr>
        <w:t>الوافي</w:t>
      </w:r>
      <w:r w:rsidR="00992664" w:rsidRPr="00020424">
        <w:rPr>
          <w:rtl/>
        </w:rPr>
        <w:t xml:space="preserve"> ، ج 10 ، ص 412 ، ح 9793 ؛ </w:t>
      </w:r>
      <w:r w:rsidR="00992664" w:rsidRPr="0012008A">
        <w:rPr>
          <w:rStyle w:val="libFootnoteBoldChar"/>
          <w:rtl/>
        </w:rPr>
        <w:t>الوسائل</w:t>
      </w:r>
      <w:r w:rsidR="00992664" w:rsidRPr="00020424">
        <w:rPr>
          <w:rtl/>
        </w:rPr>
        <w:t xml:space="preserve"> ، ج 9 ، ص 422 ، ح 12384.</w:t>
      </w:r>
      <w:r w:rsidR="00A90FD5">
        <w:rPr>
          <w:rFonts w:hint="cs"/>
          <w:rtl/>
        </w:rPr>
        <w:t xml:space="preserve">                          </w:t>
      </w:r>
      <w:r w:rsidR="00D87002">
        <w:rPr>
          <w:rFonts w:hint="cs"/>
          <w:rtl/>
        </w:rPr>
        <w:t xml:space="preserve">       </w:t>
      </w:r>
      <w:r>
        <w:rPr>
          <w:rtl/>
        </w:rPr>
        <w:t>(6).</w:t>
      </w:r>
      <w:r w:rsidR="0014403D">
        <w:rPr>
          <w:rtl/>
        </w:rPr>
        <w:t xml:space="preserve"> </w:t>
      </w:r>
      <w:r w:rsidR="00992664" w:rsidRPr="00020424">
        <w:rPr>
          <w:rtl/>
        </w:rPr>
        <w:t>في « ظ » : « أحمد بن محمّد أبي عبد الله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87002" w:rsidTr="00D87002">
        <w:tc>
          <w:tcPr>
            <w:tcW w:w="4006" w:type="dxa"/>
          </w:tcPr>
          <w:p w:rsidR="00D87002" w:rsidRDefault="00D87002" w:rsidP="00992664">
            <w:pPr>
              <w:pStyle w:val="libFootnote0"/>
              <w:rPr>
                <w:rtl/>
              </w:rPr>
            </w:pPr>
            <w:r>
              <w:rPr>
                <w:rtl/>
              </w:rPr>
              <w:t xml:space="preserve">(7). </w:t>
            </w:r>
            <w:r w:rsidRPr="00020424">
              <w:rPr>
                <w:rtl/>
              </w:rPr>
              <w:t xml:space="preserve">في « بخ » </w:t>
            </w:r>
            <w:r w:rsidRPr="00D87002">
              <w:rPr>
                <w:rtl/>
              </w:rPr>
              <w:t>والوسائل والفقيه</w:t>
            </w:r>
            <w:r w:rsidRPr="00020424">
              <w:rPr>
                <w:rtl/>
              </w:rPr>
              <w:t xml:space="preserve"> :</w:t>
            </w:r>
            <w:r>
              <w:rPr>
                <w:rtl/>
              </w:rPr>
              <w:t xml:space="preserve"> - </w:t>
            </w:r>
            <w:r w:rsidRPr="00020424">
              <w:rPr>
                <w:rtl/>
              </w:rPr>
              <w:t>« الدعاء</w:t>
            </w:r>
            <w:r>
              <w:rPr>
                <w:rtl/>
              </w:rPr>
              <w:t xml:space="preserve"> ».</w:t>
            </w:r>
          </w:p>
        </w:tc>
        <w:tc>
          <w:tcPr>
            <w:tcW w:w="4006" w:type="dxa"/>
          </w:tcPr>
          <w:p w:rsidR="00D87002" w:rsidRDefault="00D87002" w:rsidP="00992664">
            <w:pPr>
              <w:pStyle w:val="libFootnote0"/>
              <w:rPr>
                <w:rtl/>
              </w:rPr>
            </w:pPr>
            <w:r>
              <w:rPr>
                <w:rtl/>
              </w:rPr>
              <w:t xml:space="preserve">(8). </w:t>
            </w:r>
            <w:r w:rsidRPr="00020424">
              <w:rPr>
                <w:rtl/>
              </w:rPr>
              <w:t xml:space="preserve">في </w:t>
            </w:r>
            <w:r w:rsidRPr="00D87002">
              <w:rPr>
                <w:rtl/>
              </w:rPr>
              <w:t>الوافي</w:t>
            </w:r>
            <w:r w:rsidRPr="00020424">
              <w:rPr>
                <w:rtl/>
              </w:rPr>
              <w:t xml:space="preserve"> : « لهم الدعاء</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69 ، ح 1749 ، مرسلاً من دون التصريح باسم المعصوم </w:t>
      </w:r>
      <w:r w:rsidR="00992664" w:rsidRPr="00D64ADA">
        <w:rPr>
          <w:rStyle w:val="libFootnoteAlaemChar"/>
          <w:rtl/>
        </w:rPr>
        <w:t>عليه‌السلام</w:t>
      </w:r>
      <w:r w:rsidR="00992664" w:rsidRPr="00020424">
        <w:rPr>
          <w:rtl/>
        </w:rPr>
        <w:t xml:space="preserve"> </w:t>
      </w:r>
      <w:r w:rsidR="00D87002">
        <w:rPr>
          <w:rFonts w:hint="cs"/>
          <w:rtl/>
        </w:rPr>
        <w:t>.</w:t>
      </w:r>
      <w:r w:rsidR="00992664" w:rsidRPr="0012008A">
        <w:rPr>
          <w:rStyle w:val="libFootnoteBoldChar"/>
          <w:rtl/>
        </w:rPr>
        <w:t>الوافي</w:t>
      </w:r>
      <w:r w:rsidR="00992664" w:rsidRPr="00020424">
        <w:rPr>
          <w:rtl/>
        </w:rPr>
        <w:t xml:space="preserve"> ، ج 10 ، ص 425 ، ح 9809 ؛ </w:t>
      </w:r>
      <w:r w:rsidR="00992664" w:rsidRPr="0012008A">
        <w:rPr>
          <w:rStyle w:val="libFootnoteBoldChar"/>
          <w:rtl/>
        </w:rPr>
        <w:t>الوسائل</w:t>
      </w:r>
      <w:r w:rsidR="00992664" w:rsidRPr="00020424">
        <w:rPr>
          <w:rtl/>
        </w:rPr>
        <w:t xml:space="preserve"> ، ج 9 ، ص 424 ، ح 12390.</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لَا تُحَقِّرُوا دَعْوَةَ أَحَدٍ ؛ فَإِنَّهُ يُسْتَجَابُ لِلْيَهُودِيِّ وَالنَّصْرَانِيِّ </w:t>
      </w:r>
      <w:r w:rsidRPr="00A91B96">
        <w:rPr>
          <w:rStyle w:val="libFootnotenumChar"/>
          <w:rtl/>
        </w:rPr>
        <w:t>(1)</w:t>
      </w:r>
      <w:r w:rsidRPr="00020424">
        <w:rPr>
          <w:rtl/>
          <w:lang w:bidi="fa-IR"/>
        </w:rPr>
        <w:t xml:space="preserve"> فِيكُمْ ، وَلَايُسْتَجَابُ لَهُمْ فِي أَنْفُسِهِمْ</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199" w:name="_Toc345172783"/>
      <w:bookmarkStart w:id="200" w:name="_Toc464562599"/>
      <w:bookmarkStart w:id="201" w:name="_Toc44599902"/>
      <w:r w:rsidRPr="00020424">
        <w:rPr>
          <w:rtl/>
          <w:lang w:bidi="fa-IR"/>
        </w:rPr>
        <w:t>61</w:t>
      </w:r>
      <w:r>
        <w:rPr>
          <w:rtl/>
          <w:lang w:bidi="fa-IR"/>
        </w:rPr>
        <w:t xml:space="preserve"> </w:t>
      </w:r>
      <w:r w:rsidR="009B673F">
        <w:rPr>
          <w:rtl/>
          <w:lang w:bidi="fa-IR"/>
        </w:rPr>
        <w:t>-</w:t>
      </w:r>
      <w:r>
        <w:rPr>
          <w:rtl/>
          <w:lang w:bidi="fa-IR"/>
        </w:rPr>
        <w:t xml:space="preserve"> </w:t>
      </w:r>
      <w:r w:rsidRPr="00020424">
        <w:rPr>
          <w:rtl/>
          <w:lang w:bidi="fa-IR"/>
        </w:rPr>
        <w:t>بَابُ أَنَّ الَّذِي يَقْسِمُ الصَّدَقَةَ شَرِيكُ صَاحِبِهِا فِي الْأَجْرِ‌</w:t>
      </w:r>
      <w:bookmarkEnd w:id="199"/>
      <w:bookmarkEnd w:id="200"/>
      <w:bookmarkEnd w:id="201"/>
    </w:p>
    <w:p w:rsidR="00992664" w:rsidRPr="00020424" w:rsidRDefault="00992664" w:rsidP="00992664">
      <w:pPr>
        <w:pStyle w:val="libNormal"/>
        <w:rPr>
          <w:rtl/>
          <w:lang w:bidi="fa-IR"/>
        </w:rPr>
      </w:pPr>
      <w:r w:rsidRPr="001D01A7">
        <w:rPr>
          <w:rtl/>
        </w:rPr>
        <w:t>6068</w:t>
      </w:r>
      <w:r w:rsidRPr="001155DE">
        <w:rPr>
          <w:rStyle w:val="libBold2Char"/>
          <w:rtl/>
        </w:rPr>
        <w:t xml:space="preserve"> / 1.</w:t>
      </w:r>
      <w:r w:rsidRPr="00020424">
        <w:rPr>
          <w:rtl/>
          <w:lang w:bidi="fa-IR"/>
        </w:rPr>
        <w:t xml:space="preserve"> عِدَّةٌ مِنْ أَصْحَابِنَا ، عَنْ سَهْلِ بْنِ زِيَادٍ ، عَنِ الْحَسَنِ بْنِ مَحْبُوبٍ ، عَنْ صَالِحِ بْنِ رَزِينٍ ، قَالَ :</w:t>
      </w:r>
    </w:p>
    <w:p w:rsidR="00992664" w:rsidRPr="00020424" w:rsidRDefault="00992664" w:rsidP="00992664">
      <w:pPr>
        <w:pStyle w:val="libNormal"/>
        <w:rPr>
          <w:rtl/>
          <w:lang w:bidi="fa-IR"/>
        </w:rPr>
      </w:pPr>
      <w:r w:rsidRPr="00020424">
        <w:rPr>
          <w:rtl/>
          <w:lang w:bidi="fa-IR"/>
        </w:rPr>
        <w:t>دَفَعَ إِلَيَّ شِهَابُ بْنُ عَبْدِ رَبِّهِ دَرَاهِمَ مِنَ الزَّكَاةِ أَقْسِمُهَا ، فَأَتَيْتُهُ يَوْماً ، فَسَأَلَنِي : هَلْ قَسَمْتَهَا</w:t>
      </w:r>
      <w:r>
        <w:rPr>
          <w:rtl/>
          <w:lang w:bidi="fa-IR"/>
        </w:rPr>
        <w:t>؟</w:t>
      </w:r>
      <w:r w:rsidRPr="00020424">
        <w:rPr>
          <w:rtl/>
          <w:lang w:bidi="fa-IR"/>
        </w:rPr>
        <w:t xml:space="preserve"> فَقُلْتُ : لَا ، فَأَسْمَعَنِي كَلَاماً فِيهِ بَعْضُ الْغِلْظَةِ ، فَطَرَحْتُ مَا كَانَ بَقِيَ مَعِي مِنَ الدَّرَاهِمِ ، وَقُمْتُ مُغْضَباً ، فَقَالَ لِيَ </w:t>
      </w:r>
      <w:r w:rsidRPr="00A91B96">
        <w:rPr>
          <w:rStyle w:val="libFootnotenumChar"/>
          <w:rtl/>
        </w:rPr>
        <w:t>(3)</w:t>
      </w:r>
      <w:r w:rsidRPr="00020424">
        <w:rPr>
          <w:rtl/>
          <w:lang w:bidi="fa-IR"/>
        </w:rPr>
        <w:t xml:space="preserve"> : ارْجِعْ حَتّى أُحَدِّثَكَ بِشَيْ‌ءٍ سَمِعْتُهُ مِنْ </w:t>
      </w:r>
      <w:r w:rsidRPr="00A91B96">
        <w:rPr>
          <w:rStyle w:val="libFootnotenumChar"/>
          <w:rtl/>
        </w:rPr>
        <w:t>(4)</w:t>
      </w:r>
      <w:r w:rsidRPr="00020424">
        <w:rPr>
          <w:rtl/>
          <w:lang w:bidi="fa-IR"/>
        </w:rPr>
        <w:t xml:space="preserve"> جَعْفَرِ بْنِ مُحَمَّدٍ </w:t>
      </w:r>
      <w:r w:rsidRPr="00005A81">
        <w:rPr>
          <w:rStyle w:val="libAlaemChar"/>
          <w:rtl/>
        </w:rPr>
        <w:t>عليهما‌السلام</w:t>
      </w:r>
      <w:r w:rsidRPr="00020424">
        <w:rPr>
          <w:rtl/>
          <w:lang w:bidi="fa-IR"/>
        </w:rPr>
        <w:t xml:space="preserve"> ، فَرَجَعْتُ ، فَقَالَ : قُلْتُ لِأَبِي عَبْدِ اللهِ </w:t>
      </w:r>
      <w:r w:rsidRPr="00005A81">
        <w:rPr>
          <w:rStyle w:val="libAlaemChar"/>
          <w:rtl/>
        </w:rPr>
        <w:t>عليه‌السلام</w:t>
      </w:r>
      <w:r w:rsidRPr="00020424">
        <w:rPr>
          <w:rtl/>
          <w:lang w:bidi="fa-IR"/>
        </w:rPr>
        <w:t xml:space="preserve"> : إِنِّي إِذَا وَجَبَتْ </w:t>
      </w:r>
      <w:r w:rsidRPr="00A91B96">
        <w:rPr>
          <w:rStyle w:val="libFootnotenumChar"/>
          <w:rtl/>
        </w:rPr>
        <w:t>(5)</w:t>
      </w:r>
      <w:r w:rsidRPr="00020424">
        <w:rPr>
          <w:rtl/>
          <w:lang w:bidi="fa-IR"/>
        </w:rPr>
        <w:t xml:space="preserve"> زَكَاتِي أَخْرَجْتُهَا ، فَأَدْفَعُ مِنْهَا </w:t>
      </w:r>
      <w:r w:rsidRPr="00A91B96">
        <w:rPr>
          <w:rStyle w:val="libFootnotenumChar"/>
          <w:rtl/>
        </w:rPr>
        <w:t>(6)</w:t>
      </w:r>
      <w:r w:rsidRPr="00020424">
        <w:rPr>
          <w:rtl/>
          <w:lang w:bidi="fa-IR"/>
        </w:rPr>
        <w:t xml:space="preserve"> إِلى مَنْ أَثِقُ بِهِ يَقْسِمُهَا.</w:t>
      </w:r>
    </w:p>
    <w:p w:rsidR="00992664" w:rsidRPr="00020424" w:rsidRDefault="00992664" w:rsidP="00992664">
      <w:pPr>
        <w:pStyle w:val="libNormal"/>
        <w:rPr>
          <w:rtl/>
          <w:lang w:bidi="fa-IR"/>
        </w:rPr>
      </w:pPr>
      <w:r w:rsidRPr="00020424">
        <w:rPr>
          <w:rtl/>
          <w:lang w:bidi="fa-IR"/>
        </w:rPr>
        <w:t>قَالَ : « نَعَمْ ، لَابَأْسَ بِذلِكَ ، أَمَا إِنَّهُ أَحَدُ الْمُعْطِينَ</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صَالِحٌ : فَأَخَذْتُ الدَّرَاهِمَ حَيْثُ سَمِعْتُ الْحَدِيثَ ، فَقَسَمْتُهَا.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D01A7">
        <w:rPr>
          <w:rtl/>
        </w:rPr>
        <w:t>6069</w:t>
      </w:r>
      <w:r w:rsidRPr="001155DE">
        <w:rPr>
          <w:rStyle w:val="libBold2Char"/>
          <w:rtl/>
        </w:rPr>
        <w:t xml:space="preserve"> / 2.</w:t>
      </w:r>
      <w:r w:rsidRPr="00020424">
        <w:rPr>
          <w:rtl/>
          <w:lang w:bidi="fa-IR"/>
        </w:rPr>
        <w:t xml:space="preserve"> عِدَّةٌ مِنْ أَصْحَابِنَا ، عَنْ أَحْمَدَ بْنِ أَبِي عَبْدِ اللهِ ، عَنْ أَبِيهِ ، عَنْ أَبِي نَهْشَلٍ ، عَمَّنْ ذَكَرَهُ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 « لليهود والنصارى</w:t>
      </w:r>
      <w:r w:rsidR="00992664">
        <w:rPr>
          <w:rtl/>
        </w:rPr>
        <w:t xml:space="preserve"> ».</w:t>
      </w:r>
    </w:p>
    <w:p w:rsidR="00992664" w:rsidRPr="00020424" w:rsidRDefault="00795177" w:rsidP="00AE13A1">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9 ، ص 1533 ، ح 8710 ؛ وج 10 ، ص 425 ، ح 9811 ؛ </w:t>
      </w:r>
      <w:r w:rsidR="00992664" w:rsidRPr="0012008A">
        <w:rPr>
          <w:rStyle w:val="libFootnoteBoldChar"/>
          <w:rtl/>
        </w:rPr>
        <w:t>الوسائل</w:t>
      </w:r>
      <w:r w:rsidR="00992664" w:rsidRPr="00020424">
        <w:rPr>
          <w:rtl/>
        </w:rPr>
        <w:t xml:space="preserve"> ، ج 7 ، ص 129 ، ح 8919 ؛ وج 9 ، ص 424 ، ح 12389.</w:t>
      </w:r>
      <w:r w:rsidR="00AE13A1">
        <w:rPr>
          <w:rFonts w:hint="cs"/>
          <w:rtl/>
        </w:rPr>
        <w:t xml:space="preserve">          </w:t>
      </w:r>
      <w:r>
        <w:rPr>
          <w:rtl/>
        </w:rPr>
        <w:t>(3).</w:t>
      </w:r>
      <w:r w:rsidR="0014403D">
        <w:rPr>
          <w:rtl/>
        </w:rPr>
        <w:t xml:space="preserve"> </w:t>
      </w:r>
      <w:r w:rsidR="00992664" w:rsidRPr="00020424">
        <w:rPr>
          <w:rtl/>
        </w:rPr>
        <w:t xml:space="preserve">في </w:t>
      </w:r>
      <w:r w:rsidR="00992664" w:rsidRPr="00AE13A1">
        <w:rP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عن</w:t>
      </w:r>
      <w:r w:rsidR="00992664">
        <w:rPr>
          <w:rtl/>
        </w:rPr>
        <w:t xml:space="preserve"> ».</w:t>
      </w:r>
    </w:p>
    <w:p w:rsidR="00992664" w:rsidRPr="00020424" w:rsidRDefault="00795177" w:rsidP="00AE13A1">
      <w:pPr>
        <w:pStyle w:val="libFootnote0"/>
        <w:rPr>
          <w:rtl/>
          <w:lang w:bidi="fa-IR"/>
        </w:rPr>
      </w:pPr>
      <w:r>
        <w:rPr>
          <w:rtl/>
        </w:rPr>
        <w:t>(5).</w:t>
      </w:r>
      <w:r w:rsidR="0014403D">
        <w:rPr>
          <w:rtl/>
        </w:rPr>
        <w:t xml:space="preserve"> </w:t>
      </w:r>
      <w:r w:rsidR="00992664" w:rsidRPr="00020424">
        <w:rPr>
          <w:rtl/>
        </w:rPr>
        <w:t xml:space="preserve">هكذا في « بث ، بح ، بخ ، بر ، بس ، بف ، جن » وحاشية « ظ » </w:t>
      </w:r>
      <w:r w:rsidR="00992664" w:rsidRPr="00AE13A1">
        <w:rPr>
          <w:rtl/>
        </w:rPr>
        <w:t>والوافي والوسائل</w:t>
      </w:r>
      <w:r w:rsidR="00992664" w:rsidRPr="00020424">
        <w:rPr>
          <w:rtl/>
        </w:rPr>
        <w:t>. وفي « ظ ، ى » والمطبوع : « وجدت</w:t>
      </w:r>
      <w:r w:rsidR="00992664">
        <w:rPr>
          <w:rtl/>
        </w:rPr>
        <w:t xml:space="preserve"> ».</w:t>
      </w:r>
      <w:r w:rsidR="00AE13A1">
        <w:rPr>
          <w:rFonts w:hint="cs"/>
          <w:rtl/>
        </w:rPr>
        <w:t xml:space="preserve">                                  </w:t>
      </w:r>
      <w:r>
        <w:rPr>
          <w:rtl/>
        </w:rPr>
        <w:t>(6).</w:t>
      </w:r>
      <w:r w:rsidR="0014403D">
        <w:rPr>
          <w:rtl/>
        </w:rPr>
        <w:t xml:space="preserve"> </w:t>
      </w:r>
      <w:r w:rsidR="00992664" w:rsidRPr="00020424">
        <w:rPr>
          <w:rtl/>
        </w:rPr>
        <w:t>في حاشية « بث » : « بها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212 ، ح 9465 ؛ </w:t>
      </w:r>
      <w:r w:rsidR="00992664" w:rsidRPr="0012008A">
        <w:rPr>
          <w:rStyle w:val="libFootnoteBoldChar"/>
          <w:rtl/>
        </w:rPr>
        <w:t>الوسائل</w:t>
      </w:r>
      <w:r w:rsidR="00992664" w:rsidRPr="00020424">
        <w:rPr>
          <w:rtl/>
        </w:rPr>
        <w:t xml:space="preserve"> ، ج 9 ، ص 280 ، ح 12022 ، قطعة منه.</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لَوْ جَرَى الْمَعْرُوفُ عَلى ثَمَانِينَ كَفّاً ، لَأُجِرُوا </w:t>
      </w:r>
      <w:r w:rsidRPr="00A91B96">
        <w:rPr>
          <w:rStyle w:val="libFootnotenumChar"/>
          <w:rtl/>
        </w:rPr>
        <w:t>(1)</w:t>
      </w:r>
      <w:r w:rsidRPr="00020424">
        <w:rPr>
          <w:rtl/>
          <w:lang w:bidi="fa-IR"/>
        </w:rPr>
        <w:t xml:space="preserve"> كُلُّهُمْ فِيهِ </w:t>
      </w:r>
      <w:r w:rsidRPr="00A91B96">
        <w:rPr>
          <w:rStyle w:val="libFootnotenumChar"/>
          <w:rtl/>
        </w:rPr>
        <w:t>(2)</w:t>
      </w:r>
      <w:r w:rsidRPr="00020424">
        <w:rPr>
          <w:rtl/>
          <w:lang w:bidi="fa-IR"/>
        </w:rPr>
        <w:t xml:space="preserve"> مِنْ غَيْرِ أَنْ يُنْقَصَ صَاحِبُهُ مِنْ أَجْرِهِ شَيْئاً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D01A7">
        <w:rPr>
          <w:rtl/>
        </w:rPr>
        <w:t>6070</w:t>
      </w:r>
      <w:r w:rsidRPr="001155DE">
        <w:rPr>
          <w:rStyle w:val="libBold2Char"/>
          <w:rtl/>
        </w:rPr>
        <w:t xml:space="preserve"> / 3.</w:t>
      </w:r>
      <w:r w:rsidRPr="00020424">
        <w:rPr>
          <w:rtl/>
          <w:lang w:bidi="fa-IR"/>
        </w:rPr>
        <w:t xml:space="preserve"> مُحَمَّدُ بْنُ إِسْمَاعِيلَ ، عَنِ الْفَضْلِ بْنِ شَاذَانَ ، عَنِ ابْنِ أَبِي عُمَيْرٍ ، عَنْ جَمِيلِ بْنِ دَرَّاجٍ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يُعْطَى الدَّرَاهِمَ يَقْسِمُهَا </w:t>
      </w:r>
      <w:r w:rsidRPr="00A91B96">
        <w:rPr>
          <w:rStyle w:val="libFootnotenumChar"/>
          <w:rtl/>
        </w:rPr>
        <w:t>(5)</w:t>
      </w:r>
      <w:r w:rsidRPr="00020424">
        <w:rPr>
          <w:rtl/>
          <w:lang w:bidi="fa-IR"/>
        </w:rPr>
        <w:t xml:space="preserve"> ، قَالَ : « يَجْرِي </w:t>
      </w:r>
      <w:r w:rsidRPr="00A91B96">
        <w:rPr>
          <w:rStyle w:val="libFootnotenumChar"/>
          <w:rtl/>
        </w:rPr>
        <w:t>(6)</w:t>
      </w:r>
      <w:r w:rsidRPr="00020424">
        <w:rPr>
          <w:rtl/>
          <w:lang w:bidi="fa-IR"/>
        </w:rPr>
        <w:t xml:space="preserve"> لَهُ </w:t>
      </w:r>
      <w:r w:rsidRPr="00A91B96">
        <w:rPr>
          <w:rStyle w:val="libFootnotenumChar"/>
          <w:rtl/>
        </w:rPr>
        <w:t>(7)</w:t>
      </w:r>
      <w:r w:rsidRPr="00020424">
        <w:rPr>
          <w:rtl/>
          <w:lang w:bidi="fa-IR"/>
        </w:rPr>
        <w:t xml:space="preserve"> مَا يَجْرِي </w:t>
      </w:r>
      <w:r w:rsidRPr="00A91B96">
        <w:rPr>
          <w:rStyle w:val="libFootnotenumChar"/>
          <w:rtl/>
        </w:rPr>
        <w:t>(8)</w:t>
      </w:r>
      <w:r w:rsidRPr="00020424">
        <w:rPr>
          <w:rtl/>
          <w:lang w:bidi="fa-IR"/>
        </w:rPr>
        <w:t xml:space="preserve"> لِلْمُعْطِي ، وَلَايُنْقَصُ </w:t>
      </w:r>
      <w:r w:rsidRPr="00A91B96">
        <w:rPr>
          <w:rStyle w:val="libFootnotenumChar"/>
          <w:rtl/>
        </w:rPr>
        <w:t>(9)</w:t>
      </w:r>
      <w:r w:rsidRPr="00020424">
        <w:rPr>
          <w:rtl/>
          <w:lang w:bidi="fa-IR"/>
        </w:rPr>
        <w:t xml:space="preserve"> الْمُعْطِي مِنْ أَجْرِهِ شَيْئاً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Heading2Center"/>
        <w:rPr>
          <w:rtl/>
          <w:lang w:bidi="fa-IR"/>
        </w:rPr>
      </w:pPr>
      <w:bookmarkStart w:id="202" w:name="_Toc345172784"/>
      <w:bookmarkStart w:id="203" w:name="_Toc464562600"/>
      <w:bookmarkStart w:id="204" w:name="_Toc44599903"/>
      <w:r w:rsidRPr="00020424">
        <w:rPr>
          <w:rtl/>
          <w:lang w:bidi="fa-IR"/>
        </w:rPr>
        <w:t>62</w:t>
      </w:r>
      <w:r>
        <w:rPr>
          <w:rtl/>
          <w:lang w:bidi="fa-IR"/>
        </w:rPr>
        <w:t xml:space="preserve"> </w:t>
      </w:r>
      <w:r w:rsidR="009B673F">
        <w:rPr>
          <w:rtl/>
          <w:lang w:bidi="fa-IR"/>
        </w:rPr>
        <w:t>-</w:t>
      </w:r>
      <w:r>
        <w:rPr>
          <w:rtl/>
          <w:lang w:bidi="fa-IR"/>
        </w:rPr>
        <w:t xml:space="preserve"> </w:t>
      </w:r>
      <w:r w:rsidRPr="00020424">
        <w:rPr>
          <w:rtl/>
          <w:lang w:bidi="fa-IR"/>
        </w:rPr>
        <w:t>بَابُ الْإِيثَارِ‌</w:t>
      </w:r>
      <w:bookmarkEnd w:id="202"/>
      <w:bookmarkEnd w:id="203"/>
      <w:bookmarkEnd w:id="204"/>
    </w:p>
    <w:p w:rsidR="00992664" w:rsidRPr="00020424" w:rsidRDefault="00992664" w:rsidP="00992664">
      <w:pPr>
        <w:pStyle w:val="libNormal"/>
        <w:rPr>
          <w:rtl/>
          <w:lang w:bidi="fa-IR"/>
        </w:rPr>
      </w:pPr>
      <w:r w:rsidRPr="001D01A7">
        <w:rPr>
          <w:rtl/>
        </w:rPr>
        <w:t>6071</w:t>
      </w:r>
      <w:r w:rsidRPr="001155DE">
        <w:rPr>
          <w:rStyle w:val="libBold2Char"/>
          <w:rtl/>
        </w:rPr>
        <w:t xml:space="preserve"> / 1.</w:t>
      </w:r>
      <w:r w:rsidRPr="00020424">
        <w:rPr>
          <w:rtl/>
          <w:lang w:bidi="fa-IR"/>
        </w:rPr>
        <w:t xml:space="preserve"> عِدَّةٌ مِنْ أَصْحَابِنَا ، عَنْ أَحْمَدَ بْنِ مُحَمَّدِ بْنِ خَالِدٍ </w:t>
      </w:r>
      <w:r w:rsidRPr="00A91B96">
        <w:rPr>
          <w:rStyle w:val="libFootnotenumChar"/>
          <w:rtl/>
        </w:rPr>
        <w:t>(12)</w:t>
      </w:r>
      <w:r w:rsidRPr="00020424">
        <w:rPr>
          <w:rtl/>
          <w:lang w:bidi="fa-IR"/>
        </w:rPr>
        <w:t xml:space="preserve"> ، عَنْ عُثْمَانَ بْنِ عِيسى ، عَنْ سَمَاعَةَ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لَيْسَ عِنْ</w:t>
      </w:r>
      <w:r w:rsidR="00AE13A1">
        <w:rPr>
          <w:rtl/>
          <w:lang w:bidi="fa-IR"/>
        </w:rPr>
        <w:t>دَهُ إِل</w:t>
      </w:r>
      <w:r w:rsidR="00AE13A1">
        <w:rPr>
          <w:rFonts w:hint="cs"/>
          <w:rtl/>
          <w:lang w:bidi="fa-IR"/>
        </w:rPr>
        <w:t>َّ</w:t>
      </w:r>
      <w:r w:rsidR="00AE13A1">
        <w:rPr>
          <w:rtl/>
          <w:lang w:bidi="fa-IR"/>
        </w:rPr>
        <w:t>ا</w:t>
      </w:r>
      <w:r>
        <w:rPr>
          <w:rtl/>
          <w:lang w:bidi="fa-IR"/>
        </w:rPr>
        <w:t xml:space="preserve"> قُوتُ يَوْمِهِ ، أَ</w:t>
      </w:r>
      <w:r w:rsidRPr="00020424">
        <w:rPr>
          <w:rtl/>
          <w:lang w:bidi="fa-IR"/>
        </w:rPr>
        <w:t xml:space="preserve">يَعْطِفُ </w:t>
      </w:r>
      <w:r w:rsidRPr="00A91B96">
        <w:rPr>
          <w:rStyle w:val="libFootnotenumChar"/>
          <w:rtl/>
        </w:rPr>
        <w:t>(13)</w:t>
      </w:r>
      <w:r w:rsidRPr="00020424">
        <w:rPr>
          <w:rtl/>
          <w:lang w:bidi="fa-IR"/>
        </w:rPr>
        <w:t xml:space="preserve"> مَنْ عِنْدَهُ قُوتُ يَوْمِهِ عَلى مَنْ لَيْسَ عِنْدَهُ شَيْ‌ءٌ ، وَيَعْطِفُ </w:t>
      </w:r>
      <w:r w:rsidRPr="00A91B96">
        <w:rPr>
          <w:rStyle w:val="libFootnotenumChar"/>
          <w:rtl/>
        </w:rPr>
        <w:t>(14)</w:t>
      </w:r>
      <w:r w:rsidRPr="00020424">
        <w:rPr>
          <w:rtl/>
          <w:lang w:bidi="fa-IR"/>
        </w:rPr>
        <w:t xml:space="preserve"> مَنْ عِنْدَهُ قُوتُ شَهْرٍ عَلى مَنْ دُونَهُ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AE13A1">
        <w:rPr>
          <w:rtl/>
        </w:rPr>
        <w:t xml:space="preserve"> : « ل</w:t>
      </w:r>
      <w:r w:rsidR="00992664" w:rsidRPr="00020424">
        <w:rPr>
          <w:rtl/>
        </w:rPr>
        <w:t>ا</w:t>
      </w:r>
      <w:r w:rsidR="00AE13A1">
        <w:rPr>
          <w:rFonts w:hint="cs"/>
          <w:rtl/>
        </w:rPr>
        <w:t>ُ</w:t>
      </w:r>
      <w:r w:rsidR="00992664" w:rsidRPr="00020424">
        <w:rPr>
          <w:rtl/>
        </w:rPr>
        <w:t>وجروا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AE13A1">
        <w:rPr>
          <w:rtl/>
        </w:rPr>
        <w:t>الوافي</w:t>
      </w:r>
      <w:r w:rsidR="00992664" w:rsidRPr="00020424">
        <w:rPr>
          <w:rtl/>
        </w:rPr>
        <w:t xml:space="preserve"> : « شي‌ء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170 ، ح 14 ، بسند آخر. </w:t>
      </w:r>
      <w:r w:rsidR="00992664" w:rsidRPr="0012008A">
        <w:rPr>
          <w:rStyle w:val="libFootnoteBoldChar"/>
          <w:rtl/>
        </w:rPr>
        <w:t>الفقيه</w:t>
      </w:r>
      <w:r w:rsidR="00992664" w:rsidRPr="00020424">
        <w:rPr>
          <w:rtl/>
        </w:rPr>
        <w:t xml:space="preserve"> ، ج 2 ، ص 69 ، ذيل ح 1750 ، مرسلاً </w:t>
      </w:r>
      <w:r w:rsidR="00AE13A1">
        <w:rPr>
          <w:rFonts w:hint="cs"/>
          <w:rtl/>
        </w:rPr>
        <w:t>.</w:t>
      </w:r>
      <w:r w:rsidR="00992664" w:rsidRPr="0012008A">
        <w:rPr>
          <w:rStyle w:val="libFootnoteBoldChar"/>
          <w:rtl/>
        </w:rPr>
        <w:t>الوافي</w:t>
      </w:r>
      <w:r w:rsidR="00992664" w:rsidRPr="00020424">
        <w:rPr>
          <w:rtl/>
        </w:rPr>
        <w:t xml:space="preserve"> ، ج 10 ، ص 211 ، ح 9463 ؛ </w:t>
      </w:r>
      <w:r w:rsidR="00992664" w:rsidRPr="0012008A">
        <w:rPr>
          <w:rStyle w:val="libFootnoteBoldChar"/>
          <w:rtl/>
        </w:rPr>
        <w:t>الوسائل</w:t>
      </w:r>
      <w:r w:rsidR="00992664" w:rsidRPr="00020424">
        <w:rPr>
          <w:rtl/>
        </w:rPr>
        <w:t xml:space="preserve"> ، ج 9 ، ص 425 ، ح 12397.</w:t>
      </w:r>
    </w:p>
    <w:tbl>
      <w:tblPr>
        <w:tblStyle w:val="TableGrid"/>
        <w:bidiVisual/>
        <w:tblW w:w="0" w:type="auto"/>
        <w:tblLook w:val="04A0" w:firstRow="1" w:lastRow="0" w:firstColumn="1" w:lastColumn="0" w:noHBand="0" w:noVBand="1"/>
      </w:tblPr>
      <w:tblGrid>
        <w:gridCol w:w="4006"/>
        <w:gridCol w:w="4006"/>
      </w:tblGrid>
      <w:tr w:rsidR="00AE13A1" w:rsidTr="00AE13A1">
        <w:tc>
          <w:tcPr>
            <w:tcW w:w="4006" w:type="dxa"/>
          </w:tcPr>
          <w:p w:rsidR="00AE13A1" w:rsidRDefault="00AE13A1" w:rsidP="00992664">
            <w:pPr>
              <w:pStyle w:val="libFootnote0"/>
              <w:rPr>
                <w:rtl/>
              </w:rPr>
            </w:pPr>
            <w:r>
              <w:rPr>
                <w:rtl/>
              </w:rPr>
              <w:t>(5). في «بث،بخ،بر،بف</w:t>
            </w:r>
            <w:r w:rsidRPr="00020424">
              <w:rPr>
                <w:rtl/>
              </w:rPr>
              <w:t xml:space="preserve">» </w:t>
            </w:r>
            <w:r w:rsidRPr="00AE13A1">
              <w:rPr>
                <w:rtl/>
              </w:rPr>
              <w:t>والوافي</w:t>
            </w:r>
            <w:r w:rsidRPr="00020424">
              <w:rPr>
                <w:rtl/>
              </w:rPr>
              <w:t xml:space="preserve"> : « ليقسمها</w:t>
            </w:r>
            <w:r>
              <w:rPr>
                <w:rtl/>
              </w:rPr>
              <w:t xml:space="preserve"> ».</w:t>
            </w:r>
          </w:p>
        </w:tc>
        <w:tc>
          <w:tcPr>
            <w:tcW w:w="4006" w:type="dxa"/>
          </w:tcPr>
          <w:p w:rsidR="00AE13A1" w:rsidRDefault="00AE13A1" w:rsidP="00992664">
            <w:pPr>
              <w:pStyle w:val="libFootnote0"/>
              <w:rPr>
                <w:rtl/>
              </w:rPr>
            </w:pPr>
            <w:r>
              <w:rPr>
                <w:rtl/>
              </w:rPr>
              <w:t xml:space="preserve">(6). </w:t>
            </w:r>
            <w:r w:rsidRPr="00020424">
              <w:rPr>
                <w:rtl/>
              </w:rPr>
              <w:t>في « بر » : « يجزى</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بث ، بخ ، بر ، بف » </w:t>
      </w:r>
      <w:r w:rsidR="00992664" w:rsidRPr="00AE13A1">
        <w:rPr>
          <w:rtl/>
        </w:rPr>
        <w:t>والوسائل</w:t>
      </w:r>
      <w:r w:rsidR="00992664" w:rsidRPr="00020424">
        <w:rPr>
          <w:rtl/>
        </w:rPr>
        <w:t xml:space="preserve"> : + « مثل</w:t>
      </w:r>
      <w:r w:rsidR="00992664">
        <w:rPr>
          <w:rtl/>
        </w:rPr>
        <w:t xml:space="preserve"> ».</w:t>
      </w:r>
      <w:r w:rsidR="00992664" w:rsidRPr="00020424">
        <w:rPr>
          <w:rtl/>
        </w:rPr>
        <w:t xml:space="preserve"> وفي « ى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E13A1" w:rsidTr="00AE13A1">
        <w:tc>
          <w:tcPr>
            <w:tcW w:w="4006" w:type="dxa"/>
          </w:tcPr>
          <w:p w:rsidR="00AE13A1" w:rsidRDefault="00AE13A1" w:rsidP="00992664">
            <w:pPr>
              <w:pStyle w:val="libFootnote0"/>
              <w:rPr>
                <w:rtl/>
              </w:rPr>
            </w:pPr>
            <w:r>
              <w:rPr>
                <w:rtl/>
              </w:rPr>
              <w:t xml:space="preserve">(8). </w:t>
            </w:r>
            <w:r w:rsidRPr="00020424">
              <w:rPr>
                <w:rtl/>
              </w:rPr>
              <w:t>في « بر » : « ما يجزى</w:t>
            </w:r>
            <w:r>
              <w:rPr>
                <w:rtl/>
              </w:rPr>
              <w:t xml:space="preserve"> ».</w:t>
            </w:r>
          </w:p>
        </w:tc>
        <w:tc>
          <w:tcPr>
            <w:tcW w:w="4006" w:type="dxa"/>
          </w:tcPr>
          <w:p w:rsidR="00AE13A1" w:rsidRDefault="00AE13A1" w:rsidP="00992664">
            <w:pPr>
              <w:pStyle w:val="libFootnote0"/>
              <w:rPr>
                <w:rtl/>
              </w:rPr>
            </w:pPr>
            <w:r>
              <w:rPr>
                <w:rtl/>
              </w:rPr>
              <w:t xml:space="preserve">(9). </w:t>
            </w:r>
            <w:r w:rsidRPr="00020424">
              <w:rPr>
                <w:rtl/>
              </w:rPr>
              <w:t>في « بر » : « ولا ينتقص</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AE13A1">
        <w:rPr>
          <w:rtl/>
        </w:rPr>
        <w:t>الوافي</w:t>
      </w:r>
      <w:r w:rsidR="00992664" w:rsidRPr="00020424">
        <w:rPr>
          <w:rtl/>
        </w:rPr>
        <w:t xml:space="preserve"> : « شي‌ء</w:t>
      </w:r>
      <w:r w:rsidR="00992664">
        <w:rPr>
          <w:rtl/>
        </w:rPr>
        <w:t xml:space="preserve"> ».</w:t>
      </w:r>
    </w:p>
    <w:p w:rsidR="00992664" w:rsidRPr="00020424" w:rsidRDefault="00795177" w:rsidP="00AE13A1">
      <w:pPr>
        <w:pStyle w:val="libFootnote0"/>
        <w:rPr>
          <w:rtl/>
          <w:lang w:bidi="fa-IR"/>
        </w:rPr>
      </w:pPr>
      <w:r>
        <w:rPr>
          <w:rtl/>
        </w:rPr>
        <w:t>(11).</w:t>
      </w:r>
      <w:r w:rsidR="0014403D">
        <w:rPr>
          <w:rtl/>
        </w:rPr>
        <w:t xml:space="preserve"> </w:t>
      </w:r>
      <w:r w:rsidR="00992664" w:rsidRPr="0012008A">
        <w:rPr>
          <w:rStyle w:val="libFootnoteBoldChar"/>
          <w:rtl/>
        </w:rPr>
        <w:t>الفقيه</w:t>
      </w:r>
      <w:r w:rsidR="00992664" w:rsidRPr="00020424">
        <w:rPr>
          <w:rtl/>
        </w:rPr>
        <w:t xml:space="preserve"> ، ج 2 ، ص 69 ، صدر ح 1750 ، مرسلاً مع اختلاف يسير </w:t>
      </w:r>
      <w:r w:rsidR="00AE13A1">
        <w:rPr>
          <w:rFonts w:hint="cs"/>
          <w:rtl/>
        </w:rPr>
        <w:t>.</w:t>
      </w:r>
      <w:r w:rsidR="00992664" w:rsidRPr="0012008A">
        <w:rPr>
          <w:rStyle w:val="libFootnoteBoldChar"/>
          <w:rtl/>
        </w:rPr>
        <w:t>الوافي</w:t>
      </w:r>
      <w:r w:rsidR="00992664" w:rsidRPr="00020424">
        <w:rPr>
          <w:rtl/>
        </w:rPr>
        <w:t xml:space="preserve"> ، ج 10 ، ص 211 ، ح 9462 ؛ </w:t>
      </w:r>
      <w:r w:rsidR="00992664" w:rsidRPr="0012008A">
        <w:rPr>
          <w:rStyle w:val="libFootnoteBoldChar"/>
          <w:rtl/>
        </w:rPr>
        <w:t>الوسائل</w:t>
      </w:r>
      <w:r w:rsidR="00992664" w:rsidRPr="00020424">
        <w:rPr>
          <w:rtl/>
        </w:rPr>
        <w:t xml:space="preserve"> ، ج 9 ، ص 280 ، ح 12020.</w:t>
      </w:r>
      <w:r w:rsidR="00A90FD5">
        <w:rPr>
          <w:rFonts w:hint="cs"/>
          <w:rtl/>
        </w:rPr>
        <w:t xml:space="preserve">  </w:t>
      </w:r>
      <w:r w:rsidR="00AE13A1">
        <w:rPr>
          <w:rFonts w:hint="cs"/>
          <w:rtl/>
        </w:rPr>
        <w:t xml:space="preserve">  </w:t>
      </w:r>
      <w:r>
        <w:rPr>
          <w:rtl/>
        </w:rPr>
        <w:t>(12).</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بن خالد</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E13A1" w:rsidTr="00AE13A1">
        <w:tc>
          <w:tcPr>
            <w:tcW w:w="4006" w:type="dxa"/>
          </w:tcPr>
          <w:p w:rsidR="00AE13A1" w:rsidRDefault="00AE13A1" w:rsidP="00992664">
            <w:pPr>
              <w:pStyle w:val="libFootnote0"/>
              <w:rPr>
                <w:rtl/>
              </w:rPr>
            </w:pPr>
            <w:r>
              <w:rPr>
                <w:rtl/>
              </w:rPr>
              <w:t>(13). في « بس » : « أ</w:t>
            </w:r>
            <w:r w:rsidRPr="00020424">
              <w:rPr>
                <w:rtl/>
              </w:rPr>
              <w:t>يُعطى</w:t>
            </w:r>
            <w:r>
              <w:rPr>
                <w:rtl/>
              </w:rPr>
              <w:t xml:space="preserve"> ».</w:t>
            </w:r>
          </w:p>
        </w:tc>
        <w:tc>
          <w:tcPr>
            <w:tcW w:w="4006" w:type="dxa"/>
          </w:tcPr>
          <w:p w:rsidR="00AE13A1" w:rsidRDefault="00AE13A1" w:rsidP="00992664">
            <w:pPr>
              <w:pStyle w:val="libFootnote0"/>
              <w:rPr>
                <w:rtl/>
              </w:rPr>
            </w:pPr>
            <w:r>
              <w:rPr>
                <w:rtl/>
              </w:rPr>
              <w:t xml:space="preserve">(14). </w:t>
            </w:r>
            <w:r w:rsidRPr="00020424">
              <w:rPr>
                <w:rtl/>
              </w:rPr>
              <w:t>في « بس » : « ويُعطى</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AE13A1">
      <w:pPr>
        <w:pStyle w:val="libNormal0"/>
        <w:rPr>
          <w:rtl/>
          <w:lang w:bidi="fa-IR"/>
        </w:rPr>
      </w:pPr>
      <w:r w:rsidRPr="00020424">
        <w:rPr>
          <w:rtl/>
          <w:lang w:bidi="fa-IR"/>
        </w:rPr>
        <w:t xml:space="preserve">وَالسَّنَةُ </w:t>
      </w:r>
      <w:r w:rsidRPr="00A91B96">
        <w:rPr>
          <w:rStyle w:val="libFootnotenumChar"/>
          <w:rtl/>
        </w:rPr>
        <w:t>(1)</w:t>
      </w:r>
      <w:r w:rsidRPr="00020424">
        <w:rPr>
          <w:rtl/>
          <w:lang w:bidi="fa-IR"/>
        </w:rPr>
        <w:t xml:space="preserve"> عَلى نَحْوِ ذلِكَ ، أَمْ ذلِكَ كُلُّهُ الْكَفَافُ الَّذِي لَايُلَامُ عَلَيْهِ </w:t>
      </w:r>
      <w:r w:rsidRPr="00A91B96">
        <w:rPr>
          <w:rStyle w:val="libFootnotenumChar"/>
          <w:rtl/>
        </w:rPr>
        <w:t>(2)</w:t>
      </w:r>
      <w:r>
        <w:rPr>
          <w:rtl/>
          <w:lang w:bidi="fa-IR"/>
        </w:rPr>
        <w:t>؟</w:t>
      </w:r>
    </w:p>
    <w:p w:rsidR="00992664" w:rsidRPr="00020424" w:rsidRDefault="00992664" w:rsidP="00992664">
      <w:pPr>
        <w:pStyle w:val="libNormal"/>
        <w:rPr>
          <w:rtl/>
          <w:lang w:bidi="fa-IR"/>
        </w:rPr>
      </w:pPr>
      <w:r w:rsidRPr="00020424">
        <w:rPr>
          <w:rtl/>
          <w:lang w:bidi="fa-IR"/>
        </w:rPr>
        <w:t xml:space="preserve">فَقَالَ : « هُوَ أَمْرٌ إِنَّ أَفْضَلَكُمْ فِيهِ أَحْرَصُكُمْ عَلَى الرَّغْبَةِ وَالْأَثَرَةِ </w:t>
      </w:r>
      <w:r w:rsidRPr="00A91B96">
        <w:rPr>
          <w:rStyle w:val="libFootnotenumChar"/>
          <w:rtl/>
        </w:rPr>
        <w:t>(3)</w:t>
      </w:r>
      <w:r w:rsidRPr="00020424">
        <w:rPr>
          <w:rtl/>
          <w:lang w:bidi="fa-IR"/>
        </w:rPr>
        <w:t xml:space="preserve"> عَلى نَفْسِهِ ؛ فَإِنَّ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وَيُؤْثِرُونَ عَلى أَنْفُسِهِمْ وَلَوْ كانَ بِهِمْ خَصاصَةٌ </w:t>
      </w:r>
      <w:r w:rsidRPr="00005A81">
        <w:rPr>
          <w:rStyle w:val="libAlaemChar"/>
          <w:rtl/>
        </w:rPr>
        <w:t>)</w:t>
      </w:r>
      <w:r w:rsidRPr="00020424">
        <w:rPr>
          <w:rtl/>
          <w:lang w:bidi="fa-IR"/>
        </w:rPr>
        <w:t xml:space="preserve"> </w:t>
      </w:r>
      <w:r w:rsidRPr="00A91B96">
        <w:rPr>
          <w:rStyle w:val="libFootnotenumChar"/>
          <w:rtl/>
        </w:rPr>
        <w:t>(4)</w:t>
      </w:r>
      <w:r w:rsidRPr="00020424">
        <w:rPr>
          <w:rtl/>
          <w:lang w:bidi="fa-IR"/>
        </w:rPr>
        <w:t xml:space="preserve"> وَالْأَمْرُ الْآخَرُ لَايُلَامُ عَلَى الْكَفَافِ ، وَالْيَدُ الْعُلْيَا خَيْرٌ مِنَ الْيَدِ السُّفْلى </w:t>
      </w:r>
      <w:r w:rsidRPr="00A91B96">
        <w:rPr>
          <w:rStyle w:val="libFootnotenumChar"/>
          <w:rtl/>
        </w:rPr>
        <w:t>(5)</w:t>
      </w:r>
      <w:r w:rsidRPr="00020424">
        <w:rPr>
          <w:rtl/>
          <w:lang w:bidi="fa-IR"/>
        </w:rPr>
        <w:t xml:space="preserve"> ، وَابْدَأْ بِمَنْ تَعُولُ</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1D01A7">
        <w:rPr>
          <w:rtl/>
        </w:rPr>
        <w:t>6072</w:t>
      </w:r>
      <w:r w:rsidRPr="001155DE">
        <w:rPr>
          <w:rStyle w:val="libBold2Char"/>
          <w:rtl/>
        </w:rPr>
        <w:t xml:space="preserve"> / 2.</w:t>
      </w:r>
      <w:r w:rsidRPr="00020424">
        <w:rPr>
          <w:rtl/>
          <w:lang w:bidi="fa-IR"/>
        </w:rPr>
        <w:t xml:space="preserve"> قَالَ </w:t>
      </w:r>
      <w:r w:rsidRPr="00A91B96">
        <w:rPr>
          <w:rStyle w:val="libFootnotenumChar"/>
          <w:rtl/>
        </w:rPr>
        <w:t>(7)</w:t>
      </w:r>
      <w:r w:rsidRPr="00020424">
        <w:rPr>
          <w:rtl/>
          <w:lang w:bidi="fa-IR"/>
        </w:rPr>
        <w:t xml:space="preserve"> : وَحَدَّثَنَا </w:t>
      </w:r>
      <w:r w:rsidRPr="00A91B96">
        <w:rPr>
          <w:rStyle w:val="libFootnotenumChar"/>
          <w:rtl/>
        </w:rPr>
        <w:t>(8)</w:t>
      </w:r>
      <w:r w:rsidRPr="00020424">
        <w:rPr>
          <w:rtl/>
          <w:lang w:bidi="fa-IR"/>
        </w:rPr>
        <w:t xml:space="preserve"> بَكْرُ بْنُ صَالِحٍ ، عَنْ بُنْدَارَ بْنِ مُحَمَّدٍ الطَّبَرِيِّ ، عَنْ عَلِيِّ بْنِ سُوَيْدٍ السَّائِيِّ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 « فالسنة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يستفاد من قول السائل : الكفاف الذي لا يلام عليه ، أنّ عدم ورود الملامة على ادّخار الكفاف كان أمراً معهوداً عنده ، ويأتي الحديث فيه في باب التوسيع على العيال ، وحاصل جواب الإمام </w:t>
      </w:r>
      <w:r w:rsidR="00992664" w:rsidRPr="00D64ADA">
        <w:rPr>
          <w:rStyle w:val="libFootnoteAlaemChar"/>
          <w:rtl/>
        </w:rPr>
        <w:t>عليه‌السلام</w:t>
      </w:r>
      <w:r w:rsidR="00992664" w:rsidRPr="00020424">
        <w:rPr>
          <w:rtl/>
        </w:rPr>
        <w:t xml:space="preserve"> أنّ الإيثار بالكفاف على النفس أولى من ادّخاره ، وأمّا الإيثار به على العيال فلا ، بل الادّخار خير منه ، وذلك لأنّ الإنفاق على العيال إعطاء وكما أنّ الإيثار عليهم إعطاء ، وأحد الإعطاءين أولى بالبدأة من الآخر. أو نقول : الإنفاق على العيال إعطاء ، وهو خير من الأخذ ، فلولم يدّخر لهم فربّما يحتاج إلى الأخذ ، واكتفى </w:t>
      </w:r>
      <w:r w:rsidR="00992664" w:rsidRPr="00D64ADA">
        <w:rPr>
          <w:rStyle w:val="libFootnoteAlaemChar"/>
          <w:rtl/>
        </w:rPr>
        <w:t>عليه‌السلام</w:t>
      </w:r>
      <w:r w:rsidR="00992664" w:rsidRPr="00020424">
        <w:rPr>
          <w:rtl/>
        </w:rPr>
        <w:t xml:space="preserve"> في بيان ذلك كلّه بذكر الحديث النبويّ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ومعناه أن</w:t>
      </w:r>
      <w:r w:rsidR="009A1B21">
        <w:rPr>
          <w:rtl/>
        </w:rPr>
        <w:t>ّ يد المعطي خير من يد الآخذ إل</w:t>
      </w:r>
      <w:r w:rsidR="009A1B21">
        <w:rPr>
          <w:rFonts w:hint="cs"/>
          <w:rtl/>
        </w:rPr>
        <w:t>ّ</w:t>
      </w:r>
      <w:r w:rsidR="009A1B21">
        <w:rPr>
          <w:rtl/>
        </w:rPr>
        <w:t>ا</w:t>
      </w:r>
      <w:r w:rsidR="00992664">
        <w:rPr>
          <w:rFonts w:hint="cs"/>
          <w:rtl/>
        </w:rPr>
        <w:t xml:space="preserve"> </w:t>
      </w:r>
      <w:r w:rsidR="00992664" w:rsidRPr="00020424">
        <w:rPr>
          <w:rtl/>
        </w:rPr>
        <w:t>أنّ أدب الإعطاء أن يبدأ بالعيال ، فإن فضل منهم شي‌ء أعطى غيرهم. والخصامة : الحاجة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الأثرة » بالتحريك : الاسم من آثر يُوثر إيثاراً ، إذا أعطى وفضّل. راجع : </w:t>
      </w:r>
      <w:r w:rsidR="00992664" w:rsidRPr="0012008A">
        <w:rPr>
          <w:rStyle w:val="libFootnoteBoldChar"/>
          <w:rtl/>
        </w:rPr>
        <w:t>النهاية</w:t>
      </w:r>
      <w:r w:rsidR="00992664" w:rsidRPr="00020424">
        <w:rPr>
          <w:rtl/>
        </w:rPr>
        <w:t xml:space="preserve"> ، ج 1 ، ص 22 ؛ </w:t>
      </w:r>
      <w:r w:rsidR="00992664" w:rsidRPr="00A722B1">
        <w:rPr>
          <w:rStyle w:val="libFootnoteBoldChar"/>
          <w:rtl/>
        </w:rPr>
        <w:t>المصباح المنير</w:t>
      </w:r>
      <w:r w:rsidR="00992664" w:rsidRPr="00020424">
        <w:rPr>
          <w:rtl/>
        </w:rPr>
        <w:t xml:space="preserve"> ، ص 4 ( أثر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الحشر (59) : 9.</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اليد العليا » : المتعفّفة ، أو المنفقة ؛ والسُفلى : السائلة. وقيل : العليا : المعطية ؛ والسفلى : الآخذة. وقيل : السفلى : المانعة. راجع : </w:t>
      </w:r>
      <w:r w:rsidR="00992664" w:rsidRPr="0012008A">
        <w:rPr>
          <w:rStyle w:val="libFootnoteBoldChar"/>
          <w:rtl/>
        </w:rPr>
        <w:t>النهاية</w:t>
      </w:r>
      <w:r w:rsidR="00992664" w:rsidRPr="00020424">
        <w:rPr>
          <w:rtl/>
        </w:rPr>
        <w:t xml:space="preserve"> ، ج 3 ، ص 294 ؛ </w:t>
      </w:r>
      <w:r w:rsidR="00992664" w:rsidRPr="00A722B1">
        <w:rPr>
          <w:rStyle w:val="libFootnoteBoldChar"/>
          <w:rtl/>
        </w:rPr>
        <w:t>لسان العرب</w:t>
      </w:r>
      <w:r w:rsidR="00992664" w:rsidRPr="00020424">
        <w:rPr>
          <w:rtl/>
        </w:rPr>
        <w:t xml:space="preserve"> ، ج 15 ، ص 86 ( علا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الزكاة ، باب فضل المعروف ، ح 6095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56 ، ح 1688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وفيهما من قوله : « لا يلام على الكفاف » مع اختلاف يسير وزيادة في أوّله. </w:t>
      </w:r>
      <w:r w:rsidR="00992664" w:rsidRPr="00DE76B9">
        <w:rPr>
          <w:rStyle w:val="libFootnoteBoldChar"/>
          <w:rtl/>
        </w:rPr>
        <w:t>المؤمن</w:t>
      </w:r>
      <w:r w:rsidR="00992664" w:rsidRPr="00020424">
        <w:rPr>
          <w:rtl/>
        </w:rPr>
        <w:t xml:space="preserve"> ، ص 44 ، ح 102 ، مرسلاً من دون التصريح باسم المعصوم </w:t>
      </w:r>
      <w:r w:rsidR="00992664" w:rsidRPr="00D64ADA">
        <w:rPr>
          <w:rStyle w:val="libFootnoteAlaemChar"/>
          <w:rtl/>
        </w:rPr>
        <w:t>عليه‌السلام</w:t>
      </w:r>
      <w:r w:rsidR="00992664" w:rsidRPr="00020424">
        <w:rPr>
          <w:rtl/>
        </w:rPr>
        <w:t xml:space="preserve"> ، مع اختلاف يسير. وراجع : </w:t>
      </w:r>
      <w:r w:rsidR="00992664" w:rsidRPr="00DE76B9">
        <w:rPr>
          <w:rStyle w:val="libFootnoteBoldChar"/>
          <w:rtl/>
        </w:rPr>
        <w:t>الكافي</w:t>
      </w:r>
      <w:r w:rsidR="00992664" w:rsidRPr="00020424">
        <w:rPr>
          <w:rtl/>
        </w:rPr>
        <w:t xml:space="preserve"> ، كتاب الزكاة ، باب كفاية العيال والتوسّع عليهم ، ح 6039 ومصادره </w:t>
      </w:r>
      <w:r w:rsidR="009A1B21">
        <w:rPr>
          <w:rFonts w:hint="cs"/>
          <w:rtl/>
        </w:rPr>
        <w:t>.</w:t>
      </w:r>
      <w:r w:rsidR="00992664" w:rsidRPr="0012008A">
        <w:rPr>
          <w:rStyle w:val="libFootnoteBoldChar"/>
          <w:rtl/>
        </w:rPr>
        <w:t>الوافي</w:t>
      </w:r>
      <w:r w:rsidR="00992664" w:rsidRPr="00020424">
        <w:rPr>
          <w:rtl/>
        </w:rPr>
        <w:t xml:space="preserve"> ، ج 10 ، ص 415 ، ح 9795 ؛ </w:t>
      </w:r>
      <w:r w:rsidR="00992664" w:rsidRPr="0012008A">
        <w:rPr>
          <w:rStyle w:val="libFootnoteBoldChar"/>
          <w:rtl/>
        </w:rPr>
        <w:t>الوسائل</w:t>
      </w:r>
      <w:r w:rsidR="00992664" w:rsidRPr="00020424">
        <w:rPr>
          <w:rtl/>
        </w:rPr>
        <w:t xml:space="preserve"> ، ج 9 ، ص 431 ، ح 12411.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الضمير المستتر في « قال » راجع إلى أحمد بن محمّد بن خالد.</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حدّثنا » بدون الواو.</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الْحَسَنِ مُوسى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قَالَ : قُلْتُ لَهُ </w:t>
      </w:r>
      <w:r w:rsidRPr="00A91B96">
        <w:rPr>
          <w:rStyle w:val="libFootnotenumChar"/>
          <w:rtl/>
        </w:rPr>
        <w:t>(2)</w:t>
      </w:r>
      <w:r w:rsidRPr="00020424">
        <w:rPr>
          <w:rtl/>
          <w:lang w:bidi="fa-IR"/>
        </w:rPr>
        <w:t xml:space="preserve"> : أَوْصِنِي ، فَقَالَ : « آمُرُكَ بِتَقْوَى اللهِ » ثُمَّ سَكَتَ.</w:t>
      </w:r>
    </w:p>
    <w:p w:rsidR="00992664" w:rsidRPr="00020424" w:rsidRDefault="00992664" w:rsidP="00992664">
      <w:pPr>
        <w:pStyle w:val="libNormal"/>
        <w:rPr>
          <w:rtl/>
          <w:lang w:bidi="fa-IR"/>
        </w:rPr>
      </w:pPr>
      <w:r w:rsidRPr="00020424">
        <w:rPr>
          <w:rtl/>
          <w:lang w:bidi="fa-IR"/>
        </w:rPr>
        <w:t xml:space="preserve">فَشَكَوْتُ إِلَيْهِ قِلَّةَ ذَاتِ يَدِي ، وَقُلْتُ : وَاللهِ ، لَقَدْ عَرِيتُ حَتّى بَلَغَ </w:t>
      </w:r>
      <w:r w:rsidRPr="00A91B96">
        <w:rPr>
          <w:rStyle w:val="libFootnotenumChar"/>
          <w:rtl/>
        </w:rPr>
        <w:t>(3)</w:t>
      </w:r>
      <w:r w:rsidRPr="00020424">
        <w:rPr>
          <w:rtl/>
          <w:lang w:bidi="fa-IR"/>
        </w:rPr>
        <w:t xml:space="preserve"> مِنْ عُرْيَتِي </w:t>
      </w:r>
      <w:r w:rsidRPr="00A91B96">
        <w:rPr>
          <w:rStyle w:val="libFootnotenumChar"/>
          <w:rtl/>
        </w:rPr>
        <w:t>(4)</w:t>
      </w:r>
      <w:r w:rsidRPr="00020424">
        <w:rPr>
          <w:rtl/>
          <w:lang w:bidi="fa-IR"/>
        </w:rPr>
        <w:t xml:space="preserve"> أَنَّ أَبَا فُلَانٍ نَزَعَ ثَوْبَيْنِ كَانَا عَلَيْهِ ، وَكَسَانِيهِمَا </w:t>
      </w:r>
      <w:r w:rsidRPr="00A91B96">
        <w:rPr>
          <w:rStyle w:val="libFootnotenumChar"/>
          <w:rtl/>
        </w:rPr>
        <w:t>(5)</w:t>
      </w:r>
      <w:r w:rsidR="009A1B21" w:rsidRPr="009A1B21">
        <w:rPr>
          <w:rFonts w:hint="cs"/>
          <w:rtl/>
        </w:rPr>
        <w:t>.</w:t>
      </w:r>
    </w:p>
    <w:p w:rsidR="00992664" w:rsidRPr="00020424" w:rsidRDefault="00992664" w:rsidP="00992664">
      <w:pPr>
        <w:pStyle w:val="libNormal"/>
        <w:rPr>
          <w:rtl/>
          <w:lang w:bidi="fa-IR"/>
        </w:rPr>
      </w:pPr>
      <w:r w:rsidRPr="00020424">
        <w:rPr>
          <w:rtl/>
          <w:lang w:bidi="fa-IR"/>
        </w:rPr>
        <w:t>فَقَالَ : « صُمْ ، وَتَصَدَّقْ</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أَتَصَدَّقُ مِمَّا </w:t>
      </w:r>
      <w:r w:rsidRPr="00A91B96">
        <w:rPr>
          <w:rStyle w:val="libFootnotenumChar"/>
          <w:rtl/>
        </w:rPr>
        <w:t>(6)</w:t>
      </w:r>
      <w:r w:rsidRPr="00020424">
        <w:rPr>
          <w:rtl/>
          <w:lang w:bidi="fa-IR"/>
        </w:rPr>
        <w:t xml:space="preserve"> وَصَلَنِي بِهِ إِخْوَانِي وَإِنْ كَانَ قَلِيلاً.</w:t>
      </w:r>
    </w:p>
    <w:p w:rsidR="00992664" w:rsidRPr="00020424" w:rsidRDefault="00992664" w:rsidP="00992664">
      <w:pPr>
        <w:pStyle w:val="libNormal"/>
        <w:rPr>
          <w:rtl/>
          <w:lang w:bidi="fa-IR"/>
        </w:rPr>
      </w:pPr>
      <w:r w:rsidRPr="00020424">
        <w:rPr>
          <w:rtl/>
          <w:lang w:bidi="fa-IR"/>
        </w:rPr>
        <w:t>قَالَ : « تَصَدَّقْ بِمَا رَزَقَكَ اللهُ وَلَوْ آثَرْتَ عَلى نَفْسِكَ</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D01A7">
        <w:rPr>
          <w:rtl/>
        </w:rPr>
        <w:t>6073</w:t>
      </w:r>
      <w:r w:rsidRPr="001155DE">
        <w:rPr>
          <w:rStyle w:val="libBold2Char"/>
          <w:rtl/>
        </w:rPr>
        <w:t xml:space="preserve"> / 3.</w:t>
      </w:r>
      <w:r w:rsidRPr="00020424">
        <w:rPr>
          <w:rtl/>
          <w:lang w:bidi="fa-IR"/>
        </w:rPr>
        <w:t xml:space="preserve"> عِدَّةٌ مِنْ أَصْحَابِنَا ، عَنْ سَهْلِ بْنِ زِيَادٍ ، عَنْ أَحْمَدَ بْنِ مُحَمَّدِ بْنِ أَبِي نَصْرٍ ، عَنْ مُحَمَّدِ بْنِ سَمَاعَةَ </w:t>
      </w:r>
      <w:r w:rsidRPr="00A91B96">
        <w:rPr>
          <w:rStyle w:val="libFootnotenumChar"/>
          <w:rtl/>
        </w:rPr>
        <w:t>(8)</w:t>
      </w:r>
      <w:r w:rsidRPr="00020424">
        <w:rPr>
          <w:rtl/>
          <w:lang w:bidi="fa-IR"/>
        </w:rPr>
        <w:t xml:space="preserve"> ، عَنْ أَبِي بَصِيرٍ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ى ، بث ، بح ، بخ ، بر ، بس ، بف ، جن » </w:t>
      </w:r>
      <w:r w:rsidR="00992664" w:rsidRPr="009A1B21">
        <w:rPr>
          <w:rtl/>
        </w:rPr>
        <w:t>والوافي والوسائل</w:t>
      </w:r>
      <w:r w:rsidR="00992664" w:rsidRPr="00020424">
        <w:rPr>
          <w:rtl/>
        </w:rPr>
        <w:t>. وفي « ظ » والمطبوع :</w:t>
      </w:r>
      <w:r w:rsidR="00992664">
        <w:rPr>
          <w:rtl/>
        </w:rPr>
        <w:t xml:space="preserve"> </w:t>
      </w:r>
      <w:r w:rsidR="009B673F">
        <w:rPr>
          <w:rtl/>
        </w:rPr>
        <w:t>-</w:t>
      </w:r>
      <w:r w:rsidR="00992664">
        <w:rPr>
          <w:rtl/>
        </w:rPr>
        <w:t xml:space="preserve"> </w:t>
      </w:r>
      <w:r w:rsidR="00992664" w:rsidRPr="00020424">
        <w:rPr>
          <w:rtl/>
        </w:rPr>
        <w:t>« موسى</w:t>
      </w:r>
      <w:r w:rsidR="00992664">
        <w:rPr>
          <w:rtl/>
        </w:rPr>
        <w:t xml:space="preserve"> ».</w:t>
      </w:r>
    </w:p>
    <w:p w:rsidR="00992664" w:rsidRPr="00020424" w:rsidRDefault="00992664" w:rsidP="00992664">
      <w:pPr>
        <w:pStyle w:val="libFootnote0"/>
        <w:rPr>
          <w:rtl/>
          <w:lang w:bidi="fa-IR"/>
        </w:rPr>
      </w:pPr>
      <w:r w:rsidRPr="009A1B21">
        <w:rPr>
          <w:rtl/>
        </w:rPr>
        <w:t xml:space="preserve">وعليّ بن سويد السائي من أصحاب أبي الحسن موسى </w:t>
      </w:r>
      <w:r w:rsidRPr="009A1B21">
        <w:rPr>
          <w:rStyle w:val="libFootnoteAlaemChar"/>
          <w:rtl/>
        </w:rPr>
        <w:t>عليه‌السلام</w:t>
      </w:r>
      <w:r w:rsidRPr="009A1B21">
        <w:rPr>
          <w:rtl/>
        </w:rPr>
        <w:t xml:space="preserve"> ، روى عنه في بعض الأسناد. راجع : </w:t>
      </w:r>
      <w:r w:rsidRPr="009A1B21">
        <w:rPr>
          <w:rStyle w:val="libFootnoteBoldChar"/>
          <w:rtl/>
        </w:rPr>
        <w:t>رجال النجاشي</w:t>
      </w:r>
      <w:r w:rsidRPr="009A1B21">
        <w:rPr>
          <w:rtl/>
        </w:rPr>
        <w:t xml:space="preserve"> ، ص 276 ، الرقم 724 ؛ </w:t>
      </w:r>
      <w:r w:rsidRPr="00DE76B9">
        <w:rPr>
          <w:rStyle w:val="libFootnoteBoldChar"/>
          <w:rtl/>
        </w:rPr>
        <w:t>معجم رجال الحديث</w:t>
      </w:r>
      <w:r w:rsidRPr="009A1B21">
        <w:rPr>
          <w:rtl/>
        </w:rPr>
        <w:t xml:space="preserve"> ، ج 12 ، ص 302 </w:t>
      </w:r>
      <w:r w:rsidR="009B673F" w:rsidRPr="009A1B21">
        <w:rPr>
          <w:rtl/>
        </w:rPr>
        <w:t>-</w:t>
      </w:r>
      <w:r w:rsidRPr="009A1B21">
        <w:rPr>
          <w:rtl/>
        </w:rPr>
        <w:t xml:space="preserve"> 303.</w:t>
      </w:r>
    </w:p>
    <w:tbl>
      <w:tblPr>
        <w:tblStyle w:val="TableGrid"/>
        <w:bidiVisual/>
        <w:tblW w:w="0" w:type="auto"/>
        <w:tblLook w:val="04A0" w:firstRow="1" w:lastRow="0" w:firstColumn="1" w:lastColumn="0" w:noHBand="0" w:noVBand="1"/>
      </w:tblPr>
      <w:tblGrid>
        <w:gridCol w:w="4006"/>
        <w:gridCol w:w="4006"/>
      </w:tblGrid>
      <w:tr w:rsidR="009A1B21" w:rsidTr="009A1B21">
        <w:tc>
          <w:tcPr>
            <w:tcW w:w="4006" w:type="dxa"/>
          </w:tcPr>
          <w:p w:rsidR="009A1B21" w:rsidRDefault="009A1B21" w:rsidP="00992664">
            <w:pPr>
              <w:pStyle w:val="libFootnote0"/>
              <w:rPr>
                <w:rtl/>
              </w:rPr>
            </w:pPr>
            <w:r>
              <w:rPr>
                <w:rtl/>
              </w:rPr>
              <w:t xml:space="preserve">(2). </w:t>
            </w:r>
            <w:r w:rsidRPr="00020424">
              <w:rPr>
                <w:rtl/>
              </w:rPr>
              <w:t>في « بر » :</w:t>
            </w:r>
            <w:r>
              <w:rPr>
                <w:rtl/>
              </w:rPr>
              <w:t xml:space="preserve"> - </w:t>
            </w:r>
            <w:r w:rsidRPr="00020424">
              <w:rPr>
                <w:rtl/>
              </w:rPr>
              <w:t>« له</w:t>
            </w:r>
            <w:r>
              <w:rPr>
                <w:rtl/>
              </w:rPr>
              <w:t xml:space="preserve"> ».</w:t>
            </w:r>
          </w:p>
        </w:tc>
        <w:tc>
          <w:tcPr>
            <w:tcW w:w="4006" w:type="dxa"/>
          </w:tcPr>
          <w:p w:rsidR="009A1B21" w:rsidRDefault="009A1B21" w:rsidP="00992664">
            <w:pPr>
              <w:pStyle w:val="libFootnote0"/>
              <w:rPr>
                <w:rtl/>
              </w:rPr>
            </w:pPr>
            <w:r>
              <w:rPr>
                <w:rtl/>
              </w:rPr>
              <w:t xml:space="preserve">(3). </w:t>
            </w:r>
            <w:r w:rsidRPr="00020424">
              <w:rPr>
                <w:rtl/>
              </w:rPr>
              <w:t>في « ى » : « بلغت</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w:t>
      </w:r>
      <w:r w:rsidR="00992664" w:rsidRPr="009A1B21">
        <w:rPr>
          <w:rtl/>
        </w:rPr>
        <w:t>والوسائل</w:t>
      </w:r>
      <w:r w:rsidR="00992664" w:rsidRPr="00020424">
        <w:rPr>
          <w:rtl/>
        </w:rPr>
        <w:t xml:space="preserve"> ، ح 12412 : « عريي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12412 : « فكسانيهما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بما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416 ، ح 9796 ؛ </w:t>
      </w:r>
      <w:r w:rsidR="00992664" w:rsidRPr="0012008A">
        <w:rPr>
          <w:rStyle w:val="libFootnoteBoldChar"/>
          <w:rtl/>
        </w:rPr>
        <w:t>الوسائل</w:t>
      </w:r>
      <w:r w:rsidR="00992664" w:rsidRPr="00020424">
        <w:rPr>
          <w:rtl/>
        </w:rPr>
        <w:t xml:space="preserve"> ، ج 9 ، ص 431 ، ح 12412 ؛ </w:t>
      </w:r>
      <w:r w:rsidR="00992664" w:rsidRPr="00DE76B9">
        <w:rPr>
          <w:rStyle w:val="libFootnoteBoldChar"/>
          <w:rtl/>
        </w:rPr>
        <w:t>وفيه</w:t>
      </w:r>
      <w:r w:rsidR="00992664" w:rsidRPr="00020424">
        <w:rPr>
          <w:rtl/>
        </w:rPr>
        <w:t xml:space="preserve"> ، ج 10 ، ص 408 ، ح 13717 ، قطعة منه.</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الخبر رواه الصدوق في </w:t>
      </w:r>
      <w:r w:rsidR="00992664" w:rsidRPr="0012008A">
        <w:rPr>
          <w:rStyle w:val="libFootnoteBoldChar"/>
          <w:rtl/>
        </w:rPr>
        <w:t>ثواب الأعمال</w:t>
      </w:r>
      <w:r w:rsidR="00992664" w:rsidRPr="00020424">
        <w:rPr>
          <w:rtl/>
        </w:rPr>
        <w:t xml:space="preserve"> ، ص 170 ، ح 16 بسنده عن أحمد بن محمّد بن أبي نصر ، عن محمّد بن سماعة بن مهران ، عن أبيه ، عن أبي بصير. لكن الخبر أورده المجلسي في </w:t>
      </w:r>
      <w:r w:rsidR="00992664" w:rsidRPr="0012008A">
        <w:rPr>
          <w:rStyle w:val="libFootnoteBoldChar"/>
          <w:rtl/>
        </w:rPr>
        <w:t>البحار</w:t>
      </w:r>
      <w:r w:rsidR="00992664" w:rsidRPr="00020424">
        <w:rPr>
          <w:rtl/>
        </w:rPr>
        <w:t xml:space="preserve"> ، ج 93 ، ص 178 ، ح 15 ، نقلاً من </w:t>
      </w:r>
      <w:r w:rsidR="00992664" w:rsidRPr="0012008A">
        <w:rPr>
          <w:rStyle w:val="libFootnoteBoldChar"/>
          <w:rtl/>
        </w:rPr>
        <w:t>ثواب الأعمال</w:t>
      </w:r>
      <w:r w:rsidR="00992664" w:rsidRPr="00020424">
        <w:rPr>
          <w:rtl/>
        </w:rPr>
        <w:t xml:space="preserve"> وفيه : « محمّد بن سماعة عن أبي بصير</w:t>
      </w:r>
      <w:r w:rsidR="00992664">
        <w:rPr>
          <w:rtl/>
        </w:rPr>
        <w:t xml:space="preserve"> ».</w:t>
      </w:r>
    </w:p>
    <w:p w:rsidR="00992664" w:rsidRPr="00020424" w:rsidRDefault="00992664" w:rsidP="00992664">
      <w:pPr>
        <w:pStyle w:val="libFootnote0"/>
        <w:rPr>
          <w:rtl/>
          <w:lang w:bidi="fa-IR"/>
        </w:rPr>
      </w:pPr>
      <w:r w:rsidRPr="009A1B21">
        <w:rPr>
          <w:rtl/>
        </w:rPr>
        <w:t xml:space="preserve">والظاهر وقوع الخلل في سند </w:t>
      </w:r>
      <w:r w:rsidRPr="0012008A">
        <w:rPr>
          <w:rStyle w:val="libFootnoteBoldChar"/>
          <w:rtl/>
        </w:rPr>
        <w:t>ثواب الأعمال</w:t>
      </w:r>
      <w:r w:rsidRPr="009A1B21">
        <w:rPr>
          <w:rtl/>
        </w:rPr>
        <w:t xml:space="preserve"> ؛ فإنّ محمّد بن سماعة هو محمّد بن سماعة بن موسى ، والد الحسن بن محمّد بن سماعة الكنديّ الصيرفي. راجع : </w:t>
      </w:r>
      <w:r w:rsidRPr="00DE76B9">
        <w:rPr>
          <w:rStyle w:val="libFootnoteBoldChar"/>
          <w:rtl/>
        </w:rPr>
        <w:t>رجال النجاشي</w:t>
      </w:r>
      <w:r w:rsidRPr="009A1B21">
        <w:rPr>
          <w:rtl/>
        </w:rPr>
        <w:t xml:space="preserve"> ، ص 40 ، الرقم 84 ؛ وص 329 ، الرقم 890.</w:t>
      </w:r>
    </w:p>
    <w:p w:rsidR="00992664" w:rsidRPr="00020424" w:rsidRDefault="00992664" w:rsidP="00992664">
      <w:pPr>
        <w:pStyle w:val="libFootnote0"/>
        <w:rPr>
          <w:rtl/>
          <w:lang w:bidi="fa-IR"/>
        </w:rPr>
      </w:pPr>
      <w:r w:rsidRPr="009A1B21">
        <w:rPr>
          <w:rtl/>
        </w:rPr>
        <w:t xml:space="preserve">وقد وردت في </w:t>
      </w:r>
      <w:r w:rsidRPr="0012008A">
        <w:rPr>
          <w:rStyle w:val="libFootnoteBoldChar"/>
          <w:rtl/>
        </w:rPr>
        <w:t>التهذيب</w:t>
      </w:r>
      <w:r w:rsidRPr="009A1B21">
        <w:rPr>
          <w:rtl/>
        </w:rPr>
        <w:t xml:space="preserve"> ، ج 5 ، ص 180 ، ح 604 ؛ وص 328 ، ح 1126 رواية أحمد بن محمّد بن أبي نصر عن </w:t>
      </w:r>
      <w:r w:rsidR="00216E4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قُلْتُ لَهُ </w:t>
      </w:r>
      <w:r w:rsidRPr="00A91B96">
        <w:rPr>
          <w:rStyle w:val="libFootnotenumChar"/>
          <w:rtl/>
        </w:rPr>
        <w:t>(1)</w:t>
      </w:r>
      <w:r w:rsidRPr="00020424">
        <w:rPr>
          <w:rtl/>
          <w:lang w:bidi="fa-IR"/>
        </w:rPr>
        <w:t xml:space="preserve"> : أَيُّ الصَّدَقَةِ أَفْضَلُ</w:t>
      </w:r>
      <w:r>
        <w:rPr>
          <w:rtl/>
          <w:lang w:bidi="fa-IR"/>
        </w:rPr>
        <w:t>؟</w:t>
      </w:r>
    </w:p>
    <w:p w:rsidR="00992664" w:rsidRPr="00020424" w:rsidRDefault="00992664" w:rsidP="00992664">
      <w:pPr>
        <w:pStyle w:val="libNormal"/>
        <w:rPr>
          <w:rtl/>
          <w:lang w:bidi="fa-IR"/>
        </w:rPr>
      </w:pPr>
      <w:r w:rsidRPr="00020424">
        <w:rPr>
          <w:rtl/>
          <w:lang w:bidi="fa-IR"/>
        </w:rPr>
        <w:t xml:space="preserve">قَالَ : « جُهْدُ الْمُقِلِّ </w:t>
      </w:r>
      <w:r w:rsidRPr="00A91B96">
        <w:rPr>
          <w:rStyle w:val="libFootnotenumChar"/>
          <w:rtl/>
        </w:rPr>
        <w:t>(2)</w:t>
      </w:r>
      <w:r>
        <w:rPr>
          <w:rtl/>
          <w:lang w:bidi="fa-IR"/>
        </w:rPr>
        <w:t xml:space="preserve"> ، أَ</w:t>
      </w:r>
      <w:r w:rsidRPr="00020424">
        <w:rPr>
          <w:rtl/>
          <w:lang w:bidi="fa-IR"/>
        </w:rPr>
        <w:t xml:space="preserve">مَا سَمِعْتَ قَوْلَ اللهِ عَزَّ وَجَلَّ </w:t>
      </w:r>
      <w:r w:rsidRPr="00A91B96">
        <w:rPr>
          <w:rStyle w:val="libFootnotenumChar"/>
          <w:rtl/>
        </w:rPr>
        <w:t>(3)</w:t>
      </w:r>
      <w:r w:rsidRPr="00020424">
        <w:rPr>
          <w:rtl/>
          <w:lang w:bidi="fa-IR"/>
        </w:rPr>
        <w:t xml:space="preserve"> : </w:t>
      </w:r>
      <w:r w:rsidRPr="00005A81">
        <w:rPr>
          <w:rStyle w:val="libAlaemChar"/>
          <w:rtl/>
        </w:rPr>
        <w:t>(</w:t>
      </w:r>
      <w:r w:rsidRPr="004E5AB4">
        <w:rPr>
          <w:rStyle w:val="libAieChar"/>
          <w:rtl/>
        </w:rPr>
        <w:t xml:space="preserve"> وَيُؤْثِرُونَ عَلى أَنْفُسِهِمْ وَلَوْ كانَ بِهِمْ خَصاصَةٌ </w:t>
      </w:r>
      <w:r w:rsidRPr="00005A81">
        <w:rPr>
          <w:rStyle w:val="libAlaemChar"/>
          <w:rtl/>
        </w:rPr>
        <w:t>)</w:t>
      </w:r>
      <w:r>
        <w:rPr>
          <w:rtl/>
          <w:lang w:bidi="fa-IR"/>
        </w:rPr>
        <w:t>؟</w:t>
      </w:r>
      <w:r w:rsidRPr="00020424">
        <w:rPr>
          <w:rtl/>
          <w:lang w:bidi="fa-IR"/>
        </w:rPr>
        <w:t xml:space="preserve"> تَرى هَاهُنَا فَضْلاً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205" w:name="_Toc345172785"/>
      <w:bookmarkStart w:id="206" w:name="_Toc464562601"/>
      <w:bookmarkStart w:id="207" w:name="_Toc44599904"/>
      <w:r w:rsidRPr="00020424">
        <w:rPr>
          <w:rtl/>
          <w:lang w:bidi="fa-IR"/>
        </w:rPr>
        <w:t>63</w:t>
      </w:r>
      <w:r>
        <w:rPr>
          <w:rtl/>
          <w:lang w:bidi="fa-IR"/>
        </w:rPr>
        <w:t xml:space="preserve"> </w:t>
      </w:r>
      <w:r w:rsidR="009B673F">
        <w:rPr>
          <w:rtl/>
          <w:lang w:bidi="fa-IR"/>
        </w:rPr>
        <w:t>-</w:t>
      </w:r>
      <w:r>
        <w:rPr>
          <w:rtl/>
          <w:lang w:bidi="fa-IR"/>
        </w:rPr>
        <w:t xml:space="preserve"> </w:t>
      </w:r>
      <w:r w:rsidRPr="00020424">
        <w:rPr>
          <w:rtl/>
          <w:lang w:bidi="fa-IR"/>
        </w:rPr>
        <w:t>بَابُ مَنْ سَأَلَ مِنْ غَيْرِ حَاجَةٍ‌</w:t>
      </w:r>
      <w:bookmarkEnd w:id="205"/>
      <w:bookmarkEnd w:id="206"/>
      <w:bookmarkEnd w:id="207"/>
    </w:p>
    <w:p w:rsidR="00992664" w:rsidRPr="00020424" w:rsidRDefault="00992664" w:rsidP="00992664">
      <w:pPr>
        <w:pStyle w:val="libNormal"/>
        <w:rPr>
          <w:rtl/>
          <w:lang w:bidi="fa-IR"/>
        </w:rPr>
      </w:pPr>
      <w:r w:rsidRPr="008E3B0B">
        <w:rPr>
          <w:rtl/>
        </w:rPr>
        <w:t>6074</w:t>
      </w:r>
      <w:r w:rsidRPr="001155DE">
        <w:rPr>
          <w:rStyle w:val="libBold2Char"/>
          <w:rtl/>
        </w:rPr>
        <w:t xml:space="preserve"> / 1.</w:t>
      </w:r>
      <w:r w:rsidRPr="00020424">
        <w:rPr>
          <w:rtl/>
          <w:lang w:bidi="fa-IR"/>
        </w:rPr>
        <w:t xml:space="preserve"> عِدَّةٌ مِنْ أَصْحَابِنَا ، عَنْ سَهْلِ بْنِ زِيَادٍ ، عَنِ الْحَسَنِ </w:t>
      </w:r>
      <w:r w:rsidRPr="00A91B96">
        <w:rPr>
          <w:rStyle w:val="libFootnotenumChar"/>
          <w:rtl/>
        </w:rPr>
        <w:t>(5)</w:t>
      </w:r>
      <w:r w:rsidRPr="00020424">
        <w:rPr>
          <w:rtl/>
          <w:lang w:bidi="fa-IR"/>
        </w:rPr>
        <w:t xml:space="preserve"> بْنِ مَحْبُوبٍ ، عَنْ مَالِكِ بْنِ عَطِيَّةَ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عَلِيُّ بْنُ الْحُسَيْنِ </w:t>
      </w:r>
      <w:r w:rsidRPr="00005A81">
        <w:rPr>
          <w:rStyle w:val="libAlaemChar"/>
          <w:rtl/>
        </w:rPr>
        <w:t>عليهما‌السلام</w:t>
      </w:r>
      <w:r w:rsidRPr="00020424">
        <w:rPr>
          <w:rtl/>
          <w:lang w:bidi="fa-IR"/>
        </w:rPr>
        <w:t xml:space="preserve"> : ضَمِنْتُ عَلى رَبِّي أَنَّهُ لَا يَسْأَلُ أ</w:t>
      </w:r>
      <w:r w:rsidR="00216E45">
        <w:rPr>
          <w:rtl/>
          <w:lang w:bidi="fa-IR"/>
        </w:rPr>
        <w:t>َحَدٌ مِنْ غَيْرِ حَاجَةٍ إِل</w:t>
      </w:r>
      <w:r w:rsidR="00216E45">
        <w:rPr>
          <w:rFonts w:hint="cs"/>
          <w:rtl/>
          <w:lang w:bidi="fa-IR"/>
        </w:rPr>
        <w:t>َّ</w:t>
      </w:r>
      <w:r w:rsidR="00216E45">
        <w:rPr>
          <w:rtl/>
          <w:lang w:bidi="fa-IR"/>
        </w:rPr>
        <w:t>ا</w:t>
      </w:r>
      <w:r w:rsidRPr="00020424">
        <w:rPr>
          <w:rtl/>
          <w:lang w:bidi="fa-IR"/>
        </w:rPr>
        <w:t xml:space="preserve"> اضْطَرَّتْهُ الْمَسْأَلَةُ يَوْماً إِلى أَنْ يَسْأَلَ مِنْ حَاجَةٍ</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Line"/>
        <w:rPr>
          <w:rtl/>
          <w:lang w:bidi="fa-IR"/>
        </w:rPr>
      </w:pPr>
      <w:r w:rsidRPr="00020424">
        <w:rPr>
          <w:rtl/>
          <w:lang w:bidi="fa-IR"/>
        </w:rPr>
        <w:t>__________________</w:t>
      </w:r>
    </w:p>
    <w:p w:rsidR="00992664" w:rsidRPr="00020424" w:rsidRDefault="00216E45" w:rsidP="00992664">
      <w:pPr>
        <w:pStyle w:val="libFootnote0"/>
        <w:rPr>
          <w:rtl/>
          <w:lang w:bidi="fa-IR"/>
        </w:rPr>
      </w:pPr>
      <w:r>
        <w:rPr>
          <w:rFonts w:hint="cs"/>
          <w:rtl/>
        </w:rPr>
        <w:t xml:space="preserve">= </w:t>
      </w:r>
      <w:r w:rsidR="00992664" w:rsidRPr="00216E45">
        <w:rPr>
          <w:rtl/>
        </w:rPr>
        <w:t xml:space="preserve">محمّد بن سماعة الصيرفي ، كما وردت رواية محمّد بن سماعة الكندي بواسطةٍ عن أبي عبد الله </w:t>
      </w:r>
      <w:r w:rsidR="00992664" w:rsidRPr="00216E45">
        <w:rPr>
          <w:rStyle w:val="libFootnoteAlaemChar"/>
          <w:rtl/>
        </w:rPr>
        <w:t>عليه‌السلام</w:t>
      </w:r>
      <w:r w:rsidR="00992664" w:rsidRPr="00216E45">
        <w:rPr>
          <w:rtl/>
        </w:rPr>
        <w:t xml:space="preserve"> في </w:t>
      </w:r>
      <w:r w:rsidR="00992664" w:rsidRPr="00216E45">
        <w:rPr>
          <w:rStyle w:val="libFootnoteBoldChar"/>
          <w:rtl/>
        </w:rPr>
        <w:t>كمال الدين</w:t>
      </w:r>
      <w:r w:rsidR="00992664" w:rsidRPr="00216E45">
        <w:rPr>
          <w:rtl/>
        </w:rPr>
        <w:t xml:space="preserve"> ، ص 297 ، ح 5.</w:t>
      </w:r>
    </w:p>
    <w:p w:rsidR="00992664" w:rsidRDefault="00992664" w:rsidP="00992664">
      <w:pPr>
        <w:pStyle w:val="libFootnote0"/>
        <w:rPr>
          <w:rtl/>
        </w:rPr>
      </w:pPr>
      <w:r w:rsidRPr="00216E45">
        <w:rPr>
          <w:rtl/>
        </w:rPr>
        <w:t xml:space="preserve">والظاهر أنّ ما ورد في بعض الأسناد من رواية أحمد بن محمّد بن أبي نصر عن محمّد بن سماعة بن مهران </w:t>
      </w:r>
      <w:r w:rsidR="009B673F" w:rsidRPr="00216E45">
        <w:rPr>
          <w:rtl/>
        </w:rPr>
        <w:t>-</w:t>
      </w:r>
      <w:r w:rsidRPr="00216E45">
        <w:rPr>
          <w:rtl/>
        </w:rPr>
        <w:t xml:space="preserve"> كما في </w:t>
      </w:r>
      <w:r w:rsidRPr="0012008A">
        <w:rPr>
          <w:rStyle w:val="libFootnoteBoldChar"/>
          <w:rtl/>
        </w:rPr>
        <w:t>التهذيب</w:t>
      </w:r>
      <w:r w:rsidRPr="00216E45">
        <w:rPr>
          <w:rtl/>
        </w:rPr>
        <w:t xml:space="preserve"> ، ج 5 ، ص 189 ، ح 627 </w:t>
      </w:r>
      <w:r w:rsidR="009B673F" w:rsidRPr="00216E45">
        <w:rPr>
          <w:rtl/>
        </w:rPr>
        <w:t>-</w:t>
      </w:r>
      <w:r w:rsidRPr="00216E45">
        <w:rPr>
          <w:rtl/>
        </w:rPr>
        <w:t xml:space="preserve"> إمّا أن يكون الأصل فيه : « محمّد بن سماعة عن سماعة بن مهران » ، فجاز النظر من سماعة الا</w:t>
      </w:r>
      <w:r w:rsidR="00216E45">
        <w:rPr>
          <w:rFonts w:hint="cs"/>
          <w:rtl/>
        </w:rPr>
        <w:t>ُ</w:t>
      </w:r>
      <w:r w:rsidRPr="00216E45">
        <w:rPr>
          <w:rtl/>
        </w:rPr>
        <w:t>ولى إلى سماعة الثانية فوقع السقط ، أو يكون « بن مهران » فيه زائداً رأساً.</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بس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w:t>
      </w:r>
      <w:r w:rsidR="00992664">
        <w:rPr>
          <w:rtl/>
        </w:rPr>
        <w:t xml:space="preserve"> ..</w:t>
      </w:r>
      <w:r w:rsidR="00992664" w:rsidRPr="00020424">
        <w:rPr>
          <w:rtl/>
        </w:rPr>
        <w:t>. جهد المقلّ ، أي قدر ما يحتمله حال القليل المال</w:t>
      </w:r>
      <w:r w:rsidR="00992664">
        <w:rPr>
          <w:rtl/>
        </w:rPr>
        <w:t xml:space="preserve"> ».</w:t>
      </w:r>
      <w:r w:rsidR="00992664" w:rsidRPr="00020424">
        <w:rPr>
          <w:rtl/>
        </w:rPr>
        <w:t xml:space="preserve"> وفي </w:t>
      </w:r>
      <w:r w:rsidR="00992664" w:rsidRPr="00DE76B9">
        <w:rPr>
          <w:rStyle w:val="libFootnoteBoldChar"/>
          <w:rtl/>
        </w:rPr>
        <w:t>الدروس</w:t>
      </w:r>
      <w:r w:rsidR="00992664" w:rsidRPr="00020424">
        <w:rPr>
          <w:rtl/>
        </w:rPr>
        <w:t xml:space="preserve"> : « أفضل الصدقة جهد المقلّ ، وهو الإيثار. وروي : أفضل الصدقة عن ظهر غنى ، والجمع بينهما أنّ الإيثار على نفسه مستحبّ بخلافه على عياله</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320 ( جهد ) ؛ </w:t>
      </w:r>
      <w:r w:rsidR="00992664" w:rsidRPr="00DE76B9">
        <w:rPr>
          <w:rStyle w:val="libFootnoteBoldChar"/>
          <w:rtl/>
        </w:rPr>
        <w:t>الدروس</w:t>
      </w:r>
      <w:r w:rsidR="00992664" w:rsidRPr="00020424">
        <w:rPr>
          <w:rtl/>
        </w:rPr>
        <w:t xml:space="preserve"> ، ج 1 ، ص 255.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بح ، بخ ، بر » </w:t>
      </w:r>
      <w:r w:rsidR="00992664" w:rsidRPr="00216E45">
        <w:rPr>
          <w:rtl/>
        </w:rPr>
        <w:t>والوافي والوسائل</w:t>
      </w:r>
      <w:r w:rsidR="00992664" w:rsidRPr="00020424">
        <w:rPr>
          <w:rtl/>
        </w:rPr>
        <w:t xml:space="preserve"> : « أما سمعت الله عزّوجلّ يقول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170 ، ح 16 ، بسنده عن أحمد بن محمّد بن أبي نصر ، عن محمّد بن سماعة بن مهران ، عن أبيه ، عن أبي بصير ، عن أحدهما </w:t>
      </w:r>
      <w:r w:rsidR="00D64ADA" w:rsidRPr="00D64ADA">
        <w:rPr>
          <w:rStyle w:val="libFootnoteAlaemChar"/>
          <w:rtl/>
        </w:rPr>
        <w:t>عليهما‌السلام</w:t>
      </w:r>
      <w:r w:rsidR="00992664" w:rsidRPr="00020424">
        <w:rPr>
          <w:rtl/>
        </w:rPr>
        <w:t xml:space="preserve">. وفي </w:t>
      </w:r>
      <w:r w:rsidR="00992664" w:rsidRPr="00A722B1">
        <w:rPr>
          <w:rStyle w:val="libFootnoteBoldChar"/>
          <w:rtl/>
        </w:rPr>
        <w:t>الخصال</w:t>
      </w:r>
      <w:r w:rsidR="00992664" w:rsidRPr="00020424">
        <w:rPr>
          <w:rtl/>
        </w:rPr>
        <w:t xml:space="preserve"> ، ص 523 ، أبواب العشرين ، ضمن الحديث الطويل 13 ؛ </w:t>
      </w:r>
      <w:r w:rsidR="00992664" w:rsidRPr="00216E45">
        <w:rPr>
          <w:rStyle w:val="libFootnoteBoldChar"/>
          <w:rtl/>
        </w:rPr>
        <w:t>ومعاني الأخبار</w:t>
      </w:r>
      <w:r w:rsidR="00992664" w:rsidRPr="00020424">
        <w:rPr>
          <w:rtl/>
        </w:rPr>
        <w:t xml:space="preserve"> ، ص 332 ، ح 1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540 ، المجلس 19 ، ضمن الحديث الطويل 2 ، بسند آخر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وتمام الرواية هكذا : « قلت : فأيّ الصدقة أفضل</w:t>
      </w:r>
      <w:r w:rsidR="00992664">
        <w:rPr>
          <w:rtl/>
        </w:rPr>
        <w:t>؟</w:t>
      </w:r>
      <w:r w:rsidR="00992664" w:rsidRPr="00020424">
        <w:rPr>
          <w:rtl/>
        </w:rPr>
        <w:t xml:space="preserve"> قال : جهد من مقلّ إلى فقير في سرّ [ في </w:t>
      </w:r>
      <w:r w:rsidR="00992664" w:rsidRPr="00216E45">
        <w:rPr>
          <w:rtl/>
        </w:rPr>
        <w:t>الخصال</w:t>
      </w:r>
      <w:r w:rsidR="00992664" w:rsidRPr="00020424">
        <w:rPr>
          <w:rtl/>
        </w:rPr>
        <w:t xml:space="preserve"> : « ذي سن » بدل « في سرّ » ]</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70 ، ح 1751 ، مرسلاً عن الصادق </w:t>
      </w:r>
      <w:r w:rsidR="00992664" w:rsidRPr="00D64ADA">
        <w:rPr>
          <w:rStyle w:val="libFootnoteAlaemChar"/>
          <w:rtl/>
        </w:rPr>
        <w:t>عليه‌السلام</w:t>
      </w:r>
      <w:r w:rsidR="00992664" w:rsidRPr="00020424">
        <w:rPr>
          <w:rtl/>
        </w:rPr>
        <w:t xml:space="preserve"> ، مع اختلاف يسير </w:t>
      </w:r>
      <w:r w:rsidR="00216E45">
        <w:rPr>
          <w:rFonts w:hint="cs"/>
          <w:rtl/>
        </w:rPr>
        <w:t>.</w:t>
      </w:r>
      <w:r w:rsidR="00992664" w:rsidRPr="0012008A">
        <w:rPr>
          <w:rStyle w:val="libFootnoteBoldChar"/>
          <w:rtl/>
        </w:rPr>
        <w:t>الوافي</w:t>
      </w:r>
      <w:r w:rsidR="00992664" w:rsidRPr="00020424">
        <w:rPr>
          <w:rtl/>
        </w:rPr>
        <w:t xml:space="preserve"> ، ج 10 ، ص 416 ، ح 9797 ؛ </w:t>
      </w:r>
      <w:r w:rsidR="00992664" w:rsidRPr="0012008A">
        <w:rPr>
          <w:rStyle w:val="libFootnoteBoldChar"/>
          <w:rtl/>
        </w:rPr>
        <w:t>الوسائل</w:t>
      </w:r>
      <w:r w:rsidR="00992664" w:rsidRPr="00020424">
        <w:rPr>
          <w:rtl/>
        </w:rPr>
        <w:t xml:space="preserve"> ، ج 9 ، ص 431 ، ح 12413.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70 ، ح 1752 ، مرسلاً عن عليّ بن الحسين </w:t>
      </w:r>
      <w:r w:rsidR="00D64ADA" w:rsidRPr="00D64ADA">
        <w:rPr>
          <w:rStyle w:val="libFootnoteAlaemChar"/>
          <w:rtl/>
        </w:rPr>
        <w:t>عليهما‌السلام</w:t>
      </w:r>
      <w:r w:rsidR="00992664" w:rsidRPr="00020424">
        <w:rPr>
          <w:rtl/>
        </w:rPr>
        <w:t xml:space="preserve"> </w:t>
      </w:r>
      <w:r w:rsidR="00216E45">
        <w:rPr>
          <w:rFonts w:hint="cs"/>
          <w:rtl/>
        </w:rPr>
        <w:t>.</w:t>
      </w:r>
      <w:r w:rsidR="00992664" w:rsidRPr="0012008A">
        <w:rPr>
          <w:rStyle w:val="libFootnoteBoldChar"/>
          <w:rtl/>
        </w:rPr>
        <w:t>الوافي</w:t>
      </w:r>
      <w:r w:rsidR="00992664" w:rsidRPr="00020424">
        <w:rPr>
          <w:rtl/>
        </w:rPr>
        <w:t xml:space="preserve"> ، ج 10 ، ص 427 ، ح 9812 ؛ </w:t>
      </w:r>
      <w:r w:rsidR="00216E4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42C8D">
        <w:rPr>
          <w:rtl/>
        </w:rPr>
        <w:t>6075</w:t>
      </w:r>
      <w:r w:rsidRPr="001155DE">
        <w:rPr>
          <w:rStyle w:val="libBold2Char"/>
          <w:rtl/>
        </w:rPr>
        <w:t xml:space="preserve"> / 2.</w:t>
      </w:r>
      <w:r w:rsidRPr="00020424">
        <w:rPr>
          <w:rtl/>
          <w:lang w:bidi="fa-IR"/>
        </w:rPr>
        <w:t xml:space="preserve"> مُحَمَّدُ بْنُ يَحْيى ، عَنْ أَحْمَدَ بْنِ مُحَمَّدِ بْنِ عِيسى ، عَنِ الْقَاسِمِ بْنِ يَحْيى ، عَنْ جَدِّهِ الْحَسَنِ بْنِ رَاشِدٍ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 صَلَوَاتُ اللهِ عَلَيْهِ : اتَّبِعُوا قَوْلَ رَسُولِ اللهِ </w:t>
      </w:r>
      <w:r w:rsidR="00B42914" w:rsidRPr="00B42914">
        <w:rPr>
          <w:rStyle w:val="libAlaemChar"/>
          <w:rtl/>
        </w:rPr>
        <w:t>صلى‌الله‌عليه‌وآله‌</w:t>
      </w:r>
      <w:r w:rsidRPr="00020424">
        <w:rPr>
          <w:rtl/>
          <w:lang w:bidi="fa-IR"/>
        </w:rPr>
        <w:t xml:space="preserve"> ؛ فَإِنَّهُ قَالَ : مَنْ فَتَحَ عَلى نَفْسِهِ بَابَ </w:t>
      </w:r>
      <w:r w:rsidRPr="00A91B96">
        <w:rPr>
          <w:rStyle w:val="libFootnotenumChar"/>
          <w:rtl/>
        </w:rPr>
        <w:t>(1)</w:t>
      </w:r>
      <w:r w:rsidRPr="00020424">
        <w:rPr>
          <w:rtl/>
          <w:lang w:bidi="fa-IR"/>
        </w:rPr>
        <w:t xml:space="preserve"> مَسْأَلَةٍ ، فَتَحَ اللهُ عَلَيْهِ بَابَ فَقْرٍ</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642C8D">
        <w:rPr>
          <w:rtl/>
        </w:rPr>
        <w:t>6076</w:t>
      </w:r>
      <w:r w:rsidRPr="001155DE">
        <w:rPr>
          <w:rStyle w:val="libBold2Char"/>
          <w:rtl/>
        </w:rPr>
        <w:t xml:space="preserve"> / 3.</w:t>
      </w:r>
      <w:r w:rsidRPr="00020424">
        <w:rPr>
          <w:rtl/>
          <w:lang w:bidi="fa-IR"/>
        </w:rPr>
        <w:t xml:space="preserve"> عَلِيُّ بْنُ مُحَمَّدِ بْنِ عَبْدِ اللهِ ، عَنْ أَحْمَدَ بْنِ أَبِي عَبْدِ اللهِ ، عَنْ يَعْقُوبَ بْنِ يَزِيدَ ، عَنْ مُحَمَّدِ بْنِ سِنَانٍ ، عَنْ مَالِكِ بْنِ حُصَيْنٍ السَّكُونِيِّ </w:t>
      </w:r>
      <w:r w:rsidRPr="00A91B96">
        <w:rPr>
          <w:rStyle w:val="libFootnotenumChar"/>
          <w:rtl/>
        </w:rPr>
        <w:t>(3)</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مَا مِنْ عَبْدٍ يَسْأَلُ مِنْ غَيْرِ حَاجَةٍ ، فَيَمُوتُ حَتّى يُحْوِجَهُ اللهُ إِلَيْهَا ، وَيُثَبِّتَ </w:t>
      </w:r>
      <w:r w:rsidRPr="00A91B96">
        <w:rPr>
          <w:rStyle w:val="libFootnotenumChar"/>
          <w:rtl/>
        </w:rPr>
        <w:t>(4)</w:t>
      </w:r>
      <w:r w:rsidRPr="00020424">
        <w:rPr>
          <w:rtl/>
          <w:lang w:bidi="fa-IR"/>
        </w:rPr>
        <w:t xml:space="preserve"> اللهُ لَهُ بِهَا النَّارَ</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208" w:name="_Toc345172786"/>
      <w:bookmarkStart w:id="209" w:name="_Toc464562602"/>
      <w:bookmarkStart w:id="210" w:name="_Toc44599905"/>
      <w:r w:rsidRPr="00020424">
        <w:rPr>
          <w:rtl/>
          <w:lang w:bidi="fa-IR"/>
        </w:rPr>
        <w:t>64</w:t>
      </w:r>
      <w:r>
        <w:rPr>
          <w:rtl/>
          <w:lang w:bidi="fa-IR"/>
        </w:rPr>
        <w:t xml:space="preserve"> </w:t>
      </w:r>
      <w:r w:rsidR="009B673F">
        <w:rPr>
          <w:rtl/>
          <w:lang w:bidi="fa-IR"/>
        </w:rPr>
        <w:t>-</w:t>
      </w:r>
      <w:r>
        <w:rPr>
          <w:rtl/>
          <w:lang w:bidi="fa-IR"/>
        </w:rPr>
        <w:t xml:space="preserve"> </w:t>
      </w:r>
      <w:r w:rsidRPr="00020424">
        <w:rPr>
          <w:rtl/>
          <w:lang w:bidi="fa-IR"/>
        </w:rPr>
        <w:t>بَابُ كَرَاهِيَةِ الْمَسْأَلَةِ‌</w:t>
      </w:r>
      <w:bookmarkEnd w:id="208"/>
      <w:bookmarkEnd w:id="209"/>
      <w:bookmarkEnd w:id="210"/>
    </w:p>
    <w:p w:rsidR="00992664" w:rsidRPr="00020424" w:rsidRDefault="00992664" w:rsidP="00992664">
      <w:pPr>
        <w:pStyle w:val="libNormal"/>
        <w:rPr>
          <w:rtl/>
          <w:lang w:bidi="fa-IR"/>
        </w:rPr>
      </w:pPr>
      <w:r w:rsidRPr="00642C8D">
        <w:rPr>
          <w:rtl/>
        </w:rPr>
        <w:t>6077</w:t>
      </w:r>
      <w:r w:rsidRPr="001155DE">
        <w:rPr>
          <w:rStyle w:val="libBold2Char"/>
          <w:rtl/>
        </w:rPr>
        <w:t xml:space="preserve"> / 1.</w:t>
      </w:r>
      <w:r w:rsidRPr="00020424">
        <w:rPr>
          <w:rtl/>
          <w:lang w:bidi="fa-IR"/>
        </w:rPr>
        <w:t xml:space="preserve"> عَلِيُّ بْنُ إِبْرَاهِيمَ ، عَنْ أَبِيهِ ، عَنِ ابْنِ أَبِي عُمَيْرٍ ، عَنِ الْحُسَيْنِ </w:t>
      </w:r>
      <w:r w:rsidRPr="00A91B96">
        <w:rPr>
          <w:rStyle w:val="libFootnotenumChar"/>
          <w:rtl/>
        </w:rPr>
        <w:t>(6)</w:t>
      </w:r>
      <w:r w:rsidRPr="00020424">
        <w:rPr>
          <w:rtl/>
          <w:lang w:bidi="fa-IR"/>
        </w:rPr>
        <w:t xml:space="preserve"> بْنِ حَمَّادٍ :</w:t>
      </w:r>
    </w:p>
    <w:p w:rsidR="00992664" w:rsidRPr="00020424" w:rsidRDefault="00992664" w:rsidP="00992664">
      <w:pPr>
        <w:pStyle w:val="libLine"/>
        <w:rPr>
          <w:rtl/>
          <w:lang w:bidi="fa-IR"/>
        </w:rPr>
      </w:pPr>
      <w:r w:rsidRPr="00020424">
        <w:rPr>
          <w:rtl/>
          <w:lang w:bidi="fa-IR"/>
        </w:rPr>
        <w:t>__________________</w:t>
      </w:r>
    </w:p>
    <w:p w:rsidR="00992664" w:rsidRPr="00020424" w:rsidRDefault="00757F3F" w:rsidP="00992664">
      <w:pPr>
        <w:pStyle w:val="libFootnote0"/>
        <w:rPr>
          <w:rtl/>
          <w:lang w:bidi="fa-IR"/>
        </w:rPr>
      </w:pPr>
      <w:r w:rsidRPr="00757F3F">
        <w:rPr>
          <w:rFonts w:hint="cs"/>
          <w:rtl/>
        </w:rPr>
        <w:t xml:space="preserve">= </w:t>
      </w:r>
      <w:r w:rsidR="00992664" w:rsidRPr="0012008A">
        <w:rPr>
          <w:rStyle w:val="libFootnoteBoldChar"/>
          <w:rtl/>
        </w:rPr>
        <w:t>الوسائل</w:t>
      </w:r>
      <w:r w:rsidR="00992664" w:rsidRPr="00020424">
        <w:rPr>
          <w:rtl/>
        </w:rPr>
        <w:t xml:space="preserve"> ، ج 9 ، ص 436 ، ح 12425.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w:t>
      </w:r>
      <w:r w:rsidR="00992664" w:rsidRPr="00757F3F">
        <w:rPr>
          <w:rtl/>
        </w:rPr>
        <w:t>والوافي</w:t>
      </w:r>
      <w:r w:rsidR="00992664" w:rsidRPr="00020424">
        <w:rPr>
          <w:rtl/>
        </w:rPr>
        <w:t xml:space="preserve"> : « باباً من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A722B1">
        <w:rPr>
          <w:rStyle w:val="libFootnoteBoldChar"/>
          <w:rtl/>
        </w:rPr>
        <w:t>الخصال</w:t>
      </w:r>
      <w:r w:rsidR="00992664" w:rsidRPr="00020424">
        <w:rPr>
          <w:rtl/>
        </w:rPr>
        <w:t xml:space="preserve"> ، ص 614 ، أبواب الثمانين ومافوقه ، ضمن الحديث الطويل 10 ، بسنده عن القاسم بن يحيى ، عن جدّه الحسن بن راشد ، عن أبي بصير ومحمّد بن مسلم ، عن أبي عبدالله ، عن آبائه ، عن أميرالمؤمنين </w:t>
      </w:r>
      <w:r w:rsidR="00992664" w:rsidRPr="00D64ADA">
        <w:rPr>
          <w:rStyle w:val="libFootnoteAlaemChar"/>
          <w:rtl/>
        </w:rPr>
        <w:t>عليهم‌السلام</w:t>
      </w:r>
      <w:r w:rsidR="00992664" w:rsidRPr="00020424">
        <w:rPr>
          <w:rtl/>
        </w:rPr>
        <w:t xml:space="preserve">. وفي </w:t>
      </w:r>
      <w:r w:rsidR="00992664" w:rsidRPr="0012008A">
        <w:rPr>
          <w:rStyle w:val="libFootnoteBoldChar"/>
          <w:rtl/>
        </w:rPr>
        <w:t>الفقيه</w:t>
      </w:r>
      <w:r w:rsidR="00992664" w:rsidRPr="00020424">
        <w:rPr>
          <w:rtl/>
        </w:rPr>
        <w:t xml:space="preserve"> ، ج 2 ، ص 70 ، ح 1753 ؛ </w:t>
      </w:r>
      <w:r w:rsidR="00992664" w:rsidRPr="00A83B0E">
        <w:rPr>
          <w:rStyle w:val="libFootnoteBoldChar"/>
          <w:rtl/>
        </w:rPr>
        <w:t>وتحف العقول</w:t>
      </w:r>
      <w:r w:rsidR="00992664" w:rsidRPr="00DE76B9">
        <w:rPr>
          <w:rStyle w:val="libFootnoteBoldChar"/>
          <w:rtl/>
        </w:rPr>
        <w:t xml:space="preserve"> </w:t>
      </w:r>
      <w:r w:rsidR="00992664" w:rsidRPr="00020424">
        <w:rPr>
          <w:rtl/>
        </w:rPr>
        <w:t xml:space="preserve">، ص 104 ، مرسلاً عن أميرالمؤمنين </w:t>
      </w:r>
      <w:r w:rsidR="00992664" w:rsidRPr="00D64ADA">
        <w:rPr>
          <w:rStyle w:val="libFootnoteAlaemChar"/>
          <w:rtl/>
        </w:rPr>
        <w:t>عليه‌السلام</w:t>
      </w:r>
      <w:r w:rsidR="00992664" w:rsidRPr="00020424">
        <w:rPr>
          <w:rtl/>
        </w:rPr>
        <w:t xml:space="preserve"> </w:t>
      </w:r>
      <w:r w:rsidR="00757F3F">
        <w:rPr>
          <w:rFonts w:hint="cs"/>
          <w:rtl/>
        </w:rPr>
        <w:t>.</w:t>
      </w:r>
      <w:r w:rsidR="00992664" w:rsidRPr="0012008A">
        <w:rPr>
          <w:rStyle w:val="libFootnoteBoldChar"/>
          <w:rtl/>
        </w:rPr>
        <w:t>الوافي</w:t>
      </w:r>
      <w:r w:rsidR="00992664" w:rsidRPr="00020424">
        <w:rPr>
          <w:rtl/>
        </w:rPr>
        <w:t xml:space="preserve"> ، ج 10 ، ص 427 ، ح 9813 ؛ </w:t>
      </w:r>
      <w:r w:rsidR="00992664" w:rsidRPr="0012008A">
        <w:rPr>
          <w:rStyle w:val="libFootnoteBoldChar"/>
          <w:rtl/>
        </w:rPr>
        <w:t>الوسائل</w:t>
      </w:r>
      <w:r w:rsidR="00992664" w:rsidRPr="00020424">
        <w:rPr>
          <w:rtl/>
        </w:rPr>
        <w:t xml:space="preserve"> ، ج 9 ، ص 437 ، ح 12426.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بث ، بح ، بخ ، بف » </w:t>
      </w:r>
      <w:r w:rsidR="00992664" w:rsidRPr="00757F3F">
        <w:rPr>
          <w:rtl/>
        </w:rPr>
        <w:t xml:space="preserve">والوسائل </w:t>
      </w:r>
      <w:r w:rsidR="00992664" w:rsidRPr="006C7A1F">
        <w:rPr>
          <w:rStyle w:val="libFootnoteBoldChar"/>
          <w:rtl/>
        </w:rPr>
        <w:t>وثواب الأعمال</w:t>
      </w:r>
      <w:r w:rsidR="00992664" w:rsidRPr="00020424">
        <w:rPr>
          <w:rtl/>
        </w:rPr>
        <w:t xml:space="preserve"> : « السلولي</w:t>
      </w:r>
      <w:r w:rsidR="00992664">
        <w:rPr>
          <w:rtl/>
        </w:rPr>
        <w:t xml:space="preserve"> ».</w:t>
      </w:r>
      <w:r w:rsidR="00992664" w:rsidRPr="00020424">
        <w:rPr>
          <w:rtl/>
        </w:rPr>
        <w:t xml:space="preserve"> والمذكور في </w:t>
      </w:r>
      <w:r w:rsidR="00992664" w:rsidRPr="00DE76B9">
        <w:rPr>
          <w:rStyle w:val="libFootnoteBoldChar"/>
          <w:rtl/>
        </w:rPr>
        <w:t>رجال الطوسي</w:t>
      </w:r>
      <w:r w:rsidR="00992664" w:rsidRPr="00020424">
        <w:rPr>
          <w:rtl/>
        </w:rPr>
        <w:t xml:space="preserve"> ، ص 302 ، الرقم 4437 ، هو مالك بن حصين السكوني.</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هامش المطبوع عن بعض النسخ </w:t>
      </w:r>
      <w:r w:rsidR="00992664" w:rsidRPr="00757F3F">
        <w:rPr>
          <w:rtl/>
        </w:rPr>
        <w:t>والوافي</w:t>
      </w:r>
      <w:r w:rsidR="00992664" w:rsidRPr="00020424">
        <w:rPr>
          <w:rtl/>
        </w:rPr>
        <w:t xml:space="preserve"> : « ويطيب</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sidRPr="00FD6221">
        <w:rPr>
          <w:rStyle w:val="libFootnoteBoldChar"/>
          <w:rtl/>
        </w:rPr>
        <w:t>والفقيه</w:t>
      </w:r>
      <w:r w:rsidR="00992664" w:rsidRPr="00020424">
        <w:rPr>
          <w:rtl/>
        </w:rPr>
        <w:t xml:space="preserve"> : « ويكتب</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ثواب الأعمال</w:t>
      </w:r>
      <w:r w:rsidR="00992664" w:rsidRPr="00020424">
        <w:rPr>
          <w:rtl/>
        </w:rPr>
        <w:t xml:space="preserve"> ، ص 325 ، ح 1 ، بسنده عن أحمد بن محمّد بن خالد ، عن يعقوب بن يزيد ، عن ابن سنان ، عن مالك بن حصين السلولي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70 ، ح 1754 ، مرسلاً </w:t>
      </w:r>
      <w:r w:rsidR="00757F3F">
        <w:rPr>
          <w:rFonts w:hint="cs"/>
          <w:rtl/>
        </w:rPr>
        <w:t>.</w:t>
      </w:r>
      <w:r w:rsidR="00992664" w:rsidRPr="0012008A">
        <w:rPr>
          <w:rStyle w:val="libFootnoteBoldChar"/>
          <w:rtl/>
        </w:rPr>
        <w:t>الوافي</w:t>
      </w:r>
      <w:r w:rsidR="00992664" w:rsidRPr="00020424">
        <w:rPr>
          <w:rtl/>
        </w:rPr>
        <w:t xml:space="preserve"> ، ج 10 ، ص 428 ، ح 9814 ؛ </w:t>
      </w:r>
      <w:r w:rsidR="00992664" w:rsidRPr="0012008A">
        <w:rPr>
          <w:rStyle w:val="libFootnoteBoldChar"/>
          <w:rtl/>
        </w:rPr>
        <w:t>الوسائل</w:t>
      </w:r>
      <w:r w:rsidR="00992664" w:rsidRPr="00020424">
        <w:rPr>
          <w:rtl/>
        </w:rPr>
        <w:t xml:space="preserve"> ، ج 9 ، ص 436 ، ح 12424.</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 «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عَمَّنْ سَمِعَ أَبَا عَبْدِ اللهِ </w:t>
      </w:r>
      <w:r w:rsidRPr="00005A81">
        <w:rPr>
          <w:rStyle w:val="libAlaemChar"/>
          <w:rtl/>
        </w:rPr>
        <w:t>عليه‌السلام</w:t>
      </w:r>
      <w:r w:rsidRPr="00020424">
        <w:rPr>
          <w:rtl/>
          <w:lang w:bidi="fa-IR"/>
        </w:rPr>
        <w:t xml:space="preserve"> يَقُولُ : « إِيَّاكُمْ وَسُؤَالَ النَّاسِ ؛ فَإِنَّهُ ذُلٌّ فِي </w:t>
      </w:r>
      <w:r w:rsidRPr="00A91B96">
        <w:rPr>
          <w:rStyle w:val="libFootnotenumChar"/>
          <w:rtl/>
        </w:rPr>
        <w:t>(1)</w:t>
      </w:r>
      <w:r w:rsidRPr="00020424">
        <w:rPr>
          <w:rtl/>
          <w:lang w:bidi="fa-IR"/>
        </w:rPr>
        <w:t xml:space="preserve"> الدُّنْيَا ، وَفَقْرٌ تُعَجِّلُونَهُ ، وَحِسَابٌ </w:t>
      </w:r>
      <w:r w:rsidRPr="00A91B96">
        <w:rPr>
          <w:rStyle w:val="libFootnotenumChar"/>
          <w:rtl/>
        </w:rPr>
        <w:t>(2)</w:t>
      </w:r>
      <w:r w:rsidRPr="00020424">
        <w:rPr>
          <w:rtl/>
          <w:lang w:bidi="fa-IR"/>
        </w:rPr>
        <w:t xml:space="preserve"> طَوِيلٌ يَوْمَ الْقِيَامَةِ</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42C8D">
        <w:rPr>
          <w:rtl/>
        </w:rPr>
        <w:t>6078</w:t>
      </w:r>
      <w:r w:rsidRPr="001155DE">
        <w:rPr>
          <w:rStyle w:val="libBold2Char"/>
          <w:rtl/>
        </w:rPr>
        <w:t xml:space="preserve"> / 2.</w:t>
      </w:r>
      <w:r w:rsidRPr="00020424">
        <w:rPr>
          <w:rtl/>
          <w:lang w:bidi="fa-IR"/>
        </w:rPr>
        <w:t xml:space="preserve"> عَلِيُّ بْنُ إِبْرَاهِيمَ </w:t>
      </w:r>
      <w:r w:rsidRPr="00A91B96">
        <w:rPr>
          <w:rStyle w:val="libFootnotenumChar"/>
          <w:rtl/>
        </w:rPr>
        <w:t>(4)</w:t>
      </w:r>
      <w:r w:rsidRPr="00020424">
        <w:rPr>
          <w:rtl/>
          <w:lang w:bidi="fa-IR"/>
        </w:rPr>
        <w:t xml:space="preserve"> ، عَنْ أَبِيهِ ، عَنِ ابْنِ أَبِي عُمَيْرٍ ، عَنْ هِشَامِ بْنِ سَالِمٍ ، عَنْ مُحَمَّدِ بْنِ مُسْلِمٍ ، قَالَ :</w:t>
      </w:r>
    </w:p>
    <w:p w:rsidR="00992664" w:rsidRPr="00020424" w:rsidRDefault="00992664" w:rsidP="00992664">
      <w:pPr>
        <w:pStyle w:val="libNormal"/>
        <w:rPr>
          <w:rtl/>
          <w:lang w:bidi="fa-IR"/>
        </w:rPr>
      </w:pPr>
      <w:r w:rsidRPr="00020424">
        <w:rPr>
          <w:rtl/>
          <w:lang w:bidi="fa-IR"/>
        </w:rPr>
        <w:t xml:space="preserve">قَالَ أَبُو جَعْفَرٍ </w:t>
      </w:r>
      <w:r w:rsidRPr="00005A81">
        <w:rPr>
          <w:rStyle w:val="libAlaemChar"/>
          <w:rtl/>
        </w:rPr>
        <w:t>عليه‌السلام</w:t>
      </w:r>
      <w:r w:rsidRPr="00020424">
        <w:rPr>
          <w:rtl/>
          <w:lang w:bidi="fa-IR"/>
        </w:rPr>
        <w:t xml:space="preserve"> : « يَا مُحَمَّدُ ، لَوْ يَعْلَمُ السَّائِلُ </w:t>
      </w:r>
      <w:r w:rsidRPr="00A91B96">
        <w:rPr>
          <w:rStyle w:val="libFootnotenumChar"/>
          <w:rtl/>
        </w:rPr>
        <w:t>(5)</w:t>
      </w:r>
      <w:r w:rsidRPr="00020424">
        <w:rPr>
          <w:rtl/>
          <w:lang w:bidi="fa-IR"/>
        </w:rPr>
        <w:t xml:space="preserve"> مَا فِي الْمَسْأَلَةِ ، مَا سَأَلَ أَحَدٌ أَحَداً ؛ وَلَوْ يَعْلَمُ الْمُعْطِي مَا فِي الْعَطِيَّةِ ، مَا رَدَّ أَحَدٌ أَحَداً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642C8D">
        <w:rPr>
          <w:rtl/>
        </w:rPr>
        <w:t>6079</w:t>
      </w:r>
      <w:r w:rsidRPr="001155DE">
        <w:rPr>
          <w:rStyle w:val="libBold2Char"/>
          <w:rtl/>
        </w:rPr>
        <w:t xml:space="preserve"> / 3.</w:t>
      </w:r>
      <w:r w:rsidRPr="00020424">
        <w:rPr>
          <w:rtl/>
          <w:lang w:bidi="fa-IR"/>
        </w:rPr>
        <w:t xml:space="preserve"> عِدَّةٌ مِنْ أَصْحَابِنَا ، عَنْ أَحْمَدَ بْنِ أبي عَبْدِ اللهِ </w:t>
      </w:r>
      <w:r w:rsidRPr="00A91B96">
        <w:rPr>
          <w:rStyle w:val="libFootnotenumChar"/>
          <w:rtl/>
        </w:rPr>
        <w:t>(7)</w:t>
      </w:r>
      <w:r w:rsidRPr="00020424">
        <w:rPr>
          <w:rtl/>
          <w:lang w:bidi="fa-IR"/>
        </w:rPr>
        <w:t xml:space="preserve"> ، عَنْ أَبِيهِ ، عَنْ أَحْمَدَ بْنِ النَّضْرِ رَفَعَهُ ، قَالَ :</w:t>
      </w:r>
    </w:p>
    <w:p w:rsidR="00992664" w:rsidRPr="00020424" w:rsidRDefault="00992664" w:rsidP="00992664">
      <w:pPr>
        <w:pStyle w:val="libNormal"/>
        <w:rPr>
          <w:rtl/>
          <w:lang w:bidi="fa-IR"/>
        </w:rPr>
      </w:pPr>
      <w:r w:rsidRPr="00020424">
        <w:rPr>
          <w:rtl/>
          <w:lang w:bidi="fa-IR"/>
        </w:rPr>
        <w:t xml:space="preserve">قَالَ رَسُولُ اللهِ </w:t>
      </w:r>
      <w:r w:rsidR="00B42914" w:rsidRPr="00B42914">
        <w:rPr>
          <w:rStyle w:val="libAlaemChar"/>
          <w:rtl/>
        </w:rPr>
        <w:t>صلى‌الله‌عليه‌وآله‌</w:t>
      </w:r>
      <w:r w:rsidRPr="00020424">
        <w:rPr>
          <w:rtl/>
          <w:lang w:bidi="fa-IR"/>
        </w:rPr>
        <w:t xml:space="preserve"> : « الْأَيْدِي ثَلَاثٌ </w:t>
      </w:r>
      <w:r w:rsidRPr="00A91B96">
        <w:rPr>
          <w:rStyle w:val="libFootnotenumChar"/>
          <w:rtl/>
        </w:rPr>
        <w:t>(8)</w:t>
      </w:r>
      <w:r w:rsidRPr="00020424">
        <w:rPr>
          <w:rtl/>
          <w:lang w:bidi="fa-IR"/>
        </w:rPr>
        <w:t xml:space="preserve"> : يَدُ اللهِ الْعُلْيَا ، وَيَدُ الْمُعْطِي الَّتِي تَلِيهَا ، وَيَدُ الْمُعْطى أَسْفَلُ الْأَيْدِي ، فَاسْتَعِفُّوا عَنِ السُّؤَالِ مَا اسْتَطَعْتُمْ ؛ إِنَّ الْأَرْزَاقَ دُونَهَا حُجُبٌ ، فَمَنْ شَاءَ قَنى حَيَاءَهُ </w:t>
      </w:r>
      <w:r w:rsidRPr="00A91B96">
        <w:rPr>
          <w:rStyle w:val="libFootnotenumChar"/>
          <w:rtl/>
        </w:rPr>
        <w:t>(9)</w:t>
      </w:r>
      <w:r w:rsidRPr="00020424">
        <w:rPr>
          <w:rtl/>
          <w:lang w:bidi="fa-IR"/>
        </w:rPr>
        <w:t xml:space="preserve"> ، وَأَخَذَ رِزْقَهُ ، وَمَنْ شَاءَ هَتَكَ الْحِجَابَ ، وَأَخَذَ رِزْقَهُ ؛ وَالَّذِي‌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757F3F">
        <w:rP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وحسابه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4 ، ص 375 ، ضمن الحديث الطويل 5762 ؛ </w:t>
      </w:r>
      <w:r w:rsidR="00992664" w:rsidRPr="00FD6221">
        <w:rPr>
          <w:rStyle w:val="libFootnoteBoldChar"/>
          <w:rtl/>
        </w:rPr>
        <w:t>والخصال</w:t>
      </w:r>
      <w:r w:rsidR="00992664" w:rsidRPr="00020424">
        <w:rPr>
          <w:rtl/>
        </w:rPr>
        <w:t xml:space="preserve"> ، ص 182 ، باب الثلاثة ، صدر ح 249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70 ، ح 1756 ، مرسلاً </w:t>
      </w:r>
      <w:r w:rsidR="00757F3F">
        <w:rPr>
          <w:rFonts w:hint="cs"/>
          <w:rtl/>
        </w:rPr>
        <w:t>.</w:t>
      </w:r>
      <w:r w:rsidR="00992664" w:rsidRPr="0012008A">
        <w:rPr>
          <w:rStyle w:val="libFootnoteBoldChar"/>
          <w:rtl/>
        </w:rPr>
        <w:t>الوافي</w:t>
      </w:r>
      <w:r w:rsidR="00992664" w:rsidRPr="00020424">
        <w:rPr>
          <w:rtl/>
        </w:rPr>
        <w:t xml:space="preserve"> ، ج 10 ، ص 428 ، ح 9815 ؛ </w:t>
      </w:r>
      <w:r w:rsidR="00992664" w:rsidRPr="0012008A">
        <w:rPr>
          <w:rStyle w:val="libFootnoteBoldChar"/>
          <w:rtl/>
        </w:rPr>
        <w:t>الوسائل</w:t>
      </w:r>
      <w:r w:rsidR="00992664" w:rsidRPr="00020424">
        <w:rPr>
          <w:rtl/>
        </w:rPr>
        <w:t xml:space="preserve"> ، ج 9 ، ص 439 ، ح 12435.</w:t>
      </w:r>
    </w:p>
    <w:tbl>
      <w:tblPr>
        <w:tblStyle w:val="TableGrid"/>
        <w:bidiVisual/>
        <w:tblW w:w="0" w:type="auto"/>
        <w:tblLook w:val="04A0" w:firstRow="1" w:lastRow="0" w:firstColumn="1" w:lastColumn="0" w:noHBand="0" w:noVBand="1"/>
      </w:tblPr>
      <w:tblGrid>
        <w:gridCol w:w="4006"/>
        <w:gridCol w:w="4006"/>
      </w:tblGrid>
      <w:tr w:rsidR="00757F3F" w:rsidTr="00757F3F">
        <w:tc>
          <w:tcPr>
            <w:tcW w:w="4006" w:type="dxa"/>
          </w:tcPr>
          <w:p w:rsidR="00757F3F" w:rsidRDefault="00757F3F" w:rsidP="00992664">
            <w:pPr>
              <w:pStyle w:val="libFootnote0"/>
              <w:rPr>
                <w:rtl/>
              </w:rPr>
            </w:pPr>
            <w:r>
              <w:rPr>
                <w:rtl/>
              </w:rPr>
              <w:t xml:space="preserve">(4). </w:t>
            </w:r>
            <w:r w:rsidRPr="00020424">
              <w:rPr>
                <w:rtl/>
              </w:rPr>
              <w:t>في « بخ ، بر ، بف » :</w:t>
            </w:r>
            <w:r>
              <w:rPr>
                <w:rtl/>
              </w:rPr>
              <w:t xml:space="preserve"> - </w:t>
            </w:r>
            <w:r w:rsidRPr="00020424">
              <w:rPr>
                <w:rtl/>
              </w:rPr>
              <w:t>« بن إبراهيم</w:t>
            </w:r>
            <w:r>
              <w:rPr>
                <w:rtl/>
              </w:rPr>
              <w:t xml:space="preserve"> ».</w:t>
            </w:r>
          </w:p>
        </w:tc>
        <w:tc>
          <w:tcPr>
            <w:tcW w:w="4006" w:type="dxa"/>
          </w:tcPr>
          <w:p w:rsidR="00757F3F" w:rsidRDefault="00757F3F" w:rsidP="00992664">
            <w:pPr>
              <w:pStyle w:val="libFootnote0"/>
              <w:rPr>
                <w:rtl/>
              </w:rPr>
            </w:pPr>
            <w:r>
              <w:rPr>
                <w:rtl/>
              </w:rPr>
              <w:t xml:space="preserve">(5). </w:t>
            </w:r>
            <w:r w:rsidRPr="00020424">
              <w:rPr>
                <w:rtl/>
              </w:rPr>
              <w:t>في « بر ، بف » : « الناس</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757F3F">
        <w:rPr>
          <w:rStyle w:val="libFootnoteBoldChar"/>
          <w:rtl/>
        </w:rPr>
        <w:t>الأمالي للطوسي</w:t>
      </w:r>
      <w:r w:rsidR="00992664" w:rsidRPr="00020424">
        <w:rPr>
          <w:rtl/>
        </w:rPr>
        <w:t xml:space="preserve"> ، ص 664 ، المجلس 35 ، ح 32 ، بسنده عن محمّد بن أبي عمير ، عن هشام بن سالم ، مع زيادة في آخره. </w:t>
      </w:r>
      <w:r w:rsidR="00992664" w:rsidRPr="0012008A">
        <w:rPr>
          <w:rStyle w:val="libFootnoteBoldChar"/>
          <w:rtl/>
        </w:rPr>
        <w:t>الفقيه</w:t>
      </w:r>
      <w:r w:rsidR="00992664" w:rsidRPr="00020424">
        <w:rPr>
          <w:rtl/>
        </w:rPr>
        <w:t xml:space="preserve"> ، ج 2 ، ص 1757 ، مرسلاً </w:t>
      </w:r>
      <w:r w:rsidR="00757F3F">
        <w:rPr>
          <w:rFonts w:hint="cs"/>
          <w:rtl/>
        </w:rPr>
        <w:t>.</w:t>
      </w:r>
      <w:r w:rsidR="00992664" w:rsidRPr="0012008A">
        <w:rPr>
          <w:rStyle w:val="libFootnoteBoldChar"/>
          <w:rtl/>
        </w:rPr>
        <w:t>الوافي</w:t>
      </w:r>
      <w:r w:rsidR="00992664" w:rsidRPr="00020424">
        <w:rPr>
          <w:rtl/>
        </w:rPr>
        <w:t xml:space="preserve"> ، ج 10 ، ص 429 ، ح 9816 ؛ </w:t>
      </w:r>
      <w:r w:rsidR="00992664" w:rsidRPr="0012008A">
        <w:rPr>
          <w:rStyle w:val="libFootnoteBoldChar"/>
          <w:rtl/>
        </w:rPr>
        <w:t>الوسائل</w:t>
      </w:r>
      <w:r w:rsidR="00992664" w:rsidRPr="00020424">
        <w:rPr>
          <w:rtl/>
        </w:rPr>
        <w:t xml:space="preserve"> ، ج 9 ، ص 417 ، ح 12372 ، من قوله : « لو يعلم المعطي » ؛ </w:t>
      </w:r>
      <w:r w:rsidR="00992664" w:rsidRPr="00DE76B9">
        <w:rPr>
          <w:rStyle w:val="libFootnoteBoldChar"/>
          <w:rtl/>
        </w:rPr>
        <w:t>وفيه</w:t>
      </w:r>
      <w:r w:rsidR="00992664" w:rsidRPr="00020424">
        <w:rPr>
          <w:rtl/>
        </w:rPr>
        <w:t xml:space="preserve"> ، ص 438 ، ح 12434 ، إلى قوله : « ما سأل أحد أحداً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هكذا في « ى ، بث ، بح ، بر ، بس ، بف ، جر » وحاشية « ظ</w:t>
      </w:r>
      <w:r w:rsidR="00992664">
        <w:rPr>
          <w:rtl/>
        </w:rPr>
        <w:t xml:space="preserve"> ».</w:t>
      </w:r>
      <w:r w:rsidR="00992664" w:rsidRPr="00020424">
        <w:rPr>
          <w:rtl/>
        </w:rPr>
        <w:t xml:space="preserve"> وفي « ظ ، بخ ، جن » والمطبوع </w:t>
      </w:r>
      <w:r w:rsidR="00992664" w:rsidRPr="00757F3F">
        <w:rPr>
          <w:rtl/>
        </w:rPr>
        <w:t>والوسائل</w:t>
      </w:r>
      <w:r w:rsidR="00992664" w:rsidRPr="00020424">
        <w:rPr>
          <w:rtl/>
        </w:rPr>
        <w:t xml:space="preserve"> : « أحمدبن محمّد بن خالد</w:t>
      </w:r>
      <w:r w:rsidR="00992664">
        <w:rPr>
          <w:rtl/>
        </w:rPr>
        <w:t xml:space="preserve"> ».</w:t>
      </w:r>
      <w:r w:rsidR="00992664" w:rsidRPr="00020424">
        <w:rPr>
          <w:rtl/>
        </w:rPr>
        <w:t xml:space="preserve"> والمراد من كلا العنوانين واحد.</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757F3F">
        <w:rPr>
          <w:rtl/>
        </w:rPr>
        <w:t>الوسائل</w:t>
      </w:r>
      <w:r w:rsidR="00992664" w:rsidRPr="00020424">
        <w:rPr>
          <w:rtl/>
        </w:rPr>
        <w:t xml:space="preserve"> : « ثلاثة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تقول : قَنَوْتُ الغنم وغيرها وقنيتُ واقتنيتُ ، إذا اتّخذتها لنفسك دون البيع. والمراد : ذخرحياءه وألزمه ولم</w:t>
      </w:r>
      <w:r w:rsidR="00757F3F">
        <w:rPr>
          <w:rFonts w:hint="cs"/>
          <w:rtl/>
        </w:rPr>
        <w:t xml:space="preserve"> </w:t>
      </w:r>
      <w:r w:rsidR="00992664" w:rsidRPr="00020424">
        <w:rPr>
          <w:rtl/>
        </w:rPr>
        <w:t xml:space="preserve">‌يفارقه. راجع : </w:t>
      </w:r>
      <w:r w:rsidR="00992664" w:rsidRPr="0012008A">
        <w:rPr>
          <w:rStyle w:val="libFootnoteBoldChar"/>
          <w:rtl/>
        </w:rPr>
        <w:t>الصحاح</w:t>
      </w:r>
      <w:r w:rsidR="00992664" w:rsidRPr="00020424">
        <w:rPr>
          <w:rtl/>
        </w:rPr>
        <w:t xml:space="preserve"> ، ج 6 ، ص 2467 ؛ </w:t>
      </w:r>
      <w:r w:rsidR="00992664" w:rsidRPr="0012008A">
        <w:rPr>
          <w:rStyle w:val="libFootnoteBoldChar"/>
          <w:rtl/>
        </w:rPr>
        <w:t>النهاية</w:t>
      </w:r>
      <w:r w:rsidR="00992664" w:rsidRPr="00020424">
        <w:rPr>
          <w:rtl/>
        </w:rPr>
        <w:t xml:space="preserve"> ، ج 4 ، ص 117 ( قنا ) ؛ </w:t>
      </w:r>
      <w:r w:rsidR="00992664" w:rsidRPr="0012008A">
        <w:rPr>
          <w:rStyle w:val="libFootnoteBoldChar"/>
          <w:rtl/>
        </w:rPr>
        <w:t>الوافي</w:t>
      </w:r>
      <w:r w:rsidR="00992664" w:rsidRPr="00020424">
        <w:rPr>
          <w:rtl/>
        </w:rPr>
        <w:t xml:space="preserve"> ، ج 10 ، ص 429.</w:t>
      </w:r>
    </w:p>
    <w:p w:rsidR="00795177" w:rsidRDefault="00795177" w:rsidP="00795177">
      <w:pPr>
        <w:pStyle w:val="libNormal"/>
        <w:rPr>
          <w:rtl/>
          <w:lang w:bidi="fa-IR"/>
        </w:rPr>
      </w:pPr>
      <w:r>
        <w:rPr>
          <w:rtl/>
          <w:lang w:bidi="fa-IR"/>
        </w:rPr>
        <w:br w:type="page"/>
      </w:r>
    </w:p>
    <w:p w:rsidR="00992664" w:rsidRPr="00020424" w:rsidRDefault="00992664" w:rsidP="00E5646F">
      <w:pPr>
        <w:pStyle w:val="libNormal0"/>
        <w:rPr>
          <w:rtl/>
          <w:lang w:bidi="fa-IR"/>
        </w:rPr>
      </w:pPr>
      <w:r w:rsidRPr="00020424">
        <w:rPr>
          <w:rtl/>
          <w:lang w:bidi="fa-IR"/>
        </w:rPr>
        <w:t xml:space="preserve">نَفْسِي بِيَدِهِ لأَنْ يَأْخُذَ أَحَدُكُمْ حَبْلاً ، ثُمَّ يَدْخُلَ </w:t>
      </w:r>
      <w:r w:rsidRPr="00A91B96">
        <w:rPr>
          <w:rStyle w:val="libFootnotenumChar"/>
          <w:rtl/>
        </w:rPr>
        <w:t>(1)</w:t>
      </w:r>
      <w:r w:rsidRPr="00020424">
        <w:rPr>
          <w:rtl/>
          <w:lang w:bidi="fa-IR"/>
        </w:rPr>
        <w:t xml:space="preserve"> عَرْضَ هذَا </w:t>
      </w:r>
      <w:r w:rsidRPr="00A91B96">
        <w:rPr>
          <w:rStyle w:val="libFootnotenumChar"/>
          <w:rtl/>
        </w:rPr>
        <w:t>(2)</w:t>
      </w:r>
      <w:r w:rsidRPr="00020424">
        <w:rPr>
          <w:rtl/>
          <w:lang w:bidi="fa-IR"/>
        </w:rPr>
        <w:t xml:space="preserve"> الْوَادِي ، فَيَحْتَطِبَ حَتّى لَا يَلْتَقِيَ </w:t>
      </w:r>
      <w:r w:rsidRPr="00A91B96">
        <w:rPr>
          <w:rStyle w:val="libFootnotenumChar"/>
          <w:rtl/>
        </w:rPr>
        <w:t>(3)</w:t>
      </w:r>
      <w:r w:rsidRPr="00020424">
        <w:rPr>
          <w:rtl/>
          <w:lang w:bidi="fa-IR"/>
        </w:rPr>
        <w:t xml:space="preserve"> طَرَفَاهُ </w:t>
      </w:r>
      <w:r w:rsidRPr="00A91B96">
        <w:rPr>
          <w:rStyle w:val="libFootnotenumChar"/>
          <w:rtl/>
        </w:rPr>
        <w:t>(4)</w:t>
      </w:r>
      <w:r w:rsidRPr="00020424">
        <w:rPr>
          <w:rtl/>
          <w:lang w:bidi="fa-IR"/>
        </w:rPr>
        <w:t xml:space="preserve"> ، ثُمَّ يَدْخُلَ بِهِ السُّوقَ ، فَيَبِيعَهُ بِمُدٍّ مِنْ تَمْرٍ ، وَيَأْخُذَ ثُلُثَهُ </w:t>
      </w:r>
      <w:r w:rsidRPr="00A91B96">
        <w:rPr>
          <w:rStyle w:val="libFootnotenumChar"/>
          <w:rtl/>
        </w:rPr>
        <w:t>(5)</w:t>
      </w:r>
      <w:r w:rsidRPr="00020424">
        <w:rPr>
          <w:rtl/>
          <w:lang w:bidi="fa-IR"/>
        </w:rPr>
        <w:t xml:space="preserve"> ، وَيَتَصَدَّقَ بِثُلُثَيْهِ </w:t>
      </w:r>
      <w:r w:rsidRPr="00A91B96">
        <w:rPr>
          <w:rStyle w:val="libFootnotenumChar"/>
          <w:rtl/>
        </w:rPr>
        <w:t>(6)</w:t>
      </w:r>
      <w:r w:rsidRPr="00020424">
        <w:rPr>
          <w:rtl/>
          <w:lang w:bidi="fa-IR"/>
        </w:rPr>
        <w:t xml:space="preserve"> خَيْرٌ لَهُ مِنْ أَنْ يَسْأَلَ النَّاسَ ، أَعْطَوْهُ أَوْ </w:t>
      </w:r>
      <w:r w:rsidRPr="00A91B96">
        <w:rPr>
          <w:rStyle w:val="libFootnotenumChar"/>
          <w:rtl/>
        </w:rPr>
        <w:t>(7)</w:t>
      </w:r>
      <w:r w:rsidRPr="00020424">
        <w:rPr>
          <w:rtl/>
          <w:lang w:bidi="fa-IR"/>
        </w:rPr>
        <w:t xml:space="preserve"> حَرَمُوهُ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42C8D">
        <w:rPr>
          <w:rtl/>
        </w:rPr>
        <w:t>6080</w:t>
      </w:r>
      <w:r w:rsidRPr="001155DE">
        <w:rPr>
          <w:rStyle w:val="libBold2Char"/>
          <w:rtl/>
        </w:rPr>
        <w:t xml:space="preserve"> / 4.</w:t>
      </w:r>
      <w:r w:rsidRPr="00020424">
        <w:rPr>
          <w:rtl/>
          <w:lang w:bidi="fa-IR"/>
        </w:rPr>
        <w:t xml:space="preserve"> مُحَمَّدُ بْنُ يَحْيى ، عَنْ أَحْمَدَ بْنِ مُحَمَّدِ بْنِ عِيسى ، عَنْ عَلِيِّ بْنِ الْحَكَمِ ، عَنْ دَاوُدَ بْنِ النُّعْمَانِ ، عَنْ إِبْرَاهِيمَ بْنِ عُثْمَانَ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أَحَبَّ شَيْئاً لِنَفْسِهِ ، وَأَبْغَضَهُ لِخَلْقِهِ ؛ أَبْغَضَ لِخَلْقِهِ الْمَسْأَلَةَ </w:t>
      </w:r>
      <w:r w:rsidRPr="00A91B96">
        <w:rPr>
          <w:rStyle w:val="libFootnotenumChar"/>
          <w:rtl/>
        </w:rPr>
        <w:t>(9)</w:t>
      </w:r>
      <w:r w:rsidRPr="00020424">
        <w:rPr>
          <w:rtl/>
          <w:lang w:bidi="fa-IR"/>
        </w:rPr>
        <w:t xml:space="preserve"> ، وَأَحَبَّ لِنَفْسِهِ أَنْ يُسْأَلَ ؛ وَلَيْسَ شَيْ‌ءٌ أَحَبَّ </w:t>
      </w:r>
      <w:r w:rsidRPr="00A91B96">
        <w:rPr>
          <w:rStyle w:val="libFootnotenumChar"/>
          <w:rtl/>
        </w:rPr>
        <w:t>(10)</w:t>
      </w:r>
      <w:r w:rsidRPr="00020424">
        <w:rPr>
          <w:rtl/>
          <w:lang w:bidi="fa-IR"/>
        </w:rPr>
        <w:t xml:space="preserve"> إِلَى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مِنْ أَنْ يُسْأَلَ ، فَلَا يَسْتَحْيِي أَحَدُكُمْ أَنْ يَسْأَلَ اللهَ مِنْ فَضْلِهِ وَلَوْ بِشِسْعِ </w:t>
      </w:r>
      <w:r w:rsidRPr="00A91B96">
        <w:rPr>
          <w:rStyle w:val="libFootnotenumChar"/>
          <w:rtl/>
        </w:rPr>
        <w:t>(11)</w:t>
      </w:r>
      <w:r w:rsidRPr="00020424">
        <w:rPr>
          <w:rtl/>
          <w:lang w:bidi="fa-IR"/>
        </w:rPr>
        <w:t xml:space="preserve"> نَعْلٍ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5646F" w:rsidTr="00E5646F">
        <w:tc>
          <w:tcPr>
            <w:tcW w:w="4006" w:type="dxa"/>
          </w:tcPr>
          <w:p w:rsidR="00E5646F" w:rsidRDefault="00E5646F" w:rsidP="00992664">
            <w:pPr>
              <w:pStyle w:val="libFootnote0"/>
              <w:rPr>
                <w:rtl/>
              </w:rPr>
            </w:pPr>
            <w:r>
              <w:rPr>
                <w:rtl/>
              </w:rPr>
              <w:t xml:space="preserve">(1). </w:t>
            </w:r>
            <w:r w:rsidRPr="00020424">
              <w:rPr>
                <w:rtl/>
              </w:rPr>
              <w:t xml:space="preserve">في « بر » </w:t>
            </w:r>
            <w:r w:rsidRPr="00E5646F">
              <w:rPr>
                <w:rtl/>
              </w:rPr>
              <w:t>والوافي</w:t>
            </w:r>
            <w:r w:rsidRPr="00020424">
              <w:rPr>
                <w:rtl/>
              </w:rPr>
              <w:t xml:space="preserve"> : « يأخذ</w:t>
            </w:r>
            <w:r>
              <w:rPr>
                <w:rtl/>
              </w:rPr>
              <w:t xml:space="preserve"> ».</w:t>
            </w:r>
          </w:p>
        </w:tc>
        <w:tc>
          <w:tcPr>
            <w:tcW w:w="4006" w:type="dxa"/>
          </w:tcPr>
          <w:p w:rsidR="00E5646F" w:rsidRDefault="00E5646F" w:rsidP="00992664">
            <w:pPr>
              <w:pStyle w:val="libFootnote0"/>
              <w:rPr>
                <w:rtl/>
              </w:rPr>
            </w:pPr>
            <w:r>
              <w:rPr>
                <w:rtl/>
              </w:rPr>
              <w:t xml:space="preserve">(2). </w:t>
            </w:r>
            <w:r w:rsidRPr="00020424">
              <w:rPr>
                <w:rtl/>
              </w:rPr>
              <w:t xml:space="preserve">في « بخ ، بر » </w:t>
            </w:r>
            <w:r w:rsidRPr="00E5646F">
              <w:rPr>
                <w:rtl/>
              </w:rPr>
              <w:t>والوافي</w:t>
            </w:r>
            <w:r w:rsidRPr="00020424">
              <w:rPr>
                <w:rtl/>
              </w:rPr>
              <w:t xml:space="preserve"> :</w:t>
            </w:r>
            <w:r>
              <w:rPr>
                <w:rtl/>
              </w:rPr>
              <w:t xml:space="preserve"> - </w:t>
            </w:r>
            <w:r w:rsidRPr="00020424">
              <w:rPr>
                <w:rtl/>
              </w:rPr>
              <w:t>« هذا</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بح ، جن » : « لا تلتقي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عدم التقاء طرفي الحبل كناية عن كثرة الحطب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5646F" w:rsidTr="00E5646F">
        <w:tc>
          <w:tcPr>
            <w:tcW w:w="4006" w:type="dxa"/>
          </w:tcPr>
          <w:p w:rsidR="00E5646F" w:rsidRDefault="00E5646F" w:rsidP="00992664">
            <w:pPr>
              <w:pStyle w:val="libFootnote0"/>
              <w:rPr>
                <w:rtl/>
              </w:rPr>
            </w:pPr>
            <w:r>
              <w:rPr>
                <w:rtl/>
              </w:rPr>
              <w:t xml:space="preserve">(5). </w:t>
            </w:r>
            <w:r w:rsidRPr="00020424">
              <w:rPr>
                <w:rtl/>
              </w:rPr>
              <w:t>في « بف » وحاشية « بث » : « ثلثيه</w:t>
            </w:r>
            <w:r>
              <w:rPr>
                <w:rtl/>
              </w:rPr>
              <w:t xml:space="preserve"> ».</w:t>
            </w:r>
          </w:p>
        </w:tc>
        <w:tc>
          <w:tcPr>
            <w:tcW w:w="4006" w:type="dxa"/>
          </w:tcPr>
          <w:p w:rsidR="00E5646F" w:rsidRDefault="00E5646F" w:rsidP="00992664">
            <w:pPr>
              <w:pStyle w:val="libFootnote0"/>
              <w:rPr>
                <w:rtl/>
              </w:rPr>
            </w:pPr>
            <w:r>
              <w:rPr>
                <w:rtl/>
              </w:rPr>
              <w:t>(6). في «ى،بخ،بف» وحاشية «بث</w:t>
            </w:r>
            <w:r w:rsidRPr="00020424">
              <w:rPr>
                <w:rtl/>
              </w:rPr>
              <w:t>» : « بثلثه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بخ ، بر ، بف » : « أم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A722B1">
        <w:rPr>
          <w:rStyle w:val="libFootnoteBoldChar"/>
          <w:rtl/>
        </w:rPr>
        <w:t>الخصال</w:t>
      </w:r>
      <w:r w:rsidR="00992664" w:rsidRPr="00020424">
        <w:rPr>
          <w:rtl/>
        </w:rPr>
        <w:t xml:space="preserve"> ، ص 133 ، باب الثلاثة ، ح 144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إلى قوله : « يد المعطي أسفل الأيدي » مع اختلاف يسير وزيادة في آخره </w:t>
      </w:r>
      <w:r w:rsidR="00E5646F">
        <w:rPr>
          <w:rFonts w:hint="cs"/>
          <w:rtl/>
        </w:rPr>
        <w:t>.</w:t>
      </w:r>
      <w:r w:rsidR="00992664" w:rsidRPr="0012008A">
        <w:rPr>
          <w:rStyle w:val="libFootnoteBoldChar"/>
          <w:rtl/>
        </w:rPr>
        <w:t>الوافي</w:t>
      </w:r>
      <w:r w:rsidR="00992664" w:rsidRPr="00020424">
        <w:rPr>
          <w:rtl/>
        </w:rPr>
        <w:t xml:space="preserve"> ، ج 10 ، ص 429 ، ح 9817 ؛ </w:t>
      </w:r>
      <w:r w:rsidR="00992664" w:rsidRPr="0012008A">
        <w:rPr>
          <w:rStyle w:val="libFootnoteBoldChar"/>
          <w:rtl/>
        </w:rPr>
        <w:t>الوسائل</w:t>
      </w:r>
      <w:r w:rsidR="00992664" w:rsidRPr="00020424">
        <w:rPr>
          <w:rtl/>
        </w:rPr>
        <w:t xml:space="preserve"> ، ج 9 ، ص 439 ، ح 12436.</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أبغض لخلقه المسألة ؛ يعنى أبغض لهم أن يسألوا ، وذلك لأنّ مسؤوليّتهم تمنع مسؤوليّته</w:t>
      </w:r>
      <w:r w:rsidR="00E5646F">
        <w:rPr>
          <w:rFonts w:hint="cs"/>
          <w:rtl/>
        </w:rPr>
        <w:t xml:space="preserve"> </w:t>
      </w:r>
      <w:r w:rsidR="00992664" w:rsidRPr="00020424">
        <w:rPr>
          <w:rtl/>
        </w:rPr>
        <w:t>‌سبحانه ، وهو أحبّ المسؤوليّة لنفسه فأبغضها لهم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 « أحسن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ى ، بح ، بخ ، بس » </w:t>
      </w:r>
      <w:r w:rsidR="00992664" w:rsidRPr="00E5646F">
        <w:rPr>
          <w:rtl/>
        </w:rPr>
        <w:t>والوافي والوسائل والفقيه</w:t>
      </w:r>
      <w:r w:rsidR="00992664" w:rsidRPr="00020424">
        <w:rPr>
          <w:rtl/>
        </w:rPr>
        <w:t xml:space="preserve"> : « شسع</w:t>
      </w:r>
      <w:r w:rsidR="00992664">
        <w:rPr>
          <w:rtl/>
        </w:rPr>
        <w:t xml:space="preserve"> ».</w:t>
      </w:r>
      <w:r w:rsidR="00992664" w:rsidRPr="00020424">
        <w:rPr>
          <w:rtl/>
        </w:rPr>
        <w:t xml:space="preserve"> وفي </w:t>
      </w:r>
      <w:r w:rsidR="00992664" w:rsidRPr="0012008A">
        <w:rPr>
          <w:rStyle w:val="libFootnoteBoldChar"/>
          <w:rtl/>
        </w:rPr>
        <w:t>النهاية</w:t>
      </w:r>
      <w:r w:rsidR="00992664" w:rsidRPr="00020424">
        <w:rPr>
          <w:rtl/>
        </w:rPr>
        <w:t xml:space="preserve"> : « الشسع : أحد سيور النعل ، وهو الذي يدخل بين الإصبعين ويدخل طرفه في الثقب الذي في صدر النعل المشدود في الزمام. والزمام : السَير الذي يعقد فيه الشسع</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2 ، ص 472 ( شسع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بف » </w:t>
      </w:r>
      <w:r w:rsidR="00992664" w:rsidRPr="00E5646F">
        <w:rPr>
          <w:rtl/>
        </w:rPr>
        <w:t>والوافي</w:t>
      </w:r>
      <w:r w:rsidR="00992664" w:rsidRPr="00020424">
        <w:rPr>
          <w:rtl/>
        </w:rPr>
        <w:t xml:space="preserve"> : « نعله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الدعاء ، باب الإلحاح في الدعاء والتلبّث ، ح 3106 ، بسند آخر عن أبي عبدالله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DE76B9">
        <w:rPr>
          <w:rStyle w:val="libFootnoteBoldChar"/>
          <w:rtl/>
        </w:rPr>
        <w:t>وفيه</w:t>
      </w:r>
      <w:r w:rsidR="00992664" w:rsidRPr="00020424">
        <w:rPr>
          <w:rtl/>
        </w:rPr>
        <w:t xml:space="preserve"> ، باب فضل الدعاء والحثّ عليه ، ح 3063 بسند آخر عن </w:t>
      </w:r>
      <w:r w:rsidR="00E5646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42C8D">
        <w:rPr>
          <w:rtl/>
        </w:rPr>
        <w:t>6081</w:t>
      </w:r>
      <w:r w:rsidRPr="001155DE">
        <w:rPr>
          <w:rStyle w:val="libBold2Char"/>
          <w:rtl/>
        </w:rPr>
        <w:t xml:space="preserve"> / 5.</w:t>
      </w:r>
      <w:r w:rsidRPr="00020424">
        <w:rPr>
          <w:rtl/>
          <w:lang w:bidi="fa-IR"/>
        </w:rPr>
        <w:t xml:space="preserve"> عَلِيُّ بْنُ إِبْرَاهِيمَ ، عَنْ أَبِيهِ ، عَنِ ابْنِ أَبِي عُمَيْرٍ ، عَنْ هِشَامِ بْنِ سَالِمٍ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جَاءَتْ فَخِذٌ </w:t>
      </w:r>
      <w:r w:rsidRPr="00A91B96">
        <w:rPr>
          <w:rStyle w:val="libFootnotenumChar"/>
          <w:rtl/>
        </w:rPr>
        <w:t>(1)</w:t>
      </w:r>
      <w:r w:rsidRPr="00020424">
        <w:rPr>
          <w:rtl/>
          <w:lang w:bidi="fa-IR"/>
        </w:rPr>
        <w:t xml:space="preserve"> مِنَ الْأَنْصَارِ إِلى رَسُولِ اللهِ </w:t>
      </w:r>
      <w:r w:rsidR="00B42914" w:rsidRPr="00B42914">
        <w:rPr>
          <w:rStyle w:val="libAlaemChar"/>
          <w:rtl/>
        </w:rPr>
        <w:t>صلى‌الله‌عليه‌وآله‌</w:t>
      </w:r>
      <w:r w:rsidRPr="00020424">
        <w:rPr>
          <w:rtl/>
          <w:lang w:bidi="fa-IR"/>
        </w:rPr>
        <w:t xml:space="preserve"> ، فَسَلَّمُوا عَلَيْهِ ، فَرَدَّ عَلَيْهِمُ السَّلَامَ ، فَقَالُوا : يَا رَسُولَ اللهِ ، لَنَا إِلَيْكَ حَاجَةٌ ، فَقَالَ : هَاتُوا حَاجَتَكُمْ ، قَالُوا </w:t>
      </w:r>
      <w:r w:rsidRPr="00A91B96">
        <w:rPr>
          <w:rStyle w:val="libFootnotenumChar"/>
          <w:rtl/>
        </w:rPr>
        <w:t>(2)</w:t>
      </w:r>
      <w:r w:rsidRPr="00020424">
        <w:rPr>
          <w:rtl/>
          <w:lang w:bidi="fa-IR"/>
        </w:rPr>
        <w:t xml:space="preserve"> : إِنَّهَا حَاجَةٌ عَظِيمَةٌ ، فَقَالَ : هَاتُوهَا </w:t>
      </w:r>
      <w:r w:rsidRPr="00A91B96">
        <w:rPr>
          <w:rStyle w:val="libFootnotenumChar"/>
          <w:rtl/>
        </w:rPr>
        <w:t>(3)</w:t>
      </w:r>
      <w:r w:rsidRPr="00020424">
        <w:rPr>
          <w:rtl/>
          <w:lang w:bidi="fa-IR"/>
        </w:rPr>
        <w:t xml:space="preserve"> ، مَا هِيَ</w:t>
      </w:r>
      <w:r>
        <w:rPr>
          <w:rtl/>
          <w:lang w:bidi="fa-IR"/>
        </w:rPr>
        <w:t>؟</w:t>
      </w:r>
      <w:r w:rsidRPr="00020424">
        <w:rPr>
          <w:rtl/>
          <w:lang w:bidi="fa-IR"/>
        </w:rPr>
        <w:t xml:space="preserve"> قَالُوا </w:t>
      </w:r>
      <w:r w:rsidRPr="00A91B96">
        <w:rPr>
          <w:rStyle w:val="libFootnotenumChar"/>
          <w:rtl/>
        </w:rPr>
        <w:t>(4)</w:t>
      </w:r>
      <w:r w:rsidRPr="00020424">
        <w:rPr>
          <w:rtl/>
          <w:lang w:bidi="fa-IR"/>
        </w:rPr>
        <w:t xml:space="preserve"> : تَضْمَنُ لَنَا عَلى رَبِّكَ الْجَنَّةَ</w:t>
      </w:r>
      <w:r>
        <w:rPr>
          <w:rtl/>
          <w:lang w:bidi="fa-IR"/>
        </w:rPr>
        <w:t>».</w:t>
      </w:r>
    </w:p>
    <w:p w:rsidR="00992664" w:rsidRPr="00020424" w:rsidRDefault="00992664" w:rsidP="00992664">
      <w:pPr>
        <w:pStyle w:val="libNormal"/>
        <w:rPr>
          <w:rtl/>
          <w:lang w:bidi="fa-IR"/>
        </w:rPr>
      </w:pPr>
      <w:r w:rsidRPr="00020424">
        <w:rPr>
          <w:rtl/>
          <w:lang w:bidi="fa-IR"/>
        </w:rPr>
        <w:t xml:space="preserve">قَالَ : « فَنَكَسَ رَسُولُ اللهِ </w:t>
      </w:r>
      <w:r w:rsidR="00B42914" w:rsidRPr="00B42914">
        <w:rPr>
          <w:rStyle w:val="libAlaemChar"/>
          <w:rtl/>
        </w:rPr>
        <w:t>صلى‌الله‌عليه‌وآله‌</w:t>
      </w:r>
      <w:r w:rsidRPr="00020424">
        <w:rPr>
          <w:rtl/>
          <w:lang w:bidi="fa-IR"/>
        </w:rPr>
        <w:t xml:space="preserve"> </w:t>
      </w:r>
      <w:r w:rsidRPr="00A91B96">
        <w:rPr>
          <w:rStyle w:val="libFootnotenumChar"/>
          <w:rtl/>
        </w:rPr>
        <w:t>(5)</w:t>
      </w:r>
      <w:r w:rsidRPr="00020424">
        <w:rPr>
          <w:rtl/>
          <w:lang w:bidi="fa-IR"/>
        </w:rPr>
        <w:t xml:space="preserve"> رَأْسَهُ </w:t>
      </w:r>
      <w:r w:rsidRPr="00A91B96">
        <w:rPr>
          <w:rStyle w:val="libFootnotenumChar"/>
          <w:rtl/>
        </w:rPr>
        <w:t>(6)</w:t>
      </w:r>
      <w:r w:rsidRPr="00020424">
        <w:rPr>
          <w:rtl/>
          <w:lang w:bidi="fa-IR"/>
        </w:rPr>
        <w:t xml:space="preserve"> ، ثُمَّ نَكَتَ </w:t>
      </w:r>
      <w:r w:rsidRPr="00A91B96">
        <w:rPr>
          <w:rStyle w:val="libFootnotenumChar"/>
          <w:rtl/>
        </w:rPr>
        <w:t>(7)</w:t>
      </w:r>
      <w:r w:rsidRPr="00020424">
        <w:rPr>
          <w:rtl/>
          <w:lang w:bidi="fa-IR"/>
        </w:rPr>
        <w:t xml:space="preserve"> فِي الْأَرْضِ ، ثُمَّ رَفَعَ رَأْسَهُ ، فَقَالَ :</w:t>
      </w:r>
      <w:r>
        <w:rPr>
          <w:rFonts w:hint="cs"/>
          <w:rtl/>
          <w:lang w:bidi="fa-IR"/>
        </w:rPr>
        <w:t xml:space="preserve"> </w:t>
      </w:r>
      <w:r w:rsidRPr="00020424">
        <w:rPr>
          <w:rtl/>
          <w:lang w:bidi="fa-IR"/>
        </w:rPr>
        <w:t xml:space="preserve">أَفْعَلُ ذلِكَ </w:t>
      </w:r>
      <w:r w:rsidRPr="00A91B96">
        <w:rPr>
          <w:rStyle w:val="libFootnotenumChar"/>
          <w:rtl/>
        </w:rPr>
        <w:t>(8)</w:t>
      </w:r>
      <w:r w:rsidRPr="00020424">
        <w:rPr>
          <w:rtl/>
          <w:lang w:bidi="fa-IR"/>
        </w:rPr>
        <w:t xml:space="preserve"> بِكُمْ عَلى أَنْ لَاتَسْأَلُوا أَحَداً شَيْئاً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فَكَانَ </w:t>
      </w:r>
      <w:r w:rsidRPr="00A91B96">
        <w:rPr>
          <w:rStyle w:val="libFootnotenumChar"/>
          <w:rtl/>
        </w:rPr>
        <w:t>(9)</w:t>
      </w:r>
      <w:r w:rsidRPr="00020424">
        <w:rPr>
          <w:rtl/>
          <w:lang w:bidi="fa-IR"/>
        </w:rPr>
        <w:t xml:space="preserve"> الرَّجُلُ مِنْهُمْ </w:t>
      </w:r>
      <w:r w:rsidRPr="00A91B96">
        <w:rPr>
          <w:rStyle w:val="libFootnotenumChar"/>
          <w:rtl/>
        </w:rPr>
        <w:t>(10)</w:t>
      </w:r>
      <w:r w:rsidRPr="00020424">
        <w:rPr>
          <w:rtl/>
          <w:lang w:bidi="fa-IR"/>
        </w:rPr>
        <w:t xml:space="preserve"> يَكُونُ فِي السَّفَرِ ، فَيَسْقُطُ سَوْطُهُ ، فَيَكْرَهُ أَنْ يَقُولَ لِإِنْسَانٍ : نَاوِلْنِيهِ ؛ فِرَاراً مِنَ الْمَسْأَلَةِ ، فَيَنْزِلُ </w:t>
      </w:r>
      <w:r w:rsidRPr="00A91B96">
        <w:rPr>
          <w:rStyle w:val="libFootnotenumChar"/>
          <w:rtl/>
        </w:rPr>
        <w:t>(11)</w:t>
      </w:r>
      <w:r w:rsidRPr="00020424">
        <w:rPr>
          <w:rtl/>
          <w:lang w:bidi="fa-IR"/>
        </w:rPr>
        <w:t xml:space="preserve"> فَيَأْخُذُهُ ، وَيَكُونُ عَلَى الْمَائِدَةِ ، فَيَكُونُ </w:t>
      </w:r>
      <w:r w:rsidRPr="00A91B96">
        <w:rPr>
          <w:rStyle w:val="libFootnotenumChar"/>
          <w:rtl/>
        </w:rPr>
        <w:t>(12)</w:t>
      </w:r>
      <w:r w:rsidRPr="00020424">
        <w:rPr>
          <w:rtl/>
          <w:lang w:bidi="fa-IR"/>
        </w:rPr>
        <w:t xml:space="preserve"> بَعْضُ الْجُلَسَاءِ أَقْرَبَ إِلَى الْمَاءِ مِنْهُ ، فَلَا يَقُولُ : نَاوِلْنِي ، حَتّى يَقُومَ فَيَشْرَبَ</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26659B" w:rsidP="00992664">
      <w:pPr>
        <w:pStyle w:val="libFootnote0"/>
        <w:rPr>
          <w:rtl/>
          <w:lang w:bidi="fa-IR"/>
        </w:rPr>
      </w:pPr>
      <w:r>
        <w:rPr>
          <w:rFonts w:hint="cs"/>
          <w:rtl/>
        </w:rPr>
        <w:t xml:space="preserve">= </w:t>
      </w:r>
      <w:r w:rsidR="00992664" w:rsidRPr="00020424">
        <w:rPr>
          <w:rtl/>
        </w:rPr>
        <w:t>أبي جعفر ، مع اختلاف ، وفيهما إلى قوله : « أحبّ إلى الله عزّوجلّ من أن يسأل</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70 ، ح 1755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10 ، ص 429 ، ح 9818 ؛ </w:t>
      </w:r>
      <w:r w:rsidR="00992664" w:rsidRPr="0012008A">
        <w:rPr>
          <w:rStyle w:val="libFootnoteBoldChar"/>
          <w:rtl/>
        </w:rPr>
        <w:t>الوسائل</w:t>
      </w:r>
      <w:r w:rsidR="00992664" w:rsidRPr="00020424">
        <w:rPr>
          <w:rtl/>
        </w:rPr>
        <w:t xml:space="preserve"> ، ج 7 ، ص 32 ، ح 8633.</w:t>
      </w:r>
    </w:p>
    <w:p w:rsidR="00992664" w:rsidRPr="00020424" w:rsidRDefault="00795177" w:rsidP="0026659B">
      <w:pPr>
        <w:pStyle w:val="libFootnote0"/>
        <w:rPr>
          <w:rtl/>
          <w:lang w:bidi="fa-IR"/>
        </w:rPr>
      </w:pPr>
      <w:r>
        <w:rPr>
          <w:rtl/>
        </w:rPr>
        <w:t>(1).</w:t>
      </w:r>
      <w:r w:rsidR="0014403D">
        <w:rPr>
          <w:rtl/>
        </w:rPr>
        <w:t xml:space="preserve"> </w:t>
      </w:r>
      <w:r w:rsidR="00992664" w:rsidRPr="00020424">
        <w:rPr>
          <w:rtl/>
        </w:rPr>
        <w:t>قال الجوهري : « الفَخِذ في العشائر : أقلّ من البطن ، أوّلها الشَعْب ، ثمّ القبيلة ثمّ الفصيلة ، ثمّ العمارة ، ثمّ‌البطن ، ثمّ الفخذ</w:t>
      </w:r>
      <w:r w:rsidR="00992664">
        <w:rPr>
          <w:rtl/>
        </w:rPr>
        <w:t xml:space="preserve"> ».</w:t>
      </w:r>
      <w:r w:rsidR="00992664" w:rsidRPr="00020424">
        <w:rPr>
          <w:rtl/>
        </w:rPr>
        <w:t xml:space="preserve"> وقيل : هو دون القبيلة وفوق البطن ، وهو مذكّر ، لأنّه بمعنى النفر. راجع : </w:t>
      </w:r>
      <w:r w:rsidR="00992664" w:rsidRPr="0012008A">
        <w:rPr>
          <w:rStyle w:val="libFootnoteBoldChar"/>
          <w:rtl/>
        </w:rPr>
        <w:t>الصحاح</w:t>
      </w:r>
      <w:r w:rsidR="00992664" w:rsidRPr="00020424">
        <w:rPr>
          <w:rtl/>
        </w:rPr>
        <w:t xml:space="preserve"> ، ج 2 ، ص 568 ؛ </w:t>
      </w:r>
      <w:r w:rsidR="00992664" w:rsidRPr="00A722B1">
        <w:rPr>
          <w:rStyle w:val="libFootnoteBoldChar"/>
          <w:rtl/>
        </w:rPr>
        <w:t>المصباح المنير</w:t>
      </w:r>
      <w:r w:rsidR="00992664" w:rsidRPr="00020424">
        <w:rPr>
          <w:rtl/>
        </w:rPr>
        <w:t xml:space="preserve"> ، ص 464 ( فخذ )</w:t>
      </w:r>
      <w:r w:rsidR="00992664">
        <w:rPr>
          <w:rtl/>
        </w:rPr>
        <w:t>.</w:t>
      </w:r>
      <w:r w:rsidR="00A90FD5">
        <w:rPr>
          <w:rFonts w:hint="cs"/>
          <w:rtl/>
        </w:rPr>
        <w:t xml:space="preserve">      </w:t>
      </w:r>
      <w:r w:rsidR="0026659B">
        <w:rPr>
          <w:rFonts w:hint="cs"/>
          <w:rtl/>
        </w:rPr>
        <w:t xml:space="preserve">      </w:t>
      </w:r>
      <w:r>
        <w:rPr>
          <w:rtl/>
        </w:rPr>
        <w:t>(2).</w:t>
      </w:r>
      <w:r w:rsidR="0014403D">
        <w:rPr>
          <w:rtl/>
        </w:rPr>
        <w:t xml:space="preserve"> </w:t>
      </w:r>
      <w:r w:rsidR="00992664" w:rsidRPr="00020424">
        <w:rPr>
          <w:rtl/>
        </w:rPr>
        <w:t>في « بث ، بخ ، بر ، بف » : « فقالوا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6659B" w:rsidTr="0026659B">
        <w:tc>
          <w:tcPr>
            <w:tcW w:w="4006" w:type="dxa"/>
          </w:tcPr>
          <w:p w:rsidR="0026659B" w:rsidRDefault="0026659B" w:rsidP="00992664">
            <w:pPr>
              <w:pStyle w:val="libFootnote0"/>
              <w:rPr>
                <w:rtl/>
              </w:rPr>
            </w:pPr>
            <w:r>
              <w:rPr>
                <w:rtl/>
              </w:rPr>
              <w:t xml:space="preserve">(3). </w:t>
            </w:r>
            <w:r w:rsidRPr="00020424">
              <w:rPr>
                <w:rtl/>
              </w:rPr>
              <w:t>في « بخ ، بر ، بف » : « هاتوا</w:t>
            </w:r>
            <w:r>
              <w:rPr>
                <w:rtl/>
              </w:rPr>
              <w:t xml:space="preserve"> ».</w:t>
            </w:r>
          </w:p>
        </w:tc>
        <w:tc>
          <w:tcPr>
            <w:tcW w:w="4006" w:type="dxa"/>
          </w:tcPr>
          <w:p w:rsidR="0026659B" w:rsidRDefault="0026659B" w:rsidP="00992664">
            <w:pPr>
              <w:pStyle w:val="libFootnote0"/>
              <w:rPr>
                <w:rtl/>
              </w:rPr>
            </w:pPr>
            <w:r>
              <w:rPr>
                <w:rtl/>
              </w:rPr>
              <w:t xml:space="preserve">(4). </w:t>
            </w:r>
            <w:r w:rsidRPr="00020424">
              <w:rPr>
                <w:rtl/>
              </w:rPr>
              <w:t>في « بث » : « فقالوا</w:t>
            </w:r>
            <w:r>
              <w:rPr>
                <w:rtl/>
              </w:rPr>
              <w:t xml:space="preserve"> ».</w:t>
            </w:r>
          </w:p>
        </w:tc>
      </w:tr>
      <w:tr w:rsidR="0026659B" w:rsidTr="0026659B">
        <w:tc>
          <w:tcPr>
            <w:tcW w:w="4006" w:type="dxa"/>
          </w:tcPr>
          <w:p w:rsidR="0026659B" w:rsidRDefault="0026659B" w:rsidP="00992664">
            <w:pPr>
              <w:pStyle w:val="libFootnote0"/>
              <w:rPr>
                <w:rtl/>
              </w:rPr>
            </w:pPr>
            <w:r>
              <w:rPr>
                <w:rtl/>
              </w:rPr>
              <w:t xml:space="preserve">(5). </w:t>
            </w:r>
            <w:r w:rsidRPr="00020424">
              <w:rPr>
                <w:rtl/>
              </w:rPr>
              <w:t xml:space="preserve">في « بر ، بف » </w:t>
            </w:r>
            <w:r w:rsidRPr="00FD6221">
              <w:rPr>
                <w:rStyle w:val="libFootnoteBoldChar"/>
                <w:rtl/>
              </w:rPr>
              <w:t>والفقيه</w:t>
            </w:r>
            <w:r w:rsidRPr="00020424">
              <w:rPr>
                <w:rtl/>
              </w:rPr>
              <w:t xml:space="preserve"> :</w:t>
            </w:r>
            <w:r>
              <w:rPr>
                <w:rtl/>
              </w:rPr>
              <w:t xml:space="preserve"> - </w:t>
            </w:r>
            <w:r w:rsidRPr="00020424">
              <w:rPr>
                <w:rtl/>
              </w:rPr>
              <w:t>« رسول الله</w:t>
            </w:r>
            <w:r>
              <w:rPr>
                <w:rtl/>
              </w:rPr>
              <w:t xml:space="preserve"> ».</w:t>
            </w:r>
          </w:p>
        </w:tc>
        <w:tc>
          <w:tcPr>
            <w:tcW w:w="4006" w:type="dxa"/>
          </w:tcPr>
          <w:p w:rsidR="0026659B" w:rsidRDefault="0026659B" w:rsidP="00992664">
            <w:pPr>
              <w:pStyle w:val="libFootnote0"/>
              <w:rPr>
                <w:rtl/>
              </w:rPr>
            </w:pPr>
            <w:r>
              <w:rPr>
                <w:rtl/>
              </w:rPr>
              <w:t xml:space="preserve">(6). </w:t>
            </w:r>
            <w:r w:rsidRPr="00020424">
              <w:rPr>
                <w:rtl/>
              </w:rPr>
              <w:t>في « ى ، بح ، بخ » :</w:t>
            </w:r>
            <w:r>
              <w:rPr>
                <w:rtl/>
              </w:rPr>
              <w:t xml:space="preserve"> - </w:t>
            </w:r>
            <w:r w:rsidRPr="00020424">
              <w:rPr>
                <w:rtl/>
              </w:rPr>
              <w:t>« رأسه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بس » : « ثمّ نكث</w:t>
      </w:r>
      <w:r w:rsidR="00992664">
        <w:rPr>
          <w:rtl/>
        </w:rPr>
        <w:t xml:space="preserve"> ».</w:t>
      </w:r>
      <w:r w:rsidR="00992664" w:rsidRPr="00020424">
        <w:rPr>
          <w:rtl/>
        </w:rPr>
        <w:t xml:space="preserve"> وفي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ونكت</w:t>
      </w:r>
      <w:r w:rsidR="00992664">
        <w:rPr>
          <w:rtl/>
        </w:rPr>
        <w:t xml:space="preserve"> ».</w:t>
      </w:r>
      <w:r w:rsidR="00992664" w:rsidRPr="00020424">
        <w:rPr>
          <w:rtl/>
        </w:rPr>
        <w:t xml:space="preserve"> والنَكتُ : هو أن تضرب في الأرض بقضيب فتؤثّرفيها. </w:t>
      </w:r>
      <w:r w:rsidR="00992664" w:rsidRPr="00A722B1">
        <w:rPr>
          <w:rStyle w:val="libFootnoteBoldChar"/>
          <w:rtl/>
        </w:rPr>
        <w:t>لسان العرب</w:t>
      </w:r>
      <w:r w:rsidR="00992664" w:rsidRPr="00020424">
        <w:rPr>
          <w:rtl/>
        </w:rPr>
        <w:t xml:space="preserve"> ، ج 2 ، ص 100</w:t>
      </w:r>
      <w:r w:rsidR="00992664">
        <w:rPr>
          <w:rtl/>
        </w:rPr>
        <w:t xml:space="preserve"> </w:t>
      </w:r>
      <w:r w:rsidR="009B673F">
        <w:rPr>
          <w:rtl/>
        </w:rPr>
        <w:t>-</w:t>
      </w:r>
      <w:r w:rsidR="00992664">
        <w:rPr>
          <w:rtl/>
        </w:rPr>
        <w:t xml:space="preserve"> </w:t>
      </w:r>
      <w:r w:rsidR="00992664" w:rsidRPr="00020424">
        <w:rPr>
          <w:rtl/>
        </w:rPr>
        <w:t>101 ( نكت )</w:t>
      </w:r>
      <w:r w:rsidR="00992664">
        <w:rPr>
          <w:rtl/>
        </w:rPr>
        <w:t>.</w:t>
      </w:r>
    </w:p>
    <w:tbl>
      <w:tblPr>
        <w:tblStyle w:val="TableGrid"/>
        <w:bidiVisual/>
        <w:tblW w:w="0" w:type="auto"/>
        <w:tblLook w:val="04A0" w:firstRow="1" w:lastRow="0" w:firstColumn="1" w:lastColumn="0" w:noHBand="0" w:noVBand="1"/>
      </w:tblPr>
      <w:tblGrid>
        <w:gridCol w:w="4006"/>
        <w:gridCol w:w="4006"/>
      </w:tblGrid>
      <w:tr w:rsidR="00031327" w:rsidTr="00031327">
        <w:tc>
          <w:tcPr>
            <w:tcW w:w="4006" w:type="dxa"/>
          </w:tcPr>
          <w:p w:rsidR="00031327" w:rsidRDefault="00031327" w:rsidP="00992664">
            <w:pPr>
              <w:pStyle w:val="libFootnote0"/>
              <w:rPr>
                <w:rtl/>
              </w:rPr>
            </w:pPr>
            <w:r>
              <w:rPr>
                <w:rtl/>
              </w:rPr>
              <w:t xml:space="preserve">(8). </w:t>
            </w:r>
            <w:r w:rsidRPr="00020424">
              <w:rPr>
                <w:rtl/>
              </w:rPr>
              <w:t>في « بخ » : « ذاك</w:t>
            </w:r>
            <w:r>
              <w:rPr>
                <w:rtl/>
              </w:rPr>
              <w:t xml:space="preserve"> ».</w:t>
            </w:r>
          </w:p>
        </w:tc>
        <w:tc>
          <w:tcPr>
            <w:tcW w:w="4006" w:type="dxa"/>
          </w:tcPr>
          <w:p w:rsidR="00031327" w:rsidRDefault="00031327" w:rsidP="00992664">
            <w:pPr>
              <w:pStyle w:val="libFootnote0"/>
              <w:rPr>
                <w:rtl/>
              </w:rPr>
            </w:pPr>
            <w:r>
              <w:rPr>
                <w:rtl/>
              </w:rPr>
              <w:t xml:space="preserve">(9). </w:t>
            </w:r>
            <w:r w:rsidRPr="00020424">
              <w:rPr>
                <w:rtl/>
              </w:rPr>
              <w:t>في « ى » : « وكان</w:t>
            </w:r>
            <w:r>
              <w:rPr>
                <w:rtl/>
              </w:rPr>
              <w:t xml:space="preserve"> ».</w:t>
            </w:r>
          </w:p>
        </w:tc>
      </w:tr>
      <w:tr w:rsidR="00031327" w:rsidTr="00031327">
        <w:tc>
          <w:tcPr>
            <w:tcW w:w="4006" w:type="dxa"/>
          </w:tcPr>
          <w:p w:rsidR="00031327" w:rsidRDefault="00031327" w:rsidP="00992664">
            <w:pPr>
              <w:pStyle w:val="libFootnote0"/>
              <w:rPr>
                <w:rtl/>
              </w:rPr>
            </w:pPr>
            <w:r>
              <w:rPr>
                <w:rtl/>
              </w:rPr>
              <w:t xml:space="preserve">(10). </w:t>
            </w:r>
            <w:r w:rsidRPr="00020424">
              <w:rPr>
                <w:rtl/>
              </w:rPr>
              <w:t>في « بخ ، بر ، بف » :</w:t>
            </w:r>
            <w:r>
              <w:rPr>
                <w:rtl/>
              </w:rPr>
              <w:t xml:space="preserve"> - </w:t>
            </w:r>
            <w:r w:rsidRPr="00020424">
              <w:rPr>
                <w:rtl/>
              </w:rPr>
              <w:t>« منهم</w:t>
            </w:r>
            <w:r>
              <w:rPr>
                <w:rtl/>
              </w:rPr>
              <w:t xml:space="preserve"> ».</w:t>
            </w:r>
          </w:p>
        </w:tc>
        <w:tc>
          <w:tcPr>
            <w:tcW w:w="4006" w:type="dxa"/>
          </w:tcPr>
          <w:p w:rsidR="00031327" w:rsidRDefault="00031327" w:rsidP="00992664">
            <w:pPr>
              <w:pStyle w:val="libFootnote0"/>
              <w:rPr>
                <w:rtl/>
              </w:rPr>
            </w:pPr>
            <w:r>
              <w:rPr>
                <w:rtl/>
              </w:rPr>
              <w:t xml:space="preserve">(11). </w:t>
            </w:r>
            <w:r w:rsidRPr="00020424">
              <w:rPr>
                <w:rtl/>
              </w:rPr>
              <w:t xml:space="preserve">في « جن » </w:t>
            </w:r>
            <w:r w:rsidRPr="00031327">
              <w:rPr>
                <w:rtl/>
              </w:rPr>
              <w:t>والوسائل</w:t>
            </w:r>
            <w:r w:rsidRPr="00020424">
              <w:rPr>
                <w:rtl/>
              </w:rPr>
              <w:t xml:space="preserve"> : « وينزل</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ويكون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الفقيه</w:t>
      </w:r>
      <w:r w:rsidR="00992664" w:rsidRPr="00020424">
        <w:rPr>
          <w:rtl/>
        </w:rPr>
        <w:t xml:space="preserve"> ، ج 2 ، ص 71 ، ح 1758 ، مرسلاً من دون الإسناد إلى المعصوم </w:t>
      </w:r>
      <w:r w:rsidR="00992664" w:rsidRPr="00D64ADA">
        <w:rPr>
          <w:rStyle w:val="libFootnoteAlaemChar"/>
          <w:rtl/>
        </w:rPr>
        <w:t>عليه‌السلام</w:t>
      </w:r>
      <w:r w:rsidR="00992664" w:rsidRPr="00020424">
        <w:rPr>
          <w:rtl/>
        </w:rPr>
        <w:t xml:space="preserve"> </w:t>
      </w:r>
      <w:r w:rsidR="00031327">
        <w:rPr>
          <w:rFonts w:hint="cs"/>
          <w:rtl/>
        </w:rPr>
        <w:t>.</w:t>
      </w:r>
      <w:r w:rsidR="00992664" w:rsidRPr="0012008A">
        <w:rPr>
          <w:rStyle w:val="libFootnoteBoldChar"/>
          <w:rtl/>
        </w:rPr>
        <w:t>الوافي</w:t>
      </w:r>
      <w:r w:rsidR="00992664" w:rsidRPr="00020424">
        <w:rPr>
          <w:rtl/>
        </w:rPr>
        <w:t xml:space="preserve"> ، ج 10 ، ص 430 ، ح 9819 ؛ </w:t>
      </w:r>
      <w:r w:rsidR="00992664" w:rsidRPr="0012008A">
        <w:rPr>
          <w:rStyle w:val="libFootnoteBoldChar"/>
          <w:rtl/>
        </w:rPr>
        <w:t>الوسائل</w:t>
      </w:r>
      <w:r w:rsidR="00992664" w:rsidRPr="00020424">
        <w:rPr>
          <w:rtl/>
        </w:rPr>
        <w:t xml:space="preserve"> ، ج 9 ، ص 439 ، ح 12437 ؛ </w:t>
      </w:r>
      <w:r w:rsidR="00992664" w:rsidRPr="0012008A">
        <w:rPr>
          <w:rStyle w:val="libFootnoteBoldChar"/>
          <w:rtl/>
        </w:rPr>
        <w:t>البحار</w:t>
      </w:r>
      <w:r w:rsidR="00992664" w:rsidRPr="00020424">
        <w:rPr>
          <w:rtl/>
        </w:rPr>
        <w:t xml:space="preserve"> ، ج 22 ، ص 129 ، ح 104.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42C8D">
        <w:rPr>
          <w:rtl/>
        </w:rPr>
        <w:t>6082</w:t>
      </w:r>
      <w:r w:rsidRPr="001155DE">
        <w:rPr>
          <w:rStyle w:val="libBold2Char"/>
          <w:rtl/>
        </w:rPr>
        <w:t xml:space="preserve"> / 6.</w:t>
      </w:r>
      <w:r w:rsidRPr="00020424">
        <w:rPr>
          <w:rtl/>
          <w:lang w:bidi="fa-IR"/>
        </w:rPr>
        <w:t xml:space="preserve"> عِدَّةٌ مِنْ أَصْحَابِنَا ، عَنْ أَحْمَدَ بْنِ أَبِي عَبْدِ اللهِ ، عَنْ أَبِيهِ ، عَمَّنْ ذَكَرَهُ ، عَنِ الْحُسَيْنِ بْنِ أَبِي الْعَلَاءِ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رَحِمَ اللهُ عَبْداً عَفَّ ، وَتَعَفَّفَ ، وَكَفَّ </w:t>
      </w:r>
      <w:r w:rsidRPr="00A91B96">
        <w:rPr>
          <w:rStyle w:val="libFootnotenumChar"/>
          <w:rtl/>
        </w:rPr>
        <w:t>(1)</w:t>
      </w:r>
      <w:r w:rsidRPr="00020424">
        <w:rPr>
          <w:rtl/>
          <w:lang w:bidi="fa-IR"/>
        </w:rPr>
        <w:t xml:space="preserve"> عَنِ الْمَسْأَلَةِ ؛ فَإِنَّهُ يَتَعَجَّلُ الدَّنِيَّةَ فِي الدُّنْيَا ، وَلَايُعْنِي </w:t>
      </w:r>
      <w:r w:rsidRPr="00A91B96">
        <w:rPr>
          <w:rStyle w:val="libFootnotenumChar"/>
          <w:rtl/>
        </w:rPr>
        <w:t>(2)</w:t>
      </w:r>
      <w:r w:rsidRPr="00020424">
        <w:rPr>
          <w:rtl/>
          <w:lang w:bidi="fa-IR"/>
        </w:rPr>
        <w:t xml:space="preserve"> النَّاسُ عَنْهُ شَيْئاً</w:t>
      </w:r>
      <w:r>
        <w:rPr>
          <w:rtl/>
          <w:lang w:bidi="fa-IR"/>
        </w:rPr>
        <w:t xml:space="preserve"> ».</w:t>
      </w:r>
    </w:p>
    <w:p w:rsidR="00992664" w:rsidRDefault="00992664" w:rsidP="00992664">
      <w:pPr>
        <w:pStyle w:val="libNormal"/>
        <w:rPr>
          <w:rtl/>
          <w:lang w:bidi="fa-IR"/>
        </w:rPr>
      </w:pPr>
      <w:r w:rsidRPr="00020424">
        <w:rPr>
          <w:rtl/>
          <w:lang w:bidi="fa-IR"/>
        </w:rPr>
        <w:t xml:space="preserve">قَالَ : ثُمَّ تَمَثَّلَ أَبُو عَبْدِ اللهِ </w:t>
      </w:r>
      <w:r w:rsidRPr="00005A81">
        <w:rPr>
          <w:rStyle w:val="libAlaemChar"/>
          <w:rtl/>
        </w:rPr>
        <w:t>عليه‌السلام</w:t>
      </w:r>
      <w:r w:rsidRPr="00020424">
        <w:rPr>
          <w:rtl/>
          <w:lang w:bidi="fa-IR"/>
        </w:rPr>
        <w:t xml:space="preserve"> بِبَيْتِ حَاتِمٍ :</w:t>
      </w:r>
    </w:p>
    <w:tbl>
      <w:tblPr>
        <w:tblStyle w:val="TableGrid"/>
        <w:bidiVisual/>
        <w:tblW w:w="4562" w:type="pct"/>
        <w:tblInd w:w="384" w:type="dxa"/>
        <w:tblLook w:val="01E0" w:firstRow="1" w:lastRow="1" w:firstColumn="1" w:lastColumn="1" w:noHBand="0" w:noVBand="0"/>
      </w:tblPr>
      <w:tblGrid>
        <w:gridCol w:w="3531"/>
        <w:gridCol w:w="272"/>
        <w:gridCol w:w="3507"/>
      </w:tblGrid>
      <w:tr w:rsidR="00031327" w:rsidTr="00031327">
        <w:trPr>
          <w:trHeight w:val="350"/>
        </w:trPr>
        <w:tc>
          <w:tcPr>
            <w:tcW w:w="3920" w:type="dxa"/>
            <w:shd w:val="clear" w:color="auto" w:fill="auto"/>
          </w:tcPr>
          <w:p w:rsidR="00031327" w:rsidRDefault="00031327" w:rsidP="00031327">
            <w:pPr>
              <w:pStyle w:val="libPoem"/>
            </w:pPr>
            <w:r w:rsidRPr="00020424">
              <w:rPr>
                <w:rtl/>
              </w:rPr>
              <w:t>« إِذَا مَا عَرَفْتَ الْيَأْسَ أَلْفَيْتَهُ الْغِنى</w:t>
            </w:r>
            <w:r w:rsidRPr="00725071">
              <w:rPr>
                <w:rStyle w:val="libPoemTiniChar0"/>
                <w:rtl/>
              </w:rPr>
              <w:br/>
              <w:t> </w:t>
            </w:r>
          </w:p>
        </w:tc>
        <w:tc>
          <w:tcPr>
            <w:tcW w:w="279" w:type="dxa"/>
            <w:shd w:val="clear" w:color="auto" w:fill="auto"/>
          </w:tcPr>
          <w:p w:rsidR="00031327" w:rsidRDefault="00031327" w:rsidP="00031327">
            <w:pPr>
              <w:pStyle w:val="libPoem"/>
              <w:rPr>
                <w:rtl/>
              </w:rPr>
            </w:pPr>
          </w:p>
        </w:tc>
        <w:tc>
          <w:tcPr>
            <w:tcW w:w="3881" w:type="dxa"/>
            <w:shd w:val="clear" w:color="auto" w:fill="auto"/>
          </w:tcPr>
          <w:p w:rsidR="00031327" w:rsidRDefault="00031327" w:rsidP="00031327">
            <w:pPr>
              <w:pStyle w:val="libPoem"/>
            </w:pPr>
            <w:r w:rsidRPr="00020424">
              <w:rPr>
                <w:rtl/>
                <w:lang w:bidi="fa-IR"/>
              </w:rPr>
              <w:t>إِذَا عَرَّفْتَهُ النَّفْسَ وَالطَّمَعُ الْفَقْرُ</w:t>
            </w:r>
            <w:r w:rsidRPr="00E02BA1">
              <w:rPr>
                <w:rStyle w:val="libPoemTiniChar0"/>
                <w:rFonts w:hint="cs"/>
                <w:rtl/>
              </w:rPr>
              <w:t xml:space="preserve">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725071">
              <w:rPr>
                <w:rStyle w:val="libPoemTiniChar0"/>
                <w:rtl/>
              </w:rPr>
              <w:br/>
              <w:t> </w:t>
            </w:r>
          </w:p>
        </w:tc>
      </w:tr>
    </w:tbl>
    <w:p w:rsidR="00992664" w:rsidRPr="00020424" w:rsidRDefault="00031327" w:rsidP="00992664">
      <w:pPr>
        <w:pStyle w:val="libNormal"/>
        <w:rPr>
          <w:rtl/>
          <w:lang w:bidi="fa-IR"/>
        </w:rPr>
      </w:pPr>
      <w:r>
        <w:rPr>
          <w:rFonts w:hint="cs"/>
          <w:rtl/>
        </w:rPr>
        <w:t>6083</w:t>
      </w:r>
      <w:r w:rsidR="00992664" w:rsidRPr="001155DE">
        <w:rPr>
          <w:rStyle w:val="libBold2Char"/>
          <w:rtl/>
        </w:rPr>
        <w:t xml:space="preserve"> / 7.</w:t>
      </w:r>
      <w:r w:rsidR="00992664" w:rsidRPr="00020424">
        <w:rPr>
          <w:rtl/>
          <w:lang w:bidi="fa-IR"/>
        </w:rPr>
        <w:t xml:space="preserve"> عَلِيُّ بْنُ مُحَمَّدٍ وَأَحْمَدُ بْنُ مُحَمَّدٍ ، عَنْ عَلِيِّ بْنِ الْحَسَنِ ، عَنِ الْعَبَّاسِ بْنِ عَامِرٍ ، عَنْ مُحَمَّدِ بْنِ إِبْرَاهِيمَ الصَّيْرَفِيِّ ، عَنْ مُفَضَّلِ </w:t>
      </w:r>
      <w:r w:rsidR="00992664" w:rsidRPr="00A91B96">
        <w:rPr>
          <w:rStyle w:val="libFootnotenumChar"/>
          <w:rtl/>
        </w:rPr>
        <w:t>(5)</w:t>
      </w:r>
      <w:r w:rsidR="00992664" w:rsidRPr="00020424">
        <w:rPr>
          <w:rtl/>
          <w:lang w:bidi="fa-IR"/>
        </w:rPr>
        <w:t xml:space="preserve"> بْنِ قَيْسِ بْنِ رُمَّانَةَ ، قَالَ :</w:t>
      </w:r>
    </w:p>
    <w:p w:rsidR="00992664" w:rsidRPr="00020424" w:rsidRDefault="00992664" w:rsidP="00992664">
      <w:pPr>
        <w:pStyle w:val="libNormal"/>
        <w:rPr>
          <w:rtl/>
          <w:lang w:bidi="fa-IR"/>
        </w:rPr>
      </w:pPr>
      <w:r w:rsidRPr="00020424">
        <w:rPr>
          <w:rtl/>
          <w:lang w:bidi="fa-IR"/>
        </w:rPr>
        <w:t xml:space="preserve">دَخَلْتُ عَلى أَبِي عَبْدِ اللهِ </w:t>
      </w:r>
      <w:r w:rsidRPr="00005A81">
        <w:rPr>
          <w:rStyle w:val="libAlaemChar"/>
          <w:rtl/>
        </w:rPr>
        <w:t>عليه‌السلام</w:t>
      </w:r>
      <w:r w:rsidRPr="00020424">
        <w:rPr>
          <w:rtl/>
          <w:lang w:bidi="fa-IR"/>
        </w:rPr>
        <w:t xml:space="preserve"> ، فَذَكَرْتُ لَهُ بَعْضَ حَالِي ، فَقَالَ : « يَا جَارِيَةُ ، هَاتِ </w:t>
      </w:r>
      <w:r w:rsidRPr="00A91B96">
        <w:rPr>
          <w:rStyle w:val="libFootnotenumChar"/>
          <w:rtl/>
        </w:rPr>
        <w:t>(6)</w:t>
      </w:r>
      <w:r w:rsidRPr="00020424">
        <w:rPr>
          <w:rtl/>
          <w:lang w:bidi="fa-IR"/>
        </w:rPr>
        <w:t xml:space="preserve"> ذلِكَ </w:t>
      </w:r>
      <w:r w:rsidRPr="00A91B96">
        <w:rPr>
          <w:rStyle w:val="libFootnotenumChar"/>
          <w:rtl/>
        </w:rPr>
        <w:t>(7)</w:t>
      </w:r>
      <w:r w:rsidRPr="00020424">
        <w:rPr>
          <w:rtl/>
          <w:lang w:bidi="fa-IR"/>
        </w:rPr>
        <w:t xml:space="preserve"> الْكِيسَ ، هذِهِ أَرْبَعُمِائَةِ دِينَارٍ وَصَلَنِي بِهَا أَبُو جَعْفَرٍ </w:t>
      </w:r>
      <w:r w:rsidRPr="00A91B96">
        <w:rPr>
          <w:rStyle w:val="libFootnotenumChar"/>
          <w:rtl/>
        </w:rPr>
        <w:t>(8)</w:t>
      </w:r>
      <w:r w:rsidRPr="00020424">
        <w:rPr>
          <w:rtl/>
          <w:lang w:bidi="fa-IR"/>
        </w:rPr>
        <w:t xml:space="preserve"> ، فَخُذْهَا ، وَتَفَرَّجْ بِهَا </w:t>
      </w:r>
      <w:r w:rsidRPr="00A91B96">
        <w:rPr>
          <w:rStyle w:val="libFootnotenumChar"/>
          <w:rtl/>
        </w:rPr>
        <w:t>(9)</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فَقُلْتُ </w:t>
      </w:r>
      <w:r w:rsidRPr="00A91B96">
        <w:rPr>
          <w:rStyle w:val="libFootnotenumChar"/>
          <w:rtl/>
        </w:rPr>
        <w:t>(11)</w:t>
      </w:r>
      <w:r w:rsidRPr="00020424">
        <w:rPr>
          <w:rtl/>
          <w:lang w:bidi="fa-IR"/>
        </w:rPr>
        <w:t xml:space="preserve"> : لَاوَ اللهِ جُعِلْتُ فِدَاكَ ، مَا هذَا دَهْرِي </w:t>
      </w:r>
      <w:r w:rsidRPr="00A91B96">
        <w:rPr>
          <w:rStyle w:val="libFootnotenumChar"/>
          <w:rtl/>
        </w:rPr>
        <w:t>(12)</w:t>
      </w:r>
      <w:r w:rsidRPr="00020424">
        <w:rPr>
          <w:rtl/>
          <w:lang w:bidi="fa-IR"/>
        </w:rPr>
        <w:t xml:space="preserve"> ،</w:t>
      </w:r>
      <w:r w:rsidR="00031327">
        <w:rPr>
          <w:rFonts w:hint="cs"/>
          <w:rtl/>
          <w:lang w:bidi="fa-IR"/>
        </w:rPr>
        <w:t>...............</w:t>
      </w:r>
      <w:r w:rsidR="00031327">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بح » : </w:t>
      </w:r>
      <w:r w:rsidR="00992664" w:rsidRPr="00031327">
        <w:rPr>
          <w:rtl/>
        </w:rPr>
        <w:t>والوسائل</w:t>
      </w:r>
      <w:r w:rsidR="00992664" w:rsidRPr="00020424">
        <w:rPr>
          <w:rtl/>
        </w:rPr>
        <w:t xml:space="preserve"> : « فكفّ</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هامش المطبوع عن بعض النسخ : « ولا يعني » بالعين المهملة ؛ أي لايكفي الناس عنه شيئاً.</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تمثّل أيضاً بهذا البيت الإمام الباقر </w:t>
      </w:r>
      <w:r w:rsidR="00992664" w:rsidRPr="00D64ADA">
        <w:rPr>
          <w:rStyle w:val="libFootnoteAlaemChar"/>
          <w:rtl/>
        </w:rPr>
        <w:t>عليه‌السلام</w:t>
      </w:r>
      <w:r w:rsidR="00992664" w:rsidRPr="00020424">
        <w:rPr>
          <w:rtl/>
        </w:rPr>
        <w:t xml:space="preserve"> في حديث آخر في </w:t>
      </w:r>
      <w:r w:rsidR="00992664" w:rsidRPr="00DE76B9">
        <w:rPr>
          <w:rStyle w:val="libFootnoteBoldChar"/>
          <w:rtl/>
        </w:rPr>
        <w:t>الكافي</w:t>
      </w:r>
      <w:r w:rsidR="00992664" w:rsidRPr="00020424">
        <w:rPr>
          <w:rtl/>
        </w:rPr>
        <w:t xml:space="preserve"> ، كتاب الإيمان والكفر ، باب الاستغناء عن الناس ، ح 1972 ، وفيه « إذا ما عزمت » بدل « إذا ما عرفت</w:t>
      </w:r>
      <w:r w:rsidR="00992664">
        <w:rPr>
          <w:rtl/>
        </w:rPr>
        <w:t xml:space="preserve"> ».</w:t>
      </w:r>
      <w:r w:rsidR="00992664" w:rsidRPr="00020424">
        <w:rPr>
          <w:rtl/>
        </w:rPr>
        <w:t xml:space="preserve"> وللمزيد راجع هناك.</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218 ، ح 1 ، بسنده عن الحسين بن أبي العلاء ، إلى قوله : « ولايغني الناس عنه » </w:t>
      </w:r>
      <w:r w:rsidR="00031327">
        <w:rPr>
          <w:rFonts w:hint="cs"/>
          <w:rtl/>
        </w:rPr>
        <w:t>.</w:t>
      </w:r>
      <w:r w:rsidR="00992664" w:rsidRPr="0012008A">
        <w:rPr>
          <w:rStyle w:val="libFootnoteBoldChar"/>
          <w:rtl/>
        </w:rPr>
        <w:t>الوافي</w:t>
      </w:r>
      <w:r w:rsidR="00992664" w:rsidRPr="00020424">
        <w:rPr>
          <w:rtl/>
        </w:rPr>
        <w:t xml:space="preserve"> ، ج 10 ، ص 431 ، ح 9820 ؛ </w:t>
      </w:r>
      <w:r w:rsidR="00992664" w:rsidRPr="0012008A">
        <w:rPr>
          <w:rStyle w:val="libFootnoteBoldChar"/>
          <w:rtl/>
        </w:rPr>
        <w:t>الوسائل</w:t>
      </w:r>
      <w:r w:rsidR="00992664" w:rsidRPr="00020424">
        <w:rPr>
          <w:rtl/>
        </w:rPr>
        <w:t xml:space="preserve"> ، ج 9 ، ص 440 ، ح 12438.</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22364 « محمّد</w:t>
      </w:r>
      <w:r w:rsidR="00992664">
        <w:rPr>
          <w:rtl/>
        </w:rPr>
        <w:t xml:space="preserve"> ».</w:t>
      </w:r>
      <w:r w:rsidR="00992664" w:rsidRPr="00020424">
        <w:rPr>
          <w:rtl/>
        </w:rPr>
        <w:t xml:space="preserve"> والمذكور في أصحاب أبي عبدالله </w:t>
      </w:r>
      <w:r w:rsidR="00992664" w:rsidRPr="00D64ADA">
        <w:rPr>
          <w:rStyle w:val="libFootnoteAlaemChar"/>
          <w:rtl/>
        </w:rPr>
        <w:t>عليه‌السلام</w:t>
      </w:r>
      <w:r w:rsidR="00992664" w:rsidRPr="00020424">
        <w:rPr>
          <w:rtl/>
        </w:rPr>
        <w:t xml:space="preserve"> هو المفضّل بن قيس بن رمانة. راجع : </w:t>
      </w:r>
      <w:r w:rsidR="00992664" w:rsidRPr="00DE76B9">
        <w:rPr>
          <w:rStyle w:val="libFootnoteBoldChar"/>
          <w:rtl/>
        </w:rPr>
        <w:t>رجال البرق</w:t>
      </w:r>
      <w:r w:rsidR="00992664" w:rsidRPr="00020424">
        <w:rPr>
          <w:rtl/>
        </w:rPr>
        <w:t xml:space="preserve"> ، ص 34 ؛ </w:t>
      </w:r>
      <w:r w:rsidR="00992664" w:rsidRPr="00DE76B9">
        <w:rPr>
          <w:rStyle w:val="libFootnoteBoldChar"/>
          <w:rtl/>
        </w:rPr>
        <w:t>رجال الطوسي</w:t>
      </w:r>
      <w:r w:rsidR="00992664" w:rsidRPr="00020424">
        <w:rPr>
          <w:rtl/>
        </w:rPr>
        <w:t xml:space="preserve"> ، ص 307 ، الرقم 4529.</w:t>
      </w:r>
    </w:p>
    <w:tbl>
      <w:tblPr>
        <w:tblStyle w:val="TableGrid"/>
        <w:bidiVisual/>
        <w:tblW w:w="0" w:type="auto"/>
        <w:tblLook w:val="04A0" w:firstRow="1" w:lastRow="0" w:firstColumn="1" w:lastColumn="0" w:noHBand="0" w:noVBand="1"/>
      </w:tblPr>
      <w:tblGrid>
        <w:gridCol w:w="4006"/>
        <w:gridCol w:w="4006"/>
      </w:tblGrid>
      <w:tr w:rsidR="00EE03CF" w:rsidTr="00EE03CF">
        <w:tc>
          <w:tcPr>
            <w:tcW w:w="4006" w:type="dxa"/>
          </w:tcPr>
          <w:p w:rsidR="00EE03CF" w:rsidRDefault="00EE03CF" w:rsidP="00992664">
            <w:pPr>
              <w:pStyle w:val="libFootnote0"/>
              <w:rPr>
                <w:rtl/>
              </w:rPr>
            </w:pPr>
            <w:r>
              <w:rPr>
                <w:rtl/>
              </w:rPr>
              <w:t xml:space="preserve">(6). </w:t>
            </w:r>
            <w:r w:rsidRPr="00020424">
              <w:rPr>
                <w:rtl/>
              </w:rPr>
              <w:t xml:space="preserve">في </w:t>
            </w:r>
            <w:r w:rsidRPr="00EE03CF">
              <w:rPr>
                <w:rtl/>
              </w:rPr>
              <w:t>الوسائل</w:t>
            </w:r>
            <w:r w:rsidRPr="00020424">
              <w:rPr>
                <w:rtl/>
              </w:rPr>
              <w:t xml:space="preserve"> : « هاتي</w:t>
            </w:r>
            <w:r>
              <w:rPr>
                <w:rtl/>
              </w:rPr>
              <w:t xml:space="preserve"> ».</w:t>
            </w:r>
          </w:p>
        </w:tc>
        <w:tc>
          <w:tcPr>
            <w:tcW w:w="4006" w:type="dxa"/>
          </w:tcPr>
          <w:p w:rsidR="00EE03CF" w:rsidRDefault="00EE03CF" w:rsidP="00992664">
            <w:pPr>
              <w:pStyle w:val="libFootnote0"/>
              <w:rPr>
                <w:rtl/>
              </w:rPr>
            </w:pPr>
            <w:r>
              <w:rPr>
                <w:rtl/>
              </w:rPr>
              <w:t xml:space="preserve">(7). </w:t>
            </w:r>
            <w:r w:rsidRPr="00020424">
              <w:rPr>
                <w:rtl/>
              </w:rPr>
              <w:t xml:space="preserve">في « بخ ، بر ، بس ، بف » </w:t>
            </w:r>
            <w:r w:rsidRPr="00EE03CF">
              <w:rPr>
                <w:rtl/>
              </w:rPr>
              <w:t>والوافي</w:t>
            </w:r>
            <w:r w:rsidRPr="00020424">
              <w:rPr>
                <w:rtl/>
              </w:rPr>
              <w:t xml:space="preserve"> : « ذاك</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 + « الدوانيقي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 « وتفرح بها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تفرّج بها ؛ يعني عمّا أهمّك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E03CF" w:rsidTr="00EE03CF">
        <w:tc>
          <w:tcPr>
            <w:tcW w:w="4006" w:type="dxa"/>
          </w:tcPr>
          <w:p w:rsidR="00EE03CF" w:rsidRDefault="00EE03CF" w:rsidP="00992664">
            <w:pPr>
              <w:pStyle w:val="libFootnote0"/>
              <w:rPr>
                <w:rtl/>
              </w:rPr>
            </w:pPr>
            <w:r>
              <w:rPr>
                <w:rtl/>
              </w:rPr>
              <w:t xml:space="preserve">(10). </w:t>
            </w:r>
            <w:r w:rsidRPr="00020424">
              <w:rPr>
                <w:rtl/>
              </w:rPr>
              <w:t>في « بح » :</w:t>
            </w:r>
            <w:r>
              <w:rPr>
                <w:rtl/>
              </w:rPr>
              <w:t xml:space="preserve"> - </w:t>
            </w:r>
            <w:r w:rsidRPr="00020424">
              <w:rPr>
                <w:rtl/>
              </w:rPr>
              <w:t>« قال</w:t>
            </w:r>
            <w:r>
              <w:rPr>
                <w:rtl/>
              </w:rPr>
              <w:t xml:space="preserve"> ».</w:t>
            </w:r>
          </w:p>
        </w:tc>
        <w:tc>
          <w:tcPr>
            <w:tcW w:w="4006" w:type="dxa"/>
          </w:tcPr>
          <w:p w:rsidR="00EE03CF" w:rsidRDefault="00EE03CF" w:rsidP="00992664">
            <w:pPr>
              <w:pStyle w:val="libFootnote0"/>
              <w:rPr>
                <w:rtl/>
              </w:rPr>
            </w:pPr>
            <w:r>
              <w:rPr>
                <w:rtl/>
              </w:rPr>
              <w:t>(11). في « ظ ، بخ، بر، بف</w:t>
            </w:r>
            <w:r w:rsidRPr="00020424">
              <w:rPr>
                <w:rtl/>
              </w:rPr>
              <w:t xml:space="preserve">» </w:t>
            </w:r>
            <w:r w:rsidRPr="00EE03CF">
              <w:rPr>
                <w:rtl/>
              </w:rPr>
              <w:t>والوافي</w:t>
            </w:r>
            <w:r w:rsidRPr="00020424">
              <w:rPr>
                <w:rtl/>
              </w:rPr>
              <w:t xml:space="preserve"> : « قلت</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دهري : همّتي ؛ فإنّ الدهر يقال للهمّة والعادة والغاية</w:t>
      </w:r>
      <w:r w:rsidR="00992664">
        <w:rPr>
          <w:rtl/>
        </w:rPr>
        <w:t xml:space="preserve"> ».</w:t>
      </w:r>
      <w:r w:rsidR="00992664" w:rsidRPr="00020424">
        <w:rPr>
          <w:rtl/>
        </w:rPr>
        <w:t xml:space="preserve"> وللمزيد راجع : </w:t>
      </w:r>
      <w:r w:rsidR="00992664" w:rsidRPr="0012008A">
        <w:rPr>
          <w:rStyle w:val="libFootnoteBoldChar"/>
          <w:rtl/>
        </w:rPr>
        <w:t>الصحاح</w:t>
      </w:r>
      <w:r w:rsidR="00992664" w:rsidRPr="00020424">
        <w:rPr>
          <w:rtl/>
        </w:rPr>
        <w:t xml:space="preserve"> ، ج 2 ، ص 662 ؛ </w:t>
      </w:r>
      <w:r w:rsidR="00992664" w:rsidRPr="0012008A">
        <w:rPr>
          <w:rStyle w:val="libFootnoteBoldChar"/>
          <w:rtl/>
        </w:rPr>
        <w:t>النهاية</w:t>
      </w:r>
      <w:r w:rsidR="00992664" w:rsidRPr="00020424">
        <w:rPr>
          <w:rtl/>
        </w:rPr>
        <w:t xml:space="preserve"> ، ج 2 ، ص 144 ؛ </w:t>
      </w:r>
      <w:r w:rsidR="00992664" w:rsidRPr="00A722B1">
        <w:rPr>
          <w:rStyle w:val="libFootnoteBoldChar"/>
          <w:rtl/>
        </w:rPr>
        <w:t>القاموس المحيط</w:t>
      </w:r>
      <w:r w:rsidR="00992664" w:rsidRPr="00020424">
        <w:rPr>
          <w:rtl/>
        </w:rPr>
        <w:t xml:space="preserve"> ، ج 1 ، ص 557 ( دهر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EE03CF">
      <w:pPr>
        <w:pStyle w:val="libNormal0"/>
        <w:rPr>
          <w:rtl/>
          <w:lang w:bidi="fa-IR"/>
        </w:rPr>
      </w:pPr>
      <w:r w:rsidRPr="00020424">
        <w:rPr>
          <w:rtl/>
          <w:lang w:bidi="fa-IR"/>
        </w:rPr>
        <w:t xml:space="preserve">وَلكِنْ </w:t>
      </w:r>
      <w:r w:rsidRPr="00A91B96">
        <w:rPr>
          <w:rStyle w:val="libFootnotenumChar"/>
          <w:rtl/>
        </w:rPr>
        <w:t>(1)</w:t>
      </w:r>
      <w:r w:rsidRPr="00020424">
        <w:rPr>
          <w:rtl/>
          <w:lang w:bidi="fa-IR"/>
        </w:rPr>
        <w:t xml:space="preserve"> أَحْبَبْتُ أَنْ تَدْعُوَ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لِي.</w:t>
      </w:r>
    </w:p>
    <w:p w:rsidR="00992664" w:rsidRPr="00020424" w:rsidRDefault="00992664" w:rsidP="00992664">
      <w:pPr>
        <w:pStyle w:val="libNormal"/>
        <w:rPr>
          <w:rtl/>
          <w:lang w:bidi="fa-IR"/>
        </w:rPr>
      </w:pPr>
      <w:r w:rsidRPr="00020424">
        <w:rPr>
          <w:rtl/>
          <w:lang w:bidi="fa-IR"/>
        </w:rPr>
        <w:t xml:space="preserve">قَالَ : فَقَالَ </w:t>
      </w:r>
      <w:r w:rsidRPr="00A91B96">
        <w:rPr>
          <w:rStyle w:val="libFootnotenumChar"/>
          <w:rtl/>
        </w:rPr>
        <w:t>(2)</w:t>
      </w:r>
      <w:r w:rsidRPr="00020424">
        <w:rPr>
          <w:rtl/>
          <w:lang w:bidi="fa-IR"/>
        </w:rPr>
        <w:t xml:space="preserve"> : « إِنِّي سَأَفْعَلُ ، وَلكِنْ إِيَّاكَ أَنْ تُخْبِرَ النَّاسَ بِكُلِّ حَالِكَ ، فَتَهُونَ </w:t>
      </w:r>
      <w:r w:rsidRPr="00A91B96">
        <w:rPr>
          <w:rStyle w:val="libFootnotenumChar"/>
          <w:rtl/>
        </w:rPr>
        <w:t>(3)</w:t>
      </w:r>
      <w:r w:rsidR="00EE03CF">
        <w:rPr>
          <w:rtl/>
          <w:lang w:bidi="fa-IR"/>
        </w:rPr>
        <w:t xml:space="preserve"> عَلَيْهِم</w:t>
      </w:r>
      <w:r w:rsidR="00EE03CF">
        <w:rPr>
          <w:rFonts w:hint="cs"/>
          <w:rtl/>
          <w:lang w:bidi="fa-IR"/>
        </w:rPr>
        <w:t>ْ</w:t>
      </w:r>
      <w:r>
        <w:rPr>
          <w:rtl/>
          <w:lang w:bidi="fa-IR"/>
        </w:rPr>
        <w:t>».</w:t>
      </w:r>
      <w:r w:rsidRPr="00A91B96">
        <w:rPr>
          <w:rStyle w:val="libFootnotenumChar"/>
          <w:rtl/>
        </w:rPr>
        <w:t>(4)</w:t>
      </w:r>
      <w:r w:rsidRPr="00020424">
        <w:rPr>
          <w:rtl/>
          <w:lang w:bidi="fa-IR"/>
        </w:rPr>
        <w:t>‌</w:t>
      </w:r>
    </w:p>
    <w:p w:rsidR="00992664" w:rsidRPr="00020424" w:rsidRDefault="00992664" w:rsidP="00992664">
      <w:pPr>
        <w:pStyle w:val="libNormal"/>
        <w:rPr>
          <w:rtl/>
          <w:lang w:bidi="fa-IR"/>
        </w:rPr>
      </w:pPr>
      <w:r w:rsidRPr="00642C8D">
        <w:rPr>
          <w:rtl/>
        </w:rPr>
        <w:t>6084</w:t>
      </w:r>
      <w:r w:rsidRPr="001155DE">
        <w:rPr>
          <w:rStyle w:val="libBold2Char"/>
          <w:rtl/>
        </w:rPr>
        <w:t xml:space="preserve"> / 8.</w:t>
      </w:r>
      <w:r w:rsidRPr="00020424">
        <w:rPr>
          <w:rtl/>
          <w:lang w:bidi="fa-IR"/>
        </w:rPr>
        <w:t xml:space="preserve"> وَرُوِيَ عَنْ لُقْمَانَ أَنَّهُ قَالَ لِابْنِهِ :</w:t>
      </w:r>
    </w:p>
    <w:p w:rsidR="00992664" w:rsidRPr="00020424" w:rsidRDefault="00992664" w:rsidP="00992664">
      <w:pPr>
        <w:pStyle w:val="libNormal"/>
        <w:rPr>
          <w:rtl/>
          <w:lang w:bidi="fa-IR"/>
        </w:rPr>
      </w:pPr>
      <w:r w:rsidRPr="00020424">
        <w:rPr>
          <w:rtl/>
          <w:lang w:bidi="fa-IR"/>
        </w:rPr>
        <w:t xml:space="preserve">« يَا بُنَيَّ ، ذُقْتُ الصَّبْرَ ، وَأَكَلْتُ لِحَاءَ الشَّجَرِ </w:t>
      </w:r>
      <w:r w:rsidRPr="00A91B96">
        <w:rPr>
          <w:rStyle w:val="libFootnotenumChar"/>
          <w:rtl/>
        </w:rPr>
        <w:t>(5)</w:t>
      </w:r>
      <w:r w:rsidRPr="00020424">
        <w:rPr>
          <w:rtl/>
          <w:lang w:bidi="fa-IR"/>
        </w:rPr>
        <w:t xml:space="preserve"> ، فَلَمْ أَجِدْ شَيْئاً هُوَ أَمَرُّ مِنَ الْفَقْرِ ، فَإِنْ بُلِيتَ بِهِ يَوْماً </w:t>
      </w:r>
      <w:r w:rsidRPr="00A91B96">
        <w:rPr>
          <w:rStyle w:val="libFootnotenumChar"/>
          <w:rtl/>
        </w:rPr>
        <w:t>(6)</w:t>
      </w:r>
      <w:r w:rsidRPr="00020424">
        <w:rPr>
          <w:rtl/>
          <w:lang w:bidi="fa-IR"/>
        </w:rPr>
        <w:t xml:space="preserve"> فَلَا تُظْهِرِ </w:t>
      </w:r>
      <w:r w:rsidRPr="00A91B96">
        <w:rPr>
          <w:rStyle w:val="libFootnotenumChar"/>
          <w:rtl/>
        </w:rPr>
        <w:t>(7)</w:t>
      </w:r>
      <w:r w:rsidRPr="00020424">
        <w:rPr>
          <w:rtl/>
          <w:lang w:bidi="fa-IR"/>
        </w:rPr>
        <w:t xml:space="preserve"> النَّاسَ عَلَيْهِ ، فَيَسْتَهِينُوكَ ، وَلَايَنْفَعُوكَ </w:t>
      </w:r>
      <w:r w:rsidRPr="00A91B96">
        <w:rPr>
          <w:rStyle w:val="libFootnotenumChar"/>
          <w:rtl/>
        </w:rPr>
        <w:t>(8)</w:t>
      </w:r>
      <w:r w:rsidRPr="00020424">
        <w:rPr>
          <w:rtl/>
          <w:lang w:bidi="fa-IR"/>
        </w:rPr>
        <w:t xml:space="preserve"> بِشَيْ‌ءٍ ، ارْجِعْ إِلَى الَّذِي ابْتَلَاكَ بِهِ ؛ فَهُوَ أَقْدَرُ عَلى فَرَجِكَ ، وَسَلْهُ </w:t>
      </w:r>
      <w:r w:rsidRPr="00A91B96">
        <w:rPr>
          <w:rStyle w:val="libFootnotenumChar"/>
          <w:rtl/>
        </w:rPr>
        <w:t>(9)</w:t>
      </w:r>
      <w:r w:rsidRPr="00020424">
        <w:rPr>
          <w:rtl/>
          <w:lang w:bidi="fa-IR"/>
        </w:rPr>
        <w:t xml:space="preserve"> ؛ مَنْ </w:t>
      </w:r>
      <w:r w:rsidRPr="00A91B96">
        <w:rPr>
          <w:rStyle w:val="libFootnotenumChar"/>
          <w:rtl/>
        </w:rPr>
        <w:t>(10)</w:t>
      </w:r>
      <w:r w:rsidRPr="00020424">
        <w:rPr>
          <w:rtl/>
          <w:lang w:bidi="fa-IR"/>
        </w:rPr>
        <w:t xml:space="preserve"> ذَا الَّذِي سَأَلَهُ فَلَمْ يُعْطِهِ ، أَوْ وَثِقَ بِهِ فَلَمْ يُنْجِهِ</w:t>
      </w:r>
      <w:r>
        <w:rPr>
          <w:rtl/>
          <w:lang w:bidi="fa-IR"/>
        </w:rPr>
        <w:t>؟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Heading2Center"/>
        <w:rPr>
          <w:rtl/>
          <w:lang w:bidi="fa-IR"/>
        </w:rPr>
      </w:pPr>
      <w:bookmarkStart w:id="211" w:name="_Toc345172787"/>
      <w:bookmarkStart w:id="212" w:name="_Toc464562603"/>
      <w:bookmarkStart w:id="213" w:name="_Toc44599906"/>
      <w:r w:rsidRPr="00020424">
        <w:rPr>
          <w:rtl/>
          <w:lang w:bidi="fa-IR"/>
        </w:rPr>
        <w:t>65</w:t>
      </w:r>
      <w:r>
        <w:rPr>
          <w:rtl/>
          <w:lang w:bidi="fa-IR"/>
        </w:rPr>
        <w:t xml:space="preserve"> </w:t>
      </w:r>
      <w:r w:rsidR="009B673F">
        <w:rPr>
          <w:rtl/>
          <w:lang w:bidi="fa-IR"/>
        </w:rPr>
        <w:t>-</w:t>
      </w:r>
      <w:r>
        <w:rPr>
          <w:rtl/>
          <w:lang w:bidi="fa-IR"/>
        </w:rPr>
        <w:t xml:space="preserve"> </w:t>
      </w:r>
      <w:r w:rsidRPr="00020424">
        <w:rPr>
          <w:rtl/>
          <w:lang w:bidi="fa-IR"/>
        </w:rPr>
        <w:t xml:space="preserve">بَابُ الْمَنِّ </w:t>
      </w:r>
      <w:r w:rsidRPr="00A91B96">
        <w:rPr>
          <w:rStyle w:val="libFootnotenumChar"/>
          <w:rtl/>
        </w:rPr>
        <w:t>(12)</w:t>
      </w:r>
      <w:r w:rsidRPr="00020424">
        <w:rPr>
          <w:rtl/>
          <w:lang w:bidi="fa-IR"/>
        </w:rPr>
        <w:t xml:space="preserve"> ‌</w:t>
      </w:r>
      <w:bookmarkEnd w:id="211"/>
      <w:bookmarkEnd w:id="212"/>
      <w:bookmarkEnd w:id="213"/>
    </w:p>
    <w:p w:rsidR="00992664" w:rsidRPr="00020424" w:rsidRDefault="00992664" w:rsidP="00992664">
      <w:pPr>
        <w:pStyle w:val="libNormal"/>
        <w:rPr>
          <w:rtl/>
          <w:lang w:bidi="fa-IR"/>
        </w:rPr>
      </w:pPr>
      <w:r w:rsidRPr="00642C8D">
        <w:rPr>
          <w:rtl/>
        </w:rPr>
        <w:t>6085</w:t>
      </w:r>
      <w:r w:rsidRPr="001155DE">
        <w:rPr>
          <w:rStyle w:val="libBold2Char"/>
          <w:rtl/>
        </w:rPr>
        <w:t xml:space="preserve"> / 1.</w:t>
      </w:r>
      <w:r w:rsidRPr="00020424">
        <w:rPr>
          <w:rtl/>
          <w:lang w:bidi="fa-IR"/>
        </w:rPr>
        <w:t xml:space="preserve"> مُحَمَّدُ بْنُ يَحْيى ، عَنْ أَحْمَدَ بْنِ مُحَمَّدِ بْنِ عِيسى ، عَنِ الْحَسَنِ بْنِ مُوسى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E03CF" w:rsidTr="00EE03CF">
        <w:tc>
          <w:tcPr>
            <w:tcW w:w="4006" w:type="dxa"/>
          </w:tcPr>
          <w:p w:rsidR="00EE03CF" w:rsidRDefault="00EE03CF" w:rsidP="00992664">
            <w:pPr>
              <w:pStyle w:val="libFootnote0"/>
              <w:rPr>
                <w:rtl/>
              </w:rPr>
            </w:pPr>
            <w:r>
              <w:rPr>
                <w:rtl/>
              </w:rPr>
              <w:t xml:space="preserve">(1). </w:t>
            </w:r>
            <w:r w:rsidRPr="00020424">
              <w:rPr>
                <w:rtl/>
              </w:rPr>
              <w:t>في « بح ، بخ » : « ولكنّي</w:t>
            </w:r>
            <w:r>
              <w:rPr>
                <w:rtl/>
              </w:rPr>
              <w:t xml:space="preserve"> ».</w:t>
            </w:r>
          </w:p>
        </w:tc>
        <w:tc>
          <w:tcPr>
            <w:tcW w:w="4006" w:type="dxa"/>
          </w:tcPr>
          <w:p w:rsidR="00EE03CF" w:rsidRDefault="00EE03CF" w:rsidP="00992664">
            <w:pPr>
              <w:pStyle w:val="libFootnote0"/>
              <w:rPr>
                <w:rtl/>
              </w:rPr>
            </w:pPr>
            <w:r>
              <w:rPr>
                <w:rtl/>
              </w:rPr>
              <w:t xml:space="preserve">(2). </w:t>
            </w:r>
            <w:r w:rsidRPr="00020424">
              <w:rPr>
                <w:rtl/>
              </w:rPr>
              <w:t>في « بح » : « فقال لي » بدل « قال : فقال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 « فتهن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رجال الكشّي</w:t>
      </w:r>
      <w:r w:rsidR="00992664" w:rsidRPr="00020424">
        <w:rPr>
          <w:rtl/>
        </w:rPr>
        <w:t xml:space="preserve"> ، ص 183 ، ح 320 ، عن محمّد بن إبراهيم العبيدي ، عن مفضّل بن قيس بن رمّانة. </w:t>
      </w:r>
      <w:r w:rsidR="00992664" w:rsidRPr="00DE76B9">
        <w:rPr>
          <w:rStyle w:val="libFootnoteBoldChar"/>
          <w:rtl/>
        </w:rPr>
        <w:t>وفيه</w:t>
      </w:r>
      <w:r w:rsidR="00992664" w:rsidRPr="00020424">
        <w:rPr>
          <w:rtl/>
        </w:rPr>
        <w:t xml:space="preserve"> ، ص 184 ، ح 322 ، بسنده عن عليّ بن الحسن ، عن العبّاس بن عامر ، عن مفضّل بن قيس بن رمّانة ، وفيهما مع اختلاف يسير </w:t>
      </w:r>
      <w:r w:rsidR="00992664" w:rsidRPr="0012008A">
        <w:rPr>
          <w:rStyle w:val="libFootnoteBoldChar"/>
          <w:rtl/>
        </w:rPr>
        <w:t>الوافي</w:t>
      </w:r>
      <w:r w:rsidR="00992664" w:rsidRPr="00020424">
        <w:rPr>
          <w:rtl/>
        </w:rPr>
        <w:t xml:space="preserve"> ، ج 10 ، ص 431 ، ح 9822 ؛ </w:t>
      </w:r>
      <w:r w:rsidR="00992664" w:rsidRPr="0012008A">
        <w:rPr>
          <w:rStyle w:val="libFootnoteBoldChar"/>
          <w:rtl/>
        </w:rPr>
        <w:t>الوسائل</w:t>
      </w:r>
      <w:r w:rsidR="00992664" w:rsidRPr="00020424">
        <w:rPr>
          <w:rtl/>
        </w:rPr>
        <w:t xml:space="preserve"> ، ج 9 ، ص 445 ، ح 12457 ؛ </w:t>
      </w:r>
      <w:r w:rsidR="00992664" w:rsidRPr="00DE76B9">
        <w:rPr>
          <w:rStyle w:val="libFootnoteBoldChar"/>
          <w:rtl/>
        </w:rPr>
        <w:t>وفيه</w:t>
      </w:r>
      <w:r w:rsidR="00992664" w:rsidRPr="00020424">
        <w:rPr>
          <w:rtl/>
        </w:rPr>
        <w:t xml:space="preserve"> ، ج 17 ، ص 215 ، ح 22364 ، إلى قوله : « فخذها وتفرّج بها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لحاء الشجر » : قشرها. راجع : </w:t>
      </w:r>
      <w:r w:rsidR="00992664" w:rsidRPr="0012008A">
        <w:rPr>
          <w:rStyle w:val="libFootnoteBoldChar"/>
          <w:rtl/>
        </w:rPr>
        <w:t>الصحاح</w:t>
      </w:r>
      <w:r w:rsidR="00992664" w:rsidRPr="00020424">
        <w:rPr>
          <w:rtl/>
        </w:rPr>
        <w:t xml:space="preserve"> ، ج 6 ، ص 2480 ؛ </w:t>
      </w:r>
      <w:r w:rsidR="00992664" w:rsidRPr="0012008A">
        <w:rPr>
          <w:rStyle w:val="libFootnoteBoldChar"/>
          <w:rtl/>
        </w:rPr>
        <w:t>النهاية</w:t>
      </w:r>
      <w:r w:rsidR="00992664" w:rsidRPr="00020424">
        <w:rPr>
          <w:rtl/>
        </w:rPr>
        <w:t xml:space="preserve"> ، ج 4 ، ص 243 ( لحا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بح » : + « 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ولا تظهر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E03CF" w:rsidTr="00EE03CF">
        <w:tc>
          <w:tcPr>
            <w:tcW w:w="4006" w:type="dxa"/>
          </w:tcPr>
          <w:p w:rsidR="00EE03CF" w:rsidRDefault="00EE03CF" w:rsidP="00992664">
            <w:pPr>
              <w:pStyle w:val="libFootnote0"/>
              <w:rPr>
                <w:rtl/>
              </w:rPr>
            </w:pPr>
            <w:r>
              <w:rPr>
                <w:rtl/>
              </w:rPr>
              <w:t xml:space="preserve">(8). </w:t>
            </w:r>
            <w:r w:rsidRPr="00020424">
              <w:rPr>
                <w:rtl/>
              </w:rPr>
              <w:t>في « بف » : « فلا ينفعوك</w:t>
            </w:r>
            <w:r>
              <w:rPr>
                <w:rtl/>
              </w:rPr>
              <w:t xml:space="preserve"> ».</w:t>
            </w:r>
          </w:p>
        </w:tc>
        <w:tc>
          <w:tcPr>
            <w:tcW w:w="4006" w:type="dxa"/>
          </w:tcPr>
          <w:p w:rsidR="00EE03CF" w:rsidRDefault="00EE03CF" w:rsidP="00992664">
            <w:pPr>
              <w:pStyle w:val="libFootnote0"/>
              <w:rPr>
                <w:rtl/>
              </w:rPr>
            </w:pPr>
            <w:r>
              <w:rPr>
                <w:rtl/>
              </w:rPr>
              <w:t xml:space="preserve">(9). </w:t>
            </w:r>
            <w:r w:rsidRPr="00020424">
              <w:rPr>
                <w:rtl/>
              </w:rPr>
              <w:t xml:space="preserve">في </w:t>
            </w:r>
            <w:r w:rsidRPr="00EE03CF">
              <w:rPr>
                <w:rtl/>
              </w:rPr>
              <w:t>الوافي</w:t>
            </w:r>
            <w:r w:rsidRPr="00020424">
              <w:rPr>
                <w:rtl/>
              </w:rPr>
              <w:t xml:space="preserve"> : « واسأله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فمن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10 ، ص 432 ، ح 9823 ؛ </w:t>
      </w:r>
      <w:r w:rsidR="00992664" w:rsidRPr="0012008A">
        <w:rPr>
          <w:rStyle w:val="libFootnoteBoldChar"/>
          <w:rtl/>
        </w:rPr>
        <w:t>الوسائل</w:t>
      </w:r>
      <w:r w:rsidR="00992664" w:rsidRPr="00020424">
        <w:rPr>
          <w:rtl/>
        </w:rPr>
        <w:t xml:space="preserve"> ، ج 9 ، ص 445 ، ح 12459.</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بف » : + « في الصدقة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EE03CF">
      <w:pPr>
        <w:pStyle w:val="libNormal0"/>
        <w:rPr>
          <w:rtl/>
          <w:lang w:bidi="fa-IR"/>
        </w:rPr>
      </w:pPr>
      <w:r w:rsidRPr="00020424">
        <w:rPr>
          <w:rtl/>
          <w:lang w:bidi="fa-IR"/>
        </w:rPr>
        <w:t xml:space="preserve">عَنْ غِيَاثٍ </w:t>
      </w:r>
      <w:r w:rsidRPr="00A91B96">
        <w:rPr>
          <w:rStyle w:val="libFootnotenumChar"/>
          <w:rtl/>
        </w:rPr>
        <w:t>(1)</w:t>
      </w:r>
      <w:r w:rsidRPr="00020424">
        <w:rPr>
          <w:rtl/>
          <w:lang w:bidi="fa-IR"/>
        </w:rPr>
        <w:t xml:space="preserve">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كَرِهَ لِي سِتَّ خِصَالٍ ، وَكَرِهْتُهَا </w:t>
      </w:r>
      <w:r w:rsidRPr="00A91B96">
        <w:rPr>
          <w:rStyle w:val="libFootnotenumChar"/>
          <w:rtl/>
        </w:rPr>
        <w:t>(2)</w:t>
      </w:r>
      <w:r w:rsidRPr="00020424">
        <w:rPr>
          <w:rtl/>
          <w:lang w:bidi="fa-IR"/>
        </w:rPr>
        <w:t xml:space="preserve"> لِلْأَوْصِيَاءِ مِنْ وُلْدِي وَأَتْبَاعِهِمْ مِنْ بَعْدِي ، مِنْهَا : الْمَنُّ بَعْدَ الصَّدَقَةِ</w:t>
      </w:r>
      <w:r>
        <w:rPr>
          <w:rtl/>
          <w:lang w:bidi="fa-IR"/>
        </w:rPr>
        <w:t>».</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42C8D">
        <w:rPr>
          <w:rtl/>
        </w:rPr>
        <w:t>6086</w:t>
      </w:r>
      <w:r w:rsidRPr="001155DE">
        <w:rPr>
          <w:rStyle w:val="libBold2Char"/>
          <w:rtl/>
        </w:rPr>
        <w:t xml:space="preserve"> / 2.</w:t>
      </w:r>
      <w:r w:rsidRPr="00020424">
        <w:rPr>
          <w:rtl/>
          <w:lang w:bidi="fa-IR"/>
        </w:rPr>
        <w:t xml:space="preserve"> عِدَّةٌ مِنْ أَصْحَابِنَا ، عَنْ أَحْمَدَ بْنِ أَبِي عَبْدِ اللهِ رَفَعَهُ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الْمَنُّ يَهْدِمُ الصَّنِيعَةَ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روى الصدوق تفصيل الخبر في </w:t>
      </w:r>
      <w:r w:rsidR="00992664" w:rsidRPr="00A722B1">
        <w:rPr>
          <w:rStyle w:val="libFootnoteBoldChar"/>
          <w:rtl/>
        </w:rPr>
        <w:t>الخصال</w:t>
      </w:r>
      <w:r w:rsidR="00992664" w:rsidRPr="00020424">
        <w:rPr>
          <w:rtl/>
        </w:rPr>
        <w:t xml:space="preserve"> ، ص 327 ، ح 19 ، بسنده عن الحسن بن موسى الخشّاب ، عن غياث بن إبراهيم ، عن إسحاق بن عمّار. لكنّ المراد من غياث المتوسّط بين الحسن بن موسى وإسحاق بن عمّار ، هو غياث بن كلّوب الراوي لكتاب إسحاق بن عمّار ؛ فقد روى الحسن بن موسى الخشّاب عن غياث بن كلّوب بن فيهس كتاب إسحاق بن عمّار ، وتكرّر هذا الطريق في عددٍ من الأسناد. راجع : </w:t>
      </w:r>
      <w:r w:rsidR="00992664" w:rsidRPr="00DE76B9">
        <w:rPr>
          <w:rStyle w:val="libFootnoteBoldChar"/>
          <w:rtl/>
        </w:rPr>
        <w:t>الفهرست</w:t>
      </w:r>
      <w:r w:rsidR="00992664" w:rsidRPr="00020424">
        <w:rPr>
          <w:rtl/>
        </w:rPr>
        <w:t xml:space="preserve"> : « للطّوسي ، ص 355 ، الرقم 52 ؛ </w:t>
      </w:r>
      <w:r w:rsidR="00992664" w:rsidRPr="00DE76B9">
        <w:rPr>
          <w:rStyle w:val="libFootnoteBoldChar"/>
          <w:rtl/>
        </w:rPr>
        <w:t>رجال النجاشي</w:t>
      </w:r>
      <w:r w:rsidR="00992664" w:rsidRPr="00020424">
        <w:rPr>
          <w:rtl/>
        </w:rPr>
        <w:t xml:space="preserve"> ، ص 71 ، الرقم 169 ؛ </w:t>
      </w:r>
      <w:r w:rsidR="00992664" w:rsidRPr="00DE76B9">
        <w:rPr>
          <w:rStyle w:val="libFootnoteBoldChar"/>
          <w:rtl/>
        </w:rPr>
        <w:t>معجم رجال الحديث</w:t>
      </w:r>
      <w:r w:rsidR="00992664" w:rsidRPr="00020424">
        <w:rPr>
          <w:rtl/>
        </w:rPr>
        <w:t xml:space="preserve"> ، ج 13 ، ص 426</w:t>
      </w:r>
      <w:r w:rsidR="00992664">
        <w:rPr>
          <w:rtl/>
        </w:rPr>
        <w:t xml:space="preserve"> </w:t>
      </w:r>
      <w:r w:rsidR="009B673F">
        <w:rPr>
          <w:rtl/>
        </w:rPr>
        <w:t>-</w:t>
      </w:r>
      <w:r w:rsidR="00992664">
        <w:rPr>
          <w:rtl/>
        </w:rPr>
        <w:t xml:space="preserve"> </w:t>
      </w:r>
      <w:r w:rsidR="00992664" w:rsidRPr="00020424">
        <w:rPr>
          <w:rtl/>
        </w:rPr>
        <w:t>427.</w:t>
      </w:r>
    </w:p>
    <w:p w:rsidR="00992664" w:rsidRPr="00020424" w:rsidRDefault="00992664" w:rsidP="00EE03CF">
      <w:pPr>
        <w:pStyle w:val="libFootnote0"/>
        <w:rPr>
          <w:rtl/>
          <w:lang w:bidi="fa-IR"/>
        </w:rPr>
      </w:pPr>
      <w:r w:rsidRPr="00EE03CF">
        <w:rPr>
          <w:rtl/>
        </w:rPr>
        <w:t xml:space="preserve">والظاهر أنّ الأصل في السند كان هكذا : « غياث ، عن إسحاق بن عمّار » </w:t>
      </w:r>
      <w:r w:rsidR="009B673F" w:rsidRPr="00EE03CF">
        <w:rPr>
          <w:rtl/>
        </w:rPr>
        <w:t>-</w:t>
      </w:r>
      <w:r w:rsidRPr="00EE03CF">
        <w:rPr>
          <w:rtl/>
        </w:rPr>
        <w:t xml:space="preserve"> كما في ما نحن فيه </w:t>
      </w:r>
      <w:r w:rsidR="009B673F" w:rsidRPr="00EE03CF">
        <w:rPr>
          <w:rtl/>
        </w:rPr>
        <w:t>-</w:t>
      </w:r>
      <w:r w:rsidRPr="00EE03CF">
        <w:rPr>
          <w:rtl/>
        </w:rPr>
        <w:t xml:space="preserve"> ففسِّر غياث ب</w:t>
      </w:r>
      <w:r w:rsidR="00EE03CF">
        <w:rPr>
          <w:rFonts w:hint="cs"/>
          <w:rtl/>
        </w:rPr>
        <w:t>ـ</w:t>
      </w:r>
      <w:r w:rsidRPr="00EE03CF">
        <w:rPr>
          <w:rtl/>
        </w:rPr>
        <w:t xml:space="preserve"> « ابن إبراهيم » ثمّ ا</w:t>
      </w:r>
      <w:r w:rsidR="00EE03CF">
        <w:rPr>
          <w:rFonts w:hint="cs"/>
          <w:rtl/>
        </w:rPr>
        <w:t>ُ</w:t>
      </w:r>
      <w:r w:rsidRPr="00EE03CF">
        <w:rPr>
          <w:rtl/>
        </w:rPr>
        <w:t>درج « بن إبراهيم</w:t>
      </w:r>
      <w:r w:rsidRPr="00D82B22">
        <w:rPr>
          <w:rtl/>
        </w:rPr>
        <w:t xml:space="preserve"> » في المتن بتخيّل سقوطه منه.</w:t>
      </w:r>
    </w:p>
    <w:p w:rsidR="00992664" w:rsidRPr="00020424" w:rsidRDefault="00992664" w:rsidP="00992664">
      <w:pPr>
        <w:pStyle w:val="libFootnote0"/>
        <w:rPr>
          <w:rtl/>
          <w:lang w:bidi="fa-IR"/>
        </w:rPr>
      </w:pPr>
      <w:r w:rsidRPr="00EE03CF">
        <w:rPr>
          <w:rtl/>
        </w:rPr>
        <w:t xml:space="preserve">ثمّ إنّ تفصيل الخبر ورد في </w:t>
      </w:r>
      <w:r w:rsidRPr="00587829">
        <w:rPr>
          <w:rStyle w:val="libFootnoteBoldChar"/>
          <w:rtl/>
        </w:rPr>
        <w:t>الأمالي للصدوق</w:t>
      </w:r>
      <w:r w:rsidRPr="00EE03CF">
        <w:rPr>
          <w:rtl/>
        </w:rPr>
        <w:t xml:space="preserve"> </w:t>
      </w:r>
      <w:r w:rsidRPr="00D27EE2">
        <w:rPr>
          <w:rStyle w:val="libFootnoteBoldChar"/>
          <w:rtl/>
        </w:rPr>
        <w:t>وفضائل الأشهر الثلاثة</w:t>
      </w:r>
      <w:r w:rsidRPr="00DE76B9">
        <w:rPr>
          <w:rStyle w:val="libFootnoteBoldChar"/>
          <w:rtl/>
        </w:rPr>
        <w:t xml:space="preserve"> </w:t>
      </w:r>
      <w:r w:rsidRPr="00EE03CF">
        <w:rPr>
          <w:rtl/>
        </w:rPr>
        <w:t>، وفيهما أيضاً خلل ، فلاحظ.</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62 </w:t>
      </w:r>
      <w:r w:rsidR="00992664" w:rsidRPr="00D27EE2">
        <w:rPr>
          <w:rStyle w:val="libFootnoteBoldChar"/>
          <w:rtl/>
        </w:rPr>
        <w:t>وفضائل الأشهر الثلاثة</w:t>
      </w:r>
      <w:r w:rsidR="00992664" w:rsidRPr="00020424">
        <w:rPr>
          <w:rtl/>
        </w:rPr>
        <w:t xml:space="preserve"> : « وكرهتهنّ</w:t>
      </w:r>
      <w:r w:rsidR="00992664">
        <w:rPr>
          <w:rtl/>
        </w:rPr>
        <w:t xml:space="preserve"> ».</w:t>
      </w:r>
    </w:p>
    <w:p w:rsidR="00992664" w:rsidRPr="00020424" w:rsidRDefault="00795177" w:rsidP="00587829">
      <w:pPr>
        <w:pStyle w:val="libFootnote0"/>
        <w:rPr>
          <w:rtl/>
          <w:lang w:bidi="fa-IR"/>
        </w:rPr>
      </w:pPr>
      <w:r>
        <w:rPr>
          <w:rtl/>
        </w:rPr>
        <w:t>(3).</w:t>
      </w:r>
      <w:r w:rsidR="0014403D">
        <w:rPr>
          <w:rtl/>
        </w:rPr>
        <w:t xml:space="preserve"> </w:t>
      </w:r>
      <w:r w:rsidR="00992664" w:rsidRPr="00587829">
        <w:rPr>
          <w:rStyle w:val="libFootnoteBoldChar"/>
          <w:rtl/>
        </w:rPr>
        <w:t>الأمالي للصدوق</w:t>
      </w:r>
      <w:r w:rsidR="00992664" w:rsidRPr="00020424">
        <w:rPr>
          <w:rtl/>
        </w:rPr>
        <w:t xml:space="preserve"> ، ص 62 ، المجلس 15 ، ح 3 ؛ </w:t>
      </w:r>
      <w:r w:rsidR="00992664" w:rsidRPr="00D27EE2">
        <w:rPr>
          <w:rStyle w:val="libFootnoteBoldChar"/>
          <w:rtl/>
        </w:rPr>
        <w:t>وفضائل الأشهر الثلاثة</w:t>
      </w:r>
      <w:r w:rsidR="00992664" w:rsidRPr="00020424">
        <w:rPr>
          <w:rtl/>
        </w:rPr>
        <w:t xml:space="preserve"> ، ص 76 ، ح 60 ، بسندهما عن أحمد بن محمّد بن عيسى ، عن الحسين بن موسى ، عن غياث بن إبراهيم ،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A722B1">
        <w:rPr>
          <w:rStyle w:val="libFootnoteBoldChar"/>
          <w:rtl/>
        </w:rPr>
        <w:t>الخصال</w:t>
      </w:r>
      <w:r w:rsidR="00992664" w:rsidRPr="00020424">
        <w:rPr>
          <w:rtl/>
        </w:rPr>
        <w:t xml:space="preserve"> ، ص 327 ، باب الستّة ، ح 19 ، بسنده عن الحسن بن موسى‌الخشّاب ، عن غياث بن إبراهيم ، عن إسحاق بن عمّار. </w:t>
      </w:r>
      <w:r w:rsidR="00D64ADA" w:rsidRPr="00D64ADA">
        <w:rPr>
          <w:rStyle w:val="libFootnoteBoldChar"/>
          <w:rtl/>
        </w:rPr>
        <w:t>المحاسن</w:t>
      </w:r>
      <w:r w:rsidR="00992664" w:rsidRPr="00020424">
        <w:rPr>
          <w:rtl/>
        </w:rPr>
        <w:t xml:space="preserve"> ، ص 10 ، كتاب القرائن ، ح 31 ، بسند آخر. </w:t>
      </w:r>
      <w:r w:rsidR="00992664" w:rsidRPr="00DE76B9">
        <w:rPr>
          <w:rStyle w:val="libFootnoteBoldChar"/>
          <w:rtl/>
        </w:rPr>
        <w:t>الجعفريّات</w:t>
      </w:r>
      <w:r w:rsidR="00992664" w:rsidRPr="00020424">
        <w:rPr>
          <w:rtl/>
        </w:rPr>
        <w:t xml:space="preserve"> ، ص 36 ؛ </w:t>
      </w:r>
      <w:r w:rsidR="00992664" w:rsidRPr="00FD6221">
        <w:rPr>
          <w:rStyle w:val="libFootnoteBoldChar"/>
          <w:rtl/>
        </w:rPr>
        <w:t>والفقيه</w:t>
      </w:r>
      <w:r w:rsidR="00992664" w:rsidRPr="00020424">
        <w:rPr>
          <w:rtl/>
        </w:rPr>
        <w:t xml:space="preserve"> ، ج 4 ، ص 356 ، ضمن الحديث الطويل 5762 ، وفي كلّ المصادر مع ذكر سائر </w:t>
      </w:r>
      <w:r w:rsidR="00992664" w:rsidRPr="00A722B1">
        <w:rPr>
          <w:rStyle w:val="libFootnoteBoldChar"/>
          <w:rtl/>
        </w:rPr>
        <w:t>الخصال</w:t>
      </w:r>
      <w:r w:rsidR="00992664" w:rsidRPr="00020424">
        <w:rPr>
          <w:rtl/>
        </w:rPr>
        <w:t xml:space="preserve"> الستّة ، وفي الثلاثة الأخيرة مع اختلاف يسير. وفي </w:t>
      </w:r>
      <w:r w:rsidR="00992664" w:rsidRPr="00587829">
        <w:rPr>
          <w:rStyle w:val="libFootnoteBoldChar"/>
          <w:rtl/>
        </w:rPr>
        <w:t>الأمالي للصدوق</w:t>
      </w:r>
      <w:r w:rsidR="00992664" w:rsidRPr="00020424">
        <w:rPr>
          <w:rtl/>
        </w:rPr>
        <w:t xml:space="preserve"> ، ص 301 ، المجلس 50 ، ضمن ح 3 ؛ </w:t>
      </w:r>
      <w:r w:rsidR="00992664" w:rsidRPr="00FD6221">
        <w:rPr>
          <w:rStyle w:val="libFootnoteBoldChar"/>
          <w:rtl/>
        </w:rPr>
        <w:t>والخصال</w:t>
      </w:r>
      <w:r w:rsidR="00992664" w:rsidRPr="00020424">
        <w:rPr>
          <w:rtl/>
        </w:rPr>
        <w:t xml:space="preserve"> ، ص 520 ، أبواب العشرين ، ضمن ح 9 ، مع اختلاف ، وفي الأربعة الأخيرة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1 ، ص 188 ، ح 575 ؛ وج 2 ، ص 71 ، ح 1761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ذكر سائر </w:t>
      </w:r>
      <w:r w:rsidR="00992664" w:rsidRPr="00587829">
        <w:rPr>
          <w:rtl/>
        </w:rPr>
        <w:t>الخصال</w:t>
      </w:r>
      <w:r w:rsidR="00992664" w:rsidRPr="00020424">
        <w:rPr>
          <w:rtl/>
        </w:rPr>
        <w:t xml:space="preserve"> الستّة. راجع : </w:t>
      </w:r>
      <w:r w:rsidR="00992664" w:rsidRPr="00DE76B9">
        <w:rPr>
          <w:rStyle w:val="libFootnoteBoldChar"/>
          <w:rtl/>
        </w:rPr>
        <w:t>الكافي</w:t>
      </w:r>
      <w:r w:rsidR="00992664" w:rsidRPr="00020424">
        <w:rPr>
          <w:rtl/>
        </w:rPr>
        <w:t xml:space="preserve"> ، كتاب الصيام ، باب أدب الصائم ، ح 6330 ؛ </w:t>
      </w:r>
      <w:r w:rsidR="00992664" w:rsidRPr="00FD6221">
        <w:rPr>
          <w:rStyle w:val="libFootnoteBoldChar"/>
          <w:rtl/>
        </w:rPr>
        <w:t>والفقيه</w:t>
      </w:r>
      <w:r w:rsidR="00992664" w:rsidRPr="00020424">
        <w:rPr>
          <w:rtl/>
        </w:rPr>
        <w:t xml:space="preserve"> ، ج 2 ، ص 108 ، ح 1856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4 ، ص 195 ، ح 559 </w:t>
      </w:r>
      <w:r w:rsidR="00587829">
        <w:rPr>
          <w:rFonts w:hint="cs"/>
          <w:rtl/>
        </w:rPr>
        <w:t>.</w:t>
      </w:r>
      <w:r w:rsidR="00992664" w:rsidRPr="0012008A">
        <w:rPr>
          <w:rStyle w:val="libFootnoteBoldChar"/>
          <w:rtl/>
        </w:rPr>
        <w:t>الوافي</w:t>
      </w:r>
      <w:r w:rsidR="00992664" w:rsidRPr="00020424">
        <w:rPr>
          <w:rtl/>
        </w:rPr>
        <w:t xml:space="preserve"> ، ج 10 ، ص 424 ، ح 9807 ؛ </w:t>
      </w:r>
      <w:r w:rsidR="00992664" w:rsidRPr="0012008A">
        <w:rPr>
          <w:rStyle w:val="libFootnoteBoldChar"/>
          <w:rtl/>
        </w:rPr>
        <w:t>الوسائل</w:t>
      </w:r>
      <w:r w:rsidR="00992664" w:rsidRPr="00020424">
        <w:rPr>
          <w:rtl/>
        </w:rPr>
        <w:t xml:space="preserve"> ، ج 9 ، ص 451 ، ح 12477.</w:t>
      </w:r>
      <w:r w:rsidR="00587829">
        <w:rPr>
          <w:rFonts w:hint="cs"/>
          <w:rtl/>
        </w:rPr>
        <w:t xml:space="preserve">   </w:t>
      </w:r>
      <w:r>
        <w:rPr>
          <w:rtl/>
        </w:rPr>
        <w:t>(4).</w:t>
      </w:r>
      <w:r w:rsidR="0014403D">
        <w:rPr>
          <w:rtl/>
        </w:rPr>
        <w:t xml:space="preserve"> </w:t>
      </w:r>
      <w:r w:rsidR="00992664" w:rsidRPr="00020424">
        <w:rPr>
          <w:rtl/>
        </w:rPr>
        <w:t xml:space="preserve">في « بف » وهامش </w:t>
      </w:r>
      <w:r w:rsidR="00992664" w:rsidRPr="00587829">
        <w:rPr>
          <w:rtl/>
        </w:rPr>
        <w:t>الوافي</w:t>
      </w:r>
      <w:r w:rsidR="00992664" w:rsidRPr="00020424">
        <w:rPr>
          <w:rtl/>
        </w:rPr>
        <w:t xml:space="preserve"> : « الصدقة</w:t>
      </w:r>
      <w:r w:rsidR="00992664">
        <w:rPr>
          <w:rtl/>
        </w:rPr>
        <w:t xml:space="preserve"> ».</w:t>
      </w:r>
    </w:p>
    <w:p w:rsidR="0099266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71 ، ح 1760 ، مرسلاً. </w:t>
      </w:r>
      <w:r w:rsidR="00992664" w:rsidRPr="00DE76B9">
        <w:rPr>
          <w:rStyle w:val="libFootnoteBoldChar"/>
          <w:rtl/>
        </w:rPr>
        <w:t>ديوان الإمام عليّ</w:t>
      </w:r>
      <w:r w:rsidR="00992664" w:rsidRPr="00020424">
        <w:rPr>
          <w:rtl/>
        </w:rPr>
        <w:t xml:space="preserve"> </w:t>
      </w:r>
      <w:r w:rsidR="00992664" w:rsidRPr="00D64ADA">
        <w:rPr>
          <w:rStyle w:val="libFootnoteAlaemChar"/>
          <w:rtl/>
        </w:rPr>
        <w:t>عليه‌السلام</w:t>
      </w:r>
      <w:r w:rsidR="00992664" w:rsidRPr="00020424">
        <w:rPr>
          <w:rtl/>
        </w:rPr>
        <w:t xml:space="preserve"> ، ص 256 ، وتمامه فيه هكذا :</w:t>
      </w:r>
      <w:r w:rsidR="00587829">
        <w:rPr>
          <w:rFonts w:hint="cs"/>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14" w:name="_Toc345172788"/>
      <w:bookmarkStart w:id="215" w:name="_Toc464562604"/>
      <w:bookmarkStart w:id="216" w:name="_Toc44599907"/>
      <w:r w:rsidRPr="00020424">
        <w:rPr>
          <w:rtl/>
          <w:lang w:bidi="fa-IR"/>
        </w:rPr>
        <w:t>66</w:t>
      </w:r>
      <w:r>
        <w:rPr>
          <w:rtl/>
          <w:lang w:bidi="fa-IR"/>
        </w:rPr>
        <w:t xml:space="preserve"> </w:t>
      </w:r>
      <w:r w:rsidR="009B673F">
        <w:rPr>
          <w:rtl/>
          <w:lang w:bidi="fa-IR"/>
        </w:rPr>
        <w:t>-</w:t>
      </w:r>
      <w:r>
        <w:rPr>
          <w:rtl/>
          <w:lang w:bidi="fa-IR"/>
        </w:rPr>
        <w:t xml:space="preserve"> </w:t>
      </w:r>
      <w:r w:rsidRPr="00020424">
        <w:rPr>
          <w:rtl/>
          <w:lang w:bidi="fa-IR"/>
        </w:rPr>
        <w:t>بَابُ مَنْ أَعْطى بَعْدَ الْمَسْأَلَةِ‌</w:t>
      </w:r>
      <w:bookmarkEnd w:id="214"/>
      <w:bookmarkEnd w:id="215"/>
      <w:bookmarkEnd w:id="216"/>
    </w:p>
    <w:p w:rsidR="00992664" w:rsidRPr="00020424" w:rsidRDefault="00992664" w:rsidP="00992664">
      <w:pPr>
        <w:pStyle w:val="libNormal"/>
        <w:rPr>
          <w:rtl/>
          <w:lang w:bidi="fa-IR"/>
        </w:rPr>
      </w:pPr>
      <w:r w:rsidRPr="004D27DB">
        <w:rPr>
          <w:rtl/>
        </w:rPr>
        <w:t>6087</w:t>
      </w:r>
      <w:r w:rsidRPr="001155DE">
        <w:rPr>
          <w:rStyle w:val="libBold2Char"/>
          <w:rtl/>
        </w:rPr>
        <w:t xml:space="preserve"> / 1.</w:t>
      </w:r>
      <w:r w:rsidRPr="00020424">
        <w:rPr>
          <w:rtl/>
          <w:lang w:bidi="fa-IR"/>
        </w:rPr>
        <w:t xml:space="preserve"> عَلِيُّ بْنُ إِبْرَاهِيمَ ، عَنْ هَارُونَ بْنِ مُسْلِمٍ </w:t>
      </w:r>
      <w:r w:rsidRPr="00A91B96">
        <w:rPr>
          <w:rStyle w:val="libFootnotenumChar"/>
          <w:rtl/>
        </w:rPr>
        <w:t>(1)</w:t>
      </w:r>
      <w:r w:rsidRPr="00020424">
        <w:rPr>
          <w:rtl/>
          <w:lang w:bidi="fa-IR"/>
        </w:rPr>
        <w:t xml:space="preserve"> ، عَنْ مَسْعَدَةَ بْنِ صَدَقَةَ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 أَنَّ أَمِيرَ الْمُؤْمِنِينَ</w:t>
      </w:r>
      <w:r>
        <w:rPr>
          <w:rtl/>
          <w:lang w:bidi="fa-IR"/>
        </w:rPr>
        <w:t xml:space="preserve"> </w:t>
      </w:r>
      <w:r w:rsidR="009B673F">
        <w:rPr>
          <w:rtl/>
          <w:lang w:bidi="fa-IR"/>
        </w:rPr>
        <w:t>-</w:t>
      </w:r>
      <w:r>
        <w:rPr>
          <w:rtl/>
          <w:lang w:bidi="fa-IR"/>
        </w:rPr>
        <w:t xml:space="preserve"> </w:t>
      </w:r>
      <w:r w:rsidRPr="00020424">
        <w:rPr>
          <w:rtl/>
          <w:lang w:bidi="fa-IR"/>
        </w:rPr>
        <w:t xml:space="preserve">صَلَوَاتُ اللهِ عَلَيْهِ </w:t>
      </w:r>
      <w:r w:rsidRPr="00A91B96">
        <w:rPr>
          <w:rStyle w:val="libFootnotenumChar"/>
          <w:rtl/>
        </w:rPr>
        <w:t>(2)</w:t>
      </w:r>
      <w:r>
        <w:rPr>
          <w:rtl/>
          <w:lang w:bidi="fa-IR"/>
        </w:rPr>
        <w:t xml:space="preserve"> </w:t>
      </w:r>
      <w:r w:rsidR="009B673F">
        <w:rPr>
          <w:rtl/>
          <w:lang w:bidi="fa-IR"/>
        </w:rPr>
        <w:t>-</w:t>
      </w:r>
      <w:r>
        <w:rPr>
          <w:rtl/>
          <w:lang w:bidi="fa-IR"/>
        </w:rPr>
        <w:t xml:space="preserve"> </w:t>
      </w:r>
      <w:r w:rsidRPr="00020424">
        <w:rPr>
          <w:rtl/>
          <w:lang w:bidi="fa-IR"/>
        </w:rPr>
        <w:t xml:space="preserve">بَعَثَ إِلى رَجُلٍ بِخَمْسَةِ أَوْسَاقٍ </w:t>
      </w:r>
      <w:r w:rsidRPr="00A91B96">
        <w:rPr>
          <w:rStyle w:val="libFootnotenumChar"/>
          <w:rtl/>
        </w:rPr>
        <w:t>(3)</w:t>
      </w:r>
      <w:r w:rsidRPr="00020424">
        <w:rPr>
          <w:rtl/>
          <w:lang w:bidi="fa-IR"/>
        </w:rPr>
        <w:t xml:space="preserve"> مِنْ تَمْرِ الْبُغَيْبِغَةِ </w:t>
      </w:r>
      <w:r w:rsidRPr="00A91B96">
        <w:rPr>
          <w:rStyle w:val="libFootnotenumChar"/>
          <w:rtl/>
        </w:rPr>
        <w:t>(4)</w:t>
      </w:r>
      <w:r w:rsidRPr="00020424">
        <w:rPr>
          <w:rtl/>
          <w:lang w:bidi="fa-IR"/>
        </w:rPr>
        <w:t xml:space="preserve"> ، وَكَانَ الرَّجُلُ مِمَّنْ يَرْجُو نَوَافِلَهُ </w:t>
      </w:r>
      <w:r w:rsidRPr="00A91B96">
        <w:rPr>
          <w:rStyle w:val="libFootnotenumChar"/>
          <w:rtl/>
        </w:rPr>
        <w:t>(5)</w:t>
      </w:r>
      <w:r w:rsidRPr="00020424">
        <w:rPr>
          <w:rtl/>
          <w:lang w:bidi="fa-IR"/>
        </w:rPr>
        <w:t xml:space="preserve"> ،</w:t>
      </w:r>
    </w:p>
    <w:p w:rsidR="00992664" w:rsidRDefault="00992664" w:rsidP="00992664">
      <w:pPr>
        <w:pStyle w:val="libLine"/>
        <w:rPr>
          <w:rtl/>
          <w:lang w:bidi="fa-IR"/>
        </w:rPr>
      </w:pPr>
      <w:r w:rsidRPr="00020424">
        <w:rPr>
          <w:rtl/>
          <w:lang w:bidi="fa-IR"/>
        </w:rPr>
        <w:t>__________________</w:t>
      </w:r>
    </w:p>
    <w:p w:rsidR="00587829" w:rsidRDefault="00587829" w:rsidP="00587829">
      <w:pPr>
        <w:pStyle w:val="libFootnote0"/>
        <w:rPr>
          <w:rtl/>
          <w:lang w:bidi="fa-IR"/>
        </w:rPr>
      </w:pPr>
      <w:r>
        <w:rPr>
          <w:rFonts w:hint="cs"/>
          <w:rtl/>
          <w:lang w:bidi="fa-IR"/>
        </w:rPr>
        <w:t xml:space="preserve">= </w:t>
      </w:r>
    </w:p>
    <w:tbl>
      <w:tblPr>
        <w:tblStyle w:val="TableGrid"/>
        <w:bidiVisual/>
        <w:tblW w:w="4562" w:type="pct"/>
        <w:tblInd w:w="384" w:type="dxa"/>
        <w:tblLook w:val="01E0" w:firstRow="1" w:lastRow="1" w:firstColumn="1" w:lastColumn="1" w:noHBand="0" w:noVBand="0"/>
      </w:tblPr>
      <w:tblGrid>
        <w:gridCol w:w="3534"/>
        <w:gridCol w:w="272"/>
        <w:gridCol w:w="3504"/>
      </w:tblGrid>
      <w:tr w:rsidR="00587829" w:rsidTr="00395FF2">
        <w:trPr>
          <w:trHeight w:val="350"/>
        </w:trPr>
        <w:tc>
          <w:tcPr>
            <w:tcW w:w="3920" w:type="dxa"/>
            <w:shd w:val="clear" w:color="auto" w:fill="auto"/>
          </w:tcPr>
          <w:p w:rsidR="00587829" w:rsidRDefault="00587829" w:rsidP="00587829">
            <w:pPr>
              <w:pStyle w:val="libPoemFootnote"/>
            </w:pPr>
            <w:r w:rsidRPr="007943AD">
              <w:rPr>
                <w:rtl/>
              </w:rPr>
              <w:t>« الفضل من كرم الطبيعة</w:t>
            </w:r>
            <w:r w:rsidRPr="00725071">
              <w:rPr>
                <w:rStyle w:val="libPoemTiniChar0"/>
                <w:rtl/>
              </w:rPr>
              <w:br/>
              <w:t> </w:t>
            </w:r>
          </w:p>
        </w:tc>
        <w:tc>
          <w:tcPr>
            <w:tcW w:w="279" w:type="dxa"/>
            <w:shd w:val="clear" w:color="auto" w:fill="auto"/>
          </w:tcPr>
          <w:p w:rsidR="00587829" w:rsidRDefault="00587829" w:rsidP="00587829">
            <w:pPr>
              <w:pStyle w:val="libPoemFootnote"/>
              <w:rPr>
                <w:rtl/>
              </w:rPr>
            </w:pPr>
          </w:p>
        </w:tc>
        <w:tc>
          <w:tcPr>
            <w:tcW w:w="3881" w:type="dxa"/>
            <w:shd w:val="clear" w:color="auto" w:fill="auto"/>
          </w:tcPr>
          <w:p w:rsidR="00587829" w:rsidRDefault="00587829" w:rsidP="00587829">
            <w:pPr>
              <w:pStyle w:val="libPoemFootnote"/>
            </w:pPr>
            <w:r w:rsidRPr="007943AD">
              <w:rPr>
                <w:rtl/>
              </w:rPr>
              <w:t>والمنّ مفسدة الصنيعة »</w:t>
            </w:r>
            <w:r w:rsidRPr="00725071">
              <w:rPr>
                <w:rStyle w:val="libPoemTiniChar0"/>
                <w:rtl/>
              </w:rPr>
              <w:br/>
              <w:t> </w:t>
            </w:r>
          </w:p>
        </w:tc>
      </w:tr>
    </w:tbl>
    <w:p w:rsidR="00992664" w:rsidRPr="00020424" w:rsidRDefault="00587829" w:rsidP="00992664">
      <w:pPr>
        <w:pStyle w:val="libFootnote0"/>
        <w:rPr>
          <w:rtl/>
          <w:lang w:bidi="fa-IR"/>
        </w:rPr>
      </w:pPr>
      <w:r>
        <w:rPr>
          <w:rStyle w:val="libFootnoteBoldChar"/>
          <w:rFonts w:hint="cs"/>
          <w:rtl/>
        </w:rPr>
        <w:t>ا</w:t>
      </w:r>
      <w:r w:rsidR="00992664" w:rsidRPr="0012008A">
        <w:rPr>
          <w:rStyle w:val="libFootnoteBoldChar"/>
          <w:rtl/>
        </w:rPr>
        <w:t>لوافي</w:t>
      </w:r>
      <w:r w:rsidR="00992664" w:rsidRPr="00587829">
        <w:rPr>
          <w:rtl/>
        </w:rPr>
        <w:t xml:space="preserve"> ، ج 10 ، ص 425 ، ح 9808 ؛ </w:t>
      </w:r>
      <w:r w:rsidR="00992664" w:rsidRPr="0012008A">
        <w:rPr>
          <w:rStyle w:val="libFootnoteBoldChar"/>
          <w:rtl/>
        </w:rPr>
        <w:t>الوسائل</w:t>
      </w:r>
      <w:r w:rsidR="00992664" w:rsidRPr="00587829">
        <w:rPr>
          <w:rtl/>
        </w:rPr>
        <w:t xml:space="preserve"> ، ج 9 ، ص 452 ، ح 12478.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هامش المطبوع عن بعض النسخ : « مروان بن مسلم</w:t>
      </w:r>
      <w:r w:rsidR="00992664">
        <w:rPr>
          <w:rtl/>
        </w:rPr>
        <w:t xml:space="preserve"> ».</w:t>
      </w:r>
      <w:r w:rsidR="00992664" w:rsidRPr="00020424">
        <w:rPr>
          <w:rtl/>
        </w:rPr>
        <w:t xml:space="preserve"> هذا ، وقد روى هارون مسلم كتاب مسعدة بن صدقة ، وتكرّرت في الأسناد رواية عليّ بن إبراهيم ، عن هارون بن مسلم ، عن مسعدة بن صدقة. وأمّا مروان بن مسلم ، فلم تثبت روايته عن مسعدة بن صدقه ، ولا رواية عليّ بن إبراهيم عنه. راجع : </w:t>
      </w:r>
      <w:r w:rsidR="00992664" w:rsidRPr="00DE76B9">
        <w:rPr>
          <w:rStyle w:val="libFootnoteBoldChar"/>
          <w:rtl/>
        </w:rPr>
        <w:t>رجال النجاشي</w:t>
      </w:r>
      <w:r w:rsidR="00992664" w:rsidRPr="00020424">
        <w:rPr>
          <w:rtl/>
        </w:rPr>
        <w:t xml:space="preserve"> ، ص 415 ، الرقم 1108 ؛ </w:t>
      </w:r>
      <w:r w:rsidR="00992664" w:rsidRPr="00DE76B9">
        <w:rPr>
          <w:rStyle w:val="libFootnoteBoldChar"/>
          <w:rtl/>
        </w:rPr>
        <w:t>معجم رجال الحديث</w:t>
      </w:r>
      <w:r w:rsidR="00992664" w:rsidRPr="00020424">
        <w:rPr>
          <w:rtl/>
        </w:rPr>
        <w:t xml:space="preserve"> ، ج 19 ، ص 405</w:t>
      </w:r>
      <w:r w:rsidR="00992664">
        <w:rPr>
          <w:rtl/>
        </w:rPr>
        <w:t xml:space="preserve"> </w:t>
      </w:r>
      <w:r w:rsidR="009B673F">
        <w:rPr>
          <w:rtl/>
        </w:rPr>
        <w:t>-</w:t>
      </w:r>
      <w:r w:rsidR="00992664">
        <w:rPr>
          <w:rtl/>
        </w:rPr>
        <w:t xml:space="preserve"> </w:t>
      </w:r>
      <w:r w:rsidR="00992664" w:rsidRPr="00020424">
        <w:rPr>
          <w:rtl/>
        </w:rPr>
        <w:t>406.</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 وآله</w:t>
      </w:r>
      <w:r w:rsidR="00992664">
        <w:rPr>
          <w:rtl/>
        </w:rPr>
        <w:t xml:space="preserve"> ».</w:t>
      </w:r>
      <w:r w:rsidR="00992664" w:rsidRPr="00020424">
        <w:rPr>
          <w:rtl/>
        </w:rPr>
        <w:t xml:space="preserve"> وفي « بخ ، بف » : « صلّى الله عليه</w:t>
      </w:r>
      <w:r w:rsidR="00992664">
        <w:rPr>
          <w:rtl/>
        </w:rPr>
        <w:t xml:space="preserve"> ».</w:t>
      </w:r>
      <w:r w:rsidR="00992664" w:rsidRPr="00020424">
        <w:rPr>
          <w:rtl/>
        </w:rPr>
        <w:t xml:space="preserve"> وفي « بر » : « </w:t>
      </w:r>
      <w:r w:rsidR="00D64ADA" w:rsidRPr="00587829">
        <w:rPr>
          <w:rtl/>
        </w:rPr>
        <w:t>صلى‌</w:t>
      </w:r>
      <w:r w:rsidR="00587829">
        <w:rPr>
          <w:rFonts w:hint="cs"/>
          <w:rtl/>
        </w:rPr>
        <w:t xml:space="preserve"> </w:t>
      </w:r>
      <w:r w:rsidR="00D64ADA" w:rsidRPr="00587829">
        <w:rPr>
          <w:rtl/>
        </w:rPr>
        <w:t>الله‌</w:t>
      </w:r>
      <w:r w:rsidR="00587829">
        <w:rPr>
          <w:rFonts w:hint="cs"/>
          <w:rtl/>
        </w:rPr>
        <w:t xml:space="preserve"> </w:t>
      </w:r>
      <w:r w:rsidR="00D64ADA" w:rsidRPr="00587829">
        <w:rPr>
          <w:rtl/>
        </w:rPr>
        <w:t>عليه</w:t>
      </w:r>
      <w:r w:rsidR="00587829">
        <w:rPr>
          <w:rFonts w:hint="cs"/>
          <w:rtl/>
        </w:rPr>
        <w:t xml:space="preserve"> </w:t>
      </w:r>
      <w:r w:rsidR="00D64ADA" w:rsidRPr="00587829">
        <w:rPr>
          <w:rtl/>
        </w:rPr>
        <w:t>‌وآله</w:t>
      </w:r>
      <w:r w:rsidR="00B42914" w:rsidRPr="00587829">
        <w:rPr>
          <w:rtl/>
        </w:rPr>
        <w:t>‌</w:t>
      </w:r>
      <w:r w:rsidR="00992664">
        <w:rPr>
          <w:rtl/>
        </w:rPr>
        <w:t xml:space="preserve"> ».</w:t>
      </w:r>
      <w:r w:rsidR="00992664" w:rsidRPr="00020424">
        <w:rPr>
          <w:rtl/>
        </w:rPr>
        <w:t xml:space="preserve"> وفي </w:t>
      </w:r>
      <w:r w:rsidR="00992664" w:rsidRPr="00587829">
        <w:rPr>
          <w:rtl/>
        </w:rPr>
        <w:t>الوافي</w:t>
      </w:r>
      <w:r w:rsidR="00992664" w:rsidRPr="00020424">
        <w:rPr>
          <w:rtl/>
        </w:rPr>
        <w:t xml:space="preserve"> : « </w:t>
      </w:r>
      <w:r w:rsidR="00992664" w:rsidRPr="00587829">
        <w:rPr>
          <w:rtl/>
        </w:rPr>
        <w:t>عليه</w:t>
      </w:r>
      <w:r w:rsidR="00587829">
        <w:rPr>
          <w:rFonts w:hint="cs"/>
          <w:rtl/>
        </w:rPr>
        <w:t xml:space="preserve"> </w:t>
      </w:r>
      <w:r w:rsidR="00992664" w:rsidRPr="00587829">
        <w:rPr>
          <w:rtl/>
        </w:rPr>
        <w:t>‌السلام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الأوساق » : جمع الوَسْق ، وهو ستّون صاعاً ، وهو ثلاثمائة وعشرون رطلاً عند أهل الحجاز وأربعمائة وثمانون رطلاً عند أهل العراق ع</w:t>
      </w:r>
      <w:r w:rsidR="00587829">
        <w:rPr>
          <w:rtl/>
        </w:rPr>
        <w:t>لى اختلافهم في مقدار الصاع والم</w:t>
      </w:r>
      <w:r w:rsidR="00587829">
        <w:rPr>
          <w:rFonts w:hint="cs"/>
          <w:rtl/>
        </w:rPr>
        <w:t>ـُ</w:t>
      </w:r>
      <w:r w:rsidR="00992664" w:rsidRPr="00020424">
        <w:rPr>
          <w:rtl/>
        </w:rPr>
        <w:t xml:space="preserve">دّ. وقيل : الوسق : حِمْل البعير. والأصل في الوسق : الحِمْل ، وكلّ شي‌ء وسقته فقد حملته. راجع : </w:t>
      </w:r>
      <w:r w:rsidR="00992664" w:rsidRPr="00DE76B9">
        <w:rPr>
          <w:rStyle w:val="libFootnoteBoldChar"/>
          <w:rtl/>
        </w:rPr>
        <w:t>ترتيب كتاب العين</w:t>
      </w:r>
      <w:r w:rsidR="00992664" w:rsidRPr="00020424">
        <w:rPr>
          <w:rtl/>
        </w:rPr>
        <w:t xml:space="preserve"> ، ج 3 ، ص 1951 ؛ </w:t>
      </w:r>
      <w:r w:rsidR="00992664" w:rsidRPr="0012008A">
        <w:rPr>
          <w:rStyle w:val="libFootnoteBoldChar"/>
          <w:rtl/>
        </w:rPr>
        <w:t>الصحاح</w:t>
      </w:r>
      <w:r w:rsidR="00992664" w:rsidRPr="00020424">
        <w:rPr>
          <w:rtl/>
        </w:rPr>
        <w:t xml:space="preserve"> ، ج 4 ، ص 1566 ؛ </w:t>
      </w:r>
      <w:r w:rsidR="00992664" w:rsidRPr="0012008A">
        <w:rPr>
          <w:rStyle w:val="libFootnoteBoldChar"/>
          <w:rtl/>
        </w:rPr>
        <w:t>النهاية</w:t>
      </w:r>
      <w:r w:rsidR="00992664" w:rsidRPr="00020424">
        <w:rPr>
          <w:rtl/>
        </w:rPr>
        <w:t xml:space="preserve"> ، ج 5 ، ص 185 ( وسق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بح ، بس » وحاشية « ظ » : + « وفي نسخة : البقيعة</w:t>
      </w:r>
      <w:r w:rsidR="00992664">
        <w:rPr>
          <w:rtl/>
        </w:rPr>
        <w:t xml:space="preserve"> ».</w:t>
      </w:r>
      <w:r w:rsidR="00992664" w:rsidRPr="00020424">
        <w:rPr>
          <w:rtl/>
        </w:rPr>
        <w:t xml:space="preserve"> وفي « بث » : « النقيعة. وفي نسخة ا</w:t>
      </w:r>
      <w:r w:rsidR="00587829">
        <w:rPr>
          <w:rFonts w:hint="cs"/>
          <w:rtl/>
        </w:rPr>
        <w:t>ُ</w:t>
      </w:r>
      <w:r w:rsidR="00992664" w:rsidRPr="00020424">
        <w:rPr>
          <w:rtl/>
        </w:rPr>
        <w:t>خرى : البقيعة</w:t>
      </w:r>
      <w:r w:rsidR="00992664">
        <w:rPr>
          <w:rtl/>
        </w:rPr>
        <w:t xml:space="preserve"> ».</w:t>
      </w:r>
      <w:r w:rsidR="00992664" w:rsidRPr="00020424">
        <w:rPr>
          <w:rtl/>
        </w:rPr>
        <w:t xml:space="preserve"> وفي « بخ » : « النقيعة</w:t>
      </w:r>
      <w:r w:rsidR="00992664">
        <w:rPr>
          <w:rtl/>
        </w:rPr>
        <w:t xml:space="preserve"> ».</w:t>
      </w:r>
      <w:r w:rsidR="00992664" w:rsidRPr="00020424">
        <w:rPr>
          <w:rtl/>
        </w:rPr>
        <w:t xml:space="preserve"> وفي « بر » : « البغبغة</w:t>
      </w:r>
      <w:r w:rsidR="00992664">
        <w:rPr>
          <w:rtl/>
        </w:rPr>
        <w:t xml:space="preserve"> ».</w:t>
      </w:r>
      <w:r w:rsidR="00992664" w:rsidRPr="00020424">
        <w:rPr>
          <w:rtl/>
        </w:rPr>
        <w:t xml:space="preserve"> وفي </w:t>
      </w:r>
      <w:r w:rsidR="00992664" w:rsidRPr="00587829">
        <w:rPr>
          <w:rtl/>
        </w:rPr>
        <w:t>البحار</w:t>
      </w:r>
      <w:r w:rsidR="00992664" w:rsidRPr="00020424">
        <w:rPr>
          <w:rtl/>
        </w:rPr>
        <w:t xml:space="preserve"> : « المنيعة. وفي نسخة : البقيعة</w:t>
      </w:r>
      <w:r w:rsidR="00992664">
        <w:rPr>
          <w:rtl/>
        </w:rPr>
        <w:t>».</w:t>
      </w:r>
      <w:r w:rsidR="00992664" w:rsidRPr="00020424">
        <w:rPr>
          <w:rtl/>
        </w:rPr>
        <w:t xml:space="preserve"> </w:t>
      </w:r>
      <w:r w:rsidR="00992664">
        <w:rPr>
          <w:rtl/>
        </w:rPr>
        <w:t>و «</w:t>
      </w:r>
      <w:r w:rsidR="00992664" w:rsidRPr="00020424">
        <w:rPr>
          <w:rtl/>
        </w:rPr>
        <w:t xml:space="preserve"> البُغَيْبَغة » : تصغير البَغْبَغَة ، وهو ضرب من الهدير ، أو تصغير البُغْبُغ ، كقنفذ ، وهي البئر القريبة الرشاء. والبغيبغة : ضيعة أو عين بالمدينة غريزة كثيرة النخل لأهل البيت </w:t>
      </w:r>
      <w:r w:rsidR="00992664" w:rsidRPr="00D64ADA">
        <w:rPr>
          <w:rStyle w:val="libFootnoteAlaemChar"/>
          <w:rtl/>
        </w:rPr>
        <w:t>عليهم‌السلام</w:t>
      </w:r>
      <w:r w:rsidR="00992664" w:rsidRPr="00020424">
        <w:rPr>
          <w:rtl/>
        </w:rPr>
        <w:t>.</w:t>
      </w:r>
    </w:p>
    <w:p w:rsidR="00992664" w:rsidRPr="00020424" w:rsidRDefault="00992664" w:rsidP="00992664">
      <w:pPr>
        <w:pStyle w:val="libFootnote0"/>
        <w:rPr>
          <w:rtl/>
          <w:lang w:bidi="fa-IR"/>
        </w:rPr>
      </w:pPr>
      <w:r w:rsidRPr="00587829">
        <w:rPr>
          <w:rtl/>
        </w:rPr>
        <w:t xml:space="preserve">وفي </w:t>
      </w:r>
      <w:r w:rsidRPr="00DE76B9">
        <w:rPr>
          <w:rStyle w:val="libFootnoteBoldChar"/>
          <w:rtl/>
        </w:rPr>
        <w:t>تاريخ المدينة المنوّرة</w:t>
      </w:r>
      <w:r w:rsidRPr="00587829">
        <w:rPr>
          <w:rtl/>
        </w:rPr>
        <w:t xml:space="preserve"> : « عمل عليّ </w:t>
      </w:r>
      <w:r w:rsidRPr="00587829">
        <w:rPr>
          <w:rStyle w:val="libFootnoteAlaemChar"/>
          <w:rtl/>
        </w:rPr>
        <w:t>عليه‌السلام</w:t>
      </w:r>
      <w:r w:rsidRPr="00587829">
        <w:rPr>
          <w:rtl/>
        </w:rPr>
        <w:t xml:space="preserve"> أيضاً بينبع البُغَيْبَغات ، وهي عيون ، منها عين يقال لها : خيف الأراك ، ومنها عين يقال لها : خيف ليلى ، ومنها عين يقال لها : خيف بسطاس ، وفيها خليج من النخل مع العين ، وكانت البغيبغات ممّا عمل عليّ </w:t>
      </w:r>
      <w:r w:rsidRPr="00D64ADA">
        <w:rPr>
          <w:rStyle w:val="libFootnoteAlaemChar"/>
          <w:rtl/>
        </w:rPr>
        <w:t>عليه‌السلام</w:t>
      </w:r>
      <w:r w:rsidRPr="00587829">
        <w:rPr>
          <w:rtl/>
        </w:rPr>
        <w:t xml:space="preserve"> وتصدّق به فلم تزل في صدقاته حتّى أعطاها حسينُ بن عليّ عبد الله بن جعفر بن أبي طالب يأكل ثمرها ويستعين بها على دينه ومؤونته على أن لا يزوّج ابنته يزيد بن معاوية بن أبي سفيان ... ». راجع : </w:t>
      </w:r>
      <w:r w:rsidRPr="00587829">
        <w:rPr>
          <w:rStyle w:val="libFootnoteBoldChar"/>
          <w:rtl/>
        </w:rPr>
        <w:t>لسان العرب</w:t>
      </w:r>
      <w:r w:rsidRPr="00587829">
        <w:rPr>
          <w:rtl/>
        </w:rPr>
        <w:t xml:space="preserve"> ، ج 8 ص 419 ؛ </w:t>
      </w:r>
      <w:r w:rsidRPr="00A722B1">
        <w:rPr>
          <w:rStyle w:val="libFootnoteBoldChar"/>
          <w:rtl/>
        </w:rPr>
        <w:t>القاموس المحيط</w:t>
      </w:r>
      <w:r w:rsidRPr="00587829">
        <w:rPr>
          <w:rtl/>
        </w:rPr>
        <w:t xml:space="preserve"> ، ج 2 ، ص 1041 ( بغغ ) ؛ </w:t>
      </w:r>
      <w:r w:rsidRPr="00DE76B9">
        <w:rPr>
          <w:rStyle w:val="libFootnoteBoldChar"/>
          <w:rtl/>
        </w:rPr>
        <w:t>تاريخ المدينة المنوّرة</w:t>
      </w:r>
      <w:r w:rsidRPr="00587829">
        <w:rPr>
          <w:rtl/>
        </w:rPr>
        <w:t xml:space="preserve"> ، ج 1 ، ص 222 ؛ </w:t>
      </w:r>
      <w:r w:rsidRPr="0012008A">
        <w:rPr>
          <w:rStyle w:val="libFootnoteBoldChar"/>
          <w:rtl/>
        </w:rPr>
        <w:t>الوافي</w:t>
      </w:r>
      <w:r w:rsidRPr="00587829">
        <w:rPr>
          <w:rtl/>
        </w:rPr>
        <w:t xml:space="preserve"> ، ج 10 ، ص 421 وللتفصيل راجع </w:t>
      </w:r>
      <w:r w:rsidRPr="00DE76B9">
        <w:rPr>
          <w:rStyle w:val="libFootnoteBoldChar"/>
          <w:rtl/>
        </w:rPr>
        <w:t>: معجم البلدان</w:t>
      </w:r>
      <w:r w:rsidRPr="00587829">
        <w:rPr>
          <w:rtl/>
        </w:rPr>
        <w:t xml:space="preserve"> ، ج 1 ، ص 469 </w:t>
      </w:r>
      <w:r w:rsidR="009B673F" w:rsidRPr="00587829">
        <w:rPr>
          <w:rtl/>
        </w:rPr>
        <w:t>-</w:t>
      </w:r>
      <w:r w:rsidRPr="00587829">
        <w:rPr>
          <w:rtl/>
        </w:rPr>
        <w:t xml:space="preserve"> 470 ( بُغَيبغة ).</w:t>
      </w:r>
    </w:p>
    <w:p w:rsidR="00992664" w:rsidRPr="00020424" w:rsidRDefault="00795177" w:rsidP="00992664">
      <w:pPr>
        <w:pStyle w:val="libFootnote0"/>
        <w:rPr>
          <w:rtl/>
          <w:lang w:bidi="fa-IR"/>
        </w:rPr>
      </w:pPr>
      <w:r>
        <w:rPr>
          <w:rtl/>
        </w:rPr>
        <w:t>(5).</w:t>
      </w:r>
      <w:r w:rsidR="0014403D">
        <w:rPr>
          <w:rtl/>
        </w:rPr>
        <w:t xml:space="preserve"> </w:t>
      </w:r>
      <w:r w:rsidR="00587829">
        <w:rPr>
          <w:rtl/>
        </w:rPr>
        <w:t>قرأ العل</w:t>
      </w:r>
      <w:r w:rsidR="00587829">
        <w:rPr>
          <w:rFonts w:hint="cs"/>
          <w:rtl/>
        </w:rPr>
        <w:t>ّ</w:t>
      </w:r>
      <w:r w:rsidR="00587829">
        <w:rPr>
          <w:rtl/>
        </w:rPr>
        <w:t>ا</w:t>
      </w:r>
      <w:r w:rsidR="00992664" w:rsidRPr="00020424">
        <w:rPr>
          <w:rtl/>
        </w:rPr>
        <w:t xml:space="preserve">مة الفيض : « يرجى » ، مجهولاً ؛ حيث قال في </w:t>
      </w:r>
      <w:r w:rsidR="00992664" w:rsidRPr="0012008A">
        <w:rPr>
          <w:rStyle w:val="libFootnoteBoldChar"/>
          <w:rtl/>
        </w:rPr>
        <w:t>الوافي</w:t>
      </w:r>
      <w:r w:rsidR="00992664" w:rsidRPr="00020424">
        <w:rPr>
          <w:rtl/>
        </w:rPr>
        <w:t xml:space="preserve"> : « النوافل : العطايا ، والجملة المعطوفة </w:t>
      </w:r>
      <w:r w:rsidR="0058782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587829">
      <w:pPr>
        <w:pStyle w:val="libNormal0"/>
        <w:rPr>
          <w:rtl/>
          <w:lang w:bidi="fa-IR"/>
        </w:rPr>
      </w:pPr>
      <w:r w:rsidRPr="00020424">
        <w:rPr>
          <w:rtl/>
          <w:lang w:bidi="fa-IR"/>
        </w:rPr>
        <w:t xml:space="preserve">وَيُؤَمِّلُ </w:t>
      </w:r>
      <w:r w:rsidRPr="00A91B96">
        <w:rPr>
          <w:rStyle w:val="libFootnotenumChar"/>
          <w:rtl/>
        </w:rPr>
        <w:t>(1)</w:t>
      </w:r>
      <w:r w:rsidRPr="00020424">
        <w:rPr>
          <w:rtl/>
          <w:lang w:bidi="fa-IR"/>
        </w:rPr>
        <w:t xml:space="preserve"> نَائِلَهُ </w:t>
      </w:r>
      <w:r w:rsidRPr="00A91B96">
        <w:rPr>
          <w:rStyle w:val="libFootnotenumChar"/>
          <w:rtl/>
        </w:rPr>
        <w:t>(2)</w:t>
      </w:r>
      <w:r w:rsidRPr="00020424">
        <w:rPr>
          <w:rtl/>
          <w:lang w:bidi="fa-IR"/>
        </w:rPr>
        <w:t xml:space="preserve"> وَرِفْدَهُ </w:t>
      </w:r>
      <w:r w:rsidRPr="00A91B96">
        <w:rPr>
          <w:rStyle w:val="libFootnotenumChar"/>
          <w:rtl/>
        </w:rPr>
        <w:t>(3)</w:t>
      </w:r>
      <w:r w:rsidRPr="00020424">
        <w:rPr>
          <w:rtl/>
          <w:lang w:bidi="fa-IR"/>
        </w:rPr>
        <w:t xml:space="preserve"> ، وَكَانَ لَايَسْأَلُ عَلِيّاً </w:t>
      </w:r>
      <w:r w:rsidRPr="00005A81">
        <w:rPr>
          <w:rStyle w:val="libAlaemChar"/>
          <w:rtl/>
        </w:rPr>
        <w:t>عليه‌السلام</w:t>
      </w:r>
      <w:r w:rsidRPr="00020424">
        <w:rPr>
          <w:rtl/>
          <w:lang w:bidi="fa-IR"/>
        </w:rPr>
        <w:t xml:space="preserve"> وَلَاغَيْرَهُ شَيْئاً.</w:t>
      </w:r>
    </w:p>
    <w:p w:rsidR="00992664" w:rsidRPr="00020424" w:rsidRDefault="00992664" w:rsidP="00992664">
      <w:pPr>
        <w:pStyle w:val="libNormal"/>
        <w:rPr>
          <w:rtl/>
          <w:lang w:bidi="fa-IR"/>
        </w:rPr>
      </w:pPr>
      <w:r w:rsidRPr="00020424">
        <w:rPr>
          <w:rtl/>
          <w:lang w:bidi="fa-IR"/>
        </w:rPr>
        <w:t xml:space="preserve">فَقَالَ رَجُلٌ لِأَمِيرِ الْمُؤْمِنِينَ </w:t>
      </w:r>
      <w:r w:rsidRPr="00005A81">
        <w:rPr>
          <w:rStyle w:val="libAlaemChar"/>
          <w:rtl/>
        </w:rPr>
        <w:t>عليه‌السلام</w:t>
      </w:r>
      <w:r w:rsidRPr="00020424">
        <w:rPr>
          <w:rtl/>
          <w:lang w:bidi="fa-IR"/>
        </w:rPr>
        <w:t xml:space="preserve"> : وَاللهِ </w:t>
      </w:r>
      <w:r w:rsidRPr="00A91B96">
        <w:rPr>
          <w:rStyle w:val="libFootnotenumChar"/>
          <w:rtl/>
        </w:rPr>
        <w:t>(4)</w:t>
      </w:r>
      <w:r w:rsidRPr="00020424">
        <w:rPr>
          <w:rtl/>
          <w:lang w:bidi="fa-IR"/>
        </w:rPr>
        <w:t xml:space="preserve"> مَا سَأَلَكَ فُلَانٌ ، وَلَقَدْ كَانَ يُجْزِئُهُ مِنَ الْخَمْسَةِ الْأَوْسَاقِ </w:t>
      </w:r>
      <w:r w:rsidRPr="00A91B96">
        <w:rPr>
          <w:rStyle w:val="libFootnotenumChar"/>
          <w:rtl/>
        </w:rPr>
        <w:t>(5)</w:t>
      </w:r>
      <w:r w:rsidRPr="00020424">
        <w:rPr>
          <w:rtl/>
          <w:lang w:bidi="fa-IR"/>
        </w:rPr>
        <w:t xml:space="preserve"> وَسْقٌ وَاحِدٌ</w:t>
      </w:r>
      <w:r>
        <w:rPr>
          <w:rtl/>
          <w:lang w:bidi="fa-IR"/>
        </w:rPr>
        <w:t>؟</w:t>
      </w:r>
    </w:p>
    <w:p w:rsidR="00992664" w:rsidRPr="00020424" w:rsidRDefault="00992664" w:rsidP="00992664">
      <w:pPr>
        <w:pStyle w:val="libNormal"/>
        <w:rPr>
          <w:rtl/>
          <w:lang w:bidi="fa-IR"/>
        </w:rPr>
      </w:pPr>
      <w:r w:rsidRPr="00020424">
        <w:rPr>
          <w:rtl/>
          <w:lang w:bidi="fa-IR"/>
        </w:rPr>
        <w:t xml:space="preserve">فَقَالَ لَهُ أَمِيرُ الْمُؤْمِنِينَ </w:t>
      </w:r>
      <w:r w:rsidRPr="00005A81">
        <w:rPr>
          <w:rStyle w:val="libAlaemChar"/>
          <w:rtl/>
        </w:rPr>
        <w:t>عليه‌السلام</w:t>
      </w:r>
      <w:r w:rsidRPr="00020424">
        <w:rPr>
          <w:rtl/>
          <w:lang w:bidi="fa-IR"/>
        </w:rPr>
        <w:t xml:space="preserve"> : لَاكَثَّرَ اللهُ فِي الْمُؤْمِنِينَ ضَرْبَكَ </w:t>
      </w:r>
      <w:r w:rsidRPr="00A91B96">
        <w:rPr>
          <w:rStyle w:val="libFootnotenumChar"/>
          <w:rtl/>
        </w:rPr>
        <w:t>(6)</w:t>
      </w:r>
      <w:r w:rsidRPr="00020424">
        <w:rPr>
          <w:rtl/>
          <w:lang w:bidi="fa-IR"/>
        </w:rPr>
        <w:t xml:space="preserve"> ، أُعْطِي أَنَا وَتَبْخَلُ أَنْتَ ، لِلّهِ أَنْتَ </w:t>
      </w:r>
      <w:r w:rsidRPr="00A91B96">
        <w:rPr>
          <w:rStyle w:val="libFootnotenumChar"/>
          <w:rtl/>
        </w:rPr>
        <w:t>(7)</w:t>
      </w:r>
      <w:r w:rsidRPr="00020424">
        <w:rPr>
          <w:rtl/>
          <w:lang w:bidi="fa-IR"/>
        </w:rPr>
        <w:t xml:space="preserve"> إِذَا أَنَا </w:t>
      </w:r>
      <w:r w:rsidRPr="00A91B96">
        <w:rPr>
          <w:rStyle w:val="libFootnotenumChar"/>
          <w:rtl/>
        </w:rPr>
        <w:t>(8)</w:t>
      </w:r>
      <w:r w:rsidRPr="00020424">
        <w:rPr>
          <w:rtl/>
          <w:lang w:bidi="fa-IR"/>
        </w:rPr>
        <w:t xml:space="preserve"> لَمْ أُعْطِ </w:t>
      </w:r>
      <w:r w:rsidRPr="00A91B96">
        <w:rPr>
          <w:rStyle w:val="libFootnotenumChar"/>
          <w:rtl/>
        </w:rPr>
        <w:t>(9)</w:t>
      </w:r>
      <w:r w:rsidRPr="00020424">
        <w:rPr>
          <w:rtl/>
          <w:lang w:bidi="fa-IR"/>
        </w:rPr>
        <w:t xml:space="preserve"> الَّذِي يَرْجُو</w:t>
      </w:r>
      <w:r w:rsidR="00587829">
        <w:rPr>
          <w:rtl/>
          <w:lang w:bidi="fa-IR"/>
        </w:rPr>
        <w:t>نِي إِل</w:t>
      </w:r>
      <w:r w:rsidR="00587829">
        <w:rPr>
          <w:rFonts w:hint="cs"/>
          <w:rtl/>
          <w:lang w:bidi="fa-IR"/>
        </w:rPr>
        <w:t>َّ</w:t>
      </w:r>
      <w:r w:rsidR="00587829">
        <w:rPr>
          <w:rtl/>
          <w:lang w:bidi="fa-IR"/>
        </w:rPr>
        <w:t>ا</w:t>
      </w:r>
      <w:r w:rsidRPr="00020424">
        <w:rPr>
          <w:rtl/>
          <w:lang w:bidi="fa-IR"/>
        </w:rPr>
        <w:t xml:space="preserve"> مِنْ </w:t>
      </w:r>
      <w:r w:rsidRPr="00A91B96">
        <w:rPr>
          <w:rStyle w:val="libFootnotenumChar"/>
          <w:rtl/>
        </w:rPr>
        <w:t>(10)</w:t>
      </w:r>
      <w:r w:rsidRPr="00020424">
        <w:rPr>
          <w:rtl/>
          <w:lang w:bidi="fa-IR"/>
        </w:rPr>
        <w:t xml:space="preserve"> بَعْدِ الْمَسْأَلَةِ ، ثُمَّ أُعْطِيهِ </w:t>
      </w:r>
      <w:r w:rsidRPr="00A91B96">
        <w:rPr>
          <w:rStyle w:val="libFootnotenumChar"/>
          <w:rtl/>
        </w:rPr>
        <w:t>(11)</w:t>
      </w:r>
      <w:r w:rsidRPr="00020424">
        <w:rPr>
          <w:rtl/>
          <w:lang w:bidi="fa-IR"/>
        </w:rPr>
        <w:t xml:space="preserve"> بَعْدَ الْمَسْأَلَةِ </w:t>
      </w:r>
      <w:r w:rsidRPr="00A91B96">
        <w:rPr>
          <w:rStyle w:val="libFootnotenumChar"/>
          <w:rtl/>
        </w:rPr>
        <w:t>(12)</w:t>
      </w:r>
      <w:r w:rsidRPr="00020424">
        <w:rPr>
          <w:rtl/>
          <w:lang w:bidi="fa-IR"/>
        </w:rPr>
        <w:t xml:space="preserve"> ، فَلَمْ أُعْطِهِ </w:t>
      </w:r>
      <w:r w:rsidRPr="00A91B96">
        <w:rPr>
          <w:rStyle w:val="libFootnotenumChar"/>
          <w:rtl/>
        </w:rPr>
        <w:t>(13)</w:t>
      </w:r>
      <w:r w:rsidRPr="00020424">
        <w:rPr>
          <w:rtl/>
          <w:lang w:bidi="fa-IR"/>
        </w:rPr>
        <w:t xml:space="preserve"> ثَمَنَ مَا أَخَذْتُ مِنْهُ ، وَذلِكَ لِأَنِّي عَرَّضْتُهُ </w:t>
      </w:r>
      <w:r w:rsidRPr="00A91B96">
        <w:rPr>
          <w:rStyle w:val="libFootnotenumChar"/>
          <w:rtl/>
        </w:rPr>
        <w:t>(14)</w:t>
      </w:r>
      <w:r w:rsidRPr="00020424">
        <w:rPr>
          <w:rtl/>
          <w:lang w:bidi="fa-IR"/>
        </w:rPr>
        <w:t xml:space="preserve"> أَنْ يَبْذُلَ لِي وَجْهَهُ الَّذِي يُعَفِّرُهُ</w:t>
      </w:r>
      <w:r w:rsidRPr="00A91B96">
        <w:rPr>
          <w:rStyle w:val="libFootnotenumChar"/>
          <w:rtl/>
        </w:rPr>
        <w:t>(15)</w:t>
      </w:r>
      <w:r w:rsidRPr="00020424">
        <w:rPr>
          <w:rtl/>
          <w:lang w:bidi="fa-IR"/>
        </w:rPr>
        <w:t xml:space="preserve"> فِي التُّرَابِ لِرَبِّي وَرَبِّهِ عِنْدَ تَعَبُّدِهِ لَهُ وَطَلَبِ حَوَائِجِهِ إِلَيْهِ ، فَمَنْ فَعَلَ هذَا بِأَخِيهِ الْمُسْلِمِ وَقَدْ عَرَفَ أَنَّهُ مَوْضِعٌ لِصِلَتِهِ وَمَعْرُوفِهِ ، فَلَمْ يُصَدِّقِ اللهَ‌</w:t>
      </w:r>
    </w:p>
    <w:p w:rsidR="00992664" w:rsidRPr="00020424" w:rsidRDefault="00992664" w:rsidP="00992664">
      <w:pPr>
        <w:pStyle w:val="libLine"/>
        <w:rPr>
          <w:rtl/>
          <w:lang w:bidi="fa-IR"/>
        </w:rPr>
      </w:pPr>
      <w:r w:rsidRPr="00020424">
        <w:rPr>
          <w:rtl/>
          <w:lang w:bidi="fa-IR"/>
        </w:rPr>
        <w:t>__________________</w:t>
      </w:r>
    </w:p>
    <w:p w:rsidR="00992664" w:rsidRPr="00020424" w:rsidRDefault="00587829" w:rsidP="00992664">
      <w:pPr>
        <w:pStyle w:val="libFootnote0"/>
        <w:rPr>
          <w:rtl/>
          <w:lang w:bidi="fa-IR"/>
        </w:rPr>
      </w:pPr>
      <w:r>
        <w:rPr>
          <w:rFonts w:hint="cs"/>
          <w:rtl/>
        </w:rPr>
        <w:t xml:space="preserve">= </w:t>
      </w:r>
      <w:r w:rsidR="00992664" w:rsidRPr="00020424">
        <w:rPr>
          <w:rtl/>
        </w:rPr>
        <w:t xml:space="preserve">مفسّرة ، وكذلك الرفد يفسّر النائل. وفي بعض النسخ : ممّن يرجو نوافله ، بالمعلوم ؛ يعني نوافل أمير المؤمنين </w:t>
      </w:r>
      <w:r w:rsidR="00992664" w:rsidRPr="00D64ADA">
        <w:rPr>
          <w:rStyle w:val="libFootnoteAlaemChar"/>
          <w:rtl/>
        </w:rPr>
        <w:t>عليه‌السلام</w:t>
      </w:r>
      <w:r w:rsidR="00992664" w:rsidRPr="00020424">
        <w:rPr>
          <w:rtl/>
        </w:rPr>
        <w:t xml:space="preserve"> ، ويؤيّده قوله </w:t>
      </w:r>
      <w:r w:rsidR="00992664" w:rsidRPr="00D64ADA">
        <w:rPr>
          <w:rStyle w:val="libFootnoteAlaemChar"/>
          <w:rtl/>
        </w:rPr>
        <w:t>عليه‌السلام</w:t>
      </w:r>
      <w:r w:rsidR="00992664" w:rsidRPr="00020424">
        <w:rPr>
          <w:rtl/>
        </w:rPr>
        <w:t xml:space="preserve"> في ما بعد : الذي يرجوني</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ويرضى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تائله</w:t>
      </w:r>
      <w:r w:rsidR="00992664">
        <w:rPr>
          <w:rtl/>
        </w:rPr>
        <w:t xml:space="preserve"> ».</w:t>
      </w:r>
      <w:r w:rsidR="00992664" w:rsidRPr="00020424">
        <w:rPr>
          <w:rtl/>
        </w:rPr>
        <w:t xml:space="preserve"> والنائل : العطاء ، مثل النَوافل ، من قولهم : ناله ينوله ، إذا أعطاه. راجع : </w:t>
      </w:r>
      <w:r w:rsidR="00992664" w:rsidRPr="0012008A">
        <w:rPr>
          <w:rStyle w:val="libFootnoteBoldChar"/>
          <w:rtl/>
        </w:rPr>
        <w:t>الصحاح</w:t>
      </w:r>
      <w:r w:rsidR="00992664" w:rsidRPr="00020424">
        <w:rPr>
          <w:rtl/>
        </w:rPr>
        <w:t xml:space="preserve"> ، ج 5 ، ص 1836 ؛ </w:t>
      </w:r>
      <w:r w:rsidR="00992664" w:rsidRPr="0012008A">
        <w:rPr>
          <w:rStyle w:val="libFootnoteBoldChar"/>
          <w:rtl/>
        </w:rPr>
        <w:t>النهاية</w:t>
      </w:r>
      <w:r w:rsidR="00992664" w:rsidRPr="00020424">
        <w:rPr>
          <w:rtl/>
        </w:rPr>
        <w:t xml:space="preserve"> ، ج 5 ، ص 129 ( نول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الرِفد » ، بالكسر : العطاء والصلة. وبالفتح مصدر بمعنى الإعطاء والإعانة. راجع : </w:t>
      </w:r>
      <w:r w:rsidR="00992664" w:rsidRPr="0012008A">
        <w:rPr>
          <w:rStyle w:val="libFootnoteBoldChar"/>
          <w:rtl/>
        </w:rPr>
        <w:t>الصحاح</w:t>
      </w:r>
      <w:r w:rsidR="00992664" w:rsidRPr="00020424">
        <w:rPr>
          <w:rtl/>
        </w:rPr>
        <w:t xml:space="preserve"> ، ج 2 ، ص 475 ؛ </w:t>
      </w:r>
      <w:r w:rsidR="00992664" w:rsidRPr="0012008A">
        <w:rPr>
          <w:rStyle w:val="libFootnoteBoldChar"/>
          <w:rtl/>
        </w:rPr>
        <w:t>النهاية</w:t>
      </w:r>
      <w:r w:rsidR="00992664" w:rsidRPr="00020424">
        <w:rPr>
          <w:rtl/>
        </w:rPr>
        <w:t xml:space="preserve"> ، ج 2 ، ص 241</w:t>
      </w:r>
      <w:r w:rsidR="00992664">
        <w:rPr>
          <w:rtl/>
        </w:rPr>
        <w:t xml:space="preserve"> </w:t>
      </w:r>
      <w:r w:rsidR="009B673F">
        <w:rPr>
          <w:rtl/>
        </w:rPr>
        <w:t>-</w:t>
      </w:r>
      <w:r w:rsidR="00992664">
        <w:rPr>
          <w:rtl/>
        </w:rPr>
        <w:t xml:space="preserve"> </w:t>
      </w:r>
      <w:r w:rsidR="00992664" w:rsidRPr="00020424">
        <w:rPr>
          <w:rtl/>
        </w:rPr>
        <w:t>242 ( رفد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والله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بث ، بس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أوساق</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ظ » : « مثلك</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الضرب المثل : لله‌أنت ، أي كن لله‌</w:t>
      </w:r>
      <w:r w:rsidR="00587829">
        <w:rPr>
          <w:rFonts w:hint="cs"/>
          <w:rtl/>
        </w:rPr>
        <w:t xml:space="preserve"> </w:t>
      </w:r>
      <w:r w:rsidR="00992664" w:rsidRPr="00020424">
        <w:rPr>
          <w:rtl/>
        </w:rPr>
        <w:t>وأنصفني في القول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87829" w:rsidTr="00587829">
        <w:tc>
          <w:tcPr>
            <w:tcW w:w="4006" w:type="dxa"/>
          </w:tcPr>
          <w:p w:rsidR="00587829" w:rsidRDefault="00587829" w:rsidP="00992664">
            <w:pPr>
              <w:pStyle w:val="libFootnote0"/>
              <w:rPr>
                <w:rtl/>
              </w:rPr>
            </w:pPr>
            <w:r>
              <w:rPr>
                <w:rtl/>
              </w:rPr>
              <w:t xml:space="preserve">(8). </w:t>
            </w:r>
            <w:r w:rsidRPr="00020424">
              <w:rPr>
                <w:rtl/>
              </w:rPr>
              <w:t xml:space="preserve">في </w:t>
            </w:r>
            <w:r w:rsidRPr="0012008A">
              <w:rPr>
                <w:rStyle w:val="libFootnoteBoldChar"/>
                <w:rtl/>
              </w:rPr>
              <w:t>البحار</w:t>
            </w:r>
            <w:r w:rsidRPr="00020424">
              <w:rPr>
                <w:rtl/>
              </w:rPr>
              <w:t xml:space="preserve"> :</w:t>
            </w:r>
            <w:r>
              <w:rPr>
                <w:rtl/>
              </w:rPr>
              <w:t xml:space="preserve"> - </w:t>
            </w:r>
            <w:r w:rsidRPr="00020424">
              <w:rPr>
                <w:rtl/>
              </w:rPr>
              <w:t>« أنا</w:t>
            </w:r>
            <w:r>
              <w:rPr>
                <w:rtl/>
              </w:rPr>
              <w:t xml:space="preserve"> ».</w:t>
            </w:r>
          </w:p>
        </w:tc>
        <w:tc>
          <w:tcPr>
            <w:tcW w:w="4006" w:type="dxa"/>
          </w:tcPr>
          <w:p w:rsidR="00587829" w:rsidRDefault="00587829" w:rsidP="00992664">
            <w:pPr>
              <w:pStyle w:val="libFootnote0"/>
              <w:rPr>
                <w:rtl/>
              </w:rPr>
            </w:pPr>
            <w:r>
              <w:rPr>
                <w:rtl/>
              </w:rPr>
              <w:t xml:space="preserve">(9). </w:t>
            </w:r>
            <w:r w:rsidRPr="00020424">
              <w:rPr>
                <w:rtl/>
              </w:rPr>
              <w:t>في « بر » : « لم ا</w:t>
            </w:r>
            <w:r>
              <w:rPr>
                <w:rFonts w:hint="cs"/>
                <w:rtl/>
              </w:rPr>
              <w:t>ُ</w:t>
            </w:r>
            <w:r w:rsidRPr="00020424">
              <w:rPr>
                <w:rtl/>
              </w:rPr>
              <w:t>عطه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 « أعطه</w:t>
      </w:r>
      <w:r w:rsidR="00992664">
        <w:rPr>
          <w:rtl/>
        </w:rPr>
        <w:t xml:space="preserve"> ».</w:t>
      </w:r>
      <w:r w:rsidR="00992664" w:rsidRPr="00020424">
        <w:rPr>
          <w:rtl/>
        </w:rPr>
        <w:t xml:space="preserve"> وفي « ى ، بث ، بح ، بس ، جن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أعطيته</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 أعطيته من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87829" w:rsidTr="00587829">
        <w:tc>
          <w:tcPr>
            <w:tcW w:w="4006" w:type="dxa"/>
          </w:tcPr>
          <w:p w:rsidR="00587829" w:rsidRDefault="00587829" w:rsidP="00992664">
            <w:pPr>
              <w:pStyle w:val="libFootnote0"/>
              <w:rPr>
                <w:rtl/>
              </w:rPr>
            </w:pPr>
            <w:r>
              <w:rPr>
                <w:rtl/>
              </w:rPr>
              <w:t xml:space="preserve">(12). </w:t>
            </w:r>
            <w:r w:rsidRPr="00020424">
              <w:rPr>
                <w:rtl/>
              </w:rPr>
              <w:t>في « ظ » :</w:t>
            </w:r>
            <w:r>
              <w:rPr>
                <w:rtl/>
              </w:rPr>
              <w:t xml:space="preserve"> - </w:t>
            </w:r>
            <w:r w:rsidRPr="00020424">
              <w:rPr>
                <w:rtl/>
              </w:rPr>
              <w:t>« بعد المسألة</w:t>
            </w:r>
            <w:r>
              <w:rPr>
                <w:rtl/>
              </w:rPr>
              <w:t xml:space="preserve"> ».</w:t>
            </w:r>
          </w:p>
        </w:tc>
        <w:tc>
          <w:tcPr>
            <w:tcW w:w="4006" w:type="dxa"/>
          </w:tcPr>
          <w:p w:rsidR="00587829" w:rsidRDefault="00587829" w:rsidP="00992664">
            <w:pPr>
              <w:pStyle w:val="libFootnote0"/>
              <w:rPr>
                <w:rtl/>
              </w:rPr>
            </w:pPr>
            <w:r>
              <w:rPr>
                <w:rtl/>
              </w:rPr>
              <w:t xml:space="preserve">(13). </w:t>
            </w:r>
            <w:r w:rsidRPr="00020424">
              <w:rPr>
                <w:rtl/>
              </w:rPr>
              <w:t xml:space="preserve">في </w:t>
            </w:r>
            <w:r w:rsidRPr="00587829">
              <w:rPr>
                <w:rtl/>
              </w:rPr>
              <w:t>الوسائل والفقيه</w:t>
            </w:r>
            <w:r w:rsidRPr="00020424">
              <w:rPr>
                <w:rtl/>
              </w:rPr>
              <w:t xml:space="preserve"> </w:t>
            </w:r>
            <w:r>
              <w:rPr>
                <w:rtl/>
              </w:rPr>
              <w:t>: + « إل</w:t>
            </w:r>
            <w:r>
              <w:rPr>
                <w:rFonts w:hint="cs"/>
                <w:rtl/>
              </w:rPr>
              <w:t>ّ</w:t>
            </w:r>
            <w:r>
              <w:rPr>
                <w:rtl/>
              </w:rPr>
              <w:t>ا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بف » : « عرّضت</w:t>
      </w:r>
      <w:r w:rsidR="00992664">
        <w:rPr>
          <w:rtl/>
        </w:rPr>
        <w:t xml:space="preserve"> ».</w:t>
      </w:r>
      <w:r w:rsidR="00992664" w:rsidRPr="00020424">
        <w:rPr>
          <w:rtl/>
        </w:rPr>
        <w:t xml:space="preserve"> وفي </w:t>
      </w:r>
      <w:r w:rsidR="00992664" w:rsidRPr="00587829">
        <w:rPr>
          <w:rtl/>
        </w:rPr>
        <w:t>البحار</w:t>
      </w:r>
      <w:r w:rsidR="00992664" w:rsidRPr="00020424">
        <w:rPr>
          <w:rtl/>
        </w:rPr>
        <w:t xml:space="preserve"> : « عوضته</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عَفْر الوجه وتعفيره : تمريغه وتقليبه ودسّه في العَفَر ومسحه عليه. والعَفَر : التراب. راجع : </w:t>
      </w:r>
      <w:r w:rsidR="00992664" w:rsidRPr="0012008A">
        <w:rPr>
          <w:rStyle w:val="libFootnoteBoldChar"/>
          <w:rtl/>
        </w:rPr>
        <w:t>الصحاح</w:t>
      </w:r>
      <w:r w:rsidR="00992664" w:rsidRPr="00020424">
        <w:rPr>
          <w:rtl/>
        </w:rPr>
        <w:t xml:space="preserve"> ، ج 2 ، ص 751 ؛ </w:t>
      </w:r>
      <w:r w:rsidR="00992664" w:rsidRPr="00A722B1">
        <w:rPr>
          <w:rStyle w:val="libFootnoteBoldChar"/>
          <w:rtl/>
        </w:rPr>
        <w:t>لسان العرب</w:t>
      </w:r>
      <w:r w:rsidR="00992664" w:rsidRPr="00020424">
        <w:rPr>
          <w:rtl/>
        </w:rPr>
        <w:t xml:space="preserve"> ، ج 4 ، ص 583 ( عفر )</w:t>
      </w:r>
      <w:r w:rsidR="00992664">
        <w:rPr>
          <w:rtl/>
        </w:rPr>
        <w:t>.</w:t>
      </w:r>
    </w:p>
    <w:p w:rsidR="00795177" w:rsidRDefault="00795177" w:rsidP="00795177">
      <w:pPr>
        <w:pStyle w:val="libNormal"/>
        <w:rPr>
          <w:rtl/>
          <w:lang w:bidi="fa-IR"/>
        </w:rPr>
      </w:pPr>
      <w:r>
        <w:rPr>
          <w:rtl/>
          <w:lang w:bidi="fa-IR"/>
        </w:rPr>
        <w:br w:type="page"/>
      </w:r>
    </w:p>
    <w:p w:rsidR="00992664" w:rsidRPr="00020424" w:rsidRDefault="009B673F" w:rsidP="00992664">
      <w:pPr>
        <w:rPr>
          <w:rtl/>
          <w:lang w:bidi="fa-IR"/>
        </w:rPr>
      </w:pPr>
      <w:r>
        <w:rPr>
          <w:rtl/>
          <w:lang w:bidi="fa-IR"/>
        </w:rPr>
        <w:t>-</w:t>
      </w:r>
      <w:r w:rsidR="00992664">
        <w:rPr>
          <w:rtl/>
          <w:lang w:bidi="fa-IR"/>
        </w:rPr>
        <w:t xml:space="preserve"> </w:t>
      </w:r>
      <w:r w:rsidR="00992664" w:rsidRPr="00020424">
        <w:rPr>
          <w:rtl/>
          <w:lang w:bidi="fa-IR"/>
        </w:rPr>
        <w:t>عَزَّ وَجَلَّ</w:t>
      </w:r>
      <w:r w:rsidR="00992664">
        <w:rPr>
          <w:rtl/>
          <w:lang w:bidi="fa-IR"/>
        </w:rPr>
        <w:t xml:space="preserve"> </w:t>
      </w:r>
      <w:r>
        <w:rPr>
          <w:rtl/>
          <w:lang w:bidi="fa-IR"/>
        </w:rPr>
        <w:t>-</w:t>
      </w:r>
      <w:r w:rsidR="00992664">
        <w:rPr>
          <w:rtl/>
          <w:lang w:bidi="fa-IR"/>
        </w:rPr>
        <w:t xml:space="preserve"> </w:t>
      </w:r>
      <w:r w:rsidR="00992664" w:rsidRPr="00020424">
        <w:rPr>
          <w:rtl/>
          <w:lang w:bidi="fa-IR"/>
        </w:rPr>
        <w:t xml:space="preserve">فِي دُعَائِهِ لَهُ </w:t>
      </w:r>
      <w:r w:rsidR="00992664" w:rsidRPr="00A91B96">
        <w:rPr>
          <w:rStyle w:val="libFootnotenumChar"/>
          <w:rtl/>
        </w:rPr>
        <w:t>(1)</w:t>
      </w:r>
      <w:r w:rsidR="00992664" w:rsidRPr="00020424">
        <w:rPr>
          <w:rtl/>
          <w:lang w:bidi="fa-IR"/>
        </w:rPr>
        <w:t xml:space="preserve"> حَيْثُ يَتَمَنّى لَهُ الْجَنَّةَ بِلِسَانِهِ ، وَيَبْخَلُ عَلَيْهِ بِالْحُطَامِ </w:t>
      </w:r>
      <w:r w:rsidR="00992664" w:rsidRPr="00A91B96">
        <w:rPr>
          <w:rStyle w:val="libFootnotenumChar"/>
          <w:rtl/>
        </w:rPr>
        <w:t>(2)</w:t>
      </w:r>
      <w:r w:rsidR="00992664" w:rsidRPr="00020424">
        <w:rPr>
          <w:rtl/>
          <w:lang w:bidi="fa-IR"/>
        </w:rPr>
        <w:t xml:space="preserve"> مِنْ مَالِهِ ، وَذلِكَ أَنَّ الْعَبْدَ قَدْ </w:t>
      </w:r>
      <w:r w:rsidR="00992664" w:rsidRPr="00A91B96">
        <w:rPr>
          <w:rStyle w:val="libFootnotenumChar"/>
          <w:rtl/>
        </w:rPr>
        <w:t>(3)</w:t>
      </w:r>
      <w:r w:rsidR="00992664" w:rsidRPr="00020424">
        <w:rPr>
          <w:rtl/>
          <w:lang w:bidi="fa-IR"/>
        </w:rPr>
        <w:t xml:space="preserve"> يَقُولُ فِي دُعَائِهِ : الل</w:t>
      </w:r>
      <w:r w:rsidR="00587829">
        <w:rPr>
          <w:rFonts w:hint="cs"/>
          <w:rtl/>
          <w:lang w:bidi="fa-IR"/>
        </w:rPr>
        <w:t>َّ</w:t>
      </w:r>
      <w:r w:rsidR="00992664" w:rsidRPr="00020424">
        <w:rPr>
          <w:rtl/>
          <w:lang w:bidi="fa-IR"/>
        </w:rPr>
        <w:t xml:space="preserve">هُمَّ اغْفِرْ لِلْمُؤْمِنِينَ وَالْمُؤْمِنَاتِ </w:t>
      </w:r>
      <w:r w:rsidR="00992664" w:rsidRPr="00A91B96">
        <w:rPr>
          <w:rStyle w:val="libFootnotenumChar"/>
          <w:rtl/>
        </w:rPr>
        <w:t>(4)</w:t>
      </w:r>
      <w:r w:rsidR="00992664" w:rsidRPr="00020424">
        <w:rPr>
          <w:rtl/>
          <w:lang w:bidi="fa-IR"/>
        </w:rPr>
        <w:t xml:space="preserve"> ، فَإِذَا </w:t>
      </w:r>
      <w:r w:rsidR="00992664" w:rsidRPr="00A91B96">
        <w:rPr>
          <w:rStyle w:val="libFootnotenumChar"/>
          <w:rtl/>
        </w:rPr>
        <w:t>(5)</w:t>
      </w:r>
      <w:r w:rsidR="00992664" w:rsidRPr="00020424">
        <w:rPr>
          <w:rtl/>
          <w:lang w:bidi="fa-IR"/>
        </w:rPr>
        <w:t xml:space="preserve"> دَعَا </w:t>
      </w:r>
      <w:r w:rsidR="00992664" w:rsidRPr="00A91B96">
        <w:rPr>
          <w:rStyle w:val="libFootnotenumChar"/>
          <w:rtl/>
        </w:rPr>
        <w:t>(6)</w:t>
      </w:r>
      <w:r w:rsidR="00992664" w:rsidRPr="00020424">
        <w:rPr>
          <w:rtl/>
          <w:lang w:bidi="fa-IR"/>
        </w:rPr>
        <w:t xml:space="preserve"> لَهُمْ بِالْمَغْفِرَةِ </w:t>
      </w:r>
      <w:r w:rsidR="00992664" w:rsidRPr="00A91B96">
        <w:rPr>
          <w:rStyle w:val="libFootnotenumChar"/>
          <w:rtl/>
        </w:rPr>
        <w:t>(7)</w:t>
      </w:r>
      <w:r w:rsidR="00992664" w:rsidRPr="00020424">
        <w:rPr>
          <w:rtl/>
          <w:lang w:bidi="fa-IR"/>
        </w:rPr>
        <w:t xml:space="preserve"> فَقَدْ طَلَبَ لَهُمُ الْجَنَّةَ ، فَمَا أَنْصَفَ مَنْ فَعَلَ هذَا بِالْقَوْلِ ، وَلَمْ يُحَقِّقْهُ بِالْفِعْلِ</w:t>
      </w:r>
      <w:r w:rsidR="00992664">
        <w:rPr>
          <w:rtl/>
          <w:lang w:bidi="fa-IR"/>
        </w:rPr>
        <w:t>».</w:t>
      </w:r>
      <w:r w:rsidR="00992664" w:rsidRPr="00A91B96">
        <w:rPr>
          <w:rStyle w:val="libFootnotenumChar"/>
          <w:rtl/>
        </w:rPr>
        <w:t>(8)</w:t>
      </w:r>
      <w:r w:rsidR="00992664" w:rsidRPr="00020424">
        <w:rPr>
          <w:rtl/>
          <w:lang w:bidi="fa-IR"/>
        </w:rPr>
        <w:t>‌</w:t>
      </w:r>
    </w:p>
    <w:p w:rsidR="00992664" w:rsidRPr="00020424" w:rsidRDefault="00992664" w:rsidP="00992664">
      <w:pPr>
        <w:pStyle w:val="libNormal"/>
        <w:rPr>
          <w:rtl/>
          <w:lang w:bidi="fa-IR"/>
        </w:rPr>
      </w:pPr>
      <w:r w:rsidRPr="00F77B7E">
        <w:rPr>
          <w:rtl/>
        </w:rPr>
        <w:t>6088</w:t>
      </w:r>
      <w:r w:rsidRPr="001155DE">
        <w:rPr>
          <w:rStyle w:val="libBold2Char"/>
          <w:rtl/>
        </w:rPr>
        <w:t xml:space="preserve"> / 2.</w:t>
      </w:r>
      <w:r w:rsidRPr="00020424">
        <w:rPr>
          <w:rtl/>
          <w:lang w:bidi="fa-IR"/>
        </w:rPr>
        <w:t xml:space="preserve"> أَحْمَدُ بْنُ إِدْرِيسَ وَغَيْرُهُ ، عَنْ مُحَمَّدِ بْنِ أَحْمَدَ ، عَنْ أَحْمَدَ بْنِ نُوحِ بْنِ عَبْدِ اللهِ ، عَنِ الذُّهْلِيِّ </w:t>
      </w:r>
      <w:r w:rsidRPr="00A91B96">
        <w:rPr>
          <w:rStyle w:val="libFootnotenumChar"/>
          <w:rtl/>
        </w:rPr>
        <w:t>(9)</w:t>
      </w:r>
      <w:r w:rsidRPr="00020424">
        <w:rPr>
          <w:rtl/>
          <w:lang w:bidi="fa-IR"/>
        </w:rPr>
        <w:t xml:space="preserve"> رَفَعَهُ :</w:t>
      </w:r>
    </w:p>
    <w:p w:rsidR="00992664" w:rsidRPr="00020424" w:rsidRDefault="00992664" w:rsidP="00477547">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الْمَعْرُوفُ ابْتِدَاءٌ ، وَأَمَّا </w:t>
      </w:r>
      <w:r w:rsidRPr="00A91B96">
        <w:rPr>
          <w:rStyle w:val="libFootnotenumChar"/>
          <w:rtl/>
        </w:rPr>
        <w:t>(10)</w:t>
      </w:r>
      <w:r w:rsidRPr="00020424">
        <w:rPr>
          <w:rtl/>
          <w:lang w:bidi="fa-IR"/>
        </w:rPr>
        <w:t xml:space="preserve"> </w:t>
      </w:r>
      <w:r w:rsidR="00477547">
        <w:rPr>
          <w:rFonts w:hint="cs"/>
          <w:rtl/>
          <w:lang w:bidi="fa-IR"/>
        </w:rPr>
        <w:t>م</w:t>
      </w:r>
      <w:r w:rsidRPr="00020424">
        <w:rPr>
          <w:rtl/>
          <w:lang w:bidi="fa-IR"/>
        </w:rPr>
        <w:t xml:space="preserve">َنْ أَعْطَيْتَهُ بَعْدَ الْمَسْأَلَةِ </w:t>
      </w:r>
      <w:r w:rsidRPr="00A91B96">
        <w:rPr>
          <w:rStyle w:val="libFootnotenumChar"/>
          <w:rtl/>
        </w:rPr>
        <w:t>(11)</w:t>
      </w:r>
      <w:r w:rsidRPr="00020424">
        <w:rPr>
          <w:rtl/>
          <w:lang w:bidi="fa-IR"/>
        </w:rPr>
        <w:t xml:space="preserve"> ، فَإِنَّمَا كَافَيْتَهُ </w:t>
      </w:r>
      <w:r w:rsidRPr="00A91B96">
        <w:rPr>
          <w:rStyle w:val="libFootnotenumChar"/>
          <w:rtl/>
        </w:rPr>
        <w:t>(12)</w:t>
      </w:r>
      <w:r w:rsidRPr="00020424">
        <w:rPr>
          <w:rtl/>
          <w:lang w:bidi="fa-IR"/>
        </w:rPr>
        <w:t xml:space="preserve"> بِمَا </w:t>
      </w:r>
      <w:r w:rsidRPr="00A91B96">
        <w:rPr>
          <w:rStyle w:val="libFootnotenumChar"/>
          <w:rtl/>
        </w:rPr>
        <w:t>(13)</w:t>
      </w:r>
      <w:r w:rsidRPr="00020424">
        <w:rPr>
          <w:rtl/>
          <w:lang w:bidi="fa-IR"/>
        </w:rPr>
        <w:t xml:space="preserve"> بَذَلَ لَكَ </w:t>
      </w:r>
      <w:r w:rsidRPr="00A91B96">
        <w:rPr>
          <w:rStyle w:val="libFootnotenumChar"/>
          <w:rtl/>
        </w:rPr>
        <w:t>(14)</w:t>
      </w:r>
      <w:r w:rsidRPr="00020424">
        <w:rPr>
          <w:rtl/>
          <w:lang w:bidi="fa-IR"/>
        </w:rPr>
        <w:t xml:space="preserve"> مِنْ وَجْهِهِ ، يَبِيتُ </w:t>
      </w:r>
      <w:r w:rsidRPr="00A91B96">
        <w:rPr>
          <w:rStyle w:val="libFootnotenumChar"/>
          <w:rtl/>
        </w:rPr>
        <w:t>(15)</w:t>
      </w:r>
      <w:r w:rsidRPr="00020424">
        <w:rPr>
          <w:rtl/>
          <w:lang w:bidi="fa-IR"/>
        </w:rPr>
        <w:t xml:space="preserve"> لَيْلَتَهُ </w:t>
      </w:r>
      <w:r w:rsidRPr="00A91B96">
        <w:rPr>
          <w:rStyle w:val="libFootnotenumChar"/>
          <w:rtl/>
        </w:rPr>
        <w:t>(16)</w:t>
      </w:r>
      <w:r w:rsidRPr="00020424">
        <w:rPr>
          <w:rtl/>
          <w:lang w:bidi="fa-IR"/>
        </w:rPr>
        <w:t xml:space="preserve"> أَرِقاً </w:t>
      </w:r>
      <w:r w:rsidRPr="00A91B96">
        <w:rPr>
          <w:rStyle w:val="libFootnotenumChar"/>
          <w:rtl/>
        </w:rPr>
        <w:t>(17)</w:t>
      </w:r>
      <w:r w:rsidRPr="00020424">
        <w:rPr>
          <w:rtl/>
          <w:lang w:bidi="fa-IR"/>
        </w:rPr>
        <w:t xml:space="preserve"> مُتَمَلْمِلاً </w:t>
      </w:r>
      <w:r w:rsidRPr="00A91B96">
        <w:rPr>
          <w:rStyle w:val="libFootnotenumChar"/>
          <w:rtl/>
        </w:rPr>
        <w:t>(18)</w:t>
      </w:r>
      <w:r w:rsidRPr="00020424">
        <w:rPr>
          <w:rtl/>
          <w:lang w:bidi="fa-IR"/>
        </w:rPr>
        <w:t xml:space="preserve"> يَمْثُلُ‌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بر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الحَطْم : كسرك الشي‌ء اليابس ، كالعظام ونحوها ، أو الكسر في أيّ وجه كان. والحطام : ما تحطّم من ذلك. راجع : </w:t>
      </w:r>
      <w:r w:rsidR="00992664" w:rsidRPr="00DE76B9">
        <w:rPr>
          <w:rStyle w:val="libFootnoteBoldChar"/>
          <w:rtl/>
        </w:rPr>
        <w:t>ترتيب كتاب العين</w:t>
      </w:r>
      <w:r w:rsidR="00992664" w:rsidRPr="00020424">
        <w:rPr>
          <w:rtl/>
        </w:rPr>
        <w:t xml:space="preserve"> ، ج 1 ، ص 398 ؛ </w:t>
      </w:r>
      <w:r w:rsidR="00992664" w:rsidRPr="00A722B1">
        <w:rPr>
          <w:rStyle w:val="libFootnoteBoldChar"/>
          <w:rtl/>
        </w:rPr>
        <w:t>لسان العرب</w:t>
      </w:r>
      <w:r w:rsidR="00992664" w:rsidRPr="00020424">
        <w:rPr>
          <w:rtl/>
        </w:rPr>
        <w:t xml:space="preserve"> ، ج 12 ، ص 137 ( حطم )</w:t>
      </w:r>
      <w:r w:rsidR="00992664">
        <w:rPr>
          <w:rtl/>
        </w:rPr>
        <w:t>.</w:t>
      </w:r>
    </w:p>
    <w:tbl>
      <w:tblPr>
        <w:tblStyle w:val="TableGrid"/>
        <w:bidiVisual/>
        <w:tblW w:w="0" w:type="auto"/>
        <w:tblLook w:val="04A0" w:firstRow="1" w:lastRow="0" w:firstColumn="1" w:lastColumn="0" w:noHBand="0" w:noVBand="1"/>
      </w:tblPr>
      <w:tblGrid>
        <w:gridCol w:w="4006"/>
        <w:gridCol w:w="4006"/>
      </w:tblGrid>
      <w:tr w:rsidR="00477547" w:rsidTr="00477547">
        <w:tc>
          <w:tcPr>
            <w:tcW w:w="4006" w:type="dxa"/>
          </w:tcPr>
          <w:p w:rsidR="00477547" w:rsidRDefault="00477547" w:rsidP="00992664">
            <w:pPr>
              <w:pStyle w:val="libFootnote0"/>
              <w:rPr>
                <w:rtl/>
              </w:rPr>
            </w:pPr>
            <w:r>
              <w:rPr>
                <w:rtl/>
              </w:rPr>
              <w:t xml:space="preserve">(3). </w:t>
            </w:r>
            <w:r w:rsidRPr="00020424">
              <w:rPr>
                <w:rtl/>
              </w:rPr>
              <w:t xml:space="preserve">في « بر ، بف » : </w:t>
            </w:r>
            <w:r w:rsidRPr="00515444">
              <w:rPr>
                <w:rStyle w:val="libFootnoteBoldChar"/>
                <w:rtl/>
              </w:rPr>
              <w:t>والوافي</w:t>
            </w:r>
            <w:r w:rsidRPr="00020424">
              <w:rPr>
                <w:rtl/>
              </w:rPr>
              <w:t xml:space="preserve"> :</w:t>
            </w:r>
            <w:r>
              <w:rPr>
                <w:rtl/>
              </w:rPr>
              <w:t xml:space="preserve"> - </w:t>
            </w:r>
            <w:r w:rsidRPr="00020424">
              <w:rPr>
                <w:rtl/>
              </w:rPr>
              <w:t>« قد</w:t>
            </w:r>
            <w:r>
              <w:rPr>
                <w:rtl/>
              </w:rPr>
              <w:t xml:space="preserve"> ».</w:t>
            </w:r>
          </w:p>
        </w:tc>
        <w:tc>
          <w:tcPr>
            <w:tcW w:w="4006" w:type="dxa"/>
          </w:tcPr>
          <w:p w:rsidR="00477547" w:rsidRDefault="00477547" w:rsidP="00992664">
            <w:pPr>
              <w:pStyle w:val="libFootnote0"/>
              <w:rPr>
                <w:rtl/>
              </w:rPr>
            </w:pPr>
            <w:r>
              <w:rPr>
                <w:rtl/>
              </w:rPr>
              <w:t xml:space="preserve">(4). </w:t>
            </w:r>
            <w:r w:rsidRPr="00020424">
              <w:rPr>
                <w:rtl/>
              </w:rPr>
              <w:t>في « ى » :</w:t>
            </w:r>
            <w:r>
              <w:rPr>
                <w:rtl/>
              </w:rPr>
              <w:t xml:space="preserve"> - </w:t>
            </w:r>
            <w:r w:rsidRPr="00020424">
              <w:rPr>
                <w:rtl/>
              </w:rPr>
              <w:t xml:space="preserve">« </w:t>
            </w:r>
            <w:r w:rsidRPr="006C7A1F">
              <w:rPr>
                <w:rStyle w:val="libFootnoteBoldChar"/>
                <w:rtl/>
              </w:rPr>
              <w:t>والمؤمن</w:t>
            </w:r>
            <w:r w:rsidRPr="00020424">
              <w:rPr>
                <w:rtl/>
              </w:rPr>
              <w:t>ات</w:t>
            </w:r>
            <w:r>
              <w:rPr>
                <w:rtl/>
              </w:rPr>
              <w:t xml:space="preserve"> ».</w:t>
            </w:r>
          </w:p>
        </w:tc>
      </w:tr>
      <w:tr w:rsidR="00477547" w:rsidTr="00477547">
        <w:tc>
          <w:tcPr>
            <w:tcW w:w="4006" w:type="dxa"/>
          </w:tcPr>
          <w:p w:rsidR="00477547" w:rsidRDefault="00477547" w:rsidP="00992664">
            <w:pPr>
              <w:pStyle w:val="libFootnote0"/>
              <w:rPr>
                <w:rtl/>
              </w:rPr>
            </w:pPr>
            <w:r>
              <w:rPr>
                <w:rtl/>
              </w:rPr>
              <w:t xml:space="preserve">(5). </w:t>
            </w:r>
            <w:r w:rsidRPr="00020424">
              <w:rPr>
                <w:rtl/>
              </w:rPr>
              <w:t>في « ظ » : « وإذا</w:t>
            </w:r>
            <w:r>
              <w:rPr>
                <w:rtl/>
              </w:rPr>
              <w:t xml:space="preserve"> ».</w:t>
            </w:r>
          </w:p>
        </w:tc>
        <w:tc>
          <w:tcPr>
            <w:tcW w:w="4006" w:type="dxa"/>
          </w:tcPr>
          <w:p w:rsidR="00477547" w:rsidRDefault="00477547" w:rsidP="00992664">
            <w:pPr>
              <w:pStyle w:val="libFootnote0"/>
              <w:rPr>
                <w:rtl/>
              </w:rPr>
            </w:pPr>
            <w:r>
              <w:rPr>
                <w:rtl/>
              </w:rPr>
              <w:t xml:space="preserve">(6). </w:t>
            </w:r>
            <w:r w:rsidRPr="00020424">
              <w:rPr>
                <w:rtl/>
              </w:rPr>
              <w:t xml:space="preserve">في « بخ ، بر ، بف » </w:t>
            </w:r>
            <w:r w:rsidRPr="00515444">
              <w:rPr>
                <w:rStyle w:val="libFootnoteBoldChar"/>
                <w:rtl/>
              </w:rPr>
              <w:t>والوافي</w:t>
            </w:r>
            <w:r w:rsidRPr="00020424">
              <w:rPr>
                <w:rtl/>
              </w:rPr>
              <w:t xml:space="preserve"> : « طلب</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بف » : « المغفرة</w:t>
      </w:r>
      <w:r w:rsidR="00992664">
        <w:rPr>
          <w:rtl/>
        </w:rPr>
        <w:t xml:space="preserve"> ».</w:t>
      </w:r>
      <w:r w:rsidR="00992664" w:rsidRPr="00020424">
        <w:rPr>
          <w:rtl/>
        </w:rPr>
        <w:t xml:space="preserve"> وفي « بر » : « المغفرة » بدل « لهم بالمغفرة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71 ، ح 1762 ، معلّقاً عن مسعدة بن صدقة ، عن الصادق ، عن آبائه ، عن أميرالمؤمنين </w:t>
      </w:r>
      <w:r w:rsidR="00992664" w:rsidRPr="00D64ADA">
        <w:rPr>
          <w:rStyle w:val="libFootnoteAlaemChar"/>
          <w:rtl/>
        </w:rPr>
        <w:t>عليهم‌السلام</w:t>
      </w:r>
      <w:r w:rsidR="00992664" w:rsidRPr="00020424">
        <w:rPr>
          <w:rtl/>
        </w:rPr>
        <w:t xml:space="preserve"> </w:t>
      </w:r>
      <w:r w:rsidR="000F23F1">
        <w:rPr>
          <w:rFonts w:hint="cs"/>
          <w:rtl/>
        </w:rPr>
        <w:t>.</w:t>
      </w:r>
      <w:r w:rsidR="00992664" w:rsidRPr="0012008A">
        <w:rPr>
          <w:rStyle w:val="libFootnoteBoldChar"/>
          <w:rtl/>
        </w:rPr>
        <w:t>الوافي</w:t>
      </w:r>
      <w:r w:rsidR="00992664" w:rsidRPr="00020424">
        <w:rPr>
          <w:rtl/>
        </w:rPr>
        <w:t xml:space="preserve"> ، ج 10 ، ص 420 ، ح 9801 ؛ </w:t>
      </w:r>
      <w:r w:rsidR="00992664" w:rsidRPr="0012008A">
        <w:rPr>
          <w:rStyle w:val="libFootnoteBoldChar"/>
          <w:rtl/>
        </w:rPr>
        <w:t>الوسائل</w:t>
      </w:r>
      <w:r w:rsidR="00992664" w:rsidRPr="00020424">
        <w:rPr>
          <w:rtl/>
        </w:rPr>
        <w:t xml:space="preserve"> ، ج 9 ، ص 454 ، ح 12478 ؛ </w:t>
      </w:r>
      <w:r w:rsidR="00992664" w:rsidRPr="0012008A">
        <w:rPr>
          <w:rStyle w:val="libFootnoteBoldChar"/>
          <w:rtl/>
        </w:rPr>
        <w:t>البحار</w:t>
      </w:r>
      <w:r w:rsidR="00992664" w:rsidRPr="00020424">
        <w:rPr>
          <w:rtl/>
        </w:rPr>
        <w:t xml:space="preserve"> ، ج 41 ، ص 35 ، ح 12.</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حاشية « بر » : « الزهري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بح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فأمّا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 « مسألته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 بذلك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F23F1" w:rsidTr="000F23F1">
        <w:tc>
          <w:tcPr>
            <w:tcW w:w="4006" w:type="dxa"/>
          </w:tcPr>
          <w:p w:rsidR="000F23F1" w:rsidRDefault="000F23F1"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 « ما</w:t>
            </w:r>
            <w:r>
              <w:rPr>
                <w:rtl/>
              </w:rPr>
              <w:t xml:space="preserve"> ».</w:t>
            </w:r>
          </w:p>
        </w:tc>
        <w:tc>
          <w:tcPr>
            <w:tcW w:w="4006" w:type="dxa"/>
          </w:tcPr>
          <w:p w:rsidR="000F23F1" w:rsidRDefault="000F23F1" w:rsidP="00992664">
            <w:pPr>
              <w:pStyle w:val="libFootnote0"/>
              <w:rPr>
                <w:rtl/>
              </w:rPr>
            </w:pPr>
            <w:r>
              <w:rPr>
                <w:rtl/>
              </w:rPr>
              <w:t xml:space="preserve">(14). </w:t>
            </w:r>
            <w:r w:rsidRPr="00020424">
              <w:rPr>
                <w:rtl/>
              </w:rPr>
              <w:t>في « بر » :</w:t>
            </w:r>
            <w:r>
              <w:rPr>
                <w:rtl/>
              </w:rPr>
              <w:t xml:space="preserve"> - </w:t>
            </w:r>
            <w:r w:rsidRPr="00020424">
              <w:rPr>
                <w:rtl/>
              </w:rPr>
              <w:t>« لك</w:t>
            </w:r>
            <w:r>
              <w:rPr>
                <w:rtl/>
              </w:rPr>
              <w:t xml:space="preserve"> ».</w:t>
            </w:r>
          </w:p>
        </w:tc>
      </w:tr>
      <w:tr w:rsidR="000F23F1" w:rsidTr="000F23F1">
        <w:tc>
          <w:tcPr>
            <w:tcW w:w="4006" w:type="dxa"/>
          </w:tcPr>
          <w:p w:rsidR="000F23F1" w:rsidRDefault="000F23F1" w:rsidP="00992664">
            <w:pPr>
              <w:pStyle w:val="libFootnote0"/>
              <w:rPr>
                <w:rtl/>
              </w:rPr>
            </w:pPr>
            <w:r>
              <w:rPr>
                <w:rtl/>
              </w:rPr>
              <w:t xml:space="preserve">(15). </w:t>
            </w:r>
            <w:r w:rsidRPr="00020424">
              <w:rPr>
                <w:rtl/>
              </w:rPr>
              <w:t>في « ظ » وحاشية « جن » : « فيبيت</w:t>
            </w:r>
            <w:r>
              <w:rPr>
                <w:rtl/>
              </w:rPr>
              <w:t xml:space="preserve"> ».</w:t>
            </w:r>
          </w:p>
        </w:tc>
        <w:tc>
          <w:tcPr>
            <w:tcW w:w="4006" w:type="dxa"/>
          </w:tcPr>
          <w:p w:rsidR="000F23F1" w:rsidRDefault="000F23F1" w:rsidP="00992664">
            <w:pPr>
              <w:pStyle w:val="libFootnote0"/>
              <w:rPr>
                <w:rtl/>
              </w:rPr>
            </w:pPr>
            <w:r>
              <w:rPr>
                <w:rtl/>
              </w:rPr>
              <w:t xml:space="preserve">(16). </w:t>
            </w:r>
            <w:r w:rsidRPr="00020424">
              <w:rPr>
                <w:rtl/>
              </w:rPr>
              <w:t>في « ى » : « ليله</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أرقاً</w:t>
      </w:r>
      <w:r w:rsidR="00992664">
        <w:rPr>
          <w:rtl/>
        </w:rPr>
        <w:t xml:space="preserve"> ».</w:t>
      </w:r>
      <w:r w:rsidR="00992664" w:rsidRPr="00020424">
        <w:rPr>
          <w:rtl/>
        </w:rPr>
        <w:t xml:space="preserve"> والأَرِق : الساهر ، وهو من لم ينم ليلاً ، من الأَرَق</w:t>
      </w:r>
      <w:r w:rsidR="00992664">
        <w:rPr>
          <w:rtl/>
        </w:rPr>
        <w:t xml:space="preserve"> </w:t>
      </w:r>
      <w:r w:rsidR="009B673F">
        <w:rPr>
          <w:rtl/>
        </w:rPr>
        <w:t>-</w:t>
      </w:r>
      <w:r w:rsidR="00992664">
        <w:rPr>
          <w:rtl/>
        </w:rPr>
        <w:t xml:space="preserve"> </w:t>
      </w:r>
      <w:r w:rsidR="00992664" w:rsidRPr="00020424">
        <w:rPr>
          <w:rtl/>
        </w:rPr>
        <w:t>بالتحريك</w:t>
      </w:r>
      <w:r w:rsidR="00992664">
        <w:rPr>
          <w:rtl/>
        </w:rPr>
        <w:t xml:space="preserve"> </w:t>
      </w:r>
      <w:r w:rsidR="009B673F">
        <w:rPr>
          <w:rtl/>
        </w:rPr>
        <w:t>-</w:t>
      </w:r>
      <w:r w:rsidR="00992664">
        <w:rPr>
          <w:rtl/>
        </w:rPr>
        <w:t xml:space="preserve"> </w:t>
      </w:r>
      <w:r w:rsidR="00992664" w:rsidRPr="00020424">
        <w:rPr>
          <w:rtl/>
        </w:rPr>
        <w:t xml:space="preserve">وهو السَهَر وذهاب النوم بالليل. راجع : </w:t>
      </w:r>
      <w:r w:rsidR="00992664" w:rsidRPr="00A722B1">
        <w:rPr>
          <w:rStyle w:val="libFootnoteBoldChar"/>
          <w:rtl/>
        </w:rPr>
        <w:t>لسان العرب</w:t>
      </w:r>
      <w:r w:rsidR="00992664" w:rsidRPr="00020424">
        <w:rPr>
          <w:rtl/>
        </w:rPr>
        <w:t xml:space="preserve"> ، ج 10 ، ص 4 ؛ </w:t>
      </w:r>
      <w:r w:rsidR="00992664" w:rsidRPr="00A722B1">
        <w:rPr>
          <w:rStyle w:val="libFootnoteBoldChar"/>
          <w:rtl/>
        </w:rPr>
        <w:t>القاموس المحيط</w:t>
      </w:r>
      <w:r w:rsidR="00992664" w:rsidRPr="00020424">
        <w:rPr>
          <w:rtl/>
        </w:rPr>
        <w:t xml:space="preserve"> ، ج 2 ، ص 1149 ( أرق )</w:t>
      </w:r>
      <w:r w:rsidR="00992664">
        <w:rPr>
          <w:rtl/>
        </w:rPr>
        <w:t>.</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في « ظ » : « يميل</w:t>
      </w:r>
      <w:r w:rsidR="00992664">
        <w:rPr>
          <w:rtl/>
        </w:rPr>
        <w:t xml:space="preserve"> ».</w:t>
      </w:r>
      <w:r w:rsidR="00992664" w:rsidRPr="00020424">
        <w:rPr>
          <w:rtl/>
        </w:rPr>
        <w:t xml:space="preserve"> وفي « بر » : « يململ</w:t>
      </w:r>
      <w:r w:rsidR="00992664">
        <w:rPr>
          <w:rtl/>
        </w:rPr>
        <w:t xml:space="preserve"> ».</w:t>
      </w:r>
      <w:r w:rsidR="00992664" w:rsidRPr="00020424">
        <w:rPr>
          <w:rtl/>
        </w:rPr>
        <w:t xml:space="preserve"> والتململ : التقلّب والاضطراب. راجع : </w:t>
      </w:r>
      <w:r w:rsidR="00992664" w:rsidRPr="0012008A">
        <w:rPr>
          <w:rStyle w:val="libFootnoteBoldChar"/>
          <w:rtl/>
        </w:rPr>
        <w:t>الصحاح</w:t>
      </w:r>
      <w:r w:rsidR="00992664" w:rsidRPr="00020424">
        <w:rPr>
          <w:rtl/>
        </w:rPr>
        <w:t xml:space="preserve"> ، ج 5 ، ص 1821 ؛ </w:t>
      </w:r>
      <w:r w:rsidR="00992664" w:rsidRPr="00A722B1">
        <w:rPr>
          <w:rStyle w:val="libFootnoteBoldChar"/>
          <w:rtl/>
        </w:rPr>
        <w:t>لسان العرب</w:t>
      </w:r>
      <w:r w:rsidR="00992664" w:rsidRPr="00020424">
        <w:rPr>
          <w:rtl/>
        </w:rPr>
        <w:t xml:space="preserve"> ، ج 11 ، ص 630 ( ملل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بَيْنَ الرَّجَاءِ وَالْيَأْسِ </w:t>
      </w:r>
      <w:r w:rsidRPr="00A91B96">
        <w:rPr>
          <w:rStyle w:val="libFootnotenumChar"/>
          <w:rtl/>
        </w:rPr>
        <w:t>(1)</w:t>
      </w:r>
      <w:r w:rsidRPr="00020424">
        <w:rPr>
          <w:rtl/>
          <w:lang w:bidi="fa-IR"/>
        </w:rPr>
        <w:t xml:space="preserve"> ، لَايَدْرِي أَيْنَ يَتَوَجَّهُ لِحَاجَتِهِ </w:t>
      </w:r>
      <w:r w:rsidRPr="00A91B96">
        <w:rPr>
          <w:rStyle w:val="libFootnotenumChar"/>
          <w:rtl/>
        </w:rPr>
        <w:t>(2)</w:t>
      </w:r>
      <w:r>
        <w:rPr>
          <w:rtl/>
          <w:lang w:bidi="fa-IR"/>
        </w:rPr>
        <w:t>؟</w:t>
      </w:r>
      <w:r w:rsidRPr="00020424">
        <w:rPr>
          <w:rtl/>
          <w:lang w:bidi="fa-IR"/>
        </w:rPr>
        <w:t xml:space="preserve"> ثُمَّ يَعْزِمُ بِالْقَصْدِ لَهَا ، فَيَأْتِيكَ وَقَلْبُهُ يَرْجُفُ </w:t>
      </w:r>
      <w:r w:rsidRPr="00A91B96">
        <w:rPr>
          <w:rStyle w:val="libFootnotenumChar"/>
          <w:rtl/>
        </w:rPr>
        <w:t>(3)</w:t>
      </w:r>
      <w:r w:rsidRPr="00020424">
        <w:rPr>
          <w:rtl/>
          <w:lang w:bidi="fa-IR"/>
        </w:rPr>
        <w:t xml:space="preserve"> ، وَفَرَائِصُهُ </w:t>
      </w:r>
      <w:r w:rsidRPr="00A91B96">
        <w:rPr>
          <w:rStyle w:val="libFootnotenumChar"/>
          <w:rtl/>
        </w:rPr>
        <w:t>(4)</w:t>
      </w:r>
      <w:r w:rsidRPr="00020424">
        <w:rPr>
          <w:rtl/>
          <w:lang w:bidi="fa-IR"/>
        </w:rPr>
        <w:t xml:space="preserve"> تَرْعُدُ </w:t>
      </w:r>
      <w:r w:rsidRPr="00A91B96">
        <w:rPr>
          <w:rStyle w:val="libFootnotenumChar"/>
          <w:rtl/>
        </w:rPr>
        <w:t>(5)</w:t>
      </w:r>
      <w:r w:rsidRPr="00020424">
        <w:rPr>
          <w:rtl/>
          <w:lang w:bidi="fa-IR"/>
        </w:rPr>
        <w:t xml:space="preserve"> ، قَدْ تَرى </w:t>
      </w:r>
      <w:r w:rsidRPr="00A91B96">
        <w:rPr>
          <w:rStyle w:val="libFootnotenumChar"/>
          <w:rtl/>
        </w:rPr>
        <w:t>(6)</w:t>
      </w:r>
      <w:r w:rsidRPr="00020424">
        <w:rPr>
          <w:rtl/>
          <w:lang w:bidi="fa-IR"/>
        </w:rPr>
        <w:t xml:space="preserve"> دَمَهُ فِي وَجْهِهِ ، </w:t>
      </w:r>
      <w:r>
        <w:rPr>
          <w:rtl/>
          <w:lang w:bidi="fa-IR"/>
        </w:rPr>
        <w:t>لَايَدْرِي أَ</w:t>
      </w:r>
      <w:r w:rsidRPr="00020424">
        <w:rPr>
          <w:rtl/>
          <w:lang w:bidi="fa-IR"/>
        </w:rPr>
        <w:t xml:space="preserve">يَرْجِعُ بِكَأْبَةٍ </w:t>
      </w:r>
      <w:r w:rsidRPr="00A91B96">
        <w:rPr>
          <w:rStyle w:val="libFootnotenumChar"/>
          <w:rtl/>
        </w:rPr>
        <w:t>(7)</w:t>
      </w:r>
      <w:r w:rsidRPr="00020424">
        <w:rPr>
          <w:rtl/>
          <w:lang w:bidi="fa-IR"/>
        </w:rPr>
        <w:t xml:space="preserve"> أَمْ بِفَرَحٍ </w:t>
      </w:r>
      <w:r w:rsidRPr="00A91B96">
        <w:rPr>
          <w:rStyle w:val="libFootnotenumChar"/>
          <w:rtl/>
        </w:rPr>
        <w:t>(8)</w:t>
      </w:r>
      <w:r>
        <w:rPr>
          <w:rtl/>
          <w:lang w:bidi="fa-IR"/>
        </w:rPr>
        <w:t>؟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F77B7E">
        <w:rPr>
          <w:rtl/>
        </w:rPr>
        <w:t>6089</w:t>
      </w:r>
      <w:r w:rsidRPr="001155DE">
        <w:rPr>
          <w:rStyle w:val="libBold2Char"/>
          <w:rtl/>
        </w:rPr>
        <w:t xml:space="preserve"> / 3.</w:t>
      </w:r>
      <w:r w:rsidRPr="00020424">
        <w:rPr>
          <w:rtl/>
          <w:lang w:bidi="fa-IR"/>
        </w:rPr>
        <w:t xml:space="preserve"> مُحَمَّدُ بْنُ يَحْيى ، عَنْ مُحَمَّدِ بْنِ صَنْدَلٍ ، عَنْ يَاسِرٍ ، عَنِ الْيَسَعِ بْنِ حَمْزَةَ ، قَالَ :</w:t>
      </w:r>
    </w:p>
    <w:p w:rsidR="00992664" w:rsidRPr="00020424" w:rsidRDefault="00992664" w:rsidP="00992664">
      <w:pPr>
        <w:pStyle w:val="libNormal"/>
        <w:rPr>
          <w:rtl/>
          <w:lang w:bidi="fa-IR"/>
        </w:rPr>
      </w:pPr>
      <w:r w:rsidRPr="00020424">
        <w:rPr>
          <w:rtl/>
          <w:lang w:bidi="fa-IR"/>
        </w:rPr>
        <w:t xml:space="preserve">كُنْتُ </w:t>
      </w:r>
      <w:r w:rsidRPr="00A91B96">
        <w:rPr>
          <w:rStyle w:val="libFootnotenumChar"/>
          <w:rtl/>
        </w:rPr>
        <w:t>(10)</w:t>
      </w:r>
      <w:r w:rsidRPr="00020424">
        <w:rPr>
          <w:rtl/>
          <w:lang w:bidi="fa-IR"/>
        </w:rPr>
        <w:t xml:space="preserve"> فِي </w:t>
      </w:r>
      <w:r w:rsidRPr="00A91B96">
        <w:rPr>
          <w:rStyle w:val="libFootnotenumChar"/>
          <w:rtl/>
        </w:rPr>
        <w:t>(11)</w:t>
      </w:r>
      <w:r w:rsidRPr="00020424">
        <w:rPr>
          <w:rtl/>
          <w:lang w:bidi="fa-IR"/>
        </w:rPr>
        <w:t xml:space="preserve"> مَجْلِسِ أَبِي الْحَسَنِ </w:t>
      </w:r>
      <w:r w:rsidRPr="00A91B96">
        <w:rPr>
          <w:rStyle w:val="libFootnotenumChar"/>
          <w:rtl/>
        </w:rPr>
        <w:t>(12)</w:t>
      </w:r>
      <w:r w:rsidRPr="00020424">
        <w:rPr>
          <w:rtl/>
          <w:lang w:bidi="fa-IR"/>
        </w:rPr>
        <w:t xml:space="preserve"> الرِّضَا </w:t>
      </w:r>
      <w:r w:rsidRPr="00005A81">
        <w:rPr>
          <w:rStyle w:val="libAlaemChar"/>
          <w:rtl/>
        </w:rPr>
        <w:t>عليه‌السلام</w:t>
      </w:r>
      <w:r w:rsidRPr="00020424">
        <w:rPr>
          <w:rtl/>
          <w:lang w:bidi="fa-IR"/>
        </w:rPr>
        <w:t xml:space="preserve"> أُحَدِّثُهُ وَقَدِ اجْتَمَعَ إِلَيْهِ خَلْقٌ كَثِيرٌ يَسْأَلُونَهُ عَنِ الْحَلَالِ وَالْحَرَامِ إِذْ دَخَلَ عَلَيْهِ </w:t>
      </w:r>
      <w:r w:rsidRPr="00A91B96">
        <w:rPr>
          <w:rStyle w:val="libFootnotenumChar"/>
          <w:rtl/>
        </w:rPr>
        <w:t>(13)</w:t>
      </w:r>
      <w:r w:rsidRPr="00020424">
        <w:rPr>
          <w:rtl/>
          <w:lang w:bidi="fa-IR"/>
        </w:rPr>
        <w:t xml:space="preserve"> رَجُلٌ طُوَالٌ آدَمُ </w:t>
      </w:r>
      <w:r w:rsidRPr="00A91B96">
        <w:rPr>
          <w:rStyle w:val="libFootnotenumChar"/>
          <w:rtl/>
        </w:rPr>
        <w:t>(14)</w:t>
      </w:r>
      <w:r w:rsidRPr="00020424">
        <w:rPr>
          <w:rtl/>
          <w:lang w:bidi="fa-IR"/>
        </w:rPr>
        <w:t xml:space="preserve"> ، فَقَالَ : </w:t>
      </w:r>
      <w:r w:rsidRPr="00A91B96">
        <w:rPr>
          <w:rStyle w:val="libFootnotenumChar"/>
          <w:rtl/>
        </w:rPr>
        <w:t>(15)</w:t>
      </w:r>
      <w:r w:rsidRPr="00020424">
        <w:rPr>
          <w:rtl/>
          <w:lang w:bidi="fa-IR"/>
        </w:rPr>
        <w:t xml:space="preserve"> السَّلَامُ‌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 « بين اليأس والرجاء</w:t>
      </w:r>
      <w:r w:rsidR="00992664">
        <w:rPr>
          <w:rtl/>
        </w:rPr>
        <w:t xml:space="preserve"> ».</w:t>
      </w:r>
      <w:r w:rsidR="00992664" w:rsidRPr="00020424">
        <w:rPr>
          <w:rtl/>
        </w:rPr>
        <w:t xml:space="preserve"> وفي « بس » وحاشية « ظ ، بح » : « بين الرجال والنساء</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 « بحاحته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يَرْجُفُ » أي يضطرب ؛ من الرَّجْف ، وهو الزلزلة والحركة والاضطراب. راجع : </w:t>
      </w:r>
      <w:r w:rsidR="00992664" w:rsidRPr="0012008A">
        <w:rPr>
          <w:rStyle w:val="libFootnoteBoldChar"/>
          <w:rtl/>
        </w:rPr>
        <w:t>الصحاح</w:t>
      </w:r>
      <w:r w:rsidR="00992664" w:rsidRPr="00020424">
        <w:rPr>
          <w:rtl/>
        </w:rPr>
        <w:t xml:space="preserve"> ، ج 4 ، ص 1362 ؛ </w:t>
      </w:r>
      <w:r w:rsidR="00992664" w:rsidRPr="0012008A">
        <w:rPr>
          <w:rStyle w:val="libFootnoteBoldChar"/>
          <w:rtl/>
        </w:rPr>
        <w:t>النهاية</w:t>
      </w:r>
      <w:r w:rsidR="00992664" w:rsidRPr="00020424">
        <w:rPr>
          <w:rtl/>
        </w:rPr>
        <w:t xml:space="preserve"> ، ج 2 ، ص 203 ( رجف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الفرائص » : جمع الفريصة ، وهي اللَّحْمة التي بين جنب الدابّة وكتفها لا تزال ترعد. راجع : </w:t>
      </w:r>
      <w:r w:rsidR="00992664" w:rsidRPr="0012008A">
        <w:rPr>
          <w:rStyle w:val="libFootnoteBoldChar"/>
          <w:rtl/>
        </w:rPr>
        <w:t>الصحاح</w:t>
      </w:r>
      <w:r w:rsidR="00992664" w:rsidRPr="00020424">
        <w:rPr>
          <w:rtl/>
        </w:rPr>
        <w:t xml:space="preserve"> ، ج 3 ، ص 1048 ؛ </w:t>
      </w:r>
      <w:r w:rsidR="00992664" w:rsidRPr="0012008A">
        <w:rPr>
          <w:rStyle w:val="libFootnoteBoldChar"/>
          <w:rtl/>
        </w:rPr>
        <w:t>النهاية</w:t>
      </w:r>
      <w:r w:rsidR="00992664" w:rsidRPr="00020424">
        <w:rPr>
          <w:rtl/>
        </w:rPr>
        <w:t xml:space="preserve"> ، ج 3 ، ص 431 ( فرص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ترعد » أي ترجف وتضطرب. راجع : </w:t>
      </w:r>
      <w:r w:rsidR="00992664" w:rsidRPr="00A722B1">
        <w:rPr>
          <w:rStyle w:val="libFootnoteBoldChar"/>
          <w:rtl/>
        </w:rPr>
        <w:t>لسان العرب</w:t>
      </w:r>
      <w:r w:rsidR="00992664" w:rsidRPr="00020424">
        <w:rPr>
          <w:rtl/>
        </w:rPr>
        <w:t xml:space="preserve"> ، ج 3 ، ص 179 ؛ </w:t>
      </w:r>
      <w:r w:rsidR="00992664" w:rsidRPr="00A722B1">
        <w:rPr>
          <w:rStyle w:val="libFootnoteBoldChar"/>
          <w:rtl/>
        </w:rPr>
        <w:t>المصباح المنير</w:t>
      </w:r>
      <w:r w:rsidR="00992664" w:rsidRPr="00020424">
        <w:rPr>
          <w:rtl/>
        </w:rPr>
        <w:t xml:space="preserve"> ، ص 230 ( رعد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 « قد يركد</w:t>
      </w:r>
      <w:r w:rsidR="00992664">
        <w:rPr>
          <w:rtl/>
        </w:rPr>
        <w:t xml:space="preserve"> ».</w:t>
      </w:r>
      <w:r w:rsidR="00992664" w:rsidRPr="00020424">
        <w:rPr>
          <w:rtl/>
        </w:rPr>
        <w:t xml:space="preserve"> وفي « جن » : « وقدترى</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ترادّ » ، أي اهتزّ وتحرّك.</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بكآبة</w:t>
      </w:r>
      <w:r w:rsidR="00992664">
        <w:rPr>
          <w:rtl/>
        </w:rPr>
        <w:t xml:space="preserve"> ».</w:t>
      </w:r>
      <w:r w:rsidR="00992664" w:rsidRPr="00020424">
        <w:rPr>
          <w:rtl/>
        </w:rPr>
        <w:t xml:space="preserve"> والكَأْبة والكَآبة : سوء الحال والانكسار من الحزن ؛ قاله الجوهري. وقال ابن الأثير : « تغيّر النفس بالانكسار من شدّة الهمّ والحزن</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207 ؛ </w:t>
      </w:r>
      <w:r w:rsidR="00992664" w:rsidRPr="0012008A">
        <w:rPr>
          <w:rStyle w:val="libFootnoteBoldChar"/>
          <w:rtl/>
        </w:rPr>
        <w:t>النهاية</w:t>
      </w:r>
      <w:r w:rsidR="00992664" w:rsidRPr="00020424">
        <w:rPr>
          <w:rtl/>
        </w:rPr>
        <w:t xml:space="preserve"> ، ج 4 ، ص 135 ( كأب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بر » : « بفرج</w:t>
      </w:r>
      <w:r w:rsidR="00992664">
        <w:rPr>
          <w:rtl/>
        </w:rPr>
        <w:t xml:space="preserve"> ».</w:t>
      </w:r>
      <w:r w:rsidR="00992664" w:rsidRPr="00020424">
        <w:rPr>
          <w:rtl/>
        </w:rPr>
        <w:t xml:space="preserve"> وفي « بح ، بخ » : « يفرح</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أو بفرح</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421 ، ح 9803 ؛ </w:t>
      </w:r>
      <w:r w:rsidR="00992664" w:rsidRPr="0012008A">
        <w:rPr>
          <w:rStyle w:val="libFootnoteBoldChar"/>
          <w:rtl/>
        </w:rPr>
        <w:t>الوسائل</w:t>
      </w:r>
      <w:r w:rsidR="00992664" w:rsidRPr="00020424">
        <w:rPr>
          <w:rtl/>
        </w:rPr>
        <w:t xml:space="preserve"> ، ج 9 ، ص 455 ، ح 12488 ؛ </w:t>
      </w:r>
      <w:r w:rsidR="00992664" w:rsidRPr="0012008A">
        <w:rPr>
          <w:rStyle w:val="libFootnoteBoldChar"/>
          <w:rtl/>
        </w:rPr>
        <w:t>البحار</w:t>
      </w:r>
      <w:r w:rsidR="00992664" w:rsidRPr="00020424">
        <w:rPr>
          <w:rtl/>
        </w:rPr>
        <w:t xml:space="preserve"> ، ج 47 ، ص 53 ، ح 85.</w:t>
      </w:r>
    </w:p>
    <w:tbl>
      <w:tblPr>
        <w:tblStyle w:val="TableGrid"/>
        <w:bidiVisual/>
        <w:tblW w:w="0" w:type="auto"/>
        <w:tblLook w:val="04A0" w:firstRow="1" w:lastRow="0" w:firstColumn="1" w:lastColumn="0" w:noHBand="0" w:noVBand="1"/>
      </w:tblPr>
      <w:tblGrid>
        <w:gridCol w:w="4006"/>
        <w:gridCol w:w="4006"/>
      </w:tblGrid>
      <w:tr w:rsidR="00D05BE1" w:rsidTr="00D05BE1">
        <w:tc>
          <w:tcPr>
            <w:tcW w:w="4006" w:type="dxa"/>
          </w:tcPr>
          <w:p w:rsidR="00D05BE1" w:rsidRDefault="00D05BE1" w:rsidP="00992664">
            <w:pPr>
              <w:pStyle w:val="libFootnote0"/>
              <w:rPr>
                <w:rtl/>
              </w:rPr>
            </w:pPr>
            <w:r>
              <w:rPr>
                <w:rtl/>
              </w:rPr>
              <w:t xml:space="preserve">(10). </w:t>
            </w:r>
            <w:r w:rsidRPr="00020424">
              <w:rPr>
                <w:rtl/>
              </w:rPr>
              <w:t xml:space="preserve">في </w:t>
            </w:r>
            <w:r w:rsidRPr="0012008A">
              <w:rPr>
                <w:rStyle w:val="libFootnoteBoldChar"/>
                <w:rtl/>
              </w:rPr>
              <w:t>البحار</w:t>
            </w:r>
            <w:r w:rsidRPr="00020424">
              <w:rPr>
                <w:rtl/>
              </w:rPr>
              <w:t xml:space="preserve"> : + « أنا</w:t>
            </w:r>
            <w:r>
              <w:rPr>
                <w:rtl/>
              </w:rPr>
              <w:t xml:space="preserve"> ».</w:t>
            </w:r>
          </w:p>
        </w:tc>
        <w:tc>
          <w:tcPr>
            <w:tcW w:w="4006" w:type="dxa"/>
          </w:tcPr>
          <w:p w:rsidR="00D05BE1" w:rsidRDefault="00D05BE1" w:rsidP="00992664">
            <w:pPr>
              <w:pStyle w:val="libFootnote0"/>
              <w:rPr>
                <w:rtl/>
              </w:rPr>
            </w:pPr>
            <w:r>
              <w:rPr>
                <w:rtl/>
              </w:rPr>
              <w:t xml:space="preserve">(11). </w:t>
            </w:r>
            <w:r w:rsidRPr="00020424">
              <w:rPr>
                <w:rtl/>
              </w:rPr>
              <w:t xml:space="preserve">في « بر ، بف » </w:t>
            </w:r>
            <w:r w:rsidRPr="00515444">
              <w:rPr>
                <w:rStyle w:val="libFootnoteBoldChar"/>
                <w:rtl/>
              </w:rPr>
              <w:t>والوافي</w:t>
            </w:r>
            <w:r w:rsidRPr="00020424">
              <w:rPr>
                <w:rtl/>
              </w:rPr>
              <w:t xml:space="preserve"> : « عند</w:t>
            </w:r>
            <w:r>
              <w:rPr>
                <w:rtl/>
              </w:rPr>
              <w:t xml:space="preserve"> ».</w:t>
            </w:r>
          </w:p>
        </w:tc>
      </w:tr>
      <w:tr w:rsidR="00D05BE1" w:rsidTr="00D05BE1">
        <w:tc>
          <w:tcPr>
            <w:tcW w:w="4006" w:type="dxa"/>
          </w:tcPr>
          <w:p w:rsidR="00D05BE1" w:rsidRDefault="00D05BE1" w:rsidP="00992664">
            <w:pPr>
              <w:pStyle w:val="libFootnote0"/>
              <w:rPr>
                <w:rtl/>
              </w:rPr>
            </w:pPr>
            <w:r>
              <w:rPr>
                <w:rtl/>
              </w:rPr>
              <w:t>(12). في« بخ، بر ،بف</w:t>
            </w:r>
            <w:r w:rsidRPr="00020424">
              <w:rPr>
                <w:rtl/>
              </w:rPr>
              <w:t xml:space="preserve">» </w:t>
            </w:r>
            <w:r w:rsidRPr="00515444">
              <w:rPr>
                <w:rStyle w:val="libFootnoteBoldChar"/>
                <w:rtl/>
              </w:rPr>
              <w:t>والوافي</w:t>
            </w:r>
            <w:r w:rsidRPr="00020424">
              <w:rPr>
                <w:rtl/>
              </w:rPr>
              <w:t xml:space="preserve"> :</w:t>
            </w:r>
            <w:r>
              <w:rPr>
                <w:rtl/>
              </w:rPr>
              <w:t xml:space="preserve"> - </w:t>
            </w:r>
            <w:r w:rsidRPr="00020424">
              <w:rPr>
                <w:rtl/>
              </w:rPr>
              <w:t>« أبي الحسن</w:t>
            </w:r>
            <w:r>
              <w:rPr>
                <w:rtl/>
              </w:rPr>
              <w:t xml:space="preserve"> ».</w:t>
            </w:r>
          </w:p>
        </w:tc>
        <w:tc>
          <w:tcPr>
            <w:tcW w:w="4006" w:type="dxa"/>
          </w:tcPr>
          <w:p w:rsidR="00D05BE1" w:rsidRDefault="00D05BE1" w:rsidP="00992664">
            <w:pPr>
              <w:pStyle w:val="libFootnote0"/>
              <w:rPr>
                <w:rtl/>
              </w:rPr>
            </w:pPr>
            <w:r>
              <w:rPr>
                <w:rtl/>
              </w:rPr>
              <w:t xml:space="preserve">(13). </w:t>
            </w:r>
            <w:r w:rsidRPr="00020424">
              <w:rPr>
                <w:rtl/>
              </w:rPr>
              <w:t>في « بر » :</w:t>
            </w:r>
            <w:r>
              <w:rPr>
                <w:rtl/>
              </w:rPr>
              <w:t xml:space="preserve"> - </w:t>
            </w:r>
            <w:r w:rsidRPr="00020424">
              <w:rPr>
                <w:rtl/>
              </w:rPr>
              <w:t>« عليه</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بح » : « آدم طوال</w:t>
      </w:r>
      <w:r w:rsidR="00992664">
        <w:rPr>
          <w:rtl/>
        </w:rPr>
        <w:t xml:space="preserve"> ».</w:t>
      </w:r>
      <w:r w:rsidR="00992664" w:rsidRPr="00020424">
        <w:rPr>
          <w:rtl/>
        </w:rPr>
        <w:t xml:space="preserve"> والآدم : الأسمر ، من الا</w:t>
      </w:r>
      <w:r w:rsidR="00395FF2">
        <w:rPr>
          <w:rFonts w:hint="cs"/>
          <w:rtl/>
        </w:rPr>
        <w:t>ُ</w:t>
      </w:r>
      <w:r w:rsidR="00992664" w:rsidRPr="00020424">
        <w:rPr>
          <w:rtl/>
        </w:rPr>
        <w:t>دْمة ، وهي السُمْرة ، والسمرة : منزلة بين السواد والبياض. وقيل : السمرة : لون الأسمر ، وهو لون يضرب إلى سواد خفيّ. وقال ابن الأثير : « الادمة في الإبل : البياض مع سواد المقليثن</w:t>
      </w:r>
      <w:r w:rsidR="00992664">
        <w:rPr>
          <w:rtl/>
        </w:rPr>
        <w:t xml:space="preserve"> ..</w:t>
      </w:r>
      <w:r w:rsidR="00992664" w:rsidRPr="00020424">
        <w:rPr>
          <w:rtl/>
        </w:rPr>
        <w:t>. وهي في الناس : السمرة الشديدة ، وقيل : هو من ا</w:t>
      </w:r>
      <w:r w:rsidR="00395FF2">
        <w:rPr>
          <w:rFonts w:hint="cs"/>
          <w:rtl/>
        </w:rPr>
        <w:t>ُ</w:t>
      </w:r>
      <w:r w:rsidR="00992664" w:rsidRPr="00020424">
        <w:rPr>
          <w:rtl/>
        </w:rPr>
        <w:t xml:space="preserve">دمة الأرض ، وهو لونها ، وبه سمّي آدم </w:t>
      </w:r>
      <w:r w:rsidR="00992664" w:rsidRPr="00D64ADA">
        <w:rPr>
          <w:rStyle w:val="libFootnoteAlaemChar"/>
          <w:rtl/>
        </w:rPr>
        <w:t>عليه‌السلام</w:t>
      </w:r>
      <w:r w:rsidR="00992664">
        <w:rPr>
          <w:rtl/>
        </w:rPr>
        <w:t>».</w:t>
      </w:r>
      <w:r w:rsidR="00992664" w:rsidRPr="00020424">
        <w:rPr>
          <w:rtl/>
        </w:rPr>
        <w:t xml:space="preserve"> راجع : </w:t>
      </w:r>
      <w:r w:rsidR="00992664" w:rsidRPr="0012008A">
        <w:rPr>
          <w:rStyle w:val="libFootnoteBoldChar"/>
          <w:rtl/>
        </w:rPr>
        <w:t>الصحاح</w:t>
      </w:r>
      <w:r w:rsidR="00992664" w:rsidRPr="00020424">
        <w:rPr>
          <w:rtl/>
        </w:rPr>
        <w:t xml:space="preserve"> ، ج 5 ، ص 1859 ؛ </w:t>
      </w:r>
      <w:r w:rsidR="00992664" w:rsidRPr="0012008A">
        <w:rPr>
          <w:rStyle w:val="libFootnoteBoldChar"/>
          <w:rtl/>
        </w:rPr>
        <w:t>النهاية</w:t>
      </w:r>
      <w:r w:rsidR="00992664" w:rsidRPr="00020424">
        <w:rPr>
          <w:rtl/>
        </w:rPr>
        <w:t xml:space="preserve"> ، ج 1 ، ص 32 ( أدم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بح » و</w:t>
      </w:r>
      <w:r w:rsidR="00992664" w:rsidRPr="0012008A">
        <w:rPr>
          <w:rStyle w:val="libFootnoteBoldChar"/>
          <w:rtl/>
        </w:rPr>
        <w:t>البحار</w:t>
      </w:r>
      <w:r w:rsidR="00992664" w:rsidRPr="00020424">
        <w:rPr>
          <w:rtl/>
        </w:rPr>
        <w:t xml:space="preserve"> : + « 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414F8">
      <w:pPr>
        <w:pStyle w:val="libNormal0"/>
        <w:rPr>
          <w:rtl/>
          <w:lang w:bidi="fa-IR"/>
        </w:rPr>
      </w:pPr>
      <w:r w:rsidRPr="00020424">
        <w:rPr>
          <w:rtl/>
          <w:lang w:bidi="fa-IR"/>
        </w:rPr>
        <w:t xml:space="preserve">عَلَيْكَ يَا ابْنَ رَسُولِ اللهِ ، رَجُلٌ مِنْ مُحِبِّيكَ وَمُحِبِّي آبَائِكَ وَأَجْدَادِكَ </w:t>
      </w:r>
      <w:r w:rsidRPr="00005A81">
        <w:rPr>
          <w:rStyle w:val="libAlaemChar"/>
          <w:rtl/>
        </w:rPr>
        <w:t>عليهم‌السلام</w:t>
      </w:r>
      <w:r w:rsidRPr="00020424">
        <w:rPr>
          <w:rtl/>
          <w:lang w:bidi="fa-IR"/>
        </w:rPr>
        <w:t xml:space="preserve"> ، مَصْدَرِي مِنَ الْحَجِّ وَقَدِ افْتَقَدْتُ نَفَقَتِي ، وَمَا مَعِي مَا أَبْلُغُ </w:t>
      </w:r>
      <w:r w:rsidRPr="00A91B96">
        <w:rPr>
          <w:rStyle w:val="libFootnotenumChar"/>
          <w:rtl/>
        </w:rPr>
        <w:t>(1)</w:t>
      </w:r>
      <w:r w:rsidRPr="00020424">
        <w:rPr>
          <w:rtl/>
          <w:lang w:bidi="fa-IR"/>
        </w:rPr>
        <w:t xml:space="preserve"> مَرْحَلَةً ، فَإِنْ رَأَيْتَ أَنْ تُنْهِضَنِي إِلى بَلَدِي وَلِلّهِ </w:t>
      </w:r>
      <w:r w:rsidRPr="00A91B96">
        <w:rPr>
          <w:rStyle w:val="libFootnotenumChar"/>
          <w:rtl/>
        </w:rPr>
        <w:t>(2)</w:t>
      </w:r>
      <w:r w:rsidRPr="00020424">
        <w:rPr>
          <w:rtl/>
          <w:lang w:bidi="fa-IR"/>
        </w:rPr>
        <w:t xml:space="preserve"> عَلَيَّ نِعْمَةٌ ، فَإِذَا بَلَغْتُ بَلَدِي تَصَدَّقْتُ بِالَّذِي تُوَلِّينِي عَنْكَ ، فَلَسْتُ مَوْضِعَ صَدَقَةٍ.</w:t>
      </w:r>
    </w:p>
    <w:p w:rsidR="00992664" w:rsidRPr="00020424" w:rsidRDefault="00992664" w:rsidP="00992664">
      <w:pPr>
        <w:pStyle w:val="libNormal"/>
        <w:rPr>
          <w:rtl/>
          <w:lang w:bidi="fa-IR"/>
        </w:rPr>
      </w:pPr>
      <w:r w:rsidRPr="00020424">
        <w:rPr>
          <w:rtl/>
          <w:lang w:bidi="fa-IR"/>
        </w:rPr>
        <w:t xml:space="preserve">فَقَالَ لَهُ : « اجْلِسْ رَحِمَكَ اللهُ » وَأَقْبَلَ </w:t>
      </w:r>
      <w:r w:rsidRPr="00A91B96">
        <w:rPr>
          <w:rStyle w:val="libFootnotenumChar"/>
          <w:rtl/>
        </w:rPr>
        <w:t>(3)</w:t>
      </w:r>
      <w:r w:rsidRPr="00020424">
        <w:rPr>
          <w:rtl/>
          <w:lang w:bidi="fa-IR"/>
        </w:rPr>
        <w:t xml:space="preserve"> عَلَى النَّاسِ يُحَدِّثُهُمْ حَتّى تَفَرَّقُوا ، وَبَقِيَ هُوَ وَسُلَيْمَانُ الْجَعْفَرِيُّ وَخَيْثَمَةُ وَأَنَا.</w:t>
      </w:r>
    </w:p>
    <w:p w:rsidR="00992664" w:rsidRPr="00020424" w:rsidRDefault="00992664" w:rsidP="00992664">
      <w:pPr>
        <w:pStyle w:val="libNormal"/>
        <w:rPr>
          <w:rtl/>
          <w:lang w:bidi="fa-IR"/>
        </w:rPr>
      </w:pPr>
      <w:r>
        <w:rPr>
          <w:rtl/>
          <w:lang w:bidi="fa-IR"/>
        </w:rPr>
        <w:t>فَقَالَ : « أَ</w:t>
      </w:r>
      <w:r w:rsidRPr="00020424">
        <w:rPr>
          <w:rtl/>
          <w:lang w:bidi="fa-IR"/>
        </w:rPr>
        <w:t xml:space="preserve">تَأْذَنُونَ </w:t>
      </w:r>
      <w:r w:rsidRPr="00A91B96">
        <w:rPr>
          <w:rStyle w:val="libFootnotenumChar"/>
          <w:rtl/>
        </w:rPr>
        <w:t>(4)</w:t>
      </w:r>
      <w:r w:rsidRPr="00020424">
        <w:rPr>
          <w:rtl/>
          <w:lang w:bidi="fa-IR"/>
        </w:rPr>
        <w:t xml:space="preserve"> لِي فِي الدُّخُولِ</w:t>
      </w:r>
      <w:r>
        <w:rPr>
          <w:rtl/>
          <w:lang w:bidi="fa-IR"/>
        </w:rPr>
        <w:t>؟ ».</w:t>
      </w:r>
    </w:p>
    <w:p w:rsidR="00992664" w:rsidRPr="00020424" w:rsidRDefault="00992664" w:rsidP="00992664">
      <w:pPr>
        <w:pStyle w:val="libNormal"/>
        <w:rPr>
          <w:rtl/>
          <w:lang w:bidi="fa-IR"/>
        </w:rPr>
      </w:pPr>
      <w:r w:rsidRPr="00020424">
        <w:rPr>
          <w:rtl/>
          <w:lang w:bidi="fa-IR"/>
        </w:rPr>
        <w:t xml:space="preserve">فَقَالَ لَهُ </w:t>
      </w:r>
      <w:r w:rsidRPr="00A91B96">
        <w:rPr>
          <w:rStyle w:val="libFootnotenumChar"/>
          <w:rtl/>
        </w:rPr>
        <w:t>(5)</w:t>
      </w:r>
      <w:r w:rsidRPr="00020424">
        <w:rPr>
          <w:rtl/>
          <w:lang w:bidi="fa-IR"/>
        </w:rPr>
        <w:t xml:space="preserve"> سُلَيْمَانُ : قَدَّمَ اللهُ أَمْرَكَ.</w:t>
      </w:r>
    </w:p>
    <w:p w:rsidR="00992664" w:rsidRPr="00020424" w:rsidRDefault="00992664" w:rsidP="00992664">
      <w:pPr>
        <w:pStyle w:val="libNormal"/>
        <w:rPr>
          <w:rtl/>
          <w:lang w:bidi="fa-IR"/>
        </w:rPr>
      </w:pPr>
      <w:r w:rsidRPr="00020424">
        <w:rPr>
          <w:rtl/>
          <w:lang w:bidi="fa-IR"/>
        </w:rPr>
        <w:t xml:space="preserve">فَقَامَ ، فَدَخَلَ </w:t>
      </w:r>
      <w:r w:rsidRPr="00A91B96">
        <w:rPr>
          <w:rStyle w:val="libFootnotenumChar"/>
          <w:rtl/>
        </w:rPr>
        <w:t>(6)</w:t>
      </w:r>
      <w:r w:rsidRPr="00020424">
        <w:rPr>
          <w:rtl/>
          <w:lang w:bidi="fa-IR"/>
        </w:rPr>
        <w:t xml:space="preserve"> الْحُجْرَةَ ، وَبَقِيَ سَاعَةً ، ثُمَّ خَرَجَ ، وَرَدَّ الْبَابَ ، وَأَخْرَجَ يَدَهُ مِنْ أَعْلَى الْبَابِ ، وَقَالَ : « أَيْنَ الْخُرَاسَانِيُّ</w:t>
      </w:r>
      <w:r>
        <w:rPr>
          <w:rtl/>
          <w:lang w:bidi="fa-IR"/>
        </w:rPr>
        <w:t>؟</w:t>
      </w:r>
      <w:r w:rsidRPr="00020424">
        <w:rPr>
          <w:rtl/>
          <w:lang w:bidi="fa-IR"/>
        </w:rPr>
        <w:t xml:space="preserve"> » فَقَالَ : هَا أَنَا ذَا </w:t>
      </w:r>
      <w:r w:rsidRPr="00A91B96">
        <w:rPr>
          <w:rStyle w:val="libFootnotenumChar"/>
          <w:rtl/>
        </w:rPr>
        <w:t>(7)</w:t>
      </w:r>
      <w:r w:rsidRPr="00020424">
        <w:rPr>
          <w:rtl/>
          <w:lang w:bidi="fa-IR"/>
        </w:rPr>
        <w:t xml:space="preserve"> ، فَقَالَ : « خُذْ هذِهِ الْمِائَتَيْ دِينَارٍ ، وَاسْتَعِنْ </w:t>
      </w:r>
      <w:r w:rsidRPr="00A91B96">
        <w:rPr>
          <w:rStyle w:val="libFootnotenumChar"/>
          <w:rtl/>
        </w:rPr>
        <w:t>(8)</w:t>
      </w:r>
      <w:r w:rsidRPr="00020424">
        <w:rPr>
          <w:rtl/>
          <w:lang w:bidi="fa-IR"/>
        </w:rPr>
        <w:t xml:space="preserve"> بِهَا فِي </w:t>
      </w:r>
      <w:r w:rsidRPr="00A91B96">
        <w:rPr>
          <w:rStyle w:val="libFootnotenumChar"/>
          <w:rtl/>
        </w:rPr>
        <w:t>(9)</w:t>
      </w:r>
      <w:r w:rsidRPr="00020424">
        <w:rPr>
          <w:rtl/>
          <w:lang w:bidi="fa-IR"/>
        </w:rPr>
        <w:t xml:space="preserve"> مَؤُونَتِكَ وَنَفَقَتِكَ ، وَتَبَرَّكْ بِهَا ، وَلَاتَصَدَّقْ </w:t>
      </w:r>
      <w:r w:rsidRPr="00A91B96">
        <w:rPr>
          <w:rStyle w:val="libFootnotenumChar"/>
          <w:rtl/>
        </w:rPr>
        <w:t>(10)</w:t>
      </w:r>
      <w:r w:rsidRPr="00020424">
        <w:rPr>
          <w:rtl/>
          <w:lang w:bidi="fa-IR"/>
        </w:rPr>
        <w:t xml:space="preserve"> بِهَا عَنِّي ، وَاخْرُجْ فَلَا أَرَاكَ </w:t>
      </w:r>
      <w:r w:rsidRPr="00A91B96">
        <w:rPr>
          <w:rStyle w:val="libFootnotenumChar"/>
          <w:rtl/>
        </w:rPr>
        <w:t>(11)</w:t>
      </w:r>
      <w:r w:rsidRPr="00020424">
        <w:rPr>
          <w:rtl/>
          <w:lang w:bidi="fa-IR"/>
        </w:rPr>
        <w:t xml:space="preserve"> وَلَاتَرَانِي » ثُمَّ خَرَجَ.</w:t>
      </w:r>
    </w:p>
    <w:p w:rsidR="00992664" w:rsidRDefault="00992664" w:rsidP="00992664">
      <w:pPr>
        <w:pStyle w:val="libNormal"/>
        <w:rPr>
          <w:rtl/>
          <w:lang w:bidi="fa-IR"/>
        </w:rPr>
      </w:pPr>
      <w:r w:rsidRPr="00020424">
        <w:rPr>
          <w:rtl/>
          <w:lang w:bidi="fa-IR"/>
        </w:rPr>
        <w:t xml:space="preserve">فَقَالَ لَهُ </w:t>
      </w:r>
      <w:r w:rsidRPr="00A91B96">
        <w:rPr>
          <w:rStyle w:val="libFootnotenumChar"/>
          <w:rtl/>
        </w:rPr>
        <w:t>(12)</w:t>
      </w:r>
      <w:r w:rsidRPr="00020424">
        <w:rPr>
          <w:rtl/>
          <w:lang w:bidi="fa-IR"/>
        </w:rPr>
        <w:t xml:space="preserve"> سُلَيْمَانُ : جُعِلْتُ فِدَاكَ ، لَقَدْ </w:t>
      </w:r>
      <w:r w:rsidRPr="00A91B96">
        <w:rPr>
          <w:rStyle w:val="libFootnotenumChar"/>
          <w:rtl/>
        </w:rPr>
        <w:t>(13)</w:t>
      </w:r>
      <w:r w:rsidRPr="00020424">
        <w:rPr>
          <w:rtl/>
          <w:lang w:bidi="fa-IR"/>
        </w:rPr>
        <w:t xml:space="preserve"> أَجْزَلْتَ </w:t>
      </w:r>
      <w:r w:rsidRPr="00A91B96">
        <w:rPr>
          <w:rStyle w:val="libFootnotenumChar"/>
          <w:rtl/>
        </w:rPr>
        <w:t>(14)</w:t>
      </w:r>
      <w:r w:rsidRPr="00020424">
        <w:rPr>
          <w:rtl/>
          <w:lang w:bidi="fa-IR"/>
        </w:rPr>
        <w:t xml:space="preserve"> وَرَحِمْتَ ، فَلِمَا ذَا سَتَرْتَ </w:t>
      </w:r>
      <w:r w:rsidRPr="00A91B96">
        <w:rPr>
          <w:rStyle w:val="libFootnotenumChar"/>
          <w:rtl/>
        </w:rPr>
        <w:t>(15)</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بح ، بخ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 « به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414F8" w:rsidTr="001414F8">
        <w:tc>
          <w:tcPr>
            <w:tcW w:w="4006" w:type="dxa"/>
          </w:tcPr>
          <w:p w:rsidR="001414F8" w:rsidRDefault="001414F8"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فلله</w:t>
            </w:r>
            <w:r>
              <w:rPr>
                <w:rtl/>
              </w:rPr>
              <w:t xml:space="preserve"> ».</w:t>
            </w:r>
          </w:p>
        </w:tc>
        <w:tc>
          <w:tcPr>
            <w:tcW w:w="4006" w:type="dxa"/>
          </w:tcPr>
          <w:p w:rsidR="001414F8" w:rsidRDefault="001414F8" w:rsidP="00992664">
            <w:pPr>
              <w:pStyle w:val="libFootnote0"/>
              <w:rPr>
                <w:rtl/>
              </w:rPr>
            </w:pPr>
            <w:r>
              <w:rPr>
                <w:rtl/>
              </w:rPr>
              <w:t xml:space="preserve">(3). </w:t>
            </w:r>
            <w:r w:rsidRPr="00020424">
              <w:rPr>
                <w:rtl/>
              </w:rPr>
              <w:t>في « بث ، بس » : « فأقبل</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بف » : « تأذنون » من دون همزة الاستفهام.</w:t>
      </w:r>
    </w:p>
    <w:tbl>
      <w:tblPr>
        <w:tblStyle w:val="TableGrid"/>
        <w:bidiVisual/>
        <w:tblW w:w="0" w:type="auto"/>
        <w:tblLook w:val="04A0" w:firstRow="1" w:lastRow="0" w:firstColumn="1" w:lastColumn="0" w:noHBand="0" w:noVBand="1"/>
      </w:tblPr>
      <w:tblGrid>
        <w:gridCol w:w="4006"/>
        <w:gridCol w:w="4006"/>
      </w:tblGrid>
      <w:tr w:rsidR="001414F8" w:rsidTr="001414F8">
        <w:tc>
          <w:tcPr>
            <w:tcW w:w="4006" w:type="dxa"/>
          </w:tcPr>
          <w:p w:rsidR="001414F8" w:rsidRDefault="001414F8" w:rsidP="00992664">
            <w:pPr>
              <w:pStyle w:val="libFootnote0"/>
              <w:rPr>
                <w:rtl/>
                <w:lang w:bidi="fa-IR"/>
              </w:rPr>
            </w:pPr>
            <w:r>
              <w:rPr>
                <w:rtl/>
              </w:rPr>
              <w:t>(5). في«بر</w:t>
            </w:r>
            <w:r w:rsidRPr="00020424">
              <w:rPr>
                <w:rtl/>
              </w:rPr>
              <w:t>»</w:t>
            </w:r>
            <w:r w:rsidRPr="00515444">
              <w:rPr>
                <w:rStyle w:val="libFootnoteBoldChar"/>
                <w:rtl/>
              </w:rPr>
              <w:t>والوافي</w:t>
            </w:r>
            <w:r w:rsidRPr="00020424">
              <w:rPr>
                <w:rtl/>
              </w:rPr>
              <w:t>:</w:t>
            </w:r>
            <w:r>
              <w:rPr>
                <w:rtl/>
              </w:rPr>
              <w:t>-«</w:t>
            </w:r>
            <w:r w:rsidRPr="00020424">
              <w:rPr>
                <w:rtl/>
              </w:rPr>
              <w:t>له</w:t>
            </w:r>
            <w:r>
              <w:rPr>
                <w:rtl/>
              </w:rPr>
              <w:t>».</w:t>
            </w:r>
            <w:r w:rsidRPr="00020424">
              <w:rPr>
                <w:rtl/>
              </w:rPr>
              <w:t xml:space="preserve"> وفي </w:t>
            </w:r>
            <w:r w:rsidRPr="0012008A">
              <w:rPr>
                <w:rStyle w:val="libFootnoteBoldChar"/>
                <w:rtl/>
              </w:rPr>
              <w:t>البحار</w:t>
            </w:r>
            <w:r w:rsidRPr="00020424">
              <w:rPr>
                <w:rtl/>
              </w:rPr>
              <w:t xml:space="preserve"> : + « يا</w:t>
            </w:r>
            <w:r>
              <w:rPr>
                <w:rtl/>
              </w:rPr>
              <w:t xml:space="preserve"> ».</w:t>
            </w:r>
          </w:p>
        </w:tc>
        <w:tc>
          <w:tcPr>
            <w:tcW w:w="4006" w:type="dxa"/>
          </w:tcPr>
          <w:p w:rsidR="001414F8" w:rsidRDefault="001414F8" w:rsidP="00992664">
            <w:pPr>
              <w:pStyle w:val="libFootnote0"/>
              <w:rPr>
                <w:rtl/>
                <w:lang w:bidi="fa-IR"/>
              </w:rPr>
            </w:pPr>
            <w:r>
              <w:rPr>
                <w:rtl/>
              </w:rPr>
              <w:t>(6). في«بح،بخ،بر،بف</w:t>
            </w:r>
            <w:r w:rsidRPr="00020424">
              <w:rPr>
                <w:rtl/>
              </w:rPr>
              <w:t>»</w:t>
            </w:r>
            <w:r w:rsidRPr="00515444">
              <w:rPr>
                <w:rStyle w:val="libFootnoteBoldChar"/>
                <w:rtl/>
              </w:rPr>
              <w:t>والوافي</w:t>
            </w:r>
            <w:r w:rsidRPr="00020424">
              <w:rPr>
                <w:rtl/>
              </w:rPr>
              <w:t xml:space="preserve"> </w:t>
            </w:r>
            <w:r w:rsidRPr="00EB1FD9">
              <w:rPr>
                <w:rStyle w:val="libFootnoteBoldChar"/>
                <w:rtl/>
              </w:rPr>
              <w:t>والوسائل</w:t>
            </w:r>
            <w:r>
              <w:rPr>
                <w:rtl/>
              </w:rPr>
              <w:t xml:space="preserve"> :«</w:t>
            </w:r>
            <w:r w:rsidRPr="00020424">
              <w:rPr>
                <w:rtl/>
              </w:rPr>
              <w:t>ودخل</w:t>
            </w:r>
            <w:r>
              <w:rPr>
                <w:rtl/>
              </w:rPr>
              <w:t>».</w:t>
            </w:r>
          </w:p>
        </w:tc>
      </w:tr>
      <w:tr w:rsidR="001414F8" w:rsidTr="001414F8">
        <w:tc>
          <w:tcPr>
            <w:tcW w:w="4006" w:type="dxa"/>
          </w:tcPr>
          <w:p w:rsidR="001414F8" w:rsidRDefault="001414F8" w:rsidP="00992664">
            <w:pPr>
              <w:pStyle w:val="libFootnote0"/>
              <w:rPr>
                <w:rtl/>
                <w:lang w:bidi="fa-IR"/>
              </w:rPr>
            </w:pPr>
            <w:r>
              <w:rPr>
                <w:rtl/>
              </w:rPr>
              <w:t xml:space="preserve">(7). </w:t>
            </w:r>
            <w:r w:rsidRPr="00020424">
              <w:rPr>
                <w:rtl/>
              </w:rPr>
              <w:t>في « بر » : « هذا » بدل « ها أنا ذا</w:t>
            </w:r>
            <w:r>
              <w:rPr>
                <w:rtl/>
              </w:rPr>
              <w:t xml:space="preserve"> ».</w:t>
            </w:r>
          </w:p>
        </w:tc>
        <w:tc>
          <w:tcPr>
            <w:tcW w:w="4006" w:type="dxa"/>
          </w:tcPr>
          <w:p w:rsidR="001414F8" w:rsidRDefault="001414F8" w:rsidP="00992664">
            <w:pPr>
              <w:pStyle w:val="libFootnote0"/>
              <w:rPr>
                <w:rtl/>
                <w:lang w:bidi="fa-IR"/>
              </w:rPr>
            </w:pPr>
            <w:r>
              <w:rPr>
                <w:rtl/>
              </w:rPr>
              <w:t>(8). في«بر»: «</w:t>
            </w:r>
            <w:r w:rsidRPr="00020424">
              <w:rPr>
                <w:rtl/>
              </w:rPr>
              <w:t>واستغن</w:t>
            </w:r>
            <w:r>
              <w:rPr>
                <w:rtl/>
              </w:rPr>
              <w:t>».</w:t>
            </w:r>
            <w:r w:rsidRPr="00020424">
              <w:rPr>
                <w:rtl/>
              </w:rPr>
              <w:t xml:space="preserve">وفي </w:t>
            </w:r>
            <w:r w:rsidRPr="0012008A">
              <w:rPr>
                <w:rStyle w:val="libFootnoteBoldChar"/>
                <w:rtl/>
              </w:rPr>
              <w:t>الوسائل</w:t>
            </w:r>
            <w:r>
              <w:rPr>
                <w:rtl/>
              </w:rPr>
              <w:t>:«</w:t>
            </w:r>
            <w:r w:rsidRPr="00020424">
              <w:rPr>
                <w:rtl/>
              </w:rPr>
              <w:t>فاستعن</w:t>
            </w:r>
            <w:r>
              <w:rPr>
                <w:rtl/>
              </w:rPr>
              <w:t>».</w:t>
            </w:r>
          </w:p>
        </w:tc>
      </w:tr>
      <w:tr w:rsidR="001414F8" w:rsidTr="001414F8">
        <w:tc>
          <w:tcPr>
            <w:tcW w:w="4006" w:type="dxa"/>
          </w:tcPr>
          <w:p w:rsidR="001414F8" w:rsidRDefault="00E93C9C" w:rsidP="00992664">
            <w:pPr>
              <w:pStyle w:val="libFootnote0"/>
              <w:rPr>
                <w:rtl/>
                <w:lang w:bidi="fa-IR"/>
              </w:rPr>
            </w:pPr>
            <w:r>
              <w:rPr>
                <w:rtl/>
              </w:rPr>
              <w:t xml:space="preserve">(9). </w:t>
            </w:r>
            <w:r w:rsidRPr="00020424">
              <w:rPr>
                <w:rtl/>
              </w:rPr>
              <w:t xml:space="preserve">في « بخ ، بر ، بف » </w:t>
            </w:r>
            <w:r w:rsidRPr="00515444">
              <w:rPr>
                <w:rStyle w:val="libFootnoteBoldChar"/>
                <w:rtl/>
              </w:rPr>
              <w:t>والوافي</w:t>
            </w:r>
            <w:r w:rsidRPr="00020424">
              <w:rPr>
                <w:rtl/>
              </w:rPr>
              <w:t xml:space="preserve"> : « على</w:t>
            </w:r>
            <w:r>
              <w:rPr>
                <w:rtl/>
              </w:rPr>
              <w:t xml:space="preserve"> ».</w:t>
            </w:r>
          </w:p>
        </w:tc>
        <w:tc>
          <w:tcPr>
            <w:tcW w:w="4006" w:type="dxa"/>
          </w:tcPr>
          <w:p w:rsidR="001414F8" w:rsidRDefault="00E93C9C" w:rsidP="00992664">
            <w:pPr>
              <w:pStyle w:val="libFootnote0"/>
              <w:rPr>
                <w:rtl/>
                <w:lang w:bidi="fa-IR"/>
              </w:rPr>
            </w:pPr>
            <w:r>
              <w:rPr>
                <w:rtl/>
              </w:rPr>
              <w:t>(10). في</w:t>
            </w:r>
            <w:r w:rsidRPr="00020424">
              <w:rPr>
                <w:rtl/>
              </w:rPr>
              <w:t>«</w:t>
            </w:r>
            <w:r>
              <w:rPr>
                <w:rtl/>
              </w:rPr>
              <w:t>بح،بر،بف</w:t>
            </w:r>
            <w:r w:rsidRPr="00020424">
              <w:rPr>
                <w:rtl/>
              </w:rPr>
              <w:t xml:space="preserve">» </w:t>
            </w:r>
            <w:r w:rsidRPr="00515444">
              <w:rPr>
                <w:rStyle w:val="libFootnoteBoldChar"/>
                <w:rtl/>
              </w:rPr>
              <w:t>والوافي</w:t>
            </w:r>
            <w:r w:rsidRPr="00020424">
              <w:rPr>
                <w:rtl/>
              </w:rPr>
              <w:t xml:space="preserve"> : « ولا تتصدّق</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ولا أراك</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بث ، بح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فقد</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 أَجْزَلْتَ » أي أكثرت وأوسعت ، يقال : أجزلتُ له في العطاء ، أي أكثرت. وأجزل له في العطاء : إذا أوسعه. راجع : </w:t>
      </w:r>
      <w:r w:rsidR="00992664" w:rsidRPr="0012008A">
        <w:rPr>
          <w:rStyle w:val="libFootnoteBoldChar"/>
          <w:rtl/>
        </w:rPr>
        <w:t>الصحاح</w:t>
      </w:r>
      <w:r w:rsidR="00992664" w:rsidRPr="00020424">
        <w:rPr>
          <w:rtl/>
        </w:rPr>
        <w:t xml:space="preserve"> ، ج 4 ، ص 1655 ؛ </w:t>
      </w:r>
      <w:r w:rsidR="00992664" w:rsidRPr="00A722B1">
        <w:rPr>
          <w:rStyle w:val="libFootnoteBoldChar"/>
          <w:rtl/>
        </w:rPr>
        <w:t>المصباح المنير</w:t>
      </w:r>
      <w:r w:rsidR="00992664" w:rsidRPr="00020424">
        <w:rPr>
          <w:rtl/>
        </w:rPr>
        <w:t xml:space="preserve"> ، ص 99 ( جزل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استترت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وَجْهَكَ عَنْهُ</w:t>
      </w:r>
      <w:r>
        <w:rPr>
          <w:rtl/>
          <w:lang w:bidi="fa-IR"/>
        </w:rPr>
        <w:t>؟</w:t>
      </w:r>
    </w:p>
    <w:p w:rsidR="00992664" w:rsidRDefault="00992664" w:rsidP="00992664">
      <w:pPr>
        <w:pStyle w:val="libNormal"/>
        <w:rPr>
          <w:rtl/>
          <w:lang w:bidi="fa-IR"/>
        </w:rPr>
      </w:pPr>
      <w:r w:rsidRPr="00020424">
        <w:rPr>
          <w:rtl/>
          <w:lang w:bidi="fa-IR"/>
        </w:rPr>
        <w:t xml:space="preserve">فَقَالَ : « مَخَافَةَ أَنْ أَرى ذُلَّ السُّؤَالِ فِي وَجْهِهِ لِقَضَائِي </w:t>
      </w:r>
      <w:r w:rsidRPr="00A91B96">
        <w:rPr>
          <w:rStyle w:val="libFootnotenumChar"/>
          <w:rtl/>
        </w:rPr>
        <w:t>(1)</w:t>
      </w:r>
      <w:r>
        <w:rPr>
          <w:rtl/>
          <w:lang w:bidi="fa-IR"/>
        </w:rPr>
        <w:t xml:space="preserve"> حَاجَتَهُ ، أَ</w:t>
      </w:r>
      <w:r w:rsidRPr="00020424">
        <w:rPr>
          <w:rtl/>
          <w:lang w:bidi="fa-IR"/>
        </w:rPr>
        <w:t xml:space="preserve">مَا سَمِعْتَ حَدِيثَ </w:t>
      </w:r>
      <w:r w:rsidRPr="00A91B96">
        <w:rPr>
          <w:rStyle w:val="libFootnotenumChar"/>
          <w:rtl/>
        </w:rPr>
        <w:t>(2)</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الْمُسْتَتِرُ بِالْحَسَنَةِ يَعْدِلُ </w:t>
      </w:r>
      <w:r w:rsidRPr="00A91B96">
        <w:rPr>
          <w:rStyle w:val="libFootnotenumChar"/>
          <w:rtl/>
        </w:rPr>
        <w:t>(3)</w:t>
      </w:r>
      <w:r w:rsidRPr="00020424">
        <w:rPr>
          <w:rtl/>
          <w:lang w:bidi="fa-IR"/>
        </w:rPr>
        <w:t xml:space="preserve"> سَبْعِينَ حَجَّةً ، وَالْمُذِيعُ بِالسَّيِّئَةِ مَخْذُولٌ ، وَالْمُسْتَتِرُ بِهَا مَغْفُورٌ لَهُ </w:t>
      </w:r>
      <w:r w:rsidRPr="00A91B96">
        <w:rPr>
          <w:rStyle w:val="libFootnotenumChar"/>
          <w:rtl/>
        </w:rPr>
        <w:t>(4)</w:t>
      </w:r>
      <w:r>
        <w:rPr>
          <w:rtl/>
          <w:lang w:bidi="fa-IR"/>
        </w:rPr>
        <w:t>؟ أَ</w:t>
      </w:r>
      <w:r w:rsidRPr="00020424">
        <w:rPr>
          <w:rtl/>
          <w:lang w:bidi="fa-IR"/>
        </w:rPr>
        <w:t xml:space="preserve">مَا سَمِعْتَ قَوْلَ الْأُوَلِ </w:t>
      </w:r>
      <w:r w:rsidRPr="00A91B96">
        <w:rPr>
          <w:rStyle w:val="libFootnotenumChar"/>
          <w:rtl/>
        </w:rPr>
        <w:t>(5)</w:t>
      </w:r>
      <w:r w:rsidRPr="00020424">
        <w:rPr>
          <w:rtl/>
          <w:lang w:bidi="fa-IR"/>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E36203" w:rsidTr="00E36203">
        <w:trPr>
          <w:trHeight w:val="350"/>
        </w:trPr>
        <w:tc>
          <w:tcPr>
            <w:tcW w:w="3536" w:type="dxa"/>
            <w:shd w:val="clear" w:color="auto" w:fill="auto"/>
          </w:tcPr>
          <w:p w:rsidR="00E36203" w:rsidRDefault="00E36203" w:rsidP="009877D3">
            <w:pPr>
              <w:pStyle w:val="libPoem"/>
            </w:pPr>
            <w:r w:rsidRPr="00020424">
              <w:rPr>
                <w:rtl/>
                <w:lang w:bidi="fa-IR"/>
              </w:rPr>
              <w:t xml:space="preserve">مَتى آتِهِ يَوْماً لِأَطْلُبَ </w:t>
            </w:r>
            <w:r w:rsidRPr="00A91B96">
              <w:rPr>
                <w:rStyle w:val="libFootnotenumChar"/>
                <w:rtl/>
              </w:rPr>
              <w:t>(6)</w:t>
            </w:r>
            <w:r w:rsidRPr="00020424">
              <w:rPr>
                <w:rtl/>
                <w:lang w:bidi="fa-IR"/>
              </w:rPr>
              <w:t xml:space="preserve"> حَاجَةً </w:t>
            </w:r>
            <w:r w:rsidRPr="00A91B96">
              <w:rPr>
                <w:rStyle w:val="libFootnotenumChar"/>
                <w:rtl/>
              </w:rPr>
              <w:t>(7)</w:t>
            </w:r>
            <w:r w:rsidRPr="00725071">
              <w:rPr>
                <w:rStyle w:val="libPoemTiniChar0"/>
                <w:rtl/>
              </w:rPr>
              <w:br/>
              <w:t> </w:t>
            </w:r>
          </w:p>
        </w:tc>
        <w:tc>
          <w:tcPr>
            <w:tcW w:w="272" w:type="dxa"/>
            <w:shd w:val="clear" w:color="auto" w:fill="auto"/>
          </w:tcPr>
          <w:p w:rsidR="00E36203" w:rsidRDefault="00E36203" w:rsidP="009877D3">
            <w:pPr>
              <w:pStyle w:val="libPoem"/>
              <w:rPr>
                <w:rtl/>
              </w:rPr>
            </w:pPr>
          </w:p>
        </w:tc>
        <w:tc>
          <w:tcPr>
            <w:tcW w:w="3502" w:type="dxa"/>
            <w:shd w:val="clear" w:color="auto" w:fill="auto"/>
          </w:tcPr>
          <w:p w:rsidR="00E36203" w:rsidRDefault="00E36203" w:rsidP="00E36203">
            <w:pPr>
              <w:pStyle w:val="libNormal"/>
              <w:rPr>
                <w:rtl/>
                <w:lang w:bidi="fa-IR"/>
              </w:rPr>
            </w:pPr>
            <w:r w:rsidRPr="00020424">
              <w:rPr>
                <w:rtl/>
                <w:lang w:bidi="fa-IR"/>
              </w:rPr>
              <w:t>رَجَعْتُ إِلى أَهْلِي وَوَجْهِي بِمَائِهِ</w:t>
            </w:r>
            <w:r>
              <w:rPr>
                <w:rtl/>
                <w:lang w:bidi="fa-IR"/>
              </w:rPr>
              <w:t xml:space="preserve"> ».</w:t>
            </w:r>
            <w:r w:rsidRPr="00A91B96">
              <w:rPr>
                <w:rStyle w:val="libFootnotenumChar"/>
                <w:rtl/>
              </w:rPr>
              <w:t>(8)</w:t>
            </w:r>
          </w:p>
          <w:p w:rsidR="00E36203" w:rsidRDefault="00E36203" w:rsidP="009877D3">
            <w:pPr>
              <w:pStyle w:val="libPoem"/>
            </w:pPr>
            <w:r w:rsidRPr="00725071">
              <w:rPr>
                <w:rStyle w:val="libPoemTiniChar0"/>
                <w:rtl/>
              </w:rPr>
              <w:br/>
              <w:t> </w:t>
            </w:r>
          </w:p>
        </w:tc>
      </w:tr>
    </w:tbl>
    <w:p w:rsidR="00992664" w:rsidRPr="00020424" w:rsidRDefault="00992664" w:rsidP="00992664">
      <w:pPr>
        <w:pStyle w:val="libNormal"/>
        <w:rPr>
          <w:rtl/>
          <w:lang w:bidi="fa-IR"/>
        </w:rPr>
      </w:pPr>
      <w:r w:rsidRPr="00703579">
        <w:rPr>
          <w:rtl/>
        </w:rPr>
        <w:t>6090</w:t>
      </w:r>
      <w:r w:rsidRPr="001155DE">
        <w:rPr>
          <w:rStyle w:val="libBold2Char"/>
          <w:rtl/>
        </w:rPr>
        <w:t xml:space="preserve"> / 4.</w:t>
      </w:r>
      <w:r w:rsidRPr="00020424">
        <w:rPr>
          <w:rtl/>
          <w:lang w:bidi="fa-IR"/>
        </w:rPr>
        <w:t xml:space="preserve"> عَلِيُّ بْنُ إِبْرَاهِيمَ بِإِسْنَادٍ </w:t>
      </w:r>
      <w:r w:rsidRPr="00A91B96">
        <w:rPr>
          <w:rStyle w:val="libFootnotenumChar"/>
          <w:rtl/>
        </w:rPr>
        <w:t>(9)</w:t>
      </w:r>
      <w:r w:rsidRPr="00020424">
        <w:rPr>
          <w:rtl/>
          <w:lang w:bidi="fa-IR"/>
        </w:rPr>
        <w:t xml:space="preserve"> ذَكَرَهُ </w:t>
      </w:r>
      <w:r w:rsidRPr="00A91B96">
        <w:rPr>
          <w:rStyle w:val="libFootnotenumChar"/>
          <w:rtl/>
        </w:rPr>
        <w:t>(10)</w:t>
      </w:r>
      <w:r w:rsidRPr="00020424">
        <w:rPr>
          <w:rtl/>
          <w:lang w:bidi="fa-IR"/>
        </w:rPr>
        <w:t xml:space="preserve"> ، عَنِ الْحَارِثِ الْهَمْدَانِيِّ ، قَالَ :</w:t>
      </w:r>
    </w:p>
    <w:p w:rsidR="00992664" w:rsidRPr="00020424" w:rsidRDefault="00992664" w:rsidP="00992664">
      <w:pPr>
        <w:pStyle w:val="libNormal"/>
        <w:rPr>
          <w:rtl/>
          <w:lang w:bidi="fa-IR"/>
        </w:rPr>
      </w:pPr>
      <w:r w:rsidRPr="00020424">
        <w:rPr>
          <w:rtl/>
          <w:lang w:bidi="fa-IR"/>
        </w:rPr>
        <w:t xml:space="preserve">سَامَرْتُ </w:t>
      </w:r>
      <w:r w:rsidRPr="00A91B96">
        <w:rPr>
          <w:rStyle w:val="libFootnotenumChar"/>
          <w:rtl/>
        </w:rPr>
        <w:t>(11)</w:t>
      </w:r>
      <w:r w:rsidRPr="00020424">
        <w:rPr>
          <w:rtl/>
          <w:lang w:bidi="fa-IR"/>
        </w:rPr>
        <w:t xml:space="preserve"> أَمِيرَ الْمُؤْمِنِينَ صَلَوَاتُ اللهِ عَلَيْهِ ، فَقُلْتُ : يَا أَمِيرَ الْمُؤْمِنِينَ ، عَرَضَتْ لِي حَاجَةٌ ، قَالَ </w:t>
      </w:r>
      <w:r w:rsidRPr="00A91B96">
        <w:rPr>
          <w:rStyle w:val="libFootnotenumChar"/>
          <w:rtl/>
        </w:rPr>
        <w:t>(12)</w:t>
      </w:r>
      <w:r w:rsidRPr="00020424">
        <w:rPr>
          <w:rtl/>
          <w:lang w:bidi="fa-IR"/>
        </w:rPr>
        <w:t xml:space="preserve"> : « فَرَأَيْتَنِي </w:t>
      </w:r>
      <w:r w:rsidRPr="00A91B96">
        <w:rPr>
          <w:rStyle w:val="libFootnotenumChar"/>
          <w:rtl/>
        </w:rPr>
        <w:t>(13)</w:t>
      </w:r>
      <w:r w:rsidRPr="00020424">
        <w:rPr>
          <w:rtl/>
          <w:lang w:bidi="fa-IR"/>
        </w:rPr>
        <w:t xml:space="preserve"> لَهَا أَهْلاً</w:t>
      </w:r>
      <w:r>
        <w:rPr>
          <w:rtl/>
          <w:lang w:bidi="fa-IR"/>
        </w:rPr>
        <w:t>؟ ».</w:t>
      </w:r>
      <w:r w:rsidRPr="00020424">
        <w:rPr>
          <w:rtl/>
          <w:lang w:bidi="fa-IR"/>
        </w:rPr>
        <w:t xml:space="preserve"> قُلْتُ </w:t>
      </w:r>
      <w:r w:rsidRPr="00A91B96">
        <w:rPr>
          <w:rStyle w:val="libFootnotenumChar"/>
          <w:rtl/>
        </w:rPr>
        <w:t>(14)</w:t>
      </w:r>
      <w:r w:rsidRPr="00020424">
        <w:rPr>
          <w:rtl/>
          <w:lang w:bidi="fa-IR"/>
        </w:rPr>
        <w:t xml:space="preserve"> : نَعَمْ يَا أَمِيرَ الْمُؤْمِنِينَ. قَالَ : « جَزَاكَ اللهُ عَنِّي خَيْراً </w:t>
      </w:r>
      <w:r w:rsidRPr="00A91B96">
        <w:rPr>
          <w:rStyle w:val="libFootnotenumChar"/>
          <w:rtl/>
        </w:rPr>
        <w:t>(15)</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F97E47" w:rsidTr="00F97E47">
        <w:tc>
          <w:tcPr>
            <w:tcW w:w="4006" w:type="dxa"/>
          </w:tcPr>
          <w:p w:rsidR="00F97E47" w:rsidRDefault="00F97E47" w:rsidP="00992664">
            <w:pPr>
              <w:pStyle w:val="libFootnote0"/>
              <w:rPr>
                <w:rtl/>
              </w:rPr>
            </w:pPr>
            <w:r>
              <w:rPr>
                <w:rtl/>
              </w:rPr>
              <w:t xml:space="preserve">(1). </w:t>
            </w:r>
            <w:r w:rsidRPr="00020424">
              <w:rPr>
                <w:rtl/>
              </w:rPr>
              <w:t>في « بر ، بس » : « لقضاء</w:t>
            </w:r>
            <w:r>
              <w:rPr>
                <w:rtl/>
              </w:rPr>
              <w:t xml:space="preserve"> ».</w:t>
            </w:r>
          </w:p>
        </w:tc>
        <w:tc>
          <w:tcPr>
            <w:tcW w:w="4006" w:type="dxa"/>
          </w:tcPr>
          <w:p w:rsidR="00F97E47" w:rsidRDefault="00F97E47" w:rsidP="00992664">
            <w:pPr>
              <w:pStyle w:val="libFootnote0"/>
              <w:rPr>
                <w:rtl/>
              </w:rPr>
            </w:pPr>
            <w:r>
              <w:rPr>
                <w:rtl/>
              </w:rPr>
              <w:t xml:space="preserve">(2). </w:t>
            </w:r>
            <w:r w:rsidRPr="00020424">
              <w:rPr>
                <w:rtl/>
              </w:rPr>
              <w:t>في « بس » : « قول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بث ، جن » </w:t>
      </w:r>
      <w:r w:rsidR="00992664" w:rsidRPr="00BF3C73">
        <w:rPr>
          <w:rtl/>
        </w:rPr>
        <w:t>والوافي والوسائل والبحار</w:t>
      </w:r>
      <w:r w:rsidR="00992664" w:rsidRPr="00020424">
        <w:rPr>
          <w:rtl/>
        </w:rPr>
        <w:t xml:space="preserve"> : « تعدل</w:t>
      </w:r>
      <w:r w:rsidR="00992664">
        <w:rPr>
          <w:rtl/>
        </w:rPr>
        <w:t xml:space="preserve"> ».</w:t>
      </w:r>
    </w:p>
    <w:tbl>
      <w:tblPr>
        <w:tblStyle w:val="TableGrid"/>
        <w:bidiVisual/>
        <w:tblW w:w="0" w:type="auto"/>
        <w:tblLook w:val="04A0" w:firstRow="1" w:lastRow="0" w:firstColumn="1" w:lastColumn="0" w:noHBand="0" w:noVBand="1"/>
      </w:tblPr>
      <w:tblGrid>
        <w:gridCol w:w="3944"/>
        <w:gridCol w:w="4068"/>
      </w:tblGrid>
      <w:tr w:rsidR="00BF3C73" w:rsidTr="00BF3C73">
        <w:tc>
          <w:tcPr>
            <w:tcW w:w="3944" w:type="dxa"/>
          </w:tcPr>
          <w:p w:rsidR="00BF3C73" w:rsidRDefault="00BF3C73"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له</w:t>
            </w:r>
            <w:r>
              <w:rPr>
                <w:rtl/>
              </w:rPr>
              <w:t xml:space="preserve"> ».</w:t>
            </w:r>
          </w:p>
        </w:tc>
        <w:tc>
          <w:tcPr>
            <w:tcW w:w="4068" w:type="dxa"/>
          </w:tcPr>
          <w:p w:rsidR="00BF3C73" w:rsidRDefault="00BF3C73" w:rsidP="00992664">
            <w:pPr>
              <w:pStyle w:val="libFootnote0"/>
              <w:rPr>
                <w:rtl/>
              </w:rPr>
            </w:pPr>
            <w:r>
              <w:rPr>
                <w:rtl/>
              </w:rPr>
              <w:t>(5).</w:t>
            </w:r>
            <w:r w:rsidRPr="00020424">
              <w:rPr>
                <w:rtl/>
              </w:rPr>
              <w:t xml:space="preserve">في </w:t>
            </w:r>
            <w:r w:rsidRPr="0012008A">
              <w:rPr>
                <w:rStyle w:val="libFootnoteBoldChar"/>
                <w:rtl/>
              </w:rPr>
              <w:t>الوافي</w:t>
            </w:r>
            <w:r>
              <w:rPr>
                <w:rtl/>
              </w:rPr>
              <w:t>:«يعني بالا</w:t>
            </w:r>
            <w:r>
              <w:rPr>
                <w:rFonts w:hint="cs"/>
                <w:rtl/>
              </w:rPr>
              <w:t>ُ</w:t>
            </w:r>
            <w:r>
              <w:rPr>
                <w:rtl/>
              </w:rPr>
              <w:t>ول القدماء</w:t>
            </w:r>
            <w:r w:rsidRPr="00020424">
              <w:rPr>
                <w:rtl/>
              </w:rPr>
              <w:t>الذين تقدّم عهدهم</w:t>
            </w:r>
            <w:r>
              <w:rPr>
                <w:rtl/>
              </w:rPr>
              <w:t>».</w:t>
            </w:r>
          </w:p>
        </w:tc>
      </w:tr>
      <w:tr w:rsidR="00BF3C73" w:rsidTr="00BF3C73">
        <w:tc>
          <w:tcPr>
            <w:tcW w:w="3944" w:type="dxa"/>
          </w:tcPr>
          <w:p w:rsidR="00BF3C73" w:rsidRDefault="00BF3C73" w:rsidP="00992664">
            <w:pPr>
              <w:pStyle w:val="libFootnote0"/>
              <w:rPr>
                <w:rtl/>
              </w:rPr>
            </w:pPr>
            <w:r>
              <w:rPr>
                <w:rtl/>
              </w:rPr>
              <w:t>(6). في«ظ، بخ، بف»</w:t>
            </w:r>
            <w:r w:rsidRPr="00020424">
              <w:rPr>
                <w:rtl/>
              </w:rPr>
              <w:t>وحاشية « بح » : « اطالب</w:t>
            </w:r>
            <w:r>
              <w:rPr>
                <w:rtl/>
              </w:rPr>
              <w:t xml:space="preserve"> ».</w:t>
            </w:r>
          </w:p>
        </w:tc>
        <w:tc>
          <w:tcPr>
            <w:tcW w:w="4068" w:type="dxa"/>
          </w:tcPr>
          <w:p w:rsidR="00BF3C73" w:rsidRDefault="00BF3C73" w:rsidP="00992664">
            <w:pPr>
              <w:pStyle w:val="libFootnote0"/>
              <w:rPr>
                <w:rtl/>
              </w:rPr>
            </w:pPr>
            <w:r>
              <w:rPr>
                <w:rtl/>
              </w:rPr>
              <w:t xml:space="preserve">(7). </w:t>
            </w:r>
            <w:r w:rsidRPr="00020424">
              <w:rPr>
                <w:rtl/>
              </w:rPr>
              <w:t>في « ى » : « حاجتي</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ستر الذنوب ، ح 2956. </w:t>
      </w:r>
      <w:r w:rsidR="00992664" w:rsidRPr="00DE76B9">
        <w:rPr>
          <w:rStyle w:val="libFootnoteBoldChar"/>
          <w:rtl/>
        </w:rPr>
        <w:t>وفيه</w:t>
      </w:r>
      <w:r w:rsidR="00992664" w:rsidRPr="00020424">
        <w:rPr>
          <w:rtl/>
        </w:rPr>
        <w:t xml:space="preserve"> ، نفس الباب ، ح 2955 ؛ </w:t>
      </w:r>
      <w:r w:rsidR="00992664" w:rsidRPr="006C7A1F">
        <w:rPr>
          <w:rStyle w:val="libFootnoteBoldChar"/>
          <w:rtl/>
        </w:rPr>
        <w:t>وثواب الأعمال</w:t>
      </w:r>
      <w:r w:rsidR="00992664" w:rsidRPr="00020424">
        <w:rPr>
          <w:rtl/>
        </w:rPr>
        <w:t xml:space="preserve"> ، ص 213 ، ح 1 ، بسند آخر عن الرضا </w:t>
      </w:r>
      <w:r w:rsidR="00992664" w:rsidRPr="00D64ADA">
        <w:rPr>
          <w:rStyle w:val="libFootnoteAlaemChar"/>
          <w:rtl/>
        </w:rPr>
        <w:t>عليه‌السلام</w:t>
      </w:r>
      <w:r w:rsidR="00992664" w:rsidRPr="00020424">
        <w:rPr>
          <w:rtl/>
        </w:rPr>
        <w:t xml:space="preserve"> ، من دون الإسناد إلى الرسول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DE76B9">
        <w:rPr>
          <w:rStyle w:val="libFootnoteBoldChar"/>
          <w:rtl/>
        </w:rPr>
        <w:t>الاختصاص</w:t>
      </w:r>
      <w:r w:rsidR="00992664" w:rsidRPr="00020424">
        <w:rPr>
          <w:rtl/>
        </w:rPr>
        <w:t xml:space="preserve"> ، ص 142 ، صدر الحديث ، مرسلاً عن العالم </w:t>
      </w:r>
      <w:r w:rsidR="00992664" w:rsidRPr="00D64ADA">
        <w:rPr>
          <w:rStyle w:val="libFootnoteAlaemChar"/>
          <w:rtl/>
        </w:rPr>
        <w:t>عليه‌السلام</w:t>
      </w:r>
      <w:r w:rsidR="00992664" w:rsidRPr="00020424">
        <w:rPr>
          <w:rtl/>
        </w:rPr>
        <w:t xml:space="preserve"> ، من دون الإسناد إلى الرسول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 وفي كلّ المصادر من قوله : « المستتر بالحسنة » إلى قوله : « المستتر بها مغفور له » </w:t>
      </w:r>
      <w:r w:rsidR="008074C0">
        <w:rPr>
          <w:rFonts w:hint="cs"/>
          <w:rtl/>
        </w:rPr>
        <w:t>.</w:t>
      </w:r>
      <w:r w:rsidR="00992664" w:rsidRPr="0012008A">
        <w:rPr>
          <w:rStyle w:val="libFootnoteBoldChar"/>
          <w:rtl/>
        </w:rPr>
        <w:t>الوافي</w:t>
      </w:r>
      <w:r w:rsidR="00992664" w:rsidRPr="00020424">
        <w:rPr>
          <w:rtl/>
        </w:rPr>
        <w:t xml:space="preserve"> ، ج 10 ، ص 422 ، ح 9804 ؛ </w:t>
      </w:r>
      <w:r w:rsidR="00992664" w:rsidRPr="0012008A">
        <w:rPr>
          <w:rStyle w:val="libFootnoteBoldChar"/>
          <w:rtl/>
        </w:rPr>
        <w:t>الوسائل</w:t>
      </w:r>
      <w:r w:rsidR="00992664" w:rsidRPr="00020424">
        <w:rPr>
          <w:rtl/>
        </w:rPr>
        <w:t xml:space="preserve"> ، ج 9 ، ص 456 ، ح 12489 ؛ </w:t>
      </w:r>
      <w:r w:rsidR="00992664" w:rsidRPr="0012008A">
        <w:rPr>
          <w:rStyle w:val="libFootnoteBoldChar"/>
          <w:rtl/>
        </w:rPr>
        <w:t>البحار</w:t>
      </w:r>
      <w:r w:rsidR="00992664" w:rsidRPr="00020424">
        <w:rPr>
          <w:rtl/>
        </w:rPr>
        <w:t xml:space="preserve"> ، ج 49 ، ص 101 ، ح 19.</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بإسناده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12458 : « بإسناده » بدل « بإسناد ذكره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المسامرة : المحادثة بالليل ؛ من السَمَر ، محرّكة ، وهو الحديث بالليل ، أو هو اسم لتلك الساعة من الليل ، أوهو الليل. وقال ابن الأثير : « أصل السمر لون ضوء القمر ؛ لأنّهم كانوا يتحدّثون فيه</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2 ، ص 400 ؛ </w:t>
      </w:r>
      <w:r w:rsidR="00992664" w:rsidRPr="00A722B1">
        <w:rPr>
          <w:rStyle w:val="libFootnoteBoldChar"/>
          <w:rtl/>
        </w:rPr>
        <w:t>لسان العرب</w:t>
      </w:r>
      <w:r w:rsidR="00992664" w:rsidRPr="00020424">
        <w:rPr>
          <w:rtl/>
        </w:rPr>
        <w:t xml:space="preserve"> ، ج 4 ، ص 377</w:t>
      </w:r>
      <w:r w:rsidR="00992664">
        <w:rPr>
          <w:rtl/>
        </w:rPr>
        <w:t xml:space="preserve"> </w:t>
      </w:r>
      <w:r w:rsidR="009B673F">
        <w:rPr>
          <w:rtl/>
        </w:rPr>
        <w:t>-</w:t>
      </w:r>
      <w:r w:rsidR="00992664">
        <w:rPr>
          <w:rtl/>
        </w:rPr>
        <w:t xml:space="preserve"> </w:t>
      </w:r>
      <w:r w:rsidR="00992664" w:rsidRPr="00020424">
        <w:rPr>
          <w:rtl/>
        </w:rPr>
        <w:t>378 ( سمر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بف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بث ، بخ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12490 : « ورأيتني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074C0" w:rsidTr="008074C0">
        <w:tc>
          <w:tcPr>
            <w:tcW w:w="4006" w:type="dxa"/>
          </w:tcPr>
          <w:p w:rsidR="008074C0" w:rsidRDefault="008074C0" w:rsidP="00992664">
            <w:pPr>
              <w:pStyle w:val="libFootnote0"/>
              <w:rPr>
                <w:rtl/>
              </w:rPr>
            </w:pPr>
            <w:r>
              <w:rPr>
                <w:rtl/>
              </w:rPr>
              <w:t xml:space="preserve">(14). </w:t>
            </w:r>
            <w:r w:rsidRPr="00020424">
              <w:rPr>
                <w:rtl/>
              </w:rPr>
              <w:t xml:space="preserve">في « بف » </w:t>
            </w:r>
            <w:r w:rsidRPr="00515444">
              <w:rPr>
                <w:rStyle w:val="libFootnoteBoldChar"/>
                <w:rtl/>
              </w:rPr>
              <w:t>والوافي</w:t>
            </w:r>
            <w:r w:rsidRPr="00020424">
              <w:rPr>
                <w:rtl/>
              </w:rPr>
              <w:t xml:space="preserve"> : « فقلت</w:t>
            </w:r>
            <w:r>
              <w:rPr>
                <w:rtl/>
              </w:rPr>
              <w:t xml:space="preserve"> ».</w:t>
            </w:r>
          </w:p>
        </w:tc>
        <w:tc>
          <w:tcPr>
            <w:tcW w:w="4006" w:type="dxa"/>
          </w:tcPr>
          <w:p w:rsidR="008074C0" w:rsidRDefault="008074C0" w:rsidP="00992664">
            <w:pPr>
              <w:pStyle w:val="libFootnote0"/>
              <w:rPr>
                <w:rtl/>
              </w:rPr>
            </w:pPr>
            <w:r>
              <w:rPr>
                <w:rtl/>
              </w:rPr>
              <w:t xml:space="preserve">(15). </w:t>
            </w:r>
            <w:r w:rsidRPr="00020424">
              <w:rPr>
                <w:rtl/>
              </w:rPr>
              <w:t>في « بث » : « كلّ خير » بدل « خيراً</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ثُمَّ قَامَ إِلَى السِّرَاجِ ، فَأَغْشَاهَا ، وَجَلَسَ ، ثُمَّ قَالَ : « إِنَّمَا أَغْشَيْتُ </w:t>
      </w:r>
      <w:r w:rsidRPr="00A91B96">
        <w:rPr>
          <w:rStyle w:val="libFootnotenumChar"/>
          <w:rtl/>
        </w:rPr>
        <w:t>(1)</w:t>
      </w:r>
      <w:r w:rsidRPr="00020424">
        <w:rPr>
          <w:rtl/>
          <w:lang w:bidi="fa-IR"/>
        </w:rPr>
        <w:t xml:space="preserve"> السِّرَاجَ لِئَلاَّ أَرى ذُلَّ حَاجَتِكَ فِي وَجْهِكَ ، فَتَكَلَّمْ ، فَإِنِّي سَمِعْتُ رَسُولَ اللهِ </w:t>
      </w:r>
      <w:r w:rsidR="00B42914" w:rsidRPr="00B42914">
        <w:rPr>
          <w:rStyle w:val="libAlaemChar"/>
          <w:rtl/>
        </w:rPr>
        <w:t>صلى‌الله‌عليه‌وآله‌</w:t>
      </w:r>
      <w:r w:rsidRPr="00020424">
        <w:rPr>
          <w:rtl/>
          <w:lang w:bidi="fa-IR"/>
        </w:rPr>
        <w:t xml:space="preserve"> يَقُولُ : الْحَوَائِجُ أَمَانَةٌ مِنَ اللهِ فِي صُدُورِ الْعِبَادِ ، فَمَنْ كَتَمَهَا ، كُتِبَتْ </w:t>
      </w:r>
      <w:r w:rsidRPr="00A91B96">
        <w:rPr>
          <w:rStyle w:val="libFootnotenumChar"/>
          <w:rtl/>
        </w:rPr>
        <w:t>(2)</w:t>
      </w:r>
      <w:r w:rsidRPr="00020424">
        <w:rPr>
          <w:rtl/>
          <w:lang w:bidi="fa-IR"/>
        </w:rPr>
        <w:t xml:space="preserve"> لَهُ عِبَادَةٌ </w:t>
      </w:r>
      <w:r w:rsidRPr="00A91B96">
        <w:rPr>
          <w:rStyle w:val="libFootnotenumChar"/>
          <w:rtl/>
        </w:rPr>
        <w:t>(3)</w:t>
      </w:r>
      <w:r w:rsidRPr="00020424">
        <w:rPr>
          <w:rtl/>
          <w:lang w:bidi="fa-IR"/>
        </w:rPr>
        <w:t xml:space="preserve"> ، وَمَنْ أَفْشَاهَا ، كَانَ حَقّاً عَلى مَنْ سَمِعَهَا </w:t>
      </w:r>
      <w:r w:rsidRPr="00A91B96">
        <w:rPr>
          <w:rStyle w:val="libFootnotenumChar"/>
          <w:rtl/>
        </w:rPr>
        <w:t>(4)</w:t>
      </w:r>
      <w:r w:rsidRPr="00020424">
        <w:rPr>
          <w:rtl/>
          <w:lang w:bidi="fa-IR"/>
        </w:rPr>
        <w:t xml:space="preserve"> أَنْ يُعِينَهُ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181209">
        <w:rPr>
          <w:rtl/>
        </w:rPr>
        <w:t>6091</w:t>
      </w:r>
      <w:r w:rsidRPr="001155DE">
        <w:rPr>
          <w:rStyle w:val="libBold2Char"/>
          <w:rtl/>
        </w:rPr>
        <w:t xml:space="preserve"> / 5.</w:t>
      </w:r>
      <w:r w:rsidRPr="00020424">
        <w:rPr>
          <w:rtl/>
          <w:lang w:bidi="fa-IR"/>
        </w:rPr>
        <w:t xml:space="preserve"> عِدَّةٌ مِنْ أَصْحَابِنَا ، عَنْ سَهْلِ بْنِ زِيَادٍ ، عَنْ مُحَمَّدِ بْنِ أَبِي الْأَصْبَغِ ، عَنْ بُنْدَارَ بْنِ عَاصِمٍ رَفَعَهُ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 « مَا تَوَسَّلَ إِلَيَّ أَحَدٌ بِوَسِيلَةٍ ، وَلَاتَذَرَّعَ بِذَرِيعَةٍ أَقْرَبَ لَهُ إِلى مَا يُرِيدُهُ مِنِّي مِنْ رَجُلٍ سَلَفَ إِلَيْهِ مِنِّي يَدٌ </w:t>
      </w:r>
      <w:r w:rsidRPr="00A91B96">
        <w:rPr>
          <w:rStyle w:val="libFootnotenumChar"/>
          <w:rtl/>
        </w:rPr>
        <w:t>(7)</w:t>
      </w:r>
      <w:r w:rsidRPr="00020424">
        <w:rPr>
          <w:rtl/>
          <w:lang w:bidi="fa-IR"/>
        </w:rPr>
        <w:t xml:space="preserve"> أَتْبَعْتُهَا أُخْتَهَا ، وَأَحْسَنْتُ </w:t>
      </w:r>
      <w:r w:rsidRPr="00A91B96">
        <w:rPr>
          <w:rStyle w:val="libFootnotenumChar"/>
          <w:rtl/>
        </w:rPr>
        <w:t>(8)</w:t>
      </w:r>
      <w:r w:rsidRPr="00020424">
        <w:rPr>
          <w:rtl/>
          <w:lang w:bidi="fa-IR"/>
        </w:rPr>
        <w:t xml:space="preserve"> رَبَّهَا ؛ فَإِنِّي رَأَيْتُ مَنْعَ الْأَوَاخِرِ يَقْطَعُ لِسَانَ شُكْرِ الْأَوَائِلِ </w:t>
      </w:r>
      <w:r w:rsidRPr="00A91B96">
        <w:rPr>
          <w:rStyle w:val="libFootnotenumChar"/>
          <w:rtl/>
        </w:rPr>
        <w:t>(9)</w:t>
      </w:r>
      <w:r w:rsidRPr="00020424">
        <w:rPr>
          <w:rtl/>
          <w:lang w:bidi="fa-IR"/>
        </w:rPr>
        <w:t xml:space="preserve"> ، وَلَاسَخَتْ نَفْسِي </w:t>
      </w:r>
      <w:r w:rsidRPr="00A91B96">
        <w:rPr>
          <w:rStyle w:val="libFootnotenumChar"/>
          <w:rtl/>
        </w:rPr>
        <w:t>(10)</w:t>
      </w:r>
      <w:r w:rsidRPr="00020424">
        <w:rPr>
          <w:rtl/>
          <w:lang w:bidi="fa-IR"/>
        </w:rPr>
        <w:t xml:space="preserve"> بِرَدِّ بِكْرِ الْحَوَائِجِ </w:t>
      </w:r>
      <w:r w:rsidRPr="00A91B96">
        <w:rPr>
          <w:rStyle w:val="libFootnotenumChar"/>
          <w:rtl/>
        </w:rPr>
        <w:t>(11)</w:t>
      </w:r>
      <w:r w:rsidRPr="00020424">
        <w:rPr>
          <w:rtl/>
          <w:lang w:bidi="fa-IR"/>
        </w:rPr>
        <w:t xml:space="preserve"> وَقَدْ قَالَ الشَّاعِرُ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بخ » : « غشيت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بف » : « كتب الله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12490 و</w:t>
      </w:r>
      <w:r w:rsidR="00992664" w:rsidRPr="0012008A">
        <w:rPr>
          <w:rStyle w:val="libFootnoteBoldChar"/>
          <w:rtl/>
        </w:rPr>
        <w:t>البحار</w:t>
      </w:r>
      <w:r w:rsidR="00992664" w:rsidRPr="00020424">
        <w:rPr>
          <w:rtl/>
        </w:rPr>
        <w:t xml:space="preserve"> : « كتب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C4261" w:rsidTr="003C4261">
        <w:tc>
          <w:tcPr>
            <w:tcW w:w="4006" w:type="dxa"/>
          </w:tcPr>
          <w:p w:rsidR="003C4261" w:rsidRDefault="003C4261" w:rsidP="00992664">
            <w:pPr>
              <w:pStyle w:val="libFootnote0"/>
              <w:rPr>
                <w:rtl/>
              </w:rPr>
            </w:pPr>
            <w:r>
              <w:rPr>
                <w:rtl/>
              </w:rPr>
              <w:t xml:space="preserve">(3). </w:t>
            </w:r>
            <w:r w:rsidRPr="00020424">
              <w:rPr>
                <w:rtl/>
              </w:rPr>
              <w:t>في « بس » : « العبادة</w:t>
            </w:r>
            <w:r>
              <w:rPr>
                <w:rtl/>
              </w:rPr>
              <w:t xml:space="preserve"> ».</w:t>
            </w:r>
          </w:p>
        </w:tc>
        <w:tc>
          <w:tcPr>
            <w:tcW w:w="4006" w:type="dxa"/>
          </w:tcPr>
          <w:p w:rsidR="003C4261" w:rsidRDefault="003C4261" w:rsidP="00992664">
            <w:pPr>
              <w:pStyle w:val="libFootnote0"/>
              <w:rPr>
                <w:rtl/>
              </w:rPr>
            </w:pPr>
            <w:r>
              <w:rPr>
                <w:rtl/>
              </w:rPr>
              <w:t>(4). في « بح ، بر ، بف » وحاشية «بث» : «</w:t>
            </w:r>
            <w:r w:rsidRPr="00020424">
              <w:rPr>
                <w:rtl/>
              </w:rPr>
              <w:t>سمعه</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جميع النسخ التى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وفي المطبوع : « أن يعنيه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423 ، ح 9805 ؛ </w:t>
      </w:r>
      <w:r w:rsidR="00992664" w:rsidRPr="0012008A">
        <w:rPr>
          <w:rStyle w:val="libFootnoteBoldChar"/>
          <w:rtl/>
        </w:rPr>
        <w:t>الوسائل</w:t>
      </w:r>
      <w:r w:rsidR="00992664" w:rsidRPr="00020424">
        <w:rPr>
          <w:rtl/>
        </w:rPr>
        <w:t xml:space="preserve"> ، ج 9 ، ص 457 ، ح 12490 ؛ </w:t>
      </w:r>
      <w:r w:rsidR="00992664" w:rsidRPr="00DE76B9">
        <w:rPr>
          <w:rStyle w:val="libFootnoteBoldChar"/>
          <w:rtl/>
        </w:rPr>
        <w:t>وفيه</w:t>
      </w:r>
      <w:r w:rsidR="00992664" w:rsidRPr="00020424">
        <w:rPr>
          <w:rtl/>
        </w:rPr>
        <w:t xml:space="preserve"> ، ص 445 ، ح 12458 ، من قوله : « فإنّي سمعت رسول الله » إلى قوله : « كتبت له عبادة » ؛ </w:t>
      </w:r>
      <w:r w:rsidR="00992664" w:rsidRPr="0012008A">
        <w:rPr>
          <w:rStyle w:val="libFootnoteBoldChar"/>
          <w:rtl/>
        </w:rPr>
        <w:t>البحار</w:t>
      </w:r>
      <w:r w:rsidR="00992664" w:rsidRPr="00020424">
        <w:rPr>
          <w:rtl/>
        </w:rPr>
        <w:t xml:space="preserve"> ، ج 41 ، ص 36 ، ح 13.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اليد : النعمة والإحسان تصطنعه والمنّة والصنيعة ، وإنّما سمّيت يداً لأنّها إنّما تكون بالإعطاء والإعطاء إنالةباليد. راجع : </w:t>
      </w:r>
      <w:r w:rsidR="00992664" w:rsidRPr="0012008A">
        <w:rPr>
          <w:rStyle w:val="libFootnoteBoldChar"/>
          <w:rtl/>
        </w:rPr>
        <w:t>الصحاح</w:t>
      </w:r>
      <w:r w:rsidR="00992664" w:rsidRPr="00020424">
        <w:rPr>
          <w:rtl/>
        </w:rPr>
        <w:t xml:space="preserve"> ، ج 6 ، ص 2540 ؛ </w:t>
      </w:r>
      <w:r w:rsidR="00992664" w:rsidRPr="00A722B1">
        <w:rPr>
          <w:rStyle w:val="libFootnoteBoldChar"/>
          <w:rtl/>
        </w:rPr>
        <w:t>لسان العرب</w:t>
      </w:r>
      <w:r w:rsidR="00992664" w:rsidRPr="00020424">
        <w:rPr>
          <w:rtl/>
        </w:rPr>
        <w:t xml:space="preserve"> ، ج 15 ، ص 419 ( يدى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واحتسب</w:t>
      </w:r>
      <w:r w:rsidR="00992664">
        <w:rPr>
          <w:rtl/>
        </w:rPr>
        <w:t xml:space="preserve"> ».</w:t>
      </w:r>
      <w:r w:rsidR="00992664" w:rsidRPr="00020424">
        <w:rPr>
          <w:rtl/>
        </w:rPr>
        <w:t xml:space="preserve"> وفي هامش المطبوع عن بعض النسخ : « وأحسنتها » بدل « وأحسنت ربّها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إضافة المنع والشكر إلى الأواخر والأوائل إضافة إلى المفعول ، والمعنى أنّ أحسن </w:t>
      </w:r>
      <w:r w:rsidR="00992664" w:rsidRPr="0012008A">
        <w:rPr>
          <w:rStyle w:val="libFootnoteBoldChar"/>
          <w:rtl/>
        </w:rPr>
        <w:t>الوسائل</w:t>
      </w:r>
      <w:r w:rsidR="00992664" w:rsidRPr="00020424">
        <w:rPr>
          <w:rtl/>
        </w:rPr>
        <w:t xml:space="preserve"> إلى‌السؤال تقدّم العهد بالسؤال ؛ فإنّ المسؤول ثانياً لا يردّ السائل الأوّل ؛ لئلاّ يقطع شكره على الأوّل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ولا سمحت نفسي</w:t>
      </w:r>
      <w:r w:rsidR="00992664">
        <w:rPr>
          <w:rtl/>
        </w:rPr>
        <w:t xml:space="preserve"> ».</w:t>
      </w:r>
      <w:r w:rsidR="00992664" w:rsidRPr="00020424">
        <w:rPr>
          <w:rtl/>
        </w:rPr>
        <w:t xml:space="preserve"> وقوله « لا سخت نفسي » أي ما رضيت ، يقال : سَخَى ، كسعى ودعا ، أي سَرُوَ ورضي. راجع : </w:t>
      </w:r>
      <w:r w:rsidR="00992664" w:rsidRPr="00A722B1">
        <w:rPr>
          <w:rStyle w:val="libFootnoteBoldChar"/>
          <w:rtl/>
        </w:rPr>
        <w:t>القاموس المحيط</w:t>
      </w:r>
      <w:r w:rsidR="00992664" w:rsidRPr="00020424">
        <w:rPr>
          <w:rtl/>
        </w:rPr>
        <w:t xml:space="preserve"> ، ج 2 ، ص 1697 ( سخى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البِكْر : الابتداء. والبكر من كلّ شي‌ء : أوّله. وكلُّ فَعْلَة لم يتقدّمها مثلها بِكْرٌ ، وحاجةٌ بِكْرٌ طلبت حديثاً. راجع : </w:t>
      </w:r>
      <w:r w:rsidR="00992664" w:rsidRPr="00DE76B9">
        <w:rPr>
          <w:rStyle w:val="libFootnoteBoldChar"/>
          <w:rtl/>
        </w:rPr>
        <w:t>ترتيب كتاب العين</w:t>
      </w:r>
      <w:r w:rsidR="00992664" w:rsidRPr="00020424">
        <w:rPr>
          <w:rtl/>
        </w:rPr>
        <w:t xml:space="preserve"> ، ج 1 ، ص 185 ؛ </w:t>
      </w:r>
      <w:r w:rsidR="00992664" w:rsidRPr="00A722B1">
        <w:rPr>
          <w:rStyle w:val="libFootnoteBoldChar"/>
          <w:rtl/>
        </w:rPr>
        <w:t>لسان العرب</w:t>
      </w:r>
      <w:r w:rsidR="00992664" w:rsidRPr="00020424">
        <w:rPr>
          <w:rtl/>
        </w:rPr>
        <w:t xml:space="preserve"> ، ج 4 ، ص 77</w:t>
      </w:r>
      <w:r w:rsidR="00992664">
        <w:rPr>
          <w:rtl/>
        </w:rPr>
        <w:t xml:space="preserve"> </w:t>
      </w:r>
      <w:r w:rsidR="009B673F">
        <w:rPr>
          <w:rtl/>
        </w:rPr>
        <w:t>-</w:t>
      </w:r>
      <w:r w:rsidR="00992664">
        <w:rPr>
          <w:rtl/>
        </w:rPr>
        <w:t xml:space="preserve"> </w:t>
      </w:r>
      <w:r w:rsidR="00992664" w:rsidRPr="00020424">
        <w:rPr>
          <w:rtl/>
        </w:rPr>
        <w:t>78 ( بكر )</w:t>
      </w:r>
      <w:r w:rsidR="00992664">
        <w:rPr>
          <w:rtl/>
        </w:rPr>
        <w:t>.</w:t>
      </w:r>
    </w:p>
    <w:p w:rsidR="00795177" w:rsidRDefault="00795177" w:rsidP="00795177">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6"/>
        <w:gridCol w:w="272"/>
        <w:gridCol w:w="3502"/>
      </w:tblGrid>
      <w:tr w:rsidR="003C7F44" w:rsidTr="003C7F44">
        <w:trPr>
          <w:trHeight w:val="350"/>
        </w:trPr>
        <w:tc>
          <w:tcPr>
            <w:tcW w:w="3536" w:type="dxa"/>
            <w:shd w:val="clear" w:color="auto" w:fill="auto"/>
          </w:tcPr>
          <w:p w:rsidR="003C7F44" w:rsidRDefault="003C7F44" w:rsidP="009877D3">
            <w:pPr>
              <w:pStyle w:val="libPoem"/>
            </w:pPr>
            <w:r>
              <w:rPr>
                <w:rtl/>
                <w:lang w:bidi="fa-IR"/>
              </w:rPr>
              <w:t>وَ</w:t>
            </w:r>
            <w:r w:rsidRPr="00020424">
              <w:rPr>
                <w:rtl/>
                <w:lang w:bidi="fa-IR"/>
              </w:rPr>
              <w:t xml:space="preserve">إِذَا بُلِيتَ </w:t>
            </w:r>
            <w:r w:rsidRPr="00A91B96">
              <w:rPr>
                <w:rStyle w:val="libFootnotenumChar"/>
                <w:rtl/>
              </w:rPr>
              <w:t>(1)</w:t>
            </w:r>
            <w:r w:rsidRPr="00020424">
              <w:rPr>
                <w:rtl/>
                <w:lang w:bidi="fa-IR"/>
              </w:rPr>
              <w:t xml:space="preserve"> بِبَذْلِ وَجْهِكَ سَائِلاً</w:t>
            </w:r>
            <w:r w:rsidRPr="00E02BA1">
              <w:rPr>
                <w:rStyle w:val="libPoemTiniChar0"/>
                <w:rtl/>
              </w:rPr>
              <w:br/>
              <w:t> </w:t>
            </w:r>
            <w:r w:rsidRPr="00725071">
              <w:rPr>
                <w:rStyle w:val="libPoemTiniChar0"/>
                <w:rtl/>
              </w:rPr>
              <w:br/>
              <w:t> </w:t>
            </w:r>
          </w:p>
        </w:tc>
        <w:tc>
          <w:tcPr>
            <w:tcW w:w="272" w:type="dxa"/>
            <w:shd w:val="clear" w:color="auto" w:fill="auto"/>
          </w:tcPr>
          <w:p w:rsidR="003C7F44" w:rsidRDefault="003C7F44" w:rsidP="009877D3">
            <w:pPr>
              <w:pStyle w:val="libPoem"/>
              <w:rPr>
                <w:rtl/>
              </w:rPr>
            </w:pPr>
          </w:p>
        </w:tc>
        <w:tc>
          <w:tcPr>
            <w:tcW w:w="3502" w:type="dxa"/>
            <w:shd w:val="clear" w:color="auto" w:fill="auto"/>
          </w:tcPr>
          <w:p w:rsidR="003C7F44" w:rsidRDefault="003C7F44" w:rsidP="009877D3">
            <w:pPr>
              <w:pStyle w:val="libPoem"/>
            </w:pPr>
            <w:r w:rsidRPr="00020424">
              <w:rPr>
                <w:rtl/>
                <w:lang w:bidi="fa-IR"/>
              </w:rPr>
              <w:t>فَابْذُلْهُ لِلْمُتَكَرِّمِ الْمِفْضَالِ</w:t>
            </w:r>
            <w:r w:rsidRPr="00725071">
              <w:rPr>
                <w:rStyle w:val="libPoemTiniChar0"/>
                <w:rtl/>
              </w:rPr>
              <w:br/>
              <w:t> </w:t>
            </w:r>
          </w:p>
        </w:tc>
      </w:tr>
      <w:tr w:rsidR="003C7F44" w:rsidTr="003C7F44">
        <w:trPr>
          <w:trHeight w:val="350"/>
        </w:trPr>
        <w:tc>
          <w:tcPr>
            <w:tcW w:w="3536" w:type="dxa"/>
          </w:tcPr>
          <w:p w:rsidR="003C7F44" w:rsidRDefault="003C7F44" w:rsidP="009877D3">
            <w:pPr>
              <w:pStyle w:val="libPoem"/>
            </w:pPr>
            <w:r w:rsidRPr="00020424">
              <w:rPr>
                <w:rtl/>
                <w:lang w:bidi="fa-IR"/>
              </w:rPr>
              <w:t xml:space="preserve">إِنَّ الْجَوَادَ إِذَا حَبَاكَ </w:t>
            </w:r>
            <w:r w:rsidRPr="00A91B96">
              <w:rPr>
                <w:rStyle w:val="libFootnotenumChar"/>
                <w:rtl/>
              </w:rPr>
              <w:t>(2)</w:t>
            </w:r>
            <w:r w:rsidRPr="00020424">
              <w:rPr>
                <w:rtl/>
                <w:lang w:bidi="fa-IR"/>
              </w:rPr>
              <w:t xml:space="preserve"> بِمَوْعِدٍ</w:t>
            </w:r>
            <w:r w:rsidRPr="00725071">
              <w:rPr>
                <w:rStyle w:val="libPoemTiniChar0"/>
                <w:rtl/>
              </w:rPr>
              <w:br/>
              <w:t> </w:t>
            </w:r>
          </w:p>
        </w:tc>
        <w:tc>
          <w:tcPr>
            <w:tcW w:w="272" w:type="dxa"/>
          </w:tcPr>
          <w:p w:rsidR="003C7F44" w:rsidRDefault="003C7F44" w:rsidP="009877D3">
            <w:pPr>
              <w:pStyle w:val="libPoem"/>
              <w:rPr>
                <w:rtl/>
              </w:rPr>
            </w:pPr>
          </w:p>
        </w:tc>
        <w:tc>
          <w:tcPr>
            <w:tcW w:w="3502" w:type="dxa"/>
          </w:tcPr>
          <w:p w:rsidR="003C7F44" w:rsidRDefault="003C7F44" w:rsidP="009877D3">
            <w:pPr>
              <w:pStyle w:val="libPoem"/>
            </w:pPr>
            <w:r w:rsidRPr="00020424">
              <w:rPr>
                <w:rtl/>
                <w:lang w:bidi="fa-IR"/>
              </w:rPr>
              <w:t xml:space="preserve">أَعْطَاكَهُ سَلِساً </w:t>
            </w:r>
            <w:r w:rsidRPr="00A91B96">
              <w:rPr>
                <w:rStyle w:val="libFootnotenumChar"/>
                <w:rtl/>
              </w:rPr>
              <w:t>(3)</w:t>
            </w:r>
            <w:r w:rsidRPr="00020424">
              <w:rPr>
                <w:rtl/>
                <w:lang w:bidi="fa-IR"/>
              </w:rPr>
              <w:t xml:space="preserve"> بِغَيْرِ مِطَالٍ </w:t>
            </w:r>
            <w:r w:rsidRPr="00A91B96">
              <w:rPr>
                <w:rStyle w:val="libFootnotenumChar"/>
                <w:rtl/>
              </w:rPr>
              <w:t>(4)</w:t>
            </w:r>
            <w:r w:rsidRPr="00725071">
              <w:rPr>
                <w:rStyle w:val="libPoemTiniChar0"/>
                <w:rtl/>
              </w:rPr>
              <w:br/>
              <w:t> </w:t>
            </w:r>
          </w:p>
        </w:tc>
      </w:tr>
      <w:tr w:rsidR="003C7F44" w:rsidTr="003C7F44">
        <w:trPr>
          <w:trHeight w:val="350"/>
        </w:trPr>
        <w:tc>
          <w:tcPr>
            <w:tcW w:w="3536" w:type="dxa"/>
          </w:tcPr>
          <w:p w:rsidR="003C7F44" w:rsidRDefault="003C7F44" w:rsidP="009877D3">
            <w:pPr>
              <w:pStyle w:val="libPoem"/>
            </w:pPr>
            <w:r>
              <w:rPr>
                <w:rtl/>
                <w:lang w:bidi="fa-IR"/>
              </w:rPr>
              <w:t>وَ</w:t>
            </w:r>
            <w:r w:rsidRPr="00020424">
              <w:rPr>
                <w:rtl/>
                <w:lang w:bidi="fa-IR"/>
              </w:rPr>
              <w:t xml:space="preserve">إِذَا السُّؤَالُ مَعَ النَّوَالِ </w:t>
            </w:r>
            <w:r w:rsidRPr="00A91B96">
              <w:rPr>
                <w:rStyle w:val="libFootnotenumChar"/>
                <w:rtl/>
              </w:rPr>
              <w:t>(5)</w:t>
            </w:r>
            <w:r w:rsidRPr="00020424">
              <w:rPr>
                <w:rtl/>
                <w:lang w:bidi="fa-IR"/>
              </w:rPr>
              <w:t xml:space="preserve"> قَرَنْتَهُ </w:t>
            </w:r>
            <w:r w:rsidRPr="00A91B96">
              <w:rPr>
                <w:rStyle w:val="libFootnotenumChar"/>
                <w:rtl/>
              </w:rPr>
              <w:t>(6)</w:t>
            </w:r>
            <w:r w:rsidRPr="00725071">
              <w:rPr>
                <w:rStyle w:val="libPoemTiniChar0"/>
                <w:rtl/>
              </w:rPr>
              <w:br/>
              <w:t> </w:t>
            </w:r>
          </w:p>
        </w:tc>
        <w:tc>
          <w:tcPr>
            <w:tcW w:w="272" w:type="dxa"/>
          </w:tcPr>
          <w:p w:rsidR="003C7F44" w:rsidRDefault="003C7F44" w:rsidP="009877D3">
            <w:pPr>
              <w:pStyle w:val="libPoem"/>
              <w:rPr>
                <w:rtl/>
              </w:rPr>
            </w:pPr>
          </w:p>
        </w:tc>
        <w:tc>
          <w:tcPr>
            <w:tcW w:w="3502" w:type="dxa"/>
          </w:tcPr>
          <w:p w:rsidR="003C7F44" w:rsidRDefault="003C7F44" w:rsidP="009877D3">
            <w:pPr>
              <w:pStyle w:val="libPoem"/>
            </w:pPr>
            <w:r w:rsidRPr="00020424">
              <w:rPr>
                <w:rtl/>
                <w:lang w:bidi="fa-IR"/>
              </w:rPr>
              <w:t>رَجَحَ السُّؤَالُ وَخَفَّ كُلُّ نَوَالٍ ».</w:t>
            </w:r>
            <w:r w:rsidRPr="00A91B96">
              <w:rPr>
                <w:rStyle w:val="libFootnotenumChar"/>
                <w:rtl/>
              </w:rPr>
              <w:t>(7)</w:t>
            </w:r>
            <w:r w:rsidRPr="00725071">
              <w:rPr>
                <w:rStyle w:val="libPoemTiniChar0"/>
                <w:rtl/>
              </w:rPr>
              <w:br/>
              <w:t> </w:t>
            </w:r>
          </w:p>
        </w:tc>
      </w:tr>
    </w:tbl>
    <w:p w:rsidR="00992664" w:rsidRPr="00020424" w:rsidRDefault="00992664" w:rsidP="00992664">
      <w:pPr>
        <w:pStyle w:val="Heading2Center"/>
        <w:rPr>
          <w:rtl/>
          <w:lang w:bidi="fa-IR"/>
        </w:rPr>
      </w:pPr>
      <w:bookmarkStart w:id="217" w:name="_Toc345172789"/>
      <w:bookmarkStart w:id="218" w:name="_Toc464562605"/>
      <w:bookmarkStart w:id="219" w:name="_Toc44599908"/>
      <w:r w:rsidRPr="00020424">
        <w:rPr>
          <w:rtl/>
          <w:lang w:bidi="fa-IR"/>
        </w:rPr>
        <w:t>67</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(8)</w:t>
      </w:r>
      <w:r>
        <w:rPr>
          <w:rtl/>
        </w:rPr>
        <w:t xml:space="preserve"> </w:t>
      </w:r>
      <w:r w:rsidRPr="00020424">
        <w:rPr>
          <w:rtl/>
          <w:lang w:bidi="fa-IR"/>
        </w:rPr>
        <w:t>الْمَعْرُوفِ‌</w:t>
      </w:r>
      <w:bookmarkEnd w:id="217"/>
      <w:bookmarkEnd w:id="218"/>
      <w:bookmarkEnd w:id="219"/>
    </w:p>
    <w:p w:rsidR="00992664" w:rsidRPr="00020424" w:rsidRDefault="00992664" w:rsidP="00992664">
      <w:pPr>
        <w:pStyle w:val="libNormal"/>
        <w:rPr>
          <w:rtl/>
          <w:lang w:bidi="fa-IR"/>
        </w:rPr>
      </w:pPr>
      <w:r w:rsidRPr="00181209">
        <w:rPr>
          <w:rtl/>
        </w:rPr>
        <w:t>6092</w:t>
      </w:r>
      <w:r w:rsidRPr="001155DE">
        <w:rPr>
          <w:rStyle w:val="libBold2Char"/>
          <w:rtl/>
        </w:rPr>
        <w:t xml:space="preserve"> / 1.</w:t>
      </w:r>
      <w:r w:rsidRPr="00020424">
        <w:rPr>
          <w:rtl/>
          <w:lang w:bidi="fa-IR"/>
        </w:rPr>
        <w:t xml:space="preserve"> عَلِيُّ بْنُ إِبْرَاهِيمَ ، عَنْ أَبِيهِ ، عَنْ حَمَّادِ بْنِ عِيسى </w:t>
      </w:r>
      <w:r w:rsidRPr="00A91B96">
        <w:rPr>
          <w:rStyle w:val="libFootnotenumChar"/>
          <w:rtl/>
        </w:rPr>
        <w:t>(9)</w:t>
      </w:r>
      <w:r w:rsidRPr="00020424">
        <w:rPr>
          <w:rtl/>
          <w:lang w:bidi="fa-IR"/>
        </w:rPr>
        <w:t xml:space="preserve"> ، عَنْ حَرِيزٍ ، عَنْ إِسْمَاعِيلَ بْنِ عَبْدِ الْخَالِقِ الْجُعْفِيِّ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إِنَّ مِنْ بَقَاءِ الْمُسْلِمِينَ وَ</w:t>
      </w:r>
      <w:r>
        <w:rPr>
          <w:rFonts w:hint="cs"/>
          <w:rtl/>
          <w:lang w:bidi="fa-IR"/>
        </w:rPr>
        <w:t xml:space="preserve"> </w:t>
      </w:r>
      <w:r w:rsidRPr="00A91B96">
        <w:rPr>
          <w:rStyle w:val="libFootnotenumChar"/>
          <w:rtl/>
        </w:rPr>
        <w:t>(10)</w:t>
      </w:r>
      <w:r w:rsidRPr="00020424">
        <w:rPr>
          <w:rtl/>
          <w:lang w:bidi="fa-IR"/>
        </w:rPr>
        <w:t xml:space="preserve"> بَقَاءِ الْإِسْلَامِ أَنْ تَصِيرَ الْأَمْوَالُ عِنْدَ مَنْ يَعْرِفُ فِيهَا الْحَقَّ ، وَيَصْنَعُ فِيهَا </w:t>
      </w:r>
      <w:r w:rsidRPr="00A91B96">
        <w:rPr>
          <w:rStyle w:val="libFootnotenumChar"/>
          <w:rtl/>
        </w:rPr>
        <w:t>(11)</w:t>
      </w:r>
      <w:r w:rsidRPr="00020424">
        <w:rPr>
          <w:rtl/>
          <w:lang w:bidi="fa-IR"/>
        </w:rPr>
        <w:t xml:space="preserve"> الْمَعْرُوفَ ؛ فَإِنَّ </w:t>
      </w:r>
      <w:r w:rsidRPr="00A91B96">
        <w:rPr>
          <w:rStyle w:val="libFootnotenumChar"/>
          <w:rtl/>
        </w:rPr>
        <w:t>(12)</w:t>
      </w:r>
      <w:r w:rsidRPr="00020424">
        <w:rPr>
          <w:rtl/>
          <w:lang w:bidi="fa-IR"/>
        </w:rPr>
        <w:t xml:space="preserve"> مِنْ </w:t>
      </w:r>
      <w:r w:rsidRPr="00A91B96">
        <w:rPr>
          <w:rStyle w:val="libFootnotenumChar"/>
          <w:rtl/>
        </w:rPr>
        <w:t>(13)</w:t>
      </w:r>
      <w:r w:rsidRPr="00020424">
        <w:rPr>
          <w:rtl/>
          <w:lang w:bidi="fa-IR"/>
        </w:rPr>
        <w:t xml:space="preserve"> فَنَاءِ الْإِسْلَامِ وَفَنَاءِ‌</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ابتليت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حباك » أي أعطاك ؛ من الحِباء ، وهو العطاء. راجع : </w:t>
      </w:r>
      <w:r w:rsidR="00992664" w:rsidRPr="0012008A">
        <w:rPr>
          <w:rStyle w:val="libFootnoteBoldChar"/>
          <w:rtl/>
        </w:rPr>
        <w:t>الصحاح</w:t>
      </w:r>
      <w:r w:rsidR="00992664" w:rsidRPr="00020424">
        <w:rPr>
          <w:rtl/>
        </w:rPr>
        <w:t xml:space="preserve"> ، ج 6 ، ص 2308 ( حبو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شي‌ء سَلِس ، أي منقاد ، ورجل سَلِسٌ ، أي ليّن منقاد. راجع : </w:t>
      </w:r>
      <w:r w:rsidR="00992664" w:rsidRPr="0012008A">
        <w:rPr>
          <w:rStyle w:val="libFootnoteBoldChar"/>
          <w:rtl/>
        </w:rPr>
        <w:t>الصحاح</w:t>
      </w:r>
      <w:r w:rsidR="00992664" w:rsidRPr="00020424">
        <w:rPr>
          <w:rtl/>
        </w:rPr>
        <w:t xml:space="preserve"> ، ج 3 ، ص 938 ؛ </w:t>
      </w:r>
      <w:r w:rsidR="00992664" w:rsidRPr="00A722B1">
        <w:rPr>
          <w:rStyle w:val="libFootnoteBoldChar"/>
          <w:rtl/>
        </w:rPr>
        <w:t>القاموس المحيط</w:t>
      </w:r>
      <w:r w:rsidR="00992664" w:rsidRPr="00020424">
        <w:rPr>
          <w:rtl/>
        </w:rPr>
        <w:t xml:space="preserve"> ، ج 1 ، ص 755 ( سلس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w:t>
      </w:r>
      <w:r w:rsidR="008325AB">
        <w:rPr>
          <w:rFonts w:hint="cs"/>
          <w:rtl/>
        </w:rPr>
        <w:t>ـ</w:t>
      </w:r>
      <w:r w:rsidR="00992664" w:rsidRPr="00020424">
        <w:rPr>
          <w:rtl/>
        </w:rPr>
        <w:t>مَطَل : التسويف بالعدة والدين ، وأصله أن يقول له مرّة بعد ا</w:t>
      </w:r>
      <w:r w:rsidR="008325AB">
        <w:rPr>
          <w:rFonts w:hint="cs"/>
          <w:rtl/>
        </w:rPr>
        <w:t>ُ</w:t>
      </w:r>
      <w:r w:rsidR="00992664" w:rsidRPr="00020424">
        <w:rPr>
          <w:rtl/>
        </w:rPr>
        <w:t xml:space="preserve">خرى : سوف أفعل. راجع : </w:t>
      </w:r>
      <w:r w:rsidR="00992664" w:rsidRPr="00A722B1">
        <w:rPr>
          <w:rStyle w:val="libFootnoteBoldChar"/>
          <w:rtl/>
        </w:rPr>
        <w:t>القاموس المحيط</w:t>
      </w:r>
      <w:r w:rsidR="00992664" w:rsidRPr="00020424">
        <w:rPr>
          <w:rtl/>
        </w:rPr>
        <w:t xml:space="preserve"> ، ج 2 ، ص 1396 ؛ </w:t>
      </w:r>
      <w:r w:rsidR="00992664" w:rsidRPr="00A722B1">
        <w:rPr>
          <w:rStyle w:val="libFootnoteBoldChar"/>
          <w:rtl/>
        </w:rPr>
        <w:t>المصباح المنير</w:t>
      </w:r>
      <w:r w:rsidR="00992664" w:rsidRPr="00020424">
        <w:rPr>
          <w:rtl/>
        </w:rPr>
        <w:t xml:space="preserve"> ، ص 575 ( مطل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النَوال » : العطاء ، مثل النائل ، من قولهم : ناله ينوله ، إذا أعطاه. راجع : </w:t>
      </w:r>
      <w:r w:rsidR="00992664" w:rsidRPr="0012008A">
        <w:rPr>
          <w:rStyle w:val="libFootnoteBoldChar"/>
          <w:rtl/>
        </w:rPr>
        <w:t>الصحاح</w:t>
      </w:r>
      <w:r w:rsidR="00992664" w:rsidRPr="00020424">
        <w:rPr>
          <w:rtl/>
        </w:rPr>
        <w:t xml:space="preserve"> ، ج 5 ، ص 1836 ؛ </w:t>
      </w:r>
      <w:r w:rsidR="00992664" w:rsidRPr="0012008A">
        <w:rPr>
          <w:rStyle w:val="libFootnoteBoldChar"/>
          <w:rtl/>
        </w:rPr>
        <w:t>النهاية</w:t>
      </w:r>
      <w:r w:rsidR="00992664" w:rsidRPr="00020424">
        <w:rPr>
          <w:rtl/>
        </w:rPr>
        <w:t xml:space="preserve"> ، ج 5 ، ص 129 ( نول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بخ ، بر ، بف » وحاشية « ظ ، بث ، جن » </w:t>
      </w:r>
      <w:r w:rsidR="00992664" w:rsidRPr="00515444">
        <w:rPr>
          <w:rStyle w:val="libFootnoteBoldChar"/>
          <w:rtl/>
        </w:rPr>
        <w:t>والوافي</w:t>
      </w:r>
      <w:r w:rsidR="00992664" w:rsidRPr="00020424">
        <w:rPr>
          <w:rtl/>
        </w:rPr>
        <w:t xml:space="preserve"> : « وزنته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تفسير القمّي</w:t>
      </w:r>
      <w:r w:rsidR="00992664" w:rsidRPr="00020424">
        <w:rPr>
          <w:rtl/>
        </w:rPr>
        <w:t xml:space="preserve"> ، ج 1 ، ص 91 ، مرسلاً ، إلى قوله : « يقطع لسان شكر الأوائل</w:t>
      </w:r>
      <w:r w:rsidR="00992664">
        <w:rPr>
          <w:rtl/>
        </w:rPr>
        <w:t xml:space="preserve"> ».</w:t>
      </w:r>
      <w:r w:rsidR="00992664" w:rsidRPr="00020424">
        <w:rPr>
          <w:rtl/>
        </w:rPr>
        <w:t xml:space="preserve"> </w:t>
      </w:r>
      <w:r w:rsidR="00992664" w:rsidRPr="00DE76B9">
        <w:rPr>
          <w:rStyle w:val="libFootnoteBoldChar"/>
          <w:rtl/>
        </w:rPr>
        <w:t>تحف العقول</w:t>
      </w:r>
      <w:r w:rsidR="00992664" w:rsidRPr="00020424">
        <w:rPr>
          <w:rtl/>
        </w:rPr>
        <w:t xml:space="preserve"> ، ص 296 ، عن الباقر </w:t>
      </w:r>
      <w:r w:rsidR="00992664" w:rsidRPr="00D64ADA">
        <w:rPr>
          <w:rStyle w:val="libFootnoteAlaemChar"/>
          <w:rtl/>
        </w:rPr>
        <w:t>عليه‌السلام</w:t>
      </w:r>
      <w:r w:rsidR="00992664" w:rsidRPr="00020424">
        <w:rPr>
          <w:rtl/>
        </w:rPr>
        <w:t xml:space="preserve"> ، إلى قوله : « ولاسخت نفسي بردّ بكر الحوائج</w:t>
      </w:r>
      <w:r w:rsidR="00992664">
        <w:rPr>
          <w:rtl/>
        </w:rPr>
        <w:t xml:space="preserve"> ».</w:t>
      </w:r>
      <w:r w:rsidR="00992664" w:rsidRPr="00020424">
        <w:rPr>
          <w:rtl/>
        </w:rPr>
        <w:t xml:space="preserve"> </w:t>
      </w:r>
      <w:r w:rsidR="00992664" w:rsidRPr="00DE76B9">
        <w:rPr>
          <w:rStyle w:val="libFootnoteBoldChar"/>
          <w:rtl/>
        </w:rPr>
        <w:t>ديوان الإمام عليّ</w:t>
      </w:r>
      <w:r w:rsidR="00992664" w:rsidRPr="00020424">
        <w:rPr>
          <w:rtl/>
        </w:rPr>
        <w:t xml:space="preserve"> </w:t>
      </w:r>
      <w:r w:rsidR="00992664" w:rsidRPr="00D64ADA">
        <w:rPr>
          <w:rStyle w:val="libFootnoteAlaemChar"/>
          <w:rtl/>
        </w:rPr>
        <w:t>عليه‌السلام</w:t>
      </w:r>
      <w:r w:rsidR="00992664" w:rsidRPr="00020424">
        <w:rPr>
          <w:rtl/>
        </w:rPr>
        <w:t xml:space="preserve"> ، ص 340 ، من قوله : « وإذا بليت ببذل وجهك سائلاً » ، وفي كلّ المصادر مع اختلاف يسير </w:t>
      </w:r>
      <w:r w:rsidR="008325AB">
        <w:rPr>
          <w:rFonts w:hint="cs"/>
          <w:rtl/>
        </w:rPr>
        <w:t>.</w:t>
      </w:r>
      <w:r w:rsidR="00992664" w:rsidRPr="0012008A">
        <w:rPr>
          <w:rStyle w:val="libFootnoteBoldChar"/>
          <w:rtl/>
        </w:rPr>
        <w:t>الوافي</w:t>
      </w:r>
      <w:r w:rsidR="00992664" w:rsidRPr="00020424">
        <w:rPr>
          <w:rtl/>
        </w:rPr>
        <w:t xml:space="preserve"> ، ج 10 ، ص 424 ، ح 9806 ؛ </w:t>
      </w:r>
      <w:r w:rsidR="00992664" w:rsidRPr="0012008A">
        <w:rPr>
          <w:rStyle w:val="libFootnoteBoldChar"/>
          <w:rtl/>
        </w:rPr>
        <w:t>الوسائل</w:t>
      </w:r>
      <w:r w:rsidR="00992664" w:rsidRPr="00020424">
        <w:rPr>
          <w:rtl/>
        </w:rPr>
        <w:t xml:space="preserve"> ، ج 9 ، ص 458 ، ح 12493 ؛ </w:t>
      </w:r>
      <w:r w:rsidR="00992664" w:rsidRPr="0012008A">
        <w:rPr>
          <w:rStyle w:val="libFootnoteBoldChar"/>
          <w:rtl/>
        </w:rPr>
        <w:t>البحار</w:t>
      </w:r>
      <w:r w:rsidR="00992664" w:rsidRPr="00020424">
        <w:rPr>
          <w:rtl/>
        </w:rPr>
        <w:t xml:space="preserve"> ، ج 47 ، ص 38 ، ح 42.</w:t>
      </w:r>
    </w:p>
    <w:tbl>
      <w:tblPr>
        <w:tblStyle w:val="TableGrid"/>
        <w:bidiVisual/>
        <w:tblW w:w="0" w:type="auto"/>
        <w:tblLook w:val="04A0" w:firstRow="1" w:lastRow="0" w:firstColumn="1" w:lastColumn="0" w:noHBand="0" w:noVBand="1"/>
      </w:tblPr>
      <w:tblGrid>
        <w:gridCol w:w="4006"/>
        <w:gridCol w:w="4006"/>
      </w:tblGrid>
      <w:tr w:rsidR="008325AB" w:rsidTr="008325AB">
        <w:tc>
          <w:tcPr>
            <w:tcW w:w="4006" w:type="dxa"/>
          </w:tcPr>
          <w:p w:rsidR="008325AB" w:rsidRDefault="008325AB" w:rsidP="00992664">
            <w:pPr>
              <w:pStyle w:val="libFootnote0"/>
              <w:rPr>
                <w:rtl/>
              </w:rPr>
            </w:pPr>
            <w:r>
              <w:rPr>
                <w:rtl/>
              </w:rPr>
              <w:t xml:space="preserve">(8). </w:t>
            </w:r>
            <w:r w:rsidRPr="00020424">
              <w:rPr>
                <w:rtl/>
              </w:rPr>
              <w:t>في « بخ ، بف » : « أبواب</w:t>
            </w:r>
            <w:r>
              <w:rPr>
                <w:rtl/>
              </w:rPr>
              <w:t xml:space="preserve"> ».</w:t>
            </w:r>
          </w:p>
        </w:tc>
        <w:tc>
          <w:tcPr>
            <w:tcW w:w="4006" w:type="dxa"/>
          </w:tcPr>
          <w:p w:rsidR="008325AB" w:rsidRDefault="008325AB" w:rsidP="00992664">
            <w:pPr>
              <w:pStyle w:val="libFootnote0"/>
              <w:rPr>
                <w:rtl/>
              </w:rPr>
            </w:pPr>
            <w:r>
              <w:rPr>
                <w:rtl/>
              </w:rPr>
              <w:t xml:space="preserve">(9). </w:t>
            </w:r>
            <w:r w:rsidRPr="00020424">
              <w:rPr>
                <w:rtl/>
              </w:rPr>
              <w:t xml:space="preserve">في « بر ، بف » </w:t>
            </w:r>
            <w:r w:rsidRPr="00EB1FD9">
              <w:rPr>
                <w:rStyle w:val="libFootnoteBoldChar"/>
                <w:rtl/>
              </w:rPr>
              <w:t>والوسائل</w:t>
            </w:r>
            <w:r w:rsidRPr="00020424">
              <w:rPr>
                <w:rtl/>
              </w:rPr>
              <w:t xml:space="preserve"> :</w:t>
            </w:r>
            <w:r>
              <w:rPr>
                <w:rtl/>
              </w:rPr>
              <w:t xml:space="preserve"> - </w:t>
            </w:r>
            <w:r w:rsidRPr="00020424">
              <w:rPr>
                <w:rtl/>
              </w:rPr>
              <w:t>« بن عيسى</w:t>
            </w:r>
            <w:r>
              <w:rPr>
                <w:rtl/>
              </w:rPr>
              <w:t xml:space="preserve"> ».</w:t>
            </w:r>
          </w:p>
        </w:tc>
      </w:tr>
      <w:tr w:rsidR="008325AB" w:rsidTr="008325AB">
        <w:tc>
          <w:tcPr>
            <w:tcW w:w="4006" w:type="dxa"/>
          </w:tcPr>
          <w:p w:rsidR="008325AB" w:rsidRDefault="008325AB" w:rsidP="00992664">
            <w:pPr>
              <w:pStyle w:val="libFootnote0"/>
              <w:rPr>
                <w:rtl/>
              </w:rPr>
            </w:pPr>
            <w:r>
              <w:rPr>
                <w:rtl/>
              </w:rPr>
              <w:t xml:space="preserve">(10). </w:t>
            </w:r>
            <w:r w:rsidRPr="00020424">
              <w:rPr>
                <w:rtl/>
              </w:rPr>
              <w:t>في « ى » :</w:t>
            </w:r>
            <w:r>
              <w:rPr>
                <w:rtl/>
              </w:rPr>
              <w:t xml:space="preserve"> - </w:t>
            </w:r>
            <w:r w:rsidRPr="00020424">
              <w:rPr>
                <w:rtl/>
              </w:rPr>
              <w:t xml:space="preserve">« من بقاء المسلمين </w:t>
            </w:r>
            <w:r>
              <w:rPr>
                <w:rtl/>
              </w:rPr>
              <w:t>و ».</w:t>
            </w:r>
          </w:p>
        </w:tc>
        <w:tc>
          <w:tcPr>
            <w:tcW w:w="4006" w:type="dxa"/>
          </w:tcPr>
          <w:p w:rsidR="008325AB" w:rsidRDefault="008325AB" w:rsidP="00992664">
            <w:pPr>
              <w:pStyle w:val="libFootnote0"/>
              <w:rPr>
                <w:rtl/>
              </w:rPr>
            </w:pPr>
            <w:r>
              <w:rPr>
                <w:rtl/>
              </w:rPr>
              <w:t>(11). في «بح،بخ،بر ، بف</w:t>
            </w:r>
            <w:r w:rsidRPr="00020424">
              <w:rPr>
                <w:rtl/>
              </w:rPr>
              <w:t xml:space="preserve">» </w:t>
            </w:r>
            <w:r w:rsidRPr="00515444">
              <w:rPr>
                <w:rStyle w:val="libFootnoteBoldChar"/>
                <w:rtl/>
              </w:rPr>
              <w:t>والوافي</w:t>
            </w:r>
            <w:r w:rsidRPr="00020424">
              <w:rPr>
                <w:rtl/>
              </w:rPr>
              <w:t xml:space="preserve"> :</w:t>
            </w:r>
            <w:r>
              <w:rPr>
                <w:rtl/>
              </w:rPr>
              <w:t xml:space="preserve"> - </w:t>
            </w:r>
            <w:r w:rsidRPr="00020424">
              <w:rPr>
                <w:rtl/>
              </w:rPr>
              <w:t>« فيها</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8325AB">
      <w:pPr>
        <w:pStyle w:val="libNormal0"/>
        <w:rPr>
          <w:rtl/>
          <w:lang w:bidi="fa-IR"/>
        </w:rPr>
      </w:pPr>
      <w:r w:rsidRPr="00020424">
        <w:rPr>
          <w:rtl/>
          <w:lang w:bidi="fa-IR"/>
        </w:rPr>
        <w:t xml:space="preserve">الْمُسْلِمِينَ </w:t>
      </w:r>
      <w:r w:rsidRPr="00A91B96">
        <w:rPr>
          <w:rStyle w:val="libFootnotenumChar"/>
          <w:rtl/>
        </w:rPr>
        <w:t>(1)</w:t>
      </w:r>
      <w:r w:rsidRPr="00020424">
        <w:rPr>
          <w:rtl/>
          <w:lang w:bidi="fa-IR"/>
        </w:rPr>
        <w:t xml:space="preserve"> أَنْ تَصِيرَ </w:t>
      </w:r>
      <w:r w:rsidRPr="00A91B96">
        <w:rPr>
          <w:rStyle w:val="libFootnotenumChar"/>
          <w:rtl/>
        </w:rPr>
        <w:t>(2)</w:t>
      </w:r>
      <w:r w:rsidRPr="00020424">
        <w:rPr>
          <w:rtl/>
          <w:lang w:bidi="fa-IR"/>
        </w:rPr>
        <w:t xml:space="preserve"> الْأَمْوَالُ فِي أَيْدِي مَنْ لَايَعْرِفُ فِيهَا الْحَقَّ ، وَلَايَصْنَعُ فِيهَا الْمَعْرُوفَ</w:t>
      </w:r>
      <w:r>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0C158D">
        <w:rPr>
          <w:rtl/>
        </w:rPr>
        <w:t>6093</w:t>
      </w:r>
      <w:r w:rsidRPr="001155DE">
        <w:rPr>
          <w:rStyle w:val="libBold2Char"/>
          <w:rtl/>
        </w:rPr>
        <w:t xml:space="preserve"> / 2.</w:t>
      </w:r>
      <w:r w:rsidRPr="00020424">
        <w:rPr>
          <w:rtl/>
          <w:lang w:bidi="fa-IR"/>
        </w:rPr>
        <w:t xml:space="preserve"> مُحَمَّدُ بْنُ يَحْيى ، عَنْ أَحْمَدَ بْنِ مُحَمَّدِ بْنِ عِيسى ، عَنِ الْحَسَنِ بْنِ مَحْبُوبٍ ، عَنْ دَاوُدَ الرَّقِّيِّ ، عَنْ أَبِي حَمْزَةَ الثُّمَالِيِّ ، قَالَ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أَبُو جَعْفَرٍ </w:t>
      </w:r>
      <w:r w:rsidRPr="00005A81">
        <w:rPr>
          <w:rStyle w:val="libAlaemChar"/>
          <w:rtl/>
        </w:rPr>
        <w:t>عليه‌السلام</w:t>
      </w:r>
      <w:r w:rsidRPr="00020424">
        <w:rPr>
          <w:rtl/>
          <w:lang w:bidi="fa-IR"/>
        </w:rPr>
        <w:t xml:space="preserve">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جَعَلَ لِلْمَعْرُوفِ أَهْلاً مِنْ خَلْقِهِ ، حَبَّبَ إِلَيْهِمْ فَعَالَهُ </w:t>
      </w:r>
      <w:r w:rsidRPr="00A91B96">
        <w:rPr>
          <w:rStyle w:val="libFootnotenumChar"/>
          <w:rtl/>
        </w:rPr>
        <w:t>(5)</w:t>
      </w:r>
      <w:r w:rsidRPr="00020424">
        <w:rPr>
          <w:rtl/>
          <w:lang w:bidi="fa-IR"/>
        </w:rPr>
        <w:t xml:space="preserve"> ، وَ</w:t>
      </w:r>
      <w:r w:rsidR="008325AB">
        <w:rPr>
          <w:rFonts w:hint="cs"/>
          <w:rtl/>
          <w:lang w:bidi="fa-IR"/>
        </w:rPr>
        <w:t xml:space="preserve"> </w:t>
      </w:r>
      <w:r w:rsidR="008325AB">
        <w:rPr>
          <w:rtl/>
          <w:lang w:bidi="fa-IR"/>
        </w:rPr>
        <w:t>وَجَّهَ لِطُل</w:t>
      </w:r>
      <w:r w:rsidR="008325AB">
        <w:rPr>
          <w:rFonts w:hint="cs"/>
          <w:rtl/>
          <w:lang w:bidi="fa-IR"/>
        </w:rPr>
        <w:t>َّ</w:t>
      </w:r>
      <w:r w:rsidR="008325AB">
        <w:rPr>
          <w:rtl/>
          <w:lang w:bidi="fa-IR"/>
        </w:rPr>
        <w:t>ا</w:t>
      </w:r>
      <w:r w:rsidRPr="00020424">
        <w:rPr>
          <w:rtl/>
          <w:lang w:bidi="fa-IR"/>
        </w:rPr>
        <w:t xml:space="preserve">بِ الْمَعْرُوفِ الطَّلَبَ إِلَيْهِمْ ، وَيَسَّرَ لَهُمْ قَضَاءَهُ كَمَا يَسَّرَ الْغَيْثَ لِلْأَرْضِ </w:t>
      </w:r>
      <w:r w:rsidRPr="00A91B96">
        <w:rPr>
          <w:rStyle w:val="libFootnotenumChar"/>
          <w:rtl/>
        </w:rPr>
        <w:t>(6)</w:t>
      </w:r>
      <w:r w:rsidRPr="00020424">
        <w:rPr>
          <w:rtl/>
          <w:lang w:bidi="fa-IR"/>
        </w:rPr>
        <w:t xml:space="preserve"> الْمُجْدِبَةِ </w:t>
      </w:r>
      <w:r w:rsidRPr="00A91B96">
        <w:rPr>
          <w:rStyle w:val="libFootnotenumChar"/>
          <w:rtl/>
        </w:rPr>
        <w:t>(7)</w:t>
      </w:r>
      <w:r w:rsidRPr="00020424">
        <w:rPr>
          <w:rtl/>
          <w:lang w:bidi="fa-IR"/>
        </w:rPr>
        <w:t xml:space="preserve"> لِيُحْيِيَهَا </w:t>
      </w:r>
      <w:r w:rsidRPr="00A91B96">
        <w:rPr>
          <w:rStyle w:val="libFootnotenumChar"/>
          <w:rtl/>
        </w:rPr>
        <w:t>(8)</w:t>
      </w:r>
      <w:r w:rsidRPr="00020424">
        <w:rPr>
          <w:rtl/>
          <w:lang w:bidi="fa-IR"/>
        </w:rPr>
        <w:t xml:space="preserve"> وَيُحْيِيَ بِهِ </w:t>
      </w:r>
      <w:r w:rsidRPr="00A91B96">
        <w:rPr>
          <w:rStyle w:val="libFootnotenumChar"/>
          <w:rtl/>
        </w:rPr>
        <w:t>(9)</w:t>
      </w:r>
      <w:r w:rsidRPr="00020424">
        <w:rPr>
          <w:rtl/>
          <w:lang w:bidi="fa-IR"/>
        </w:rPr>
        <w:t xml:space="preserve"> أَهْلَهَا </w:t>
      </w:r>
      <w:r w:rsidRPr="00A91B96">
        <w:rPr>
          <w:rStyle w:val="libFootnotenumChar"/>
          <w:rtl/>
        </w:rPr>
        <w:t>(10)</w:t>
      </w:r>
      <w:r w:rsidRPr="00020424">
        <w:rPr>
          <w:rtl/>
          <w:lang w:bidi="fa-IR"/>
        </w:rPr>
        <w:t xml:space="preserve"> ، وَإِنَّ اللهَ جَعَلَ لِلْمَعْرُوفِ أَعْدَاءً مِنْ خَلْقِهِ ، بَغَّضَ إِلَيْهِمُ الْمَعْرُوفَ ، وَبَغَّضَ إِلَيْهِمْ فَعَالَهُ ، وَحَظَرَ </w:t>
      </w:r>
      <w:r w:rsidRPr="00A91B96">
        <w:rPr>
          <w:rStyle w:val="libFootnotenumChar"/>
          <w:rtl/>
        </w:rPr>
        <w:t>(11)</w:t>
      </w:r>
      <w:r w:rsidRPr="00020424">
        <w:rPr>
          <w:rtl/>
          <w:lang w:bidi="fa-IR"/>
        </w:rPr>
        <w:t xml:space="preserve"> عَلى طُلاَّبِ الْمَعْرُوفِ الطَّلَبَ إِلَيْهِمْ ، وَحَظَرَ عَلَيْهِمْ قَضَاءَهُ كَمَا يُحَرِّمُ </w:t>
      </w:r>
      <w:r w:rsidRPr="00A91B96">
        <w:rPr>
          <w:rStyle w:val="libFootnotenumChar"/>
          <w:rtl/>
        </w:rPr>
        <w:t>(12)</w:t>
      </w:r>
      <w:r w:rsidRPr="00020424">
        <w:rPr>
          <w:rtl/>
          <w:lang w:bidi="fa-IR"/>
        </w:rPr>
        <w:t xml:space="preserve"> الْغَيْثَ عَلَى </w:t>
      </w:r>
      <w:r w:rsidRPr="00A91B96">
        <w:rPr>
          <w:rStyle w:val="libFootnotenumChar"/>
          <w:rtl/>
        </w:rPr>
        <w:t>(13)</w:t>
      </w:r>
      <w:r w:rsidRPr="00020424">
        <w:rPr>
          <w:rtl/>
          <w:lang w:bidi="fa-IR"/>
        </w:rPr>
        <w:t xml:space="preserve"> الْأَرْضِ الْمُجْدِبَةِ لِيُهْلِكَهَا ، وَيُهْلِكَ أَهْلَهَا </w:t>
      </w:r>
      <w:r w:rsidRPr="00A91B96">
        <w:rPr>
          <w:rStyle w:val="libFootnotenumChar"/>
          <w:rtl/>
        </w:rPr>
        <w:t>(14)</w:t>
      </w:r>
      <w:r w:rsidRPr="00020424">
        <w:rPr>
          <w:rtl/>
          <w:lang w:bidi="fa-IR"/>
        </w:rPr>
        <w:t xml:space="preserve"> ، وَمَا يَعْفُو </w:t>
      </w:r>
      <w:r w:rsidRPr="00A91B96">
        <w:rPr>
          <w:rStyle w:val="libFootnotenumChar"/>
          <w:rtl/>
        </w:rPr>
        <w:t>(15)</w:t>
      </w:r>
      <w:r w:rsidRPr="00020424">
        <w:rPr>
          <w:rtl/>
          <w:lang w:bidi="fa-IR"/>
        </w:rPr>
        <w:t xml:space="preserve"> اللهُ أَكْثَرُ</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Normal"/>
        <w:rPr>
          <w:rtl/>
          <w:lang w:bidi="fa-IR"/>
        </w:rPr>
      </w:pPr>
      <w:r w:rsidRPr="000C158D">
        <w:rPr>
          <w:rtl/>
        </w:rPr>
        <w:t>6094</w:t>
      </w:r>
      <w:r w:rsidRPr="001155DE">
        <w:rPr>
          <w:rStyle w:val="libBold2Char"/>
          <w:rtl/>
        </w:rPr>
        <w:t xml:space="preserve"> / 3.</w:t>
      </w:r>
      <w:r w:rsidRPr="00020424">
        <w:rPr>
          <w:rtl/>
          <w:lang w:bidi="fa-IR"/>
        </w:rPr>
        <w:t xml:space="preserve"> عِدَّةٌ مِنْ أَصْحَابِنَا ، عَنْ أَحْمَدَ بْنِ أَبِي عَبْدِ اللهِ ، عَنِ الْحَسَنِ بْنِ عَلِيِّ بْنِ‌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D64B5" w:rsidTr="009D64B5">
        <w:tc>
          <w:tcPr>
            <w:tcW w:w="4006" w:type="dxa"/>
          </w:tcPr>
          <w:p w:rsidR="009D64B5" w:rsidRDefault="009D64B5" w:rsidP="00992664">
            <w:pPr>
              <w:pStyle w:val="libFootnote0"/>
              <w:rPr>
                <w:rtl/>
              </w:rPr>
            </w:pPr>
            <w:r>
              <w:rPr>
                <w:rtl/>
              </w:rPr>
              <w:t xml:space="preserve">(1). </w:t>
            </w:r>
            <w:r w:rsidRPr="00020424">
              <w:rPr>
                <w:rtl/>
              </w:rPr>
              <w:t>في « ى » :</w:t>
            </w:r>
            <w:r>
              <w:rPr>
                <w:rtl/>
              </w:rPr>
              <w:t xml:space="preserve"> - </w:t>
            </w:r>
            <w:r w:rsidRPr="00020424">
              <w:rPr>
                <w:rtl/>
              </w:rPr>
              <w:t>« وفناء المسلمين</w:t>
            </w:r>
            <w:r>
              <w:rPr>
                <w:rtl/>
              </w:rPr>
              <w:t xml:space="preserve"> ».</w:t>
            </w:r>
          </w:p>
        </w:tc>
        <w:tc>
          <w:tcPr>
            <w:tcW w:w="4006" w:type="dxa"/>
          </w:tcPr>
          <w:p w:rsidR="009D64B5" w:rsidRDefault="009D64B5" w:rsidP="00992664">
            <w:pPr>
              <w:pStyle w:val="libFootnote0"/>
              <w:rPr>
                <w:rtl/>
              </w:rPr>
            </w:pPr>
            <w:r>
              <w:rPr>
                <w:rtl/>
              </w:rPr>
              <w:t xml:space="preserve">(2). </w:t>
            </w:r>
            <w:r w:rsidRPr="00020424">
              <w:rPr>
                <w:rtl/>
              </w:rPr>
              <w:t>في « جن » : « أن يصير</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447 ، ح 9853 ؛ </w:t>
      </w:r>
      <w:r w:rsidR="00992664" w:rsidRPr="0012008A">
        <w:rPr>
          <w:rStyle w:val="libFootnoteBoldChar"/>
          <w:rtl/>
        </w:rPr>
        <w:t>الوسائل</w:t>
      </w:r>
      <w:r w:rsidR="00992664" w:rsidRPr="00020424">
        <w:rPr>
          <w:rtl/>
        </w:rPr>
        <w:t xml:space="preserve"> ، ج 16 ، ص 285 ، ح 21557.</w:t>
      </w:r>
    </w:p>
    <w:tbl>
      <w:tblPr>
        <w:tblStyle w:val="TableGrid"/>
        <w:bidiVisual/>
        <w:tblW w:w="0" w:type="auto"/>
        <w:tblLook w:val="04A0" w:firstRow="1" w:lastRow="0" w:firstColumn="1" w:lastColumn="0" w:noHBand="0" w:noVBand="1"/>
      </w:tblPr>
      <w:tblGrid>
        <w:gridCol w:w="4006"/>
        <w:gridCol w:w="4006"/>
      </w:tblGrid>
      <w:tr w:rsidR="009D64B5" w:rsidTr="009D64B5">
        <w:tc>
          <w:tcPr>
            <w:tcW w:w="4006" w:type="dxa"/>
          </w:tcPr>
          <w:p w:rsidR="009D64B5" w:rsidRDefault="009D64B5" w:rsidP="00992664">
            <w:pPr>
              <w:pStyle w:val="libFootnote0"/>
              <w:rPr>
                <w:rtl/>
                <w:lang w:bidi="fa-IR"/>
              </w:rPr>
            </w:pPr>
            <w:r>
              <w:rPr>
                <w:rtl/>
              </w:rPr>
              <w:t>(4). في «</w:t>
            </w:r>
            <w:r w:rsidRPr="00020424">
              <w:rPr>
                <w:rtl/>
              </w:rPr>
              <w:t xml:space="preserve">ظ ، ى ، بث ، بح » </w:t>
            </w:r>
            <w:r w:rsidRPr="00EB1FD9">
              <w:rPr>
                <w:rStyle w:val="libFootnoteBoldChar"/>
                <w:rtl/>
              </w:rPr>
              <w:t>والوسائل</w:t>
            </w:r>
            <w:r w:rsidRPr="00020424">
              <w:rPr>
                <w:rtl/>
              </w:rPr>
              <w:t xml:space="preserve"> : + « لي</w:t>
            </w:r>
            <w:r>
              <w:rPr>
                <w:rtl/>
              </w:rPr>
              <w:t xml:space="preserve"> ».</w:t>
            </w:r>
          </w:p>
        </w:tc>
        <w:tc>
          <w:tcPr>
            <w:tcW w:w="4006" w:type="dxa"/>
          </w:tcPr>
          <w:p w:rsidR="009D64B5" w:rsidRDefault="009D64B5" w:rsidP="00992664">
            <w:pPr>
              <w:pStyle w:val="libFootnote0"/>
              <w:rPr>
                <w:rtl/>
                <w:lang w:bidi="fa-IR"/>
              </w:rPr>
            </w:pPr>
            <w:r>
              <w:rPr>
                <w:rtl/>
              </w:rPr>
              <w:t xml:space="preserve">(5). </w:t>
            </w:r>
            <w:r w:rsidRPr="00020424">
              <w:rPr>
                <w:rtl/>
              </w:rPr>
              <w:t xml:space="preserve">في « بث ، بر » </w:t>
            </w:r>
            <w:r w:rsidRPr="00515444">
              <w:rPr>
                <w:rStyle w:val="libFootnoteBoldChar"/>
                <w:rtl/>
              </w:rPr>
              <w:t>والوافي</w:t>
            </w:r>
            <w:r w:rsidRPr="00020424">
              <w:rPr>
                <w:rtl/>
              </w:rPr>
              <w:t xml:space="preserve"> : « نواله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للغيث الأرض » بدل « الغيث للأرض</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sidRPr="007C1D2B">
        <w:rPr>
          <w:rStyle w:val="libFootnoteBoldChar"/>
          <w:rtl/>
        </w:rPr>
        <w:t>والزهد</w:t>
      </w:r>
      <w:r w:rsidR="00992664" w:rsidRPr="00020424">
        <w:rPr>
          <w:rtl/>
        </w:rPr>
        <w:t xml:space="preserve"> : « الغيث الأرض</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الأرض ال</w:t>
      </w:r>
      <w:r w:rsidR="009D64B5">
        <w:rPr>
          <w:rFonts w:hint="cs"/>
          <w:rtl/>
        </w:rPr>
        <w:t>ـ</w:t>
      </w:r>
      <w:r w:rsidR="00992664" w:rsidRPr="00020424">
        <w:rPr>
          <w:rtl/>
        </w:rPr>
        <w:t xml:space="preserve">مُجْدِبة » : هي التي تمسك الماء فلا تشربه سريعاً. وقيل : هي الأرض التي ليس بها قليل ولا كثير ولا مرتع ولاكلأ. وقيل : هي الأرض التي لا نبات بها ، مأخوذ من الجَدْب ، وهو القحط. راجع : </w:t>
      </w:r>
      <w:r w:rsidR="00992664" w:rsidRPr="0012008A">
        <w:rPr>
          <w:rStyle w:val="libFootnoteBoldChar"/>
          <w:rtl/>
        </w:rPr>
        <w:t>النهاية</w:t>
      </w:r>
      <w:r w:rsidR="00992664" w:rsidRPr="00020424">
        <w:rPr>
          <w:rtl/>
        </w:rPr>
        <w:t xml:space="preserve"> ، ج 1 ، ص 242 ؛ </w:t>
      </w:r>
      <w:r w:rsidR="00992664" w:rsidRPr="00A722B1">
        <w:rPr>
          <w:rStyle w:val="libFootnoteBoldChar"/>
          <w:rtl/>
        </w:rPr>
        <w:t>لسان العرب</w:t>
      </w:r>
      <w:r w:rsidR="00992664" w:rsidRPr="00020424">
        <w:rPr>
          <w:rtl/>
        </w:rPr>
        <w:t xml:space="preserve"> ، ج 1 ، ص 257 ( جدب )</w:t>
      </w:r>
      <w:r w:rsidR="00992664">
        <w:rPr>
          <w:rtl/>
        </w:rPr>
        <w:t>.</w:t>
      </w:r>
    </w:p>
    <w:tbl>
      <w:tblPr>
        <w:tblStyle w:val="TableGrid"/>
        <w:bidiVisual/>
        <w:tblW w:w="0" w:type="auto"/>
        <w:tblLook w:val="04A0" w:firstRow="1" w:lastRow="0" w:firstColumn="1" w:lastColumn="0" w:noHBand="0" w:noVBand="1"/>
      </w:tblPr>
      <w:tblGrid>
        <w:gridCol w:w="4006"/>
        <w:gridCol w:w="4006"/>
      </w:tblGrid>
      <w:tr w:rsidR="009D64B5" w:rsidTr="009D64B5">
        <w:tc>
          <w:tcPr>
            <w:tcW w:w="4006" w:type="dxa"/>
          </w:tcPr>
          <w:p w:rsidR="009D64B5" w:rsidRDefault="009D64B5" w:rsidP="00992664">
            <w:pPr>
              <w:pStyle w:val="libFootnote0"/>
              <w:rPr>
                <w:rtl/>
                <w:lang w:bidi="fa-IR"/>
              </w:rPr>
            </w:pPr>
            <w:r>
              <w:rPr>
                <w:rtl/>
              </w:rPr>
              <w:t xml:space="preserve">(8). </w:t>
            </w:r>
            <w:r w:rsidRPr="00020424">
              <w:rPr>
                <w:rtl/>
              </w:rPr>
              <w:t xml:space="preserve">في « بر » </w:t>
            </w:r>
            <w:r w:rsidRPr="00515444">
              <w:rPr>
                <w:rStyle w:val="libFootnoteBoldChar"/>
                <w:rtl/>
              </w:rPr>
              <w:t>والوافي</w:t>
            </w:r>
            <w:r w:rsidRPr="00020424">
              <w:rPr>
                <w:rtl/>
              </w:rPr>
              <w:t xml:space="preserve"> : « فيحييها</w:t>
            </w:r>
            <w:r>
              <w:rPr>
                <w:rtl/>
              </w:rPr>
              <w:t xml:space="preserve"> ».</w:t>
            </w:r>
          </w:p>
        </w:tc>
        <w:tc>
          <w:tcPr>
            <w:tcW w:w="4006" w:type="dxa"/>
          </w:tcPr>
          <w:p w:rsidR="009D64B5" w:rsidRDefault="009D64B5" w:rsidP="00992664">
            <w:pPr>
              <w:pStyle w:val="libFootnote0"/>
              <w:rPr>
                <w:rtl/>
                <w:lang w:bidi="fa-IR"/>
              </w:rPr>
            </w:pPr>
            <w:r>
              <w:rPr>
                <w:rtl/>
              </w:rPr>
              <w:t xml:space="preserve">(9). </w:t>
            </w:r>
            <w:r w:rsidRPr="00020424">
              <w:rPr>
                <w:rtl/>
              </w:rPr>
              <w:t>في « ى ، بس » : « بها</w:t>
            </w:r>
            <w:r>
              <w:rPr>
                <w:rtl/>
              </w:rPr>
              <w:t xml:space="preserve"> ».</w:t>
            </w:r>
          </w:p>
        </w:tc>
      </w:tr>
      <w:tr w:rsidR="009D64B5" w:rsidTr="009D64B5">
        <w:tc>
          <w:tcPr>
            <w:tcW w:w="4006" w:type="dxa"/>
          </w:tcPr>
          <w:p w:rsidR="009D64B5" w:rsidRDefault="009D64B5" w:rsidP="00992664">
            <w:pPr>
              <w:pStyle w:val="libFootnote0"/>
              <w:rPr>
                <w:rtl/>
                <w:lang w:bidi="fa-IR"/>
              </w:rPr>
            </w:pPr>
            <w:r>
              <w:rPr>
                <w:rtl/>
              </w:rPr>
              <w:t xml:space="preserve">(10).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ليحييها ويحيى به أهلها</w:t>
            </w:r>
            <w:r>
              <w:rPr>
                <w:rtl/>
              </w:rPr>
              <w:t xml:space="preserve"> ».</w:t>
            </w:r>
          </w:p>
        </w:tc>
        <w:tc>
          <w:tcPr>
            <w:tcW w:w="4006" w:type="dxa"/>
          </w:tcPr>
          <w:p w:rsidR="009D64B5" w:rsidRDefault="009D64B5" w:rsidP="00992664">
            <w:pPr>
              <w:pStyle w:val="libFootnote0"/>
              <w:rPr>
                <w:rtl/>
                <w:lang w:bidi="fa-IR"/>
              </w:rPr>
            </w:pPr>
            <w:r>
              <w:rPr>
                <w:rtl/>
              </w:rPr>
              <w:t xml:space="preserve">(11). </w:t>
            </w:r>
            <w:r w:rsidR="004F1072">
              <w:rPr>
                <w:rtl/>
              </w:rPr>
              <w:t>الحَظْر:</w:t>
            </w:r>
            <w:r w:rsidRPr="00020424">
              <w:rPr>
                <w:rtl/>
              </w:rPr>
              <w:t>المنع.</w:t>
            </w:r>
            <w:r w:rsidRPr="00A722B1">
              <w:rPr>
                <w:rStyle w:val="libFootnoteBoldChar"/>
                <w:rtl/>
              </w:rPr>
              <w:t>لسان العرب</w:t>
            </w:r>
            <w:r w:rsidR="004F1072">
              <w:rPr>
                <w:rtl/>
              </w:rPr>
              <w:t>،ج 4،ص 203(حظر</w:t>
            </w:r>
            <w:r w:rsidRPr="00020424">
              <w:rPr>
                <w:rtl/>
              </w:rPr>
              <w:t>)</w:t>
            </w:r>
            <w:r>
              <w:rPr>
                <w:rtl/>
              </w:rPr>
              <w:t>.</w:t>
            </w:r>
          </w:p>
        </w:tc>
      </w:tr>
    </w:tbl>
    <w:p w:rsidR="00992664" w:rsidRPr="00020424" w:rsidRDefault="00795177" w:rsidP="001F0D87">
      <w:pPr>
        <w:pStyle w:val="libFootnote0"/>
        <w:rPr>
          <w:rtl/>
          <w:lang w:bidi="fa-IR"/>
        </w:rPr>
      </w:pPr>
      <w:r>
        <w:rPr>
          <w:rtl/>
        </w:rPr>
        <w:t>(12).</w:t>
      </w:r>
      <w:r w:rsidR="0014403D">
        <w:rPr>
          <w:rtl/>
        </w:rPr>
        <w:t xml:space="preserve"> </w:t>
      </w:r>
      <w:r w:rsidR="00992664" w:rsidRPr="00020424">
        <w:rPr>
          <w:rtl/>
        </w:rPr>
        <w:t xml:space="preserve">في « ظ ، بح ، بخ » وحاشية « بث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7C1D2B">
        <w:rPr>
          <w:rStyle w:val="libFootnoteBoldChar"/>
          <w:rtl/>
        </w:rPr>
        <w:t>والزهد</w:t>
      </w:r>
      <w:r w:rsidR="00992664" w:rsidRPr="00020424">
        <w:rPr>
          <w:rtl/>
        </w:rPr>
        <w:t xml:space="preserve"> </w:t>
      </w:r>
      <w:r w:rsidR="00992664" w:rsidRPr="00A83B0E">
        <w:rPr>
          <w:rStyle w:val="libFootnoteBoldChar"/>
          <w:rtl/>
        </w:rPr>
        <w:t>وتحف العقول</w:t>
      </w:r>
      <w:r w:rsidR="00992664" w:rsidRPr="00020424">
        <w:rPr>
          <w:rtl/>
        </w:rPr>
        <w:t xml:space="preserve"> : « يحظر</w:t>
      </w:r>
      <w:r w:rsidR="00992664">
        <w:rPr>
          <w:rtl/>
        </w:rPr>
        <w:t xml:space="preserve"> ».</w:t>
      </w:r>
      <w:r w:rsidR="00992664" w:rsidRPr="00020424">
        <w:rPr>
          <w:rtl/>
        </w:rPr>
        <w:t xml:space="preserve"> وفي « بر » : « يخطر</w:t>
      </w:r>
      <w:r w:rsidR="00992664">
        <w:rPr>
          <w:rtl/>
        </w:rPr>
        <w:t xml:space="preserve"> ».</w:t>
      </w:r>
      <w:r w:rsidR="001F0D87">
        <w:rPr>
          <w:rFonts w:hint="cs"/>
          <w:rtl/>
        </w:rPr>
        <w:t xml:space="preserve">    </w:t>
      </w:r>
      <w:r w:rsidR="00A90FD5">
        <w:rPr>
          <w:rFonts w:hint="cs"/>
          <w:rtl/>
        </w:rPr>
        <w:t xml:space="preserve">                            </w:t>
      </w:r>
      <w:r w:rsidR="001F0D87">
        <w:rPr>
          <w:rFonts w:hint="cs"/>
          <w:rtl/>
        </w:rPr>
        <w:t xml:space="preserve">        </w:t>
      </w:r>
      <w:r>
        <w:rPr>
          <w:rtl/>
        </w:rPr>
        <w:t>(13).</w:t>
      </w:r>
      <w:r w:rsidR="0014403D">
        <w:rPr>
          <w:rtl/>
        </w:rPr>
        <w:t xml:space="preserve"> </w:t>
      </w:r>
      <w:r w:rsidR="00992664" w:rsidRPr="00020424">
        <w:rPr>
          <w:rtl/>
        </w:rPr>
        <w:t>في تحف العقول : « عن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F0D87" w:rsidTr="001F0D87">
        <w:tc>
          <w:tcPr>
            <w:tcW w:w="4006" w:type="dxa"/>
          </w:tcPr>
          <w:p w:rsidR="001F0D87" w:rsidRDefault="001F0D87" w:rsidP="00992664">
            <w:pPr>
              <w:pStyle w:val="libFootnote0"/>
              <w:rPr>
                <w:rtl/>
              </w:rPr>
            </w:pPr>
            <w:r>
              <w:rPr>
                <w:rtl/>
              </w:rPr>
              <w:t xml:space="preserve">(14). </w:t>
            </w:r>
            <w:r w:rsidRPr="00020424">
              <w:rPr>
                <w:rtl/>
              </w:rPr>
              <w:t xml:space="preserve">في </w:t>
            </w:r>
            <w:r w:rsidRPr="0012008A">
              <w:rPr>
                <w:rStyle w:val="libFootnoteBoldChar"/>
                <w:rtl/>
              </w:rPr>
              <w:t>الوافي</w:t>
            </w:r>
            <w:r w:rsidRPr="00020424">
              <w:rPr>
                <w:rtl/>
              </w:rPr>
              <w:t xml:space="preserve"> : « أهلاً</w:t>
            </w:r>
            <w:r>
              <w:rPr>
                <w:rtl/>
              </w:rPr>
              <w:t xml:space="preserve"> ».</w:t>
            </w:r>
          </w:p>
        </w:tc>
        <w:tc>
          <w:tcPr>
            <w:tcW w:w="4006" w:type="dxa"/>
          </w:tcPr>
          <w:p w:rsidR="001F0D87" w:rsidRDefault="001F0D87" w:rsidP="00992664">
            <w:pPr>
              <w:pStyle w:val="libFootnote0"/>
              <w:rPr>
                <w:rtl/>
              </w:rPr>
            </w:pPr>
            <w:r>
              <w:rPr>
                <w:rtl/>
              </w:rPr>
              <w:t xml:space="preserve">(15). </w:t>
            </w:r>
            <w:r w:rsidRPr="00020424">
              <w:rPr>
                <w:rtl/>
              </w:rPr>
              <w:t>في « بح » وحاشية « جن » : « يغفر</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DE76B9">
        <w:rPr>
          <w:rStyle w:val="libFootnoteBoldChar"/>
          <w:rtl/>
        </w:rPr>
        <w:t>الزهد</w:t>
      </w:r>
      <w:r w:rsidR="00992664" w:rsidRPr="00020424">
        <w:rPr>
          <w:rtl/>
        </w:rPr>
        <w:t xml:space="preserve"> ، ص 97 ، ح 86 ، بسنده عن داود الرّقّي. </w:t>
      </w:r>
      <w:r w:rsidR="00992664" w:rsidRPr="00DE76B9">
        <w:rPr>
          <w:rStyle w:val="libFootnoteBoldChar"/>
          <w:rtl/>
        </w:rPr>
        <w:t>تحف العقول</w:t>
      </w:r>
      <w:r w:rsidR="00992664" w:rsidRPr="00020424">
        <w:rPr>
          <w:rtl/>
        </w:rPr>
        <w:t xml:space="preserve"> ، ص 295 ، مع اختلاف يسير </w:t>
      </w:r>
      <w:r w:rsidR="001D1663">
        <w:rPr>
          <w:rFonts w:hint="cs"/>
          <w:rtl/>
        </w:rPr>
        <w:t>.</w:t>
      </w:r>
      <w:r w:rsidR="00992664" w:rsidRPr="0012008A">
        <w:rPr>
          <w:rStyle w:val="libFootnoteBoldChar"/>
          <w:rtl/>
        </w:rPr>
        <w:t>الوافي</w:t>
      </w:r>
      <w:r w:rsidR="00992664" w:rsidRPr="00020424">
        <w:rPr>
          <w:rtl/>
        </w:rPr>
        <w:t xml:space="preserve"> ، ج 10 ، ص 447 ، ح 9845 ؛ </w:t>
      </w:r>
      <w:r w:rsidR="00992664" w:rsidRPr="0012008A">
        <w:rPr>
          <w:rStyle w:val="libFootnoteBoldChar"/>
          <w:rtl/>
        </w:rPr>
        <w:t>الوسائل</w:t>
      </w:r>
      <w:r w:rsidR="00992664" w:rsidRPr="00020424">
        <w:rPr>
          <w:rtl/>
        </w:rPr>
        <w:t xml:space="preserve"> ، ج 16 ، ص 285 ، ح 21559.</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يَقْطِينٍ ، عَنْ مُحَمَّدِ بْنِ سِنَانٍ ، عَنْ دَاوُدَ الرَّقِّيِّ ، عَنْ أَبِي حَمْزَةَ الثُّمَالِيِّ </w:t>
      </w:r>
      <w:r w:rsidRPr="00A91B96">
        <w:rPr>
          <w:rStyle w:val="libFootnotenumChar"/>
          <w:rtl/>
        </w:rPr>
        <w:t>(1)</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إِنَّ مِنْ أَحَبِّ عِبَادِ اللهِ إِلَى اللهِ لَمَنْ حَبَّبَ إِلَيْهِ الْمَعْرُوفَ ، وَحَبَّبَ إِلَيْهِ فَعَالَهُ</w:t>
      </w:r>
      <w:r>
        <w:rPr>
          <w:rtl/>
          <w:lang w:bidi="fa-IR"/>
        </w:rPr>
        <w:t xml:space="preserve"> ».</w:t>
      </w:r>
    </w:p>
    <w:p w:rsidR="00992664" w:rsidRPr="00020424" w:rsidRDefault="001D1663" w:rsidP="00992664">
      <w:pPr>
        <w:pStyle w:val="libNormal"/>
        <w:rPr>
          <w:rtl/>
          <w:lang w:bidi="fa-IR"/>
        </w:rPr>
      </w:pPr>
      <w:r>
        <w:rPr>
          <w:rFonts w:hint="cs"/>
          <w:rtl/>
          <w:lang w:bidi="fa-IR"/>
        </w:rPr>
        <w:t xml:space="preserve">* </w:t>
      </w:r>
      <w:r w:rsidR="00992664" w:rsidRPr="00020424">
        <w:rPr>
          <w:rtl/>
          <w:lang w:bidi="fa-IR"/>
        </w:rPr>
        <w:t xml:space="preserve">مُحَمَّدُ بْنُ يَحْيى ، عَنْ أَحْمَدَ بْنِ مُحَمَّدِ بْنِ عِيسى ، عَنْ مُحَمَّدِ بْنِ سِنَانٍ ، عَنْ دَاوُدَ الرَّقِّيِّ ، عَنْ أَبِي حَمْزَةَ ، عَنْ أَبِي جَعْفَرٍ </w:t>
      </w:r>
      <w:r w:rsidR="00992664" w:rsidRPr="00005A81">
        <w:rPr>
          <w:rStyle w:val="libAlaemChar"/>
          <w:rtl/>
        </w:rPr>
        <w:t>عليه‌السلام</w:t>
      </w:r>
      <w:r w:rsidR="00992664" w:rsidRPr="00020424">
        <w:rPr>
          <w:rtl/>
          <w:lang w:bidi="fa-IR"/>
        </w:rPr>
        <w:t xml:space="preserve"> مِثْلَهُ. </w:t>
      </w:r>
      <w:r w:rsidR="00992664" w:rsidRPr="00A91B96">
        <w:rPr>
          <w:rStyle w:val="libFootnotenumChar"/>
          <w:rtl/>
        </w:rPr>
        <w:t>(2)</w:t>
      </w:r>
      <w:r w:rsidR="00992664" w:rsidRPr="00020424">
        <w:rPr>
          <w:rtl/>
          <w:lang w:bidi="fa-IR"/>
        </w:rPr>
        <w:t xml:space="preserve"> ‌</w:t>
      </w:r>
    </w:p>
    <w:p w:rsidR="00992664" w:rsidRPr="00020424" w:rsidRDefault="00992664" w:rsidP="00992664">
      <w:pPr>
        <w:pStyle w:val="Heading2Center"/>
        <w:rPr>
          <w:rtl/>
          <w:lang w:bidi="fa-IR"/>
        </w:rPr>
      </w:pPr>
      <w:bookmarkStart w:id="220" w:name="_Toc345172790"/>
      <w:bookmarkStart w:id="221" w:name="_Toc464562606"/>
      <w:bookmarkStart w:id="222" w:name="_Toc44599909"/>
      <w:r w:rsidRPr="00020424">
        <w:rPr>
          <w:rtl/>
          <w:lang w:bidi="fa-IR"/>
        </w:rPr>
        <w:t>68</w:t>
      </w:r>
      <w:r>
        <w:rPr>
          <w:rtl/>
          <w:lang w:bidi="fa-IR"/>
        </w:rPr>
        <w:t xml:space="preserve"> </w:t>
      </w:r>
      <w:r w:rsidR="009B673F">
        <w:rPr>
          <w:rtl/>
          <w:lang w:bidi="fa-IR"/>
        </w:rPr>
        <w:t>-</w:t>
      </w:r>
      <w:r>
        <w:rPr>
          <w:rtl/>
          <w:lang w:bidi="fa-IR"/>
        </w:rPr>
        <w:t xml:space="preserve"> </w:t>
      </w:r>
      <w:r w:rsidRPr="00020424">
        <w:rPr>
          <w:rtl/>
          <w:lang w:bidi="fa-IR"/>
        </w:rPr>
        <w:t>بَابُ فَضْلِ الْمَعْرُوفِ‌</w:t>
      </w:r>
      <w:bookmarkEnd w:id="220"/>
      <w:bookmarkEnd w:id="221"/>
      <w:bookmarkEnd w:id="222"/>
    </w:p>
    <w:p w:rsidR="00992664" w:rsidRPr="00020424" w:rsidRDefault="00992664" w:rsidP="00992664">
      <w:pPr>
        <w:pStyle w:val="libNormal"/>
        <w:rPr>
          <w:rtl/>
          <w:lang w:bidi="fa-IR"/>
        </w:rPr>
      </w:pPr>
      <w:r w:rsidRPr="00326D7E">
        <w:rPr>
          <w:rtl/>
        </w:rPr>
        <w:t>6095</w:t>
      </w:r>
      <w:r w:rsidRPr="001155DE">
        <w:rPr>
          <w:rStyle w:val="libBold2Char"/>
          <w:rtl/>
        </w:rPr>
        <w:t xml:space="preserve"> / 1.</w:t>
      </w:r>
      <w:r w:rsidRPr="00020424">
        <w:rPr>
          <w:rtl/>
          <w:lang w:bidi="fa-IR"/>
        </w:rPr>
        <w:t xml:space="preserve"> أَبُو عَلِيٍّ الْأَشْعَرِيُّ ، عَنْ مُحَمَّدِ بْنِ عَبْدِ الْجَبَّارِ ، عَنْ صَفْوَانَ بْنِ يَحْيى ، عَنْ عَبْدِ الْأَعْلى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كُلُّ مَعْرُوفٍ صَدَقَةٌ ، وَأَفْضَلُ الصَّدَقَةِ صَدَقَةٌ </w:t>
      </w:r>
      <w:r w:rsidRPr="00A91B96">
        <w:rPr>
          <w:rStyle w:val="libFootnotenumChar"/>
          <w:rtl/>
        </w:rPr>
        <w:t>(3)</w:t>
      </w:r>
      <w:r w:rsidRPr="00020424">
        <w:rPr>
          <w:rtl/>
          <w:lang w:bidi="fa-IR"/>
        </w:rPr>
        <w:t xml:space="preserve"> عَنْ ظَهْرِ غِنًى </w:t>
      </w:r>
      <w:r w:rsidRPr="00A91B96">
        <w:rPr>
          <w:rStyle w:val="libFootnotenumChar"/>
          <w:rtl/>
        </w:rPr>
        <w:t>(4)</w:t>
      </w:r>
      <w:r w:rsidRPr="00020424">
        <w:rPr>
          <w:rtl/>
          <w:lang w:bidi="fa-IR"/>
        </w:rPr>
        <w:t xml:space="preserve"> ، وَابْدَأْ بِمَنْ تَعُولُ ، وَالْيَدُ الْعُلْيَا خَيْرٌ مِنَ الْيَدِ السُّفْلى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بر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الثمالي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تحف العقول</w:t>
      </w:r>
      <w:r w:rsidR="00992664" w:rsidRPr="00020424">
        <w:rPr>
          <w:rtl/>
        </w:rPr>
        <w:t xml:space="preserve"> ، ص 49 ، عن أميرالمؤمنين </w:t>
      </w:r>
      <w:r w:rsidR="00992664" w:rsidRPr="00D64ADA">
        <w:rPr>
          <w:rStyle w:val="libFootnoteAlaemChar"/>
          <w:rtl/>
        </w:rPr>
        <w:t>عليه‌السلام</w:t>
      </w:r>
      <w:r w:rsidR="00992664" w:rsidRPr="00020424">
        <w:rPr>
          <w:rtl/>
        </w:rPr>
        <w:t xml:space="preserve"> ، مع اختلاف </w:t>
      </w:r>
      <w:r w:rsidR="00716072">
        <w:rPr>
          <w:rFonts w:hint="cs"/>
          <w:rtl/>
        </w:rPr>
        <w:t>.</w:t>
      </w:r>
      <w:r w:rsidR="00992664" w:rsidRPr="0012008A">
        <w:rPr>
          <w:rStyle w:val="libFootnoteBoldChar"/>
          <w:rtl/>
        </w:rPr>
        <w:t>الوافي</w:t>
      </w:r>
      <w:r w:rsidR="00992664" w:rsidRPr="00020424">
        <w:rPr>
          <w:rtl/>
        </w:rPr>
        <w:t xml:space="preserve"> ، ج 10 ، ص 448 ، ح 9855 ؛ </w:t>
      </w:r>
      <w:r w:rsidR="00992664" w:rsidRPr="0012008A">
        <w:rPr>
          <w:rStyle w:val="libFootnoteBoldChar"/>
          <w:rtl/>
        </w:rPr>
        <w:t>الوسائل</w:t>
      </w:r>
      <w:r w:rsidR="00992664" w:rsidRPr="00020424">
        <w:rPr>
          <w:rtl/>
        </w:rPr>
        <w:t xml:space="preserve"> ، ج 16 ، ص 286 ، ح 21560.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w:t>
      </w:r>
      <w:r w:rsidR="00992664" w:rsidRPr="00EB1FD9">
        <w:rPr>
          <w:rStyle w:val="libFootnoteBoldChar"/>
          <w:rtl/>
        </w:rPr>
        <w:t>والوسائل</w:t>
      </w:r>
      <w:r w:rsidR="00992664" w:rsidRPr="00020424">
        <w:rPr>
          <w:rtl/>
        </w:rPr>
        <w:t xml:space="preserve"> ، ح 12502 :</w:t>
      </w:r>
      <w:r w:rsidR="00992664">
        <w:rPr>
          <w:rtl/>
        </w:rPr>
        <w:t xml:space="preserve"> </w:t>
      </w:r>
      <w:r w:rsidR="009B673F">
        <w:rPr>
          <w:rtl/>
        </w:rPr>
        <w:t>-</w:t>
      </w:r>
      <w:r w:rsidR="00992664">
        <w:rPr>
          <w:rtl/>
        </w:rPr>
        <w:t xml:space="preserve"> </w:t>
      </w:r>
      <w:r w:rsidR="00992664" w:rsidRPr="00020424">
        <w:rPr>
          <w:rtl/>
        </w:rPr>
        <w:t>« صدقة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أي ما كان عفواً قد فضل عن غنى. وقيل : أراد ما فضل عن العيال. والظهر قد يراد في مثل هذا إشباعاً للكلام وتمكيناً ، كأنّ صدقته مستندة إلى ظهر قويّ من المال</w:t>
      </w:r>
      <w:r w:rsidR="00992664">
        <w:rPr>
          <w:rtl/>
        </w:rPr>
        <w:t xml:space="preserve"> ».</w:t>
      </w:r>
      <w:r w:rsidR="00992664" w:rsidRPr="00020424">
        <w:rPr>
          <w:rtl/>
        </w:rPr>
        <w:t xml:space="preserve"> وفي </w:t>
      </w:r>
      <w:r w:rsidR="00992664" w:rsidRPr="00DE76B9">
        <w:rPr>
          <w:rStyle w:val="libFootnoteBoldChar"/>
          <w:rtl/>
        </w:rPr>
        <w:t>الدروس الشرعيّة</w:t>
      </w:r>
      <w:r w:rsidR="00992664" w:rsidRPr="00020424">
        <w:rPr>
          <w:rtl/>
        </w:rPr>
        <w:t xml:space="preserve"> ، ج 1 ، ص 255 : « أفضل الصدقة جهد المقلّ ، وهو الإيثار ، وروي : أفضل الصدقة عن ظهر غنى ، والجمع بينهما أنّ الإيثار على نفسه مستحبّ بخلافه على عياله</w:t>
      </w:r>
      <w:r w:rsidR="00992664">
        <w:rPr>
          <w:rtl/>
        </w:rPr>
        <w:t xml:space="preserve"> ».</w:t>
      </w:r>
    </w:p>
    <w:p w:rsidR="00992664" w:rsidRPr="00020424" w:rsidRDefault="00992664" w:rsidP="00716072">
      <w:pPr>
        <w:pStyle w:val="libFootnote0"/>
        <w:rPr>
          <w:rtl/>
          <w:lang w:bidi="fa-IR"/>
        </w:rPr>
      </w:pPr>
      <w:r w:rsidRPr="00716072">
        <w:rPr>
          <w:rtl/>
        </w:rPr>
        <w:t xml:space="preserve">وفي </w:t>
      </w:r>
      <w:r w:rsidRPr="00DE76B9">
        <w:rPr>
          <w:rStyle w:val="libFootnoteBoldChar"/>
          <w:rtl/>
        </w:rPr>
        <w:t>مجمع البحرين</w:t>
      </w:r>
      <w:r w:rsidRPr="00716072">
        <w:rPr>
          <w:rtl/>
        </w:rPr>
        <w:t xml:space="preserve"> : « لا بعد أن يراد بالغنى ما هو الأعمّ من غنى النفس والمال ؛ فإنّ الشخص إذا رغب في ثواب الآخرة أغنى نفسه عن أغراض الدنيا ، وزهد فيما يعطيه ، وساوى من كان غنيّاً بماله ، فيقال : إنّه تصدّق عن ظهر غنى ، فلا منافاته بينه وبين قوله </w:t>
      </w:r>
      <w:r w:rsidRPr="00D64ADA">
        <w:rPr>
          <w:rStyle w:val="libFootnoteAlaemChar"/>
          <w:rtl/>
        </w:rPr>
        <w:t>عليه‌السلام</w:t>
      </w:r>
      <w:r w:rsidRPr="00716072">
        <w:rPr>
          <w:rtl/>
        </w:rPr>
        <w:t xml:space="preserve"> : أفضل الصدقة جهد المقلّ ». </w:t>
      </w:r>
      <w:r w:rsidRPr="0012008A">
        <w:rPr>
          <w:rStyle w:val="libFootnoteBoldChar"/>
          <w:rtl/>
        </w:rPr>
        <w:t>النهاية</w:t>
      </w:r>
      <w:r w:rsidRPr="00716072">
        <w:rPr>
          <w:rtl/>
        </w:rPr>
        <w:t xml:space="preserve"> ، ج 3 ، ص 165 ؛ </w:t>
      </w:r>
      <w:r w:rsidRPr="00DE76B9">
        <w:rPr>
          <w:rStyle w:val="libFootnoteBoldChar"/>
          <w:rtl/>
        </w:rPr>
        <w:t>مجمع البحرين</w:t>
      </w:r>
      <w:r w:rsidRPr="00716072">
        <w:rPr>
          <w:rtl/>
        </w:rPr>
        <w:t xml:space="preserve"> ، ج 3 ، ص 390 ( ظهر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اليد العليا » : المتعفّفة ، أو المنفقة ، والسفلى : السائلة. وقيل العليا : المعطية ، والسفلى : الآخذة. وقيل : السفلى : المانعة. راجع : </w:t>
      </w:r>
      <w:r w:rsidR="00992664" w:rsidRPr="0012008A">
        <w:rPr>
          <w:rStyle w:val="libFootnoteBoldChar"/>
          <w:rtl/>
        </w:rPr>
        <w:t>النهاية</w:t>
      </w:r>
      <w:r w:rsidR="00992664" w:rsidRPr="00020424">
        <w:rPr>
          <w:rtl/>
        </w:rPr>
        <w:t xml:space="preserve"> ، ج 3 ، ص 294 ؛ </w:t>
      </w:r>
      <w:r w:rsidR="00992664" w:rsidRPr="00A722B1">
        <w:rPr>
          <w:rStyle w:val="libFootnoteBoldChar"/>
          <w:rtl/>
        </w:rPr>
        <w:t>لسان العرب</w:t>
      </w:r>
      <w:r w:rsidR="00992664" w:rsidRPr="00020424">
        <w:rPr>
          <w:rtl/>
        </w:rPr>
        <w:t xml:space="preserve"> ، ج 15 ، ص 86 ( علا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وَلَايَلُومُ اللهُ عَلَى الْكَفَافِ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326D7E">
        <w:rPr>
          <w:rtl/>
        </w:rPr>
        <w:t>6096</w:t>
      </w:r>
      <w:r w:rsidRPr="001155DE">
        <w:rPr>
          <w:rStyle w:val="libBold2Char"/>
          <w:rtl/>
        </w:rPr>
        <w:t xml:space="preserve"> / 2.</w:t>
      </w:r>
      <w:r w:rsidRPr="00020424">
        <w:rPr>
          <w:rtl/>
          <w:lang w:bidi="fa-IR"/>
        </w:rPr>
        <w:t xml:space="preserve"> عَلِيُّ بْنُ إِبْرَاهِيمَ ، عَنْ أَبِيهِ ، عَنِ ابْنِ أَبِي عُمَيْرٍ ، عَنْ مُعَاوِيَةَ بْنِ وَهْبٍ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كُلُّ مَعْرُوفٍ صَدَقَةٌ</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326D7E">
        <w:rPr>
          <w:rtl/>
        </w:rPr>
        <w:t>6097</w:t>
      </w:r>
      <w:r w:rsidRPr="001155DE">
        <w:rPr>
          <w:rStyle w:val="libBold2Char"/>
          <w:rtl/>
        </w:rPr>
        <w:t xml:space="preserve"> / 3.</w:t>
      </w:r>
      <w:r w:rsidRPr="00020424">
        <w:rPr>
          <w:rtl/>
          <w:lang w:bidi="fa-IR"/>
        </w:rPr>
        <w:t xml:space="preserve"> عِدَّةٌ مِنْ أَصْحَابِنَا ، عَنْ أَحْمَدَ بْنِ مُحَمَّدِ بْنِ عِيسى وَأَحْمَدَ بْنِ أَبِي عَبْدِ اللهِ جَمِيعاً ، عَنْ مُحَمَّدِ بْنِ خَالِدٍ ، عَنْ سَعْدَانَ بْنِ مُسْلِمٍ ، عَنْ أَبِي يَقْظَانَ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(4)</w:t>
      </w:r>
      <w:r w:rsidRPr="00020424">
        <w:rPr>
          <w:rtl/>
          <w:lang w:bidi="fa-IR"/>
        </w:rPr>
        <w:t xml:space="preserve"> : « رَأَيْتُ الْمَعْرُوفَ كَاسْمِهِ ، وَلَيْسَ شَيْ‌ءٌ أَفْضَلَ </w:t>
      </w:r>
      <w:r w:rsidRPr="00A91B96">
        <w:rPr>
          <w:rStyle w:val="libFootnotenumChar"/>
          <w:rtl/>
        </w:rPr>
        <w:t>(5)</w:t>
      </w:r>
      <w:r w:rsidR="00716072">
        <w:rPr>
          <w:rtl/>
          <w:lang w:bidi="fa-IR"/>
        </w:rPr>
        <w:t xml:space="preserve"> مِنَ الْمَعْرُوفِ إِل</w:t>
      </w:r>
      <w:r w:rsidR="00716072">
        <w:rPr>
          <w:rFonts w:hint="cs"/>
          <w:rtl/>
          <w:lang w:bidi="fa-IR"/>
        </w:rPr>
        <w:t>َّ</w:t>
      </w:r>
      <w:r w:rsidR="00716072">
        <w:rPr>
          <w:rtl/>
          <w:lang w:bidi="fa-IR"/>
        </w:rPr>
        <w:t>ا</w:t>
      </w:r>
      <w:r w:rsidRPr="00020424">
        <w:rPr>
          <w:rtl/>
          <w:lang w:bidi="fa-IR"/>
        </w:rPr>
        <w:t xml:space="preserve"> ثَوَابُهُ ، وَذلِكَ يُرَادُ مِنْهُ </w:t>
      </w:r>
      <w:r w:rsidRPr="00A91B96">
        <w:rPr>
          <w:rStyle w:val="libFootnotenumChar"/>
          <w:rtl/>
        </w:rPr>
        <w:t>(6)</w:t>
      </w:r>
      <w:r w:rsidRPr="00020424">
        <w:rPr>
          <w:rtl/>
          <w:lang w:bidi="fa-IR"/>
        </w:rPr>
        <w:t xml:space="preserve"> ، وَلَيْسَ كُلُّ مَنْ يُحِبُّ أَنْ يَصْنَعَ الْمَعْرُوفَ إِلَى‌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لا يلوم على اقتناء ما يكفّ به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الكافي</w:t>
      </w:r>
      <w:r w:rsidR="00992664" w:rsidRPr="00020424">
        <w:rPr>
          <w:rtl/>
        </w:rPr>
        <w:t xml:space="preserve"> ، كتاب الزكاة ، باب النوادر في ذيل باب البخل والشحّ ، ح 6180 ؛ </w:t>
      </w:r>
      <w:r w:rsidR="00992664" w:rsidRPr="006C7A1F">
        <w:rPr>
          <w:rStyle w:val="libFootnoteBoldChar"/>
          <w:rtl/>
        </w:rPr>
        <w:t>وثواب الأعمال</w:t>
      </w:r>
      <w:r w:rsidR="00992664" w:rsidRPr="00DE76B9">
        <w:rPr>
          <w:rStyle w:val="libFootnoteBoldChar"/>
          <w:rtl/>
        </w:rPr>
        <w:t xml:space="preserve"> </w:t>
      </w:r>
      <w:r w:rsidR="00992664" w:rsidRPr="00020424">
        <w:rPr>
          <w:rtl/>
        </w:rPr>
        <w:t>، ص 170 ، ح 15 ، بسندهما عن عبدالأعلى ، وتمام الرواية هكذا : « أفضل الصدقة صدقة عن ظهر غنى</w:t>
      </w:r>
      <w:r w:rsidR="00992664">
        <w:rPr>
          <w:rtl/>
        </w:rPr>
        <w:t xml:space="preserve"> ».</w:t>
      </w:r>
      <w:r w:rsidR="00992664" w:rsidRPr="00020424">
        <w:rPr>
          <w:rtl/>
        </w:rPr>
        <w:t xml:space="preserve"> وفي </w:t>
      </w:r>
      <w:r w:rsidR="00992664" w:rsidRPr="00DE76B9">
        <w:rPr>
          <w:rStyle w:val="libFootnoteBoldChar"/>
          <w:rtl/>
        </w:rPr>
        <w:t>الكافي</w:t>
      </w:r>
      <w:r w:rsidR="00992664" w:rsidRPr="00020424">
        <w:rPr>
          <w:rtl/>
        </w:rPr>
        <w:t xml:space="preserve"> ، نفس الكتاب ، باب الإيثار ، ذيل ح 6071 ؛ وباب كفاية العيال والتوسّع عليهم ، ح 6039 ، بسند آخر عن أبي عبدالله </w:t>
      </w:r>
      <w:r w:rsidR="00992664" w:rsidRPr="00FC0D2E">
        <w:rPr>
          <w:rStyle w:val="libFootnoteAlaemChar"/>
          <w:rtl/>
        </w:rPr>
        <w:t>عليه‌السلام</w:t>
      </w:r>
      <w:r w:rsidR="00992664" w:rsidRPr="00020424">
        <w:rPr>
          <w:rtl/>
        </w:rPr>
        <w:t xml:space="preserve"> ، من دون الإسناد إلى النبيّ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 وفي الأخير إلى قوله : « خير من اليد السفلى</w:t>
      </w:r>
      <w:r w:rsidR="00992664">
        <w:rPr>
          <w:rtl/>
        </w:rPr>
        <w:t xml:space="preserve"> ».</w:t>
      </w:r>
      <w:r w:rsidR="00992664" w:rsidRPr="00020424">
        <w:rPr>
          <w:rtl/>
        </w:rPr>
        <w:t xml:space="preserve"> </w:t>
      </w:r>
      <w:r w:rsidR="00992664" w:rsidRPr="00DE76B9">
        <w:rPr>
          <w:rStyle w:val="libFootnoteBoldChar"/>
          <w:rtl/>
        </w:rPr>
        <w:t>المؤمن</w:t>
      </w:r>
      <w:r w:rsidR="00992664" w:rsidRPr="00020424">
        <w:rPr>
          <w:rtl/>
        </w:rPr>
        <w:t xml:space="preserve"> ، ص 44 ، ذيل ح 102 ، مرسلاً من دون التصريح باسم المعصوم </w:t>
      </w:r>
      <w:r w:rsidR="00992664" w:rsidRPr="00D64ADA">
        <w:rPr>
          <w:rStyle w:val="libFootnoteAlaemChar"/>
          <w:rtl/>
        </w:rPr>
        <w:t>عليه‌السلام</w:t>
      </w:r>
      <w:r w:rsidR="00992664" w:rsidRPr="00020424">
        <w:rPr>
          <w:rtl/>
        </w:rPr>
        <w:t xml:space="preserve"> ، وفي الثلاثة الأخيرة من قوله : « وابدأ بمن تعول » مع اختلاف يسير. </w:t>
      </w:r>
      <w:r w:rsidR="00992664" w:rsidRPr="0012008A">
        <w:rPr>
          <w:rStyle w:val="libFootnoteBoldChar"/>
          <w:rtl/>
        </w:rPr>
        <w:t>الفقيه</w:t>
      </w:r>
      <w:r w:rsidR="00992664" w:rsidRPr="00020424">
        <w:rPr>
          <w:rtl/>
        </w:rPr>
        <w:t xml:space="preserve"> ، ج 2 ، ص 56 ، ح 1688 ، من قوله : « أفضل الصدقة » ؛ </w:t>
      </w:r>
      <w:r w:rsidR="00992664" w:rsidRPr="00DE76B9">
        <w:rPr>
          <w:rStyle w:val="libFootnoteBoldChar"/>
          <w:rtl/>
        </w:rPr>
        <w:t>وفيه</w:t>
      </w:r>
      <w:r w:rsidR="00992664" w:rsidRPr="00020424">
        <w:rPr>
          <w:rtl/>
        </w:rPr>
        <w:t xml:space="preserve"> ، ج 4 ، ص 376 ، ح 5763 ، وتمام الرواية : « اليد العليا خير من اليد السفلى » ، وفي الأخيرين مرسلاً عن رسول الله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راجع : </w:t>
      </w:r>
      <w:r w:rsidR="00992664" w:rsidRPr="00DE76B9">
        <w:rPr>
          <w:rStyle w:val="libFootnoteBoldChar"/>
          <w:rtl/>
        </w:rPr>
        <w:t>تفسير القمّي</w:t>
      </w:r>
      <w:r w:rsidR="00992664" w:rsidRPr="00020424">
        <w:rPr>
          <w:rtl/>
        </w:rPr>
        <w:t xml:space="preserve"> ، ج 1 ، ص 290 ؛ </w:t>
      </w:r>
      <w:r w:rsidR="00992664" w:rsidRPr="00666432">
        <w:rPr>
          <w:rStyle w:val="libFootnoteBoldChar"/>
          <w:rtl/>
        </w:rPr>
        <w:t>والاختصاص</w:t>
      </w:r>
      <w:r w:rsidR="00992664" w:rsidRPr="00020424">
        <w:rPr>
          <w:rtl/>
        </w:rPr>
        <w:t xml:space="preserve"> ، ص 342 ؛ و</w:t>
      </w:r>
      <w:r w:rsidR="00992664" w:rsidRPr="00DE76B9">
        <w:rPr>
          <w:rStyle w:val="libFootnoteBoldChar"/>
          <w:rtl/>
        </w:rPr>
        <w:t xml:space="preserve">كنز الفوائد </w:t>
      </w:r>
      <w:r w:rsidR="00992664" w:rsidRPr="00020424">
        <w:rPr>
          <w:rtl/>
        </w:rPr>
        <w:t xml:space="preserve">، ج 1 ، ص 216 </w:t>
      </w:r>
      <w:r w:rsidR="00FC0D2E">
        <w:rPr>
          <w:rFonts w:hint="cs"/>
          <w:rtl/>
        </w:rPr>
        <w:t>.</w:t>
      </w:r>
      <w:r w:rsidR="00992664" w:rsidRPr="0012008A">
        <w:rPr>
          <w:rStyle w:val="libFootnoteBoldChar"/>
          <w:rtl/>
        </w:rPr>
        <w:t>الوافي</w:t>
      </w:r>
      <w:r w:rsidR="00992664" w:rsidRPr="00020424">
        <w:rPr>
          <w:rtl/>
        </w:rPr>
        <w:t xml:space="preserve"> ، ج 10 ، ص 400 ، ح 9767 ؛ وص 441 ، ح 9845 ؛ </w:t>
      </w:r>
      <w:r w:rsidR="00992664" w:rsidRPr="0012008A">
        <w:rPr>
          <w:rStyle w:val="libFootnoteBoldChar"/>
          <w:rtl/>
        </w:rPr>
        <w:t>الوسائل</w:t>
      </w:r>
      <w:r w:rsidR="00992664" w:rsidRPr="00020424">
        <w:rPr>
          <w:rtl/>
        </w:rPr>
        <w:t xml:space="preserve"> ، ج 9 ، ص 461 ، ح 12502 ؛ </w:t>
      </w:r>
      <w:r w:rsidR="00992664" w:rsidRPr="00DE76B9">
        <w:rPr>
          <w:rStyle w:val="libFootnoteBoldChar"/>
          <w:rtl/>
        </w:rPr>
        <w:t>وفيه</w:t>
      </w:r>
      <w:r w:rsidR="00992664" w:rsidRPr="00020424">
        <w:rPr>
          <w:rtl/>
        </w:rPr>
        <w:t xml:space="preserve"> ، ص 459 ، ح 12495 ، وتمام الرواية فيه : « كلّ معروف صدقة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الزهد</w:t>
      </w:r>
      <w:r w:rsidR="00992664" w:rsidRPr="00020424">
        <w:rPr>
          <w:rtl/>
        </w:rPr>
        <w:t xml:space="preserve"> ، ص 95 ، ضمن ح 79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254 ، المجلس 44 ، ضمن ح 5 ، بسند آخر عن أبي جعفر </w:t>
      </w:r>
      <w:r w:rsidR="00992664" w:rsidRPr="00FC0D2E">
        <w:rPr>
          <w:rStyle w:val="libFootnoteAlaemChar"/>
          <w:rtl/>
        </w:rPr>
        <w:t>عليه‌السلام</w:t>
      </w:r>
      <w:r w:rsidR="00992664" w:rsidRPr="00020424">
        <w:rPr>
          <w:rtl/>
        </w:rPr>
        <w:t xml:space="preserve"> ، من دون الإسناد إلى النبيّ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w:t>
      </w:r>
      <w:r w:rsidR="00992664" w:rsidRPr="00757F3F">
        <w:rPr>
          <w:rStyle w:val="libFootnoteBoldChar"/>
          <w:rtl/>
        </w:rPr>
        <w:t>الأمالي للطوسي</w:t>
      </w:r>
      <w:r w:rsidR="00992664" w:rsidRPr="00020424">
        <w:rPr>
          <w:rtl/>
        </w:rPr>
        <w:t xml:space="preserve"> ، ص 458 ، المجلس 16 ، صدر ح 29 ، بسند آخر عن عليّ </w:t>
      </w:r>
      <w:r w:rsidR="00992664" w:rsidRPr="00FC0D2E">
        <w:rPr>
          <w:rStyle w:val="libFootnoteAlaemChar"/>
          <w:rtl/>
        </w:rPr>
        <w:t>عليه‌السلام</w:t>
      </w:r>
      <w:r w:rsidR="00992664" w:rsidRPr="00020424">
        <w:rPr>
          <w:rtl/>
        </w:rPr>
        <w:t xml:space="preserve"> عن النبيّ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w:t>
      </w:r>
      <w:r w:rsidR="00992664" w:rsidRPr="00DE76B9">
        <w:rPr>
          <w:rStyle w:val="libFootnoteBoldChar"/>
          <w:rtl/>
        </w:rPr>
        <w:t>وفيه</w:t>
      </w:r>
      <w:r w:rsidR="00992664" w:rsidRPr="00020424">
        <w:rPr>
          <w:rtl/>
        </w:rPr>
        <w:t xml:space="preserve"> ، ص 603 ، المجلس 27 ، ضمن ح 6 ، بسند آخر عن أبي جعفر </w:t>
      </w:r>
      <w:r w:rsidR="00992664" w:rsidRPr="00FC0D2E">
        <w:rPr>
          <w:rStyle w:val="libFootnoteAlaemChar"/>
          <w:rtl/>
        </w:rPr>
        <w:t>عليه‌السلام</w:t>
      </w:r>
      <w:r w:rsidR="00992664" w:rsidRPr="00020424">
        <w:rPr>
          <w:rtl/>
        </w:rPr>
        <w:t xml:space="preserve"> ، عن ا</w:t>
      </w:r>
      <w:r w:rsidR="00FC0D2E">
        <w:rPr>
          <w:rFonts w:hint="cs"/>
          <w:rtl/>
        </w:rPr>
        <w:t>ُ</w:t>
      </w:r>
      <w:r w:rsidR="00992664" w:rsidRPr="00020424">
        <w:rPr>
          <w:rtl/>
        </w:rPr>
        <w:t xml:space="preserve">مّ سلمة ، عن رسول الله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FC0D2E">
        <w:rPr>
          <w:rStyle w:val="libFootnoteAlaemChar"/>
          <w:rtl/>
        </w:rPr>
        <w:t>عليه‌السلام</w:t>
      </w:r>
      <w:r w:rsidR="00992664" w:rsidRPr="00020424">
        <w:rPr>
          <w:rtl/>
        </w:rPr>
        <w:t xml:space="preserve"> ، ص 373 ؛ </w:t>
      </w:r>
      <w:r w:rsidR="00992664" w:rsidRPr="00A83B0E">
        <w:rPr>
          <w:rStyle w:val="libFootnoteBoldChar"/>
          <w:rtl/>
        </w:rPr>
        <w:t>وتحف العقول</w:t>
      </w:r>
      <w:r w:rsidR="00992664" w:rsidRPr="00DE76B9">
        <w:rPr>
          <w:rStyle w:val="libFootnoteBoldChar"/>
          <w:rtl/>
        </w:rPr>
        <w:t xml:space="preserve"> </w:t>
      </w:r>
      <w:r w:rsidR="00992664" w:rsidRPr="00020424">
        <w:rPr>
          <w:rtl/>
        </w:rPr>
        <w:t xml:space="preserve">، ص 56 ، عن النبيّ </w:t>
      </w:r>
      <w:r w:rsidR="00D64ADA" w:rsidRPr="00FC0D2E">
        <w:rPr>
          <w:rStyle w:val="libFootnoteAlaemChar"/>
          <w:rtl/>
        </w:rPr>
        <w:t>صلى‌الله‌عليه‌وآله</w:t>
      </w:r>
      <w:r w:rsidR="00B42914" w:rsidRPr="00FC0D2E">
        <w:rPr>
          <w:rStyle w:val="libFootnoteAlaemChar"/>
          <w:rtl/>
        </w:rPr>
        <w:t>‌</w:t>
      </w:r>
      <w:r w:rsidR="00992664" w:rsidRPr="00020424">
        <w:rPr>
          <w:rtl/>
        </w:rPr>
        <w:t xml:space="preserve"> </w:t>
      </w:r>
      <w:r w:rsidR="00FC0D2E">
        <w:rPr>
          <w:rFonts w:hint="cs"/>
          <w:rtl/>
        </w:rPr>
        <w:t>.</w:t>
      </w:r>
      <w:r w:rsidR="00992664" w:rsidRPr="0012008A">
        <w:rPr>
          <w:rStyle w:val="libFootnoteBoldChar"/>
          <w:rtl/>
        </w:rPr>
        <w:t>الوافي</w:t>
      </w:r>
      <w:r w:rsidR="00992664" w:rsidRPr="00020424">
        <w:rPr>
          <w:rtl/>
        </w:rPr>
        <w:t xml:space="preserve"> ، ج 10 ، ص 454 ، ح 9874 ؛ </w:t>
      </w:r>
      <w:r w:rsidR="00992664" w:rsidRPr="0012008A">
        <w:rPr>
          <w:rStyle w:val="libFootnoteBoldChar"/>
          <w:rtl/>
        </w:rPr>
        <w:t>الوسائل</w:t>
      </w:r>
      <w:r w:rsidR="00992664" w:rsidRPr="00020424">
        <w:rPr>
          <w:rtl/>
        </w:rPr>
        <w:t xml:space="preserve"> ، ج 9 ، ص 459 ، ح 12496 ؛ وج 16 ، ص 285 ، ح 21558.</w:t>
      </w:r>
    </w:p>
    <w:tbl>
      <w:tblPr>
        <w:tblStyle w:val="TableGrid"/>
        <w:bidiVisual/>
        <w:tblW w:w="0" w:type="auto"/>
        <w:tblLook w:val="04A0" w:firstRow="1" w:lastRow="0" w:firstColumn="1" w:lastColumn="0" w:noHBand="0" w:noVBand="1"/>
      </w:tblPr>
      <w:tblGrid>
        <w:gridCol w:w="4006"/>
        <w:gridCol w:w="4006"/>
      </w:tblGrid>
      <w:tr w:rsidR="00FC0D2E" w:rsidTr="00FC0D2E">
        <w:tc>
          <w:tcPr>
            <w:tcW w:w="4006" w:type="dxa"/>
          </w:tcPr>
          <w:p w:rsidR="00FC0D2E" w:rsidRDefault="00FC0D2E" w:rsidP="00992664">
            <w:pPr>
              <w:pStyle w:val="libFootnote0"/>
              <w:rPr>
                <w:rtl/>
              </w:rPr>
            </w:pPr>
            <w:r>
              <w:rPr>
                <w:rtl/>
              </w:rPr>
              <w:t xml:space="preserve">(4). </w:t>
            </w:r>
            <w:r w:rsidRPr="00020424">
              <w:rPr>
                <w:rtl/>
              </w:rPr>
              <w:t>في « بث ، بخ ، بر ، بف »</w:t>
            </w:r>
            <w:r w:rsidRPr="00515444">
              <w:rPr>
                <w:rStyle w:val="libFootnoteBoldChar"/>
                <w:rtl/>
              </w:rPr>
              <w:t>والوافي</w:t>
            </w:r>
            <w:r>
              <w:rPr>
                <w:rtl/>
              </w:rPr>
              <w:t xml:space="preserve"> : + «</w:t>
            </w:r>
            <w:r w:rsidRPr="00020424">
              <w:rPr>
                <w:rtl/>
              </w:rPr>
              <w:t>قال</w:t>
            </w:r>
            <w:r>
              <w:rPr>
                <w:rtl/>
              </w:rPr>
              <w:t>».</w:t>
            </w:r>
          </w:p>
        </w:tc>
        <w:tc>
          <w:tcPr>
            <w:tcW w:w="4006" w:type="dxa"/>
          </w:tcPr>
          <w:p w:rsidR="00FC0D2E" w:rsidRDefault="00FC0D2E" w:rsidP="00992664">
            <w:pPr>
              <w:pStyle w:val="libFootnote0"/>
              <w:rPr>
                <w:rtl/>
              </w:rPr>
            </w:pPr>
            <w:r>
              <w:rPr>
                <w:rtl/>
              </w:rPr>
              <w:t xml:space="preserve">(5). </w:t>
            </w:r>
            <w:r w:rsidRPr="00020424">
              <w:rPr>
                <w:rtl/>
              </w:rPr>
              <w:t>في الأمالي : « أعظم</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معنى قوله </w:t>
      </w:r>
      <w:r w:rsidR="00992664" w:rsidRPr="00FC0D2E">
        <w:rPr>
          <w:rStyle w:val="libFootnoteAlaemChar"/>
          <w:rtl/>
        </w:rPr>
        <w:t>عليه‌السلام</w:t>
      </w:r>
      <w:r w:rsidR="00992664" w:rsidRPr="00020424">
        <w:rPr>
          <w:rtl/>
        </w:rPr>
        <w:t xml:space="preserve"> : وذلك يراد منه </w:t>
      </w:r>
      <w:r w:rsidR="009237BF">
        <w:rPr>
          <w:rtl/>
        </w:rPr>
        <w:t>، أنّ المراد من المعروف ليس إل</w:t>
      </w:r>
      <w:r w:rsidR="009237BF">
        <w:rPr>
          <w:rFonts w:hint="cs"/>
          <w:rtl/>
        </w:rPr>
        <w:t>ّ</w:t>
      </w:r>
      <w:r w:rsidR="009237BF">
        <w:rPr>
          <w:rtl/>
        </w:rPr>
        <w:t>ا</w:t>
      </w:r>
      <w:r w:rsidR="009237BF">
        <w:rPr>
          <w:rFonts w:hint="cs"/>
          <w:rtl/>
        </w:rPr>
        <w:t xml:space="preserve"> </w:t>
      </w:r>
      <w:r w:rsidR="00992664" w:rsidRPr="00020424">
        <w:rPr>
          <w:rtl/>
        </w:rPr>
        <w:t>ثوابه الذي لا شي‌ء أفضل منه ، فمن صنع معروفاً نال مالاً أفضل منه. وربما يوجد في بعض النسخ مكان هذه الكلمة : زد ذلك تزاد منه ، أي زد المعروف تزاد من ثوابه ، ويشبه أن يكون تصحيفاً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النَّاسِ يَصْنَعُهُ ، وَلَيْسَ كُلُّ مَنْ يَرْغَبُ فِيهِ يَقْدِرُ عَلَيْهِ ، وَلَاكُلُّ مَنْ يَقْدِرُ عَلَيْهِ </w:t>
      </w:r>
      <w:r w:rsidRPr="00A91B96">
        <w:rPr>
          <w:rStyle w:val="libFootnotenumChar"/>
          <w:rtl/>
        </w:rPr>
        <w:t>(1)</w:t>
      </w:r>
      <w:r w:rsidRPr="00020424">
        <w:rPr>
          <w:rtl/>
          <w:lang w:bidi="fa-IR"/>
        </w:rPr>
        <w:t xml:space="preserve"> يُؤْذَنُ لَهُ فِيهِ ، فَإِذَا اجْتَمَعَتِ الرَّغْبَةُ وَالْقُدْرَةُ وَالْإِذْنُ ، فَهُنَالِكَ تَمَّتِ السَّعَادَةُ لِلطَّالِبِ وَالْمَطْلُوبِ إِلَيْهِ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Default="007062B0" w:rsidP="00992664">
      <w:pPr>
        <w:pStyle w:val="libNormal"/>
        <w:rPr>
          <w:rtl/>
          <w:lang w:bidi="fa-IR"/>
        </w:rPr>
      </w:pPr>
      <w:r>
        <w:rPr>
          <w:rFonts w:hint="cs"/>
          <w:rtl/>
          <w:lang w:bidi="fa-IR"/>
        </w:rPr>
        <w:t xml:space="preserve">* </w:t>
      </w:r>
      <w:r w:rsidR="00992664" w:rsidRPr="00020424">
        <w:rPr>
          <w:rtl/>
          <w:lang w:bidi="fa-IR"/>
        </w:rPr>
        <w:t xml:space="preserve">وَرَوَاهُ أَحْمَدُ بْنُ أَبِي عَبْدِ اللهِ </w:t>
      </w:r>
      <w:r w:rsidR="00992664" w:rsidRPr="00A91B96">
        <w:rPr>
          <w:rStyle w:val="libFootnotenumChar"/>
          <w:rtl/>
        </w:rPr>
        <w:t>(3)</w:t>
      </w:r>
      <w:r w:rsidR="00992664" w:rsidRPr="00020424">
        <w:rPr>
          <w:rtl/>
          <w:lang w:bidi="fa-IR"/>
        </w:rPr>
        <w:t xml:space="preserve"> ، عَنِ ابْنِ فَضَّالٍ ، عَنْ أَبِي جَمِيلَةَ ، عَنْ مُحَمَّدِ بْنِ مَرْوَانَ : عَنْ أَبِي عَبْدِ اللهِ </w:t>
      </w:r>
      <w:r w:rsidR="00992664" w:rsidRPr="00005A81">
        <w:rPr>
          <w:rStyle w:val="libAlaemChar"/>
          <w:rtl/>
        </w:rPr>
        <w:t>عليه‌السلام</w:t>
      </w:r>
      <w:r w:rsidR="00992664" w:rsidRPr="00020424">
        <w:rPr>
          <w:rtl/>
          <w:lang w:bidi="fa-IR"/>
        </w:rPr>
        <w:t xml:space="preserve"> </w:t>
      </w:r>
      <w:r w:rsidR="00992664" w:rsidRPr="00A91B96">
        <w:rPr>
          <w:rStyle w:val="libFootnotenumChar"/>
          <w:rtl/>
        </w:rPr>
        <w:t>(4)</w:t>
      </w:r>
      <w:r w:rsidR="00992664" w:rsidRPr="00020424">
        <w:rPr>
          <w:rtl/>
          <w:lang w:bidi="fa-IR"/>
        </w:rPr>
        <w:t xml:space="preserve"> مِثْلَهُ. </w:t>
      </w:r>
      <w:r w:rsidR="00992664" w:rsidRPr="00A91B96">
        <w:rPr>
          <w:rStyle w:val="libFootnotenumChar"/>
          <w:rtl/>
        </w:rPr>
        <w:t>(5)</w:t>
      </w:r>
      <w:r w:rsidR="00992664" w:rsidRPr="00020424">
        <w:rPr>
          <w:rtl/>
          <w:lang w:bidi="fa-IR"/>
        </w:rPr>
        <w:t xml:space="preserve"> </w:t>
      </w:r>
    </w:p>
    <w:p w:rsidR="00992664" w:rsidRPr="00020424" w:rsidRDefault="00992664" w:rsidP="00992664">
      <w:pPr>
        <w:pStyle w:val="libNormal"/>
        <w:rPr>
          <w:rtl/>
          <w:lang w:bidi="fa-IR"/>
        </w:rPr>
      </w:pPr>
      <w:r w:rsidRPr="00326D7E">
        <w:rPr>
          <w:rtl/>
        </w:rPr>
        <w:t>6098</w:t>
      </w:r>
      <w:r w:rsidRPr="001155DE">
        <w:rPr>
          <w:rStyle w:val="libBold2Char"/>
          <w:rtl/>
        </w:rPr>
        <w:t xml:space="preserve"> / 4.</w:t>
      </w:r>
      <w:r w:rsidRPr="00020424">
        <w:rPr>
          <w:rtl/>
          <w:lang w:bidi="fa-IR"/>
        </w:rPr>
        <w:t xml:space="preserve"> عِدَّةٌ مِنْ أَصْحَابِنَا ، عَنْ سَهْلِ بْنِ زِيَادٍ ، عَنْ جَعْفَرِ بْنِ مُحَمَّدٍ الْأَشْعَرِيِّ ، عَنِ ابْنِ الْقَدَّاحِ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عَنْ آبَائِهِ </w:t>
      </w:r>
      <w:r w:rsidRPr="00005A81">
        <w:rPr>
          <w:rStyle w:val="libAlaemChar"/>
          <w:rtl/>
        </w:rPr>
        <w:t>عليهم‌السلام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كُلُّ مَعْرُوفٍ صَدَقَةٌ ، وَالدَّالُّ عَلَى الْخَيْرِ كَفَاعِلِهِ ، وَاللهُ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يُحِبُّ إِغَاثَةَ </w:t>
      </w:r>
      <w:r w:rsidRPr="00A91B96">
        <w:rPr>
          <w:rStyle w:val="libFootnotenumChar"/>
          <w:rtl/>
        </w:rPr>
        <w:t>(6)</w:t>
      </w:r>
      <w:r w:rsidRPr="00020424">
        <w:rPr>
          <w:rtl/>
          <w:lang w:bidi="fa-IR"/>
        </w:rPr>
        <w:t xml:space="preserve"> اللهْفَانِ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r w:rsidRPr="00020424">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757F3F">
        <w:rPr>
          <w:rStyle w:val="libFootnoteBoldChar"/>
          <w:rtl/>
        </w:rPr>
        <w:t>الأمالي للطوسي</w:t>
      </w:r>
      <w:r w:rsidR="00992664" w:rsidRPr="00020424">
        <w:rPr>
          <w:rtl/>
        </w:rPr>
        <w:t xml:space="preserve"> ، ص 479 ، المجلس 17 ، ذيل ح 17 ، بسند آخر. وفي </w:t>
      </w:r>
      <w:r w:rsidR="00992664" w:rsidRPr="0012008A">
        <w:rPr>
          <w:rStyle w:val="libFootnoteBoldChar"/>
          <w:rtl/>
        </w:rPr>
        <w:t>الفقيه</w:t>
      </w:r>
      <w:r w:rsidR="00992664" w:rsidRPr="00020424">
        <w:rPr>
          <w:rtl/>
        </w:rPr>
        <w:t xml:space="preserve"> ، ج 2 ، ص 55 ، ح 1686 ؛ و</w:t>
      </w:r>
      <w:r w:rsidR="00992664" w:rsidRPr="00DE76B9">
        <w:rPr>
          <w:rStyle w:val="libFootnoteBoldChar"/>
          <w:rtl/>
        </w:rPr>
        <w:t>الإرشاد</w:t>
      </w:r>
      <w:r w:rsidR="00992664" w:rsidRPr="00020424">
        <w:rPr>
          <w:rtl/>
        </w:rPr>
        <w:t xml:space="preserve"> ، ج 2 ، ص 204 ، مرسلاً ، من قوله : « وليس كلّ من يرغب فيه » ؛ </w:t>
      </w:r>
      <w:r w:rsidR="00992664" w:rsidRPr="00DE76B9">
        <w:rPr>
          <w:rStyle w:val="libFootnoteBoldChar"/>
          <w:rtl/>
        </w:rPr>
        <w:t>تحف العقول</w:t>
      </w:r>
      <w:r w:rsidR="00992664" w:rsidRPr="00020424">
        <w:rPr>
          <w:rtl/>
        </w:rPr>
        <w:t xml:space="preserve"> ، ص 363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373 ، وفي كلّ المصادر مع اختلاف يسير </w:t>
      </w:r>
      <w:r w:rsidR="007062B0">
        <w:rPr>
          <w:rFonts w:hint="cs"/>
          <w:rtl/>
        </w:rPr>
        <w:t>.</w:t>
      </w:r>
      <w:r w:rsidR="00992664" w:rsidRPr="0012008A">
        <w:rPr>
          <w:rStyle w:val="libFootnoteBoldChar"/>
          <w:rtl/>
        </w:rPr>
        <w:t>الوافي</w:t>
      </w:r>
      <w:r w:rsidR="00992664" w:rsidRPr="00020424">
        <w:rPr>
          <w:rtl/>
        </w:rPr>
        <w:t xml:space="preserve"> ، ج 10 ، ص 448 ، ح 9856 ؛ </w:t>
      </w:r>
      <w:r w:rsidR="00992664" w:rsidRPr="0012008A">
        <w:rPr>
          <w:rStyle w:val="libFootnoteBoldChar"/>
          <w:rtl/>
        </w:rPr>
        <w:t>الوسائل</w:t>
      </w:r>
      <w:r w:rsidR="00992664" w:rsidRPr="00020424">
        <w:rPr>
          <w:rtl/>
        </w:rPr>
        <w:t xml:space="preserve"> ، ج 16 ، ص 293 ، ح 21581.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السند معلّق على سابقه. ويروي عن أحمد بن أبي عبد الله ، عدّة من أصحابنا.</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عن آبائه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449 ، ح 9857 ؛ </w:t>
      </w:r>
      <w:r w:rsidR="00992664" w:rsidRPr="0012008A">
        <w:rPr>
          <w:rStyle w:val="libFootnoteBoldChar"/>
          <w:rtl/>
        </w:rPr>
        <w:t>الوسائل</w:t>
      </w:r>
      <w:r w:rsidR="00992664" w:rsidRPr="00020424">
        <w:rPr>
          <w:rtl/>
        </w:rPr>
        <w:t xml:space="preserve"> ، ج 16 ، ص 293 ، ح 21581.</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إعانة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قال الجوهري : « لَهِف بالكسر يلهف لَهَفاً ، أي حزن وتحسّر</w:t>
      </w:r>
      <w:r w:rsidR="00992664">
        <w:rPr>
          <w:rtl/>
        </w:rPr>
        <w:t xml:space="preserve"> ..</w:t>
      </w:r>
      <w:r w:rsidR="00992664" w:rsidRPr="00020424">
        <w:rPr>
          <w:rtl/>
        </w:rPr>
        <w:t>. واللهفان : المتحسّر</w:t>
      </w:r>
      <w:r w:rsidR="00992664">
        <w:rPr>
          <w:rtl/>
        </w:rPr>
        <w:t xml:space="preserve"> ».</w:t>
      </w:r>
      <w:r w:rsidR="00992664" w:rsidRPr="00020424">
        <w:rPr>
          <w:rtl/>
        </w:rPr>
        <w:t xml:space="preserve"> وقال ابن الأثير : « هو المكروب</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1428 ؛ </w:t>
      </w:r>
      <w:r w:rsidR="00992664" w:rsidRPr="0012008A">
        <w:rPr>
          <w:rStyle w:val="libFootnoteBoldChar"/>
          <w:rtl/>
        </w:rPr>
        <w:t>النهاية</w:t>
      </w:r>
      <w:r w:rsidR="00992664" w:rsidRPr="00020424">
        <w:rPr>
          <w:rtl/>
        </w:rPr>
        <w:t xml:space="preserve"> ، ج 4 ، ص 282 ( لهف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A722B1">
        <w:rPr>
          <w:rStyle w:val="libFootnoteBoldChar"/>
          <w:rtl/>
        </w:rPr>
        <w:t>الخصال</w:t>
      </w:r>
      <w:r w:rsidR="00992664" w:rsidRPr="00020424">
        <w:rPr>
          <w:rtl/>
        </w:rPr>
        <w:t xml:space="preserve"> ، ص 134 ، باب الثلاثة ، ح 145 ، بسنده عن جعفر بن محمّد الأشعري. </w:t>
      </w:r>
      <w:r w:rsidR="00992664" w:rsidRPr="00DE76B9">
        <w:rPr>
          <w:rStyle w:val="libFootnoteBoldChar"/>
          <w:rtl/>
        </w:rPr>
        <w:t>الجعفريّات</w:t>
      </w:r>
      <w:r w:rsidR="00992664" w:rsidRPr="00020424">
        <w:rPr>
          <w:rtl/>
        </w:rPr>
        <w:t xml:space="preserve"> ، ص 171 ، بسند آخر ، وفيه هذه الفقرة : « الدالّ على الخير كفاعله</w:t>
      </w:r>
      <w:r w:rsidR="00992664">
        <w:rPr>
          <w:rtl/>
        </w:rPr>
        <w:t xml:space="preserve"> ».</w:t>
      </w:r>
      <w:r w:rsidR="00992664" w:rsidRPr="00020424">
        <w:rPr>
          <w:rtl/>
        </w:rPr>
        <w:t xml:space="preserve"> </w:t>
      </w:r>
      <w:r w:rsidR="00D64ADA" w:rsidRPr="00D64ADA">
        <w:rPr>
          <w:rStyle w:val="libFootnoteBoldChar"/>
          <w:rtl/>
        </w:rPr>
        <w:t>المحاسن</w:t>
      </w:r>
      <w:r w:rsidR="00992664" w:rsidRPr="00020424">
        <w:rPr>
          <w:rtl/>
        </w:rPr>
        <w:t xml:space="preserve"> ، ص 388 ، كتاب المآكل ، ح 10 ، بسند آخر عن أبي جعفر </w:t>
      </w:r>
      <w:r w:rsidR="00992664" w:rsidRPr="00D64ADA">
        <w:rPr>
          <w:rStyle w:val="libFootnoteAlaemChar"/>
          <w:rtl/>
        </w:rPr>
        <w:t>عليه‌السلام</w:t>
      </w:r>
      <w:r w:rsidR="00992664" w:rsidRPr="00020424">
        <w:rPr>
          <w:rtl/>
        </w:rPr>
        <w:t xml:space="preserve"> ، وفيه هذه الفقرة : « والله عزّوجلّ يحبّ إعانة اللهفان » مع اختلاف يسير ، وفي الأخيرين مع زيادة في أوّله. </w:t>
      </w:r>
      <w:r w:rsidR="00992664" w:rsidRPr="00DE76B9">
        <w:rPr>
          <w:rStyle w:val="libFootnoteBoldChar"/>
          <w:rtl/>
        </w:rPr>
        <w:t>الاختصاص</w:t>
      </w:r>
      <w:r w:rsidR="00992664" w:rsidRPr="00020424">
        <w:rPr>
          <w:rtl/>
        </w:rPr>
        <w:t xml:space="preserve"> ، ص 240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55 ، ح 1682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ج 4 ، ص 380 ، ح 5813 ؛ </w:t>
      </w:r>
      <w:r w:rsidR="00992664" w:rsidRPr="006C7A1F">
        <w:rPr>
          <w:rStyle w:val="libFootnoteBoldChar"/>
          <w:rtl/>
        </w:rPr>
        <w:t>وثواب الأعمال</w:t>
      </w:r>
      <w:r w:rsidR="00992664" w:rsidRPr="00020424">
        <w:rPr>
          <w:rtl/>
        </w:rPr>
        <w:t xml:space="preserve"> ، ص 15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وتمام الرواية : « الدالّ على الخير كفاعله » </w:t>
      </w:r>
      <w:r w:rsidR="007062B0">
        <w:rPr>
          <w:rFonts w:hint="cs"/>
          <w:rtl/>
        </w:rPr>
        <w:t>.</w:t>
      </w:r>
      <w:r w:rsidR="00992664" w:rsidRPr="0012008A">
        <w:rPr>
          <w:rStyle w:val="libFootnoteBoldChar"/>
          <w:rtl/>
        </w:rPr>
        <w:t>الوافي</w:t>
      </w:r>
      <w:r w:rsidR="00992664" w:rsidRPr="00020424">
        <w:rPr>
          <w:rtl/>
        </w:rPr>
        <w:t xml:space="preserve"> ، ج 10 ، ص 454 ، ح 9875 ؛ </w:t>
      </w:r>
      <w:r w:rsidR="00992664" w:rsidRPr="0012008A">
        <w:rPr>
          <w:rStyle w:val="libFootnoteBoldChar"/>
          <w:rtl/>
        </w:rPr>
        <w:t>الوسائل</w:t>
      </w:r>
      <w:r w:rsidR="00992664" w:rsidRPr="00020424">
        <w:rPr>
          <w:rtl/>
        </w:rPr>
        <w:t xml:space="preserve"> ، ج 16 ، ص 286 ، ح 21561.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26D7E">
        <w:rPr>
          <w:rtl/>
        </w:rPr>
        <w:t>6099</w:t>
      </w:r>
      <w:r w:rsidRPr="001155DE">
        <w:rPr>
          <w:rStyle w:val="libBold2Char"/>
          <w:rtl/>
        </w:rPr>
        <w:t xml:space="preserve"> / 5.</w:t>
      </w:r>
      <w:r w:rsidRPr="00020424">
        <w:rPr>
          <w:rtl/>
          <w:lang w:bidi="fa-IR"/>
        </w:rPr>
        <w:t xml:space="preserve"> عِدَّةٌ مِنْ أَصْحَابِنَا ، عَنْ سَهْلِ بْنِ زِيَادٍ وَأَحْمَدَ بْنِ مُحَمَّدٍ جَمِيعاً ، عَنِ الْحَسَنِ بْنِ مَحْبُوبٍ ، عَنْ عُمَرَ بْنِ يَزِيدَ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الْمَعْرُوفُ شَيْ‌ءٌ سِوَى الزَّكَاةِ ، فَتَقَرَّبُوا إِلَى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بِالْبِرِّ وَصِلَةِ الرَّحِمِ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326D7E">
        <w:rPr>
          <w:rtl/>
        </w:rPr>
        <w:t>6100</w:t>
      </w:r>
      <w:r w:rsidRPr="001155DE">
        <w:rPr>
          <w:rStyle w:val="libBold2Char"/>
          <w:rtl/>
        </w:rPr>
        <w:t xml:space="preserve"> / 6.</w:t>
      </w:r>
      <w:r w:rsidRPr="00020424">
        <w:rPr>
          <w:rtl/>
          <w:lang w:bidi="fa-IR"/>
        </w:rPr>
        <w:t xml:space="preserve"> عَلِيُّ بْنُ إِبْرَاهِيمَ ، عَنْ أَبِيهِ ، عَنِ ابْنِ أَبِي عُمَيْرٍ ، عَنْ جَمِيلِ بْنِ دَرَّاجٍ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اصْنَعِ الْمَعْرُوفَ إِلى مَنْ هُوَ </w:t>
      </w:r>
      <w:r w:rsidRPr="00A91B96">
        <w:rPr>
          <w:rStyle w:val="libFootnotenumChar"/>
          <w:rtl/>
        </w:rPr>
        <w:t>(2)</w:t>
      </w:r>
      <w:r w:rsidRPr="00020424">
        <w:rPr>
          <w:rtl/>
          <w:lang w:bidi="fa-IR"/>
        </w:rPr>
        <w:t xml:space="preserve"> أَهْلُهُ ، وَإِلى مَنْ لَيْسَ </w:t>
      </w:r>
      <w:r w:rsidRPr="00A91B96">
        <w:rPr>
          <w:rStyle w:val="libFootnotenumChar"/>
          <w:rtl/>
        </w:rPr>
        <w:t>(3)</w:t>
      </w:r>
      <w:r w:rsidRPr="00020424">
        <w:rPr>
          <w:rtl/>
          <w:lang w:bidi="fa-IR"/>
        </w:rPr>
        <w:t xml:space="preserve"> مِنْ </w:t>
      </w:r>
      <w:r w:rsidRPr="00A91B96">
        <w:rPr>
          <w:rStyle w:val="libFootnotenumChar"/>
          <w:rtl/>
        </w:rPr>
        <w:t>(4)</w:t>
      </w:r>
      <w:r w:rsidRPr="00020424">
        <w:rPr>
          <w:rtl/>
          <w:lang w:bidi="fa-IR"/>
        </w:rPr>
        <w:t xml:space="preserve"> أَهْلِهِ ؛ فَإِنْ لَمْ يَكُنْ هُوَ مِنْ </w:t>
      </w:r>
      <w:r w:rsidRPr="00A91B96">
        <w:rPr>
          <w:rStyle w:val="libFootnotenumChar"/>
          <w:rtl/>
        </w:rPr>
        <w:t>(5)</w:t>
      </w:r>
      <w:r w:rsidRPr="00020424">
        <w:rPr>
          <w:rtl/>
          <w:lang w:bidi="fa-IR"/>
        </w:rPr>
        <w:t xml:space="preserve"> أَهْلِهِ ، فَكُنْ أَنْتَ مِنْ </w:t>
      </w:r>
      <w:r w:rsidRPr="00A91B96">
        <w:rPr>
          <w:rStyle w:val="libFootnotenumChar"/>
          <w:rtl/>
        </w:rPr>
        <w:t>(6)</w:t>
      </w:r>
      <w:r w:rsidRPr="00020424">
        <w:rPr>
          <w:rtl/>
          <w:lang w:bidi="fa-IR"/>
        </w:rPr>
        <w:t xml:space="preserve"> أَهْلِهِ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326D7E">
        <w:rPr>
          <w:rtl/>
        </w:rPr>
        <w:t>6101</w:t>
      </w:r>
      <w:r w:rsidRPr="001155DE">
        <w:rPr>
          <w:rStyle w:val="libBold2Char"/>
          <w:rtl/>
        </w:rPr>
        <w:t xml:space="preserve"> / 7.</w:t>
      </w:r>
      <w:r w:rsidRPr="00020424">
        <w:rPr>
          <w:rtl/>
          <w:lang w:bidi="fa-IR"/>
        </w:rPr>
        <w:t xml:space="preserve"> عَلِيُّ بْنُ مُحَمَّدِ بْنِ بُنْدَارَ وَغَيْرُهُ ، عَنْ أَحْمَدَ بْنِ أَبِي عَبْدِ اللهِ ، عَنْ أَبِيهِ ، عَنْ عَبْدِ اللهِ بْنِ الْقَاسِمِ ، عَنْ رَجُلٍ مِنْ أَهْلِ سَابَاطَ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لِعَمَّارٍ : « يَا عَمَّارُ ، أَنْتَ رَبُّ مَالٍ كَثِيرٍ</w:t>
      </w:r>
      <w:r>
        <w:rPr>
          <w:rtl/>
          <w:lang w:bidi="fa-IR"/>
        </w:rPr>
        <w:t>؟</w:t>
      </w:r>
      <w:r w:rsidRPr="00020424">
        <w:rPr>
          <w:rtl/>
          <w:lang w:bidi="fa-IR"/>
        </w:rPr>
        <w:t xml:space="preserve"> » قَالَ : نَعَمْ جُعِلْتُ فِدَاكَ ، قَالَ : « فَتُؤَدِّي مَا افْتَرَضَ </w:t>
      </w:r>
      <w:r w:rsidRPr="00A91B96">
        <w:rPr>
          <w:rStyle w:val="libFootnotenumChar"/>
          <w:rtl/>
        </w:rPr>
        <w:t>(9)</w:t>
      </w:r>
      <w:r w:rsidRPr="00020424">
        <w:rPr>
          <w:rtl/>
          <w:lang w:bidi="fa-IR"/>
        </w:rPr>
        <w:t xml:space="preserve"> اللهُ عَلَيْكَ مِنَ الزَّكَاةِ</w:t>
      </w:r>
      <w:r>
        <w:rPr>
          <w:rtl/>
          <w:lang w:bidi="fa-IR"/>
        </w:rPr>
        <w:t>؟</w:t>
      </w:r>
      <w:r w:rsidRPr="00020424">
        <w:rPr>
          <w:rtl/>
          <w:lang w:bidi="fa-IR"/>
        </w:rPr>
        <w:t xml:space="preserve"> »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7062B0">
      <w:pPr>
        <w:pStyle w:val="libFootnote0"/>
        <w:rPr>
          <w:rtl/>
          <w:lang w:bidi="fa-IR"/>
        </w:rPr>
      </w:pPr>
      <w:r>
        <w:rPr>
          <w:rtl/>
        </w:rPr>
        <w:t>(1).</w:t>
      </w:r>
      <w:r w:rsidR="0014403D">
        <w:rPr>
          <w:rtl/>
        </w:rPr>
        <w:t xml:space="preserve"> </w:t>
      </w:r>
      <w:r w:rsidR="00992664" w:rsidRPr="00A722B1">
        <w:rPr>
          <w:rStyle w:val="libFootnoteBoldChar"/>
          <w:rtl/>
        </w:rPr>
        <w:t>الخصال</w:t>
      </w:r>
      <w:r w:rsidR="00992664" w:rsidRPr="00020424">
        <w:rPr>
          <w:rtl/>
        </w:rPr>
        <w:t xml:space="preserve"> ، ص 48 ، باب الاثنين ، ح 52 ، بسنده عن أحمد بن أبي عبدالله ، عن الحسن بن محبوب. </w:t>
      </w:r>
      <w:r w:rsidR="00992664" w:rsidRPr="0012008A">
        <w:rPr>
          <w:rStyle w:val="libFootnoteBoldChar"/>
          <w:rtl/>
        </w:rPr>
        <w:t>الفقيه</w:t>
      </w:r>
      <w:r w:rsidR="00992664" w:rsidRPr="00020424">
        <w:rPr>
          <w:rtl/>
        </w:rPr>
        <w:t xml:space="preserve"> ، ج 2 ، ص 55 ، ح 1685 ، مرسلاً من دون التصريح باسم المعصوم </w:t>
      </w:r>
      <w:r w:rsidR="00992664" w:rsidRPr="00D64ADA">
        <w:rPr>
          <w:rStyle w:val="libFootnoteAlaemChar"/>
          <w:rtl/>
        </w:rPr>
        <w:t>عليه‌السلام</w:t>
      </w:r>
      <w:r w:rsidR="00992664" w:rsidRPr="00020424">
        <w:rPr>
          <w:rtl/>
        </w:rPr>
        <w:t xml:space="preserve"> </w:t>
      </w:r>
      <w:r w:rsidR="007062B0">
        <w:rPr>
          <w:rFonts w:hint="cs"/>
          <w:rtl/>
        </w:rPr>
        <w:t>.</w:t>
      </w:r>
      <w:r w:rsidR="00992664" w:rsidRPr="0012008A">
        <w:rPr>
          <w:rStyle w:val="libFootnoteBoldChar"/>
          <w:rtl/>
        </w:rPr>
        <w:t>الوافي</w:t>
      </w:r>
      <w:r w:rsidR="00992664" w:rsidRPr="00020424">
        <w:rPr>
          <w:rtl/>
        </w:rPr>
        <w:t xml:space="preserve"> ، ج 10 ، ص 454 ، ح 9876 ؛ </w:t>
      </w:r>
      <w:r w:rsidR="00992664" w:rsidRPr="0012008A">
        <w:rPr>
          <w:rStyle w:val="libFootnoteBoldChar"/>
          <w:rtl/>
        </w:rPr>
        <w:t>الوسائل</w:t>
      </w:r>
      <w:r w:rsidR="00992664" w:rsidRPr="00020424">
        <w:rPr>
          <w:rtl/>
        </w:rPr>
        <w:t xml:space="preserve"> ، ج 16 ، ص 287 ، ح 21563.</w:t>
      </w:r>
      <w:r w:rsidR="007062B0">
        <w:rPr>
          <w:rFonts w:hint="cs"/>
          <w:rtl/>
        </w:rPr>
        <w:t xml:space="preserve">         </w:t>
      </w:r>
      <w:r>
        <w:rPr>
          <w:rtl/>
        </w:rPr>
        <w:t>(2).</w:t>
      </w:r>
      <w:r w:rsidR="0014403D">
        <w:rPr>
          <w:rtl/>
        </w:rPr>
        <w:t xml:space="preserve"> </w:t>
      </w:r>
      <w:r w:rsidR="00992664" w:rsidRPr="00020424">
        <w:rPr>
          <w:rtl/>
        </w:rPr>
        <w:t>في « بث ، بح ، بس » : + « من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بح ، بخ ، بر ، بف ، جن » </w:t>
      </w:r>
      <w:r w:rsidR="00992664" w:rsidRPr="00515444">
        <w:rPr>
          <w:rStyle w:val="libFootnoteBoldChar"/>
          <w:rtl/>
        </w:rPr>
        <w:t>والوافي</w:t>
      </w:r>
      <w:r w:rsidR="00992664" w:rsidRPr="00020424">
        <w:rPr>
          <w:rtl/>
        </w:rPr>
        <w:t xml:space="preserve"> : + « هو</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7C1D2B">
        <w:rPr>
          <w:rStyle w:val="libFootnoteBoldChar"/>
          <w:rtl/>
        </w:rPr>
        <w:t>والزهد</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r w:rsidR="00992664" w:rsidRPr="00020424">
        <w:rPr>
          <w:rtl/>
        </w:rPr>
        <w:t xml:space="preserve"> وفي « بخ ، بر » :</w:t>
      </w:r>
      <w:r w:rsidR="00992664">
        <w:rPr>
          <w:rtl/>
        </w:rPr>
        <w:t xml:space="preserve"> </w:t>
      </w:r>
      <w:r w:rsidR="009B673F">
        <w:rPr>
          <w:rtl/>
        </w:rPr>
        <w:t>-</w:t>
      </w:r>
      <w:r w:rsidR="00992664">
        <w:rPr>
          <w:rtl/>
        </w:rPr>
        <w:t xml:space="preserve"> </w:t>
      </w:r>
      <w:r w:rsidR="00992664" w:rsidRPr="00020424">
        <w:rPr>
          <w:rtl/>
        </w:rPr>
        <w:t>« هو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w:t>
      </w:r>
      <w:r w:rsidR="00992664" w:rsidRPr="0012008A">
        <w:rPr>
          <w:rStyle w:val="libFootnoteBoldChar"/>
          <w:rtl/>
        </w:rPr>
        <w:t>الوافي</w:t>
      </w:r>
      <w:r w:rsidR="00992664" w:rsidRPr="00020424">
        <w:rPr>
          <w:rtl/>
        </w:rPr>
        <w:t xml:space="preserve"> </w:t>
      </w:r>
      <w:r w:rsidR="00992664" w:rsidRPr="007C1D2B">
        <w:rPr>
          <w:rStyle w:val="libFootnoteBoldChar"/>
          <w:rtl/>
        </w:rPr>
        <w:t>والزهد</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هامش المطبوع : « محمول على ما إذا لم يعلم قطعاً أنّه ليس من أهله ومن حاله مجهول عنده ؛ لئلاّ ينافي ما يأتي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الزهد</w:t>
      </w:r>
      <w:r w:rsidR="00992664" w:rsidRPr="00020424">
        <w:rPr>
          <w:rtl/>
        </w:rPr>
        <w:t xml:space="preserve"> ، ص 97 ، ح 85 ، عن ابن أبي عمير ، عن بعض أصحابه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عيون الأخبار</w:t>
      </w:r>
      <w:r w:rsidR="00992664" w:rsidRPr="00020424">
        <w:rPr>
          <w:rtl/>
        </w:rPr>
        <w:t xml:space="preserve"> ، ج 2 ، ص 68 ، ح 317 ، بسند آخر عن الرضا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373 ؛ </w:t>
      </w:r>
      <w:r w:rsidR="00992664" w:rsidRPr="00666432">
        <w:rPr>
          <w:rStyle w:val="libFootnoteBoldChar"/>
          <w:rtl/>
        </w:rPr>
        <w:t>والاختصاص</w:t>
      </w:r>
      <w:r w:rsidR="00992664" w:rsidRPr="00020424">
        <w:rPr>
          <w:rtl/>
        </w:rPr>
        <w:t xml:space="preserve"> ، ص 240 ، مرسلاً من دون التصريح باسم المعصوم </w:t>
      </w:r>
      <w:r w:rsidR="00992664" w:rsidRPr="00D64ADA">
        <w:rPr>
          <w:rStyle w:val="libFootnoteAlaemChar"/>
          <w:rtl/>
        </w:rPr>
        <w:t>عليه‌السلام</w:t>
      </w:r>
      <w:r w:rsidR="00992664" w:rsidRPr="00020424">
        <w:rPr>
          <w:rtl/>
        </w:rPr>
        <w:t xml:space="preserve"> ، وفي كلّ المصادر مع اختلاف يسير </w:t>
      </w:r>
      <w:r w:rsidR="007062B0">
        <w:rPr>
          <w:rFonts w:hint="cs"/>
          <w:rtl/>
        </w:rPr>
        <w:t>.</w:t>
      </w:r>
      <w:r w:rsidR="00992664" w:rsidRPr="0012008A">
        <w:rPr>
          <w:rStyle w:val="libFootnoteBoldChar"/>
          <w:rtl/>
        </w:rPr>
        <w:t>الوافي</w:t>
      </w:r>
      <w:r w:rsidR="00992664" w:rsidRPr="00020424">
        <w:rPr>
          <w:rtl/>
        </w:rPr>
        <w:t xml:space="preserve"> ، ج 10 ، ص 449 ، ح 9859 ؛ </w:t>
      </w:r>
      <w:r w:rsidR="00992664" w:rsidRPr="0012008A">
        <w:rPr>
          <w:rStyle w:val="libFootnoteBoldChar"/>
          <w:rtl/>
        </w:rPr>
        <w:t>الوسائل</w:t>
      </w:r>
      <w:r w:rsidR="00992664" w:rsidRPr="00020424">
        <w:rPr>
          <w:rtl/>
        </w:rPr>
        <w:t xml:space="preserve"> ، ج 16 ، ص 294 ، ح 21582.</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فرض</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قَالَ </w:t>
      </w:r>
      <w:r w:rsidRPr="00A91B96">
        <w:rPr>
          <w:rStyle w:val="libFootnotenumChar"/>
          <w:rtl/>
        </w:rPr>
        <w:t>(1)</w:t>
      </w:r>
      <w:r w:rsidRPr="00020424">
        <w:rPr>
          <w:rtl/>
          <w:lang w:bidi="fa-IR"/>
        </w:rPr>
        <w:t xml:space="preserve"> : نَعَمْ ، قَالَ : « فَتُخْرِجُ </w:t>
      </w:r>
      <w:r w:rsidRPr="00A91B96">
        <w:rPr>
          <w:rStyle w:val="libFootnotenumChar"/>
          <w:rtl/>
        </w:rPr>
        <w:t>(2)</w:t>
      </w:r>
      <w:r w:rsidRPr="00020424">
        <w:rPr>
          <w:rtl/>
          <w:lang w:bidi="fa-IR"/>
        </w:rPr>
        <w:t xml:space="preserve"> الْمَعْلُومَ مِنْ مَالِكَ</w:t>
      </w:r>
      <w:r>
        <w:rPr>
          <w:rtl/>
          <w:lang w:bidi="fa-IR"/>
        </w:rPr>
        <w:t>؟</w:t>
      </w:r>
      <w:r w:rsidRPr="00020424">
        <w:rPr>
          <w:rtl/>
          <w:lang w:bidi="fa-IR"/>
        </w:rPr>
        <w:t xml:space="preserve"> » قَالَ : نَعَمْ ، قَالَ : « فَتَصِلُ قَرَابَتَكَ</w:t>
      </w:r>
      <w:r>
        <w:rPr>
          <w:rtl/>
          <w:lang w:bidi="fa-IR"/>
        </w:rPr>
        <w:t>؟</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نَعَمْ ، قَالَ : « فَتَصِلُ </w:t>
      </w:r>
      <w:r w:rsidRPr="00A91B96">
        <w:rPr>
          <w:rStyle w:val="libFootnotenumChar"/>
          <w:rtl/>
        </w:rPr>
        <w:t>(3)</w:t>
      </w:r>
      <w:r w:rsidRPr="00020424">
        <w:rPr>
          <w:rtl/>
          <w:lang w:bidi="fa-IR"/>
        </w:rPr>
        <w:t xml:space="preserve"> إِخْوَانَكَ</w:t>
      </w:r>
      <w:r>
        <w:rPr>
          <w:rtl/>
          <w:lang w:bidi="fa-IR"/>
        </w:rPr>
        <w:t>؟</w:t>
      </w:r>
      <w:r w:rsidRPr="00020424">
        <w:rPr>
          <w:rtl/>
          <w:lang w:bidi="fa-IR"/>
        </w:rPr>
        <w:t xml:space="preserve"> » قَالَ : نَعَمْ.</w:t>
      </w:r>
    </w:p>
    <w:p w:rsidR="00992664" w:rsidRPr="00020424" w:rsidRDefault="00992664" w:rsidP="00992664">
      <w:pPr>
        <w:pStyle w:val="libNormal"/>
        <w:rPr>
          <w:rtl/>
          <w:lang w:bidi="fa-IR"/>
        </w:rPr>
      </w:pPr>
      <w:r w:rsidRPr="00020424">
        <w:rPr>
          <w:rtl/>
          <w:lang w:bidi="fa-IR"/>
        </w:rPr>
        <w:t xml:space="preserve">فَقَالَ : « يَا عَمَّارُ ، إِنَّ الْمَالَ يَفْنى ، وَالْبَدَنَ يَبْلى ، وَالْعَمَلَ يَبْقى ، وَالدَّيَّانُ </w:t>
      </w:r>
      <w:r w:rsidRPr="00A91B96">
        <w:rPr>
          <w:rStyle w:val="libFootnotenumChar"/>
          <w:rtl/>
        </w:rPr>
        <w:t>(4)</w:t>
      </w:r>
      <w:r w:rsidRPr="00020424">
        <w:rPr>
          <w:rtl/>
          <w:lang w:bidi="fa-IR"/>
        </w:rPr>
        <w:t xml:space="preserve"> حَيٌّ لَا يَمُوتُ ؛ يَا عَمَّارُ ، إِنَّهُ مَا قَدَّمْتَ فَلَنْ يَسْبِقَكَ ، وَمَا أَخَّرْتَ فَلَنْ يَلْحَقَكَ</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3314D">
        <w:rPr>
          <w:rtl/>
        </w:rPr>
        <w:t>6102</w:t>
      </w:r>
      <w:r w:rsidRPr="001155DE">
        <w:rPr>
          <w:rStyle w:val="libBold2Char"/>
          <w:rtl/>
        </w:rPr>
        <w:t xml:space="preserve"> / 8.</w:t>
      </w:r>
      <w:r w:rsidRPr="00020424">
        <w:rPr>
          <w:rtl/>
          <w:lang w:bidi="fa-IR"/>
        </w:rPr>
        <w:t xml:space="preserve"> مُحَمَّدُ بْنُ يَحْيى ، عَنْ أَحْمَدَ بْنِ مُحَمَّدِ بْنِ عِيسى ، عَنِ الْحَسَنِ بْنِ مَحْبُوبٍ ، عَنْ جَمِيلِ بْنِ دَرَّاجٍ ، عَنْ حَدِيدِ بْنِ حَكِيمٍ أَوْ مُرَازِمٍ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أَيُّمَا مُؤْمِنٍ أَوْصَلَ </w:t>
      </w:r>
      <w:r w:rsidRPr="00A91B96">
        <w:rPr>
          <w:rStyle w:val="libFootnotenumChar"/>
          <w:rtl/>
        </w:rPr>
        <w:t>(6)</w:t>
      </w:r>
      <w:r w:rsidRPr="00020424">
        <w:rPr>
          <w:rtl/>
          <w:lang w:bidi="fa-IR"/>
        </w:rPr>
        <w:t xml:space="preserve"> إِلى أَخِيهِ الْمُؤْمِنِ مَعْرُوفاً ، فَقَدْ أَوْصَلَ ذلِكَ إِلى رَسُولِ اللهِ </w:t>
      </w:r>
      <w:r w:rsidR="00B42914" w:rsidRPr="00B42914">
        <w:rPr>
          <w:rStyle w:val="libAlaemChar"/>
          <w:rtl/>
        </w:rPr>
        <w:t>صلى‌الله‌عليه‌وآله‌</w:t>
      </w:r>
      <w:r w:rsidRPr="00020424">
        <w:rPr>
          <w:rtl/>
          <w:lang w:bidi="fa-IR"/>
        </w:rPr>
        <w:t xml:space="preserve">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3314D">
        <w:rPr>
          <w:rtl/>
        </w:rPr>
        <w:t>6103</w:t>
      </w:r>
      <w:r w:rsidRPr="001155DE">
        <w:rPr>
          <w:rStyle w:val="libBold2Char"/>
          <w:rtl/>
        </w:rPr>
        <w:t xml:space="preserve"> / 9.</w:t>
      </w:r>
      <w:r w:rsidRPr="00020424">
        <w:rPr>
          <w:rtl/>
          <w:lang w:bidi="fa-IR"/>
        </w:rPr>
        <w:t xml:space="preserve"> عَلِيُّ بْنُ إِبْرَاهِيمَ ، عَنْ أَبِيهِ ، عَنِ ابْنِ أَبِي عُمَيْرٍ ، عَنْ مُعَاوِيَةَ بْنِ عَمَّارٍ ، قَالَ :</w:t>
      </w:r>
    </w:p>
    <w:p w:rsidR="0099266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اصْنَعُوا </w:t>
      </w:r>
      <w:r w:rsidRPr="00A91B96">
        <w:rPr>
          <w:rStyle w:val="libFootnotenumChar"/>
          <w:rtl/>
        </w:rPr>
        <w:t>(9)</w:t>
      </w:r>
      <w:r w:rsidRPr="00020424">
        <w:rPr>
          <w:rtl/>
          <w:lang w:bidi="fa-IR"/>
        </w:rPr>
        <w:t xml:space="preserve"> الْمَعْرُوفَ إِلى كُلِّ أَحَدٍ ، فَإِنْ كَانَ أَهْلَهُ ، وَإِل</w:t>
      </w:r>
      <w:r w:rsidR="007062B0">
        <w:rPr>
          <w:rFonts w:hint="cs"/>
          <w:rtl/>
          <w:lang w:bidi="fa-IR"/>
        </w:rPr>
        <w:t>َّ</w:t>
      </w:r>
      <w:r w:rsidRPr="00020424">
        <w:rPr>
          <w:rtl/>
          <w:lang w:bidi="fa-IR"/>
        </w:rPr>
        <w:t xml:space="preserve">ا فَأَنْتَ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w:t>
      </w:r>
      <w:r w:rsidR="00992664" w:rsidRPr="00515444">
        <w:rPr>
          <w:rStyle w:val="libFootnoteBoldChar"/>
          <w:rtl/>
        </w:rPr>
        <w:t>والوافي</w:t>
      </w:r>
      <w:r w:rsidR="00992664" w:rsidRPr="00020424">
        <w:rPr>
          <w:rtl/>
        </w:rPr>
        <w:t xml:space="preserve"> والكافي ، ح 5735 </w:t>
      </w:r>
      <w:r w:rsidR="00992664" w:rsidRPr="00FD6221">
        <w:rPr>
          <w:rStyle w:val="libFootnoteBoldChar"/>
          <w:rtl/>
        </w:rPr>
        <w:t>والفقيه</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والكافي ، ح 5735 </w:t>
      </w:r>
      <w:r w:rsidR="00992664" w:rsidRPr="00FD6221">
        <w:rPr>
          <w:rStyle w:val="libFootnoteBoldChar"/>
          <w:rtl/>
        </w:rPr>
        <w:t>والفقيه</w:t>
      </w:r>
      <w:r w:rsidR="00992664" w:rsidRPr="00020424">
        <w:rPr>
          <w:rtl/>
        </w:rPr>
        <w:t xml:space="preserve"> : + « الحقّ</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الكافي ، ح 5735 : « وتصل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في أسماء الله تعالى : الديّان ، قيل : هو القهّار ، وقيل : هو الحاكم والقاضي ، وهو فعّال ؛ من دان‌الناس ، أي قهرهم على الطاعة ، يقال : دِنْتُهم فدانوا ، أي قهرتهم فأطاعوا</w:t>
      </w:r>
      <w:r w:rsidR="00992664">
        <w:rPr>
          <w:rtl/>
        </w:rPr>
        <w:t xml:space="preserve"> ».</w:t>
      </w:r>
      <w:r w:rsidR="00992664" w:rsidRPr="00020424">
        <w:rPr>
          <w:rtl/>
        </w:rPr>
        <w:t xml:space="preserve"> </w:t>
      </w:r>
      <w:r w:rsidR="00992664" w:rsidRPr="0012008A">
        <w:rPr>
          <w:rStyle w:val="libFootnoteBoldChar"/>
          <w:rtl/>
        </w:rPr>
        <w:t>النهاية</w:t>
      </w:r>
      <w:r w:rsidR="00A90FD5">
        <w:rPr>
          <w:rtl/>
        </w:rPr>
        <w:t xml:space="preserve"> ، ج 2 ، ص 148 (دين</w:t>
      </w:r>
      <w:r w:rsidR="00992664" w:rsidRPr="00020424">
        <w:rPr>
          <w:rtl/>
        </w:rPr>
        <w:t>)</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الكافي</w:t>
      </w:r>
      <w:r w:rsidR="00992664" w:rsidRPr="00020424">
        <w:rPr>
          <w:rtl/>
        </w:rPr>
        <w:t xml:space="preserve"> ، كتاب الزكاة ، باب فرض الزكاة وما يجب في المال من الحقوق ، ح 5735. وفي </w:t>
      </w:r>
      <w:r w:rsidR="00992664" w:rsidRPr="0012008A">
        <w:rPr>
          <w:rStyle w:val="libFootnoteBoldChar"/>
          <w:rtl/>
        </w:rPr>
        <w:t>الفقيه</w:t>
      </w:r>
      <w:r w:rsidR="00992664" w:rsidRPr="00020424">
        <w:rPr>
          <w:rtl/>
        </w:rPr>
        <w:t xml:space="preserve"> ، ج 2 ، ص 7 ، ح 1578 ، مرسلاً </w:t>
      </w:r>
      <w:r w:rsidR="00811ED3">
        <w:rPr>
          <w:rFonts w:hint="cs"/>
          <w:rtl/>
        </w:rPr>
        <w:t>.</w:t>
      </w:r>
      <w:r w:rsidR="00992664" w:rsidRPr="0012008A">
        <w:rPr>
          <w:rStyle w:val="libFootnoteBoldChar"/>
          <w:rtl/>
        </w:rPr>
        <w:t>الوافي</w:t>
      </w:r>
      <w:r w:rsidR="00992664" w:rsidRPr="00020424">
        <w:rPr>
          <w:rtl/>
        </w:rPr>
        <w:t xml:space="preserve"> ، ج 10 ، ص 378 ، ح 9720 ؛ </w:t>
      </w:r>
      <w:r w:rsidR="00992664" w:rsidRPr="0012008A">
        <w:rPr>
          <w:rStyle w:val="libFootnoteBoldChar"/>
          <w:rtl/>
        </w:rPr>
        <w:t>الوسائل</w:t>
      </w:r>
      <w:r w:rsidR="00992664" w:rsidRPr="00020424">
        <w:rPr>
          <w:rtl/>
        </w:rPr>
        <w:t xml:space="preserve"> ، ج 9 ، ص 50 ، ذيل ح 11495.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واصل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وذلك لسروره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بذلك المعروف عند عرض الأعمال عليه كسرور ذلك المؤمن ، ولأنّه طاعة لله‌ولرسوله ، فهو معروف بالإضافة إليهما أيضاً</w:t>
      </w:r>
      <w:r w:rsidR="00992664">
        <w:rPr>
          <w:rtl/>
        </w:rPr>
        <w:t xml:space="preserve"> ».</w:t>
      </w:r>
    </w:p>
    <w:p w:rsidR="00992664" w:rsidRPr="00020424" w:rsidRDefault="00795177" w:rsidP="00811ED3">
      <w:pPr>
        <w:pStyle w:val="libFootnote0"/>
        <w:rPr>
          <w:rtl/>
          <w:lang w:bidi="fa-IR"/>
        </w:rPr>
      </w:pPr>
      <w:r>
        <w:rPr>
          <w:rtl/>
        </w:rPr>
        <w:t>(8).</w:t>
      </w:r>
      <w:r w:rsidR="0014403D">
        <w:rPr>
          <w:rtl/>
        </w:rPr>
        <w:t xml:space="preserve"> </w:t>
      </w:r>
      <w:r w:rsidR="00992664" w:rsidRPr="0012008A">
        <w:rPr>
          <w:rStyle w:val="libFootnoteBoldChar"/>
          <w:rtl/>
        </w:rPr>
        <w:t>ثواب الأعمال</w:t>
      </w:r>
      <w:r w:rsidR="00992664" w:rsidRPr="00020424">
        <w:rPr>
          <w:rtl/>
        </w:rPr>
        <w:t xml:space="preserve"> ، ص 203 ، ح 1 ، بسنده عن أحمد بن محمّد ، عن الحسن بن محبوب ، عن جميل ، عن حديد أو مرازم. وفي </w:t>
      </w:r>
      <w:r w:rsidR="00992664" w:rsidRPr="0012008A">
        <w:rPr>
          <w:rStyle w:val="libFootnoteBoldChar"/>
          <w:rtl/>
        </w:rPr>
        <w:t>الفقيه</w:t>
      </w:r>
      <w:r w:rsidR="00992664" w:rsidRPr="00020424">
        <w:rPr>
          <w:rtl/>
        </w:rPr>
        <w:t xml:space="preserve"> ، ج 2 ، ص 55 ، ح 1684 ؛ </w:t>
      </w:r>
      <w:r w:rsidR="00992664" w:rsidRPr="00666432">
        <w:rPr>
          <w:rStyle w:val="libFootnoteBoldChar"/>
          <w:rtl/>
        </w:rPr>
        <w:t>والاختصاص</w:t>
      </w:r>
      <w:r w:rsidR="00992664" w:rsidRPr="00DE76B9">
        <w:rPr>
          <w:rStyle w:val="libFootnoteBoldChar"/>
          <w:rtl/>
        </w:rPr>
        <w:t xml:space="preserve"> </w:t>
      </w:r>
      <w:r w:rsidR="00992664" w:rsidRPr="00020424">
        <w:rPr>
          <w:rtl/>
        </w:rPr>
        <w:t xml:space="preserve">، ص 32 ، مرسلاً من دون التصريح باسم المعصوم </w:t>
      </w:r>
      <w:r w:rsidR="00992664" w:rsidRPr="00D64ADA">
        <w:rPr>
          <w:rStyle w:val="libFootnoteAlaemChar"/>
          <w:rtl/>
        </w:rPr>
        <w:t>عليه‌السلام</w:t>
      </w:r>
      <w:r w:rsidR="00992664" w:rsidRPr="00020424">
        <w:rPr>
          <w:rtl/>
        </w:rPr>
        <w:t xml:space="preserve"> </w:t>
      </w:r>
      <w:r w:rsidR="00811ED3">
        <w:rPr>
          <w:rFonts w:hint="cs"/>
          <w:rtl/>
        </w:rPr>
        <w:t>.</w:t>
      </w:r>
      <w:r w:rsidR="00992664" w:rsidRPr="0012008A">
        <w:rPr>
          <w:rStyle w:val="libFootnoteBoldChar"/>
          <w:rtl/>
        </w:rPr>
        <w:t>الوافي</w:t>
      </w:r>
      <w:r w:rsidR="00992664" w:rsidRPr="00020424">
        <w:rPr>
          <w:rtl/>
        </w:rPr>
        <w:t xml:space="preserve"> ، ج 10 ، ص 454 ، ح 9877 ؛ </w:t>
      </w:r>
      <w:r w:rsidR="00992664" w:rsidRPr="0012008A">
        <w:rPr>
          <w:rStyle w:val="libFootnoteBoldChar"/>
          <w:rtl/>
        </w:rPr>
        <w:t>الوسائل</w:t>
      </w:r>
      <w:r w:rsidR="00992664" w:rsidRPr="00020424">
        <w:rPr>
          <w:rtl/>
        </w:rPr>
        <w:t xml:space="preserve"> ، ج 16 ، ص 290 ، ذيل ح 21571 ؛ وص 296 ، ح 21591.</w:t>
      </w:r>
      <w:r w:rsidR="00811ED3">
        <w:rPr>
          <w:rFonts w:hint="cs"/>
          <w:rtl/>
        </w:rPr>
        <w:t xml:space="preserve">                                            </w:t>
      </w: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اصنع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 + « 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أَهْلُهُ</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63314D">
        <w:rPr>
          <w:rtl/>
        </w:rPr>
        <w:t>6104</w:t>
      </w:r>
      <w:r w:rsidRPr="001155DE">
        <w:rPr>
          <w:rStyle w:val="libBold2Char"/>
          <w:rtl/>
        </w:rPr>
        <w:t xml:space="preserve"> / 10.</w:t>
      </w:r>
      <w:r w:rsidRPr="00020424">
        <w:rPr>
          <w:rtl/>
          <w:lang w:bidi="fa-IR"/>
        </w:rPr>
        <w:t xml:space="preserve"> عَلِيُّ بْنُ إِبْرَاهِيمَ </w:t>
      </w:r>
      <w:r w:rsidRPr="00A91B96">
        <w:rPr>
          <w:rStyle w:val="libFootnotenumChar"/>
          <w:rtl/>
        </w:rPr>
        <w:t>(2)</w:t>
      </w:r>
      <w:r w:rsidRPr="00020424">
        <w:rPr>
          <w:rtl/>
          <w:lang w:bidi="fa-IR"/>
        </w:rPr>
        <w:t xml:space="preserve"> ، عَنْ أَبِيهِ ، عَنِ الْحَسَنِ بْنِ مَحْبُوبٍ ، عَنْ هِشَامِ بْنِ سَالِمٍ ، عَنْ أَبِي بَصِيرٍ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أَعْرَابِيّاً مِنْ بَنِي تَمِيمٍ أَتَى </w:t>
      </w:r>
      <w:r w:rsidRPr="00A91B96">
        <w:rPr>
          <w:rStyle w:val="libFootnotenumChar"/>
          <w:rtl/>
        </w:rPr>
        <w:t>(3)</w:t>
      </w:r>
      <w:r w:rsidRPr="00020424">
        <w:rPr>
          <w:rtl/>
          <w:lang w:bidi="fa-IR"/>
        </w:rPr>
        <w:t xml:space="preserve"> النَّبِيَّ </w:t>
      </w:r>
      <w:r w:rsidR="00B42914" w:rsidRPr="00B42914">
        <w:rPr>
          <w:rStyle w:val="libAlaemChar"/>
          <w:rtl/>
        </w:rPr>
        <w:t>صلى‌الله‌عليه‌وآله‌</w:t>
      </w:r>
      <w:r w:rsidRPr="00020424">
        <w:rPr>
          <w:rtl/>
          <w:lang w:bidi="fa-IR"/>
        </w:rPr>
        <w:t xml:space="preserve"> ، فَقَالَ : أَوْصِنِي ، فَكَانَ فِيمَا أَوْصَاهُ </w:t>
      </w:r>
      <w:r w:rsidRPr="00A91B96">
        <w:rPr>
          <w:rStyle w:val="libFootnotenumChar"/>
          <w:rtl/>
        </w:rPr>
        <w:t>(4)</w:t>
      </w:r>
      <w:r w:rsidRPr="00020424">
        <w:rPr>
          <w:rtl/>
          <w:lang w:bidi="fa-IR"/>
        </w:rPr>
        <w:t xml:space="preserve"> بِهِ </w:t>
      </w:r>
      <w:r w:rsidRPr="00A91B96">
        <w:rPr>
          <w:rStyle w:val="libFootnotenumChar"/>
          <w:rtl/>
        </w:rPr>
        <w:t>(5)</w:t>
      </w:r>
      <w:r w:rsidRPr="00020424">
        <w:rPr>
          <w:rtl/>
          <w:lang w:bidi="fa-IR"/>
        </w:rPr>
        <w:t xml:space="preserve"> أَنْ قَالَ : يَا فُلَانُ </w:t>
      </w:r>
      <w:r w:rsidRPr="00A91B96">
        <w:rPr>
          <w:rStyle w:val="libFootnotenumChar"/>
          <w:rtl/>
        </w:rPr>
        <w:t>(6)</w:t>
      </w:r>
      <w:r w:rsidRPr="00020424">
        <w:rPr>
          <w:rtl/>
          <w:lang w:bidi="fa-IR"/>
        </w:rPr>
        <w:t xml:space="preserve"> ، لَاتَزْهَدَنَّ </w:t>
      </w:r>
      <w:r w:rsidRPr="00A91B96">
        <w:rPr>
          <w:rStyle w:val="libFootnotenumChar"/>
          <w:rtl/>
        </w:rPr>
        <w:t>(7)</w:t>
      </w:r>
      <w:r w:rsidRPr="00020424">
        <w:rPr>
          <w:rtl/>
          <w:lang w:bidi="fa-IR"/>
        </w:rPr>
        <w:t xml:space="preserve"> فِي الْمَعْرُوفِ عِنْدَ أَهْلِهِ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3314D">
        <w:rPr>
          <w:rtl/>
        </w:rPr>
        <w:t>6105</w:t>
      </w:r>
      <w:r w:rsidRPr="001155DE">
        <w:rPr>
          <w:rStyle w:val="libBold2Char"/>
          <w:rtl/>
        </w:rPr>
        <w:t xml:space="preserve"> / 11.</w:t>
      </w:r>
      <w:r w:rsidRPr="00020424">
        <w:rPr>
          <w:rtl/>
          <w:lang w:bidi="fa-IR"/>
        </w:rPr>
        <w:t xml:space="preserve"> أَبُو عَلِيٍّ الْأَشْعَرِيُّ ، عَنْ مُحَمَّدِ بْنِ عَبْدِ الْجَبَّارِ ، عَنْ صَفْوَانَ بْنِ يَحْيى </w:t>
      </w:r>
      <w:r w:rsidRPr="00A91B96">
        <w:rPr>
          <w:rStyle w:val="libFootnotenumChar"/>
          <w:rtl/>
        </w:rPr>
        <w:t>(9)</w:t>
      </w:r>
      <w:r w:rsidRPr="00020424">
        <w:rPr>
          <w:rtl/>
          <w:lang w:bidi="fa-IR"/>
        </w:rPr>
        <w:t xml:space="preserve"> ، عَنْ عَبْدِ اللهِ بْنِ الْوَلِيدِ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أَوَّلُ مَنْ يَدْخُلُ الْجَنَّةَ الْمَعْرُوفُ وَأَهْلُهُ ، وَأَوَّلُ مَنْ يَرِدُ عَلَيَّ الْحَوْضَ</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771720">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55 ، ح 1683 ، مرسلاً </w:t>
      </w:r>
      <w:r w:rsidR="00771720">
        <w:rPr>
          <w:rFonts w:hint="cs"/>
          <w:rtl/>
        </w:rPr>
        <w:t>.</w:t>
      </w:r>
      <w:r w:rsidR="00992664" w:rsidRPr="0012008A">
        <w:rPr>
          <w:rStyle w:val="libFootnoteBoldChar"/>
          <w:rtl/>
        </w:rPr>
        <w:t>الوافي</w:t>
      </w:r>
      <w:r w:rsidR="00992664" w:rsidRPr="00020424">
        <w:rPr>
          <w:rtl/>
        </w:rPr>
        <w:t xml:space="preserve"> ، ج 10 ، ص 449 ، ح 9860 ؛ </w:t>
      </w:r>
      <w:r w:rsidR="00992664" w:rsidRPr="0012008A">
        <w:rPr>
          <w:rStyle w:val="libFootnoteBoldChar"/>
          <w:rtl/>
        </w:rPr>
        <w:t>الوسائل</w:t>
      </w:r>
      <w:r w:rsidR="00992664" w:rsidRPr="00020424">
        <w:rPr>
          <w:rtl/>
        </w:rPr>
        <w:t xml:space="preserve"> ، ج 16 ، ص 294 ، ح 21583.</w:t>
      </w:r>
      <w:r w:rsidR="00771720">
        <w:rPr>
          <w:rFonts w:hint="cs"/>
          <w:rtl/>
        </w:rPr>
        <w:t xml:space="preserve">                                </w:t>
      </w:r>
      <w:r>
        <w:rPr>
          <w:rtl/>
        </w:rPr>
        <w:t>(2).</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71720" w:rsidTr="00771720">
        <w:tc>
          <w:tcPr>
            <w:tcW w:w="4006" w:type="dxa"/>
          </w:tcPr>
          <w:p w:rsidR="00771720" w:rsidRDefault="00771720" w:rsidP="00992664">
            <w:pPr>
              <w:pStyle w:val="libFootnote0"/>
              <w:rPr>
                <w:rtl/>
              </w:rPr>
            </w:pPr>
            <w:r>
              <w:rPr>
                <w:rtl/>
              </w:rPr>
              <w:t xml:space="preserve">(3). </w:t>
            </w:r>
            <w:r w:rsidRPr="00020424">
              <w:rPr>
                <w:rtl/>
              </w:rPr>
              <w:t>في « بح » : + « إلى</w:t>
            </w:r>
            <w:r>
              <w:rPr>
                <w:rtl/>
              </w:rPr>
              <w:t xml:space="preserve"> ».</w:t>
            </w:r>
          </w:p>
        </w:tc>
        <w:tc>
          <w:tcPr>
            <w:tcW w:w="4006" w:type="dxa"/>
          </w:tcPr>
          <w:p w:rsidR="00771720" w:rsidRDefault="00771720" w:rsidP="00992664">
            <w:pPr>
              <w:pStyle w:val="libFootnote0"/>
              <w:rPr>
                <w:rtl/>
              </w:rPr>
            </w:pPr>
            <w:r>
              <w:rPr>
                <w:rtl/>
              </w:rPr>
              <w:t xml:space="preserve">(4). </w:t>
            </w:r>
            <w:r w:rsidRPr="00020424">
              <w:rPr>
                <w:rtl/>
              </w:rPr>
              <w:t xml:space="preserve">في </w:t>
            </w:r>
            <w:r w:rsidRPr="0012008A">
              <w:rPr>
                <w:rStyle w:val="libFootnoteBoldChar"/>
                <w:rtl/>
              </w:rPr>
              <w:t>الوسائل</w:t>
            </w:r>
            <w:r w:rsidRPr="00020424">
              <w:rPr>
                <w:rtl/>
              </w:rPr>
              <w:t xml:space="preserve"> : « أوصى</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فلاناً » بدل « قال : يا فلان</w:t>
      </w:r>
      <w:r w:rsidR="00992664">
        <w:rPr>
          <w:rtl/>
        </w:rPr>
        <w:t xml:space="preserve"> ».</w:t>
      </w:r>
      <w:r w:rsidR="00992664" w:rsidRPr="00020424">
        <w:rPr>
          <w:rtl/>
        </w:rPr>
        <w:t xml:space="preserve"> وفي « بخ ، بر ، بف ، بك » :</w:t>
      </w:r>
      <w:r w:rsidR="00992664">
        <w:rPr>
          <w:rtl/>
        </w:rPr>
        <w:t xml:space="preserve"> </w:t>
      </w:r>
      <w:r w:rsidR="009B673F">
        <w:rPr>
          <w:rtl/>
        </w:rPr>
        <w:t>-</w:t>
      </w:r>
      <w:r w:rsidR="00992664">
        <w:rPr>
          <w:rtl/>
        </w:rPr>
        <w:t xml:space="preserve"> </w:t>
      </w:r>
      <w:r w:rsidR="00992664" w:rsidRPr="00020424">
        <w:rPr>
          <w:rtl/>
        </w:rPr>
        <w:t>« يا فلان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بخ ، بر ، بف » : « لا تزهد</w:t>
      </w:r>
      <w:r w:rsidR="00992664">
        <w:rPr>
          <w:rtl/>
        </w:rPr>
        <w:t xml:space="preserve"> ».</w:t>
      </w:r>
    </w:p>
    <w:p w:rsidR="00992664" w:rsidRPr="00020424" w:rsidRDefault="00795177" w:rsidP="00651A6D">
      <w:pPr>
        <w:pStyle w:val="libFootnote0"/>
        <w:rPr>
          <w:rtl/>
          <w:lang w:bidi="fa-IR"/>
        </w:rPr>
      </w:pPr>
      <w:r>
        <w:rPr>
          <w:rtl/>
        </w:rPr>
        <w:t>(8).</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الإيمان والكفر ، باب حسن البشر ، ح 1765 ؛ وباب السباب ، ح 2770 ؛ وكتاب العشرة ، باب التحبّب إلى الناس والتودّد إليهم ، ح 3625 </w:t>
      </w:r>
      <w:r w:rsidR="00651A6D">
        <w:rPr>
          <w:rFonts w:hint="cs"/>
          <w:rtl/>
        </w:rPr>
        <w:t>.</w:t>
      </w:r>
      <w:r w:rsidR="00992664" w:rsidRPr="0012008A">
        <w:rPr>
          <w:rStyle w:val="libFootnoteBoldChar"/>
          <w:rtl/>
        </w:rPr>
        <w:t>الوافي</w:t>
      </w:r>
      <w:r w:rsidR="00992664" w:rsidRPr="00020424">
        <w:rPr>
          <w:rtl/>
        </w:rPr>
        <w:t xml:space="preserve"> ، ج 10 ، ص 450 ، ح 9862 ؛ </w:t>
      </w:r>
      <w:r w:rsidR="00992664" w:rsidRPr="0012008A">
        <w:rPr>
          <w:rStyle w:val="libFootnoteBoldChar"/>
          <w:rtl/>
        </w:rPr>
        <w:t>الوسائل</w:t>
      </w:r>
      <w:r w:rsidR="00992664" w:rsidRPr="00020424">
        <w:rPr>
          <w:rtl/>
        </w:rPr>
        <w:t xml:space="preserve"> ، ج 16 ، ص 297 ، ح 21592.</w:t>
      </w:r>
      <w:r w:rsidR="00651A6D">
        <w:rPr>
          <w:rFonts w:hint="cs"/>
          <w:rtl/>
        </w:rPr>
        <w:t xml:space="preserve">                        </w:t>
      </w: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الزهد</w:t>
      </w:r>
      <w:r w:rsidR="00992664" w:rsidRPr="00020424">
        <w:rPr>
          <w:rtl/>
        </w:rPr>
        <w:t xml:space="preserve"> ، ص 95 ، ضمن ح 79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254 ، المجلس 44 ، ضمن ح 5 ، بسند آخر عن عبدالله بن الوليد الوصّافي ، عن أبي جعفر الباقر </w:t>
      </w:r>
      <w:r w:rsidR="00992664" w:rsidRPr="00D64ADA">
        <w:rPr>
          <w:rStyle w:val="libFootnoteAlaemChar"/>
          <w:rtl/>
        </w:rPr>
        <w:t>عليه‌السلام</w:t>
      </w:r>
      <w:r w:rsidR="00992664" w:rsidRPr="00020424">
        <w:rPr>
          <w:rtl/>
        </w:rPr>
        <w:t xml:space="preserve"> ، من دون الإسناد إلى النبيّ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 </w:t>
      </w:r>
      <w:r w:rsidR="00992664" w:rsidRPr="00757F3F">
        <w:rPr>
          <w:rStyle w:val="libFootnoteBoldChar"/>
          <w:rtl/>
        </w:rPr>
        <w:t>الأمالي للطوسي</w:t>
      </w:r>
      <w:r w:rsidR="00992664" w:rsidRPr="00020424">
        <w:rPr>
          <w:rtl/>
        </w:rPr>
        <w:t xml:space="preserve"> ، ص 603 ، المجلس 27 ، ذيل ح 6 ، بسنده عن عبيدالله بن الوليد الوصّافي ، عن أبي جعفر </w:t>
      </w:r>
      <w:r w:rsidR="00992664" w:rsidRPr="00D64ADA">
        <w:rPr>
          <w:rStyle w:val="libFootnoteAlaemChar"/>
          <w:rtl/>
        </w:rPr>
        <w:t>عليه‌السلام</w:t>
      </w:r>
      <w:r w:rsidR="00992664" w:rsidRPr="00020424">
        <w:rPr>
          <w:rtl/>
        </w:rPr>
        <w:t xml:space="preserve"> ، عن ا</w:t>
      </w:r>
      <w:r w:rsidR="00291C8C">
        <w:rPr>
          <w:rFonts w:hint="cs"/>
          <w:rtl/>
        </w:rPr>
        <w:t>ُ</w:t>
      </w:r>
      <w:r w:rsidR="00992664" w:rsidRPr="00020424">
        <w:rPr>
          <w:rtl/>
        </w:rPr>
        <w:t xml:space="preserve">مّ سلمة ، عن رسول الله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 وفي كلّها مع اختلاف يسير. </w:t>
      </w:r>
      <w:r w:rsidR="00992664" w:rsidRPr="00DE76B9">
        <w:rPr>
          <w:rStyle w:val="libFootnoteBoldChar"/>
          <w:rtl/>
        </w:rPr>
        <w:t>الجعفريّات</w:t>
      </w:r>
      <w:r w:rsidR="00992664" w:rsidRPr="00020424">
        <w:rPr>
          <w:rtl/>
        </w:rPr>
        <w:t xml:space="preserve"> ، ص 512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w:t>
      </w:r>
      <w:r w:rsidR="00992664" w:rsidRPr="00DE76B9">
        <w:rPr>
          <w:rStyle w:val="libFootnoteBoldChar"/>
          <w:rtl/>
        </w:rPr>
        <w:t>تحف العقول</w:t>
      </w:r>
      <w:r w:rsidR="00992664" w:rsidRPr="00020424">
        <w:rPr>
          <w:rtl/>
        </w:rPr>
        <w:t xml:space="preserve"> ، ص 56 ، عن النبيّ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 وفي كلّ المصادر إلى قوله : « المعروف وأهله</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54 ، ح 1680 ، مرسلاً عن النبيّ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w:t>
      </w:r>
      <w:r w:rsidR="00291C8C">
        <w:rPr>
          <w:rFonts w:hint="cs"/>
          <w:rtl/>
        </w:rPr>
        <w:t>.</w:t>
      </w:r>
      <w:r w:rsidR="00992664" w:rsidRPr="0012008A">
        <w:rPr>
          <w:rStyle w:val="libFootnoteBoldChar"/>
          <w:rtl/>
        </w:rPr>
        <w:t>الوافي</w:t>
      </w:r>
      <w:r w:rsidR="00992664" w:rsidRPr="00020424">
        <w:rPr>
          <w:rtl/>
        </w:rPr>
        <w:t xml:space="preserve"> ، ج 10 ، ص 451 ، ح 9864 ؛ </w:t>
      </w:r>
      <w:r w:rsidR="00992664" w:rsidRPr="0012008A">
        <w:rPr>
          <w:rStyle w:val="libFootnoteBoldChar"/>
          <w:rtl/>
        </w:rPr>
        <w:t>الوسائل</w:t>
      </w:r>
      <w:r w:rsidR="00992664" w:rsidRPr="00020424">
        <w:rPr>
          <w:rtl/>
        </w:rPr>
        <w:t xml:space="preserve"> ، ج 16 ، ص 303 ، ح 21606.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3314D">
        <w:rPr>
          <w:rtl/>
        </w:rPr>
        <w:t>6106</w:t>
      </w:r>
      <w:r w:rsidRPr="001155DE">
        <w:rPr>
          <w:rStyle w:val="libBold2Char"/>
          <w:rtl/>
        </w:rPr>
        <w:t xml:space="preserve"> / 12.</w:t>
      </w:r>
      <w:r w:rsidRPr="00020424">
        <w:rPr>
          <w:rtl/>
          <w:lang w:bidi="fa-IR"/>
        </w:rPr>
        <w:t xml:space="preserve"> عِدَّةٌ مِنْ أَصْحَابِنَا ، عَنْ أَحْمَدَ بْنِ مُحَمَّدِ بْنِ خَالِدٍ ، عَنْ إِسْمَاعِيلَ بْنِ مِهْرَانَ ، عَنْ سَيْفِ بْنِ عَمِيرَةَ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أَجِيزُوا </w:t>
      </w:r>
      <w:r w:rsidRPr="00A91B96">
        <w:rPr>
          <w:rStyle w:val="libFootnotenumChar"/>
          <w:rtl/>
        </w:rPr>
        <w:t>(1)</w:t>
      </w:r>
      <w:r w:rsidRPr="00020424">
        <w:rPr>
          <w:rtl/>
          <w:lang w:bidi="fa-IR"/>
        </w:rPr>
        <w:t xml:space="preserve"> لِأَهْلِ الْمَعْرُوفِ عَثَرَاتِهِمْ ، وَاغْفِرُوهَا </w:t>
      </w:r>
      <w:r w:rsidRPr="00A91B96">
        <w:rPr>
          <w:rStyle w:val="libFootnotenumChar"/>
          <w:rtl/>
        </w:rPr>
        <w:t>(2)</w:t>
      </w:r>
      <w:r w:rsidRPr="00020424">
        <w:rPr>
          <w:rtl/>
          <w:lang w:bidi="fa-IR"/>
        </w:rPr>
        <w:t xml:space="preserve"> لَهُمْ ؛ فَإِنَّ كَفَّ اللهِ تَعَالى عَلَيْهِمْ هكَذَا » وَأَوْمَأَ بِيَدِهِ كَأَنَّهُ يُظِلُّ </w:t>
      </w:r>
      <w:r w:rsidRPr="00A91B96">
        <w:rPr>
          <w:rStyle w:val="libFootnotenumChar"/>
          <w:rtl/>
        </w:rPr>
        <w:t>(3)</w:t>
      </w:r>
      <w:r w:rsidRPr="00020424">
        <w:rPr>
          <w:rtl/>
          <w:lang w:bidi="fa-IR"/>
        </w:rPr>
        <w:t xml:space="preserve"> بِهَا شَيْئاً.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223" w:name="_Toc345172791"/>
      <w:bookmarkStart w:id="224" w:name="_Toc464562607"/>
      <w:bookmarkStart w:id="225" w:name="_Toc44599910"/>
      <w:r w:rsidRPr="00020424">
        <w:rPr>
          <w:rtl/>
          <w:lang w:bidi="fa-IR"/>
        </w:rPr>
        <w:t>69</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(5)</w:t>
      </w:r>
      <w:r>
        <w:rPr>
          <w:rtl/>
        </w:rPr>
        <w:t xml:space="preserve"> </w:t>
      </w:r>
      <w:r w:rsidRPr="00020424">
        <w:rPr>
          <w:rtl/>
          <w:lang w:bidi="fa-IR"/>
        </w:rPr>
        <w:t>مِنْهُ‌</w:t>
      </w:r>
      <w:bookmarkEnd w:id="223"/>
      <w:bookmarkEnd w:id="224"/>
      <w:bookmarkEnd w:id="225"/>
    </w:p>
    <w:p w:rsidR="00992664" w:rsidRPr="00020424" w:rsidRDefault="00992664" w:rsidP="00992664">
      <w:pPr>
        <w:pStyle w:val="libNormal"/>
        <w:rPr>
          <w:rtl/>
          <w:lang w:bidi="fa-IR"/>
        </w:rPr>
      </w:pPr>
      <w:r w:rsidRPr="0063314D">
        <w:rPr>
          <w:rtl/>
        </w:rPr>
        <w:t>6107</w:t>
      </w:r>
      <w:r w:rsidRPr="001155DE">
        <w:rPr>
          <w:rStyle w:val="libBold2Char"/>
          <w:rtl/>
        </w:rPr>
        <w:t xml:space="preserve"> / 1.</w:t>
      </w:r>
      <w:r w:rsidRPr="00020424">
        <w:rPr>
          <w:rtl/>
          <w:lang w:bidi="fa-IR"/>
        </w:rPr>
        <w:t xml:space="preserve"> عِدَّةٌ مِنْ أَصْحَابِنَا ، عَنْ سَهْلِ بْنِ زِيَادٍ ، عَنْ عَبْدِ اللهِ الدِّهْقَانِ </w:t>
      </w:r>
      <w:r w:rsidRPr="00A91B96">
        <w:rPr>
          <w:rStyle w:val="libFootnotenumChar"/>
          <w:rtl/>
        </w:rPr>
        <w:t>(6)</w:t>
      </w:r>
      <w:r w:rsidRPr="00020424">
        <w:rPr>
          <w:rtl/>
          <w:lang w:bidi="fa-IR"/>
        </w:rPr>
        <w:t xml:space="preserve"> ، عَنْ دُرُسْتَ بْنِ أَبِي مَنْصُورٍ ، عَنْ عُمَرَ </w:t>
      </w:r>
      <w:r w:rsidRPr="00A91B96">
        <w:rPr>
          <w:rStyle w:val="libFootnotenumChar"/>
          <w:rtl/>
        </w:rPr>
        <w:t>(7)</w:t>
      </w:r>
      <w:r w:rsidRPr="00020424">
        <w:rPr>
          <w:rtl/>
          <w:lang w:bidi="fa-IR"/>
        </w:rPr>
        <w:t xml:space="preserve"> بْنِ أُذَيْنَةَ ، عَنْ زُرَارَةَ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يَقُولُ :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بس ، بف ، بك » وحاشية « جن » </w:t>
      </w:r>
      <w:r w:rsidR="00992664" w:rsidRPr="00515444">
        <w:rPr>
          <w:rStyle w:val="libFootnoteBoldChar"/>
          <w:rtl/>
        </w:rPr>
        <w:t>والوافي</w:t>
      </w:r>
      <w:r w:rsidR="00992664" w:rsidRPr="00020424">
        <w:rPr>
          <w:rtl/>
        </w:rPr>
        <w:t xml:space="preserve"> : « أقيلوا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بك » : « واغفروا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يظلّل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453 ، ح 9870 ؛ </w:t>
      </w:r>
      <w:r w:rsidR="00992664" w:rsidRPr="0012008A">
        <w:rPr>
          <w:rStyle w:val="libFootnoteBoldChar"/>
          <w:rtl/>
        </w:rPr>
        <w:t>الوسائل</w:t>
      </w:r>
      <w:r w:rsidR="00992664" w:rsidRPr="00020424">
        <w:rPr>
          <w:rtl/>
        </w:rPr>
        <w:t xml:space="preserve"> ، ج 16 ، ص 303 ، ح 21607.</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 + « آخر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النسخ. وفي المطبوع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عبد الله بن الدهقان</w:t>
      </w:r>
      <w:r w:rsidR="00992664">
        <w:rPr>
          <w:rtl/>
        </w:rPr>
        <w:t xml:space="preserve"> ».</w:t>
      </w:r>
      <w:r w:rsidR="00992664" w:rsidRPr="00020424">
        <w:rPr>
          <w:rtl/>
        </w:rPr>
        <w:t xml:space="preserve"> لكن كلا النقلين محرّف ؛ فإنّ‌الدهقان الراوي عن دُرُست ، هو عبيد الله بن عبد الله الدهقان الذي روى عنه في عددٍ من الأسناد وبعناوينه المختلفة. راجع : </w:t>
      </w:r>
      <w:r w:rsidR="00992664" w:rsidRPr="00DE76B9">
        <w:rPr>
          <w:rStyle w:val="libFootnoteBoldChar"/>
          <w:rtl/>
        </w:rPr>
        <w:t>معجم رجال الحديث</w:t>
      </w:r>
      <w:r w:rsidR="00992664" w:rsidRPr="00020424">
        <w:rPr>
          <w:rtl/>
        </w:rPr>
        <w:t xml:space="preserve"> ، ج 11 ، ص 75</w:t>
      </w:r>
      <w:r w:rsidR="00992664">
        <w:rPr>
          <w:rtl/>
        </w:rPr>
        <w:t xml:space="preserve"> </w:t>
      </w:r>
      <w:r w:rsidR="009B673F">
        <w:rPr>
          <w:rtl/>
        </w:rPr>
        <w:t>-</w:t>
      </w:r>
      <w:r w:rsidR="00992664">
        <w:rPr>
          <w:rtl/>
        </w:rPr>
        <w:t xml:space="preserve"> </w:t>
      </w:r>
      <w:r w:rsidR="00992664" w:rsidRPr="00020424">
        <w:rPr>
          <w:rtl/>
        </w:rPr>
        <w:t>76 ، الرقم 7480</w:t>
      </w:r>
      <w:r w:rsidR="00992664">
        <w:rPr>
          <w:rtl/>
        </w:rPr>
        <w:t xml:space="preserve"> </w:t>
      </w:r>
      <w:r w:rsidR="009B673F">
        <w:rPr>
          <w:rtl/>
        </w:rPr>
        <w:t>-</w:t>
      </w:r>
      <w:r w:rsidR="00992664">
        <w:rPr>
          <w:rtl/>
        </w:rPr>
        <w:t xml:space="preserve"> </w:t>
      </w:r>
      <w:r w:rsidR="00992664" w:rsidRPr="00020424">
        <w:rPr>
          <w:rtl/>
        </w:rPr>
        <w:t>7481 ؛ وص 421</w:t>
      </w:r>
      <w:r w:rsidR="00992664">
        <w:rPr>
          <w:rtl/>
        </w:rPr>
        <w:t xml:space="preserve"> </w:t>
      </w:r>
      <w:r w:rsidR="009B673F">
        <w:rPr>
          <w:rtl/>
        </w:rPr>
        <w:t>-</w:t>
      </w:r>
      <w:r w:rsidR="00992664">
        <w:rPr>
          <w:rtl/>
        </w:rPr>
        <w:t xml:space="preserve"> </w:t>
      </w:r>
      <w:r w:rsidR="00992664" w:rsidRPr="00020424">
        <w:rPr>
          <w:rtl/>
        </w:rPr>
        <w:t>422.</w:t>
      </w:r>
    </w:p>
    <w:p w:rsidR="00992664" w:rsidRPr="00020424" w:rsidRDefault="00992664" w:rsidP="00291C8C">
      <w:pPr>
        <w:pStyle w:val="libFootnote0"/>
        <w:rPr>
          <w:rtl/>
          <w:lang w:bidi="fa-IR"/>
        </w:rPr>
      </w:pPr>
      <w:r w:rsidRPr="00291C8C">
        <w:rPr>
          <w:rtl/>
        </w:rPr>
        <w:t xml:space="preserve">ويؤيّد ذلك أنّ الخبر أورده الصدوق في </w:t>
      </w:r>
      <w:r w:rsidRPr="00A722B1">
        <w:rPr>
          <w:rStyle w:val="libFootnoteBoldChar"/>
          <w:rtl/>
        </w:rPr>
        <w:t>الخصال</w:t>
      </w:r>
      <w:r w:rsidRPr="00291C8C">
        <w:rPr>
          <w:rtl/>
        </w:rPr>
        <w:t xml:space="preserve"> ، ص 258 ، ح 132 ، بسنده عن أبي سعيد سهل بن زياد الآدمي ، قال : حدّثني جعفر بن بشّار الواسطي ، قال : حدّثنا عبيد الله بن عبد الله الدهقان ....</w:t>
      </w:r>
    </w:p>
    <w:p w:rsidR="00992664" w:rsidRPr="00020424" w:rsidRDefault="00992664" w:rsidP="00291C8C">
      <w:pPr>
        <w:pStyle w:val="libFootnote0"/>
        <w:rPr>
          <w:rtl/>
          <w:lang w:bidi="fa-IR"/>
        </w:rPr>
      </w:pPr>
      <w:r w:rsidRPr="00291C8C">
        <w:rPr>
          <w:rtl/>
        </w:rPr>
        <w:t xml:space="preserve">ثمّ إنّ سهل بن زياد روى عن عبيد الله الدهقان في بعض الأسناد مباشرة ، كما روى عنه في بعضها بالواسطة ، منها جعفر بن محمّد بن بشّار وجعفر بن محمّد بن بشير وجعفر بن بشّار الواسطي ، والمظنون اتّحاد الكلّ ووقوع التحريف في بعض العناوين. راجع : </w:t>
      </w:r>
      <w:r w:rsidRPr="00DE76B9">
        <w:rPr>
          <w:rStyle w:val="libFootnoteBoldChar"/>
          <w:rtl/>
        </w:rPr>
        <w:t>معجم رجال الحديث</w:t>
      </w:r>
      <w:r w:rsidRPr="00291C8C">
        <w:rPr>
          <w:rtl/>
        </w:rPr>
        <w:t xml:space="preserve"> ، ج 4 ، ص 105 ، الرقم 2251 </w:t>
      </w:r>
      <w:r w:rsidR="009B673F" w:rsidRPr="00291C8C">
        <w:rPr>
          <w:rtl/>
        </w:rPr>
        <w:t>-</w:t>
      </w:r>
      <w:r w:rsidRPr="00291C8C">
        <w:rPr>
          <w:rtl/>
        </w:rPr>
        <w:t xml:space="preserve"> 2252 ؛ وج 8 ، ص 516.</w:t>
      </w:r>
    </w:p>
    <w:p w:rsidR="00992664" w:rsidRPr="00020424" w:rsidRDefault="00992664" w:rsidP="00291C8C">
      <w:pPr>
        <w:pStyle w:val="libFootnote0"/>
        <w:rPr>
          <w:rtl/>
          <w:lang w:bidi="fa-IR"/>
        </w:rPr>
      </w:pPr>
      <w:r w:rsidRPr="00D82B22">
        <w:rPr>
          <w:rtl/>
        </w:rPr>
        <w:t>وعلى أيّ حال ، احتمال سقوط الواسطة في ما نحن فيه غير منفيّ.</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عمر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صَنَعَ بِمِثْلِ </w:t>
      </w:r>
      <w:r w:rsidRPr="00A91B96">
        <w:rPr>
          <w:rStyle w:val="libFootnotenumChar"/>
          <w:rtl/>
        </w:rPr>
        <w:t>(1)</w:t>
      </w:r>
      <w:r w:rsidRPr="00020424">
        <w:rPr>
          <w:rtl/>
          <w:lang w:bidi="fa-IR"/>
        </w:rPr>
        <w:t xml:space="preserve"> مَا صُنِعَ إِلَيْهِ ، فَإِنَّمَا </w:t>
      </w:r>
      <w:r w:rsidRPr="00A91B96">
        <w:rPr>
          <w:rStyle w:val="libFootnotenumChar"/>
          <w:rtl/>
        </w:rPr>
        <w:t>(2)</w:t>
      </w:r>
      <w:r w:rsidRPr="00020424">
        <w:rPr>
          <w:rtl/>
          <w:lang w:bidi="fa-IR"/>
        </w:rPr>
        <w:t xml:space="preserve"> كَافَأَهُ ، وَمَنْ أَضْعَفَهُ ، كَانَ شَكُوراً ، وَمَنْ شَكَرَ ، كَانَ كَرِيماً ، وَمَنْ عَلِمَ أَنَّ مَا صَنَعَ </w:t>
      </w:r>
      <w:r w:rsidRPr="00A91B96">
        <w:rPr>
          <w:rStyle w:val="libFootnotenumChar"/>
          <w:rtl/>
        </w:rPr>
        <w:t>(3)</w:t>
      </w:r>
      <w:r w:rsidRPr="00020424">
        <w:rPr>
          <w:rtl/>
          <w:lang w:bidi="fa-IR"/>
        </w:rPr>
        <w:t xml:space="preserve"> إِنَّمَا صَنَعَ </w:t>
      </w:r>
      <w:r w:rsidRPr="00A91B96">
        <w:rPr>
          <w:rStyle w:val="libFootnotenumChar"/>
          <w:rtl/>
        </w:rPr>
        <w:t>(4)</w:t>
      </w:r>
      <w:r w:rsidRPr="00020424">
        <w:rPr>
          <w:rtl/>
          <w:lang w:bidi="fa-IR"/>
        </w:rPr>
        <w:t xml:space="preserve"> إِلى نَفْسِهِ </w:t>
      </w:r>
      <w:r w:rsidRPr="00A91B96">
        <w:rPr>
          <w:rStyle w:val="libFootnotenumChar"/>
          <w:rtl/>
        </w:rPr>
        <w:t>(5)</w:t>
      </w:r>
      <w:r w:rsidRPr="00020424">
        <w:rPr>
          <w:rtl/>
          <w:lang w:bidi="fa-IR"/>
        </w:rPr>
        <w:t xml:space="preserve"> ، لَمْ يَسْتَبْطِ </w:t>
      </w:r>
      <w:r w:rsidRPr="00A91B96">
        <w:rPr>
          <w:rStyle w:val="libFootnotenumChar"/>
          <w:rtl/>
        </w:rPr>
        <w:t>(6)</w:t>
      </w:r>
      <w:r w:rsidRPr="00020424">
        <w:rPr>
          <w:rtl/>
          <w:lang w:bidi="fa-IR"/>
        </w:rPr>
        <w:t xml:space="preserve"> النَّاسَ فِي شُكْرِهِمْ </w:t>
      </w:r>
      <w:r w:rsidRPr="00A91B96">
        <w:rPr>
          <w:rStyle w:val="libFootnotenumChar"/>
          <w:rtl/>
        </w:rPr>
        <w:t>(7)</w:t>
      </w:r>
      <w:r w:rsidRPr="00020424">
        <w:rPr>
          <w:rtl/>
          <w:lang w:bidi="fa-IR"/>
        </w:rPr>
        <w:t xml:space="preserve"> ، وَلَمْ يَسْتَزِدْهُمْ </w:t>
      </w:r>
      <w:r w:rsidRPr="00A91B96">
        <w:rPr>
          <w:rStyle w:val="libFootnotenumChar"/>
          <w:rtl/>
        </w:rPr>
        <w:t>(8)</w:t>
      </w:r>
      <w:r w:rsidRPr="00020424">
        <w:rPr>
          <w:rtl/>
          <w:lang w:bidi="fa-IR"/>
        </w:rPr>
        <w:t xml:space="preserve"> فِي مَوَدَّتِهِمْ </w:t>
      </w:r>
      <w:r w:rsidRPr="00A91B96">
        <w:rPr>
          <w:rStyle w:val="libFootnotenumChar"/>
          <w:rtl/>
        </w:rPr>
        <w:t>(9)</w:t>
      </w:r>
      <w:r w:rsidRPr="00020424">
        <w:rPr>
          <w:rtl/>
          <w:lang w:bidi="fa-IR"/>
        </w:rPr>
        <w:t xml:space="preserve"> ، فَلَا تَلْتَمِسْ </w:t>
      </w:r>
      <w:r w:rsidRPr="00A91B96">
        <w:rPr>
          <w:rStyle w:val="libFootnotenumChar"/>
          <w:rtl/>
        </w:rPr>
        <w:t>(10)</w:t>
      </w:r>
      <w:r w:rsidRPr="00020424">
        <w:rPr>
          <w:rtl/>
          <w:lang w:bidi="fa-IR"/>
        </w:rPr>
        <w:t xml:space="preserve"> مِنْ غَيْرِكَ شُكْرَ </w:t>
      </w:r>
      <w:r w:rsidRPr="00A91B96">
        <w:rPr>
          <w:rStyle w:val="libFootnotenumChar"/>
          <w:rtl/>
        </w:rPr>
        <w:t>(11)</w:t>
      </w:r>
      <w:r w:rsidRPr="00020424">
        <w:rPr>
          <w:rtl/>
          <w:lang w:bidi="fa-IR"/>
        </w:rPr>
        <w:t xml:space="preserve"> مَا أَتَيْتَ إِلى نَفْسِكَ ، وَوَقَيْتَ بِهِ عِرْضَكَ ، وَاعْلَمْ أَنَّ الطَّالِبَ إِلَيْكَ الْحَاجَةَ ، لَمْ يُكْرِمْ وَجْهَهُ عَنْ وَجْهِكَ </w:t>
      </w:r>
      <w:r w:rsidRPr="00A91B96">
        <w:rPr>
          <w:rStyle w:val="libFootnotenumChar"/>
          <w:rtl/>
        </w:rPr>
        <w:t>(12)</w:t>
      </w:r>
      <w:r w:rsidRPr="00020424">
        <w:rPr>
          <w:rtl/>
          <w:lang w:bidi="fa-IR"/>
        </w:rPr>
        <w:t xml:space="preserve"> ، فَأَكْرِمْ وَجْهَكَ </w:t>
      </w:r>
      <w:r w:rsidRPr="00A91B96">
        <w:rPr>
          <w:rStyle w:val="libFootnotenumChar"/>
          <w:rtl/>
        </w:rPr>
        <w:t>(13)</w:t>
      </w:r>
      <w:r w:rsidRPr="00020424">
        <w:rPr>
          <w:rtl/>
          <w:lang w:bidi="fa-IR"/>
        </w:rPr>
        <w:t xml:space="preserve"> عَنْ رَدِّهِ</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Heading2Center"/>
        <w:rPr>
          <w:rtl/>
          <w:lang w:bidi="fa-IR"/>
        </w:rPr>
      </w:pPr>
      <w:bookmarkStart w:id="226" w:name="_Toc345172792"/>
      <w:bookmarkStart w:id="227" w:name="_Toc464562608"/>
      <w:bookmarkStart w:id="228" w:name="_Toc44599911"/>
      <w:r w:rsidRPr="00020424">
        <w:rPr>
          <w:rtl/>
          <w:lang w:bidi="fa-IR"/>
        </w:rPr>
        <w:t>70</w:t>
      </w:r>
      <w:r>
        <w:rPr>
          <w:rtl/>
          <w:lang w:bidi="fa-IR"/>
        </w:rPr>
        <w:t xml:space="preserve"> </w:t>
      </w:r>
      <w:r w:rsidR="009B673F">
        <w:rPr>
          <w:rtl/>
          <w:lang w:bidi="fa-IR"/>
        </w:rPr>
        <w:t>-</w:t>
      </w:r>
      <w:r>
        <w:rPr>
          <w:rtl/>
          <w:lang w:bidi="fa-IR"/>
        </w:rPr>
        <w:t xml:space="preserve"> </w:t>
      </w:r>
      <w:r w:rsidRPr="00020424">
        <w:rPr>
          <w:rtl/>
          <w:lang w:bidi="fa-IR"/>
        </w:rPr>
        <w:t>بَابُ أَنَّ صَنَائِعَ الْمَعْرُوفِ تَدْفَعُ مَصَارِعَ السُّوءِ‌</w:t>
      </w:r>
      <w:bookmarkEnd w:id="226"/>
      <w:bookmarkEnd w:id="227"/>
      <w:bookmarkEnd w:id="228"/>
    </w:p>
    <w:p w:rsidR="00992664" w:rsidRPr="00020424" w:rsidRDefault="00992664" w:rsidP="00992664">
      <w:pPr>
        <w:pStyle w:val="libNormal"/>
        <w:rPr>
          <w:rtl/>
          <w:lang w:bidi="fa-IR"/>
        </w:rPr>
      </w:pPr>
      <w:r w:rsidRPr="0063314D">
        <w:rPr>
          <w:rtl/>
        </w:rPr>
        <w:t>6108</w:t>
      </w:r>
      <w:r w:rsidRPr="001155DE">
        <w:rPr>
          <w:rStyle w:val="libBold2Char"/>
          <w:rtl/>
        </w:rPr>
        <w:t xml:space="preserve"> / 1.</w:t>
      </w:r>
      <w:r w:rsidRPr="00020424">
        <w:rPr>
          <w:rtl/>
          <w:lang w:bidi="fa-IR"/>
        </w:rPr>
        <w:t xml:space="preserve"> عِدَّةٌ مِنْ أَصْحَابِنَا ، عَنْ سَهْلِ بْنِ زِيَادٍ ، عَنْ جَعْفَرِ بْنِ مُحَمَّدٍ الْأَشْعَرِيِّ ، عَنْ عَبْدِ اللهِ بْنِ مَيْمُونٍ الْقَدَّاحِ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قَالَ : « صَنَائِعُ الْمَعْرُوفِ تَقِي </w:t>
      </w:r>
      <w:r w:rsidRPr="00A91B96">
        <w:rPr>
          <w:rStyle w:val="libFootnotenumChar"/>
          <w:rtl/>
        </w:rPr>
        <w:t>(15)</w:t>
      </w:r>
      <w:r w:rsidRPr="00020424">
        <w:rPr>
          <w:rtl/>
          <w:lang w:bidi="fa-IR"/>
        </w:rPr>
        <w:t xml:space="preserve"> مَصَارِعَ السُّوءِ</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بك » </w:t>
      </w:r>
      <w:r w:rsidR="00992664" w:rsidRPr="00A83B0E">
        <w:rPr>
          <w:rStyle w:val="libFootnoteBoldChar"/>
          <w:rtl/>
        </w:rPr>
        <w:t>وتحف العقول</w:t>
      </w:r>
      <w:r w:rsidR="00992664" w:rsidRPr="00020424">
        <w:rPr>
          <w:rtl/>
        </w:rPr>
        <w:t xml:space="preserve"> </w:t>
      </w:r>
      <w:r w:rsidR="00992664" w:rsidRPr="00FD6221">
        <w:rPr>
          <w:rStyle w:val="libFootnoteBoldChar"/>
          <w:rtl/>
        </w:rPr>
        <w:t>والخصال</w:t>
      </w:r>
      <w:r w:rsidR="00992664" w:rsidRPr="00020424">
        <w:rPr>
          <w:rtl/>
        </w:rPr>
        <w:t xml:space="preserve"> والمعاني : « مثل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91C8C" w:rsidTr="00291C8C">
        <w:tc>
          <w:tcPr>
            <w:tcW w:w="4006" w:type="dxa"/>
          </w:tcPr>
          <w:p w:rsidR="00291C8C" w:rsidRDefault="00291C8C" w:rsidP="00992664">
            <w:pPr>
              <w:pStyle w:val="libFootnote0"/>
              <w:rPr>
                <w:rtl/>
              </w:rPr>
            </w:pPr>
            <w:r>
              <w:rPr>
                <w:rtl/>
              </w:rPr>
              <w:t xml:space="preserve">(2). </w:t>
            </w:r>
            <w:r w:rsidRPr="00020424">
              <w:rPr>
                <w:rtl/>
              </w:rPr>
              <w:t>في « بخ ، بر ، بك » : « فكأنّما</w:t>
            </w:r>
            <w:r>
              <w:rPr>
                <w:rtl/>
              </w:rPr>
              <w:t xml:space="preserve"> ».</w:t>
            </w:r>
          </w:p>
        </w:tc>
        <w:tc>
          <w:tcPr>
            <w:tcW w:w="4006" w:type="dxa"/>
          </w:tcPr>
          <w:p w:rsidR="00291C8C" w:rsidRDefault="00291C8C" w:rsidP="00992664">
            <w:pPr>
              <w:pStyle w:val="libFootnote0"/>
              <w:rPr>
                <w:rtl/>
              </w:rPr>
            </w:pPr>
            <w:r>
              <w:rPr>
                <w:rtl/>
              </w:rPr>
              <w:t xml:space="preserve">(3). </w:t>
            </w:r>
            <w:r w:rsidRPr="00020424">
              <w:rPr>
                <w:rtl/>
              </w:rPr>
              <w:t>في « جن » :</w:t>
            </w:r>
            <w:r>
              <w:rPr>
                <w:rtl/>
              </w:rPr>
              <w:t xml:space="preserve"> - </w:t>
            </w:r>
            <w:r w:rsidRPr="00020424">
              <w:rPr>
                <w:rtl/>
              </w:rPr>
              <w:t>« أنّ ما صنع</w:t>
            </w:r>
            <w:r>
              <w:rPr>
                <w:rtl/>
              </w:rPr>
              <w:t xml:space="preserve"> ».</w:t>
            </w:r>
          </w:p>
        </w:tc>
      </w:tr>
      <w:tr w:rsidR="00291C8C" w:rsidTr="00291C8C">
        <w:tc>
          <w:tcPr>
            <w:tcW w:w="4006" w:type="dxa"/>
          </w:tcPr>
          <w:p w:rsidR="00291C8C" w:rsidRDefault="00291C8C" w:rsidP="00992664">
            <w:pPr>
              <w:pStyle w:val="libFootnote0"/>
              <w:rPr>
                <w:rtl/>
              </w:rPr>
            </w:pPr>
            <w:r>
              <w:rPr>
                <w:rtl/>
              </w:rPr>
              <w:t xml:space="preserve">(4). </w:t>
            </w:r>
            <w:r w:rsidRPr="00020424">
              <w:rPr>
                <w:rtl/>
              </w:rPr>
              <w:t>في « بخ » : + « صنعاً</w:t>
            </w:r>
            <w:r>
              <w:rPr>
                <w:rtl/>
              </w:rPr>
              <w:t xml:space="preserve"> ».</w:t>
            </w:r>
          </w:p>
        </w:tc>
        <w:tc>
          <w:tcPr>
            <w:tcW w:w="4006" w:type="dxa"/>
          </w:tcPr>
          <w:p w:rsidR="00291C8C" w:rsidRDefault="00291C8C" w:rsidP="00992664">
            <w:pPr>
              <w:pStyle w:val="libFootnote0"/>
              <w:rPr>
                <w:rtl/>
              </w:rPr>
            </w:pPr>
            <w:r>
              <w:rPr>
                <w:rtl/>
              </w:rPr>
              <w:t xml:space="preserve">(5). </w:t>
            </w:r>
            <w:r w:rsidRPr="00020424">
              <w:rPr>
                <w:rtl/>
              </w:rPr>
              <w:t xml:space="preserve">في « ظ ، جن » </w:t>
            </w:r>
            <w:r w:rsidRPr="00FD6221">
              <w:rPr>
                <w:rStyle w:val="libFootnoteBoldChar"/>
                <w:rtl/>
              </w:rPr>
              <w:t>والخصال</w:t>
            </w:r>
            <w:r w:rsidRPr="00020424">
              <w:rPr>
                <w:rtl/>
              </w:rPr>
              <w:t xml:space="preserve"> والمعاني : « لنفسه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A83B0E">
        <w:rPr>
          <w:rStyle w:val="libFootnoteBoldChar"/>
          <w:rtl/>
        </w:rPr>
        <w:t>وتحف العقول</w:t>
      </w:r>
      <w:r w:rsidR="00992664" w:rsidRPr="00020424">
        <w:rPr>
          <w:rtl/>
        </w:rPr>
        <w:t xml:space="preserve"> والمعاني : « لم يستبطئ</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91C8C" w:rsidTr="00291C8C">
        <w:tc>
          <w:tcPr>
            <w:tcW w:w="4006" w:type="dxa"/>
          </w:tcPr>
          <w:p w:rsidR="00291C8C" w:rsidRDefault="00291C8C" w:rsidP="00992664">
            <w:pPr>
              <w:pStyle w:val="libFootnote0"/>
              <w:rPr>
                <w:rtl/>
                <w:lang w:bidi="fa-IR"/>
              </w:rPr>
            </w:pPr>
            <w:r>
              <w:rPr>
                <w:rtl/>
              </w:rPr>
              <w:t xml:space="preserve">(7). </w:t>
            </w:r>
            <w:r w:rsidRPr="00020424">
              <w:rPr>
                <w:rtl/>
              </w:rPr>
              <w:t xml:space="preserve">في </w:t>
            </w:r>
            <w:r w:rsidRPr="00A722B1">
              <w:rPr>
                <w:rStyle w:val="libFootnoteBoldChar"/>
                <w:rtl/>
              </w:rPr>
              <w:t>الخصال</w:t>
            </w:r>
            <w:r w:rsidRPr="00020424">
              <w:rPr>
                <w:rtl/>
              </w:rPr>
              <w:t xml:space="preserve"> : « برّهم</w:t>
            </w:r>
            <w:r>
              <w:rPr>
                <w:rtl/>
              </w:rPr>
              <w:t xml:space="preserve"> ».</w:t>
            </w:r>
          </w:p>
        </w:tc>
        <w:tc>
          <w:tcPr>
            <w:tcW w:w="4006" w:type="dxa"/>
          </w:tcPr>
          <w:p w:rsidR="00291C8C" w:rsidRDefault="00291C8C" w:rsidP="00992664">
            <w:pPr>
              <w:pStyle w:val="libFootnote0"/>
              <w:rPr>
                <w:rtl/>
                <w:lang w:bidi="fa-IR"/>
              </w:rPr>
            </w:pPr>
            <w:r>
              <w:rPr>
                <w:rtl/>
              </w:rPr>
              <w:t xml:space="preserve">(8). </w:t>
            </w:r>
            <w:r w:rsidRPr="00020424">
              <w:rPr>
                <w:rtl/>
              </w:rPr>
              <w:t>في « بر ، بك » : « ولم يستودّهم</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لم يستبطئ الناس في شكرهم ؛ يعني لم يتوقّع منهم أن يشكروه ؛ ولم يستزدهم في مودّتهم ، يعني لم يطلب منهم زيادة مودّتهم إيّاه بما صنع إليهم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بخ ، بر ، بف » </w:t>
      </w:r>
      <w:r w:rsidR="00992664" w:rsidRPr="00EB1FD9">
        <w:rPr>
          <w:rStyle w:val="libFootnoteBoldChar"/>
          <w:rtl/>
        </w:rPr>
        <w:t>والوسائل</w:t>
      </w:r>
      <w:r w:rsidR="00992664" w:rsidRPr="00020424">
        <w:rPr>
          <w:rtl/>
        </w:rPr>
        <w:t xml:space="preserve"> : « ولا تلتمس</w:t>
      </w:r>
      <w:r w:rsidR="00992664">
        <w:rPr>
          <w:rtl/>
        </w:rPr>
        <w:t xml:space="preserve"> ».</w:t>
      </w:r>
      <w:r w:rsidR="00992664" w:rsidRPr="00020424">
        <w:rPr>
          <w:rtl/>
        </w:rPr>
        <w:t xml:space="preserve"> وفي « بك » بالتاء والياء معاً.</w:t>
      </w:r>
    </w:p>
    <w:tbl>
      <w:tblPr>
        <w:tblStyle w:val="TableGrid"/>
        <w:bidiVisual/>
        <w:tblW w:w="0" w:type="auto"/>
        <w:tblLook w:val="04A0" w:firstRow="1" w:lastRow="0" w:firstColumn="1" w:lastColumn="0" w:noHBand="0" w:noVBand="1"/>
      </w:tblPr>
      <w:tblGrid>
        <w:gridCol w:w="4006"/>
        <w:gridCol w:w="4006"/>
      </w:tblGrid>
      <w:tr w:rsidR="00291C8C" w:rsidTr="00291C8C">
        <w:tc>
          <w:tcPr>
            <w:tcW w:w="4006" w:type="dxa"/>
          </w:tcPr>
          <w:p w:rsidR="00291C8C" w:rsidRDefault="00291C8C" w:rsidP="00992664">
            <w:pPr>
              <w:pStyle w:val="libFootnote0"/>
              <w:rPr>
                <w:rtl/>
              </w:rPr>
            </w:pPr>
            <w:r>
              <w:rPr>
                <w:rtl/>
              </w:rPr>
              <w:t xml:space="preserve">(11). </w:t>
            </w:r>
            <w:r w:rsidRPr="00020424">
              <w:rPr>
                <w:rtl/>
              </w:rPr>
              <w:t>في « بر ، بك » :</w:t>
            </w:r>
            <w:r>
              <w:rPr>
                <w:rtl/>
              </w:rPr>
              <w:t xml:space="preserve"> - </w:t>
            </w:r>
            <w:r w:rsidRPr="00020424">
              <w:rPr>
                <w:rtl/>
              </w:rPr>
              <w:t>« شكر</w:t>
            </w:r>
            <w:r>
              <w:rPr>
                <w:rtl/>
              </w:rPr>
              <w:t xml:space="preserve"> ».</w:t>
            </w:r>
          </w:p>
        </w:tc>
        <w:tc>
          <w:tcPr>
            <w:tcW w:w="4006" w:type="dxa"/>
          </w:tcPr>
          <w:p w:rsidR="00291C8C" w:rsidRDefault="00291C8C" w:rsidP="00992664">
            <w:pPr>
              <w:pStyle w:val="libFootnote0"/>
              <w:rPr>
                <w:rtl/>
              </w:rPr>
            </w:pPr>
            <w:r>
              <w:rPr>
                <w:rtl/>
              </w:rPr>
              <w:t xml:space="preserve">(12). </w:t>
            </w:r>
            <w:r w:rsidRPr="00020424">
              <w:rPr>
                <w:rtl/>
              </w:rPr>
              <w:t>في تحف العقول : « مسألتك</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حاشية « بح » : « وجهه</w:t>
      </w:r>
      <w:r w:rsidR="00992664">
        <w:rPr>
          <w:rtl/>
        </w:rPr>
        <w:t xml:space="preserve"> ».</w:t>
      </w:r>
    </w:p>
    <w:p w:rsidR="00992664" w:rsidRPr="00020424" w:rsidRDefault="00795177" w:rsidP="00291C8C">
      <w:pPr>
        <w:pStyle w:val="libFootnote0"/>
        <w:rPr>
          <w:rtl/>
          <w:lang w:bidi="fa-IR"/>
        </w:rPr>
      </w:pPr>
      <w:r>
        <w:rPr>
          <w:rtl/>
        </w:rPr>
        <w:t>(14).</w:t>
      </w:r>
      <w:r w:rsidR="0014403D">
        <w:rPr>
          <w:rtl/>
        </w:rPr>
        <w:t xml:space="preserve"> </w:t>
      </w:r>
      <w:r w:rsidR="00992664" w:rsidRPr="00A722B1">
        <w:rPr>
          <w:rStyle w:val="libFootnoteBoldChar"/>
          <w:rtl/>
        </w:rPr>
        <w:t>الخصال</w:t>
      </w:r>
      <w:r w:rsidR="00992664" w:rsidRPr="00020424">
        <w:rPr>
          <w:rtl/>
        </w:rPr>
        <w:t xml:space="preserve"> ، ص 258 ، باب الأربعة ، ح 132 ؛ </w:t>
      </w:r>
      <w:r w:rsidR="00992664" w:rsidRPr="00216E45">
        <w:rPr>
          <w:rStyle w:val="libFootnoteBoldChar"/>
          <w:rtl/>
        </w:rPr>
        <w:t>ومعاني الأخبار</w:t>
      </w:r>
      <w:r w:rsidR="00992664" w:rsidRPr="00020424">
        <w:rPr>
          <w:rtl/>
        </w:rPr>
        <w:t xml:space="preserve"> ، ص 141 ، ح 1 ، بسندهما عن عبيدالله بن عبدالله الدهقان ، عن درست بن أبي منصور الواسطي ، عن عمر بن ا</w:t>
      </w:r>
      <w:r w:rsidR="00291C8C">
        <w:rPr>
          <w:rFonts w:hint="cs"/>
          <w:rtl/>
        </w:rPr>
        <w:t>ُ</w:t>
      </w:r>
      <w:r w:rsidR="00992664" w:rsidRPr="00020424">
        <w:rPr>
          <w:rtl/>
        </w:rPr>
        <w:t xml:space="preserve">ذينة ، عن زرارة ، عن أبي جعفر ، عن أميرالمؤمنين </w:t>
      </w:r>
      <w:r w:rsidR="00D64ADA" w:rsidRPr="00D64ADA">
        <w:rPr>
          <w:rStyle w:val="libFootnoteAlaemChar"/>
          <w:rtl/>
        </w:rPr>
        <w:t>عليهما‌السلام</w:t>
      </w:r>
      <w:r w:rsidR="00992664" w:rsidRPr="00020424">
        <w:rPr>
          <w:rtl/>
        </w:rPr>
        <w:t xml:space="preserve"> [ في المعاني من دون الإسناد إلى أميرالمؤمنين </w:t>
      </w:r>
      <w:r w:rsidR="00992664" w:rsidRPr="00D64ADA">
        <w:rPr>
          <w:rStyle w:val="libFootnoteAlaemChar"/>
          <w:rtl/>
        </w:rPr>
        <w:t>عليه‌السلام</w:t>
      </w:r>
      <w:r w:rsidR="00992664" w:rsidRPr="00020424">
        <w:rPr>
          <w:rtl/>
        </w:rPr>
        <w:t xml:space="preserve"> ، ومع اختلاف يسير ]</w:t>
      </w:r>
      <w:r w:rsidR="00992664">
        <w:rPr>
          <w:rtl/>
        </w:rPr>
        <w:t>.</w:t>
      </w:r>
      <w:r w:rsidR="00992664" w:rsidRPr="00020424">
        <w:rPr>
          <w:rtl/>
        </w:rPr>
        <w:t xml:space="preserve"> </w:t>
      </w:r>
      <w:r w:rsidR="00992664" w:rsidRPr="00DE76B9">
        <w:rPr>
          <w:rStyle w:val="libFootnoteBoldChar"/>
          <w:rtl/>
        </w:rPr>
        <w:t>تحف العقول</w:t>
      </w:r>
      <w:r w:rsidR="00992664" w:rsidRPr="00020424">
        <w:rPr>
          <w:rtl/>
        </w:rPr>
        <w:t xml:space="preserve"> ، ص 299 ، عن الباقر </w:t>
      </w:r>
      <w:r w:rsidR="00992664" w:rsidRPr="00D64ADA">
        <w:rPr>
          <w:rStyle w:val="libFootnoteAlaemChar"/>
          <w:rtl/>
        </w:rPr>
        <w:t>عليه‌السلام</w:t>
      </w:r>
      <w:r w:rsidR="00992664" w:rsidRPr="00020424">
        <w:rPr>
          <w:rtl/>
        </w:rPr>
        <w:t xml:space="preserve"> ، من دون الإسناد إلى أميرالمؤمنين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الوافي</w:t>
      </w:r>
      <w:r w:rsidR="00992664" w:rsidRPr="00020424">
        <w:rPr>
          <w:rtl/>
        </w:rPr>
        <w:t xml:space="preserve"> ، ج 10 ، ص 449 ، ح 9858 ؛ </w:t>
      </w:r>
      <w:r w:rsidR="00992664" w:rsidRPr="0012008A">
        <w:rPr>
          <w:rStyle w:val="libFootnoteBoldChar"/>
          <w:rtl/>
        </w:rPr>
        <w:t>الوسائل</w:t>
      </w:r>
      <w:r w:rsidR="00992664" w:rsidRPr="00020424">
        <w:rPr>
          <w:rtl/>
        </w:rPr>
        <w:t xml:space="preserve"> ، ج 16 ، ص 305 ، ح 21612.</w:t>
      </w:r>
      <w:r w:rsidR="00291C8C">
        <w:rPr>
          <w:rFonts w:hint="cs"/>
          <w:rtl/>
        </w:rPr>
        <w:t xml:space="preserve">                      </w:t>
      </w:r>
      <w:r>
        <w:rPr>
          <w:rtl/>
        </w:rPr>
        <w:t>(15).</w:t>
      </w:r>
      <w:r w:rsidR="0014403D">
        <w:rPr>
          <w:rtl/>
        </w:rPr>
        <w:t xml:space="preserve"> </w:t>
      </w:r>
      <w:r w:rsidR="00992664" w:rsidRPr="00020424">
        <w:rPr>
          <w:rtl/>
        </w:rPr>
        <w:t>في « بس » : « تدفع</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DE76B9">
        <w:rPr>
          <w:rStyle w:val="libFootnoteBoldChar"/>
          <w:rtl/>
        </w:rPr>
        <w:t>تفسير القمّي</w:t>
      </w:r>
      <w:r w:rsidR="00992664" w:rsidRPr="00020424">
        <w:rPr>
          <w:rtl/>
        </w:rPr>
        <w:t xml:space="preserve"> ، ج 1 ، ص 364 ، ضمن الحديث ، بسند آخر عن أبي عبدالله </w:t>
      </w:r>
      <w:r w:rsidR="00992664" w:rsidRPr="00D64ADA">
        <w:rPr>
          <w:rStyle w:val="libFootnoteAlaemChar"/>
          <w:rtl/>
        </w:rPr>
        <w:t>عليه‌السلام</w:t>
      </w:r>
      <w:r w:rsidR="00992664" w:rsidRPr="00020424">
        <w:rPr>
          <w:rtl/>
        </w:rPr>
        <w:t xml:space="preserve"> عن النبيّ </w:t>
      </w:r>
      <w:r w:rsidR="00D64ADA" w:rsidRPr="00291C8C">
        <w:rPr>
          <w:rStyle w:val="libFootnoteAlaemChar"/>
          <w:rtl/>
        </w:rPr>
        <w:t>صلى‌الله‌عليه‌وآله</w:t>
      </w:r>
      <w:r w:rsidR="00B42914" w:rsidRPr="00291C8C">
        <w:rPr>
          <w:rStyle w:val="libFootnoteAlaemChar"/>
          <w:rtl/>
        </w:rPr>
        <w:t>‌</w:t>
      </w:r>
      <w:r w:rsidR="00992664" w:rsidRPr="00020424">
        <w:rPr>
          <w:rtl/>
        </w:rPr>
        <w:t xml:space="preserve"> ، مع اختلاف </w:t>
      </w:r>
      <w:r w:rsidR="009475D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021C1">
        <w:rPr>
          <w:rtl/>
        </w:rPr>
        <w:t>6109</w:t>
      </w:r>
      <w:r w:rsidRPr="001155DE">
        <w:rPr>
          <w:rStyle w:val="libBold2Char"/>
          <w:rtl/>
        </w:rPr>
        <w:t xml:space="preserve"> / 2.</w:t>
      </w:r>
      <w:r w:rsidRPr="00020424">
        <w:rPr>
          <w:rtl/>
          <w:lang w:bidi="fa-IR"/>
        </w:rPr>
        <w:t xml:space="preserve"> عَلِيُّ بْنُ إِبْرَاهِيمَ ، عَنْ أَبِيهِ ، عَنِ النَّوْفَلِيِّ </w:t>
      </w:r>
      <w:r w:rsidRPr="00A91B96">
        <w:rPr>
          <w:rStyle w:val="libFootnotenumChar"/>
          <w:rtl/>
        </w:rPr>
        <w:t>(1)</w:t>
      </w:r>
      <w:r w:rsidRPr="00020424">
        <w:rPr>
          <w:rtl/>
          <w:lang w:bidi="fa-IR"/>
        </w:rPr>
        <w:t xml:space="preserve">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w:t>
      </w:r>
      <w:r w:rsidRPr="00A91B96">
        <w:rPr>
          <w:rStyle w:val="libFootnotenumChar"/>
          <w:rtl/>
        </w:rPr>
        <w:t>(2)</w:t>
      </w:r>
      <w:r w:rsidRPr="00020424">
        <w:rPr>
          <w:rtl/>
          <w:lang w:bidi="fa-IR"/>
        </w:rPr>
        <w:t xml:space="preserve"> الْبَرَكَةَ أَسْرَعُ إِلَى الْبَيْتِ الَّذِي يُمْتَارُ </w:t>
      </w:r>
      <w:r w:rsidRPr="00A91B96">
        <w:rPr>
          <w:rStyle w:val="libFootnotenumChar"/>
          <w:rtl/>
        </w:rPr>
        <w:t>(3)</w:t>
      </w:r>
      <w:r w:rsidRPr="00020424">
        <w:rPr>
          <w:rtl/>
          <w:lang w:bidi="fa-IR"/>
        </w:rPr>
        <w:t xml:space="preserve"> مِنْهُ </w:t>
      </w:r>
      <w:r w:rsidRPr="00A91B96">
        <w:rPr>
          <w:rStyle w:val="libFootnotenumChar"/>
          <w:rtl/>
        </w:rPr>
        <w:t>(4)</w:t>
      </w:r>
      <w:r w:rsidRPr="00020424">
        <w:rPr>
          <w:rtl/>
          <w:lang w:bidi="fa-IR"/>
        </w:rPr>
        <w:t xml:space="preserve"> الْمَعْرُوفُ مِنَ الشَّفْرَةِ </w:t>
      </w:r>
      <w:r w:rsidRPr="00A91B96">
        <w:rPr>
          <w:rStyle w:val="libFootnotenumChar"/>
          <w:rtl/>
        </w:rPr>
        <w:t>(5)</w:t>
      </w:r>
      <w:r w:rsidRPr="00020424">
        <w:rPr>
          <w:rtl/>
          <w:lang w:bidi="fa-IR"/>
        </w:rPr>
        <w:t xml:space="preserve"> فِي </w:t>
      </w:r>
      <w:r w:rsidRPr="00A91B96">
        <w:rPr>
          <w:rStyle w:val="libFootnotenumChar"/>
          <w:rtl/>
        </w:rPr>
        <w:t>(6)</w:t>
      </w:r>
      <w:r w:rsidRPr="00020424">
        <w:rPr>
          <w:rtl/>
          <w:lang w:bidi="fa-IR"/>
        </w:rPr>
        <w:t xml:space="preserve"> سَنَامِ الْبَعِيرِ </w:t>
      </w:r>
      <w:r w:rsidRPr="00A91B96">
        <w:rPr>
          <w:rStyle w:val="libFootnotenumChar"/>
          <w:rtl/>
        </w:rPr>
        <w:t>(7)</w:t>
      </w:r>
      <w:r w:rsidRPr="00020424">
        <w:rPr>
          <w:rtl/>
          <w:lang w:bidi="fa-IR"/>
        </w:rPr>
        <w:t xml:space="preserve"> ، أَوْ مِنَ السَّيْلِ </w:t>
      </w:r>
      <w:r w:rsidRPr="00A91B96">
        <w:rPr>
          <w:rStyle w:val="libFootnotenumChar"/>
          <w:rtl/>
        </w:rPr>
        <w:t>(8)</w:t>
      </w:r>
      <w:r w:rsidRPr="00020424">
        <w:rPr>
          <w:rtl/>
          <w:lang w:bidi="fa-IR"/>
        </w:rPr>
        <w:t xml:space="preserve"> إِلى مُنْتَهَاهُ</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7021C1">
        <w:rPr>
          <w:rtl/>
        </w:rPr>
        <w:t>6110</w:t>
      </w:r>
      <w:r w:rsidRPr="001155DE">
        <w:rPr>
          <w:rStyle w:val="libBold2Char"/>
          <w:rtl/>
        </w:rPr>
        <w:t xml:space="preserve"> / 3.</w:t>
      </w:r>
      <w:r w:rsidRPr="00020424">
        <w:rPr>
          <w:rtl/>
          <w:lang w:bidi="fa-IR"/>
        </w:rPr>
        <w:t xml:space="preserve"> عَلِيُّ بْنُ إِبْرَاهِيمَ </w:t>
      </w:r>
      <w:r w:rsidRPr="00A91B96">
        <w:rPr>
          <w:rStyle w:val="libFootnotenumChar"/>
          <w:rtl/>
        </w:rPr>
        <w:t>(10)</w:t>
      </w:r>
      <w:r w:rsidRPr="00020424">
        <w:rPr>
          <w:rtl/>
          <w:lang w:bidi="fa-IR"/>
        </w:rPr>
        <w:t xml:space="preserve"> ، عَنْ أَبِيهِ ، عَنِ ابْنِ أَبِي عُمَيْرٍ ، عَنْ أَبِي الْمَغْرَاءِ ، عَنْ عَبْدِ اللهِ بْنِ سُلَيْمَانَ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F6675A" w:rsidP="00992664">
      <w:pPr>
        <w:pStyle w:val="libFootnote0"/>
        <w:rPr>
          <w:rtl/>
          <w:lang w:bidi="fa-IR"/>
        </w:rPr>
      </w:pPr>
      <w:r>
        <w:rPr>
          <w:rFonts w:hint="cs"/>
          <w:rtl/>
        </w:rPr>
        <w:t xml:space="preserve">= </w:t>
      </w:r>
      <w:r w:rsidR="00992664" w:rsidRPr="00020424">
        <w:rPr>
          <w:rtl/>
        </w:rPr>
        <w:t xml:space="preserve">يسير. وفي </w:t>
      </w:r>
      <w:r w:rsidR="00D64ADA" w:rsidRPr="00D64ADA">
        <w:rPr>
          <w:rStyle w:val="libFootnoteBoldChar"/>
          <w:rtl/>
        </w:rPr>
        <w:t>المحاسن</w:t>
      </w:r>
      <w:r w:rsidR="00992664" w:rsidRPr="00020424">
        <w:rPr>
          <w:rtl/>
        </w:rPr>
        <w:t xml:space="preserve"> ، ص 289 ، كتاب مصابيح الظلم ، ضمن ح 436 ؛ </w:t>
      </w:r>
      <w:r w:rsidR="00992664" w:rsidRPr="007C1D2B">
        <w:rPr>
          <w:rStyle w:val="libFootnoteBoldChar"/>
          <w:rtl/>
        </w:rPr>
        <w:t>والزهد</w:t>
      </w:r>
      <w:r w:rsidR="00992664" w:rsidRPr="00020424">
        <w:rPr>
          <w:rtl/>
        </w:rPr>
        <w:t xml:space="preserve"> ، ص 73 ، ضمن ح 27 ؛ </w:t>
      </w:r>
      <w:r w:rsidR="00992664" w:rsidRPr="00515444">
        <w:rPr>
          <w:rStyle w:val="libFootnoteBoldChar"/>
          <w:rtl/>
        </w:rPr>
        <w:t>وعلل الشرائع</w:t>
      </w:r>
      <w:r w:rsidR="00992664" w:rsidRPr="00DE76B9">
        <w:rPr>
          <w:rStyle w:val="libFootnoteBoldChar"/>
          <w:rtl/>
        </w:rPr>
        <w:t xml:space="preserve"> </w:t>
      </w:r>
      <w:r w:rsidR="00992664" w:rsidRPr="00020424">
        <w:rPr>
          <w:rtl/>
        </w:rPr>
        <w:t xml:space="preserve">، ص 247 ، ضمن ح 1 ، بسند آخر عن عليّ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الفقيه</w:t>
      </w:r>
      <w:r w:rsidR="00992664" w:rsidRPr="00020424">
        <w:rPr>
          <w:rtl/>
        </w:rPr>
        <w:t xml:space="preserve"> ، ج 1 ، ص 205 ، ضمن ح 613 ؛ </w:t>
      </w:r>
      <w:r w:rsidR="00992664" w:rsidRPr="00A83B0E">
        <w:rPr>
          <w:rStyle w:val="libFootnoteBoldChar"/>
          <w:rtl/>
        </w:rPr>
        <w:t>وتحف العقول</w:t>
      </w:r>
      <w:r w:rsidR="00992664" w:rsidRPr="00020424">
        <w:rPr>
          <w:rtl/>
        </w:rPr>
        <w:t xml:space="preserve"> ، ص 149 ، ضمن الحديث ؛ </w:t>
      </w:r>
      <w:r w:rsidR="00992664" w:rsidRPr="00D27EE2">
        <w:rPr>
          <w:rStyle w:val="libFootnoteBoldChar"/>
          <w:rtl/>
        </w:rPr>
        <w:t>ونهج البلاغة</w:t>
      </w:r>
      <w:r w:rsidR="00992664" w:rsidRPr="00DE76B9">
        <w:rPr>
          <w:rStyle w:val="libFootnoteBoldChar"/>
          <w:rtl/>
        </w:rPr>
        <w:t xml:space="preserve"> </w:t>
      </w:r>
      <w:r w:rsidR="00992664" w:rsidRPr="00020424">
        <w:rPr>
          <w:rtl/>
        </w:rPr>
        <w:t>، ص 163 ، ضمن الخطبة 111 ؛ و</w:t>
      </w:r>
      <w:r w:rsidR="00992664" w:rsidRPr="00DE76B9">
        <w:rPr>
          <w:rStyle w:val="libFootnoteBoldChar"/>
          <w:rtl/>
        </w:rPr>
        <w:t>معدن الجواهر</w:t>
      </w:r>
      <w:r w:rsidR="00992664" w:rsidRPr="00020424">
        <w:rPr>
          <w:rtl/>
        </w:rPr>
        <w:t xml:space="preserve"> ، ص 71 ، ضمن الحديث ، مرسلاًعن عليّ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تحف العقول</w:t>
      </w:r>
      <w:r w:rsidR="00992664" w:rsidRPr="00020424">
        <w:rPr>
          <w:rtl/>
        </w:rPr>
        <w:t xml:space="preserve"> ، ص 56 ، صدر الحديث ،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10 ، ص 453 ، ح 9872 ؛ </w:t>
      </w:r>
      <w:r w:rsidR="00992664" w:rsidRPr="0012008A">
        <w:rPr>
          <w:rStyle w:val="libFootnoteBoldChar"/>
          <w:rtl/>
        </w:rPr>
        <w:t>الوسائل</w:t>
      </w:r>
      <w:r w:rsidR="00992664" w:rsidRPr="00020424">
        <w:rPr>
          <w:rtl/>
        </w:rPr>
        <w:t xml:space="preserve"> ، ج 16 ، ص 287 ، ح 21562.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عن النوفلي ، عن أبيه » بدل « عن أبيه ، عن النوفلي</w:t>
      </w:r>
      <w:r w:rsidR="00992664">
        <w:rPr>
          <w:rtl/>
        </w:rPr>
        <w:t xml:space="preserve"> ».</w:t>
      </w:r>
      <w:r w:rsidR="00992664" w:rsidRPr="00020424">
        <w:rPr>
          <w:rtl/>
        </w:rPr>
        <w:t xml:space="preserve"> ولعلّه سهو وقع حين الطبع.</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بك »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يمتاز</w:t>
      </w:r>
      <w:r w:rsidR="00992664">
        <w:rPr>
          <w:rtl/>
        </w:rPr>
        <w:t xml:space="preserve"> ».</w:t>
      </w:r>
      <w:r w:rsidR="00992664" w:rsidRPr="00020424">
        <w:rPr>
          <w:rtl/>
        </w:rPr>
        <w:t xml:space="preserve"> </w:t>
      </w:r>
      <w:r w:rsidR="00992664">
        <w:rPr>
          <w:rtl/>
        </w:rPr>
        <w:t>و «</w:t>
      </w:r>
      <w:r w:rsidR="00992664" w:rsidRPr="00020424">
        <w:rPr>
          <w:rtl/>
        </w:rPr>
        <w:t xml:space="preserve"> يُمْتار » أي يُجلَب ويؤخذ ويؤتى ، وأكثر استعماله في جلب الطعام ؛ من المِيرة ، وهو جلب الطعام ، أو الطعام يمتاره الإنسان. راجع : </w:t>
      </w:r>
      <w:r w:rsidR="00992664" w:rsidRPr="0012008A">
        <w:rPr>
          <w:rStyle w:val="libFootnoteBoldChar"/>
          <w:rtl/>
        </w:rPr>
        <w:t>الصحاح</w:t>
      </w:r>
      <w:r w:rsidR="00992664" w:rsidRPr="00020424">
        <w:rPr>
          <w:rtl/>
        </w:rPr>
        <w:t xml:space="preserve"> ، ج 2 ، ص 821 ؛ </w:t>
      </w:r>
      <w:r w:rsidR="00992664" w:rsidRPr="00A722B1">
        <w:rPr>
          <w:rStyle w:val="libFootnoteBoldChar"/>
          <w:rtl/>
        </w:rPr>
        <w:t>لسان العرب</w:t>
      </w:r>
      <w:r w:rsidR="00992664" w:rsidRPr="00020424">
        <w:rPr>
          <w:rtl/>
        </w:rPr>
        <w:t xml:space="preserve"> ، ج 5 ، ص 188 ( مير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بح ، جن » </w:t>
      </w:r>
      <w:r w:rsidR="00992664" w:rsidRPr="00EB1FD9">
        <w:rPr>
          <w:rStyle w:val="libFootnoteBoldChar"/>
          <w:rtl/>
        </w:rPr>
        <w:t>والوسائل</w:t>
      </w:r>
      <w:r w:rsidR="00992664" w:rsidRPr="00020424">
        <w:rPr>
          <w:rtl/>
        </w:rPr>
        <w:t xml:space="preserve"> : « فيه</w:t>
      </w:r>
      <w:r w:rsidR="00992664">
        <w:rPr>
          <w:rtl/>
        </w:rPr>
        <w:t xml:space="preserve"> ».</w:t>
      </w:r>
      <w:r w:rsidR="00992664" w:rsidRPr="00020424">
        <w:rPr>
          <w:rtl/>
        </w:rPr>
        <w:t xml:space="preserve"> وفي « بخ » : « به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الشَفْرَةُ » : ال</w:t>
      </w:r>
      <w:r w:rsidR="00F6675A">
        <w:rPr>
          <w:rFonts w:hint="cs"/>
          <w:rtl/>
        </w:rPr>
        <w:t>ـ</w:t>
      </w:r>
      <w:r w:rsidR="00992664" w:rsidRPr="00020424">
        <w:rPr>
          <w:rtl/>
        </w:rPr>
        <w:t>مُدْية ، وهي السكّين العريضة ، وقال الجوهري : « الشفرة بالفتح : السكّين العظيم</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701 ؛ </w:t>
      </w:r>
      <w:r w:rsidR="00992664" w:rsidRPr="0012008A">
        <w:rPr>
          <w:rStyle w:val="libFootnoteBoldChar"/>
          <w:rtl/>
        </w:rPr>
        <w:t>النهاية</w:t>
      </w:r>
      <w:r w:rsidR="00992664" w:rsidRPr="00020424">
        <w:rPr>
          <w:rtl/>
        </w:rPr>
        <w:t xml:space="preserve"> ، ج 2 ، ص 484 ( شفرة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بف ، بك ، جن » </w:t>
      </w:r>
      <w:r w:rsidR="00992664" w:rsidRPr="00515444">
        <w:rPr>
          <w:rStyle w:val="libFootnoteBoldChar"/>
          <w:rtl/>
        </w:rPr>
        <w:t>والوافي</w:t>
      </w:r>
      <w:r w:rsidR="00992664" w:rsidRPr="00020424">
        <w:rPr>
          <w:rtl/>
        </w:rPr>
        <w:t xml:space="preserve"> : « إلى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 الجزور</w:t>
      </w:r>
      <w:r w:rsidR="00992664">
        <w:rPr>
          <w:rtl/>
        </w:rPr>
        <w:t xml:space="preserve"> ».</w:t>
      </w:r>
      <w:r w:rsidR="00992664" w:rsidRPr="00020424">
        <w:rPr>
          <w:rtl/>
        </w:rPr>
        <w:t xml:space="preserve"> وسَنام البعير والناقة : أعلى ظهرها. وسنام كلّ شي‌ء : أعلاه وما ارتفع منه. وقيل : السنام للبعير كلإلية للغنم. راجع : </w:t>
      </w:r>
      <w:r w:rsidR="00992664" w:rsidRPr="00A722B1">
        <w:rPr>
          <w:rStyle w:val="libFootnoteBoldChar"/>
          <w:rtl/>
        </w:rPr>
        <w:t>لسان العرب</w:t>
      </w:r>
      <w:r w:rsidR="00992664" w:rsidRPr="00020424">
        <w:rPr>
          <w:rtl/>
        </w:rPr>
        <w:t xml:space="preserve"> ، ج 12 ، ص 306 ؛ </w:t>
      </w:r>
      <w:r w:rsidR="00992664" w:rsidRPr="00A722B1">
        <w:rPr>
          <w:rStyle w:val="libFootnoteBoldChar"/>
          <w:rtl/>
        </w:rPr>
        <w:t>المصباح المنير</w:t>
      </w:r>
      <w:r w:rsidR="00A90FD5">
        <w:rPr>
          <w:rtl/>
        </w:rPr>
        <w:t xml:space="preserve"> ، ص 291 (سنم</w:t>
      </w:r>
      <w:r w:rsidR="00992664" w:rsidRPr="00020424">
        <w:rPr>
          <w:rtl/>
        </w:rPr>
        <w:t>)</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 « والسيل » بدل « أو من السيل</w:t>
      </w:r>
      <w:r w:rsidR="00992664">
        <w:rPr>
          <w:rtl/>
        </w:rPr>
        <w:t xml:space="preserve"> ».</w:t>
      </w:r>
      <w:r w:rsidR="00992664" w:rsidRPr="00020424">
        <w:rPr>
          <w:rtl/>
        </w:rPr>
        <w:t xml:space="preserve"> وفي « بر ، بف ، بك » : « أو من السييل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الكافي</w:t>
      </w:r>
      <w:r w:rsidR="00992664" w:rsidRPr="00020424">
        <w:rPr>
          <w:rtl/>
        </w:rPr>
        <w:t xml:space="preserve"> ، كتاب الزكاة ، باب فضل إطعام الطعام ، ج 6204 ، بسند آخر عن جعفر ، عن أبيه </w:t>
      </w:r>
      <w:r w:rsidR="00D64ADA" w:rsidRPr="00D64ADA">
        <w:rPr>
          <w:rStyle w:val="libFootnoteAlaemChar"/>
          <w:rtl/>
        </w:rPr>
        <w:t>عليهما‌السلام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الجعفريّات</w:t>
      </w:r>
      <w:r w:rsidR="00992664" w:rsidRPr="00020424">
        <w:rPr>
          <w:rtl/>
        </w:rPr>
        <w:t xml:space="preserve"> ، ص 152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D64ADA" w:rsidRPr="00D64ADA">
        <w:rPr>
          <w:rStyle w:val="libFootnoteBoldChar"/>
          <w:rtl/>
        </w:rPr>
        <w:t>المحاسن</w:t>
      </w:r>
      <w:r w:rsidR="00992664" w:rsidRPr="00020424">
        <w:rPr>
          <w:rtl/>
        </w:rPr>
        <w:t xml:space="preserve"> ، ص 390 ، كتاب المآكل ، ح 23 و24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وفيه</w:t>
      </w:r>
      <w:r w:rsidR="00992664" w:rsidRPr="00020424">
        <w:rPr>
          <w:rtl/>
        </w:rPr>
        <w:t xml:space="preserve"> ايضاً ، ح 25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كلّها</w:t>
      </w:r>
      <w:r w:rsidR="00992664">
        <w:rPr>
          <w:rtl/>
        </w:rPr>
        <w:t xml:space="preserve"> </w:t>
      </w:r>
      <w:r w:rsidR="009B673F">
        <w:rPr>
          <w:rtl/>
        </w:rPr>
        <w:t>-</w:t>
      </w:r>
      <w:r w:rsidR="00992664">
        <w:rPr>
          <w:rtl/>
        </w:rPr>
        <w:t xml:space="preserve"> </w:t>
      </w:r>
      <w:r w:rsidR="00F6675A">
        <w:rPr>
          <w:rtl/>
        </w:rPr>
        <w:t>إل</w:t>
      </w:r>
      <w:r w:rsidR="00F6675A">
        <w:rPr>
          <w:rFonts w:hint="cs"/>
          <w:rtl/>
        </w:rPr>
        <w:t>ّ</w:t>
      </w:r>
      <w:r w:rsidR="00F6675A">
        <w:rPr>
          <w:rtl/>
        </w:rPr>
        <w:t>ا</w:t>
      </w:r>
      <w:r w:rsidR="00992664">
        <w:rPr>
          <w:rFonts w:hint="cs"/>
          <w:rtl/>
        </w:rPr>
        <w:t xml:space="preserve"> </w:t>
      </w:r>
      <w:r w:rsidR="00992664" w:rsidRPr="00DE76B9">
        <w:rPr>
          <w:rStyle w:val="libFootnoteBoldChar"/>
          <w:rtl/>
        </w:rPr>
        <w:t>الجعفريّات</w:t>
      </w:r>
      <w:r w:rsidR="00992664">
        <w:rPr>
          <w:rtl/>
        </w:rPr>
        <w:t xml:space="preserve"> </w:t>
      </w:r>
      <w:r w:rsidR="009B673F">
        <w:rPr>
          <w:rtl/>
        </w:rPr>
        <w:t>-</w:t>
      </w:r>
      <w:r w:rsidR="00992664">
        <w:rPr>
          <w:rtl/>
        </w:rPr>
        <w:t xml:space="preserve"> </w:t>
      </w:r>
      <w:r w:rsidR="00992664" w:rsidRPr="00020424">
        <w:rPr>
          <w:rtl/>
        </w:rPr>
        <w:t xml:space="preserve">مع اختلاف. </w:t>
      </w:r>
      <w:r w:rsidR="00992664" w:rsidRPr="0012008A">
        <w:rPr>
          <w:rStyle w:val="libFootnoteBoldChar"/>
          <w:rtl/>
        </w:rPr>
        <w:t>الفقيه</w:t>
      </w:r>
      <w:r w:rsidR="00992664" w:rsidRPr="00020424">
        <w:rPr>
          <w:rtl/>
        </w:rPr>
        <w:t xml:space="preserve"> ، ج 2 ، ص 56 ، ح 1689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F6675A">
        <w:rPr>
          <w:rFonts w:hint="cs"/>
          <w:rtl/>
        </w:rPr>
        <w:t>.</w:t>
      </w:r>
      <w:r w:rsidR="00992664" w:rsidRPr="0012008A">
        <w:rPr>
          <w:rStyle w:val="libFootnoteBoldChar"/>
          <w:rtl/>
        </w:rPr>
        <w:t>الوافي</w:t>
      </w:r>
      <w:r w:rsidR="00992664" w:rsidRPr="00020424">
        <w:rPr>
          <w:rtl/>
        </w:rPr>
        <w:t xml:space="preserve"> ، ج 10 ، ص 453 ، ح 9871 ؛ </w:t>
      </w:r>
      <w:r w:rsidR="00992664" w:rsidRPr="0012008A">
        <w:rPr>
          <w:rStyle w:val="libFootnoteBoldChar"/>
          <w:rtl/>
        </w:rPr>
        <w:t>الوسائل</w:t>
      </w:r>
      <w:r w:rsidR="00992664" w:rsidRPr="00020424">
        <w:rPr>
          <w:rtl/>
        </w:rPr>
        <w:t xml:space="preserve"> ، ج 16 ، ص 287 ، ح 21564.</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حاشية « بث ، بح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إِنَّ </w:t>
      </w:r>
      <w:r w:rsidRPr="00A91B96">
        <w:rPr>
          <w:rStyle w:val="libFootnotenumChar"/>
          <w:rtl/>
        </w:rPr>
        <w:t>(1)</w:t>
      </w:r>
      <w:r w:rsidRPr="00020424">
        <w:rPr>
          <w:rtl/>
          <w:lang w:bidi="fa-IR"/>
        </w:rPr>
        <w:t xml:space="preserve"> صَنَائِعَ الْمَعْرُوفِ تَدْفَعُ مَصَارِعَ السُّوءِ</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229" w:name="_Toc345172793"/>
      <w:bookmarkStart w:id="230" w:name="_Toc464562609"/>
      <w:bookmarkStart w:id="231" w:name="_Toc44599912"/>
      <w:r w:rsidRPr="00020424">
        <w:rPr>
          <w:rtl/>
          <w:lang w:bidi="fa-IR"/>
        </w:rPr>
        <w:t>71</w:t>
      </w:r>
      <w:r>
        <w:rPr>
          <w:rtl/>
          <w:lang w:bidi="fa-IR"/>
        </w:rPr>
        <w:t xml:space="preserve"> </w:t>
      </w:r>
      <w:r w:rsidR="009B673F">
        <w:rPr>
          <w:rtl/>
          <w:lang w:bidi="fa-IR"/>
        </w:rPr>
        <w:t>-</w:t>
      </w:r>
      <w:r>
        <w:rPr>
          <w:rtl/>
          <w:lang w:bidi="fa-IR"/>
        </w:rPr>
        <w:t xml:space="preserve"> </w:t>
      </w:r>
      <w:r w:rsidRPr="00020424">
        <w:rPr>
          <w:rtl/>
          <w:lang w:bidi="fa-IR"/>
        </w:rPr>
        <w:t>بَابُ أَنَّ أَهْلَ الْمَعْرُوفِ فِي الدُّنْيَا هُمْ أَهْلُ الْمَعْرُوفِ فِي الْآخِرَةِ‌</w:t>
      </w:r>
      <w:bookmarkEnd w:id="229"/>
      <w:bookmarkEnd w:id="230"/>
      <w:bookmarkEnd w:id="231"/>
    </w:p>
    <w:p w:rsidR="00992664" w:rsidRPr="00020424" w:rsidRDefault="00992664" w:rsidP="00992664">
      <w:pPr>
        <w:pStyle w:val="libNormal"/>
        <w:rPr>
          <w:rtl/>
          <w:lang w:bidi="fa-IR"/>
        </w:rPr>
      </w:pPr>
      <w:r w:rsidRPr="007021C1">
        <w:rPr>
          <w:rtl/>
        </w:rPr>
        <w:t>6111</w:t>
      </w:r>
      <w:r w:rsidRPr="001155DE">
        <w:rPr>
          <w:rStyle w:val="libBold2Char"/>
          <w:rtl/>
        </w:rPr>
        <w:t xml:space="preserve"> / 1.</w:t>
      </w:r>
      <w:r w:rsidRPr="00020424">
        <w:rPr>
          <w:rtl/>
          <w:lang w:bidi="fa-IR"/>
        </w:rPr>
        <w:t xml:space="preserve"> عِدَّةٌ مِنْ أَصْحَابِنَا ، عَنْ أَحْمَدَ بْنِ أَبِي عَبْدِ اللهِ ، عَنْ زَكَرِيَّا الْمُؤْمِنِ ، عَنْ دَاوُدَ بْنِ فَرْقَدٍ أَوْ قُتَيْبَةَ الْأَعْشى :</w:t>
      </w:r>
    </w:p>
    <w:p w:rsidR="00992664" w:rsidRPr="00020424" w:rsidRDefault="00992664" w:rsidP="00A90FD5">
      <w:pPr>
        <w:pStyle w:val="libNormal"/>
        <w:rPr>
          <w:rtl/>
          <w:lang w:bidi="fa-IR"/>
        </w:rPr>
      </w:pPr>
      <w:r w:rsidRPr="00020424">
        <w:rPr>
          <w:rtl/>
          <w:lang w:bidi="fa-IR"/>
        </w:rPr>
        <w:t xml:space="preserve">عَنْ أَبِي عَبْدِ اللهِ </w:t>
      </w:r>
      <w:r w:rsidR="00A90FD5" w:rsidRPr="00005A81">
        <w:rPr>
          <w:rStyle w:val="libAlaemChar"/>
          <w:rtl/>
        </w:rPr>
        <w:t>عليه‌السلام</w:t>
      </w:r>
      <w:r w:rsidR="00A90FD5" w:rsidRPr="00020424">
        <w:rPr>
          <w:rtl/>
          <w:lang w:bidi="fa-IR"/>
        </w:rPr>
        <w:t xml:space="preserve"> </w:t>
      </w:r>
      <w:r w:rsidRPr="00020424">
        <w:rPr>
          <w:rtl/>
          <w:lang w:bidi="fa-IR"/>
        </w:rPr>
        <w:t xml:space="preserve">، قَالَ : « قَالَ أَصْحَابُ رَسُولِ اللهِ </w:t>
      </w:r>
      <w:r w:rsidR="00B42914" w:rsidRPr="00B42914">
        <w:rPr>
          <w:rStyle w:val="libAlaemChar"/>
          <w:rtl/>
        </w:rPr>
        <w:t>صلى‌الله‌عليه‌وآله‌</w:t>
      </w:r>
      <w:r w:rsidRPr="00020424">
        <w:rPr>
          <w:rtl/>
          <w:lang w:bidi="fa-IR"/>
        </w:rPr>
        <w:t xml:space="preserve"> : يَا رَسُولَ اللهِ ، فِدَاكَ آبَاؤُنَا وَأُمَّهَاتُنَا ، إِنَّ أَصْحَابَ </w:t>
      </w:r>
      <w:r w:rsidRPr="00A91B96">
        <w:rPr>
          <w:rStyle w:val="libFootnotenumChar"/>
          <w:rtl/>
        </w:rPr>
        <w:t>(3)</w:t>
      </w:r>
      <w:r w:rsidRPr="00020424">
        <w:rPr>
          <w:rtl/>
          <w:lang w:bidi="fa-IR"/>
        </w:rPr>
        <w:t xml:space="preserve"> الْمَعْرُوفِ فِي الدُّنْيَا </w:t>
      </w:r>
      <w:r w:rsidRPr="00A91B96">
        <w:rPr>
          <w:rStyle w:val="libFootnotenumChar"/>
          <w:rtl/>
        </w:rPr>
        <w:t>(4)</w:t>
      </w:r>
      <w:r w:rsidRPr="00020424">
        <w:rPr>
          <w:rtl/>
          <w:lang w:bidi="fa-IR"/>
        </w:rPr>
        <w:t xml:space="preserve"> عُرِفُوا بِمَعْرُوفِهِمْ ، فَبِمَ </w:t>
      </w:r>
      <w:r w:rsidRPr="00A91B96">
        <w:rPr>
          <w:rStyle w:val="libFootnotenumChar"/>
          <w:rtl/>
        </w:rPr>
        <w:t>(5)</w:t>
      </w:r>
      <w:r w:rsidRPr="00020424">
        <w:rPr>
          <w:rtl/>
          <w:lang w:bidi="fa-IR"/>
        </w:rPr>
        <w:t xml:space="preserve"> يُعْرَفُونَ فِي الْآخِرَةِ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إِذَا أَدْخَلَ </w:t>
      </w:r>
      <w:r w:rsidRPr="00A91B96">
        <w:rPr>
          <w:rStyle w:val="libFootnotenumChar"/>
          <w:rtl/>
        </w:rPr>
        <w:t>(7)</w:t>
      </w:r>
      <w:r w:rsidRPr="00020424">
        <w:rPr>
          <w:rtl/>
          <w:lang w:bidi="fa-IR"/>
        </w:rPr>
        <w:t xml:space="preserve"> أَهْلَ الْجَنَّةِ الْجَنَّةَ ، أَمَرَ رِيحاً عَبِقَةً </w:t>
      </w:r>
      <w:r w:rsidRPr="00A91B96">
        <w:rPr>
          <w:rStyle w:val="libFootnotenumChar"/>
          <w:rtl/>
        </w:rPr>
        <w:t>(8)</w:t>
      </w:r>
      <w:r w:rsidRPr="00020424">
        <w:rPr>
          <w:rtl/>
          <w:lang w:bidi="fa-IR"/>
        </w:rPr>
        <w:t xml:space="preserve"> طَيِّبَةً </w:t>
      </w:r>
      <w:r w:rsidRPr="00A91B96">
        <w:rPr>
          <w:rStyle w:val="libFootnotenumChar"/>
          <w:rtl/>
        </w:rPr>
        <w:t>(9)</w:t>
      </w:r>
      <w:r w:rsidRPr="00020424">
        <w:rPr>
          <w:rtl/>
          <w:lang w:bidi="fa-IR"/>
        </w:rPr>
        <w:t xml:space="preserve"> ، فَلَزِقَتْ </w:t>
      </w:r>
      <w:r w:rsidRPr="00A91B96">
        <w:rPr>
          <w:rStyle w:val="libFootnotenumChar"/>
          <w:rtl/>
        </w:rPr>
        <w:t>(10)</w:t>
      </w:r>
      <w:r w:rsidRPr="00020424">
        <w:rPr>
          <w:rtl/>
          <w:lang w:bidi="fa-IR"/>
        </w:rPr>
        <w:t xml:space="preserve"> بِأَهْلِ الْمَعْرُوفِ ، فَلَا يَمُرُّ </w:t>
      </w:r>
      <w:r w:rsidRPr="00A91B96">
        <w:rPr>
          <w:rStyle w:val="libFootnotenumChar"/>
          <w:rtl/>
        </w:rPr>
        <w:t>(11)</w:t>
      </w:r>
      <w:r w:rsidRPr="00020424">
        <w:rPr>
          <w:rtl/>
          <w:lang w:bidi="fa-IR"/>
        </w:rPr>
        <w:t xml:space="preserve"> أَحَدٌ مِنْهُمْ بِمَلَإٍ مِنْ </w:t>
      </w:r>
      <w:r w:rsidRPr="00A91B96">
        <w:rPr>
          <w:rStyle w:val="libFootnotenumChar"/>
          <w:rtl/>
        </w:rPr>
        <w:t>(12)</w:t>
      </w:r>
      <w:r w:rsidR="00F6675A">
        <w:rPr>
          <w:rtl/>
          <w:lang w:bidi="fa-IR"/>
        </w:rPr>
        <w:t xml:space="preserve"> أَهْلِ الْجَنَّةِ إِل</w:t>
      </w:r>
      <w:r w:rsidR="00F6675A">
        <w:rPr>
          <w:rFonts w:hint="cs"/>
          <w:rtl/>
          <w:lang w:bidi="fa-IR"/>
        </w:rPr>
        <w:t>َّ</w:t>
      </w:r>
      <w:r w:rsidR="00F6675A">
        <w:rPr>
          <w:rtl/>
          <w:lang w:bidi="fa-IR"/>
        </w:rPr>
        <w:t>ا</w:t>
      </w:r>
      <w:r w:rsidRPr="00020424">
        <w:rPr>
          <w:rtl/>
          <w:lang w:bidi="fa-IR"/>
        </w:rPr>
        <w:t xml:space="preserve"> وَجَدُوا‌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بك » </w:t>
      </w:r>
      <w:r w:rsidR="00992664" w:rsidRPr="00515444">
        <w:rPr>
          <w:rStyle w:val="libFootnoteBoldChar"/>
          <w:rtl/>
        </w:rPr>
        <w:t>والوافي</w:t>
      </w:r>
      <w:r w:rsidR="00992664" w:rsidRPr="00020424">
        <w:rPr>
          <w:rtl/>
        </w:rPr>
        <w:t xml:space="preserve"> </w:t>
      </w:r>
      <w:r w:rsidR="00992664" w:rsidRPr="00666432">
        <w:rPr>
          <w:rStyle w:val="libFootnoteBoldChar"/>
          <w:rtl/>
        </w:rPr>
        <w:t>والاختصاص</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الزهد</w:t>
      </w:r>
      <w:r w:rsidR="00992664" w:rsidRPr="00020424">
        <w:rPr>
          <w:rtl/>
        </w:rPr>
        <w:t xml:space="preserve"> ، ص 95 ، صدر ح 79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254 ، المجلس 44 ، صدر ح 5 ، بسند آخر. </w:t>
      </w:r>
      <w:r w:rsidR="00992664" w:rsidRPr="00757F3F">
        <w:rPr>
          <w:rStyle w:val="libFootnoteBoldChar"/>
          <w:rtl/>
        </w:rPr>
        <w:t>الأمالي للطوسي</w:t>
      </w:r>
      <w:r w:rsidR="00992664" w:rsidRPr="00020424">
        <w:rPr>
          <w:rtl/>
        </w:rPr>
        <w:t xml:space="preserve"> ، ص 216 ، المجلس 8 ، ضمن ح 30 ، بسند آخر عن أبي جعفر ، عن عليّ </w:t>
      </w:r>
      <w:r w:rsidR="00D64ADA" w:rsidRPr="00D64ADA">
        <w:rPr>
          <w:rStyle w:val="libFootnoteAlaemChar"/>
          <w:rtl/>
        </w:rPr>
        <w:t>عليهما‌السلام</w:t>
      </w:r>
      <w:r w:rsidR="00992664" w:rsidRPr="00020424">
        <w:rPr>
          <w:rtl/>
        </w:rPr>
        <w:t xml:space="preserve"> ؛ </w:t>
      </w:r>
      <w:r w:rsidR="00992664" w:rsidRPr="00DE76B9">
        <w:rPr>
          <w:rStyle w:val="libFootnoteBoldChar"/>
          <w:rtl/>
        </w:rPr>
        <w:t>وفيه</w:t>
      </w:r>
      <w:r w:rsidR="00992664" w:rsidRPr="00020424">
        <w:rPr>
          <w:rtl/>
        </w:rPr>
        <w:t xml:space="preserve"> ، ص 603 ، المجلس 27 ، صدر ح 6 ، بسند آخر عن أبي جعفر </w:t>
      </w:r>
      <w:r w:rsidR="00992664" w:rsidRPr="00D64ADA">
        <w:rPr>
          <w:rStyle w:val="libFootnoteAlaemChar"/>
          <w:rtl/>
        </w:rPr>
        <w:t>عليه‌السلام</w:t>
      </w:r>
      <w:r w:rsidR="00992664" w:rsidRPr="00020424">
        <w:rPr>
          <w:rtl/>
        </w:rPr>
        <w:t xml:space="preserve"> ، عن ا</w:t>
      </w:r>
      <w:r w:rsidR="00F6675A">
        <w:rPr>
          <w:rFonts w:hint="cs"/>
          <w:rtl/>
        </w:rPr>
        <w:t>ُ</w:t>
      </w:r>
      <w:r w:rsidR="00992664" w:rsidRPr="00020424">
        <w:rPr>
          <w:rtl/>
        </w:rPr>
        <w:t xml:space="preserve">مّ سلمة ، عن النبيّ </w:t>
      </w:r>
      <w:r w:rsidR="00D64ADA" w:rsidRPr="00F6675A">
        <w:rPr>
          <w:rStyle w:val="libFootnoteAlaemChar"/>
          <w:rtl/>
        </w:rPr>
        <w:t>صلى‌الله‌عليه‌وآله</w:t>
      </w:r>
      <w:r w:rsidR="00B42914" w:rsidRPr="00F6675A">
        <w:rPr>
          <w:rStyle w:val="libFootnote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2 ، ص 56 ، ح 1687 ؛ </w:t>
      </w:r>
      <w:r w:rsidR="00992664" w:rsidRPr="00666432">
        <w:rPr>
          <w:rStyle w:val="libFootnoteBoldChar"/>
          <w:rtl/>
        </w:rPr>
        <w:t>والاختصاص</w:t>
      </w:r>
      <w:r w:rsidR="00992664" w:rsidRPr="00020424">
        <w:rPr>
          <w:rtl/>
        </w:rPr>
        <w:t xml:space="preserve"> ، ص 240 ، مرسلاً </w:t>
      </w:r>
      <w:r w:rsidR="00F6675A">
        <w:rPr>
          <w:rFonts w:hint="cs"/>
          <w:rtl/>
        </w:rPr>
        <w:t>.</w:t>
      </w:r>
      <w:r w:rsidR="00992664" w:rsidRPr="0012008A">
        <w:rPr>
          <w:rStyle w:val="libFootnoteBoldChar"/>
          <w:rtl/>
        </w:rPr>
        <w:t>الوافي</w:t>
      </w:r>
      <w:r w:rsidR="00992664" w:rsidRPr="00020424">
        <w:rPr>
          <w:rtl/>
        </w:rPr>
        <w:t xml:space="preserve"> ، ج 10 ، ص 453 ، ح 9873 ؛ </w:t>
      </w:r>
      <w:r w:rsidR="00992664" w:rsidRPr="0012008A">
        <w:rPr>
          <w:rStyle w:val="libFootnoteBoldChar"/>
          <w:rtl/>
        </w:rPr>
        <w:t>الوسائل</w:t>
      </w:r>
      <w:r w:rsidR="00992664" w:rsidRPr="00020424">
        <w:rPr>
          <w:rtl/>
        </w:rPr>
        <w:t xml:space="preserve"> ، ج 16 ، ص 287 ، ح 21565.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أهل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 + « 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F7FF2" w:rsidTr="006F7FF2">
        <w:tc>
          <w:tcPr>
            <w:tcW w:w="4006" w:type="dxa"/>
          </w:tcPr>
          <w:p w:rsidR="006F7FF2" w:rsidRDefault="006F7FF2" w:rsidP="00992664">
            <w:pPr>
              <w:pStyle w:val="libFootnote0"/>
              <w:rPr>
                <w:rtl/>
              </w:rPr>
            </w:pPr>
            <w:r>
              <w:rPr>
                <w:rtl/>
              </w:rPr>
              <w:t xml:space="preserve">(5). </w:t>
            </w:r>
            <w:r w:rsidRPr="00020424">
              <w:rPr>
                <w:rtl/>
              </w:rPr>
              <w:t>في « جن » : « فبما</w:t>
            </w:r>
            <w:r>
              <w:rPr>
                <w:rtl/>
              </w:rPr>
              <w:t xml:space="preserve"> ».</w:t>
            </w:r>
          </w:p>
        </w:tc>
        <w:tc>
          <w:tcPr>
            <w:tcW w:w="4006" w:type="dxa"/>
          </w:tcPr>
          <w:p w:rsidR="006F7FF2" w:rsidRDefault="006F7FF2" w:rsidP="00992664">
            <w:pPr>
              <w:pStyle w:val="libFootnote0"/>
              <w:rPr>
                <w:rtl/>
              </w:rPr>
            </w:pPr>
            <w:r>
              <w:rPr>
                <w:rtl/>
              </w:rPr>
              <w:t xml:space="preserve">(6). </w:t>
            </w:r>
            <w:r w:rsidRPr="00020424">
              <w:rPr>
                <w:rtl/>
              </w:rPr>
              <w:t>في « بث ، بخ » : « قال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بس ، بف » : « دخل</w:t>
      </w:r>
      <w:r w:rsidR="00992664">
        <w:rPr>
          <w:rtl/>
        </w:rPr>
        <w:t xml:space="preserve"> ».</w:t>
      </w:r>
    </w:p>
    <w:p w:rsidR="00992664" w:rsidRPr="00020424" w:rsidRDefault="00795177" w:rsidP="006F7FF2">
      <w:pPr>
        <w:pStyle w:val="libFootnote0"/>
        <w:rPr>
          <w:rtl/>
          <w:lang w:bidi="fa-IR"/>
        </w:rPr>
      </w:pPr>
      <w:r>
        <w:rPr>
          <w:rtl/>
        </w:rPr>
        <w:t>(8).</w:t>
      </w:r>
      <w:r w:rsidR="0014403D">
        <w:rPr>
          <w:rtl/>
        </w:rPr>
        <w:t xml:space="preserve"> </w:t>
      </w:r>
      <w:r w:rsidR="00992664" w:rsidRPr="00020424">
        <w:rPr>
          <w:rtl/>
        </w:rPr>
        <w:t>« عَبِقة » أي لَزِقة ؛ من العَبَق بالتحريك ، وهو مصدر قولك : عبق به الطيب ، من باب تعب ، أي لزق ولصق به ، أو ظهرت ريحه بثوبه أو بدنه</w:t>
      </w:r>
      <w:r w:rsidR="006F7FF2">
        <w:rPr>
          <w:rtl/>
        </w:rPr>
        <w:t xml:space="preserve"> ، وقالوا : لا يكون العَبَق إل</w:t>
      </w:r>
      <w:r w:rsidR="006F7FF2">
        <w:rPr>
          <w:rFonts w:hint="cs"/>
          <w:rtl/>
        </w:rPr>
        <w:t>ّ</w:t>
      </w:r>
      <w:r w:rsidR="006F7FF2">
        <w:rPr>
          <w:rtl/>
        </w:rPr>
        <w:t>ا</w:t>
      </w:r>
      <w:r w:rsidR="00992664">
        <w:rPr>
          <w:rFonts w:hint="cs"/>
          <w:rtl/>
        </w:rPr>
        <w:t xml:space="preserve"> </w:t>
      </w:r>
      <w:r w:rsidR="00992664" w:rsidRPr="00020424">
        <w:rPr>
          <w:rtl/>
        </w:rPr>
        <w:t xml:space="preserve">الرائحة الطيّبة الذكيّة. راجع : </w:t>
      </w:r>
      <w:r w:rsidR="00992664" w:rsidRPr="0012008A">
        <w:rPr>
          <w:rStyle w:val="libFootnoteBoldChar"/>
          <w:rtl/>
        </w:rPr>
        <w:t>الصحاح</w:t>
      </w:r>
      <w:r w:rsidR="00992664" w:rsidRPr="00020424">
        <w:rPr>
          <w:rtl/>
        </w:rPr>
        <w:t xml:space="preserve"> ، ج 4 ، ص 1519 ؛ </w:t>
      </w:r>
      <w:r w:rsidR="00992664" w:rsidRPr="00A722B1">
        <w:rPr>
          <w:rStyle w:val="libFootnoteBoldChar"/>
          <w:rtl/>
        </w:rPr>
        <w:t>المصباح المنير</w:t>
      </w:r>
      <w:r w:rsidR="00992664" w:rsidRPr="00020424">
        <w:rPr>
          <w:rtl/>
        </w:rPr>
        <w:t xml:space="preserve"> ، ص 390 ( عبق )</w:t>
      </w:r>
      <w:r w:rsidR="00992664">
        <w:rPr>
          <w:rtl/>
        </w:rPr>
        <w:t>.</w:t>
      </w:r>
      <w:r w:rsidR="006F7FF2">
        <w:rPr>
          <w:rFonts w:hint="cs"/>
          <w:rtl/>
        </w:rPr>
        <w:t xml:space="preserve">           </w:t>
      </w:r>
      <w:r>
        <w:rPr>
          <w:rtl/>
        </w:rPr>
        <w:t>(9).</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طيّبة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 فلصقت</w:t>
      </w:r>
      <w:r w:rsidR="00992664">
        <w:rPr>
          <w:rtl/>
        </w:rPr>
        <w:t xml:space="preserve"> ».</w:t>
      </w:r>
      <w:r w:rsidR="00992664" w:rsidRPr="00020424">
        <w:rPr>
          <w:rtl/>
        </w:rPr>
        <w:t xml:space="preserve"> وفي « بخ » : « فلزمت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F7FF2" w:rsidTr="006F7FF2">
        <w:tc>
          <w:tcPr>
            <w:tcW w:w="4006" w:type="dxa"/>
          </w:tcPr>
          <w:p w:rsidR="006F7FF2" w:rsidRDefault="006F7FF2" w:rsidP="00992664">
            <w:pPr>
              <w:pStyle w:val="libFootnote0"/>
              <w:rPr>
                <w:rtl/>
              </w:rPr>
            </w:pPr>
            <w:r>
              <w:rPr>
                <w:rtl/>
              </w:rPr>
              <w:t xml:space="preserve">(11). </w:t>
            </w:r>
            <w:r w:rsidRPr="00020424">
              <w:rPr>
                <w:rtl/>
              </w:rPr>
              <w:t>في « بح » : « ولا يمرّ</w:t>
            </w:r>
            <w:r>
              <w:rPr>
                <w:rtl/>
              </w:rPr>
              <w:t xml:space="preserve"> ».</w:t>
            </w:r>
          </w:p>
        </w:tc>
        <w:tc>
          <w:tcPr>
            <w:tcW w:w="4006" w:type="dxa"/>
          </w:tcPr>
          <w:p w:rsidR="006F7FF2" w:rsidRDefault="006F7FF2" w:rsidP="00992664">
            <w:pPr>
              <w:pStyle w:val="libFootnote0"/>
              <w:rPr>
                <w:rtl/>
              </w:rPr>
            </w:pPr>
            <w:r>
              <w:rPr>
                <w:rtl/>
              </w:rPr>
              <w:t xml:space="preserve">(12). </w:t>
            </w:r>
            <w:r w:rsidRPr="00020424">
              <w:rPr>
                <w:rtl/>
              </w:rPr>
              <w:t>في « ى » :</w:t>
            </w:r>
            <w:r>
              <w:rPr>
                <w:rtl/>
              </w:rPr>
              <w:t xml:space="preserve"> - </w:t>
            </w:r>
            <w:r w:rsidRPr="00020424">
              <w:rPr>
                <w:rtl/>
              </w:rPr>
              <w:t>« من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رِيحَهُ </w:t>
      </w:r>
      <w:r w:rsidRPr="00A91B96">
        <w:rPr>
          <w:rStyle w:val="libFootnotenumChar"/>
          <w:rtl/>
        </w:rPr>
        <w:t>(1)</w:t>
      </w:r>
      <w:r w:rsidRPr="00020424">
        <w:rPr>
          <w:rtl/>
          <w:lang w:bidi="fa-IR"/>
        </w:rPr>
        <w:t xml:space="preserve"> ، فَقَالُوا : هذَا مِنْ أَهْلِ الْمَعْرُوفِ</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3508FD">
        <w:rPr>
          <w:rtl/>
        </w:rPr>
        <w:t>6112</w:t>
      </w:r>
      <w:r w:rsidRPr="001155DE">
        <w:rPr>
          <w:rStyle w:val="libBold2Char"/>
          <w:rtl/>
        </w:rPr>
        <w:t xml:space="preserve"> / 2.</w:t>
      </w:r>
      <w:r w:rsidRPr="00020424">
        <w:rPr>
          <w:rtl/>
          <w:lang w:bidi="fa-IR"/>
        </w:rPr>
        <w:t xml:space="preserve"> مُحَمَّدُ بْنُ يَحْيى ، عَنْ أَحْمَدَ بْنِ مُحَمَّدِ بْنِ عِيسى ، عَنْ أَبِي عَبْدِ اللهِ الْبَرْقِيِّ ، عَنْ بَعْضِ أَصْحَابِنَا </w:t>
      </w:r>
      <w:r w:rsidRPr="00A91B96">
        <w:rPr>
          <w:rStyle w:val="libFootnotenumChar"/>
          <w:rtl/>
        </w:rPr>
        <w:t>(3)</w:t>
      </w:r>
      <w:r w:rsidRPr="00020424">
        <w:rPr>
          <w:rtl/>
          <w:lang w:bidi="fa-IR"/>
        </w:rPr>
        <w:t xml:space="preserve"> رَفَعَهُ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w:t>
      </w:r>
      <w:r w:rsidRPr="00A91B96">
        <w:rPr>
          <w:rStyle w:val="libFootnotenumChar"/>
          <w:rtl/>
        </w:rPr>
        <w:t>(5)</w:t>
      </w:r>
      <w:r w:rsidRPr="00020424">
        <w:rPr>
          <w:rtl/>
          <w:lang w:bidi="fa-IR"/>
        </w:rPr>
        <w:t xml:space="preserve"> أَبِي عَبْدِ اللهِ </w:t>
      </w:r>
      <w:r w:rsidRPr="00005A81">
        <w:rPr>
          <w:rStyle w:val="libAlaemChar"/>
          <w:rtl/>
        </w:rPr>
        <w:t>عليه‌السلام</w:t>
      </w:r>
      <w:r w:rsidRPr="00020424">
        <w:rPr>
          <w:rtl/>
          <w:lang w:bidi="fa-IR"/>
        </w:rPr>
        <w:t xml:space="preserve"> ، قَالَ : « أَهْلُ الْمَعْرُوفِ فِي الدُّنْيَا هُمْ أَهْلُ الْمَعْرُوفِ فِي الْآخِرَةِ ، يُقَالُ لَهُمْ : إِنَّ ذُنُوبَكُمْ قَدْ غُفِرَتْ لَكُمْ ، فَهِبُوا حَسَنَاتِكُمْ لِمَنْ شِئْتُمْ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3508FD">
        <w:rPr>
          <w:rtl/>
        </w:rPr>
        <w:t>6113</w:t>
      </w:r>
      <w:r w:rsidRPr="001155DE">
        <w:rPr>
          <w:rStyle w:val="libBold2Char"/>
          <w:rtl/>
        </w:rPr>
        <w:t xml:space="preserve"> / 3.</w:t>
      </w:r>
      <w:r w:rsidRPr="00020424">
        <w:rPr>
          <w:rtl/>
          <w:lang w:bidi="fa-IR"/>
        </w:rPr>
        <w:t xml:space="preserve"> أَحْمَدُ بْنُ إِدْرِيسَ ، عَنْ مُحَمَّدِ بْنِ عَبْدِ الْجَبَّارِ ، عَنْ صَفْوَانَ بْنِ يَحْيى </w:t>
      </w:r>
      <w:r w:rsidRPr="00A91B96">
        <w:rPr>
          <w:rStyle w:val="libFootnotenumChar"/>
          <w:rtl/>
        </w:rPr>
        <w:t>(7)</w:t>
      </w:r>
      <w:r w:rsidRPr="00020424">
        <w:rPr>
          <w:rtl/>
          <w:lang w:bidi="fa-IR"/>
        </w:rPr>
        <w:t xml:space="preserve"> ، عَنْ عَبْدِ اللهِ بْنِ الْوَلِيدِ الْوَصَّافِيِّ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أَهْلُ الْمَعْرُوفِ فِي الدُّنْيَا هُمْ أَهْلُ الْمَعْرُوفِ فِي الْآخِرَةِ ، وَأَهْلُ الْمُنْكَرِ فِي الدُّنْيَا </w:t>
      </w:r>
      <w:r w:rsidRPr="00A91B96">
        <w:rPr>
          <w:rStyle w:val="libFootnotenumChar"/>
          <w:rtl/>
        </w:rPr>
        <w:t>(8)</w:t>
      </w:r>
      <w:r w:rsidRPr="00020424">
        <w:rPr>
          <w:rtl/>
          <w:lang w:bidi="fa-IR"/>
        </w:rPr>
        <w:t xml:space="preserve"> هُمْ أَهْلُ الْمُنْكَرِ فِي الْآخِرَةِ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بك ، جن » : « رائحة</w:t>
      </w:r>
      <w:r w:rsidR="00992664">
        <w:rPr>
          <w:rtl/>
        </w:rPr>
        <w:t xml:space="preserve"> ».</w:t>
      </w:r>
      <w:r w:rsidR="00992664" w:rsidRPr="00020424">
        <w:rPr>
          <w:rtl/>
        </w:rPr>
        <w:t xml:space="preserve"> وفي « بف » : « رائحته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452 ، ح 9899 ؛ </w:t>
      </w:r>
      <w:r w:rsidR="00992664" w:rsidRPr="0012008A">
        <w:rPr>
          <w:rStyle w:val="libFootnoteBoldChar"/>
          <w:rtl/>
        </w:rPr>
        <w:t>الوسائل</w:t>
      </w:r>
      <w:r w:rsidR="00992664" w:rsidRPr="00020424">
        <w:rPr>
          <w:rtl/>
        </w:rPr>
        <w:t xml:space="preserve"> ، ج 16 ، ص 304 ، ح 21608 ؛ </w:t>
      </w:r>
      <w:r w:rsidR="00992664" w:rsidRPr="0012008A">
        <w:rPr>
          <w:rStyle w:val="libFootnoteBoldChar"/>
          <w:rtl/>
        </w:rPr>
        <w:t>البحار</w:t>
      </w:r>
      <w:r w:rsidR="00992664" w:rsidRPr="00020424">
        <w:rPr>
          <w:rtl/>
        </w:rPr>
        <w:t xml:space="preserve"> ، ج 8 ، ص 156 ، ح 95.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بس ، بف » وحاشية « بث » </w:t>
      </w:r>
      <w:r w:rsidR="00992664" w:rsidRPr="00EB1FD9">
        <w:rPr>
          <w:rStyle w:val="libFootnoteBoldChar"/>
          <w:rtl/>
        </w:rPr>
        <w:t>والوسائل</w:t>
      </w:r>
      <w:r w:rsidR="00992664" w:rsidRPr="00020424">
        <w:rPr>
          <w:rtl/>
        </w:rPr>
        <w:t xml:space="preserve"> : « أصحابه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 « يرفعه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إلى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ثواب الأعمال</w:t>
      </w:r>
      <w:r w:rsidR="00992664" w:rsidRPr="00020424">
        <w:rPr>
          <w:rtl/>
        </w:rPr>
        <w:t xml:space="preserve"> ، ص 217 ، ح 1 ، بسنده عن أحمد بن أبي عبدالله البرقي ، عن أبيه يرفع الحديث عن رسول الله </w:t>
      </w:r>
      <w:r w:rsidR="00D64ADA" w:rsidRPr="00AA6EA3">
        <w:rPr>
          <w:rStyle w:val="libFootnoteAlaemChar"/>
          <w:rtl/>
        </w:rPr>
        <w:t>صلى‌الله‌عليه‌وآله</w:t>
      </w:r>
      <w:r w:rsidR="00B42914" w:rsidRPr="00AA6EA3">
        <w:rPr>
          <w:rStyle w:val="libFootnoteAlaemChar"/>
          <w:rtl/>
        </w:rPr>
        <w:t>‌</w:t>
      </w:r>
      <w:r w:rsidR="00992664" w:rsidRPr="00020424">
        <w:rPr>
          <w:rtl/>
        </w:rPr>
        <w:t xml:space="preserve">. </w:t>
      </w:r>
      <w:r w:rsidR="00992664" w:rsidRPr="00757F3F">
        <w:rPr>
          <w:rStyle w:val="libFootnoteBoldChar"/>
          <w:rtl/>
        </w:rPr>
        <w:t>الأمالي للطوسي</w:t>
      </w:r>
      <w:r w:rsidR="00992664" w:rsidRPr="00020424">
        <w:rPr>
          <w:rtl/>
        </w:rPr>
        <w:t xml:space="preserve"> ، ص 304 ، المجلس 11 ، ح 57 ، بسنده عن أبي عبدالله محمّد بن خالد البرقي ، عن أبي قتادة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373 ، وفي كلّها مع اختلاف يسير. </w:t>
      </w:r>
      <w:r w:rsidR="00992664" w:rsidRPr="00DE76B9">
        <w:rPr>
          <w:rStyle w:val="libFootnoteBoldChar"/>
          <w:rtl/>
        </w:rPr>
        <w:t>الاختصاص</w:t>
      </w:r>
      <w:r w:rsidR="00992664" w:rsidRPr="00020424">
        <w:rPr>
          <w:rtl/>
        </w:rPr>
        <w:t xml:space="preserve"> ، ص 240 ، مرسلاً ، مع زيادة في آخره ؛ </w:t>
      </w:r>
      <w:r w:rsidR="00992664" w:rsidRPr="0012008A">
        <w:rPr>
          <w:rStyle w:val="libFootnoteBoldChar"/>
          <w:rtl/>
        </w:rPr>
        <w:t>الفقيه</w:t>
      </w:r>
      <w:r w:rsidR="00992664" w:rsidRPr="00020424">
        <w:rPr>
          <w:rtl/>
        </w:rPr>
        <w:t xml:space="preserve"> ، ج 2 ، ص 55 ، ح 1681 ، مرسلاًمن دون التصريح باسم المعصوم </w:t>
      </w:r>
      <w:r w:rsidR="00992664" w:rsidRPr="00D64ADA">
        <w:rPr>
          <w:rStyle w:val="libFootnoteAlaemChar"/>
          <w:rtl/>
        </w:rPr>
        <w:t>عليه‌السلام</w:t>
      </w:r>
      <w:r w:rsidR="00992664" w:rsidRPr="00020424">
        <w:rPr>
          <w:rtl/>
        </w:rPr>
        <w:t xml:space="preserve"> ، وتمام الرواية هكذا : « أهل المعروف في الدنيا أهل المعروف في الآخرة » </w:t>
      </w:r>
      <w:r w:rsidR="00AA6EA3">
        <w:rPr>
          <w:rFonts w:hint="cs"/>
          <w:rtl/>
        </w:rPr>
        <w:t>.</w:t>
      </w:r>
      <w:r w:rsidR="00992664" w:rsidRPr="0012008A">
        <w:rPr>
          <w:rStyle w:val="libFootnoteBoldChar"/>
          <w:rtl/>
        </w:rPr>
        <w:t>الوافي</w:t>
      </w:r>
      <w:r w:rsidR="00992664" w:rsidRPr="00020424">
        <w:rPr>
          <w:rtl/>
        </w:rPr>
        <w:t xml:space="preserve"> ، ج 10 ، ص 452 ، ح 9867 ؛ </w:t>
      </w:r>
      <w:r w:rsidR="00992664" w:rsidRPr="0012008A">
        <w:rPr>
          <w:rStyle w:val="libFootnoteBoldChar"/>
          <w:rtl/>
        </w:rPr>
        <w:t>الوسائل</w:t>
      </w:r>
      <w:r w:rsidR="00992664" w:rsidRPr="00020424">
        <w:rPr>
          <w:rtl/>
        </w:rPr>
        <w:t xml:space="preserve"> ، ج 16 ، ص 304 ، ح 21610.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في الدنيا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الزهد</w:t>
      </w:r>
      <w:r w:rsidR="00992664" w:rsidRPr="00020424">
        <w:rPr>
          <w:rtl/>
        </w:rPr>
        <w:t xml:space="preserve"> ، ص 95 ، ضمن ح 79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254 ، المجلس 44 ، ضمن ح 5 ، بسندهما عن عبدالله بن الوليد الوصّافي ، عن أبي جعفر </w:t>
      </w:r>
      <w:r w:rsidR="00992664" w:rsidRPr="00D64ADA">
        <w:rPr>
          <w:rStyle w:val="libFootnoteAlaemChar"/>
          <w:rtl/>
        </w:rPr>
        <w:t>عليه‌السلام</w:t>
      </w:r>
      <w:r w:rsidR="00992664" w:rsidRPr="00020424">
        <w:rPr>
          <w:rtl/>
        </w:rPr>
        <w:t xml:space="preserve"> ، من دون الإسناد إلى النبيّ </w:t>
      </w:r>
      <w:r w:rsidR="00D64ADA" w:rsidRPr="00AA6EA3">
        <w:rPr>
          <w:rStyle w:val="libFootnoteAlaemChar"/>
          <w:rtl/>
        </w:rPr>
        <w:t>صلى‌الله‌عليه‌وآله</w:t>
      </w:r>
      <w:r w:rsidR="00B42914" w:rsidRPr="00AA6EA3">
        <w:rPr>
          <w:rStyle w:val="libFootnoteAlaemChar"/>
          <w:rtl/>
        </w:rPr>
        <w:t>‌</w:t>
      </w:r>
      <w:r w:rsidR="00992664" w:rsidRPr="00020424">
        <w:rPr>
          <w:rtl/>
        </w:rPr>
        <w:t xml:space="preserve"> ؛ </w:t>
      </w:r>
      <w:r w:rsidR="00992664" w:rsidRPr="00757F3F">
        <w:rPr>
          <w:rStyle w:val="libFootnoteBoldChar"/>
          <w:rtl/>
        </w:rPr>
        <w:t>الأمالي للطوسي</w:t>
      </w:r>
      <w:r w:rsidR="00992664" w:rsidRPr="00020424">
        <w:rPr>
          <w:rtl/>
        </w:rPr>
        <w:t xml:space="preserve"> ، ص 603 ، المجلس 27 ، ضمن ح 6 ، بسنده عن عبدالله بن الوصّافي ، عن أبي جعفر </w:t>
      </w:r>
      <w:r w:rsidR="00992664" w:rsidRPr="00AA6EA3">
        <w:rPr>
          <w:rStyle w:val="libFootnoteAlaemChar"/>
          <w:rtl/>
        </w:rPr>
        <w:t>عليه‌السلام</w:t>
      </w:r>
      <w:r w:rsidR="00992664" w:rsidRPr="00020424">
        <w:rPr>
          <w:rtl/>
        </w:rPr>
        <w:t xml:space="preserve"> ، عن امّ سلمة ، عن رسول الله </w:t>
      </w:r>
      <w:r w:rsidR="00D64ADA" w:rsidRPr="00AA6EA3">
        <w:rPr>
          <w:rStyle w:val="libFootnoteAlaemChar"/>
          <w:rtl/>
        </w:rPr>
        <w:t>صلى‌الله‌عليه‌وآله</w:t>
      </w:r>
      <w:r w:rsidR="00B42914" w:rsidRPr="00AA6EA3">
        <w:rPr>
          <w:rStyle w:val="libFootnoteAlaemChar"/>
          <w:rtl/>
        </w:rPr>
        <w:t>‌</w:t>
      </w:r>
      <w:r w:rsidR="00992664" w:rsidRPr="00020424">
        <w:rPr>
          <w:rtl/>
        </w:rPr>
        <w:t xml:space="preserve">. </w:t>
      </w:r>
      <w:r w:rsidR="00992664" w:rsidRPr="00DE76B9">
        <w:rPr>
          <w:rStyle w:val="libFootnoteBoldChar"/>
          <w:rtl/>
        </w:rPr>
        <w:t>تحف العقول</w:t>
      </w:r>
      <w:r w:rsidR="00992664" w:rsidRPr="00020424">
        <w:rPr>
          <w:rtl/>
        </w:rPr>
        <w:t xml:space="preserve"> ، ص 56 ، ضمن الحديث ، عن النبيّ </w:t>
      </w:r>
      <w:r w:rsidR="00D64ADA" w:rsidRPr="00AA6EA3">
        <w:rPr>
          <w:rStyle w:val="libFootnoteAlaemChar"/>
          <w:rtl/>
        </w:rPr>
        <w:t>صلى‌الله‌عليه‌وآله</w:t>
      </w:r>
      <w:r w:rsidR="00B42914" w:rsidRPr="00AA6EA3">
        <w:rPr>
          <w:rStyle w:val="libFootnoteAlaemChar"/>
          <w:rtl/>
        </w:rPr>
        <w:t>‌</w:t>
      </w:r>
      <w:r w:rsidR="00992664" w:rsidRPr="00020424">
        <w:rPr>
          <w:rtl/>
        </w:rPr>
        <w:t xml:space="preserve"> </w:t>
      </w:r>
      <w:r w:rsidR="00992664" w:rsidRPr="0012008A">
        <w:rPr>
          <w:rStyle w:val="libFootnoteBoldChar"/>
          <w:rtl/>
        </w:rPr>
        <w:t>الوافي</w:t>
      </w:r>
      <w:r w:rsidR="00992664" w:rsidRPr="00020424">
        <w:rPr>
          <w:rtl/>
        </w:rPr>
        <w:t xml:space="preserve"> ، ج 10 ، ص 452 ، ح 9868 ؛ </w:t>
      </w:r>
      <w:r w:rsidR="00992664" w:rsidRPr="0012008A">
        <w:rPr>
          <w:rStyle w:val="libFootnoteBoldChar"/>
          <w:rtl/>
        </w:rPr>
        <w:t>الوسائل</w:t>
      </w:r>
      <w:r w:rsidR="00992664" w:rsidRPr="00020424">
        <w:rPr>
          <w:rtl/>
        </w:rPr>
        <w:t xml:space="preserve"> ، ج 16 ، ص 303 ، ح 21605.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508FD">
        <w:rPr>
          <w:rtl/>
        </w:rPr>
        <w:t>6114</w:t>
      </w:r>
      <w:r w:rsidRPr="001155DE">
        <w:rPr>
          <w:rStyle w:val="libBold2Char"/>
          <w:rtl/>
        </w:rPr>
        <w:t xml:space="preserve"> / 4.</w:t>
      </w:r>
      <w:r w:rsidRPr="00020424">
        <w:rPr>
          <w:rtl/>
          <w:lang w:bidi="fa-IR"/>
        </w:rPr>
        <w:t xml:space="preserve"> عَلِيُّ بْنُ إِبْرَاهِيمَ ، عَنْ أَبِيهِ ، عَنِ ابْنِ أَبِي عُمَيْرٍ ، عَنْ مَنْصُورِ بْنِ يُونُسَ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لِلْجَنَّةِ بَاباً يُقَالُ لَهُ : الْ</w:t>
      </w:r>
      <w:r w:rsidR="00AA6EA3">
        <w:rPr>
          <w:rtl/>
          <w:lang w:bidi="fa-IR"/>
        </w:rPr>
        <w:t>مَعْرُوفُ ، لَايَدْخُلُهُ إِل</w:t>
      </w:r>
      <w:r w:rsidR="00AA6EA3">
        <w:rPr>
          <w:rFonts w:hint="cs"/>
          <w:rtl/>
          <w:lang w:bidi="fa-IR"/>
        </w:rPr>
        <w:t>َّ</w:t>
      </w:r>
      <w:r w:rsidR="00AA6EA3">
        <w:rPr>
          <w:rtl/>
          <w:lang w:bidi="fa-IR"/>
        </w:rPr>
        <w:t>ا</w:t>
      </w:r>
      <w:r w:rsidRPr="00020424">
        <w:rPr>
          <w:rtl/>
          <w:lang w:bidi="fa-IR"/>
        </w:rPr>
        <w:t xml:space="preserve"> أَهْلُ الْمَعْرُوفِ </w:t>
      </w:r>
      <w:r w:rsidRPr="00A91B96">
        <w:rPr>
          <w:rStyle w:val="libFootnotenumChar"/>
          <w:rtl/>
        </w:rPr>
        <w:t>(1)</w:t>
      </w:r>
      <w:r w:rsidRPr="00020424">
        <w:rPr>
          <w:rtl/>
          <w:lang w:bidi="fa-IR"/>
        </w:rPr>
        <w:t xml:space="preserve"> ، وَأَهْلُ الْمَعْرُوفِ فِي الدُّنْيَا هُمْ </w:t>
      </w:r>
      <w:r w:rsidRPr="00A91B96">
        <w:rPr>
          <w:rStyle w:val="libFootnotenumChar"/>
          <w:rtl/>
        </w:rPr>
        <w:t>(2)</w:t>
      </w:r>
      <w:r w:rsidRPr="00020424">
        <w:rPr>
          <w:rtl/>
          <w:lang w:bidi="fa-IR"/>
        </w:rPr>
        <w:t xml:space="preserve"> أَهْلُ الْمَعْرُوفِ فِي الْآخِرَةِ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232" w:name="_Toc345172794"/>
      <w:bookmarkStart w:id="233" w:name="_Toc464562610"/>
      <w:bookmarkStart w:id="234" w:name="_Toc44599913"/>
      <w:r w:rsidRPr="00020424">
        <w:rPr>
          <w:rtl/>
          <w:lang w:bidi="fa-IR"/>
        </w:rPr>
        <w:t>72</w:t>
      </w:r>
      <w:r>
        <w:rPr>
          <w:rtl/>
          <w:lang w:bidi="fa-IR"/>
        </w:rPr>
        <w:t xml:space="preserve"> </w:t>
      </w:r>
      <w:r w:rsidR="009B673F">
        <w:rPr>
          <w:rtl/>
          <w:lang w:bidi="fa-IR"/>
        </w:rPr>
        <w:t>-</w:t>
      </w:r>
      <w:r>
        <w:rPr>
          <w:rtl/>
          <w:lang w:bidi="fa-IR"/>
        </w:rPr>
        <w:t xml:space="preserve"> </w:t>
      </w:r>
      <w:r w:rsidRPr="00020424">
        <w:rPr>
          <w:rtl/>
          <w:lang w:bidi="fa-IR"/>
        </w:rPr>
        <w:t>بَابُ تَمَامِ الْمَعْرُوفِ‌</w:t>
      </w:r>
      <w:bookmarkEnd w:id="232"/>
      <w:bookmarkEnd w:id="233"/>
      <w:bookmarkEnd w:id="234"/>
    </w:p>
    <w:p w:rsidR="00992664" w:rsidRPr="00020424" w:rsidRDefault="00992664" w:rsidP="00992664">
      <w:pPr>
        <w:pStyle w:val="libNormal"/>
        <w:rPr>
          <w:rtl/>
          <w:lang w:bidi="fa-IR"/>
        </w:rPr>
      </w:pPr>
      <w:r w:rsidRPr="003508FD">
        <w:rPr>
          <w:rtl/>
        </w:rPr>
        <w:t>6115</w:t>
      </w:r>
      <w:r w:rsidRPr="001155DE">
        <w:rPr>
          <w:rStyle w:val="libBold2Char"/>
          <w:rtl/>
        </w:rPr>
        <w:t xml:space="preserve"> / 1.</w:t>
      </w:r>
      <w:r w:rsidRPr="00020424">
        <w:rPr>
          <w:rtl/>
          <w:lang w:bidi="fa-IR"/>
        </w:rPr>
        <w:t xml:space="preserve"> مُحَمَّدُ بْنُ يَحْيى ، عَنْ أَحْمَدَ بْنِ مُحَمَّدِ بْنِ عِيسى ، عَنْ مُحَمَّدِ بْنِ خَالِدٍ ، عَنْ سَعْدَانَ ، عَنْ </w:t>
      </w:r>
      <w:r w:rsidRPr="00A91B96">
        <w:rPr>
          <w:rStyle w:val="libFootnotenumChar"/>
          <w:rtl/>
        </w:rPr>
        <w:t>(5)</w:t>
      </w:r>
      <w:r w:rsidRPr="00020424">
        <w:rPr>
          <w:rtl/>
          <w:lang w:bidi="fa-IR"/>
        </w:rPr>
        <w:t xml:space="preserve"> حَاتِمٍ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رَأَيْتُ الْمَعْرُوفَ لَايَصْلُحُ </w:t>
      </w:r>
      <w:r w:rsidRPr="00A91B96">
        <w:rPr>
          <w:rStyle w:val="libFootnotenumChar"/>
          <w:rtl/>
        </w:rPr>
        <w:t>(6)</w:t>
      </w:r>
      <w:r w:rsidR="001C4870">
        <w:rPr>
          <w:rtl/>
          <w:lang w:bidi="fa-IR"/>
        </w:rPr>
        <w:t xml:space="preserve"> إِل</w:t>
      </w:r>
      <w:r w:rsidR="001C4870">
        <w:rPr>
          <w:rFonts w:hint="cs"/>
          <w:rtl/>
          <w:lang w:bidi="fa-IR"/>
        </w:rPr>
        <w:t>َّ</w:t>
      </w:r>
      <w:r w:rsidR="001C4870">
        <w:rPr>
          <w:rtl/>
          <w:lang w:bidi="fa-IR"/>
        </w:rPr>
        <w:t>ا</w:t>
      </w:r>
      <w:r w:rsidRPr="00020424">
        <w:rPr>
          <w:rtl/>
          <w:lang w:bidi="fa-IR"/>
        </w:rPr>
        <w:t xml:space="preserve"> بِثَلَاثِ خِصَالٍ </w:t>
      </w:r>
      <w:r w:rsidRPr="00A91B96">
        <w:rPr>
          <w:rStyle w:val="libFootnotenumChar"/>
          <w:rtl/>
        </w:rPr>
        <w:t>(7)</w:t>
      </w:r>
      <w:r w:rsidRPr="00020424">
        <w:rPr>
          <w:rtl/>
          <w:lang w:bidi="fa-IR"/>
        </w:rPr>
        <w:t xml:space="preserve"> : تَصْغِيرِهِ ، وَتَسْتِيرِهِ </w:t>
      </w:r>
      <w:r w:rsidRPr="00A91B96">
        <w:rPr>
          <w:rStyle w:val="libFootnotenumChar"/>
          <w:rtl/>
        </w:rPr>
        <w:t>(8)</w:t>
      </w:r>
      <w:r w:rsidRPr="00020424">
        <w:rPr>
          <w:rtl/>
          <w:lang w:bidi="fa-IR"/>
        </w:rPr>
        <w:t xml:space="preserve"> ، وَتَعْجِيلِهِ ؛ فَإِنَّكَ إِذَا صَغَّرْتَهُ عَظَّمْتَهُ عِنْدَ مَنْ تَصْنَعُهُ إِلَيْهِ ، وَإِذَا سَتَّرْتَهُ‌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7A0BE5">
        <w:rPr>
          <w:rtl/>
        </w:rPr>
        <w:t>« لا يدخله إل</w:t>
      </w:r>
      <w:r w:rsidR="007A0BE5">
        <w:rPr>
          <w:rFonts w:hint="cs"/>
          <w:rtl/>
        </w:rPr>
        <w:t>ّ</w:t>
      </w:r>
      <w:r w:rsidR="007A0BE5">
        <w:rPr>
          <w:rtl/>
        </w:rPr>
        <w:t>ا</w:t>
      </w:r>
      <w:r w:rsidR="00992664">
        <w:rPr>
          <w:rFonts w:hint="cs"/>
          <w:rtl/>
        </w:rPr>
        <w:t xml:space="preserve"> </w:t>
      </w:r>
      <w:r w:rsidR="00992664" w:rsidRPr="00020424">
        <w:rPr>
          <w:rtl/>
        </w:rPr>
        <w:t>أهل المعروف</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هم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ج 2 ، ص 55 ، ذيل الحديث 1681 : « تفسيره أنّه إذا كان يوم القيامة قيل لهم : هبوا حسناتكم لمن شئتم وادخل الجنّة</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يعني كما أنّهم يصنعون المعروف في الدنيا كذلك يصنعونه في الآخرة ، يهبون حسناتهم لمن شاؤوا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قضاء حاجة المؤمن ، ضمن ح 2153 ، بسند آخر ، مع اختلاف يسير. وفي </w:t>
      </w:r>
      <w:r w:rsidR="00992664" w:rsidRPr="00DE76B9">
        <w:rPr>
          <w:rStyle w:val="libFootnoteBoldChar"/>
          <w:rtl/>
        </w:rPr>
        <w:t>الزهد</w:t>
      </w:r>
      <w:r w:rsidR="00992664" w:rsidRPr="00020424">
        <w:rPr>
          <w:rtl/>
        </w:rPr>
        <w:t xml:space="preserve"> ، ص 97 ، ح 84 ؛ </w:t>
      </w:r>
      <w:r w:rsidR="00992664" w:rsidRPr="00EE0C68">
        <w:rPr>
          <w:rStyle w:val="libFootnoteBoldChar"/>
          <w:rtl/>
        </w:rPr>
        <w:t>وقرب الإسناد</w:t>
      </w:r>
      <w:r w:rsidR="00992664" w:rsidRPr="00020424">
        <w:rPr>
          <w:rtl/>
        </w:rPr>
        <w:t xml:space="preserve"> ، ص 120 ، ح 420 ، بسند آخر عن جعفر ، عن أبيه </w:t>
      </w:r>
      <w:r w:rsidR="00D64ADA" w:rsidRPr="007B2E48">
        <w:rPr>
          <w:rStyle w:val="libFootnoteAlaemChar"/>
          <w:rtl/>
        </w:rPr>
        <w:t>عليهما‌السلام</w:t>
      </w:r>
      <w:r w:rsidR="00992664" w:rsidRPr="00020424">
        <w:rPr>
          <w:rtl/>
        </w:rPr>
        <w:t xml:space="preserve"> عن رسول الله </w:t>
      </w:r>
      <w:r w:rsidR="00D64ADA" w:rsidRPr="007B2E48">
        <w:rPr>
          <w:rStyle w:val="libFootnoteAlaemChar"/>
          <w:rtl/>
        </w:rPr>
        <w:t>صلى‌الله‌عليه‌وآله</w:t>
      </w:r>
      <w:r w:rsidR="00B42914" w:rsidRPr="007B2E48">
        <w:rPr>
          <w:rStyle w:val="libFootnoteAlaemChar"/>
          <w:rtl/>
        </w:rPr>
        <w:t>‌</w:t>
      </w:r>
      <w:r w:rsidR="00992664" w:rsidRPr="00020424">
        <w:rPr>
          <w:rtl/>
        </w:rPr>
        <w:t xml:space="preserve"> ، وفي</w:t>
      </w:r>
      <w:r w:rsidR="007B2E48">
        <w:rPr>
          <w:rtl/>
        </w:rPr>
        <w:t xml:space="preserve"> كلّها إلى قوله : « لايدخله إل</w:t>
      </w:r>
      <w:r w:rsidR="007B2E48">
        <w:rPr>
          <w:rFonts w:hint="cs"/>
          <w:rtl/>
        </w:rPr>
        <w:t>ّ</w:t>
      </w:r>
      <w:r w:rsidR="007B2E48">
        <w:rPr>
          <w:rtl/>
        </w:rPr>
        <w:t>ا</w:t>
      </w:r>
      <w:r w:rsidR="00992664">
        <w:rPr>
          <w:rFonts w:hint="cs"/>
          <w:rtl/>
        </w:rPr>
        <w:t xml:space="preserve"> </w:t>
      </w:r>
      <w:r w:rsidR="00992664" w:rsidRPr="00020424">
        <w:rPr>
          <w:rtl/>
        </w:rPr>
        <w:t>أهل المعروف</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ج 2 ، ص 55 ، ح 1681 ، مرسلاً هكذا : « أهل المعروف في الدنيا أهل المعروف في الآخرة » </w:t>
      </w:r>
      <w:r w:rsidR="007B2E48">
        <w:rPr>
          <w:rFonts w:hint="cs"/>
          <w:rtl/>
        </w:rPr>
        <w:t>.</w:t>
      </w:r>
      <w:r w:rsidR="00992664" w:rsidRPr="0012008A">
        <w:rPr>
          <w:rStyle w:val="libFootnoteBoldChar"/>
          <w:rtl/>
        </w:rPr>
        <w:t>الوافي</w:t>
      </w:r>
      <w:r w:rsidR="00992664" w:rsidRPr="00020424">
        <w:rPr>
          <w:rtl/>
        </w:rPr>
        <w:t xml:space="preserve"> ، ج 10 ، ص 451 ، ح 9866 ؛ </w:t>
      </w:r>
      <w:r w:rsidR="00992664" w:rsidRPr="0012008A">
        <w:rPr>
          <w:rStyle w:val="libFootnoteBoldChar"/>
          <w:rtl/>
        </w:rPr>
        <w:t>الوسائل</w:t>
      </w:r>
      <w:r w:rsidR="00992664" w:rsidRPr="00020424">
        <w:rPr>
          <w:rtl/>
        </w:rPr>
        <w:t xml:space="preserve"> ، ج 16 ، ص 304 ، ح 21609 ؛ </w:t>
      </w:r>
      <w:r w:rsidR="00992664" w:rsidRPr="0012008A">
        <w:rPr>
          <w:rStyle w:val="libFootnoteBoldChar"/>
          <w:rtl/>
        </w:rPr>
        <w:t>البحار</w:t>
      </w:r>
      <w:r w:rsidR="00992664" w:rsidRPr="00020424">
        <w:rPr>
          <w:rtl/>
        </w:rPr>
        <w:t xml:space="preserve"> ، ج 8 ، ص 156 ، ح 96.</w:t>
      </w:r>
    </w:p>
    <w:p w:rsidR="00992664" w:rsidRPr="00020424" w:rsidRDefault="00795177" w:rsidP="007B2E48">
      <w:pPr>
        <w:pStyle w:val="libFootnote0"/>
        <w:rPr>
          <w:rtl/>
          <w:lang w:bidi="fa-IR"/>
        </w:rPr>
      </w:pPr>
      <w:r>
        <w:rPr>
          <w:rtl/>
        </w:rPr>
        <w:t>(5).</w:t>
      </w:r>
      <w:r w:rsidR="0014403D">
        <w:rPr>
          <w:rtl/>
        </w:rPr>
        <w:t xml:space="preserve"> </w:t>
      </w:r>
      <w:r w:rsidR="00992664" w:rsidRPr="00020424">
        <w:rPr>
          <w:rtl/>
        </w:rPr>
        <w:t>في « بث ، بخ ، بر ، بف » : « بن</w:t>
      </w:r>
      <w:r w:rsidR="00992664">
        <w:rPr>
          <w:rtl/>
        </w:rPr>
        <w:t xml:space="preserve"> ».</w:t>
      </w:r>
      <w:r w:rsidR="00992664" w:rsidRPr="00020424">
        <w:rPr>
          <w:rtl/>
        </w:rPr>
        <w:t xml:space="preserve"> وهو سهو ؛ فإنّ سعدان هذا هو سعدان بن مسلم ؛ فقد روى الصدوق الخبر في </w:t>
      </w:r>
      <w:r w:rsidR="00992664" w:rsidRPr="00A722B1">
        <w:rPr>
          <w:rStyle w:val="libFootnoteBoldChar"/>
          <w:rtl/>
        </w:rPr>
        <w:t>الخصال</w:t>
      </w:r>
      <w:r w:rsidR="00992664" w:rsidRPr="00020424">
        <w:rPr>
          <w:rtl/>
        </w:rPr>
        <w:t xml:space="preserve"> ، ص 133 ح 143 ، بسنده عن أحمد بن أبي عبد الله ، عن أبيه ، عن سعدان بن مسلم ، عن حاتم. وتكرّرت في الأسناد رواية محمّد بن خالد والد أحمد بن أبي عبد الله عن سعدان [ بن مسلم ]</w:t>
      </w:r>
      <w:r w:rsidR="00992664">
        <w:rPr>
          <w:rtl/>
        </w:rPr>
        <w:t>.</w:t>
      </w:r>
      <w:r w:rsidR="00992664" w:rsidRPr="00020424">
        <w:rPr>
          <w:rtl/>
        </w:rPr>
        <w:t xml:space="preserve"> راجع : </w:t>
      </w:r>
      <w:r w:rsidR="00992664" w:rsidRPr="00DE76B9">
        <w:rPr>
          <w:rStyle w:val="libFootnoteBoldChar"/>
          <w:rtl/>
        </w:rPr>
        <w:t>معجم رجال الحديث</w:t>
      </w:r>
      <w:r w:rsidR="00992664" w:rsidRPr="00020424">
        <w:rPr>
          <w:rtl/>
        </w:rPr>
        <w:t xml:space="preserve"> ، ج 8 ، ص 426</w:t>
      </w:r>
      <w:r w:rsidR="00992664">
        <w:rPr>
          <w:rtl/>
        </w:rPr>
        <w:t xml:space="preserve"> </w:t>
      </w:r>
      <w:r w:rsidR="009B673F">
        <w:rPr>
          <w:rtl/>
        </w:rPr>
        <w:t>-</w:t>
      </w:r>
      <w:r w:rsidR="00992664">
        <w:rPr>
          <w:rtl/>
        </w:rPr>
        <w:t xml:space="preserve"> </w:t>
      </w:r>
      <w:r w:rsidR="00992664" w:rsidRPr="00020424">
        <w:rPr>
          <w:rtl/>
        </w:rPr>
        <w:t>431.</w:t>
      </w:r>
      <w:r w:rsidR="007B2E48">
        <w:rPr>
          <w:rFonts w:hint="cs"/>
          <w:rtl/>
        </w:rPr>
        <w:t xml:space="preserve">       </w:t>
      </w: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لا يتمّ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B2E48" w:rsidTr="007B2E48">
        <w:tc>
          <w:tcPr>
            <w:tcW w:w="4006" w:type="dxa"/>
          </w:tcPr>
          <w:p w:rsidR="007B2E48" w:rsidRDefault="007B2E48" w:rsidP="00992664">
            <w:pPr>
              <w:pStyle w:val="libFootnote0"/>
              <w:rPr>
                <w:rtl/>
              </w:rPr>
            </w:pPr>
            <w:r>
              <w:rPr>
                <w:rtl/>
              </w:rPr>
              <w:t xml:space="preserve">(7).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خصال</w:t>
            </w:r>
            <w:r>
              <w:rPr>
                <w:rtl/>
              </w:rPr>
              <w:t xml:space="preserve"> ».</w:t>
            </w:r>
          </w:p>
        </w:tc>
        <w:tc>
          <w:tcPr>
            <w:tcW w:w="4006" w:type="dxa"/>
          </w:tcPr>
          <w:p w:rsidR="007B2E48" w:rsidRDefault="007B2E48" w:rsidP="00992664">
            <w:pPr>
              <w:pStyle w:val="libFootnote0"/>
              <w:rPr>
                <w:rtl/>
              </w:rPr>
            </w:pPr>
            <w:r>
              <w:rPr>
                <w:rtl/>
              </w:rPr>
              <w:t xml:space="preserve">(8). </w:t>
            </w:r>
            <w:r w:rsidRPr="00020424">
              <w:rPr>
                <w:rtl/>
              </w:rPr>
              <w:t xml:space="preserve">في </w:t>
            </w:r>
            <w:r w:rsidRPr="0012008A">
              <w:rPr>
                <w:rStyle w:val="libFootnoteBoldChar"/>
                <w:rtl/>
              </w:rPr>
              <w:t>الوسائل</w:t>
            </w:r>
            <w:r w:rsidRPr="00020424">
              <w:rPr>
                <w:rtl/>
              </w:rPr>
              <w:t xml:space="preserve"> </w:t>
            </w:r>
            <w:r w:rsidRPr="00FD6221">
              <w:rPr>
                <w:rStyle w:val="libFootnoteBoldChar"/>
                <w:rtl/>
              </w:rPr>
              <w:t>والفقيه</w:t>
            </w:r>
            <w:r w:rsidRPr="00020424">
              <w:rPr>
                <w:rtl/>
              </w:rPr>
              <w:t xml:space="preserve"> </w:t>
            </w:r>
            <w:r w:rsidRPr="00FD6221">
              <w:rPr>
                <w:rStyle w:val="libFootnoteBoldChar"/>
                <w:rtl/>
              </w:rPr>
              <w:t>والخصال</w:t>
            </w:r>
            <w:r w:rsidRPr="00020424">
              <w:rPr>
                <w:rtl/>
              </w:rPr>
              <w:t xml:space="preserve"> : « وستره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تَمَّمْتَهُ ، وَإِذَا عَجَّلْتَهُ هَنَّأْتَهُ </w:t>
      </w:r>
      <w:r w:rsidRPr="00A91B96">
        <w:rPr>
          <w:rStyle w:val="libFootnotenumChar"/>
          <w:rtl/>
        </w:rPr>
        <w:t>(1)</w:t>
      </w:r>
      <w:r w:rsidRPr="00020424">
        <w:rPr>
          <w:rtl/>
          <w:lang w:bidi="fa-IR"/>
        </w:rPr>
        <w:t xml:space="preserve"> ، وَإِنْ </w:t>
      </w:r>
      <w:r w:rsidRPr="00A91B96">
        <w:rPr>
          <w:rStyle w:val="libFootnotenumChar"/>
          <w:rtl/>
        </w:rPr>
        <w:t>(2)</w:t>
      </w:r>
      <w:r w:rsidRPr="00020424">
        <w:rPr>
          <w:rtl/>
          <w:lang w:bidi="fa-IR"/>
        </w:rPr>
        <w:t xml:space="preserve"> كَانَ غَيْرُ ذلِكَ ، سَخَّفْتَهُ </w:t>
      </w:r>
      <w:r w:rsidRPr="00A91B96">
        <w:rPr>
          <w:rStyle w:val="libFootnotenumChar"/>
          <w:rtl/>
        </w:rPr>
        <w:t>(3)</w:t>
      </w:r>
      <w:r w:rsidRPr="00020424">
        <w:rPr>
          <w:rtl/>
          <w:lang w:bidi="fa-IR"/>
        </w:rPr>
        <w:t xml:space="preserve"> وَنَكَّدْتَهُ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3508FD">
        <w:rPr>
          <w:rtl/>
        </w:rPr>
        <w:t>6116</w:t>
      </w:r>
      <w:r w:rsidRPr="001155DE">
        <w:rPr>
          <w:rStyle w:val="libBold2Char"/>
          <w:rtl/>
        </w:rPr>
        <w:t xml:space="preserve"> / 2.</w:t>
      </w:r>
      <w:r w:rsidRPr="00020424">
        <w:rPr>
          <w:rtl/>
          <w:lang w:bidi="fa-IR"/>
        </w:rPr>
        <w:t xml:space="preserve"> أَحْمَدُ بْنُ مُحَمَّدٍ </w:t>
      </w:r>
      <w:r w:rsidRPr="00A91B96">
        <w:rPr>
          <w:rStyle w:val="libFootnotenumChar"/>
          <w:rtl/>
        </w:rPr>
        <w:t>(6)</w:t>
      </w:r>
      <w:r w:rsidRPr="00020424">
        <w:rPr>
          <w:rtl/>
          <w:lang w:bidi="fa-IR"/>
        </w:rPr>
        <w:t xml:space="preserve"> ، عَنْ مُحَمَّدِ بْنِ خَالِدٍ </w:t>
      </w:r>
      <w:r w:rsidRPr="00A91B96">
        <w:rPr>
          <w:rStyle w:val="libFootnotenumChar"/>
          <w:rtl/>
        </w:rPr>
        <w:t>(7)</w:t>
      </w:r>
      <w:r w:rsidRPr="00020424">
        <w:rPr>
          <w:rtl/>
          <w:lang w:bidi="fa-IR"/>
        </w:rPr>
        <w:t xml:space="preserve"> ، عَنْ خَلَفِ بْنِ حَمَّادٍ ، عَنْ مُوسَى بْنِ بَكْرٍ ، عَنْ زُرَارَةَ ، عَنْ حُمْرَانَ :</w:t>
      </w:r>
    </w:p>
    <w:p w:rsidR="00992664" w:rsidRPr="00020424" w:rsidRDefault="00992664" w:rsidP="006404AC">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سَمِعْتُهُ يَقُولُ : « لِكُلِّ شَيْ‌ءٍ ثَمَرَةٌ ، وَثَمَرَةُ </w:t>
      </w:r>
      <w:r w:rsidRPr="00A91B96">
        <w:rPr>
          <w:rStyle w:val="libFootnotenumChar"/>
          <w:rtl/>
        </w:rPr>
        <w:t>(8)</w:t>
      </w:r>
      <w:r w:rsidRPr="00020424">
        <w:rPr>
          <w:rtl/>
          <w:lang w:bidi="fa-IR"/>
        </w:rPr>
        <w:t xml:space="preserve"> الْمَعْرُوفِ تَعْجِيلُ السَّرَاحِ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404AC" w:rsidTr="006404AC">
        <w:tc>
          <w:tcPr>
            <w:tcW w:w="4006" w:type="dxa"/>
          </w:tcPr>
          <w:p w:rsidR="006404AC" w:rsidRDefault="006404AC" w:rsidP="00992664">
            <w:pPr>
              <w:pStyle w:val="libFootnote0"/>
              <w:rPr>
                <w:rtl/>
              </w:rPr>
            </w:pPr>
            <w:r>
              <w:rPr>
                <w:rtl/>
              </w:rPr>
              <w:t xml:space="preserve">(1). </w:t>
            </w:r>
            <w:r w:rsidRPr="00020424">
              <w:rPr>
                <w:rtl/>
              </w:rPr>
              <w:t>في « بر ، بك » : « هيّأته</w:t>
            </w:r>
            <w:r>
              <w:rPr>
                <w:rtl/>
              </w:rPr>
              <w:t xml:space="preserve"> ».</w:t>
            </w:r>
          </w:p>
        </w:tc>
        <w:tc>
          <w:tcPr>
            <w:tcW w:w="4006" w:type="dxa"/>
          </w:tcPr>
          <w:p w:rsidR="006404AC" w:rsidRDefault="006404AC" w:rsidP="00992664">
            <w:pPr>
              <w:pStyle w:val="libFootnote0"/>
              <w:rPr>
                <w:rtl/>
              </w:rPr>
            </w:pPr>
            <w:r>
              <w:rPr>
                <w:rtl/>
              </w:rPr>
              <w:t xml:space="preserve">(2). </w:t>
            </w:r>
            <w:r w:rsidRPr="00020424">
              <w:rPr>
                <w:rtl/>
              </w:rPr>
              <w:t>في « بث » : « فإن</w:t>
            </w:r>
            <w:r>
              <w:rPr>
                <w:rtl/>
              </w:rPr>
              <w:t xml:space="preserve"> ».</w:t>
            </w:r>
            <w:r w:rsidRPr="00020424">
              <w:rPr>
                <w:rtl/>
              </w:rPr>
              <w:t xml:space="preserve"> وفي </w:t>
            </w:r>
            <w:r w:rsidRPr="0012008A">
              <w:rPr>
                <w:rStyle w:val="libFootnoteBoldChar"/>
                <w:rtl/>
              </w:rPr>
              <w:t>الوسائل</w:t>
            </w:r>
            <w:r w:rsidRPr="00020424">
              <w:rPr>
                <w:rtl/>
              </w:rPr>
              <w:t xml:space="preserve"> : « وإذا</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سحقته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FD6221">
        <w:rPr>
          <w:rStyle w:val="libFootnoteBoldChar"/>
          <w:rtl/>
        </w:rPr>
        <w:t>والخصال</w:t>
      </w:r>
      <w:r w:rsidR="00992664" w:rsidRPr="00020424">
        <w:rPr>
          <w:rtl/>
        </w:rPr>
        <w:t xml:space="preserve"> : « محقته</w:t>
      </w:r>
      <w:r w:rsidR="00992664">
        <w:rPr>
          <w:rtl/>
        </w:rPr>
        <w:t xml:space="preserve"> ».</w:t>
      </w:r>
      <w:r w:rsidR="00992664" w:rsidRPr="00020424">
        <w:rPr>
          <w:rtl/>
        </w:rPr>
        <w:t xml:space="preserve"> </w:t>
      </w:r>
      <w:r w:rsidR="00992664">
        <w:rPr>
          <w:rtl/>
        </w:rPr>
        <w:t>و «</w:t>
      </w:r>
      <w:r w:rsidR="00992664" w:rsidRPr="00020424">
        <w:rPr>
          <w:rtl/>
        </w:rPr>
        <w:t xml:space="preserve"> سخّفته » أي جعلته سخيفاً ، أي خفيفاً. راجع : </w:t>
      </w:r>
      <w:r w:rsidR="00992664" w:rsidRPr="00A722B1">
        <w:rPr>
          <w:rStyle w:val="libFootnoteBoldChar"/>
          <w:rtl/>
        </w:rPr>
        <w:t>القاموس المحيط</w:t>
      </w:r>
      <w:r w:rsidR="00992664" w:rsidRPr="00020424">
        <w:rPr>
          <w:rtl/>
        </w:rPr>
        <w:t xml:space="preserve"> ، ج 2 ، ص 1091 ( سخف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نكّدته » أي جعلته نَكِداً ؛ من النَكَد ، وهو الشؤم واللؤم ، وقلّة العطاء ، وكلّ شي‌ء جرّ على صاحبه شرّاً فهو نَكَدٌ. راجع : </w:t>
      </w:r>
      <w:r w:rsidR="00992664" w:rsidRPr="00DE76B9">
        <w:rPr>
          <w:rStyle w:val="libFootnoteBoldChar"/>
          <w:rtl/>
        </w:rPr>
        <w:t>ترتيب كتاب العين</w:t>
      </w:r>
      <w:r w:rsidR="00992664" w:rsidRPr="00020424">
        <w:rPr>
          <w:rtl/>
        </w:rPr>
        <w:t xml:space="preserve"> ، ج 3 ، ص 1838 ؛ </w:t>
      </w:r>
      <w:r w:rsidR="00992664" w:rsidRPr="00A722B1">
        <w:rPr>
          <w:rStyle w:val="libFootnoteBoldChar"/>
          <w:rtl/>
        </w:rPr>
        <w:t>لسان العرب</w:t>
      </w:r>
      <w:r w:rsidR="00992664" w:rsidRPr="00020424">
        <w:rPr>
          <w:rtl/>
        </w:rPr>
        <w:t xml:space="preserve"> ، ج 3 ، ص 427 ( نكد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A722B1">
        <w:rPr>
          <w:rStyle w:val="libFootnoteBoldChar"/>
          <w:rtl/>
        </w:rPr>
        <w:t>الخصال</w:t>
      </w:r>
      <w:r w:rsidR="00992664" w:rsidRPr="00020424">
        <w:rPr>
          <w:rtl/>
        </w:rPr>
        <w:t xml:space="preserve"> ، ص 133 ، باب الثلاثة ، ح 143 ، بسنده عن أحمد بن أبي عبدالله ، عن أبيه ، عن سعدان بن مسلم. </w:t>
      </w:r>
      <w:r w:rsidR="00992664" w:rsidRPr="00757F3F">
        <w:rPr>
          <w:rStyle w:val="libFootnoteBoldChar"/>
          <w:rtl/>
        </w:rPr>
        <w:t>الأمالي للطوسي</w:t>
      </w:r>
      <w:r w:rsidR="00992664" w:rsidRPr="00020424">
        <w:rPr>
          <w:rtl/>
        </w:rPr>
        <w:t xml:space="preserve"> ، ص 479 ، المجلس 17 ، ضمن ح 17 ، بسند آخر ، مع اختلاف يسير. </w:t>
      </w:r>
      <w:r w:rsidR="00992664" w:rsidRPr="0012008A">
        <w:rPr>
          <w:rStyle w:val="libFootnoteBoldChar"/>
          <w:rtl/>
        </w:rPr>
        <w:t>الفقيه</w:t>
      </w:r>
      <w:r w:rsidR="00992664" w:rsidRPr="00020424">
        <w:rPr>
          <w:rtl/>
        </w:rPr>
        <w:t xml:space="preserve"> ، ج 2 ، ص 57 ، ح 1691 ، مرسلاً ؛ </w:t>
      </w:r>
      <w:r w:rsidR="00992664" w:rsidRPr="00DE76B9">
        <w:rPr>
          <w:rStyle w:val="libFootnoteBoldChar"/>
          <w:rtl/>
        </w:rPr>
        <w:t>تحف العقول</w:t>
      </w:r>
      <w:r w:rsidR="00992664" w:rsidRPr="00020424">
        <w:rPr>
          <w:rtl/>
        </w:rPr>
        <w:t xml:space="preserve"> ، ص 322 ، وتمام الر</w:t>
      </w:r>
      <w:r w:rsidR="005A09DB">
        <w:rPr>
          <w:rtl/>
        </w:rPr>
        <w:t>واية فيه : « لايتمّ المعروف إل</w:t>
      </w:r>
      <w:r w:rsidR="005A09DB">
        <w:rPr>
          <w:rFonts w:hint="cs"/>
          <w:rtl/>
        </w:rPr>
        <w:t>ّ</w:t>
      </w:r>
      <w:r w:rsidR="005A09DB">
        <w:rPr>
          <w:rtl/>
        </w:rPr>
        <w:t>ا</w:t>
      </w:r>
      <w:r w:rsidR="00992664" w:rsidRPr="00020424">
        <w:rPr>
          <w:rtl/>
        </w:rPr>
        <w:t>بثلاث خلال : تعجيله ، وتقليل كثيره ، وترك الامتنان</w:t>
      </w:r>
      <w:r w:rsidR="00992664">
        <w:rPr>
          <w:rtl/>
        </w:rPr>
        <w:t xml:space="preserve"> ».</w:t>
      </w:r>
      <w:r w:rsidR="00992664" w:rsidRPr="00020424">
        <w:rPr>
          <w:rtl/>
        </w:rPr>
        <w:t xml:space="preserve">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100 ، مرسلاً عن عليّ </w:t>
      </w:r>
      <w:r w:rsidR="00992664" w:rsidRPr="00D64ADA">
        <w:rPr>
          <w:rStyle w:val="libFootnoteAlaemChar"/>
          <w:rtl/>
        </w:rPr>
        <w:t>عليه‌السلام</w:t>
      </w:r>
      <w:r w:rsidR="00992664" w:rsidRPr="00020424">
        <w:rPr>
          <w:rtl/>
        </w:rPr>
        <w:t xml:space="preserve"> ، مع زيادة في أوّله.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374 ، وفي الأخيرين مع اختلاف يسير </w:t>
      </w:r>
      <w:r w:rsidR="005A09DB">
        <w:rPr>
          <w:rFonts w:hint="cs"/>
          <w:rtl/>
        </w:rPr>
        <w:t>.</w:t>
      </w:r>
      <w:r w:rsidR="00992664" w:rsidRPr="0012008A">
        <w:rPr>
          <w:rStyle w:val="libFootnoteBoldChar"/>
          <w:rtl/>
        </w:rPr>
        <w:t>الوافي</w:t>
      </w:r>
      <w:r w:rsidR="00992664" w:rsidRPr="00020424">
        <w:rPr>
          <w:rtl/>
        </w:rPr>
        <w:t xml:space="preserve"> ، ج 10 ، ص 457 ، ح 9880 ؛ </w:t>
      </w:r>
      <w:r w:rsidR="00992664" w:rsidRPr="0012008A">
        <w:rPr>
          <w:rStyle w:val="libFootnoteBoldChar"/>
          <w:rtl/>
        </w:rPr>
        <w:t>الوسائل</w:t>
      </w:r>
      <w:r w:rsidR="00992664" w:rsidRPr="00020424">
        <w:rPr>
          <w:rtl/>
        </w:rPr>
        <w:t xml:space="preserve"> ، ج 16 ، ص 314 ، ح 21640.</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السند معلّق على سابقه. ويروي عن أحمد بن محمّد ، محمّد بن يحيى.</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أحمد بن محمّد بن خالد » بدل « أحمد بن محمّد ، عن محمّد بن خالد</w:t>
      </w:r>
      <w:r w:rsidR="00992664">
        <w:rPr>
          <w:rtl/>
        </w:rPr>
        <w:t xml:space="preserve"> ».</w:t>
      </w:r>
      <w:r w:rsidR="00992664" w:rsidRPr="00020424">
        <w:rPr>
          <w:rtl/>
        </w:rPr>
        <w:t xml:space="preserve"> وهو سهو ناشٍ من جواز النظر من « محمّد » في « أحمد بن محمّد » إلى « محمّد » في « محمّد بن خالد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بك » : « تمرة ، وتمرة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بح ، بر ، بس ، بف ، بك ، جن » </w:t>
      </w:r>
      <w:r w:rsidR="00992664" w:rsidRPr="00FD6221">
        <w:rPr>
          <w:rStyle w:val="libFootnoteBoldChar"/>
          <w:rtl/>
        </w:rPr>
        <w:t>والخصال</w:t>
      </w:r>
      <w:r w:rsidR="00992664" w:rsidRPr="00020424">
        <w:rPr>
          <w:rtl/>
        </w:rPr>
        <w:t xml:space="preserve"> : « السراج</w:t>
      </w:r>
      <w:r w:rsidR="00992664">
        <w:rPr>
          <w:rtl/>
        </w:rPr>
        <w:t xml:space="preserve"> ».</w:t>
      </w:r>
      <w:r w:rsidR="00992664" w:rsidRPr="00020424">
        <w:rPr>
          <w:rtl/>
        </w:rPr>
        <w:t xml:space="preserve"> </w:t>
      </w:r>
      <w:r w:rsidR="00992664">
        <w:rPr>
          <w:rtl/>
        </w:rPr>
        <w:t>و «</w:t>
      </w:r>
      <w:r w:rsidR="00992664" w:rsidRPr="00020424">
        <w:rPr>
          <w:rtl/>
        </w:rPr>
        <w:t xml:space="preserve"> السَّراحُ » : السهولة ، والاسم من قولهم : أمر سريح ، أي معجّل ، والاسم من التسريح بمعنى الإرسال والتطليق ، وفي المثل : « السراح من النجاح » أي إذا لم تقدر على قضاء حاجة الرجل فآيسته ؛ فإنّ ذلك</w:t>
      </w:r>
      <w:r w:rsidR="005A09DB">
        <w:rPr>
          <w:rtl/>
        </w:rPr>
        <w:t xml:space="preserve"> عنه بمنزلة الإسعاف. وقال العل</w:t>
      </w:r>
      <w:r w:rsidR="005A09DB">
        <w:rPr>
          <w:rFonts w:hint="cs"/>
          <w:rtl/>
        </w:rPr>
        <w:t>ّ</w:t>
      </w:r>
      <w:r w:rsidR="005A09DB">
        <w:rPr>
          <w:rtl/>
        </w:rPr>
        <w:t>ا</w:t>
      </w:r>
      <w:r w:rsidR="00992664" w:rsidRPr="00020424">
        <w:rPr>
          <w:rtl/>
        </w:rPr>
        <w:t xml:space="preserve">مة الفيض : « في بعض نسخ </w:t>
      </w:r>
      <w:r w:rsidR="00992664" w:rsidRPr="0012008A">
        <w:rPr>
          <w:rStyle w:val="libFootnoteBoldChar"/>
          <w:rtl/>
        </w:rPr>
        <w:t>الفقيه</w:t>
      </w:r>
      <w:r w:rsidR="00992664" w:rsidRPr="00020424">
        <w:rPr>
          <w:rtl/>
        </w:rPr>
        <w:t xml:space="preserve"> : تعجيله ، بدون السراح ، والسراح بالمهملات : الإرسال والخروج من الأمر بسرعة وسهولة</w:t>
      </w:r>
      <w:r w:rsidR="00992664">
        <w:rPr>
          <w:rtl/>
        </w:rPr>
        <w:t xml:space="preserve"> ..</w:t>
      </w:r>
      <w:r w:rsidR="00992664" w:rsidRPr="00020424">
        <w:rPr>
          <w:rtl/>
        </w:rPr>
        <w:t>. وربّما يوجد في بعض النسخ بالجيم وكأنّه من المصحّفات</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374 ؛ </w:t>
      </w:r>
      <w:r w:rsidR="00992664" w:rsidRPr="00A722B1">
        <w:rPr>
          <w:rStyle w:val="libFootnoteBoldChar"/>
          <w:rtl/>
        </w:rPr>
        <w:t>لسان العرب</w:t>
      </w:r>
      <w:r w:rsidR="00992664" w:rsidRPr="00020424">
        <w:rPr>
          <w:rtl/>
        </w:rPr>
        <w:t xml:space="preserve"> ، ج 2 ، ص 479 ( سرح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A722B1">
        <w:rPr>
          <w:rStyle w:val="libFootnoteBoldChar"/>
          <w:rtl/>
        </w:rPr>
        <w:t>الخصال</w:t>
      </w:r>
      <w:r w:rsidR="00992664" w:rsidRPr="00020424">
        <w:rPr>
          <w:rtl/>
        </w:rPr>
        <w:t xml:space="preserve"> ، ص 8 ، باب الواحد ، ح 28 ، بسنده عن أحمد بن محمّد بن خالد البرقي ، عن أبيه ، عن خلف بن </w:t>
      </w:r>
      <w:r w:rsidR="005A09D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35" w:name="_Toc345172795"/>
      <w:bookmarkStart w:id="236" w:name="_Toc464562611"/>
      <w:bookmarkStart w:id="237" w:name="_Toc44599914"/>
      <w:r w:rsidRPr="00020424">
        <w:rPr>
          <w:rtl/>
          <w:lang w:bidi="fa-IR"/>
        </w:rPr>
        <w:t>73</w:t>
      </w:r>
      <w:r>
        <w:rPr>
          <w:rtl/>
          <w:lang w:bidi="fa-IR"/>
        </w:rPr>
        <w:t xml:space="preserve"> </w:t>
      </w:r>
      <w:r w:rsidR="009B673F">
        <w:rPr>
          <w:rtl/>
          <w:lang w:bidi="fa-IR"/>
        </w:rPr>
        <w:t>-</w:t>
      </w:r>
      <w:r>
        <w:rPr>
          <w:rtl/>
          <w:lang w:bidi="fa-IR"/>
        </w:rPr>
        <w:t xml:space="preserve"> </w:t>
      </w:r>
      <w:r w:rsidRPr="00020424">
        <w:rPr>
          <w:rtl/>
          <w:lang w:bidi="fa-IR"/>
        </w:rPr>
        <w:t>بَابُ وَضْعِ الْمَعْرُوفِ مَوْضِعَهُ‌</w:t>
      </w:r>
      <w:bookmarkEnd w:id="235"/>
      <w:bookmarkEnd w:id="236"/>
      <w:bookmarkEnd w:id="237"/>
    </w:p>
    <w:p w:rsidR="00992664" w:rsidRPr="00020424" w:rsidRDefault="00992664" w:rsidP="00992664">
      <w:pPr>
        <w:pStyle w:val="libNormal"/>
        <w:rPr>
          <w:rtl/>
          <w:lang w:bidi="fa-IR"/>
        </w:rPr>
      </w:pPr>
      <w:r w:rsidRPr="003508FD">
        <w:rPr>
          <w:rtl/>
        </w:rPr>
        <w:t>6117</w:t>
      </w:r>
      <w:r w:rsidRPr="001155DE">
        <w:rPr>
          <w:rStyle w:val="libBold2Char"/>
          <w:rtl/>
        </w:rPr>
        <w:t xml:space="preserve"> / 1.</w:t>
      </w:r>
      <w:r w:rsidRPr="00020424">
        <w:rPr>
          <w:rtl/>
          <w:lang w:bidi="fa-IR"/>
        </w:rPr>
        <w:t xml:space="preserve"> عَلِيُّ بْنُ إِبْرَاهِيمَ ، عَنْ أَبِيهِ ، عَنِ ابْنِ أَبِي عُمَيْرٍ ، عَنْ سَيْفِ بْنِ عَمِيرَةَ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لِمُفَضَّلِ بْنِ عُمَرَ : « يَا مُفَضَّلُ </w:t>
      </w:r>
      <w:r w:rsidRPr="00A91B96">
        <w:rPr>
          <w:rStyle w:val="libFootnotenumChar"/>
          <w:rtl/>
        </w:rPr>
        <w:t>(1)</w:t>
      </w:r>
      <w:r w:rsidRPr="00020424">
        <w:rPr>
          <w:rtl/>
          <w:lang w:bidi="fa-IR"/>
        </w:rPr>
        <w:t xml:space="preserve"> ، إِذَا أَرَدْتَ أ</w:t>
      </w:r>
      <w:r>
        <w:rPr>
          <w:rtl/>
          <w:lang w:bidi="fa-IR"/>
        </w:rPr>
        <w:t>َنْ تَعْلَمَ أَ</w:t>
      </w:r>
      <w:r w:rsidRPr="00020424">
        <w:rPr>
          <w:rtl/>
          <w:lang w:bidi="fa-IR"/>
        </w:rPr>
        <w:t xml:space="preserve">شَقِيٌّ الرَّجُلُ أَمْ سَعِيدٌ ، فَانْظُرْ سَيْبَهُ </w:t>
      </w:r>
      <w:r w:rsidRPr="00A91B96">
        <w:rPr>
          <w:rStyle w:val="libFootnotenumChar"/>
          <w:rtl/>
        </w:rPr>
        <w:t>(2)</w:t>
      </w:r>
      <w:r w:rsidRPr="00020424">
        <w:rPr>
          <w:rtl/>
          <w:lang w:bidi="fa-IR"/>
        </w:rPr>
        <w:t xml:space="preserve"> وَمَعْرُوفَهُ إِلى مَنْ يَصْنَعُهُ </w:t>
      </w:r>
      <w:r w:rsidRPr="00A91B96">
        <w:rPr>
          <w:rStyle w:val="libFootnotenumChar"/>
          <w:rtl/>
        </w:rPr>
        <w:t>(3)</w:t>
      </w:r>
      <w:r w:rsidRPr="00020424">
        <w:rPr>
          <w:rtl/>
          <w:lang w:bidi="fa-IR"/>
        </w:rPr>
        <w:t xml:space="preserve"> ، فَإِنْ كَانَ يَصْنَعُهُ </w:t>
      </w:r>
      <w:r w:rsidRPr="00A91B96">
        <w:rPr>
          <w:rStyle w:val="libFootnotenumChar"/>
          <w:rtl/>
        </w:rPr>
        <w:t>(4)</w:t>
      </w:r>
      <w:r w:rsidRPr="00020424">
        <w:rPr>
          <w:rtl/>
          <w:lang w:bidi="fa-IR"/>
        </w:rPr>
        <w:t xml:space="preserve"> إِلى مَنْ هُوَ أَهْلُهُ ، فَاعْلَمْ أَنَّهُ </w:t>
      </w:r>
      <w:r w:rsidRPr="00A91B96">
        <w:rPr>
          <w:rStyle w:val="libFootnotenumChar"/>
          <w:rtl/>
        </w:rPr>
        <w:t>(5)</w:t>
      </w:r>
      <w:r w:rsidRPr="00020424">
        <w:rPr>
          <w:rtl/>
          <w:lang w:bidi="fa-IR"/>
        </w:rPr>
        <w:t xml:space="preserve"> إِلى </w:t>
      </w:r>
      <w:r w:rsidRPr="00A91B96">
        <w:rPr>
          <w:rStyle w:val="libFootnotenumChar"/>
          <w:rtl/>
        </w:rPr>
        <w:t>(6)</w:t>
      </w:r>
      <w:r w:rsidRPr="00020424">
        <w:rPr>
          <w:rtl/>
          <w:lang w:bidi="fa-IR"/>
        </w:rPr>
        <w:t xml:space="preserve"> خَيْرٍ ، وَإِنْ كَانَ يَصْنَعُهُ </w:t>
      </w:r>
      <w:r w:rsidRPr="00A91B96">
        <w:rPr>
          <w:rStyle w:val="libFootnotenumChar"/>
          <w:rtl/>
        </w:rPr>
        <w:t>(7)</w:t>
      </w:r>
      <w:r w:rsidRPr="00020424">
        <w:rPr>
          <w:rtl/>
          <w:lang w:bidi="fa-IR"/>
        </w:rPr>
        <w:t xml:space="preserve"> إِلى غَيْرِ أَهْلِهِ ، فَاعْلَمْ أَنَّهُ لَيْسَ لَهُ عِنْدَ اللهِ خَيْرٌ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3508FD">
        <w:rPr>
          <w:rtl/>
        </w:rPr>
        <w:t>6118</w:t>
      </w:r>
      <w:r w:rsidRPr="001155DE">
        <w:rPr>
          <w:rStyle w:val="libBold2Char"/>
          <w:rtl/>
        </w:rPr>
        <w:t xml:space="preserve"> / 2.</w:t>
      </w:r>
      <w:r w:rsidRPr="00020424">
        <w:rPr>
          <w:rtl/>
          <w:lang w:bidi="fa-IR"/>
        </w:rPr>
        <w:t xml:space="preserve"> عِدَّةٌ مِنْ أَصْحَابِنَا ، عَنْ أَحْمَدَ بْنِ مُحَمَّدِ بْنِ عِيسى ، عَنْ مُحَمَّدِ بْنِ سِنَانٍ ، عَنْ مُفَضَّلِ بْنِ عُمَرَ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يَا مُفَضَّلُ </w:t>
      </w:r>
      <w:r w:rsidRPr="00A91B96">
        <w:rPr>
          <w:rStyle w:val="libFootnotenumChar"/>
          <w:rtl/>
        </w:rPr>
        <w:t>(10)</w:t>
      </w:r>
      <w:r w:rsidRPr="00020424">
        <w:rPr>
          <w:rtl/>
          <w:lang w:bidi="fa-IR"/>
        </w:rPr>
        <w:t xml:space="preserve"> ، إِذَا أَرَدْتَ أَنْ تَعْلَمَ </w:t>
      </w:r>
      <w:r w:rsidRPr="00A91B96">
        <w:rPr>
          <w:rStyle w:val="libFootnotenumChar"/>
          <w:rtl/>
        </w:rPr>
        <w:t>(11)</w:t>
      </w:r>
      <w:r w:rsidRPr="00020424">
        <w:rPr>
          <w:rtl/>
          <w:lang w:bidi="fa-IR"/>
        </w:rPr>
        <w:t xml:space="preserve"> إِلى خَيْرٍ يَصِيرُ الرَّجُلُ ، أَمْ‌</w:t>
      </w:r>
    </w:p>
    <w:p w:rsidR="00992664" w:rsidRPr="00020424" w:rsidRDefault="00992664" w:rsidP="00992664">
      <w:pPr>
        <w:pStyle w:val="libLine"/>
        <w:rPr>
          <w:rtl/>
          <w:lang w:bidi="fa-IR"/>
        </w:rPr>
      </w:pPr>
      <w:r w:rsidRPr="00020424">
        <w:rPr>
          <w:rtl/>
          <w:lang w:bidi="fa-IR"/>
        </w:rPr>
        <w:t>__________________</w:t>
      </w:r>
    </w:p>
    <w:p w:rsidR="00992664" w:rsidRPr="00020424" w:rsidRDefault="00E53419" w:rsidP="00992664">
      <w:pPr>
        <w:pStyle w:val="libFootnote0"/>
        <w:rPr>
          <w:rtl/>
          <w:lang w:bidi="fa-IR"/>
        </w:rPr>
      </w:pPr>
      <w:r>
        <w:rPr>
          <w:rFonts w:hint="cs"/>
          <w:rtl/>
        </w:rPr>
        <w:t xml:space="preserve">= </w:t>
      </w:r>
      <w:r w:rsidR="00992664" w:rsidRPr="00020424">
        <w:rPr>
          <w:rtl/>
        </w:rPr>
        <w:t xml:space="preserve">حمّاد. </w:t>
      </w:r>
      <w:r w:rsidR="00992664" w:rsidRPr="00DE76B9">
        <w:rPr>
          <w:rStyle w:val="libFootnoteBoldChar"/>
          <w:rtl/>
        </w:rPr>
        <w:t>وفيه</w:t>
      </w:r>
      <w:r w:rsidR="00992664" w:rsidRPr="00020424">
        <w:rPr>
          <w:rtl/>
        </w:rPr>
        <w:t xml:space="preserve"> ، ص 620 ، أبواب الثمانين ومافوقه ، ضمن الحديث الطويل 10 ، بسند آخر عن أبي عبدالله ، عن آبائه ، عن عليّ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57 ، ح 1690 ، مرسلاً ، وفي الأخيرين مع اختلاف يسير. </w:t>
      </w:r>
      <w:r w:rsidR="00992664" w:rsidRPr="00DE76B9">
        <w:rPr>
          <w:rStyle w:val="libFootnoteBoldChar"/>
          <w:rtl/>
        </w:rPr>
        <w:t>تحف العقول</w:t>
      </w:r>
      <w:r w:rsidR="00992664" w:rsidRPr="00020424">
        <w:rPr>
          <w:rtl/>
        </w:rPr>
        <w:t xml:space="preserve"> ، ص 110 ، عن عليّ </w:t>
      </w:r>
      <w:r w:rsidR="00992664" w:rsidRPr="00D64ADA">
        <w:rPr>
          <w:rStyle w:val="libFootnoteAlaemChar"/>
          <w:rtl/>
        </w:rPr>
        <w:t>عليه‌السلام</w:t>
      </w:r>
      <w:r w:rsidR="00992664" w:rsidRPr="00020424">
        <w:rPr>
          <w:rtl/>
        </w:rPr>
        <w:t xml:space="preserve"> </w:t>
      </w:r>
      <w:r w:rsidR="006C7629">
        <w:rPr>
          <w:rFonts w:hint="cs"/>
          <w:rtl/>
        </w:rPr>
        <w:t>.</w:t>
      </w:r>
      <w:r w:rsidR="00992664" w:rsidRPr="0012008A">
        <w:rPr>
          <w:rStyle w:val="libFootnoteBoldChar"/>
          <w:rtl/>
        </w:rPr>
        <w:t>الوافي</w:t>
      </w:r>
      <w:r w:rsidR="00992664" w:rsidRPr="00020424">
        <w:rPr>
          <w:rtl/>
        </w:rPr>
        <w:t xml:space="preserve"> ، ج 10 ، ص 457 ، ح 9881 ؛ </w:t>
      </w:r>
      <w:r w:rsidR="00992664" w:rsidRPr="0012008A">
        <w:rPr>
          <w:rStyle w:val="libFootnoteBoldChar"/>
          <w:rtl/>
        </w:rPr>
        <w:t>الوسائل</w:t>
      </w:r>
      <w:r w:rsidR="00992664" w:rsidRPr="00020424">
        <w:rPr>
          <w:rtl/>
        </w:rPr>
        <w:t xml:space="preserve"> ، ج 16 ، ص 315 ، ح 21641.</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يا مفضّل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757F3F">
        <w:rPr>
          <w:rStyle w:val="libFootnoteBoldChar"/>
          <w:rtl/>
        </w:rPr>
        <w:t>الأمالي للطوسي</w:t>
      </w:r>
      <w:r w:rsidR="00992664" w:rsidRPr="00020424">
        <w:rPr>
          <w:rtl/>
        </w:rPr>
        <w:t xml:space="preserve"> : « برّه</w:t>
      </w:r>
      <w:r w:rsidR="00992664">
        <w:rPr>
          <w:rtl/>
        </w:rPr>
        <w:t xml:space="preserve"> ».</w:t>
      </w:r>
      <w:r w:rsidR="00992664" w:rsidRPr="00020424">
        <w:rPr>
          <w:rtl/>
        </w:rPr>
        <w:t xml:space="preserve"> </w:t>
      </w:r>
      <w:r w:rsidR="00992664">
        <w:rPr>
          <w:rtl/>
        </w:rPr>
        <w:t>و «</w:t>
      </w:r>
      <w:r w:rsidR="00992664" w:rsidRPr="00020424">
        <w:rPr>
          <w:rtl/>
        </w:rPr>
        <w:t xml:space="preserve"> السَّيْبُ » : العطاء ، والمعروف ، والنافلة. راجع : </w:t>
      </w:r>
      <w:r w:rsidR="00992664" w:rsidRPr="00DE76B9">
        <w:rPr>
          <w:rStyle w:val="libFootnoteBoldChar"/>
          <w:rtl/>
        </w:rPr>
        <w:t>ترتيب كتاب العين</w:t>
      </w:r>
      <w:r w:rsidR="00992664" w:rsidRPr="00020424">
        <w:rPr>
          <w:rtl/>
        </w:rPr>
        <w:t xml:space="preserve"> ، ج 2 ، ص 878 ؛ </w:t>
      </w:r>
      <w:r w:rsidR="00992664" w:rsidRPr="00A722B1">
        <w:rPr>
          <w:rStyle w:val="libFootnoteBoldChar"/>
          <w:rtl/>
        </w:rPr>
        <w:t>لسان العرب</w:t>
      </w:r>
      <w:r w:rsidR="00992664" w:rsidRPr="00020424">
        <w:rPr>
          <w:rtl/>
        </w:rPr>
        <w:t xml:space="preserve"> ، ج 1 ، ص 477 ( سيب )</w:t>
      </w:r>
      <w:r w:rsidR="00992664">
        <w:rPr>
          <w:rtl/>
        </w:rPr>
        <w:t>.</w:t>
      </w:r>
    </w:p>
    <w:tbl>
      <w:tblPr>
        <w:tblStyle w:val="TableGrid"/>
        <w:bidiVisual/>
        <w:tblW w:w="0" w:type="auto"/>
        <w:tblLook w:val="04A0" w:firstRow="1" w:lastRow="0" w:firstColumn="1" w:lastColumn="0" w:noHBand="0" w:noVBand="1"/>
      </w:tblPr>
      <w:tblGrid>
        <w:gridCol w:w="4006"/>
        <w:gridCol w:w="4006"/>
      </w:tblGrid>
      <w:tr w:rsidR="006C7629" w:rsidTr="006C7629">
        <w:tc>
          <w:tcPr>
            <w:tcW w:w="4006" w:type="dxa"/>
          </w:tcPr>
          <w:p w:rsidR="006C7629" w:rsidRDefault="006C7629" w:rsidP="00992664">
            <w:pPr>
              <w:pStyle w:val="libFootnote0"/>
              <w:rPr>
                <w:rtl/>
              </w:rPr>
            </w:pPr>
            <w:r>
              <w:rPr>
                <w:rtl/>
              </w:rPr>
              <w:t xml:space="preserve">(3). </w:t>
            </w:r>
            <w:r w:rsidRPr="00020424">
              <w:rPr>
                <w:rtl/>
              </w:rPr>
              <w:t>في « بح » : « يضعه</w:t>
            </w:r>
            <w:r>
              <w:rPr>
                <w:rtl/>
              </w:rPr>
              <w:t xml:space="preserve"> ».</w:t>
            </w:r>
          </w:p>
        </w:tc>
        <w:tc>
          <w:tcPr>
            <w:tcW w:w="4006" w:type="dxa"/>
          </w:tcPr>
          <w:p w:rsidR="006C7629" w:rsidRDefault="006C7629" w:rsidP="00992664">
            <w:pPr>
              <w:pStyle w:val="libFootnote0"/>
              <w:rPr>
                <w:rtl/>
              </w:rPr>
            </w:pPr>
            <w:r>
              <w:rPr>
                <w:rtl/>
              </w:rPr>
              <w:t xml:space="preserve">(4). </w:t>
            </w:r>
            <w:r w:rsidRPr="00020424">
              <w:rPr>
                <w:rtl/>
              </w:rPr>
              <w:t>في « بح » : « يضعه</w:t>
            </w:r>
            <w:r>
              <w:rPr>
                <w:rtl/>
              </w:rPr>
              <w:t xml:space="preserve"> ».</w:t>
            </w:r>
          </w:p>
        </w:tc>
      </w:tr>
      <w:tr w:rsidR="006C7629" w:rsidTr="006C7629">
        <w:tc>
          <w:tcPr>
            <w:tcW w:w="4006" w:type="dxa"/>
          </w:tcPr>
          <w:p w:rsidR="006C7629" w:rsidRDefault="006C7629" w:rsidP="00992664">
            <w:pPr>
              <w:pStyle w:val="libFootnote0"/>
              <w:rPr>
                <w:rtl/>
              </w:rPr>
            </w:pPr>
            <w:r>
              <w:rPr>
                <w:rtl/>
              </w:rPr>
              <w:t xml:space="preserve">(5). </w:t>
            </w:r>
            <w:r w:rsidRPr="00020424">
              <w:rPr>
                <w:rtl/>
              </w:rPr>
              <w:t>في « بث » : + « يصير</w:t>
            </w:r>
            <w:r>
              <w:rPr>
                <w:rtl/>
              </w:rPr>
              <w:t xml:space="preserve"> ».</w:t>
            </w:r>
          </w:p>
        </w:tc>
        <w:tc>
          <w:tcPr>
            <w:tcW w:w="4006" w:type="dxa"/>
          </w:tcPr>
          <w:p w:rsidR="006C7629" w:rsidRDefault="006C7629" w:rsidP="00992664">
            <w:pPr>
              <w:pStyle w:val="libFootnote0"/>
              <w:rPr>
                <w:rtl/>
              </w:rPr>
            </w:pPr>
            <w:r>
              <w:rPr>
                <w:rtl/>
              </w:rPr>
              <w:t xml:space="preserve">(6). </w:t>
            </w:r>
            <w:r w:rsidRPr="00020424">
              <w:rPr>
                <w:rtl/>
              </w:rPr>
              <w:t>في « بس » وحاشية « ظ » : « على</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يضعه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هذا الخبر محمول على ما إذا علم أنّه ليس من أهله ، وما سبق في الباب السابق</w:t>
      </w:r>
      <w:r w:rsidR="00992664">
        <w:rPr>
          <w:rtl/>
        </w:rPr>
        <w:t xml:space="preserve"> </w:t>
      </w:r>
      <w:r w:rsidR="009B673F">
        <w:rPr>
          <w:rtl/>
        </w:rPr>
        <w:t>-</w:t>
      </w:r>
      <w:r w:rsidR="00992664">
        <w:rPr>
          <w:rtl/>
        </w:rPr>
        <w:t xml:space="preserve"> </w:t>
      </w:r>
      <w:r w:rsidR="00992664" w:rsidRPr="00020424">
        <w:rPr>
          <w:rtl/>
        </w:rPr>
        <w:t>وهو باب المعروف وفضله</w:t>
      </w:r>
      <w:r w:rsidR="00992664">
        <w:rPr>
          <w:rtl/>
        </w:rPr>
        <w:t xml:space="preserve"> </w:t>
      </w:r>
      <w:r w:rsidR="009B673F">
        <w:rPr>
          <w:rtl/>
        </w:rPr>
        <w:t>-</w:t>
      </w:r>
      <w:r w:rsidR="00992664">
        <w:rPr>
          <w:rtl/>
        </w:rPr>
        <w:t xml:space="preserve"> </w:t>
      </w:r>
      <w:r w:rsidR="00992664" w:rsidRPr="00020424">
        <w:rPr>
          <w:rtl/>
        </w:rPr>
        <w:t>محمول على ما إذا كان عنده مجهولاً ؛ فلا تنافي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757F3F">
        <w:rPr>
          <w:rStyle w:val="libFootnoteBoldChar"/>
          <w:rtl/>
        </w:rPr>
        <w:t>الأمالي للطوسي</w:t>
      </w:r>
      <w:r w:rsidR="00992664" w:rsidRPr="00020424">
        <w:rPr>
          <w:rtl/>
        </w:rPr>
        <w:t xml:space="preserve"> ، ص 643 ، المجلس 32 ، ح 22 ، بسنده عن سيف بن عميرة. </w:t>
      </w:r>
      <w:r w:rsidR="00992664" w:rsidRPr="0012008A">
        <w:rPr>
          <w:rStyle w:val="libFootnoteBoldChar"/>
          <w:rtl/>
        </w:rPr>
        <w:t>الفقيه</w:t>
      </w:r>
      <w:r w:rsidR="00992664" w:rsidRPr="00020424">
        <w:rPr>
          <w:rtl/>
        </w:rPr>
        <w:t xml:space="preserve"> ، ج 2 ، ص 57 ، ح 1692 ، مرسلاً من دون التصريح باسم المعصوم </w:t>
      </w:r>
      <w:r w:rsidR="00992664" w:rsidRPr="00D64ADA">
        <w:rPr>
          <w:rStyle w:val="libFootnoteAlaemChar"/>
          <w:rtl/>
        </w:rPr>
        <w:t>عليه‌السلام</w:t>
      </w:r>
      <w:r w:rsidR="00992664" w:rsidRPr="00020424">
        <w:rPr>
          <w:rtl/>
        </w:rPr>
        <w:t xml:space="preserve"> </w:t>
      </w:r>
      <w:r w:rsidR="006C7629">
        <w:rPr>
          <w:rFonts w:hint="cs"/>
          <w:rtl/>
        </w:rPr>
        <w:t>.</w:t>
      </w:r>
      <w:r w:rsidR="00992664" w:rsidRPr="0012008A">
        <w:rPr>
          <w:rStyle w:val="libFootnoteBoldChar"/>
          <w:rtl/>
        </w:rPr>
        <w:t>الوافي</w:t>
      </w:r>
      <w:r w:rsidR="00992664" w:rsidRPr="00020424">
        <w:rPr>
          <w:rtl/>
        </w:rPr>
        <w:t xml:space="preserve"> ، ج 10 ، ص 458 ، ح 9883 ؛ </w:t>
      </w:r>
      <w:r w:rsidR="00992664" w:rsidRPr="0012008A">
        <w:rPr>
          <w:rStyle w:val="libFootnoteBoldChar"/>
          <w:rtl/>
        </w:rPr>
        <w:t>الوسائل</w:t>
      </w:r>
      <w:r w:rsidR="00992664" w:rsidRPr="00020424">
        <w:rPr>
          <w:rtl/>
        </w:rPr>
        <w:t xml:space="preserve"> ، ج 16 ، ص 299 ، ح 21599.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 + « بن عمر</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يا مفضّل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أن تعرف</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إِلى شَرٍّ ، انْظُرْ </w:t>
      </w:r>
      <w:r w:rsidRPr="00A91B96">
        <w:rPr>
          <w:rStyle w:val="libFootnotenumChar"/>
          <w:rtl/>
        </w:rPr>
        <w:t>(1)</w:t>
      </w:r>
      <w:r w:rsidRPr="00020424">
        <w:rPr>
          <w:rtl/>
          <w:lang w:bidi="fa-IR"/>
        </w:rPr>
        <w:t xml:space="preserve"> أَيْنَ يَضَعُ </w:t>
      </w:r>
      <w:r w:rsidRPr="00A91B96">
        <w:rPr>
          <w:rStyle w:val="libFootnotenumChar"/>
          <w:rtl/>
        </w:rPr>
        <w:t>(2)</w:t>
      </w:r>
      <w:r w:rsidRPr="00020424">
        <w:rPr>
          <w:rtl/>
          <w:lang w:bidi="fa-IR"/>
        </w:rPr>
        <w:t xml:space="preserve"> مَعْرُوفَهُ ، فَإِنْ كَانَ يَضَعُ </w:t>
      </w:r>
      <w:r w:rsidRPr="00A91B96">
        <w:rPr>
          <w:rStyle w:val="libFootnotenumChar"/>
          <w:rtl/>
        </w:rPr>
        <w:t>(3)</w:t>
      </w:r>
      <w:r w:rsidRPr="00020424">
        <w:rPr>
          <w:rtl/>
          <w:lang w:bidi="fa-IR"/>
        </w:rPr>
        <w:t xml:space="preserve"> مَعْرُوفَهُ عِنْدَ أَهْلِهِ ، فَاعْلَمْ أَنَّهُ يَصِيرُ إِلى خَيْرٍ ، وَإِنْ كَانَ يَضَعُ </w:t>
      </w:r>
      <w:r w:rsidRPr="00A91B96">
        <w:rPr>
          <w:rStyle w:val="libFootnotenumChar"/>
          <w:rtl/>
        </w:rPr>
        <w:t>(4)</w:t>
      </w:r>
      <w:r w:rsidRPr="00020424">
        <w:rPr>
          <w:rtl/>
          <w:lang w:bidi="fa-IR"/>
        </w:rPr>
        <w:t xml:space="preserve"> مَعْرُوفَهُ عِنْدَ </w:t>
      </w:r>
      <w:r w:rsidRPr="00A91B96">
        <w:rPr>
          <w:rStyle w:val="libFootnotenumChar"/>
          <w:rtl/>
        </w:rPr>
        <w:t>(5)</w:t>
      </w:r>
      <w:r w:rsidRPr="00020424">
        <w:rPr>
          <w:rtl/>
          <w:lang w:bidi="fa-IR"/>
        </w:rPr>
        <w:t xml:space="preserve"> غَيْرِ أَهْلِهِ ، فَاعْلَمْ أَنَّهُ لَيْسَ لَهُ فِي الْآخِرَةِ مِنْ خلاقٍ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3508FD">
        <w:rPr>
          <w:rtl/>
        </w:rPr>
        <w:t>6119</w:t>
      </w:r>
      <w:r w:rsidRPr="001155DE">
        <w:rPr>
          <w:rStyle w:val="libBold2Char"/>
          <w:rtl/>
        </w:rPr>
        <w:t xml:space="preserve"> / 3.</w:t>
      </w:r>
      <w:r w:rsidRPr="00020424">
        <w:rPr>
          <w:rtl/>
          <w:lang w:bidi="fa-IR"/>
        </w:rPr>
        <w:t xml:space="preserve"> عِدَّةٌ مِنْ أَصْحَابِنَا ، عَنْ أَحْمَدَ بْنِ أَبِي عَبْدِ اللهِ ، عَنْ مُحَمَّدِ بْنِ عَلِيٍّ ، عَنْ أَحْمَدَ بْنِ عَمْرِو بْنِ سُلَيْمَانَ </w:t>
      </w:r>
      <w:r w:rsidRPr="00A91B96">
        <w:rPr>
          <w:rStyle w:val="libFootnotenumChar"/>
          <w:rtl/>
        </w:rPr>
        <w:t>(8)</w:t>
      </w:r>
      <w:r w:rsidRPr="00020424">
        <w:rPr>
          <w:rtl/>
          <w:lang w:bidi="fa-IR"/>
        </w:rPr>
        <w:t xml:space="preserve"> الْبَجَلِيِّ ، عَنِ الْحَسَنِ بْنِ إِسْمَاعِيلَ بْنِ شُعَيْبِ بْنِ مِيثَمٍ التَّمَّارِ </w:t>
      </w:r>
      <w:r w:rsidRPr="00A91B96">
        <w:rPr>
          <w:rStyle w:val="libFootnotenumChar"/>
          <w:rtl/>
        </w:rPr>
        <w:t>(9)</w:t>
      </w:r>
      <w:r w:rsidRPr="00020424">
        <w:rPr>
          <w:rtl/>
          <w:lang w:bidi="fa-IR"/>
        </w:rPr>
        <w:t xml:space="preserve"> ، عَنْ إِبْرَاهِيمَ بْنِ إِسْحَاقَ الْمَدَائِنِيِّ ، عَنْ رَجُلٍ ، عَنْ أَبِي مِخْنَفٍ </w:t>
      </w:r>
      <w:r w:rsidRPr="00A91B96">
        <w:rPr>
          <w:rStyle w:val="libFootnotenumChar"/>
          <w:rtl/>
        </w:rPr>
        <w:t>(10)</w:t>
      </w:r>
      <w:r w:rsidRPr="00020424">
        <w:rPr>
          <w:rtl/>
          <w:lang w:bidi="fa-IR"/>
        </w:rPr>
        <w:t xml:space="preserve"> الْأَزْدِيِّ ، قَالَ :</w:t>
      </w:r>
    </w:p>
    <w:p w:rsidR="00992664" w:rsidRPr="00020424" w:rsidRDefault="00992664" w:rsidP="00992664">
      <w:pPr>
        <w:pStyle w:val="libNormal"/>
        <w:rPr>
          <w:rtl/>
          <w:lang w:bidi="fa-IR"/>
        </w:rPr>
      </w:pPr>
      <w:r w:rsidRPr="00020424">
        <w:rPr>
          <w:rtl/>
          <w:lang w:bidi="fa-IR"/>
        </w:rPr>
        <w:t xml:space="preserve">أَتى أَمِيرَ الْمُؤْمِنِينَ </w:t>
      </w:r>
      <w:r w:rsidRPr="00005A81">
        <w:rPr>
          <w:rStyle w:val="libAlaemChar"/>
          <w:rtl/>
        </w:rPr>
        <w:t>عليه‌السلام</w:t>
      </w:r>
      <w:r w:rsidRPr="00020424">
        <w:rPr>
          <w:rtl/>
          <w:lang w:bidi="fa-IR"/>
        </w:rPr>
        <w:t xml:space="preserve"> رَهْطٌ مِنَ الشِّيعَةِ ، فَقَالُوا : يَا أَمِيرَ الْمُؤْمِنِينَ ، لَوْ أَخْرَجْتَ هذِهِ الْأَمْوَالَ ، فَفَرَّقْتَهَا فِي هؤُلاءِ الرُّؤَسَاءِ وَالْأَشْرَافِ ، وَفَضَّلْتَهُمْ عَلَيْنَا حَتّى إِذَا‌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فانظر</w:t>
      </w:r>
      <w:r w:rsidR="00992664">
        <w:rPr>
          <w:rtl/>
        </w:rPr>
        <w:t xml:space="preserve"> ».</w:t>
      </w:r>
      <w:r w:rsidR="00992664" w:rsidRPr="00020424">
        <w:rPr>
          <w:rtl/>
        </w:rPr>
        <w:t xml:space="preserve"> وفي « ى » : + « إلى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7629" w:rsidTr="006C7629">
        <w:tc>
          <w:tcPr>
            <w:tcW w:w="4006" w:type="dxa"/>
          </w:tcPr>
          <w:p w:rsidR="006C7629" w:rsidRDefault="006C7629" w:rsidP="00992664">
            <w:pPr>
              <w:pStyle w:val="libFootnote0"/>
              <w:rPr>
                <w:rtl/>
              </w:rPr>
            </w:pPr>
            <w:r>
              <w:rPr>
                <w:rtl/>
              </w:rPr>
              <w:t xml:space="preserve">(2). </w:t>
            </w:r>
            <w:r w:rsidRPr="00020424">
              <w:rPr>
                <w:rtl/>
              </w:rPr>
              <w:t xml:space="preserve">في « ى ، بخ ، بر ، بك » </w:t>
            </w:r>
            <w:r w:rsidRPr="00EB1FD9">
              <w:rPr>
                <w:rStyle w:val="libFootnoteBoldChar"/>
                <w:rtl/>
              </w:rPr>
              <w:t>والوسائل</w:t>
            </w:r>
            <w:r>
              <w:rPr>
                <w:rtl/>
              </w:rPr>
              <w:t xml:space="preserve"> : «</w:t>
            </w:r>
            <w:r w:rsidRPr="00020424">
              <w:rPr>
                <w:rtl/>
              </w:rPr>
              <w:t>يصنع</w:t>
            </w:r>
            <w:r>
              <w:rPr>
                <w:rtl/>
              </w:rPr>
              <w:t>».</w:t>
            </w:r>
          </w:p>
        </w:tc>
        <w:tc>
          <w:tcPr>
            <w:tcW w:w="4006" w:type="dxa"/>
          </w:tcPr>
          <w:p w:rsidR="006C7629" w:rsidRDefault="006C7629" w:rsidP="00992664">
            <w:pPr>
              <w:pStyle w:val="libFootnote0"/>
              <w:rPr>
                <w:rtl/>
              </w:rPr>
            </w:pPr>
            <w:r>
              <w:rPr>
                <w:rtl/>
              </w:rPr>
              <w:t>(3). في«ى،بخ،بر،بف،بك</w:t>
            </w:r>
            <w:r w:rsidRPr="00020424">
              <w:rPr>
                <w:rtl/>
              </w:rPr>
              <w:t xml:space="preserve">» </w:t>
            </w:r>
            <w:r w:rsidRPr="00EB1FD9">
              <w:rPr>
                <w:rStyle w:val="libFootnoteBoldChar"/>
                <w:rtl/>
              </w:rPr>
              <w:t>والوسائل</w:t>
            </w:r>
            <w:r w:rsidRPr="00020424">
              <w:rPr>
                <w:rtl/>
              </w:rPr>
              <w:t xml:space="preserve"> : « يصنع</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بخ ، بر ، بف ، بك » </w:t>
      </w:r>
      <w:r w:rsidR="00992664" w:rsidRPr="00EB1FD9">
        <w:rPr>
          <w:rStyle w:val="libFootnoteBoldChar"/>
          <w:rtl/>
        </w:rPr>
        <w:t>والوسائل</w:t>
      </w:r>
      <w:r w:rsidR="00992664" w:rsidRPr="00020424">
        <w:rPr>
          <w:rtl/>
        </w:rPr>
        <w:t xml:space="preserve"> : « يصنع</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مع</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الخَلاق » : الحظّ والنصيب. راجع : </w:t>
      </w:r>
      <w:r w:rsidR="00992664" w:rsidRPr="0012008A">
        <w:rPr>
          <w:rStyle w:val="libFootnoteBoldChar"/>
          <w:rtl/>
        </w:rPr>
        <w:t>الصحاح</w:t>
      </w:r>
      <w:r w:rsidR="00992664" w:rsidRPr="00020424">
        <w:rPr>
          <w:rtl/>
        </w:rPr>
        <w:t xml:space="preserve"> ، ج 4 ، ص 1471 ؛ </w:t>
      </w:r>
      <w:r w:rsidR="00992664" w:rsidRPr="0012008A">
        <w:rPr>
          <w:rStyle w:val="libFootnoteBoldChar"/>
          <w:rtl/>
        </w:rPr>
        <w:t>النهاية</w:t>
      </w:r>
      <w:r w:rsidR="00992664" w:rsidRPr="00020424">
        <w:rPr>
          <w:rtl/>
        </w:rPr>
        <w:t xml:space="preserve"> ، ج 2 ، ص 70 ( خلق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458 ، ح 9884 ؛ </w:t>
      </w:r>
      <w:r w:rsidR="00992664" w:rsidRPr="0012008A">
        <w:rPr>
          <w:rStyle w:val="libFootnoteBoldChar"/>
          <w:rtl/>
        </w:rPr>
        <w:t>الوسائل</w:t>
      </w:r>
      <w:r w:rsidR="00992664" w:rsidRPr="00020424">
        <w:rPr>
          <w:rtl/>
        </w:rPr>
        <w:t xml:space="preserve"> ، ج 16 ، ص 300 ، ح 21600.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بخ » </w:t>
      </w:r>
      <w:r w:rsidR="00992664" w:rsidRPr="00EB1FD9">
        <w:rPr>
          <w:rStyle w:val="libFootnoteBoldChar"/>
          <w:rtl/>
        </w:rPr>
        <w:t>والوسائل</w:t>
      </w:r>
      <w:r w:rsidR="00992664" w:rsidRPr="00020424">
        <w:rPr>
          <w:rtl/>
        </w:rPr>
        <w:t xml:space="preserve"> : « مسلم</w:t>
      </w:r>
      <w:r w:rsidR="00992664">
        <w:rPr>
          <w:rtl/>
        </w:rPr>
        <w:t xml:space="preserve"> ».</w:t>
      </w:r>
      <w:r w:rsidR="00992664" w:rsidRPr="00020424">
        <w:rPr>
          <w:rtl/>
        </w:rPr>
        <w:t xml:space="preserve"> وفي « بر ، بف » : « سلم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هكذا في « بر ، جر</w:t>
      </w:r>
      <w:r w:rsidR="00992664">
        <w:rPr>
          <w:rtl/>
        </w:rPr>
        <w:t xml:space="preserve"> ».</w:t>
      </w:r>
      <w:r w:rsidR="00992664" w:rsidRPr="00020424">
        <w:rPr>
          <w:rtl/>
        </w:rPr>
        <w:t xml:space="preserve"> وفي « ظ ، بخ » والمطبوع : « إسماعيل بن الحسن بن إسماعيل بن شعيب بن ميثم التمّار</w:t>
      </w:r>
      <w:r w:rsidR="00992664">
        <w:rPr>
          <w:rtl/>
        </w:rPr>
        <w:t xml:space="preserve"> ».</w:t>
      </w:r>
      <w:r w:rsidR="00992664" w:rsidRPr="00020424">
        <w:rPr>
          <w:rtl/>
        </w:rPr>
        <w:t xml:space="preserve"> وفي « ى ، بث ، جن » : « إسماعيل بن الحسن بن إسماعيل بن شعيب ، عن ميثم التمّار</w:t>
      </w:r>
      <w:r w:rsidR="00992664">
        <w:rPr>
          <w:rtl/>
        </w:rPr>
        <w:t xml:space="preserve"> ».</w:t>
      </w:r>
      <w:r w:rsidR="00992664" w:rsidRPr="00020424">
        <w:rPr>
          <w:rtl/>
        </w:rPr>
        <w:t xml:space="preserve"> وفي « بح » : الحسن بن إسماعيل ، عن شعيب عن ميثم التمّار</w:t>
      </w:r>
      <w:r w:rsidR="00992664">
        <w:rPr>
          <w:rtl/>
        </w:rPr>
        <w:t xml:space="preserve"> ».</w:t>
      </w:r>
    </w:p>
    <w:p w:rsidR="00992664" w:rsidRPr="00020424" w:rsidRDefault="00992664" w:rsidP="007D09B4">
      <w:pPr>
        <w:pStyle w:val="libFootnote0"/>
        <w:rPr>
          <w:rtl/>
          <w:lang w:bidi="fa-IR"/>
        </w:rPr>
      </w:pPr>
      <w:r w:rsidRPr="007D09B4">
        <w:rPr>
          <w:rtl/>
        </w:rPr>
        <w:t xml:space="preserve">والظاهر أنّ الصواب ما أثبتناه ؛ فقد روى محمّد بن عليّ ، عن أحمد بن عمر بن مسلم ( والظاهر اتّحاده مع أحمد بن عمرو بن سليمان ووقوع التحريف في أحد العنوانين ) ، عن الحسن بن إسماعيل الميثمي في </w:t>
      </w:r>
      <w:r w:rsidR="00D64ADA" w:rsidRPr="00D64ADA">
        <w:rPr>
          <w:rStyle w:val="libFootnoteBoldChar"/>
          <w:rtl/>
        </w:rPr>
        <w:t>المحاسن</w:t>
      </w:r>
      <w:r w:rsidRPr="007D09B4">
        <w:rPr>
          <w:rtl/>
        </w:rPr>
        <w:t xml:space="preserve"> ، ج 2 ، ص 479 ، ح 502 ، ولم نجد في أعقاب ميثم التمّار من يسمّى بإسماعيل بن الحسن بن إسماعيل. وأمّا الحسن بن إسماعيل بن شعيب ، فهو والد أحمد بن الحسن المترجم في </w:t>
      </w:r>
      <w:r w:rsidRPr="00DE76B9">
        <w:rPr>
          <w:rStyle w:val="libFootnoteBoldChar"/>
          <w:rtl/>
        </w:rPr>
        <w:t>رجال النجاشي</w:t>
      </w:r>
      <w:r w:rsidRPr="007D09B4">
        <w:rPr>
          <w:rtl/>
        </w:rPr>
        <w:t xml:space="preserve"> ، ص 47 ، الرقم 179 ؛ و</w:t>
      </w:r>
      <w:r w:rsidRPr="00D530ED">
        <w:rPr>
          <w:rStyle w:val="libFootnoteBoldChar"/>
          <w:rtl/>
        </w:rPr>
        <w:t>الفهرست للطوسي</w:t>
      </w:r>
      <w:r w:rsidRPr="007D09B4">
        <w:rPr>
          <w:rtl/>
        </w:rPr>
        <w:t xml:space="preserve"> ، ص 54 ، الرقم 66.</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بر ، بك » : « محنف</w:t>
      </w:r>
      <w:r w:rsidR="00992664">
        <w:rPr>
          <w:rtl/>
        </w:rPr>
        <w:t xml:space="preserve"> ».</w:t>
      </w:r>
      <w:r w:rsidR="00992664" w:rsidRPr="00020424">
        <w:rPr>
          <w:rtl/>
        </w:rPr>
        <w:t xml:space="preserve"> وفي « بح » : « مخيف</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أبو مخنف بالمعجمة على وزن منبر : هو لوط بن يحيى ، وكان شيخاً من أصحاب الأخبار بالكوفة وجهاً مسكوناً إلى روايته ، قال في </w:t>
      </w:r>
      <w:r w:rsidR="00992664" w:rsidRPr="00DE76B9">
        <w:rPr>
          <w:rStyle w:val="libFootnoteBoldChar"/>
          <w:rtl/>
        </w:rPr>
        <w:t>القاموس</w:t>
      </w:r>
      <w:r w:rsidR="00992664" w:rsidRPr="00020424">
        <w:rPr>
          <w:rtl/>
        </w:rPr>
        <w:t xml:space="preserve"> : أخباريّ شيعيّ</w:t>
      </w:r>
      <w:r w:rsidR="00992664">
        <w:rPr>
          <w:rtl/>
        </w:rPr>
        <w:t xml:space="preserve"> ».</w:t>
      </w:r>
      <w:r w:rsidR="00992664" w:rsidRPr="00020424">
        <w:rPr>
          <w:rtl/>
        </w:rPr>
        <w:t xml:space="preserve"> راجع : </w:t>
      </w:r>
      <w:r w:rsidR="00992664" w:rsidRPr="00A722B1">
        <w:rPr>
          <w:rStyle w:val="libFootnoteBoldChar"/>
          <w:rtl/>
        </w:rPr>
        <w:t>القاموس المحيط</w:t>
      </w:r>
      <w:r w:rsidR="00992664" w:rsidRPr="00020424">
        <w:rPr>
          <w:rtl/>
        </w:rPr>
        <w:t xml:space="preserve"> ، ج 2 ، ص 1079 ( خنف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اسْتَوْسَقَتِ الْأُمُورُ </w:t>
      </w:r>
      <w:r w:rsidRPr="00A91B96">
        <w:rPr>
          <w:rStyle w:val="libFootnotenumChar"/>
          <w:rtl/>
        </w:rPr>
        <w:t>(1)</w:t>
      </w:r>
      <w:r w:rsidRPr="00020424">
        <w:rPr>
          <w:rtl/>
          <w:lang w:bidi="fa-IR"/>
        </w:rPr>
        <w:t xml:space="preserve"> ، عُدْتَ </w:t>
      </w:r>
      <w:r w:rsidRPr="00A91B96">
        <w:rPr>
          <w:rStyle w:val="libFootnotenumChar"/>
          <w:rtl/>
        </w:rPr>
        <w:t>(2)</w:t>
      </w:r>
      <w:r w:rsidRPr="00020424">
        <w:rPr>
          <w:rtl/>
          <w:lang w:bidi="fa-IR"/>
        </w:rPr>
        <w:t xml:space="preserve"> إِلى أَفْضَلِ مَا عَوَّدَكَ اللهُ </w:t>
      </w:r>
      <w:r w:rsidRPr="00A91B96">
        <w:rPr>
          <w:rStyle w:val="libFootnotenumChar"/>
          <w:rtl/>
        </w:rPr>
        <w:t>(3)</w:t>
      </w:r>
      <w:r w:rsidRPr="00020424">
        <w:rPr>
          <w:rtl/>
          <w:lang w:bidi="fa-IR"/>
        </w:rPr>
        <w:t xml:space="preserve"> مِنَ الْقَسْمِ بِالسَّوِيَّةِ ، وَالْعَدْلِ فِي الرَّعِيَّةِ.</w:t>
      </w:r>
    </w:p>
    <w:p w:rsidR="00992664" w:rsidRPr="00020424" w:rsidRDefault="00992664" w:rsidP="00992664">
      <w:pPr>
        <w:pStyle w:val="libNormal"/>
        <w:rPr>
          <w:rtl/>
          <w:lang w:bidi="fa-IR"/>
        </w:rPr>
      </w:pPr>
      <w:r w:rsidRPr="00020424">
        <w:rPr>
          <w:rtl/>
          <w:lang w:bidi="fa-IR"/>
        </w:rPr>
        <w:t xml:space="preserve">فَقَالَ أَمِيرُ الْمُؤْمِنِينَ </w:t>
      </w:r>
      <w:r w:rsidRPr="00005A81">
        <w:rPr>
          <w:rStyle w:val="libAlaemChar"/>
          <w:rtl/>
        </w:rPr>
        <w:t>عليه‌السلام</w:t>
      </w:r>
      <w:r>
        <w:rPr>
          <w:rtl/>
          <w:lang w:bidi="fa-IR"/>
        </w:rPr>
        <w:t xml:space="preserve"> : « أَ</w:t>
      </w:r>
      <w:r w:rsidRPr="00020424">
        <w:rPr>
          <w:rtl/>
          <w:lang w:bidi="fa-IR"/>
        </w:rPr>
        <w:t>تَأْمُرُونِّي</w:t>
      </w:r>
      <w:r>
        <w:rPr>
          <w:rtl/>
          <w:lang w:bidi="fa-IR"/>
        </w:rPr>
        <w:t xml:space="preserve"> </w:t>
      </w:r>
      <w:r w:rsidR="009B673F">
        <w:rPr>
          <w:rtl/>
          <w:lang w:bidi="fa-IR"/>
        </w:rPr>
        <w:t>-</w:t>
      </w:r>
      <w:r>
        <w:rPr>
          <w:rtl/>
          <w:lang w:bidi="fa-IR"/>
        </w:rPr>
        <w:t xml:space="preserve"> </w:t>
      </w:r>
      <w:r w:rsidRPr="00020424">
        <w:rPr>
          <w:rtl/>
          <w:lang w:bidi="fa-IR"/>
        </w:rPr>
        <w:t xml:space="preserve">وَيْحَكُمْ </w:t>
      </w:r>
      <w:r w:rsidRPr="00A91B96">
        <w:rPr>
          <w:rStyle w:val="libFootnotenumChar"/>
          <w:rtl/>
        </w:rPr>
        <w:t>(4)</w:t>
      </w:r>
      <w:r>
        <w:rPr>
          <w:rtl/>
          <w:lang w:bidi="fa-IR"/>
        </w:rPr>
        <w:t xml:space="preserve"> </w:t>
      </w:r>
      <w:r w:rsidR="009B673F">
        <w:rPr>
          <w:rtl/>
          <w:lang w:bidi="fa-IR"/>
        </w:rPr>
        <w:t>-</w:t>
      </w:r>
      <w:r>
        <w:rPr>
          <w:rtl/>
          <w:lang w:bidi="fa-IR"/>
        </w:rPr>
        <w:t xml:space="preserve"> </w:t>
      </w:r>
      <w:r w:rsidRPr="00020424">
        <w:rPr>
          <w:rtl/>
          <w:lang w:bidi="fa-IR"/>
        </w:rPr>
        <w:t xml:space="preserve">أَنْ أَطْلُبَ </w:t>
      </w:r>
      <w:r w:rsidRPr="00A91B96">
        <w:rPr>
          <w:rStyle w:val="libFootnotenumChar"/>
          <w:rtl/>
        </w:rPr>
        <w:t>(5)</w:t>
      </w:r>
      <w:r w:rsidRPr="00020424">
        <w:rPr>
          <w:rtl/>
          <w:lang w:bidi="fa-IR"/>
        </w:rPr>
        <w:t xml:space="preserve"> النَّصْرَ </w:t>
      </w:r>
      <w:r w:rsidRPr="00A91B96">
        <w:rPr>
          <w:rStyle w:val="libFootnotenumChar"/>
          <w:rtl/>
        </w:rPr>
        <w:t>(6)</w:t>
      </w:r>
      <w:r w:rsidRPr="00020424">
        <w:rPr>
          <w:rtl/>
          <w:lang w:bidi="fa-IR"/>
        </w:rPr>
        <w:t xml:space="preserve"> بِالظُّلْمِ وَالْجَوْرِ </w:t>
      </w:r>
      <w:r w:rsidRPr="00A91B96">
        <w:rPr>
          <w:rStyle w:val="libFootnotenumChar"/>
          <w:rtl/>
        </w:rPr>
        <w:t>(7)</w:t>
      </w:r>
      <w:r w:rsidRPr="00020424">
        <w:rPr>
          <w:rtl/>
          <w:lang w:bidi="fa-IR"/>
        </w:rPr>
        <w:t xml:space="preserve"> فِيمَنْ وُلِّيتُ عَلَيْهِ مِنْ أَهْلِ الْإِسْلَامِ</w:t>
      </w:r>
      <w:r>
        <w:rPr>
          <w:rtl/>
          <w:lang w:bidi="fa-IR"/>
        </w:rPr>
        <w:t>؟</w:t>
      </w:r>
      <w:r w:rsidRPr="00020424">
        <w:rPr>
          <w:rtl/>
          <w:lang w:bidi="fa-IR"/>
        </w:rPr>
        <w:t xml:space="preserve"> لَاوَ اللهِ ، لَايَكُونُ ذلِكَ مَا سَمَرَ السَّمِيرُ </w:t>
      </w:r>
      <w:r w:rsidRPr="00A91B96">
        <w:rPr>
          <w:rStyle w:val="libFootnotenumChar"/>
          <w:rtl/>
        </w:rPr>
        <w:t>(8)</w:t>
      </w:r>
      <w:r w:rsidRPr="00020424">
        <w:rPr>
          <w:rtl/>
          <w:lang w:bidi="fa-IR"/>
        </w:rPr>
        <w:t xml:space="preserve"> وَمَا رَأَيْتُ فِي السَّمَاءِ نَجْماً ، وَاللهِ لَوْ كَانَتْ أَمْوَالُهُمْ مَالِي </w:t>
      </w:r>
      <w:r w:rsidRPr="00A91B96">
        <w:rPr>
          <w:rStyle w:val="libFootnotenumChar"/>
          <w:rtl/>
        </w:rPr>
        <w:t>(9)</w:t>
      </w:r>
      <w:r w:rsidRPr="00020424">
        <w:rPr>
          <w:rtl/>
          <w:lang w:bidi="fa-IR"/>
        </w:rPr>
        <w:t xml:space="preserve"> ، لَسَاوَيْتُ بَيْنَهُمْ ، فَكَيْفَ وَإِنَّمَا هِيَ أَمْوَالُهُمْ</w:t>
      </w:r>
      <w:r>
        <w:rPr>
          <w:rtl/>
          <w:lang w:bidi="fa-IR"/>
        </w:rPr>
        <w:t xml:space="preserve"> ».</w:t>
      </w:r>
    </w:p>
    <w:p w:rsidR="00992664" w:rsidRDefault="00992664" w:rsidP="00992664">
      <w:pPr>
        <w:pStyle w:val="libNormal"/>
        <w:rPr>
          <w:rtl/>
          <w:lang w:bidi="fa-IR"/>
        </w:rPr>
      </w:pPr>
      <w:r w:rsidRPr="00020424">
        <w:rPr>
          <w:rtl/>
          <w:lang w:bidi="fa-IR"/>
        </w:rPr>
        <w:t xml:space="preserve">قَالَ : ثُمَّ أَزَمَ </w:t>
      </w:r>
      <w:r w:rsidRPr="00A91B96">
        <w:rPr>
          <w:rStyle w:val="libFootnotenumChar"/>
          <w:rtl/>
        </w:rPr>
        <w:t>(10)</w:t>
      </w:r>
      <w:r w:rsidRPr="00020424">
        <w:rPr>
          <w:rtl/>
          <w:lang w:bidi="fa-IR"/>
        </w:rPr>
        <w:t xml:space="preserve"> سَاكِتاً طَوِيلاً ، ثُمَّ رَفَعَ رَأْسَهُ ، فَقَالَ : « مَنْ كَانَ مِنكُمْ </w:t>
      </w:r>
      <w:r w:rsidRPr="00A91B96">
        <w:rPr>
          <w:rStyle w:val="libFootnotenumChar"/>
          <w:rtl/>
        </w:rPr>
        <w:t>(11)</w:t>
      </w:r>
      <w:r w:rsidRPr="00020424">
        <w:rPr>
          <w:rtl/>
          <w:lang w:bidi="fa-IR"/>
        </w:rPr>
        <w:t xml:space="preserve"> لَهُ مَالٌ ، فَإِيَّاهُ </w:t>
      </w:r>
      <w:r w:rsidRPr="00A91B96">
        <w:rPr>
          <w:rStyle w:val="libFootnotenumChar"/>
          <w:rtl/>
        </w:rPr>
        <w:t>(12)</w:t>
      </w:r>
      <w:r w:rsidRPr="00020424">
        <w:rPr>
          <w:rtl/>
          <w:lang w:bidi="fa-IR"/>
        </w:rPr>
        <w:t xml:space="preserve"> وَالْفَسَادَ ؛ فَإِنَّ إِعْطَاءَهُ فِي غَيْرِ حَقِّهِ </w:t>
      </w:r>
      <w:r w:rsidRPr="00A91B96">
        <w:rPr>
          <w:rStyle w:val="libFootnotenumChar"/>
          <w:rtl/>
        </w:rPr>
        <w:t>(13)</w:t>
      </w:r>
      <w:r w:rsidRPr="00020424">
        <w:rPr>
          <w:rtl/>
          <w:lang w:bidi="fa-IR"/>
        </w:rPr>
        <w:t xml:space="preserve"> تَبْذِيرٌ وَإِسْرَافٌ ، وَهُوَ يَرْفَعُ ذِكْرَ صَاحِبِهِ فِي النَّاسِ ، وَيَضَعُهُ عِنْدَ اللهِ ، وَلَمْ يَضَعِ امْرُؤٌ مَالَهُ فِي غَيْرِ حَقِّهِ وَعِنْدَ غَيْرِ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 « استوسقت الأمر</w:t>
      </w:r>
      <w:r w:rsidR="00992664">
        <w:rPr>
          <w:rtl/>
        </w:rPr>
        <w:t xml:space="preserve"> ».</w:t>
      </w:r>
      <w:r w:rsidR="00992664" w:rsidRPr="00020424">
        <w:rPr>
          <w:rtl/>
        </w:rPr>
        <w:t xml:space="preserve"> وفي « بر » : « استبنت الا</w:t>
      </w:r>
      <w:r w:rsidR="007D09B4">
        <w:rPr>
          <w:rFonts w:hint="cs"/>
          <w:rtl/>
        </w:rPr>
        <w:t>ُ</w:t>
      </w:r>
      <w:r w:rsidR="00992664" w:rsidRPr="00020424">
        <w:rPr>
          <w:rtl/>
        </w:rPr>
        <w:t>مور</w:t>
      </w:r>
      <w:r w:rsidR="00992664">
        <w:rPr>
          <w:rtl/>
        </w:rPr>
        <w:t xml:space="preserve"> ».</w:t>
      </w:r>
      <w:r w:rsidR="00992664" w:rsidRPr="00020424">
        <w:rPr>
          <w:rtl/>
        </w:rPr>
        <w:t xml:space="preserve"> وهي « بف » وحاشية « بث » : « استتبّت الا</w:t>
      </w:r>
      <w:r w:rsidR="007D09B4">
        <w:rPr>
          <w:rFonts w:hint="cs"/>
          <w:rtl/>
        </w:rPr>
        <w:t>ُ</w:t>
      </w:r>
      <w:r w:rsidR="00992664" w:rsidRPr="00020424">
        <w:rPr>
          <w:rtl/>
        </w:rPr>
        <w:t>مور » وفي‌</w:t>
      </w:r>
      <w:r w:rsidR="00992664" w:rsidRPr="0012008A">
        <w:rPr>
          <w:rStyle w:val="libFootnoteBoldChar"/>
          <w:rtl/>
        </w:rPr>
        <w:t>الوافي</w:t>
      </w:r>
      <w:r w:rsidR="00992664" w:rsidRPr="00020424">
        <w:rPr>
          <w:rtl/>
        </w:rPr>
        <w:t xml:space="preserve"> : « استتبّ الا</w:t>
      </w:r>
      <w:r w:rsidR="007D09B4">
        <w:rPr>
          <w:rFonts w:hint="cs"/>
          <w:rtl/>
        </w:rPr>
        <w:t>ُ</w:t>
      </w:r>
      <w:r w:rsidR="00992664" w:rsidRPr="00020424">
        <w:rPr>
          <w:rtl/>
        </w:rPr>
        <w:t xml:space="preserve">مور » ، أي استقام. </w:t>
      </w:r>
      <w:r w:rsidR="00992664">
        <w:rPr>
          <w:rtl/>
        </w:rPr>
        <w:t>و «</w:t>
      </w:r>
      <w:r w:rsidR="00992664" w:rsidRPr="00020424">
        <w:rPr>
          <w:rtl/>
        </w:rPr>
        <w:t xml:space="preserve"> استوسقت الا</w:t>
      </w:r>
      <w:r w:rsidR="007D09B4">
        <w:rPr>
          <w:rFonts w:hint="cs"/>
          <w:rtl/>
        </w:rPr>
        <w:t>ُ</w:t>
      </w:r>
      <w:r w:rsidR="00992664" w:rsidRPr="00020424">
        <w:rPr>
          <w:rtl/>
        </w:rPr>
        <w:t xml:space="preserve">مور » ، أي اجتمعت وانضمّت. راجع : </w:t>
      </w:r>
      <w:r w:rsidR="00992664" w:rsidRPr="0012008A">
        <w:rPr>
          <w:rStyle w:val="libFootnoteBoldChar"/>
          <w:rtl/>
        </w:rPr>
        <w:t>الصحاح</w:t>
      </w:r>
      <w:r w:rsidR="00992664" w:rsidRPr="00020424">
        <w:rPr>
          <w:rtl/>
        </w:rPr>
        <w:t xml:space="preserve"> ، ج 4 ، ص 1566 ، </w:t>
      </w:r>
      <w:r w:rsidR="00992664" w:rsidRPr="0012008A">
        <w:rPr>
          <w:rStyle w:val="libFootnoteBoldChar"/>
          <w:rtl/>
        </w:rPr>
        <w:t>النهاية</w:t>
      </w:r>
      <w:r w:rsidR="00992664" w:rsidRPr="00020424">
        <w:rPr>
          <w:rtl/>
        </w:rPr>
        <w:t xml:space="preserve"> ، ج 5 ، ص 185 ( وسق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وعدت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يقال : عوّده الشي‌ء فاعتاده وتعوّده ، أي جعله يعتاده وصيّره له. راجع : </w:t>
      </w:r>
      <w:r w:rsidR="00992664" w:rsidRPr="00A722B1">
        <w:rPr>
          <w:rStyle w:val="libFootnoteBoldChar"/>
          <w:rtl/>
        </w:rPr>
        <w:t>لسان العرب</w:t>
      </w:r>
      <w:r w:rsidR="00992664" w:rsidRPr="00020424">
        <w:rPr>
          <w:rtl/>
        </w:rPr>
        <w:t xml:space="preserve"> ، ج 3 ، ص 317 ؛ </w:t>
      </w:r>
      <w:r w:rsidR="00992664" w:rsidRPr="00A722B1">
        <w:rPr>
          <w:rStyle w:val="libFootnoteBoldChar"/>
          <w:rtl/>
        </w:rPr>
        <w:t>المصباح المنير</w:t>
      </w:r>
      <w:r w:rsidR="00992664" w:rsidRPr="00020424">
        <w:rPr>
          <w:rtl/>
        </w:rPr>
        <w:t xml:space="preserve"> ، ص 436 ( عود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بح ، بخ ، بر ، بف ، بك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ويحكم ، أتأمرونّي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877D3" w:rsidTr="009877D3">
        <w:tc>
          <w:tcPr>
            <w:tcW w:w="4006" w:type="dxa"/>
          </w:tcPr>
          <w:p w:rsidR="009877D3" w:rsidRDefault="009877D3" w:rsidP="00992664">
            <w:pPr>
              <w:pStyle w:val="libFootnote0"/>
              <w:rPr>
                <w:rtl/>
                <w:lang w:bidi="fa-IR"/>
              </w:rPr>
            </w:pPr>
            <w:r>
              <w:rPr>
                <w:rtl/>
              </w:rPr>
              <w:t xml:space="preserve">(5). </w:t>
            </w:r>
            <w:r w:rsidRPr="00020424">
              <w:rPr>
                <w:rtl/>
              </w:rPr>
              <w:t>في « بر ، بف ، بك » : « ا</w:t>
            </w:r>
            <w:r>
              <w:rPr>
                <w:rFonts w:hint="cs"/>
                <w:rtl/>
              </w:rPr>
              <w:t>ُ</w:t>
            </w:r>
            <w:r w:rsidRPr="00020424">
              <w:rPr>
                <w:rtl/>
              </w:rPr>
              <w:t>طالب</w:t>
            </w:r>
            <w:r>
              <w:rPr>
                <w:rtl/>
              </w:rPr>
              <w:t xml:space="preserve"> ».</w:t>
            </w:r>
          </w:p>
        </w:tc>
        <w:tc>
          <w:tcPr>
            <w:tcW w:w="4006" w:type="dxa"/>
          </w:tcPr>
          <w:p w:rsidR="009877D3" w:rsidRDefault="009877D3" w:rsidP="00992664">
            <w:pPr>
              <w:pStyle w:val="libFootnote0"/>
              <w:rPr>
                <w:rtl/>
                <w:lang w:bidi="fa-IR"/>
              </w:rPr>
            </w:pPr>
            <w:r>
              <w:rPr>
                <w:rtl/>
              </w:rPr>
              <w:t xml:space="preserve">(6). </w:t>
            </w:r>
            <w:r w:rsidRPr="00020424">
              <w:rPr>
                <w:rtl/>
              </w:rPr>
              <w:t xml:space="preserve">في </w:t>
            </w:r>
            <w:r w:rsidRPr="009877D3">
              <w:rPr>
                <w:rtl/>
              </w:rPr>
              <w:t>الوافي</w:t>
            </w:r>
            <w:r w:rsidRPr="00020424">
              <w:rPr>
                <w:rtl/>
              </w:rPr>
              <w:t xml:space="preserve"> : « النصف</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w:t>
      </w:r>
      <w:r w:rsidR="00992664" w:rsidRPr="009877D3">
        <w:rPr>
          <w:rtl/>
        </w:rPr>
        <w:t>والوافي</w:t>
      </w:r>
      <w:r w:rsidR="00992664" w:rsidRPr="00020424">
        <w:rPr>
          <w:rtl/>
        </w:rPr>
        <w:t xml:space="preserve"> : « بالجور والظلم</w:t>
      </w:r>
      <w:r w:rsidR="00992664">
        <w:rPr>
          <w:rtl/>
        </w:rPr>
        <w:t xml:space="preserve"> ».</w:t>
      </w:r>
      <w:r w:rsidR="00992664" w:rsidRPr="00020424">
        <w:rPr>
          <w:rtl/>
        </w:rPr>
        <w:t xml:space="preserve"> وفي « بف » </w:t>
      </w:r>
      <w:r w:rsidR="00992664" w:rsidRPr="009877D3">
        <w:rPr>
          <w:rtl/>
        </w:rPr>
        <w:t>والبحار</w:t>
      </w:r>
      <w:r w:rsidR="00992664" w:rsidRPr="00020424">
        <w:rPr>
          <w:rtl/>
        </w:rPr>
        <w:t xml:space="preserve"> : « بالجور » بدل « بالظلم والجور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السمير » : الدهر ، والمعنى : لا يكون ذلك أبداً وما بقي الدهر ، ويقال فيه : لا أفعله ما سَمَرَ ابنا سمير ، وابناه‌</w:t>
      </w:r>
      <w:r w:rsidR="009877D3">
        <w:rPr>
          <w:rFonts w:hint="cs"/>
          <w:rtl/>
        </w:rPr>
        <w:t xml:space="preserve"> </w:t>
      </w:r>
      <w:r w:rsidR="00992664" w:rsidRPr="00020424">
        <w:rPr>
          <w:rtl/>
        </w:rPr>
        <w:t xml:space="preserve">الليل والنهار ؛ لأنّه يُسمَرُ فيهما ، أي يُتحادث ، والمعنى : لا أفعله ما اختلف الليل والنهار. راجع : </w:t>
      </w:r>
      <w:r w:rsidR="00992664" w:rsidRPr="0012008A">
        <w:rPr>
          <w:rStyle w:val="libFootnoteBoldChar"/>
          <w:rtl/>
        </w:rPr>
        <w:t>الصحاح</w:t>
      </w:r>
      <w:r w:rsidR="00992664" w:rsidRPr="00020424">
        <w:rPr>
          <w:rtl/>
        </w:rPr>
        <w:t xml:space="preserve"> ، ج 2 ، ص 688 ؛ </w:t>
      </w:r>
      <w:r w:rsidR="00992664" w:rsidRPr="0012008A">
        <w:rPr>
          <w:rStyle w:val="libFootnoteBoldChar"/>
          <w:rtl/>
        </w:rPr>
        <w:t>النهاية</w:t>
      </w:r>
      <w:r w:rsidR="00992664" w:rsidRPr="00020424">
        <w:rPr>
          <w:rtl/>
        </w:rPr>
        <w:t xml:space="preserve"> ، ج 2 ، ص 400 ؛ </w:t>
      </w:r>
      <w:r w:rsidR="00992664" w:rsidRPr="00A722B1">
        <w:rPr>
          <w:rStyle w:val="libFootnoteBoldChar"/>
          <w:rtl/>
        </w:rPr>
        <w:t>لسان العرب</w:t>
      </w:r>
      <w:r w:rsidR="00992664" w:rsidRPr="00020424">
        <w:rPr>
          <w:rtl/>
        </w:rPr>
        <w:t xml:space="preserve"> ، ج 4 ، ص 377 ( سمر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9877D3">
        <w:rPr>
          <w:rtl/>
        </w:rPr>
        <w:t>الوسائل</w:t>
      </w:r>
      <w:r w:rsidR="00992664" w:rsidRPr="00020424">
        <w:rPr>
          <w:rtl/>
        </w:rPr>
        <w:t xml:space="preserve"> : « ملكي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9877D3">
        <w:rPr>
          <w:rtl/>
        </w:rPr>
        <w:t>الوافي</w:t>
      </w:r>
      <w:r w:rsidR="00992664" w:rsidRPr="00020424">
        <w:rPr>
          <w:rtl/>
        </w:rPr>
        <w:t xml:space="preserve"> : « أرمّ » أي سكت. </w:t>
      </w:r>
      <w:r w:rsidR="00992664">
        <w:rPr>
          <w:rtl/>
        </w:rPr>
        <w:t>و «</w:t>
      </w:r>
      <w:r w:rsidR="00992664" w:rsidRPr="00020424">
        <w:rPr>
          <w:rtl/>
        </w:rPr>
        <w:t xml:space="preserve"> أَزَمَ » أي صمت وأمسك عن الكلام ، كما يمسك الصائم عن الطعام. راجع : </w:t>
      </w:r>
      <w:r w:rsidR="00992664" w:rsidRPr="0012008A">
        <w:rPr>
          <w:rStyle w:val="libFootnoteBoldChar"/>
          <w:rtl/>
        </w:rPr>
        <w:t>النهاية</w:t>
      </w:r>
      <w:r w:rsidR="00992664" w:rsidRPr="00020424">
        <w:rPr>
          <w:rtl/>
        </w:rPr>
        <w:t xml:space="preserve"> ، ج 1 ، ص 46 ؛ </w:t>
      </w:r>
      <w:r w:rsidR="00992664" w:rsidRPr="00A722B1">
        <w:rPr>
          <w:rStyle w:val="libFootnoteBoldChar"/>
          <w:rtl/>
        </w:rPr>
        <w:t>القاموس المحيط</w:t>
      </w:r>
      <w:r w:rsidR="00992664" w:rsidRPr="00020424">
        <w:rPr>
          <w:rtl/>
        </w:rPr>
        <w:t xml:space="preserve"> ، ج 2 ، ص 1419 ( أزم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هكذا في معظم النسخ وحاشية « ظ</w:t>
      </w:r>
      <w:r w:rsidR="00992664">
        <w:rPr>
          <w:rtl/>
        </w:rPr>
        <w:t xml:space="preserve"> ».</w:t>
      </w:r>
      <w:r w:rsidR="00992664" w:rsidRPr="00020424">
        <w:rPr>
          <w:rtl/>
        </w:rPr>
        <w:t xml:space="preserve"> وفي « ظ ، جن » والمطبوع : « فيكم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877D3" w:rsidTr="009877D3">
        <w:tc>
          <w:tcPr>
            <w:tcW w:w="4006" w:type="dxa"/>
          </w:tcPr>
          <w:p w:rsidR="009877D3" w:rsidRDefault="009877D3" w:rsidP="00992664">
            <w:pPr>
              <w:pStyle w:val="libFootnote0"/>
              <w:rPr>
                <w:rtl/>
              </w:rPr>
            </w:pPr>
            <w:r>
              <w:rPr>
                <w:rtl/>
              </w:rPr>
              <w:t xml:space="preserve">(12). </w:t>
            </w:r>
            <w:r w:rsidRPr="00020424">
              <w:rPr>
                <w:rtl/>
              </w:rPr>
              <w:t xml:space="preserve">في </w:t>
            </w:r>
            <w:r w:rsidRPr="009877D3">
              <w:rPr>
                <w:rtl/>
              </w:rPr>
              <w:t>البحار</w:t>
            </w:r>
            <w:r w:rsidRPr="00020424">
              <w:rPr>
                <w:rtl/>
              </w:rPr>
              <w:t xml:space="preserve"> : « فإيّاكم</w:t>
            </w:r>
            <w:r>
              <w:rPr>
                <w:rtl/>
              </w:rPr>
              <w:t xml:space="preserve"> ».</w:t>
            </w:r>
          </w:p>
        </w:tc>
        <w:tc>
          <w:tcPr>
            <w:tcW w:w="4006" w:type="dxa"/>
          </w:tcPr>
          <w:p w:rsidR="009877D3" w:rsidRDefault="009877D3" w:rsidP="00992664">
            <w:pPr>
              <w:pStyle w:val="libFootnote0"/>
              <w:rPr>
                <w:rtl/>
              </w:rPr>
            </w:pPr>
            <w:r>
              <w:rPr>
                <w:rtl/>
              </w:rPr>
              <w:t>(13). في «بخ ،بر ،بف » وحاشية «بث» : «</w:t>
            </w:r>
            <w:r w:rsidRPr="00020424">
              <w:rPr>
                <w:rtl/>
              </w:rPr>
              <w:t>وجهه</w:t>
            </w:r>
            <w:r>
              <w:rPr>
                <w:rtl/>
              </w:rPr>
              <w:t>».</w:t>
            </w:r>
          </w:p>
        </w:tc>
      </w:tr>
    </w:tbl>
    <w:p w:rsidR="00795177" w:rsidRDefault="00795177" w:rsidP="00795177">
      <w:pPr>
        <w:pStyle w:val="libNormal"/>
        <w:rPr>
          <w:rtl/>
          <w:lang w:bidi="fa-IR"/>
        </w:rPr>
      </w:pPr>
      <w:r>
        <w:rPr>
          <w:rtl/>
          <w:lang w:bidi="fa-IR"/>
        </w:rPr>
        <w:br w:type="page"/>
      </w:r>
    </w:p>
    <w:p w:rsidR="00992664" w:rsidRPr="00020424" w:rsidRDefault="009877D3" w:rsidP="009877D3">
      <w:pPr>
        <w:pStyle w:val="libNormal0"/>
        <w:rPr>
          <w:rtl/>
          <w:lang w:bidi="fa-IR"/>
        </w:rPr>
      </w:pPr>
      <w:r>
        <w:rPr>
          <w:rtl/>
          <w:lang w:bidi="fa-IR"/>
        </w:rPr>
        <w:t>أَهْلِهِ إِل</w:t>
      </w:r>
      <w:r>
        <w:rPr>
          <w:rFonts w:hint="cs"/>
          <w:rtl/>
          <w:lang w:bidi="fa-IR"/>
        </w:rPr>
        <w:t>َّ</w:t>
      </w:r>
      <w:r>
        <w:rPr>
          <w:rtl/>
          <w:lang w:bidi="fa-IR"/>
        </w:rPr>
        <w:t>ا</w:t>
      </w:r>
      <w:r w:rsidR="00992664" w:rsidRPr="00020424">
        <w:rPr>
          <w:rtl/>
          <w:lang w:bidi="fa-IR"/>
        </w:rPr>
        <w:t xml:space="preserve"> حَرَمَهُ اللهُ شُكْرَهُمْ ، وَكَانَ لِغَيْرِهِ وُدُّهُمْ ، فَإِنْ بَقِيَ مَعَهُ </w:t>
      </w:r>
      <w:r w:rsidR="00992664" w:rsidRPr="00A91B96">
        <w:rPr>
          <w:rStyle w:val="libFootnotenumChar"/>
          <w:rtl/>
        </w:rPr>
        <w:t>(</w:t>
      </w:r>
      <w:r w:rsidR="00992664" w:rsidRPr="00A91B96">
        <w:rPr>
          <w:rStyle w:val="libFootnotenumChar"/>
          <w:rFonts w:hint="cs"/>
          <w:rtl/>
        </w:rPr>
        <w:t>1</w:t>
      </w:r>
      <w:r w:rsidR="00992664" w:rsidRPr="00A91B96">
        <w:rPr>
          <w:rStyle w:val="libFootnotenumChar"/>
          <w:rtl/>
        </w:rPr>
        <w:t>)</w:t>
      </w:r>
      <w:r w:rsidR="00992664" w:rsidRPr="00020424">
        <w:rPr>
          <w:rtl/>
          <w:lang w:bidi="fa-IR"/>
        </w:rPr>
        <w:t xml:space="preserve"> مِنْهُمْ بَقِيَّةٌ مِمَّنْ يُظْهِرُ الشُّكْرَ لَهُ وَيُرِيهِ </w:t>
      </w:r>
      <w:r w:rsidR="00992664" w:rsidRPr="00A91B96">
        <w:rPr>
          <w:rStyle w:val="libFootnotenumChar"/>
          <w:rtl/>
        </w:rPr>
        <w:t>(</w:t>
      </w:r>
      <w:r w:rsidR="00992664" w:rsidRPr="00A91B96">
        <w:rPr>
          <w:rStyle w:val="libFootnotenumChar"/>
          <w:rFonts w:hint="cs"/>
          <w:rtl/>
        </w:rPr>
        <w:t>2</w:t>
      </w:r>
      <w:r w:rsidR="00992664" w:rsidRPr="00A91B96">
        <w:rPr>
          <w:rStyle w:val="libFootnotenumChar"/>
          <w:rtl/>
        </w:rPr>
        <w:t>)</w:t>
      </w:r>
      <w:r w:rsidR="00992664" w:rsidRPr="00020424">
        <w:rPr>
          <w:rtl/>
          <w:lang w:bidi="fa-IR"/>
        </w:rPr>
        <w:t xml:space="preserve"> النُّصْحَ ، فَإِنَّمَا ذلِكَ مَلَقٌ </w:t>
      </w:r>
      <w:r w:rsidR="00992664" w:rsidRPr="00A91B96">
        <w:rPr>
          <w:rStyle w:val="libFootnotenumChar"/>
          <w:rtl/>
        </w:rPr>
        <w:t>(</w:t>
      </w:r>
      <w:r w:rsidR="00992664" w:rsidRPr="00A91B96">
        <w:rPr>
          <w:rStyle w:val="libFootnotenumChar"/>
          <w:rFonts w:hint="cs"/>
          <w:rtl/>
        </w:rPr>
        <w:t>3</w:t>
      </w:r>
      <w:r w:rsidR="00992664" w:rsidRPr="00A91B96">
        <w:rPr>
          <w:rStyle w:val="libFootnotenumChar"/>
          <w:rtl/>
        </w:rPr>
        <w:t>)</w:t>
      </w:r>
      <w:r w:rsidR="00992664" w:rsidRPr="00020424">
        <w:rPr>
          <w:rtl/>
          <w:lang w:bidi="fa-IR"/>
        </w:rPr>
        <w:t xml:space="preserve"> مِنْهُ </w:t>
      </w:r>
      <w:r w:rsidR="00992664" w:rsidRPr="00A91B96">
        <w:rPr>
          <w:rStyle w:val="libFootnotenumChar"/>
          <w:rtl/>
        </w:rPr>
        <w:t>(</w:t>
      </w:r>
      <w:r w:rsidR="00992664" w:rsidRPr="00A91B96">
        <w:rPr>
          <w:rStyle w:val="libFootnotenumChar"/>
          <w:rFonts w:hint="cs"/>
          <w:rtl/>
        </w:rPr>
        <w:t>4</w:t>
      </w:r>
      <w:r w:rsidR="00992664" w:rsidRPr="00A91B96">
        <w:rPr>
          <w:rStyle w:val="libFootnotenumChar"/>
          <w:rtl/>
        </w:rPr>
        <w:t>)</w:t>
      </w:r>
      <w:r w:rsidR="00992664" w:rsidRPr="00020424">
        <w:rPr>
          <w:rtl/>
          <w:lang w:bidi="fa-IR"/>
        </w:rPr>
        <w:t xml:space="preserve"> وَكَذِبٌ ، فَإِنْ زَلَّتْ بِصَاحِبِهِمُ </w:t>
      </w:r>
      <w:r w:rsidR="00992664" w:rsidRPr="00A91B96">
        <w:rPr>
          <w:rStyle w:val="libFootnotenumChar"/>
          <w:rtl/>
        </w:rPr>
        <w:t>(</w:t>
      </w:r>
      <w:r w:rsidR="00992664" w:rsidRPr="00A91B96">
        <w:rPr>
          <w:rStyle w:val="libFootnotenumChar"/>
          <w:rFonts w:hint="cs"/>
          <w:rtl/>
        </w:rPr>
        <w:t>5</w:t>
      </w:r>
      <w:r w:rsidR="00992664" w:rsidRPr="00A91B96">
        <w:rPr>
          <w:rStyle w:val="libFootnotenumChar"/>
          <w:rtl/>
        </w:rPr>
        <w:t>)</w:t>
      </w:r>
      <w:r w:rsidR="00992664" w:rsidRPr="00020424">
        <w:rPr>
          <w:rtl/>
          <w:lang w:bidi="fa-IR"/>
        </w:rPr>
        <w:t xml:space="preserve"> النَّعْلُ </w:t>
      </w:r>
      <w:r w:rsidR="00992664" w:rsidRPr="00A91B96">
        <w:rPr>
          <w:rStyle w:val="libFootnotenumChar"/>
          <w:rtl/>
        </w:rPr>
        <w:t>(</w:t>
      </w:r>
      <w:r w:rsidR="00992664" w:rsidRPr="00A91B96">
        <w:rPr>
          <w:rStyle w:val="libFootnotenumChar"/>
          <w:rFonts w:hint="cs"/>
          <w:rtl/>
        </w:rPr>
        <w:t>6</w:t>
      </w:r>
      <w:r w:rsidR="00992664" w:rsidRPr="00A91B96">
        <w:rPr>
          <w:rStyle w:val="libFootnotenumChar"/>
          <w:rtl/>
        </w:rPr>
        <w:t>)</w:t>
      </w:r>
      <w:r w:rsidR="00992664" w:rsidRPr="00020424">
        <w:rPr>
          <w:rtl/>
          <w:lang w:bidi="fa-IR"/>
        </w:rPr>
        <w:t xml:space="preserve"> ، ثُمَّ احْتَاجَ إِلى مَعُونَتِهِمْ </w:t>
      </w:r>
      <w:r w:rsidR="00992664" w:rsidRPr="00A91B96">
        <w:rPr>
          <w:rStyle w:val="libFootnotenumChar"/>
          <w:rtl/>
        </w:rPr>
        <w:t>(</w:t>
      </w:r>
      <w:r w:rsidR="00992664" w:rsidRPr="00A91B96">
        <w:rPr>
          <w:rStyle w:val="libFootnotenumChar"/>
          <w:rFonts w:hint="cs"/>
          <w:rtl/>
        </w:rPr>
        <w:t>7</w:t>
      </w:r>
      <w:r w:rsidR="00992664" w:rsidRPr="00A91B96">
        <w:rPr>
          <w:rStyle w:val="libFootnotenumChar"/>
          <w:rtl/>
        </w:rPr>
        <w:t>)</w:t>
      </w:r>
      <w:r w:rsidR="00992664" w:rsidRPr="00020424">
        <w:rPr>
          <w:rtl/>
          <w:lang w:bidi="fa-IR"/>
        </w:rPr>
        <w:t xml:space="preserve"> وَمُكَافَأَتِهِمْ ، فَأَلْأَمُ </w:t>
      </w:r>
      <w:r w:rsidR="00992664" w:rsidRPr="00A91B96">
        <w:rPr>
          <w:rStyle w:val="libFootnotenumChar"/>
          <w:rtl/>
        </w:rPr>
        <w:t>(</w:t>
      </w:r>
      <w:r w:rsidR="00992664" w:rsidRPr="00A91B96">
        <w:rPr>
          <w:rStyle w:val="libFootnotenumChar"/>
          <w:rFonts w:hint="cs"/>
          <w:rtl/>
        </w:rPr>
        <w:t>8</w:t>
      </w:r>
      <w:r w:rsidR="00992664" w:rsidRPr="00A91B96">
        <w:rPr>
          <w:rStyle w:val="libFootnotenumChar"/>
          <w:rtl/>
        </w:rPr>
        <w:t>)</w:t>
      </w:r>
      <w:r w:rsidR="00992664" w:rsidRPr="00020424">
        <w:rPr>
          <w:rtl/>
          <w:lang w:bidi="fa-IR"/>
        </w:rPr>
        <w:t xml:space="preserve"> خَلِيلٍ ، وَشَرُّ خَدِينٍ </w:t>
      </w:r>
      <w:r w:rsidR="00992664" w:rsidRPr="00A91B96">
        <w:rPr>
          <w:rStyle w:val="libFootnotenumChar"/>
          <w:rtl/>
        </w:rPr>
        <w:t>(</w:t>
      </w:r>
      <w:r w:rsidR="00992664" w:rsidRPr="00A91B96">
        <w:rPr>
          <w:rStyle w:val="libFootnotenumChar"/>
          <w:rFonts w:hint="cs"/>
          <w:rtl/>
        </w:rPr>
        <w:t>9</w:t>
      </w:r>
      <w:r w:rsidR="00992664" w:rsidRPr="00A91B96">
        <w:rPr>
          <w:rStyle w:val="libFootnotenumChar"/>
          <w:rtl/>
        </w:rPr>
        <w:t>)</w:t>
      </w:r>
      <w:r w:rsidR="00992664" w:rsidRPr="00020424">
        <w:rPr>
          <w:rtl/>
          <w:lang w:bidi="fa-IR"/>
        </w:rPr>
        <w:t xml:space="preserve"> ، وَلَمْ يَضَعِ امْرُؤٌ مَالَهُ فِي غَيْرِ حَقِّهِ</w:t>
      </w:r>
      <w:r>
        <w:rPr>
          <w:rtl/>
          <w:lang w:bidi="fa-IR"/>
        </w:rPr>
        <w:t xml:space="preserve"> وَعِنْدَ غَيْرِ أَهْلِهِ إِل</w:t>
      </w:r>
      <w:r>
        <w:rPr>
          <w:rFonts w:hint="cs"/>
          <w:rtl/>
          <w:lang w:bidi="fa-IR"/>
        </w:rPr>
        <w:t>َّ</w:t>
      </w:r>
      <w:r>
        <w:rPr>
          <w:rtl/>
          <w:lang w:bidi="fa-IR"/>
        </w:rPr>
        <w:t>ا</w:t>
      </w:r>
      <w:r w:rsidR="00992664" w:rsidRPr="00020424">
        <w:rPr>
          <w:rtl/>
          <w:lang w:bidi="fa-IR"/>
        </w:rPr>
        <w:t xml:space="preserve"> لَمْ يَكُنْ لَهُ </w:t>
      </w:r>
      <w:r w:rsidR="00992664" w:rsidRPr="00A91B96">
        <w:rPr>
          <w:rStyle w:val="libFootnotenumChar"/>
          <w:rtl/>
        </w:rPr>
        <w:t>(</w:t>
      </w:r>
      <w:r w:rsidR="00992664" w:rsidRPr="00A91B96">
        <w:rPr>
          <w:rStyle w:val="libFootnotenumChar"/>
          <w:rFonts w:hint="cs"/>
          <w:rtl/>
        </w:rPr>
        <w:t>10</w:t>
      </w:r>
      <w:r w:rsidR="00992664" w:rsidRPr="00A91B96">
        <w:rPr>
          <w:rStyle w:val="libFootnotenumChar"/>
          <w:rtl/>
        </w:rPr>
        <w:t>)</w:t>
      </w:r>
      <w:r w:rsidR="00992664" w:rsidRPr="00020424">
        <w:rPr>
          <w:rtl/>
          <w:lang w:bidi="fa-IR"/>
        </w:rPr>
        <w:t xml:space="preserve"> مِنَ الْحَظِّ فِيمَا </w:t>
      </w:r>
      <w:r w:rsidR="00992664" w:rsidRPr="00A91B96">
        <w:rPr>
          <w:rStyle w:val="libFootnotenumChar"/>
          <w:rtl/>
        </w:rPr>
        <w:t>(</w:t>
      </w:r>
      <w:r w:rsidR="00992664" w:rsidRPr="00A91B96">
        <w:rPr>
          <w:rStyle w:val="libFootnotenumChar"/>
          <w:rFonts w:hint="cs"/>
          <w:rtl/>
        </w:rPr>
        <w:t>11</w:t>
      </w:r>
      <w:r w:rsidR="00992664" w:rsidRPr="00A91B96">
        <w:rPr>
          <w:rStyle w:val="libFootnotenumChar"/>
          <w:rtl/>
        </w:rPr>
        <w:t>)</w:t>
      </w:r>
      <w:r w:rsidR="00992664" w:rsidRPr="00020424">
        <w:rPr>
          <w:rtl/>
          <w:lang w:bidi="fa-IR"/>
        </w:rPr>
        <w:t xml:space="preserve"> أُتِيَ </w:t>
      </w:r>
      <w:r w:rsidR="00992664" w:rsidRPr="00A91B96">
        <w:rPr>
          <w:rStyle w:val="libFootnotenumChar"/>
          <w:rtl/>
        </w:rPr>
        <w:t>(</w:t>
      </w:r>
      <w:r w:rsidR="00992664" w:rsidRPr="00A91B96">
        <w:rPr>
          <w:rStyle w:val="libFootnotenumChar"/>
          <w:rFonts w:hint="cs"/>
          <w:rtl/>
        </w:rPr>
        <w:t>12</w:t>
      </w:r>
      <w:r w:rsidR="00992664" w:rsidRPr="00A91B96">
        <w:rPr>
          <w:rStyle w:val="libFootnotenumChar"/>
          <w:rtl/>
        </w:rPr>
        <w:t>)</w:t>
      </w:r>
      <w:r>
        <w:rPr>
          <w:rtl/>
          <w:lang w:bidi="fa-IR"/>
        </w:rPr>
        <w:t xml:space="preserve"> إِل</w:t>
      </w:r>
      <w:r>
        <w:rPr>
          <w:rFonts w:hint="cs"/>
          <w:rtl/>
          <w:lang w:bidi="fa-IR"/>
        </w:rPr>
        <w:t>َّ</w:t>
      </w:r>
      <w:r>
        <w:rPr>
          <w:rtl/>
          <w:lang w:bidi="fa-IR"/>
        </w:rPr>
        <w:t>ا</w:t>
      </w:r>
      <w:r w:rsidR="00992664" w:rsidRPr="00020424">
        <w:rPr>
          <w:rtl/>
          <w:lang w:bidi="fa-IR"/>
        </w:rPr>
        <w:t xml:space="preserve"> مَحْمَدَةُ اللِّئَامِ ، وَثَنَاءُ الْأَشْرَارِ مَا دَامَ عَلَيْهِ مُنْعِماً مُفْضِلاً </w:t>
      </w:r>
      <w:r w:rsidR="00992664" w:rsidRPr="00A91B96">
        <w:rPr>
          <w:rStyle w:val="libFootnotenumChar"/>
          <w:rtl/>
        </w:rPr>
        <w:t>(</w:t>
      </w:r>
      <w:r w:rsidR="00992664" w:rsidRPr="00A91B96">
        <w:rPr>
          <w:rStyle w:val="libFootnotenumChar"/>
          <w:rFonts w:hint="cs"/>
          <w:rtl/>
        </w:rPr>
        <w:t>13</w:t>
      </w:r>
      <w:r w:rsidR="00992664" w:rsidRPr="00A91B96">
        <w:rPr>
          <w:rStyle w:val="libFootnotenumChar"/>
          <w:rtl/>
        </w:rPr>
        <w:t>)</w:t>
      </w:r>
      <w:r w:rsidR="00992664" w:rsidRPr="00020424">
        <w:rPr>
          <w:rtl/>
          <w:lang w:bidi="fa-IR"/>
        </w:rPr>
        <w:t xml:space="preserve"> ، وَمَقَالَةُ الْجَاهِلِ </w:t>
      </w:r>
      <w:r w:rsidR="00992664" w:rsidRPr="00A91B96">
        <w:rPr>
          <w:rStyle w:val="libFootnotenumChar"/>
          <w:rtl/>
        </w:rPr>
        <w:t>(</w:t>
      </w:r>
      <w:r w:rsidR="00992664" w:rsidRPr="00A91B96">
        <w:rPr>
          <w:rStyle w:val="libFootnotenumChar"/>
          <w:rFonts w:hint="cs"/>
          <w:rtl/>
        </w:rPr>
        <w:t>14</w:t>
      </w:r>
      <w:r w:rsidR="00992664" w:rsidRPr="00A91B96">
        <w:rPr>
          <w:rStyle w:val="libFootnotenumChar"/>
          <w:rtl/>
        </w:rPr>
        <w:t>)</w:t>
      </w:r>
      <w:r w:rsidR="00992664" w:rsidRPr="00020424">
        <w:rPr>
          <w:rtl/>
          <w:lang w:bidi="fa-IR"/>
        </w:rPr>
        <w:t xml:space="preserve"> مَا أَجْوَدَهُ وَهُوَ عِنْدَ اللهِ بَخِيلٌ ، فَأَيُّ حَظٍّ أَبْوَرُ </w:t>
      </w:r>
      <w:r w:rsidR="00992664" w:rsidRPr="00A91B96">
        <w:rPr>
          <w:rStyle w:val="libFootnotenumChar"/>
          <w:rtl/>
        </w:rPr>
        <w:t>(</w:t>
      </w:r>
      <w:r w:rsidR="00992664" w:rsidRPr="00A91B96">
        <w:rPr>
          <w:rStyle w:val="libFootnotenumChar"/>
          <w:rFonts w:hint="cs"/>
          <w:rtl/>
        </w:rPr>
        <w:t>15</w:t>
      </w:r>
      <w:r w:rsidR="00992664" w:rsidRPr="00A91B96">
        <w:rPr>
          <w:rStyle w:val="libFootnotenumChar"/>
          <w:rtl/>
        </w:rPr>
        <w:t>)</w:t>
      </w:r>
      <w:r w:rsidR="00992664" w:rsidRPr="00020424">
        <w:rPr>
          <w:rtl/>
          <w:lang w:bidi="fa-IR"/>
        </w:rPr>
        <w:t xml:space="preserve"> وَأَخْسَرُ </w:t>
      </w:r>
      <w:r w:rsidR="00992664" w:rsidRPr="00A91B96">
        <w:rPr>
          <w:rStyle w:val="libFootnotenumChar"/>
          <w:rtl/>
        </w:rPr>
        <w:t>(</w:t>
      </w:r>
      <w:r w:rsidR="00992664" w:rsidRPr="00A91B96">
        <w:rPr>
          <w:rStyle w:val="libFootnotenumChar"/>
          <w:rFonts w:hint="cs"/>
          <w:rtl/>
        </w:rPr>
        <w:t>16</w:t>
      </w:r>
      <w:r w:rsidR="00992664" w:rsidRPr="00A91B96">
        <w:rPr>
          <w:rStyle w:val="libFootnotenumChar"/>
          <w:rtl/>
        </w:rPr>
        <w:t>)</w:t>
      </w:r>
      <w:r w:rsidR="00992664" w:rsidRPr="00020424">
        <w:rPr>
          <w:rtl/>
          <w:lang w:bidi="fa-IR"/>
        </w:rPr>
        <w:t xml:space="preserve"> مِنْ هذَا الْحَظِّ</w:t>
      </w:r>
      <w:r w:rsidR="00992664">
        <w:rPr>
          <w:rtl/>
          <w:lang w:bidi="fa-IR"/>
        </w:rPr>
        <w:t>؟</w:t>
      </w:r>
      <w:r w:rsidR="00992664" w:rsidRPr="00020424">
        <w:rPr>
          <w:rtl/>
          <w:lang w:bidi="fa-IR"/>
        </w:rPr>
        <w:t xml:space="preserve"> وَأَيُّ فَائِدَةِ مَعْرُوفٍ </w:t>
      </w:r>
      <w:r w:rsidR="00992664" w:rsidRPr="00A91B96">
        <w:rPr>
          <w:rStyle w:val="libFootnotenumChar"/>
          <w:rtl/>
        </w:rPr>
        <w:t>(</w:t>
      </w:r>
      <w:r w:rsidR="00992664" w:rsidRPr="00A91B96">
        <w:rPr>
          <w:rStyle w:val="libFootnotenumChar"/>
          <w:rFonts w:hint="cs"/>
          <w:rtl/>
        </w:rPr>
        <w:t>17</w:t>
      </w:r>
      <w:r w:rsidR="00992664" w:rsidRPr="00A91B96">
        <w:rPr>
          <w:rStyle w:val="libFootnotenumChar"/>
          <w:rtl/>
        </w:rPr>
        <w:t>)</w:t>
      </w:r>
      <w:r w:rsidR="00992664" w:rsidRPr="00020424">
        <w:rPr>
          <w:rtl/>
          <w:lang w:bidi="fa-IR"/>
        </w:rPr>
        <w:t xml:space="preserve"> أَقَلُّ مِنْ هذَا الْمَعْرُوفِ</w:t>
      </w:r>
      <w:r w:rsidR="00992664">
        <w:rPr>
          <w:rtl/>
          <w:lang w:bidi="fa-IR"/>
        </w:rPr>
        <w:t>؟</w:t>
      </w:r>
      <w:r w:rsidR="00992664" w:rsidRPr="00020424">
        <w:rPr>
          <w:rtl/>
          <w:lang w:bidi="fa-IR"/>
        </w:rPr>
        <w:t xml:space="preserve"> فَمَنْ كَانَ مِنْكُمْ لَهُ مَالٌ ، فَلْيَصِلْ بِهِ الْقَرَابَةَ ، وَلْيُحْسِنْ مِنْهُ الضِّيَافَةَ ، وَلْيَفُكَّ بِهِ الْعَانِيَ </w:t>
      </w:r>
      <w:r w:rsidR="00992664" w:rsidRPr="00A91B96">
        <w:rPr>
          <w:rStyle w:val="libFootnotenumChar"/>
          <w:rtl/>
        </w:rPr>
        <w:t>(</w:t>
      </w:r>
      <w:r w:rsidR="00992664" w:rsidRPr="00A91B96">
        <w:rPr>
          <w:rStyle w:val="libFootnotenumChar"/>
          <w:rFonts w:hint="cs"/>
          <w:rtl/>
        </w:rPr>
        <w:t>18</w:t>
      </w:r>
      <w:r w:rsidR="00992664" w:rsidRPr="00A91B96">
        <w:rPr>
          <w:rStyle w:val="libFootnotenumChar"/>
          <w:rtl/>
        </w:rPr>
        <w:t>)</w:t>
      </w:r>
      <w:r w:rsidR="00992664" w:rsidRPr="00020424">
        <w:rPr>
          <w:rtl/>
          <w:lang w:bidi="fa-IR"/>
        </w:rPr>
        <w:t xml:space="preserve"> وَالْأَسِيرَ وَابْنَ السَّبِيلِ ؛ فَإِنَّ الْفَوْزَ </w:t>
      </w:r>
      <w:r w:rsidR="00992664" w:rsidRPr="00A91B96">
        <w:rPr>
          <w:rStyle w:val="libFootnotenumChar"/>
          <w:rtl/>
        </w:rPr>
        <w:t>(</w:t>
      </w:r>
      <w:r w:rsidR="00992664" w:rsidRPr="00A91B96">
        <w:rPr>
          <w:rStyle w:val="libFootnotenumChar"/>
          <w:rFonts w:hint="cs"/>
          <w:rtl/>
        </w:rPr>
        <w:t>19</w:t>
      </w:r>
      <w:r w:rsidR="00992664" w:rsidRPr="00A91B96">
        <w:rPr>
          <w:rStyle w:val="libFootnotenumChar"/>
          <w:rtl/>
        </w:rPr>
        <w:t>)</w:t>
      </w:r>
      <w:r w:rsidR="00992664" w:rsidRPr="00020424">
        <w:rPr>
          <w:rtl/>
          <w:lang w:bidi="fa-IR"/>
        </w:rPr>
        <w:t xml:space="preserve"> بِهذِهِ </w:t>
      </w:r>
      <w:r w:rsidR="00992664" w:rsidRPr="00A91B96">
        <w:rPr>
          <w:rStyle w:val="libFootnotenumChar"/>
          <w:rtl/>
        </w:rPr>
        <w:t>(</w:t>
      </w:r>
      <w:r w:rsidR="00992664" w:rsidRPr="00A91B96">
        <w:rPr>
          <w:rStyle w:val="libFootnotenumChar"/>
          <w:rFonts w:hint="cs"/>
          <w:rtl/>
        </w:rPr>
        <w:t>20</w:t>
      </w:r>
      <w:r w:rsidR="00992664" w:rsidRPr="00A91B96">
        <w:rPr>
          <w:rStyle w:val="libFootnotenumChar"/>
          <w:rtl/>
        </w:rPr>
        <w:t>)</w:t>
      </w:r>
      <w:r w:rsidR="00992664" w:rsidRPr="00020424">
        <w:rPr>
          <w:rtl/>
          <w:lang w:bidi="fa-IR"/>
        </w:rPr>
        <w:t xml:space="preserve"> الْخِصَالِ مَكَارِمُ الدُّنْيَا وَشَرَفُ‌</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877D3" w:rsidTr="009877D3">
        <w:tc>
          <w:tcPr>
            <w:tcW w:w="4006" w:type="dxa"/>
          </w:tcPr>
          <w:p w:rsidR="009877D3" w:rsidRDefault="009877D3" w:rsidP="00992664">
            <w:pPr>
              <w:pStyle w:val="libFootnote0"/>
              <w:rPr>
                <w:rtl/>
              </w:rPr>
            </w:pPr>
            <w:r>
              <w:rPr>
                <w:rtl/>
              </w:rPr>
              <w:t xml:space="preserve">(1). </w:t>
            </w:r>
            <w:r w:rsidRPr="00020424">
              <w:rPr>
                <w:rtl/>
              </w:rPr>
              <w:t>في « بح » :</w:t>
            </w:r>
            <w:r>
              <w:rPr>
                <w:rtl/>
              </w:rPr>
              <w:t xml:space="preserve"> - </w:t>
            </w:r>
            <w:r w:rsidRPr="00020424">
              <w:rPr>
                <w:rtl/>
              </w:rPr>
              <w:t>« معه</w:t>
            </w:r>
            <w:r>
              <w:rPr>
                <w:rtl/>
              </w:rPr>
              <w:t xml:space="preserve"> ».</w:t>
            </w:r>
          </w:p>
        </w:tc>
        <w:tc>
          <w:tcPr>
            <w:tcW w:w="4006" w:type="dxa"/>
          </w:tcPr>
          <w:p w:rsidR="009877D3" w:rsidRDefault="009877D3" w:rsidP="00992664">
            <w:pPr>
              <w:pStyle w:val="libFootnote0"/>
              <w:rPr>
                <w:rtl/>
              </w:rPr>
            </w:pPr>
            <w:r>
              <w:rPr>
                <w:rtl/>
              </w:rPr>
              <w:t xml:space="preserve">(2). </w:t>
            </w:r>
            <w:r w:rsidRPr="00020424">
              <w:rPr>
                <w:rtl/>
              </w:rPr>
              <w:t>في « بح ، بف ، بك » : « ويريد</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المَلَق » ، الوُدُّ واللطف الشديد ، وأن يعطى باللسان ما ليس في القلب ، والزيادة في التودّد والدعاء والتضرّع فوق ما ينبغي. راجع : </w:t>
      </w:r>
      <w:r w:rsidR="00992664" w:rsidRPr="0012008A">
        <w:rPr>
          <w:rStyle w:val="libFootnoteBoldChar"/>
          <w:rtl/>
        </w:rPr>
        <w:t>الصحاح</w:t>
      </w:r>
      <w:r w:rsidR="00992664" w:rsidRPr="00020424">
        <w:rPr>
          <w:rtl/>
        </w:rPr>
        <w:t xml:space="preserve"> ، ج 4 ، ص 1556 ؛ </w:t>
      </w:r>
      <w:r w:rsidR="00992664" w:rsidRPr="0012008A">
        <w:rPr>
          <w:rStyle w:val="libFootnoteBoldChar"/>
          <w:rtl/>
        </w:rPr>
        <w:t>النهاية</w:t>
      </w:r>
      <w:r w:rsidR="00992664" w:rsidRPr="00020424">
        <w:rPr>
          <w:rtl/>
        </w:rPr>
        <w:t xml:space="preserve"> ، ج 4 ، ص 358 ( ملق )</w:t>
      </w:r>
      <w:r w:rsidR="00992664">
        <w:rPr>
          <w:rtl/>
        </w:rPr>
        <w:t>.</w:t>
      </w:r>
    </w:p>
    <w:tbl>
      <w:tblPr>
        <w:tblStyle w:val="TableGrid"/>
        <w:bidiVisual/>
        <w:tblW w:w="0" w:type="auto"/>
        <w:tblLook w:val="04A0" w:firstRow="1" w:lastRow="0" w:firstColumn="1" w:lastColumn="0" w:noHBand="0" w:noVBand="1"/>
      </w:tblPr>
      <w:tblGrid>
        <w:gridCol w:w="4006"/>
        <w:gridCol w:w="4006"/>
      </w:tblGrid>
      <w:tr w:rsidR="009877D3" w:rsidTr="009877D3">
        <w:tc>
          <w:tcPr>
            <w:tcW w:w="4006" w:type="dxa"/>
          </w:tcPr>
          <w:p w:rsidR="009877D3" w:rsidRDefault="009877D3" w:rsidP="00992664">
            <w:pPr>
              <w:pStyle w:val="libFootnote0"/>
              <w:rPr>
                <w:rtl/>
              </w:rPr>
            </w:pPr>
            <w:r>
              <w:rPr>
                <w:rtl/>
              </w:rPr>
              <w:t xml:space="preserve">(4). </w:t>
            </w:r>
            <w:r w:rsidRPr="00020424">
              <w:rPr>
                <w:rtl/>
              </w:rPr>
              <w:t>في « ى » :</w:t>
            </w:r>
            <w:r>
              <w:rPr>
                <w:rtl/>
              </w:rPr>
              <w:t xml:space="preserve"> - </w:t>
            </w:r>
            <w:r w:rsidRPr="00020424">
              <w:rPr>
                <w:rtl/>
              </w:rPr>
              <w:t>« منه</w:t>
            </w:r>
            <w:r>
              <w:rPr>
                <w:rtl/>
              </w:rPr>
              <w:t xml:space="preserve"> ».</w:t>
            </w:r>
          </w:p>
        </w:tc>
        <w:tc>
          <w:tcPr>
            <w:tcW w:w="4006" w:type="dxa"/>
          </w:tcPr>
          <w:p w:rsidR="009877D3" w:rsidRDefault="009877D3" w:rsidP="00992664">
            <w:pPr>
              <w:pStyle w:val="libFootnote0"/>
              <w:rPr>
                <w:rtl/>
              </w:rPr>
            </w:pPr>
            <w:r>
              <w:rPr>
                <w:rtl/>
              </w:rPr>
              <w:t xml:space="preserve">(5). </w:t>
            </w:r>
            <w:r w:rsidR="00F419E6">
              <w:rPr>
                <w:rtl/>
              </w:rPr>
              <w:t>في «بخ ،بر ،بف ،</w:t>
            </w:r>
            <w:r w:rsidRPr="00020424">
              <w:rPr>
                <w:rtl/>
              </w:rPr>
              <w:t xml:space="preserve">بك » </w:t>
            </w:r>
            <w:r w:rsidRPr="00F419E6">
              <w:rPr>
                <w:rtl/>
              </w:rPr>
              <w:t>والوافي</w:t>
            </w:r>
            <w:r w:rsidRPr="00020424">
              <w:rPr>
                <w:rtl/>
              </w:rPr>
              <w:t xml:space="preserve"> : « بصاحبه</w:t>
            </w:r>
            <w:r>
              <w:rPr>
                <w:rtl/>
              </w:rPr>
              <w:t xml:space="preserve"> ».</w:t>
            </w:r>
          </w:p>
        </w:tc>
      </w:tr>
      <w:tr w:rsidR="009877D3" w:rsidTr="009877D3">
        <w:tc>
          <w:tcPr>
            <w:tcW w:w="4006" w:type="dxa"/>
          </w:tcPr>
          <w:p w:rsidR="009877D3" w:rsidRDefault="009877D3" w:rsidP="00992664">
            <w:pPr>
              <w:pStyle w:val="libFootnote0"/>
              <w:rPr>
                <w:rtl/>
              </w:rPr>
            </w:pPr>
            <w:r>
              <w:rPr>
                <w:rtl/>
              </w:rPr>
              <w:t xml:space="preserve">(6). </w:t>
            </w:r>
            <w:r w:rsidRPr="00020424">
              <w:rPr>
                <w:rtl/>
              </w:rPr>
              <w:t>في « بك » : « البغل</w:t>
            </w:r>
            <w:r>
              <w:rPr>
                <w:rtl/>
              </w:rPr>
              <w:t xml:space="preserve"> ».</w:t>
            </w:r>
          </w:p>
        </w:tc>
        <w:tc>
          <w:tcPr>
            <w:tcW w:w="4006" w:type="dxa"/>
          </w:tcPr>
          <w:p w:rsidR="009877D3" w:rsidRDefault="009877D3" w:rsidP="00992664">
            <w:pPr>
              <w:pStyle w:val="libFootnote0"/>
              <w:rPr>
                <w:rtl/>
              </w:rPr>
            </w:pPr>
            <w:r>
              <w:rPr>
                <w:rtl/>
              </w:rPr>
              <w:t xml:space="preserve">(7). </w:t>
            </w:r>
            <w:r w:rsidR="00F419E6">
              <w:rPr>
                <w:rtl/>
              </w:rPr>
              <w:t>في «بخ ،بر ،بف</w:t>
            </w:r>
            <w:r w:rsidR="00F419E6">
              <w:rPr>
                <w:rFonts w:hint="cs"/>
                <w:rtl/>
              </w:rPr>
              <w:t xml:space="preserve"> </w:t>
            </w:r>
            <w:r w:rsidR="00F419E6">
              <w:rPr>
                <w:rtl/>
              </w:rPr>
              <w:t>،</w:t>
            </w:r>
            <w:r w:rsidRPr="00020424">
              <w:rPr>
                <w:rtl/>
              </w:rPr>
              <w:t xml:space="preserve">بك » </w:t>
            </w:r>
            <w:r w:rsidRPr="00F419E6">
              <w:rPr>
                <w:rtl/>
              </w:rPr>
              <w:t>والوافي</w:t>
            </w:r>
            <w:r w:rsidRPr="00020424">
              <w:rPr>
                <w:rtl/>
              </w:rPr>
              <w:t xml:space="preserve"> : « معاونتهم</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F419E6">
        <w:rPr>
          <w:rtl/>
        </w:rPr>
        <w:t>الوافي</w:t>
      </w:r>
      <w:r w:rsidR="00992664" w:rsidRPr="00020424">
        <w:rPr>
          <w:rtl/>
        </w:rPr>
        <w:t xml:space="preserve"> : « فآلم » اسم تفضيل من الألم.</w:t>
      </w:r>
    </w:p>
    <w:p w:rsidR="00992664" w:rsidRPr="00020424" w:rsidRDefault="00795177" w:rsidP="00F419E6">
      <w:pPr>
        <w:pStyle w:val="libFootnote0"/>
        <w:rPr>
          <w:rtl/>
          <w:lang w:bidi="fa-IR"/>
        </w:rPr>
      </w:pPr>
      <w:r>
        <w:rPr>
          <w:rtl/>
        </w:rPr>
        <w:t>(9).</w:t>
      </w:r>
      <w:r w:rsidR="0014403D">
        <w:rPr>
          <w:rtl/>
        </w:rPr>
        <w:t xml:space="preserve"> </w:t>
      </w:r>
      <w:r w:rsidR="00992664" w:rsidRPr="00020424">
        <w:rPr>
          <w:rtl/>
        </w:rPr>
        <w:t>في « بخ ، بر ، بك » : « جدير</w:t>
      </w:r>
      <w:r w:rsidR="00992664">
        <w:rPr>
          <w:rtl/>
        </w:rPr>
        <w:t xml:space="preserve"> ».</w:t>
      </w:r>
      <w:r w:rsidR="00992664" w:rsidRPr="00020424">
        <w:rPr>
          <w:rtl/>
        </w:rPr>
        <w:t xml:space="preserve"> والخِدْن والخَدِين : الصديق. راجع : </w:t>
      </w:r>
      <w:r w:rsidR="00992664" w:rsidRPr="0012008A">
        <w:rPr>
          <w:rStyle w:val="libFootnoteBoldChar"/>
          <w:rtl/>
        </w:rPr>
        <w:t>الصحاح</w:t>
      </w:r>
      <w:r w:rsidR="00992664" w:rsidRPr="00020424">
        <w:rPr>
          <w:rtl/>
        </w:rPr>
        <w:t xml:space="preserve"> ، ج 5 ، ص 2107 ؛ </w:t>
      </w:r>
      <w:r w:rsidR="00992664" w:rsidRPr="0012008A">
        <w:rPr>
          <w:rStyle w:val="libFootnoteBoldChar"/>
          <w:rtl/>
        </w:rPr>
        <w:t>النهاية</w:t>
      </w:r>
      <w:r w:rsidR="00992664" w:rsidRPr="00020424">
        <w:rPr>
          <w:rtl/>
        </w:rPr>
        <w:t xml:space="preserve"> ، ج 2 ، ص 15 ( خدن )</w:t>
      </w:r>
      <w:r w:rsidR="00992664">
        <w:rPr>
          <w:rtl/>
        </w:rPr>
        <w:t>.</w:t>
      </w:r>
      <w:r w:rsidR="00A90FD5">
        <w:rPr>
          <w:rFonts w:hint="cs"/>
          <w:rtl/>
        </w:rPr>
        <w:t xml:space="preserve">              </w:t>
      </w:r>
      <w:r w:rsidR="00F419E6">
        <w:rPr>
          <w:rFonts w:hint="cs"/>
          <w:rtl/>
        </w:rPr>
        <w:t xml:space="preserve">         </w:t>
      </w:r>
      <w:r>
        <w:rPr>
          <w:rtl/>
        </w:rPr>
        <w:t>(10).</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419E6" w:rsidTr="00F419E6">
        <w:tc>
          <w:tcPr>
            <w:tcW w:w="4006" w:type="dxa"/>
          </w:tcPr>
          <w:p w:rsidR="00F419E6" w:rsidRDefault="00F419E6" w:rsidP="00992664">
            <w:pPr>
              <w:pStyle w:val="libFootnote0"/>
              <w:rPr>
                <w:rtl/>
              </w:rPr>
            </w:pPr>
            <w:r>
              <w:rPr>
                <w:rtl/>
              </w:rPr>
              <w:t xml:space="preserve">(11). </w:t>
            </w:r>
            <w:r w:rsidRPr="00020424">
              <w:rPr>
                <w:rtl/>
              </w:rPr>
              <w:t>في « بح » وحاشية « جن » : « ممّا</w:t>
            </w:r>
            <w:r>
              <w:rPr>
                <w:rtl/>
              </w:rPr>
              <w:t xml:space="preserve"> ».</w:t>
            </w:r>
          </w:p>
        </w:tc>
        <w:tc>
          <w:tcPr>
            <w:tcW w:w="4006" w:type="dxa"/>
          </w:tcPr>
          <w:p w:rsidR="00F419E6" w:rsidRDefault="00F419E6" w:rsidP="00992664">
            <w:pPr>
              <w:pStyle w:val="libFootnote0"/>
              <w:rPr>
                <w:rtl/>
              </w:rPr>
            </w:pPr>
            <w:r>
              <w:rPr>
                <w:rtl/>
              </w:rPr>
              <w:t xml:space="preserve">(12). </w:t>
            </w:r>
            <w:r w:rsidRPr="00020424">
              <w:rPr>
                <w:rtl/>
              </w:rPr>
              <w:t xml:space="preserve">في « بح » </w:t>
            </w:r>
            <w:r w:rsidRPr="00F419E6">
              <w:rPr>
                <w:rtl/>
              </w:rPr>
              <w:t>والوافي</w:t>
            </w:r>
            <w:r w:rsidRPr="00020424">
              <w:rPr>
                <w:rtl/>
              </w:rPr>
              <w:t xml:space="preserve"> : « أتاه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ى » : « ومفضالاً</w:t>
      </w:r>
      <w:r w:rsidR="00992664">
        <w:rPr>
          <w:rtl/>
        </w:rPr>
        <w:t xml:space="preserve"> ».</w:t>
      </w:r>
      <w:r w:rsidR="00992664" w:rsidRPr="00020424">
        <w:rPr>
          <w:rtl/>
        </w:rPr>
        <w:t xml:space="preserve"> وفي « بر ، بف ، بك » وحاشية « بث » </w:t>
      </w:r>
      <w:r w:rsidR="00992664" w:rsidRPr="00F419E6">
        <w:rPr>
          <w:rtl/>
        </w:rPr>
        <w:t>والوافي</w:t>
      </w:r>
      <w:r w:rsidR="00992664" w:rsidRPr="00020424">
        <w:rPr>
          <w:rtl/>
        </w:rPr>
        <w:t xml:space="preserve"> : « متفضّلاً</w:t>
      </w:r>
      <w:r w:rsidR="00992664">
        <w:rPr>
          <w:rtl/>
        </w:rPr>
        <w:t xml:space="preserve"> ».</w:t>
      </w:r>
      <w:r w:rsidR="00992664" w:rsidRPr="00020424">
        <w:rPr>
          <w:rtl/>
        </w:rPr>
        <w:t xml:space="preserve"> وفي « بس » : « ومفضلاً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مقالة الجاهل ، عطف على محمدة اللئام</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 أبور » أي أكسد ، من البوار ، وهو الكساد. راجع : </w:t>
      </w:r>
      <w:r w:rsidR="00992664" w:rsidRPr="0012008A">
        <w:rPr>
          <w:rStyle w:val="libFootnoteBoldChar"/>
          <w:rtl/>
        </w:rPr>
        <w:t>الصحاح</w:t>
      </w:r>
      <w:r w:rsidR="00992664" w:rsidRPr="00020424">
        <w:rPr>
          <w:rtl/>
        </w:rPr>
        <w:t xml:space="preserve"> ، ج 2 ، ص 598 ؛ </w:t>
      </w:r>
      <w:r w:rsidR="00992664" w:rsidRPr="0012008A">
        <w:rPr>
          <w:rStyle w:val="libFootnoteBoldChar"/>
          <w:rtl/>
        </w:rPr>
        <w:t>النهاية</w:t>
      </w:r>
      <w:r w:rsidR="00992664" w:rsidRPr="00020424">
        <w:rPr>
          <w:rtl/>
        </w:rPr>
        <w:t xml:space="preserve"> ، ج 1 ، ص 161 ( بور )</w:t>
      </w:r>
      <w:r w:rsidR="00992664">
        <w:rPr>
          <w:rtl/>
        </w:rPr>
        <w:t>.</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ظ ، ى ، جن » وحاشية « بس » : « وأخسّ</w:t>
      </w:r>
      <w:r w:rsidR="00992664">
        <w:rPr>
          <w:rtl/>
        </w:rPr>
        <w:t xml:space="preserve"> ».</w:t>
      </w:r>
      <w:r w:rsidR="00992664" w:rsidRPr="00020424">
        <w:rPr>
          <w:rtl/>
        </w:rPr>
        <w:t xml:space="preserve"> وفي « بث » : « وأحسن</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معروف</w:t>
      </w:r>
      <w:r w:rsidR="00992664">
        <w:rPr>
          <w:rtl/>
        </w:rPr>
        <w:t xml:space="preserve"> ».</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 العاني » : الأسير ، والعبد. ويجوز أن يكون من العناء</w:t>
      </w:r>
      <w:r w:rsidR="00F419E6">
        <w:rPr>
          <w:rtl/>
        </w:rPr>
        <w:t xml:space="preserve"> بمعنى التعب ، كما قال به العل</w:t>
      </w:r>
      <w:r w:rsidR="00F419E6">
        <w:rPr>
          <w:rFonts w:hint="cs"/>
          <w:rtl/>
        </w:rPr>
        <w:t>ّ</w:t>
      </w:r>
      <w:r w:rsidR="00F419E6">
        <w:rPr>
          <w:rtl/>
        </w:rPr>
        <w:t>ا</w:t>
      </w:r>
      <w:r w:rsidR="00992664" w:rsidRPr="00020424">
        <w:rPr>
          <w:rtl/>
        </w:rPr>
        <w:t xml:space="preserve">مة الفيض. راجع : </w:t>
      </w:r>
      <w:r w:rsidR="00992664" w:rsidRPr="0012008A">
        <w:rPr>
          <w:rStyle w:val="libFootnoteBoldChar"/>
          <w:rtl/>
        </w:rPr>
        <w:t>النهاية</w:t>
      </w:r>
      <w:r w:rsidR="00992664" w:rsidRPr="00020424">
        <w:rPr>
          <w:rtl/>
        </w:rPr>
        <w:t xml:space="preserve"> ، ج 3 ، ص 314 ؛ </w:t>
      </w:r>
      <w:r w:rsidR="00992664" w:rsidRPr="00A722B1">
        <w:rPr>
          <w:rStyle w:val="libFootnoteBoldChar"/>
          <w:rtl/>
        </w:rPr>
        <w:t>لسان العرب</w:t>
      </w:r>
      <w:r w:rsidR="00992664" w:rsidRPr="00020424">
        <w:rPr>
          <w:rtl/>
        </w:rPr>
        <w:t xml:space="preserve"> ، ج 15 ، ص 101 ( عنا )</w:t>
      </w:r>
      <w:r w:rsidR="00992664">
        <w:rPr>
          <w:rtl/>
        </w:rPr>
        <w:t>.</w:t>
      </w:r>
    </w:p>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في « بخ » وحاشية « بث » </w:t>
      </w:r>
      <w:r w:rsidR="00992664" w:rsidRPr="00515444">
        <w:rPr>
          <w:rStyle w:val="libFootnoteBoldChar"/>
          <w:rtl/>
        </w:rPr>
        <w:t>والوافي</w:t>
      </w:r>
      <w:r w:rsidR="00992664" w:rsidRPr="00020424">
        <w:rPr>
          <w:rtl/>
        </w:rPr>
        <w:t xml:space="preserve"> : « العون</w:t>
      </w:r>
      <w:r w:rsidR="00992664">
        <w:rPr>
          <w:rtl/>
        </w:rPr>
        <w:t xml:space="preserve"> ».</w:t>
      </w:r>
      <w:r w:rsidR="00992664" w:rsidRPr="00020424">
        <w:rPr>
          <w:rtl/>
        </w:rPr>
        <w:t xml:space="preserve"> وفي « بر ، بك » : « العرف</w:t>
      </w:r>
      <w:r w:rsidR="00992664">
        <w:rPr>
          <w:rtl/>
        </w:rPr>
        <w:t xml:space="preserve"> ».</w:t>
      </w:r>
    </w:p>
    <w:p w:rsidR="00992664" w:rsidRPr="00020424" w:rsidRDefault="00992664" w:rsidP="00992664">
      <w:pPr>
        <w:pStyle w:val="libFootnote0"/>
        <w:rPr>
          <w:rtl/>
          <w:lang w:bidi="fa-IR"/>
        </w:rPr>
      </w:pPr>
      <w:r w:rsidRPr="00020424">
        <w:rPr>
          <w:rtl/>
        </w:rPr>
        <w:t>(</w:t>
      </w:r>
      <w:r>
        <w:rPr>
          <w:rFonts w:hint="cs"/>
          <w:rtl/>
        </w:rPr>
        <w:t>20</w:t>
      </w:r>
      <w:r>
        <w:rPr>
          <w:rtl/>
        </w:rPr>
        <w:t>)</w:t>
      </w:r>
      <w:r w:rsidRPr="00020424">
        <w:rPr>
          <w:rtl/>
        </w:rPr>
        <w:t xml:space="preserve"> في « بخ ، بر ، بك » وحاشية « بث » </w:t>
      </w:r>
      <w:r w:rsidRPr="00F419E6">
        <w:rPr>
          <w:rtl/>
        </w:rPr>
        <w:t>والوافي</w:t>
      </w:r>
      <w:r w:rsidRPr="00020424">
        <w:rPr>
          <w:rtl/>
        </w:rPr>
        <w:t xml:space="preserve"> : « على هذه</w:t>
      </w:r>
      <w:r>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419E6">
      <w:pPr>
        <w:pStyle w:val="libNormal0"/>
        <w:rPr>
          <w:rtl/>
          <w:lang w:bidi="fa-IR"/>
        </w:rPr>
      </w:pPr>
      <w:r w:rsidRPr="00020424">
        <w:rPr>
          <w:rtl/>
          <w:lang w:bidi="fa-IR"/>
        </w:rPr>
        <w:t>الْآخِرَةِ</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F741EE">
        <w:rPr>
          <w:rtl/>
        </w:rPr>
        <w:t>6120</w:t>
      </w:r>
      <w:r w:rsidRPr="001155DE">
        <w:rPr>
          <w:rStyle w:val="libBold2Char"/>
          <w:rtl/>
        </w:rPr>
        <w:t xml:space="preserve"> / 4.</w:t>
      </w:r>
      <w:r w:rsidRPr="00020424">
        <w:rPr>
          <w:rtl/>
          <w:lang w:bidi="fa-IR"/>
        </w:rPr>
        <w:t xml:space="preserve"> مُحَمَّدُ بْنُ يَحْيى ، عَنْ أَحْمَدَ بْنِ مُحَمَّدِ بْنِ عِيسى ، عَنْ مُحَمَّدِ بْنِ سِنَانٍ ، عَنْ إِسْمَاعِيلَ بْنِ جَابِرٍ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لَوْ أَنَّ النَّاسَ أَخَذُوا مَا أَمَرَهُمُ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بِهِ ، فَأَنْفَقُوهُ </w:t>
      </w:r>
      <w:r w:rsidRPr="00A91B96">
        <w:rPr>
          <w:rStyle w:val="libFootnotenumChar"/>
          <w:rtl/>
        </w:rPr>
        <w:t>(2)</w:t>
      </w:r>
      <w:r w:rsidRPr="00020424">
        <w:rPr>
          <w:rtl/>
          <w:lang w:bidi="fa-IR"/>
        </w:rPr>
        <w:t xml:space="preserve"> فِيمَا نَهَاهُمُ اللهُ </w:t>
      </w:r>
      <w:r w:rsidRPr="00A91B96">
        <w:rPr>
          <w:rStyle w:val="libFootnotenumChar"/>
          <w:rtl/>
        </w:rPr>
        <w:t>(3)</w:t>
      </w:r>
      <w:r w:rsidRPr="00020424">
        <w:rPr>
          <w:rtl/>
          <w:lang w:bidi="fa-IR"/>
        </w:rPr>
        <w:t xml:space="preserve"> عَنْهُ ، مَا قَبِلَهُ مِنْهُمْ ، وَلَوْ </w:t>
      </w:r>
      <w:r w:rsidRPr="00A91B96">
        <w:rPr>
          <w:rStyle w:val="libFootnotenumChar"/>
          <w:rtl/>
        </w:rPr>
        <w:t>(4)</w:t>
      </w:r>
      <w:r w:rsidRPr="00020424">
        <w:rPr>
          <w:rtl/>
          <w:lang w:bidi="fa-IR"/>
        </w:rPr>
        <w:t xml:space="preserve"> أَخَذُوا مَا نَهَاهُمُ اللهُ عَنْهُ ، فَأَنْفَقُوهُ فِيمَا أَمَرَهُمُ اللهُ </w:t>
      </w:r>
      <w:r w:rsidRPr="00A91B96">
        <w:rPr>
          <w:rStyle w:val="libFootnotenumChar"/>
          <w:rtl/>
        </w:rPr>
        <w:t>(5)</w:t>
      </w:r>
      <w:r w:rsidRPr="00020424">
        <w:rPr>
          <w:rtl/>
          <w:lang w:bidi="fa-IR"/>
        </w:rPr>
        <w:t xml:space="preserve"> بِهِ ، مَا قَبِلَهُ مِنْهُمْ ، حَتّى يَأْخُذُوهُ مِنْ حَقٍّ ، وَيُنْفِقُوهُ </w:t>
      </w:r>
      <w:r w:rsidRPr="00A91B96">
        <w:rPr>
          <w:rStyle w:val="libFootnotenumChar"/>
          <w:rtl/>
        </w:rPr>
        <w:t>(6)</w:t>
      </w:r>
      <w:r w:rsidRPr="00020424">
        <w:rPr>
          <w:rtl/>
          <w:lang w:bidi="fa-IR"/>
        </w:rPr>
        <w:t xml:space="preserve"> فِي حَقٍّ</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F741EE">
        <w:rPr>
          <w:rtl/>
        </w:rPr>
        <w:t>6121</w:t>
      </w:r>
      <w:r w:rsidRPr="001155DE">
        <w:rPr>
          <w:rStyle w:val="libBold2Char"/>
          <w:rtl/>
        </w:rPr>
        <w:t xml:space="preserve"> / 5.</w:t>
      </w:r>
      <w:r w:rsidRPr="00020424">
        <w:rPr>
          <w:rtl/>
          <w:lang w:bidi="fa-IR"/>
        </w:rPr>
        <w:t xml:space="preserve"> عَلِيُّ بْنُ مُحَمَّدٍ ، عَنْ أَحْمَدَ بْنِ أَبِي عَبْدِ اللهِ ، عَنْ مُوسَى بْنِ الْقَاسِمِ ، عَنْ أَبِي جَمِيلَةَ ، عَنْ ضُرَيْسٍ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إِنَّمَا أَعْطَاكُمُ اللهُ هذِهِ الْفُضُولَ مِنَ الْأَمْوَالِ لِتُوَجِّهُوهَا حَيْثُ وَجَّهَهَا اللهُ ، وَلَمْ يُعْطِكُمُوهَا لِتَكْنِزُوهَا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DE76B9">
        <w:rPr>
          <w:rStyle w:val="libFootnoteBoldChar"/>
          <w:rtl/>
        </w:rPr>
        <w:t>الغارات</w:t>
      </w:r>
      <w:r w:rsidR="00992664" w:rsidRPr="00020424">
        <w:rPr>
          <w:rtl/>
        </w:rPr>
        <w:t xml:space="preserve"> ، ج 1 ، ص 48 ؛ </w:t>
      </w:r>
      <w:r w:rsidR="00992664" w:rsidRPr="00DE3E80">
        <w:rPr>
          <w:rStyle w:val="libFootnoteBoldChar"/>
          <w:rtl/>
        </w:rPr>
        <w:t>و</w:t>
      </w:r>
      <w:r w:rsidR="00992664" w:rsidRPr="006C7A1F">
        <w:rPr>
          <w:rStyle w:val="libFootnoteBoldChar"/>
          <w:rtl/>
        </w:rPr>
        <w:t>الأمالي للمفيد</w:t>
      </w:r>
      <w:r w:rsidR="00992664" w:rsidRPr="00020424">
        <w:rPr>
          <w:rtl/>
        </w:rPr>
        <w:t xml:space="preserve"> ، ص 175 ، المجلس 22 ، ح 6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194 ، المجلس 7 ، ح 33 ، بسند آخر. </w:t>
      </w:r>
      <w:r w:rsidR="00992664" w:rsidRPr="00DE76B9">
        <w:rPr>
          <w:rStyle w:val="libFootnoteBoldChar"/>
          <w:rtl/>
        </w:rPr>
        <w:t>تحف العقول</w:t>
      </w:r>
      <w:r w:rsidR="00992664" w:rsidRPr="00020424">
        <w:rPr>
          <w:rtl/>
        </w:rPr>
        <w:t xml:space="preserve"> ، ص 185 ، عن أميرالمؤمنين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نهج البلاغة</w:t>
      </w:r>
      <w:r w:rsidR="00992664" w:rsidRPr="00020424">
        <w:rPr>
          <w:rtl/>
        </w:rPr>
        <w:t xml:space="preserve"> ، ص 183 ، الخطبة 126 ، من قوله : « أتأمرونّي ، ويحكّم أن أطلب النصر » إلى قوله : « فألأم خليل وشرّ خدين » وفي كلّ المصادر مع اختلاف يسير </w:t>
      </w:r>
      <w:r w:rsidR="00F419E6">
        <w:rPr>
          <w:rFonts w:hint="cs"/>
          <w:rtl/>
        </w:rPr>
        <w:t>.</w:t>
      </w:r>
      <w:r w:rsidR="00992664" w:rsidRPr="0012008A">
        <w:rPr>
          <w:rStyle w:val="libFootnoteBoldChar"/>
          <w:rtl/>
        </w:rPr>
        <w:t>الوافي</w:t>
      </w:r>
      <w:r w:rsidR="00992664" w:rsidRPr="00020424">
        <w:rPr>
          <w:rtl/>
        </w:rPr>
        <w:t xml:space="preserve"> ، ج 10 ، ص 459 ، ح 9886 ؛ </w:t>
      </w:r>
      <w:r w:rsidR="00992664" w:rsidRPr="0012008A">
        <w:rPr>
          <w:rStyle w:val="libFootnoteBoldChar"/>
          <w:rtl/>
        </w:rPr>
        <w:t>الوسائل</w:t>
      </w:r>
      <w:r w:rsidR="00992664" w:rsidRPr="00020424">
        <w:rPr>
          <w:rtl/>
        </w:rPr>
        <w:t xml:space="preserve"> ، ج 15 ، ص 105 ، ح 20077 ، إلى قوله : « فكيف وإنّما هي أموالهم » ؛ </w:t>
      </w:r>
      <w:r w:rsidR="00992664" w:rsidRPr="0012008A">
        <w:rPr>
          <w:rStyle w:val="libFootnoteBoldChar"/>
          <w:rtl/>
        </w:rPr>
        <w:t>البحار</w:t>
      </w:r>
      <w:r w:rsidR="00992664" w:rsidRPr="00020424">
        <w:rPr>
          <w:rtl/>
        </w:rPr>
        <w:t xml:space="preserve"> ، ج 41 ، ص 122 ، ح 29.</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F419E6">
        <w:rPr>
          <w:rtl/>
        </w:rPr>
        <w:t>الوافي</w:t>
      </w:r>
      <w:r w:rsidR="00992664" w:rsidRPr="00020424">
        <w:rPr>
          <w:rtl/>
        </w:rPr>
        <w:t xml:space="preserve"> : « فأنفقوا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بح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9D7435">
        <w:rPr>
          <w:rtl/>
        </w:rPr>
        <w:t>الوسائل</w:t>
      </w:r>
      <w:r w:rsidR="00992664" w:rsidRPr="00020424">
        <w:rPr>
          <w:rtl/>
        </w:rPr>
        <w:t xml:space="preserve"> ، ح 21595 : + « إنّهم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بخ ، بر ، بف ، بك » </w:t>
      </w:r>
      <w:r w:rsidR="00992664" w:rsidRPr="009D7435">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 « وينفق به</w:t>
      </w:r>
      <w:r w:rsidR="00992664">
        <w:rPr>
          <w:rtl/>
        </w:rPr>
        <w:t xml:space="preserve"> ».</w:t>
      </w:r>
    </w:p>
    <w:p w:rsidR="00992664" w:rsidRPr="00020424" w:rsidRDefault="00795177" w:rsidP="009D7435">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57 ، ح 1694 ، مرسلاً من دون التصريح باسم المعصوم </w:t>
      </w:r>
      <w:r w:rsidR="00992664" w:rsidRPr="00D64ADA">
        <w:rPr>
          <w:rStyle w:val="libFootnoteAlaemChar"/>
          <w:rtl/>
        </w:rPr>
        <w:t>عليه‌السلام</w:t>
      </w:r>
      <w:r w:rsidR="00992664" w:rsidRPr="00020424">
        <w:rPr>
          <w:rtl/>
        </w:rPr>
        <w:t xml:space="preserve"> </w:t>
      </w:r>
      <w:r w:rsidR="009D7435">
        <w:rPr>
          <w:rFonts w:hint="cs"/>
          <w:rtl/>
        </w:rPr>
        <w:t>.</w:t>
      </w:r>
      <w:r w:rsidR="00992664" w:rsidRPr="0012008A">
        <w:rPr>
          <w:rStyle w:val="libFootnoteBoldChar"/>
          <w:rtl/>
        </w:rPr>
        <w:t>الوافي</w:t>
      </w:r>
      <w:r w:rsidR="00992664" w:rsidRPr="00020424">
        <w:rPr>
          <w:rtl/>
        </w:rPr>
        <w:t xml:space="preserve"> ، ج 10 ، ص 459 ، ح 9885 ؛ </w:t>
      </w:r>
      <w:r w:rsidR="00992664" w:rsidRPr="0012008A">
        <w:rPr>
          <w:rStyle w:val="libFootnoteBoldChar"/>
          <w:rtl/>
        </w:rPr>
        <w:t>الوسائل</w:t>
      </w:r>
      <w:r w:rsidR="00992664" w:rsidRPr="00020424">
        <w:rPr>
          <w:rtl/>
        </w:rPr>
        <w:t xml:space="preserve"> ، ج 5 ، ص 119 ، ذيل ح 6087 ؛ وج 9 ، ص 466 ، ذيل ح 12510 ؛ وج 16 ، ص 298 ، ح 21595.</w:t>
      </w:r>
      <w:r w:rsidR="009D7435">
        <w:rPr>
          <w:rFonts w:hint="cs"/>
          <w:rtl/>
        </w:rPr>
        <w:t xml:space="preserve">                          </w:t>
      </w:r>
      <w:r>
        <w:rPr>
          <w:rtl/>
        </w:rPr>
        <w:t>(8).</w:t>
      </w:r>
      <w:r w:rsidR="0014403D">
        <w:rPr>
          <w:rtl/>
        </w:rPr>
        <w:t xml:space="preserve"> </w:t>
      </w:r>
      <w:r w:rsidR="00992664" w:rsidRPr="00020424">
        <w:rPr>
          <w:rtl/>
        </w:rPr>
        <w:t>في « ظ ، بح ، جن » : « لتكتنزوها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57 ، ح 1693 ، مرسلاً من دون التصريح باسم المعصوم </w:t>
      </w:r>
      <w:r w:rsidR="00992664" w:rsidRPr="00D64ADA">
        <w:rPr>
          <w:rStyle w:val="libFootnoteAlaemChar"/>
          <w:rtl/>
        </w:rPr>
        <w:t>عليه‌السلام</w:t>
      </w:r>
      <w:r w:rsidR="00992664" w:rsidRPr="00020424">
        <w:rPr>
          <w:rtl/>
        </w:rPr>
        <w:t xml:space="preserve"> </w:t>
      </w:r>
      <w:r w:rsidR="009D7435">
        <w:rPr>
          <w:rFonts w:hint="cs"/>
          <w:rtl/>
        </w:rPr>
        <w:t>.</w:t>
      </w:r>
      <w:r w:rsidR="00992664" w:rsidRPr="0012008A">
        <w:rPr>
          <w:rStyle w:val="libFootnoteBoldChar"/>
          <w:rtl/>
        </w:rPr>
        <w:t>الوافي</w:t>
      </w:r>
      <w:r w:rsidR="00992664" w:rsidRPr="00020424">
        <w:rPr>
          <w:rtl/>
        </w:rPr>
        <w:t xml:space="preserve"> ، ج 10 ، ص 376 ، ح 9717 ؛ </w:t>
      </w:r>
      <w:r w:rsidR="00992664" w:rsidRPr="0012008A">
        <w:rPr>
          <w:rStyle w:val="libFootnoteBoldChar"/>
          <w:rtl/>
        </w:rPr>
        <w:t>الوسائل</w:t>
      </w:r>
      <w:r w:rsidR="00992664" w:rsidRPr="00020424">
        <w:rPr>
          <w:rtl/>
        </w:rPr>
        <w:t xml:space="preserve"> ، ج 16 ، ص 297 ، ح 21594.</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38" w:name="_Toc345172796"/>
      <w:bookmarkStart w:id="239" w:name="_Toc464562612"/>
      <w:bookmarkStart w:id="240" w:name="_Toc44599915"/>
      <w:r w:rsidRPr="00020424">
        <w:rPr>
          <w:rtl/>
          <w:lang w:bidi="fa-IR"/>
        </w:rPr>
        <w:t>74</w:t>
      </w:r>
      <w:r>
        <w:rPr>
          <w:rtl/>
          <w:lang w:bidi="fa-IR"/>
        </w:rPr>
        <w:t xml:space="preserve"> </w:t>
      </w:r>
      <w:r w:rsidR="009B673F">
        <w:rPr>
          <w:rtl/>
          <w:lang w:bidi="fa-IR"/>
        </w:rPr>
        <w:t>-</w:t>
      </w:r>
      <w:r>
        <w:rPr>
          <w:rtl/>
          <w:lang w:bidi="fa-IR"/>
        </w:rPr>
        <w:t xml:space="preserve"> </w:t>
      </w:r>
      <w:r w:rsidRPr="00020424">
        <w:rPr>
          <w:rtl/>
          <w:lang w:bidi="fa-IR"/>
        </w:rPr>
        <w:t xml:space="preserve">بَابٌ فِي </w:t>
      </w:r>
      <w:r w:rsidRPr="00A91B96">
        <w:rPr>
          <w:rStyle w:val="libFootnotenumChar"/>
          <w:rtl/>
        </w:rPr>
        <w:t>(1)</w:t>
      </w:r>
      <w:r>
        <w:rPr>
          <w:rtl/>
        </w:rPr>
        <w:t xml:space="preserve"> </w:t>
      </w:r>
      <w:r w:rsidRPr="00020424">
        <w:rPr>
          <w:rtl/>
          <w:lang w:bidi="fa-IR"/>
        </w:rPr>
        <w:t xml:space="preserve">آدَابِ </w:t>
      </w:r>
      <w:r w:rsidRPr="00A91B96">
        <w:rPr>
          <w:rStyle w:val="libFootnotenumChar"/>
          <w:rtl/>
        </w:rPr>
        <w:t>(2)</w:t>
      </w:r>
      <w:r>
        <w:rPr>
          <w:rtl/>
        </w:rPr>
        <w:t xml:space="preserve"> </w:t>
      </w:r>
      <w:r w:rsidRPr="00020424">
        <w:rPr>
          <w:rtl/>
          <w:lang w:bidi="fa-IR"/>
        </w:rPr>
        <w:t>الْمَعْرُوفِ‌</w:t>
      </w:r>
      <w:bookmarkEnd w:id="238"/>
      <w:bookmarkEnd w:id="239"/>
      <w:bookmarkEnd w:id="240"/>
    </w:p>
    <w:p w:rsidR="00992664" w:rsidRPr="00020424" w:rsidRDefault="00992664" w:rsidP="00992664">
      <w:pPr>
        <w:pStyle w:val="libNormal"/>
        <w:rPr>
          <w:rtl/>
          <w:lang w:bidi="fa-IR"/>
        </w:rPr>
      </w:pPr>
      <w:r w:rsidRPr="009D588D">
        <w:rPr>
          <w:rtl/>
        </w:rPr>
        <w:t>6122</w:t>
      </w:r>
      <w:r w:rsidRPr="001155DE">
        <w:rPr>
          <w:rStyle w:val="libBold2Char"/>
          <w:rtl/>
        </w:rPr>
        <w:t xml:space="preserve"> / 1.</w:t>
      </w:r>
      <w:r w:rsidRPr="00020424">
        <w:rPr>
          <w:rtl/>
          <w:lang w:bidi="fa-IR"/>
        </w:rPr>
        <w:t xml:space="preserve"> مُحَمَّدُ بْنُ يَحْيى ، عَنْ أَحْمَدَ بْنِ مُحَمَّدِ بْنِ عِيسى ، عَنْ مُحَمَّدِ بْنِ سِنَانٍ ، عَنْ حُذَيْفَةَ بْنِ مَنْصُورٍ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تَدْخُلْ لِأَخِيكَ فِي أَمْرٍ مَضَرَّتُهُ عَلَيْكَ أَعْظَمُ مِنْ مَنْفَعَتِهِ لَهُ</w:t>
      </w:r>
      <w:r>
        <w:rPr>
          <w:rtl/>
          <w:lang w:bidi="fa-IR"/>
        </w:rPr>
        <w:t>».</w:t>
      </w:r>
    </w:p>
    <w:p w:rsidR="00992664" w:rsidRPr="00020424" w:rsidRDefault="00992664" w:rsidP="00992664">
      <w:pPr>
        <w:pStyle w:val="libNormal"/>
        <w:rPr>
          <w:rtl/>
          <w:lang w:bidi="fa-IR"/>
        </w:rPr>
      </w:pPr>
      <w:r w:rsidRPr="00020424">
        <w:rPr>
          <w:rtl/>
          <w:lang w:bidi="fa-IR"/>
        </w:rPr>
        <w:t xml:space="preserve">قَالَ ابْنُ سِنَانٍ : يَكُونُ عَلَى الرَّجُلِ دَيْنٌ كَثِيرٌ وَلَكَ مَالٌ ، فَتُؤَدِّي عَنْهُ ، فَيَذْهَبُ مَالُكَ ، وَلَاتَكُونُ </w:t>
      </w:r>
      <w:r w:rsidRPr="00A91B96">
        <w:rPr>
          <w:rStyle w:val="libFootnotenumChar"/>
          <w:rtl/>
        </w:rPr>
        <w:t>(3)</w:t>
      </w:r>
      <w:r w:rsidRPr="00020424">
        <w:rPr>
          <w:rtl/>
          <w:lang w:bidi="fa-IR"/>
        </w:rPr>
        <w:t xml:space="preserve"> قَضَيْتَ عَنْهُ.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9D588D">
        <w:rPr>
          <w:rtl/>
        </w:rPr>
        <w:t>6123</w:t>
      </w:r>
      <w:r w:rsidRPr="001155DE">
        <w:rPr>
          <w:rStyle w:val="libBold2Char"/>
          <w:rtl/>
        </w:rPr>
        <w:t xml:space="preserve"> / 2.</w:t>
      </w:r>
      <w:r w:rsidRPr="00020424">
        <w:rPr>
          <w:rtl/>
          <w:lang w:bidi="fa-IR"/>
        </w:rPr>
        <w:t xml:space="preserve"> عِدَّةٌ مِنْ أَصْحَابِنَا ، عَنْ أَحْمَدَ بْنِ أَبِي عَبْدِ اللهِ ، عَنْ أَبِيهِ ، عَنْ إِبْرَاهِيمَ بْنِ مُحَمَّدٍ الْأَشْعَرِيِّ :</w:t>
      </w:r>
    </w:p>
    <w:p w:rsidR="00992664" w:rsidRPr="00020424" w:rsidRDefault="00992664" w:rsidP="00992664">
      <w:pPr>
        <w:pStyle w:val="libNormal"/>
        <w:rPr>
          <w:rtl/>
          <w:lang w:bidi="fa-IR"/>
        </w:rPr>
      </w:pPr>
      <w:r w:rsidRPr="00020424">
        <w:rPr>
          <w:rtl/>
          <w:lang w:bidi="fa-IR"/>
        </w:rPr>
        <w:t xml:space="preserve">عَمَّنْ سَمِعَ أَبَا الْحَسَنِ مُوسى </w:t>
      </w:r>
      <w:r w:rsidRPr="00A91B96">
        <w:rPr>
          <w:rStyle w:val="libFootnotenumChar"/>
          <w:rtl/>
        </w:rPr>
        <w:t>(5)</w:t>
      </w:r>
      <w:r w:rsidRPr="00020424">
        <w:rPr>
          <w:rtl/>
          <w:lang w:bidi="fa-IR"/>
        </w:rPr>
        <w:t xml:space="preserve"> </w:t>
      </w:r>
      <w:r w:rsidRPr="00005A81">
        <w:rPr>
          <w:rStyle w:val="libAlaemChar"/>
          <w:rtl/>
        </w:rPr>
        <w:t>عليه‌السلام</w:t>
      </w:r>
      <w:r w:rsidRPr="00020424">
        <w:rPr>
          <w:rtl/>
          <w:lang w:bidi="fa-IR"/>
        </w:rPr>
        <w:t xml:space="preserve"> يَقُولُ : « لَا تَبْذُلْ لِإِخْوَانِكَ مِنْ نَفْسِكَ مَا ضَرُّهُ عَلَيْكَ أَكْثَرُ مِنْ مَنْفَعَتِهِ لَهُمْ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9D588D">
        <w:rPr>
          <w:rtl/>
        </w:rPr>
        <w:t>6124</w:t>
      </w:r>
      <w:r w:rsidRPr="001155DE">
        <w:rPr>
          <w:rStyle w:val="libBold2Char"/>
          <w:rtl/>
        </w:rPr>
        <w:t xml:space="preserve"> / 3.</w:t>
      </w:r>
      <w:r w:rsidRPr="00020424">
        <w:rPr>
          <w:rtl/>
          <w:lang w:bidi="fa-IR"/>
        </w:rPr>
        <w:t xml:space="preserve"> عِدَّةٌ مِنْ أَصْحَابِنَا ، عَنْ سَهْلِ بْنِ زِيَادٍ ، عَنْ عَلِيِّ بْنِ أَسْبَاطٍ ، عَنِ الْحَسَنِ بْنِ عَلِيٍّ الْجُرْجَانِيِّ ، عَمَّنْ حَدَّثَهُ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 لَا تُوجِبْ عَلى نَفْسِكَ الْحُقُوقَ ، وَاصْبِرْ عَلَى النَّوَائِبِ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D7435" w:rsidTr="009D7435">
        <w:tc>
          <w:tcPr>
            <w:tcW w:w="4006" w:type="dxa"/>
          </w:tcPr>
          <w:p w:rsidR="009D7435" w:rsidRDefault="009D7435" w:rsidP="00992664">
            <w:pPr>
              <w:pStyle w:val="libFootnote0"/>
              <w:rPr>
                <w:rtl/>
              </w:rPr>
            </w:pPr>
            <w:r>
              <w:rPr>
                <w:rtl/>
              </w:rPr>
              <w:t xml:space="preserve">(1). </w:t>
            </w:r>
            <w:r w:rsidRPr="00020424">
              <w:rPr>
                <w:rtl/>
              </w:rPr>
              <w:t>في « بح ، بر ، بك » :</w:t>
            </w:r>
            <w:r>
              <w:rPr>
                <w:rtl/>
              </w:rPr>
              <w:t xml:space="preserve"> - </w:t>
            </w:r>
            <w:r w:rsidRPr="00020424">
              <w:rPr>
                <w:rtl/>
              </w:rPr>
              <w:t>« في</w:t>
            </w:r>
            <w:r>
              <w:rPr>
                <w:rtl/>
              </w:rPr>
              <w:t xml:space="preserve"> ».</w:t>
            </w:r>
          </w:p>
        </w:tc>
        <w:tc>
          <w:tcPr>
            <w:tcW w:w="4006" w:type="dxa"/>
          </w:tcPr>
          <w:p w:rsidR="009D7435" w:rsidRDefault="009D7435" w:rsidP="00992664">
            <w:pPr>
              <w:pStyle w:val="libFootnote0"/>
              <w:rPr>
                <w:rtl/>
              </w:rPr>
            </w:pPr>
            <w:r>
              <w:rPr>
                <w:rtl/>
              </w:rPr>
              <w:t xml:space="preserve">(2). </w:t>
            </w:r>
            <w:r w:rsidRPr="00020424">
              <w:rPr>
                <w:rtl/>
              </w:rPr>
              <w:t>في « ظ ، بح ، بس ، بف » : « أدب</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بح ، بر ، بك ، جن » </w:t>
      </w:r>
      <w:r w:rsidR="00992664" w:rsidRPr="009D7435">
        <w:rPr>
          <w:rtl/>
        </w:rPr>
        <w:t>والوافي</w:t>
      </w:r>
      <w:r w:rsidR="00992664" w:rsidRPr="00020424">
        <w:rPr>
          <w:rtl/>
        </w:rPr>
        <w:t xml:space="preserve"> : « ولا يكون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461 ، ح 9887 ؛ </w:t>
      </w:r>
      <w:r w:rsidR="00992664" w:rsidRPr="0012008A">
        <w:rPr>
          <w:rStyle w:val="libFootnoteBoldChar"/>
          <w:rtl/>
        </w:rPr>
        <w:t>الوسائل</w:t>
      </w:r>
      <w:r w:rsidR="00992664" w:rsidRPr="00020424">
        <w:rPr>
          <w:rtl/>
        </w:rPr>
        <w:t xml:space="preserve"> ، ج 16 ، ص 316 ، ذيل ح 21643.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بر » </w:t>
      </w:r>
      <w:r w:rsidR="00992664" w:rsidRPr="009D7435">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موسى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3 ، ص 168 ، ح 3633 ، مرسلاً عن الرضا </w:t>
      </w:r>
      <w:r w:rsidR="00992664" w:rsidRPr="00D64ADA">
        <w:rPr>
          <w:rStyle w:val="libFootnoteAlaemChar"/>
          <w:rtl/>
        </w:rPr>
        <w:t>عليه‌السلام</w:t>
      </w:r>
      <w:r w:rsidR="00992664" w:rsidRPr="00020424">
        <w:rPr>
          <w:rtl/>
        </w:rPr>
        <w:t xml:space="preserve">. </w:t>
      </w:r>
      <w:r w:rsidR="00992664" w:rsidRPr="00DE76B9">
        <w:rPr>
          <w:rStyle w:val="libFootnoteBoldChar"/>
          <w:rtl/>
        </w:rPr>
        <w:t>مصادقة الإخوان</w:t>
      </w:r>
      <w:r w:rsidR="00992664" w:rsidRPr="00020424">
        <w:rPr>
          <w:rtl/>
        </w:rPr>
        <w:t xml:space="preserve"> ، ص 82 ، ح 10 ، مرسلاً عن عليّ بن عقبة ، عن بعض أصحابنا ، عن أبي عبدالله </w:t>
      </w:r>
      <w:r w:rsidR="00992664" w:rsidRPr="00D64ADA">
        <w:rPr>
          <w:rStyle w:val="libFootnoteAlaemChar"/>
          <w:rtl/>
        </w:rPr>
        <w:t>عليه‌السلام</w:t>
      </w:r>
      <w:r w:rsidR="00992664" w:rsidRPr="00020424">
        <w:rPr>
          <w:rtl/>
        </w:rPr>
        <w:t xml:space="preserve"> </w:t>
      </w:r>
      <w:r w:rsidR="009D7435">
        <w:rPr>
          <w:rFonts w:hint="cs"/>
          <w:rtl/>
        </w:rPr>
        <w:t>.</w:t>
      </w:r>
      <w:r w:rsidR="00992664" w:rsidRPr="0012008A">
        <w:rPr>
          <w:rStyle w:val="libFootnoteBoldChar"/>
          <w:rtl/>
        </w:rPr>
        <w:t>الوافي</w:t>
      </w:r>
      <w:r w:rsidR="00992664" w:rsidRPr="00020424">
        <w:rPr>
          <w:rtl/>
        </w:rPr>
        <w:t xml:space="preserve"> ، ج 10 ، ص 461 ، ح 9888 ؛ </w:t>
      </w:r>
      <w:r w:rsidR="00992664" w:rsidRPr="0012008A">
        <w:rPr>
          <w:rStyle w:val="libFootnoteBoldChar"/>
          <w:rtl/>
        </w:rPr>
        <w:t>الوسائل</w:t>
      </w:r>
      <w:r w:rsidR="00992664" w:rsidRPr="00020424">
        <w:rPr>
          <w:rtl/>
        </w:rPr>
        <w:t xml:space="preserve"> ، ج 16 ، ص 316 ، ذيل ح 21644.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النوائب » : جمع نائبة ، وهي المصيبة ، أو هي ما ينوب الإنسان ، أي ينزل به من المهمّات والحوادث. راجع : </w:t>
      </w:r>
      <w:r w:rsidR="00992664" w:rsidRPr="0012008A">
        <w:rPr>
          <w:rStyle w:val="libFootnoteBoldChar"/>
          <w:rtl/>
        </w:rPr>
        <w:t>الصحاح</w:t>
      </w:r>
      <w:r w:rsidR="00992664" w:rsidRPr="00020424">
        <w:rPr>
          <w:rtl/>
        </w:rPr>
        <w:t xml:space="preserve"> ، ج 1 ، ص 229 ؛ </w:t>
      </w:r>
      <w:r w:rsidR="00992664" w:rsidRPr="0012008A">
        <w:rPr>
          <w:rStyle w:val="libFootnoteBoldChar"/>
          <w:rtl/>
        </w:rPr>
        <w:t>النهاية</w:t>
      </w:r>
      <w:r w:rsidR="00992664" w:rsidRPr="00020424">
        <w:rPr>
          <w:rtl/>
        </w:rPr>
        <w:t xml:space="preserve"> ، ج 5 ، ص 123 ( نوب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D7435">
      <w:pPr>
        <w:pStyle w:val="libNormal0"/>
        <w:rPr>
          <w:rtl/>
          <w:lang w:bidi="fa-IR"/>
        </w:rPr>
      </w:pPr>
      <w:r w:rsidRPr="00020424">
        <w:rPr>
          <w:rtl/>
          <w:lang w:bidi="fa-IR"/>
        </w:rPr>
        <w:t xml:space="preserve">وَلَاتَدْخُلْ فِي شَيْ‌ءٍ مَضَرَّتُهُ عَلَيْكَ أَعْظَمُ </w:t>
      </w:r>
      <w:r w:rsidRPr="00A91B96">
        <w:rPr>
          <w:rStyle w:val="libFootnotenumChar"/>
          <w:rtl/>
        </w:rPr>
        <w:t>(1)</w:t>
      </w:r>
      <w:r w:rsidRPr="00020424">
        <w:rPr>
          <w:rtl/>
          <w:lang w:bidi="fa-IR"/>
        </w:rPr>
        <w:t xml:space="preserve"> مِنْ مَنْفَعَتِهِ لِأَخِيكَ</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241" w:name="_Toc345172797"/>
      <w:bookmarkStart w:id="242" w:name="_Toc464562613"/>
      <w:bookmarkStart w:id="243" w:name="_Toc44599916"/>
      <w:r w:rsidRPr="00020424">
        <w:rPr>
          <w:rtl/>
          <w:lang w:bidi="fa-IR"/>
        </w:rPr>
        <w:t>75</w:t>
      </w:r>
      <w:r>
        <w:rPr>
          <w:rtl/>
          <w:lang w:bidi="fa-IR"/>
        </w:rPr>
        <w:t xml:space="preserve"> </w:t>
      </w:r>
      <w:r w:rsidR="009B673F">
        <w:rPr>
          <w:rtl/>
          <w:lang w:bidi="fa-IR"/>
        </w:rPr>
        <w:t>-</w:t>
      </w:r>
      <w:r>
        <w:rPr>
          <w:rtl/>
          <w:lang w:bidi="fa-IR"/>
        </w:rPr>
        <w:t xml:space="preserve"> </w:t>
      </w:r>
      <w:r w:rsidRPr="00020424">
        <w:rPr>
          <w:rtl/>
          <w:lang w:bidi="fa-IR"/>
        </w:rPr>
        <w:t>بَابُ مَنْ كَفَرَ الْمَعْرُوفَ‌</w:t>
      </w:r>
      <w:bookmarkEnd w:id="241"/>
      <w:bookmarkEnd w:id="242"/>
      <w:bookmarkEnd w:id="243"/>
    </w:p>
    <w:p w:rsidR="00992664" w:rsidRPr="00020424" w:rsidRDefault="00992664" w:rsidP="00992664">
      <w:pPr>
        <w:pStyle w:val="libNormal"/>
        <w:rPr>
          <w:rtl/>
          <w:lang w:bidi="fa-IR"/>
        </w:rPr>
      </w:pPr>
      <w:r w:rsidRPr="000E084D">
        <w:rPr>
          <w:rtl/>
        </w:rPr>
        <w:t>6125</w:t>
      </w:r>
      <w:r w:rsidRPr="001155DE">
        <w:rPr>
          <w:rStyle w:val="libBold2Char"/>
          <w:rtl/>
        </w:rPr>
        <w:t xml:space="preserve"> / 1.</w:t>
      </w:r>
      <w:r w:rsidRPr="00020424">
        <w:rPr>
          <w:rtl/>
          <w:lang w:bidi="fa-IR"/>
        </w:rPr>
        <w:t xml:space="preserve"> عِدَّةٌ مِنْ أَصْحَابِنَا ، عَنْ أَحْمَدَ بْنِ مُحَمَّدِ بْنِ </w:t>
      </w:r>
      <w:r w:rsidRPr="00A91B96">
        <w:rPr>
          <w:rStyle w:val="libFootnotenumChar"/>
          <w:rtl/>
        </w:rPr>
        <w:t>(3)</w:t>
      </w:r>
      <w:r w:rsidRPr="00020424">
        <w:rPr>
          <w:rtl/>
          <w:lang w:bidi="fa-IR"/>
        </w:rPr>
        <w:t xml:space="preserve"> عِيسى ، عَنْ أَبِي جَعْفَرٍ الْبَغْدَادِيِّ ، عَمَّنْ رَوَاهُ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w:t>
      </w:r>
      <w:r w:rsidRPr="00A91B96">
        <w:rPr>
          <w:rStyle w:val="libFootnotenumChar"/>
          <w:rtl/>
        </w:rPr>
        <w:t>(4)</w:t>
      </w:r>
      <w:r w:rsidRPr="00020424">
        <w:rPr>
          <w:rtl/>
          <w:lang w:bidi="fa-IR"/>
        </w:rPr>
        <w:t xml:space="preserve"> : « لَعَنَ اللهُ قَاطِعِي سُبُلِ </w:t>
      </w:r>
      <w:r w:rsidRPr="00A91B96">
        <w:rPr>
          <w:rStyle w:val="libFootnotenumChar"/>
          <w:rtl/>
        </w:rPr>
        <w:t>(5)</w:t>
      </w:r>
      <w:r w:rsidRPr="00020424">
        <w:rPr>
          <w:rtl/>
          <w:lang w:bidi="fa-IR"/>
        </w:rPr>
        <w:t xml:space="preserve"> الْمَعْرُوفِ</w:t>
      </w:r>
      <w:r>
        <w:rPr>
          <w:rtl/>
          <w:lang w:bidi="fa-IR"/>
        </w:rPr>
        <w:t xml:space="preserve"> ».</w:t>
      </w:r>
    </w:p>
    <w:p w:rsidR="00992664" w:rsidRPr="00020424" w:rsidRDefault="00992664" w:rsidP="00992664">
      <w:pPr>
        <w:pStyle w:val="libNormal"/>
        <w:rPr>
          <w:rtl/>
          <w:lang w:bidi="fa-IR"/>
        </w:rPr>
      </w:pPr>
      <w:r w:rsidRPr="00020424">
        <w:rPr>
          <w:rtl/>
          <w:lang w:bidi="fa-IR"/>
        </w:rPr>
        <w:t xml:space="preserve">قِيلَ : وَمَا قَاطِعُو </w:t>
      </w:r>
      <w:r w:rsidRPr="00A91B96">
        <w:rPr>
          <w:rStyle w:val="libFootnotenumChar"/>
          <w:rtl/>
        </w:rPr>
        <w:t>(6)</w:t>
      </w:r>
      <w:r w:rsidRPr="00020424">
        <w:rPr>
          <w:rtl/>
          <w:lang w:bidi="fa-IR"/>
        </w:rPr>
        <w:t xml:space="preserve"> سُبُلِ </w:t>
      </w:r>
      <w:r w:rsidRPr="00A91B96">
        <w:rPr>
          <w:rStyle w:val="libFootnotenumChar"/>
          <w:rtl/>
        </w:rPr>
        <w:t>(7)</w:t>
      </w:r>
      <w:r w:rsidRPr="00020424">
        <w:rPr>
          <w:rtl/>
          <w:lang w:bidi="fa-IR"/>
        </w:rPr>
        <w:t xml:space="preserve"> الْمَعْرُوفِ</w:t>
      </w:r>
      <w:r>
        <w:rPr>
          <w:rtl/>
          <w:lang w:bidi="fa-IR"/>
        </w:rPr>
        <w:t>؟</w:t>
      </w:r>
    </w:p>
    <w:p w:rsidR="00992664" w:rsidRPr="00020424" w:rsidRDefault="00992664" w:rsidP="00992664">
      <w:pPr>
        <w:pStyle w:val="libNormal"/>
        <w:rPr>
          <w:rtl/>
          <w:lang w:bidi="fa-IR"/>
        </w:rPr>
      </w:pPr>
      <w:r w:rsidRPr="00020424">
        <w:rPr>
          <w:rtl/>
          <w:lang w:bidi="fa-IR"/>
        </w:rPr>
        <w:t>قَالَ : « الرَّجُلُ يُصْنَعُ إِلَيْهِ الْمَعْرُوفُ ، فَيَكْفُرُهُ ، فَيَمْتَنِعُ صَاحِبُهُ مِنْ أَنْ يَصْنَعَ ذلِكَ إِلى غَيْرِهِ</w:t>
      </w:r>
      <w:r>
        <w:rPr>
          <w:rtl/>
          <w:lang w:bidi="fa-IR"/>
        </w:rPr>
        <w:t>».</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E084D">
        <w:rPr>
          <w:rtl/>
        </w:rPr>
        <w:t>6126</w:t>
      </w:r>
      <w:r w:rsidRPr="001155DE">
        <w:rPr>
          <w:rStyle w:val="libBold2Char"/>
          <w:rtl/>
        </w:rPr>
        <w:t xml:space="preserve"> / 2.</w:t>
      </w:r>
      <w:r w:rsidRPr="00020424">
        <w:rPr>
          <w:rtl/>
          <w:lang w:bidi="fa-IR"/>
        </w:rPr>
        <w:t xml:space="preserve"> عَلِيُّ بْنُ مُحَمَّدٍ </w:t>
      </w:r>
      <w:r w:rsidRPr="00A91B96">
        <w:rPr>
          <w:rStyle w:val="libFootnotenumChar"/>
          <w:rtl/>
        </w:rPr>
        <w:t>(9)</w:t>
      </w:r>
      <w:r w:rsidRPr="00020424">
        <w:rPr>
          <w:rtl/>
          <w:lang w:bidi="fa-IR"/>
        </w:rPr>
        <w:t xml:space="preserve"> ، عَنْ أَحْمَدَ بْنِ أَبِي عَبْدِ اللهِ ، عَنِ الْحَسَنِ </w:t>
      </w:r>
      <w:r w:rsidRPr="00A91B96">
        <w:rPr>
          <w:rStyle w:val="libFootnotenumChar"/>
          <w:rtl/>
        </w:rPr>
        <w:t>(10)</w:t>
      </w:r>
      <w:r w:rsidRPr="00020424">
        <w:rPr>
          <w:rtl/>
          <w:lang w:bidi="fa-IR"/>
        </w:rPr>
        <w:t xml:space="preserve"> بْنِ مَحْبُوبٍ ، عَنْ سَيْفِ بْنِ عَمِيرَةَ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مَا أَقَلَّ مَنْ شَكَرَ الْمَعْرُوفَ</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بف » : « أكثر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7 ، ص 235 ، ح 1027 ، بسند آخر عن رجل صالح. وفي </w:t>
      </w:r>
      <w:r w:rsidR="00992664" w:rsidRPr="006C7A1F">
        <w:rPr>
          <w:rStyle w:val="libFootnoteBoldChar"/>
          <w:rtl/>
        </w:rPr>
        <w:t>الأمالي للمفيد</w:t>
      </w:r>
      <w:r w:rsidR="00992664" w:rsidRPr="00020424">
        <w:rPr>
          <w:rtl/>
        </w:rPr>
        <w:t xml:space="preserve"> ، ص 300 ، المجلس 35 ، ح 11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73 ، المجلس 3 ، ح 16 ، بسند آخر عن جعفر بن محمّد ، عن أبي جعفر </w:t>
      </w:r>
      <w:r w:rsidR="00D64ADA" w:rsidRPr="00D64ADA">
        <w:rPr>
          <w:rStyle w:val="libFootnoteAlaemChar"/>
          <w:rtl/>
        </w:rPr>
        <w:t>عليهما‌السلام</w:t>
      </w:r>
      <w:r w:rsidR="00992664" w:rsidRPr="00020424">
        <w:rPr>
          <w:rtl/>
        </w:rPr>
        <w:t xml:space="preserve"> ، وفي كلّ المصادر مع اختلاف يسير </w:t>
      </w:r>
      <w:r w:rsidR="00DE3E80">
        <w:rPr>
          <w:rFonts w:hint="cs"/>
          <w:rtl/>
        </w:rPr>
        <w:t>.</w:t>
      </w:r>
      <w:r w:rsidR="00992664" w:rsidRPr="0012008A">
        <w:rPr>
          <w:rStyle w:val="libFootnoteBoldChar"/>
          <w:rtl/>
        </w:rPr>
        <w:t>الوافي</w:t>
      </w:r>
      <w:r w:rsidR="00992664" w:rsidRPr="00020424">
        <w:rPr>
          <w:rtl/>
        </w:rPr>
        <w:t xml:space="preserve"> ، ج 10 ، ص 461 ، ح 9890 ؛ </w:t>
      </w:r>
      <w:r w:rsidR="00992664" w:rsidRPr="0012008A">
        <w:rPr>
          <w:rStyle w:val="libFootnoteBoldChar"/>
          <w:rtl/>
        </w:rPr>
        <w:t>الوسائل</w:t>
      </w:r>
      <w:r w:rsidR="00992664" w:rsidRPr="00020424">
        <w:rPr>
          <w:rtl/>
        </w:rPr>
        <w:t xml:space="preserve"> ، ج 16 ، ص 316 ، ح 21645 ؛ </w:t>
      </w:r>
      <w:r w:rsidR="00992664" w:rsidRPr="00DE76B9">
        <w:rPr>
          <w:rStyle w:val="libFootnoteBoldChar"/>
          <w:rtl/>
        </w:rPr>
        <w:t>وفيه</w:t>
      </w:r>
      <w:r w:rsidR="00992664" w:rsidRPr="00020424">
        <w:rPr>
          <w:rtl/>
        </w:rPr>
        <w:t xml:space="preserve"> ، ج 23 ، ص 303 ، ح 29614 ، إلى قوله : « واصبر على النوائب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E3E80" w:rsidTr="00DE3E80">
        <w:tc>
          <w:tcPr>
            <w:tcW w:w="4006" w:type="dxa"/>
          </w:tcPr>
          <w:p w:rsidR="00DE3E80" w:rsidRDefault="00DE3E80" w:rsidP="00992664">
            <w:pPr>
              <w:pStyle w:val="libFootnote0"/>
              <w:rPr>
                <w:rtl/>
              </w:rPr>
            </w:pPr>
            <w:r>
              <w:rPr>
                <w:rtl/>
              </w:rPr>
              <w:t xml:space="preserve">(3). </w:t>
            </w:r>
            <w:r w:rsidRPr="00020424">
              <w:rPr>
                <w:rtl/>
              </w:rPr>
              <w:t>في « بر » :</w:t>
            </w:r>
            <w:r>
              <w:rPr>
                <w:rtl/>
              </w:rPr>
              <w:t xml:space="preserve"> - </w:t>
            </w:r>
            <w:r w:rsidRPr="00020424">
              <w:rPr>
                <w:rtl/>
              </w:rPr>
              <w:t>« محمّد بن</w:t>
            </w:r>
            <w:r>
              <w:rPr>
                <w:rtl/>
              </w:rPr>
              <w:t xml:space="preserve"> ».</w:t>
            </w:r>
          </w:p>
        </w:tc>
        <w:tc>
          <w:tcPr>
            <w:tcW w:w="4006" w:type="dxa"/>
          </w:tcPr>
          <w:p w:rsidR="00DE3E80" w:rsidRDefault="00DE3E80" w:rsidP="00992664">
            <w:pPr>
              <w:pStyle w:val="libFootnote0"/>
              <w:rPr>
                <w:rtl/>
              </w:rPr>
            </w:pPr>
            <w:r>
              <w:rPr>
                <w:rtl/>
              </w:rPr>
              <w:t xml:space="preserve">(4). </w:t>
            </w:r>
            <w:r w:rsidRPr="00020424">
              <w:rPr>
                <w:rtl/>
              </w:rPr>
              <w:t xml:space="preserve">في « بر ، بك » </w:t>
            </w:r>
            <w:r w:rsidRPr="00DE3E80">
              <w:rPr>
                <w:rtl/>
              </w:rPr>
              <w:t>والوافي</w:t>
            </w:r>
            <w:r w:rsidRPr="00020424">
              <w:rPr>
                <w:rtl/>
              </w:rPr>
              <w:t xml:space="preserve">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بخ ، بس ، بك ، جن » </w:t>
      </w:r>
      <w:r w:rsidR="00992664" w:rsidRPr="00DE3E80">
        <w:rPr>
          <w:rtl/>
        </w:rPr>
        <w:t>والوسائل والفقيه والاختصاص</w:t>
      </w:r>
      <w:r w:rsidR="00992664" w:rsidRPr="00020424">
        <w:rPr>
          <w:rtl/>
        </w:rPr>
        <w:t xml:space="preserve"> : « سبيل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E3E80" w:rsidTr="00DE3E80">
        <w:tc>
          <w:tcPr>
            <w:tcW w:w="4006" w:type="dxa"/>
          </w:tcPr>
          <w:p w:rsidR="00DE3E80" w:rsidRDefault="00DE3E80" w:rsidP="00992664">
            <w:pPr>
              <w:pStyle w:val="libFootnote0"/>
              <w:rPr>
                <w:rtl/>
              </w:rPr>
            </w:pPr>
            <w:r>
              <w:rPr>
                <w:rtl/>
              </w:rPr>
              <w:t xml:space="preserve">(6). </w:t>
            </w:r>
            <w:r w:rsidRPr="00020424">
              <w:rPr>
                <w:rtl/>
              </w:rPr>
              <w:t xml:space="preserve">في « بث ، بخ » </w:t>
            </w:r>
            <w:r w:rsidRPr="00DE3E80">
              <w:rPr>
                <w:rtl/>
              </w:rPr>
              <w:t>والفقيه</w:t>
            </w:r>
            <w:r w:rsidRPr="00020424">
              <w:rPr>
                <w:rtl/>
              </w:rPr>
              <w:t xml:space="preserve"> : « قاطعي</w:t>
            </w:r>
            <w:r>
              <w:rPr>
                <w:rtl/>
              </w:rPr>
              <w:t xml:space="preserve"> ».</w:t>
            </w:r>
          </w:p>
        </w:tc>
        <w:tc>
          <w:tcPr>
            <w:tcW w:w="4006" w:type="dxa"/>
          </w:tcPr>
          <w:p w:rsidR="00DE3E80" w:rsidRDefault="00DE3E80" w:rsidP="00992664">
            <w:pPr>
              <w:pStyle w:val="libFootnote0"/>
              <w:rPr>
                <w:rtl/>
              </w:rPr>
            </w:pPr>
            <w:r>
              <w:rPr>
                <w:rtl/>
              </w:rPr>
              <w:t>(7). في«ى،بخ،بر،بس،بك</w:t>
            </w:r>
            <w:r w:rsidRPr="00020424">
              <w:rPr>
                <w:rtl/>
              </w:rPr>
              <w:t>»</w:t>
            </w:r>
            <w:r w:rsidRPr="00EB1FD9">
              <w:rPr>
                <w:rStyle w:val="libFootnoteBoldChar"/>
                <w:rtl/>
              </w:rPr>
              <w:t>والوسائل</w:t>
            </w:r>
            <w:r w:rsidRPr="00020424">
              <w:rPr>
                <w:rtl/>
              </w:rPr>
              <w:t xml:space="preserve"> </w:t>
            </w:r>
            <w:r w:rsidRPr="00FD6221">
              <w:rPr>
                <w:rStyle w:val="libFootnoteBoldChar"/>
                <w:rtl/>
              </w:rPr>
              <w:t>والفقيه</w:t>
            </w:r>
            <w:r>
              <w:rPr>
                <w:rtl/>
              </w:rPr>
              <w:t>:«</w:t>
            </w:r>
            <w:r w:rsidRPr="00020424">
              <w:rPr>
                <w:rtl/>
              </w:rPr>
              <w:t>سبيل</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57 ، ح 1696 ؛ </w:t>
      </w:r>
      <w:r w:rsidR="00992664" w:rsidRPr="00666432">
        <w:rPr>
          <w:rStyle w:val="libFootnoteBoldChar"/>
          <w:rtl/>
        </w:rPr>
        <w:t>والاختصاص</w:t>
      </w:r>
      <w:r w:rsidR="00992664" w:rsidRPr="00020424">
        <w:rPr>
          <w:rtl/>
        </w:rPr>
        <w:t xml:space="preserve"> ، ص 241 ، مرسلاً ، وفي الأخير مع اختلاف يسير </w:t>
      </w:r>
      <w:r w:rsidR="00DE3E80">
        <w:rPr>
          <w:rFonts w:hint="cs"/>
          <w:rtl/>
        </w:rPr>
        <w:t>.</w:t>
      </w:r>
      <w:r w:rsidR="00992664" w:rsidRPr="0012008A">
        <w:rPr>
          <w:rStyle w:val="libFootnoteBoldChar"/>
          <w:rtl/>
        </w:rPr>
        <w:t>الوافي</w:t>
      </w:r>
      <w:r w:rsidR="00992664" w:rsidRPr="00020424">
        <w:rPr>
          <w:rtl/>
        </w:rPr>
        <w:t xml:space="preserve"> ، ج 10 ، ص 462 ، ح 9893 ؛ </w:t>
      </w:r>
      <w:r w:rsidR="00992664" w:rsidRPr="0012008A">
        <w:rPr>
          <w:rStyle w:val="libFootnoteBoldChar"/>
          <w:rtl/>
        </w:rPr>
        <w:t>الوسائل</w:t>
      </w:r>
      <w:r w:rsidR="00992664" w:rsidRPr="00020424">
        <w:rPr>
          <w:rtl/>
        </w:rPr>
        <w:t xml:space="preserve"> ، ج 16 ، ص 309 ، ح 21624.</w:t>
      </w:r>
    </w:p>
    <w:tbl>
      <w:tblPr>
        <w:tblStyle w:val="TableGrid"/>
        <w:bidiVisual/>
        <w:tblW w:w="0" w:type="auto"/>
        <w:tblLook w:val="04A0" w:firstRow="1" w:lastRow="0" w:firstColumn="1" w:lastColumn="0" w:noHBand="0" w:noVBand="1"/>
      </w:tblPr>
      <w:tblGrid>
        <w:gridCol w:w="4006"/>
        <w:gridCol w:w="4006"/>
      </w:tblGrid>
      <w:tr w:rsidR="00DE3E80" w:rsidTr="00DE3E80">
        <w:tc>
          <w:tcPr>
            <w:tcW w:w="4006" w:type="dxa"/>
          </w:tcPr>
          <w:p w:rsidR="00DE3E80" w:rsidRDefault="00DE3E80" w:rsidP="00992664">
            <w:pPr>
              <w:pStyle w:val="libFootnote0"/>
              <w:rPr>
                <w:rtl/>
              </w:rPr>
            </w:pPr>
            <w:r>
              <w:rPr>
                <w:rtl/>
              </w:rPr>
              <w:t>(9). في «بث ،بخ ،بر ،بف » : + «</w:t>
            </w:r>
            <w:r w:rsidRPr="00020424">
              <w:rPr>
                <w:rtl/>
              </w:rPr>
              <w:t>بن عبد الله</w:t>
            </w:r>
            <w:r>
              <w:rPr>
                <w:rtl/>
              </w:rPr>
              <w:t>».</w:t>
            </w:r>
          </w:p>
        </w:tc>
        <w:tc>
          <w:tcPr>
            <w:tcW w:w="4006" w:type="dxa"/>
          </w:tcPr>
          <w:p w:rsidR="00DE3E80" w:rsidRDefault="00DE3E80" w:rsidP="00992664">
            <w:pPr>
              <w:pStyle w:val="libFootnote0"/>
              <w:rPr>
                <w:rtl/>
              </w:rPr>
            </w:pPr>
            <w:r>
              <w:rPr>
                <w:rtl/>
              </w:rPr>
              <w:t xml:space="preserve">(10). </w:t>
            </w:r>
            <w:r w:rsidRPr="00020424">
              <w:rPr>
                <w:rtl/>
              </w:rPr>
              <w:t>في « بر ، بف » :</w:t>
            </w:r>
            <w:r>
              <w:rPr>
                <w:rtl/>
              </w:rPr>
              <w:t xml:space="preserve"> - </w:t>
            </w:r>
            <w:r w:rsidRPr="00020424">
              <w:rPr>
                <w:rtl/>
              </w:rPr>
              <w:t>« الحسن</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تحف العقول</w:t>
      </w:r>
      <w:r w:rsidR="00992664" w:rsidRPr="00020424">
        <w:rPr>
          <w:rtl/>
        </w:rPr>
        <w:t xml:space="preserve"> ، ص 358 ، مع زيادة في أوّله </w:t>
      </w:r>
      <w:r w:rsidR="00DE3E80">
        <w:rPr>
          <w:rFonts w:hint="cs"/>
          <w:rtl/>
        </w:rPr>
        <w:t>.</w:t>
      </w:r>
      <w:r w:rsidR="00992664" w:rsidRPr="0012008A">
        <w:rPr>
          <w:rStyle w:val="libFootnoteBoldChar"/>
          <w:rtl/>
        </w:rPr>
        <w:t>الوافي</w:t>
      </w:r>
      <w:r w:rsidR="00992664" w:rsidRPr="00020424">
        <w:rPr>
          <w:rtl/>
        </w:rPr>
        <w:t xml:space="preserve"> ، ج 10 ، ص 462 ، ح 9892 ؛ </w:t>
      </w:r>
      <w:r w:rsidR="00992664" w:rsidRPr="0012008A">
        <w:rPr>
          <w:rStyle w:val="libFootnoteBoldChar"/>
          <w:rtl/>
        </w:rPr>
        <w:t>الوسائل</w:t>
      </w:r>
      <w:r w:rsidR="00992664" w:rsidRPr="00020424">
        <w:rPr>
          <w:rtl/>
        </w:rPr>
        <w:t xml:space="preserve"> ، ج 16 ، ص 306 ، </w:t>
      </w:r>
      <w:r w:rsidR="00DE3E8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E084D">
        <w:rPr>
          <w:rtl/>
        </w:rPr>
        <w:t>6127</w:t>
      </w:r>
      <w:r w:rsidRPr="001155DE">
        <w:rPr>
          <w:rStyle w:val="libBold2Char"/>
          <w:rtl/>
        </w:rPr>
        <w:t xml:space="preserve"> / 3.</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أُتِيَ إِلَيْهِ مَعْرُوفٌ </w:t>
      </w:r>
      <w:r w:rsidRPr="00A91B96">
        <w:rPr>
          <w:rStyle w:val="libFootnotenumChar"/>
          <w:rtl/>
        </w:rPr>
        <w:t>(1)</w:t>
      </w:r>
      <w:r w:rsidRPr="00020424">
        <w:rPr>
          <w:rtl/>
          <w:lang w:bidi="fa-IR"/>
        </w:rPr>
        <w:t xml:space="preserve"> فَلْيُكَافِئْ بِهِ ، فَإِنْ عَجَزَ ، فَلْيُثْنِ عَلَيْهِ ؛ فَإِنْ </w:t>
      </w:r>
      <w:r w:rsidRPr="00A91B96">
        <w:rPr>
          <w:rStyle w:val="libFootnotenumChar"/>
          <w:rtl/>
        </w:rPr>
        <w:t>(2)</w:t>
      </w:r>
      <w:r w:rsidRPr="00020424">
        <w:rPr>
          <w:rtl/>
          <w:lang w:bidi="fa-IR"/>
        </w:rPr>
        <w:t xml:space="preserve"> لَمْ يَفْعَلْ ، فَقَدْ كَفَرَ النِّعْمَةَ</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Heading2Center"/>
        <w:rPr>
          <w:rtl/>
          <w:lang w:bidi="fa-IR"/>
        </w:rPr>
      </w:pPr>
      <w:bookmarkStart w:id="244" w:name="_Toc345172798"/>
      <w:bookmarkStart w:id="245" w:name="_Toc464562614"/>
      <w:bookmarkStart w:id="246" w:name="_Toc44599917"/>
      <w:r w:rsidRPr="00020424">
        <w:rPr>
          <w:rtl/>
          <w:lang w:bidi="fa-IR"/>
        </w:rPr>
        <w:t>76</w:t>
      </w:r>
      <w:r>
        <w:rPr>
          <w:rtl/>
          <w:lang w:bidi="fa-IR"/>
        </w:rPr>
        <w:t xml:space="preserve"> </w:t>
      </w:r>
      <w:r w:rsidR="009B673F">
        <w:rPr>
          <w:rtl/>
          <w:lang w:bidi="fa-IR"/>
        </w:rPr>
        <w:t>-</w:t>
      </w:r>
      <w:r>
        <w:rPr>
          <w:rtl/>
          <w:lang w:bidi="fa-IR"/>
        </w:rPr>
        <w:t xml:space="preserve"> </w:t>
      </w:r>
      <w:r w:rsidRPr="00020424">
        <w:rPr>
          <w:rtl/>
          <w:lang w:bidi="fa-IR"/>
        </w:rPr>
        <w:t xml:space="preserve">بَابُ الْقَرْضِ </w:t>
      </w:r>
      <w:r w:rsidRPr="00A91B96">
        <w:rPr>
          <w:rStyle w:val="libFootnotenumChar"/>
          <w:rtl/>
        </w:rPr>
        <w:t>(4)</w:t>
      </w:r>
      <w:r w:rsidRPr="00020424">
        <w:rPr>
          <w:rtl/>
          <w:lang w:bidi="fa-IR"/>
        </w:rPr>
        <w:t xml:space="preserve"> ‌</w:t>
      </w:r>
      <w:bookmarkEnd w:id="244"/>
      <w:bookmarkEnd w:id="245"/>
      <w:bookmarkEnd w:id="246"/>
    </w:p>
    <w:p w:rsidR="00992664" w:rsidRPr="00020424" w:rsidRDefault="00992664" w:rsidP="00992664">
      <w:pPr>
        <w:pStyle w:val="libNormal"/>
        <w:rPr>
          <w:rtl/>
          <w:lang w:bidi="fa-IR"/>
        </w:rPr>
      </w:pPr>
      <w:r w:rsidRPr="000E084D">
        <w:rPr>
          <w:rtl/>
        </w:rPr>
        <w:t>6128</w:t>
      </w:r>
      <w:r w:rsidRPr="001155DE">
        <w:rPr>
          <w:rStyle w:val="libBold2Char"/>
          <w:rtl/>
        </w:rPr>
        <w:t xml:space="preserve"> / 1.</w:t>
      </w:r>
      <w:r w:rsidRPr="00020424">
        <w:rPr>
          <w:rtl/>
          <w:lang w:bidi="fa-IR"/>
        </w:rPr>
        <w:t xml:space="preserve"> عَلِيُّ بْنُ إِبْرَاهِيمَ ، عَنْ أَبِيهِ ، عَنِ ابْنِ أَبِي عُمَيْرٍ ، عَنْ مَنْصُورِ بْنِ يُونُسَ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مَكْتُوبٌ عَلى بَابِ الْجَنَّةِ : الصَّدَقَةُ بِعَشَرَةٍ ، وَالْقَرْضُ بِثَمَانِيَةَ </w:t>
      </w:r>
      <w:r w:rsidRPr="00A91B96">
        <w:rPr>
          <w:rStyle w:val="libFootnotenumChar"/>
          <w:rtl/>
        </w:rPr>
        <w:t>(5)</w:t>
      </w:r>
      <w:r w:rsidRPr="00020424">
        <w:rPr>
          <w:rtl/>
          <w:lang w:bidi="fa-IR"/>
        </w:rPr>
        <w:t xml:space="preserve"> عَشَرَ</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DE3E80" w:rsidP="00992664">
      <w:pPr>
        <w:pStyle w:val="libNormal"/>
        <w:rPr>
          <w:rtl/>
          <w:lang w:bidi="fa-IR"/>
        </w:rPr>
      </w:pPr>
      <w:r>
        <w:rPr>
          <w:rFonts w:hint="cs"/>
          <w:rtl/>
          <w:lang w:bidi="fa-IR"/>
        </w:rPr>
        <w:t xml:space="preserve">* </w:t>
      </w:r>
      <w:r w:rsidR="00992664" w:rsidRPr="00020424">
        <w:rPr>
          <w:rtl/>
          <w:lang w:bidi="fa-IR"/>
        </w:rPr>
        <w:t xml:space="preserve">وَفِي رِوَايَةٍ أُخْرى : « بِخَمْسَةَ عَشَرَ </w:t>
      </w:r>
      <w:r w:rsidR="00992664" w:rsidRPr="00A91B96">
        <w:rPr>
          <w:rStyle w:val="libFootnotenumChar"/>
          <w:rtl/>
        </w:rPr>
        <w:t>(7)</w:t>
      </w:r>
      <w:r w:rsidR="00992664">
        <w:rPr>
          <w:rtl/>
          <w:lang w:bidi="fa-IR"/>
        </w:rPr>
        <w:t xml:space="preserve"> ».</w:t>
      </w:r>
      <w:r w:rsidR="00992664" w:rsidRPr="00020424">
        <w:rPr>
          <w:rtl/>
          <w:lang w:bidi="fa-IR"/>
        </w:rPr>
        <w:t xml:space="preserve"> </w:t>
      </w:r>
      <w:r w:rsidR="00992664" w:rsidRPr="00A91B96">
        <w:rPr>
          <w:rStyle w:val="libFootnotenumChar"/>
          <w:rtl/>
        </w:rPr>
        <w:t>(8)</w:t>
      </w:r>
      <w:r w:rsidR="00992664"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DE3E80" w:rsidP="00DE3E80">
      <w:pPr>
        <w:pStyle w:val="libFootnote0"/>
        <w:rPr>
          <w:rtl/>
          <w:lang w:bidi="fa-IR"/>
        </w:rPr>
      </w:pPr>
      <w:r>
        <w:rPr>
          <w:rFonts w:hint="cs"/>
          <w:rtl/>
        </w:rPr>
        <w:t xml:space="preserve">= </w:t>
      </w:r>
      <w:r w:rsidR="00992664" w:rsidRPr="00020424">
        <w:rPr>
          <w:rtl/>
        </w:rPr>
        <w:t>ح 21613.</w:t>
      </w:r>
      <w:r>
        <w:rPr>
          <w:rFonts w:hint="cs"/>
          <w:rtl/>
        </w:rPr>
        <w:t xml:space="preserve">                                              </w:t>
      </w:r>
      <w:r w:rsidR="00795177">
        <w:rPr>
          <w:rtl/>
        </w:rPr>
        <w:t>(1).</w:t>
      </w:r>
      <w:r w:rsidR="0014403D">
        <w:rPr>
          <w:rtl/>
        </w:rPr>
        <w:t xml:space="preserve"> </w:t>
      </w:r>
      <w:r w:rsidR="00992664" w:rsidRPr="00020424">
        <w:rPr>
          <w:rtl/>
        </w:rPr>
        <w:t>في « جن » : « المعروف</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وحاشية « بث » : « فمن</w:t>
      </w:r>
      <w:r w:rsidR="00992664">
        <w:rPr>
          <w:rtl/>
        </w:rPr>
        <w:t xml:space="preserve"> ».</w:t>
      </w:r>
      <w:r w:rsidR="00992664" w:rsidRPr="00020424">
        <w:rPr>
          <w:rtl/>
        </w:rPr>
        <w:t xml:space="preserve"> وفي « بر ، بك » : « ومن</w:t>
      </w:r>
      <w:r w:rsidR="00992664">
        <w:rPr>
          <w:rtl/>
        </w:rPr>
        <w:t xml:space="preserve"> ».</w:t>
      </w:r>
      <w:r w:rsidR="00992664" w:rsidRPr="00020424">
        <w:rPr>
          <w:rtl/>
        </w:rPr>
        <w:t xml:space="preserve"> وفي </w:t>
      </w:r>
      <w:r w:rsidR="00992664" w:rsidRPr="00DE3E80">
        <w:rPr>
          <w:rtl/>
        </w:rPr>
        <w:t>الوافي</w:t>
      </w:r>
      <w:r w:rsidR="00992664" w:rsidRPr="00020424">
        <w:rPr>
          <w:rtl/>
        </w:rPr>
        <w:t xml:space="preserve"> : « من</w:t>
      </w:r>
      <w:r w:rsidR="00992664">
        <w:rPr>
          <w:rtl/>
        </w:rPr>
        <w:t xml:space="preserve"> ».</w:t>
      </w:r>
    </w:p>
    <w:p w:rsidR="00992664" w:rsidRPr="00020424" w:rsidRDefault="00795177" w:rsidP="00DE3E80">
      <w:pPr>
        <w:pStyle w:val="libFootnote0"/>
        <w:rPr>
          <w:rtl/>
          <w:lang w:bidi="fa-IR"/>
        </w:rPr>
      </w:pPr>
      <w:r>
        <w:rPr>
          <w:rtl/>
        </w:rPr>
        <w:t>(3).</w:t>
      </w:r>
      <w:r w:rsidR="0014403D">
        <w:rPr>
          <w:rtl/>
        </w:rPr>
        <w:t xml:space="preserve"> </w:t>
      </w:r>
      <w:r w:rsidR="00992664" w:rsidRPr="00757F3F">
        <w:rPr>
          <w:rStyle w:val="libFootnoteBoldChar"/>
          <w:rtl/>
        </w:rPr>
        <w:t>الأمالي للطوسي</w:t>
      </w:r>
      <w:r w:rsidR="00992664" w:rsidRPr="00020424">
        <w:rPr>
          <w:rtl/>
        </w:rPr>
        <w:t xml:space="preserve"> ، ص 233 ، المجلس 9 ، ح 6 ، بسنده عن إسماعيل بن مسلم السكونيّ ، مع زيادة في أوّله. </w:t>
      </w:r>
      <w:r w:rsidR="00992664" w:rsidRPr="00DE76B9">
        <w:rPr>
          <w:rStyle w:val="libFootnoteBoldChar"/>
          <w:rtl/>
        </w:rPr>
        <w:t>الجعفريّات</w:t>
      </w:r>
      <w:r w:rsidR="00992664" w:rsidRPr="00020424">
        <w:rPr>
          <w:rtl/>
        </w:rPr>
        <w:t xml:space="preserve"> ، ص 152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E3E80" w:rsidRPr="00D64ADA">
        <w:rPr>
          <w:rStyle w:val="libFootnoteAlaemChar"/>
          <w:rtl/>
        </w:rPr>
        <w:t>صلى‌الله‌عليه‌وآله</w:t>
      </w:r>
      <w:r w:rsidR="00DE3E80" w:rsidRPr="00B42914">
        <w:rPr>
          <w:rStyle w:val="libAlaemChar"/>
          <w:rtl/>
        </w:rPr>
        <w:t>‌</w:t>
      </w:r>
      <w:r w:rsidR="00992664" w:rsidRPr="00020424">
        <w:rPr>
          <w:rtl/>
        </w:rPr>
        <w:t xml:space="preserve">. </w:t>
      </w:r>
      <w:r w:rsidR="00992664" w:rsidRPr="00DE76B9">
        <w:rPr>
          <w:rStyle w:val="libFootnoteBoldChar"/>
          <w:rtl/>
        </w:rPr>
        <w:t>تحف العقول</w:t>
      </w:r>
      <w:r w:rsidR="00992664" w:rsidRPr="00020424">
        <w:rPr>
          <w:rtl/>
        </w:rPr>
        <w:t xml:space="preserve"> ، ص 55 ،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وفيهما مع اختلاف يسير </w:t>
      </w:r>
      <w:r w:rsidR="00DE3E80">
        <w:rPr>
          <w:rFonts w:hint="cs"/>
          <w:rtl/>
        </w:rPr>
        <w:t>.</w:t>
      </w:r>
      <w:r w:rsidR="00992664" w:rsidRPr="0012008A">
        <w:rPr>
          <w:rStyle w:val="libFootnoteBoldChar"/>
          <w:rtl/>
        </w:rPr>
        <w:t>الوافي</w:t>
      </w:r>
      <w:r w:rsidR="00992664" w:rsidRPr="00020424">
        <w:rPr>
          <w:rtl/>
        </w:rPr>
        <w:t xml:space="preserve"> ، ج 10 ، ص 462 ، ح 9891 ؛ </w:t>
      </w:r>
      <w:r w:rsidR="00992664" w:rsidRPr="0012008A">
        <w:rPr>
          <w:rStyle w:val="libFootnoteBoldChar"/>
          <w:rtl/>
        </w:rPr>
        <w:t>الوسائل</w:t>
      </w:r>
      <w:r w:rsidR="00992664" w:rsidRPr="00020424">
        <w:rPr>
          <w:rtl/>
        </w:rPr>
        <w:t xml:space="preserve"> ، ج 16 ، ص 309 ، ح 21625.</w:t>
      </w:r>
      <w:r w:rsidR="00DE3E80">
        <w:rPr>
          <w:rFonts w:hint="cs"/>
          <w:rtl/>
        </w:rPr>
        <w:t xml:space="preserve">                                  </w:t>
      </w:r>
      <w:r>
        <w:rPr>
          <w:rtl/>
        </w:rPr>
        <w:t>(4).</w:t>
      </w:r>
      <w:r w:rsidR="0014403D">
        <w:rPr>
          <w:rtl/>
        </w:rPr>
        <w:t xml:space="preserve"> </w:t>
      </w:r>
      <w:r w:rsidR="00992664" w:rsidRPr="00020424">
        <w:rPr>
          <w:rtl/>
        </w:rPr>
        <w:t>في « بف » : « باب فضل القرض على الصدقة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بح » : « ثمانية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الجعفريّات</w:t>
      </w:r>
      <w:r w:rsidR="00992664" w:rsidRPr="00020424">
        <w:rPr>
          <w:rtl/>
        </w:rPr>
        <w:t xml:space="preserve"> ، ص 188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الكافي</w:t>
      </w:r>
      <w:r w:rsidR="00992664" w:rsidRPr="00020424">
        <w:rPr>
          <w:rtl/>
        </w:rPr>
        <w:t xml:space="preserve"> ، كتاب الزكاة ، باب الصدقة على القرابة ، ح 6035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4 ، ص 106 ، ح 302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كلّها مع زيادة في آخره. </w:t>
      </w:r>
      <w:r w:rsidR="00992664" w:rsidRPr="0012008A">
        <w:rPr>
          <w:rStyle w:val="libFootnoteBoldChar"/>
          <w:rtl/>
        </w:rPr>
        <w:t>الفقيه</w:t>
      </w:r>
      <w:r w:rsidR="00992664" w:rsidRPr="00020424">
        <w:rPr>
          <w:rtl/>
        </w:rPr>
        <w:t xml:space="preserve"> ، ج 2 ، ص 58 ، ح 1697 ، مرسلاً. </w:t>
      </w:r>
      <w:r w:rsidR="00992664" w:rsidRPr="00DE76B9">
        <w:rPr>
          <w:rStyle w:val="libFootnoteBoldChar"/>
          <w:rtl/>
        </w:rPr>
        <w:t>وفيه</w:t>
      </w:r>
      <w:r w:rsidR="00992664" w:rsidRPr="00020424">
        <w:rPr>
          <w:rtl/>
        </w:rPr>
        <w:t xml:space="preserve"> ، ص 67 ، ح 1738 ؛ </w:t>
      </w:r>
      <w:r w:rsidR="00992664" w:rsidRPr="00DE3E80">
        <w:rPr>
          <w:rStyle w:val="libFootnoteBoldChar"/>
          <w:rtl/>
        </w:rPr>
        <w:t>والمقنعة</w:t>
      </w:r>
      <w:r w:rsidR="00992664" w:rsidRPr="00020424">
        <w:rPr>
          <w:rtl/>
        </w:rPr>
        <w:t xml:space="preserve"> ، ص 262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 مع اختلاف يسير </w:t>
      </w:r>
      <w:r w:rsidR="00DE3E80">
        <w:rPr>
          <w:rFonts w:hint="cs"/>
          <w:rtl/>
        </w:rPr>
        <w:t>.</w:t>
      </w:r>
      <w:r w:rsidR="00992664" w:rsidRPr="0012008A">
        <w:rPr>
          <w:rStyle w:val="libFootnoteBoldChar"/>
          <w:rtl/>
        </w:rPr>
        <w:t>الوافي</w:t>
      </w:r>
      <w:r w:rsidR="00992664" w:rsidRPr="00020424">
        <w:rPr>
          <w:rtl/>
        </w:rPr>
        <w:t xml:space="preserve"> ، ج 10 ، ص 463 ، ح 9894 ؛ </w:t>
      </w:r>
      <w:r w:rsidR="00992664" w:rsidRPr="0012008A">
        <w:rPr>
          <w:rStyle w:val="libFootnoteBoldChar"/>
          <w:rtl/>
        </w:rPr>
        <w:t>الوسائل</w:t>
      </w:r>
      <w:r w:rsidR="00992664" w:rsidRPr="00020424">
        <w:rPr>
          <w:rtl/>
        </w:rPr>
        <w:t xml:space="preserve"> ، ج 16 ، ص 318 ، ح 21651.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قال في </w:t>
      </w:r>
      <w:r w:rsidR="00992664" w:rsidRPr="0012008A">
        <w:rPr>
          <w:rStyle w:val="libFootnoteBoldChar"/>
          <w:rtl/>
        </w:rPr>
        <w:t>الوافي</w:t>
      </w:r>
      <w:r w:rsidR="00992664" w:rsidRPr="00020424">
        <w:rPr>
          <w:rtl/>
        </w:rPr>
        <w:t xml:space="preserve"> : « وذلك لأنّه ضعفها في الثواب ، والحسنة بعشرة أضعافها ، ولو لم يستردّ يكون عشرين وحيث استردّ نقص اثنان على الرواية الا</w:t>
      </w:r>
      <w:r w:rsidR="00DE3E80">
        <w:rPr>
          <w:rFonts w:hint="cs"/>
          <w:rtl/>
        </w:rPr>
        <w:t>ُ</w:t>
      </w:r>
      <w:r w:rsidR="00992664" w:rsidRPr="00020424">
        <w:rPr>
          <w:rtl/>
        </w:rPr>
        <w:t>ولى ونصف العشرة على الثانية ، والوجه في التضعيف أنّ الصدقة تقع في يد المحتاج وغير المحتاج</w:t>
      </w:r>
      <w:r w:rsidR="00DE3E80">
        <w:rPr>
          <w:rtl/>
        </w:rPr>
        <w:t xml:space="preserve"> ، ولا يتحمّل ذلّ الاستقراض إل</w:t>
      </w:r>
      <w:r w:rsidR="00DE3E80">
        <w:rPr>
          <w:rFonts w:hint="cs"/>
          <w:rtl/>
        </w:rPr>
        <w:t>ّ</w:t>
      </w:r>
      <w:r w:rsidR="00DE3E80">
        <w:rPr>
          <w:rtl/>
        </w:rPr>
        <w:t>ا</w:t>
      </w:r>
      <w:r w:rsidR="00992664">
        <w:rPr>
          <w:rFonts w:hint="cs"/>
          <w:rtl/>
        </w:rPr>
        <w:t xml:space="preserve"> </w:t>
      </w:r>
      <w:r w:rsidR="00992664" w:rsidRPr="00020424">
        <w:rPr>
          <w:rtl/>
        </w:rPr>
        <w:t xml:space="preserve">المحتاج ، كذا قيل » ، ثمّ عدّ إمكان التكرار في القرض دون التصدّق من أحد أسباب فضله عليه. راجع : </w:t>
      </w:r>
      <w:r w:rsidR="00992664" w:rsidRPr="00DE76B9">
        <w:rPr>
          <w:rStyle w:val="libFootnoteBoldChar"/>
          <w:rtl/>
        </w:rPr>
        <w:t>الدروس</w:t>
      </w:r>
      <w:r w:rsidR="00992664" w:rsidRPr="00020424">
        <w:rPr>
          <w:rtl/>
        </w:rPr>
        <w:t xml:space="preserve"> ، ج 3 ، ص 318.</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463 ، ح 9895 ؛ </w:t>
      </w:r>
      <w:r w:rsidR="00992664" w:rsidRPr="0012008A">
        <w:rPr>
          <w:rStyle w:val="libFootnoteBoldChar"/>
          <w:rtl/>
        </w:rPr>
        <w:t>الوسائل</w:t>
      </w:r>
      <w:r w:rsidR="00992664" w:rsidRPr="00020424">
        <w:rPr>
          <w:rtl/>
        </w:rPr>
        <w:t xml:space="preserve"> ، ج 16 ، ص 318 ، ح 21652.</w:t>
      </w:r>
    </w:p>
    <w:p w:rsidR="00795177" w:rsidRDefault="00795177" w:rsidP="00795177">
      <w:pPr>
        <w:pStyle w:val="libNormal"/>
        <w:rPr>
          <w:rtl/>
          <w:lang w:bidi="fa-IR"/>
        </w:rPr>
      </w:pPr>
      <w:r>
        <w:rPr>
          <w:rtl/>
          <w:lang w:bidi="fa-IR"/>
        </w:rPr>
        <w:br w:type="page"/>
      </w:r>
    </w:p>
    <w:p w:rsidR="00DE3E80" w:rsidRDefault="00992664" w:rsidP="00DE3E80">
      <w:pPr>
        <w:pStyle w:val="libNormal"/>
        <w:rPr>
          <w:rtl/>
          <w:lang w:bidi="fa-IR"/>
        </w:rPr>
      </w:pPr>
      <w:r w:rsidRPr="000E084D">
        <w:rPr>
          <w:rtl/>
        </w:rPr>
        <w:t>6129</w:t>
      </w:r>
      <w:r w:rsidRPr="001155DE">
        <w:rPr>
          <w:rStyle w:val="libBold2Char"/>
          <w:rtl/>
        </w:rPr>
        <w:t xml:space="preserve"> / 2.</w:t>
      </w:r>
      <w:r w:rsidRPr="00020424">
        <w:rPr>
          <w:rtl/>
          <w:lang w:bidi="fa-IR"/>
        </w:rPr>
        <w:t xml:space="preserve"> عَلِيُّ بْنُ إِبْرَاهِيمَ </w:t>
      </w:r>
      <w:r w:rsidRPr="00A91B96">
        <w:rPr>
          <w:rStyle w:val="libFootnotenumChar"/>
          <w:rtl/>
        </w:rPr>
        <w:t>(1)</w:t>
      </w:r>
      <w:r w:rsidRPr="00020424">
        <w:rPr>
          <w:rtl/>
          <w:lang w:bidi="fa-IR"/>
        </w:rPr>
        <w:t xml:space="preserve"> ، عَنْ أَبِيهِ ؛</w:t>
      </w:r>
    </w:p>
    <w:p w:rsidR="00992664" w:rsidRPr="00020424" w:rsidRDefault="00DE3E80" w:rsidP="00DE3E80">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حَمَّادٍ ، عَنْ رِبْعِيِّ بْنِ عَبْدِ اللهِ ، عَنْ فُضَيْلِ بْنِ يَسَارٍ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مَا مِنْ مُؤْمِنٍ أَقْرَضَ مُؤْمِناً يَل</w:t>
      </w:r>
      <w:r w:rsidR="00DE3E80">
        <w:rPr>
          <w:rtl/>
          <w:lang w:bidi="fa-IR"/>
        </w:rPr>
        <w:t>ْتَمِسُ بِهِ وَجْهَ اللهِ إِل</w:t>
      </w:r>
      <w:r w:rsidR="00DE3E80">
        <w:rPr>
          <w:rFonts w:hint="cs"/>
          <w:rtl/>
          <w:lang w:bidi="fa-IR"/>
        </w:rPr>
        <w:t>َّ</w:t>
      </w:r>
      <w:r w:rsidR="00DE3E80">
        <w:rPr>
          <w:rtl/>
          <w:lang w:bidi="fa-IR"/>
        </w:rPr>
        <w:t>ا</w:t>
      </w:r>
      <w:r w:rsidRPr="00020424">
        <w:rPr>
          <w:rtl/>
          <w:lang w:bidi="fa-IR"/>
        </w:rPr>
        <w:t xml:space="preserve"> حَسَبَ اللهُ </w:t>
      </w:r>
      <w:r w:rsidRPr="00A91B96">
        <w:rPr>
          <w:rStyle w:val="libFootnotenumChar"/>
          <w:rtl/>
        </w:rPr>
        <w:t>(2)</w:t>
      </w:r>
      <w:r w:rsidRPr="00020424">
        <w:rPr>
          <w:rtl/>
          <w:lang w:bidi="fa-IR"/>
        </w:rPr>
        <w:t xml:space="preserve"> لَهُ أَجْرَهُ </w:t>
      </w:r>
      <w:r w:rsidRPr="00A91B96">
        <w:rPr>
          <w:rStyle w:val="libFootnotenumChar"/>
          <w:rtl/>
        </w:rPr>
        <w:t>(3)</w:t>
      </w:r>
      <w:r w:rsidRPr="00020424">
        <w:rPr>
          <w:rtl/>
          <w:lang w:bidi="fa-IR"/>
        </w:rPr>
        <w:t xml:space="preserve"> بِحِسَابِ </w:t>
      </w:r>
      <w:r w:rsidRPr="00A91B96">
        <w:rPr>
          <w:rStyle w:val="libFootnotenumChar"/>
          <w:rtl/>
        </w:rPr>
        <w:t>(4)</w:t>
      </w:r>
      <w:r w:rsidRPr="00020424">
        <w:rPr>
          <w:rtl/>
          <w:lang w:bidi="fa-IR"/>
        </w:rPr>
        <w:t xml:space="preserve"> الصَّدَقَةِ حَتّى يَرْجِعَ إِلَيْهِ مَالُهُ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Normal"/>
        <w:rPr>
          <w:rtl/>
          <w:lang w:bidi="fa-IR"/>
        </w:rPr>
      </w:pPr>
      <w:r w:rsidRPr="000E084D">
        <w:rPr>
          <w:rtl/>
        </w:rPr>
        <w:t>6130</w:t>
      </w:r>
      <w:r w:rsidRPr="001155DE">
        <w:rPr>
          <w:rStyle w:val="libBold2Char"/>
          <w:rtl/>
        </w:rPr>
        <w:t xml:space="preserve"> / 3.</w:t>
      </w:r>
      <w:r w:rsidRPr="00020424">
        <w:rPr>
          <w:rtl/>
          <w:lang w:bidi="fa-IR"/>
        </w:rPr>
        <w:t xml:space="preserve"> عَلِيُّ بْنُ إِبْرَاهِيمَ ، عَنْ أَبِيهِ ، عَنِ ابْنِ أَبِي عُمَيْرٍ ، عَنْ إِبْرَاهِيمَ بْنِ عَبْدِ الْحَمِيدِ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قَوْلِهِ </w:t>
      </w:r>
      <w:r w:rsidRPr="00A91B96">
        <w:rPr>
          <w:rStyle w:val="libFootnotenumChar"/>
          <w:rtl/>
        </w:rPr>
        <w:t>(7)</w:t>
      </w:r>
      <w:r w:rsidRPr="00020424">
        <w:rPr>
          <w:rtl/>
          <w:lang w:bidi="fa-IR"/>
        </w:rPr>
        <w:t xml:space="preserve"> عزّوجلّ : </w:t>
      </w:r>
      <w:r w:rsidRPr="00005A81">
        <w:rPr>
          <w:rStyle w:val="libAlaemChar"/>
          <w:rtl/>
        </w:rPr>
        <w:t>(</w:t>
      </w:r>
      <w:r w:rsidRPr="004E5AB4">
        <w:rPr>
          <w:rStyle w:val="libAieChar"/>
          <w:rtl/>
        </w:rPr>
        <w:t xml:space="preserve"> ل</w:t>
      </w:r>
      <w:r w:rsidR="00DE3E80">
        <w:rPr>
          <w:rStyle w:val="libAieChar"/>
          <w:rFonts w:hint="cs"/>
          <w:rtl/>
        </w:rPr>
        <w:t>َ</w:t>
      </w:r>
      <w:r w:rsidRPr="004E5AB4">
        <w:rPr>
          <w:rStyle w:val="libAieChar"/>
          <w:rtl/>
        </w:rPr>
        <w:t>ا خَيْرَ ف</w:t>
      </w:r>
      <w:r w:rsidR="00DE3E80">
        <w:rPr>
          <w:rStyle w:val="libAieChar"/>
          <w:rtl/>
        </w:rPr>
        <w:t>ِي كَثِيرٍ مِنْ نَجْواهُمْ إِل</w:t>
      </w:r>
      <w:r w:rsidR="00DE3E80">
        <w:rPr>
          <w:rStyle w:val="libAieChar"/>
          <w:rFonts w:hint="cs"/>
          <w:rtl/>
        </w:rPr>
        <w:t>َّا</w:t>
      </w:r>
      <w:r w:rsidRPr="004E5AB4">
        <w:rPr>
          <w:rStyle w:val="libAieChar"/>
          <w:rtl/>
        </w:rPr>
        <w:t xml:space="preserve"> مَنْ أَمَرَ بِصَدَقَةٍ أَوْ مَعْرُوفٍ </w:t>
      </w:r>
      <w:r w:rsidRPr="00005A81">
        <w:rPr>
          <w:rStyle w:val="libAlaemChar"/>
          <w:rtl/>
        </w:rPr>
        <w:t>)</w:t>
      </w:r>
      <w:r w:rsidRPr="00020424">
        <w:rPr>
          <w:rtl/>
          <w:lang w:bidi="fa-IR"/>
        </w:rPr>
        <w:t xml:space="preserve"> </w:t>
      </w:r>
      <w:r w:rsidRPr="00A91B96">
        <w:rPr>
          <w:rStyle w:val="libFootnotenumChar"/>
          <w:rtl/>
        </w:rPr>
        <w:t>(8)</w:t>
      </w:r>
      <w:r w:rsidRPr="00020424">
        <w:rPr>
          <w:rtl/>
          <w:lang w:bidi="fa-IR"/>
        </w:rPr>
        <w:t xml:space="preserve"> قَالَ : « يَعْنِي بِالْمَعْرُوفِ الْقَرْضَ</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E084D">
        <w:rPr>
          <w:rtl/>
        </w:rPr>
        <w:t>6131</w:t>
      </w:r>
      <w:r w:rsidRPr="001155DE">
        <w:rPr>
          <w:rStyle w:val="libBold2Char"/>
          <w:rtl/>
        </w:rPr>
        <w:t xml:space="preserve"> / 4.</w:t>
      </w:r>
      <w:r w:rsidRPr="00020424">
        <w:rPr>
          <w:rtl/>
          <w:lang w:bidi="fa-IR"/>
        </w:rPr>
        <w:t xml:space="preserve"> عِدَّةٌ مِنْ أَصْحَابِنَا ، عَنْ سَهْلِ بْنِ زِيَادٍ ، عَنْ أَحْمَدَ بْنِ الْحَسَنِ بْنِ عَلِيٍّ ، عَنْ أَبِيهِ ، عَنْ عُقْبَةَ بْنِ خَالِدٍ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بخ ، بك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بك » </w:t>
      </w:r>
      <w:r w:rsidR="00992664" w:rsidRPr="00FD6221">
        <w:rPr>
          <w:rStyle w:val="libFootnoteBoldChar"/>
          <w:rtl/>
        </w:rPr>
        <w:t>والفقيه</w:t>
      </w:r>
      <w:r w:rsidR="00992664" w:rsidRPr="00020424">
        <w:rPr>
          <w:rtl/>
        </w:rPr>
        <w:t xml:space="preserve"> : « أجرها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بحسب</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بخ ، بر ، بف ، بك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ماله إليه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يعني أعطاه الله في كلّ آن أجر صدقة ، وذلك لأنّ له اقتضاءه في كلّ آن ، فلمّا لم يفعل فكأنّما أعطاه ثانياً وثالثاً ، وهلمّ جرّاً إلى أن يقبضه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ثواب الأعمال</w:t>
      </w:r>
      <w:r w:rsidR="00992664" w:rsidRPr="00020424">
        <w:rPr>
          <w:rtl/>
        </w:rPr>
        <w:t xml:space="preserve"> ، ص 166 ، ح 2 ، بسنده عن الفضيل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المؤمن</w:t>
      </w:r>
      <w:r w:rsidR="00992664" w:rsidRPr="00020424">
        <w:rPr>
          <w:rtl/>
        </w:rPr>
        <w:t xml:space="preserve"> ، ص 54 ، ح 140 ، مع زيادة في آخره ؛ </w:t>
      </w:r>
      <w:r w:rsidR="00992664" w:rsidRPr="00DE76B9">
        <w:rPr>
          <w:rStyle w:val="libFootnoteBoldChar"/>
          <w:rtl/>
        </w:rPr>
        <w:t>الاختصاص</w:t>
      </w:r>
      <w:r w:rsidR="00992664" w:rsidRPr="00020424">
        <w:rPr>
          <w:rtl/>
        </w:rPr>
        <w:t xml:space="preserve"> ، ص 27 ، ضمن الحديث ، وفي الأخيرين مرسلاً إلى قوله : « له أجره بحساب الصدقة</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ج 2 ، ص 58 ، ح 1699 ، مرسلاً من دون التصريح باسم المعصوم </w:t>
      </w:r>
      <w:r w:rsidR="00992664" w:rsidRPr="00D64ADA">
        <w:rPr>
          <w:rStyle w:val="libFootnoteAlaemChar"/>
          <w:rtl/>
        </w:rPr>
        <w:t>عليه‌السلام</w:t>
      </w:r>
      <w:r w:rsidR="00992664" w:rsidRPr="00020424">
        <w:rPr>
          <w:rtl/>
        </w:rPr>
        <w:t xml:space="preserve"> </w:t>
      </w:r>
      <w:r w:rsidR="006C7A1F">
        <w:rPr>
          <w:rFonts w:hint="cs"/>
          <w:rtl/>
        </w:rPr>
        <w:t>.</w:t>
      </w:r>
      <w:r w:rsidR="00992664" w:rsidRPr="0012008A">
        <w:rPr>
          <w:rStyle w:val="libFootnoteBoldChar"/>
          <w:rtl/>
        </w:rPr>
        <w:t>الوافي</w:t>
      </w:r>
      <w:r w:rsidR="00992664" w:rsidRPr="00020424">
        <w:rPr>
          <w:rtl/>
        </w:rPr>
        <w:t xml:space="preserve"> ، ج 10 ، ص 464 ، ح 9897 ؛ </w:t>
      </w:r>
      <w:r w:rsidR="00992664" w:rsidRPr="0012008A">
        <w:rPr>
          <w:rStyle w:val="libFootnoteBoldChar"/>
          <w:rtl/>
        </w:rPr>
        <w:t>الوسائل</w:t>
      </w:r>
      <w:r w:rsidR="00992664" w:rsidRPr="00020424">
        <w:rPr>
          <w:rtl/>
        </w:rPr>
        <w:t xml:space="preserve"> ، ج 16 ، ص 318 ، ح 21650.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بح ، بس » </w:t>
      </w:r>
      <w:r w:rsidR="00992664" w:rsidRPr="006C7A1F">
        <w:rPr>
          <w:rtl/>
        </w:rPr>
        <w:t>والوسائل والفقيه</w:t>
      </w:r>
      <w:r w:rsidR="00992664" w:rsidRPr="00020424">
        <w:rPr>
          <w:rtl/>
        </w:rPr>
        <w:t xml:space="preserve"> : « في قول 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النساء </w:t>
      </w:r>
      <w:r w:rsidR="006C7A1F">
        <w:rPr>
          <w:rtl/>
        </w:rPr>
        <w:t>(4)</w:t>
      </w:r>
      <w:r w:rsidR="0014403D">
        <w:rPr>
          <w:rtl/>
        </w:rPr>
        <w:t xml:space="preserve"> </w:t>
      </w:r>
      <w:r w:rsidR="00992664" w:rsidRPr="00020424">
        <w:rPr>
          <w:rtl/>
        </w:rPr>
        <w:t xml:space="preserve">: 114. وفي « بث » </w:t>
      </w:r>
      <w:r w:rsidR="00992664" w:rsidRPr="00FD6221">
        <w:rPr>
          <w:rStyle w:val="libFootnoteBoldChar"/>
          <w:rtl/>
        </w:rPr>
        <w:t>والفقيه</w:t>
      </w:r>
      <w:r w:rsidR="00992664" w:rsidRPr="00020424">
        <w:rPr>
          <w:rtl/>
        </w:rPr>
        <w:t xml:space="preserve"> وتفسير العيّاشي : + « أَوْ إِصْل</w:t>
      </w:r>
      <w:r w:rsidR="006C7A1F">
        <w:rPr>
          <w:rFonts w:hint="cs"/>
          <w:rtl/>
        </w:rPr>
        <w:t>َ</w:t>
      </w:r>
      <w:r w:rsidR="00992664" w:rsidRPr="00020424">
        <w:rPr>
          <w:rtl/>
        </w:rPr>
        <w:t>حِ بَيْنَ النَّاسِ</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تفسير العيّاشي</w:t>
      </w:r>
      <w:r w:rsidR="00992664" w:rsidRPr="00020424">
        <w:rPr>
          <w:rtl/>
        </w:rPr>
        <w:t xml:space="preserve"> ، ج 1 ، ص 275 ، ح 271 ، عن إبراهيم بن عبدالحميد ، عن بعض القمّيين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58 ، ح 1698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3 ، ص 188 ، ح 3706 ، مرسلاً </w:t>
      </w:r>
      <w:r w:rsidR="006C7A1F">
        <w:rPr>
          <w:rFonts w:hint="cs"/>
          <w:rtl/>
        </w:rPr>
        <w:t>.</w:t>
      </w:r>
      <w:r w:rsidR="00992664" w:rsidRPr="0012008A">
        <w:rPr>
          <w:rStyle w:val="libFootnoteBoldChar"/>
          <w:rtl/>
        </w:rPr>
        <w:t>الوافي</w:t>
      </w:r>
      <w:r w:rsidR="00992664" w:rsidRPr="00020424">
        <w:rPr>
          <w:rtl/>
        </w:rPr>
        <w:t xml:space="preserve"> ، ج 10 ، ص 465 ، ح 9898 ؛ </w:t>
      </w:r>
      <w:r w:rsidR="00992664" w:rsidRPr="0012008A">
        <w:rPr>
          <w:rStyle w:val="libFootnoteBoldChar"/>
          <w:rtl/>
        </w:rPr>
        <w:t>الوسائل</w:t>
      </w:r>
      <w:r w:rsidR="00992664" w:rsidRPr="00020424">
        <w:rPr>
          <w:rtl/>
        </w:rPr>
        <w:t xml:space="preserve"> ، ج 16 ، ص 317 ، ح 21649.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دَخَلْتُ أَنَا وَالْمُعَلّى وَعُثْمَانُ بْنُ عِمْرَانَ </w:t>
      </w:r>
      <w:r w:rsidRPr="00A91B96">
        <w:rPr>
          <w:rStyle w:val="libFootnotenumChar"/>
          <w:rtl/>
        </w:rPr>
        <w:t>(1)</w:t>
      </w:r>
      <w:r w:rsidRPr="00020424">
        <w:rPr>
          <w:rtl/>
          <w:lang w:bidi="fa-IR"/>
        </w:rPr>
        <w:t xml:space="preserve"> عَلى أَبِي عَبْدِ اللهِ </w:t>
      </w:r>
      <w:r w:rsidRPr="00005A81">
        <w:rPr>
          <w:rStyle w:val="libAlaemChar"/>
          <w:rtl/>
        </w:rPr>
        <w:t>عليه‌السلام</w:t>
      </w:r>
      <w:r w:rsidRPr="00020424">
        <w:rPr>
          <w:rtl/>
          <w:lang w:bidi="fa-IR"/>
        </w:rPr>
        <w:t xml:space="preserve"> ، فَلَمَّا رَآنَا ، قَالَ :</w:t>
      </w:r>
      <w:r>
        <w:rPr>
          <w:rFonts w:hint="cs"/>
          <w:rtl/>
          <w:lang w:bidi="fa-IR"/>
        </w:rPr>
        <w:t xml:space="preserve"> </w:t>
      </w:r>
      <w:r w:rsidRPr="00020424">
        <w:rPr>
          <w:rtl/>
          <w:lang w:bidi="fa-IR"/>
        </w:rPr>
        <w:t xml:space="preserve">« مَرْحَباً مَرْحَباً </w:t>
      </w:r>
      <w:r w:rsidRPr="00A91B96">
        <w:rPr>
          <w:rStyle w:val="libFootnotenumChar"/>
          <w:rtl/>
        </w:rPr>
        <w:t>(2)</w:t>
      </w:r>
      <w:r w:rsidRPr="00020424">
        <w:rPr>
          <w:rtl/>
          <w:lang w:bidi="fa-IR"/>
        </w:rPr>
        <w:t xml:space="preserve"> بِكُمْ ، وُجُوهٌ </w:t>
      </w:r>
      <w:r w:rsidRPr="00A91B96">
        <w:rPr>
          <w:rStyle w:val="libFootnotenumChar"/>
          <w:rtl/>
        </w:rPr>
        <w:t>(3)</w:t>
      </w:r>
      <w:r w:rsidRPr="00020424">
        <w:rPr>
          <w:rtl/>
          <w:lang w:bidi="fa-IR"/>
        </w:rPr>
        <w:t xml:space="preserve"> تُحِبُّنَا وَنُحِبُّهَا ، جَعَلَكُمُ اللهُ مَعَنَا فِي الدُّنْيَا وَالْآخِرَةِ</w:t>
      </w:r>
      <w:r>
        <w:rPr>
          <w:rtl/>
          <w:lang w:bidi="fa-IR"/>
        </w:rPr>
        <w:t xml:space="preserve"> ».</w:t>
      </w:r>
      <w:r>
        <w:rPr>
          <w:rFonts w:hint="cs"/>
          <w:rtl/>
          <w:lang w:bidi="fa-IR"/>
        </w:rPr>
        <w:t xml:space="preserve"> </w:t>
      </w:r>
      <w:r w:rsidRPr="00020424">
        <w:rPr>
          <w:rtl/>
          <w:lang w:bidi="fa-IR"/>
        </w:rPr>
        <w:t xml:space="preserve">فَقَالَ لَهُ عُثْمَانُ : جُعِلْتُ فِدَاكَ ، فَقَالَ لَهُ أَبُو عَبْدِ اللهِ </w:t>
      </w:r>
      <w:r w:rsidRPr="00005A81">
        <w:rPr>
          <w:rStyle w:val="libAlaemChar"/>
          <w:rtl/>
        </w:rPr>
        <w:t>عليه‌السلام</w:t>
      </w:r>
      <w:r w:rsidRPr="00020424">
        <w:rPr>
          <w:rtl/>
          <w:lang w:bidi="fa-IR"/>
        </w:rPr>
        <w:t xml:space="preserve"> : « نَعَمْ ، مَهْ </w:t>
      </w:r>
      <w:r w:rsidRPr="00A91B96">
        <w:rPr>
          <w:rStyle w:val="libFootnotenumChar"/>
          <w:rtl/>
        </w:rPr>
        <w:t>(4)</w:t>
      </w:r>
      <w:r w:rsidRPr="00020424">
        <w:rPr>
          <w:rtl/>
          <w:lang w:bidi="fa-IR"/>
        </w:rPr>
        <w:t xml:space="preserve"> » قَالَ : إِنِّي رَجُلٌ مُوسِرٌ ، فَقَالَ لَهُ : « بَارَكَ اللهُ لَكَ فِي يَسَارِكَ » قَالَ : وَيَجِي‌ءُ </w:t>
      </w:r>
      <w:r w:rsidRPr="00A91B96">
        <w:rPr>
          <w:rStyle w:val="libFootnotenumChar"/>
          <w:rtl/>
        </w:rPr>
        <w:t>(5)</w:t>
      </w:r>
      <w:r w:rsidRPr="00020424">
        <w:rPr>
          <w:rtl/>
          <w:lang w:bidi="fa-IR"/>
        </w:rPr>
        <w:t xml:space="preserve"> الرَّجُلُ </w:t>
      </w:r>
      <w:r w:rsidRPr="00A91B96">
        <w:rPr>
          <w:rStyle w:val="libFootnotenumChar"/>
          <w:rtl/>
        </w:rPr>
        <w:t>(6)</w:t>
      </w:r>
      <w:r w:rsidRPr="00020424">
        <w:rPr>
          <w:rtl/>
          <w:lang w:bidi="fa-IR"/>
        </w:rPr>
        <w:t xml:space="preserve"> ، فَيَسْأَلُنِي </w:t>
      </w:r>
      <w:r w:rsidRPr="00A91B96">
        <w:rPr>
          <w:rStyle w:val="libFootnotenumChar"/>
          <w:rtl/>
        </w:rPr>
        <w:t>(7)</w:t>
      </w:r>
      <w:r w:rsidRPr="00020424">
        <w:rPr>
          <w:rtl/>
          <w:lang w:bidi="fa-IR"/>
        </w:rPr>
        <w:t xml:space="preserve"> الشَّيْ‌ءَ </w:t>
      </w:r>
      <w:r w:rsidRPr="00A91B96">
        <w:rPr>
          <w:rStyle w:val="libFootnotenumChar"/>
          <w:rtl/>
        </w:rPr>
        <w:t>(8)</w:t>
      </w:r>
      <w:r w:rsidRPr="00020424">
        <w:rPr>
          <w:rtl/>
          <w:lang w:bidi="fa-IR"/>
        </w:rPr>
        <w:t xml:space="preserve"> وَلَيْسَ هُوَ إِبَّانَ </w:t>
      </w:r>
      <w:r w:rsidRPr="00A91B96">
        <w:rPr>
          <w:rStyle w:val="libFootnotenumChar"/>
          <w:rtl/>
        </w:rPr>
        <w:t>(9)</w:t>
      </w:r>
      <w:r w:rsidRPr="00020424">
        <w:rPr>
          <w:rtl/>
          <w:lang w:bidi="fa-IR"/>
        </w:rPr>
        <w:t xml:space="preserve"> زَكَاتِي</w:t>
      </w:r>
      <w:r>
        <w:rPr>
          <w:rtl/>
          <w:lang w:bidi="fa-IR"/>
        </w:rPr>
        <w:t>؟</w:t>
      </w:r>
    </w:p>
    <w:p w:rsidR="00992664" w:rsidRPr="00020424" w:rsidRDefault="00992664" w:rsidP="00992664">
      <w:pPr>
        <w:pStyle w:val="libNormal"/>
        <w:rPr>
          <w:rtl/>
          <w:lang w:bidi="fa-IR"/>
        </w:rPr>
      </w:pPr>
      <w:r w:rsidRPr="00020424">
        <w:rPr>
          <w:rtl/>
          <w:lang w:bidi="fa-IR"/>
        </w:rPr>
        <w:t xml:space="preserve">فَقَالَ لَهُ </w:t>
      </w:r>
      <w:r w:rsidRPr="00A91B96">
        <w:rPr>
          <w:rStyle w:val="libFootnotenumChar"/>
          <w:rtl/>
        </w:rPr>
        <w:t>(10)</w:t>
      </w:r>
      <w:r w:rsidRPr="00020424">
        <w:rPr>
          <w:rtl/>
          <w:lang w:bidi="fa-IR"/>
        </w:rPr>
        <w:t xml:space="preserve"> أَبُو عَبْدِ اللهِ </w:t>
      </w:r>
      <w:r w:rsidRPr="00005A81">
        <w:rPr>
          <w:rStyle w:val="libAlaemChar"/>
          <w:rtl/>
        </w:rPr>
        <w:t>عليه‌السلام</w:t>
      </w:r>
      <w:r w:rsidRPr="00020424">
        <w:rPr>
          <w:rtl/>
          <w:lang w:bidi="fa-IR"/>
        </w:rPr>
        <w:t xml:space="preserve"> : « الْقَرْضُ عِنْدَنَا بِثَمَانِيَةَ عَشَرَ ، وَالصَّدَقَةُ بِعَشَرَةٍ </w:t>
      </w:r>
      <w:r w:rsidRPr="00A91B96">
        <w:rPr>
          <w:rStyle w:val="libFootnotenumChar"/>
          <w:rtl/>
        </w:rPr>
        <w:t>(11)</w:t>
      </w:r>
      <w:r w:rsidRPr="00020424">
        <w:rPr>
          <w:rtl/>
          <w:lang w:bidi="fa-IR"/>
        </w:rPr>
        <w:t xml:space="preserve"> ، وَمَاذَا عَلَيْكَ إِذَا كُنْتَ</w:t>
      </w:r>
      <w:r>
        <w:rPr>
          <w:rtl/>
          <w:lang w:bidi="fa-IR"/>
        </w:rPr>
        <w:t xml:space="preserve"> </w:t>
      </w:r>
      <w:r w:rsidR="009B673F">
        <w:rPr>
          <w:rtl/>
          <w:lang w:bidi="fa-IR"/>
        </w:rPr>
        <w:t>-</w:t>
      </w:r>
      <w:r>
        <w:rPr>
          <w:rtl/>
          <w:lang w:bidi="fa-IR"/>
        </w:rPr>
        <w:t xml:space="preserve"> </w:t>
      </w:r>
      <w:r w:rsidRPr="00020424">
        <w:rPr>
          <w:rtl/>
          <w:lang w:bidi="fa-IR"/>
        </w:rPr>
        <w:t>كَمَا تَقُولُ</w:t>
      </w:r>
      <w:r>
        <w:rPr>
          <w:rtl/>
          <w:lang w:bidi="fa-IR"/>
        </w:rPr>
        <w:t xml:space="preserve"> </w:t>
      </w:r>
      <w:r w:rsidR="009B673F">
        <w:rPr>
          <w:rtl/>
          <w:lang w:bidi="fa-IR"/>
        </w:rPr>
        <w:t>-</w:t>
      </w:r>
      <w:r>
        <w:rPr>
          <w:rtl/>
          <w:lang w:bidi="fa-IR"/>
        </w:rPr>
        <w:t xml:space="preserve"> </w:t>
      </w:r>
      <w:r w:rsidRPr="00020424">
        <w:rPr>
          <w:rtl/>
          <w:lang w:bidi="fa-IR"/>
        </w:rPr>
        <w:t>مُوسِراً أَعْطَيْتَهُ</w:t>
      </w:r>
      <w:r>
        <w:rPr>
          <w:rtl/>
          <w:lang w:bidi="fa-IR"/>
        </w:rPr>
        <w:t>؟</w:t>
      </w:r>
      <w:r w:rsidRPr="00020424">
        <w:rPr>
          <w:rtl/>
          <w:lang w:bidi="fa-IR"/>
        </w:rPr>
        <w:t xml:space="preserve"> فَإِذَا كَانَ إِبَّانُ </w:t>
      </w:r>
      <w:r w:rsidRPr="00A91B96">
        <w:rPr>
          <w:rStyle w:val="libFootnotenumChar"/>
          <w:rtl/>
        </w:rPr>
        <w:t>(12)</w:t>
      </w:r>
      <w:r w:rsidRPr="00020424">
        <w:rPr>
          <w:rtl/>
          <w:lang w:bidi="fa-IR"/>
        </w:rPr>
        <w:t xml:space="preserve"> زَكَاتِكَ ، احْتَسَبْتَ </w:t>
      </w:r>
      <w:r w:rsidRPr="00A91B96">
        <w:rPr>
          <w:rStyle w:val="libFootnotenumChar"/>
          <w:rtl/>
        </w:rPr>
        <w:t>(13)</w:t>
      </w:r>
      <w:r w:rsidRPr="00020424">
        <w:rPr>
          <w:rtl/>
          <w:lang w:bidi="fa-IR"/>
        </w:rPr>
        <w:t xml:space="preserve"> بِهَا مِنَ الزَّكَاةِ. يَا عُثْمَانُ ، لَاتَرُدَّهُ ؛ فَإِنَّ رَدَّهُ عِنْدَ اللهِ عَظِيمٌ ؛ يَا عُثْمَانُ ، إِنَّكَ لَوْ عَلِمْتَ مَا مَنْزِلَةُ الْمُؤْمِنِ مِنْ رَبِّهِ </w:t>
      </w:r>
      <w:r w:rsidRPr="00A91B96">
        <w:rPr>
          <w:rStyle w:val="libFootnotenumChar"/>
          <w:rtl/>
        </w:rPr>
        <w:t>(14)</w:t>
      </w:r>
      <w:r w:rsidRPr="00020424">
        <w:rPr>
          <w:rtl/>
          <w:lang w:bidi="fa-IR"/>
        </w:rPr>
        <w:t xml:space="preserve"> ، مَا تَوَانَيْتَ فِي حَاجَتِهِ ، وَمَنْ أَدْخَلَ عَلى مُؤْمِنٍ‌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بح ، بخ ، بر ، بف ، بك » وحاشية « بث ، جن » </w:t>
      </w:r>
      <w:r w:rsidR="00992664" w:rsidRPr="006C7A1F">
        <w:rPr>
          <w:rtl/>
        </w:rPr>
        <w:t>والوسائل</w:t>
      </w:r>
      <w:r w:rsidR="00992664" w:rsidRPr="00020424">
        <w:rPr>
          <w:rtl/>
        </w:rPr>
        <w:t xml:space="preserve"> : « بهرام</w:t>
      </w:r>
      <w:r w:rsidR="00992664">
        <w:rPr>
          <w:rtl/>
        </w:rPr>
        <w:t xml:space="preserve"> ».</w:t>
      </w:r>
    </w:p>
    <w:p w:rsidR="00992664" w:rsidRPr="00020424" w:rsidRDefault="00992664" w:rsidP="00992664">
      <w:pPr>
        <w:pStyle w:val="libFootnote0"/>
        <w:rPr>
          <w:rtl/>
          <w:lang w:bidi="fa-IR"/>
        </w:rPr>
      </w:pPr>
      <w:r w:rsidRPr="006C7A1F">
        <w:rPr>
          <w:rtl/>
        </w:rPr>
        <w:t xml:space="preserve">وقد ذكر الشيخ الطوسي عثمان بن عمران وعثمان بن بهرام في أصحاب أبي عبد الله </w:t>
      </w:r>
      <w:r w:rsidRPr="00D64ADA">
        <w:rPr>
          <w:rStyle w:val="libFootnoteAlaemChar"/>
          <w:rtl/>
        </w:rPr>
        <w:t>عليه‌السلام</w:t>
      </w:r>
      <w:r w:rsidRPr="006C7A1F">
        <w:rPr>
          <w:rtl/>
        </w:rPr>
        <w:t xml:space="preserve">. راجع : </w:t>
      </w:r>
      <w:r w:rsidRPr="00DE76B9">
        <w:rPr>
          <w:rStyle w:val="libFootnoteBoldChar"/>
          <w:rtl/>
        </w:rPr>
        <w:t>رجال الطوسي</w:t>
      </w:r>
      <w:r w:rsidRPr="006C7A1F">
        <w:rPr>
          <w:rtl/>
        </w:rPr>
        <w:t xml:space="preserve"> ، ص 259 ، الرقم 3680 ؛ وص 260 ، الرقم 3692.</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مرحباً</w:t>
      </w:r>
      <w:r w:rsidR="00992664">
        <w:rPr>
          <w:rtl/>
        </w:rPr>
        <w:t xml:space="preserve"> ».</w:t>
      </w:r>
      <w:r w:rsidR="00992664" w:rsidRPr="00020424">
        <w:rPr>
          <w:rtl/>
        </w:rPr>
        <w:t xml:space="preserve"> </w:t>
      </w:r>
      <w:r w:rsidR="00992664">
        <w:rPr>
          <w:rtl/>
        </w:rPr>
        <w:t>و «</w:t>
      </w:r>
      <w:r w:rsidR="00992664" w:rsidRPr="00020424">
        <w:rPr>
          <w:rtl/>
        </w:rPr>
        <w:t xml:space="preserve"> مَرْحباً » ، أي أَتيتَ أو لقيتَ رُحباً وسعة. راجع : </w:t>
      </w:r>
      <w:r w:rsidR="00992664" w:rsidRPr="0012008A">
        <w:rPr>
          <w:rStyle w:val="libFootnoteBoldChar"/>
          <w:rtl/>
        </w:rPr>
        <w:t>الصحاح</w:t>
      </w:r>
      <w:r w:rsidR="00992664" w:rsidRPr="00020424">
        <w:rPr>
          <w:rtl/>
        </w:rPr>
        <w:t xml:space="preserve"> ، ج 1 ، ص 134 ؛ </w:t>
      </w:r>
      <w:r w:rsidR="00992664" w:rsidRPr="0012008A">
        <w:rPr>
          <w:rStyle w:val="libFootnoteBoldChar"/>
          <w:rtl/>
        </w:rPr>
        <w:t>النهاية</w:t>
      </w:r>
      <w:r w:rsidR="00992664" w:rsidRPr="00020424">
        <w:rPr>
          <w:rtl/>
        </w:rPr>
        <w:t xml:space="preserve"> ، ج 2 ، ص 207 ( رحب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بك » </w:t>
      </w:r>
      <w:r w:rsidR="00992664" w:rsidRPr="006C7A1F">
        <w:rPr>
          <w:rtl/>
        </w:rPr>
        <w:t>والوافي</w:t>
      </w:r>
      <w:r w:rsidR="00992664" w:rsidRPr="00020424">
        <w:rPr>
          <w:rtl/>
        </w:rPr>
        <w:t xml:space="preserve"> : « وجوهاً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بح ، بس » وحاشية « بف » </w:t>
      </w:r>
      <w:r w:rsidR="00992664" w:rsidRPr="006C7A1F">
        <w:rPr>
          <w:rtl/>
        </w:rPr>
        <w:t>والوافي</w:t>
      </w:r>
      <w:r w:rsidR="00992664" w:rsidRPr="00020424">
        <w:rPr>
          <w:rtl/>
        </w:rPr>
        <w:t xml:space="preserve"> : « فمه</w:t>
      </w:r>
      <w:r w:rsidR="00992664">
        <w:rPr>
          <w:rtl/>
        </w:rPr>
        <w:t xml:space="preserve"> ».</w:t>
      </w:r>
      <w:r w:rsidR="00992664" w:rsidRPr="00020424">
        <w:rPr>
          <w:rtl/>
        </w:rPr>
        <w:t xml:space="preserve"> وفي « بر ، بف ، بك » :</w:t>
      </w:r>
      <w:r w:rsidR="00992664">
        <w:rPr>
          <w:rtl/>
        </w:rPr>
        <w:t xml:space="preserve"> </w:t>
      </w:r>
      <w:r w:rsidR="009B673F">
        <w:rPr>
          <w:rtl/>
        </w:rPr>
        <w:t>-</w:t>
      </w:r>
      <w:r w:rsidR="00992664">
        <w:rPr>
          <w:rtl/>
        </w:rPr>
        <w:t xml:space="preserve"> </w:t>
      </w:r>
      <w:r w:rsidR="00992664" w:rsidRPr="00020424">
        <w:rPr>
          <w:rtl/>
        </w:rPr>
        <w:t>« مه</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الهاء في</w:t>
      </w:r>
      <w:r w:rsidR="006C7A1F">
        <w:rPr>
          <w:rFonts w:hint="cs"/>
          <w:rtl/>
        </w:rPr>
        <w:t xml:space="preserve"> </w:t>
      </w:r>
      <w:r w:rsidR="00992664" w:rsidRPr="00020424">
        <w:rPr>
          <w:rtl/>
        </w:rPr>
        <w:t>‌فمه للسكت وأصله فما ، أي فما تريد</w:t>
      </w:r>
      <w:r w:rsidR="00992664">
        <w:rPr>
          <w:rtl/>
        </w:rPr>
        <w:t>؟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w:t>
      </w:r>
      <w:r w:rsidR="00992664" w:rsidRPr="006C7A1F">
        <w:rPr>
          <w:rtl/>
        </w:rPr>
        <w:t>والوافي</w:t>
      </w:r>
      <w:r w:rsidR="00992664" w:rsidRPr="00020424">
        <w:rPr>
          <w:rtl/>
        </w:rPr>
        <w:t xml:space="preserve"> : « فيجي‌ء</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ويجيئني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 xml:space="preserve">(6). </w:t>
            </w:r>
            <w:r w:rsidRPr="00020424">
              <w:rPr>
                <w:rtl/>
              </w:rPr>
              <w:t>في حاشية « ظ » : « المؤمن</w:t>
            </w:r>
            <w:r>
              <w:rPr>
                <w:rtl/>
              </w:rPr>
              <w:t xml:space="preserve"> ».</w:t>
            </w:r>
          </w:p>
        </w:tc>
        <w:tc>
          <w:tcPr>
            <w:tcW w:w="4006" w:type="dxa"/>
          </w:tcPr>
          <w:p w:rsidR="006C7A1F" w:rsidRDefault="006C7A1F" w:rsidP="00992664">
            <w:pPr>
              <w:pStyle w:val="libFootnote0"/>
              <w:rPr>
                <w:rtl/>
              </w:rPr>
            </w:pPr>
            <w:r>
              <w:rPr>
                <w:rtl/>
              </w:rPr>
              <w:t xml:space="preserve">(7). </w:t>
            </w:r>
            <w:r w:rsidRPr="00020424">
              <w:rPr>
                <w:rtl/>
              </w:rPr>
              <w:t xml:space="preserve">في « بح » </w:t>
            </w:r>
            <w:r w:rsidRPr="006C7A1F">
              <w:rPr>
                <w:rtl/>
              </w:rPr>
              <w:t>والوسائل</w:t>
            </w:r>
            <w:r w:rsidRPr="00020424">
              <w:rPr>
                <w:rtl/>
              </w:rPr>
              <w:t xml:space="preserve"> : « ويسألني</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الشي‌ء</w:t>
      </w:r>
      <w:r w:rsidR="00992664">
        <w:rPr>
          <w:rtl/>
        </w:rPr>
        <w:t xml:space="preserve"> ».</w:t>
      </w:r>
    </w:p>
    <w:p w:rsidR="00992664" w:rsidRPr="00020424" w:rsidRDefault="00795177" w:rsidP="006C7A1F">
      <w:pPr>
        <w:pStyle w:val="libFootnote0"/>
        <w:rPr>
          <w:rtl/>
          <w:lang w:bidi="fa-IR"/>
        </w:rPr>
      </w:pPr>
      <w:r>
        <w:rPr>
          <w:rtl/>
        </w:rPr>
        <w:t>(9).</w:t>
      </w:r>
      <w:r w:rsidR="0014403D">
        <w:rPr>
          <w:rtl/>
        </w:rPr>
        <w:t xml:space="preserve"> </w:t>
      </w:r>
      <w:r w:rsidR="00992664" w:rsidRPr="00020424">
        <w:rPr>
          <w:rtl/>
        </w:rPr>
        <w:t>في « بخ ، بر ، بف ، بك » : « إيّان</w:t>
      </w:r>
      <w:r w:rsidR="00992664">
        <w:rPr>
          <w:rtl/>
        </w:rPr>
        <w:t xml:space="preserve"> ».</w:t>
      </w:r>
      <w:r w:rsidR="00992664" w:rsidRPr="00020424">
        <w:rPr>
          <w:rtl/>
        </w:rPr>
        <w:t xml:space="preserve"> وإبّان الشي‌ء ، بالكسر والتشديد : وقته وأوانه ، والنون أصليّة فيكون فِعّالاً وقيل : هي زائدة ، وهو فِعلان من أبّ الشي‌ء : إذا تهيّأ للذهاب. راجع : </w:t>
      </w:r>
      <w:r w:rsidR="00992664" w:rsidRPr="0012008A">
        <w:rPr>
          <w:rStyle w:val="libFootnoteBoldChar"/>
          <w:rtl/>
        </w:rPr>
        <w:t>الصحاح</w:t>
      </w:r>
      <w:r w:rsidR="00992664" w:rsidRPr="00020424">
        <w:rPr>
          <w:rtl/>
        </w:rPr>
        <w:t xml:space="preserve"> ، ج 5 ، ص 2066 ؛ </w:t>
      </w:r>
      <w:r w:rsidR="00992664" w:rsidRPr="0012008A">
        <w:rPr>
          <w:rStyle w:val="libFootnoteBoldChar"/>
          <w:rtl/>
        </w:rPr>
        <w:t>النهاية</w:t>
      </w:r>
      <w:r w:rsidR="00992664" w:rsidRPr="00020424">
        <w:rPr>
          <w:rtl/>
        </w:rPr>
        <w:t xml:space="preserve"> ، ج 1 ، ص 17 ( أبن )</w:t>
      </w:r>
      <w:r w:rsidR="00992664">
        <w:rPr>
          <w:rtl/>
        </w:rPr>
        <w:t>.</w:t>
      </w:r>
      <w:r w:rsidR="00A90FD5">
        <w:rPr>
          <w:rFonts w:hint="cs"/>
          <w:rtl/>
        </w:rPr>
        <w:t xml:space="preserve">               </w:t>
      </w:r>
      <w:r w:rsidR="006C7A1F">
        <w:rPr>
          <w:rFonts w:hint="cs"/>
          <w:rtl/>
        </w:rPr>
        <w:t xml:space="preserve">          </w:t>
      </w:r>
      <w:r>
        <w:rPr>
          <w:rtl/>
        </w:rPr>
        <w:t>(10).</w:t>
      </w:r>
      <w:r w:rsidR="0014403D">
        <w:rPr>
          <w:rtl/>
        </w:rPr>
        <w:t xml:space="preserve"> </w:t>
      </w:r>
      <w:r w:rsidR="00992664" w:rsidRPr="00020424">
        <w:rPr>
          <w:rtl/>
        </w:rPr>
        <w:t xml:space="preserve">في « بر ، بف ، بك » </w:t>
      </w:r>
      <w:r w:rsidR="00992664" w:rsidRPr="006C7A1F">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 xml:space="preserve">(11). </w:t>
            </w:r>
            <w:r w:rsidRPr="00020424">
              <w:rPr>
                <w:rtl/>
              </w:rPr>
              <w:t>في « ى » : « بعشر</w:t>
            </w:r>
            <w:r>
              <w:rPr>
                <w:rtl/>
              </w:rPr>
              <w:t xml:space="preserve"> ».</w:t>
            </w:r>
          </w:p>
        </w:tc>
        <w:tc>
          <w:tcPr>
            <w:tcW w:w="4006" w:type="dxa"/>
          </w:tcPr>
          <w:p w:rsidR="006C7A1F" w:rsidRDefault="006C7A1F" w:rsidP="00992664">
            <w:pPr>
              <w:pStyle w:val="libFootnote0"/>
              <w:rPr>
                <w:rtl/>
              </w:rPr>
            </w:pPr>
            <w:r>
              <w:rPr>
                <w:rtl/>
              </w:rPr>
              <w:t xml:space="preserve">(12). </w:t>
            </w:r>
            <w:r w:rsidRPr="00020424">
              <w:rPr>
                <w:rtl/>
              </w:rPr>
              <w:t>في « ب</w:t>
            </w:r>
            <w:r>
              <w:rPr>
                <w:rtl/>
              </w:rPr>
              <w:t>خ ، بر ، بف » وحاشية «جن»:«</w:t>
            </w:r>
            <w:r w:rsidRPr="00020424">
              <w:rPr>
                <w:rtl/>
              </w:rPr>
              <w:t>إيّان</w:t>
            </w:r>
            <w:r>
              <w:rPr>
                <w:rtl/>
              </w:rPr>
              <w:t>».</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بح ، بر ، بك ، جن » وحاشية « بث » : « أحتسب</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من ربّه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C7A1F">
      <w:pPr>
        <w:pStyle w:val="libNormal0"/>
        <w:rPr>
          <w:rtl/>
          <w:lang w:bidi="fa-IR"/>
        </w:rPr>
      </w:pPr>
      <w:r w:rsidRPr="00020424">
        <w:rPr>
          <w:rtl/>
          <w:lang w:bidi="fa-IR"/>
        </w:rPr>
        <w:t xml:space="preserve">أَدْخَلَ عَلى رَسُولِ اللهِ </w:t>
      </w:r>
      <w:r w:rsidR="00B42914" w:rsidRPr="00B42914">
        <w:rPr>
          <w:rStyle w:val="libAlaemChar"/>
          <w:rtl/>
        </w:rPr>
        <w:t>صلى‌الله‌عليه‌وآله‌</w:t>
      </w:r>
      <w:r w:rsidRPr="00020424">
        <w:rPr>
          <w:rtl/>
          <w:lang w:bidi="fa-IR"/>
        </w:rPr>
        <w:t xml:space="preserve"> ، وَقَضَاءُ حَاجَةِ الْمُؤْمِنِ تَدْفَعُ </w:t>
      </w:r>
      <w:r w:rsidRPr="00A91B96">
        <w:rPr>
          <w:rStyle w:val="libFootnotenumChar"/>
          <w:rtl/>
        </w:rPr>
        <w:t>(1)</w:t>
      </w:r>
      <w:r w:rsidRPr="00020424">
        <w:rPr>
          <w:rtl/>
          <w:lang w:bidi="fa-IR"/>
        </w:rPr>
        <w:t xml:space="preserve"> الْجُنُونَ وَالْجُذَامَ وَالْبَرَصَ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2B4F07">
        <w:rPr>
          <w:rtl/>
        </w:rPr>
        <w:t>6132</w:t>
      </w:r>
      <w:r w:rsidRPr="001155DE">
        <w:rPr>
          <w:rStyle w:val="libBold2Char"/>
          <w:rtl/>
        </w:rPr>
        <w:t xml:space="preserve"> / 5.</w:t>
      </w:r>
      <w:r w:rsidRPr="00020424">
        <w:rPr>
          <w:rtl/>
          <w:lang w:bidi="fa-IR"/>
        </w:rPr>
        <w:t xml:space="preserve"> سَهْلُ بْنُ زِيَادٍ </w:t>
      </w:r>
      <w:r w:rsidRPr="00A91B96">
        <w:rPr>
          <w:rStyle w:val="libFootnotenumChar"/>
          <w:rtl/>
        </w:rPr>
        <w:t>(4)</w:t>
      </w:r>
      <w:r w:rsidRPr="00020424">
        <w:rPr>
          <w:rtl/>
          <w:lang w:bidi="fa-IR"/>
        </w:rPr>
        <w:t xml:space="preserve"> ، عَنْ مُحَمَّدِ بْنِ عَبْدِ الْحَمِيدِ ، عَنْ إِبْرَاهِيمَ بْنِ السِّنْدِيِّ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قَرْضُ الْمُؤْمِنِ غَنِيمَةٌ </w:t>
      </w:r>
      <w:r w:rsidRPr="00A91B96">
        <w:rPr>
          <w:rStyle w:val="libFootnotenumChar"/>
          <w:rtl/>
        </w:rPr>
        <w:t>(5)</w:t>
      </w:r>
      <w:r w:rsidRPr="00020424">
        <w:rPr>
          <w:rtl/>
          <w:lang w:bidi="fa-IR"/>
        </w:rPr>
        <w:t xml:space="preserve"> ، وَتَعْجِيلُ </w:t>
      </w:r>
      <w:r w:rsidRPr="00A91B96">
        <w:rPr>
          <w:rStyle w:val="libFootnotenumChar"/>
          <w:rtl/>
        </w:rPr>
        <w:t>(6)</w:t>
      </w:r>
      <w:r w:rsidRPr="00020424">
        <w:rPr>
          <w:rtl/>
          <w:lang w:bidi="fa-IR"/>
        </w:rPr>
        <w:t xml:space="preserve"> خَيْرٍ ؛ </w:t>
      </w:r>
      <w:r w:rsidRPr="00A91B96">
        <w:rPr>
          <w:rStyle w:val="libFootnotenumChar"/>
          <w:rtl/>
        </w:rPr>
        <w:t>(7)</w:t>
      </w:r>
      <w:r w:rsidRPr="00020424">
        <w:rPr>
          <w:rtl/>
          <w:lang w:bidi="fa-IR"/>
        </w:rPr>
        <w:t xml:space="preserve"> إِنْ أَيْسَرَ ، أَدَّاهُ </w:t>
      </w:r>
      <w:r w:rsidRPr="00A91B96">
        <w:rPr>
          <w:rStyle w:val="libFootnotenumChar"/>
          <w:rtl/>
        </w:rPr>
        <w:t>(8)</w:t>
      </w:r>
      <w:r w:rsidRPr="00020424">
        <w:rPr>
          <w:rtl/>
          <w:lang w:bidi="fa-IR"/>
        </w:rPr>
        <w:t xml:space="preserve"> ؛ وَإِنْ مَاتَ ، احْتُسِبَ </w:t>
      </w:r>
      <w:r w:rsidRPr="00A91B96">
        <w:rPr>
          <w:rStyle w:val="libFootnotenumChar"/>
          <w:rtl/>
        </w:rPr>
        <w:t>(9)</w:t>
      </w:r>
      <w:r w:rsidRPr="00020424">
        <w:rPr>
          <w:rtl/>
          <w:lang w:bidi="fa-IR"/>
        </w:rPr>
        <w:t xml:space="preserve"> مِنَ الزَّكَاةِ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Heading2Center"/>
        <w:rPr>
          <w:rtl/>
          <w:lang w:bidi="fa-IR"/>
        </w:rPr>
      </w:pPr>
      <w:bookmarkStart w:id="247" w:name="_Toc345172799"/>
      <w:bookmarkStart w:id="248" w:name="_Toc464562615"/>
      <w:bookmarkStart w:id="249" w:name="_Toc44599918"/>
      <w:r w:rsidRPr="00020424">
        <w:rPr>
          <w:rtl/>
          <w:lang w:bidi="fa-IR"/>
        </w:rPr>
        <w:t>77</w:t>
      </w:r>
      <w:r>
        <w:rPr>
          <w:rtl/>
          <w:lang w:bidi="fa-IR"/>
        </w:rPr>
        <w:t xml:space="preserve"> </w:t>
      </w:r>
      <w:r w:rsidR="009B673F">
        <w:rPr>
          <w:rtl/>
          <w:lang w:bidi="fa-IR"/>
        </w:rPr>
        <w:t>-</w:t>
      </w:r>
      <w:r>
        <w:rPr>
          <w:rtl/>
          <w:lang w:bidi="fa-IR"/>
        </w:rPr>
        <w:t xml:space="preserve"> </w:t>
      </w:r>
      <w:r w:rsidRPr="00020424">
        <w:rPr>
          <w:rtl/>
          <w:lang w:bidi="fa-IR"/>
        </w:rPr>
        <w:t>بَابُ إِنْظَارِ الْمُعْسِرِ‌</w:t>
      </w:r>
      <w:bookmarkEnd w:id="247"/>
      <w:bookmarkEnd w:id="248"/>
      <w:bookmarkEnd w:id="249"/>
    </w:p>
    <w:p w:rsidR="00992664" w:rsidRPr="00020424" w:rsidRDefault="00992664" w:rsidP="00992664">
      <w:pPr>
        <w:pStyle w:val="libNormal"/>
        <w:rPr>
          <w:rtl/>
          <w:lang w:bidi="fa-IR"/>
        </w:rPr>
      </w:pPr>
      <w:r w:rsidRPr="002B4F07">
        <w:rPr>
          <w:rtl/>
        </w:rPr>
        <w:t>6133</w:t>
      </w:r>
      <w:r w:rsidRPr="001155DE">
        <w:rPr>
          <w:rStyle w:val="libBold2Char"/>
          <w:rtl/>
        </w:rPr>
        <w:t xml:space="preserve"> / 1.</w:t>
      </w:r>
      <w:r w:rsidRPr="00020424">
        <w:rPr>
          <w:rtl/>
          <w:lang w:bidi="fa-IR"/>
        </w:rPr>
        <w:t xml:space="preserve"> مُحَمَّدُ بْنُ يَحْيى ، عَنْ أَحْمَدَ بْنِ مُحَمَّدِ بْنِ عِيسى ، عَنِ الْحَسَنِ بْنِ مَحْبُوبٍ ، عَنْ مُعَاوِيَةَ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أَرَادَ أَنْ يُظِلّ</w:t>
      </w:r>
      <w:r w:rsidR="006C7A1F">
        <w:rPr>
          <w:rtl/>
          <w:lang w:bidi="fa-IR"/>
        </w:rPr>
        <w:t>َهُ اللهُ يَوْمَ لَاظِلَّ إِل</w:t>
      </w:r>
      <w:r w:rsidR="006C7A1F">
        <w:rPr>
          <w:rFonts w:hint="cs"/>
          <w:rtl/>
          <w:lang w:bidi="fa-IR"/>
        </w:rPr>
        <w:t>َّ</w:t>
      </w:r>
      <w:r w:rsidR="006C7A1F">
        <w:rPr>
          <w:rtl/>
          <w:lang w:bidi="fa-IR"/>
        </w:rPr>
        <w:t>ا</w:t>
      </w:r>
      <w:r w:rsidRPr="00020424">
        <w:rPr>
          <w:rtl/>
          <w:lang w:bidi="fa-IR"/>
        </w:rPr>
        <w:t xml:space="preserve"> ظِلُّهُ</w:t>
      </w:r>
      <w:r>
        <w:rPr>
          <w:rtl/>
          <w:lang w:bidi="fa-IR"/>
        </w:rPr>
        <w:t xml:space="preserve"> </w:t>
      </w:r>
      <w:r w:rsidR="009B673F">
        <w:rPr>
          <w:rtl/>
          <w:lang w:bidi="fa-IR"/>
        </w:rPr>
        <w:t>-</w:t>
      </w:r>
      <w:r>
        <w:rPr>
          <w:rtl/>
          <w:lang w:bidi="fa-IR"/>
        </w:rPr>
        <w:t xml:space="preserve"> </w:t>
      </w:r>
      <w:r w:rsidRPr="00020424">
        <w:rPr>
          <w:rtl/>
          <w:lang w:bidi="fa-IR"/>
        </w:rPr>
        <w:t>قَالَهَا‌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معظم النسخ التي قوبلت. وفي « بس » والمطبوع </w:t>
      </w:r>
      <w:r w:rsidR="00992664" w:rsidRPr="00515444">
        <w:rPr>
          <w:rStyle w:val="libFootnoteBoldChar"/>
          <w:rtl/>
        </w:rPr>
        <w:t>والوافي</w:t>
      </w:r>
      <w:r w:rsidR="00992664" w:rsidRPr="00020424">
        <w:rPr>
          <w:rtl/>
        </w:rPr>
        <w:t xml:space="preserve"> : « يدفع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جن » : « والبرص والجذام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الإيمان والكفر ، باب إدخال السرور على المؤمنين ، ح 2133 ؛ وكتاب الزكاة ، باب الصدقة على القرابة ، ح 6035 ؛ </w:t>
      </w:r>
      <w:r w:rsidR="00992664" w:rsidRPr="006C7A1F">
        <w:rPr>
          <w:rStyle w:val="libFootnoteBoldChar"/>
          <w:rtl/>
        </w:rPr>
        <w:t>والمؤمن</w:t>
      </w:r>
      <w:r w:rsidR="00992664" w:rsidRPr="00020424">
        <w:rPr>
          <w:rtl/>
        </w:rPr>
        <w:t xml:space="preserve"> ، ص 69 ، ح 189 ؛ </w:t>
      </w:r>
      <w:r w:rsidR="00992664" w:rsidRPr="006C7A1F">
        <w:rPr>
          <w:rStyle w:val="libFootnoteBoldChar"/>
          <w:rtl/>
        </w:rPr>
        <w:t>ومصادقة الإخوان</w:t>
      </w:r>
      <w:r w:rsidR="00992664" w:rsidRPr="00020424">
        <w:rPr>
          <w:rtl/>
        </w:rPr>
        <w:t xml:space="preserve"> ، ص 62 ، ح 8 </w:t>
      </w:r>
      <w:r w:rsidR="006C7A1F">
        <w:rPr>
          <w:rFonts w:hint="cs"/>
          <w:rtl/>
        </w:rPr>
        <w:t>.</w:t>
      </w:r>
      <w:r w:rsidR="00992664" w:rsidRPr="0012008A">
        <w:rPr>
          <w:rStyle w:val="libFootnoteBoldChar"/>
          <w:rtl/>
        </w:rPr>
        <w:t>الوافي</w:t>
      </w:r>
      <w:r w:rsidR="00992664" w:rsidRPr="00020424">
        <w:rPr>
          <w:rtl/>
        </w:rPr>
        <w:t xml:space="preserve"> ، ج 10 ، ص 465 ، ح 9899 ؛ </w:t>
      </w:r>
      <w:r w:rsidR="00992664" w:rsidRPr="0012008A">
        <w:rPr>
          <w:rStyle w:val="libFootnoteBoldChar"/>
          <w:rtl/>
        </w:rPr>
        <w:t>الوسائل</w:t>
      </w:r>
      <w:r w:rsidR="00992664" w:rsidRPr="00020424">
        <w:rPr>
          <w:rtl/>
        </w:rPr>
        <w:t xml:space="preserve"> ، ج 9 ، ص 300 ، ح 21065 ، إلى ق</w:t>
      </w:r>
      <w:r w:rsidR="006C7A1F">
        <w:rPr>
          <w:rtl/>
        </w:rPr>
        <w:t>وله : « فإنّ ردّه عند الله عظيم</w:t>
      </w:r>
      <w:r w:rsidR="00992664" w:rsidRPr="00020424">
        <w:rPr>
          <w:rtl/>
        </w:rPr>
        <w:t>» ملخّصاً.</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السند معلّق على سابقه. ويروي عن سهل بن زياد ، عدّة من أصحابنا.</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كان القرض غنيمة ؛ لأنّه يوجب ثواباً من دون نقص من المال. وإنّما كان تعجيل أجر ، أو خير</w:t>
      </w:r>
      <w:r w:rsidR="006C7A1F">
        <w:rPr>
          <w:rFonts w:hint="cs"/>
          <w:rtl/>
        </w:rPr>
        <w:t xml:space="preserve"> </w:t>
      </w:r>
      <w:r w:rsidR="00992664" w:rsidRPr="00020424">
        <w:rPr>
          <w:rtl/>
        </w:rPr>
        <w:t>على اختلاف النسختين ؛ لأنّه أداء زكاة قبل أوانها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 xml:space="preserve">(6). </w:t>
            </w:r>
            <w:r w:rsidRPr="00020424">
              <w:rPr>
                <w:rtl/>
              </w:rPr>
              <w:t>في « بخ ، بف » : « وتعجيله</w:t>
            </w:r>
            <w:r>
              <w:rPr>
                <w:rtl/>
              </w:rPr>
              <w:t xml:space="preserve"> ».</w:t>
            </w:r>
          </w:p>
        </w:tc>
        <w:tc>
          <w:tcPr>
            <w:tcW w:w="4006" w:type="dxa"/>
          </w:tcPr>
          <w:p w:rsidR="006C7A1F" w:rsidRDefault="006C7A1F" w:rsidP="00992664">
            <w:pPr>
              <w:pStyle w:val="libFootnote0"/>
              <w:rPr>
                <w:rtl/>
              </w:rPr>
            </w:pPr>
            <w:r>
              <w:rPr>
                <w:rtl/>
              </w:rPr>
              <w:t xml:space="preserve">(7). </w:t>
            </w:r>
            <w:r w:rsidRPr="00020424">
              <w:rPr>
                <w:rtl/>
              </w:rPr>
              <w:t xml:space="preserve">في </w:t>
            </w:r>
            <w:r w:rsidRPr="006C7A1F">
              <w:rPr>
                <w:rtl/>
              </w:rPr>
              <w:t>الوافي</w:t>
            </w:r>
            <w:r w:rsidRPr="00020424">
              <w:rPr>
                <w:rtl/>
              </w:rPr>
              <w:t xml:space="preserve"> : « أجر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بر ، بف ، بك » : « قضاه</w:t>
      </w:r>
      <w:r w:rsidR="00992664">
        <w:rPr>
          <w:rtl/>
        </w:rPr>
        <w:t xml:space="preserve"> ».</w:t>
      </w:r>
      <w:r w:rsidR="00992664" w:rsidRPr="00020424">
        <w:rPr>
          <w:rtl/>
        </w:rPr>
        <w:t xml:space="preserve"> وفي </w:t>
      </w:r>
      <w:r w:rsidR="00992664" w:rsidRPr="006C7A1F">
        <w:rPr>
          <w:rtl/>
        </w:rPr>
        <w:t>الوافي</w:t>
      </w:r>
      <w:r w:rsidR="00992664" w:rsidRPr="00020424">
        <w:rPr>
          <w:rtl/>
        </w:rPr>
        <w:t xml:space="preserve"> : « قضاك</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أدّى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بك » </w:t>
      </w:r>
      <w:r w:rsidR="00992664" w:rsidRPr="006C7A1F">
        <w:rPr>
          <w:rtl/>
        </w:rPr>
        <w:t>والوافي</w:t>
      </w:r>
      <w:r w:rsidR="00992664" w:rsidRPr="00020424">
        <w:rPr>
          <w:rtl/>
        </w:rPr>
        <w:t xml:space="preserve"> : + « به</w:t>
      </w:r>
      <w:r w:rsidR="00992664">
        <w:rPr>
          <w:rtl/>
        </w:rPr>
        <w:t xml:space="preserve"> ».</w:t>
      </w:r>
      <w:r w:rsidR="00992664" w:rsidRPr="00020424">
        <w:rPr>
          <w:rtl/>
        </w:rPr>
        <w:t xml:space="preserve"> وفي « بخ ، بف » : « احتسبت</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بر ، بف ، بك » وحاشية « بح » </w:t>
      </w:r>
      <w:r w:rsidR="00992664" w:rsidRPr="006C7A1F">
        <w:rPr>
          <w:rtl/>
        </w:rPr>
        <w:t>والوسائل ، والفقيه</w:t>
      </w:r>
      <w:r w:rsidR="00992664" w:rsidRPr="00020424">
        <w:rPr>
          <w:rtl/>
        </w:rPr>
        <w:t xml:space="preserve"> : « زكاته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الكافي</w:t>
      </w:r>
      <w:r w:rsidR="00992664" w:rsidRPr="00020424">
        <w:rPr>
          <w:rtl/>
        </w:rPr>
        <w:t xml:space="preserve"> ، كتاب الزكاة ، باب القرض أنّه حمى الزكاة ، ح 5956 ، بسند آخر ، مع اختلاف يسير. </w:t>
      </w:r>
      <w:r w:rsidR="00992664" w:rsidRPr="0012008A">
        <w:rPr>
          <w:rStyle w:val="libFootnoteBoldChar"/>
          <w:rtl/>
        </w:rPr>
        <w:t>الفقيه</w:t>
      </w:r>
      <w:r w:rsidR="00992664" w:rsidRPr="00020424">
        <w:rPr>
          <w:rtl/>
        </w:rPr>
        <w:t xml:space="preserve"> ، ج 2 ، ص 58 ، ح 1700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198 ، مع اختلاف يسير. وراجع : </w:t>
      </w:r>
      <w:r w:rsidR="00992664" w:rsidRPr="0012008A">
        <w:rPr>
          <w:rStyle w:val="libFootnoteBoldChar"/>
          <w:rtl/>
        </w:rPr>
        <w:t>ثواب الأعمال</w:t>
      </w:r>
      <w:r w:rsidR="00992664" w:rsidRPr="00020424">
        <w:rPr>
          <w:rtl/>
        </w:rPr>
        <w:t xml:space="preserve"> ، ص 167 ، ح 3 </w:t>
      </w:r>
      <w:r w:rsidR="006C7A1F">
        <w:rPr>
          <w:rFonts w:hint="cs"/>
          <w:rtl/>
        </w:rPr>
        <w:t>.</w:t>
      </w:r>
      <w:r w:rsidR="00992664" w:rsidRPr="0012008A">
        <w:rPr>
          <w:rStyle w:val="libFootnoteBoldChar"/>
          <w:rtl/>
        </w:rPr>
        <w:t>الوافي</w:t>
      </w:r>
      <w:r w:rsidR="00992664" w:rsidRPr="00020424">
        <w:rPr>
          <w:rtl/>
        </w:rPr>
        <w:t xml:space="preserve"> ، ج 10 ، ص 466 ، ح 9900 ؛ </w:t>
      </w:r>
      <w:r w:rsidR="00992664" w:rsidRPr="0012008A">
        <w:rPr>
          <w:rStyle w:val="libFootnoteBoldChar"/>
          <w:rtl/>
        </w:rPr>
        <w:t>الوسائل</w:t>
      </w:r>
      <w:r w:rsidR="00992664" w:rsidRPr="00020424">
        <w:rPr>
          <w:rtl/>
        </w:rPr>
        <w:t xml:space="preserve"> ، ج 9 ، ص 300 ، ح 12066.</w:t>
      </w:r>
    </w:p>
    <w:p w:rsidR="00795177" w:rsidRDefault="00795177" w:rsidP="00795177">
      <w:pPr>
        <w:pStyle w:val="libNormal"/>
        <w:rPr>
          <w:rtl/>
          <w:lang w:bidi="fa-IR"/>
        </w:rPr>
      </w:pPr>
      <w:r>
        <w:rPr>
          <w:rtl/>
          <w:lang w:bidi="fa-IR"/>
        </w:rPr>
        <w:br w:type="page"/>
      </w:r>
    </w:p>
    <w:p w:rsidR="00992664" w:rsidRPr="00020424" w:rsidRDefault="00992664" w:rsidP="006C7A1F">
      <w:pPr>
        <w:pStyle w:val="libNormal0"/>
        <w:rPr>
          <w:rtl/>
          <w:lang w:bidi="fa-IR"/>
        </w:rPr>
      </w:pPr>
      <w:r w:rsidRPr="00020424">
        <w:rPr>
          <w:rtl/>
          <w:lang w:bidi="fa-IR"/>
        </w:rPr>
        <w:t xml:space="preserve">ثَلَاثاً ، فَهَابَهُ </w:t>
      </w:r>
      <w:r w:rsidRPr="00A91B96">
        <w:rPr>
          <w:rStyle w:val="libFootnotenumChar"/>
          <w:rtl/>
        </w:rPr>
        <w:t>(1)</w:t>
      </w:r>
      <w:r w:rsidRPr="00020424">
        <w:rPr>
          <w:rtl/>
          <w:lang w:bidi="fa-IR"/>
        </w:rPr>
        <w:t xml:space="preserve"> النَّاسُ أَنْ يَسْأَلُوهُ فَقَالَ</w:t>
      </w:r>
      <w:r>
        <w:rPr>
          <w:rtl/>
          <w:lang w:bidi="fa-IR"/>
        </w:rPr>
        <w:t xml:space="preserve"> </w:t>
      </w:r>
      <w:r w:rsidR="009B673F">
        <w:rPr>
          <w:rtl/>
          <w:lang w:bidi="fa-IR"/>
        </w:rPr>
        <w:t>-</w:t>
      </w:r>
      <w:r>
        <w:rPr>
          <w:rtl/>
          <w:lang w:bidi="fa-IR"/>
        </w:rPr>
        <w:t xml:space="preserve"> </w:t>
      </w:r>
      <w:r w:rsidRPr="00020424">
        <w:rPr>
          <w:rtl/>
          <w:lang w:bidi="fa-IR"/>
        </w:rPr>
        <w:t xml:space="preserve">: فَلْيُنْظِرْ مُعْسِراً ، أَوْ لِيَدَعْ </w:t>
      </w:r>
      <w:r w:rsidRPr="00A91B96">
        <w:rPr>
          <w:rStyle w:val="libFootnotenumChar"/>
          <w:rtl/>
        </w:rPr>
        <w:t>(2)</w:t>
      </w:r>
      <w:r w:rsidRPr="00020424">
        <w:rPr>
          <w:rtl/>
          <w:lang w:bidi="fa-IR"/>
        </w:rPr>
        <w:t xml:space="preserve"> لَهُ مِنْ حَقِّهِ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2B4F07">
        <w:rPr>
          <w:rtl/>
        </w:rPr>
        <w:t>6134</w:t>
      </w:r>
      <w:r w:rsidRPr="001155DE">
        <w:rPr>
          <w:rStyle w:val="libBold2Char"/>
          <w:rtl/>
        </w:rPr>
        <w:t xml:space="preserve"> / 2.</w:t>
      </w:r>
      <w:r w:rsidRPr="00020424">
        <w:rPr>
          <w:rtl/>
          <w:lang w:bidi="fa-IR"/>
        </w:rPr>
        <w:t xml:space="preserve"> مُحَمَّدُ بْنُ يَحْيى ، عَنْ عَبْدِ اللهِ بْنِ مُحَمَّدٍ ، عَنْ عَلِيِّ بْنِ الْحَكَمِ ، عَنْ أَبَانِ بْنِ عُثْمَانَ ، عَنْ عَبْدِ الرَّحْمنِ بْنِ أَبِي عَبْدِ اللهِ :</w:t>
      </w:r>
    </w:p>
    <w:p w:rsidR="00992664" w:rsidRPr="00020424" w:rsidRDefault="00992664" w:rsidP="00A90FD5">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رَسُولَ اللهِ </w:t>
      </w:r>
      <w:r w:rsidR="00A90FD5" w:rsidRPr="00B42914">
        <w:rPr>
          <w:rStyle w:val="libAlaemChar"/>
          <w:rtl/>
        </w:rPr>
        <w:t>صلى‌الله‌عليه‌وآله‌</w:t>
      </w:r>
      <w:r w:rsidR="00A90FD5" w:rsidRPr="00020424">
        <w:rPr>
          <w:rtl/>
          <w:lang w:bidi="fa-IR"/>
        </w:rPr>
        <w:t xml:space="preserve"> </w:t>
      </w:r>
      <w:r w:rsidRPr="00020424">
        <w:rPr>
          <w:rtl/>
          <w:lang w:bidi="fa-IR"/>
        </w:rPr>
        <w:t>قَالَ فِي يَوْمٍ حَارٍّ</w:t>
      </w:r>
      <w:r>
        <w:rPr>
          <w:rtl/>
          <w:lang w:bidi="fa-IR"/>
        </w:rPr>
        <w:t xml:space="preserve"> </w:t>
      </w:r>
      <w:r w:rsidR="009B673F">
        <w:rPr>
          <w:rtl/>
          <w:lang w:bidi="fa-IR"/>
        </w:rPr>
        <w:t>-</w:t>
      </w:r>
      <w:r>
        <w:rPr>
          <w:rtl/>
          <w:lang w:bidi="fa-IR"/>
        </w:rPr>
        <w:t xml:space="preserve"> </w:t>
      </w:r>
      <w:r w:rsidRPr="00020424">
        <w:rPr>
          <w:rtl/>
          <w:lang w:bidi="fa-IR"/>
        </w:rPr>
        <w:t xml:space="preserve">وَحَنّى </w:t>
      </w:r>
      <w:r w:rsidRPr="00A91B96">
        <w:rPr>
          <w:rStyle w:val="libFootnotenumChar"/>
          <w:rtl/>
        </w:rPr>
        <w:t>(5)</w:t>
      </w:r>
      <w:r w:rsidRPr="00020424">
        <w:rPr>
          <w:rtl/>
          <w:lang w:bidi="fa-IR"/>
        </w:rPr>
        <w:t xml:space="preserve"> كَفَّه </w:t>
      </w:r>
      <w:r w:rsidRPr="00A91B96">
        <w:rPr>
          <w:rStyle w:val="libFootnotenumChar"/>
          <w:rtl/>
        </w:rPr>
        <w:t>(6)</w:t>
      </w:r>
      <w:r>
        <w:rPr>
          <w:rtl/>
          <w:lang w:bidi="fa-IR"/>
        </w:rPr>
        <w:t xml:space="preserve"> </w:t>
      </w:r>
      <w:r w:rsidR="009B673F">
        <w:rPr>
          <w:rtl/>
          <w:lang w:bidi="fa-IR"/>
        </w:rPr>
        <w:t>-</w:t>
      </w:r>
      <w:r>
        <w:rPr>
          <w:rtl/>
          <w:lang w:bidi="fa-IR"/>
        </w:rPr>
        <w:t xml:space="preserve"> </w:t>
      </w:r>
      <w:r w:rsidRPr="00020424">
        <w:rPr>
          <w:rtl/>
          <w:lang w:bidi="fa-IR"/>
        </w:rPr>
        <w:t>:</w:t>
      </w:r>
      <w:r>
        <w:rPr>
          <w:rFonts w:hint="cs"/>
          <w:rtl/>
          <w:lang w:bidi="fa-IR"/>
        </w:rPr>
        <w:t xml:space="preserve"> </w:t>
      </w:r>
      <w:r w:rsidRPr="00020424">
        <w:rPr>
          <w:rtl/>
          <w:lang w:bidi="fa-IR"/>
        </w:rPr>
        <w:t xml:space="preserve">مَنْ أَحَبَّ أَنْ يَسْتَظِلَّ مِنْ فَوْرِ جَهَنَّمَ </w:t>
      </w:r>
      <w:r w:rsidRPr="00A91B96">
        <w:rPr>
          <w:rStyle w:val="libFootnotenumChar"/>
          <w:rtl/>
        </w:rPr>
        <w:t>(7)</w:t>
      </w:r>
      <w:r>
        <w:rPr>
          <w:rtl/>
          <w:lang w:bidi="fa-IR"/>
        </w:rPr>
        <w:t xml:space="preserve">؟ </w:t>
      </w:r>
      <w:r w:rsidR="009B673F">
        <w:rPr>
          <w:rtl/>
          <w:lang w:bidi="fa-IR"/>
        </w:rPr>
        <w:t>-</w:t>
      </w:r>
      <w:r>
        <w:rPr>
          <w:rtl/>
          <w:lang w:bidi="fa-IR"/>
        </w:rPr>
        <w:t xml:space="preserve"> </w:t>
      </w:r>
      <w:r w:rsidRPr="00020424">
        <w:rPr>
          <w:rtl/>
          <w:lang w:bidi="fa-IR"/>
        </w:rPr>
        <w:t>قَالَهَا ثَلَاثَ مَرَّاتٍ</w:t>
      </w:r>
      <w:r>
        <w:rPr>
          <w:rtl/>
          <w:lang w:bidi="fa-IR"/>
        </w:rPr>
        <w:t xml:space="preserve"> </w:t>
      </w:r>
      <w:r w:rsidR="009B673F">
        <w:rPr>
          <w:rtl/>
          <w:lang w:bidi="fa-IR"/>
        </w:rPr>
        <w:t>-</w:t>
      </w:r>
      <w:r>
        <w:rPr>
          <w:rtl/>
          <w:lang w:bidi="fa-IR"/>
        </w:rPr>
        <w:t xml:space="preserve"> </w:t>
      </w:r>
      <w:r w:rsidRPr="00020424">
        <w:rPr>
          <w:rtl/>
          <w:lang w:bidi="fa-IR"/>
        </w:rPr>
        <w:t>فَقَالَ النَّاسُ فِي كُلِّ مَرَّةٍ :</w:t>
      </w:r>
      <w:r>
        <w:rPr>
          <w:rFonts w:hint="cs"/>
          <w:rtl/>
          <w:lang w:bidi="fa-IR"/>
        </w:rPr>
        <w:t xml:space="preserve"> </w:t>
      </w:r>
      <w:r w:rsidRPr="00020424">
        <w:rPr>
          <w:rtl/>
          <w:lang w:bidi="fa-IR"/>
        </w:rPr>
        <w:t xml:space="preserve">نَحْنُ يَا رَسُولَ اللهِ ، فَقَالَ : مَنْ أَنْظَرَ غَرِيماً ، أَوْ تَرَكَ لِمُعْسِرٍ » </w:t>
      </w:r>
      <w:r w:rsidRPr="00A91B96">
        <w:rPr>
          <w:rStyle w:val="libFootnotenumChar"/>
          <w:rtl/>
        </w:rPr>
        <w:t>(8)</w:t>
      </w:r>
      <w:r w:rsidR="006C7A1F" w:rsidRPr="006C7A1F">
        <w:rPr>
          <w:rFonts w:hint="cs"/>
          <w:rtl/>
        </w:rPr>
        <w:t>.</w:t>
      </w:r>
    </w:p>
    <w:p w:rsidR="00992664" w:rsidRPr="00020424" w:rsidRDefault="00992664" w:rsidP="00992664">
      <w:pPr>
        <w:pStyle w:val="libNormal"/>
        <w:rPr>
          <w:rtl/>
          <w:lang w:bidi="fa-IR"/>
        </w:rPr>
      </w:pPr>
      <w:r w:rsidRPr="00020424">
        <w:rPr>
          <w:rtl/>
          <w:lang w:bidi="fa-IR"/>
        </w:rPr>
        <w:t xml:space="preserve">ثُمَّ قَالَ لِي أَبُو عَبْدِ اللهِ </w:t>
      </w:r>
      <w:r w:rsidRPr="00005A81">
        <w:rPr>
          <w:rStyle w:val="libAlaemChar"/>
          <w:rtl/>
        </w:rPr>
        <w:t>عليه‌السلام</w:t>
      </w:r>
      <w:r w:rsidRPr="00020424">
        <w:rPr>
          <w:rtl/>
          <w:lang w:bidi="fa-IR"/>
        </w:rPr>
        <w:t xml:space="preserve"> : « قَالَ لِي </w:t>
      </w:r>
      <w:r w:rsidRPr="00A91B96">
        <w:rPr>
          <w:rStyle w:val="libFootnotenumChar"/>
          <w:rtl/>
        </w:rPr>
        <w:t>(9)</w:t>
      </w:r>
      <w:r w:rsidRPr="00020424">
        <w:rPr>
          <w:rtl/>
          <w:lang w:bidi="fa-IR"/>
        </w:rPr>
        <w:t xml:space="preserve"> عَبْدُ اللهِ بْنُ كَعْبِ بْنِ مَالِكٍ : إِنَّ أَبِي أَخْبَرَنِي </w:t>
      </w:r>
      <w:r w:rsidRPr="00A91B96">
        <w:rPr>
          <w:rStyle w:val="libFootnotenumChar"/>
          <w:rtl/>
        </w:rPr>
        <w:t>(10)</w:t>
      </w:r>
      <w:r w:rsidRPr="00020424">
        <w:rPr>
          <w:rtl/>
          <w:lang w:bidi="fa-IR"/>
        </w:rPr>
        <w:t xml:space="preserve"> أَنَّهُ لَزِمَ غَرِيماً لَهُ فِي الْمَسْجِدِ ، فَأَقْبَلَ </w:t>
      </w:r>
      <w:r w:rsidRPr="00A91B96">
        <w:rPr>
          <w:rStyle w:val="libFootnotenumChar"/>
          <w:rtl/>
        </w:rPr>
        <w:t>(11)</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فَدَخَلَ بَيْتَهُ وَنَحْنُ جَالِسَانِ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بك » </w:t>
      </w:r>
      <w:r w:rsidR="00992664" w:rsidRPr="006C7A1F">
        <w:rPr>
          <w:rtl/>
        </w:rPr>
        <w:t>والوافي</w:t>
      </w:r>
      <w:r w:rsidR="00992664" w:rsidRPr="00020424">
        <w:rPr>
          <w:rtl/>
        </w:rPr>
        <w:t xml:space="preserve"> : « وهابه</w:t>
      </w:r>
      <w:r w:rsidR="00992664">
        <w:rPr>
          <w:rtl/>
        </w:rPr>
        <w:t xml:space="preserve"> ».</w:t>
      </w:r>
      <w:r w:rsidR="006C7A1F">
        <w:rPr>
          <w:rtl/>
        </w:rPr>
        <w:t xml:space="preserve"> والم</w:t>
      </w:r>
      <w:r w:rsidR="006C7A1F">
        <w:rPr>
          <w:rFonts w:hint="cs"/>
          <w:rtl/>
        </w:rPr>
        <w:t>ـَ</w:t>
      </w:r>
      <w:r w:rsidR="00992664" w:rsidRPr="00020424">
        <w:rPr>
          <w:rtl/>
        </w:rPr>
        <w:t xml:space="preserve">هابة : الإجلال والمخافة. راجع : </w:t>
      </w:r>
      <w:r w:rsidR="00992664" w:rsidRPr="0012008A">
        <w:rPr>
          <w:rStyle w:val="libFootnoteBoldChar"/>
          <w:rtl/>
        </w:rPr>
        <w:t>النهاية</w:t>
      </w:r>
      <w:r w:rsidR="00992664" w:rsidRPr="00020424">
        <w:rPr>
          <w:rtl/>
        </w:rPr>
        <w:t xml:space="preserve"> ، ج 5 ، ص 285 ( هيب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 « ويدع</w:t>
      </w:r>
      <w:r w:rsidR="00992664">
        <w:rPr>
          <w:rtl/>
        </w:rPr>
        <w:t xml:space="preserve"> ».</w:t>
      </w:r>
      <w:r w:rsidR="00992664" w:rsidRPr="00020424">
        <w:rPr>
          <w:rtl/>
        </w:rPr>
        <w:t xml:space="preserve"> وفي « بف » : « أو يدع</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الإنظار : الإمهال والتأخير. </w:t>
      </w:r>
      <w:r w:rsidR="00992664">
        <w:rPr>
          <w:rtl/>
        </w:rPr>
        <w:t>و «</w:t>
      </w:r>
      <w:r w:rsidR="00992664" w:rsidRPr="00020424">
        <w:rPr>
          <w:rtl/>
        </w:rPr>
        <w:t xml:space="preserve"> من » في « من حقّه » للتبعيض ؛ يعني أو يخفّف عنه ليتمكّن من أدائه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الروضة ، ضمن الحديث الطويل 14816 ، بثلاثة طرق ا</w:t>
      </w:r>
      <w:r w:rsidR="006C7A1F">
        <w:rPr>
          <w:rFonts w:hint="cs"/>
          <w:rtl/>
        </w:rPr>
        <w:t>ُ</w:t>
      </w:r>
      <w:r w:rsidR="00992664" w:rsidRPr="00020424">
        <w:rPr>
          <w:rtl/>
        </w:rPr>
        <w:t>خر ، وتمام الرواية فيه : « من أنظر معسراً</w:t>
      </w:r>
      <w:r w:rsidR="006C7A1F">
        <w:rPr>
          <w:rtl/>
        </w:rPr>
        <w:t xml:space="preserve"> أظلّه الله بظلّه يوم لاظلّ إل</w:t>
      </w:r>
      <w:r w:rsidR="006C7A1F">
        <w:rPr>
          <w:rFonts w:hint="cs"/>
          <w:rtl/>
        </w:rPr>
        <w:t>ّ</w:t>
      </w:r>
      <w:r w:rsidR="006C7A1F">
        <w:rPr>
          <w:rtl/>
        </w:rPr>
        <w:t>ا</w:t>
      </w:r>
      <w:r w:rsidR="006C7A1F">
        <w:rPr>
          <w:rFonts w:hint="cs"/>
          <w:rtl/>
        </w:rPr>
        <w:t xml:space="preserve"> </w:t>
      </w:r>
      <w:r w:rsidR="00992664" w:rsidRPr="00020424">
        <w:rPr>
          <w:rtl/>
        </w:rPr>
        <w:t>ظلّه</w:t>
      </w:r>
      <w:r w:rsidR="00992664">
        <w:rPr>
          <w:rtl/>
        </w:rPr>
        <w:t xml:space="preserve"> ».</w:t>
      </w:r>
      <w:r w:rsidR="00992664" w:rsidRPr="00020424">
        <w:rPr>
          <w:rtl/>
        </w:rPr>
        <w:t xml:space="preserve"> </w:t>
      </w:r>
      <w:r w:rsidR="00992664" w:rsidRPr="00DE76B9">
        <w:rPr>
          <w:rStyle w:val="libFootnoteBoldChar"/>
          <w:rtl/>
        </w:rPr>
        <w:t>تفسير العيّاشي</w:t>
      </w:r>
      <w:r w:rsidR="00992664" w:rsidRPr="00020424">
        <w:rPr>
          <w:rtl/>
        </w:rPr>
        <w:t xml:space="preserve"> ، ج 1 ، ص 153 ، ح 513 ، عن معاوية بن عمّار الدهني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ص 154 ، ضمن ح 519 ، عن ابن سنان ، عن أبي حمزة ، من دون الإسناد إلى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59 ، ح 1703 ، مرسلاً من دون التصريح باسم المعصوم </w:t>
      </w:r>
      <w:r w:rsidR="00992664" w:rsidRPr="00D64ADA">
        <w:rPr>
          <w:rStyle w:val="libFootnoteAlaemChar"/>
          <w:rtl/>
        </w:rPr>
        <w:t>عليه‌السلام</w:t>
      </w:r>
      <w:r w:rsidR="00992664" w:rsidRPr="00020424">
        <w:rPr>
          <w:rtl/>
        </w:rPr>
        <w:t xml:space="preserve"> ، وفي الثلاثة الأخيرة مع اختلاف يسير </w:t>
      </w:r>
      <w:r w:rsidR="006C7A1F">
        <w:rPr>
          <w:rFonts w:hint="cs"/>
          <w:rtl/>
        </w:rPr>
        <w:t>.</w:t>
      </w:r>
      <w:r w:rsidR="00992664" w:rsidRPr="0012008A">
        <w:rPr>
          <w:rStyle w:val="libFootnoteBoldChar"/>
          <w:rtl/>
        </w:rPr>
        <w:t>الوافي</w:t>
      </w:r>
      <w:r w:rsidR="00992664" w:rsidRPr="00020424">
        <w:rPr>
          <w:rtl/>
        </w:rPr>
        <w:t xml:space="preserve"> ، ج 10 ، ص 469 ، ح 9909 ؛ وج 18 ، ص 805 ، ح 18336 ؛ </w:t>
      </w:r>
      <w:r w:rsidR="00992664" w:rsidRPr="0012008A">
        <w:rPr>
          <w:rStyle w:val="libFootnoteBoldChar"/>
          <w:rtl/>
        </w:rPr>
        <w:t>الوسائل</w:t>
      </w:r>
      <w:r w:rsidR="00992664" w:rsidRPr="00020424">
        <w:rPr>
          <w:rtl/>
        </w:rPr>
        <w:t xml:space="preserve"> ، ج 16 ، ص 319 ، ح 21654.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عن بعض النسخ : « وخنا » بالخاء المعجمة.</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حَنَا كفَّه » ، أي عطفه ولواه وأماله ، وكذا حنّاه تحنيةً. راجع : </w:t>
      </w:r>
      <w:r w:rsidR="00992664" w:rsidRPr="00A722B1">
        <w:rPr>
          <w:rStyle w:val="libFootnoteBoldChar"/>
          <w:rtl/>
        </w:rPr>
        <w:t>لسان العرب</w:t>
      </w:r>
      <w:r w:rsidR="00992664" w:rsidRPr="00020424">
        <w:rPr>
          <w:rtl/>
        </w:rPr>
        <w:t xml:space="preserve"> ، ج 14 ، ص 202 ؛ </w:t>
      </w:r>
      <w:r w:rsidR="00992664" w:rsidRPr="00A722B1">
        <w:rPr>
          <w:rStyle w:val="libFootnoteBoldChar"/>
          <w:rtl/>
        </w:rPr>
        <w:t>القاموس المحيط</w:t>
      </w:r>
      <w:r w:rsidR="00992664" w:rsidRPr="00020424">
        <w:rPr>
          <w:rtl/>
        </w:rPr>
        <w:t xml:space="preserve"> ، ج 2 ، ص 1676 ( حنا )</w:t>
      </w:r>
      <w:r w:rsidR="00992664">
        <w:rPr>
          <w:rtl/>
        </w:rPr>
        <w:t>.</w:t>
      </w:r>
      <w:r w:rsidR="00992664" w:rsidRPr="00020424">
        <w:rPr>
          <w:rtl/>
        </w:rPr>
        <w:t xml:space="preserve"> هذا ، وفي </w:t>
      </w:r>
      <w:r w:rsidR="00992664" w:rsidRPr="00DE76B9">
        <w:rPr>
          <w:rStyle w:val="libFootnoteBoldChar"/>
          <w:rtl/>
        </w:rPr>
        <w:t>مرآة العقول</w:t>
      </w:r>
      <w:r w:rsidR="00992664" w:rsidRPr="00020424">
        <w:rPr>
          <w:rtl/>
        </w:rPr>
        <w:t xml:space="preserve"> : « كأنّه طالباً لقوله : من أحبّ</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فَوْرُ جهنّم » : وَهَجُها وغليانها وحرّها. راجع : </w:t>
      </w:r>
      <w:r w:rsidR="00992664" w:rsidRPr="0012008A">
        <w:rPr>
          <w:rStyle w:val="libFootnoteBoldChar"/>
          <w:rtl/>
        </w:rPr>
        <w:t>النهاية</w:t>
      </w:r>
      <w:r w:rsidR="00992664" w:rsidRPr="00020424">
        <w:rPr>
          <w:rtl/>
        </w:rPr>
        <w:t xml:space="preserve"> ، ج 3 ، ص 478 ؛ </w:t>
      </w:r>
      <w:r w:rsidR="00992664" w:rsidRPr="00A722B1">
        <w:rPr>
          <w:rStyle w:val="libFootnoteBoldChar"/>
          <w:rtl/>
        </w:rPr>
        <w:t>لسان العرب</w:t>
      </w:r>
      <w:r w:rsidR="006C7A1F">
        <w:rPr>
          <w:rtl/>
        </w:rPr>
        <w:t xml:space="preserve"> ، ج 5 ، ص 67</w:t>
      </w:r>
      <w:r w:rsidR="00992664" w:rsidRPr="00020424">
        <w:rPr>
          <w:rtl/>
        </w:rPr>
        <w:t>( فور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ظ ، بث ، بح ، بخ ، بر ، بس ، بف ، بك » </w:t>
      </w:r>
      <w:r w:rsidR="00992664" w:rsidRPr="00515444">
        <w:rPr>
          <w:rStyle w:val="libFootnoteBoldChar"/>
          <w:rtl/>
        </w:rPr>
        <w:t>والوافي</w:t>
      </w:r>
      <w:r w:rsidR="00992664" w:rsidRPr="00020424">
        <w:rPr>
          <w:rtl/>
        </w:rPr>
        <w:t xml:space="preserve">. وفي « ى ، جن » والمطبوع </w:t>
      </w:r>
      <w:r w:rsidR="00992664" w:rsidRPr="006C7A1F">
        <w:rPr>
          <w:rtl/>
        </w:rPr>
        <w:t>والوسائل</w:t>
      </w:r>
      <w:r w:rsidR="00992664" w:rsidRPr="00020424">
        <w:rPr>
          <w:rtl/>
        </w:rPr>
        <w:t xml:space="preserve"> : « المعسر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(9). في «بر،بك »</w:t>
            </w:r>
            <w:r w:rsidRPr="00020424">
              <w:rPr>
                <w:rtl/>
              </w:rPr>
              <w:t>:</w:t>
            </w:r>
            <w:r>
              <w:rPr>
                <w:rtl/>
              </w:rPr>
              <w:t xml:space="preserve"> - «</w:t>
            </w:r>
            <w:r w:rsidRPr="00020424">
              <w:rPr>
                <w:rtl/>
              </w:rPr>
              <w:t xml:space="preserve">أبو عبد الله </w:t>
            </w:r>
            <w:r w:rsidRPr="00D64ADA">
              <w:rPr>
                <w:rStyle w:val="libFootnoteAlaemChar"/>
                <w:rtl/>
              </w:rPr>
              <w:t>عليه‌السلام</w:t>
            </w:r>
            <w:r w:rsidRPr="00020424">
              <w:rPr>
                <w:rtl/>
              </w:rPr>
              <w:t xml:space="preserve"> قال لي</w:t>
            </w:r>
            <w:r>
              <w:rPr>
                <w:rtl/>
              </w:rPr>
              <w:t>».</w:t>
            </w:r>
          </w:p>
        </w:tc>
        <w:tc>
          <w:tcPr>
            <w:tcW w:w="4006" w:type="dxa"/>
          </w:tcPr>
          <w:p w:rsidR="006C7A1F" w:rsidRDefault="006C7A1F" w:rsidP="00992664">
            <w:pPr>
              <w:pStyle w:val="libFootnote0"/>
              <w:rPr>
                <w:rtl/>
              </w:rPr>
            </w:pPr>
            <w:r>
              <w:rPr>
                <w:rtl/>
              </w:rPr>
              <w:t xml:space="preserve">(10). </w:t>
            </w:r>
            <w:r w:rsidRPr="00020424">
              <w:rPr>
                <w:rtl/>
              </w:rPr>
              <w:t>في « بر ، بف ، بك » : « أخبره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 « فجاء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C7A1F">
      <w:pPr>
        <w:pStyle w:val="libNormal0"/>
        <w:rPr>
          <w:rtl/>
          <w:lang w:bidi="fa-IR"/>
        </w:rPr>
      </w:pPr>
      <w:r w:rsidRPr="00020424">
        <w:rPr>
          <w:rtl/>
          <w:lang w:bidi="fa-IR"/>
        </w:rPr>
        <w:t xml:space="preserve">ثُمَّ خَرَجَ فِي الْهَاجِرَةِ </w:t>
      </w:r>
      <w:r w:rsidRPr="00A91B96">
        <w:rPr>
          <w:rStyle w:val="libFootnotenumChar"/>
          <w:rtl/>
        </w:rPr>
        <w:t>(1)</w:t>
      </w:r>
      <w:r w:rsidRPr="00020424">
        <w:rPr>
          <w:rtl/>
          <w:lang w:bidi="fa-IR"/>
        </w:rPr>
        <w:t xml:space="preserve"> ، فَكَشَفَ رَسُولُ اللهِ </w:t>
      </w:r>
      <w:r w:rsidR="00B42914" w:rsidRPr="00B42914">
        <w:rPr>
          <w:rStyle w:val="libAlaemChar"/>
          <w:rtl/>
        </w:rPr>
        <w:t>صلى‌الله‌عليه‌وآله‌</w:t>
      </w:r>
      <w:r w:rsidRPr="00020424">
        <w:rPr>
          <w:rtl/>
          <w:lang w:bidi="fa-IR"/>
        </w:rPr>
        <w:t xml:space="preserve"> سِتْرَهُ ، وَقَالَ : يَا </w:t>
      </w:r>
      <w:r w:rsidRPr="00A91B96">
        <w:rPr>
          <w:rStyle w:val="libFootnotenumChar"/>
          <w:rtl/>
        </w:rPr>
        <w:t>(2)</w:t>
      </w:r>
      <w:r w:rsidRPr="00020424">
        <w:rPr>
          <w:rtl/>
          <w:lang w:bidi="fa-IR"/>
        </w:rPr>
        <w:t xml:space="preserve"> كَعْبُ ، مَا زِلْتُمَا جَالِسَيْنِ</w:t>
      </w:r>
      <w:r>
        <w:rPr>
          <w:rtl/>
          <w:lang w:bidi="fa-IR"/>
        </w:rPr>
        <w:t>؟</w:t>
      </w:r>
      <w:r w:rsidRPr="00020424">
        <w:rPr>
          <w:rtl/>
          <w:lang w:bidi="fa-IR"/>
        </w:rPr>
        <w:t xml:space="preserve"> قَالَ : نَعَمْ بِأَبِي وَأُمِّي ، قَالَ : فَأَشَارَ رَسُولُ اللهِ </w:t>
      </w:r>
      <w:r w:rsidR="00B42914" w:rsidRPr="00B42914">
        <w:rPr>
          <w:rStyle w:val="libAlaemChar"/>
          <w:rtl/>
        </w:rPr>
        <w:t>صلى‌الله‌عليه‌وآله‌</w:t>
      </w:r>
      <w:r w:rsidRPr="00020424">
        <w:rPr>
          <w:rtl/>
          <w:lang w:bidi="fa-IR"/>
        </w:rPr>
        <w:t xml:space="preserve"> بِكَفِّهِ : خُذِ </w:t>
      </w:r>
      <w:r w:rsidRPr="00A91B96">
        <w:rPr>
          <w:rStyle w:val="libFootnotenumChar"/>
          <w:rtl/>
        </w:rPr>
        <w:t>(3)</w:t>
      </w:r>
      <w:r w:rsidRPr="00020424">
        <w:rPr>
          <w:rtl/>
          <w:lang w:bidi="fa-IR"/>
        </w:rPr>
        <w:t xml:space="preserve"> النِّصْفَ. قَالَ :</w:t>
      </w:r>
      <w:r>
        <w:rPr>
          <w:rFonts w:hint="cs"/>
          <w:rtl/>
          <w:lang w:bidi="fa-IR"/>
        </w:rPr>
        <w:t xml:space="preserve"> </w:t>
      </w:r>
      <w:r w:rsidRPr="00020424">
        <w:rPr>
          <w:rtl/>
          <w:lang w:bidi="fa-IR"/>
        </w:rPr>
        <w:t xml:space="preserve">فَقُلْتُ </w:t>
      </w:r>
      <w:r w:rsidRPr="00A91B96">
        <w:rPr>
          <w:rStyle w:val="libFootnotenumChar"/>
          <w:rtl/>
        </w:rPr>
        <w:t>(4)</w:t>
      </w:r>
      <w:r w:rsidRPr="00020424">
        <w:rPr>
          <w:rtl/>
          <w:lang w:bidi="fa-IR"/>
        </w:rPr>
        <w:t xml:space="preserve"> : بِأَبِي </w:t>
      </w:r>
      <w:r w:rsidRPr="00A91B96">
        <w:rPr>
          <w:rStyle w:val="libFootnotenumChar"/>
          <w:rtl/>
        </w:rPr>
        <w:t>(5)</w:t>
      </w:r>
      <w:r w:rsidRPr="00020424">
        <w:rPr>
          <w:rtl/>
          <w:lang w:bidi="fa-IR"/>
        </w:rPr>
        <w:t xml:space="preserve"> وَأُمِّي ، ثُمَّ قَالَ </w:t>
      </w:r>
      <w:r w:rsidRPr="00A91B96">
        <w:rPr>
          <w:rStyle w:val="libFootnotenumChar"/>
          <w:rtl/>
        </w:rPr>
        <w:t>(6)</w:t>
      </w:r>
      <w:r w:rsidRPr="00020424">
        <w:rPr>
          <w:rtl/>
          <w:lang w:bidi="fa-IR"/>
        </w:rPr>
        <w:t xml:space="preserve"> : أَتْبِعْهُ بِبَقِيَّةِ حَقِّكَ. قَالَ : فَأَخَذْتُ النِّصْفَ ، وَوَضَعْتُ لَهُ النِّصْفَ</w:t>
      </w:r>
      <w:r>
        <w:rPr>
          <w:rtl/>
          <w:lang w:bidi="fa-IR"/>
        </w:rPr>
        <w:t>».</w:t>
      </w:r>
      <w:r w:rsidRPr="00A91B96">
        <w:rPr>
          <w:rStyle w:val="libFootnotenumChar"/>
          <w:rtl/>
        </w:rPr>
        <w:t>(7)</w:t>
      </w:r>
      <w:r w:rsidRPr="00020424">
        <w:rPr>
          <w:rtl/>
          <w:lang w:bidi="fa-IR"/>
        </w:rPr>
        <w:t>‌</w:t>
      </w:r>
    </w:p>
    <w:p w:rsidR="00992664" w:rsidRPr="00020424" w:rsidRDefault="00992664" w:rsidP="00992664">
      <w:pPr>
        <w:pStyle w:val="libNormal"/>
        <w:rPr>
          <w:rtl/>
          <w:lang w:bidi="fa-IR"/>
        </w:rPr>
      </w:pPr>
      <w:r w:rsidRPr="002B4F07">
        <w:rPr>
          <w:rtl/>
        </w:rPr>
        <w:t>6135</w:t>
      </w:r>
      <w:r w:rsidRPr="001155DE">
        <w:rPr>
          <w:rStyle w:val="libBold2Char"/>
          <w:rtl/>
        </w:rPr>
        <w:t xml:space="preserve"> / 3.</w:t>
      </w:r>
      <w:r w:rsidRPr="00020424">
        <w:rPr>
          <w:rtl/>
          <w:lang w:bidi="fa-IR"/>
        </w:rPr>
        <w:t xml:space="preserve"> عِدَّةٌ مِنْ أَصْحَابِنَا ، عَنْ سَهْلِ بْنِ زِيَادٍ </w:t>
      </w:r>
      <w:r w:rsidRPr="00A91B96">
        <w:rPr>
          <w:rStyle w:val="libFootnotenumChar"/>
          <w:rtl/>
        </w:rPr>
        <w:t>(8)</w:t>
      </w:r>
      <w:r w:rsidRPr="00020424">
        <w:rPr>
          <w:rtl/>
          <w:lang w:bidi="fa-IR"/>
        </w:rPr>
        <w:t xml:space="preserve"> ، عَنْ عَلِيِّ بْنِ أَسْبَاطٍ ، عَنْ يَعْقُوبَ بْنِ سَالِمٍ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خَلُّوا </w:t>
      </w:r>
      <w:r w:rsidR="006C7A1F">
        <w:rPr>
          <w:rtl/>
          <w:lang w:bidi="fa-IR"/>
        </w:rPr>
        <w:t>سَبِيلَ الْمُعْسِرِ كَمَا خَل</w:t>
      </w:r>
      <w:r w:rsidR="006C7A1F">
        <w:rPr>
          <w:rFonts w:hint="cs"/>
          <w:rtl/>
          <w:lang w:bidi="fa-IR"/>
        </w:rPr>
        <w:t>َّ</w:t>
      </w:r>
      <w:r w:rsidR="006C7A1F">
        <w:rPr>
          <w:rtl/>
          <w:lang w:bidi="fa-IR"/>
        </w:rPr>
        <w:t>ا</w:t>
      </w:r>
      <w:r w:rsidRPr="00020424">
        <w:rPr>
          <w:rtl/>
          <w:lang w:bidi="fa-IR"/>
        </w:rPr>
        <w:t xml:space="preserve">هُ اللهُ </w:t>
      </w:r>
      <w:r w:rsidRPr="00A91B96">
        <w:rPr>
          <w:rStyle w:val="libFootnotenumChar"/>
          <w:rtl/>
        </w:rPr>
        <w:t>(9)</w:t>
      </w:r>
      <w:r w:rsidRPr="00020424">
        <w:rPr>
          <w:rtl/>
          <w:lang w:bidi="fa-IR"/>
        </w:rPr>
        <w:t xml:space="preserve"> عَزَّ وَجَلَّ</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2B4F07">
        <w:rPr>
          <w:rtl/>
        </w:rPr>
        <w:t>6136</w:t>
      </w:r>
      <w:r w:rsidRPr="001155DE">
        <w:rPr>
          <w:rStyle w:val="libBold2Char"/>
          <w:rtl/>
        </w:rPr>
        <w:t xml:space="preserve"> / 4.</w:t>
      </w:r>
      <w:r w:rsidRPr="00020424">
        <w:rPr>
          <w:rtl/>
          <w:lang w:bidi="fa-IR"/>
        </w:rPr>
        <w:t xml:space="preserve"> عِدَّةٌ مِنْ أَصْحَابِنَا ، عَنْ سَهْلِ بْنِ زِيَادٍ ، عَنِ الْحَسَنِ </w:t>
      </w:r>
      <w:r w:rsidRPr="00A91B96">
        <w:rPr>
          <w:rStyle w:val="libFootnotenumChar"/>
          <w:rtl/>
        </w:rPr>
        <w:t>(11)</w:t>
      </w:r>
      <w:r w:rsidRPr="00020424">
        <w:rPr>
          <w:rtl/>
          <w:lang w:bidi="fa-IR"/>
        </w:rPr>
        <w:t xml:space="preserve"> بْنِ مَحْبُوبٍ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قال الجوهري : « الهَجْر والهاجِرة : نصف النهار عند اشتداد الحرّ</w:t>
      </w:r>
      <w:r w:rsidR="00992664">
        <w:rPr>
          <w:rtl/>
        </w:rPr>
        <w:t xml:space="preserve"> ».</w:t>
      </w:r>
      <w:r w:rsidR="00992664" w:rsidRPr="00020424">
        <w:rPr>
          <w:rtl/>
        </w:rPr>
        <w:t xml:space="preserve"> وقال ابن الأثير : « الهجير والهاجرة : اشتداد الحرّ نصف النهار</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851 ؛ </w:t>
      </w:r>
      <w:r w:rsidR="00992664" w:rsidRPr="0012008A">
        <w:rPr>
          <w:rStyle w:val="libFootnoteBoldChar"/>
          <w:rtl/>
        </w:rPr>
        <w:t>النهاية</w:t>
      </w:r>
      <w:r w:rsidR="00992664" w:rsidRPr="00020424">
        <w:rPr>
          <w:rtl/>
        </w:rPr>
        <w:t xml:space="preserve"> ، ج 5 ، ص 246 ( هجر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بك » :</w:t>
      </w:r>
      <w:r w:rsidR="00992664">
        <w:rPr>
          <w:rtl/>
        </w:rPr>
        <w:t xml:space="preserve"> </w:t>
      </w:r>
      <w:r w:rsidR="009B673F">
        <w:rPr>
          <w:rtl/>
        </w:rPr>
        <w:t>-</w:t>
      </w:r>
      <w:r w:rsidR="00992664">
        <w:rPr>
          <w:rtl/>
        </w:rPr>
        <w:t xml:space="preserve"> </w:t>
      </w:r>
      <w:r w:rsidR="00992664" w:rsidRPr="00020424">
        <w:rPr>
          <w:rtl/>
        </w:rPr>
        <w:t>« يا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بك » </w:t>
      </w:r>
      <w:r w:rsidR="00992664" w:rsidRPr="006C7A1F">
        <w:rPr>
          <w:rtl/>
        </w:rPr>
        <w:t>والوافي</w:t>
      </w:r>
      <w:r w:rsidR="00992664" w:rsidRPr="00020424">
        <w:rPr>
          <w:rtl/>
        </w:rPr>
        <w:t xml:space="preserve"> : « خلّه</w:t>
      </w:r>
      <w:r w:rsidR="00992664">
        <w:rPr>
          <w:rtl/>
        </w:rPr>
        <w:t xml:space="preserve"> ».</w:t>
      </w:r>
      <w:r w:rsidR="00992664" w:rsidRPr="00020424">
        <w:rPr>
          <w:rtl/>
        </w:rPr>
        <w:t xml:space="preserve"> وفي هامش المطبوع عن بعض النسخ : « خلّ » بدون الضمير.</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 xml:space="preserve">(4). </w:t>
            </w:r>
            <w:r w:rsidRPr="00020424">
              <w:rPr>
                <w:rtl/>
              </w:rPr>
              <w:t xml:space="preserve">في « بخ ، بر ، بف ، بك » </w:t>
            </w:r>
            <w:r w:rsidRPr="006C7A1F">
              <w:rPr>
                <w:rtl/>
              </w:rPr>
              <w:t>والوافي</w:t>
            </w:r>
            <w:r w:rsidRPr="00020424">
              <w:rPr>
                <w:rtl/>
              </w:rPr>
              <w:t xml:space="preserve"> : « قلت</w:t>
            </w:r>
            <w:r>
              <w:rPr>
                <w:rtl/>
              </w:rPr>
              <w:t xml:space="preserve"> ».</w:t>
            </w:r>
          </w:p>
        </w:tc>
        <w:tc>
          <w:tcPr>
            <w:tcW w:w="4006" w:type="dxa"/>
          </w:tcPr>
          <w:p w:rsidR="006C7A1F" w:rsidRDefault="006C7A1F" w:rsidP="00992664">
            <w:pPr>
              <w:pStyle w:val="libFootnote0"/>
              <w:rPr>
                <w:rtl/>
              </w:rPr>
            </w:pPr>
            <w:r>
              <w:rPr>
                <w:rtl/>
              </w:rPr>
              <w:t xml:space="preserve">(5). </w:t>
            </w:r>
            <w:r w:rsidRPr="00020424">
              <w:rPr>
                <w:rtl/>
              </w:rPr>
              <w:t>في « بث » وحاشية « جن » : + « أنت</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بس » وحاشية « ظ » </w:t>
      </w:r>
      <w:r w:rsidR="00992664" w:rsidRPr="006C7A1F">
        <w:rPr>
          <w:rtl/>
        </w:rPr>
        <w:t>والوسائل</w:t>
      </w:r>
      <w:r w:rsidR="00992664" w:rsidRPr="00020424">
        <w:rPr>
          <w:rtl/>
        </w:rPr>
        <w:t xml:space="preserve"> : + « 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6C7A1F">
        <w:rPr>
          <w:rStyle w:val="libFootnoteBoldChar"/>
          <w:rtl/>
        </w:rPr>
        <w:t>الأمالي للمفيد</w:t>
      </w:r>
      <w:r w:rsidR="00992664" w:rsidRPr="00020424">
        <w:rPr>
          <w:rtl/>
        </w:rPr>
        <w:t xml:space="preserve"> ، ص 315 ، المجلس 37 ، ذيل ح 7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83 ، المجلس 3 ، ذيل ح 32 ؛ وص 459 ، المجلس 16 ، ذيل ح 31 ، بسند آخر عن جعفر بن محمّد ، عن محمّد بن عليّ </w:t>
      </w:r>
      <w:r w:rsidR="00D64ADA" w:rsidRPr="00D64ADA">
        <w:rPr>
          <w:rStyle w:val="libFootnoteAlaemChar"/>
          <w:rtl/>
        </w:rPr>
        <w:t>عليهما‌السلام</w:t>
      </w:r>
      <w:r w:rsidR="00992664" w:rsidRPr="00020424">
        <w:rPr>
          <w:rtl/>
        </w:rPr>
        <w:t xml:space="preserve"> ، عن أبي لبابة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تفسير العيّاشي</w:t>
      </w:r>
      <w:r w:rsidR="00992664" w:rsidRPr="00020424">
        <w:rPr>
          <w:rtl/>
        </w:rPr>
        <w:t xml:space="preserve"> ، ج 1 ، ص 154 ، ح 515 ، عن القاسم بن سليمان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 إلى قوله : « من أنظر غريماً أو ترك لمعسر » مع اختلاف يسير </w:t>
      </w:r>
      <w:r w:rsidR="006C7A1F">
        <w:rPr>
          <w:rFonts w:hint="cs"/>
          <w:rtl/>
        </w:rPr>
        <w:t>.</w:t>
      </w:r>
      <w:r w:rsidR="00992664" w:rsidRPr="0012008A">
        <w:rPr>
          <w:rStyle w:val="libFootnoteBoldChar"/>
          <w:rtl/>
        </w:rPr>
        <w:t>الوافي</w:t>
      </w:r>
      <w:r w:rsidR="00992664" w:rsidRPr="00020424">
        <w:rPr>
          <w:rtl/>
        </w:rPr>
        <w:t xml:space="preserve"> ، ج 10 ، ص 470 ، ح 9910 ؛ </w:t>
      </w:r>
      <w:r w:rsidR="00992664" w:rsidRPr="0012008A">
        <w:rPr>
          <w:rStyle w:val="libFootnoteBoldChar"/>
          <w:rtl/>
        </w:rPr>
        <w:t>الوسائل</w:t>
      </w:r>
      <w:r w:rsidR="00992664" w:rsidRPr="00020424">
        <w:rPr>
          <w:rtl/>
        </w:rPr>
        <w:t xml:space="preserve"> ، ج 16 ، ص 319 ، ح 21655.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 عن ابن محبوب</w:t>
      </w:r>
      <w:r w:rsidR="00992664">
        <w:rPr>
          <w:rtl/>
        </w:rPr>
        <w:t xml:space="preserve"> ».</w:t>
      </w:r>
      <w:r w:rsidR="00992664" w:rsidRPr="00020424">
        <w:rPr>
          <w:rtl/>
        </w:rPr>
        <w:t xml:space="preserve"> وهو سهو ؛ فقد أكثر سهل بن زياد من الرواية عن عليّ بن أسباط ، ولم‌يثبت في شي‌ء منها توسّط ابن محبوب</w:t>
      </w:r>
      <w:r w:rsidR="00992664">
        <w:rPr>
          <w:rtl/>
        </w:rPr>
        <w:t xml:space="preserve"> </w:t>
      </w:r>
      <w:r w:rsidR="009B673F">
        <w:rPr>
          <w:rtl/>
        </w:rPr>
        <w:t>-</w:t>
      </w:r>
      <w:r w:rsidR="00992664">
        <w:rPr>
          <w:rtl/>
        </w:rPr>
        <w:t xml:space="preserve"> </w:t>
      </w:r>
      <w:r w:rsidR="00992664" w:rsidRPr="00020424">
        <w:rPr>
          <w:rtl/>
        </w:rPr>
        <w:t>وهو الحسن</w:t>
      </w:r>
      <w:r w:rsidR="00992664">
        <w:rPr>
          <w:rtl/>
        </w:rPr>
        <w:t xml:space="preserve"> </w:t>
      </w:r>
      <w:r w:rsidR="009B673F">
        <w:rPr>
          <w:rtl/>
        </w:rPr>
        <w:t>-</w:t>
      </w:r>
      <w:r w:rsidR="00992664">
        <w:rPr>
          <w:rtl/>
        </w:rPr>
        <w:t xml:space="preserve"> </w:t>
      </w:r>
      <w:r w:rsidR="00992664" w:rsidRPr="00020424">
        <w:rPr>
          <w:rtl/>
        </w:rPr>
        <w:t>بينهما ، كما لم يثبت رواية ابن محبوب عن عليّ بن أسباط في موضع.</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أي اتركوه وأعرضوا عنه ، كما تركه الله ، حيث قال : </w:t>
      </w:r>
      <w:r w:rsidR="00992664" w:rsidRPr="006C7A1F">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فَنَظِرَةٌ إِلى مَيْسَرَةٍ </w:t>
      </w:r>
      <w:r w:rsidR="00992664" w:rsidRPr="006C7A1F">
        <w:rPr>
          <w:rStyle w:val="libFootnoteAlaemChar"/>
          <w:rtl/>
        </w:rPr>
        <w:t>)</w:t>
      </w:r>
      <w:r w:rsidR="006C7A1F">
        <w:rPr>
          <w:rtl/>
        </w:rPr>
        <w:t xml:space="preserve"> [</w:t>
      </w:r>
      <w:r w:rsidR="00992664" w:rsidRPr="00020424">
        <w:rPr>
          <w:rtl/>
        </w:rPr>
        <w:t xml:space="preserve">البقرة </w:t>
      </w:r>
      <w:r w:rsidR="006C7A1F">
        <w:rPr>
          <w:rtl/>
        </w:rPr>
        <w:t>(2):28</w:t>
      </w:r>
      <w:r w:rsidR="00992664" w:rsidRPr="00020424">
        <w:rPr>
          <w:rtl/>
        </w:rPr>
        <w:t>]</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الفقيه</w:t>
      </w:r>
      <w:r w:rsidR="00992664" w:rsidRPr="00020424">
        <w:rPr>
          <w:rtl/>
        </w:rPr>
        <w:t xml:space="preserve"> ، ج 2 ، ص 59 ، ح 1702 ، مرسلاً من دون التصريح باسم المعصوم </w:t>
      </w:r>
      <w:r w:rsidR="00992664" w:rsidRPr="00D64ADA">
        <w:rPr>
          <w:rStyle w:val="libFootnoteAlaemChar"/>
          <w:rtl/>
        </w:rPr>
        <w:t>عليه‌السلام</w:t>
      </w:r>
      <w:r w:rsidR="00992664" w:rsidRPr="00020424">
        <w:rPr>
          <w:rtl/>
        </w:rPr>
        <w:t xml:space="preserve"> </w:t>
      </w:r>
      <w:r w:rsidR="006C7A1F">
        <w:rPr>
          <w:rFonts w:hint="cs"/>
          <w:rtl/>
        </w:rPr>
        <w:t>.</w:t>
      </w:r>
      <w:r w:rsidR="00992664" w:rsidRPr="0012008A">
        <w:rPr>
          <w:rStyle w:val="libFootnoteBoldChar"/>
          <w:rtl/>
        </w:rPr>
        <w:t>الوافي</w:t>
      </w:r>
      <w:r w:rsidR="00992664" w:rsidRPr="00020424">
        <w:rPr>
          <w:rtl/>
        </w:rPr>
        <w:t xml:space="preserve"> ، ج 10 ، ص 470 ، ح 9911 ؛ </w:t>
      </w:r>
      <w:r w:rsidR="00992664" w:rsidRPr="0012008A">
        <w:rPr>
          <w:rStyle w:val="libFootnoteBoldChar"/>
          <w:rtl/>
        </w:rPr>
        <w:t>الوسائل</w:t>
      </w:r>
      <w:r w:rsidR="00992664" w:rsidRPr="00020424">
        <w:rPr>
          <w:rtl/>
        </w:rPr>
        <w:t xml:space="preserve"> ، ج 16 ، ص 320 ، ح 21656.</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C7A1F">
      <w:pPr>
        <w:pStyle w:val="libNormal0"/>
        <w:rPr>
          <w:rtl/>
          <w:lang w:bidi="fa-IR"/>
        </w:rPr>
      </w:pPr>
      <w:r w:rsidRPr="00020424">
        <w:rPr>
          <w:rtl/>
          <w:lang w:bidi="fa-IR"/>
        </w:rPr>
        <w:t xml:space="preserve">يَحْيَى بْنِ عَبْدِ اللهِ بْنِ الْحَسَنِ بْنِ الْحَسَنِ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صَعِدَ رَسُولُ اللهِ </w:t>
      </w:r>
      <w:r w:rsidR="00B42914" w:rsidRPr="00B42914">
        <w:rPr>
          <w:rStyle w:val="libAlaemChar"/>
          <w:rtl/>
        </w:rPr>
        <w:t>صلى‌الله‌عليه‌وآله‌</w:t>
      </w:r>
      <w:r w:rsidRPr="00020424">
        <w:rPr>
          <w:rtl/>
          <w:lang w:bidi="fa-IR"/>
        </w:rPr>
        <w:t xml:space="preserve"> الْمِنْبَرَ ذَاتَ يَوْمٍ ، فَحَمِدَ اللهَ وَأَثْنى عَلَيْهِ ، وَصَلّى عَلى أَنْبِيَائِهِ صَلَّى اللهُ عَلَيْهِمْ </w:t>
      </w:r>
      <w:r w:rsidRPr="00A91B96">
        <w:rPr>
          <w:rStyle w:val="libFootnotenumChar"/>
          <w:rtl/>
        </w:rPr>
        <w:t>(2)</w:t>
      </w:r>
      <w:r w:rsidRPr="00020424">
        <w:rPr>
          <w:rtl/>
          <w:lang w:bidi="fa-IR"/>
        </w:rPr>
        <w:t xml:space="preserve"> ، ثُمَّ قَالَ : أَيُّهَا النَّاسُ ، لِيُبَلِّغِ الشَّاهِدُ مِنْكُمُ الْغَائِبَ </w:t>
      </w:r>
      <w:r w:rsidRPr="00A91B96">
        <w:rPr>
          <w:rStyle w:val="libFootnotenumChar"/>
          <w:rtl/>
        </w:rPr>
        <w:t>(3)</w:t>
      </w:r>
      <w:r w:rsidRPr="00020424">
        <w:rPr>
          <w:rtl/>
          <w:lang w:bidi="fa-IR"/>
        </w:rPr>
        <w:t xml:space="preserve"> ، أَلَا وَمَنْ أَنْظَرَ مُعْسِراً ، كَانَ لَهُ عَلَى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فِي كُلِّ يَوْمٍ </w:t>
      </w:r>
      <w:r w:rsidRPr="00A91B96">
        <w:rPr>
          <w:rStyle w:val="libFootnotenumChar"/>
          <w:rtl/>
        </w:rPr>
        <w:t>(4)</w:t>
      </w:r>
      <w:r w:rsidRPr="00020424">
        <w:rPr>
          <w:rtl/>
          <w:lang w:bidi="fa-IR"/>
        </w:rPr>
        <w:t xml:space="preserve"> صَدَقَةٌ بِمِثْلِ </w:t>
      </w:r>
      <w:r w:rsidRPr="00A91B96">
        <w:rPr>
          <w:rStyle w:val="libFootnotenumChar"/>
          <w:rtl/>
        </w:rPr>
        <w:t>(5)</w:t>
      </w:r>
      <w:r w:rsidRPr="00020424">
        <w:rPr>
          <w:rtl/>
          <w:lang w:bidi="fa-IR"/>
        </w:rPr>
        <w:t xml:space="preserve"> مَالِهِ حَتّى يَسْتَوْفِيَهُ</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أَبُو عَبْدِ اللهِ </w:t>
      </w:r>
      <w:r w:rsidRPr="00005A81">
        <w:rPr>
          <w:rStyle w:val="libAlaemChar"/>
          <w:rtl/>
        </w:rPr>
        <w:t>عليه‌السلام</w:t>
      </w:r>
      <w:r w:rsidRPr="00020424">
        <w:rPr>
          <w:rtl/>
          <w:lang w:bidi="fa-IR"/>
        </w:rPr>
        <w:t xml:space="preserve"> </w:t>
      </w:r>
      <w:r w:rsidRPr="00A91B96">
        <w:rPr>
          <w:rStyle w:val="libFootnotenumChar"/>
          <w:rtl/>
        </w:rPr>
        <w:t>(6)</w:t>
      </w:r>
      <w:r w:rsidRPr="00020424">
        <w:rPr>
          <w:rtl/>
          <w:lang w:bidi="fa-IR"/>
        </w:rPr>
        <w:t xml:space="preserve"> : « </w:t>
      </w:r>
      <w:r w:rsidRPr="00005A81">
        <w:rPr>
          <w:rStyle w:val="libAlaemChar"/>
          <w:rtl/>
        </w:rPr>
        <w:t>(</w:t>
      </w:r>
      <w:r w:rsidRPr="004E5AB4">
        <w:rPr>
          <w:rStyle w:val="libAieChar"/>
          <w:rtl/>
        </w:rPr>
        <w:t xml:space="preserve"> وَإِنْ كانَ ذُو عُسْرَةٍ فَنَظِرَةٌ إِلى مَيْسَرَةٍ وَأَنْ تَصَدَّقُوا خَيْرٌ لَكُمْ إِنْ كُنْتُمْ تَعْلَمُونَ </w:t>
      </w:r>
      <w:r w:rsidRPr="00005A81">
        <w:rPr>
          <w:rStyle w:val="libAlaemChar"/>
          <w:rtl/>
        </w:rPr>
        <w:t>)</w:t>
      </w:r>
      <w:r w:rsidRPr="00020424">
        <w:rPr>
          <w:rtl/>
          <w:lang w:bidi="fa-IR"/>
        </w:rPr>
        <w:t xml:space="preserve"> </w:t>
      </w:r>
      <w:r w:rsidRPr="00A91B96">
        <w:rPr>
          <w:rStyle w:val="libFootnotenumChar"/>
          <w:rtl/>
        </w:rPr>
        <w:t>(7)</w:t>
      </w:r>
      <w:r w:rsidRPr="00020424">
        <w:rPr>
          <w:rtl/>
          <w:lang w:bidi="fa-IR"/>
        </w:rPr>
        <w:t xml:space="preserve"> أَنَّهُ مُعْسِرٌ ، فَتَصَدَّقُوا عَلَيْهِ بِمَالِكُمْ ، فَهُوَ خَيْرٌ لَكُمْ</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250" w:name="_Toc345172800"/>
      <w:bookmarkStart w:id="251" w:name="_Toc464562616"/>
      <w:bookmarkStart w:id="252" w:name="_Toc44599919"/>
      <w:r w:rsidRPr="00020424">
        <w:rPr>
          <w:rtl/>
          <w:lang w:bidi="fa-IR"/>
        </w:rPr>
        <w:t>78</w:t>
      </w:r>
      <w:r>
        <w:rPr>
          <w:rtl/>
          <w:lang w:bidi="fa-IR"/>
        </w:rPr>
        <w:t xml:space="preserve"> </w:t>
      </w:r>
      <w:r w:rsidR="009B673F">
        <w:rPr>
          <w:rtl/>
          <w:lang w:bidi="fa-IR"/>
        </w:rPr>
        <w:t>-</w:t>
      </w:r>
      <w:r>
        <w:rPr>
          <w:rtl/>
          <w:lang w:bidi="fa-IR"/>
        </w:rPr>
        <w:t xml:space="preserve"> </w:t>
      </w:r>
      <w:r w:rsidRPr="00020424">
        <w:rPr>
          <w:rtl/>
          <w:lang w:bidi="fa-IR"/>
        </w:rPr>
        <w:t>بَابُ تَحْلِيلِ الْمَيِّتِ‌</w:t>
      </w:r>
      <w:bookmarkEnd w:id="250"/>
      <w:bookmarkEnd w:id="251"/>
      <w:bookmarkEnd w:id="252"/>
    </w:p>
    <w:p w:rsidR="006C7A1F" w:rsidRDefault="00992664" w:rsidP="006C7A1F">
      <w:pPr>
        <w:pStyle w:val="libNormal"/>
        <w:rPr>
          <w:rtl/>
          <w:lang w:bidi="fa-IR"/>
        </w:rPr>
      </w:pPr>
      <w:r w:rsidRPr="002B4F07">
        <w:rPr>
          <w:rtl/>
        </w:rPr>
        <w:t>6137</w:t>
      </w:r>
      <w:r w:rsidRPr="001155DE">
        <w:rPr>
          <w:rStyle w:val="libBold2Char"/>
          <w:rtl/>
        </w:rPr>
        <w:t xml:space="preserve"> / 1.</w:t>
      </w:r>
      <w:r w:rsidRPr="00020424">
        <w:rPr>
          <w:rtl/>
          <w:lang w:bidi="fa-IR"/>
        </w:rPr>
        <w:t xml:space="preserve"> عَلِيُّ بْنُ إِبْرَاهِيمَ ، عَنْ أَبِيهِ ؛</w:t>
      </w:r>
    </w:p>
    <w:p w:rsidR="00992664" w:rsidRPr="00020424" w:rsidRDefault="006C7A1F" w:rsidP="006C7A1F">
      <w:pPr>
        <w:pStyle w:val="libNormal"/>
        <w:rPr>
          <w:rtl/>
          <w:lang w:bidi="fa-IR"/>
        </w:rPr>
      </w:pPr>
      <w:r>
        <w:rPr>
          <w:rFonts w:hint="cs"/>
          <w:rtl/>
          <w:lang w:bidi="fa-IR"/>
        </w:rPr>
        <w:t xml:space="preserve">             </w:t>
      </w:r>
      <w:r w:rsidR="00992664" w:rsidRPr="00020424">
        <w:rPr>
          <w:rtl/>
          <w:lang w:bidi="fa-IR"/>
        </w:rPr>
        <w:t xml:space="preserve">وَمُحَمَّدُ بْنُ إِسْمَاعِيلَ ، عَنِ الْفَضْلِ بْنِ شَاذَانَ جَمِيعاً ، عَنِ ابْنِ أَبِي عُمَيْرٍ ، عَنْ إِبْرَاهِيمَ بْنِ عَبْدِ الْحَمِيدِ ، عَنِ الْحَسَنِ بْنِ خُنَيْسٍ </w:t>
      </w:r>
      <w:r w:rsidR="00992664" w:rsidRPr="00A91B96">
        <w:rPr>
          <w:rStyle w:val="libFootnotenumChar"/>
          <w:rtl/>
        </w:rPr>
        <w:t>(9)</w:t>
      </w:r>
      <w:r w:rsidR="00992664"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لِعَبْدِ الرَّحْمنِ بْنِ سَيَابَةَ دَيْناً عَلى رَجُلٍ قَدْ مَاتَ ، وَقَدْ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بر » : « عن يحيى بن عبد الله بن الحسن</w:t>
      </w:r>
      <w:r w:rsidR="00992664">
        <w:rPr>
          <w:rtl/>
        </w:rPr>
        <w:t xml:space="preserve"> ».</w:t>
      </w:r>
    </w:p>
    <w:p w:rsidR="00992664" w:rsidRPr="00020424" w:rsidRDefault="00795177" w:rsidP="006C7A1F">
      <w:pPr>
        <w:pStyle w:val="libFootnote0"/>
        <w:rPr>
          <w:rtl/>
          <w:lang w:bidi="fa-IR"/>
        </w:rPr>
      </w:pPr>
      <w:r>
        <w:rPr>
          <w:rtl/>
        </w:rPr>
        <w:t>(2).</w:t>
      </w:r>
      <w:r w:rsidR="0014403D">
        <w:rPr>
          <w:rtl/>
        </w:rPr>
        <w:t xml:space="preserve"> </w:t>
      </w:r>
      <w:r w:rsidR="00992664" w:rsidRPr="00020424">
        <w:rPr>
          <w:rtl/>
        </w:rPr>
        <w:t>في « بس » : « صلوات الله عليهم</w:t>
      </w:r>
      <w:r w:rsidR="00992664">
        <w:rPr>
          <w:rtl/>
        </w:rPr>
        <w:t xml:space="preserve"> ».</w:t>
      </w:r>
      <w:r w:rsidR="00992664" w:rsidRPr="00020424">
        <w:rPr>
          <w:rtl/>
        </w:rPr>
        <w:t xml:space="preserve"> وفي « جن » </w:t>
      </w:r>
      <w:r w:rsidR="00992664" w:rsidRPr="006C7A1F">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صلّى الله عليهم</w:t>
      </w:r>
      <w:r w:rsidR="00992664">
        <w:rPr>
          <w:rtl/>
        </w:rPr>
        <w:t xml:space="preserve"> ».</w:t>
      </w:r>
      <w:r w:rsidR="00992664" w:rsidRPr="00020424">
        <w:rPr>
          <w:rtl/>
        </w:rPr>
        <w:t xml:space="preserve"> وفي </w:t>
      </w:r>
      <w:r w:rsidR="00992664" w:rsidRPr="006C7A1F">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وصلّى على‌أنبيائه صلّى الله عليهم</w:t>
      </w:r>
      <w:r w:rsidR="00992664">
        <w:rPr>
          <w:rtl/>
        </w:rPr>
        <w:t xml:space="preserve"> ».</w:t>
      </w:r>
      <w:r w:rsidR="00A90FD5">
        <w:rPr>
          <w:rFonts w:hint="cs"/>
          <w:rtl/>
        </w:rPr>
        <w:t xml:space="preserve">               </w:t>
      </w:r>
      <w:r w:rsidR="006C7A1F">
        <w:rPr>
          <w:rFonts w:hint="cs"/>
          <w:rtl/>
        </w:rPr>
        <w:t xml:space="preserve">       </w:t>
      </w:r>
      <w:r>
        <w:rPr>
          <w:rtl/>
        </w:rPr>
        <w:t>(3).</w:t>
      </w:r>
      <w:r w:rsidR="0014403D">
        <w:rPr>
          <w:rtl/>
        </w:rPr>
        <w:t xml:space="preserve"> </w:t>
      </w:r>
      <w:r w:rsidR="006C7A1F">
        <w:rPr>
          <w:rtl/>
        </w:rPr>
        <w:t>في «بخ،بر،بف</w:t>
      </w:r>
      <w:r w:rsidR="00992664" w:rsidRPr="00020424">
        <w:rPr>
          <w:rtl/>
        </w:rPr>
        <w:t xml:space="preserve">» </w:t>
      </w:r>
      <w:r w:rsidR="00992664" w:rsidRPr="006C7A1F">
        <w:rPr>
          <w:rtl/>
        </w:rPr>
        <w:t>والوافي</w:t>
      </w:r>
      <w:r w:rsidR="00992664" w:rsidRPr="00020424">
        <w:rPr>
          <w:rtl/>
        </w:rPr>
        <w:t xml:space="preserve"> </w:t>
      </w:r>
      <w:r w:rsidR="006C7A1F">
        <w:rPr>
          <w:rtl/>
        </w:rPr>
        <w:t>: «</w:t>
      </w:r>
      <w:r w:rsidR="00992664" w:rsidRPr="00020424">
        <w:rPr>
          <w:rtl/>
        </w:rPr>
        <w:t>الغائب منكم</w:t>
      </w:r>
      <w:r w:rsidR="00992664">
        <w:rPr>
          <w:rtl/>
        </w:rPr>
        <w:t>».</w:t>
      </w:r>
    </w:p>
    <w:tbl>
      <w:tblPr>
        <w:tblStyle w:val="TableGrid"/>
        <w:bidiVisual/>
        <w:tblW w:w="0" w:type="auto"/>
        <w:tblLook w:val="04A0" w:firstRow="1" w:lastRow="0" w:firstColumn="1" w:lastColumn="0" w:noHBand="0" w:noVBand="1"/>
      </w:tblPr>
      <w:tblGrid>
        <w:gridCol w:w="4006"/>
        <w:gridCol w:w="4006"/>
      </w:tblGrid>
      <w:tr w:rsidR="006C7A1F" w:rsidTr="006C7A1F">
        <w:tc>
          <w:tcPr>
            <w:tcW w:w="4006" w:type="dxa"/>
          </w:tcPr>
          <w:p w:rsidR="006C7A1F" w:rsidRDefault="006C7A1F" w:rsidP="00992664">
            <w:pPr>
              <w:pStyle w:val="libFootnote0"/>
              <w:rPr>
                <w:rtl/>
              </w:rPr>
            </w:pPr>
            <w:r>
              <w:rPr>
                <w:rtl/>
              </w:rPr>
              <w:t xml:space="preserve">(4). </w:t>
            </w:r>
            <w:r w:rsidRPr="00020424">
              <w:rPr>
                <w:rtl/>
              </w:rPr>
              <w:t xml:space="preserve">في </w:t>
            </w:r>
            <w:r w:rsidRPr="006C7A1F">
              <w:rPr>
                <w:rtl/>
              </w:rPr>
              <w:t>الوافي</w:t>
            </w:r>
            <w:r w:rsidRPr="00020424">
              <w:rPr>
                <w:rtl/>
              </w:rPr>
              <w:t xml:space="preserve"> : + « ثواب</w:t>
            </w:r>
            <w:r>
              <w:rPr>
                <w:rtl/>
              </w:rPr>
              <w:t xml:space="preserve"> ».</w:t>
            </w:r>
          </w:p>
        </w:tc>
        <w:tc>
          <w:tcPr>
            <w:tcW w:w="4006" w:type="dxa"/>
          </w:tcPr>
          <w:p w:rsidR="006C7A1F" w:rsidRDefault="006C7A1F" w:rsidP="00992664">
            <w:pPr>
              <w:pStyle w:val="libFootnote0"/>
              <w:rPr>
                <w:rtl/>
              </w:rPr>
            </w:pPr>
            <w:r>
              <w:rPr>
                <w:rtl/>
              </w:rPr>
              <w:t xml:space="preserve">(5). </w:t>
            </w:r>
            <w:r w:rsidRPr="00020424">
              <w:rPr>
                <w:rtl/>
              </w:rPr>
              <w:t>في « ى » : « مثل</w:t>
            </w:r>
            <w:r>
              <w:rPr>
                <w:rtl/>
              </w:rPr>
              <w:t xml:space="preserve"> ».</w:t>
            </w:r>
          </w:p>
        </w:tc>
      </w:tr>
      <w:tr w:rsidR="006C7A1F" w:rsidTr="006C7A1F">
        <w:tc>
          <w:tcPr>
            <w:tcW w:w="4006" w:type="dxa"/>
          </w:tcPr>
          <w:p w:rsidR="006C7A1F" w:rsidRDefault="006C7A1F" w:rsidP="00992664">
            <w:pPr>
              <w:pStyle w:val="libFootnote0"/>
              <w:rPr>
                <w:rtl/>
              </w:rPr>
            </w:pPr>
            <w:r>
              <w:rPr>
                <w:rtl/>
              </w:rPr>
              <w:t xml:space="preserve">(6). </w:t>
            </w:r>
            <w:r w:rsidRPr="00020424">
              <w:rPr>
                <w:rtl/>
              </w:rPr>
              <w:t xml:space="preserve">في </w:t>
            </w:r>
            <w:r w:rsidRPr="006C7A1F">
              <w:rPr>
                <w:rtl/>
              </w:rPr>
              <w:t>الوافي والفقيه</w:t>
            </w:r>
            <w:r w:rsidRPr="00020424">
              <w:rPr>
                <w:rtl/>
              </w:rPr>
              <w:t xml:space="preserve"> : + « قال الله</w:t>
            </w:r>
            <w:r>
              <w:rPr>
                <w:rtl/>
              </w:rPr>
              <w:t xml:space="preserve"> ».</w:t>
            </w:r>
          </w:p>
        </w:tc>
        <w:tc>
          <w:tcPr>
            <w:tcW w:w="4006" w:type="dxa"/>
          </w:tcPr>
          <w:p w:rsidR="006C7A1F" w:rsidRDefault="006C7A1F" w:rsidP="00992664">
            <w:pPr>
              <w:pStyle w:val="libFootnote0"/>
              <w:rPr>
                <w:rtl/>
              </w:rPr>
            </w:pPr>
            <w:r>
              <w:rPr>
                <w:rtl/>
              </w:rPr>
              <w:t xml:space="preserve">(7). </w:t>
            </w:r>
            <w:r w:rsidRPr="00020424">
              <w:rPr>
                <w:rtl/>
              </w:rPr>
              <w:t xml:space="preserve">البقرة </w:t>
            </w:r>
            <w:r>
              <w:rPr>
                <w:rtl/>
              </w:rPr>
              <w:t xml:space="preserve">(2) </w:t>
            </w:r>
            <w:r w:rsidRPr="00020424">
              <w:rPr>
                <w:rtl/>
              </w:rPr>
              <w:t>: 280.</w:t>
            </w:r>
          </w:p>
        </w:tc>
      </w:tr>
    </w:tbl>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58 ، ح 1701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العيّاشي</w:t>
      </w:r>
      <w:r w:rsidR="00992664" w:rsidRPr="00020424">
        <w:rPr>
          <w:rtl/>
        </w:rPr>
        <w:t xml:space="preserve"> ، ج 1 ، ص 154 ، ذيل ح 519 ، عن ابن سنان ، عن أبي حمزة ، من دون الإسناد إلى المعصوم </w:t>
      </w:r>
      <w:r w:rsidR="00992664" w:rsidRPr="00D64ADA">
        <w:rPr>
          <w:rStyle w:val="libFootnoteAlaemChar"/>
          <w:rtl/>
        </w:rPr>
        <w:t>عليه‌السلام</w:t>
      </w:r>
      <w:r w:rsidR="00992664" w:rsidRPr="00020424">
        <w:rPr>
          <w:rtl/>
        </w:rPr>
        <w:t xml:space="preserve"> ، مع اختلاف </w:t>
      </w:r>
      <w:r w:rsidR="006C7A1F">
        <w:rPr>
          <w:rFonts w:hint="cs"/>
          <w:rtl/>
        </w:rPr>
        <w:t>.</w:t>
      </w:r>
      <w:r w:rsidR="00992664" w:rsidRPr="0012008A">
        <w:rPr>
          <w:rStyle w:val="libFootnoteBoldChar"/>
          <w:rtl/>
        </w:rPr>
        <w:t>الوافي</w:t>
      </w:r>
      <w:r w:rsidR="00992664" w:rsidRPr="00020424">
        <w:rPr>
          <w:rtl/>
        </w:rPr>
        <w:t xml:space="preserve"> ، ج 10 ، ص 471 ، ح 9912 ؛ </w:t>
      </w:r>
      <w:r w:rsidR="00992664" w:rsidRPr="0012008A">
        <w:rPr>
          <w:rStyle w:val="libFootnoteBoldChar"/>
          <w:rtl/>
        </w:rPr>
        <w:t>الوسائل</w:t>
      </w:r>
      <w:r w:rsidR="00992664" w:rsidRPr="00020424">
        <w:rPr>
          <w:rtl/>
        </w:rPr>
        <w:t xml:space="preserve"> ، ج 16 ، ص 320 ، ح 21657.</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بس » </w:t>
      </w:r>
      <w:r w:rsidR="00992664" w:rsidRPr="006C7A1F">
        <w:rPr>
          <w:rtl/>
        </w:rPr>
        <w:t>والوافي</w:t>
      </w:r>
      <w:r w:rsidR="00992664" w:rsidRPr="00020424">
        <w:rPr>
          <w:rtl/>
        </w:rPr>
        <w:t xml:space="preserve"> : « حبيش</w:t>
      </w:r>
      <w:r w:rsidR="00992664">
        <w:rPr>
          <w:rtl/>
        </w:rPr>
        <w:t xml:space="preserve"> ».</w:t>
      </w:r>
      <w:r w:rsidR="00992664" w:rsidRPr="00020424">
        <w:rPr>
          <w:rtl/>
        </w:rPr>
        <w:t xml:space="preserve"> وكلا العنوانين مذكور في أصحاب أبي عبد الله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رجال الكشّي</w:t>
      </w:r>
      <w:r w:rsidR="00992664" w:rsidRPr="00020424">
        <w:rPr>
          <w:rtl/>
        </w:rPr>
        <w:t xml:space="preserve"> ، ص 403 ، الرقم 753 ؛ </w:t>
      </w:r>
      <w:r w:rsidR="00992664" w:rsidRPr="00DE76B9">
        <w:rPr>
          <w:rStyle w:val="libFootnoteBoldChar"/>
          <w:rtl/>
        </w:rPr>
        <w:t>رجال الطوسي</w:t>
      </w:r>
      <w:r w:rsidR="00992664" w:rsidRPr="00020424">
        <w:rPr>
          <w:rtl/>
        </w:rPr>
        <w:t xml:space="preserve"> ، ص 180 ، الرقم 2159 ؛ وص 181 ، الرقم 2181.</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بح ، بخ ، بر ، بك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6C7A1F">
        <w:rPr>
          <w:rStyle w:val="libFootnoteBoldChar"/>
          <w:rtl/>
        </w:rPr>
        <w:t>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C7A1F">
      <w:pPr>
        <w:pStyle w:val="libNormal0"/>
        <w:rPr>
          <w:rtl/>
          <w:lang w:bidi="fa-IR"/>
        </w:rPr>
      </w:pPr>
      <w:r w:rsidRPr="00020424">
        <w:rPr>
          <w:rtl/>
          <w:lang w:bidi="fa-IR"/>
        </w:rPr>
        <w:t xml:space="preserve">كَلَّمْنَاهُ أَنْ يُحَلِّلَهُ ، فَأَبى </w:t>
      </w:r>
      <w:r w:rsidRPr="00A91B96">
        <w:rPr>
          <w:rStyle w:val="libFootnotenumChar"/>
          <w:rtl/>
        </w:rPr>
        <w:t>(1)</w:t>
      </w:r>
      <w:r w:rsidR="006C7A1F" w:rsidRPr="006C7A1F">
        <w:rPr>
          <w:rStyle w:val="libNormalChar"/>
          <w:rFonts w:hint="cs"/>
          <w:rtl/>
        </w:rPr>
        <w:t>.</w:t>
      </w:r>
    </w:p>
    <w:p w:rsidR="00992664" w:rsidRPr="00020424" w:rsidRDefault="00992664" w:rsidP="00992664">
      <w:pPr>
        <w:pStyle w:val="libNormal"/>
        <w:rPr>
          <w:rtl/>
          <w:lang w:bidi="fa-IR"/>
        </w:rPr>
      </w:pPr>
      <w:r>
        <w:rPr>
          <w:rtl/>
          <w:lang w:bidi="fa-IR"/>
        </w:rPr>
        <w:t>فَقَالَ : « وَيْحَهُ ، أَ</w:t>
      </w:r>
      <w:r w:rsidRPr="00020424">
        <w:rPr>
          <w:rtl/>
          <w:lang w:bidi="fa-IR"/>
        </w:rPr>
        <w:t>مَا يَعْلَمُ أَنَّ لَهُ بِكُلِّ دِرْهَمٍ عَشَرَةً إِذَا حَلَّلَهُ</w:t>
      </w:r>
      <w:r>
        <w:rPr>
          <w:rtl/>
          <w:lang w:bidi="fa-IR"/>
        </w:rPr>
        <w:t>؟</w:t>
      </w:r>
      <w:r w:rsidRPr="00020424">
        <w:rPr>
          <w:rtl/>
          <w:lang w:bidi="fa-IR"/>
        </w:rPr>
        <w:t xml:space="preserve"> وَإِذَا </w:t>
      </w:r>
      <w:r w:rsidRPr="00A91B96">
        <w:rPr>
          <w:rStyle w:val="libFootnotenumChar"/>
          <w:rtl/>
        </w:rPr>
        <w:t>(2)</w:t>
      </w:r>
      <w:r w:rsidRPr="00020424">
        <w:rPr>
          <w:rtl/>
          <w:lang w:bidi="fa-IR"/>
        </w:rPr>
        <w:t xml:space="preserve"> لَمْ يُحَلِّلْهُ ، فَإِنَّمَا لَهُ </w:t>
      </w:r>
      <w:r w:rsidRPr="00A91B96">
        <w:rPr>
          <w:rStyle w:val="libFootnotenumChar"/>
          <w:rtl/>
        </w:rPr>
        <w:t>(3)</w:t>
      </w:r>
      <w:r w:rsidRPr="00020424">
        <w:rPr>
          <w:rtl/>
          <w:lang w:bidi="fa-IR"/>
        </w:rPr>
        <w:t xml:space="preserve"> دِرْهَمٌ بَدَلَ دِرْهَمٍ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2B4F07">
        <w:rPr>
          <w:rtl/>
        </w:rPr>
        <w:t>6138</w:t>
      </w:r>
      <w:r w:rsidRPr="001155DE">
        <w:rPr>
          <w:rStyle w:val="libBold2Char"/>
          <w:rtl/>
        </w:rPr>
        <w:t xml:space="preserve"> / 2.</w:t>
      </w:r>
      <w:r w:rsidRPr="00020424">
        <w:rPr>
          <w:rtl/>
          <w:lang w:bidi="fa-IR"/>
        </w:rPr>
        <w:t xml:space="preserve"> عَلِيُّ بْنُ مُحَمَّدِ بْنِ عَبْدِ اللهِ ، عَنْ أَحْمَدَ بْنِ مُحَمَّدِ بْنِ خَالِدٍ ، عَمَّنْ ذَكَرَهُ ، عَنِ الْوَلِيدِ بْنِ أَبِي الْعَلَاءِ ، عَنْ مُعَتِّبٍ </w:t>
      </w:r>
      <w:r w:rsidRPr="00A91B96">
        <w:rPr>
          <w:rStyle w:val="libFootnotenumChar"/>
          <w:rtl/>
        </w:rPr>
        <w:t>(6)</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دَخَلَ مُحَمَّدُ بْنُ بِشْرٍ </w:t>
      </w:r>
      <w:r w:rsidRPr="00A91B96">
        <w:rPr>
          <w:rStyle w:val="libFootnotenumChar"/>
          <w:rtl/>
        </w:rPr>
        <w:t>(7)</w:t>
      </w:r>
      <w:r w:rsidRPr="00020424">
        <w:rPr>
          <w:rtl/>
          <w:lang w:bidi="fa-IR"/>
        </w:rPr>
        <w:t xml:space="preserve"> الْوَشَّاءُ عَلى أَبِي عَبْدِ اللهِ </w:t>
      </w:r>
      <w:r w:rsidRPr="00005A81">
        <w:rPr>
          <w:rStyle w:val="libAlaemChar"/>
          <w:rtl/>
        </w:rPr>
        <w:t>عليه‌السلام</w:t>
      </w:r>
      <w:r w:rsidRPr="00020424">
        <w:rPr>
          <w:rtl/>
          <w:lang w:bidi="fa-IR"/>
        </w:rPr>
        <w:t xml:space="preserve"> يَسْأَلُهُ </w:t>
      </w:r>
      <w:r w:rsidRPr="00A91B96">
        <w:rPr>
          <w:rStyle w:val="libFootnotenumChar"/>
          <w:rtl/>
        </w:rPr>
        <w:t>(8)</w:t>
      </w:r>
      <w:r w:rsidRPr="00020424">
        <w:rPr>
          <w:rtl/>
          <w:lang w:bidi="fa-IR"/>
        </w:rPr>
        <w:t xml:space="preserve"> أَنْ يُكَلِّمَ شِهَاباً أَنْ يُخَفِّفَ عَنْهُ حَتّى يَنْقَضِيَ الْمَوْسِمُ ، وَكَانَ </w:t>
      </w:r>
      <w:r w:rsidRPr="00A91B96">
        <w:rPr>
          <w:rStyle w:val="libFootnotenumChar"/>
          <w:rtl/>
        </w:rPr>
        <w:t>(9)</w:t>
      </w:r>
      <w:r w:rsidRPr="00020424">
        <w:rPr>
          <w:rtl/>
          <w:lang w:bidi="fa-IR"/>
        </w:rPr>
        <w:t xml:space="preserve"> لَهُ عَلَيْهِ أَلْفُ دِينَارٍ ، فَأَرْسَلَ إِلَيْهِ ، فَأَتَاهُ ، فَقَالَ لَهُ : « قَدْ عَرَفْتَ حَالَ مُحَمَّدٍ وَانْقِطَاعَهُ إِلَيْنَا ، وَقَدْ ذَكَرَ أَنَّ لَكَ عَلَيْهِ أَلْفَ دِينَارٍ لَمْ تَذْهَبْ </w:t>
      </w:r>
      <w:r w:rsidRPr="00A91B96">
        <w:rPr>
          <w:rStyle w:val="libFootnotenumChar"/>
          <w:rtl/>
        </w:rPr>
        <w:t>(10)</w:t>
      </w:r>
      <w:r w:rsidRPr="00020424">
        <w:rPr>
          <w:rtl/>
          <w:lang w:bidi="fa-IR"/>
        </w:rPr>
        <w:t xml:space="preserve"> فِي بَطْنٍ وَلَافَرْجٍ ، وَإِنَّمَا ذَهَبَتْ دَيْناً عَلَى الرِّجَالِ وَوَضَائِعَ </w:t>
      </w:r>
      <w:r w:rsidRPr="00A91B96">
        <w:rPr>
          <w:rStyle w:val="libFootnotenumChar"/>
          <w:rtl/>
        </w:rPr>
        <w:t>(11)</w:t>
      </w:r>
      <w:r w:rsidRPr="00020424">
        <w:rPr>
          <w:rtl/>
          <w:lang w:bidi="fa-IR"/>
        </w:rPr>
        <w:t xml:space="preserve"> وَضَعَهَا ، وَأَنَا </w:t>
      </w:r>
      <w:r w:rsidRPr="00A91B96">
        <w:rPr>
          <w:rStyle w:val="libFootnotenumChar"/>
          <w:rtl/>
        </w:rPr>
        <w:t>(12)</w:t>
      </w:r>
      <w:r w:rsidRPr="00020424">
        <w:rPr>
          <w:rtl/>
          <w:lang w:bidi="fa-IR"/>
        </w:rPr>
        <w:t xml:space="preserve"> أُحِبُّ أَنْ تَجْعَلَهُ </w:t>
      </w:r>
      <w:r w:rsidRPr="00A91B96">
        <w:rPr>
          <w:rStyle w:val="libFootnotenumChar"/>
          <w:rtl/>
        </w:rPr>
        <w:t>(13)</w:t>
      </w:r>
      <w:r w:rsidRPr="00020424">
        <w:rPr>
          <w:rtl/>
          <w:lang w:bidi="fa-IR"/>
        </w:rPr>
        <w:t xml:space="preserve"> فِي حِلٍّ</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بك » : « فأباه</w:t>
      </w:r>
      <w:r w:rsidR="00992664">
        <w:rPr>
          <w:rtl/>
        </w:rPr>
        <w:t xml:space="preserve"> ».</w:t>
      </w:r>
    </w:p>
    <w:p w:rsidR="00992664" w:rsidRPr="00020424" w:rsidRDefault="00795177" w:rsidP="006C7A1F">
      <w:pPr>
        <w:pStyle w:val="libFootnote0"/>
        <w:rPr>
          <w:rtl/>
          <w:lang w:bidi="fa-IR"/>
        </w:rPr>
      </w:pPr>
      <w:r>
        <w:rPr>
          <w:rtl/>
        </w:rPr>
        <w:t>(2).</w:t>
      </w:r>
      <w:r w:rsidR="0014403D">
        <w:rPr>
          <w:rtl/>
        </w:rPr>
        <w:t xml:space="preserve"> </w:t>
      </w:r>
      <w:r w:rsidR="00992664" w:rsidRPr="00020424">
        <w:rPr>
          <w:rtl/>
        </w:rPr>
        <w:t>ه</w:t>
      </w:r>
      <w:r w:rsidR="006C7A1F">
        <w:rPr>
          <w:rtl/>
        </w:rPr>
        <w:t>كذا في «ظ،ى ،بث ،بس ،</w:t>
      </w:r>
      <w:r w:rsidR="00992664" w:rsidRPr="00020424">
        <w:rPr>
          <w:rtl/>
        </w:rPr>
        <w:t xml:space="preserve">جت ، جن » </w:t>
      </w:r>
      <w:r w:rsidR="00992664" w:rsidRPr="00FD6221">
        <w:rPr>
          <w:rStyle w:val="libFootnoteBoldChar"/>
          <w:rtl/>
        </w:rPr>
        <w:t>والفقيه</w:t>
      </w:r>
      <w:r w:rsidR="00992664" w:rsidRPr="00020424">
        <w:rPr>
          <w:rtl/>
        </w:rPr>
        <w:t xml:space="preserve">. وفي « بخ ، بر ، بف ، بك » </w:t>
      </w:r>
      <w:r w:rsidR="00992664" w:rsidRPr="006C7A1F">
        <w:rPr>
          <w:rtl/>
        </w:rPr>
        <w:t xml:space="preserve">والوافي </w:t>
      </w:r>
      <w:r w:rsidR="00992664" w:rsidRPr="006C7A1F">
        <w:rPr>
          <w:rStyle w:val="libFootnoteBoldChar"/>
          <w:rtl/>
        </w:rPr>
        <w:t>وثواب الأعمال</w:t>
      </w:r>
      <w:r w:rsidR="006C7A1F">
        <w:rPr>
          <w:rtl/>
        </w:rPr>
        <w:t>:«</w:t>
      </w:r>
      <w:r w:rsidR="00992664" w:rsidRPr="00020424">
        <w:rPr>
          <w:rtl/>
        </w:rPr>
        <w:t>وإن</w:t>
      </w:r>
      <w:r w:rsidR="00992664">
        <w:rPr>
          <w:rtl/>
        </w:rPr>
        <w:t>».</w:t>
      </w:r>
      <w:r w:rsidR="00992664" w:rsidRPr="00020424">
        <w:rPr>
          <w:rtl/>
        </w:rPr>
        <w:t xml:space="preserve"> وفي « بح » والمطبوع </w:t>
      </w:r>
      <w:r w:rsidR="00992664" w:rsidRPr="006C7A1F">
        <w:rPr>
          <w:rtl/>
        </w:rPr>
        <w:t>والوسائل</w:t>
      </w:r>
      <w:r w:rsidR="00992664" w:rsidRPr="00020424">
        <w:rPr>
          <w:rtl/>
        </w:rPr>
        <w:t xml:space="preserve"> : « فإذا</w:t>
      </w:r>
      <w:r w:rsidR="00992664">
        <w:rPr>
          <w:rtl/>
        </w:rPr>
        <w:t xml:space="preserve"> ».</w:t>
      </w:r>
      <w:r w:rsidR="006C7A1F">
        <w:rPr>
          <w:rFonts w:hint="cs"/>
          <w:rtl/>
        </w:rPr>
        <w:t xml:space="preserve"> </w:t>
      </w:r>
      <w:r>
        <w:rPr>
          <w:rtl/>
        </w:rPr>
        <w:t>(3).</w:t>
      </w:r>
      <w:r w:rsidR="0014403D">
        <w:rPr>
          <w:rtl/>
        </w:rPr>
        <w:t xml:space="preserve"> </w:t>
      </w:r>
      <w:r w:rsidR="006C7A1F">
        <w:rPr>
          <w:rtl/>
        </w:rPr>
        <w:t>في «بخ، بر،بك</w:t>
      </w:r>
      <w:r w:rsidR="00992664" w:rsidRPr="00020424">
        <w:rPr>
          <w:rtl/>
        </w:rPr>
        <w:t>»</w:t>
      </w:r>
      <w:r w:rsidR="00992664" w:rsidRPr="006C7A1F">
        <w:rPr>
          <w:rtl/>
        </w:rPr>
        <w:t xml:space="preserve">والوافي </w:t>
      </w:r>
      <w:r w:rsidR="00992664" w:rsidRPr="006C7A1F">
        <w:rPr>
          <w:rStyle w:val="libFootnoteBoldChar"/>
          <w:rtl/>
        </w:rPr>
        <w:t>وثواب الأعمال</w:t>
      </w:r>
      <w:r w:rsidR="00992664" w:rsidRPr="00020424">
        <w:rPr>
          <w:rtl/>
        </w:rPr>
        <w:t xml:space="preserve"> </w:t>
      </w:r>
      <w:r w:rsidR="006C7A1F">
        <w:rPr>
          <w:rtl/>
        </w:rPr>
        <w:t>: «</w:t>
      </w:r>
      <w:r w:rsidR="00992664" w:rsidRPr="00020424">
        <w:rPr>
          <w:rtl/>
        </w:rPr>
        <w:t>هو</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بك » </w:t>
      </w:r>
      <w:r w:rsidR="00992664" w:rsidRPr="006C7A1F">
        <w:rPr>
          <w:rtl/>
        </w:rPr>
        <w:t>والوافي</w:t>
      </w:r>
      <w:r w:rsidR="00992664" w:rsidRPr="00020424">
        <w:rPr>
          <w:rtl/>
        </w:rPr>
        <w:t xml:space="preserve"> : « بدرهم » بدل « بدل درهم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6 ، ص 195 ، ح 427 ؛ </w:t>
      </w:r>
      <w:r w:rsidR="00992664" w:rsidRPr="006C7A1F">
        <w:rPr>
          <w:rStyle w:val="libFootnoteBoldChar"/>
          <w:rtl/>
        </w:rPr>
        <w:t>وثواب الأعمال</w:t>
      </w:r>
      <w:r w:rsidR="00992664" w:rsidRPr="00020424">
        <w:rPr>
          <w:rtl/>
        </w:rPr>
        <w:t xml:space="preserve"> ، ص 174 ، ح 1 ، بسندهما عن ابن أبي عمير. </w:t>
      </w:r>
      <w:r w:rsidR="00992664" w:rsidRPr="0012008A">
        <w:rPr>
          <w:rStyle w:val="libFootnoteBoldChar"/>
          <w:rtl/>
        </w:rPr>
        <w:t>الفقيه</w:t>
      </w:r>
      <w:r w:rsidR="00992664" w:rsidRPr="00020424">
        <w:rPr>
          <w:rtl/>
        </w:rPr>
        <w:t xml:space="preserve"> ، ج 3 ، ص 189 ، ح 3712 ، معلّقاً عن إبراهيم بن عبدالحميد. </w:t>
      </w:r>
      <w:r w:rsidR="00992664" w:rsidRPr="0012008A">
        <w:rPr>
          <w:rStyle w:val="libFootnoteBoldChar"/>
          <w:rtl/>
        </w:rPr>
        <w:t>الفقيه</w:t>
      </w:r>
      <w:r w:rsidR="00992664" w:rsidRPr="00020424">
        <w:rPr>
          <w:rtl/>
        </w:rPr>
        <w:t xml:space="preserve"> ، ج 2 ، ص 59 ، ح 1704 ، مرسلاً </w:t>
      </w:r>
      <w:r w:rsidR="00C230BB">
        <w:rPr>
          <w:rFonts w:hint="cs"/>
          <w:rtl/>
        </w:rPr>
        <w:t>.</w:t>
      </w:r>
      <w:r w:rsidR="00992664" w:rsidRPr="0012008A">
        <w:rPr>
          <w:rStyle w:val="libFootnoteBoldChar"/>
          <w:rtl/>
        </w:rPr>
        <w:t>الوافي</w:t>
      </w:r>
      <w:r w:rsidR="00992664" w:rsidRPr="00020424">
        <w:rPr>
          <w:rtl/>
        </w:rPr>
        <w:t xml:space="preserve"> ، ج 10 ، ص 471 ، ح 9913 ؛ </w:t>
      </w:r>
      <w:r w:rsidR="00992664" w:rsidRPr="0012008A">
        <w:rPr>
          <w:rStyle w:val="libFootnoteBoldChar"/>
          <w:rtl/>
        </w:rPr>
        <w:t>الوسائل</w:t>
      </w:r>
      <w:r w:rsidR="00992664" w:rsidRPr="00020424">
        <w:rPr>
          <w:rtl/>
        </w:rPr>
        <w:t xml:space="preserve"> ، ج 16 ، ص 321 ، ح 21658.</w:t>
      </w:r>
    </w:p>
    <w:tbl>
      <w:tblPr>
        <w:tblStyle w:val="TableGrid"/>
        <w:bidiVisual/>
        <w:tblW w:w="0" w:type="auto"/>
        <w:tblLook w:val="04A0" w:firstRow="1" w:lastRow="0" w:firstColumn="1" w:lastColumn="0" w:noHBand="0" w:noVBand="1"/>
      </w:tblPr>
      <w:tblGrid>
        <w:gridCol w:w="4006"/>
        <w:gridCol w:w="4006"/>
      </w:tblGrid>
      <w:tr w:rsidR="00C230BB" w:rsidTr="00C230BB">
        <w:tc>
          <w:tcPr>
            <w:tcW w:w="4006" w:type="dxa"/>
          </w:tcPr>
          <w:p w:rsidR="00C230BB" w:rsidRDefault="00C230BB" w:rsidP="00992664">
            <w:pPr>
              <w:pStyle w:val="libFootnote0"/>
              <w:rPr>
                <w:rtl/>
              </w:rPr>
            </w:pPr>
            <w:r>
              <w:rPr>
                <w:rtl/>
              </w:rPr>
              <w:t xml:space="preserve">(6). </w:t>
            </w:r>
            <w:r w:rsidRPr="00020424">
              <w:rPr>
                <w:rtl/>
              </w:rPr>
              <w:t>في « بر » : « شعيب</w:t>
            </w:r>
            <w:r>
              <w:rPr>
                <w:rtl/>
              </w:rPr>
              <w:t xml:space="preserve"> ».</w:t>
            </w:r>
          </w:p>
        </w:tc>
        <w:tc>
          <w:tcPr>
            <w:tcW w:w="4006" w:type="dxa"/>
          </w:tcPr>
          <w:p w:rsidR="00C230BB" w:rsidRDefault="00C230BB" w:rsidP="00992664">
            <w:pPr>
              <w:pStyle w:val="libFootnote0"/>
              <w:rPr>
                <w:rtl/>
              </w:rPr>
            </w:pPr>
            <w:r>
              <w:rPr>
                <w:rtl/>
              </w:rPr>
              <w:t xml:space="preserve">(7). </w:t>
            </w:r>
            <w:r w:rsidRPr="00020424">
              <w:rPr>
                <w:rtl/>
              </w:rPr>
              <w:t>في « ى ، جن » وحاشية « ظ » : « بشير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بح ، بخ ، بر ، بف ، بك » </w:t>
      </w:r>
      <w:r w:rsidR="00992664" w:rsidRPr="00C230BB">
        <w:rPr>
          <w:rtl/>
        </w:rPr>
        <w:t>والوسائل</w:t>
      </w:r>
      <w:r w:rsidR="00992664" w:rsidRPr="00020424">
        <w:rPr>
          <w:rtl/>
        </w:rPr>
        <w:t xml:space="preserve"> : « فسأله</w:t>
      </w:r>
      <w:r w:rsidR="00992664">
        <w:rPr>
          <w:rtl/>
        </w:rPr>
        <w:t xml:space="preserve"> ».</w:t>
      </w:r>
      <w:r w:rsidR="00992664" w:rsidRPr="00020424">
        <w:rPr>
          <w:rtl/>
        </w:rPr>
        <w:t xml:space="preserve"> وفي « بخ » : + « 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بك » </w:t>
      </w:r>
      <w:r w:rsidR="00992664" w:rsidRPr="00C230BB">
        <w:rPr>
          <w:rtl/>
        </w:rPr>
        <w:t>والوسائل</w:t>
      </w:r>
      <w:r w:rsidR="00992664" w:rsidRPr="00020424">
        <w:rPr>
          <w:rtl/>
        </w:rPr>
        <w:t xml:space="preserve"> : « وكانت</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بث ، بف » : « لم يذهب</w:t>
      </w:r>
      <w:r w:rsidR="00992664">
        <w:rPr>
          <w:rtl/>
        </w:rPr>
        <w:t xml:space="preserve"> ».</w:t>
      </w:r>
      <w:r w:rsidR="00992664" w:rsidRPr="00020424">
        <w:rPr>
          <w:rtl/>
        </w:rPr>
        <w:t xml:space="preserve"> وفي </w:t>
      </w:r>
      <w:r w:rsidR="00992664" w:rsidRPr="00C230BB">
        <w:rPr>
          <w:rtl/>
        </w:rPr>
        <w:t>البحار</w:t>
      </w:r>
      <w:r w:rsidR="00992664" w:rsidRPr="00020424">
        <w:rPr>
          <w:rtl/>
        </w:rPr>
        <w:t xml:space="preserve"> : « ولم يذهب</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 « وبضايع</w:t>
      </w:r>
      <w:r w:rsidR="00992664">
        <w:rPr>
          <w:rtl/>
        </w:rPr>
        <w:t xml:space="preserve"> ».</w:t>
      </w:r>
      <w:r w:rsidR="00992664" w:rsidRPr="00020424">
        <w:rPr>
          <w:rtl/>
        </w:rPr>
        <w:t xml:space="preserve"> </w:t>
      </w:r>
      <w:r w:rsidR="00992664">
        <w:rPr>
          <w:rtl/>
        </w:rPr>
        <w:t>و «</w:t>
      </w:r>
      <w:r w:rsidR="00992664" w:rsidRPr="00020424">
        <w:rPr>
          <w:rtl/>
        </w:rPr>
        <w:t xml:space="preserve"> الوَضائع » : جمع الوَضيعة ، وهي الخسارة ، يقال : وُضِعَ في تجارته وا</w:t>
      </w:r>
      <w:r w:rsidR="00C230BB">
        <w:rPr>
          <w:rFonts w:hint="cs"/>
          <w:rtl/>
        </w:rPr>
        <w:t>ُ</w:t>
      </w:r>
      <w:r w:rsidR="00992664" w:rsidRPr="00020424">
        <w:rPr>
          <w:rtl/>
        </w:rPr>
        <w:t xml:space="preserve">وضِعَ وَوَضَعَ ، أي غُبن وخَسِرَ فيها ، وصيغة ما لم يسمّ فاعله أكثر. راجع : </w:t>
      </w:r>
      <w:r w:rsidR="00992664" w:rsidRPr="0012008A">
        <w:rPr>
          <w:rStyle w:val="libFootnoteBoldChar"/>
          <w:rtl/>
        </w:rPr>
        <w:t>النهاية</w:t>
      </w:r>
      <w:r w:rsidR="00992664" w:rsidRPr="00020424">
        <w:rPr>
          <w:rtl/>
        </w:rPr>
        <w:t xml:space="preserve"> ، ج 5 ، ص 198 ؛ </w:t>
      </w:r>
      <w:r w:rsidR="00992664" w:rsidRPr="00A722B1">
        <w:rPr>
          <w:rStyle w:val="libFootnoteBoldChar"/>
          <w:rtl/>
        </w:rPr>
        <w:t>لسان العرب</w:t>
      </w:r>
      <w:r w:rsidR="00992664" w:rsidRPr="00020424">
        <w:rPr>
          <w:rtl/>
        </w:rPr>
        <w:t xml:space="preserve"> ، ج 8 ، ص 398 ( وضع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بح ، بخ ، بر ، بف ، بك » </w:t>
      </w:r>
      <w:r w:rsidR="00992664" w:rsidRPr="00C230BB">
        <w:rPr>
          <w:rtl/>
        </w:rPr>
        <w:t>والوافي والوسائل</w:t>
      </w:r>
      <w:r w:rsidR="00992664" w:rsidRPr="00020424">
        <w:rPr>
          <w:rtl/>
        </w:rPr>
        <w:t xml:space="preserve"> : « فأنا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بخ » : + « منه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 « لَعَلَّكَ مِمَّنْ يَزْعُمُ أَنَّهُ يُقْبَضُ </w:t>
      </w:r>
      <w:r w:rsidRPr="00A91B96">
        <w:rPr>
          <w:rStyle w:val="libFootnotenumChar"/>
          <w:rtl/>
        </w:rPr>
        <w:t>(1)</w:t>
      </w:r>
      <w:r w:rsidRPr="00020424">
        <w:rPr>
          <w:rtl/>
          <w:lang w:bidi="fa-IR"/>
        </w:rPr>
        <w:t xml:space="preserve"> مِنْ حَسَنَاتِهِ ، فَتُعْطَاهَا </w:t>
      </w:r>
      <w:r w:rsidRPr="00A91B96">
        <w:rPr>
          <w:rStyle w:val="libFootnotenumChar"/>
          <w:rtl/>
        </w:rPr>
        <w:t>(2)</w:t>
      </w:r>
      <w:r>
        <w:rPr>
          <w:rtl/>
          <w:lang w:bidi="fa-IR"/>
        </w:rPr>
        <w:t xml:space="preserve"> ».</w:t>
      </w:r>
      <w:r w:rsidRPr="00020424">
        <w:rPr>
          <w:rtl/>
          <w:lang w:bidi="fa-IR"/>
        </w:rPr>
        <w:t xml:space="preserve"> فَقَالَ </w:t>
      </w:r>
      <w:r w:rsidRPr="00A91B96">
        <w:rPr>
          <w:rStyle w:val="libFootnotenumChar"/>
          <w:rtl/>
        </w:rPr>
        <w:t>(3)</w:t>
      </w:r>
      <w:r w:rsidRPr="00020424">
        <w:rPr>
          <w:rtl/>
          <w:lang w:bidi="fa-IR"/>
        </w:rPr>
        <w:t xml:space="preserve"> : كَذلِكَ </w:t>
      </w:r>
      <w:r w:rsidRPr="00A91B96">
        <w:rPr>
          <w:rStyle w:val="libFootnotenumChar"/>
          <w:rtl/>
        </w:rPr>
        <w:t>(4)</w:t>
      </w:r>
      <w:r w:rsidRPr="00020424">
        <w:rPr>
          <w:rtl/>
          <w:lang w:bidi="fa-IR"/>
        </w:rPr>
        <w:t xml:space="preserve"> فِي أَيْدِينَا.</w:t>
      </w:r>
    </w:p>
    <w:p w:rsidR="00992664" w:rsidRPr="00020424" w:rsidRDefault="00992664" w:rsidP="00992664">
      <w:pPr>
        <w:pStyle w:val="libNormal"/>
        <w:rPr>
          <w:rtl/>
          <w:lang w:bidi="fa-IR"/>
        </w:rPr>
      </w:pPr>
      <w:r w:rsidRPr="00020424">
        <w:rPr>
          <w:rtl/>
          <w:lang w:bidi="fa-IR"/>
        </w:rPr>
        <w:t xml:space="preserve">فَقَالَ أَبُو عَبْدِ اللهِ </w:t>
      </w:r>
      <w:r w:rsidRPr="00005A81">
        <w:rPr>
          <w:rStyle w:val="libAlaemChar"/>
          <w:rtl/>
        </w:rPr>
        <w:t>عليه‌السلام</w:t>
      </w:r>
      <w:r w:rsidRPr="00020424">
        <w:rPr>
          <w:rtl/>
          <w:lang w:bidi="fa-IR"/>
        </w:rPr>
        <w:t xml:space="preserve"> : « اللهُ أَكْرَمُ وَأَعْدَلُ مِنْ أَنْ يَتَقَرَّبَ إِلَيْهِ عَبْدُهُ </w:t>
      </w:r>
      <w:r w:rsidRPr="00A91B96">
        <w:rPr>
          <w:rStyle w:val="libFootnotenumChar"/>
          <w:rtl/>
        </w:rPr>
        <w:t>(5)</w:t>
      </w:r>
      <w:r w:rsidRPr="00020424">
        <w:rPr>
          <w:rtl/>
          <w:lang w:bidi="fa-IR"/>
        </w:rPr>
        <w:t xml:space="preserve"> ، فَيَقُومَ فِي اللَّيْلَةِ </w:t>
      </w:r>
      <w:r w:rsidRPr="00A91B96">
        <w:rPr>
          <w:rStyle w:val="libFootnotenumChar"/>
          <w:rtl/>
        </w:rPr>
        <w:t>(6)</w:t>
      </w:r>
      <w:r w:rsidRPr="00020424">
        <w:rPr>
          <w:rtl/>
          <w:lang w:bidi="fa-IR"/>
        </w:rPr>
        <w:t xml:space="preserve"> الْقَرَّةِ </w:t>
      </w:r>
      <w:r w:rsidRPr="00A91B96">
        <w:rPr>
          <w:rStyle w:val="libFootnotenumChar"/>
          <w:rtl/>
        </w:rPr>
        <w:t>(7)</w:t>
      </w:r>
      <w:r w:rsidRPr="00020424">
        <w:rPr>
          <w:rtl/>
          <w:lang w:bidi="fa-IR"/>
        </w:rPr>
        <w:t xml:space="preserve"> ، أَوْ يَصُومَ </w:t>
      </w:r>
      <w:r w:rsidRPr="00A91B96">
        <w:rPr>
          <w:rStyle w:val="libFootnotenumChar"/>
          <w:rtl/>
        </w:rPr>
        <w:t>(8)</w:t>
      </w:r>
      <w:r w:rsidRPr="00020424">
        <w:rPr>
          <w:rtl/>
          <w:lang w:bidi="fa-IR"/>
        </w:rPr>
        <w:t xml:space="preserve"> فِي الْيَوْمِ </w:t>
      </w:r>
      <w:r w:rsidRPr="00A91B96">
        <w:rPr>
          <w:rStyle w:val="libFootnotenumChar"/>
          <w:rtl/>
        </w:rPr>
        <w:t>(9)</w:t>
      </w:r>
      <w:r w:rsidRPr="00020424">
        <w:rPr>
          <w:rtl/>
          <w:lang w:bidi="fa-IR"/>
        </w:rPr>
        <w:t xml:space="preserve"> الْحَارِّ ، أَوْ يَطُوفَ بِهذَا الْبَيْتِ ، ثُمَّ يَسْلُبَهُ </w:t>
      </w:r>
      <w:r w:rsidRPr="00A91B96">
        <w:rPr>
          <w:rStyle w:val="libFootnotenumChar"/>
          <w:rtl/>
        </w:rPr>
        <w:t>(10)</w:t>
      </w:r>
      <w:r w:rsidRPr="00020424">
        <w:rPr>
          <w:rtl/>
          <w:lang w:bidi="fa-IR"/>
        </w:rPr>
        <w:t xml:space="preserve"> ذلِكَ ، فَتُعْطَاهُ </w:t>
      </w:r>
      <w:r w:rsidRPr="00A91B96">
        <w:rPr>
          <w:rStyle w:val="libFootnotenumChar"/>
          <w:rtl/>
        </w:rPr>
        <w:t>(11)</w:t>
      </w:r>
      <w:r w:rsidRPr="00020424">
        <w:rPr>
          <w:rtl/>
          <w:lang w:bidi="fa-IR"/>
        </w:rPr>
        <w:t xml:space="preserve"> ، وَلكِنْ لِلّهِ </w:t>
      </w:r>
      <w:r w:rsidRPr="00A91B96">
        <w:rPr>
          <w:rStyle w:val="libFootnotenumChar"/>
          <w:rtl/>
        </w:rPr>
        <w:t>(12)</w:t>
      </w:r>
      <w:r w:rsidRPr="00020424">
        <w:rPr>
          <w:rtl/>
          <w:lang w:bidi="fa-IR"/>
        </w:rPr>
        <w:t xml:space="preserve"> فَضْلٌ كَثِيرٌ يُكَافِي الْمُؤْمِنَ</w:t>
      </w:r>
      <w:r>
        <w:rPr>
          <w:rtl/>
          <w:lang w:bidi="fa-IR"/>
        </w:rPr>
        <w:t xml:space="preserve"> ».</w:t>
      </w:r>
    </w:p>
    <w:p w:rsidR="00992664" w:rsidRPr="00020424" w:rsidRDefault="00992664" w:rsidP="00B014AE">
      <w:pPr>
        <w:pStyle w:val="libNormal"/>
        <w:rPr>
          <w:rtl/>
          <w:lang w:bidi="fa-IR"/>
        </w:rPr>
      </w:pPr>
      <w:r w:rsidRPr="00020424">
        <w:rPr>
          <w:rtl/>
          <w:lang w:bidi="fa-IR"/>
        </w:rPr>
        <w:t xml:space="preserve">فَقَالَ </w:t>
      </w:r>
      <w:r w:rsidRPr="00A91B96">
        <w:rPr>
          <w:rStyle w:val="libFootnotenumChar"/>
          <w:rtl/>
        </w:rPr>
        <w:t>(13)</w:t>
      </w:r>
      <w:r w:rsidRPr="00020424">
        <w:rPr>
          <w:rtl/>
          <w:lang w:bidi="fa-IR"/>
        </w:rPr>
        <w:t xml:space="preserve"> : فَهُوَ </w:t>
      </w:r>
      <w:r w:rsidRPr="00A91B96">
        <w:rPr>
          <w:rStyle w:val="libFootnotenumChar"/>
          <w:rtl/>
        </w:rPr>
        <w:t>(14)</w:t>
      </w:r>
      <w:r w:rsidRPr="00020424">
        <w:rPr>
          <w:rtl/>
          <w:lang w:bidi="fa-IR"/>
        </w:rPr>
        <w:t xml:space="preserve"> فِي حِلٍّ </w:t>
      </w:r>
      <w:r w:rsidRPr="00A91B96">
        <w:rPr>
          <w:rStyle w:val="libFootnotenumChar"/>
          <w:rtl/>
        </w:rPr>
        <w:t>(15)</w:t>
      </w:r>
      <w:r w:rsidR="00B014AE">
        <w:rPr>
          <w:rFonts w:hint="cs"/>
          <w:rtl/>
          <w:lang w:bidi="fa-IR"/>
        </w:rPr>
        <w:t>.</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بث ، بس » </w:t>
      </w:r>
      <w:r w:rsidR="00992664" w:rsidRPr="00B014AE">
        <w:rPr>
          <w:rtl/>
        </w:rPr>
        <w:t>والوسائل والبحار</w:t>
      </w:r>
      <w:r w:rsidR="00992664" w:rsidRPr="00020424">
        <w:rPr>
          <w:rtl/>
        </w:rPr>
        <w:t xml:space="preserve"> : « يقتصّ</w:t>
      </w:r>
      <w:r w:rsidR="00992664">
        <w:rPr>
          <w:rtl/>
        </w:rPr>
        <w:t xml:space="preserve"> ».</w:t>
      </w:r>
      <w:r w:rsidR="00992664" w:rsidRPr="00020424">
        <w:rPr>
          <w:rtl/>
        </w:rPr>
        <w:t xml:space="preserve"> وفي « بح ، جن » : « تقبض</w:t>
      </w:r>
      <w:r w:rsidR="00992664">
        <w:rPr>
          <w:rtl/>
        </w:rPr>
        <w:t xml:space="preserve"> ».</w:t>
      </w:r>
      <w:r w:rsidR="00B014AE">
        <w:rPr>
          <w:rtl/>
        </w:rPr>
        <w:t xml:space="preserve"> وفي حاشية « بث</w:t>
      </w:r>
      <w:r w:rsidR="00992664" w:rsidRPr="00020424">
        <w:rPr>
          <w:rtl/>
        </w:rPr>
        <w:t>» : « ينقص</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ويعطاها</w:t>
      </w:r>
      <w:r w:rsidR="00992664">
        <w:rPr>
          <w:rtl/>
        </w:rPr>
        <w:t xml:space="preserve"> ».</w:t>
      </w:r>
      <w:r w:rsidR="00992664" w:rsidRPr="00020424">
        <w:rPr>
          <w:rtl/>
        </w:rPr>
        <w:t xml:space="preserve"> وفي « بث ، بح ، بخ » </w:t>
      </w:r>
      <w:r w:rsidR="00992664" w:rsidRPr="00B014AE">
        <w:rPr>
          <w:rtl/>
        </w:rPr>
        <w:t>والبحار</w:t>
      </w:r>
      <w:r w:rsidR="00992664" w:rsidRPr="00020424">
        <w:rPr>
          <w:rtl/>
        </w:rPr>
        <w:t xml:space="preserve"> : « فيعطاها</w:t>
      </w:r>
      <w:r w:rsidR="00992664">
        <w:rPr>
          <w:rtl/>
        </w:rPr>
        <w:t xml:space="preserve"> ».</w:t>
      </w:r>
      <w:r w:rsidR="00992664" w:rsidRPr="00020424">
        <w:rPr>
          <w:rtl/>
        </w:rPr>
        <w:t xml:space="preserve"> وفي « بس ، جن » وحاشية « ظ » : « وتعطاها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B014AE">
        <w:rPr>
          <w:rtl/>
        </w:rPr>
        <w:t>الوافي</w:t>
      </w:r>
      <w:r w:rsidR="00992664" w:rsidRPr="00020424">
        <w:rPr>
          <w:rtl/>
        </w:rPr>
        <w:t xml:space="preserve"> : + « شهاب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بك » </w:t>
      </w:r>
      <w:r w:rsidR="00992664" w:rsidRPr="00B014AE">
        <w:rPr>
          <w:rtl/>
        </w:rPr>
        <w:t>والوافي</w:t>
      </w:r>
      <w:r w:rsidR="00992664" w:rsidRPr="00020424">
        <w:rPr>
          <w:rtl/>
        </w:rPr>
        <w:t xml:space="preserve"> : « فكذلك</w:t>
      </w:r>
      <w:r w:rsidR="00992664">
        <w:rPr>
          <w:rtl/>
        </w:rPr>
        <w:t xml:space="preserve"> ».</w:t>
      </w:r>
      <w:r w:rsidR="00992664" w:rsidRPr="00020424">
        <w:rPr>
          <w:rtl/>
        </w:rPr>
        <w:t xml:space="preserve"> وفي </w:t>
      </w:r>
      <w:r w:rsidR="00992664" w:rsidRPr="00B014AE">
        <w:rPr>
          <w:rtl/>
        </w:rPr>
        <w:t>الوسائل</w:t>
      </w:r>
      <w:r w:rsidR="00992664" w:rsidRPr="00020424">
        <w:rPr>
          <w:rtl/>
        </w:rPr>
        <w:t xml:space="preserve"> : + « هو</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014AE" w:rsidTr="00B014AE">
        <w:tc>
          <w:tcPr>
            <w:tcW w:w="4006" w:type="dxa"/>
          </w:tcPr>
          <w:p w:rsidR="00B014AE" w:rsidRDefault="00B014AE" w:rsidP="00992664">
            <w:pPr>
              <w:pStyle w:val="libFootnote0"/>
              <w:rPr>
                <w:rtl/>
              </w:rPr>
            </w:pPr>
            <w:r>
              <w:rPr>
                <w:rtl/>
              </w:rPr>
              <w:t>(5). في «بث ،بح،بخ ،بر،بف</w:t>
            </w:r>
            <w:r w:rsidRPr="00020424">
              <w:rPr>
                <w:rtl/>
              </w:rPr>
              <w:t xml:space="preserve">» </w:t>
            </w:r>
            <w:r w:rsidRPr="00B014AE">
              <w:rPr>
                <w:rtl/>
              </w:rPr>
              <w:t>والوافي</w:t>
            </w:r>
            <w:r w:rsidRPr="00020424">
              <w:rPr>
                <w:rtl/>
              </w:rPr>
              <w:t xml:space="preserve"> : « عبد</w:t>
            </w:r>
            <w:r>
              <w:rPr>
                <w:rtl/>
              </w:rPr>
              <w:t xml:space="preserve"> ».</w:t>
            </w:r>
          </w:p>
        </w:tc>
        <w:tc>
          <w:tcPr>
            <w:tcW w:w="4006" w:type="dxa"/>
          </w:tcPr>
          <w:p w:rsidR="00B014AE" w:rsidRDefault="00B014AE" w:rsidP="00992664">
            <w:pPr>
              <w:pStyle w:val="libFootnote0"/>
              <w:rPr>
                <w:rtl/>
              </w:rPr>
            </w:pPr>
            <w:r>
              <w:rPr>
                <w:rtl/>
              </w:rPr>
              <w:t xml:space="preserve">(6). </w:t>
            </w:r>
            <w:r w:rsidRPr="00020424">
              <w:rPr>
                <w:rtl/>
              </w:rPr>
              <w:t xml:space="preserve">في « بر ، بف ، بك » </w:t>
            </w:r>
            <w:r w:rsidRPr="00B014AE">
              <w:rPr>
                <w:rtl/>
              </w:rPr>
              <w:t>والوافي</w:t>
            </w:r>
            <w:r w:rsidRPr="00020424">
              <w:rPr>
                <w:rtl/>
              </w:rPr>
              <w:t xml:space="preserve"> : « الليل</w:t>
            </w:r>
            <w:r>
              <w:rPr>
                <w:rtl/>
              </w:rPr>
              <w:t xml:space="preserve"> ».</w:t>
            </w:r>
          </w:p>
        </w:tc>
      </w:tr>
    </w:tbl>
    <w:p w:rsidR="00992664" w:rsidRPr="00020424" w:rsidRDefault="00795177" w:rsidP="00B014AE">
      <w:pPr>
        <w:pStyle w:val="libFootnote0"/>
        <w:rPr>
          <w:rtl/>
          <w:lang w:bidi="fa-IR"/>
        </w:rPr>
      </w:pPr>
      <w:r>
        <w:rPr>
          <w:rtl/>
        </w:rPr>
        <w:t>(7).</w:t>
      </w:r>
      <w:r w:rsidR="0014403D">
        <w:rPr>
          <w:rtl/>
        </w:rPr>
        <w:t xml:space="preserve"> </w:t>
      </w:r>
      <w:r w:rsidR="00992664" w:rsidRPr="00020424">
        <w:rPr>
          <w:rtl/>
        </w:rPr>
        <w:t xml:space="preserve">في « بر ، بف ، بك » </w:t>
      </w:r>
      <w:r w:rsidR="00992664" w:rsidRPr="00B014AE">
        <w:rPr>
          <w:rtl/>
        </w:rPr>
        <w:t>والوافي</w:t>
      </w:r>
      <w:r w:rsidR="00992664" w:rsidRPr="00020424">
        <w:rPr>
          <w:rtl/>
        </w:rPr>
        <w:t xml:space="preserve"> : « القرّ</w:t>
      </w:r>
      <w:r w:rsidR="00992664">
        <w:rPr>
          <w:rtl/>
        </w:rPr>
        <w:t xml:space="preserve"> ».</w:t>
      </w:r>
      <w:r w:rsidR="00992664" w:rsidRPr="00020424">
        <w:rPr>
          <w:rtl/>
        </w:rPr>
        <w:t xml:space="preserve"> </w:t>
      </w:r>
      <w:r w:rsidR="00992664">
        <w:rPr>
          <w:rtl/>
        </w:rPr>
        <w:t>و «</w:t>
      </w:r>
      <w:r w:rsidR="00992664" w:rsidRPr="00020424">
        <w:rPr>
          <w:rtl/>
        </w:rPr>
        <w:t xml:space="preserve"> القَرَّة » : الباردة ، من القُرّ بمعنى البرد. راجع : </w:t>
      </w:r>
      <w:r w:rsidR="00992664" w:rsidRPr="0012008A">
        <w:rPr>
          <w:rStyle w:val="libFootnoteBoldChar"/>
          <w:rtl/>
        </w:rPr>
        <w:t>الصحاح</w:t>
      </w:r>
      <w:r w:rsidR="00992664" w:rsidRPr="00020424">
        <w:rPr>
          <w:rtl/>
        </w:rPr>
        <w:t xml:space="preserve"> ، ج 2 ، ص 789 ؛ </w:t>
      </w:r>
      <w:r w:rsidR="00992664" w:rsidRPr="0012008A">
        <w:rPr>
          <w:rStyle w:val="libFootnoteBoldChar"/>
          <w:rtl/>
        </w:rPr>
        <w:t>النهاية</w:t>
      </w:r>
      <w:r w:rsidR="00992664" w:rsidRPr="00020424">
        <w:rPr>
          <w:rtl/>
        </w:rPr>
        <w:t xml:space="preserve"> ، ج 4 ، ص 38 ( قرر )</w:t>
      </w:r>
      <w:r w:rsidR="00992664">
        <w:rPr>
          <w:rtl/>
        </w:rPr>
        <w:t>.</w:t>
      </w:r>
      <w:r w:rsidR="00A90FD5">
        <w:rPr>
          <w:rFonts w:hint="cs"/>
          <w:rtl/>
        </w:rPr>
        <w:t xml:space="preserve">      </w:t>
      </w:r>
      <w:r w:rsidR="00B014AE">
        <w:rPr>
          <w:rFonts w:hint="cs"/>
          <w:rtl/>
        </w:rPr>
        <w:t xml:space="preserve">     </w:t>
      </w:r>
      <w:r>
        <w:rPr>
          <w:rtl/>
        </w:rPr>
        <w:t>(8).</w:t>
      </w:r>
      <w:r w:rsidR="0014403D">
        <w:rPr>
          <w:rtl/>
        </w:rPr>
        <w:t xml:space="preserve"> </w:t>
      </w:r>
      <w:r w:rsidR="00992664" w:rsidRPr="00020424">
        <w:rPr>
          <w:rtl/>
        </w:rPr>
        <w:t xml:space="preserve">في </w:t>
      </w:r>
      <w:r w:rsidR="00992664" w:rsidRPr="00B014AE">
        <w:rPr>
          <w:rtl/>
        </w:rPr>
        <w:t>الوسائل</w:t>
      </w:r>
      <w:r w:rsidR="00992664" w:rsidRPr="00020424">
        <w:rPr>
          <w:rtl/>
        </w:rPr>
        <w:t xml:space="preserve"> : « ويصوم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014AE" w:rsidTr="00B014AE">
        <w:tc>
          <w:tcPr>
            <w:tcW w:w="4006" w:type="dxa"/>
          </w:tcPr>
          <w:p w:rsidR="00B014AE" w:rsidRDefault="00B014AE" w:rsidP="00992664">
            <w:pPr>
              <w:pStyle w:val="libFootnote0"/>
              <w:rPr>
                <w:rtl/>
              </w:rPr>
            </w:pPr>
            <w:r>
              <w:rPr>
                <w:rtl/>
              </w:rPr>
              <w:t xml:space="preserve">(9). </w:t>
            </w:r>
            <w:r w:rsidRPr="00020424">
              <w:rPr>
                <w:rtl/>
              </w:rPr>
              <w:t>في « بح ، بر ، بك » : « في يوم</w:t>
            </w:r>
            <w:r>
              <w:rPr>
                <w:rtl/>
              </w:rPr>
              <w:t xml:space="preserve"> ».</w:t>
            </w:r>
          </w:p>
        </w:tc>
        <w:tc>
          <w:tcPr>
            <w:tcW w:w="4006" w:type="dxa"/>
          </w:tcPr>
          <w:p w:rsidR="00B014AE" w:rsidRDefault="00B014AE" w:rsidP="00992664">
            <w:pPr>
              <w:pStyle w:val="libFootnote0"/>
              <w:rPr>
                <w:rtl/>
              </w:rPr>
            </w:pPr>
            <w:r>
              <w:rPr>
                <w:rtl/>
              </w:rPr>
              <w:t xml:space="preserve">(10). </w:t>
            </w:r>
            <w:r w:rsidRPr="00020424">
              <w:rPr>
                <w:rtl/>
              </w:rPr>
              <w:t>في « ى » : « يسأله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أكثر النسخ التي قوبلت </w:t>
      </w:r>
      <w:r w:rsidR="00992664" w:rsidRPr="00B014AE">
        <w:rPr>
          <w:rtl/>
        </w:rPr>
        <w:t>والوافي</w:t>
      </w:r>
      <w:r w:rsidR="00992664" w:rsidRPr="00020424">
        <w:rPr>
          <w:rtl/>
        </w:rPr>
        <w:t xml:space="preserve"> </w:t>
      </w:r>
      <w:r w:rsidR="00992664" w:rsidRPr="00B014AE">
        <w:rPr>
          <w:rtl/>
        </w:rPr>
        <w:t>والوسائل</w:t>
      </w:r>
      <w:r w:rsidR="00992664" w:rsidRPr="00020424">
        <w:rPr>
          <w:rtl/>
        </w:rPr>
        <w:t xml:space="preserve">. وفي « بث » والمطبوع </w:t>
      </w:r>
      <w:r w:rsidR="00992664" w:rsidRPr="00B014AE">
        <w:rPr>
          <w:rtl/>
        </w:rPr>
        <w:t>والبحار</w:t>
      </w:r>
      <w:r w:rsidR="00992664" w:rsidRPr="00020424">
        <w:rPr>
          <w:rtl/>
        </w:rPr>
        <w:t xml:space="preserve"> : « فيعطاه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014AE" w:rsidTr="00B014AE">
        <w:tc>
          <w:tcPr>
            <w:tcW w:w="4006" w:type="dxa"/>
          </w:tcPr>
          <w:p w:rsidR="00B014AE" w:rsidRDefault="00B014AE" w:rsidP="00B014AE">
            <w:pPr>
              <w:pStyle w:val="libFootnote0"/>
              <w:rPr>
                <w:rtl/>
              </w:rPr>
            </w:pPr>
            <w:r>
              <w:rPr>
                <w:rtl/>
              </w:rPr>
              <w:t>(12). في «ى» : «</w:t>
            </w:r>
            <w:r w:rsidRPr="00020424">
              <w:rPr>
                <w:rtl/>
              </w:rPr>
              <w:t>الله</w:t>
            </w:r>
            <w:r>
              <w:rPr>
                <w:rtl/>
              </w:rPr>
              <w:t>». وفي «بر،</w:t>
            </w:r>
            <w:r w:rsidRPr="00020424">
              <w:rPr>
                <w:rtl/>
              </w:rPr>
              <w:t>بك » : + «ذو</w:t>
            </w:r>
            <w:r>
              <w:rPr>
                <w:rtl/>
              </w:rPr>
              <w:t>».</w:t>
            </w:r>
          </w:p>
        </w:tc>
        <w:tc>
          <w:tcPr>
            <w:tcW w:w="4006" w:type="dxa"/>
          </w:tcPr>
          <w:p w:rsidR="00B014AE" w:rsidRDefault="00B014AE" w:rsidP="00992664">
            <w:pPr>
              <w:pStyle w:val="libFootnote0"/>
              <w:rPr>
                <w:rtl/>
              </w:rPr>
            </w:pPr>
            <w:r>
              <w:rPr>
                <w:rtl/>
              </w:rPr>
              <w:t xml:space="preserve">(13). </w:t>
            </w:r>
            <w:r w:rsidRPr="00020424">
              <w:rPr>
                <w:rtl/>
              </w:rPr>
              <w:t xml:space="preserve">في « بر ، بف ، بك » </w:t>
            </w:r>
            <w:r w:rsidRPr="00B014AE">
              <w:rPr>
                <w:rtl/>
              </w:rPr>
              <w:t>والوافي</w:t>
            </w:r>
            <w:r w:rsidRPr="00020424">
              <w:rPr>
                <w:rtl/>
              </w:rPr>
              <w:t xml:space="preserve"> : « قال</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بث ، بخ ، بر ، بس ، بف ، بك » </w:t>
      </w:r>
      <w:r w:rsidR="00992664" w:rsidRPr="00B014AE">
        <w:rPr>
          <w:rtl/>
        </w:rPr>
        <w:t>والوافي والوسائل</w:t>
      </w:r>
      <w:r w:rsidR="00992664" w:rsidRPr="00020424">
        <w:rPr>
          <w:rtl/>
        </w:rPr>
        <w:t xml:space="preserve"> : « هو</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هامش الطبعة الحجري</w:t>
      </w:r>
      <w:r w:rsidR="00B014AE">
        <w:rPr>
          <w:rtl/>
        </w:rPr>
        <w:t>ّة عن العل</w:t>
      </w:r>
      <w:r w:rsidR="00B014AE">
        <w:rPr>
          <w:rFonts w:hint="cs"/>
          <w:rtl/>
        </w:rPr>
        <w:t>ّ</w:t>
      </w:r>
      <w:r w:rsidR="00B014AE">
        <w:rPr>
          <w:rtl/>
        </w:rPr>
        <w:t>ا</w:t>
      </w:r>
      <w:r w:rsidR="00992664" w:rsidRPr="00020424">
        <w:rPr>
          <w:rtl/>
        </w:rPr>
        <w:t>مة المجلسي : « حاصل مغزى جواب الشهاب أنّك أمرتني أن أجعله في حلّ ، فلعلّك تقدر على قبض حسناته وإعطائها ، فكأنّه قال : هل تقدر أن تقبض من حسناتة وتعطيني إيّاها عوضاً عمّا لي عليه من الحقّ ، فيبقى هو بلا حسنات</w:t>
      </w:r>
      <w:r w:rsidR="00992664">
        <w:rPr>
          <w:rtl/>
        </w:rPr>
        <w:t>؟</w:t>
      </w:r>
      <w:r w:rsidR="00992664" w:rsidRPr="00020424">
        <w:rPr>
          <w:rtl/>
        </w:rPr>
        <w:t xml:space="preserve"> وملخّص جوابه </w:t>
      </w:r>
      <w:r w:rsidR="00992664" w:rsidRPr="00D64ADA">
        <w:rPr>
          <w:rStyle w:val="libFootnoteAlaemChar"/>
          <w:rtl/>
        </w:rPr>
        <w:t>عليه‌السلام</w:t>
      </w:r>
      <w:r w:rsidR="00992664" w:rsidRPr="00020424">
        <w:rPr>
          <w:rtl/>
        </w:rPr>
        <w:t xml:space="preserve"> تصديق ذلك ، ولكن بطريق شفاعته منه سبحانه في القبض والإعطاء ، لا من عند نفسه </w:t>
      </w:r>
      <w:r w:rsidR="00992664" w:rsidRPr="00D64ADA">
        <w:rPr>
          <w:rStyle w:val="libFootnoteAlaemChar"/>
          <w:rtl/>
        </w:rPr>
        <w:t>عليه‌السلام</w:t>
      </w:r>
      <w:r w:rsidR="00B014AE">
        <w:rPr>
          <w:rtl/>
        </w:rPr>
        <w:t xml:space="preserve"> ، ولم</w:t>
      </w:r>
      <w:r w:rsidR="00B014AE">
        <w:rPr>
          <w:rFonts w:hint="cs"/>
          <w:rtl/>
        </w:rPr>
        <w:t>ـّ</w:t>
      </w:r>
      <w:r w:rsidR="00992664" w:rsidRPr="00020424">
        <w:rPr>
          <w:rtl/>
        </w:rPr>
        <w:t>ا كان المفهوم من هذا الجواب لزومها بالنظر إليه سبحانه بطريق الشفاعة</w:t>
      </w:r>
      <w:r w:rsidR="00992664">
        <w:rPr>
          <w:rtl/>
        </w:rPr>
        <w:t xml:space="preserve"> </w:t>
      </w:r>
      <w:r w:rsidR="009B673F">
        <w:rPr>
          <w:rtl/>
        </w:rPr>
        <w:t>-</w:t>
      </w:r>
      <w:r w:rsidR="00992664">
        <w:rPr>
          <w:rtl/>
        </w:rPr>
        <w:t xml:space="preserve"> </w:t>
      </w:r>
      <w:r w:rsidR="00992664" w:rsidRPr="00020424">
        <w:rPr>
          <w:rtl/>
        </w:rPr>
        <w:t>وهو أعظم من أن يفعل ذلك</w:t>
      </w:r>
      <w:r w:rsidR="00992664">
        <w:rPr>
          <w:rtl/>
        </w:rPr>
        <w:t xml:space="preserve"> </w:t>
      </w:r>
      <w:r w:rsidR="009B673F">
        <w:rPr>
          <w:rtl/>
        </w:rPr>
        <w:t>-</w:t>
      </w:r>
      <w:r w:rsidR="00992664">
        <w:rPr>
          <w:rtl/>
        </w:rPr>
        <w:t xml:space="preserve"> </w:t>
      </w:r>
      <w:r w:rsidR="00992664" w:rsidRPr="00020424">
        <w:rPr>
          <w:rtl/>
        </w:rPr>
        <w:t xml:space="preserve">وإن جاز له أن يفعله بالنظر إلى مقتضى العدالة ، قال </w:t>
      </w:r>
      <w:r w:rsidR="00992664" w:rsidRPr="00D64ADA">
        <w:rPr>
          <w:rStyle w:val="libFootnoteAlaemChar"/>
          <w:rtl/>
        </w:rPr>
        <w:t>عليه‌السلام</w:t>
      </w:r>
      <w:r w:rsidR="00992664" w:rsidRPr="00020424">
        <w:rPr>
          <w:rtl/>
        </w:rPr>
        <w:t xml:space="preserve"> : الله أكرم ، إلخ. فكان ملخّص هذا الكلام منه </w:t>
      </w:r>
      <w:r w:rsidR="00992664" w:rsidRPr="00D64ADA">
        <w:rPr>
          <w:rStyle w:val="libFootnoteAlaemChar"/>
          <w:rtl/>
        </w:rPr>
        <w:t>عليه‌السلام</w:t>
      </w:r>
      <w:r w:rsidR="00992664" w:rsidRPr="00020424">
        <w:rPr>
          <w:rtl/>
        </w:rPr>
        <w:t xml:space="preserve"> أنّ الله تعالى لم يفعل بعبد حاله كذا وكذا أن يقبض حسنات أفعاله هذه ويسلبها منه ويعطيها غيره ويبقيه بلا حسنات ، بل له فضل كثير وعطاء جزيل ، فيجازي غيره الذي له عليه الحقّ مجازاة يرضى بها ، ويترك حقّه من غير أن ينقص من حسنات ذلك ا</w:t>
      </w:r>
      <w:r w:rsidR="00B014AE">
        <w:rPr>
          <w:rtl/>
        </w:rPr>
        <w:t>لعبد الذي عليه الحقّ شيئاً. ولم</w:t>
      </w:r>
      <w:r w:rsidR="00B014AE">
        <w:rPr>
          <w:rFonts w:hint="cs"/>
          <w:rtl/>
        </w:rPr>
        <w:t>ـّ</w:t>
      </w:r>
      <w:r w:rsidR="00992664" w:rsidRPr="00020424">
        <w:rPr>
          <w:rtl/>
        </w:rPr>
        <w:t xml:space="preserve">ا سمع شهاب هذا الكلام منه </w:t>
      </w:r>
      <w:r w:rsidR="00992664" w:rsidRPr="00D64ADA">
        <w:rPr>
          <w:rStyle w:val="libFootnoteAlaemChar"/>
          <w:rtl/>
        </w:rPr>
        <w:t>عليه‌السلام</w:t>
      </w:r>
      <w:r w:rsidR="00992664" w:rsidRPr="00020424">
        <w:rPr>
          <w:rtl/>
        </w:rPr>
        <w:t xml:space="preserve"> وفهم المرام ، قال في الفور : فهو في حلّ ؛ والله أعلم</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الوافي</w:t>
      </w:r>
      <w:r w:rsidR="00992664" w:rsidRPr="00020424">
        <w:rPr>
          <w:rtl/>
        </w:rPr>
        <w:t xml:space="preserve"> ، ج 10 ، ص 472 ، ح 9916 ؛ </w:t>
      </w:r>
      <w:r w:rsidR="00992664" w:rsidRPr="0012008A">
        <w:rPr>
          <w:rStyle w:val="libFootnoteBoldChar"/>
          <w:rtl/>
        </w:rPr>
        <w:t>الوسائل</w:t>
      </w:r>
      <w:r w:rsidR="00992664" w:rsidRPr="00020424">
        <w:rPr>
          <w:rtl/>
        </w:rPr>
        <w:t xml:space="preserve"> ، ج 16 ، ص 322 ، ح 21659 ؛ </w:t>
      </w:r>
      <w:r w:rsidR="00992664" w:rsidRPr="0012008A">
        <w:rPr>
          <w:rStyle w:val="libFootnoteBoldChar"/>
          <w:rtl/>
        </w:rPr>
        <w:t>البحار</w:t>
      </w:r>
      <w:r w:rsidR="00992664" w:rsidRPr="00020424">
        <w:rPr>
          <w:rtl/>
        </w:rPr>
        <w:t xml:space="preserve"> ، ج 47 ، ص 364 ، ح 80.</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53" w:name="_Toc345172801"/>
      <w:bookmarkStart w:id="254" w:name="_Toc464562617"/>
      <w:bookmarkStart w:id="255" w:name="_Toc44599920"/>
      <w:r w:rsidRPr="00020424">
        <w:rPr>
          <w:rtl/>
          <w:lang w:bidi="fa-IR"/>
        </w:rPr>
        <w:t>79</w:t>
      </w:r>
      <w:r>
        <w:rPr>
          <w:rtl/>
          <w:lang w:bidi="fa-IR"/>
        </w:rPr>
        <w:t xml:space="preserve"> </w:t>
      </w:r>
      <w:r w:rsidR="009B673F">
        <w:rPr>
          <w:rtl/>
          <w:lang w:bidi="fa-IR"/>
        </w:rPr>
        <w:t>-</w:t>
      </w:r>
      <w:r>
        <w:rPr>
          <w:rtl/>
          <w:lang w:bidi="fa-IR"/>
        </w:rPr>
        <w:t xml:space="preserve"> </w:t>
      </w:r>
      <w:r w:rsidRPr="00020424">
        <w:rPr>
          <w:rtl/>
          <w:lang w:bidi="fa-IR"/>
        </w:rPr>
        <w:t>بَابُ مَؤُونَةِ النِّعَمِ‌</w:t>
      </w:r>
      <w:bookmarkEnd w:id="253"/>
      <w:bookmarkEnd w:id="254"/>
      <w:bookmarkEnd w:id="255"/>
    </w:p>
    <w:p w:rsidR="00992664" w:rsidRPr="00020424" w:rsidRDefault="00992664" w:rsidP="00992664">
      <w:pPr>
        <w:pStyle w:val="libNormal"/>
        <w:rPr>
          <w:rtl/>
          <w:lang w:bidi="fa-IR"/>
        </w:rPr>
      </w:pPr>
      <w:r w:rsidRPr="002B4F07">
        <w:rPr>
          <w:rtl/>
        </w:rPr>
        <w:t>6139</w:t>
      </w:r>
      <w:r w:rsidRPr="001155DE">
        <w:rPr>
          <w:rStyle w:val="libBold2Char"/>
          <w:rtl/>
        </w:rPr>
        <w:t xml:space="preserve"> / 1.</w:t>
      </w:r>
      <w:r w:rsidRPr="00020424">
        <w:rPr>
          <w:rtl/>
          <w:lang w:bidi="fa-IR"/>
        </w:rPr>
        <w:t xml:space="preserve"> مُحَمَّدُ بْنُ يَحْيى ، عَنْ أَحْمَدَ بْنِ مُحَمَّدِ بْنِ عِيسى ، عَنْ عَلِيِّ بْنِ الْحَكَمِ ، عَنْ سُلَيْمَانَ الْفَرَّاءِ مَوْلى طِرْبَالٍ ، عَنْ حَدِيدِ </w:t>
      </w:r>
      <w:r w:rsidRPr="00A91B96">
        <w:rPr>
          <w:rStyle w:val="libFootnotenumChar"/>
          <w:rtl/>
        </w:rPr>
        <w:t>(1)</w:t>
      </w:r>
      <w:r w:rsidRPr="00020424">
        <w:rPr>
          <w:rtl/>
          <w:lang w:bidi="fa-IR"/>
        </w:rPr>
        <w:t xml:space="preserve"> بْنِ حَكِيمٍ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عَظُمَتْ نِعْمَةُ </w:t>
      </w:r>
      <w:r w:rsidRPr="00A91B96">
        <w:rPr>
          <w:rStyle w:val="libFootnotenumChar"/>
          <w:rtl/>
        </w:rPr>
        <w:t>(2)</w:t>
      </w:r>
      <w:r w:rsidRPr="00020424">
        <w:rPr>
          <w:rtl/>
          <w:lang w:bidi="fa-IR"/>
        </w:rPr>
        <w:t xml:space="preserve"> اللهِ عَلَيْهِ ، اشْتَدَّتْ مَؤُونَةُ النَّاسِ عَلَيْهِ </w:t>
      </w:r>
      <w:r w:rsidRPr="00A91B96">
        <w:rPr>
          <w:rStyle w:val="libFootnotenumChar"/>
          <w:rtl/>
        </w:rPr>
        <w:t>(3)</w:t>
      </w:r>
      <w:r w:rsidRPr="00020424">
        <w:rPr>
          <w:rtl/>
          <w:lang w:bidi="fa-IR"/>
        </w:rPr>
        <w:t xml:space="preserve"> ، فَاسْتَدِيمُوا النِّعْمَةَ بِاحْتِمَالِ الْمَؤُونَةِ ، وَلَاتُعَرِّضُوهَا لِلزَّوَالِ ؛ فَقَلَّ مَنْ زَالَتْ عَنْهُ النِّعْمَةُ </w:t>
      </w:r>
      <w:r w:rsidRPr="00A91B96">
        <w:rPr>
          <w:rStyle w:val="libFootnotenumChar"/>
          <w:rtl/>
        </w:rPr>
        <w:t>(4)</w:t>
      </w:r>
      <w:r w:rsidRPr="00020424">
        <w:rPr>
          <w:rtl/>
          <w:lang w:bidi="fa-IR"/>
        </w:rPr>
        <w:t xml:space="preserve"> ، فَكَادَتْ </w:t>
      </w:r>
      <w:r w:rsidRPr="00A91B96">
        <w:rPr>
          <w:rStyle w:val="libFootnotenumChar"/>
          <w:rtl/>
        </w:rPr>
        <w:t>(5)</w:t>
      </w:r>
      <w:r w:rsidRPr="00020424">
        <w:rPr>
          <w:rtl/>
          <w:lang w:bidi="fa-IR"/>
        </w:rPr>
        <w:t xml:space="preserve"> أَنْ </w:t>
      </w:r>
      <w:r w:rsidRPr="00A91B96">
        <w:rPr>
          <w:rStyle w:val="libFootnotenumChar"/>
          <w:rtl/>
        </w:rPr>
        <w:t>(6)</w:t>
      </w:r>
      <w:r w:rsidRPr="00020424">
        <w:rPr>
          <w:rtl/>
          <w:lang w:bidi="fa-IR"/>
        </w:rPr>
        <w:t xml:space="preserve"> تَعُودَ إِلَيْهِ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2B4F07">
        <w:rPr>
          <w:rtl/>
        </w:rPr>
        <w:t>6140</w:t>
      </w:r>
      <w:r w:rsidRPr="001155DE">
        <w:rPr>
          <w:rStyle w:val="libBold2Char"/>
          <w:rtl/>
        </w:rPr>
        <w:t xml:space="preserve"> / 2.</w:t>
      </w:r>
      <w:r w:rsidRPr="00020424">
        <w:rPr>
          <w:rtl/>
          <w:lang w:bidi="fa-IR"/>
        </w:rPr>
        <w:t xml:space="preserve"> عَلِيُّ بْنُ إِبْرَاهِيمَ ، عَنْ عَلِيِّ بْنِ مُحَمَّدٍ الْقَاسَانِيِّ ، عَنْ أَبِي أَيُّوبَ الْمَدَنِيِّ </w:t>
      </w:r>
      <w:r w:rsidRPr="00A91B96">
        <w:rPr>
          <w:rStyle w:val="libFootnotenumChar"/>
          <w:rtl/>
        </w:rPr>
        <w:t>(8)</w:t>
      </w:r>
      <w:r w:rsidRPr="00020424">
        <w:rPr>
          <w:rtl/>
          <w:lang w:bidi="fa-IR"/>
        </w:rPr>
        <w:t xml:space="preserve"> مَوْلى بَنِي هَاشِمٍ ، عَنْ دَاوُدَ بْنِ عَبْدِ اللهِ بْنِ مُحَمَّدٍ </w:t>
      </w:r>
      <w:r w:rsidRPr="00A91B96">
        <w:rPr>
          <w:rStyle w:val="libFootnotenumChar"/>
          <w:rtl/>
        </w:rPr>
        <w:t>(9)</w:t>
      </w:r>
      <w:r w:rsidRPr="00020424">
        <w:rPr>
          <w:rtl/>
          <w:lang w:bidi="fa-IR"/>
        </w:rPr>
        <w:t xml:space="preserve"> الْجَعْفَرِيِّ ، عَنْ إِبْرَاهِيمَ بْنِ مُحَمَّدٍ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مَا مِنْ عَبْدٍ تَظَاهَرَتْ عَل</w:t>
      </w:r>
      <w:r w:rsidR="00B014AE">
        <w:rPr>
          <w:rtl/>
          <w:lang w:bidi="fa-IR"/>
        </w:rPr>
        <w:t>َيْهِ مِنَ اللهِ نِعْمَةٌ إِل</w:t>
      </w:r>
      <w:r w:rsidR="00B014AE">
        <w:rPr>
          <w:rFonts w:hint="cs"/>
          <w:rtl/>
          <w:lang w:bidi="fa-IR"/>
        </w:rPr>
        <w:t>َّ</w:t>
      </w:r>
      <w:r w:rsidR="00B014AE">
        <w:rPr>
          <w:rtl/>
          <w:lang w:bidi="fa-IR"/>
        </w:rPr>
        <w:t>ا</w:t>
      </w:r>
      <w:r w:rsidRPr="00020424">
        <w:rPr>
          <w:rtl/>
          <w:lang w:bidi="fa-IR"/>
        </w:rPr>
        <w:t xml:space="preserve"> اشْتَدَّتْ مَؤُونَةُ النَّاسِ عَلَيْهِ ، فَمَنْ لَمْ يَقُمْ </w:t>
      </w:r>
      <w:r w:rsidRPr="00A91B96">
        <w:rPr>
          <w:rStyle w:val="libFootnotenumChar"/>
          <w:rtl/>
        </w:rPr>
        <w:t>(10)</w:t>
      </w:r>
      <w:r w:rsidRPr="00020424">
        <w:rPr>
          <w:rtl/>
          <w:lang w:bidi="fa-IR"/>
        </w:rPr>
        <w:t xml:space="preserve"> لِلنَّاسِ بِحَوَائِجِهِمْ </w:t>
      </w:r>
      <w:r w:rsidRPr="00A91B96">
        <w:rPr>
          <w:rStyle w:val="libFootnotenumChar"/>
          <w:rtl/>
        </w:rPr>
        <w:t>(11)</w:t>
      </w:r>
      <w:r w:rsidRPr="00020424">
        <w:rPr>
          <w:rtl/>
          <w:lang w:bidi="fa-IR"/>
        </w:rPr>
        <w:t xml:space="preserve"> ، فَقَدْ عَرَّضَ النِّعْمَةَ لِلزَّوَالِ</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فَقُلْتُ </w:t>
      </w:r>
      <w:r w:rsidRPr="00A91B96">
        <w:rPr>
          <w:rStyle w:val="libFootnotenumChar"/>
          <w:rtl/>
        </w:rPr>
        <w:t>(12)</w:t>
      </w:r>
      <w:r w:rsidRPr="00020424">
        <w:rPr>
          <w:rtl/>
          <w:lang w:bidi="fa-IR"/>
        </w:rPr>
        <w:t xml:space="preserve"> : جُعِلْتُ فِدَاكَ ، وَمَنْ يَقْدِرُ أَنْ يَقُومَ لِهذَا الْخَلْقِ بِحَوَائِجِهِمْ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ى ، بث ، بر » : « حبيب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بف ، بك » </w:t>
      </w:r>
      <w:r w:rsidR="00992664" w:rsidRPr="00B014AE">
        <w:rPr>
          <w:rtl/>
        </w:rPr>
        <w:t>والوافي</w:t>
      </w:r>
      <w:r w:rsidR="00992664" w:rsidRPr="00020424">
        <w:rPr>
          <w:rtl/>
        </w:rPr>
        <w:t xml:space="preserve"> : « نعم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014AE" w:rsidTr="00B014AE">
        <w:tc>
          <w:tcPr>
            <w:tcW w:w="4006" w:type="dxa"/>
          </w:tcPr>
          <w:p w:rsidR="00B014AE" w:rsidRDefault="00B014AE" w:rsidP="00992664">
            <w:pPr>
              <w:pStyle w:val="libFootnote0"/>
              <w:rPr>
                <w:rtl/>
              </w:rPr>
            </w:pPr>
            <w:r>
              <w:rPr>
                <w:rtl/>
              </w:rPr>
              <w:t xml:space="preserve">(3). </w:t>
            </w:r>
            <w:r w:rsidRPr="00020424">
              <w:rPr>
                <w:rtl/>
              </w:rPr>
              <w:t xml:space="preserve">في « بح » </w:t>
            </w:r>
            <w:r w:rsidRPr="00B014AE">
              <w:rPr>
                <w:rtl/>
              </w:rPr>
              <w:t>والوسائل</w:t>
            </w:r>
            <w:r w:rsidRPr="00020424">
              <w:rPr>
                <w:rtl/>
              </w:rPr>
              <w:t xml:space="preserve"> : « إليه</w:t>
            </w:r>
            <w:r>
              <w:rPr>
                <w:rtl/>
              </w:rPr>
              <w:t xml:space="preserve"> ».</w:t>
            </w:r>
          </w:p>
        </w:tc>
        <w:tc>
          <w:tcPr>
            <w:tcW w:w="4006" w:type="dxa"/>
          </w:tcPr>
          <w:p w:rsidR="00B014AE" w:rsidRDefault="00B014AE" w:rsidP="00992664">
            <w:pPr>
              <w:pStyle w:val="libFootnote0"/>
              <w:rPr>
                <w:rtl/>
              </w:rPr>
            </w:pPr>
            <w:r>
              <w:rPr>
                <w:rtl/>
              </w:rPr>
              <w:t xml:space="preserve">(4). </w:t>
            </w:r>
            <w:r w:rsidRPr="00020424">
              <w:rPr>
                <w:rtl/>
              </w:rPr>
              <w:t>في « جن » : « النعم</w:t>
            </w:r>
            <w:r>
              <w:rPr>
                <w:rtl/>
              </w:rPr>
              <w:t xml:space="preserve"> ».</w:t>
            </w:r>
          </w:p>
        </w:tc>
      </w:tr>
      <w:tr w:rsidR="00B014AE" w:rsidTr="00B014AE">
        <w:tc>
          <w:tcPr>
            <w:tcW w:w="4006" w:type="dxa"/>
          </w:tcPr>
          <w:p w:rsidR="00B014AE" w:rsidRDefault="00B014AE" w:rsidP="00992664">
            <w:pPr>
              <w:pStyle w:val="libFootnote0"/>
              <w:rPr>
                <w:rtl/>
              </w:rPr>
            </w:pPr>
            <w:r>
              <w:rPr>
                <w:rtl/>
              </w:rPr>
              <w:t xml:space="preserve">(5). </w:t>
            </w:r>
            <w:r w:rsidRPr="00020424">
              <w:rPr>
                <w:rtl/>
              </w:rPr>
              <w:t>في « ى » وحاشية « بح » : « وكادت</w:t>
            </w:r>
            <w:r>
              <w:rPr>
                <w:rtl/>
              </w:rPr>
              <w:t xml:space="preserve"> ».</w:t>
            </w:r>
          </w:p>
        </w:tc>
        <w:tc>
          <w:tcPr>
            <w:tcW w:w="4006" w:type="dxa"/>
          </w:tcPr>
          <w:p w:rsidR="00B014AE" w:rsidRDefault="00B014AE" w:rsidP="00992664">
            <w:pPr>
              <w:pStyle w:val="libFootnote0"/>
              <w:rPr>
                <w:rtl/>
              </w:rPr>
            </w:pPr>
            <w:r>
              <w:rPr>
                <w:rtl/>
              </w:rPr>
              <w:t xml:space="preserve">(6). </w:t>
            </w:r>
            <w:r w:rsidRPr="00020424">
              <w:rPr>
                <w:rtl/>
              </w:rPr>
              <w:t xml:space="preserve">في « بر ، بك » </w:t>
            </w:r>
            <w:r w:rsidRPr="00B014AE">
              <w:rPr>
                <w:rtl/>
              </w:rPr>
              <w:t>والفقيه</w:t>
            </w:r>
            <w:r w:rsidRPr="00020424">
              <w:rPr>
                <w:rtl/>
              </w:rPr>
              <w:t xml:space="preserve"> :</w:t>
            </w:r>
            <w:r>
              <w:rPr>
                <w:rtl/>
              </w:rPr>
              <w:t xml:space="preserve"> - </w:t>
            </w:r>
            <w:r w:rsidRPr="00020424">
              <w:rPr>
                <w:rtl/>
              </w:rPr>
              <w:t>« أن</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757F3F">
        <w:rPr>
          <w:rStyle w:val="libFootnoteBoldChar"/>
          <w:rtl/>
        </w:rPr>
        <w:t>الأمالي للطوسي</w:t>
      </w:r>
      <w:r w:rsidR="00992664" w:rsidRPr="00020424">
        <w:rPr>
          <w:rtl/>
        </w:rPr>
        <w:t xml:space="preserve"> ، ص 306 ، المجلس 11 ، ح 62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w:t>
      </w:r>
      <w:r w:rsidR="00992664" w:rsidRPr="0012008A">
        <w:rPr>
          <w:rStyle w:val="libFootnoteBoldChar"/>
          <w:rtl/>
        </w:rPr>
        <w:t>الفقيه</w:t>
      </w:r>
      <w:r w:rsidR="00992664" w:rsidRPr="00020424">
        <w:rPr>
          <w:rtl/>
        </w:rPr>
        <w:t xml:space="preserve"> ، ج 2 ، ص 60 ، ح 1705 ، مرسلاً </w:t>
      </w:r>
      <w:r w:rsidR="00B014AE">
        <w:rPr>
          <w:rFonts w:hint="cs"/>
          <w:rtl/>
        </w:rPr>
        <w:t>.</w:t>
      </w:r>
      <w:r w:rsidR="00992664" w:rsidRPr="0012008A">
        <w:rPr>
          <w:rStyle w:val="libFootnoteBoldChar"/>
          <w:rtl/>
        </w:rPr>
        <w:t>الوافي</w:t>
      </w:r>
      <w:r w:rsidR="00992664" w:rsidRPr="00020424">
        <w:rPr>
          <w:rtl/>
        </w:rPr>
        <w:t xml:space="preserve"> ، ج 10 ، ص 476 ، ح 9919 ؛ </w:t>
      </w:r>
      <w:r w:rsidR="00992664" w:rsidRPr="0012008A">
        <w:rPr>
          <w:rStyle w:val="libFootnoteBoldChar"/>
          <w:rtl/>
        </w:rPr>
        <w:t>الوسائل</w:t>
      </w:r>
      <w:r w:rsidR="00992664" w:rsidRPr="00020424">
        <w:rPr>
          <w:rtl/>
        </w:rPr>
        <w:t xml:space="preserve"> ، ج 16 ، ص 323 ، ح 21660.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بح ، بخ ، بر ، بف » وحاشية « بث » </w:t>
      </w:r>
      <w:r w:rsidR="00992664" w:rsidRPr="00B014AE">
        <w:rPr>
          <w:rtl/>
        </w:rPr>
        <w:t>والوسائل</w:t>
      </w:r>
      <w:r w:rsidR="00992664" w:rsidRPr="00020424">
        <w:rPr>
          <w:rtl/>
        </w:rPr>
        <w:t xml:space="preserve"> : « المدائني</w:t>
      </w:r>
      <w:r w:rsidR="00992664">
        <w:rPr>
          <w:rtl/>
        </w:rPr>
        <w:t xml:space="preserve"> ».</w:t>
      </w:r>
      <w:r w:rsidR="00992664" w:rsidRPr="00020424">
        <w:rPr>
          <w:rtl/>
        </w:rPr>
        <w:t xml:space="preserve"> وأبو أيّوب هذا ، هو سليمان بن مقبل‌</w:t>
      </w:r>
      <w:r w:rsidR="00B014AE">
        <w:rPr>
          <w:rFonts w:hint="cs"/>
          <w:rtl/>
        </w:rPr>
        <w:t xml:space="preserve"> </w:t>
      </w:r>
      <w:r w:rsidR="00992664" w:rsidRPr="00020424">
        <w:rPr>
          <w:rtl/>
        </w:rPr>
        <w:t xml:space="preserve">المدينى ( المدني ) وكلاهما بمعنى. راجع : </w:t>
      </w:r>
      <w:r w:rsidR="00992664" w:rsidRPr="00DE76B9">
        <w:rPr>
          <w:rStyle w:val="libFootnoteBoldChar"/>
          <w:rtl/>
        </w:rPr>
        <w:t>معجم رجال الحديث</w:t>
      </w:r>
      <w:r w:rsidR="00992664" w:rsidRPr="00020424">
        <w:rPr>
          <w:rtl/>
        </w:rPr>
        <w:t xml:space="preserve"> ، ج 12 ، ص 335</w:t>
      </w:r>
      <w:r w:rsidR="00992664">
        <w:rPr>
          <w:rtl/>
        </w:rPr>
        <w:t xml:space="preserve"> </w:t>
      </w:r>
      <w:r w:rsidR="009B673F">
        <w:rPr>
          <w:rtl/>
        </w:rPr>
        <w:t>-</w:t>
      </w:r>
      <w:r w:rsidR="00992664">
        <w:rPr>
          <w:rtl/>
        </w:rPr>
        <w:t xml:space="preserve"> </w:t>
      </w:r>
      <w:r w:rsidR="00992664" w:rsidRPr="00020424">
        <w:rPr>
          <w:rtl/>
        </w:rPr>
        <w:t xml:space="preserve">336 ؛ </w:t>
      </w:r>
      <w:r w:rsidR="00992664" w:rsidRPr="00DE76B9">
        <w:rPr>
          <w:rStyle w:val="libFootnoteBoldChar"/>
          <w:rtl/>
        </w:rPr>
        <w:t>رجال الطوسي</w:t>
      </w:r>
      <w:r w:rsidR="00992664" w:rsidRPr="00020424">
        <w:rPr>
          <w:rtl/>
        </w:rPr>
        <w:t xml:space="preserve"> ، ص 338 ، الرقم 5026.</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B014AE">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بك » </w:t>
      </w:r>
      <w:r w:rsidR="00992664" w:rsidRPr="00B014AE">
        <w:rPr>
          <w:rtl/>
        </w:rPr>
        <w:t>والوافي</w:t>
      </w:r>
      <w:r w:rsidR="00992664" w:rsidRPr="00020424">
        <w:rPr>
          <w:rtl/>
        </w:rPr>
        <w:t xml:space="preserve"> : « لم يقض</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بف » </w:t>
      </w:r>
      <w:r w:rsidR="00992664" w:rsidRPr="00B014AE">
        <w:rPr>
          <w:rtl/>
        </w:rPr>
        <w:t>والوافي</w:t>
      </w:r>
      <w:r w:rsidR="00992664" w:rsidRPr="00020424">
        <w:rPr>
          <w:rtl/>
        </w:rPr>
        <w:t xml:space="preserve"> : « حوائجهم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بر ، بف ، بك » : + « 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 « إِنَّمَا </w:t>
      </w:r>
      <w:r w:rsidRPr="00A91B96">
        <w:rPr>
          <w:rStyle w:val="libFootnotenumChar"/>
          <w:rtl/>
        </w:rPr>
        <w:t>(1)</w:t>
      </w:r>
      <w:r w:rsidRPr="00020424">
        <w:rPr>
          <w:rtl/>
          <w:lang w:bidi="fa-IR"/>
        </w:rPr>
        <w:t xml:space="preserve"> « النَّاسُ » فِي هذَا الْمَوْضِعِ</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الْمُؤْمِنُونَ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B4F07">
        <w:rPr>
          <w:rtl/>
        </w:rPr>
        <w:t>6141</w:t>
      </w:r>
      <w:r w:rsidRPr="001155DE">
        <w:rPr>
          <w:rStyle w:val="libBold2Char"/>
          <w:rtl/>
        </w:rPr>
        <w:t xml:space="preserve"> / 3.</w:t>
      </w:r>
      <w:r w:rsidRPr="00020424">
        <w:rPr>
          <w:rtl/>
          <w:lang w:bidi="fa-IR"/>
        </w:rPr>
        <w:t xml:space="preserve"> عَلِيُّ بْنُ مُحَمَّدِ بْنِ عَبْدِ اللهِ ، عَنْ أَحْمَدَ بْنِ أَبِي عَبْدِ اللهِ ، عَنْ أَبِيهِ ، عَنْ سَعْدَانَ بْنِ مُسْلِمٍ </w:t>
      </w:r>
      <w:r w:rsidRPr="00A91B96">
        <w:rPr>
          <w:rStyle w:val="libFootnotenumChar"/>
          <w:rtl/>
        </w:rPr>
        <w:t>(3)</w:t>
      </w:r>
      <w:r w:rsidRPr="00020424">
        <w:rPr>
          <w:rtl/>
          <w:lang w:bidi="fa-IR"/>
        </w:rPr>
        <w:t xml:space="preserve"> ، عَنْ أَبَانِ بْنِ تَغْلِبَ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لِحُسَيْنٍ الصَّحَّافِ : « يَا حُسَيْنُ ، مَا ظَاهَرَ اللهُ عَلى عَبْدٍ النِّعَمَ </w:t>
      </w:r>
      <w:r w:rsidRPr="00A91B96">
        <w:rPr>
          <w:rStyle w:val="libFootnotenumChar"/>
          <w:rtl/>
        </w:rPr>
        <w:t>(4)</w:t>
      </w:r>
      <w:r w:rsidRPr="00020424">
        <w:rPr>
          <w:rtl/>
          <w:lang w:bidi="fa-IR"/>
        </w:rPr>
        <w:t xml:space="preserve"> حَتّى ظَاهَرَ عَلَيْهِ مَؤُونَةَ النَّاسِ ، فَمَنْ صَبَرَ لَهُمْ وَقَامَ بِشَأْنِهِمْ ، زَادَ </w:t>
      </w:r>
      <w:r w:rsidRPr="00A91B96">
        <w:rPr>
          <w:rStyle w:val="libFootnotenumChar"/>
          <w:rtl/>
        </w:rPr>
        <w:t>(5)</w:t>
      </w:r>
      <w:r w:rsidRPr="00020424">
        <w:rPr>
          <w:rtl/>
          <w:lang w:bidi="fa-IR"/>
        </w:rPr>
        <w:t xml:space="preserve"> اللهُ فِي نِعَمِهِ عَلَيْهِ عِنْدَهُمْ </w:t>
      </w:r>
      <w:r w:rsidRPr="00A91B96">
        <w:rPr>
          <w:rStyle w:val="libFootnotenumChar"/>
          <w:rtl/>
        </w:rPr>
        <w:t>(6)</w:t>
      </w:r>
      <w:r w:rsidRPr="00020424">
        <w:rPr>
          <w:rtl/>
          <w:lang w:bidi="fa-IR"/>
        </w:rPr>
        <w:t xml:space="preserve"> ، وَمَنْ لَمْ يَصْبِرْ لَهُمْ </w:t>
      </w:r>
      <w:r w:rsidRPr="00A91B96">
        <w:rPr>
          <w:rStyle w:val="libFootnotenumChar"/>
          <w:rtl/>
        </w:rPr>
        <w:t>(7)</w:t>
      </w:r>
      <w:r w:rsidRPr="00020424">
        <w:rPr>
          <w:rtl/>
          <w:lang w:bidi="fa-IR"/>
        </w:rPr>
        <w:t xml:space="preserve"> وَلَمْ يَقُمْ بِشَأْنِهِمْ ، أَزَالَ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عَنْهُ تِلْكَ النِّعْمَةَ</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2B4F07">
        <w:rPr>
          <w:rtl/>
        </w:rPr>
        <w:t>6142</w:t>
      </w:r>
      <w:r w:rsidRPr="001155DE">
        <w:rPr>
          <w:rStyle w:val="libBold2Char"/>
          <w:rtl/>
        </w:rPr>
        <w:t xml:space="preserve"> / 4.</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عَظُمَتْ عَلَيْهِ النِّعْمَةُ ، اشْتَدَّتْ مَؤُونَةُ النَّاسِ عَلَيْهِ ، فَإِنْ هُوَ قَامَ بِمَؤُونَتِهِمْ ، اجْتَلَبَ زِيَادَةَ النِّعْمَةِ عَلَيْهِ مِنَ اللهِ ، وَإِنْ لَمْ يَفْعَلْ ، فَقَدْ عَرَّضَ النِّعْمَةَ لِزَوَالِهَا</w:t>
      </w:r>
      <w:r>
        <w:rPr>
          <w:rtl/>
          <w:lang w:bidi="fa-IR"/>
        </w:rPr>
        <w:t>».</w:t>
      </w:r>
      <w:r w:rsidRPr="00A91B96">
        <w:rPr>
          <w:rStyle w:val="libFootnotenumChar"/>
          <w:rtl/>
        </w:rPr>
        <w:t>(9)</w:t>
      </w:r>
      <w:r w:rsidRPr="00020424">
        <w:rPr>
          <w:rtl/>
          <w:lang w:bidi="fa-IR"/>
        </w:rPr>
        <w:t xml:space="preserve"> ‌</w:t>
      </w:r>
    </w:p>
    <w:p w:rsidR="00992664" w:rsidRPr="00020424" w:rsidRDefault="00992664" w:rsidP="00992664">
      <w:pPr>
        <w:pStyle w:val="Heading2Center"/>
        <w:rPr>
          <w:rtl/>
          <w:lang w:bidi="fa-IR"/>
        </w:rPr>
      </w:pPr>
      <w:bookmarkStart w:id="256" w:name="_Toc345172802"/>
      <w:bookmarkStart w:id="257" w:name="_Toc464562618"/>
      <w:bookmarkStart w:id="258" w:name="_Toc44599921"/>
      <w:r w:rsidRPr="00020424">
        <w:rPr>
          <w:rtl/>
          <w:lang w:bidi="fa-IR"/>
        </w:rPr>
        <w:t>80</w:t>
      </w:r>
      <w:r>
        <w:rPr>
          <w:rtl/>
          <w:lang w:bidi="fa-IR"/>
        </w:rPr>
        <w:t xml:space="preserve"> </w:t>
      </w:r>
      <w:r w:rsidR="009B673F">
        <w:rPr>
          <w:rtl/>
          <w:lang w:bidi="fa-IR"/>
        </w:rPr>
        <w:t>-</w:t>
      </w:r>
      <w:r>
        <w:rPr>
          <w:rtl/>
          <w:lang w:bidi="fa-IR"/>
        </w:rPr>
        <w:t xml:space="preserve"> </w:t>
      </w:r>
      <w:r w:rsidRPr="00020424">
        <w:rPr>
          <w:rtl/>
          <w:lang w:bidi="fa-IR"/>
        </w:rPr>
        <w:t xml:space="preserve">بَابُ حُسْنِ جِوَارِ النِّعَمِ </w:t>
      </w:r>
      <w:r w:rsidRPr="00A91B96">
        <w:rPr>
          <w:rStyle w:val="libFootnotenumChar"/>
          <w:rtl/>
        </w:rPr>
        <w:t>(10)</w:t>
      </w:r>
      <w:r w:rsidRPr="00020424">
        <w:rPr>
          <w:rtl/>
          <w:lang w:bidi="fa-IR"/>
        </w:rPr>
        <w:t xml:space="preserve"> ‌</w:t>
      </w:r>
      <w:bookmarkEnd w:id="256"/>
      <w:bookmarkEnd w:id="257"/>
      <w:bookmarkEnd w:id="258"/>
    </w:p>
    <w:p w:rsidR="00992664" w:rsidRPr="00020424" w:rsidRDefault="00992664" w:rsidP="00992664">
      <w:pPr>
        <w:pStyle w:val="libNormal"/>
        <w:rPr>
          <w:rtl/>
          <w:lang w:bidi="fa-IR"/>
        </w:rPr>
      </w:pPr>
      <w:r w:rsidRPr="002B4F07">
        <w:rPr>
          <w:rtl/>
        </w:rPr>
        <w:t>6143</w:t>
      </w:r>
      <w:r w:rsidRPr="001155DE">
        <w:rPr>
          <w:rStyle w:val="libBold2Char"/>
          <w:rtl/>
        </w:rPr>
        <w:t xml:space="preserve"> / 1.</w:t>
      </w:r>
      <w:r w:rsidRPr="00020424">
        <w:rPr>
          <w:rtl/>
          <w:lang w:bidi="fa-IR"/>
        </w:rPr>
        <w:t xml:space="preserve"> عَلِيُّ بْنُ إِبْرَاهِيمَ ، عَنْ مُحَمَّدِ بْنِ عِيسَى بْنِ عُبَيْدٍ ، عَنْ مُحَمَّدِ بْنِ عَرَفَةَ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وإنّما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476 ، ح 9920 ؛ </w:t>
      </w:r>
      <w:r w:rsidR="00992664" w:rsidRPr="0012008A">
        <w:rPr>
          <w:rStyle w:val="libFootnoteBoldChar"/>
          <w:rtl/>
        </w:rPr>
        <w:t>الوسائل</w:t>
      </w:r>
      <w:r w:rsidR="00992664" w:rsidRPr="00020424">
        <w:rPr>
          <w:rtl/>
        </w:rPr>
        <w:t xml:space="preserve"> ، ج 16 ، ص 323 ، ح 21661.</w:t>
      </w:r>
    </w:p>
    <w:tbl>
      <w:tblPr>
        <w:tblStyle w:val="TableGrid"/>
        <w:bidiVisual/>
        <w:tblW w:w="0" w:type="auto"/>
        <w:tblLook w:val="04A0" w:firstRow="1" w:lastRow="0" w:firstColumn="1" w:lastColumn="0" w:noHBand="0" w:noVBand="1"/>
      </w:tblPr>
      <w:tblGrid>
        <w:gridCol w:w="4006"/>
        <w:gridCol w:w="4006"/>
      </w:tblGrid>
      <w:tr w:rsidR="00B014AE" w:rsidTr="00B014AE">
        <w:tc>
          <w:tcPr>
            <w:tcW w:w="4006" w:type="dxa"/>
          </w:tcPr>
          <w:p w:rsidR="00B014AE" w:rsidRDefault="00B014AE" w:rsidP="00992664">
            <w:pPr>
              <w:pStyle w:val="libFootnote0"/>
              <w:rPr>
                <w:rtl/>
              </w:rPr>
            </w:pPr>
            <w:r>
              <w:rPr>
                <w:rtl/>
              </w:rPr>
              <w:t xml:space="preserve">(3). </w:t>
            </w:r>
            <w:r w:rsidRPr="00020424">
              <w:rPr>
                <w:rtl/>
              </w:rPr>
              <w:t>في « بر » :</w:t>
            </w:r>
            <w:r>
              <w:rPr>
                <w:rtl/>
              </w:rPr>
              <w:t xml:space="preserve"> - </w:t>
            </w:r>
            <w:r w:rsidRPr="00020424">
              <w:rPr>
                <w:rtl/>
              </w:rPr>
              <w:t>« بن مسلم</w:t>
            </w:r>
            <w:r>
              <w:rPr>
                <w:rtl/>
              </w:rPr>
              <w:t xml:space="preserve"> ».</w:t>
            </w:r>
          </w:p>
        </w:tc>
        <w:tc>
          <w:tcPr>
            <w:tcW w:w="4006" w:type="dxa"/>
          </w:tcPr>
          <w:p w:rsidR="00B014AE" w:rsidRDefault="00B014AE" w:rsidP="00992664">
            <w:pPr>
              <w:pStyle w:val="libFootnote0"/>
              <w:rPr>
                <w:rtl/>
              </w:rPr>
            </w:pPr>
            <w:r>
              <w:rPr>
                <w:rtl/>
              </w:rPr>
              <w:t>(4). في «بخ ،بر ،بف ،</w:t>
            </w:r>
            <w:r w:rsidRPr="00020424">
              <w:rPr>
                <w:rtl/>
              </w:rPr>
              <w:t xml:space="preserve">بك » </w:t>
            </w:r>
            <w:r w:rsidRPr="00B014AE">
              <w:rPr>
                <w:rtl/>
              </w:rPr>
              <w:t>والوافي</w:t>
            </w:r>
            <w:r w:rsidRPr="00020424">
              <w:rPr>
                <w:rtl/>
              </w:rPr>
              <w:t xml:space="preserve"> : « النعمة</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هكذا في معظم النسخ التي قوبلت. وفي « ى » والمطبوع : « زاده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w:t>
      </w:r>
      <w:r w:rsidR="00992664" w:rsidRPr="00B014AE">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عندهم</w:t>
      </w:r>
      <w:r w:rsidR="00992664">
        <w:rPr>
          <w:rtl/>
        </w:rPr>
        <w:t xml:space="preserve"> ».</w:t>
      </w:r>
      <w:r w:rsidR="00992664" w:rsidRPr="00020424">
        <w:rPr>
          <w:rtl/>
        </w:rPr>
        <w:t xml:space="preserve"> وفي « بر ، بف ، بك » :</w:t>
      </w:r>
      <w:r w:rsidR="00992664">
        <w:rPr>
          <w:rtl/>
        </w:rPr>
        <w:t xml:space="preserve"> </w:t>
      </w:r>
      <w:r w:rsidR="009B673F">
        <w:rPr>
          <w:rtl/>
        </w:rPr>
        <w:t>-</w:t>
      </w:r>
      <w:r w:rsidR="00992664">
        <w:rPr>
          <w:rtl/>
        </w:rPr>
        <w:t xml:space="preserve"> </w:t>
      </w:r>
      <w:r w:rsidR="00992664" w:rsidRPr="00020424">
        <w:rPr>
          <w:rtl/>
        </w:rPr>
        <w:t>« عليه عندهم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بك » :</w:t>
      </w:r>
      <w:r w:rsidR="00992664">
        <w:rPr>
          <w:rtl/>
        </w:rPr>
        <w:t xml:space="preserve"> </w:t>
      </w:r>
      <w:r w:rsidR="009B673F">
        <w:rPr>
          <w:rtl/>
        </w:rPr>
        <w:t>-</w:t>
      </w:r>
      <w:r w:rsidR="00992664">
        <w:rPr>
          <w:rtl/>
        </w:rPr>
        <w:t xml:space="preserve"> </w:t>
      </w:r>
      <w:r w:rsidR="00992664" w:rsidRPr="00020424">
        <w:rPr>
          <w:rtl/>
        </w:rPr>
        <w:t>« لهم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476 ، ح 9921 ؛ </w:t>
      </w:r>
      <w:r w:rsidR="00992664" w:rsidRPr="0012008A">
        <w:rPr>
          <w:rStyle w:val="libFootnoteBoldChar"/>
          <w:rtl/>
        </w:rPr>
        <w:t>الوسائل</w:t>
      </w:r>
      <w:r w:rsidR="00992664" w:rsidRPr="00020424">
        <w:rPr>
          <w:rtl/>
        </w:rPr>
        <w:t xml:space="preserve"> ، ج 16 ، ص 323 ، ح 21662.</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قرب الإسناد</w:t>
      </w:r>
      <w:r w:rsidR="00992664" w:rsidRPr="00020424">
        <w:rPr>
          <w:rtl/>
        </w:rPr>
        <w:t xml:space="preserve"> ، ص 77 ، ح 249 ، عن هارون بن مسلم ، عن مسعدة بن صدقة ، عن جعفر بن محمّد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B014AE">
        <w:rPr>
          <w:rFonts w:hint="cs"/>
          <w:rtl/>
        </w:rPr>
        <w:t>.</w:t>
      </w:r>
      <w:r w:rsidR="00992664" w:rsidRPr="0012008A">
        <w:rPr>
          <w:rStyle w:val="libFootnoteBoldChar"/>
          <w:rtl/>
        </w:rPr>
        <w:t>الوافي</w:t>
      </w:r>
      <w:r w:rsidR="00992664" w:rsidRPr="00020424">
        <w:rPr>
          <w:rtl/>
        </w:rPr>
        <w:t xml:space="preserve"> ، ج 10 ، ص 476 ، ح 9922 ؛ </w:t>
      </w:r>
      <w:r w:rsidR="00992664" w:rsidRPr="0012008A">
        <w:rPr>
          <w:rStyle w:val="libFootnoteBoldChar"/>
          <w:rtl/>
        </w:rPr>
        <w:t>الوسائل</w:t>
      </w:r>
      <w:r w:rsidR="00992664" w:rsidRPr="00020424">
        <w:rPr>
          <w:rtl/>
        </w:rPr>
        <w:t xml:space="preserve"> ، ج 16 ، ص 324 ، ح 21663.</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بك » : « الجوار » بدل « جوار النعم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أَبُو الْحَسَنِ الرِّضَا </w:t>
      </w:r>
      <w:r w:rsidRPr="00005A81">
        <w:rPr>
          <w:rStyle w:val="libAlaemChar"/>
          <w:rtl/>
        </w:rPr>
        <w:t>عليه‌السلام</w:t>
      </w:r>
      <w:r w:rsidRPr="00020424">
        <w:rPr>
          <w:rtl/>
          <w:lang w:bidi="fa-IR"/>
        </w:rPr>
        <w:t xml:space="preserve"> : « يَا ابْنَ عَرَفَةَ ، إِنَّ النِّعَمَ كَالْإِبِلِ الْمُعْتَقَلَةِ </w:t>
      </w:r>
      <w:r w:rsidRPr="00A91B96">
        <w:rPr>
          <w:rStyle w:val="libFootnotenumChar"/>
          <w:rtl/>
        </w:rPr>
        <w:t>(1)</w:t>
      </w:r>
      <w:r w:rsidRPr="00020424">
        <w:rPr>
          <w:rtl/>
          <w:lang w:bidi="fa-IR"/>
        </w:rPr>
        <w:t xml:space="preserve"> فِي عَطَنِهَا </w:t>
      </w:r>
      <w:r w:rsidRPr="00A91B96">
        <w:rPr>
          <w:rStyle w:val="libFootnotenumChar"/>
          <w:rtl/>
        </w:rPr>
        <w:t>(2)</w:t>
      </w:r>
      <w:r w:rsidRPr="00020424">
        <w:rPr>
          <w:rtl/>
          <w:lang w:bidi="fa-IR"/>
        </w:rPr>
        <w:t xml:space="preserve"> عَلَى الْقَوْمِ </w:t>
      </w:r>
      <w:r w:rsidRPr="00A91B96">
        <w:rPr>
          <w:rStyle w:val="libFootnotenumChar"/>
          <w:rtl/>
        </w:rPr>
        <w:t>(3)</w:t>
      </w:r>
      <w:r w:rsidRPr="00020424">
        <w:rPr>
          <w:rtl/>
          <w:lang w:bidi="fa-IR"/>
        </w:rPr>
        <w:t xml:space="preserve"> مَا أَحْسَنُوا جِوَارَهَا ، فَإِذَا أَسَاؤُوا </w:t>
      </w:r>
      <w:r w:rsidRPr="00A91B96">
        <w:rPr>
          <w:rStyle w:val="libFootnotenumChar"/>
          <w:rtl/>
        </w:rPr>
        <w:t>(4)</w:t>
      </w:r>
      <w:r w:rsidRPr="00020424">
        <w:rPr>
          <w:rtl/>
          <w:lang w:bidi="fa-IR"/>
        </w:rPr>
        <w:t xml:space="preserve"> مُعَامَلَتَهَا وَإِنَالَتَهَا </w:t>
      </w:r>
      <w:r w:rsidRPr="00A91B96">
        <w:rPr>
          <w:rStyle w:val="libFootnotenumChar"/>
          <w:rtl/>
        </w:rPr>
        <w:t>(5)</w:t>
      </w:r>
      <w:r w:rsidRPr="00020424">
        <w:rPr>
          <w:rtl/>
          <w:lang w:bidi="fa-IR"/>
        </w:rPr>
        <w:t xml:space="preserve"> ، نَفَرَتْ عَنْهُمْ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DD7221">
        <w:rPr>
          <w:rtl/>
        </w:rPr>
        <w:t>6144</w:t>
      </w:r>
      <w:r w:rsidRPr="001155DE">
        <w:rPr>
          <w:rStyle w:val="libBold2Char"/>
          <w:rtl/>
        </w:rPr>
        <w:t xml:space="preserve"> / 2.</w:t>
      </w:r>
      <w:r w:rsidRPr="00020424">
        <w:rPr>
          <w:rtl/>
          <w:lang w:bidi="fa-IR"/>
        </w:rPr>
        <w:t xml:space="preserve"> عِدَّةٌ مِنْ أَصْحَابِنَا ، عَنْ أَحْمَدَ بْنِ أَبِي عَبْدِ اللهِ ، عَنْ عُثْمَانَ بْنِ عِيسى ، عَنْ مُحَمَّدِ بْنِ عَجْلَانَ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أَحْسِنُوا جِوَارَ النِّعَمِ</w:t>
      </w:r>
      <w:r>
        <w:rPr>
          <w:rtl/>
          <w:lang w:bidi="fa-IR"/>
        </w:rPr>
        <w:t xml:space="preserve"> ».</w:t>
      </w:r>
    </w:p>
    <w:p w:rsidR="00992664" w:rsidRPr="00020424" w:rsidRDefault="00992664" w:rsidP="00992664">
      <w:pPr>
        <w:pStyle w:val="libNormal"/>
        <w:rPr>
          <w:rtl/>
          <w:lang w:bidi="fa-IR"/>
        </w:rPr>
      </w:pPr>
      <w:r w:rsidRPr="00020424">
        <w:rPr>
          <w:rtl/>
          <w:lang w:bidi="fa-IR"/>
        </w:rPr>
        <w:t>قُلْتُ : وَمَا حُسْنُ جِوَارِ النِّعَمِ</w:t>
      </w:r>
      <w:r>
        <w:rPr>
          <w:rtl/>
          <w:lang w:bidi="fa-IR"/>
        </w:rPr>
        <w:t>؟</w:t>
      </w:r>
    </w:p>
    <w:p w:rsidR="00992664" w:rsidRPr="00020424" w:rsidRDefault="00992664" w:rsidP="00992664">
      <w:pPr>
        <w:pStyle w:val="libNormal"/>
        <w:rPr>
          <w:rtl/>
          <w:lang w:bidi="fa-IR"/>
        </w:rPr>
      </w:pPr>
      <w:r w:rsidRPr="00020424">
        <w:rPr>
          <w:rtl/>
          <w:lang w:bidi="fa-IR"/>
        </w:rPr>
        <w:t xml:space="preserve">قَالَ : « الشُّكْرُ لِمَنْ أَنْعَمَ بِهَا </w:t>
      </w:r>
      <w:r w:rsidRPr="00A91B96">
        <w:rPr>
          <w:rStyle w:val="libFootnotenumChar"/>
          <w:rtl/>
        </w:rPr>
        <w:t>(7)</w:t>
      </w:r>
      <w:r w:rsidRPr="00020424">
        <w:rPr>
          <w:rtl/>
          <w:lang w:bidi="fa-IR"/>
        </w:rPr>
        <w:t xml:space="preserve"> ، وَأَدَاءُ </w:t>
      </w:r>
      <w:r w:rsidRPr="00A91B96">
        <w:rPr>
          <w:rStyle w:val="libFootnotenumChar"/>
          <w:rtl/>
        </w:rPr>
        <w:t>(8)</w:t>
      </w:r>
      <w:r w:rsidRPr="00020424">
        <w:rPr>
          <w:rtl/>
          <w:lang w:bidi="fa-IR"/>
        </w:rPr>
        <w:t xml:space="preserve"> حُقُوقِهَا</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DD7221">
        <w:rPr>
          <w:rtl/>
        </w:rPr>
        <w:t>6145</w:t>
      </w:r>
      <w:r w:rsidRPr="001155DE">
        <w:rPr>
          <w:rStyle w:val="libBold2Char"/>
          <w:rtl/>
        </w:rPr>
        <w:t xml:space="preserve"> / 3.</w:t>
      </w:r>
      <w:r w:rsidRPr="00020424">
        <w:rPr>
          <w:rtl/>
          <w:lang w:bidi="fa-IR"/>
        </w:rPr>
        <w:t xml:space="preserve"> مُحَمَّدُ بْنُ يَحْيى ، عَنْ أَحْمَدَ بْنِ مُحَمَّدِ بْنِ عِيسى ، عَنِ الْحَسَنِ </w:t>
      </w:r>
      <w:r w:rsidRPr="00A91B96">
        <w:rPr>
          <w:rStyle w:val="libFootnotenumChar"/>
          <w:rtl/>
        </w:rPr>
        <w:t>(10)</w:t>
      </w:r>
      <w:r w:rsidRPr="00020424">
        <w:rPr>
          <w:rtl/>
          <w:lang w:bidi="fa-IR"/>
        </w:rPr>
        <w:t xml:space="preserve"> بْنِ مَحْبُوبٍ ، عَنْ زَيْدٍ الشَّحَّامِ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أَحْسِنُوا جِوَارَ نِعَمِ اللهِ ، وَاحْذَرُوا أَنْ تَنْتَقِلَ عَنْكُمْ‌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اعتقال الإبل : هو أن تثني وظيفه مع ذراعه فتشدّهما جميعاً في وسط الذراع بحبل وذلك هو العقال ، وكذا</w:t>
      </w:r>
      <w:r w:rsidR="00B014AE">
        <w:rPr>
          <w:rFonts w:hint="cs"/>
          <w:rtl/>
        </w:rPr>
        <w:t xml:space="preserve"> </w:t>
      </w:r>
      <w:r w:rsidR="00992664" w:rsidRPr="00020424">
        <w:rPr>
          <w:rtl/>
        </w:rPr>
        <w:t xml:space="preserve">عقل الإبل وتعقيله. راجع : </w:t>
      </w:r>
      <w:r w:rsidR="00992664" w:rsidRPr="00A722B1">
        <w:rPr>
          <w:rStyle w:val="libFootnoteBoldChar"/>
          <w:rtl/>
        </w:rPr>
        <w:t>المصباح المنير</w:t>
      </w:r>
      <w:r w:rsidR="00992664" w:rsidRPr="00020424">
        <w:rPr>
          <w:rtl/>
        </w:rPr>
        <w:t xml:space="preserve"> ، ص 422 ؛ </w:t>
      </w:r>
      <w:r w:rsidR="00992664" w:rsidRPr="00A722B1">
        <w:rPr>
          <w:rStyle w:val="libFootnoteBoldChar"/>
          <w:rtl/>
        </w:rPr>
        <w:t>القاموس المحيط</w:t>
      </w:r>
      <w:r w:rsidR="00992664" w:rsidRPr="00020424">
        <w:rPr>
          <w:rtl/>
        </w:rPr>
        <w:t xml:space="preserve"> ، ج 2 ، ص 1365 ( عقل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B014AE">
        <w:rPr>
          <w:rtl/>
        </w:rPr>
        <w:t>العَطَن والم</w:t>
      </w:r>
      <w:r w:rsidR="00B014AE">
        <w:rPr>
          <w:rFonts w:hint="cs"/>
          <w:rtl/>
        </w:rPr>
        <w:t>ـَ</w:t>
      </w:r>
      <w:r w:rsidR="00992664" w:rsidRPr="00020424">
        <w:rPr>
          <w:rtl/>
        </w:rPr>
        <w:t>عْطِن : مبرك الإبل حول الماء ؛ لتشرب عَلَلاً بعد نَهَل ، يقال : عطنت الإبل فهي عاطنة وعواطن ، إذا سقيت وبركت عند الحياض ؛ لتعاد إلى الشرب مرّة ا</w:t>
      </w:r>
      <w:r w:rsidR="00B014AE">
        <w:rPr>
          <w:rFonts w:hint="cs"/>
          <w:rtl/>
        </w:rPr>
        <w:t>ُ</w:t>
      </w:r>
      <w:r w:rsidR="00992664" w:rsidRPr="00020424">
        <w:rPr>
          <w:rtl/>
        </w:rPr>
        <w:t xml:space="preserve">خرى. راجع : </w:t>
      </w:r>
      <w:r w:rsidR="00992664" w:rsidRPr="0012008A">
        <w:rPr>
          <w:rStyle w:val="libFootnoteBoldChar"/>
          <w:rtl/>
        </w:rPr>
        <w:t>الصحاح</w:t>
      </w:r>
      <w:r w:rsidR="00992664" w:rsidRPr="00020424">
        <w:rPr>
          <w:rtl/>
        </w:rPr>
        <w:t xml:space="preserve"> ، ج 6 ، ص 2165 ؛ </w:t>
      </w:r>
      <w:r w:rsidR="00992664" w:rsidRPr="0012008A">
        <w:rPr>
          <w:rStyle w:val="libFootnoteBoldChar"/>
          <w:rtl/>
        </w:rPr>
        <w:t>النهاية</w:t>
      </w:r>
      <w:r w:rsidR="00992664" w:rsidRPr="00020424">
        <w:rPr>
          <w:rtl/>
        </w:rPr>
        <w:t xml:space="preserve"> ، ج 3 ، ص 258 ( عطن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العيون : « العوم</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على القوم ، متعلّق بالمعتقلة ، أي مصونة عليهم محفوظة لهم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بك » : « ابتلوا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بس » وحاشية « ظ » : « وإبالتها</w:t>
      </w:r>
      <w:r w:rsidR="00992664">
        <w:rPr>
          <w:rtl/>
        </w:rPr>
        <w:t xml:space="preserve"> ».</w:t>
      </w:r>
      <w:r w:rsidR="00992664" w:rsidRPr="00020424">
        <w:rPr>
          <w:rtl/>
        </w:rPr>
        <w:t xml:space="preserve"> وفي حاشية « بث » : + « بالتهاون</w:t>
      </w:r>
      <w:r w:rsidR="00992664">
        <w:rPr>
          <w:rtl/>
        </w:rPr>
        <w:t xml:space="preserve"> ».</w:t>
      </w:r>
      <w:r w:rsidR="00992664" w:rsidRPr="00020424">
        <w:rPr>
          <w:rtl/>
        </w:rPr>
        <w:t xml:space="preserve"> والإنالة : الإعطاء ، يقال : أناله معروفه ونوّله ، أي أعطاه معروفه. راجع : </w:t>
      </w:r>
      <w:r w:rsidR="00992664" w:rsidRPr="00A722B1">
        <w:rPr>
          <w:rStyle w:val="libFootnoteBoldChar"/>
          <w:rtl/>
        </w:rPr>
        <w:t>لسان العرب</w:t>
      </w:r>
      <w:r w:rsidR="00992664" w:rsidRPr="00020424">
        <w:rPr>
          <w:rtl/>
        </w:rPr>
        <w:t xml:space="preserve"> ، ج 11 ، ص 683 ( نول )</w:t>
      </w:r>
      <w:r w:rsidR="00992664">
        <w:rPr>
          <w:rtl/>
        </w:rPr>
        <w:t>.</w:t>
      </w:r>
    </w:p>
    <w:p w:rsidR="00992664" w:rsidRPr="00020424" w:rsidRDefault="00795177" w:rsidP="00B014AE">
      <w:pPr>
        <w:pStyle w:val="libFootnote0"/>
        <w:rPr>
          <w:rtl/>
          <w:lang w:bidi="fa-IR"/>
        </w:rPr>
      </w:pPr>
      <w:r>
        <w:rPr>
          <w:rtl/>
        </w:rPr>
        <w:t>(6).</w:t>
      </w:r>
      <w:r w:rsidR="0014403D">
        <w:rPr>
          <w:rtl/>
        </w:rPr>
        <w:t xml:space="preserve"> </w:t>
      </w:r>
      <w:r w:rsidR="00992664" w:rsidRPr="00DE76B9">
        <w:rPr>
          <w:rStyle w:val="libFootnoteBoldChar"/>
          <w:rtl/>
        </w:rPr>
        <w:t>عيون الأخبار</w:t>
      </w:r>
      <w:r w:rsidR="00992664" w:rsidRPr="00020424">
        <w:rPr>
          <w:rtl/>
        </w:rPr>
        <w:t xml:space="preserve"> ، ج 2 ، ص 11 ، ح 25 ، بسنده عن عليّ بن إبراهيم </w:t>
      </w:r>
      <w:r w:rsidR="00B014AE">
        <w:rPr>
          <w:rFonts w:hint="cs"/>
          <w:rtl/>
        </w:rPr>
        <w:t>.</w:t>
      </w:r>
      <w:r w:rsidR="00992664" w:rsidRPr="0012008A">
        <w:rPr>
          <w:rStyle w:val="libFootnoteBoldChar"/>
          <w:rtl/>
        </w:rPr>
        <w:t>الوافي</w:t>
      </w:r>
      <w:r w:rsidR="00992664" w:rsidRPr="00020424">
        <w:rPr>
          <w:rtl/>
        </w:rPr>
        <w:t xml:space="preserve"> ، ج 10 ، ص 477 ، ح 9923 ؛ </w:t>
      </w:r>
      <w:r w:rsidR="00992664" w:rsidRPr="0012008A">
        <w:rPr>
          <w:rStyle w:val="libFootnoteBoldChar"/>
          <w:rtl/>
        </w:rPr>
        <w:t>الوسائل</w:t>
      </w:r>
      <w:r w:rsidR="00992664" w:rsidRPr="00020424">
        <w:rPr>
          <w:rtl/>
        </w:rPr>
        <w:t xml:space="preserve"> ، ج 16 ، ص 327 ، ح 21673.</w:t>
      </w:r>
      <w:r w:rsidR="00B014AE">
        <w:rPr>
          <w:rFonts w:hint="cs"/>
          <w:rtl/>
        </w:rPr>
        <w:t xml:space="preserve">         </w:t>
      </w: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بح ، بخ ، بر » </w:t>
      </w:r>
      <w:r w:rsidR="00992664" w:rsidRPr="00B014AE">
        <w:rPr>
          <w:rtl/>
        </w:rPr>
        <w:t>والمقنعة</w:t>
      </w:r>
      <w:r w:rsidR="00992664" w:rsidRPr="00020424">
        <w:rPr>
          <w:rtl/>
        </w:rPr>
        <w:t xml:space="preserve"> : « وأدّى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109 ، ح 415 ، معلّقاً عن الكليني. </w:t>
      </w:r>
      <w:r w:rsidR="00992664" w:rsidRPr="0012008A">
        <w:rPr>
          <w:rStyle w:val="libFootnoteBoldChar"/>
          <w:rtl/>
        </w:rPr>
        <w:t>المقنعة</w:t>
      </w:r>
      <w:r w:rsidR="00992664" w:rsidRPr="00020424">
        <w:rPr>
          <w:rtl/>
        </w:rPr>
        <w:t xml:space="preserve"> ، ص 265 ، مرسلاً </w:t>
      </w:r>
      <w:r w:rsidR="00B014AE">
        <w:rPr>
          <w:rFonts w:hint="cs"/>
          <w:rtl/>
        </w:rPr>
        <w:t>.</w:t>
      </w:r>
      <w:r w:rsidR="00992664" w:rsidRPr="0012008A">
        <w:rPr>
          <w:rStyle w:val="libFootnoteBoldChar"/>
          <w:rtl/>
        </w:rPr>
        <w:t>الوافي</w:t>
      </w:r>
      <w:r w:rsidR="00992664" w:rsidRPr="00020424">
        <w:rPr>
          <w:rtl/>
        </w:rPr>
        <w:t xml:space="preserve"> ، ج 10 ، ص 477 ، ح 9924 ؛ </w:t>
      </w:r>
      <w:r w:rsidR="00992664" w:rsidRPr="0012008A">
        <w:rPr>
          <w:rStyle w:val="libFootnoteBoldChar"/>
          <w:rtl/>
        </w:rPr>
        <w:t>الوسائل</w:t>
      </w:r>
      <w:r w:rsidR="00992664" w:rsidRPr="00020424">
        <w:rPr>
          <w:rtl/>
        </w:rPr>
        <w:t xml:space="preserve"> ، ج 16 ، ص 327 ، ح 21674.</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14AE">
      <w:pPr>
        <w:pStyle w:val="libNormal0"/>
        <w:rPr>
          <w:rtl/>
          <w:lang w:bidi="fa-IR"/>
        </w:rPr>
      </w:pPr>
      <w:r w:rsidRPr="00020424">
        <w:rPr>
          <w:rtl/>
          <w:lang w:bidi="fa-IR"/>
        </w:rPr>
        <w:t xml:space="preserve">إِلى غَيْرِكُمْ ، أَمَا إِنَّهَا لَمْ تَنْتَقِلْ عَنْ أَحَدٍ قَطُّ ، فَكَادَتْ أَنْ </w:t>
      </w:r>
      <w:r w:rsidRPr="00A91B96">
        <w:rPr>
          <w:rStyle w:val="libFootnotenumChar"/>
          <w:rtl/>
        </w:rPr>
        <w:t>(1)</w:t>
      </w:r>
      <w:r w:rsidRPr="00020424">
        <w:rPr>
          <w:rtl/>
          <w:lang w:bidi="fa-IR"/>
        </w:rPr>
        <w:t xml:space="preserve"> تَرْجِعَ إِلَيْهِ</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وَكَانَ عَلِيٌّ </w:t>
      </w:r>
      <w:r w:rsidRPr="00005A81">
        <w:rPr>
          <w:rStyle w:val="libAlaemChar"/>
          <w:rtl/>
        </w:rPr>
        <w:t>عليه‌السلام</w:t>
      </w:r>
      <w:r w:rsidRPr="00020424">
        <w:rPr>
          <w:rtl/>
          <w:lang w:bidi="fa-IR"/>
        </w:rPr>
        <w:t xml:space="preserve"> يَقُولُ : قَلَّمَا أَدْبَرَ شَيْ‌ءٌ </w:t>
      </w:r>
      <w:r w:rsidRPr="00A91B96">
        <w:rPr>
          <w:rStyle w:val="libFootnotenumChar"/>
          <w:rtl/>
        </w:rPr>
        <w:t>(2)</w:t>
      </w:r>
      <w:r w:rsidRPr="00020424">
        <w:rPr>
          <w:rtl/>
          <w:lang w:bidi="fa-IR"/>
        </w:rPr>
        <w:t xml:space="preserve"> فَأَقْبَلَ</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259" w:name="_Toc345172803"/>
      <w:bookmarkStart w:id="260" w:name="_Toc464562619"/>
      <w:bookmarkStart w:id="261" w:name="_Toc44599922"/>
      <w:r w:rsidRPr="00020424">
        <w:rPr>
          <w:rtl/>
          <w:lang w:bidi="fa-IR"/>
        </w:rPr>
        <w:t>81</w:t>
      </w:r>
      <w:r>
        <w:rPr>
          <w:rtl/>
          <w:lang w:bidi="fa-IR"/>
        </w:rPr>
        <w:t xml:space="preserve"> </w:t>
      </w:r>
      <w:r w:rsidR="009B673F">
        <w:rPr>
          <w:rtl/>
          <w:lang w:bidi="fa-IR"/>
        </w:rPr>
        <w:t>-</w:t>
      </w:r>
      <w:r>
        <w:rPr>
          <w:rtl/>
          <w:lang w:bidi="fa-IR"/>
        </w:rPr>
        <w:t xml:space="preserve"> </w:t>
      </w:r>
      <w:r w:rsidRPr="00020424">
        <w:rPr>
          <w:rtl/>
          <w:lang w:bidi="fa-IR"/>
        </w:rPr>
        <w:t>بَابُ مَعْرِفَةِ الْجُودِ وَالسَّخَاءِ‌</w:t>
      </w:r>
      <w:bookmarkEnd w:id="259"/>
      <w:bookmarkEnd w:id="260"/>
      <w:bookmarkEnd w:id="261"/>
    </w:p>
    <w:p w:rsidR="00992664" w:rsidRPr="00020424" w:rsidRDefault="00992664" w:rsidP="00992664">
      <w:pPr>
        <w:pStyle w:val="libNormal"/>
        <w:rPr>
          <w:rtl/>
          <w:lang w:bidi="fa-IR"/>
        </w:rPr>
      </w:pPr>
      <w:r w:rsidRPr="001B7ED1">
        <w:rPr>
          <w:rtl/>
        </w:rPr>
        <w:t>6146</w:t>
      </w:r>
      <w:r w:rsidRPr="001155DE">
        <w:rPr>
          <w:rStyle w:val="libBold2Char"/>
          <w:rtl/>
        </w:rPr>
        <w:t xml:space="preserve"> / 1.</w:t>
      </w:r>
      <w:r w:rsidRPr="00020424">
        <w:rPr>
          <w:rtl/>
          <w:lang w:bidi="fa-IR"/>
        </w:rPr>
        <w:t xml:space="preserve"> عِدَّةٌ مِنْ أَصْحَابِنَا ، عَنْ أَحْمَدَ بْنِ مُحَمَّدِ بْنِ خَالِدٍ ، عَنْ أَبِيهِ ، عَنْ أَبِي الْجَهْمِ ، عَنْ مُوسَى بْنِ بَكْرٍ ، عَنْ أَحْمَدَ بْنِ سُلَيْمَانَ </w:t>
      </w:r>
      <w:r w:rsidRPr="00A91B96">
        <w:rPr>
          <w:rStyle w:val="libFootnotenumChar"/>
          <w:rtl/>
        </w:rPr>
        <w:t>(4)</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 رَجُلٌ أَبَا الْحَسَنِ الْأَوَّلَ </w:t>
      </w:r>
      <w:r w:rsidRPr="00005A81">
        <w:rPr>
          <w:rStyle w:val="libAlaemChar"/>
          <w:rtl/>
        </w:rPr>
        <w:t>عليه‌السلام</w:t>
      </w:r>
      <w:r w:rsidRPr="00020424">
        <w:rPr>
          <w:rtl/>
          <w:lang w:bidi="fa-IR"/>
        </w:rPr>
        <w:t xml:space="preserve"> وَهُوَ فِي الطَّوَافِ ، فَقَالَ لَهُ </w:t>
      </w:r>
      <w:r w:rsidRPr="00A91B96">
        <w:rPr>
          <w:rStyle w:val="libFootnotenumChar"/>
          <w:rtl/>
        </w:rPr>
        <w:t>(5)</w:t>
      </w:r>
      <w:r w:rsidRPr="00020424">
        <w:rPr>
          <w:rtl/>
          <w:lang w:bidi="fa-IR"/>
        </w:rPr>
        <w:t xml:space="preserve"> : أَخْبِرْنِي عَنِ الْجَوَادِ</w:t>
      </w:r>
      <w:r>
        <w:rPr>
          <w:rtl/>
          <w:lang w:bidi="fa-IR"/>
        </w:rPr>
        <w:t>؟</w:t>
      </w:r>
    </w:p>
    <w:p w:rsidR="00992664" w:rsidRPr="00020424" w:rsidRDefault="00992664" w:rsidP="00992664">
      <w:pPr>
        <w:pStyle w:val="libNormal"/>
        <w:rPr>
          <w:rtl/>
          <w:lang w:bidi="fa-IR"/>
        </w:rPr>
      </w:pPr>
      <w:r w:rsidRPr="00020424">
        <w:rPr>
          <w:rtl/>
          <w:lang w:bidi="fa-IR"/>
        </w:rPr>
        <w:t xml:space="preserve">فَقَالَ : « إِنَّ لِكَلَامِكَ وَجْهَيْنِ ، فَإِنْ </w:t>
      </w:r>
      <w:r w:rsidRPr="00A91B96">
        <w:rPr>
          <w:rStyle w:val="libFootnotenumChar"/>
          <w:rtl/>
        </w:rPr>
        <w:t>(6)</w:t>
      </w:r>
      <w:r w:rsidRPr="00020424">
        <w:rPr>
          <w:rtl/>
          <w:lang w:bidi="fa-IR"/>
        </w:rPr>
        <w:t xml:space="preserve"> كُنْتَ تَسْأَلُ عَنِ الْمَخْلُوقِ ؛ فَإِنَّ الْجَوَادَ الَّذِي يُؤَدِّي مَا افْتَرَضَ اللهُ عَلَيْهِ ؛ وَإِنْ كُنْتَ تَسْأَلُ عَنِ الْخَالِقِ ، فَهُوَ الْجَوَادُ إِنْ أَعْطى </w:t>
      </w:r>
      <w:r w:rsidRPr="00A91B96">
        <w:rPr>
          <w:rStyle w:val="libFootnotenumChar"/>
          <w:rtl/>
        </w:rPr>
        <w:t>(7)</w:t>
      </w:r>
      <w:r w:rsidRPr="00020424">
        <w:rPr>
          <w:rtl/>
          <w:lang w:bidi="fa-IR"/>
        </w:rPr>
        <w:t xml:space="preserve"> ، وَهُوَ </w:t>
      </w:r>
      <w:r w:rsidRPr="00A91B96">
        <w:rPr>
          <w:rStyle w:val="libFootnotenumChar"/>
          <w:rtl/>
        </w:rPr>
        <w:t>(8)</w:t>
      </w:r>
      <w:r w:rsidRPr="00020424">
        <w:rPr>
          <w:rtl/>
          <w:lang w:bidi="fa-IR"/>
        </w:rPr>
        <w:t xml:space="preserve"> الْجَوَادُ إِنْ مَنَعَ ؛ لِأَنَّهُ إِنْ أَعْطَاكَ ، أَعْطَاكَ مَا لَيْسَ لَكَ ، وَإِنْ مَنَعَكَ ، مَنَعَكَ مَا لَيْسَ لَكَ</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1B7ED1">
        <w:rPr>
          <w:rtl/>
        </w:rPr>
        <w:t>6147</w:t>
      </w:r>
      <w:r w:rsidRPr="001155DE">
        <w:rPr>
          <w:rStyle w:val="libBold2Char"/>
          <w:rtl/>
        </w:rPr>
        <w:t xml:space="preserve"> / 2.</w:t>
      </w:r>
      <w:r w:rsidRPr="00020424">
        <w:rPr>
          <w:rtl/>
          <w:lang w:bidi="fa-IR"/>
        </w:rPr>
        <w:t xml:space="preserve"> عِدَّةٌ مِنْ أَصْحَابِنَا ، عَنْ سَهْلِ بْنِ زِيَادٍ ، عَنِ الْحَسَنِ </w:t>
      </w:r>
      <w:r w:rsidRPr="00A91B96">
        <w:rPr>
          <w:rStyle w:val="libFootnotenumChar"/>
          <w:rtl/>
        </w:rPr>
        <w:t>(10)</w:t>
      </w:r>
      <w:r w:rsidRPr="00020424">
        <w:rPr>
          <w:rtl/>
          <w:lang w:bidi="fa-IR"/>
        </w:rPr>
        <w:t xml:space="preserve"> بْنِ مَحْبُوبٍ ، عَنْ بَعْضِ أَصْحَابِنَا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F4D84" w:rsidTr="00DF4D84">
        <w:tc>
          <w:tcPr>
            <w:tcW w:w="4006" w:type="dxa"/>
          </w:tcPr>
          <w:p w:rsidR="00DF4D84" w:rsidRDefault="00DF4D84" w:rsidP="00992664">
            <w:pPr>
              <w:pStyle w:val="libFootnote0"/>
              <w:rPr>
                <w:rtl/>
              </w:rPr>
            </w:pPr>
            <w:r>
              <w:rPr>
                <w:rtl/>
              </w:rPr>
              <w:t xml:space="preserve">(1). </w:t>
            </w:r>
            <w:r w:rsidRPr="00020424">
              <w:rPr>
                <w:rtl/>
              </w:rPr>
              <w:t xml:space="preserve">في « ظ » </w:t>
            </w:r>
            <w:r w:rsidRPr="00DF4D84">
              <w:rPr>
                <w:rtl/>
              </w:rPr>
              <w:t>والوسائل والفقيه</w:t>
            </w:r>
            <w:r w:rsidRPr="00020424">
              <w:rPr>
                <w:rtl/>
              </w:rPr>
              <w:t xml:space="preserve"> :</w:t>
            </w:r>
            <w:r>
              <w:rPr>
                <w:rtl/>
              </w:rPr>
              <w:t xml:space="preserve"> - </w:t>
            </w:r>
            <w:r w:rsidRPr="00020424">
              <w:rPr>
                <w:rtl/>
              </w:rPr>
              <w:t>« أن</w:t>
            </w:r>
            <w:r>
              <w:rPr>
                <w:rtl/>
              </w:rPr>
              <w:t xml:space="preserve"> ».</w:t>
            </w:r>
          </w:p>
        </w:tc>
        <w:tc>
          <w:tcPr>
            <w:tcW w:w="4006" w:type="dxa"/>
          </w:tcPr>
          <w:p w:rsidR="00DF4D84" w:rsidRDefault="00DF4D84" w:rsidP="00992664">
            <w:pPr>
              <w:pStyle w:val="libFootnote0"/>
              <w:rPr>
                <w:rtl/>
              </w:rPr>
            </w:pPr>
            <w:r>
              <w:rPr>
                <w:rtl/>
              </w:rPr>
              <w:t xml:space="preserve">(2). </w:t>
            </w:r>
            <w:r w:rsidRPr="00020424">
              <w:rPr>
                <w:rtl/>
              </w:rPr>
              <w:t xml:space="preserve">في « بخ ، بر ، بك » </w:t>
            </w:r>
            <w:r w:rsidRPr="00DF4D84">
              <w:rPr>
                <w:rtl/>
              </w:rPr>
              <w:t>والوافي</w:t>
            </w:r>
            <w:r w:rsidRPr="00020424">
              <w:rPr>
                <w:rtl/>
              </w:rPr>
              <w:t xml:space="preserve"> : « أمر</w:t>
            </w:r>
            <w:r>
              <w:rPr>
                <w:rtl/>
              </w:rPr>
              <w:t xml:space="preserve"> ».</w:t>
            </w:r>
          </w:p>
        </w:tc>
      </w:tr>
    </w:tbl>
    <w:p w:rsidR="00992664" w:rsidRPr="00020424" w:rsidRDefault="00795177" w:rsidP="00DF4D84">
      <w:pPr>
        <w:pStyle w:val="libFootnote0"/>
        <w:rPr>
          <w:rtl/>
          <w:lang w:bidi="fa-IR"/>
        </w:rPr>
      </w:pPr>
      <w:r>
        <w:rPr>
          <w:rtl/>
        </w:rPr>
        <w:t>(3).</w:t>
      </w:r>
      <w:r w:rsidR="0014403D">
        <w:rPr>
          <w:rtl/>
        </w:rPr>
        <w:t xml:space="preserve"> </w:t>
      </w:r>
      <w:r w:rsidR="00992664" w:rsidRPr="00757F3F">
        <w:rPr>
          <w:rStyle w:val="libFootnoteBoldChar"/>
          <w:rtl/>
        </w:rPr>
        <w:t>الأمالي للطوسي</w:t>
      </w:r>
      <w:r w:rsidR="00992664" w:rsidRPr="00020424">
        <w:rPr>
          <w:rtl/>
        </w:rPr>
        <w:t xml:space="preserve"> ، ص 246 ، المجلس 9 ، ح 23 ، بسنده عن أحمد بن محمّد بن عيسى. </w:t>
      </w:r>
      <w:r w:rsidR="00992664" w:rsidRPr="0012008A">
        <w:rPr>
          <w:rStyle w:val="libFootnoteBoldChar"/>
          <w:rtl/>
        </w:rPr>
        <w:t>الفقيه</w:t>
      </w:r>
      <w:r w:rsidR="00992664" w:rsidRPr="00020424">
        <w:rPr>
          <w:rtl/>
        </w:rPr>
        <w:t xml:space="preserve"> ، ج 2 ، ص 60 ، ح 1706 ، مرسلاً من دون التصريح باسم المعصوم </w:t>
      </w:r>
      <w:r w:rsidR="00992664" w:rsidRPr="00D64ADA">
        <w:rPr>
          <w:rStyle w:val="libFootnoteAlaemChar"/>
          <w:rtl/>
        </w:rPr>
        <w:t>عليه‌السلام</w:t>
      </w:r>
      <w:r w:rsidR="00992664" w:rsidRPr="00020424">
        <w:rPr>
          <w:rtl/>
        </w:rPr>
        <w:t xml:space="preserve"> </w:t>
      </w:r>
      <w:r w:rsidR="00DF4D84">
        <w:rPr>
          <w:rFonts w:hint="cs"/>
          <w:rtl/>
        </w:rPr>
        <w:t>.</w:t>
      </w:r>
      <w:r w:rsidR="00992664" w:rsidRPr="0012008A">
        <w:rPr>
          <w:rStyle w:val="libFootnoteBoldChar"/>
          <w:rtl/>
        </w:rPr>
        <w:t>الوافي</w:t>
      </w:r>
      <w:r w:rsidR="00992664" w:rsidRPr="00020424">
        <w:rPr>
          <w:rtl/>
        </w:rPr>
        <w:t xml:space="preserve"> ، ج 10 ، ص 477 ، ح 9925 ؛ </w:t>
      </w:r>
      <w:r w:rsidR="00992664" w:rsidRPr="0012008A">
        <w:rPr>
          <w:rStyle w:val="libFootnoteBoldChar"/>
          <w:rtl/>
        </w:rPr>
        <w:t>الوسائل</w:t>
      </w:r>
      <w:r w:rsidR="00992664" w:rsidRPr="00020424">
        <w:rPr>
          <w:rtl/>
        </w:rPr>
        <w:t xml:space="preserve"> ، ج 16 ، ص 326 ، ح 21672.</w:t>
      </w:r>
      <w:r w:rsidR="00A90FD5">
        <w:rPr>
          <w:rFonts w:hint="cs"/>
          <w:rtl/>
        </w:rPr>
        <w:t xml:space="preserve">     </w:t>
      </w:r>
      <w:r w:rsidR="00DF4D84">
        <w:rPr>
          <w:rFonts w:hint="cs"/>
          <w:rtl/>
        </w:rPr>
        <w:t xml:space="preserve">        </w:t>
      </w:r>
      <w:r>
        <w:rPr>
          <w:rtl/>
        </w:rPr>
        <w:t>(4).</w:t>
      </w:r>
      <w:r w:rsidR="0014403D">
        <w:rPr>
          <w:rtl/>
        </w:rPr>
        <w:t xml:space="preserve"> </w:t>
      </w:r>
      <w:r w:rsidR="00992664" w:rsidRPr="00020424">
        <w:rPr>
          <w:rtl/>
        </w:rPr>
        <w:t xml:space="preserve">في </w:t>
      </w:r>
      <w:r w:rsidR="00992664" w:rsidRPr="00DE76B9">
        <w:rPr>
          <w:rStyle w:val="libFootnoteBoldChar"/>
          <w:rtl/>
        </w:rPr>
        <w:t>معاني الأخبار</w:t>
      </w:r>
      <w:r w:rsidR="00992664" w:rsidRPr="00020424">
        <w:rPr>
          <w:rtl/>
        </w:rPr>
        <w:t xml:space="preserve"> : « أحمد بن مسلم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F4D84" w:rsidTr="00DF4D84">
        <w:tc>
          <w:tcPr>
            <w:tcW w:w="4006" w:type="dxa"/>
          </w:tcPr>
          <w:p w:rsidR="00DF4D84" w:rsidRDefault="00DF4D84" w:rsidP="00992664">
            <w:pPr>
              <w:pStyle w:val="libFootnote0"/>
              <w:rPr>
                <w:rtl/>
              </w:rPr>
            </w:pPr>
            <w:r>
              <w:rPr>
                <w:rtl/>
              </w:rPr>
              <w:t xml:space="preserve">(5). </w:t>
            </w:r>
            <w:r w:rsidRPr="00020424">
              <w:rPr>
                <w:rtl/>
              </w:rPr>
              <w:t xml:space="preserve">في « ى ، بر ، بك » </w:t>
            </w:r>
            <w:r w:rsidRPr="00DF4D84">
              <w:rPr>
                <w:rtl/>
              </w:rPr>
              <w:t>والوسائل</w:t>
            </w:r>
            <w:r w:rsidRPr="00020424">
              <w:rPr>
                <w:rtl/>
              </w:rPr>
              <w:t xml:space="preserve"> :</w:t>
            </w:r>
            <w:r>
              <w:rPr>
                <w:rtl/>
              </w:rPr>
              <w:t xml:space="preserve"> - </w:t>
            </w:r>
            <w:r w:rsidRPr="00020424">
              <w:rPr>
                <w:rtl/>
              </w:rPr>
              <w:t>« له</w:t>
            </w:r>
            <w:r>
              <w:rPr>
                <w:rtl/>
              </w:rPr>
              <w:t xml:space="preserve"> ».</w:t>
            </w:r>
          </w:p>
        </w:tc>
        <w:tc>
          <w:tcPr>
            <w:tcW w:w="4006" w:type="dxa"/>
          </w:tcPr>
          <w:p w:rsidR="00DF4D84" w:rsidRDefault="00DF4D84" w:rsidP="00992664">
            <w:pPr>
              <w:pStyle w:val="libFootnote0"/>
              <w:rPr>
                <w:rtl/>
              </w:rPr>
            </w:pPr>
            <w:r>
              <w:rPr>
                <w:rtl/>
              </w:rPr>
              <w:t xml:space="preserve">(6). </w:t>
            </w:r>
            <w:r w:rsidRPr="00020424">
              <w:rPr>
                <w:rtl/>
              </w:rPr>
              <w:t>في « بر ، بف بك » : « وإن</w:t>
            </w:r>
            <w:r>
              <w:rPr>
                <w:rtl/>
              </w:rPr>
              <w:t xml:space="preserve"> ».</w:t>
            </w:r>
          </w:p>
        </w:tc>
      </w:tr>
      <w:tr w:rsidR="00DF4D84" w:rsidTr="00DF4D84">
        <w:tc>
          <w:tcPr>
            <w:tcW w:w="4006" w:type="dxa"/>
          </w:tcPr>
          <w:p w:rsidR="00DF4D84" w:rsidRDefault="00DF4D84" w:rsidP="00992664">
            <w:pPr>
              <w:pStyle w:val="libFootnote0"/>
              <w:rPr>
                <w:rtl/>
              </w:rPr>
            </w:pPr>
            <w:r>
              <w:rPr>
                <w:rtl/>
              </w:rPr>
              <w:t xml:space="preserve">(7). </w:t>
            </w:r>
            <w:r w:rsidRPr="00020424">
              <w:rPr>
                <w:rtl/>
              </w:rPr>
              <w:t xml:space="preserve">في « بر ، بك » </w:t>
            </w:r>
            <w:r w:rsidRPr="00DF4D84">
              <w:rPr>
                <w:rtl/>
              </w:rPr>
              <w:t>والوافي</w:t>
            </w:r>
            <w:r w:rsidRPr="00020424">
              <w:rPr>
                <w:rtl/>
              </w:rPr>
              <w:t xml:space="preserve"> : « أعطاك</w:t>
            </w:r>
            <w:r>
              <w:rPr>
                <w:rtl/>
              </w:rPr>
              <w:t xml:space="preserve"> ».</w:t>
            </w:r>
          </w:p>
        </w:tc>
        <w:tc>
          <w:tcPr>
            <w:tcW w:w="4006" w:type="dxa"/>
          </w:tcPr>
          <w:p w:rsidR="00DF4D84" w:rsidRDefault="00DF4D84" w:rsidP="00992664">
            <w:pPr>
              <w:pStyle w:val="libFootnote0"/>
              <w:rPr>
                <w:rtl/>
              </w:rPr>
            </w:pPr>
            <w:r>
              <w:rPr>
                <w:rtl/>
              </w:rPr>
              <w:t>(8). في «بخ ،بر ،بف ،</w:t>
            </w:r>
            <w:r w:rsidRPr="00020424">
              <w:rPr>
                <w:rtl/>
              </w:rPr>
              <w:t xml:space="preserve">بك » </w:t>
            </w:r>
            <w:r w:rsidRPr="00DF4D84">
              <w:rPr>
                <w:rtl/>
              </w:rPr>
              <w:t>والوافي</w:t>
            </w:r>
            <w:r w:rsidRPr="00020424">
              <w:rPr>
                <w:rtl/>
              </w:rPr>
              <w:t xml:space="preserve"> :</w:t>
            </w:r>
            <w:r>
              <w:rPr>
                <w:rtl/>
              </w:rPr>
              <w:t xml:space="preserve"> - </w:t>
            </w:r>
            <w:r w:rsidRPr="00020424">
              <w:rPr>
                <w:rtl/>
              </w:rPr>
              <w:t>« هو</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معاني الأخبار</w:t>
      </w:r>
      <w:r w:rsidR="00992664" w:rsidRPr="00020424">
        <w:rPr>
          <w:rtl/>
        </w:rPr>
        <w:t xml:space="preserve"> ، ص 256 ، ح 1 ، بسنده عن أحمد بن محمّد بن خالد. وفي </w:t>
      </w:r>
      <w:r w:rsidR="00992664" w:rsidRPr="00DE76B9">
        <w:rPr>
          <w:rStyle w:val="libFootnoteBoldChar"/>
          <w:rtl/>
        </w:rPr>
        <w:t>التوحيد</w:t>
      </w:r>
      <w:r w:rsidR="00992664" w:rsidRPr="00020424">
        <w:rPr>
          <w:rtl/>
        </w:rPr>
        <w:t xml:space="preserve"> ، ص 373 ، ح 16 ؛ </w:t>
      </w:r>
      <w:r w:rsidR="00992664" w:rsidRPr="00FD6221">
        <w:rPr>
          <w:rStyle w:val="libFootnoteBoldChar"/>
          <w:rtl/>
        </w:rPr>
        <w:t>والخصال</w:t>
      </w:r>
      <w:r w:rsidR="00992664" w:rsidRPr="00020424">
        <w:rPr>
          <w:rtl/>
        </w:rPr>
        <w:t xml:space="preserve"> ، ص 43 ، باب الاثنين ، ح 36 ؛ </w:t>
      </w:r>
      <w:r w:rsidR="00992664" w:rsidRPr="00DF4D84">
        <w:rPr>
          <w:rStyle w:val="libFootnoteBoldChar"/>
          <w:rtl/>
        </w:rPr>
        <w:t>وعيون الأخبار</w:t>
      </w:r>
      <w:r w:rsidR="00992664" w:rsidRPr="00DE76B9">
        <w:rPr>
          <w:rStyle w:val="libFootnoteBoldChar"/>
          <w:rtl/>
        </w:rPr>
        <w:t xml:space="preserve"> </w:t>
      </w:r>
      <w:r w:rsidR="00992664" w:rsidRPr="00020424">
        <w:rPr>
          <w:rtl/>
        </w:rPr>
        <w:t xml:space="preserve">، ج 1 ، ص 141 ، ح 41 ، بسند آخر عن أحمد بن سليمان. </w:t>
      </w:r>
      <w:r w:rsidR="00992664" w:rsidRPr="00DE76B9">
        <w:rPr>
          <w:rStyle w:val="libFootnoteBoldChar"/>
          <w:rtl/>
        </w:rPr>
        <w:t>تحف العقول</w:t>
      </w:r>
      <w:r w:rsidR="00992664" w:rsidRPr="00020424">
        <w:rPr>
          <w:rtl/>
        </w:rPr>
        <w:t xml:space="preserve"> ، ص 408 ، عن الكاظم </w:t>
      </w:r>
      <w:r w:rsidR="00992664" w:rsidRPr="00D64ADA">
        <w:rPr>
          <w:rStyle w:val="libFootnoteAlaemChar"/>
          <w:rtl/>
        </w:rPr>
        <w:t>عليه‌السلام</w:t>
      </w:r>
      <w:r w:rsidR="00992664" w:rsidRPr="00020424">
        <w:rPr>
          <w:rtl/>
        </w:rPr>
        <w:t xml:space="preserve"> </w:t>
      </w:r>
      <w:r w:rsidR="00DF4D84">
        <w:rPr>
          <w:rFonts w:hint="cs"/>
          <w:rtl/>
        </w:rPr>
        <w:t>.</w:t>
      </w:r>
      <w:r w:rsidR="00992664" w:rsidRPr="0012008A">
        <w:rPr>
          <w:rStyle w:val="libFootnoteBoldChar"/>
          <w:rtl/>
        </w:rPr>
        <w:t>الوافي</w:t>
      </w:r>
      <w:r w:rsidR="00992664" w:rsidRPr="00020424">
        <w:rPr>
          <w:rtl/>
        </w:rPr>
        <w:t xml:space="preserve"> ، ج 10 ، ص 479 ، ح 9926 ؛ </w:t>
      </w:r>
      <w:r w:rsidR="00992664" w:rsidRPr="0012008A">
        <w:rPr>
          <w:rStyle w:val="libFootnoteBoldChar"/>
          <w:rtl/>
        </w:rPr>
        <w:t>الوسائل</w:t>
      </w:r>
      <w:r w:rsidR="00992664" w:rsidRPr="00020424">
        <w:rPr>
          <w:rtl/>
        </w:rPr>
        <w:t xml:space="preserve"> ، ج 9 ، ص 16 ، ح 11403 ، إلى قوله : « يؤدّي ما افترض الله عليه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مَا حَدُّ السَّخَاءِ</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w:t>
      </w:r>
      <w:r w:rsidRPr="00020424">
        <w:rPr>
          <w:rtl/>
          <w:lang w:bidi="fa-IR"/>
        </w:rPr>
        <w:t xml:space="preserve"> : « تُخْرِجُ مِنْ مَالِكَ الْحَقَّ الَّذِي أَوْجَبَهُ </w:t>
      </w:r>
      <w:r w:rsidRPr="00A91B96">
        <w:rPr>
          <w:rStyle w:val="libFootnotenumChar"/>
          <w:rtl/>
        </w:rPr>
        <w:t>(2)</w:t>
      </w:r>
      <w:r w:rsidRPr="00020424">
        <w:rPr>
          <w:rtl/>
          <w:lang w:bidi="fa-IR"/>
        </w:rPr>
        <w:t xml:space="preserve"> اللهُ عَلَيْكَ ، فَتَضَعُهُ فِي مَوْضِعِهِ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C9409F">
        <w:rPr>
          <w:rtl/>
        </w:rPr>
        <w:t>6148</w:t>
      </w:r>
      <w:r w:rsidRPr="001155DE">
        <w:rPr>
          <w:rStyle w:val="libBold2Char"/>
          <w:rtl/>
        </w:rPr>
        <w:t xml:space="preserve"> / 3.</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جَعْفَرٍ ، عَنْ آبَائِهِ </w:t>
      </w:r>
      <w:r w:rsidRPr="00005A81">
        <w:rPr>
          <w:rStyle w:val="libAlaemChar"/>
          <w:rtl/>
        </w:rPr>
        <w:t>عليهم‌السلام</w:t>
      </w:r>
      <w:r w:rsidRPr="00020424">
        <w:rPr>
          <w:rtl/>
          <w:lang w:bidi="fa-IR"/>
        </w:rPr>
        <w:t xml:space="preserve"> : « أَنَّ رَسُولَ اللهِ </w:t>
      </w:r>
      <w:r w:rsidR="00B42914" w:rsidRPr="00B42914">
        <w:rPr>
          <w:rStyle w:val="libAlaemChar"/>
          <w:rtl/>
        </w:rPr>
        <w:t>صلى‌الله‌عليه‌وآله‌</w:t>
      </w:r>
      <w:r w:rsidRPr="00020424">
        <w:rPr>
          <w:rtl/>
          <w:lang w:bidi="fa-IR"/>
        </w:rPr>
        <w:t xml:space="preserve"> قَالَ : السَّخِيُّ مُحَبَّبٌ فِي السَّمَاوَاتِ ، مُحَبَّبٌ </w:t>
      </w:r>
      <w:r w:rsidRPr="00A91B96">
        <w:rPr>
          <w:rStyle w:val="libFootnotenumChar"/>
          <w:rtl/>
        </w:rPr>
        <w:t>(4)</w:t>
      </w:r>
      <w:r w:rsidRPr="00020424">
        <w:rPr>
          <w:rtl/>
          <w:lang w:bidi="fa-IR"/>
        </w:rPr>
        <w:t xml:space="preserve"> فِي الْأَرْضِ </w:t>
      </w:r>
      <w:r w:rsidRPr="00A91B96">
        <w:rPr>
          <w:rStyle w:val="libFootnotenumChar"/>
          <w:rtl/>
        </w:rPr>
        <w:t>(5)</w:t>
      </w:r>
      <w:r w:rsidRPr="00020424">
        <w:rPr>
          <w:rtl/>
          <w:lang w:bidi="fa-IR"/>
        </w:rPr>
        <w:t xml:space="preserve"> ، خُلِقَ مِنْ طِينَةٍ عَذْبَةٍ ، وَخُلِقَ مَاءُ عَيْنَيْهِ </w:t>
      </w:r>
      <w:r w:rsidRPr="00A91B96">
        <w:rPr>
          <w:rStyle w:val="libFootnotenumChar"/>
          <w:rtl/>
        </w:rPr>
        <w:t>(6)</w:t>
      </w:r>
      <w:r w:rsidRPr="00020424">
        <w:rPr>
          <w:rtl/>
          <w:lang w:bidi="fa-IR"/>
        </w:rPr>
        <w:t xml:space="preserve"> مِنْ مَاءِ الْكَوْثَرِ ، وَالْبَخِيلُ مُبَغَّضٌ فِي السَّمَاوَاتِ ، مُبَغَّضٌ </w:t>
      </w:r>
      <w:r w:rsidRPr="00A91B96">
        <w:rPr>
          <w:rStyle w:val="libFootnotenumChar"/>
          <w:rtl/>
        </w:rPr>
        <w:t>(7)</w:t>
      </w:r>
      <w:r w:rsidRPr="00020424">
        <w:rPr>
          <w:rtl/>
          <w:lang w:bidi="fa-IR"/>
        </w:rPr>
        <w:t xml:space="preserve"> فِي الْأَرْضِ </w:t>
      </w:r>
      <w:r w:rsidRPr="00A91B96">
        <w:rPr>
          <w:rStyle w:val="libFootnotenumChar"/>
          <w:rtl/>
        </w:rPr>
        <w:t>(8)</w:t>
      </w:r>
      <w:r w:rsidRPr="00020424">
        <w:rPr>
          <w:rtl/>
          <w:lang w:bidi="fa-IR"/>
        </w:rPr>
        <w:t xml:space="preserve"> ، خُلِقَ مِنْ طِينَةٍ سَبِخَةٍ </w:t>
      </w:r>
      <w:r w:rsidRPr="00A91B96">
        <w:rPr>
          <w:rStyle w:val="libFootnotenumChar"/>
          <w:rtl/>
        </w:rPr>
        <w:t>(9)</w:t>
      </w:r>
      <w:r w:rsidRPr="00020424">
        <w:rPr>
          <w:rtl/>
          <w:lang w:bidi="fa-IR"/>
        </w:rPr>
        <w:t xml:space="preserve"> ، وَخُلِقَ مَاءُ عَيْنَيْهِ </w:t>
      </w:r>
      <w:r w:rsidRPr="00A91B96">
        <w:rPr>
          <w:rStyle w:val="libFootnotenumChar"/>
          <w:rtl/>
        </w:rPr>
        <w:t>(10)</w:t>
      </w:r>
      <w:r w:rsidRPr="00020424">
        <w:rPr>
          <w:rtl/>
          <w:lang w:bidi="fa-IR"/>
        </w:rPr>
        <w:t xml:space="preserve"> مِنْ مَاءِ الْعَوْسَجِ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C9409F">
        <w:rPr>
          <w:rtl/>
        </w:rPr>
        <w:t>6149</w:t>
      </w:r>
      <w:r w:rsidRPr="001155DE">
        <w:rPr>
          <w:rStyle w:val="libBold2Char"/>
          <w:rtl/>
        </w:rPr>
        <w:t xml:space="preserve"> / 4.</w:t>
      </w:r>
      <w:r w:rsidRPr="00020424">
        <w:rPr>
          <w:rtl/>
          <w:lang w:bidi="fa-IR"/>
        </w:rPr>
        <w:t xml:space="preserve"> عَلِيُّ بْنُ إِبْرَاهِيمَ ، عَنْ أَبِيهِ ، عَنِ ابْنِ فَضَّالٍ ، عَنْ عَلِيِّ بْنِ عُقْبَةَ ، عَنْ مَهْدِيٍّ :</w:t>
      </w:r>
    </w:p>
    <w:p w:rsidR="00992664" w:rsidRPr="00020424" w:rsidRDefault="00992664" w:rsidP="00992664">
      <w:pPr>
        <w:pStyle w:val="libNormal"/>
        <w:rPr>
          <w:rtl/>
          <w:lang w:bidi="fa-IR"/>
        </w:rPr>
      </w:pPr>
      <w:r w:rsidRPr="00020424">
        <w:rPr>
          <w:rtl/>
          <w:lang w:bidi="fa-IR"/>
        </w:rPr>
        <w:t xml:space="preserve">عَنْ أَبِي الْحَسَنِ مُوسى </w:t>
      </w:r>
      <w:r w:rsidRPr="00005A81">
        <w:rPr>
          <w:rStyle w:val="libAlaemChar"/>
          <w:rtl/>
        </w:rPr>
        <w:t>عليه‌السلام</w:t>
      </w:r>
      <w:r w:rsidRPr="00020424">
        <w:rPr>
          <w:rtl/>
          <w:lang w:bidi="fa-IR"/>
        </w:rPr>
        <w:t xml:space="preserve"> ، قَالَ : « السَّخِيُّ الْحَسَنُ الْخُلُقِ فِي كَنَفِ اللهِ‌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w:t>
      </w:r>
      <w:r w:rsidR="00992664" w:rsidRPr="00DF4D84">
        <w:rPr>
          <w:rtl/>
        </w:rPr>
        <w:t>والوافي والوسائل والفقيه</w:t>
      </w:r>
      <w:r w:rsidR="00992664" w:rsidRPr="00020424">
        <w:rPr>
          <w:rtl/>
        </w:rPr>
        <w:t xml:space="preserve"> والمعاني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بك » : « أوجب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معاني الأخبار</w:t>
      </w:r>
      <w:r w:rsidR="00992664" w:rsidRPr="00020424">
        <w:rPr>
          <w:rtl/>
        </w:rPr>
        <w:t xml:space="preserve"> ، ص 255 ، ح 1 ، بسنده عن الحسن بن محبوب وأيضاً بسند آخر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4 ، ص 412 ، ح 5898 ، مرسلاً من دون التصريح باسم المعصوم </w:t>
      </w:r>
      <w:r w:rsidR="00992664" w:rsidRPr="00D64ADA">
        <w:rPr>
          <w:rStyle w:val="libFootnoteAlaemChar"/>
          <w:rtl/>
        </w:rPr>
        <w:t>عليه‌السلام</w:t>
      </w:r>
      <w:r w:rsidR="00992664" w:rsidRPr="00020424">
        <w:rPr>
          <w:rtl/>
        </w:rPr>
        <w:t xml:space="preserve"> </w:t>
      </w:r>
      <w:r w:rsidR="00DF4D84">
        <w:rPr>
          <w:rFonts w:hint="cs"/>
          <w:rtl/>
        </w:rPr>
        <w:t>.</w:t>
      </w:r>
      <w:r w:rsidR="00992664" w:rsidRPr="0012008A">
        <w:rPr>
          <w:rStyle w:val="libFootnoteBoldChar"/>
          <w:rtl/>
        </w:rPr>
        <w:t>الوافي</w:t>
      </w:r>
      <w:r w:rsidR="00992664" w:rsidRPr="00020424">
        <w:rPr>
          <w:rtl/>
        </w:rPr>
        <w:t xml:space="preserve"> ، ج 10 ، ص 479 ، ح 9927 ؛ </w:t>
      </w:r>
      <w:r w:rsidR="00992664" w:rsidRPr="0012008A">
        <w:rPr>
          <w:rStyle w:val="libFootnoteBoldChar"/>
          <w:rtl/>
        </w:rPr>
        <w:t>الوسائل</w:t>
      </w:r>
      <w:r w:rsidR="00992664" w:rsidRPr="00020424">
        <w:rPr>
          <w:rtl/>
        </w:rPr>
        <w:t xml:space="preserve"> ، ج 9 ، ص 17 ، ح 11405.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بس » </w:t>
      </w:r>
      <w:r w:rsidR="00992664" w:rsidRPr="00DF4D84">
        <w:rPr>
          <w:rtl/>
        </w:rPr>
        <w:t>والوسائل</w:t>
      </w:r>
      <w:r w:rsidR="00992664" w:rsidRPr="00020424">
        <w:rPr>
          <w:rtl/>
        </w:rPr>
        <w:t xml:space="preserve"> : « ومحبّب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271E3" w:rsidTr="006271E3">
        <w:tc>
          <w:tcPr>
            <w:tcW w:w="4006" w:type="dxa"/>
          </w:tcPr>
          <w:p w:rsidR="006271E3" w:rsidRDefault="006271E3" w:rsidP="000D088B">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الأرضين</w:t>
            </w:r>
            <w:r>
              <w:rPr>
                <w:rtl/>
              </w:rPr>
              <w:t xml:space="preserve"> ».</w:t>
            </w:r>
          </w:p>
        </w:tc>
        <w:tc>
          <w:tcPr>
            <w:tcW w:w="4006" w:type="dxa"/>
          </w:tcPr>
          <w:p w:rsidR="006271E3" w:rsidRDefault="006271E3" w:rsidP="000D088B">
            <w:pPr>
              <w:pStyle w:val="libFootnote0"/>
              <w:rPr>
                <w:rtl/>
              </w:rPr>
            </w:pPr>
            <w:r>
              <w:rPr>
                <w:rtl/>
              </w:rPr>
              <w:t xml:space="preserve">(6). </w:t>
            </w:r>
            <w:r w:rsidRPr="00020424">
              <w:rPr>
                <w:rtl/>
              </w:rPr>
              <w:t>في « ى » : « عينه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 « ومبغّض</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الأرضين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السَبِخة » : أرض ذات ملح ونَزّ</w:t>
      </w:r>
      <w:r w:rsidR="00992664">
        <w:rPr>
          <w:rtl/>
        </w:rPr>
        <w:t xml:space="preserve"> </w:t>
      </w:r>
      <w:r w:rsidR="009B673F">
        <w:rPr>
          <w:rtl/>
        </w:rPr>
        <w:t>-</w:t>
      </w:r>
      <w:r w:rsidR="00992664">
        <w:rPr>
          <w:rtl/>
        </w:rPr>
        <w:t xml:space="preserve"> </w:t>
      </w:r>
      <w:r w:rsidR="00992664" w:rsidRPr="00020424">
        <w:rPr>
          <w:rtl/>
        </w:rPr>
        <w:t>والنزّ : ما يتحلّب من الأرض من الماء</w:t>
      </w:r>
      <w:r w:rsidR="00992664">
        <w:rPr>
          <w:rtl/>
        </w:rPr>
        <w:t xml:space="preserve"> </w:t>
      </w:r>
      <w:r w:rsidR="009B673F">
        <w:rPr>
          <w:rtl/>
        </w:rPr>
        <w:t>-</w:t>
      </w:r>
      <w:r w:rsidR="00992664">
        <w:rPr>
          <w:rtl/>
        </w:rPr>
        <w:t xml:space="preserve"> </w:t>
      </w:r>
      <w:r w:rsidR="00992664" w:rsidRPr="00020424">
        <w:rPr>
          <w:rtl/>
        </w:rPr>
        <w:t>قاله الخليل. وقال ابن الأثير : « هي الأرض التي تعلوها ال</w:t>
      </w:r>
      <w:r w:rsidR="006D7220">
        <w:rPr>
          <w:rFonts w:hint="cs"/>
          <w:rtl/>
        </w:rPr>
        <w:t>ـ</w:t>
      </w:r>
      <w:r w:rsidR="006D7220">
        <w:rPr>
          <w:rtl/>
        </w:rPr>
        <w:t>مُلُوحة ولا تكاد تنبت إل</w:t>
      </w:r>
      <w:r w:rsidR="006D7220">
        <w:rPr>
          <w:rFonts w:hint="cs"/>
          <w:rtl/>
        </w:rPr>
        <w:t>ّ</w:t>
      </w:r>
      <w:r w:rsidR="006D7220">
        <w:rPr>
          <w:rtl/>
        </w:rPr>
        <w:t>ا</w:t>
      </w:r>
      <w:r w:rsidR="00992664" w:rsidRPr="00020424">
        <w:rPr>
          <w:rtl/>
        </w:rPr>
        <w:t xml:space="preserve">بعض الشجر » ، فالمراد : طينة مالحة. راجع : </w:t>
      </w:r>
      <w:r w:rsidR="00992664" w:rsidRPr="00DE76B9">
        <w:rPr>
          <w:rStyle w:val="libFootnoteBoldChar"/>
          <w:rtl/>
        </w:rPr>
        <w:t>ترتيب كتاب العين</w:t>
      </w:r>
      <w:r w:rsidR="00992664" w:rsidRPr="00020424">
        <w:rPr>
          <w:rtl/>
        </w:rPr>
        <w:t xml:space="preserve"> ، ج 2 ، ص 782 ؛ </w:t>
      </w:r>
      <w:r w:rsidR="00992664" w:rsidRPr="0012008A">
        <w:rPr>
          <w:rStyle w:val="libFootnoteBoldChar"/>
          <w:rtl/>
        </w:rPr>
        <w:t>النهاية</w:t>
      </w:r>
      <w:r w:rsidR="00992664" w:rsidRPr="00020424">
        <w:rPr>
          <w:rtl/>
        </w:rPr>
        <w:t xml:space="preserve"> ، ج 2 ، ص 333 ( سبخ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عينه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العَوْسَجُ » : ضرب من شجر الشوك ، له ثمر أحمر مدوّر ، كأنّه خرز العقيق ، وقيل غير ذلك. راجع : </w:t>
      </w:r>
      <w:r w:rsidR="00992664" w:rsidRPr="0012008A">
        <w:rPr>
          <w:rStyle w:val="libFootnoteBoldChar"/>
          <w:rtl/>
        </w:rPr>
        <w:t>الصحاح</w:t>
      </w:r>
      <w:r w:rsidR="00992664" w:rsidRPr="00020424">
        <w:rPr>
          <w:rtl/>
        </w:rPr>
        <w:t xml:space="preserve"> ، ج 1 ، ص 329 ؛ </w:t>
      </w:r>
      <w:r w:rsidR="00992664" w:rsidRPr="00A722B1">
        <w:rPr>
          <w:rStyle w:val="libFootnoteBoldChar"/>
          <w:rtl/>
        </w:rPr>
        <w:t>لسان العرب</w:t>
      </w:r>
      <w:r w:rsidR="00992664" w:rsidRPr="00020424">
        <w:rPr>
          <w:rtl/>
        </w:rPr>
        <w:t xml:space="preserve"> ، ج 2 ، ص 324 ( عسج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480 ، ح 9930 ؛ </w:t>
      </w:r>
      <w:r w:rsidR="00992664" w:rsidRPr="0012008A">
        <w:rPr>
          <w:rStyle w:val="libFootnoteBoldChar"/>
          <w:rtl/>
        </w:rPr>
        <w:t>الوسائل</w:t>
      </w:r>
      <w:r w:rsidR="00992664" w:rsidRPr="00020424">
        <w:rPr>
          <w:rtl/>
        </w:rPr>
        <w:t xml:space="preserve"> ، ج 21 ، ص 544 ، ح 27819.</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لَا يَسْتَخْلِي </w:t>
      </w:r>
      <w:r w:rsidRPr="00A91B96">
        <w:rPr>
          <w:rStyle w:val="libFootnotenumChar"/>
          <w:rtl/>
        </w:rPr>
        <w:t>(1)</w:t>
      </w:r>
      <w:r w:rsidRPr="00020424">
        <w:rPr>
          <w:rtl/>
          <w:lang w:bidi="fa-IR"/>
        </w:rPr>
        <w:t xml:space="preserve"> اللهُ مِنْهُ </w:t>
      </w:r>
      <w:r w:rsidRPr="00A91B96">
        <w:rPr>
          <w:rStyle w:val="libFootnotenumChar"/>
          <w:rtl/>
        </w:rPr>
        <w:t>(2)</w:t>
      </w:r>
      <w:r w:rsidRPr="00020424">
        <w:rPr>
          <w:rtl/>
          <w:lang w:bidi="fa-IR"/>
        </w:rPr>
        <w:t xml:space="preserve"> حَتّى يُدْخِلَهُ </w:t>
      </w:r>
      <w:r w:rsidRPr="00A91B96">
        <w:rPr>
          <w:rStyle w:val="libFootnotenumChar"/>
          <w:rtl/>
        </w:rPr>
        <w:t>(3)</w:t>
      </w:r>
      <w:r w:rsidRPr="00020424">
        <w:rPr>
          <w:rtl/>
          <w:lang w:bidi="fa-IR"/>
        </w:rPr>
        <w:t xml:space="preserve"> الْجَنَّةَ ، وَمَا بَعَثَ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نَبِيّاً وَوَصِيّاً </w:t>
      </w:r>
      <w:r w:rsidRPr="00A91B96">
        <w:rPr>
          <w:rStyle w:val="libFootnotenumChar"/>
          <w:rtl/>
        </w:rPr>
        <w:t>(4)</w:t>
      </w:r>
      <w:r w:rsidR="001546A5">
        <w:rPr>
          <w:rtl/>
          <w:lang w:bidi="fa-IR"/>
        </w:rPr>
        <w:t xml:space="preserve"> إِل</w:t>
      </w:r>
      <w:r w:rsidR="001546A5">
        <w:rPr>
          <w:rFonts w:hint="cs"/>
          <w:rtl/>
          <w:lang w:bidi="fa-IR"/>
        </w:rPr>
        <w:t>َّ</w:t>
      </w:r>
      <w:r w:rsidR="001546A5">
        <w:rPr>
          <w:rtl/>
          <w:lang w:bidi="fa-IR"/>
        </w:rPr>
        <w:t>ا</w:t>
      </w:r>
      <w:r w:rsidRPr="00020424">
        <w:rPr>
          <w:rtl/>
          <w:lang w:bidi="fa-IR"/>
        </w:rPr>
        <w:t xml:space="preserve"> سَخِيّاً ، وَمَا </w:t>
      </w:r>
      <w:r w:rsidRPr="00A91B96">
        <w:rPr>
          <w:rStyle w:val="libFootnotenumChar"/>
          <w:rtl/>
        </w:rPr>
        <w:t>(5)</w:t>
      </w:r>
      <w:r w:rsidRPr="00020424">
        <w:rPr>
          <w:rtl/>
          <w:lang w:bidi="fa-IR"/>
        </w:rPr>
        <w:t xml:space="preserve"> كَانَ أَحَدٌ مِنَ الصَّالِحِينَ إِلاَّ سَخِيّاً ، وَمَا زَالَ أَبِي يُوصِينِي بِالسَّخَاءِ حَتّى مَضى ، وَقَالَ </w:t>
      </w:r>
      <w:r w:rsidRPr="00A91B96">
        <w:rPr>
          <w:rStyle w:val="libFootnotenumChar"/>
          <w:rtl/>
        </w:rPr>
        <w:t>(6)</w:t>
      </w:r>
      <w:r w:rsidRPr="00020424">
        <w:rPr>
          <w:rtl/>
          <w:lang w:bidi="fa-IR"/>
        </w:rPr>
        <w:t xml:space="preserve"> : مَنْ أَخْرَجَ مِنْ مَالِهِ الزَّكَاةَ تَامَّةً ، فَوَضَعَهَا فِي مَوْضِعِهَا ، لَمْ يُسْأَلْ : مِنْ أَيْنَ اكْتَسَبْتَ مَالَكَ</w:t>
      </w:r>
      <w:r>
        <w:rPr>
          <w:rtl/>
          <w:lang w:bidi="fa-IR"/>
        </w:rPr>
        <w:t>؟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C9409F">
        <w:rPr>
          <w:rtl/>
        </w:rPr>
        <w:t>6150</w:t>
      </w:r>
      <w:r w:rsidRPr="001155DE">
        <w:rPr>
          <w:rStyle w:val="libBold2Char"/>
          <w:rtl/>
        </w:rPr>
        <w:t xml:space="preserve"> / 5.</w:t>
      </w:r>
      <w:r w:rsidRPr="00020424">
        <w:rPr>
          <w:rtl/>
          <w:lang w:bidi="fa-IR"/>
        </w:rPr>
        <w:t xml:space="preserve"> مُحَمَّدُ بْنُ يَحْيى </w:t>
      </w:r>
      <w:r w:rsidRPr="00A91B96">
        <w:rPr>
          <w:rStyle w:val="libFootnotenumChar"/>
          <w:rtl/>
        </w:rPr>
        <w:t>(8)</w:t>
      </w:r>
      <w:r w:rsidRPr="00020424">
        <w:rPr>
          <w:rtl/>
          <w:lang w:bidi="fa-IR"/>
        </w:rPr>
        <w:t xml:space="preserve"> ، عَنْ أَحْمَدَ بْنِ مُحَمَّدٍ ، عَنْ عَلِيِّ بْنِ الْحَكَمِ ، عَنِ الْحُسَيْنِ </w:t>
      </w:r>
      <w:r w:rsidRPr="00A91B96">
        <w:rPr>
          <w:rStyle w:val="libFootnotenumChar"/>
          <w:rtl/>
        </w:rPr>
        <w:t>(9)</w:t>
      </w:r>
      <w:r w:rsidRPr="00020424">
        <w:rPr>
          <w:rtl/>
          <w:lang w:bidi="fa-IR"/>
        </w:rPr>
        <w:t xml:space="preserve"> بْنِ أَبِي سَعِيدٍ الْمُكَارِي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أَتى رَسُولَ اللهِ </w:t>
      </w:r>
      <w:r w:rsidRPr="00A91B96">
        <w:rPr>
          <w:rStyle w:val="libFootnotenumChar"/>
          <w:rtl/>
        </w:rPr>
        <w:t>(10)</w:t>
      </w:r>
      <w:r w:rsidRPr="00020424">
        <w:rPr>
          <w:rtl/>
          <w:lang w:bidi="fa-IR"/>
        </w:rPr>
        <w:t xml:space="preserve"> </w:t>
      </w:r>
      <w:r w:rsidR="00B42914" w:rsidRPr="00B42914">
        <w:rPr>
          <w:rStyle w:val="libAlaemChar"/>
          <w:rtl/>
        </w:rPr>
        <w:t>صلى‌الله‌عليه‌وآله‌</w:t>
      </w:r>
      <w:r w:rsidRPr="00020424">
        <w:rPr>
          <w:rtl/>
          <w:lang w:bidi="fa-IR"/>
        </w:rPr>
        <w:t xml:space="preserve"> وَفْدٌ مِنَ الْيَمَنِ ، وَفِيهِمْ </w:t>
      </w:r>
      <w:r w:rsidRPr="00A91B96">
        <w:rPr>
          <w:rStyle w:val="libFootnotenumChar"/>
          <w:rtl/>
        </w:rPr>
        <w:t>(11)</w:t>
      </w:r>
      <w:r w:rsidRPr="00020424">
        <w:rPr>
          <w:rtl/>
          <w:lang w:bidi="fa-IR"/>
        </w:rPr>
        <w:t xml:space="preserve"> رَجُلٌ كَانَ أَعْظَمَهُمْ كَلَاماً وَأَشَدَّهُمْ اسْتِقْصَاءً فِي مُحَاجَّةِ النَّبِيِّ </w:t>
      </w:r>
      <w:r w:rsidR="00B42914" w:rsidRPr="00B42914">
        <w:rPr>
          <w:rStyle w:val="libAlaemChar"/>
          <w:rtl/>
        </w:rPr>
        <w:t>صلى‌الله‌عليه‌وآله‌</w:t>
      </w:r>
      <w:r w:rsidRPr="00020424">
        <w:rPr>
          <w:rtl/>
          <w:lang w:bidi="fa-IR"/>
        </w:rPr>
        <w:t xml:space="preserve"> ، فَغَضِبَ النَّبِيُّ </w:t>
      </w:r>
      <w:r w:rsidR="00B42914" w:rsidRPr="00B42914">
        <w:rPr>
          <w:rStyle w:val="libAlaemChar"/>
          <w:rtl/>
        </w:rPr>
        <w:t>صلى‌الله‌عليه‌وآله‌</w:t>
      </w:r>
      <w:r w:rsidRPr="00020424">
        <w:rPr>
          <w:rtl/>
          <w:lang w:bidi="fa-IR"/>
        </w:rPr>
        <w:t xml:space="preserve"> حَتَّى الْتَوى </w:t>
      </w:r>
      <w:r w:rsidRPr="00A91B96">
        <w:rPr>
          <w:rStyle w:val="libFootnotenumChar"/>
          <w:rtl/>
        </w:rPr>
        <w:t>(12)</w:t>
      </w:r>
      <w:r w:rsidRPr="00020424">
        <w:rPr>
          <w:rtl/>
          <w:lang w:bidi="fa-IR"/>
        </w:rPr>
        <w:t xml:space="preserve"> عِرْقُ الْغَضَبِ بَيْنَ عَيْنَيْهِ ، وَتَرَبَّدَ وَجْهُهُ </w:t>
      </w:r>
      <w:r w:rsidRPr="00A91B96">
        <w:rPr>
          <w:rStyle w:val="libFootnotenumChar"/>
          <w:rtl/>
        </w:rPr>
        <w:t>(13)</w:t>
      </w:r>
      <w:r w:rsidRPr="00020424">
        <w:rPr>
          <w:rtl/>
          <w:lang w:bidi="fa-IR"/>
        </w:rPr>
        <w:t xml:space="preserve"> ، وَأَطْرَقَ إِلَى‌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بخ ، جن » وحاشية « بف » </w:t>
      </w:r>
      <w:r w:rsidR="00992664" w:rsidRPr="00EB1FD9">
        <w:rPr>
          <w:rStyle w:val="libFootnoteBoldChar"/>
          <w:rtl/>
        </w:rPr>
        <w:t>والوسائل</w:t>
      </w:r>
      <w:r w:rsidR="00992664" w:rsidRPr="00020424">
        <w:rPr>
          <w:rtl/>
        </w:rPr>
        <w:t xml:space="preserve"> </w:t>
      </w:r>
      <w:r w:rsidR="00992664" w:rsidRPr="00A83B0E">
        <w:rPr>
          <w:rStyle w:val="libFootnoteBoldChar"/>
          <w:rtl/>
        </w:rPr>
        <w:t>وتحف العقول</w:t>
      </w:r>
      <w:r w:rsidR="00992664" w:rsidRPr="00020424">
        <w:rPr>
          <w:rtl/>
        </w:rPr>
        <w:t xml:space="preserve"> : « لا يتخلّى</w:t>
      </w:r>
      <w:r w:rsidR="00992664">
        <w:rPr>
          <w:rtl/>
        </w:rPr>
        <w:t xml:space="preserve"> ».</w:t>
      </w:r>
      <w:r w:rsidR="00992664" w:rsidRPr="00020424">
        <w:rPr>
          <w:rtl/>
        </w:rPr>
        <w:t xml:space="preserve"> والاستخلاء : الفراغ ، والمعنى : لا يستفرغ منه ولا يتركه يذهب. راجع : </w:t>
      </w:r>
      <w:r w:rsidR="00992664" w:rsidRPr="00A722B1">
        <w:rPr>
          <w:rStyle w:val="libFootnoteBoldChar"/>
          <w:rtl/>
        </w:rPr>
        <w:t>القاموس المحيط</w:t>
      </w:r>
      <w:r w:rsidR="00992664" w:rsidRPr="00020424">
        <w:rPr>
          <w:rtl/>
        </w:rPr>
        <w:t xml:space="preserve"> ، ج 2 ، ص 1680 ( خلا )</w:t>
      </w:r>
      <w:r w:rsidR="00992664">
        <w:rPr>
          <w:rtl/>
        </w:rPr>
        <w:t>.</w:t>
      </w:r>
    </w:p>
    <w:tbl>
      <w:tblPr>
        <w:tblStyle w:val="TableGrid"/>
        <w:bidiVisual/>
        <w:tblW w:w="0" w:type="auto"/>
        <w:tblLook w:val="04A0" w:firstRow="1" w:lastRow="0" w:firstColumn="1" w:lastColumn="0" w:noHBand="0" w:noVBand="1"/>
      </w:tblPr>
      <w:tblGrid>
        <w:gridCol w:w="4006"/>
        <w:gridCol w:w="4006"/>
      </w:tblGrid>
      <w:tr w:rsidR="003F4E31" w:rsidTr="003F4E31">
        <w:tc>
          <w:tcPr>
            <w:tcW w:w="4006" w:type="dxa"/>
          </w:tcPr>
          <w:p w:rsidR="003F4E31" w:rsidRDefault="003F4E31" w:rsidP="00992664">
            <w:pPr>
              <w:pStyle w:val="libFootnote0"/>
              <w:rPr>
                <w:rtl/>
              </w:rPr>
            </w:pPr>
            <w:r>
              <w:rPr>
                <w:rtl/>
              </w:rPr>
              <w:t xml:space="preserve">(2). </w:t>
            </w:r>
            <w:r w:rsidRPr="00020424">
              <w:rPr>
                <w:rtl/>
              </w:rPr>
              <w:t>في « بث » : « عنه</w:t>
            </w:r>
            <w:r>
              <w:rPr>
                <w:rtl/>
              </w:rPr>
              <w:t xml:space="preserve"> ».</w:t>
            </w:r>
          </w:p>
        </w:tc>
        <w:tc>
          <w:tcPr>
            <w:tcW w:w="4006" w:type="dxa"/>
          </w:tcPr>
          <w:p w:rsidR="003F4E31" w:rsidRDefault="003F4E31" w:rsidP="00992664">
            <w:pPr>
              <w:pStyle w:val="libFootnote0"/>
              <w:rPr>
                <w:rtl/>
              </w:rPr>
            </w:pPr>
            <w:r>
              <w:rPr>
                <w:rtl/>
              </w:rPr>
              <w:t xml:space="preserve">(3). </w:t>
            </w:r>
            <w:r w:rsidRPr="00020424">
              <w:rPr>
                <w:rtl/>
              </w:rPr>
              <w:t xml:space="preserve">في « ظ ، جن » </w:t>
            </w:r>
            <w:r w:rsidRPr="00EB1FD9">
              <w:rPr>
                <w:rStyle w:val="libFootnoteBoldChar"/>
                <w:rtl/>
              </w:rPr>
              <w:t>والوسائل</w:t>
            </w:r>
            <w:r w:rsidRPr="00020424">
              <w:rPr>
                <w:rtl/>
              </w:rPr>
              <w:t xml:space="preserve"> : + « الله</w:t>
            </w:r>
            <w:r>
              <w:rPr>
                <w:rtl/>
              </w:rPr>
              <w:t xml:space="preserve"> ».</w:t>
            </w:r>
          </w:p>
        </w:tc>
      </w:tr>
      <w:tr w:rsidR="003F4E31" w:rsidTr="003F4E31">
        <w:tc>
          <w:tcPr>
            <w:tcW w:w="4006" w:type="dxa"/>
          </w:tcPr>
          <w:p w:rsidR="003F4E31" w:rsidRDefault="003F4E31"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ولا وصيّاً</w:t>
            </w:r>
            <w:r>
              <w:rPr>
                <w:rtl/>
              </w:rPr>
              <w:t xml:space="preserve"> ».</w:t>
            </w:r>
          </w:p>
        </w:tc>
        <w:tc>
          <w:tcPr>
            <w:tcW w:w="4006" w:type="dxa"/>
          </w:tcPr>
          <w:p w:rsidR="003F4E31" w:rsidRDefault="003F4E31" w:rsidP="00992664">
            <w:pPr>
              <w:pStyle w:val="libFootnote0"/>
              <w:rPr>
                <w:rtl/>
              </w:rPr>
            </w:pPr>
            <w:r>
              <w:rPr>
                <w:rtl/>
              </w:rPr>
              <w:t xml:space="preserve">(5). </w:t>
            </w:r>
            <w:r w:rsidR="0093545A">
              <w:rPr>
                <w:rtl/>
              </w:rPr>
              <w:t>في«بح،بخ،بر،بك</w:t>
            </w:r>
            <w:r w:rsidRPr="00020424">
              <w:rPr>
                <w:rtl/>
              </w:rPr>
              <w:t xml:space="preserve">» </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 xml:space="preserve"> : « ولا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بك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الكافي</w:t>
      </w:r>
      <w:r w:rsidR="00992664" w:rsidRPr="00020424">
        <w:rPr>
          <w:rtl/>
        </w:rPr>
        <w:t xml:space="preserve"> ، كتاب الزكاة ، باب منع الزكاة ، ح 5748 ، من قوله : « وقال : من أخرج من ماله الزكاة</w:t>
      </w:r>
      <w:r w:rsidR="00992664">
        <w:rPr>
          <w:rtl/>
        </w:rPr>
        <w:t xml:space="preserve"> ».</w:t>
      </w:r>
      <w:r w:rsidR="00992664" w:rsidRPr="00020424">
        <w:rPr>
          <w:rtl/>
        </w:rPr>
        <w:t xml:space="preserve"> وفي </w:t>
      </w:r>
      <w:r w:rsidR="00992664" w:rsidRPr="0012008A">
        <w:rPr>
          <w:rStyle w:val="libFootnoteBoldChar"/>
          <w:rtl/>
        </w:rPr>
        <w:t>ثواب الأعمال</w:t>
      </w:r>
      <w:r w:rsidR="00992664" w:rsidRPr="00020424">
        <w:rPr>
          <w:rtl/>
        </w:rPr>
        <w:t xml:space="preserve"> ، ص 69 ، ح 1 ، بسنده عن أبي إسحاق إبراهيم بن هاشم ، عن الحسن بن عليّ بن فضّال ، عن مهديّ رجل من أصحابنا ، عن أبي الحسن الأوّل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9 ، ح 1581 ، مرسلاً ، من قوله : « وقال : من أخرج من ماله الزكاة » </w:t>
      </w:r>
      <w:r w:rsidR="005A4585">
        <w:rPr>
          <w:rFonts w:hint="cs"/>
          <w:rtl/>
        </w:rPr>
        <w:t>.</w:t>
      </w:r>
      <w:r w:rsidR="00992664" w:rsidRPr="0012008A">
        <w:rPr>
          <w:rStyle w:val="libFootnoteBoldChar"/>
          <w:rtl/>
        </w:rPr>
        <w:t>الوافي</w:t>
      </w:r>
      <w:r w:rsidR="00992664" w:rsidRPr="00020424">
        <w:rPr>
          <w:rtl/>
        </w:rPr>
        <w:t xml:space="preserve"> ، ج 10 ، ص 480 ، ح 9931 ؛ </w:t>
      </w:r>
      <w:r w:rsidR="00992664" w:rsidRPr="0012008A">
        <w:rPr>
          <w:rStyle w:val="libFootnoteBoldChar"/>
          <w:rtl/>
        </w:rPr>
        <w:t>الوسائل</w:t>
      </w:r>
      <w:r w:rsidR="00992664" w:rsidRPr="00020424">
        <w:rPr>
          <w:rtl/>
        </w:rPr>
        <w:t xml:space="preserve"> ، ج 21 ، ص 544 ، ح 27820 ؛ </w:t>
      </w:r>
      <w:r w:rsidR="00992664" w:rsidRPr="00DE76B9">
        <w:rPr>
          <w:rStyle w:val="libFootnoteBoldChar"/>
          <w:rtl/>
        </w:rPr>
        <w:t>وفيه</w:t>
      </w:r>
      <w:r w:rsidR="00992664" w:rsidRPr="00020424">
        <w:rPr>
          <w:rtl/>
        </w:rPr>
        <w:t xml:space="preserve"> ، ج 9 ، ص 218 ، ح 11875 ، من قوله : « وقال : من أخرج من ماله الزكاة » ؛ </w:t>
      </w:r>
      <w:r w:rsidR="00992664" w:rsidRPr="0012008A">
        <w:rPr>
          <w:rStyle w:val="libFootnoteBoldChar"/>
          <w:rtl/>
        </w:rPr>
        <w:t>البحار</w:t>
      </w:r>
      <w:r w:rsidR="00992664" w:rsidRPr="00020424">
        <w:rPr>
          <w:rtl/>
        </w:rPr>
        <w:t xml:space="preserve"> ، ج 14 ، ص 461 ، ح 25 ، وتمام الرواية فيه : « ما</w:t>
      </w:r>
      <w:r w:rsidR="00F700FA">
        <w:rPr>
          <w:rtl/>
        </w:rPr>
        <w:t xml:space="preserve"> بعث الله نبيّاً ولا وصيّاً إل</w:t>
      </w:r>
      <w:r w:rsidR="00F700FA">
        <w:rPr>
          <w:rFonts w:hint="cs"/>
          <w:rtl/>
        </w:rPr>
        <w:t>ّ</w:t>
      </w:r>
      <w:r w:rsidR="00F700FA">
        <w:rPr>
          <w:rtl/>
        </w:rPr>
        <w:t>ا</w:t>
      </w:r>
      <w:r w:rsidR="00992664" w:rsidRPr="00020424">
        <w:rPr>
          <w:rtl/>
        </w:rPr>
        <w:t>سخيّاً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الكافي ، ح 6203 : « عدّة من أصحابنا » بدل « محمّد بن يحيى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84DF3" w:rsidTr="00C84DF3">
        <w:tc>
          <w:tcPr>
            <w:tcW w:w="4006" w:type="dxa"/>
          </w:tcPr>
          <w:p w:rsidR="00C84DF3" w:rsidRDefault="00C84DF3" w:rsidP="00992664">
            <w:pPr>
              <w:pStyle w:val="libFootnote0"/>
              <w:rPr>
                <w:rtl/>
              </w:rPr>
            </w:pPr>
            <w:r>
              <w:rPr>
                <w:rtl/>
              </w:rPr>
              <w:t xml:space="preserve">(9). </w:t>
            </w:r>
            <w:r w:rsidRPr="00020424">
              <w:rPr>
                <w:rtl/>
              </w:rPr>
              <w:t>في « بف » :</w:t>
            </w:r>
            <w:r>
              <w:rPr>
                <w:rtl/>
              </w:rPr>
              <w:t xml:space="preserve"> - </w:t>
            </w:r>
            <w:r w:rsidRPr="00020424">
              <w:rPr>
                <w:rtl/>
              </w:rPr>
              <w:t>« الحسين</w:t>
            </w:r>
            <w:r>
              <w:rPr>
                <w:rtl/>
              </w:rPr>
              <w:t xml:space="preserve"> ».</w:t>
            </w:r>
          </w:p>
        </w:tc>
        <w:tc>
          <w:tcPr>
            <w:tcW w:w="4006" w:type="dxa"/>
          </w:tcPr>
          <w:p w:rsidR="00C84DF3" w:rsidRDefault="00C84DF3" w:rsidP="00992664">
            <w:pPr>
              <w:pStyle w:val="libFootnote0"/>
              <w:rPr>
                <w:rtl/>
              </w:rPr>
            </w:pPr>
            <w:r>
              <w:rPr>
                <w:rtl/>
              </w:rPr>
              <w:t xml:space="preserve">(10). </w:t>
            </w:r>
            <w:r w:rsidR="002E0A34">
              <w:rPr>
                <w:rtl/>
              </w:rPr>
              <w:t>في «بح،بخ،بر،بف،بك</w:t>
            </w:r>
            <w:r w:rsidRPr="00020424">
              <w:rPr>
                <w:rtl/>
              </w:rPr>
              <w:t xml:space="preserve">» </w:t>
            </w:r>
            <w:r w:rsidRPr="00515444">
              <w:rPr>
                <w:rStyle w:val="libFootnoteBoldChar"/>
                <w:rtl/>
              </w:rPr>
              <w:t>والوافي</w:t>
            </w:r>
            <w:r w:rsidRPr="00020424">
              <w:rPr>
                <w:rtl/>
              </w:rPr>
              <w:t xml:space="preserve"> : « النبيّ</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ى » : « وفيه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التوى » : مطاوع لَوَيْتُ الحبل ، فالتوى وتلوّى ، أي فتلته فالتفّ ، ويقال : التَوى الماءُ في مَجراه ، أي انعطف‌ولم يجر على الاستقامة. راجع : </w:t>
      </w:r>
      <w:r w:rsidR="00992664" w:rsidRPr="00A722B1">
        <w:rPr>
          <w:rStyle w:val="libFootnoteBoldChar"/>
          <w:rtl/>
        </w:rPr>
        <w:t>لسان العرب</w:t>
      </w:r>
      <w:r w:rsidR="00992664" w:rsidRPr="00020424">
        <w:rPr>
          <w:rtl/>
        </w:rPr>
        <w:t xml:space="preserve"> ، ج 8 ص 364 ؛ </w:t>
      </w:r>
      <w:r w:rsidR="00992664" w:rsidRPr="00A722B1">
        <w:rPr>
          <w:rStyle w:val="libFootnoteBoldChar"/>
          <w:rtl/>
        </w:rPr>
        <w:t>القاموس المحيط</w:t>
      </w:r>
      <w:r w:rsidR="00992664" w:rsidRPr="00020424">
        <w:rPr>
          <w:rtl/>
        </w:rPr>
        <w:t xml:space="preserve"> ، ج 2 ، ص 1745 ( لوى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 تربّد وجهه » ، أي تغيّر من الغضب. وقيل : اربدّ وتربّد وجهه ، أي احمرّ حمرة فيها سواد عند الغضب. </w:t>
      </w:r>
      <w:r w:rsidR="008D56D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الْأَرْضِ </w:t>
      </w:r>
      <w:r w:rsidRPr="00A91B96">
        <w:rPr>
          <w:rStyle w:val="libFootnotenumChar"/>
          <w:rtl/>
        </w:rPr>
        <w:t>(1)</w:t>
      </w:r>
      <w:r w:rsidRPr="00020424">
        <w:rPr>
          <w:rtl/>
          <w:lang w:bidi="fa-IR"/>
        </w:rPr>
        <w:t xml:space="preserve"> ، فَأَتَاهُ </w:t>
      </w:r>
      <w:r w:rsidRPr="00A91B96">
        <w:rPr>
          <w:rStyle w:val="libFootnotenumChar"/>
          <w:rtl/>
        </w:rPr>
        <w:t>(2)</w:t>
      </w:r>
      <w:r w:rsidRPr="00020424">
        <w:rPr>
          <w:rtl/>
          <w:lang w:bidi="fa-IR"/>
        </w:rPr>
        <w:t xml:space="preserve"> جَبْرَئِيلُ </w:t>
      </w:r>
      <w:r w:rsidRPr="00005A81">
        <w:rPr>
          <w:rStyle w:val="libAlaemChar"/>
          <w:rtl/>
        </w:rPr>
        <w:t>عليه‌السلام</w:t>
      </w:r>
      <w:r w:rsidRPr="00020424">
        <w:rPr>
          <w:rtl/>
          <w:lang w:bidi="fa-IR"/>
        </w:rPr>
        <w:t xml:space="preserve"> ، فَقَالَ : رَبُّكَ يُقْرِئُكَ السَّلَامَ ، وَيَقُولُ لَكَ </w:t>
      </w:r>
      <w:r w:rsidRPr="00A91B96">
        <w:rPr>
          <w:rStyle w:val="libFootnotenumChar"/>
          <w:rtl/>
        </w:rPr>
        <w:t>(3)</w:t>
      </w:r>
      <w:r w:rsidRPr="00020424">
        <w:rPr>
          <w:rtl/>
          <w:lang w:bidi="fa-IR"/>
        </w:rPr>
        <w:t xml:space="preserve"> : هذَا رَجُلٌ سَخِيٌّ يُطْعِمُ الطَّعَامَ ، فَسَكَنَ عَنِ النَّبِيِّ </w:t>
      </w:r>
      <w:r w:rsidR="00B42914" w:rsidRPr="00B42914">
        <w:rPr>
          <w:rStyle w:val="libAlaemChar"/>
          <w:rtl/>
        </w:rPr>
        <w:t>صلى‌الله‌عليه‌وآله‌</w:t>
      </w:r>
      <w:r w:rsidRPr="00020424">
        <w:rPr>
          <w:rtl/>
          <w:lang w:bidi="fa-IR"/>
        </w:rPr>
        <w:t xml:space="preserve"> الْغَضَبُ ، وَرَفَعَ رَأْسَهُ ، وَقَالَ لَهُ </w:t>
      </w:r>
      <w:r w:rsidRPr="00A91B96">
        <w:rPr>
          <w:rStyle w:val="libFootnotenumChar"/>
          <w:rtl/>
        </w:rPr>
        <w:t>(4)</w:t>
      </w:r>
      <w:r w:rsidRPr="00020424">
        <w:rPr>
          <w:rtl/>
          <w:lang w:bidi="fa-IR"/>
        </w:rPr>
        <w:t xml:space="preserve"> : لَوْ لَا</w:t>
      </w:r>
      <w:r>
        <w:rPr>
          <w:rFonts w:hint="cs"/>
          <w:rtl/>
          <w:lang w:bidi="fa-IR"/>
        </w:rPr>
        <w:t xml:space="preserve"> </w:t>
      </w:r>
      <w:r w:rsidRPr="00020424">
        <w:rPr>
          <w:rtl/>
          <w:lang w:bidi="fa-IR"/>
        </w:rPr>
        <w:t>أَنَّ جَبْرَئِيلَ أَخْبَرَنِي عَنِ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أَنَّكَ سَخِيٌّ تُطْعِمُ الطَّعَامَ ، لَشَرَّدْتُ بِكَ </w:t>
      </w:r>
      <w:r w:rsidRPr="00A91B96">
        <w:rPr>
          <w:rStyle w:val="libFootnotenumChar"/>
          <w:rtl/>
        </w:rPr>
        <w:t>(5)</w:t>
      </w:r>
      <w:r w:rsidRPr="00020424">
        <w:rPr>
          <w:rtl/>
          <w:lang w:bidi="fa-IR"/>
        </w:rPr>
        <w:t xml:space="preserve"> ، وَجَعَلْتُكَ حَدِيثاً لِمَنْ خَلْفَكَ </w:t>
      </w:r>
      <w:r w:rsidRPr="00A91B96">
        <w:rPr>
          <w:rStyle w:val="libFootnotenumChar"/>
          <w:rtl/>
        </w:rPr>
        <w:t>(6)</w:t>
      </w:r>
      <w:r w:rsidRPr="00020424">
        <w:rPr>
          <w:rtl/>
          <w:lang w:bidi="fa-IR"/>
        </w:rPr>
        <w:t xml:space="preserve"> ، فَقَالَ </w:t>
      </w:r>
      <w:r w:rsidRPr="00A91B96">
        <w:rPr>
          <w:rStyle w:val="libFootnotenumChar"/>
          <w:rtl/>
        </w:rPr>
        <w:t>(7)</w:t>
      </w:r>
      <w:r w:rsidRPr="00020424">
        <w:rPr>
          <w:rtl/>
          <w:lang w:bidi="fa-IR"/>
        </w:rPr>
        <w:t xml:space="preserve"> لَهُ الرَّجُلُ : وَإِنَّ </w:t>
      </w:r>
      <w:r w:rsidRPr="00A91B96">
        <w:rPr>
          <w:rStyle w:val="libFootnotenumChar"/>
          <w:rtl/>
        </w:rPr>
        <w:t>(8)</w:t>
      </w:r>
      <w:r w:rsidRPr="00020424">
        <w:rPr>
          <w:rtl/>
          <w:lang w:bidi="fa-IR"/>
        </w:rPr>
        <w:t xml:space="preserve"> رَبَّكَ لَيُحِبُّ </w:t>
      </w:r>
      <w:r w:rsidRPr="00A91B96">
        <w:rPr>
          <w:rStyle w:val="libFootnotenumChar"/>
          <w:rtl/>
        </w:rPr>
        <w:t>(9)</w:t>
      </w:r>
      <w:r w:rsidRPr="00020424">
        <w:rPr>
          <w:rtl/>
          <w:lang w:bidi="fa-IR"/>
        </w:rPr>
        <w:t xml:space="preserve"> السَّخَاءَ</w:t>
      </w:r>
      <w:r>
        <w:rPr>
          <w:rtl/>
          <w:lang w:bidi="fa-IR"/>
        </w:rPr>
        <w:t>؟</w:t>
      </w:r>
      <w:r w:rsidRPr="00020424">
        <w:rPr>
          <w:rtl/>
          <w:lang w:bidi="fa-IR"/>
        </w:rPr>
        <w:t xml:space="preserve"> فَقَالَ </w:t>
      </w:r>
      <w:r w:rsidRPr="00A91B96">
        <w:rPr>
          <w:rStyle w:val="libFootnotenumChar"/>
          <w:rtl/>
        </w:rPr>
        <w:t>(10)</w:t>
      </w:r>
      <w:r w:rsidRPr="00020424">
        <w:rPr>
          <w:rtl/>
          <w:lang w:bidi="fa-IR"/>
        </w:rPr>
        <w:t xml:space="preserve"> : نَعَمْ ، فَقَالَ </w:t>
      </w:r>
      <w:r w:rsidRPr="00A91B96">
        <w:rPr>
          <w:rStyle w:val="libFootnotenumChar"/>
          <w:rtl/>
        </w:rPr>
        <w:t>(11)</w:t>
      </w:r>
      <w:r w:rsidRPr="00020424">
        <w:rPr>
          <w:rtl/>
          <w:lang w:bidi="fa-IR"/>
        </w:rPr>
        <w:t xml:space="preserve"> : إِنِّي أَشْهَدُ أَنْ لَا</w:t>
      </w:r>
      <w:r>
        <w:rPr>
          <w:rFonts w:hint="cs"/>
          <w:rtl/>
          <w:lang w:bidi="fa-IR"/>
        </w:rPr>
        <w:t xml:space="preserve"> </w:t>
      </w:r>
      <w:r w:rsidR="007B6B3D">
        <w:rPr>
          <w:rtl/>
          <w:lang w:bidi="fa-IR"/>
        </w:rPr>
        <w:t>إِلهَ إِل</w:t>
      </w:r>
      <w:r w:rsidR="007B6B3D">
        <w:rPr>
          <w:rFonts w:hint="cs"/>
          <w:rtl/>
          <w:lang w:bidi="fa-IR"/>
        </w:rPr>
        <w:t>َّ</w:t>
      </w:r>
      <w:r w:rsidR="007B6B3D">
        <w:rPr>
          <w:rtl/>
          <w:lang w:bidi="fa-IR"/>
        </w:rPr>
        <w:t>ا</w:t>
      </w:r>
      <w:r w:rsidRPr="00020424">
        <w:rPr>
          <w:rtl/>
          <w:lang w:bidi="fa-IR"/>
        </w:rPr>
        <w:t xml:space="preserve"> اللهُ ، وَأَنَّكَ رَسُولُ اللهِ ، وَالَّذِي بَعَثَكَ بِالْحَقِّ ، لَارَدَدْتُ عَنْ </w:t>
      </w:r>
      <w:r w:rsidRPr="00A91B96">
        <w:rPr>
          <w:rStyle w:val="libFootnotenumChar"/>
          <w:rtl/>
        </w:rPr>
        <w:t>(12)</w:t>
      </w:r>
      <w:r w:rsidRPr="00020424">
        <w:rPr>
          <w:rtl/>
          <w:lang w:bidi="fa-IR"/>
        </w:rPr>
        <w:t xml:space="preserve"> مَالِي أَحَداً</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377C9" w:rsidP="00992664">
      <w:pPr>
        <w:pStyle w:val="libFootnote0"/>
        <w:rPr>
          <w:rtl/>
          <w:lang w:bidi="fa-IR"/>
        </w:rPr>
      </w:pPr>
      <w:r>
        <w:rPr>
          <w:rFonts w:hint="cs"/>
          <w:rtl/>
        </w:rPr>
        <w:t xml:space="preserve">= </w:t>
      </w:r>
      <w:r w:rsidR="00992664" w:rsidRPr="00020424">
        <w:rPr>
          <w:rtl/>
        </w:rPr>
        <w:t xml:space="preserve">وقيل غير ذلك. راجع : </w:t>
      </w:r>
      <w:r w:rsidR="00992664" w:rsidRPr="0012008A">
        <w:rPr>
          <w:rStyle w:val="libFootnoteBoldChar"/>
          <w:rtl/>
        </w:rPr>
        <w:t>الصحاح</w:t>
      </w:r>
      <w:r w:rsidR="00992664" w:rsidRPr="00020424">
        <w:rPr>
          <w:rtl/>
        </w:rPr>
        <w:t xml:space="preserve"> ، ج 2 ، ص 472 ؛ </w:t>
      </w:r>
      <w:r w:rsidR="00992664" w:rsidRPr="00A722B1">
        <w:rPr>
          <w:rStyle w:val="libFootnoteBoldChar"/>
          <w:rtl/>
        </w:rPr>
        <w:t>لسان العرب</w:t>
      </w:r>
      <w:r w:rsidR="00992664" w:rsidRPr="00020424">
        <w:rPr>
          <w:rtl/>
        </w:rPr>
        <w:t xml:space="preserve"> ، ج 3 ، ص 170 ( ربد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أطرق إلى الأرض » أي أرخى عينيه ينظر إلى الأرض ، ويقال : أطرق الرجل ، إذا سكت فلم يتكلّم ، فالمعنى : سكت ناظراً إلى الأرض. وقيل : الإطراق : أن يقبل ببصره إلى صدره ويسكت ساكتاً. راجع : </w:t>
      </w:r>
      <w:r w:rsidR="00992664" w:rsidRPr="0012008A">
        <w:rPr>
          <w:rStyle w:val="libFootnoteBoldChar"/>
          <w:rtl/>
        </w:rPr>
        <w:t>الصحاح</w:t>
      </w:r>
      <w:r w:rsidR="00992664" w:rsidRPr="00020424">
        <w:rPr>
          <w:rtl/>
        </w:rPr>
        <w:t xml:space="preserve"> ، ج 4 ، ص 1515 ؛ </w:t>
      </w:r>
      <w:r w:rsidR="00992664" w:rsidRPr="0012008A">
        <w:rPr>
          <w:rStyle w:val="libFootnoteBoldChar"/>
          <w:rtl/>
        </w:rPr>
        <w:t>النهاية</w:t>
      </w:r>
      <w:r w:rsidR="00992664" w:rsidRPr="00020424">
        <w:rPr>
          <w:rtl/>
        </w:rPr>
        <w:t xml:space="preserve"> ، ج 3 ، ص 122 ( طرق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بف ، بك » </w:t>
      </w:r>
      <w:r w:rsidR="00992664" w:rsidRPr="00515444">
        <w:rPr>
          <w:rStyle w:val="libFootnoteBoldChar"/>
          <w:rtl/>
        </w:rPr>
        <w:t>والوافي</w:t>
      </w:r>
      <w:r w:rsidR="00992664" w:rsidRPr="00020424">
        <w:rPr>
          <w:rtl/>
        </w:rPr>
        <w:t xml:space="preserve"> : « فأتى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76CF3" w:rsidTr="00B76CF3">
        <w:tc>
          <w:tcPr>
            <w:tcW w:w="4006" w:type="dxa"/>
          </w:tcPr>
          <w:p w:rsidR="00B76CF3" w:rsidRDefault="00B76CF3" w:rsidP="00992664">
            <w:pPr>
              <w:pStyle w:val="libFootnote0"/>
              <w:rPr>
                <w:rtl/>
              </w:rPr>
            </w:pPr>
            <w:r>
              <w:rPr>
                <w:rtl/>
              </w:rPr>
              <w:t xml:space="preserve">(3). </w:t>
            </w:r>
            <w:r w:rsidRPr="00020424">
              <w:rPr>
                <w:rtl/>
              </w:rPr>
              <w:t>في « ى » :</w:t>
            </w:r>
            <w:r>
              <w:rPr>
                <w:rtl/>
              </w:rPr>
              <w:t xml:space="preserve"> - </w:t>
            </w:r>
            <w:r w:rsidRPr="00020424">
              <w:rPr>
                <w:rtl/>
              </w:rPr>
              <w:t>« لك</w:t>
            </w:r>
            <w:r>
              <w:rPr>
                <w:rtl/>
              </w:rPr>
              <w:t xml:space="preserve"> ».</w:t>
            </w:r>
          </w:p>
        </w:tc>
        <w:tc>
          <w:tcPr>
            <w:tcW w:w="4006" w:type="dxa"/>
          </w:tcPr>
          <w:p w:rsidR="00B76CF3" w:rsidRDefault="00B76CF3" w:rsidP="00992664">
            <w:pPr>
              <w:pStyle w:val="libFootnote0"/>
              <w:rPr>
                <w:rtl/>
              </w:rPr>
            </w:pPr>
            <w:r>
              <w:rPr>
                <w:rtl/>
              </w:rPr>
              <w:t xml:space="preserve">(4). </w:t>
            </w:r>
            <w:r w:rsidRPr="00020424">
              <w:rPr>
                <w:rtl/>
              </w:rPr>
              <w:t xml:space="preserve">في « بر ، بف ، بك » </w:t>
            </w:r>
            <w:r w:rsidRPr="00515444">
              <w:rPr>
                <w:rStyle w:val="libFootnoteBoldChar"/>
                <w:rtl/>
              </w:rPr>
              <w:t>والوافي</w:t>
            </w:r>
            <w:r w:rsidRPr="00020424">
              <w:rPr>
                <w:rtl/>
              </w:rPr>
              <w:t xml:space="preserve">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شددت بك</w:t>
      </w:r>
      <w:r w:rsidR="00992664">
        <w:rPr>
          <w:rtl/>
        </w:rPr>
        <w:t xml:space="preserve"> ».</w:t>
      </w:r>
      <w:r w:rsidR="00992664" w:rsidRPr="00020424">
        <w:rPr>
          <w:rtl/>
        </w:rPr>
        <w:t xml:space="preserve"> وقوله « لَشَرَّدْتُ بِكَ » بتضعيف الراء ، كما هو ظاهر كلام الفيض ونصّ الطريحي ، مثل قوله تعالى : </w:t>
      </w:r>
      <w:r w:rsidR="00992664" w:rsidRPr="00B76CF3">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فَشَرِّدْ بِهِمْ مَنْ خَلْفَهُمْ </w:t>
      </w:r>
      <w:r w:rsidR="00992664" w:rsidRPr="00B76CF3">
        <w:rPr>
          <w:rStyle w:val="libFootnoteAlaemChar"/>
          <w:rtl/>
        </w:rPr>
        <w:t>)</w:t>
      </w:r>
      <w:r w:rsidR="00992664" w:rsidRPr="00020424">
        <w:rPr>
          <w:rtl/>
        </w:rPr>
        <w:t xml:space="preserve"> [ الأنفال </w:t>
      </w:r>
      <w:r w:rsidR="00463264">
        <w:rPr>
          <w:rtl/>
        </w:rPr>
        <w:t>(8)</w:t>
      </w:r>
      <w:r w:rsidR="0014403D">
        <w:rPr>
          <w:rtl/>
        </w:rPr>
        <w:t xml:space="preserve"> </w:t>
      </w:r>
      <w:r w:rsidR="00992664" w:rsidRPr="00020424">
        <w:rPr>
          <w:rtl/>
        </w:rPr>
        <w:t xml:space="preserve">: 57 ] ، من قولهم : شرَّد به : سمَّع الناسَ بعيوبه ، أي أذاع عنه عيوباً وندّدبها وشهّرها وفضحها وأسمع الناس إيّاها. أو فعل به فِعْلةً تُشرِّد وتُطرِّد غيرَه أن يفعل فعله ، كقولك : نكّلتُ به ، أي جعلت ما فعلت به نكالاً لغيره. راجع : </w:t>
      </w:r>
      <w:r w:rsidR="00992664" w:rsidRPr="00DE76B9">
        <w:rPr>
          <w:rStyle w:val="libFootnoteBoldChar"/>
          <w:rtl/>
        </w:rPr>
        <w:t>المفردات</w:t>
      </w:r>
      <w:r w:rsidR="00992664" w:rsidRPr="00020424">
        <w:rPr>
          <w:rtl/>
        </w:rPr>
        <w:t xml:space="preserve"> للراغب ، ص 449 ؛ </w:t>
      </w:r>
      <w:r w:rsidR="00992664" w:rsidRPr="00A722B1">
        <w:rPr>
          <w:rStyle w:val="libFootnoteBoldChar"/>
          <w:rtl/>
        </w:rPr>
        <w:t>لسان العرب</w:t>
      </w:r>
      <w:r w:rsidR="00992664" w:rsidRPr="00020424">
        <w:rPr>
          <w:rtl/>
        </w:rPr>
        <w:t xml:space="preserve"> ، ج 3 ، ص 237 ؛ </w:t>
      </w:r>
      <w:r w:rsidR="00992664" w:rsidRPr="00A722B1">
        <w:rPr>
          <w:rStyle w:val="libFootnoteBoldChar"/>
          <w:rtl/>
        </w:rPr>
        <w:t>القاموس المحيط</w:t>
      </w:r>
      <w:r w:rsidR="00992664" w:rsidRPr="00020424">
        <w:rPr>
          <w:rtl/>
        </w:rPr>
        <w:t xml:space="preserve"> ، ج 1 ، ص 425 ( شرد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حديثاً لمن خلفك : يحدّثون عنك بالشرّ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بك » : « وقال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بح » : « فإنّ</w:t>
      </w:r>
      <w:r w:rsidR="00992664">
        <w:rPr>
          <w:rtl/>
        </w:rPr>
        <w:t xml:space="preserve"> ».</w:t>
      </w:r>
      <w:r w:rsidR="00992664" w:rsidRPr="00020424">
        <w:rPr>
          <w:rtl/>
        </w:rPr>
        <w:t xml:space="preserve"> وفي « بر ، بف ، بك » </w:t>
      </w:r>
      <w:r w:rsidR="00992664" w:rsidRPr="00515444">
        <w:rPr>
          <w:rStyle w:val="libFootnoteBoldChar"/>
          <w:rtl/>
        </w:rPr>
        <w:t>والوافي</w:t>
      </w:r>
      <w:r w:rsidR="00992664" w:rsidRPr="00020424">
        <w:rPr>
          <w:rtl/>
        </w:rPr>
        <w:t xml:space="preserve"> : « إنّ » بدون الواو.</w:t>
      </w:r>
    </w:p>
    <w:tbl>
      <w:tblPr>
        <w:tblStyle w:val="TableGrid"/>
        <w:bidiVisual/>
        <w:tblW w:w="0" w:type="auto"/>
        <w:tblLook w:val="04A0" w:firstRow="1" w:lastRow="0" w:firstColumn="1" w:lastColumn="0" w:noHBand="0" w:noVBand="1"/>
      </w:tblPr>
      <w:tblGrid>
        <w:gridCol w:w="4006"/>
        <w:gridCol w:w="4006"/>
      </w:tblGrid>
      <w:tr w:rsidR="00463264" w:rsidTr="00463264">
        <w:tc>
          <w:tcPr>
            <w:tcW w:w="4006" w:type="dxa"/>
          </w:tcPr>
          <w:p w:rsidR="00463264" w:rsidRDefault="00463264" w:rsidP="00992664">
            <w:pPr>
              <w:pStyle w:val="libFootnote0"/>
              <w:rPr>
                <w:rtl/>
              </w:rPr>
            </w:pPr>
            <w:r>
              <w:rPr>
                <w:rtl/>
              </w:rPr>
              <w:t xml:space="preserve">(9). </w:t>
            </w:r>
            <w:r w:rsidRPr="00020424">
              <w:rPr>
                <w:rtl/>
              </w:rPr>
              <w:t xml:space="preserve">في « بر ، بك » </w:t>
            </w:r>
            <w:r w:rsidRPr="00515444">
              <w:rPr>
                <w:rStyle w:val="libFootnoteBoldChar"/>
                <w:rtl/>
              </w:rPr>
              <w:t>والوافي</w:t>
            </w:r>
            <w:r w:rsidRPr="00020424">
              <w:rPr>
                <w:rtl/>
              </w:rPr>
              <w:t xml:space="preserve"> : « يحبّ</w:t>
            </w:r>
            <w:r>
              <w:rPr>
                <w:rtl/>
              </w:rPr>
              <w:t xml:space="preserve"> ».</w:t>
            </w:r>
          </w:p>
        </w:tc>
        <w:tc>
          <w:tcPr>
            <w:tcW w:w="4006" w:type="dxa"/>
          </w:tcPr>
          <w:p w:rsidR="00463264" w:rsidRDefault="00463264" w:rsidP="00992664">
            <w:pPr>
              <w:pStyle w:val="libFootnote0"/>
              <w:rPr>
                <w:rtl/>
              </w:rPr>
            </w:pPr>
            <w:r>
              <w:rPr>
                <w:rtl/>
              </w:rPr>
              <w:t xml:space="preserve">(10). </w:t>
            </w:r>
            <w:r w:rsidRPr="00020424">
              <w:rPr>
                <w:rtl/>
              </w:rPr>
              <w:t>في « جن » : « قال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بس ، جن » : « قال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وفي المطبوع : « من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الزكاة ، باب فضل إطعام الطعام ، ح 6203. وفي </w:t>
      </w:r>
      <w:r w:rsidR="00D64ADA" w:rsidRPr="00D64ADA">
        <w:rPr>
          <w:rStyle w:val="libFootnoteBoldChar"/>
          <w:rtl/>
        </w:rPr>
        <w:t>المحاسن</w:t>
      </w:r>
      <w:r w:rsidR="00992664" w:rsidRPr="00020424">
        <w:rPr>
          <w:rtl/>
        </w:rPr>
        <w:t xml:space="preserve"> ، ص 388 ، كتاب المآكل ، ح 14 ، عن محمّد بن عليّ بن الحكم ، عن الحسين بن أبي سعيد المكاري ، وفيهما مع اختلاف </w:t>
      </w:r>
      <w:r w:rsidR="003652F0">
        <w:rPr>
          <w:rFonts w:hint="cs"/>
          <w:rtl/>
        </w:rPr>
        <w:t>.</w:t>
      </w:r>
      <w:r w:rsidR="00992664" w:rsidRPr="0012008A">
        <w:rPr>
          <w:rStyle w:val="libFootnoteBoldChar"/>
          <w:rtl/>
        </w:rPr>
        <w:t>الوافي</w:t>
      </w:r>
      <w:r w:rsidR="00992664" w:rsidRPr="00020424">
        <w:rPr>
          <w:rtl/>
        </w:rPr>
        <w:t xml:space="preserve"> ، ج 10 ، ص 481 ، ح 9932 ؛ </w:t>
      </w:r>
      <w:r w:rsidR="00992664" w:rsidRPr="0012008A">
        <w:rPr>
          <w:rStyle w:val="libFootnoteBoldChar"/>
          <w:rtl/>
        </w:rPr>
        <w:t>الوسائل</w:t>
      </w:r>
      <w:r w:rsidR="00992664" w:rsidRPr="00020424">
        <w:rPr>
          <w:rtl/>
        </w:rPr>
        <w:t xml:space="preserve"> ، ج 9 ، ص 17 ، ح 11406 ، إلى قوله : « وأنّك رسول الله » ملخّصاً ؛ </w:t>
      </w:r>
      <w:r w:rsidR="00992664" w:rsidRPr="0012008A">
        <w:rPr>
          <w:rStyle w:val="libFootnoteBoldChar"/>
          <w:rtl/>
        </w:rPr>
        <w:t>البحار</w:t>
      </w:r>
      <w:r w:rsidR="00992664" w:rsidRPr="00020424">
        <w:rPr>
          <w:rtl/>
        </w:rPr>
        <w:t xml:space="preserve"> ، ج 22 ، ص 83 ، ح 33.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9409F">
        <w:rPr>
          <w:rtl/>
        </w:rPr>
        <w:t>6151</w:t>
      </w:r>
      <w:r w:rsidRPr="001155DE">
        <w:rPr>
          <w:rStyle w:val="libBold2Char"/>
          <w:rtl/>
        </w:rPr>
        <w:t xml:space="preserve"> / 6.</w:t>
      </w:r>
      <w:r w:rsidRPr="00020424">
        <w:rPr>
          <w:rtl/>
          <w:lang w:bidi="fa-IR"/>
        </w:rPr>
        <w:t xml:space="preserve"> عَلِيُّ بْنُ مُحَمَّدِ بْنِ عَبْدِ اللهِ ، عَنْ أَحْمَدَ بْنِ مُحَمَّدٍ </w:t>
      </w:r>
      <w:r w:rsidRPr="00A91B96">
        <w:rPr>
          <w:rStyle w:val="libFootnotenumChar"/>
          <w:rtl/>
        </w:rPr>
        <w:t>(1)</w:t>
      </w:r>
      <w:r w:rsidRPr="00020424">
        <w:rPr>
          <w:rtl/>
          <w:lang w:bidi="fa-IR"/>
        </w:rPr>
        <w:t xml:space="preserve"> ، عَنْ بَعْضِ أَصْحَابِنَا ، عَنْ أَبَانٍ ، عَنْ مُعَاوِيَةَ بْنِ عَمَّارٍ ، عَنْ زَيْدٍ الشَّحَّامِ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إِبْرَاهِيمَ </w:t>
      </w:r>
      <w:r w:rsidRPr="00005A81">
        <w:rPr>
          <w:rStyle w:val="libAlaemChar"/>
          <w:rtl/>
        </w:rPr>
        <w:t>عليه‌السلام</w:t>
      </w:r>
      <w:r w:rsidRPr="00020424">
        <w:rPr>
          <w:rtl/>
          <w:lang w:bidi="fa-IR"/>
        </w:rPr>
        <w:t xml:space="preserve"> كَانَ أَبَا أَضْيَافٍ ، فَكَانَ </w:t>
      </w:r>
      <w:r w:rsidRPr="00A91B96">
        <w:rPr>
          <w:rStyle w:val="libFootnotenumChar"/>
          <w:rtl/>
        </w:rPr>
        <w:t>(2)</w:t>
      </w:r>
      <w:r w:rsidRPr="00020424">
        <w:rPr>
          <w:rtl/>
          <w:lang w:bidi="fa-IR"/>
        </w:rPr>
        <w:t xml:space="preserve"> إِذَا لَمْ يَكُونُوا عِنْدَهُ ، خَرَجَ يَطْلُبُهُمْ ، وَأَغْلَقَ </w:t>
      </w:r>
      <w:r w:rsidRPr="00A91B96">
        <w:rPr>
          <w:rStyle w:val="libFootnotenumChar"/>
          <w:rtl/>
        </w:rPr>
        <w:t>(3)</w:t>
      </w:r>
      <w:r w:rsidRPr="00020424">
        <w:rPr>
          <w:rtl/>
          <w:lang w:bidi="fa-IR"/>
        </w:rPr>
        <w:t xml:space="preserve"> بَابَهُ ، وَأَخَذَ الْمَفَاتِيحَ يَطْلُبُ الْأَضْيَافَ ، وَإِنَّهُ رَجَعَ إِلى دَارِهِ ، فَإِذَا هُوَ بِرَجُلٍ </w:t>
      </w:r>
      <w:r w:rsidRPr="00A91B96">
        <w:rPr>
          <w:rStyle w:val="libFootnotenumChar"/>
          <w:rtl/>
        </w:rPr>
        <w:t>(4)</w:t>
      </w:r>
      <w:r w:rsidRPr="00020424">
        <w:rPr>
          <w:rtl/>
          <w:lang w:bidi="fa-IR"/>
        </w:rPr>
        <w:t xml:space="preserve"> ، أَوْ شِبْهِ رَجُلٍ فِي الدَّارِ ، فَقَالَ </w:t>
      </w:r>
      <w:r w:rsidRPr="00A91B96">
        <w:rPr>
          <w:rStyle w:val="libFootnotenumChar"/>
          <w:rtl/>
        </w:rPr>
        <w:t>(5)</w:t>
      </w:r>
      <w:r w:rsidRPr="00020424">
        <w:rPr>
          <w:rtl/>
          <w:lang w:bidi="fa-IR"/>
        </w:rPr>
        <w:t xml:space="preserve"> : يَا عَبْدَ اللهِ ، بِإِذْنِ مَنْ دَخَلْتَ هذِهِ الدَّارَ</w:t>
      </w:r>
      <w:r>
        <w:rPr>
          <w:rtl/>
          <w:lang w:bidi="fa-IR"/>
        </w:rPr>
        <w:t>؟</w:t>
      </w:r>
      <w:r w:rsidRPr="00020424">
        <w:rPr>
          <w:rtl/>
          <w:lang w:bidi="fa-IR"/>
        </w:rPr>
        <w:t xml:space="preserve"> قَالَ : دَخَلْتُهَا بِإِذْنِ رَبِّهَا</w:t>
      </w:r>
      <w:r>
        <w:rPr>
          <w:rtl/>
          <w:lang w:bidi="fa-IR"/>
        </w:rPr>
        <w:t xml:space="preserve"> </w:t>
      </w:r>
      <w:r w:rsidR="009B673F">
        <w:rPr>
          <w:rtl/>
          <w:lang w:bidi="fa-IR"/>
        </w:rPr>
        <w:t>-</w:t>
      </w:r>
      <w:r>
        <w:rPr>
          <w:rtl/>
          <w:lang w:bidi="fa-IR"/>
        </w:rPr>
        <w:t xml:space="preserve"> </w:t>
      </w:r>
      <w:r w:rsidRPr="00020424">
        <w:rPr>
          <w:rtl/>
          <w:lang w:bidi="fa-IR"/>
        </w:rPr>
        <w:t>يُرَدِّدُ ذلِكَ ثَلَاثَ مَرَّاتٍ</w:t>
      </w:r>
      <w:r>
        <w:rPr>
          <w:rtl/>
          <w:lang w:bidi="fa-IR"/>
        </w:rPr>
        <w:t xml:space="preserve"> </w:t>
      </w:r>
      <w:r w:rsidR="009B673F">
        <w:rPr>
          <w:rtl/>
          <w:lang w:bidi="fa-IR"/>
        </w:rPr>
        <w:t>-</w:t>
      </w:r>
      <w:r>
        <w:rPr>
          <w:rtl/>
          <w:lang w:bidi="fa-IR"/>
        </w:rPr>
        <w:t xml:space="preserve"> </w:t>
      </w:r>
      <w:r w:rsidRPr="00020424">
        <w:rPr>
          <w:rtl/>
          <w:lang w:bidi="fa-IR"/>
        </w:rPr>
        <w:t xml:space="preserve">فَعَرَفَ إِبْرَاهِيمُ </w:t>
      </w:r>
      <w:r w:rsidRPr="00005A81">
        <w:rPr>
          <w:rStyle w:val="libAlaemChar"/>
          <w:rtl/>
        </w:rPr>
        <w:t>عليه‌السلام</w:t>
      </w:r>
      <w:r w:rsidRPr="00020424">
        <w:rPr>
          <w:rtl/>
          <w:lang w:bidi="fa-IR"/>
        </w:rPr>
        <w:t xml:space="preserve"> أَنَّهُ جَبْرَئِيلُ ، فَحَمِدَ اللهَ </w:t>
      </w:r>
      <w:r w:rsidRPr="00A91B96">
        <w:rPr>
          <w:rStyle w:val="libFootnotenumChar"/>
          <w:rtl/>
        </w:rPr>
        <w:t>(6)</w:t>
      </w:r>
      <w:r w:rsidRPr="00020424">
        <w:rPr>
          <w:rtl/>
          <w:lang w:bidi="fa-IR"/>
        </w:rPr>
        <w:t xml:space="preserve"> ، ثُمَّ قَالَ : أَرْسَلَنِي رَبُّكَ إِلى عَبْدٍ مِنْ عَبِيدِهِ يَتَّخِذُهُ خَلِيلاً ، قَالَ إِبْرَاهِيمُ </w:t>
      </w:r>
      <w:r w:rsidRPr="00005A81">
        <w:rPr>
          <w:rStyle w:val="libAlaemChar"/>
          <w:rtl/>
        </w:rPr>
        <w:t>عليه‌السلام</w:t>
      </w:r>
      <w:r w:rsidRPr="00020424">
        <w:rPr>
          <w:rtl/>
          <w:lang w:bidi="fa-IR"/>
        </w:rPr>
        <w:t xml:space="preserve"> : فَأَعْلِمْنِي مَنْ هُوَ أَخْدُمْهُ </w:t>
      </w:r>
      <w:r w:rsidRPr="00A91B96">
        <w:rPr>
          <w:rStyle w:val="libFootnotenumChar"/>
          <w:rtl/>
        </w:rPr>
        <w:t>(7)</w:t>
      </w:r>
      <w:r w:rsidRPr="00020424">
        <w:rPr>
          <w:rtl/>
          <w:lang w:bidi="fa-IR"/>
        </w:rPr>
        <w:t xml:space="preserve"> حَتّى أَمُوتَ</w:t>
      </w:r>
      <w:r>
        <w:rPr>
          <w:rtl/>
          <w:lang w:bidi="fa-IR"/>
        </w:rPr>
        <w:t>؟</w:t>
      </w:r>
      <w:r w:rsidRPr="00020424">
        <w:rPr>
          <w:rtl/>
          <w:lang w:bidi="fa-IR"/>
        </w:rPr>
        <w:t xml:space="preserve"> قَالَ : فَأَنْتَ هُوَ ، قَالَ : وَمِمَّ </w:t>
      </w:r>
      <w:r w:rsidRPr="00A91B96">
        <w:rPr>
          <w:rStyle w:val="libFootnotenumChar"/>
          <w:rtl/>
        </w:rPr>
        <w:t>(8)</w:t>
      </w:r>
      <w:r w:rsidRPr="00020424">
        <w:rPr>
          <w:rtl/>
          <w:lang w:bidi="fa-IR"/>
        </w:rPr>
        <w:t xml:space="preserve"> ذلِكَ</w:t>
      </w:r>
      <w:r>
        <w:rPr>
          <w:rtl/>
          <w:lang w:bidi="fa-IR"/>
        </w:rPr>
        <w:t>؟</w:t>
      </w:r>
      <w:r>
        <w:rPr>
          <w:rFonts w:hint="cs"/>
          <w:rtl/>
          <w:lang w:bidi="fa-IR"/>
        </w:rPr>
        <w:t xml:space="preserve"> </w:t>
      </w:r>
      <w:r w:rsidRPr="00020424">
        <w:rPr>
          <w:rtl/>
          <w:lang w:bidi="fa-IR"/>
        </w:rPr>
        <w:t xml:space="preserve">قَالَ : لِأَنَّكَ لَمْ تَسْأَلْ أَحَداً شَيْئاً قَطُّ ، وَلَمْ تُسْأَلْ شَيْئاً </w:t>
      </w:r>
      <w:r w:rsidRPr="00A91B96">
        <w:rPr>
          <w:rStyle w:val="libFootnotenumChar"/>
          <w:rtl/>
        </w:rPr>
        <w:t>(9)</w:t>
      </w:r>
      <w:r w:rsidRPr="00020424">
        <w:rPr>
          <w:rtl/>
          <w:lang w:bidi="fa-IR"/>
        </w:rPr>
        <w:t xml:space="preserve"> قَطُّ ، فَقُلْتَ : لَا</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C9409F">
        <w:rPr>
          <w:rtl/>
        </w:rPr>
        <w:t>6152</w:t>
      </w:r>
      <w:r w:rsidRPr="001155DE">
        <w:rPr>
          <w:rStyle w:val="libBold2Char"/>
          <w:rtl/>
        </w:rPr>
        <w:t xml:space="preserve"> / 7.</w:t>
      </w:r>
      <w:r w:rsidRPr="00020424">
        <w:rPr>
          <w:rtl/>
          <w:lang w:bidi="fa-IR"/>
        </w:rPr>
        <w:t xml:space="preserve"> مُحَمَّدُ بْنُ يَحْيى ، عَنْ أَحْمَدَ بْنِ مُحَمَّدٍ ، عَنْ مُحَمَّدِ بْنِ سِنَانٍ</w:t>
      </w:r>
      <w:r w:rsidR="003652F0">
        <w:rPr>
          <w:rtl/>
          <w:lang w:bidi="fa-IR"/>
        </w:rPr>
        <w:t xml:space="preserve"> ، عَنْ أَبِي عَبْدِ الرَّحْمنِ</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أَتى رَجُلٌ النَّبِيَّ </w:t>
      </w:r>
      <w:r w:rsidR="00B42914" w:rsidRPr="00B42914">
        <w:rPr>
          <w:rStyle w:val="libAlaemChar"/>
          <w:rtl/>
        </w:rPr>
        <w:t>صلى‌الله‌عليه‌وآله‌</w:t>
      </w:r>
      <w:r w:rsidRPr="00020424">
        <w:rPr>
          <w:rtl/>
          <w:lang w:bidi="fa-IR"/>
        </w:rPr>
        <w:t xml:space="preserve"> ، فَقَالَ : يَا رَسُولَ اللهِ ، أَيُّ النَّاسِ‌</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محمّد بن أحمد » بدل « أحمد بن محمّد</w:t>
      </w:r>
      <w:r w:rsidR="00992664">
        <w:rPr>
          <w:rtl/>
        </w:rPr>
        <w:t xml:space="preserve"> ».</w:t>
      </w:r>
      <w:r w:rsidR="00992664" w:rsidRPr="00020424">
        <w:rPr>
          <w:rtl/>
        </w:rPr>
        <w:t xml:space="preserve"> وهو سهوٌ ؛ فإنّ المراد من عليّ بن محمّد بن عبدالله ، هو عليّ بن محمّد بن بُندار سبط أحمد بن محمّد بن خالد البرقي وعليّ بن محمّد هذا ، لم يثبت روايته عن محمّد بن أحمد المنصرف إلى محمّد بن أحمد بن يحيى في موضع.</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 « وكان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652F0" w:rsidTr="003652F0">
        <w:tc>
          <w:tcPr>
            <w:tcW w:w="4006" w:type="dxa"/>
          </w:tcPr>
          <w:p w:rsidR="003652F0" w:rsidRDefault="003652F0" w:rsidP="00992664">
            <w:pPr>
              <w:pStyle w:val="libFootnote0"/>
              <w:rPr>
                <w:rtl/>
              </w:rPr>
            </w:pPr>
            <w:r>
              <w:rPr>
                <w:rtl/>
              </w:rPr>
              <w:t xml:space="preserve">(3). </w:t>
            </w:r>
            <w:r w:rsidRPr="00020424">
              <w:rPr>
                <w:rtl/>
              </w:rPr>
              <w:t>في « بر ، بك » : « فأغلق</w:t>
            </w:r>
            <w:r>
              <w:rPr>
                <w:rtl/>
              </w:rPr>
              <w:t xml:space="preserve"> ».</w:t>
            </w:r>
          </w:p>
        </w:tc>
        <w:tc>
          <w:tcPr>
            <w:tcW w:w="4006" w:type="dxa"/>
          </w:tcPr>
          <w:p w:rsidR="003652F0" w:rsidRDefault="003652F0" w:rsidP="00992664">
            <w:pPr>
              <w:pStyle w:val="libFootnote0"/>
              <w:rPr>
                <w:rtl/>
              </w:rPr>
            </w:pPr>
            <w:r>
              <w:rPr>
                <w:rtl/>
              </w:rPr>
              <w:t xml:space="preserve">(4). </w:t>
            </w:r>
            <w:r w:rsidRPr="00020424">
              <w:rPr>
                <w:rtl/>
              </w:rPr>
              <w:t>في « بر ، بف ، بك » : « رجل</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بف » : + «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بس ، بف ، بك » وحاشية « بث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ربّه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بك » : « أخدمنّه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بح ، بر ، بف ، بك » وحاشية « بح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وبم</w:t>
      </w:r>
      <w:r w:rsidR="00992664">
        <w:rPr>
          <w:rtl/>
        </w:rPr>
        <w:t xml:space="preserve"> ».</w:t>
      </w:r>
      <w:r w:rsidR="00992664" w:rsidRPr="00020424">
        <w:rPr>
          <w:rtl/>
        </w:rPr>
        <w:t xml:space="preserve"> وفي حاشية « بث » : « ولم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شيئاً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الكافي</w:t>
      </w:r>
      <w:r w:rsidR="00992664" w:rsidRPr="00020424">
        <w:rPr>
          <w:rtl/>
        </w:rPr>
        <w:t xml:space="preserve"> ، كتاب الروضة ، ح 15405 ، بسند آخر عن أبي جعفر </w:t>
      </w:r>
      <w:r w:rsidR="00992664" w:rsidRPr="00D64ADA">
        <w:rPr>
          <w:rStyle w:val="libFootnoteAlaemChar"/>
          <w:rtl/>
        </w:rPr>
        <w:t>عليه‌السلام</w:t>
      </w:r>
      <w:r w:rsidR="00992664" w:rsidRPr="00020424">
        <w:rPr>
          <w:rtl/>
        </w:rPr>
        <w:t xml:space="preserve"> ، مع اختلاف </w:t>
      </w:r>
      <w:r w:rsidR="003652F0">
        <w:rPr>
          <w:rFonts w:hint="cs"/>
          <w:rtl/>
        </w:rPr>
        <w:t>.</w:t>
      </w:r>
      <w:r w:rsidR="00992664" w:rsidRPr="0012008A">
        <w:rPr>
          <w:rStyle w:val="libFootnoteBoldChar"/>
          <w:rtl/>
        </w:rPr>
        <w:t>الوافي</w:t>
      </w:r>
      <w:r w:rsidR="00992664" w:rsidRPr="00020424">
        <w:rPr>
          <w:rtl/>
        </w:rPr>
        <w:t xml:space="preserve"> ، ج 10 ، ص 481 ، ح 9933 ؛ </w:t>
      </w:r>
      <w:r w:rsidR="00992664" w:rsidRPr="0012008A">
        <w:rPr>
          <w:rStyle w:val="libFootnoteBoldChar"/>
          <w:rtl/>
        </w:rPr>
        <w:t>الوسائل</w:t>
      </w:r>
      <w:r w:rsidR="00992664" w:rsidRPr="00020424">
        <w:rPr>
          <w:rtl/>
        </w:rPr>
        <w:t xml:space="preserve"> ، ج 9 ، ص 418 ، ح 12375 ، ملخّصاً ؛ </w:t>
      </w:r>
      <w:r w:rsidR="00992664" w:rsidRPr="0012008A">
        <w:rPr>
          <w:rStyle w:val="libFootnoteBoldChar"/>
          <w:rtl/>
        </w:rPr>
        <w:t>البحار</w:t>
      </w:r>
      <w:r w:rsidR="00992664" w:rsidRPr="00020424">
        <w:rPr>
          <w:rtl/>
        </w:rPr>
        <w:t xml:space="preserve"> ، ج 12 ، ص 13 ، ح 40.</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أَفْضَلُهُمْ إِيمَاناً</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أَبْسَطُهُمْ كَفّاً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C9409F">
        <w:rPr>
          <w:rtl/>
        </w:rPr>
        <w:t>6153</w:t>
      </w:r>
      <w:r w:rsidRPr="001155DE">
        <w:rPr>
          <w:rStyle w:val="libBold2Char"/>
          <w:rtl/>
        </w:rPr>
        <w:t xml:space="preserve"> / 8.</w:t>
      </w:r>
      <w:r w:rsidRPr="00020424">
        <w:rPr>
          <w:rtl/>
          <w:lang w:bidi="fa-IR"/>
        </w:rPr>
        <w:t xml:space="preserve"> عَلِيُّ بْنُ إِبْرَاهِيمَ ، عَنْ مُحَمَّدِ بْنِ عِيسَى بْنِ عُبَيْدٍ ، عَنْ أَبِي الْحَسَنِ </w:t>
      </w:r>
      <w:r w:rsidRPr="00A91B96">
        <w:rPr>
          <w:rStyle w:val="libFootnotenumChar"/>
          <w:rtl/>
        </w:rPr>
        <w:t>(3)</w:t>
      </w:r>
      <w:r w:rsidRPr="00020424">
        <w:rPr>
          <w:rtl/>
          <w:lang w:bidi="fa-IR"/>
        </w:rPr>
        <w:t xml:space="preserve"> عَلِيِّ بْنِ يَحْيى ، عَنْ أَيُّوبَ بْنِ أَعْيَنَ ، عَنْ أَبِي حَمْزَةَ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يُؤْتى يَوْمَ الْقِيَامَةِ بِرَجُلٍ ، فَيُقَالُ </w:t>
      </w:r>
      <w:r w:rsidRPr="00A91B96">
        <w:rPr>
          <w:rStyle w:val="libFootnotenumChar"/>
          <w:rtl/>
        </w:rPr>
        <w:t>(4)</w:t>
      </w:r>
      <w:r w:rsidRPr="00020424">
        <w:rPr>
          <w:rtl/>
          <w:lang w:bidi="fa-IR"/>
        </w:rPr>
        <w:t xml:space="preserve"> :</w:t>
      </w:r>
      <w:r>
        <w:rPr>
          <w:rFonts w:hint="cs"/>
          <w:rtl/>
          <w:lang w:bidi="fa-IR"/>
        </w:rPr>
        <w:t xml:space="preserve"> </w:t>
      </w:r>
      <w:r w:rsidRPr="00020424">
        <w:rPr>
          <w:rtl/>
          <w:lang w:bidi="fa-IR"/>
        </w:rPr>
        <w:t xml:space="preserve">احْتَجَّ ، فَيَقُولُ : يَا رَبِّ ، خَلَقْتَنِي وَهَدَيْتَنِي ، فَأَوْسَعْتَ </w:t>
      </w:r>
      <w:r w:rsidRPr="00A91B96">
        <w:rPr>
          <w:rStyle w:val="libFootnotenumChar"/>
          <w:rtl/>
        </w:rPr>
        <w:t>(5)</w:t>
      </w:r>
      <w:r w:rsidRPr="00020424">
        <w:rPr>
          <w:rtl/>
          <w:lang w:bidi="fa-IR"/>
        </w:rPr>
        <w:t xml:space="preserve"> عَلَيَّ </w:t>
      </w:r>
      <w:r w:rsidRPr="00A91B96">
        <w:rPr>
          <w:rStyle w:val="libFootnotenumChar"/>
          <w:rtl/>
        </w:rPr>
        <w:t>(6)</w:t>
      </w:r>
      <w:r w:rsidRPr="00020424">
        <w:rPr>
          <w:rtl/>
          <w:lang w:bidi="fa-IR"/>
        </w:rPr>
        <w:t xml:space="preserve"> ، فَلَمْ أَزَلْ أُوسِعُ عَلى خَلْقِكَ ، وَأُيَسِّرُ </w:t>
      </w:r>
      <w:r w:rsidRPr="00A91B96">
        <w:rPr>
          <w:rStyle w:val="libFootnotenumChar"/>
          <w:rtl/>
        </w:rPr>
        <w:t>(7)</w:t>
      </w:r>
      <w:r w:rsidRPr="00020424">
        <w:rPr>
          <w:rtl/>
          <w:lang w:bidi="fa-IR"/>
        </w:rPr>
        <w:t xml:space="preserve"> عَلَيْهِمْ لِكَيْ تَنْشُرَ </w:t>
      </w:r>
      <w:r w:rsidRPr="00A91B96">
        <w:rPr>
          <w:rStyle w:val="libFootnotenumChar"/>
          <w:rtl/>
        </w:rPr>
        <w:t>(8)</w:t>
      </w:r>
      <w:r w:rsidRPr="00020424">
        <w:rPr>
          <w:rtl/>
          <w:lang w:bidi="fa-IR"/>
        </w:rPr>
        <w:t xml:space="preserve"> عَلَيَّ </w:t>
      </w:r>
      <w:r w:rsidRPr="00A91B96">
        <w:rPr>
          <w:rStyle w:val="libFootnotenumChar"/>
          <w:rtl/>
        </w:rPr>
        <w:t>(9)</w:t>
      </w:r>
      <w:r w:rsidRPr="00020424">
        <w:rPr>
          <w:rtl/>
          <w:lang w:bidi="fa-IR"/>
        </w:rPr>
        <w:t xml:space="preserve"> هذَا الْيَوْمَ رَحْمَتَكَ </w:t>
      </w:r>
      <w:r w:rsidRPr="00A91B96">
        <w:rPr>
          <w:rStyle w:val="libFootnotenumChar"/>
          <w:rtl/>
        </w:rPr>
        <w:t>(10)</w:t>
      </w:r>
      <w:r w:rsidRPr="00020424">
        <w:rPr>
          <w:rtl/>
          <w:lang w:bidi="fa-IR"/>
        </w:rPr>
        <w:t xml:space="preserve"> ، وَتُيَسِّرَهُ </w:t>
      </w:r>
      <w:r w:rsidRPr="00A91B96">
        <w:rPr>
          <w:rStyle w:val="libFootnotenumChar"/>
          <w:rtl/>
        </w:rPr>
        <w:t>(11)</w:t>
      </w:r>
      <w:r w:rsidRPr="00020424">
        <w:rPr>
          <w:rtl/>
          <w:lang w:bidi="fa-IR"/>
        </w:rPr>
        <w:t xml:space="preserve"> فَيَقُولُ الرَّبُّ</w:t>
      </w:r>
      <w:r>
        <w:rPr>
          <w:rtl/>
          <w:lang w:bidi="fa-IR"/>
        </w:rPr>
        <w:t xml:space="preserve"> </w:t>
      </w:r>
      <w:r w:rsidR="009B673F">
        <w:rPr>
          <w:rtl/>
          <w:lang w:bidi="fa-IR"/>
        </w:rPr>
        <w:t>-</w:t>
      </w:r>
      <w:r>
        <w:rPr>
          <w:rtl/>
          <w:lang w:bidi="fa-IR"/>
        </w:rPr>
        <w:t xml:space="preserve"> </w:t>
      </w:r>
      <w:r w:rsidRPr="00020424">
        <w:rPr>
          <w:rtl/>
          <w:lang w:bidi="fa-IR"/>
        </w:rPr>
        <w:t xml:space="preserve">جَلَّ ثَنَاؤُهُ وَتَعَالى ذِكْرُهُ </w:t>
      </w:r>
      <w:r w:rsidRPr="00A91B96">
        <w:rPr>
          <w:rStyle w:val="libFootnotenumChar"/>
          <w:rtl/>
        </w:rPr>
        <w:t>(12)</w:t>
      </w:r>
      <w:r>
        <w:rPr>
          <w:rtl/>
          <w:lang w:bidi="fa-IR"/>
        </w:rPr>
        <w:t xml:space="preserve"> </w:t>
      </w:r>
      <w:r w:rsidR="009B673F">
        <w:rPr>
          <w:rtl/>
          <w:lang w:bidi="fa-IR"/>
        </w:rPr>
        <w:t>-</w:t>
      </w:r>
      <w:r>
        <w:rPr>
          <w:rtl/>
          <w:lang w:bidi="fa-IR"/>
        </w:rPr>
        <w:t xml:space="preserve"> </w:t>
      </w:r>
      <w:r w:rsidRPr="00020424">
        <w:rPr>
          <w:rtl/>
          <w:lang w:bidi="fa-IR"/>
        </w:rPr>
        <w:t xml:space="preserve">: صَدَقَ عَبْدِي ، أَدْخِلُوهُ </w:t>
      </w:r>
      <w:r w:rsidRPr="00A91B96">
        <w:rPr>
          <w:rStyle w:val="libFootnotenumChar"/>
          <w:rtl/>
        </w:rPr>
        <w:t>(13)</w:t>
      </w:r>
      <w:r w:rsidRPr="00020424">
        <w:rPr>
          <w:rtl/>
          <w:lang w:bidi="fa-IR"/>
        </w:rPr>
        <w:t xml:space="preserve"> الْجَنَّةَ</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Normal"/>
        <w:rPr>
          <w:rtl/>
          <w:lang w:bidi="fa-IR"/>
        </w:rPr>
      </w:pPr>
      <w:r w:rsidRPr="00C9409F">
        <w:rPr>
          <w:rtl/>
        </w:rPr>
        <w:t>6154</w:t>
      </w:r>
      <w:r w:rsidRPr="001155DE">
        <w:rPr>
          <w:rStyle w:val="libBold2Char"/>
          <w:rtl/>
        </w:rPr>
        <w:t xml:space="preserve"> / 9.</w:t>
      </w:r>
      <w:r w:rsidRPr="00020424">
        <w:rPr>
          <w:rtl/>
          <w:lang w:bidi="fa-IR"/>
        </w:rPr>
        <w:t xml:space="preserve"> الْحُسَيْنُ بْنُ مُحَمَّدٍ ، عَنْ مُعَلَّى بْنِ مُحَمَّدٍ ، عَنِ الْحَسَنِ بْنِ عَلِيٍّ </w:t>
      </w:r>
      <w:r w:rsidRPr="00A91B96">
        <w:rPr>
          <w:rStyle w:val="libFootnotenumChar"/>
          <w:rtl/>
        </w:rPr>
        <w:t>(15)</w:t>
      </w:r>
      <w:r w:rsidR="003652F0">
        <w:rPr>
          <w:rtl/>
          <w:lang w:bidi="fa-IR"/>
        </w:rPr>
        <w:t xml:space="preserve"> الْوَشَّاءِ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سَمِعْتُ أَبَا الْحَسَنِ </w:t>
      </w:r>
      <w:r w:rsidRPr="00005A81">
        <w:rPr>
          <w:rStyle w:val="libAlaemChar"/>
          <w:rtl/>
        </w:rPr>
        <w:t>عليه‌السلام</w:t>
      </w:r>
      <w:r w:rsidRPr="00020424">
        <w:rPr>
          <w:rtl/>
          <w:lang w:bidi="fa-IR"/>
        </w:rPr>
        <w:t xml:space="preserve"> يَقُولُ : « السَّخِيُّ قَرِيبٌ مِنَ اللهِ ، قَرِيبٌ مِنَ الْجَنَّةِ ، قَرِيبٌ‌</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بف ، جن ، بك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482 ، ح 9934 ؛ </w:t>
      </w:r>
      <w:r w:rsidR="00992664" w:rsidRPr="0012008A">
        <w:rPr>
          <w:rStyle w:val="libFootnoteBoldChar"/>
          <w:rtl/>
        </w:rPr>
        <w:t>الوسائل</w:t>
      </w:r>
      <w:r w:rsidR="00992664" w:rsidRPr="00020424">
        <w:rPr>
          <w:rtl/>
        </w:rPr>
        <w:t xml:space="preserve"> ، ج 21 ، ص 544 ، ح 27821.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أبي الحسن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بك » وحاشية « بر » و</w:t>
      </w:r>
      <w:r w:rsidR="00992664" w:rsidRPr="0012008A">
        <w:rPr>
          <w:rStyle w:val="libFootnoteBoldChar"/>
          <w:rtl/>
        </w:rPr>
        <w:t>البحار</w:t>
      </w:r>
      <w:r w:rsidR="00992664" w:rsidRPr="00020424">
        <w:rPr>
          <w:rtl/>
        </w:rPr>
        <w:t xml:space="preserve"> ، ج 67 : + « 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بخ ، بر ، بف ، بك » </w:t>
      </w:r>
      <w:r w:rsidR="00992664" w:rsidRPr="00515444">
        <w:rPr>
          <w:rStyle w:val="libFootnoteBoldChar"/>
          <w:rtl/>
        </w:rPr>
        <w:t>والوافي</w:t>
      </w:r>
      <w:r w:rsidR="00992664" w:rsidRPr="00020424">
        <w:rPr>
          <w:rtl/>
        </w:rPr>
        <w:t xml:space="preserve"> : « وأوسعت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652F0" w:rsidTr="003652F0">
        <w:tc>
          <w:tcPr>
            <w:tcW w:w="4006" w:type="dxa"/>
          </w:tcPr>
          <w:p w:rsidR="003652F0" w:rsidRDefault="003652F0" w:rsidP="00992664">
            <w:pPr>
              <w:pStyle w:val="libFootnote0"/>
              <w:rPr>
                <w:rtl/>
              </w:rPr>
            </w:pPr>
            <w:r>
              <w:rPr>
                <w:rtl/>
              </w:rPr>
              <w:t xml:space="preserve">(6). </w:t>
            </w:r>
            <w:r w:rsidRPr="00020424">
              <w:rPr>
                <w:rtl/>
              </w:rPr>
              <w:t>في « ى » : + « رزقي</w:t>
            </w:r>
            <w:r>
              <w:rPr>
                <w:rtl/>
              </w:rPr>
              <w:t xml:space="preserve"> ».</w:t>
            </w:r>
          </w:p>
        </w:tc>
        <w:tc>
          <w:tcPr>
            <w:tcW w:w="4006" w:type="dxa"/>
          </w:tcPr>
          <w:p w:rsidR="003652F0" w:rsidRDefault="003652F0" w:rsidP="00992664">
            <w:pPr>
              <w:pStyle w:val="libFootnote0"/>
              <w:rPr>
                <w:rtl/>
              </w:rPr>
            </w:pPr>
            <w:r>
              <w:rPr>
                <w:rtl/>
              </w:rPr>
              <w:t xml:space="preserve">(7). </w:t>
            </w:r>
            <w:r w:rsidR="004E2A71">
              <w:rPr>
                <w:rtl/>
              </w:rPr>
              <w:t>في «بخ،بر،بف،بك</w:t>
            </w:r>
            <w:r w:rsidRPr="00020424">
              <w:rPr>
                <w:rtl/>
              </w:rPr>
              <w:t xml:space="preserve">» </w:t>
            </w:r>
            <w:r w:rsidRPr="00515444">
              <w:rPr>
                <w:rStyle w:val="libFootnoteBoldChar"/>
                <w:rtl/>
              </w:rPr>
              <w:t>والوافي</w:t>
            </w:r>
            <w:r w:rsidRPr="00020424">
              <w:rPr>
                <w:rtl/>
              </w:rPr>
              <w:t xml:space="preserve"> : « وأنشر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لكي ينشر</w:t>
      </w:r>
      <w:r w:rsidR="00992664">
        <w:rPr>
          <w:rtl/>
        </w:rPr>
        <w:t xml:space="preserve"> ».</w:t>
      </w:r>
      <w:r w:rsidR="00992664" w:rsidRPr="00020424">
        <w:rPr>
          <w:rtl/>
        </w:rPr>
        <w:t xml:space="preserve"> وفي « بث » : « لكي تيسّر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D6EB9" w:rsidTr="006D6EB9">
        <w:tc>
          <w:tcPr>
            <w:tcW w:w="4006" w:type="dxa"/>
          </w:tcPr>
          <w:p w:rsidR="006D6EB9" w:rsidRDefault="006D6EB9" w:rsidP="00992664">
            <w:pPr>
              <w:pStyle w:val="libFootnote0"/>
              <w:rPr>
                <w:rtl/>
                <w:lang w:bidi="fa-IR"/>
              </w:rPr>
            </w:pPr>
            <w:r>
              <w:rPr>
                <w:rtl/>
              </w:rPr>
              <w:t xml:space="preserve">(9). </w:t>
            </w:r>
            <w:r w:rsidRPr="00020424">
              <w:rPr>
                <w:rtl/>
              </w:rPr>
              <w:t xml:space="preserve">في </w:t>
            </w:r>
            <w:r w:rsidRPr="0012008A">
              <w:rPr>
                <w:rStyle w:val="libFootnoteBoldChar"/>
                <w:rtl/>
              </w:rPr>
              <w:t>البحار</w:t>
            </w:r>
            <w:r w:rsidRPr="00020424">
              <w:rPr>
                <w:rtl/>
              </w:rPr>
              <w:t xml:space="preserve"> ، ج 67 :</w:t>
            </w:r>
            <w:r>
              <w:rPr>
                <w:rtl/>
              </w:rPr>
              <w:t xml:space="preserve"> - </w:t>
            </w:r>
            <w:r w:rsidRPr="00020424">
              <w:rPr>
                <w:rtl/>
              </w:rPr>
              <w:t>« عليّ</w:t>
            </w:r>
            <w:r>
              <w:rPr>
                <w:rtl/>
              </w:rPr>
              <w:t xml:space="preserve"> ».</w:t>
            </w:r>
          </w:p>
        </w:tc>
        <w:tc>
          <w:tcPr>
            <w:tcW w:w="4006" w:type="dxa"/>
          </w:tcPr>
          <w:p w:rsidR="006D6EB9" w:rsidRDefault="006D6EB9" w:rsidP="00992664">
            <w:pPr>
              <w:pStyle w:val="libFootnote0"/>
              <w:rPr>
                <w:rtl/>
                <w:lang w:bidi="fa-IR"/>
              </w:rPr>
            </w:pPr>
            <w:r>
              <w:rPr>
                <w:rtl/>
              </w:rPr>
              <w:t xml:space="preserve">(10). </w:t>
            </w:r>
            <w:r w:rsidRPr="00020424">
              <w:rPr>
                <w:rtl/>
              </w:rPr>
              <w:t>في « بخ ، بر ، بف ، بك » :</w:t>
            </w:r>
            <w:r>
              <w:rPr>
                <w:rtl/>
              </w:rPr>
              <w:t xml:space="preserve"> - </w:t>
            </w:r>
            <w:r w:rsidRPr="00020424">
              <w:rPr>
                <w:rtl/>
              </w:rPr>
              <w:t>« رحمتك</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بح ، بر ، بف ، بك » :</w:t>
      </w:r>
      <w:r w:rsidR="00992664">
        <w:rPr>
          <w:rtl/>
        </w:rPr>
        <w:t xml:space="preserve"> </w:t>
      </w:r>
      <w:r w:rsidR="009B673F">
        <w:rPr>
          <w:rtl/>
        </w:rPr>
        <w:t>-</w:t>
      </w:r>
      <w:r w:rsidR="00992664">
        <w:rPr>
          <w:rtl/>
        </w:rPr>
        <w:t xml:space="preserve"> </w:t>
      </w:r>
      <w:r w:rsidR="00992664" w:rsidRPr="00020424">
        <w:rPr>
          <w:rtl/>
        </w:rPr>
        <w:t>« وتيسّره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بس » :</w:t>
      </w:r>
      <w:r w:rsidR="00992664">
        <w:rPr>
          <w:rtl/>
        </w:rPr>
        <w:t xml:space="preserve"> </w:t>
      </w:r>
      <w:r w:rsidR="009B673F">
        <w:rPr>
          <w:rtl/>
        </w:rPr>
        <w:t>-</w:t>
      </w:r>
      <w:r w:rsidR="00992664">
        <w:rPr>
          <w:rtl/>
        </w:rPr>
        <w:t xml:space="preserve"> </w:t>
      </w:r>
      <w:r w:rsidR="00992664" w:rsidRPr="00020424">
        <w:rPr>
          <w:rtl/>
        </w:rPr>
        <w:t>« ذكره</w:t>
      </w:r>
      <w:r w:rsidR="00992664">
        <w:rPr>
          <w:rtl/>
        </w:rPr>
        <w:t xml:space="preserve"> ».</w:t>
      </w:r>
      <w:r w:rsidR="00992664" w:rsidRPr="00020424">
        <w:rPr>
          <w:rtl/>
        </w:rPr>
        <w:t xml:space="preserve"> وفي حاشية « بث » : « عزّ وجلّ » بدل « جلّ ثناؤه وتعالى ذكره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ى » : « أدخله</w:t>
      </w:r>
      <w:r w:rsidR="00992664">
        <w:rPr>
          <w:rtl/>
        </w:rPr>
        <w:t xml:space="preserve"> ».</w:t>
      </w:r>
    </w:p>
    <w:p w:rsidR="00992664" w:rsidRPr="00020424" w:rsidRDefault="00795177" w:rsidP="00603D4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482 ، ح 9935 ؛ </w:t>
      </w:r>
      <w:r w:rsidR="00992664" w:rsidRPr="0012008A">
        <w:rPr>
          <w:rStyle w:val="libFootnoteBoldChar"/>
          <w:rtl/>
        </w:rPr>
        <w:t>الوسائل</w:t>
      </w:r>
      <w:r w:rsidR="00992664" w:rsidRPr="00020424">
        <w:rPr>
          <w:rtl/>
        </w:rPr>
        <w:t xml:space="preserve"> ، ج 21 ، ص 545 ، ح 27822 ؛ </w:t>
      </w:r>
      <w:r w:rsidR="00992664" w:rsidRPr="0012008A">
        <w:rPr>
          <w:rStyle w:val="libFootnoteBoldChar"/>
          <w:rtl/>
        </w:rPr>
        <w:t>البحار</w:t>
      </w:r>
      <w:r w:rsidR="00992664" w:rsidRPr="00020424">
        <w:rPr>
          <w:rtl/>
        </w:rPr>
        <w:t xml:space="preserve"> ، ج 7 ، ص 288 ، ح 6 ؛ وج 67 ، ص 203 ، ح 6.</w:t>
      </w:r>
      <w:r w:rsidR="00603D44">
        <w:rPr>
          <w:rFonts w:hint="cs"/>
          <w:rtl/>
        </w:rPr>
        <w:t xml:space="preserve">           </w:t>
      </w:r>
      <w:r>
        <w:rPr>
          <w:rtl/>
        </w:rPr>
        <w:t>(15).</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مِنَ النَّاسِ</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وَسَمِعْتُهُ يَقُولُ : « السَّخَاءُ شَجَرَةٌ فِي الْجَنَّةِ ، مَنْ تَعَلَّقَ بِغُصْنٍ مِنْ أَغْصَانِهَا ، دَخَلَ الْجَنَّةَ</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C9409F">
        <w:rPr>
          <w:rtl/>
        </w:rPr>
        <w:t>6155</w:t>
      </w:r>
      <w:r w:rsidRPr="001155DE">
        <w:rPr>
          <w:rStyle w:val="libBold2Char"/>
          <w:rtl/>
        </w:rPr>
        <w:t xml:space="preserve"> / 10.</w:t>
      </w:r>
      <w:r w:rsidRPr="00020424">
        <w:rPr>
          <w:rtl/>
          <w:lang w:bidi="fa-IR"/>
        </w:rPr>
        <w:t xml:space="preserve"> عَلِيُّ بْنُ إِبْرَاهِيمَ ، عَنْ </w:t>
      </w:r>
      <w:r w:rsidRPr="00A91B96">
        <w:rPr>
          <w:rStyle w:val="libFootnotenumChar"/>
          <w:rtl/>
        </w:rPr>
        <w:t>(3)</w:t>
      </w:r>
      <w:r w:rsidRPr="00020424">
        <w:rPr>
          <w:rtl/>
          <w:lang w:bidi="fa-IR"/>
        </w:rPr>
        <w:t xml:space="preserve"> يَاسِرٍ الْخَادِمِ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 السَّخِيُّ يَأْكُلُ </w:t>
      </w:r>
      <w:r w:rsidRPr="00A91B96">
        <w:rPr>
          <w:rStyle w:val="libFootnotenumChar"/>
          <w:rtl/>
        </w:rPr>
        <w:t>(4)</w:t>
      </w:r>
      <w:r w:rsidRPr="00020424">
        <w:rPr>
          <w:rtl/>
          <w:lang w:bidi="fa-IR"/>
        </w:rPr>
        <w:t xml:space="preserve"> طَعَامَ النَّاسِ لِيَأْكُلُوا </w:t>
      </w:r>
      <w:r w:rsidRPr="00A91B96">
        <w:rPr>
          <w:rStyle w:val="libFootnotenumChar"/>
          <w:rtl/>
        </w:rPr>
        <w:t>(5)</w:t>
      </w:r>
      <w:r w:rsidRPr="00020424">
        <w:rPr>
          <w:rtl/>
          <w:lang w:bidi="fa-IR"/>
        </w:rPr>
        <w:t xml:space="preserve"> مِنْ </w:t>
      </w:r>
      <w:r w:rsidRPr="00A91B96">
        <w:rPr>
          <w:rStyle w:val="libFootnotenumChar"/>
          <w:rtl/>
        </w:rPr>
        <w:t>(6)</w:t>
      </w:r>
      <w:r w:rsidRPr="00020424">
        <w:rPr>
          <w:rtl/>
          <w:lang w:bidi="fa-IR"/>
        </w:rPr>
        <w:t xml:space="preserve"> طَعَامِهِ ، وَالْبَخِيلُ لَايَأْكُلُ مِنْ </w:t>
      </w:r>
      <w:r w:rsidRPr="00A91B96">
        <w:rPr>
          <w:rStyle w:val="libFootnotenumChar"/>
          <w:rtl/>
        </w:rPr>
        <w:t>(7)</w:t>
      </w:r>
      <w:r w:rsidRPr="00020424">
        <w:rPr>
          <w:rtl/>
          <w:lang w:bidi="fa-IR"/>
        </w:rPr>
        <w:t xml:space="preserve"> طَعَامِ النَّاسِ لِئَلاَّ يَأْكُلُوا مِنْ طَعَامِهِ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C9409F">
        <w:rPr>
          <w:rtl/>
        </w:rPr>
        <w:t>6156</w:t>
      </w:r>
      <w:r w:rsidRPr="001155DE">
        <w:rPr>
          <w:rStyle w:val="libBold2Char"/>
          <w:rtl/>
        </w:rPr>
        <w:t xml:space="preserve"> / 11.</w:t>
      </w:r>
      <w:r w:rsidRPr="00020424">
        <w:rPr>
          <w:rtl/>
          <w:lang w:bidi="fa-IR"/>
        </w:rPr>
        <w:t xml:space="preserve"> عِدَّةٌ مِنْ أَصْحَابِنَا ، عَنْ أَحْمَدَ بْنِ أَبِي عَبْدِ اللهِ رَفَعَهُ ، قَالَ :</w:t>
      </w:r>
    </w:p>
    <w:p w:rsidR="00992664" w:rsidRPr="00020424" w:rsidRDefault="00992664" w:rsidP="00992664">
      <w:pPr>
        <w:pStyle w:val="libNormal"/>
        <w:rPr>
          <w:rtl/>
          <w:lang w:bidi="fa-IR"/>
        </w:rPr>
      </w:pPr>
      <w:r w:rsidRPr="00020424">
        <w:rPr>
          <w:rtl/>
          <w:lang w:bidi="fa-IR"/>
        </w:rPr>
        <w:t xml:space="preserve">قَالَ أَمِيرُ الْمُؤْمِنِينَ </w:t>
      </w:r>
      <w:r w:rsidRPr="00005A81">
        <w:rPr>
          <w:rStyle w:val="libAlaemChar"/>
          <w:rtl/>
        </w:rPr>
        <w:t>عليه‌السلام</w:t>
      </w:r>
      <w:r w:rsidRPr="00020424">
        <w:rPr>
          <w:rtl/>
          <w:lang w:bidi="fa-IR"/>
        </w:rPr>
        <w:t xml:space="preserve"> لِابْنِهِ الْحَسَنِ </w:t>
      </w:r>
      <w:r w:rsidRPr="00005A81">
        <w:rPr>
          <w:rStyle w:val="libAlaemChar"/>
          <w:rtl/>
        </w:rPr>
        <w:t>عليه‌السلام</w:t>
      </w:r>
      <w:r w:rsidRPr="00020424">
        <w:rPr>
          <w:rtl/>
          <w:lang w:bidi="fa-IR"/>
        </w:rPr>
        <w:t xml:space="preserve"> : « يَا بُنَيَّ ، مَا السَّمَاحَةُ </w:t>
      </w:r>
      <w:r w:rsidRPr="00A91B96">
        <w:rPr>
          <w:rStyle w:val="libFootnotenumChar"/>
          <w:rtl/>
        </w:rPr>
        <w:t>(9)</w:t>
      </w:r>
      <w:r>
        <w:rPr>
          <w:rtl/>
          <w:lang w:bidi="fa-IR"/>
        </w:rPr>
        <w:t>؟</w:t>
      </w:r>
      <w:r w:rsidRPr="00020424">
        <w:rPr>
          <w:rtl/>
          <w:lang w:bidi="fa-IR"/>
        </w:rPr>
        <w:t xml:space="preserve"> قَالَ : الْبَذْلُ فِي الْيُسْرِ وَالْعُسْرِ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بث ، بح ، بخ ، بر ، بس ، بف ، بك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A90FD5">
      <w:pPr>
        <w:pStyle w:val="libFootnote0"/>
        <w:rPr>
          <w:rtl/>
          <w:lang w:bidi="fa-IR"/>
        </w:rPr>
      </w:pPr>
      <w:r>
        <w:rPr>
          <w:rtl/>
        </w:rPr>
        <w:t>(2).</w:t>
      </w:r>
      <w:r w:rsidR="0014403D">
        <w:rPr>
          <w:rtl/>
        </w:rPr>
        <w:t xml:space="preserve"> </w:t>
      </w:r>
      <w:r w:rsidR="00992664" w:rsidRPr="00DE76B9">
        <w:rPr>
          <w:rStyle w:val="libFootnoteBoldChar"/>
          <w:rtl/>
        </w:rPr>
        <w:t>عيون الأخبار</w:t>
      </w:r>
      <w:r w:rsidR="00992664" w:rsidRPr="00020424">
        <w:rPr>
          <w:rtl/>
        </w:rPr>
        <w:t xml:space="preserve"> ، ج 2 ، ص 12 ، ح 27 ، بسنده عن الحسين بن محمّد بن عامر ، عن معلّى بن محمّد البصري. وفي </w:t>
      </w:r>
      <w:r w:rsidR="00992664" w:rsidRPr="00DE76B9">
        <w:rPr>
          <w:rStyle w:val="libFootnoteBoldChar"/>
          <w:rtl/>
        </w:rPr>
        <w:t>الجعفريّات</w:t>
      </w:r>
      <w:r w:rsidR="00992664" w:rsidRPr="00020424">
        <w:rPr>
          <w:rtl/>
        </w:rPr>
        <w:t xml:space="preserve"> ، ص 151 ؛ </w:t>
      </w:r>
      <w:r w:rsidR="00992664" w:rsidRPr="00EE0C68">
        <w:rPr>
          <w:rStyle w:val="libFootnoteBoldChar"/>
          <w:rtl/>
        </w:rPr>
        <w:t>وقرب الإسناد</w:t>
      </w:r>
      <w:r w:rsidR="00992664" w:rsidRPr="00020424">
        <w:rPr>
          <w:rtl/>
        </w:rPr>
        <w:t xml:space="preserve"> ، ص 117 ، ح 409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474 ، المجلس 17 ، ح 5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A90FD5" w:rsidRPr="00A90FD5">
        <w:rPr>
          <w:rStyle w:val="libFootnoteAlaemChar"/>
          <w:rtl/>
        </w:rPr>
        <w:t>صلى‌الله‌عليه‌وآله‌</w:t>
      </w:r>
      <w:r w:rsidR="00A90FD5" w:rsidRPr="00020424">
        <w:rPr>
          <w:rtl/>
          <w:lang w:bidi="fa-IR"/>
        </w:rPr>
        <w:t xml:space="preserve"> </w:t>
      </w:r>
      <w:r w:rsidR="00992664" w:rsidRPr="00020424">
        <w:rPr>
          <w:rtl/>
        </w:rPr>
        <w:t xml:space="preserve">، مع زيادة في آخره. </w:t>
      </w:r>
      <w:r w:rsidR="00992664" w:rsidRPr="00DE76B9">
        <w:rPr>
          <w:rStyle w:val="libFootnoteBoldChar"/>
          <w:rtl/>
        </w:rPr>
        <w:t>معاني الأخبار</w:t>
      </w:r>
      <w:r w:rsidR="00992664" w:rsidRPr="00020424">
        <w:rPr>
          <w:rtl/>
        </w:rPr>
        <w:t xml:space="preserve"> ، ص 256 ، ح 4 ، بسند آخر عن أبي عبدالله </w:t>
      </w:r>
      <w:r w:rsidR="00992664" w:rsidRPr="00D64ADA">
        <w:rPr>
          <w:rStyle w:val="libFootnoteAlaemChar"/>
          <w:rtl/>
        </w:rPr>
        <w:t>عليه‌السلام</w:t>
      </w:r>
      <w:r w:rsidR="00992664" w:rsidRPr="00020424">
        <w:rPr>
          <w:rtl/>
        </w:rPr>
        <w:t xml:space="preserve"> عن رسول الله. وفي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362 ؛ </w:t>
      </w:r>
      <w:r w:rsidR="00992664" w:rsidRPr="00666432">
        <w:rPr>
          <w:rStyle w:val="libFootnoteBoldChar"/>
          <w:rtl/>
        </w:rPr>
        <w:t>والاختصاص</w:t>
      </w:r>
      <w:r w:rsidR="00992664" w:rsidRPr="00020424">
        <w:rPr>
          <w:rtl/>
        </w:rPr>
        <w:t xml:space="preserve"> ، ص 252 ، مرسلاً عن العالم </w:t>
      </w:r>
      <w:r w:rsidR="00992664" w:rsidRPr="00D64ADA">
        <w:rPr>
          <w:rStyle w:val="libFootnoteAlaemChar"/>
          <w:rtl/>
        </w:rPr>
        <w:t>عليه‌السلام</w:t>
      </w:r>
      <w:r w:rsidR="00992664" w:rsidRPr="00020424">
        <w:rPr>
          <w:rtl/>
        </w:rPr>
        <w:t xml:space="preserve"> ، مع زيادة في آخره ، وفي الخمسة الأخيرة من قوله : « السخاء شجرة في الجنّة » وفي كلّ المصادر مع اختلاف يسير </w:t>
      </w:r>
      <w:r w:rsidR="00533274">
        <w:rPr>
          <w:rFonts w:hint="cs"/>
          <w:rtl/>
        </w:rPr>
        <w:t>.</w:t>
      </w:r>
      <w:r w:rsidR="00992664" w:rsidRPr="0012008A">
        <w:rPr>
          <w:rStyle w:val="libFootnoteBoldChar"/>
          <w:rtl/>
        </w:rPr>
        <w:t>الوافي</w:t>
      </w:r>
      <w:r w:rsidR="00992664" w:rsidRPr="00020424">
        <w:rPr>
          <w:rtl/>
        </w:rPr>
        <w:t xml:space="preserve"> ، ج 10 ، ص 483 ، ح 9936 ؛ </w:t>
      </w:r>
      <w:r w:rsidR="00992664" w:rsidRPr="0012008A">
        <w:rPr>
          <w:rStyle w:val="libFootnoteBoldChar"/>
          <w:rtl/>
        </w:rPr>
        <w:t>الوسائل</w:t>
      </w:r>
      <w:r w:rsidR="00992664" w:rsidRPr="00020424">
        <w:rPr>
          <w:rtl/>
        </w:rPr>
        <w:t xml:space="preserve"> ، ج 21 ، ص 545 ، ح 27823.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30516 : « وعن</w:t>
      </w:r>
      <w:r w:rsidR="00992664">
        <w:rPr>
          <w:rtl/>
        </w:rPr>
        <w:t xml:space="preserve"> ».</w:t>
      </w:r>
      <w:r w:rsidR="00992664" w:rsidRPr="00020424">
        <w:rPr>
          <w:rtl/>
        </w:rPr>
        <w:t xml:space="preserve"> وهو سهو واضح.</w:t>
      </w:r>
    </w:p>
    <w:tbl>
      <w:tblPr>
        <w:tblStyle w:val="TableGrid"/>
        <w:bidiVisual/>
        <w:tblW w:w="0" w:type="auto"/>
        <w:tblLook w:val="04A0" w:firstRow="1" w:lastRow="0" w:firstColumn="1" w:lastColumn="0" w:noHBand="0" w:noVBand="1"/>
      </w:tblPr>
      <w:tblGrid>
        <w:gridCol w:w="3764"/>
        <w:gridCol w:w="4248"/>
      </w:tblGrid>
      <w:tr w:rsidR="00533274" w:rsidTr="00533274">
        <w:tc>
          <w:tcPr>
            <w:tcW w:w="3764" w:type="dxa"/>
          </w:tcPr>
          <w:p w:rsidR="00533274" w:rsidRDefault="00533274" w:rsidP="00992664">
            <w:pPr>
              <w:pStyle w:val="libFootnote0"/>
              <w:rPr>
                <w:rtl/>
              </w:rPr>
            </w:pPr>
            <w:r>
              <w:rPr>
                <w:rtl/>
              </w:rPr>
              <w:t xml:space="preserve">(4). </w:t>
            </w:r>
            <w:r w:rsidRPr="00020424">
              <w:rPr>
                <w:rtl/>
              </w:rPr>
              <w:t xml:space="preserve">في </w:t>
            </w:r>
            <w:r w:rsidRPr="0012008A">
              <w:rPr>
                <w:rStyle w:val="libFootnoteBoldChar"/>
                <w:rtl/>
              </w:rPr>
              <w:t>الوسائل</w:t>
            </w:r>
            <w:r w:rsidRPr="00020424">
              <w:rPr>
                <w:rtl/>
              </w:rPr>
              <w:t xml:space="preserve"> والعيون : + « من</w:t>
            </w:r>
            <w:r>
              <w:rPr>
                <w:rtl/>
              </w:rPr>
              <w:t xml:space="preserve"> ».</w:t>
            </w:r>
          </w:p>
        </w:tc>
        <w:tc>
          <w:tcPr>
            <w:tcW w:w="4248" w:type="dxa"/>
          </w:tcPr>
          <w:p w:rsidR="00533274" w:rsidRDefault="00533274" w:rsidP="00533274">
            <w:pPr>
              <w:pStyle w:val="libFootnote0"/>
              <w:rPr>
                <w:rtl/>
              </w:rPr>
            </w:pPr>
            <w:r>
              <w:rPr>
                <w:rtl/>
              </w:rPr>
              <w:t>(5).</w:t>
            </w:r>
            <w:r w:rsidRPr="00020424">
              <w:rPr>
                <w:rtl/>
              </w:rPr>
              <w:t xml:space="preserve">في </w:t>
            </w:r>
            <w:r w:rsidRPr="0012008A">
              <w:rPr>
                <w:rStyle w:val="libFootnoteBoldChar"/>
                <w:rtl/>
              </w:rPr>
              <w:t>الوسائل</w:t>
            </w:r>
            <w:r>
              <w:rPr>
                <w:rtl/>
              </w:rPr>
              <w:t>،ح27828:«ليأكل الناس»بدل«</w:t>
            </w:r>
            <w:r w:rsidRPr="00020424">
              <w:rPr>
                <w:rtl/>
              </w:rPr>
              <w:t>ليأكلوا</w:t>
            </w:r>
            <w:r>
              <w:rPr>
                <w:rtl/>
              </w:rPr>
              <w:t>».</w:t>
            </w:r>
          </w:p>
        </w:tc>
      </w:tr>
      <w:tr w:rsidR="00533274" w:rsidTr="00533274">
        <w:tc>
          <w:tcPr>
            <w:tcW w:w="3764" w:type="dxa"/>
          </w:tcPr>
          <w:p w:rsidR="00533274" w:rsidRDefault="00533274" w:rsidP="00992664">
            <w:pPr>
              <w:pStyle w:val="libFootnote0"/>
              <w:rPr>
                <w:rtl/>
              </w:rPr>
            </w:pPr>
            <w:r>
              <w:rPr>
                <w:rtl/>
              </w:rPr>
              <w:t xml:space="preserve">(6). </w:t>
            </w:r>
            <w:r w:rsidRPr="00020424">
              <w:rPr>
                <w:rtl/>
              </w:rPr>
              <w:t xml:space="preserve">في « بخ ، بر ، بك » </w:t>
            </w:r>
            <w:r w:rsidRPr="00515444">
              <w:rPr>
                <w:rStyle w:val="libFootnoteBoldChar"/>
                <w:rtl/>
              </w:rPr>
              <w:t>والوافي</w:t>
            </w:r>
            <w:r w:rsidRPr="00020424">
              <w:rPr>
                <w:rtl/>
              </w:rPr>
              <w:t xml:space="preserve"> :</w:t>
            </w:r>
            <w:r>
              <w:rPr>
                <w:rtl/>
              </w:rPr>
              <w:t xml:space="preserve"> - </w:t>
            </w:r>
            <w:r w:rsidRPr="00020424">
              <w:rPr>
                <w:rtl/>
              </w:rPr>
              <w:t>« من</w:t>
            </w:r>
            <w:r>
              <w:rPr>
                <w:rtl/>
              </w:rPr>
              <w:t xml:space="preserve"> ».</w:t>
            </w:r>
          </w:p>
        </w:tc>
        <w:tc>
          <w:tcPr>
            <w:tcW w:w="4248" w:type="dxa"/>
          </w:tcPr>
          <w:p w:rsidR="00533274" w:rsidRDefault="00533274" w:rsidP="00992664">
            <w:pPr>
              <w:pStyle w:val="libFootnote0"/>
              <w:rPr>
                <w:rtl/>
              </w:rPr>
            </w:pPr>
            <w:r>
              <w:rPr>
                <w:rtl/>
              </w:rPr>
              <w:t xml:space="preserve">(7). </w:t>
            </w:r>
            <w:r w:rsidRPr="00020424">
              <w:rPr>
                <w:rtl/>
              </w:rPr>
              <w:t>في « بر ، بك » :</w:t>
            </w:r>
            <w:r>
              <w:rPr>
                <w:rtl/>
              </w:rPr>
              <w:t xml:space="preserve"> - </w:t>
            </w:r>
            <w:r w:rsidRPr="00020424">
              <w:rPr>
                <w:rtl/>
              </w:rPr>
              <w:t>« من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D64ADA" w:rsidRPr="00D64ADA">
        <w:rPr>
          <w:rStyle w:val="libFootnoteBoldChar"/>
          <w:rtl/>
        </w:rPr>
        <w:t>المحاسن</w:t>
      </w:r>
      <w:r w:rsidR="00992664" w:rsidRPr="00020424">
        <w:rPr>
          <w:rtl/>
        </w:rPr>
        <w:t xml:space="preserve"> ، ص 499 ، كتاب المآكل ، ح 353 ، عن ياسر الخادم ، إلى قوله : « ليأكلوا من طعامه</w:t>
      </w:r>
      <w:r w:rsidR="00992664">
        <w:rPr>
          <w:rtl/>
        </w:rPr>
        <w:t xml:space="preserve"> ».</w:t>
      </w:r>
      <w:r w:rsidR="00992664" w:rsidRPr="00020424">
        <w:rPr>
          <w:rtl/>
        </w:rPr>
        <w:t xml:space="preserve"> </w:t>
      </w:r>
      <w:r w:rsidR="00992664" w:rsidRPr="00DE76B9">
        <w:rPr>
          <w:rStyle w:val="libFootnoteBoldChar"/>
          <w:rtl/>
        </w:rPr>
        <w:t>عيون الأخبار</w:t>
      </w:r>
      <w:r w:rsidR="00992664" w:rsidRPr="00020424">
        <w:rPr>
          <w:rtl/>
        </w:rPr>
        <w:t xml:space="preserve"> ، ص 12 ، ح 26 ، بسنده عن عليّ بن إبراهيم. </w:t>
      </w:r>
      <w:r w:rsidR="00992664" w:rsidRPr="00DE76B9">
        <w:rPr>
          <w:rStyle w:val="libFootnoteBoldChar"/>
          <w:rtl/>
        </w:rPr>
        <w:t>تحف العقول</w:t>
      </w:r>
      <w:r w:rsidR="00992664" w:rsidRPr="00020424">
        <w:rPr>
          <w:rtl/>
        </w:rPr>
        <w:t xml:space="preserve"> ، ص 446 </w:t>
      </w:r>
      <w:r w:rsidR="002D2F36">
        <w:rPr>
          <w:rFonts w:hint="cs"/>
          <w:rtl/>
        </w:rPr>
        <w:t>.</w:t>
      </w:r>
      <w:r w:rsidR="00992664" w:rsidRPr="0012008A">
        <w:rPr>
          <w:rStyle w:val="libFootnoteBoldChar"/>
          <w:rtl/>
        </w:rPr>
        <w:t>الوافي</w:t>
      </w:r>
      <w:r w:rsidR="00992664" w:rsidRPr="00020424">
        <w:rPr>
          <w:rtl/>
        </w:rPr>
        <w:t xml:space="preserve"> ، ج 10 ، ص 483 ، ح 9937 ؛ </w:t>
      </w:r>
      <w:r w:rsidR="00992664" w:rsidRPr="0012008A">
        <w:rPr>
          <w:rStyle w:val="libFootnoteBoldChar"/>
          <w:rtl/>
        </w:rPr>
        <w:t>الوسائل</w:t>
      </w:r>
      <w:r w:rsidR="00992664" w:rsidRPr="00020424">
        <w:rPr>
          <w:rtl/>
        </w:rPr>
        <w:t xml:space="preserve"> ، ج 21 ، ص 546 ، ح 27828 ؛ وج 24 ، ص 269 ، ح 30516.</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السماحة » في اللغة : الجود والعطاء عن كرم وسخاء. راجع : </w:t>
      </w:r>
      <w:r w:rsidR="00992664" w:rsidRPr="0012008A">
        <w:rPr>
          <w:rStyle w:val="libFootnoteBoldChar"/>
          <w:rtl/>
        </w:rPr>
        <w:t>الصحاح</w:t>
      </w:r>
      <w:r w:rsidR="00992664" w:rsidRPr="00020424">
        <w:rPr>
          <w:rtl/>
        </w:rPr>
        <w:t xml:space="preserve"> ، ج 1 ، ص 376 ؛ </w:t>
      </w:r>
      <w:r w:rsidR="00992664" w:rsidRPr="0012008A">
        <w:rPr>
          <w:rStyle w:val="libFootnoteBoldChar"/>
          <w:rtl/>
        </w:rPr>
        <w:t>النهاية</w:t>
      </w:r>
      <w:r w:rsidR="00992664" w:rsidRPr="00020424">
        <w:rPr>
          <w:rtl/>
        </w:rPr>
        <w:t xml:space="preserve"> ، ج 2 ، ص 398 ( سمح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بح ، بخ ، بر ، بف ، بك » </w:t>
      </w:r>
      <w:r w:rsidR="00992664" w:rsidRPr="00EB1FD9">
        <w:rPr>
          <w:rStyle w:val="libFootnoteBoldChar"/>
          <w:rtl/>
        </w:rPr>
        <w:t>والوسائل</w:t>
      </w:r>
      <w:r w:rsidR="00992664" w:rsidRPr="00020424">
        <w:rPr>
          <w:rtl/>
        </w:rPr>
        <w:t xml:space="preserve"> والمعاني : « في العسر واليسر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معاني الأخبار</w:t>
      </w:r>
      <w:r w:rsidR="00992664" w:rsidRPr="00020424">
        <w:rPr>
          <w:rtl/>
        </w:rPr>
        <w:t xml:space="preserve"> ، ص 256 ، ح 1 ، بسنده عن أحمد بن محمّد بن خالد ، وفيه : «</w:t>
      </w:r>
      <w:r w:rsidR="00992664">
        <w:rPr>
          <w:rtl/>
        </w:rPr>
        <w:t xml:space="preserve"> ..</w:t>
      </w:r>
      <w:r w:rsidR="00992664" w:rsidRPr="00020424">
        <w:rPr>
          <w:rtl/>
        </w:rPr>
        <w:t xml:space="preserve">. أحمد بن محمّد بن خالد </w:t>
      </w:r>
      <w:r w:rsidR="002D2F3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9409F">
        <w:rPr>
          <w:rtl/>
        </w:rPr>
        <w:t>6157</w:t>
      </w:r>
      <w:r w:rsidRPr="001155DE">
        <w:rPr>
          <w:rStyle w:val="libBold2Char"/>
          <w:rtl/>
        </w:rPr>
        <w:t xml:space="preserve"> / 12.</w:t>
      </w:r>
      <w:r w:rsidRPr="00020424">
        <w:rPr>
          <w:rtl/>
          <w:lang w:bidi="fa-IR"/>
        </w:rPr>
        <w:t xml:space="preserve"> عَلِيُّ بْنُ إِبْرَاهِيمَ ، عَنْ هَارُونَ بْنِ مُسْلِمٍ ، عَنْ مَسْعَدَةَ بْنِ صَدَقَةَ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Pr>
          <w:rtl/>
          <w:lang w:bidi="fa-IR"/>
        </w:rPr>
        <w:t xml:space="preserve"> لِبَعْضِ جُلَسَائِهِ : « أَ</w:t>
      </w:r>
      <w:r w:rsidRPr="00020424">
        <w:rPr>
          <w:rtl/>
          <w:lang w:bidi="fa-IR"/>
        </w:rPr>
        <w:t>لَا</w:t>
      </w:r>
      <w:r>
        <w:rPr>
          <w:rFonts w:hint="cs"/>
          <w:rtl/>
          <w:lang w:bidi="fa-IR"/>
        </w:rPr>
        <w:t xml:space="preserve"> </w:t>
      </w:r>
      <w:r w:rsidRPr="00020424">
        <w:rPr>
          <w:rtl/>
          <w:lang w:bidi="fa-IR"/>
        </w:rPr>
        <w:t xml:space="preserve">أُخْبِرُكَ </w:t>
      </w:r>
      <w:r w:rsidRPr="00A91B96">
        <w:rPr>
          <w:rStyle w:val="libFootnotenumChar"/>
          <w:rtl/>
        </w:rPr>
        <w:t>(1)</w:t>
      </w:r>
      <w:r w:rsidRPr="00020424">
        <w:rPr>
          <w:rtl/>
          <w:lang w:bidi="fa-IR"/>
        </w:rPr>
        <w:t xml:space="preserve"> بِشَيْ‌ءٍ يُقَرِّبُ مِنَ اللهِ ، وَيُقَرِّبُ مِنَ الْجَنَّةَ ، وَيُبَاعِدُ مِنَ النَّارِ</w:t>
      </w:r>
      <w:r>
        <w:rPr>
          <w:rtl/>
          <w:lang w:bidi="fa-IR"/>
        </w:rPr>
        <w:t>؟ ».</w:t>
      </w:r>
    </w:p>
    <w:p w:rsidR="00992664" w:rsidRPr="00020424" w:rsidRDefault="00992664" w:rsidP="00992664">
      <w:pPr>
        <w:pStyle w:val="libNormal"/>
        <w:rPr>
          <w:rtl/>
          <w:lang w:bidi="fa-IR"/>
        </w:rPr>
      </w:pPr>
      <w:r w:rsidRPr="00020424">
        <w:rPr>
          <w:rtl/>
          <w:lang w:bidi="fa-IR"/>
        </w:rPr>
        <w:t>فَقَالَ بَلى.</w:t>
      </w:r>
    </w:p>
    <w:p w:rsidR="00992664" w:rsidRPr="00020424" w:rsidRDefault="00992664" w:rsidP="00992664">
      <w:pPr>
        <w:pStyle w:val="libNormal"/>
        <w:rPr>
          <w:rtl/>
          <w:lang w:bidi="fa-IR"/>
        </w:rPr>
      </w:pPr>
      <w:r w:rsidRPr="00020424">
        <w:rPr>
          <w:rtl/>
          <w:lang w:bidi="fa-IR"/>
        </w:rPr>
        <w:t xml:space="preserve">فَقَالَ : « عَلَيْكَ بِالسَّخَاءِ ؛ فَإِنَّ اللهَ خَلَقَ خَلْقاً بِرَحْمَتِهِ لِرَحْمَتِهِ ، فَجَعَلَهُمْ لِلْمَعْرُوفِ أَهْلاً ، وَلِلْخَيْرِ مَوْضِعاً ، وَلِلنَّاسِ وَجْهاً ، يُسْعى </w:t>
      </w:r>
      <w:r w:rsidRPr="00A91B96">
        <w:rPr>
          <w:rStyle w:val="libFootnotenumChar"/>
          <w:rtl/>
        </w:rPr>
        <w:t>(2)</w:t>
      </w:r>
      <w:r w:rsidRPr="00020424">
        <w:rPr>
          <w:rtl/>
          <w:lang w:bidi="fa-IR"/>
        </w:rPr>
        <w:t xml:space="preserve"> إِلَيْهِمْ </w:t>
      </w:r>
      <w:r w:rsidRPr="00A91B96">
        <w:rPr>
          <w:rStyle w:val="libFootnotenumChar"/>
          <w:rtl/>
        </w:rPr>
        <w:t>(3)</w:t>
      </w:r>
      <w:r w:rsidRPr="00020424">
        <w:rPr>
          <w:rtl/>
          <w:lang w:bidi="fa-IR"/>
        </w:rPr>
        <w:t xml:space="preserve"> لِكَيْ يُحْيُوهُمْ كَمَا يُحْيِي الْمَطَرُ الْأَرْضَ الْمُجْدِبَةَ </w:t>
      </w:r>
      <w:r w:rsidRPr="00A91B96">
        <w:rPr>
          <w:rStyle w:val="libFootnotenumChar"/>
          <w:rtl/>
        </w:rPr>
        <w:t>(4)</w:t>
      </w:r>
      <w:r w:rsidRPr="00020424">
        <w:rPr>
          <w:rtl/>
          <w:lang w:bidi="fa-IR"/>
        </w:rPr>
        <w:t xml:space="preserve"> ، أُولئِكَ هُمُ الْمُؤْمِنُونَ الْآمِنُونَ يَوْمَ الْقِيَامَةِ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C9409F">
        <w:rPr>
          <w:rtl/>
        </w:rPr>
        <w:t>6158</w:t>
      </w:r>
      <w:r w:rsidRPr="001155DE">
        <w:rPr>
          <w:rStyle w:val="libBold2Char"/>
          <w:rtl/>
        </w:rPr>
        <w:t xml:space="preserve"> / 13.</w:t>
      </w:r>
      <w:r w:rsidRPr="00020424">
        <w:rPr>
          <w:rtl/>
          <w:lang w:bidi="fa-IR"/>
        </w:rPr>
        <w:t xml:space="preserve"> عَلِيُّ بْنُ إِبْرَاهِيمَ </w:t>
      </w:r>
      <w:r w:rsidRPr="00A91B96">
        <w:rPr>
          <w:rStyle w:val="libFootnotenumChar"/>
          <w:rtl/>
        </w:rPr>
        <w:t>(6)</w:t>
      </w:r>
      <w:r w:rsidRPr="00020424">
        <w:rPr>
          <w:rtl/>
          <w:lang w:bidi="fa-IR"/>
        </w:rPr>
        <w:t xml:space="preserve"> رَفَعَهُ ، قَالَ :</w:t>
      </w:r>
    </w:p>
    <w:p w:rsidR="00992664" w:rsidRPr="00020424" w:rsidRDefault="00992664" w:rsidP="00992664">
      <w:pPr>
        <w:pStyle w:val="libNormal"/>
        <w:rPr>
          <w:rtl/>
          <w:lang w:bidi="fa-IR"/>
        </w:rPr>
      </w:pPr>
      <w:r w:rsidRPr="00020424">
        <w:rPr>
          <w:rtl/>
          <w:lang w:bidi="fa-IR"/>
        </w:rPr>
        <w:t>أَوْحَى اللهُ</w:t>
      </w:r>
      <w:r>
        <w:rPr>
          <w:rtl/>
          <w:lang w:bidi="fa-IR"/>
        </w:rPr>
        <w:t xml:space="preserve"> </w:t>
      </w:r>
      <w:r w:rsidR="009B673F">
        <w:rPr>
          <w:rtl/>
          <w:lang w:bidi="fa-IR"/>
        </w:rPr>
        <w:t>-</w:t>
      </w:r>
      <w:r>
        <w:rPr>
          <w:rtl/>
          <w:lang w:bidi="fa-IR"/>
        </w:rPr>
        <w:t xml:space="preserve"> </w:t>
      </w:r>
      <w:r w:rsidRPr="00020424">
        <w:rPr>
          <w:rtl/>
          <w:lang w:bidi="fa-IR"/>
        </w:rPr>
        <w:t xml:space="preserve">عَزَّ وَجَلَّ </w:t>
      </w:r>
      <w:r w:rsidRPr="00A91B96">
        <w:rPr>
          <w:rStyle w:val="libFootnotenumChar"/>
          <w:rtl/>
        </w:rPr>
        <w:t>(7)</w:t>
      </w:r>
      <w:r>
        <w:rPr>
          <w:rtl/>
          <w:lang w:bidi="fa-IR"/>
        </w:rPr>
        <w:t xml:space="preserve"> </w:t>
      </w:r>
      <w:r w:rsidR="009B673F">
        <w:rPr>
          <w:rtl/>
          <w:lang w:bidi="fa-IR"/>
        </w:rPr>
        <w:t>-</w:t>
      </w:r>
      <w:r>
        <w:rPr>
          <w:rtl/>
          <w:lang w:bidi="fa-IR"/>
        </w:rPr>
        <w:t xml:space="preserve"> </w:t>
      </w:r>
      <w:r w:rsidRPr="00020424">
        <w:rPr>
          <w:rtl/>
          <w:lang w:bidi="fa-IR"/>
        </w:rPr>
        <w:t xml:space="preserve">إِلى مُوسَى </w:t>
      </w:r>
      <w:r w:rsidRPr="00005A81">
        <w:rPr>
          <w:rStyle w:val="libAlaemChar"/>
          <w:rtl/>
        </w:rPr>
        <w:t>عليه‌السلام</w:t>
      </w:r>
      <w:r w:rsidRPr="00020424">
        <w:rPr>
          <w:rtl/>
          <w:lang w:bidi="fa-IR"/>
        </w:rPr>
        <w:t xml:space="preserve"> : أَنْ لَاتَقْتُلِ </w:t>
      </w:r>
      <w:r w:rsidRPr="00A91B96">
        <w:rPr>
          <w:rStyle w:val="libFootnotenumChar"/>
          <w:rtl/>
        </w:rPr>
        <w:t>(8)</w:t>
      </w:r>
      <w:r w:rsidRPr="00020424">
        <w:rPr>
          <w:rtl/>
          <w:lang w:bidi="fa-IR"/>
        </w:rPr>
        <w:t xml:space="preserve"> السَّامِرِيَّ ؛ فَإِنَّهُ سَخِيٌّ.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C9409F">
        <w:rPr>
          <w:rtl/>
        </w:rPr>
        <w:t>6159</w:t>
      </w:r>
      <w:r w:rsidRPr="001155DE">
        <w:rPr>
          <w:rStyle w:val="libBold2Char"/>
          <w:rtl/>
        </w:rPr>
        <w:t xml:space="preserve"> / 14.</w:t>
      </w:r>
      <w:r w:rsidRPr="00020424">
        <w:rPr>
          <w:rtl/>
          <w:lang w:bidi="fa-IR"/>
        </w:rPr>
        <w:t xml:space="preserve"> عِدَّةٌ مِنْ أَصْحَابِنَا ، عَنْ سَهْلِ بْنِ زِيَادٍ ، عَنْ عَمْرِو بْنِ عُثْمَانَ ، عَنْ مُحَمَّدِ بْنِ شُعَيْبٍ ، عَنْ أَبِي جَعْفَرٍ الْمَدَائِنِيِّ :</w:t>
      </w:r>
    </w:p>
    <w:p w:rsidR="00992664" w:rsidRPr="00020424" w:rsidRDefault="00992664" w:rsidP="00992664">
      <w:pPr>
        <w:pStyle w:val="libLine"/>
        <w:rPr>
          <w:rtl/>
          <w:lang w:bidi="fa-IR"/>
        </w:rPr>
      </w:pPr>
      <w:r w:rsidRPr="00020424">
        <w:rPr>
          <w:rtl/>
          <w:lang w:bidi="fa-IR"/>
        </w:rPr>
        <w:t>__________________</w:t>
      </w:r>
    </w:p>
    <w:p w:rsidR="00992664" w:rsidRPr="00020424" w:rsidRDefault="00DB4414" w:rsidP="00992664">
      <w:pPr>
        <w:pStyle w:val="libFootnote0"/>
        <w:rPr>
          <w:rtl/>
          <w:lang w:bidi="fa-IR"/>
        </w:rPr>
      </w:pPr>
      <w:r>
        <w:rPr>
          <w:rFonts w:hint="cs"/>
          <w:rtl/>
        </w:rPr>
        <w:t xml:space="preserve">= </w:t>
      </w:r>
      <w:r w:rsidR="00992664" w:rsidRPr="00020424">
        <w:rPr>
          <w:rtl/>
        </w:rPr>
        <w:t xml:space="preserve">قال : حدّثنا بعض أصحابنا بلغ به سعد بن طريف ، عن الأصبغ بن نباتة ، عن الحارث الأعور قال : قال أمير المؤمنين للحسن ابنه </w:t>
      </w:r>
      <w:r w:rsidR="00D64ADA" w:rsidRPr="00D64ADA">
        <w:rPr>
          <w:rStyle w:val="libFootnoteAlaemChar"/>
          <w:rtl/>
        </w:rPr>
        <w:t>عليهما‌السلام</w:t>
      </w:r>
      <w:r w:rsidR="00992664">
        <w:rPr>
          <w:rtl/>
        </w:rPr>
        <w:t xml:space="preserve"> ..</w:t>
      </w:r>
      <w:r w:rsidR="00992664" w:rsidRPr="00020424">
        <w:rPr>
          <w:rtl/>
        </w:rPr>
        <w:t xml:space="preserve">. » </w:t>
      </w:r>
      <w:r>
        <w:rPr>
          <w:rFonts w:hint="cs"/>
          <w:rtl/>
        </w:rPr>
        <w:t>.</w:t>
      </w:r>
      <w:r w:rsidR="00992664" w:rsidRPr="0012008A">
        <w:rPr>
          <w:rStyle w:val="libFootnoteBoldChar"/>
          <w:rtl/>
        </w:rPr>
        <w:t>الوافي</w:t>
      </w:r>
      <w:r w:rsidR="00992664" w:rsidRPr="00020424">
        <w:rPr>
          <w:rtl/>
        </w:rPr>
        <w:t xml:space="preserve"> ، ج 10 ، ص 483 ، ح 9938 ؛ </w:t>
      </w:r>
      <w:r w:rsidR="00992664" w:rsidRPr="0012008A">
        <w:rPr>
          <w:rStyle w:val="libFootnoteBoldChar"/>
          <w:rtl/>
        </w:rPr>
        <w:t>الوسائل</w:t>
      </w:r>
      <w:r w:rsidR="00992664" w:rsidRPr="00020424">
        <w:rPr>
          <w:rtl/>
        </w:rPr>
        <w:t xml:space="preserve"> ، ج 21 ، ص 545 ، ح 27824.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ا</w:t>
      </w:r>
      <w:r w:rsidR="00DB4414">
        <w:rPr>
          <w:rFonts w:hint="cs"/>
          <w:rtl/>
        </w:rPr>
        <w:t>ُ</w:t>
      </w:r>
      <w:r w:rsidR="00992664" w:rsidRPr="00020424">
        <w:rPr>
          <w:rtl/>
        </w:rPr>
        <w:t>خبركم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 « وُجَهاء ، تسعى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إليهم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المجدبة » : هي الأرض التي تمسك الماء فلا تشربه سريعاً. وقيل : هي الأرض التي ليس بها قليل ولا كثير ولا مرتع ولا كلأ. وقيل : هي الأرض التي لا نبات بها ، مأخوذ من الجَدْب ، وهو القحط. راجع : </w:t>
      </w:r>
      <w:r w:rsidR="00992664" w:rsidRPr="0012008A">
        <w:rPr>
          <w:rStyle w:val="libFootnoteBoldChar"/>
          <w:rtl/>
        </w:rPr>
        <w:t>النهاية</w:t>
      </w:r>
      <w:r w:rsidR="00992664" w:rsidRPr="00020424">
        <w:rPr>
          <w:rtl/>
        </w:rPr>
        <w:t xml:space="preserve"> ، ج 1 ، ص 242 ؛ </w:t>
      </w:r>
      <w:r w:rsidR="00992664" w:rsidRPr="00A722B1">
        <w:rPr>
          <w:rStyle w:val="libFootnoteBoldChar"/>
          <w:rtl/>
        </w:rPr>
        <w:t>لسان العرب</w:t>
      </w:r>
      <w:r w:rsidR="00992664" w:rsidRPr="00020424">
        <w:rPr>
          <w:rtl/>
        </w:rPr>
        <w:t xml:space="preserve"> ، ج 1 ، ص 257 ( جدب )</w:t>
      </w:r>
      <w:r w:rsidR="00992664">
        <w:rPr>
          <w:rtl/>
        </w:rPr>
        <w:t>.</w:t>
      </w:r>
    </w:p>
    <w:p w:rsidR="00992664" w:rsidRPr="00020424" w:rsidRDefault="00795177" w:rsidP="00DB4414">
      <w:pPr>
        <w:pStyle w:val="libFootnote0"/>
        <w:rPr>
          <w:rtl/>
          <w:lang w:bidi="fa-IR"/>
        </w:rPr>
      </w:pPr>
      <w:r>
        <w:rPr>
          <w:rtl/>
        </w:rPr>
        <w:t>(5).</w:t>
      </w:r>
      <w:r w:rsidR="0014403D">
        <w:rPr>
          <w:rtl/>
        </w:rPr>
        <w:t xml:space="preserve"> </w:t>
      </w:r>
      <w:r w:rsidR="00992664" w:rsidRPr="00DE76B9">
        <w:rPr>
          <w:rStyle w:val="libFootnoteBoldChar"/>
          <w:rtl/>
        </w:rPr>
        <w:t>قرب الإسناد</w:t>
      </w:r>
      <w:r w:rsidR="00992664" w:rsidRPr="00020424">
        <w:rPr>
          <w:rtl/>
        </w:rPr>
        <w:t xml:space="preserve"> ، ص 72 ، ح 234 ، عن هارون بن مسلم </w:t>
      </w:r>
      <w:r w:rsidR="00DB4414">
        <w:rPr>
          <w:rFonts w:hint="cs"/>
          <w:rtl/>
        </w:rPr>
        <w:t>.</w:t>
      </w:r>
      <w:r w:rsidR="00992664" w:rsidRPr="0012008A">
        <w:rPr>
          <w:rStyle w:val="libFootnoteBoldChar"/>
          <w:rtl/>
        </w:rPr>
        <w:t>الوافي</w:t>
      </w:r>
      <w:r w:rsidR="00992664" w:rsidRPr="00020424">
        <w:rPr>
          <w:rtl/>
        </w:rPr>
        <w:t xml:space="preserve"> ، ج 10 ، ص 483 ، ح 9939 ؛ </w:t>
      </w:r>
      <w:r w:rsidR="00992664" w:rsidRPr="0012008A">
        <w:rPr>
          <w:rStyle w:val="libFootnoteBoldChar"/>
          <w:rtl/>
        </w:rPr>
        <w:t>الوسائل</w:t>
      </w:r>
      <w:r w:rsidR="00992664" w:rsidRPr="00020424">
        <w:rPr>
          <w:rtl/>
        </w:rPr>
        <w:t xml:space="preserve"> ، ج 21 ، ص 546 ، ح 27827.</w:t>
      </w:r>
      <w:r w:rsidR="00DB4414">
        <w:rPr>
          <w:rFonts w:hint="cs"/>
          <w:rtl/>
        </w:rPr>
        <w:t xml:space="preserve">              </w:t>
      </w: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 عن أبيه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B4414" w:rsidTr="00DB4414">
        <w:tc>
          <w:tcPr>
            <w:tcW w:w="4006" w:type="dxa"/>
          </w:tcPr>
          <w:p w:rsidR="00DB4414" w:rsidRDefault="00DB4414" w:rsidP="00992664">
            <w:pPr>
              <w:pStyle w:val="libFootnote0"/>
              <w:rPr>
                <w:rtl/>
              </w:rPr>
            </w:pPr>
            <w:r>
              <w:rPr>
                <w:rtl/>
              </w:rPr>
              <w:t xml:space="preserve">(7). </w:t>
            </w:r>
            <w:r w:rsidRPr="00020424">
              <w:rPr>
                <w:rtl/>
              </w:rPr>
              <w:t>في « بك » :</w:t>
            </w:r>
            <w:r>
              <w:rPr>
                <w:rtl/>
              </w:rPr>
              <w:t xml:space="preserve"> - </w:t>
            </w:r>
            <w:r w:rsidRPr="00020424">
              <w:rPr>
                <w:rtl/>
              </w:rPr>
              <w:t>« الله عزّ وجلّ</w:t>
            </w:r>
            <w:r>
              <w:rPr>
                <w:rtl/>
              </w:rPr>
              <w:t xml:space="preserve"> ».</w:t>
            </w:r>
          </w:p>
        </w:tc>
        <w:tc>
          <w:tcPr>
            <w:tcW w:w="4006" w:type="dxa"/>
          </w:tcPr>
          <w:p w:rsidR="00DB4414" w:rsidRDefault="00DB4414" w:rsidP="00992664">
            <w:pPr>
              <w:pStyle w:val="libFootnote0"/>
              <w:rPr>
                <w:rtl/>
              </w:rPr>
            </w:pPr>
            <w:r>
              <w:rPr>
                <w:rtl/>
              </w:rPr>
              <w:t xml:space="preserve">(8). </w:t>
            </w:r>
            <w:r w:rsidRPr="00020424">
              <w:rPr>
                <w:rtl/>
              </w:rPr>
              <w:t>في « ى ، بر ، بف ، بك » : « أن لا يقتل</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61 ، ح 1709 ، مرسلاً من دون الإسناد إلى المعصوم </w:t>
      </w:r>
      <w:r w:rsidR="00992664" w:rsidRPr="00D64ADA">
        <w:rPr>
          <w:rStyle w:val="libFootnoteAlaemChar"/>
          <w:rtl/>
        </w:rPr>
        <w:t>عليه‌السلام</w:t>
      </w:r>
      <w:r w:rsidR="00992664" w:rsidRPr="00020424">
        <w:rPr>
          <w:rtl/>
        </w:rPr>
        <w:t xml:space="preserve"> </w:t>
      </w:r>
      <w:r w:rsidR="003F4BF0">
        <w:rPr>
          <w:rFonts w:hint="cs"/>
          <w:rtl/>
        </w:rPr>
        <w:t>.</w:t>
      </w:r>
      <w:r w:rsidR="00992664" w:rsidRPr="0012008A">
        <w:rPr>
          <w:rStyle w:val="libFootnoteBoldChar"/>
          <w:rtl/>
        </w:rPr>
        <w:t>الوافي</w:t>
      </w:r>
      <w:r w:rsidR="00992664" w:rsidRPr="00020424">
        <w:rPr>
          <w:rtl/>
        </w:rPr>
        <w:t xml:space="preserve"> ، ج 10 ، ص 483 ، ح 9940 ؛ </w:t>
      </w:r>
      <w:r w:rsidR="00992664" w:rsidRPr="0012008A">
        <w:rPr>
          <w:rStyle w:val="libFootnoteBoldChar"/>
          <w:rtl/>
        </w:rPr>
        <w:t>الوسائل</w:t>
      </w:r>
      <w:r w:rsidR="00992664" w:rsidRPr="00020424">
        <w:rPr>
          <w:rtl/>
        </w:rPr>
        <w:t xml:space="preserve"> ، ج 21 ، ص 546 ، ح 27826 ؛ </w:t>
      </w:r>
      <w:r w:rsidR="00992664" w:rsidRPr="0012008A">
        <w:rPr>
          <w:rStyle w:val="libFootnoteBoldChar"/>
          <w:rtl/>
        </w:rPr>
        <w:t>البحار</w:t>
      </w:r>
      <w:r w:rsidR="00992664" w:rsidRPr="00020424">
        <w:rPr>
          <w:rtl/>
        </w:rPr>
        <w:t xml:space="preserve"> ، ج 13 ، ص 230 ، ح 40.</w:t>
      </w:r>
    </w:p>
    <w:p w:rsidR="00795177" w:rsidRDefault="00795177" w:rsidP="00795177">
      <w:pPr>
        <w:pStyle w:val="libNormal"/>
        <w:rPr>
          <w:rtl/>
          <w:lang w:bidi="fa-IR"/>
        </w:rPr>
      </w:pPr>
      <w:r>
        <w:rPr>
          <w:rtl/>
          <w:lang w:bidi="fa-IR"/>
        </w:rPr>
        <w:br w:type="page"/>
      </w:r>
    </w:p>
    <w:p w:rsidR="00992664" w:rsidRPr="00020424" w:rsidRDefault="00992664" w:rsidP="003F4BF0">
      <w:pPr>
        <w:pStyle w:val="libNormal"/>
        <w:rPr>
          <w:rtl/>
          <w:lang w:bidi="fa-IR"/>
        </w:rPr>
      </w:pPr>
      <w:r w:rsidRPr="00020424">
        <w:rPr>
          <w:rtl/>
          <w:lang w:bidi="fa-IR"/>
        </w:rPr>
        <w:t xml:space="preserve">عَنْ أَبِي عَبْدِ اللهِ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قَالَ : « شَابٌّ سَخِيٌّ مُرَهَّقٌ </w:t>
      </w:r>
      <w:r w:rsidRPr="00A91B96">
        <w:rPr>
          <w:rStyle w:val="libFootnotenumChar"/>
          <w:rtl/>
        </w:rPr>
        <w:t>(2)</w:t>
      </w:r>
      <w:r w:rsidRPr="00020424">
        <w:rPr>
          <w:rtl/>
          <w:lang w:bidi="fa-IR"/>
        </w:rPr>
        <w:t xml:space="preserve"> فِي الذُّنُوبِ </w:t>
      </w:r>
      <w:r w:rsidRPr="00A91B96">
        <w:rPr>
          <w:rStyle w:val="libFootnotenumChar"/>
          <w:rtl/>
        </w:rPr>
        <w:t>(3)</w:t>
      </w:r>
      <w:r w:rsidRPr="00020424">
        <w:rPr>
          <w:rtl/>
          <w:lang w:bidi="fa-IR"/>
        </w:rPr>
        <w:t xml:space="preserve"> أَحَبُّ إِلَى اللهِ مِنْ شَيْخٍ عَابِدٍ بَخِيلٍ</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C9409F">
        <w:rPr>
          <w:rtl/>
        </w:rPr>
        <w:t>6160</w:t>
      </w:r>
      <w:r w:rsidRPr="001155DE">
        <w:rPr>
          <w:rStyle w:val="libBold2Char"/>
          <w:rtl/>
        </w:rPr>
        <w:t xml:space="preserve"> / 15.</w:t>
      </w:r>
      <w:r w:rsidRPr="00020424">
        <w:rPr>
          <w:rtl/>
          <w:lang w:bidi="fa-IR"/>
        </w:rPr>
        <w:t xml:space="preserve"> سَهْلُ بْنُ زِيَادٍ </w:t>
      </w:r>
      <w:r w:rsidRPr="00A91B96">
        <w:rPr>
          <w:rStyle w:val="libFootnotenumChar"/>
          <w:rtl/>
        </w:rPr>
        <w:t>(5)</w:t>
      </w:r>
      <w:r w:rsidRPr="00020424">
        <w:rPr>
          <w:rtl/>
          <w:lang w:bidi="fa-IR"/>
        </w:rPr>
        <w:t xml:space="preserve"> ، عَمَّنْ </w:t>
      </w:r>
      <w:r w:rsidRPr="00A91B96">
        <w:rPr>
          <w:rStyle w:val="libFootnotenumChar"/>
          <w:rtl/>
        </w:rPr>
        <w:t>(6)</w:t>
      </w:r>
      <w:r w:rsidRPr="00020424">
        <w:rPr>
          <w:rtl/>
          <w:lang w:bidi="fa-IR"/>
        </w:rPr>
        <w:t xml:space="preserve"> حَدَّثَهُ ، عَنْ جَمِيلِ بْنِ دَرَّاجٍ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خِيَارُكُمْ سُمَحَاؤُكُمْ ، وَشِرَارُكُمْ بُخَلَاؤُكُمْ ، وَمِنْ خَالِصِ الْإِيمَانِ </w:t>
      </w:r>
      <w:r w:rsidRPr="00A91B96">
        <w:rPr>
          <w:rStyle w:val="libFootnotenumChar"/>
          <w:rtl/>
        </w:rPr>
        <w:t>(7)</w:t>
      </w:r>
      <w:r w:rsidRPr="00020424">
        <w:rPr>
          <w:rtl/>
          <w:lang w:bidi="fa-IR"/>
        </w:rPr>
        <w:t xml:space="preserve"> الْبِرُّ بِالإِخْوَانِ ، وَالسَّعْيُ فِي حَوَائِجِهِمْ ؛ وَإِنَّ الْبَارَّ بِالإِخْوَانِ لَيُحِبُّهُ الرَّحْمنُ ، وَفِي ذلِكَ مَرْغَمَةٌ </w:t>
      </w:r>
      <w:r w:rsidRPr="00A91B96">
        <w:rPr>
          <w:rStyle w:val="libFootnotenumChar"/>
          <w:rtl/>
        </w:rPr>
        <w:t>(8)</w:t>
      </w:r>
      <w:r w:rsidRPr="00020424">
        <w:rPr>
          <w:rtl/>
          <w:lang w:bidi="fa-IR"/>
        </w:rPr>
        <w:t xml:space="preserve"> ‌</w:t>
      </w:r>
      <w:r w:rsidR="00BC72E7">
        <w:rPr>
          <w:rFonts w:hint="cs"/>
          <w:rtl/>
          <w:lang w:bidi="fa-IR"/>
        </w:rPr>
        <w:t>.</w:t>
      </w:r>
      <w:r w:rsidR="00A90FD5">
        <w:rPr>
          <w:rFonts w:hint="cs"/>
          <w:rtl/>
          <w:lang w:bidi="fa-IR"/>
        </w:rPr>
        <w:t>.............................</w:t>
      </w:r>
      <w:r w:rsidR="00BC72E7">
        <w:rPr>
          <w:rFonts w:hint="cs"/>
          <w:rtl/>
          <w:lang w:bidi="fa-IR"/>
        </w:rPr>
        <w:t>...........................</w:t>
      </w:r>
      <w:r w:rsidR="00BC72E7">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بر ، بخ ، بف » </w:t>
      </w:r>
      <w:r w:rsidR="00992664" w:rsidRPr="00515444">
        <w:rPr>
          <w:rStyle w:val="libFootnoteBoldChar"/>
          <w:rtl/>
        </w:rPr>
        <w:t>والوافي</w:t>
      </w:r>
      <w:r w:rsidR="00992664" w:rsidRPr="00020424">
        <w:rPr>
          <w:rtl/>
        </w:rPr>
        <w:t xml:space="preserve"> : « أبي جعفر</w:t>
      </w:r>
      <w:r w:rsidR="00992664">
        <w:rPr>
          <w:rtl/>
        </w:rPr>
        <w:t xml:space="preserve"> ».</w:t>
      </w:r>
    </w:p>
    <w:p w:rsidR="00992664" w:rsidRPr="00020424" w:rsidRDefault="00795177" w:rsidP="00EE79B4">
      <w:pPr>
        <w:pStyle w:val="libFootnote0"/>
        <w:rPr>
          <w:rtl/>
          <w:lang w:bidi="fa-IR"/>
        </w:rPr>
      </w:pPr>
      <w:r>
        <w:rPr>
          <w:rtl/>
        </w:rPr>
        <w:t>(2).</w:t>
      </w:r>
      <w:r w:rsidR="0014403D">
        <w:rPr>
          <w:rtl/>
        </w:rPr>
        <w:t xml:space="preserve"> </w:t>
      </w:r>
      <w:r w:rsidR="00992664" w:rsidRPr="00020424">
        <w:rPr>
          <w:rtl/>
        </w:rPr>
        <w:t xml:space="preserve">« مُرَهَّقٌ » أي ذورَهَق ، وهو غشيان وإتيان للمحارم من شرب الخمر ونحوه. والإفراط فيها. والمرهَّق أيضاً : المتّهم بالسوء والسفه ؛ يقال : رجل مُرَهَّق ، إذا كان يُظَنّ به السوء. راجع : </w:t>
      </w:r>
      <w:r w:rsidR="00992664" w:rsidRPr="0012008A">
        <w:rPr>
          <w:rStyle w:val="libFootnoteBoldChar"/>
          <w:rtl/>
        </w:rPr>
        <w:t>الصحاح</w:t>
      </w:r>
      <w:r w:rsidR="00992664" w:rsidRPr="00020424">
        <w:rPr>
          <w:rtl/>
        </w:rPr>
        <w:t xml:space="preserve"> ، ج 4 ، ص 1487 ؛ </w:t>
      </w:r>
      <w:r w:rsidR="00992664" w:rsidRPr="0012008A">
        <w:rPr>
          <w:rStyle w:val="libFootnoteBoldChar"/>
          <w:rtl/>
        </w:rPr>
        <w:t>النهاية</w:t>
      </w:r>
      <w:r w:rsidR="00992664" w:rsidRPr="00020424">
        <w:rPr>
          <w:rtl/>
        </w:rPr>
        <w:t xml:space="preserve"> ، ج 2 ، ص 284 ( رهق )</w:t>
      </w:r>
      <w:r w:rsidR="00992664">
        <w:rPr>
          <w:rtl/>
        </w:rPr>
        <w:t>.</w:t>
      </w:r>
      <w:r w:rsidR="00EE79B4">
        <w:rPr>
          <w:rFonts w:hint="cs"/>
          <w:rtl/>
        </w:rPr>
        <w:t xml:space="preserve">                                       </w:t>
      </w:r>
      <w:r>
        <w:rPr>
          <w:rtl/>
        </w:rPr>
        <w:t>(3).</w:t>
      </w:r>
      <w:r w:rsidR="0014403D">
        <w:rPr>
          <w:rtl/>
        </w:rPr>
        <w:t xml:space="preserve"> </w:t>
      </w:r>
      <w:r w:rsidR="00992664" w:rsidRPr="00020424">
        <w:rPr>
          <w:rtl/>
        </w:rPr>
        <w:t>في « جن » : « بالذنوب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61 ، ح 1707 ، مرسلاً من دون التصريح باسم المعصوم </w:t>
      </w:r>
      <w:r w:rsidR="00992664" w:rsidRPr="00D64ADA">
        <w:rPr>
          <w:rStyle w:val="libFootnoteAlaemChar"/>
          <w:rtl/>
        </w:rPr>
        <w:t>عليه‌السلام</w:t>
      </w:r>
      <w:r w:rsidR="00992664" w:rsidRPr="00020424">
        <w:rPr>
          <w:rtl/>
        </w:rPr>
        <w:t xml:space="preserve"> </w:t>
      </w:r>
      <w:r w:rsidR="00EE79B4">
        <w:rPr>
          <w:rFonts w:hint="cs"/>
          <w:rtl/>
        </w:rPr>
        <w:t>.</w:t>
      </w:r>
      <w:r w:rsidR="00992664" w:rsidRPr="0012008A">
        <w:rPr>
          <w:rStyle w:val="libFootnoteBoldChar"/>
          <w:rtl/>
        </w:rPr>
        <w:t>الوافي</w:t>
      </w:r>
      <w:r w:rsidR="00992664" w:rsidRPr="00020424">
        <w:rPr>
          <w:rtl/>
        </w:rPr>
        <w:t xml:space="preserve"> ، ج 10 ، ص 484 ، ح 9941 ؛ </w:t>
      </w:r>
      <w:r w:rsidR="00992664" w:rsidRPr="0012008A">
        <w:rPr>
          <w:rStyle w:val="libFootnoteBoldChar"/>
          <w:rtl/>
        </w:rPr>
        <w:t>الوسائل</w:t>
      </w:r>
      <w:r w:rsidR="00992664" w:rsidRPr="00020424">
        <w:rPr>
          <w:rtl/>
        </w:rPr>
        <w:t xml:space="preserve"> ، ج 21 ، ص 546 ، ح 27825.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سهل بن زياد ، عدّة من أصحابنا.</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ورد الخبر</w:t>
      </w:r>
      <w:r w:rsidR="00992664">
        <w:rPr>
          <w:rtl/>
        </w:rPr>
        <w:t xml:space="preserve"> </w:t>
      </w:r>
      <w:r w:rsidR="009B673F">
        <w:rPr>
          <w:rtl/>
        </w:rPr>
        <w:t>-</w:t>
      </w:r>
      <w:r w:rsidR="00992664">
        <w:rPr>
          <w:rtl/>
        </w:rPr>
        <w:t xml:space="preserve"> </w:t>
      </w:r>
      <w:r w:rsidR="00992664" w:rsidRPr="00020424">
        <w:rPr>
          <w:rtl/>
        </w:rPr>
        <w:t>باختلاف يسير</w:t>
      </w:r>
      <w:r w:rsidR="00992664">
        <w:rPr>
          <w:rtl/>
        </w:rPr>
        <w:t xml:space="preserve"> </w:t>
      </w:r>
      <w:r w:rsidR="009B673F">
        <w:rPr>
          <w:rtl/>
        </w:rPr>
        <w:t>-</w:t>
      </w:r>
      <w:r w:rsidR="00992664">
        <w:rPr>
          <w:rtl/>
        </w:rPr>
        <w:t xml:space="preserve"> </w:t>
      </w:r>
      <w:r w:rsidR="00992664" w:rsidRPr="00020424">
        <w:rPr>
          <w:rtl/>
        </w:rPr>
        <w:t xml:space="preserve">في </w:t>
      </w:r>
      <w:r w:rsidR="00992664" w:rsidRPr="006C7A1F">
        <w:rPr>
          <w:rStyle w:val="libFootnoteBoldChar"/>
          <w:rtl/>
        </w:rPr>
        <w:t>الأمالي للمفيد</w:t>
      </w:r>
      <w:r w:rsidR="00992664" w:rsidRPr="00020424">
        <w:rPr>
          <w:rtl/>
        </w:rPr>
        <w:t xml:space="preserve"> ، ص 291 ، المجلس 43 ، ح 9 ، بسنده ، وكذا في </w:t>
      </w:r>
      <w:r w:rsidR="00992664" w:rsidRPr="00757F3F">
        <w:rPr>
          <w:rStyle w:val="libFootnoteBoldChar"/>
          <w:rtl/>
        </w:rPr>
        <w:t>الأمالي للطوسي</w:t>
      </w:r>
      <w:r w:rsidR="00992664" w:rsidRPr="00020424">
        <w:rPr>
          <w:rtl/>
        </w:rPr>
        <w:t xml:space="preserve"> ، ص 68 ، المجلس 3 ، ح 7 بنفس سند المفيد عن أبي سعيد الآدمي</w:t>
      </w:r>
      <w:r w:rsidR="00992664">
        <w:rPr>
          <w:rtl/>
        </w:rPr>
        <w:t xml:space="preserve"> </w:t>
      </w:r>
      <w:r w:rsidR="009B673F">
        <w:rPr>
          <w:rtl/>
        </w:rPr>
        <w:t>-</w:t>
      </w:r>
      <w:r w:rsidR="00992664">
        <w:rPr>
          <w:rtl/>
        </w:rPr>
        <w:t xml:space="preserve"> </w:t>
      </w:r>
      <w:r w:rsidR="00992664" w:rsidRPr="00020424">
        <w:rPr>
          <w:rtl/>
        </w:rPr>
        <w:t>وهو سهل بن زياد</w:t>
      </w:r>
      <w:r w:rsidR="00992664">
        <w:rPr>
          <w:rtl/>
        </w:rPr>
        <w:t xml:space="preserve"> </w:t>
      </w:r>
      <w:r w:rsidR="009B673F">
        <w:rPr>
          <w:rtl/>
        </w:rPr>
        <w:t>-</w:t>
      </w:r>
      <w:r w:rsidR="00992664">
        <w:rPr>
          <w:rtl/>
        </w:rPr>
        <w:t xml:space="preserve"> </w:t>
      </w:r>
      <w:r w:rsidR="00992664" w:rsidRPr="00020424">
        <w:rPr>
          <w:rtl/>
        </w:rPr>
        <w:t xml:space="preserve">قال : حدّثني عمر بن عبد العزيز المعروف بزُحَل عن جميل بن درّاج. وقد روى عمر بن عبد العزيز عن جميل [ بن درّاج ] في أسناد الكتب الأربعة وغيرها ، منها ما ورد في </w:t>
      </w:r>
      <w:r w:rsidR="00992664" w:rsidRPr="00DE76B9">
        <w:rPr>
          <w:rStyle w:val="libFootnoteBoldChar"/>
          <w:rtl/>
        </w:rPr>
        <w:t>رجال الكشّي</w:t>
      </w:r>
      <w:r w:rsidR="00992664" w:rsidRPr="00020424">
        <w:rPr>
          <w:rtl/>
        </w:rPr>
        <w:t xml:space="preserve"> ، ص 14 ، الرقم 113 من رواية أحمد بن محمّد بن عيسى ، عن زحل عمر بن عبد العزيز ، عن جميل بن درّاج. راجع : </w:t>
      </w:r>
      <w:r w:rsidR="00992664" w:rsidRPr="00DE76B9">
        <w:rPr>
          <w:rStyle w:val="libFootnoteBoldChar"/>
          <w:rtl/>
        </w:rPr>
        <w:t>معجم رجال الحديث</w:t>
      </w:r>
      <w:r w:rsidR="00992664" w:rsidRPr="00020424">
        <w:rPr>
          <w:rtl/>
        </w:rPr>
        <w:t xml:space="preserve"> ، ج 13 ، ص 376</w:t>
      </w:r>
      <w:r w:rsidR="00992664">
        <w:rPr>
          <w:rtl/>
        </w:rPr>
        <w:t xml:space="preserve"> </w:t>
      </w:r>
      <w:r w:rsidR="009B673F">
        <w:rPr>
          <w:rtl/>
        </w:rPr>
        <w:t>-</w:t>
      </w:r>
      <w:r w:rsidR="00992664">
        <w:rPr>
          <w:rtl/>
        </w:rPr>
        <w:t xml:space="preserve"> </w:t>
      </w:r>
      <w:r w:rsidR="00992664" w:rsidRPr="00020424">
        <w:rPr>
          <w:rtl/>
        </w:rPr>
        <w:t xml:space="preserve">377. هذا ، وقد ورد الخبر في </w:t>
      </w:r>
      <w:r w:rsidR="00992664" w:rsidRPr="00A722B1">
        <w:rPr>
          <w:rStyle w:val="libFootnoteBoldChar"/>
          <w:rtl/>
        </w:rPr>
        <w:t>الخصال</w:t>
      </w:r>
      <w:r w:rsidR="00992664" w:rsidRPr="00020424">
        <w:rPr>
          <w:rtl/>
        </w:rPr>
        <w:t xml:space="preserve"> ، ص 96 ، ح 42 ، بسنده عن سهل بن زياد الآدمي ، قال : حدّثني رجل وعمر بن عبد العزيز عن جميل بن درّاج. لكن في بعض </w:t>
      </w:r>
      <w:r w:rsidR="00992664" w:rsidRPr="00ED442F">
        <w:rPr>
          <w:rtl/>
        </w:rPr>
        <w:t>مخطوطات</w:t>
      </w:r>
      <w:r w:rsidR="00992664" w:rsidRPr="00020424">
        <w:rPr>
          <w:rtl/>
        </w:rPr>
        <w:t xml:space="preserve"> </w:t>
      </w:r>
      <w:r w:rsidR="00992664" w:rsidRPr="00A722B1">
        <w:rPr>
          <w:rStyle w:val="libFootnoteBoldChar"/>
          <w:rtl/>
        </w:rPr>
        <w:t>الخصال</w:t>
      </w:r>
      <w:r w:rsidR="00992664" w:rsidRPr="00020424">
        <w:rPr>
          <w:rtl/>
        </w:rPr>
        <w:t xml:space="preserve"> : « زحل عمر بن عبد العزيز » وهو الظاهر.</w:t>
      </w:r>
    </w:p>
    <w:p w:rsidR="00992664" w:rsidRPr="00020424" w:rsidRDefault="00992664" w:rsidP="00EE79B4">
      <w:pPr>
        <w:pStyle w:val="libFootnote0"/>
        <w:rPr>
          <w:rtl/>
          <w:lang w:bidi="fa-IR"/>
        </w:rPr>
      </w:pPr>
      <w:r w:rsidRPr="00EE79B4">
        <w:rPr>
          <w:rtl/>
        </w:rPr>
        <w:t>إذا تبيّن هذا ، فنقول : قال الا</w:t>
      </w:r>
      <w:r w:rsidR="00EE79B4">
        <w:rPr>
          <w:rFonts w:hint="cs"/>
          <w:rtl/>
        </w:rPr>
        <w:t>ُ</w:t>
      </w:r>
      <w:r w:rsidRPr="00EE79B4">
        <w:rPr>
          <w:rtl/>
        </w:rPr>
        <w:t xml:space="preserve">ستاد السيّد محمّد الجواد الشبيري </w:t>
      </w:r>
      <w:r w:rsidR="009B673F" w:rsidRPr="00EE79B4">
        <w:rPr>
          <w:rtl/>
        </w:rPr>
        <w:t>-</w:t>
      </w:r>
      <w:r w:rsidRPr="00EE79B4">
        <w:rPr>
          <w:rtl/>
        </w:rPr>
        <w:t xml:space="preserve"> دام توفيقه </w:t>
      </w:r>
      <w:r w:rsidR="009B673F" w:rsidRPr="00EE79B4">
        <w:rPr>
          <w:rtl/>
        </w:rPr>
        <w:t>-</w:t>
      </w:r>
      <w:r w:rsidRPr="00EE79B4">
        <w:rPr>
          <w:rtl/>
        </w:rPr>
        <w:t xml:space="preserve"> في تعليقته على السند حول تعبير « عمّن حدّثه » : « لعلّ في أصل مصدر المصنّف كان « زحل » ثمّ صحّف ب</w:t>
      </w:r>
      <w:r w:rsidR="00EE79B4">
        <w:rPr>
          <w:rFonts w:hint="cs"/>
          <w:rtl/>
        </w:rPr>
        <w:t>ـ</w:t>
      </w:r>
      <w:r w:rsidRPr="00EE79B4">
        <w:rPr>
          <w:rtl/>
        </w:rPr>
        <w:t xml:space="preserve"> « رجل » فعبّر المصنّف بدله بقوله : « عمّن حدّثه » ويمكن أن يكون في منبع </w:t>
      </w:r>
      <w:r w:rsidRPr="00DE76B9">
        <w:rPr>
          <w:rStyle w:val="libFootnoteBoldChar"/>
          <w:rtl/>
        </w:rPr>
        <w:t>الكافي</w:t>
      </w:r>
      <w:r w:rsidRPr="00DE76B9">
        <w:rPr>
          <w:rStyle w:val="libFootnoteBoldChar"/>
          <w:rFonts w:hint="cs"/>
          <w:rtl/>
        </w:rPr>
        <w:t xml:space="preserve"> </w:t>
      </w:r>
      <w:r w:rsidRPr="00ED442F">
        <w:rPr>
          <w:rtl/>
        </w:rPr>
        <w:t>‌نظير</w:t>
      </w:r>
      <w:r w:rsidRPr="00EE79B4">
        <w:rPr>
          <w:rtl/>
        </w:rPr>
        <w:t xml:space="preserve"> ما في مطبوعة </w:t>
      </w:r>
      <w:r w:rsidRPr="00A722B1">
        <w:rPr>
          <w:rStyle w:val="libFootnoteBoldChar"/>
          <w:rtl/>
        </w:rPr>
        <w:t>الخصال</w:t>
      </w:r>
      <w:r w:rsidRPr="00EE79B4">
        <w:rPr>
          <w:rtl/>
        </w:rPr>
        <w:t xml:space="preserve"> ، فعبّر المصنّف بدله بقوله : « عمّن حدّثه والله أعلم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0956F6">
        <w:rPr>
          <w:rtl/>
        </w:rPr>
        <w:t>الخصال والأمالي للمفيد والأمالي للطوسي</w:t>
      </w:r>
      <w:r w:rsidR="00992664" w:rsidRPr="00020424">
        <w:rPr>
          <w:rtl/>
        </w:rPr>
        <w:t xml:space="preserve"> : « صالح الأعمال » بدل « خالص الإيمان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المرغمة » ، بفتح الميم مصدر ، أو بكسرها اسم آلة من الرَّغام وهو التراب ؛ يقال : رَغِمَ ورَغَمَ أنفُه ، أي </w:t>
      </w:r>
      <w:r w:rsidR="0011710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لِلشَّيْطَانِ </w:t>
      </w:r>
      <w:r w:rsidRPr="00A91B96">
        <w:rPr>
          <w:rStyle w:val="libFootnotenumChar"/>
          <w:rtl/>
        </w:rPr>
        <w:t>(1)</w:t>
      </w:r>
      <w:r w:rsidRPr="00020424">
        <w:rPr>
          <w:rtl/>
          <w:lang w:bidi="fa-IR"/>
        </w:rPr>
        <w:t xml:space="preserve"> ، وَتَزَحْزُحٌ </w:t>
      </w:r>
      <w:r w:rsidRPr="00A91B96">
        <w:rPr>
          <w:rStyle w:val="libFootnotenumChar"/>
          <w:rtl/>
        </w:rPr>
        <w:t>(2)</w:t>
      </w:r>
      <w:r w:rsidRPr="00020424">
        <w:rPr>
          <w:rtl/>
          <w:lang w:bidi="fa-IR"/>
        </w:rPr>
        <w:t xml:space="preserve"> عَنِ </w:t>
      </w:r>
      <w:r w:rsidRPr="00A91B96">
        <w:rPr>
          <w:rStyle w:val="libFootnotenumChar"/>
          <w:rtl/>
        </w:rPr>
        <w:t>(3)</w:t>
      </w:r>
      <w:r w:rsidRPr="00020424">
        <w:rPr>
          <w:rtl/>
          <w:lang w:bidi="fa-IR"/>
        </w:rPr>
        <w:t xml:space="preserve"> النِّيرَانِ ، وَدُخُولُ الْجِنَانِ. يَا جَمِيلُ ، أَخْبِرْ بِهذَا غُرَرَ </w:t>
      </w:r>
      <w:r w:rsidRPr="00A91B96">
        <w:rPr>
          <w:rStyle w:val="libFootnotenumChar"/>
          <w:rtl/>
        </w:rPr>
        <w:t>(4)</w:t>
      </w:r>
      <w:r w:rsidRPr="00020424">
        <w:rPr>
          <w:rtl/>
          <w:lang w:bidi="fa-IR"/>
        </w:rPr>
        <w:t xml:space="preserve"> أَصْحَابِكَ</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جُعِلْتُ فِدَاكَ ، مَنْ غُرَرُ </w:t>
      </w:r>
      <w:r w:rsidRPr="00A91B96">
        <w:rPr>
          <w:rStyle w:val="libFootnotenumChar"/>
          <w:rtl/>
        </w:rPr>
        <w:t>(5)</w:t>
      </w:r>
      <w:r w:rsidRPr="00020424">
        <w:rPr>
          <w:rtl/>
          <w:lang w:bidi="fa-IR"/>
        </w:rPr>
        <w:t xml:space="preserve"> أَصْحَابِي </w:t>
      </w:r>
      <w:r w:rsidRPr="00A91B96">
        <w:rPr>
          <w:rStyle w:val="libFootnotenumChar"/>
          <w:rtl/>
        </w:rPr>
        <w:t>(6)</w:t>
      </w:r>
      <w:r>
        <w:rPr>
          <w:rtl/>
          <w:lang w:bidi="fa-IR"/>
        </w:rPr>
        <w:t>؟</w:t>
      </w:r>
    </w:p>
    <w:p w:rsidR="00992664" w:rsidRPr="00020424" w:rsidRDefault="00992664" w:rsidP="00992664">
      <w:pPr>
        <w:pStyle w:val="libNormal"/>
        <w:rPr>
          <w:rtl/>
          <w:lang w:bidi="fa-IR"/>
        </w:rPr>
      </w:pPr>
      <w:r w:rsidRPr="00020424">
        <w:rPr>
          <w:rtl/>
          <w:lang w:bidi="fa-IR"/>
        </w:rPr>
        <w:t>قَالَ : « هُمُ الْبَارُّونَ بِالإِخْوَانِ فِي الْعُسْرِ وَالْيُسْرِ</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يَا جَمِيلُ ، أَمَا إِنَّ صَاحِبَ الْكَثِيرِ يَهُونُ عَلَيْهِ ذلِكَ </w:t>
      </w:r>
      <w:r w:rsidRPr="00A91B96">
        <w:rPr>
          <w:rStyle w:val="libFootnotenumChar"/>
          <w:rtl/>
        </w:rPr>
        <w:t>(7)</w:t>
      </w:r>
      <w:r w:rsidRPr="00020424">
        <w:rPr>
          <w:rtl/>
          <w:lang w:bidi="fa-IR"/>
        </w:rPr>
        <w:t xml:space="preserve"> ، وَقَدْ مَدَحَ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فِي ذلِكَ صَاحِبَ الْقَلِيلِ ، فَقَالَ فِي كِتَابِهِ : </w:t>
      </w:r>
      <w:r w:rsidRPr="00005A81">
        <w:rPr>
          <w:rStyle w:val="libAlaemChar"/>
          <w:rtl/>
        </w:rPr>
        <w:t>(</w:t>
      </w:r>
      <w:r w:rsidRPr="004E5AB4">
        <w:rPr>
          <w:rStyle w:val="libAieChar"/>
          <w:rtl/>
        </w:rPr>
        <w:t xml:space="preserve"> وَيُؤْثِرُونَ </w:t>
      </w:r>
      <w:r w:rsidRPr="00A91B96">
        <w:rPr>
          <w:rStyle w:val="libFootnotenumChar"/>
          <w:rtl/>
        </w:rPr>
        <w:t>(8)</w:t>
      </w:r>
      <w:r w:rsidRPr="004E5AB4">
        <w:rPr>
          <w:rStyle w:val="libAieChar"/>
          <w:rtl/>
        </w:rPr>
        <w:t xml:space="preserve"> عَلى أَنْفُسِهِمْ وَلَوْ كانَ بِهِمْ خَصاصَةٌ وَمَنْ يُوقَ شُحَّ نَفْسِهِ فَأُولئِكَ هُمُ الْمُفْلِحُونَ </w:t>
      </w:r>
      <w:r w:rsidRPr="00005A81">
        <w:rPr>
          <w:rStyle w:val="libAlaemChar"/>
          <w:rtl/>
        </w:rPr>
        <w:t>)</w:t>
      </w:r>
      <w:r w:rsidRPr="00020424">
        <w:rPr>
          <w:rtl/>
          <w:lang w:bidi="fa-IR"/>
        </w:rPr>
        <w:t xml:space="preserve">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8B49BD" w:rsidP="00992664">
      <w:pPr>
        <w:pStyle w:val="libFootnote0"/>
        <w:rPr>
          <w:rtl/>
          <w:lang w:bidi="fa-IR"/>
        </w:rPr>
      </w:pPr>
      <w:r>
        <w:rPr>
          <w:rFonts w:hint="cs"/>
          <w:rtl/>
        </w:rPr>
        <w:t xml:space="preserve">= </w:t>
      </w:r>
      <w:r w:rsidR="00992664" w:rsidRPr="00020424">
        <w:rPr>
          <w:rtl/>
        </w:rPr>
        <w:t xml:space="preserve">لصق بالرغام ، وأرغم الله أنفَه ، أي ألصقه بالرغام. هذا هو الأصل ، ثمّ استعمل في الذلّ والعجز عن الانتصاف ، والانقياد على كره. راجع : </w:t>
      </w:r>
      <w:r w:rsidR="00992664" w:rsidRPr="0012008A">
        <w:rPr>
          <w:rStyle w:val="libFootnoteBoldChar"/>
          <w:rtl/>
        </w:rPr>
        <w:t>النهاية</w:t>
      </w:r>
      <w:r w:rsidR="00992664" w:rsidRPr="00020424">
        <w:rPr>
          <w:rtl/>
        </w:rPr>
        <w:t xml:space="preserve"> ، ج 2 ، ص 238 ؛ </w:t>
      </w:r>
      <w:r w:rsidR="00992664" w:rsidRPr="00A722B1">
        <w:rPr>
          <w:rStyle w:val="libFootnoteBoldChar"/>
          <w:rtl/>
        </w:rPr>
        <w:t>لسان العرب</w:t>
      </w:r>
      <w:r w:rsidR="00992664" w:rsidRPr="00020424">
        <w:rPr>
          <w:rtl/>
        </w:rPr>
        <w:t xml:space="preserve"> ، ج 12 ، ص 245</w:t>
      </w:r>
      <w:r w:rsidR="00992664">
        <w:rPr>
          <w:rtl/>
        </w:rPr>
        <w:t xml:space="preserve"> </w:t>
      </w:r>
      <w:r w:rsidR="009B673F">
        <w:rPr>
          <w:rtl/>
        </w:rPr>
        <w:t>-</w:t>
      </w:r>
      <w:r w:rsidR="00992664">
        <w:rPr>
          <w:rtl/>
        </w:rPr>
        <w:t xml:space="preserve"> </w:t>
      </w:r>
      <w:r w:rsidR="00992664" w:rsidRPr="00020424">
        <w:rPr>
          <w:rtl/>
        </w:rPr>
        <w:t>246 ( رغم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الشيطان</w:t>
      </w:r>
      <w:r w:rsidR="00992664">
        <w:rPr>
          <w:rtl/>
        </w:rPr>
        <w:t xml:space="preserve"> ».</w:t>
      </w:r>
      <w:r w:rsidR="00992664" w:rsidRPr="00020424">
        <w:rPr>
          <w:rtl/>
        </w:rPr>
        <w:t xml:space="preserve"> وفي حاشية « بح » </w:t>
      </w:r>
      <w:r w:rsidR="00992664" w:rsidRPr="00FD6221">
        <w:rPr>
          <w:rStyle w:val="libFootnoteBoldChar"/>
          <w:rtl/>
        </w:rPr>
        <w:t>والفقيه</w:t>
      </w:r>
      <w:r w:rsidR="00992664" w:rsidRPr="00020424">
        <w:rPr>
          <w:rtl/>
        </w:rPr>
        <w:t xml:space="preserve"> : « لشيطان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التزحزح : التباعد والتنحّي ؛ يقال : زحزحه عن كذا ، أي باعدته عنه ونحّيته ، فتزحزح ، أي تباعد وتنحّى. راجع : </w:t>
      </w:r>
      <w:r w:rsidR="00992664" w:rsidRPr="0012008A">
        <w:rPr>
          <w:rStyle w:val="libFootnoteBoldChar"/>
          <w:rtl/>
        </w:rPr>
        <w:t>الصحاح</w:t>
      </w:r>
      <w:r w:rsidR="00992664" w:rsidRPr="00020424">
        <w:rPr>
          <w:rtl/>
        </w:rPr>
        <w:t xml:space="preserve"> ، ج 2 ، ص 371 ؛ </w:t>
      </w:r>
      <w:r w:rsidR="00992664" w:rsidRPr="0012008A">
        <w:rPr>
          <w:rStyle w:val="libFootnoteBoldChar"/>
          <w:rtl/>
        </w:rPr>
        <w:t>النهاية</w:t>
      </w:r>
      <w:r w:rsidR="00992664" w:rsidRPr="00020424">
        <w:rPr>
          <w:rtl/>
        </w:rPr>
        <w:t xml:space="preserve"> ، ج 2 ، ص 297 ( زحح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بف ، بك » : « من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الغُرَر » : جمع الأغرّ ، وهو الشريف وكريم الأفعال واضحُها. راجع : </w:t>
      </w:r>
      <w:r w:rsidR="00992664" w:rsidRPr="00A722B1">
        <w:rPr>
          <w:rStyle w:val="libFootnoteBoldChar"/>
          <w:rtl/>
        </w:rPr>
        <w:t>لسان العرب</w:t>
      </w:r>
      <w:r w:rsidR="00992664" w:rsidRPr="00020424">
        <w:rPr>
          <w:rtl/>
        </w:rPr>
        <w:t xml:space="preserve"> ، ج 5 ، ص 14 ؛ </w:t>
      </w:r>
      <w:r w:rsidR="00992664" w:rsidRPr="00A722B1">
        <w:rPr>
          <w:rStyle w:val="libFootnoteBoldChar"/>
          <w:rtl/>
        </w:rPr>
        <w:t>القاموس المحيط</w:t>
      </w:r>
      <w:r w:rsidR="00992664" w:rsidRPr="00020424">
        <w:rPr>
          <w:rtl/>
        </w:rPr>
        <w:t xml:space="preserve"> ، ج 1 ، ص 627 ( غرر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 بعض النسخ : العزاز</w:t>
      </w:r>
      <w:r w:rsidR="00992664">
        <w:rPr>
          <w:rtl/>
        </w:rPr>
        <w:t xml:space="preserve"> </w:t>
      </w:r>
      <w:r w:rsidR="009B673F">
        <w:rPr>
          <w:rtl/>
        </w:rPr>
        <w:t>-</w:t>
      </w:r>
      <w:r w:rsidR="00992664">
        <w:rPr>
          <w:rtl/>
        </w:rPr>
        <w:t xml:space="preserve"> </w:t>
      </w:r>
      <w:r w:rsidR="00992664" w:rsidRPr="00020424">
        <w:rPr>
          <w:rtl/>
        </w:rPr>
        <w:t>في الموضعين</w:t>
      </w:r>
      <w:r w:rsidR="00992664">
        <w:rPr>
          <w:rtl/>
        </w:rPr>
        <w:t xml:space="preserve"> </w:t>
      </w:r>
      <w:r w:rsidR="009B673F">
        <w:rPr>
          <w:rtl/>
        </w:rPr>
        <w:t>-</w:t>
      </w:r>
      <w:r w:rsidR="00992664">
        <w:rPr>
          <w:rtl/>
        </w:rPr>
        <w:t xml:space="preserve"> </w:t>
      </w:r>
      <w:r w:rsidR="00992664" w:rsidRPr="00020424">
        <w:rPr>
          <w:rtl/>
        </w:rPr>
        <w:t>بالعين المهملة والمعجمتين : جمع العزيز</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 « أصحابك</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بك » : « ذلك عليه</w:t>
      </w:r>
      <w:r w:rsidR="00992664">
        <w:rPr>
          <w:rtl/>
        </w:rPr>
        <w:t xml:space="preserve"> ».</w:t>
      </w:r>
    </w:p>
    <w:p w:rsidR="00992664" w:rsidRPr="00020424" w:rsidRDefault="00795177" w:rsidP="00E44C88">
      <w:pPr>
        <w:pStyle w:val="libFootnote0"/>
        <w:rPr>
          <w:rtl/>
          <w:lang w:bidi="fa-IR"/>
        </w:rPr>
      </w:pPr>
      <w:r>
        <w:rPr>
          <w:rtl/>
        </w:rPr>
        <w:t>(8).</w:t>
      </w:r>
      <w:r w:rsidR="0014403D">
        <w:rPr>
          <w:rtl/>
        </w:rPr>
        <w:t xml:space="preserve"> </w:t>
      </w:r>
      <w:r w:rsidR="00992664" w:rsidRPr="00020424">
        <w:rPr>
          <w:rtl/>
        </w:rPr>
        <w:t xml:space="preserve">هكذا في المصحف وجميع النسخ التي قوبلت </w:t>
      </w:r>
      <w:r w:rsidR="00992664" w:rsidRPr="00A90FD5">
        <w:rPr>
          <w:rtl/>
        </w:rPr>
        <w:t>والوافي والفقيه والخصال والأمالي للمفيد والأمالي‌للطوسي</w:t>
      </w:r>
      <w:r w:rsidR="00992664" w:rsidRPr="00020424">
        <w:rPr>
          <w:rtl/>
        </w:rPr>
        <w:t xml:space="preserve"> ، ص 68. وفي المطبوع : </w:t>
      </w:r>
      <w:r w:rsidR="00E44C88" w:rsidRPr="00E44C88">
        <w:rPr>
          <w:rStyle w:val="libFootnoteAlaemChar"/>
          <w:rFonts w:hint="cs"/>
          <w:rtl/>
        </w:rPr>
        <w:t>(</w:t>
      </w:r>
      <w:r w:rsidR="00992664" w:rsidRPr="00E44C88">
        <w:rPr>
          <w:rStyle w:val="libFootnoteAieChar"/>
          <w:rtl/>
        </w:rPr>
        <w:t xml:space="preserve"> يُؤْثِرُونَ</w:t>
      </w:r>
      <w:r w:rsidR="00992664" w:rsidRPr="00020424">
        <w:rPr>
          <w:rtl/>
        </w:rPr>
        <w:t xml:space="preserve"> </w:t>
      </w:r>
      <w:r w:rsidR="00E44C88" w:rsidRPr="00E44C88">
        <w:rPr>
          <w:rStyle w:val="libFootnoteAlaemChar"/>
          <w:rFonts w:hint="cs"/>
          <w:rtl/>
        </w:rPr>
        <w:t>)</w:t>
      </w:r>
      <w:r w:rsidR="00992664" w:rsidRPr="00020424">
        <w:rPr>
          <w:rtl/>
        </w:rPr>
        <w:t xml:space="preserve"> بدون الواو.</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الحشر (59) : 9.</w:t>
      </w:r>
    </w:p>
    <w:p w:rsidR="00992664" w:rsidRPr="00020424" w:rsidRDefault="00795177" w:rsidP="00992664">
      <w:pPr>
        <w:pStyle w:val="libFootnote0"/>
        <w:rPr>
          <w:rtl/>
          <w:lang w:bidi="fa-IR"/>
        </w:rPr>
      </w:pPr>
      <w:r>
        <w:rPr>
          <w:rtl/>
        </w:rPr>
        <w:t>(10).</w:t>
      </w:r>
      <w:r w:rsidR="0014403D">
        <w:rPr>
          <w:rtl/>
        </w:rPr>
        <w:t xml:space="preserve"> </w:t>
      </w:r>
      <w:r w:rsidR="00992664" w:rsidRPr="00A722B1">
        <w:rPr>
          <w:rStyle w:val="libFootnoteBoldChar"/>
          <w:rtl/>
        </w:rPr>
        <w:t>الخصال</w:t>
      </w:r>
      <w:r w:rsidR="00992664" w:rsidRPr="00020424">
        <w:rPr>
          <w:rtl/>
        </w:rPr>
        <w:t xml:space="preserve"> ، ص 96 ، باب الثلاثة ، ح 42 ، بسنده عن محمّد بن يحيى العطّار ، عن سهل بن زياد الآدمي ، عن رجل وعمر بن عبدالعزيز ، عن جميل بن درّاج. وفي </w:t>
      </w:r>
      <w:r w:rsidR="00992664" w:rsidRPr="006C7A1F">
        <w:rPr>
          <w:rStyle w:val="libFootnoteBoldChar"/>
          <w:rtl/>
        </w:rPr>
        <w:t>الأمالي للمفيد</w:t>
      </w:r>
      <w:r w:rsidR="00992664" w:rsidRPr="00020424">
        <w:rPr>
          <w:rtl/>
        </w:rPr>
        <w:t xml:space="preserve"> ، ص 291 ، المجلس 34 ، ح 9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68 ، المجلس 3 ، ح 7 ، بسندهما عن أبي سعيد الآدمي ، عن عمر بن عبدالعزيز المعروف بزحل ، عن جميل بن درّاج. </w:t>
      </w:r>
      <w:r w:rsidR="00992664" w:rsidRPr="00DE76B9">
        <w:rPr>
          <w:rStyle w:val="libFootnoteBoldChar"/>
          <w:rtl/>
        </w:rPr>
        <w:t>وفيه</w:t>
      </w:r>
      <w:r w:rsidR="00992664" w:rsidRPr="00020424">
        <w:rPr>
          <w:rtl/>
        </w:rPr>
        <w:t xml:space="preserve"> ، ص 633 ، المجلس 31 ، ح 8 ، بسنده عن جميل بن درّاج ، إلى قوله : « إنّ البارّ بالإخوان ليحبّه الرحمن</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61 ، ح 1707 ، مرسلاً </w:t>
      </w:r>
      <w:r w:rsidR="00743A32">
        <w:rPr>
          <w:rFonts w:hint="cs"/>
          <w:rtl/>
        </w:rPr>
        <w:t>.</w:t>
      </w:r>
      <w:r w:rsidR="00992664" w:rsidRPr="0012008A">
        <w:rPr>
          <w:rStyle w:val="libFootnoteBoldChar"/>
          <w:rtl/>
        </w:rPr>
        <w:t>الوافي</w:t>
      </w:r>
      <w:r w:rsidR="00992664" w:rsidRPr="00020424">
        <w:rPr>
          <w:rtl/>
        </w:rPr>
        <w:t xml:space="preserve"> ، ج 10 ، ص 484 ، ح 9942 ؛ </w:t>
      </w:r>
      <w:r w:rsidR="00992664" w:rsidRPr="0012008A">
        <w:rPr>
          <w:rStyle w:val="libFootnoteBoldChar"/>
          <w:rtl/>
        </w:rPr>
        <w:t>الوسائل</w:t>
      </w:r>
      <w:r w:rsidR="00992664" w:rsidRPr="00020424">
        <w:rPr>
          <w:rtl/>
        </w:rPr>
        <w:t xml:space="preserve"> ، ج 9 ، ص 429 ، ذيل ح 12408 ؛ وص 475 ، ذيل ح 12530.</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62" w:name="_Toc345172804"/>
      <w:bookmarkStart w:id="263" w:name="_Toc464562620"/>
      <w:bookmarkStart w:id="264" w:name="_Toc44599923"/>
      <w:r w:rsidRPr="00020424">
        <w:rPr>
          <w:rtl/>
          <w:lang w:bidi="fa-IR"/>
        </w:rPr>
        <w:t>82</w:t>
      </w:r>
      <w:r>
        <w:rPr>
          <w:rtl/>
          <w:lang w:bidi="fa-IR"/>
        </w:rPr>
        <w:t xml:space="preserve"> </w:t>
      </w:r>
      <w:r w:rsidR="009B673F">
        <w:rPr>
          <w:rtl/>
          <w:lang w:bidi="fa-IR"/>
        </w:rPr>
        <w:t>-</w:t>
      </w:r>
      <w:r>
        <w:rPr>
          <w:rtl/>
          <w:lang w:bidi="fa-IR"/>
        </w:rPr>
        <w:t xml:space="preserve"> </w:t>
      </w:r>
      <w:r w:rsidRPr="00020424">
        <w:rPr>
          <w:rtl/>
          <w:lang w:bidi="fa-IR"/>
        </w:rPr>
        <w:t>بَابُ الْإِنْفَاقِ‌</w:t>
      </w:r>
      <w:bookmarkEnd w:id="262"/>
      <w:bookmarkEnd w:id="263"/>
      <w:bookmarkEnd w:id="264"/>
    </w:p>
    <w:p w:rsidR="00992664" w:rsidRPr="00020424" w:rsidRDefault="00992664" w:rsidP="00992664">
      <w:pPr>
        <w:pStyle w:val="libNormal"/>
        <w:rPr>
          <w:rtl/>
          <w:lang w:bidi="fa-IR"/>
        </w:rPr>
      </w:pPr>
      <w:r w:rsidRPr="00044EF9">
        <w:rPr>
          <w:rtl/>
        </w:rPr>
        <w:t>6161</w:t>
      </w:r>
      <w:r w:rsidRPr="001155DE">
        <w:rPr>
          <w:rStyle w:val="libBold2Char"/>
          <w:rtl/>
        </w:rPr>
        <w:t xml:space="preserve"> / 1.</w:t>
      </w:r>
      <w:r w:rsidRPr="00020424">
        <w:rPr>
          <w:rtl/>
          <w:lang w:bidi="fa-IR"/>
        </w:rPr>
        <w:t xml:space="preserve"> عِدَّةٌ مِنْ أَصْحَابِنَا ، عَنْ أَحْمَدَ بْنِ مُحَمَّدِ بْنِ عِيسى وَأَحْمَدَ بْنِ مُحَمَّدِ بْنِ </w:t>
      </w:r>
      <w:r w:rsidRPr="00A91B96">
        <w:rPr>
          <w:rStyle w:val="libFootnotenumChar"/>
          <w:rtl/>
        </w:rPr>
        <w:t>(1)</w:t>
      </w:r>
      <w:r w:rsidRPr="00020424">
        <w:rPr>
          <w:rtl/>
          <w:lang w:bidi="fa-IR"/>
        </w:rPr>
        <w:t xml:space="preserve"> خَالِدٍ جَمِيعاً ، عَنِ الْحَسَنِ </w:t>
      </w:r>
      <w:r w:rsidRPr="00A91B96">
        <w:rPr>
          <w:rStyle w:val="libFootnotenumChar"/>
          <w:rtl/>
        </w:rPr>
        <w:t>(2)</w:t>
      </w:r>
      <w:r w:rsidRPr="00020424">
        <w:rPr>
          <w:rtl/>
          <w:lang w:bidi="fa-IR"/>
        </w:rPr>
        <w:t xml:space="preserve"> بْنِ مَحْبُوبٍ ، عَنْ إِبْرَاهِيمَ بْنِ مِهْزَمٍ ، عَنْ رَجُلٍ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الشَّمْسَ لَتَطْلُعُ </w:t>
      </w:r>
      <w:r w:rsidRPr="00A91B96">
        <w:rPr>
          <w:rStyle w:val="libFootnotenumChar"/>
          <w:rtl/>
        </w:rPr>
        <w:t>(3)</w:t>
      </w:r>
      <w:r w:rsidRPr="00020424">
        <w:rPr>
          <w:rtl/>
          <w:lang w:bidi="fa-IR"/>
        </w:rPr>
        <w:t xml:space="preserve"> وَمَعَهَا أَرْبَعَةُ أَمْلَاكٍ : مَلَكٌ يُنَادِي : يَا صَاحِبَ الْخَيْرِ ، أَتِمَّ وَأَبْشِرْ ؛ وَمَلَكٌ يُنَادِي : يَا صَاحِبَ الشَّرِّ ، انْزِعْ وَأَقْصِرْ ؛ وَمَلَكٌ يُنَادِي : أَعْطِ مُنْفِقاً خَلَفاً ، وَآتِ مُمْسِكاً تَلَفاً </w:t>
      </w:r>
      <w:r w:rsidRPr="00A91B96">
        <w:rPr>
          <w:rStyle w:val="libFootnotenumChar"/>
          <w:rtl/>
        </w:rPr>
        <w:t>(4)</w:t>
      </w:r>
      <w:r w:rsidRPr="00020424">
        <w:rPr>
          <w:rtl/>
          <w:lang w:bidi="fa-IR"/>
        </w:rPr>
        <w:t xml:space="preserve"> ؛ وَمَلَكٌ يَنْضَحُهَا </w:t>
      </w:r>
      <w:r w:rsidRPr="00A91B96">
        <w:rPr>
          <w:rStyle w:val="libFootnotenumChar"/>
          <w:rtl/>
        </w:rPr>
        <w:t>(5)</w:t>
      </w:r>
      <w:r w:rsidRPr="00020424">
        <w:rPr>
          <w:rtl/>
          <w:lang w:bidi="fa-IR"/>
        </w:rPr>
        <w:t xml:space="preserve"> بِالْمَاءِ </w:t>
      </w:r>
      <w:r w:rsidRPr="00A91B96">
        <w:rPr>
          <w:rStyle w:val="libFootnotenumChar"/>
          <w:rtl/>
        </w:rPr>
        <w:t>(6)</w:t>
      </w:r>
      <w:r w:rsidRPr="00020424">
        <w:rPr>
          <w:rtl/>
          <w:lang w:bidi="fa-IR"/>
        </w:rPr>
        <w:t xml:space="preserve"> ؛ وَلَوْ لَاذلِكَ ، اشْتَعَلَتِ </w:t>
      </w:r>
      <w:r w:rsidRPr="00A91B96">
        <w:rPr>
          <w:rStyle w:val="libFootnotenumChar"/>
          <w:rtl/>
        </w:rPr>
        <w:t>(7)</w:t>
      </w:r>
      <w:r w:rsidRPr="00020424">
        <w:rPr>
          <w:rtl/>
          <w:lang w:bidi="fa-IR"/>
        </w:rPr>
        <w:t xml:space="preserve"> الْأَرْضُ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24C4E" w:rsidTr="00724C4E">
        <w:tc>
          <w:tcPr>
            <w:tcW w:w="4006" w:type="dxa"/>
          </w:tcPr>
          <w:p w:rsidR="00724C4E" w:rsidRDefault="00724C4E" w:rsidP="00992664">
            <w:pPr>
              <w:pStyle w:val="libFootnote0"/>
              <w:rPr>
                <w:rtl/>
              </w:rPr>
            </w:pPr>
            <w:r>
              <w:rPr>
                <w:rtl/>
              </w:rPr>
              <w:t xml:space="preserve">(1). </w:t>
            </w:r>
            <w:r w:rsidRPr="00020424">
              <w:rPr>
                <w:rtl/>
              </w:rPr>
              <w:t>في « بر » :</w:t>
            </w:r>
            <w:r>
              <w:rPr>
                <w:rtl/>
              </w:rPr>
              <w:t xml:space="preserve"> - </w:t>
            </w:r>
            <w:r w:rsidRPr="00020424">
              <w:rPr>
                <w:rtl/>
              </w:rPr>
              <w:t>« محمّد بن</w:t>
            </w:r>
            <w:r>
              <w:rPr>
                <w:rtl/>
              </w:rPr>
              <w:t xml:space="preserve"> ».</w:t>
            </w:r>
          </w:p>
        </w:tc>
        <w:tc>
          <w:tcPr>
            <w:tcW w:w="4006" w:type="dxa"/>
          </w:tcPr>
          <w:p w:rsidR="00724C4E" w:rsidRDefault="00724C4E" w:rsidP="00992664">
            <w:pPr>
              <w:pStyle w:val="libFootnote0"/>
              <w:rPr>
                <w:rtl/>
              </w:rPr>
            </w:pPr>
            <w:r>
              <w:rPr>
                <w:rtl/>
              </w:rPr>
              <w:t xml:space="preserve">(2). </w:t>
            </w:r>
            <w:r w:rsidRPr="00020424">
              <w:rPr>
                <w:rtl/>
              </w:rPr>
              <w:t>في « بر ، بف » :</w:t>
            </w:r>
            <w:r>
              <w:rPr>
                <w:rtl/>
              </w:rPr>
              <w:t xml:space="preserve"> - </w:t>
            </w:r>
            <w:r w:rsidRPr="00020424">
              <w:rPr>
                <w:rtl/>
              </w:rPr>
              <w:t>« الحسن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تطلع</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قيل : معنى قوله : آت ممسكاً تلفاً ، ارزقه الإنفاق حتّى ينفق ، فإن لم يقدّر في سابق علمك أن ينفقه‌باختياره فأتلف ماله حتّى نأجره فيه أجر المصاب ، فيصيب خيراً ؛ فإنّ الملك لا يدعو بالشرّ لا سيّما في حقّ المؤمن.</w:t>
      </w:r>
    </w:p>
    <w:p w:rsidR="00992664" w:rsidRPr="00020424" w:rsidRDefault="00992664" w:rsidP="000B1891">
      <w:pPr>
        <w:pStyle w:val="libFootnote0"/>
        <w:rPr>
          <w:rtl/>
          <w:lang w:bidi="fa-IR"/>
        </w:rPr>
      </w:pPr>
      <w:r w:rsidRPr="00D82B22">
        <w:rPr>
          <w:rtl/>
        </w:rPr>
        <w:t>أقول : إنّ دعاء الملائكة باللعن في القرآن والحديث وارد غير مرّة ، والدعاء بالشرّ على أهل الشرّ ليس بشرّ ، بل هو خير مع أنّ تنكير لفظتي المنفق والممسك يشعر بإرادة الخصوص دون العموم ، فيحمل المنفق على من أنفق ابتغاء مرضاة الله ، والممسك على من بخل بما افترض الله ، والبخل بما افترض الله موجب للتلف ، كما مرّ في</w:t>
      </w:r>
      <w:r w:rsidR="000B1891">
        <w:rPr>
          <w:rtl/>
        </w:rPr>
        <w:t xml:space="preserve"> الباب الأوّل من هذا الكتاب إل</w:t>
      </w:r>
      <w:r w:rsidR="000B1891">
        <w:rPr>
          <w:rFonts w:hint="cs"/>
          <w:rtl/>
        </w:rPr>
        <w:t>ّ</w:t>
      </w:r>
      <w:r w:rsidR="000B1891">
        <w:rPr>
          <w:rtl/>
        </w:rPr>
        <w:t>ا</w:t>
      </w:r>
      <w:r>
        <w:rPr>
          <w:rFonts w:hint="cs"/>
          <w:rtl/>
        </w:rPr>
        <w:t xml:space="preserve"> </w:t>
      </w:r>
      <w:r w:rsidRPr="00D82B22">
        <w:rPr>
          <w:rtl/>
        </w:rPr>
        <w:t>أنّ هذا لا ينافي ما قاله ذلك القائل</w:t>
      </w:r>
      <w:r>
        <w:rPr>
          <w:rtl/>
        </w:rPr>
        <w:t xml:space="preserve"> ».</w:t>
      </w:r>
    </w:p>
    <w:p w:rsidR="00992664" w:rsidRPr="00020424" w:rsidRDefault="00992664" w:rsidP="000B1891">
      <w:pPr>
        <w:pStyle w:val="libFootnote0"/>
        <w:rPr>
          <w:rtl/>
          <w:lang w:bidi="fa-IR"/>
        </w:rPr>
      </w:pPr>
      <w:r w:rsidRPr="00D82B22">
        <w:rPr>
          <w:rtl/>
        </w:rPr>
        <w:t xml:space="preserve">وفي هامشه عن صاحبه : « توجيه كلام هذا القائل أنّ الملك لا يدعو </w:t>
      </w:r>
      <w:r w:rsidR="00A76AAA">
        <w:rPr>
          <w:rtl/>
        </w:rPr>
        <w:t>للمؤمن إل</w:t>
      </w:r>
      <w:r w:rsidR="00A76AAA">
        <w:rPr>
          <w:rFonts w:hint="cs"/>
          <w:rtl/>
        </w:rPr>
        <w:t>ّ</w:t>
      </w:r>
      <w:r w:rsidR="00A76AAA">
        <w:rPr>
          <w:rtl/>
        </w:rPr>
        <w:t>ا</w:t>
      </w:r>
      <w:r w:rsidRPr="00D82B22">
        <w:rPr>
          <w:rtl/>
        </w:rPr>
        <w:t>بالخير ، بل هو لا يريد الشرّ لأحد ؛ لكونه مجبولاً على الخير ، ودعاؤه بتلف المال المستلزم للخير إنّما يكون بعد يأسه منه أن يختار الإنفاق الذي هو خير خالص. ولمّا كان إنفاقه غائباً عن علمه وإنّما هو في علم الله وهو بعدُ مجوّز له فدعاؤه بالتلف في الحقيقة مشروط بامتناع إنفاقه وعدم تأتّيه منه</w:t>
      </w:r>
      <w:r>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بك » : « ينضح</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ينضح الأرض</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 « الماء</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 « لاشتعلت</w:t>
      </w:r>
      <w:r w:rsidR="00992664">
        <w:rPr>
          <w:rtl/>
        </w:rPr>
        <w:t xml:space="preserve"> ».</w:t>
      </w:r>
      <w:r w:rsidR="00992664" w:rsidRPr="00020424">
        <w:rPr>
          <w:rtl/>
        </w:rPr>
        <w:t xml:space="preserve"> وفي « بر ، بك » : « اشتغلت » بالغين المعجمة.</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الأرض إشارة إلى أرض قلوب بني آدم ، والماء إشارة إلى ماء الرحمة التي تنزل على قلوبهم من سماء فضل الله ، وبه يرحمون أنفسهم ويرحم بعضهم بعضاً. والاشتعال إشارة إلى نار الظلم التي تقع في </w:t>
      </w:r>
      <w:r w:rsidR="001A57E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66B8B">
        <w:rPr>
          <w:rtl/>
        </w:rPr>
        <w:t>6162</w:t>
      </w:r>
      <w:r w:rsidRPr="001155DE">
        <w:rPr>
          <w:rStyle w:val="libBold2Char"/>
          <w:rtl/>
        </w:rPr>
        <w:t xml:space="preserve"> / 2.</w:t>
      </w:r>
      <w:r w:rsidRPr="00020424">
        <w:rPr>
          <w:rtl/>
          <w:lang w:bidi="fa-IR"/>
        </w:rPr>
        <w:t xml:space="preserve"> أَحْمَدُ بْنُ أَبِي عَبْدِ اللهِ </w:t>
      </w:r>
      <w:r w:rsidRPr="00A91B96">
        <w:rPr>
          <w:rStyle w:val="libFootnotenumChar"/>
          <w:rtl/>
        </w:rPr>
        <w:t>(1)</w:t>
      </w:r>
      <w:r w:rsidRPr="00020424">
        <w:rPr>
          <w:rtl/>
          <w:lang w:bidi="fa-IR"/>
        </w:rPr>
        <w:t xml:space="preserve"> ، عَنْ عُثْمَانَ بْنِ عِيسى ، عَمَّنْ حَدَّثَهُ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كَذلِكَ يُرِيهِمُ اللهُ أَعْمالَهُمْ حَسَراتٍ عَلَيْهِمْ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قَالَ : « هُوَ الرَّجُلُ يَدَعُ مَالَهُ لَايُنْفِقُهُ </w:t>
      </w:r>
      <w:r w:rsidRPr="00A91B96">
        <w:rPr>
          <w:rStyle w:val="libFootnotenumChar"/>
          <w:rtl/>
        </w:rPr>
        <w:t>(3)</w:t>
      </w:r>
      <w:r w:rsidRPr="00020424">
        <w:rPr>
          <w:rtl/>
          <w:lang w:bidi="fa-IR"/>
        </w:rPr>
        <w:t xml:space="preserve"> فِي طَاعَةِ اللهِ بُخْلاً ، ثُمَّ يَمُوتُ ، فَيَدَعُهُ لِمَنْ يَعْمَلُ فِيهِ بِطَاعَةِ اللهِ أَوْ فِي مَعْصِيَةِ اللهِ ، فَإِنْ </w:t>
      </w:r>
      <w:r w:rsidRPr="00A91B96">
        <w:rPr>
          <w:rStyle w:val="libFootnotenumChar"/>
          <w:rtl/>
        </w:rPr>
        <w:t>(4)</w:t>
      </w:r>
      <w:r w:rsidRPr="00020424">
        <w:rPr>
          <w:rtl/>
          <w:lang w:bidi="fa-IR"/>
        </w:rPr>
        <w:t xml:space="preserve"> عَمِلَ بِهِ </w:t>
      </w:r>
      <w:r w:rsidRPr="00A91B96">
        <w:rPr>
          <w:rStyle w:val="libFootnotenumChar"/>
          <w:rtl/>
        </w:rPr>
        <w:t>(5)</w:t>
      </w:r>
      <w:r w:rsidRPr="00020424">
        <w:rPr>
          <w:rtl/>
          <w:lang w:bidi="fa-IR"/>
        </w:rPr>
        <w:t xml:space="preserve"> فِي طَاعَةِ </w:t>
      </w:r>
      <w:r w:rsidRPr="00A91B96">
        <w:rPr>
          <w:rStyle w:val="libFootnotenumChar"/>
          <w:rtl/>
        </w:rPr>
        <w:t>(6)</w:t>
      </w:r>
      <w:r w:rsidRPr="00020424">
        <w:rPr>
          <w:rtl/>
          <w:lang w:bidi="fa-IR"/>
        </w:rPr>
        <w:t xml:space="preserve"> اللهِ ، رَآهُ </w:t>
      </w:r>
      <w:r w:rsidRPr="00A91B96">
        <w:rPr>
          <w:rStyle w:val="libFootnotenumChar"/>
          <w:rtl/>
        </w:rPr>
        <w:t>(7)</w:t>
      </w:r>
      <w:r w:rsidRPr="00020424">
        <w:rPr>
          <w:rtl/>
          <w:lang w:bidi="fa-IR"/>
        </w:rPr>
        <w:t xml:space="preserve"> فِي مِيزَانِ غَيْرِهِ ، فَرَآهُ </w:t>
      </w:r>
      <w:r w:rsidRPr="00A91B96">
        <w:rPr>
          <w:rStyle w:val="libFootnotenumChar"/>
          <w:rtl/>
        </w:rPr>
        <w:t>(8)</w:t>
      </w:r>
      <w:r w:rsidRPr="00020424">
        <w:rPr>
          <w:rtl/>
          <w:lang w:bidi="fa-IR"/>
        </w:rPr>
        <w:t xml:space="preserve"> حَسْرَةً وَقَدْ كَانَ الْمَالُ لَهُ ، وَإِنْ </w:t>
      </w:r>
      <w:r w:rsidRPr="00A91B96">
        <w:rPr>
          <w:rStyle w:val="libFootnotenumChar"/>
          <w:rtl/>
        </w:rPr>
        <w:t>(9)</w:t>
      </w:r>
      <w:r w:rsidRPr="00020424">
        <w:rPr>
          <w:rtl/>
          <w:lang w:bidi="fa-IR"/>
        </w:rPr>
        <w:t xml:space="preserve"> كَانَ عَمِلَ بِهِ فِي مَعْصِيَةِ اللهِ ، قَوَّاهُ بِذلِكَ الْمَالِ حَتّى عَمِلَ بِهِ فِي مَعْصِيَةِ اللهِ عَزَّ وَجَلَّ</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866B8B">
        <w:rPr>
          <w:rtl/>
        </w:rPr>
        <w:t>6163</w:t>
      </w:r>
      <w:r w:rsidRPr="001155DE">
        <w:rPr>
          <w:rStyle w:val="libBold2Char"/>
          <w:rtl/>
        </w:rPr>
        <w:t xml:space="preserve"> / 3.</w:t>
      </w:r>
      <w:r w:rsidRPr="00020424">
        <w:rPr>
          <w:rtl/>
          <w:lang w:bidi="fa-IR"/>
        </w:rPr>
        <w:t xml:space="preserve"> مُحَمَّدُ بْنُ يَحْيى ، عَنْ أَحْمَدَ بْنِ مُحَمَّدِ بْنِ عِيسى </w:t>
      </w:r>
      <w:r w:rsidRPr="00A91B96">
        <w:rPr>
          <w:rStyle w:val="libFootnotenumChar"/>
          <w:rtl/>
        </w:rPr>
        <w:t>(11)</w:t>
      </w:r>
      <w:r w:rsidRPr="00020424">
        <w:rPr>
          <w:rtl/>
          <w:lang w:bidi="fa-IR"/>
        </w:rPr>
        <w:t xml:space="preserve"> ، عَنْ عَلِيِّ بْنِ الْحَكَمِ ، عَنْ مُوسَى بْنِ رَاشِدٍ ، عَنْ سَمَاعَةَ :</w:t>
      </w:r>
    </w:p>
    <w:p w:rsidR="00992664" w:rsidRPr="00020424" w:rsidRDefault="00992664" w:rsidP="00992664">
      <w:pPr>
        <w:pStyle w:val="libNormal"/>
        <w:rPr>
          <w:rtl/>
          <w:lang w:bidi="fa-IR"/>
        </w:rPr>
      </w:pPr>
      <w:r w:rsidRPr="00020424">
        <w:rPr>
          <w:rtl/>
          <w:lang w:bidi="fa-IR"/>
        </w:rPr>
        <w:t xml:space="preserve">عَنْ أَبِي الْحَسَنِ </w:t>
      </w:r>
      <w:r w:rsidRPr="00A91B96">
        <w:rPr>
          <w:rStyle w:val="libFootnotenumChar"/>
          <w:rtl/>
        </w:rPr>
        <w:t>(12)</w:t>
      </w:r>
      <w:r w:rsidRPr="00020424">
        <w:rPr>
          <w:rtl/>
          <w:lang w:bidi="fa-IR"/>
        </w:rPr>
        <w:t xml:space="preserve">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أَيْقَنَ بِالْخَلَفِ ،</w:t>
      </w:r>
    </w:p>
    <w:p w:rsidR="00992664" w:rsidRPr="00020424" w:rsidRDefault="00992664" w:rsidP="00992664">
      <w:pPr>
        <w:pStyle w:val="libLine"/>
        <w:rPr>
          <w:rtl/>
          <w:lang w:bidi="fa-IR"/>
        </w:rPr>
      </w:pPr>
      <w:r w:rsidRPr="00020424">
        <w:rPr>
          <w:rtl/>
          <w:lang w:bidi="fa-IR"/>
        </w:rPr>
        <w:t>__________________</w:t>
      </w:r>
    </w:p>
    <w:p w:rsidR="00992664" w:rsidRPr="00020424" w:rsidRDefault="00A91334" w:rsidP="00992664">
      <w:pPr>
        <w:pStyle w:val="libFootnote0"/>
        <w:rPr>
          <w:rtl/>
          <w:lang w:bidi="fa-IR"/>
        </w:rPr>
      </w:pPr>
      <w:r>
        <w:rPr>
          <w:rFonts w:hint="cs"/>
          <w:rtl/>
        </w:rPr>
        <w:t xml:space="preserve">= </w:t>
      </w:r>
      <w:r w:rsidR="00992664" w:rsidRPr="00020424">
        <w:rPr>
          <w:rtl/>
        </w:rPr>
        <w:t>قلوبهم وبها يظلمون أنفسهم ويظلم بعضهم بعضاً وإلى نائرة الهموم والأحزان وحرقة تزاحم الآمال والحرمان ؛ إذ لولا ما نزل على القلوب من ماء الرحمة والحنان وديمة الغفلة والنسيان وبردّ الإطفاء والاطمئنان ، لاشتعلت بهذه المصائب واحترقت بتلك النوائب ، ولله‌الحمد</w:t>
      </w:r>
      <w:r w:rsidR="00992664">
        <w:rPr>
          <w:rtl/>
        </w:rPr>
        <w:t xml:space="preserve"> ».</w:t>
      </w:r>
    </w:p>
    <w:p w:rsidR="00992664" w:rsidRDefault="00795177" w:rsidP="00992664">
      <w:pPr>
        <w:pStyle w:val="libFootnote0"/>
        <w:rPr>
          <w:rtl/>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485 ، ح 9943 ؛ </w:t>
      </w:r>
      <w:r w:rsidR="00992664" w:rsidRPr="0012008A">
        <w:rPr>
          <w:rStyle w:val="libFootnoteBoldChar"/>
          <w:rtl/>
        </w:rPr>
        <w:t>الوسائل</w:t>
      </w:r>
      <w:r w:rsidR="00992664" w:rsidRPr="00020424">
        <w:rPr>
          <w:rtl/>
        </w:rPr>
        <w:t xml:space="preserve"> ، ج 21 ، ص 547 ، ح 27829 ؛ </w:t>
      </w:r>
      <w:r w:rsidR="00992664" w:rsidRPr="0012008A">
        <w:rPr>
          <w:rStyle w:val="libFootnoteBoldChar"/>
          <w:rtl/>
        </w:rPr>
        <w:t>البحار</w:t>
      </w:r>
      <w:r w:rsidR="00992664" w:rsidRPr="00020424">
        <w:rPr>
          <w:rtl/>
        </w:rPr>
        <w:t xml:space="preserve"> ، ج 58 ، ص 143 ، ح 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السند معلّق على سابقه. ويروي عن أحمد بن أبي عبد الله ، عدّة من أصحابنا.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البقرة </w:t>
      </w:r>
      <w:r w:rsidR="00F64AB4">
        <w:rPr>
          <w:rtl/>
        </w:rPr>
        <w:t>(2)</w:t>
      </w:r>
      <w:r w:rsidR="0014403D">
        <w:rPr>
          <w:rtl/>
        </w:rPr>
        <w:t xml:space="preserve"> </w:t>
      </w:r>
      <w:r w:rsidR="00992664" w:rsidRPr="00020424">
        <w:rPr>
          <w:rtl/>
        </w:rPr>
        <w:t>: 167.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بث ، بح ، بس » </w:t>
      </w:r>
      <w:r w:rsidR="00992664" w:rsidRPr="00EB1FD9">
        <w:rPr>
          <w:rStyle w:val="libFootnoteBoldChar"/>
          <w:rtl/>
        </w:rPr>
        <w:t>والوسائل</w:t>
      </w:r>
      <w:r w:rsidR="00992664" w:rsidRPr="00020424">
        <w:rPr>
          <w:rtl/>
        </w:rPr>
        <w:t xml:space="preserve"> : « ولا ينفقه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 هو</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بح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فيه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بطاعة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بك » : « فرآه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تفسير العيّاشي : « فزاده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بس » </w:t>
      </w:r>
      <w:r w:rsidR="00992664" w:rsidRPr="00EB1FD9">
        <w:rPr>
          <w:rStyle w:val="libFootnoteBoldChar"/>
          <w:rtl/>
        </w:rPr>
        <w:t>والوسائل</w:t>
      </w:r>
      <w:r w:rsidR="00992664" w:rsidRPr="00020424">
        <w:rPr>
          <w:rtl/>
        </w:rPr>
        <w:t xml:space="preserve"> : « فإن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6C7A1F">
        <w:rPr>
          <w:rStyle w:val="libFootnoteBoldChar"/>
          <w:rtl/>
        </w:rPr>
        <w:t>الأمالي للمفيد</w:t>
      </w:r>
      <w:r w:rsidR="00992664" w:rsidRPr="00020424">
        <w:rPr>
          <w:rtl/>
        </w:rPr>
        <w:t xml:space="preserve"> ، ص 205 ، المجلس 23 ، ح 35 ، بسند آخر ، إلى قوله : « رآه في ميزان غيره » مع اختلاف يسير. </w:t>
      </w:r>
      <w:r w:rsidR="00992664" w:rsidRPr="00DE76B9">
        <w:rPr>
          <w:rStyle w:val="libFootnoteBoldChar"/>
          <w:rtl/>
        </w:rPr>
        <w:t>تفسير العيّاشي</w:t>
      </w:r>
      <w:r w:rsidR="00992664" w:rsidRPr="00020424">
        <w:rPr>
          <w:rtl/>
        </w:rPr>
        <w:t xml:space="preserve"> ، ج 1 ، ص 72 ، ح 144 ، عن عثمان بن عيسى ، عمّن حدّثه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62 ، ح 1713 ، مرسلاً </w:t>
      </w:r>
      <w:r w:rsidR="00F64AB4">
        <w:rPr>
          <w:rFonts w:hint="cs"/>
          <w:rtl/>
        </w:rPr>
        <w:t>.</w:t>
      </w:r>
      <w:r w:rsidR="00992664" w:rsidRPr="0012008A">
        <w:rPr>
          <w:rStyle w:val="libFootnoteBoldChar"/>
          <w:rtl/>
        </w:rPr>
        <w:t>الوافي</w:t>
      </w:r>
      <w:r w:rsidR="00992664" w:rsidRPr="00020424">
        <w:rPr>
          <w:rtl/>
        </w:rPr>
        <w:t xml:space="preserve"> ، ج 10 ، ص 490 ، ح 9954 ؛ </w:t>
      </w:r>
      <w:r w:rsidR="00992664" w:rsidRPr="0012008A">
        <w:rPr>
          <w:rStyle w:val="libFootnoteBoldChar"/>
          <w:rtl/>
        </w:rPr>
        <w:t>الوسائل</w:t>
      </w:r>
      <w:r w:rsidR="00992664" w:rsidRPr="00020424">
        <w:rPr>
          <w:rtl/>
        </w:rPr>
        <w:t xml:space="preserve"> ، ج 21 ، ص 547 ، ح 27830.</w:t>
      </w:r>
    </w:p>
    <w:tbl>
      <w:tblPr>
        <w:tblStyle w:val="TableGrid"/>
        <w:bidiVisual/>
        <w:tblW w:w="0" w:type="auto"/>
        <w:tblLook w:val="04A0" w:firstRow="1" w:lastRow="0" w:firstColumn="1" w:lastColumn="0" w:noHBand="0" w:noVBand="1"/>
      </w:tblPr>
      <w:tblGrid>
        <w:gridCol w:w="4006"/>
        <w:gridCol w:w="4006"/>
      </w:tblGrid>
      <w:tr w:rsidR="00F64AB4" w:rsidTr="00F64AB4">
        <w:tc>
          <w:tcPr>
            <w:tcW w:w="4006" w:type="dxa"/>
          </w:tcPr>
          <w:p w:rsidR="00F64AB4" w:rsidRDefault="00F64AB4" w:rsidP="00992664">
            <w:pPr>
              <w:pStyle w:val="libFootnote0"/>
              <w:rPr>
                <w:rtl/>
              </w:rPr>
            </w:pPr>
            <w:r>
              <w:rPr>
                <w:rtl/>
              </w:rPr>
              <w:t xml:space="preserve">(11). </w:t>
            </w:r>
            <w:r w:rsidRPr="00020424">
              <w:rPr>
                <w:rtl/>
              </w:rPr>
              <w:t>في « بر » :</w:t>
            </w:r>
            <w:r>
              <w:rPr>
                <w:rtl/>
              </w:rPr>
              <w:t xml:space="preserve"> - </w:t>
            </w:r>
            <w:r w:rsidRPr="00020424">
              <w:rPr>
                <w:rtl/>
              </w:rPr>
              <w:t>« بن عيسى</w:t>
            </w:r>
            <w:r>
              <w:rPr>
                <w:rtl/>
              </w:rPr>
              <w:t xml:space="preserve"> ».</w:t>
            </w:r>
          </w:p>
        </w:tc>
        <w:tc>
          <w:tcPr>
            <w:tcW w:w="4006" w:type="dxa"/>
          </w:tcPr>
          <w:p w:rsidR="00F64AB4" w:rsidRDefault="00F64AB4" w:rsidP="00992664">
            <w:pPr>
              <w:pStyle w:val="libFootnote0"/>
              <w:rPr>
                <w:rtl/>
              </w:rPr>
            </w:pPr>
            <w:r>
              <w:rPr>
                <w:rtl/>
              </w:rPr>
              <w:t xml:space="preserve">(12). </w:t>
            </w:r>
            <w:r w:rsidRPr="00020424">
              <w:rPr>
                <w:rtl/>
              </w:rPr>
              <w:t>في « بف » : + « موسى</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A90FD5">
      <w:pPr>
        <w:pStyle w:val="libNormal0"/>
        <w:rPr>
          <w:rtl/>
          <w:lang w:bidi="fa-IR"/>
        </w:rPr>
      </w:pPr>
      <w:r w:rsidRPr="00020424">
        <w:rPr>
          <w:rtl/>
          <w:lang w:bidi="fa-IR"/>
        </w:rPr>
        <w:t xml:space="preserve">سَخَتْ </w:t>
      </w:r>
      <w:r w:rsidRPr="00A91B96">
        <w:rPr>
          <w:rStyle w:val="libFootnotenumChar"/>
          <w:rtl/>
        </w:rPr>
        <w:t>(1)</w:t>
      </w:r>
      <w:r w:rsidRPr="00020424">
        <w:rPr>
          <w:rtl/>
          <w:lang w:bidi="fa-IR"/>
        </w:rPr>
        <w:t xml:space="preserve"> نَفْسُهُ بِالنَّفَقَةِ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66B8B">
        <w:rPr>
          <w:rtl/>
        </w:rPr>
        <w:t>6164</w:t>
      </w:r>
      <w:r w:rsidRPr="001155DE">
        <w:rPr>
          <w:rStyle w:val="libBold2Char"/>
          <w:rtl/>
        </w:rPr>
        <w:t xml:space="preserve"> / 4.</w:t>
      </w:r>
      <w:r w:rsidRPr="00020424">
        <w:rPr>
          <w:rtl/>
          <w:lang w:bidi="fa-IR"/>
        </w:rPr>
        <w:t xml:space="preserve"> مُحَمَّدُ بْنُ يَحْيى ، عَنْ أَحْمَدَ بْنِ مُحَمَّدٍ ، عَنْ عُثْمَانَ بْنِ عِيسى ، عَنْ بَعْضِ مَنْ حَدَّثَهُ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w:t>
      </w:r>
      <w:r>
        <w:rPr>
          <w:rtl/>
          <w:lang w:bidi="fa-IR"/>
        </w:rPr>
        <w:t xml:space="preserve"> </w:t>
      </w:r>
      <w:r w:rsidR="009B673F">
        <w:rPr>
          <w:rtl/>
          <w:lang w:bidi="fa-IR"/>
        </w:rPr>
        <w:t>-</w:t>
      </w:r>
      <w:r>
        <w:rPr>
          <w:rtl/>
          <w:lang w:bidi="fa-IR"/>
        </w:rPr>
        <w:t xml:space="preserve"> </w:t>
      </w:r>
      <w:r w:rsidRPr="00020424">
        <w:rPr>
          <w:rtl/>
          <w:lang w:bidi="fa-IR"/>
        </w:rPr>
        <w:t xml:space="preserve">صَلَوَاتُ اللهِ عَلَيْهِ </w:t>
      </w:r>
      <w:r w:rsidRPr="00A91B96">
        <w:rPr>
          <w:rStyle w:val="libFootnotenumChar"/>
          <w:rtl/>
        </w:rPr>
        <w:t>(5)</w:t>
      </w:r>
      <w:r>
        <w:rPr>
          <w:rtl/>
          <w:lang w:bidi="fa-IR"/>
        </w:rPr>
        <w:t xml:space="preserve"> </w:t>
      </w:r>
      <w:r w:rsidR="009B673F">
        <w:rPr>
          <w:rtl/>
          <w:lang w:bidi="fa-IR"/>
        </w:rPr>
        <w:t>-</w:t>
      </w:r>
      <w:r>
        <w:rPr>
          <w:rtl/>
          <w:lang w:bidi="fa-IR"/>
        </w:rPr>
        <w:t xml:space="preserve"> </w:t>
      </w:r>
      <w:r w:rsidRPr="00020424">
        <w:rPr>
          <w:rtl/>
          <w:lang w:bidi="fa-IR"/>
        </w:rPr>
        <w:t>فِي كَلَامٍ لَهُ :</w:t>
      </w:r>
      <w:r>
        <w:rPr>
          <w:rFonts w:hint="cs"/>
          <w:rtl/>
          <w:lang w:bidi="fa-IR"/>
        </w:rPr>
        <w:t xml:space="preserve"> </w:t>
      </w:r>
      <w:r w:rsidRPr="00020424">
        <w:rPr>
          <w:rtl/>
          <w:lang w:bidi="fa-IR"/>
        </w:rPr>
        <w:t xml:space="preserve">وَمَنْ يَبْسُطْ </w:t>
      </w:r>
      <w:r w:rsidRPr="00A91B96">
        <w:rPr>
          <w:rStyle w:val="libFootnotenumChar"/>
          <w:rtl/>
        </w:rPr>
        <w:t>(6)</w:t>
      </w:r>
      <w:r w:rsidRPr="00020424">
        <w:rPr>
          <w:rtl/>
          <w:lang w:bidi="fa-IR"/>
        </w:rPr>
        <w:t xml:space="preserve"> يَدَهُ بِالْمَعْرُوفِ إِذَا وَجَدَهُ ، يُخْلِفِ اللهُ </w:t>
      </w:r>
      <w:r w:rsidRPr="00A91B96">
        <w:rPr>
          <w:rStyle w:val="libFootnotenumChar"/>
          <w:rtl/>
        </w:rPr>
        <w:t>(7)</w:t>
      </w:r>
      <w:r w:rsidRPr="00020424">
        <w:rPr>
          <w:rtl/>
          <w:lang w:bidi="fa-IR"/>
        </w:rPr>
        <w:t xml:space="preserve"> لَهُ </w:t>
      </w:r>
      <w:r w:rsidRPr="00A91B96">
        <w:rPr>
          <w:rStyle w:val="libFootnotenumChar"/>
          <w:rtl/>
        </w:rPr>
        <w:t>(8)</w:t>
      </w:r>
      <w:r w:rsidRPr="00020424">
        <w:rPr>
          <w:rtl/>
          <w:lang w:bidi="fa-IR"/>
        </w:rPr>
        <w:t xml:space="preserve"> مَا أَنْفَقَ فِي دُنْيَاهُ ، وَيُضَاعِفْ لَهُ فِي آخِرَتِهِ</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7E7F02" w:rsidRDefault="00992664" w:rsidP="007E7F02">
      <w:pPr>
        <w:pStyle w:val="libNormal"/>
        <w:rPr>
          <w:rtl/>
          <w:lang w:bidi="fa-IR"/>
        </w:rPr>
      </w:pPr>
      <w:r w:rsidRPr="00866B8B">
        <w:rPr>
          <w:rtl/>
        </w:rPr>
        <w:t>6165</w:t>
      </w:r>
      <w:r w:rsidRPr="001155DE">
        <w:rPr>
          <w:rStyle w:val="libBold2Char"/>
          <w:rtl/>
        </w:rPr>
        <w:t xml:space="preserve"> / 5.</w:t>
      </w:r>
      <w:r w:rsidRPr="00020424">
        <w:rPr>
          <w:rtl/>
          <w:lang w:bidi="fa-IR"/>
        </w:rPr>
        <w:t xml:space="preserve"> عِدَّةٌ مِنْ أَصْحَابِنَا ، عَنْ أَحْمَدَ بْنِ مُحَمَّدِ بْنِ خَالِدٍ ؛</w:t>
      </w:r>
    </w:p>
    <w:p w:rsidR="00992664" w:rsidRPr="00020424" w:rsidRDefault="007E7F02" w:rsidP="007E7F02">
      <w:pPr>
        <w:pStyle w:val="libNormal"/>
        <w:rPr>
          <w:rtl/>
          <w:lang w:bidi="fa-IR"/>
        </w:rPr>
      </w:pPr>
      <w:r>
        <w:rPr>
          <w:rFonts w:hint="cs"/>
          <w:rtl/>
          <w:lang w:bidi="fa-IR"/>
        </w:rPr>
        <w:t xml:space="preserve">               </w:t>
      </w:r>
      <w:r w:rsidR="00992664" w:rsidRPr="00020424">
        <w:rPr>
          <w:rtl/>
          <w:lang w:bidi="fa-IR"/>
        </w:rPr>
        <w:t xml:space="preserve">وَمُحَمَّدُ بْنُ يَحْيى ، عَنْ أَحْمَدَ بْنِ مُحَمَّدِ بْنِ عِيسى جَمِيعاً ، </w:t>
      </w:r>
      <w:r w:rsidR="001C4DD2">
        <w:rPr>
          <w:rtl/>
          <w:lang w:bidi="fa-IR"/>
        </w:rPr>
        <w:t>عَنِ ابْنِ أَبِي نَصْرٍ ، قَالَ</w:t>
      </w:r>
      <w:r w:rsidR="00992664" w:rsidRPr="00020424">
        <w:rPr>
          <w:rtl/>
          <w:lang w:bidi="fa-IR"/>
        </w:rPr>
        <w:t>:</w:t>
      </w:r>
    </w:p>
    <w:p w:rsidR="00992664" w:rsidRPr="00020424" w:rsidRDefault="00992664" w:rsidP="00992664">
      <w:pPr>
        <w:pStyle w:val="libNormal"/>
        <w:rPr>
          <w:rtl/>
          <w:lang w:bidi="fa-IR"/>
        </w:rPr>
      </w:pPr>
      <w:r w:rsidRPr="00020424">
        <w:rPr>
          <w:rtl/>
          <w:lang w:bidi="fa-IR"/>
        </w:rPr>
        <w:t xml:space="preserve">قَرَأْتُ فِي </w:t>
      </w:r>
      <w:r w:rsidRPr="00A91B96">
        <w:rPr>
          <w:rStyle w:val="libFootnotenumChar"/>
          <w:rtl/>
        </w:rPr>
        <w:t>(10)</w:t>
      </w:r>
      <w:r w:rsidRPr="00020424">
        <w:rPr>
          <w:rtl/>
          <w:lang w:bidi="fa-IR"/>
        </w:rPr>
        <w:t xml:space="preserve"> كِتَابِ أَبِي الْحَسَنِ </w:t>
      </w:r>
      <w:r w:rsidRPr="00A91B96">
        <w:rPr>
          <w:rStyle w:val="libFootnotenumChar"/>
          <w:rtl/>
        </w:rPr>
        <w:t>(11)</w:t>
      </w:r>
      <w:r w:rsidRPr="00020424">
        <w:rPr>
          <w:rtl/>
          <w:lang w:bidi="fa-IR"/>
        </w:rPr>
        <w:t xml:space="preserve"> </w:t>
      </w:r>
      <w:r w:rsidRPr="00005A81">
        <w:rPr>
          <w:rStyle w:val="libAlaemChar"/>
          <w:rtl/>
        </w:rPr>
        <w:t>عليه‌السلام</w:t>
      </w:r>
      <w:r w:rsidRPr="00020424">
        <w:rPr>
          <w:rtl/>
          <w:lang w:bidi="fa-IR"/>
        </w:rPr>
        <w:t xml:space="preserve"> إِلى أَبِي جَعْفَرٍ </w:t>
      </w:r>
      <w:r w:rsidRPr="00005A81">
        <w:rPr>
          <w:rStyle w:val="libAlaemChar"/>
          <w:rtl/>
        </w:rPr>
        <w:t>عليه‌السلام</w:t>
      </w:r>
      <w:r w:rsidRPr="00020424">
        <w:rPr>
          <w:rtl/>
          <w:lang w:bidi="fa-IR"/>
        </w:rPr>
        <w:t xml:space="preserve"> : « يَا أَبَا جَعْفَرٍ </w:t>
      </w:r>
      <w:r w:rsidRPr="00A91B96">
        <w:rPr>
          <w:rStyle w:val="libFootnotenumChar"/>
          <w:rtl/>
        </w:rPr>
        <w:t>(12)</w:t>
      </w:r>
      <w:r w:rsidRPr="00020424">
        <w:rPr>
          <w:rtl/>
          <w:lang w:bidi="fa-IR"/>
        </w:rPr>
        <w:t xml:space="preserve"> ، بَلَغَنِي أَنَّ‌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بك » : « سمحت</w:t>
      </w:r>
      <w:r w:rsidR="00992664">
        <w:rPr>
          <w:rtl/>
        </w:rPr>
        <w:t xml:space="preserve"> ».</w:t>
      </w:r>
      <w:r w:rsidR="00992664" w:rsidRPr="00020424">
        <w:rPr>
          <w:rtl/>
        </w:rPr>
        <w:t xml:space="preserve"> وفي حاشية « بر » : « طابت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بك » وحاشية « بث » </w:t>
      </w:r>
      <w:r w:rsidR="00992664" w:rsidRPr="00515444">
        <w:rPr>
          <w:rStyle w:val="libFootnoteBoldChar"/>
          <w:rtl/>
        </w:rPr>
        <w:t>والوافي</w:t>
      </w:r>
      <w:r w:rsidR="00992664" w:rsidRPr="00020424">
        <w:rPr>
          <w:rtl/>
        </w:rPr>
        <w:t xml:space="preserve"> : « بالعطيّة</w:t>
      </w:r>
      <w:r w:rsidR="00992664">
        <w:rPr>
          <w:rtl/>
        </w:rPr>
        <w:t xml:space="preserve"> ».</w:t>
      </w:r>
    </w:p>
    <w:p w:rsidR="004F05E5" w:rsidRDefault="00795177" w:rsidP="004F05E5">
      <w:pPr>
        <w:pStyle w:val="libFootnote0"/>
        <w:rPr>
          <w:rtl/>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الزكاة ، باب فضل الصدقة ، ح 6003 ، بسند آخر ، وتمام الرواية فيه : « من صدّق بالخلف جاد بالعطيّة</w:t>
      </w:r>
      <w:r w:rsidR="00992664">
        <w:rPr>
          <w:rtl/>
        </w:rPr>
        <w:t xml:space="preserve"> ».</w:t>
      </w:r>
      <w:r w:rsidR="00992664" w:rsidRPr="00020424">
        <w:rPr>
          <w:rtl/>
        </w:rPr>
        <w:t xml:space="preserve"> </w:t>
      </w:r>
      <w:r w:rsidR="00992664" w:rsidRPr="00A722B1">
        <w:rPr>
          <w:rStyle w:val="libFootnoteBoldChar"/>
          <w:rtl/>
        </w:rPr>
        <w:t>الخصال</w:t>
      </w:r>
      <w:r w:rsidR="00992664" w:rsidRPr="00020424">
        <w:rPr>
          <w:rtl/>
        </w:rPr>
        <w:t xml:space="preserve"> ، ص 619 ، أبواب الثمانين ومافوقه ، ضمن الحديث الطويل 10 ، بسند آخر عن أبي عبدالله ، عن آبائه ، عن أميرالمؤمنين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62 ، ح 1712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الاختصاص</w:t>
      </w:r>
      <w:r w:rsidR="00992664" w:rsidRPr="00020424">
        <w:rPr>
          <w:rtl/>
        </w:rPr>
        <w:t xml:space="preserve"> ، ص 30 ، مرسلاً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تحف العقول</w:t>
      </w:r>
      <w:r w:rsidR="00992664" w:rsidRPr="00020424">
        <w:rPr>
          <w:rtl/>
        </w:rPr>
        <w:t xml:space="preserve"> ، ص 109 ، عن عليّ </w:t>
      </w:r>
      <w:r w:rsidR="00992664" w:rsidRPr="00D64ADA">
        <w:rPr>
          <w:rStyle w:val="libFootnoteAlaemChar"/>
          <w:rtl/>
        </w:rPr>
        <w:t>عليه‌السلام</w:t>
      </w:r>
      <w:r w:rsidR="00992664" w:rsidRPr="00020424">
        <w:rPr>
          <w:rtl/>
        </w:rPr>
        <w:t xml:space="preserve"> ، وفي كلّ المصادر مع اختلاف يسير. وراجع : </w:t>
      </w:r>
      <w:r w:rsidR="00992664" w:rsidRPr="00DE76B9">
        <w:rPr>
          <w:rStyle w:val="libFootnoteBoldChar"/>
          <w:rtl/>
        </w:rPr>
        <w:t>الكافي</w:t>
      </w:r>
      <w:r w:rsidR="00992664" w:rsidRPr="00020424">
        <w:rPr>
          <w:rtl/>
        </w:rPr>
        <w:t xml:space="preserve"> ، كتاب الزكاة ، باب فضل الصدقة ، ح 6003 ومصادره </w:t>
      </w:r>
      <w:r w:rsidR="001C4DD2">
        <w:rPr>
          <w:rFonts w:hint="cs"/>
          <w:rtl/>
        </w:rPr>
        <w:t>.</w:t>
      </w:r>
      <w:r w:rsidR="00992664" w:rsidRPr="0012008A">
        <w:rPr>
          <w:rStyle w:val="libFootnoteBoldChar"/>
          <w:rtl/>
        </w:rPr>
        <w:t>الوافي</w:t>
      </w:r>
      <w:r w:rsidR="00992664" w:rsidRPr="00020424">
        <w:rPr>
          <w:rtl/>
        </w:rPr>
        <w:t xml:space="preserve"> ، ج 10 ، ص 486 ، ح 9944 ؛ </w:t>
      </w:r>
      <w:r w:rsidR="00992664" w:rsidRPr="0012008A">
        <w:rPr>
          <w:rStyle w:val="libFootnoteBoldChar"/>
          <w:rtl/>
        </w:rPr>
        <w:t>الوسائل</w:t>
      </w:r>
      <w:r w:rsidR="00992664" w:rsidRPr="00020424">
        <w:rPr>
          <w:rtl/>
        </w:rPr>
        <w:t xml:space="preserve"> ، ج 21 ، ص 547 ، ح 27831.</w:t>
      </w:r>
    </w:p>
    <w:p w:rsidR="00992664" w:rsidRPr="00020424" w:rsidRDefault="00795177" w:rsidP="004F05E5">
      <w:pPr>
        <w:pStyle w:val="libFootnote0"/>
        <w:rPr>
          <w:rtl/>
          <w:lang w:bidi="fa-IR"/>
        </w:rPr>
      </w:pPr>
      <w:r>
        <w:rPr>
          <w:rtl/>
        </w:rPr>
        <w:t>(4).</w:t>
      </w:r>
      <w:r w:rsidR="0014403D">
        <w:rPr>
          <w:rtl/>
        </w:rPr>
        <w:t xml:space="preserve"> </w:t>
      </w:r>
      <w:r w:rsidR="00992664" w:rsidRPr="00020424">
        <w:rPr>
          <w:rtl/>
        </w:rPr>
        <w:t>في الكافي ، ح 1992 : « يحيى » بدل « بعض من حدّثه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B534D" w:rsidTr="00DB534D">
        <w:tc>
          <w:tcPr>
            <w:tcW w:w="4006" w:type="dxa"/>
          </w:tcPr>
          <w:p w:rsidR="00DB534D" w:rsidRDefault="00DB534D" w:rsidP="00992664">
            <w:pPr>
              <w:pStyle w:val="libFootnote0"/>
              <w:rPr>
                <w:rtl/>
              </w:rPr>
            </w:pPr>
            <w:r>
              <w:rPr>
                <w:rtl/>
              </w:rPr>
              <w:t xml:space="preserve">(5). </w:t>
            </w:r>
            <w:r w:rsidRPr="00020424">
              <w:rPr>
                <w:rtl/>
              </w:rPr>
              <w:t xml:space="preserve">في « بح » : « قال رسول الله </w:t>
            </w:r>
            <w:r w:rsidRPr="00D64ADA">
              <w:rPr>
                <w:rStyle w:val="libFootnoteAlaemChar"/>
                <w:rtl/>
              </w:rPr>
              <w:t>صلى‌الله‌عليه‌وآله</w:t>
            </w:r>
            <w:r w:rsidRPr="00B42914">
              <w:rPr>
                <w:rStyle w:val="libAlaemChar"/>
                <w:rtl/>
              </w:rPr>
              <w:t>‌</w:t>
            </w:r>
            <w:r>
              <w:rPr>
                <w:rtl/>
              </w:rPr>
              <w:t xml:space="preserve"> ».</w:t>
            </w:r>
          </w:p>
        </w:tc>
        <w:tc>
          <w:tcPr>
            <w:tcW w:w="4006" w:type="dxa"/>
          </w:tcPr>
          <w:p w:rsidR="00DB534D" w:rsidRDefault="00DB534D" w:rsidP="00992664">
            <w:pPr>
              <w:pStyle w:val="libFootnote0"/>
              <w:rPr>
                <w:rtl/>
              </w:rPr>
            </w:pPr>
            <w:r>
              <w:rPr>
                <w:rtl/>
              </w:rPr>
              <w:t xml:space="preserve">(6). </w:t>
            </w:r>
            <w:r w:rsidRPr="00020424">
              <w:rPr>
                <w:rtl/>
              </w:rPr>
              <w:t>في الكافي ، ح 1992 : « بسط</w:t>
            </w:r>
            <w:r>
              <w:rPr>
                <w:rtl/>
              </w:rPr>
              <w:t xml:space="preserve"> ».</w:t>
            </w:r>
          </w:p>
        </w:tc>
      </w:tr>
      <w:tr w:rsidR="00DB534D" w:rsidTr="00DB534D">
        <w:tc>
          <w:tcPr>
            <w:tcW w:w="4006" w:type="dxa"/>
          </w:tcPr>
          <w:p w:rsidR="00DB534D" w:rsidRDefault="00DB534D" w:rsidP="00992664">
            <w:pPr>
              <w:pStyle w:val="libFootnote0"/>
              <w:rPr>
                <w:rtl/>
              </w:rPr>
            </w:pPr>
            <w:r>
              <w:rPr>
                <w:rtl/>
              </w:rPr>
              <w:t xml:space="preserve">(7). </w:t>
            </w:r>
            <w:r w:rsidRPr="00020424">
              <w:rPr>
                <w:rtl/>
              </w:rPr>
              <w:t>في « بر ، بك » :</w:t>
            </w:r>
            <w:r>
              <w:rPr>
                <w:rtl/>
              </w:rPr>
              <w:t xml:space="preserve"> - </w:t>
            </w:r>
            <w:r w:rsidRPr="00020424">
              <w:rPr>
                <w:rtl/>
              </w:rPr>
              <w:t>« الله</w:t>
            </w:r>
            <w:r>
              <w:rPr>
                <w:rtl/>
              </w:rPr>
              <w:t xml:space="preserve"> ».</w:t>
            </w:r>
          </w:p>
        </w:tc>
        <w:tc>
          <w:tcPr>
            <w:tcW w:w="4006" w:type="dxa"/>
          </w:tcPr>
          <w:p w:rsidR="00DB534D" w:rsidRDefault="00DB534D" w:rsidP="00992664">
            <w:pPr>
              <w:pStyle w:val="libFootnote0"/>
              <w:rPr>
                <w:rtl/>
              </w:rPr>
            </w:pPr>
            <w:r>
              <w:rPr>
                <w:rtl/>
              </w:rPr>
              <w:t xml:space="preserve">(8). </w:t>
            </w:r>
            <w:r w:rsidRPr="00020424">
              <w:rPr>
                <w:rtl/>
              </w:rPr>
              <w:t xml:space="preserve">في </w:t>
            </w:r>
            <w:r w:rsidRPr="0012008A">
              <w:rPr>
                <w:rStyle w:val="libFootnoteBoldChar"/>
                <w:rtl/>
              </w:rPr>
              <w:t>الوسائل</w:t>
            </w:r>
            <w:r w:rsidRPr="00020424">
              <w:rPr>
                <w:rtl/>
              </w:rPr>
              <w:t xml:space="preserve"> : « عليه</w:t>
            </w:r>
            <w:r>
              <w:rPr>
                <w:rtl/>
              </w:rPr>
              <w:t xml:space="preserve"> ».</w:t>
            </w:r>
          </w:p>
        </w:tc>
      </w:tr>
    </w:tbl>
    <w:p w:rsidR="00992664" w:rsidRPr="00020424" w:rsidRDefault="00795177" w:rsidP="00300F7C">
      <w:pPr>
        <w:pStyle w:val="libFootnote0"/>
        <w:rPr>
          <w:rtl/>
          <w:lang w:bidi="fa-IR"/>
        </w:rPr>
      </w:pPr>
      <w:r>
        <w:rPr>
          <w:rtl/>
        </w:rPr>
        <w:t>(9).</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صلة الرحم ، ضمن ح 1992. وفي </w:t>
      </w:r>
      <w:r w:rsidR="00992664" w:rsidRPr="00DE76B9">
        <w:rPr>
          <w:rStyle w:val="libFootnoteBoldChar"/>
          <w:rtl/>
        </w:rPr>
        <w:t>الزهد</w:t>
      </w:r>
      <w:r w:rsidR="00992664" w:rsidRPr="00020424">
        <w:rPr>
          <w:rtl/>
        </w:rPr>
        <w:t xml:space="preserve"> ، ص 103 ، ضمن ح 101 ، بسند آخر عن أميرالمؤمنين </w:t>
      </w:r>
      <w:r w:rsidR="00992664" w:rsidRPr="00D64ADA">
        <w:rPr>
          <w:rStyle w:val="libFootnoteAlaemChar"/>
          <w:rtl/>
        </w:rPr>
        <w:t>عليه‌السلام</w:t>
      </w:r>
      <w:r w:rsidR="00992664" w:rsidRPr="00020424">
        <w:rPr>
          <w:rtl/>
        </w:rPr>
        <w:t xml:space="preserve"> ، مع اختلاف يسير </w:t>
      </w:r>
      <w:r w:rsidR="00300F7C">
        <w:rPr>
          <w:rFonts w:hint="cs"/>
          <w:rtl/>
        </w:rPr>
        <w:t>.</w:t>
      </w:r>
      <w:r w:rsidR="00992664" w:rsidRPr="0012008A">
        <w:rPr>
          <w:rStyle w:val="libFootnoteBoldChar"/>
          <w:rtl/>
        </w:rPr>
        <w:t>الوافي</w:t>
      </w:r>
      <w:r w:rsidR="00992664" w:rsidRPr="00020424">
        <w:rPr>
          <w:rtl/>
        </w:rPr>
        <w:t xml:space="preserve"> ، ج 10 ، ص 488 ، ح 9947 ؛ </w:t>
      </w:r>
      <w:r w:rsidR="00992664" w:rsidRPr="0012008A">
        <w:rPr>
          <w:rStyle w:val="libFootnoteBoldChar"/>
          <w:rtl/>
        </w:rPr>
        <w:t>الوسائل</w:t>
      </w:r>
      <w:r w:rsidR="00300F7C">
        <w:rPr>
          <w:rtl/>
        </w:rPr>
        <w:t xml:space="preserve"> ، ج 21،ص548،ح27832</w:t>
      </w:r>
      <w:r w:rsidR="00992664" w:rsidRPr="00020424">
        <w:rPr>
          <w:rtl/>
        </w:rPr>
        <w:t>؛</w:t>
      </w:r>
      <w:r w:rsidR="00992664" w:rsidRPr="0012008A">
        <w:rPr>
          <w:rStyle w:val="libFootnoteBoldChar"/>
          <w:rtl/>
        </w:rPr>
        <w:t>البحار</w:t>
      </w:r>
      <w:r w:rsidR="00300F7C">
        <w:rPr>
          <w:rtl/>
        </w:rPr>
        <w:t>،ج 71،ص 121،</w:t>
      </w:r>
      <w:r w:rsidR="00992664" w:rsidRPr="00020424">
        <w:rPr>
          <w:rtl/>
        </w:rPr>
        <w:t>ح 86.</w:t>
      </w:r>
      <w:r w:rsidR="00300F7C">
        <w:rPr>
          <w:rFonts w:hint="cs"/>
          <w:rtl/>
        </w:rPr>
        <w:t xml:space="preserve"> </w:t>
      </w:r>
      <w:r>
        <w:rPr>
          <w:rtl/>
        </w:rPr>
        <w:t>(10).</w:t>
      </w:r>
      <w:r w:rsidR="0014403D">
        <w:rPr>
          <w:rtl/>
        </w:rPr>
        <w:t xml:space="preserve"> </w:t>
      </w:r>
      <w:r w:rsidR="00992664" w:rsidRPr="00020424">
        <w:rPr>
          <w:rtl/>
        </w:rPr>
        <w:t>في « بخ » والعيون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 ظ ، ى ، بث ، بح ، بخ ، بر ، بف ، بك » </w:t>
      </w:r>
      <w:r w:rsidR="00992664" w:rsidRPr="00EB1FD9">
        <w:rPr>
          <w:rStyle w:val="libFootnoteBoldChar"/>
          <w:rtl/>
        </w:rPr>
        <w:t>والوسائل</w:t>
      </w:r>
      <w:r w:rsidR="00992664" w:rsidRPr="00020424">
        <w:rPr>
          <w:rtl/>
        </w:rPr>
        <w:t>. وفي « بس ، جن » والمطبوع : + « الرضا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يا أبا جعفر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7093D">
      <w:pPr>
        <w:pStyle w:val="libNormal0"/>
        <w:rPr>
          <w:rtl/>
          <w:lang w:bidi="fa-IR"/>
        </w:rPr>
      </w:pPr>
      <w:r w:rsidRPr="00020424">
        <w:rPr>
          <w:rtl/>
          <w:lang w:bidi="fa-IR"/>
        </w:rPr>
        <w:t xml:space="preserve">الْمَوَالِيَ إِذَا رَكِبْتَ ، أَخْرَجُوكَ مِنَ الْبَابِ الصَّغِيرِ ، فَإِنَّمَا </w:t>
      </w:r>
      <w:r w:rsidRPr="00A91B96">
        <w:rPr>
          <w:rStyle w:val="libFootnotenumChar"/>
          <w:rtl/>
        </w:rPr>
        <w:t>(1)</w:t>
      </w:r>
      <w:r w:rsidRPr="00020424">
        <w:rPr>
          <w:rtl/>
          <w:lang w:bidi="fa-IR"/>
        </w:rPr>
        <w:t xml:space="preserve"> ذلِكَ مِنْ بُخْلٍ مِنْهُمْ </w:t>
      </w:r>
      <w:r w:rsidRPr="00A91B96">
        <w:rPr>
          <w:rStyle w:val="libFootnotenumChar"/>
          <w:rtl/>
        </w:rPr>
        <w:t>(2)</w:t>
      </w:r>
      <w:r w:rsidR="00300F7C">
        <w:rPr>
          <w:rtl/>
          <w:lang w:bidi="fa-IR"/>
        </w:rPr>
        <w:t xml:space="preserve"> لِئَل</w:t>
      </w:r>
      <w:r w:rsidR="00300F7C">
        <w:rPr>
          <w:rFonts w:hint="cs"/>
          <w:rtl/>
          <w:lang w:bidi="fa-IR"/>
        </w:rPr>
        <w:t>َّ</w:t>
      </w:r>
      <w:r w:rsidR="00300F7C">
        <w:rPr>
          <w:rtl/>
          <w:lang w:bidi="fa-IR"/>
        </w:rPr>
        <w:t>ا</w:t>
      </w:r>
      <w:r w:rsidRPr="00020424">
        <w:rPr>
          <w:rtl/>
          <w:lang w:bidi="fa-IR"/>
        </w:rPr>
        <w:t xml:space="preserve"> يَنَالَ مِنْكَ أَحَدٌ </w:t>
      </w:r>
      <w:r w:rsidRPr="00A91B96">
        <w:rPr>
          <w:rStyle w:val="libFootnotenumChar"/>
          <w:rtl/>
        </w:rPr>
        <w:t>(3)</w:t>
      </w:r>
      <w:r w:rsidRPr="00020424">
        <w:rPr>
          <w:rtl/>
          <w:lang w:bidi="fa-IR"/>
        </w:rPr>
        <w:t xml:space="preserve"> خَيْراً ، وَأَسْأَلُكَ بِحَقِّي عَلَيْكَ لَايَكُنْ </w:t>
      </w:r>
      <w:r w:rsidRPr="00A91B96">
        <w:rPr>
          <w:rStyle w:val="libFootnotenumChar"/>
          <w:rtl/>
        </w:rPr>
        <w:t>(4)</w:t>
      </w:r>
      <w:r w:rsidRPr="00020424">
        <w:rPr>
          <w:rtl/>
          <w:lang w:bidi="fa-IR"/>
        </w:rPr>
        <w:t xml:space="preserve"> مَدْخَلُكَ وَمَخْرَجُكَ </w:t>
      </w:r>
      <w:r w:rsidRPr="00A91B96">
        <w:rPr>
          <w:rStyle w:val="libFootnotenumChar"/>
          <w:rtl/>
        </w:rPr>
        <w:t>(5)</w:t>
      </w:r>
      <w:r w:rsidRPr="00020424">
        <w:rPr>
          <w:rtl/>
          <w:lang w:bidi="fa-IR"/>
        </w:rPr>
        <w:t xml:space="preserve"> إِل</w:t>
      </w:r>
      <w:r w:rsidR="0027093D">
        <w:rPr>
          <w:rFonts w:hint="cs"/>
          <w:rtl/>
          <w:lang w:bidi="fa-IR"/>
        </w:rPr>
        <w:t>َّ</w:t>
      </w:r>
      <w:r w:rsidR="0027093D">
        <w:rPr>
          <w:rtl/>
          <w:lang w:bidi="fa-IR"/>
        </w:rPr>
        <w:t>ا</w:t>
      </w:r>
      <w:r w:rsidRPr="00020424">
        <w:rPr>
          <w:rtl/>
          <w:lang w:bidi="fa-IR"/>
        </w:rPr>
        <w:t xml:space="preserve"> مِنَ الْبَابِ الْكَبِيرِ ، فَإِذَا </w:t>
      </w:r>
      <w:r w:rsidRPr="00A91B96">
        <w:rPr>
          <w:rStyle w:val="libFootnotenumChar"/>
          <w:rtl/>
        </w:rPr>
        <w:t>(6)</w:t>
      </w:r>
      <w:r w:rsidRPr="00020424">
        <w:rPr>
          <w:rtl/>
          <w:lang w:bidi="fa-IR"/>
        </w:rPr>
        <w:t xml:space="preserve"> رَكِبْتَ ، فَلْيَكُنْ مَعَكَ ذَهَبٌ وَفِضَّةٌ ، ثُمَّ لَايَسْأَلُكَ أَحَدٌ شَيْئاً </w:t>
      </w:r>
      <w:r w:rsidR="0027093D" w:rsidRPr="00020424">
        <w:rPr>
          <w:rtl/>
          <w:lang w:bidi="fa-IR"/>
        </w:rPr>
        <w:t>إِل</w:t>
      </w:r>
      <w:r w:rsidR="0027093D">
        <w:rPr>
          <w:rFonts w:hint="cs"/>
          <w:rtl/>
          <w:lang w:bidi="fa-IR"/>
        </w:rPr>
        <w:t>َّ</w:t>
      </w:r>
      <w:r w:rsidR="0027093D">
        <w:rPr>
          <w:rtl/>
          <w:lang w:bidi="fa-IR"/>
        </w:rPr>
        <w:t>ا</w:t>
      </w:r>
      <w:r w:rsidR="0027093D" w:rsidRPr="00020424">
        <w:rPr>
          <w:rtl/>
          <w:lang w:bidi="fa-IR"/>
        </w:rPr>
        <w:t xml:space="preserve"> </w:t>
      </w:r>
      <w:r w:rsidRPr="00020424">
        <w:rPr>
          <w:rtl/>
          <w:lang w:bidi="fa-IR"/>
        </w:rPr>
        <w:t xml:space="preserve">أَعْطَيْتَهُ ، وَمَنْ سَأَلَكَ مِنْ عُمُومَتِكَ أَنْ تَبَرَّهُ ، فَلَا تُعْطِهِ أَقَلَّ مِنْ خَمْسِينَ دِينَاراً وَالْكَثِيرُ إِلَيْكَ ، وَمَنْ سَأَلَكَ مِنْ عَمَّاتِكَ ، فَلَا تُعْطِهَا أَقَلَّ مِنْ خَمْسَةٍ وَعِشْرِينَ دِينَاراً وَالْكَثِيرُ إِلَيْكَ ؛ إِنِّي </w:t>
      </w:r>
      <w:r w:rsidRPr="00A91B96">
        <w:rPr>
          <w:rStyle w:val="libFootnotenumChar"/>
          <w:rtl/>
        </w:rPr>
        <w:t>(7)</w:t>
      </w:r>
      <w:r w:rsidRPr="00020424">
        <w:rPr>
          <w:rtl/>
          <w:lang w:bidi="fa-IR"/>
        </w:rPr>
        <w:t xml:space="preserve"> إِنَّمَا أُرِيدُ بِذلِكَ أَنْ يَرْفَعَكَ </w:t>
      </w:r>
      <w:r w:rsidRPr="00A91B96">
        <w:rPr>
          <w:rStyle w:val="libFootnotenumChar"/>
          <w:rtl/>
        </w:rPr>
        <w:t>(8)</w:t>
      </w:r>
      <w:r w:rsidRPr="00020424">
        <w:rPr>
          <w:rtl/>
          <w:lang w:bidi="fa-IR"/>
        </w:rPr>
        <w:t xml:space="preserve"> اللهُ ، فَأَنْفِقْ وَلَاتَخْشَ مِنْ ذِي الْعَرْشِ إِقْتَاراً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866B8B">
        <w:rPr>
          <w:rtl/>
        </w:rPr>
        <w:t>6166</w:t>
      </w:r>
      <w:r w:rsidRPr="001155DE">
        <w:rPr>
          <w:rStyle w:val="libBold2Char"/>
          <w:rtl/>
        </w:rPr>
        <w:t xml:space="preserve"> / 6.</w:t>
      </w:r>
      <w:r w:rsidRPr="00020424">
        <w:rPr>
          <w:rtl/>
          <w:lang w:bidi="fa-IR"/>
        </w:rPr>
        <w:t xml:space="preserve"> أَحْمَدُ بْنُ مُحَمَّدِ بْنِ خَالِدٍ </w:t>
      </w:r>
      <w:r w:rsidRPr="00A91B96">
        <w:rPr>
          <w:rStyle w:val="libFootnotenumChar"/>
          <w:rtl/>
        </w:rPr>
        <w:t>(11)</w:t>
      </w:r>
      <w:r w:rsidRPr="00020424">
        <w:rPr>
          <w:rtl/>
          <w:lang w:bidi="fa-IR"/>
        </w:rPr>
        <w:t xml:space="preserve"> ، عَنْ جَهْمِ بْنِ الْحَكَمِ الْمَدَائِنِيِّ ، عَنْ إِسْمَاعِيلَ بْنِ أَبِي زِيَادٍ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الْأَيْدِي ثَلَاثَةٌ : سَائِلَةٌ ، وَمُنْفِقَةٌ ، وَمُمْسِكَةٌ ؛ وَخَيْرُ </w:t>
      </w:r>
      <w:r w:rsidRPr="00A91B96">
        <w:rPr>
          <w:rStyle w:val="libFootnotenumChar"/>
          <w:rtl/>
        </w:rPr>
        <w:t>(12)</w:t>
      </w:r>
      <w:r w:rsidRPr="00020424">
        <w:rPr>
          <w:rtl/>
          <w:lang w:bidi="fa-IR"/>
        </w:rPr>
        <w:t xml:space="preserve"> الْأَيْدِي الْمُنْفِقَةُ </w:t>
      </w:r>
      <w:r w:rsidRPr="00A91B96">
        <w:rPr>
          <w:rStyle w:val="libFootnotenumChar"/>
          <w:rtl/>
        </w:rPr>
        <w:t>(13)</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بس » وحاشية « بح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وإنّما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بح ، بس » وحاشية « ظ » </w:t>
      </w:r>
      <w:r w:rsidR="00992664" w:rsidRPr="00EB1FD9">
        <w:rPr>
          <w:rStyle w:val="libFootnoteBoldChar"/>
          <w:rtl/>
        </w:rPr>
        <w:t>والوسائل</w:t>
      </w:r>
      <w:r w:rsidR="00992664" w:rsidRPr="00020424">
        <w:rPr>
          <w:rtl/>
        </w:rPr>
        <w:t xml:space="preserve"> والعيون : « بهم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بف ، بك » : « أحد منك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بك » : « لا تكن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 « ولا مخرجك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بخ ، بر ، بف ، بك » </w:t>
      </w:r>
      <w:r w:rsidR="00992664" w:rsidRPr="00515444">
        <w:rPr>
          <w:rStyle w:val="libFootnoteBoldChar"/>
          <w:rtl/>
        </w:rPr>
        <w:t>والوافي</w:t>
      </w:r>
      <w:r w:rsidR="00992664" w:rsidRPr="00020424">
        <w:rPr>
          <w:rtl/>
        </w:rPr>
        <w:t xml:space="preserve"> والعيون : « وإذا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7093D" w:rsidTr="0027093D">
        <w:tc>
          <w:tcPr>
            <w:tcW w:w="4006" w:type="dxa"/>
          </w:tcPr>
          <w:p w:rsidR="0027093D" w:rsidRDefault="0027093D" w:rsidP="00992664">
            <w:pPr>
              <w:pStyle w:val="libFootnote0"/>
              <w:rPr>
                <w:rtl/>
              </w:rPr>
            </w:pPr>
            <w:r>
              <w:rPr>
                <w:rtl/>
              </w:rPr>
              <w:t xml:space="preserve">(7). </w:t>
            </w:r>
            <w:r w:rsidRPr="00020424">
              <w:rPr>
                <w:rtl/>
              </w:rPr>
              <w:t>في « ى » : « وإنّي</w:t>
            </w:r>
            <w:r>
              <w:rPr>
                <w:rtl/>
              </w:rPr>
              <w:t xml:space="preserve"> ».</w:t>
            </w:r>
            <w:r w:rsidRPr="00020424">
              <w:rPr>
                <w:rtl/>
              </w:rPr>
              <w:t xml:space="preserve"> وفي « بح » :</w:t>
            </w:r>
            <w:r>
              <w:rPr>
                <w:rtl/>
              </w:rPr>
              <w:t xml:space="preserve"> - </w:t>
            </w:r>
            <w:r w:rsidRPr="00020424">
              <w:rPr>
                <w:rtl/>
              </w:rPr>
              <w:t>« إنّي</w:t>
            </w:r>
            <w:r>
              <w:rPr>
                <w:rtl/>
              </w:rPr>
              <w:t xml:space="preserve"> ».</w:t>
            </w:r>
          </w:p>
        </w:tc>
        <w:tc>
          <w:tcPr>
            <w:tcW w:w="4006" w:type="dxa"/>
          </w:tcPr>
          <w:p w:rsidR="0027093D" w:rsidRDefault="0027093D" w:rsidP="00992664">
            <w:pPr>
              <w:pStyle w:val="libFootnote0"/>
              <w:rPr>
                <w:rtl/>
              </w:rPr>
            </w:pPr>
            <w:r>
              <w:rPr>
                <w:rtl/>
              </w:rPr>
              <w:t xml:space="preserve">(8). </w:t>
            </w:r>
            <w:r w:rsidRPr="00020424">
              <w:rPr>
                <w:rtl/>
              </w:rPr>
              <w:t xml:space="preserve">في « بر ، بك » </w:t>
            </w:r>
            <w:r w:rsidRPr="00515444">
              <w:rPr>
                <w:rStyle w:val="libFootnoteBoldChar"/>
                <w:rtl/>
              </w:rPr>
              <w:t>والوافي</w:t>
            </w:r>
            <w:r w:rsidRPr="00020424">
              <w:rPr>
                <w:rtl/>
              </w:rPr>
              <w:t xml:space="preserve"> : « ليرفعك</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الإقتار : التضييق على الإنسان في الرزق ، يقال : أقتر الله رزقه ، أي ضيّقه وقلّله ، وكذا القَتْر والتقتير. راجع : </w:t>
      </w:r>
      <w:r w:rsidR="00992664" w:rsidRPr="0012008A">
        <w:rPr>
          <w:rStyle w:val="libFootnoteBoldChar"/>
          <w:rtl/>
        </w:rPr>
        <w:t>الصحاح</w:t>
      </w:r>
      <w:r w:rsidR="00992664" w:rsidRPr="00020424">
        <w:rPr>
          <w:rtl/>
        </w:rPr>
        <w:t xml:space="preserve"> ، ج 2 ، ص 786 ؛ </w:t>
      </w:r>
      <w:r w:rsidR="00992664" w:rsidRPr="0012008A">
        <w:rPr>
          <w:rStyle w:val="libFootnoteBoldChar"/>
          <w:rtl/>
        </w:rPr>
        <w:t>النهاية</w:t>
      </w:r>
      <w:r w:rsidR="00992664" w:rsidRPr="00020424">
        <w:rPr>
          <w:rtl/>
        </w:rPr>
        <w:t xml:space="preserve"> ، ج 4 ، ص 12 ( قتر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عيون الأخبار</w:t>
      </w:r>
      <w:r w:rsidR="00992664" w:rsidRPr="00020424">
        <w:rPr>
          <w:rtl/>
        </w:rPr>
        <w:t xml:space="preserve"> ، ج 2 ، ص 8 ، ح 20 ، بسنده عن محمّد بن يحيى العطّار ، عن أحمد بن محمّد بن عيسى ، عن أحمد بن محمّد بن أبي نصر البزنظي </w:t>
      </w:r>
      <w:r w:rsidR="00795B62">
        <w:rPr>
          <w:rFonts w:hint="cs"/>
          <w:rtl/>
        </w:rPr>
        <w:t>.</w:t>
      </w:r>
      <w:r w:rsidR="00992664" w:rsidRPr="0012008A">
        <w:rPr>
          <w:rStyle w:val="libFootnoteBoldChar"/>
          <w:rtl/>
        </w:rPr>
        <w:t>الوافي</w:t>
      </w:r>
      <w:r w:rsidR="00992664" w:rsidRPr="00020424">
        <w:rPr>
          <w:rtl/>
        </w:rPr>
        <w:t xml:space="preserve"> ، ج 10 ، ص 489 ، ح 9951 ؛ </w:t>
      </w:r>
      <w:r w:rsidR="00992664" w:rsidRPr="0012008A">
        <w:rPr>
          <w:rStyle w:val="libFootnoteBoldChar"/>
          <w:rtl/>
        </w:rPr>
        <w:t>الوسائل</w:t>
      </w:r>
      <w:r w:rsidR="00992664" w:rsidRPr="00020424">
        <w:rPr>
          <w:rtl/>
        </w:rPr>
        <w:t xml:space="preserve"> ، ج 9 ، ص 463 ، ح 12504.</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السند معلّق على سابقه. ويروي عن أحمد بن محمّد بن خالد ، عدّة من أصحابنا.</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بح ، بخ ، بر ، بف ، بك » </w:t>
      </w:r>
      <w:r w:rsidR="00992664" w:rsidRPr="00EB1FD9">
        <w:rPr>
          <w:rStyle w:val="libFootnoteBoldChar"/>
          <w:rtl/>
        </w:rPr>
        <w:t>والوسائل</w:t>
      </w:r>
      <w:r w:rsidR="00992664" w:rsidRPr="00020424">
        <w:rPr>
          <w:rtl/>
        </w:rPr>
        <w:t xml:space="preserve"> : « فخير</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ظ ، ى ، بث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منفقة</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DE76B9">
        <w:rPr>
          <w:rStyle w:val="libFootnoteBoldChar"/>
          <w:rtl/>
        </w:rPr>
        <w:t>تحف العقول</w:t>
      </w:r>
      <w:r w:rsidR="00992664" w:rsidRPr="00020424">
        <w:rPr>
          <w:rtl/>
        </w:rPr>
        <w:t xml:space="preserve"> ، ص 45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795B62">
        <w:rPr>
          <w:rFonts w:hint="cs"/>
          <w:rtl/>
        </w:rPr>
        <w:t>.</w:t>
      </w:r>
      <w:r w:rsidR="00992664" w:rsidRPr="0012008A">
        <w:rPr>
          <w:rStyle w:val="libFootnoteBoldChar"/>
          <w:rtl/>
        </w:rPr>
        <w:t>الوافي</w:t>
      </w:r>
      <w:r w:rsidR="00992664" w:rsidRPr="00020424">
        <w:rPr>
          <w:rtl/>
        </w:rPr>
        <w:t xml:space="preserve"> ، ج 10 ، ص 489 ، ح 9953 ؛ </w:t>
      </w:r>
      <w:r w:rsidR="00992664" w:rsidRPr="0012008A">
        <w:rPr>
          <w:rStyle w:val="libFootnoteBoldChar"/>
          <w:rtl/>
        </w:rPr>
        <w:t>الوسائل</w:t>
      </w:r>
      <w:r w:rsidR="00992664" w:rsidRPr="00020424">
        <w:rPr>
          <w:rtl/>
        </w:rPr>
        <w:t xml:space="preserve"> ، ج 21 ، ص 548 ، </w:t>
      </w:r>
      <w:r w:rsidR="00B0636C">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66B8B">
        <w:rPr>
          <w:rtl/>
        </w:rPr>
        <w:t>6167</w:t>
      </w:r>
      <w:r w:rsidRPr="001155DE">
        <w:rPr>
          <w:rStyle w:val="libBold2Char"/>
          <w:rtl/>
        </w:rPr>
        <w:t xml:space="preserve"> / 7.</w:t>
      </w:r>
      <w:r w:rsidRPr="00020424">
        <w:rPr>
          <w:rtl/>
          <w:lang w:bidi="fa-IR"/>
        </w:rPr>
        <w:t xml:space="preserve"> أَحْمَدُ بْنُ مُحَمَّدٍ </w:t>
      </w:r>
      <w:r w:rsidRPr="00A91B96">
        <w:rPr>
          <w:rStyle w:val="libFootnotenumChar"/>
          <w:rtl/>
        </w:rPr>
        <w:t>(1)</w:t>
      </w:r>
      <w:r w:rsidRPr="00020424">
        <w:rPr>
          <w:rtl/>
          <w:lang w:bidi="fa-IR"/>
        </w:rPr>
        <w:t xml:space="preserve"> ، عَنْ أَبِيهِ ، عَنْ سَعْدَانَ ، عَنِ الْحُسَيْنِ </w:t>
      </w:r>
      <w:r w:rsidRPr="00A91B96">
        <w:rPr>
          <w:rStyle w:val="libFootnotenumChar"/>
          <w:rtl/>
        </w:rPr>
        <w:t>(2)</w:t>
      </w:r>
      <w:r w:rsidRPr="00020424">
        <w:rPr>
          <w:rtl/>
          <w:lang w:bidi="fa-IR"/>
        </w:rPr>
        <w:t xml:space="preserve"> بْنِ أَيْمَنَ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قَالَ </w:t>
      </w:r>
      <w:r w:rsidRPr="00A91B96">
        <w:rPr>
          <w:rStyle w:val="libFootnotenumChar"/>
          <w:rtl/>
        </w:rPr>
        <w:t>(4)</w:t>
      </w:r>
      <w:r w:rsidRPr="00020424">
        <w:rPr>
          <w:rtl/>
          <w:lang w:bidi="fa-IR"/>
        </w:rPr>
        <w:t xml:space="preserve"> : « يَا حُسَيْنُ ، أَنْفِقْ ، وَأَيْقِنْ بِالْخَلَفِ مِنَ اللهِ ، فَإِنَّهُ لَمْ يَبْخَلْ عَبْدٌ وَلَا</w:t>
      </w:r>
      <w:r>
        <w:rPr>
          <w:rFonts w:hint="cs"/>
          <w:rtl/>
          <w:lang w:bidi="fa-IR"/>
        </w:rPr>
        <w:t xml:space="preserve"> </w:t>
      </w:r>
      <w:r w:rsidRPr="00020424">
        <w:rPr>
          <w:rtl/>
          <w:lang w:bidi="fa-IR"/>
        </w:rPr>
        <w:t xml:space="preserve">أَمَةٌ بِنَفَقَةٍ </w:t>
      </w:r>
      <w:r w:rsidRPr="00A91B96">
        <w:rPr>
          <w:rStyle w:val="libFootnotenumChar"/>
          <w:rtl/>
        </w:rPr>
        <w:t>(5)</w:t>
      </w:r>
      <w:r w:rsidRPr="00020424">
        <w:rPr>
          <w:rtl/>
          <w:lang w:bidi="fa-IR"/>
        </w:rPr>
        <w:t xml:space="preserve"> فِيمَا يُرْضِي اللهَ</w:t>
      </w:r>
      <w:r>
        <w:rPr>
          <w:rtl/>
          <w:lang w:bidi="fa-IR"/>
        </w:rPr>
        <w:t xml:space="preserve"> </w:t>
      </w:r>
      <w:r w:rsidR="009B673F">
        <w:rPr>
          <w:rtl/>
          <w:lang w:bidi="fa-IR"/>
        </w:rPr>
        <w:t>-</w:t>
      </w:r>
      <w:r>
        <w:rPr>
          <w:rtl/>
          <w:lang w:bidi="fa-IR"/>
        </w:rPr>
        <w:t xml:space="preserve"> </w:t>
      </w:r>
      <w:r w:rsidRPr="00020424">
        <w:rPr>
          <w:rtl/>
          <w:lang w:bidi="fa-IR"/>
        </w:rPr>
        <w:t xml:space="preserve">عَزَّ وَجَلَّ </w:t>
      </w:r>
      <w:r w:rsidRPr="00A91B96">
        <w:rPr>
          <w:rStyle w:val="libFootnotenumChar"/>
          <w:rtl/>
        </w:rPr>
        <w:t>(6)</w:t>
      </w:r>
      <w:r>
        <w:rPr>
          <w:rtl/>
          <w:lang w:bidi="fa-IR"/>
        </w:rPr>
        <w:t xml:space="preserve"> </w:t>
      </w:r>
      <w:r w:rsidR="009B673F">
        <w:rPr>
          <w:rtl/>
          <w:lang w:bidi="fa-IR"/>
        </w:rPr>
        <w:t>-</w:t>
      </w:r>
      <w:r>
        <w:rPr>
          <w:rtl/>
          <w:lang w:bidi="fa-IR"/>
        </w:rPr>
        <w:t xml:space="preserve"> </w:t>
      </w:r>
      <w:r w:rsidR="005159A3">
        <w:rPr>
          <w:rtl/>
          <w:lang w:bidi="fa-IR"/>
        </w:rPr>
        <w:t>إِل</w:t>
      </w:r>
      <w:r w:rsidR="005159A3">
        <w:rPr>
          <w:rFonts w:hint="cs"/>
          <w:rtl/>
          <w:lang w:bidi="fa-IR"/>
        </w:rPr>
        <w:t>َّ</w:t>
      </w:r>
      <w:r w:rsidR="005159A3">
        <w:rPr>
          <w:rtl/>
          <w:lang w:bidi="fa-IR"/>
        </w:rPr>
        <w:t>ا</w:t>
      </w:r>
      <w:r w:rsidRPr="00020424">
        <w:rPr>
          <w:rtl/>
          <w:lang w:bidi="fa-IR"/>
        </w:rPr>
        <w:t xml:space="preserve"> أَنْفَقَ أَضْعَافَهَا </w:t>
      </w:r>
      <w:r w:rsidRPr="00A91B96">
        <w:rPr>
          <w:rStyle w:val="libFootnotenumChar"/>
          <w:rtl/>
        </w:rPr>
        <w:t>(7)</w:t>
      </w:r>
      <w:r w:rsidRPr="00020424">
        <w:rPr>
          <w:rtl/>
          <w:lang w:bidi="fa-IR"/>
        </w:rPr>
        <w:t xml:space="preserve"> فِيمَا يُسْخِطُ اللهَ عَزَّ وَجَلَّ</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866B8B">
        <w:rPr>
          <w:rtl/>
        </w:rPr>
        <w:t>6168</w:t>
      </w:r>
      <w:r w:rsidRPr="001155DE">
        <w:rPr>
          <w:rStyle w:val="libBold2Char"/>
          <w:rtl/>
        </w:rPr>
        <w:t xml:space="preserve"> / 8.</w:t>
      </w:r>
      <w:r w:rsidRPr="00020424">
        <w:rPr>
          <w:rtl/>
          <w:lang w:bidi="fa-IR"/>
        </w:rPr>
        <w:t xml:space="preserve"> عَلِيُّ بْنُ إِبْرَاهِيمَ ، عَنْ أَبِيهِ ، عَنْ حَمَّادِ بْنِ عِيسى ، عَنْ عُمَرَ </w:t>
      </w:r>
      <w:r w:rsidRPr="00A91B96">
        <w:rPr>
          <w:rStyle w:val="libFootnotenumChar"/>
          <w:rtl/>
        </w:rPr>
        <w:t>(9)</w:t>
      </w:r>
      <w:r w:rsidRPr="00020424">
        <w:rPr>
          <w:rtl/>
          <w:lang w:bidi="fa-IR"/>
        </w:rPr>
        <w:t xml:space="preserve"> بْنِ أُذَيْنَةَ :</w:t>
      </w:r>
    </w:p>
    <w:p w:rsidR="00992664" w:rsidRPr="00020424" w:rsidRDefault="00992664" w:rsidP="00992664">
      <w:pPr>
        <w:pStyle w:val="libNormal"/>
        <w:rPr>
          <w:rtl/>
          <w:lang w:bidi="fa-IR"/>
        </w:rPr>
      </w:pPr>
      <w:r w:rsidRPr="00020424">
        <w:rPr>
          <w:rtl/>
          <w:lang w:bidi="fa-IR"/>
        </w:rPr>
        <w:t xml:space="preserve">رَفَعَهُ إِلى </w:t>
      </w:r>
      <w:r w:rsidRPr="00A91B96">
        <w:rPr>
          <w:rStyle w:val="libFootnotenumChar"/>
          <w:rtl/>
        </w:rPr>
        <w:t>(10)</w:t>
      </w:r>
      <w:r w:rsidRPr="00020424">
        <w:rPr>
          <w:rtl/>
          <w:lang w:bidi="fa-IR"/>
        </w:rPr>
        <w:t xml:space="preserve"> أَبِي عَبْدِ اللهِ </w:t>
      </w:r>
      <w:r w:rsidRPr="00005A81">
        <w:rPr>
          <w:rStyle w:val="libAlaemChar"/>
          <w:rtl/>
        </w:rPr>
        <w:t>عليه‌السلام</w:t>
      </w:r>
      <w:r w:rsidRPr="00020424">
        <w:rPr>
          <w:rtl/>
          <w:lang w:bidi="fa-IR"/>
        </w:rPr>
        <w:t xml:space="preserve"> ، أَوْ أَبِي جَعْفَرٍ </w:t>
      </w:r>
      <w:r w:rsidRPr="00A91B96">
        <w:rPr>
          <w:rStyle w:val="libFootnotenumChar"/>
          <w:rtl/>
        </w:rPr>
        <w:t>(11)</w:t>
      </w:r>
      <w:r w:rsidRPr="00020424">
        <w:rPr>
          <w:rtl/>
          <w:lang w:bidi="fa-IR"/>
        </w:rPr>
        <w:t xml:space="preserve"> </w:t>
      </w:r>
      <w:r w:rsidRPr="00005A81">
        <w:rPr>
          <w:rStyle w:val="libAlaemChar"/>
          <w:rtl/>
        </w:rPr>
        <w:t>عليه‌السلام</w:t>
      </w:r>
      <w:r w:rsidRPr="00020424">
        <w:rPr>
          <w:rtl/>
          <w:lang w:bidi="fa-IR"/>
        </w:rPr>
        <w:t xml:space="preserve"> ، قَالَ : « يُنْزِلُ </w:t>
      </w:r>
      <w:r w:rsidRPr="00A91B96">
        <w:rPr>
          <w:rStyle w:val="libFootnotenumChar"/>
          <w:rtl/>
        </w:rPr>
        <w:t>(12)</w:t>
      </w:r>
      <w:r w:rsidRPr="00020424">
        <w:rPr>
          <w:rtl/>
          <w:lang w:bidi="fa-IR"/>
        </w:rPr>
        <w:t xml:space="preserve"> اللهُ </w:t>
      </w:r>
      <w:r w:rsidRPr="00A91B96">
        <w:rPr>
          <w:rStyle w:val="libFootnotenumChar"/>
          <w:rtl/>
        </w:rPr>
        <w:t>(13)</w:t>
      </w:r>
      <w:r w:rsidRPr="00020424">
        <w:rPr>
          <w:rtl/>
          <w:lang w:bidi="fa-IR"/>
        </w:rPr>
        <w:t xml:space="preserve"> الْمَعُونَةَ مِنَ السَّمَاءِ إِلَى الْعَبْدِ بِقَدْرِ الْمَؤُونَةِ ، فَمَنْ </w:t>
      </w:r>
      <w:r w:rsidRPr="00A91B96">
        <w:rPr>
          <w:rStyle w:val="libFootnotenumChar"/>
          <w:rtl/>
        </w:rPr>
        <w:t>(14)</w:t>
      </w:r>
      <w:r w:rsidRPr="00020424">
        <w:rPr>
          <w:rtl/>
          <w:lang w:bidi="fa-IR"/>
        </w:rPr>
        <w:t xml:space="preserve"> أَيْقَنَ بِالْخَلَفِ ، سَخَتْ </w:t>
      </w:r>
      <w:r w:rsidRPr="00A91B96">
        <w:rPr>
          <w:rStyle w:val="libFootnotenumChar"/>
          <w:rtl/>
        </w:rPr>
        <w:t>(15)</w:t>
      </w:r>
      <w:r w:rsidRPr="00020424">
        <w:rPr>
          <w:rtl/>
          <w:lang w:bidi="fa-IR"/>
        </w:rPr>
        <w:t xml:space="preserve"> نَفْسُهُ بِالنَّفَقَةِ</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45241B" w:rsidP="00992664">
      <w:pPr>
        <w:pStyle w:val="libFootnote0"/>
        <w:rPr>
          <w:rtl/>
          <w:lang w:bidi="fa-IR"/>
        </w:rPr>
      </w:pPr>
      <w:r>
        <w:rPr>
          <w:rFonts w:hint="cs"/>
          <w:rtl/>
        </w:rPr>
        <w:t xml:space="preserve">= </w:t>
      </w:r>
      <w:r w:rsidR="00992664" w:rsidRPr="00020424">
        <w:rPr>
          <w:rtl/>
        </w:rPr>
        <w:t>ح 27833.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كسابقه ؛ فقد روى محمّد بن خالد عن سعدان [ بن مسلم ] في بعض الأسناد. راجع : </w:t>
      </w:r>
      <w:r w:rsidR="00992664" w:rsidRPr="00DE76B9">
        <w:rPr>
          <w:rStyle w:val="libFootnoteBoldChar"/>
          <w:rtl/>
        </w:rPr>
        <w:t>معجم رجال الحديث</w:t>
      </w:r>
      <w:r w:rsidR="00992664" w:rsidRPr="00020424">
        <w:rPr>
          <w:rtl/>
        </w:rPr>
        <w:t xml:space="preserve"> ، ج 16 ، ص 357</w:t>
      </w:r>
      <w:r w:rsidR="00992664">
        <w:rPr>
          <w:rtl/>
        </w:rPr>
        <w:t xml:space="preserve"> </w:t>
      </w:r>
      <w:r w:rsidR="009B673F">
        <w:rPr>
          <w:rtl/>
        </w:rPr>
        <w:t>-</w:t>
      </w:r>
      <w:r w:rsidR="00992664">
        <w:rPr>
          <w:rtl/>
        </w:rPr>
        <w:t xml:space="preserve"> </w:t>
      </w:r>
      <w:r w:rsidR="00992664" w:rsidRPr="00020424">
        <w:rPr>
          <w:rtl/>
        </w:rPr>
        <w:t>358.</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بخ ، بر ، بف » </w:t>
      </w:r>
      <w:r w:rsidR="00992664" w:rsidRPr="00EB1FD9">
        <w:rPr>
          <w:rStyle w:val="libFootnoteBoldChar"/>
          <w:rtl/>
        </w:rPr>
        <w:t>والوسائل</w:t>
      </w:r>
      <w:r w:rsidR="00992664" w:rsidRPr="00020424">
        <w:rPr>
          <w:rtl/>
        </w:rPr>
        <w:t xml:space="preserve"> : « حسين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بح » وحاشية « ظ ، جن » </w:t>
      </w:r>
      <w:r w:rsidR="00992664" w:rsidRPr="00EB1FD9">
        <w:rPr>
          <w:rStyle w:val="libFootnoteBoldChar"/>
          <w:rtl/>
        </w:rPr>
        <w:t>والوسائل</w:t>
      </w:r>
      <w:r w:rsidR="00992664" w:rsidRPr="00020424">
        <w:rPr>
          <w:rtl/>
        </w:rPr>
        <w:t xml:space="preserve"> : « أبتر</w:t>
      </w:r>
      <w:r w:rsidR="00992664">
        <w:rPr>
          <w:rtl/>
        </w:rPr>
        <w:t xml:space="preserve"> ».</w:t>
      </w:r>
      <w:r w:rsidR="00992664" w:rsidRPr="00020424">
        <w:rPr>
          <w:rtl/>
        </w:rPr>
        <w:t xml:space="preserve"> وفي « بخ » : « أبان</w:t>
      </w:r>
      <w:r w:rsidR="00992664">
        <w:rPr>
          <w:rtl/>
        </w:rPr>
        <w:t xml:space="preserve"> ».</w:t>
      </w:r>
      <w:r w:rsidR="00992664" w:rsidRPr="00020424">
        <w:rPr>
          <w:rtl/>
        </w:rPr>
        <w:t xml:space="preserve"> وفي « بف » : « أمير</w:t>
      </w:r>
      <w:r w:rsidR="00992664">
        <w:rPr>
          <w:rtl/>
        </w:rPr>
        <w:t xml:space="preserve"> ».</w:t>
      </w:r>
      <w:r w:rsidR="00992664" w:rsidRPr="00020424">
        <w:rPr>
          <w:rtl/>
        </w:rPr>
        <w:t xml:space="preserve"> وفي « جر » : « أعين » ، والمذكور في بعض نسخ </w:t>
      </w:r>
      <w:r w:rsidR="00992664" w:rsidRPr="00DE76B9">
        <w:rPr>
          <w:rStyle w:val="libFootnoteBoldChar"/>
          <w:rtl/>
        </w:rPr>
        <w:t>رجال الطوسي</w:t>
      </w:r>
      <w:r w:rsidR="00992664" w:rsidRPr="00020424">
        <w:rPr>
          <w:rtl/>
        </w:rPr>
        <w:t xml:space="preserve"> ، ذيل أصحاب أبي جعفر محمّد بن عليّ بن الحسين </w:t>
      </w:r>
      <w:r w:rsidR="00992664" w:rsidRPr="00D64ADA">
        <w:rPr>
          <w:rStyle w:val="libFootnoteAlaemChar"/>
          <w:rtl/>
        </w:rPr>
        <w:t>عليه‌السلام</w:t>
      </w:r>
      <w:r w:rsidR="00992664" w:rsidRPr="00020424">
        <w:rPr>
          <w:rtl/>
        </w:rPr>
        <w:t xml:space="preserve"> هو الحسين بن أيمن.</w:t>
      </w:r>
      <w:r w:rsidR="00992664">
        <w:rPr>
          <w:rFonts w:hint="cs"/>
          <w:rtl/>
          <w:lang w:bidi="fa-IR"/>
        </w:rPr>
        <w:t xml:space="preserve"> </w:t>
      </w:r>
      <w:r w:rsidR="00212635">
        <w:rPr>
          <w:rFonts w:hint="cs"/>
          <w:rtl/>
          <w:lang w:bidi="fa-IR"/>
        </w:rPr>
        <w:t xml:space="preserve">                          </w:t>
      </w:r>
      <w:r>
        <w:rPr>
          <w:rtl/>
        </w:rPr>
        <w:t>(4).</w:t>
      </w:r>
      <w:r w:rsidR="0014403D">
        <w:rPr>
          <w:rtl/>
        </w:rPr>
        <w:t xml:space="preserve"> </w:t>
      </w:r>
      <w:r w:rsidR="00992664" w:rsidRPr="00020424">
        <w:rPr>
          <w:rtl/>
        </w:rPr>
        <w:t xml:space="preserve">في « بر ، بف ، بك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12635" w:rsidTr="00212635">
        <w:tc>
          <w:tcPr>
            <w:tcW w:w="4006" w:type="dxa"/>
          </w:tcPr>
          <w:p w:rsidR="00212635" w:rsidRDefault="00212635"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بنفقته</w:t>
            </w:r>
            <w:r>
              <w:rPr>
                <w:rtl/>
              </w:rPr>
              <w:t xml:space="preserve"> ».</w:t>
            </w:r>
          </w:p>
        </w:tc>
        <w:tc>
          <w:tcPr>
            <w:tcW w:w="4006" w:type="dxa"/>
          </w:tcPr>
          <w:p w:rsidR="00212635" w:rsidRDefault="00212635" w:rsidP="00992664">
            <w:pPr>
              <w:pStyle w:val="libFootnote0"/>
              <w:rPr>
                <w:rtl/>
              </w:rPr>
            </w:pPr>
            <w:r>
              <w:rPr>
                <w:rtl/>
              </w:rPr>
              <w:t xml:space="preserve">(6). </w:t>
            </w:r>
            <w:r w:rsidRPr="00020424">
              <w:rPr>
                <w:rtl/>
              </w:rPr>
              <w:t>في « بر ، بك » :</w:t>
            </w:r>
            <w:r>
              <w:rPr>
                <w:rtl/>
              </w:rPr>
              <w:t xml:space="preserve"> - </w:t>
            </w:r>
            <w:r w:rsidRPr="00020424">
              <w:rPr>
                <w:rtl/>
              </w:rPr>
              <w:t>« فيما يرضي الله عزّ وجلّ</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بك » : « أضعافاً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الاختصاص</w:t>
      </w:r>
      <w:r w:rsidR="00992664" w:rsidRPr="00020424">
        <w:rPr>
          <w:rtl/>
        </w:rPr>
        <w:t xml:space="preserve"> ، ص 242 ، ذيل الحديث ، مرسلاً عن إسماعيل بن جابر ، عن أبي عبدالله </w:t>
      </w:r>
      <w:r w:rsidR="00992664" w:rsidRPr="00D64ADA">
        <w:rPr>
          <w:rStyle w:val="libFootnoteAlaemChar"/>
          <w:rtl/>
        </w:rPr>
        <w:t>عليه‌السلام</w:t>
      </w:r>
      <w:r w:rsidR="00992664" w:rsidRPr="00020424">
        <w:rPr>
          <w:rtl/>
        </w:rPr>
        <w:t xml:space="preserve"> ؛ </w:t>
      </w:r>
      <w:r w:rsidR="00992664" w:rsidRPr="00DE76B9">
        <w:rPr>
          <w:rStyle w:val="libFootnoteBoldChar"/>
          <w:rtl/>
        </w:rPr>
        <w:t>تحف العقول</w:t>
      </w:r>
      <w:r w:rsidR="00992664" w:rsidRPr="00020424">
        <w:rPr>
          <w:rtl/>
        </w:rPr>
        <w:t xml:space="preserve"> ، ص 293 ، ذيل الحديث ، وفيهما من قوله : « لم يبخل عبد » مع اختلاف يسير. وراجع : </w:t>
      </w:r>
      <w:r w:rsidR="00992664" w:rsidRPr="0012008A">
        <w:rPr>
          <w:rStyle w:val="libFootnoteBoldChar"/>
          <w:rtl/>
        </w:rPr>
        <w:t>الفقيه</w:t>
      </w:r>
      <w:r w:rsidR="00992664" w:rsidRPr="00020424">
        <w:rPr>
          <w:rtl/>
        </w:rPr>
        <w:t xml:space="preserve"> ، ج 4 ، ص 412 ، ح 5899 </w:t>
      </w:r>
      <w:r w:rsidR="00177BD1">
        <w:rPr>
          <w:rFonts w:hint="cs"/>
          <w:rtl/>
        </w:rPr>
        <w:t>.</w:t>
      </w:r>
      <w:r w:rsidR="00992664" w:rsidRPr="0012008A">
        <w:rPr>
          <w:rStyle w:val="libFootnoteBoldChar"/>
          <w:rtl/>
        </w:rPr>
        <w:t>الوافي</w:t>
      </w:r>
      <w:r w:rsidR="00992664" w:rsidRPr="00020424">
        <w:rPr>
          <w:rtl/>
        </w:rPr>
        <w:t xml:space="preserve"> ، ج 10 ، ص 488 ، ح 9948 ؛ </w:t>
      </w:r>
      <w:r w:rsidR="00992664" w:rsidRPr="0012008A">
        <w:rPr>
          <w:rStyle w:val="libFootnoteBoldChar"/>
          <w:rtl/>
        </w:rPr>
        <w:t>الوسائل</w:t>
      </w:r>
      <w:r w:rsidR="00992664" w:rsidRPr="00020424">
        <w:rPr>
          <w:rtl/>
        </w:rPr>
        <w:t xml:space="preserve"> ، ج 21 ، ص 548 ، ح 27834.</w:t>
      </w:r>
    </w:p>
    <w:tbl>
      <w:tblPr>
        <w:tblStyle w:val="TableGrid"/>
        <w:bidiVisual/>
        <w:tblW w:w="0" w:type="auto"/>
        <w:tblLook w:val="04A0" w:firstRow="1" w:lastRow="0" w:firstColumn="1" w:lastColumn="0" w:noHBand="0" w:noVBand="1"/>
      </w:tblPr>
      <w:tblGrid>
        <w:gridCol w:w="4006"/>
        <w:gridCol w:w="4006"/>
      </w:tblGrid>
      <w:tr w:rsidR="00177BD1" w:rsidTr="00177BD1">
        <w:tc>
          <w:tcPr>
            <w:tcW w:w="4006" w:type="dxa"/>
          </w:tcPr>
          <w:p w:rsidR="00177BD1" w:rsidRDefault="00177BD1" w:rsidP="00992664">
            <w:pPr>
              <w:pStyle w:val="libFootnote0"/>
              <w:rPr>
                <w:rtl/>
              </w:rPr>
            </w:pPr>
            <w:r>
              <w:rPr>
                <w:rtl/>
              </w:rPr>
              <w:t xml:space="preserve">(9). </w:t>
            </w:r>
            <w:r w:rsidRPr="00020424">
              <w:rPr>
                <w:rtl/>
              </w:rPr>
              <w:t>في « بر » :</w:t>
            </w:r>
            <w:r>
              <w:rPr>
                <w:rtl/>
              </w:rPr>
              <w:t xml:space="preserve"> - </w:t>
            </w:r>
            <w:r w:rsidRPr="00020424">
              <w:rPr>
                <w:rtl/>
              </w:rPr>
              <w:t>« عمر</w:t>
            </w:r>
            <w:r>
              <w:rPr>
                <w:rtl/>
              </w:rPr>
              <w:t xml:space="preserve"> ».</w:t>
            </w:r>
          </w:p>
        </w:tc>
        <w:tc>
          <w:tcPr>
            <w:tcW w:w="4006" w:type="dxa"/>
          </w:tcPr>
          <w:p w:rsidR="00177BD1" w:rsidRDefault="00177BD1" w:rsidP="00992664">
            <w:pPr>
              <w:pStyle w:val="libFootnote0"/>
              <w:rPr>
                <w:rtl/>
              </w:rPr>
            </w:pPr>
            <w:r>
              <w:rPr>
                <w:rtl/>
              </w:rPr>
              <w:t xml:space="preserve">(10). </w:t>
            </w:r>
            <w:r w:rsidRPr="00020424">
              <w:rPr>
                <w:rtl/>
              </w:rPr>
              <w:t>في « بر » : « عن » بدل « رفعه إلى</w:t>
            </w:r>
            <w:r>
              <w:rPr>
                <w:rtl/>
              </w:rPr>
              <w:t xml:space="preserve"> ».</w:t>
            </w:r>
          </w:p>
        </w:tc>
      </w:tr>
      <w:tr w:rsidR="00177BD1" w:rsidTr="00177BD1">
        <w:tc>
          <w:tcPr>
            <w:tcW w:w="4006" w:type="dxa"/>
          </w:tcPr>
          <w:p w:rsidR="00177BD1" w:rsidRDefault="00177BD1" w:rsidP="00992664">
            <w:pPr>
              <w:pStyle w:val="libFootnote0"/>
              <w:rPr>
                <w:rtl/>
              </w:rPr>
            </w:pPr>
            <w:r>
              <w:rPr>
                <w:rtl/>
              </w:rPr>
              <w:t xml:space="preserve">(11). </w:t>
            </w:r>
            <w:r w:rsidRPr="00020424">
              <w:rPr>
                <w:rtl/>
              </w:rPr>
              <w:t>في « بس » : « وأبي جعفر</w:t>
            </w:r>
            <w:r>
              <w:rPr>
                <w:rtl/>
              </w:rPr>
              <w:t xml:space="preserve"> ».</w:t>
            </w:r>
          </w:p>
        </w:tc>
        <w:tc>
          <w:tcPr>
            <w:tcW w:w="4006" w:type="dxa"/>
          </w:tcPr>
          <w:p w:rsidR="00177BD1" w:rsidRDefault="00177BD1" w:rsidP="00992664">
            <w:pPr>
              <w:pStyle w:val="libFootnote0"/>
              <w:rPr>
                <w:rtl/>
              </w:rPr>
            </w:pPr>
            <w:r>
              <w:rPr>
                <w:rtl/>
              </w:rPr>
              <w:t xml:space="preserve">(12). </w:t>
            </w:r>
            <w:r w:rsidRPr="00020424">
              <w:rPr>
                <w:rtl/>
              </w:rPr>
              <w:t>في « بخ ، بر ، بك » : « تنزل</w:t>
            </w:r>
            <w:r>
              <w:rPr>
                <w:rtl/>
              </w:rPr>
              <w:t xml:space="preserve"> ».</w:t>
            </w:r>
          </w:p>
        </w:tc>
      </w:tr>
      <w:tr w:rsidR="00177BD1" w:rsidTr="00177BD1">
        <w:tc>
          <w:tcPr>
            <w:tcW w:w="4006" w:type="dxa"/>
          </w:tcPr>
          <w:p w:rsidR="00177BD1" w:rsidRDefault="00A31E20" w:rsidP="00992664">
            <w:pPr>
              <w:pStyle w:val="libFootnote0"/>
              <w:rPr>
                <w:rtl/>
              </w:rPr>
            </w:pPr>
            <w:r>
              <w:rPr>
                <w:rtl/>
              </w:rPr>
              <w:t xml:space="preserve">(13). </w:t>
            </w:r>
            <w:r w:rsidRPr="00020424">
              <w:rPr>
                <w:rtl/>
              </w:rPr>
              <w:t>في « ى ، بخ ، بر ، بك » :</w:t>
            </w:r>
            <w:r>
              <w:rPr>
                <w:rtl/>
              </w:rPr>
              <w:t xml:space="preserve"> - </w:t>
            </w:r>
            <w:r w:rsidRPr="00020424">
              <w:rPr>
                <w:rtl/>
              </w:rPr>
              <w:t>« الله</w:t>
            </w:r>
            <w:r>
              <w:rPr>
                <w:rtl/>
              </w:rPr>
              <w:t xml:space="preserve"> ».</w:t>
            </w:r>
          </w:p>
        </w:tc>
        <w:tc>
          <w:tcPr>
            <w:tcW w:w="4006" w:type="dxa"/>
          </w:tcPr>
          <w:p w:rsidR="00177BD1" w:rsidRDefault="002C79E0" w:rsidP="00992664">
            <w:pPr>
              <w:pStyle w:val="libFootnote0"/>
              <w:rPr>
                <w:rtl/>
              </w:rPr>
            </w:pPr>
            <w:r>
              <w:rPr>
                <w:rtl/>
              </w:rPr>
              <w:t xml:space="preserve">(14). </w:t>
            </w:r>
            <w:r w:rsidRPr="00020424">
              <w:rPr>
                <w:rtl/>
              </w:rPr>
              <w:t xml:space="preserve">في « بح ، بخ ، بف » </w:t>
            </w:r>
            <w:r w:rsidRPr="00EB1FD9">
              <w:rPr>
                <w:rStyle w:val="libFootnoteBoldChar"/>
                <w:rtl/>
              </w:rPr>
              <w:t>والوسائل</w:t>
            </w:r>
            <w:r w:rsidRPr="00020424">
              <w:rPr>
                <w:rtl/>
              </w:rPr>
              <w:t xml:space="preserve"> : « ومن</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سمحت</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DE76B9">
        <w:rPr>
          <w:rStyle w:val="libFootnoteBoldChar"/>
          <w:rtl/>
        </w:rPr>
        <w:t>قرب الإسناد</w:t>
      </w:r>
      <w:r w:rsidR="00992664" w:rsidRPr="00020424">
        <w:rPr>
          <w:rtl/>
        </w:rPr>
        <w:t xml:space="preserve"> ، ص 116 ، ح 407 ، بسند آخر عن جعفر </w:t>
      </w:r>
      <w:r w:rsidR="00992664" w:rsidRPr="00D64ADA">
        <w:rPr>
          <w:rStyle w:val="libFootnoteAlaemChar"/>
          <w:rtl/>
        </w:rPr>
        <w:t>عليه‌السلام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4 ، ص 418 ، ح 5911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551 ، المجلس 82 ، ضمن ح 3 ؛ و</w:t>
      </w:r>
      <w:r w:rsidR="00992664" w:rsidRPr="00DE76B9">
        <w:rPr>
          <w:rStyle w:val="libFootnoteBoldChar"/>
          <w:rtl/>
        </w:rPr>
        <w:t>التوحيد</w:t>
      </w:r>
      <w:r w:rsidR="00992664" w:rsidRPr="00020424">
        <w:rPr>
          <w:rtl/>
        </w:rPr>
        <w:t xml:space="preserve"> ، ص 401 ، ضمن ح 6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300 ، المجلس 11 ، ضمن ح 41 ، بسند آخر عن الصادق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294 ، ضمن ح 2498 ، </w:t>
      </w:r>
      <w:r w:rsidR="0054317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A2A78">
        <w:rPr>
          <w:rtl/>
        </w:rPr>
        <w:t>6169</w:t>
      </w:r>
      <w:r w:rsidRPr="001155DE">
        <w:rPr>
          <w:rStyle w:val="libBold2Char"/>
          <w:rtl/>
        </w:rPr>
        <w:t xml:space="preserve"> / 9.</w:t>
      </w:r>
      <w:r w:rsidRPr="00020424">
        <w:rPr>
          <w:rtl/>
          <w:lang w:bidi="fa-IR"/>
        </w:rPr>
        <w:t xml:space="preserve"> مُحَمَّدُ بْنُ يَحْيى ، عَنْ مُحَمَّدِ بْنِ الْحُسَيْنِ ، عَنْ صَفْوَانَ بْنِ يَحْيى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دَخَلَ عَلَيْهِ مَوْلًى لَهُ ، فَقَالَ لَهُ : « هَلْ أَنْفَقْتَ الْيَوْمَ شَيْئاً</w:t>
      </w:r>
      <w:r w:rsidR="00546F90">
        <w:rPr>
          <w:rtl/>
          <w:lang w:bidi="fa-IR"/>
        </w:rPr>
        <w:t>؟</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(2)</w:t>
      </w:r>
      <w:r w:rsidRPr="00020424">
        <w:rPr>
          <w:rtl/>
          <w:lang w:bidi="fa-IR"/>
        </w:rPr>
        <w:t xml:space="preserve"> : لَاوَ اللهِ.</w:t>
      </w:r>
    </w:p>
    <w:p w:rsidR="00992664" w:rsidRPr="00020424" w:rsidRDefault="00992664" w:rsidP="00992664">
      <w:pPr>
        <w:pStyle w:val="libNormal"/>
        <w:rPr>
          <w:rtl/>
          <w:lang w:bidi="fa-IR"/>
        </w:rPr>
      </w:pPr>
      <w:r w:rsidRPr="00020424">
        <w:rPr>
          <w:rtl/>
          <w:lang w:bidi="fa-IR"/>
        </w:rPr>
        <w:t xml:space="preserve">فَقَالَ أَبُو الْحَسَنِ </w:t>
      </w:r>
      <w:r w:rsidRPr="00005A81">
        <w:rPr>
          <w:rStyle w:val="libAlaemChar"/>
          <w:rtl/>
        </w:rPr>
        <w:t>عليه‌السلام</w:t>
      </w:r>
      <w:r w:rsidRPr="00020424">
        <w:rPr>
          <w:rtl/>
          <w:lang w:bidi="fa-IR"/>
        </w:rPr>
        <w:t xml:space="preserve"> : « فَمِنْ أَيْنَ يُخْلِفُ اللهُ عَلَيْنَا</w:t>
      </w:r>
      <w:r>
        <w:rPr>
          <w:rtl/>
          <w:lang w:bidi="fa-IR"/>
        </w:rPr>
        <w:t>؟</w:t>
      </w:r>
      <w:r w:rsidRPr="00020424">
        <w:rPr>
          <w:rtl/>
          <w:lang w:bidi="fa-IR"/>
        </w:rPr>
        <w:t xml:space="preserve"> أَنْفِقْ وَلَوْ دِرْهَماً وَاحِداً</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CA2A78">
        <w:rPr>
          <w:rtl/>
        </w:rPr>
        <w:t>6170</w:t>
      </w:r>
      <w:r w:rsidRPr="001155DE">
        <w:rPr>
          <w:rStyle w:val="libBold2Char"/>
          <w:rtl/>
        </w:rPr>
        <w:t xml:space="preserve"> / 10.</w:t>
      </w:r>
      <w:r w:rsidRPr="00020424">
        <w:rPr>
          <w:rtl/>
          <w:lang w:bidi="fa-IR"/>
        </w:rPr>
        <w:t xml:space="preserve"> مُحَمَّدُ بْنُ يَحْيى ، عَنْ أَحْمَدَ بْنِ مُحَمَّدٍ ، عَنْ مُحَمَّدِ بْنِ سِنَانٍ ، عَنْ مُعَاوِيَةَ بْنِ وَهْبٍ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يَضْمَنُ </w:t>
      </w:r>
      <w:r w:rsidRPr="00A91B96">
        <w:rPr>
          <w:rStyle w:val="libFootnotenumChar"/>
          <w:rtl/>
        </w:rPr>
        <w:t>(4)</w:t>
      </w:r>
      <w:r w:rsidRPr="00020424">
        <w:rPr>
          <w:rtl/>
          <w:lang w:bidi="fa-IR"/>
        </w:rPr>
        <w:t xml:space="preserve"> أَرْبَعَةً بِأَرْبَعَةِ أَبْيَاتٍ فِي الْجَنَّةِ</w:t>
      </w:r>
      <w:r>
        <w:rPr>
          <w:rtl/>
          <w:lang w:bidi="fa-IR"/>
        </w:rPr>
        <w:t>؟</w:t>
      </w:r>
      <w:r w:rsidRPr="00020424">
        <w:rPr>
          <w:rtl/>
          <w:lang w:bidi="fa-IR"/>
        </w:rPr>
        <w:t xml:space="preserve"> أَنْفِقْ وَلَا تَخَفْ فَقْراً ، وَأَنْصِفِ النَّاسَ مِنْ نَفْسِكَ ، وَأَفْشِ السَّلَامَ فِي الْعَالَمِ ، وَاتْرُكِ الْمِرَاءَ </w:t>
      </w:r>
      <w:r w:rsidRPr="00A91B96">
        <w:rPr>
          <w:rStyle w:val="libFootnotenumChar"/>
          <w:rtl/>
        </w:rPr>
        <w:t>(5)</w:t>
      </w:r>
      <w:r w:rsidRPr="00020424">
        <w:rPr>
          <w:rtl/>
          <w:lang w:bidi="fa-IR"/>
        </w:rPr>
        <w:t xml:space="preserve"> وَإِنْ كُنْتَ مُحِقّاً</w:t>
      </w:r>
      <w:r>
        <w:rPr>
          <w:rtl/>
          <w:lang w:bidi="fa-IR"/>
        </w:rPr>
        <w:t xml:space="preserve"> ».</w:t>
      </w:r>
      <w:r w:rsidRPr="00020424">
        <w:rPr>
          <w:rtl/>
          <w:lang w:bidi="fa-IR"/>
        </w:rPr>
        <w:t xml:space="preserve"> </w:t>
      </w:r>
      <w:r w:rsidRPr="00A91B96">
        <w:rPr>
          <w:rStyle w:val="libFootnotenumChar"/>
          <w:rtl/>
        </w:rPr>
        <w:t>(6)</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546F90" w:rsidP="00992664">
      <w:pPr>
        <w:pStyle w:val="libFootnote0"/>
        <w:rPr>
          <w:rtl/>
          <w:lang w:bidi="fa-IR"/>
        </w:rPr>
      </w:pPr>
      <w:r>
        <w:rPr>
          <w:rFonts w:hint="cs"/>
          <w:rtl/>
        </w:rPr>
        <w:t xml:space="preserve">= </w:t>
      </w:r>
      <w:r w:rsidR="00992664" w:rsidRPr="00020424">
        <w:rPr>
          <w:rtl/>
        </w:rPr>
        <w:t xml:space="preserve">مرسلاً عن الصادق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3 ، ص 166 ، ح 3613 ، مرسلاً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تحف العقول</w:t>
      </w:r>
      <w:r w:rsidR="00992664" w:rsidRPr="00020424">
        <w:rPr>
          <w:rtl/>
        </w:rPr>
        <w:t xml:space="preserve"> ، ص 403 ، عن موسى‌بن جعفر </w:t>
      </w:r>
      <w:r w:rsidR="00D64ADA" w:rsidRPr="00D64ADA">
        <w:rPr>
          <w:rStyle w:val="libFootnoteAlaemChar"/>
          <w:rtl/>
        </w:rPr>
        <w:t>عليهما‌السلام</w:t>
      </w:r>
      <w:r w:rsidR="00992664" w:rsidRPr="00020424">
        <w:rPr>
          <w:rtl/>
        </w:rPr>
        <w:t xml:space="preserve">. </w:t>
      </w:r>
      <w:r w:rsidR="00992664" w:rsidRPr="00DE76B9">
        <w:rPr>
          <w:rStyle w:val="libFootnoteBoldChar"/>
          <w:rtl/>
        </w:rPr>
        <w:t>الاختصاص</w:t>
      </w:r>
      <w:r w:rsidR="00992664" w:rsidRPr="00020424">
        <w:rPr>
          <w:rtl/>
        </w:rPr>
        <w:t xml:space="preserve"> ، ص 30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104 ، عن أميرالمؤمنين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نهج البلاغة</w:t>
      </w:r>
      <w:r w:rsidR="00992664" w:rsidRPr="00020424">
        <w:rPr>
          <w:rtl/>
        </w:rPr>
        <w:t xml:space="preserve"> ، ص 494 ، الحكمة 139 ، وفي كلّ المصادر إلى قوله : « بقدر المؤونة » مع اختلاف يسير. وراجع : </w:t>
      </w:r>
      <w:r w:rsidR="00992664" w:rsidRPr="00DE76B9">
        <w:rPr>
          <w:rStyle w:val="libFootnoteBoldChar"/>
          <w:rtl/>
        </w:rPr>
        <w:t>الكافي</w:t>
      </w:r>
      <w:r w:rsidR="00992664" w:rsidRPr="00020424">
        <w:rPr>
          <w:rtl/>
        </w:rPr>
        <w:t xml:space="preserve"> ، كتاب الزكاة ، باب الإنفاق ، ح 6163 ومصادره </w:t>
      </w:r>
      <w:r w:rsidR="00303084">
        <w:rPr>
          <w:rFonts w:hint="cs"/>
          <w:rtl/>
        </w:rPr>
        <w:t>.</w:t>
      </w:r>
      <w:r w:rsidR="00992664" w:rsidRPr="0012008A">
        <w:rPr>
          <w:rStyle w:val="libFootnoteBoldChar"/>
          <w:rtl/>
        </w:rPr>
        <w:t>الوافي</w:t>
      </w:r>
      <w:r w:rsidR="00992664" w:rsidRPr="00020424">
        <w:rPr>
          <w:rtl/>
        </w:rPr>
        <w:t xml:space="preserve"> ، ج 10 ، ص 487 ، ح 9945 ؛ </w:t>
      </w:r>
      <w:r w:rsidR="00992664" w:rsidRPr="0012008A">
        <w:rPr>
          <w:rStyle w:val="libFootnoteBoldChar"/>
          <w:rtl/>
        </w:rPr>
        <w:t>الوسائل</w:t>
      </w:r>
      <w:r w:rsidR="00992664" w:rsidRPr="00020424">
        <w:rPr>
          <w:rtl/>
        </w:rPr>
        <w:t xml:space="preserve"> ، ج 21 ، ص 548 ، ح 27835.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12505. وفي المطبوع : « 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488 ، ح 9950 ؛ </w:t>
      </w:r>
      <w:r w:rsidR="00992664" w:rsidRPr="0012008A">
        <w:rPr>
          <w:rStyle w:val="libFootnoteBoldChar"/>
          <w:rtl/>
        </w:rPr>
        <w:t>الوسائل</w:t>
      </w:r>
      <w:r w:rsidR="00992664" w:rsidRPr="00020424">
        <w:rPr>
          <w:rtl/>
        </w:rPr>
        <w:t xml:space="preserve"> ، ج 9 ، ص 464 ، ح 12505 ؛ وج 21 ، ص 549 ، ح 27836.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و</w:t>
      </w:r>
      <w:r w:rsidR="00992664" w:rsidRPr="0012008A">
        <w:rPr>
          <w:rStyle w:val="libFootnoteBoldChar"/>
          <w:rtl/>
        </w:rPr>
        <w:t>البحار</w:t>
      </w:r>
      <w:r w:rsidR="00992664" w:rsidRPr="00020424">
        <w:rPr>
          <w:rtl/>
        </w:rPr>
        <w:t xml:space="preserve"> والكافي ح 1948 </w:t>
      </w:r>
      <w:r w:rsidR="00992664" w:rsidRPr="004F05E5">
        <w:rPr>
          <w:rtl/>
        </w:rPr>
        <w:t>والفقيه و</w:t>
      </w:r>
      <w:r w:rsidR="00D64ADA" w:rsidRPr="004F05E5">
        <w:rPr>
          <w:rtl/>
        </w:rPr>
        <w:t>المحاسن</w:t>
      </w:r>
      <w:r w:rsidR="00992664" w:rsidRPr="004F05E5">
        <w:rPr>
          <w:rtl/>
        </w:rPr>
        <w:t xml:space="preserve"> والزهد والخصال</w:t>
      </w:r>
      <w:r w:rsidR="00992664" w:rsidRPr="00020424">
        <w:rPr>
          <w:rtl/>
        </w:rPr>
        <w:t xml:space="preserve"> : + « لي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F115D3">
        <w:rPr>
          <w:rtl/>
        </w:rPr>
        <w:t>« المِراء » : الجدال ، إل</w:t>
      </w:r>
      <w:r w:rsidR="00F115D3">
        <w:rPr>
          <w:rFonts w:hint="cs"/>
          <w:rtl/>
        </w:rPr>
        <w:t>ّ</w:t>
      </w:r>
      <w:r w:rsidR="00F115D3">
        <w:rPr>
          <w:rtl/>
        </w:rPr>
        <w:t>ا</w:t>
      </w:r>
      <w:r w:rsidR="00992664">
        <w:rPr>
          <w:rFonts w:hint="cs"/>
          <w:rtl/>
        </w:rPr>
        <w:t xml:space="preserve"> </w:t>
      </w:r>
      <w:r w:rsidR="00A06EAA">
        <w:rPr>
          <w:rtl/>
        </w:rPr>
        <w:t>أنّ المراء لا يكون إل</w:t>
      </w:r>
      <w:r w:rsidR="00A06EAA">
        <w:rPr>
          <w:rFonts w:hint="cs"/>
          <w:rtl/>
        </w:rPr>
        <w:t>ّ</w:t>
      </w:r>
      <w:r w:rsidR="00A06EAA">
        <w:rPr>
          <w:rtl/>
        </w:rPr>
        <w:t>ا</w:t>
      </w:r>
      <w:r w:rsidR="00992664">
        <w:rPr>
          <w:rFonts w:hint="cs"/>
          <w:rtl/>
        </w:rPr>
        <w:t xml:space="preserve"> </w:t>
      </w:r>
      <w:r w:rsidR="00992664" w:rsidRPr="00020424">
        <w:rPr>
          <w:rtl/>
        </w:rPr>
        <w:t xml:space="preserve">اعتراضاً ، بخلاف الجدال ؛ فإنّه يكون ابتداءاً واعتراضاً. والتماري والمماراة : المجادلة على مذهب الشكّ والريبة. وقيل : المراء : المماراة والجدل. راجع : </w:t>
      </w:r>
      <w:r w:rsidR="00992664" w:rsidRPr="0012008A">
        <w:rPr>
          <w:rStyle w:val="libFootnoteBoldChar"/>
          <w:rtl/>
        </w:rPr>
        <w:t>النهاية</w:t>
      </w:r>
      <w:r w:rsidR="00992664" w:rsidRPr="00020424">
        <w:rPr>
          <w:rtl/>
        </w:rPr>
        <w:t xml:space="preserve"> ، ج 4 ، ص 322 ؛ </w:t>
      </w:r>
      <w:r w:rsidR="00992664" w:rsidRPr="00A722B1">
        <w:rPr>
          <w:rStyle w:val="libFootnoteBoldChar"/>
          <w:rtl/>
        </w:rPr>
        <w:t>لسان العرب</w:t>
      </w:r>
      <w:r w:rsidR="00992664" w:rsidRPr="00020424">
        <w:rPr>
          <w:rtl/>
        </w:rPr>
        <w:t xml:space="preserve"> ، ج 15 ، ص 278 ؛ </w:t>
      </w:r>
      <w:r w:rsidR="00992664" w:rsidRPr="00A722B1">
        <w:rPr>
          <w:rStyle w:val="libFootnoteBoldChar"/>
          <w:rtl/>
        </w:rPr>
        <w:t>المصباح المنير</w:t>
      </w:r>
      <w:r w:rsidR="00992664" w:rsidRPr="00020424">
        <w:rPr>
          <w:rtl/>
        </w:rPr>
        <w:t xml:space="preserve"> ، ص 570 ( مرا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الإنصاف والعدل ، ح 1948 ، بنفس السند ، مع اختلاف يسير. وفي </w:t>
      </w:r>
      <w:r w:rsidR="00D64ADA" w:rsidRPr="00D64ADA">
        <w:rPr>
          <w:rStyle w:val="libFootnoteBoldChar"/>
          <w:rtl/>
        </w:rPr>
        <w:t>المحاسن</w:t>
      </w:r>
      <w:r w:rsidR="00992664" w:rsidRPr="00020424">
        <w:rPr>
          <w:rtl/>
        </w:rPr>
        <w:t xml:space="preserve"> ، ص 8 ، كتاب الأشكال والقرائن ، ح 22 ؛ </w:t>
      </w:r>
      <w:r w:rsidR="00992664" w:rsidRPr="007C1D2B">
        <w:rPr>
          <w:rStyle w:val="libFootnoteBoldChar"/>
          <w:rtl/>
        </w:rPr>
        <w:t>والزهد</w:t>
      </w:r>
      <w:r w:rsidR="00992664" w:rsidRPr="00DE76B9">
        <w:rPr>
          <w:rStyle w:val="libFootnoteBoldChar"/>
          <w:rtl/>
        </w:rPr>
        <w:t xml:space="preserve"> </w:t>
      </w:r>
      <w:r w:rsidR="00B37399">
        <w:rPr>
          <w:rtl/>
        </w:rPr>
        <w:t>، ص 64 ، ح 3 ،</w:t>
      </w:r>
      <w:r w:rsidR="00992664" w:rsidRPr="00020424">
        <w:rPr>
          <w:rtl/>
        </w:rPr>
        <w:t xml:space="preserve">عن محمّد بن سنان. </w:t>
      </w:r>
      <w:r w:rsidR="00992664" w:rsidRPr="00A722B1">
        <w:rPr>
          <w:rStyle w:val="libFootnoteBoldChar"/>
          <w:rtl/>
        </w:rPr>
        <w:t>الخصال</w:t>
      </w:r>
      <w:r w:rsidR="00B37399">
        <w:rPr>
          <w:rtl/>
        </w:rPr>
        <w:t>،</w:t>
      </w:r>
      <w:r w:rsidR="00B3739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65" w:name="_Toc345172805"/>
      <w:bookmarkStart w:id="266" w:name="_Toc464562621"/>
      <w:bookmarkStart w:id="267" w:name="_Toc44599924"/>
      <w:r w:rsidRPr="00020424">
        <w:rPr>
          <w:rtl/>
          <w:lang w:bidi="fa-IR"/>
        </w:rPr>
        <w:t>83</w:t>
      </w:r>
      <w:r>
        <w:rPr>
          <w:rtl/>
          <w:lang w:bidi="fa-IR"/>
        </w:rPr>
        <w:t xml:space="preserve"> </w:t>
      </w:r>
      <w:r w:rsidR="009B673F">
        <w:rPr>
          <w:rtl/>
          <w:lang w:bidi="fa-IR"/>
        </w:rPr>
        <w:t>-</w:t>
      </w:r>
      <w:r>
        <w:rPr>
          <w:rtl/>
          <w:lang w:bidi="fa-IR"/>
        </w:rPr>
        <w:t xml:space="preserve"> </w:t>
      </w:r>
      <w:r w:rsidRPr="00020424">
        <w:rPr>
          <w:rtl/>
          <w:lang w:bidi="fa-IR"/>
        </w:rPr>
        <w:t>بَابُ الْبُخْلِ وَالشُّحِّ‌</w:t>
      </w:r>
      <w:bookmarkEnd w:id="265"/>
      <w:bookmarkEnd w:id="266"/>
      <w:bookmarkEnd w:id="267"/>
    </w:p>
    <w:p w:rsidR="00992664" w:rsidRPr="00020424" w:rsidRDefault="00992664" w:rsidP="00992664">
      <w:pPr>
        <w:pStyle w:val="libNormal"/>
        <w:rPr>
          <w:rtl/>
          <w:lang w:bidi="fa-IR"/>
        </w:rPr>
      </w:pPr>
      <w:r w:rsidRPr="00CA2A78">
        <w:rPr>
          <w:rtl/>
        </w:rPr>
        <w:t>6171</w:t>
      </w:r>
      <w:r w:rsidRPr="001155DE">
        <w:rPr>
          <w:rStyle w:val="libBold2Char"/>
          <w:rtl/>
        </w:rPr>
        <w:t xml:space="preserve"> / 1.</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جَعْفَرٍ ، عَنْ آبَائِهِ </w:t>
      </w:r>
      <w:r w:rsidRPr="00005A81">
        <w:rPr>
          <w:rStyle w:val="libAlaemChar"/>
          <w:rtl/>
        </w:rPr>
        <w:t>عليهم‌السلام</w:t>
      </w:r>
      <w:r w:rsidRPr="00020424">
        <w:rPr>
          <w:rtl/>
          <w:lang w:bidi="fa-IR"/>
        </w:rPr>
        <w:t xml:space="preserve"> : « أَنَّ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سَمِعَ رَجُلاً يَقُولُ : إِنَّ الشَّحِيحَ </w:t>
      </w:r>
      <w:r w:rsidRPr="00A91B96">
        <w:rPr>
          <w:rStyle w:val="libFootnotenumChar"/>
          <w:rtl/>
        </w:rPr>
        <w:t>(1)</w:t>
      </w:r>
      <w:r w:rsidRPr="00020424">
        <w:rPr>
          <w:rtl/>
          <w:lang w:bidi="fa-IR"/>
        </w:rPr>
        <w:t xml:space="preserve"> أَغْدَرُ </w:t>
      </w:r>
      <w:r w:rsidRPr="00A91B96">
        <w:rPr>
          <w:rStyle w:val="libFootnotenumChar"/>
          <w:rtl/>
        </w:rPr>
        <w:t>(2)</w:t>
      </w:r>
      <w:r w:rsidRPr="00020424">
        <w:rPr>
          <w:rtl/>
          <w:lang w:bidi="fa-IR"/>
        </w:rPr>
        <w:t xml:space="preserve"> مِنَ الظَّالِمِ ، فَقَالَ لَهُ : كَذَبْتَ ؛ إِنَّ الظَّالِمَ قَدْ يَتُوبُ وَيَسْتَغْفِرُ وَيَرُدُّ الظُّلَامَةَ </w:t>
      </w:r>
      <w:r w:rsidRPr="00A91B96">
        <w:rPr>
          <w:rStyle w:val="libFootnotenumChar"/>
          <w:rtl/>
        </w:rPr>
        <w:t>(3)</w:t>
      </w:r>
      <w:r w:rsidRPr="00020424">
        <w:rPr>
          <w:rtl/>
          <w:lang w:bidi="fa-IR"/>
        </w:rPr>
        <w:t xml:space="preserve"> عَلى أَهْلِهَا ، وَالشَّحِيحُ إِذَا شَحَّ ، مَنَعَ الزَّكَاةَ وَالصَّدَقَةَ وَصِلَةَ الرَّحِمِ وَقِرَى </w:t>
      </w:r>
      <w:r w:rsidRPr="00A91B96">
        <w:rPr>
          <w:rStyle w:val="libFootnotenumChar"/>
          <w:rtl/>
        </w:rPr>
        <w:t>(4)</w:t>
      </w:r>
      <w:r w:rsidRPr="00020424">
        <w:rPr>
          <w:rtl/>
          <w:lang w:bidi="fa-IR"/>
        </w:rPr>
        <w:t xml:space="preserve"> الضَّيْفِ وَالنَّفَقَةَ فِي سَبِيلِ اللهِ وَأَبْوَابَ الْبِرِّ ، وَحَرَامٌ عَلَى الْجَنَّةِ أَنْ يَدْخُلَهَا شَحِيحٌ</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CA2A78">
        <w:rPr>
          <w:rtl/>
        </w:rPr>
        <w:t>6172</w:t>
      </w:r>
      <w:r w:rsidRPr="001155DE">
        <w:rPr>
          <w:rStyle w:val="libBold2Char"/>
          <w:rtl/>
        </w:rPr>
        <w:t xml:space="preserve"> / 2.</w:t>
      </w:r>
      <w:r w:rsidRPr="00020424">
        <w:rPr>
          <w:rtl/>
          <w:lang w:bidi="fa-IR"/>
        </w:rPr>
        <w:t xml:space="preserve"> مُحَمَّدُ بْنُ يَحْيى ، عَنْ أَحْمَدَ بْنِ مُحَمَّدِ بْنِ عِيسى ، عَنِ ابْنِ أَبِي عُمَيْرٍ ، عَنْ‌</w:t>
      </w:r>
    </w:p>
    <w:p w:rsidR="00992664" w:rsidRPr="00020424" w:rsidRDefault="00992664" w:rsidP="00992664">
      <w:pPr>
        <w:pStyle w:val="libLine"/>
        <w:rPr>
          <w:rtl/>
          <w:lang w:bidi="fa-IR"/>
        </w:rPr>
      </w:pPr>
      <w:r w:rsidRPr="00020424">
        <w:rPr>
          <w:rtl/>
          <w:lang w:bidi="fa-IR"/>
        </w:rPr>
        <w:t>__________________</w:t>
      </w:r>
    </w:p>
    <w:p w:rsidR="00992664" w:rsidRPr="00020424" w:rsidRDefault="00B37399" w:rsidP="00992664">
      <w:pPr>
        <w:pStyle w:val="libFootnote0"/>
        <w:rPr>
          <w:rtl/>
          <w:lang w:bidi="fa-IR"/>
        </w:rPr>
      </w:pPr>
      <w:r>
        <w:rPr>
          <w:rFonts w:hint="cs"/>
          <w:rtl/>
        </w:rPr>
        <w:t xml:space="preserve">= </w:t>
      </w:r>
      <w:r w:rsidR="00992664" w:rsidRPr="00020424">
        <w:rPr>
          <w:rtl/>
        </w:rPr>
        <w:t xml:space="preserve">ص 223 ، باب الأربعة ، ح 52 ، بسنده عن محمّد بن يحيى العطّار ، عن محمّد بن أحمد ، عن محمّد بن سنان ، مع اختلاف يسير. </w:t>
      </w:r>
      <w:r w:rsidR="00992664" w:rsidRPr="0012008A">
        <w:rPr>
          <w:rStyle w:val="libFootnoteBoldChar"/>
          <w:rtl/>
        </w:rPr>
        <w:t>الفقيه</w:t>
      </w:r>
      <w:r w:rsidR="00992664" w:rsidRPr="00020424">
        <w:rPr>
          <w:rtl/>
        </w:rPr>
        <w:t xml:space="preserve"> ، ج 2 ، ص 62 ، ح 1711 ، مرسلاً </w:t>
      </w:r>
      <w:r w:rsidR="00EE20C6">
        <w:rPr>
          <w:rFonts w:hint="cs"/>
          <w:rtl/>
        </w:rPr>
        <w:t>.</w:t>
      </w:r>
      <w:r w:rsidR="00992664" w:rsidRPr="0012008A">
        <w:rPr>
          <w:rStyle w:val="libFootnoteBoldChar"/>
          <w:rtl/>
        </w:rPr>
        <w:t>الوافي</w:t>
      </w:r>
      <w:r w:rsidR="00992664" w:rsidRPr="00020424">
        <w:rPr>
          <w:rtl/>
        </w:rPr>
        <w:t xml:space="preserve"> ، ج 10 ، ص 489 ، ح 9952 ؛ </w:t>
      </w:r>
      <w:r w:rsidR="00992664" w:rsidRPr="0012008A">
        <w:rPr>
          <w:rStyle w:val="libFootnoteBoldChar"/>
          <w:rtl/>
        </w:rPr>
        <w:t>الوسائل</w:t>
      </w:r>
      <w:r w:rsidR="00992664" w:rsidRPr="00020424">
        <w:rPr>
          <w:rtl/>
        </w:rPr>
        <w:t xml:space="preserve"> ، ج 15 ، ص 284 ، ح 20529 ؛ وج 21 ، ص 549 ، ح 27837 ؛ </w:t>
      </w:r>
      <w:r w:rsidR="00992664" w:rsidRPr="0012008A">
        <w:rPr>
          <w:rStyle w:val="libFootnoteBoldChar"/>
          <w:rtl/>
        </w:rPr>
        <w:t>البحار</w:t>
      </w:r>
      <w:r w:rsidR="00992664" w:rsidRPr="00020424">
        <w:rPr>
          <w:rtl/>
        </w:rPr>
        <w:t xml:space="preserve"> ، ج 75 ، ص 30 ، ح 23.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الشحيح » : البخيل ، من الشُّحِّ ، وهو البخل مع الحرص. وقيل : هو أشدّ البخل. وقيل : البخل في أفراد الا</w:t>
      </w:r>
      <w:r w:rsidR="00EE20C6">
        <w:rPr>
          <w:rFonts w:hint="cs"/>
          <w:rtl/>
        </w:rPr>
        <w:t>ُ</w:t>
      </w:r>
      <w:r w:rsidR="00992664" w:rsidRPr="00020424">
        <w:rPr>
          <w:rtl/>
        </w:rPr>
        <w:t>مور</w:t>
      </w:r>
      <w:r w:rsidR="00EE20C6">
        <w:rPr>
          <w:rFonts w:hint="cs"/>
          <w:rtl/>
        </w:rPr>
        <w:t xml:space="preserve"> </w:t>
      </w:r>
      <w:r w:rsidR="00992664" w:rsidRPr="00020424">
        <w:rPr>
          <w:rtl/>
        </w:rPr>
        <w:t xml:space="preserve">و آحادها ، والشحّ عامّ. وقيل : البخل بالمال ، والشحّ بالمال والمعروف. راجع : </w:t>
      </w:r>
      <w:r w:rsidR="00992664" w:rsidRPr="0012008A">
        <w:rPr>
          <w:rStyle w:val="libFootnoteBoldChar"/>
          <w:rtl/>
        </w:rPr>
        <w:t>الصحاح</w:t>
      </w:r>
      <w:r w:rsidR="00992664" w:rsidRPr="00020424">
        <w:rPr>
          <w:rtl/>
        </w:rPr>
        <w:t xml:space="preserve"> ، ج 1 ، ص 378 ؛ </w:t>
      </w:r>
      <w:r w:rsidR="00992664" w:rsidRPr="0012008A">
        <w:rPr>
          <w:rStyle w:val="libFootnoteBoldChar"/>
          <w:rtl/>
        </w:rPr>
        <w:t>النهاية</w:t>
      </w:r>
      <w:r w:rsidR="00992664" w:rsidRPr="00020424">
        <w:rPr>
          <w:rtl/>
        </w:rPr>
        <w:t xml:space="preserve"> ، ج 2 ، ص 448 ( شحح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EE20C6">
        <w:rPr>
          <w:rtl/>
        </w:rPr>
        <w:t xml:space="preserve">الوافي والوسائل والفقيه وقرب الإسناد </w:t>
      </w:r>
      <w:r w:rsidR="00992664" w:rsidRPr="00020424">
        <w:rPr>
          <w:rtl/>
        </w:rPr>
        <w:t>: « أعذر</w:t>
      </w:r>
      <w:r w:rsidR="00992664">
        <w:rPr>
          <w:rtl/>
        </w:rPr>
        <w:t xml:space="preserve"> ».</w:t>
      </w:r>
      <w:r w:rsidR="00992664" w:rsidRPr="00020424">
        <w:rPr>
          <w:rtl/>
        </w:rPr>
        <w:t xml:space="preserve"> </w:t>
      </w:r>
      <w:r w:rsidR="00992664">
        <w:rPr>
          <w:rtl/>
        </w:rPr>
        <w:t>و «</w:t>
      </w:r>
      <w:r w:rsidR="00992664" w:rsidRPr="00020424">
        <w:rPr>
          <w:rtl/>
        </w:rPr>
        <w:t xml:space="preserve"> أغدر » ، من الغَدْر ، وهو ترك الوفاء ، وقيل : هو ضدّ الوفاء بالعهد. راجع : </w:t>
      </w:r>
      <w:r w:rsidR="00992664" w:rsidRPr="0012008A">
        <w:rPr>
          <w:rStyle w:val="libFootnoteBoldChar"/>
          <w:rtl/>
        </w:rPr>
        <w:t>الصحاح</w:t>
      </w:r>
      <w:r w:rsidR="00992664" w:rsidRPr="00020424">
        <w:rPr>
          <w:rtl/>
        </w:rPr>
        <w:t xml:space="preserve"> ، ج 2 ، ص 766 ؛ </w:t>
      </w:r>
      <w:r w:rsidR="00992664" w:rsidRPr="00A722B1">
        <w:rPr>
          <w:rStyle w:val="libFootnoteBoldChar"/>
          <w:rtl/>
        </w:rPr>
        <w:t>لسان العرب</w:t>
      </w:r>
      <w:r w:rsidR="00992664" w:rsidRPr="00020424">
        <w:rPr>
          <w:rtl/>
        </w:rPr>
        <w:t xml:space="preserve"> ، ج 5 ، ص 8 ( غدر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قال الجوهري : « الظُلامة والظَليمة والمَظْلِمة : ما تطلبه عند الظالم ، وهو اسم ما ا</w:t>
      </w:r>
      <w:r w:rsidR="00EE20C6">
        <w:rPr>
          <w:rFonts w:hint="cs"/>
          <w:rtl/>
        </w:rPr>
        <w:t>ُ</w:t>
      </w:r>
      <w:r w:rsidR="00992664" w:rsidRPr="00020424">
        <w:rPr>
          <w:rtl/>
        </w:rPr>
        <w:t>خذ منك</w:t>
      </w:r>
      <w:r w:rsidR="00992664">
        <w:rPr>
          <w:rtl/>
        </w:rPr>
        <w:t xml:space="preserve"> ».</w:t>
      </w:r>
      <w:r w:rsidR="00992664" w:rsidRPr="00020424">
        <w:rPr>
          <w:rtl/>
        </w:rPr>
        <w:t xml:space="preserve"> وقيل : الظُلامة : اسم مظلمتك التي تطلبه عند الظالم ، يقال : أخذها منه ظُلامة. راجع : </w:t>
      </w:r>
      <w:r w:rsidR="00992664" w:rsidRPr="0012008A">
        <w:rPr>
          <w:rStyle w:val="libFootnoteBoldChar"/>
          <w:rtl/>
        </w:rPr>
        <w:t>الصحاح</w:t>
      </w:r>
      <w:r w:rsidR="00992664" w:rsidRPr="00020424">
        <w:rPr>
          <w:rtl/>
        </w:rPr>
        <w:t xml:space="preserve"> ، ج 5 ، ص 1977 ؛ </w:t>
      </w:r>
      <w:r w:rsidR="00992664" w:rsidRPr="00A722B1">
        <w:rPr>
          <w:rStyle w:val="libFootnoteBoldChar"/>
          <w:rtl/>
        </w:rPr>
        <w:t>لسان العرب</w:t>
      </w:r>
      <w:r w:rsidR="00992664" w:rsidRPr="00020424">
        <w:rPr>
          <w:rtl/>
        </w:rPr>
        <w:t xml:space="preserve"> ، ج 12 ، ص 374 ( ظلم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جن » : « قراء</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قرئ ( اقرأ</w:t>
      </w:r>
      <w:r w:rsidR="00992664">
        <w:rPr>
          <w:rtl/>
        </w:rPr>
        <w:t xml:space="preserve"> </w:t>
      </w:r>
      <w:r w:rsidR="009B673F">
        <w:rPr>
          <w:rtl/>
        </w:rPr>
        <w:t>-</w:t>
      </w:r>
      <w:r w:rsidR="00992664">
        <w:rPr>
          <w:rtl/>
        </w:rPr>
        <w:t xml:space="preserve"> </w:t>
      </w:r>
      <w:r w:rsidR="00992664" w:rsidRPr="00020424">
        <w:rPr>
          <w:rtl/>
        </w:rPr>
        <w:t>خ ل )</w:t>
      </w:r>
      <w:r w:rsidR="00992664">
        <w:rPr>
          <w:rtl/>
        </w:rPr>
        <w:t xml:space="preserve"> ».</w:t>
      </w:r>
      <w:r w:rsidR="00992664" w:rsidRPr="00020424">
        <w:rPr>
          <w:rtl/>
        </w:rPr>
        <w:t xml:space="preserve"> </w:t>
      </w:r>
      <w:r w:rsidR="00992664">
        <w:rPr>
          <w:rtl/>
        </w:rPr>
        <w:t>و «</w:t>
      </w:r>
      <w:r w:rsidR="00992664" w:rsidRPr="00020424">
        <w:rPr>
          <w:rtl/>
        </w:rPr>
        <w:t xml:space="preserve"> القِرى » : الإحسان إلى الضيف ، قال الجوهري : « إذاكسرت القاف قصرت ، وإذا فتحت مددت</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3 ، ص 1471 ، </w:t>
      </w:r>
      <w:r w:rsidR="00992664" w:rsidRPr="0012008A">
        <w:rPr>
          <w:rStyle w:val="libFootnoteBoldChar"/>
          <w:rtl/>
        </w:rPr>
        <w:t>الصحاح</w:t>
      </w:r>
      <w:r w:rsidR="00992664" w:rsidRPr="00020424">
        <w:rPr>
          <w:rtl/>
        </w:rPr>
        <w:t xml:space="preserve"> ، ج 6 ، ص 2491 ( قرا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قرب الإسناد</w:t>
      </w:r>
      <w:r w:rsidR="00992664" w:rsidRPr="00020424">
        <w:rPr>
          <w:rtl/>
        </w:rPr>
        <w:t xml:space="preserve"> ، ص 72 ، ح 233 ، عن هارون بن مسلم ، عن مسعدة بن صدقة ، عن جعفر ، عن أبيه ، عن عليّ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63 ، ح 1718 ، مرسلاً عن أمير المؤمنين </w:t>
      </w:r>
      <w:r w:rsidR="00992664" w:rsidRPr="00D64ADA">
        <w:rPr>
          <w:rStyle w:val="libFootnoteAlaemChar"/>
          <w:rtl/>
        </w:rPr>
        <w:t>عليه‌السلام</w:t>
      </w:r>
      <w:r w:rsidR="00992664" w:rsidRPr="00020424">
        <w:rPr>
          <w:rtl/>
        </w:rPr>
        <w:t xml:space="preserve"> </w:t>
      </w:r>
      <w:r w:rsidR="00EE20C6">
        <w:rPr>
          <w:rFonts w:hint="cs"/>
          <w:rtl/>
        </w:rPr>
        <w:t>.</w:t>
      </w:r>
      <w:r w:rsidR="00992664" w:rsidRPr="0012008A">
        <w:rPr>
          <w:rStyle w:val="libFootnoteBoldChar"/>
          <w:rtl/>
        </w:rPr>
        <w:t>الوافي</w:t>
      </w:r>
      <w:r w:rsidR="00992664" w:rsidRPr="00020424">
        <w:rPr>
          <w:rtl/>
        </w:rPr>
        <w:t xml:space="preserve"> ، ج 10 ، ص 490 ، ح 9955 ؛ </w:t>
      </w:r>
      <w:r w:rsidR="00992664" w:rsidRPr="0012008A">
        <w:rPr>
          <w:rStyle w:val="libFootnoteBoldChar"/>
          <w:rtl/>
        </w:rPr>
        <w:t>الوسائل</w:t>
      </w:r>
      <w:r w:rsidR="00992664" w:rsidRPr="00020424">
        <w:rPr>
          <w:rtl/>
        </w:rPr>
        <w:t xml:space="preserve"> ، ج 9 ، ص 35 ، ح 11458.</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بَعْضِ أَصْحَابِهِ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 </w:t>
      </w:r>
      <w:r w:rsidRPr="00005A81">
        <w:rPr>
          <w:rStyle w:val="libAlaemChar"/>
          <w:rtl/>
        </w:rPr>
        <w:t>عليه‌السلام</w:t>
      </w:r>
      <w:r w:rsidRPr="00020424">
        <w:rPr>
          <w:rtl/>
          <w:lang w:bidi="fa-IR"/>
        </w:rPr>
        <w:t xml:space="preserve"> : إِذَا لَمْ يَكُنْ لِلّهِ فِي عَبْدٍ </w:t>
      </w:r>
      <w:r w:rsidRPr="00A91B96">
        <w:rPr>
          <w:rStyle w:val="libFootnotenumChar"/>
          <w:rtl/>
        </w:rPr>
        <w:t>(2)</w:t>
      </w:r>
      <w:r w:rsidRPr="00020424">
        <w:rPr>
          <w:rtl/>
          <w:lang w:bidi="fa-IR"/>
        </w:rPr>
        <w:t xml:space="preserve"> حَاجَةٌ ، ابْتَلَاهُ بِالْبُخْلِ</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05FE6">
        <w:rPr>
          <w:rtl/>
        </w:rPr>
        <w:t>6173</w:t>
      </w:r>
      <w:r w:rsidRPr="001155DE">
        <w:rPr>
          <w:rStyle w:val="libBold2Char"/>
          <w:rtl/>
        </w:rPr>
        <w:t xml:space="preserve"> / 3.</w:t>
      </w:r>
      <w:r w:rsidRPr="00020424">
        <w:rPr>
          <w:rtl/>
          <w:lang w:bidi="fa-IR"/>
        </w:rPr>
        <w:t xml:space="preserve"> أَحْمَدُ بْنُ مُحَمَّدٍ </w:t>
      </w:r>
      <w:r w:rsidRPr="00A91B96">
        <w:rPr>
          <w:rStyle w:val="libFootnotenumChar"/>
          <w:rtl/>
        </w:rPr>
        <w:t>(4)</w:t>
      </w:r>
      <w:r w:rsidRPr="00020424">
        <w:rPr>
          <w:rtl/>
          <w:lang w:bidi="fa-IR"/>
        </w:rPr>
        <w:t xml:space="preserve"> ، عَنِ ابْنِ أَبِي عُمَيْرٍ ، عَنِ الْحُسَيْنِ بْنِ أَحْمَدَ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لِبَنِي سَلِمَةَ : يَا بَنِي سَلِمَةَ ، مَنْ سَيِّدُكُمْ</w:t>
      </w:r>
      <w:r>
        <w:rPr>
          <w:rtl/>
          <w:lang w:bidi="fa-IR"/>
        </w:rPr>
        <w:t>؟</w:t>
      </w:r>
    </w:p>
    <w:p w:rsidR="00992664" w:rsidRPr="00020424" w:rsidRDefault="00992664" w:rsidP="00992664">
      <w:pPr>
        <w:pStyle w:val="libNormal"/>
        <w:rPr>
          <w:rtl/>
          <w:lang w:bidi="fa-IR"/>
        </w:rPr>
      </w:pPr>
      <w:r w:rsidRPr="00020424">
        <w:rPr>
          <w:rtl/>
          <w:lang w:bidi="fa-IR"/>
        </w:rPr>
        <w:t xml:space="preserve">قَالُوا </w:t>
      </w:r>
      <w:r w:rsidRPr="00A91B96">
        <w:rPr>
          <w:rStyle w:val="libFootnotenumChar"/>
          <w:rtl/>
        </w:rPr>
        <w:t>(5)</w:t>
      </w:r>
      <w:r w:rsidRPr="00020424">
        <w:rPr>
          <w:rtl/>
          <w:lang w:bidi="fa-IR"/>
        </w:rPr>
        <w:t xml:space="preserve"> : يَا رَسُولَ اللهِ ، سَيِّدُنَا رَجُلٌ فِيهِ بُخْلٌ.</w:t>
      </w:r>
    </w:p>
    <w:p w:rsidR="00992664" w:rsidRPr="00020424" w:rsidRDefault="00992664" w:rsidP="00EE20C6">
      <w:pPr>
        <w:pStyle w:val="libNormal"/>
        <w:rPr>
          <w:rtl/>
          <w:lang w:bidi="fa-IR"/>
        </w:rPr>
      </w:pPr>
      <w:r w:rsidRPr="00020424">
        <w:rPr>
          <w:rtl/>
          <w:lang w:bidi="fa-IR"/>
        </w:rPr>
        <w:t xml:space="preserve">فَقَالَ رَسُولُ اللهِ </w:t>
      </w:r>
      <w:r w:rsidRPr="00A91B96">
        <w:rPr>
          <w:rStyle w:val="libFootnotenumChar"/>
          <w:rtl/>
        </w:rPr>
        <w:t>(6)</w:t>
      </w:r>
      <w:r w:rsidRPr="00020424">
        <w:rPr>
          <w:rtl/>
          <w:lang w:bidi="fa-IR"/>
        </w:rPr>
        <w:t xml:space="preserve"> </w:t>
      </w:r>
      <w:r w:rsidR="00EE20C6" w:rsidRPr="00B42914">
        <w:rPr>
          <w:rStyle w:val="libAlaemChar"/>
          <w:rtl/>
        </w:rPr>
        <w:t>صلى‌الله‌عليه‌وآله‌</w:t>
      </w:r>
      <w:r w:rsidRPr="00020424">
        <w:rPr>
          <w:rtl/>
          <w:lang w:bidi="fa-IR"/>
        </w:rPr>
        <w:t>: وَأَيُّ دَاءٍ أَدْوى مِنَ الْبُخْلِ</w:t>
      </w:r>
      <w:r>
        <w:rPr>
          <w:rtl/>
          <w:lang w:bidi="fa-IR"/>
        </w:rPr>
        <w:t>؟</w:t>
      </w:r>
      <w:r w:rsidRPr="00020424">
        <w:rPr>
          <w:rtl/>
          <w:lang w:bidi="fa-IR"/>
        </w:rPr>
        <w:t xml:space="preserve"> ثُمَّ قَالَ : بَلْ سَيِّدُكُمْ الْأَبْيَضُ الْجَسَدِ الْبَرَاءُ بْنُ مَعْرُورٍ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805FE6">
        <w:rPr>
          <w:rtl/>
        </w:rPr>
        <w:t>6174</w:t>
      </w:r>
      <w:r w:rsidRPr="001155DE">
        <w:rPr>
          <w:rStyle w:val="libBold2Char"/>
          <w:rtl/>
        </w:rPr>
        <w:t xml:space="preserve"> / 4.</w:t>
      </w:r>
      <w:r w:rsidRPr="00020424">
        <w:rPr>
          <w:rtl/>
          <w:lang w:bidi="fa-IR"/>
        </w:rPr>
        <w:t xml:space="preserve"> عِدَّةٌ مِنْ أَصْحَابِنَا ، عَنْ أَحْمَدَ بْنِ أَبِي عَبْدِ اللهِ ، عَنْ أَبِيهِ ، عَنْ أَبِي الْجَهْمِ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بس » : « أصحابنا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عبده</w:t>
      </w:r>
      <w:r w:rsidR="00992664">
        <w:rPr>
          <w:rtl/>
        </w:rPr>
        <w:t xml:space="preserve"> ».</w:t>
      </w:r>
    </w:p>
    <w:p w:rsidR="00992664" w:rsidRPr="00020424" w:rsidRDefault="00795177" w:rsidP="004F05E5">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63 ، ح 1717 ، مرسلاً عن أميرالمؤمنين </w:t>
      </w:r>
      <w:r w:rsidR="004F05E5" w:rsidRPr="00D64ADA">
        <w:rPr>
          <w:rStyle w:val="libFootnoteAlaemChar"/>
          <w:rtl/>
        </w:rPr>
        <w:t>عليه‌السلام</w:t>
      </w:r>
      <w:r w:rsidR="007211B7">
        <w:rPr>
          <w:rFonts w:hint="cs"/>
          <w:rtl/>
        </w:rPr>
        <w:t>.</w:t>
      </w:r>
      <w:r w:rsidR="00992664" w:rsidRPr="0012008A">
        <w:rPr>
          <w:rStyle w:val="libFootnoteBoldChar"/>
          <w:rtl/>
        </w:rPr>
        <w:t>الوافي</w:t>
      </w:r>
      <w:r w:rsidR="00992664" w:rsidRPr="00020424">
        <w:rPr>
          <w:rtl/>
        </w:rPr>
        <w:t xml:space="preserve"> ، ج 10 ، ص 491 ، ح 9956 ؛ </w:t>
      </w:r>
      <w:r w:rsidR="00992664" w:rsidRPr="0012008A">
        <w:rPr>
          <w:rStyle w:val="libFootnoteBoldChar"/>
          <w:rtl/>
        </w:rPr>
        <w:t>الوسائل</w:t>
      </w:r>
      <w:r w:rsidR="00992664" w:rsidRPr="00020424">
        <w:rPr>
          <w:rtl/>
        </w:rPr>
        <w:t xml:space="preserve"> ، ج 21 ، ص 549 ، ح 27831.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محمّد بن يحيى.</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بح ، بس » : « فقالوا</w:t>
      </w:r>
      <w:r w:rsidR="00992664">
        <w:rPr>
          <w:rtl/>
        </w:rPr>
        <w:t xml:space="preserve"> ».</w:t>
      </w:r>
      <w:r w:rsidR="00992664" w:rsidRPr="00020424">
        <w:rPr>
          <w:rtl/>
        </w:rPr>
        <w:t xml:space="preserve"> وفي حاشية « بث »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ى ، بث ، بح ، بخ ، بس ، جن »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رسول الله</w:t>
      </w:r>
      <w:r w:rsidR="00992664">
        <w:rPr>
          <w:rtl/>
        </w:rPr>
        <w:t xml:space="preserve"> ».</w:t>
      </w:r>
      <w:r w:rsidR="00992664" w:rsidRPr="00020424">
        <w:rPr>
          <w:rtl/>
        </w:rPr>
        <w:t xml:space="preserve"> وفي « بر ، بف ، بك » </w:t>
      </w:r>
      <w:r w:rsidR="00992664" w:rsidRPr="00515444">
        <w:rPr>
          <w:rStyle w:val="libFootnoteBoldChar"/>
          <w:rtl/>
        </w:rPr>
        <w:t>والوافي</w:t>
      </w:r>
      <w:r w:rsidR="00992664" w:rsidRPr="00020424">
        <w:rPr>
          <w:rtl/>
        </w:rPr>
        <w:t xml:space="preserve"> : « النبيّ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بخ ، بر ، بف ، بك » : « معروف</w:t>
      </w:r>
      <w:r w:rsidR="00992664">
        <w:rPr>
          <w:rtl/>
        </w:rPr>
        <w:t xml:space="preserve"> ».</w:t>
      </w:r>
      <w:r w:rsidR="00992664" w:rsidRPr="00020424">
        <w:rPr>
          <w:rtl/>
        </w:rPr>
        <w:t xml:space="preserve"> وهو سهو ؛ فإنّ البراء هذا هو البراء بن معرور الخزرجيّ السلميّ الذي كانقيب بني سلمة ، وأوّل من بايع ليلة العقبة الأولى ، وأوّل من استقبل القبلة ، وأوّل من أوصى بثلث ماله. راجع : </w:t>
      </w:r>
      <w:r w:rsidR="00992664" w:rsidRPr="00DE76B9">
        <w:rPr>
          <w:rStyle w:val="libFootnoteBoldChar"/>
          <w:rtl/>
        </w:rPr>
        <w:t>ا</w:t>
      </w:r>
      <w:r w:rsidR="007211B7">
        <w:rPr>
          <w:rStyle w:val="libFootnoteBoldChar"/>
          <w:rFonts w:hint="cs"/>
          <w:rtl/>
        </w:rPr>
        <w:t>ُ</w:t>
      </w:r>
      <w:r w:rsidR="00992664" w:rsidRPr="00DE76B9">
        <w:rPr>
          <w:rStyle w:val="libFootnoteBoldChar"/>
          <w:rtl/>
        </w:rPr>
        <w:t>سد الغابة</w:t>
      </w:r>
      <w:r w:rsidR="00992664" w:rsidRPr="00020424">
        <w:rPr>
          <w:rtl/>
        </w:rPr>
        <w:t xml:space="preserve"> ، ج 1 ، ص 364 ، الرقم 392 ؛ </w:t>
      </w:r>
      <w:r w:rsidR="00992664" w:rsidRPr="00DE76B9">
        <w:rPr>
          <w:rStyle w:val="libFootnoteBoldChar"/>
          <w:rtl/>
        </w:rPr>
        <w:t>الإصابة</w:t>
      </w:r>
      <w:r w:rsidR="00992664" w:rsidRPr="00020424">
        <w:rPr>
          <w:rtl/>
        </w:rPr>
        <w:t xml:space="preserve"> ، ج 1 ، ص 415 ، الرقم 622.</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4 ، ص 379 ، ح 5799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276 ، وتمام الرواية فيهما : « أيّ داء أدوى من البخل » </w:t>
      </w:r>
      <w:r w:rsidR="007211B7">
        <w:rPr>
          <w:rFonts w:hint="cs"/>
          <w:rtl/>
        </w:rPr>
        <w:t>.</w:t>
      </w:r>
      <w:r w:rsidR="00992664" w:rsidRPr="0012008A">
        <w:rPr>
          <w:rStyle w:val="libFootnoteBoldChar"/>
          <w:rtl/>
        </w:rPr>
        <w:t>الوافي</w:t>
      </w:r>
      <w:r w:rsidR="00992664" w:rsidRPr="00020424">
        <w:rPr>
          <w:rtl/>
        </w:rPr>
        <w:t xml:space="preserve"> ، ج 10 ، ص 491 ، ح 9957 ؛ </w:t>
      </w:r>
      <w:r w:rsidR="00992664" w:rsidRPr="0012008A">
        <w:rPr>
          <w:rStyle w:val="libFootnoteBoldChar"/>
          <w:rtl/>
        </w:rPr>
        <w:t>الوسائل</w:t>
      </w:r>
      <w:r w:rsidR="00992664" w:rsidRPr="00020424">
        <w:rPr>
          <w:rtl/>
        </w:rPr>
        <w:t xml:space="preserve"> ، ج 21 ، ص 550 ، ح 27839 وتمام الرواية فيه : « أيّ داء أدوى من البخل » ؛ </w:t>
      </w:r>
      <w:r w:rsidR="00992664" w:rsidRPr="0012008A">
        <w:rPr>
          <w:rStyle w:val="libFootnoteBoldChar"/>
          <w:rtl/>
        </w:rPr>
        <w:t>البحار</w:t>
      </w:r>
      <w:r w:rsidR="00992664" w:rsidRPr="00020424">
        <w:rPr>
          <w:rtl/>
        </w:rPr>
        <w:t xml:space="preserve"> ، ج 22 ، ص 130 ، ح 106.</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مُوسَى بْنِ بَكْرٍ ، عَنْ أَحْمَدَ بْنِ سُلَيْمَانَ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الْحَسَنِ مُوسى </w:t>
      </w:r>
      <w:r w:rsidRPr="00005A81">
        <w:rPr>
          <w:rStyle w:val="libAlaemChar"/>
          <w:rtl/>
        </w:rPr>
        <w:t>عليه‌السلام</w:t>
      </w:r>
      <w:r w:rsidRPr="00020424">
        <w:rPr>
          <w:rtl/>
          <w:lang w:bidi="fa-IR"/>
        </w:rPr>
        <w:t xml:space="preserve"> ، قَالَ : « الْبَخِيلُ مَنْ بَخِلَ بِمَا افْتَرَضَ اللهُ عَلَيْهِ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05FE6">
        <w:rPr>
          <w:rtl/>
        </w:rPr>
        <w:t>6175</w:t>
      </w:r>
      <w:r w:rsidRPr="001155DE">
        <w:rPr>
          <w:rStyle w:val="libBold2Char"/>
          <w:rtl/>
        </w:rPr>
        <w:t xml:space="preserve"> / 5.</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جَعْفَرٍ ، عَنْ أَبِيهِ </w:t>
      </w:r>
      <w:r w:rsidRPr="00005A81">
        <w:rPr>
          <w:rStyle w:val="libAlaemChar"/>
          <w:rtl/>
        </w:rPr>
        <w:t>عليهما‌السلام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مَا مَحَقَ الْإِسْلَامَ </w:t>
      </w:r>
      <w:r w:rsidRPr="00A91B96">
        <w:rPr>
          <w:rStyle w:val="libFootnotenumChar"/>
          <w:rtl/>
        </w:rPr>
        <w:t>(3)</w:t>
      </w:r>
      <w:r w:rsidRPr="00020424">
        <w:rPr>
          <w:rtl/>
          <w:lang w:bidi="fa-IR"/>
        </w:rPr>
        <w:t xml:space="preserve"> مَحْقَ الشُّحِّ شَيْ‌ءٌ ، ثُمَّ قَالَ : إِنَّ لِهذَا الشُّحِّ دَبِيباً </w:t>
      </w:r>
      <w:r w:rsidRPr="00A91B96">
        <w:rPr>
          <w:rStyle w:val="libFootnotenumChar"/>
          <w:rtl/>
        </w:rPr>
        <w:t>(4)</w:t>
      </w:r>
      <w:r w:rsidRPr="00020424">
        <w:rPr>
          <w:rtl/>
          <w:lang w:bidi="fa-IR"/>
        </w:rPr>
        <w:t xml:space="preserve"> كَدَبِيبِ النَّمْلِ ، وَشُعَباً كَشُعَبِ الشَّرَكِ </w:t>
      </w:r>
      <w:r w:rsidRPr="00A91B96">
        <w:rPr>
          <w:rStyle w:val="libFootnotenumChar"/>
          <w:rtl/>
        </w:rPr>
        <w:t>(5)</w:t>
      </w:r>
      <w:r w:rsidRPr="00020424">
        <w:rPr>
          <w:rtl/>
          <w:lang w:bidi="fa-IR"/>
        </w:rPr>
        <w:t xml:space="preserve"> » وَفِي نُسْخَةٍ أُخْرى : « الشَّوْكِ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805FE6">
        <w:rPr>
          <w:rtl/>
        </w:rPr>
        <w:t>6176</w:t>
      </w:r>
      <w:r w:rsidRPr="001155DE">
        <w:rPr>
          <w:rStyle w:val="libBold2Char"/>
          <w:rtl/>
        </w:rPr>
        <w:t xml:space="preserve"> / 6.</w:t>
      </w:r>
      <w:r w:rsidRPr="00020424">
        <w:rPr>
          <w:rtl/>
          <w:lang w:bidi="fa-IR"/>
        </w:rPr>
        <w:t xml:space="preserve"> أَحْمَدُ </w:t>
      </w:r>
      <w:r w:rsidRPr="00A91B96">
        <w:rPr>
          <w:rStyle w:val="libFootnotenumChar"/>
          <w:rtl/>
        </w:rPr>
        <w:t>(8)</w:t>
      </w:r>
      <w:r w:rsidRPr="00020424">
        <w:rPr>
          <w:rtl/>
          <w:lang w:bidi="fa-IR"/>
        </w:rPr>
        <w:t xml:space="preserve"> ، عَنْ مُحَمَّدِ بْنِ عَلِيٍّ ، عَنْ أَبِي جَمِيلَةَ ، عَنْ جَابِرٍ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بح » وحاشية « جن » وهامش المطبوع </w:t>
      </w:r>
      <w:r w:rsidR="00992664" w:rsidRPr="00EB1FD9">
        <w:rPr>
          <w:rStyle w:val="libFootnoteBoldChar"/>
          <w:rtl/>
        </w:rPr>
        <w:t>والوسائل</w:t>
      </w:r>
      <w:r w:rsidR="00992664" w:rsidRPr="00020424">
        <w:rPr>
          <w:rtl/>
        </w:rPr>
        <w:t xml:space="preserve"> : « سلمة</w:t>
      </w:r>
      <w:r w:rsidR="00992664">
        <w:rPr>
          <w:rtl/>
        </w:rPr>
        <w:t xml:space="preserve"> ».</w:t>
      </w:r>
      <w:r w:rsidR="00992664" w:rsidRPr="00020424">
        <w:rPr>
          <w:rtl/>
        </w:rPr>
        <w:t xml:space="preserve"> وفي « بخ ، بر ، بف » : « سلم</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معاني الأخبار</w:t>
      </w:r>
      <w:r w:rsidR="00992664" w:rsidRPr="00020424">
        <w:rPr>
          <w:rtl/>
        </w:rPr>
        <w:t xml:space="preserve"> ، ص 246 ، ح 6 ، بسنده عن محمّد بن الحسن الصفّار ، عن أحمد بن محمّد ، عن أبيه ، عن أبي الجهم. وفي </w:t>
      </w:r>
      <w:r w:rsidR="00992664" w:rsidRPr="00DE76B9">
        <w:rPr>
          <w:rStyle w:val="libFootnoteBoldChar"/>
          <w:rtl/>
        </w:rPr>
        <w:t>التوحيد</w:t>
      </w:r>
      <w:r w:rsidR="00992664" w:rsidRPr="00020424">
        <w:rPr>
          <w:rtl/>
        </w:rPr>
        <w:t xml:space="preserve"> ، ص 373 ، ضمن ح 16 ؛ </w:t>
      </w:r>
      <w:r w:rsidR="00992664" w:rsidRPr="00FD6221">
        <w:rPr>
          <w:rStyle w:val="libFootnoteBoldChar"/>
          <w:rtl/>
        </w:rPr>
        <w:t>والخصال</w:t>
      </w:r>
      <w:r w:rsidR="00992664" w:rsidRPr="00020424">
        <w:rPr>
          <w:rtl/>
        </w:rPr>
        <w:t xml:space="preserve"> ، ص 43 ، باب الاثنين ، ضمن ح 36 ؛ </w:t>
      </w:r>
      <w:r w:rsidR="00992664" w:rsidRPr="00DF4D84">
        <w:rPr>
          <w:rStyle w:val="libFootnoteBoldChar"/>
          <w:rtl/>
        </w:rPr>
        <w:t>وعيون الأخبار</w:t>
      </w:r>
      <w:r w:rsidR="00992664" w:rsidRPr="00020424">
        <w:rPr>
          <w:rtl/>
        </w:rPr>
        <w:t xml:space="preserve"> ، ج 1 ، ص 141 ، ضمن ح 41 ، بسند آخر عن أحمد بن سليمان ، عن أبي الحسن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الفقيه</w:t>
      </w:r>
      <w:r w:rsidR="00992664" w:rsidRPr="00020424">
        <w:rPr>
          <w:rtl/>
        </w:rPr>
        <w:t xml:space="preserve"> ، ج 4 ، ص 394 ، ضمن ح 5840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20 ، المجلس 6 ، ضمن ح 4 ، بسند آخر عن الصادق </w:t>
      </w:r>
      <w:r w:rsidR="00992664" w:rsidRPr="00D64ADA">
        <w:rPr>
          <w:rStyle w:val="libFootnoteAlaemChar"/>
          <w:rtl/>
        </w:rPr>
        <w:t>عليه‌السلام</w:t>
      </w:r>
      <w:r w:rsidR="00992664" w:rsidRPr="00020424">
        <w:rPr>
          <w:rtl/>
        </w:rPr>
        <w:t xml:space="preserve">. </w:t>
      </w:r>
      <w:r w:rsidR="00992664" w:rsidRPr="00DE76B9">
        <w:rPr>
          <w:rStyle w:val="libFootnoteBoldChar"/>
          <w:rtl/>
        </w:rPr>
        <w:t>معاني الأخبار</w:t>
      </w:r>
      <w:r w:rsidR="00992664" w:rsidRPr="00020424">
        <w:rPr>
          <w:rtl/>
        </w:rPr>
        <w:t xml:space="preserve"> ، ص 195 ، ضمن ح 1 ، بسند آخر عن الصادق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تحف العقول</w:t>
      </w:r>
      <w:r w:rsidR="00992664" w:rsidRPr="00020424">
        <w:rPr>
          <w:rtl/>
        </w:rPr>
        <w:t xml:space="preserve"> ، ص 408 ، ضمن الحديث ، عن موسى‌بن جعفر </w:t>
      </w:r>
      <w:r w:rsidR="00992664" w:rsidRPr="00D64ADA">
        <w:rPr>
          <w:rStyle w:val="libFootnoteAlaemChar"/>
          <w:rtl/>
        </w:rPr>
        <w:t>عليه‌السلام</w:t>
      </w:r>
      <w:r w:rsidR="00992664" w:rsidRPr="00020424">
        <w:rPr>
          <w:rtl/>
        </w:rPr>
        <w:t xml:space="preserve"> </w:t>
      </w:r>
      <w:r w:rsidR="00B51522">
        <w:rPr>
          <w:rFonts w:hint="cs"/>
          <w:rtl/>
        </w:rPr>
        <w:t>.</w:t>
      </w:r>
      <w:r w:rsidR="00992664" w:rsidRPr="0012008A">
        <w:rPr>
          <w:rStyle w:val="libFootnoteBoldChar"/>
          <w:rtl/>
        </w:rPr>
        <w:t>الوافي</w:t>
      </w:r>
      <w:r w:rsidR="00992664" w:rsidRPr="00020424">
        <w:rPr>
          <w:rtl/>
        </w:rPr>
        <w:t xml:space="preserve"> ، ج 10 ، ص 492 ، ح 9959 ؛ </w:t>
      </w:r>
      <w:r w:rsidR="00992664" w:rsidRPr="0012008A">
        <w:rPr>
          <w:rStyle w:val="libFootnoteBoldChar"/>
          <w:rtl/>
        </w:rPr>
        <w:t>الوسائل</w:t>
      </w:r>
      <w:r w:rsidR="00992664" w:rsidRPr="00020424">
        <w:rPr>
          <w:rtl/>
        </w:rPr>
        <w:t xml:space="preserve"> ، ج 9 ، ص 36 ، ح 11459.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A722B1">
        <w:rPr>
          <w:rStyle w:val="libFootnoteBoldChar"/>
          <w:rtl/>
        </w:rPr>
        <w:t>الخصال</w:t>
      </w:r>
      <w:r w:rsidR="00992664" w:rsidRPr="00020424">
        <w:rPr>
          <w:rtl/>
        </w:rPr>
        <w:t xml:space="preserve"> : « محق الإيمان</w:t>
      </w:r>
      <w:r w:rsidR="00992664">
        <w:rPr>
          <w:rtl/>
        </w:rPr>
        <w:t xml:space="preserve"> ».</w:t>
      </w:r>
      <w:r w:rsidR="00992664" w:rsidRPr="00020424">
        <w:rPr>
          <w:rtl/>
        </w:rPr>
        <w:t xml:space="preserve"> والمَحْق : ذهابُ خير الشي‌ء وبركته ، ونقصانُه. وقيل : هو المحو والإبطال. وقيل : هو ذهاب الشي‌ء كلّه حتّى لا يرى له أثر. راجع : </w:t>
      </w:r>
      <w:r w:rsidR="00992664" w:rsidRPr="0012008A">
        <w:rPr>
          <w:rStyle w:val="libFootnoteBoldChar"/>
          <w:rtl/>
        </w:rPr>
        <w:t>الصحاح</w:t>
      </w:r>
      <w:r w:rsidR="00992664" w:rsidRPr="00020424">
        <w:rPr>
          <w:rtl/>
        </w:rPr>
        <w:t xml:space="preserve"> ، ج 4 ، ص 1553 ؛ </w:t>
      </w:r>
      <w:r w:rsidR="00992664" w:rsidRPr="00A722B1">
        <w:rPr>
          <w:rStyle w:val="libFootnoteBoldChar"/>
          <w:rtl/>
        </w:rPr>
        <w:t>لسان العرب</w:t>
      </w:r>
      <w:r w:rsidR="00992664" w:rsidRPr="00020424">
        <w:rPr>
          <w:rtl/>
        </w:rPr>
        <w:t xml:space="preserve"> ، ج 10 ، ص 338 ( محق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الدبيب : المشي اليسير الخفيف بدون السرعة. راجع : </w:t>
      </w:r>
      <w:r w:rsidR="00992664" w:rsidRPr="00DE76B9">
        <w:rPr>
          <w:rStyle w:val="libFootnoteBoldChar"/>
          <w:rtl/>
        </w:rPr>
        <w:t>المفردات</w:t>
      </w:r>
      <w:r w:rsidR="00992664" w:rsidRPr="00020424">
        <w:rPr>
          <w:rtl/>
        </w:rPr>
        <w:t xml:space="preserve"> للراغب ، ص 306 ؛ </w:t>
      </w:r>
      <w:r w:rsidR="00992664" w:rsidRPr="00A722B1">
        <w:rPr>
          <w:rStyle w:val="libFootnoteBoldChar"/>
          <w:rtl/>
        </w:rPr>
        <w:t>المصباح المنير</w:t>
      </w:r>
      <w:r w:rsidR="00992664" w:rsidRPr="00020424">
        <w:rPr>
          <w:rtl/>
        </w:rPr>
        <w:t xml:space="preserve"> ، ص 188.</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الشَّرَك » محرّكة : حبائل الصائد ، وما ينصب للطير. راجع : </w:t>
      </w:r>
      <w:r w:rsidR="00992664" w:rsidRPr="00A722B1">
        <w:rPr>
          <w:rStyle w:val="libFootnoteBoldChar"/>
          <w:rtl/>
        </w:rPr>
        <w:t>المصباح المنير</w:t>
      </w:r>
      <w:r w:rsidR="00992664" w:rsidRPr="00020424">
        <w:rPr>
          <w:rtl/>
        </w:rPr>
        <w:t xml:space="preserve"> ، ص 311 ؛ </w:t>
      </w:r>
      <w:r w:rsidR="00992664" w:rsidRPr="00A722B1">
        <w:rPr>
          <w:rStyle w:val="libFootnoteBoldChar"/>
          <w:rtl/>
        </w:rPr>
        <w:t>القاموس المحيط</w:t>
      </w:r>
      <w:r w:rsidR="00992664" w:rsidRPr="00020424">
        <w:rPr>
          <w:rtl/>
        </w:rPr>
        <w:t xml:space="preserve"> ، ج 2 ، ص 1251 ( شرك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وفي نسخة ا</w:t>
      </w:r>
      <w:r w:rsidR="00B51522">
        <w:rPr>
          <w:rFonts w:hint="cs"/>
          <w:rtl/>
        </w:rPr>
        <w:t>ُ</w:t>
      </w:r>
      <w:r w:rsidR="00992664" w:rsidRPr="00020424">
        <w:rPr>
          <w:rtl/>
        </w:rPr>
        <w:t>خرى : الشوك</w:t>
      </w:r>
      <w:r w:rsidR="00992664">
        <w:rPr>
          <w:rtl/>
        </w:rPr>
        <w:t xml:space="preserve"> ».</w:t>
      </w:r>
      <w:r w:rsidR="00992664" w:rsidRPr="00020424">
        <w:rPr>
          <w:rtl/>
        </w:rPr>
        <w:t xml:space="preserve"> والشوك من الشجر معروف.</w:t>
      </w:r>
    </w:p>
    <w:p w:rsidR="00992664" w:rsidRPr="00020424" w:rsidRDefault="00795177" w:rsidP="00992664">
      <w:pPr>
        <w:pStyle w:val="libFootnote0"/>
        <w:rPr>
          <w:rtl/>
          <w:lang w:bidi="fa-IR"/>
        </w:rPr>
      </w:pPr>
      <w:r>
        <w:rPr>
          <w:rtl/>
        </w:rPr>
        <w:t>(7).</w:t>
      </w:r>
      <w:r w:rsidR="0014403D">
        <w:rPr>
          <w:rtl/>
        </w:rPr>
        <w:t xml:space="preserve"> </w:t>
      </w:r>
      <w:r w:rsidR="00992664" w:rsidRPr="00A722B1">
        <w:rPr>
          <w:rStyle w:val="libFootnoteBoldChar"/>
          <w:rtl/>
        </w:rPr>
        <w:t>الخصال</w:t>
      </w:r>
      <w:r w:rsidR="00992664" w:rsidRPr="00020424">
        <w:rPr>
          <w:rtl/>
        </w:rPr>
        <w:t xml:space="preserve"> ، ص 26 ، باب الواحد ، ح 93 ، بسنده عن هارون بن مسلم. </w:t>
      </w:r>
      <w:r w:rsidR="00992664" w:rsidRPr="0012008A">
        <w:rPr>
          <w:rStyle w:val="libFootnoteBoldChar"/>
          <w:rtl/>
        </w:rPr>
        <w:t>الفقيه</w:t>
      </w:r>
      <w:r w:rsidR="00992664" w:rsidRPr="00020424">
        <w:rPr>
          <w:rtl/>
        </w:rPr>
        <w:t xml:space="preserve"> ، ج 2 ، ص 63 ، ح 1716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وفيهما إلى قوله : « كشعب الشرك » </w:t>
      </w:r>
      <w:r w:rsidR="00B51522">
        <w:rPr>
          <w:rFonts w:hint="cs"/>
          <w:rtl/>
        </w:rPr>
        <w:t>.</w:t>
      </w:r>
      <w:r w:rsidR="00992664" w:rsidRPr="0012008A">
        <w:rPr>
          <w:rStyle w:val="libFootnoteBoldChar"/>
          <w:rtl/>
        </w:rPr>
        <w:t>الوافي</w:t>
      </w:r>
      <w:r w:rsidR="00992664" w:rsidRPr="00020424">
        <w:rPr>
          <w:rtl/>
        </w:rPr>
        <w:t xml:space="preserve"> ، ج 10 ، ص 491 ، ح 9958 ؛ </w:t>
      </w:r>
      <w:r w:rsidR="00992664" w:rsidRPr="0012008A">
        <w:rPr>
          <w:rStyle w:val="libFootnoteBoldChar"/>
          <w:rtl/>
        </w:rPr>
        <w:t>الوسائل</w:t>
      </w:r>
      <w:r w:rsidR="00992664" w:rsidRPr="00020424">
        <w:rPr>
          <w:rtl/>
        </w:rPr>
        <w:t xml:space="preserve"> ، ج 21 ، ص 550 ، ح 27840 ، إلى قوله : « كشعب الشرك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بر ، بف ، بك » </w:t>
      </w:r>
      <w:r w:rsidR="00992664" w:rsidRPr="00EB1FD9">
        <w:rPr>
          <w:rStyle w:val="libFootnoteBoldChar"/>
          <w:rtl/>
        </w:rPr>
        <w:t>والوسائل</w:t>
      </w:r>
      <w:r w:rsidR="00992664" w:rsidRPr="00020424">
        <w:rPr>
          <w:rtl/>
        </w:rPr>
        <w:t xml:space="preserve">. وفي « ظ ، ى ، بث ، بح ، بخ ، بس ، جن » والمطبوع : « أحمد بن </w:t>
      </w:r>
      <w:r w:rsidR="00B5152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لَيْسَ بِالْبَخِيلِ </w:t>
      </w:r>
      <w:r w:rsidRPr="00A91B96">
        <w:rPr>
          <w:rStyle w:val="libFootnotenumChar"/>
          <w:rtl/>
        </w:rPr>
        <w:t>(1)</w:t>
      </w:r>
      <w:r w:rsidRPr="00020424">
        <w:rPr>
          <w:rtl/>
          <w:lang w:bidi="fa-IR"/>
        </w:rPr>
        <w:t xml:space="preserve"> الَّذِي يُؤَدِّي الزَّكَاةَ الْمَفْرُوضَةَ فِي مَالِهِ ، وَيُعْطِي الْبَائِنَةَ </w:t>
      </w:r>
      <w:r w:rsidRPr="00A91B96">
        <w:rPr>
          <w:rStyle w:val="libFootnotenumChar"/>
          <w:rtl/>
        </w:rPr>
        <w:t>(2)</w:t>
      </w:r>
      <w:r w:rsidRPr="00020424">
        <w:rPr>
          <w:rtl/>
          <w:lang w:bidi="fa-IR"/>
        </w:rPr>
        <w:t xml:space="preserve"> فِي قَوْمِهِ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05FE6">
        <w:rPr>
          <w:rtl/>
        </w:rPr>
        <w:t>6177</w:t>
      </w:r>
      <w:r w:rsidRPr="001155DE">
        <w:rPr>
          <w:rStyle w:val="libBold2Char"/>
          <w:rtl/>
        </w:rPr>
        <w:t xml:space="preserve"> / 7.</w:t>
      </w:r>
      <w:r w:rsidRPr="00020424">
        <w:rPr>
          <w:rtl/>
          <w:lang w:bidi="fa-IR"/>
        </w:rPr>
        <w:t xml:space="preserve"> أَحْمَدُ </w:t>
      </w:r>
      <w:r w:rsidRPr="00A91B96">
        <w:rPr>
          <w:rStyle w:val="libFootnotenumChar"/>
          <w:rtl/>
        </w:rPr>
        <w:t>(4)</w:t>
      </w:r>
      <w:r w:rsidRPr="00020424">
        <w:rPr>
          <w:rtl/>
          <w:lang w:bidi="fa-IR"/>
        </w:rPr>
        <w:t xml:space="preserve"> ، عَنْ شَرِيفِ بْنِ سَابِقٍ ، عَنِ الْفَضْلِ بْنِ أَبِي قُرَّةَ ، قَالَ :</w:t>
      </w:r>
    </w:p>
    <w:p w:rsidR="00992664" w:rsidRPr="00020424" w:rsidRDefault="00992664" w:rsidP="00992664">
      <w:pPr>
        <w:pStyle w:val="libNormal"/>
        <w:rPr>
          <w:rtl/>
          <w:lang w:bidi="fa-IR"/>
        </w:rPr>
      </w:pPr>
      <w:r w:rsidRPr="00020424">
        <w:rPr>
          <w:rtl/>
          <w:lang w:bidi="fa-IR"/>
        </w:rPr>
        <w:t xml:space="preserve">قَالَ لِي </w:t>
      </w:r>
      <w:r w:rsidRPr="00A91B96">
        <w:rPr>
          <w:rStyle w:val="libFootnotenumChar"/>
          <w:rtl/>
        </w:rPr>
        <w:t>(5)</w:t>
      </w:r>
      <w:r w:rsidRPr="00020424">
        <w:rPr>
          <w:rtl/>
          <w:lang w:bidi="fa-IR"/>
        </w:rPr>
        <w:t xml:space="preserve"> أَبُو عَبْدِ اللهِ </w:t>
      </w:r>
      <w:r w:rsidRPr="00005A81">
        <w:rPr>
          <w:rStyle w:val="libAlaemChar"/>
          <w:rtl/>
        </w:rPr>
        <w:t>عليه‌السلام</w:t>
      </w:r>
      <w:r w:rsidRPr="00020424">
        <w:rPr>
          <w:rtl/>
          <w:lang w:bidi="fa-IR"/>
        </w:rPr>
        <w:t xml:space="preserve"> : « تَدْرِي مَا </w:t>
      </w:r>
      <w:r w:rsidRPr="00A91B96">
        <w:rPr>
          <w:rStyle w:val="libFootnotenumChar"/>
          <w:rtl/>
        </w:rPr>
        <w:t>(6)</w:t>
      </w:r>
      <w:r w:rsidRPr="00020424">
        <w:rPr>
          <w:rtl/>
          <w:lang w:bidi="fa-IR"/>
        </w:rPr>
        <w:t xml:space="preserve"> الشَّحِيحُ</w:t>
      </w:r>
      <w:r>
        <w:rPr>
          <w:rtl/>
          <w:lang w:bidi="fa-IR"/>
        </w:rPr>
        <w:t>؟ ».</w:t>
      </w:r>
    </w:p>
    <w:p w:rsidR="00992664" w:rsidRPr="00020424" w:rsidRDefault="00992664" w:rsidP="00992664">
      <w:pPr>
        <w:pStyle w:val="libNormal"/>
        <w:rPr>
          <w:rtl/>
          <w:lang w:bidi="fa-IR"/>
        </w:rPr>
      </w:pPr>
      <w:r w:rsidRPr="00020424">
        <w:rPr>
          <w:rtl/>
          <w:lang w:bidi="fa-IR"/>
        </w:rPr>
        <w:t>قُلْتُ : هُوَ الْبَخِيلُ.</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 الشُّحُّ أَشَدُّ مِنَ الْبُخْلِ ؛ إِنَّ </w:t>
      </w:r>
      <w:r w:rsidRPr="00A91B96">
        <w:rPr>
          <w:rStyle w:val="libFootnotenumChar"/>
          <w:rtl/>
        </w:rPr>
        <w:t>(8)</w:t>
      </w:r>
      <w:r w:rsidRPr="00020424">
        <w:rPr>
          <w:rtl/>
          <w:lang w:bidi="fa-IR"/>
        </w:rPr>
        <w:t xml:space="preserve"> الْبَخِيلَ يَبْخَلُ بِمَا فِي يَدِهِ ، وَالشَّحِيحُ يَشُحُّ </w:t>
      </w:r>
      <w:r w:rsidRPr="00A91B96">
        <w:rPr>
          <w:rStyle w:val="libFootnotenumChar"/>
          <w:rtl/>
        </w:rPr>
        <w:t>(9)</w:t>
      </w:r>
      <w:r w:rsidRPr="00020424">
        <w:rPr>
          <w:rtl/>
          <w:lang w:bidi="fa-IR"/>
        </w:rPr>
        <w:t xml:space="preserve"> عَلى مَا فِي أَيْدِي النَّاسِ وَعَلى مَا فِي يَدَيْهِ </w:t>
      </w:r>
      <w:r w:rsidRPr="00A91B96">
        <w:rPr>
          <w:rStyle w:val="libFootnotenumChar"/>
          <w:rtl/>
        </w:rPr>
        <w:t>(10)</w:t>
      </w:r>
      <w:r w:rsidRPr="00020424">
        <w:rPr>
          <w:rtl/>
          <w:lang w:bidi="fa-IR"/>
        </w:rPr>
        <w:t xml:space="preserve"> حَتّى لَايَرى مِمَّا </w:t>
      </w:r>
      <w:r w:rsidRPr="00A91B96">
        <w:rPr>
          <w:rStyle w:val="libFootnotenumChar"/>
          <w:rtl/>
        </w:rPr>
        <w:t>(11)</w:t>
      </w:r>
      <w:r w:rsidRPr="00020424">
        <w:rPr>
          <w:rtl/>
          <w:lang w:bidi="fa-IR"/>
        </w:rPr>
        <w:t xml:space="preserve"> فِي أَيْدِي النَّاسِ‌</w:t>
      </w:r>
    </w:p>
    <w:p w:rsidR="00992664" w:rsidRPr="00020424" w:rsidRDefault="00992664" w:rsidP="00992664">
      <w:pPr>
        <w:pStyle w:val="libLine"/>
        <w:rPr>
          <w:rtl/>
          <w:lang w:bidi="fa-IR"/>
        </w:rPr>
      </w:pPr>
      <w:r w:rsidRPr="00020424">
        <w:rPr>
          <w:rtl/>
          <w:lang w:bidi="fa-IR"/>
        </w:rPr>
        <w:t>__________________</w:t>
      </w:r>
    </w:p>
    <w:p w:rsidR="00992664" w:rsidRPr="00020424" w:rsidRDefault="00F208F9" w:rsidP="00992664">
      <w:pPr>
        <w:pStyle w:val="libFootnote0"/>
        <w:rPr>
          <w:rtl/>
          <w:lang w:bidi="fa-IR"/>
        </w:rPr>
      </w:pPr>
      <w:r>
        <w:rPr>
          <w:rFonts w:hint="cs"/>
          <w:rtl/>
        </w:rPr>
        <w:t xml:space="preserve">= </w:t>
      </w:r>
      <w:r w:rsidR="00992664" w:rsidRPr="00020424">
        <w:rPr>
          <w:rtl/>
        </w:rPr>
        <w:t>محمّد</w:t>
      </w:r>
      <w:r w:rsidR="00992664">
        <w:rPr>
          <w:rtl/>
        </w:rPr>
        <w:t xml:space="preserve"> ».</w:t>
      </w:r>
      <w:r w:rsidR="00992664" w:rsidRPr="00020424">
        <w:rPr>
          <w:rtl/>
        </w:rPr>
        <w:t xml:space="preserve"> والمراد من أحمد ، هو أحمد بن أبي عبدالله المذكور في سند الحديث الرابع والراوي عن محمّد بن عليّ وهو أبوسمينة في غير واحد من الأسناد ، فيكون سندنا هذا معلّقاً على ذاك. وتقدّم في </w:t>
      </w:r>
      <w:r w:rsidR="00992664" w:rsidRPr="00DE76B9">
        <w:rPr>
          <w:rStyle w:val="libFootnoteBoldChar"/>
          <w:rtl/>
        </w:rPr>
        <w:t>الكافي</w:t>
      </w:r>
      <w:r w:rsidR="00992664" w:rsidRPr="00020424">
        <w:rPr>
          <w:rtl/>
        </w:rPr>
        <w:t xml:space="preserve"> ، ذيل ح 6063 ، أنّ المناسب في مثل المقام أن يكون التعبير من الراوي أمّا بما يوافق عنوانه المتقدّم أو بما هو مختصر عنه ، فلاحظ.</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بف » : « البخيل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بث ، بخ ، بس ، بف ، جن » : « النائبة</w:t>
      </w:r>
      <w:r w:rsidR="00992664">
        <w:rPr>
          <w:rtl/>
        </w:rPr>
        <w:t xml:space="preserve"> ».</w:t>
      </w:r>
      <w:r w:rsidR="00992664" w:rsidRPr="00020424">
        <w:rPr>
          <w:rtl/>
        </w:rPr>
        <w:t xml:space="preserve"> </w:t>
      </w:r>
      <w:r w:rsidR="00992664">
        <w:rPr>
          <w:rtl/>
        </w:rPr>
        <w:t>و «</w:t>
      </w:r>
      <w:r w:rsidR="00992664" w:rsidRPr="00020424">
        <w:rPr>
          <w:rtl/>
        </w:rPr>
        <w:t xml:space="preserve"> البائنة » : العطيّة ، سمّيت بها لأنّها ا</w:t>
      </w:r>
      <w:r w:rsidR="00140ED6">
        <w:rPr>
          <w:rFonts w:hint="cs"/>
          <w:rtl/>
        </w:rPr>
        <w:t>ُ</w:t>
      </w:r>
      <w:r w:rsidR="00992664" w:rsidRPr="00020424">
        <w:rPr>
          <w:rtl/>
        </w:rPr>
        <w:t>فردت وا</w:t>
      </w:r>
      <w:r w:rsidR="00140ED6">
        <w:rPr>
          <w:rFonts w:hint="cs"/>
          <w:rtl/>
        </w:rPr>
        <w:t>ُ</w:t>
      </w:r>
      <w:r w:rsidR="00992664" w:rsidRPr="00020424">
        <w:rPr>
          <w:rtl/>
        </w:rPr>
        <w:t xml:space="preserve">بينت من المال. راجع : </w:t>
      </w:r>
      <w:r w:rsidR="00992664" w:rsidRPr="0012008A">
        <w:rPr>
          <w:rStyle w:val="libFootnoteBoldChar"/>
          <w:rtl/>
        </w:rPr>
        <w:t>النهاية</w:t>
      </w:r>
      <w:r w:rsidR="00992664" w:rsidRPr="00020424">
        <w:rPr>
          <w:rtl/>
        </w:rPr>
        <w:t xml:space="preserve"> ، ج 1 ، ص 174 ( بين ) ؛ </w:t>
      </w:r>
      <w:r w:rsidR="00992664" w:rsidRPr="0012008A">
        <w:rPr>
          <w:rStyle w:val="libFootnoteBoldChar"/>
          <w:rtl/>
        </w:rPr>
        <w:t>الوافي</w:t>
      </w:r>
      <w:r w:rsidR="00992664" w:rsidRPr="00020424">
        <w:rPr>
          <w:rtl/>
        </w:rPr>
        <w:t xml:space="preserve"> ، ج 10 ، ص 492.</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492 ، ح 9960 ؛ </w:t>
      </w:r>
      <w:r w:rsidR="00992664" w:rsidRPr="0012008A">
        <w:rPr>
          <w:rStyle w:val="libFootnoteBoldChar"/>
          <w:rtl/>
        </w:rPr>
        <w:t>الوسائل</w:t>
      </w:r>
      <w:r w:rsidR="00992664" w:rsidRPr="00020424">
        <w:rPr>
          <w:rtl/>
        </w:rPr>
        <w:t xml:space="preserve"> ، ج 9 ، ص 36 ، ح 11460.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بر ، بف ، بك ، جد</w:t>
      </w:r>
      <w:r w:rsidR="00992664">
        <w:rPr>
          <w:rtl/>
        </w:rPr>
        <w:t xml:space="preserve"> ».</w:t>
      </w:r>
      <w:r w:rsidR="00992664" w:rsidRPr="00020424">
        <w:rPr>
          <w:rtl/>
        </w:rPr>
        <w:t xml:space="preserve"> وفي سائرالنسخ والمطبوع : « أحمد بن محمّد</w:t>
      </w:r>
      <w:r w:rsidR="00992664">
        <w:rPr>
          <w:rtl/>
        </w:rPr>
        <w:t xml:space="preserve"> ».</w:t>
      </w:r>
      <w:r w:rsidR="00992664" w:rsidRPr="00020424">
        <w:rPr>
          <w:rtl/>
        </w:rPr>
        <w:t xml:space="preserve"> والمراد من أحمد ، هو أحمد بن أبي عبدالله ، كما تقدّم ذيل السند السابق ؛ فقد روى أحمد بن أبي عبدالله</w:t>
      </w:r>
      <w:r w:rsidR="00992664">
        <w:rPr>
          <w:rtl/>
        </w:rPr>
        <w:t xml:space="preserve"> </w:t>
      </w:r>
      <w:r w:rsidR="009B673F">
        <w:rPr>
          <w:rtl/>
        </w:rPr>
        <w:t>-</w:t>
      </w:r>
      <w:r w:rsidR="00992664">
        <w:rPr>
          <w:rtl/>
        </w:rPr>
        <w:t xml:space="preserve"> </w:t>
      </w:r>
      <w:r w:rsidR="00992664" w:rsidRPr="00020424">
        <w:rPr>
          <w:rtl/>
        </w:rPr>
        <w:t>بعناوينه المختلفة</w:t>
      </w:r>
      <w:r w:rsidR="00992664">
        <w:rPr>
          <w:rtl/>
        </w:rPr>
        <w:t xml:space="preserve"> </w:t>
      </w:r>
      <w:r w:rsidR="009B673F">
        <w:rPr>
          <w:rtl/>
        </w:rPr>
        <w:t>-</w:t>
      </w:r>
      <w:r w:rsidR="00992664">
        <w:rPr>
          <w:rtl/>
        </w:rPr>
        <w:t xml:space="preserve"> </w:t>
      </w:r>
      <w:r w:rsidR="00992664" w:rsidRPr="00020424">
        <w:rPr>
          <w:rtl/>
        </w:rPr>
        <w:t>عن شريف بن سابق في الأسناد. راجع : معجم رجال الحديث ، ج 9 ، ص 365.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ظ ، ى ، بث ، بح ، بخ ، بر ، بس ، بف » وحاشية « جن » </w:t>
      </w:r>
      <w:r w:rsidR="00992664" w:rsidRPr="004F05E5">
        <w:rPr>
          <w:rtl/>
        </w:rPr>
        <w:t>والوافي والفقيه وتحف العقول.</w:t>
      </w:r>
      <w:r w:rsidR="00992664" w:rsidRPr="00020424">
        <w:rPr>
          <w:rtl/>
        </w:rPr>
        <w:t xml:space="preserve"> وفي « جن » والمطبوع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بث ، بخ ، بر ، بف ، بك » </w:t>
      </w:r>
      <w:r w:rsidR="00992664" w:rsidRPr="004F05E5">
        <w:rPr>
          <w:rtl/>
        </w:rPr>
        <w:t>والوافي والفقيه وتحف العقول</w:t>
      </w:r>
      <w:r w:rsidR="00992664" w:rsidRPr="00020424">
        <w:rPr>
          <w:rtl/>
        </w:rPr>
        <w:t xml:space="preserve"> والمعاني. وفي سائر النسخ والمطبوع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40ED6" w:rsidTr="00140ED6">
        <w:tc>
          <w:tcPr>
            <w:tcW w:w="4006" w:type="dxa"/>
          </w:tcPr>
          <w:p w:rsidR="00140ED6" w:rsidRDefault="00140ED6" w:rsidP="00992664">
            <w:pPr>
              <w:pStyle w:val="libFootnote0"/>
              <w:rPr>
                <w:rtl/>
              </w:rPr>
            </w:pPr>
            <w:r>
              <w:rPr>
                <w:rtl/>
              </w:rPr>
              <w:t xml:space="preserve">(8). </w:t>
            </w:r>
            <w:r w:rsidRPr="00020424">
              <w:rPr>
                <w:rtl/>
              </w:rPr>
              <w:t>في « بر ، بك » :</w:t>
            </w:r>
            <w:r>
              <w:rPr>
                <w:rtl/>
              </w:rPr>
              <w:t xml:space="preserve"> - </w:t>
            </w:r>
            <w:r w:rsidRPr="00020424">
              <w:rPr>
                <w:rtl/>
              </w:rPr>
              <w:t>« إنّ</w:t>
            </w:r>
            <w:r>
              <w:rPr>
                <w:rtl/>
              </w:rPr>
              <w:t xml:space="preserve"> ».</w:t>
            </w:r>
          </w:p>
        </w:tc>
        <w:tc>
          <w:tcPr>
            <w:tcW w:w="4006" w:type="dxa"/>
          </w:tcPr>
          <w:p w:rsidR="00140ED6" w:rsidRDefault="00140ED6" w:rsidP="00992664">
            <w:pPr>
              <w:pStyle w:val="libFootnote0"/>
              <w:rPr>
                <w:rtl/>
              </w:rPr>
            </w:pPr>
            <w:r>
              <w:rPr>
                <w:rtl/>
              </w:rPr>
              <w:t xml:space="preserve">(9). </w:t>
            </w:r>
            <w:r w:rsidRPr="00020424">
              <w:rPr>
                <w:rtl/>
              </w:rPr>
              <w:t>في « بر ، بك » :</w:t>
            </w:r>
            <w:r>
              <w:rPr>
                <w:rtl/>
              </w:rPr>
              <w:t xml:space="preserve"> - </w:t>
            </w:r>
            <w:r w:rsidRPr="00020424">
              <w:rPr>
                <w:rtl/>
              </w:rPr>
              <w:t>« يشحّ</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بح ، بخ ، بر ، بف ، بك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A83B0E">
        <w:rPr>
          <w:rStyle w:val="libFootnoteBoldChar"/>
          <w:rtl/>
        </w:rPr>
        <w:t>وتحف العقول</w:t>
      </w:r>
      <w:r w:rsidR="00992664" w:rsidRPr="00020424">
        <w:rPr>
          <w:rtl/>
        </w:rPr>
        <w:t xml:space="preserve"> : « يده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بك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A83B0E">
        <w:rPr>
          <w:rStyle w:val="libFootnoteBoldChar"/>
          <w:rtl/>
        </w:rPr>
        <w:t>وتحف العقول</w:t>
      </w:r>
      <w:r w:rsidR="00992664" w:rsidRPr="00020424">
        <w:rPr>
          <w:rtl/>
        </w:rPr>
        <w:t xml:space="preserve"> والمعاني :</w:t>
      </w:r>
      <w:r w:rsidR="00992664">
        <w:rPr>
          <w:rtl/>
        </w:rPr>
        <w:t xml:space="preserve"> </w:t>
      </w:r>
      <w:r w:rsidR="009B673F">
        <w:rPr>
          <w:rtl/>
        </w:rPr>
        <w:t>-</w:t>
      </w:r>
      <w:r w:rsidR="00992664">
        <w:rPr>
          <w:rtl/>
        </w:rPr>
        <w:t xml:space="preserve"> </w:t>
      </w:r>
      <w:r w:rsidR="00992664" w:rsidRPr="00020424">
        <w:rPr>
          <w:rtl/>
        </w:rPr>
        <w:t>« ممّا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C428C1" w:rsidP="004F05E5">
      <w:pPr>
        <w:pStyle w:val="libNormal0"/>
        <w:rPr>
          <w:rtl/>
          <w:lang w:bidi="fa-IR"/>
        </w:rPr>
      </w:pPr>
      <w:r>
        <w:rPr>
          <w:rtl/>
          <w:lang w:bidi="fa-IR"/>
        </w:rPr>
        <w:t>شَيْئاً إِل</w:t>
      </w:r>
      <w:r>
        <w:rPr>
          <w:rFonts w:hint="cs"/>
          <w:rtl/>
          <w:lang w:bidi="fa-IR"/>
        </w:rPr>
        <w:t>َّ</w:t>
      </w:r>
      <w:r>
        <w:rPr>
          <w:rtl/>
          <w:lang w:bidi="fa-IR"/>
        </w:rPr>
        <w:t>ا</w:t>
      </w:r>
      <w:r w:rsidR="00992664" w:rsidRPr="00020424">
        <w:rPr>
          <w:rtl/>
          <w:lang w:bidi="fa-IR"/>
        </w:rPr>
        <w:t xml:space="preserve"> تَمَنّى أَنْ يَكُونَ لَهُ بِالْحِلِّ وَالْحَرَامِ </w:t>
      </w:r>
      <w:r w:rsidR="00992664" w:rsidRPr="00A91B96">
        <w:rPr>
          <w:rStyle w:val="libFootnotenumChar"/>
          <w:rtl/>
        </w:rPr>
        <w:t>(1)</w:t>
      </w:r>
      <w:r w:rsidR="00992664" w:rsidRPr="00020424">
        <w:rPr>
          <w:rtl/>
          <w:lang w:bidi="fa-IR"/>
        </w:rPr>
        <w:t xml:space="preserve"> ، وَلَايَقْنَعُ </w:t>
      </w:r>
      <w:r w:rsidR="00992664" w:rsidRPr="00A91B96">
        <w:rPr>
          <w:rStyle w:val="libFootnotenumChar"/>
          <w:rtl/>
        </w:rPr>
        <w:t>(2)</w:t>
      </w:r>
      <w:r w:rsidR="00992664" w:rsidRPr="00020424">
        <w:rPr>
          <w:rtl/>
          <w:lang w:bidi="fa-IR"/>
        </w:rPr>
        <w:t xml:space="preserve"> بِمَا رَزَقَهُ اللهُ</w:t>
      </w:r>
      <w:r w:rsidR="00992664">
        <w:rPr>
          <w:rtl/>
          <w:lang w:bidi="fa-IR"/>
        </w:rPr>
        <w:t xml:space="preserve"> ».</w:t>
      </w:r>
      <w:r w:rsidR="00992664" w:rsidRPr="00020424">
        <w:rPr>
          <w:rtl/>
          <w:lang w:bidi="fa-IR"/>
        </w:rPr>
        <w:t xml:space="preserve"> </w:t>
      </w:r>
      <w:r w:rsidR="00992664" w:rsidRPr="00A91B96">
        <w:rPr>
          <w:rStyle w:val="libFootnotenumChar"/>
          <w:rtl/>
        </w:rPr>
        <w:t>(3)</w:t>
      </w:r>
      <w:r w:rsidR="00992664" w:rsidRPr="00020424">
        <w:rPr>
          <w:rtl/>
          <w:lang w:bidi="fa-IR"/>
        </w:rPr>
        <w:t xml:space="preserve"> ‌</w:t>
      </w:r>
    </w:p>
    <w:p w:rsidR="00992664" w:rsidRPr="00020424" w:rsidRDefault="00992664" w:rsidP="00992664">
      <w:pPr>
        <w:pStyle w:val="libNormal"/>
        <w:rPr>
          <w:rtl/>
          <w:lang w:bidi="fa-IR"/>
        </w:rPr>
      </w:pPr>
      <w:r w:rsidRPr="00805FE6">
        <w:rPr>
          <w:rtl/>
        </w:rPr>
        <w:t>6178</w:t>
      </w:r>
      <w:r w:rsidRPr="001155DE">
        <w:rPr>
          <w:rStyle w:val="libBold2Char"/>
          <w:rtl/>
        </w:rPr>
        <w:t xml:space="preserve"> / 8.</w:t>
      </w:r>
      <w:r w:rsidRPr="00020424">
        <w:rPr>
          <w:rtl/>
          <w:lang w:bidi="fa-IR"/>
        </w:rPr>
        <w:t xml:space="preserve"> عَلِيُّ بْنُ إِبْرَاهِيمَ ، عَنْ أَبِيهِ ، عَنِ ابْنِ الْمُغِيرَةِ ، عَنِ الْمُفَضَّلِ </w:t>
      </w:r>
      <w:r w:rsidRPr="00A91B96">
        <w:rPr>
          <w:rStyle w:val="libFootnotenumChar"/>
          <w:rtl/>
        </w:rPr>
        <w:t>(4)</w:t>
      </w:r>
      <w:r w:rsidRPr="00020424">
        <w:rPr>
          <w:rtl/>
          <w:lang w:bidi="fa-IR"/>
        </w:rPr>
        <w:t xml:space="preserve"> بْنِ صَالِحٍ ، عَنْ جَابِرٍ :</w:t>
      </w:r>
    </w:p>
    <w:p w:rsidR="00992664" w:rsidRPr="00020424" w:rsidRDefault="00992664" w:rsidP="005F4E37">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لَيْسَ الْبَخِيلُ مَنْ أَدَّى الزَّكَاةَ الْمَفْرُوضَةَ مِنْ مَالِهِ ، وَأَعْطَى الْبَائِنَةَ </w:t>
      </w:r>
      <w:r w:rsidRPr="00A91B96">
        <w:rPr>
          <w:rStyle w:val="libFootnotenumChar"/>
          <w:rtl/>
        </w:rPr>
        <w:t>(5)</w:t>
      </w:r>
      <w:r w:rsidRPr="00020424">
        <w:rPr>
          <w:rtl/>
          <w:lang w:bidi="fa-IR"/>
        </w:rPr>
        <w:t xml:space="preserve"> فِي </w:t>
      </w:r>
      <w:r w:rsidRPr="00A91B96">
        <w:rPr>
          <w:rStyle w:val="libFootnotenumChar"/>
          <w:rtl/>
        </w:rPr>
        <w:t>(6)</w:t>
      </w:r>
      <w:r w:rsidRPr="00020424">
        <w:rPr>
          <w:rtl/>
          <w:lang w:bidi="fa-IR"/>
        </w:rPr>
        <w:t xml:space="preserve"> قَوْمِهِ ، إِنَّمَا الْبَخِيلُ حَقُّ الْبَخِيلِ مَنْ لَمْ يُؤَدِّ الزَّكَاةَ الْمَفْرُوضَةَ مِنْ مَالِهِ ، وَلَمْ يُعْطِ الْبَائِنَةَ </w:t>
      </w:r>
      <w:r w:rsidRPr="00A91B96">
        <w:rPr>
          <w:rStyle w:val="libFootnotenumChar"/>
          <w:rtl/>
        </w:rPr>
        <w:t>(7)</w:t>
      </w:r>
      <w:r w:rsidRPr="00020424">
        <w:rPr>
          <w:rtl/>
          <w:lang w:bidi="fa-IR"/>
        </w:rPr>
        <w:t xml:space="preserve"> فِي قَوْمِهِ ، وَهُوَ يُبَذِّرُ فِيمَا سِوى ذلِكَ</w:t>
      </w:r>
      <w:r>
        <w:rPr>
          <w:rtl/>
          <w:lang w:bidi="fa-IR"/>
        </w:rPr>
        <w:t xml:space="preserve"> ».</w:t>
      </w:r>
      <w:r w:rsidRPr="00020424">
        <w:rPr>
          <w:rtl/>
          <w:lang w:bidi="fa-IR"/>
        </w:rPr>
        <w:t xml:space="preserve"> </w:t>
      </w:r>
      <w:r w:rsidRPr="00A91B96">
        <w:rPr>
          <w:rStyle w:val="libFootnotenumChar"/>
          <w:rtl/>
        </w:rPr>
        <w:t>(8)</w:t>
      </w:r>
    </w:p>
    <w:p w:rsidR="00992664" w:rsidRPr="00020424" w:rsidRDefault="00992664" w:rsidP="00992664">
      <w:pPr>
        <w:pStyle w:val="Heading2Center"/>
        <w:rPr>
          <w:rtl/>
          <w:lang w:bidi="fa-IR"/>
        </w:rPr>
      </w:pPr>
      <w:bookmarkStart w:id="268" w:name="_Toc345172806"/>
      <w:bookmarkStart w:id="269" w:name="_Toc464562622"/>
      <w:bookmarkStart w:id="270" w:name="_Toc44599925"/>
      <w:r w:rsidRPr="00020424">
        <w:rPr>
          <w:rtl/>
          <w:lang w:bidi="fa-IR"/>
        </w:rPr>
        <w:t>84</w:t>
      </w:r>
      <w:r>
        <w:rPr>
          <w:rtl/>
          <w:lang w:bidi="fa-IR"/>
        </w:rPr>
        <w:t xml:space="preserve"> </w:t>
      </w:r>
      <w:r w:rsidR="009B673F">
        <w:rPr>
          <w:rtl/>
          <w:lang w:bidi="fa-IR"/>
        </w:rPr>
        <w:t>-</w:t>
      </w:r>
      <w:r>
        <w:rPr>
          <w:rtl/>
          <w:lang w:bidi="fa-IR"/>
        </w:rPr>
        <w:t xml:space="preserve"> </w:t>
      </w:r>
      <w:r w:rsidRPr="00020424">
        <w:rPr>
          <w:rtl/>
          <w:lang w:bidi="fa-IR"/>
        </w:rPr>
        <w:t>بَابُ النَّوَادِرِ‌</w:t>
      </w:r>
      <w:bookmarkEnd w:id="268"/>
      <w:bookmarkEnd w:id="269"/>
      <w:bookmarkEnd w:id="270"/>
    </w:p>
    <w:p w:rsidR="00992664" w:rsidRPr="00020424" w:rsidRDefault="00992664" w:rsidP="00992664">
      <w:pPr>
        <w:pStyle w:val="libNormal"/>
        <w:rPr>
          <w:rtl/>
          <w:lang w:bidi="fa-IR"/>
        </w:rPr>
      </w:pPr>
      <w:r w:rsidRPr="00805FE6">
        <w:rPr>
          <w:rtl/>
        </w:rPr>
        <w:t>6179</w:t>
      </w:r>
      <w:r w:rsidRPr="001155DE">
        <w:rPr>
          <w:rStyle w:val="libBold2Char"/>
          <w:rtl/>
        </w:rPr>
        <w:t xml:space="preserve"> / 1.</w:t>
      </w:r>
      <w:r w:rsidRPr="00020424">
        <w:rPr>
          <w:rtl/>
          <w:lang w:bidi="fa-IR"/>
        </w:rPr>
        <w:t xml:space="preserve"> الْحُسَيْنُ بْنُ مُحَمَّدٍ ، عَنْ مُعَلَّى بْنِ مُحَمَّدٍ ، عَنْ سُلَيْمَانَ بْنِ سُفْيَانَ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يَأْتِي عَلَى </w:t>
      </w:r>
      <w:r w:rsidRPr="00A91B96">
        <w:rPr>
          <w:rStyle w:val="libFootnotenumChar"/>
          <w:rtl/>
        </w:rPr>
        <w:t>(9)</w:t>
      </w:r>
      <w:r w:rsidRPr="00020424">
        <w:rPr>
          <w:rtl/>
          <w:lang w:bidi="fa-IR"/>
        </w:rPr>
        <w:t xml:space="preserve"> النَّاسِ زَمَانٌ </w:t>
      </w:r>
      <w:r w:rsidRPr="00A91B96">
        <w:rPr>
          <w:rStyle w:val="libFootnotenumChar"/>
          <w:rtl/>
        </w:rPr>
        <w:t>(10)</w:t>
      </w:r>
      <w:r w:rsidRPr="00020424">
        <w:rPr>
          <w:rtl/>
          <w:lang w:bidi="fa-IR"/>
        </w:rPr>
        <w:t xml:space="preserve"> مَنْ سَأَلَ النَّاسَ عَاشَ ، وَمَنْ سَكَتَ مَاتَ</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تحف العقول : + « لا يشبع</w:t>
      </w:r>
      <w:r w:rsidR="00992664">
        <w:rPr>
          <w:rtl/>
        </w:rPr>
        <w:t xml:space="preserve"> ».</w:t>
      </w:r>
      <w:r w:rsidR="00992664" w:rsidRPr="00020424">
        <w:rPr>
          <w:rtl/>
        </w:rPr>
        <w:t xml:space="preserve"> وفي المعاني : + « ولا يشبع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فلا يقنع</w:t>
      </w:r>
      <w:r w:rsidR="00992664">
        <w:rPr>
          <w:rtl/>
        </w:rPr>
        <w:t xml:space="preserve"> ».</w:t>
      </w:r>
      <w:r w:rsidR="00992664" w:rsidRPr="00020424">
        <w:rPr>
          <w:rtl/>
        </w:rPr>
        <w:t xml:space="preserve"> وفي تحف العقول : « ولا ينتفع</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63 ، ح 1715 ، معلّقاً عن الفضل بن أبي قرّة السمندي. </w:t>
      </w:r>
      <w:r w:rsidR="00992664" w:rsidRPr="00DE76B9">
        <w:rPr>
          <w:rStyle w:val="libFootnoteBoldChar"/>
          <w:rtl/>
        </w:rPr>
        <w:t>معاني الأخبار</w:t>
      </w:r>
      <w:r w:rsidR="00992664" w:rsidRPr="00020424">
        <w:rPr>
          <w:rtl/>
        </w:rPr>
        <w:t xml:space="preserve"> ، ص 245 ، ح 1 ، بسند آخر. </w:t>
      </w:r>
      <w:r w:rsidR="00992664" w:rsidRPr="00DE76B9">
        <w:rPr>
          <w:rStyle w:val="libFootnoteBoldChar"/>
          <w:rtl/>
        </w:rPr>
        <w:t>تحف العقول</w:t>
      </w:r>
      <w:r w:rsidR="00992664" w:rsidRPr="00020424">
        <w:rPr>
          <w:rtl/>
        </w:rPr>
        <w:t xml:space="preserve"> ، ص 371 ، عن الفضيل بن عياض ، عن أبي عبدالله </w:t>
      </w:r>
      <w:r w:rsidR="00992664" w:rsidRPr="00D64ADA">
        <w:rPr>
          <w:rStyle w:val="libFootnoteAlaemChar"/>
          <w:rtl/>
        </w:rPr>
        <w:t>عليه‌السلام</w:t>
      </w:r>
      <w:r w:rsidR="00992664" w:rsidRPr="00020424">
        <w:rPr>
          <w:rtl/>
        </w:rPr>
        <w:t xml:space="preserve"> </w:t>
      </w:r>
      <w:r w:rsidR="001A6796">
        <w:rPr>
          <w:rFonts w:hint="cs"/>
          <w:rtl/>
        </w:rPr>
        <w:t>.</w:t>
      </w:r>
      <w:r w:rsidR="00992664" w:rsidRPr="0012008A">
        <w:rPr>
          <w:rStyle w:val="libFootnoteBoldChar"/>
          <w:rtl/>
        </w:rPr>
        <w:t>الوافي</w:t>
      </w:r>
      <w:r w:rsidR="00992664" w:rsidRPr="00020424">
        <w:rPr>
          <w:rtl/>
        </w:rPr>
        <w:t xml:space="preserve"> ، ج 10 ، ص 493 ، ح 9962.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 « مفضّل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بك » : « الثانية</w:t>
      </w:r>
      <w:r w:rsidR="00992664">
        <w:rPr>
          <w:rtl/>
        </w:rPr>
        <w:t xml:space="preserve"> ».</w:t>
      </w:r>
      <w:r w:rsidR="00992664" w:rsidRPr="00020424">
        <w:rPr>
          <w:rtl/>
        </w:rPr>
        <w:t xml:space="preserve"> وفيهامش المطبوع عن بعض النسخ : « النائبة</w:t>
      </w:r>
      <w:r w:rsidR="00992664">
        <w:rPr>
          <w:rtl/>
        </w:rPr>
        <w:t xml:space="preserve"> ».</w:t>
      </w:r>
      <w:r w:rsidR="00992664" w:rsidRPr="00020424">
        <w:rPr>
          <w:rtl/>
        </w:rPr>
        <w:t xml:space="preserve"> والبائنة : العطيّة ، سمّيت بها لأنّها ا</w:t>
      </w:r>
      <w:r w:rsidR="001A6796">
        <w:rPr>
          <w:rFonts w:hint="cs"/>
          <w:rtl/>
        </w:rPr>
        <w:t>ُ</w:t>
      </w:r>
      <w:r w:rsidR="00992664" w:rsidRPr="00020424">
        <w:rPr>
          <w:rtl/>
        </w:rPr>
        <w:t xml:space="preserve">بينت‌من المال. راجع : </w:t>
      </w:r>
      <w:r w:rsidR="00992664" w:rsidRPr="0012008A">
        <w:rPr>
          <w:rStyle w:val="libFootnoteBoldChar"/>
          <w:rtl/>
        </w:rPr>
        <w:t>الوافي</w:t>
      </w:r>
      <w:r w:rsidR="00992664" w:rsidRPr="00020424">
        <w:rPr>
          <w:rtl/>
        </w:rPr>
        <w:t xml:space="preserve"> ، ج 10 ، ص 492 ؛ </w:t>
      </w:r>
      <w:r w:rsidR="00992664" w:rsidRPr="0012008A">
        <w:rPr>
          <w:rStyle w:val="libFootnoteBoldChar"/>
          <w:rtl/>
        </w:rPr>
        <w:t>النهاية</w:t>
      </w:r>
      <w:r w:rsidR="00992664" w:rsidRPr="00020424">
        <w:rPr>
          <w:rtl/>
        </w:rPr>
        <w:t xml:space="preserve"> ، ج 1 ، ص 174 ( بين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 « من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بك » : « الثانية</w:t>
      </w:r>
      <w:r w:rsidR="00992664">
        <w:rPr>
          <w:rtl/>
        </w:rPr>
        <w:t xml:space="preserve"> ».</w:t>
      </w:r>
      <w:r w:rsidR="00992664" w:rsidRPr="00020424">
        <w:rPr>
          <w:rtl/>
        </w:rPr>
        <w:t xml:space="preserve"> وفي هامش المطبوع عن بعض النسخ : « النائبة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معاني الأخبار</w:t>
      </w:r>
      <w:r w:rsidR="00992664" w:rsidRPr="00020424">
        <w:rPr>
          <w:rtl/>
        </w:rPr>
        <w:t xml:space="preserve"> ، ص 245 ، ح 4 ، بسنده عن جابر ، مع اختلاف يسير. </w:t>
      </w:r>
      <w:r w:rsidR="00992664" w:rsidRPr="0012008A">
        <w:rPr>
          <w:rStyle w:val="libFootnoteBoldChar"/>
          <w:rtl/>
        </w:rPr>
        <w:t>الفقيه</w:t>
      </w:r>
      <w:r w:rsidR="00992664" w:rsidRPr="00020424">
        <w:rPr>
          <w:rtl/>
        </w:rPr>
        <w:t xml:space="preserve"> ، ج 2 ، ص 62 ، ح 1714 ، مرسلاً عن رسول الله </w:t>
      </w:r>
      <w:r w:rsidR="00D64ADA" w:rsidRPr="001A6796">
        <w:rPr>
          <w:rStyle w:val="libFootnoteAlaemChar"/>
          <w:rtl/>
        </w:rPr>
        <w:t>صلى‌الله‌عليه‌وآله</w:t>
      </w:r>
      <w:r w:rsidR="00B42914" w:rsidRPr="001A6796">
        <w:rPr>
          <w:rStyle w:val="libFootnoteAlaemChar"/>
          <w:rtl/>
        </w:rPr>
        <w:t>‌</w:t>
      </w:r>
      <w:r w:rsidR="00992664" w:rsidRPr="00020424">
        <w:rPr>
          <w:rtl/>
        </w:rPr>
        <w:t xml:space="preserve"> </w:t>
      </w:r>
      <w:r w:rsidR="001A6796">
        <w:rPr>
          <w:rFonts w:hint="cs"/>
          <w:rtl/>
        </w:rPr>
        <w:t>.</w:t>
      </w:r>
      <w:r w:rsidR="00992664" w:rsidRPr="0012008A">
        <w:rPr>
          <w:rStyle w:val="libFootnoteBoldChar"/>
          <w:rtl/>
        </w:rPr>
        <w:t>الوافي</w:t>
      </w:r>
      <w:r w:rsidR="00992664" w:rsidRPr="00020424">
        <w:rPr>
          <w:rtl/>
        </w:rPr>
        <w:t xml:space="preserve"> ، ج 10 ، ص 492 ، ح 9961 ؛ </w:t>
      </w:r>
      <w:r w:rsidR="00992664" w:rsidRPr="0012008A">
        <w:rPr>
          <w:rStyle w:val="libFootnoteBoldChar"/>
          <w:rtl/>
        </w:rPr>
        <w:t>الوسائل</w:t>
      </w:r>
      <w:r w:rsidR="00992664" w:rsidRPr="00020424">
        <w:rPr>
          <w:rtl/>
        </w:rPr>
        <w:t xml:space="preserve"> ، ج 9 ، ص 36 ، ح 11461.</w:t>
      </w:r>
    </w:p>
    <w:tbl>
      <w:tblPr>
        <w:tblStyle w:val="TableGrid"/>
        <w:bidiVisual/>
        <w:tblW w:w="0" w:type="auto"/>
        <w:tblLook w:val="04A0" w:firstRow="1" w:lastRow="0" w:firstColumn="1" w:lastColumn="0" w:noHBand="0" w:noVBand="1"/>
      </w:tblPr>
      <w:tblGrid>
        <w:gridCol w:w="4006"/>
        <w:gridCol w:w="4006"/>
      </w:tblGrid>
      <w:tr w:rsidR="001A6796" w:rsidTr="001A6796">
        <w:tc>
          <w:tcPr>
            <w:tcW w:w="4006" w:type="dxa"/>
          </w:tcPr>
          <w:p w:rsidR="001A6796" w:rsidRDefault="001A6796" w:rsidP="00992664">
            <w:pPr>
              <w:pStyle w:val="libFootnote0"/>
              <w:rPr>
                <w:rtl/>
              </w:rPr>
            </w:pPr>
            <w:r>
              <w:rPr>
                <w:rtl/>
              </w:rPr>
              <w:t xml:space="preserve">(9). </w:t>
            </w:r>
            <w:r w:rsidRPr="00020424">
              <w:rPr>
                <w:rtl/>
              </w:rPr>
              <w:t>في « بر ، بك » :</w:t>
            </w:r>
            <w:r>
              <w:rPr>
                <w:rtl/>
              </w:rPr>
              <w:t xml:space="preserve"> - </w:t>
            </w:r>
            <w:r w:rsidRPr="00020424">
              <w:rPr>
                <w:rtl/>
              </w:rPr>
              <w:t>« على</w:t>
            </w:r>
            <w:r>
              <w:rPr>
                <w:rtl/>
              </w:rPr>
              <w:t xml:space="preserve"> ».</w:t>
            </w:r>
          </w:p>
        </w:tc>
        <w:tc>
          <w:tcPr>
            <w:tcW w:w="4006" w:type="dxa"/>
          </w:tcPr>
          <w:p w:rsidR="001A6796" w:rsidRDefault="001A6796" w:rsidP="00992664">
            <w:pPr>
              <w:pStyle w:val="libFootnote0"/>
              <w:rPr>
                <w:rtl/>
              </w:rPr>
            </w:pPr>
            <w:r>
              <w:rPr>
                <w:rtl/>
              </w:rPr>
              <w:t xml:space="preserve">(10). </w:t>
            </w:r>
            <w:r w:rsidRPr="00020424">
              <w:rPr>
                <w:rtl/>
              </w:rPr>
              <w:t>في « بر ، بك » :</w:t>
            </w:r>
            <w:r>
              <w:rPr>
                <w:rtl/>
              </w:rPr>
              <w:t xml:space="preserve"> - </w:t>
            </w:r>
            <w:r w:rsidRPr="00020424">
              <w:rPr>
                <w:rtl/>
              </w:rPr>
              <w:t>« زمان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قُلْتُ : فَمَا </w:t>
      </w:r>
      <w:r w:rsidRPr="00A91B96">
        <w:rPr>
          <w:rStyle w:val="libFootnotenumChar"/>
          <w:rtl/>
        </w:rPr>
        <w:t>(1)</w:t>
      </w:r>
      <w:r w:rsidRPr="00020424">
        <w:rPr>
          <w:rtl/>
          <w:lang w:bidi="fa-IR"/>
        </w:rPr>
        <w:t xml:space="preserve"> أَصْنَعُ </w:t>
      </w:r>
      <w:r w:rsidRPr="00A91B96">
        <w:rPr>
          <w:rStyle w:val="libFootnotenumChar"/>
          <w:rtl/>
        </w:rPr>
        <w:t>(2)</w:t>
      </w:r>
      <w:r w:rsidRPr="00020424">
        <w:rPr>
          <w:rtl/>
          <w:lang w:bidi="fa-IR"/>
        </w:rPr>
        <w:t xml:space="preserve"> إِنْ أَدْرَكْتُ ذلِكَ الزَّمَانَ</w:t>
      </w:r>
      <w:r>
        <w:rPr>
          <w:rtl/>
          <w:lang w:bidi="fa-IR"/>
        </w:rPr>
        <w:t>؟</w:t>
      </w:r>
    </w:p>
    <w:p w:rsidR="00992664" w:rsidRPr="00020424" w:rsidRDefault="00992664" w:rsidP="00992664">
      <w:pPr>
        <w:pStyle w:val="libNormal"/>
        <w:rPr>
          <w:rtl/>
          <w:lang w:bidi="fa-IR"/>
        </w:rPr>
      </w:pPr>
      <w:r w:rsidRPr="00020424">
        <w:rPr>
          <w:rtl/>
          <w:lang w:bidi="fa-IR"/>
        </w:rPr>
        <w:t xml:space="preserve">قَالَ : « تُعِينُهُمْ بِمَا عِنْدَكَ ، فَإِنْ </w:t>
      </w:r>
      <w:r w:rsidRPr="00A91B96">
        <w:rPr>
          <w:rStyle w:val="libFootnotenumChar"/>
          <w:rtl/>
        </w:rPr>
        <w:t>(3)</w:t>
      </w:r>
      <w:r w:rsidRPr="00020424">
        <w:rPr>
          <w:rtl/>
          <w:lang w:bidi="fa-IR"/>
        </w:rPr>
        <w:t xml:space="preserve"> لَمْ تَجِدْ فَبِجَاهِكَ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1A0820">
        <w:rPr>
          <w:rtl/>
        </w:rPr>
        <w:t>6180</w:t>
      </w:r>
      <w:r w:rsidRPr="001155DE">
        <w:rPr>
          <w:rStyle w:val="libBold2Char"/>
          <w:rtl/>
        </w:rPr>
        <w:t xml:space="preserve"> / 2.</w:t>
      </w:r>
      <w:r w:rsidRPr="00020424">
        <w:rPr>
          <w:rtl/>
          <w:lang w:bidi="fa-IR"/>
        </w:rPr>
        <w:t xml:space="preserve"> مُحَمَّدُ بْنُ يَحْيى ، عَنْ أَحْمَدَ بْنِ مُحَمَّدٍ ، عَنِ ابْنِ مَحْبُوبٍ ، عَنْ مُعَاوِيَةَ بْنِ وَهْبٍ ، عَنْ عَبْدِ الْأَعْلى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أَفْضَلُ الصَّدَقَةِ صَدَقَةٌ عَنْ </w:t>
      </w:r>
      <w:r w:rsidRPr="00A91B96">
        <w:rPr>
          <w:rStyle w:val="libFootnotenumChar"/>
          <w:rtl/>
        </w:rPr>
        <w:t>(6)</w:t>
      </w:r>
      <w:r w:rsidRPr="00020424">
        <w:rPr>
          <w:rtl/>
          <w:lang w:bidi="fa-IR"/>
        </w:rPr>
        <w:t xml:space="preserve"> ظَهْرِ غِنًى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1A0820">
        <w:rPr>
          <w:rtl/>
        </w:rPr>
        <w:t>6181</w:t>
      </w:r>
      <w:r w:rsidRPr="001155DE">
        <w:rPr>
          <w:rStyle w:val="libBold2Char"/>
          <w:rtl/>
        </w:rPr>
        <w:t xml:space="preserve"> / 3.</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أَفْضَلُ الصَّدَقَةِ صَدَقَةٌ تَكُونُ عَنْ فَضْلِ الْكَفِّ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1A0820">
        <w:rPr>
          <w:rtl/>
        </w:rPr>
        <w:t>6182</w:t>
      </w:r>
      <w:r w:rsidRPr="001155DE">
        <w:rPr>
          <w:rStyle w:val="libBold2Char"/>
          <w:rtl/>
        </w:rPr>
        <w:t xml:space="preserve"> / 4.</w:t>
      </w:r>
      <w:r w:rsidRPr="00020424">
        <w:rPr>
          <w:rtl/>
          <w:lang w:bidi="fa-IR"/>
        </w:rPr>
        <w:t xml:space="preserve"> عَلِيُّ بْنُ إِبْرَاهِيمَ ، عَنْ أَبِيهِ ، عَنِ النَّوْفَلِيِّ ، عَنِ السَّكُونِيِّ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E74CC" w:rsidTr="007E74CC">
        <w:tc>
          <w:tcPr>
            <w:tcW w:w="4006" w:type="dxa"/>
          </w:tcPr>
          <w:p w:rsidR="007E74CC" w:rsidRDefault="007E74CC" w:rsidP="00992664">
            <w:pPr>
              <w:pStyle w:val="libFootnote0"/>
              <w:rPr>
                <w:rtl/>
              </w:rPr>
            </w:pPr>
            <w:r>
              <w:rPr>
                <w:rtl/>
              </w:rPr>
              <w:t xml:space="preserve">(1). </w:t>
            </w:r>
            <w:r w:rsidRPr="00020424">
              <w:rPr>
                <w:rtl/>
              </w:rPr>
              <w:t>في « بخ ، بر ، بف ، بك » : « فماذا</w:t>
            </w:r>
            <w:r>
              <w:rPr>
                <w:rtl/>
              </w:rPr>
              <w:t xml:space="preserve"> ».</w:t>
            </w:r>
          </w:p>
        </w:tc>
        <w:tc>
          <w:tcPr>
            <w:tcW w:w="4006" w:type="dxa"/>
          </w:tcPr>
          <w:p w:rsidR="007E74CC" w:rsidRDefault="007E74CC" w:rsidP="00992664">
            <w:pPr>
              <w:pStyle w:val="libFootnote0"/>
              <w:rPr>
                <w:rtl/>
              </w:rPr>
            </w:pPr>
            <w:r>
              <w:rPr>
                <w:rtl/>
              </w:rPr>
              <w:t xml:space="preserve">(2). </w:t>
            </w:r>
            <w:r w:rsidRPr="00020424">
              <w:rPr>
                <w:rtl/>
              </w:rPr>
              <w:t>في « بر ، بك » : « يصنع</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بك » : « وإن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بح ، بخ ، بر ، بس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فتجاهد</w:t>
      </w:r>
      <w:r w:rsidR="00992664">
        <w:rPr>
          <w:rtl/>
        </w:rPr>
        <w:t xml:space="preserve"> ».</w:t>
      </w:r>
      <w:r w:rsidR="00992664" w:rsidRPr="00020424">
        <w:rPr>
          <w:rtl/>
        </w:rPr>
        <w:t xml:space="preserve"> وفي « ى » : « فيجاهد</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10 ، ص 575 ، ح 10123 ؛ </w:t>
      </w:r>
      <w:r w:rsidR="00992664" w:rsidRPr="0012008A">
        <w:rPr>
          <w:rStyle w:val="libFootnoteBoldChar"/>
          <w:rtl/>
        </w:rPr>
        <w:t>الوسائل</w:t>
      </w:r>
      <w:r w:rsidR="00992664" w:rsidRPr="00020424">
        <w:rPr>
          <w:rtl/>
        </w:rPr>
        <w:t xml:space="preserve"> ، ج 9 ، ص 464 ، ح 12507.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بخ ، بر ، بف ، بك » : « على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بس ، جن » </w:t>
      </w:r>
      <w:r w:rsidR="00992664" w:rsidRPr="00EB1FD9">
        <w:rPr>
          <w:rStyle w:val="libFootnoteBoldChar"/>
          <w:rtl/>
        </w:rPr>
        <w:t>والوسائل</w:t>
      </w:r>
      <w:r w:rsidR="00992664" w:rsidRPr="00020424">
        <w:rPr>
          <w:rtl/>
        </w:rPr>
        <w:t xml:space="preserve"> : « الغنى</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يعني ما</w:t>
      </w:r>
      <w:r w:rsidR="00232E1B">
        <w:rPr>
          <w:rtl/>
        </w:rPr>
        <w:t xml:space="preserve"> يكون بعد الغنى والمؤونة ؛ لئل</w:t>
      </w:r>
      <w:r w:rsidR="00232E1B">
        <w:rPr>
          <w:rFonts w:hint="cs"/>
          <w:rtl/>
        </w:rPr>
        <w:t>ّ</w:t>
      </w:r>
      <w:r w:rsidR="00232E1B">
        <w:rPr>
          <w:rtl/>
        </w:rPr>
        <w:t>ا</w:t>
      </w:r>
      <w:r w:rsidR="00992664" w:rsidRPr="00020424">
        <w:rPr>
          <w:rtl/>
        </w:rPr>
        <w:t xml:space="preserve"> يكون القلب متعلّقاً بما يعطي ، فمعنى الحديث قريب من معنى سابقه » ، وسابقه هو الآتي بعده هنا. وقد مضى تفصيل الكلام في معناه ، ذيل الحديث 6095.</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ثواب الأعمال</w:t>
      </w:r>
      <w:r w:rsidR="00992664" w:rsidRPr="00020424">
        <w:rPr>
          <w:rtl/>
        </w:rPr>
        <w:t xml:space="preserve"> ، ص 170 ، ح 15 ، بسنده عن أحمد بن محمّد ، عن الحسن بن محبوب. </w:t>
      </w:r>
      <w:r w:rsidR="00992664" w:rsidRPr="00DE76B9">
        <w:rPr>
          <w:rStyle w:val="libFootnoteBoldChar"/>
          <w:rtl/>
        </w:rPr>
        <w:t>الكافي</w:t>
      </w:r>
      <w:r w:rsidR="00992664" w:rsidRPr="00020424">
        <w:rPr>
          <w:rtl/>
        </w:rPr>
        <w:t xml:space="preserve"> ، كتاب الزكاة ، باب فضل المعروف ، ضمن ح 6095 ، بسنده عن عبدالأعلى. </w:t>
      </w:r>
      <w:r w:rsidR="00992664" w:rsidRPr="0012008A">
        <w:rPr>
          <w:rStyle w:val="libFootnoteBoldChar"/>
          <w:rtl/>
        </w:rPr>
        <w:t>الفقيه</w:t>
      </w:r>
      <w:r w:rsidR="00992664" w:rsidRPr="00020424">
        <w:rPr>
          <w:rtl/>
        </w:rPr>
        <w:t xml:space="preserve"> ، ج 2 ، ص 56 ، صدر ح 1688 ، مرسلاً عن رسول الله </w:t>
      </w:r>
      <w:r w:rsidR="00D64ADA" w:rsidRPr="00232E1B">
        <w:rPr>
          <w:rStyle w:val="libFootnoteAlaemChar"/>
          <w:rtl/>
        </w:rPr>
        <w:t>صلى‌الله‌عليه‌وآله</w:t>
      </w:r>
      <w:r w:rsidR="00B42914" w:rsidRPr="00232E1B">
        <w:rPr>
          <w:rStyle w:val="libFootnoteAlaemChar"/>
          <w:rtl/>
        </w:rPr>
        <w:t>‌</w:t>
      </w:r>
      <w:r w:rsidR="00992664" w:rsidRPr="00020424">
        <w:rPr>
          <w:rtl/>
        </w:rPr>
        <w:t xml:space="preserve">. </w:t>
      </w:r>
      <w:r w:rsidR="00992664" w:rsidRPr="00DE76B9">
        <w:rPr>
          <w:rStyle w:val="libFootnoteBoldChar"/>
          <w:rtl/>
        </w:rPr>
        <w:t>تحف العقول</w:t>
      </w:r>
      <w:r w:rsidR="00992664" w:rsidRPr="00020424">
        <w:rPr>
          <w:rtl/>
        </w:rPr>
        <w:t xml:space="preserve"> ، ص 380 ، ضمن الحديث ، عن عبدالأعلى </w:t>
      </w:r>
      <w:r w:rsidR="00232E1B">
        <w:rPr>
          <w:rFonts w:hint="cs"/>
          <w:rtl/>
        </w:rPr>
        <w:t>.</w:t>
      </w:r>
      <w:r w:rsidR="00992664" w:rsidRPr="0012008A">
        <w:rPr>
          <w:rStyle w:val="libFootnoteBoldChar"/>
          <w:rtl/>
        </w:rPr>
        <w:t>الوافي</w:t>
      </w:r>
      <w:r w:rsidR="00992664" w:rsidRPr="00020424">
        <w:rPr>
          <w:rtl/>
        </w:rPr>
        <w:t xml:space="preserve"> ، ج 10 ، ص 441 ، ح 9844 ؛ </w:t>
      </w:r>
      <w:r w:rsidR="00992664" w:rsidRPr="0012008A">
        <w:rPr>
          <w:rStyle w:val="libFootnoteBoldChar"/>
          <w:rtl/>
        </w:rPr>
        <w:t>الوسائل</w:t>
      </w:r>
      <w:r w:rsidR="00992664" w:rsidRPr="00020424">
        <w:rPr>
          <w:rtl/>
        </w:rPr>
        <w:t xml:space="preserve"> ، ج 9 ، ص 461 ، ح 12499.</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عمّا يفضل عن الكفاف</w:t>
      </w:r>
      <w:r w:rsidR="00992664">
        <w:rPr>
          <w:rtl/>
        </w:rPr>
        <w:t xml:space="preserve"> ».</w:t>
      </w:r>
      <w:r w:rsidR="00992664" w:rsidRPr="00020424">
        <w:rPr>
          <w:rtl/>
        </w:rPr>
        <w:t xml:space="preserve"> وهذه الرواية بتمامها لم ترد في « بر ، بف ، بك</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441 ، ح 9843 ؛ </w:t>
      </w:r>
      <w:r w:rsidR="00992664" w:rsidRPr="0012008A">
        <w:rPr>
          <w:rStyle w:val="libFootnoteBoldChar"/>
          <w:rtl/>
        </w:rPr>
        <w:t>الوسائل</w:t>
      </w:r>
      <w:r w:rsidR="00992664" w:rsidRPr="00020424">
        <w:rPr>
          <w:rtl/>
        </w:rPr>
        <w:t xml:space="preserve"> ، ج 9 ، ص 461 ، ح 12501.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(1)</w:t>
      </w:r>
      <w:r w:rsidRPr="00020424">
        <w:rPr>
          <w:rtl/>
          <w:lang w:bidi="fa-IR"/>
        </w:rPr>
        <w:t xml:space="preserve"> فِي قَوْلِ اللهِ عَزَّ وَجَلَّ : </w:t>
      </w:r>
      <w:r w:rsidRPr="00005A81">
        <w:rPr>
          <w:rStyle w:val="libAlaemChar"/>
          <w:rtl/>
        </w:rPr>
        <w:t>(</w:t>
      </w:r>
      <w:r w:rsidRPr="004E5AB4">
        <w:rPr>
          <w:rStyle w:val="libAieChar"/>
          <w:rtl/>
        </w:rPr>
        <w:t xml:space="preserve"> وَأَطْعِمُوا الْبائِسَ الْفَقِيرَ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قَالَ : « هُوَ الزَّمِنُ </w:t>
      </w:r>
      <w:r w:rsidRPr="00A91B96">
        <w:rPr>
          <w:rStyle w:val="libFootnotenumChar"/>
          <w:rtl/>
        </w:rPr>
        <w:t>(3)</w:t>
      </w:r>
      <w:r w:rsidRPr="00020424">
        <w:rPr>
          <w:rtl/>
          <w:lang w:bidi="fa-IR"/>
        </w:rPr>
        <w:t xml:space="preserve"> الَّذِي لا يَسْتَطِيعُ أَنْ يَخْرُجَ لِزَمَانَتِهِ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A0820">
        <w:rPr>
          <w:rtl/>
        </w:rPr>
        <w:t>6183</w:t>
      </w:r>
      <w:r w:rsidRPr="001155DE">
        <w:rPr>
          <w:rStyle w:val="libBold2Char"/>
          <w:rtl/>
        </w:rPr>
        <w:t xml:space="preserve"> / 5.</w:t>
      </w:r>
      <w:r w:rsidRPr="00020424">
        <w:rPr>
          <w:rtl/>
          <w:lang w:bidi="fa-IR"/>
        </w:rPr>
        <w:t xml:space="preserve"> عَلِيُّ بْنُ إِبْرَاهِيمَ ، عَنْ أَبِيهِ ، عَنِ ابْنِ أَبِي عُمَيْرٍ ، عَنْ مِهْرَانَ بْنِ مُحَمَّدٍ ، عَنْ سَعْدِ بْنِ طَرِيفٍ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فَأَمّا مَنْ أَعْطى وَاتَّقى </w:t>
      </w:r>
      <w:r w:rsidR="00232E1B">
        <w:rPr>
          <w:rStyle w:val="libAieChar"/>
          <w:rFonts w:hint="cs"/>
          <w:rtl/>
        </w:rPr>
        <w:t xml:space="preserve">* </w:t>
      </w:r>
      <w:r w:rsidRPr="004E5AB4">
        <w:rPr>
          <w:rStyle w:val="libAieChar"/>
          <w:rtl/>
        </w:rPr>
        <w:t xml:space="preserve">وَصَدَّقَ بِالْحُسْنى </w:t>
      </w:r>
      <w:r w:rsidRPr="00005A81">
        <w:rPr>
          <w:rStyle w:val="libAlaemChar"/>
          <w:rtl/>
        </w:rPr>
        <w:t>)</w:t>
      </w:r>
      <w:r w:rsidRPr="00020424">
        <w:rPr>
          <w:rtl/>
          <w:lang w:bidi="fa-IR"/>
        </w:rPr>
        <w:t xml:space="preserve"> :</w:t>
      </w:r>
      <w:r>
        <w:rPr>
          <w:rFonts w:hint="cs"/>
          <w:rtl/>
          <w:lang w:bidi="fa-IR"/>
        </w:rPr>
        <w:t xml:space="preserve"> </w:t>
      </w:r>
      <w:r w:rsidRPr="00020424">
        <w:rPr>
          <w:rtl/>
          <w:lang w:bidi="fa-IR"/>
        </w:rPr>
        <w:t xml:space="preserve">بِأَنَّ </w:t>
      </w:r>
      <w:r w:rsidRPr="00A91B96">
        <w:rPr>
          <w:rStyle w:val="libFootnotenumChar"/>
          <w:rtl/>
        </w:rPr>
        <w:t>(6)</w:t>
      </w:r>
      <w:r w:rsidRPr="00020424">
        <w:rPr>
          <w:rtl/>
          <w:lang w:bidi="fa-IR"/>
        </w:rPr>
        <w:t xml:space="preserve"> اللهَ تَعَالى يُعْطِي بِالْوَاحِدَةِ عَشَرَةً </w:t>
      </w:r>
      <w:r w:rsidRPr="00A91B96">
        <w:rPr>
          <w:rStyle w:val="libFootnotenumChar"/>
          <w:rtl/>
        </w:rPr>
        <w:t>(7)</w:t>
      </w:r>
      <w:r w:rsidRPr="00020424">
        <w:rPr>
          <w:rtl/>
          <w:lang w:bidi="fa-IR"/>
        </w:rPr>
        <w:t xml:space="preserve"> إِلى مِائَةِ أَلْفٍ </w:t>
      </w:r>
      <w:r w:rsidRPr="00A91B96">
        <w:rPr>
          <w:rStyle w:val="libFootnotenumChar"/>
          <w:rtl/>
        </w:rPr>
        <w:t>(8)</w:t>
      </w:r>
      <w:r w:rsidRPr="00020424">
        <w:rPr>
          <w:rtl/>
          <w:lang w:bidi="fa-IR"/>
        </w:rPr>
        <w:t xml:space="preserve"> فَمَا </w:t>
      </w:r>
      <w:r w:rsidRPr="00A91B96">
        <w:rPr>
          <w:rStyle w:val="libFootnotenumChar"/>
          <w:rtl/>
        </w:rPr>
        <w:t>(9)</w:t>
      </w:r>
      <w:r w:rsidRPr="00020424">
        <w:rPr>
          <w:rtl/>
          <w:lang w:bidi="fa-IR"/>
        </w:rPr>
        <w:t xml:space="preserve"> زَادَ</w:t>
      </w:r>
      <w:r>
        <w:rPr>
          <w:rtl/>
          <w:lang w:bidi="fa-IR"/>
        </w:rPr>
        <w:t xml:space="preserve"> ».</w:t>
      </w:r>
    </w:p>
    <w:p w:rsidR="00992664" w:rsidRPr="00020424" w:rsidRDefault="00992664" w:rsidP="00992664">
      <w:pPr>
        <w:pStyle w:val="libNormal"/>
        <w:rPr>
          <w:rtl/>
          <w:lang w:bidi="fa-IR"/>
        </w:rPr>
      </w:pPr>
      <w:r w:rsidRPr="00005A81">
        <w:rPr>
          <w:rStyle w:val="libAlaemChar"/>
          <w:rtl/>
        </w:rPr>
        <w:t>(</w:t>
      </w:r>
      <w:r w:rsidRPr="004E5AB4">
        <w:rPr>
          <w:rStyle w:val="libAieChar"/>
          <w:rtl/>
        </w:rPr>
        <w:t xml:space="preserve"> فَسَنُيَسِّرُهُ لِلْيُسْرى </w:t>
      </w:r>
      <w:r w:rsidRPr="00005A81">
        <w:rPr>
          <w:rStyle w:val="libAlaemChar"/>
          <w:rtl/>
        </w:rPr>
        <w:t>)</w:t>
      </w:r>
      <w:r w:rsidRPr="00020424">
        <w:rPr>
          <w:rtl/>
          <w:lang w:bidi="fa-IR"/>
        </w:rPr>
        <w:t xml:space="preserve"> </w:t>
      </w:r>
      <w:r w:rsidRPr="00A91B96">
        <w:rPr>
          <w:rStyle w:val="libFootnotenumChar"/>
          <w:rtl/>
        </w:rPr>
        <w:t>(10)</w:t>
      </w:r>
      <w:r w:rsidRPr="00020424">
        <w:rPr>
          <w:rtl/>
          <w:lang w:bidi="fa-IR"/>
        </w:rPr>
        <w:t xml:space="preserve"> قَالَ : « لَا يُرِي</w:t>
      </w:r>
      <w:r w:rsidR="009663BD">
        <w:rPr>
          <w:rtl/>
          <w:lang w:bidi="fa-IR"/>
        </w:rPr>
        <w:t>دُ شَيْئاً مِنَ الْخَيْرِ إِل</w:t>
      </w:r>
      <w:r w:rsidR="009663BD">
        <w:rPr>
          <w:rFonts w:hint="cs"/>
          <w:rtl/>
          <w:lang w:bidi="fa-IR"/>
        </w:rPr>
        <w:t>َّ</w:t>
      </w:r>
      <w:r w:rsidR="009663BD">
        <w:rPr>
          <w:rtl/>
          <w:lang w:bidi="fa-IR"/>
        </w:rPr>
        <w:t>ا</w:t>
      </w:r>
      <w:r w:rsidRPr="00020424">
        <w:rPr>
          <w:rtl/>
          <w:lang w:bidi="fa-IR"/>
        </w:rPr>
        <w:t xml:space="preserve"> يَسَّرَهُ اللهُ لَهُ</w:t>
      </w:r>
      <w:r>
        <w:rPr>
          <w:rtl/>
          <w:lang w:bidi="fa-IR"/>
        </w:rPr>
        <w:t xml:space="preserve"> ».</w:t>
      </w:r>
    </w:p>
    <w:p w:rsidR="00992664" w:rsidRPr="00020424" w:rsidRDefault="00992664" w:rsidP="00992664">
      <w:pPr>
        <w:pStyle w:val="libNormal"/>
        <w:rPr>
          <w:rtl/>
          <w:lang w:bidi="fa-IR"/>
        </w:rPr>
      </w:pPr>
      <w:r w:rsidRPr="00005A81">
        <w:rPr>
          <w:rStyle w:val="libAlaemChar"/>
          <w:rtl/>
        </w:rPr>
        <w:t>(</w:t>
      </w:r>
      <w:r w:rsidRPr="004E5AB4">
        <w:rPr>
          <w:rStyle w:val="libAieChar"/>
          <w:rtl/>
        </w:rPr>
        <w:t xml:space="preserve"> وَأَمّا مَنْ بَخِلَ وَاسْتَغْنى </w:t>
      </w:r>
      <w:r w:rsidRPr="00005A81">
        <w:rPr>
          <w:rStyle w:val="libAlaemChar"/>
          <w:rtl/>
        </w:rPr>
        <w:t>)</w:t>
      </w:r>
      <w:r w:rsidRPr="00020424">
        <w:rPr>
          <w:rtl/>
          <w:lang w:bidi="fa-IR"/>
        </w:rPr>
        <w:t xml:space="preserve"> قَالَ </w:t>
      </w:r>
      <w:r w:rsidRPr="00A91B96">
        <w:rPr>
          <w:rStyle w:val="libFootnotenumChar"/>
          <w:rtl/>
        </w:rPr>
        <w:t>(11)</w:t>
      </w:r>
      <w:r w:rsidRPr="00020424">
        <w:rPr>
          <w:rtl/>
          <w:lang w:bidi="fa-IR"/>
        </w:rPr>
        <w:t xml:space="preserve"> : « بَخِلَ </w:t>
      </w:r>
      <w:r w:rsidRPr="00A91B96">
        <w:rPr>
          <w:rStyle w:val="libFootnotenumChar"/>
          <w:rtl/>
        </w:rPr>
        <w:t>(12)</w:t>
      </w:r>
      <w:r w:rsidRPr="00020424">
        <w:rPr>
          <w:rtl/>
          <w:lang w:bidi="fa-IR"/>
        </w:rPr>
        <w:t xml:space="preserve"> بِمَا آتَاهُ اللهُ عَزَّ وَجَلَّ</w:t>
      </w:r>
      <w:r>
        <w:rPr>
          <w:rtl/>
          <w:lang w:bidi="fa-IR"/>
        </w:rPr>
        <w:t xml:space="preserve"> ».</w:t>
      </w:r>
    </w:p>
    <w:p w:rsidR="00992664" w:rsidRPr="00020424" w:rsidRDefault="00992664" w:rsidP="00992664">
      <w:pPr>
        <w:pStyle w:val="libNormal"/>
        <w:rPr>
          <w:rtl/>
          <w:lang w:bidi="fa-IR"/>
        </w:rPr>
      </w:pPr>
      <w:r w:rsidRPr="00005A81">
        <w:rPr>
          <w:rStyle w:val="libAlaemChar"/>
          <w:rtl/>
        </w:rPr>
        <w:t>(</w:t>
      </w:r>
      <w:r w:rsidRPr="004E5AB4">
        <w:rPr>
          <w:rStyle w:val="libAieChar"/>
          <w:rtl/>
        </w:rPr>
        <w:t xml:space="preserve"> وَكَذَّبَ بِالْحُسْنى </w:t>
      </w:r>
      <w:r w:rsidRPr="00005A81">
        <w:rPr>
          <w:rStyle w:val="libAlaemChar"/>
          <w:rtl/>
        </w:rPr>
        <w:t>)</w:t>
      </w:r>
      <w:r w:rsidRPr="00020424">
        <w:rPr>
          <w:rtl/>
          <w:lang w:bidi="fa-IR"/>
        </w:rPr>
        <w:t xml:space="preserve"> : « بِأَنَّ </w:t>
      </w:r>
      <w:r w:rsidRPr="00A91B96">
        <w:rPr>
          <w:rStyle w:val="libFootnotenumChar"/>
          <w:rtl/>
        </w:rPr>
        <w:t>(13)</w:t>
      </w:r>
      <w:r w:rsidRPr="00020424">
        <w:rPr>
          <w:rtl/>
          <w:lang w:bidi="fa-IR"/>
        </w:rPr>
        <w:t xml:space="preserve"> اللهَ يُعْطِي بِالْوَاحِدَةِ عَشَرَةً </w:t>
      </w:r>
      <w:r w:rsidRPr="00A91B96">
        <w:rPr>
          <w:rStyle w:val="libFootnotenumChar"/>
          <w:rtl/>
        </w:rPr>
        <w:t>(14)</w:t>
      </w:r>
      <w:r w:rsidRPr="00020424">
        <w:rPr>
          <w:rtl/>
          <w:lang w:bidi="fa-IR"/>
        </w:rPr>
        <w:t xml:space="preserve"> إِلى مِائَةِ أَلْفٍ </w:t>
      </w:r>
      <w:r w:rsidRPr="00A91B96">
        <w:rPr>
          <w:rStyle w:val="libFootnotenumChar"/>
          <w:rtl/>
        </w:rPr>
        <w:t>(15)</w:t>
      </w:r>
      <w:r w:rsidRPr="00020424">
        <w:rPr>
          <w:rtl/>
          <w:lang w:bidi="fa-IR"/>
        </w:rPr>
        <w:t xml:space="preserve"> فَمَا زَادَ</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عن آبائه </w:t>
      </w:r>
      <w:r w:rsidR="00992664" w:rsidRPr="00D64ADA">
        <w:rPr>
          <w:rStyle w:val="libFootnoteAlaemChar"/>
          <w:rtl/>
        </w:rPr>
        <w:t>عليهم‌السلام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الحجّ (22) : 28.</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الزَّمِنُ » : المصاب بالزَّمانَة ، وهو المرض الذي يدوم زماناً ، وقال صدر المتألّهين : « هي آفة في الإنسان ، بل في الحيوان ، أو في عضو منه يمنعه عن الحركة ، كالفالج واللغوة والبرص وغيرهما</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2131 ؛ </w:t>
      </w:r>
      <w:r w:rsidR="00992664" w:rsidRPr="00A722B1">
        <w:rPr>
          <w:rStyle w:val="libFootnoteBoldChar"/>
          <w:rtl/>
        </w:rPr>
        <w:t>لسان العرب</w:t>
      </w:r>
      <w:r w:rsidR="00992664" w:rsidRPr="00020424">
        <w:rPr>
          <w:rtl/>
        </w:rPr>
        <w:t xml:space="preserve"> ، ج 4 ، ص 483 ( زمن ) ؛ </w:t>
      </w:r>
      <w:r w:rsidR="00992664" w:rsidRPr="00DE76B9">
        <w:rPr>
          <w:rStyle w:val="libFootnoteBoldChar"/>
          <w:rtl/>
        </w:rPr>
        <w:t>شرح صدر المتألّهين</w:t>
      </w:r>
      <w:r w:rsidR="00992664" w:rsidRPr="00020424">
        <w:rPr>
          <w:rtl/>
        </w:rPr>
        <w:t xml:space="preserve"> ، ص 107.</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الجعفريّات</w:t>
      </w:r>
      <w:r w:rsidR="00992664" w:rsidRPr="00020424">
        <w:rPr>
          <w:rtl/>
        </w:rPr>
        <w:t xml:space="preserve"> ، ص 176 ، بسند آخر عن جعفر بن محمّد ، عن آبائه ، عن عليّ </w:t>
      </w:r>
      <w:r w:rsidR="00992664" w:rsidRPr="00D64ADA">
        <w:rPr>
          <w:rStyle w:val="libFootnoteAlaemChar"/>
          <w:rtl/>
        </w:rPr>
        <w:t>عليهم‌السلام</w:t>
      </w:r>
      <w:r w:rsidR="00992664" w:rsidRPr="00020424">
        <w:rPr>
          <w:rtl/>
        </w:rPr>
        <w:t xml:space="preserve"> ؛ </w:t>
      </w:r>
      <w:r w:rsidR="00992664" w:rsidRPr="00DE76B9">
        <w:rPr>
          <w:rStyle w:val="libFootnoteBoldChar"/>
          <w:rtl/>
        </w:rPr>
        <w:t>وفيه</w:t>
      </w:r>
      <w:r w:rsidR="00992664" w:rsidRPr="00020424">
        <w:rPr>
          <w:rtl/>
        </w:rPr>
        <w:t xml:space="preserve"> ، ص 177 ، ذيل الحديث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3B6530">
        <w:rPr>
          <w:rFonts w:hint="cs"/>
          <w:rtl/>
        </w:rPr>
        <w:t>.</w:t>
      </w:r>
      <w:r w:rsidR="00992664" w:rsidRPr="0012008A">
        <w:rPr>
          <w:rStyle w:val="libFootnoteBoldChar"/>
          <w:rtl/>
        </w:rPr>
        <w:t>الوافي</w:t>
      </w:r>
      <w:r w:rsidR="00992664" w:rsidRPr="00020424">
        <w:rPr>
          <w:rtl/>
        </w:rPr>
        <w:t xml:space="preserve"> ، ج 10 ، ص 406 ، ح 9779 ؛ </w:t>
      </w:r>
      <w:r w:rsidR="00992664" w:rsidRPr="0012008A">
        <w:rPr>
          <w:rStyle w:val="libFootnoteBoldChar"/>
          <w:rtl/>
        </w:rPr>
        <w:t>الوسائل</w:t>
      </w:r>
      <w:r w:rsidR="00992664" w:rsidRPr="00020424">
        <w:rPr>
          <w:rtl/>
        </w:rPr>
        <w:t xml:space="preserve"> ، ج 9 ، ص 464 ، ح 12506.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ظريف</w:t>
      </w:r>
      <w:r w:rsidR="00992664">
        <w:rPr>
          <w:rtl/>
        </w:rPr>
        <w:t xml:space="preserve"> ».</w:t>
      </w:r>
      <w:r w:rsidR="00992664" w:rsidRPr="00020424">
        <w:rPr>
          <w:rtl/>
        </w:rPr>
        <w:t xml:space="preserve"> وهو سهو. راجع : </w:t>
      </w:r>
      <w:r w:rsidR="00992664" w:rsidRPr="00DE76B9">
        <w:rPr>
          <w:rStyle w:val="libFootnoteBoldChar"/>
          <w:rtl/>
        </w:rPr>
        <w:t>رجال النجاشي</w:t>
      </w:r>
      <w:r w:rsidR="00992664" w:rsidRPr="00020424">
        <w:rPr>
          <w:rtl/>
        </w:rPr>
        <w:t xml:space="preserve"> ، ص 178 ، الرقم 468 ؛ </w:t>
      </w:r>
      <w:r w:rsidR="00992664" w:rsidRPr="00DE76B9">
        <w:rPr>
          <w:rStyle w:val="libFootnoteBoldChar"/>
          <w:rtl/>
        </w:rPr>
        <w:t>رجال الطوسي</w:t>
      </w:r>
      <w:r w:rsidR="00992664" w:rsidRPr="00020424">
        <w:rPr>
          <w:rtl/>
        </w:rPr>
        <w:t xml:space="preserve"> ، ص 115 ، الرقم 1147 ؛ </w:t>
      </w:r>
      <w:r w:rsidR="00992664" w:rsidRPr="00DE76B9">
        <w:rPr>
          <w:rStyle w:val="libFootnoteBoldChar"/>
          <w:rtl/>
        </w:rPr>
        <w:t>تهذيب الكمال</w:t>
      </w:r>
      <w:r w:rsidR="00992664" w:rsidRPr="00020424">
        <w:rPr>
          <w:rtl/>
        </w:rPr>
        <w:t xml:space="preserve"> ، ج 10 ، ص 271 ، الرقم 2212.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بخ » : « فإنّ</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قال فإنّ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بس » </w:t>
      </w:r>
      <w:r w:rsidR="00992664" w:rsidRPr="00515444">
        <w:rPr>
          <w:rStyle w:val="libFootnoteBoldChar"/>
          <w:rtl/>
        </w:rPr>
        <w:t>والتهذيب</w:t>
      </w:r>
      <w:r w:rsidR="00992664" w:rsidRPr="00020424">
        <w:rPr>
          <w:rtl/>
        </w:rPr>
        <w:t xml:space="preserve"> : « عشراً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B6530" w:rsidTr="003B6530">
        <w:tc>
          <w:tcPr>
            <w:tcW w:w="4006" w:type="dxa"/>
          </w:tcPr>
          <w:p w:rsidR="003B6530" w:rsidRDefault="003B6530" w:rsidP="00992664">
            <w:pPr>
              <w:pStyle w:val="libFootnote0"/>
              <w:rPr>
                <w:rtl/>
              </w:rPr>
            </w:pPr>
            <w:r>
              <w:rPr>
                <w:rtl/>
              </w:rPr>
              <w:t xml:space="preserve">(8). </w:t>
            </w:r>
            <w:r w:rsidRPr="00020424">
              <w:rPr>
                <w:rtl/>
              </w:rPr>
              <w:t>في « بر ، بك » : + « دينار</w:t>
            </w:r>
            <w:r>
              <w:rPr>
                <w:rtl/>
              </w:rPr>
              <w:t xml:space="preserve"> ».</w:t>
            </w:r>
          </w:p>
        </w:tc>
        <w:tc>
          <w:tcPr>
            <w:tcW w:w="4006" w:type="dxa"/>
          </w:tcPr>
          <w:p w:rsidR="003B6530" w:rsidRDefault="003B6530" w:rsidP="00992664">
            <w:pPr>
              <w:pStyle w:val="libFootnote0"/>
              <w:rPr>
                <w:rtl/>
              </w:rPr>
            </w:pPr>
            <w:r>
              <w:rPr>
                <w:rtl/>
              </w:rPr>
              <w:t xml:space="preserve">(9). </w:t>
            </w:r>
            <w:r w:rsidRPr="00020424">
              <w:rPr>
                <w:rtl/>
              </w:rPr>
              <w:t>في « بف » : « وما</w:t>
            </w:r>
            <w:r>
              <w:rPr>
                <w:rtl/>
              </w:rPr>
              <w:t xml:space="preserve"> ».</w:t>
            </w:r>
          </w:p>
        </w:tc>
      </w:tr>
      <w:tr w:rsidR="003B6530" w:rsidTr="003B6530">
        <w:tc>
          <w:tcPr>
            <w:tcW w:w="4006" w:type="dxa"/>
          </w:tcPr>
          <w:p w:rsidR="003B6530" w:rsidRDefault="003B6530" w:rsidP="00992664">
            <w:pPr>
              <w:pStyle w:val="libFootnote0"/>
              <w:rPr>
                <w:rtl/>
              </w:rPr>
            </w:pPr>
            <w:r>
              <w:rPr>
                <w:rtl/>
              </w:rPr>
              <w:t xml:space="preserve">(10). </w:t>
            </w:r>
            <w:r w:rsidRPr="00020424">
              <w:rPr>
                <w:rtl/>
              </w:rPr>
              <w:t>الليل (92) : 7.</w:t>
            </w:r>
          </w:p>
        </w:tc>
        <w:tc>
          <w:tcPr>
            <w:tcW w:w="4006" w:type="dxa"/>
          </w:tcPr>
          <w:p w:rsidR="003B6530" w:rsidRDefault="003B6530" w:rsidP="00992664">
            <w:pPr>
              <w:pStyle w:val="libFootnote0"/>
              <w:rPr>
                <w:rtl/>
              </w:rPr>
            </w:pPr>
            <w:r>
              <w:rPr>
                <w:rtl/>
              </w:rPr>
              <w:t xml:space="preserve">(11). </w:t>
            </w:r>
            <w:r w:rsidRPr="00020424">
              <w:rPr>
                <w:rtl/>
              </w:rPr>
              <w:t>في « بس » : + « من</w:t>
            </w:r>
            <w:r>
              <w:rPr>
                <w:rtl/>
              </w:rPr>
              <w:t xml:space="preserve"> ».</w:t>
            </w:r>
          </w:p>
        </w:tc>
      </w:tr>
      <w:tr w:rsidR="003B6530" w:rsidTr="003B6530">
        <w:tc>
          <w:tcPr>
            <w:tcW w:w="4006" w:type="dxa"/>
          </w:tcPr>
          <w:p w:rsidR="003B6530" w:rsidRDefault="003B6530" w:rsidP="00992664">
            <w:pPr>
              <w:pStyle w:val="libFootnote0"/>
              <w:rPr>
                <w:rtl/>
              </w:rPr>
            </w:pPr>
            <w:r>
              <w:rPr>
                <w:rtl/>
              </w:rPr>
              <w:t xml:space="preserve">(12). </w:t>
            </w:r>
            <w:r w:rsidRPr="00020424">
              <w:rPr>
                <w:rtl/>
              </w:rPr>
              <w:t>في « بك » :</w:t>
            </w:r>
            <w:r>
              <w:rPr>
                <w:rtl/>
              </w:rPr>
              <w:t xml:space="preserve"> - </w:t>
            </w:r>
            <w:r w:rsidRPr="00020424">
              <w:rPr>
                <w:rtl/>
              </w:rPr>
              <w:t>« بخل</w:t>
            </w:r>
            <w:r>
              <w:rPr>
                <w:rtl/>
              </w:rPr>
              <w:t xml:space="preserve"> ».</w:t>
            </w:r>
          </w:p>
        </w:tc>
        <w:tc>
          <w:tcPr>
            <w:tcW w:w="4006" w:type="dxa"/>
          </w:tcPr>
          <w:p w:rsidR="003B6530" w:rsidRDefault="003B6530" w:rsidP="00992664">
            <w:pPr>
              <w:pStyle w:val="libFootnote0"/>
              <w:rPr>
                <w:rtl/>
              </w:rPr>
            </w:pPr>
            <w:r>
              <w:rPr>
                <w:rtl/>
              </w:rPr>
              <w:t xml:space="preserve">(13). </w:t>
            </w:r>
            <w:r w:rsidRPr="00020424">
              <w:rPr>
                <w:rtl/>
              </w:rPr>
              <w:t xml:space="preserve">في « بث » </w:t>
            </w:r>
            <w:r w:rsidRPr="00515444">
              <w:rPr>
                <w:rStyle w:val="libFootnoteBoldChar"/>
                <w:rtl/>
              </w:rPr>
              <w:t>والتهذيب</w:t>
            </w:r>
            <w:r w:rsidRPr="00020424">
              <w:rPr>
                <w:rtl/>
              </w:rPr>
              <w:t xml:space="preserve"> : « فإنّ</w:t>
            </w:r>
            <w:r>
              <w:rPr>
                <w:rtl/>
              </w:rPr>
              <w:t xml:space="preserve"> ».</w:t>
            </w:r>
          </w:p>
        </w:tc>
      </w:tr>
      <w:tr w:rsidR="003B6530" w:rsidTr="003B6530">
        <w:tc>
          <w:tcPr>
            <w:tcW w:w="4006" w:type="dxa"/>
          </w:tcPr>
          <w:p w:rsidR="003B6530" w:rsidRDefault="00EF1F14" w:rsidP="00992664">
            <w:pPr>
              <w:pStyle w:val="libFootnote0"/>
              <w:rPr>
                <w:rtl/>
              </w:rPr>
            </w:pPr>
            <w:r>
              <w:rPr>
                <w:rtl/>
              </w:rPr>
              <w:t xml:space="preserve">(14). </w:t>
            </w:r>
            <w:r w:rsidRPr="00020424">
              <w:rPr>
                <w:rtl/>
              </w:rPr>
              <w:t xml:space="preserve">في « ى ، بس » </w:t>
            </w:r>
            <w:r w:rsidRPr="00515444">
              <w:rPr>
                <w:rStyle w:val="libFootnoteBoldChar"/>
                <w:rtl/>
              </w:rPr>
              <w:t>والوافي</w:t>
            </w:r>
            <w:r w:rsidRPr="00020424">
              <w:rPr>
                <w:rtl/>
              </w:rPr>
              <w:t xml:space="preserve"> : « عشراً</w:t>
            </w:r>
            <w:r>
              <w:rPr>
                <w:rtl/>
              </w:rPr>
              <w:t xml:space="preserve"> ».</w:t>
            </w:r>
          </w:p>
        </w:tc>
        <w:tc>
          <w:tcPr>
            <w:tcW w:w="4006" w:type="dxa"/>
          </w:tcPr>
          <w:p w:rsidR="003B6530" w:rsidRDefault="00EF1F14" w:rsidP="00992664">
            <w:pPr>
              <w:pStyle w:val="libFootnote0"/>
              <w:rPr>
                <w:rtl/>
              </w:rPr>
            </w:pPr>
            <w:r>
              <w:rPr>
                <w:rtl/>
              </w:rPr>
              <w:t xml:space="preserve">(15). </w:t>
            </w:r>
            <w:r w:rsidRPr="00020424">
              <w:rPr>
                <w:rtl/>
              </w:rPr>
              <w:t>في « بر ، بك » : + « دينار</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05A81">
        <w:rPr>
          <w:rStyle w:val="libAlaemChar"/>
          <w:rtl/>
        </w:rPr>
        <w:t>(</w:t>
      </w:r>
      <w:r w:rsidRPr="004E5AB4">
        <w:rPr>
          <w:rStyle w:val="libAieChar"/>
          <w:rtl/>
        </w:rPr>
        <w:t xml:space="preserve"> فَسَنُيَسِّرُهُ لِلْعُسْرى </w:t>
      </w:r>
      <w:r w:rsidRPr="00005A81">
        <w:rPr>
          <w:rStyle w:val="libAlaemChar"/>
          <w:rtl/>
        </w:rPr>
        <w:t>)</w:t>
      </w:r>
      <w:r w:rsidRPr="00020424">
        <w:rPr>
          <w:rtl/>
          <w:lang w:bidi="fa-IR"/>
        </w:rPr>
        <w:t xml:space="preserve"> قَالَ : « لَا يُرِ</w:t>
      </w:r>
      <w:r w:rsidR="00701E3F">
        <w:rPr>
          <w:rtl/>
          <w:lang w:bidi="fa-IR"/>
        </w:rPr>
        <w:t>يدُ شَيْئاً مِنَ الشَّرِّ إِل</w:t>
      </w:r>
      <w:r w:rsidR="00701E3F">
        <w:rPr>
          <w:rFonts w:hint="cs"/>
          <w:rtl/>
          <w:lang w:bidi="fa-IR"/>
        </w:rPr>
        <w:t>َّ</w:t>
      </w:r>
      <w:r w:rsidR="00701E3F">
        <w:rPr>
          <w:rtl/>
          <w:lang w:bidi="fa-IR"/>
        </w:rPr>
        <w:t>ا</w:t>
      </w:r>
      <w:r w:rsidRPr="00020424">
        <w:rPr>
          <w:rtl/>
          <w:lang w:bidi="fa-IR"/>
        </w:rPr>
        <w:t xml:space="preserve"> يَسَّرَهُ </w:t>
      </w:r>
      <w:r w:rsidRPr="00A91B96">
        <w:rPr>
          <w:rStyle w:val="libFootnotenumChar"/>
          <w:rtl/>
        </w:rPr>
        <w:t>(1)</w:t>
      </w:r>
      <w:r w:rsidRPr="00020424">
        <w:rPr>
          <w:rtl/>
          <w:lang w:bidi="fa-IR"/>
        </w:rPr>
        <w:t xml:space="preserve"> لَهُ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05A81">
        <w:rPr>
          <w:rStyle w:val="libAlaemChar"/>
          <w:rtl/>
        </w:rPr>
        <w:t>(</w:t>
      </w:r>
      <w:r w:rsidRPr="004E5AB4">
        <w:rPr>
          <w:rStyle w:val="libAieChar"/>
          <w:rtl/>
        </w:rPr>
        <w:t xml:space="preserve"> وَما يُغْنِي عَنْهُ مالُهُ إِذا تَرَدّى </w:t>
      </w:r>
      <w:r w:rsidRPr="00005A81">
        <w:rPr>
          <w:rStyle w:val="libAlaemChar"/>
          <w:rtl/>
        </w:rPr>
        <w:t>)</w:t>
      </w:r>
      <w:r w:rsidRPr="00020424">
        <w:rPr>
          <w:rtl/>
          <w:lang w:bidi="fa-IR"/>
        </w:rPr>
        <w:t xml:space="preserve"> </w:t>
      </w:r>
      <w:r w:rsidRPr="00A91B96">
        <w:rPr>
          <w:rStyle w:val="libFootnotenumChar"/>
          <w:rtl/>
        </w:rPr>
        <w:t>(3)</w:t>
      </w:r>
      <w:r w:rsidRPr="00020424">
        <w:rPr>
          <w:rtl/>
          <w:lang w:bidi="fa-IR"/>
        </w:rPr>
        <w:t xml:space="preserve"> قَالَ </w:t>
      </w:r>
      <w:r w:rsidRPr="00A91B96">
        <w:rPr>
          <w:rStyle w:val="libFootnotenumChar"/>
          <w:rtl/>
        </w:rPr>
        <w:t>(4)</w:t>
      </w:r>
      <w:r w:rsidRPr="00020424">
        <w:rPr>
          <w:rtl/>
          <w:lang w:bidi="fa-IR"/>
        </w:rPr>
        <w:t xml:space="preserve"> : « أَمَا وَاللهِ مَا هُوَ تَرَدّى </w:t>
      </w:r>
      <w:r w:rsidRPr="00A91B96">
        <w:rPr>
          <w:rStyle w:val="libFootnotenumChar"/>
          <w:rtl/>
        </w:rPr>
        <w:t>(5)</w:t>
      </w:r>
      <w:r w:rsidRPr="00020424">
        <w:rPr>
          <w:rtl/>
          <w:lang w:bidi="fa-IR"/>
        </w:rPr>
        <w:t xml:space="preserve"> فِي بِئْرٍ ، وَلَامِنْ جَبَلٍ ، وَلَامِنْ حَائِطٍ ، وَلكِنْ تَرَدّى </w:t>
      </w:r>
      <w:r w:rsidRPr="00A91B96">
        <w:rPr>
          <w:rStyle w:val="libFootnotenumChar"/>
          <w:rtl/>
        </w:rPr>
        <w:t>(6)</w:t>
      </w:r>
      <w:r w:rsidRPr="00020424">
        <w:rPr>
          <w:rtl/>
          <w:lang w:bidi="fa-IR"/>
        </w:rPr>
        <w:t xml:space="preserve"> فِي نَارِ جَهَنَّمَ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A0820">
        <w:rPr>
          <w:rtl/>
        </w:rPr>
        <w:t>6184</w:t>
      </w:r>
      <w:r w:rsidRPr="001155DE">
        <w:rPr>
          <w:rStyle w:val="libBold2Char"/>
          <w:rtl/>
        </w:rPr>
        <w:t xml:space="preserve"> / 6.</w:t>
      </w:r>
      <w:r w:rsidRPr="00020424">
        <w:rPr>
          <w:rtl/>
          <w:lang w:bidi="fa-IR"/>
        </w:rPr>
        <w:t xml:space="preserve"> وَعَنْهُ </w:t>
      </w:r>
      <w:r w:rsidRPr="00A91B96">
        <w:rPr>
          <w:rStyle w:val="libFootnotenumChar"/>
          <w:rtl/>
        </w:rPr>
        <w:t>(8)</w:t>
      </w:r>
      <w:r w:rsidRPr="00020424">
        <w:rPr>
          <w:rtl/>
          <w:lang w:bidi="fa-IR"/>
        </w:rPr>
        <w:t xml:space="preserve"> ، عَنْ أَبِيهِ ، عَنِ ابْنِ أَبِي عُمَيْرٍ ، عَنْ هِشَامِ بْنِ سَالِمٍ ، عَنْ زُرَارَةَ ، عَنْ سَالِمِ بْنِ أَبِي حَفْصَةَ :</w:t>
      </w:r>
    </w:p>
    <w:p w:rsidR="00992664" w:rsidRPr="00020424" w:rsidRDefault="00992664" w:rsidP="00EE1B47">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ي</w:t>
      </w:r>
      <w:r w:rsidR="0065569C">
        <w:rPr>
          <w:rtl/>
          <w:lang w:bidi="fa-IR"/>
        </w:rPr>
        <w:t>َقُولُ : مَا مِنْ شَيْ‌ءٍ إِل</w:t>
      </w:r>
      <w:r w:rsidR="0065569C">
        <w:rPr>
          <w:rFonts w:hint="cs"/>
          <w:rtl/>
          <w:lang w:bidi="fa-IR"/>
        </w:rPr>
        <w:t>َّ</w:t>
      </w:r>
      <w:r w:rsidR="0065569C">
        <w:rPr>
          <w:rtl/>
          <w:lang w:bidi="fa-IR"/>
        </w:rPr>
        <w:t>ا</w:t>
      </w:r>
      <w:r w:rsidRPr="00020424">
        <w:rPr>
          <w:rtl/>
          <w:lang w:bidi="fa-IR"/>
        </w:rPr>
        <w:t xml:space="preserve"> وَقَدْ وَكَّلْتُ </w:t>
      </w:r>
      <w:r w:rsidRPr="00A91B96">
        <w:rPr>
          <w:rStyle w:val="libFootnotenumChar"/>
          <w:rtl/>
        </w:rPr>
        <w:t>(9)</w:t>
      </w:r>
      <w:r w:rsidRPr="00020424">
        <w:rPr>
          <w:rtl/>
          <w:lang w:bidi="fa-IR"/>
        </w:rPr>
        <w:t xml:space="preserve"> بِهِ مَنْ يَقْبِضُهُ غَيْرِي </w:t>
      </w:r>
      <w:r w:rsidR="00EE1B47">
        <w:rPr>
          <w:rtl/>
          <w:lang w:bidi="fa-IR"/>
        </w:rPr>
        <w:t>إِل</w:t>
      </w:r>
      <w:r w:rsidR="00EE1B47">
        <w:rPr>
          <w:rFonts w:hint="cs"/>
          <w:rtl/>
          <w:lang w:bidi="fa-IR"/>
        </w:rPr>
        <w:t>َّ</w:t>
      </w:r>
      <w:r w:rsidR="00EE1B47">
        <w:rPr>
          <w:rtl/>
          <w:lang w:bidi="fa-IR"/>
        </w:rPr>
        <w:t>ا</w:t>
      </w:r>
      <w:r w:rsidR="00EE1B47" w:rsidRPr="00020424">
        <w:rPr>
          <w:rtl/>
          <w:lang w:bidi="fa-IR"/>
        </w:rPr>
        <w:t xml:space="preserve"> </w:t>
      </w:r>
      <w:r w:rsidRPr="00020424">
        <w:rPr>
          <w:rtl/>
          <w:lang w:bidi="fa-IR"/>
        </w:rPr>
        <w:t xml:space="preserve">الصَّدَقَةَ ، فَإِنِّي أَتَلَقَّفُهَا </w:t>
      </w:r>
      <w:r w:rsidRPr="00A91B96">
        <w:rPr>
          <w:rStyle w:val="libFootnotenumChar"/>
          <w:rtl/>
        </w:rPr>
        <w:t>(10)</w:t>
      </w:r>
      <w:r w:rsidRPr="00020424">
        <w:rPr>
          <w:rtl/>
          <w:lang w:bidi="fa-IR"/>
        </w:rPr>
        <w:t xml:space="preserve"> بِيَدِي تَلَقُّفاً </w:t>
      </w:r>
      <w:r w:rsidRPr="00A91B96">
        <w:rPr>
          <w:rStyle w:val="libFootnotenumChar"/>
          <w:rtl/>
        </w:rPr>
        <w:t>(11)</w:t>
      </w:r>
      <w:r w:rsidRPr="00020424">
        <w:rPr>
          <w:rtl/>
          <w:lang w:bidi="fa-IR"/>
        </w:rPr>
        <w:t xml:space="preserve"> حَتّى أَنَّ الرَّجُلَ لَيَتَصَدَّقُ بِالتَّمْرَةِ ، أَوْ بِشِقِّ تَمْرَةٍ ، فَأُرَبِّيهَا لَهُ </w:t>
      </w:r>
      <w:r w:rsidRPr="00A91B96">
        <w:rPr>
          <w:rStyle w:val="libFootnotenumChar"/>
          <w:rtl/>
        </w:rPr>
        <w:t>(12)</w:t>
      </w:r>
      <w:r w:rsidRPr="00020424">
        <w:rPr>
          <w:rtl/>
          <w:lang w:bidi="fa-IR"/>
        </w:rPr>
        <w:t xml:space="preserve"> كَمَا يُرَبِّي الرَّجُلُ </w:t>
      </w:r>
      <w:r w:rsidRPr="00A91B96">
        <w:rPr>
          <w:rStyle w:val="libFootnotenumChar"/>
          <w:rtl/>
        </w:rPr>
        <w:t>(13)</w:t>
      </w:r>
      <w:r w:rsidRPr="00020424">
        <w:rPr>
          <w:rtl/>
          <w:lang w:bidi="fa-IR"/>
        </w:rPr>
        <w:t xml:space="preserve"> فَلُوَّهُ </w:t>
      </w:r>
      <w:r w:rsidRPr="00A91B96">
        <w:rPr>
          <w:rStyle w:val="libFootnotenumChar"/>
          <w:rtl/>
        </w:rPr>
        <w:t>(14)</w:t>
      </w:r>
      <w:r w:rsidRPr="00020424">
        <w:rPr>
          <w:rtl/>
          <w:lang w:bidi="fa-IR"/>
        </w:rPr>
        <w:t xml:space="preserve"> وَفَصِيلَهُ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بس » : + « الله</w:t>
      </w:r>
      <w:r w:rsidR="00992664">
        <w:rPr>
          <w:rtl/>
        </w:rPr>
        <w:t xml:space="preserve"> ».</w:t>
      </w:r>
      <w:r w:rsidR="00992664" w:rsidRPr="00020424">
        <w:rPr>
          <w:rtl/>
        </w:rPr>
        <w:t xml:space="preserve"> وفي « بخ ، بر ، بف ، بك » </w:t>
      </w:r>
      <w:r w:rsidR="00992664" w:rsidRPr="00EE1B47">
        <w:rPr>
          <w:rtl/>
        </w:rPr>
        <w:t>والوافي والتهذيب والمقنعة :</w:t>
      </w:r>
      <w:r w:rsidR="00992664" w:rsidRPr="00020424">
        <w:rPr>
          <w:rtl/>
        </w:rPr>
        <w:t xml:space="preserve"> « يسّر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الليل (92) : 5</w:t>
      </w:r>
      <w:r w:rsidR="00992664">
        <w:rPr>
          <w:rtl/>
        </w:rPr>
        <w:t xml:space="preserve"> </w:t>
      </w:r>
      <w:r w:rsidR="009B673F">
        <w:rPr>
          <w:rtl/>
        </w:rPr>
        <w:t>-</w:t>
      </w:r>
      <w:r w:rsidR="00992664">
        <w:rPr>
          <w:rtl/>
        </w:rPr>
        <w:t xml:space="preserve"> </w:t>
      </w:r>
      <w:r w:rsidR="00992664" w:rsidRPr="00020424">
        <w:rPr>
          <w:rtl/>
        </w:rPr>
        <w:t>11.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بك » </w:t>
      </w:r>
      <w:r w:rsidR="00992664" w:rsidRPr="00515444">
        <w:rPr>
          <w:rStyle w:val="libFootnoteBoldChar"/>
          <w:rtl/>
        </w:rPr>
        <w:t>والوافي</w:t>
      </w:r>
      <w:r w:rsidR="00992664" w:rsidRPr="00020424">
        <w:rPr>
          <w:rtl/>
        </w:rPr>
        <w:t xml:space="preserve"> : + « قال</w:t>
      </w:r>
      <w:r w:rsidR="00992664">
        <w:rPr>
          <w:rtl/>
        </w:rPr>
        <w:t xml:space="preserve"> ».</w:t>
      </w:r>
    </w:p>
    <w:p w:rsidR="00992664" w:rsidRPr="00020424" w:rsidRDefault="00795177" w:rsidP="00EE1B47">
      <w:pPr>
        <w:pStyle w:val="libFootnote0"/>
        <w:rPr>
          <w:rtl/>
          <w:lang w:bidi="fa-IR"/>
        </w:rPr>
      </w:pPr>
      <w:r>
        <w:rPr>
          <w:rtl/>
        </w:rPr>
        <w:t>(5).</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تردٍّ</w:t>
      </w:r>
      <w:r w:rsidR="00992664">
        <w:rPr>
          <w:rtl/>
        </w:rPr>
        <w:t xml:space="preserve"> ».</w:t>
      </w:r>
      <w:r w:rsidR="00992664" w:rsidRPr="00020424">
        <w:rPr>
          <w:rtl/>
        </w:rPr>
        <w:t xml:space="preserve"> </w:t>
      </w:r>
      <w:r w:rsidR="00992664">
        <w:rPr>
          <w:rtl/>
        </w:rPr>
        <w:t>و «</w:t>
      </w:r>
      <w:r w:rsidR="00992664" w:rsidRPr="00020424">
        <w:rPr>
          <w:rtl/>
        </w:rPr>
        <w:t xml:space="preserve"> تردّى » ، أي سقط ، يقال : رَدَى وتردّى ، إذا سقط في بئر ، أو تهوّر وسقط من جبل ، كأنّه تفعّل من الردى بمعنى الهلاك. راجع : </w:t>
      </w:r>
      <w:r w:rsidR="00992664" w:rsidRPr="0012008A">
        <w:rPr>
          <w:rStyle w:val="libFootnoteBoldChar"/>
          <w:rtl/>
        </w:rPr>
        <w:t>الصحاح</w:t>
      </w:r>
      <w:r w:rsidR="00992664" w:rsidRPr="00020424">
        <w:rPr>
          <w:rtl/>
        </w:rPr>
        <w:t xml:space="preserve"> ، ج 6 ، ص 2355 ؛ </w:t>
      </w:r>
      <w:r w:rsidR="00992664" w:rsidRPr="0012008A">
        <w:rPr>
          <w:rStyle w:val="libFootnoteBoldChar"/>
          <w:rtl/>
        </w:rPr>
        <w:t>النهاية</w:t>
      </w:r>
      <w:r w:rsidR="00992664" w:rsidRPr="00020424">
        <w:rPr>
          <w:rtl/>
        </w:rPr>
        <w:t xml:space="preserve"> ، ج 2 ، ص 216 ( ردى )</w:t>
      </w:r>
      <w:r w:rsidR="00992664">
        <w:rPr>
          <w:rtl/>
        </w:rPr>
        <w:t>.</w:t>
      </w:r>
      <w:r w:rsidR="00EE1B47">
        <w:rPr>
          <w:rFonts w:hint="cs"/>
          <w:rtl/>
        </w:rPr>
        <w:t xml:space="preserve">                             </w:t>
      </w:r>
      <w:r>
        <w:rPr>
          <w:rtl/>
        </w:rPr>
        <w:t>(6).</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تردٍّ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109 ، ح 316 ، معلّقاً عن الكليني. </w:t>
      </w:r>
      <w:r w:rsidR="00992664" w:rsidRPr="0012008A">
        <w:rPr>
          <w:rStyle w:val="libFootnoteBoldChar"/>
          <w:rtl/>
        </w:rPr>
        <w:t>المقنعة</w:t>
      </w:r>
      <w:r w:rsidR="00992664" w:rsidRPr="00020424">
        <w:rPr>
          <w:rtl/>
        </w:rPr>
        <w:t xml:space="preserve"> ، ص 266 ، مرسلاً </w:t>
      </w:r>
      <w:r w:rsidR="00EE1B47">
        <w:rPr>
          <w:rFonts w:hint="cs"/>
          <w:rtl/>
        </w:rPr>
        <w:t>.</w:t>
      </w:r>
      <w:r w:rsidR="00992664" w:rsidRPr="0012008A">
        <w:rPr>
          <w:rStyle w:val="libFootnoteBoldChar"/>
          <w:rtl/>
        </w:rPr>
        <w:t>الوافي</w:t>
      </w:r>
      <w:r w:rsidR="00992664" w:rsidRPr="00020424">
        <w:rPr>
          <w:rtl/>
        </w:rPr>
        <w:t xml:space="preserve"> ، ج 10 ، ص 487 ، ح 9946 ؛ </w:t>
      </w:r>
      <w:r w:rsidR="00992664" w:rsidRPr="0012008A">
        <w:rPr>
          <w:rStyle w:val="libFootnoteBoldChar"/>
          <w:rtl/>
        </w:rPr>
        <w:t>الوسائل</w:t>
      </w:r>
      <w:r w:rsidR="00992664" w:rsidRPr="00020424">
        <w:rPr>
          <w:rtl/>
        </w:rPr>
        <w:t xml:space="preserve"> ، ج 9 ، ص 368 ، ح 12256 ، إلى قول</w:t>
      </w:r>
      <w:r w:rsidR="00EE1B47">
        <w:rPr>
          <w:rtl/>
        </w:rPr>
        <w:t>ه : « لايريد شيئاً من الخير إل</w:t>
      </w:r>
      <w:r w:rsidR="00EE1B47">
        <w:rPr>
          <w:rFonts w:hint="cs"/>
          <w:rtl/>
        </w:rPr>
        <w:t>ّ</w:t>
      </w:r>
      <w:r w:rsidR="00EE1B47">
        <w:rPr>
          <w:rtl/>
        </w:rPr>
        <w:t>ا</w:t>
      </w:r>
      <w:r w:rsidR="00992664" w:rsidRPr="00020424">
        <w:rPr>
          <w:rtl/>
        </w:rPr>
        <w:t>يسّره الله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71918" w:rsidTr="00271918">
        <w:tc>
          <w:tcPr>
            <w:tcW w:w="4006" w:type="dxa"/>
          </w:tcPr>
          <w:p w:rsidR="00271918" w:rsidRDefault="00271918" w:rsidP="00992664">
            <w:pPr>
              <w:pStyle w:val="libFootnote0"/>
              <w:rPr>
                <w:rtl/>
              </w:rPr>
            </w:pPr>
            <w:r>
              <w:rPr>
                <w:rtl/>
              </w:rPr>
              <w:t xml:space="preserve">(8). </w:t>
            </w:r>
            <w:r w:rsidRPr="00020424">
              <w:rPr>
                <w:rtl/>
              </w:rPr>
              <w:t>في « بخ ، بر ، بف » : « عنه » بدون الواو.</w:t>
            </w:r>
          </w:p>
        </w:tc>
        <w:tc>
          <w:tcPr>
            <w:tcW w:w="4006" w:type="dxa"/>
          </w:tcPr>
          <w:p w:rsidR="00271918" w:rsidRDefault="00271918"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 « كفلت</w:t>
            </w:r>
            <w:r>
              <w:rPr>
                <w:rtl/>
              </w:rPr>
              <w:t xml:space="preserve"> ».</w:t>
            </w:r>
          </w:p>
        </w:tc>
      </w:tr>
    </w:tbl>
    <w:p w:rsidR="00992664" w:rsidRPr="00020424" w:rsidRDefault="00795177" w:rsidP="00173B3F">
      <w:pPr>
        <w:pStyle w:val="libFootnote0"/>
        <w:rPr>
          <w:rtl/>
          <w:lang w:bidi="fa-IR"/>
        </w:rPr>
      </w:pPr>
      <w:r>
        <w:rPr>
          <w:rtl/>
        </w:rPr>
        <w:t>(10).</w:t>
      </w:r>
      <w:r w:rsidR="0014403D">
        <w:rPr>
          <w:rtl/>
        </w:rPr>
        <w:t xml:space="preserve"> </w:t>
      </w:r>
      <w:r w:rsidR="00992664" w:rsidRPr="00020424">
        <w:rPr>
          <w:rtl/>
        </w:rPr>
        <w:t>في « بف » : « أتلقّيها</w:t>
      </w:r>
      <w:r w:rsidR="00992664">
        <w:rPr>
          <w:rtl/>
        </w:rPr>
        <w:t xml:space="preserve"> ».</w:t>
      </w:r>
      <w:r w:rsidR="00992664" w:rsidRPr="00020424">
        <w:rPr>
          <w:rtl/>
        </w:rPr>
        <w:t xml:space="preserve"> والتلقّف : التناول بسرعة. وقيل : هو التلقّن والحفظ بسرعة. راجع : </w:t>
      </w:r>
      <w:r w:rsidR="00992664" w:rsidRPr="0012008A">
        <w:rPr>
          <w:rStyle w:val="libFootnoteBoldChar"/>
          <w:rtl/>
        </w:rPr>
        <w:t>الصحاح</w:t>
      </w:r>
      <w:r w:rsidR="00992664" w:rsidRPr="00020424">
        <w:rPr>
          <w:rtl/>
        </w:rPr>
        <w:t xml:space="preserve"> ، ج 4 ، ص 1428 ؛ </w:t>
      </w:r>
      <w:r w:rsidR="00992664" w:rsidRPr="0012008A">
        <w:rPr>
          <w:rStyle w:val="libFootnoteBoldChar"/>
          <w:rtl/>
        </w:rPr>
        <w:t>النهاية</w:t>
      </w:r>
      <w:r w:rsidR="00992664" w:rsidRPr="00020424">
        <w:rPr>
          <w:rtl/>
        </w:rPr>
        <w:t xml:space="preserve"> ، ج 4 ، ص 265 ( لقف )</w:t>
      </w:r>
      <w:r w:rsidR="00992664">
        <w:rPr>
          <w:rtl/>
        </w:rPr>
        <w:t>.</w:t>
      </w:r>
      <w:r w:rsidR="00173B3F">
        <w:rPr>
          <w:rFonts w:hint="cs"/>
          <w:rtl/>
        </w:rPr>
        <w:t xml:space="preserve"> </w:t>
      </w:r>
      <w:r>
        <w:rPr>
          <w:rtl/>
        </w:rPr>
        <w:t>(11).</w:t>
      </w:r>
      <w:r w:rsidR="0014403D">
        <w:rPr>
          <w:rtl/>
        </w:rPr>
        <w:t xml:space="preserve"> </w:t>
      </w:r>
      <w:r w:rsidR="00992664" w:rsidRPr="00020424">
        <w:rPr>
          <w:rtl/>
        </w:rPr>
        <w:t>في « بف ، بك » : « تلقّياً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73B3F" w:rsidTr="00173B3F">
        <w:tc>
          <w:tcPr>
            <w:tcW w:w="4006" w:type="dxa"/>
          </w:tcPr>
          <w:p w:rsidR="00173B3F" w:rsidRDefault="00173B3F" w:rsidP="00992664">
            <w:pPr>
              <w:pStyle w:val="libFootnote0"/>
              <w:rPr>
                <w:rtl/>
              </w:rPr>
            </w:pPr>
            <w:r>
              <w:rPr>
                <w:rtl/>
              </w:rPr>
              <w:t xml:space="preserve">(12). </w:t>
            </w:r>
            <w:r w:rsidRPr="00020424">
              <w:rPr>
                <w:rtl/>
              </w:rPr>
              <w:t xml:space="preserve">في « ى ، جن » </w:t>
            </w:r>
            <w:r w:rsidRPr="00515444">
              <w:rPr>
                <w:rStyle w:val="libFootnoteBoldChar"/>
                <w:rtl/>
              </w:rPr>
              <w:t>والتهذيب</w:t>
            </w:r>
            <w:r w:rsidRPr="00020424">
              <w:rPr>
                <w:rtl/>
              </w:rPr>
              <w:t xml:space="preserve"> :</w:t>
            </w:r>
            <w:r>
              <w:rPr>
                <w:rtl/>
              </w:rPr>
              <w:t xml:space="preserve"> - </w:t>
            </w:r>
            <w:r w:rsidRPr="00020424">
              <w:rPr>
                <w:rtl/>
              </w:rPr>
              <w:t>« له</w:t>
            </w:r>
            <w:r>
              <w:rPr>
                <w:rtl/>
              </w:rPr>
              <w:t xml:space="preserve"> ».</w:t>
            </w:r>
          </w:p>
        </w:tc>
        <w:tc>
          <w:tcPr>
            <w:tcW w:w="4006" w:type="dxa"/>
          </w:tcPr>
          <w:p w:rsidR="00173B3F" w:rsidRDefault="00173B3F" w:rsidP="00173B3F">
            <w:pPr>
              <w:pStyle w:val="libFootnote0"/>
              <w:rPr>
                <w:rtl/>
              </w:rPr>
            </w:pPr>
            <w:r>
              <w:rPr>
                <w:rtl/>
              </w:rPr>
              <w:t xml:space="preserve">(13). </w:t>
            </w:r>
            <w:r w:rsidRPr="00020424">
              <w:rPr>
                <w:rtl/>
              </w:rPr>
              <w:t>في حاشية « بث » : « أحدكم</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بك » : « ولده</w:t>
      </w:r>
      <w:r w:rsidR="00992664">
        <w:rPr>
          <w:rtl/>
        </w:rPr>
        <w:t xml:space="preserve"> ».</w:t>
      </w:r>
      <w:r w:rsidR="00992664" w:rsidRPr="00020424">
        <w:rPr>
          <w:rtl/>
        </w:rPr>
        <w:t xml:space="preserve"> </w:t>
      </w:r>
      <w:r w:rsidR="00992664">
        <w:rPr>
          <w:rtl/>
        </w:rPr>
        <w:t>و «</w:t>
      </w:r>
      <w:r w:rsidR="00992664" w:rsidRPr="00020424">
        <w:rPr>
          <w:rtl/>
        </w:rPr>
        <w:t xml:space="preserve"> الفَلُوّ » : المُهْر الصغير ، لأنّه يُفْتَلى ، أي يُفْطَم والمُهْر : ولد الفرس ، أو أوّل ما ينتج منه ومن غيره. وقيل : الفَلُوّ هو الفطيم من أولاد ذوات الحوافر. راجع : </w:t>
      </w:r>
      <w:r w:rsidR="00992664" w:rsidRPr="0012008A">
        <w:rPr>
          <w:rStyle w:val="libFootnoteBoldChar"/>
          <w:rtl/>
        </w:rPr>
        <w:t>الصحاح</w:t>
      </w:r>
      <w:r w:rsidR="00992664" w:rsidRPr="00020424">
        <w:rPr>
          <w:rtl/>
        </w:rPr>
        <w:t xml:space="preserve"> ، ج 6 ، ص 2456 ؛ </w:t>
      </w:r>
      <w:r w:rsidR="00992664" w:rsidRPr="0012008A">
        <w:rPr>
          <w:rStyle w:val="libFootnoteBoldChar"/>
          <w:rtl/>
        </w:rPr>
        <w:t>النهاية</w:t>
      </w:r>
      <w:r w:rsidR="00992664" w:rsidRPr="00020424">
        <w:rPr>
          <w:rtl/>
        </w:rPr>
        <w:t xml:space="preserve"> ، ج 3 ، ص 474 « فلا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الفَصيل » : ولد الناقة إذا فُصل عن ا</w:t>
      </w:r>
      <w:r w:rsidR="006E160D">
        <w:rPr>
          <w:rFonts w:hint="cs"/>
          <w:rtl/>
        </w:rPr>
        <w:t>ُ</w:t>
      </w:r>
      <w:r w:rsidR="00992664" w:rsidRPr="00020424">
        <w:rPr>
          <w:rtl/>
        </w:rPr>
        <w:t xml:space="preserve">مّه ، فعيل بمعنى مفعول ، وأكثر ما يطلق في الإبل ، وقد يقال في البقر. راجع : </w:t>
      </w:r>
      <w:r w:rsidR="00992664" w:rsidRPr="0012008A">
        <w:rPr>
          <w:rStyle w:val="libFootnoteBoldChar"/>
          <w:rtl/>
        </w:rPr>
        <w:t>الصحاح</w:t>
      </w:r>
      <w:r w:rsidR="00992664" w:rsidRPr="00020424">
        <w:rPr>
          <w:rtl/>
        </w:rPr>
        <w:t xml:space="preserve"> ، ج 5 ، ص 1791 ؛ </w:t>
      </w:r>
      <w:r w:rsidR="00992664" w:rsidRPr="0012008A">
        <w:rPr>
          <w:rStyle w:val="libFootnoteBoldChar"/>
          <w:rtl/>
        </w:rPr>
        <w:t>النهاية</w:t>
      </w:r>
      <w:r w:rsidR="00992664" w:rsidRPr="00020424">
        <w:rPr>
          <w:rtl/>
        </w:rPr>
        <w:t xml:space="preserve"> ، ج 3 ، ص 451 ( فصل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فَيَأْتِي </w:t>
      </w:r>
      <w:r w:rsidRPr="00A91B96">
        <w:rPr>
          <w:rStyle w:val="libFootnotenumChar"/>
          <w:rtl/>
        </w:rPr>
        <w:t>(1)</w:t>
      </w:r>
      <w:r w:rsidRPr="00020424">
        <w:rPr>
          <w:rtl/>
          <w:lang w:bidi="fa-IR"/>
        </w:rPr>
        <w:t xml:space="preserve"> يَوْمَ الْقِيَامَةِ وَهُوَ </w:t>
      </w:r>
      <w:r w:rsidRPr="00A91B96">
        <w:rPr>
          <w:rStyle w:val="libFootnotenumChar"/>
          <w:rtl/>
        </w:rPr>
        <w:t>(2)</w:t>
      </w:r>
      <w:r w:rsidRPr="00020424">
        <w:rPr>
          <w:rtl/>
          <w:lang w:bidi="fa-IR"/>
        </w:rPr>
        <w:t xml:space="preserve"> مِثْلُ </w:t>
      </w:r>
      <w:r w:rsidRPr="00A91B96">
        <w:rPr>
          <w:rStyle w:val="libFootnotenumChar"/>
          <w:rtl/>
        </w:rPr>
        <w:t>(3)</w:t>
      </w:r>
      <w:r w:rsidRPr="00020424">
        <w:rPr>
          <w:rtl/>
          <w:lang w:bidi="fa-IR"/>
        </w:rPr>
        <w:t xml:space="preserve"> أُحُدٍ ، وَأَعْظَمُ مِنْ أُحُدٍ</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A0820">
        <w:rPr>
          <w:rtl/>
        </w:rPr>
        <w:t>6185</w:t>
      </w:r>
      <w:r w:rsidRPr="001155DE">
        <w:rPr>
          <w:rStyle w:val="libBold2Char"/>
          <w:rtl/>
        </w:rPr>
        <w:t xml:space="preserve"> / 7.</w:t>
      </w:r>
      <w:r w:rsidRPr="00020424">
        <w:rPr>
          <w:rtl/>
          <w:lang w:bidi="fa-IR"/>
        </w:rPr>
        <w:t xml:space="preserve"> عِدَّةٌ مِنْ أَصْحَابِنَا ، عَنْ أَحْمَدَ بْنِ مُحَمَّدِ بْنِ خَالِدٍ ، عَنْ أَبِيهِ ، عَمَّنْ حَدَّثَهُ ، عَنْ عَبْدِ الرَّحْمنِ الْعَرْزَمِيِّ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جَاءَ رَجُلٌ إِلَى الْحَسَنِ وَالْحُسَيْنِ </w:t>
      </w:r>
      <w:r w:rsidRPr="00005A81">
        <w:rPr>
          <w:rStyle w:val="libAlaemChar"/>
          <w:rtl/>
        </w:rPr>
        <w:t>عليهما‌السلام</w:t>
      </w:r>
      <w:r w:rsidRPr="00020424">
        <w:rPr>
          <w:rtl/>
          <w:lang w:bidi="fa-IR"/>
        </w:rPr>
        <w:t xml:space="preserve"> وَهُمَا جَالِسَانِ عَلَى الصَّفَا ، فَسَأَلَهُمَا ، فَقَالَا : إِن</w:t>
      </w:r>
      <w:r w:rsidR="006E160D">
        <w:rPr>
          <w:rtl/>
          <w:lang w:bidi="fa-IR"/>
        </w:rPr>
        <w:t>َّ الصَّدَقَةَ لَاتَحِلُّ إِل</w:t>
      </w:r>
      <w:r w:rsidR="006E160D">
        <w:rPr>
          <w:rFonts w:hint="cs"/>
          <w:rtl/>
          <w:lang w:bidi="fa-IR"/>
        </w:rPr>
        <w:t>َّ</w:t>
      </w:r>
      <w:r w:rsidR="006E160D">
        <w:rPr>
          <w:rtl/>
          <w:lang w:bidi="fa-IR"/>
        </w:rPr>
        <w:t>ا</w:t>
      </w:r>
      <w:r w:rsidRPr="00020424">
        <w:rPr>
          <w:rtl/>
          <w:lang w:bidi="fa-IR"/>
        </w:rPr>
        <w:t xml:space="preserve"> فِي دَيْنٍ </w:t>
      </w:r>
      <w:r w:rsidRPr="00A91B96">
        <w:rPr>
          <w:rStyle w:val="libFootnotenumChar"/>
          <w:rtl/>
        </w:rPr>
        <w:t>(6)</w:t>
      </w:r>
      <w:r w:rsidRPr="00020424">
        <w:rPr>
          <w:rtl/>
          <w:lang w:bidi="fa-IR"/>
        </w:rPr>
        <w:t xml:space="preserve"> مُوجِعٍ ، أَوْ غُرْمٍ </w:t>
      </w:r>
      <w:r w:rsidRPr="00A91B96">
        <w:rPr>
          <w:rStyle w:val="libFootnotenumChar"/>
          <w:rtl/>
        </w:rPr>
        <w:t>(7)</w:t>
      </w:r>
      <w:r w:rsidRPr="00020424">
        <w:rPr>
          <w:rtl/>
          <w:lang w:bidi="fa-IR"/>
        </w:rPr>
        <w:t xml:space="preserve"> مُفْظِعٍ </w:t>
      </w:r>
      <w:r w:rsidRPr="00A91B96">
        <w:rPr>
          <w:rStyle w:val="libFootnotenumChar"/>
          <w:rtl/>
        </w:rPr>
        <w:t>(8)</w:t>
      </w:r>
      <w:r w:rsidRPr="00020424">
        <w:rPr>
          <w:rtl/>
          <w:lang w:bidi="fa-IR"/>
        </w:rPr>
        <w:t xml:space="preserve"> ، أَوْ فَقْرٍ مُدْقِعٍ </w:t>
      </w:r>
      <w:r w:rsidRPr="00A91B96">
        <w:rPr>
          <w:rStyle w:val="libFootnotenumChar"/>
          <w:rtl/>
        </w:rPr>
        <w:t>(9)</w:t>
      </w:r>
      <w:r w:rsidRPr="00020424">
        <w:rPr>
          <w:rtl/>
          <w:lang w:bidi="fa-IR"/>
        </w:rPr>
        <w:t xml:space="preserve"> ، فَفِيكَ شَيْ‌ءٌ مِنْ هذَا</w:t>
      </w:r>
      <w:r>
        <w:rPr>
          <w:rtl/>
          <w:lang w:bidi="fa-IR"/>
        </w:rPr>
        <w:t>؟</w:t>
      </w:r>
      <w:r w:rsidRPr="00020424">
        <w:rPr>
          <w:rtl/>
          <w:lang w:bidi="fa-IR"/>
        </w:rPr>
        <w:t xml:space="preserve"> قَالَ : نَعَمْ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بف ، بك » : « فيتلقّاني</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وتفسير العيّاشي ، ص 52 : « فيلقاني</w:t>
      </w:r>
      <w:r w:rsidR="00992664">
        <w:rPr>
          <w:rtl/>
        </w:rPr>
        <w:t xml:space="preserve"> ».</w:t>
      </w:r>
      <w:r w:rsidR="00992664" w:rsidRPr="00020424">
        <w:rPr>
          <w:rtl/>
        </w:rPr>
        <w:t xml:space="preserve"> وفي رجال الكشّي </w:t>
      </w:r>
      <w:r w:rsidR="00992664" w:rsidRPr="00DE3E80">
        <w:rPr>
          <w:rStyle w:val="libFootnoteBoldChar"/>
          <w:rtl/>
        </w:rPr>
        <w:t>والمقنعة</w:t>
      </w:r>
      <w:r w:rsidR="00992664" w:rsidRPr="00020424">
        <w:rPr>
          <w:rtl/>
        </w:rPr>
        <w:t xml:space="preserve"> : « فتلقاه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وتفسير العيّاشي ، ص 152 </w:t>
      </w:r>
      <w:r w:rsidR="00992664" w:rsidRPr="00DE3E80">
        <w:rPr>
          <w:rStyle w:val="libFootnoteBoldChar"/>
          <w:rtl/>
        </w:rPr>
        <w:t>والمقنعة</w:t>
      </w:r>
      <w:r w:rsidR="00992664" w:rsidRPr="00020424">
        <w:rPr>
          <w:rtl/>
        </w:rPr>
        <w:t xml:space="preserve"> : « وهي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 جبل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109 ، ح 317 ، معلّقاً عن الكليني. </w:t>
      </w:r>
      <w:r w:rsidR="00992664" w:rsidRPr="00DE76B9">
        <w:rPr>
          <w:rStyle w:val="libFootnoteBoldChar"/>
          <w:rtl/>
        </w:rPr>
        <w:t>رجال الكشّي</w:t>
      </w:r>
      <w:r w:rsidR="00992664" w:rsidRPr="00020424">
        <w:rPr>
          <w:rtl/>
        </w:rPr>
        <w:t xml:space="preserve"> ، ص 233 ، ح 423 ، بسنده عن ابن أبي عمير ، مع زيادة في أوّله. وفي </w:t>
      </w:r>
      <w:r w:rsidR="00992664" w:rsidRPr="006C7A1F">
        <w:rPr>
          <w:rStyle w:val="libFootnoteBoldChar"/>
          <w:rtl/>
        </w:rPr>
        <w:t>الأمالي للمفيد</w:t>
      </w:r>
      <w:r w:rsidR="00992664" w:rsidRPr="00020424">
        <w:rPr>
          <w:rtl/>
        </w:rPr>
        <w:t xml:space="preserve"> ، ص 354 ، المجلس 42 ، ضمن ح 7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125 ، المجلس 5 ، ضمن ح 8 ، بسندهما عن سالم بن أبي حفصة. </w:t>
      </w:r>
      <w:r w:rsidR="00992664" w:rsidRPr="00DE76B9">
        <w:rPr>
          <w:rStyle w:val="libFootnoteBoldChar"/>
          <w:rtl/>
        </w:rPr>
        <w:t>وفيه</w:t>
      </w:r>
      <w:r w:rsidR="00992664" w:rsidRPr="00020424">
        <w:rPr>
          <w:rtl/>
        </w:rPr>
        <w:t xml:space="preserve"> ، ص 458 ، المجلس 16 ، ح 29 ، بسند آخر عن عليّ </w:t>
      </w:r>
      <w:r w:rsidR="00992664" w:rsidRPr="00D64ADA">
        <w:rPr>
          <w:rStyle w:val="libFootnoteAlaemChar"/>
          <w:rtl/>
        </w:rPr>
        <w:t>عليه‌السلام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 وفي الثلاثة الأخيرة من قوله : « إنّ الرجل ليتصدّق بالتمرة » مع اختلاف يسير. </w:t>
      </w:r>
      <w:r w:rsidR="00992664" w:rsidRPr="00DE76B9">
        <w:rPr>
          <w:rStyle w:val="libFootnoteBoldChar"/>
          <w:rtl/>
        </w:rPr>
        <w:t>تفسير العيّاشي</w:t>
      </w:r>
      <w:r w:rsidR="00992664" w:rsidRPr="00020424">
        <w:rPr>
          <w:rtl/>
        </w:rPr>
        <w:t xml:space="preserve"> ، ج 1 ، ص 152 ، ح 507 ، عن سالم بن أبي حفصة. </w:t>
      </w:r>
      <w:r w:rsidR="00992664" w:rsidRPr="00DE76B9">
        <w:rPr>
          <w:rStyle w:val="libFootnoteBoldChar"/>
          <w:rtl/>
        </w:rPr>
        <w:t>وفيه</w:t>
      </w:r>
      <w:r w:rsidR="00992664" w:rsidRPr="00020424">
        <w:rPr>
          <w:rtl/>
        </w:rPr>
        <w:t xml:space="preserve"> ، ص 153 ، ح 509 ، عن أبي حمزة ، عن أبي جعفر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المقنعة</w:t>
      </w:r>
      <w:r w:rsidR="00992664" w:rsidRPr="00020424">
        <w:rPr>
          <w:rtl/>
        </w:rPr>
        <w:t xml:space="preserve"> ، ص 266 ، مرسلاً ، مع اختلاف يسير </w:t>
      </w:r>
      <w:r w:rsidR="00992664" w:rsidRPr="0012008A">
        <w:rPr>
          <w:rStyle w:val="libFootnoteBoldChar"/>
          <w:rtl/>
        </w:rPr>
        <w:t>الوافي</w:t>
      </w:r>
      <w:r w:rsidR="00992664" w:rsidRPr="00020424">
        <w:rPr>
          <w:rtl/>
        </w:rPr>
        <w:t xml:space="preserve"> ، ج 10 ، ص 387 ، ح 9734 ؛ </w:t>
      </w:r>
      <w:r w:rsidR="00992664" w:rsidRPr="0012008A">
        <w:rPr>
          <w:rStyle w:val="libFootnoteBoldChar"/>
          <w:rtl/>
        </w:rPr>
        <w:t>الوسائل</w:t>
      </w:r>
      <w:r w:rsidR="00992664" w:rsidRPr="00020424">
        <w:rPr>
          <w:rtl/>
        </w:rPr>
        <w:t xml:space="preserve"> ، ج 9 ، ص 382 ، ح 12291 ؛ </w:t>
      </w:r>
      <w:r w:rsidR="00992664" w:rsidRPr="00DE76B9">
        <w:rPr>
          <w:rStyle w:val="libFootnoteBoldChar"/>
          <w:rtl/>
        </w:rPr>
        <w:t>وفيه</w:t>
      </w:r>
      <w:r w:rsidR="00992664" w:rsidRPr="00020424">
        <w:rPr>
          <w:rtl/>
        </w:rPr>
        <w:t xml:space="preserve"> ، ص 407 ، ح 12347 ، إلى قوله : « أتلقّفها بيدي تلقّفاً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بث ، بخ ، بس ، بف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وفي « ظ ، ى ، بح ، بر ، جن » والمطبوع : « العزرمي</w:t>
      </w:r>
      <w:r w:rsidR="00992664">
        <w:rPr>
          <w:rtl/>
        </w:rPr>
        <w:t xml:space="preserve"> ».</w:t>
      </w:r>
    </w:p>
    <w:p w:rsidR="00992664" w:rsidRPr="00020424" w:rsidRDefault="00992664" w:rsidP="00992664">
      <w:pPr>
        <w:pStyle w:val="libFootnote0"/>
        <w:rPr>
          <w:rtl/>
          <w:lang w:bidi="fa-IR"/>
        </w:rPr>
      </w:pPr>
      <w:r w:rsidRPr="004F05E5">
        <w:rPr>
          <w:rtl/>
        </w:rPr>
        <w:t xml:space="preserve">والصواب ما أثبتناه كما تقدّم في </w:t>
      </w:r>
      <w:r w:rsidRPr="00DE76B9">
        <w:rPr>
          <w:rStyle w:val="libFootnoteBoldChar"/>
          <w:rtl/>
        </w:rPr>
        <w:t>الكافي</w:t>
      </w:r>
      <w:r w:rsidRPr="004F05E5">
        <w:rPr>
          <w:rtl/>
        </w:rPr>
        <w:t xml:space="preserve"> ، ذيل ح 4265.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بخ ، بر ، بك » وحاشية « جن » : « دم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قال الجوهري : « الغرامة : ما يلزم أداؤه ، وكذلك المَغْرَمُ والغُرْم</w:t>
      </w:r>
      <w:r w:rsidR="00992664">
        <w:rPr>
          <w:rtl/>
        </w:rPr>
        <w:t xml:space="preserve"> ».</w:t>
      </w:r>
      <w:r w:rsidR="00992664" w:rsidRPr="00020424">
        <w:rPr>
          <w:rtl/>
        </w:rPr>
        <w:t xml:space="preserve"> وقال ابن الأثير : « الغُرْم : أداء شي‌ء لازم » ، وقد غَرِمَ يَغْرَم غُرْماً</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1996 ؛ </w:t>
      </w:r>
      <w:r w:rsidR="00992664" w:rsidRPr="0012008A">
        <w:rPr>
          <w:rStyle w:val="libFootnoteBoldChar"/>
          <w:rtl/>
        </w:rPr>
        <w:t>النهاية</w:t>
      </w:r>
      <w:r w:rsidR="00992664" w:rsidRPr="00020424">
        <w:rPr>
          <w:rtl/>
        </w:rPr>
        <w:t xml:space="preserve"> ، ج 3 ، ص 363 « غرر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وحاشية « بف » : « مقطع</w:t>
      </w:r>
      <w:r w:rsidR="00992664">
        <w:rPr>
          <w:rtl/>
        </w:rPr>
        <w:t xml:space="preserve"> ».</w:t>
      </w:r>
      <w:r w:rsidR="00992664" w:rsidRPr="00020424">
        <w:rPr>
          <w:rtl/>
        </w:rPr>
        <w:t xml:space="preserve"> وفي « بر ، بف ، بك » </w:t>
      </w:r>
      <w:r w:rsidR="00992664" w:rsidRPr="00515444">
        <w:rPr>
          <w:rStyle w:val="libFootnoteBoldChar"/>
          <w:rtl/>
        </w:rPr>
        <w:t>والوافي</w:t>
      </w:r>
      <w:r w:rsidR="00992664" w:rsidRPr="00020424">
        <w:rPr>
          <w:rtl/>
        </w:rPr>
        <w:t xml:space="preserve"> : « مقصع</w:t>
      </w:r>
      <w:r w:rsidR="00992664">
        <w:rPr>
          <w:rtl/>
        </w:rPr>
        <w:t xml:space="preserve"> ».</w:t>
      </w:r>
      <w:r w:rsidR="00992664" w:rsidRPr="00020424">
        <w:rPr>
          <w:rtl/>
        </w:rPr>
        <w:t xml:space="preserve"> </w:t>
      </w:r>
      <w:r w:rsidR="00992664">
        <w:rPr>
          <w:rtl/>
        </w:rPr>
        <w:t>و «</w:t>
      </w:r>
      <w:r w:rsidR="00992664" w:rsidRPr="00020424">
        <w:rPr>
          <w:rtl/>
        </w:rPr>
        <w:t xml:space="preserve"> المفظع » : الشديد الشنيع جاوز المقدار. </w:t>
      </w:r>
      <w:r w:rsidR="00992664">
        <w:rPr>
          <w:rtl/>
        </w:rPr>
        <w:t>و «</w:t>
      </w:r>
      <w:r w:rsidR="00992664" w:rsidRPr="00020424">
        <w:rPr>
          <w:rtl/>
        </w:rPr>
        <w:t xml:space="preserve"> غُرْمٌ مُفْظِعٌ » ، أي حاجة لازمة من غَرامة مُثْقَلة. راجع : </w:t>
      </w:r>
      <w:r w:rsidR="00992664" w:rsidRPr="0012008A">
        <w:rPr>
          <w:rStyle w:val="libFootnoteBoldChar"/>
          <w:rtl/>
        </w:rPr>
        <w:t>الصحاح</w:t>
      </w:r>
      <w:r w:rsidR="00992664" w:rsidRPr="00020424">
        <w:rPr>
          <w:rtl/>
        </w:rPr>
        <w:t xml:space="preserve"> ، ج 3 ، ص 1259 ؛ </w:t>
      </w:r>
      <w:r w:rsidR="00992664" w:rsidRPr="0012008A">
        <w:rPr>
          <w:rStyle w:val="libFootnoteBoldChar"/>
          <w:rtl/>
        </w:rPr>
        <w:t>النهاية</w:t>
      </w:r>
      <w:r w:rsidR="00992664" w:rsidRPr="00020424">
        <w:rPr>
          <w:rtl/>
        </w:rPr>
        <w:t xml:space="preserve"> ، ج 3 ، ص 459 ( فظع ) ؛ وص 363 ( غرم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فقر مُدْقع » أي مُلْصِق بالدقعاء ، أو شديد يفضي بصاحبه إلى الدقْعاء. والدقعاء : التراب ؛ يقال : دَقِعَ </w:t>
      </w:r>
      <w:r w:rsidR="00A2280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فَأَعْطَيَاهُ </w:t>
      </w:r>
      <w:r w:rsidRPr="00A91B96">
        <w:rPr>
          <w:rStyle w:val="libFootnotenumChar"/>
          <w:rtl/>
        </w:rPr>
        <w:t>(1)</w:t>
      </w:r>
      <w:r w:rsidRPr="00020424">
        <w:rPr>
          <w:rtl/>
          <w:lang w:bidi="fa-IR"/>
        </w:rPr>
        <w:t xml:space="preserve"> ، وَقَدْ كَانَ الرَّجُلُ سَأَلَ </w:t>
      </w:r>
      <w:r w:rsidRPr="00A91B96">
        <w:rPr>
          <w:rStyle w:val="libFootnotenumChar"/>
          <w:rtl/>
        </w:rPr>
        <w:t>(2)</w:t>
      </w:r>
      <w:r w:rsidRPr="00020424">
        <w:rPr>
          <w:rtl/>
          <w:lang w:bidi="fa-IR"/>
        </w:rPr>
        <w:t xml:space="preserve"> عَبْدَ اللهِ بْنَ عُمَرَ وَعَبْدَ الرَّحْمنِ بْنَ أَبِي بَكْرٍ ، فَأَعْطَيَاهُ ، وَلَمْ يَسْأَلَاهُ عَنْ شَيْ‌ءٍ ، فَرَجَعَ إِلَيْهِمَا ، فَقَالَ لَهُمَا </w:t>
      </w:r>
      <w:r w:rsidRPr="00A91B96">
        <w:rPr>
          <w:rStyle w:val="libFootnotenumChar"/>
          <w:rtl/>
        </w:rPr>
        <w:t>(3)</w:t>
      </w:r>
      <w:r w:rsidRPr="00020424">
        <w:rPr>
          <w:rtl/>
          <w:lang w:bidi="fa-IR"/>
        </w:rPr>
        <w:t xml:space="preserve"> : مَا لَكُمَا لَمْ تَسْأَلَانِي عَمَّا سَأَلَنِي عَنْهُ الْحَسَنُ وَالْحُسَيْنُ </w:t>
      </w:r>
      <w:r w:rsidRPr="00A91B96">
        <w:rPr>
          <w:rStyle w:val="libFootnotenumChar"/>
          <w:rtl/>
        </w:rPr>
        <w:t>(4)</w:t>
      </w:r>
      <w:r w:rsidRPr="00020424">
        <w:rPr>
          <w:rtl/>
          <w:lang w:bidi="fa-IR"/>
        </w:rPr>
        <w:t xml:space="preserve"> </w:t>
      </w:r>
      <w:r w:rsidRPr="00005A81">
        <w:rPr>
          <w:rStyle w:val="libAlaemChar"/>
          <w:rtl/>
        </w:rPr>
        <w:t>عليهما‌السلام</w:t>
      </w:r>
      <w:r>
        <w:rPr>
          <w:rtl/>
          <w:lang w:bidi="fa-IR"/>
        </w:rPr>
        <w:t>؟</w:t>
      </w:r>
      <w:r w:rsidRPr="00020424">
        <w:rPr>
          <w:rtl/>
          <w:lang w:bidi="fa-IR"/>
        </w:rPr>
        <w:t xml:space="preserve"> وَأَخْبَرَهُمَا بِمَا قَالَا ، فَقَالَا : إِنَّهُمَا غُذِّيَا </w:t>
      </w:r>
      <w:r w:rsidRPr="00A91B96">
        <w:rPr>
          <w:rStyle w:val="libFootnotenumChar"/>
          <w:rtl/>
        </w:rPr>
        <w:t>(5)</w:t>
      </w:r>
      <w:r w:rsidRPr="00020424">
        <w:rPr>
          <w:rtl/>
          <w:lang w:bidi="fa-IR"/>
        </w:rPr>
        <w:t xml:space="preserve"> بِالْعِلْمِ غِذَاءً</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1A0820">
        <w:rPr>
          <w:rtl/>
        </w:rPr>
        <w:t>6186</w:t>
      </w:r>
      <w:r w:rsidRPr="001155DE">
        <w:rPr>
          <w:rStyle w:val="libBold2Char"/>
          <w:rtl/>
        </w:rPr>
        <w:t xml:space="preserve"> / 8.</w:t>
      </w:r>
      <w:r w:rsidRPr="00020424">
        <w:rPr>
          <w:rtl/>
          <w:lang w:bidi="fa-IR"/>
        </w:rPr>
        <w:t xml:space="preserve"> مُحَمَّدُ بْنُ يَحْيى ، عَنْ أَحْمَدَ بْنِ مُحَمَّدٍ ، عَنِ الْحَسَنِ </w:t>
      </w:r>
      <w:r w:rsidRPr="00A91B96">
        <w:rPr>
          <w:rStyle w:val="libFootnotenumChar"/>
          <w:rtl/>
        </w:rPr>
        <w:t>(7)</w:t>
      </w:r>
      <w:r w:rsidRPr="00020424">
        <w:rPr>
          <w:rtl/>
          <w:lang w:bidi="fa-IR"/>
        </w:rPr>
        <w:t xml:space="preserve"> بْنِ مَحْبُوبٍ ، عَمَّنْ حَدَّثَهُ ، عَنْ مِسْمَعٍ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لَاتَسْأَ لُوا أُمَّتِي فِي مَجَالِسِهَا </w:t>
      </w:r>
      <w:r w:rsidRPr="00A91B96">
        <w:rPr>
          <w:rStyle w:val="libFootnotenumChar"/>
          <w:rtl/>
        </w:rPr>
        <w:t>(8)</w:t>
      </w:r>
      <w:r w:rsidRPr="00020424">
        <w:rPr>
          <w:rtl/>
          <w:lang w:bidi="fa-IR"/>
        </w:rPr>
        <w:t xml:space="preserve"> ، فَتُبَخِّلُوهَا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1A0820">
        <w:rPr>
          <w:rtl/>
        </w:rPr>
        <w:t>6187</w:t>
      </w:r>
      <w:r w:rsidRPr="001155DE">
        <w:rPr>
          <w:rStyle w:val="libBold2Char"/>
          <w:rtl/>
        </w:rPr>
        <w:t xml:space="preserve"> / 9.</w:t>
      </w:r>
      <w:r w:rsidRPr="00020424">
        <w:rPr>
          <w:rtl/>
          <w:lang w:bidi="fa-IR"/>
        </w:rPr>
        <w:t xml:space="preserve"> الْحُسَيْنُ بْنُ مُحَمَّدٍ ، عَنْ مُعَلَّى بْنِ مُحَمَّدٍ ، عَنِ الْحَسَنِ بْنِ عَلِيٍّ </w:t>
      </w:r>
      <w:r w:rsidRPr="00A91B96">
        <w:rPr>
          <w:rStyle w:val="libFootnotenumChar"/>
          <w:rtl/>
        </w:rPr>
        <w:t>(11)</w:t>
      </w:r>
      <w:r w:rsidRPr="00020424">
        <w:rPr>
          <w:rtl/>
          <w:lang w:bidi="fa-IR"/>
        </w:rPr>
        <w:t xml:space="preserve"> الْوَشَّاءِ ، عَنْ أَبَانٍ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يا أَيُّهَا الَّذِينَ آمَنُوا أَنْفِقُوا مِنْ طَيِّباتِ ما كَسَبْتُمْ وَمِمّا أَخْرَجْنا لَكُمْ مِنَ الْأَرْضِ وَلا تَيَمَّمُوا الْخَبِيثَ مِنْهُ تُنْفِقُونَ </w:t>
      </w:r>
      <w:r w:rsidRPr="00005A81">
        <w:rPr>
          <w:rStyle w:val="libAlaemChar"/>
          <w:rtl/>
        </w:rPr>
        <w:t>)</w:t>
      </w:r>
      <w:r w:rsidRPr="00020424">
        <w:rPr>
          <w:rtl/>
          <w:lang w:bidi="fa-IR"/>
        </w:rPr>
        <w:t xml:space="preserve"> </w:t>
      </w:r>
      <w:r w:rsidRPr="00A91B96">
        <w:rPr>
          <w:rStyle w:val="libFootnotenumChar"/>
          <w:rtl/>
        </w:rPr>
        <w:t>(12)</w:t>
      </w:r>
      <w:r w:rsidRPr="00020424">
        <w:rPr>
          <w:rtl/>
          <w:lang w:bidi="fa-IR"/>
        </w:rPr>
        <w:t xml:space="preserve"> قَالَ : « كَانَ‌</w:t>
      </w:r>
    </w:p>
    <w:p w:rsidR="00992664" w:rsidRPr="00020424" w:rsidRDefault="00992664" w:rsidP="00992664">
      <w:pPr>
        <w:pStyle w:val="libLine"/>
        <w:rPr>
          <w:rtl/>
          <w:lang w:bidi="fa-IR"/>
        </w:rPr>
      </w:pPr>
      <w:r w:rsidRPr="00020424">
        <w:rPr>
          <w:rtl/>
          <w:lang w:bidi="fa-IR"/>
        </w:rPr>
        <w:t>__________________</w:t>
      </w:r>
    </w:p>
    <w:p w:rsidR="00992664" w:rsidRPr="00020424" w:rsidRDefault="00A22809" w:rsidP="00992664">
      <w:pPr>
        <w:pStyle w:val="libFootnote0"/>
        <w:rPr>
          <w:rtl/>
          <w:lang w:bidi="fa-IR"/>
        </w:rPr>
      </w:pPr>
      <w:r>
        <w:rPr>
          <w:rFonts w:hint="cs"/>
          <w:rtl/>
        </w:rPr>
        <w:t xml:space="preserve">= </w:t>
      </w:r>
      <w:r>
        <w:rPr>
          <w:rtl/>
        </w:rPr>
        <w:t>الرجل ، أي لصق بالتراب ذُل</w:t>
      </w:r>
      <w:r>
        <w:rPr>
          <w:rFonts w:hint="cs"/>
          <w:rtl/>
        </w:rPr>
        <w:t>ّ</w:t>
      </w:r>
      <w:r>
        <w:rPr>
          <w:rtl/>
        </w:rPr>
        <w:t>ا</w:t>
      </w:r>
      <w:r>
        <w:rPr>
          <w:rFonts w:hint="cs"/>
          <w:rtl/>
        </w:rPr>
        <w:t>ً</w:t>
      </w:r>
      <w:r w:rsidR="00992664" w:rsidRPr="00020424">
        <w:rPr>
          <w:rtl/>
        </w:rPr>
        <w:t xml:space="preserve">. وقيل : المدقع من الدَقَع ، وهو سوء احتمال الفقر. راجع : </w:t>
      </w:r>
      <w:r w:rsidR="00992664" w:rsidRPr="0012008A">
        <w:rPr>
          <w:rStyle w:val="libFootnoteBoldChar"/>
          <w:rtl/>
        </w:rPr>
        <w:t>الصحاح</w:t>
      </w:r>
      <w:r w:rsidR="00992664" w:rsidRPr="00020424">
        <w:rPr>
          <w:rtl/>
        </w:rPr>
        <w:t xml:space="preserve"> ، ج 3 ، ص 1208 ؛ </w:t>
      </w:r>
      <w:r w:rsidR="00992664" w:rsidRPr="0012008A">
        <w:rPr>
          <w:rStyle w:val="libFootnoteBoldChar"/>
          <w:rtl/>
        </w:rPr>
        <w:t>النهاية</w:t>
      </w:r>
      <w:r w:rsidR="00992664" w:rsidRPr="00020424">
        <w:rPr>
          <w:rtl/>
        </w:rPr>
        <w:t xml:space="preserve"> ، ج 2 ، ص 127 ( دقع )</w:t>
      </w:r>
      <w:r w:rsidR="00992664">
        <w:rPr>
          <w:rtl/>
        </w:rPr>
        <w:t>.</w:t>
      </w:r>
    </w:p>
    <w:tbl>
      <w:tblPr>
        <w:tblStyle w:val="TableGrid"/>
        <w:bidiVisual/>
        <w:tblW w:w="0" w:type="auto"/>
        <w:tblLook w:val="04A0" w:firstRow="1" w:lastRow="0" w:firstColumn="1" w:lastColumn="0" w:noHBand="0" w:noVBand="1"/>
      </w:tblPr>
      <w:tblGrid>
        <w:gridCol w:w="4006"/>
        <w:gridCol w:w="4006"/>
      </w:tblGrid>
      <w:tr w:rsidR="00F97E7F" w:rsidTr="00F97E7F">
        <w:tc>
          <w:tcPr>
            <w:tcW w:w="4006" w:type="dxa"/>
          </w:tcPr>
          <w:p w:rsidR="00F97E7F" w:rsidRDefault="00F97E7F" w:rsidP="00992664">
            <w:pPr>
              <w:pStyle w:val="libFootnote0"/>
              <w:rPr>
                <w:rtl/>
                <w:lang w:bidi="fa-IR"/>
              </w:rPr>
            </w:pPr>
            <w:r>
              <w:rPr>
                <w:rtl/>
              </w:rPr>
              <w:t xml:space="preserve">(1). </w:t>
            </w:r>
            <w:r w:rsidRPr="00020424">
              <w:rPr>
                <w:rtl/>
              </w:rPr>
              <w:t>في « بر ، بف ، بك » : « فأعطاه</w:t>
            </w:r>
            <w:r>
              <w:rPr>
                <w:rtl/>
              </w:rPr>
              <w:t xml:space="preserve"> ».</w:t>
            </w:r>
          </w:p>
        </w:tc>
        <w:tc>
          <w:tcPr>
            <w:tcW w:w="4006" w:type="dxa"/>
          </w:tcPr>
          <w:p w:rsidR="00F97E7F" w:rsidRDefault="00F97E7F" w:rsidP="00992664">
            <w:pPr>
              <w:pStyle w:val="libFootnote0"/>
              <w:rPr>
                <w:rtl/>
                <w:lang w:bidi="fa-IR"/>
              </w:rPr>
            </w:pPr>
            <w:r>
              <w:rPr>
                <w:rtl/>
              </w:rPr>
              <w:t xml:space="preserve">(2). </w:t>
            </w:r>
            <w:r w:rsidRPr="00020424">
              <w:rPr>
                <w:rtl/>
              </w:rPr>
              <w:t>في « ظ » : « يسأل</w:t>
            </w:r>
            <w:r>
              <w:rPr>
                <w:rtl/>
              </w:rPr>
              <w:t xml:space="preserve"> ».</w:t>
            </w:r>
          </w:p>
        </w:tc>
      </w:tr>
      <w:tr w:rsidR="00F97E7F" w:rsidTr="00F97E7F">
        <w:tc>
          <w:tcPr>
            <w:tcW w:w="4006" w:type="dxa"/>
          </w:tcPr>
          <w:p w:rsidR="00F97E7F" w:rsidRDefault="00F97E7F" w:rsidP="00992664">
            <w:pPr>
              <w:pStyle w:val="libFootnote0"/>
              <w:rPr>
                <w:rtl/>
                <w:lang w:bidi="fa-IR"/>
              </w:rPr>
            </w:pPr>
            <w:r>
              <w:rPr>
                <w:rtl/>
              </w:rPr>
              <w:t xml:space="preserve">(3). </w:t>
            </w:r>
            <w:r w:rsidRPr="00020424">
              <w:rPr>
                <w:rtl/>
              </w:rPr>
              <w:t xml:space="preserve">في « بر ، بك » </w:t>
            </w:r>
            <w:r w:rsidRPr="00515444">
              <w:rPr>
                <w:rStyle w:val="libFootnoteBoldChar"/>
                <w:rtl/>
              </w:rPr>
              <w:t>والوافي</w:t>
            </w:r>
            <w:r w:rsidRPr="00020424">
              <w:rPr>
                <w:rtl/>
              </w:rPr>
              <w:t xml:space="preserve"> :</w:t>
            </w:r>
            <w:r>
              <w:rPr>
                <w:rtl/>
              </w:rPr>
              <w:t xml:space="preserve"> - </w:t>
            </w:r>
            <w:r w:rsidRPr="00020424">
              <w:rPr>
                <w:rtl/>
              </w:rPr>
              <w:t>« لهما</w:t>
            </w:r>
            <w:r>
              <w:rPr>
                <w:rtl/>
              </w:rPr>
              <w:t xml:space="preserve"> ».</w:t>
            </w:r>
          </w:p>
        </w:tc>
        <w:tc>
          <w:tcPr>
            <w:tcW w:w="4006" w:type="dxa"/>
          </w:tcPr>
          <w:p w:rsidR="00F97E7F" w:rsidRDefault="00F97E7F" w:rsidP="00992664">
            <w:pPr>
              <w:pStyle w:val="libFootnote0"/>
              <w:rPr>
                <w:rtl/>
                <w:lang w:bidi="fa-IR"/>
              </w:rPr>
            </w:pPr>
            <w:r>
              <w:rPr>
                <w:rtl/>
              </w:rPr>
              <w:t xml:space="preserve">(4). </w:t>
            </w:r>
            <w:r w:rsidRPr="00020424">
              <w:rPr>
                <w:rtl/>
              </w:rPr>
              <w:t>في « بس » : « أو الحسين</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بك » : « عرابا</w:t>
      </w:r>
      <w:r w:rsidR="00992664">
        <w:rPr>
          <w:rtl/>
        </w:rPr>
        <w:t xml:space="preserve"> ».</w:t>
      </w:r>
    </w:p>
    <w:p w:rsidR="00992664" w:rsidRPr="00020424" w:rsidRDefault="00795177" w:rsidP="00FA65FC">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432 ، ح 9824 ؛ </w:t>
      </w:r>
      <w:r w:rsidR="00992664" w:rsidRPr="0012008A">
        <w:rPr>
          <w:rStyle w:val="libFootnoteBoldChar"/>
          <w:rtl/>
        </w:rPr>
        <w:t>الوسائل</w:t>
      </w:r>
      <w:r w:rsidR="00992664" w:rsidRPr="00020424">
        <w:rPr>
          <w:rtl/>
        </w:rPr>
        <w:t xml:space="preserve"> ، ج 9 ، ص 211 ، ح</w:t>
      </w:r>
      <w:r w:rsidR="00FA65FC">
        <w:rPr>
          <w:rtl/>
        </w:rPr>
        <w:t xml:space="preserve"> 11861 ، إلى قوله : « ففيك شي‌ءمن هذا قال: نعم فأعطياه»</w:t>
      </w:r>
      <w:r w:rsidR="00992664" w:rsidRPr="00020424">
        <w:rPr>
          <w:rtl/>
        </w:rPr>
        <w:t>؛</w:t>
      </w:r>
      <w:r w:rsidR="00992664" w:rsidRPr="0012008A">
        <w:rPr>
          <w:rStyle w:val="libFootnoteBoldChar"/>
          <w:rtl/>
        </w:rPr>
        <w:t>البحار</w:t>
      </w:r>
      <w:r w:rsidR="00FA65FC">
        <w:rPr>
          <w:rtl/>
        </w:rPr>
        <w:t xml:space="preserve"> ،</w:t>
      </w:r>
      <w:r w:rsidR="00992664" w:rsidRPr="00020424">
        <w:rPr>
          <w:rtl/>
        </w:rPr>
        <w:t>ج 43 ، ص 320 ، ح 4.</w:t>
      </w:r>
      <w:r>
        <w:rPr>
          <w:rtl/>
        </w:rPr>
        <w:t>(7).</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بك » :</w:t>
      </w:r>
      <w:r w:rsidR="00992664">
        <w:rPr>
          <w:rtl/>
        </w:rPr>
        <w:t xml:space="preserve"> </w:t>
      </w:r>
      <w:r w:rsidR="009B673F">
        <w:rPr>
          <w:rtl/>
        </w:rPr>
        <w:t>-</w:t>
      </w:r>
      <w:r w:rsidR="00992664">
        <w:rPr>
          <w:rtl/>
        </w:rPr>
        <w:t xml:space="preserve"> </w:t>
      </w:r>
      <w:r w:rsidR="00992664" w:rsidRPr="00020424">
        <w:rPr>
          <w:rtl/>
        </w:rPr>
        <w:t>« في مجالسها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وذلك لأنّه ربّما لا يتيسّر لهم الإعطاء في ذلك الوقت ، فينسبوا إلى البخل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433 ، ح 9825 ؛ </w:t>
      </w:r>
      <w:r w:rsidR="00992664" w:rsidRPr="0012008A">
        <w:rPr>
          <w:rStyle w:val="libFootnoteBoldChar"/>
          <w:rtl/>
        </w:rPr>
        <w:t>الوسائل</w:t>
      </w:r>
      <w:r w:rsidR="00992664" w:rsidRPr="00020424">
        <w:rPr>
          <w:rtl/>
        </w:rPr>
        <w:t xml:space="preserve"> ، ج 9 ، ص 444 ، ح 12456.</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بر ، بخ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البقرة </w:t>
      </w:r>
      <w:r w:rsidR="00FA65FC">
        <w:rPr>
          <w:rtl/>
        </w:rPr>
        <w:t>(2)</w:t>
      </w:r>
      <w:r w:rsidR="0014403D">
        <w:rPr>
          <w:rtl/>
        </w:rPr>
        <w:t xml:space="preserve"> </w:t>
      </w:r>
      <w:r w:rsidR="00992664" w:rsidRPr="00020424">
        <w:rPr>
          <w:rtl/>
        </w:rPr>
        <w:t>: 267.</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رَسُولُ اللهِ </w:t>
      </w:r>
      <w:r w:rsidR="00B42914" w:rsidRPr="00B42914">
        <w:rPr>
          <w:rStyle w:val="libAlaemChar"/>
          <w:rtl/>
        </w:rPr>
        <w:t>صلى‌الله‌عليه‌وآله‌</w:t>
      </w:r>
      <w:r w:rsidRPr="00020424">
        <w:rPr>
          <w:rtl/>
          <w:lang w:bidi="fa-IR"/>
        </w:rPr>
        <w:t xml:space="preserve"> إِذَا أَمَرَ </w:t>
      </w:r>
      <w:r w:rsidRPr="00A91B96">
        <w:rPr>
          <w:rStyle w:val="libFootnotenumChar"/>
          <w:rtl/>
        </w:rPr>
        <w:t>(1)</w:t>
      </w:r>
      <w:r w:rsidRPr="00020424">
        <w:rPr>
          <w:rtl/>
          <w:lang w:bidi="fa-IR"/>
        </w:rPr>
        <w:t xml:space="preserve"> بِالنَّخْلِ أَنْ يُزَكّى ، يَجِي‌ءُ قَوْمٌ بِأَلْوَانٍ </w:t>
      </w:r>
      <w:r w:rsidRPr="00A91B96">
        <w:rPr>
          <w:rStyle w:val="libFootnotenumChar"/>
          <w:rtl/>
        </w:rPr>
        <w:t>(2)</w:t>
      </w:r>
      <w:r w:rsidRPr="00020424">
        <w:rPr>
          <w:rtl/>
          <w:lang w:bidi="fa-IR"/>
        </w:rPr>
        <w:t xml:space="preserve"> مِنْ الْتَّمْرِ </w:t>
      </w:r>
      <w:r w:rsidRPr="00A91B96">
        <w:rPr>
          <w:rStyle w:val="libFootnotenumChar"/>
          <w:rtl/>
        </w:rPr>
        <w:t>(3)</w:t>
      </w:r>
      <w:r w:rsidRPr="00020424">
        <w:rPr>
          <w:rtl/>
          <w:lang w:bidi="fa-IR"/>
        </w:rPr>
        <w:t xml:space="preserve"> وَهُوَ </w:t>
      </w:r>
      <w:r w:rsidRPr="00A91B96">
        <w:rPr>
          <w:rStyle w:val="libFootnotenumChar"/>
          <w:rtl/>
        </w:rPr>
        <w:t>(4)</w:t>
      </w:r>
      <w:r w:rsidRPr="00020424">
        <w:rPr>
          <w:rtl/>
          <w:lang w:bidi="fa-IR"/>
        </w:rPr>
        <w:t xml:space="preserve"> مِنْ أَرْدَى التَّمْرِ يُؤَدُّونَهُ مِنْ زَكَاتِهِمْ تَمْراً </w:t>
      </w:r>
      <w:r w:rsidRPr="00A91B96">
        <w:rPr>
          <w:rStyle w:val="libFootnotenumChar"/>
          <w:rtl/>
        </w:rPr>
        <w:t>(5)</w:t>
      </w:r>
      <w:r w:rsidRPr="00020424">
        <w:rPr>
          <w:rtl/>
          <w:lang w:bidi="fa-IR"/>
        </w:rPr>
        <w:t xml:space="preserve"> يُقَالُ لَهُ </w:t>
      </w:r>
      <w:r w:rsidRPr="00A91B96">
        <w:rPr>
          <w:rStyle w:val="libFootnotenumChar"/>
          <w:rtl/>
        </w:rPr>
        <w:t>(6)</w:t>
      </w:r>
      <w:r w:rsidRPr="00020424">
        <w:rPr>
          <w:rtl/>
          <w:lang w:bidi="fa-IR"/>
        </w:rPr>
        <w:t xml:space="preserve"> : الْجُعْرُورُ </w:t>
      </w:r>
      <w:r w:rsidRPr="00A91B96">
        <w:rPr>
          <w:rStyle w:val="libFootnotenumChar"/>
          <w:rtl/>
        </w:rPr>
        <w:t>(7)</w:t>
      </w:r>
      <w:r w:rsidRPr="00020424">
        <w:rPr>
          <w:rtl/>
          <w:lang w:bidi="fa-IR"/>
        </w:rPr>
        <w:t xml:space="preserve"> وَالْمِعى فَأْرَةُ </w:t>
      </w:r>
      <w:r w:rsidRPr="00A91B96">
        <w:rPr>
          <w:rStyle w:val="libFootnotenumChar"/>
          <w:rtl/>
        </w:rPr>
        <w:t>(8)</w:t>
      </w:r>
      <w:r w:rsidRPr="00020424">
        <w:rPr>
          <w:rtl/>
          <w:lang w:bidi="fa-IR"/>
        </w:rPr>
        <w:t xml:space="preserve"> ، قَلِيلَةَ اللِّحَاءِ </w:t>
      </w:r>
      <w:r w:rsidRPr="00A91B96">
        <w:rPr>
          <w:rStyle w:val="libFootnotenumChar"/>
          <w:rtl/>
        </w:rPr>
        <w:t>(9)</w:t>
      </w:r>
      <w:r w:rsidRPr="00020424">
        <w:rPr>
          <w:rtl/>
          <w:lang w:bidi="fa-IR"/>
        </w:rPr>
        <w:t xml:space="preserve"> ، عَظِيمَةَ النَّوى ، وَكَانَ </w:t>
      </w:r>
      <w:r w:rsidRPr="00A91B96">
        <w:rPr>
          <w:rStyle w:val="libFootnotenumChar"/>
          <w:rtl/>
        </w:rPr>
        <w:t>(10)</w:t>
      </w:r>
      <w:r w:rsidRPr="00020424">
        <w:rPr>
          <w:rtl/>
          <w:lang w:bidi="fa-IR"/>
        </w:rPr>
        <w:t xml:space="preserve"> بَعْضُهُمْ يَجِي‌ءُ بِهَا عَنِ التَّمْرِ الْجَيِّدِ </w:t>
      </w:r>
      <w:r w:rsidRPr="00A91B96">
        <w:rPr>
          <w:rStyle w:val="libFootnotenumChar"/>
          <w:rtl/>
        </w:rPr>
        <w:t>(11)</w:t>
      </w:r>
      <w:r w:rsidRPr="00020424">
        <w:rPr>
          <w:rtl/>
          <w:lang w:bidi="fa-IR"/>
        </w:rPr>
        <w:t xml:space="preserve"> ، فَقَالَ رَسُولُ اللهِ </w:t>
      </w:r>
      <w:r w:rsidR="00B42914" w:rsidRPr="00B42914">
        <w:rPr>
          <w:rStyle w:val="libAlaemChar"/>
          <w:rtl/>
        </w:rPr>
        <w:t>صلى‌الله‌عليه‌وآله‌</w:t>
      </w:r>
      <w:r w:rsidRPr="00020424">
        <w:rPr>
          <w:rtl/>
          <w:lang w:bidi="fa-IR"/>
        </w:rPr>
        <w:t xml:space="preserve"> : لَا تَخْرُصُوا </w:t>
      </w:r>
      <w:r w:rsidRPr="00A91B96">
        <w:rPr>
          <w:rStyle w:val="libFootnotenumChar"/>
          <w:rtl/>
        </w:rPr>
        <w:t>(12)</w:t>
      </w:r>
      <w:r w:rsidRPr="00020424">
        <w:rPr>
          <w:rtl/>
          <w:lang w:bidi="fa-IR"/>
        </w:rPr>
        <w:t xml:space="preserve"> هَاتَيْنِ التَّمْرَتَيْنِ ، وَلَاتَجِيئُوا </w:t>
      </w:r>
      <w:r w:rsidRPr="00A91B96">
        <w:rPr>
          <w:rStyle w:val="libFootnotenumChar"/>
          <w:rtl/>
        </w:rPr>
        <w:t>(13)</w:t>
      </w:r>
      <w:r w:rsidRPr="00020424">
        <w:rPr>
          <w:rtl/>
          <w:lang w:bidi="fa-IR"/>
        </w:rPr>
        <w:t xml:space="preserve"> مِنْهَا </w:t>
      </w:r>
      <w:r w:rsidRPr="00A91B96">
        <w:rPr>
          <w:rStyle w:val="libFootnotenumChar"/>
          <w:rtl/>
        </w:rPr>
        <w:t>(14)</w:t>
      </w:r>
      <w:r w:rsidRPr="00020424">
        <w:rPr>
          <w:rtl/>
          <w:lang w:bidi="fa-IR"/>
        </w:rPr>
        <w:t xml:space="preserve"> بِشَيْ‌ءٍ ، وَفِي ذلِكَ نَزَلَ : </w:t>
      </w:r>
      <w:r w:rsidRPr="00005A81">
        <w:rPr>
          <w:rStyle w:val="libAlaemChar"/>
          <w:rtl/>
        </w:rPr>
        <w:t>(</w:t>
      </w:r>
      <w:r w:rsidRPr="004E5AB4">
        <w:rPr>
          <w:rStyle w:val="libAieChar"/>
          <w:rtl/>
        </w:rPr>
        <w:t xml:space="preserve"> وَل</w:t>
      </w:r>
      <w:r w:rsidR="003E13A0">
        <w:rPr>
          <w:rStyle w:val="libAieChar"/>
          <w:rFonts w:hint="cs"/>
          <w:rtl/>
        </w:rPr>
        <w:t>َ</w:t>
      </w:r>
      <w:r w:rsidRPr="004E5AB4">
        <w:rPr>
          <w:rStyle w:val="libAieChar"/>
          <w:rtl/>
        </w:rPr>
        <w:t>ا تَيَمَّمُوا الْخَبِيثَ مِنْهُ تُنْفِق</w:t>
      </w:r>
      <w:r w:rsidR="003E13A0">
        <w:rPr>
          <w:rStyle w:val="libAieChar"/>
          <w:rtl/>
        </w:rPr>
        <w:t>ُونَ وَلَسْتُمْ بِآخِذِيهِ إِل</w:t>
      </w:r>
      <w:r w:rsidR="003E13A0">
        <w:rPr>
          <w:rStyle w:val="libAieChar"/>
          <w:rFonts w:hint="cs"/>
          <w:rtl/>
        </w:rPr>
        <w:t>ّ</w:t>
      </w:r>
      <w:r w:rsidR="003E13A0">
        <w:rPr>
          <w:rStyle w:val="libAieChar"/>
          <w:rtl/>
        </w:rPr>
        <w:t>ا</w:t>
      </w:r>
      <w:r w:rsidRPr="004E5AB4">
        <w:rPr>
          <w:rStyle w:val="libAieChar"/>
          <w:rtl/>
        </w:rPr>
        <w:t xml:space="preserve"> أَنْ تُغْمِضُوا فِيهِ </w:t>
      </w:r>
      <w:r w:rsidRPr="00005A81">
        <w:rPr>
          <w:rStyle w:val="libAlaemChar"/>
          <w:rtl/>
        </w:rPr>
        <w:t>)</w:t>
      </w:r>
      <w:r w:rsidRPr="00020424">
        <w:rPr>
          <w:rtl/>
          <w:lang w:bidi="fa-IR"/>
        </w:rPr>
        <w:t xml:space="preserve"> </w:t>
      </w:r>
      <w:r w:rsidRPr="00A91B96">
        <w:rPr>
          <w:rStyle w:val="libFootnotenumChar"/>
          <w:rtl/>
        </w:rPr>
        <w:t>(15)</w:t>
      </w:r>
      <w:r w:rsidRPr="00020424">
        <w:rPr>
          <w:rtl/>
          <w:lang w:bidi="fa-IR"/>
        </w:rPr>
        <w:t xml:space="preserve"> وَالْإِغْمَاضُ أَنْ تَأْخُذَ </w:t>
      </w:r>
      <w:r w:rsidRPr="00A91B96">
        <w:rPr>
          <w:rStyle w:val="libFootnotenumChar"/>
          <w:rtl/>
        </w:rPr>
        <w:t>(16)</w:t>
      </w:r>
      <w:r w:rsidRPr="00020424">
        <w:rPr>
          <w:rtl/>
          <w:lang w:bidi="fa-IR"/>
        </w:rPr>
        <w:t xml:space="preserve"> هَاتَيْنِ‌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بك » : « أمرنا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الألوان : جمع اللَّوْن ، وهو نوع من النخل. وقيل : هو الدَّقَل ، وهو ضرب من النخل. وقيل : النخل كلّه ما خلا البَرْنِيّ والعَجْوة ، ويسمّيه أهل المدينة الألوان ، واحدته : لينة ، وأصله لِوْنة ، فقلبت الواو ياء لكسرة اللام. راجع : </w:t>
      </w:r>
      <w:r w:rsidR="00992664" w:rsidRPr="0012008A">
        <w:rPr>
          <w:rStyle w:val="libFootnoteBoldChar"/>
          <w:rtl/>
        </w:rPr>
        <w:t>الصحاح</w:t>
      </w:r>
      <w:r w:rsidR="00992664" w:rsidRPr="00020424">
        <w:rPr>
          <w:rtl/>
        </w:rPr>
        <w:t xml:space="preserve"> ، ج 6 ، ص 2197 ؛ </w:t>
      </w:r>
      <w:r w:rsidR="00992664" w:rsidRPr="0012008A">
        <w:rPr>
          <w:rStyle w:val="libFootnoteBoldChar"/>
          <w:rtl/>
        </w:rPr>
        <w:t>النهاية</w:t>
      </w:r>
      <w:r w:rsidR="00992664" w:rsidRPr="00020424">
        <w:rPr>
          <w:rtl/>
        </w:rPr>
        <w:t xml:space="preserve"> ، ج 4 ، ص 278 ( لون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معظم النسخ التي قوبلت وحاشية « بح » </w:t>
      </w:r>
      <w:r w:rsidR="00992664" w:rsidRPr="00EB1FD9">
        <w:rPr>
          <w:rStyle w:val="libFootnoteBoldChar"/>
          <w:rtl/>
        </w:rPr>
        <w:t>والوسائل</w:t>
      </w:r>
      <w:r w:rsidR="00992664" w:rsidRPr="00020424">
        <w:rPr>
          <w:rtl/>
        </w:rPr>
        <w:t xml:space="preserve"> وتفسير العيّاشي. وفي المطبوع : « من تمر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بك » وتفسير العيّاشي : « هو » بدون الواو.</w:t>
      </w:r>
    </w:p>
    <w:tbl>
      <w:tblPr>
        <w:tblStyle w:val="TableGrid"/>
        <w:bidiVisual/>
        <w:tblW w:w="0" w:type="auto"/>
        <w:tblLook w:val="04A0" w:firstRow="1" w:lastRow="0" w:firstColumn="1" w:lastColumn="0" w:noHBand="0" w:noVBand="1"/>
      </w:tblPr>
      <w:tblGrid>
        <w:gridCol w:w="4006"/>
        <w:gridCol w:w="4006"/>
      </w:tblGrid>
      <w:tr w:rsidR="003E13A0" w:rsidTr="003E13A0">
        <w:tc>
          <w:tcPr>
            <w:tcW w:w="4006" w:type="dxa"/>
          </w:tcPr>
          <w:p w:rsidR="003E13A0" w:rsidRDefault="003E13A0" w:rsidP="00992664">
            <w:pPr>
              <w:pStyle w:val="libFootnote0"/>
              <w:rPr>
                <w:rtl/>
              </w:rPr>
            </w:pPr>
            <w:r>
              <w:rPr>
                <w:rtl/>
              </w:rPr>
              <w:t xml:space="preserve">(5). </w:t>
            </w:r>
            <w:r w:rsidRPr="00020424">
              <w:rPr>
                <w:rtl/>
              </w:rPr>
              <w:t>في « بر ، بف » : « ثمرة</w:t>
            </w:r>
            <w:r>
              <w:rPr>
                <w:rtl/>
              </w:rPr>
              <w:t>». وفي« بك »:</w:t>
            </w:r>
            <w:r w:rsidRPr="00020424">
              <w:rPr>
                <w:rtl/>
              </w:rPr>
              <w:t>« تمرة</w:t>
            </w:r>
            <w:r>
              <w:rPr>
                <w:rtl/>
              </w:rPr>
              <w:t xml:space="preserve"> ».</w:t>
            </w:r>
          </w:p>
        </w:tc>
        <w:tc>
          <w:tcPr>
            <w:tcW w:w="4006" w:type="dxa"/>
          </w:tcPr>
          <w:p w:rsidR="003E13A0" w:rsidRDefault="003E13A0" w:rsidP="00992664">
            <w:pPr>
              <w:pStyle w:val="libFootnote0"/>
              <w:rPr>
                <w:rtl/>
              </w:rPr>
            </w:pPr>
            <w:r>
              <w:rPr>
                <w:rtl/>
              </w:rPr>
              <w:t xml:space="preserve">(6). </w:t>
            </w:r>
            <w:r w:rsidRPr="00020424">
              <w:rPr>
                <w:rtl/>
              </w:rPr>
              <w:t xml:space="preserve">في « بك » </w:t>
            </w:r>
            <w:r w:rsidRPr="00515444">
              <w:rPr>
                <w:rStyle w:val="libFootnoteBoldChar"/>
                <w:rtl/>
              </w:rPr>
              <w:t>والوافي</w:t>
            </w:r>
            <w:r w:rsidRPr="00020424">
              <w:rPr>
                <w:rtl/>
              </w:rPr>
              <w:t xml:space="preserve"> : « لها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بك » : « جعرون</w:t>
      </w:r>
      <w:r w:rsidR="00992664">
        <w:rPr>
          <w:rtl/>
        </w:rPr>
        <w:t xml:space="preserve"> ».</w:t>
      </w:r>
      <w:r w:rsidR="00992664" w:rsidRPr="00020424">
        <w:rPr>
          <w:rtl/>
        </w:rPr>
        <w:t xml:space="preserve"> </w:t>
      </w:r>
      <w:r w:rsidR="00992664">
        <w:rPr>
          <w:rtl/>
        </w:rPr>
        <w:t>و «</w:t>
      </w:r>
      <w:r w:rsidR="00992664" w:rsidRPr="00020424">
        <w:rPr>
          <w:rtl/>
        </w:rPr>
        <w:t xml:space="preserve"> الجعرور » في اللغة : ضرب من الدَّقَل ، وهو أردء التمر. وقيل : الجعرور : ضرب من الدقل يحمل رطباً ضعاراً لاخير فيه. وقيل : الجعرور : تمر ردي‌ء. راجع : </w:t>
      </w:r>
      <w:r w:rsidR="00992664" w:rsidRPr="0012008A">
        <w:rPr>
          <w:rStyle w:val="libFootnoteBoldChar"/>
          <w:rtl/>
        </w:rPr>
        <w:t>الصحاح</w:t>
      </w:r>
      <w:r w:rsidR="00992664" w:rsidRPr="00020424">
        <w:rPr>
          <w:rtl/>
        </w:rPr>
        <w:t xml:space="preserve"> ، ج 2 ، ص 615 ؛ </w:t>
      </w:r>
      <w:r w:rsidR="00992664" w:rsidRPr="0012008A">
        <w:rPr>
          <w:rStyle w:val="libFootnoteBoldChar"/>
          <w:rtl/>
        </w:rPr>
        <w:t>النهاية</w:t>
      </w:r>
      <w:r w:rsidR="00992664" w:rsidRPr="00020424">
        <w:rPr>
          <w:rtl/>
        </w:rPr>
        <w:t xml:space="preserve"> ، ج 1 ، ص 276 ( جعر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A722B1">
        <w:rPr>
          <w:rStyle w:val="libFootnoteBoldChar"/>
          <w:rtl/>
        </w:rPr>
        <w:t>لسان العرب</w:t>
      </w:r>
      <w:r w:rsidR="00992664" w:rsidRPr="00020424">
        <w:rPr>
          <w:rtl/>
        </w:rPr>
        <w:t xml:space="preserve"> : « مِعَي الفأرة : ضرب من ردي‌ء تمر الحجاز » ، وفي </w:t>
      </w:r>
      <w:r w:rsidR="00992664" w:rsidRPr="00DE76B9">
        <w:rPr>
          <w:rStyle w:val="libFootnoteBoldChar"/>
          <w:rtl/>
        </w:rPr>
        <w:t>القاموس</w:t>
      </w:r>
      <w:r w:rsidR="00992664" w:rsidRPr="00020424">
        <w:rPr>
          <w:rtl/>
        </w:rPr>
        <w:t xml:space="preserve"> : « مِعَى الفار : تمر ردي‌ء</w:t>
      </w:r>
      <w:r w:rsidR="00992664">
        <w:rPr>
          <w:rtl/>
        </w:rPr>
        <w:t xml:space="preserve"> ».</w:t>
      </w:r>
      <w:r w:rsidR="00992664" w:rsidRPr="00020424">
        <w:rPr>
          <w:rtl/>
        </w:rPr>
        <w:t xml:space="preserve"> </w:t>
      </w:r>
      <w:r w:rsidR="00992664" w:rsidRPr="00A722B1">
        <w:rPr>
          <w:rStyle w:val="libFootnoteBoldChar"/>
          <w:rtl/>
        </w:rPr>
        <w:t>لسان العرب</w:t>
      </w:r>
      <w:r w:rsidR="00992664" w:rsidRPr="00020424">
        <w:rPr>
          <w:rtl/>
        </w:rPr>
        <w:t xml:space="preserve"> ، ج 15 ، ص 288 ؛ </w:t>
      </w:r>
      <w:r w:rsidR="00992664" w:rsidRPr="00A722B1">
        <w:rPr>
          <w:rStyle w:val="libFootnoteBoldChar"/>
          <w:rtl/>
        </w:rPr>
        <w:t>القاموس المحيط</w:t>
      </w:r>
      <w:r w:rsidR="00992664" w:rsidRPr="00020424">
        <w:rPr>
          <w:rtl/>
        </w:rPr>
        <w:t xml:space="preserve"> ، ج 2 ، ص 1749 ( معى )</w:t>
      </w:r>
      <w:r w:rsidR="00992664">
        <w:rPr>
          <w:rtl/>
        </w:rPr>
        <w:t>.</w:t>
      </w:r>
    </w:p>
    <w:p w:rsidR="00992664" w:rsidRPr="00020424" w:rsidRDefault="00795177" w:rsidP="003E13A0">
      <w:pPr>
        <w:pStyle w:val="libFootnote0"/>
        <w:rPr>
          <w:rtl/>
          <w:lang w:bidi="fa-IR"/>
        </w:rPr>
      </w:pPr>
      <w:r>
        <w:rPr>
          <w:rtl/>
        </w:rPr>
        <w:t>(9).</w:t>
      </w:r>
      <w:r w:rsidR="0014403D">
        <w:rPr>
          <w:rtl/>
        </w:rPr>
        <w:t xml:space="preserve"> </w:t>
      </w:r>
      <w:r w:rsidR="00992664" w:rsidRPr="00020424">
        <w:rPr>
          <w:rtl/>
        </w:rPr>
        <w:t>في « بث ، بخ » : « اللحى</w:t>
      </w:r>
      <w:r w:rsidR="00992664">
        <w:rPr>
          <w:rtl/>
        </w:rPr>
        <w:t xml:space="preserve"> ».</w:t>
      </w:r>
      <w:r w:rsidR="00992664" w:rsidRPr="00020424">
        <w:rPr>
          <w:rtl/>
        </w:rPr>
        <w:t xml:space="preserve"> </w:t>
      </w:r>
      <w:r w:rsidR="00992664">
        <w:rPr>
          <w:rtl/>
        </w:rPr>
        <w:t>و «</w:t>
      </w:r>
      <w:r w:rsidR="00992664" w:rsidRPr="00020424">
        <w:rPr>
          <w:rtl/>
        </w:rPr>
        <w:t xml:space="preserve"> اللحاء » : قشر كلّ شي‌ء. وقيل : « اللحاء » : قشر الشجر ، استعير لقشر الرطب ؛ أعني ما على النواة. راجع : </w:t>
      </w:r>
      <w:r w:rsidR="00992664" w:rsidRPr="0012008A">
        <w:rPr>
          <w:rStyle w:val="libFootnoteBoldChar"/>
          <w:rtl/>
        </w:rPr>
        <w:t>الصحاح</w:t>
      </w:r>
      <w:r w:rsidR="00992664" w:rsidRPr="00020424">
        <w:rPr>
          <w:rtl/>
        </w:rPr>
        <w:t xml:space="preserve"> ، ج 6 ، ص 2480 ؛ </w:t>
      </w:r>
      <w:r w:rsidR="00992664" w:rsidRPr="00A722B1">
        <w:rPr>
          <w:rStyle w:val="libFootnoteBoldChar"/>
          <w:rtl/>
        </w:rPr>
        <w:t>لسان العرب</w:t>
      </w:r>
      <w:r w:rsidR="00992664" w:rsidRPr="00020424">
        <w:rPr>
          <w:rtl/>
        </w:rPr>
        <w:t xml:space="preserve"> ، ج 15 ، ص 242 ( لحا ) ؛ </w:t>
      </w:r>
      <w:r w:rsidR="00992664" w:rsidRPr="0012008A">
        <w:rPr>
          <w:rStyle w:val="libFootnoteBoldChar"/>
          <w:rtl/>
        </w:rPr>
        <w:t>الوافي</w:t>
      </w:r>
      <w:r w:rsidR="00992664" w:rsidRPr="00020424">
        <w:rPr>
          <w:rtl/>
        </w:rPr>
        <w:t xml:space="preserve"> ، ج 10 ، ص 420.</w:t>
      </w:r>
      <w:r w:rsidR="003E13A0">
        <w:rPr>
          <w:rFonts w:hint="cs"/>
          <w:rtl/>
        </w:rPr>
        <w:t xml:space="preserve">                     </w:t>
      </w:r>
      <w:r>
        <w:rPr>
          <w:rtl/>
        </w:rPr>
        <w:t>(10).</w:t>
      </w:r>
      <w:r w:rsidR="0014403D">
        <w:rPr>
          <w:rtl/>
        </w:rPr>
        <w:t xml:space="preserve"> </w:t>
      </w:r>
      <w:r w:rsidR="00992664" w:rsidRPr="00020424">
        <w:rPr>
          <w:rtl/>
        </w:rPr>
        <w:t>في « بك » : « كان » بدون الواو.</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كان تمره جيّداً وما يزكّي منه رديّاً</w:t>
      </w:r>
      <w:r w:rsidR="00992664">
        <w:rPr>
          <w:rtl/>
        </w:rPr>
        <w:t xml:space="preserve"> ».</w:t>
      </w:r>
    </w:p>
    <w:p w:rsidR="00992664" w:rsidRPr="00020424" w:rsidRDefault="00795177" w:rsidP="003E13A0">
      <w:pPr>
        <w:pStyle w:val="libFootnote0"/>
        <w:rPr>
          <w:rtl/>
          <w:lang w:bidi="fa-IR"/>
        </w:rPr>
      </w:pPr>
      <w:r>
        <w:rPr>
          <w:rtl/>
        </w:rPr>
        <w:t>(12).</w:t>
      </w:r>
      <w:r w:rsidR="0014403D">
        <w:rPr>
          <w:rtl/>
        </w:rPr>
        <w:t xml:space="preserve"> </w:t>
      </w:r>
      <w:r w:rsidR="00992664" w:rsidRPr="00020424">
        <w:rPr>
          <w:rtl/>
        </w:rPr>
        <w:t>في « ى ، بح ، بخ ، بك » : « لا تحرصوا</w:t>
      </w:r>
      <w:r w:rsidR="00992664">
        <w:rPr>
          <w:rtl/>
        </w:rPr>
        <w:t xml:space="preserve"> ».</w:t>
      </w:r>
      <w:r w:rsidR="00992664" w:rsidRPr="00020424">
        <w:rPr>
          <w:rtl/>
        </w:rPr>
        <w:t xml:space="preserve"> والخَرْص : حَرْزُ ما على النخل من الرطب تمراً ومن العنب زبيباً ، فهومن الخَرْص بمعنى الظنّ ؛ لأنّ الحَرْز إنّما هو تقدير بظنّ. والاسم : الخِرْص ، بالكسر. راجع : </w:t>
      </w:r>
      <w:r w:rsidR="00992664" w:rsidRPr="0012008A">
        <w:rPr>
          <w:rStyle w:val="libFootnoteBoldChar"/>
          <w:rtl/>
        </w:rPr>
        <w:t>الصحاح</w:t>
      </w:r>
      <w:r w:rsidR="00992664" w:rsidRPr="00020424">
        <w:rPr>
          <w:rtl/>
        </w:rPr>
        <w:t xml:space="preserve"> ، ج 3 ، ص 1035 ؛ </w:t>
      </w:r>
      <w:r w:rsidR="00992664" w:rsidRPr="0012008A">
        <w:rPr>
          <w:rStyle w:val="libFootnoteBoldChar"/>
          <w:rtl/>
        </w:rPr>
        <w:t>النهاية</w:t>
      </w:r>
      <w:r w:rsidR="00992664" w:rsidRPr="00020424">
        <w:rPr>
          <w:rtl/>
        </w:rPr>
        <w:t xml:space="preserve"> ، ج 12 ، ص 22 ( خرص )</w:t>
      </w:r>
      <w:r w:rsidR="00992664">
        <w:rPr>
          <w:rtl/>
        </w:rPr>
        <w:t>.</w:t>
      </w:r>
      <w:r w:rsidR="003E13A0">
        <w:rPr>
          <w:rFonts w:hint="cs"/>
          <w:rtl/>
        </w:rPr>
        <w:t xml:space="preserve">     </w:t>
      </w:r>
      <w:r>
        <w:rPr>
          <w:rtl/>
        </w:rPr>
        <w:t>(13).</w:t>
      </w:r>
      <w:r w:rsidR="0014403D">
        <w:rPr>
          <w:rtl/>
        </w:rPr>
        <w:t xml:space="preserve"> </w:t>
      </w:r>
      <w:r w:rsidR="00992664" w:rsidRPr="00020424">
        <w:rPr>
          <w:rtl/>
        </w:rPr>
        <w:t>في « بث » : « ولا تحسبوا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ظ ، ى » : « من هاتين » بدل « منها</w:t>
      </w:r>
      <w:r w:rsidR="00992664">
        <w:rPr>
          <w:rtl/>
        </w:rPr>
        <w:t xml:space="preserve"> ».</w:t>
      </w:r>
      <w:r w:rsidR="00992664" w:rsidRPr="00020424">
        <w:rPr>
          <w:rtl/>
        </w:rPr>
        <w:t xml:space="preserve"> وفي حاشية « جن » </w:t>
      </w:r>
      <w:r w:rsidR="00992664" w:rsidRPr="00EB1FD9">
        <w:rPr>
          <w:rStyle w:val="libFootnoteBoldChar"/>
          <w:rtl/>
        </w:rPr>
        <w:t>والوسائل</w:t>
      </w:r>
      <w:r w:rsidR="00992664" w:rsidRPr="00020424">
        <w:rPr>
          <w:rtl/>
        </w:rPr>
        <w:t xml:space="preserve"> : « منهما</w:t>
      </w:r>
      <w:r w:rsidR="00992664">
        <w:rPr>
          <w:rtl/>
        </w:rPr>
        <w:t xml:space="preserve"> ».</w:t>
      </w:r>
      <w:r w:rsidR="00992664" w:rsidRPr="00020424">
        <w:rPr>
          <w:rtl/>
        </w:rPr>
        <w:t xml:space="preserve"> وفي حاشية « بث » : « فيها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البقرة </w:t>
      </w:r>
      <w:r w:rsidR="003E13A0">
        <w:rPr>
          <w:rtl/>
        </w:rPr>
        <w:t>(2)</w:t>
      </w:r>
      <w:r w:rsidR="0014403D">
        <w:rPr>
          <w:rtl/>
        </w:rPr>
        <w:t xml:space="preserve"> </w:t>
      </w:r>
      <w:r w:rsidR="00992664" w:rsidRPr="00020424">
        <w:rPr>
          <w:rtl/>
        </w:rPr>
        <w:t>: 267.</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أن يأخذ</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التَّمْرَتَيْنِ</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1A0820">
        <w:rPr>
          <w:rtl/>
        </w:rPr>
        <w:t>6188</w:t>
      </w:r>
      <w:r w:rsidRPr="001155DE">
        <w:rPr>
          <w:rStyle w:val="libBold2Char"/>
          <w:rtl/>
        </w:rPr>
        <w:t xml:space="preserve"> / 10.</w:t>
      </w:r>
      <w:r w:rsidRPr="00020424">
        <w:rPr>
          <w:rtl/>
          <w:lang w:bidi="fa-IR"/>
        </w:rPr>
        <w:t xml:space="preserve"> وَفِي رِوَايَةٍ أُخْرى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w:t>
      </w:r>
      <w:r w:rsidRPr="00A91B96">
        <w:rPr>
          <w:rStyle w:val="libFootnotenumChar"/>
          <w:rtl/>
        </w:rPr>
        <w:t>(2)</w:t>
      </w:r>
      <w:r w:rsidRPr="00020424">
        <w:rPr>
          <w:rtl/>
          <w:lang w:bidi="fa-IR"/>
        </w:rPr>
        <w:t xml:space="preserve"> عَزَّ وَجَلَّ : </w:t>
      </w:r>
      <w:r w:rsidRPr="00005A81">
        <w:rPr>
          <w:rStyle w:val="libAlaemChar"/>
          <w:rtl/>
        </w:rPr>
        <w:t>(</w:t>
      </w:r>
      <w:r w:rsidRPr="004E5AB4">
        <w:rPr>
          <w:rStyle w:val="libAieChar"/>
          <w:rtl/>
        </w:rPr>
        <w:t xml:space="preserve"> أَنْفِقُوا مِنْ طَيِّباتِ ما كَسَبْتُمْ </w:t>
      </w:r>
      <w:r w:rsidRPr="00005A81">
        <w:rPr>
          <w:rStyle w:val="libAlaemChar"/>
          <w:rtl/>
        </w:rPr>
        <w:t>)</w:t>
      </w:r>
      <w:r w:rsidRPr="00020424">
        <w:rPr>
          <w:rtl/>
          <w:lang w:bidi="fa-IR"/>
        </w:rPr>
        <w:t xml:space="preserve"> فَقَالَ :</w:t>
      </w:r>
      <w:r>
        <w:rPr>
          <w:rFonts w:hint="cs"/>
          <w:rtl/>
          <w:lang w:bidi="fa-IR"/>
        </w:rPr>
        <w:t xml:space="preserve"> </w:t>
      </w:r>
      <w:r w:rsidRPr="00020424">
        <w:rPr>
          <w:rtl/>
          <w:lang w:bidi="fa-IR"/>
        </w:rPr>
        <w:t xml:space="preserve">« كَانَ الْقَوْمُ قَدْ </w:t>
      </w:r>
      <w:r w:rsidRPr="00A91B96">
        <w:rPr>
          <w:rStyle w:val="libFootnotenumChar"/>
          <w:rtl/>
        </w:rPr>
        <w:t>(3)</w:t>
      </w:r>
      <w:r w:rsidRPr="00020424">
        <w:rPr>
          <w:rtl/>
          <w:lang w:bidi="fa-IR"/>
        </w:rPr>
        <w:t xml:space="preserve"> كَسَبُوا مَكَاسِبَ سَوْءٍ </w:t>
      </w:r>
      <w:r w:rsidRPr="00A91B96">
        <w:rPr>
          <w:rStyle w:val="libFootnotenumChar"/>
          <w:rtl/>
        </w:rPr>
        <w:t>(4)</w:t>
      </w:r>
      <w:r w:rsidRPr="00020424">
        <w:rPr>
          <w:rtl/>
          <w:lang w:bidi="fa-IR"/>
        </w:rPr>
        <w:t xml:space="preserve"> فِي الْجَاهِلِيَّةِ ، فَلَمَّا أَسْلَمُوا أَرَادُوا أَنْ يُخْرِجُوهَا مِنْ أَمْوَالِهِمْ لِيَتَصَدَّقُوا </w:t>
      </w:r>
      <w:r w:rsidRPr="00A91B96">
        <w:rPr>
          <w:rStyle w:val="libFootnotenumChar"/>
          <w:rtl/>
        </w:rPr>
        <w:t>(5)</w:t>
      </w:r>
      <w:r w:rsidRPr="00020424">
        <w:rPr>
          <w:rtl/>
          <w:lang w:bidi="fa-IR"/>
        </w:rPr>
        <w:t xml:space="preserve"> بِهَا ، فَأَبَى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003E13A0">
        <w:rPr>
          <w:rtl/>
          <w:lang w:bidi="fa-IR"/>
        </w:rPr>
        <w:t>إِل</w:t>
      </w:r>
      <w:r w:rsidR="003E13A0">
        <w:rPr>
          <w:rFonts w:hint="cs"/>
          <w:rtl/>
          <w:lang w:bidi="fa-IR"/>
        </w:rPr>
        <w:t>َّ</w:t>
      </w:r>
      <w:r w:rsidR="003E13A0">
        <w:rPr>
          <w:rtl/>
          <w:lang w:bidi="fa-IR"/>
        </w:rPr>
        <w:t>ا</w:t>
      </w:r>
      <w:r w:rsidRPr="00020424">
        <w:rPr>
          <w:rtl/>
          <w:lang w:bidi="fa-IR"/>
        </w:rPr>
        <w:t xml:space="preserve"> أَنْ يُخْرِجُوا </w:t>
      </w:r>
      <w:r w:rsidRPr="00A91B96">
        <w:rPr>
          <w:rStyle w:val="libFootnotenumChar"/>
          <w:rtl/>
        </w:rPr>
        <w:t>(6)</w:t>
      </w:r>
      <w:r w:rsidRPr="00020424">
        <w:rPr>
          <w:rtl/>
          <w:lang w:bidi="fa-IR"/>
        </w:rPr>
        <w:t xml:space="preserve"> مِنْ أَطْيَبِ مَا كَسَبُوا</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A0820">
        <w:rPr>
          <w:rtl/>
        </w:rPr>
        <w:t>6189</w:t>
      </w:r>
      <w:r w:rsidRPr="001155DE">
        <w:rPr>
          <w:rStyle w:val="libBold2Char"/>
          <w:rtl/>
        </w:rPr>
        <w:t xml:space="preserve"> / 11.</w:t>
      </w:r>
      <w:r w:rsidRPr="00020424">
        <w:rPr>
          <w:rtl/>
          <w:lang w:bidi="fa-IR"/>
        </w:rPr>
        <w:t xml:space="preserve"> عِدَّةٌ مِنْ أَصْحَابِنَا ، عَنْ أَحْمَدَ بْنِ مُحَمَّدِ بْنِ خَالِدٍ ، عَنْ عُثْمَانَ بْنِ عِيسى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جَاءَ رَجُلٌ إِلَى النَّبِيِّ </w:t>
      </w:r>
      <w:r w:rsidR="00B42914" w:rsidRPr="00B42914">
        <w:rPr>
          <w:rStyle w:val="libAlaemChar"/>
          <w:rtl/>
        </w:rPr>
        <w:t>صلى‌الله‌عليه‌وآله‌</w:t>
      </w:r>
      <w:r w:rsidRPr="00020424">
        <w:rPr>
          <w:rtl/>
          <w:lang w:bidi="fa-IR"/>
        </w:rPr>
        <w:t xml:space="preserve"> ، فَقَالَ : إِنِّي شَيْخٌ كَثِيرُ الْعِيَالِ ، ضَعِيفُ الرُّكْنِ ، قَلِيلُ الشَّيْ‌ءِ ، فَهَلْ مِنْ مَعُونَةٍ عَلى زَمَانِي ، فَنَظَرَ رَسُولُ اللهِ </w:t>
      </w:r>
      <w:r w:rsidR="00B42914" w:rsidRPr="00B42914">
        <w:rPr>
          <w:rStyle w:val="libAlaemChar"/>
          <w:rtl/>
        </w:rPr>
        <w:t>صلى‌الله‌عليه‌وآله‌</w:t>
      </w:r>
      <w:r w:rsidRPr="00020424">
        <w:rPr>
          <w:rtl/>
          <w:lang w:bidi="fa-IR"/>
        </w:rPr>
        <w:t xml:space="preserve"> إِلى أَصْحَابِهِ ، وَنَظَرَ إِلَيْهِ أَصْحَابُهُ </w:t>
      </w:r>
      <w:r w:rsidRPr="00A91B96">
        <w:rPr>
          <w:rStyle w:val="libFootnotenumChar"/>
          <w:rtl/>
        </w:rPr>
        <w:t>(8)</w:t>
      </w:r>
      <w:r w:rsidRPr="00020424">
        <w:rPr>
          <w:rtl/>
          <w:lang w:bidi="fa-IR"/>
        </w:rPr>
        <w:t xml:space="preserve"> ؛ وَقَالَ </w:t>
      </w:r>
      <w:r w:rsidRPr="00A91B96">
        <w:rPr>
          <w:rStyle w:val="libFootnotenumChar"/>
          <w:rtl/>
        </w:rPr>
        <w:t>(9)</w:t>
      </w:r>
      <w:r w:rsidRPr="00020424">
        <w:rPr>
          <w:rtl/>
          <w:lang w:bidi="fa-IR"/>
        </w:rPr>
        <w:t xml:space="preserve"> : قَدْ أَسْمَعَنَا </w:t>
      </w:r>
      <w:r w:rsidRPr="00A91B96">
        <w:rPr>
          <w:rStyle w:val="libFootnotenumChar"/>
          <w:rtl/>
        </w:rPr>
        <w:t>(10)</w:t>
      </w:r>
      <w:r w:rsidRPr="00020424">
        <w:rPr>
          <w:rtl/>
          <w:lang w:bidi="fa-IR"/>
        </w:rPr>
        <w:t xml:space="preserve"> الْقَوْلَ ، وَأَسْمَعَكُمْ </w:t>
      </w:r>
      <w:r w:rsidRPr="00A91B96">
        <w:rPr>
          <w:rStyle w:val="libFootnotenumChar"/>
          <w:rtl/>
        </w:rPr>
        <w:t>(11)</w:t>
      </w:r>
      <w:r w:rsidRPr="00020424">
        <w:rPr>
          <w:rtl/>
          <w:lang w:bidi="fa-IR"/>
        </w:rPr>
        <w:t xml:space="preserve"> ، فَقَامَ إِلَيْهِ رَجُلٌ ، فَقَالَ : كُنْتُ مِثْلَكَ بِالْأَمْسِ ، فَذَهَبَ بِهِ إِلى مَنْزِلِهِ ، فَأَعْطَاهُ مِرْوَداً </w:t>
      </w:r>
      <w:r w:rsidRPr="00A91B96">
        <w:rPr>
          <w:rStyle w:val="libFootnotenumChar"/>
          <w:rtl/>
        </w:rPr>
        <w:t>(12)</w:t>
      </w:r>
      <w:r w:rsidRPr="00020424">
        <w:rPr>
          <w:rtl/>
          <w:lang w:bidi="fa-IR"/>
        </w:rPr>
        <w:t xml:space="preserve"> مِنْ تِبْرٍ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DE76B9">
        <w:rPr>
          <w:rStyle w:val="libFootnoteBoldChar"/>
          <w:rtl/>
        </w:rPr>
        <w:t>تفسير العيّاشي</w:t>
      </w:r>
      <w:r w:rsidR="00992664" w:rsidRPr="00020424">
        <w:rPr>
          <w:rtl/>
        </w:rPr>
        <w:t xml:space="preserve"> ، ج 1 ، ص 148 ، ح 489 ، عن أبي بصير ، مع اختلاف يسير </w:t>
      </w:r>
      <w:r w:rsidR="003E13A0">
        <w:rPr>
          <w:rFonts w:hint="cs"/>
          <w:rtl/>
        </w:rPr>
        <w:t>.</w:t>
      </w:r>
      <w:r w:rsidR="00992664" w:rsidRPr="0012008A">
        <w:rPr>
          <w:rStyle w:val="libFootnoteBoldChar"/>
          <w:rtl/>
        </w:rPr>
        <w:t>الوافي</w:t>
      </w:r>
      <w:r w:rsidR="00992664" w:rsidRPr="00020424">
        <w:rPr>
          <w:rtl/>
        </w:rPr>
        <w:t xml:space="preserve"> ، ج 10 ، ص 419 ، ح 9799 ؛ </w:t>
      </w:r>
      <w:r w:rsidR="00992664" w:rsidRPr="0012008A">
        <w:rPr>
          <w:rStyle w:val="libFootnoteBoldChar"/>
          <w:rtl/>
        </w:rPr>
        <w:t>الوسائل</w:t>
      </w:r>
      <w:r w:rsidR="00992664" w:rsidRPr="00020424">
        <w:rPr>
          <w:rtl/>
        </w:rPr>
        <w:t xml:space="preserve"> ، ج 9 ، ص 205 ، ح 11848.</w:t>
      </w:r>
    </w:p>
    <w:tbl>
      <w:tblPr>
        <w:tblStyle w:val="TableGrid"/>
        <w:bidiVisual/>
        <w:tblW w:w="0" w:type="auto"/>
        <w:tblLook w:val="04A0" w:firstRow="1" w:lastRow="0" w:firstColumn="1" w:lastColumn="0" w:noHBand="0" w:noVBand="1"/>
      </w:tblPr>
      <w:tblGrid>
        <w:gridCol w:w="4006"/>
        <w:gridCol w:w="4006"/>
      </w:tblGrid>
      <w:tr w:rsidR="003E13A0" w:rsidTr="003E13A0">
        <w:tc>
          <w:tcPr>
            <w:tcW w:w="4006" w:type="dxa"/>
          </w:tcPr>
          <w:p w:rsidR="003E13A0" w:rsidRDefault="003E13A0"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w:t>
            </w:r>
            <w:r w:rsidRPr="00EB1FD9">
              <w:rPr>
                <w:rStyle w:val="libFootnoteBoldChar"/>
                <w:rtl/>
              </w:rPr>
              <w:t>والوسائل</w:t>
            </w:r>
            <w:r w:rsidRPr="00020424">
              <w:rPr>
                <w:rtl/>
              </w:rPr>
              <w:t xml:space="preserve"> : « قوله</w:t>
            </w:r>
            <w:r>
              <w:rPr>
                <w:rtl/>
              </w:rPr>
              <w:t xml:space="preserve"> ».</w:t>
            </w:r>
          </w:p>
        </w:tc>
        <w:tc>
          <w:tcPr>
            <w:tcW w:w="4006" w:type="dxa"/>
          </w:tcPr>
          <w:p w:rsidR="003E13A0" w:rsidRDefault="003E13A0" w:rsidP="00992664">
            <w:pPr>
              <w:pStyle w:val="libFootnote0"/>
              <w:rPr>
                <w:rtl/>
              </w:rPr>
            </w:pPr>
            <w:r>
              <w:rPr>
                <w:rtl/>
              </w:rPr>
              <w:t xml:space="preserve">(3). </w:t>
            </w:r>
            <w:r w:rsidRPr="00020424">
              <w:rPr>
                <w:rtl/>
              </w:rPr>
              <w:t>في « جن » :</w:t>
            </w:r>
            <w:r>
              <w:rPr>
                <w:rtl/>
              </w:rPr>
              <w:t xml:space="preserve"> - </w:t>
            </w:r>
            <w:r w:rsidRPr="00020424">
              <w:rPr>
                <w:rtl/>
              </w:rPr>
              <w:t>« قد</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المراد بمكاسب السوء نحو الربا والميسر وثمن الخمر والميتة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7002B" w:rsidTr="00F7002B">
        <w:tc>
          <w:tcPr>
            <w:tcW w:w="4006" w:type="dxa"/>
          </w:tcPr>
          <w:p w:rsidR="00F7002B" w:rsidRDefault="00F7002B" w:rsidP="00992664">
            <w:pPr>
              <w:pStyle w:val="libFootnote0"/>
              <w:rPr>
                <w:rtl/>
              </w:rPr>
            </w:pPr>
            <w:r>
              <w:rPr>
                <w:rtl/>
              </w:rPr>
              <w:t xml:space="preserve">(5). </w:t>
            </w:r>
            <w:r w:rsidRPr="00020424">
              <w:rPr>
                <w:rtl/>
              </w:rPr>
              <w:t xml:space="preserve">في </w:t>
            </w:r>
            <w:r w:rsidRPr="0012008A">
              <w:rPr>
                <w:rStyle w:val="libFootnoteBoldChar"/>
                <w:rtl/>
              </w:rPr>
              <w:t>الوسائل</w:t>
            </w:r>
            <w:r w:rsidRPr="00020424">
              <w:rPr>
                <w:rtl/>
              </w:rPr>
              <w:t xml:space="preserve"> : « فيتصدّقوا</w:t>
            </w:r>
            <w:r>
              <w:rPr>
                <w:rtl/>
              </w:rPr>
              <w:t xml:space="preserve"> ».</w:t>
            </w:r>
          </w:p>
        </w:tc>
        <w:tc>
          <w:tcPr>
            <w:tcW w:w="4006" w:type="dxa"/>
          </w:tcPr>
          <w:p w:rsidR="00F7002B" w:rsidRDefault="00F7002B" w:rsidP="00992664">
            <w:pPr>
              <w:pStyle w:val="libFootnote0"/>
              <w:rPr>
                <w:rtl/>
              </w:rPr>
            </w:pPr>
            <w:r>
              <w:rPr>
                <w:rtl/>
              </w:rPr>
              <w:t xml:space="preserve">(6). </w:t>
            </w:r>
            <w:r w:rsidRPr="00020424">
              <w:rPr>
                <w:rtl/>
              </w:rPr>
              <w:t xml:space="preserve">في </w:t>
            </w:r>
            <w:r w:rsidRPr="0012008A">
              <w:rPr>
                <w:rStyle w:val="libFootnoteBoldChar"/>
                <w:rtl/>
              </w:rPr>
              <w:t>الوسائل</w:t>
            </w:r>
            <w:r w:rsidR="00B042EF">
              <w:rPr>
                <w:rtl/>
              </w:rPr>
              <w:t>:«</w:t>
            </w:r>
            <w:r>
              <w:rPr>
                <w:rtl/>
              </w:rPr>
              <w:t>أن يخرجوا إل</w:t>
            </w:r>
            <w:r>
              <w:rPr>
                <w:rFonts w:hint="cs"/>
                <w:rtl/>
              </w:rPr>
              <w:t>ّ</w:t>
            </w:r>
            <w:r>
              <w:rPr>
                <w:rtl/>
              </w:rPr>
              <w:t>ا</w:t>
            </w:r>
            <w:r w:rsidR="00B042EF">
              <w:rPr>
                <w:rtl/>
              </w:rPr>
              <w:t>»</w:t>
            </w:r>
            <w:r w:rsidRPr="00020424">
              <w:rPr>
                <w:rtl/>
              </w:rPr>
              <w:t>ب</w:t>
            </w:r>
            <w:r w:rsidR="00B042EF">
              <w:rPr>
                <w:rtl/>
              </w:rPr>
              <w:t>دل</w:t>
            </w:r>
            <w:r w:rsidRPr="00020424">
              <w:rPr>
                <w:rtl/>
              </w:rPr>
              <w:t xml:space="preserve">« </w:t>
            </w:r>
            <w:r>
              <w:rPr>
                <w:rtl/>
              </w:rPr>
              <w:t>إل</w:t>
            </w:r>
            <w:r>
              <w:rPr>
                <w:rFonts w:hint="cs"/>
                <w:rtl/>
              </w:rPr>
              <w:t>ّ</w:t>
            </w:r>
            <w:r>
              <w:rPr>
                <w:rtl/>
              </w:rPr>
              <w:t>ا</w:t>
            </w:r>
            <w:r w:rsidRPr="00020424">
              <w:rPr>
                <w:rtl/>
              </w:rPr>
              <w:t xml:space="preserve"> أن يخرجوا</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10 ، ص 419 ، ح 9800 ؛ </w:t>
      </w:r>
      <w:r w:rsidR="00992664" w:rsidRPr="0012008A">
        <w:rPr>
          <w:rStyle w:val="libFootnoteBoldChar"/>
          <w:rtl/>
        </w:rPr>
        <w:t>الوسائل</w:t>
      </w:r>
      <w:r w:rsidR="00992664" w:rsidRPr="00020424">
        <w:rPr>
          <w:rtl/>
        </w:rPr>
        <w:t xml:space="preserve"> ، ج 9 ، ص 465 ، ح 12508.</w:t>
      </w:r>
    </w:p>
    <w:tbl>
      <w:tblPr>
        <w:tblStyle w:val="TableGrid"/>
        <w:bidiVisual/>
        <w:tblW w:w="0" w:type="auto"/>
        <w:tblLook w:val="04A0" w:firstRow="1" w:lastRow="0" w:firstColumn="1" w:lastColumn="0" w:noHBand="0" w:noVBand="1"/>
      </w:tblPr>
      <w:tblGrid>
        <w:gridCol w:w="4006"/>
        <w:gridCol w:w="4006"/>
      </w:tblGrid>
      <w:tr w:rsidR="00B042EF" w:rsidTr="00B042EF">
        <w:tc>
          <w:tcPr>
            <w:tcW w:w="4006" w:type="dxa"/>
          </w:tcPr>
          <w:p w:rsidR="00B042EF" w:rsidRDefault="0075542B" w:rsidP="00992664">
            <w:pPr>
              <w:pStyle w:val="libFootnote0"/>
              <w:rPr>
                <w:rtl/>
                <w:lang w:bidi="fa-IR"/>
              </w:rPr>
            </w:pPr>
            <w:r>
              <w:rPr>
                <w:rtl/>
              </w:rPr>
              <w:t>(8). في«بح ، بر ، بك</w:t>
            </w:r>
            <w:r w:rsidRPr="00020424">
              <w:rPr>
                <w:rtl/>
              </w:rPr>
              <w:t xml:space="preserve">» </w:t>
            </w:r>
            <w:r w:rsidRPr="00515444">
              <w:rPr>
                <w:rStyle w:val="libFootnoteBoldChar"/>
                <w:rtl/>
              </w:rPr>
              <w:t>والوافي</w:t>
            </w:r>
            <w:r w:rsidRPr="00020424">
              <w:rPr>
                <w:rtl/>
              </w:rPr>
              <w:t xml:space="preserve"> : « أصحابه إليه</w:t>
            </w:r>
            <w:r>
              <w:rPr>
                <w:rtl/>
              </w:rPr>
              <w:t xml:space="preserve"> ».</w:t>
            </w:r>
          </w:p>
        </w:tc>
        <w:tc>
          <w:tcPr>
            <w:tcW w:w="4006" w:type="dxa"/>
          </w:tcPr>
          <w:p w:rsidR="00B042EF" w:rsidRDefault="0075542B" w:rsidP="00992664">
            <w:pPr>
              <w:pStyle w:val="libFootnote0"/>
              <w:rPr>
                <w:rtl/>
                <w:lang w:bidi="fa-IR"/>
              </w:rPr>
            </w:pPr>
            <w:r>
              <w:rPr>
                <w:rtl/>
              </w:rPr>
              <w:t xml:space="preserve">(9). </w:t>
            </w:r>
            <w:r w:rsidRPr="00020424">
              <w:rPr>
                <w:rtl/>
              </w:rPr>
              <w:t>في « بح » : « قال » بدون الواو.</w:t>
            </w:r>
          </w:p>
        </w:tc>
      </w:tr>
      <w:tr w:rsidR="00B042EF" w:rsidTr="00B042EF">
        <w:tc>
          <w:tcPr>
            <w:tcW w:w="4006" w:type="dxa"/>
          </w:tcPr>
          <w:p w:rsidR="00B042EF" w:rsidRDefault="0075542B" w:rsidP="00992664">
            <w:pPr>
              <w:pStyle w:val="libFootnote0"/>
              <w:rPr>
                <w:rtl/>
                <w:lang w:bidi="fa-IR"/>
              </w:rPr>
            </w:pPr>
            <w:r>
              <w:rPr>
                <w:rtl/>
              </w:rPr>
              <w:t xml:space="preserve">(10). </w:t>
            </w:r>
            <w:r w:rsidRPr="00020424">
              <w:rPr>
                <w:rtl/>
              </w:rPr>
              <w:t>في « ى ، بر ، بك » : « سمعنا</w:t>
            </w:r>
            <w:r>
              <w:rPr>
                <w:rtl/>
              </w:rPr>
              <w:t xml:space="preserve"> ».</w:t>
            </w:r>
          </w:p>
        </w:tc>
        <w:tc>
          <w:tcPr>
            <w:tcW w:w="4006" w:type="dxa"/>
          </w:tcPr>
          <w:p w:rsidR="00B042EF" w:rsidRDefault="0075542B" w:rsidP="00992664">
            <w:pPr>
              <w:pStyle w:val="libFootnote0"/>
              <w:rPr>
                <w:rtl/>
                <w:lang w:bidi="fa-IR"/>
              </w:rPr>
            </w:pPr>
            <w:r>
              <w:rPr>
                <w:rtl/>
              </w:rPr>
              <w:t xml:space="preserve">(11). </w:t>
            </w:r>
            <w:r w:rsidRPr="00020424">
              <w:rPr>
                <w:rtl/>
              </w:rPr>
              <w:t>في « بر ، بف ، بك » :</w:t>
            </w:r>
            <w:r>
              <w:rPr>
                <w:rtl/>
              </w:rPr>
              <w:t xml:space="preserve"> - </w:t>
            </w:r>
            <w:r w:rsidRPr="00020424">
              <w:rPr>
                <w:rtl/>
              </w:rPr>
              <w:t>« وأسمعكم</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ظ ، بس » : « مزوداً</w:t>
      </w:r>
      <w:r w:rsidR="00992664">
        <w:rPr>
          <w:rtl/>
        </w:rPr>
        <w:t xml:space="preserve"> ».</w:t>
      </w:r>
      <w:r w:rsidR="00992664" w:rsidRPr="00020424">
        <w:rPr>
          <w:rtl/>
        </w:rPr>
        <w:t xml:space="preserve"> والمِرْوَدُ : المِيلُ ، وحديدة تدور في اللجام ، ومِحْوَر البكرة إذا كان من حديد. والبَكْرةُ : آلة مستديرة من خشبة وغيرها ، في وسطها مَحَزُّ يمرّ عليها</w:t>
      </w:r>
    </w:p>
    <w:p w:rsidR="00992664" w:rsidRPr="00020424" w:rsidRDefault="00992664" w:rsidP="00992664">
      <w:pPr>
        <w:pStyle w:val="libFootnote0"/>
        <w:rPr>
          <w:rtl/>
          <w:lang w:bidi="fa-IR"/>
        </w:rPr>
      </w:pPr>
      <w:r w:rsidRPr="004F05E5">
        <w:rPr>
          <w:rtl/>
        </w:rPr>
        <w:t xml:space="preserve">الحبل وفي جوفها محور تدور عليه لرفع الأثقال وحطّها وللاستقاء عليها. راجع : </w:t>
      </w:r>
      <w:r w:rsidRPr="0012008A">
        <w:rPr>
          <w:rStyle w:val="libFootnoteBoldChar"/>
          <w:rtl/>
        </w:rPr>
        <w:t>الصحاح</w:t>
      </w:r>
      <w:r w:rsidRPr="004F05E5">
        <w:rPr>
          <w:rtl/>
        </w:rPr>
        <w:t xml:space="preserve"> ، ج 2 ، ص 479 ؛ </w:t>
      </w:r>
      <w:r w:rsidRPr="00A722B1">
        <w:rPr>
          <w:rStyle w:val="libFootnoteBoldChar"/>
          <w:rtl/>
        </w:rPr>
        <w:t>القاموس المحيط</w:t>
      </w:r>
      <w:r w:rsidRPr="004F05E5">
        <w:rPr>
          <w:rtl/>
        </w:rPr>
        <w:t xml:space="preserve"> ، ج 1 ، ص 415 ( رود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التبر : هو الذهب والفضّة قبل أن يضربا دنانير ودراهم ، فإذا ضربا كانا عيناً. وقد يطلق التبر </w:t>
      </w:r>
      <w:r w:rsidR="00F9795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وَكَانُوا يَتَبَايَعُونَ بِالتِّبْرِ </w:t>
      </w:r>
      <w:r w:rsidRPr="00A91B96">
        <w:rPr>
          <w:rStyle w:val="libFootnotenumChar"/>
          <w:rtl/>
        </w:rPr>
        <w:t>(1)</w:t>
      </w:r>
      <w:r w:rsidRPr="00020424">
        <w:rPr>
          <w:rtl/>
          <w:lang w:bidi="fa-IR"/>
        </w:rPr>
        <w:t xml:space="preserve"> وَهُوَ الذَّهَبُ وَالْفِضَّةُ ، فَقَالَ الشَّيْخُ : هذَا كُلُّهُ</w:t>
      </w:r>
      <w:r>
        <w:rPr>
          <w:rtl/>
          <w:lang w:bidi="fa-IR"/>
        </w:rPr>
        <w:t>؟</w:t>
      </w:r>
      <w:r w:rsidRPr="00020424">
        <w:rPr>
          <w:rtl/>
          <w:lang w:bidi="fa-IR"/>
        </w:rPr>
        <w:t xml:space="preserve"> قَالَ : نَعَمْ ، فَقَالَ </w:t>
      </w:r>
      <w:r w:rsidRPr="00A91B96">
        <w:rPr>
          <w:rStyle w:val="libFootnotenumChar"/>
          <w:rtl/>
        </w:rPr>
        <w:t>(2)</w:t>
      </w:r>
      <w:r w:rsidRPr="00020424">
        <w:rPr>
          <w:rtl/>
          <w:lang w:bidi="fa-IR"/>
        </w:rPr>
        <w:t xml:space="preserve"> الشَّيْخُ </w:t>
      </w:r>
      <w:r w:rsidRPr="00A91B96">
        <w:rPr>
          <w:rStyle w:val="libFootnotenumChar"/>
          <w:rtl/>
        </w:rPr>
        <w:t>(3)</w:t>
      </w:r>
      <w:r w:rsidRPr="00020424">
        <w:rPr>
          <w:rtl/>
          <w:lang w:bidi="fa-IR"/>
        </w:rPr>
        <w:t xml:space="preserve"> : أَقْبَلُ تِبْرَكَ </w:t>
      </w:r>
      <w:r w:rsidRPr="00A91B96">
        <w:rPr>
          <w:rStyle w:val="libFootnotenumChar"/>
          <w:rtl/>
        </w:rPr>
        <w:t>(4)</w:t>
      </w:r>
      <w:r w:rsidRPr="00020424">
        <w:rPr>
          <w:rtl/>
          <w:lang w:bidi="fa-IR"/>
        </w:rPr>
        <w:t xml:space="preserve"> ؛ فَإِنِّي لَسْتُ بِجِنِّيٍّ وَلَا</w:t>
      </w:r>
      <w:r>
        <w:rPr>
          <w:rFonts w:hint="cs"/>
          <w:rtl/>
          <w:lang w:bidi="fa-IR"/>
        </w:rPr>
        <w:t xml:space="preserve"> </w:t>
      </w:r>
      <w:r w:rsidRPr="00020424">
        <w:rPr>
          <w:rtl/>
          <w:lang w:bidi="fa-IR"/>
        </w:rPr>
        <w:t xml:space="preserve">إِنْسِيٍّ ، وَلكِنِّي </w:t>
      </w:r>
      <w:r w:rsidRPr="00A91B96">
        <w:rPr>
          <w:rStyle w:val="libFootnotenumChar"/>
          <w:rtl/>
        </w:rPr>
        <w:t>(5)</w:t>
      </w:r>
      <w:r w:rsidRPr="00020424">
        <w:rPr>
          <w:rtl/>
          <w:lang w:bidi="fa-IR"/>
        </w:rPr>
        <w:t xml:space="preserve"> رَسُولٌ مِنَ اللهِ لِأَبْلُوَكَ ، فَوَجَدْتُكَ شَاكِراً ، فَجَزَاكَ اللهُ خَيْراً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8D4DB7">
        <w:rPr>
          <w:rStyle w:val="PageNumber"/>
          <w:rtl/>
        </w:rPr>
        <w:t>6190</w:t>
      </w:r>
      <w:r w:rsidRPr="001155DE">
        <w:rPr>
          <w:rStyle w:val="libBold2Char"/>
          <w:rtl/>
        </w:rPr>
        <w:t xml:space="preserve"> / 12.</w:t>
      </w:r>
      <w:r w:rsidRPr="00020424">
        <w:rPr>
          <w:rtl/>
          <w:lang w:bidi="fa-IR"/>
        </w:rPr>
        <w:t xml:space="preserve"> أَحْمَدُ بْنُ مُحَمَّدٍ </w:t>
      </w:r>
      <w:r w:rsidRPr="00A91B96">
        <w:rPr>
          <w:rStyle w:val="libFootnotenumChar"/>
          <w:rtl/>
        </w:rPr>
        <w:t>(7)</w:t>
      </w:r>
      <w:r w:rsidRPr="00020424">
        <w:rPr>
          <w:rtl/>
          <w:lang w:bidi="fa-IR"/>
        </w:rPr>
        <w:t xml:space="preserve"> ، عَنْ عُثْمَانَ بْنِ عِيسى ، عَنْ مِسْمَع</w:t>
      </w:r>
      <w:r w:rsidR="0080391E">
        <w:rPr>
          <w:rtl/>
          <w:lang w:bidi="fa-IR"/>
        </w:rPr>
        <w:t>ِ بْنِ عَبْدِ الْمَلِكِ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كُنَّا عِنْدَ أَبِي عَبْدِ اللهِ </w:t>
      </w:r>
      <w:r w:rsidRPr="00005A81">
        <w:rPr>
          <w:rStyle w:val="libAlaemChar"/>
          <w:rtl/>
        </w:rPr>
        <w:t>عليه‌السلام</w:t>
      </w:r>
      <w:r w:rsidRPr="00020424">
        <w:rPr>
          <w:rtl/>
          <w:lang w:bidi="fa-IR"/>
        </w:rPr>
        <w:t xml:space="preserve"> بِمِنًى وَبَيْنَ أَيْدِينَا عِنَبٌ نَأْكُلُهُ </w:t>
      </w:r>
      <w:r w:rsidRPr="00A91B96">
        <w:rPr>
          <w:rStyle w:val="libFootnotenumChar"/>
          <w:rtl/>
        </w:rPr>
        <w:t>(8)</w:t>
      </w:r>
      <w:r w:rsidRPr="00020424">
        <w:rPr>
          <w:rtl/>
          <w:lang w:bidi="fa-IR"/>
        </w:rPr>
        <w:t xml:space="preserve"> ، فَجَاءَ سَائِلٌ ، فَسَأَلَهُ ، فَأَمَرَ </w:t>
      </w:r>
      <w:r w:rsidRPr="00A91B96">
        <w:rPr>
          <w:rStyle w:val="libFootnotenumChar"/>
          <w:rtl/>
        </w:rPr>
        <w:t>(9)</w:t>
      </w:r>
      <w:r w:rsidRPr="00020424">
        <w:rPr>
          <w:rtl/>
          <w:lang w:bidi="fa-IR"/>
        </w:rPr>
        <w:t xml:space="preserve"> بِعُنْقُودٍ </w:t>
      </w:r>
      <w:r w:rsidRPr="00A91B96">
        <w:rPr>
          <w:rStyle w:val="libFootnotenumChar"/>
          <w:rtl/>
        </w:rPr>
        <w:t>(10)</w:t>
      </w:r>
      <w:r w:rsidRPr="00020424">
        <w:rPr>
          <w:rtl/>
          <w:lang w:bidi="fa-IR"/>
        </w:rPr>
        <w:t xml:space="preserve"> ، فَأَعْطَاهُ </w:t>
      </w:r>
      <w:r w:rsidRPr="00A91B96">
        <w:rPr>
          <w:rStyle w:val="libFootnotenumChar"/>
          <w:rtl/>
        </w:rPr>
        <w:t>(11)</w:t>
      </w:r>
      <w:r w:rsidRPr="00020424">
        <w:rPr>
          <w:rtl/>
          <w:lang w:bidi="fa-IR"/>
        </w:rPr>
        <w:t xml:space="preserve"> ، فَقَالَ السَّائِلُ : لَاحَاجَةَ لِي فِي هذَا </w:t>
      </w:r>
      <w:r w:rsidRPr="00A91B96">
        <w:rPr>
          <w:rStyle w:val="libFootnotenumChar"/>
          <w:rtl/>
        </w:rPr>
        <w:t>(12)</w:t>
      </w:r>
      <w:r w:rsidRPr="00020424">
        <w:rPr>
          <w:rtl/>
          <w:lang w:bidi="fa-IR"/>
        </w:rPr>
        <w:t xml:space="preserve"> ، إِنْ كَانَ دِرْهَمٌ ، قَالَ </w:t>
      </w:r>
      <w:r w:rsidRPr="00A91B96">
        <w:rPr>
          <w:rStyle w:val="libFootnotenumChar"/>
          <w:rtl/>
        </w:rPr>
        <w:t>(13)</w:t>
      </w:r>
      <w:r w:rsidRPr="00020424">
        <w:rPr>
          <w:rtl/>
          <w:lang w:bidi="fa-IR"/>
        </w:rPr>
        <w:t xml:space="preserve"> : « يَسَعُ </w:t>
      </w:r>
      <w:r w:rsidRPr="00A91B96">
        <w:rPr>
          <w:rStyle w:val="libFootnotenumChar"/>
          <w:rtl/>
        </w:rPr>
        <w:t>(14)</w:t>
      </w:r>
      <w:r w:rsidRPr="00020424">
        <w:rPr>
          <w:rtl/>
          <w:lang w:bidi="fa-IR"/>
        </w:rPr>
        <w:t xml:space="preserve"> اللهُ عَلَيْكَ </w:t>
      </w:r>
      <w:r w:rsidRPr="00A91B96">
        <w:rPr>
          <w:rStyle w:val="libFootnotenumChar"/>
          <w:rtl/>
        </w:rPr>
        <w:t>(15)</w:t>
      </w:r>
      <w:r w:rsidRPr="00020424">
        <w:rPr>
          <w:rtl/>
          <w:lang w:bidi="fa-IR"/>
        </w:rPr>
        <w:t xml:space="preserve"> » فَذَهَبَ ، ثُمَّ رَجَعَ ، فَقَالَ : رُدُّوا الْعُنْقُودَ ، فَقَالَ : « يَسَعُ </w:t>
      </w:r>
      <w:r w:rsidRPr="00A91B96">
        <w:rPr>
          <w:rStyle w:val="libFootnotenumChar"/>
          <w:rtl/>
        </w:rPr>
        <w:t>(16)</w:t>
      </w:r>
      <w:r w:rsidRPr="00020424">
        <w:rPr>
          <w:rtl/>
          <w:lang w:bidi="fa-IR"/>
        </w:rPr>
        <w:t xml:space="preserve"> اللهُ لَكَ » وَلَمْ يُعْطِهِ شَيْئاً </w:t>
      </w:r>
      <w:r w:rsidRPr="00A91B96">
        <w:rPr>
          <w:rStyle w:val="libFootnotenumChar"/>
          <w:rtl/>
        </w:rPr>
        <w:t>(17)</w:t>
      </w:r>
      <w:r w:rsidRPr="00020424">
        <w:rPr>
          <w:rtl/>
          <w:lang w:bidi="fa-IR"/>
        </w:rPr>
        <w:t xml:space="preserve"> ، ثُمَّ جَاءَ سَائِلٌ آخَرُ ، فَأَخَذَ </w:t>
      </w:r>
      <w:r w:rsidRPr="00A91B96">
        <w:rPr>
          <w:rStyle w:val="libFootnotenumChar"/>
          <w:rtl/>
        </w:rPr>
        <w:t>(18)</w:t>
      </w:r>
      <w:r w:rsidRPr="00020424">
        <w:rPr>
          <w:rtl/>
          <w:lang w:bidi="fa-IR"/>
        </w:rPr>
        <w:t xml:space="preserve"> أَبُو عَبْدِ اللهِ </w:t>
      </w:r>
      <w:r w:rsidRPr="00005A81">
        <w:rPr>
          <w:rStyle w:val="libAlaemChar"/>
          <w:rtl/>
        </w:rPr>
        <w:t>عليه‌السلام</w:t>
      </w:r>
      <w:r w:rsidRPr="00020424">
        <w:rPr>
          <w:rtl/>
          <w:lang w:bidi="fa-IR"/>
        </w:rPr>
        <w:t xml:space="preserve"> ثَلَاثَ حَبَّاتِ عِنَبٍ ، فَنَاوَلَهَا </w:t>
      </w:r>
      <w:r w:rsidRPr="00A91B96">
        <w:rPr>
          <w:rStyle w:val="libFootnotenumChar"/>
          <w:rtl/>
        </w:rPr>
        <w:t>(19)</w:t>
      </w:r>
      <w:r w:rsidRPr="00020424">
        <w:rPr>
          <w:rtl/>
          <w:lang w:bidi="fa-IR"/>
        </w:rPr>
        <w:t xml:space="preserve"> إِيَّاهُ </w:t>
      </w:r>
      <w:r w:rsidRPr="00A91B96">
        <w:rPr>
          <w:rStyle w:val="libFootnotenumChar"/>
          <w:rtl/>
        </w:rPr>
        <w:t>(20)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35744" w:rsidP="00992664">
      <w:pPr>
        <w:pStyle w:val="libFootnote0"/>
        <w:rPr>
          <w:rtl/>
          <w:lang w:bidi="fa-IR"/>
        </w:rPr>
      </w:pPr>
      <w:r>
        <w:rPr>
          <w:rFonts w:hint="cs"/>
          <w:rtl/>
        </w:rPr>
        <w:t xml:space="preserve">= </w:t>
      </w:r>
      <w:r w:rsidR="00992664" w:rsidRPr="00020424">
        <w:rPr>
          <w:rtl/>
        </w:rPr>
        <w:t>على غيرهما من المعدنيّات ، كالنحاس والحديد والرصاص ، وأكثر اختصاصه بالذهب. ومنهم من يجعله في الذهب أصلاً وفي غيره فرعاً ومجازاً</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179 وراجع أيضاً : </w:t>
      </w:r>
      <w:r w:rsidR="00992664" w:rsidRPr="0012008A">
        <w:rPr>
          <w:rStyle w:val="libFootnoteBoldChar"/>
          <w:rtl/>
        </w:rPr>
        <w:t>الصحاح</w:t>
      </w:r>
      <w:r w:rsidR="00992664" w:rsidRPr="00020424">
        <w:rPr>
          <w:rtl/>
        </w:rPr>
        <w:t xml:space="preserve"> ، ج 2 ، ص 600 ( تبر )</w:t>
      </w:r>
      <w:r w:rsidR="00992664">
        <w:rPr>
          <w:rtl/>
        </w:rPr>
        <w:t>.</w:t>
      </w:r>
    </w:p>
    <w:tbl>
      <w:tblPr>
        <w:tblStyle w:val="TableGrid"/>
        <w:bidiVisual/>
        <w:tblW w:w="0" w:type="auto"/>
        <w:tblLook w:val="04A0" w:firstRow="1" w:lastRow="0" w:firstColumn="1" w:lastColumn="0" w:noHBand="0" w:noVBand="1"/>
      </w:tblPr>
      <w:tblGrid>
        <w:gridCol w:w="4006"/>
        <w:gridCol w:w="4006"/>
      </w:tblGrid>
      <w:tr w:rsidR="00D25543" w:rsidTr="00D25543">
        <w:tc>
          <w:tcPr>
            <w:tcW w:w="4006" w:type="dxa"/>
          </w:tcPr>
          <w:p w:rsidR="00D25543" w:rsidRDefault="00D25543" w:rsidP="00992664">
            <w:pPr>
              <w:pStyle w:val="libFootnote0"/>
              <w:rPr>
                <w:rtl/>
              </w:rPr>
            </w:pPr>
            <w:r>
              <w:rPr>
                <w:rtl/>
              </w:rPr>
              <w:t xml:space="preserve">(1). </w:t>
            </w:r>
            <w:r w:rsidRPr="00020424">
              <w:rPr>
                <w:rtl/>
              </w:rPr>
              <w:t>في « ى ، بر ، بك » : « بالبرّ</w:t>
            </w:r>
            <w:r>
              <w:rPr>
                <w:rtl/>
              </w:rPr>
              <w:t xml:space="preserve"> ».</w:t>
            </w:r>
          </w:p>
        </w:tc>
        <w:tc>
          <w:tcPr>
            <w:tcW w:w="4006" w:type="dxa"/>
          </w:tcPr>
          <w:p w:rsidR="00D25543" w:rsidRDefault="00D25543" w:rsidP="00992664">
            <w:pPr>
              <w:pStyle w:val="libFootnote0"/>
              <w:rPr>
                <w:rtl/>
              </w:rPr>
            </w:pPr>
            <w:r>
              <w:rPr>
                <w:rtl/>
              </w:rPr>
              <w:t>(2). في «ى ، بخ ، بر ،بف،بك</w:t>
            </w:r>
            <w:r w:rsidRPr="00020424">
              <w:rPr>
                <w:rtl/>
              </w:rPr>
              <w:t xml:space="preserve">» </w:t>
            </w:r>
            <w:r w:rsidRPr="00515444">
              <w:rPr>
                <w:rStyle w:val="libFootnoteBoldChar"/>
                <w:rtl/>
              </w:rPr>
              <w:t>والوافي</w:t>
            </w:r>
            <w:r w:rsidRPr="00020424">
              <w:rPr>
                <w:rtl/>
              </w:rPr>
              <w:t xml:space="preserve"> : « قال</w:t>
            </w:r>
            <w:r>
              <w:rPr>
                <w:rtl/>
              </w:rPr>
              <w:t xml:space="preserve"> ».</w:t>
            </w:r>
          </w:p>
        </w:tc>
      </w:tr>
      <w:tr w:rsidR="00D25543" w:rsidTr="00D25543">
        <w:tc>
          <w:tcPr>
            <w:tcW w:w="4006" w:type="dxa"/>
          </w:tcPr>
          <w:p w:rsidR="00D25543" w:rsidRDefault="00D25543"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الشيخ</w:t>
            </w:r>
            <w:r>
              <w:rPr>
                <w:rtl/>
              </w:rPr>
              <w:t xml:space="preserve"> ».</w:t>
            </w:r>
          </w:p>
        </w:tc>
        <w:tc>
          <w:tcPr>
            <w:tcW w:w="4006" w:type="dxa"/>
          </w:tcPr>
          <w:p w:rsidR="00D25543" w:rsidRDefault="00D25543" w:rsidP="00992664">
            <w:pPr>
              <w:pStyle w:val="libFootnote0"/>
              <w:rPr>
                <w:rtl/>
              </w:rPr>
            </w:pPr>
            <w:r>
              <w:rPr>
                <w:rtl/>
              </w:rPr>
              <w:t xml:space="preserve">(4). </w:t>
            </w:r>
            <w:r w:rsidRPr="00020424">
              <w:rPr>
                <w:rtl/>
              </w:rPr>
              <w:t>في « ى » : « ببرك</w:t>
            </w:r>
            <w:r>
              <w:rPr>
                <w:rtl/>
              </w:rPr>
              <w:t xml:space="preserve"> ».</w:t>
            </w:r>
          </w:p>
        </w:tc>
      </w:tr>
    </w:tbl>
    <w:p w:rsidR="00992664" w:rsidRPr="00020424" w:rsidRDefault="00795177" w:rsidP="00992664">
      <w:pPr>
        <w:pStyle w:val="libFootnote0"/>
        <w:rPr>
          <w:rtl/>
          <w:lang w:bidi="fa-IR"/>
        </w:rPr>
      </w:pPr>
      <w:r>
        <w:rPr>
          <w:rtl/>
          <w:lang w:bidi="fa-IR"/>
        </w:rPr>
        <w:t>(5).</w:t>
      </w:r>
      <w:r w:rsidR="0014403D">
        <w:rPr>
          <w:rtl/>
          <w:lang w:bidi="fa-IR"/>
        </w:rPr>
        <w:t xml:space="preserve"> </w:t>
      </w:r>
      <w:r w:rsidR="00992664" w:rsidRPr="00020424">
        <w:rPr>
          <w:rtl/>
          <w:lang w:bidi="fa-IR"/>
        </w:rPr>
        <w:t xml:space="preserve">في </w:t>
      </w:r>
      <w:r w:rsidR="00992664" w:rsidRPr="0012008A">
        <w:rPr>
          <w:rStyle w:val="libFootnoteBoldChar"/>
          <w:rtl/>
        </w:rPr>
        <w:t>الوسائل</w:t>
      </w:r>
      <w:r w:rsidR="00992664" w:rsidRPr="00020424">
        <w:rPr>
          <w:rtl/>
          <w:lang w:bidi="fa-IR"/>
        </w:rPr>
        <w:t xml:space="preserve"> : « ولكنّني</w:t>
      </w:r>
      <w:r w:rsidR="00992664">
        <w:rPr>
          <w:rtl/>
          <w:lang w:bidi="fa-IR"/>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410 ، ح 9788 ؛ </w:t>
      </w:r>
      <w:r w:rsidR="00992664" w:rsidRPr="0012008A">
        <w:rPr>
          <w:rStyle w:val="libFootnoteBoldChar"/>
          <w:rtl/>
        </w:rPr>
        <w:t>الوسائل</w:t>
      </w:r>
      <w:r w:rsidR="00992664" w:rsidRPr="00020424">
        <w:rPr>
          <w:rtl/>
        </w:rPr>
        <w:t xml:space="preserve"> ، ج 9 ، ص 419 ، ح 12378 ، ملخّصاً ؛ </w:t>
      </w:r>
      <w:r w:rsidR="00992664" w:rsidRPr="0012008A">
        <w:rPr>
          <w:rStyle w:val="libFootnoteBoldChar"/>
          <w:rtl/>
        </w:rPr>
        <w:t>البحار</w:t>
      </w:r>
      <w:r w:rsidR="00992664" w:rsidRPr="00020424">
        <w:rPr>
          <w:rtl/>
        </w:rPr>
        <w:t xml:space="preserve"> ، ج 22 ، ص 84 ، ح 34.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عدّة من أصحابنا.</w:t>
      </w:r>
    </w:p>
    <w:tbl>
      <w:tblPr>
        <w:tblStyle w:val="TableGrid"/>
        <w:bidiVisual/>
        <w:tblW w:w="0" w:type="auto"/>
        <w:tblLook w:val="04A0" w:firstRow="1" w:lastRow="0" w:firstColumn="1" w:lastColumn="0" w:noHBand="0" w:noVBand="1"/>
      </w:tblPr>
      <w:tblGrid>
        <w:gridCol w:w="4006"/>
        <w:gridCol w:w="4006"/>
      </w:tblGrid>
      <w:tr w:rsidR="0058767C" w:rsidTr="0058767C">
        <w:tc>
          <w:tcPr>
            <w:tcW w:w="4006" w:type="dxa"/>
          </w:tcPr>
          <w:p w:rsidR="0058767C" w:rsidRDefault="0058767C" w:rsidP="00992664">
            <w:pPr>
              <w:pStyle w:val="libFootnote0"/>
              <w:rPr>
                <w:rtl/>
              </w:rPr>
            </w:pPr>
            <w:r>
              <w:rPr>
                <w:rtl/>
              </w:rPr>
              <w:t xml:space="preserve">(8). </w:t>
            </w:r>
            <w:r w:rsidRPr="00020424">
              <w:rPr>
                <w:rtl/>
              </w:rPr>
              <w:t>في « بح » : « فأكله</w:t>
            </w:r>
            <w:r>
              <w:rPr>
                <w:rtl/>
              </w:rPr>
              <w:t xml:space="preserve"> ».</w:t>
            </w:r>
          </w:p>
        </w:tc>
        <w:tc>
          <w:tcPr>
            <w:tcW w:w="4006" w:type="dxa"/>
          </w:tcPr>
          <w:p w:rsidR="0058767C" w:rsidRDefault="0058767C" w:rsidP="00992664">
            <w:pPr>
              <w:pStyle w:val="libFootnote0"/>
              <w:rPr>
                <w:rtl/>
              </w:rPr>
            </w:pPr>
            <w:r>
              <w:rPr>
                <w:rtl/>
              </w:rPr>
              <w:t xml:space="preserve">(9). </w:t>
            </w:r>
            <w:r w:rsidRPr="00020424">
              <w:rPr>
                <w:rtl/>
              </w:rPr>
              <w:t xml:space="preserve">في « ظ ، بت » </w:t>
            </w:r>
            <w:r w:rsidRPr="00EB1FD9">
              <w:rPr>
                <w:rStyle w:val="libFootnoteBoldChar"/>
                <w:rtl/>
              </w:rPr>
              <w:t>والوسائل</w:t>
            </w:r>
            <w:r w:rsidRPr="00020424">
              <w:rPr>
                <w:rtl/>
              </w:rPr>
              <w:t xml:space="preserve"> : + « له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العُنْقود » من العنب ونحوه : ما تعقّد وتراكم من ثمره في أصل واحد. </w:t>
      </w:r>
      <w:r w:rsidR="00992664" w:rsidRPr="00DE76B9">
        <w:rPr>
          <w:rStyle w:val="libFootnoteBoldChar"/>
          <w:rtl/>
        </w:rPr>
        <w:t>المعجم الوسيط</w:t>
      </w:r>
      <w:r w:rsidR="00992664" w:rsidRPr="00020424">
        <w:rPr>
          <w:rtl/>
        </w:rPr>
        <w:t xml:space="preserve"> ، ص 614 ( عقد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بر ، بس ، بف ، بك ، جن » : « فأعطيته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 « فيه » بدل « في هذا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F2013" w:rsidTr="002F2013">
        <w:tc>
          <w:tcPr>
            <w:tcW w:w="4006" w:type="dxa"/>
          </w:tcPr>
          <w:p w:rsidR="002F2013" w:rsidRDefault="002F2013"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w:t>
            </w:r>
            <w:r w:rsidRPr="00EB1FD9">
              <w:rPr>
                <w:rStyle w:val="libFootnoteBoldChar"/>
                <w:rtl/>
              </w:rPr>
              <w:t>والوسائل</w:t>
            </w:r>
            <w:r w:rsidRPr="00020424">
              <w:rPr>
                <w:rtl/>
              </w:rPr>
              <w:t xml:space="preserve"> : « فقال</w:t>
            </w:r>
            <w:r>
              <w:rPr>
                <w:rtl/>
              </w:rPr>
              <w:t xml:space="preserve"> ».</w:t>
            </w:r>
          </w:p>
        </w:tc>
        <w:tc>
          <w:tcPr>
            <w:tcW w:w="4006" w:type="dxa"/>
          </w:tcPr>
          <w:p w:rsidR="002F2013" w:rsidRDefault="002F2013" w:rsidP="00992664">
            <w:pPr>
              <w:pStyle w:val="libFootnote0"/>
              <w:rPr>
                <w:rtl/>
              </w:rPr>
            </w:pPr>
            <w:r>
              <w:rPr>
                <w:rtl/>
              </w:rPr>
              <w:t xml:space="preserve">(14). </w:t>
            </w:r>
            <w:r w:rsidRPr="00020424">
              <w:rPr>
                <w:rtl/>
              </w:rPr>
              <w:t>في « بخ » وحاشية « بث » : « صنع</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بث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F2013" w:rsidTr="002F2013">
        <w:tc>
          <w:tcPr>
            <w:tcW w:w="4006" w:type="dxa"/>
          </w:tcPr>
          <w:p w:rsidR="002F2013" w:rsidRDefault="002F2013" w:rsidP="00992664">
            <w:pPr>
              <w:pStyle w:val="libFootnote0"/>
              <w:rPr>
                <w:rtl/>
              </w:rPr>
            </w:pPr>
            <w:r>
              <w:rPr>
                <w:rtl/>
              </w:rPr>
              <w:t xml:space="preserve">(16). </w:t>
            </w:r>
            <w:r w:rsidRPr="00020424">
              <w:rPr>
                <w:rtl/>
              </w:rPr>
              <w:t>في « بخ » وحاشية « بث » : « صنع</w:t>
            </w:r>
            <w:r>
              <w:rPr>
                <w:rtl/>
              </w:rPr>
              <w:t xml:space="preserve"> ».</w:t>
            </w:r>
          </w:p>
        </w:tc>
        <w:tc>
          <w:tcPr>
            <w:tcW w:w="4006" w:type="dxa"/>
          </w:tcPr>
          <w:p w:rsidR="002F2013" w:rsidRDefault="002F2013" w:rsidP="00992664">
            <w:pPr>
              <w:pStyle w:val="libFootnote0"/>
              <w:rPr>
                <w:rtl/>
              </w:rPr>
            </w:pPr>
            <w:r>
              <w:rPr>
                <w:rtl/>
              </w:rPr>
              <w:t xml:space="preserve">(17). </w:t>
            </w:r>
            <w:r w:rsidRPr="00020424">
              <w:rPr>
                <w:rtl/>
              </w:rPr>
              <w:t xml:space="preserve">في </w:t>
            </w:r>
            <w:r w:rsidRPr="0012008A">
              <w:rPr>
                <w:rStyle w:val="libFootnoteBoldChar"/>
                <w:rtl/>
              </w:rPr>
              <w:t>الوسائل</w:t>
            </w:r>
            <w:r w:rsidRPr="00020424">
              <w:rPr>
                <w:rtl/>
              </w:rPr>
              <w:t xml:space="preserve"> : + « فذهب</w:t>
            </w:r>
            <w:r>
              <w:rPr>
                <w:rtl/>
              </w:rPr>
              <w:t xml:space="preserve"> ».</w:t>
            </w:r>
          </w:p>
        </w:tc>
      </w:tr>
      <w:tr w:rsidR="002F2013" w:rsidTr="002F2013">
        <w:tc>
          <w:tcPr>
            <w:tcW w:w="4006" w:type="dxa"/>
          </w:tcPr>
          <w:p w:rsidR="002F2013" w:rsidRDefault="002F2013" w:rsidP="00992664">
            <w:pPr>
              <w:pStyle w:val="libFootnote0"/>
              <w:rPr>
                <w:rtl/>
              </w:rPr>
            </w:pPr>
            <w:r>
              <w:rPr>
                <w:rtl/>
              </w:rPr>
              <w:t xml:space="preserve">(18). </w:t>
            </w:r>
            <w:r w:rsidRPr="00020424">
              <w:rPr>
                <w:rtl/>
              </w:rPr>
              <w:t>في « بر ، بف ، بك » : « وأخذ</w:t>
            </w:r>
            <w:r>
              <w:rPr>
                <w:rtl/>
              </w:rPr>
              <w:t xml:space="preserve"> ».</w:t>
            </w:r>
          </w:p>
        </w:tc>
        <w:tc>
          <w:tcPr>
            <w:tcW w:w="4006" w:type="dxa"/>
          </w:tcPr>
          <w:p w:rsidR="002F2013" w:rsidRDefault="002F2013" w:rsidP="00992664">
            <w:pPr>
              <w:pStyle w:val="libFootnote0"/>
              <w:rPr>
                <w:rtl/>
              </w:rPr>
            </w:pPr>
            <w:r>
              <w:rPr>
                <w:rtl/>
              </w:rPr>
              <w:t>(19). في «بخ،بر،بف،بك» وحاشية«بث»: «</w:t>
            </w:r>
            <w:r w:rsidRPr="00020424">
              <w:rPr>
                <w:rtl/>
              </w:rPr>
              <w:t>فناوله</w:t>
            </w:r>
            <w:r>
              <w:rPr>
                <w:rtl/>
              </w:rPr>
              <w:t>».</w:t>
            </w:r>
          </w:p>
        </w:tc>
      </w:tr>
    </w:tbl>
    <w:p w:rsidR="00992664" w:rsidRPr="00020424" w:rsidRDefault="00992664" w:rsidP="00992664">
      <w:pPr>
        <w:pStyle w:val="libFootnote0"/>
        <w:rPr>
          <w:rtl/>
          <w:lang w:bidi="fa-IR"/>
        </w:rPr>
      </w:pPr>
      <w:r w:rsidRPr="00020424">
        <w:rPr>
          <w:rtl/>
        </w:rPr>
        <w:t>(</w:t>
      </w:r>
      <w:r>
        <w:rPr>
          <w:rtl/>
        </w:rPr>
        <w:t>20)</w:t>
      </w:r>
      <w:r w:rsidRPr="00020424">
        <w:rPr>
          <w:rtl/>
        </w:rPr>
        <w:t xml:space="preserve"> في « بخ ، بر ، بف ، بك » وحاشية « بث » : « إيّاها</w:t>
      </w:r>
      <w:r>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فَأَخَذَ </w:t>
      </w:r>
      <w:r w:rsidRPr="00A91B96">
        <w:rPr>
          <w:rStyle w:val="libFootnotenumChar"/>
          <w:rtl/>
        </w:rPr>
        <w:t>(1)</w:t>
      </w:r>
      <w:r w:rsidRPr="00020424">
        <w:rPr>
          <w:rtl/>
          <w:lang w:bidi="fa-IR"/>
        </w:rPr>
        <w:t xml:space="preserve"> السَّائِلُ مِنْ يَدِهِ ، ثُمَّ قَالَ : الْحَمْدُ لِلّهِ رَبِّ الْعَالَمِينَ الَّذِي رَزَقَنِي </w:t>
      </w:r>
      <w:r w:rsidRPr="00A91B96">
        <w:rPr>
          <w:rStyle w:val="libFootnotenumChar"/>
          <w:rtl/>
        </w:rPr>
        <w:t>(2)</w:t>
      </w:r>
      <w:r w:rsidRPr="00020424">
        <w:rPr>
          <w:rtl/>
          <w:lang w:bidi="fa-IR"/>
        </w:rPr>
        <w:t xml:space="preserve"> ، فَقَالَ </w:t>
      </w:r>
      <w:r w:rsidRPr="00A91B96">
        <w:rPr>
          <w:rStyle w:val="libFootnotenumChar"/>
          <w:rtl/>
        </w:rPr>
        <w:t>(3)</w:t>
      </w:r>
      <w:r w:rsidRPr="00020424">
        <w:rPr>
          <w:rtl/>
          <w:lang w:bidi="fa-IR"/>
        </w:rPr>
        <w:t xml:space="preserve"> أَبُو عَبْدِ اللهِ </w:t>
      </w:r>
      <w:r w:rsidRPr="00005A81">
        <w:rPr>
          <w:rStyle w:val="libAlaemChar"/>
          <w:rtl/>
        </w:rPr>
        <w:t>عليه‌السلام</w:t>
      </w:r>
      <w:r w:rsidRPr="00020424">
        <w:rPr>
          <w:rtl/>
          <w:lang w:bidi="fa-IR"/>
        </w:rPr>
        <w:t xml:space="preserve"> : « مَكَانَكَ </w:t>
      </w:r>
      <w:r w:rsidRPr="00A91B96">
        <w:rPr>
          <w:rStyle w:val="libFootnotenumChar"/>
          <w:rtl/>
        </w:rPr>
        <w:t>(4)</w:t>
      </w:r>
      <w:r w:rsidRPr="00020424">
        <w:rPr>
          <w:rtl/>
          <w:lang w:bidi="fa-IR"/>
        </w:rPr>
        <w:t xml:space="preserve"> » فَحَشَا </w:t>
      </w:r>
      <w:r w:rsidRPr="00A91B96">
        <w:rPr>
          <w:rStyle w:val="libFootnotenumChar"/>
          <w:rtl/>
        </w:rPr>
        <w:t>(5)</w:t>
      </w:r>
      <w:r w:rsidRPr="00020424">
        <w:rPr>
          <w:rtl/>
          <w:lang w:bidi="fa-IR"/>
        </w:rPr>
        <w:t xml:space="preserve"> مِلْ‌ءَ كَفَّيْهِ </w:t>
      </w:r>
      <w:r w:rsidRPr="00A91B96">
        <w:rPr>
          <w:rStyle w:val="libFootnotenumChar"/>
          <w:rtl/>
        </w:rPr>
        <w:t>(6)</w:t>
      </w:r>
      <w:r w:rsidRPr="00020424">
        <w:rPr>
          <w:rtl/>
          <w:lang w:bidi="fa-IR"/>
        </w:rPr>
        <w:t xml:space="preserve"> عِنَباً ، فَنَاوَلَهَا إِيَّاهُ ، فَأَخَذَهَا </w:t>
      </w:r>
      <w:r w:rsidRPr="00A91B96">
        <w:rPr>
          <w:rStyle w:val="libFootnotenumChar"/>
          <w:rtl/>
        </w:rPr>
        <w:t>(7)</w:t>
      </w:r>
      <w:r w:rsidRPr="00020424">
        <w:rPr>
          <w:rtl/>
          <w:lang w:bidi="fa-IR"/>
        </w:rPr>
        <w:t xml:space="preserve"> السَّائِلُ مِنْ يَدِهِ ، ثُمَّ قَالَ : الْحَمْدُ لِلَّهِ رَبِّ الْعَالَمِينَ </w:t>
      </w:r>
      <w:r w:rsidRPr="00A91B96">
        <w:rPr>
          <w:rStyle w:val="libFootnotenumChar"/>
          <w:rtl/>
        </w:rPr>
        <w:t>(8)</w:t>
      </w:r>
      <w:r w:rsidRPr="00020424">
        <w:rPr>
          <w:rtl/>
          <w:lang w:bidi="fa-IR"/>
        </w:rPr>
        <w:t xml:space="preserve"> ، فَقَالَ أَبُو عَبْدِ اللهِ </w:t>
      </w:r>
      <w:r w:rsidRPr="00005A81">
        <w:rPr>
          <w:rStyle w:val="libAlaemChar"/>
          <w:rtl/>
        </w:rPr>
        <w:t>عليه‌السلام</w:t>
      </w:r>
      <w:r w:rsidRPr="00020424">
        <w:rPr>
          <w:rtl/>
          <w:lang w:bidi="fa-IR"/>
        </w:rPr>
        <w:t xml:space="preserve"> : « مَكَانَكَ يَا غُلَامُ ، أَيُّ شَيْ‌ءٍ مَعَكَ مِنَ الدَّرَاهِمِ</w:t>
      </w:r>
      <w:r>
        <w:rPr>
          <w:rtl/>
          <w:lang w:bidi="fa-IR"/>
        </w:rPr>
        <w:t>؟</w:t>
      </w:r>
      <w:r w:rsidRPr="00020424">
        <w:rPr>
          <w:rtl/>
          <w:lang w:bidi="fa-IR"/>
        </w:rPr>
        <w:t xml:space="preserve"> » فَإِذَا مَعَهُ نَحْوٌ مِنْ عِشْرِينَ دِرْهَماً فِيمَا حَزَرْنَاهُ </w:t>
      </w:r>
      <w:r w:rsidRPr="00A91B96">
        <w:rPr>
          <w:rStyle w:val="libFootnotenumChar"/>
          <w:rtl/>
        </w:rPr>
        <w:t>(9)</w:t>
      </w:r>
      <w:r w:rsidRPr="00020424">
        <w:rPr>
          <w:rtl/>
          <w:lang w:bidi="fa-IR"/>
        </w:rPr>
        <w:t xml:space="preserve"> أَوْ نَحْوِهَا ، فَنَاوَلَهَا إِيَّاهُ </w:t>
      </w:r>
      <w:r w:rsidRPr="00A91B96">
        <w:rPr>
          <w:rStyle w:val="libFootnotenumChar"/>
          <w:rtl/>
        </w:rPr>
        <w:t>(10)</w:t>
      </w:r>
      <w:r w:rsidRPr="00020424">
        <w:rPr>
          <w:rtl/>
          <w:lang w:bidi="fa-IR"/>
        </w:rPr>
        <w:t xml:space="preserve"> ، فَأَخَذَهَا ، ثُمَّ قَالَ : الْحَمْدُ لِلَّهِ هذَا مِنْكَ وَحْدَكَ لَاشَرِيكَ لَكَ ، فَقَالَ </w:t>
      </w:r>
      <w:r w:rsidRPr="00A91B96">
        <w:rPr>
          <w:rStyle w:val="libFootnotenumChar"/>
          <w:rtl/>
        </w:rPr>
        <w:t>(11)</w:t>
      </w:r>
      <w:r w:rsidRPr="00020424">
        <w:rPr>
          <w:rtl/>
          <w:lang w:bidi="fa-IR"/>
        </w:rPr>
        <w:t xml:space="preserve"> أَبُو عَبْدِ اللهِ </w:t>
      </w:r>
      <w:r w:rsidRPr="00005A81">
        <w:rPr>
          <w:rStyle w:val="libAlaemChar"/>
          <w:rtl/>
        </w:rPr>
        <w:t>عليه‌السلام</w:t>
      </w:r>
      <w:r w:rsidRPr="00020424">
        <w:rPr>
          <w:rtl/>
          <w:lang w:bidi="fa-IR"/>
        </w:rPr>
        <w:t xml:space="preserve"> :</w:t>
      </w:r>
      <w:r>
        <w:rPr>
          <w:rFonts w:hint="cs"/>
          <w:rtl/>
          <w:lang w:bidi="fa-IR"/>
        </w:rPr>
        <w:t xml:space="preserve"> </w:t>
      </w:r>
      <w:r w:rsidRPr="00020424">
        <w:rPr>
          <w:rtl/>
          <w:lang w:bidi="fa-IR"/>
        </w:rPr>
        <w:t xml:space="preserve">« مَكَانَكَ » فَخَلَعَ قَمِيصاً كَانَ عَلَيْهِ ، فَقَالَ : « الْبَسْ هذَا » فَلَبِسَهُ ، ثُمَّ قَالَ </w:t>
      </w:r>
      <w:r w:rsidRPr="00A91B96">
        <w:rPr>
          <w:rStyle w:val="libFootnotenumChar"/>
          <w:rtl/>
        </w:rPr>
        <w:t>(12)</w:t>
      </w:r>
      <w:r w:rsidRPr="00020424">
        <w:rPr>
          <w:rtl/>
          <w:lang w:bidi="fa-IR"/>
        </w:rPr>
        <w:t xml:space="preserve"> : الْحَمْدُ لِلّهِ الَّذِي كَسَانِي وَسَتَرَنِي يَا أَبَا عَبْدِ اللهِ </w:t>
      </w:r>
      <w:r w:rsidRPr="00A91B96">
        <w:rPr>
          <w:rStyle w:val="libFootnotenumChar"/>
          <w:rtl/>
        </w:rPr>
        <w:t>(13)</w:t>
      </w:r>
      <w:r>
        <w:rPr>
          <w:rtl/>
          <w:lang w:bidi="fa-IR"/>
        </w:rPr>
        <w:t xml:space="preserve"> </w:t>
      </w:r>
      <w:r w:rsidR="009B673F">
        <w:rPr>
          <w:rtl/>
          <w:lang w:bidi="fa-IR"/>
        </w:rPr>
        <w:t>-</w:t>
      </w:r>
      <w:r>
        <w:rPr>
          <w:rtl/>
          <w:lang w:bidi="fa-IR"/>
        </w:rPr>
        <w:t xml:space="preserve"> </w:t>
      </w:r>
      <w:r w:rsidRPr="00020424">
        <w:rPr>
          <w:rtl/>
          <w:lang w:bidi="fa-IR"/>
        </w:rPr>
        <w:t xml:space="preserve">أَوْ قَالَ </w:t>
      </w:r>
      <w:r w:rsidRPr="00A91B96">
        <w:rPr>
          <w:rStyle w:val="libFootnotenumChar"/>
          <w:rtl/>
        </w:rPr>
        <w:t>(14)</w:t>
      </w:r>
      <w:r w:rsidRPr="00020424">
        <w:rPr>
          <w:rtl/>
          <w:lang w:bidi="fa-IR"/>
        </w:rPr>
        <w:t xml:space="preserve"> : جَزَاكَ اللهُ خَيْراً</w:t>
      </w:r>
      <w:r>
        <w:rPr>
          <w:rtl/>
          <w:lang w:bidi="fa-IR"/>
        </w:rPr>
        <w:t xml:space="preserve"> </w:t>
      </w:r>
      <w:r w:rsidR="009B673F">
        <w:rPr>
          <w:rtl/>
          <w:lang w:bidi="fa-IR"/>
        </w:rPr>
        <w:t>-</w:t>
      </w:r>
      <w:r>
        <w:rPr>
          <w:rtl/>
          <w:lang w:bidi="fa-IR"/>
        </w:rPr>
        <w:t xml:space="preserve"> </w:t>
      </w:r>
      <w:r w:rsidRPr="00020424">
        <w:rPr>
          <w:rtl/>
          <w:lang w:bidi="fa-IR"/>
        </w:rPr>
        <w:t xml:space="preserve">لَمْ يَدْعُ لِأَبِي عَبْدِ اللهِ </w:t>
      </w:r>
      <w:r w:rsidRPr="00005A81">
        <w:rPr>
          <w:rStyle w:val="libAlaemChar"/>
          <w:rtl/>
        </w:rPr>
        <w:t>عليه‌السلام</w:t>
      </w:r>
      <w:r w:rsidR="000A344C">
        <w:rPr>
          <w:rtl/>
          <w:lang w:bidi="fa-IR"/>
        </w:rPr>
        <w:t xml:space="preserve"> إِل</w:t>
      </w:r>
      <w:r w:rsidR="000A344C">
        <w:rPr>
          <w:rFonts w:hint="cs"/>
          <w:rtl/>
          <w:lang w:bidi="fa-IR"/>
        </w:rPr>
        <w:t>َّ</w:t>
      </w:r>
      <w:r w:rsidR="000A344C">
        <w:rPr>
          <w:rtl/>
          <w:lang w:bidi="fa-IR"/>
        </w:rPr>
        <w:t>ا</w:t>
      </w:r>
      <w:r w:rsidRPr="00020424">
        <w:rPr>
          <w:rtl/>
          <w:lang w:bidi="fa-IR"/>
        </w:rPr>
        <w:t xml:space="preserve"> بِذَا ، ثُمَّ انْصَرَفَ ، فَذَهَبَ. قَالَ : فَظَنَنَّا أَنَّهُ لَوْ لَمْ يَدْعُ لَهُ ، لَمْ يَزَلْ يُعْطِيهِ ؛ لِأَنَّهُ كُلَّمَا كَانَ يُعْطِيهِ حَمِدَ اللهَ ، أَعْطَاهُ. </w:t>
      </w:r>
      <w:r w:rsidRPr="00A91B96">
        <w:rPr>
          <w:rStyle w:val="libFootnotenumChar"/>
          <w:rtl/>
        </w:rPr>
        <w:t>(15)</w:t>
      </w:r>
      <w:r w:rsidRPr="00020424">
        <w:rPr>
          <w:rtl/>
          <w:lang w:bidi="fa-IR"/>
        </w:rPr>
        <w:t xml:space="preserve"> ‌</w:t>
      </w:r>
    </w:p>
    <w:p w:rsidR="00992664" w:rsidRPr="00020424" w:rsidRDefault="00992664" w:rsidP="00992664">
      <w:pPr>
        <w:pStyle w:val="libNormal"/>
        <w:rPr>
          <w:rtl/>
          <w:lang w:bidi="fa-IR"/>
        </w:rPr>
      </w:pPr>
      <w:r w:rsidRPr="008D4DB7">
        <w:rPr>
          <w:rtl/>
        </w:rPr>
        <w:t>6191</w:t>
      </w:r>
      <w:r w:rsidRPr="001155DE">
        <w:rPr>
          <w:rStyle w:val="libBold2Char"/>
          <w:rtl/>
        </w:rPr>
        <w:t xml:space="preserve"> / 13.</w:t>
      </w:r>
      <w:r w:rsidRPr="00020424">
        <w:rPr>
          <w:rtl/>
          <w:lang w:bidi="fa-IR"/>
        </w:rPr>
        <w:t xml:space="preserve"> عَلِيُّ بْنُ إِبْرَاهِيمَ ، عَنْ أَبِيهِ ، عَنْ حَمَّادِ بْنِ عِيسى ، عَنْ حَرِيزٍ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 فأخذها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201FC" w:rsidTr="006201FC">
        <w:tc>
          <w:tcPr>
            <w:tcW w:w="4006" w:type="dxa"/>
          </w:tcPr>
          <w:p w:rsidR="006201FC" w:rsidRDefault="006201FC" w:rsidP="00992664">
            <w:pPr>
              <w:pStyle w:val="libFootnote0"/>
              <w:rPr>
                <w:rtl/>
              </w:rPr>
            </w:pPr>
            <w:r>
              <w:rPr>
                <w:rtl/>
              </w:rPr>
              <w:t xml:space="preserve">(2). </w:t>
            </w:r>
            <w:r w:rsidRPr="00020424">
              <w:rPr>
                <w:rtl/>
              </w:rPr>
              <w:t>في « بك » :</w:t>
            </w:r>
            <w:r>
              <w:rPr>
                <w:rtl/>
              </w:rPr>
              <w:t xml:space="preserve"> - </w:t>
            </w:r>
            <w:r w:rsidRPr="00020424">
              <w:rPr>
                <w:rtl/>
              </w:rPr>
              <w:t>« الذي رزقني</w:t>
            </w:r>
            <w:r>
              <w:rPr>
                <w:rtl/>
              </w:rPr>
              <w:t xml:space="preserve"> ».</w:t>
            </w:r>
          </w:p>
        </w:tc>
        <w:tc>
          <w:tcPr>
            <w:tcW w:w="4006" w:type="dxa"/>
          </w:tcPr>
          <w:p w:rsidR="006201FC" w:rsidRDefault="006201FC" w:rsidP="00992664">
            <w:pPr>
              <w:pStyle w:val="libFootnote0"/>
              <w:rPr>
                <w:rtl/>
              </w:rPr>
            </w:pPr>
            <w:r>
              <w:rPr>
                <w:rtl/>
              </w:rPr>
              <w:t xml:space="preserve">(3). </w:t>
            </w:r>
            <w:r w:rsidRPr="00020424">
              <w:rPr>
                <w:rtl/>
              </w:rPr>
              <w:t xml:space="preserve">في « بث ، بر » </w:t>
            </w:r>
            <w:r w:rsidRPr="00515444">
              <w:rPr>
                <w:rStyle w:val="libFootnoteBoldChar"/>
                <w:rtl/>
              </w:rPr>
              <w:t>والوافي</w:t>
            </w:r>
            <w:r w:rsidRPr="00020424">
              <w:rPr>
                <w:rtl/>
              </w:rPr>
              <w:t xml:space="preserve"> : « قال</w:t>
            </w:r>
            <w:r>
              <w:rPr>
                <w:rtl/>
              </w:rPr>
              <w:t xml:space="preserve"> ».</w:t>
            </w:r>
          </w:p>
        </w:tc>
      </w:tr>
      <w:tr w:rsidR="006201FC" w:rsidTr="006201FC">
        <w:tc>
          <w:tcPr>
            <w:tcW w:w="4006" w:type="dxa"/>
          </w:tcPr>
          <w:p w:rsidR="006201FC" w:rsidRDefault="005A7340"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 مكانك</w:t>
            </w:r>
            <w:r>
              <w:rPr>
                <w:rtl/>
              </w:rPr>
              <w:t xml:space="preserve"> ».</w:t>
            </w:r>
          </w:p>
        </w:tc>
        <w:tc>
          <w:tcPr>
            <w:tcW w:w="4006" w:type="dxa"/>
          </w:tcPr>
          <w:p w:rsidR="006201FC" w:rsidRDefault="00B52769"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w:t>
            </w:r>
            <w:r w:rsidRPr="00EB1FD9">
              <w:rPr>
                <w:rStyle w:val="libFootnoteBoldChar"/>
                <w:rtl/>
              </w:rPr>
              <w:t>والوسائل</w:t>
            </w:r>
            <w:r w:rsidRPr="00020424">
              <w:rPr>
                <w:rtl/>
              </w:rPr>
              <w:t xml:space="preserve"> و</w:t>
            </w:r>
            <w:r w:rsidRPr="0012008A">
              <w:rPr>
                <w:rStyle w:val="libFootnoteBoldChar"/>
                <w:rtl/>
              </w:rPr>
              <w:t>البحار</w:t>
            </w:r>
            <w:r w:rsidRPr="00020424">
              <w:rPr>
                <w:rtl/>
              </w:rPr>
              <w:t xml:space="preserve"> : « فحثا</w:t>
            </w:r>
            <w:r>
              <w:rPr>
                <w:rtl/>
              </w:rPr>
              <w:t xml:space="preserve"> ».</w:t>
            </w:r>
          </w:p>
        </w:tc>
      </w:tr>
      <w:tr w:rsidR="006201FC" w:rsidTr="006201FC">
        <w:tc>
          <w:tcPr>
            <w:tcW w:w="4006" w:type="dxa"/>
          </w:tcPr>
          <w:p w:rsidR="006201FC" w:rsidRDefault="00B52769" w:rsidP="00992664">
            <w:pPr>
              <w:pStyle w:val="libFootnote0"/>
              <w:rPr>
                <w:rtl/>
              </w:rPr>
            </w:pPr>
            <w:r>
              <w:rPr>
                <w:rtl/>
              </w:rPr>
              <w:t xml:space="preserve">(6). </w:t>
            </w:r>
            <w:r w:rsidRPr="00020424">
              <w:rPr>
                <w:rtl/>
              </w:rPr>
              <w:t>في « ظ » : « كفّه</w:t>
            </w:r>
            <w:r>
              <w:rPr>
                <w:rtl/>
              </w:rPr>
              <w:t xml:space="preserve"> ».</w:t>
            </w:r>
          </w:p>
        </w:tc>
        <w:tc>
          <w:tcPr>
            <w:tcW w:w="4006" w:type="dxa"/>
          </w:tcPr>
          <w:p w:rsidR="006201FC" w:rsidRDefault="00B52769" w:rsidP="00992664">
            <w:pPr>
              <w:pStyle w:val="libFootnote0"/>
              <w:rPr>
                <w:rtl/>
              </w:rPr>
            </w:pPr>
            <w:r>
              <w:rPr>
                <w:rtl/>
              </w:rPr>
              <w:t xml:space="preserve">(7). </w:t>
            </w:r>
            <w:r w:rsidRPr="00020424">
              <w:rPr>
                <w:rtl/>
              </w:rPr>
              <w:t>في « ظ » : « فأخذه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 الذي رزقني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بف » : « حرزناه</w:t>
      </w:r>
      <w:r w:rsidR="00992664">
        <w:rPr>
          <w:rtl/>
        </w:rPr>
        <w:t xml:space="preserve"> ».</w:t>
      </w:r>
      <w:r w:rsidR="00992664" w:rsidRPr="00020424">
        <w:rPr>
          <w:rtl/>
        </w:rPr>
        <w:t xml:space="preserve"> والحَزْر : التقدير. وقيل : هو التقدير بالحدس والظنّ. راجع : </w:t>
      </w:r>
      <w:r w:rsidR="00992664" w:rsidRPr="0012008A">
        <w:rPr>
          <w:rStyle w:val="libFootnoteBoldChar"/>
          <w:rtl/>
        </w:rPr>
        <w:t>الصحاح</w:t>
      </w:r>
      <w:r w:rsidR="00992664" w:rsidRPr="00020424">
        <w:rPr>
          <w:rtl/>
        </w:rPr>
        <w:t xml:space="preserve"> ، ج 2 ، ص 629 ؛ </w:t>
      </w:r>
      <w:r w:rsidR="00992664" w:rsidRPr="00A722B1">
        <w:rPr>
          <w:rStyle w:val="libFootnoteBoldChar"/>
          <w:rtl/>
        </w:rPr>
        <w:t>لسان العرب</w:t>
      </w:r>
      <w:r w:rsidR="00992664" w:rsidRPr="00020424">
        <w:rPr>
          <w:rtl/>
        </w:rPr>
        <w:t xml:space="preserve"> ، ج 3 ، ص 157 ( حرز )</w:t>
      </w:r>
      <w:r w:rsidR="00992664">
        <w:rPr>
          <w:rtl/>
        </w:rPr>
        <w:t>.</w:t>
      </w:r>
    </w:p>
    <w:tbl>
      <w:tblPr>
        <w:tblStyle w:val="TableGrid"/>
        <w:bidiVisual/>
        <w:tblW w:w="0" w:type="auto"/>
        <w:tblLook w:val="04A0" w:firstRow="1" w:lastRow="0" w:firstColumn="1" w:lastColumn="0" w:noHBand="0" w:noVBand="1"/>
      </w:tblPr>
      <w:tblGrid>
        <w:gridCol w:w="4006"/>
        <w:gridCol w:w="4006"/>
      </w:tblGrid>
      <w:tr w:rsidR="00B52769" w:rsidTr="00B52769">
        <w:tc>
          <w:tcPr>
            <w:tcW w:w="4006" w:type="dxa"/>
          </w:tcPr>
          <w:p w:rsidR="00B52769" w:rsidRDefault="00B52769" w:rsidP="00992664">
            <w:pPr>
              <w:pStyle w:val="libFootnote0"/>
              <w:rPr>
                <w:rtl/>
              </w:rPr>
            </w:pPr>
            <w:r>
              <w:rPr>
                <w:rtl/>
              </w:rPr>
              <w:t>(10). في«بث</w:t>
            </w:r>
            <w:r w:rsidRPr="00020424">
              <w:rPr>
                <w:rtl/>
              </w:rPr>
              <w:t>، بخ</w:t>
            </w:r>
            <w:r>
              <w:rPr>
                <w:rtl/>
              </w:rPr>
              <w:t>،</w:t>
            </w:r>
            <w:r w:rsidRPr="00020424">
              <w:rPr>
                <w:rtl/>
              </w:rPr>
              <w:t>بر</w:t>
            </w:r>
            <w:r>
              <w:rPr>
                <w:rtl/>
              </w:rPr>
              <w:t xml:space="preserve"> ،بف،بك</w:t>
            </w:r>
            <w:r w:rsidRPr="00020424">
              <w:rPr>
                <w:rtl/>
              </w:rPr>
              <w:t>» : « فناوله إيّاها</w:t>
            </w:r>
            <w:r>
              <w:rPr>
                <w:rtl/>
              </w:rPr>
              <w:t xml:space="preserve"> ».</w:t>
            </w:r>
          </w:p>
        </w:tc>
        <w:tc>
          <w:tcPr>
            <w:tcW w:w="4006" w:type="dxa"/>
          </w:tcPr>
          <w:p w:rsidR="00B52769" w:rsidRDefault="00B52769" w:rsidP="00992664">
            <w:pPr>
              <w:pStyle w:val="libFootnote0"/>
              <w:rPr>
                <w:rtl/>
              </w:rPr>
            </w:pPr>
            <w:r>
              <w:rPr>
                <w:rtl/>
              </w:rPr>
              <w:t xml:space="preserve">(11). </w:t>
            </w:r>
            <w:r w:rsidRPr="00020424">
              <w:rPr>
                <w:rtl/>
              </w:rPr>
              <w:t xml:space="preserve">في « بث ، بر » </w:t>
            </w:r>
            <w:r w:rsidRPr="00515444">
              <w:rPr>
                <w:rStyle w:val="libFootnoteBoldChar"/>
                <w:rtl/>
              </w:rPr>
              <w:t>والوافي</w:t>
            </w:r>
            <w:r w:rsidRPr="00020424">
              <w:rPr>
                <w:rtl/>
              </w:rPr>
              <w:t xml:space="preserve"> : « قال</w:t>
            </w:r>
            <w:r>
              <w:rPr>
                <w:rtl/>
              </w:rPr>
              <w:t xml:space="preserve"> ».</w:t>
            </w:r>
          </w:p>
        </w:tc>
      </w:tr>
      <w:tr w:rsidR="00B52769" w:rsidTr="00B52769">
        <w:tc>
          <w:tcPr>
            <w:tcW w:w="4006" w:type="dxa"/>
          </w:tcPr>
          <w:p w:rsidR="00B52769" w:rsidRDefault="00B52769" w:rsidP="00992664">
            <w:pPr>
              <w:pStyle w:val="libFootnote0"/>
              <w:rPr>
                <w:rtl/>
              </w:rPr>
            </w:pPr>
            <w:r>
              <w:rPr>
                <w:rtl/>
              </w:rPr>
              <w:t xml:space="preserve">(12). </w:t>
            </w:r>
            <w:r w:rsidRPr="00020424">
              <w:rPr>
                <w:rtl/>
              </w:rPr>
              <w:t xml:space="preserve">في </w:t>
            </w:r>
            <w:r w:rsidRPr="0012008A">
              <w:rPr>
                <w:rStyle w:val="libFootnoteBoldChar"/>
                <w:rtl/>
              </w:rPr>
              <w:t>الوافي</w:t>
            </w:r>
            <w:r w:rsidRPr="00020424">
              <w:rPr>
                <w:rtl/>
              </w:rPr>
              <w:t xml:space="preserve"> و</w:t>
            </w:r>
            <w:r w:rsidRPr="0012008A">
              <w:rPr>
                <w:rStyle w:val="libFootnoteBoldChar"/>
                <w:rtl/>
              </w:rPr>
              <w:t>البحار</w:t>
            </w:r>
            <w:r w:rsidRPr="00020424">
              <w:rPr>
                <w:rtl/>
              </w:rPr>
              <w:t xml:space="preserve"> : « فقال</w:t>
            </w:r>
            <w:r>
              <w:rPr>
                <w:rtl/>
              </w:rPr>
              <w:t xml:space="preserve"> ».</w:t>
            </w:r>
          </w:p>
        </w:tc>
        <w:tc>
          <w:tcPr>
            <w:tcW w:w="4006" w:type="dxa"/>
          </w:tcPr>
          <w:p w:rsidR="00B52769" w:rsidRDefault="00B52769" w:rsidP="00992664">
            <w:pPr>
              <w:pStyle w:val="libFootnote0"/>
              <w:rPr>
                <w:rtl/>
              </w:rPr>
            </w:pPr>
            <w:r>
              <w:rPr>
                <w:rtl/>
              </w:rPr>
              <w:t xml:space="preserve">(13). </w:t>
            </w:r>
            <w:r w:rsidRPr="00020424">
              <w:rPr>
                <w:rtl/>
              </w:rPr>
              <w:t>في « بث ، بح ، بر ، بك » : « يا عبدالله</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لفظة « أو قال » في أواخر الحديث من زيادات النسّاخ ، وليست في كتاب </w:t>
      </w:r>
      <w:r w:rsidR="00992664" w:rsidRPr="00DE76B9">
        <w:rPr>
          <w:rStyle w:val="libFootnoteBoldChar"/>
          <w:rtl/>
        </w:rPr>
        <w:t>عدّة الداعي</w:t>
      </w:r>
      <w:r w:rsidR="00992664" w:rsidRPr="00020424">
        <w:rPr>
          <w:rtl/>
        </w:rPr>
        <w:t xml:space="preserve"> حيث روى هذا الحديث ، والظاهر أنّه كان هكذا : يا أبا عبد الله ، أو قال : يا عبد الله جزاك الله خيراً ، فأَسقط « يا عبد الله » ثمّ اختلفت النسخ في وجود « با</w:t>
      </w:r>
      <w:r w:rsidR="00992664">
        <w:rPr>
          <w:rtl/>
        </w:rPr>
        <w:t xml:space="preserve"> ».</w:t>
      </w:r>
      <w:r w:rsidR="00992664" w:rsidRPr="00020424">
        <w:rPr>
          <w:rtl/>
        </w:rPr>
        <w:t xml:space="preserve"> وفي هامشه عن ولد المصنّف : « كذا في عامّة النسخ التي رأيناها ، والظاهر : وقال : جزاك الله ، مكان أو قال ، أو كان كما ذكره الوالد</w:t>
      </w:r>
      <w:r w:rsidR="00992664">
        <w:rPr>
          <w:rtl/>
        </w:rPr>
        <w:t xml:space="preserve"> </w:t>
      </w:r>
      <w:r w:rsidR="009B673F">
        <w:rPr>
          <w:rtl/>
        </w:rPr>
        <w:t>-</w:t>
      </w:r>
      <w:r w:rsidR="00992664">
        <w:rPr>
          <w:rtl/>
        </w:rPr>
        <w:t xml:space="preserve"> </w:t>
      </w:r>
      <w:r w:rsidR="00992664" w:rsidRPr="00020424">
        <w:rPr>
          <w:rtl/>
        </w:rPr>
        <w:t>عزّ بهاؤه</w:t>
      </w:r>
      <w:r w:rsidR="00992664">
        <w:rPr>
          <w:rtl/>
        </w:rPr>
        <w:t xml:space="preserve"> </w:t>
      </w:r>
      <w:r w:rsidR="009B673F">
        <w:rPr>
          <w:rtl/>
        </w:rPr>
        <w:t>-</w:t>
      </w:r>
      <w:r w:rsidR="00992664">
        <w:rPr>
          <w:rtl/>
        </w:rPr>
        <w:t xml:space="preserve"> </w:t>
      </w:r>
      <w:r w:rsidR="00992664" w:rsidRPr="00020424">
        <w:rPr>
          <w:rtl/>
        </w:rPr>
        <w:t>فأسقط الناسخون أصل اللفظتين ، وبقي ما في البين</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12008A">
        <w:rPr>
          <w:rStyle w:val="libFootnoteBoldChar"/>
          <w:rtl/>
        </w:rPr>
        <w:t>الوافي</w:t>
      </w:r>
      <w:r w:rsidR="00992664" w:rsidRPr="00020424">
        <w:rPr>
          <w:rtl/>
        </w:rPr>
        <w:t xml:space="preserve"> ، ج 10 ، ص 433 ، ح 9826 ؛ </w:t>
      </w:r>
      <w:r w:rsidR="00992664" w:rsidRPr="0012008A">
        <w:rPr>
          <w:rStyle w:val="libFootnoteBoldChar"/>
          <w:rtl/>
        </w:rPr>
        <w:t>الوسائل</w:t>
      </w:r>
      <w:r w:rsidR="00992664" w:rsidRPr="00020424">
        <w:rPr>
          <w:rtl/>
        </w:rPr>
        <w:t xml:space="preserve"> ، ج 9 ، ص 391 ، ح 12310 ؛ </w:t>
      </w:r>
      <w:r w:rsidR="00992664" w:rsidRPr="0012008A">
        <w:rPr>
          <w:rStyle w:val="libFootnoteBoldChar"/>
          <w:rtl/>
        </w:rPr>
        <w:t>البحار</w:t>
      </w:r>
      <w:r w:rsidR="00992664" w:rsidRPr="00020424">
        <w:rPr>
          <w:rtl/>
        </w:rPr>
        <w:t xml:space="preserve"> ، ج 47 ، ص 42 ، ح 56.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ضَاقَ أَحَدُكُمْ ، فَلْيُعْلِمْ أَخَاهُ ، وَلَايُعِينُ عَلى نَفْسِهِ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E82973">
        <w:rPr>
          <w:rtl/>
        </w:rPr>
        <w:t>6192</w:t>
      </w:r>
      <w:r w:rsidRPr="001155DE">
        <w:rPr>
          <w:rStyle w:val="libBold2Char"/>
          <w:rtl/>
        </w:rPr>
        <w:t xml:space="preserve"> / 14.</w:t>
      </w:r>
      <w:r w:rsidRPr="00020424">
        <w:rPr>
          <w:rtl/>
          <w:lang w:bidi="fa-IR"/>
        </w:rPr>
        <w:t xml:space="preserve"> مُحَمَّدُ بْنُ عَلِيِّ بْنِ </w:t>
      </w:r>
      <w:r w:rsidRPr="00A91B96">
        <w:rPr>
          <w:rStyle w:val="libFootnotenumChar"/>
          <w:rtl/>
        </w:rPr>
        <w:t>(3)</w:t>
      </w:r>
      <w:r w:rsidRPr="00020424">
        <w:rPr>
          <w:rtl/>
          <w:lang w:bidi="fa-IR"/>
        </w:rPr>
        <w:t xml:space="preserve"> مَعْمَرٍ رَفَعَهُ ، قَالَ :</w:t>
      </w:r>
    </w:p>
    <w:p w:rsidR="00992664" w:rsidRPr="00020424" w:rsidRDefault="00992664" w:rsidP="00992664">
      <w:pPr>
        <w:pStyle w:val="libNormal"/>
        <w:rPr>
          <w:rtl/>
          <w:lang w:bidi="fa-IR"/>
        </w:rPr>
      </w:pPr>
      <w:r w:rsidRPr="00020424">
        <w:rPr>
          <w:rtl/>
          <w:lang w:bidi="fa-IR"/>
        </w:rPr>
        <w:t>قَالَ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فِي بَعْضِ خُطَبِهِ : « إِنَّ أَفْضَلَ الْفِعَالِ صِيَانَةُ الْعِرْضِ بِالْمَالِ</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E82973">
        <w:rPr>
          <w:rtl/>
        </w:rPr>
        <w:t>6193</w:t>
      </w:r>
      <w:r w:rsidRPr="001155DE">
        <w:rPr>
          <w:rStyle w:val="libBold2Char"/>
          <w:rtl/>
        </w:rPr>
        <w:t xml:space="preserve"> / 15.</w:t>
      </w:r>
      <w:r w:rsidRPr="00020424">
        <w:rPr>
          <w:rtl/>
          <w:lang w:bidi="fa-IR"/>
        </w:rPr>
        <w:t xml:space="preserve"> عَلِيُّ بْنُ إِبْرَاهِيمَ ، عَنْ أَبِيهِ ، عَنِ ابْنِ أَبِي عُمَيْرٍ ، عَنْ جَمِيلِ بْنِ دَرَّاجٍ ، عَنْ زُرَارَةَ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ثَلَاثَةٌ إِنْ </w:t>
      </w:r>
      <w:r w:rsidRPr="00A91B96">
        <w:rPr>
          <w:rStyle w:val="libFootnotenumChar"/>
          <w:rtl/>
        </w:rPr>
        <w:t>(5)</w:t>
      </w:r>
      <w:r w:rsidRPr="00020424">
        <w:rPr>
          <w:rtl/>
          <w:lang w:bidi="fa-IR"/>
        </w:rPr>
        <w:t xml:space="preserve"> يَعْلَمْهُنَّ </w:t>
      </w:r>
      <w:r w:rsidRPr="00A91B96">
        <w:rPr>
          <w:rStyle w:val="libFootnotenumChar"/>
          <w:rtl/>
        </w:rPr>
        <w:t>(6)</w:t>
      </w:r>
      <w:r w:rsidRPr="00020424">
        <w:rPr>
          <w:rtl/>
          <w:lang w:bidi="fa-IR"/>
        </w:rPr>
        <w:t xml:space="preserve"> الْمُؤْمِنُ ، كَانَتْ </w:t>
      </w:r>
      <w:r w:rsidRPr="00A91B96">
        <w:rPr>
          <w:rStyle w:val="libFootnotenumChar"/>
          <w:rtl/>
        </w:rPr>
        <w:t>(7)</w:t>
      </w:r>
      <w:r w:rsidRPr="00020424">
        <w:rPr>
          <w:rtl/>
          <w:lang w:bidi="fa-IR"/>
        </w:rPr>
        <w:t xml:space="preserve"> زِيَادَةً فِي عُمُرِهِ ، وَبَقَاءَ النِّعْمَةِ </w:t>
      </w:r>
      <w:r w:rsidRPr="00A91B96">
        <w:rPr>
          <w:rStyle w:val="libFootnotenumChar"/>
          <w:rtl/>
        </w:rPr>
        <w:t>(8)</w:t>
      </w:r>
      <w:r w:rsidRPr="00020424">
        <w:rPr>
          <w:rtl/>
          <w:lang w:bidi="fa-IR"/>
        </w:rPr>
        <w:t xml:space="preserve"> عَلَيْهِ</w:t>
      </w:r>
      <w:r>
        <w:rPr>
          <w:rtl/>
          <w:lang w:bidi="fa-IR"/>
        </w:rPr>
        <w:t xml:space="preserve"> ».</w:t>
      </w:r>
    </w:p>
    <w:p w:rsidR="00992664" w:rsidRPr="00020424" w:rsidRDefault="00992664" w:rsidP="00992664">
      <w:pPr>
        <w:pStyle w:val="libNormal"/>
        <w:rPr>
          <w:rtl/>
          <w:lang w:bidi="fa-IR"/>
        </w:rPr>
      </w:pPr>
      <w:r w:rsidRPr="00020424">
        <w:rPr>
          <w:rtl/>
          <w:lang w:bidi="fa-IR"/>
        </w:rPr>
        <w:t>فَقُلْتُ : وَمَا هُنَّ</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لا يعين على نفسه ؛ يعنى لا يسعى في قتل نفسه وهلاكها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6 ، ص 329 ، ح 910 ، بسنده عن حمّاد بن عيسى ، مع اختلاف يسير </w:t>
      </w:r>
      <w:r w:rsidR="00B52769">
        <w:rPr>
          <w:rFonts w:hint="cs"/>
          <w:rtl/>
        </w:rPr>
        <w:t>.</w:t>
      </w:r>
      <w:r w:rsidR="00992664" w:rsidRPr="0012008A">
        <w:rPr>
          <w:rStyle w:val="libFootnoteBoldChar"/>
          <w:rtl/>
        </w:rPr>
        <w:t>الوافي</w:t>
      </w:r>
      <w:r w:rsidR="00992664" w:rsidRPr="00020424">
        <w:rPr>
          <w:rtl/>
        </w:rPr>
        <w:t xml:space="preserve"> ، ج 10 ، ص 575 ، ح 10124 ؛ وج 17 ، ص 26 ، ح 16804 ؛ </w:t>
      </w:r>
      <w:r w:rsidR="00992664" w:rsidRPr="0012008A">
        <w:rPr>
          <w:rStyle w:val="libFootnoteBoldChar"/>
          <w:rtl/>
        </w:rPr>
        <w:t>الوسائل</w:t>
      </w:r>
      <w:r w:rsidR="00992664" w:rsidRPr="00020424">
        <w:rPr>
          <w:rtl/>
        </w:rPr>
        <w:t xml:space="preserve"> ، ج 9 ، ص 446 ، ح 12462.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بخ ، بر ، جر » </w:t>
      </w:r>
      <w:r w:rsidR="00992664" w:rsidRPr="00EB1FD9">
        <w:rPr>
          <w:rStyle w:val="libFootnoteBoldChar"/>
          <w:rtl/>
        </w:rPr>
        <w:t>والوسائل</w:t>
      </w:r>
      <w:r w:rsidR="00992664" w:rsidRPr="00020424">
        <w:rPr>
          <w:rtl/>
        </w:rPr>
        <w:t>. وفي « ظ ، ى ، بث ، بح ، بس ، بف ، جن » والمطبوع : « عن</w:t>
      </w:r>
      <w:r w:rsidR="00992664">
        <w:rPr>
          <w:rtl/>
        </w:rPr>
        <w:t xml:space="preserve"> ».</w:t>
      </w:r>
    </w:p>
    <w:p w:rsidR="00992664" w:rsidRPr="00020424" w:rsidRDefault="00992664" w:rsidP="00B52769">
      <w:pPr>
        <w:pStyle w:val="libFootnote0"/>
        <w:rPr>
          <w:rtl/>
          <w:lang w:bidi="fa-IR"/>
        </w:rPr>
      </w:pPr>
      <w:r w:rsidRPr="00B52769">
        <w:rPr>
          <w:rtl/>
        </w:rPr>
        <w:t xml:space="preserve">والصواب ما أثبتناه ، ومحمّد بن عليّ هذا هو محمّد بن عليّ بن معمر الكوفي الذي سمع منه التلعكبريّ سنة 329. راجع : </w:t>
      </w:r>
      <w:r w:rsidRPr="00DE76B9">
        <w:rPr>
          <w:rStyle w:val="libFootnoteBoldChar"/>
          <w:rtl/>
        </w:rPr>
        <w:t>رجال الطوسي</w:t>
      </w:r>
      <w:r w:rsidRPr="00B52769">
        <w:rPr>
          <w:rtl/>
        </w:rPr>
        <w:t xml:space="preserve"> ، ص 442 ، الرقم 6310.</w:t>
      </w:r>
    </w:p>
    <w:p w:rsidR="00992664" w:rsidRPr="00020424" w:rsidRDefault="00992664" w:rsidP="00B52769">
      <w:pPr>
        <w:pStyle w:val="libFootnote0"/>
        <w:rPr>
          <w:rtl/>
          <w:lang w:bidi="fa-IR"/>
        </w:rPr>
      </w:pPr>
      <w:r w:rsidRPr="00B52769">
        <w:rPr>
          <w:rtl/>
        </w:rPr>
        <w:t xml:space="preserve">ويؤيّد ذلك أنّ تفصيل الخبر رواه الكليني في </w:t>
      </w:r>
      <w:r w:rsidRPr="00DE76B9">
        <w:rPr>
          <w:rStyle w:val="libFootnoteBoldChar"/>
          <w:rtl/>
        </w:rPr>
        <w:t>الكافي</w:t>
      </w:r>
      <w:r w:rsidRPr="00B52769">
        <w:rPr>
          <w:rtl/>
        </w:rPr>
        <w:t xml:space="preserve"> ، ح 14819 ، عن محمّد بن عليّ بن معمر مسنداً عن أمير المؤمنين </w:t>
      </w:r>
      <w:r w:rsidRPr="00D64ADA">
        <w:rPr>
          <w:rStyle w:val="libFootnoteAlaemChar"/>
          <w:rtl/>
        </w:rPr>
        <w:t>عليه‌السلام</w:t>
      </w:r>
      <w:r w:rsidRPr="00B52769">
        <w:rPr>
          <w:rtl/>
        </w:rPr>
        <w:t>.</w:t>
      </w:r>
    </w:p>
    <w:p w:rsidR="00992664" w:rsidRPr="00020424" w:rsidRDefault="00795177" w:rsidP="00B52769">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الروضة ، ضمن الحديث الطويل 14819</w:t>
      </w:r>
      <w:r w:rsidR="00992664">
        <w:rPr>
          <w:rtl/>
        </w:rPr>
        <w:t xml:space="preserve"> </w:t>
      </w:r>
      <w:r w:rsidR="009B673F">
        <w:rPr>
          <w:rtl/>
        </w:rPr>
        <w:t>-</w:t>
      </w:r>
      <w:r w:rsidR="00992664">
        <w:rPr>
          <w:rtl/>
        </w:rPr>
        <w:t xml:space="preserve"> </w:t>
      </w:r>
      <w:r w:rsidR="00992664" w:rsidRPr="00020424">
        <w:rPr>
          <w:rtl/>
        </w:rPr>
        <w:t>خطبة الوسيلة</w:t>
      </w:r>
      <w:r w:rsidR="00992664">
        <w:rPr>
          <w:rtl/>
        </w:rPr>
        <w:t xml:space="preserve"> </w:t>
      </w:r>
      <w:r w:rsidR="009B673F">
        <w:rPr>
          <w:rtl/>
        </w:rPr>
        <w:t>-</w:t>
      </w:r>
      <w:r w:rsidR="00992664">
        <w:rPr>
          <w:rtl/>
        </w:rPr>
        <w:t xml:space="preserve"> </w:t>
      </w:r>
      <w:r w:rsidR="00992664" w:rsidRPr="00020424">
        <w:rPr>
          <w:rtl/>
        </w:rPr>
        <w:t xml:space="preserve">عن محمّد بن عليّ بن معمر ، عن محمّد بن عليّ بن عكاية التميمي ، عن الحسين بن النضر الفهري ، عن أبي عمرو الأوزاعي ، عن عمرو بن شمر ، عن جابر بن يزيد ، عن أبي جعفر ، عن أميرالمؤمنين </w:t>
      </w:r>
      <w:r w:rsidR="00D64ADA" w:rsidRPr="00D64ADA">
        <w:rPr>
          <w:rStyle w:val="libFootnoteAlaemChar"/>
          <w:rtl/>
        </w:rPr>
        <w:t>عليهما‌السلام</w:t>
      </w:r>
      <w:r w:rsidR="00992664" w:rsidRPr="00020424">
        <w:rPr>
          <w:rtl/>
        </w:rPr>
        <w:t xml:space="preserve">. </w:t>
      </w:r>
      <w:r w:rsidR="00992664" w:rsidRPr="00DE76B9">
        <w:rPr>
          <w:rStyle w:val="libFootnoteBoldChar"/>
          <w:rtl/>
        </w:rPr>
        <w:t>تحف العقول</w:t>
      </w:r>
      <w:r w:rsidR="00992664" w:rsidRPr="00020424">
        <w:rPr>
          <w:rtl/>
        </w:rPr>
        <w:t xml:space="preserve"> ، ص 95 ، ضمن خطبة الوسيلة ، عن أميرالمؤمنين </w:t>
      </w:r>
      <w:r w:rsidR="00992664" w:rsidRPr="00D64ADA">
        <w:rPr>
          <w:rStyle w:val="libFootnoteAlaemChar"/>
          <w:rtl/>
        </w:rPr>
        <w:t>عليه‌السلام</w:t>
      </w:r>
      <w:r w:rsidR="00992664" w:rsidRPr="00020424">
        <w:rPr>
          <w:rtl/>
        </w:rPr>
        <w:t xml:space="preserve"> </w:t>
      </w:r>
      <w:r w:rsidR="00B52769">
        <w:rPr>
          <w:rFonts w:hint="cs"/>
          <w:rtl/>
        </w:rPr>
        <w:t>.</w:t>
      </w:r>
      <w:r w:rsidR="00992664" w:rsidRPr="0012008A">
        <w:rPr>
          <w:rStyle w:val="libFootnoteBoldChar"/>
          <w:rtl/>
        </w:rPr>
        <w:t>الوافي</w:t>
      </w:r>
      <w:r w:rsidR="00992664" w:rsidRPr="00020424">
        <w:rPr>
          <w:rtl/>
        </w:rPr>
        <w:t xml:space="preserve"> ، ج 10 ، ص 576 ، ح 10125 ؛ </w:t>
      </w:r>
      <w:r w:rsidR="00992664" w:rsidRPr="0012008A">
        <w:rPr>
          <w:rStyle w:val="libFootnoteBoldChar"/>
          <w:rtl/>
        </w:rPr>
        <w:t>الوسائل</w:t>
      </w:r>
      <w:r w:rsidR="00992664" w:rsidRPr="00020424">
        <w:rPr>
          <w:rtl/>
        </w:rPr>
        <w:t xml:space="preserve"> ، ج 16 ، ص 192 ، ح 21321 ؛ وج 21 ، ص 557 ، ح 27864.</w:t>
      </w:r>
      <w:r w:rsidR="00B52769">
        <w:rPr>
          <w:rFonts w:hint="cs"/>
          <w:rtl/>
        </w:rPr>
        <w:t xml:space="preserve">                            </w:t>
      </w:r>
      <w:r>
        <w:rPr>
          <w:rtl/>
        </w:rPr>
        <w:t>(5).</w:t>
      </w:r>
      <w:r w:rsidR="0014403D">
        <w:rPr>
          <w:rtl/>
        </w:rPr>
        <w:t xml:space="preserve"> </w:t>
      </w:r>
      <w:r w:rsidR="00992664" w:rsidRPr="00020424">
        <w:rPr>
          <w:rtl/>
        </w:rPr>
        <w:t>في « بخ ، بر ، بف » : « إذا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بث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تعلمهنّ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52769" w:rsidTr="00B52769">
        <w:tc>
          <w:tcPr>
            <w:tcW w:w="4006" w:type="dxa"/>
          </w:tcPr>
          <w:p w:rsidR="00B52769" w:rsidRDefault="00B52769" w:rsidP="00992664">
            <w:pPr>
              <w:pStyle w:val="libFootnote0"/>
              <w:rPr>
                <w:rtl/>
              </w:rPr>
            </w:pPr>
            <w:r>
              <w:rPr>
                <w:rtl/>
              </w:rPr>
              <w:t xml:space="preserve">(7). </w:t>
            </w:r>
            <w:r w:rsidRPr="00020424">
              <w:rPr>
                <w:rtl/>
              </w:rPr>
              <w:t>في « ى ، بس » : « كان</w:t>
            </w:r>
            <w:r>
              <w:rPr>
                <w:rtl/>
              </w:rPr>
              <w:t xml:space="preserve"> ».</w:t>
            </w:r>
          </w:p>
        </w:tc>
        <w:tc>
          <w:tcPr>
            <w:tcW w:w="4006" w:type="dxa"/>
          </w:tcPr>
          <w:p w:rsidR="00B52769" w:rsidRDefault="00B52769" w:rsidP="00B52769">
            <w:pPr>
              <w:pStyle w:val="libFootnote0"/>
              <w:rPr>
                <w:rtl/>
                <w:lang w:bidi="fa-IR"/>
              </w:rPr>
            </w:pPr>
            <w:r>
              <w:rPr>
                <w:rtl/>
              </w:rPr>
              <w:t>(8). في «بر ، بف ، بك</w:t>
            </w:r>
            <w:r w:rsidRPr="00020424">
              <w:rPr>
                <w:rtl/>
              </w:rPr>
              <w:t xml:space="preserve">» </w:t>
            </w:r>
            <w:r w:rsidRPr="00515444">
              <w:rPr>
                <w:rStyle w:val="libFootnoteBoldChar"/>
                <w:rtl/>
              </w:rPr>
              <w:t>والوافي</w:t>
            </w:r>
            <w:r w:rsidRPr="00020424">
              <w:rPr>
                <w:rtl/>
              </w:rPr>
              <w:t xml:space="preserve"> : « لنعمه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تَطْوِيلُهُ فِي رُكُوعِهِ </w:t>
      </w:r>
      <w:r w:rsidRPr="00A91B96">
        <w:rPr>
          <w:rStyle w:val="libFootnotenumChar"/>
          <w:rtl/>
        </w:rPr>
        <w:t>(1)</w:t>
      </w:r>
      <w:r w:rsidRPr="00020424">
        <w:rPr>
          <w:rtl/>
          <w:lang w:bidi="fa-IR"/>
        </w:rPr>
        <w:t xml:space="preserve"> وَسُجُودِهِ فِي صَلَاتِهِ ، وَتَطْوِيلُهُ لِجُلُوسِهِ عَلى طَعَامِهِ إِذَا أَطْعَمَ </w:t>
      </w:r>
      <w:r w:rsidRPr="00A91B96">
        <w:rPr>
          <w:rStyle w:val="libFootnotenumChar"/>
          <w:rtl/>
        </w:rPr>
        <w:t>(2)</w:t>
      </w:r>
      <w:r w:rsidRPr="00020424">
        <w:rPr>
          <w:rtl/>
          <w:lang w:bidi="fa-IR"/>
        </w:rPr>
        <w:t xml:space="preserve"> عَلى مَائِدَتِهِ ، وَاصْطِنَاعُهُ الْمَعْرُوفَ إِلى أَهْلِهِ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E82973">
        <w:rPr>
          <w:rtl/>
        </w:rPr>
        <w:t>6194</w:t>
      </w:r>
      <w:r w:rsidRPr="001155DE">
        <w:rPr>
          <w:rStyle w:val="libBold2Char"/>
          <w:rtl/>
        </w:rPr>
        <w:t xml:space="preserve"> / 16.</w:t>
      </w:r>
      <w:r w:rsidRPr="00020424">
        <w:rPr>
          <w:rtl/>
          <w:lang w:bidi="fa-IR"/>
        </w:rPr>
        <w:t xml:space="preserve"> عِدَّةٌ مِنْ أَصْحَابِنَا ، عَنْ أَحْمَدَ بْنِ مُحَمَّدٍ ، عَنْ عُثْمَانَ بْنِ عِيسى ، عَنْ سَمَاعَةَ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قُلْتُ </w:t>
      </w:r>
      <w:r w:rsidRPr="00A91B96">
        <w:rPr>
          <w:rStyle w:val="libFootnotenumChar"/>
          <w:rtl/>
        </w:rPr>
        <w:t>(4)</w:t>
      </w:r>
      <w:r w:rsidRPr="00020424">
        <w:rPr>
          <w:rtl/>
          <w:lang w:bidi="fa-IR"/>
        </w:rPr>
        <w:t xml:space="preserve"> : قَوْمٌ </w:t>
      </w:r>
      <w:r w:rsidRPr="00A91B96">
        <w:rPr>
          <w:rStyle w:val="libFootnotenumChar"/>
          <w:rtl/>
        </w:rPr>
        <w:t>(5)</w:t>
      </w:r>
      <w:r w:rsidRPr="00020424">
        <w:rPr>
          <w:rtl/>
          <w:lang w:bidi="fa-IR"/>
        </w:rPr>
        <w:t xml:space="preserve"> عِنْدَهُمْ فُضُولٌ ، وَبِإِخْوَانِهِمْ حَاجَةٌ شَدِيدَةٌ ، وَلَيْسَ تَسَعُهُمُ </w:t>
      </w:r>
      <w:r w:rsidRPr="00A91B96">
        <w:rPr>
          <w:rStyle w:val="libFootnotenumChar"/>
          <w:rtl/>
        </w:rPr>
        <w:t>(6)</w:t>
      </w:r>
      <w:r>
        <w:rPr>
          <w:rtl/>
          <w:lang w:bidi="fa-IR"/>
        </w:rPr>
        <w:t xml:space="preserve"> الزَّكَاةُ ، أَ</w:t>
      </w:r>
      <w:r w:rsidRPr="00020424">
        <w:rPr>
          <w:rtl/>
          <w:lang w:bidi="fa-IR"/>
        </w:rPr>
        <w:t xml:space="preserve">يَسَعُهُمْ </w:t>
      </w:r>
      <w:r w:rsidRPr="00A91B96">
        <w:rPr>
          <w:rStyle w:val="libFootnotenumChar"/>
          <w:rtl/>
        </w:rPr>
        <w:t>(7)</w:t>
      </w:r>
      <w:r w:rsidRPr="00020424">
        <w:rPr>
          <w:rtl/>
          <w:lang w:bidi="fa-IR"/>
        </w:rPr>
        <w:t xml:space="preserve"> أَنْ يَشْبَعُوا وَيَجُوعَ إِخْوَانُهُمْ ، فَإِنَّ الزَّمَانَ شَدِيدٌ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 xml:space="preserve">فَقَالَ : « الْمُسْلِمُ أَخُو الْمُسْلِمِ </w:t>
      </w:r>
      <w:r w:rsidRPr="00A91B96">
        <w:rPr>
          <w:rStyle w:val="libFootnotenumChar"/>
          <w:rtl/>
        </w:rPr>
        <w:t>(9)</w:t>
      </w:r>
      <w:r w:rsidRPr="00020424">
        <w:rPr>
          <w:rtl/>
          <w:lang w:bidi="fa-IR"/>
        </w:rPr>
        <w:t xml:space="preserve"> ، لَايَظْلِمُهُ </w:t>
      </w:r>
      <w:r w:rsidRPr="00A91B96">
        <w:rPr>
          <w:rStyle w:val="libFootnotenumChar"/>
          <w:rtl/>
        </w:rPr>
        <w:t>(10)</w:t>
      </w:r>
      <w:r w:rsidRPr="00020424">
        <w:rPr>
          <w:rtl/>
          <w:lang w:bidi="fa-IR"/>
        </w:rPr>
        <w:t xml:space="preserve"> وَلَايَخْذُلُهُ وَلَا يَحْرِمُهُ </w:t>
      </w:r>
      <w:r w:rsidRPr="00A91B96">
        <w:rPr>
          <w:rStyle w:val="libFootnotenumChar"/>
          <w:rtl/>
        </w:rPr>
        <w:t>(11)</w:t>
      </w:r>
      <w:r w:rsidRPr="00020424">
        <w:rPr>
          <w:rtl/>
          <w:lang w:bidi="fa-IR"/>
        </w:rPr>
        <w:t xml:space="preserve"> ، فَيَحِقُّ عَلَى الْمُسْلِمِينَ </w:t>
      </w:r>
      <w:r w:rsidRPr="00A91B96">
        <w:rPr>
          <w:rStyle w:val="libFootnotenumChar"/>
          <w:rtl/>
        </w:rPr>
        <w:t>(12)</w:t>
      </w:r>
      <w:r w:rsidRPr="00020424">
        <w:rPr>
          <w:rtl/>
          <w:lang w:bidi="fa-IR"/>
        </w:rPr>
        <w:t xml:space="preserve"> الِاجْتِهَادُ فِيهِ ، وَالتَّوَاصُلُ ، وَالتَّعَاوُنُ عَلَيْهِ </w:t>
      </w:r>
      <w:r w:rsidRPr="00A91B96">
        <w:rPr>
          <w:rStyle w:val="libFootnotenumChar"/>
          <w:rtl/>
        </w:rPr>
        <w:t>(13)</w:t>
      </w:r>
      <w:r w:rsidRPr="00020424">
        <w:rPr>
          <w:rtl/>
          <w:lang w:bidi="fa-IR"/>
        </w:rPr>
        <w:t xml:space="preserve"> ، وَالْمُوَاسَاةُ لِأَهْلِ الْحَاجَةِ ، وَالْعَطْفُ مِنْكُمْ ، يَكُونُونَ </w:t>
      </w:r>
      <w:r w:rsidRPr="00A91B96">
        <w:rPr>
          <w:rStyle w:val="libFootnotenumChar"/>
          <w:rtl/>
        </w:rPr>
        <w:t>(14)</w:t>
      </w:r>
      <w:r w:rsidRPr="00020424">
        <w:rPr>
          <w:rtl/>
          <w:lang w:bidi="fa-IR"/>
        </w:rPr>
        <w:t xml:space="preserve"> عَلى مَا أَمَرَ اللهُ فِيهِمْ</w:t>
      </w:r>
      <w:r>
        <w:rPr>
          <w:rFonts w:hint="cs"/>
          <w:rtl/>
          <w:lang w:bidi="fa-IR"/>
        </w:rPr>
        <w:t xml:space="preserve"> </w:t>
      </w:r>
      <w:r w:rsidRPr="00005A81">
        <w:rPr>
          <w:rStyle w:val="libAlaemChar"/>
          <w:rtl/>
        </w:rPr>
        <w:t>(</w:t>
      </w:r>
      <w:r w:rsidRPr="004E5AB4">
        <w:rPr>
          <w:rStyle w:val="libAieChar"/>
          <w:rtl/>
        </w:rPr>
        <w:t xml:space="preserve"> رُحَماءُ بَيْنَهُمْ </w:t>
      </w:r>
      <w:r w:rsidRPr="00005A81">
        <w:rPr>
          <w:rStyle w:val="libAlaemChar"/>
          <w:rtl/>
        </w:rPr>
        <w:t>)</w:t>
      </w:r>
      <w:r w:rsidRPr="00020424">
        <w:rPr>
          <w:rtl/>
          <w:lang w:bidi="fa-IR"/>
        </w:rPr>
        <w:t xml:space="preserve"> </w:t>
      </w:r>
      <w:r w:rsidRPr="00A91B96">
        <w:rPr>
          <w:rStyle w:val="libFootnotenumChar"/>
          <w:rtl/>
        </w:rPr>
        <w:t>(15)</w:t>
      </w:r>
      <w:r w:rsidRPr="00020424">
        <w:rPr>
          <w:rtl/>
          <w:lang w:bidi="fa-IR"/>
        </w:rPr>
        <w:t xml:space="preserve"> مُتَرَاحِمِينَ</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ح 21593 : « لركوعه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بح ، بس ، جن » </w:t>
      </w:r>
      <w:r w:rsidR="00992664" w:rsidRPr="00EB1FD9">
        <w:rPr>
          <w:rStyle w:val="libFootnoteBoldChar"/>
          <w:rtl/>
        </w:rPr>
        <w:t>والوسائل</w:t>
      </w:r>
      <w:r w:rsidR="00992664" w:rsidRPr="00020424">
        <w:rPr>
          <w:rtl/>
        </w:rPr>
        <w:t xml:space="preserve"> : « إذا طعم</w:t>
      </w:r>
      <w:r w:rsidR="00992664">
        <w:rPr>
          <w:rtl/>
        </w:rPr>
        <w:t xml:space="preserve"> ».</w:t>
      </w:r>
      <w:r w:rsidR="00992664" w:rsidRPr="00020424">
        <w:rPr>
          <w:rtl/>
        </w:rPr>
        <w:t xml:space="preserve"> وفي « ى ، بس » : + « 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10 ، ص 450 ، ح 9863 ؛ </w:t>
      </w:r>
      <w:r w:rsidR="00992664" w:rsidRPr="0012008A">
        <w:rPr>
          <w:rStyle w:val="libFootnoteBoldChar"/>
          <w:rtl/>
        </w:rPr>
        <w:t>الوسائل</w:t>
      </w:r>
      <w:r w:rsidR="00992664" w:rsidRPr="00020424">
        <w:rPr>
          <w:rtl/>
        </w:rPr>
        <w:t xml:space="preserve"> ، ج 6 ، ص 305 ، ح 8037 ؛ وج 16 ، ص 297 ، ح 21593.</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بك » </w:t>
      </w:r>
      <w:r w:rsidR="00992664" w:rsidRPr="006C7A1F">
        <w:rPr>
          <w:rStyle w:val="libFootnoteBoldChar"/>
          <w:rtl/>
        </w:rPr>
        <w:t>والمؤمن</w:t>
      </w:r>
      <w:r w:rsidR="00992664" w:rsidRPr="00020424">
        <w:rPr>
          <w:rtl/>
        </w:rPr>
        <w:t xml:space="preserve"> : « عن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بخ ، بر ، بك » </w:t>
      </w:r>
      <w:r w:rsidR="00992664" w:rsidRPr="00515444">
        <w:rPr>
          <w:rStyle w:val="libFootnoteBoldChar"/>
          <w:rtl/>
        </w:rPr>
        <w:t>والوافي</w:t>
      </w:r>
      <w:r w:rsidR="00992664" w:rsidRPr="00020424">
        <w:rPr>
          <w:rtl/>
        </w:rPr>
        <w:t xml:space="preserve"> : « أقوام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بر ، بف ، بك » </w:t>
      </w:r>
      <w:r w:rsidR="00992664" w:rsidRPr="00515444">
        <w:rPr>
          <w:rStyle w:val="libFootnoteBoldChar"/>
          <w:rtl/>
        </w:rPr>
        <w:t>والوافي</w:t>
      </w:r>
      <w:r w:rsidR="00992664" w:rsidRPr="00020424">
        <w:rPr>
          <w:rtl/>
        </w:rPr>
        <w:t xml:space="preserve"> : « يسعهم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المؤمن : « وما يسعهم » بدل « أيسعهم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شدّة الزمان كناية عن ضيق المعاش وعسر حصوله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949F9" w:rsidTr="00F949F9">
        <w:tc>
          <w:tcPr>
            <w:tcW w:w="4006" w:type="dxa"/>
          </w:tcPr>
          <w:p w:rsidR="00F949F9" w:rsidRDefault="00F949F9" w:rsidP="00992664">
            <w:pPr>
              <w:pStyle w:val="libFootnote0"/>
              <w:rPr>
                <w:rtl/>
              </w:rPr>
            </w:pPr>
            <w:r>
              <w:rPr>
                <w:rtl/>
              </w:rPr>
              <w:t xml:space="preserve">(9). </w:t>
            </w:r>
            <w:r w:rsidRPr="00020424">
              <w:rPr>
                <w:rtl/>
              </w:rPr>
              <w:t>في « بث » : + « وأخو المسلم</w:t>
            </w:r>
            <w:r>
              <w:rPr>
                <w:rtl/>
              </w:rPr>
              <w:t xml:space="preserve"> ».</w:t>
            </w:r>
          </w:p>
        </w:tc>
        <w:tc>
          <w:tcPr>
            <w:tcW w:w="4006" w:type="dxa"/>
          </w:tcPr>
          <w:p w:rsidR="00F949F9" w:rsidRDefault="00F949F9" w:rsidP="00992664">
            <w:pPr>
              <w:pStyle w:val="libFootnote0"/>
              <w:rPr>
                <w:rtl/>
              </w:rPr>
            </w:pPr>
            <w:r>
              <w:rPr>
                <w:rtl/>
              </w:rPr>
              <w:t xml:space="preserve">(10). </w:t>
            </w:r>
            <w:r w:rsidRPr="00020424">
              <w:rPr>
                <w:rtl/>
              </w:rPr>
              <w:t>في « ى ، بث ، بح » : « فلا يظلمه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بخ » : « ولا يخونه</w:t>
      </w:r>
      <w:r w:rsidR="00992664">
        <w:rPr>
          <w:rtl/>
        </w:rPr>
        <w:t xml:space="preserve"> ».</w:t>
      </w:r>
      <w:r w:rsidR="00992664" w:rsidRPr="00020424">
        <w:rPr>
          <w:rtl/>
        </w:rPr>
        <w:t xml:space="preserve"> وفي « بر ، بف ، بك » : « ولا يحزنه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ولا يذلّه ولا يخونه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67E79" w:rsidTr="00E67E79">
        <w:tc>
          <w:tcPr>
            <w:tcW w:w="4006" w:type="dxa"/>
          </w:tcPr>
          <w:p w:rsidR="00E67E79" w:rsidRDefault="00E67E79" w:rsidP="00992664">
            <w:pPr>
              <w:pStyle w:val="libFootnote0"/>
              <w:rPr>
                <w:rtl/>
                <w:lang w:bidi="fa-IR"/>
              </w:rPr>
            </w:pPr>
            <w:r>
              <w:rPr>
                <w:rtl/>
              </w:rPr>
              <w:t xml:space="preserve">(12). </w:t>
            </w:r>
            <w:r w:rsidRPr="00020424">
              <w:rPr>
                <w:rtl/>
              </w:rPr>
              <w:t>في « بخ ، بر ، بك » : « المسلم</w:t>
            </w:r>
            <w:r>
              <w:rPr>
                <w:rtl/>
              </w:rPr>
              <w:t xml:space="preserve"> ».</w:t>
            </w:r>
          </w:p>
        </w:tc>
        <w:tc>
          <w:tcPr>
            <w:tcW w:w="4006" w:type="dxa"/>
          </w:tcPr>
          <w:p w:rsidR="00E67E79" w:rsidRDefault="00E67E79" w:rsidP="00992664">
            <w:pPr>
              <w:pStyle w:val="libFootnote0"/>
              <w:rPr>
                <w:rtl/>
                <w:lang w:bidi="fa-IR"/>
              </w:rPr>
            </w:pPr>
            <w:r>
              <w:rPr>
                <w:rtl/>
              </w:rPr>
              <w:t xml:space="preserve">(13). </w:t>
            </w:r>
            <w:r w:rsidRPr="00020424">
              <w:rPr>
                <w:rtl/>
              </w:rPr>
              <w:t>في « ى » :</w:t>
            </w:r>
            <w:r>
              <w:rPr>
                <w:rtl/>
              </w:rPr>
              <w:t xml:space="preserve"> - </w:t>
            </w:r>
            <w:r w:rsidRPr="00020424">
              <w:rPr>
                <w:rtl/>
              </w:rPr>
              <w:t>« عليه</w:t>
            </w:r>
            <w:r>
              <w:rPr>
                <w:rtl/>
              </w:rPr>
              <w:t xml:space="preserve"> ».</w:t>
            </w:r>
          </w:p>
        </w:tc>
      </w:tr>
      <w:tr w:rsidR="00E67E79" w:rsidTr="00E67E79">
        <w:tc>
          <w:tcPr>
            <w:tcW w:w="4006" w:type="dxa"/>
          </w:tcPr>
          <w:p w:rsidR="00E67E79" w:rsidRDefault="00E67E79" w:rsidP="00992664">
            <w:pPr>
              <w:pStyle w:val="libFootnote0"/>
              <w:rPr>
                <w:rtl/>
                <w:lang w:bidi="fa-IR"/>
              </w:rPr>
            </w:pPr>
            <w:r>
              <w:rPr>
                <w:rtl/>
              </w:rPr>
              <w:t xml:space="preserve">(14). </w:t>
            </w:r>
            <w:r w:rsidRPr="00020424">
              <w:rPr>
                <w:rtl/>
              </w:rPr>
              <w:t>في « ظ ، بح » : « تكونون</w:t>
            </w:r>
            <w:r>
              <w:rPr>
                <w:rtl/>
              </w:rPr>
              <w:t xml:space="preserve"> ».</w:t>
            </w:r>
          </w:p>
        </w:tc>
        <w:tc>
          <w:tcPr>
            <w:tcW w:w="4006" w:type="dxa"/>
          </w:tcPr>
          <w:p w:rsidR="00E67E79" w:rsidRDefault="00E67E79" w:rsidP="00992664">
            <w:pPr>
              <w:pStyle w:val="libFootnote0"/>
              <w:rPr>
                <w:rtl/>
                <w:lang w:bidi="fa-IR"/>
              </w:rPr>
            </w:pPr>
            <w:r>
              <w:rPr>
                <w:rtl/>
              </w:rPr>
              <w:t xml:space="preserve">(15). </w:t>
            </w:r>
            <w:r w:rsidRPr="00020424">
              <w:rPr>
                <w:rtl/>
              </w:rPr>
              <w:t>الفتح (48) : 29.</w:t>
            </w:r>
          </w:p>
        </w:tc>
      </w:tr>
    </w:tbl>
    <w:p w:rsidR="00992664" w:rsidRPr="00020424" w:rsidRDefault="00795177" w:rsidP="00992664">
      <w:pPr>
        <w:pStyle w:val="libFootnote0"/>
        <w:rPr>
          <w:rtl/>
          <w:lang w:bidi="fa-IR"/>
        </w:rPr>
      </w:pPr>
      <w:r>
        <w:rPr>
          <w:rtl/>
        </w:rPr>
        <w:t>(16).</w:t>
      </w:r>
      <w:r w:rsidR="0014403D">
        <w:rPr>
          <w:rtl/>
        </w:rPr>
        <w:t xml:space="preserve"> </w:t>
      </w:r>
      <w:r w:rsidR="00992664" w:rsidRPr="00DE76B9">
        <w:rPr>
          <w:rStyle w:val="libFootnoteBoldChar"/>
          <w:rtl/>
        </w:rPr>
        <w:t>المؤمن</w:t>
      </w:r>
      <w:r w:rsidR="00992664" w:rsidRPr="00020424">
        <w:rPr>
          <w:rtl/>
        </w:rPr>
        <w:t xml:space="preserve"> ، ص 43 ، ح 101 ، عن سماعة. </w:t>
      </w:r>
      <w:r w:rsidR="00992664" w:rsidRPr="00DE76B9">
        <w:rPr>
          <w:rStyle w:val="libFootnoteBoldChar"/>
          <w:rtl/>
        </w:rPr>
        <w:t>الكافي</w:t>
      </w:r>
      <w:r w:rsidR="00992664" w:rsidRPr="00020424">
        <w:rPr>
          <w:rtl/>
        </w:rPr>
        <w:t xml:space="preserve"> ، كتاب الإيمان والكفر ، باب حقّ المؤمن على أخيه وأداء حقّه ، ح 2070 ، من قوله : « المسلم أخو المسلم » ؛ </w:t>
      </w:r>
      <w:r w:rsidR="00992664" w:rsidRPr="00DE76B9">
        <w:rPr>
          <w:rStyle w:val="libFootnoteBoldChar"/>
          <w:rtl/>
        </w:rPr>
        <w:t>وفيه</w:t>
      </w:r>
      <w:r w:rsidR="00992664" w:rsidRPr="00020424">
        <w:rPr>
          <w:rtl/>
        </w:rPr>
        <w:t xml:space="preserve"> ، باب التراحم والتعاطف ، ح 2075 ، من قوله : « فيحقّ على المسلمين الاجتهاد فيه » وفي الأخيرين بسند آخر ، مع اختلاف يسير وزيادة في آخره. راجع : </w:t>
      </w:r>
      <w:r w:rsidR="00992664" w:rsidRPr="00DE76B9">
        <w:rPr>
          <w:rStyle w:val="libFootnoteBoldChar"/>
          <w:rtl/>
        </w:rPr>
        <w:t>الكافي</w:t>
      </w:r>
      <w:r w:rsidR="00992664" w:rsidRPr="00020424">
        <w:rPr>
          <w:rtl/>
        </w:rPr>
        <w:t xml:space="preserve"> ، نفس الكتاب ، باب ا</w:t>
      </w:r>
      <w:r w:rsidR="007F347E">
        <w:rPr>
          <w:rFonts w:hint="cs"/>
          <w:rtl/>
        </w:rPr>
        <w:t>ُ</w:t>
      </w:r>
      <w:r w:rsidR="00992664" w:rsidRPr="00020424">
        <w:rPr>
          <w:rtl/>
        </w:rPr>
        <w:t xml:space="preserve">خوّة المؤمنين بعضهم لبعض ، ح 2046 و2052 ؛ </w:t>
      </w:r>
      <w:r w:rsidR="00992664" w:rsidRPr="006C7A1F">
        <w:rPr>
          <w:rStyle w:val="libFootnoteBoldChar"/>
          <w:rtl/>
        </w:rPr>
        <w:t>ومصادقة الإخوان</w:t>
      </w:r>
      <w:r w:rsidR="00992664" w:rsidRPr="00020424">
        <w:rPr>
          <w:rtl/>
        </w:rPr>
        <w:t xml:space="preserve"> ، ص 48 ، ح 1 </w:t>
      </w:r>
      <w:r w:rsidR="007F347E">
        <w:rPr>
          <w:rFonts w:hint="cs"/>
          <w:rtl/>
        </w:rPr>
        <w:t>.</w:t>
      </w:r>
      <w:r w:rsidR="00992664" w:rsidRPr="0012008A">
        <w:rPr>
          <w:rStyle w:val="libFootnoteBoldChar"/>
          <w:rtl/>
        </w:rPr>
        <w:t>الوافي</w:t>
      </w:r>
      <w:r w:rsidR="00992664" w:rsidRPr="00020424">
        <w:rPr>
          <w:rtl/>
        </w:rPr>
        <w:t xml:space="preserve"> ، ج 5 ، ص 548 ، ح 2555 ؛ </w:t>
      </w:r>
      <w:r w:rsidR="00992664" w:rsidRPr="0012008A">
        <w:rPr>
          <w:rStyle w:val="libFootnoteBoldChar"/>
          <w:rtl/>
        </w:rPr>
        <w:t>الوسائل</w:t>
      </w:r>
      <w:r w:rsidR="00992664" w:rsidRPr="00020424">
        <w:rPr>
          <w:rtl/>
        </w:rPr>
        <w:t xml:space="preserve"> ، ج 16 ، ص 385 ، ح 21830.</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71" w:name="_Toc345172807"/>
      <w:bookmarkStart w:id="272" w:name="_Toc464562623"/>
      <w:bookmarkStart w:id="273" w:name="_Toc44599926"/>
      <w:r w:rsidRPr="00020424">
        <w:rPr>
          <w:rtl/>
          <w:lang w:bidi="fa-IR"/>
        </w:rPr>
        <w:t>85</w:t>
      </w:r>
      <w:r>
        <w:rPr>
          <w:rtl/>
          <w:lang w:bidi="fa-IR"/>
        </w:rPr>
        <w:t xml:space="preserve"> </w:t>
      </w:r>
      <w:r w:rsidR="009B673F">
        <w:rPr>
          <w:rtl/>
          <w:lang w:bidi="fa-IR"/>
        </w:rPr>
        <w:t>-</w:t>
      </w:r>
      <w:r>
        <w:rPr>
          <w:rtl/>
          <w:lang w:bidi="fa-IR"/>
        </w:rPr>
        <w:t xml:space="preserve"> </w:t>
      </w:r>
      <w:r w:rsidRPr="00020424">
        <w:rPr>
          <w:rtl/>
          <w:lang w:bidi="fa-IR"/>
        </w:rPr>
        <w:t>بَابُ فَضْلِ إِطْعَامِ الطَّعَامِ‌</w:t>
      </w:r>
      <w:bookmarkEnd w:id="271"/>
      <w:bookmarkEnd w:id="272"/>
      <w:bookmarkEnd w:id="273"/>
    </w:p>
    <w:p w:rsidR="00992664" w:rsidRPr="00020424" w:rsidRDefault="00992664" w:rsidP="00992664">
      <w:pPr>
        <w:pStyle w:val="libNormal"/>
        <w:rPr>
          <w:rtl/>
          <w:lang w:bidi="fa-IR"/>
        </w:rPr>
      </w:pPr>
      <w:r w:rsidRPr="00E82973">
        <w:rPr>
          <w:rtl/>
        </w:rPr>
        <w:t>6195</w:t>
      </w:r>
      <w:r w:rsidRPr="001155DE">
        <w:rPr>
          <w:rStyle w:val="libBold2Char"/>
          <w:rtl/>
        </w:rPr>
        <w:t xml:space="preserve"> / 1.</w:t>
      </w:r>
      <w:r w:rsidRPr="00020424">
        <w:rPr>
          <w:rtl/>
          <w:lang w:bidi="fa-IR"/>
        </w:rPr>
        <w:t xml:space="preserve"> عَلِيُّ بْنُ إِبْرَاهِيمَ ، عَنْ مُحَمَّدِ بْنِ عِيسَى بْنِ عُبَيْدٍ ، عَنْ عَلِيِّ بْنِ الْحَكَمِ وَغَيْرِهِ </w:t>
      </w:r>
      <w:r w:rsidRPr="00A91B96">
        <w:rPr>
          <w:rStyle w:val="libFootnotenumChar"/>
          <w:rtl/>
        </w:rPr>
        <w:t>(1)</w:t>
      </w:r>
      <w:r w:rsidRPr="00020424">
        <w:rPr>
          <w:rtl/>
          <w:lang w:bidi="fa-IR"/>
        </w:rPr>
        <w:t xml:space="preserve"> ، عَنْ مُوسَى بْنِ بَكْرٍ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مِنْ مُوجِبَاتِ مَغْفِرَةِ اللهِ</w:t>
      </w:r>
      <w:r>
        <w:rPr>
          <w:rtl/>
          <w:lang w:bidi="fa-IR"/>
        </w:rPr>
        <w:t xml:space="preserve"> </w:t>
      </w:r>
      <w:r w:rsidR="009B673F">
        <w:rPr>
          <w:rtl/>
          <w:lang w:bidi="fa-IR"/>
        </w:rPr>
        <w:t>-</w:t>
      </w:r>
      <w:r>
        <w:rPr>
          <w:rtl/>
          <w:lang w:bidi="fa-IR"/>
        </w:rPr>
        <w:t xml:space="preserve"> </w:t>
      </w:r>
      <w:r w:rsidRPr="00020424">
        <w:rPr>
          <w:rtl/>
          <w:lang w:bidi="fa-IR"/>
        </w:rPr>
        <w:t xml:space="preserve">تَبَارَكَ وَتَعَالى </w:t>
      </w:r>
      <w:r w:rsidRPr="00A91B96">
        <w:rPr>
          <w:rStyle w:val="libFootnotenumChar"/>
          <w:rtl/>
        </w:rPr>
        <w:t>(2)</w:t>
      </w:r>
      <w:r>
        <w:rPr>
          <w:rtl/>
          <w:lang w:bidi="fa-IR"/>
        </w:rPr>
        <w:t xml:space="preserve"> </w:t>
      </w:r>
      <w:r w:rsidR="009B673F">
        <w:rPr>
          <w:rtl/>
          <w:lang w:bidi="fa-IR"/>
        </w:rPr>
        <w:t>-</w:t>
      </w:r>
      <w:r>
        <w:rPr>
          <w:rtl/>
          <w:lang w:bidi="fa-IR"/>
        </w:rPr>
        <w:t xml:space="preserve"> </w:t>
      </w:r>
      <w:r w:rsidRPr="00020424">
        <w:rPr>
          <w:rtl/>
          <w:lang w:bidi="fa-IR"/>
        </w:rPr>
        <w:t>إِطْعَامُ الطَّعَامِ</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E82973">
        <w:rPr>
          <w:rtl/>
        </w:rPr>
        <w:t>6196</w:t>
      </w:r>
      <w:r w:rsidRPr="001155DE">
        <w:rPr>
          <w:rStyle w:val="libBold2Char"/>
          <w:rtl/>
        </w:rPr>
        <w:t xml:space="preserve"> / 2.</w:t>
      </w:r>
      <w:r w:rsidRPr="00020424">
        <w:rPr>
          <w:rtl/>
          <w:lang w:bidi="fa-IR"/>
        </w:rPr>
        <w:t xml:space="preserve"> عَلِيُّ بْنُ إِبْرَاهِيمَ </w:t>
      </w:r>
      <w:r w:rsidRPr="00A91B96">
        <w:rPr>
          <w:rStyle w:val="libFootnotenumChar"/>
          <w:rtl/>
        </w:rPr>
        <w:t>(4)</w:t>
      </w:r>
      <w:r w:rsidRPr="00020424">
        <w:rPr>
          <w:rtl/>
          <w:lang w:bidi="fa-IR"/>
        </w:rPr>
        <w:t xml:space="preserve"> ، عَنْ أَبِيهِ ، عَنِ ابْنِ أَبِي عُمَيْرٍ ، عَنْ </w:t>
      </w:r>
      <w:r w:rsidR="004F05E5">
        <w:rPr>
          <w:rtl/>
          <w:lang w:bidi="fa-IR"/>
        </w:rPr>
        <w:t>حَمَّادِ بْنِ عُثْمَانَ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مِنَ الْإِيمَانِ حُسْنُ الْخُلُقِ وَإِطْعَامُ الطَّعَامِ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E82973">
        <w:rPr>
          <w:rtl/>
        </w:rPr>
        <w:t>6197</w:t>
      </w:r>
      <w:r w:rsidRPr="001155DE">
        <w:rPr>
          <w:rStyle w:val="libBold2Char"/>
          <w:rtl/>
        </w:rPr>
        <w:t xml:space="preserve"> / 3.</w:t>
      </w:r>
      <w:r w:rsidRPr="00020424">
        <w:rPr>
          <w:rtl/>
          <w:lang w:bidi="fa-IR"/>
        </w:rPr>
        <w:t xml:space="preserve"> عَلِيُّ بْنُ إِبْرَاهِيمَ </w:t>
      </w:r>
      <w:r w:rsidRPr="00A91B96">
        <w:rPr>
          <w:rStyle w:val="libFootnotenumChar"/>
          <w:rtl/>
        </w:rPr>
        <w:t>(6)</w:t>
      </w:r>
      <w:r w:rsidRPr="00020424">
        <w:rPr>
          <w:rtl/>
          <w:lang w:bidi="fa-IR"/>
        </w:rPr>
        <w:t xml:space="preserve"> ، عَنْ عَلِيِّ بْنِ مُحَمَّدٍ الْقَاسَانِيِّ ، عَمَّنْ حَدَّثَهُ ، عَنْ عَبْدِ اللهِ بْنِ الْقَاسِمِ الْجَعْفَرِيِّ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خَيْرُكُمْ مَنْ أَطْعَمَ الطَّعَامَ ، وَأَفْشَى السَّلَامَ ، وَصَلّى وَالنَّاسُ نِيَامٌ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21680 :</w:t>
      </w:r>
      <w:r w:rsidR="00992664">
        <w:rPr>
          <w:rtl/>
        </w:rPr>
        <w:t xml:space="preserve"> </w:t>
      </w:r>
      <w:r w:rsidR="009B673F">
        <w:rPr>
          <w:rtl/>
        </w:rPr>
        <w:t>-</w:t>
      </w:r>
      <w:r w:rsidR="00992664">
        <w:rPr>
          <w:rtl/>
        </w:rPr>
        <w:t xml:space="preserve"> </w:t>
      </w:r>
      <w:r w:rsidR="00992664" w:rsidRPr="00020424">
        <w:rPr>
          <w:rtl/>
        </w:rPr>
        <w:t>« وغيره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21680 : « المغفرة » بدل « مغفرة الله تبارك وتعالى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إطعام المؤمن ، ضمن ح 2179 ؛ و</w:t>
      </w:r>
      <w:r w:rsidR="00D64ADA" w:rsidRPr="00D64ADA">
        <w:rPr>
          <w:rStyle w:val="libFootnoteBoldChar"/>
          <w:rtl/>
        </w:rPr>
        <w:t>المحاسن</w:t>
      </w:r>
      <w:r w:rsidR="00992664" w:rsidRPr="00020424">
        <w:rPr>
          <w:rtl/>
        </w:rPr>
        <w:t xml:space="preserve"> ، ص 389 ، كتاب المآكل ، ح 17 ؛ </w:t>
      </w:r>
      <w:r w:rsidR="00992664" w:rsidRPr="006C7A1F">
        <w:rPr>
          <w:rStyle w:val="libFootnoteBoldChar"/>
          <w:rtl/>
        </w:rPr>
        <w:t>وثواب الأعمال</w:t>
      </w:r>
      <w:r w:rsidR="00992664" w:rsidRPr="00DE76B9">
        <w:rPr>
          <w:rStyle w:val="libFootnoteBoldChar"/>
          <w:rtl/>
        </w:rPr>
        <w:t xml:space="preserve"> </w:t>
      </w:r>
      <w:r w:rsidR="00992664" w:rsidRPr="00020424">
        <w:rPr>
          <w:rtl/>
        </w:rPr>
        <w:t xml:space="preserve">، ص 165 ، ضمن ح 1 ، بسند آخر عن أبي عبدالله </w:t>
      </w:r>
      <w:r w:rsidR="00992664" w:rsidRPr="00D64ADA">
        <w:rPr>
          <w:rStyle w:val="libFootnoteAlaemChar"/>
          <w:rtl/>
        </w:rPr>
        <w:t>عليه‌السلام</w:t>
      </w:r>
      <w:r w:rsidR="00992664" w:rsidRPr="00020424">
        <w:rPr>
          <w:rtl/>
        </w:rPr>
        <w:t xml:space="preserve"> ، مع اختلاف يسير وزيادة </w:t>
      </w:r>
      <w:r w:rsidR="007F347E">
        <w:rPr>
          <w:rFonts w:hint="cs"/>
          <w:rtl/>
        </w:rPr>
        <w:t>.</w:t>
      </w:r>
      <w:r w:rsidR="00992664" w:rsidRPr="0012008A">
        <w:rPr>
          <w:rStyle w:val="libFootnoteBoldChar"/>
          <w:rtl/>
        </w:rPr>
        <w:t>الوافي</w:t>
      </w:r>
      <w:r w:rsidR="00992664" w:rsidRPr="00020424">
        <w:rPr>
          <w:rtl/>
        </w:rPr>
        <w:t xml:space="preserve"> ، ج 10 ، ص 505 ، ح 9988 ؛ </w:t>
      </w:r>
      <w:r w:rsidR="00992664" w:rsidRPr="0012008A">
        <w:rPr>
          <w:rStyle w:val="libFootnoteBoldChar"/>
          <w:rtl/>
        </w:rPr>
        <w:t>الوسائل</w:t>
      </w:r>
      <w:r w:rsidR="00992664" w:rsidRPr="00020424">
        <w:rPr>
          <w:rtl/>
        </w:rPr>
        <w:t xml:space="preserve"> ، ج 16 ، ص 329 ، ح 21680 ؛ وج 24 ، ص 291 ، ذيل ح 30576.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D64ADA" w:rsidRPr="00D64ADA">
        <w:rPr>
          <w:rStyle w:val="libFootnoteBoldChar"/>
          <w:rtl/>
        </w:rPr>
        <w:t>المحاسن</w:t>
      </w:r>
      <w:r w:rsidR="00992664" w:rsidRPr="00020424">
        <w:rPr>
          <w:rtl/>
        </w:rPr>
        <w:t xml:space="preserve"> ، ص 389 ، كتاب المآكل ، ح 15 ، عن إبراهيم ، عن ابن أبي عمير. </w:t>
      </w:r>
      <w:r w:rsidR="00992664" w:rsidRPr="00DE76B9">
        <w:rPr>
          <w:rStyle w:val="libFootnoteBoldChar"/>
          <w:rtl/>
        </w:rPr>
        <w:t>وفيه</w:t>
      </w:r>
      <w:r w:rsidR="00992664" w:rsidRPr="00020424">
        <w:rPr>
          <w:rtl/>
        </w:rPr>
        <w:t xml:space="preserve"> ، نفس الباب ، ح 16 ، بسند آخر عن أبي جعفر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آخره </w:t>
      </w:r>
      <w:r w:rsidR="007F347E">
        <w:rPr>
          <w:rFonts w:hint="cs"/>
          <w:rtl/>
        </w:rPr>
        <w:t>.</w:t>
      </w:r>
      <w:r w:rsidR="00992664" w:rsidRPr="0012008A">
        <w:rPr>
          <w:rStyle w:val="libFootnoteBoldChar"/>
          <w:rtl/>
        </w:rPr>
        <w:t>الوافي</w:t>
      </w:r>
      <w:r w:rsidR="00992664" w:rsidRPr="00020424">
        <w:rPr>
          <w:rtl/>
        </w:rPr>
        <w:t xml:space="preserve"> ، ج 10 ، ص 505 ، ح 9990 ؛ </w:t>
      </w:r>
      <w:r w:rsidR="00992664" w:rsidRPr="0012008A">
        <w:rPr>
          <w:rStyle w:val="libFootnoteBoldChar"/>
          <w:rtl/>
        </w:rPr>
        <w:t>الوسائل</w:t>
      </w:r>
      <w:r w:rsidR="00992664" w:rsidRPr="00020424">
        <w:rPr>
          <w:rtl/>
        </w:rPr>
        <w:t xml:space="preserve"> ، ج 16 ، ص 330 ، ح 21681 ؛ وج 24 ، ص 287 ، ذيل ح 30562.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D64ADA" w:rsidRPr="00D64ADA">
        <w:rPr>
          <w:rStyle w:val="libFootnoteBoldChar"/>
          <w:rtl/>
        </w:rPr>
        <w:t>المحاسن</w:t>
      </w:r>
      <w:r w:rsidR="00992664" w:rsidRPr="00020424">
        <w:rPr>
          <w:rtl/>
        </w:rPr>
        <w:t xml:space="preserve"> ، ص 387 ، كتاب المآكل ، ح 2 ، عن عليّ بن محمّد القاساني ، عمّن حدّثه ، عن عبدالله بن القاسم </w:t>
      </w:r>
      <w:r w:rsidR="007F347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778F9">
        <w:rPr>
          <w:rtl/>
        </w:rPr>
        <w:t>6198</w:t>
      </w:r>
      <w:r w:rsidRPr="001155DE">
        <w:rPr>
          <w:rStyle w:val="libBold2Char"/>
          <w:rtl/>
        </w:rPr>
        <w:t xml:space="preserve"> / 4.</w:t>
      </w:r>
      <w:r w:rsidRPr="00020424">
        <w:rPr>
          <w:rtl/>
          <w:lang w:bidi="fa-IR"/>
        </w:rPr>
        <w:t xml:space="preserve"> عِدَّةٌ مِنْ أَصْحَابِنَا ، عَنْ أَحْمَدَ بْنِ أَبِي عَبْدِ اللهِ ، عَنْ مُحَمَّدِ بْنِ عَلِيٍّ ، عَنِ الْحَسَنِ بْنِ عَلِيٍّ ، عَنْ سَيْفِ بْنِ عَمِيرَةَ ، عَنْ عَمْرِو </w:t>
      </w:r>
      <w:r w:rsidRPr="00A91B96">
        <w:rPr>
          <w:rStyle w:val="libFootnotenumChar"/>
          <w:rtl/>
        </w:rPr>
        <w:t>(1)</w:t>
      </w:r>
      <w:r w:rsidRPr="00020424">
        <w:rPr>
          <w:rtl/>
          <w:lang w:bidi="fa-IR"/>
        </w:rPr>
        <w:t xml:space="preserve"> بْنِ شِمْرٍ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كَانَ عَلِيٌّ </w:t>
      </w:r>
      <w:r w:rsidRPr="00A91B96">
        <w:rPr>
          <w:rStyle w:val="libFootnotenumChar"/>
          <w:rtl/>
        </w:rPr>
        <w:t>(2)</w:t>
      </w:r>
      <w:r w:rsidRPr="00020424">
        <w:rPr>
          <w:rtl/>
          <w:lang w:bidi="fa-IR"/>
        </w:rPr>
        <w:t xml:space="preserve"> </w:t>
      </w:r>
      <w:r w:rsidRPr="00005A81">
        <w:rPr>
          <w:rStyle w:val="libAlaemChar"/>
          <w:rtl/>
        </w:rPr>
        <w:t>عليه‌السلام</w:t>
      </w:r>
      <w:r w:rsidRPr="00020424">
        <w:rPr>
          <w:rtl/>
          <w:lang w:bidi="fa-IR"/>
        </w:rPr>
        <w:t xml:space="preserve"> يَقُولُ : إِنَّا أَهْلُ بَيْتٍ </w:t>
      </w:r>
      <w:r w:rsidRPr="00A91B96">
        <w:rPr>
          <w:rStyle w:val="libFootnotenumChar"/>
          <w:rtl/>
        </w:rPr>
        <w:t>(3)</w:t>
      </w:r>
      <w:r w:rsidRPr="00020424">
        <w:rPr>
          <w:rtl/>
          <w:lang w:bidi="fa-IR"/>
        </w:rPr>
        <w:t xml:space="preserve"> أُمِرْنَا أَنْ نُطْعِمَ الطَّعَامَ </w:t>
      </w:r>
      <w:r w:rsidRPr="00A91B96">
        <w:rPr>
          <w:rStyle w:val="libFootnotenumChar"/>
          <w:rtl/>
        </w:rPr>
        <w:t>(4)</w:t>
      </w:r>
      <w:r w:rsidRPr="00020424">
        <w:rPr>
          <w:rtl/>
          <w:lang w:bidi="fa-IR"/>
        </w:rPr>
        <w:t xml:space="preserve"> ، وَنُؤَدِّيَ </w:t>
      </w:r>
      <w:r w:rsidRPr="00A91B96">
        <w:rPr>
          <w:rStyle w:val="libFootnotenumChar"/>
          <w:rtl/>
        </w:rPr>
        <w:t>(5)</w:t>
      </w:r>
      <w:r w:rsidRPr="00020424">
        <w:rPr>
          <w:rtl/>
          <w:lang w:bidi="fa-IR"/>
        </w:rPr>
        <w:t xml:space="preserve"> فِي </w:t>
      </w:r>
      <w:r w:rsidRPr="00A91B96">
        <w:rPr>
          <w:rStyle w:val="libFootnotenumChar"/>
          <w:rtl/>
        </w:rPr>
        <w:t>(6)</w:t>
      </w:r>
      <w:r w:rsidRPr="00020424">
        <w:rPr>
          <w:rtl/>
          <w:lang w:bidi="fa-IR"/>
        </w:rPr>
        <w:t xml:space="preserve"> النَّاسِ الْبَائِنَةَ </w:t>
      </w:r>
      <w:r w:rsidRPr="00A91B96">
        <w:rPr>
          <w:rStyle w:val="libFootnotenumChar"/>
          <w:rtl/>
        </w:rPr>
        <w:t>(7)</w:t>
      </w:r>
      <w:r w:rsidRPr="00020424">
        <w:rPr>
          <w:rtl/>
          <w:lang w:bidi="fa-IR"/>
        </w:rPr>
        <w:t xml:space="preserve"> ، وَنُصَلِّيَ إِذَا نَامَ النَّاسُ</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Default="00992664" w:rsidP="00992664">
      <w:pPr>
        <w:pStyle w:val="libNormal"/>
        <w:rPr>
          <w:rtl/>
          <w:lang w:bidi="fa-IR"/>
        </w:rPr>
      </w:pPr>
      <w:r w:rsidRPr="00A778F9">
        <w:rPr>
          <w:rtl/>
        </w:rPr>
        <w:t>6199</w:t>
      </w:r>
      <w:r w:rsidRPr="001155DE">
        <w:rPr>
          <w:rStyle w:val="libBold2Char"/>
          <w:rtl/>
        </w:rPr>
        <w:t xml:space="preserve"> / 5.</w:t>
      </w:r>
      <w:r w:rsidRPr="00020424">
        <w:rPr>
          <w:rtl/>
          <w:lang w:bidi="fa-IR"/>
        </w:rPr>
        <w:t xml:space="preserve"> أَحْمَدُ بْنُ مُحَمَّدٍ </w:t>
      </w:r>
      <w:r w:rsidRPr="00A91B96">
        <w:rPr>
          <w:rStyle w:val="libFootnotenumChar"/>
          <w:rtl/>
        </w:rPr>
        <w:t>(9)</w:t>
      </w:r>
      <w:r w:rsidRPr="00020424">
        <w:rPr>
          <w:rtl/>
          <w:lang w:bidi="fa-IR"/>
        </w:rPr>
        <w:t xml:space="preserve"> ، عَنْ مُحَمَّدِ بْنِ عَلِيٍّ ، عَنِ الْحَسَنِ بْنِ عَلِيِّ بْنِ </w:t>
      </w:r>
      <w:r w:rsidRPr="00A91B96">
        <w:rPr>
          <w:rStyle w:val="libFootnotenumChar"/>
          <w:rtl/>
        </w:rPr>
        <w:t>(10)</w:t>
      </w:r>
      <w:r w:rsidRPr="00020424">
        <w:rPr>
          <w:rtl/>
          <w:lang w:bidi="fa-IR"/>
        </w:rPr>
        <w:t xml:space="preserve"> يُوسُفَ ،</w:t>
      </w:r>
    </w:p>
    <w:p w:rsidR="00992664" w:rsidRPr="00020424" w:rsidRDefault="00992664" w:rsidP="00992664">
      <w:pPr>
        <w:pStyle w:val="libLine"/>
        <w:rPr>
          <w:rtl/>
          <w:lang w:bidi="fa-IR"/>
        </w:rPr>
      </w:pPr>
      <w:r w:rsidRPr="00020424">
        <w:rPr>
          <w:rtl/>
          <w:lang w:bidi="fa-IR"/>
        </w:rPr>
        <w:t>__________________</w:t>
      </w:r>
    </w:p>
    <w:p w:rsidR="00992664" w:rsidRPr="00020424" w:rsidRDefault="00EF4BFD" w:rsidP="00992664">
      <w:pPr>
        <w:pStyle w:val="libFootnote0"/>
        <w:rPr>
          <w:rtl/>
          <w:lang w:bidi="fa-IR"/>
        </w:rPr>
      </w:pPr>
      <w:r>
        <w:rPr>
          <w:rFonts w:hint="cs"/>
          <w:rtl/>
        </w:rPr>
        <w:t xml:space="preserve">= </w:t>
      </w:r>
      <w:r w:rsidR="00992664" w:rsidRPr="00020424">
        <w:rPr>
          <w:rtl/>
        </w:rPr>
        <w:t xml:space="preserve">الجعفري ،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ح 3 ، بسند آخر ، مع اختلاف وزيادة. </w:t>
      </w:r>
      <w:r w:rsidR="00992664" w:rsidRPr="00DE76B9">
        <w:rPr>
          <w:rStyle w:val="libFootnoteBoldChar"/>
          <w:rtl/>
        </w:rPr>
        <w:t>الكافي</w:t>
      </w:r>
      <w:r w:rsidR="00992664" w:rsidRPr="00020424">
        <w:rPr>
          <w:rtl/>
        </w:rPr>
        <w:t xml:space="preserve"> ، كتاب الإيمان والكفر ، باب المؤمن وعلاماته وصفاته ، ضمن ح 2311 ، بسند آخر عن أبي جعفر </w:t>
      </w:r>
      <w:r w:rsidR="00992664" w:rsidRPr="00D64ADA">
        <w:rPr>
          <w:rStyle w:val="libFootnoteAlaemChar"/>
          <w:rtl/>
        </w:rPr>
        <w:t>عليه‌السلام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A722B1">
        <w:rPr>
          <w:rStyle w:val="libFootnoteBoldChar"/>
          <w:rtl/>
        </w:rPr>
        <w:t>الخصال</w:t>
      </w:r>
      <w:r w:rsidR="00992664" w:rsidRPr="00020424">
        <w:rPr>
          <w:rtl/>
        </w:rPr>
        <w:t xml:space="preserve"> ، ص 91 ، باب الثلاثة ، ح 32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عيون الأخبار</w:t>
      </w:r>
      <w:r w:rsidR="00992664" w:rsidRPr="00020424">
        <w:rPr>
          <w:rtl/>
        </w:rPr>
        <w:t xml:space="preserve"> ، ج 2 ، ص 65 ، ح 290 ، بسند آخر عن الرضا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وفي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363 ؛ </w:t>
      </w:r>
      <w:r w:rsidR="00992664" w:rsidRPr="00666432">
        <w:rPr>
          <w:rStyle w:val="libFootnoteBoldChar"/>
          <w:rtl/>
        </w:rPr>
        <w:t>والاختصاص</w:t>
      </w:r>
      <w:r w:rsidR="00992664" w:rsidRPr="00020424">
        <w:rPr>
          <w:rtl/>
        </w:rPr>
        <w:t xml:space="preserve"> ، ص 253 ، مرسلاً عن العالم </w:t>
      </w:r>
      <w:r w:rsidR="00992664" w:rsidRPr="00D64ADA">
        <w:rPr>
          <w:rStyle w:val="libFootnoteAlaemChar"/>
          <w:rtl/>
        </w:rPr>
        <w:t>عليه‌السلام</w:t>
      </w:r>
      <w:r w:rsidR="00992664" w:rsidRPr="00020424">
        <w:rPr>
          <w:rtl/>
        </w:rPr>
        <w:t xml:space="preserve"> ، مع اختلاف </w:t>
      </w:r>
      <w:r>
        <w:rPr>
          <w:rFonts w:hint="cs"/>
          <w:rtl/>
        </w:rPr>
        <w:t>.</w:t>
      </w:r>
      <w:r w:rsidR="00992664" w:rsidRPr="0012008A">
        <w:rPr>
          <w:rStyle w:val="libFootnoteBoldChar"/>
          <w:rtl/>
        </w:rPr>
        <w:t>الوافي</w:t>
      </w:r>
      <w:r w:rsidR="00992664" w:rsidRPr="00020424">
        <w:rPr>
          <w:rtl/>
        </w:rPr>
        <w:t xml:space="preserve"> ، ج 10 ، ص 505 ، ح 9991 ؛ </w:t>
      </w:r>
      <w:r w:rsidR="00992664" w:rsidRPr="0012008A">
        <w:rPr>
          <w:rStyle w:val="libFootnoteBoldChar"/>
          <w:rtl/>
        </w:rPr>
        <w:t>الوسائل</w:t>
      </w:r>
      <w:r w:rsidR="00992664" w:rsidRPr="00020424">
        <w:rPr>
          <w:rtl/>
        </w:rPr>
        <w:t xml:space="preserve"> ، ج 16 ، ص 330 ، ح 21682 ؛ وج 24 ، ص 288 ، ذيل ح 30566.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ظ ، بث ، بح ، بخ ، بس ، بف ، جن » </w:t>
      </w:r>
      <w:r w:rsidR="00992664" w:rsidRPr="00EB1FD9">
        <w:rPr>
          <w:rStyle w:val="libFootnoteBoldChar"/>
          <w:rtl/>
        </w:rPr>
        <w:t>والوسائل</w:t>
      </w:r>
      <w:r w:rsidR="00992664" w:rsidRPr="00020424">
        <w:rPr>
          <w:rtl/>
        </w:rPr>
        <w:t xml:space="preserve"> و</w:t>
      </w:r>
      <w:r w:rsidR="00D64ADA" w:rsidRPr="00D64ADA">
        <w:rPr>
          <w:rStyle w:val="libFootnoteBoldChar"/>
          <w:rtl/>
        </w:rPr>
        <w:t>المحاسن</w:t>
      </w:r>
      <w:r w:rsidR="00992664" w:rsidRPr="00020424">
        <w:rPr>
          <w:rtl/>
        </w:rPr>
        <w:t>. وفي « ى ، بر » والمطبوع : « عمر</w:t>
      </w:r>
      <w:r w:rsidR="00992664">
        <w:rPr>
          <w:rtl/>
        </w:rPr>
        <w:t xml:space="preserve"> ».</w:t>
      </w:r>
    </w:p>
    <w:p w:rsidR="00992664" w:rsidRPr="00020424" w:rsidRDefault="00992664" w:rsidP="00EF4BFD">
      <w:pPr>
        <w:pStyle w:val="libFootnote0"/>
        <w:rPr>
          <w:rtl/>
          <w:lang w:bidi="fa-IR"/>
        </w:rPr>
      </w:pPr>
      <w:r w:rsidRPr="00EF4BFD">
        <w:rPr>
          <w:rtl/>
        </w:rPr>
        <w:t xml:space="preserve">وقد روى عمرو بن شمر ، عن جابر [ بن يزيد ] في كثيرٍ من الأسناد. راجع : معجم رجال الحديث ، ج 13 ، ص 398 </w:t>
      </w:r>
      <w:r w:rsidR="009B673F" w:rsidRPr="00EF4BFD">
        <w:rPr>
          <w:rtl/>
        </w:rPr>
        <w:t>-</w:t>
      </w:r>
      <w:r w:rsidRPr="00EF4BFD">
        <w:rPr>
          <w:rtl/>
        </w:rPr>
        <w:t xml:space="preserve"> 402.</w:t>
      </w:r>
      <w:r w:rsidR="00795177">
        <w:rPr>
          <w:rtl/>
        </w:rPr>
        <w:t>(2).</w:t>
      </w:r>
      <w:r w:rsidR="0014403D">
        <w:rPr>
          <w:rtl/>
        </w:rPr>
        <w:t xml:space="preserve"> </w:t>
      </w:r>
      <w:r w:rsidRPr="00020424">
        <w:rPr>
          <w:rtl/>
        </w:rPr>
        <w:t xml:space="preserve">في </w:t>
      </w:r>
      <w:r w:rsidRPr="0012008A">
        <w:rPr>
          <w:rStyle w:val="libFootnoteBoldChar"/>
          <w:rtl/>
        </w:rPr>
        <w:t>الوسائل</w:t>
      </w:r>
      <w:r w:rsidRPr="00020424">
        <w:rPr>
          <w:rtl/>
        </w:rPr>
        <w:t xml:space="preserve"> : « أمير المؤمنين</w:t>
      </w:r>
      <w:r>
        <w:rPr>
          <w:rtl/>
        </w:rPr>
        <w:t xml:space="preserve"> ».</w:t>
      </w:r>
    </w:p>
    <w:tbl>
      <w:tblPr>
        <w:tblStyle w:val="TableGrid"/>
        <w:bidiVisual/>
        <w:tblW w:w="0" w:type="auto"/>
        <w:tblLook w:val="04A0" w:firstRow="1" w:lastRow="0" w:firstColumn="1" w:lastColumn="0" w:noHBand="0" w:noVBand="1"/>
      </w:tblPr>
      <w:tblGrid>
        <w:gridCol w:w="4006"/>
        <w:gridCol w:w="4006"/>
      </w:tblGrid>
      <w:tr w:rsidR="00EF4BFD" w:rsidTr="00EF4BFD">
        <w:tc>
          <w:tcPr>
            <w:tcW w:w="4006" w:type="dxa"/>
          </w:tcPr>
          <w:p w:rsidR="00EF4BFD" w:rsidRDefault="00EF4BFD" w:rsidP="00992664">
            <w:pPr>
              <w:pStyle w:val="libFootnote0"/>
              <w:rPr>
                <w:rtl/>
                <w:lang w:bidi="fa-IR"/>
              </w:rPr>
            </w:pPr>
            <w:r>
              <w:rPr>
                <w:rtl/>
              </w:rPr>
              <w:t xml:space="preserve">(3). </w:t>
            </w:r>
            <w:r w:rsidRPr="00020424">
              <w:rPr>
                <w:rtl/>
              </w:rPr>
              <w:t>في « ى » : « أهل البيت</w:t>
            </w:r>
            <w:r>
              <w:rPr>
                <w:rtl/>
              </w:rPr>
              <w:t xml:space="preserve"> ».</w:t>
            </w:r>
          </w:p>
        </w:tc>
        <w:tc>
          <w:tcPr>
            <w:tcW w:w="4006" w:type="dxa"/>
          </w:tcPr>
          <w:p w:rsidR="00EF4BFD" w:rsidRDefault="00EF4BFD" w:rsidP="00992664">
            <w:pPr>
              <w:pStyle w:val="libFootnote0"/>
              <w:rPr>
                <w:rtl/>
                <w:lang w:bidi="fa-IR"/>
              </w:rPr>
            </w:pPr>
            <w:r>
              <w:rPr>
                <w:rtl/>
              </w:rPr>
              <w:t xml:space="preserve">(4). </w:t>
            </w:r>
            <w:r w:rsidRPr="00020424">
              <w:rPr>
                <w:rtl/>
              </w:rPr>
              <w:t>في « بر » : « الناس</w:t>
            </w:r>
            <w:r>
              <w:rPr>
                <w:rtl/>
              </w:rPr>
              <w:t xml:space="preserve"> ».</w:t>
            </w:r>
          </w:p>
        </w:tc>
      </w:tr>
      <w:tr w:rsidR="00EF4BFD" w:rsidTr="00EF4BFD">
        <w:tc>
          <w:tcPr>
            <w:tcW w:w="4006" w:type="dxa"/>
          </w:tcPr>
          <w:p w:rsidR="00EF4BFD" w:rsidRDefault="00EF4BFD" w:rsidP="00992664">
            <w:pPr>
              <w:pStyle w:val="libFootnote0"/>
              <w:rPr>
                <w:rtl/>
                <w:lang w:bidi="fa-IR"/>
              </w:rPr>
            </w:pPr>
            <w:r>
              <w:rPr>
                <w:rtl/>
              </w:rPr>
              <w:t xml:space="preserve">(5). </w:t>
            </w:r>
            <w:r w:rsidRPr="00020424">
              <w:rPr>
                <w:rtl/>
              </w:rPr>
              <w:t xml:space="preserve">في </w:t>
            </w:r>
            <w:r w:rsidRPr="00D64ADA">
              <w:rPr>
                <w:rStyle w:val="libFootnoteBoldChar"/>
                <w:rtl/>
              </w:rPr>
              <w:t>المحاسن</w:t>
            </w:r>
            <w:r w:rsidRPr="00020424">
              <w:rPr>
                <w:rtl/>
              </w:rPr>
              <w:t xml:space="preserve"> : « ونؤوي</w:t>
            </w:r>
            <w:r>
              <w:rPr>
                <w:rtl/>
              </w:rPr>
              <w:t xml:space="preserve"> ».</w:t>
            </w:r>
          </w:p>
        </w:tc>
        <w:tc>
          <w:tcPr>
            <w:tcW w:w="4006" w:type="dxa"/>
          </w:tcPr>
          <w:p w:rsidR="00EF4BFD" w:rsidRDefault="00EF4BFD" w:rsidP="00992664">
            <w:pPr>
              <w:pStyle w:val="libFootnote0"/>
              <w:rPr>
                <w:rtl/>
                <w:lang w:bidi="fa-IR"/>
              </w:rPr>
            </w:pPr>
            <w:r>
              <w:rPr>
                <w:rtl/>
              </w:rPr>
              <w:t xml:space="preserve">(6). </w:t>
            </w:r>
            <w:r w:rsidRPr="00020424">
              <w:rPr>
                <w:rtl/>
              </w:rPr>
              <w:t>في « بك » :</w:t>
            </w:r>
            <w:r>
              <w:rPr>
                <w:rtl/>
              </w:rPr>
              <w:t xml:space="preserve"> - </w:t>
            </w:r>
            <w:r w:rsidRPr="00020424">
              <w:rPr>
                <w:rtl/>
              </w:rPr>
              <w:t>« الطعام ونؤدّي في</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معظم النسخ و</w:t>
      </w:r>
      <w:r w:rsidR="00D64ADA" w:rsidRPr="00D64ADA">
        <w:rPr>
          <w:rStyle w:val="libFootnoteBoldChar"/>
          <w:rtl/>
        </w:rPr>
        <w:t>المحاسن</w:t>
      </w:r>
      <w:r w:rsidR="00992664" w:rsidRPr="00020424">
        <w:rPr>
          <w:rtl/>
        </w:rPr>
        <w:t xml:space="preserve"> : « النائبة</w:t>
      </w:r>
      <w:r w:rsidR="00992664">
        <w:rPr>
          <w:rtl/>
        </w:rPr>
        <w:t xml:space="preserve"> ».</w:t>
      </w:r>
      <w:r w:rsidR="00992664" w:rsidRPr="00020424">
        <w:rPr>
          <w:rtl/>
        </w:rPr>
        <w:t xml:space="preserve"> وفي « بر ، بك » : « الثانية</w:t>
      </w:r>
      <w:r w:rsidR="00992664">
        <w:rPr>
          <w:rtl/>
        </w:rPr>
        <w:t xml:space="preserve"> ».</w:t>
      </w:r>
      <w:r w:rsidR="00992664" w:rsidRPr="00020424">
        <w:rPr>
          <w:rtl/>
        </w:rPr>
        <w:t xml:space="preserve"> وما أثبتناه مطابق لبعض النسخ والمطبوع </w:t>
      </w:r>
      <w:r w:rsidR="00992664" w:rsidRPr="00515444">
        <w:rPr>
          <w:rStyle w:val="libFootnoteBoldChar"/>
          <w:rtl/>
        </w:rPr>
        <w:t>والوافي</w:t>
      </w:r>
      <w:r w:rsidR="00992664" w:rsidRPr="00020424">
        <w:rPr>
          <w:rtl/>
        </w:rPr>
        <w:t xml:space="preserve">. </w:t>
      </w:r>
      <w:r w:rsidR="00992664">
        <w:rPr>
          <w:rtl/>
        </w:rPr>
        <w:t>و «</w:t>
      </w:r>
      <w:r w:rsidR="00992664" w:rsidRPr="00020424">
        <w:rPr>
          <w:rtl/>
        </w:rPr>
        <w:t xml:space="preserve"> البائنة » : العطيّة ، سمّيت بها لأنّها ا</w:t>
      </w:r>
      <w:r w:rsidR="00EF4BFD">
        <w:rPr>
          <w:rFonts w:hint="cs"/>
          <w:rtl/>
        </w:rPr>
        <w:t>ُ</w:t>
      </w:r>
      <w:r w:rsidR="00992664" w:rsidRPr="00020424">
        <w:rPr>
          <w:rtl/>
        </w:rPr>
        <w:t xml:space="preserve">بينت من المال. راجع : </w:t>
      </w:r>
      <w:r w:rsidR="00992664" w:rsidRPr="0012008A">
        <w:rPr>
          <w:rStyle w:val="libFootnoteBoldChar"/>
          <w:rtl/>
        </w:rPr>
        <w:t>النهاية</w:t>
      </w:r>
      <w:r w:rsidR="00992664" w:rsidRPr="00020424">
        <w:rPr>
          <w:rtl/>
        </w:rPr>
        <w:t xml:space="preserve"> ، ج 1 ، ص 174 ( بين ) ؛ </w:t>
      </w:r>
      <w:r w:rsidR="00992664" w:rsidRPr="0012008A">
        <w:rPr>
          <w:rStyle w:val="libFootnoteBoldChar"/>
          <w:rtl/>
        </w:rPr>
        <w:t>الوافي</w:t>
      </w:r>
      <w:r w:rsidR="00992664" w:rsidRPr="00020424">
        <w:rPr>
          <w:rtl/>
        </w:rPr>
        <w:t xml:space="preserve"> ، ج 10 ، ص 492.</w:t>
      </w:r>
    </w:p>
    <w:p w:rsidR="00992664" w:rsidRPr="00020424" w:rsidRDefault="00795177" w:rsidP="00992664">
      <w:pPr>
        <w:pStyle w:val="libFootnote0"/>
        <w:rPr>
          <w:rtl/>
          <w:lang w:bidi="fa-IR"/>
        </w:rPr>
      </w:pPr>
      <w:r>
        <w:rPr>
          <w:rtl/>
        </w:rPr>
        <w:t>(8).</w:t>
      </w:r>
      <w:r w:rsidR="0014403D">
        <w:rPr>
          <w:rtl/>
        </w:rPr>
        <w:t xml:space="preserve"> </w:t>
      </w:r>
      <w:r w:rsidR="00D64ADA" w:rsidRPr="00D64ADA">
        <w:rPr>
          <w:rStyle w:val="libFootnoteBoldChar"/>
          <w:rtl/>
        </w:rPr>
        <w:t>المحاسن</w:t>
      </w:r>
      <w:r w:rsidR="00992664" w:rsidRPr="00020424">
        <w:rPr>
          <w:rtl/>
        </w:rPr>
        <w:t xml:space="preserve"> ، ص 387 ، كتاب المآكل ، ح 4 ، عن محمّد بن عليّ </w:t>
      </w:r>
      <w:r w:rsidR="00992664" w:rsidRPr="0012008A">
        <w:rPr>
          <w:rStyle w:val="libFootnoteBoldChar"/>
          <w:rtl/>
        </w:rPr>
        <w:t>الوافي</w:t>
      </w:r>
      <w:r w:rsidR="00992664" w:rsidRPr="00020424">
        <w:rPr>
          <w:rtl/>
        </w:rPr>
        <w:t xml:space="preserve"> ، ج 10 ، ص 506 ، ح 9992 ؛ </w:t>
      </w:r>
      <w:r w:rsidR="00992664" w:rsidRPr="0012008A">
        <w:rPr>
          <w:rStyle w:val="libFootnoteBoldChar"/>
          <w:rtl/>
        </w:rPr>
        <w:t>الوسائل</w:t>
      </w:r>
      <w:r w:rsidR="00992664" w:rsidRPr="00020424">
        <w:rPr>
          <w:rtl/>
        </w:rPr>
        <w:t xml:space="preserve"> ، ج 16 ، ص 330 ، ح 21683.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الخبر معلّق على سابقه. ويروي عن أحمد بن محمّد ، عدّة من أصحابنا.</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ى ، بث ، بح ، بس » : « عن » ، وهو سهو. والحسن بن عليّ هذا ، هو الحسن بن عليّ بن يوسف المعروف بابن بقّاح ، وتقدّمت في </w:t>
      </w:r>
      <w:r w:rsidR="00992664" w:rsidRPr="00DE76B9">
        <w:rPr>
          <w:rStyle w:val="libFootnoteBoldChar"/>
          <w:rtl/>
        </w:rPr>
        <w:t>الكافي</w:t>
      </w:r>
      <w:r w:rsidR="00992664" w:rsidRPr="00020424">
        <w:rPr>
          <w:rtl/>
        </w:rPr>
        <w:t xml:space="preserve"> ، ح 234 روايته بعنوان الحسن بن عليّ بن يوسف بن بقاح ، وفي </w:t>
      </w:r>
      <w:r w:rsidR="00992664" w:rsidRPr="00DE76B9">
        <w:rPr>
          <w:rStyle w:val="libFootnoteBoldChar"/>
          <w:rtl/>
        </w:rPr>
        <w:t>الكافي</w:t>
      </w:r>
      <w:r w:rsidR="00992664" w:rsidRPr="00020424">
        <w:rPr>
          <w:rtl/>
        </w:rPr>
        <w:t xml:space="preserve"> ، ح 2102 بعنوان ابن بقّاح ، عن سيف بن عميرة.</w:t>
      </w:r>
    </w:p>
    <w:p w:rsidR="00992664" w:rsidRPr="00020424" w:rsidRDefault="00992664" w:rsidP="005110A8">
      <w:pPr>
        <w:pStyle w:val="libFootnote0"/>
        <w:rPr>
          <w:rtl/>
          <w:lang w:bidi="fa-IR"/>
        </w:rPr>
      </w:pPr>
      <w:r w:rsidRPr="005110A8">
        <w:rPr>
          <w:rtl/>
        </w:rPr>
        <w:t xml:space="preserve">والخبر رواه البرقي في </w:t>
      </w:r>
      <w:r w:rsidR="00D64ADA" w:rsidRPr="00D64ADA">
        <w:rPr>
          <w:rStyle w:val="libFootnoteBoldChar"/>
          <w:rtl/>
        </w:rPr>
        <w:t>المحاسن</w:t>
      </w:r>
      <w:r w:rsidRPr="005110A8">
        <w:rPr>
          <w:rtl/>
        </w:rPr>
        <w:t xml:space="preserve"> ، ج 2 ، ص 387 ، ح 1 ، عن محمّد بن عليّ ، عن الحسن بن عليّ بن يوسف ، عن سيف بن عميرة.</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عَنْ سَيْفِ بْنِ عَمِيرَةَ ، عَنْ فَيْضِ بْنِ الْمُخْتَارِ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الْمُنْجِيَاتُ </w:t>
      </w:r>
      <w:r w:rsidRPr="00A91B96">
        <w:rPr>
          <w:rStyle w:val="libFootnotenumChar"/>
          <w:rtl/>
        </w:rPr>
        <w:t>(1)</w:t>
      </w:r>
      <w:r w:rsidRPr="00020424">
        <w:rPr>
          <w:rtl/>
          <w:lang w:bidi="fa-IR"/>
        </w:rPr>
        <w:t xml:space="preserve"> : إِطْعَامُ الطَّعَامِ ، وَإِفْشَاءُ السَّلَامِ ، وَالصَّلَاةُ بِاللَّيْلِ وَالنَّاسُ نِيَامٌ</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A778F9">
        <w:rPr>
          <w:rtl/>
        </w:rPr>
        <w:t>6200</w:t>
      </w:r>
      <w:r w:rsidRPr="001155DE">
        <w:rPr>
          <w:rStyle w:val="libBold2Char"/>
          <w:rtl/>
        </w:rPr>
        <w:t xml:space="preserve"> / 6.</w:t>
      </w:r>
      <w:r w:rsidRPr="00020424">
        <w:rPr>
          <w:rtl/>
          <w:lang w:bidi="fa-IR"/>
        </w:rPr>
        <w:t xml:space="preserve"> مُحَمَّدُ بْنُ يَحْيى ، عَنْ عَبْدِ اللهِ بْنِ مُحَمَّدٍ ، عَنْ عَلِيِّ بْنِ الْحَكَمِ </w:t>
      </w:r>
      <w:r w:rsidRPr="00A91B96">
        <w:rPr>
          <w:rStyle w:val="libFootnotenumChar"/>
          <w:rtl/>
        </w:rPr>
        <w:t>(3)</w:t>
      </w:r>
      <w:r w:rsidRPr="00020424">
        <w:rPr>
          <w:rtl/>
          <w:lang w:bidi="fa-IR"/>
        </w:rPr>
        <w:t xml:space="preserve"> ، عَنْ عَلِيِّ بْنِ أَبِي حَمْزَةَ ، عَنْ أَبِي بَصِيرٍ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يُحِبُّ إِهْرَاقَ الدِّمَاءِ </w:t>
      </w:r>
      <w:r w:rsidRPr="00A91B96">
        <w:rPr>
          <w:rStyle w:val="libFootnotenumChar"/>
          <w:rtl/>
        </w:rPr>
        <w:t>(4)</w:t>
      </w:r>
      <w:r w:rsidRPr="00020424">
        <w:rPr>
          <w:rtl/>
          <w:lang w:bidi="fa-IR"/>
        </w:rPr>
        <w:t xml:space="preserve"> ، وَإِطْعَامَ الطَّعَامِ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من المنجيات</w:t>
      </w:r>
      <w:r w:rsidR="00992664">
        <w:rPr>
          <w:rtl/>
        </w:rPr>
        <w:t xml:space="preserve"> ».</w:t>
      </w:r>
    </w:p>
    <w:p w:rsidR="00992664" w:rsidRPr="00020424" w:rsidRDefault="00795177" w:rsidP="009028DB">
      <w:pPr>
        <w:pStyle w:val="libFootnote0"/>
        <w:rPr>
          <w:rtl/>
          <w:lang w:bidi="fa-IR"/>
        </w:rPr>
      </w:pPr>
      <w:r>
        <w:rPr>
          <w:rtl/>
        </w:rPr>
        <w:t>(2).</w:t>
      </w:r>
      <w:r w:rsidR="0014403D">
        <w:rPr>
          <w:rtl/>
        </w:rPr>
        <w:t xml:space="preserve"> </w:t>
      </w:r>
      <w:r w:rsidR="00D64ADA" w:rsidRPr="00D64ADA">
        <w:rPr>
          <w:rStyle w:val="libFootnoteBoldChar"/>
          <w:rtl/>
        </w:rPr>
        <w:t>المحاسن</w:t>
      </w:r>
      <w:r w:rsidR="00992664" w:rsidRPr="00020424">
        <w:rPr>
          <w:rtl/>
        </w:rPr>
        <w:t xml:space="preserve"> ، ص 387 ، كتاب المآكل ، ح 1 ، عن محمّد بن عليّ. وفي </w:t>
      </w:r>
      <w:r w:rsidR="00992664" w:rsidRPr="0012008A">
        <w:rPr>
          <w:rStyle w:val="libFootnoteBoldChar"/>
          <w:rtl/>
        </w:rPr>
        <w:t>الفقيه</w:t>
      </w:r>
      <w:r w:rsidR="00992664" w:rsidRPr="00020424">
        <w:rPr>
          <w:rtl/>
        </w:rPr>
        <w:t xml:space="preserve"> ، ج 4 ، ص 358 ، ضمن الحديث الطويل 5762 ؛ </w:t>
      </w:r>
      <w:r w:rsidR="00992664" w:rsidRPr="00FD6221">
        <w:rPr>
          <w:rStyle w:val="libFootnoteBoldChar"/>
          <w:rtl/>
        </w:rPr>
        <w:t>والخصال</w:t>
      </w:r>
      <w:r w:rsidR="00992664" w:rsidRPr="00020424">
        <w:rPr>
          <w:rtl/>
        </w:rPr>
        <w:t xml:space="preserve"> ، ص 84 ، باب الثلاثة ، ضمن ح 12 بسند آخر عن جعفر بن محمّد ، عن آبائه </w:t>
      </w:r>
      <w:r w:rsidR="00992664" w:rsidRPr="00D64ADA">
        <w:rPr>
          <w:rStyle w:val="libFootnoteAlaemChar"/>
          <w:rtl/>
        </w:rPr>
        <w:t>عليهم‌السلام</w:t>
      </w:r>
      <w:r w:rsidR="00992664" w:rsidRPr="00020424">
        <w:rPr>
          <w:rtl/>
        </w:rPr>
        <w:t xml:space="preserve"> عن النبيّ </w:t>
      </w:r>
      <w:r w:rsidR="00D64ADA" w:rsidRPr="005110A8">
        <w:rPr>
          <w:rStyle w:val="libFootnoteAlaemChar"/>
          <w:rtl/>
        </w:rPr>
        <w:t>صلى‌الله‌عليه‌وآله</w:t>
      </w:r>
      <w:r w:rsidR="00B42914" w:rsidRPr="005110A8">
        <w:rPr>
          <w:rStyle w:val="libFootnoteAlaemChar"/>
          <w:rtl/>
        </w:rPr>
        <w:t>‌</w:t>
      </w:r>
      <w:r w:rsidR="00992664" w:rsidRPr="00020424">
        <w:rPr>
          <w:rtl/>
        </w:rPr>
        <w:t xml:space="preserve"> ، مع اختلاف. وفي </w:t>
      </w:r>
      <w:r w:rsidR="00D64ADA" w:rsidRPr="00D64ADA">
        <w:rPr>
          <w:rStyle w:val="libFootnoteBoldChar"/>
          <w:rtl/>
        </w:rPr>
        <w:t>المحاسن</w:t>
      </w:r>
      <w:r w:rsidR="00992664" w:rsidRPr="00020424">
        <w:rPr>
          <w:rtl/>
        </w:rPr>
        <w:t xml:space="preserve"> ، ص 4 ، كتاب الأشكال والقرائن ، ضمن ح 5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83 ، باب الثلاثة ، ضمن ح 10 ؛ </w:t>
      </w:r>
      <w:r w:rsidR="00992664" w:rsidRPr="00216E45">
        <w:rPr>
          <w:rStyle w:val="libFootnoteBoldChar"/>
          <w:rtl/>
        </w:rPr>
        <w:t>ومعاني الأخبار</w:t>
      </w:r>
      <w:r w:rsidR="00992664" w:rsidRPr="00020424">
        <w:rPr>
          <w:rtl/>
        </w:rPr>
        <w:t xml:space="preserve"> ، ص 314 ، ضمن ح 1 ، بسند آخر عن أبي جعفر </w:t>
      </w:r>
      <w:r w:rsidR="00992664" w:rsidRPr="00D64ADA">
        <w:rPr>
          <w:rStyle w:val="libFootnoteAlaemChar"/>
          <w:rtl/>
        </w:rPr>
        <w:t>عليه‌السلام</w:t>
      </w:r>
      <w:r w:rsidR="00992664" w:rsidRPr="00020424">
        <w:rPr>
          <w:rtl/>
        </w:rPr>
        <w:t xml:space="preserve"> ، مع اختلاف. </w:t>
      </w:r>
      <w:r w:rsidR="00992664" w:rsidRPr="0012008A">
        <w:rPr>
          <w:rStyle w:val="libFootnoteBoldChar"/>
          <w:rtl/>
        </w:rPr>
        <w:t>الفقيه</w:t>
      </w:r>
      <w:r w:rsidR="00992664" w:rsidRPr="00020424">
        <w:rPr>
          <w:rtl/>
        </w:rPr>
        <w:t xml:space="preserve"> ، ج 2 ، ص 64 ، ح 1719 ، مرسلاً </w:t>
      </w:r>
      <w:r w:rsidR="009028DB">
        <w:rPr>
          <w:rFonts w:hint="cs"/>
          <w:rtl/>
        </w:rPr>
        <w:t>.</w:t>
      </w:r>
      <w:r w:rsidR="00992664" w:rsidRPr="0012008A">
        <w:rPr>
          <w:rStyle w:val="libFootnoteBoldChar"/>
          <w:rtl/>
        </w:rPr>
        <w:t>الوافي</w:t>
      </w:r>
      <w:r w:rsidR="00992664" w:rsidRPr="00020424">
        <w:rPr>
          <w:rtl/>
        </w:rPr>
        <w:t xml:space="preserve"> ، ج 10 ، ص 506 ، ح 9993 ؛ </w:t>
      </w:r>
      <w:r w:rsidR="00992664" w:rsidRPr="0012008A">
        <w:rPr>
          <w:rStyle w:val="libFootnoteBoldChar"/>
          <w:rtl/>
        </w:rPr>
        <w:t>الوسائل</w:t>
      </w:r>
      <w:r w:rsidR="00992664" w:rsidRPr="00020424">
        <w:rPr>
          <w:rtl/>
        </w:rPr>
        <w:t xml:space="preserve"> ، ج 16 ، ص 330 ، ح 21684 ؛ وج 24 ، ص 288 ، ذيل ح 30565.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ورد الخبر في </w:t>
      </w:r>
      <w:r w:rsidR="00D64ADA" w:rsidRPr="00D64ADA">
        <w:rPr>
          <w:rStyle w:val="libFootnoteBoldChar"/>
          <w:rtl/>
        </w:rPr>
        <w:t>المحاسن</w:t>
      </w:r>
      <w:r w:rsidR="00992664" w:rsidRPr="00020424">
        <w:rPr>
          <w:rtl/>
        </w:rPr>
        <w:t xml:space="preserve"> ، ص 388 ، ح 8 عن الحسن بن عليّ بن الحكم ، عن عليّ بن أبي حمزة. وعنوان‌الحسن بن عليّ بن الحكم عنوان غريب لم نجده في موضع من الأسناد والكتب. والخبر أورده المجلسي نقلاً من </w:t>
      </w:r>
      <w:r w:rsidR="00D64ADA" w:rsidRPr="00D64ADA">
        <w:rPr>
          <w:rStyle w:val="libFootnoteBoldChar"/>
          <w:rtl/>
        </w:rPr>
        <w:t>المحاسن</w:t>
      </w:r>
      <w:r w:rsidR="00992664" w:rsidRPr="00020424">
        <w:rPr>
          <w:rtl/>
        </w:rPr>
        <w:t xml:space="preserve"> في </w:t>
      </w:r>
      <w:r w:rsidR="00992664" w:rsidRPr="0012008A">
        <w:rPr>
          <w:rStyle w:val="libFootnoteBoldChar"/>
          <w:rtl/>
        </w:rPr>
        <w:t>البحار</w:t>
      </w:r>
      <w:r w:rsidR="00992664" w:rsidRPr="00020424">
        <w:rPr>
          <w:rtl/>
        </w:rPr>
        <w:t xml:space="preserve"> ، ج 74 ، ص 361 ، ح 10 ؛ وج 99 ، ص 298 ، ح 28 ، وفي كلا الموضعين ، عليّ بن الحكم بدل « الحسن بن عليّ بن الحكم » ، وهو الصواب ؛ فقد أكثر عليّ بن الحكم من الرواية عن عليّ بن أبي حمزة. راجع : </w:t>
      </w:r>
      <w:r w:rsidR="00992664" w:rsidRPr="00DE76B9">
        <w:rPr>
          <w:rStyle w:val="libFootnoteBoldChar"/>
          <w:rtl/>
        </w:rPr>
        <w:t>معجم رجال الحديث</w:t>
      </w:r>
      <w:r w:rsidR="00992664" w:rsidRPr="00020424">
        <w:rPr>
          <w:rtl/>
        </w:rPr>
        <w:t xml:space="preserve"> ، ج 11 ، ص 608</w:t>
      </w:r>
      <w:r w:rsidR="00992664">
        <w:rPr>
          <w:rtl/>
        </w:rPr>
        <w:t xml:space="preserve"> </w:t>
      </w:r>
      <w:r w:rsidR="009B673F">
        <w:rPr>
          <w:rtl/>
        </w:rPr>
        <w:t>-</w:t>
      </w:r>
      <w:r w:rsidR="00992664">
        <w:rPr>
          <w:rtl/>
        </w:rPr>
        <w:t xml:space="preserve"> </w:t>
      </w:r>
      <w:r w:rsidR="00992664" w:rsidRPr="00020424">
        <w:rPr>
          <w:rtl/>
        </w:rPr>
        <w:t>609.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هامش الكافي المطبوع : « كناية عن الذبائح</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D64ADA" w:rsidRPr="00D64ADA">
        <w:rPr>
          <w:rStyle w:val="libFootnoteBoldChar"/>
          <w:rtl/>
        </w:rPr>
        <w:t>المحاسن</w:t>
      </w:r>
      <w:r w:rsidR="00992664" w:rsidRPr="00020424">
        <w:rPr>
          <w:rtl/>
        </w:rPr>
        <w:t xml:space="preserve"> ، ص 388 ، كتاب المآكل ، ح 8 ، عن الحسن بن عليّ بن الحكم ، عن عليّ بن أبي حمزة. وفي </w:t>
      </w:r>
      <w:r w:rsidR="00992664" w:rsidRPr="00DE76B9">
        <w:rPr>
          <w:rStyle w:val="libFootnoteBoldChar"/>
          <w:rtl/>
        </w:rPr>
        <w:t>الكافي</w:t>
      </w:r>
      <w:r w:rsidR="00992664" w:rsidRPr="00020424">
        <w:rPr>
          <w:rtl/>
        </w:rPr>
        <w:t xml:space="preserve"> ، كتاب العقيقة ، باب العقيقة ووجوبها ، ذيل ح 10505 ؛ و</w:t>
      </w:r>
      <w:r w:rsidR="00D64ADA" w:rsidRPr="00D64ADA">
        <w:rPr>
          <w:rStyle w:val="libFootnoteBoldChar"/>
          <w:rtl/>
        </w:rPr>
        <w:t>المحاسن</w:t>
      </w:r>
      <w:r w:rsidR="00992664" w:rsidRPr="00020424">
        <w:rPr>
          <w:rtl/>
        </w:rPr>
        <w:t xml:space="preserve"> ، ص 388 ، كتاب المآكل ، ح 10 ، بسند آخر ، وفي الأخير مع زيادة في آخره. وفي </w:t>
      </w:r>
      <w:r w:rsidR="00992664" w:rsidRPr="00DE76B9">
        <w:rPr>
          <w:rStyle w:val="libFootnoteBoldChar"/>
          <w:rtl/>
        </w:rPr>
        <w:t>الكافي</w:t>
      </w:r>
      <w:r w:rsidR="00992664" w:rsidRPr="00020424">
        <w:rPr>
          <w:rtl/>
        </w:rPr>
        <w:t xml:space="preserve"> ، نفس الباب ، ذيل ح 10503 ؛ </w:t>
      </w:r>
      <w:r w:rsidR="00992664" w:rsidRPr="00515444">
        <w:rPr>
          <w:rStyle w:val="libFootnoteBoldChar"/>
          <w:rtl/>
        </w:rPr>
        <w:t>والتهذيب</w:t>
      </w:r>
      <w:r w:rsidR="00992664" w:rsidRPr="00020424">
        <w:rPr>
          <w:rtl/>
        </w:rPr>
        <w:t xml:space="preserve"> ، ج 7 ، ص 441 ، ذيل ح 1764 ، بسند آخر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362 ؛ </w:t>
      </w:r>
      <w:r w:rsidR="00992664" w:rsidRPr="00DE76B9">
        <w:rPr>
          <w:rStyle w:val="libFootnoteBoldChar"/>
          <w:rtl/>
        </w:rPr>
        <w:t>الاختصاص</w:t>
      </w:r>
      <w:r w:rsidR="00992664" w:rsidRPr="00020424">
        <w:rPr>
          <w:rtl/>
        </w:rPr>
        <w:t xml:space="preserve"> ، ص 253 ، مرسلاً من دون الإسناد إلى المعصوم </w:t>
      </w:r>
      <w:r w:rsidR="00992664" w:rsidRPr="00D64ADA">
        <w:rPr>
          <w:rStyle w:val="libFootnoteAlaemChar"/>
          <w:rtl/>
        </w:rPr>
        <w:t>عليه‌السلام</w:t>
      </w:r>
      <w:r w:rsidR="00992664" w:rsidRPr="00020424">
        <w:rPr>
          <w:rtl/>
        </w:rPr>
        <w:t xml:space="preserve"> ، وفي الأربعة الأخيرة مع اختلاف يسير </w:t>
      </w:r>
      <w:r w:rsidR="009028DB">
        <w:rPr>
          <w:rFonts w:hint="cs"/>
          <w:rtl/>
        </w:rPr>
        <w:t>.</w:t>
      </w:r>
      <w:r w:rsidR="00992664" w:rsidRPr="0012008A">
        <w:rPr>
          <w:rStyle w:val="libFootnoteBoldChar"/>
          <w:rtl/>
        </w:rPr>
        <w:t>الوافي</w:t>
      </w:r>
      <w:r w:rsidR="00992664" w:rsidRPr="00020424">
        <w:rPr>
          <w:rtl/>
        </w:rPr>
        <w:t xml:space="preserve"> ، ج 10 ، ص 506 ، ح 9994 ؛ </w:t>
      </w:r>
      <w:r w:rsidR="00992664" w:rsidRPr="0012008A">
        <w:rPr>
          <w:rStyle w:val="libFootnoteBoldChar"/>
          <w:rtl/>
        </w:rPr>
        <w:t>الوسائل</w:t>
      </w:r>
      <w:r w:rsidR="00992664" w:rsidRPr="00020424">
        <w:rPr>
          <w:rtl/>
        </w:rPr>
        <w:t xml:space="preserve"> ، ج 16 ، ص 330 ، ح 21685.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778F9">
        <w:rPr>
          <w:rtl/>
        </w:rPr>
        <w:t>6201</w:t>
      </w:r>
      <w:r w:rsidRPr="001155DE">
        <w:rPr>
          <w:rStyle w:val="libBold2Char"/>
          <w:rtl/>
        </w:rPr>
        <w:t xml:space="preserve"> / 7.</w:t>
      </w:r>
      <w:r w:rsidRPr="00020424">
        <w:rPr>
          <w:rtl/>
          <w:lang w:bidi="fa-IR"/>
        </w:rPr>
        <w:t xml:space="preserve"> مُحَمَّدُ بْنُ إِسْمَاعِيلَ ، عَنِ الْفَضْلِ بْنِ شَاذَانَ ، عَنِ ابْنِ أَبِي عُمَيْرٍ ، عَنْ هِشَامِ بْنِ الْحَكَمِ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أَحَبِّ الْأَعْمَالِ إِلَى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إِشْبَاعُ جَوْعَةِ الْمُؤْمِنِ ، أَوْ تَنْفِيسُ </w:t>
      </w:r>
      <w:r w:rsidRPr="00A91B96">
        <w:rPr>
          <w:rStyle w:val="libFootnotenumChar"/>
          <w:rtl/>
        </w:rPr>
        <w:t>(1)</w:t>
      </w:r>
      <w:r w:rsidRPr="00020424">
        <w:rPr>
          <w:rtl/>
          <w:lang w:bidi="fa-IR"/>
        </w:rPr>
        <w:t xml:space="preserve"> كُرْبَتِهِ ، أَوْ قَضَاءُ دَيْنِهِ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A778F9">
        <w:rPr>
          <w:rtl/>
        </w:rPr>
        <w:t>6202</w:t>
      </w:r>
      <w:r w:rsidRPr="001155DE">
        <w:rPr>
          <w:rStyle w:val="libBold2Char"/>
          <w:rtl/>
        </w:rPr>
        <w:t xml:space="preserve"> / 8.</w:t>
      </w:r>
      <w:r w:rsidRPr="00020424">
        <w:rPr>
          <w:rtl/>
          <w:lang w:bidi="fa-IR"/>
        </w:rPr>
        <w:t xml:space="preserve"> عَلِيُّ بْنُ إِبْرَاهِيمَ ، عَنْ مُحَمَّدِ بْنِ عِيسَى بْنِ عُبَيْدٍ ، عَنْ أَحْمَدَ بْنِ مُحَمَّدٍ وَابْنِ فَضَّالٍ ، عَنْ ثَعْلَبَةَ بْنِ مَيْمُونٍ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يُحِبُّ إِطْعَامَ الطَّعَامِ ، وَإِرَاقَةَ الدِّمَاءِ</w:t>
      </w:r>
      <w:r>
        <w:rPr>
          <w:rtl/>
          <w:lang w:bidi="fa-IR"/>
        </w:rPr>
        <w:t xml:space="preserve"> ».</w:t>
      </w:r>
      <w:r w:rsidRPr="00A91B96">
        <w:rPr>
          <w:rStyle w:val="libFootnotenumChar"/>
          <w:rtl/>
        </w:rPr>
        <w:t>(3)</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التنفيس » : التفريج ؛ يقال : نفّس الله عنه كربته ، أي فرّجها. راجع : </w:t>
      </w:r>
      <w:r w:rsidR="00992664" w:rsidRPr="0012008A">
        <w:rPr>
          <w:rStyle w:val="libFootnoteBoldChar"/>
          <w:rtl/>
        </w:rPr>
        <w:t>الصحاح</w:t>
      </w:r>
      <w:r w:rsidR="00992664" w:rsidRPr="00020424">
        <w:rPr>
          <w:rtl/>
        </w:rPr>
        <w:t xml:space="preserve"> ، ج 3 ، ص 985 ؛ </w:t>
      </w:r>
      <w:r w:rsidR="00992664" w:rsidRPr="00A722B1">
        <w:rPr>
          <w:rStyle w:val="libFootnoteBoldChar"/>
          <w:rtl/>
        </w:rPr>
        <w:t>لسان العرب</w:t>
      </w:r>
      <w:r w:rsidR="00992664" w:rsidRPr="00020424">
        <w:rPr>
          <w:rtl/>
        </w:rPr>
        <w:t xml:space="preserve"> ، ج 6 ، ص 237 ( نفس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110 ، ح 318 ، معلّقاً عن الكليني. وفي </w:t>
      </w:r>
      <w:r w:rsidR="00992664" w:rsidRPr="00DE76B9">
        <w:rPr>
          <w:rStyle w:val="libFootnoteBoldChar"/>
          <w:rtl/>
        </w:rPr>
        <w:t>الكافي</w:t>
      </w:r>
      <w:r w:rsidR="00992664" w:rsidRPr="00020424">
        <w:rPr>
          <w:rtl/>
        </w:rPr>
        <w:t xml:space="preserve"> ، كتاب الإيمان والكفر ، باب إدخال السرور على المؤمنين ، ح 2143 ، مع زيادة ؛ و</w:t>
      </w:r>
      <w:r w:rsidR="00D64ADA" w:rsidRPr="00D64ADA">
        <w:rPr>
          <w:rStyle w:val="libFootnoteBoldChar"/>
          <w:rtl/>
        </w:rPr>
        <w:t>المحاسن</w:t>
      </w:r>
      <w:r w:rsidR="00992664" w:rsidRPr="00020424">
        <w:rPr>
          <w:rtl/>
        </w:rPr>
        <w:t xml:space="preserve"> ، ص 388 ، كتاب المآكل ، ح 13 ، بسند آخر عن ابن أبي عمير. </w:t>
      </w:r>
      <w:r w:rsidR="00992664" w:rsidRPr="00DE76B9">
        <w:rPr>
          <w:rStyle w:val="libFootnoteBoldChar"/>
          <w:rtl/>
        </w:rPr>
        <w:t>الكافي</w:t>
      </w:r>
      <w:r w:rsidR="00992664" w:rsidRPr="00020424">
        <w:rPr>
          <w:rtl/>
        </w:rPr>
        <w:t xml:space="preserve"> ، نفس الكتاب ، باب إدخال السرور على المؤمنين ، ح 2138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4B0257">
        <w:rPr>
          <w:rStyle w:val="libFootnoteAlaemChar"/>
          <w:rtl/>
        </w:rPr>
        <w:t>صلى‌الله‌عليه‌وآله</w:t>
      </w:r>
      <w:r w:rsidR="00B42914" w:rsidRPr="004B0257">
        <w:rPr>
          <w:rStyle w:val="libFootnoteAlaemChar"/>
          <w:rtl/>
        </w:rPr>
        <w:t>‌</w:t>
      </w:r>
      <w:r w:rsidR="00992664" w:rsidRPr="00020424">
        <w:rPr>
          <w:rtl/>
        </w:rPr>
        <w:t xml:space="preserve"> ، إلى قوله : « أو تنفيس كربته » ؛ </w:t>
      </w:r>
      <w:r w:rsidR="00992664" w:rsidRPr="00DE76B9">
        <w:rPr>
          <w:rStyle w:val="libFootnoteBoldChar"/>
          <w:rtl/>
        </w:rPr>
        <w:t>قرب الإسناد</w:t>
      </w:r>
      <w:r w:rsidR="00992664" w:rsidRPr="00020424">
        <w:rPr>
          <w:rtl/>
        </w:rPr>
        <w:t xml:space="preserve"> ، ص 145 ، ح 522 ، بسند آخر عن جعفر ، عن أبيه </w:t>
      </w:r>
      <w:r w:rsidR="00D64ADA" w:rsidRPr="00D64ADA">
        <w:rPr>
          <w:rStyle w:val="libFootnoteAlaemChar"/>
          <w:rtl/>
        </w:rPr>
        <w:t>عليهما‌السلام</w:t>
      </w:r>
      <w:r w:rsidR="00992664" w:rsidRPr="00020424">
        <w:rPr>
          <w:rtl/>
        </w:rPr>
        <w:t xml:space="preserve"> عن رسول الله </w:t>
      </w:r>
      <w:r w:rsidR="00D64ADA" w:rsidRPr="004B0257">
        <w:rPr>
          <w:rStyle w:val="libFootnoteAlaemChar"/>
          <w:rtl/>
        </w:rPr>
        <w:t>صلى‌الله‌عليه‌وآله</w:t>
      </w:r>
      <w:r w:rsidR="00B42914" w:rsidRPr="004B0257">
        <w:rPr>
          <w:rStyle w:val="libFootnoteAlaemChar"/>
          <w:rtl/>
        </w:rPr>
        <w:t>‌</w:t>
      </w:r>
      <w:r w:rsidR="00992664" w:rsidRPr="00020424">
        <w:rPr>
          <w:rtl/>
        </w:rPr>
        <w:t xml:space="preserve"> ، وفي الأخيرين مع اختلاف يسير وزيادة. وفي </w:t>
      </w:r>
      <w:r w:rsidR="00992664" w:rsidRPr="00DE76B9">
        <w:rPr>
          <w:rStyle w:val="libFootnoteBoldChar"/>
          <w:rtl/>
        </w:rPr>
        <w:t>الكافي</w:t>
      </w:r>
      <w:r w:rsidR="00992664" w:rsidRPr="00020424">
        <w:rPr>
          <w:rtl/>
        </w:rPr>
        <w:t xml:space="preserve"> ، نفس الباب ، ح 2134 ؛ و</w:t>
      </w:r>
      <w:r w:rsidR="00D64ADA" w:rsidRPr="00D64ADA">
        <w:rPr>
          <w:rStyle w:val="libFootnoteBoldChar"/>
          <w:rtl/>
        </w:rPr>
        <w:t>المحاسن</w:t>
      </w:r>
      <w:r w:rsidR="00992664" w:rsidRPr="00020424">
        <w:rPr>
          <w:rtl/>
        </w:rPr>
        <w:t xml:space="preserve"> ، ص 388 ، كتاب المآكل ، ح 11 ، بسند آخر عن أبي جعفر </w:t>
      </w:r>
      <w:r w:rsidR="00992664" w:rsidRPr="00D64ADA">
        <w:rPr>
          <w:rStyle w:val="libFootnoteAlaemChar"/>
          <w:rtl/>
        </w:rPr>
        <w:t>عليه‌السلام</w:t>
      </w:r>
      <w:r w:rsidR="00992664" w:rsidRPr="00020424">
        <w:rPr>
          <w:rtl/>
        </w:rPr>
        <w:t xml:space="preserve"> ، مع اختلاف ؛ </w:t>
      </w:r>
      <w:r w:rsidR="00992664" w:rsidRPr="00DE76B9">
        <w:rPr>
          <w:rStyle w:val="libFootnoteBoldChar"/>
          <w:rtl/>
        </w:rPr>
        <w:t>وفيه</w:t>
      </w:r>
      <w:r w:rsidR="00992664" w:rsidRPr="00020424">
        <w:rPr>
          <w:rtl/>
        </w:rPr>
        <w:t xml:space="preserve"> ، نفس الباب ، ح 12 ، بسند آخر عن أبي جعفر </w:t>
      </w:r>
      <w:r w:rsidR="00992664" w:rsidRPr="00D64ADA">
        <w:rPr>
          <w:rStyle w:val="libFootnoteAlaemChar"/>
          <w:rtl/>
        </w:rPr>
        <w:t>عليه‌السلام</w:t>
      </w:r>
      <w:r w:rsidR="00992664" w:rsidRPr="00020424">
        <w:rPr>
          <w:rtl/>
        </w:rPr>
        <w:t xml:space="preserve"> ، مع اختلاف يسير ؛ </w:t>
      </w:r>
      <w:r w:rsidR="00D64ADA" w:rsidRPr="00D64ADA">
        <w:rPr>
          <w:rStyle w:val="libFootnoteBoldChar"/>
          <w:rtl/>
        </w:rPr>
        <w:t>المحاسن</w:t>
      </w:r>
      <w:r w:rsidR="00992664" w:rsidRPr="00020424">
        <w:rPr>
          <w:rtl/>
        </w:rPr>
        <w:t xml:space="preserve"> ، ص 294 ، كتاب مصابيح الظلم ، ح 457 ، بسند آخر عن أبي جعفر </w:t>
      </w:r>
      <w:r w:rsidR="00992664" w:rsidRPr="00D64ADA">
        <w:rPr>
          <w:rStyle w:val="libFootnoteAlaemChar"/>
          <w:rtl/>
        </w:rPr>
        <w:t>عليه‌السلام</w:t>
      </w:r>
      <w:r w:rsidR="00992664" w:rsidRPr="00020424">
        <w:rPr>
          <w:rtl/>
        </w:rPr>
        <w:t xml:space="preserve"> عن رسول الله </w:t>
      </w:r>
      <w:r w:rsidR="00D64ADA" w:rsidRPr="004B0257">
        <w:rPr>
          <w:rStyle w:val="libFootnoteAlaemChar"/>
          <w:rtl/>
        </w:rPr>
        <w:t>صلى‌الله‌عليه‌وآله</w:t>
      </w:r>
      <w:r w:rsidR="00B42914" w:rsidRPr="004B0257">
        <w:rPr>
          <w:rStyle w:val="libFootnoteAlaemChar"/>
          <w:rtl/>
        </w:rPr>
        <w:t>‌</w:t>
      </w:r>
      <w:r w:rsidR="00992664" w:rsidRPr="00020424">
        <w:rPr>
          <w:rtl/>
        </w:rPr>
        <w:t xml:space="preserve">. </w:t>
      </w:r>
      <w:r w:rsidR="00992664" w:rsidRPr="00DE76B9">
        <w:rPr>
          <w:rStyle w:val="libFootnoteBoldChar"/>
          <w:rtl/>
        </w:rPr>
        <w:t>مصادقة الإخوان</w:t>
      </w:r>
      <w:r w:rsidR="00992664" w:rsidRPr="00020424">
        <w:rPr>
          <w:rtl/>
        </w:rPr>
        <w:t xml:space="preserve"> ، ص 44 ، ح 2 ، مرسلاً عن هشام بن الحكم ، مع زيادة. وفي </w:t>
      </w:r>
      <w:r w:rsidR="00992664" w:rsidRPr="00DE76B9">
        <w:rPr>
          <w:rStyle w:val="libFootnoteBoldChar"/>
          <w:rtl/>
        </w:rPr>
        <w:t>المؤمن</w:t>
      </w:r>
      <w:r w:rsidR="00992664" w:rsidRPr="00020424">
        <w:rPr>
          <w:rtl/>
        </w:rPr>
        <w:t xml:space="preserve"> ، ص 51 ، ح 127 ، مع زيادة ؛ </w:t>
      </w:r>
      <w:r w:rsidR="00992664" w:rsidRPr="00DE3E80">
        <w:rPr>
          <w:rStyle w:val="libFootnoteBoldChar"/>
          <w:rtl/>
        </w:rPr>
        <w:t>والمقنعة</w:t>
      </w:r>
      <w:r w:rsidR="00992664" w:rsidRPr="00020424">
        <w:rPr>
          <w:rtl/>
        </w:rPr>
        <w:t xml:space="preserve"> ، ص 267 ، مرسلاً. </w:t>
      </w:r>
      <w:r w:rsidR="00992664" w:rsidRPr="00DE76B9">
        <w:rPr>
          <w:rStyle w:val="libFootnoteBoldChar"/>
          <w:rtl/>
        </w:rPr>
        <w:t>مصادقة الإخوان</w:t>
      </w:r>
      <w:r w:rsidR="00992664" w:rsidRPr="00020424">
        <w:rPr>
          <w:rtl/>
        </w:rPr>
        <w:t xml:space="preserve"> ، ص 44 ، ح 4 ، مرسلاً عن أبي حمزة ، عن أبي جعفر </w:t>
      </w:r>
      <w:r w:rsidR="00992664" w:rsidRPr="00D64ADA">
        <w:rPr>
          <w:rStyle w:val="libFootnoteAlaemChar"/>
          <w:rtl/>
        </w:rPr>
        <w:t>عليه‌السلام</w:t>
      </w:r>
      <w:r w:rsidR="00992664" w:rsidRPr="00020424">
        <w:rPr>
          <w:rtl/>
        </w:rPr>
        <w:t xml:space="preserve"> ، مع اختلاف يسير </w:t>
      </w:r>
      <w:r w:rsidR="004B0257">
        <w:rPr>
          <w:rFonts w:hint="cs"/>
          <w:rtl/>
        </w:rPr>
        <w:t>.</w:t>
      </w:r>
      <w:r w:rsidR="00992664" w:rsidRPr="0012008A">
        <w:rPr>
          <w:rStyle w:val="libFootnoteBoldChar"/>
          <w:rtl/>
        </w:rPr>
        <w:t>الوافي</w:t>
      </w:r>
      <w:r w:rsidR="00992664" w:rsidRPr="00020424">
        <w:rPr>
          <w:rtl/>
        </w:rPr>
        <w:t xml:space="preserve"> ، ج 10 ، ص 507 ، ح 9996 ؛ </w:t>
      </w:r>
      <w:r w:rsidR="00992664" w:rsidRPr="0012008A">
        <w:rPr>
          <w:rStyle w:val="libFootnoteBoldChar"/>
          <w:rtl/>
        </w:rPr>
        <w:t>الوسائل</w:t>
      </w:r>
      <w:r w:rsidR="00992664" w:rsidRPr="00020424">
        <w:rPr>
          <w:rtl/>
        </w:rPr>
        <w:t xml:space="preserve"> ، ج 9 ، ص 469 ، ح 12517.</w:t>
      </w:r>
    </w:p>
    <w:p w:rsidR="00992664" w:rsidRPr="00020424" w:rsidRDefault="00795177" w:rsidP="00992664">
      <w:pPr>
        <w:pStyle w:val="libFootnote0"/>
        <w:rPr>
          <w:rtl/>
          <w:lang w:bidi="fa-IR"/>
        </w:rPr>
      </w:pPr>
      <w:r>
        <w:rPr>
          <w:rtl/>
        </w:rPr>
        <w:t>(3).</w:t>
      </w:r>
      <w:r w:rsidR="0014403D">
        <w:rPr>
          <w:rtl/>
        </w:rPr>
        <w:t xml:space="preserve"> </w:t>
      </w:r>
      <w:r w:rsidR="00D64ADA" w:rsidRPr="00D64ADA">
        <w:rPr>
          <w:rStyle w:val="libFootnoteBoldChar"/>
          <w:rtl/>
        </w:rPr>
        <w:t>المحاسن</w:t>
      </w:r>
      <w:r w:rsidR="00992664" w:rsidRPr="00020424">
        <w:rPr>
          <w:rtl/>
        </w:rPr>
        <w:t xml:space="preserve"> ، ص 388 ، كتاب المآكل ، ح 7 ، عن الحسن بن عليّ ، عن ثعلبة ، عن زرارة ، عن أبي جعفر </w:t>
      </w:r>
      <w:r w:rsidR="00992664" w:rsidRPr="00D64ADA">
        <w:rPr>
          <w:rStyle w:val="libFootnoteAlaemChar"/>
          <w:rtl/>
        </w:rPr>
        <w:t>عليه‌السلام</w:t>
      </w:r>
      <w:r w:rsidR="00992664" w:rsidRPr="00020424">
        <w:rPr>
          <w:rtl/>
        </w:rPr>
        <w:t xml:space="preserve"> ، وتمام الرواية فيه : « إنّ الله يحبّ إطعام الطعام وإفشاء السلام</w:t>
      </w:r>
      <w:r w:rsidR="00992664">
        <w:rPr>
          <w:rtl/>
        </w:rPr>
        <w:t xml:space="preserve"> ».</w:t>
      </w:r>
      <w:r w:rsidR="00992664" w:rsidRPr="00020424">
        <w:rPr>
          <w:rtl/>
        </w:rPr>
        <w:t xml:space="preserve"> </w:t>
      </w:r>
      <w:r w:rsidR="00D64ADA" w:rsidRPr="00D64ADA">
        <w:rPr>
          <w:rStyle w:val="libFootnoteBoldChar"/>
          <w:rtl/>
        </w:rPr>
        <w:t>المحاسن</w:t>
      </w:r>
      <w:r w:rsidR="00992664" w:rsidRPr="00020424">
        <w:rPr>
          <w:rtl/>
        </w:rPr>
        <w:t xml:space="preserve"> ، ص 387 ، ح 6 ، عن الحسن بن عليّ بن فضّال ، عن ثعلبة ، عن محمّد بن قيس ، عن أبي جعفر </w:t>
      </w:r>
      <w:r w:rsidR="00992664" w:rsidRPr="00D64ADA">
        <w:rPr>
          <w:rStyle w:val="libFootnoteAlaemChar"/>
          <w:rtl/>
        </w:rPr>
        <w:t>عليه‌السلام</w:t>
      </w:r>
      <w:r w:rsidR="00992664" w:rsidRPr="00020424">
        <w:rPr>
          <w:rtl/>
        </w:rPr>
        <w:t xml:space="preserve">. </w:t>
      </w:r>
      <w:r w:rsidR="00D64ADA" w:rsidRPr="00D64ADA">
        <w:rPr>
          <w:rStyle w:val="libFootnoteBoldChar"/>
          <w:rtl/>
        </w:rPr>
        <w:t>المحاسن</w:t>
      </w:r>
      <w:r w:rsidR="00992664" w:rsidRPr="00020424">
        <w:rPr>
          <w:rtl/>
        </w:rPr>
        <w:t xml:space="preserve"> ، ص 388 ، ح 9 ، بسند آخر عن أبي عبدالله </w:t>
      </w:r>
      <w:r w:rsidR="00992664" w:rsidRPr="00D64ADA">
        <w:rPr>
          <w:rStyle w:val="libFootnoteAlaemChar"/>
          <w:rtl/>
        </w:rPr>
        <w:t>عليه‌السلام</w:t>
      </w:r>
      <w:r w:rsidR="00992664" w:rsidRPr="00020424">
        <w:rPr>
          <w:rtl/>
        </w:rPr>
        <w:t xml:space="preserve"> </w:t>
      </w:r>
      <w:r w:rsidR="004B0257">
        <w:rPr>
          <w:rFonts w:hint="cs"/>
          <w:rtl/>
        </w:rPr>
        <w:t>.</w:t>
      </w:r>
      <w:r w:rsidR="00992664" w:rsidRPr="0012008A">
        <w:rPr>
          <w:rStyle w:val="libFootnoteBoldChar"/>
          <w:rtl/>
        </w:rPr>
        <w:t>الوافي</w:t>
      </w:r>
      <w:r w:rsidR="00992664" w:rsidRPr="00020424">
        <w:rPr>
          <w:rtl/>
        </w:rPr>
        <w:t xml:space="preserve"> ، ج 10 ، ص 506 ، ح 9995 ؛ </w:t>
      </w:r>
      <w:r w:rsidR="00992664" w:rsidRPr="0012008A">
        <w:rPr>
          <w:rStyle w:val="libFootnoteBoldChar"/>
          <w:rtl/>
        </w:rPr>
        <w:t>الوسائل</w:t>
      </w:r>
      <w:r w:rsidR="00992664" w:rsidRPr="00020424">
        <w:rPr>
          <w:rtl/>
        </w:rPr>
        <w:t xml:space="preserve"> ، ج 9 ، ص 469 ، ح 12516 ؛ وج 16 ، ص 331 ، ح 21686 ؛ وج 24 ، ص 92 ، ح 30081.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778F9">
        <w:rPr>
          <w:rtl/>
        </w:rPr>
        <w:t>6203</w:t>
      </w:r>
      <w:r w:rsidRPr="001155DE">
        <w:rPr>
          <w:rStyle w:val="libBold2Char"/>
          <w:rtl/>
        </w:rPr>
        <w:t xml:space="preserve"> / 9.</w:t>
      </w:r>
      <w:r w:rsidRPr="00020424">
        <w:rPr>
          <w:rtl/>
          <w:lang w:bidi="fa-IR"/>
        </w:rPr>
        <w:t xml:space="preserve"> عِدَّةٌ مِنْ أَصْحَابِنَا </w:t>
      </w:r>
      <w:r w:rsidRPr="00A91B96">
        <w:rPr>
          <w:rStyle w:val="libFootnotenumChar"/>
          <w:rtl/>
        </w:rPr>
        <w:t>(1)</w:t>
      </w:r>
      <w:r w:rsidRPr="00020424">
        <w:rPr>
          <w:rtl/>
          <w:lang w:bidi="fa-IR"/>
        </w:rPr>
        <w:t xml:space="preserve"> ، عَنْ أَحْمَدَ بْنِ مُحَمَّدٍ ، عَنْ عَلِيِّ بْنِ الْحَكَمِ ، عَنِ الْحُسَيْنِ بْنِ أبي سَعِيدٍ </w:t>
      </w:r>
      <w:r w:rsidRPr="00A91B96">
        <w:rPr>
          <w:rStyle w:val="libFootnotenumChar"/>
          <w:rtl/>
        </w:rPr>
        <w:t>(2)</w:t>
      </w:r>
      <w:r w:rsidRPr="00020424">
        <w:rPr>
          <w:rtl/>
          <w:lang w:bidi="fa-IR"/>
        </w:rPr>
        <w:t xml:space="preserve">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أُتِيَ رَسُولُ اللهِ </w:t>
      </w:r>
      <w:r w:rsidR="00B42914" w:rsidRPr="00B42914">
        <w:rPr>
          <w:rStyle w:val="libAlaemChar"/>
          <w:rtl/>
        </w:rPr>
        <w:t>صلى‌الله‌عليه‌وآله‌</w:t>
      </w:r>
      <w:r w:rsidRPr="00020424">
        <w:rPr>
          <w:rtl/>
          <w:lang w:bidi="fa-IR"/>
        </w:rPr>
        <w:t xml:space="preserve"> بِأُسَارى ، فَقُدِّمَ رَجُلٌ </w:t>
      </w:r>
      <w:r w:rsidRPr="00A91B96">
        <w:rPr>
          <w:rStyle w:val="libFootnotenumChar"/>
          <w:rtl/>
        </w:rPr>
        <w:t>(3)</w:t>
      </w:r>
      <w:r w:rsidRPr="00020424">
        <w:rPr>
          <w:rtl/>
          <w:lang w:bidi="fa-IR"/>
        </w:rPr>
        <w:t xml:space="preserve"> مِنْهُمْ لِيُضْرَبَ عُنُقُهُ ، فَقَالَ لَهُ </w:t>
      </w:r>
      <w:r w:rsidRPr="00A91B96">
        <w:rPr>
          <w:rStyle w:val="libFootnotenumChar"/>
          <w:rtl/>
        </w:rPr>
        <w:t>(4)</w:t>
      </w:r>
      <w:r w:rsidRPr="00020424">
        <w:rPr>
          <w:rtl/>
          <w:lang w:bidi="fa-IR"/>
        </w:rPr>
        <w:t xml:space="preserve"> جَبْرَئِيلُ : أَخِّرْ هذَا الْيَوْمَ يَا مُحَمَّدُ ، فَرَدَّهُ وَأَخْرَجَ غَيْرَهُ حَتّى كَانَ هُوَ آخِرَهُمْ ، فَدَعَا بِهِ لِيُضْرَبَ عُنُقُهُ </w:t>
      </w:r>
      <w:r w:rsidRPr="00A91B96">
        <w:rPr>
          <w:rStyle w:val="libFootnotenumChar"/>
          <w:rtl/>
        </w:rPr>
        <w:t>(5)</w:t>
      </w:r>
      <w:r w:rsidRPr="00020424">
        <w:rPr>
          <w:rtl/>
          <w:lang w:bidi="fa-IR"/>
        </w:rPr>
        <w:t xml:space="preserve"> ، فَقَالَ لَهُ جَبْرَئِيلُ : يَا مُحَمَّدُ ، رَبُّكَ يُقْرِئُكَ السَّلَامَ ، وَيَقُولُ لَكَ : إِنَّ أَسِيرَكَ هذَا يُطْعِمُ الطَّعَامَ ، وَيَقْرِي الضَّيْفَ </w:t>
      </w:r>
      <w:r w:rsidRPr="00A91B96">
        <w:rPr>
          <w:rStyle w:val="libFootnotenumChar"/>
          <w:rtl/>
        </w:rPr>
        <w:t>(6)</w:t>
      </w:r>
      <w:r w:rsidRPr="00020424">
        <w:rPr>
          <w:rtl/>
          <w:lang w:bidi="fa-IR"/>
        </w:rPr>
        <w:t xml:space="preserve"> ، وَيَصْبِرُ عَلَى النَّائِبَةِ </w:t>
      </w:r>
      <w:r w:rsidRPr="00A91B96">
        <w:rPr>
          <w:rStyle w:val="libFootnotenumChar"/>
          <w:rtl/>
        </w:rPr>
        <w:t>(7)</w:t>
      </w:r>
      <w:r w:rsidRPr="00020424">
        <w:rPr>
          <w:rtl/>
          <w:lang w:bidi="fa-IR"/>
        </w:rPr>
        <w:t xml:space="preserve"> ، وَيَحْمِلُ </w:t>
      </w:r>
      <w:r w:rsidRPr="00A91B96">
        <w:rPr>
          <w:rStyle w:val="libFootnotenumChar"/>
          <w:rtl/>
        </w:rPr>
        <w:t>(8)</w:t>
      </w:r>
      <w:r w:rsidRPr="00020424">
        <w:rPr>
          <w:rtl/>
          <w:lang w:bidi="fa-IR"/>
        </w:rPr>
        <w:t xml:space="preserve"> الْحَمَالَاتِ </w:t>
      </w:r>
      <w:r w:rsidRPr="00A91B96">
        <w:rPr>
          <w:rStyle w:val="libFootnotenumChar"/>
          <w:rtl/>
        </w:rPr>
        <w:t>(9)</w:t>
      </w:r>
      <w:r w:rsidRPr="00020424">
        <w:rPr>
          <w:rtl/>
          <w:lang w:bidi="fa-IR"/>
        </w:rPr>
        <w:t xml:space="preserve"> ، فَقَالَ لَهُ النَّبِيُّ </w:t>
      </w:r>
      <w:r w:rsidR="00B42914" w:rsidRPr="00B42914">
        <w:rPr>
          <w:rStyle w:val="libAlaemChar"/>
          <w:rtl/>
        </w:rPr>
        <w:t>صلى‌الله‌عليه‌وآله‌</w:t>
      </w:r>
      <w:r w:rsidRPr="00020424">
        <w:rPr>
          <w:rtl/>
          <w:lang w:bidi="fa-IR"/>
        </w:rPr>
        <w:t xml:space="preserve"> : إِنَّ جَبْرَئِيلَ أَخْبَرَنِي فِيكَ </w:t>
      </w:r>
      <w:r w:rsidRPr="00A91B96">
        <w:rPr>
          <w:rStyle w:val="libFootnotenumChar"/>
          <w:rtl/>
        </w:rPr>
        <w:t>(10)</w:t>
      </w:r>
      <w:r w:rsidRPr="00020424">
        <w:rPr>
          <w:rtl/>
          <w:lang w:bidi="fa-IR"/>
        </w:rPr>
        <w:t xml:space="preserve"> عَنِ </w:t>
      </w:r>
      <w:r w:rsidRPr="00A91B96">
        <w:rPr>
          <w:rStyle w:val="libFootnotenumChar"/>
          <w:rtl/>
        </w:rPr>
        <w:t>(11)</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عَزَّ‌</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الكافي ، ح 6150 : « محمّد بن يحيى » بدل « عدّة من أصحابنا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هكذا في « بخ ، بر ، بف ، جن » وحاشية « ظ</w:t>
      </w:r>
      <w:r w:rsidR="00992664">
        <w:rPr>
          <w:rtl/>
        </w:rPr>
        <w:t xml:space="preserve"> ».</w:t>
      </w:r>
      <w:r w:rsidR="00992664" w:rsidRPr="00020424">
        <w:rPr>
          <w:rtl/>
        </w:rPr>
        <w:t xml:space="preserve"> وفي « ظ ، ى ، بث ، بح ، بس » والمطبوع </w:t>
      </w:r>
      <w:r w:rsidR="00992664" w:rsidRPr="00EB1FD9">
        <w:rPr>
          <w:rStyle w:val="libFootnoteBoldChar"/>
          <w:rtl/>
        </w:rPr>
        <w:t>والوسائل</w:t>
      </w:r>
      <w:r w:rsidR="00992664" w:rsidRPr="00020424">
        <w:rPr>
          <w:rtl/>
        </w:rPr>
        <w:t xml:space="preserve"> : « عن الحسين بن سعيد</w:t>
      </w:r>
      <w:r w:rsidR="00992664">
        <w:rPr>
          <w:rtl/>
        </w:rPr>
        <w:t xml:space="preserve"> ».</w:t>
      </w:r>
    </w:p>
    <w:p w:rsidR="00992664" w:rsidRPr="00020424" w:rsidRDefault="00992664" w:rsidP="004B0257">
      <w:pPr>
        <w:pStyle w:val="libFootnote0"/>
        <w:rPr>
          <w:rtl/>
          <w:lang w:bidi="fa-IR"/>
        </w:rPr>
      </w:pPr>
      <w:r w:rsidRPr="004B0257">
        <w:rPr>
          <w:rtl/>
        </w:rPr>
        <w:t xml:space="preserve">وما أثبتناه هو الصواب ؛ فإنّه لم يثبت رواية عليّ بن الحكم ، عن الحسين بن سعيد ، بل روى عليّ بن مهزيار عن الحسين بن سعيد عن عليّ بن الحكم في </w:t>
      </w:r>
      <w:r w:rsidRPr="0012008A">
        <w:rPr>
          <w:rStyle w:val="libFootnoteBoldChar"/>
          <w:rtl/>
        </w:rPr>
        <w:t>التهذيب</w:t>
      </w:r>
      <w:r w:rsidRPr="004B0257">
        <w:rPr>
          <w:rtl/>
        </w:rPr>
        <w:t xml:space="preserve"> ، ج 6 ، ص 38 ، ح 80 </w:t>
      </w:r>
      <w:r w:rsidR="009B673F" w:rsidRPr="004B0257">
        <w:rPr>
          <w:rtl/>
        </w:rPr>
        <w:t>-</w:t>
      </w:r>
      <w:r w:rsidRPr="004B0257">
        <w:rPr>
          <w:rtl/>
        </w:rPr>
        <w:t xml:space="preserve"> 81. وتقدّمت في ح 6150 ، رواية عليّ بن الحكم عن الحسين بن أبي سعيد المكاري عن رجل عن أبي عبد الله </w:t>
      </w:r>
      <w:r w:rsidRPr="00D64ADA">
        <w:rPr>
          <w:rStyle w:val="libFootnoteAlaemChar"/>
          <w:rtl/>
        </w:rPr>
        <w:t>عليه‌السلام</w:t>
      </w:r>
      <w:r w:rsidRPr="004B0257">
        <w:rPr>
          <w:rtl/>
        </w:rPr>
        <w:t xml:space="preserve"> ، والخبران قريبا المضمون.</w:t>
      </w:r>
    </w:p>
    <w:p w:rsidR="00992664" w:rsidRPr="00020424" w:rsidRDefault="00992664" w:rsidP="004B0257">
      <w:pPr>
        <w:pStyle w:val="libFootnote0"/>
        <w:rPr>
          <w:rtl/>
          <w:lang w:bidi="fa-IR"/>
        </w:rPr>
      </w:pPr>
      <w:r w:rsidRPr="004B0257">
        <w:rPr>
          <w:rtl/>
        </w:rPr>
        <w:t xml:space="preserve">وهذا الخبر رواه البرقي في </w:t>
      </w:r>
      <w:r w:rsidR="00D64ADA" w:rsidRPr="00D64ADA">
        <w:rPr>
          <w:rStyle w:val="libFootnoteBoldChar"/>
          <w:rtl/>
        </w:rPr>
        <w:t>المحاسن</w:t>
      </w:r>
      <w:r w:rsidRPr="004B0257">
        <w:rPr>
          <w:rtl/>
        </w:rPr>
        <w:t xml:space="preserve"> ، ج 2 ، ص 388 ، ح 14 ، عن محمّد بن عليّ بن الحكم ، عن الحسين بن أبي سعيد المكاري.</w:t>
      </w:r>
    </w:p>
    <w:p w:rsidR="00992664" w:rsidRPr="00020424" w:rsidRDefault="00992664" w:rsidP="004B0257">
      <w:pPr>
        <w:pStyle w:val="libFootnote0"/>
        <w:rPr>
          <w:rtl/>
          <w:lang w:bidi="fa-IR"/>
        </w:rPr>
      </w:pPr>
      <w:r w:rsidRPr="004B0257">
        <w:rPr>
          <w:rtl/>
        </w:rPr>
        <w:t xml:space="preserve">ثمّ إنّ الحسين بن أبي سعيد ، هو الحسين بن هاشم بن حيّان أبي سعيد المكاري. راجع : </w:t>
      </w:r>
      <w:r w:rsidRPr="00DE76B9">
        <w:rPr>
          <w:rStyle w:val="libFootnoteBoldChar"/>
          <w:rtl/>
        </w:rPr>
        <w:t>رجال النجاشي</w:t>
      </w:r>
      <w:r w:rsidRPr="004B0257">
        <w:rPr>
          <w:rtl/>
        </w:rPr>
        <w:t xml:space="preserve"> ، ص 38 ، الرقم 78.</w:t>
      </w:r>
      <w:r w:rsidR="004B0257">
        <w:rPr>
          <w:rFonts w:hint="cs"/>
          <w:rtl/>
        </w:rPr>
        <w:t xml:space="preserve">                                                  </w:t>
      </w:r>
      <w:r w:rsidR="00795177">
        <w:rPr>
          <w:rtl/>
        </w:rPr>
        <w:t>(3).</w:t>
      </w:r>
      <w:r w:rsidR="0014403D">
        <w:rPr>
          <w:rtl/>
        </w:rPr>
        <w:t xml:space="preserve"> </w:t>
      </w:r>
      <w:r w:rsidRPr="00020424">
        <w:rPr>
          <w:rtl/>
        </w:rPr>
        <w:t xml:space="preserve">في « بف » </w:t>
      </w:r>
      <w:r w:rsidRPr="00515444">
        <w:rPr>
          <w:rStyle w:val="libFootnoteBoldChar"/>
          <w:rtl/>
        </w:rPr>
        <w:t>والوافي</w:t>
      </w:r>
      <w:r w:rsidRPr="00020424">
        <w:rPr>
          <w:rtl/>
        </w:rPr>
        <w:t xml:space="preserve"> : « رجلاً</w:t>
      </w:r>
      <w:r>
        <w:rPr>
          <w:rtl/>
        </w:rPr>
        <w:t xml:space="preserve"> ».</w:t>
      </w:r>
    </w:p>
    <w:tbl>
      <w:tblPr>
        <w:tblStyle w:val="TableGrid"/>
        <w:bidiVisual/>
        <w:tblW w:w="0" w:type="auto"/>
        <w:tblLook w:val="04A0" w:firstRow="1" w:lastRow="0" w:firstColumn="1" w:lastColumn="0" w:noHBand="0" w:noVBand="1"/>
      </w:tblPr>
      <w:tblGrid>
        <w:gridCol w:w="4006"/>
        <w:gridCol w:w="4006"/>
      </w:tblGrid>
      <w:tr w:rsidR="004B0257" w:rsidTr="004B0257">
        <w:tc>
          <w:tcPr>
            <w:tcW w:w="4006" w:type="dxa"/>
          </w:tcPr>
          <w:p w:rsidR="004B0257" w:rsidRDefault="004B0257" w:rsidP="00992664">
            <w:pPr>
              <w:pStyle w:val="libFootnote0"/>
              <w:rPr>
                <w:rtl/>
              </w:rPr>
            </w:pPr>
            <w:r>
              <w:rPr>
                <w:rtl/>
              </w:rPr>
              <w:t xml:space="preserve">(4). </w:t>
            </w:r>
            <w:r w:rsidRPr="00020424">
              <w:rPr>
                <w:rtl/>
              </w:rPr>
              <w:t xml:space="preserve">في « بر ، بك » </w:t>
            </w:r>
            <w:r w:rsidRPr="00515444">
              <w:rPr>
                <w:rStyle w:val="libFootnoteBoldChar"/>
                <w:rtl/>
              </w:rPr>
              <w:t>والوافي</w:t>
            </w:r>
            <w:r w:rsidRPr="00020424">
              <w:rPr>
                <w:rtl/>
              </w:rPr>
              <w:t xml:space="preserve"> :</w:t>
            </w:r>
            <w:r>
              <w:rPr>
                <w:rtl/>
              </w:rPr>
              <w:t xml:space="preserve"> - </w:t>
            </w:r>
            <w:r w:rsidRPr="00020424">
              <w:rPr>
                <w:rtl/>
              </w:rPr>
              <w:t>« له</w:t>
            </w:r>
            <w:r>
              <w:rPr>
                <w:rtl/>
              </w:rPr>
              <w:t xml:space="preserve"> ».</w:t>
            </w:r>
          </w:p>
        </w:tc>
        <w:tc>
          <w:tcPr>
            <w:tcW w:w="4006" w:type="dxa"/>
          </w:tcPr>
          <w:p w:rsidR="004B0257" w:rsidRDefault="004B0257" w:rsidP="00992664">
            <w:pPr>
              <w:pStyle w:val="libFootnote0"/>
              <w:rPr>
                <w:rtl/>
              </w:rPr>
            </w:pPr>
            <w:r>
              <w:rPr>
                <w:rtl/>
              </w:rPr>
              <w:t xml:space="preserve">(5). </w:t>
            </w:r>
            <w:r w:rsidRPr="00020424">
              <w:rPr>
                <w:rtl/>
              </w:rPr>
              <w:t xml:space="preserve">في </w:t>
            </w:r>
            <w:r w:rsidRPr="00D64ADA">
              <w:rPr>
                <w:rStyle w:val="libFootnoteBoldChar"/>
                <w:rtl/>
              </w:rPr>
              <w:t>المحاسن</w:t>
            </w:r>
            <w:r w:rsidRPr="00020424">
              <w:rPr>
                <w:rtl/>
              </w:rPr>
              <w:t>:</w:t>
            </w:r>
            <w:r>
              <w:rPr>
                <w:rtl/>
              </w:rPr>
              <w:t>-«فقال له جبرئيل:</w:t>
            </w:r>
            <w:r w:rsidRPr="00020424">
              <w:rPr>
                <w:rtl/>
              </w:rPr>
              <w:t>أخّر</w:t>
            </w:r>
            <w:r>
              <w:rPr>
                <w:rtl/>
              </w:rPr>
              <w:t>-</w:t>
            </w:r>
            <w:r w:rsidRPr="00020424">
              <w:rPr>
                <w:rtl/>
              </w:rPr>
              <w:t>إلى</w:t>
            </w:r>
            <w:r>
              <w:rPr>
                <w:rtl/>
              </w:rPr>
              <w:t>-</w:t>
            </w:r>
            <w:r w:rsidRPr="00020424">
              <w:rPr>
                <w:rtl/>
              </w:rPr>
              <w:t>عنقه</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يَقْرِي الضيف » ، أي يحسن إليه ؛ تقول : قَرَيْتُ الضيفَ قِرىً ، مثال قليته قِلىً ، وقَراءً ، أي أحسنت إليه. راجع : </w:t>
      </w:r>
      <w:r w:rsidR="00992664" w:rsidRPr="00DE76B9">
        <w:rPr>
          <w:rStyle w:val="libFootnoteBoldChar"/>
          <w:rtl/>
        </w:rPr>
        <w:t>ترتيب كتاب العين</w:t>
      </w:r>
      <w:r w:rsidR="00992664" w:rsidRPr="00020424">
        <w:rPr>
          <w:rtl/>
        </w:rPr>
        <w:t xml:space="preserve"> ، ج 3 ، ص 1471 ؛ </w:t>
      </w:r>
      <w:r w:rsidR="00992664" w:rsidRPr="0012008A">
        <w:rPr>
          <w:rStyle w:val="libFootnoteBoldChar"/>
          <w:rtl/>
        </w:rPr>
        <w:t>الصحاح</w:t>
      </w:r>
      <w:r w:rsidR="00992664" w:rsidRPr="00020424">
        <w:rPr>
          <w:rtl/>
        </w:rPr>
        <w:t xml:space="preserve"> ، ج 6 ، ص 2491 ( قرا )</w:t>
      </w:r>
      <w:r w:rsidR="00992664">
        <w:rPr>
          <w:rtl/>
        </w:rPr>
        <w:t>.</w:t>
      </w:r>
    </w:p>
    <w:p w:rsidR="00992664" w:rsidRPr="00020424" w:rsidRDefault="00795177" w:rsidP="004B0257">
      <w:pPr>
        <w:pStyle w:val="libFootnote0"/>
        <w:rPr>
          <w:rtl/>
          <w:lang w:bidi="fa-IR"/>
        </w:rPr>
      </w:pPr>
      <w:r>
        <w:rPr>
          <w:rtl/>
        </w:rPr>
        <w:t>(7).</w:t>
      </w:r>
      <w:r w:rsidR="0014403D">
        <w:rPr>
          <w:rtl/>
        </w:rPr>
        <w:t xml:space="preserve"> </w:t>
      </w:r>
      <w:r w:rsidR="00992664" w:rsidRPr="00020424">
        <w:rPr>
          <w:rtl/>
        </w:rPr>
        <w:t xml:space="preserve">« النائبة » : ما ينوب الإنسان ، أي ينزل به من المهمّات والحوادث. وقيل : هي المصيبة. راجع : </w:t>
      </w:r>
      <w:r w:rsidR="00992664" w:rsidRPr="0012008A">
        <w:rPr>
          <w:rStyle w:val="libFootnoteBoldChar"/>
          <w:rtl/>
        </w:rPr>
        <w:t>الصحاح</w:t>
      </w:r>
      <w:r w:rsidR="00992664" w:rsidRPr="00020424">
        <w:rPr>
          <w:rtl/>
        </w:rPr>
        <w:t xml:space="preserve"> ، ج 1 ، ص 229 ؛ </w:t>
      </w:r>
      <w:r w:rsidR="00992664" w:rsidRPr="0012008A">
        <w:rPr>
          <w:rStyle w:val="libFootnoteBoldChar"/>
          <w:rtl/>
        </w:rPr>
        <w:t>النهاية</w:t>
      </w:r>
      <w:r w:rsidR="00992664" w:rsidRPr="00020424">
        <w:rPr>
          <w:rtl/>
        </w:rPr>
        <w:t xml:space="preserve"> ، ج 5 ، ص 123 ( نوب )</w:t>
      </w:r>
      <w:r w:rsidR="00992664">
        <w:rPr>
          <w:rtl/>
        </w:rPr>
        <w:t>.</w:t>
      </w:r>
      <w:r w:rsidR="004B0257">
        <w:rPr>
          <w:rFonts w:hint="cs"/>
          <w:rtl/>
        </w:rPr>
        <w:t xml:space="preserve">     </w:t>
      </w:r>
      <w:r>
        <w:rPr>
          <w:rtl/>
        </w:rPr>
        <w:t>(8).</w:t>
      </w:r>
      <w:r w:rsidR="0014403D">
        <w:rPr>
          <w:rtl/>
        </w:rPr>
        <w:t xml:space="preserve"> </w:t>
      </w:r>
      <w:r w:rsidR="00992664" w:rsidRPr="00020424">
        <w:rPr>
          <w:rtl/>
        </w:rPr>
        <w:t xml:space="preserve">في </w:t>
      </w:r>
      <w:r w:rsidR="00D64ADA" w:rsidRPr="00D64ADA">
        <w:rPr>
          <w:rStyle w:val="libFootnoteBoldChar"/>
          <w:rtl/>
        </w:rPr>
        <w:t>المحاسن</w:t>
      </w:r>
      <w:r w:rsidR="00992664" w:rsidRPr="00020424">
        <w:rPr>
          <w:rtl/>
        </w:rPr>
        <w:t xml:space="preserve"> : « ويحتمل</w:t>
      </w:r>
      <w:r w:rsidR="00992664">
        <w:rPr>
          <w:rtl/>
        </w:rPr>
        <w:t xml:space="preserve"> ».</w:t>
      </w:r>
    </w:p>
    <w:p w:rsidR="00992664" w:rsidRPr="00020424" w:rsidRDefault="00795177" w:rsidP="004B0257">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الحمالة بالفتح : ما يتحمّله الإنسان عن غيره من دية أو غرامة ، مثل أن يقع حرب بين فريقين تُسْفَك فيها الدماء ، فيدخل بينهم رجل يتحمّل ديات القتلى ؛ ليصلح ذات البين</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442 ( حمل )</w:t>
      </w:r>
      <w:r w:rsidR="00992664">
        <w:rPr>
          <w:rtl/>
        </w:rPr>
        <w:t>.</w:t>
      </w:r>
      <w:r w:rsidR="004B0257">
        <w:rPr>
          <w:rFonts w:hint="cs"/>
          <w:rtl/>
        </w:rPr>
        <w:t xml:space="preserve">                                                     </w:t>
      </w:r>
      <w:r>
        <w:rPr>
          <w:rtl/>
        </w:rPr>
        <w:t>(10).</w:t>
      </w:r>
      <w:r w:rsidR="0014403D">
        <w:rPr>
          <w:rtl/>
        </w:rPr>
        <w:t xml:space="preserve"> </w:t>
      </w:r>
      <w:r w:rsidR="00992664" w:rsidRPr="00020424">
        <w:rPr>
          <w:rtl/>
        </w:rPr>
        <w:t>في « ظ ، بح » و</w:t>
      </w:r>
      <w:r w:rsidR="00D64ADA" w:rsidRPr="00D64ADA">
        <w:rPr>
          <w:rStyle w:val="libFootnoteBoldChar"/>
          <w:rtl/>
        </w:rPr>
        <w:t>المحاسن</w:t>
      </w:r>
      <w:r w:rsidR="00992664" w:rsidRPr="00020424">
        <w:rPr>
          <w:rtl/>
        </w:rPr>
        <w:t xml:space="preserve"> : « عنك</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D64ADA" w:rsidRPr="00D64ADA">
        <w:rPr>
          <w:rStyle w:val="libFootnoteBoldChar"/>
          <w:rtl/>
        </w:rPr>
        <w:t>المحاسن</w:t>
      </w:r>
      <w:r w:rsidR="00992664" w:rsidRPr="00020424">
        <w:rPr>
          <w:rtl/>
        </w:rPr>
        <w:t>. وفي المطبوع : « 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وَجَلَّ</w:t>
      </w:r>
      <w:r>
        <w:rPr>
          <w:rtl/>
          <w:lang w:bidi="fa-IR"/>
        </w:rPr>
        <w:t xml:space="preserve"> </w:t>
      </w:r>
      <w:r w:rsidR="009B673F">
        <w:rPr>
          <w:rtl/>
          <w:lang w:bidi="fa-IR"/>
        </w:rPr>
        <w:t>-</w:t>
      </w:r>
      <w:r>
        <w:rPr>
          <w:rtl/>
          <w:lang w:bidi="fa-IR"/>
        </w:rPr>
        <w:t xml:space="preserve"> </w:t>
      </w:r>
      <w:r w:rsidRPr="00020424">
        <w:rPr>
          <w:rtl/>
          <w:lang w:bidi="fa-IR"/>
        </w:rPr>
        <w:t xml:space="preserve">بِكَذَا وَكَذَا وَقَدْ أَعْتَقْتُكَ ، فَقَالَ لَهُ : وَإِنَّ </w:t>
      </w:r>
      <w:r w:rsidRPr="00A91B96">
        <w:rPr>
          <w:rStyle w:val="libFootnotenumChar"/>
          <w:rtl/>
        </w:rPr>
        <w:t>(1)</w:t>
      </w:r>
      <w:r w:rsidRPr="00020424">
        <w:rPr>
          <w:rtl/>
          <w:lang w:bidi="fa-IR"/>
        </w:rPr>
        <w:t xml:space="preserve"> رَبَّكَ لَيُحِبُّ </w:t>
      </w:r>
      <w:r w:rsidRPr="00A91B96">
        <w:rPr>
          <w:rStyle w:val="libFootnotenumChar"/>
          <w:rtl/>
        </w:rPr>
        <w:t>(2)</w:t>
      </w:r>
      <w:r w:rsidRPr="00020424">
        <w:rPr>
          <w:rtl/>
          <w:lang w:bidi="fa-IR"/>
        </w:rPr>
        <w:t xml:space="preserve"> هذَا</w:t>
      </w:r>
      <w:r>
        <w:rPr>
          <w:rtl/>
          <w:lang w:bidi="fa-IR"/>
        </w:rPr>
        <w:t>؟</w:t>
      </w:r>
      <w:r w:rsidRPr="00020424">
        <w:rPr>
          <w:rtl/>
          <w:lang w:bidi="fa-IR"/>
        </w:rPr>
        <w:t xml:space="preserve"> فَقَالَ : نَعَمْ ، فَقَالَ :</w:t>
      </w:r>
      <w:r>
        <w:rPr>
          <w:rFonts w:hint="cs"/>
          <w:rtl/>
          <w:lang w:bidi="fa-IR"/>
        </w:rPr>
        <w:t xml:space="preserve"> </w:t>
      </w:r>
      <w:r w:rsidRPr="00020424">
        <w:rPr>
          <w:rtl/>
          <w:lang w:bidi="fa-IR"/>
        </w:rPr>
        <w:t>أَشْهَدُ أَنْ لَا</w:t>
      </w:r>
      <w:r>
        <w:rPr>
          <w:rFonts w:hint="cs"/>
          <w:rtl/>
          <w:lang w:bidi="fa-IR"/>
        </w:rPr>
        <w:t xml:space="preserve"> </w:t>
      </w:r>
      <w:r w:rsidR="004B0257">
        <w:rPr>
          <w:rtl/>
          <w:lang w:bidi="fa-IR"/>
        </w:rPr>
        <w:t>إِلهَ إِل</w:t>
      </w:r>
      <w:r w:rsidR="004B0257">
        <w:rPr>
          <w:rFonts w:hint="cs"/>
          <w:rtl/>
          <w:lang w:bidi="fa-IR"/>
        </w:rPr>
        <w:t>َّ</w:t>
      </w:r>
      <w:r w:rsidR="004B0257">
        <w:rPr>
          <w:rtl/>
          <w:lang w:bidi="fa-IR"/>
        </w:rPr>
        <w:t>ا</w:t>
      </w:r>
      <w:r w:rsidRPr="00020424">
        <w:rPr>
          <w:rtl/>
          <w:lang w:bidi="fa-IR"/>
        </w:rPr>
        <w:t xml:space="preserve"> اللهُ </w:t>
      </w:r>
      <w:r w:rsidRPr="00A91B96">
        <w:rPr>
          <w:rStyle w:val="libFootnotenumChar"/>
          <w:rtl/>
        </w:rPr>
        <w:t>(3)</w:t>
      </w:r>
      <w:r w:rsidRPr="00020424">
        <w:rPr>
          <w:rtl/>
          <w:lang w:bidi="fa-IR"/>
        </w:rPr>
        <w:t xml:space="preserve"> وَأَنَّكَ </w:t>
      </w:r>
      <w:r w:rsidRPr="00A91B96">
        <w:rPr>
          <w:rStyle w:val="libFootnotenumChar"/>
          <w:rtl/>
        </w:rPr>
        <w:t>(4)</w:t>
      </w:r>
      <w:r w:rsidRPr="00020424">
        <w:rPr>
          <w:rtl/>
          <w:lang w:bidi="fa-IR"/>
        </w:rPr>
        <w:t xml:space="preserve"> رَسُولُ اللهِ ، وَالَّذِي بَعَثَكَ بِالْحَقِّ نَبِيّاً </w:t>
      </w:r>
      <w:r w:rsidRPr="00A91B96">
        <w:rPr>
          <w:rStyle w:val="libFootnotenumChar"/>
          <w:rtl/>
        </w:rPr>
        <w:t>(5)</w:t>
      </w:r>
      <w:r w:rsidRPr="00020424">
        <w:rPr>
          <w:rtl/>
          <w:lang w:bidi="fa-IR"/>
        </w:rPr>
        <w:t xml:space="preserve"> لَارَدَدْتُ عَنْ مَالِي أَحَداً أَبَداً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778F9">
        <w:rPr>
          <w:rtl/>
        </w:rPr>
        <w:t>6204</w:t>
      </w:r>
      <w:r w:rsidRPr="001155DE">
        <w:rPr>
          <w:rStyle w:val="libBold2Char"/>
          <w:rtl/>
        </w:rPr>
        <w:t xml:space="preserve"> / 10.</w:t>
      </w:r>
      <w:r w:rsidRPr="00020424">
        <w:rPr>
          <w:rtl/>
          <w:lang w:bidi="fa-IR"/>
        </w:rPr>
        <w:t xml:space="preserve"> عَلِيُّ بْنُ إِبْرَاهِيمَ ، عَنْ مُحَمَّدِ بْنِ عِيسى ، عَنِ ابْنِ فَضَّالٍ ، عَنْ عَبْدِ اللهِ بْنِ مَيْمُونٍ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جَعْفَرٍ ، عَنْ أَبِيهِ </w:t>
      </w:r>
      <w:r w:rsidRPr="00005A81">
        <w:rPr>
          <w:rStyle w:val="libAlaemChar"/>
          <w:rtl/>
        </w:rPr>
        <w:t>عليهما‌السلام</w:t>
      </w:r>
      <w:r w:rsidRPr="00020424">
        <w:rPr>
          <w:rtl/>
          <w:lang w:bidi="fa-IR"/>
        </w:rPr>
        <w:t xml:space="preserve"> : « أَنَّ النَّبِيَّ </w:t>
      </w:r>
      <w:r w:rsidR="00B42914" w:rsidRPr="00B42914">
        <w:rPr>
          <w:rStyle w:val="libAlaemChar"/>
          <w:rtl/>
        </w:rPr>
        <w:t>صلى‌الله‌عليه‌وآله‌</w:t>
      </w:r>
      <w:r w:rsidRPr="00020424">
        <w:rPr>
          <w:rtl/>
          <w:lang w:bidi="fa-IR"/>
        </w:rPr>
        <w:t xml:space="preserve"> قَالَ </w:t>
      </w:r>
      <w:r w:rsidRPr="00A91B96">
        <w:rPr>
          <w:rStyle w:val="libFootnotenumChar"/>
          <w:rtl/>
        </w:rPr>
        <w:t>(8)</w:t>
      </w:r>
      <w:r w:rsidRPr="00020424">
        <w:rPr>
          <w:rtl/>
          <w:lang w:bidi="fa-IR"/>
        </w:rPr>
        <w:t xml:space="preserve"> : الرِّزْقُ أَسْرَعُ إِلى مَنْ </w:t>
      </w:r>
      <w:r w:rsidRPr="00A91B96">
        <w:rPr>
          <w:rStyle w:val="libFootnotenumChar"/>
          <w:rtl/>
        </w:rPr>
        <w:t>(9)</w:t>
      </w:r>
      <w:r w:rsidRPr="00020424">
        <w:rPr>
          <w:rtl/>
          <w:lang w:bidi="fa-IR"/>
        </w:rPr>
        <w:t xml:space="preserve"> يُطْعِمُ الطَّعَامَ مِنَ السِّكِّينِ فِي السَّنَامِ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FF1CA4">
      <w:pPr>
        <w:pStyle w:val="libFootnote0"/>
        <w:rPr>
          <w:rtl/>
          <w:lang w:bidi="fa-IR"/>
        </w:rPr>
      </w:pPr>
      <w:r>
        <w:rPr>
          <w:rtl/>
        </w:rPr>
        <w:t>(1).</w:t>
      </w:r>
      <w:r w:rsidR="0014403D">
        <w:rPr>
          <w:rtl/>
        </w:rPr>
        <w:t xml:space="preserve"> </w:t>
      </w:r>
      <w:r w:rsidR="00992664" w:rsidRPr="00020424">
        <w:rPr>
          <w:rtl/>
        </w:rPr>
        <w:t xml:space="preserve">هكذا في « بث ، بح ، بخ ، بر ، بس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D64ADA" w:rsidRPr="00D64ADA">
        <w:rPr>
          <w:rStyle w:val="libFootnoteBoldChar"/>
          <w:rtl/>
        </w:rPr>
        <w:t>المحاسن</w:t>
      </w:r>
      <w:r w:rsidR="00992664" w:rsidRPr="00020424">
        <w:rPr>
          <w:rtl/>
        </w:rPr>
        <w:t>. وفي سائر النسخ والمطبوع : « إنّ » بدون الواو.</w:t>
      </w:r>
      <w:r w:rsidR="00FF1CA4">
        <w:rPr>
          <w:rFonts w:hint="cs"/>
          <w:rtl/>
        </w:rPr>
        <w:t xml:space="preserve">                                   </w:t>
      </w:r>
      <w:r>
        <w:rPr>
          <w:rtl/>
        </w:rPr>
        <w:t>(2).</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يحبّ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حاشية « بح » : + « وحده لا شريك 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 + « محمّداً </w:t>
      </w:r>
      <w:r w:rsidR="00D64ADA" w:rsidRPr="00D64ADA">
        <w:rPr>
          <w:rStyle w:val="libFootnoteAlaemChar"/>
          <w:rtl/>
        </w:rPr>
        <w:t>صلى‌الله‌عليه‌وآله</w:t>
      </w:r>
      <w:r w:rsidR="00B42914" w:rsidRPr="00B42914">
        <w:rPr>
          <w:rStyle w:val="libAlaemChar"/>
          <w:rtl/>
        </w:rPr>
        <w:t>‌</w:t>
      </w:r>
      <w:r w:rsidR="00992664">
        <w:rPr>
          <w:rtl/>
        </w:rPr>
        <w:t xml:space="preserve"> ».</w:t>
      </w:r>
      <w:r w:rsidR="00992664" w:rsidRPr="00020424">
        <w:rPr>
          <w:rtl/>
        </w:rPr>
        <w:t xml:space="preserve"> وفي « بح » : « وأشهد أنّ محمّداً » بدل « وأنّك</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بك » و</w:t>
      </w:r>
      <w:r w:rsidR="00D64ADA" w:rsidRPr="00D64ADA">
        <w:rPr>
          <w:rStyle w:val="libFootnoteBoldCha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نبيّاً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الزكاة ، باب معرفة الجود والسخاء ، ح 6150 ، مع اختلاف. وفي </w:t>
      </w:r>
      <w:r w:rsidR="00D64ADA" w:rsidRPr="00D64ADA">
        <w:rPr>
          <w:rStyle w:val="libFootnoteBoldChar"/>
          <w:rtl/>
        </w:rPr>
        <w:t>المحاسن</w:t>
      </w:r>
      <w:r w:rsidR="00992664" w:rsidRPr="00020424">
        <w:rPr>
          <w:rtl/>
        </w:rPr>
        <w:t xml:space="preserve"> ، ص 388 ، كتاب المآكل ، ح 14 ، عن محمّد بن عليّ بن الحكم ، عن الحسين بن أبي سعيد المكاري </w:t>
      </w:r>
      <w:r w:rsidR="00FF1CA4">
        <w:rPr>
          <w:rFonts w:hint="cs"/>
          <w:rtl/>
        </w:rPr>
        <w:t>.</w:t>
      </w:r>
      <w:r w:rsidR="00992664" w:rsidRPr="0012008A">
        <w:rPr>
          <w:rStyle w:val="libFootnoteBoldChar"/>
          <w:rtl/>
        </w:rPr>
        <w:t>الوافي</w:t>
      </w:r>
      <w:r w:rsidR="00992664" w:rsidRPr="00020424">
        <w:rPr>
          <w:rtl/>
        </w:rPr>
        <w:t xml:space="preserve"> ، ج 10 ، ص 508 ، ح 9999 ؛ </w:t>
      </w:r>
      <w:r w:rsidR="00992664" w:rsidRPr="0012008A">
        <w:rPr>
          <w:rStyle w:val="libFootnoteBoldChar"/>
          <w:rtl/>
        </w:rPr>
        <w:t>الوسائل</w:t>
      </w:r>
      <w:r w:rsidR="00992664" w:rsidRPr="00020424">
        <w:rPr>
          <w:rtl/>
        </w:rPr>
        <w:t xml:space="preserve"> ، ج 9 ، ص 470 ، ح 12518.</w:t>
      </w:r>
    </w:p>
    <w:p w:rsidR="00992664" w:rsidRPr="00020424" w:rsidRDefault="00795177" w:rsidP="00FF1CA4">
      <w:pPr>
        <w:pStyle w:val="libFootnote0"/>
        <w:rPr>
          <w:rtl/>
          <w:lang w:bidi="fa-IR"/>
        </w:rPr>
      </w:pPr>
      <w:r>
        <w:rPr>
          <w:rtl/>
        </w:rPr>
        <w:t>(7).</w:t>
      </w:r>
      <w:r w:rsidR="0014403D">
        <w:rPr>
          <w:rtl/>
        </w:rPr>
        <w:t xml:space="preserve"> </w:t>
      </w:r>
      <w:r w:rsidR="00992664" w:rsidRPr="00020424">
        <w:rPr>
          <w:rtl/>
        </w:rPr>
        <w:t xml:space="preserve">ورد الخبر في </w:t>
      </w:r>
      <w:r w:rsidR="00D64ADA" w:rsidRPr="00D64ADA">
        <w:rPr>
          <w:rStyle w:val="libFootnoteBoldChar"/>
          <w:rtl/>
        </w:rPr>
        <w:t>المحاسن</w:t>
      </w:r>
      <w:r w:rsidR="00992664" w:rsidRPr="00020424">
        <w:rPr>
          <w:rtl/>
        </w:rPr>
        <w:t xml:space="preserve"> ، ج 2 ، ص 390 ، ح 23 ، عن ابن فضّال ، عن ميمون ، عن أبي عبد الله </w:t>
      </w:r>
      <w:r w:rsidR="00992664" w:rsidRPr="00D64ADA">
        <w:rPr>
          <w:rStyle w:val="libFootnoteAlaemChar"/>
          <w:rtl/>
        </w:rPr>
        <w:t>عليه‌السلام</w:t>
      </w:r>
      <w:r w:rsidR="00992664" w:rsidRPr="00020424">
        <w:rPr>
          <w:rtl/>
        </w:rPr>
        <w:t>. لكن لم تثبت رواية ابن فضّال عن ميمون</w:t>
      </w:r>
      <w:r w:rsidR="00992664">
        <w:rPr>
          <w:rtl/>
        </w:rPr>
        <w:t xml:space="preserve"> </w:t>
      </w:r>
      <w:r w:rsidR="009B673F">
        <w:rPr>
          <w:rtl/>
        </w:rPr>
        <w:t>-</w:t>
      </w:r>
      <w:r w:rsidR="00992664">
        <w:rPr>
          <w:rtl/>
        </w:rPr>
        <w:t xml:space="preserve"> </w:t>
      </w:r>
      <w:r w:rsidR="00992664" w:rsidRPr="00020424">
        <w:rPr>
          <w:rtl/>
        </w:rPr>
        <w:t>وهو القدّاح</w:t>
      </w:r>
      <w:r w:rsidR="00992664">
        <w:rPr>
          <w:rtl/>
        </w:rPr>
        <w:t xml:space="preserve"> </w:t>
      </w:r>
      <w:r w:rsidR="009B673F">
        <w:rPr>
          <w:rtl/>
        </w:rPr>
        <w:t>-</w:t>
      </w:r>
      <w:r w:rsidR="00992664">
        <w:rPr>
          <w:rtl/>
        </w:rPr>
        <w:t xml:space="preserve"> </w:t>
      </w:r>
      <w:r w:rsidR="00992664" w:rsidRPr="00020424">
        <w:rPr>
          <w:rtl/>
        </w:rPr>
        <w:t xml:space="preserve">في موضع ، بل روى ابن فضّال عن عبد الله بن ميمون في بعض الأسناد. راجع : </w:t>
      </w:r>
      <w:r w:rsidR="00992664" w:rsidRPr="00DE76B9">
        <w:rPr>
          <w:rStyle w:val="libFootnoteBoldChar"/>
          <w:rtl/>
        </w:rPr>
        <w:t>معجم رجال الحديث</w:t>
      </w:r>
      <w:r w:rsidR="00992664" w:rsidRPr="00020424">
        <w:rPr>
          <w:rtl/>
        </w:rPr>
        <w:t xml:space="preserve"> ، ج 5 ، ص 310 ؛ وج 23 ، ص 225.</w:t>
      </w:r>
    </w:p>
    <w:p w:rsidR="00992664" w:rsidRPr="00020424" w:rsidRDefault="00992664" w:rsidP="00FF1CA4">
      <w:pPr>
        <w:pStyle w:val="libFootnote0"/>
        <w:rPr>
          <w:rtl/>
          <w:lang w:bidi="fa-IR"/>
        </w:rPr>
      </w:pPr>
      <w:r w:rsidRPr="00FF1CA4">
        <w:rPr>
          <w:rtl/>
        </w:rPr>
        <w:t xml:space="preserve">فعليه سند </w:t>
      </w:r>
      <w:r w:rsidR="00D64ADA" w:rsidRPr="00D64ADA">
        <w:rPr>
          <w:rStyle w:val="libFootnoteBoldChar"/>
          <w:rtl/>
        </w:rPr>
        <w:t>المحاسن</w:t>
      </w:r>
      <w:r w:rsidRPr="00FF1CA4">
        <w:rPr>
          <w:rtl/>
        </w:rPr>
        <w:t xml:space="preserve"> لا يخلو من خلل.</w:t>
      </w:r>
      <w:r w:rsidR="00FF1CA4">
        <w:rPr>
          <w:rFonts w:hint="cs"/>
          <w:rtl/>
        </w:rPr>
        <w:t xml:space="preserve">                               </w:t>
      </w:r>
      <w:r w:rsidR="00795177">
        <w:rPr>
          <w:rtl/>
        </w:rPr>
        <w:t>(8).</w:t>
      </w:r>
      <w:r w:rsidR="0014403D">
        <w:rPr>
          <w:rtl/>
        </w:rPr>
        <w:t xml:space="preserve"> </w:t>
      </w:r>
      <w:r w:rsidRPr="00020424">
        <w:rPr>
          <w:rtl/>
        </w:rPr>
        <w:t xml:space="preserve">في « بر » </w:t>
      </w:r>
      <w:r w:rsidRPr="00515444">
        <w:rPr>
          <w:rStyle w:val="libFootnoteBoldChar"/>
          <w:rtl/>
        </w:rPr>
        <w:t>والوافي</w:t>
      </w:r>
      <w:r w:rsidRPr="00020424">
        <w:rPr>
          <w:rtl/>
        </w:rPr>
        <w:t xml:space="preserve"> : + « إنّ</w:t>
      </w:r>
      <w:r>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بك » </w:t>
      </w:r>
      <w:r w:rsidR="00992664" w:rsidRPr="00515444">
        <w:rPr>
          <w:rStyle w:val="libFootnoteBoldChar"/>
          <w:rtl/>
        </w:rPr>
        <w:t>والوافي</w:t>
      </w:r>
      <w:r w:rsidR="00992664" w:rsidRPr="00020424">
        <w:rPr>
          <w:rtl/>
        </w:rPr>
        <w:t xml:space="preserve"> : « لمن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السنام » للبعير كالإلية للغنم. وقيل : سنام البعير والناقة : أعلى ظهرها. وسنام كلّ شي‌ء : أعلاه ، وما ارتفع منه. راجع : </w:t>
      </w:r>
      <w:r w:rsidR="00992664" w:rsidRPr="00A722B1">
        <w:rPr>
          <w:rStyle w:val="libFootnoteBoldChar"/>
          <w:rtl/>
        </w:rPr>
        <w:t>لسان العرب</w:t>
      </w:r>
      <w:r w:rsidR="00992664" w:rsidRPr="00020424">
        <w:rPr>
          <w:rtl/>
        </w:rPr>
        <w:t xml:space="preserve"> ، ج 12 ، ص 306 ؛ </w:t>
      </w:r>
      <w:r w:rsidR="00992664" w:rsidRPr="00A722B1">
        <w:rPr>
          <w:rStyle w:val="libFootnoteBoldChar"/>
          <w:rtl/>
        </w:rPr>
        <w:t>المصباح المنير</w:t>
      </w:r>
      <w:r w:rsidR="00992664" w:rsidRPr="00020424">
        <w:rPr>
          <w:rtl/>
        </w:rPr>
        <w:t xml:space="preserve"> ، ص 291 ( سنم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D64ADA" w:rsidRPr="00D64ADA">
        <w:rPr>
          <w:rStyle w:val="libFootnoteBoldChar"/>
          <w:rtl/>
        </w:rPr>
        <w:t>المحاسن</w:t>
      </w:r>
      <w:r w:rsidR="00992664" w:rsidRPr="00020424">
        <w:rPr>
          <w:rtl/>
        </w:rPr>
        <w:t xml:space="preserve"> ، ص 390 ، كتاب المآكل ، ح 23 ، عن ابن فضّال ، عن ميمون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الكافي</w:t>
      </w:r>
      <w:r w:rsidR="00992664" w:rsidRPr="00020424">
        <w:rPr>
          <w:rtl/>
        </w:rPr>
        <w:t xml:space="preserve"> ، كتاب الزكاة ، باب أنّ صنائع المعروف تدفع مصارع السوء ، ح 6112 ، مع اختلاف وزيادة في آخره ؛ </w:t>
      </w:r>
      <w:r w:rsidR="00D64ADA" w:rsidRPr="00D64ADA">
        <w:rPr>
          <w:rStyle w:val="libFootnoteBoldChar"/>
          <w:rtl/>
        </w:rPr>
        <w:t>المحاسن</w:t>
      </w:r>
      <w:r w:rsidR="00992664" w:rsidRPr="00020424">
        <w:rPr>
          <w:rtl/>
        </w:rPr>
        <w:t xml:space="preserve"> ، ص 390 ، كتاب المآكل ، ح 24 ، مع اختلاف يسير ، وفيهما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الجعفريّات</w:t>
      </w:r>
      <w:r w:rsidR="00992664" w:rsidRPr="00020424">
        <w:rPr>
          <w:rtl/>
        </w:rPr>
        <w:t xml:space="preserve"> ، ص 152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و</w:t>
      </w:r>
      <w:r w:rsidR="00992664">
        <w:rPr>
          <w:rFonts w:hint="cs"/>
          <w:rtl/>
        </w:rPr>
        <w:t xml:space="preserve"> </w:t>
      </w:r>
      <w:r w:rsidR="0001186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C443F">
        <w:rPr>
          <w:rtl/>
        </w:rPr>
        <w:t>6205</w:t>
      </w:r>
      <w:r w:rsidRPr="001155DE">
        <w:rPr>
          <w:rStyle w:val="libBold2Char"/>
          <w:rtl/>
        </w:rPr>
        <w:t xml:space="preserve"> / 11.</w:t>
      </w:r>
      <w:r w:rsidRPr="00020424">
        <w:rPr>
          <w:rtl/>
          <w:lang w:bidi="fa-IR"/>
        </w:rPr>
        <w:t xml:space="preserve"> عَلِيُّ بْنُ مُحَمَّدِ بْنِ عَبْدِ اللهِ ، عَنْ أَحْمَدَ بْنِ أَبِي عَبْدِ اللهِ ، عَنْ أَبِيهِ ، عَنْ عَبْدِ اللهِ بْنِ الْمُغِيرَةِ ، عَنْ مُوسَى بْنِ بَكْرٍ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يَقُولُ : مِنْ مُوجِبَاتِ مَغْفِرَةِ الرَّبِّ </w:t>
      </w:r>
      <w:r w:rsidRPr="00A91B96">
        <w:rPr>
          <w:rStyle w:val="libFootnotenumChar"/>
          <w:rtl/>
        </w:rPr>
        <w:t>(1)</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إِطْعَامُ الطَّعَامِ</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DC443F">
        <w:rPr>
          <w:rtl/>
        </w:rPr>
        <w:t>6206</w:t>
      </w:r>
      <w:r w:rsidRPr="001155DE">
        <w:rPr>
          <w:rStyle w:val="libBold2Char"/>
          <w:rtl/>
        </w:rPr>
        <w:t xml:space="preserve"> / 12.</w:t>
      </w:r>
      <w:r w:rsidRPr="00020424">
        <w:rPr>
          <w:rtl/>
          <w:lang w:bidi="fa-IR"/>
        </w:rPr>
        <w:t xml:space="preserve"> أَحْمَدُ </w:t>
      </w:r>
      <w:r w:rsidRPr="00A91B96">
        <w:rPr>
          <w:rStyle w:val="libFootnotenumChar"/>
          <w:rtl/>
        </w:rPr>
        <w:t>(3)</w:t>
      </w:r>
      <w:r w:rsidRPr="00020424">
        <w:rPr>
          <w:rtl/>
          <w:lang w:bidi="fa-IR"/>
        </w:rPr>
        <w:t xml:space="preserve"> ، عَنْ أَبِيهِ ، عَنْ مُعَمَّرِ بْنِ خَلاَّدٍ ، قَالَ :</w:t>
      </w:r>
    </w:p>
    <w:p w:rsidR="00992664" w:rsidRPr="00020424" w:rsidRDefault="00992664" w:rsidP="00992664">
      <w:pPr>
        <w:pStyle w:val="libNormal"/>
        <w:rPr>
          <w:rtl/>
          <w:lang w:bidi="fa-IR"/>
        </w:rPr>
      </w:pPr>
      <w:r w:rsidRPr="00020424">
        <w:rPr>
          <w:rtl/>
          <w:lang w:bidi="fa-IR"/>
        </w:rPr>
        <w:t xml:space="preserve">كَانَ أَبُو الْحَسَنِ الرِّضَا </w:t>
      </w:r>
      <w:r w:rsidRPr="00005A81">
        <w:rPr>
          <w:rStyle w:val="libAlaemChar"/>
          <w:rtl/>
        </w:rPr>
        <w:t>عليه‌السلام</w:t>
      </w:r>
      <w:r w:rsidRPr="00020424">
        <w:rPr>
          <w:rtl/>
          <w:lang w:bidi="fa-IR"/>
        </w:rPr>
        <w:t xml:space="preserve"> إِذَا أَكَلَ أُتِيَ بِصَحْفَةٍ </w:t>
      </w:r>
      <w:r w:rsidRPr="00A91B96">
        <w:rPr>
          <w:rStyle w:val="libFootnotenumChar"/>
          <w:rtl/>
        </w:rPr>
        <w:t>(4)</w:t>
      </w:r>
      <w:r w:rsidRPr="00020424">
        <w:rPr>
          <w:rtl/>
          <w:lang w:bidi="fa-IR"/>
        </w:rPr>
        <w:t xml:space="preserve"> ، فَتُوضَعُ بِقُرْبِ </w:t>
      </w:r>
      <w:r w:rsidRPr="00A91B96">
        <w:rPr>
          <w:rStyle w:val="libFootnotenumChar"/>
          <w:rtl/>
        </w:rPr>
        <w:t>(5)</w:t>
      </w:r>
      <w:r w:rsidRPr="00020424">
        <w:rPr>
          <w:rtl/>
          <w:lang w:bidi="fa-IR"/>
        </w:rPr>
        <w:t xml:space="preserve"> مَائِدَتِهِ ، فَيَعْمِدُ </w:t>
      </w:r>
      <w:r w:rsidRPr="00A91B96">
        <w:rPr>
          <w:rStyle w:val="libFootnotenumChar"/>
          <w:rtl/>
        </w:rPr>
        <w:t>(6)</w:t>
      </w:r>
      <w:r w:rsidRPr="00020424">
        <w:rPr>
          <w:rtl/>
          <w:lang w:bidi="fa-IR"/>
        </w:rPr>
        <w:t xml:space="preserve"> إِلى أَطْيَبِ الطَّعَامِ </w:t>
      </w:r>
      <w:r w:rsidRPr="00A91B96">
        <w:rPr>
          <w:rStyle w:val="libFootnotenumChar"/>
          <w:rtl/>
        </w:rPr>
        <w:t>(7)</w:t>
      </w:r>
      <w:r w:rsidRPr="00020424">
        <w:rPr>
          <w:rtl/>
          <w:lang w:bidi="fa-IR"/>
        </w:rPr>
        <w:t xml:space="preserve"> مِمَّا يُؤْتى بِهِ </w:t>
      </w:r>
      <w:r w:rsidRPr="00A91B96">
        <w:rPr>
          <w:rStyle w:val="libFootnotenumChar"/>
          <w:rtl/>
        </w:rPr>
        <w:t>(8)</w:t>
      </w:r>
      <w:r w:rsidRPr="00020424">
        <w:rPr>
          <w:rtl/>
          <w:lang w:bidi="fa-IR"/>
        </w:rPr>
        <w:t xml:space="preserve"> ، فَيَأْخُذُ مِنْ كُلِّ شَيْ‌ءٍ شَيْئاً ، فَيَضَعُ </w:t>
      </w:r>
      <w:r w:rsidRPr="00A91B96">
        <w:rPr>
          <w:rStyle w:val="libFootnotenumChar"/>
          <w:rtl/>
        </w:rPr>
        <w:t>(9)</w:t>
      </w:r>
      <w:r w:rsidRPr="00020424">
        <w:rPr>
          <w:rtl/>
          <w:lang w:bidi="fa-IR"/>
        </w:rPr>
        <w:t xml:space="preserve">فِي تِلْكَ الصَّحْفَةِ </w:t>
      </w:r>
      <w:r w:rsidRPr="00A91B96">
        <w:rPr>
          <w:rStyle w:val="libFootnotenumChar"/>
          <w:rtl/>
        </w:rPr>
        <w:t>(10)</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8522E8" w:rsidP="00992664">
      <w:pPr>
        <w:pStyle w:val="libFootnote0"/>
        <w:rPr>
          <w:rtl/>
          <w:lang w:bidi="fa-IR"/>
        </w:rPr>
      </w:pPr>
      <w:r>
        <w:rPr>
          <w:rFonts w:hint="cs"/>
          <w:rtl/>
        </w:rPr>
        <w:t xml:space="preserve">= </w:t>
      </w:r>
      <w:r w:rsidR="00992664" w:rsidRPr="00020424">
        <w:rPr>
          <w:rtl/>
        </w:rPr>
        <w:t xml:space="preserve">زيادة في آخره. </w:t>
      </w:r>
      <w:r w:rsidR="00D64ADA" w:rsidRPr="00D64ADA">
        <w:rPr>
          <w:rStyle w:val="libFootnoteBoldChar"/>
          <w:rtl/>
        </w:rPr>
        <w:t>المحاسن</w:t>
      </w:r>
      <w:r w:rsidR="00992664" w:rsidRPr="00020424">
        <w:rPr>
          <w:rtl/>
        </w:rPr>
        <w:t xml:space="preserve"> ، ص 390 ، كتاب المآكل ، ح 25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56 ، ح 1689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وزيادة في آخره </w:t>
      </w:r>
      <w:r w:rsidR="00AC53F3">
        <w:rPr>
          <w:rFonts w:hint="cs"/>
          <w:rtl/>
        </w:rPr>
        <w:t>.</w:t>
      </w:r>
      <w:r w:rsidR="00992664" w:rsidRPr="0012008A">
        <w:rPr>
          <w:rStyle w:val="libFootnoteBoldChar"/>
          <w:rtl/>
        </w:rPr>
        <w:t>الوافي</w:t>
      </w:r>
      <w:r w:rsidR="00992664" w:rsidRPr="00020424">
        <w:rPr>
          <w:rtl/>
        </w:rPr>
        <w:t xml:space="preserve"> ، ج 10 ، ص 507 ، ح 9997 ؛ </w:t>
      </w:r>
      <w:r w:rsidR="00992664" w:rsidRPr="0012008A">
        <w:rPr>
          <w:rStyle w:val="libFootnoteBoldChar"/>
          <w:rtl/>
        </w:rPr>
        <w:t>الوسائل</w:t>
      </w:r>
      <w:r w:rsidR="00992664" w:rsidRPr="00020424">
        <w:rPr>
          <w:rtl/>
        </w:rPr>
        <w:t xml:space="preserve"> ، ج 9 ، ص 470 ، ح 12519 ؛ وج 16 ، ص 331 ، ح 21687.</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D64ADA" w:rsidRPr="00D64ADA">
        <w:rPr>
          <w:rStyle w:val="libFootnoteBoldChar"/>
          <w:rtl/>
        </w:rPr>
        <w:t>المحاسن</w:t>
      </w:r>
      <w:r w:rsidR="00992664" w:rsidRPr="00020424">
        <w:rPr>
          <w:rtl/>
        </w:rPr>
        <w:t xml:space="preserve"> ، ص 389 ، كتاب المآكل ، ح 18 ، عن أبيه ، عن عبدالله بن المغيرة. </w:t>
      </w:r>
      <w:r w:rsidR="00992664" w:rsidRPr="00DE76B9">
        <w:rPr>
          <w:rStyle w:val="libFootnoteBoldChar"/>
          <w:rtl/>
        </w:rPr>
        <w:t>وفيه</w:t>
      </w:r>
      <w:r w:rsidR="00992664" w:rsidRPr="00020424">
        <w:rPr>
          <w:rtl/>
        </w:rPr>
        <w:t xml:space="preserve"> ، ح 19 ، بسند آخر عن أبي عبدالله </w:t>
      </w:r>
      <w:r w:rsidR="00992664" w:rsidRPr="00D64ADA">
        <w:rPr>
          <w:rStyle w:val="libFootnoteAlaemChar"/>
          <w:rtl/>
        </w:rPr>
        <w:t>عليه‌السلام</w:t>
      </w:r>
      <w:r w:rsidR="00992664" w:rsidRPr="00020424">
        <w:rPr>
          <w:rtl/>
        </w:rPr>
        <w:t xml:space="preserve"> ، وتمام الرواية هكذا : « من موجبات المغفرة إطعام السغبان » </w:t>
      </w:r>
      <w:r w:rsidR="00AC53F3">
        <w:rPr>
          <w:rFonts w:hint="cs"/>
          <w:rtl/>
        </w:rPr>
        <w:t>.</w:t>
      </w:r>
      <w:r w:rsidR="00992664" w:rsidRPr="0012008A">
        <w:rPr>
          <w:rStyle w:val="libFootnoteBoldChar"/>
          <w:rtl/>
        </w:rPr>
        <w:t>الوافي</w:t>
      </w:r>
      <w:r w:rsidR="00992664" w:rsidRPr="00020424">
        <w:rPr>
          <w:rtl/>
        </w:rPr>
        <w:t xml:space="preserve"> ، ج 10 ، ص 505 ، ح 9989 ؛ </w:t>
      </w:r>
      <w:r w:rsidR="00992664" w:rsidRPr="0012008A">
        <w:rPr>
          <w:rStyle w:val="libFootnoteBoldChar"/>
          <w:rtl/>
        </w:rPr>
        <w:t>الوسائل</w:t>
      </w:r>
      <w:r w:rsidR="00992664" w:rsidRPr="00020424">
        <w:rPr>
          <w:rtl/>
        </w:rPr>
        <w:t xml:space="preserve"> ، ج 16 ، ص 331 ، ح 21688 ؛ وج 24 ، ص 291 ، ذيل ح 30576.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بر ، بك » : « عليّ</w:t>
      </w:r>
      <w:r w:rsidR="00992664">
        <w:rPr>
          <w:rtl/>
        </w:rPr>
        <w:t xml:space="preserve"> ».</w:t>
      </w:r>
      <w:r w:rsidR="00992664" w:rsidRPr="00020424">
        <w:rPr>
          <w:rtl/>
        </w:rPr>
        <w:t xml:space="preserve"> وفي « ظ ، ى ، بث ، بح ، بخ ، بس ، جن » والمطبوع </w:t>
      </w:r>
      <w:r w:rsidR="00992664" w:rsidRPr="00EB1FD9">
        <w:rPr>
          <w:rStyle w:val="libFootnoteBoldChar"/>
          <w:rtl/>
        </w:rPr>
        <w:t>والوسائل</w:t>
      </w:r>
      <w:r w:rsidR="00992664" w:rsidRPr="00020424">
        <w:rPr>
          <w:rtl/>
        </w:rPr>
        <w:t xml:space="preserve"> : « أحمد بن محمّد » وما أثبتناه هو الظاهر ، وتقدّم تفصيل الكلام في </w:t>
      </w:r>
      <w:r w:rsidR="00992664" w:rsidRPr="00DE76B9">
        <w:rPr>
          <w:rStyle w:val="libFootnoteBoldChar"/>
          <w:rtl/>
        </w:rPr>
        <w:t>الكافي</w:t>
      </w:r>
      <w:r w:rsidR="00992664" w:rsidRPr="00020424">
        <w:rPr>
          <w:rtl/>
        </w:rPr>
        <w:t xml:space="preserve"> ، ذيل ح 6063 و6177 ، فلاحظ. ثمّ إنّ السند معلّق على سابقه. ويروي عن أحمد ، عليّ بن محمّد بن عبدالله.</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بس » : « بصحيفة</w:t>
      </w:r>
      <w:r w:rsidR="00992664">
        <w:rPr>
          <w:rtl/>
        </w:rPr>
        <w:t xml:space="preserve"> ».</w:t>
      </w:r>
      <w:r w:rsidR="00992664" w:rsidRPr="00020424">
        <w:rPr>
          <w:rtl/>
        </w:rPr>
        <w:t xml:space="preserve"> وفي حاشية « بح ، بس » : « بصفحة</w:t>
      </w:r>
      <w:r w:rsidR="00992664">
        <w:rPr>
          <w:rtl/>
        </w:rPr>
        <w:t xml:space="preserve"> ».</w:t>
      </w:r>
      <w:r w:rsidR="00992664" w:rsidRPr="00020424">
        <w:rPr>
          <w:rtl/>
        </w:rPr>
        <w:t xml:space="preserve"> والصَحْفَة : إناء كالقَصْعَة المبسوطة ونحوها ، وقطعة كبيرة منبسطة تشبع الخمسة ، وجمعها : صِحاف. راجع : </w:t>
      </w:r>
      <w:r w:rsidR="00992664" w:rsidRPr="0012008A">
        <w:rPr>
          <w:rStyle w:val="libFootnoteBoldChar"/>
          <w:rtl/>
        </w:rPr>
        <w:t>النهاية</w:t>
      </w:r>
      <w:r w:rsidR="00992664" w:rsidRPr="00020424">
        <w:rPr>
          <w:rtl/>
        </w:rPr>
        <w:t xml:space="preserve"> ، ج 3 ، ص 12 ؛ </w:t>
      </w:r>
      <w:r w:rsidR="00992664" w:rsidRPr="00DE76B9">
        <w:rPr>
          <w:rStyle w:val="libFootnoteBoldChar"/>
          <w:rtl/>
        </w:rPr>
        <w:t>المغرب</w:t>
      </w:r>
      <w:r w:rsidR="00992664" w:rsidRPr="00020424">
        <w:rPr>
          <w:rtl/>
        </w:rPr>
        <w:t xml:space="preserve"> ، ص 263 ( صحف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بر ، بك » و</w:t>
      </w:r>
      <w:r w:rsidR="00992664" w:rsidRPr="0012008A">
        <w:rPr>
          <w:rStyle w:val="libFootnoteBoldChar"/>
          <w:rtl/>
        </w:rPr>
        <w:t>البحار</w:t>
      </w:r>
      <w:r w:rsidR="00992664" w:rsidRPr="00020424">
        <w:rPr>
          <w:rtl/>
        </w:rPr>
        <w:t xml:space="preserve"> و</w:t>
      </w:r>
      <w:r w:rsidR="00D64ADA" w:rsidRPr="00D64ADA">
        <w:rPr>
          <w:rStyle w:val="libFootnoteBoldChar"/>
          <w:rtl/>
        </w:rPr>
        <w:t>المحاسن</w:t>
      </w:r>
      <w:r w:rsidR="00992664" w:rsidRPr="00020424">
        <w:rPr>
          <w:rtl/>
        </w:rPr>
        <w:t xml:space="preserve"> ، ص 392 : « قرب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بف » : « فيقصد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فَيَعْمِدُ إلى أَطْيَبِ الطَّعامِ » ، أي يقصده ؛ يقال : تعمّده وتعمّد له وعَمَدَه وإليه وله واعتمده ، كلّها بمعنى‌قصده. راجع : </w:t>
      </w:r>
      <w:r w:rsidR="00992664" w:rsidRPr="0012008A">
        <w:rPr>
          <w:rStyle w:val="libFootnoteBoldChar"/>
          <w:rtl/>
        </w:rPr>
        <w:t>الصحاح</w:t>
      </w:r>
      <w:r w:rsidR="00992664" w:rsidRPr="00020424">
        <w:rPr>
          <w:rtl/>
        </w:rPr>
        <w:t xml:space="preserve"> ، ج 2 ، ص 511 ؛ </w:t>
      </w:r>
      <w:r w:rsidR="00992664" w:rsidRPr="00A722B1">
        <w:rPr>
          <w:rStyle w:val="libFootnoteBoldChar"/>
          <w:rtl/>
        </w:rPr>
        <w:t>لسان العرب</w:t>
      </w:r>
      <w:r w:rsidR="00992664" w:rsidRPr="00020424">
        <w:rPr>
          <w:rtl/>
        </w:rPr>
        <w:t xml:space="preserve"> ، ج 3 ، ص 302 ( عمد )</w:t>
      </w:r>
      <w:r w:rsidR="00992664">
        <w:rPr>
          <w:rtl/>
        </w:rPr>
        <w:t>.</w:t>
      </w:r>
    </w:p>
    <w:tbl>
      <w:tblPr>
        <w:tblStyle w:val="TableGrid"/>
        <w:bidiVisual/>
        <w:tblW w:w="0" w:type="auto"/>
        <w:tblLook w:val="04A0" w:firstRow="1" w:lastRow="0" w:firstColumn="1" w:lastColumn="0" w:noHBand="0" w:noVBand="1"/>
      </w:tblPr>
      <w:tblGrid>
        <w:gridCol w:w="4006"/>
        <w:gridCol w:w="4006"/>
      </w:tblGrid>
      <w:tr w:rsidR="002D3A0E" w:rsidTr="002D3A0E">
        <w:tc>
          <w:tcPr>
            <w:tcW w:w="4006" w:type="dxa"/>
          </w:tcPr>
          <w:p w:rsidR="002D3A0E" w:rsidRDefault="002D3A0E" w:rsidP="00992664">
            <w:pPr>
              <w:pStyle w:val="libFootnote0"/>
              <w:rPr>
                <w:rtl/>
              </w:rPr>
            </w:pPr>
            <w:r>
              <w:rPr>
                <w:rtl/>
              </w:rPr>
              <w:t xml:space="preserve">(8). </w:t>
            </w:r>
            <w:r w:rsidRPr="00020424">
              <w:rPr>
                <w:rtl/>
              </w:rPr>
              <w:t>في « ظ ، بك » :</w:t>
            </w:r>
            <w:r>
              <w:rPr>
                <w:rtl/>
              </w:rPr>
              <w:t xml:space="preserve"> - </w:t>
            </w:r>
            <w:r w:rsidRPr="00020424">
              <w:rPr>
                <w:rtl/>
              </w:rPr>
              <w:t>« به</w:t>
            </w:r>
            <w:r>
              <w:rPr>
                <w:rtl/>
              </w:rPr>
              <w:t xml:space="preserve"> ».</w:t>
            </w:r>
          </w:p>
        </w:tc>
        <w:tc>
          <w:tcPr>
            <w:tcW w:w="4006" w:type="dxa"/>
          </w:tcPr>
          <w:p w:rsidR="002D3A0E" w:rsidRDefault="002D3A0E" w:rsidP="00992664">
            <w:pPr>
              <w:pStyle w:val="libFootnote0"/>
              <w:rPr>
                <w:rtl/>
              </w:rPr>
            </w:pPr>
            <w:r>
              <w:rPr>
                <w:rtl/>
              </w:rPr>
              <w:t xml:space="preserve">(9). </w:t>
            </w:r>
            <w:r w:rsidRPr="00020424">
              <w:rPr>
                <w:rtl/>
              </w:rPr>
              <w:t xml:space="preserve">في </w:t>
            </w:r>
            <w:r w:rsidRPr="00D64ADA">
              <w:rPr>
                <w:rStyle w:val="libFootnoteBoldChar"/>
                <w:rtl/>
              </w:rPr>
              <w:t>المحاسن</w:t>
            </w:r>
            <w:r w:rsidRPr="00020424">
              <w:rPr>
                <w:rtl/>
              </w:rPr>
              <w:t xml:space="preserve"> ، ص 392 : « فيوضع</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بس » : « الصحيفة</w:t>
      </w:r>
      <w:r w:rsidR="00992664">
        <w:rPr>
          <w:rtl/>
        </w:rPr>
        <w:t xml:space="preserve"> ».</w:t>
      </w:r>
      <w:r w:rsidR="00992664" w:rsidRPr="00020424">
        <w:rPr>
          <w:rtl/>
        </w:rPr>
        <w:t xml:space="preserve"> وفي « بخ » وحاشية « بس » : « الصفحة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ثُمَّ يَأْمُرُ بِهَا لِلْمَسَاكِينِ ، ثُمَّ يَتْلُو هذِهِ الْآيَةَ : </w:t>
      </w:r>
      <w:r w:rsidRPr="00005A81">
        <w:rPr>
          <w:rStyle w:val="libAlaemChar"/>
          <w:rtl/>
        </w:rPr>
        <w:t>(</w:t>
      </w:r>
      <w:r w:rsidRPr="004E5AB4">
        <w:rPr>
          <w:rStyle w:val="libAieChar"/>
          <w:rtl/>
        </w:rPr>
        <w:t xml:space="preserve"> فَلَا اقْتَحَمَ الْعَقَبَةَ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ثُمَّ يَقُولُ </w:t>
      </w:r>
      <w:r w:rsidRPr="00A91B96">
        <w:rPr>
          <w:rStyle w:val="libFootnotenumChar"/>
          <w:rtl/>
        </w:rPr>
        <w:t>(2)</w:t>
      </w:r>
      <w:r w:rsidRPr="00020424">
        <w:rPr>
          <w:rtl/>
          <w:lang w:bidi="fa-IR"/>
        </w:rPr>
        <w:t xml:space="preserve"> : « عَلِمَ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أَنَّهُ لَيْسَ كُلُّ إِنْسَانٍ يَقْدِرُ عَلى عِتْقِ رَقَبَةٍ ، فَجَعَلَ لَهُمُ السَّبِيلَ إِلَى الْجَنَّةِ </w:t>
      </w:r>
      <w:r w:rsidRPr="00A91B96">
        <w:rPr>
          <w:rStyle w:val="libFootnotenumChar"/>
          <w:rtl/>
        </w:rPr>
        <w:t>(3)</w:t>
      </w:r>
      <w:r>
        <w:rPr>
          <w:rtl/>
          <w:lang w:bidi="fa-IR"/>
        </w:rPr>
        <w:t>».</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274" w:name="_Toc345172808"/>
      <w:bookmarkStart w:id="275" w:name="_Toc464562624"/>
      <w:bookmarkStart w:id="276" w:name="_Toc44599927"/>
      <w:r w:rsidRPr="00020424">
        <w:rPr>
          <w:rtl/>
          <w:lang w:bidi="fa-IR"/>
        </w:rPr>
        <w:t>86</w:t>
      </w:r>
      <w:r>
        <w:rPr>
          <w:rtl/>
          <w:lang w:bidi="fa-IR"/>
        </w:rPr>
        <w:t xml:space="preserve"> </w:t>
      </w:r>
      <w:r w:rsidR="009B673F">
        <w:rPr>
          <w:rtl/>
          <w:lang w:bidi="fa-IR"/>
        </w:rPr>
        <w:t>-</w:t>
      </w:r>
      <w:r>
        <w:rPr>
          <w:rtl/>
          <w:lang w:bidi="fa-IR"/>
        </w:rPr>
        <w:t xml:space="preserve"> </w:t>
      </w:r>
      <w:r w:rsidRPr="00020424">
        <w:rPr>
          <w:rtl/>
          <w:lang w:bidi="fa-IR"/>
        </w:rPr>
        <w:t>بَابُ فَضْلِ الْقَصْدِ‌</w:t>
      </w:r>
      <w:bookmarkEnd w:id="274"/>
      <w:bookmarkEnd w:id="275"/>
      <w:bookmarkEnd w:id="276"/>
    </w:p>
    <w:p w:rsidR="00992664" w:rsidRPr="00020424" w:rsidRDefault="00992664" w:rsidP="00992664">
      <w:pPr>
        <w:pStyle w:val="libNormal"/>
        <w:rPr>
          <w:rtl/>
          <w:lang w:bidi="fa-IR"/>
        </w:rPr>
      </w:pPr>
      <w:r w:rsidRPr="00DC443F">
        <w:rPr>
          <w:rtl/>
        </w:rPr>
        <w:t>6207</w:t>
      </w:r>
      <w:r w:rsidRPr="001155DE">
        <w:rPr>
          <w:rStyle w:val="libBold2Char"/>
          <w:rtl/>
        </w:rPr>
        <w:t xml:space="preserve"> / 1.</w:t>
      </w:r>
      <w:r w:rsidRPr="00020424">
        <w:rPr>
          <w:rtl/>
          <w:lang w:bidi="fa-IR"/>
        </w:rPr>
        <w:t xml:space="preserve"> عِدَّةٌ مِنْ أَصْحَابِنَا ، عَنْ أَحْمَدَ بْنِ مُحَمَّدٍ وَسَهْلِ بْنِ زِيَادٍ ، عَنِ ابْنِ مَحْبُوبٍ ، عَنْ جَمِيلِ بْنِ صَالِحٍ ، عَنْ بُرَيْدِ بْنِ مُعَاوِيَةَ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عَلِيُّ بْنُ الْحُسَيْنِ صَلَوَاتُ اللهِ عَلَيْهِمَا : لِيُنْفِقِ الرَّجُلُ بِالقِسْطِ </w:t>
      </w:r>
      <w:r w:rsidRPr="00A91B96">
        <w:rPr>
          <w:rStyle w:val="libFootnotenumChar"/>
          <w:rtl/>
        </w:rPr>
        <w:t>(5)</w:t>
      </w:r>
      <w:r w:rsidRPr="00020424">
        <w:rPr>
          <w:rtl/>
          <w:lang w:bidi="fa-IR"/>
        </w:rPr>
        <w:t xml:space="preserve"> وَبُلْغَةِ </w:t>
      </w:r>
      <w:r w:rsidRPr="00A91B96">
        <w:rPr>
          <w:rStyle w:val="libFootnotenumChar"/>
          <w:rtl/>
        </w:rPr>
        <w:t>(6)</w:t>
      </w:r>
      <w:r w:rsidRPr="00020424">
        <w:rPr>
          <w:rtl/>
          <w:lang w:bidi="fa-IR"/>
        </w:rPr>
        <w:t xml:space="preserve"> الْكَفَافِ </w:t>
      </w:r>
      <w:r w:rsidRPr="00A91B96">
        <w:rPr>
          <w:rStyle w:val="libFootnotenumChar"/>
          <w:rtl/>
        </w:rPr>
        <w:t>(7)</w:t>
      </w:r>
      <w:r w:rsidRPr="00020424">
        <w:rPr>
          <w:rtl/>
          <w:lang w:bidi="fa-IR"/>
        </w:rPr>
        <w:t xml:space="preserve"> ، وَيُقَدِّمُ مِنْهُ </w:t>
      </w:r>
      <w:r w:rsidRPr="00A91B96">
        <w:rPr>
          <w:rStyle w:val="libFootnotenumChar"/>
          <w:rtl/>
        </w:rPr>
        <w:t>(8)</w:t>
      </w:r>
      <w:r w:rsidRPr="00020424">
        <w:rPr>
          <w:rtl/>
          <w:lang w:bidi="fa-IR"/>
        </w:rPr>
        <w:t xml:space="preserve"> الفَضْلَ </w:t>
      </w:r>
      <w:r w:rsidRPr="00A91B96">
        <w:rPr>
          <w:rStyle w:val="libFootnotenumChar"/>
          <w:rtl/>
        </w:rPr>
        <w:t>(9)</w:t>
      </w:r>
      <w:r w:rsidRPr="00020424">
        <w:rPr>
          <w:rtl/>
          <w:lang w:bidi="fa-IR"/>
        </w:rPr>
        <w:t xml:space="preserve"> لآِخِرَتِهِ ؛ فَإِنَّ ذلِكَ أَبْقى لِلنِّعْمَةِ ، وَأَقْرَبُ إِلَى الْمَزِيدِ مِنَ اللهِ عَزَّ وَجَلَّ ، وَأَنْفَعُ </w:t>
      </w:r>
      <w:r w:rsidRPr="00A91B96">
        <w:rPr>
          <w:rStyle w:val="libFootnotenumChar"/>
          <w:rtl/>
        </w:rPr>
        <w:t>(10)</w:t>
      </w:r>
      <w:r w:rsidRPr="00020424">
        <w:rPr>
          <w:rtl/>
          <w:lang w:bidi="fa-IR"/>
        </w:rPr>
        <w:t xml:space="preserve"> فِي العَاقِبَةِ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DC443F">
        <w:rPr>
          <w:rtl/>
        </w:rPr>
        <w:t>6208</w:t>
      </w:r>
      <w:r w:rsidRPr="001155DE">
        <w:rPr>
          <w:rStyle w:val="libBold2Char"/>
          <w:rtl/>
        </w:rPr>
        <w:t xml:space="preserve"> / 2.</w:t>
      </w:r>
      <w:r w:rsidRPr="00020424">
        <w:rPr>
          <w:rtl/>
          <w:lang w:bidi="fa-IR"/>
        </w:rPr>
        <w:t xml:space="preserve"> عَلِيُّ بْنُ إِبْرَاهِيمَ ، عَنْ صَالِحِ بْنِ السِّنْدِيِّ ، عَنْ جَعْفَرِ بْنِ بَشِيرٍ ، عَنْ دَاوُدَ الرَّقِّيِّ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البلد (90) : 11. وفي </w:t>
      </w:r>
      <w:r w:rsidR="00992664" w:rsidRPr="0012008A">
        <w:rPr>
          <w:rStyle w:val="libFootnoteBoldChar"/>
          <w:rtl/>
        </w:rPr>
        <w:t>الوافي</w:t>
      </w:r>
      <w:r w:rsidR="00992664" w:rsidRPr="00020424">
        <w:rPr>
          <w:rtl/>
        </w:rPr>
        <w:t xml:space="preserve"> : + </w:t>
      </w:r>
      <w:r w:rsidR="00992664" w:rsidRPr="00345E30">
        <w:rPr>
          <w:rStyle w:val="libFootnoteAlaemChar"/>
          <w:rtl/>
        </w:rPr>
        <w:t>(</w:t>
      </w:r>
      <w:r w:rsidR="00992664" w:rsidRPr="006B2AC6">
        <w:rPr>
          <w:rStyle w:val="libFootnoteAieChar"/>
          <w:rtl/>
        </w:rPr>
        <w:t xml:space="preserve"> وَم</w:t>
      </w:r>
      <w:r w:rsidR="00345E30">
        <w:rPr>
          <w:rStyle w:val="libFootnoteAieChar"/>
          <w:rFonts w:hint="cs"/>
          <w:rtl/>
        </w:rPr>
        <w:t>َ</w:t>
      </w:r>
      <w:r w:rsidR="00992664" w:rsidRPr="006B2AC6">
        <w:rPr>
          <w:rStyle w:val="libFootnoteAieChar"/>
          <w:rtl/>
        </w:rPr>
        <w:t>ا أَدْر</w:t>
      </w:r>
      <w:r w:rsidR="00345E30">
        <w:rPr>
          <w:rStyle w:val="libFootnoteAieChar"/>
          <w:rFonts w:hint="cs"/>
          <w:rtl/>
        </w:rPr>
        <w:t>َ</w:t>
      </w:r>
      <w:r w:rsidR="00992664" w:rsidRPr="006B2AC6">
        <w:rPr>
          <w:rStyle w:val="libFootnoteAieChar"/>
          <w:rtl/>
        </w:rPr>
        <w:t xml:space="preserve">اكَ مَا الْعَقَبَةُ </w:t>
      </w:r>
      <w:r w:rsidR="00992664" w:rsidRPr="00345E30">
        <w:rPr>
          <w:rStyle w:val="libFootnoteAlaemChar"/>
          <w:rtl/>
        </w:rPr>
        <w:t>)</w:t>
      </w:r>
      <w:r w:rsidR="00992664" w:rsidRPr="00020424">
        <w:rPr>
          <w:rtl/>
        </w:rPr>
        <w:t>.</w:t>
      </w:r>
    </w:p>
    <w:tbl>
      <w:tblPr>
        <w:tblStyle w:val="TableGrid"/>
        <w:bidiVisual/>
        <w:tblW w:w="0" w:type="auto"/>
        <w:tblLook w:val="04A0" w:firstRow="1" w:lastRow="0" w:firstColumn="1" w:lastColumn="0" w:noHBand="0" w:noVBand="1"/>
      </w:tblPr>
      <w:tblGrid>
        <w:gridCol w:w="4006"/>
        <w:gridCol w:w="4006"/>
      </w:tblGrid>
      <w:tr w:rsidR="00345E30" w:rsidTr="00345E30">
        <w:tc>
          <w:tcPr>
            <w:tcW w:w="4006" w:type="dxa"/>
          </w:tcPr>
          <w:p w:rsidR="00345E30" w:rsidRDefault="00345E30" w:rsidP="00992664">
            <w:pPr>
              <w:pStyle w:val="libFootnote0"/>
              <w:rPr>
                <w:rtl/>
                <w:lang w:bidi="fa-IR"/>
              </w:rPr>
            </w:pPr>
            <w:r>
              <w:rPr>
                <w:rtl/>
              </w:rPr>
              <w:t xml:space="preserve">(2). </w:t>
            </w:r>
            <w:r w:rsidRPr="00020424">
              <w:rPr>
                <w:rtl/>
              </w:rPr>
              <w:t xml:space="preserve">في حاشية « بح » </w:t>
            </w:r>
            <w:r w:rsidRPr="00EB1FD9">
              <w:rPr>
                <w:rStyle w:val="libFootnoteBoldChar"/>
                <w:rtl/>
              </w:rPr>
              <w:t>والوسائل</w:t>
            </w:r>
            <w:r w:rsidRPr="00020424">
              <w:rPr>
                <w:rtl/>
              </w:rPr>
              <w:t xml:space="preserve"> : « قال</w:t>
            </w:r>
            <w:r>
              <w:rPr>
                <w:rtl/>
              </w:rPr>
              <w:t xml:space="preserve"> ».</w:t>
            </w:r>
          </w:p>
        </w:tc>
        <w:tc>
          <w:tcPr>
            <w:tcW w:w="4006" w:type="dxa"/>
          </w:tcPr>
          <w:p w:rsidR="00345E30" w:rsidRDefault="00345E30" w:rsidP="00992664">
            <w:pPr>
              <w:pStyle w:val="libFootnote0"/>
              <w:rPr>
                <w:rtl/>
                <w:lang w:bidi="fa-IR"/>
              </w:rPr>
            </w:pPr>
            <w:r>
              <w:rPr>
                <w:rtl/>
              </w:rPr>
              <w:t xml:space="preserve">(3). </w:t>
            </w:r>
            <w:r w:rsidRPr="00020424">
              <w:rPr>
                <w:rtl/>
              </w:rPr>
              <w:t xml:space="preserve">في </w:t>
            </w:r>
            <w:r w:rsidRPr="00D64ADA">
              <w:rPr>
                <w:rStyle w:val="libFootnoteBoldChar"/>
                <w:rtl/>
              </w:rPr>
              <w:t>المحاسن</w:t>
            </w:r>
            <w:r w:rsidRPr="00020424">
              <w:rPr>
                <w:rtl/>
              </w:rPr>
              <w:t xml:space="preserve"> ، ص 392 : + « بإطعام الطعام</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D64ADA" w:rsidRPr="00D64ADA">
        <w:rPr>
          <w:rStyle w:val="libFootnoteBoldChar"/>
          <w:rtl/>
        </w:rPr>
        <w:t>المحاسن</w:t>
      </w:r>
      <w:r w:rsidR="00992664" w:rsidRPr="00020424">
        <w:rPr>
          <w:rtl/>
        </w:rPr>
        <w:t xml:space="preserve"> ، ص 392 ، كتاب المآكل ، ح 39 ؛ وص 389 ، ح 20 ، عن معمّر بن خلاّد. </w:t>
      </w:r>
      <w:r w:rsidR="00992664" w:rsidRPr="00DE76B9">
        <w:rPr>
          <w:rStyle w:val="libFootnoteBoldChar"/>
          <w:rtl/>
        </w:rPr>
        <w:t>الكافي</w:t>
      </w:r>
      <w:r w:rsidR="00992664" w:rsidRPr="00020424">
        <w:rPr>
          <w:rtl/>
        </w:rPr>
        <w:t xml:space="preserve"> ، كتاب الزكاة ، باب فضل الصدقة ، ذيل ح 6009 ، بسند آخر ، وفي الأخيرين من قوله : « ثمّ يتلو هذه الآية : </w:t>
      </w:r>
      <w:r w:rsidR="00992664" w:rsidRPr="004F05E5">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فَلَا اقْتَحَمَ الْعَقَبَةَ </w:t>
      </w:r>
      <w:r w:rsidR="00992664" w:rsidRPr="004F05E5">
        <w:rPr>
          <w:rStyle w:val="libFootnoteAlaemChar"/>
          <w:rtl/>
        </w:rPr>
        <w:t>)</w:t>
      </w:r>
      <w:r w:rsidR="00992664" w:rsidRPr="00020424">
        <w:rPr>
          <w:rtl/>
        </w:rPr>
        <w:t xml:space="preserve"> » مع اختلاف يسير </w:t>
      </w:r>
      <w:r w:rsidR="00911A26">
        <w:rPr>
          <w:rFonts w:hint="cs"/>
          <w:rtl/>
        </w:rPr>
        <w:t>.</w:t>
      </w:r>
      <w:r w:rsidR="00992664" w:rsidRPr="0012008A">
        <w:rPr>
          <w:rStyle w:val="libFootnoteBoldChar"/>
          <w:rtl/>
        </w:rPr>
        <w:t>الوافي</w:t>
      </w:r>
      <w:r w:rsidR="00992664" w:rsidRPr="00020424">
        <w:rPr>
          <w:rtl/>
        </w:rPr>
        <w:t xml:space="preserve"> ، ج 10 ، ص 507 ، ح 9998 ؛ </w:t>
      </w:r>
      <w:r w:rsidR="00992664" w:rsidRPr="0012008A">
        <w:rPr>
          <w:rStyle w:val="libFootnoteBoldChar"/>
          <w:rtl/>
        </w:rPr>
        <w:t>الوسائل</w:t>
      </w:r>
      <w:r w:rsidR="00992664" w:rsidRPr="00020424">
        <w:rPr>
          <w:rtl/>
        </w:rPr>
        <w:t xml:space="preserve"> ، ج 9 ، ص 471 ، ح 12520 ؛ </w:t>
      </w:r>
      <w:r w:rsidR="00992664" w:rsidRPr="0012008A">
        <w:rPr>
          <w:rStyle w:val="libFootnoteBoldChar"/>
          <w:rtl/>
        </w:rPr>
        <w:t>البحار</w:t>
      </w:r>
      <w:r w:rsidR="00992664" w:rsidRPr="00020424">
        <w:rPr>
          <w:rtl/>
        </w:rPr>
        <w:t xml:space="preserve"> ، ج 69 ، ص 363.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معظم النسخ التي قوبلت </w:t>
      </w:r>
      <w:r w:rsidR="00992664" w:rsidRPr="00EB1FD9">
        <w:rPr>
          <w:rStyle w:val="libFootnoteBoldChar"/>
          <w:rtl/>
        </w:rPr>
        <w:t>والوسائل</w:t>
      </w:r>
      <w:r w:rsidR="00992664" w:rsidRPr="00020424">
        <w:rPr>
          <w:rtl/>
        </w:rPr>
        <w:t>. وفي « بح » والمطبوع : « بالقصد</w:t>
      </w:r>
      <w:r w:rsidR="00992664">
        <w:rPr>
          <w:rtl/>
        </w:rPr>
        <w:t xml:space="preserve"> ».</w:t>
      </w:r>
    </w:p>
    <w:p w:rsidR="00992664" w:rsidRPr="00020424" w:rsidRDefault="00795177" w:rsidP="00911A26">
      <w:pPr>
        <w:pStyle w:val="libFootnote0"/>
        <w:rPr>
          <w:rtl/>
          <w:lang w:bidi="fa-IR"/>
        </w:rPr>
      </w:pPr>
      <w:r>
        <w:rPr>
          <w:rtl/>
        </w:rPr>
        <w:t>(6).</w:t>
      </w:r>
      <w:r w:rsidR="0014403D">
        <w:rPr>
          <w:rtl/>
        </w:rPr>
        <w:t xml:space="preserve"> </w:t>
      </w:r>
      <w:r w:rsidR="00992664" w:rsidRPr="00020424">
        <w:rPr>
          <w:rtl/>
        </w:rPr>
        <w:t xml:space="preserve">البُلْغَة : ما يُتَبَلَّغُ ويكتفى به من العيش ولا فضل فيه. راجع : </w:t>
      </w:r>
      <w:r w:rsidR="00992664" w:rsidRPr="0012008A">
        <w:rPr>
          <w:rStyle w:val="libFootnoteBoldChar"/>
          <w:rtl/>
        </w:rPr>
        <w:t>الصحاح</w:t>
      </w:r>
      <w:r w:rsidR="00992664" w:rsidRPr="00020424">
        <w:rPr>
          <w:rtl/>
        </w:rPr>
        <w:t xml:space="preserve"> ، ج 4 ، ص 1316 ؛ </w:t>
      </w:r>
      <w:r w:rsidR="00992664" w:rsidRPr="00A722B1">
        <w:rPr>
          <w:rStyle w:val="libFootnoteBoldChar"/>
          <w:rtl/>
        </w:rPr>
        <w:t>لسان العرب</w:t>
      </w:r>
      <w:r w:rsidR="00992664" w:rsidRPr="00020424">
        <w:rPr>
          <w:rtl/>
        </w:rPr>
        <w:t xml:space="preserve"> ، ج 8 ، ص 421 ( بلغ )</w:t>
      </w:r>
      <w:r w:rsidR="00992664">
        <w:rPr>
          <w:rtl/>
        </w:rPr>
        <w:t>.</w:t>
      </w:r>
      <w:r w:rsidR="00911A26">
        <w:rPr>
          <w:rFonts w:hint="cs"/>
          <w:rtl/>
        </w:rPr>
        <w:t xml:space="preserve">                                </w:t>
      </w:r>
      <w:r>
        <w:rPr>
          <w:rtl/>
        </w:rPr>
        <w:t>(7).</w:t>
      </w:r>
      <w:r w:rsidR="0014403D">
        <w:rPr>
          <w:rtl/>
        </w:rPr>
        <w:t xml:space="preserve"> </w:t>
      </w:r>
      <w:r w:rsidR="00992664" w:rsidRPr="00020424">
        <w:rPr>
          <w:rtl/>
        </w:rPr>
        <w:t>في « بر ، بف ، بك » : « بالكفاف</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بخ » : « فيه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فضلاً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وأنفق</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جميع النسخ التي قوبلت </w:t>
      </w:r>
      <w:r w:rsidR="00992664" w:rsidRPr="00EB1FD9">
        <w:rPr>
          <w:rStyle w:val="libFootnoteBoldChar"/>
          <w:rtl/>
        </w:rPr>
        <w:t>والوسائل</w:t>
      </w:r>
      <w:r w:rsidR="00992664" w:rsidRPr="00020424">
        <w:rPr>
          <w:rtl/>
        </w:rPr>
        <w:t>. وفي المطبوع : « العافية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495 ، ح 9963 ؛ </w:t>
      </w:r>
      <w:r w:rsidR="00992664" w:rsidRPr="0012008A">
        <w:rPr>
          <w:rStyle w:val="libFootnoteBoldChar"/>
          <w:rtl/>
        </w:rPr>
        <w:t>الوسائل</w:t>
      </w:r>
      <w:r w:rsidR="00992664" w:rsidRPr="00020424">
        <w:rPr>
          <w:rtl/>
        </w:rPr>
        <w:t xml:space="preserve"> ، ج 21 ، ص 550 ، ح 27841.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الْقَصْدَ </w:t>
      </w:r>
      <w:r w:rsidRPr="00A91B96">
        <w:rPr>
          <w:rStyle w:val="libFootnotenumChar"/>
          <w:rtl/>
        </w:rPr>
        <w:t>(1)</w:t>
      </w:r>
      <w:r w:rsidRPr="00020424">
        <w:rPr>
          <w:rtl/>
          <w:lang w:bidi="fa-IR"/>
        </w:rPr>
        <w:t xml:space="preserve"> أَمْرٌ يُحِبُّهُ اللهُ عَزَّ وَجَلَّ ، وَإِنَّ السَّرَفَ أَمْرٌ يُبْغِضُهُ اللهُ حَتّى طَرْحَكَ النَّوَاةَ ؛ فَإِنَّهَا تَصْلُحُ </w:t>
      </w:r>
      <w:r w:rsidRPr="00A91B96">
        <w:rPr>
          <w:rStyle w:val="libFootnotenumChar"/>
          <w:rtl/>
        </w:rPr>
        <w:t>(2)</w:t>
      </w:r>
      <w:r w:rsidRPr="00020424">
        <w:rPr>
          <w:rtl/>
          <w:lang w:bidi="fa-IR"/>
        </w:rPr>
        <w:t xml:space="preserve"> لِشَيْ‌ءٍ </w:t>
      </w:r>
      <w:r w:rsidRPr="00A91B96">
        <w:rPr>
          <w:rStyle w:val="libFootnotenumChar"/>
          <w:rtl/>
        </w:rPr>
        <w:t>(3)</w:t>
      </w:r>
      <w:r w:rsidRPr="00020424">
        <w:rPr>
          <w:rtl/>
          <w:lang w:bidi="fa-IR"/>
        </w:rPr>
        <w:t xml:space="preserve"> ، وَحَتّى صَبَّكَ فَضْلَ شَرَابِكَ</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C443F">
        <w:rPr>
          <w:rtl/>
        </w:rPr>
        <w:t>6209</w:t>
      </w:r>
      <w:r w:rsidRPr="001155DE">
        <w:rPr>
          <w:rStyle w:val="libBold2Char"/>
          <w:rtl/>
        </w:rPr>
        <w:t xml:space="preserve"> / 3.</w:t>
      </w:r>
      <w:r w:rsidRPr="00020424">
        <w:rPr>
          <w:rtl/>
          <w:lang w:bidi="fa-IR"/>
        </w:rPr>
        <w:t xml:space="preserve"> عَلِيُّ بْنُ إِبْرَاهِيمَ ، عَنْ أَبِيهِ ، عَنِ ابْنِ أَبِي عُمَيْرٍ ، عَنْ بَعْضِ أَصْحَابِهِ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وَيَسْئَلُونَكَ ما ذا يُنْفِقُونَ قُلِ الْعَفْوَ </w:t>
      </w:r>
      <w:r w:rsidRPr="00005A81">
        <w:rPr>
          <w:rStyle w:val="libAlaemChar"/>
          <w:rtl/>
        </w:rPr>
        <w:t>)</w:t>
      </w:r>
      <w:r w:rsidRPr="00020424">
        <w:rPr>
          <w:rtl/>
          <w:lang w:bidi="fa-IR"/>
        </w:rPr>
        <w:t xml:space="preserve"> </w:t>
      </w:r>
      <w:r w:rsidRPr="00A91B96">
        <w:rPr>
          <w:rStyle w:val="libFootnotenumChar"/>
          <w:rtl/>
        </w:rPr>
        <w:t>(6)</w:t>
      </w:r>
      <w:r w:rsidR="00134E92">
        <w:rPr>
          <w:rtl/>
          <w:lang w:bidi="fa-IR"/>
        </w:rPr>
        <w:t xml:space="preserve"> قَالَ</w:t>
      </w:r>
      <w:r w:rsidRPr="00020424">
        <w:rPr>
          <w:rtl/>
          <w:lang w:bidi="fa-IR"/>
        </w:rPr>
        <w:t>: « الْعَفْوُ الْوَسَطُ</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DC443F">
        <w:rPr>
          <w:rtl/>
        </w:rPr>
        <w:t>6210</w:t>
      </w:r>
      <w:r w:rsidRPr="001155DE">
        <w:rPr>
          <w:rStyle w:val="libBold2Char"/>
          <w:rtl/>
        </w:rPr>
        <w:t xml:space="preserve"> / 4.</w:t>
      </w:r>
      <w:r w:rsidRPr="00020424">
        <w:rPr>
          <w:rtl/>
          <w:lang w:bidi="fa-IR"/>
        </w:rPr>
        <w:t xml:space="preserve"> عَلِيُّ بْنُ مُحَمَّدٍ رَفَعَهُ ، قَالَ :</w:t>
      </w:r>
    </w:p>
    <w:p w:rsidR="00992664" w:rsidRPr="00020424" w:rsidRDefault="00992664" w:rsidP="00992664">
      <w:pPr>
        <w:pStyle w:val="libNormal"/>
        <w:rPr>
          <w:rtl/>
          <w:lang w:bidi="fa-IR"/>
        </w:rPr>
      </w:pPr>
      <w:r w:rsidRPr="00020424">
        <w:rPr>
          <w:rtl/>
          <w:lang w:bidi="fa-IR"/>
        </w:rPr>
        <w:t xml:space="preserve">قَالَ أَمِيرُ الْمُؤْمِنِينَ </w:t>
      </w:r>
      <w:r w:rsidRPr="00005A81">
        <w:rPr>
          <w:rStyle w:val="libAlaemChar"/>
          <w:rtl/>
        </w:rPr>
        <w:t>عليه‌السلام</w:t>
      </w:r>
      <w:r w:rsidRPr="00020424">
        <w:rPr>
          <w:rtl/>
          <w:lang w:bidi="fa-IR"/>
        </w:rPr>
        <w:t xml:space="preserve"> : « الْقَصْدُ مَثْرَاةٌ </w:t>
      </w:r>
      <w:r w:rsidRPr="00A91B96">
        <w:rPr>
          <w:rStyle w:val="libFootnotenumChar"/>
          <w:rtl/>
        </w:rPr>
        <w:t>(8)</w:t>
      </w:r>
      <w:r w:rsidRPr="00020424">
        <w:rPr>
          <w:rtl/>
          <w:lang w:bidi="fa-IR"/>
        </w:rPr>
        <w:t xml:space="preserve"> ، وَالسَّرَفُ مَتْوَاةٌ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DC443F">
        <w:rPr>
          <w:rtl/>
        </w:rPr>
        <w:t>6211</w:t>
      </w:r>
      <w:r w:rsidRPr="001155DE">
        <w:rPr>
          <w:rStyle w:val="libBold2Char"/>
          <w:rtl/>
        </w:rPr>
        <w:t xml:space="preserve"> / 5.</w:t>
      </w:r>
      <w:r w:rsidRPr="00020424">
        <w:rPr>
          <w:rtl/>
          <w:lang w:bidi="fa-IR"/>
        </w:rPr>
        <w:t xml:space="preserve"> عَلِيُّ بْنُ إِبْرَاهِيمَ ، عَنْ أَبِيهِ ، عَنِ ابْنِ أَبِي عُمَيْرٍ ، عَنْ مَنْصُورِ بْنِ يُونُسَ ، عَنْ‌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34E92" w:rsidTr="00134E92">
        <w:tc>
          <w:tcPr>
            <w:tcW w:w="4006" w:type="dxa"/>
          </w:tcPr>
          <w:p w:rsidR="00134E92" w:rsidRDefault="00134E92" w:rsidP="00992664">
            <w:pPr>
              <w:pStyle w:val="libFootnote0"/>
              <w:rPr>
                <w:rtl/>
              </w:rPr>
            </w:pPr>
            <w:r>
              <w:rPr>
                <w:rtl/>
              </w:rPr>
              <w:t xml:space="preserve">(1). </w:t>
            </w:r>
            <w:r w:rsidRPr="00020424">
              <w:rPr>
                <w:rtl/>
              </w:rPr>
              <w:t>في « بك » : « القسط</w:t>
            </w:r>
            <w:r>
              <w:rPr>
                <w:rtl/>
              </w:rPr>
              <w:t xml:space="preserve"> ».</w:t>
            </w:r>
          </w:p>
        </w:tc>
        <w:tc>
          <w:tcPr>
            <w:tcW w:w="4006" w:type="dxa"/>
          </w:tcPr>
          <w:p w:rsidR="00134E92" w:rsidRDefault="00134E92" w:rsidP="00992664">
            <w:pPr>
              <w:pStyle w:val="libFootnote0"/>
              <w:rPr>
                <w:rtl/>
              </w:rPr>
            </w:pPr>
            <w:r>
              <w:rPr>
                <w:rtl/>
              </w:rPr>
              <w:t xml:space="preserve">(2). </w:t>
            </w:r>
            <w:r w:rsidRPr="00020424">
              <w:rPr>
                <w:rtl/>
              </w:rPr>
              <w:t>في « ى » : « تصحّ</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6C7A1F">
        <w:rPr>
          <w:rStyle w:val="libFootnoteBoldChar"/>
          <w:rtl/>
        </w:rPr>
        <w:t>وثواب الأعمال</w:t>
      </w:r>
      <w:r w:rsidR="00992664" w:rsidRPr="00020424">
        <w:rPr>
          <w:rtl/>
        </w:rPr>
        <w:t xml:space="preserve"> </w:t>
      </w:r>
      <w:r w:rsidR="00992664" w:rsidRPr="00FD6221">
        <w:rPr>
          <w:rStyle w:val="libFootnoteBoldChar"/>
          <w:rtl/>
        </w:rPr>
        <w:t>والخصال</w:t>
      </w:r>
      <w:r w:rsidR="00992664" w:rsidRPr="00020424">
        <w:rPr>
          <w:rtl/>
        </w:rPr>
        <w:t>. وفي « ى » : « الشي‌ء</w:t>
      </w:r>
      <w:r w:rsidR="00992664">
        <w:rPr>
          <w:rtl/>
        </w:rPr>
        <w:t xml:space="preserve"> ».</w:t>
      </w:r>
      <w:r w:rsidR="00992664" w:rsidRPr="00020424">
        <w:rPr>
          <w:rtl/>
        </w:rPr>
        <w:t xml:space="preserve"> وفي المطبوع : « للشي‌ء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221 ، ح 1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10 ، باب الواحد ، ح 36 ، بسندهما عن جعفر بن بشير [ في </w:t>
      </w:r>
      <w:r w:rsidR="00992664" w:rsidRPr="00A722B1">
        <w:rPr>
          <w:rStyle w:val="libFootnoteBoldChar"/>
          <w:rtl/>
        </w:rPr>
        <w:t>الخصال</w:t>
      </w:r>
      <w:r w:rsidR="00992664" w:rsidRPr="00020424">
        <w:rPr>
          <w:rtl/>
        </w:rPr>
        <w:t xml:space="preserve"> : + « البجلي » ] </w:t>
      </w:r>
      <w:r w:rsidR="00A81C21">
        <w:rPr>
          <w:rFonts w:hint="cs"/>
          <w:rtl/>
        </w:rPr>
        <w:t>.</w:t>
      </w:r>
      <w:r w:rsidR="00992664" w:rsidRPr="0012008A">
        <w:rPr>
          <w:rStyle w:val="libFootnoteBoldChar"/>
          <w:rtl/>
        </w:rPr>
        <w:t>الوافي</w:t>
      </w:r>
      <w:r w:rsidR="00992664" w:rsidRPr="00020424">
        <w:rPr>
          <w:rtl/>
        </w:rPr>
        <w:t xml:space="preserve"> ، ج 10 ، ص 495 ، ح 9964 ؛ </w:t>
      </w:r>
      <w:r w:rsidR="00992664" w:rsidRPr="0012008A">
        <w:rPr>
          <w:rStyle w:val="libFootnoteBoldChar"/>
          <w:rtl/>
        </w:rPr>
        <w:t>الوسائل</w:t>
      </w:r>
      <w:r w:rsidR="00992664" w:rsidRPr="00020424">
        <w:rPr>
          <w:rtl/>
        </w:rPr>
        <w:t xml:space="preserve"> ، ج 21 ، ص 551 ، ح 27842.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بف » وهامش المطبوع : « عن رجل</w:t>
      </w:r>
      <w:r w:rsidR="00992664">
        <w:rPr>
          <w:rtl/>
        </w:rPr>
        <w:t xml:space="preserve"> ».</w:t>
      </w:r>
      <w:r w:rsidR="00992664" w:rsidRPr="00020424">
        <w:rPr>
          <w:rtl/>
        </w:rPr>
        <w:t xml:space="preserve"> وفي « بث ، بخ ، بر ، جن » :</w:t>
      </w:r>
      <w:r w:rsidR="00992664">
        <w:rPr>
          <w:rtl/>
        </w:rPr>
        <w:t xml:space="preserve"> </w:t>
      </w:r>
      <w:r w:rsidR="009B673F">
        <w:rPr>
          <w:rtl/>
        </w:rPr>
        <w:t>-</w:t>
      </w:r>
      <w:r w:rsidR="00992664">
        <w:rPr>
          <w:rtl/>
        </w:rPr>
        <w:t xml:space="preserve"> </w:t>
      </w:r>
      <w:r w:rsidR="00992664" w:rsidRPr="00020424">
        <w:rPr>
          <w:rtl/>
        </w:rPr>
        <w:t>« عن بعض أصحابه</w:t>
      </w:r>
      <w:r w:rsidR="00992664">
        <w:rPr>
          <w:rtl/>
        </w:rPr>
        <w:t xml:space="preserve"> ».</w:t>
      </w:r>
      <w:r w:rsidR="00992664" w:rsidRPr="00020424">
        <w:rPr>
          <w:rtl/>
        </w:rPr>
        <w:t xml:space="preserve"> وفي « بح » : « عن بعض أصحابنا</w:t>
      </w:r>
      <w:r w:rsidR="00992664">
        <w:rPr>
          <w:rtl/>
        </w:rPr>
        <w:t xml:space="preserve"> ».</w:t>
      </w:r>
      <w:r w:rsidR="00A81C21">
        <w:rPr>
          <w:rFonts w:hint="cs"/>
          <w:rtl/>
        </w:rPr>
        <w:t xml:space="preserve">       </w:t>
      </w:r>
      <w:r w:rsidR="00992664">
        <w:rPr>
          <w:rFonts w:hint="cs"/>
          <w:rtl/>
          <w:lang w:bidi="fa-IR"/>
        </w:rPr>
        <w:t xml:space="preserve"> </w:t>
      </w:r>
      <w:r>
        <w:rPr>
          <w:rtl/>
        </w:rPr>
        <w:t>(6).</w:t>
      </w:r>
      <w:r w:rsidR="0014403D">
        <w:rPr>
          <w:rtl/>
        </w:rPr>
        <w:t xml:space="preserve"> </w:t>
      </w:r>
      <w:r w:rsidR="00992664" w:rsidRPr="00020424">
        <w:rPr>
          <w:rtl/>
        </w:rPr>
        <w:t xml:space="preserve">البقرة </w:t>
      </w:r>
      <w:r w:rsidR="00A81C21">
        <w:rPr>
          <w:rtl/>
        </w:rPr>
        <w:t>(2)</w:t>
      </w:r>
      <w:r w:rsidR="0014403D">
        <w:rPr>
          <w:rtl/>
        </w:rPr>
        <w:t xml:space="preserve"> </w:t>
      </w:r>
      <w:r w:rsidR="00992664" w:rsidRPr="00020424">
        <w:rPr>
          <w:rtl/>
        </w:rPr>
        <w:t>: 219.</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تفسير العيّاشي</w:t>
      </w:r>
      <w:r w:rsidR="00992664" w:rsidRPr="00020424">
        <w:rPr>
          <w:rtl/>
        </w:rPr>
        <w:t xml:space="preserve"> ، ج 1 ، ص 106 ، ح 314 ، عن جميل بن درّاج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ح 315 ، عن عبدالرحمن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العيّاشي</w:t>
      </w:r>
      <w:r w:rsidR="00992664" w:rsidRPr="00020424">
        <w:rPr>
          <w:rtl/>
        </w:rPr>
        <w:t xml:space="preserve"> ، ج 2 ، ص 43 ، ح 126 ، عن الحسين بن عليّ بن النعمان ، عن أبيه ، عمّن سمع أبا عبدالله </w:t>
      </w:r>
      <w:r w:rsidR="00992664" w:rsidRPr="00D64ADA">
        <w:rPr>
          <w:rStyle w:val="libFootnoteAlaemChar"/>
          <w:rtl/>
        </w:rPr>
        <w:t>عليه‌السلام</w:t>
      </w:r>
      <w:r w:rsidR="00992664" w:rsidRPr="00020424">
        <w:rPr>
          <w:rtl/>
        </w:rPr>
        <w:t xml:space="preserve"> ، ذيل الآية : </w:t>
      </w:r>
      <w:r w:rsidR="00992664" w:rsidRPr="004F05E5">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خُذِ الْعَفْوَ وَأْمُرْ بِالْعُرْفِ </w:t>
      </w:r>
      <w:r w:rsidR="00992664" w:rsidRPr="004F05E5">
        <w:rPr>
          <w:rStyle w:val="libFootnote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64 ، ذيل ح 1721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254 </w:t>
      </w:r>
      <w:r w:rsidR="00992664" w:rsidRPr="0012008A">
        <w:rPr>
          <w:rStyle w:val="libFootnoteBoldChar"/>
          <w:rtl/>
        </w:rPr>
        <w:t>الوافي</w:t>
      </w:r>
      <w:r w:rsidR="00992664" w:rsidRPr="00020424">
        <w:rPr>
          <w:rtl/>
        </w:rPr>
        <w:t xml:space="preserve"> ، ج 10 ، ص 495 ، ح 9965 ؛ </w:t>
      </w:r>
      <w:r w:rsidR="00992664" w:rsidRPr="0012008A">
        <w:rPr>
          <w:rStyle w:val="libFootnoteBoldChar"/>
          <w:rtl/>
        </w:rPr>
        <w:t>الوسائل</w:t>
      </w:r>
      <w:r w:rsidR="00992664" w:rsidRPr="00020424">
        <w:rPr>
          <w:rtl/>
        </w:rPr>
        <w:t xml:space="preserve"> ، ج 21 ، ص 551 ، ح 27843.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المثراة : المكثرة ، مَفْعَلةٌ من الثروة والثَراء ، وهو كثرة العدد في المال والناس. راجع : </w:t>
      </w:r>
      <w:r w:rsidR="00992664" w:rsidRPr="0012008A">
        <w:rPr>
          <w:rStyle w:val="libFootnoteBoldChar"/>
          <w:rtl/>
        </w:rPr>
        <w:t>النهاية</w:t>
      </w:r>
      <w:r w:rsidR="00992664" w:rsidRPr="00020424">
        <w:rPr>
          <w:rtl/>
        </w:rPr>
        <w:t xml:space="preserve"> ، ج 1 ، ص 210 ؛ </w:t>
      </w:r>
      <w:r w:rsidR="00992664" w:rsidRPr="00A722B1">
        <w:rPr>
          <w:rStyle w:val="libFootnoteBoldChar"/>
          <w:rtl/>
        </w:rPr>
        <w:t>القاموس المحيط</w:t>
      </w:r>
      <w:r w:rsidR="00992664" w:rsidRPr="00020424">
        <w:rPr>
          <w:rtl/>
        </w:rPr>
        <w:t xml:space="preserve"> ، ج 2 ، ص 1663 ( ثرا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بف » : « مثواه</w:t>
      </w:r>
      <w:r w:rsidR="00992664">
        <w:rPr>
          <w:rtl/>
        </w:rPr>
        <w:t xml:space="preserve"> ».</w:t>
      </w:r>
      <w:r w:rsidR="00992664" w:rsidRPr="00020424">
        <w:rPr>
          <w:rtl/>
        </w:rPr>
        <w:t xml:space="preserve"> والمتواة : مَفْعَلَة من التَّوى وزان حصى بمعنى الهلاك ، أو هلاك المال ، أو ذهاب مال لا يرجى. راجع : </w:t>
      </w:r>
      <w:r w:rsidR="00992664" w:rsidRPr="0012008A">
        <w:rPr>
          <w:rStyle w:val="libFootnoteBoldChar"/>
          <w:rtl/>
        </w:rPr>
        <w:t>الصحاح</w:t>
      </w:r>
      <w:r w:rsidR="00992664" w:rsidRPr="00020424">
        <w:rPr>
          <w:rtl/>
        </w:rPr>
        <w:t xml:space="preserve"> ، ج 6 ، ص 2290 ؛ </w:t>
      </w:r>
      <w:r w:rsidR="00992664" w:rsidRPr="00A722B1">
        <w:rPr>
          <w:rStyle w:val="libFootnoteBoldChar"/>
          <w:rtl/>
        </w:rPr>
        <w:t>لسان العرب</w:t>
      </w:r>
      <w:r w:rsidR="00992664" w:rsidRPr="00020424">
        <w:rPr>
          <w:rtl/>
        </w:rPr>
        <w:t xml:space="preserve"> ، ج 14 ، ص 106 ( توى )</w:t>
      </w:r>
      <w:r w:rsidR="00992664">
        <w:rPr>
          <w:rtl/>
        </w:rPr>
        <w:t>.</w:t>
      </w:r>
      <w:r w:rsidR="00992664" w:rsidRPr="00020424">
        <w:rPr>
          <w:rtl/>
        </w:rPr>
        <w:t xml:space="preserve"> هذا ، وفي </w:t>
      </w:r>
      <w:r w:rsidR="00992664" w:rsidRPr="0012008A">
        <w:rPr>
          <w:rStyle w:val="libFootnoteBoldChar"/>
          <w:rtl/>
        </w:rPr>
        <w:t>الوافي</w:t>
      </w:r>
      <w:r w:rsidR="00992664" w:rsidRPr="00020424">
        <w:rPr>
          <w:rtl/>
        </w:rPr>
        <w:t xml:space="preserve"> : « كلاهما بكسر الميم اسم آلة من الثروة والتوى بالمثنّاة بمعنى الهلاك والتلف</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A722B1">
        <w:rPr>
          <w:rStyle w:val="libFootnoteBoldChar"/>
          <w:rtl/>
        </w:rPr>
        <w:t>الخصال</w:t>
      </w:r>
      <w:r w:rsidR="00992664" w:rsidRPr="00020424">
        <w:rPr>
          <w:rtl/>
        </w:rPr>
        <w:t xml:space="preserve"> ، ص 505 ، أبواب الستّة عشر ، ضمن ح 3 ، بسند آخر عن أميرالمؤمنين </w:t>
      </w:r>
      <w:r w:rsidR="00992664" w:rsidRPr="00D64ADA">
        <w:rPr>
          <w:rStyle w:val="libFootnoteAlaemChar"/>
          <w:rtl/>
        </w:rPr>
        <w:t>عليه‌السلام</w:t>
      </w:r>
      <w:r w:rsidR="00992664" w:rsidRPr="00020424">
        <w:rPr>
          <w:rtl/>
        </w:rPr>
        <w:t xml:space="preserve"> ، وفيه هكذا : « الشرف متواة ، والقصد مثراة » </w:t>
      </w:r>
      <w:r w:rsidR="00A81C21">
        <w:rPr>
          <w:rFonts w:hint="cs"/>
          <w:rtl/>
        </w:rPr>
        <w:t>.</w:t>
      </w:r>
      <w:r w:rsidR="00992664" w:rsidRPr="0012008A">
        <w:rPr>
          <w:rStyle w:val="libFootnoteBoldChar"/>
          <w:rtl/>
        </w:rPr>
        <w:t>الوافي</w:t>
      </w:r>
      <w:r w:rsidR="00992664" w:rsidRPr="00020424">
        <w:rPr>
          <w:rtl/>
        </w:rPr>
        <w:t xml:space="preserve"> ، ج 10 ، ص 496 ، ح 9966 ؛ </w:t>
      </w:r>
      <w:r w:rsidR="00992664" w:rsidRPr="0012008A">
        <w:rPr>
          <w:rStyle w:val="libFootnoteBoldChar"/>
          <w:rtl/>
        </w:rPr>
        <w:t>الوسائل</w:t>
      </w:r>
      <w:r w:rsidR="00992664" w:rsidRPr="00020424">
        <w:rPr>
          <w:rtl/>
        </w:rPr>
        <w:t xml:space="preserve"> ، ج 21 ، ص 552 ، ح 27844.</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أَبِي حَمْزَةَ :</w:t>
      </w:r>
    </w:p>
    <w:p w:rsidR="00992664" w:rsidRPr="00020424" w:rsidRDefault="00992664" w:rsidP="00992664">
      <w:pPr>
        <w:pStyle w:val="libNormal"/>
        <w:rPr>
          <w:rtl/>
          <w:lang w:bidi="fa-IR"/>
        </w:rPr>
      </w:pPr>
      <w:r w:rsidRPr="00020424">
        <w:rPr>
          <w:rtl/>
          <w:lang w:bidi="fa-IR"/>
        </w:rPr>
        <w:t xml:space="preserve">عَنْ عَلِيِّ بْنِ الْحُسَيْنِ </w:t>
      </w:r>
      <w:r w:rsidRPr="00005A81">
        <w:rPr>
          <w:rStyle w:val="libAlaemChar"/>
          <w:rtl/>
        </w:rPr>
        <w:t>عليهما‌السلام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ثَلَاثٌ </w:t>
      </w:r>
      <w:r w:rsidRPr="00A91B96">
        <w:rPr>
          <w:rStyle w:val="libFootnotenumChar"/>
          <w:rtl/>
        </w:rPr>
        <w:t>(1)</w:t>
      </w:r>
      <w:r w:rsidRPr="00020424">
        <w:rPr>
          <w:rtl/>
          <w:lang w:bidi="fa-IR"/>
        </w:rPr>
        <w:t xml:space="preserve"> مُنْجِيَاتٌ ، فَذَكَرَ :</w:t>
      </w:r>
      <w:r>
        <w:rPr>
          <w:rFonts w:hint="cs"/>
          <w:rtl/>
          <w:lang w:bidi="fa-IR"/>
        </w:rPr>
        <w:t xml:space="preserve"> </w:t>
      </w:r>
      <w:r w:rsidRPr="00020424">
        <w:rPr>
          <w:rtl/>
          <w:lang w:bidi="fa-IR"/>
        </w:rPr>
        <w:t xml:space="preserve">الثَّالِثُ </w:t>
      </w:r>
      <w:r w:rsidRPr="00A91B96">
        <w:rPr>
          <w:rStyle w:val="libFootnotenumChar"/>
          <w:rtl/>
        </w:rPr>
        <w:t>(2)</w:t>
      </w:r>
      <w:r w:rsidRPr="00020424">
        <w:rPr>
          <w:rtl/>
          <w:lang w:bidi="fa-IR"/>
        </w:rPr>
        <w:t xml:space="preserve"> الْقَصْدُ فِي الْغِنى وَالْفَقْرِ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C443F">
        <w:rPr>
          <w:rtl/>
        </w:rPr>
        <w:t>6212</w:t>
      </w:r>
      <w:r w:rsidRPr="001155DE">
        <w:rPr>
          <w:rStyle w:val="libBold2Char"/>
          <w:rtl/>
        </w:rPr>
        <w:t xml:space="preserve"> / 6.</w:t>
      </w:r>
      <w:r w:rsidRPr="00020424">
        <w:rPr>
          <w:rtl/>
          <w:lang w:bidi="fa-IR"/>
        </w:rPr>
        <w:t xml:space="preserve"> مُحَمَّدُ بْنُ يَحْيى ، عَنْ أَحْمَدَ بْنِ مُحَمَّدِ بْنِ عِيسى ، عَنِ الْحَسَنِ </w:t>
      </w:r>
      <w:r w:rsidRPr="00A91B96">
        <w:rPr>
          <w:rStyle w:val="libFootnotenumChar"/>
          <w:rtl/>
        </w:rPr>
        <w:t>(5)</w:t>
      </w:r>
      <w:r w:rsidRPr="00020424">
        <w:rPr>
          <w:rtl/>
          <w:lang w:bidi="fa-IR"/>
        </w:rPr>
        <w:t xml:space="preserve"> بْنِ مَحْبُوبٍ ، عَنْ عُمَرَ بْنِ أَبَانٍ ، عَنْ مُدْرِكِ بْنِ أَبِي </w:t>
      </w:r>
      <w:r w:rsidRPr="00A91B96">
        <w:rPr>
          <w:rStyle w:val="libFootnotenumChar"/>
          <w:rtl/>
        </w:rPr>
        <w:t>(6)</w:t>
      </w:r>
      <w:r w:rsidRPr="00020424">
        <w:rPr>
          <w:rtl/>
          <w:lang w:bidi="fa-IR"/>
        </w:rPr>
        <w:t xml:space="preserve"> الْهَزْهَازِ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ضَمِنْتُ لِمَنِ اقْتَصَدَ أَنْ لَايَفْتَقِرَ</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DC443F">
        <w:rPr>
          <w:rtl/>
        </w:rPr>
        <w:t>6213</w:t>
      </w:r>
      <w:r w:rsidRPr="001155DE">
        <w:rPr>
          <w:rStyle w:val="libBold2Char"/>
          <w:rtl/>
        </w:rPr>
        <w:t xml:space="preserve"> / 7.</w:t>
      </w:r>
      <w:r w:rsidRPr="00020424">
        <w:rPr>
          <w:rtl/>
          <w:lang w:bidi="fa-IR"/>
        </w:rPr>
        <w:t xml:space="preserve"> عِدَّةٌ مِنْ أَصْحَابِنَا ، عَنْ أَحْمَدَ بْنِ مُحَمَّدٍ وَسَهْلِ بْنِ زِيَادٍ </w:t>
      </w:r>
      <w:r w:rsidRPr="00A91B96">
        <w:rPr>
          <w:rStyle w:val="libFootnotenumChar"/>
          <w:rtl/>
        </w:rPr>
        <w:t>(8)</w:t>
      </w:r>
      <w:r w:rsidRPr="00020424">
        <w:rPr>
          <w:rtl/>
          <w:lang w:bidi="fa-IR"/>
        </w:rPr>
        <w:t xml:space="preserve">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 « ثلاثة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بث ، بخ ، بر ، بس ، بف ، جن » </w:t>
      </w:r>
      <w:r w:rsidR="00992664" w:rsidRPr="00515444">
        <w:rPr>
          <w:rStyle w:val="libFootnoteBoldChar"/>
          <w:rtl/>
        </w:rPr>
        <w:t>والوافي</w:t>
      </w:r>
      <w:r w:rsidR="00992664" w:rsidRPr="00020424">
        <w:rPr>
          <w:rtl/>
        </w:rPr>
        <w:t xml:space="preserve"> : « الثالثة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في كلّ بحسبه ؛ فإنّ القصد يختلف باختلاف مراتب الغنى والفقر ، كما يدلّ عليه ما يأتي في أواخر الباب في تفسير القوام وما مضى في باب التوسيع على العيال أنّ المؤمن يأخذ بأدب الله إذا وسّع عليه اتّسع ، وإذا أمسك عليه أمسك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D64ADA" w:rsidRPr="00D64ADA">
        <w:rPr>
          <w:rStyle w:val="libFootnoteBoldChar"/>
          <w:rtl/>
        </w:rPr>
        <w:t>المحاسن</w:t>
      </w:r>
      <w:r w:rsidR="00992664" w:rsidRPr="00020424">
        <w:rPr>
          <w:rtl/>
        </w:rPr>
        <w:t xml:space="preserve"> ، ص 3 ، كتاب الأشكال والقرائن ، ذيل ح 2 ، عن ابن أبي عمير ، عن منصور بن يونس ، عن أبي حمزة الثمالي ، عن أبي عبدالله أو عليّ بن الحسين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w:t>
      </w:r>
      <w:r w:rsidR="00992664" w:rsidRPr="00DE76B9">
        <w:rPr>
          <w:rStyle w:val="libFootnoteBoldChar"/>
          <w:rtl/>
        </w:rPr>
        <w:t>الزهد</w:t>
      </w:r>
      <w:r w:rsidR="00992664" w:rsidRPr="00020424">
        <w:rPr>
          <w:rtl/>
        </w:rPr>
        <w:t xml:space="preserve"> ، ص 137 ، ضمن ح 183 ، عن محمّد بن أبي عمير ، عن منصور بن يونس ، عن الثمالي. وفي </w:t>
      </w:r>
      <w:r w:rsidR="00992664" w:rsidRPr="0012008A">
        <w:rPr>
          <w:rStyle w:val="libFootnoteBoldChar"/>
          <w:rtl/>
        </w:rPr>
        <w:t>الفقيه</w:t>
      </w:r>
      <w:r w:rsidR="00992664" w:rsidRPr="00020424">
        <w:rPr>
          <w:rtl/>
        </w:rPr>
        <w:t xml:space="preserve"> ، ج 4 ، ص 360 ، ضمن الحديث الطويل 5762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84 ، باب الثلاثة ، ضمن ح 12 ، بسند آخر عن جعفر بن محمّد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نفس الباب ، ضمن ح 11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D64ADA" w:rsidRPr="00D64ADA">
        <w:rPr>
          <w:rStyle w:val="libFootnoteBoldChar"/>
          <w:rtl/>
        </w:rPr>
        <w:t>المحاسن</w:t>
      </w:r>
      <w:r w:rsidR="00992664" w:rsidRPr="00020424">
        <w:rPr>
          <w:rtl/>
        </w:rPr>
        <w:t xml:space="preserve"> ، ص 4 ، كتاب الأشكال والقرائن ، ذيل ح 2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83 ، باب الثلاثة ، ضمن ح 10 ؛ </w:t>
      </w:r>
      <w:r w:rsidR="00992664" w:rsidRPr="00216E45">
        <w:rPr>
          <w:rStyle w:val="libFootnoteBoldChar"/>
          <w:rtl/>
        </w:rPr>
        <w:t>ومعاني الأخبار</w:t>
      </w:r>
      <w:r w:rsidR="00992664" w:rsidRPr="00020424">
        <w:rPr>
          <w:rtl/>
        </w:rPr>
        <w:t xml:space="preserve"> ، ص 314 ، ضمن ح 1 ، بسند آخر عن أبي جعفر </w:t>
      </w:r>
      <w:r w:rsidR="00992664" w:rsidRPr="00D64ADA">
        <w:rPr>
          <w:rStyle w:val="libFootnoteAlaemChar"/>
          <w:rtl/>
        </w:rPr>
        <w:t>عليه‌السلام</w:t>
      </w:r>
      <w:r w:rsidR="00992664" w:rsidRPr="00020424">
        <w:rPr>
          <w:rtl/>
        </w:rPr>
        <w:t xml:space="preserve"> </w:t>
      </w:r>
      <w:r w:rsidR="00B64A18">
        <w:rPr>
          <w:rFonts w:hint="cs"/>
          <w:rtl/>
        </w:rPr>
        <w:t>.</w:t>
      </w:r>
      <w:r w:rsidR="00992664" w:rsidRPr="0012008A">
        <w:rPr>
          <w:rStyle w:val="libFootnoteBoldChar"/>
          <w:rtl/>
        </w:rPr>
        <w:t>الوافي</w:t>
      </w:r>
      <w:r w:rsidR="00992664" w:rsidRPr="00020424">
        <w:rPr>
          <w:rtl/>
        </w:rPr>
        <w:t xml:space="preserve"> ، ج 10 ، ص 496 ، ح 9967 ؛ </w:t>
      </w:r>
      <w:r w:rsidR="00992664" w:rsidRPr="0012008A">
        <w:rPr>
          <w:rStyle w:val="libFootnoteBoldChar"/>
          <w:rtl/>
        </w:rPr>
        <w:t>الوسائل</w:t>
      </w:r>
      <w:r w:rsidR="00992664" w:rsidRPr="00020424">
        <w:rPr>
          <w:rtl/>
        </w:rPr>
        <w:t xml:space="preserve"> ، ج 21 ، ص 552 ، ح 27845.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بح ، بر ، بس ، بف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أبي</w:t>
      </w:r>
      <w:r w:rsidR="00992664">
        <w:rPr>
          <w:rtl/>
        </w:rPr>
        <w:t xml:space="preserve"> ».</w:t>
      </w:r>
      <w:r w:rsidR="00992664" w:rsidRPr="00020424">
        <w:rPr>
          <w:rtl/>
        </w:rPr>
        <w:t xml:space="preserve"> والمذكور في </w:t>
      </w:r>
      <w:r w:rsidR="00992664" w:rsidRPr="00DE76B9">
        <w:rPr>
          <w:rStyle w:val="libFootnoteBoldChar"/>
          <w:rtl/>
        </w:rPr>
        <w:t>رجال البرقي</w:t>
      </w:r>
      <w:r w:rsidR="00992664" w:rsidRPr="00020424">
        <w:rPr>
          <w:rtl/>
        </w:rPr>
        <w:t xml:space="preserve"> ، ص 39 ، هو مدرك بن الهزهاز ، وفي </w:t>
      </w:r>
      <w:r w:rsidR="00992664" w:rsidRPr="00DE76B9">
        <w:rPr>
          <w:rStyle w:val="libFootnoteBoldChar"/>
          <w:rtl/>
        </w:rPr>
        <w:t>رجال الطوسي</w:t>
      </w:r>
      <w:r w:rsidR="00992664" w:rsidRPr="00020424">
        <w:rPr>
          <w:rtl/>
        </w:rPr>
        <w:t xml:space="preserve"> ، ص 310 ، الرقم 4593 ، هو مدرك بن أبي الهزهاز.</w:t>
      </w:r>
    </w:p>
    <w:p w:rsidR="00992664" w:rsidRPr="00020424" w:rsidRDefault="00795177" w:rsidP="00B64A18">
      <w:pPr>
        <w:pStyle w:val="libFootnote0"/>
        <w:rPr>
          <w:rtl/>
          <w:lang w:bidi="fa-IR"/>
        </w:rPr>
      </w:pPr>
      <w:r>
        <w:rPr>
          <w:rtl/>
        </w:rPr>
        <w:t>(7).</w:t>
      </w:r>
      <w:r w:rsidR="0014403D">
        <w:rPr>
          <w:rtl/>
        </w:rPr>
        <w:t xml:space="preserve"> </w:t>
      </w:r>
      <w:r w:rsidR="00992664" w:rsidRPr="00A722B1">
        <w:rPr>
          <w:rStyle w:val="libFootnoteBoldChar"/>
          <w:rtl/>
        </w:rPr>
        <w:t>الخصال</w:t>
      </w:r>
      <w:r w:rsidR="00992664" w:rsidRPr="00020424">
        <w:rPr>
          <w:rtl/>
        </w:rPr>
        <w:t xml:space="preserve"> ، ص 9 ، باب الواحد ، ح 32 ، بسند آخر. </w:t>
      </w:r>
      <w:r w:rsidR="00992664" w:rsidRPr="0012008A">
        <w:rPr>
          <w:rStyle w:val="libFootnoteBoldChar"/>
          <w:rtl/>
        </w:rPr>
        <w:t>الفقيه</w:t>
      </w:r>
      <w:r w:rsidR="00992664" w:rsidRPr="00020424">
        <w:rPr>
          <w:rtl/>
        </w:rPr>
        <w:t xml:space="preserve"> ، ج 2 ، ص 64 ، ح 1721 ، مرسلاً. </w:t>
      </w:r>
      <w:r w:rsidR="00992664" w:rsidRPr="00DE76B9">
        <w:rPr>
          <w:rStyle w:val="libFootnoteBoldChar"/>
          <w:rtl/>
        </w:rPr>
        <w:t>وفيه</w:t>
      </w:r>
      <w:r w:rsidR="00992664" w:rsidRPr="00020424">
        <w:rPr>
          <w:rtl/>
        </w:rPr>
        <w:t xml:space="preserve"> ، ج 3 ، ص 167 ، ح 3622 ؛ و</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255 ، مرسلاً عن العالم </w:t>
      </w:r>
      <w:r w:rsidR="00992664" w:rsidRPr="00D64ADA">
        <w:rPr>
          <w:rStyle w:val="libFootnoteAlaemChar"/>
          <w:rtl/>
        </w:rPr>
        <w:t>عليه‌السلام</w:t>
      </w:r>
      <w:r w:rsidR="00992664" w:rsidRPr="00020424">
        <w:rPr>
          <w:rtl/>
        </w:rPr>
        <w:t xml:space="preserve"> </w:t>
      </w:r>
      <w:r w:rsidR="00B64A18">
        <w:rPr>
          <w:rFonts w:hint="cs"/>
          <w:rtl/>
        </w:rPr>
        <w:t>.</w:t>
      </w:r>
      <w:r w:rsidR="00992664" w:rsidRPr="0012008A">
        <w:rPr>
          <w:rStyle w:val="libFootnoteBoldChar"/>
          <w:rtl/>
        </w:rPr>
        <w:t>الوافي</w:t>
      </w:r>
      <w:r w:rsidR="00992664" w:rsidRPr="00020424">
        <w:rPr>
          <w:rtl/>
        </w:rPr>
        <w:t xml:space="preserve"> ، ج 10 ، ص 496 ، ح 9968 ؛ </w:t>
      </w:r>
      <w:r w:rsidR="00992664" w:rsidRPr="0012008A">
        <w:rPr>
          <w:rStyle w:val="libFootnoteBoldChar"/>
          <w:rtl/>
        </w:rPr>
        <w:t>الوسائل</w:t>
      </w:r>
      <w:r w:rsidR="00992664" w:rsidRPr="00020424">
        <w:rPr>
          <w:rtl/>
        </w:rPr>
        <w:t xml:space="preserve"> ، ج 21 ، ص 552 ، ح 27846.</w:t>
      </w:r>
      <w:r w:rsidR="00B64A18">
        <w:rPr>
          <w:rFonts w:hint="cs"/>
          <w:rtl/>
        </w:rPr>
        <w:t xml:space="preserve">   </w:t>
      </w:r>
      <w:r>
        <w:rPr>
          <w:rtl/>
        </w:rPr>
        <w:t>(8).</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زياد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F05E5">
      <w:pPr>
        <w:pStyle w:val="libNormal0"/>
        <w:rPr>
          <w:rtl/>
          <w:lang w:bidi="fa-IR"/>
        </w:rPr>
      </w:pPr>
      <w:r w:rsidRPr="00020424">
        <w:rPr>
          <w:rtl/>
          <w:lang w:bidi="fa-IR"/>
        </w:rPr>
        <w:t xml:space="preserve">ابْنِ مَحْبُوبٍ </w:t>
      </w:r>
      <w:r w:rsidRPr="00A91B96">
        <w:rPr>
          <w:rStyle w:val="libFootnotenumChar"/>
          <w:rtl/>
        </w:rPr>
        <w:t>(1)</w:t>
      </w:r>
      <w:r w:rsidRPr="00020424">
        <w:rPr>
          <w:rtl/>
          <w:lang w:bidi="fa-IR"/>
        </w:rPr>
        <w:t xml:space="preserve"> ، عَنْ يُونُسَ بْنِ يَعْقُوبَ ، عَنْ حَمَّادٍ اللَّحَّامِ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لَوْ أَنَّ رَجُلاً أَنْفَقَ مَا فِي يَدَيْهِ </w:t>
      </w:r>
      <w:r w:rsidRPr="00A91B96">
        <w:rPr>
          <w:rStyle w:val="libFootnotenumChar"/>
          <w:rtl/>
        </w:rPr>
        <w:t>(3)</w:t>
      </w:r>
      <w:r w:rsidRPr="00020424">
        <w:rPr>
          <w:rtl/>
          <w:lang w:bidi="fa-IR"/>
        </w:rPr>
        <w:t xml:space="preserve"> فِي سَبِيلٍ مِنْ سُبُلِ </w:t>
      </w:r>
      <w:r w:rsidRPr="00A91B96">
        <w:rPr>
          <w:rStyle w:val="libFootnotenumChar"/>
          <w:rtl/>
        </w:rPr>
        <w:t>(4)</w:t>
      </w:r>
      <w:r w:rsidRPr="00020424">
        <w:rPr>
          <w:rtl/>
          <w:lang w:bidi="fa-IR"/>
        </w:rPr>
        <w:t xml:space="preserve"> اللهِ ، مَا كَانَ أَحْسَنَ ، وَلَاوُفِّقَ </w:t>
      </w:r>
      <w:r w:rsidRPr="00A91B96">
        <w:rPr>
          <w:rStyle w:val="libFootnotenumChar"/>
          <w:rtl/>
        </w:rPr>
        <w:t>(5)</w:t>
      </w:r>
      <w:r>
        <w:rPr>
          <w:rtl/>
          <w:lang w:bidi="fa-IR"/>
        </w:rPr>
        <w:t xml:space="preserve"> ، أَ</w:t>
      </w:r>
      <w:r w:rsidRPr="00020424">
        <w:rPr>
          <w:rtl/>
          <w:lang w:bidi="fa-IR"/>
        </w:rPr>
        <w:t xml:space="preserve">لَيْسَ يَقُولُ اللهُ </w:t>
      </w:r>
      <w:r w:rsidRPr="00A91B96">
        <w:rPr>
          <w:rStyle w:val="libFootnotenumChar"/>
          <w:rtl/>
        </w:rPr>
        <w:t>(6)</w:t>
      </w:r>
      <w:r w:rsidRPr="00020424">
        <w:rPr>
          <w:rtl/>
          <w:lang w:bidi="fa-IR"/>
        </w:rPr>
        <w:t xml:space="preserve"> تَعَالى : </w:t>
      </w:r>
      <w:r w:rsidRPr="00005A81">
        <w:rPr>
          <w:rStyle w:val="libAlaemChar"/>
          <w:rtl/>
        </w:rPr>
        <w:t>(</w:t>
      </w:r>
      <w:r w:rsidRPr="004E5AB4">
        <w:rPr>
          <w:rStyle w:val="libAieChar"/>
          <w:rtl/>
        </w:rPr>
        <w:t xml:space="preserve"> وَل</w:t>
      </w:r>
      <w:r w:rsidR="00B64A18">
        <w:rPr>
          <w:rStyle w:val="libAieChar"/>
          <w:rFonts w:hint="cs"/>
          <w:rtl/>
        </w:rPr>
        <w:t>َ</w:t>
      </w:r>
      <w:r w:rsidRPr="004E5AB4">
        <w:rPr>
          <w:rStyle w:val="libAieChar"/>
          <w:rtl/>
        </w:rPr>
        <w:t xml:space="preserve">ا تُلْقُوا بِأَيْدِيكُمْ إِلَى التَّهْلُكَةِ وَأَحْسِنُوا إِنَّ اللهَ يُحِبُّ الْمُحْسِنِينَ </w:t>
      </w:r>
      <w:r w:rsidRPr="00005A81">
        <w:rPr>
          <w:rStyle w:val="libAlaemChar"/>
          <w:rtl/>
        </w:rPr>
        <w:t>)</w:t>
      </w:r>
      <w:r w:rsidRPr="00020424">
        <w:rPr>
          <w:rtl/>
          <w:lang w:bidi="fa-IR"/>
        </w:rPr>
        <w:t xml:space="preserve"> </w:t>
      </w:r>
      <w:r w:rsidRPr="00A91B96">
        <w:rPr>
          <w:rStyle w:val="libFootnotenumChar"/>
          <w:rtl/>
        </w:rPr>
        <w:t>(7)</w:t>
      </w:r>
      <w:r w:rsidRPr="00020424">
        <w:rPr>
          <w:rtl/>
          <w:lang w:bidi="fa-IR"/>
        </w:rPr>
        <w:t xml:space="preserve"> يَعْنِي الْمُقْتَصِدِينَ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DC443F">
        <w:rPr>
          <w:rtl/>
        </w:rPr>
        <w:t>6214</w:t>
      </w:r>
      <w:r w:rsidRPr="001155DE">
        <w:rPr>
          <w:rStyle w:val="libBold2Char"/>
          <w:rtl/>
        </w:rPr>
        <w:t xml:space="preserve"> / 8.</w:t>
      </w:r>
      <w:r w:rsidRPr="00020424">
        <w:rPr>
          <w:rtl/>
          <w:lang w:bidi="fa-IR"/>
        </w:rPr>
        <w:t xml:space="preserve"> عِدَّةٌ مِنْ أَصْحَابِنَا ، عَنْ أَحْمَدَ بْنِ مُحَمَّدٍ ، عَنْ مَرْوَكِ بْنِ عُبَيْدٍ ، عَنْ أَبِيهِ عُبَيْدٍ </w:t>
      </w:r>
      <w:r w:rsidRPr="00A91B96">
        <w:rPr>
          <w:rStyle w:val="libFootnotenumChar"/>
          <w:rtl/>
        </w:rPr>
        <w:t>(10)</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يَا عُبَيْدُ ، إِنَّ السَّرَفَ يُورِثُ الْفَقْرَ ، وَإِنَّ الْقَصْدَ يُورِثُ الْغِنى</w:t>
      </w:r>
      <w:r>
        <w:rPr>
          <w:rtl/>
          <w:lang w:bidi="fa-IR"/>
        </w:rPr>
        <w:t xml:space="preserve"> ».</w:t>
      </w:r>
      <w:r w:rsidRPr="00020424">
        <w:rPr>
          <w:rtl/>
          <w:lang w:bidi="fa-IR"/>
        </w:rPr>
        <w:t xml:space="preserve"> </w:t>
      </w:r>
      <w:r w:rsidRPr="00A91B96">
        <w:rPr>
          <w:rStyle w:val="libFootnotenumChar"/>
          <w:rtl/>
        </w:rPr>
        <w:t>(11)</w:t>
      </w:r>
      <w:r w:rsidRPr="00020424">
        <w:rPr>
          <w:rtl/>
          <w:lang w:bidi="fa-IR"/>
        </w:rPr>
        <w:t>‌</w:t>
      </w:r>
    </w:p>
    <w:p w:rsidR="00992664" w:rsidRPr="00020424" w:rsidRDefault="00992664" w:rsidP="00992664">
      <w:pPr>
        <w:pStyle w:val="libNormal"/>
        <w:rPr>
          <w:rtl/>
          <w:lang w:bidi="fa-IR"/>
        </w:rPr>
      </w:pPr>
      <w:r w:rsidRPr="00DC443F">
        <w:rPr>
          <w:rtl/>
        </w:rPr>
        <w:t>6215</w:t>
      </w:r>
      <w:r w:rsidRPr="001155DE">
        <w:rPr>
          <w:rStyle w:val="libBold2Char"/>
          <w:rtl/>
        </w:rPr>
        <w:t xml:space="preserve"> / 9.</w:t>
      </w:r>
      <w:r w:rsidRPr="00020424">
        <w:rPr>
          <w:rtl/>
          <w:lang w:bidi="fa-IR"/>
        </w:rPr>
        <w:t xml:space="preserve"> عَلِيُّ بْنُ مُحَمَّدٍ ، عَنْ أَحْمَدَ بْنِ أَبِي عَبْدِ اللهِ ، عَنْ مُحَمَّدِ بْنِ عَلِيٍّ ، عَنْ مُحَمَّدِ بْنِ الْفُضَيْلِ ، عَنْ مُوسَى بْنِ بَكْرٍ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الحسن بن محبوب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النسخ </w:t>
      </w:r>
      <w:r w:rsidR="00992664" w:rsidRPr="00EB1FD9">
        <w:rPr>
          <w:rStyle w:val="libFootnoteBoldChar"/>
          <w:rtl/>
        </w:rPr>
        <w:t>والوسائل</w:t>
      </w:r>
      <w:r w:rsidR="00992664" w:rsidRPr="00020424">
        <w:rPr>
          <w:rtl/>
        </w:rPr>
        <w:t>. وفي المطبوع : « حمّاد [ بن واقد ] اللحّام</w:t>
      </w:r>
      <w:r w:rsidR="00992664">
        <w:rPr>
          <w:rtl/>
        </w:rPr>
        <w:t xml:space="preserve"> ».</w:t>
      </w:r>
      <w:r w:rsidR="00992664" w:rsidRPr="00020424">
        <w:rPr>
          <w:rtl/>
        </w:rPr>
        <w:t xml:space="preserve"> وحمّاد اللحّام في أصحاب أبي عبد الله </w:t>
      </w:r>
      <w:r w:rsidR="00992664" w:rsidRPr="00D64ADA">
        <w:rPr>
          <w:rStyle w:val="libFootnoteAlaemChar"/>
          <w:rtl/>
        </w:rPr>
        <w:t>عليه‌السلام</w:t>
      </w:r>
      <w:r w:rsidR="00992664" w:rsidRPr="00020424">
        <w:rPr>
          <w:rtl/>
        </w:rPr>
        <w:t xml:space="preserve"> هو حمّاد بن واقد. راجع : </w:t>
      </w:r>
      <w:r w:rsidR="00992664" w:rsidRPr="00DE76B9">
        <w:rPr>
          <w:rStyle w:val="libFootnoteBoldChar"/>
          <w:rtl/>
        </w:rPr>
        <w:t>رجال الطوسي</w:t>
      </w:r>
      <w:r w:rsidR="00992664" w:rsidRPr="00020424">
        <w:rPr>
          <w:rtl/>
        </w:rPr>
        <w:t xml:space="preserve"> ، ص 187 ، الرقم 2286.</w:t>
      </w:r>
    </w:p>
    <w:p w:rsidR="00992664" w:rsidRPr="00020424" w:rsidRDefault="00992664" w:rsidP="00B64A18">
      <w:pPr>
        <w:pStyle w:val="libFootnote0"/>
        <w:rPr>
          <w:rtl/>
          <w:lang w:bidi="fa-IR"/>
        </w:rPr>
      </w:pPr>
      <w:r w:rsidRPr="00D82B22">
        <w:rPr>
          <w:rtl/>
        </w:rPr>
        <w:t>والمظنون قويّاً أنّ « بن واقد » زيادة تفسيريّة ا</w:t>
      </w:r>
      <w:r w:rsidR="00B64A18">
        <w:rPr>
          <w:rFonts w:hint="cs"/>
          <w:rtl/>
        </w:rPr>
        <w:t>ُ</w:t>
      </w:r>
      <w:r w:rsidRPr="00D82B22">
        <w:rPr>
          <w:rtl/>
        </w:rPr>
        <w:t>درجت في المتن سهواً.</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بر ، بف ، بك ، جن » وحاشية « بح » </w:t>
      </w:r>
      <w:r w:rsidR="00992664" w:rsidRPr="00515444">
        <w:rPr>
          <w:rStyle w:val="libFootnoteBoldChar"/>
          <w:rtl/>
        </w:rPr>
        <w:t>والوافي</w:t>
      </w:r>
      <w:r w:rsidR="00992664" w:rsidRPr="00020424">
        <w:rPr>
          <w:rtl/>
        </w:rPr>
        <w:t xml:space="preserve"> : « يده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بخ ، بر ، بس » وحاشية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 « سبيل</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للخير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وتفسير العيّاشي : « الله يقول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البقرة </w:t>
      </w:r>
      <w:r w:rsidR="00B64A18">
        <w:rPr>
          <w:rtl/>
        </w:rPr>
        <w:t>(2)</w:t>
      </w:r>
      <w:r w:rsidR="0014403D">
        <w:rPr>
          <w:rtl/>
        </w:rPr>
        <w:t xml:space="preserve"> </w:t>
      </w:r>
      <w:r w:rsidR="00992664" w:rsidRPr="00020424">
        <w:rPr>
          <w:rtl/>
        </w:rPr>
        <w:t>: 195.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 « المتصدّقين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تفسير العيّاشي</w:t>
      </w:r>
      <w:r w:rsidR="00992664" w:rsidRPr="00020424">
        <w:rPr>
          <w:rtl/>
        </w:rPr>
        <w:t xml:space="preserve"> ، ج 1 ، ص 87 ، ح 217 ، عن حمّاد بن اللحّام. </w:t>
      </w:r>
      <w:r w:rsidR="00992664" w:rsidRPr="00DE76B9">
        <w:rPr>
          <w:rStyle w:val="libFootnoteBoldChar"/>
          <w:rtl/>
        </w:rPr>
        <w:t>فقه القرآن</w:t>
      </w:r>
      <w:r w:rsidR="00992664" w:rsidRPr="00020424">
        <w:rPr>
          <w:rtl/>
        </w:rPr>
        <w:t xml:space="preserve"> ، ج 1 ، ص 336 ، مرسلاً </w:t>
      </w:r>
      <w:r w:rsidR="00B64A18">
        <w:rPr>
          <w:rFonts w:hint="cs"/>
          <w:rtl/>
        </w:rPr>
        <w:t>.</w:t>
      </w:r>
      <w:r w:rsidR="00992664" w:rsidRPr="0012008A">
        <w:rPr>
          <w:rStyle w:val="libFootnoteBoldChar"/>
          <w:rtl/>
        </w:rPr>
        <w:t>الوافي</w:t>
      </w:r>
      <w:r w:rsidR="00992664" w:rsidRPr="00020424">
        <w:rPr>
          <w:rtl/>
        </w:rPr>
        <w:t xml:space="preserve"> ، ج 10 ، ص 497 ، ح 9970 ؛ </w:t>
      </w:r>
      <w:r w:rsidR="00992664" w:rsidRPr="0012008A">
        <w:rPr>
          <w:rStyle w:val="libFootnoteBoldChar"/>
          <w:rtl/>
        </w:rPr>
        <w:t>الوسائل</w:t>
      </w:r>
      <w:r w:rsidR="00992664" w:rsidRPr="00020424">
        <w:rPr>
          <w:rtl/>
        </w:rPr>
        <w:t xml:space="preserve"> ، ج 21 ، ص 552 ، ح 27842.</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والد مروك هو عبيد بن سالم بن أبي حفصة العجلي. ولم نجد رواية مروك عنه في موضع ، كما لم يرد له ذكر في الأسناد. والخبر رواه الصدوق في </w:t>
      </w:r>
      <w:r w:rsidR="00992664" w:rsidRPr="0012008A">
        <w:rPr>
          <w:rStyle w:val="libFootnoteBoldChar"/>
          <w:rtl/>
        </w:rPr>
        <w:t>الفقيه</w:t>
      </w:r>
      <w:r w:rsidR="00992664" w:rsidRPr="00020424">
        <w:rPr>
          <w:rtl/>
        </w:rPr>
        <w:t xml:space="preserve"> بإسناده عن عبيد بن زرارة. وعبيد هذا قد أكثر الرواية عن أبي عبد الله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معجم رجال الحديث</w:t>
      </w:r>
      <w:r w:rsidR="00992664" w:rsidRPr="00020424">
        <w:rPr>
          <w:rtl/>
        </w:rPr>
        <w:t xml:space="preserve"> ، ج 11 ، ص 413</w:t>
      </w:r>
      <w:r w:rsidR="00992664">
        <w:rPr>
          <w:rtl/>
        </w:rPr>
        <w:t xml:space="preserve"> </w:t>
      </w:r>
      <w:r w:rsidR="009B673F">
        <w:rPr>
          <w:rtl/>
        </w:rPr>
        <w:t>-</w:t>
      </w:r>
      <w:r w:rsidR="00992664">
        <w:rPr>
          <w:rtl/>
        </w:rPr>
        <w:t xml:space="preserve"> </w:t>
      </w:r>
      <w:r w:rsidR="00992664" w:rsidRPr="00020424">
        <w:rPr>
          <w:rtl/>
        </w:rPr>
        <w:t>418.</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الفقيه</w:t>
      </w:r>
      <w:r w:rsidR="00992664" w:rsidRPr="00020424">
        <w:rPr>
          <w:rtl/>
        </w:rPr>
        <w:t xml:space="preserve"> ، ج 3 ، ص 174 ، ح 3659 ، معلّقاً عن عبيد بن زرارة ، عن أبي عبدالله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B64A18">
        <w:rPr>
          <w:rFonts w:hint="cs"/>
          <w:rtl/>
        </w:rPr>
        <w:t>.</w:t>
      </w:r>
      <w:r w:rsidR="00992664" w:rsidRPr="0012008A">
        <w:rPr>
          <w:rStyle w:val="libFootnoteBoldChar"/>
          <w:rtl/>
        </w:rPr>
        <w:t>الوافي</w:t>
      </w:r>
      <w:r w:rsidR="00992664" w:rsidRPr="00020424">
        <w:rPr>
          <w:rtl/>
        </w:rPr>
        <w:t xml:space="preserve"> ، ج 10 ، ص 497 ، ح 9971 ؛ </w:t>
      </w:r>
      <w:r w:rsidR="00992664" w:rsidRPr="0012008A">
        <w:rPr>
          <w:rStyle w:val="libFootnoteBoldChar"/>
          <w:rtl/>
        </w:rPr>
        <w:t>الوسائل</w:t>
      </w:r>
      <w:r w:rsidR="00992664" w:rsidRPr="00020424">
        <w:rPr>
          <w:rtl/>
        </w:rPr>
        <w:t xml:space="preserve"> ، ج 21 ، ص 552 ، ح 27848.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أَبُو الْحَسَنِ </w:t>
      </w:r>
      <w:r w:rsidRPr="00005A81">
        <w:rPr>
          <w:rStyle w:val="libAlaemChar"/>
          <w:rtl/>
        </w:rPr>
        <w:t>عليه‌السلام</w:t>
      </w:r>
      <w:r w:rsidRPr="00020424">
        <w:rPr>
          <w:rtl/>
          <w:lang w:bidi="fa-IR"/>
        </w:rPr>
        <w:t xml:space="preserve"> : « مَا عَالَ </w:t>
      </w:r>
      <w:r w:rsidRPr="00A91B96">
        <w:rPr>
          <w:rStyle w:val="libFootnotenumChar"/>
          <w:rtl/>
        </w:rPr>
        <w:t>(1)</w:t>
      </w:r>
      <w:r w:rsidRPr="00020424">
        <w:rPr>
          <w:rtl/>
          <w:lang w:bidi="fa-IR"/>
        </w:rPr>
        <w:t xml:space="preserve"> امْرُؤٌ فِي اقْتِصَادٍ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B64A18" w:rsidRDefault="00992664" w:rsidP="00B64A18">
      <w:pPr>
        <w:pStyle w:val="libNormal"/>
        <w:rPr>
          <w:rtl/>
          <w:lang w:bidi="fa-IR"/>
        </w:rPr>
      </w:pPr>
      <w:r w:rsidRPr="002650D4">
        <w:rPr>
          <w:rtl/>
        </w:rPr>
        <w:t>6216</w:t>
      </w:r>
      <w:r w:rsidRPr="001155DE">
        <w:rPr>
          <w:rStyle w:val="libBold2Char"/>
          <w:rtl/>
        </w:rPr>
        <w:t xml:space="preserve"> / 10.</w:t>
      </w:r>
      <w:r w:rsidRPr="00020424">
        <w:rPr>
          <w:rtl/>
          <w:lang w:bidi="fa-IR"/>
        </w:rPr>
        <w:t xml:space="preserve"> عَلِيُّ بْنُ إِبْرَاهِيمَ ، عَنْ أَبِيهِ ؛</w:t>
      </w:r>
    </w:p>
    <w:p w:rsidR="00992664" w:rsidRPr="00020424" w:rsidRDefault="00B64A18" w:rsidP="00B64A18">
      <w:pPr>
        <w:pStyle w:val="libNormal"/>
        <w:rPr>
          <w:rtl/>
          <w:lang w:bidi="fa-IR"/>
        </w:rPr>
      </w:pPr>
      <w:r>
        <w:rPr>
          <w:rFonts w:hint="cs"/>
          <w:rtl/>
          <w:lang w:bidi="fa-IR"/>
        </w:rPr>
        <w:t xml:space="preserve">                </w:t>
      </w:r>
      <w:r w:rsidR="00992664" w:rsidRPr="00020424">
        <w:rPr>
          <w:rtl/>
          <w:lang w:bidi="fa-IR"/>
        </w:rPr>
        <w:t>وَ</w:t>
      </w:r>
      <w:r w:rsidR="00677354">
        <w:rPr>
          <w:rFonts w:hint="cs"/>
          <w:rtl/>
          <w:lang w:bidi="fa-IR"/>
        </w:rPr>
        <w:t xml:space="preserve"> </w:t>
      </w:r>
      <w:r w:rsidR="00992664" w:rsidRPr="00020424">
        <w:rPr>
          <w:rtl/>
          <w:lang w:bidi="fa-IR"/>
        </w:rPr>
        <w:t xml:space="preserve">عِدَّةٌ مِنْ أَصْحَابِنَا ، عَنْ أَحْمَدَ بْنِ مُحَمَّدٍ جَمِيعاً ، عَنْ عُثْمَانَ بْنِ عِيسى ، عَنْ إِسْحَاقَ بْنِ عَبْدِ الْعَزِيزِ ، عَنْ بَعْضِ أَصْحَابِهِ </w:t>
      </w:r>
      <w:r w:rsidR="00992664" w:rsidRPr="00A91B96">
        <w:rPr>
          <w:rStyle w:val="libFootnotenumChar"/>
          <w:rtl/>
        </w:rPr>
        <w:t>(4)</w:t>
      </w:r>
      <w:r w:rsidR="00992664"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w:t>
      </w:r>
      <w:r w:rsidRPr="00A91B96">
        <w:rPr>
          <w:rStyle w:val="libFootnotenumChar"/>
          <w:rtl/>
        </w:rPr>
        <w:t>(5)</w:t>
      </w:r>
      <w:r w:rsidRPr="00020424">
        <w:rPr>
          <w:rtl/>
          <w:lang w:bidi="fa-IR"/>
        </w:rPr>
        <w:t xml:space="preserve"> قَالَ لَهُ </w:t>
      </w:r>
      <w:r w:rsidRPr="00A91B96">
        <w:rPr>
          <w:rStyle w:val="libFootnotenumChar"/>
          <w:rtl/>
        </w:rPr>
        <w:t>(6)</w:t>
      </w:r>
      <w:r w:rsidRPr="00020424">
        <w:rPr>
          <w:rtl/>
          <w:lang w:bidi="fa-IR"/>
        </w:rPr>
        <w:t xml:space="preserve"> : إِنَّا نَكُونُ فِي طَرِيقِ مَكَّةَ ، فَنُرِيدُ الْإِحْرَامَ ، فَنَطَّلِي </w:t>
      </w:r>
      <w:r w:rsidRPr="00A91B96">
        <w:rPr>
          <w:rStyle w:val="libFootnotenumChar"/>
          <w:rtl/>
        </w:rPr>
        <w:t>(7)</w:t>
      </w:r>
      <w:r w:rsidRPr="00020424">
        <w:rPr>
          <w:rtl/>
          <w:lang w:bidi="fa-IR"/>
        </w:rPr>
        <w:t xml:space="preserve"> وَلَاتَكُونُ </w:t>
      </w:r>
      <w:r w:rsidRPr="00A91B96">
        <w:rPr>
          <w:rStyle w:val="libFootnotenumChar"/>
          <w:rtl/>
        </w:rPr>
        <w:t>(8)</w:t>
      </w:r>
      <w:r w:rsidRPr="00020424">
        <w:rPr>
          <w:rtl/>
          <w:lang w:bidi="fa-IR"/>
        </w:rPr>
        <w:t xml:space="preserve"> مَعَنَا نُخَالَةٌ </w:t>
      </w:r>
      <w:r w:rsidRPr="00A91B96">
        <w:rPr>
          <w:rStyle w:val="libFootnotenumChar"/>
          <w:rtl/>
        </w:rPr>
        <w:t>(9)</w:t>
      </w:r>
      <w:r w:rsidRPr="00020424">
        <w:rPr>
          <w:rtl/>
          <w:lang w:bidi="fa-IR"/>
        </w:rPr>
        <w:t xml:space="preserve"> نَتَدَلَّكُ بِهَا مِنَ النُّورَةِ ، فَنَتَدَلَّكُ بِالدَّقِيقِ ، وَقَدْ دَخَلَنِي مِنْ ذلِكَ مَا اللهُ أَعْلَمُ بِهِ</w:t>
      </w:r>
      <w:r>
        <w:rPr>
          <w:rtl/>
          <w:lang w:bidi="fa-IR"/>
        </w:rPr>
        <w:t>؟ فَقَالَ : « أَ</w:t>
      </w:r>
      <w:r w:rsidRPr="00020424">
        <w:rPr>
          <w:rtl/>
          <w:lang w:bidi="fa-IR"/>
        </w:rPr>
        <w:t xml:space="preserve">مَخَافَةَ </w:t>
      </w:r>
      <w:r w:rsidRPr="00A91B96">
        <w:rPr>
          <w:rStyle w:val="libFootnotenumChar"/>
          <w:rtl/>
        </w:rPr>
        <w:t>(10)</w:t>
      </w:r>
      <w:r w:rsidRPr="00020424">
        <w:rPr>
          <w:rtl/>
          <w:lang w:bidi="fa-IR"/>
        </w:rPr>
        <w:t xml:space="preserve"> الْإِسْرَافِ</w:t>
      </w:r>
      <w:r>
        <w:rPr>
          <w:rtl/>
          <w:lang w:bidi="fa-IR"/>
        </w:rPr>
        <w:t>؟</w:t>
      </w:r>
      <w:r w:rsidRPr="00020424">
        <w:rPr>
          <w:rtl/>
          <w:lang w:bidi="fa-IR"/>
        </w:rPr>
        <w:t xml:space="preserve"> » قُلْتُ : نَعَمْ ، فَقَالَ </w:t>
      </w:r>
      <w:r w:rsidRPr="00A91B96">
        <w:rPr>
          <w:rStyle w:val="libFootnotenumChar"/>
          <w:rtl/>
        </w:rPr>
        <w:t>(11)</w:t>
      </w:r>
      <w:r w:rsidRPr="00020424">
        <w:rPr>
          <w:rtl/>
          <w:lang w:bidi="fa-IR"/>
        </w:rPr>
        <w:t xml:space="preserve"> : « لَيْسَ فِيمَا أَصْلَحَ الْبَدَنَ إِسْرَافٌ ؛ إِنِّي رُبَّمَا أَمَرْتُ بِالنَّقِيِّ </w:t>
      </w:r>
      <w:r w:rsidRPr="00A91B96">
        <w:rPr>
          <w:rStyle w:val="libFootnotenumChar"/>
          <w:rtl/>
        </w:rPr>
        <w:t>(12)</w:t>
      </w:r>
      <w:r w:rsidRPr="00020424">
        <w:rPr>
          <w:rtl/>
          <w:lang w:bidi="fa-IR"/>
        </w:rPr>
        <w:t xml:space="preserve"> ، فَيُلَتُّ </w:t>
      </w:r>
      <w:r w:rsidRPr="00A91B96">
        <w:rPr>
          <w:rStyle w:val="libFootnotenumChar"/>
          <w:rtl/>
        </w:rPr>
        <w:t>(13)</w:t>
      </w:r>
      <w:r w:rsidRPr="00020424">
        <w:rPr>
          <w:rtl/>
          <w:lang w:bidi="fa-IR"/>
        </w:rPr>
        <w:t xml:space="preserve"> بِالزَّيْتِ ، فَأَتَدَلَّكُ بِهِ ، إِنَّمَا الْإِسْرَافُ فِيمَا أَفْسَدَ الْمَالَ ، وَأَضَرَّ بِالْبَدَنِ</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عال » ، أي افتقر. </w:t>
      </w:r>
      <w:r w:rsidR="00992664" w:rsidRPr="0012008A">
        <w:rPr>
          <w:rStyle w:val="libFootnoteBoldChar"/>
          <w:rtl/>
        </w:rPr>
        <w:t>الصحاح</w:t>
      </w:r>
      <w:r w:rsidR="00992664" w:rsidRPr="00020424">
        <w:rPr>
          <w:rtl/>
        </w:rPr>
        <w:t xml:space="preserve"> ، ج 5 ، ص 1779 ( عيل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 الاقتصاد</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64 ، ح 1720 ، مرسلاً عن موسى بن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نهج البلاغة</w:t>
      </w:r>
      <w:r w:rsidR="00992664" w:rsidRPr="00020424">
        <w:rPr>
          <w:rtl/>
        </w:rPr>
        <w:t xml:space="preserve"> ، ص 494 ، ضمن الحكمة 140 ؛ </w:t>
      </w:r>
      <w:r w:rsidR="00992664" w:rsidRPr="00DE76B9">
        <w:rPr>
          <w:rStyle w:val="libFootnoteBoldChar"/>
          <w:rtl/>
        </w:rPr>
        <w:t>تحف العقول</w:t>
      </w:r>
      <w:r w:rsidR="00992664" w:rsidRPr="00020424">
        <w:rPr>
          <w:rtl/>
        </w:rPr>
        <w:t xml:space="preserve"> ، ص 214 ، ضمن الحديث ، عن عليّ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60 ،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الثلاثة الأخيرة مع اختلاف يسير </w:t>
      </w:r>
      <w:r w:rsidR="00770567">
        <w:rPr>
          <w:rFonts w:hint="cs"/>
          <w:rtl/>
        </w:rPr>
        <w:t>.</w:t>
      </w:r>
      <w:r w:rsidR="00992664" w:rsidRPr="0012008A">
        <w:rPr>
          <w:rStyle w:val="libFootnoteBoldChar"/>
          <w:rtl/>
        </w:rPr>
        <w:t>الوافي</w:t>
      </w:r>
      <w:r w:rsidR="00992664" w:rsidRPr="00020424">
        <w:rPr>
          <w:rtl/>
        </w:rPr>
        <w:t xml:space="preserve"> ، ج 10 ، ص 498 ، ح 9974 ؛ </w:t>
      </w:r>
      <w:r w:rsidR="00992664" w:rsidRPr="0012008A">
        <w:rPr>
          <w:rStyle w:val="libFootnoteBoldChar"/>
          <w:rtl/>
        </w:rPr>
        <w:t>الوسائل</w:t>
      </w:r>
      <w:r w:rsidR="00992664" w:rsidRPr="00020424">
        <w:rPr>
          <w:rtl/>
        </w:rPr>
        <w:t xml:space="preserve"> ، ج 21 ، ص 553 ، ح 27851.</w:t>
      </w:r>
    </w:p>
    <w:tbl>
      <w:tblPr>
        <w:tblStyle w:val="TableGrid"/>
        <w:bidiVisual/>
        <w:tblW w:w="0" w:type="auto"/>
        <w:tblLook w:val="04A0" w:firstRow="1" w:lastRow="0" w:firstColumn="1" w:lastColumn="0" w:noHBand="0" w:noVBand="1"/>
      </w:tblPr>
      <w:tblGrid>
        <w:gridCol w:w="4006"/>
        <w:gridCol w:w="4006"/>
      </w:tblGrid>
      <w:tr w:rsidR="00770567" w:rsidTr="00770567">
        <w:tc>
          <w:tcPr>
            <w:tcW w:w="4006" w:type="dxa"/>
          </w:tcPr>
          <w:p w:rsidR="00770567" w:rsidRDefault="00770567" w:rsidP="00992664">
            <w:pPr>
              <w:pStyle w:val="libFootnote0"/>
              <w:rPr>
                <w:rtl/>
              </w:rPr>
            </w:pPr>
            <w:r>
              <w:rPr>
                <w:rtl/>
              </w:rPr>
              <w:t xml:space="preserve">(4). </w:t>
            </w:r>
            <w:r w:rsidRPr="00020424">
              <w:rPr>
                <w:rtl/>
              </w:rPr>
              <w:t xml:space="preserve">في « بث » </w:t>
            </w:r>
            <w:r w:rsidRPr="00EB1FD9">
              <w:rPr>
                <w:rStyle w:val="libFootnoteBoldChar"/>
                <w:rtl/>
              </w:rPr>
              <w:t>والوسائل</w:t>
            </w:r>
            <w:r w:rsidRPr="00020424">
              <w:rPr>
                <w:rtl/>
              </w:rPr>
              <w:t xml:space="preserve"> : « أصحابنا</w:t>
            </w:r>
            <w:r>
              <w:rPr>
                <w:rtl/>
              </w:rPr>
              <w:t xml:space="preserve"> ».</w:t>
            </w:r>
          </w:p>
        </w:tc>
        <w:tc>
          <w:tcPr>
            <w:tcW w:w="4006" w:type="dxa"/>
          </w:tcPr>
          <w:p w:rsidR="00770567" w:rsidRDefault="00770567" w:rsidP="00992664">
            <w:pPr>
              <w:pStyle w:val="libFootnote0"/>
              <w:rPr>
                <w:rtl/>
              </w:rPr>
            </w:pPr>
            <w:r>
              <w:rPr>
                <w:rtl/>
              </w:rPr>
              <w:t xml:space="preserve">(5). </w:t>
            </w:r>
            <w:r w:rsidRPr="00020424">
              <w:rPr>
                <w:rtl/>
              </w:rPr>
              <w:t xml:space="preserve">في « بر ، بك » </w:t>
            </w:r>
            <w:r w:rsidRPr="00515444">
              <w:rPr>
                <w:rStyle w:val="libFootnoteBoldChar"/>
                <w:rtl/>
              </w:rPr>
              <w:t>والوافي</w:t>
            </w:r>
            <w:r w:rsidRPr="00020424">
              <w:rPr>
                <w:rtl/>
              </w:rPr>
              <w:t xml:space="preserve"> :</w:t>
            </w:r>
            <w:r>
              <w:rPr>
                <w:rtl/>
              </w:rPr>
              <w:t xml:space="preserve"> - </w:t>
            </w:r>
            <w:r w:rsidRPr="00020424">
              <w:rPr>
                <w:rtl/>
              </w:rPr>
              <w:t>« أنّه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بخ ، بر ، بس ، بك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يقال : طَلَيْتُ الشيْ‌ءَ بالدهن وغيره طَلْياً ، أي لطخته به ولوّثته به ، وتطلّيت به واطّليت به ، على افتعلت. راجع : </w:t>
      </w:r>
      <w:r w:rsidR="00992664" w:rsidRPr="0012008A">
        <w:rPr>
          <w:rStyle w:val="libFootnoteBoldChar"/>
          <w:rtl/>
        </w:rPr>
        <w:t>الصحاح</w:t>
      </w:r>
      <w:r w:rsidR="00992664" w:rsidRPr="00020424">
        <w:rPr>
          <w:rtl/>
        </w:rPr>
        <w:t xml:space="preserve"> ، ج 6 ، ص 2415 ؛ </w:t>
      </w:r>
      <w:r w:rsidR="00992664" w:rsidRPr="00A722B1">
        <w:rPr>
          <w:rStyle w:val="libFootnoteBoldChar"/>
          <w:rtl/>
        </w:rPr>
        <w:t>لسان العرب</w:t>
      </w:r>
      <w:r w:rsidR="00992664" w:rsidRPr="00020424">
        <w:rPr>
          <w:rtl/>
        </w:rPr>
        <w:t xml:space="preserve"> ، ج 15 ، ص 11 ( طلى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بث ، بح ، بر ، بك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ولا يكون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النُخالة : ما يخرج من الدقيق ونحوه بعد غربلته ، ويقال : نَخَلَ الشي‌ءَ يَنْخُلُه نَخْلاً وتنخّله وانتخله ، أي صفّاه واختاره. راجع : </w:t>
      </w:r>
      <w:r w:rsidR="00992664" w:rsidRPr="0012008A">
        <w:rPr>
          <w:rStyle w:val="libFootnoteBoldChar"/>
          <w:rtl/>
        </w:rPr>
        <w:t>الصحاح</w:t>
      </w:r>
      <w:r w:rsidR="00992664" w:rsidRPr="00020424">
        <w:rPr>
          <w:rtl/>
        </w:rPr>
        <w:t xml:space="preserve"> ، ج 5 ، ص 1827 ؛ </w:t>
      </w:r>
      <w:r w:rsidR="00992664" w:rsidRPr="00A722B1">
        <w:rPr>
          <w:rStyle w:val="libFootnoteBoldChar"/>
          <w:rtl/>
        </w:rPr>
        <w:t>لسان العرب</w:t>
      </w:r>
      <w:r w:rsidR="00992664" w:rsidRPr="00020424">
        <w:rPr>
          <w:rtl/>
        </w:rPr>
        <w:t xml:space="preserve"> ، ج 11 ، ص 651 ( نخل )</w:t>
      </w:r>
      <w:r w:rsidR="00992664">
        <w:rPr>
          <w:rtl/>
        </w:rPr>
        <w:t>.</w:t>
      </w:r>
    </w:p>
    <w:tbl>
      <w:tblPr>
        <w:tblStyle w:val="TableGrid"/>
        <w:bidiVisual/>
        <w:tblW w:w="0" w:type="auto"/>
        <w:tblLook w:val="04A0" w:firstRow="1" w:lastRow="0" w:firstColumn="1" w:lastColumn="0" w:noHBand="0" w:noVBand="1"/>
      </w:tblPr>
      <w:tblGrid>
        <w:gridCol w:w="4006"/>
        <w:gridCol w:w="4006"/>
      </w:tblGrid>
      <w:tr w:rsidR="00770567" w:rsidTr="00770567">
        <w:tc>
          <w:tcPr>
            <w:tcW w:w="4006" w:type="dxa"/>
          </w:tcPr>
          <w:p w:rsidR="00770567" w:rsidRDefault="00770567" w:rsidP="00992664">
            <w:pPr>
              <w:pStyle w:val="libFootnote0"/>
              <w:rPr>
                <w:rtl/>
              </w:rPr>
            </w:pPr>
            <w:r>
              <w:rPr>
                <w:rtl/>
              </w:rPr>
              <w:t xml:space="preserve">(10). </w:t>
            </w:r>
            <w:r w:rsidRPr="00020424">
              <w:rPr>
                <w:rtl/>
              </w:rPr>
              <w:t>في « بر ، بف ، بك » : « أتخاف</w:t>
            </w:r>
            <w:r>
              <w:rPr>
                <w:rtl/>
              </w:rPr>
              <w:t xml:space="preserve"> ».</w:t>
            </w:r>
          </w:p>
        </w:tc>
        <w:tc>
          <w:tcPr>
            <w:tcW w:w="4006" w:type="dxa"/>
          </w:tcPr>
          <w:p w:rsidR="00770567" w:rsidRDefault="00770567" w:rsidP="00992664">
            <w:pPr>
              <w:pStyle w:val="libFootnote0"/>
              <w:rPr>
                <w:rtl/>
              </w:rPr>
            </w:pPr>
            <w:r>
              <w:rPr>
                <w:rtl/>
              </w:rPr>
              <w:t>(11). في «بر،بف،بك</w:t>
            </w:r>
            <w:r w:rsidRPr="00020424">
              <w:rPr>
                <w:rtl/>
              </w:rPr>
              <w:t xml:space="preserve">» </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 xml:space="preserve"> : « قال</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النقيّ بالنون المكسورة والقاف : المخّ ، ويقال : مَرصة النقيّ للخبز الأبيض الذي نخل حنطته مرّةبعد مرّة ، ولعلّ المراد به هاهنا الحنطة المنخولة ناعماً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بح » : « فبلّت</w:t>
      </w:r>
      <w:r w:rsidR="00992664">
        <w:rPr>
          <w:rtl/>
        </w:rPr>
        <w:t xml:space="preserve"> ».</w:t>
      </w:r>
      <w:r w:rsidR="00992664" w:rsidRPr="00020424">
        <w:rPr>
          <w:rtl/>
        </w:rPr>
        <w:t xml:space="preserve"> </w:t>
      </w:r>
      <w:r w:rsidR="00992664">
        <w:rPr>
          <w:rtl/>
        </w:rPr>
        <w:t>و «</w:t>
      </w:r>
      <w:r w:rsidR="00992664" w:rsidRPr="00020424">
        <w:rPr>
          <w:rtl/>
        </w:rPr>
        <w:t xml:space="preserve"> فيُلَتُّ » ، أي يُخْلَط. وقيل : لتّ الرجلُ السويقَ ، من باب قتل : بلّه بشي‌ء من الماء ، وهو أخفّ من البسّ. راجع : </w:t>
      </w:r>
      <w:r w:rsidR="00992664" w:rsidRPr="0012008A">
        <w:rPr>
          <w:rStyle w:val="libFootnoteBoldChar"/>
          <w:rtl/>
        </w:rPr>
        <w:t>النهاية</w:t>
      </w:r>
      <w:r w:rsidR="00992664" w:rsidRPr="00020424">
        <w:rPr>
          <w:rtl/>
        </w:rPr>
        <w:t xml:space="preserve"> ، ج 4 ، ص 230 ؛ </w:t>
      </w:r>
      <w:r w:rsidR="00992664" w:rsidRPr="00A722B1">
        <w:rPr>
          <w:rStyle w:val="libFootnoteBoldChar"/>
          <w:rtl/>
        </w:rPr>
        <w:t>المصباح المنير</w:t>
      </w:r>
      <w:r w:rsidR="00992664" w:rsidRPr="00020424">
        <w:rPr>
          <w:rtl/>
        </w:rPr>
        <w:t xml:space="preserve"> ، ص 549 ( لتت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قُلْتُ : فَمَا الْإِقْتَارُ </w:t>
      </w:r>
      <w:r w:rsidRPr="00A91B96">
        <w:rPr>
          <w:rStyle w:val="libFootnotenumChar"/>
          <w:rtl/>
        </w:rPr>
        <w:t>(1)</w:t>
      </w:r>
      <w:r>
        <w:rPr>
          <w:rtl/>
          <w:lang w:bidi="fa-IR"/>
        </w:rPr>
        <w:t>؟</w:t>
      </w:r>
      <w:r w:rsidRPr="00020424">
        <w:rPr>
          <w:rtl/>
          <w:lang w:bidi="fa-IR"/>
        </w:rPr>
        <w:t xml:space="preserve"> قَالَ </w:t>
      </w:r>
      <w:r w:rsidRPr="00A91B96">
        <w:rPr>
          <w:rStyle w:val="libFootnotenumChar"/>
          <w:rtl/>
        </w:rPr>
        <w:t>(2)</w:t>
      </w:r>
      <w:r w:rsidRPr="00020424">
        <w:rPr>
          <w:rtl/>
          <w:lang w:bidi="fa-IR"/>
        </w:rPr>
        <w:t xml:space="preserve"> : « أَكْلُ الْخُبْزِ وَالْمِلْحِ وَأَنْتَ تَقْدِرُ عَلى غَيْرِهِ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فَمَا </w:t>
      </w:r>
      <w:r w:rsidRPr="00A91B96">
        <w:rPr>
          <w:rStyle w:val="libFootnotenumChar"/>
          <w:rtl/>
        </w:rPr>
        <w:t>(3)</w:t>
      </w:r>
      <w:r w:rsidRPr="00020424">
        <w:rPr>
          <w:rtl/>
          <w:lang w:bidi="fa-IR"/>
        </w:rPr>
        <w:t xml:space="preserve"> الْقَصْدُ</w:t>
      </w:r>
      <w:r>
        <w:rPr>
          <w:rtl/>
          <w:lang w:bidi="fa-IR"/>
        </w:rPr>
        <w:t>؟</w:t>
      </w:r>
      <w:r w:rsidRPr="00020424">
        <w:rPr>
          <w:rtl/>
          <w:lang w:bidi="fa-IR"/>
        </w:rPr>
        <w:t xml:space="preserve"> قَالَ </w:t>
      </w:r>
      <w:r w:rsidRPr="00A91B96">
        <w:rPr>
          <w:rStyle w:val="libFootnotenumChar"/>
          <w:rtl/>
        </w:rPr>
        <w:t>(4)</w:t>
      </w:r>
      <w:r w:rsidRPr="00020424">
        <w:rPr>
          <w:rtl/>
          <w:lang w:bidi="fa-IR"/>
        </w:rPr>
        <w:t xml:space="preserve"> : « الْخُبْزُ وَاللَّحْمُ وَاللَّبَنُ وَالْخَلُّ </w:t>
      </w:r>
      <w:r w:rsidRPr="00A91B96">
        <w:rPr>
          <w:rStyle w:val="libFootnotenumChar"/>
          <w:rtl/>
        </w:rPr>
        <w:t>(5)</w:t>
      </w:r>
      <w:r w:rsidRPr="00020424">
        <w:rPr>
          <w:rtl/>
          <w:lang w:bidi="fa-IR"/>
        </w:rPr>
        <w:t xml:space="preserve"> وَالسَّمْنُ ، مَرَّةً هذَا ، وَمَرَّةً هذَا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5454D">
        <w:rPr>
          <w:rtl/>
        </w:rPr>
        <w:t>6217</w:t>
      </w:r>
      <w:r w:rsidRPr="001155DE">
        <w:rPr>
          <w:rStyle w:val="libBold2Char"/>
          <w:rtl/>
        </w:rPr>
        <w:t xml:space="preserve"> / 11.</w:t>
      </w:r>
      <w:r w:rsidRPr="00020424">
        <w:rPr>
          <w:rtl/>
          <w:lang w:bidi="fa-IR"/>
        </w:rPr>
        <w:t xml:space="preserve"> عِدَّةٌ مِنْ أَصْحَابِنَا ، عَنْ أَحْمَدَ بْنِ مُحَمَّدٍ ، عَنْ مَرْوَكِ بْنِ عُبَيْدٍ ، عَنْ رِفَاعَةَ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جَادَ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عَلَيْكُمْ </w:t>
      </w:r>
      <w:r w:rsidRPr="00A91B96">
        <w:rPr>
          <w:rStyle w:val="libFootnotenumChar"/>
          <w:rtl/>
        </w:rPr>
        <w:t>(7)</w:t>
      </w:r>
      <w:r w:rsidRPr="00020424">
        <w:rPr>
          <w:rtl/>
          <w:lang w:bidi="fa-IR"/>
        </w:rPr>
        <w:t xml:space="preserve"> فَجُودُوا ، وَإِذَا أَمْسَكَ عَنْكُمْ فَأَمْسِكُوا ، وَلَاتُجَاوِدُوا </w:t>
      </w:r>
      <w:r w:rsidRPr="00A91B96">
        <w:rPr>
          <w:rStyle w:val="libFootnotenumChar"/>
          <w:rtl/>
        </w:rPr>
        <w:t>(8)</w:t>
      </w:r>
      <w:r w:rsidRPr="00020424">
        <w:rPr>
          <w:rtl/>
          <w:lang w:bidi="fa-IR"/>
        </w:rPr>
        <w:t xml:space="preserve"> اللهَ فَهُوَ الْأَجْوَدُ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05454D">
        <w:rPr>
          <w:rtl/>
        </w:rPr>
        <w:t>6218</w:t>
      </w:r>
      <w:r w:rsidRPr="001155DE">
        <w:rPr>
          <w:rStyle w:val="libBold2Char"/>
          <w:rtl/>
        </w:rPr>
        <w:t xml:space="preserve"> / 12.</w:t>
      </w:r>
      <w:r w:rsidRPr="00020424">
        <w:rPr>
          <w:rtl/>
          <w:lang w:bidi="fa-IR"/>
        </w:rPr>
        <w:t xml:space="preserve"> أَحْمَدُ بْنُ عَبْدِ اللهِ ، عَنْ أَحْمَدَ بْنِ أَبِي عَبْدِ اللهِ ، عَنْ مُحَمَّدِ بْنِ عَلِيٍّ </w:t>
      </w:r>
      <w:r w:rsidRPr="00A91B96">
        <w:rPr>
          <w:rStyle w:val="libFootnotenumChar"/>
          <w:rtl/>
        </w:rPr>
        <w:t>(11)</w:t>
      </w:r>
      <w:r w:rsidRPr="00020424">
        <w:rPr>
          <w:rtl/>
          <w:lang w:bidi="fa-IR"/>
        </w:rPr>
        <w:t xml:space="preserve"> ، عَنِ ابْنِ سِنَانٍ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الإقتار » : التضييق على الإنسان في الرزق ؛ يقال : أقتر الله رزقه ، أي ضيّقه وقلّله ، وكذا القَتْر والتقتير. راجع : </w:t>
      </w:r>
      <w:r w:rsidR="00992664" w:rsidRPr="0012008A">
        <w:rPr>
          <w:rStyle w:val="libFootnoteBoldChar"/>
          <w:rtl/>
        </w:rPr>
        <w:t>الصحاح</w:t>
      </w:r>
      <w:r w:rsidR="00992664" w:rsidRPr="00020424">
        <w:rPr>
          <w:rtl/>
        </w:rPr>
        <w:t xml:space="preserve"> ، ج 2 ، ص 786 ؛ </w:t>
      </w:r>
      <w:r w:rsidR="00992664" w:rsidRPr="0012008A">
        <w:rPr>
          <w:rStyle w:val="libFootnoteBoldChar"/>
          <w:rtl/>
        </w:rPr>
        <w:t>النهاية</w:t>
      </w:r>
      <w:r w:rsidR="00992664" w:rsidRPr="00020424">
        <w:rPr>
          <w:rtl/>
        </w:rPr>
        <w:t xml:space="preserve"> ، ج 4 ، ص 12 ( قتر )</w:t>
      </w:r>
      <w:r w:rsidR="00992664">
        <w:rPr>
          <w:rtl/>
        </w:rPr>
        <w:t>.</w:t>
      </w:r>
    </w:p>
    <w:tbl>
      <w:tblPr>
        <w:tblStyle w:val="TableGrid"/>
        <w:bidiVisual/>
        <w:tblW w:w="0" w:type="auto"/>
        <w:tblLook w:val="04A0" w:firstRow="1" w:lastRow="0" w:firstColumn="1" w:lastColumn="0" w:noHBand="0" w:noVBand="1"/>
      </w:tblPr>
      <w:tblGrid>
        <w:gridCol w:w="4006"/>
        <w:gridCol w:w="4006"/>
      </w:tblGrid>
      <w:tr w:rsidR="004D5605" w:rsidTr="004D5605">
        <w:tc>
          <w:tcPr>
            <w:tcW w:w="4006" w:type="dxa"/>
          </w:tcPr>
          <w:p w:rsidR="004D5605" w:rsidRDefault="004D5605" w:rsidP="00992664">
            <w:pPr>
              <w:pStyle w:val="libFootnote0"/>
              <w:rPr>
                <w:rtl/>
              </w:rPr>
            </w:pPr>
            <w:r>
              <w:rPr>
                <w:rtl/>
              </w:rPr>
              <w:t xml:space="preserve">(2). </w:t>
            </w:r>
            <w:r w:rsidRPr="00020424">
              <w:rPr>
                <w:rtl/>
              </w:rPr>
              <w:t xml:space="preserve">في « بخ ، بر ، بف ، بك » </w:t>
            </w:r>
            <w:r w:rsidRPr="00515444">
              <w:rPr>
                <w:rStyle w:val="libFootnoteBoldChar"/>
                <w:rtl/>
              </w:rPr>
              <w:t>والوافي</w:t>
            </w:r>
            <w:r w:rsidRPr="00020424">
              <w:rPr>
                <w:rtl/>
              </w:rPr>
              <w:t xml:space="preserve"> : « فقال</w:t>
            </w:r>
            <w:r>
              <w:rPr>
                <w:rtl/>
              </w:rPr>
              <w:t xml:space="preserve"> ».</w:t>
            </w:r>
          </w:p>
        </w:tc>
        <w:tc>
          <w:tcPr>
            <w:tcW w:w="4006" w:type="dxa"/>
          </w:tcPr>
          <w:p w:rsidR="004D5605" w:rsidRDefault="004D5605" w:rsidP="00992664">
            <w:pPr>
              <w:pStyle w:val="libFootnote0"/>
              <w:rPr>
                <w:rtl/>
              </w:rPr>
            </w:pPr>
            <w:r>
              <w:rPr>
                <w:rtl/>
              </w:rPr>
              <w:t xml:space="preserve">(3). </w:t>
            </w:r>
            <w:r w:rsidRPr="00020424">
              <w:rPr>
                <w:rtl/>
              </w:rPr>
              <w:t>في « ى ، بس » : « وما</w:t>
            </w:r>
            <w:r>
              <w:rPr>
                <w:rtl/>
              </w:rPr>
              <w:t xml:space="preserve"> ».</w:t>
            </w:r>
          </w:p>
        </w:tc>
      </w:tr>
      <w:tr w:rsidR="004D5605" w:rsidTr="004D5605">
        <w:tc>
          <w:tcPr>
            <w:tcW w:w="4006" w:type="dxa"/>
          </w:tcPr>
          <w:p w:rsidR="004D5605" w:rsidRDefault="004D5605" w:rsidP="00992664">
            <w:pPr>
              <w:pStyle w:val="libFootnote0"/>
              <w:rPr>
                <w:rtl/>
              </w:rPr>
            </w:pPr>
            <w:r>
              <w:rPr>
                <w:rtl/>
              </w:rPr>
              <w:t xml:space="preserve">(4). </w:t>
            </w:r>
            <w:r w:rsidRPr="00020424">
              <w:rPr>
                <w:rtl/>
              </w:rPr>
              <w:t>في « جن » وحاشية « بح » : + « أكل</w:t>
            </w:r>
            <w:r>
              <w:rPr>
                <w:rtl/>
              </w:rPr>
              <w:t xml:space="preserve"> ».</w:t>
            </w:r>
          </w:p>
        </w:tc>
        <w:tc>
          <w:tcPr>
            <w:tcW w:w="4006" w:type="dxa"/>
          </w:tcPr>
          <w:p w:rsidR="004D5605" w:rsidRDefault="004D5605" w:rsidP="00992664">
            <w:pPr>
              <w:pStyle w:val="libFootnote0"/>
              <w:rPr>
                <w:rtl/>
              </w:rPr>
            </w:pPr>
            <w:r>
              <w:rPr>
                <w:rtl/>
              </w:rPr>
              <w:t>(5). في «بخ،بر،بف،بك</w:t>
            </w:r>
            <w:r w:rsidRPr="00020424">
              <w:rPr>
                <w:rtl/>
              </w:rPr>
              <w:t xml:space="preserve">» </w:t>
            </w:r>
            <w:r w:rsidRPr="00515444">
              <w:rPr>
                <w:rStyle w:val="libFootnoteBoldChar"/>
                <w:rtl/>
              </w:rPr>
              <w:t>والوافي</w:t>
            </w:r>
            <w:r w:rsidRPr="00020424">
              <w:rPr>
                <w:rtl/>
              </w:rPr>
              <w:t xml:space="preserve"> : « والخلّ واللبن</w:t>
            </w:r>
            <w:r>
              <w:rPr>
                <w:rtl/>
              </w:rPr>
              <w:t xml:space="preserve"> ».</w:t>
            </w:r>
          </w:p>
        </w:tc>
      </w:tr>
    </w:tbl>
    <w:p w:rsidR="00992664" w:rsidRPr="00020424" w:rsidRDefault="00795177" w:rsidP="00792B31">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الزيّ والتجمّل ، باب الحمّام ، ح 12777 ، عن عدّة من أصحابنا ، عن أحمد بن محمّد بن خالد ، عن عثمان بن عيسى ، عن إسحاق بن عبدالعزيز ، عن أبي عبدالله </w:t>
      </w:r>
      <w:r w:rsidR="00992664" w:rsidRPr="00D64ADA">
        <w:rPr>
          <w:rStyle w:val="libFootnoteAlaemChar"/>
          <w:rtl/>
        </w:rPr>
        <w:t>عليه‌السلام</w:t>
      </w:r>
      <w:r w:rsidR="00992664" w:rsidRPr="00020424">
        <w:rPr>
          <w:rtl/>
        </w:rPr>
        <w:t xml:space="preserve"> ، مع اختلاف. </w:t>
      </w:r>
      <w:r w:rsidR="00992664" w:rsidRPr="0012008A">
        <w:rPr>
          <w:rStyle w:val="libFootnoteBoldChar"/>
          <w:rtl/>
        </w:rPr>
        <w:t>التهذيب</w:t>
      </w:r>
      <w:r w:rsidR="00992664" w:rsidRPr="00020424">
        <w:rPr>
          <w:rtl/>
        </w:rPr>
        <w:t xml:space="preserve"> ، ج 1 ، ص 376 ، ح 1160 ، بسنده عن أبي عبدالله البرقي ، عن عثمان بن عيسى ، عن إسحاق بن عبدالعزيز ، عن رجل ذكره ، عن أبي عبدالله </w:t>
      </w:r>
      <w:r w:rsidR="00992664" w:rsidRPr="00D64ADA">
        <w:rPr>
          <w:rStyle w:val="libFootnoteAlaemChar"/>
          <w:rtl/>
        </w:rPr>
        <w:t>عليه‌السلام</w:t>
      </w:r>
      <w:r w:rsidR="00992664" w:rsidRPr="00020424">
        <w:rPr>
          <w:rtl/>
        </w:rPr>
        <w:t xml:space="preserve"> ، مع اختلاف يسير. وفي </w:t>
      </w:r>
      <w:r w:rsidR="00992664" w:rsidRPr="00DE76B9">
        <w:rPr>
          <w:rStyle w:val="libFootnoteBoldChar"/>
          <w:rtl/>
        </w:rPr>
        <w:t>الكافي</w:t>
      </w:r>
      <w:r w:rsidR="00992664" w:rsidRPr="00020424">
        <w:rPr>
          <w:rtl/>
        </w:rPr>
        <w:t xml:space="preserve"> ، نفس الكتاب ، باب الحمام ، ح 12779 ؛ و</w:t>
      </w:r>
      <w:r w:rsidR="00D64ADA" w:rsidRPr="00D64ADA">
        <w:rPr>
          <w:rStyle w:val="libFootnoteBoldChar"/>
          <w:rtl/>
        </w:rPr>
        <w:t>المحاسن</w:t>
      </w:r>
      <w:r w:rsidR="00992664" w:rsidRPr="00DE76B9">
        <w:rPr>
          <w:rStyle w:val="libFootnoteBoldChar"/>
          <w:rtl/>
        </w:rPr>
        <w:t xml:space="preserve"> </w:t>
      </w:r>
      <w:r w:rsidR="00992664" w:rsidRPr="00020424">
        <w:rPr>
          <w:rtl/>
        </w:rPr>
        <w:t xml:space="preserve">، ص 312 ، كتاب العلل ، ح 28 ، بسند آخر مع اختلاف. وفي </w:t>
      </w:r>
      <w:r w:rsidR="00992664" w:rsidRPr="0012008A">
        <w:rPr>
          <w:rStyle w:val="libFootnoteBoldChar"/>
          <w:rtl/>
        </w:rPr>
        <w:t>الفقيه</w:t>
      </w:r>
      <w:r w:rsidR="00992664" w:rsidRPr="00020424">
        <w:rPr>
          <w:rtl/>
        </w:rPr>
        <w:t xml:space="preserve"> ، ج 1 ، ص 71 ، ذيل ح 165 ؛ وص 121 ، ذيل ح 268 ، مع اختلاف ، وفي كلّ المصادر إلى قوله : « أفسد المال وأضرّ بالبدن » </w:t>
      </w:r>
      <w:r w:rsidR="00792B31">
        <w:rPr>
          <w:rFonts w:hint="cs"/>
          <w:rtl/>
        </w:rPr>
        <w:t>.</w:t>
      </w:r>
      <w:r w:rsidR="00992664" w:rsidRPr="0012008A">
        <w:rPr>
          <w:rStyle w:val="libFootnoteBoldChar"/>
          <w:rtl/>
        </w:rPr>
        <w:t>الوافي</w:t>
      </w:r>
      <w:r w:rsidR="00792B31">
        <w:rPr>
          <w:rtl/>
        </w:rPr>
        <w:t xml:space="preserve"> ،ج 10 ،ص 499،ح 9979</w:t>
      </w:r>
      <w:r w:rsidR="00992664" w:rsidRPr="00020424">
        <w:rPr>
          <w:rtl/>
        </w:rPr>
        <w:t>؛</w:t>
      </w:r>
      <w:r w:rsidR="00992664" w:rsidRPr="0012008A">
        <w:rPr>
          <w:rStyle w:val="libFootnoteBoldChar"/>
          <w:rtl/>
        </w:rPr>
        <w:t>الوسائل</w:t>
      </w:r>
      <w:r w:rsidR="00792B31">
        <w:rPr>
          <w:rtl/>
        </w:rPr>
        <w:t>،ج 21</w:t>
      </w:r>
      <w:r w:rsidR="00992664" w:rsidRPr="00020424">
        <w:rPr>
          <w:rtl/>
        </w:rPr>
        <w:t>، ص 555 ، ح 27857.</w:t>
      </w: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عليكم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لا تتكلّفوا الجود على الله ؛ فإنّه أعلم بكم وبما يصلحكم ، فمنعه عنكم جود منه فوق جودكم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بر ، بف » </w:t>
      </w:r>
      <w:r w:rsidR="00992664" w:rsidRPr="00EB1FD9">
        <w:rPr>
          <w:rStyle w:val="libFootnoteBoldChar"/>
          <w:rtl/>
        </w:rPr>
        <w:t>والوسائل</w:t>
      </w:r>
      <w:r w:rsidR="00992664" w:rsidRPr="00020424">
        <w:rPr>
          <w:rtl/>
        </w:rPr>
        <w:t xml:space="preserve"> : « أجود</w:t>
      </w:r>
      <w:r w:rsidR="00992664">
        <w:rPr>
          <w:rtl/>
        </w:rPr>
        <w:t xml:space="preserve"> ».</w:t>
      </w:r>
      <w:r w:rsidR="00992664" w:rsidRPr="00020424">
        <w:rPr>
          <w:rtl/>
        </w:rPr>
        <w:t xml:space="preserve"> وفي « بخ » وحاشية « بث » : « جواد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10 ، ص 499 ، ح 9978 ؛ </w:t>
      </w:r>
      <w:r w:rsidR="00992664" w:rsidRPr="0012008A">
        <w:rPr>
          <w:rStyle w:val="libFootnoteBoldChar"/>
          <w:rtl/>
        </w:rPr>
        <w:t>الوسائل</w:t>
      </w:r>
      <w:r w:rsidR="00992664" w:rsidRPr="00020424">
        <w:rPr>
          <w:rtl/>
        </w:rPr>
        <w:t xml:space="preserve"> ، ج 21 ، ص 553 ، ح 27849.</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هكذا في النسخ. وفي المطبوع : + « [ الصيرفي ]</w:t>
      </w:r>
      <w:r w:rsidR="00992664">
        <w:rPr>
          <w:rtl/>
        </w:rPr>
        <w:t xml:space="preserve"> ».</w:t>
      </w:r>
      <w:r w:rsidR="00992664" w:rsidRPr="00020424">
        <w:rPr>
          <w:rtl/>
        </w:rPr>
        <w:t xml:space="preserve"> ومحمّد بن عليّ هذا ، هو محمّد بن عليّ أبو سمينةالصيرفي. راجع : </w:t>
      </w:r>
      <w:r w:rsidR="00992664" w:rsidRPr="00DE76B9">
        <w:rPr>
          <w:rStyle w:val="libFootnoteBoldChar"/>
          <w:rtl/>
        </w:rPr>
        <w:t>رجال النجاشي</w:t>
      </w:r>
      <w:r w:rsidR="00992664" w:rsidRPr="00020424">
        <w:rPr>
          <w:rtl/>
        </w:rPr>
        <w:t xml:space="preserve"> ، ص 332 ، الرقم 894 ؛ </w:t>
      </w:r>
      <w:r w:rsidR="00992664" w:rsidRPr="00D530ED">
        <w:rPr>
          <w:rStyle w:val="libFootnoteBoldChar"/>
          <w:rtl/>
        </w:rPr>
        <w:t>الفهرست للطوسي</w:t>
      </w:r>
      <w:r w:rsidR="00992664" w:rsidRPr="00020424">
        <w:rPr>
          <w:rtl/>
        </w:rPr>
        <w:t xml:space="preserve"> ، ص 412 ، الرقم 625.</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ابن سنان الراوي عن أبي عبد الله </w:t>
      </w:r>
      <w:r w:rsidR="00992664" w:rsidRPr="00D64ADA">
        <w:rPr>
          <w:rStyle w:val="libFootnoteAlaemChar"/>
          <w:rtl/>
        </w:rPr>
        <w:t>عليه‌السلام</w:t>
      </w:r>
      <w:r w:rsidR="00992664" w:rsidRPr="00020424">
        <w:rPr>
          <w:rtl/>
        </w:rPr>
        <w:t xml:space="preserve"> منصرف إلى عبد الله بن سنان ، ورواية محمّد بن عليّ عنه غير </w:t>
      </w:r>
      <w:r w:rsidR="00792B3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اقْتَصَدَ فِي مَعِيشَتِهِ رَزَقَهُ اللهُ ، وَمَنْ بَذَّرَ </w:t>
      </w:r>
      <w:r w:rsidRPr="00A91B96">
        <w:rPr>
          <w:rStyle w:val="libFootnotenumChar"/>
          <w:rtl/>
        </w:rPr>
        <w:t>(1)</w:t>
      </w:r>
      <w:r w:rsidRPr="00020424">
        <w:rPr>
          <w:rtl/>
          <w:lang w:bidi="fa-IR"/>
        </w:rPr>
        <w:t xml:space="preserve"> حَرَمَهُ اللهُ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5454D">
        <w:rPr>
          <w:rtl/>
        </w:rPr>
        <w:t>6219</w:t>
      </w:r>
      <w:r w:rsidRPr="001155DE">
        <w:rPr>
          <w:rStyle w:val="libBold2Char"/>
          <w:rtl/>
        </w:rPr>
        <w:t xml:space="preserve"> / 13.</w:t>
      </w:r>
      <w:r w:rsidRPr="00020424">
        <w:rPr>
          <w:rtl/>
          <w:lang w:bidi="fa-IR"/>
        </w:rPr>
        <w:t xml:space="preserve"> عِدَّةٌ مِنْ أَصْحَابِنَا ، عَنْ سَهْلِ بْنِ زِيَادٍ ، عَنْ عَلِيِّ بْنِ حَسَّانَ ، عَنْ مُوسَى بْنِ بَكْرٍ ، قَالَ :</w:t>
      </w:r>
    </w:p>
    <w:p w:rsidR="00992664" w:rsidRPr="00020424" w:rsidRDefault="00992664" w:rsidP="00992664">
      <w:pPr>
        <w:pStyle w:val="libNormal"/>
        <w:rPr>
          <w:rtl/>
          <w:lang w:bidi="fa-IR"/>
        </w:rPr>
      </w:pPr>
      <w:r w:rsidRPr="00020424">
        <w:rPr>
          <w:rtl/>
          <w:lang w:bidi="fa-IR"/>
        </w:rPr>
        <w:t xml:space="preserve">سَمِعْتُ أَبَا الْحَسَنِ مُوسى </w:t>
      </w:r>
      <w:r w:rsidRPr="00005A81">
        <w:rPr>
          <w:rStyle w:val="libAlaemChar"/>
          <w:rtl/>
        </w:rPr>
        <w:t>عليه‌السلام</w:t>
      </w:r>
      <w:r w:rsidRPr="00020424">
        <w:rPr>
          <w:rtl/>
          <w:lang w:bidi="fa-IR"/>
        </w:rPr>
        <w:t xml:space="preserve"> يَقُولُ : « الرِّفْقُ </w:t>
      </w:r>
      <w:r w:rsidRPr="00A91B96">
        <w:rPr>
          <w:rStyle w:val="libFootnotenumChar"/>
          <w:rtl/>
        </w:rPr>
        <w:t>(3)</w:t>
      </w:r>
      <w:r w:rsidRPr="00020424">
        <w:rPr>
          <w:rtl/>
          <w:lang w:bidi="fa-IR"/>
        </w:rPr>
        <w:t xml:space="preserve"> نِصْفُ الْعَيْشِ ، وَمَا عَالَ </w:t>
      </w:r>
      <w:r w:rsidRPr="00A91B96">
        <w:rPr>
          <w:rStyle w:val="libFootnotenumChar"/>
          <w:rtl/>
        </w:rPr>
        <w:t>(4)</w:t>
      </w:r>
      <w:r w:rsidRPr="00020424">
        <w:rPr>
          <w:rtl/>
          <w:lang w:bidi="fa-IR"/>
        </w:rPr>
        <w:t xml:space="preserve"> امْرُؤٌ فِي اقْتِصَادٍ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2B31" w:rsidP="00992664">
      <w:pPr>
        <w:pStyle w:val="libFootnote0"/>
        <w:rPr>
          <w:rtl/>
          <w:lang w:bidi="fa-IR"/>
        </w:rPr>
      </w:pPr>
      <w:r>
        <w:rPr>
          <w:rFonts w:hint="cs"/>
          <w:rtl/>
        </w:rPr>
        <w:t xml:space="preserve">= </w:t>
      </w:r>
      <w:r w:rsidR="00992664" w:rsidRPr="00020424">
        <w:rPr>
          <w:rtl/>
        </w:rPr>
        <w:t xml:space="preserve">معهودة ، بل يروي محمّد بن عليّ عن عبد الله بن سنان في بعض الأسناد بواسطتين. راجع : </w:t>
      </w:r>
      <w:r w:rsidR="00992664" w:rsidRPr="00DE76B9">
        <w:rPr>
          <w:rStyle w:val="libFootnoteBoldChar"/>
          <w:rtl/>
        </w:rPr>
        <w:t>الكافي</w:t>
      </w:r>
      <w:r w:rsidR="00992664" w:rsidRPr="00020424">
        <w:rPr>
          <w:rtl/>
        </w:rPr>
        <w:t xml:space="preserve"> ، ح 9340.</w:t>
      </w:r>
    </w:p>
    <w:p w:rsidR="00992664" w:rsidRPr="00020424" w:rsidRDefault="00992664" w:rsidP="00792B31">
      <w:pPr>
        <w:pStyle w:val="libFootnote0"/>
        <w:rPr>
          <w:rtl/>
          <w:lang w:bidi="fa-IR"/>
        </w:rPr>
      </w:pPr>
      <w:r w:rsidRPr="00792B31">
        <w:rPr>
          <w:rtl/>
        </w:rPr>
        <w:t xml:space="preserve">وأمّا ما ورد في </w:t>
      </w:r>
      <w:r w:rsidRPr="00DE76B9">
        <w:rPr>
          <w:rStyle w:val="libFootnoteBoldChar"/>
          <w:rtl/>
        </w:rPr>
        <w:t>الكافي</w:t>
      </w:r>
      <w:r w:rsidRPr="00792B31">
        <w:rPr>
          <w:rtl/>
        </w:rPr>
        <w:t xml:space="preserve"> ، ح 12027 من رواية عليّ بن محمّد بن بندار ، عن أبيه ، عن محمّد بن عليّ الهمداني </w:t>
      </w:r>
      <w:r w:rsidR="009B673F" w:rsidRPr="00792B31">
        <w:rPr>
          <w:rtl/>
        </w:rPr>
        <w:t>-</w:t>
      </w:r>
      <w:r w:rsidRPr="00792B31">
        <w:rPr>
          <w:rtl/>
        </w:rPr>
        <w:t xml:space="preserve"> وهو متّحد مع محمّد بن عليّ في ما نحن فيه </w:t>
      </w:r>
      <w:r w:rsidR="009B673F" w:rsidRPr="00792B31">
        <w:rPr>
          <w:rtl/>
        </w:rPr>
        <w:t>-</w:t>
      </w:r>
      <w:r w:rsidRPr="00792B31">
        <w:rPr>
          <w:rtl/>
        </w:rPr>
        <w:t xml:space="preserve"> عن عبد الله بن سنان ، فسنده مشتمل على عدّة جهات غريبة نتكلّم عنها في موضعه.</w:t>
      </w:r>
    </w:p>
    <w:p w:rsidR="00992664" w:rsidRDefault="00992664" w:rsidP="00792B31">
      <w:pPr>
        <w:pStyle w:val="libFootnote0"/>
        <w:rPr>
          <w:rtl/>
        </w:rPr>
      </w:pPr>
      <w:r w:rsidRPr="00D82B22">
        <w:rPr>
          <w:rtl/>
        </w:rPr>
        <w:t>فعليه ، الظاهر وقوع خلل في سندنا هذا من سقط أو إرسالٍ.</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تبذير المال : تفريقه إسرافاً وفي غير القصد. راجع : </w:t>
      </w:r>
      <w:r w:rsidR="00992664" w:rsidRPr="0012008A">
        <w:rPr>
          <w:rStyle w:val="libFootnoteBoldChar"/>
          <w:rtl/>
        </w:rPr>
        <w:t>الصحاح</w:t>
      </w:r>
      <w:r w:rsidR="00992664" w:rsidRPr="00020424">
        <w:rPr>
          <w:rtl/>
        </w:rPr>
        <w:t xml:space="preserve"> ، ج 2 ، ص 587 ( بذر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التواضع ، ضمن ح 1865 ؛ </w:t>
      </w:r>
      <w:r w:rsidR="00992664" w:rsidRPr="007C1D2B">
        <w:rPr>
          <w:rStyle w:val="libFootnoteBoldChar"/>
          <w:rtl/>
        </w:rPr>
        <w:t>والزهد</w:t>
      </w:r>
      <w:r w:rsidR="00992664" w:rsidRPr="00DE76B9">
        <w:rPr>
          <w:rStyle w:val="libFootnoteBoldChar"/>
          <w:rtl/>
        </w:rPr>
        <w:t xml:space="preserve"> </w:t>
      </w:r>
      <w:r w:rsidR="00992664" w:rsidRPr="00020424">
        <w:rPr>
          <w:rtl/>
        </w:rPr>
        <w:t xml:space="preserve">، ص 124 ، ضمن ح 151 ، بسند آخر. </w:t>
      </w:r>
      <w:r w:rsidR="00992664" w:rsidRPr="00DE76B9">
        <w:rPr>
          <w:rStyle w:val="libFootnoteBoldChar"/>
          <w:rtl/>
        </w:rPr>
        <w:t>تحف العقول</w:t>
      </w:r>
      <w:r w:rsidR="00992664" w:rsidRPr="00020424">
        <w:rPr>
          <w:rtl/>
        </w:rPr>
        <w:t xml:space="preserve"> ، ص 46 ، ضمن الحديث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ص 221 ، ضمن الحديث ، عن عليّ </w:t>
      </w:r>
      <w:r w:rsidR="00992664" w:rsidRPr="00D64ADA">
        <w:rPr>
          <w:rStyle w:val="libFootnoteAlaemChar"/>
          <w:rtl/>
        </w:rPr>
        <w:t>عليه‌السلام</w:t>
      </w:r>
      <w:r w:rsidR="00992664" w:rsidRPr="00020424">
        <w:rPr>
          <w:rtl/>
        </w:rPr>
        <w:t xml:space="preserve"> ، مع اختلاف يسير </w:t>
      </w:r>
      <w:r w:rsidR="00792B31">
        <w:rPr>
          <w:rFonts w:hint="cs"/>
          <w:rtl/>
        </w:rPr>
        <w:t>.</w:t>
      </w:r>
      <w:r w:rsidR="00992664" w:rsidRPr="0012008A">
        <w:rPr>
          <w:rStyle w:val="libFootnoteBoldChar"/>
          <w:rtl/>
        </w:rPr>
        <w:t>الوافي</w:t>
      </w:r>
      <w:r w:rsidR="00992664" w:rsidRPr="00020424">
        <w:rPr>
          <w:rtl/>
        </w:rPr>
        <w:t xml:space="preserve"> ، ج 10 ، ص 497 ، ح 9972 ؛ </w:t>
      </w:r>
      <w:r w:rsidR="00992664" w:rsidRPr="0012008A">
        <w:rPr>
          <w:rStyle w:val="libFootnoteBoldChar"/>
          <w:rtl/>
        </w:rPr>
        <w:t>الوسائل</w:t>
      </w:r>
      <w:r w:rsidR="00992664" w:rsidRPr="00020424">
        <w:rPr>
          <w:rtl/>
        </w:rPr>
        <w:t xml:space="preserve"> ، ج 21 ، ص 553 ، ح 27852.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A83B0E">
        <w:rPr>
          <w:rStyle w:val="libFootnoteBoldChar"/>
          <w:rtl/>
        </w:rPr>
        <w:t>وتحف العقول</w:t>
      </w:r>
      <w:r w:rsidR="00992664" w:rsidRPr="00020424">
        <w:rPr>
          <w:rtl/>
        </w:rPr>
        <w:t xml:space="preserve"> ، ص 110 و221 وخصائص الأئمّة </w:t>
      </w:r>
      <w:r w:rsidR="00992664" w:rsidRPr="00FD6221">
        <w:rPr>
          <w:rStyle w:val="libFootnoteBoldChar"/>
          <w:rtl/>
        </w:rPr>
        <w:t>والخصال</w:t>
      </w:r>
      <w:r w:rsidR="00992664" w:rsidRPr="00020424">
        <w:rPr>
          <w:rtl/>
        </w:rPr>
        <w:t xml:space="preserve"> : « التقدير</w:t>
      </w:r>
      <w:r w:rsidR="00992664">
        <w:rPr>
          <w:rtl/>
        </w:rPr>
        <w:t xml:space="preserve"> ».</w:t>
      </w:r>
      <w:r w:rsidR="00992664" w:rsidRPr="00020424">
        <w:rPr>
          <w:rtl/>
        </w:rPr>
        <w:t xml:space="preserve"> وفي تحف العقول ، ص 403 : « التدبير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ما عال » أي ما افتقر. </w:t>
      </w:r>
      <w:r w:rsidR="00992664" w:rsidRPr="0012008A">
        <w:rPr>
          <w:rStyle w:val="libFootnoteBoldChar"/>
          <w:rtl/>
        </w:rPr>
        <w:t>الصحاح</w:t>
      </w:r>
      <w:r w:rsidR="00992664" w:rsidRPr="00020424">
        <w:rPr>
          <w:rtl/>
        </w:rPr>
        <w:t xml:space="preserve"> ، ج 5 ، ص 1779 ( عيل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ظ ، ى ، بث ، بح ، بخ ، بس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والجعفريّات. وفي « بر ، بف » : « في الاقتصاد</w:t>
      </w:r>
      <w:r w:rsidR="00992664">
        <w:rPr>
          <w:rtl/>
        </w:rPr>
        <w:t xml:space="preserve"> ».</w:t>
      </w:r>
      <w:r w:rsidR="00992664" w:rsidRPr="00020424">
        <w:rPr>
          <w:rtl/>
        </w:rPr>
        <w:t xml:space="preserve"> وفي تحف العقول وخصائص الأئمّة </w:t>
      </w:r>
      <w:r w:rsidR="00992664" w:rsidRPr="00D64ADA">
        <w:rPr>
          <w:rStyle w:val="libFootnoteAlaemChar"/>
          <w:rtl/>
        </w:rPr>
        <w:t>عليهم‌السلام</w:t>
      </w:r>
      <w:r w:rsidR="00992664" w:rsidRPr="00020424">
        <w:rPr>
          <w:rtl/>
        </w:rPr>
        <w:t xml:space="preserve"> : « اقتصد » بدل « في اقتصاد</w:t>
      </w:r>
      <w:r w:rsidR="00992664">
        <w:rPr>
          <w:rtl/>
        </w:rPr>
        <w:t xml:space="preserve"> ».</w:t>
      </w:r>
      <w:r w:rsidR="00992664" w:rsidRPr="00020424">
        <w:rPr>
          <w:rtl/>
        </w:rPr>
        <w:t xml:space="preserve"> وفي قليل من النسخ والمطبوع : « في اقتصاده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الرفق ، ح 1857. </w:t>
      </w:r>
      <w:r w:rsidR="00992664" w:rsidRPr="00DE76B9">
        <w:rPr>
          <w:rStyle w:val="libFootnoteBoldChar"/>
          <w:rtl/>
        </w:rPr>
        <w:t>وفيه</w:t>
      </w:r>
      <w:r w:rsidR="00992664" w:rsidRPr="00020424">
        <w:rPr>
          <w:rtl/>
        </w:rPr>
        <w:t xml:space="preserve"> ، باب المداراة ، ضمن ح 1845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وتمام الرواية فيهما : « الرفق [ في ح 1845 : + « بهم » ] نصف العيش</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4 ، ص 416 ، ضمن ح 5904 ، بسند آخر عن الصادق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الجعفريّات</w:t>
      </w:r>
      <w:r w:rsidR="00992664" w:rsidRPr="00020424">
        <w:rPr>
          <w:rtl/>
        </w:rPr>
        <w:t xml:space="preserve"> ، ص 149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w:t>
      </w:r>
      <w:r w:rsidR="00992664" w:rsidRPr="00A722B1">
        <w:rPr>
          <w:rStyle w:val="libFootnoteBoldChar"/>
          <w:rtl/>
        </w:rPr>
        <w:t>الخصال</w:t>
      </w:r>
      <w:r w:rsidR="00992664" w:rsidRPr="00020424">
        <w:rPr>
          <w:rtl/>
        </w:rPr>
        <w:t xml:space="preserve"> ، ص 620 ، أبواب الثمانين ومافوقه ، ضمن الحديث الطويل 10 ، بسند آخر عن أبي عبدالله ، عن آبائه عن عليّ </w:t>
      </w:r>
      <w:r w:rsidR="00992664" w:rsidRPr="00D64ADA">
        <w:rPr>
          <w:rStyle w:val="libFootnoteAlaemChar"/>
          <w:rtl/>
        </w:rPr>
        <w:t>عليهم‌السلام</w:t>
      </w:r>
      <w:r w:rsidR="00992664" w:rsidRPr="00020424">
        <w:rPr>
          <w:rtl/>
        </w:rPr>
        <w:t xml:space="preserve">. </w:t>
      </w:r>
      <w:r w:rsidR="00992664" w:rsidRPr="00DE76B9">
        <w:rPr>
          <w:rStyle w:val="libFootnoteBoldChar"/>
          <w:rtl/>
        </w:rPr>
        <w:t>تحف العقول</w:t>
      </w:r>
      <w:r w:rsidR="00992664" w:rsidRPr="00020424">
        <w:rPr>
          <w:rtl/>
        </w:rPr>
        <w:t xml:space="preserve"> ، ص 42 و56 ،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792B3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277" w:name="_Toc345172809"/>
      <w:bookmarkStart w:id="278" w:name="_Toc464562625"/>
      <w:bookmarkStart w:id="279" w:name="_Toc44599928"/>
      <w:r w:rsidRPr="00020424">
        <w:rPr>
          <w:rtl/>
          <w:lang w:bidi="fa-IR"/>
        </w:rPr>
        <w:t>87</w:t>
      </w:r>
      <w:r>
        <w:rPr>
          <w:rtl/>
          <w:lang w:bidi="fa-IR"/>
        </w:rPr>
        <w:t xml:space="preserve"> </w:t>
      </w:r>
      <w:r w:rsidR="009B673F">
        <w:rPr>
          <w:rtl/>
          <w:lang w:bidi="fa-IR"/>
        </w:rPr>
        <w:t>-</w:t>
      </w:r>
      <w:r>
        <w:rPr>
          <w:rtl/>
          <w:lang w:bidi="fa-IR"/>
        </w:rPr>
        <w:t xml:space="preserve"> </w:t>
      </w:r>
      <w:r w:rsidRPr="00020424">
        <w:rPr>
          <w:rtl/>
          <w:lang w:bidi="fa-IR"/>
        </w:rPr>
        <w:t>بَابُ كَرَاهِيَةِ السَّرَفِ وَالتَّقْتِيرِ‌</w:t>
      </w:r>
      <w:bookmarkEnd w:id="277"/>
      <w:bookmarkEnd w:id="278"/>
      <w:bookmarkEnd w:id="279"/>
    </w:p>
    <w:p w:rsidR="00992664" w:rsidRPr="00020424" w:rsidRDefault="00992664" w:rsidP="00992664">
      <w:pPr>
        <w:pStyle w:val="libNormal"/>
        <w:rPr>
          <w:rtl/>
          <w:lang w:bidi="fa-IR"/>
        </w:rPr>
      </w:pPr>
      <w:r w:rsidRPr="0005454D">
        <w:rPr>
          <w:rtl/>
        </w:rPr>
        <w:t>6220</w:t>
      </w:r>
      <w:r w:rsidRPr="001155DE">
        <w:rPr>
          <w:rStyle w:val="libBold2Char"/>
          <w:rtl/>
        </w:rPr>
        <w:t xml:space="preserve"> / 1.</w:t>
      </w:r>
      <w:r w:rsidRPr="00020424">
        <w:rPr>
          <w:rtl/>
          <w:lang w:bidi="fa-IR"/>
        </w:rPr>
        <w:t xml:space="preserve"> عِدَّةٌ مِنْ أَصْحَابِنَا ، عَنْ أَحْمَدَ بْنِ أَبِي عَبْدِ اللهِ ، عَنْ أَبِيهِ ، عَنِ الْقَاسِمِ بْنِ مُحَمَّدٍ الْجَوْهَرِيِّ ، عَنْ جَمِيلِ بْنِ صَالِحٍ ، عَنْ عَبْدِ الْمَلِكِ بْنِ عَمْرٍو الْأَحْوَلِ ، قَالَ :</w:t>
      </w:r>
    </w:p>
    <w:p w:rsidR="00992664" w:rsidRPr="00020424" w:rsidRDefault="00992664" w:rsidP="00992664">
      <w:pPr>
        <w:pStyle w:val="libNormal"/>
        <w:rPr>
          <w:rtl/>
          <w:lang w:bidi="fa-IR"/>
        </w:rPr>
      </w:pPr>
      <w:r w:rsidRPr="00020424">
        <w:rPr>
          <w:rtl/>
          <w:lang w:bidi="fa-IR"/>
        </w:rPr>
        <w:t xml:space="preserve">تَلَا أَبُو عَبْدِ اللهِ </w:t>
      </w:r>
      <w:r w:rsidRPr="00005A81">
        <w:rPr>
          <w:rStyle w:val="libAlaemChar"/>
          <w:rtl/>
        </w:rPr>
        <w:t>عليه‌السلام</w:t>
      </w:r>
      <w:r w:rsidRPr="00020424">
        <w:rPr>
          <w:rtl/>
          <w:lang w:bidi="fa-IR"/>
        </w:rPr>
        <w:t xml:space="preserve"> هذِهِ الْآيَةَ : </w:t>
      </w:r>
      <w:r w:rsidRPr="00005A81">
        <w:rPr>
          <w:rStyle w:val="libAlaemChar"/>
          <w:rtl/>
        </w:rPr>
        <w:t>(</w:t>
      </w:r>
      <w:r w:rsidRPr="004E5AB4">
        <w:rPr>
          <w:rStyle w:val="libAieChar"/>
          <w:rtl/>
        </w:rPr>
        <w:t xml:space="preserve"> وَالَّذِينَ إِذا أَنْفَقُوا لَمْ يُسْرِفُوا وَلَمْ يَقْتُرُوا وَكانَ بَيْنَ ذلِكَ قَواماً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قَالَ : فَأَخَذَ </w:t>
      </w:r>
      <w:r w:rsidRPr="00A91B96">
        <w:rPr>
          <w:rStyle w:val="libFootnotenumChar"/>
          <w:rtl/>
        </w:rPr>
        <w:t>(2)</w:t>
      </w:r>
      <w:r w:rsidRPr="00020424">
        <w:rPr>
          <w:rtl/>
          <w:lang w:bidi="fa-IR"/>
        </w:rPr>
        <w:t xml:space="preserve"> قَبْضَةً مِنْ حَصًى ، وَقَبَضَهَا بِيَدِهِ ، فَقَالَ : « هذَا الْإِقْتَارُ </w:t>
      </w:r>
      <w:r w:rsidRPr="00A91B96">
        <w:rPr>
          <w:rStyle w:val="libFootnotenumChar"/>
          <w:rtl/>
        </w:rPr>
        <w:t>(3)</w:t>
      </w:r>
      <w:r w:rsidRPr="00020424">
        <w:rPr>
          <w:rtl/>
          <w:lang w:bidi="fa-IR"/>
        </w:rPr>
        <w:t xml:space="preserve"> الَّذِي ذَكَرَهُ اللهُ فِي كِتَابِهِ » ثُمَّ قَبَضَ </w:t>
      </w:r>
      <w:r w:rsidRPr="00A91B96">
        <w:rPr>
          <w:rStyle w:val="libFootnotenumChar"/>
          <w:rtl/>
        </w:rPr>
        <w:t>(4)</w:t>
      </w:r>
      <w:r w:rsidRPr="00020424">
        <w:rPr>
          <w:rtl/>
          <w:lang w:bidi="fa-IR"/>
        </w:rPr>
        <w:t xml:space="preserve"> قَبْضَةً أُخْرى ، فَأَرْخى </w:t>
      </w:r>
      <w:r w:rsidRPr="00A91B96">
        <w:rPr>
          <w:rStyle w:val="libFootnotenumChar"/>
          <w:rtl/>
        </w:rPr>
        <w:t>(5)</w:t>
      </w:r>
      <w:r w:rsidRPr="00020424">
        <w:rPr>
          <w:rtl/>
          <w:lang w:bidi="fa-IR"/>
        </w:rPr>
        <w:t xml:space="preserve"> كَفَّهُ كُلَّهَا </w:t>
      </w:r>
      <w:r w:rsidRPr="00A91B96">
        <w:rPr>
          <w:rStyle w:val="libFootnotenumChar"/>
          <w:rtl/>
        </w:rPr>
        <w:t>(6)</w:t>
      </w:r>
      <w:r w:rsidRPr="00020424">
        <w:rPr>
          <w:rtl/>
          <w:lang w:bidi="fa-IR"/>
        </w:rPr>
        <w:t xml:space="preserve"> ، ثُمَّ قَالَ </w:t>
      </w:r>
      <w:r w:rsidRPr="00A91B96">
        <w:rPr>
          <w:rStyle w:val="libFootnotenumChar"/>
          <w:rtl/>
        </w:rPr>
        <w:t>(7)</w:t>
      </w:r>
      <w:r w:rsidRPr="00020424">
        <w:rPr>
          <w:rtl/>
          <w:lang w:bidi="fa-IR"/>
        </w:rPr>
        <w:t xml:space="preserve"> : « هذَا الْإِسْرَافُ » ثُمَّ أَخَذَ </w:t>
      </w:r>
      <w:r w:rsidRPr="00A91B96">
        <w:rPr>
          <w:rStyle w:val="libFootnotenumChar"/>
          <w:rtl/>
        </w:rPr>
        <w:t>(8)</w:t>
      </w:r>
      <w:r w:rsidRPr="00020424">
        <w:rPr>
          <w:rtl/>
          <w:lang w:bidi="fa-IR"/>
        </w:rPr>
        <w:t xml:space="preserve"> قَبْضَةً أُخْرى ، فَأَرْخى </w:t>
      </w:r>
      <w:r w:rsidRPr="00A91B96">
        <w:rPr>
          <w:rStyle w:val="libFootnotenumChar"/>
          <w:rtl/>
        </w:rPr>
        <w:t>(9)</w:t>
      </w:r>
      <w:r w:rsidRPr="00020424">
        <w:rPr>
          <w:rtl/>
          <w:lang w:bidi="fa-IR"/>
        </w:rPr>
        <w:t xml:space="preserve"> بَعْضَهَا ، وَأَمْسَكَ بَعْضَهَا </w:t>
      </w:r>
      <w:r w:rsidRPr="00A91B96">
        <w:rPr>
          <w:rStyle w:val="libFootnotenumChar"/>
          <w:rtl/>
        </w:rPr>
        <w:t>(10)</w:t>
      </w:r>
      <w:r w:rsidRPr="00020424">
        <w:rPr>
          <w:rtl/>
          <w:lang w:bidi="fa-IR"/>
        </w:rPr>
        <w:t xml:space="preserve"> ، وَقَالَ : « هذَا الْقَوَامُ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942BB7" w:rsidP="00992664">
      <w:pPr>
        <w:pStyle w:val="libFootnote0"/>
        <w:rPr>
          <w:rtl/>
          <w:lang w:bidi="fa-IR"/>
        </w:rPr>
      </w:pPr>
      <w:r>
        <w:rPr>
          <w:rFonts w:hint="cs"/>
          <w:rtl/>
        </w:rPr>
        <w:t xml:space="preserve">= </w:t>
      </w:r>
      <w:r w:rsidR="00992664" w:rsidRPr="00020424">
        <w:rPr>
          <w:rtl/>
        </w:rPr>
        <w:t xml:space="preserve">وتمام الرواية : « الرفق [ ص 42 : + « بهم » ] نصف العيش » مع زيادة في أوّله. </w:t>
      </w:r>
      <w:r w:rsidR="00992664" w:rsidRPr="00DE76B9">
        <w:rPr>
          <w:rStyle w:val="libFootnoteBoldChar"/>
          <w:rtl/>
        </w:rPr>
        <w:t>وفيه</w:t>
      </w:r>
      <w:r w:rsidR="00992664" w:rsidRPr="00020424">
        <w:rPr>
          <w:rtl/>
        </w:rPr>
        <w:t xml:space="preserve"> ، ص 110 و221 ، عن عليّ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403 ، عن موسى بن جعفر </w:t>
      </w:r>
      <w:r w:rsidR="00992664" w:rsidRPr="00D64ADA">
        <w:rPr>
          <w:rStyle w:val="libFootnoteAlaemChar"/>
          <w:rtl/>
        </w:rPr>
        <w:t>عليه‌السلام</w:t>
      </w:r>
      <w:r w:rsidR="00992664" w:rsidRPr="00020424">
        <w:rPr>
          <w:rtl/>
        </w:rPr>
        <w:t xml:space="preserve"> ، وفي الثلاثة الأخيرة مع اختلاف يسير.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104 ، مرسلاً عن عليّ </w:t>
      </w:r>
      <w:r w:rsidR="00992664" w:rsidRPr="00D64ADA">
        <w:rPr>
          <w:rStyle w:val="libFootnoteAlaemChar"/>
          <w:rtl/>
        </w:rPr>
        <w:t>عليه‌السلام</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10 ، ص 498 ، ح 9973 ؛ </w:t>
      </w:r>
      <w:r w:rsidR="00992664" w:rsidRPr="0012008A">
        <w:rPr>
          <w:rStyle w:val="libFootnoteBoldChar"/>
          <w:rtl/>
        </w:rPr>
        <w:t>الوسائل</w:t>
      </w:r>
      <w:r w:rsidR="00992664" w:rsidRPr="00020424">
        <w:rPr>
          <w:rtl/>
        </w:rPr>
        <w:t xml:space="preserve"> ، ج 21 ، ص 553 ، ح 27850 ؛ </w:t>
      </w:r>
      <w:r w:rsidR="00992664" w:rsidRPr="00DE76B9">
        <w:rPr>
          <w:rStyle w:val="libFootnoteBoldChar"/>
          <w:rtl/>
        </w:rPr>
        <w:t>وفيه</w:t>
      </w:r>
      <w:r w:rsidR="00992664" w:rsidRPr="00020424">
        <w:rPr>
          <w:rtl/>
        </w:rPr>
        <w:t xml:space="preserve"> ، ج 15 ، ص 270 ، ح 20483 ، إلى قوله : « نصف العيش » ؛ </w:t>
      </w:r>
      <w:r w:rsidR="00992664" w:rsidRPr="0012008A">
        <w:rPr>
          <w:rStyle w:val="libFootnoteBoldChar"/>
          <w:rtl/>
        </w:rPr>
        <w:t>البحار</w:t>
      </w:r>
      <w:r w:rsidR="00992664" w:rsidRPr="00020424">
        <w:rPr>
          <w:rtl/>
        </w:rPr>
        <w:t xml:space="preserve"> ، ج 75 ، ص 62 ، ح 30 ، إلى قوله : « نصف العيش</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الفرقان (25) : 67.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بخ ، بر ، بف ، بك » : « وأخذ</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الإقتار » : التضييق على الإنسان في الرزق ؛ يقال : أقتر الله رزقه ، ضيّقه وقلّله ، وكذا القَتْر والتقتير. راجع : </w:t>
      </w:r>
      <w:r w:rsidR="00992664" w:rsidRPr="0012008A">
        <w:rPr>
          <w:rStyle w:val="libFootnoteBoldChar"/>
          <w:rtl/>
        </w:rPr>
        <w:t>الصحاح</w:t>
      </w:r>
      <w:r w:rsidR="00992664" w:rsidRPr="00020424">
        <w:rPr>
          <w:rtl/>
        </w:rPr>
        <w:t xml:space="preserve"> ، ج 2 ، ص 786 ؛ </w:t>
      </w:r>
      <w:r w:rsidR="00992664" w:rsidRPr="0012008A">
        <w:rPr>
          <w:rStyle w:val="libFootnoteBoldChar"/>
          <w:rtl/>
        </w:rPr>
        <w:t>النهاية</w:t>
      </w:r>
      <w:r w:rsidR="00992664" w:rsidRPr="00020424">
        <w:rPr>
          <w:rtl/>
        </w:rPr>
        <w:t xml:space="preserve"> ، ج 4 ، ص 12 ( قتر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ثمّ أخذ</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بح » </w:t>
      </w:r>
      <w:r w:rsidR="00992664" w:rsidRPr="00EB1FD9">
        <w:rPr>
          <w:rStyle w:val="libFootnoteBoldChar"/>
          <w:rtl/>
        </w:rPr>
        <w:t>والوسائل</w:t>
      </w:r>
      <w:r w:rsidR="00992664" w:rsidRPr="00020424">
        <w:rPr>
          <w:rtl/>
        </w:rPr>
        <w:t xml:space="preserve"> : « وأرخى</w:t>
      </w:r>
      <w:r w:rsidR="00992664">
        <w:rPr>
          <w:rtl/>
        </w:rPr>
        <w:t xml:space="preserve"> ».</w:t>
      </w:r>
      <w:r w:rsidR="00992664" w:rsidRPr="00020424">
        <w:rPr>
          <w:rtl/>
        </w:rPr>
        <w:t xml:space="preserve"> وفي « بر ، بف ، بك » : « فأجرى</w:t>
      </w:r>
      <w:r w:rsidR="00992664">
        <w:rPr>
          <w:rtl/>
        </w:rPr>
        <w:t xml:space="preserve"> ».</w:t>
      </w:r>
      <w:r w:rsidR="00992664" w:rsidRPr="00020424">
        <w:rPr>
          <w:rtl/>
        </w:rPr>
        <w:t xml:space="preserve"> والإرخاء : الإسدال والإرسال ؛ يقال : أرخيتُ الستر وغيره ، إذا أرسلته وأسدلته. راجع : </w:t>
      </w:r>
      <w:r w:rsidR="00992664" w:rsidRPr="0012008A">
        <w:rPr>
          <w:rStyle w:val="libFootnoteBoldChar"/>
          <w:rtl/>
        </w:rPr>
        <w:t>الصحاح</w:t>
      </w:r>
      <w:r w:rsidR="00992664" w:rsidRPr="00020424">
        <w:rPr>
          <w:rtl/>
        </w:rPr>
        <w:t xml:space="preserve"> ، ج 6 ، ص 2354 ؛ </w:t>
      </w:r>
      <w:r w:rsidR="00992664" w:rsidRPr="00A722B1">
        <w:rPr>
          <w:rStyle w:val="libFootnoteBoldChar"/>
          <w:rtl/>
        </w:rPr>
        <w:t>القاموس المحيط</w:t>
      </w:r>
      <w:r w:rsidR="00992664" w:rsidRPr="00020424">
        <w:rPr>
          <w:rtl/>
        </w:rPr>
        <w:t xml:space="preserve"> ، ج 2 ، ص 1689 ( رخا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بح ، بخ ، بر ، بف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كلّها</w:t>
      </w:r>
      <w:r w:rsidR="00992664">
        <w:rPr>
          <w:rtl/>
        </w:rPr>
        <w:t xml:space="preserve"> ».</w:t>
      </w:r>
    </w:p>
    <w:tbl>
      <w:tblPr>
        <w:tblStyle w:val="TableGrid"/>
        <w:bidiVisual/>
        <w:tblW w:w="0" w:type="auto"/>
        <w:tblLook w:val="04A0" w:firstRow="1" w:lastRow="0" w:firstColumn="1" w:lastColumn="0" w:noHBand="0" w:noVBand="1"/>
      </w:tblPr>
      <w:tblGrid>
        <w:gridCol w:w="3854"/>
        <w:gridCol w:w="4158"/>
      </w:tblGrid>
      <w:tr w:rsidR="00441040" w:rsidTr="00441040">
        <w:tc>
          <w:tcPr>
            <w:tcW w:w="3854" w:type="dxa"/>
          </w:tcPr>
          <w:p w:rsidR="00441040" w:rsidRDefault="00441040" w:rsidP="00992664">
            <w:pPr>
              <w:pStyle w:val="libFootnote0"/>
              <w:rPr>
                <w:rtl/>
              </w:rPr>
            </w:pPr>
            <w:r>
              <w:rPr>
                <w:rtl/>
              </w:rPr>
              <w:t xml:space="preserve">(7). </w:t>
            </w:r>
            <w:r w:rsidRPr="00020424">
              <w:rPr>
                <w:rtl/>
              </w:rPr>
              <w:t>في « ى » : « فقال</w:t>
            </w:r>
            <w:r>
              <w:rPr>
                <w:rtl/>
              </w:rPr>
              <w:t xml:space="preserve"> ».</w:t>
            </w:r>
          </w:p>
        </w:tc>
        <w:tc>
          <w:tcPr>
            <w:tcW w:w="4158" w:type="dxa"/>
          </w:tcPr>
          <w:p w:rsidR="00441040" w:rsidRDefault="00441040" w:rsidP="00992664">
            <w:pPr>
              <w:pStyle w:val="libFootnote0"/>
              <w:rPr>
                <w:rtl/>
              </w:rPr>
            </w:pPr>
            <w:r>
              <w:rPr>
                <w:rtl/>
              </w:rPr>
              <w:t>(8).</w:t>
            </w:r>
            <w:r w:rsidRPr="00020424">
              <w:rPr>
                <w:rtl/>
              </w:rPr>
              <w:t>في هامش الكافي</w:t>
            </w:r>
            <w:r>
              <w:rPr>
                <w:rtl/>
              </w:rPr>
              <w:t xml:space="preserve"> المطبوع عن بعض النسخ :«</w:t>
            </w:r>
            <w:r w:rsidRPr="00020424">
              <w:rPr>
                <w:rtl/>
              </w:rPr>
              <w:t>قبض</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بح » : « وأرخى</w:t>
      </w:r>
      <w:r w:rsidR="00992664">
        <w:rPr>
          <w:rtl/>
        </w:rPr>
        <w:t xml:space="preserve"> ».</w:t>
      </w:r>
      <w:r w:rsidR="00992664" w:rsidRPr="00020424">
        <w:rPr>
          <w:rtl/>
        </w:rPr>
        <w:t xml:space="preserve"> وفي « بخ ، بر ، بف ، بك » : « فأجرى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 « بعضاً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القَوام » : العدل ، وما يعاش به. </w:t>
      </w:r>
      <w:r w:rsidR="00992664" w:rsidRPr="0012008A">
        <w:rPr>
          <w:rStyle w:val="libFootnoteBoldChar"/>
          <w:rtl/>
        </w:rPr>
        <w:t>الصحاح</w:t>
      </w:r>
      <w:r w:rsidR="00992664" w:rsidRPr="00020424">
        <w:rPr>
          <w:rtl/>
        </w:rPr>
        <w:t xml:space="preserve"> ، ج 5 ، ص 2017 ( قوم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10 ، ص 500 ، ح 9980 ؛ </w:t>
      </w:r>
      <w:r w:rsidR="00992664" w:rsidRPr="0012008A">
        <w:rPr>
          <w:rStyle w:val="libFootnoteBoldChar"/>
          <w:rtl/>
        </w:rPr>
        <w:t>الوسائل</w:t>
      </w:r>
      <w:r w:rsidR="00992664" w:rsidRPr="00020424">
        <w:rPr>
          <w:rtl/>
        </w:rPr>
        <w:t xml:space="preserve"> ، ج 21 ، ص 559 ، ح 27871.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5454D">
        <w:rPr>
          <w:rtl/>
        </w:rPr>
        <w:t>6221</w:t>
      </w:r>
      <w:r w:rsidRPr="001155DE">
        <w:rPr>
          <w:rStyle w:val="libBold2Char"/>
          <w:rtl/>
        </w:rPr>
        <w:t xml:space="preserve"> / 2.</w:t>
      </w:r>
      <w:r w:rsidRPr="00020424">
        <w:rPr>
          <w:rtl/>
          <w:lang w:bidi="fa-IR"/>
        </w:rPr>
        <w:t xml:space="preserve"> وَعَنْهُ </w:t>
      </w:r>
      <w:r w:rsidRPr="00A91B96">
        <w:rPr>
          <w:rStyle w:val="libFootnotenumChar"/>
          <w:rtl/>
        </w:rPr>
        <w:t>(1)</w:t>
      </w:r>
      <w:r w:rsidRPr="00020424">
        <w:rPr>
          <w:rtl/>
          <w:lang w:bidi="fa-IR"/>
        </w:rPr>
        <w:t xml:space="preserve"> ، عَنْ أَبِيهِ ، عَنْ مُحَمَّدِ بْنِ عَمْرٍو ، عَنْ عَبْدِ اللهِ بْنِ أَبَانٍ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الْحَسَنِ الْأَوَّلَ </w:t>
      </w:r>
      <w:r w:rsidRPr="00005A81">
        <w:rPr>
          <w:rStyle w:val="libAlaemChar"/>
          <w:rtl/>
        </w:rPr>
        <w:t>عليه‌السلام</w:t>
      </w:r>
      <w:r w:rsidRPr="00020424">
        <w:rPr>
          <w:rtl/>
          <w:lang w:bidi="fa-IR"/>
        </w:rPr>
        <w:t xml:space="preserve"> عَنِ النَّفَقَةِ عَلَى الْعِيَالِ</w:t>
      </w:r>
      <w:r>
        <w:rPr>
          <w:rtl/>
          <w:lang w:bidi="fa-IR"/>
        </w:rPr>
        <w:t>؟</w:t>
      </w:r>
    </w:p>
    <w:p w:rsidR="00992664" w:rsidRPr="00020424" w:rsidRDefault="00992664" w:rsidP="00992664">
      <w:pPr>
        <w:pStyle w:val="libNormal"/>
        <w:rPr>
          <w:rtl/>
          <w:lang w:bidi="fa-IR"/>
        </w:rPr>
      </w:pPr>
      <w:r w:rsidRPr="00020424">
        <w:rPr>
          <w:rtl/>
          <w:lang w:bidi="fa-IR"/>
        </w:rPr>
        <w:t xml:space="preserve">فَقَالَ : « مَا بَيْنَ الْمَكْرُوهَيْنِ </w:t>
      </w:r>
      <w:r w:rsidRPr="00A91B96">
        <w:rPr>
          <w:rStyle w:val="libFootnotenumChar"/>
          <w:rtl/>
        </w:rPr>
        <w:t>(3)</w:t>
      </w:r>
      <w:r w:rsidRPr="00020424">
        <w:rPr>
          <w:rtl/>
          <w:lang w:bidi="fa-IR"/>
        </w:rPr>
        <w:t xml:space="preserve"> : الْإِسْرَافِ وَالْإِقْتَارِ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5454D">
        <w:rPr>
          <w:rtl/>
        </w:rPr>
        <w:t>6222</w:t>
      </w:r>
      <w:r w:rsidRPr="001155DE">
        <w:rPr>
          <w:rStyle w:val="libBold2Char"/>
          <w:rtl/>
        </w:rPr>
        <w:t xml:space="preserve"> / 3.</w:t>
      </w:r>
      <w:r w:rsidRPr="00020424">
        <w:rPr>
          <w:rtl/>
          <w:lang w:bidi="fa-IR"/>
        </w:rPr>
        <w:t xml:space="preserve"> عِدَّةٌ مِنْ أَصْحَابِنَا ، عَنْ أَحْمَدَ بْنِ مُحَمَّدٍ ، عَنِ الْحَسَنِ </w:t>
      </w:r>
      <w:r w:rsidRPr="00A91B96">
        <w:rPr>
          <w:rStyle w:val="libFootnotenumChar"/>
          <w:rtl/>
        </w:rPr>
        <w:t>(6)</w:t>
      </w:r>
      <w:r w:rsidRPr="00020424">
        <w:rPr>
          <w:rtl/>
          <w:lang w:bidi="fa-IR"/>
        </w:rPr>
        <w:t xml:space="preserve"> بْنِ مَحْبُوبٍ ، عَنْ عَلِيِّ </w:t>
      </w:r>
      <w:r w:rsidRPr="00A91B96">
        <w:rPr>
          <w:rStyle w:val="libFootnotenumChar"/>
          <w:rtl/>
        </w:rPr>
        <w:t>(7)</w:t>
      </w:r>
      <w:r w:rsidRPr="00020424">
        <w:rPr>
          <w:rtl/>
          <w:lang w:bidi="fa-IR"/>
        </w:rPr>
        <w:t xml:space="preserve"> بْنِ رِئَابٍ ، عَنِ ابْنِ أَبِي يَعْفُورٍ وَيُوسُفَ بْنِ عُمَارَةَ </w:t>
      </w:r>
      <w:r w:rsidRPr="00A91B96">
        <w:rPr>
          <w:rStyle w:val="libFootnotenumChar"/>
          <w:rtl/>
        </w:rPr>
        <w:t>(8)</w:t>
      </w:r>
      <w:r w:rsidRPr="00020424">
        <w:rPr>
          <w:rtl/>
          <w:lang w:bidi="fa-IR"/>
        </w:rPr>
        <w:t xml:space="preserve"> ، قَالا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إِنَّ مَعَ الْإِسْرَافِ قِلَّةَ الْبَرَكَةِ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5454D">
        <w:rPr>
          <w:rtl/>
        </w:rPr>
        <w:t>6223</w:t>
      </w:r>
      <w:r w:rsidRPr="001155DE">
        <w:rPr>
          <w:rStyle w:val="libBold2Char"/>
          <w:rtl/>
        </w:rPr>
        <w:t xml:space="preserve"> / 4.</w:t>
      </w:r>
      <w:r w:rsidRPr="00020424">
        <w:rPr>
          <w:rtl/>
          <w:lang w:bidi="fa-IR"/>
        </w:rPr>
        <w:t xml:space="preserve"> عِدَّةٌ مِنْ أَصْحَابِنَا ، عَنْ سَهْلِ بْنِ زِيَادٍ وَأَحْمَدَ بْنِ مُحَمَّدٍ ، عَنْ أَحْمَدَ بْنِ مُحَمَّدِ بْنِ أَبِي نَصْرٍ ، عَنْ سَمَاعَةَ بْنِ مِهْرَانَ </w:t>
      </w:r>
      <w:r w:rsidRPr="00A91B96">
        <w:rPr>
          <w:rStyle w:val="libFootnotenumChar"/>
          <w:rtl/>
        </w:rPr>
        <w:t>(10)</w:t>
      </w:r>
      <w:r w:rsidRPr="00020424">
        <w:rPr>
          <w:rtl/>
          <w:lang w:bidi="fa-IR"/>
        </w:rPr>
        <w:t xml:space="preserve">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رُبَّ فَقِيرٍ هُوَ أَسْرَفُ مِنَ الْغَنِيِّ </w:t>
      </w:r>
      <w:r w:rsidRPr="00A91B96">
        <w:rPr>
          <w:rStyle w:val="libFootnotenumChar"/>
          <w:rtl/>
        </w:rPr>
        <w:t>(11)</w:t>
      </w:r>
      <w:r w:rsidRPr="00020424">
        <w:rPr>
          <w:rtl/>
          <w:lang w:bidi="fa-IR"/>
        </w:rPr>
        <w:t xml:space="preserve"> ؛ إِنَّ الْغَنِيَّ يُنْفِقُ مِمَّا </w:t>
      </w:r>
      <w:r w:rsidRPr="00A91B96">
        <w:rPr>
          <w:rStyle w:val="libFootnotenumChar"/>
          <w:rtl/>
        </w:rPr>
        <w:t>(12)</w:t>
      </w:r>
      <w:r w:rsidRPr="00020424">
        <w:rPr>
          <w:rtl/>
          <w:lang w:bidi="fa-IR"/>
        </w:rPr>
        <w:t xml:space="preserve"> أُوتِيَ ، وَالْفَقِيرَ يُنْفِقُ مِنْ غَيْرِ مَا أُوتِيَ</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عنه » بدون الواو. والضمير راجع إلى أحمد بن أبي عبد الله.</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عبدالله بن سنان</w:t>
      </w:r>
      <w:r w:rsidR="00992664">
        <w:rPr>
          <w:rtl/>
        </w:rPr>
        <w:t xml:space="preserve"> ».</w:t>
      </w:r>
      <w:r w:rsidR="00992664" w:rsidRPr="00020424">
        <w:rPr>
          <w:rtl/>
        </w:rPr>
        <w:t xml:space="preserve"> وهو سهو ؛ فإنّه لم يثبت رواية محمّد بن عمرو</w:t>
      </w:r>
      <w:r w:rsidR="00992664">
        <w:rPr>
          <w:rtl/>
        </w:rPr>
        <w:t xml:space="preserve"> </w:t>
      </w:r>
      <w:r w:rsidR="009B673F">
        <w:rPr>
          <w:rtl/>
        </w:rPr>
        <w:t>-</w:t>
      </w:r>
      <w:r w:rsidR="00992664">
        <w:rPr>
          <w:rtl/>
        </w:rPr>
        <w:t xml:space="preserve"> </w:t>
      </w:r>
      <w:r w:rsidR="00992664" w:rsidRPr="00020424">
        <w:rPr>
          <w:rtl/>
        </w:rPr>
        <w:t>وهو ابن سعيد الزيّات</w:t>
      </w:r>
      <w:r w:rsidR="00992664">
        <w:rPr>
          <w:rtl/>
        </w:rPr>
        <w:t xml:space="preserve"> </w:t>
      </w:r>
      <w:r w:rsidR="009B673F">
        <w:rPr>
          <w:rtl/>
        </w:rPr>
        <w:t>-</w:t>
      </w:r>
      <w:r w:rsidR="00992664">
        <w:rPr>
          <w:rtl/>
        </w:rPr>
        <w:t xml:space="preserve"> </w:t>
      </w:r>
      <w:r w:rsidR="00992664" w:rsidRPr="00020424">
        <w:rPr>
          <w:rtl/>
        </w:rPr>
        <w:t xml:space="preserve">عن عبدالله بن سنان في موضع. وعبدالله بن أبان هو عبدالله بن أبان الزّيات ، روى عنه محمّد بن عمرو [ الزيّات ] في </w:t>
      </w:r>
      <w:r w:rsidR="00992664" w:rsidRPr="00DE76B9">
        <w:rPr>
          <w:rStyle w:val="libFootnoteBoldChar"/>
          <w:rtl/>
        </w:rPr>
        <w:t>بصائر الدرجات</w:t>
      </w:r>
      <w:r w:rsidR="00992664" w:rsidRPr="00020424">
        <w:rPr>
          <w:rtl/>
        </w:rPr>
        <w:t xml:space="preserve"> ، ص 430 ، ح 9 ؛ وص 515 ، ح 37.</w:t>
      </w:r>
    </w:p>
    <w:tbl>
      <w:tblPr>
        <w:tblStyle w:val="TableGrid"/>
        <w:bidiVisual/>
        <w:tblW w:w="0" w:type="auto"/>
        <w:tblLook w:val="04A0" w:firstRow="1" w:lastRow="0" w:firstColumn="1" w:lastColumn="0" w:noHBand="0" w:noVBand="1"/>
      </w:tblPr>
      <w:tblGrid>
        <w:gridCol w:w="4006"/>
        <w:gridCol w:w="4006"/>
      </w:tblGrid>
      <w:tr w:rsidR="00E83883" w:rsidTr="00E83883">
        <w:tc>
          <w:tcPr>
            <w:tcW w:w="4006" w:type="dxa"/>
          </w:tcPr>
          <w:p w:rsidR="00E83883" w:rsidRDefault="00E83883" w:rsidP="00992664">
            <w:pPr>
              <w:pStyle w:val="libFootnote0"/>
              <w:rPr>
                <w:rtl/>
              </w:rPr>
            </w:pPr>
            <w:r>
              <w:rPr>
                <w:rtl/>
              </w:rPr>
              <w:t xml:space="preserve">(3). </w:t>
            </w:r>
            <w:r w:rsidRPr="00020424">
              <w:rPr>
                <w:rtl/>
              </w:rPr>
              <w:t>في « بح ، بر ، بف ، بك » : « المكروهتين</w:t>
            </w:r>
            <w:r>
              <w:rPr>
                <w:rtl/>
              </w:rPr>
              <w:t xml:space="preserve"> ».</w:t>
            </w:r>
          </w:p>
        </w:tc>
        <w:tc>
          <w:tcPr>
            <w:tcW w:w="4006" w:type="dxa"/>
          </w:tcPr>
          <w:p w:rsidR="00E83883" w:rsidRDefault="00E83883" w:rsidP="00992664">
            <w:pPr>
              <w:pStyle w:val="libFootnote0"/>
              <w:rPr>
                <w:rtl/>
              </w:rPr>
            </w:pPr>
            <w:r>
              <w:rPr>
                <w:rtl/>
              </w:rPr>
              <w:t xml:space="preserve">(4). </w:t>
            </w:r>
            <w:r w:rsidRPr="00020424">
              <w:rPr>
                <w:rtl/>
              </w:rPr>
              <w:t>في « بخ ، بر ، بف ، بك » : « والتقتير</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A722B1">
        <w:rPr>
          <w:rStyle w:val="libFootnoteBoldChar"/>
          <w:rtl/>
        </w:rPr>
        <w:t>الخصال</w:t>
      </w:r>
      <w:r w:rsidR="00992664" w:rsidRPr="00020424">
        <w:rPr>
          <w:rtl/>
        </w:rPr>
        <w:t xml:space="preserve"> ، ص 54 ، باب الاثنين ، ح 74 ، بسند آخر عن الرضا </w:t>
      </w:r>
      <w:r w:rsidR="00992664" w:rsidRPr="00D64ADA">
        <w:rPr>
          <w:rStyle w:val="libFootnoteAlaemChar"/>
          <w:rtl/>
        </w:rPr>
        <w:t>عليه‌السلام</w:t>
      </w:r>
      <w:r w:rsidR="00992664" w:rsidRPr="00020424">
        <w:rPr>
          <w:rtl/>
        </w:rPr>
        <w:t xml:space="preserve"> ، مع اختلاف يسير وزيادة في آخره </w:t>
      </w:r>
      <w:r w:rsidR="001C2932">
        <w:rPr>
          <w:rFonts w:hint="cs"/>
          <w:rtl/>
        </w:rPr>
        <w:t>.</w:t>
      </w:r>
      <w:r w:rsidR="00992664" w:rsidRPr="0012008A">
        <w:rPr>
          <w:rStyle w:val="libFootnoteBoldChar"/>
          <w:rtl/>
        </w:rPr>
        <w:t>الوافي</w:t>
      </w:r>
      <w:r w:rsidR="00992664" w:rsidRPr="00020424">
        <w:rPr>
          <w:rtl/>
        </w:rPr>
        <w:t xml:space="preserve"> ، ج 10 ، ص 498 ، ح 9975 ؛ </w:t>
      </w:r>
      <w:r w:rsidR="00992664" w:rsidRPr="0012008A">
        <w:rPr>
          <w:rStyle w:val="libFootnoteBoldChar"/>
          <w:rtl/>
        </w:rPr>
        <w:t>الوسائل</w:t>
      </w:r>
      <w:r w:rsidR="00992664" w:rsidRPr="00020424">
        <w:rPr>
          <w:rtl/>
        </w:rPr>
        <w:t xml:space="preserve"> ، ج 21 ، ص 555 ، ح 27858.</w:t>
      </w:r>
    </w:p>
    <w:tbl>
      <w:tblPr>
        <w:tblStyle w:val="TableGrid"/>
        <w:bidiVisual/>
        <w:tblW w:w="0" w:type="auto"/>
        <w:tblLook w:val="04A0" w:firstRow="1" w:lastRow="0" w:firstColumn="1" w:lastColumn="0" w:noHBand="0" w:noVBand="1"/>
      </w:tblPr>
      <w:tblGrid>
        <w:gridCol w:w="4006"/>
        <w:gridCol w:w="4006"/>
      </w:tblGrid>
      <w:tr w:rsidR="001C2932" w:rsidTr="001C2932">
        <w:tc>
          <w:tcPr>
            <w:tcW w:w="4006" w:type="dxa"/>
          </w:tcPr>
          <w:p w:rsidR="001C2932" w:rsidRDefault="001C2932" w:rsidP="00992664">
            <w:pPr>
              <w:pStyle w:val="libFootnote0"/>
              <w:rPr>
                <w:rtl/>
              </w:rPr>
            </w:pPr>
            <w:r>
              <w:rPr>
                <w:rtl/>
              </w:rPr>
              <w:t xml:space="preserve">(6). </w:t>
            </w:r>
            <w:r w:rsidRPr="00020424">
              <w:rPr>
                <w:rtl/>
              </w:rPr>
              <w:t>في « بخ ، بر ، بف » :</w:t>
            </w:r>
            <w:r>
              <w:rPr>
                <w:rtl/>
              </w:rPr>
              <w:t xml:space="preserve"> - </w:t>
            </w:r>
            <w:r w:rsidRPr="00020424">
              <w:rPr>
                <w:rtl/>
              </w:rPr>
              <w:t>« الحسن</w:t>
            </w:r>
            <w:r>
              <w:rPr>
                <w:rtl/>
              </w:rPr>
              <w:t xml:space="preserve"> ».</w:t>
            </w:r>
          </w:p>
        </w:tc>
        <w:tc>
          <w:tcPr>
            <w:tcW w:w="4006" w:type="dxa"/>
          </w:tcPr>
          <w:p w:rsidR="001C2932" w:rsidRDefault="001C2932" w:rsidP="00992664">
            <w:pPr>
              <w:pStyle w:val="libFootnote0"/>
              <w:rPr>
                <w:rtl/>
              </w:rPr>
            </w:pPr>
            <w:r>
              <w:rPr>
                <w:rtl/>
              </w:rPr>
              <w:t xml:space="preserve">(7). </w:t>
            </w:r>
            <w:r w:rsidRPr="00020424">
              <w:rPr>
                <w:rtl/>
              </w:rPr>
              <w:t>في « بخ ، بر ، بف » :</w:t>
            </w:r>
            <w:r>
              <w:rPr>
                <w:rtl/>
              </w:rPr>
              <w:t xml:space="preserve"> - </w:t>
            </w:r>
            <w:r w:rsidRPr="00020424">
              <w:rPr>
                <w:rtl/>
              </w:rPr>
              <w:t>« عليّ</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بخ ، بس » </w:t>
      </w:r>
      <w:r w:rsidR="00992664" w:rsidRPr="00EB1FD9">
        <w:rPr>
          <w:rStyle w:val="libFootnoteBoldChar"/>
          <w:rtl/>
        </w:rPr>
        <w:t>والوسائل</w:t>
      </w:r>
      <w:r w:rsidR="00992664" w:rsidRPr="00020424">
        <w:rPr>
          <w:rtl/>
        </w:rPr>
        <w:t xml:space="preserve"> : « يوسف بن عمّار</w:t>
      </w:r>
      <w:r w:rsidR="00992664">
        <w:rPr>
          <w:rtl/>
        </w:rPr>
        <w:t xml:space="preserve"> ».</w:t>
      </w:r>
      <w:r w:rsidR="00992664" w:rsidRPr="00020424">
        <w:rPr>
          <w:rtl/>
        </w:rPr>
        <w:t xml:space="preserve"> وفي « بر ، بف » </w:t>
      </w:r>
      <w:r w:rsidR="00992664" w:rsidRPr="00515444">
        <w:rPr>
          <w:rStyle w:val="libFootnoteBoldChar"/>
          <w:rtl/>
        </w:rPr>
        <w:t>والوافي</w:t>
      </w:r>
      <w:r w:rsidR="00992664" w:rsidRPr="00020424">
        <w:rPr>
          <w:rtl/>
        </w:rPr>
        <w:t xml:space="preserve"> : « يونس بن عمّار</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499 ، ح 9977 ؛ </w:t>
      </w:r>
      <w:r w:rsidR="00992664" w:rsidRPr="0012008A">
        <w:rPr>
          <w:rStyle w:val="libFootnoteBoldChar"/>
          <w:rtl/>
        </w:rPr>
        <w:t>الوسائل</w:t>
      </w:r>
      <w:r w:rsidR="00992664" w:rsidRPr="00020424">
        <w:rPr>
          <w:rtl/>
        </w:rPr>
        <w:t xml:space="preserve"> ، ج 21 ، ص 555 ، ح 27859.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بر ، بف » :</w:t>
      </w:r>
      <w:r w:rsidR="00992664">
        <w:rPr>
          <w:rtl/>
        </w:rPr>
        <w:t xml:space="preserve"> </w:t>
      </w:r>
      <w:r w:rsidR="009B673F">
        <w:rPr>
          <w:rtl/>
        </w:rPr>
        <w:t>-</w:t>
      </w:r>
      <w:r w:rsidR="00992664">
        <w:rPr>
          <w:rtl/>
        </w:rPr>
        <w:t xml:space="preserve"> </w:t>
      </w:r>
      <w:r w:rsidR="00992664" w:rsidRPr="00020424">
        <w:rPr>
          <w:rtl/>
        </w:rPr>
        <w:t>« بن مهران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بس ، بف ، بك » وحاشية « جن » </w:t>
      </w:r>
      <w:r w:rsidR="00992664" w:rsidRPr="00515444">
        <w:rPr>
          <w:rStyle w:val="libFootnoteBoldChar"/>
          <w:rtl/>
        </w:rPr>
        <w:t>والوافي</w:t>
      </w:r>
      <w:r w:rsidR="00992664" w:rsidRPr="00020424">
        <w:rPr>
          <w:rtl/>
        </w:rPr>
        <w:t xml:space="preserve"> : « غنيّ</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بر ، بف ، بك » : « ما</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الزكاة ، باب من يحلّ له أن يأخذ الزكاة</w:t>
      </w:r>
      <w:r w:rsidR="00992664">
        <w:rPr>
          <w:rtl/>
        </w:rPr>
        <w:t xml:space="preserve"> ..</w:t>
      </w:r>
      <w:r w:rsidR="00992664" w:rsidRPr="00020424">
        <w:rPr>
          <w:rtl/>
        </w:rPr>
        <w:t xml:space="preserve">. ، ذيل ح 5975 ، بسند آخر ، مع اختلاف يسير </w:t>
      </w:r>
      <w:r w:rsidR="00085B35">
        <w:rPr>
          <w:rFonts w:hint="cs"/>
          <w:rtl/>
        </w:rPr>
        <w:t>.</w:t>
      </w:r>
      <w:r w:rsidR="00992664" w:rsidRPr="0012008A">
        <w:rPr>
          <w:rStyle w:val="libFootnoteBoldChar"/>
          <w:rtl/>
        </w:rPr>
        <w:t>الوافي</w:t>
      </w:r>
      <w:r w:rsidR="00992664" w:rsidRPr="00020424">
        <w:rPr>
          <w:rtl/>
        </w:rPr>
        <w:t xml:space="preserve"> ، ج 10 ، ص 502 ، ح 9986 ؛ </w:t>
      </w:r>
      <w:r w:rsidR="00992664" w:rsidRPr="0012008A">
        <w:rPr>
          <w:rStyle w:val="libFootnoteBoldChar"/>
          <w:rtl/>
        </w:rPr>
        <w:t>الوسائل</w:t>
      </w:r>
      <w:r w:rsidR="00992664" w:rsidRPr="00020424">
        <w:rPr>
          <w:rtl/>
        </w:rPr>
        <w:t xml:space="preserve"> ، ج 21 ، ص 558 ، ح 27867.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5454D">
        <w:rPr>
          <w:rtl/>
        </w:rPr>
        <w:t>6224</w:t>
      </w:r>
      <w:r w:rsidRPr="001155DE">
        <w:rPr>
          <w:rStyle w:val="libBold2Char"/>
          <w:rtl/>
        </w:rPr>
        <w:t xml:space="preserve"> / 5.</w:t>
      </w:r>
      <w:r w:rsidRPr="00020424">
        <w:rPr>
          <w:rtl/>
          <w:lang w:bidi="fa-IR"/>
        </w:rPr>
        <w:t xml:space="preserve"> عَلِيُّ بْنُ إِبْرَاهِيمَ ، عَنْ أَبِيهِ ، عَنِ ابْنِ أَبِي عُمَيْرٍ ، عَنْ هِشَامِ بْنِ الْمُثَنّى ، قَالَ :</w:t>
      </w:r>
    </w:p>
    <w:p w:rsidR="00992664" w:rsidRPr="00020424" w:rsidRDefault="00992664" w:rsidP="00992664">
      <w:pPr>
        <w:pStyle w:val="libNormal"/>
        <w:rPr>
          <w:rtl/>
          <w:lang w:bidi="fa-IR"/>
        </w:rPr>
      </w:pPr>
      <w:r w:rsidRPr="00020424">
        <w:rPr>
          <w:rtl/>
          <w:lang w:bidi="fa-IR"/>
        </w:rPr>
        <w:t xml:space="preserve">سَأَلَ رَجُلٌ أَبَا عَبْدِ اللهِ </w:t>
      </w:r>
      <w:r w:rsidRPr="00005A81">
        <w:rPr>
          <w:rStyle w:val="libAlaemChar"/>
          <w:rtl/>
        </w:rPr>
        <w:t>عليه‌السلام</w:t>
      </w:r>
      <w:r w:rsidRPr="00020424">
        <w:rPr>
          <w:rtl/>
          <w:lang w:bidi="fa-IR"/>
        </w:rPr>
        <w:t xml:space="preserve"> عَنْ قَوْلِ اللهِ عَزَّ وَجَلَّ : </w:t>
      </w:r>
      <w:r w:rsidRPr="00005A81">
        <w:rPr>
          <w:rStyle w:val="libAlaemChar"/>
          <w:rtl/>
        </w:rPr>
        <w:t>(</w:t>
      </w:r>
      <w:r w:rsidRPr="004E5AB4">
        <w:rPr>
          <w:rStyle w:val="libAieChar"/>
          <w:rtl/>
        </w:rPr>
        <w:t xml:space="preserve"> وَآتُوا حَقَّهُ يَوْمَ حَصادِهِ وَلا تُسْرِفُوا إِنَّهُ ل</w:t>
      </w:r>
      <w:r w:rsidR="00461189">
        <w:rPr>
          <w:rStyle w:val="libAieChar"/>
          <w:rFonts w:hint="cs"/>
          <w:rtl/>
        </w:rPr>
        <w:t>َ</w:t>
      </w:r>
      <w:r w:rsidRPr="004E5AB4">
        <w:rPr>
          <w:rStyle w:val="libAieChar"/>
          <w:rtl/>
        </w:rPr>
        <w:t xml:space="preserve">ا يُحِبُّ الْمُسْرِفِينَ </w:t>
      </w:r>
      <w:r w:rsidRPr="00005A81">
        <w:rPr>
          <w:rStyle w:val="libAlaemChar"/>
          <w:rtl/>
        </w:rPr>
        <w:t>)</w:t>
      </w:r>
      <w:r w:rsidRPr="00020424">
        <w:rPr>
          <w:rtl/>
          <w:lang w:bidi="fa-IR"/>
        </w:rPr>
        <w:t xml:space="preserve">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فَقَالَ : « كَانَ فُلَانُ بْنُ فُلَانٍ الْأَنْصَارِيُّ</w:t>
      </w:r>
      <w:r>
        <w:rPr>
          <w:rtl/>
          <w:lang w:bidi="fa-IR"/>
        </w:rPr>
        <w:t xml:space="preserve"> </w:t>
      </w:r>
      <w:r w:rsidR="009B673F">
        <w:rPr>
          <w:rtl/>
          <w:lang w:bidi="fa-IR"/>
        </w:rPr>
        <w:t>-</w:t>
      </w:r>
      <w:r>
        <w:rPr>
          <w:rtl/>
          <w:lang w:bidi="fa-IR"/>
        </w:rPr>
        <w:t xml:space="preserve"> </w:t>
      </w:r>
      <w:r w:rsidRPr="00020424">
        <w:rPr>
          <w:rtl/>
          <w:lang w:bidi="fa-IR"/>
        </w:rPr>
        <w:t>سَمَّاهُ</w:t>
      </w:r>
      <w:r>
        <w:rPr>
          <w:rtl/>
          <w:lang w:bidi="fa-IR"/>
        </w:rPr>
        <w:t xml:space="preserve"> </w:t>
      </w:r>
      <w:r w:rsidR="009B673F">
        <w:rPr>
          <w:rtl/>
          <w:lang w:bidi="fa-IR"/>
        </w:rPr>
        <w:t>-</w:t>
      </w:r>
      <w:r>
        <w:rPr>
          <w:rtl/>
          <w:lang w:bidi="fa-IR"/>
        </w:rPr>
        <w:t xml:space="preserve"> </w:t>
      </w:r>
      <w:r w:rsidRPr="00020424">
        <w:rPr>
          <w:rtl/>
          <w:lang w:bidi="fa-IR"/>
        </w:rPr>
        <w:t xml:space="preserve">وَكَانَ لَهُ حَرْثٌ ، وَكَانَ </w:t>
      </w:r>
      <w:r w:rsidRPr="00A91B96">
        <w:rPr>
          <w:rStyle w:val="libFootnotenumChar"/>
          <w:rtl/>
        </w:rPr>
        <w:t>(2)</w:t>
      </w:r>
      <w:r w:rsidRPr="00020424">
        <w:rPr>
          <w:rtl/>
          <w:lang w:bidi="fa-IR"/>
        </w:rPr>
        <w:t xml:space="preserve"> إِذَا أَخَذَ </w:t>
      </w:r>
      <w:r w:rsidRPr="00A91B96">
        <w:rPr>
          <w:rStyle w:val="libFootnotenumChar"/>
          <w:rtl/>
        </w:rPr>
        <w:t>(3)</w:t>
      </w:r>
      <w:r w:rsidRPr="00020424">
        <w:rPr>
          <w:rtl/>
          <w:lang w:bidi="fa-IR"/>
        </w:rPr>
        <w:t xml:space="preserve"> يَتَصَدَّقُ بِهِ ، وَيَبْقى </w:t>
      </w:r>
      <w:r w:rsidRPr="00A91B96">
        <w:rPr>
          <w:rStyle w:val="libFootnotenumChar"/>
          <w:rtl/>
        </w:rPr>
        <w:t>(4)</w:t>
      </w:r>
      <w:r w:rsidRPr="00020424">
        <w:rPr>
          <w:rtl/>
          <w:lang w:bidi="fa-IR"/>
        </w:rPr>
        <w:t xml:space="preserve"> هُوَ وَعِيَالُهُ بِغَيْرِ شَيْ‌ءٍ ، فَجَعَلَ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ذلِكَ سَرَفاً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5454D">
        <w:rPr>
          <w:rtl/>
        </w:rPr>
        <w:t>6225</w:t>
      </w:r>
      <w:r w:rsidRPr="001155DE">
        <w:rPr>
          <w:rStyle w:val="libBold2Char"/>
          <w:rtl/>
        </w:rPr>
        <w:t xml:space="preserve"> / 6.</w:t>
      </w:r>
      <w:r w:rsidRPr="00020424">
        <w:rPr>
          <w:rtl/>
          <w:lang w:bidi="fa-IR"/>
        </w:rPr>
        <w:t xml:space="preserve"> عَلِيُّ بْنُ إِبْرَاهِيمَ ، عَنْ أَبِيهِ ، عَنِ ابْنِ أَبِي عُمَيْرٍ </w:t>
      </w:r>
      <w:r w:rsidRPr="00A91B96">
        <w:rPr>
          <w:rStyle w:val="libFootnotenumChar"/>
          <w:rtl/>
        </w:rPr>
        <w:t>(7)</w:t>
      </w:r>
      <w:r w:rsidRPr="00020424">
        <w:rPr>
          <w:rtl/>
          <w:lang w:bidi="fa-IR"/>
        </w:rPr>
        <w:t xml:space="preserve"> ، عَنْ عُمَرَ بْنِ يَزِيدَ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وَلا تَجْعَلْ يَدَكَ مَغْلُولَةً إِلى عُنُقِكَ وَلا تَبْسُطْها كُلَّ الْبَسْطِ فَتَقْعُدَ مَلُوماً مَحْسُوراً </w:t>
      </w:r>
      <w:r w:rsidRPr="00005A81">
        <w:rPr>
          <w:rStyle w:val="libAlaemChar"/>
          <w:rtl/>
        </w:rPr>
        <w:t>)</w:t>
      </w:r>
      <w:r w:rsidRPr="00020424">
        <w:rPr>
          <w:rtl/>
          <w:lang w:bidi="fa-IR"/>
        </w:rPr>
        <w:t xml:space="preserve"> </w:t>
      </w:r>
      <w:r w:rsidRPr="00A91B96">
        <w:rPr>
          <w:rStyle w:val="libFootnotenumChar"/>
          <w:rtl/>
        </w:rPr>
        <w:t>(8)</w:t>
      </w:r>
      <w:r w:rsidRPr="00020424">
        <w:rPr>
          <w:rtl/>
          <w:lang w:bidi="fa-IR"/>
        </w:rPr>
        <w:t xml:space="preserve"> قَالَ : « الْإِحْسَارُ : الْفَاقَةُ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5454D">
        <w:rPr>
          <w:rtl/>
        </w:rPr>
        <w:t>6226</w:t>
      </w:r>
      <w:r w:rsidRPr="001155DE">
        <w:rPr>
          <w:rStyle w:val="libBold2Char"/>
          <w:rtl/>
        </w:rPr>
        <w:t xml:space="preserve"> / 7.</w:t>
      </w:r>
      <w:r w:rsidRPr="00020424">
        <w:rPr>
          <w:rtl/>
          <w:lang w:bidi="fa-IR"/>
        </w:rPr>
        <w:t xml:space="preserve"> عَلِيُّ بْنُ مُحَمَّدٍ ، عَنْ أَحْمَدَ بْنِ أَبِي عَبْدِ اللهِ ، عَنْ أَبِيهِ ، عَنِ النَّضْرِ بْنِ سُوَيْدٍ ، عَنْ مُوسَى بْنِ بَكْرٍ ، عَنْ عَجْلَانَ ، قَالَ :</w:t>
      </w:r>
    </w:p>
    <w:p w:rsidR="00992664" w:rsidRPr="00020424" w:rsidRDefault="00992664" w:rsidP="00992664">
      <w:pPr>
        <w:pStyle w:val="libNormal"/>
        <w:rPr>
          <w:rtl/>
          <w:lang w:bidi="fa-IR"/>
        </w:rPr>
      </w:pPr>
      <w:r w:rsidRPr="00020424">
        <w:rPr>
          <w:rtl/>
          <w:lang w:bidi="fa-IR"/>
        </w:rPr>
        <w:t xml:space="preserve">كُنْتُ عِنْدَ أَبِي عَبْدِ اللهِ </w:t>
      </w:r>
      <w:r w:rsidRPr="00005A81">
        <w:rPr>
          <w:rStyle w:val="libAlaemChar"/>
          <w:rtl/>
        </w:rPr>
        <w:t>عليه‌السلام</w:t>
      </w:r>
      <w:r w:rsidRPr="00020424">
        <w:rPr>
          <w:rtl/>
          <w:lang w:bidi="fa-IR"/>
        </w:rPr>
        <w:t xml:space="preserve"> ، فَجَاءَ سَائِلٌ ، فَقَامَ إِلى مِكْتَلٍ </w:t>
      </w:r>
      <w:r w:rsidRPr="00A91B96">
        <w:rPr>
          <w:rStyle w:val="libFootnotenumChar"/>
          <w:rtl/>
        </w:rPr>
        <w:t>(10)</w:t>
      </w:r>
      <w:r w:rsidRPr="00020424">
        <w:rPr>
          <w:rtl/>
          <w:lang w:bidi="fa-IR"/>
        </w:rPr>
        <w:t xml:space="preserve"> فِيهِ‌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الأنعام </w:t>
      </w:r>
      <w:r w:rsidR="00461189">
        <w:rPr>
          <w:rtl/>
        </w:rPr>
        <w:t>(6)</w:t>
      </w:r>
      <w:r w:rsidR="0014403D">
        <w:rPr>
          <w:rtl/>
        </w:rPr>
        <w:t xml:space="preserve"> </w:t>
      </w:r>
      <w:r w:rsidR="00992664" w:rsidRPr="00020424">
        <w:rPr>
          <w:rtl/>
        </w:rPr>
        <w:t>: 141.</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بح ، بخ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12500 : « فكان</w:t>
      </w:r>
      <w:r w:rsidR="00992664">
        <w:rPr>
          <w:rtl/>
        </w:rPr>
        <w:t xml:space="preserve"> ».</w:t>
      </w:r>
      <w:r w:rsidR="00992664" w:rsidRPr="00020424">
        <w:rPr>
          <w:rtl/>
        </w:rPr>
        <w:t xml:space="preserve"> وفي « ى » :</w:t>
      </w:r>
      <w:r w:rsidR="00992664">
        <w:rPr>
          <w:rtl/>
        </w:rPr>
        <w:t xml:space="preserve"> </w:t>
      </w:r>
      <w:r w:rsidR="009B673F">
        <w:rPr>
          <w:rtl/>
        </w:rPr>
        <w:t>-</w:t>
      </w:r>
      <w:r w:rsidR="00992664">
        <w:rPr>
          <w:rtl/>
        </w:rPr>
        <w:t xml:space="preserve"> </w:t>
      </w:r>
      <w:r w:rsidR="00992664" w:rsidRPr="00020424">
        <w:rPr>
          <w:rtl/>
        </w:rPr>
        <w:t>« وكان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بس » : « أحلّ</w:t>
      </w:r>
      <w:r w:rsidR="00992664">
        <w:rPr>
          <w:rtl/>
        </w:rPr>
        <w:t xml:space="preserve"> ».</w:t>
      </w:r>
      <w:r w:rsidR="00992664" w:rsidRPr="00020424">
        <w:rPr>
          <w:rtl/>
        </w:rPr>
        <w:t xml:space="preserve"> وفي تفسير العيّاشي : « جذّه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61189" w:rsidTr="00461189">
        <w:tc>
          <w:tcPr>
            <w:tcW w:w="4006" w:type="dxa"/>
          </w:tcPr>
          <w:p w:rsidR="00461189" w:rsidRDefault="00461189" w:rsidP="00992664">
            <w:pPr>
              <w:pStyle w:val="libFootnote0"/>
              <w:rPr>
                <w:rtl/>
              </w:rPr>
            </w:pPr>
            <w:r>
              <w:rPr>
                <w:rtl/>
              </w:rPr>
              <w:t xml:space="preserve">(4). </w:t>
            </w:r>
            <w:r w:rsidRPr="00020424">
              <w:rPr>
                <w:rtl/>
              </w:rPr>
              <w:t xml:space="preserve">في </w:t>
            </w:r>
            <w:r w:rsidRPr="0012008A">
              <w:rPr>
                <w:rStyle w:val="libFootnoteBoldChar"/>
                <w:rtl/>
              </w:rPr>
              <w:t>الوسائل</w:t>
            </w:r>
            <w:r w:rsidRPr="00020424">
              <w:rPr>
                <w:rtl/>
              </w:rPr>
              <w:t xml:space="preserve"> ، ح 12500 : « فيبقى</w:t>
            </w:r>
            <w:r>
              <w:rPr>
                <w:rtl/>
              </w:rPr>
              <w:t xml:space="preserve"> ».</w:t>
            </w:r>
          </w:p>
        </w:tc>
        <w:tc>
          <w:tcPr>
            <w:tcW w:w="4006" w:type="dxa"/>
          </w:tcPr>
          <w:p w:rsidR="00461189" w:rsidRDefault="00461189"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يعني أنزل فيه هذه الآية</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تفسير العيّاشي</w:t>
      </w:r>
      <w:r w:rsidR="00992664" w:rsidRPr="00020424">
        <w:rPr>
          <w:rtl/>
        </w:rPr>
        <w:t xml:space="preserve"> ، ج 1 ، ص 379 ، ح 105 ، عن محمّد بن مسلم ، عن أبي جعفر </w:t>
      </w:r>
      <w:r w:rsidR="00992664" w:rsidRPr="00D64ADA">
        <w:rPr>
          <w:rStyle w:val="libFootnoteAlaemChar"/>
          <w:rtl/>
        </w:rPr>
        <w:t>عليه‌السلام</w:t>
      </w:r>
      <w:r w:rsidR="00992664" w:rsidRPr="00020424">
        <w:rPr>
          <w:rtl/>
        </w:rPr>
        <w:t xml:space="preserve"> ، مع زيادة في أوّله </w:t>
      </w:r>
      <w:r w:rsidR="00CF5F78">
        <w:rPr>
          <w:rFonts w:hint="cs"/>
          <w:rtl/>
        </w:rPr>
        <w:t>.</w:t>
      </w:r>
      <w:r w:rsidR="00992664" w:rsidRPr="0012008A">
        <w:rPr>
          <w:rStyle w:val="libFootnoteBoldChar"/>
          <w:rtl/>
        </w:rPr>
        <w:t>الوافي</w:t>
      </w:r>
      <w:r w:rsidR="00992664" w:rsidRPr="00020424">
        <w:rPr>
          <w:rtl/>
        </w:rPr>
        <w:t xml:space="preserve"> ، ج 10 ، ص 502 ، ح 9985 ؛ </w:t>
      </w:r>
      <w:r w:rsidR="00992664" w:rsidRPr="0012008A">
        <w:rPr>
          <w:rStyle w:val="libFootnoteBoldChar"/>
          <w:rtl/>
        </w:rPr>
        <w:t>الوسائل</w:t>
      </w:r>
      <w:r w:rsidR="00992664" w:rsidRPr="00020424">
        <w:rPr>
          <w:rtl/>
        </w:rPr>
        <w:t xml:space="preserve"> ، ج 9 ، ص 461 ، ح 12500 ؛ وج 21 ، ص 558 ، ح 27868.</w:t>
      </w:r>
    </w:p>
    <w:p w:rsidR="00992664" w:rsidRPr="00020424" w:rsidRDefault="00795177" w:rsidP="007128B9">
      <w:pPr>
        <w:pStyle w:val="libFootnote0"/>
        <w:rPr>
          <w:rtl/>
          <w:lang w:bidi="fa-IR"/>
        </w:rPr>
      </w:pPr>
      <w:r>
        <w:rPr>
          <w:rtl/>
        </w:rPr>
        <w:t>(7).</w:t>
      </w:r>
      <w:r w:rsidR="0014403D">
        <w:rPr>
          <w:rtl/>
        </w:rPr>
        <w:t xml:space="preserve"> </w:t>
      </w:r>
      <w:r w:rsidR="00992664" w:rsidRPr="00020424">
        <w:rPr>
          <w:rtl/>
        </w:rPr>
        <w:t>في « بف » : + « عن عمر بن ا</w:t>
      </w:r>
      <w:r w:rsidR="00CF5F78">
        <w:rPr>
          <w:rFonts w:hint="cs"/>
          <w:rtl/>
        </w:rPr>
        <w:t>ُ</w:t>
      </w:r>
      <w:r w:rsidR="00992664" w:rsidRPr="00020424">
        <w:rPr>
          <w:rtl/>
        </w:rPr>
        <w:t>ذينة</w:t>
      </w:r>
      <w:r w:rsidR="00992664">
        <w:rPr>
          <w:rtl/>
        </w:rPr>
        <w:t xml:space="preserve"> ».</w:t>
      </w:r>
      <w:r w:rsidR="00992664" w:rsidRPr="00020424">
        <w:rPr>
          <w:rtl/>
        </w:rPr>
        <w:t xml:space="preserve"> وتقدّمت رواية ابن أبي عمير ، عن عمر بن اذينة ، عن عمر بن يزيد في </w:t>
      </w:r>
      <w:r w:rsidR="00992664" w:rsidRPr="00DE76B9">
        <w:rPr>
          <w:rStyle w:val="libFootnoteBoldChar"/>
          <w:rtl/>
        </w:rPr>
        <w:t>الكافي</w:t>
      </w:r>
      <w:r w:rsidR="00992664" w:rsidRPr="00020424">
        <w:rPr>
          <w:rtl/>
        </w:rPr>
        <w:t xml:space="preserve"> ، ح 5569. هذا ، وعمر بن يزيد في هذه الطبقة مشترك بين اثنين : عمر بن يزيد بن ذبيان وهو الذي روى ابن أبي عمير كتابه ، كما في </w:t>
      </w:r>
      <w:r w:rsidR="00992664" w:rsidRPr="00DE76B9">
        <w:rPr>
          <w:rStyle w:val="libFootnoteBoldChar"/>
          <w:rtl/>
        </w:rPr>
        <w:t>رجال النجاشي</w:t>
      </w:r>
      <w:r w:rsidR="00992664" w:rsidRPr="00020424">
        <w:rPr>
          <w:rtl/>
        </w:rPr>
        <w:t xml:space="preserve"> ، ص 286 ، الرقم 763 ، وقد عبَّرعن ابن أبي عمير فيه</w:t>
      </w:r>
      <w:r w:rsidR="00992664">
        <w:rPr>
          <w:rtl/>
        </w:rPr>
        <w:t xml:space="preserve"> ب</w:t>
      </w:r>
      <w:r w:rsidR="007128B9">
        <w:rPr>
          <w:rFonts w:hint="cs"/>
          <w:rtl/>
        </w:rPr>
        <w:t>ـ</w:t>
      </w:r>
      <w:r w:rsidR="00992664">
        <w:rPr>
          <w:rtl/>
        </w:rPr>
        <w:t xml:space="preserve"> </w:t>
      </w:r>
      <w:r w:rsidR="00992664" w:rsidRPr="00020424">
        <w:rPr>
          <w:rtl/>
        </w:rPr>
        <w:t>« محمّد بن زياد » ؛ وعمر بن يزيد بيّاع السابري ، ومقتضى أسناده رواية ابن أبي عمير عنه بالتوسّط.</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الإسراء </w:t>
      </w:r>
      <w:r w:rsidR="007128B9">
        <w:rPr>
          <w:rtl/>
        </w:rPr>
        <w:t>(17)</w:t>
      </w:r>
      <w:r w:rsidR="0014403D">
        <w:rPr>
          <w:rtl/>
        </w:rPr>
        <w:t xml:space="preserve"> </w:t>
      </w:r>
      <w:r w:rsidR="00992664" w:rsidRPr="00020424">
        <w:rPr>
          <w:rtl/>
        </w:rPr>
        <w:t>: 29.</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تفسير العيّاشي</w:t>
      </w:r>
      <w:r w:rsidR="00992664" w:rsidRPr="00020424">
        <w:rPr>
          <w:rtl/>
        </w:rPr>
        <w:t xml:space="preserve"> ، ج 2 ، ص 289 ، ح 61 ، عن محمّد بن يزيد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7128B9">
        <w:rPr>
          <w:rFonts w:hint="cs"/>
          <w:rtl/>
        </w:rPr>
        <w:t>.</w:t>
      </w:r>
      <w:r w:rsidR="00992664" w:rsidRPr="0012008A">
        <w:rPr>
          <w:rStyle w:val="libFootnoteBoldChar"/>
          <w:rtl/>
        </w:rPr>
        <w:t>الوافي</w:t>
      </w:r>
      <w:r w:rsidR="00992664" w:rsidRPr="00020424">
        <w:rPr>
          <w:rtl/>
        </w:rPr>
        <w:t xml:space="preserve"> ، ج 10 ، ص 501 ، ح 9983 ؛ </w:t>
      </w:r>
      <w:r w:rsidR="00992664" w:rsidRPr="0012008A">
        <w:rPr>
          <w:rStyle w:val="libFootnoteBoldChar"/>
          <w:rtl/>
        </w:rPr>
        <w:t>الوسائل</w:t>
      </w:r>
      <w:r w:rsidR="00992664" w:rsidRPr="00020424">
        <w:rPr>
          <w:rtl/>
        </w:rPr>
        <w:t xml:space="preserve"> ، ج 21 ، ص 559 ، ح 27869.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بث ، بر ، بف ، بك » : « مكيل</w:t>
      </w:r>
      <w:r w:rsidR="00992664">
        <w:rPr>
          <w:rtl/>
        </w:rPr>
        <w:t xml:space="preserve"> ».</w:t>
      </w:r>
      <w:r w:rsidR="00992664" w:rsidRPr="00020424">
        <w:rPr>
          <w:rtl/>
        </w:rPr>
        <w:t xml:space="preserve"> والمِكْتَل ، بكسر الميم : الزنبيل الكبير ، أو شبه الزنبيل ، يسع خمسة </w:t>
      </w:r>
      <w:r w:rsidR="007128B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7128B9">
      <w:pPr>
        <w:pStyle w:val="libNormal0"/>
        <w:rPr>
          <w:rtl/>
          <w:lang w:bidi="fa-IR"/>
        </w:rPr>
      </w:pPr>
      <w:r w:rsidRPr="00020424">
        <w:rPr>
          <w:rtl/>
          <w:lang w:bidi="fa-IR"/>
        </w:rPr>
        <w:t xml:space="preserve">تَمْرٌ </w:t>
      </w:r>
      <w:r w:rsidRPr="00A91B96">
        <w:rPr>
          <w:rStyle w:val="libFootnotenumChar"/>
          <w:rtl/>
        </w:rPr>
        <w:t>(1)</w:t>
      </w:r>
      <w:r w:rsidRPr="00020424">
        <w:rPr>
          <w:rtl/>
          <w:lang w:bidi="fa-IR"/>
        </w:rPr>
        <w:t xml:space="preserve"> ، فَمَلَأَ يَدَهُ ، فَنَاوَلَهُ ، ثُمَّ جَاءَ آخَرُ ، فَسَأَلَهُ </w:t>
      </w:r>
      <w:r w:rsidRPr="00A91B96">
        <w:rPr>
          <w:rStyle w:val="libFootnotenumChar"/>
          <w:rtl/>
        </w:rPr>
        <w:t>(2)</w:t>
      </w:r>
      <w:r w:rsidRPr="00020424">
        <w:rPr>
          <w:rtl/>
          <w:lang w:bidi="fa-IR"/>
        </w:rPr>
        <w:t xml:space="preserve"> ، فَقَامَ ، فَأَخَذَ </w:t>
      </w:r>
      <w:r w:rsidRPr="00A91B96">
        <w:rPr>
          <w:rStyle w:val="libFootnotenumChar"/>
          <w:rtl/>
        </w:rPr>
        <w:t>(3)</w:t>
      </w:r>
      <w:r w:rsidRPr="00020424">
        <w:rPr>
          <w:rtl/>
          <w:lang w:bidi="fa-IR"/>
        </w:rPr>
        <w:t xml:space="preserve"> بِيَدِهِ </w:t>
      </w:r>
      <w:r w:rsidRPr="00A91B96">
        <w:rPr>
          <w:rStyle w:val="libFootnotenumChar"/>
          <w:rtl/>
        </w:rPr>
        <w:t>(4)</w:t>
      </w:r>
      <w:r w:rsidRPr="00020424">
        <w:rPr>
          <w:rtl/>
          <w:lang w:bidi="fa-IR"/>
        </w:rPr>
        <w:t xml:space="preserve"> ، فَنَاوَلَهُ ، ثُمَّ جَاءَ </w:t>
      </w:r>
      <w:r w:rsidRPr="00A91B96">
        <w:rPr>
          <w:rStyle w:val="libFootnotenumChar"/>
          <w:rtl/>
        </w:rPr>
        <w:t>(5)</w:t>
      </w:r>
      <w:r w:rsidRPr="00020424">
        <w:rPr>
          <w:rtl/>
          <w:lang w:bidi="fa-IR"/>
        </w:rPr>
        <w:t xml:space="preserve"> آخَرُ ، فَسَأَلَهُ ، فَقَامَ </w:t>
      </w:r>
      <w:r w:rsidRPr="00A91B96">
        <w:rPr>
          <w:rStyle w:val="libFootnotenumChar"/>
          <w:rtl/>
        </w:rPr>
        <w:t>(6)</w:t>
      </w:r>
      <w:r w:rsidRPr="00020424">
        <w:rPr>
          <w:rtl/>
          <w:lang w:bidi="fa-IR"/>
        </w:rPr>
        <w:t xml:space="preserve"> ، فَأَخَذَ بِيَدِهِ ، فَنَاوَلَهُ ، ثُمَّ جَاءَ آخَرُ </w:t>
      </w:r>
      <w:r w:rsidRPr="00A91B96">
        <w:rPr>
          <w:rStyle w:val="libFootnotenumChar"/>
          <w:rtl/>
        </w:rPr>
        <w:t>(7)</w:t>
      </w:r>
      <w:r w:rsidRPr="00020424">
        <w:rPr>
          <w:rtl/>
          <w:lang w:bidi="fa-IR"/>
        </w:rPr>
        <w:t xml:space="preserve"> ، فَقَالَ : « اللهُ رَازِقُنَا </w:t>
      </w:r>
      <w:r w:rsidRPr="00A91B96">
        <w:rPr>
          <w:rStyle w:val="libFootnotenumChar"/>
          <w:rtl/>
        </w:rPr>
        <w:t>(8)</w:t>
      </w:r>
      <w:r w:rsidRPr="00020424">
        <w:rPr>
          <w:rtl/>
          <w:lang w:bidi="fa-IR"/>
        </w:rPr>
        <w:t xml:space="preserve"> وَإِيَّاكَ » ثُمَّ قَالَ : « إِنَّ رَسُولَ اللهِ </w:t>
      </w:r>
      <w:r w:rsidR="00B42914" w:rsidRPr="00B42914">
        <w:rPr>
          <w:rStyle w:val="libAlaemChar"/>
          <w:rtl/>
        </w:rPr>
        <w:t>صلى‌الله‌عليه‌وآله‌</w:t>
      </w:r>
      <w:r w:rsidRPr="00020424">
        <w:rPr>
          <w:rtl/>
          <w:lang w:bidi="fa-IR"/>
        </w:rPr>
        <w:t xml:space="preserve"> كَانَ لَايَسْأَلُهُ أَحَد</w:t>
      </w:r>
      <w:r w:rsidR="007128B9">
        <w:rPr>
          <w:rtl/>
          <w:lang w:bidi="fa-IR"/>
        </w:rPr>
        <w:t>ٌ مِنَ الدُّنْيَا شَيْئاً إِل</w:t>
      </w:r>
      <w:r w:rsidR="007128B9">
        <w:rPr>
          <w:rFonts w:hint="cs"/>
          <w:rtl/>
          <w:lang w:bidi="fa-IR"/>
        </w:rPr>
        <w:t>َّ</w:t>
      </w:r>
      <w:r w:rsidR="007128B9">
        <w:rPr>
          <w:rtl/>
          <w:lang w:bidi="fa-IR"/>
        </w:rPr>
        <w:t>ا</w:t>
      </w:r>
      <w:r w:rsidRPr="00020424">
        <w:rPr>
          <w:rtl/>
          <w:lang w:bidi="fa-IR"/>
        </w:rPr>
        <w:t xml:space="preserve"> أَعْطَاهُ </w:t>
      </w:r>
      <w:r w:rsidRPr="00A91B96">
        <w:rPr>
          <w:rStyle w:val="libFootnotenumChar"/>
          <w:rtl/>
        </w:rPr>
        <w:t>(9)</w:t>
      </w:r>
      <w:r w:rsidRPr="00020424">
        <w:rPr>
          <w:rtl/>
          <w:lang w:bidi="fa-IR"/>
        </w:rPr>
        <w:t xml:space="preserve"> ، فَأَرْسَلَتْ إِلَيْهِ امْرَأَةٌ ابْناً لَهَا ، فَقَالَتِ : انْطَلِقْ إِلَيْهِ ، فَاسْأَلْهُ </w:t>
      </w:r>
      <w:r w:rsidRPr="00A91B96">
        <w:rPr>
          <w:rStyle w:val="libFootnotenumChar"/>
          <w:rtl/>
        </w:rPr>
        <w:t>(10)</w:t>
      </w:r>
      <w:r w:rsidRPr="00020424">
        <w:rPr>
          <w:rtl/>
          <w:lang w:bidi="fa-IR"/>
        </w:rPr>
        <w:t xml:space="preserve"> ، فَإِنْ قَالَ لَكَ </w:t>
      </w:r>
      <w:r w:rsidRPr="00A91B96">
        <w:rPr>
          <w:rStyle w:val="libFootnotenumChar"/>
          <w:rtl/>
        </w:rPr>
        <w:t>(11)</w:t>
      </w:r>
      <w:r w:rsidRPr="00020424">
        <w:rPr>
          <w:rtl/>
          <w:lang w:bidi="fa-IR"/>
        </w:rPr>
        <w:t xml:space="preserve"> : لَيْسَ عِنْدَنَا شَيْ‌ءٌ ، فَقُلْ :</w:t>
      </w:r>
      <w:r>
        <w:rPr>
          <w:rFonts w:hint="cs"/>
          <w:rtl/>
          <w:lang w:bidi="fa-IR"/>
        </w:rPr>
        <w:t xml:space="preserve"> </w:t>
      </w:r>
      <w:r w:rsidRPr="00020424">
        <w:rPr>
          <w:rtl/>
          <w:lang w:bidi="fa-IR"/>
        </w:rPr>
        <w:t xml:space="preserve">أَعْطِنِي قَمِيصَكَ » قَالَ </w:t>
      </w:r>
      <w:r w:rsidRPr="00A91B96">
        <w:rPr>
          <w:rStyle w:val="libFootnotenumChar"/>
          <w:rtl/>
        </w:rPr>
        <w:t>(12)</w:t>
      </w:r>
      <w:r w:rsidRPr="00020424">
        <w:rPr>
          <w:rtl/>
          <w:lang w:bidi="fa-IR"/>
        </w:rPr>
        <w:t xml:space="preserve"> : « فَأَخَذَ قَمِيصَهُ ، فَرَمى بِهِ إِلَيْهِ</w:t>
      </w:r>
      <w:r>
        <w:rPr>
          <w:rtl/>
          <w:lang w:bidi="fa-IR"/>
        </w:rPr>
        <w:t xml:space="preserve"> </w:t>
      </w:r>
      <w:r w:rsidR="009B673F">
        <w:rPr>
          <w:rtl/>
          <w:lang w:bidi="fa-IR"/>
        </w:rPr>
        <w:t>-</w:t>
      </w:r>
      <w:r>
        <w:rPr>
          <w:rtl/>
          <w:lang w:bidi="fa-IR"/>
        </w:rPr>
        <w:t xml:space="preserve"> </w:t>
      </w:r>
      <w:r w:rsidRPr="00020424">
        <w:rPr>
          <w:rtl/>
          <w:lang w:bidi="fa-IR"/>
        </w:rPr>
        <w:t xml:space="preserve">وَفِي نُسْخَةٍ أُخْرى </w:t>
      </w:r>
      <w:r w:rsidRPr="00A91B96">
        <w:rPr>
          <w:rStyle w:val="libFootnotenumChar"/>
          <w:rtl/>
        </w:rPr>
        <w:t>(13)</w:t>
      </w:r>
      <w:r w:rsidRPr="00020424">
        <w:rPr>
          <w:rtl/>
          <w:lang w:bidi="fa-IR"/>
        </w:rPr>
        <w:t xml:space="preserve"> :</w:t>
      </w:r>
      <w:r>
        <w:rPr>
          <w:rFonts w:hint="cs"/>
          <w:rtl/>
          <w:lang w:bidi="fa-IR"/>
        </w:rPr>
        <w:t xml:space="preserve"> </w:t>
      </w:r>
      <w:r w:rsidRPr="00020424">
        <w:rPr>
          <w:rtl/>
          <w:lang w:bidi="fa-IR"/>
        </w:rPr>
        <w:t xml:space="preserve">فَأَعْطَاهُ </w:t>
      </w:r>
      <w:r w:rsidRPr="00A91B96">
        <w:rPr>
          <w:rStyle w:val="libFootnotenumChar"/>
          <w:rtl/>
        </w:rPr>
        <w:t>(14)</w:t>
      </w:r>
      <w:r>
        <w:rPr>
          <w:rtl/>
          <w:lang w:bidi="fa-IR"/>
        </w:rPr>
        <w:t xml:space="preserve"> </w:t>
      </w:r>
      <w:r w:rsidR="009B673F">
        <w:rPr>
          <w:rtl/>
          <w:lang w:bidi="fa-IR"/>
        </w:rPr>
        <w:t>-</w:t>
      </w:r>
      <w:r>
        <w:rPr>
          <w:rtl/>
          <w:lang w:bidi="fa-IR"/>
        </w:rPr>
        <w:t xml:space="preserve"> </w:t>
      </w:r>
      <w:r w:rsidRPr="00020424">
        <w:rPr>
          <w:rtl/>
          <w:lang w:bidi="fa-IR"/>
        </w:rPr>
        <w:t xml:space="preserve">فَأَدَّبَهُ اللهُ تَبَارَكَ وَتَعَالى عَلَى الْقَصْدِ </w:t>
      </w:r>
      <w:r w:rsidRPr="00A91B96">
        <w:rPr>
          <w:rStyle w:val="libFootnotenumChar"/>
          <w:rtl/>
        </w:rPr>
        <w:t>(15)</w:t>
      </w:r>
      <w:r w:rsidRPr="00020424">
        <w:rPr>
          <w:rtl/>
          <w:lang w:bidi="fa-IR"/>
        </w:rPr>
        <w:t xml:space="preserve"> ، فَقَالَ : </w:t>
      </w:r>
      <w:r w:rsidRPr="00005A81">
        <w:rPr>
          <w:rStyle w:val="libAlaemChar"/>
          <w:rtl/>
        </w:rPr>
        <w:t>(</w:t>
      </w:r>
      <w:r w:rsidRPr="004E5AB4">
        <w:rPr>
          <w:rStyle w:val="libAieChar"/>
          <w:rtl/>
        </w:rPr>
        <w:t xml:space="preserve"> وَل</w:t>
      </w:r>
      <w:r w:rsidR="007128B9">
        <w:rPr>
          <w:rStyle w:val="libAieChar"/>
          <w:rFonts w:hint="cs"/>
          <w:rtl/>
        </w:rPr>
        <w:t>َ</w:t>
      </w:r>
      <w:r w:rsidRPr="004E5AB4">
        <w:rPr>
          <w:rStyle w:val="libAieChar"/>
          <w:rtl/>
        </w:rPr>
        <w:t xml:space="preserve">ا تَجْعَلْ يَدَكَ مَغْلُولَةً إِلى عُنُقِكَ وَلا تَبْسُطْها كُلَّ الْبَسْطِ فَتَقْعُدَ مَلُوماً مَحْسُوراً </w:t>
      </w:r>
      <w:r w:rsidRPr="00005A81">
        <w:rPr>
          <w:rStyle w:val="libAlaemChar"/>
          <w:rtl/>
        </w:rPr>
        <w:t>)</w:t>
      </w:r>
      <w:r w:rsidRPr="00020424">
        <w:rPr>
          <w:rtl/>
          <w:lang w:bidi="fa-IR"/>
        </w:rPr>
        <w:t xml:space="preserve"> </w:t>
      </w:r>
      <w:r w:rsidRPr="00A91B96">
        <w:rPr>
          <w:rStyle w:val="libFootnotenumChar"/>
          <w:rtl/>
        </w:rPr>
        <w:t>(16)</w:t>
      </w:r>
      <w:r>
        <w:rPr>
          <w:rtl/>
          <w:lang w:bidi="fa-IR"/>
        </w:rPr>
        <w:t xml:space="preserve"> ».</w:t>
      </w:r>
      <w:r w:rsidRPr="00020424">
        <w:rPr>
          <w:rtl/>
          <w:lang w:bidi="fa-IR"/>
        </w:rPr>
        <w:t xml:space="preserve"> </w:t>
      </w:r>
      <w:r w:rsidRPr="00A91B96">
        <w:rPr>
          <w:rStyle w:val="libFootnotenumChar"/>
          <w:rtl/>
        </w:rPr>
        <w:t>(17)</w:t>
      </w:r>
    </w:p>
    <w:p w:rsidR="00992664" w:rsidRPr="00020424" w:rsidRDefault="00992664" w:rsidP="00992664">
      <w:pPr>
        <w:pStyle w:val="libNormal"/>
        <w:rPr>
          <w:rtl/>
          <w:lang w:bidi="fa-IR"/>
        </w:rPr>
      </w:pPr>
      <w:r w:rsidRPr="0005454D">
        <w:rPr>
          <w:rtl/>
        </w:rPr>
        <w:t>6227</w:t>
      </w:r>
      <w:r w:rsidRPr="001155DE">
        <w:rPr>
          <w:rStyle w:val="libBold2Char"/>
          <w:rtl/>
        </w:rPr>
        <w:t xml:space="preserve"> / 8.</w:t>
      </w:r>
      <w:r w:rsidRPr="00020424">
        <w:rPr>
          <w:rtl/>
          <w:lang w:bidi="fa-IR"/>
        </w:rPr>
        <w:t xml:space="preserve"> أَحْمَدُ </w:t>
      </w:r>
      <w:r w:rsidRPr="00A91B96">
        <w:rPr>
          <w:rStyle w:val="libFootnotenumChar"/>
          <w:rtl/>
        </w:rPr>
        <w:t>(18)</w:t>
      </w:r>
      <w:r w:rsidRPr="00020424">
        <w:rPr>
          <w:rtl/>
          <w:lang w:bidi="fa-IR"/>
        </w:rPr>
        <w:t xml:space="preserve"> ، عَنْ مُحَمَّدِ بْنِ عَلِيٍّ ، عَنْ مُحَمَّدِ بْنِ سِنَانٍ :</w:t>
      </w:r>
    </w:p>
    <w:p w:rsidR="00992664" w:rsidRPr="00020424" w:rsidRDefault="00992664" w:rsidP="00992664">
      <w:pPr>
        <w:pStyle w:val="libLine"/>
        <w:rPr>
          <w:rtl/>
          <w:lang w:bidi="fa-IR"/>
        </w:rPr>
      </w:pPr>
      <w:r w:rsidRPr="00020424">
        <w:rPr>
          <w:rtl/>
          <w:lang w:bidi="fa-IR"/>
        </w:rPr>
        <w:t>__________________</w:t>
      </w:r>
    </w:p>
    <w:p w:rsidR="00992664" w:rsidRPr="00020424" w:rsidRDefault="007128B9" w:rsidP="00992664">
      <w:pPr>
        <w:pStyle w:val="libFootnote0"/>
        <w:rPr>
          <w:rtl/>
          <w:lang w:bidi="fa-IR"/>
        </w:rPr>
      </w:pPr>
      <w:r>
        <w:rPr>
          <w:rFonts w:hint="cs"/>
          <w:rtl/>
        </w:rPr>
        <w:t xml:space="preserve">= </w:t>
      </w:r>
      <w:r w:rsidR="00992664" w:rsidRPr="00020424">
        <w:rPr>
          <w:rtl/>
        </w:rPr>
        <w:t xml:space="preserve">عشر صاعاً ، كأنّ فيه كُتَلاً من التمر ، أي قِطَعاً مجتمعة. راجع : </w:t>
      </w:r>
      <w:r w:rsidR="00992664" w:rsidRPr="0012008A">
        <w:rPr>
          <w:rStyle w:val="libFootnoteBoldChar"/>
          <w:rtl/>
        </w:rPr>
        <w:t>الصحاح</w:t>
      </w:r>
      <w:r w:rsidR="00992664" w:rsidRPr="00020424">
        <w:rPr>
          <w:rtl/>
        </w:rPr>
        <w:t xml:space="preserve"> ، ج 5 ، ص 1809 ؛ </w:t>
      </w:r>
      <w:r w:rsidR="00992664" w:rsidRPr="0012008A">
        <w:rPr>
          <w:rStyle w:val="libFootnoteBoldChar"/>
          <w:rtl/>
        </w:rPr>
        <w:t>النهاية</w:t>
      </w:r>
      <w:r w:rsidR="00992664" w:rsidRPr="00020424">
        <w:rPr>
          <w:rtl/>
        </w:rPr>
        <w:t xml:space="preserve"> ، ج 4 ، ص 150 ( كتل )</w:t>
      </w:r>
      <w:r w:rsidR="00992664">
        <w:rPr>
          <w:rtl/>
        </w:rPr>
        <w:t>.</w:t>
      </w:r>
    </w:p>
    <w:tbl>
      <w:tblPr>
        <w:tblStyle w:val="TableGrid"/>
        <w:bidiVisual/>
        <w:tblW w:w="0" w:type="auto"/>
        <w:tblLook w:val="04A0" w:firstRow="1" w:lastRow="0" w:firstColumn="1" w:lastColumn="0" w:noHBand="0" w:noVBand="1"/>
      </w:tblPr>
      <w:tblGrid>
        <w:gridCol w:w="4006"/>
        <w:gridCol w:w="4006"/>
      </w:tblGrid>
      <w:tr w:rsidR="007128B9" w:rsidTr="007128B9">
        <w:tc>
          <w:tcPr>
            <w:tcW w:w="4006" w:type="dxa"/>
          </w:tcPr>
          <w:p w:rsidR="007128B9" w:rsidRDefault="007128B9" w:rsidP="00992664">
            <w:pPr>
              <w:pStyle w:val="libFootnote0"/>
              <w:rPr>
                <w:rtl/>
                <w:lang w:bidi="fa-IR"/>
              </w:rPr>
            </w:pPr>
            <w:r>
              <w:rPr>
                <w:rtl/>
              </w:rPr>
              <w:t xml:space="preserve">(1). </w:t>
            </w:r>
            <w:r w:rsidRPr="00020424">
              <w:rPr>
                <w:rtl/>
              </w:rPr>
              <w:t>في « بر » :</w:t>
            </w:r>
            <w:r>
              <w:rPr>
                <w:rtl/>
              </w:rPr>
              <w:t xml:space="preserve"> - </w:t>
            </w:r>
            <w:r w:rsidRPr="00020424">
              <w:rPr>
                <w:rtl/>
              </w:rPr>
              <w:t>« فيه تمر</w:t>
            </w:r>
            <w:r>
              <w:rPr>
                <w:rtl/>
              </w:rPr>
              <w:t xml:space="preserve"> ».</w:t>
            </w:r>
          </w:p>
        </w:tc>
        <w:tc>
          <w:tcPr>
            <w:tcW w:w="4006" w:type="dxa"/>
          </w:tcPr>
          <w:p w:rsidR="007128B9" w:rsidRDefault="007128B9" w:rsidP="00992664">
            <w:pPr>
              <w:pStyle w:val="libFootnote0"/>
              <w:rPr>
                <w:rtl/>
                <w:lang w:bidi="fa-IR"/>
              </w:rPr>
            </w:pPr>
            <w:r>
              <w:rPr>
                <w:rtl/>
              </w:rPr>
              <w:t xml:space="preserve">(2). </w:t>
            </w:r>
            <w:r w:rsidR="000A264A">
              <w:rPr>
                <w:rtl/>
              </w:rPr>
              <w:t>في «بح» :«</w:t>
            </w:r>
            <w:r w:rsidRPr="00020424">
              <w:rPr>
                <w:rtl/>
              </w:rPr>
              <w:t>فملأ</w:t>
            </w:r>
            <w:r>
              <w:rPr>
                <w:rtl/>
              </w:rPr>
              <w:t xml:space="preserve"> ».</w:t>
            </w:r>
            <w:r w:rsidR="000A264A">
              <w:rPr>
                <w:rtl/>
              </w:rPr>
              <w:t xml:space="preserve"> وفي «بك</w:t>
            </w:r>
            <w:r w:rsidRPr="00020424">
              <w:rPr>
                <w:rtl/>
              </w:rPr>
              <w:t>» : « فسأل</w:t>
            </w:r>
            <w:r>
              <w:rPr>
                <w:rtl/>
              </w:rPr>
              <w:t xml:space="preserve"> ».</w:t>
            </w:r>
          </w:p>
        </w:tc>
      </w:tr>
      <w:tr w:rsidR="007128B9" w:rsidTr="007128B9">
        <w:tc>
          <w:tcPr>
            <w:tcW w:w="4006" w:type="dxa"/>
          </w:tcPr>
          <w:p w:rsidR="007128B9" w:rsidRDefault="007128B9" w:rsidP="00992664">
            <w:pPr>
              <w:pStyle w:val="libFootnote0"/>
              <w:rPr>
                <w:rtl/>
                <w:lang w:bidi="fa-IR"/>
              </w:rPr>
            </w:pPr>
            <w:r>
              <w:rPr>
                <w:rtl/>
              </w:rPr>
              <w:t xml:space="preserve">(3). </w:t>
            </w:r>
            <w:r w:rsidRPr="00020424">
              <w:rPr>
                <w:rtl/>
              </w:rPr>
              <w:t>في « بح » :</w:t>
            </w:r>
            <w:r>
              <w:rPr>
                <w:rtl/>
              </w:rPr>
              <w:t xml:space="preserve"> - </w:t>
            </w:r>
            <w:r w:rsidRPr="00020424">
              <w:rPr>
                <w:rtl/>
              </w:rPr>
              <w:t>« فقام فأخذ</w:t>
            </w:r>
            <w:r>
              <w:rPr>
                <w:rtl/>
              </w:rPr>
              <w:t xml:space="preserve"> ».</w:t>
            </w:r>
          </w:p>
        </w:tc>
        <w:tc>
          <w:tcPr>
            <w:tcW w:w="4006" w:type="dxa"/>
          </w:tcPr>
          <w:p w:rsidR="007128B9" w:rsidRDefault="007128B9" w:rsidP="00992664">
            <w:pPr>
              <w:pStyle w:val="libFootnote0"/>
              <w:rPr>
                <w:rtl/>
                <w:lang w:bidi="fa-IR"/>
              </w:rPr>
            </w:pPr>
            <w:r>
              <w:rPr>
                <w:rtl/>
              </w:rPr>
              <w:t xml:space="preserve">(4). </w:t>
            </w:r>
            <w:r w:rsidRPr="00020424">
              <w:rPr>
                <w:rtl/>
              </w:rPr>
              <w:t>في « بح » : « يده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بح » : « جاءه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فسأله فقام</w:t>
      </w:r>
      <w:r w:rsidR="00992664">
        <w:rPr>
          <w:rtl/>
        </w:rPr>
        <w:t xml:space="preserve"> ».</w:t>
      </w:r>
      <w:r w:rsidR="00992664" w:rsidRPr="00020424">
        <w:rPr>
          <w:rtl/>
        </w:rPr>
        <w:t xml:space="preserve"> وفي « بف » :</w:t>
      </w:r>
      <w:r w:rsidR="00992664">
        <w:rPr>
          <w:rtl/>
        </w:rPr>
        <w:t xml:space="preserve"> </w:t>
      </w:r>
      <w:r w:rsidR="009B673F">
        <w:rPr>
          <w:rtl/>
        </w:rPr>
        <w:t>-</w:t>
      </w:r>
      <w:r w:rsidR="00992664">
        <w:rPr>
          <w:rtl/>
        </w:rPr>
        <w:t xml:space="preserve"> </w:t>
      </w:r>
      <w:r w:rsidR="00992664" w:rsidRPr="00020424">
        <w:rPr>
          <w:rtl/>
        </w:rPr>
        <w:t>« فقام</w:t>
      </w:r>
      <w:r w:rsidR="00992664">
        <w:rPr>
          <w:rtl/>
        </w:rPr>
        <w:t xml:space="preserve"> ».</w:t>
      </w:r>
      <w:r w:rsidR="00992664" w:rsidRPr="00020424">
        <w:rPr>
          <w:rtl/>
        </w:rPr>
        <w:t xml:space="preserve"> في « بخ » : « « فقام فسأله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ى ، بث ، بخ ، بر ، بف ، بك ، جن » </w:t>
      </w:r>
      <w:r w:rsidR="00992664" w:rsidRPr="000A264A">
        <w:rPr>
          <w:rtl/>
        </w:rPr>
        <w:t>والوافي والوسائل</w:t>
      </w:r>
      <w:r w:rsidR="00992664" w:rsidRPr="00020424">
        <w:rPr>
          <w:rtl/>
        </w:rPr>
        <w:t xml:space="preserve"> وتفسير العيّاشي. وفي بعض النسخ والمطبوع : + « فسأله ، فقام ، فأخذ بيده ، فناوله ، ثمّ جاء آخر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A264A" w:rsidTr="000A264A">
        <w:tc>
          <w:tcPr>
            <w:tcW w:w="4006" w:type="dxa"/>
          </w:tcPr>
          <w:p w:rsidR="000A264A" w:rsidRDefault="000A264A" w:rsidP="00992664">
            <w:pPr>
              <w:pStyle w:val="libFootnote0"/>
              <w:rPr>
                <w:rtl/>
              </w:rPr>
            </w:pPr>
            <w:r>
              <w:rPr>
                <w:rtl/>
              </w:rPr>
              <w:t xml:space="preserve">(8). </w:t>
            </w:r>
            <w:r w:rsidRPr="00020424">
              <w:rPr>
                <w:rtl/>
              </w:rPr>
              <w:t xml:space="preserve">في « بر ، بف ، بك » </w:t>
            </w:r>
            <w:r w:rsidRPr="000A264A">
              <w:rPr>
                <w:rtl/>
              </w:rPr>
              <w:t>والوافي</w:t>
            </w:r>
            <w:r w:rsidRPr="00020424">
              <w:rPr>
                <w:rtl/>
              </w:rPr>
              <w:t xml:space="preserve"> : « يرزقنا</w:t>
            </w:r>
            <w:r>
              <w:rPr>
                <w:rtl/>
              </w:rPr>
              <w:t xml:space="preserve"> ».</w:t>
            </w:r>
          </w:p>
        </w:tc>
        <w:tc>
          <w:tcPr>
            <w:tcW w:w="4006" w:type="dxa"/>
          </w:tcPr>
          <w:p w:rsidR="000A264A" w:rsidRDefault="000A264A" w:rsidP="00992664">
            <w:pPr>
              <w:pStyle w:val="libFootnote0"/>
              <w:rPr>
                <w:rtl/>
              </w:rPr>
            </w:pPr>
            <w:r>
              <w:rPr>
                <w:rtl/>
              </w:rPr>
              <w:t xml:space="preserve">(9). </w:t>
            </w:r>
            <w:r w:rsidRPr="00020424">
              <w:rPr>
                <w:rtl/>
              </w:rPr>
              <w:t>في « بث ، بف » : + « الله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 « وسله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بح ، بر ، بس ، بك » </w:t>
      </w:r>
      <w:r w:rsidR="00992664" w:rsidRPr="000A264A">
        <w:rPr>
          <w:rtl/>
        </w:rPr>
        <w:t>والوسائل</w:t>
      </w:r>
      <w:r w:rsidR="00992664" w:rsidRPr="00020424">
        <w:rPr>
          <w:rtl/>
        </w:rPr>
        <w:t xml:space="preserve"> وتفسير العيّاشي :</w:t>
      </w:r>
      <w:r w:rsidR="00992664">
        <w:rPr>
          <w:rtl/>
        </w:rPr>
        <w:t xml:space="preserve"> </w:t>
      </w:r>
      <w:r w:rsidR="009B673F">
        <w:rPr>
          <w:rtl/>
        </w:rPr>
        <w:t>-</w:t>
      </w:r>
      <w:r w:rsidR="00992664">
        <w:rPr>
          <w:rtl/>
        </w:rPr>
        <w:t xml:space="preserve"> </w:t>
      </w:r>
      <w:r w:rsidR="00992664" w:rsidRPr="00020424">
        <w:rPr>
          <w:rtl/>
        </w:rPr>
        <w:t>« لك</w:t>
      </w:r>
      <w:r w:rsidR="00992664">
        <w:rPr>
          <w:rtl/>
        </w:rPr>
        <w:t xml:space="preserve"> ».</w:t>
      </w:r>
      <w:r w:rsidR="00992664" w:rsidRPr="00020424">
        <w:rPr>
          <w:rtl/>
        </w:rPr>
        <w:t xml:space="preserve"> وفي « جن » :</w:t>
      </w:r>
      <w:r w:rsidR="00992664">
        <w:rPr>
          <w:rtl/>
        </w:rPr>
        <w:t xml:space="preserve"> </w:t>
      </w:r>
      <w:r w:rsidR="009B673F">
        <w:rPr>
          <w:rtl/>
        </w:rPr>
        <w:t>-</w:t>
      </w:r>
      <w:r w:rsidR="00992664">
        <w:rPr>
          <w:rtl/>
        </w:rPr>
        <w:t xml:space="preserve"> </w:t>
      </w:r>
      <w:r w:rsidR="00992664" w:rsidRPr="00020424">
        <w:rPr>
          <w:rtl/>
        </w:rPr>
        <w:t>« قال لك</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بر ، بف ، بك » </w:t>
      </w:r>
      <w:r w:rsidR="00992664" w:rsidRPr="000A264A">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فرمى به إليه. وفي نسخة ا</w:t>
      </w:r>
      <w:r w:rsidR="000A264A">
        <w:rPr>
          <w:rFonts w:hint="cs"/>
          <w:rtl/>
        </w:rPr>
        <w:t>ُ</w:t>
      </w:r>
      <w:r w:rsidR="00992664" w:rsidRPr="00020424">
        <w:rPr>
          <w:rtl/>
        </w:rPr>
        <w:t>خرى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A264A" w:rsidTr="000A264A">
        <w:tc>
          <w:tcPr>
            <w:tcW w:w="4006" w:type="dxa"/>
          </w:tcPr>
          <w:p w:rsidR="000A264A" w:rsidRDefault="000A264A" w:rsidP="00992664">
            <w:pPr>
              <w:pStyle w:val="libFootnote0"/>
              <w:rPr>
                <w:rtl/>
                <w:lang w:bidi="fa-IR"/>
              </w:rPr>
            </w:pPr>
            <w:r>
              <w:rPr>
                <w:rtl/>
              </w:rPr>
              <w:t xml:space="preserve">(14). </w:t>
            </w:r>
            <w:r w:rsidRPr="00020424">
              <w:rPr>
                <w:rtl/>
              </w:rPr>
              <w:t>في « بث ، بس ، جن » : « وأعطاه</w:t>
            </w:r>
            <w:r>
              <w:rPr>
                <w:rtl/>
              </w:rPr>
              <w:t xml:space="preserve"> ».</w:t>
            </w:r>
          </w:p>
        </w:tc>
        <w:tc>
          <w:tcPr>
            <w:tcW w:w="4006" w:type="dxa"/>
          </w:tcPr>
          <w:p w:rsidR="000A264A" w:rsidRDefault="000A264A" w:rsidP="00992664">
            <w:pPr>
              <w:pStyle w:val="libFootnote0"/>
              <w:rPr>
                <w:rtl/>
                <w:lang w:bidi="fa-IR"/>
              </w:rPr>
            </w:pPr>
            <w:r>
              <w:rPr>
                <w:rtl/>
              </w:rPr>
              <w:t xml:space="preserve">(15). </w:t>
            </w:r>
            <w:r w:rsidRPr="00020424">
              <w:rPr>
                <w:rtl/>
              </w:rPr>
              <w:t>في « بر ، بك » : « القصّة</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الإسراء </w:t>
      </w:r>
      <w:r w:rsidR="000A264A">
        <w:rPr>
          <w:rtl/>
        </w:rPr>
        <w:t>(17)</w:t>
      </w:r>
      <w:r w:rsidR="0014403D">
        <w:rPr>
          <w:rtl/>
        </w:rPr>
        <w:t xml:space="preserve"> </w:t>
      </w:r>
      <w:r w:rsidR="00992664" w:rsidRPr="00020424">
        <w:rPr>
          <w:rtl/>
        </w:rPr>
        <w:t>: 29.</w:t>
      </w:r>
    </w:p>
    <w:p w:rsidR="00992664" w:rsidRPr="00020424" w:rsidRDefault="00795177" w:rsidP="00992664">
      <w:pPr>
        <w:pStyle w:val="libFootnote0"/>
        <w:rPr>
          <w:rtl/>
          <w:lang w:bidi="fa-IR"/>
        </w:rPr>
      </w:pPr>
      <w:r>
        <w:rPr>
          <w:rtl/>
        </w:rPr>
        <w:t>(17).</w:t>
      </w:r>
      <w:r w:rsidR="0014403D">
        <w:rPr>
          <w:rtl/>
        </w:rPr>
        <w:t xml:space="preserve"> </w:t>
      </w:r>
      <w:r w:rsidR="00992664" w:rsidRPr="00DE76B9">
        <w:rPr>
          <w:rStyle w:val="libFootnoteBoldChar"/>
          <w:rtl/>
        </w:rPr>
        <w:t>تفسيرالعيّاشي</w:t>
      </w:r>
      <w:r w:rsidR="00992664" w:rsidRPr="00020424">
        <w:rPr>
          <w:rtl/>
        </w:rPr>
        <w:t xml:space="preserve"> ، ج 2 ، ص 289 ، ح 59 ، عن عجلان ، مع اختلاف يسير </w:t>
      </w:r>
      <w:r w:rsidR="000A264A">
        <w:rPr>
          <w:rFonts w:hint="cs"/>
          <w:rtl/>
        </w:rPr>
        <w:t>.</w:t>
      </w:r>
      <w:r w:rsidR="00992664" w:rsidRPr="0012008A">
        <w:rPr>
          <w:rStyle w:val="libFootnoteBoldChar"/>
          <w:rtl/>
        </w:rPr>
        <w:t>الوافي</w:t>
      </w:r>
      <w:r w:rsidR="00992664" w:rsidRPr="00020424">
        <w:rPr>
          <w:rtl/>
        </w:rPr>
        <w:t xml:space="preserve"> ، ج 10 ، ص 501 ، ح 9982 ؛ </w:t>
      </w:r>
      <w:r w:rsidR="00992664" w:rsidRPr="0012008A">
        <w:rPr>
          <w:rStyle w:val="libFootnoteBoldChar"/>
          <w:rtl/>
        </w:rPr>
        <w:t>الوسائل</w:t>
      </w:r>
      <w:r w:rsidR="00992664" w:rsidRPr="00020424">
        <w:rPr>
          <w:rtl/>
        </w:rPr>
        <w:t xml:space="preserve"> ، ج 21 ، ص 559 ، ح 27870 ؛ </w:t>
      </w:r>
      <w:r w:rsidR="00992664" w:rsidRPr="0012008A">
        <w:rPr>
          <w:rStyle w:val="libFootnoteBoldChar"/>
          <w:rtl/>
        </w:rPr>
        <w:t>البحار</w:t>
      </w:r>
      <w:r w:rsidR="00992664" w:rsidRPr="00020424">
        <w:rPr>
          <w:rtl/>
        </w:rPr>
        <w:t xml:space="preserve"> ، ج 16 ، ص 271 ، ح 90 ، قطعة منه.</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 xml:space="preserve">هكذا في النسخ. وفي </w:t>
      </w:r>
      <w:r w:rsidR="00992664" w:rsidRPr="0012008A">
        <w:rPr>
          <w:rStyle w:val="libFootnoteBoldChar"/>
          <w:rtl/>
        </w:rPr>
        <w:t>الوسائل</w:t>
      </w:r>
      <w:r w:rsidR="00992664" w:rsidRPr="00020424">
        <w:rPr>
          <w:rtl/>
        </w:rPr>
        <w:t xml:space="preserve"> : + « بن أبي عبد الله</w:t>
      </w:r>
      <w:r w:rsidR="00992664">
        <w:rPr>
          <w:rtl/>
        </w:rPr>
        <w:t xml:space="preserve"> ».</w:t>
      </w:r>
      <w:r w:rsidR="00992664" w:rsidRPr="00020424">
        <w:rPr>
          <w:rtl/>
        </w:rPr>
        <w:t xml:space="preserve"> وفي المطبوع : + « بن محمّد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وَكانَ بَيْنَ ذلِكَ قَواماً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قَالَ : « الْقَوَامُ هُوَ الْمَعْرُوفُ</w:t>
      </w:r>
      <w:r>
        <w:rPr>
          <w:rFonts w:hint="cs"/>
          <w:rtl/>
          <w:lang w:bidi="fa-IR"/>
        </w:rPr>
        <w:t xml:space="preserve"> </w:t>
      </w:r>
      <w:r w:rsidRPr="00005A81">
        <w:rPr>
          <w:rStyle w:val="libAlaemChar"/>
          <w:rtl/>
        </w:rPr>
        <w:t>(</w:t>
      </w:r>
      <w:r w:rsidRPr="00FE1DCB">
        <w:rPr>
          <w:rtl/>
        </w:rPr>
        <w:t xml:space="preserve"> </w:t>
      </w:r>
      <w:r w:rsidRPr="004E5AB4">
        <w:rPr>
          <w:rStyle w:val="libAieChar"/>
          <w:rtl/>
        </w:rPr>
        <w:t xml:space="preserve">عَلَى الْمُوسِعِ قَدَرُهُ وَعَلَى الْمُقْتِرِ قَدَرُهُ </w:t>
      </w:r>
      <w:r w:rsidRPr="00A91B96">
        <w:rPr>
          <w:rStyle w:val="libFootnotenumChar"/>
          <w:rtl/>
        </w:rPr>
        <w:t>(2)</w:t>
      </w:r>
      <w:r w:rsidRPr="00020424">
        <w:rPr>
          <w:rtl/>
          <w:lang w:bidi="fa-IR"/>
        </w:rPr>
        <w:t xml:space="preserve"> </w:t>
      </w:r>
      <w:r w:rsidRPr="00005A81">
        <w:rPr>
          <w:rStyle w:val="libAlaemChar"/>
          <w:rtl/>
        </w:rPr>
        <w:t>)</w:t>
      </w:r>
      <w:r w:rsidRPr="0005454D">
        <w:rPr>
          <w:rtl/>
        </w:rPr>
        <w:t xml:space="preserve"> </w:t>
      </w:r>
      <w:r w:rsidRPr="00A91B96">
        <w:rPr>
          <w:rStyle w:val="libFootnotenumChar"/>
          <w:rtl/>
        </w:rPr>
        <w:t>(3)</w:t>
      </w:r>
      <w:r w:rsidRPr="00020424">
        <w:rPr>
          <w:rtl/>
          <w:lang w:bidi="fa-IR"/>
        </w:rPr>
        <w:t xml:space="preserve"> : عَلى قَدْرِ عِيَالِهِ وَمَؤُونَتِهِمُ </w:t>
      </w:r>
      <w:r w:rsidRPr="00A91B96">
        <w:rPr>
          <w:rStyle w:val="libFootnotenumChar"/>
          <w:rtl/>
        </w:rPr>
        <w:t>(4)</w:t>
      </w:r>
      <w:r w:rsidRPr="00020424">
        <w:rPr>
          <w:rtl/>
          <w:lang w:bidi="fa-IR"/>
        </w:rPr>
        <w:t xml:space="preserve"> الَّتِي هِيَ صَلَاحٌ لَهُ وَلَهُمْ ، وَ</w:t>
      </w:r>
      <w:r>
        <w:rPr>
          <w:rFonts w:hint="cs"/>
          <w:rtl/>
          <w:lang w:bidi="fa-IR"/>
        </w:rPr>
        <w:t xml:space="preserve"> </w:t>
      </w:r>
      <w:r w:rsidRPr="00005A81">
        <w:rPr>
          <w:rStyle w:val="libAlaemChar"/>
          <w:rtl/>
        </w:rPr>
        <w:t>(</w:t>
      </w:r>
      <w:r w:rsidRPr="004E5AB4">
        <w:rPr>
          <w:rStyle w:val="libAieChar"/>
          <w:rtl/>
        </w:rPr>
        <w:t xml:space="preserve"> ل</w:t>
      </w:r>
      <w:r w:rsidR="000A264A">
        <w:rPr>
          <w:rStyle w:val="libAieChar"/>
          <w:rFonts w:hint="cs"/>
          <w:rtl/>
        </w:rPr>
        <w:t>َ</w:t>
      </w:r>
      <w:r w:rsidR="000A264A">
        <w:rPr>
          <w:rStyle w:val="libAieChar"/>
          <w:rtl/>
        </w:rPr>
        <w:t>ا يُكَلِّفُ اللهُ نَفْساً إِل</w:t>
      </w:r>
      <w:r w:rsidR="000A264A">
        <w:rPr>
          <w:rStyle w:val="libAieChar"/>
          <w:rFonts w:hint="cs"/>
          <w:rtl/>
        </w:rPr>
        <w:t>َّ</w:t>
      </w:r>
      <w:r w:rsidR="000A264A">
        <w:rPr>
          <w:rStyle w:val="libAieChar"/>
          <w:rtl/>
        </w:rPr>
        <w:t>ا</w:t>
      </w:r>
      <w:r w:rsidRPr="004E5AB4">
        <w:rPr>
          <w:rStyle w:val="libAieChar"/>
          <w:rtl/>
        </w:rPr>
        <w:t xml:space="preserve"> ما آتاها </w:t>
      </w:r>
      <w:r w:rsidRPr="00005A81">
        <w:rPr>
          <w:rStyle w:val="libAlaemChar"/>
          <w:rtl/>
        </w:rPr>
        <w:t>)</w:t>
      </w:r>
      <w:r w:rsidRPr="00020424">
        <w:rPr>
          <w:rtl/>
          <w:lang w:bidi="fa-IR"/>
        </w:rPr>
        <w:t xml:space="preserve">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5454D">
        <w:rPr>
          <w:rtl/>
        </w:rPr>
        <w:t>6228</w:t>
      </w:r>
      <w:r w:rsidRPr="001155DE">
        <w:rPr>
          <w:rStyle w:val="libBold2Char"/>
          <w:rtl/>
        </w:rPr>
        <w:t xml:space="preserve"> / 9.</w:t>
      </w:r>
      <w:r w:rsidRPr="00020424">
        <w:rPr>
          <w:rtl/>
          <w:lang w:bidi="fa-IR"/>
        </w:rPr>
        <w:t xml:space="preserve"> عِدَّةٌ مِنْ أَصْحَابِنَا ، عَنْ سَهْلِ بْنِ زِيَادٍ وَأَحْمَدَ بْنِ مُحَمَّدٍ </w:t>
      </w:r>
      <w:r w:rsidRPr="00A91B96">
        <w:rPr>
          <w:rStyle w:val="libFootnotenumChar"/>
          <w:rtl/>
        </w:rPr>
        <w:t>(7)</w:t>
      </w:r>
      <w:r w:rsidRPr="00020424">
        <w:rPr>
          <w:rtl/>
          <w:lang w:bidi="fa-IR"/>
        </w:rPr>
        <w:t xml:space="preserve"> ، عَنِ الْحَسَنِ </w:t>
      </w:r>
      <w:r w:rsidRPr="00A91B96">
        <w:rPr>
          <w:rStyle w:val="libFootnotenumChar"/>
          <w:rtl/>
        </w:rPr>
        <w:t>(8)</w:t>
      </w:r>
      <w:r w:rsidRPr="00020424">
        <w:rPr>
          <w:rtl/>
          <w:lang w:bidi="fa-IR"/>
        </w:rPr>
        <w:t xml:space="preserve"> بْنِ مَحْبُوبٍ :</w:t>
      </w:r>
    </w:p>
    <w:p w:rsidR="00992664" w:rsidRPr="00020424" w:rsidRDefault="00992664" w:rsidP="00992664">
      <w:pPr>
        <w:pStyle w:val="libNormal"/>
        <w:rPr>
          <w:rtl/>
          <w:lang w:bidi="fa-IR"/>
        </w:rPr>
      </w:pPr>
      <w:r w:rsidRPr="00020424">
        <w:rPr>
          <w:rtl/>
          <w:lang w:bidi="fa-IR"/>
        </w:rPr>
        <w:t xml:space="preserve">عَنْ عَبْدِ اللهِ بْنِ سِنَانٍ </w:t>
      </w:r>
      <w:r w:rsidRPr="00A91B96">
        <w:rPr>
          <w:rStyle w:val="libFootnotenumChar"/>
          <w:rtl/>
        </w:rPr>
        <w:t>(9)</w:t>
      </w:r>
      <w:r w:rsidRPr="00020424">
        <w:rPr>
          <w:rtl/>
          <w:lang w:bidi="fa-IR"/>
        </w:rPr>
        <w:t xml:space="preserve"> فِي قَوْلِهِ </w:t>
      </w:r>
      <w:r w:rsidRPr="00A91B96">
        <w:rPr>
          <w:rStyle w:val="libFootnotenumChar"/>
          <w:rtl/>
        </w:rPr>
        <w:t>(10)</w:t>
      </w:r>
      <w:r w:rsidRPr="00020424">
        <w:rPr>
          <w:rtl/>
          <w:lang w:bidi="fa-IR"/>
        </w:rPr>
        <w:t xml:space="preserve"> تَعَالى : </w:t>
      </w:r>
      <w:r w:rsidRPr="00005A81">
        <w:rPr>
          <w:rStyle w:val="libAlaemChar"/>
          <w:rtl/>
        </w:rPr>
        <w:t>(</w:t>
      </w:r>
      <w:r w:rsidRPr="004E5AB4">
        <w:rPr>
          <w:rStyle w:val="libAieChar"/>
          <w:rtl/>
        </w:rPr>
        <w:t xml:space="preserve"> وَالَّذِينَ إِذا أَنْفَقُوا لَمْ يُسْرِفُوا وَلَمْ يَقْتُرُوا وَكانَ بَيْنَ ذلِكَ قَواماً </w:t>
      </w:r>
      <w:r w:rsidRPr="00005A81">
        <w:rPr>
          <w:rStyle w:val="libAlaemChar"/>
          <w:rtl/>
        </w:rPr>
        <w:t>)</w:t>
      </w:r>
      <w:r w:rsidRPr="00020424">
        <w:rPr>
          <w:rtl/>
          <w:lang w:bidi="fa-IR"/>
        </w:rPr>
        <w:t xml:space="preserve"> </w:t>
      </w:r>
      <w:r w:rsidRPr="00A91B96">
        <w:rPr>
          <w:rStyle w:val="libFootnotenumChar"/>
          <w:rtl/>
        </w:rPr>
        <w:t>(11)</w:t>
      </w:r>
      <w:r w:rsidRPr="00020424">
        <w:rPr>
          <w:rtl/>
          <w:lang w:bidi="fa-IR"/>
        </w:rPr>
        <w:t xml:space="preserve"> فَبَسَطَ كَفَّهُ ، وَفَرَّقَ </w:t>
      </w:r>
      <w:r w:rsidRPr="00A91B96">
        <w:rPr>
          <w:rStyle w:val="libFootnotenumChar"/>
          <w:rtl/>
        </w:rPr>
        <w:t>(12)</w:t>
      </w:r>
      <w:r w:rsidRPr="00020424">
        <w:rPr>
          <w:rtl/>
          <w:lang w:bidi="fa-IR"/>
        </w:rPr>
        <w:t xml:space="preserve"> أَصَابِعَهُ ، وَحَنَاهَا </w:t>
      </w:r>
      <w:r w:rsidRPr="00A91B96">
        <w:rPr>
          <w:rStyle w:val="libFootnotenumChar"/>
          <w:rtl/>
        </w:rPr>
        <w:t>(13)</w:t>
      </w:r>
      <w:r w:rsidRPr="00020424">
        <w:rPr>
          <w:rtl/>
          <w:lang w:bidi="fa-IR"/>
        </w:rPr>
        <w:t xml:space="preserve"> شَيْئاً </w:t>
      </w:r>
      <w:r w:rsidRPr="00A91B96">
        <w:rPr>
          <w:rStyle w:val="libFootnotenumChar"/>
          <w:rtl/>
        </w:rPr>
        <w:t>(14)</w:t>
      </w:r>
      <w:r w:rsidRPr="00020424">
        <w:rPr>
          <w:rtl/>
          <w:lang w:bidi="fa-IR"/>
        </w:rPr>
        <w:t xml:space="preserve"> ؛ وَعَنْ </w:t>
      </w:r>
      <w:r w:rsidRPr="00A91B96">
        <w:rPr>
          <w:rStyle w:val="libFootnotenumChar"/>
          <w:rtl/>
        </w:rPr>
        <w:t>(15)</w:t>
      </w:r>
      <w:r w:rsidRPr="00020424">
        <w:rPr>
          <w:rtl/>
          <w:lang w:bidi="fa-IR"/>
        </w:rPr>
        <w:t xml:space="preserve"> قَوْلِهِ تَعَالى : </w:t>
      </w:r>
      <w:r w:rsidRPr="00005A81">
        <w:rPr>
          <w:rStyle w:val="libAlaemChar"/>
          <w:rtl/>
        </w:rPr>
        <w:t>(</w:t>
      </w:r>
      <w:r w:rsidRPr="004E5AB4">
        <w:rPr>
          <w:rStyle w:val="libAieChar"/>
          <w:rtl/>
        </w:rPr>
        <w:t xml:space="preserve"> وَل</w:t>
      </w:r>
      <w:r w:rsidR="000A264A">
        <w:rPr>
          <w:rStyle w:val="libAieChar"/>
          <w:rFonts w:hint="cs"/>
          <w:rtl/>
        </w:rPr>
        <w:t>َ</w:t>
      </w:r>
      <w:r w:rsidRPr="004E5AB4">
        <w:rPr>
          <w:rStyle w:val="libAieChar"/>
          <w:rtl/>
        </w:rPr>
        <w:t xml:space="preserve">ا تَبْسُطْها كُلَّ الْبَسْطِ </w:t>
      </w:r>
      <w:r w:rsidRPr="00005A81">
        <w:rPr>
          <w:rStyle w:val="libAlaemChar"/>
          <w:rtl/>
        </w:rPr>
        <w:t>)</w:t>
      </w:r>
      <w:r w:rsidRPr="00020424">
        <w:rPr>
          <w:rtl/>
          <w:lang w:bidi="fa-IR"/>
        </w:rPr>
        <w:t xml:space="preserve"> </w:t>
      </w:r>
      <w:r w:rsidRPr="00A91B96">
        <w:rPr>
          <w:rStyle w:val="libFootnotenumChar"/>
          <w:rtl/>
        </w:rPr>
        <w:t>(16)</w:t>
      </w:r>
      <w:r w:rsidRPr="00020424">
        <w:rPr>
          <w:rtl/>
          <w:lang w:bidi="fa-IR"/>
        </w:rPr>
        <w:t xml:space="preserve"> فَبَسَطَ </w:t>
      </w:r>
      <w:r w:rsidRPr="00A91B96">
        <w:rPr>
          <w:rStyle w:val="libFootnotenumChar"/>
          <w:rtl/>
        </w:rPr>
        <w:t>(17)</w:t>
      </w:r>
      <w:r w:rsidRPr="00020424">
        <w:rPr>
          <w:rtl/>
          <w:lang w:bidi="fa-IR"/>
        </w:rPr>
        <w:t xml:space="preserve"> رَاحَتَهُ </w:t>
      </w:r>
      <w:r w:rsidRPr="00A91B96">
        <w:rPr>
          <w:rStyle w:val="libFootnotenumChar"/>
          <w:rtl/>
        </w:rPr>
        <w:t>(18)</w:t>
      </w:r>
      <w:r w:rsidRPr="00020424">
        <w:rPr>
          <w:rtl/>
          <w:lang w:bidi="fa-IR"/>
        </w:rPr>
        <w:t xml:space="preserve"> ، وَقَالَ : هكَذَا ، وَقَالَ : الْقَوَامُ مَا‌</w:t>
      </w:r>
    </w:p>
    <w:p w:rsidR="00992664" w:rsidRPr="00020424" w:rsidRDefault="00992664" w:rsidP="00992664">
      <w:pPr>
        <w:pStyle w:val="libLine"/>
        <w:rPr>
          <w:rtl/>
          <w:lang w:bidi="fa-IR"/>
        </w:rPr>
      </w:pPr>
      <w:r w:rsidRPr="00020424">
        <w:rPr>
          <w:rtl/>
          <w:lang w:bidi="fa-IR"/>
        </w:rPr>
        <w:t>__________________</w:t>
      </w:r>
    </w:p>
    <w:p w:rsidR="00992664" w:rsidRPr="00020424" w:rsidRDefault="000A264A" w:rsidP="00992664">
      <w:pPr>
        <w:pStyle w:val="libFootnote0"/>
        <w:rPr>
          <w:rtl/>
          <w:lang w:bidi="fa-IR"/>
        </w:rPr>
      </w:pPr>
      <w:r>
        <w:rPr>
          <w:rFonts w:hint="cs"/>
          <w:rtl/>
        </w:rPr>
        <w:t xml:space="preserve">= </w:t>
      </w:r>
      <w:r w:rsidR="00992664" w:rsidRPr="000A264A">
        <w:rPr>
          <w:rtl/>
        </w:rPr>
        <w:t xml:space="preserve">ثمّ إنّ السند معلّق على سابقه. ويروي عن أحمد ، عليّ بن محمّد. فقد توسّط أحمد بن أبي عبد الله بين محمّد بن عليّ وبين عليّ بن محمّد المتّحد مع عليّ بن محمّد بن بندار وعليّ بن محمّد بن عبد الله في عددٍ من الأسناد. راجع : </w:t>
      </w:r>
      <w:r w:rsidR="00992664" w:rsidRPr="00DE76B9">
        <w:rPr>
          <w:rStyle w:val="libFootnoteBoldChar"/>
          <w:rtl/>
        </w:rPr>
        <w:t>معجم رجال الحديث</w:t>
      </w:r>
      <w:r w:rsidR="00992664" w:rsidRPr="000A264A">
        <w:rPr>
          <w:rtl/>
        </w:rPr>
        <w:t xml:space="preserve"> ، ج 2 ، ص 404 </w:t>
      </w:r>
      <w:r w:rsidR="009B673F" w:rsidRPr="000A264A">
        <w:rPr>
          <w:rtl/>
        </w:rPr>
        <w:t>-</w:t>
      </w:r>
      <w:r w:rsidR="00992664" w:rsidRPr="000A264A">
        <w:rPr>
          <w:rtl/>
        </w:rPr>
        <w:t xml:space="preserve"> 405.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الفرقان (25) : 67. </w:t>
      </w:r>
      <w:r w:rsidR="00992664">
        <w:rPr>
          <w:rtl/>
        </w:rPr>
        <w:t>و «</w:t>
      </w:r>
      <w:r w:rsidR="00992664" w:rsidRPr="00020424">
        <w:rPr>
          <w:rtl/>
        </w:rPr>
        <w:t xml:space="preserve"> قَواماً » أي وسطاً وعدلاً.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0A264A">
        <w:rPr>
          <w:rtl/>
        </w:rPr>
        <w:t>والوافي والوسائل</w:t>
      </w:r>
      <w:r w:rsidR="00992664" w:rsidRPr="00020424">
        <w:rPr>
          <w:rtl/>
        </w:rPr>
        <w:t xml:space="preserve">. وفي المطبوع : + </w:t>
      </w:r>
      <w:r w:rsidR="00992664" w:rsidRPr="00834221">
        <w:rPr>
          <w:rStyle w:val="libFootnoteAlaemChar"/>
          <w:rtl/>
        </w:rPr>
        <w:t>(</w:t>
      </w:r>
      <w:r w:rsidR="00992664" w:rsidRPr="006B2AC6">
        <w:rPr>
          <w:rStyle w:val="libFootnoteAieChar"/>
          <w:rtl/>
        </w:rPr>
        <w:t xml:space="preserve"> مَت</w:t>
      </w:r>
      <w:r w:rsidR="00834221">
        <w:rPr>
          <w:rStyle w:val="libFootnoteAieChar"/>
          <w:rFonts w:hint="cs"/>
          <w:rtl/>
        </w:rPr>
        <w:t>َا</w:t>
      </w:r>
      <w:r w:rsidR="00992664" w:rsidRPr="006B2AC6">
        <w:rPr>
          <w:rStyle w:val="libFootnoteAieChar"/>
          <w:rtl/>
        </w:rPr>
        <w:t xml:space="preserve">عَا بِالْمَعْرُوفِ حَقًّا عَلَى‌الْمُحْسِنِينَ </w:t>
      </w:r>
      <w:r w:rsidR="00992664" w:rsidRPr="00834221">
        <w:rPr>
          <w:rStyle w:val="libFootnoteAlaemChar"/>
          <w:rtl/>
        </w:rPr>
        <w:t>)</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البقرة </w:t>
      </w:r>
      <w:r w:rsidR="00834221">
        <w:rPr>
          <w:rtl/>
        </w:rPr>
        <w:t>(2)</w:t>
      </w:r>
      <w:r w:rsidR="0014403D">
        <w:rPr>
          <w:rtl/>
        </w:rPr>
        <w:t xml:space="preserve"> </w:t>
      </w:r>
      <w:r w:rsidR="00992664" w:rsidRPr="00020424">
        <w:rPr>
          <w:rtl/>
        </w:rPr>
        <w:t>: 236.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بخ ، بر ، بف ، بك » وحاشية « بث » </w:t>
      </w:r>
      <w:r w:rsidR="00992664" w:rsidRPr="00834221">
        <w:rPr>
          <w:rtl/>
        </w:rPr>
        <w:t>والوافي والوسائل</w:t>
      </w:r>
      <w:r w:rsidR="00992664" w:rsidRPr="00020424">
        <w:rPr>
          <w:rtl/>
        </w:rPr>
        <w:t xml:space="preserve"> : « ومؤونته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الطلاق (65) : 7.</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502 ، ح 9984 ؛ </w:t>
      </w:r>
      <w:r w:rsidR="00992664" w:rsidRPr="00834221">
        <w:rPr>
          <w:rtl/>
        </w:rPr>
        <w:t>الوسائل</w:t>
      </w:r>
      <w:r w:rsidR="00992664" w:rsidRPr="00020424">
        <w:rPr>
          <w:rtl/>
        </w:rPr>
        <w:t xml:space="preserve"> ، ج 21 ، ص 556 ، ح 27860.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4221" w:rsidTr="00834221">
        <w:tc>
          <w:tcPr>
            <w:tcW w:w="4006" w:type="dxa"/>
          </w:tcPr>
          <w:p w:rsidR="00834221" w:rsidRDefault="00834221" w:rsidP="00992664">
            <w:pPr>
              <w:pStyle w:val="libFootnote0"/>
              <w:rPr>
                <w:rtl/>
              </w:rPr>
            </w:pPr>
            <w:r>
              <w:rPr>
                <w:rtl/>
              </w:rPr>
              <w:t xml:space="preserve">(9). </w:t>
            </w:r>
            <w:r w:rsidRPr="00020424">
              <w:rPr>
                <w:rtl/>
              </w:rPr>
              <w:t xml:space="preserve">في </w:t>
            </w:r>
            <w:r w:rsidRPr="00834221">
              <w:rPr>
                <w:rtl/>
              </w:rPr>
              <w:t>الوسائل</w:t>
            </w:r>
            <w:r w:rsidRPr="00020424">
              <w:rPr>
                <w:rtl/>
              </w:rPr>
              <w:t xml:space="preserve"> : + « عن أبي عبد الله </w:t>
            </w:r>
            <w:r w:rsidRPr="00D64ADA">
              <w:rPr>
                <w:rStyle w:val="libFootnoteAlaemChar"/>
                <w:rtl/>
              </w:rPr>
              <w:t>عليه‌السلام</w:t>
            </w:r>
            <w:r>
              <w:rPr>
                <w:rtl/>
              </w:rPr>
              <w:t xml:space="preserve"> ».</w:t>
            </w:r>
          </w:p>
        </w:tc>
        <w:tc>
          <w:tcPr>
            <w:tcW w:w="4006" w:type="dxa"/>
          </w:tcPr>
          <w:p w:rsidR="00834221" w:rsidRDefault="00834221" w:rsidP="00992664">
            <w:pPr>
              <w:pStyle w:val="libFootnote0"/>
              <w:rPr>
                <w:rtl/>
              </w:rPr>
            </w:pPr>
            <w:r>
              <w:rPr>
                <w:rtl/>
              </w:rPr>
              <w:t xml:space="preserve">(10). </w:t>
            </w:r>
            <w:r w:rsidRPr="00020424">
              <w:rPr>
                <w:rtl/>
              </w:rPr>
              <w:t xml:space="preserve">في حاشية « بح » </w:t>
            </w:r>
            <w:r w:rsidRPr="00834221">
              <w:rPr>
                <w:rtl/>
              </w:rPr>
              <w:t>والوسائل</w:t>
            </w:r>
            <w:r w:rsidRPr="00020424">
              <w:rPr>
                <w:rtl/>
              </w:rPr>
              <w:t xml:space="preserve"> : « قول الله</w:t>
            </w:r>
            <w:r>
              <w:rPr>
                <w:rtl/>
              </w:rPr>
              <w:t xml:space="preserve"> ».</w:t>
            </w:r>
          </w:p>
        </w:tc>
      </w:tr>
      <w:tr w:rsidR="00834221" w:rsidTr="00834221">
        <w:tc>
          <w:tcPr>
            <w:tcW w:w="4006" w:type="dxa"/>
          </w:tcPr>
          <w:p w:rsidR="00834221" w:rsidRDefault="00834221" w:rsidP="00992664">
            <w:pPr>
              <w:pStyle w:val="libFootnote0"/>
              <w:rPr>
                <w:rtl/>
              </w:rPr>
            </w:pPr>
            <w:r>
              <w:rPr>
                <w:rtl/>
              </w:rPr>
              <w:t xml:space="preserve">(11). </w:t>
            </w:r>
            <w:r w:rsidRPr="00020424">
              <w:rPr>
                <w:rtl/>
              </w:rPr>
              <w:t>الفرقان (25) : 67.</w:t>
            </w:r>
          </w:p>
        </w:tc>
        <w:tc>
          <w:tcPr>
            <w:tcW w:w="4006" w:type="dxa"/>
          </w:tcPr>
          <w:p w:rsidR="00834221" w:rsidRDefault="00834221" w:rsidP="00992664">
            <w:pPr>
              <w:pStyle w:val="libFootnote0"/>
              <w:rPr>
                <w:rtl/>
              </w:rPr>
            </w:pPr>
            <w:r>
              <w:rPr>
                <w:rtl/>
              </w:rPr>
              <w:t xml:space="preserve">(12). </w:t>
            </w:r>
            <w:r w:rsidRPr="00020424">
              <w:rPr>
                <w:rtl/>
              </w:rPr>
              <w:t>في « بك » : + « هكذا</w:t>
            </w:r>
            <w:r>
              <w:rPr>
                <w:rtl/>
              </w:rPr>
              <w:t xml:space="preserve"> ».</w:t>
            </w:r>
          </w:p>
        </w:tc>
      </w:tr>
    </w:tbl>
    <w:p w:rsidR="00992664" w:rsidRPr="00020424" w:rsidRDefault="00795177" w:rsidP="00834221">
      <w:pPr>
        <w:pStyle w:val="libFootnote0"/>
        <w:rPr>
          <w:rtl/>
          <w:lang w:bidi="fa-IR"/>
        </w:rPr>
      </w:pPr>
      <w:r>
        <w:rPr>
          <w:rtl/>
        </w:rPr>
        <w:t>(13).</w:t>
      </w:r>
      <w:r w:rsidR="0014403D">
        <w:rPr>
          <w:rtl/>
        </w:rPr>
        <w:t xml:space="preserve"> </w:t>
      </w:r>
      <w:r w:rsidR="00992664" w:rsidRPr="00020424">
        <w:rPr>
          <w:rtl/>
        </w:rPr>
        <w:t xml:space="preserve">« حناها » ، أي عطفه ولواه وأماله وعوّجه. وكذا حنّاه تحنية. راجع : </w:t>
      </w:r>
      <w:r w:rsidR="00992664" w:rsidRPr="0012008A">
        <w:rPr>
          <w:rStyle w:val="libFootnoteBoldChar"/>
          <w:rtl/>
        </w:rPr>
        <w:t>الصحاح</w:t>
      </w:r>
      <w:r w:rsidR="00992664" w:rsidRPr="00020424">
        <w:rPr>
          <w:rtl/>
        </w:rPr>
        <w:t xml:space="preserve"> ، ج 6 ، ص 2321 ؛ </w:t>
      </w:r>
      <w:r w:rsidR="00992664" w:rsidRPr="00A722B1">
        <w:rPr>
          <w:rStyle w:val="libFootnoteBoldChar"/>
          <w:rtl/>
        </w:rPr>
        <w:t>القاموس المحيط</w:t>
      </w:r>
      <w:r w:rsidR="00992664" w:rsidRPr="00020424">
        <w:rPr>
          <w:rtl/>
        </w:rPr>
        <w:t xml:space="preserve"> ، ج 2 ، ص 1676 ( حنا )</w:t>
      </w:r>
      <w:r w:rsidR="00992664">
        <w:rPr>
          <w:rtl/>
        </w:rPr>
        <w:t>.</w:t>
      </w:r>
      <w:r w:rsidR="00834221">
        <w:rPr>
          <w:rFonts w:hint="cs"/>
          <w:rtl/>
        </w:rPr>
        <w:t xml:space="preserve">           </w:t>
      </w:r>
      <w:r>
        <w:rPr>
          <w:rtl/>
        </w:rPr>
        <w:t>(14).</w:t>
      </w:r>
      <w:r w:rsidR="0014403D">
        <w:rPr>
          <w:rtl/>
        </w:rPr>
        <w:t xml:space="preserve"> </w:t>
      </w:r>
      <w:r w:rsidR="00992664" w:rsidRPr="00020424">
        <w:rPr>
          <w:rtl/>
        </w:rPr>
        <w:t>في « بر ، بف » :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4221" w:rsidTr="00834221">
        <w:tc>
          <w:tcPr>
            <w:tcW w:w="4006" w:type="dxa"/>
          </w:tcPr>
          <w:p w:rsidR="00834221" w:rsidRDefault="00834221" w:rsidP="00992664">
            <w:pPr>
              <w:pStyle w:val="libFootnote0"/>
              <w:rPr>
                <w:rtl/>
              </w:rPr>
            </w:pPr>
            <w:r>
              <w:rPr>
                <w:rtl/>
              </w:rPr>
              <w:t>(15). في «بر» : «</w:t>
            </w:r>
            <w:r w:rsidRPr="00020424">
              <w:rPr>
                <w:rtl/>
              </w:rPr>
              <w:t>عن » بدون الواو.</w:t>
            </w:r>
          </w:p>
        </w:tc>
        <w:tc>
          <w:tcPr>
            <w:tcW w:w="4006" w:type="dxa"/>
          </w:tcPr>
          <w:p w:rsidR="00834221" w:rsidRDefault="00834221" w:rsidP="00992664">
            <w:pPr>
              <w:pStyle w:val="libFootnote0"/>
              <w:rPr>
                <w:rtl/>
              </w:rPr>
            </w:pPr>
            <w:r>
              <w:rPr>
                <w:rtl/>
              </w:rPr>
              <w:t xml:space="preserve">(16). </w:t>
            </w:r>
            <w:r w:rsidRPr="00020424">
              <w:rPr>
                <w:rtl/>
              </w:rPr>
              <w:t xml:space="preserve">الإسراء </w:t>
            </w:r>
            <w:r>
              <w:rPr>
                <w:rtl/>
              </w:rPr>
              <w:t xml:space="preserve">(17) </w:t>
            </w:r>
            <w:r w:rsidRPr="00020424">
              <w:rPr>
                <w:rtl/>
              </w:rPr>
              <w:t>: 29.</w:t>
            </w:r>
          </w:p>
        </w:tc>
      </w:tr>
      <w:tr w:rsidR="00834221" w:rsidTr="00834221">
        <w:tc>
          <w:tcPr>
            <w:tcW w:w="4006" w:type="dxa"/>
          </w:tcPr>
          <w:p w:rsidR="00834221" w:rsidRDefault="00834221" w:rsidP="00992664">
            <w:pPr>
              <w:pStyle w:val="libFootnote0"/>
              <w:rPr>
                <w:rtl/>
              </w:rPr>
            </w:pPr>
            <w:r>
              <w:rPr>
                <w:rtl/>
              </w:rPr>
              <w:t>(17). في «ى ، جن» وحاشية «ظ</w:t>
            </w:r>
            <w:r w:rsidRPr="00020424">
              <w:rPr>
                <w:rtl/>
              </w:rPr>
              <w:t>» : « وبسط</w:t>
            </w:r>
            <w:r>
              <w:rPr>
                <w:rtl/>
              </w:rPr>
              <w:t xml:space="preserve"> ».</w:t>
            </w:r>
          </w:p>
        </w:tc>
        <w:tc>
          <w:tcPr>
            <w:tcW w:w="4006" w:type="dxa"/>
          </w:tcPr>
          <w:p w:rsidR="00834221" w:rsidRDefault="00834221" w:rsidP="00992664">
            <w:pPr>
              <w:pStyle w:val="libFootnote0"/>
              <w:rPr>
                <w:rtl/>
              </w:rPr>
            </w:pPr>
            <w:r>
              <w:rPr>
                <w:rtl/>
              </w:rPr>
              <w:t xml:space="preserve">(18). </w:t>
            </w:r>
            <w:r w:rsidRPr="00020424">
              <w:rPr>
                <w:rtl/>
              </w:rPr>
              <w:t xml:space="preserve">في </w:t>
            </w:r>
            <w:r w:rsidRPr="0012008A">
              <w:rPr>
                <w:rStyle w:val="libFootnoteBoldChar"/>
                <w:rtl/>
              </w:rPr>
              <w:t>الوسائل</w:t>
            </w:r>
            <w:r w:rsidRPr="00020424">
              <w:rPr>
                <w:rtl/>
              </w:rPr>
              <w:t xml:space="preserve"> : « راحتيه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834221">
      <w:pPr>
        <w:pStyle w:val="libNormal0"/>
        <w:rPr>
          <w:rtl/>
          <w:lang w:bidi="fa-IR"/>
        </w:rPr>
      </w:pPr>
      <w:r w:rsidRPr="00020424">
        <w:rPr>
          <w:rtl/>
          <w:lang w:bidi="fa-IR"/>
        </w:rPr>
        <w:t xml:space="preserve">يَخْرُجُ مِنْ </w:t>
      </w:r>
      <w:r w:rsidRPr="00A91B96">
        <w:rPr>
          <w:rStyle w:val="libFootnotenumChar"/>
          <w:rtl/>
        </w:rPr>
        <w:t>(1)</w:t>
      </w:r>
      <w:r w:rsidRPr="00020424">
        <w:rPr>
          <w:rtl/>
          <w:lang w:bidi="fa-IR"/>
        </w:rPr>
        <w:t xml:space="preserve"> بَيْنِ الْأَصَابِعِ ، وَيَبْقى فِي الرَّاحَةِ مِنْهُ شَيْ‌ءٌ.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967F8">
        <w:rPr>
          <w:rtl/>
        </w:rPr>
        <w:t>6229</w:t>
      </w:r>
      <w:r w:rsidRPr="001155DE">
        <w:rPr>
          <w:rStyle w:val="libBold2Char"/>
          <w:rtl/>
        </w:rPr>
        <w:t xml:space="preserve"> / 10.</w:t>
      </w:r>
      <w:r w:rsidRPr="00020424">
        <w:rPr>
          <w:rtl/>
          <w:lang w:bidi="fa-IR"/>
        </w:rPr>
        <w:t xml:space="preserve"> مُحَمَّدُ بْنُ يَحْيى ، عَنْ مُحَمَّدِ بْنِ الْحُسَيْنِ ، عَنْ مُحَمَّدِ بْنِ إِسْمَاعِيلَ بْنِ بَزِيعٍ </w:t>
      </w:r>
      <w:r w:rsidRPr="00A91B96">
        <w:rPr>
          <w:rStyle w:val="libFootnotenumChar"/>
          <w:rtl/>
        </w:rPr>
        <w:t>(3)</w:t>
      </w:r>
      <w:r w:rsidRPr="00020424">
        <w:rPr>
          <w:rtl/>
          <w:lang w:bidi="fa-IR"/>
        </w:rPr>
        <w:t xml:space="preserve"> ، عَنْ صَالِحِ بْنِ عُقْبَةَ ، عَنْ سُلَيْمَانَ بْنِ صَالِحٍ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أَدْنى </w:t>
      </w:r>
      <w:r w:rsidRPr="00A91B96">
        <w:rPr>
          <w:rStyle w:val="libFootnotenumChar"/>
          <w:rtl/>
        </w:rPr>
        <w:t>(4)</w:t>
      </w:r>
      <w:r w:rsidRPr="00020424">
        <w:rPr>
          <w:rtl/>
          <w:lang w:bidi="fa-IR"/>
        </w:rPr>
        <w:t xml:space="preserve"> مَا يَجِي‌ءُ مِنْ حَدِّ </w:t>
      </w:r>
      <w:r w:rsidRPr="00A91B96">
        <w:rPr>
          <w:rStyle w:val="libFootnotenumChar"/>
          <w:rtl/>
        </w:rPr>
        <w:t>(5)</w:t>
      </w:r>
      <w:r w:rsidRPr="00020424">
        <w:rPr>
          <w:rtl/>
          <w:lang w:bidi="fa-IR"/>
        </w:rPr>
        <w:t xml:space="preserve"> الْإِسْرَافِ</w:t>
      </w:r>
      <w:r>
        <w:rPr>
          <w:rtl/>
          <w:lang w:bidi="fa-IR"/>
        </w:rPr>
        <w:t>؟</w:t>
      </w:r>
    </w:p>
    <w:p w:rsidR="00992664" w:rsidRPr="00020424" w:rsidRDefault="00992664" w:rsidP="00992664">
      <w:pPr>
        <w:pStyle w:val="libNormal"/>
        <w:rPr>
          <w:rtl/>
          <w:lang w:bidi="fa-IR"/>
        </w:rPr>
      </w:pPr>
      <w:r w:rsidRPr="00020424">
        <w:rPr>
          <w:rtl/>
          <w:lang w:bidi="fa-IR"/>
        </w:rPr>
        <w:t xml:space="preserve">فَقَالَ : « ابْتِذالُكَ </w:t>
      </w:r>
      <w:r w:rsidRPr="00A91B96">
        <w:rPr>
          <w:rStyle w:val="libFootnotenumChar"/>
          <w:rtl/>
        </w:rPr>
        <w:t>(6)</w:t>
      </w:r>
      <w:r w:rsidRPr="00020424">
        <w:rPr>
          <w:rtl/>
          <w:lang w:bidi="fa-IR"/>
        </w:rPr>
        <w:t xml:space="preserve"> ثَوْبَ صَوْنِكَ ، وَإِهْرَاقُكَ </w:t>
      </w:r>
      <w:r w:rsidRPr="00A91B96">
        <w:rPr>
          <w:rStyle w:val="libFootnotenumChar"/>
          <w:rtl/>
        </w:rPr>
        <w:t>(7)</w:t>
      </w:r>
      <w:r w:rsidRPr="00020424">
        <w:rPr>
          <w:rtl/>
          <w:lang w:bidi="fa-IR"/>
        </w:rPr>
        <w:t xml:space="preserve"> فَضْلَ إِنَائِكَ ، وَأَكْلُكَ التَّمْرَ وَرَمْيُكَ النَّوى </w:t>
      </w:r>
      <w:r w:rsidRPr="00A91B96">
        <w:rPr>
          <w:rStyle w:val="libFootnotenumChar"/>
          <w:rtl/>
        </w:rPr>
        <w:t>(8)</w:t>
      </w:r>
      <w:r w:rsidRPr="00020424">
        <w:rPr>
          <w:rtl/>
          <w:lang w:bidi="fa-IR"/>
        </w:rPr>
        <w:t xml:space="preserve"> هَاهُنَا وَهَاهُنَا</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8967F8">
        <w:rPr>
          <w:rtl/>
        </w:rPr>
        <w:t>6230</w:t>
      </w:r>
      <w:r w:rsidRPr="001155DE">
        <w:rPr>
          <w:rStyle w:val="libBold2Char"/>
          <w:rtl/>
        </w:rPr>
        <w:t xml:space="preserve"> / 11.</w:t>
      </w:r>
      <w:r w:rsidRPr="00020424">
        <w:rPr>
          <w:rtl/>
          <w:lang w:bidi="fa-IR"/>
        </w:rPr>
        <w:t xml:space="preserve"> مُحَمَّدُ بْنُ يَحْيى ، عَنْ أَحْمَدَ بْنِ مُحَمَّدٍ ، عَنْ عَلِيِّ بْنِ الْحَكَمِ ، عَنْ عَمَّارٍ أَبِي عَاصِمٍ </w:t>
      </w:r>
      <w:r w:rsidRPr="00A91B96">
        <w:rPr>
          <w:rStyle w:val="libFootnotenumChar"/>
          <w:rtl/>
        </w:rPr>
        <w:t>(10)</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أَرْبَعَةٌ لَايُسْتَجَابُ لَهُمْ : أَحَدُهُمْ كَانَ لَهُ مَالٌ ، فَأَفْسَدَهُ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r w:rsidR="00992664" w:rsidRPr="00020424">
        <w:rPr>
          <w:rtl/>
        </w:rPr>
        <w:t xml:space="preserve"> وفي « بح » : « 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10 ، ص 500 ، ح 9981 ؛ </w:t>
      </w:r>
      <w:r w:rsidR="00992664" w:rsidRPr="0012008A">
        <w:rPr>
          <w:rStyle w:val="libFootnoteBoldChar"/>
          <w:rtl/>
        </w:rPr>
        <w:t>الوسائل</w:t>
      </w:r>
      <w:r w:rsidR="00992664" w:rsidRPr="00020424">
        <w:rPr>
          <w:rtl/>
        </w:rPr>
        <w:t xml:space="preserve"> ، ج 21 ، ص 558 ، ح 27866.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الكافي ، ح 12535 :</w:t>
      </w:r>
      <w:r w:rsidR="00992664">
        <w:rPr>
          <w:rtl/>
        </w:rPr>
        <w:t xml:space="preserve"> </w:t>
      </w:r>
      <w:r w:rsidR="009B673F">
        <w:rPr>
          <w:rtl/>
        </w:rPr>
        <w:t>-</w:t>
      </w:r>
      <w:r w:rsidR="00992664">
        <w:rPr>
          <w:rtl/>
        </w:rPr>
        <w:t xml:space="preserve"> </w:t>
      </w:r>
      <w:r w:rsidR="00992664" w:rsidRPr="00020424">
        <w:rPr>
          <w:rtl/>
        </w:rPr>
        <w:t>« بن بزيع</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834221">
        <w:rPr>
          <w:rtl/>
        </w:rPr>
        <w:t>الوسائل</w:t>
      </w:r>
      <w:r w:rsidR="00992664" w:rsidRPr="00020424">
        <w:rPr>
          <w:rtl/>
        </w:rPr>
        <w:t xml:space="preserve"> والكافي ، ح 12535 : « ما أدنى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834221">
        <w:rPr>
          <w:rtl/>
        </w:rPr>
        <w:t>الوسائل</w:t>
      </w:r>
      <w:r w:rsidR="00992664" w:rsidRPr="00020424">
        <w:rPr>
          <w:rtl/>
        </w:rPr>
        <w:t xml:space="preserve"> والكافي ، ح 12535 :</w:t>
      </w:r>
      <w:r w:rsidR="00992664">
        <w:rPr>
          <w:rtl/>
        </w:rPr>
        <w:t xml:space="preserve"> </w:t>
      </w:r>
      <w:r w:rsidR="009B673F">
        <w:rPr>
          <w:rtl/>
        </w:rPr>
        <w:t>-</w:t>
      </w:r>
      <w:r w:rsidR="00992664">
        <w:rPr>
          <w:rtl/>
        </w:rPr>
        <w:t xml:space="preserve"> </w:t>
      </w:r>
      <w:r w:rsidR="00992664" w:rsidRPr="00020424">
        <w:rPr>
          <w:rtl/>
        </w:rPr>
        <w:t>« حدّ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ظ ، ى ، بث ، بخ ، بر ، بف ، بك » وحاشية « جن » </w:t>
      </w:r>
      <w:r w:rsidR="00992664" w:rsidRPr="00834221">
        <w:rPr>
          <w:rtl/>
        </w:rPr>
        <w:t>والوافي والوسائل</w:t>
      </w:r>
      <w:r w:rsidR="00992664" w:rsidRPr="00020424">
        <w:rPr>
          <w:rtl/>
        </w:rPr>
        <w:t xml:space="preserve"> والكافي ، ح 12535. وفي « بس ، جن » والمطبوع : « إبذالك</w:t>
      </w:r>
      <w:r w:rsidR="00992664">
        <w:rPr>
          <w:rtl/>
        </w:rPr>
        <w:t xml:space="preserve"> ».</w:t>
      </w:r>
      <w:r w:rsidR="00992664" w:rsidRPr="00020424">
        <w:rPr>
          <w:rtl/>
        </w:rPr>
        <w:t xml:space="preserve"> وابتذال الثوب وغيره : امتهانه واحتقاره وترك صيانته ؛ يقال : بذل الثوب وابتذله ، أي لبسه في أوقات الخدمة والامتهان ، وفي أشغاله وتصرّفاته. راجع : </w:t>
      </w:r>
      <w:r w:rsidR="00992664" w:rsidRPr="00DE76B9">
        <w:rPr>
          <w:rStyle w:val="libFootnoteBoldChar"/>
          <w:rtl/>
        </w:rPr>
        <w:t>الحصاح</w:t>
      </w:r>
      <w:r w:rsidR="00992664" w:rsidRPr="00020424">
        <w:rPr>
          <w:rtl/>
        </w:rPr>
        <w:t xml:space="preserve"> ، ج 4 ، ص 1632 ؛ </w:t>
      </w:r>
      <w:r w:rsidR="00992664" w:rsidRPr="00A722B1">
        <w:rPr>
          <w:rStyle w:val="libFootnoteBoldChar"/>
          <w:rtl/>
        </w:rPr>
        <w:t>المصباح المنير</w:t>
      </w:r>
      <w:r w:rsidR="00992664" w:rsidRPr="00020424">
        <w:rPr>
          <w:rtl/>
        </w:rPr>
        <w:t xml:space="preserve"> 7 ص 41 ( بذل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834221">
        <w:rPr>
          <w:rtl/>
        </w:rPr>
        <w:t>الوسائل</w:t>
      </w:r>
      <w:r w:rsidR="00992664" w:rsidRPr="00020424">
        <w:rPr>
          <w:rtl/>
        </w:rPr>
        <w:t xml:space="preserve"> : « وإهراق</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بح ، بخ » </w:t>
      </w:r>
      <w:r w:rsidR="00992664" w:rsidRPr="00834221">
        <w:rPr>
          <w:rtl/>
        </w:rPr>
        <w:t>والوسائل</w:t>
      </w:r>
      <w:r w:rsidR="00992664" w:rsidRPr="00020424">
        <w:rPr>
          <w:rtl/>
        </w:rPr>
        <w:t xml:space="preserve"> والكافي ، ح 12535 : « بالنوى</w:t>
      </w:r>
      <w:r w:rsidR="00992664">
        <w:rPr>
          <w:rtl/>
        </w:rPr>
        <w:t xml:space="preserve"> ».</w:t>
      </w:r>
      <w:r w:rsidR="00992664" w:rsidRPr="00020424">
        <w:rPr>
          <w:rtl/>
        </w:rPr>
        <w:t xml:space="preserve"> وفي </w:t>
      </w:r>
      <w:r w:rsidR="00992664" w:rsidRPr="00834221">
        <w:rPr>
          <w:rtl/>
        </w:rPr>
        <w:t>الوافي</w:t>
      </w:r>
      <w:r w:rsidR="00992664" w:rsidRPr="00020424">
        <w:rPr>
          <w:rtl/>
        </w:rPr>
        <w:t xml:space="preserve"> : « بالنواة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الكافي</w:t>
      </w:r>
      <w:r w:rsidR="00992664" w:rsidRPr="00020424">
        <w:rPr>
          <w:rtl/>
        </w:rPr>
        <w:t xml:space="preserve"> ، كتاب الزيّ والتجمّل ، باب لبس الخلقان ، ح 12535. </w:t>
      </w:r>
      <w:r w:rsidR="00992664" w:rsidRPr="00DE76B9">
        <w:rPr>
          <w:rStyle w:val="libFootnoteBoldChar"/>
          <w:rtl/>
        </w:rPr>
        <w:t>وفيه</w:t>
      </w:r>
      <w:r w:rsidR="00992664" w:rsidRPr="00020424">
        <w:rPr>
          <w:rtl/>
        </w:rPr>
        <w:t xml:space="preserve"> ، نفس الكتاب ، باب اللباس ، ذيل ح 12445 ، بسند آخر ، إلى قوله : « ثوب صونك » مع اختلاف يسير. وفي </w:t>
      </w:r>
      <w:r w:rsidR="00992664" w:rsidRPr="0012008A">
        <w:rPr>
          <w:rStyle w:val="libFootnoteBoldChar"/>
          <w:rtl/>
        </w:rPr>
        <w:t>الفقيه</w:t>
      </w:r>
      <w:r w:rsidR="00992664" w:rsidRPr="00020424">
        <w:rPr>
          <w:rtl/>
        </w:rPr>
        <w:t xml:space="preserve"> ، ج 3 ، ص 167 ، ح 3626 ؛ </w:t>
      </w:r>
      <w:r w:rsidR="00992664" w:rsidRPr="00FD6221">
        <w:rPr>
          <w:rStyle w:val="libFootnoteBoldChar"/>
          <w:rtl/>
        </w:rPr>
        <w:t>والخصال</w:t>
      </w:r>
      <w:r w:rsidR="00992664" w:rsidRPr="00020424">
        <w:rPr>
          <w:rtl/>
        </w:rPr>
        <w:t xml:space="preserve"> ، ص 93 ، باب الثلاثة ، ح 37 ، بسند آخر ، مع اختلاف يسير </w:t>
      </w:r>
      <w:r w:rsidR="00834221">
        <w:rPr>
          <w:rFonts w:hint="cs"/>
          <w:rtl/>
        </w:rPr>
        <w:t>.</w:t>
      </w:r>
      <w:r w:rsidR="00992664" w:rsidRPr="0012008A">
        <w:rPr>
          <w:rStyle w:val="libFootnoteBoldChar"/>
          <w:rtl/>
        </w:rPr>
        <w:t>الوافي</w:t>
      </w:r>
      <w:r w:rsidR="00992664" w:rsidRPr="00020424">
        <w:rPr>
          <w:rtl/>
        </w:rPr>
        <w:t xml:space="preserve"> ، ج 10 ، ص 503 ، ح 9987 ؛ </w:t>
      </w:r>
      <w:r w:rsidR="00992664" w:rsidRPr="0012008A">
        <w:rPr>
          <w:rStyle w:val="libFootnoteBoldChar"/>
          <w:rtl/>
        </w:rPr>
        <w:t>الوسائل</w:t>
      </w:r>
      <w:r w:rsidR="00992664" w:rsidRPr="00020424">
        <w:rPr>
          <w:rtl/>
        </w:rPr>
        <w:t xml:space="preserve"> ، ج 5 ، ص 51 ، ح 5875.</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تقدّم الخبر بتمامه في </w:t>
      </w:r>
      <w:r w:rsidR="00992664" w:rsidRPr="00DE76B9">
        <w:rPr>
          <w:rStyle w:val="libFootnoteBoldChar"/>
          <w:rtl/>
        </w:rPr>
        <w:t>الكافي</w:t>
      </w:r>
      <w:r w:rsidR="00992664" w:rsidRPr="00020424">
        <w:rPr>
          <w:rtl/>
        </w:rPr>
        <w:t xml:space="preserve"> ، ذيل ح 3248 ، بنفس السند عن عمران بن أبي عاصم ، وقلنا هناك إنّ الصواب في العنوان « عمّار أبي عاصم » فلاحظ.</w:t>
      </w:r>
    </w:p>
    <w:p w:rsidR="00795177" w:rsidRDefault="00795177" w:rsidP="00795177">
      <w:pPr>
        <w:pStyle w:val="libNormal"/>
        <w:rPr>
          <w:rtl/>
          <w:lang w:bidi="fa-IR"/>
        </w:rPr>
      </w:pPr>
      <w:r>
        <w:rPr>
          <w:rtl/>
          <w:lang w:bidi="fa-IR"/>
        </w:rPr>
        <w:br w:type="page"/>
      </w:r>
    </w:p>
    <w:p w:rsidR="00992664" w:rsidRPr="00020424" w:rsidRDefault="00992664" w:rsidP="00834221">
      <w:pPr>
        <w:pStyle w:val="libNormal0"/>
        <w:rPr>
          <w:rtl/>
          <w:lang w:bidi="fa-IR"/>
        </w:rPr>
      </w:pPr>
      <w:r w:rsidRPr="00020424">
        <w:rPr>
          <w:rtl/>
          <w:lang w:bidi="fa-IR"/>
        </w:rPr>
        <w:t xml:space="preserve">فَيَقُولُ </w:t>
      </w:r>
      <w:r w:rsidRPr="00A91B96">
        <w:rPr>
          <w:rStyle w:val="libFootnotenumChar"/>
          <w:rtl/>
        </w:rPr>
        <w:t>(1)</w:t>
      </w:r>
      <w:r w:rsidRPr="00020424">
        <w:rPr>
          <w:rtl/>
          <w:lang w:bidi="fa-IR"/>
        </w:rPr>
        <w:t xml:space="preserve"> : يَا رَبِّ ارْزُقْنِي ، فَيَقُولُ اللهُ</w:t>
      </w:r>
      <w:r>
        <w:rPr>
          <w:rtl/>
          <w:lang w:bidi="fa-IR"/>
        </w:rPr>
        <w:t xml:space="preserve"> </w:t>
      </w:r>
      <w:r w:rsidR="009B673F">
        <w:rPr>
          <w:rtl/>
          <w:lang w:bidi="fa-IR"/>
        </w:rPr>
        <w:t>-</w:t>
      </w:r>
      <w:r>
        <w:rPr>
          <w:rtl/>
          <w:lang w:bidi="fa-IR"/>
        </w:rPr>
        <w:t xml:space="preserve"> </w:t>
      </w:r>
      <w:r w:rsidRPr="00020424">
        <w:rPr>
          <w:rtl/>
          <w:lang w:bidi="fa-IR"/>
        </w:rPr>
        <w:t xml:space="preserve">عَزَّ وَجَلَّ </w:t>
      </w:r>
      <w:r w:rsidRPr="00A91B96">
        <w:rPr>
          <w:rStyle w:val="libFootnotenumChar"/>
          <w:rtl/>
        </w:rPr>
        <w:t>(2)</w:t>
      </w:r>
      <w:r>
        <w:rPr>
          <w:rtl/>
          <w:lang w:bidi="fa-IR"/>
        </w:rPr>
        <w:t xml:space="preserve"> </w:t>
      </w:r>
      <w:r w:rsidR="009B673F">
        <w:rPr>
          <w:rtl/>
          <w:lang w:bidi="fa-IR"/>
        </w:rPr>
        <w:t>-</w:t>
      </w:r>
      <w:r>
        <w:rPr>
          <w:rtl/>
          <w:lang w:bidi="fa-IR"/>
        </w:rPr>
        <w:t xml:space="preserve"> : أَ</w:t>
      </w:r>
      <w:r w:rsidRPr="00020424">
        <w:rPr>
          <w:rtl/>
          <w:lang w:bidi="fa-IR"/>
        </w:rPr>
        <w:t>لَمْ آمُرْكَ بِالِاقْتِصَادِ</w:t>
      </w:r>
      <w:r>
        <w:rPr>
          <w:rtl/>
          <w:lang w:bidi="fa-IR"/>
        </w:rPr>
        <w:t>؟ ».</w:t>
      </w:r>
      <w:r w:rsidRPr="00020424">
        <w:rPr>
          <w:rtl/>
          <w:lang w:bidi="fa-IR"/>
        </w:rPr>
        <w:t xml:space="preserve"> </w:t>
      </w:r>
      <w:r w:rsidRPr="00A91B96">
        <w:rPr>
          <w:rStyle w:val="libFootnotenumChar"/>
          <w:rtl/>
        </w:rPr>
        <w:t>(3)</w:t>
      </w:r>
      <w:r>
        <w:rPr>
          <w:rtl/>
          <w:lang w:bidi="fa-IR"/>
        </w:rPr>
        <w:t xml:space="preserve"> </w:t>
      </w:r>
    </w:p>
    <w:p w:rsidR="00992664" w:rsidRPr="00020424" w:rsidRDefault="00992664" w:rsidP="00992664">
      <w:pPr>
        <w:pStyle w:val="Heading2Center"/>
        <w:rPr>
          <w:rtl/>
          <w:lang w:bidi="fa-IR"/>
        </w:rPr>
      </w:pPr>
      <w:bookmarkStart w:id="280" w:name="_Toc345172810"/>
      <w:bookmarkStart w:id="281" w:name="_Toc464562626"/>
      <w:bookmarkStart w:id="282" w:name="_Toc44599929"/>
      <w:r w:rsidRPr="00020424">
        <w:rPr>
          <w:rtl/>
          <w:lang w:bidi="fa-IR"/>
        </w:rPr>
        <w:t>88</w:t>
      </w:r>
      <w:r>
        <w:rPr>
          <w:rtl/>
          <w:lang w:bidi="fa-IR"/>
        </w:rPr>
        <w:t xml:space="preserve"> </w:t>
      </w:r>
      <w:r w:rsidR="009B673F">
        <w:rPr>
          <w:rtl/>
          <w:lang w:bidi="fa-IR"/>
        </w:rPr>
        <w:t>-</w:t>
      </w:r>
      <w:r>
        <w:rPr>
          <w:rtl/>
          <w:lang w:bidi="fa-IR"/>
        </w:rPr>
        <w:t xml:space="preserve"> </w:t>
      </w:r>
      <w:r w:rsidRPr="00020424">
        <w:rPr>
          <w:rtl/>
          <w:lang w:bidi="fa-IR"/>
        </w:rPr>
        <w:t>بَابُ سَقْيِ الْمَاءِ‌</w:t>
      </w:r>
      <w:bookmarkEnd w:id="280"/>
      <w:bookmarkEnd w:id="281"/>
      <w:bookmarkEnd w:id="282"/>
    </w:p>
    <w:p w:rsidR="00992664" w:rsidRPr="00020424" w:rsidRDefault="00992664" w:rsidP="00992664">
      <w:pPr>
        <w:pStyle w:val="libNormal"/>
        <w:rPr>
          <w:rtl/>
          <w:lang w:bidi="fa-IR"/>
        </w:rPr>
      </w:pPr>
      <w:r w:rsidRPr="008967F8">
        <w:rPr>
          <w:rtl/>
        </w:rPr>
        <w:t>6231</w:t>
      </w:r>
      <w:r w:rsidRPr="001155DE">
        <w:rPr>
          <w:rStyle w:val="libBold2Char"/>
          <w:rtl/>
        </w:rPr>
        <w:t xml:space="preserve"> / 1.</w:t>
      </w:r>
      <w:r w:rsidRPr="00020424">
        <w:rPr>
          <w:rtl/>
          <w:lang w:bidi="fa-IR"/>
        </w:rPr>
        <w:t xml:space="preserve"> مُحَمَّدُ بْنُ يَحْيى ، عَنْ أَحْمَدَ بْنِ مُحَمَّدِ بْنِ عِيسى ، عَنْ مُحَمَّدِ بْنِ يَحْيى ، عَنْ طَلْحَةَ بْنِ 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 صَلَوَاتُ اللهِ عَلَيْهِ : أَوَّلُ مَا يُبْدَأُ بِهِ فِي الْآخِرَةِ صَدَقَةُ الْمَاءِ ، يَعْنِي فِي الْأَجْرِ</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7F8">
        <w:rPr>
          <w:rtl/>
        </w:rPr>
        <w:t>6232</w:t>
      </w:r>
      <w:r w:rsidRPr="001155DE">
        <w:rPr>
          <w:rStyle w:val="libBold2Char"/>
          <w:rtl/>
        </w:rPr>
        <w:t xml:space="preserve"> / 2.</w:t>
      </w:r>
      <w:r w:rsidRPr="00020424">
        <w:rPr>
          <w:rtl/>
          <w:lang w:bidi="fa-IR"/>
        </w:rPr>
        <w:t xml:space="preserve"> مُحَمَّدٌ </w:t>
      </w:r>
      <w:r w:rsidRPr="00A91B96">
        <w:rPr>
          <w:rStyle w:val="libFootnotenumChar"/>
          <w:rtl/>
        </w:rPr>
        <w:t>(5)</w:t>
      </w:r>
      <w:r w:rsidRPr="00020424">
        <w:rPr>
          <w:rtl/>
          <w:lang w:bidi="fa-IR"/>
        </w:rPr>
        <w:t xml:space="preserve"> ، عَنْ </w:t>
      </w:r>
      <w:r w:rsidRPr="00A91B96">
        <w:rPr>
          <w:rStyle w:val="libFootnotenumChar"/>
          <w:rtl/>
        </w:rPr>
        <w:t>(6)</w:t>
      </w:r>
      <w:r w:rsidRPr="00020424">
        <w:rPr>
          <w:rtl/>
          <w:lang w:bidi="fa-IR"/>
        </w:rPr>
        <w:t xml:space="preserve"> عَبْدِ اللهِ بْنِ مُحَمَّدٍ ، عَنْ عَلِيِّ بْنِ الْحَكَمِ ، عَنْ أَبَانِ بْنِ عُثْمَانَ ، عَنْ مِسْمَعٍ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أَفْضَلُ الصَّدَقَةِ إِبْرَادُ كَبِدٍ حَرّى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34221" w:rsidTr="00834221">
        <w:tc>
          <w:tcPr>
            <w:tcW w:w="4006" w:type="dxa"/>
          </w:tcPr>
          <w:p w:rsidR="00834221" w:rsidRDefault="00834221" w:rsidP="00992664">
            <w:pPr>
              <w:pStyle w:val="libFootnote0"/>
              <w:rPr>
                <w:rtl/>
              </w:rPr>
            </w:pPr>
            <w:r>
              <w:rPr>
                <w:rtl/>
              </w:rPr>
              <w:t xml:space="preserve">(1). </w:t>
            </w:r>
            <w:r w:rsidRPr="00020424">
              <w:rPr>
                <w:rtl/>
              </w:rPr>
              <w:t xml:space="preserve">في </w:t>
            </w:r>
            <w:r w:rsidRPr="00834221">
              <w:rPr>
                <w:rtl/>
              </w:rPr>
              <w:t>الوسائل</w:t>
            </w:r>
            <w:r w:rsidRPr="00020424">
              <w:rPr>
                <w:rtl/>
              </w:rPr>
              <w:t xml:space="preserve"> ، : « يقول</w:t>
            </w:r>
            <w:r>
              <w:rPr>
                <w:rtl/>
              </w:rPr>
              <w:t xml:space="preserve"> ».</w:t>
            </w:r>
          </w:p>
        </w:tc>
        <w:tc>
          <w:tcPr>
            <w:tcW w:w="4006" w:type="dxa"/>
          </w:tcPr>
          <w:p w:rsidR="00834221" w:rsidRDefault="00834221" w:rsidP="00992664">
            <w:pPr>
              <w:pStyle w:val="libFootnote0"/>
              <w:rPr>
                <w:rtl/>
              </w:rPr>
            </w:pPr>
            <w:r>
              <w:rPr>
                <w:rtl/>
              </w:rPr>
              <w:t xml:space="preserve">(2). </w:t>
            </w:r>
            <w:r w:rsidRPr="00020424">
              <w:rPr>
                <w:rtl/>
              </w:rPr>
              <w:t xml:space="preserve">في </w:t>
            </w:r>
            <w:r w:rsidRPr="00834221">
              <w:rPr>
                <w:rtl/>
              </w:rPr>
              <w:t>الوسائل</w:t>
            </w:r>
            <w:r w:rsidRPr="00020424">
              <w:rPr>
                <w:rtl/>
              </w:rPr>
              <w:t xml:space="preserve"> :</w:t>
            </w:r>
            <w:r>
              <w:rPr>
                <w:rtl/>
              </w:rPr>
              <w:t xml:space="preserve"> - </w:t>
            </w:r>
            <w:r w:rsidRPr="00020424">
              <w:rPr>
                <w:rtl/>
              </w:rPr>
              <w:t>« الله عزّ وجلّ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الدعاء ، باب من لا تستجاب دعوته ، ح 3248 ، بهذا السند وبسند آخر أيضاً ، مع ذكر سائر الأربعة </w:t>
      </w:r>
      <w:r w:rsidR="00834221">
        <w:rPr>
          <w:rFonts w:hint="cs"/>
          <w:rtl/>
        </w:rPr>
        <w:t>.</w:t>
      </w:r>
      <w:r w:rsidR="00992664" w:rsidRPr="0012008A">
        <w:rPr>
          <w:rStyle w:val="libFootnoteBoldChar"/>
          <w:rtl/>
        </w:rPr>
        <w:t>الوافي</w:t>
      </w:r>
      <w:r w:rsidR="00992664" w:rsidRPr="00020424">
        <w:rPr>
          <w:rtl/>
        </w:rPr>
        <w:t xml:space="preserve"> ، ج 10 ، ص 498 ، ح 9976 ؛ </w:t>
      </w:r>
      <w:r w:rsidR="00992664" w:rsidRPr="0012008A">
        <w:rPr>
          <w:rStyle w:val="libFootnoteBoldChar"/>
          <w:rtl/>
        </w:rPr>
        <w:t>الوسائل</w:t>
      </w:r>
      <w:r w:rsidR="00992664" w:rsidRPr="00020424">
        <w:rPr>
          <w:rtl/>
        </w:rPr>
        <w:t xml:space="preserve"> ، ج 21 ، ص 556 ، ح 27861.</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ثواب الأعمال</w:t>
      </w:r>
      <w:r w:rsidR="00992664" w:rsidRPr="00020424">
        <w:rPr>
          <w:rtl/>
        </w:rPr>
        <w:t xml:space="preserve"> ، ص 168 ، ح 2 ، بسنده عن طلحة بن زيد ، عن الصادق ، عن أبيه </w:t>
      </w:r>
      <w:r w:rsidR="00D64ADA" w:rsidRPr="00D64ADA">
        <w:rPr>
          <w:rStyle w:val="libFootnoteAlaemChar"/>
          <w:rtl/>
        </w:rPr>
        <w:t>عليهما‌السلام</w:t>
      </w:r>
      <w:r w:rsidR="00992664" w:rsidRPr="00020424">
        <w:rPr>
          <w:rtl/>
        </w:rPr>
        <w:t xml:space="preserve"> ، من دون الإسناد إلى أميرالمؤمنين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64 ، ح 1722 ، مرسلاً عن أميرالمؤمنين </w:t>
      </w:r>
      <w:r w:rsidR="00992664" w:rsidRPr="00D64ADA">
        <w:rPr>
          <w:rStyle w:val="libFootnoteAlaemChar"/>
          <w:rtl/>
        </w:rPr>
        <w:t>عليه‌السلام</w:t>
      </w:r>
      <w:r w:rsidR="00992664" w:rsidRPr="00020424">
        <w:rPr>
          <w:rtl/>
        </w:rPr>
        <w:t xml:space="preserve"> </w:t>
      </w:r>
      <w:r w:rsidR="00834221">
        <w:rPr>
          <w:rFonts w:hint="cs"/>
          <w:rtl/>
        </w:rPr>
        <w:t>.</w:t>
      </w:r>
      <w:r w:rsidR="00992664" w:rsidRPr="0012008A">
        <w:rPr>
          <w:rStyle w:val="libFootnoteBoldChar"/>
          <w:rtl/>
        </w:rPr>
        <w:t>الوافي</w:t>
      </w:r>
      <w:r w:rsidR="00992664" w:rsidRPr="00020424">
        <w:rPr>
          <w:rtl/>
        </w:rPr>
        <w:t xml:space="preserve"> ، ج 10 ، ص 509 ، ح 10000 ؛ </w:t>
      </w:r>
      <w:r w:rsidR="00992664" w:rsidRPr="0012008A">
        <w:rPr>
          <w:rStyle w:val="libFootnoteBoldChar"/>
          <w:rtl/>
        </w:rPr>
        <w:t>الوسائل</w:t>
      </w:r>
      <w:r w:rsidR="00992664" w:rsidRPr="00020424">
        <w:rPr>
          <w:rtl/>
        </w:rPr>
        <w:t xml:space="preserve"> ، ج 9 ، ص 472 ، ح 12522.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بس » وحاشية « بث » : + « بن يحيى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بح ، بخ ، بر ، بف ، جن » </w:t>
      </w:r>
      <w:r w:rsidR="00992664" w:rsidRPr="00834221">
        <w:rPr>
          <w:rtl/>
        </w:rPr>
        <w:t>والوسائل والتهذيب</w:t>
      </w:r>
      <w:r w:rsidR="00992664" w:rsidRPr="00020424">
        <w:rPr>
          <w:rtl/>
        </w:rPr>
        <w:t xml:space="preserve"> : « بن</w:t>
      </w:r>
      <w:r w:rsidR="00992664">
        <w:rPr>
          <w:rtl/>
        </w:rPr>
        <w:t xml:space="preserve"> ».</w:t>
      </w:r>
      <w:r w:rsidR="00992664" w:rsidRPr="00020424">
        <w:rPr>
          <w:rtl/>
        </w:rPr>
        <w:t xml:space="preserve"> وهو سهو ؛ فقد روى محمّد بن يحيى عن عبد الله بن محمّد [ بن عيسى ] عن عليّ بن الحكم في كثيرٍ من الأسناد. والمراد من محمّد في ما نحن فيه هو محمّد بن يحيى. راجع : </w:t>
      </w:r>
      <w:r w:rsidR="00992664" w:rsidRPr="00DE76B9">
        <w:rPr>
          <w:rStyle w:val="libFootnoteBoldChar"/>
          <w:rtl/>
        </w:rPr>
        <w:t>معجم رجال الحديث</w:t>
      </w:r>
      <w:r w:rsidR="00992664" w:rsidRPr="00020424">
        <w:rPr>
          <w:rtl/>
        </w:rPr>
        <w:t xml:space="preserve"> ، ج 10 ، ص 494</w:t>
      </w:r>
      <w:r w:rsidR="00992664">
        <w:rPr>
          <w:rtl/>
        </w:rPr>
        <w:t xml:space="preserve"> </w:t>
      </w:r>
      <w:r w:rsidR="009B673F">
        <w:rPr>
          <w:rtl/>
        </w:rPr>
        <w:t>-</w:t>
      </w:r>
      <w:r w:rsidR="00992664">
        <w:rPr>
          <w:rtl/>
        </w:rPr>
        <w:t xml:space="preserve"> </w:t>
      </w:r>
      <w:r w:rsidR="00992664" w:rsidRPr="00020424">
        <w:rPr>
          <w:rtl/>
        </w:rPr>
        <w:t>497.</w:t>
      </w:r>
    </w:p>
    <w:p w:rsidR="00992664" w:rsidRPr="00020424" w:rsidRDefault="00992664" w:rsidP="00834221">
      <w:pPr>
        <w:pStyle w:val="libFootnote0"/>
        <w:rPr>
          <w:rtl/>
          <w:lang w:bidi="fa-IR"/>
        </w:rPr>
      </w:pPr>
      <w:r w:rsidRPr="00D82B22">
        <w:rPr>
          <w:rtl/>
        </w:rPr>
        <w:t>ويؤكّد ذلك عدم وجود راوٍ بعنوان « محمّد بن عبدالله بن محمّد » في رواة عليّ بن الحكم.</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الحَرَّى : فَعْلى من الحرّ ، وهي تأنيث حَرّان ، وهما للمبالغة ، يريد أنّها لشدّة حرّها قد عطشت ويبست من العطش ، والمعنى : أنّ في سقي كلّ ذي كبد حرّى أجراً. وقيل : أراد بالكبد الحرّى حياة صاحبها ؛ لأنّه إنّما تكون كبده حرّى إذا كان فيه حياة ؛ يعني في سقي كلّ ذي روح من الحيوان ، ويشهد له ما جاء في الحديث الآخر : في كلّ كبد حارّة أجر</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364 ( حرر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110 ، ح 319 ، معلّقاً عن الكليني. </w:t>
      </w:r>
      <w:r w:rsidR="00992664" w:rsidRPr="00757F3F">
        <w:rPr>
          <w:rStyle w:val="libFootnoteBoldChar"/>
          <w:rtl/>
        </w:rPr>
        <w:t>الأمالي للطوسي</w:t>
      </w:r>
      <w:r w:rsidR="00992664" w:rsidRPr="00020424">
        <w:rPr>
          <w:rtl/>
        </w:rPr>
        <w:t xml:space="preserve"> ، ص 598 ، المجلس 26 ، صدر </w:t>
      </w:r>
      <w:r w:rsidR="0083422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967F8">
        <w:rPr>
          <w:rtl/>
        </w:rPr>
        <w:t>6233</w:t>
      </w:r>
      <w:r w:rsidRPr="001155DE">
        <w:rPr>
          <w:rStyle w:val="libBold2Char"/>
          <w:rtl/>
        </w:rPr>
        <w:t xml:space="preserve"> / 3.</w:t>
      </w:r>
      <w:r w:rsidRPr="00020424">
        <w:rPr>
          <w:rtl/>
          <w:lang w:bidi="fa-IR"/>
        </w:rPr>
        <w:t xml:space="preserve"> عَلِيُّ بْنُ إِبْرَاهِيمَ ، عَنْ أَبِيهِ ، عَنِ ابْنِ أَبِي عُمَيْرٍ ،</w:t>
      </w:r>
      <w:r>
        <w:rPr>
          <w:rtl/>
          <w:lang w:bidi="fa-IR"/>
        </w:rPr>
        <w:t xml:space="preserve"> عَنْ مُعَاوِيَةَ بْنِ عَمَّارٍ</w:t>
      </w:r>
      <w:r>
        <w:rPr>
          <w:rFonts w:hint="cs"/>
          <w:rtl/>
          <w:lang w:bidi="fa-IR"/>
        </w:rPr>
        <w:t xml:space="preserve"> </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سَقَى الْمَاءَ فِي مَوْضِعٍ يُوجَدُ فِيهِ الْمَاءُ ، كَانَ كَمَنْ أَعْتَقَ رَقَبَةً ؛ وَمَنْ سَقَى الْمَاءَ فِي مَوْضِعٍ لَايُوجَدُ فِيهِ الْمَاءُ ، كَانَ كَمَنْ أَحْيَا نَفْساً ؛ وَمَنْ أَحْيَا نَفْساً </w:t>
      </w:r>
      <w:r w:rsidRPr="00A91B96">
        <w:rPr>
          <w:rStyle w:val="libFootnotenumChar"/>
          <w:rtl/>
        </w:rPr>
        <w:t>(1)</w:t>
      </w:r>
      <w:r w:rsidRPr="00020424">
        <w:rPr>
          <w:rtl/>
          <w:lang w:bidi="fa-IR"/>
        </w:rPr>
        <w:t xml:space="preserve"> فَكَأَنَّمَا </w:t>
      </w:r>
      <w:r w:rsidRPr="00A91B96">
        <w:rPr>
          <w:rStyle w:val="libFootnotenumChar"/>
          <w:rtl/>
        </w:rPr>
        <w:t>(2)</w:t>
      </w:r>
      <w:r w:rsidRPr="00020424">
        <w:rPr>
          <w:rtl/>
          <w:lang w:bidi="fa-IR"/>
        </w:rPr>
        <w:t xml:space="preserve"> أَحْيَا النَّاسَ جَمِيعاً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7F8">
        <w:rPr>
          <w:rtl/>
        </w:rPr>
        <w:t>6234</w:t>
      </w:r>
      <w:r w:rsidRPr="001155DE">
        <w:rPr>
          <w:rStyle w:val="libBold2Char"/>
          <w:rtl/>
        </w:rPr>
        <w:t xml:space="preserve"> / 4.</w:t>
      </w:r>
      <w:r w:rsidRPr="00020424">
        <w:rPr>
          <w:rtl/>
          <w:lang w:bidi="fa-IR"/>
        </w:rPr>
        <w:t xml:space="preserve"> مُحَمَّدُ بْنُ يَحْيى ، عَنْ أَحْمَدَ بْنِ مُحَمَّدٍ ، عَنْ عَلِيِّ بْنِ حَدِيدٍ ، عَنْ مُرَازِمٍ ، عَنْ مُصَادِفٍ ، قَالَ :</w:t>
      </w:r>
    </w:p>
    <w:p w:rsidR="00992664" w:rsidRPr="00020424" w:rsidRDefault="00992664" w:rsidP="00992664">
      <w:pPr>
        <w:pStyle w:val="libNormal"/>
        <w:rPr>
          <w:rtl/>
          <w:lang w:bidi="fa-IR"/>
        </w:rPr>
      </w:pPr>
      <w:r w:rsidRPr="00020424">
        <w:rPr>
          <w:rtl/>
          <w:lang w:bidi="fa-IR"/>
        </w:rPr>
        <w:t xml:space="preserve">كُنْتُ مَعَ أَبِي عَبْدِ اللهِ </w:t>
      </w:r>
      <w:r w:rsidRPr="00005A81">
        <w:rPr>
          <w:rStyle w:val="libAlaemChar"/>
          <w:rtl/>
        </w:rPr>
        <w:t>عليه‌السلام</w:t>
      </w:r>
      <w:r w:rsidRPr="00020424">
        <w:rPr>
          <w:rtl/>
          <w:lang w:bidi="fa-IR"/>
        </w:rPr>
        <w:t xml:space="preserve"> بَيْنَ مَكَّةَ وَالْمَدِينَةِ ، فَمَرَرْنَا عَلى رَجُلٍ فِي أَصْلِ شَجَرَةٍ وَقَدْ أَلْقى بِنَفْسِهِ </w:t>
      </w:r>
      <w:r w:rsidRPr="00A91B96">
        <w:rPr>
          <w:rStyle w:val="libFootnotenumChar"/>
          <w:rtl/>
        </w:rPr>
        <w:t>(5)</w:t>
      </w:r>
      <w:r w:rsidRPr="00020424">
        <w:rPr>
          <w:rtl/>
          <w:lang w:bidi="fa-IR"/>
        </w:rPr>
        <w:t xml:space="preserve"> ، فَقَالَ : « مِلْ بِنَا إِلى هذَا الرَّجُلِ ، فَإِنِّي أَخَافُ أَنْ يَكُونَ قَدْ أَصَابَهُ عَطَشٌ</w:t>
      </w:r>
      <w:r>
        <w:rPr>
          <w:rtl/>
          <w:lang w:bidi="fa-IR"/>
        </w:rPr>
        <w:t xml:space="preserve"> ».</w:t>
      </w:r>
    </w:p>
    <w:p w:rsidR="00992664" w:rsidRPr="00020424" w:rsidRDefault="00992664" w:rsidP="00992664">
      <w:pPr>
        <w:pStyle w:val="libNormal"/>
        <w:rPr>
          <w:rtl/>
          <w:lang w:bidi="fa-IR"/>
        </w:rPr>
      </w:pPr>
      <w:r w:rsidRPr="00020424">
        <w:rPr>
          <w:rtl/>
          <w:lang w:bidi="fa-IR"/>
        </w:rPr>
        <w:t xml:space="preserve">فَمِلْنَا </w:t>
      </w:r>
      <w:r w:rsidRPr="00A91B96">
        <w:rPr>
          <w:rStyle w:val="libFootnotenumChar"/>
          <w:rtl/>
        </w:rPr>
        <w:t>(6)</w:t>
      </w:r>
      <w:r w:rsidRPr="00020424">
        <w:rPr>
          <w:rtl/>
          <w:lang w:bidi="fa-IR"/>
        </w:rPr>
        <w:t xml:space="preserve"> فَإِذَا رَجُلٌ مِنَ الْفَرَاسِينَ </w:t>
      </w:r>
      <w:r w:rsidRPr="00A91B96">
        <w:rPr>
          <w:rStyle w:val="libFootnotenumChar"/>
          <w:rtl/>
        </w:rPr>
        <w:t>(7)</w:t>
      </w:r>
      <w:r w:rsidRPr="00020424">
        <w:rPr>
          <w:rtl/>
          <w:lang w:bidi="fa-IR"/>
        </w:rPr>
        <w:t xml:space="preserve"> طَوِيلُ الشَّعْرِ ، فَسَأَلَهُ </w:t>
      </w:r>
      <w:r w:rsidRPr="00A91B96">
        <w:rPr>
          <w:rStyle w:val="libFootnotenumChar"/>
          <w:rtl/>
        </w:rPr>
        <w:t>(8)</w:t>
      </w:r>
      <w:r>
        <w:rPr>
          <w:rtl/>
          <w:lang w:bidi="fa-IR"/>
        </w:rPr>
        <w:t xml:space="preserve"> : « أَ</w:t>
      </w:r>
      <w:r w:rsidR="00834221">
        <w:rPr>
          <w:rFonts w:hint="cs"/>
          <w:rtl/>
          <w:lang w:bidi="fa-IR"/>
        </w:rPr>
        <w:t xml:space="preserve"> </w:t>
      </w:r>
      <w:r w:rsidRPr="00020424">
        <w:rPr>
          <w:rtl/>
          <w:lang w:bidi="fa-IR"/>
        </w:rPr>
        <w:t>عَطْشَانُ أَنْتَ</w:t>
      </w:r>
      <w:r>
        <w:rPr>
          <w:rtl/>
          <w:lang w:bidi="fa-IR"/>
        </w:rPr>
        <w:t>؟</w:t>
      </w:r>
      <w:r w:rsidRPr="00020424">
        <w:rPr>
          <w:rtl/>
          <w:lang w:bidi="fa-IR"/>
        </w:rPr>
        <w:t xml:space="preserve"> » فَقَالَ :</w:t>
      </w:r>
      <w:r>
        <w:rPr>
          <w:rFonts w:hint="cs"/>
          <w:rtl/>
          <w:lang w:bidi="fa-IR"/>
        </w:rPr>
        <w:t xml:space="preserve"> </w:t>
      </w:r>
      <w:r w:rsidRPr="00020424">
        <w:rPr>
          <w:rtl/>
          <w:lang w:bidi="fa-IR"/>
        </w:rPr>
        <w:t xml:space="preserve">نَعَمْ ، فَقَالَ لِي : « انْزِلْ يَا مُصَادِفُ ، فَاسْقِهِ </w:t>
      </w:r>
      <w:r w:rsidRPr="00A91B96">
        <w:rPr>
          <w:rStyle w:val="libFootnotenumChar"/>
          <w:rtl/>
        </w:rPr>
        <w:t>(9)</w:t>
      </w:r>
      <w:r w:rsidRPr="00020424">
        <w:rPr>
          <w:rtl/>
          <w:lang w:bidi="fa-IR"/>
        </w:rPr>
        <w:t xml:space="preserve"> » فَنَزَلْتُ وَسَقَيْتُهُ ، ثُمَّ رَكِبْتُ وَسِرْنَا </w:t>
      </w:r>
      <w:r w:rsidRPr="00A91B96">
        <w:rPr>
          <w:rStyle w:val="libFootnotenumChar"/>
          <w:rtl/>
        </w:rPr>
        <w:t>(10)</w:t>
      </w:r>
      <w:r w:rsidR="00834221" w:rsidRPr="00834221">
        <w:rP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834221" w:rsidP="00992664">
      <w:pPr>
        <w:pStyle w:val="libFootnote0"/>
        <w:rPr>
          <w:rtl/>
          <w:lang w:bidi="fa-IR"/>
        </w:rPr>
      </w:pPr>
      <w:r>
        <w:rPr>
          <w:rFonts w:hint="cs"/>
          <w:rtl/>
        </w:rPr>
        <w:t xml:space="preserve">= </w:t>
      </w:r>
      <w:r w:rsidR="00992664" w:rsidRPr="00020424">
        <w:rPr>
          <w:rtl/>
        </w:rPr>
        <w:t xml:space="preserve">ح 15 ، بسند آخر عن أبي جعفر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12008A">
        <w:rPr>
          <w:rStyle w:val="libFootnoteBoldChar"/>
          <w:rtl/>
        </w:rPr>
        <w:t>المقنعة</w:t>
      </w:r>
      <w:r w:rsidR="00992664" w:rsidRPr="00020424">
        <w:rPr>
          <w:rtl/>
        </w:rPr>
        <w:t xml:space="preserve"> ، ص 267 ، مرسلاً من دون التصريح باسم المعصوم </w:t>
      </w:r>
      <w:r w:rsidR="00992664" w:rsidRPr="00D64ADA">
        <w:rPr>
          <w:rStyle w:val="libFootnoteAlaemChar"/>
          <w:rtl/>
        </w:rPr>
        <w:t>عليه‌السلام</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10 ، ص 509 ، ح 10001 ؛ </w:t>
      </w:r>
      <w:r w:rsidR="00992664" w:rsidRPr="0012008A">
        <w:rPr>
          <w:rStyle w:val="libFootnoteBoldChar"/>
          <w:rtl/>
        </w:rPr>
        <w:t>الوسائل</w:t>
      </w:r>
      <w:r w:rsidR="00992664" w:rsidRPr="00020424">
        <w:rPr>
          <w:rtl/>
        </w:rPr>
        <w:t xml:space="preserve"> ، ج 9 ، ص 472 ، ح 12523.</w:t>
      </w:r>
    </w:p>
    <w:tbl>
      <w:tblPr>
        <w:tblStyle w:val="TableGrid"/>
        <w:bidiVisual/>
        <w:tblW w:w="0" w:type="auto"/>
        <w:tblLook w:val="04A0" w:firstRow="1" w:lastRow="0" w:firstColumn="1" w:lastColumn="0" w:noHBand="0" w:noVBand="1"/>
      </w:tblPr>
      <w:tblGrid>
        <w:gridCol w:w="4006"/>
        <w:gridCol w:w="4006"/>
      </w:tblGrid>
      <w:tr w:rsidR="00834221" w:rsidTr="00834221">
        <w:tc>
          <w:tcPr>
            <w:tcW w:w="4006" w:type="dxa"/>
          </w:tcPr>
          <w:p w:rsidR="00834221" w:rsidRDefault="00834221" w:rsidP="00992664">
            <w:pPr>
              <w:pStyle w:val="libFootnote0"/>
              <w:rPr>
                <w:rtl/>
              </w:rPr>
            </w:pPr>
            <w:r>
              <w:rPr>
                <w:rtl/>
              </w:rPr>
              <w:t>(1). في «بر،بف،بك»:«أحياها» بدل «</w:t>
            </w:r>
            <w:r w:rsidRPr="00020424">
              <w:rPr>
                <w:rtl/>
              </w:rPr>
              <w:t>أحيا نفساً</w:t>
            </w:r>
            <w:r>
              <w:rPr>
                <w:rtl/>
              </w:rPr>
              <w:t>».</w:t>
            </w:r>
          </w:p>
        </w:tc>
        <w:tc>
          <w:tcPr>
            <w:tcW w:w="4006" w:type="dxa"/>
          </w:tcPr>
          <w:p w:rsidR="00834221" w:rsidRDefault="00834221" w:rsidP="00992664">
            <w:pPr>
              <w:pStyle w:val="libFootnote0"/>
              <w:rPr>
                <w:rtl/>
              </w:rPr>
            </w:pPr>
            <w:r>
              <w:rPr>
                <w:rtl/>
              </w:rPr>
              <w:t xml:space="preserve">(2). </w:t>
            </w:r>
            <w:r w:rsidRPr="00020424">
              <w:rPr>
                <w:rtl/>
              </w:rPr>
              <w:t>في « بخ » : « كان كمن</w:t>
            </w:r>
            <w:r>
              <w:rPr>
                <w:rtl/>
              </w:rPr>
              <w:t xml:space="preserve"> ».</w:t>
            </w:r>
          </w:p>
        </w:tc>
      </w:tr>
    </w:tbl>
    <w:p w:rsidR="00992664" w:rsidRPr="00020424" w:rsidRDefault="00795177" w:rsidP="00834221">
      <w:pPr>
        <w:pStyle w:val="libFootnote0"/>
        <w:rPr>
          <w:rtl/>
          <w:lang w:bidi="fa-IR"/>
        </w:rPr>
      </w:pPr>
      <w:r>
        <w:rPr>
          <w:rtl/>
        </w:rPr>
        <w:t>(3).</w:t>
      </w:r>
      <w:r w:rsidR="0014403D">
        <w:rPr>
          <w:rtl/>
        </w:rPr>
        <w:t xml:space="preserve"> </w:t>
      </w:r>
      <w:r w:rsidR="00992664" w:rsidRPr="00020424">
        <w:rPr>
          <w:rtl/>
        </w:rPr>
        <w:t xml:space="preserve">اقتباس من الآية 32 من سورة المائدة </w:t>
      </w:r>
      <w:r w:rsidR="00834221">
        <w:rPr>
          <w:rtl/>
        </w:rPr>
        <w:t>(5)</w:t>
      </w:r>
      <w:r w:rsidR="0014403D">
        <w:rPr>
          <w:rtl/>
        </w:rPr>
        <w:t xml:space="preserve"> </w:t>
      </w:r>
      <w:r w:rsidR="00992664">
        <w:rPr>
          <w:rtl/>
        </w:rPr>
        <w:t>:</w:t>
      </w:r>
      <w:r w:rsidR="00992664" w:rsidRPr="00020424">
        <w:rPr>
          <w:rtl/>
        </w:rPr>
        <w:t xml:space="preserve"> </w:t>
      </w:r>
      <w:r w:rsidR="00992664" w:rsidRPr="00834221">
        <w:rPr>
          <w:rStyle w:val="libFootnoteAlaemChar"/>
          <w:rtl/>
        </w:rPr>
        <w:t>(</w:t>
      </w:r>
      <w:r w:rsidR="00992664" w:rsidRPr="006B2AC6">
        <w:rPr>
          <w:rStyle w:val="libFootnoteAieChar"/>
          <w:rFonts w:hint="cs"/>
          <w:rtl/>
        </w:rPr>
        <w:t xml:space="preserve"> </w:t>
      </w:r>
      <w:r w:rsidR="00992664" w:rsidRPr="006B2AC6">
        <w:rPr>
          <w:rStyle w:val="libFootnoteAieChar"/>
          <w:rtl/>
        </w:rPr>
        <w:t>وَمَنْ أَحْي</w:t>
      </w:r>
      <w:r w:rsidR="00834221">
        <w:rPr>
          <w:rStyle w:val="libFootnoteAieChar"/>
          <w:rFonts w:hint="cs"/>
          <w:rtl/>
        </w:rPr>
        <w:t>َ</w:t>
      </w:r>
      <w:r w:rsidR="00992664" w:rsidRPr="006B2AC6">
        <w:rPr>
          <w:rStyle w:val="libFootnoteAieChar"/>
          <w:rtl/>
        </w:rPr>
        <w:t>اه</w:t>
      </w:r>
      <w:r w:rsidR="00834221">
        <w:rPr>
          <w:rStyle w:val="libFootnoteAieChar"/>
          <w:rFonts w:hint="cs"/>
          <w:rtl/>
        </w:rPr>
        <w:t>َ</w:t>
      </w:r>
      <w:r w:rsidR="00992664" w:rsidRPr="006B2AC6">
        <w:rPr>
          <w:rStyle w:val="libFootnoteAieChar"/>
          <w:rtl/>
        </w:rPr>
        <w:t>ا فَكَأَنَّم</w:t>
      </w:r>
      <w:r w:rsidR="00834221">
        <w:rPr>
          <w:rStyle w:val="libFootnoteAieChar"/>
          <w:rFonts w:hint="cs"/>
          <w:rtl/>
        </w:rPr>
        <w:t>َآ</w:t>
      </w:r>
      <w:r w:rsidR="00992664" w:rsidRPr="006B2AC6">
        <w:rPr>
          <w:rStyle w:val="libFootnoteAieChar"/>
          <w:rtl/>
        </w:rPr>
        <w:t xml:space="preserve"> أَحْيَا النّ</w:t>
      </w:r>
      <w:r w:rsidR="00834221">
        <w:rPr>
          <w:rStyle w:val="libFootnoteAieChar"/>
          <w:rFonts w:hint="cs"/>
          <w:rtl/>
        </w:rPr>
        <w:t>َ</w:t>
      </w:r>
      <w:r w:rsidR="00992664" w:rsidRPr="006B2AC6">
        <w:rPr>
          <w:rStyle w:val="libFootnoteAieChar"/>
          <w:rtl/>
        </w:rPr>
        <w:t xml:space="preserve">اسَ جَمِيعاً </w:t>
      </w:r>
      <w:r w:rsidR="00992664" w:rsidRPr="00834221">
        <w:rPr>
          <w:rStyle w:val="libFootnoteAlaemChar"/>
          <w:rtl/>
        </w:rPr>
        <w:t>)</w:t>
      </w:r>
      <w:r w:rsidR="00992664" w:rsidRPr="0002042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64 ، ح 1724 ، معلّقاً عن معاوية بن عمّار. وراجع : </w:t>
      </w:r>
      <w:r w:rsidR="00992664" w:rsidRPr="00DE76B9">
        <w:rPr>
          <w:rStyle w:val="libFootnoteBoldChar"/>
          <w:rtl/>
        </w:rPr>
        <w:t>الكافي</w:t>
      </w:r>
      <w:r w:rsidR="00992664" w:rsidRPr="00020424">
        <w:rPr>
          <w:rtl/>
        </w:rPr>
        <w:t xml:space="preserve"> ، كتاب الإيمان والكفر ، باب إطعام المؤمن ، ح 2193 </w:t>
      </w:r>
      <w:r w:rsidR="00834221">
        <w:rPr>
          <w:rFonts w:hint="cs"/>
          <w:rtl/>
        </w:rPr>
        <w:t>.</w:t>
      </w:r>
      <w:r w:rsidR="00992664" w:rsidRPr="0012008A">
        <w:rPr>
          <w:rStyle w:val="libFootnoteBoldChar"/>
          <w:rtl/>
        </w:rPr>
        <w:t>الوافي</w:t>
      </w:r>
      <w:r w:rsidR="00992664" w:rsidRPr="00020424">
        <w:rPr>
          <w:rtl/>
        </w:rPr>
        <w:t xml:space="preserve"> ، ج 10 ، ص 510 ، ح 10003 ؛ </w:t>
      </w:r>
      <w:r w:rsidR="00992664" w:rsidRPr="0012008A">
        <w:rPr>
          <w:rStyle w:val="libFootnoteBoldChar"/>
          <w:rtl/>
        </w:rPr>
        <w:t>الوسائل</w:t>
      </w:r>
      <w:r w:rsidR="00992664" w:rsidRPr="00020424">
        <w:rPr>
          <w:rtl/>
        </w:rPr>
        <w:t xml:space="preserve"> ، ج 9 ، ص 473 ، ح 12524.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بس ، جن » : « نفسه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بخ ، بس ، بف » </w:t>
      </w:r>
      <w:r w:rsidR="00992664" w:rsidRPr="00834221">
        <w:rPr>
          <w:rtl/>
        </w:rPr>
        <w:t>والوسائل</w:t>
      </w:r>
      <w:r w:rsidR="00992664" w:rsidRPr="00020424">
        <w:rPr>
          <w:rtl/>
        </w:rPr>
        <w:t xml:space="preserve"> : + « إليه</w:t>
      </w:r>
      <w:r w:rsidR="00992664">
        <w:rPr>
          <w:rtl/>
        </w:rPr>
        <w:t xml:space="preserve"> ».</w:t>
      </w:r>
      <w:r w:rsidR="00992664" w:rsidRPr="00020424">
        <w:rPr>
          <w:rtl/>
        </w:rPr>
        <w:t xml:space="preserve"> وفي « بر ، بك » </w:t>
      </w:r>
      <w:r w:rsidR="00992664" w:rsidRPr="00834221">
        <w:rPr>
          <w:rtl/>
        </w:rPr>
        <w:t>والوافي</w:t>
      </w:r>
      <w:r w:rsidR="00992664" w:rsidRPr="00020424">
        <w:rPr>
          <w:rtl/>
        </w:rPr>
        <w:t xml:space="preserve"> : « فملت إليه</w:t>
      </w:r>
      <w:r w:rsidR="00992664">
        <w:rPr>
          <w:rtl/>
        </w:rPr>
        <w:t xml:space="preserve"> ».</w:t>
      </w:r>
    </w:p>
    <w:p w:rsidR="00992664" w:rsidRPr="00020424" w:rsidRDefault="00795177" w:rsidP="00834221">
      <w:pPr>
        <w:pStyle w:val="libFootnote0"/>
        <w:rPr>
          <w:rtl/>
          <w:lang w:bidi="fa-IR"/>
        </w:rPr>
      </w:pPr>
      <w:r>
        <w:rPr>
          <w:rtl/>
        </w:rPr>
        <w:t>(7).</w:t>
      </w:r>
      <w:r w:rsidR="0014403D">
        <w:rPr>
          <w:rtl/>
        </w:rPr>
        <w:t xml:space="preserve"> </w:t>
      </w:r>
      <w:r w:rsidR="00992664" w:rsidRPr="00020424">
        <w:rPr>
          <w:rtl/>
        </w:rPr>
        <w:t xml:space="preserve">في « ظ ، ى ، بث ، بح » </w:t>
      </w:r>
      <w:r w:rsidR="00992664" w:rsidRPr="00834221">
        <w:rPr>
          <w:rtl/>
        </w:rPr>
        <w:t>والوسائل</w:t>
      </w:r>
      <w:r w:rsidR="00992664" w:rsidRPr="00020424">
        <w:rPr>
          <w:rtl/>
        </w:rPr>
        <w:t xml:space="preserve"> : « الفراشين</w:t>
      </w:r>
      <w:r w:rsidR="00992664">
        <w:rPr>
          <w:rtl/>
        </w:rPr>
        <w:t xml:space="preserve"> ».</w:t>
      </w:r>
      <w:r w:rsidR="00992664" w:rsidRPr="00020424">
        <w:rPr>
          <w:rtl/>
        </w:rPr>
        <w:t xml:space="preserve"> وفي حاشية « بث » : « البوراسين</w:t>
      </w:r>
      <w:r w:rsidR="00992664">
        <w:rPr>
          <w:rtl/>
        </w:rPr>
        <w:t xml:space="preserve"> ».</w:t>
      </w:r>
      <w:r w:rsidR="00992664" w:rsidRPr="00020424">
        <w:rPr>
          <w:rtl/>
        </w:rPr>
        <w:t xml:space="preserve"> وقال المحقّق الشعراني في هامش </w:t>
      </w:r>
      <w:r w:rsidR="00992664" w:rsidRPr="0012008A">
        <w:rPr>
          <w:rStyle w:val="libFootnoteBoldChar"/>
          <w:rtl/>
        </w:rPr>
        <w:t>الوافي</w:t>
      </w:r>
      <w:r w:rsidR="00992664" w:rsidRPr="00020424">
        <w:rPr>
          <w:rtl/>
        </w:rPr>
        <w:t xml:space="preserve"> : « في بعض نسخ </w:t>
      </w:r>
      <w:r w:rsidR="00992664" w:rsidRPr="00DE76B9">
        <w:rPr>
          <w:rStyle w:val="libFootnoteBoldChar"/>
          <w:rtl/>
        </w:rPr>
        <w:t>الكافي</w:t>
      </w:r>
      <w:r w:rsidR="00992664" w:rsidRPr="00020424">
        <w:rPr>
          <w:rtl/>
        </w:rPr>
        <w:t xml:space="preserve"> : الفراشين بالفاء والشين المعجمة ، وفي بعضها : الفراسين بالفاء والسين المهملة ، كأنّهم طائفة من النصارى كان من شعارهم تطويل الشعر تركاً لزينة الحياة الدنيا على مقتضى رهبانيّتهم ، والله العالم</w:t>
      </w:r>
      <w:r w:rsidR="00992664">
        <w:rPr>
          <w:rtl/>
        </w:rPr>
        <w:t xml:space="preserve"> ».</w:t>
      </w:r>
      <w:r w:rsidR="00834221">
        <w:rPr>
          <w:rFonts w:hint="cs"/>
          <w:rtl/>
        </w:rPr>
        <w:t xml:space="preserve">                                        </w:t>
      </w:r>
      <w:r>
        <w:rPr>
          <w:rtl/>
        </w:rPr>
        <w:t>(8).</w:t>
      </w:r>
      <w:r w:rsidR="0014403D">
        <w:rPr>
          <w:rtl/>
        </w:rPr>
        <w:t xml:space="preserve"> </w:t>
      </w:r>
      <w:r w:rsidR="00992664" w:rsidRPr="00020424">
        <w:rPr>
          <w:rtl/>
        </w:rPr>
        <w:t>في « ظ ، جن » : « وسأله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بخ ، بر ، بف ، بك » </w:t>
      </w:r>
      <w:r w:rsidR="00992664" w:rsidRPr="00834221">
        <w:rPr>
          <w:rtl/>
        </w:rPr>
        <w:t>والوافي</w:t>
      </w:r>
      <w:r w:rsidR="00992664" w:rsidRPr="00020424">
        <w:rPr>
          <w:rtl/>
        </w:rPr>
        <w:t xml:space="preserve"> : « واسقه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بر ، بف ، بك » </w:t>
      </w:r>
      <w:r w:rsidR="00992664" w:rsidRPr="00834221">
        <w:rPr>
          <w:rtl/>
        </w:rPr>
        <w:t>والوافي</w:t>
      </w:r>
      <w:r w:rsidR="00992664" w:rsidRPr="00020424">
        <w:rPr>
          <w:rtl/>
        </w:rPr>
        <w:t xml:space="preserve"> : « فسرنا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فَقُلْتُ : هذَا نَصْرَانِيٌّ ، فَتَتَصَدَّقُ </w:t>
      </w:r>
      <w:r w:rsidRPr="00A91B96">
        <w:rPr>
          <w:rStyle w:val="libFootnotenumChar"/>
          <w:rtl/>
        </w:rPr>
        <w:t>(1)</w:t>
      </w:r>
      <w:r w:rsidRPr="00020424">
        <w:rPr>
          <w:rtl/>
          <w:lang w:bidi="fa-IR"/>
        </w:rPr>
        <w:t xml:space="preserve"> عَلى نَصْرَانِيٍّ</w:t>
      </w:r>
      <w:r>
        <w:rPr>
          <w:rtl/>
          <w:lang w:bidi="fa-IR"/>
        </w:rPr>
        <w:t>؟!</w:t>
      </w:r>
    </w:p>
    <w:p w:rsidR="00992664" w:rsidRPr="00020424" w:rsidRDefault="00992664" w:rsidP="00992664">
      <w:pPr>
        <w:pStyle w:val="libNormal"/>
        <w:rPr>
          <w:rtl/>
          <w:lang w:bidi="fa-IR"/>
        </w:rPr>
      </w:pPr>
      <w:r w:rsidRPr="00020424">
        <w:rPr>
          <w:rtl/>
          <w:lang w:bidi="fa-IR"/>
        </w:rPr>
        <w:t xml:space="preserve">فَقَالَ : « نَعَمْ ، إِذَا كَانُوا </w:t>
      </w:r>
      <w:r w:rsidRPr="00A91B96">
        <w:rPr>
          <w:rStyle w:val="libFootnotenumChar"/>
          <w:rtl/>
        </w:rPr>
        <w:t>(2)</w:t>
      </w:r>
      <w:r w:rsidRPr="00020424">
        <w:rPr>
          <w:rtl/>
          <w:lang w:bidi="fa-IR"/>
        </w:rPr>
        <w:t xml:space="preserve"> فِي مِثْلِ هذَا الْحَالِ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7F8">
        <w:rPr>
          <w:rtl/>
        </w:rPr>
        <w:t>6235</w:t>
      </w:r>
      <w:r w:rsidRPr="001155DE">
        <w:rPr>
          <w:rStyle w:val="libBold2Char"/>
          <w:rtl/>
        </w:rPr>
        <w:t xml:space="preserve"> / 5.</w:t>
      </w:r>
      <w:r w:rsidRPr="00020424">
        <w:rPr>
          <w:rtl/>
          <w:lang w:bidi="fa-IR"/>
        </w:rPr>
        <w:t xml:space="preserve"> عَلِيُّ بْنُ مُحَمَّدِ بْنِ عَبْدِ اللهِ ، عَنْ أَحْمَدَ بْنِ أَبِي عَبْدِ اللهِ ، عَنْ يَحْيَى بْنِ إِبْرَاهِيمَ بْنِ أَبِي الْبِلَادِ ، عَنْ أَبِيهِ ، عَنْ جَدِّهِ :</w:t>
      </w:r>
    </w:p>
    <w:p w:rsidR="00992664" w:rsidRPr="00020424" w:rsidRDefault="00992664" w:rsidP="001E5A8D">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جَاءَ أَعْرَابِيٌّ إِلَى النَّبِيِّ </w:t>
      </w:r>
      <w:r w:rsidR="001E5A8D" w:rsidRPr="00D64ADA">
        <w:rPr>
          <w:rStyle w:val="libFootnoteAlaemChar"/>
          <w:rtl/>
        </w:rPr>
        <w:t>صلى‌الله‌عليه‌وآله</w:t>
      </w:r>
      <w:r w:rsidR="001E5A8D" w:rsidRPr="00B42914">
        <w:rPr>
          <w:rStyle w:val="libAlaemChar"/>
          <w:rtl/>
        </w:rPr>
        <w:t>‌</w:t>
      </w:r>
      <w:r w:rsidR="001E5A8D" w:rsidRPr="00020424">
        <w:rPr>
          <w:rtl/>
        </w:rPr>
        <w:t xml:space="preserve"> </w:t>
      </w:r>
      <w:r w:rsidRPr="00020424">
        <w:rPr>
          <w:rtl/>
          <w:lang w:bidi="fa-IR"/>
        </w:rPr>
        <w:t>، فَقَالَ : عَلِّمْنِي عَمَلاً أَدْخُلُ بِهِ الْجَنَّةَ ، فَقَالَ : أَطْعِمِ الطَّعَامَ ، وَأَفْشِ السَّلَامَ</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فَقَالَ </w:t>
      </w:r>
      <w:r w:rsidRPr="00A91B96">
        <w:rPr>
          <w:rStyle w:val="libFootnotenumChar"/>
          <w:rtl/>
        </w:rPr>
        <w:t>(5)</w:t>
      </w:r>
      <w:r w:rsidRPr="00020424">
        <w:rPr>
          <w:rtl/>
          <w:lang w:bidi="fa-IR"/>
        </w:rPr>
        <w:t xml:space="preserve"> : لَا</w:t>
      </w:r>
      <w:r>
        <w:rPr>
          <w:rFonts w:hint="cs"/>
          <w:rtl/>
          <w:lang w:bidi="fa-IR"/>
        </w:rPr>
        <w:t xml:space="preserve"> </w:t>
      </w:r>
      <w:r w:rsidRPr="00020424">
        <w:rPr>
          <w:rtl/>
          <w:lang w:bidi="fa-IR"/>
        </w:rPr>
        <w:t xml:space="preserve">أُطِيقُ ذلِكَ ، قَالَ : فَهَلْ </w:t>
      </w:r>
      <w:r w:rsidRPr="00A91B96">
        <w:rPr>
          <w:rStyle w:val="libFootnotenumChar"/>
          <w:rtl/>
        </w:rPr>
        <w:t>(6)</w:t>
      </w:r>
      <w:r w:rsidRPr="00020424">
        <w:rPr>
          <w:rtl/>
          <w:lang w:bidi="fa-IR"/>
        </w:rPr>
        <w:t xml:space="preserve"> لَكَ إِبِلٌ</w:t>
      </w:r>
      <w:r>
        <w:rPr>
          <w:rtl/>
          <w:lang w:bidi="fa-IR"/>
        </w:rPr>
        <w:t>؟</w:t>
      </w:r>
      <w:r w:rsidRPr="00020424">
        <w:rPr>
          <w:rtl/>
          <w:lang w:bidi="fa-IR"/>
        </w:rPr>
        <w:t xml:space="preserve"> قَالَ </w:t>
      </w:r>
      <w:r w:rsidRPr="00A91B96">
        <w:rPr>
          <w:rStyle w:val="libFootnotenumChar"/>
          <w:rtl/>
        </w:rPr>
        <w:t>(7)</w:t>
      </w:r>
      <w:r w:rsidRPr="00020424">
        <w:rPr>
          <w:rtl/>
          <w:lang w:bidi="fa-IR"/>
        </w:rPr>
        <w:t xml:space="preserve"> : نَعَمْ ، قَالَ : فَانْظُرْ بَعِيراً ، وَاسْقِ </w:t>
      </w:r>
      <w:r w:rsidRPr="00A91B96">
        <w:rPr>
          <w:rStyle w:val="libFootnotenumChar"/>
          <w:rtl/>
        </w:rPr>
        <w:t>(8)</w:t>
      </w:r>
      <w:r w:rsidRPr="00020424">
        <w:rPr>
          <w:rtl/>
          <w:lang w:bidi="fa-IR"/>
        </w:rPr>
        <w:t xml:space="preserve"> عَلَيْهِ </w:t>
      </w:r>
      <w:r w:rsidRPr="00A91B96">
        <w:rPr>
          <w:rStyle w:val="libFootnotenumChar"/>
          <w:rtl/>
        </w:rPr>
        <w:t>(9)</w:t>
      </w:r>
      <w:r w:rsidRPr="00020424">
        <w:rPr>
          <w:rtl/>
          <w:lang w:bidi="fa-IR"/>
        </w:rPr>
        <w:t xml:space="preserve"> أَهْلَ بَيْت</w:t>
      </w:r>
      <w:r w:rsidR="00D94D46">
        <w:rPr>
          <w:rtl/>
          <w:lang w:bidi="fa-IR"/>
        </w:rPr>
        <w:t>ٍ لَايَشْرَبُونَ الْمَاءَ إِل</w:t>
      </w:r>
      <w:r w:rsidR="00D94D46">
        <w:rPr>
          <w:rFonts w:hint="cs"/>
          <w:rtl/>
          <w:lang w:bidi="fa-IR"/>
        </w:rPr>
        <w:t>َّ</w:t>
      </w:r>
      <w:r w:rsidR="00D94D46">
        <w:rPr>
          <w:rtl/>
          <w:lang w:bidi="fa-IR"/>
        </w:rPr>
        <w:t>ا</w:t>
      </w:r>
      <w:r w:rsidRPr="00020424">
        <w:rPr>
          <w:rtl/>
          <w:lang w:bidi="fa-IR"/>
        </w:rPr>
        <w:t xml:space="preserve"> غِبّاً </w:t>
      </w:r>
      <w:r w:rsidRPr="00A91B96">
        <w:rPr>
          <w:rStyle w:val="libFootnotenumChar"/>
          <w:rtl/>
        </w:rPr>
        <w:t>(10)</w:t>
      </w:r>
      <w:r w:rsidRPr="00020424">
        <w:rPr>
          <w:rtl/>
          <w:lang w:bidi="fa-IR"/>
        </w:rPr>
        <w:t xml:space="preserve"> ، فَلَعَلَّهُ لَايَنْفُقُ بَعِيرُكَ </w:t>
      </w:r>
      <w:r w:rsidRPr="00A91B96">
        <w:rPr>
          <w:rStyle w:val="libFootnotenumChar"/>
          <w:rtl/>
        </w:rPr>
        <w:t>(11)</w:t>
      </w:r>
      <w:r w:rsidRPr="00020424">
        <w:rPr>
          <w:rtl/>
          <w:lang w:bidi="fa-IR"/>
        </w:rPr>
        <w:t xml:space="preserve"> ، وَلَا يَنْخَرِقُ </w:t>
      </w:r>
      <w:r w:rsidRPr="00A91B96">
        <w:rPr>
          <w:rStyle w:val="libFootnotenumChar"/>
          <w:rtl/>
        </w:rPr>
        <w:t>(12)</w:t>
      </w:r>
      <w:r w:rsidRPr="00020424">
        <w:rPr>
          <w:rtl/>
          <w:lang w:bidi="fa-IR"/>
        </w:rPr>
        <w:t xml:space="preserve"> سِقَاؤُكَ </w:t>
      </w:r>
      <w:r w:rsidRPr="00A91B96">
        <w:rPr>
          <w:rStyle w:val="libFootnotenumChar"/>
          <w:rtl/>
        </w:rPr>
        <w:t>(13)</w:t>
      </w:r>
      <w:r w:rsidRPr="00020424">
        <w:rPr>
          <w:rtl/>
          <w:lang w:bidi="fa-IR"/>
        </w:rPr>
        <w:t xml:space="preserve"> حَتّى تَجِبَ لَكَ الْجَنَّةُ</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بس » : « فتصدّق</w:t>
      </w:r>
      <w:r w:rsidR="00992664">
        <w:rPr>
          <w:rtl/>
        </w:rPr>
        <w:t xml:space="preserve"> ».</w:t>
      </w:r>
      <w:r w:rsidR="00992664" w:rsidRPr="00020424">
        <w:rPr>
          <w:rtl/>
        </w:rPr>
        <w:t xml:space="preserve"> وفي « بخ » : « فيتصدّق</w:t>
      </w:r>
      <w:r w:rsidR="00992664">
        <w:rPr>
          <w:rtl/>
        </w:rPr>
        <w:t xml:space="preserve"> ».</w:t>
      </w:r>
      <w:r w:rsidR="00992664" w:rsidRPr="00020424">
        <w:rPr>
          <w:rtl/>
        </w:rPr>
        <w:t xml:space="preserve"> وفي </w:t>
      </w:r>
      <w:r w:rsidR="00992664" w:rsidRPr="00D94D46">
        <w:rPr>
          <w:rtl/>
        </w:rPr>
        <w:t>الوسائل</w:t>
      </w:r>
      <w:r w:rsidR="00992664" w:rsidRPr="00020424">
        <w:rPr>
          <w:rtl/>
        </w:rPr>
        <w:t xml:space="preserve"> : «</w:t>
      </w:r>
      <w:r w:rsidR="00992664">
        <w:rPr>
          <w:rtl/>
        </w:rPr>
        <w:t xml:space="preserve"> أ</w:t>
      </w:r>
      <w:r w:rsidR="00992664" w:rsidRPr="00020424">
        <w:rPr>
          <w:rtl/>
        </w:rPr>
        <w:t>فتتصدّق</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بس ، بف ، بك » </w:t>
      </w:r>
      <w:r w:rsidR="00992664" w:rsidRPr="00D94D46">
        <w:rPr>
          <w:rtl/>
        </w:rPr>
        <w:t>والوافي</w:t>
      </w:r>
      <w:r w:rsidR="00992664" w:rsidRPr="00020424">
        <w:rPr>
          <w:rtl/>
        </w:rPr>
        <w:t xml:space="preserve"> : « 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بخ » : « هذه الحالة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10 ، ص 510 ، ح 10004 ؛ </w:t>
      </w:r>
      <w:r w:rsidR="00992664" w:rsidRPr="0012008A">
        <w:rPr>
          <w:rStyle w:val="libFootnoteBoldChar"/>
          <w:rtl/>
        </w:rPr>
        <w:t>الوسائل</w:t>
      </w:r>
      <w:r w:rsidR="00992664" w:rsidRPr="00020424">
        <w:rPr>
          <w:rtl/>
        </w:rPr>
        <w:t xml:space="preserve"> ، ج 9 ، ص 409 ، ح 12350.</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فقال</w:t>
      </w:r>
      <w:r w:rsidR="00992664">
        <w:rPr>
          <w:rtl/>
        </w:rPr>
        <w:t xml:space="preserve"> ».</w:t>
      </w:r>
      <w:r w:rsidR="00992664" w:rsidRPr="00020424">
        <w:rPr>
          <w:rtl/>
        </w:rPr>
        <w:t xml:space="preserve"> وفي « بر ، بف ، بك »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94D46">
        <w:rPr>
          <w:rtl/>
        </w:rPr>
        <w:t>الوافي</w:t>
      </w:r>
      <w:r w:rsidR="00992664" w:rsidRPr="00020424">
        <w:rPr>
          <w:rtl/>
        </w:rPr>
        <w:t xml:space="preserve"> : « فقال : هل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 + « فقال</w:t>
      </w:r>
      <w:r w:rsidR="00992664">
        <w:rPr>
          <w:rtl/>
        </w:rPr>
        <w:t xml:space="preserve"> ».</w:t>
      </w:r>
      <w:r w:rsidR="00992664" w:rsidRPr="00020424">
        <w:rPr>
          <w:rtl/>
        </w:rPr>
        <w:t xml:space="preserve"> وفي « بث ، بس ، بف » : « فقال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 « واستق</w:t>
      </w:r>
      <w:r w:rsidR="00992664">
        <w:rPr>
          <w:rtl/>
        </w:rPr>
        <w:t xml:space="preserve"> ».</w:t>
      </w:r>
      <w:r w:rsidR="00992664" w:rsidRPr="00020424">
        <w:rPr>
          <w:rtl/>
        </w:rPr>
        <w:t xml:space="preserve"> وفي « ظ ، بح ، بس » </w:t>
      </w:r>
      <w:r w:rsidR="00992664" w:rsidRPr="00D94D46">
        <w:rPr>
          <w:rtl/>
        </w:rPr>
        <w:t>والوسائل</w:t>
      </w:r>
      <w:r w:rsidR="00992664" w:rsidRPr="00020424">
        <w:rPr>
          <w:rtl/>
        </w:rPr>
        <w:t xml:space="preserve"> : « فاسق</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الغِبُّ : أن ترد الإبل الماء يوماً وتدعه يوماً ، ثمّ تعود. والغِبّ من وِرْد الماء ، فهو أن تشرب يوماً ويوماً لا. راجع : </w:t>
      </w:r>
      <w:r w:rsidR="00992664" w:rsidRPr="0012008A">
        <w:rPr>
          <w:rStyle w:val="libFootnoteBoldChar"/>
          <w:rtl/>
        </w:rPr>
        <w:t>النهاية</w:t>
      </w:r>
      <w:r w:rsidR="00992664" w:rsidRPr="00020424">
        <w:rPr>
          <w:rtl/>
        </w:rPr>
        <w:t xml:space="preserve"> ، ج 3 ، ص 336 ؛ </w:t>
      </w:r>
      <w:r w:rsidR="00992664" w:rsidRPr="00A722B1">
        <w:rPr>
          <w:rStyle w:val="libFootnoteBoldChar"/>
          <w:rtl/>
        </w:rPr>
        <w:t>لسان العرب</w:t>
      </w:r>
      <w:r w:rsidR="00992664" w:rsidRPr="00020424">
        <w:rPr>
          <w:rtl/>
        </w:rPr>
        <w:t xml:space="preserve"> ، ج 1 ، ص 635 ( غبب )</w:t>
      </w:r>
      <w:r w:rsidR="00992664">
        <w:rPr>
          <w:rtl/>
        </w:rPr>
        <w:t>.</w:t>
      </w:r>
    </w:p>
    <w:p w:rsidR="00992664" w:rsidRPr="00020424" w:rsidRDefault="00795177" w:rsidP="00D94D46">
      <w:pPr>
        <w:pStyle w:val="libFootnote0"/>
        <w:rPr>
          <w:rtl/>
          <w:lang w:bidi="fa-IR"/>
        </w:rPr>
      </w:pPr>
      <w:r>
        <w:rPr>
          <w:rtl/>
        </w:rPr>
        <w:t>(11).</w:t>
      </w:r>
      <w:r w:rsidR="0014403D">
        <w:rPr>
          <w:rtl/>
        </w:rPr>
        <w:t xml:space="preserve"> </w:t>
      </w:r>
      <w:r w:rsidR="00992664" w:rsidRPr="00020424">
        <w:rPr>
          <w:rtl/>
        </w:rPr>
        <w:t xml:space="preserve">« لا ينفق بعيرك » أي لا يموت ؛ يقال : نَفَقَتِ الدابّة تَنْفُقُ نُفوقاً ، أي ماتت. راجع : </w:t>
      </w:r>
      <w:r w:rsidR="00992664" w:rsidRPr="0012008A">
        <w:rPr>
          <w:rStyle w:val="libFootnoteBoldChar"/>
          <w:rtl/>
        </w:rPr>
        <w:t>الصحاح</w:t>
      </w:r>
      <w:r w:rsidR="00992664" w:rsidRPr="00020424">
        <w:rPr>
          <w:rtl/>
        </w:rPr>
        <w:t xml:space="preserve"> ، ج 4 ، ص 1560 ؛ </w:t>
      </w:r>
      <w:r w:rsidR="00992664" w:rsidRPr="00A722B1">
        <w:rPr>
          <w:rStyle w:val="libFootnoteBoldChar"/>
          <w:rtl/>
        </w:rPr>
        <w:t>لسان العرب</w:t>
      </w:r>
      <w:r w:rsidR="00992664" w:rsidRPr="00020424">
        <w:rPr>
          <w:rtl/>
        </w:rPr>
        <w:t xml:space="preserve"> ، ج 10 ، ص 357 ( نفق )</w:t>
      </w:r>
      <w:r w:rsidR="00992664">
        <w:rPr>
          <w:rtl/>
        </w:rPr>
        <w:t>.</w:t>
      </w:r>
      <w:r w:rsidR="00D94D46">
        <w:rPr>
          <w:rFonts w:hint="cs"/>
          <w:rtl/>
        </w:rPr>
        <w:t xml:space="preserve">  </w:t>
      </w:r>
      <w:r>
        <w:rPr>
          <w:rtl/>
        </w:rPr>
        <w:t>(12).</w:t>
      </w:r>
      <w:r w:rsidR="0014403D">
        <w:rPr>
          <w:rtl/>
        </w:rPr>
        <w:t xml:space="preserve"> </w:t>
      </w:r>
      <w:r w:rsidR="00992664" w:rsidRPr="00020424">
        <w:rPr>
          <w:rtl/>
        </w:rPr>
        <w:t xml:space="preserve">في « ى » </w:t>
      </w:r>
      <w:r w:rsidR="00992664" w:rsidRPr="00D94D46">
        <w:rPr>
          <w:rtl/>
        </w:rPr>
        <w:t>والوسائل</w:t>
      </w:r>
      <w:r w:rsidR="00992664" w:rsidRPr="00020424">
        <w:rPr>
          <w:rtl/>
        </w:rPr>
        <w:t xml:space="preserve"> : « ولا يتخرّق</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السقاء ، ككتاب : ظرف الماء واللبن من الجلد. راجع : </w:t>
      </w:r>
      <w:r w:rsidR="00992664" w:rsidRPr="0012008A">
        <w:rPr>
          <w:rStyle w:val="libFootnoteBoldChar"/>
          <w:rtl/>
        </w:rPr>
        <w:t>الصحاح</w:t>
      </w:r>
      <w:r w:rsidR="00992664" w:rsidRPr="00020424">
        <w:rPr>
          <w:rtl/>
        </w:rPr>
        <w:t xml:space="preserve"> ، ج 4 ، ص 2379 ؛ </w:t>
      </w:r>
      <w:r w:rsidR="00992664" w:rsidRPr="0012008A">
        <w:rPr>
          <w:rStyle w:val="libFootnoteBoldChar"/>
          <w:rtl/>
        </w:rPr>
        <w:t>النهاية</w:t>
      </w:r>
      <w:r w:rsidR="00992664" w:rsidRPr="00020424">
        <w:rPr>
          <w:rtl/>
        </w:rPr>
        <w:t xml:space="preserve"> : ج 6 ، ص 381 ( سقى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الوافي</w:t>
      </w:r>
      <w:r w:rsidR="00992664" w:rsidRPr="00020424">
        <w:rPr>
          <w:rtl/>
        </w:rPr>
        <w:t xml:space="preserve"> ، ج 10 ، ص 511 ، ح 10005 ؛ </w:t>
      </w:r>
      <w:r w:rsidR="00992664" w:rsidRPr="0012008A">
        <w:rPr>
          <w:rStyle w:val="libFootnoteBoldChar"/>
          <w:rtl/>
        </w:rPr>
        <w:t>الوسائل</w:t>
      </w:r>
      <w:r w:rsidR="00992664" w:rsidRPr="00020424">
        <w:rPr>
          <w:rtl/>
        </w:rPr>
        <w:t xml:space="preserve"> ، ج 9 ، ص 473 ، ح 12525.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967F8">
        <w:rPr>
          <w:rtl/>
        </w:rPr>
        <w:t>6236</w:t>
      </w:r>
      <w:r w:rsidRPr="001155DE">
        <w:rPr>
          <w:rStyle w:val="libBold2Char"/>
          <w:rtl/>
        </w:rPr>
        <w:t xml:space="preserve"> / 6.</w:t>
      </w:r>
      <w:r w:rsidRPr="00020424">
        <w:rPr>
          <w:rtl/>
          <w:lang w:bidi="fa-IR"/>
        </w:rPr>
        <w:t xml:space="preserve"> أَحْمَدُ </w:t>
      </w:r>
      <w:r w:rsidRPr="00A91B96">
        <w:rPr>
          <w:rStyle w:val="libFootnotenumChar"/>
          <w:rtl/>
        </w:rPr>
        <w:t>(1)</w:t>
      </w:r>
      <w:r w:rsidRPr="00020424">
        <w:rPr>
          <w:rtl/>
          <w:lang w:bidi="fa-IR"/>
        </w:rPr>
        <w:t xml:space="preserve"> ، عَنِ ابْنِ فَضَّالٍ ، عَنِ ابْنِ بُكَيْرٍ ، عَنْ ضُرَيْسِ بْنِ عَبْدِ الْمَلِكِ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يُحِبُّ إِبْرَادَ الْكَبِدِ الْحَرّى ، وَمَنْ سَقى </w:t>
      </w:r>
      <w:r w:rsidRPr="00A91B96">
        <w:rPr>
          <w:rStyle w:val="libFootnotenumChar"/>
          <w:rtl/>
        </w:rPr>
        <w:t>(2)</w:t>
      </w:r>
      <w:r w:rsidRPr="00020424">
        <w:rPr>
          <w:rtl/>
          <w:lang w:bidi="fa-IR"/>
        </w:rPr>
        <w:t xml:space="preserve"> كَبِداً حَرّى مِنْ بَهِيمَةٍ أَوْ غَيْرِهَا </w:t>
      </w:r>
      <w:r w:rsidRPr="00A91B96">
        <w:rPr>
          <w:rStyle w:val="libFootnotenumChar"/>
          <w:rtl/>
        </w:rPr>
        <w:t>(3)</w:t>
      </w:r>
      <w:r w:rsidRPr="00020424">
        <w:rPr>
          <w:rtl/>
          <w:lang w:bidi="fa-IR"/>
        </w:rPr>
        <w:t xml:space="preserve"> ، أَظَلّ</w:t>
      </w:r>
      <w:r w:rsidR="00D94D46">
        <w:rPr>
          <w:rtl/>
          <w:lang w:bidi="fa-IR"/>
        </w:rPr>
        <w:t>َهُ اللهُ يَوْمَ لَاظِلَّ إِل</w:t>
      </w:r>
      <w:r w:rsidR="00D94D46">
        <w:rPr>
          <w:rFonts w:hint="cs"/>
          <w:rtl/>
          <w:lang w:bidi="fa-IR"/>
        </w:rPr>
        <w:t>َّ</w:t>
      </w:r>
      <w:r w:rsidR="00D94D46">
        <w:rPr>
          <w:rtl/>
          <w:lang w:bidi="fa-IR"/>
        </w:rPr>
        <w:t>ا</w:t>
      </w:r>
      <w:r w:rsidRPr="00020424">
        <w:rPr>
          <w:rtl/>
          <w:lang w:bidi="fa-IR"/>
        </w:rPr>
        <w:t xml:space="preserve"> ظِلُّهُ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283" w:name="_Toc345172811"/>
      <w:bookmarkStart w:id="284" w:name="_Toc464562627"/>
      <w:bookmarkStart w:id="285" w:name="_Toc44599930"/>
      <w:r w:rsidRPr="00020424">
        <w:rPr>
          <w:rtl/>
          <w:lang w:bidi="fa-IR"/>
        </w:rPr>
        <w:t>89</w:t>
      </w:r>
      <w:r>
        <w:rPr>
          <w:rtl/>
          <w:lang w:bidi="fa-IR"/>
        </w:rPr>
        <w:t xml:space="preserve"> </w:t>
      </w:r>
      <w:r w:rsidR="009B673F">
        <w:rPr>
          <w:rtl/>
          <w:lang w:bidi="fa-IR"/>
        </w:rPr>
        <w:t>-</w:t>
      </w:r>
      <w:r>
        <w:rPr>
          <w:rtl/>
          <w:lang w:bidi="fa-IR"/>
        </w:rPr>
        <w:t xml:space="preserve"> </w:t>
      </w:r>
      <w:r w:rsidRPr="00020424">
        <w:rPr>
          <w:rtl/>
          <w:lang w:bidi="fa-IR"/>
        </w:rPr>
        <w:t>بَابُ الصَّدَقَةِ لِبَنِي هَاشِمٍ وَمَوَالِيهِمْ وَصِلَتِهِمْ‌</w:t>
      </w:r>
      <w:bookmarkEnd w:id="283"/>
      <w:bookmarkEnd w:id="284"/>
      <w:bookmarkEnd w:id="285"/>
    </w:p>
    <w:p w:rsidR="00D94D46" w:rsidRDefault="00992664" w:rsidP="00D94D46">
      <w:pPr>
        <w:pStyle w:val="libNormal"/>
        <w:rPr>
          <w:rtl/>
          <w:lang w:bidi="fa-IR"/>
        </w:rPr>
      </w:pPr>
      <w:r w:rsidRPr="008967F8">
        <w:rPr>
          <w:rtl/>
        </w:rPr>
        <w:t>6237</w:t>
      </w:r>
      <w:r w:rsidRPr="001155DE">
        <w:rPr>
          <w:rStyle w:val="libBold2Char"/>
          <w:rtl/>
        </w:rPr>
        <w:t xml:space="preserve"> / 1.</w:t>
      </w:r>
      <w:r w:rsidRPr="00020424">
        <w:rPr>
          <w:rtl/>
          <w:lang w:bidi="fa-IR"/>
        </w:rPr>
        <w:t xml:space="preserve"> أَحْمَدُ بْنُ إِدْرِيسَ ، عَنْ مُحَمَّدِ بْنِ عَبْدِ الْجَبَّارِ ؛</w:t>
      </w:r>
    </w:p>
    <w:p w:rsidR="00992664" w:rsidRPr="00020424" w:rsidRDefault="00D94D46" w:rsidP="00D94D46">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صَفْوَانَ بْنِ يَحْيى ، عَنْ عِيصِ بْنِ الْقَاسِمِ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أُنَاساً مِنْ بَنِي هَاشِمٍ أَتَوْا رَسُولَ اللهِ </w:t>
      </w:r>
      <w:r w:rsidR="00B42914" w:rsidRPr="00B42914">
        <w:rPr>
          <w:rStyle w:val="libAlaemChar"/>
          <w:rtl/>
        </w:rPr>
        <w:t>صلى‌الله‌عليه‌وآله‌</w:t>
      </w:r>
      <w:r w:rsidRPr="00020424">
        <w:rPr>
          <w:rtl/>
          <w:lang w:bidi="fa-IR"/>
        </w:rPr>
        <w:t xml:space="preserve"> ، فَسَأَلُوهُ أَنْ يَسْتَعْمِلَهُمْ عَلى صَدَقَاتِ الْمَوَاشِي </w:t>
      </w:r>
      <w:r w:rsidRPr="00A91B96">
        <w:rPr>
          <w:rStyle w:val="libFootnotenumChar"/>
          <w:rtl/>
        </w:rPr>
        <w:t>(5)</w:t>
      </w:r>
      <w:r w:rsidRPr="00020424">
        <w:rPr>
          <w:rtl/>
          <w:lang w:bidi="fa-IR"/>
        </w:rPr>
        <w:t xml:space="preserve"> ، وَقَالُوا : يَكُونُ لَنَا هذَا السَّهْمُ الَّذِي جَعَلَهُ </w:t>
      </w:r>
      <w:r w:rsidRPr="00A91B96">
        <w:rPr>
          <w:rStyle w:val="libFootnotenumChar"/>
          <w:rtl/>
        </w:rPr>
        <w:t>(6)</w:t>
      </w:r>
      <w:r w:rsidRPr="00020424">
        <w:rPr>
          <w:rtl/>
          <w:lang w:bidi="fa-IR"/>
        </w:rPr>
        <w:t xml:space="preserve"> اللهُ لِلْعَامِلِينَ عَلَيْهَا ، فَنَحْنُ أَوْلى بِهِ ، فَقَالَ رَسُولُ اللهِ </w:t>
      </w:r>
      <w:r w:rsidR="00B42914" w:rsidRPr="00B42914">
        <w:rPr>
          <w:rStyle w:val="libAlaemChar"/>
          <w:rtl/>
        </w:rPr>
        <w:t>صلى‌الله‌عليه‌وآله‌</w:t>
      </w:r>
      <w:r w:rsidRPr="00020424">
        <w:rPr>
          <w:rtl/>
          <w:lang w:bidi="fa-IR"/>
        </w:rPr>
        <w:t xml:space="preserve"> : يَا بَنِي عَبْدِ الْمُطَّلِبِ ، إِنَّ الصَّدَقَةَ لَا تَحِلُّ لِي وَلَا</w:t>
      </w:r>
      <w:r w:rsidR="00D94D46">
        <w:rPr>
          <w:rFonts w:hint="cs"/>
          <w:rtl/>
          <w:lang w:bidi="fa-IR"/>
        </w:rPr>
        <w:t xml:space="preserve"> </w:t>
      </w:r>
      <w:r w:rsidRPr="00020424">
        <w:rPr>
          <w:rtl/>
          <w:lang w:bidi="fa-IR"/>
        </w:rPr>
        <w:t xml:space="preserve">لَكُمْ ، وَلكِنِّي </w:t>
      </w:r>
      <w:r w:rsidRPr="00A91B96">
        <w:rPr>
          <w:rStyle w:val="libFootnotenumChar"/>
          <w:rtl/>
        </w:rPr>
        <w:t>(7)</w:t>
      </w:r>
      <w:r w:rsidRPr="00020424">
        <w:rPr>
          <w:rtl/>
          <w:lang w:bidi="fa-IR"/>
        </w:rPr>
        <w:t xml:space="preserve"> قَدْ وُعِدْتُ الشَّفَاعَةَ</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هكذا في « بر ، بك ، جر</w:t>
      </w:r>
      <w:r w:rsidR="00992664">
        <w:rPr>
          <w:rtl/>
        </w:rPr>
        <w:t xml:space="preserve"> ».</w:t>
      </w:r>
      <w:r w:rsidR="00992664" w:rsidRPr="00020424">
        <w:rPr>
          <w:rtl/>
        </w:rPr>
        <w:t xml:space="preserve"> وفي « ظ ، ى ، بث ، بح ، بخ ، بس ، بف ، جن » والمطبوع : « أحمد بن محمّد</w:t>
      </w:r>
      <w:r w:rsidR="00992664">
        <w:rPr>
          <w:rtl/>
        </w:rPr>
        <w:t xml:space="preserve"> ».</w:t>
      </w:r>
      <w:r w:rsidR="00992664" w:rsidRPr="00020424">
        <w:rPr>
          <w:rtl/>
        </w:rPr>
        <w:t xml:space="preserve"> والمراد من أحمد ، هو أحمد بن أبي عبدالله المذكور في السند السابق. وما أثبتناه هو الظاهر ، كما تقدّم في </w:t>
      </w:r>
      <w:r w:rsidR="00992664" w:rsidRPr="00DE76B9">
        <w:rPr>
          <w:rStyle w:val="libFootnoteBoldChar"/>
          <w:rtl/>
        </w:rPr>
        <w:t>الكافي</w:t>
      </w:r>
      <w:r w:rsidR="00992664" w:rsidRPr="00020424">
        <w:rPr>
          <w:rtl/>
        </w:rPr>
        <w:t xml:space="preserve"> ، ذيل ح 6063 ، فلاحظ.</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بك » : + « الماء</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بر ، بف ، بك » </w:t>
      </w:r>
      <w:r w:rsidR="00992664" w:rsidRPr="00D94D46">
        <w:rPr>
          <w:rtl/>
        </w:rPr>
        <w:t>والوافي والوسائل</w:t>
      </w:r>
      <w:r w:rsidR="00992664" w:rsidRPr="00020424">
        <w:rPr>
          <w:rtl/>
        </w:rPr>
        <w:t xml:space="preserve"> : « وغيرها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64 ، ح 1723 ، مرسلاً </w:t>
      </w:r>
      <w:r w:rsidR="00D94D46">
        <w:rPr>
          <w:rFonts w:hint="cs"/>
          <w:rtl/>
        </w:rPr>
        <w:t>.</w:t>
      </w:r>
      <w:r w:rsidR="00992664" w:rsidRPr="0012008A">
        <w:rPr>
          <w:rStyle w:val="libFootnoteBoldChar"/>
          <w:rtl/>
        </w:rPr>
        <w:t>الوافي</w:t>
      </w:r>
      <w:r w:rsidR="00992664" w:rsidRPr="00020424">
        <w:rPr>
          <w:rtl/>
        </w:rPr>
        <w:t xml:space="preserve"> ، ج 10 ، ص 509 ، ح 10002 ؛ </w:t>
      </w:r>
      <w:r w:rsidR="00992664" w:rsidRPr="0012008A">
        <w:rPr>
          <w:rStyle w:val="libFootnoteBoldChar"/>
          <w:rtl/>
        </w:rPr>
        <w:t>الوسائل</w:t>
      </w:r>
      <w:r w:rsidR="00992664" w:rsidRPr="00020424">
        <w:rPr>
          <w:rtl/>
        </w:rPr>
        <w:t xml:space="preserve"> ، ج 9 ، ص 409 ، ح 12349 ؛ وص 473 ، ح 12526.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المواشي » : جمع الماشية ، وهي اسم يقع على الإبل والبقر والغنم. قال ابن الأثير : « وأكثر ما يستعمل في‌</w:t>
      </w:r>
      <w:r w:rsidR="00D94D46">
        <w:rPr>
          <w:rFonts w:hint="cs"/>
          <w:rtl/>
        </w:rPr>
        <w:t xml:space="preserve"> </w:t>
      </w:r>
      <w:r w:rsidR="00992664" w:rsidRPr="00020424">
        <w:rPr>
          <w:rtl/>
        </w:rPr>
        <w:t>الغنم</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4 ، ص 335 ؛ </w:t>
      </w:r>
      <w:r w:rsidR="00992664" w:rsidRPr="00A722B1">
        <w:rPr>
          <w:rStyle w:val="libFootnoteBoldChar"/>
          <w:rtl/>
        </w:rPr>
        <w:t>لسان العرب</w:t>
      </w:r>
      <w:r w:rsidR="00992664" w:rsidRPr="00020424">
        <w:rPr>
          <w:rtl/>
        </w:rPr>
        <w:t xml:space="preserve"> ، ج 15 ، ص 282 ( مشى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بك » وحاشية « بث » : « ذكره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 جعل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بك » : « لكنّي » بدون الواو.</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ثُمَّ قَالَ أَبُو عَبْدِ اللهِ </w:t>
      </w:r>
      <w:r w:rsidRPr="00005A81">
        <w:rPr>
          <w:rStyle w:val="libAlaemChar"/>
          <w:rtl/>
        </w:rPr>
        <w:t>عليه‌السلام</w:t>
      </w:r>
      <w:r w:rsidRPr="00020424">
        <w:rPr>
          <w:rtl/>
          <w:lang w:bidi="fa-IR"/>
        </w:rPr>
        <w:t xml:space="preserve"> : « وَاللهِ </w:t>
      </w:r>
      <w:r w:rsidRPr="00A91B96">
        <w:rPr>
          <w:rStyle w:val="libFootnotenumChar"/>
          <w:rtl/>
        </w:rPr>
        <w:t>(1)</w:t>
      </w:r>
      <w:r w:rsidRPr="00020424">
        <w:rPr>
          <w:rtl/>
          <w:lang w:bidi="fa-IR"/>
        </w:rPr>
        <w:t xml:space="preserve"> لَقَدْ وُعِدَهَا </w:t>
      </w:r>
      <w:r w:rsidRPr="00A91B96">
        <w:rPr>
          <w:rStyle w:val="libFootnotenumChar"/>
          <w:rtl/>
        </w:rPr>
        <w:t>(2)</w:t>
      </w:r>
      <w:r w:rsidRPr="00020424">
        <w:rPr>
          <w:rtl/>
          <w:lang w:bidi="fa-IR"/>
        </w:rPr>
        <w:t xml:space="preserve"> </w:t>
      </w:r>
      <w:r w:rsidR="00B42914" w:rsidRPr="00B42914">
        <w:rPr>
          <w:rStyle w:val="libAlaemChar"/>
          <w:rtl/>
        </w:rPr>
        <w:t>صلى‌الله‌عليه‌وآله‌</w:t>
      </w:r>
      <w:r w:rsidRPr="00020424">
        <w:rPr>
          <w:rtl/>
          <w:lang w:bidi="fa-IR"/>
        </w:rPr>
        <w:t xml:space="preserve"> ، فَمَا ظَنُّكُمْ يَا بَنِي عَبْدِ الْمُطَّلِبِ إِذَا أَخَذْتُ بِحَلْقَةِ بَابِ الْجَنَّةِ</w:t>
      </w:r>
      <w:r>
        <w:rPr>
          <w:rtl/>
          <w:lang w:bidi="fa-IR"/>
        </w:rPr>
        <w:t>؟ أَ</w:t>
      </w:r>
      <w:r w:rsidRPr="00020424">
        <w:rPr>
          <w:rtl/>
          <w:lang w:bidi="fa-IR"/>
        </w:rPr>
        <w:t xml:space="preserve">تَرَوْنِي مُؤْثِراً </w:t>
      </w:r>
      <w:r w:rsidRPr="00A91B96">
        <w:rPr>
          <w:rStyle w:val="libFootnotenumChar"/>
          <w:rtl/>
        </w:rPr>
        <w:t>(3)</w:t>
      </w:r>
      <w:r w:rsidRPr="00020424">
        <w:rPr>
          <w:rtl/>
          <w:lang w:bidi="fa-IR"/>
        </w:rPr>
        <w:t xml:space="preserve"> عَلَيْكُمْ غَيْرَكُمْ</w:t>
      </w:r>
      <w:r>
        <w:rPr>
          <w:rtl/>
          <w:lang w:bidi="fa-IR"/>
        </w:rPr>
        <w:t>؟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7F8">
        <w:rPr>
          <w:rtl/>
        </w:rPr>
        <w:t>6238</w:t>
      </w:r>
      <w:r w:rsidRPr="001155DE">
        <w:rPr>
          <w:rStyle w:val="libBold2Char"/>
          <w:rtl/>
        </w:rPr>
        <w:t xml:space="preserve"> / 2.</w:t>
      </w:r>
      <w:r w:rsidRPr="00020424">
        <w:rPr>
          <w:rtl/>
          <w:lang w:bidi="fa-IR"/>
        </w:rPr>
        <w:t xml:space="preserve"> عَلِيُّ بْنُ إِبْرَاهِيمَ ، عَنْ أَبِيهِ ، عَنْ حَمَّادٍ ، عَنْ حَرِيزٍ ، عَنْ مُحَمَّدِ بْنِ مُسْلِمٍ وَأَبِي بَصِيرٍ </w:t>
      </w:r>
      <w:r w:rsidRPr="00A91B96">
        <w:rPr>
          <w:rStyle w:val="libFootnotenumChar"/>
          <w:rtl/>
        </w:rPr>
        <w:t>(5)</w:t>
      </w:r>
      <w:r w:rsidRPr="00020424">
        <w:rPr>
          <w:rtl/>
          <w:lang w:bidi="fa-IR"/>
        </w:rPr>
        <w:t xml:space="preserve"> وَزُرَارَةَ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عليه‌السلام</w:t>
      </w:r>
      <w:r w:rsidRPr="00020424">
        <w:rPr>
          <w:rtl/>
          <w:lang w:bidi="fa-IR"/>
        </w:rPr>
        <w:t xml:space="preserve"> ، قَالَا : « قَالَ رَسُولُ اللهِ </w:t>
      </w:r>
      <w:r w:rsidR="00B42914" w:rsidRPr="00B42914">
        <w:rPr>
          <w:rStyle w:val="libAlaemChar"/>
          <w:rtl/>
        </w:rPr>
        <w:t>صلى‌الله‌عليه‌وآله‌</w:t>
      </w:r>
      <w:r w:rsidRPr="00020424">
        <w:rPr>
          <w:rtl/>
          <w:lang w:bidi="fa-IR"/>
        </w:rPr>
        <w:t xml:space="preserve"> </w:t>
      </w:r>
      <w:r w:rsidRPr="00A91B96">
        <w:rPr>
          <w:rStyle w:val="libFootnotenumChar"/>
          <w:rtl/>
        </w:rPr>
        <w:t>(6)</w:t>
      </w:r>
      <w:r w:rsidRPr="00020424">
        <w:rPr>
          <w:rtl/>
          <w:lang w:bidi="fa-IR"/>
        </w:rPr>
        <w:t xml:space="preserve"> : إِنَّ الصَّدَقَةَ أَوْسَاخُ أَيْدِي النَّاسِ ، وَإِنَّ اللهَ قَدْ </w:t>
      </w:r>
      <w:r w:rsidRPr="00A91B96">
        <w:rPr>
          <w:rStyle w:val="libFootnotenumChar"/>
          <w:rtl/>
        </w:rPr>
        <w:t>(7)</w:t>
      </w:r>
      <w:r w:rsidRPr="00020424">
        <w:rPr>
          <w:rtl/>
          <w:lang w:bidi="fa-IR"/>
        </w:rPr>
        <w:t xml:space="preserve"> حَرَّمَ عَلَيَّ مِنْهَا وَمِنْ غَيْرِهَا مَا قَدْ حَرَّمَهُ ، وَإِنَّ </w:t>
      </w:r>
      <w:r w:rsidRPr="00A91B96">
        <w:rPr>
          <w:rStyle w:val="libFootnotenumChar"/>
          <w:rtl/>
        </w:rPr>
        <w:t>(8)</w:t>
      </w:r>
      <w:r w:rsidRPr="00020424">
        <w:rPr>
          <w:rtl/>
          <w:lang w:bidi="fa-IR"/>
        </w:rPr>
        <w:t xml:space="preserve"> الصَّدَقَةَ لَا تَحِلُّ لِبَنِي عَبْدِ الْمُطَّلِبِ ، ثُمَّ قَالَ : أَمَا وَاللهِ لَوْ قَدْ قُمْتُ عَلى بَابِ الْجَنَّةِ ، ثُمَّ أَخَذْتُ بِحَلْقَتِهِ ، لَقَدْ عَلِمْتُمْ أَنِّي لَا</w:t>
      </w:r>
      <w:r>
        <w:rPr>
          <w:rFonts w:hint="cs"/>
          <w:rtl/>
          <w:lang w:bidi="fa-IR"/>
        </w:rPr>
        <w:t xml:space="preserve"> </w:t>
      </w:r>
      <w:r w:rsidRPr="00020424">
        <w:rPr>
          <w:rtl/>
          <w:lang w:bidi="fa-IR"/>
        </w:rPr>
        <w:t xml:space="preserve">أُوثِرُ عَلَيْكُمْ ، فَارْضَوْا لِأَنْفُسِكُمْ بِمَا رَضِيَ اللهُ وَرَسُولُهُ لَكُمْ </w:t>
      </w:r>
      <w:r w:rsidRPr="00A91B96">
        <w:rPr>
          <w:rStyle w:val="libFootnotenumChar"/>
          <w:rtl/>
        </w:rPr>
        <w:t>(9)</w:t>
      </w:r>
      <w:r w:rsidRPr="00020424">
        <w:rPr>
          <w:rtl/>
          <w:lang w:bidi="fa-IR"/>
        </w:rPr>
        <w:t xml:space="preserve"> ، قَالُوا : قَدْ </w:t>
      </w:r>
      <w:r w:rsidRPr="00A91B96">
        <w:rPr>
          <w:rStyle w:val="libFootnotenumChar"/>
          <w:rtl/>
        </w:rPr>
        <w:t>(10)</w:t>
      </w:r>
      <w:r w:rsidRPr="00020424">
        <w:rPr>
          <w:rtl/>
          <w:lang w:bidi="fa-IR"/>
        </w:rPr>
        <w:t xml:space="preserve"> رَضِينَا</w:t>
      </w:r>
      <w:r>
        <w:rPr>
          <w:rtl/>
          <w:lang w:bidi="fa-IR"/>
        </w:rPr>
        <w:t xml:space="preserve"> ».</w:t>
      </w:r>
      <w:r w:rsidRPr="00A91B96">
        <w:rPr>
          <w:rStyle w:val="libFootnotenumChar"/>
          <w:rtl/>
        </w:rPr>
        <w:t>(11)</w:t>
      </w:r>
      <w:r w:rsidRPr="00020424">
        <w:rPr>
          <w:rtl/>
          <w:lang w:bidi="fa-IR"/>
        </w:rPr>
        <w:t>‌</w:t>
      </w:r>
    </w:p>
    <w:p w:rsidR="009E3782" w:rsidRPr="00020424" w:rsidRDefault="009E3782" w:rsidP="009E3782">
      <w:pPr>
        <w:pStyle w:val="libNormal"/>
        <w:rPr>
          <w:rtl/>
          <w:lang w:bidi="fa-IR"/>
        </w:rPr>
      </w:pPr>
      <w:r w:rsidRPr="008967F8">
        <w:rPr>
          <w:rtl/>
        </w:rPr>
        <w:t>6239</w:t>
      </w:r>
      <w:r w:rsidRPr="001155DE">
        <w:rPr>
          <w:rStyle w:val="libBold2Char"/>
          <w:rtl/>
        </w:rPr>
        <w:t xml:space="preserve"> / 3.</w:t>
      </w:r>
      <w:r w:rsidRPr="00020424">
        <w:rPr>
          <w:rtl/>
          <w:lang w:bidi="fa-IR"/>
        </w:rPr>
        <w:t xml:space="preserve"> مُحَمَّدُ بْنُ إِسْمَاعِيلَ ، عَنِ الْفَضْلِ بْنِ شَاذَانَ ، عَنْ صَفْوَانَ بْنِ يَحْيى ، عَنْ عَبْدِ الرَّحْمنِ بْنِ الْحَجَّاجِ ، عَنْ جَعْفَرِ بْنِ إِبْرَاهِيمَ الْهَاشِمِيِّ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D94D46">
      <w:pPr>
        <w:pStyle w:val="libFootnote0"/>
        <w:rPr>
          <w:rtl/>
          <w:lang w:bidi="fa-IR"/>
        </w:rPr>
      </w:pPr>
      <w:r>
        <w:rPr>
          <w:rtl/>
        </w:rPr>
        <w:t>(1).</w:t>
      </w:r>
      <w:r w:rsidR="0014403D">
        <w:rPr>
          <w:rtl/>
        </w:rPr>
        <w:t xml:space="preserve"> </w:t>
      </w:r>
      <w:r w:rsidR="00992664" w:rsidRPr="00020424">
        <w:rPr>
          <w:rtl/>
        </w:rPr>
        <w:t>في « بخ ، بف » : « أشهد والله</w:t>
      </w:r>
      <w:r w:rsidR="00992664">
        <w:rPr>
          <w:rtl/>
        </w:rPr>
        <w:t xml:space="preserve"> ».</w:t>
      </w:r>
      <w:r w:rsidR="00992664" w:rsidRPr="00020424">
        <w:rPr>
          <w:rtl/>
        </w:rPr>
        <w:t xml:space="preserve"> وفي « بر ، بك » </w:t>
      </w:r>
      <w:r w:rsidR="00992664" w:rsidRPr="00D94D46">
        <w:rPr>
          <w:rtl/>
        </w:rPr>
        <w:t>والوافي</w:t>
      </w:r>
      <w:r w:rsidR="00992664" w:rsidRPr="00020424">
        <w:rPr>
          <w:rtl/>
        </w:rPr>
        <w:t xml:space="preserve"> : « أشهد » بدل « والله</w:t>
      </w:r>
      <w:r w:rsidR="00992664">
        <w:rPr>
          <w:rtl/>
        </w:rPr>
        <w:t xml:space="preserve"> ».</w:t>
      </w:r>
      <w:r w:rsidR="00D94D46">
        <w:rPr>
          <w:rtl/>
        </w:rPr>
        <w:t xml:space="preserve"> وفي حاشية « بث</w:t>
      </w:r>
      <w:r w:rsidR="00992664" w:rsidRPr="00020424">
        <w:rPr>
          <w:rtl/>
        </w:rPr>
        <w:t>» : « أشهد الله</w:t>
      </w:r>
      <w:r w:rsidR="00992664">
        <w:rPr>
          <w:rtl/>
        </w:rPr>
        <w:t xml:space="preserve"> ».</w:t>
      </w:r>
      <w:r w:rsidR="00992664" w:rsidRPr="00020424">
        <w:rPr>
          <w:rtl/>
        </w:rPr>
        <w:t xml:space="preserve"> وفي </w:t>
      </w:r>
      <w:r w:rsidR="00992664" w:rsidRPr="00D94D46">
        <w:rPr>
          <w:rtl/>
        </w:rPr>
        <w:t>التهذيب</w:t>
      </w:r>
      <w:r w:rsidR="00992664" w:rsidRPr="00020424">
        <w:rPr>
          <w:rtl/>
        </w:rPr>
        <w:t xml:space="preserve"> : « أشهدوا</w:t>
      </w:r>
      <w:r w:rsidR="00992664">
        <w:rPr>
          <w:rtl/>
        </w:rPr>
        <w:t xml:space="preserve"> ».</w:t>
      </w:r>
      <w:r w:rsidR="00D94D46">
        <w:rPr>
          <w:rFonts w:hint="cs"/>
          <w:rtl/>
        </w:rPr>
        <w:t xml:space="preserve">  </w:t>
      </w:r>
      <w:r>
        <w:rPr>
          <w:rtl/>
        </w:rPr>
        <w:t>(2).</w:t>
      </w:r>
      <w:r w:rsidR="0014403D">
        <w:rPr>
          <w:rtl/>
        </w:rPr>
        <w:t xml:space="preserve"> </w:t>
      </w:r>
      <w:r w:rsidR="00992664" w:rsidRPr="00020424">
        <w:rPr>
          <w:rtl/>
        </w:rPr>
        <w:t xml:space="preserve">في </w:t>
      </w:r>
      <w:r w:rsidR="00992664" w:rsidRPr="00D94D46">
        <w:rPr>
          <w:rtl/>
        </w:rPr>
        <w:t>الوافي</w:t>
      </w:r>
      <w:r w:rsidR="00992664" w:rsidRPr="00020424">
        <w:rPr>
          <w:rtl/>
        </w:rPr>
        <w:t xml:space="preserve"> : + « رسول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الإيثار : التفضيل والتقديم والاختيار. راجع : </w:t>
      </w:r>
      <w:r w:rsidR="00992664" w:rsidRPr="00A722B1">
        <w:rPr>
          <w:rStyle w:val="libFootnoteBoldChar"/>
          <w:rtl/>
        </w:rPr>
        <w:t>لسان العرب</w:t>
      </w:r>
      <w:r w:rsidR="00992664" w:rsidRPr="00020424">
        <w:rPr>
          <w:rtl/>
        </w:rPr>
        <w:t xml:space="preserve"> ، ج 4 ، ص 7 ( أثر )</w:t>
      </w:r>
      <w:r w:rsidR="00992664">
        <w:rPr>
          <w:rtl/>
        </w:rPr>
        <w:t>.</w:t>
      </w:r>
    </w:p>
    <w:p w:rsidR="00992664" w:rsidRPr="00020424" w:rsidRDefault="00795177" w:rsidP="009E3782">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58 ، ح 154 ، معلّقاً عن الكليني. وفي </w:t>
      </w:r>
      <w:r w:rsidR="00992664" w:rsidRPr="00DE76B9">
        <w:rPr>
          <w:rStyle w:val="libFootnoteBoldChar"/>
          <w:rtl/>
        </w:rPr>
        <w:t>تفسير العيّاشي</w:t>
      </w:r>
      <w:r w:rsidR="00992664" w:rsidRPr="00020424">
        <w:rPr>
          <w:rtl/>
        </w:rPr>
        <w:t xml:space="preserve"> ، ج 2 ، ص 93 ، ح 75 ؛ وص 313 ، صدر ح 147 ، عن عيص بن القاسم ، مع اختلاف يسير </w:t>
      </w:r>
      <w:r w:rsidR="009E3782">
        <w:rPr>
          <w:rFonts w:hint="cs"/>
          <w:rtl/>
        </w:rPr>
        <w:t>.</w:t>
      </w:r>
      <w:r w:rsidR="00992664" w:rsidRPr="0012008A">
        <w:rPr>
          <w:rStyle w:val="libFootnoteBoldChar"/>
          <w:rtl/>
        </w:rPr>
        <w:t>الوافي</w:t>
      </w:r>
      <w:r w:rsidR="00992664" w:rsidRPr="00020424">
        <w:rPr>
          <w:rtl/>
        </w:rPr>
        <w:t xml:space="preserve"> ، ج 10 ، ص 193 ، ح 9418 ؛ </w:t>
      </w:r>
      <w:r w:rsidR="00992664" w:rsidRPr="0012008A">
        <w:rPr>
          <w:rStyle w:val="libFootnoteBoldChar"/>
          <w:rtl/>
        </w:rPr>
        <w:t>الوسائل</w:t>
      </w:r>
      <w:r w:rsidR="00992664" w:rsidRPr="00020424">
        <w:rPr>
          <w:rtl/>
        </w:rPr>
        <w:t xml:space="preserve"> ، ج 9 ، ص 268 ، ح 11992.</w:t>
      </w:r>
      <w:r w:rsidR="009E3782">
        <w:rPr>
          <w:rFonts w:hint="cs"/>
          <w:rtl/>
        </w:rPr>
        <w:t xml:space="preserve">    </w:t>
      </w:r>
      <w:r>
        <w:rPr>
          <w:rtl/>
        </w:rPr>
        <w:t>(5).</w:t>
      </w:r>
      <w:r w:rsidR="0014403D">
        <w:rPr>
          <w:rtl/>
        </w:rPr>
        <w:t xml:space="preserve"> </w:t>
      </w:r>
      <w:r w:rsidR="00992664" w:rsidRPr="00020424">
        <w:rPr>
          <w:rtl/>
        </w:rPr>
        <w:t xml:space="preserve">في </w:t>
      </w:r>
      <w:r w:rsidR="00992664" w:rsidRPr="009E3782">
        <w:rPr>
          <w:rtl/>
        </w:rPr>
        <w:t>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وأبي بصير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xml:space="preserve">« وأبي عبد الله </w:t>
      </w:r>
      <w:r w:rsidR="00D64ADA" w:rsidRPr="00D64ADA">
        <w:rPr>
          <w:rStyle w:val="libFootnoteAlaemChar"/>
          <w:rtl/>
        </w:rPr>
        <w:t>عليهما‌السلام</w:t>
      </w:r>
      <w:r w:rsidR="00992664" w:rsidRPr="00020424">
        <w:rPr>
          <w:rtl/>
        </w:rPr>
        <w:t xml:space="preserve"> ، قالا : قال رسول الله </w:t>
      </w:r>
      <w:r w:rsidR="00D64ADA" w:rsidRPr="00D64ADA">
        <w:rPr>
          <w:rStyle w:val="libFootnoteAlaemChar"/>
          <w:rtl/>
        </w:rPr>
        <w:t>صلى‌الله‌عليه‌وآله</w:t>
      </w:r>
      <w:r w:rsidR="00B42914" w:rsidRPr="00B42914">
        <w:rPr>
          <w:rStyle w:val="libAlaemChar"/>
          <w:rtl/>
        </w:rPr>
        <w:t>‌</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E3782" w:rsidTr="009E3782">
        <w:tc>
          <w:tcPr>
            <w:tcW w:w="4006" w:type="dxa"/>
          </w:tcPr>
          <w:p w:rsidR="009E3782" w:rsidRDefault="009E3782" w:rsidP="00992664">
            <w:pPr>
              <w:pStyle w:val="libFootnote0"/>
              <w:rPr>
                <w:rtl/>
              </w:rPr>
            </w:pPr>
            <w:r>
              <w:rPr>
                <w:rtl/>
              </w:rPr>
              <w:t xml:space="preserve">(7). </w:t>
            </w:r>
            <w:r w:rsidRPr="00020424">
              <w:rPr>
                <w:rtl/>
              </w:rPr>
              <w:t xml:space="preserve">في </w:t>
            </w:r>
            <w:r w:rsidRPr="009E3782">
              <w:rPr>
                <w:rtl/>
              </w:rPr>
              <w:t>التهذيب والاستبصار</w:t>
            </w:r>
            <w:r w:rsidRPr="00020424">
              <w:rPr>
                <w:rtl/>
              </w:rPr>
              <w:t xml:space="preserve"> :</w:t>
            </w:r>
            <w:r>
              <w:rPr>
                <w:rtl/>
              </w:rPr>
              <w:t xml:space="preserve"> - </w:t>
            </w:r>
            <w:r w:rsidRPr="00020424">
              <w:rPr>
                <w:rtl/>
              </w:rPr>
              <w:t>« قد</w:t>
            </w:r>
            <w:r>
              <w:rPr>
                <w:rtl/>
              </w:rPr>
              <w:t xml:space="preserve"> ».</w:t>
            </w:r>
          </w:p>
        </w:tc>
        <w:tc>
          <w:tcPr>
            <w:tcW w:w="4006" w:type="dxa"/>
          </w:tcPr>
          <w:p w:rsidR="009E3782" w:rsidRDefault="009E3782" w:rsidP="00992664">
            <w:pPr>
              <w:pStyle w:val="libFootnote0"/>
              <w:rPr>
                <w:rtl/>
              </w:rPr>
            </w:pPr>
            <w:r>
              <w:rPr>
                <w:rtl/>
              </w:rPr>
              <w:t xml:space="preserve">(8). </w:t>
            </w:r>
            <w:r w:rsidRPr="00020424">
              <w:rPr>
                <w:rtl/>
              </w:rPr>
              <w:t xml:space="preserve">في </w:t>
            </w:r>
            <w:r w:rsidRPr="009E3782">
              <w:rPr>
                <w:rtl/>
              </w:rPr>
              <w:t>التهذيب</w:t>
            </w:r>
            <w:r w:rsidRPr="00020424">
              <w:rPr>
                <w:rtl/>
              </w:rPr>
              <w:t xml:space="preserve"> : « فإنّ</w:t>
            </w:r>
            <w:r>
              <w:rPr>
                <w:rtl/>
              </w:rPr>
              <w:t xml:space="preserve"> ».</w:t>
            </w:r>
          </w:p>
        </w:tc>
      </w:tr>
      <w:tr w:rsidR="009E3782" w:rsidTr="009E3782">
        <w:tc>
          <w:tcPr>
            <w:tcW w:w="4006" w:type="dxa"/>
          </w:tcPr>
          <w:p w:rsidR="009E3782" w:rsidRDefault="009E3782" w:rsidP="00992664">
            <w:pPr>
              <w:pStyle w:val="libFootnote0"/>
              <w:rPr>
                <w:rtl/>
              </w:rPr>
            </w:pPr>
            <w:r>
              <w:rPr>
                <w:rtl/>
              </w:rPr>
              <w:t xml:space="preserve">(9). </w:t>
            </w:r>
            <w:r w:rsidRPr="00020424">
              <w:rPr>
                <w:rtl/>
              </w:rPr>
              <w:t>في « ى » :</w:t>
            </w:r>
            <w:r>
              <w:rPr>
                <w:rtl/>
              </w:rPr>
              <w:t xml:space="preserve"> - </w:t>
            </w:r>
            <w:r w:rsidRPr="00020424">
              <w:rPr>
                <w:rtl/>
              </w:rPr>
              <w:t>« لكم</w:t>
            </w:r>
            <w:r>
              <w:rPr>
                <w:rtl/>
              </w:rPr>
              <w:t xml:space="preserve"> ».</w:t>
            </w:r>
          </w:p>
        </w:tc>
        <w:tc>
          <w:tcPr>
            <w:tcW w:w="4006" w:type="dxa"/>
          </w:tcPr>
          <w:p w:rsidR="009E3782" w:rsidRDefault="009E3782" w:rsidP="00992664">
            <w:pPr>
              <w:pStyle w:val="libFootnote0"/>
              <w:rPr>
                <w:rtl/>
              </w:rPr>
            </w:pPr>
            <w:r>
              <w:rPr>
                <w:rtl/>
              </w:rPr>
              <w:t>(10). في «بس» : «</w:t>
            </w:r>
            <w:r w:rsidRPr="00020424">
              <w:rPr>
                <w:rtl/>
              </w:rPr>
              <w:t>لقد</w:t>
            </w:r>
            <w:r>
              <w:rPr>
                <w:rtl/>
              </w:rPr>
              <w:t>».</w:t>
            </w:r>
            <w:r w:rsidRPr="00020424">
              <w:rPr>
                <w:rtl/>
              </w:rPr>
              <w:t xml:space="preserve"> وفي </w:t>
            </w:r>
            <w:r w:rsidRPr="009E3782">
              <w:rPr>
                <w:rtl/>
              </w:rPr>
              <w:t>التهذيب</w:t>
            </w:r>
            <w:r w:rsidRPr="00020424">
              <w:rPr>
                <w:rtl/>
              </w:rPr>
              <w:t xml:space="preserve"> :</w:t>
            </w:r>
            <w:r>
              <w:rPr>
                <w:rtl/>
              </w:rPr>
              <w:t xml:space="preserve"> - «</w:t>
            </w:r>
            <w:r w:rsidRPr="00020424">
              <w:rPr>
                <w:rtl/>
              </w:rPr>
              <w:t>قد</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58 ، ح 155 ؛ </w:t>
      </w:r>
      <w:r w:rsidR="00992664" w:rsidRPr="00FD6221">
        <w:rPr>
          <w:rStyle w:val="libFootnoteBoldChar"/>
          <w:rtl/>
        </w:rPr>
        <w:t>والاستبصار</w:t>
      </w:r>
      <w:r w:rsidR="00992664" w:rsidRPr="00020424">
        <w:rPr>
          <w:rtl/>
        </w:rPr>
        <w:t xml:space="preserve"> ، ج 2 ، ص 35 ، ح 106 ، معلّقاً عن الكليني ، وفي الأخير إلى قوله : « ثمّ قال : أما والله</w:t>
      </w:r>
      <w:r w:rsidR="00992664">
        <w:rPr>
          <w:rtl/>
        </w:rPr>
        <w:t xml:space="preserve"> ».</w:t>
      </w:r>
      <w:r w:rsidR="00992664" w:rsidRPr="00020424">
        <w:rPr>
          <w:rtl/>
        </w:rPr>
        <w:t xml:space="preserve"> راجع : </w:t>
      </w:r>
      <w:r w:rsidR="00992664" w:rsidRPr="00DE76B9">
        <w:rPr>
          <w:rStyle w:val="libFootnoteBoldChar"/>
          <w:rtl/>
        </w:rPr>
        <w:t>الكافي</w:t>
      </w:r>
      <w:r w:rsidR="00992664" w:rsidRPr="00020424">
        <w:rPr>
          <w:rtl/>
        </w:rPr>
        <w:t xml:space="preserve"> ، كتاب الحجّة ، باب الفي‌ء والأنفال</w:t>
      </w:r>
      <w:r w:rsidR="00992664">
        <w:rPr>
          <w:rtl/>
        </w:rPr>
        <w:t xml:space="preserve"> ..</w:t>
      </w:r>
      <w:r w:rsidR="00992664" w:rsidRPr="00020424">
        <w:rPr>
          <w:rtl/>
        </w:rPr>
        <w:t xml:space="preserve">. ، ح 1421 ؛ </w:t>
      </w:r>
      <w:r w:rsidR="00992664" w:rsidRPr="00DF4D84">
        <w:rPr>
          <w:rStyle w:val="libFootnoteBoldChar"/>
          <w:rtl/>
        </w:rPr>
        <w:t>وعيون الأخبار</w:t>
      </w:r>
      <w:r w:rsidR="00992664" w:rsidRPr="00020424">
        <w:rPr>
          <w:rtl/>
        </w:rPr>
        <w:t xml:space="preserve"> ، ج 1 ، ص 239 ، ح 1 </w:t>
      </w:r>
      <w:r w:rsidR="009E3782">
        <w:rPr>
          <w:rFonts w:hint="cs"/>
          <w:rtl/>
        </w:rPr>
        <w:t>.</w:t>
      </w:r>
      <w:r w:rsidR="00992664" w:rsidRPr="0012008A">
        <w:rPr>
          <w:rStyle w:val="libFootnoteBoldChar"/>
          <w:rtl/>
        </w:rPr>
        <w:t>الوافي</w:t>
      </w:r>
      <w:r w:rsidR="00992664" w:rsidRPr="00020424">
        <w:rPr>
          <w:rtl/>
        </w:rPr>
        <w:t xml:space="preserve"> ، ج 10 ، ص 193 ، ح 9419 ؛ </w:t>
      </w:r>
      <w:r w:rsidR="00992664" w:rsidRPr="0012008A">
        <w:rPr>
          <w:rStyle w:val="libFootnoteBoldChar"/>
          <w:rtl/>
        </w:rPr>
        <w:t>الوسائل</w:t>
      </w:r>
      <w:r w:rsidR="00992664" w:rsidRPr="00020424">
        <w:rPr>
          <w:rtl/>
        </w:rPr>
        <w:t xml:space="preserve"> ، ج 9 ، ص 268 ، ح 11993 ، إلى قوله : « إنّ الصدقة لاتحلّ لبني عبدالمطّلب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أَتَحِلُّ </w:t>
      </w:r>
      <w:r w:rsidRPr="00A91B96">
        <w:rPr>
          <w:rStyle w:val="libFootnotenumChar"/>
          <w:rtl/>
        </w:rPr>
        <w:t>(1)</w:t>
      </w:r>
      <w:r w:rsidRPr="00020424">
        <w:rPr>
          <w:rtl/>
          <w:lang w:bidi="fa-IR"/>
        </w:rPr>
        <w:t xml:space="preserve"> الصَّدَقَةُ لِبَنِي هَاشِمٍ</w:t>
      </w:r>
      <w:r>
        <w:rPr>
          <w:rtl/>
          <w:lang w:bidi="fa-IR"/>
        </w:rPr>
        <w:t>؟</w:t>
      </w:r>
    </w:p>
    <w:p w:rsidR="00992664" w:rsidRPr="00020424" w:rsidRDefault="00992664" w:rsidP="00992664">
      <w:pPr>
        <w:pStyle w:val="libNormal"/>
        <w:rPr>
          <w:rtl/>
          <w:lang w:bidi="fa-IR"/>
        </w:rPr>
      </w:pPr>
      <w:r w:rsidRPr="00020424">
        <w:rPr>
          <w:rtl/>
          <w:lang w:bidi="fa-IR"/>
        </w:rPr>
        <w:t xml:space="preserve">فَقَالَ : « إِنَّمَا تِلْكَ الصَّدَقَةُ الْوَاجِبَةُ عَلَى النَّاسِ لَاتَحِلُّ لَنَا ، فَأَمَّا </w:t>
      </w:r>
      <w:r w:rsidRPr="00A91B96">
        <w:rPr>
          <w:rStyle w:val="libFootnotenumChar"/>
          <w:rtl/>
        </w:rPr>
        <w:t>(2)</w:t>
      </w:r>
      <w:r w:rsidRPr="00020424">
        <w:rPr>
          <w:rtl/>
          <w:lang w:bidi="fa-IR"/>
        </w:rPr>
        <w:t xml:space="preserve"> غَيْرُ ذلِكَ فَلَيْسَ بِهِ بَأْسٌ ، وَلَوْ كَانَ كَذلِكَ مَا اسْتَطَاعُوا </w:t>
      </w:r>
      <w:r w:rsidRPr="00A91B96">
        <w:rPr>
          <w:rStyle w:val="libFootnotenumChar"/>
          <w:rtl/>
        </w:rPr>
        <w:t>(3)</w:t>
      </w:r>
      <w:r w:rsidRPr="00020424">
        <w:rPr>
          <w:rtl/>
          <w:lang w:bidi="fa-IR"/>
        </w:rPr>
        <w:t xml:space="preserve"> أَنْ يَخْرُجُوا إِلى مَكَّةَ ؛ هذِهِ الْمِيَاهُ عَامَّتُهَا صَدَقَةٌ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967F8">
        <w:rPr>
          <w:rtl/>
        </w:rPr>
        <w:t>6240</w:t>
      </w:r>
      <w:r w:rsidRPr="001155DE">
        <w:rPr>
          <w:rStyle w:val="libBold2Char"/>
          <w:rtl/>
        </w:rPr>
        <w:t xml:space="preserve"> / 4.</w:t>
      </w:r>
      <w:r w:rsidRPr="00020424">
        <w:rPr>
          <w:rtl/>
          <w:lang w:bidi="fa-IR"/>
        </w:rPr>
        <w:t xml:space="preserve"> مُحَمَّدُ بْنُ يَحْيى ، عَنْ أَحْمَدَ بْنِ مُحَمَّدِ بْنِ عِيسى ، عَنِ الْحُسَيْنِ بْنِ سَعِيدٍ ، عَنْ عَلِيِّ بْنِ النُّعْمَانِ ، عَنِ سَعِيدِ بْنِ عَبْدِ اللهِ الْأَعْرَجِ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Pr>
          <w:rtl/>
          <w:lang w:bidi="fa-IR"/>
        </w:rPr>
        <w:t xml:space="preserve"> : أَ</w:t>
      </w:r>
      <w:r w:rsidRPr="00020424">
        <w:rPr>
          <w:rtl/>
          <w:lang w:bidi="fa-IR"/>
        </w:rPr>
        <w:t>تَحِلُّ الصَّدَقَةُ لِمَوَالِي بَنِي هَاشِمٍ</w:t>
      </w:r>
      <w:r>
        <w:rPr>
          <w:rtl/>
          <w:lang w:bidi="fa-IR"/>
        </w:rPr>
        <w:t>؟</w:t>
      </w:r>
      <w:r w:rsidRPr="00020424">
        <w:rPr>
          <w:rtl/>
          <w:lang w:bidi="fa-IR"/>
        </w:rPr>
        <w:t xml:space="preserve"> فَقَالَ </w:t>
      </w:r>
      <w:r w:rsidRPr="00A91B96">
        <w:rPr>
          <w:rStyle w:val="libFootnotenumChar"/>
          <w:rtl/>
        </w:rPr>
        <w:t>(5)</w:t>
      </w:r>
      <w:r w:rsidRPr="00020424">
        <w:rPr>
          <w:rtl/>
          <w:lang w:bidi="fa-IR"/>
        </w:rPr>
        <w:t xml:space="preserve"> : « نَعَمْ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8967F8">
        <w:rPr>
          <w:rtl/>
        </w:rPr>
        <w:t>6241</w:t>
      </w:r>
      <w:r w:rsidRPr="001155DE">
        <w:rPr>
          <w:rStyle w:val="libBold2Char"/>
          <w:rtl/>
        </w:rPr>
        <w:t xml:space="preserve"> / 5.</w:t>
      </w:r>
      <w:r w:rsidRPr="00020424">
        <w:rPr>
          <w:rtl/>
          <w:lang w:bidi="fa-IR"/>
        </w:rPr>
        <w:t xml:space="preserve"> حُمَيْدُ بْنُ زِيَادٍ ، عَنِ ابْنِ سَمَاعَةَ ، عَنْ غَيْرِ وَاحِدٍ ، عَنْ أَبَانِ بْنِ عُثْمَانَ </w:t>
      </w:r>
      <w:r w:rsidRPr="00A91B96">
        <w:rPr>
          <w:rStyle w:val="libFootnotenumChar"/>
          <w:rtl/>
        </w:rPr>
        <w:t>(7)</w:t>
      </w:r>
      <w:r w:rsidRPr="00020424">
        <w:rPr>
          <w:rtl/>
          <w:lang w:bidi="fa-IR"/>
        </w:rPr>
        <w:t xml:space="preserve"> ، عَنْ إِسْمَاعِيلَ بْنِ الْفَضْلِ الْهَاشِمِيِّ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الصَّدَقَةِ الَّتِي حُرِّمَتْ عَلى بَنِي هَاشِمٍ : مَا هِيَ</w:t>
      </w:r>
      <w:r>
        <w:rPr>
          <w:rtl/>
          <w:lang w:bidi="fa-IR"/>
        </w:rPr>
        <w:t>؟</w:t>
      </w:r>
      <w:r w:rsidRPr="00020424">
        <w:rPr>
          <w:rtl/>
          <w:lang w:bidi="fa-IR"/>
        </w:rPr>
        <w:t xml:space="preserve"> قَالَ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بك » : « تحلّ » بدون همزة الاستفهام.</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وأمّا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بث ، بح ، بخ ، بر ، بف ، بك » : + « إلى</w:t>
      </w:r>
      <w:r w:rsidR="00992664">
        <w:rPr>
          <w:rtl/>
        </w:rPr>
        <w:t xml:space="preserve"> ».</w:t>
      </w:r>
      <w:r w:rsidR="00992664" w:rsidRPr="00020424">
        <w:rPr>
          <w:rtl/>
        </w:rPr>
        <w:t xml:space="preserve"> وفي </w:t>
      </w:r>
      <w:r w:rsidR="00992664" w:rsidRPr="009E3782">
        <w:rPr>
          <w:rtl/>
        </w:rPr>
        <w:t>المقنعة</w:t>
      </w:r>
      <w:r w:rsidR="00992664" w:rsidRPr="00020424">
        <w:rPr>
          <w:rtl/>
        </w:rPr>
        <w:t xml:space="preserve"> : + « يعني بني هاشم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62 ، ح 166 ، معلّقاً عن الكليني. </w:t>
      </w:r>
      <w:r w:rsidR="00992664" w:rsidRPr="00DE76B9">
        <w:rPr>
          <w:rStyle w:val="libFootnoteBoldChar"/>
          <w:rtl/>
        </w:rPr>
        <w:t>وفيه</w:t>
      </w:r>
      <w:r w:rsidR="00992664" w:rsidRPr="00020424">
        <w:rPr>
          <w:rtl/>
        </w:rPr>
        <w:t xml:space="preserve"> ، ص 59 ، ح 158 ؛ </w:t>
      </w:r>
      <w:r w:rsidR="00992664" w:rsidRPr="00FD6221">
        <w:rPr>
          <w:rStyle w:val="libFootnoteBoldChar"/>
          <w:rtl/>
        </w:rPr>
        <w:t>والاستبصار</w:t>
      </w:r>
      <w:r w:rsidR="00992664" w:rsidRPr="00DE76B9">
        <w:rPr>
          <w:rStyle w:val="libFootnoteBoldChar"/>
          <w:rtl/>
        </w:rPr>
        <w:t xml:space="preserve"> </w:t>
      </w:r>
      <w:r w:rsidR="00992664" w:rsidRPr="00020424">
        <w:rPr>
          <w:rtl/>
        </w:rPr>
        <w:t>، ج 2 ، ص 35 ، ح 109 ، بسند آخر ، وتمام الرواية هكذا : « لا تحلّ الصدقة لولد العبّاس ولا لنظرائهم من بني هاشم</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243 ، مرسلاً عن جعفر بن إبراهيم الهاشمي. وراجع : </w:t>
      </w:r>
      <w:r w:rsidR="00992664" w:rsidRPr="00DE76B9">
        <w:rPr>
          <w:rStyle w:val="libFootnoteBoldChar"/>
          <w:rtl/>
        </w:rPr>
        <w:t>قرب الإسناد</w:t>
      </w:r>
      <w:r w:rsidR="00992664" w:rsidRPr="00020424">
        <w:rPr>
          <w:rtl/>
        </w:rPr>
        <w:t xml:space="preserve"> ، ص 370 ، ح 1325 </w:t>
      </w:r>
      <w:r w:rsidR="009E3782">
        <w:rPr>
          <w:rFonts w:hint="cs"/>
          <w:rtl/>
        </w:rPr>
        <w:t>.</w:t>
      </w:r>
      <w:r w:rsidR="00992664" w:rsidRPr="0012008A">
        <w:rPr>
          <w:rStyle w:val="libFootnoteBoldChar"/>
          <w:rtl/>
        </w:rPr>
        <w:t>الوافي</w:t>
      </w:r>
      <w:r w:rsidR="00992664" w:rsidRPr="00020424">
        <w:rPr>
          <w:rtl/>
        </w:rPr>
        <w:t xml:space="preserve"> ، ج 10 ، ص 195 ، ح 9423 ؛ </w:t>
      </w:r>
      <w:r w:rsidR="00992664" w:rsidRPr="0012008A">
        <w:rPr>
          <w:rStyle w:val="libFootnoteBoldChar"/>
          <w:rtl/>
        </w:rPr>
        <w:t>الوسائل</w:t>
      </w:r>
      <w:r w:rsidR="00992664" w:rsidRPr="00020424">
        <w:rPr>
          <w:rtl/>
        </w:rPr>
        <w:t xml:space="preserve"> ، ج 9 ، ص 272 ، ح 12002.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ى ، بح ، بخ ، بر ، بف ، بك » </w:t>
      </w:r>
      <w:r w:rsidR="00992664" w:rsidRPr="009E3782">
        <w:rPr>
          <w:rtl/>
        </w:rPr>
        <w:t>والوافي والوسائل</w:t>
      </w:r>
      <w:r w:rsidR="00992664" w:rsidRPr="00020424">
        <w:rPr>
          <w:rtl/>
        </w:rPr>
        <w:t>. وفي سائر النسخ والمطبوع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10 ، ص 197 ، ح 9430 ؛ </w:t>
      </w:r>
      <w:r w:rsidR="00992664" w:rsidRPr="0012008A">
        <w:rPr>
          <w:rStyle w:val="libFootnoteBoldChar"/>
          <w:rtl/>
        </w:rPr>
        <w:t>الوسائل</w:t>
      </w:r>
      <w:r w:rsidR="00992664" w:rsidRPr="00020424">
        <w:rPr>
          <w:rtl/>
        </w:rPr>
        <w:t xml:space="preserve"> ، ج 9 ، ص 277 ، ح 12013.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ورد الخبر في </w:t>
      </w:r>
      <w:r w:rsidR="00992664" w:rsidRPr="0012008A">
        <w:rPr>
          <w:rStyle w:val="libFootnoteBoldChar"/>
          <w:rtl/>
        </w:rPr>
        <w:t>التهذيب</w:t>
      </w:r>
      <w:r w:rsidR="00992664" w:rsidRPr="00020424">
        <w:rPr>
          <w:rtl/>
        </w:rPr>
        <w:t xml:space="preserve"> ، ج 4 ، ص 58 ، ح 156 بإسناده عن الحسين بن سعيد ، عن القاسم بن محمّد ، عن‌حمّاد بن عثمان ، عن إسماعيل بن الفضل الهاشمي. لكن لم نجد رواية حمّاد بن عثمان عن إسماعيل بن الفضل ولا رواية القاسم بن محمّد</w:t>
      </w:r>
      <w:r w:rsidR="00992664">
        <w:rPr>
          <w:rtl/>
        </w:rPr>
        <w:t xml:space="preserve"> </w:t>
      </w:r>
      <w:r w:rsidR="009B673F">
        <w:rPr>
          <w:rtl/>
        </w:rPr>
        <w:t>-</w:t>
      </w:r>
      <w:r w:rsidR="00992664">
        <w:rPr>
          <w:rtl/>
        </w:rPr>
        <w:t xml:space="preserve"> </w:t>
      </w:r>
      <w:r w:rsidR="00992664" w:rsidRPr="00020424">
        <w:rPr>
          <w:rtl/>
        </w:rPr>
        <w:t>وهو الجوهري</w:t>
      </w:r>
      <w:r w:rsidR="00992664">
        <w:rPr>
          <w:rtl/>
        </w:rPr>
        <w:t xml:space="preserve"> </w:t>
      </w:r>
      <w:r w:rsidR="009B673F">
        <w:rPr>
          <w:rtl/>
        </w:rPr>
        <w:t>-</w:t>
      </w:r>
      <w:r w:rsidR="00992664">
        <w:rPr>
          <w:rtl/>
        </w:rPr>
        <w:t xml:space="preserve"> </w:t>
      </w:r>
      <w:r w:rsidR="00992664" w:rsidRPr="00020424">
        <w:rPr>
          <w:rtl/>
        </w:rPr>
        <w:t xml:space="preserve">عن حمّاد بن عثمان ، وقد توسّط القاسم بن محمّد [ الجوهري ] بين الحسين بن سعيد وبين أبان [ بن عثمان ] في عددٍ من الأسناد. راجع : </w:t>
      </w:r>
      <w:r w:rsidR="00992664" w:rsidRPr="00DE76B9">
        <w:rPr>
          <w:rStyle w:val="libFootnoteBoldChar"/>
          <w:rtl/>
        </w:rPr>
        <w:t>معجم رجال الحديث</w:t>
      </w:r>
      <w:r w:rsidR="00992664" w:rsidRPr="00020424">
        <w:rPr>
          <w:rtl/>
        </w:rPr>
        <w:t xml:space="preserve"> ، ج 14 ، ص 356</w:t>
      </w:r>
      <w:r w:rsidR="00992664">
        <w:rPr>
          <w:rtl/>
        </w:rPr>
        <w:t xml:space="preserve"> </w:t>
      </w:r>
      <w:r w:rsidR="009B673F">
        <w:rPr>
          <w:rtl/>
        </w:rPr>
        <w:t>-</w:t>
      </w:r>
      <w:r w:rsidR="00992664">
        <w:rPr>
          <w:rtl/>
        </w:rPr>
        <w:t xml:space="preserve"> </w:t>
      </w:r>
      <w:r w:rsidR="00992664" w:rsidRPr="00020424">
        <w:rPr>
          <w:rtl/>
        </w:rPr>
        <w:t>357 وص 366.</w:t>
      </w:r>
    </w:p>
    <w:p w:rsidR="00992664" w:rsidRPr="00020424" w:rsidRDefault="00992664" w:rsidP="00992664">
      <w:pPr>
        <w:pStyle w:val="libFootnote0"/>
        <w:rPr>
          <w:rtl/>
          <w:lang w:bidi="fa-IR"/>
        </w:rPr>
      </w:pPr>
      <w:r w:rsidRPr="002E49B9">
        <w:rPr>
          <w:rtl/>
        </w:rPr>
        <w:t xml:space="preserve">والظاهر أنّ « حمّاد » في سند </w:t>
      </w:r>
      <w:r w:rsidRPr="0012008A">
        <w:rPr>
          <w:rStyle w:val="libFootnoteBoldChar"/>
          <w:rtl/>
        </w:rPr>
        <w:t>التهذيب</w:t>
      </w:r>
      <w:r w:rsidRPr="002E49B9">
        <w:rPr>
          <w:rtl/>
        </w:rPr>
        <w:t xml:space="preserve"> مصحّف من « أبان ». ويؤيّد ذلك ما ورد في </w:t>
      </w:r>
      <w:r w:rsidRPr="00DE76B9">
        <w:rPr>
          <w:rStyle w:val="libFootnoteBoldChar"/>
          <w:rtl/>
        </w:rPr>
        <w:t>الاستبصار</w:t>
      </w:r>
      <w:r w:rsidRPr="002E49B9">
        <w:rPr>
          <w:rtl/>
        </w:rPr>
        <w:t xml:space="preserve"> ، ج 2 ، ص 35 ، ح 107 ؛ من نقل الخبر بنفس سند </w:t>
      </w:r>
      <w:r w:rsidRPr="0012008A">
        <w:rPr>
          <w:rStyle w:val="libFootnoteBoldChar"/>
          <w:rtl/>
        </w:rPr>
        <w:t>التهذيب</w:t>
      </w:r>
      <w:r w:rsidR="002E49B9">
        <w:rPr>
          <w:rtl/>
        </w:rPr>
        <w:t xml:space="preserve"> إل</w:t>
      </w:r>
      <w:r w:rsidR="002E49B9">
        <w:rPr>
          <w:rFonts w:hint="cs"/>
          <w:rtl/>
        </w:rPr>
        <w:t>ّ</w:t>
      </w:r>
      <w:r w:rsidR="002E49B9">
        <w:rPr>
          <w:rtl/>
        </w:rPr>
        <w:t>ا</w:t>
      </w:r>
      <w:r w:rsidRPr="002E49B9">
        <w:rPr>
          <w:rFonts w:hint="cs"/>
          <w:rtl/>
        </w:rPr>
        <w:t xml:space="preserve"> </w:t>
      </w:r>
      <w:r w:rsidRPr="002E49B9">
        <w:rPr>
          <w:rtl/>
        </w:rPr>
        <w:t>أنّ فيه : « أبان بن عثمان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2E49B9">
        <w:rPr>
          <w:rtl/>
        </w:rPr>
        <w:t>الوافي</w:t>
      </w:r>
      <w:r w:rsidR="00992664" w:rsidRPr="00020424">
        <w:rPr>
          <w:rtl/>
        </w:rPr>
        <w:t xml:space="preserve"> : « فقال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E49B9">
      <w:pPr>
        <w:pStyle w:val="libNormal0"/>
        <w:rPr>
          <w:rtl/>
          <w:lang w:bidi="fa-IR"/>
        </w:rPr>
      </w:pPr>
      <w:r w:rsidRPr="00020424">
        <w:rPr>
          <w:rtl/>
          <w:lang w:bidi="fa-IR"/>
        </w:rPr>
        <w:t>« هِيَ الزَّكَاةُ</w:t>
      </w:r>
      <w:r>
        <w:rPr>
          <w:rtl/>
          <w:lang w:bidi="fa-IR"/>
        </w:rPr>
        <w:t xml:space="preserve"> ».</w:t>
      </w:r>
    </w:p>
    <w:p w:rsidR="00992664" w:rsidRPr="00020424" w:rsidRDefault="00992664" w:rsidP="00992664">
      <w:pPr>
        <w:pStyle w:val="libNormal"/>
        <w:rPr>
          <w:rtl/>
          <w:lang w:bidi="fa-IR"/>
        </w:rPr>
      </w:pPr>
      <w:r w:rsidRPr="00020424">
        <w:rPr>
          <w:rtl/>
          <w:lang w:bidi="fa-IR"/>
        </w:rPr>
        <w:t>قُلْتُ : فَتَحِلُّ صَدَقَةُ بَعْضِهِمْ عَلى بَعْضٍ</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2E49B9" w:rsidRDefault="00992664" w:rsidP="002E49B9">
      <w:pPr>
        <w:pStyle w:val="libNormal"/>
        <w:rPr>
          <w:rtl/>
          <w:lang w:bidi="fa-IR"/>
        </w:rPr>
      </w:pPr>
      <w:r w:rsidRPr="00C46BA9">
        <w:rPr>
          <w:rtl/>
        </w:rPr>
        <w:t>6242</w:t>
      </w:r>
      <w:r w:rsidRPr="001155DE">
        <w:rPr>
          <w:rStyle w:val="libBold2Char"/>
          <w:rtl/>
        </w:rPr>
        <w:t xml:space="preserve"> / 6.</w:t>
      </w:r>
      <w:r w:rsidRPr="00020424">
        <w:rPr>
          <w:rtl/>
          <w:lang w:bidi="fa-IR"/>
        </w:rPr>
        <w:t xml:space="preserve"> الْحُسَيْنُ بْنُ مُحَمَّدٍ ، عَنْ مُعَلَّى بْنِ مُحَمَّدٍ ؛</w:t>
      </w:r>
    </w:p>
    <w:p w:rsidR="00992664" w:rsidRPr="00020424" w:rsidRDefault="002E49B9" w:rsidP="002E49B9">
      <w:pPr>
        <w:pStyle w:val="libNormal"/>
        <w:rPr>
          <w:rtl/>
          <w:lang w:bidi="fa-IR"/>
        </w:rPr>
      </w:pPr>
      <w:r>
        <w:rPr>
          <w:rFonts w:hint="cs"/>
          <w:rtl/>
          <w:lang w:bidi="fa-IR"/>
        </w:rPr>
        <w:t xml:space="preserve">             </w:t>
      </w:r>
      <w:r w:rsidR="00992664" w:rsidRPr="00020424">
        <w:rPr>
          <w:rtl/>
          <w:lang w:bidi="fa-IR"/>
        </w:rPr>
        <w:t xml:space="preserve">وَمُحَمَّدُ بْنُ يَحْيى ، عَنْ أَحْمَدَ بْنِ مُحَمَّدٍ جَمِيعاً ، عَنِ الْحَسَنِ بْنِ عَلِيٍّ </w:t>
      </w:r>
      <w:r w:rsidR="00992664" w:rsidRPr="00A91B96">
        <w:rPr>
          <w:rStyle w:val="libFootnotenumChar"/>
          <w:rtl/>
        </w:rPr>
        <w:t>(2)</w:t>
      </w:r>
      <w:r w:rsidR="00992664" w:rsidRPr="00020424">
        <w:rPr>
          <w:rtl/>
          <w:lang w:bidi="fa-IR"/>
        </w:rPr>
        <w:t xml:space="preserve"> الْوَشَّاءِ ، عَنْ أَحْمَدَ بْنِ عَائِذٍ ، عَنْ أَبِي خَدِيجَةَ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أَعْطُوا الزَّكَاةَ مَنْ أَرَادَهَا مِنْ بَنِي هَاشِمٍ ؛ فَإِنَّهَا تَحِلُّ لَهُمْ ، وَإِنَّمَا تَحْرُمُ عَلَى النَّبِيِّ </w:t>
      </w:r>
      <w:r w:rsidR="00B42914" w:rsidRPr="00B42914">
        <w:rPr>
          <w:rStyle w:val="libAlaemChar"/>
          <w:rtl/>
        </w:rPr>
        <w:t>صلى‌الله‌عليه‌وآله‌</w:t>
      </w:r>
      <w:r w:rsidRPr="00020424">
        <w:rPr>
          <w:rtl/>
          <w:lang w:bidi="fa-IR"/>
        </w:rPr>
        <w:t xml:space="preserve"> ، وَالْإِمَامِ </w:t>
      </w:r>
      <w:r w:rsidRPr="00A91B96">
        <w:rPr>
          <w:rStyle w:val="libFootnotenumChar"/>
          <w:rtl/>
        </w:rPr>
        <w:t>(3)</w:t>
      </w:r>
      <w:r w:rsidRPr="00020424">
        <w:rPr>
          <w:rtl/>
          <w:lang w:bidi="fa-IR"/>
        </w:rPr>
        <w:t xml:space="preserve"> الَّذِي </w:t>
      </w:r>
      <w:r w:rsidRPr="00A91B96">
        <w:rPr>
          <w:rStyle w:val="libFootnotenumChar"/>
          <w:rtl/>
        </w:rPr>
        <w:t>(4)</w:t>
      </w:r>
      <w:r w:rsidRPr="00020424">
        <w:rPr>
          <w:rtl/>
          <w:lang w:bidi="fa-IR"/>
        </w:rPr>
        <w:t xml:space="preserve"> مِنْ </w:t>
      </w:r>
      <w:r w:rsidRPr="00A91B96">
        <w:rPr>
          <w:rStyle w:val="libFootnotenumChar"/>
          <w:rtl/>
        </w:rPr>
        <w:t>(5)</w:t>
      </w:r>
      <w:r w:rsidRPr="00020424">
        <w:rPr>
          <w:rtl/>
          <w:lang w:bidi="fa-IR"/>
        </w:rPr>
        <w:t xml:space="preserve"> بَعْدِهِ ، وَالْأَئِمَّةِ </w:t>
      </w:r>
      <w:r w:rsidRPr="00A91B96">
        <w:rPr>
          <w:rStyle w:val="libFootnotenumChar"/>
          <w:rtl/>
        </w:rPr>
        <w:t>(6)</w:t>
      </w:r>
      <w:r w:rsidRPr="00020424">
        <w:rPr>
          <w:rtl/>
          <w:lang w:bidi="fa-IR"/>
        </w:rPr>
        <w:t xml:space="preserve"> صَلَوَاتُ اللهِ عَلَيْهِمْ أَجْمَعِينَ</w:t>
      </w:r>
      <w:r w:rsidRPr="00A91B96">
        <w:rPr>
          <w:rStyle w:val="libFootnotenumChar"/>
          <w:rtl/>
        </w:rPr>
        <w:t>(7)</w:t>
      </w:r>
      <w:r>
        <w:rPr>
          <w:rtl/>
          <w:lang w:bidi="fa-IR"/>
        </w:rPr>
        <w:t>».</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58 ، ح 156 ، بسنده عن حمّاد بن عثمان ، عن إسماعيل بن الفضل الهاشمي. </w:t>
      </w:r>
      <w:r w:rsidR="00992664" w:rsidRPr="00DE76B9">
        <w:rPr>
          <w:rStyle w:val="libFootnoteBoldChar"/>
          <w:rtl/>
        </w:rPr>
        <w:t>الاستبصار</w:t>
      </w:r>
      <w:r w:rsidR="00992664" w:rsidRPr="00020424">
        <w:rPr>
          <w:rtl/>
        </w:rPr>
        <w:t xml:space="preserve"> ، ج 2 ، ص 35 ، ح 108 ، بسنده عن أبان بن عثمان. وفي </w:t>
      </w:r>
      <w:r w:rsidR="00992664" w:rsidRPr="0012008A">
        <w:rPr>
          <w:rStyle w:val="libFootnoteBoldChar"/>
          <w:rtl/>
        </w:rPr>
        <w:t>التهذيب</w:t>
      </w:r>
      <w:r w:rsidR="00992664" w:rsidRPr="00020424">
        <w:rPr>
          <w:rtl/>
        </w:rPr>
        <w:t xml:space="preserve"> ، ج 4 ، ص 59 ، ح 157 ؛ </w:t>
      </w:r>
      <w:r w:rsidR="00992664" w:rsidRPr="00FD6221">
        <w:rPr>
          <w:rStyle w:val="libFootnoteBoldChar"/>
          <w:rtl/>
        </w:rPr>
        <w:t>والاستبصار</w:t>
      </w:r>
      <w:r w:rsidR="00992664" w:rsidRPr="00020424">
        <w:rPr>
          <w:rtl/>
        </w:rPr>
        <w:t xml:space="preserve"> ، ج 2 ، ص 35 ، ح 109 ، بسند آخر ، مع اختلاف يسير. وفي </w:t>
      </w:r>
      <w:r w:rsidR="00992664" w:rsidRPr="0012008A">
        <w:rPr>
          <w:rStyle w:val="libFootnoteBoldChar"/>
          <w:rtl/>
        </w:rPr>
        <w:t>التهذيب</w:t>
      </w:r>
      <w:r w:rsidR="00992664" w:rsidRPr="00020424">
        <w:rPr>
          <w:rtl/>
        </w:rPr>
        <w:t xml:space="preserve"> ، ج 4 ، ص 60 ، ح 160 ؛ </w:t>
      </w:r>
      <w:r w:rsidR="00992664" w:rsidRPr="00FD6221">
        <w:rPr>
          <w:rStyle w:val="libFootnoteBoldChar"/>
          <w:rtl/>
        </w:rPr>
        <w:t>والاستبصار</w:t>
      </w:r>
      <w:r w:rsidR="00992664" w:rsidRPr="00020424">
        <w:rPr>
          <w:rtl/>
        </w:rPr>
        <w:t xml:space="preserve"> ، ج 2 ، ص 37 ، ح 114 ، بسند آخر ، مع اختلاف. وفي </w:t>
      </w:r>
      <w:r w:rsidR="00992664" w:rsidRPr="00A722B1">
        <w:rPr>
          <w:rStyle w:val="libFootnoteBoldChar"/>
          <w:rtl/>
        </w:rPr>
        <w:t>الخصال</w:t>
      </w:r>
      <w:r w:rsidR="00992664" w:rsidRPr="00020424">
        <w:rPr>
          <w:rtl/>
        </w:rPr>
        <w:t xml:space="preserve"> ، ص 62 ، باب الاثنين ، ح 88 ، بسند آخر عن جعفر بن محمّد ، عن أبيه </w:t>
      </w:r>
      <w:r w:rsidR="00D64ADA" w:rsidRPr="00D64ADA">
        <w:rPr>
          <w:rStyle w:val="libFootnoteAlaemChar"/>
          <w:rtl/>
        </w:rPr>
        <w:t>عليهما‌السلام</w:t>
      </w:r>
      <w:r w:rsidR="00992664" w:rsidRPr="00020424">
        <w:rPr>
          <w:rtl/>
        </w:rPr>
        <w:t xml:space="preserve"> ، مع اختلاف وزيادة. راجع : </w:t>
      </w:r>
      <w:r w:rsidR="00992664" w:rsidRPr="00DE76B9">
        <w:rPr>
          <w:rStyle w:val="libFootnoteBoldChar"/>
          <w:rtl/>
        </w:rPr>
        <w:t>قرب الإسناد</w:t>
      </w:r>
      <w:r w:rsidR="00992664" w:rsidRPr="00020424">
        <w:rPr>
          <w:rtl/>
        </w:rPr>
        <w:t xml:space="preserve"> ، ص 22 ، ح 76 ؛ </w:t>
      </w:r>
      <w:r w:rsidR="00992664" w:rsidRPr="00FD6221">
        <w:rPr>
          <w:rStyle w:val="libFootnoteBoldChar"/>
          <w:rtl/>
        </w:rPr>
        <w:t>والفقيه</w:t>
      </w:r>
      <w:r w:rsidR="00992664" w:rsidRPr="00020424">
        <w:rPr>
          <w:rtl/>
        </w:rPr>
        <w:t xml:space="preserve"> ، ج 2 ، ص 38 ، ذيل ح 1640 </w:t>
      </w:r>
      <w:r w:rsidR="002E49B9">
        <w:rPr>
          <w:rFonts w:hint="cs"/>
          <w:rtl/>
        </w:rPr>
        <w:t>.</w:t>
      </w:r>
      <w:r w:rsidR="00992664" w:rsidRPr="0012008A">
        <w:rPr>
          <w:rStyle w:val="libFootnoteBoldChar"/>
          <w:rtl/>
        </w:rPr>
        <w:t>الوافي</w:t>
      </w:r>
      <w:r w:rsidR="00992664" w:rsidRPr="00020424">
        <w:rPr>
          <w:rtl/>
        </w:rPr>
        <w:t xml:space="preserve"> ، ج 10 ، ص 196 ، ح 9424 ؛ </w:t>
      </w:r>
      <w:r w:rsidR="00992664" w:rsidRPr="0012008A">
        <w:rPr>
          <w:rStyle w:val="libFootnoteBoldChar"/>
          <w:rtl/>
        </w:rPr>
        <w:t>الوسائل</w:t>
      </w:r>
      <w:r w:rsidR="00992664" w:rsidRPr="00020424">
        <w:rPr>
          <w:rtl/>
        </w:rPr>
        <w:t xml:space="preserve"> ، ج 9 ، ص 275 ، ذيل ح 12007.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بخ ، بر »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بث ، بح ، بخ ، بر ، بس ، بف ، بك » </w:t>
      </w:r>
      <w:r w:rsidR="00992664" w:rsidRPr="002E49B9">
        <w:rPr>
          <w:rtl/>
        </w:rPr>
        <w:t>والوافي</w:t>
      </w:r>
      <w:r w:rsidR="00992664" w:rsidRPr="00020424">
        <w:rPr>
          <w:rtl/>
        </w:rPr>
        <w:t xml:space="preserve"> : « وعلى الإمام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E49B9" w:rsidTr="002E49B9">
        <w:tc>
          <w:tcPr>
            <w:tcW w:w="4006" w:type="dxa"/>
          </w:tcPr>
          <w:p w:rsidR="002E49B9" w:rsidRDefault="002E49B9" w:rsidP="00992664">
            <w:pPr>
              <w:pStyle w:val="libFootnote0"/>
              <w:rPr>
                <w:rtl/>
              </w:rPr>
            </w:pPr>
            <w:r>
              <w:rPr>
                <w:rtl/>
              </w:rPr>
              <w:t xml:space="preserve">(4). </w:t>
            </w:r>
            <w:r w:rsidRPr="00020424">
              <w:rPr>
                <w:rtl/>
              </w:rPr>
              <w:t>في « ظ ، ى ، بس ، جن » :</w:t>
            </w:r>
            <w:r>
              <w:rPr>
                <w:rtl/>
              </w:rPr>
              <w:t xml:space="preserve"> - </w:t>
            </w:r>
            <w:r w:rsidRPr="00020424">
              <w:rPr>
                <w:rtl/>
              </w:rPr>
              <w:t>« الذي</w:t>
            </w:r>
            <w:r>
              <w:rPr>
                <w:rtl/>
              </w:rPr>
              <w:t xml:space="preserve"> ».</w:t>
            </w:r>
          </w:p>
        </w:tc>
        <w:tc>
          <w:tcPr>
            <w:tcW w:w="4006" w:type="dxa"/>
          </w:tcPr>
          <w:p w:rsidR="002E49B9" w:rsidRDefault="002E49B9" w:rsidP="00992664">
            <w:pPr>
              <w:pStyle w:val="libFootnote0"/>
              <w:rPr>
                <w:rtl/>
              </w:rPr>
            </w:pPr>
            <w:r>
              <w:rPr>
                <w:rtl/>
              </w:rPr>
              <w:t xml:space="preserve">(5). </w:t>
            </w:r>
            <w:r w:rsidRPr="00020424">
              <w:rPr>
                <w:rtl/>
              </w:rPr>
              <w:t xml:space="preserve">في </w:t>
            </w:r>
            <w:r w:rsidRPr="002E49B9">
              <w:rPr>
                <w:rtl/>
              </w:rPr>
              <w:t>الوافي</w:t>
            </w:r>
            <w:r w:rsidRPr="00020424">
              <w:rPr>
                <w:rtl/>
              </w:rPr>
              <w:t xml:space="preserve"> :</w:t>
            </w:r>
            <w:r>
              <w:rPr>
                <w:rtl/>
              </w:rPr>
              <w:t xml:space="preserve"> - </w:t>
            </w:r>
            <w:r w:rsidRPr="00020424">
              <w:rPr>
                <w:rtl/>
              </w:rPr>
              <w:t>« من</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بك » </w:t>
      </w:r>
      <w:r w:rsidR="00992664" w:rsidRPr="002E49B9">
        <w:rPr>
          <w:rtl/>
        </w:rPr>
        <w:t>والوافي</w:t>
      </w:r>
      <w:r w:rsidR="00992664" w:rsidRPr="00020424">
        <w:rPr>
          <w:rtl/>
        </w:rPr>
        <w:t xml:space="preserve"> : « وعلى الأئمّة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قال في </w:t>
      </w:r>
      <w:r w:rsidR="00992664" w:rsidRPr="0012008A">
        <w:rPr>
          <w:rStyle w:val="libFootnoteBoldChar"/>
          <w:rtl/>
        </w:rPr>
        <w:t>التهذيب</w:t>
      </w:r>
      <w:r w:rsidR="00992664" w:rsidRPr="00020424">
        <w:rPr>
          <w:rtl/>
        </w:rPr>
        <w:t xml:space="preserve"> : « فالأصل في هذا الخبر أبو خديجة وإن تكرّر في الكتب ولم يروه غيره ، ويحتمل أن يكون أراد </w:t>
      </w:r>
      <w:r w:rsidR="00992664" w:rsidRPr="00D64ADA">
        <w:rPr>
          <w:rStyle w:val="libFootnoteAlaemChar"/>
          <w:rtl/>
        </w:rPr>
        <w:t>عليه‌السلام</w:t>
      </w:r>
      <w:r w:rsidR="00992664" w:rsidRPr="00020424">
        <w:rPr>
          <w:rtl/>
        </w:rPr>
        <w:t xml:space="preserve"> حال الضرورة دون حال الاختيار ؛ لأنّا قد بيّنّا أنّ في حال الضرورة مباح لهم ذلك ، ويكون وجه اختصاص الأئمّة </w:t>
      </w:r>
      <w:r w:rsidR="00992664" w:rsidRPr="00D64ADA">
        <w:rPr>
          <w:rStyle w:val="libFootnoteAlaemChar"/>
          <w:rtl/>
        </w:rPr>
        <w:t>عليهم‌السلام</w:t>
      </w:r>
      <w:r w:rsidR="00992664" w:rsidRPr="00020424">
        <w:rPr>
          <w:rtl/>
        </w:rPr>
        <w:t xml:space="preserve"> منهم بالذكر في الخبر أنّ الأئمّة </w:t>
      </w:r>
      <w:r w:rsidR="00992664" w:rsidRPr="00D64ADA">
        <w:rPr>
          <w:rStyle w:val="libFootnoteAlaemChar"/>
          <w:rtl/>
        </w:rPr>
        <w:t>عليهم‌السلام</w:t>
      </w:r>
      <w:r w:rsidR="00992664" w:rsidRPr="00020424">
        <w:rPr>
          <w:rtl/>
        </w:rPr>
        <w:t xml:space="preserve"> لا يضطرّون إلى أكل الزكوات والتقوّت بها ، وغيرهم من عبد المطّلب قد يضطرّون إلى ذلك</w:t>
      </w:r>
      <w:r w:rsidR="00992664">
        <w:rPr>
          <w:rtl/>
        </w:rPr>
        <w:t xml:space="preserve"> ».</w:t>
      </w:r>
    </w:p>
    <w:p w:rsidR="00992664" w:rsidRPr="00020424" w:rsidRDefault="00992664" w:rsidP="00992664">
      <w:pPr>
        <w:pStyle w:val="libFootnote0"/>
        <w:rPr>
          <w:rtl/>
          <w:lang w:bidi="fa-IR"/>
        </w:rPr>
      </w:pPr>
      <w:r w:rsidRPr="002E49B9">
        <w:rPr>
          <w:rtl/>
        </w:rPr>
        <w:t xml:space="preserve">وقال في </w:t>
      </w:r>
      <w:r w:rsidRPr="00DE76B9">
        <w:rPr>
          <w:rStyle w:val="libFootnoteBoldChar"/>
          <w:rtl/>
        </w:rPr>
        <w:t>الاستبصار</w:t>
      </w:r>
      <w:r w:rsidRPr="002E49B9">
        <w:rPr>
          <w:rtl/>
        </w:rPr>
        <w:t xml:space="preserve"> : « فهذا الخبر لم يروه غير أبي خديجة وإن تكرّر في الكتب ، وهو ضعيف عند أصحاب الحديث ؛ لما لا احتياج إلى ذكره ، ويجوز مع تسليمه أن يكون مخصوصاً بحال الضرورة ، والزمان الذي لا يتمكّنون فيه من الخمس ، فحينئذٍ يجوز لهم أخذ الزكاة بمنزلة الميتة التي تحلّ عند الضرورة ، ويكون النبيّ والأئمّة </w:t>
      </w:r>
      <w:r w:rsidRPr="00D64ADA">
        <w:rPr>
          <w:rStyle w:val="libFootnoteAlaemChar"/>
          <w:rtl/>
        </w:rPr>
        <w:t>عليهم‌السلام</w:t>
      </w:r>
      <w:r w:rsidRPr="002E49B9">
        <w:rPr>
          <w:rtl/>
        </w:rPr>
        <w:t xml:space="preserve"> منزّهين عن ذلك ؛ لأنّ الله تعالى يصونهم عن هذه الضرورة تعظيماً لهم وتنزيهاً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37 ، ح 1637 ، معلّقاً عن أبي خديجة سالم بن مكرّم الجمّال. وفي </w:t>
      </w:r>
      <w:r w:rsidR="00992664" w:rsidRPr="0012008A">
        <w:rPr>
          <w:rStyle w:val="libFootnoteBoldChar"/>
          <w:rtl/>
        </w:rPr>
        <w:t>التهذيب</w:t>
      </w:r>
      <w:r w:rsidR="00992664" w:rsidRPr="00020424">
        <w:rPr>
          <w:rtl/>
        </w:rPr>
        <w:t xml:space="preserve"> ، ج 4 ، </w:t>
      </w:r>
      <w:r w:rsidR="00A2277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16692">
        <w:rPr>
          <w:rtl/>
        </w:rPr>
        <w:t>6243</w:t>
      </w:r>
      <w:r w:rsidRPr="001155DE">
        <w:rPr>
          <w:rStyle w:val="libBold2Char"/>
          <w:rtl/>
        </w:rPr>
        <w:t xml:space="preserve"> / 7.</w:t>
      </w:r>
      <w:r w:rsidRPr="00020424">
        <w:rPr>
          <w:rtl/>
          <w:lang w:bidi="fa-IR"/>
        </w:rPr>
        <w:t xml:space="preserve"> مُحَمَّدُ بْنُ يَحْيى ، عَنْ مُحَمَّدِ بْنِ أَحْمَدَ </w:t>
      </w:r>
      <w:r w:rsidRPr="00A91B96">
        <w:rPr>
          <w:rStyle w:val="libFootnotenumChar"/>
          <w:rtl/>
        </w:rPr>
        <w:t>(1)</w:t>
      </w:r>
      <w:r w:rsidRPr="00020424">
        <w:rPr>
          <w:rtl/>
          <w:lang w:bidi="fa-IR"/>
        </w:rPr>
        <w:t xml:space="preserve"> ، عَنْ بَعْضِ أَصْحَابِنَا ، عَنْ مُحَمَّدِ بْنِ عَبْدِ اللهِ </w:t>
      </w:r>
      <w:r w:rsidRPr="00A91B96">
        <w:rPr>
          <w:rStyle w:val="libFootnotenumChar"/>
          <w:rtl/>
        </w:rPr>
        <w:t>(2)</w:t>
      </w:r>
      <w:r w:rsidRPr="00020424">
        <w:rPr>
          <w:rtl/>
          <w:lang w:bidi="fa-IR"/>
        </w:rPr>
        <w:t xml:space="preserve"> ، عَنْ مُحَمَّدِ بْنِ يَزِيدَ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الْحَسَنِ الْأَوَّلِ </w:t>
      </w:r>
      <w:r w:rsidRPr="00005A81">
        <w:rPr>
          <w:rStyle w:val="libAlaemChar"/>
          <w:rtl/>
        </w:rPr>
        <w:t>عليه‌السلام</w:t>
      </w:r>
      <w:r w:rsidRPr="00020424">
        <w:rPr>
          <w:rtl/>
          <w:lang w:bidi="fa-IR"/>
        </w:rPr>
        <w:t xml:space="preserve"> ، قَالَ : « مَنْ لَمْ يَسْتَطِعْ أَنْ يَصِلَنَا ، فَلْيَصِلْ </w:t>
      </w:r>
      <w:r w:rsidRPr="00A91B96">
        <w:rPr>
          <w:rStyle w:val="libFootnotenumChar"/>
          <w:rtl/>
        </w:rPr>
        <w:t>(4)</w:t>
      </w:r>
      <w:r w:rsidRPr="00020424">
        <w:rPr>
          <w:rtl/>
          <w:lang w:bidi="fa-IR"/>
        </w:rPr>
        <w:t xml:space="preserve"> فُقَرَاءَ </w:t>
      </w:r>
      <w:r w:rsidRPr="00A91B96">
        <w:rPr>
          <w:rStyle w:val="libFootnotenumChar"/>
          <w:rtl/>
        </w:rPr>
        <w:t>(5)</w:t>
      </w:r>
      <w:r w:rsidRPr="00020424">
        <w:rPr>
          <w:rtl/>
          <w:lang w:bidi="fa-IR"/>
        </w:rPr>
        <w:t xml:space="preserve"> شِيعَتِنَا </w:t>
      </w:r>
      <w:r w:rsidRPr="00A91B96">
        <w:rPr>
          <w:rStyle w:val="libFootnotenumChar"/>
          <w:rtl/>
        </w:rPr>
        <w:t>(6)</w:t>
      </w:r>
      <w:r w:rsidRPr="00020424">
        <w:rPr>
          <w:rtl/>
          <w:lang w:bidi="fa-IR"/>
        </w:rPr>
        <w:t xml:space="preserve"> ، وَمَنْ لَمْ يَسْتَطِعْ أَنْ يَزُورَ قُبُورَنَا ، فَلْيَزُرْ قُبُورَ </w:t>
      </w:r>
      <w:r w:rsidRPr="00A91B96">
        <w:rPr>
          <w:rStyle w:val="libFootnotenumChar"/>
          <w:rtl/>
        </w:rPr>
        <w:t>(7)</w:t>
      </w:r>
      <w:r w:rsidRPr="00020424">
        <w:rPr>
          <w:rtl/>
          <w:lang w:bidi="fa-IR"/>
        </w:rPr>
        <w:t xml:space="preserve"> صُلَحَاءِ إِخْوَانِنَا</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16692">
        <w:rPr>
          <w:rtl/>
        </w:rPr>
        <w:t>6244</w:t>
      </w:r>
      <w:r w:rsidRPr="001155DE">
        <w:rPr>
          <w:rStyle w:val="libBold2Char"/>
          <w:rtl/>
        </w:rPr>
        <w:t xml:space="preserve"> / 8.</w:t>
      </w:r>
      <w:r w:rsidRPr="00020424">
        <w:rPr>
          <w:rtl/>
          <w:lang w:bidi="fa-IR"/>
        </w:rPr>
        <w:t xml:space="preserve"> عِدَّةٌ مِنْ أَصْحَابِنَا ، عَنْ أَحْمَدَ بْنِ أَبِي عَبْدِ اللهِ ، عَنِ النَّوْفَلِيِّ ، عَنْ عِيسَى بْنِ عَبْدِ اللهِ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صَنَعَ إِلى أَحَدٍ مِنْ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A22772" w:rsidP="00992664">
      <w:pPr>
        <w:pStyle w:val="libFootnote0"/>
        <w:rPr>
          <w:rtl/>
          <w:lang w:bidi="fa-IR"/>
        </w:rPr>
      </w:pPr>
      <w:r>
        <w:rPr>
          <w:rFonts w:hint="cs"/>
          <w:rtl/>
        </w:rPr>
        <w:t xml:space="preserve">= </w:t>
      </w:r>
      <w:r w:rsidR="00992664" w:rsidRPr="00020424">
        <w:rPr>
          <w:rtl/>
        </w:rPr>
        <w:t xml:space="preserve">ص 60 ، ح 161 ؛ </w:t>
      </w:r>
      <w:r w:rsidR="00992664" w:rsidRPr="00FD6221">
        <w:rPr>
          <w:rStyle w:val="libFootnoteBoldChar"/>
          <w:rtl/>
        </w:rPr>
        <w:t>والاستبصار</w:t>
      </w:r>
      <w:r w:rsidR="00992664" w:rsidRPr="00020424">
        <w:rPr>
          <w:rtl/>
        </w:rPr>
        <w:t xml:space="preserve"> ، ج 2 ، ص 36 ، ح 110 ، بسندهما عن أبي خديجة </w:t>
      </w:r>
      <w:r>
        <w:rPr>
          <w:rFonts w:hint="cs"/>
          <w:rtl/>
        </w:rPr>
        <w:t>.</w:t>
      </w:r>
      <w:r w:rsidR="00992664" w:rsidRPr="0012008A">
        <w:rPr>
          <w:rStyle w:val="libFootnoteBoldChar"/>
          <w:rtl/>
        </w:rPr>
        <w:t>الوافي</w:t>
      </w:r>
      <w:r w:rsidR="00992664" w:rsidRPr="00020424">
        <w:rPr>
          <w:rtl/>
        </w:rPr>
        <w:t xml:space="preserve"> ، ج 10 ، ص 199 ، ح 9434 ؛ </w:t>
      </w:r>
      <w:r w:rsidR="00992664" w:rsidRPr="0012008A">
        <w:rPr>
          <w:rStyle w:val="libFootnoteBoldChar"/>
          <w:rtl/>
        </w:rPr>
        <w:t>الوسائل</w:t>
      </w:r>
      <w:r w:rsidR="00992664" w:rsidRPr="00020424">
        <w:rPr>
          <w:rtl/>
        </w:rPr>
        <w:t xml:space="preserve"> ، ج 9 ، ص 269 ، ذيل ح 11996.</w:t>
      </w:r>
    </w:p>
    <w:p w:rsidR="00992664" w:rsidRPr="00020424" w:rsidRDefault="00795177" w:rsidP="00A22772">
      <w:pPr>
        <w:pStyle w:val="libFootnote0"/>
        <w:rPr>
          <w:rtl/>
          <w:lang w:bidi="fa-IR"/>
        </w:rPr>
      </w:pPr>
      <w:r>
        <w:rPr>
          <w:rtl/>
        </w:rPr>
        <w:t>(1).</w:t>
      </w:r>
      <w:r w:rsidR="0014403D">
        <w:rPr>
          <w:rtl/>
        </w:rPr>
        <w:t xml:space="preserve"> </w:t>
      </w:r>
      <w:r w:rsidR="00992664" w:rsidRPr="00020424">
        <w:rPr>
          <w:rtl/>
        </w:rPr>
        <w:t xml:space="preserve">هكذا في « بخ ، بر ، بف ، جر » وحاشية « بث » </w:t>
      </w:r>
      <w:r w:rsidR="00992664" w:rsidRPr="00A22772">
        <w:rPr>
          <w:rtl/>
        </w:rPr>
        <w:t>والوسائل والتهذيب</w:t>
      </w:r>
      <w:r w:rsidR="00992664" w:rsidRPr="00020424">
        <w:rPr>
          <w:rtl/>
        </w:rPr>
        <w:t>. وفي « ظ ، ى ، بث ، بح ، بس ، جن » والمطبوع : « أحمد بن محمّد</w:t>
      </w:r>
      <w:r w:rsidR="00992664">
        <w:rPr>
          <w:rtl/>
        </w:rPr>
        <w:t xml:space="preserve"> ».</w:t>
      </w:r>
      <w:r w:rsidR="00992664" w:rsidRPr="00020424">
        <w:rPr>
          <w:rtl/>
        </w:rPr>
        <w:t xml:space="preserve"> والمقام من مظانّ تحريف « محمّد بن أحمد »</w:t>
      </w:r>
      <w:r w:rsidR="00992664">
        <w:rPr>
          <w:rtl/>
        </w:rPr>
        <w:t xml:space="preserve"> ب</w:t>
      </w:r>
      <w:r w:rsidR="00A22772">
        <w:rPr>
          <w:rFonts w:hint="cs"/>
          <w:rtl/>
        </w:rPr>
        <w:t>ـ</w:t>
      </w:r>
      <w:r w:rsidR="00992664">
        <w:rPr>
          <w:rtl/>
        </w:rPr>
        <w:t xml:space="preserve"> </w:t>
      </w:r>
      <w:r w:rsidR="00992664" w:rsidRPr="00020424">
        <w:rPr>
          <w:rtl/>
        </w:rPr>
        <w:t>« أحمد بن محمّد » دون العكس ؛ فقد روى محمّد بن يحيى ، عن أحمد بن محمّد في كثيرٍ من الأسناد ، كثرةً لا</w:t>
      </w:r>
      <w:r w:rsidR="00A22772">
        <w:rPr>
          <w:rtl/>
        </w:rPr>
        <w:t>نرى مثلها إل</w:t>
      </w:r>
      <w:r w:rsidR="00A22772">
        <w:rPr>
          <w:rFonts w:hint="cs"/>
          <w:rtl/>
        </w:rPr>
        <w:t>ّ</w:t>
      </w:r>
      <w:r w:rsidR="00A22772">
        <w:rPr>
          <w:rtl/>
        </w:rPr>
        <w:t>ا</w:t>
      </w:r>
      <w:r w:rsidR="00992664" w:rsidRPr="00020424">
        <w:rPr>
          <w:rtl/>
        </w:rPr>
        <w:t xml:space="preserve"> في روايات عليّ بن إبراهيم عن أبيه. راجع : </w:t>
      </w:r>
      <w:r w:rsidR="00992664" w:rsidRPr="00DE76B9">
        <w:rPr>
          <w:rStyle w:val="libFootnoteBoldChar"/>
          <w:rtl/>
        </w:rPr>
        <w:t>معجم رجال الحديث</w:t>
      </w:r>
      <w:r w:rsidR="00992664" w:rsidRPr="00020424">
        <w:rPr>
          <w:rtl/>
        </w:rPr>
        <w:t xml:space="preserve"> ، ج 18 ، ص 7 ، الرقم 11977.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جن » وحاشية « ظ » : « عبيد 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w:t>
      </w:r>
      <w:r w:rsidR="00992664" w:rsidRPr="00A22772">
        <w:rPr>
          <w:rtl/>
        </w:rPr>
        <w:t>والوسائل</w:t>
      </w:r>
      <w:r w:rsidR="00992664" w:rsidRPr="00020424">
        <w:rPr>
          <w:rtl/>
        </w:rPr>
        <w:t xml:space="preserve"> ، ح 19863 : « زيد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فيصل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بخ ، بر ، بك » : « فقير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والمقنعه ، ص 491 : « صالحي شيعتنا</w:t>
      </w:r>
      <w:r w:rsidR="00992664">
        <w:rPr>
          <w:rtl/>
        </w:rPr>
        <w:t xml:space="preserve"> ».</w:t>
      </w:r>
      <w:r w:rsidR="00992664" w:rsidRPr="00020424">
        <w:rPr>
          <w:rtl/>
        </w:rPr>
        <w:t xml:space="preserve"> وفي كامل الزيارات </w:t>
      </w:r>
      <w:r w:rsidR="00992664" w:rsidRPr="00A22772">
        <w:rPr>
          <w:rtl/>
        </w:rPr>
        <w:t>وثواب الأعمال</w:t>
      </w:r>
      <w:r w:rsidR="00992664" w:rsidRPr="00020424">
        <w:rPr>
          <w:rtl/>
        </w:rPr>
        <w:t xml:space="preserve"> : « صالحي موالينا » كلاهما بدل « فقراء شيعتنا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بث ، بح » </w:t>
      </w:r>
      <w:r w:rsidR="00992664" w:rsidRPr="00A22772">
        <w:rPr>
          <w:rtl/>
        </w:rPr>
        <w:t>والوسائل</w:t>
      </w:r>
      <w:r w:rsidR="00992664" w:rsidRPr="00020424">
        <w:rPr>
          <w:rtl/>
        </w:rPr>
        <w:t xml:space="preserve"> ، ح 19863 </w:t>
      </w:r>
      <w:r w:rsidR="00992664" w:rsidRPr="00A22772">
        <w:rPr>
          <w:rtl/>
        </w:rPr>
        <w:t>والفقيه والتهذيب</w:t>
      </w:r>
      <w:r w:rsidR="00992664" w:rsidRPr="00020424">
        <w:rPr>
          <w:rtl/>
        </w:rPr>
        <w:t xml:space="preserve"> وكامل الزيارات </w:t>
      </w:r>
      <w:r w:rsidR="00992664" w:rsidRPr="00A22772">
        <w:rPr>
          <w:rtl/>
        </w:rPr>
        <w:t>وثواب الأعمال والمقنعة</w:t>
      </w:r>
      <w:r w:rsidR="00992664" w:rsidRPr="00020424">
        <w:rPr>
          <w:rtl/>
        </w:rPr>
        <w:t xml:space="preserve"> والمزار :</w:t>
      </w:r>
      <w:r w:rsidR="00992664">
        <w:rPr>
          <w:rtl/>
        </w:rPr>
        <w:t xml:space="preserve"> </w:t>
      </w:r>
      <w:r w:rsidR="009B673F">
        <w:rPr>
          <w:rtl/>
        </w:rPr>
        <w:t>-</w:t>
      </w:r>
      <w:r w:rsidR="00992664">
        <w:rPr>
          <w:rtl/>
        </w:rPr>
        <w:t xml:space="preserve"> </w:t>
      </w:r>
      <w:r w:rsidR="00992664" w:rsidRPr="00020424">
        <w:rPr>
          <w:rtl/>
        </w:rPr>
        <w:t>« قبور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111 ، ح 324 ، معلّقاً عن الكليني. وفي </w:t>
      </w:r>
      <w:r w:rsidR="00992664" w:rsidRPr="00DE76B9">
        <w:rPr>
          <w:rStyle w:val="libFootnoteBoldChar"/>
          <w:rtl/>
        </w:rPr>
        <w:t>كامل الزيارات</w:t>
      </w:r>
      <w:r w:rsidR="00992664" w:rsidRPr="00020424">
        <w:rPr>
          <w:rtl/>
        </w:rPr>
        <w:t xml:space="preserve"> ، ص 319 ، الباب 105 ، ح 1 ؛ </w:t>
      </w:r>
      <w:r w:rsidR="00992664" w:rsidRPr="00A22772">
        <w:rPr>
          <w:rStyle w:val="libFootnoteBoldChar"/>
          <w:rtl/>
        </w:rPr>
        <w:t>وك</w:t>
      </w:r>
      <w:r w:rsidR="00992664" w:rsidRPr="00DE76B9">
        <w:rPr>
          <w:rStyle w:val="libFootnoteBoldChar"/>
          <w:rtl/>
        </w:rPr>
        <w:t>تاب المزار</w:t>
      </w:r>
      <w:r w:rsidR="00992664" w:rsidRPr="00020424">
        <w:rPr>
          <w:rtl/>
        </w:rPr>
        <w:t xml:space="preserve"> ، ص 216 ، ح 1 ، بسند آخر. وفي </w:t>
      </w:r>
      <w:r w:rsidR="00992664" w:rsidRPr="00DE76B9">
        <w:rPr>
          <w:rStyle w:val="libFootnoteBoldChar"/>
          <w:rtl/>
        </w:rPr>
        <w:t>كامل الزيارات</w:t>
      </w:r>
      <w:r w:rsidR="00992664" w:rsidRPr="00020424">
        <w:rPr>
          <w:rtl/>
        </w:rPr>
        <w:t xml:space="preserve"> ، ص 319 ، الباب 105 ، ح 2 ، بسند آخر عن الرضا </w:t>
      </w:r>
      <w:r w:rsidR="00992664" w:rsidRPr="00D64ADA">
        <w:rPr>
          <w:rStyle w:val="libFootnoteAlaemChar"/>
          <w:rtl/>
        </w:rPr>
        <w:t>عليه‌السلام</w:t>
      </w:r>
      <w:r w:rsidR="00992664" w:rsidRPr="00020424">
        <w:rPr>
          <w:rtl/>
        </w:rPr>
        <w:t xml:space="preserve">. </w:t>
      </w:r>
      <w:r w:rsidR="00992664" w:rsidRPr="0012008A">
        <w:rPr>
          <w:rStyle w:val="libFootnoteBoldChar"/>
          <w:rtl/>
        </w:rPr>
        <w:t>ثواب الأعمال</w:t>
      </w:r>
      <w:r w:rsidR="00992664" w:rsidRPr="00020424">
        <w:rPr>
          <w:rtl/>
        </w:rPr>
        <w:t xml:space="preserve"> ، ص 124 ، ح 1 ، بسند آخر عن الصادق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المقنعة</w:t>
      </w:r>
      <w:r w:rsidR="00992664" w:rsidRPr="00020424">
        <w:rPr>
          <w:rtl/>
        </w:rPr>
        <w:t xml:space="preserve"> ، ص 268 ، إلى قوله : « فقراء شيعتنا » ؛ وص 491 ، وفي الأخيرين مرسلاً عن أبي الحسن موسى بن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73 ، ح 1765 ، مرسلاً عن الصادق </w:t>
      </w:r>
      <w:r w:rsidR="00992664" w:rsidRPr="00D64ADA">
        <w:rPr>
          <w:rStyle w:val="libFootnoteAlaemChar"/>
          <w:rtl/>
        </w:rPr>
        <w:t>عليه‌السلام</w:t>
      </w:r>
      <w:r w:rsidR="00992664" w:rsidRPr="00020424">
        <w:rPr>
          <w:rtl/>
        </w:rPr>
        <w:t xml:space="preserve"> </w:t>
      </w:r>
      <w:r w:rsidR="00A22772">
        <w:rPr>
          <w:rFonts w:hint="cs"/>
          <w:rtl/>
        </w:rPr>
        <w:t>.</w:t>
      </w:r>
      <w:r w:rsidR="00992664" w:rsidRPr="0012008A">
        <w:rPr>
          <w:rStyle w:val="libFootnoteBoldChar"/>
          <w:rtl/>
        </w:rPr>
        <w:t>الوافي</w:t>
      </w:r>
      <w:r w:rsidR="00992664" w:rsidRPr="00020424">
        <w:rPr>
          <w:rtl/>
        </w:rPr>
        <w:t xml:space="preserve"> ، ج 10 ، ص 365 ، ح 9708 ؛ وج 14 ، ص 1589 ، ح 14662 ؛ </w:t>
      </w:r>
      <w:r w:rsidR="00992664" w:rsidRPr="0012008A">
        <w:rPr>
          <w:rStyle w:val="libFootnoteBoldChar"/>
          <w:rtl/>
        </w:rPr>
        <w:t>الوسائل</w:t>
      </w:r>
      <w:r w:rsidR="00992664" w:rsidRPr="00020424">
        <w:rPr>
          <w:rtl/>
        </w:rPr>
        <w:t xml:space="preserve"> ، ج 9 ، ص 475 ، ح 12529 ؛ وج 14 ، ص 583 ، ح 19863.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أحد 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22772">
      <w:pPr>
        <w:pStyle w:val="libNormal0"/>
        <w:rPr>
          <w:rtl/>
          <w:lang w:bidi="fa-IR"/>
        </w:rPr>
      </w:pPr>
      <w:r w:rsidRPr="00020424">
        <w:rPr>
          <w:rtl/>
          <w:lang w:bidi="fa-IR"/>
        </w:rPr>
        <w:t xml:space="preserve">أَهْلِ بَيْتِي يَداً </w:t>
      </w:r>
      <w:r w:rsidRPr="00A91B96">
        <w:rPr>
          <w:rStyle w:val="libFootnotenumChar"/>
          <w:rtl/>
        </w:rPr>
        <w:t>(1)</w:t>
      </w:r>
      <w:r w:rsidRPr="00020424">
        <w:rPr>
          <w:rtl/>
          <w:lang w:bidi="fa-IR"/>
        </w:rPr>
        <w:t xml:space="preserve"> ، كَافَيْتُهُ </w:t>
      </w:r>
      <w:r w:rsidRPr="00A91B96">
        <w:rPr>
          <w:rStyle w:val="libFootnotenumChar"/>
          <w:rtl/>
        </w:rPr>
        <w:t>(2)</w:t>
      </w:r>
      <w:r w:rsidRPr="00020424">
        <w:rPr>
          <w:rtl/>
          <w:lang w:bidi="fa-IR"/>
        </w:rPr>
        <w:t xml:space="preserve"> يَوْمَ الْقِيَامَةِ</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16692">
        <w:rPr>
          <w:rtl/>
        </w:rPr>
        <w:t>6245</w:t>
      </w:r>
      <w:r w:rsidRPr="001155DE">
        <w:rPr>
          <w:rStyle w:val="libBold2Char"/>
          <w:rtl/>
        </w:rPr>
        <w:t xml:space="preserve"> / 9.</w:t>
      </w:r>
      <w:r w:rsidRPr="00020424">
        <w:rPr>
          <w:rtl/>
          <w:lang w:bidi="fa-IR"/>
        </w:rPr>
        <w:t xml:space="preserve"> وَعَنْهُ </w:t>
      </w:r>
      <w:r w:rsidRPr="00A91B96">
        <w:rPr>
          <w:rStyle w:val="libFootnotenumChar"/>
          <w:rtl/>
        </w:rPr>
        <w:t>(4)</w:t>
      </w:r>
      <w:r w:rsidRPr="00020424">
        <w:rPr>
          <w:rtl/>
          <w:lang w:bidi="fa-IR"/>
        </w:rPr>
        <w:t xml:space="preserve"> ، عَنْ أَبِيهِ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إِنِّي </w:t>
      </w:r>
      <w:r w:rsidRPr="00A91B96">
        <w:rPr>
          <w:rStyle w:val="libFootnotenumChar"/>
          <w:rtl/>
        </w:rPr>
        <w:t>(5)</w:t>
      </w:r>
      <w:r w:rsidRPr="00020424">
        <w:rPr>
          <w:rtl/>
          <w:lang w:bidi="fa-IR"/>
        </w:rPr>
        <w:t xml:space="preserve"> شَافِعٌ يَوْمَ الْقِيَامَةِ لِأَرْبَعَةِ أَصْنَافٍ وَلَوْ جَاؤُوا بِذُنُوبِ أَهْلِ </w:t>
      </w:r>
      <w:r w:rsidRPr="00A91B96">
        <w:rPr>
          <w:rStyle w:val="libFootnotenumChar"/>
          <w:rtl/>
        </w:rPr>
        <w:t>(6)</w:t>
      </w:r>
      <w:r w:rsidRPr="00020424">
        <w:rPr>
          <w:rtl/>
          <w:lang w:bidi="fa-IR"/>
        </w:rPr>
        <w:t xml:space="preserve"> الدُّنْيَا : رَجُلٌ نَصَرَ ذُرِّيَّتِي ، وَرَجُلٌ بَذَلَ مَالَهُ لِذُرِّيَّتِي عِنْدَ الْضِّيقِ </w:t>
      </w:r>
      <w:r w:rsidRPr="00A91B96">
        <w:rPr>
          <w:rStyle w:val="libFootnotenumChar"/>
          <w:rtl/>
        </w:rPr>
        <w:t>(7)</w:t>
      </w:r>
      <w:r w:rsidRPr="00020424">
        <w:rPr>
          <w:rtl/>
          <w:lang w:bidi="fa-IR"/>
        </w:rPr>
        <w:t xml:space="preserve"> ، وَرَجُلٌ أَحَبَّ ذُرِّيَّتِي بِاللِّسَانِ وَبِالْقَلْبِ </w:t>
      </w:r>
      <w:r w:rsidRPr="00A91B96">
        <w:rPr>
          <w:rStyle w:val="libFootnotenumChar"/>
          <w:rtl/>
        </w:rPr>
        <w:t>(8)</w:t>
      </w:r>
      <w:r w:rsidRPr="00020424">
        <w:rPr>
          <w:rtl/>
          <w:lang w:bidi="fa-IR"/>
        </w:rPr>
        <w:t xml:space="preserve"> ، وَرَجُلٌ سَعى </w:t>
      </w:r>
      <w:r w:rsidRPr="00A91B96">
        <w:rPr>
          <w:rStyle w:val="libFootnotenumChar"/>
          <w:rtl/>
        </w:rPr>
        <w:t>(9)</w:t>
      </w:r>
      <w:r w:rsidRPr="00020424">
        <w:rPr>
          <w:rtl/>
          <w:lang w:bidi="fa-IR"/>
        </w:rPr>
        <w:t xml:space="preserve"> فِي حَوَائِجِ ذُرِّيَّتِي‌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اليد : النعمة والإحسان تصطنعه والمنّة والصنيعة ، وإنّما سمّيت يداً لأنّها إنّما تكون بالإعطاء. والإعطاء : إنالة اليد. راجع : </w:t>
      </w:r>
      <w:r w:rsidR="00992664" w:rsidRPr="0012008A">
        <w:rPr>
          <w:rStyle w:val="libFootnoteBoldChar"/>
          <w:rtl/>
        </w:rPr>
        <w:t>الصحاح</w:t>
      </w:r>
      <w:r w:rsidR="00992664" w:rsidRPr="00020424">
        <w:rPr>
          <w:rtl/>
        </w:rPr>
        <w:t xml:space="preserve"> ، ج 6 ، ص 2540 ؛ </w:t>
      </w:r>
      <w:r w:rsidR="00992664" w:rsidRPr="00A722B1">
        <w:rPr>
          <w:rStyle w:val="libFootnoteBoldChar"/>
          <w:rtl/>
        </w:rPr>
        <w:t>لسان العرب</w:t>
      </w:r>
      <w:r w:rsidR="00992664" w:rsidRPr="00020424">
        <w:rPr>
          <w:rtl/>
        </w:rPr>
        <w:t xml:space="preserve"> ، ج 15 ، ص 419 ( يدى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ى ، بح ، بس » : + « به</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كافأته به » بدل « كافيته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110 ، ح 322 ، معلّقاً عن الكليني. </w:t>
      </w:r>
      <w:r w:rsidR="00D64ADA" w:rsidRPr="00D64ADA">
        <w:rPr>
          <w:rStyle w:val="libFootnoteBoldChar"/>
          <w:rtl/>
        </w:rPr>
        <w:t>المحاسن</w:t>
      </w:r>
      <w:r w:rsidR="00992664" w:rsidRPr="00020424">
        <w:rPr>
          <w:rtl/>
        </w:rPr>
        <w:t xml:space="preserve"> ، ص 63 ، </w:t>
      </w:r>
      <w:r w:rsidR="00992664" w:rsidRPr="00210C4D">
        <w:rPr>
          <w:rStyle w:val="libFootnoteBoldChar"/>
          <w:rtl/>
        </w:rPr>
        <w:t>كتاب ث</w:t>
      </w:r>
      <w:r w:rsidR="00992664" w:rsidRPr="0012008A">
        <w:rPr>
          <w:rStyle w:val="libFootnoteBoldChar"/>
          <w:rtl/>
        </w:rPr>
        <w:t>واب الأعمال</w:t>
      </w:r>
      <w:r w:rsidR="00992664" w:rsidRPr="00020424">
        <w:rPr>
          <w:rtl/>
        </w:rPr>
        <w:t xml:space="preserve"> ، ح 111 ، بسنده عن عيسى بن عبدالله العلوي ، عن أبيه ، عن جدّه ، عن عليّ بن أبي طالب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587829">
        <w:rPr>
          <w:rStyle w:val="libFootnoteBoldChar"/>
          <w:rtl/>
        </w:rPr>
        <w:t>الأمالي للصدوق</w:t>
      </w:r>
      <w:r w:rsidR="00992664" w:rsidRPr="00020424">
        <w:rPr>
          <w:rtl/>
        </w:rPr>
        <w:t xml:space="preserve"> ، ص 399 ، المجلس 62 ، ح 14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439 ، المجلس 15 ، ح 41 ، بسند آخر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w:t>
      </w:r>
      <w:r w:rsidR="00992664" w:rsidRPr="00DE76B9">
        <w:rPr>
          <w:rStyle w:val="libFootnoteBoldChar"/>
          <w:rtl/>
        </w:rPr>
        <w:t>تفسير فرات</w:t>
      </w:r>
      <w:r w:rsidR="00992664" w:rsidRPr="00020424">
        <w:rPr>
          <w:rtl/>
        </w:rPr>
        <w:t xml:space="preserve"> ، ص 311 ، ضمن ح 417 ، بسند آخر عن عليّ بن أبي طالب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267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210C4D">
        <w:rPr>
          <w:rFonts w:hint="cs"/>
          <w:rtl/>
        </w:rPr>
        <w:t>.</w:t>
      </w:r>
      <w:r w:rsidR="00992664" w:rsidRPr="0012008A">
        <w:rPr>
          <w:rStyle w:val="libFootnoteBoldChar"/>
          <w:rtl/>
        </w:rPr>
        <w:t>الوافي</w:t>
      </w:r>
      <w:r w:rsidR="00992664" w:rsidRPr="00020424">
        <w:rPr>
          <w:rtl/>
        </w:rPr>
        <w:t xml:space="preserve"> ، ج 10 ، ص 363 ، ح 9705 ؛ </w:t>
      </w:r>
      <w:r w:rsidR="00992664" w:rsidRPr="0012008A">
        <w:rPr>
          <w:rStyle w:val="libFootnoteBoldChar"/>
          <w:rtl/>
        </w:rPr>
        <w:t>الوسائل</w:t>
      </w:r>
      <w:r w:rsidR="00992664" w:rsidRPr="00020424">
        <w:rPr>
          <w:rtl/>
        </w:rPr>
        <w:t xml:space="preserve"> ، ج 16 ، ص 332 ، ح 21689.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بح » : « عنه » بدون الواو. وفي « بث ، بخ ، بر » : « وأحمد</w:t>
      </w:r>
      <w:r w:rsidR="00992664">
        <w:rPr>
          <w:rtl/>
        </w:rPr>
        <w:t xml:space="preserve"> ».</w:t>
      </w:r>
    </w:p>
    <w:p w:rsidR="00992664" w:rsidRPr="00020424" w:rsidRDefault="00992664" w:rsidP="00210C4D">
      <w:pPr>
        <w:pStyle w:val="libFootnote0"/>
        <w:rPr>
          <w:rtl/>
          <w:lang w:bidi="fa-IR"/>
        </w:rPr>
      </w:pPr>
      <w:r w:rsidRPr="00210C4D">
        <w:rPr>
          <w:rtl/>
        </w:rPr>
        <w:t xml:space="preserve">ثمّ إنّ الضمير راجع إلى أحمد بن أبي عبد الله المذكور في السند السابق. هذا ، وقد ورد الخبر في </w:t>
      </w:r>
      <w:r w:rsidRPr="0012008A">
        <w:rPr>
          <w:rStyle w:val="libFootnoteBoldChar"/>
          <w:rtl/>
        </w:rPr>
        <w:t>التهذيب</w:t>
      </w:r>
      <w:r w:rsidRPr="00210C4D">
        <w:rPr>
          <w:rtl/>
        </w:rPr>
        <w:t xml:space="preserve"> ، ج 4 ، ص 111 ، ح 323 ، نقلاً من المصنّف عن عليّ بن إبراهيم ، عن أبيه ، عن بعض أصحابنا إلخ. لكن الظاهر أنّ سند </w:t>
      </w:r>
      <w:r w:rsidRPr="0012008A">
        <w:rPr>
          <w:rStyle w:val="libFootnoteBoldChar"/>
          <w:rtl/>
        </w:rPr>
        <w:t>التهذيب</w:t>
      </w:r>
      <w:r w:rsidR="00210C4D">
        <w:rPr>
          <w:rtl/>
        </w:rPr>
        <w:t xml:space="preserve"> نفس سندنا هذا ، إل</w:t>
      </w:r>
      <w:r w:rsidR="00210C4D">
        <w:rPr>
          <w:rFonts w:hint="cs"/>
          <w:rtl/>
        </w:rPr>
        <w:t>ّ</w:t>
      </w:r>
      <w:r w:rsidR="00210C4D">
        <w:rPr>
          <w:rtl/>
        </w:rPr>
        <w:t>ا</w:t>
      </w:r>
      <w:r w:rsidRPr="00210C4D">
        <w:rPr>
          <w:rFonts w:hint="cs"/>
          <w:rtl/>
        </w:rPr>
        <w:t xml:space="preserve"> </w:t>
      </w:r>
      <w:r w:rsidRPr="00210C4D">
        <w:rPr>
          <w:rtl/>
        </w:rPr>
        <w:t>أنّه صحّف فيه « عنه » ب</w:t>
      </w:r>
      <w:r w:rsidR="00210C4D">
        <w:rPr>
          <w:rFonts w:hint="cs"/>
          <w:rtl/>
        </w:rPr>
        <w:t>ـ</w:t>
      </w:r>
      <w:r w:rsidRPr="00210C4D">
        <w:rPr>
          <w:rtl/>
        </w:rPr>
        <w:t xml:space="preserve"> « عليّ » فزيدت « بن إبراهيم » تفسيراً لعليّ ، ثمّ ا</w:t>
      </w:r>
      <w:r w:rsidR="00210C4D">
        <w:rPr>
          <w:rFonts w:hint="cs"/>
          <w:rtl/>
        </w:rPr>
        <w:t>ُ</w:t>
      </w:r>
      <w:r w:rsidRPr="00210C4D">
        <w:rPr>
          <w:rtl/>
        </w:rPr>
        <w:t>درجت في المتن بتخيّل سقوطها منه.</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w:t>
      </w:r>
      <w:r w:rsidR="00992664" w:rsidRPr="00210C4D">
        <w:rPr>
          <w:rtl/>
        </w:rPr>
        <w:t>والوسائل</w:t>
      </w:r>
      <w:r w:rsidR="00992664" w:rsidRPr="00020424">
        <w:rPr>
          <w:rtl/>
        </w:rPr>
        <w:t xml:space="preserve"> : « أنا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بخ ، بر ، بف ، بك » :</w:t>
      </w:r>
      <w:r w:rsidR="00992664">
        <w:rPr>
          <w:rtl/>
        </w:rPr>
        <w:t xml:space="preserve"> </w:t>
      </w:r>
      <w:r w:rsidR="009B673F">
        <w:rPr>
          <w:rtl/>
        </w:rPr>
        <w:t>-</w:t>
      </w:r>
      <w:r w:rsidR="00992664">
        <w:rPr>
          <w:rtl/>
        </w:rPr>
        <w:t xml:space="preserve"> </w:t>
      </w:r>
      <w:r w:rsidR="00992664" w:rsidRPr="00020424">
        <w:rPr>
          <w:rtl/>
        </w:rPr>
        <w:t>« أهل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بخ ، بر ، بس ، بف ، بك » وحاشية « بث » </w:t>
      </w:r>
      <w:r w:rsidR="00992664" w:rsidRPr="00166416">
        <w:rPr>
          <w:rtl/>
        </w:rPr>
        <w:t>والوافي والوسائل والفقيه والتهذيب والمقنعة.</w:t>
      </w:r>
      <w:r w:rsidR="00992664" w:rsidRPr="00020424">
        <w:rPr>
          <w:rtl/>
        </w:rPr>
        <w:t xml:space="preserve"> وفي</w:t>
      </w:r>
      <w:r w:rsidR="00166416">
        <w:rPr>
          <w:rFonts w:hint="cs"/>
          <w:rtl/>
        </w:rPr>
        <w:t xml:space="preserve"> </w:t>
      </w:r>
      <w:r w:rsidR="00992664" w:rsidRPr="00020424">
        <w:rPr>
          <w:rtl/>
        </w:rPr>
        <w:t>‌سائر النسخ والمطبوع : « المضيق</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بخ ، بر ، بك » </w:t>
      </w:r>
      <w:r w:rsidR="00992664" w:rsidRPr="00166416">
        <w:rPr>
          <w:rtl/>
        </w:rPr>
        <w:t>والوافي والوسائل والفقيه والتهذيب</w:t>
      </w:r>
      <w:r w:rsidR="00992664" w:rsidRPr="00020424">
        <w:rPr>
          <w:rtl/>
        </w:rPr>
        <w:t xml:space="preserve"> : « والقلب</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ظ ، بث ، بخ ، بر ، بك ، جن » </w:t>
      </w:r>
      <w:r w:rsidR="00992664" w:rsidRPr="00166416">
        <w:rPr>
          <w:rtl/>
        </w:rPr>
        <w:t>والوافي والوسائل والفقيه والتهذيب والمقنعة.</w:t>
      </w:r>
      <w:r w:rsidR="00992664" w:rsidRPr="00020424">
        <w:rPr>
          <w:rtl/>
        </w:rPr>
        <w:t xml:space="preserve"> وفي سائر النسخ والمطبوع : « يسعى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66416">
      <w:pPr>
        <w:pStyle w:val="libNormal0"/>
        <w:rPr>
          <w:rtl/>
          <w:lang w:bidi="fa-IR"/>
        </w:rPr>
      </w:pPr>
      <w:r w:rsidRPr="00020424">
        <w:rPr>
          <w:rtl/>
          <w:lang w:bidi="fa-IR"/>
        </w:rPr>
        <w:t xml:space="preserve">إِذَا طُرِدُوا أَوْ شُرِّدُوا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16692">
        <w:rPr>
          <w:rtl/>
        </w:rPr>
        <w:t>6246</w:t>
      </w:r>
      <w:r w:rsidRPr="001155DE">
        <w:rPr>
          <w:rStyle w:val="libBold2Char"/>
          <w:rtl/>
        </w:rPr>
        <w:t xml:space="preserve"> / 10.</w:t>
      </w:r>
      <w:r w:rsidRPr="00020424">
        <w:rPr>
          <w:rtl/>
          <w:lang w:bidi="fa-IR"/>
        </w:rPr>
        <w:t xml:space="preserve"> مُحَمَّدُ بْنُ يَحْيى ، عَنْ مُحَمَّدِ بْنِ الْحُسَيْنِ ، عَنْ مُحَمَّدِ بْنِ إِسْمَاعِيلَ ، عَنْ ثَعْلَبَةَ بْنِ مَيْمُونٍ ، قَالَ :</w:t>
      </w:r>
    </w:p>
    <w:p w:rsidR="00992664" w:rsidRPr="00020424" w:rsidRDefault="00992664" w:rsidP="00992664">
      <w:pPr>
        <w:pStyle w:val="libNormal"/>
        <w:rPr>
          <w:rtl/>
          <w:lang w:bidi="fa-IR"/>
        </w:rPr>
      </w:pPr>
      <w:r w:rsidRPr="00020424">
        <w:rPr>
          <w:rtl/>
          <w:lang w:bidi="fa-IR"/>
        </w:rPr>
        <w:t xml:space="preserve">كَانَ أَبُو عَبْدِ اللهِ </w:t>
      </w:r>
      <w:r w:rsidRPr="00005A81">
        <w:rPr>
          <w:rStyle w:val="libAlaemChar"/>
          <w:rtl/>
        </w:rPr>
        <w:t>عليه‌السلام</w:t>
      </w:r>
      <w:r w:rsidRPr="00020424">
        <w:rPr>
          <w:rtl/>
          <w:lang w:bidi="fa-IR"/>
        </w:rPr>
        <w:t xml:space="preserve"> يَسْأَلُ شِهَاباً </w:t>
      </w:r>
      <w:r w:rsidRPr="00A91B96">
        <w:rPr>
          <w:rStyle w:val="libFootnotenumChar"/>
          <w:rtl/>
        </w:rPr>
        <w:t>(3)</w:t>
      </w:r>
      <w:r w:rsidRPr="00020424">
        <w:rPr>
          <w:rtl/>
          <w:lang w:bidi="fa-IR"/>
        </w:rPr>
        <w:t xml:space="preserve"> مِنْ زَكَاتِهِ لِمَوَالِيهِ ، وَإِنَّمَا حُرِّمَتِ الزَّكَاةُ عَلَيْهِمْ </w:t>
      </w:r>
      <w:r w:rsidRPr="00A91B96">
        <w:rPr>
          <w:rStyle w:val="libFootnotenumChar"/>
          <w:rtl/>
        </w:rPr>
        <w:t>(4)</w:t>
      </w:r>
      <w:r w:rsidRPr="00020424">
        <w:rPr>
          <w:rtl/>
          <w:lang w:bidi="fa-IR"/>
        </w:rPr>
        <w:t xml:space="preserve"> دُونَ مَوَالِيهِمْ.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286" w:name="_Toc345172812"/>
      <w:bookmarkStart w:id="287" w:name="_Toc464562628"/>
      <w:bookmarkStart w:id="288" w:name="_Toc44599931"/>
      <w:r w:rsidRPr="00020424">
        <w:rPr>
          <w:rtl/>
          <w:lang w:bidi="fa-IR"/>
        </w:rPr>
        <w:t>90</w:t>
      </w:r>
      <w:r>
        <w:rPr>
          <w:rtl/>
          <w:lang w:bidi="fa-IR"/>
        </w:rPr>
        <w:t xml:space="preserve"> </w:t>
      </w:r>
      <w:r w:rsidR="009B673F">
        <w:rPr>
          <w:rtl/>
          <w:lang w:bidi="fa-IR"/>
        </w:rPr>
        <w:t>-</w:t>
      </w:r>
      <w:r>
        <w:rPr>
          <w:rtl/>
          <w:lang w:bidi="fa-IR"/>
        </w:rPr>
        <w:t xml:space="preserve"> </w:t>
      </w:r>
      <w:r w:rsidRPr="00020424">
        <w:rPr>
          <w:rtl/>
          <w:lang w:bidi="fa-IR"/>
        </w:rPr>
        <w:t xml:space="preserve">بَابُ النَّوَادِرِ </w:t>
      </w:r>
      <w:r w:rsidRPr="00A91B96">
        <w:rPr>
          <w:rStyle w:val="libFootnotenumChar"/>
          <w:rtl/>
        </w:rPr>
        <w:t>(6)</w:t>
      </w:r>
      <w:r w:rsidRPr="00020424">
        <w:rPr>
          <w:rtl/>
          <w:lang w:bidi="fa-IR"/>
        </w:rPr>
        <w:t xml:space="preserve"> ‌</w:t>
      </w:r>
      <w:bookmarkEnd w:id="286"/>
      <w:bookmarkEnd w:id="287"/>
      <w:bookmarkEnd w:id="288"/>
    </w:p>
    <w:p w:rsidR="00992664" w:rsidRPr="00020424" w:rsidRDefault="00992664" w:rsidP="00992664">
      <w:pPr>
        <w:pStyle w:val="libNormal"/>
        <w:rPr>
          <w:rtl/>
          <w:lang w:bidi="fa-IR"/>
        </w:rPr>
      </w:pPr>
      <w:r w:rsidRPr="00016692">
        <w:rPr>
          <w:rtl/>
        </w:rPr>
        <w:t>6247</w:t>
      </w:r>
      <w:r w:rsidRPr="001155DE">
        <w:rPr>
          <w:rStyle w:val="libBold2Char"/>
          <w:rtl/>
        </w:rPr>
        <w:t xml:space="preserve"> / 1.</w:t>
      </w:r>
      <w:r w:rsidRPr="00020424">
        <w:rPr>
          <w:rtl/>
          <w:lang w:bidi="fa-IR"/>
        </w:rPr>
        <w:t xml:space="preserve"> عَلِيُّ بْنُ إِبْرَاهِيمَ ، عَنْ أَبِيهِ ، عَنِ ابْنِ فَضَّالٍ ، عَنِ ابْنِ بُكَيْرٍ ، عَنْ رَجُلٍ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قَوْلِهِ عَزَّ وَجَلَّ : </w:t>
      </w:r>
      <w:r w:rsidRPr="00005A81">
        <w:rPr>
          <w:rStyle w:val="libAlaemChar"/>
          <w:rtl/>
        </w:rPr>
        <w:t>(</w:t>
      </w:r>
      <w:r w:rsidRPr="004E5AB4">
        <w:rPr>
          <w:rStyle w:val="libAieChar"/>
          <w:rtl/>
        </w:rPr>
        <w:t xml:space="preserve"> إِنْ تُبْدُوا الصَّدَقاتِ فَنِعِمّا هِيَ </w:t>
      </w:r>
      <w:r w:rsidRPr="00005A81">
        <w:rPr>
          <w:rStyle w:val="libAlaemChar"/>
          <w:rtl/>
        </w:rPr>
        <w:t>)</w:t>
      </w:r>
      <w:r w:rsidRPr="00020424">
        <w:rPr>
          <w:rtl/>
          <w:lang w:bidi="fa-IR"/>
        </w:rPr>
        <w:t xml:space="preserve"> قَالَ : « يَعْنِي </w:t>
      </w:r>
      <w:r w:rsidRPr="00A91B96">
        <w:rPr>
          <w:rStyle w:val="libFootnotenumChar"/>
          <w:rtl/>
        </w:rPr>
        <w:t>(7)</w:t>
      </w:r>
      <w:r w:rsidRPr="00020424">
        <w:rPr>
          <w:rtl/>
          <w:lang w:bidi="fa-IR"/>
        </w:rPr>
        <w:t xml:space="preserve"> الزَّكَاةَ الْمَفْرُوضَةَ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w:t>
      </w:r>
      <w:r w:rsidRPr="00005A81">
        <w:rPr>
          <w:rStyle w:val="libAlaemChar"/>
          <w:rtl/>
        </w:rPr>
        <w:t>(</w:t>
      </w:r>
      <w:r w:rsidRPr="004E5AB4">
        <w:rPr>
          <w:rStyle w:val="libAieChar"/>
          <w:rtl/>
        </w:rPr>
        <w:t xml:space="preserve"> وَإِنْ تُخْفُوها وَتُؤْتُوهَا الْفُقَراءَ </w:t>
      </w:r>
      <w:r w:rsidRPr="00005A81">
        <w:rPr>
          <w:rStyle w:val="libAlaemChar"/>
          <w:rtl/>
        </w:rPr>
        <w:t>)</w:t>
      </w:r>
      <w:r w:rsidRPr="00020424">
        <w:rPr>
          <w:rtl/>
          <w:lang w:bidi="fa-IR"/>
        </w:rPr>
        <w:t xml:space="preserve">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(9)</w:t>
      </w:r>
      <w:r w:rsidRPr="00020424">
        <w:rPr>
          <w:rtl/>
          <w:lang w:bidi="fa-IR"/>
        </w:rPr>
        <w:t xml:space="preserve"> : « يَعْنِي النَّافِلَةَ ؛ إِنَّهُمْ كَانُوا يَسْتَحِبُّونَ إِظْهَارَ الْفَرَائِضِ ، وَكِتْمَانَ النَّوَافِلِ</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w:t>
      </w:r>
      <w:r w:rsidR="00992664" w:rsidRPr="00166416">
        <w:rPr>
          <w:rtl/>
        </w:rPr>
        <w:t>والتهذيب والمقنعة</w:t>
      </w:r>
      <w:r w:rsidR="00992664" w:rsidRPr="00020424">
        <w:rPr>
          <w:rtl/>
        </w:rPr>
        <w:t xml:space="preserve"> : « وشرّدوا</w:t>
      </w:r>
      <w:r w:rsidR="00992664">
        <w:rPr>
          <w:rtl/>
        </w:rPr>
        <w:t xml:space="preserve"> ».</w:t>
      </w:r>
      <w:r w:rsidR="00992664" w:rsidRPr="00020424">
        <w:rPr>
          <w:rtl/>
        </w:rPr>
        <w:t xml:space="preserve"> والتشريد : الطرد والتفريق. راجع : </w:t>
      </w:r>
      <w:r w:rsidR="00992664" w:rsidRPr="0012008A">
        <w:rPr>
          <w:rStyle w:val="libFootnoteBoldChar"/>
          <w:rtl/>
        </w:rPr>
        <w:t>الصحاح</w:t>
      </w:r>
      <w:r w:rsidR="00166416">
        <w:rPr>
          <w:rtl/>
        </w:rPr>
        <w:t xml:space="preserve"> ، ج 2 ، ص 494</w:t>
      </w:r>
      <w:r w:rsidR="00992664" w:rsidRPr="00020424">
        <w:rPr>
          <w:rtl/>
        </w:rPr>
        <w:t xml:space="preserve">؛ </w:t>
      </w:r>
      <w:r w:rsidR="00992664" w:rsidRPr="00A722B1">
        <w:rPr>
          <w:rStyle w:val="libFootnoteBoldChar"/>
          <w:rtl/>
        </w:rPr>
        <w:t>القاموس المحيط</w:t>
      </w:r>
      <w:r w:rsidR="00992664" w:rsidRPr="00020424">
        <w:rPr>
          <w:rtl/>
        </w:rPr>
        <w:t xml:space="preserve"> ، ج 1 ، ص 425 ( شرد )</w:t>
      </w:r>
      <w:r w:rsidR="00992664">
        <w:rPr>
          <w:rtl/>
        </w:rPr>
        <w:t>.</w:t>
      </w:r>
    </w:p>
    <w:p w:rsidR="00992664" w:rsidRPr="00020424" w:rsidRDefault="00795177" w:rsidP="00166416">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111 ، ح 323 ، معلّقاً عن الكليني. </w:t>
      </w:r>
      <w:r w:rsidR="00992664" w:rsidRPr="0012008A">
        <w:rPr>
          <w:rStyle w:val="libFootnoteBoldChar"/>
          <w:rtl/>
        </w:rPr>
        <w:t>الفقيه</w:t>
      </w:r>
      <w:r w:rsidR="00992664" w:rsidRPr="00020424">
        <w:rPr>
          <w:rtl/>
        </w:rPr>
        <w:t xml:space="preserve"> ، ج 2 ، ص 65 ، ح 1726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267 ، مرسلاً عن النبيّ </w:t>
      </w:r>
      <w:r w:rsidR="00992664" w:rsidRPr="00D64ADA">
        <w:rPr>
          <w:rStyle w:val="libFootnoteAlaemChar"/>
          <w:rtl/>
        </w:rPr>
        <w:t>عليه‌السلام</w:t>
      </w:r>
      <w:r w:rsidR="00992664" w:rsidRPr="00020424">
        <w:rPr>
          <w:rtl/>
        </w:rPr>
        <w:t xml:space="preserve"> </w:t>
      </w:r>
      <w:r w:rsidR="00166416">
        <w:rPr>
          <w:rFonts w:hint="cs"/>
          <w:rtl/>
        </w:rPr>
        <w:t>.</w:t>
      </w:r>
      <w:r w:rsidR="00992664" w:rsidRPr="0012008A">
        <w:rPr>
          <w:rStyle w:val="libFootnoteBoldChar"/>
          <w:rtl/>
        </w:rPr>
        <w:t>الوافي</w:t>
      </w:r>
      <w:r w:rsidR="00992664" w:rsidRPr="00020424">
        <w:rPr>
          <w:rtl/>
        </w:rPr>
        <w:t xml:space="preserve"> ، ج 10 ، ص 364 ، ح 9706 ؛ </w:t>
      </w:r>
      <w:r w:rsidR="00992664" w:rsidRPr="0012008A">
        <w:rPr>
          <w:rStyle w:val="libFootnoteBoldChar"/>
          <w:rtl/>
        </w:rPr>
        <w:t>الوسائل</w:t>
      </w:r>
      <w:r w:rsidR="00992664" w:rsidRPr="00020424">
        <w:rPr>
          <w:rtl/>
        </w:rPr>
        <w:t xml:space="preserve"> ، ج 16 ، ص 332 ، ح 21690.</w:t>
      </w:r>
      <w:r w:rsidR="00166416">
        <w:rPr>
          <w:rFonts w:hint="cs"/>
          <w:rtl/>
        </w:rPr>
        <w:t xml:space="preserve">  </w:t>
      </w:r>
      <w:r>
        <w:rPr>
          <w:rtl/>
        </w:rPr>
        <w:t>(3).</w:t>
      </w:r>
      <w:r w:rsidR="0014403D">
        <w:rPr>
          <w:rtl/>
        </w:rPr>
        <w:t xml:space="preserve"> </w:t>
      </w:r>
      <w:r w:rsidR="00992664" w:rsidRPr="00020424">
        <w:rPr>
          <w:rtl/>
        </w:rPr>
        <w:t>في هامش المطبوع : « يعني شهاب بن عبد ربّه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بف ، بك » </w:t>
      </w:r>
      <w:r w:rsidR="00992664" w:rsidRPr="00166416">
        <w:rPr>
          <w:rtl/>
        </w:rPr>
        <w:t>والوافي</w:t>
      </w:r>
      <w:r w:rsidR="00992664" w:rsidRPr="00020424">
        <w:rPr>
          <w:rtl/>
        </w:rPr>
        <w:t xml:space="preserve"> : « عليهم الزكاة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61 ، ح 163 ؛ </w:t>
      </w:r>
      <w:r w:rsidR="00992664" w:rsidRPr="00FD6221">
        <w:rPr>
          <w:rStyle w:val="libFootnoteBoldChar"/>
          <w:rtl/>
        </w:rPr>
        <w:t>والاستبصار</w:t>
      </w:r>
      <w:r w:rsidR="00992664" w:rsidRPr="00020424">
        <w:rPr>
          <w:rtl/>
        </w:rPr>
        <w:t xml:space="preserve"> ، ج 2 ، ص 37 ، ح 113 ، معلّقاً عن الكليني </w:t>
      </w:r>
      <w:r w:rsidR="00166416">
        <w:rPr>
          <w:rFonts w:hint="cs"/>
          <w:rtl/>
        </w:rPr>
        <w:t>.</w:t>
      </w:r>
      <w:r w:rsidR="00992664" w:rsidRPr="0012008A">
        <w:rPr>
          <w:rStyle w:val="libFootnoteBoldChar"/>
          <w:rtl/>
        </w:rPr>
        <w:t>الوافي</w:t>
      </w:r>
      <w:r w:rsidR="00992664" w:rsidRPr="00020424">
        <w:rPr>
          <w:rtl/>
        </w:rPr>
        <w:t xml:space="preserve"> ، ج 10 ، ص 198 ، ح 9431 ؛ </w:t>
      </w:r>
      <w:r w:rsidR="00992664" w:rsidRPr="0012008A">
        <w:rPr>
          <w:rStyle w:val="libFootnoteBoldChar"/>
          <w:rtl/>
        </w:rPr>
        <w:t>الوسائل</w:t>
      </w:r>
      <w:r w:rsidR="00992664" w:rsidRPr="00020424">
        <w:rPr>
          <w:rtl/>
        </w:rPr>
        <w:t xml:space="preserve"> ، ج 9 ، ص 278 ، ح 12015.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وحاشية « بث » : « باب نادر</w:t>
      </w:r>
      <w:r w:rsidR="00992664">
        <w:rPr>
          <w:rtl/>
        </w:rPr>
        <w:t xml:space="preserve"> ».</w:t>
      </w:r>
      <w:r w:rsidR="00992664" w:rsidRPr="00020424">
        <w:rPr>
          <w:rtl/>
        </w:rPr>
        <w:t xml:space="preserve"> وفي « بث ، بخ ، بر ، بس ، بك » ومرآة العقول : « باب نوادر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66416" w:rsidTr="00166416">
        <w:tc>
          <w:tcPr>
            <w:tcW w:w="4006" w:type="dxa"/>
          </w:tcPr>
          <w:p w:rsidR="00166416" w:rsidRDefault="00166416" w:rsidP="00992664">
            <w:pPr>
              <w:pStyle w:val="libFootnote0"/>
              <w:rPr>
                <w:rtl/>
              </w:rPr>
            </w:pPr>
            <w:r>
              <w:rPr>
                <w:rtl/>
              </w:rPr>
              <w:t xml:space="preserve">(7). </w:t>
            </w:r>
            <w:r w:rsidRPr="00020424">
              <w:rPr>
                <w:rtl/>
              </w:rPr>
              <w:t>في « ى » :</w:t>
            </w:r>
            <w:r>
              <w:rPr>
                <w:rtl/>
              </w:rPr>
              <w:t xml:space="preserve"> - </w:t>
            </w:r>
            <w:r w:rsidRPr="00020424">
              <w:rPr>
                <w:rtl/>
              </w:rPr>
              <w:t>« يعني</w:t>
            </w:r>
            <w:r>
              <w:rPr>
                <w:rtl/>
              </w:rPr>
              <w:t xml:space="preserve"> ».</w:t>
            </w:r>
          </w:p>
        </w:tc>
        <w:tc>
          <w:tcPr>
            <w:tcW w:w="4006" w:type="dxa"/>
          </w:tcPr>
          <w:p w:rsidR="00166416" w:rsidRDefault="00166416" w:rsidP="00992664">
            <w:pPr>
              <w:pStyle w:val="libFootnote0"/>
              <w:rPr>
                <w:rtl/>
              </w:rPr>
            </w:pPr>
            <w:r>
              <w:rPr>
                <w:rtl/>
              </w:rPr>
              <w:t xml:space="preserve">(8). </w:t>
            </w:r>
            <w:r w:rsidRPr="00020424">
              <w:rPr>
                <w:rtl/>
              </w:rPr>
              <w:t xml:space="preserve">البقرة </w:t>
            </w:r>
            <w:r>
              <w:rPr>
                <w:rtl/>
              </w:rPr>
              <w:t xml:space="preserve">(2) </w:t>
            </w:r>
            <w:r w:rsidRPr="00020424">
              <w:rPr>
                <w:rtl/>
              </w:rPr>
              <w:t>: 271.</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المقنعة</w:t>
      </w:r>
      <w:r w:rsidR="00992664" w:rsidRPr="00020424">
        <w:rPr>
          <w:rtl/>
        </w:rPr>
        <w:t xml:space="preserve"> ، ص 261 ، مرسلاً من دون التصريح باسم المعصوم </w:t>
      </w:r>
      <w:r w:rsidR="00992664" w:rsidRPr="00D64ADA">
        <w:rPr>
          <w:rStyle w:val="libFootnoteAlaemChar"/>
          <w:rtl/>
        </w:rPr>
        <w:t>عليه‌السلام</w:t>
      </w:r>
      <w:r w:rsidR="00992664" w:rsidRPr="00020424">
        <w:rPr>
          <w:rtl/>
        </w:rPr>
        <w:t xml:space="preserve"> ، إلى قوله : « يعني النافلة » مع اختلاف يسير </w:t>
      </w:r>
      <w:r w:rsidR="00166416">
        <w:rPr>
          <w:rFonts w:hint="cs"/>
          <w:rtl/>
        </w:rPr>
        <w:t>.</w:t>
      </w:r>
      <w:r w:rsidR="00992664" w:rsidRPr="0012008A">
        <w:rPr>
          <w:rStyle w:val="libFootnoteBoldChar"/>
          <w:rtl/>
        </w:rPr>
        <w:t>الوافي</w:t>
      </w:r>
      <w:r w:rsidR="00992664" w:rsidRPr="00020424">
        <w:rPr>
          <w:rtl/>
        </w:rPr>
        <w:t xml:space="preserve"> ، ج 10 ، ص 403 ، ح 9773 ؛ </w:t>
      </w:r>
      <w:r w:rsidR="00992664" w:rsidRPr="0012008A">
        <w:rPr>
          <w:rStyle w:val="libFootnoteBoldChar"/>
          <w:rtl/>
        </w:rPr>
        <w:t>الوسائل</w:t>
      </w:r>
      <w:r w:rsidR="00992664" w:rsidRPr="00020424">
        <w:rPr>
          <w:rtl/>
        </w:rPr>
        <w:t xml:space="preserve"> ، ج 9 ، ص 310 ، ح 12094.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16692">
        <w:rPr>
          <w:rtl/>
        </w:rPr>
        <w:t>6248</w:t>
      </w:r>
      <w:r w:rsidRPr="001155DE">
        <w:rPr>
          <w:rStyle w:val="libBold2Char"/>
          <w:rtl/>
        </w:rPr>
        <w:t xml:space="preserve"> / 2.</w:t>
      </w:r>
      <w:r w:rsidRPr="00020424">
        <w:rPr>
          <w:rtl/>
          <w:lang w:bidi="fa-IR"/>
        </w:rPr>
        <w:t xml:space="preserve"> عَلِيُّ بْنُ مُحَمَّدٍ ، عَمَّنْ حَدَّثَهُ ، عَنْ مُعَلَّى </w:t>
      </w:r>
      <w:r w:rsidRPr="00A91B96">
        <w:rPr>
          <w:rStyle w:val="libFootnotenumChar"/>
          <w:rtl/>
        </w:rPr>
        <w:t>(1)</w:t>
      </w:r>
      <w:r w:rsidRPr="00020424">
        <w:rPr>
          <w:rtl/>
          <w:lang w:bidi="fa-IR"/>
        </w:rPr>
        <w:t xml:space="preserve"> بْنِ عُبَيْدٍ ، عَنْ عَلِيِّ بْنِ أَبِي حَمْزَةَ ، عَنْ أَبِيهِ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سَأَلْتُهُ عَنِ الزَّكَاةِ تَجِبُ عَلَيَّ فِي مَوْضِعٍ </w:t>
      </w:r>
      <w:r w:rsidRPr="00A91B96">
        <w:rPr>
          <w:rStyle w:val="libFootnotenumChar"/>
          <w:rtl/>
        </w:rPr>
        <w:t>(2)</w:t>
      </w:r>
      <w:r w:rsidRPr="00020424">
        <w:rPr>
          <w:rtl/>
          <w:lang w:bidi="fa-IR"/>
        </w:rPr>
        <w:t xml:space="preserve"> لَايُمْكِنُنِي </w:t>
      </w:r>
      <w:r w:rsidRPr="00A91B96">
        <w:rPr>
          <w:rStyle w:val="libFootnotenumChar"/>
          <w:rtl/>
        </w:rPr>
        <w:t>(3)</w:t>
      </w:r>
      <w:r w:rsidRPr="00020424">
        <w:rPr>
          <w:rtl/>
          <w:lang w:bidi="fa-IR"/>
        </w:rPr>
        <w:t xml:space="preserve"> أَنْ أُؤَدِّيَهَا</w:t>
      </w:r>
      <w:r>
        <w:rPr>
          <w:rtl/>
          <w:lang w:bidi="fa-IR"/>
        </w:rPr>
        <w:t>؟</w:t>
      </w:r>
    </w:p>
    <w:p w:rsidR="00992664" w:rsidRPr="00020424" w:rsidRDefault="00992664" w:rsidP="00992664">
      <w:pPr>
        <w:pStyle w:val="libNormal"/>
        <w:rPr>
          <w:rtl/>
          <w:lang w:bidi="fa-IR"/>
        </w:rPr>
      </w:pPr>
      <w:r w:rsidRPr="00020424">
        <w:rPr>
          <w:rtl/>
          <w:lang w:bidi="fa-IR"/>
        </w:rPr>
        <w:t xml:space="preserve">قَالَ : « اعْزِلْهَا ، فَإِنِ اتَّجَرْتَ بِهَا ، فَأَنْتَ ضَامِنٌ لَهَا </w:t>
      </w:r>
      <w:r w:rsidRPr="00A91B96">
        <w:rPr>
          <w:rStyle w:val="libFootnotenumChar"/>
          <w:rtl/>
        </w:rPr>
        <w:t>(4)</w:t>
      </w:r>
      <w:r w:rsidRPr="00020424">
        <w:rPr>
          <w:rtl/>
          <w:lang w:bidi="fa-IR"/>
        </w:rPr>
        <w:t xml:space="preserve"> ، وَلَهَا الرِّبْحُ ، وَإِنْ تَوِيَتْ </w:t>
      </w:r>
      <w:r w:rsidRPr="00A91B96">
        <w:rPr>
          <w:rStyle w:val="libFootnotenumChar"/>
          <w:rtl/>
        </w:rPr>
        <w:t>(5)</w:t>
      </w:r>
      <w:r w:rsidRPr="00020424">
        <w:rPr>
          <w:rtl/>
          <w:lang w:bidi="fa-IR"/>
        </w:rPr>
        <w:t xml:space="preserve"> فِي حَالِ مَا عَزَلْتَهَا مِنْ غَيْرِ أَنْ تَشْغَلَهَا فِي تِجَارَةٍ ، فَلَيْسَ عَلَيْكَ ، وَإِنْ </w:t>
      </w:r>
      <w:r w:rsidRPr="00A91B96">
        <w:rPr>
          <w:rStyle w:val="libFootnotenumChar"/>
          <w:rtl/>
        </w:rPr>
        <w:t>(6)</w:t>
      </w:r>
      <w:r w:rsidRPr="00020424">
        <w:rPr>
          <w:rtl/>
          <w:lang w:bidi="fa-IR"/>
        </w:rPr>
        <w:t xml:space="preserve"> لَمْ تَعْزِلْهَا وَاتَّجَرْتَ </w:t>
      </w:r>
      <w:r w:rsidRPr="00A91B96">
        <w:rPr>
          <w:rStyle w:val="libFootnotenumChar"/>
          <w:rtl/>
        </w:rPr>
        <w:t>(7)</w:t>
      </w:r>
      <w:r w:rsidRPr="00020424">
        <w:rPr>
          <w:rtl/>
          <w:lang w:bidi="fa-IR"/>
        </w:rPr>
        <w:t xml:space="preserve"> بِهَا فِي جُمْلَةِ مَالِكَ ، فَلَهَا بِقِسْطِهَا مِنَ الرِّبْحِ ، وَلَاوَضِيعَةَ </w:t>
      </w:r>
      <w:r w:rsidRPr="00A91B96">
        <w:rPr>
          <w:rStyle w:val="libFootnotenumChar"/>
          <w:rtl/>
        </w:rPr>
        <w:t>(8)</w:t>
      </w:r>
      <w:r w:rsidRPr="00020424">
        <w:rPr>
          <w:rtl/>
          <w:lang w:bidi="fa-IR"/>
        </w:rPr>
        <w:t xml:space="preserve"> عَلَيْهَا</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16692">
        <w:rPr>
          <w:rtl/>
        </w:rPr>
        <w:t>6249</w:t>
      </w:r>
      <w:r w:rsidRPr="001155DE">
        <w:rPr>
          <w:rStyle w:val="libBold2Char"/>
          <w:rtl/>
        </w:rPr>
        <w:t xml:space="preserve"> / 3.</w:t>
      </w:r>
      <w:r w:rsidRPr="00020424">
        <w:rPr>
          <w:rtl/>
          <w:lang w:bidi="fa-IR"/>
        </w:rPr>
        <w:t xml:space="preserve"> عِدَّةٌ مِنْ أَصْحَابِنَا ، عَنْ أَحْمَدَ بْنِ أَبِي عَبْدِ اللهِ ، عَنْ مُحَمَّدِ بْنِ شُعَيْبٍ ، عَنِ الْحُسَيْنِ بْنِ الْحَسَنِ ، عَنْ </w:t>
      </w:r>
      <w:r w:rsidRPr="00A91B96">
        <w:rPr>
          <w:rStyle w:val="libFootnotenumChar"/>
          <w:rtl/>
        </w:rPr>
        <w:t>(10)</w:t>
      </w:r>
      <w:r w:rsidRPr="00020424">
        <w:rPr>
          <w:rtl/>
          <w:lang w:bidi="fa-IR"/>
        </w:rPr>
        <w:t xml:space="preserve"> عَاصِمٍ ، عَنْ يُونُسَ </w:t>
      </w:r>
      <w:r w:rsidRPr="00A91B96">
        <w:rPr>
          <w:rStyle w:val="libFootnotenumChar"/>
          <w:rtl/>
        </w:rPr>
        <w:t>(11)</w:t>
      </w:r>
      <w:r w:rsidRPr="00020424">
        <w:rPr>
          <w:rtl/>
          <w:lang w:bidi="fa-IR"/>
        </w:rPr>
        <w:t xml:space="preserve"> ، عَمَّنْ ذَكَرَهُ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66416">
        <w:rPr>
          <w:rtl/>
        </w:rPr>
        <w:t>الوسائل</w:t>
      </w:r>
      <w:r w:rsidR="00992664" w:rsidRPr="00020424">
        <w:rPr>
          <w:rtl/>
        </w:rPr>
        <w:t xml:space="preserve"> : « يعلى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بف » : « الموضع</w:t>
      </w:r>
      <w:r w:rsidR="00992664">
        <w:rPr>
          <w:rtl/>
        </w:rPr>
        <w:t xml:space="preserve"> ».</w:t>
      </w:r>
      <w:r w:rsidR="00992664" w:rsidRPr="00020424">
        <w:rPr>
          <w:rtl/>
        </w:rPr>
        <w:t xml:space="preserve"> وفي « بر ، بك » : « الموضع الذي</w:t>
      </w:r>
      <w:r w:rsidR="00992664">
        <w:rPr>
          <w:rtl/>
        </w:rPr>
        <w:t xml:space="preserve"> ».</w:t>
      </w:r>
      <w:r w:rsidR="00992664" w:rsidRPr="00020424">
        <w:rPr>
          <w:rtl/>
        </w:rPr>
        <w:t xml:space="preserve"> وفي « بس » : « مواضع</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44366" w:rsidTr="00844366">
        <w:tc>
          <w:tcPr>
            <w:tcW w:w="4006" w:type="dxa"/>
          </w:tcPr>
          <w:p w:rsidR="00844366" w:rsidRDefault="00844366" w:rsidP="00992664">
            <w:pPr>
              <w:pStyle w:val="libFootnote0"/>
              <w:rPr>
                <w:rtl/>
              </w:rPr>
            </w:pPr>
            <w:r>
              <w:rPr>
                <w:rtl/>
              </w:rPr>
              <w:t xml:space="preserve">(3). </w:t>
            </w:r>
            <w:r w:rsidRPr="00020424">
              <w:rPr>
                <w:rtl/>
              </w:rPr>
              <w:t xml:space="preserve">في </w:t>
            </w:r>
            <w:r w:rsidRPr="00844366">
              <w:rPr>
                <w:rtl/>
              </w:rPr>
              <w:t>الوسائل</w:t>
            </w:r>
            <w:r w:rsidRPr="00020424">
              <w:rPr>
                <w:rtl/>
              </w:rPr>
              <w:t xml:space="preserve"> : « لا تمكنني</w:t>
            </w:r>
            <w:r>
              <w:rPr>
                <w:rtl/>
              </w:rPr>
              <w:t xml:space="preserve"> ».</w:t>
            </w:r>
          </w:p>
        </w:tc>
        <w:tc>
          <w:tcPr>
            <w:tcW w:w="4006" w:type="dxa"/>
          </w:tcPr>
          <w:p w:rsidR="00844366" w:rsidRDefault="00844366" w:rsidP="00992664">
            <w:pPr>
              <w:pStyle w:val="libFootnote0"/>
              <w:rPr>
                <w:rtl/>
              </w:rPr>
            </w:pPr>
            <w:r>
              <w:rPr>
                <w:rtl/>
              </w:rPr>
              <w:t>(4). في «بح،بخ،بر،بف،بك</w:t>
            </w:r>
            <w:r w:rsidRPr="00020424">
              <w:rPr>
                <w:rtl/>
              </w:rPr>
              <w:t xml:space="preserve">» </w:t>
            </w:r>
            <w:r w:rsidRPr="00844366">
              <w:rPr>
                <w:rtl/>
              </w:rPr>
              <w:t>والوسائل</w:t>
            </w:r>
            <w:r w:rsidRPr="00020424">
              <w:rPr>
                <w:rtl/>
              </w:rPr>
              <w:t xml:space="preserve"> </w:t>
            </w:r>
            <w:r>
              <w:rPr>
                <w:rtl/>
              </w:rPr>
              <w:t>: «</w:t>
            </w:r>
            <w:r w:rsidRPr="00020424">
              <w:rPr>
                <w:rtl/>
              </w:rPr>
              <w:t>لها ضامن</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844366">
        <w:rPr>
          <w:rtl/>
        </w:rPr>
        <w:t>الوافي</w:t>
      </w:r>
      <w:r w:rsidR="00992664" w:rsidRPr="00020424">
        <w:rPr>
          <w:rtl/>
        </w:rPr>
        <w:t xml:space="preserve"> </w:t>
      </w:r>
      <w:r w:rsidR="00844366">
        <w:rPr>
          <w:rtl/>
        </w:rPr>
        <w:t>: « وإل</w:t>
      </w:r>
      <w:r w:rsidR="00844366">
        <w:rPr>
          <w:rFonts w:hint="cs"/>
          <w:rtl/>
        </w:rPr>
        <w:t>ّ</w:t>
      </w:r>
      <w:r w:rsidR="00844366">
        <w:rPr>
          <w:rtl/>
        </w:rPr>
        <w:t>ا</w:t>
      </w:r>
      <w:r w:rsidR="00844366">
        <w:rPr>
          <w:rFonts w:hint="cs"/>
          <w:rtl/>
        </w:rPr>
        <w:t xml:space="preserve"> </w:t>
      </w:r>
      <w:r w:rsidR="00992664" w:rsidRPr="00020424">
        <w:rPr>
          <w:rtl/>
        </w:rPr>
        <w:t xml:space="preserve">تويت » </w:t>
      </w:r>
      <w:r w:rsidR="00992664">
        <w:rPr>
          <w:rtl/>
        </w:rPr>
        <w:t>و «</w:t>
      </w:r>
      <w:r w:rsidR="00992664" w:rsidRPr="00020424">
        <w:rPr>
          <w:rtl/>
        </w:rPr>
        <w:t xml:space="preserve"> تَوِيَتْ » ، أي تلفت ، من التَّوى</w:t>
      </w:r>
      <w:r w:rsidR="00992664">
        <w:rPr>
          <w:rtl/>
        </w:rPr>
        <w:t xml:space="preserve"> </w:t>
      </w:r>
      <w:r w:rsidR="009B673F">
        <w:rPr>
          <w:rtl/>
        </w:rPr>
        <w:t>-</w:t>
      </w:r>
      <w:r w:rsidR="00992664">
        <w:rPr>
          <w:rtl/>
        </w:rPr>
        <w:t xml:space="preserve"> </w:t>
      </w:r>
      <w:r w:rsidR="00992664" w:rsidRPr="00020424">
        <w:rPr>
          <w:rtl/>
        </w:rPr>
        <w:t>وزان حصى</w:t>
      </w:r>
      <w:r w:rsidR="00992664">
        <w:rPr>
          <w:rtl/>
        </w:rPr>
        <w:t xml:space="preserve"> </w:t>
      </w:r>
      <w:r w:rsidR="009B673F">
        <w:rPr>
          <w:rtl/>
        </w:rPr>
        <w:t>-</w:t>
      </w:r>
      <w:r w:rsidR="00992664">
        <w:rPr>
          <w:rtl/>
        </w:rPr>
        <w:t xml:space="preserve"> </w:t>
      </w:r>
      <w:r w:rsidR="00992664" w:rsidRPr="00020424">
        <w:rPr>
          <w:rtl/>
        </w:rPr>
        <w:t xml:space="preserve">بمعنى الهلاك ، أو هلاك المال ، أو ذهاب مال لا يرجى. راجع : </w:t>
      </w:r>
      <w:r w:rsidR="00992664" w:rsidRPr="0012008A">
        <w:rPr>
          <w:rStyle w:val="libFootnoteBoldChar"/>
          <w:rtl/>
        </w:rPr>
        <w:t>الصحاح</w:t>
      </w:r>
      <w:r w:rsidR="00992664" w:rsidRPr="00020424">
        <w:rPr>
          <w:rtl/>
        </w:rPr>
        <w:t xml:space="preserve"> ، ج 6 ، ص 290 ؛ </w:t>
      </w:r>
      <w:r w:rsidR="00992664" w:rsidRPr="00A722B1">
        <w:rPr>
          <w:rStyle w:val="libFootnoteBoldChar"/>
          <w:rtl/>
        </w:rPr>
        <w:t>لسان العرب</w:t>
      </w:r>
      <w:r w:rsidR="00992664" w:rsidRPr="00020424">
        <w:rPr>
          <w:rtl/>
        </w:rPr>
        <w:t xml:space="preserve"> ، ج 14 ، ص 106 ( توى )</w:t>
      </w:r>
      <w:r w:rsidR="00992664">
        <w:rPr>
          <w:rtl/>
        </w:rPr>
        <w:t>.</w:t>
      </w:r>
    </w:p>
    <w:tbl>
      <w:tblPr>
        <w:tblStyle w:val="TableGrid"/>
        <w:bidiVisual/>
        <w:tblW w:w="0" w:type="auto"/>
        <w:tblLook w:val="04A0" w:firstRow="1" w:lastRow="0" w:firstColumn="1" w:lastColumn="0" w:noHBand="0" w:noVBand="1"/>
      </w:tblPr>
      <w:tblGrid>
        <w:gridCol w:w="4006"/>
        <w:gridCol w:w="4006"/>
      </w:tblGrid>
      <w:tr w:rsidR="00844366" w:rsidTr="00844366">
        <w:tc>
          <w:tcPr>
            <w:tcW w:w="4006" w:type="dxa"/>
          </w:tcPr>
          <w:p w:rsidR="00844366" w:rsidRDefault="00844366" w:rsidP="00992664">
            <w:pPr>
              <w:pStyle w:val="libFootnote0"/>
              <w:rPr>
                <w:rtl/>
              </w:rPr>
            </w:pPr>
            <w:r>
              <w:rPr>
                <w:rtl/>
              </w:rPr>
              <w:t xml:space="preserve">(6). </w:t>
            </w:r>
            <w:r w:rsidRPr="00020424">
              <w:rPr>
                <w:rtl/>
              </w:rPr>
              <w:t xml:space="preserve">في « بح ، بس » </w:t>
            </w:r>
            <w:r w:rsidRPr="00844366">
              <w:rPr>
                <w:rtl/>
              </w:rPr>
              <w:t>والوسائل</w:t>
            </w:r>
            <w:r w:rsidRPr="00020424">
              <w:rPr>
                <w:rtl/>
              </w:rPr>
              <w:t xml:space="preserve"> : « فإن</w:t>
            </w:r>
            <w:r>
              <w:rPr>
                <w:rtl/>
              </w:rPr>
              <w:t xml:space="preserve"> ».</w:t>
            </w:r>
          </w:p>
        </w:tc>
        <w:tc>
          <w:tcPr>
            <w:tcW w:w="4006" w:type="dxa"/>
          </w:tcPr>
          <w:p w:rsidR="00844366" w:rsidRDefault="00844366" w:rsidP="00992664">
            <w:pPr>
              <w:pStyle w:val="libFootnote0"/>
              <w:rPr>
                <w:rtl/>
              </w:rPr>
            </w:pPr>
            <w:r>
              <w:rPr>
                <w:rtl/>
              </w:rPr>
              <w:t>(7). في«بح</w:t>
            </w:r>
            <w:r w:rsidRPr="00020424">
              <w:rPr>
                <w:rtl/>
              </w:rPr>
              <w:t>»</w:t>
            </w:r>
            <w:r>
              <w:rPr>
                <w:rtl/>
              </w:rPr>
              <w:t>:«</w:t>
            </w:r>
            <w:r w:rsidRPr="00020424">
              <w:rPr>
                <w:rtl/>
              </w:rPr>
              <w:t>أو اتّجرت</w:t>
            </w:r>
            <w:r>
              <w:rPr>
                <w:rtl/>
              </w:rPr>
              <w:t>».</w:t>
            </w:r>
            <w:r w:rsidRPr="00020424">
              <w:rPr>
                <w:rtl/>
              </w:rPr>
              <w:t xml:space="preserve">وفي </w:t>
            </w:r>
            <w:r w:rsidRPr="00844366">
              <w:rPr>
                <w:rtl/>
              </w:rPr>
              <w:t>الوسائل</w:t>
            </w:r>
            <w:r w:rsidRPr="00020424">
              <w:rPr>
                <w:rtl/>
              </w:rPr>
              <w:t xml:space="preserve"> </w:t>
            </w:r>
            <w:r>
              <w:rPr>
                <w:rtl/>
              </w:rPr>
              <w:t>: «</w:t>
            </w:r>
            <w:r w:rsidRPr="00020424">
              <w:rPr>
                <w:rtl/>
              </w:rPr>
              <w:t>فاتّجرت</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الوَضيعة : هي الخسارة ؛ يقال : وُضِعَ في تجارته ، وا</w:t>
      </w:r>
      <w:r w:rsidR="00844366">
        <w:rPr>
          <w:rFonts w:hint="cs"/>
          <w:rtl/>
        </w:rPr>
        <w:t>ُ</w:t>
      </w:r>
      <w:r w:rsidR="00992664" w:rsidRPr="00020424">
        <w:rPr>
          <w:rtl/>
        </w:rPr>
        <w:t>وضِعَ و</w:t>
      </w:r>
      <w:r w:rsidR="00844366">
        <w:rPr>
          <w:rFonts w:hint="cs"/>
          <w:rtl/>
        </w:rPr>
        <w:t xml:space="preserve"> </w:t>
      </w:r>
      <w:r w:rsidR="00992664" w:rsidRPr="00020424">
        <w:rPr>
          <w:rtl/>
        </w:rPr>
        <w:t xml:space="preserve">وَضَعَ ، أي غُبِنَ وخَسِرَ فيها. راجع : </w:t>
      </w:r>
      <w:r w:rsidR="00992664" w:rsidRPr="0012008A">
        <w:rPr>
          <w:rStyle w:val="libFootnoteBoldChar"/>
          <w:rtl/>
        </w:rPr>
        <w:t>النهاية</w:t>
      </w:r>
      <w:r w:rsidR="00992664" w:rsidRPr="00020424">
        <w:rPr>
          <w:rtl/>
        </w:rPr>
        <w:t xml:space="preserve"> ، ج 5 ، ص 198 ؛ </w:t>
      </w:r>
      <w:r w:rsidR="00992664" w:rsidRPr="00A722B1">
        <w:rPr>
          <w:rStyle w:val="libFootnoteBoldChar"/>
          <w:rtl/>
        </w:rPr>
        <w:t>لسان العرب</w:t>
      </w:r>
      <w:r w:rsidR="00992664" w:rsidRPr="00020424">
        <w:rPr>
          <w:rtl/>
        </w:rPr>
        <w:t xml:space="preserve"> ، ج 8 ، ص 398 ( وضع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10 ، ص 139 ، ح 9319 ؛ </w:t>
      </w:r>
      <w:r w:rsidR="00992664" w:rsidRPr="0012008A">
        <w:rPr>
          <w:rStyle w:val="libFootnoteBoldChar"/>
          <w:rtl/>
        </w:rPr>
        <w:t>الوسائل</w:t>
      </w:r>
      <w:r w:rsidR="00992664" w:rsidRPr="00020424">
        <w:rPr>
          <w:rtl/>
        </w:rPr>
        <w:t xml:space="preserve"> ، ج 9 ، ص 307 ، ح 12089.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ى ، بح » وحاشية « ظ ، جن » </w:t>
      </w:r>
      <w:r w:rsidR="00992664" w:rsidRPr="00844366">
        <w:rPr>
          <w:rtl/>
        </w:rPr>
        <w:t>والوسائل</w:t>
      </w:r>
      <w:r w:rsidR="00992664" w:rsidRPr="00020424">
        <w:rPr>
          <w:rtl/>
        </w:rPr>
        <w:t xml:space="preserve"> : « بن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بف » وحاشية المطبوع </w:t>
      </w:r>
      <w:r w:rsidR="00992664" w:rsidRPr="00844366">
        <w:rPr>
          <w:rtl/>
        </w:rPr>
        <w:t>والوافي</w:t>
      </w:r>
      <w:r w:rsidR="00992664" w:rsidRPr="00020424">
        <w:rPr>
          <w:rtl/>
        </w:rPr>
        <w:t xml:space="preserve"> : « يوسف</w:t>
      </w:r>
      <w:r w:rsidR="00992664">
        <w:rPr>
          <w:rtl/>
        </w:rPr>
        <w:t xml:space="preserve"> ».</w:t>
      </w:r>
    </w:p>
    <w:p w:rsidR="00992664" w:rsidRPr="00020424" w:rsidRDefault="00992664" w:rsidP="00992664">
      <w:pPr>
        <w:pStyle w:val="libFootnote0"/>
        <w:rPr>
          <w:rtl/>
          <w:lang w:bidi="fa-IR"/>
        </w:rPr>
      </w:pPr>
      <w:r w:rsidRPr="00844366">
        <w:rPr>
          <w:rtl/>
        </w:rPr>
        <w:t xml:space="preserve">هذا ، وروى البرقي في </w:t>
      </w:r>
      <w:r w:rsidR="00D64ADA" w:rsidRPr="00D64ADA">
        <w:rPr>
          <w:rStyle w:val="libFootnoteBoldChar"/>
          <w:rtl/>
        </w:rPr>
        <w:t>المحاسن</w:t>
      </w:r>
      <w:r w:rsidRPr="00844366">
        <w:rPr>
          <w:rtl/>
        </w:rPr>
        <w:t xml:space="preserve"> ، ج 2 ، ص 500 ، ح 623 ، عن نوح بن شعيب ، عن الحسين بن الحسن بن عاصم بن يونس </w:t>
      </w:r>
      <w:r w:rsidR="009B673F" w:rsidRPr="00844366">
        <w:rPr>
          <w:rtl/>
        </w:rPr>
        <w:t>-</w:t>
      </w:r>
      <w:r w:rsidRPr="00844366">
        <w:rPr>
          <w:rtl/>
        </w:rPr>
        <w:t xml:space="preserve"> وفي </w:t>
      </w:r>
      <w:r w:rsidRPr="0012008A">
        <w:rPr>
          <w:rStyle w:val="libFootnoteBoldChar"/>
          <w:rtl/>
        </w:rPr>
        <w:t>البحار</w:t>
      </w:r>
      <w:r w:rsidRPr="00844366">
        <w:rPr>
          <w:rtl/>
        </w:rPr>
        <w:t xml:space="preserve"> نقلاً منه : « الحسين بن الحسن بن عاصم ، عن يونس ، عن بعض أصحابنا ، عن أبي عبد الله </w:t>
      </w:r>
      <w:r w:rsidRPr="00D64ADA">
        <w:rPr>
          <w:rStyle w:val="libFootnoteAlaemChar"/>
          <w:rtl/>
        </w:rPr>
        <w:t>عليه‌السلام</w:t>
      </w:r>
      <w:r w:rsidRPr="00844366">
        <w:rPr>
          <w:rtl/>
        </w:rPr>
        <w:t xml:space="preserve"> ، قال : ليس شي‌ء أحبّ إليّ من السكّر ».</w:t>
      </w:r>
    </w:p>
    <w:p w:rsidR="00992664" w:rsidRPr="00020424" w:rsidRDefault="00992664" w:rsidP="00992664">
      <w:pPr>
        <w:pStyle w:val="libFootnote0"/>
        <w:rPr>
          <w:rtl/>
          <w:lang w:bidi="fa-IR"/>
        </w:rPr>
      </w:pPr>
      <w:r w:rsidRPr="00844366">
        <w:rPr>
          <w:rtl/>
        </w:rPr>
        <w:t xml:space="preserve">والظاهر صحّة « نوح بن شعيب » ؛ لما ورد في بعض الأسناد من رواية أحمد بن أبي عبد الله وأحمد بن محمّد بن خالد </w:t>
      </w:r>
      <w:r w:rsidR="009B673F" w:rsidRPr="00844366">
        <w:rPr>
          <w:rtl/>
        </w:rPr>
        <w:t>-</w:t>
      </w:r>
      <w:r w:rsidRPr="00844366">
        <w:rPr>
          <w:rtl/>
        </w:rPr>
        <w:t xml:space="preserve"> وهما متّحدان </w:t>
      </w:r>
      <w:r w:rsidR="009B673F" w:rsidRPr="00844366">
        <w:rPr>
          <w:rtl/>
        </w:rPr>
        <w:t>-</w:t>
      </w:r>
      <w:r w:rsidRPr="00844366">
        <w:rPr>
          <w:rtl/>
        </w:rPr>
        <w:t xml:space="preserve"> عنه. راجع :</w:t>
      </w:r>
      <w:r w:rsidRPr="00C8681E">
        <w:rPr>
          <w:rStyle w:val="libFootnoteAieChar"/>
          <w:rtl/>
        </w:rPr>
        <w:t xml:space="preserve"> </w:t>
      </w:r>
      <w:r w:rsidRPr="00DE76B9">
        <w:rPr>
          <w:rStyle w:val="libFootnoteBoldChar"/>
          <w:rtl/>
        </w:rPr>
        <w:t>معجم رجال الحديث</w:t>
      </w:r>
      <w:r w:rsidRPr="00844366">
        <w:rPr>
          <w:rtl/>
        </w:rPr>
        <w:t xml:space="preserve"> ، ج 19 ، ص 391 </w:t>
      </w:r>
      <w:r w:rsidR="009B673F" w:rsidRPr="00844366">
        <w:rPr>
          <w:rtl/>
        </w:rPr>
        <w:t>-</w:t>
      </w:r>
      <w:r w:rsidRPr="00844366">
        <w:rPr>
          <w:rtl/>
        </w:rPr>
        <w:t xml:space="preserve"> 392.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كَانَ يَتَصَدَّقُ ب</w:t>
      </w:r>
      <w:r>
        <w:rPr>
          <w:rtl/>
          <w:lang w:bidi="fa-IR"/>
        </w:rPr>
        <w:t>ِالسُّكَّرِ ، فَقِيلَ لَهُ : أَ</w:t>
      </w:r>
      <w:r w:rsidRPr="00020424">
        <w:rPr>
          <w:rtl/>
          <w:lang w:bidi="fa-IR"/>
        </w:rPr>
        <w:t xml:space="preserve">تَتَصَدَّقُ </w:t>
      </w:r>
      <w:r w:rsidRPr="00A91B96">
        <w:rPr>
          <w:rStyle w:val="libFootnotenumChar"/>
          <w:rtl/>
        </w:rPr>
        <w:t>(1)</w:t>
      </w:r>
      <w:r w:rsidRPr="00020424">
        <w:rPr>
          <w:rtl/>
          <w:lang w:bidi="fa-IR"/>
        </w:rPr>
        <w:t xml:space="preserve"> بِالسُّكَّرِ</w:t>
      </w:r>
      <w:r>
        <w:rPr>
          <w:rtl/>
          <w:lang w:bidi="fa-IR"/>
        </w:rPr>
        <w:t>؟!</w:t>
      </w:r>
      <w:r w:rsidRPr="00020424">
        <w:rPr>
          <w:rtl/>
          <w:lang w:bidi="fa-IR"/>
        </w:rPr>
        <w:t xml:space="preserve"> فَقَالَ :</w:t>
      </w:r>
      <w:r>
        <w:rPr>
          <w:rFonts w:hint="cs"/>
          <w:rtl/>
          <w:lang w:bidi="fa-IR"/>
        </w:rPr>
        <w:t xml:space="preserve"> </w:t>
      </w:r>
      <w:r w:rsidRPr="00020424">
        <w:rPr>
          <w:rtl/>
          <w:lang w:bidi="fa-IR"/>
        </w:rPr>
        <w:t xml:space="preserve">« نَعَمْ ؛ إِنَّهُ </w:t>
      </w:r>
      <w:r w:rsidRPr="00A91B96">
        <w:rPr>
          <w:rStyle w:val="libFootnotenumChar"/>
          <w:rtl/>
        </w:rPr>
        <w:t>(2)</w:t>
      </w:r>
      <w:r w:rsidRPr="00020424">
        <w:rPr>
          <w:rtl/>
          <w:lang w:bidi="fa-IR"/>
        </w:rPr>
        <w:t xml:space="preserve"> لَيْسَ شَيْ‌ءٌ </w:t>
      </w:r>
      <w:r w:rsidRPr="00A91B96">
        <w:rPr>
          <w:rStyle w:val="libFootnotenumChar"/>
          <w:rtl/>
        </w:rPr>
        <w:t>(3)</w:t>
      </w:r>
      <w:r w:rsidRPr="00020424">
        <w:rPr>
          <w:rtl/>
          <w:lang w:bidi="fa-IR"/>
        </w:rPr>
        <w:t xml:space="preserve"> أَحَبَّ إِلَيَّ مِنْهُ ، فَأَنَا </w:t>
      </w:r>
      <w:r w:rsidRPr="00A91B96">
        <w:rPr>
          <w:rStyle w:val="libFootnotenumChar"/>
          <w:rtl/>
        </w:rPr>
        <w:t>(4)</w:t>
      </w:r>
      <w:r w:rsidRPr="00020424">
        <w:rPr>
          <w:rtl/>
          <w:lang w:bidi="fa-IR"/>
        </w:rPr>
        <w:t xml:space="preserve"> أُحِبُّ أَنْ أَتَصَدَّقَ بِأَحَبِّ الْأَشْيَاءِ إِلَيَّ</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C6E7D">
        <w:rPr>
          <w:rtl/>
        </w:rPr>
        <w:t>6250</w:t>
      </w:r>
      <w:r w:rsidRPr="001155DE">
        <w:rPr>
          <w:rStyle w:val="libBold2Char"/>
          <w:rtl/>
        </w:rPr>
        <w:t xml:space="preserve"> / 4.</w:t>
      </w:r>
      <w:r w:rsidRPr="00020424">
        <w:rPr>
          <w:rtl/>
          <w:lang w:bidi="fa-IR"/>
        </w:rPr>
        <w:t xml:space="preserve"> مُحَمَّدُ بْنُ يَحْيى ، عَنْ أَحْمَدَ بْنِ مُحَمَّدٍ ، عَنْ مُحَمَّدِ بْنِ سِنَانٍ ، عَنْ مُعَاذِ بْنِ كَثِيرٍ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مُوَسَّعٌ عَلى شِيعَتِنَا أَنْ يُنْفِقُوا مِمَّا فِي أَيْدِيهِمْ بِالْمَعْرُوفِ ، فَإِذَا قَامَ قَائِمُنَا ، حَرَّمَ عَلى كُلِّ ذِي كَنْزٍ كَنْزَهُ حَتّى يَأْتِيَهُ بِهِ </w:t>
      </w:r>
      <w:r w:rsidRPr="00A91B96">
        <w:rPr>
          <w:rStyle w:val="libFootnotenumChar"/>
          <w:rtl/>
        </w:rPr>
        <w:t>(6)</w:t>
      </w:r>
      <w:r w:rsidRPr="00020424">
        <w:rPr>
          <w:rtl/>
          <w:lang w:bidi="fa-IR"/>
        </w:rPr>
        <w:t xml:space="preserve"> ، فَيَسْتَعِينَ </w:t>
      </w:r>
      <w:r w:rsidRPr="00A91B96">
        <w:rPr>
          <w:rStyle w:val="libFootnotenumChar"/>
          <w:rtl/>
        </w:rPr>
        <w:t>(7)</w:t>
      </w:r>
      <w:r w:rsidRPr="00020424">
        <w:rPr>
          <w:rtl/>
          <w:lang w:bidi="fa-IR"/>
        </w:rPr>
        <w:t xml:space="preserve"> بِهِ عَلى عَدُوِّهِ ، وَهُوَ قَوْلُ اللهِ عَزَّ وَجَلَّ </w:t>
      </w:r>
      <w:r w:rsidRPr="00A91B96">
        <w:rPr>
          <w:rStyle w:val="libFootnotenumChar"/>
          <w:rtl/>
        </w:rPr>
        <w:t>(8)</w:t>
      </w:r>
      <w:r w:rsidRPr="00020424">
        <w:rPr>
          <w:rtl/>
          <w:lang w:bidi="fa-IR"/>
        </w:rPr>
        <w:t xml:space="preserve"> : </w:t>
      </w:r>
      <w:r w:rsidRPr="00005A81">
        <w:rPr>
          <w:rStyle w:val="libAlaemChar"/>
          <w:rtl/>
        </w:rPr>
        <w:t>(</w:t>
      </w:r>
      <w:r w:rsidRPr="004E5AB4">
        <w:rPr>
          <w:rStyle w:val="libAieChar"/>
          <w:rtl/>
        </w:rPr>
        <w:t xml:space="preserve"> وَالَّذِينَ يَكْنِزُونَ الذَّهَبَ وَالْفِضَّةَ وَلا يُنْفِقُونَها فِي سَبِيلِ اللهِ فَبَشِّرْهُمْ بِعَذابٍ أَلِيمٍ </w:t>
      </w:r>
      <w:r w:rsidRPr="00005A81">
        <w:rPr>
          <w:rStyle w:val="libAlaemChar"/>
          <w:rtl/>
        </w:rPr>
        <w:t>)</w:t>
      </w:r>
      <w:r w:rsidRPr="00020424">
        <w:rPr>
          <w:rtl/>
          <w:lang w:bidi="fa-IR"/>
        </w:rPr>
        <w:t xml:space="preserve">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7C6E7D">
        <w:rPr>
          <w:rtl/>
        </w:rPr>
        <w:t>6251</w:t>
      </w:r>
      <w:r w:rsidRPr="001155DE">
        <w:rPr>
          <w:rStyle w:val="libBold2Char"/>
          <w:rtl/>
        </w:rPr>
        <w:t xml:space="preserve"> / 5.</w:t>
      </w:r>
      <w:r w:rsidRPr="00020424">
        <w:rPr>
          <w:rtl/>
          <w:lang w:bidi="fa-IR"/>
        </w:rPr>
        <w:t xml:space="preserve"> عِدَّةٌ مِنْ أَصْحَابِنَا ، عَنْ سَهْلِ بْنِ زِيَادٍ ، عَنْ عَلِيِّ بْنِ حَسَّانَ ، عَنْ مُوسَى بْنِ بَكْرٍ :</w:t>
      </w:r>
    </w:p>
    <w:p w:rsidR="00992664" w:rsidRPr="00020424" w:rsidRDefault="00992664" w:rsidP="00992664">
      <w:pPr>
        <w:pStyle w:val="libNormal"/>
        <w:rPr>
          <w:rtl/>
          <w:lang w:bidi="fa-IR"/>
        </w:rPr>
      </w:pPr>
      <w:r w:rsidRPr="00020424">
        <w:rPr>
          <w:rtl/>
          <w:lang w:bidi="fa-IR"/>
        </w:rPr>
        <w:t xml:space="preserve">عَنْ أَبِي الْحَسَنِ مُوسى </w:t>
      </w:r>
      <w:r w:rsidRPr="00005A81">
        <w:rPr>
          <w:rStyle w:val="libAlaemChar"/>
          <w:rtl/>
        </w:rPr>
        <w:t>عليه‌السلام</w:t>
      </w:r>
      <w:r w:rsidRPr="00020424">
        <w:rPr>
          <w:rtl/>
          <w:lang w:bidi="fa-IR"/>
        </w:rPr>
        <w:t xml:space="preserve"> ، قَالَ : « حَصِّنُوا </w:t>
      </w:r>
      <w:r w:rsidRPr="00A91B96">
        <w:rPr>
          <w:rStyle w:val="libFootnotenumChar"/>
          <w:rtl/>
        </w:rPr>
        <w:t>(11)</w:t>
      </w:r>
      <w:r w:rsidRPr="00020424">
        <w:rPr>
          <w:rtl/>
          <w:lang w:bidi="fa-IR"/>
        </w:rPr>
        <w:t xml:space="preserve"> أَمْوَالَكُمْ بِالزَّكَاةِ</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w:t>
      </w:r>
      <w:r w:rsidR="00992664" w:rsidRPr="00844366">
        <w:rPr>
          <w:rtl/>
        </w:rPr>
        <w:t>والوافي</w:t>
      </w:r>
      <w:r w:rsidR="00992664" w:rsidRPr="00020424">
        <w:rPr>
          <w:rtl/>
        </w:rPr>
        <w:t xml:space="preserve"> : « أيتصدّق</w:t>
      </w:r>
      <w:r w:rsidR="00992664">
        <w:rPr>
          <w:rtl/>
        </w:rPr>
        <w:t xml:space="preserve"> ».</w:t>
      </w:r>
      <w:r w:rsidR="00992664" w:rsidRPr="00020424">
        <w:rPr>
          <w:rtl/>
        </w:rPr>
        <w:t xml:space="preserve"> وفي « بر ، بف ، بك » </w:t>
      </w:r>
      <w:r w:rsidR="00992664" w:rsidRPr="00844366">
        <w:rPr>
          <w:rtl/>
        </w:rPr>
        <w:t>والتهذيب</w:t>
      </w:r>
      <w:r w:rsidR="00992664" w:rsidRPr="00020424">
        <w:rPr>
          <w:rtl/>
        </w:rPr>
        <w:t xml:space="preserve"> : « تتصدّق » بدون همزة الاستفهام.</w:t>
      </w:r>
    </w:p>
    <w:tbl>
      <w:tblPr>
        <w:tblStyle w:val="TableGrid"/>
        <w:bidiVisual/>
        <w:tblW w:w="0" w:type="auto"/>
        <w:tblLook w:val="04A0" w:firstRow="1" w:lastRow="0" w:firstColumn="1" w:lastColumn="0" w:noHBand="0" w:noVBand="1"/>
      </w:tblPr>
      <w:tblGrid>
        <w:gridCol w:w="4006"/>
        <w:gridCol w:w="4006"/>
      </w:tblGrid>
      <w:tr w:rsidR="00844366" w:rsidTr="00844366">
        <w:tc>
          <w:tcPr>
            <w:tcW w:w="4006" w:type="dxa"/>
          </w:tcPr>
          <w:p w:rsidR="00844366" w:rsidRDefault="00844366" w:rsidP="00992664">
            <w:pPr>
              <w:pStyle w:val="libFootnote0"/>
              <w:rPr>
                <w:rtl/>
              </w:rPr>
            </w:pPr>
            <w:r>
              <w:rPr>
                <w:rtl/>
              </w:rPr>
              <w:t xml:space="preserve">(2). </w:t>
            </w:r>
            <w:r w:rsidRPr="00020424">
              <w:rPr>
                <w:rtl/>
              </w:rPr>
              <w:t>في « بح » : « فإنّه</w:t>
            </w:r>
            <w:r>
              <w:rPr>
                <w:rtl/>
              </w:rPr>
              <w:t xml:space="preserve"> ».</w:t>
            </w:r>
          </w:p>
        </w:tc>
        <w:tc>
          <w:tcPr>
            <w:tcW w:w="4006" w:type="dxa"/>
          </w:tcPr>
          <w:p w:rsidR="00844366" w:rsidRDefault="00844366" w:rsidP="00992664">
            <w:pPr>
              <w:pStyle w:val="libFootnote0"/>
              <w:rPr>
                <w:rtl/>
              </w:rPr>
            </w:pPr>
            <w:r>
              <w:rPr>
                <w:rtl/>
              </w:rPr>
              <w:t xml:space="preserve">(3). </w:t>
            </w:r>
            <w:r w:rsidRPr="00020424">
              <w:rPr>
                <w:rtl/>
              </w:rPr>
              <w:t>في « بر ، بف ، بك » : « بشي‌ء</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بح » </w:t>
      </w:r>
      <w:r w:rsidR="00992664" w:rsidRPr="00844366">
        <w:rPr>
          <w:rtl/>
        </w:rPr>
        <w:t>والوسائل</w:t>
      </w:r>
      <w:r w:rsidR="00992664" w:rsidRPr="00020424">
        <w:rPr>
          <w:rtl/>
        </w:rPr>
        <w:t xml:space="preserve"> : « وأنا</w:t>
      </w:r>
      <w:r w:rsidR="00992664">
        <w:rPr>
          <w:rtl/>
        </w:rPr>
        <w:t xml:space="preserve"> ».</w:t>
      </w:r>
      <w:r w:rsidR="00992664" w:rsidRPr="00020424">
        <w:rPr>
          <w:rtl/>
        </w:rPr>
        <w:t xml:space="preserve"> وفي </w:t>
      </w:r>
      <w:r w:rsidR="00992664" w:rsidRPr="00844366">
        <w:rPr>
          <w:rtl/>
        </w:rPr>
        <w:t>الوافي</w:t>
      </w:r>
      <w:r w:rsidR="00992664" w:rsidRPr="00020424">
        <w:rPr>
          <w:rtl/>
        </w:rPr>
        <w:t xml:space="preserve"> : « فإنّما</w:t>
      </w:r>
      <w:r w:rsidR="00992664">
        <w:rPr>
          <w:rtl/>
        </w:rPr>
        <w:t xml:space="preserve"> ».</w:t>
      </w:r>
    </w:p>
    <w:p w:rsidR="00992664" w:rsidRPr="00020424" w:rsidRDefault="00795177" w:rsidP="00844366">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331 ، ح 1036 ، بسنده عن الحسين بن عاصم بن يونس ، عن بعض أصحابنا ، عن أبي عبدالله </w:t>
      </w:r>
      <w:r w:rsidR="00992664" w:rsidRPr="00D64ADA">
        <w:rPr>
          <w:rStyle w:val="libFootnoteAlaemChar"/>
          <w:rtl/>
        </w:rPr>
        <w:t>عليه‌السلام</w:t>
      </w:r>
      <w:r w:rsidR="00992664" w:rsidRPr="00020424">
        <w:rPr>
          <w:rtl/>
        </w:rPr>
        <w:t xml:space="preserve"> </w:t>
      </w:r>
      <w:r w:rsidR="00844366">
        <w:rPr>
          <w:rFonts w:hint="cs"/>
          <w:rtl/>
        </w:rPr>
        <w:t>.</w:t>
      </w:r>
      <w:r w:rsidR="00992664" w:rsidRPr="0012008A">
        <w:rPr>
          <w:rStyle w:val="libFootnoteBoldChar"/>
          <w:rtl/>
        </w:rPr>
        <w:t>الوافي</w:t>
      </w:r>
      <w:r w:rsidR="00992664" w:rsidRPr="00020424">
        <w:rPr>
          <w:rtl/>
        </w:rPr>
        <w:t xml:space="preserve"> ، ج 10 ، ص 576 ، ح 10126 ؛ </w:t>
      </w:r>
      <w:r w:rsidR="00992664" w:rsidRPr="0012008A">
        <w:rPr>
          <w:rStyle w:val="libFootnoteBoldChar"/>
          <w:rtl/>
        </w:rPr>
        <w:t>الوسائل</w:t>
      </w:r>
      <w:r w:rsidR="00992664" w:rsidRPr="00020424">
        <w:rPr>
          <w:rtl/>
        </w:rPr>
        <w:t xml:space="preserve"> ، ج 9 ، ص 471 ، ح 12521 ؛ </w:t>
      </w:r>
      <w:r w:rsidR="00992664" w:rsidRPr="0012008A">
        <w:rPr>
          <w:rStyle w:val="libFootnoteBoldChar"/>
          <w:rtl/>
        </w:rPr>
        <w:t>البحار</w:t>
      </w:r>
      <w:r w:rsidR="00992664" w:rsidRPr="00020424">
        <w:rPr>
          <w:rtl/>
        </w:rPr>
        <w:t xml:space="preserve"> ، ج 47 ، ص 53 ، ح 86.</w:t>
      </w:r>
      <w:r w:rsidR="00844366">
        <w:rPr>
          <w:rFonts w:hint="cs"/>
          <w:rtl/>
        </w:rPr>
        <w:t xml:space="preserve">    </w:t>
      </w:r>
      <w:r>
        <w:rPr>
          <w:rtl/>
        </w:rPr>
        <w:t>(6).</w:t>
      </w:r>
      <w:r w:rsidR="0014403D">
        <w:rPr>
          <w:rtl/>
        </w:rPr>
        <w:t xml:space="preserve"> </w:t>
      </w:r>
      <w:r w:rsidR="00992664" w:rsidRPr="00020424">
        <w:rPr>
          <w:rtl/>
        </w:rPr>
        <w:t>في « بر ، بف ، بك » وتفسير العيّاشي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ويستعين</w:t>
      </w:r>
      <w:r w:rsidR="00992664">
        <w:rPr>
          <w:rtl/>
        </w:rPr>
        <w:t xml:space="preserve"> ».</w:t>
      </w:r>
      <w:r w:rsidR="00992664" w:rsidRPr="00020424">
        <w:rPr>
          <w:rtl/>
        </w:rPr>
        <w:t xml:space="preserve"> وفي </w:t>
      </w:r>
      <w:r w:rsidR="00992664" w:rsidRPr="00844366">
        <w:rPr>
          <w:rtl/>
        </w:rPr>
        <w:t>الوافي</w:t>
      </w:r>
      <w:r w:rsidR="00992664" w:rsidRPr="00020424">
        <w:rPr>
          <w:rtl/>
        </w:rPr>
        <w:t xml:space="preserve"> : « يستعين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ى ، بح ، بخ ، بس ، جن » : + « في كتابه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التوبة </w:t>
      </w:r>
      <w:r w:rsidR="00844366">
        <w:rPr>
          <w:rtl/>
        </w:rPr>
        <w:t>(9)</w:t>
      </w:r>
      <w:r w:rsidR="0014403D">
        <w:rPr>
          <w:rtl/>
        </w:rPr>
        <w:t xml:space="preserve"> </w:t>
      </w:r>
      <w:r w:rsidR="00992664" w:rsidRPr="00020424">
        <w:rPr>
          <w:rtl/>
        </w:rPr>
        <w:t>: 34.</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143 ، ح 402 ، بسنده عن محمّد بن سنان ، عن حمّاد بن طلحة صاحب السابري ، عن معاذ بن كثير بيّاع الأكسية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العيّاشي</w:t>
      </w:r>
      <w:r w:rsidR="00992664" w:rsidRPr="00020424">
        <w:rPr>
          <w:rtl/>
        </w:rPr>
        <w:t xml:space="preserve"> ، ج 2 ، ص 87 ، ح 54 ، عن معاذ بن كثير صاحب الأكسية ، عن أبي عبدالله </w:t>
      </w:r>
      <w:r w:rsidR="00992664" w:rsidRPr="00D64ADA">
        <w:rPr>
          <w:rStyle w:val="libFootnoteAlaemChar"/>
          <w:rtl/>
        </w:rPr>
        <w:t>عليه‌السلام</w:t>
      </w:r>
      <w:r w:rsidR="00992664" w:rsidRPr="00020424">
        <w:rPr>
          <w:rtl/>
        </w:rPr>
        <w:t xml:space="preserve"> </w:t>
      </w:r>
      <w:r w:rsidR="00844366">
        <w:rPr>
          <w:rFonts w:hint="cs"/>
          <w:rtl/>
        </w:rPr>
        <w:t>.</w:t>
      </w:r>
      <w:r w:rsidR="00992664" w:rsidRPr="0012008A">
        <w:rPr>
          <w:rStyle w:val="libFootnoteBoldChar"/>
          <w:rtl/>
        </w:rPr>
        <w:t>الوافي</w:t>
      </w:r>
      <w:r w:rsidR="00992664" w:rsidRPr="00020424">
        <w:rPr>
          <w:rtl/>
        </w:rPr>
        <w:t xml:space="preserve"> ، ج 10 ، ص 341 ، ح 9673 ؛ </w:t>
      </w:r>
      <w:r w:rsidR="00992664" w:rsidRPr="0012008A">
        <w:rPr>
          <w:rStyle w:val="libFootnoteBoldChar"/>
          <w:rtl/>
        </w:rPr>
        <w:t>الوسائل</w:t>
      </w:r>
      <w:r w:rsidR="00992664" w:rsidRPr="00020424">
        <w:rPr>
          <w:rtl/>
        </w:rPr>
        <w:t xml:space="preserve"> ، ج 9 ، ص 547 ، ح 12685.</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ى » : « أحصنوا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الفقيه</w:t>
      </w:r>
      <w:r w:rsidR="00992664" w:rsidRPr="00020424">
        <w:rPr>
          <w:rtl/>
        </w:rPr>
        <w:t xml:space="preserve"> ، ج 2 ، ص 4 ، ح 1576 ، معلّقاً عن موسى‌بن بكر ، عن أبي الحسن موسى‌بن جعفر </w:t>
      </w:r>
      <w:r w:rsidR="00992664" w:rsidRPr="00D64ADA">
        <w:rPr>
          <w:rStyle w:val="libFootnoteAlaemChar"/>
          <w:rtl/>
        </w:rPr>
        <w:t>عليه‌السلام</w:t>
      </w:r>
      <w:r w:rsidR="00992664" w:rsidRPr="00020424">
        <w:rPr>
          <w:rtl/>
        </w:rPr>
        <w:t xml:space="preserve">. </w:t>
      </w:r>
      <w:r w:rsidR="00844366">
        <w:rPr>
          <w:rFonts w:hint="cs"/>
          <w:rtl/>
        </w:rPr>
        <w:t>=</w:t>
      </w:r>
    </w:p>
    <w:p w:rsidR="00795177" w:rsidRDefault="00795177" w:rsidP="00795177">
      <w:pPr>
        <w:pStyle w:val="libNormal"/>
        <w:rPr>
          <w:rtl/>
          <w:lang w:bidi="fa-IR"/>
        </w:rPr>
      </w:pPr>
      <w:r>
        <w:rPr>
          <w:rtl/>
          <w:lang w:bidi="fa-IR"/>
        </w:rPr>
        <w:br w:type="page"/>
      </w:r>
    </w:p>
    <w:p w:rsidR="00992664" w:rsidRDefault="00992664" w:rsidP="00992664">
      <w:pPr>
        <w:pStyle w:val="libCenterBold2"/>
        <w:rPr>
          <w:rtl/>
          <w:lang w:bidi="fa-IR"/>
        </w:rPr>
      </w:pPr>
      <w:r w:rsidRPr="00020424">
        <w:rPr>
          <w:rtl/>
          <w:lang w:bidi="fa-IR"/>
        </w:rPr>
        <w:t xml:space="preserve">هذَا آخِرُ كِتَابِ الزَّكَاةِ وَالصَّدَقَةِ مِنْ كِتَابِ الْكَافِي لِلشَّيْخِ الْأَجَلِّ </w:t>
      </w:r>
    </w:p>
    <w:p w:rsidR="00992664" w:rsidRDefault="00992664" w:rsidP="00992664">
      <w:pPr>
        <w:pStyle w:val="libCenterBold2"/>
        <w:rPr>
          <w:rtl/>
          <w:lang w:bidi="fa-IR"/>
        </w:rPr>
      </w:pPr>
      <w:r w:rsidRPr="00020424">
        <w:rPr>
          <w:rtl/>
          <w:lang w:bidi="fa-IR"/>
        </w:rPr>
        <w:t xml:space="preserve">أَبِي جَعْفَرٍ مُحَمَّدِ بْنِ يَعْقُوبَ الْكُلَيْنِيِّ رَحِمَهُ اللهُ ، وَيَتْلُوهُ كِتَابُ </w:t>
      </w:r>
    </w:p>
    <w:p w:rsidR="00992664" w:rsidRDefault="00992664" w:rsidP="00992664">
      <w:pPr>
        <w:pStyle w:val="libCenterBold2"/>
        <w:rPr>
          <w:rtl/>
          <w:lang w:bidi="fa-IR"/>
        </w:rPr>
      </w:pPr>
      <w:r w:rsidRPr="00020424">
        <w:rPr>
          <w:rtl/>
          <w:lang w:bidi="fa-IR"/>
        </w:rPr>
        <w:t xml:space="preserve">الصِّيَامِ ؛ وَالْحَمْدُ لِلَّهِ رَبِّ الْعَالَمِينَ ، وَصَلَّى اللهُ عَلى سَيِّدِنَا </w:t>
      </w:r>
    </w:p>
    <w:p w:rsidR="00992664" w:rsidRPr="00020424" w:rsidRDefault="00992664" w:rsidP="00992664">
      <w:pPr>
        <w:pStyle w:val="libCenterBold2"/>
        <w:rPr>
          <w:rtl/>
          <w:lang w:bidi="fa-IR"/>
        </w:rPr>
      </w:pPr>
      <w:r w:rsidRPr="00020424">
        <w:rPr>
          <w:rtl/>
          <w:lang w:bidi="fa-IR"/>
        </w:rPr>
        <w:t xml:space="preserve">مُحَمَّدٍ النَّبِيِّ وَآلِهِ الْأَئِمَّةِ الطَّاهِرِينَ الْمَعْصُومِينَ </w:t>
      </w:r>
      <w:r w:rsidRPr="00A91B96">
        <w:rPr>
          <w:rStyle w:val="libFootnotenumChar"/>
          <w:rtl/>
        </w:rPr>
        <w:t>(1)</w:t>
      </w:r>
      <w:r w:rsidR="00844366" w:rsidRPr="00844366">
        <w:rPr>
          <w:rStyle w:val="libNormalCha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844366" w:rsidP="00992664">
      <w:pPr>
        <w:pStyle w:val="libFootnote0"/>
        <w:rPr>
          <w:rtl/>
          <w:lang w:bidi="fa-IR"/>
        </w:rPr>
      </w:pPr>
      <w:r w:rsidRPr="00844366">
        <w:rPr>
          <w:rFonts w:hint="cs"/>
          <w:rtl/>
        </w:rPr>
        <w:t xml:space="preserve">= </w:t>
      </w:r>
      <w:r w:rsidR="00992664" w:rsidRPr="00DE76B9">
        <w:rPr>
          <w:rStyle w:val="libFootnoteBoldChar"/>
          <w:rtl/>
        </w:rPr>
        <w:t>قرب الإسناد</w:t>
      </w:r>
      <w:r w:rsidR="00992664" w:rsidRPr="00020424">
        <w:rPr>
          <w:rtl/>
        </w:rPr>
        <w:t xml:space="preserve"> ، ص 117 ، ضمن ح 410 ، بسند آخر عن جعفر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D64ADA" w:rsidRPr="00D64ADA">
        <w:rPr>
          <w:rStyle w:val="libFootnoteBoldChar"/>
          <w:rtl/>
        </w:rPr>
        <w:t>المحاسن</w:t>
      </w:r>
      <w:r w:rsidR="00992664" w:rsidRPr="00020424">
        <w:rPr>
          <w:rtl/>
        </w:rPr>
        <w:t xml:space="preserve"> ، ص 294 ، كتاب مصابيح الظلم ، ضمن ح 458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4 ، ص 416 ، ضمن ح 5904 ؛ </w:t>
      </w:r>
      <w:r w:rsidR="00992664" w:rsidRPr="006C7A1F">
        <w:rPr>
          <w:rStyle w:val="libFootnoteBoldChar"/>
          <w:rtl/>
        </w:rPr>
        <w:t>وثواب الأعمال</w:t>
      </w:r>
      <w:r w:rsidR="00992664" w:rsidRPr="00020424">
        <w:rPr>
          <w:rtl/>
        </w:rPr>
        <w:t xml:space="preserve"> ، ص 70 ، صدر ح 3 ، بسند آخر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الجعفريّات</w:t>
      </w:r>
      <w:r w:rsidR="00992664" w:rsidRPr="00020424">
        <w:rPr>
          <w:rtl/>
        </w:rPr>
        <w:t xml:space="preserve"> ، ص 53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A722B1">
        <w:rPr>
          <w:rStyle w:val="libFootnoteBoldChar"/>
          <w:rtl/>
        </w:rPr>
        <w:t>الخصال</w:t>
      </w:r>
      <w:r w:rsidR="00992664" w:rsidRPr="00020424">
        <w:rPr>
          <w:rtl/>
        </w:rPr>
        <w:t xml:space="preserve"> ، ص 620 ، أبواب الثمانين ومافوقه ، ضمن الحديث الطويل 10 ، بسند آخر عن أبي عبدالله ، عن آبائه ، عن أميرالمؤمنين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المقنعة</w:t>
      </w:r>
      <w:r w:rsidR="00992664" w:rsidRPr="00020424">
        <w:rPr>
          <w:rtl/>
        </w:rPr>
        <w:t xml:space="preserve"> ، ص 269 ، مرسلاً عن عليّ بن حسّان. </w:t>
      </w:r>
      <w:r w:rsidR="00992664" w:rsidRPr="00DE76B9">
        <w:rPr>
          <w:rStyle w:val="libFootnoteBoldChar"/>
          <w:rtl/>
        </w:rPr>
        <w:t>تحف العقول</w:t>
      </w:r>
      <w:r w:rsidR="00992664" w:rsidRPr="00020424">
        <w:rPr>
          <w:rtl/>
        </w:rPr>
        <w:t xml:space="preserve"> ، ص 110 و221 ، ضمن الحديث ، عن أميرالمؤمنين </w:t>
      </w:r>
      <w:r w:rsidR="00992664" w:rsidRPr="00D64ADA">
        <w:rPr>
          <w:rStyle w:val="libFootnoteAlaemChar"/>
          <w:rtl/>
        </w:rPr>
        <w:t>عليه‌السلام</w:t>
      </w:r>
      <w:r w:rsidR="00992664" w:rsidRPr="00020424">
        <w:rPr>
          <w:rtl/>
        </w:rPr>
        <w:t xml:space="preserve">. وفي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105 ؛ </w:t>
      </w:r>
      <w:r w:rsidR="00992664" w:rsidRPr="00D27EE2">
        <w:rPr>
          <w:rStyle w:val="libFootnoteBoldChar"/>
          <w:rtl/>
        </w:rPr>
        <w:t>ونهج البلاغة</w:t>
      </w:r>
      <w:r w:rsidR="00992664" w:rsidRPr="00020424">
        <w:rPr>
          <w:rtl/>
        </w:rPr>
        <w:t xml:space="preserve"> ، ص 495 ، ضمن الحكمة 146 ، مرسلاً عن عليّ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الاختصاص</w:t>
      </w:r>
      <w:r w:rsidR="00992664" w:rsidRPr="00020424">
        <w:rPr>
          <w:rtl/>
        </w:rPr>
        <w:t xml:space="preserve"> ، ص 25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335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الأخيرين مع زيادة في آخره </w:t>
      </w:r>
      <w:r>
        <w:rPr>
          <w:rFonts w:hint="cs"/>
          <w:rtl/>
        </w:rPr>
        <w:t>.</w:t>
      </w:r>
      <w:r w:rsidR="00992664" w:rsidRPr="0012008A">
        <w:rPr>
          <w:rStyle w:val="libFootnoteBoldChar"/>
          <w:rtl/>
        </w:rPr>
        <w:t>الوافي</w:t>
      </w:r>
      <w:r w:rsidR="00992664" w:rsidRPr="00020424">
        <w:rPr>
          <w:rtl/>
        </w:rPr>
        <w:t xml:space="preserve"> ، ج 10 ، ص 43 ، ح 9119 ؛ </w:t>
      </w:r>
      <w:r w:rsidR="00992664" w:rsidRPr="0012008A">
        <w:rPr>
          <w:rStyle w:val="libFootnoteBoldChar"/>
          <w:rtl/>
        </w:rPr>
        <w:t>الوسائل</w:t>
      </w:r>
      <w:r w:rsidR="00992664" w:rsidRPr="00020424">
        <w:rPr>
          <w:rtl/>
        </w:rPr>
        <w:t xml:space="preserve"> ، ج 9 ، ص 14 ، ح 11397.</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النسخ بدل فقرة « هذا آخر كتاب الزكاة</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الطاهرين المعصومين » عبارات مختلفة.</w:t>
      </w:r>
    </w:p>
    <w:p w:rsidR="00795177" w:rsidRDefault="00795177" w:rsidP="00795177">
      <w:pPr>
        <w:pStyle w:val="libNormal"/>
        <w:rPr>
          <w:rtl/>
          <w:lang w:bidi="fa-IR"/>
        </w:rPr>
      </w:pPr>
      <w:r>
        <w:rPr>
          <w:rtl/>
          <w:lang w:bidi="fa-IR"/>
        </w:rPr>
        <w:br w:type="page"/>
      </w:r>
    </w:p>
    <w:p w:rsidR="00795177" w:rsidRDefault="00795177" w:rsidP="00795177">
      <w:pPr>
        <w:pStyle w:val="libNormal"/>
        <w:rPr>
          <w:rtl/>
          <w:lang w:bidi="fa-IR"/>
        </w:rPr>
      </w:pPr>
      <w:r>
        <w:rPr>
          <w:rtl/>
          <w:lang w:bidi="fa-IR"/>
        </w:rPr>
        <w:br w:type="page"/>
      </w:r>
    </w:p>
    <w:p w:rsidR="00992664" w:rsidRDefault="00992664" w:rsidP="00992664">
      <w:pPr>
        <w:pStyle w:val="Heading1Center"/>
        <w:rPr>
          <w:rtl/>
          <w:lang w:bidi="fa-IR"/>
        </w:rPr>
      </w:pPr>
      <w:bookmarkStart w:id="289" w:name="_Toc464562629"/>
      <w:bookmarkStart w:id="290" w:name="_Toc44599932"/>
      <w:r w:rsidRPr="00020424">
        <w:rPr>
          <w:rtl/>
          <w:lang w:bidi="fa-IR"/>
        </w:rPr>
        <w:t>[14]</w:t>
      </w:r>
      <w:bookmarkEnd w:id="289"/>
      <w:bookmarkEnd w:id="290"/>
    </w:p>
    <w:p w:rsidR="00992664" w:rsidRPr="00020424" w:rsidRDefault="00992664" w:rsidP="00992664">
      <w:pPr>
        <w:pStyle w:val="Heading1Center"/>
        <w:rPr>
          <w:rtl/>
          <w:lang w:bidi="fa-IR"/>
        </w:rPr>
      </w:pPr>
      <w:bookmarkStart w:id="291" w:name="_Toc464562630"/>
      <w:bookmarkStart w:id="292" w:name="_Toc44599933"/>
      <w:r w:rsidRPr="00020424">
        <w:rPr>
          <w:rtl/>
          <w:lang w:bidi="fa-IR"/>
        </w:rPr>
        <w:t>كِتَابُ الصِّيَامِ ‌</w:t>
      </w:r>
      <w:bookmarkEnd w:id="291"/>
      <w:bookmarkEnd w:id="292"/>
    </w:p>
    <w:p w:rsidR="00795177" w:rsidRDefault="00795177" w:rsidP="00795177">
      <w:pPr>
        <w:pStyle w:val="libNormal"/>
        <w:rPr>
          <w:rtl/>
        </w:rPr>
      </w:pPr>
      <w:r>
        <w:rPr>
          <w:rtl/>
        </w:rPr>
        <w:br w:type="page"/>
      </w:r>
    </w:p>
    <w:p w:rsidR="00795177" w:rsidRDefault="00795177" w:rsidP="00795177">
      <w:pPr>
        <w:pStyle w:val="libNormal"/>
        <w:rPr>
          <w:rtl/>
        </w:rPr>
      </w:pPr>
      <w:r>
        <w:rPr>
          <w:rtl/>
        </w:rPr>
        <w:br w:type="page"/>
      </w:r>
    </w:p>
    <w:p w:rsidR="00992664" w:rsidRPr="00020424" w:rsidRDefault="00992664" w:rsidP="00844366">
      <w:pPr>
        <w:pStyle w:val="libCenter"/>
        <w:rPr>
          <w:rtl/>
          <w:lang w:bidi="fa-IR"/>
        </w:rPr>
      </w:pPr>
      <w:r w:rsidRPr="007C6E7D">
        <w:rPr>
          <w:rtl/>
        </w:rPr>
        <w:t xml:space="preserve">بِسْمِ اللهِ الرَّحْمنِ الرَّحِيمِ </w:t>
      </w:r>
      <w:r w:rsidRPr="00A91B96">
        <w:rPr>
          <w:rStyle w:val="libFootnotenumChar"/>
          <w:rtl/>
        </w:rPr>
        <w:t>(1)</w:t>
      </w:r>
      <w:r w:rsidRPr="007C6E7D">
        <w:rPr>
          <w:rtl/>
        </w:rPr>
        <w:t xml:space="preserve"> </w:t>
      </w:r>
      <w:r w:rsidRPr="00020424">
        <w:rPr>
          <w:rtl/>
          <w:lang w:bidi="fa-IR"/>
        </w:rPr>
        <w:t>‌</w:t>
      </w:r>
    </w:p>
    <w:p w:rsidR="00992664" w:rsidRDefault="00992664" w:rsidP="00992664">
      <w:pPr>
        <w:pStyle w:val="Heading1Center"/>
        <w:rPr>
          <w:rtl/>
          <w:lang w:bidi="fa-IR"/>
        </w:rPr>
      </w:pPr>
      <w:bookmarkStart w:id="293" w:name="_Toc345172813"/>
      <w:bookmarkStart w:id="294" w:name="_Toc464562631"/>
      <w:bookmarkStart w:id="295" w:name="_Toc44599934"/>
      <w:r w:rsidRPr="00020424">
        <w:rPr>
          <w:rtl/>
          <w:lang w:bidi="fa-IR"/>
        </w:rPr>
        <w:t>[14]</w:t>
      </w:r>
      <w:bookmarkEnd w:id="293"/>
      <w:bookmarkEnd w:id="294"/>
      <w:bookmarkEnd w:id="295"/>
    </w:p>
    <w:p w:rsidR="00992664" w:rsidRPr="00020424" w:rsidRDefault="00992664" w:rsidP="00992664">
      <w:pPr>
        <w:pStyle w:val="Heading1Center"/>
        <w:rPr>
          <w:rtl/>
          <w:lang w:bidi="fa-IR"/>
        </w:rPr>
      </w:pPr>
      <w:bookmarkStart w:id="296" w:name="_Toc345172814"/>
      <w:bookmarkStart w:id="297" w:name="_Toc464562632"/>
      <w:bookmarkStart w:id="298" w:name="_Toc44599935"/>
      <w:r w:rsidRPr="00020424">
        <w:rPr>
          <w:rtl/>
          <w:lang w:bidi="fa-IR"/>
        </w:rPr>
        <w:t xml:space="preserve">كِتَابُ الصِّيَامِ </w:t>
      </w:r>
      <w:r w:rsidRPr="00A91B96">
        <w:rPr>
          <w:rStyle w:val="libFootnotenumChar"/>
          <w:rtl/>
        </w:rPr>
        <w:t>(2)</w:t>
      </w:r>
      <w:r w:rsidRPr="00020424">
        <w:rPr>
          <w:rtl/>
          <w:lang w:bidi="fa-IR"/>
        </w:rPr>
        <w:t xml:space="preserve"> ‌</w:t>
      </w:r>
      <w:bookmarkEnd w:id="296"/>
      <w:bookmarkEnd w:id="297"/>
      <w:bookmarkEnd w:id="298"/>
    </w:p>
    <w:p w:rsidR="00992664" w:rsidRPr="00020424" w:rsidRDefault="00992664" w:rsidP="00992664">
      <w:pPr>
        <w:pStyle w:val="Heading2Center"/>
        <w:rPr>
          <w:rtl/>
          <w:lang w:bidi="fa-IR"/>
        </w:rPr>
      </w:pPr>
      <w:bookmarkStart w:id="299" w:name="_Toc345172815"/>
      <w:bookmarkStart w:id="300" w:name="_Toc464562633"/>
      <w:bookmarkStart w:id="301" w:name="_Toc44599936"/>
      <w:r w:rsidRPr="00020424">
        <w:rPr>
          <w:rtl/>
          <w:lang w:bidi="fa-IR"/>
        </w:rPr>
        <w:t>1</w:t>
      </w:r>
      <w:r>
        <w:rPr>
          <w:rtl/>
          <w:lang w:bidi="fa-IR"/>
        </w:rPr>
        <w:t xml:space="preserve"> </w:t>
      </w:r>
      <w:r w:rsidR="009B673F">
        <w:rPr>
          <w:rtl/>
          <w:lang w:bidi="fa-IR"/>
        </w:rPr>
        <w:t>-</w:t>
      </w:r>
      <w:r>
        <w:rPr>
          <w:rtl/>
          <w:lang w:bidi="fa-IR"/>
        </w:rPr>
        <w:t xml:space="preserve"> </w:t>
      </w:r>
      <w:r w:rsidRPr="00020424">
        <w:rPr>
          <w:rtl/>
          <w:lang w:bidi="fa-IR"/>
        </w:rPr>
        <w:t>بَابُ مَا جَاءَ فِي فَضْلِ الصَّوْمِ وَالصَّائِمِ‌</w:t>
      </w:r>
      <w:bookmarkEnd w:id="299"/>
      <w:bookmarkEnd w:id="300"/>
      <w:bookmarkEnd w:id="301"/>
    </w:p>
    <w:p w:rsidR="00992664" w:rsidRPr="00020424" w:rsidRDefault="00992664" w:rsidP="00992664">
      <w:pPr>
        <w:pStyle w:val="libNormal"/>
        <w:rPr>
          <w:rtl/>
          <w:lang w:bidi="fa-IR"/>
        </w:rPr>
      </w:pPr>
      <w:r w:rsidRPr="007C6E7D">
        <w:rPr>
          <w:rtl/>
        </w:rPr>
        <w:t>6252</w:t>
      </w:r>
      <w:r w:rsidRPr="001155DE">
        <w:rPr>
          <w:rStyle w:val="libBold2Char"/>
          <w:rtl/>
        </w:rPr>
        <w:t xml:space="preserve"> / 1.</w:t>
      </w:r>
      <w:r w:rsidRPr="00020424">
        <w:rPr>
          <w:rtl/>
          <w:lang w:bidi="fa-IR"/>
        </w:rPr>
        <w:t xml:space="preserve"> عَلِيُّ بْنُ إِبْرَاهِيمَ بْنِ هَاشِمٍ </w:t>
      </w:r>
      <w:r w:rsidRPr="00A91B96">
        <w:rPr>
          <w:rStyle w:val="libFootnotenumChar"/>
          <w:rtl/>
        </w:rPr>
        <w:t>(3)</w:t>
      </w:r>
      <w:r w:rsidRPr="00020424">
        <w:rPr>
          <w:rtl/>
          <w:lang w:bidi="fa-IR"/>
        </w:rPr>
        <w:t xml:space="preserve"> ، عَنْ أَبِيهِ </w:t>
      </w:r>
      <w:r w:rsidRPr="00A91B96">
        <w:rPr>
          <w:rStyle w:val="libFootnotenumChar"/>
          <w:rtl/>
        </w:rPr>
        <w:t>(4)</w:t>
      </w:r>
      <w:r w:rsidRPr="00020424">
        <w:rPr>
          <w:rtl/>
          <w:lang w:bidi="fa-IR"/>
        </w:rPr>
        <w:t xml:space="preserve"> ، عَنْ حَمَّادِ بْنِ عِيسى ، عَنْ حَرِيزٍ </w:t>
      </w:r>
      <w:r w:rsidRPr="00A91B96">
        <w:rPr>
          <w:rStyle w:val="libFootnotenumChar"/>
          <w:rtl/>
        </w:rPr>
        <w:t>(5)</w:t>
      </w:r>
      <w:r w:rsidRPr="00020424">
        <w:rPr>
          <w:rtl/>
          <w:lang w:bidi="fa-IR"/>
        </w:rPr>
        <w:t xml:space="preserve"> ، عَنْ زُرَارَةَ :</w:t>
      </w:r>
    </w:p>
    <w:p w:rsidR="00992664" w:rsidRPr="00020424" w:rsidRDefault="00992664" w:rsidP="00844366">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بُنِيَ الْإِسْلَامُ عَلى خَمْسَةِ أَشْيَاءَ : عَلَى الصَّلَاةِ ، وَالزَّكَاةِ ، وَالْحَجِّ ، وَالصَّوْمِ </w:t>
      </w:r>
      <w:r w:rsidRPr="00A91B96">
        <w:rPr>
          <w:rStyle w:val="libFootnotenumChar"/>
          <w:rtl/>
        </w:rPr>
        <w:t>(6)</w:t>
      </w:r>
      <w:r w:rsidRPr="00020424">
        <w:rPr>
          <w:rtl/>
          <w:lang w:bidi="fa-IR"/>
        </w:rPr>
        <w:t xml:space="preserve"> ، وَالْوَلايَةِ </w:t>
      </w:r>
      <w:r w:rsidRPr="00A91B96">
        <w:rPr>
          <w:rStyle w:val="libFootnotenumChar"/>
          <w:rtl/>
        </w:rPr>
        <w:t>(7)</w:t>
      </w:r>
      <w:r w:rsidR="00844366">
        <w:rPr>
          <w:rFonts w:hint="cs"/>
          <w:rtl/>
          <w:lang w:bidi="fa-IR"/>
        </w:rPr>
        <w:t>.</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 + « وبه ثقتي</w:t>
      </w:r>
      <w:r w:rsidR="00992664">
        <w:rPr>
          <w:rtl/>
        </w:rPr>
        <w:t xml:space="preserve"> ».</w:t>
      </w:r>
      <w:r w:rsidR="00992664" w:rsidRPr="00020424">
        <w:rPr>
          <w:rtl/>
        </w:rPr>
        <w:t xml:space="preserve"> وفي « بح ، بس ، جن » : + « وبه نستعين</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بسم الله الرحمن الرحيم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بخ ، بر ، بس ، بك » : « كتاب الصوم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والكافي ، ح 1494 </w:t>
      </w:r>
      <w:r w:rsidR="00992664" w:rsidRPr="00844366">
        <w:rP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هاشم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الكافي ، ح 1494 : + « وعبد الله بن الصلت جميعاً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الكافي ، ح 1494 : + « بن عبد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13673 والكافي ، ح 1494 و1497 </w:t>
      </w:r>
      <w:r w:rsidR="00992664" w:rsidRPr="00844366">
        <w:rPr>
          <w:rtl/>
        </w:rPr>
        <w:t>والتهذيب</w:t>
      </w:r>
      <w:r w:rsidR="00992664" w:rsidRPr="00020424">
        <w:rPr>
          <w:rtl/>
        </w:rPr>
        <w:t xml:space="preserve"> وتفسير العيّاشي </w:t>
      </w:r>
      <w:r w:rsidR="00992664" w:rsidRPr="00844366">
        <w:rPr>
          <w:rtl/>
        </w:rPr>
        <w:t>والأمالي للصدوق</w:t>
      </w:r>
      <w:r w:rsidR="00992664" w:rsidRPr="00020424">
        <w:rPr>
          <w:rtl/>
        </w:rPr>
        <w:t xml:space="preserve"> </w:t>
      </w:r>
      <w:r w:rsidR="00992664" w:rsidRPr="00D27EE2">
        <w:rPr>
          <w:rStyle w:val="libFootnoteBoldChar"/>
          <w:rtl/>
        </w:rPr>
        <w:t>وفضائل الأشهر الثلاثة</w:t>
      </w:r>
      <w:r w:rsidR="00992664" w:rsidRPr="00020424">
        <w:rPr>
          <w:rtl/>
        </w:rPr>
        <w:t xml:space="preserve"> : « والصوم والحجّ</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w:t>
      </w:r>
      <w:r w:rsidR="00844366">
        <w:rPr>
          <w:rFonts w:hint="cs"/>
          <w:rtl/>
        </w:rPr>
        <w:t>ُ</w:t>
      </w:r>
      <w:r w:rsidR="00992664" w:rsidRPr="00020424">
        <w:rPr>
          <w:rtl/>
        </w:rPr>
        <w:t>ريد بالولاية معرفة الإمام ؛ فإنّ الولاية بالكسر بمعنى تولّي الأمر ومالكيّة التصرّف فيه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197 : « ويحتمل أن يكون المراد بالولاية المحبّة الزائدة على الاعتقاد بالإمامة بقرينة ذكرها مع الواجبات ، لكنّه بعيد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دعائم الإسلام ، صدر ح 1494. وفي </w:t>
      </w:r>
      <w:r w:rsidR="00992664" w:rsidRPr="0012008A">
        <w:rPr>
          <w:rStyle w:val="libFootnoteBoldChar"/>
          <w:rtl/>
        </w:rPr>
        <w:t>التهذيب</w:t>
      </w:r>
      <w:r w:rsidR="00992664" w:rsidRPr="00020424">
        <w:rPr>
          <w:rtl/>
        </w:rPr>
        <w:t xml:space="preserve"> ، ج 4 ، ص 151 ، ح 418 ، معلّقاً عن الكليني. </w:t>
      </w:r>
      <w:r w:rsidR="00992664" w:rsidRPr="00DE76B9">
        <w:rPr>
          <w:rStyle w:val="libFootnoteBoldChar"/>
          <w:rtl/>
        </w:rPr>
        <w:t>فضائل الأشهر الثلاثة</w:t>
      </w:r>
      <w:r w:rsidR="00992664" w:rsidRPr="00020424">
        <w:rPr>
          <w:rtl/>
        </w:rPr>
        <w:t xml:space="preserve"> ، ص 119 ، ح 117 ، بسنده عن حمّاد بن عيسى. </w:t>
      </w:r>
      <w:r w:rsidR="00D64ADA" w:rsidRPr="00D64ADA">
        <w:rPr>
          <w:rStyle w:val="libFootnoteBoldChar"/>
          <w:rtl/>
        </w:rPr>
        <w:t>المحاسن</w:t>
      </w:r>
      <w:r w:rsidR="00992664" w:rsidRPr="00020424">
        <w:rPr>
          <w:rtl/>
        </w:rPr>
        <w:t xml:space="preserve"> ، ص 286 ، </w:t>
      </w:r>
      <w:r w:rsidR="0084436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وَقَالَ </w:t>
      </w:r>
      <w:r w:rsidRPr="00A91B96">
        <w:rPr>
          <w:rStyle w:val="libFootnotenumChar"/>
          <w:rtl/>
        </w:rPr>
        <w:t>(1)</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الصَّوْمُ جُنَّةٌ مِنَ النَّارِ</w:t>
      </w:r>
      <w:r>
        <w:rPr>
          <w:rtl/>
          <w:lang w:bidi="fa-IR"/>
        </w:rPr>
        <w:t xml:space="preserve"> ».</w:t>
      </w:r>
      <w:r w:rsidRPr="00020424">
        <w:rPr>
          <w:rtl/>
          <w:lang w:bidi="fa-IR"/>
        </w:rPr>
        <w:t xml:space="preserve"> </w:t>
      </w:r>
      <w:r w:rsidRPr="00A91B96">
        <w:rPr>
          <w:rStyle w:val="libFootnotenumChar"/>
          <w:rtl/>
        </w:rPr>
        <w:t>(2)</w:t>
      </w:r>
    </w:p>
    <w:p w:rsidR="00992664" w:rsidRPr="00020424" w:rsidRDefault="00992664" w:rsidP="00992664">
      <w:pPr>
        <w:pStyle w:val="libNormal"/>
        <w:rPr>
          <w:rtl/>
          <w:lang w:bidi="fa-IR"/>
        </w:rPr>
      </w:pPr>
      <w:r w:rsidRPr="007C6E7D">
        <w:rPr>
          <w:rtl/>
        </w:rPr>
        <w:t>6253</w:t>
      </w:r>
      <w:r w:rsidRPr="001155DE">
        <w:rPr>
          <w:rStyle w:val="libBold2Char"/>
          <w:rtl/>
        </w:rPr>
        <w:t xml:space="preserve"> / 2.</w:t>
      </w:r>
      <w:r w:rsidRPr="00020424">
        <w:rPr>
          <w:rtl/>
          <w:lang w:bidi="fa-IR"/>
        </w:rPr>
        <w:t xml:space="preserve"> عَلِيُّ بْنُ إِبْرَاهِيمَ ، عَنْ أَبِيهِ ، عَنْ عَبْدِ اللهِ بْنِ الْمُغِيرَةِ ، عَنْ </w:t>
      </w:r>
      <w:r w:rsidR="007A504B">
        <w:rPr>
          <w:rtl/>
          <w:lang w:bidi="fa-IR"/>
        </w:rPr>
        <w:t>إِسْمَاعِيلَ بْنِ أَبِي زِيَادٍ</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 أَنَّ </w:t>
      </w:r>
      <w:r w:rsidRPr="00A91B96">
        <w:rPr>
          <w:rStyle w:val="libFootnotenumChar"/>
          <w:rtl/>
        </w:rPr>
        <w:t>(3)</w:t>
      </w:r>
      <w:r w:rsidRPr="00020424">
        <w:rPr>
          <w:rtl/>
          <w:lang w:bidi="fa-IR"/>
        </w:rPr>
        <w:t xml:space="preserve"> النَّبِيَّ </w:t>
      </w:r>
      <w:r w:rsidR="00B42914" w:rsidRPr="00B42914">
        <w:rPr>
          <w:rStyle w:val="libAlaemChar"/>
          <w:rtl/>
        </w:rPr>
        <w:t>صلى‌الله‌عليه‌وآله‌</w:t>
      </w:r>
      <w:r>
        <w:rPr>
          <w:rtl/>
          <w:lang w:bidi="fa-IR"/>
        </w:rPr>
        <w:t xml:space="preserve"> قَالَ لِأَصْحَابِهِ : أَ</w:t>
      </w:r>
      <w:r w:rsidRPr="00020424">
        <w:rPr>
          <w:rtl/>
          <w:lang w:bidi="fa-IR"/>
        </w:rPr>
        <w:t>لَا</w:t>
      </w:r>
      <w:r>
        <w:rPr>
          <w:rFonts w:hint="cs"/>
          <w:rtl/>
          <w:lang w:bidi="fa-IR"/>
        </w:rPr>
        <w:t xml:space="preserve"> </w:t>
      </w:r>
      <w:r w:rsidRPr="00020424">
        <w:rPr>
          <w:rtl/>
          <w:lang w:bidi="fa-IR"/>
        </w:rPr>
        <w:t>أُخْبِرُكُمْ بِشَيْ‌ءٍ‌</w:t>
      </w:r>
    </w:p>
    <w:p w:rsidR="00992664" w:rsidRPr="00020424" w:rsidRDefault="00992664" w:rsidP="00992664">
      <w:pPr>
        <w:pStyle w:val="libLine"/>
        <w:rPr>
          <w:rtl/>
          <w:lang w:bidi="fa-IR"/>
        </w:rPr>
      </w:pPr>
      <w:r w:rsidRPr="00020424">
        <w:rPr>
          <w:rtl/>
          <w:lang w:bidi="fa-IR"/>
        </w:rPr>
        <w:t>__________________</w:t>
      </w:r>
    </w:p>
    <w:p w:rsidR="00992664" w:rsidRPr="00020424" w:rsidRDefault="007A504B" w:rsidP="00992664">
      <w:pPr>
        <w:pStyle w:val="libFootnote0"/>
        <w:rPr>
          <w:rtl/>
          <w:lang w:bidi="fa-IR"/>
        </w:rPr>
      </w:pPr>
      <w:r>
        <w:rPr>
          <w:rFonts w:hint="cs"/>
          <w:rtl/>
        </w:rPr>
        <w:t xml:space="preserve">= </w:t>
      </w:r>
      <w:r w:rsidR="00992664" w:rsidRPr="00020424">
        <w:rPr>
          <w:rtl/>
        </w:rPr>
        <w:t xml:space="preserve">كتاب مصابيح الظلم ، صدر ح 430 ، بسنده عن حمّاد بن عيسى ، عن حريز بن عبدالله ، عن زرارة ، عن أبي عبدالله </w:t>
      </w:r>
      <w:r w:rsidR="00992664" w:rsidRPr="00D64ADA">
        <w:rPr>
          <w:rStyle w:val="libFootnoteAlaemChar"/>
          <w:rtl/>
        </w:rPr>
        <w:t>عليه‌السلام</w:t>
      </w:r>
      <w:r w:rsidR="00992664" w:rsidRPr="00020424">
        <w:rPr>
          <w:rtl/>
        </w:rPr>
        <w:t xml:space="preserve">. وفي </w:t>
      </w:r>
      <w:r w:rsidR="00992664" w:rsidRPr="00DE76B9">
        <w:rPr>
          <w:rStyle w:val="libFootnoteBoldChar"/>
          <w:rtl/>
        </w:rPr>
        <w:t>الكافي</w:t>
      </w:r>
      <w:r w:rsidR="00992664" w:rsidRPr="00020424">
        <w:rPr>
          <w:rtl/>
        </w:rPr>
        <w:t xml:space="preserve"> ، كتاب الإيمان والكفر ، باب دعائم الإسلام ، ح 1490 و1492 و1497 ؛ </w:t>
      </w:r>
      <w:r w:rsidR="00992664" w:rsidRPr="00B71548">
        <w:rPr>
          <w:rStyle w:val="libFootnoteBoldChar"/>
          <w:rtl/>
        </w:rPr>
        <w:t>و</w:t>
      </w:r>
      <w:r w:rsidR="00D64ADA" w:rsidRPr="00B71548">
        <w:rPr>
          <w:rStyle w:val="libFootnoteBoldChar"/>
          <w:rtl/>
        </w:rPr>
        <w:t>ال</w:t>
      </w:r>
      <w:r w:rsidR="00D64ADA" w:rsidRPr="00D64ADA">
        <w:rPr>
          <w:rStyle w:val="libFootnoteBoldChar"/>
          <w:rtl/>
        </w:rPr>
        <w:t>محاسن</w:t>
      </w:r>
      <w:r w:rsidR="00992664" w:rsidRPr="00DE76B9">
        <w:rPr>
          <w:rStyle w:val="libFootnoteBoldChar"/>
          <w:rtl/>
        </w:rPr>
        <w:t xml:space="preserve"> </w:t>
      </w:r>
      <w:r w:rsidR="00992664" w:rsidRPr="00020424">
        <w:rPr>
          <w:rtl/>
        </w:rPr>
        <w:t xml:space="preserve">، ص 286 ، كتاب مصابيح الظلم ، ح 429 ، بسند آخر ، مع زيادة في آخره. وفي </w:t>
      </w:r>
      <w:r w:rsidR="00992664" w:rsidRPr="00DE76B9">
        <w:rPr>
          <w:rStyle w:val="libFootnoteBoldChar"/>
          <w:rtl/>
        </w:rPr>
        <w:t>الكافي</w:t>
      </w:r>
      <w:r w:rsidR="00992664" w:rsidRPr="00020424">
        <w:rPr>
          <w:rtl/>
        </w:rPr>
        <w:t xml:space="preserve"> ، نفس الباب ، ح 1496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268 ، المجلس 45 ، ح 14 ، بسند آخر. وفي </w:t>
      </w:r>
      <w:r w:rsidR="00992664" w:rsidRPr="00A722B1">
        <w:rPr>
          <w:rStyle w:val="libFootnoteBoldChar"/>
          <w:rtl/>
        </w:rPr>
        <w:t>الخصال</w:t>
      </w:r>
      <w:r w:rsidR="00992664" w:rsidRPr="00020424">
        <w:rPr>
          <w:rtl/>
        </w:rPr>
        <w:t xml:space="preserve"> ، ص 277 ، باب الخمسة ، ح 21 ، بسند آخر ، مع اختلاف يسير وزيادة في آخره. وفي </w:t>
      </w:r>
      <w:r w:rsidR="00992664" w:rsidRPr="00757F3F">
        <w:rPr>
          <w:rStyle w:val="libFootnoteBoldChar"/>
          <w:rtl/>
        </w:rPr>
        <w:t>الأمالي للطوسي</w:t>
      </w:r>
      <w:r w:rsidR="00992664" w:rsidRPr="00020424">
        <w:rPr>
          <w:rtl/>
        </w:rPr>
        <w:t xml:space="preserve"> ، ص 124 ، المجلس 5 ، ح 5 ؛ </w:t>
      </w:r>
      <w:r w:rsidR="00992664" w:rsidRPr="00DE3E80">
        <w:rPr>
          <w:rStyle w:val="libFootnoteBoldChar"/>
          <w:rtl/>
        </w:rPr>
        <w:t>و</w:t>
      </w:r>
      <w:r w:rsidR="00992664" w:rsidRPr="006C7A1F">
        <w:rPr>
          <w:rStyle w:val="libFootnoteBoldChar"/>
          <w:rtl/>
        </w:rPr>
        <w:t>الأمالي للمفيد</w:t>
      </w:r>
      <w:r w:rsidR="00992664" w:rsidRPr="00020424">
        <w:rPr>
          <w:rtl/>
        </w:rPr>
        <w:t xml:space="preserve"> ، ص 353 ، المجلس 42 ، ح 4 ، بسند آخر ، مع اختلاف يسير. وفي </w:t>
      </w:r>
      <w:r w:rsidR="00992664" w:rsidRPr="00DE76B9">
        <w:rPr>
          <w:rStyle w:val="libFootnoteBoldChar"/>
          <w:rtl/>
        </w:rPr>
        <w:t>فضائل الأشهر الثلاثة</w:t>
      </w:r>
      <w:r w:rsidR="00992664" w:rsidRPr="00020424">
        <w:rPr>
          <w:rtl/>
        </w:rPr>
        <w:t xml:space="preserve"> ، ص 86 ، ح 65 ؛ وص 112 ، ح 106 ، بسند آخر عن الصادق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العيّاشي</w:t>
      </w:r>
      <w:r w:rsidR="00992664" w:rsidRPr="00020424">
        <w:rPr>
          <w:rtl/>
        </w:rPr>
        <w:t xml:space="preserve"> ، ج 1 ، ص 191 ، صدر ح 109 ، عن زرارة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74 ، ح 7870 ، مرسلاً. </w:t>
      </w:r>
      <w:r w:rsidR="00992664" w:rsidRPr="00DE76B9">
        <w:rPr>
          <w:rStyle w:val="libFootnoteBoldChar"/>
          <w:rtl/>
        </w:rPr>
        <w:t>وفيه</w:t>
      </w:r>
      <w:r w:rsidR="00992664" w:rsidRPr="00020424">
        <w:rPr>
          <w:rtl/>
        </w:rPr>
        <w:t xml:space="preserve"> ، ج 1 ، ص 74 ، ح 1871 ، مرسلاً عن أميرالمؤمنين </w:t>
      </w:r>
      <w:r w:rsidR="00992664" w:rsidRPr="00D64ADA">
        <w:rPr>
          <w:rStyle w:val="libFootnoteAlaemChar"/>
          <w:rtl/>
        </w:rPr>
        <w:t>عليه‌السلام</w:t>
      </w:r>
      <w:r w:rsidR="00992664" w:rsidRPr="00020424">
        <w:rPr>
          <w:rtl/>
        </w:rPr>
        <w:t xml:space="preserve"> ، مع اختلاف يسير. راجع : </w:t>
      </w:r>
      <w:r w:rsidR="00992664" w:rsidRPr="00DE76B9">
        <w:rPr>
          <w:rStyle w:val="libFootnoteBoldChar"/>
          <w:rtl/>
        </w:rPr>
        <w:t>الكافي</w:t>
      </w:r>
      <w:r w:rsidR="00992664" w:rsidRPr="00020424">
        <w:rPr>
          <w:rtl/>
        </w:rPr>
        <w:t xml:space="preserve"> ، كتاب الإيمان والكفر ، باب ( بدون العنوان ) ، ضمن ح 1518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447 ، باب العشرة ، ح 47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44 ، المجلس 2 ، ح 19 ؛ وص 518 ، المجلس 28 ، ح 41 </w:t>
      </w:r>
      <w:r w:rsidR="00B71548">
        <w:rPr>
          <w:rFonts w:hint="cs"/>
          <w:rtl/>
        </w:rPr>
        <w:t>.</w:t>
      </w:r>
      <w:r w:rsidR="00992664" w:rsidRPr="0012008A">
        <w:rPr>
          <w:rStyle w:val="libFootnoteBoldChar"/>
          <w:rtl/>
        </w:rPr>
        <w:t>الوافي</w:t>
      </w:r>
      <w:r w:rsidR="00992664" w:rsidRPr="00020424">
        <w:rPr>
          <w:rtl/>
        </w:rPr>
        <w:t xml:space="preserve"> ، ج 11 ، ص 21 ، ح 10342 ؛ </w:t>
      </w:r>
      <w:r w:rsidR="00992664" w:rsidRPr="0012008A">
        <w:rPr>
          <w:rStyle w:val="libFootnoteBoldChar"/>
          <w:rtl/>
        </w:rPr>
        <w:t>الوسائل</w:t>
      </w:r>
      <w:r w:rsidR="00992664" w:rsidRPr="00020424">
        <w:rPr>
          <w:rtl/>
        </w:rPr>
        <w:t xml:space="preserve"> ، ج 1 ، ص 15 ، ح 5 ؛ وج 10 ، ص 395 ، ح 13673.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B71548">
        <w:rPr>
          <w:rtl/>
        </w:rPr>
        <w:t>الوافي</w:t>
      </w:r>
      <w:r w:rsidR="00992664" w:rsidRPr="00020424">
        <w:rPr>
          <w:rtl/>
        </w:rPr>
        <w:t xml:space="preserve"> عن بعض النسخ :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دعائم الإسلام ، ضمن ح 1494. وفي </w:t>
      </w:r>
      <w:r w:rsidR="00992664" w:rsidRPr="0012008A">
        <w:rPr>
          <w:rStyle w:val="libFootnoteBoldChar"/>
          <w:rtl/>
        </w:rPr>
        <w:t>التهذيب</w:t>
      </w:r>
      <w:r w:rsidR="00992664" w:rsidRPr="00020424">
        <w:rPr>
          <w:rtl/>
        </w:rPr>
        <w:t xml:space="preserve"> ، ج 4 ، ص 151 ، ذيل ح 418 ، معلّقاً عن الكليني. </w:t>
      </w:r>
      <w:r w:rsidR="00992664" w:rsidRPr="00DE76B9">
        <w:rPr>
          <w:rStyle w:val="libFootnoteBoldChar"/>
          <w:rtl/>
        </w:rPr>
        <w:t>فضائل الأشهر الثلاثة</w:t>
      </w:r>
      <w:r w:rsidR="00992664" w:rsidRPr="00020424">
        <w:rPr>
          <w:rtl/>
        </w:rPr>
        <w:t xml:space="preserve"> ، ص 119 ، ذيل ح 117 ، بسنده عن حمّاد بن عيسى. </w:t>
      </w:r>
      <w:r w:rsidR="00992664" w:rsidRPr="00DE76B9">
        <w:rPr>
          <w:rStyle w:val="libFootnoteBoldChar"/>
          <w:rtl/>
        </w:rPr>
        <w:t>الكافي</w:t>
      </w:r>
      <w:r w:rsidR="00992664" w:rsidRPr="00020424">
        <w:rPr>
          <w:rtl/>
        </w:rPr>
        <w:t xml:space="preserve"> ، نفس الباب ، ضمن ح 1504 ، بسند آخر عن أبي جعفر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D64ADA" w:rsidRPr="00D64ADA">
        <w:rPr>
          <w:rStyle w:val="libFootnoteBoldChar"/>
          <w:rtl/>
        </w:rPr>
        <w:t>المحاسن</w:t>
      </w:r>
      <w:r w:rsidR="00992664" w:rsidRPr="00020424">
        <w:rPr>
          <w:rtl/>
        </w:rPr>
        <w:t xml:space="preserve"> ، ج 1 ، ص 286 ، كتاب مصابيح الظلم ، ضمن ح 430 ، بسنده عن حمّاد بن عيسى ، عن حريز بن عبدالله ، عن زرارة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D64ADA" w:rsidRPr="00D64ADA">
        <w:rPr>
          <w:rStyle w:val="libFootnoteBoldChar"/>
          <w:rtl/>
        </w:rPr>
        <w:t>المحاسن</w:t>
      </w:r>
      <w:r w:rsidR="00992664" w:rsidRPr="00020424">
        <w:rPr>
          <w:rtl/>
        </w:rPr>
        <w:t xml:space="preserve"> ج 1 ، ص 221 ، كتاب مصابيح الظلم ، ذيل ح 134 ؛ </w:t>
      </w:r>
      <w:r w:rsidR="00992664" w:rsidRPr="00B71548">
        <w:rPr>
          <w:rStyle w:val="libFootnoteBoldChar"/>
          <w:rtl/>
        </w:rPr>
        <w:t>وبصائر الدرجات</w:t>
      </w:r>
      <w:r w:rsidR="00992664" w:rsidRPr="00020424">
        <w:rPr>
          <w:rtl/>
        </w:rPr>
        <w:t xml:space="preserve"> ، ص 11 ، ذيل ح 4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وتمامه في الأخير : « الصوم جنّة</w:t>
      </w:r>
      <w:r w:rsidR="00992664">
        <w:rPr>
          <w:rtl/>
        </w:rPr>
        <w:t xml:space="preserve"> ».</w:t>
      </w:r>
      <w:r w:rsidR="00992664" w:rsidRPr="00020424">
        <w:rPr>
          <w:rtl/>
        </w:rPr>
        <w:t xml:space="preserve"> </w:t>
      </w:r>
      <w:r w:rsidR="00992664" w:rsidRPr="00DE76B9">
        <w:rPr>
          <w:rStyle w:val="libFootnoteBoldChar"/>
          <w:rtl/>
        </w:rPr>
        <w:t>معاني الأخبار</w:t>
      </w:r>
      <w:r w:rsidR="00992664" w:rsidRPr="00020424">
        <w:rPr>
          <w:rtl/>
        </w:rPr>
        <w:t xml:space="preserve"> ، ص 408 ، ح 88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التهذيب</w:t>
      </w:r>
      <w:r w:rsidR="00992664" w:rsidRPr="00020424">
        <w:rPr>
          <w:rtl/>
        </w:rPr>
        <w:t xml:space="preserve"> ، ج 4 ، ص 191 ، ح 544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DE76B9">
        <w:rPr>
          <w:rStyle w:val="libFootnoteBoldChar"/>
          <w:rtl/>
        </w:rPr>
        <w:t>تفسير العيّاشي</w:t>
      </w:r>
      <w:r w:rsidR="00992664" w:rsidRPr="00020424">
        <w:rPr>
          <w:rtl/>
        </w:rPr>
        <w:t xml:space="preserve"> ، ج 1 ، ص 191 ، ضمن ح 109 ، عن زرارة ، عن أبي جعفر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74 ، ح 1871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B71548">
        <w:rPr>
          <w:rFonts w:hint="cs"/>
          <w:rtl/>
        </w:rPr>
        <w:t>.</w:t>
      </w:r>
      <w:r w:rsidR="00992664" w:rsidRPr="0012008A">
        <w:rPr>
          <w:rStyle w:val="libFootnoteBoldChar"/>
          <w:rtl/>
        </w:rPr>
        <w:t>الوافي</w:t>
      </w:r>
      <w:r w:rsidR="00992664" w:rsidRPr="00020424">
        <w:rPr>
          <w:rtl/>
        </w:rPr>
        <w:t xml:space="preserve"> ، ج 11 ، ص 21 ، ح 10342 ؛ </w:t>
      </w:r>
      <w:r w:rsidR="00992664" w:rsidRPr="0012008A">
        <w:rPr>
          <w:rStyle w:val="libFootnoteBoldChar"/>
          <w:rtl/>
        </w:rPr>
        <w:t>الوسائل</w:t>
      </w:r>
      <w:r w:rsidR="00992664" w:rsidRPr="00020424">
        <w:rPr>
          <w:rtl/>
        </w:rPr>
        <w:t xml:space="preserve"> ، ج 10 ، ص 395 ، ح 13673.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بك » : « عن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71548">
      <w:pPr>
        <w:pStyle w:val="libNormal0"/>
        <w:rPr>
          <w:rtl/>
          <w:lang w:bidi="fa-IR"/>
        </w:rPr>
      </w:pPr>
      <w:r w:rsidRPr="00020424">
        <w:rPr>
          <w:rtl/>
          <w:lang w:bidi="fa-IR"/>
        </w:rPr>
        <w:t xml:space="preserve">إِنْ أَنْتُمْ فَعَلْتُمُوهُ ، تَبَاعَدَ الشَّيْطَانُ مِنْكُمْ </w:t>
      </w:r>
      <w:r w:rsidRPr="00A91B96">
        <w:rPr>
          <w:rStyle w:val="libFootnotenumChar"/>
          <w:rtl/>
        </w:rPr>
        <w:t>(1)</w:t>
      </w:r>
      <w:r w:rsidRPr="00020424">
        <w:rPr>
          <w:rtl/>
          <w:lang w:bidi="fa-IR"/>
        </w:rPr>
        <w:t xml:space="preserve"> كَمَا تَبَاعَدَ </w:t>
      </w:r>
      <w:r w:rsidRPr="00A91B96">
        <w:rPr>
          <w:rStyle w:val="libFootnotenumChar"/>
          <w:rtl/>
        </w:rPr>
        <w:t>(2)</w:t>
      </w:r>
      <w:r w:rsidRPr="00020424">
        <w:rPr>
          <w:rtl/>
          <w:lang w:bidi="fa-IR"/>
        </w:rPr>
        <w:t xml:space="preserve"> الْمَشْرِقُ مِنَ الْمَغْرِبِ</w:t>
      </w:r>
      <w:r>
        <w:rPr>
          <w:rtl/>
          <w:lang w:bidi="fa-IR"/>
        </w:rPr>
        <w:t>؟</w:t>
      </w:r>
      <w:r w:rsidRPr="00020424">
        <w:rPr>
          <w:rtl/>
          <w:lang w:bidi="fa-IR"/>
        </w:rPr>
        <w:t xml:space="preserve"> قَالُوا :</w:t>
      </w:r>
      <w:r>
        <w:rPr>
          <w:rFonts w:hint="cs"/>
          <w:rtl/>
          <w:lang w:bidi="fa-IR"/>
        </w:rPr>
        <w:t xml:space="preserve"> </w:t>
      </w:r>
      <w:r w:rsidRPr="00020424">
        <w:rPr>
          <w:rtl/>
          <w:lang w:bidi="fa-IR"/>
        </w:rPr>
        <w:t xml:space="preserve">بَلى </w:t>
      </w:r>
      <w:r w:rsidRPr="00A91B96">
        <w:rPr>
          <w:rStyle w:val="libFootnotenumChar"/>
          <w:rtl/>
        </w:rPr>
        <w:t>(3)</w:t>
      </w:r>
      <w:r w:rsidRPr="00020424">
        <w:rPr>
          <w:rtl/>
          <w:lang w:bidi="fa-IR"/>
        </w:rPr>
        <w:t xml:space="preserve"> ، قَالَ : الصَّوْمُ يُسَوِّدُ وَجْهَهُ ، وَالصَّدَقَةُ تَكْسِرُ ظَهْرَهُ ، وَالْحُبُّ فِي اللهِ وَالْمُوَازَرَةُ </w:t>
      </w:r>
      <w:r w:rsidRPr="00A91B96">
        <w:rPr>
          <w:rStyle w:val="libFootnotenumChar"/>
          <w:rtl/>
        </w:rPr>
        <w:t>(4)</w:t>
      </w:r>
      <w:r w:rsidRPr="00020424">
        <w:rPr>
          <w:rtl/>
          <w:lang w:bidi="fa-IR"/>
        </w:rPr>
        <w:t xml:space="preserve"> عَلَى الْعَمَلِ الصَّالِحِ يَقْطَعُ دَابِرَهُ </w:t>
      </w:r>
      <w:r w:rsidRPr="00A91B96">
        <w:rPr>
          <w:rStyle w:val="libFootnotenumChar"/>
          <w:rtl/>
        </w:rPr>
        <w:t>(5)</w:t>
      </w:r>
      <w:r w:rsidRPr="00020424">
        <w:rPr>
          <w:rtl/>
          <w:lang w:bidi="fa-IR"/>
        </w:rPr>
        <w:t xml:space="preserve"> ، وَالِاسْتِغْفَارُ يَقْطَعُ وَتِينَهُ </w:t>
      </w:r>
      <w:r w:rsidRPr="00A91B96">
        <w:rPr>
          <w:rStyle w:val="libFootnotenumChar"/>
          <w:rtl/>
        </w:rPr>
        <w:t>(6)</w:t>
      </w:r>
      <w:r w:rsidRPr="00020424">
        <w:rPr>
          <w:rtl/>
          <w:lang w:bidi="fa-IR"/>
        </w:rPr>
        <w:t xml:space="preserve"> ؛ وَلِكُلِّ شَيْ‌ءٍ زَكَاةٌ ، وَزَكَاةُ الْأَبْدَانِ الصِّيَامُ</w:t>
      </w:r>
      <w:r>
        <w:rPr>
          <w:rtl/>
          <w:lang w:bidi="fa-IR"/>
        </w:rPr>
        <w:t>».</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7C6E7D">
        <w:rPr>
          <w:rtl/>
        </w:rPr>
        <w:t>6254</w:t>
      </w:r>
      <w:r w:rsidRPr="001155DE">
        <w:rPr>
          <w:rStyle w:val="libBold2Char"/>
          <w:rtl/>
        </w:rPr>
        <w:t xml:space="preserve"> / 3.</w:t>
      </w:r>
      <w:r w:rsidRPr="00020424">
        <w:rPr>
          <w:rtl/>
          <w:lang w:bidi="fa-IR"/>
        </w:rPr>
        <w:t xml:space="preserve"> مُحَمَّدُ بْنِ يَحْيى ، عَنْ أَحْمَدَ بْنِ </w:t>
      </w:r>
      <w:r w:rsidRPr="00A91B96">
        <w:rPr>
          <w:rStyle w:val="libFootnotenumChar"/>
          <w:rtl/>
        </w:rPr>
        <w:t>(8)</w:t>
      </w:r>
      <w:r w:rsidRPr="00020424">
        <w:rPr>
          <w:rtl/>
          <w:lang w:bidi="fa-IR"/>
        </w:rPr>
        <w:t xml:space="preserve"> مُحَمَّدِ بْنِ عِيسى ، عَنِ ابْنِ فَضَّالٍ ، عَنْ ثَعْلَبَةَ ، عَنْ عَلِيِّ بْنِ عَبْدِ الْعَزِيزِ ، قَالَ :</w:t>
      </w:r>
    </w:p>
    <w:p w:rsidR="00992664" w:rsidRPr="00020424" w:rsidRDefault="00992664" w:rsidP="00992664">
      <w:pPr>
        <w:pStyle w:val="libNormal"/>
        <w:rPr>
          <w:rtl/>
          <w:lang w:bidi="fa-IR"/>
        </w:rPr>
      </w:pPr>
      <w:r w:rsidRPr="00020424">
        <w:rPr>
          <w:rtl/>
          <w:lang w:bidi="fa-IR"/>
        </w:rPr>
        <w:t xml:space="preserve">قَالَ لِي أَبُو عَبْدِ اللهِ </w:t>
      </w:r>
      <w:r w:rsidRPr="00005A81">
        <w:rPr>
          <w:rStyle w:val="libAlaemChar"/>
          <w:rtl/>
        </w:rPr>
        <w:t>عليه‌السلام</w:t>
      </w:r>
      <w:r>
        <w:rPr>
          <w:rtl/>
          <w:lang w:bidi="fa-IR"/>
        </w:rPr>
        <w:t xml:space="preserve"> : « أَ</w:t>
      </w:r>
      <w:r w:rsidRPr="00020424">
        <w:rPr>
          <w:rtl/>
          <w:lang w:bidi="fa-IR"/>
        </w:rPr>
        <w:t>لَا</w:t>
      </w:r>
      <w:r>
        <w:rPr>
          <w:rFonts w:hint="cs"/>
          <w:rtl/>
          <w:lang w:bidi="fa-IR"/>
        </w:rPr>
        <w:t xml:space="preserve"> </w:t>
      </w:r>
      <w:r w:rsidRPr="00020424">
        <w:rPr>
          <w:rtl/>
          <w:lang w:bidi="fa-IR"/>
        </w:rPr>
        <w:t xml:space="preserve">أُخْبِرُكَ بِأَصْلِ الْإِسْلَامِ وَفَرْعِهِ وَذِرْوَتِهِ وَسَنَامِهِ </w:t>
      </w:r>
      <w:r w:rsidRPr="00A91B96">
        <w:rPr>
          <w:rStyle w:val="libFootnotenumChar"/>
          <w:rtl/>
        </w:rPr>
        <w:t>(9)</w:t>
      </w:r>
      <w:r>
        <w:rPr>
          <w:rtl/>
          <w:lang w:bidi="fa-IR"/>
        </w:rPr>
        <w:t>؟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حاشية « بث » </w:t>
      </w:r>
      <w:r w:rsidR="00992664" w:rsidRPr="00D27EE2">
        <w:rPr>
          <w:rtl/>
        </w:rPr>
        <w:t>والفقيه والتهذيب</w:t>
      </w:r>
      <w:r w:rsidR="00992664" w:rsidRPr="00020424">
        <w:rPr>
          <w:rtl/>
        </w:rPr>
        <w:t xml:space="preserve"> </w:t>
      </w:r>
      <w:r w:rsidR="00992664" w:rsidRPr="00D27EE2">
        <w:rPr>
          <w:rStyle w:val="libFootnoteBoldChar"/>
          <w:rtl/>
        </w:rPr>
        <w:t>وفضائل الأشهر الثلاثة</w:t>
      </w:r>
      <w:r w:rsidR="00992664" w:rsidRPr="00020424">
        <w:rPr>
          <w:rtl/>
        </w:rPr>
        <w:t xml:space="preserve"> ، ص 75 : « عنكم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27EE2" w:rsidTr="00D27EE2">
        <w:tc>
          <w:tcPr>
            <w:tcW w:w="4006" w:type="dxa"/>
          </w:tcPr>
          <w:p w:rsidR="00D27EE2" w:rsidRDefault="00D27EE2" w:rsidP="00992664">
            <w:pPr>
              <w:pStyle w:val="libFootnote0"/>
              <w:rPr>
                <w:rtl/>
              </w:rPr>
            </w:pPr>
            <w:r>
              <w:rPr>
                <w:rtl/>
              </w:rPr>
              <w:t xml:space="preserve">(2). </w:t>
            </w:r>
            <w:r w:rsidRPr="00020424">
              <w:rPr>
                <w:rtl/>
              </w:rPr>
              <w:t>في « بخ » : « يتباعد</w:t>
            </w:r>
            <w:r>
              <w:rPr>
                <w:rtl/>
              </w:rPr>
              <w:t xml:space="preserve"> ».</w:t>
            </w:r>
          </w:p>
        </w:tc>
        <w:tc>
          <w:tcPr>
            <w:tcW w:w="4006" w:type="dxa"/>
          </w:tcPr>
          <w:p w:rsidR="00D27EE2" w:rsidRDefault="00D27EE2" w:rsidP="00992664">
            <w:pPr>
              <w:pStyle w:val="libFootnote0"/>
              <w:rPr>
                <w:rtl/>
              </w:rPr>
            </w:pPr>
            <w:r>
              <w:rPr>
                <w:rtl/>
              </w:rPr>
              <w:t>(3). في «بث</w:t>
            </w:r>
            <w:r w:rsidRPr="00020424">
              <w:rPr>
                <w:rtl/>
              </w:rPr>
              <w:t xml:space="preserve">» </w:t>
            </w:r>
            <w:r w:rsidRPr="00D27EE2">
              <w:rPr>
                <w:rtl/>
              </w:rPr>
              <w:t>والوافي والفقيه</w:t>
            </w:r>
            <w:r w:rsidRPr="00020424">
              <w:rPr>
                <w:rtl/>
              </w:rPr>
              <w:t xml:space="preserve"> : + « يا رسول الله</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الجعفريّات : « والمواظبة</w:t>
      </w:r>
      <w:r w:rsidR="00992664">
        <w:rPr>
          <w:rtl/>
        </w:rPr>
        <w:t xml:space="preserve"> ».</w:t>
      </w:r>
      <w:r w:rsidR="00992664" w:rsidRPr="00020424">
        <w:rPr>
          <w:rtl/>
        </w:rPr>
        <w:t xml:space="preserve"> والموازرة : المعاونة والتقوية ؛ من الأزر بمعنى القوّة والشدّة. راجع : </w:t>
      </w:r>
      <w:r w:rsidR="00992664" w:rsidRPr="0012008A">
        <w:rPr>
          <w:rStyle w:val="libFootnoteBoldChar"/>
          <w:rtl/>
        </w:rPr>
        <w:t>الصحاح</w:t>
      </w:r>
      <w:r w:rsidR="00992664" w:rsidRPr="00020424">
        <w:rPr>
          <w:rtl/>
        </w:rPr>
        <w:t xml:space="preserve"> ، ج 2 ، ص 578 ؛ </w:t>
      </w:r>
      <w:r w:rsidR="00992664" w:rsidRPr="0012008A">
        <w:rPr>
          <w:rStyle w:val="libFootnoteBoldChar"/>
          <w:rtl/>
        </w:rPr>
        <w:t>النهاية</w:t>
      </w:r>
      <w:r w:rsidR="00992664" w:rsidRPr="00020424">
        <w:rPr>
          <w:rtl/>
        </w:rPr>
        <w:t xml:space="preserve"> ، ج 1 ، ص 44 ( أزر ) ؛ </w:t>
      </w:r>
      <w:r w:rsidR="00992664" w:rsidRPr="00A722B1">
        <w:rPr>
          <w:rStyle w:val="libFootnoteBoldChar"/>
          <w:rtl/>
        </w:rPr>
        <w:t>لسان العرب</w:t>
      </w:r>
      <w:r w:rsidR="00992664" w:rsidRPr="00020424">
        <w:rPr>
          <w:rtl/>
        </w:rPr>
        <w:t xml:space="preserve"> ، ج 5 ، ص 283 ( وزر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يقطع دابره » أي آخر جزء منه ، كناية عن استيصاله ، أو دابر عسكره. أو المراد بالدابر : التابع ؛ يقال : قطع الله</w:t>
      </w:r>
      <w:r w:rsidR="00D27EE2">
        <w:rPr>
          <w:rFonts w:hint="cs"/>
          <w:rtl/>
        </w:rPr>
        <w:t xml:space="preserve"> </w:t>
      </w:r>
      <w:r w:rsidR="00992664" w:rsidRPr="00020424">
        <w:rPr>
          <w:rtl/>
        </w:rPr>
        <w:t xml:space="preserve">‌دابرهم ، أي آخر من بقي منهم. راجع : </w:t>
      </w:r>
      <w:r w:rsidR="00992664" w:rsidRPr="0012008A">
        <w:rPr>
          <w:rStyle w:val="libFootnoteBoldChar"/>
          <w:rtl/>
        </w:rPr>
        <w:t>الصحاح</w:t>
      </w:r>
      <w:r w:rsidR="00992664" w:rsidRPr="00020424">
        <w:rPr>
          <w:rtl/>
        </w:rPr>
        <w:t xml:space="preserve"> ، ج 2 ، ص 653.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الوتين : عرق في القلب إذا انقطع مات صاحبه. </w:t>
      </w:r>
      <w:r w:rsidR="00992664" w:rsidRPr="0012008A">
        <w:rPr>
          <w:rStyle w:val="libFootnoteBoldChar"/>
          <w:rtl/>
        </w:rPr>
        <w:t>الصحاح</w:t>
      </w:r>
      <w:r w:rsidR="00992664" w:rsidRPr="00020424">
        <w:rPr>
          <w:rtl/>
        </w:rPr>
        <w:t xml:space="preserve"> ، ج 6 ، ص 2211 ؛ </w:t>
      </w:r>
      <w:r w:rsidR="00992664" w:rsidRPr="0012008A">
        <w:rPr>
          <w:rStyle w:val="libFootnoteBoldChar"/>
          <w:rtl/>
        </w:rPr>
        <w:t>النهاية</w:t>
      </w:r>
      <w:r w:rsidR="00D27EE2">
        <w:rPr>
          <w:rtl/>
        </w:rPr>
        <w:t xml:space="preserve"> ، ج 5 ، ص 150 (وتن</w:t>
      </w:r>
      <w:r w:rsidR="00992664" w:rsidRPr="00020424">
        <w:rPr>
          <w:rtl/>
        </w:rPr>
        <w:t>)</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587829">
        <w:rPr>
          <w:rStyle w:val="libFootnoteBoldChar"/>
          <w:rtl/>
        </w:rPr>
        <w:t>الأمالي للصدوق</w:t>
      </w:r>
      <w:r w:rsidR="00992664" w:rsidRPr="00020424">
        <w:rPr>
          <w:rtl/>
        </w:rPr>
        <w:t xml:space="preserve"> ، ص 61 ، المجلس 15 ، ح 1 ؛ </w:t>
      </w:r>
      <w:r w:rsidR="00992664" w:rsidRPr="00D27EE2">
        <w:rPr>
          <w:rStyle w:val="libFootnoteBoldChar"/>
          <w:rtl/>
        </w:rPr>
        <w:t>وفضائل الأشهر الثلاثة</w:t>
      </w:r>
      <w:r w:rsidR="00992664" w:rsidRPr="00020424">
        <w:rPr>
          <w:rtl/>
        </w:rPr>
        <w:t xml:space="preserve"> ، ص 75 ، ح 57 ، بسندهما عن عبدالله بن المغيرة. </w:t>
      </w:r>
      <w:r w:rsidR="00992664" w:rsidRPr="0012008A">
        <w:rPr>
          <w:rStyle w:val="libFootnoteBoldChar"/>
          <w:rtl/>
        </w:rPr>
        <w:t>التهذيب</w:t>
      </w:r>
      <w:r w:rsidR="00992664" w:rsidRPr="00020424">
        <w:rPr>
          <w:rtl/>
        </w:rPr>
        <w:t xml:space="preserve"> ، ج 4 ، ص 191 ، ح 542 ، بسنده عن عبدالله بن المغيرة ، عن إسماعيل بن أبي زياد الشعيري ، عن أبي عبدالله ، عن أبيه </w:t>
      </w:r>
      <w:r w:rsidR="00D64ADA" w:rsidRPr="00D64ADA">
        <w:rPr>
          <w:rStyle w:val="libFootnoteAlaemChar"/>
          <w:rtl/>
        </w:rPr>
        <w:t>عليهما‌السلام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D64ADA" w:rsidRPr="00D64ADA">
        <w:rPr>
          <w:rStyle w:val="libFootnoteBoldChar"/>
          <w:rtl/>
        </w:rPr>
        <w:t>المحاسن</w:t>
      </w:r>
      <w:r w:rsidR="00992664" w:rsidRPr="00020424">
        <w:rPr>
          <w:rtl/>
        </w:rPr>
        <w:t xml:space="preserve"> ، ص 72 ، كتاب </w:t>
      </w:r>
      <w:r w:rsidR="00992664" w:rsidRPr="0012008A">
        <w:rPr>
          <w:rStyle w:val="libFootnoteBoldChar"/>
          <w:rtl/>
        </w:rPr>
        <w:t>ثواب الأعمال</w:t>
      </w:r>
      <w:r w:rsidR="00992664" w:rsidRPr="00020424">
        <w:rPr>
          <w:rtl/>
        </w:rPr>
        <w:t xml:space="preserve"> ، ح 150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ص 122 ، ح 127 ، بسند آخر ، من قوله : « لكلّ شى‌ء زكاة</w:t>
      </w:r>
      <w:r w:rsidR="00992664">
        <w:rPr>
          <w:rtl/>
        </w:rPr>
        <w:t xml:space="preserve"> ».</w:t>
      </w:r>
      <w:r w:rsidR="00992664" w:rsidRPr="00020424">
        <w:rPr>
          <w:rtl/>
        </w:rPr>
        <w:t xml:space="preserve"> </w:t>
      </w:r>
      <w:r w:rsidR="00992664" w:rsidRPr="00DE76B9">
        <w:rPr>
          <w:rStyle w:val="libFootnoteBoldChar"/>
          <w:rtl/>
        </w:rPr>
        <w:t>وفيه</w:t>
      </w:r>
      <w:r w:rsidR="00992664" w:rsidRPr="00020424">
        <w:rPr>
          <w:rtl/>
        </w:rPr>
        <w:t xml:space="preserve"> ، ص 76 ، ح 58 ؛ وص 92 ، ح 71 ، بسند آخر عن أبي عبدالله </w:t>
      </w:r>
      <w:r w:rsidR="00992664" w:rsidRPr="00D64ADA">
        <w:rPr>
          <w:rStyle w:val="libFootnoteAlaemChar"/>
          <w:rtl/>
        </w:rPr>
        <w:t>عليه‌السلام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الجعفريّات</w:t>
      </w:r>
      <w:r w:rsidR="00992664" w:rsidRPr="00020424">
        <w:rPr>
          <w:rtl/>
        </w:rPr>
        <w:t xml:space="preserve"> ، ص 58 ، بسند آخر ، وفي الثلاثة الأخيرة إلى قوله : « يقطع وتينه » مع اختلاف يسير. </w:t>
      </w:r>
      <w:r w:rsidR="00992664" w:rsidRPr="0012008A">
        <w:rPr>
          <w:rStyle w:val="libFootnoteBoldChar"/>
          <w:rtl/>
        </w:rPr>
        <w:t>الفقيه</w:t>
      </w:r>
      <w:r w:rsidR="00992664" w:rsidRPr="00020424">
        <w:rPr>
          <w:rtl/>
        </w:rPr>
        <w:t xml:space="preserve"> ، ج 2 ، ص 75 ، ح 1774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103 ، ضمن الحديث ؛ </w:t>
      </w:r>
      <w:r w:rsidR="00992664" w:rsidRPr="00D27EE2">
        <w:rPr>
          <w:rStyle w:val="libFootnoteBoldChar"/>
          <w:rtl/>
        </w:rPr>
        <w:t>ونهج البلاغة</w:t>
      </w:r>
      <w:r w:rsidR="00992664" w:rsidRPr="00020424">
        <w:rPr>
          <w:rtl/>
        </w:rPr>
        <w:t xml:space="preserve"> ، ص 494 ، ضمن الحكمة 136 ، مرسلاً عن عليّ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304 ، مرسلاً عن الصادق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الثلاثة الأخيرة من قوله : « لكلّ شي‌ء زكاة » </w:t>
      </w:r>
      <w:r w:rsidR="00D27EE2">
        <w:rPr>
          <w:rFonts w:hint="cs"/>
          <w:rtl/>
        </w:rPr>
        <w:t>.</w:t>
      </w:r>
      <w:r w:rsidR="00992664" w:rsidRPr="0012008A">
        <w:rPr>
          <w:rStyle w:val="libFootnoteBoldChar"/>
          <w:rtl/>
        </w:rPr>
        <w:t>الوافي</w:t>
      </w:r>
      <w:r w:rsidR="00992664" w:rsidRPr="00020424">
        <w:rPr>
          <w:rtl/>
        </w:rPr>
        <w:t xml:space="preserve"> ، ج 11 ، ص 23 ، ح 10347 ؛ </w:t>
      </w:r>
      <w:r w:rsidR="00992664" w:rsidRPr="0012008A">
        <w:rPr>
          <w:rStyle w:val="libFootnoteBoldChar"/>
          <w:rtl/>
        </w:rPr>
        <w:t>الوسائل</w:t>
      </w:r>
      <w:r w:rsidR="00992664" w:rsidRPr="00020424">
        <w:rPr>
          <w:rtl/>
        </w:rPr>
        <w:t xml:space="preserve"> ، ج 10 ، ص 395 ، ح 13674 ؛ </w:t>
      </w:r>
      <w:r w:rsidR="00992664" w:rsidRPr="0012008A">
        <w:rPr>
          <w:rStyle w:val="libFootnoteBoldChar"/>
          <w:rtl/>
        </w:rPr>
        <w:t>البحار</w:t>
      </w:r>
      <w:r w:rsidR="00992664" w:rsidRPr="00020424">
        <w:rPr>
          <w:rtl/>
        </w:rPr>
        <w:t xml:space="preserve"> ، ج 63 ، ص 261 ، ح 140 ، إلى قوله : « يقطع وتينه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أحمد بن</w:t>
      </w:r>
      <w:r w:rsidR="00992664">
        <w:rPr>
          <w:rtl/>
        </w:rPr>
        <w:t xml:space="preserve"> ».</w:t>
      </w:r>
      <w:r w:rsidR="00992664" w:rsidRPr="00020424">
        <w:rPr>
          <w:rtl/>
        </w:rPr>
        <w:t xml:space="preserve"> لكنّه مذكور في بعض نسخه المعتبرة.</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ذِرْوَةُ الشي‌ء وذُرْوَتُهُ : أعلاه ، وكذلك السنام ، فالعطف تفسيريّ. راجع : </w:t>
      </w:r>
      <w:r w:rsidR="00992664" w:rsidRPr="0012008A">
        <w:rPr>
          <w:rStyle w:val="libFootnoteBoldChar"/>
          <w:rtl/>
        </w:rPr>
        <w:t>الصحاح</w:t>
      </w:r>
      <w:r w:rsidR="004C3FD4">
        <w:rPr>
          <w:rtl/>
        </w:rPr>
        <w:t xml:space="preserve"> ، ج 6 ، ص 2345 (ذرو)</w:t>
      </w:r>
      <w:r w:rsidR="00992664" w:rsidRPr="00020424">
        <w:rPr>
          <w:rtl/>
        </w:rPr>
        <w:t xml:space="preserve">؛ </w:t>
      </w:r>
      <w:r w:rsidR="00992664" w:rsidRPr="00A722B1">
        <w:rPr>
          <w:rStyle w:val="libFootnoteBoldChar"/>
          <w:rtl/>
        </w:rPr>
        <w:t>لسان العرب</w:t>
      </w:r>
      <w:r w:rsidR="00992664" w:rsidRPr="00020424">
        <w:rPr>
          <w:rtl/>
        </w:rPr>
        <w:t xml:space="preserve"> ، ج 12 ، ص 306 ( سنم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4C3FD4">
      <w:pPr>
        <w:pStyle w:val="libNormal0"/>
        <w:rPr>
          <w:rtl/>
          <w:lang w:bidi="fa-IR"/>
        </w:rPr>
      </w:pPr>
      <w:r w:rsidRPr="00020424">
        <w:rPr>
          <w:rtl/>
          <w:lang w:bidi="fa-IR"/>
        </w:rPr>
        <w:t>قُلْتُ : بَلى.</w:t>
      </w:r>
    </w:p>
    <w:p w:rsidR="00992664" w:rsidRPr="00020424" w:rsidRDefault="00992664" w:rsidP="00992664">
      <w:pPr>
        <w:pStyle w:val="libNormal"/>
        <w:rPr>
          <w:rtl/>
          <w:lang w:bidi="fa-IR"/>
        </w:rPr>
      </w:pPr>
      <w:r w:rsidRPr="00020424">
        <w:rPr>
          <w:rtl/>
          <w:lang w:bidi="fa-IR"/>
        </w:rPr>
        <w:t>قَالَ : « أَصْلُهُ الصَّلَاةُ ، وَفَرْعُهُ الزَّكَاةُ ، وَذِرْوَتُهُ وَسَنَامُهُ ال</w:t>
      </w:r>
      <w:r>
        <w:rPr>
          <w:rtl/>
          <w:lang w:bidi="fa-IR"/>
        </w:rPr>
        <w:t>ْجِهَادُ فِي سَبِيلِ اللهِ ؛ أَ</w:t>
      </w:r>
      <w:r w:rsidRPr="00020424">
        <w:rPr>
          <w:rtl/>
          <w:lang w:bidi="fa-IR"/>
        </w:rPr>
        <w:t>لَا أُخْبِرُكَ بِأَبْوَابِ الْخَيْرِ</w:t>
      </w:r>
      <w:r>
        <w:rPr>
          <w:rtl/>
          <w:lang w:bidi="fa-IR"/>
        </w:rPr>
        <w:t>؟</w:t>
      </w:r>
      <w:r w:rsidRPr="00020424">
        <w:rPr>
          <w:rtl/>
          <w:lang w:bidi="fa-IR"/>
        </w:rPr>
        <w:t xml:space="preserve"> إِنَّ </w:t>
      </w:r>
      <w:r w:rsidRPr="00A91B96">
        <w:rPr>
          <w:rStyle w:val="libFootnotenumChar"/>
          <w:rtl/>
        </w:rPr>
        <w:t>(1)</w:t>
      </w:r>
      <w:r w:rsidRPr="00020424">
        <w:rPr>
          <w:rtl/>
          <w:lang w:bidi="fa-IR"/>
        </w:rPr>
        <w:t xml:space="preserve"> الصَّوْمَ جُنَّةٌ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9246C6">
        <w:rPr>
          <w:rtl/>
        </w:rPr>
        <w:t>6255</w:t>
      </w:r>
      <w:r w:rsidRPr="001155DE">
        <w:rPr>
          <w:rStyle w:val="libBold2Char"/>
          <w:rtl/>
        </w:rPr>
        <w:t xml:space="preserve"> / 4.</w:t>
      </w:r>
      <w:r w:rsidRPr="00020424">
        <w:rPr>
          <w:rtl/>
          <w:lang w:bidi="fa-IR"/>
        </w:rPr>
        <w:t xml:space="preserve"> مُحَمَّدُ بْنُ يَحْيى ، عَنْ أَحْمَدَ بْنِ مُحَمَّدٍ ، عَنْ </w:t>
      </w:r>
      <w:r w:rsidRPr="00A91B96">
        <w:rPr>
          <w:rStyle w:val="libFootnotenumChar"/>
          <w:rtl/>
        </w:rPr>
        <w:t>(4)</w:t>
      </w:r>
      <w:r w:rsidRPr="00020424">
        <w:rPr>
          <w:rtl/>
          <w:lang w:bidi="fa-IR"/>
        </w:rPr>
        <w:t xml:space="preserve"> عَلِيِّ بْنِ الْحَكَمِ ، عَنْ مُوسَى بْنِ بَكْرٍ :</w:t>
      </w:r>
    </w:p>
    <w:p w:rsidR="00992664" w:rsidRPr="00020424" w:rsidRDefault="00992664" w:rsidP="00992664">
      <w:pPr>
        <w:pStyle w:val="libNormal"/>
        <w:rPr>
          <w:rtl/>
          <w:lang w:bidi="fa-IR"/>
        </w:rPr>
      </w:pPr>
      <w:r w:rsidRPr="00020424">
        <w:rPr>
          <w:rtl/>
          <w:lang w:bidi="fa-IR"/>
        </w:rPr>
        <w:t xml:space="preserve">قَالَ : لِكُلِّ شَيْ‌ءٍ زَكَاةٌ ، وَزَكَاةُ الْأَجْسَادِ </w:t>
      </w:r>
      <w:r w:rsidRPr="00A91B96">
        <w:rPr>
          <w:rStyle w:val="libFootnotenumChar"/>
          <w:rtl/>
        </w:rPr>
        <w:t>(5)</w:t>
      </w:r>
      <w:r w:rsidRPr="00020424">
        <w:rPr>
          <w:rtl/>
          <w:lang w:bidi="fa-IR"/>
        </w:rPr>
        <w:t xml:space="preserve"> الصَّوْمُ.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بف » </w:t>
      </w:r>
      <w:r w:rsidR="00992664" w:rsidRPr="007C1D2B">
        <w:rPr>
          <w:rtl/>
        </w:rPr>
        <w:t>والتهذيب</w:t>
      </w:r>
      <w:r w:rsidR="00992664" w:rsidRPr="00020424">
        <w:rPr>
          <w:rtl/>
        </w:rPr>
        <w:t xml:space="preserve"> ، ج 4 </w:t>
      </w:r>
      <w:r w:rsidR="00992664" w:rsidRPr="007C1D2B">
        <w:rPr>
          <w:rtl/>
        </w:rPr>
        <w:t>وفضائل الأشهر الثلاثة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7C1D2B">
        <w:rPr>
          <w:rtl/>
        </w:rPr>
        <w:t>الوسائل ، والتهذيب</w:t>
      </w:r>
      <w:r w:rsidR="00992664" w:rsidRPr="00020424">
        <w:rPr>
          <w:rtl/>
        </w:rPr>
        <w:t xml:space="preserve"> ، ج 4 </w:t>
      </w:r>
      <w:r w:rsidR="00992664" w:rsidRPr="007C1D2B">
        <w:rPr>
          <w:rtl/>
        </w:rPr>
        <w:t>و</w:t>
      </w:r>
      <w:r w:rsidR="00D64ADA" w:rsidRPr="007C1D2B">
        <w:rPr>
          <w:rtl/>
        </w:rPr>
        <w:t>المحاسن</w:t>
      </w:r>
      <w:r w:rsidR="00992664" w:rsidRPr="00020424">
        <w:rPr>
          <w:rtl/>
        </w:rPr>
        <w:t xml:space="preserve"> ، ح 434 : + « من النار</w:t>
      </w:r>
      <w:r w:rsidR="00992664">
        <w:rPr>
          <w:rtl/>
        </w:rPr>
        <w:t xml:space="preserve"> ».</w:t>
      </w:r>
    </w:p>
    <w:p w:rsidR="00992664" w:rsidRPr="00020424" w:rsidRDefault="00992664" w:rsidP="00992664">
      <w:pPr>
        <w:pStyle w:val="libFootnote0"/>
        <w:rPr>
          <w:rtl/>
          <w:lang w:bidi="fa-IR"/>
        </w:rPr>
      </w:pPr>
      <w:r w:rsidRPr="007C1D2B">
        <w:rPr>
          <w:rtl/>
        </w:rPr>
        <w:t xml:space="preserve">وفي </w:t>
      </w:r>
      <w:r w:rsidRPr="0012008A">
        <w:rPr>
          <w:rStyle w:val="libFootnoteBoldChar"/>
          <w:rtl/>
        </w:rPr>
        <w:t>الوافي</w:t>
      </w:r>
      <w:r w:rsidRPr="007C1D2B">
        <w:rPr>
          <w:rtl/>
        </w:rPr>
        <w:t xml:space="preserve"> : « آخر الحديث يحتمل وجهين : أحدهما أنّ الصوم بانفراده هو أبواب الخير ؛ لأنّه جنّة من الشرّ. والثاني أنّه مع ما ذكر تمام أبواب الخير ».</w:t>
      </w:r>
    </w:p>
    <w:p w:rsidR="00992664" w:rsidRPr="00020424" w:rsidRDefault="00992664" w:rsidP="00992664">
      <w:pPr>
        <w:pStyle w:val="libFootnote0"/>
        <w:rPr>
          <w:rtl/>
          <w:lang w:bidi="fa-IR"/>
        </w:rPr>
      </w:pPr>
      <w:r w:rsidRPr="007C1D2B">
        <w:rPr>
          <w:rtl/>
        </w:rPr>
        <w:t xml:space="preserve">وفي </w:t>
      </w:r>
      <w:r w:rsidRPr="00DE76B9">
        <w:rPr>
          <w:rStyle w:val="libFootnoteBoldChar"/>
          <w:rtl/>
        </w:rPr>
        <w:t>مرآة العقول</w:t>
      </w:r>
      <w:r w:rsidRPr="007C1D2B">
        <w:rPr>
          <w:rtl/>
        </w:rPr>
        <w:t xml:space="preserve"> : « قوله </w:t>
      </w:r>
      <w:r w:rsidRPr="00D64ADA">
        <w:rPr>
          <w:rStyle w:val="libFootnoteAlaemChar"/>
          <w:rtl/>
        </w:rPr>
        <w:t>عليه‌السلام</w:t>
      </w:r>
      <w:r w:rsidRPr="007C1D2B">
        <w:rPr>
          <w:rtl/>
        </w:rPr>
        <w:t xml:space="preserve"> : بأبواب الخير ، يحتمل أن يكون المراد بها الصوم ؛ فإنّه يصير سبباً لفتح أبواب الخير ، ويحتمل أن يكون الصوم أحد أبواب الخير ، ذكره وترك سائرها ، أو ذكرها </w:t>
      </w:r>
      <w:r w:rsidRPr="007C1D2B">
        <w:rPr>
          <w:rStyle w:val="libFootnoteAlaemChar"/>
          <w:rtl/>
        </w:rPr>
        <w:t>عليه‌السلام</w:t>
      </w:r>
      <w:r w:rsidRPr="007C1D2B">
        <w:rPr>
          <w:rtl/>
        </w:rPr>
        <w:t xml:space="preserve"> وترك الراوي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151 ، ح 419 ، معلّقاً عن الكليني. </w:t>
      </w:r>
      <w:r w:rsidR="00D64ADA" w:rsidRPr="00D64ADA">
        <w:rPr>
          <w:rStyle w:val="libFootnoteBoldChar"/>
          <w:rtl/>
        </w:rPr>
        <w:t>المحاسن</w:t>
      </w:r>
      <w:r w:rsidR="00992664" w:rsidRPr="00020424">
        <w:rPr>
          <w:rtl/>
        </w:rPr>
        <w:t xml:space="preserve"> ، ص 289 ، كتاب مصابيح الظلم ، ح 434 ، عن الحسن بن عليّ بن فضّال ، عن ثعلبة بن ميمون ، مع زيادة في آخره. </w:t>
      </w:r>
      <w:r w:rsidR="00992664" w:rsidRPr="00DE76B9">
        <w:rPr>
          <w:rStyle w:val="libFootnoteBoldChar"/>
          <w:rtl/>
        </w:rPr>
        <w:t>فضائل الأشهر الثلاثة</w:t>
      </w:r>
      <w:r w:rsidR="00992664" w:rsidRPr="00020424">
        <w:rPr>
          <w:rtl/>
        </w:rPr>
        <w:t xml:space="preserve"> ، ص 122 ، ح 126 ، بسنده عن محمّد بن العطّار ، عن أحمد بن محمّد بن عيسى ، عن الحسن بن عليّ بن فضّال ، عن عليّ بن عبدالعزيز. </w:t>
      </w:r>
      <w:r w:rsidR="00992664" w:rsidRPr="0012008A">
        <w:rPr>
          <w:rStyle w:val="libFootnoteBoldChar"/>
          <w:rtl/>
        </w:rPr>
        <w:t>التهذيب</w:t>
      </w:r>
      <w:r w:rsidR="00992664" w:rsidRPr="00020424">
        <w:rPr>
          <w:rtl/>
        </w:rPr>
        <w:t xml:space="preserve"> ، ج 2 ، ص 242 ، ح 958 ، بسند آخر ، مع زيادة في آخره. وفي </w:t>
      </w:r>
      <w:r w:rsidR="00992664" w:rsidRPr="00DE76B9">
        <w:rPr>
          <w:rStyle w:val="libFootnoteBoldChar"/>
          <w:rtl/>
        </w:rPr>
        <w:t>الكافي</w:t>
      </w:r>
      <w:r w:rsidR="00992664" w:rsidRPr="00020424">
        <w:rPr>
          <w:rtl/>
        </w:rPr>
        <w:t xml:space="preserve"> ، كتاب الإيمان والكفر ، باب دعائم الإسلام ، صدر ح 1504 ؛ </w:t>
      </w:r>
      <w:r w:rsidR="00992664" w:rsidRPr="007C1D2B">
        <w:rPr>
          <w:rStyle w:val="libFootnoteBoldChar"/>
          <w:rtl/>
        </w:rPr>
        <w:t>والزهد</w:t>
      </w:r>
      <w:r w:rsidR="00992664" w:rsidRPr="00020424">
        <w:rPr>
          <w:rtl/>
        </w:rPr>
        <w:t xml:space="preserve"> ، ص 73 ، ح 26 ، بسند آخر عن أبي جعفر </w:t>
      </w:r>
      <w:r w:rsidR="00992664" w:rsidRPr="00D64ADA">
        <w:rPr>
          <w:rStyle w:val="libFootnoteAlaemChar"/>
          <w:rtl/>
        </w:rPr>
        <w:t>عليه‌السلام</w:t>
      </w:r>
      <w:r w:rsidR="00992664" w:rsidRPr="00020424">
        <w:rPr>
          <w:rtl/>
        </w:rPr>
        <w:t xml:space="preserve"> ، مع اختلاف يسير ، وفي الأخير إلى قوله : « وسنامه الجهاد</w:t>
      </w:r>
      <w:r w:rsidR="00992664">
        <w:rPr>
          <w:rtl/>
        </w:rPr>
        <w:t xml:space="preserve"> ».</w:t>
      </w:r>
      <w:r w:rsidR="00992664" w:rsidRPr="00020424">
        <w:rPr>
          <w:rtl/>
        </w:rPr>
        <w:t xml:space="preserve"> </w:t>
      </w:r>
      <w:r w:rsidR="00D64ADA" w:rsidRPr="00D64ADA">
        <w:rPr>
          <w:rStyle w:val="libFootnoteBoldChar"/>
          <w:rtl/>
        </w:rPr>
        <w:t>المحاسن</w:t>
      </w:r>
      <w:r w:rsidR="00992664" w:rsidRPr="00020424">
        <w:rPr>
          <w:rtl/>
        </w:rPr>
        <w:t xml:space="preserve"> ، ص 289 ، كتاب مصابيح الظلم ، ح 435 ، بسند آخر عن أبي جعفر </w:t>
      </w:r>
      <w:r w:rsidR="00992664" w:rsidRPr="00D64ADA">
        <w:rPr>
          <w:rStyle w:val="libFootnoteAlaemChar"/>
          <w:rtl/>
        </w:rPr>
        <w:t>عليه‌السلام</w:t>
      </w:r>
      <w:r w:rsidR="00992664" w:rsidRPr="00020424">
        <w:rPr>
          <w:rtl/>
        </w:rPr>
        <w:t xml:space="preserve"> ، مع زيادة في آخره </w:t>
      </w:r>
      <w:r w:rsidR="007C1D2B">
        <w:rPr>
          <w:rFonts w:hint="cs"/>
          <w:rtl/>
        </w:rPr>
        <w:t>.</w:t>
      </w:r>
      <w:r w:rsidR="00992664" w:rsidRPr="0012008A">
        <w:rPr>
          <w:rStyle w:val="libFootnoteBoldChar"/>
          <w:rtl/>
        </w:rPr>
        <w:t>الوافي</w:t>
      </w:r>
      <w:r w:rsidR="00992664" w:rsidRPr="00020424">
        <w:rPr>
          <w:rtl/>
        </w:rPr>
        <w:t xml:space="preserve"> ، ج 11 ، ص 22 ، ح 10344 ؛ </w:t>
      </w:r>
      <w:r w:rsidR="00992664" w:rsidRPr="0012008A">
        <w:rPr>
          <w:rStyle w:val="libFootnoteBoldChar"/>
          <w:rtl/>
        </w:rPr>
        <w:t>الوسائل</w:t>
      </w:r>
      <w:r w:rsidR="00992664" w:rsidRPr="00020424">
        <w:rPr>
          <w:rtl/>
        </w:rPr>
        <w:t xml:space="preserve"> ، ج 10 ، ص 397 ، ح 13680 ، من قوله : « ألا ا</w:t>
      </w:r>
      <w:r w:rsidR="007C1D2B">
        <w:rPr>
          <w:rFonts w:hint="cs"/>
          <w:rtl/>
        </w:rPr>
        <w:t>ُ</w:t>
      </w:r>
      <w:r w:rsidR="00992664" w:rsidRPr="00020424">
        <w:rPr>
          <w:rtl/>
        </w:rPr>
        <w:t>خبرك بأبواب الخير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7C1D2B">
        <w:rPr>
          <w:rtl/>
        </w:rPr>
        <w:t>التهذيب</w:t>
      </w:r>
      <w:r w:rsidR="00992664" w:rsidRPr="00020424">
        <w:rPr>
          <w:rtl/>
        </w:rPr>
        <w:t xml:space="preserve"> : « بن</w:t>
      </w:r>
      <w:r w:rsidR="00992664">
        <w:rPr>
          <w:rtl/>
        </w:rPr>
        <w:t xml:space="preserve"> ».</w:t>
      </w:r>
      <w:r w:rsidR="00992664" w:rsidRPr="00020424">
        <w:rPr>
          <w:rtl/>
        </w:rPr>
        <w:t xml:space="preserve"> وهو سهو. وقد ورد على الصواب في بعض نسخه المتعبرة.</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7C1D2B">
        <w:rPr>
          <w:rtl/>
        </w:rPr>
        <w:t>التهذيب</w:t>
      </w:r>
      <w:r w:rsidR="00992664" w:rsidRPr="00020424">
        <w:rPr>
          <w:rtl/>
        </w:rPr>
        <w:t xml:space="preserve"> : « الأجسام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190 ، ح 537 ، معلّقاً عن الكليني. </w:t>
      </w:r>
      <w:r w:rsidR="00992664" w:rsidRPr="0012008A">
        <w:rPr>
          <w:rStyle w:val="libFootnoteBoldChar"/>
          <w:rtl/>
        </w:rPr>
        <w:t>الفقيه</w:t>
      </w:r>
      <w:r w:rsidR="00992664" w:rsidRPr="00020424">
        <w:rPr>
          <w:rtl/>
        </w:rPr>
        <w:t xml:space="preserve"> ، ج 4 ، ص 416 ، ضمن ح 5904 ، بسند آخر عن الصادق </w:t>
      </w:r>
      <w:r w:rsidR="00992664" w:rsidRPr="00D64ADA">
        <w:rPr>
          <w:rStyle w:val="libFootnoteAlaemChar"/>
          <w:rtl/>
        </w:rPr>
        <w:t>عليه‌السلام</w:t>
      </w:r>
      <w:r w:rsidR="00992664" w:rsidRPr="00020424">
        <w:rPr>
          <w:rtl/>
        </w:rPr>
        <w:t xml:space="preserve">. </w:t>
      </w:r>
      <w:r w:rsidR="00D64ADA" w:rsidRPr="00D64ADA">
        <w:rPr>
          <w:rStyle w:val="libFootnoteBoldChar"/>
          <w:rtl/>
        </w:rPr>
        <w:t>المحاسن</w:t>
      </w:r>
      <w:r w:rsidR="00992664" w:rsidRPr="00020424">
        <w:rPr>
          <w:rtl/>
        </w:rPr>
        <w:t xml:space="preserve"> ، ص 72 ، </w:t>
      </w:r>
      <w:r w:rsidR="00992664" w:rsidRPr="007C1D2B">
        <w:rPr>
          <w:rtl/>
        </w:rPr>
        <w:t>كتاب ثواب الأعمال</w:t>
      </w:r>
      <w:r w:rsidR="00992664" w:rsidRPr="00020424">
        <w:rPr>
          <w:rtl/>
        </w:rPr>
        <w:t xml:space="preserve"> ، ح 150 بسند آخر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خصائص الأئمّة</w:t>
      </w:r>
      <w:r w:rsidR="00992664" w:rsidRPr="00020424">
        <w:rPr>
          <w:rtl/>
        </w:rPr>
        <w:t xml:space="preserve"> </w:t>
      </w:r>
      <w:r w:rsidR="00992664" w:rsidRPr="00D64ADA">
        <w:rPr>
          <w:rStyle w:val="libFootnoteAlaemChar"/>
          <w:rtl/>
        </w:rPr>
        <w:t>عليهم‌السلام</w:t>
      </w:r>
      <w:r w:rsidR="00992664" w:rsidRPr="00020424">
        <w:rPr>
          <w:rtl/>
        </w:rPr>
        <w:t xml:space="preserve"> ، ص 103 ، ضمن الحديث ؛ </w:t>
      </w:r>
      <w:r w:rsidR="00992664" w:rsidRPr="00D27EE2">
        <w:rPr>
          <w:rStyle w:val="libFootnoteBoldChar"/>
          <w:rtl/>
        </w:rPr>
        <w:t>ونهج البلاغة</w:t>
      </w:r>
      <w:r w:rsidR="00992664" w:rsidRPr="00020424">
        <w:rPr>
          <w:rtl/>
        </w:rPr>
        <w:t xml:space="preserve"> ، ص 494 ، ضمن الحكمة 136 ، مرسلاً عن عليّ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304 ، مرسلاً عن الصادق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7C1D2B">
        <w:rPr>
          <w:rFonts w:hint="cs"/>
          <w:rtl/>
        </w:rPr>
        <w:t>.</w:t>
      </w:r>
      <w:r w:rsidR="00992664" w:rsidRPr="0012008A">
        <w:rPr>
          <w:rStyle w:val="libFootnoteBoldChar"/>
          <w:rtl/>
        </w:rPr>
        <w:t>الوافي</w:t>
      </w:r>
      <w:r w:rsidR="00992664" w:rsidRPr="00020424">
        <w:rPr>
          <w:rtl/>
        </w:rPr>
        <w:t xml:space="preserve"> ، ج 11 ، ص 24 ، ح 10348 ؛ </w:t>
      </w:r>
      <w:r w:rsidR="00992664" w:rsidRPr="0012008A">
        <w:rPr>
          <w:rStyle w:val="libFootnoteBoldChar"/>
          <w:rtl/>
        </w:rPr>
        <w:t>الوسائل</w:t>
      </w:r>
      <w:r w:rsidR="00992664" w:rsidRPr="00020424">
        <w:rPr>
          <w:rtl/>
        </w:rPr>
        <w:t xml:space="preserve"> ، ج 10 ، ص 398 ، ح 13681.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9246C6">
        <w:rPr>
          <w:rtl/>
        </w:rPr>
        <w:t>6256</w:t>
      </w:r>
      <w:r w:rsidRPr="001155DE">
        <w:rPr>
          <w:rStyle w:val="libBold2Char"/>
          <w:rtl/>
        </w:rPr>
        <w:t xml:space="preserve"> / 5.</w:t>
      </w:r>
      <w:r w:rsidRPr="00020424">
        <w:rPr>
          <w:rtl/>
          <w:lang w:bidi="fa-IR"/>
        </w:rPr>
        <w:t xml:space="preserve"> مُحَمَّدُ بْنُ إِسْمَاعِيلَ ، عَنِ الْفَضْلِ بْنِ شَاذَانَ ، عَنِ ابْنِ أَبِي عُمَيْرٍ ، عَنْ مُعَاوِيَةَ بْنِ عَمَّارٍ </w:t>
      </w:r>
      <w:r w:rsidRPr="00A91B96">
        <w:rPr>
          <w:rStyle w:val="libFootnotenumChar"/>
          <w:rtl/>
        </w:rPr>
        <w:t>(1)</w:t>
      </w:r>
      <w:r w:rsidRPr="00020424">
        <w:rPr>
          <w:rtl/>
          <w:lang w:bidi="fa-IR"/>
        </w:rPr>
        <w:t xml:space="preserve"> ، عَنْ إِسْمَاعِيلَ بْنِ يَسَارٍ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قَالَ أَبِي </w:t>
      </w:r>
      <w:r w:rsidRPr="00A91B96">
        <w:rPr>
          <w:rStyle w:val="libFootnotenumChar"/>
          <w:rtl/>
        </w:rPr>
        <w:t>(3)</w:t>
      </w:r>
      <w:r w:rsidRPr="00020424">
        <w:rPr>
          <w:rtl/>
          <w:lang w:bidi="fa-IR"/>
        </w:rPr>
        <w:t xml:space="preserve"> : إِنَّ الرَّجُلَ لَيَصُومُ </w:t>
      </w:r>
      <w:r w:rsidRPr="00A91B96">
        <w:rPr>
          <w:rStyle w:val="libFootnotenumChar"/>
          <w:rtl/>
        </w:rPr>
        <w:t>(4)</w:t>
      </w:r>
      <w:r w:rsidRPr="00020424">
        <w:rPr>
          <w:rtl/>
          <w:lang w:bidi="fa-IR"/>
        </w:rPr>
        <w:t xml:space="preserve"> يَوْماً تَطَوُّعاً يُرِيدُ مَا عِنْدَ اللهِ عَزَّ وَجَلَّ ، فَيُدْخِلُهُ اللهُ بِهِ الْجَنَّةَ</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9246C6">
        <w:rPr>
          <w:rtl/>
        </w:rPr>
        <w:t>6257</w:t>
      </w:r>
      <w:r w:rsidRPr="001155DE">
        <w:rPr>
          <w:rStyle w:val="libBold2Char"/>
          <w:rtl/>
        </w:rPr>
        <w:t xml:space="preserve"> / 6.</w:t>
      </w:r>
      <w:r w:rsidRPr="00020424">
        <w:rPr>
          <w:rtl/>
          <w:lang w:bidi="fa-IR"/>
        </w:rPr>
        <w:t xml:space="preserve"> عَلِيُّ بْنُ إِبْرَاهِيمَ ، عَنْ أَبِيهِ ، عَنِ ابْنِ أَبِي عُمَيْرٍ ، عَنْ سَلَمَةَ صَاحِبِ السَّابِرِيِّ ، عَنْ أَبِي الصَّبَّاحِ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يَقُولُ : الصَّوْمُ لِي ، وَأَنَا أَجْزِي عَلَيْهِ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بخ ، بر » وحاشية « ظ » </w:t>
      </w:r>
      <w:r w:rsidR="00992664" w:rsidRPr="007C1D2B">
        <w:rPr>
          <w:rtl/>
        </w:rPr>
        <w:t>والوسائل</w:t>
      </w:r>
      <w:r w:rsidR="00992664" w:rsidRPr="00020424">
        <w:rPr>
          <w:rtl/>
        </w:rPr>
        <w:t>. وفي « ظ ، ى ، بث ، بح ، بس ، بف ، جن » والمطبوع : « عثمان</w:t>
      </w:r>
      <w:r w:rsidR="00992664">
        <w:rPr>
          <w:rtl/>
        </w:rPr>
        <w:t xml:space="preserve"> ».</w:t>
      </w:r>
    </w:p>
    <w:p w:rsidR="00992664" w:rsidRPr="00020424" w:rsidRDefault="00992664" w:rsidP="00992664">
      <w:pPr>
        <w:pStyle w:val="libFootnote0"/>
        <w:rPr>
          <w:rtl/>
          <w:lang w:bidi="fa-IR"/>
        </w:rPr>
      </w:pPr>
      <w:r w:rsidRPr="00432BEE">
        <w:rPr>
          <w:rtl/>
        </w:rPr>
        <w:t xml:space="preserve">والصواب ما أثبتناه ؛ فقد روى ابن أبي عمير عن معاوية بن عمّار في كثيرٍ من الأسناد جدّاً ، ولم تثبت روايته عن معاوية بن عثمان ، بل لم يثبت في رواتنا وجود راوٍ باسم معاوية بن عثمان. راجع : </w:t>
      </w:r>
      <w:r w:rsidRPr="00432BEE">
        <w:rPr>
          <w:rStyle w:val="libFootnoteBoldChar"/>
          <w:rtl/>
        </w:rPr>
        <w:t>معجم رجال الحديث</w:t>
      </w:r>
      <w:r w:rsidRPr="00432BEE">
        <w:rPr>
          <w:rtl/>
        </w:rPr>
        <w:t xml:space="preserve"> ، ج 22 ، ص 306 </w:t>
      </w:r>
      <w:r w:rsidR="009B673F" w:rsidRPr="00432BEE">
        <w:rPr>
          <w:rtl/>
        </w:rPr>
        <w:t>-</w:t>
      </w:r>
      <w:r w:rsidRPr="00432BEE">
        <w:rPr>
          <w:rtl/>
        </w:rPr>
        <w:t xml:space="preserve"> 311.</w:t>
      </w:r>
    </w:p>
    <w:p w:rsidR="00992664" w:rsidRPr="00020424" w:rsidRDefault="00992664" w:rsidP="00992664">
      <w:pPr>
        <w:pStyle w:val="libFootnote0"/>
        <w:rPr>
          <w:rtl/>
          <w:lang w:bidi="fa-IR"/>
        </w:rPr>
      </w:pPr>
      <w:r w:rsidRPr="00432BEE">
        <w:rPr>
          <w:rtl/>
        </w:rPr>
        <w:t xml:space="preserve">ويؤيّد ذلك ما ورد في </w:t>
      </w:r>
      <w:r w:rsidRPr="0012008A">
        <w:rPr>
          <w:rStyle w:val="libFootnoteBoldChar"/>
          <w:rtl/>
        </w:rPr>
        <w:t>ثواب الأعمال</w:t>
      </w:r>
      <w:r w:rsidRPr="00432BEE">
        <w:rPr>
          <w:rtl/>
        </w:rPr>
        <w:t xml:space="preserve"> ، ص 62 ، ح 1 ؛ </w:t>
      </w:r>
      <w:r w:rsidRPr="00515444">
        <w:rPr>
          <w:rStyle w:val="libFootnoteBoldChar"/>
          <w:rtl/>
        </w:rPr>
        <w:t>والتهذيب</w:t>
      </w:r>
      <w:r w:rsidRPr="00DE76B9">
        <w:rPr>
          <w:rStyle w:val="libFootnoteBoldChar"/>
          <w:rtl/>
        </w:rPr>
        <w:t xml:space="preserve"> </w:t>
      </w:r>
      <w:r w:rsidRPr="00432BEE">
        <w:rPr>
          <w:rtl/>
        </w:rPr>
        <w:t>، ج 2 ، ص 238 ، ح 941 ؛ من نقل خبرين مشتملين على هذه القطعة ، وفي الموضعين : « معاوية بن عمّار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بح ، بس ، جن » </w:t>
      </w:r>
      <w:r w:rsidR="00992664" w:rsidRPr="00432BEE">
        <w:rPr>
          <w:rtl/>
        </w:rPr>
        <w:t>والوسائل</w:t>
      </w:r>
      <w:r w:rsidR="00992664" w:rsidRPr="00020424">
        <w:rPr>
          <w:rtl/>
        </w:rPr>
        <w:t xml:space="preserve"> : « بشّار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أبي</w:t>
      </w:r>
      <w:r w:rsidR="00992664">
        <w:rPr>
          <w:rtl/>
        </w:rPr>
        <w:t xml:space="preserve"> ».</w:t>
      </w:r>
      <w:r w:rsidR="00992664" w:rsidRPr="00020424">
        <w:rPr>
          <w:rtl/>
        </w:rPr>
        <w:t xml:space="preserve"> وفي حاشية « بف » : « لي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يصوم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2 ، ص 238 ، ذيل ح 941 ؛ </w:t>
      </w:r>
      <w:r w:rsidR="00992664" w:rsidRPr="006C7A1F">
        <w:rPr>
          <w:rStyle w:val="libFootnoteBoldChar"/>
          <w:rtl/>
        </w:rPr>
        <w:t>وثواب الأعمال</w:t>
      </w:r>
      <w:r w:rsidR="00992664" w:rsidRPr="00020424">
        <w:rPr>
          <w:rtl/>
        </w:rPr>
        <w:t xml:space="preserve"> ، ص 61 ، ذيل ح 1 ، بسندهما عن معاوية بن عمّار ، عن إسماعيل بن يسار ، عن أبي عبدالله </w:t>
      </w:r>
      <w:r w:rsidR="00992664" w:rsidRPr="00D64ADA">
        <w:rPr>
          <w:rStyle w:val="libFootnoteAlaemChar"/>
          <w:rtl/>
        </w:rPr>
        <w:t>عليه‌السلام</w:t>
      </w:r>
      <w:r w:rsidR="00992664" w:rsidRPr="00020424">
        <w:rPr>
          <w:rtl/>
        </w:rPr>
        <w:t xml:space="preserve"> من دون الإسناد إلى أبيه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191 ، ذيل حديث 543 ، بسنده عن إسماعيل بن يسار ، عن أبي عبدالله </w:t>
      </w:r>
      <w:r w:rsidR="00992664" w:rsidRPr="00D64ADA">
        <w:rPr>
          <w:rStyle w:val="libFootnoteAlaemChar"/>
          <w:rtl/>
        </w:rPr>
        <w:t>عليه‌السلام</w:t>
      </w:r>
      <w:r w:rsidR="00992664" w:rsidRPr="00020424">
        <w:rPr>
          <w:rtl/>
        </w:rPr>
        <w:t xml:space="preserve"> ، من دون الإسناد إلى أبيه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ثواب الأعمال</w:t>
      </w:r>
      <w:r w:rsidR="00992664" w:rsidRPr="00020424">
        <w:rPr>
          <w:rtl/>
        </w:rPr>
        <w:t xml:space="preserve"> ، ص 77 ، ح 1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1 ، ص 209 ، ذيل ح 631 ،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ج 2 ، ص 86 ، ح 1801 ، مرسلاً عن عليّ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 مع اختلاف يسير. راجع : </w:t>
      </w:r>
      <w:r w:rsidR="00992664" w:rsidRPr="00DE76B9">
        <w:rPr>
          <w:rStyle w:val="libFootnoteBoldChar"/>
          <w:rtl/>
        </w:rPr>
        <w:t>الكافي</w:t>
      </w:r>
      <w:r w:rsidR="00992664" w:rsidRPr="00020424">
        <w:rPr>
          <w:rtl/>
        </w:rPr>
        <w:t xml:space="preserve"> ، كتاب الإيمان والكفر ، باب تعجيل فعل الخير ، ح 1941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2 ، ص 86 ، ح 1802 </w:t>
      </w:r>
      <w:r w:rsidR="00432BEE">
        <w:rPr>
          <w:rFonts w:hint="cs"/>
          <w:rtl/>
        </w:rPr>
        <w:t>.</w:t>
      </w:r>
      <w:r w:rsidR="00992664" w:rsidRPr="0012008A">
        <w:rPr>
          <w:rStyle w:val="libFootnoteBoldChar"/>
          <w:rtl/>
        </w:rPr>
        <w:t>الوافي</w:t>
      </w:r>
      <w:r w:rsidR="00992664" w:rsidRPr="00020424">
        <w:rPr>
          <w:rtl/>
        </w:rPr>
        <w:t xml:space="preserve"> ، ج 11 ، ص 31 ، ح 10364 ؛ </w:t>
      </w:r>
      <w:r w:rsidR="00992664" w:rsidRPr="0012008A">
        <w:rPr>
          <w:rStyle w:val="libFootnoteBoldChar"/>
          <w:rtl/>
        </w:rPr>
        <w:t>الوسائل</w:t>
      </w:r>
      <w:r w:rsidR="00992664" w:rsidRPr="00020424">
        <w:rPr>
          <w:rtl/>
        </w:rPr>
        <w:t xml:space="preserve"> ، ج 10 ، ص 399 ، ح 13683.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432BEE">
        <w:rPr>
          <w:rtl/>
        </w:rPr>
        <w:t>الفقيه والتهذيب</w:t>
      </w:r>
      <w:r w:rsidR="00992664" w:rsidRPr="00020424">
        <w:rPr>
          <w:rtl/>
        </w:rPr>
        <w:t xml:space="preserve"> ومصباح الشريعة : « به</w:t>
      </w:r>
      <w:r w:rsidR="00992664">
        <w:rPr>
          <w:rtl/>
        </w:rPr>
        <w:t xml:space="preserve"> ».</w:t>
      </w:r>
      <w:r w:rsidR="00432BEE">
        <w:rPr>
          <w:rFonts w:hint="cs"/>
          <w:rtl/>
        </w:rPr>
        <w:t>=</w:t>
      </w:r>
    </w:p>
    <w:p w:rsidR="00795177" w:rsidRDefault="00795177" w:rsidP="00795177">
      <w:pPr>
        <w:pStyle w:val="libNormal"/>
        <w:rPr>
          <w:rtl/>
        </w:rPr>
      </w:pPr>
      <w:r>
        <w:rPr>
          <w:rtl/>
        </w:rPr>
        <w:br w:type="page"/>
      </w:r>
    </w:p>
    <w:p w:rsidR="00992664" w:rsidRDefault="00992664" w:rsidP="00432BEE">
      <w:pPr>
        <w:pStyle w:val="libLine"/>
        <w:rPr>
          <w:rtl/>
        </w:rPr>
      </w:pPr>
      <w:r w:rsidRPr="00020424">
        <w:rPr>
          <w:rtl/>
          <w:lang w:bidi="fa-IR"/>
        </w:rPr>
        <w:t>__________________</w:t>
      </w:r>
    </w:p>
    <w:p w:rsidR="00992664" w:rsidRPr="00020424" w:rsidRDefault="00432BEE" w:rsidP="00432BEE">
      <w:pPr>
        <w:pStyle w:val="libFootnote0"/>
        <w:rPr>
          <w:rtl/>
          <w:lang w:bidi="fa-IR"/>
        </w:rPr>
      </w:pPr>
      <w:r w:rsidRPr="00432BEE">
        <w:rPr>
          <w:rFonts w:hint="cs"/>
          <w:rtl/>
        </w:rPr>
        <w:t xml:space="preserve">= </w:t>
      </w:r>
      <w:r w:rsidR="00992664" w:rsidRPr="00432BEE">
        <w:rPr>
          <w:rtl/>
        </w:rPr>
        <w:t xml:space="preserve">وفي </w:t>
      </w:r>
      <w:r w:rsidR="00992664" w:rsidRPr="00DE76B9">
        <w:rPr>
          <w:rStyle w:val="libFootnoteBoldChar"/>
          <w:rtl/>
        </w:rPr>
        <w:t>مدارك الأحكام</w:t>
      </w:r>
      <w:r w:rsidR="00992664" w:rsidRPr="00432BEE">
        <w:rPr>
          <w:rtl/>
        </w:rPr>
        <w:t xml:space="preserve"> ، ج 6 ، ص 10 : « ا</w:t>
      </w:r>
      <w:r>
        <w:rPr>
          <w:rFonts w:hint="cs"/>
          <w:rtl/>
        </w:rPr>
        <w:t>ُ</w:t>
      </w:r>
      <w:r w:rsidR="00992664" w:rsidRPr="00432BEE">
        <w:rPr>
          <w:rtl/>
        </w:rPr>
        <w:t xml:space="preserve">ورد هنا سؤال مشهور ، وهو أنّ كلّ الأعمال الصالحة لله ، فما وجه تخصيص الصوم بأنّه له </w:t>
      </w:r>
      <w:r w:rsidR="009B673F" w:rsidRPr="00432BEE">
        <w:rPr>
          <w:rtl/>
        </w:rPr>
        <w:t>-</w:t>
      </w:r>
      <w:r w:rsidR="00992664" w:rsidRPr="00432BEE">
        <w:rPr>
          <w:rtl/>
        </w:rPr>
        <w:t xml:space="preserve"> تبارك وتعالى </w:t>
      </w:r>
      <w:r w:rsidR="009B673F" w:rsidRPr="00432BEE">
        <w:rPr>
          <w:rtl/>
        </w:rPr>
        <w:t>-</w:t>
      </w:r>
      <w:r w:rsidR="00992664" w:rsidRPr="00432BEE">
        <w:rPr>
          <w:rtl/>
        </w:rPr>
        <w:t xml:space="preserve"> دون غيره؟</w:t>
      </w:r>
    </w:p>
    <w:p w:rsidR="00992664" w:rsidRPr="00020424" w:rsidRDefault="00992664" w:rsidP="00432BEE">
      <w:pPr>
        <w:pStyle w:val="libFootnote0"/>
        <w:rPr>
          <w:rtl/>
          <w:lang w:bidi="fa-IR"/>
        </w:rPr>
      </w:pPr>
      <w:r w:rsidRPr="00D82B22">
        <w:rPr>
          <w:rtl/>
        </w:rPr>
        <w:t>وأُجيب بوجوه :</w:t>
      </w:r>
    </w:p>
    <w:p w:rsidR="00992664" w:rsidRPr="00020424" w:rsidRDefault="00992664" w:rsidP="00432BEE">
      <w:pPr>
        <w:pStyle w:val="libFootnote0"/>
        <w:rPr>
          <w:rtl/>
          <w:lang w:bidi="fa-IR"/>
        </w:rPr>
      </w:pPr>
      <w:r w:rsidRPr="00432BEE">
        <w:rPr>
          <w:rStyle w:val="libFootnoteBoldChar"/>
          <w:rtl/>
        </w:rPr>
        <w:t>الأوّل</w:t>
      </w:r>
      <w:r w:rsidRPr="00432BEE">
        <w:rPr>
          <w:rtl/>
        </w:rPr>
        <w:t xml:space="preserve"> : أنّه اختصّ بترك الشهوات والملاذّ في الفرج والبطن ، وذلك أمر عظيم يوجب التشريف.</w:t>
      </w:r>
    </w:p>
    <w:p w:rsidR="00992664" w:rsidRPr="00020424" w:rsidRDefault="00992664" w:rsidP="00432BEE">
      <w:pPr>
        <w:pStyle w:val="libFootnote0"/>
        <w:rPr>
          <w:rtl/>
          <w:lang w:bidi="fa-IR"/>
        </w:rPr>
      </w:pPr>
      <w:r w:rsidRPr="00D82B22">
        <w:rPr>
          <w:rtl/>
        </w:rPr>
        <w:t>وعورض بالجهاد ؛ فإنّ فيه ترك الحياة فضلاً عن الشهوات ، وبالحجّ ؛ إذ فيه الإحرام ومحظوراته كثيرة.</w:t>
      </w:r>
    </w:p>
    <w:p w:rsidR="00992664" w:rsidRPr="00020424" w:rsidRDefault="00992664" w:rsidP="00432BEE">
      <w:pPr>
        <w:pStyle w:val="libFootnote0"/>
        <w:rPr>
          <w:rtl/>
          <w:lang w:bidi="fa-IR"/>
        </w:rPr>
      </w:pPr>
      <w:r w:rsidRPr="00432BEE">
        <w:rPr>
          <w:rStyle w:val="libFootnoteBoldChar"/>
          <w:rtl/>
        </w:rPr>
        <w:t>الثاني</w:t>
      </w:r>
      <w:r w:rsidRPr="00D82B22">
        <w:rPr>
          <w:rtl/>
        </w:rPr>
        <w:t xml:space="preserve"> : أنّ الصوم يوجب صفاء العقل والفكر بوساطة ضعف القوى الشهويّة بسبب الجوع</w:t>
      </w:r>
      <w:r>
        <w:rPr>
          <w:rtl/>
        </w:rPr>
        <w:t xml:space="preserve"> ..</w:t>
      </w:r>
      <w:r w:rsidRPr="00D82B22">
        <w:rPr>
          <w:rtl/>
        </w:rPr>
        <w:t>. وصفاء العقل والفكر يوجبان حصول المعارف الربّانيّة التي هي أشرف أحوال النفس الإنسانيّة.</w:t>
      </w:r>
    </w:p>
    <w:p w:rsidR="00992664" w:rsidRPr="00020424" w:rsidRDefault="00992664" w:rsidP="00432BEE">
      <w:pPr>
        <w:pStyle w:val="libFootnote0"/>
        <w:rPr>
          <w:rtl/>
          <w:lang w:bidi="fa-IR"/>
        </w:rPr>
      </w:pPr>
      <w:r w:rsidRPr="00D82B22">
        <w:rPr>
          <w:rtl/>
        </w:rPr>
        <w:t>و</w:t>
      </w:r>
      <w:r w:rsidR="00432BEE">
        <w:rPr>
          <w:rFonts w:hint="cs"/>
          <w:rtl/>
        </w:rPr>
        <w:t xml:space="preserve"> </w:t>
      </w:r>
      <w:r w:rsidRPr="00D82B22">
        <w:rPr>
          <w:rtl/>
        </w:rPr>
        <w:t>ردّ بأنّ سائر العبادات إذا واظب عليها المكلّف أورثت ذلك ، خصوصاً الصلاة</w:t>
      </w:r>
      <w:r>
        <w:rPr>
          <w:rtl/>
        </w:rPr>
        <w:t xml:space="preserve"> ....</w:t>
      </w:r>
    </w:p>
    <w:p w:rsidR="00992664" w:rsidRPr="00020424" w:rsidRDefault="00992664" w:rsidP="00432BEE">
      <w:pPr>
        <w:pStyle w:val="libFootnote0"/>
        <w:rPr>
          <w:rtl/>
          <w:lang w:bidi="fa-IR"/>
        </w:rPr>
      </w:pPr>
      <w:r w:rsidRPr="00432BEE">
        <w:rPr>
          <w:rStyle w:val="libFootnoteBoldChar"/>
          <w:rtl/>
        </w:rPr>
        <w:t>الثالث</w:t>
      </w:r>
      <w:r w:rsidRPr="00D82B22">
        <w:rPr>
          <w:rtl/>
        </w:rPr>
        <w:t xml:space="preserve"> : أنّ الصوم أمر خفيّ لا يمكن الاطّلاع عليه ، فلذلك شرّف ؛ بخلاف الصلاة والحجّ والجهاد وغيرها من الأعمال.</w:t>
      </w:r>
    </w:p>
    <w:p w:rsidR="00992664" w:rsidRPr="00020424" w:rsidRDefault="00992664" w:rsidP="00432BEE">
      <w:pPr>
        <w:pStyle w:val="libFootnote0"/>
        <w:rPr>
          <w:rtl/>
          <w:lang w:bidi="fa-IR"/>
        </w:rPr>
      </w:pPr>
      <w:r w:rsidRPr="00D82B22">
        <w:rPr>
          <w:rtl/>
        </w:rPr>
        <w:t>وعورض بأنّ الإيمان والإخلاص وأفعال القلب خفيّة ، مع أنّ الحديث متناول لها. ويمكن دفعه بتخصيص الأعمال بأفعال الجوارح ؛ لأنّها المتبادرة من اللفظ.</w:t>
      </w:r>
    </w:p>
    <w:p w:rsidR="00992664" w:rsidRPr="00020424" w:rsidRDefault="00992664" w:rsidP="00432BEE">
      <w:pPr>
        <w:pStyle w:val="libFootnote0"/>
        <w:rPr>
          <w:rtl/>
          <w:lang w:bidi="fa-IR"/>
        </w:rPr>
      </w:pPr>
      <w:r w:rsidRPr="00D82B22">
        <w:rPr>
          <w:rtl/>
        </w:rPr>
        <w:t>وقال بعض المحقّق</w:t>
      </w:r>
      <w:r w:rsidR="00432BEE">
        <w:rPr>
          <w:rtl/>
        </w:rPr>
        <w:t>ين : هب أنّ كل</w:t>
      </w:r>
      <w:r w:rsidR="00432BEE">
        <w:rPr>
          <w:rFonts w:hint="cs"/>
          <w:rtl/>
        </w:rPr>
        <w:t>ّ</w:t>
      </w:r>
      <w:r w:rsidR="00432BEE">
        <w:rPr>
          <w:rtl/>
        </w:rPr>
        <w:t>ا</w:t>
      </w:r>
      <w:r w:rsidR="00432BEE">
        <w:rPr>
          <w:rFonts w:hint="cs"/>
          <w:rtl/>
        </w:rPr>
        <w:t>ً</w:t>
      </w:r>
      <w:r w:rsidRPr="00D82B22">
        <w:rPr>
          <w:rtl/>
        </w:rPr>
        <w:t xml:space="preserve"> من هذه الأجوبة مدخول بما ذكر ، فلِمَ لا يكون مجموعها هو الفارق</w:t>
      </w:r>
      <w:r>
        <w:rPr>
          <w:rtl/>
        </w:rPr>
        <w:t>؟</w:t>
      </w:r>
      <w:r w:rsidRPr="00D82B22">
        <w:rPr>
          <w:rtl/>
        </w:rPr>
        <w:t xml:space="preserve"> فإنّ هذه الا</w:t>
      </w:r>
      <w:r w:rsidR="00432BEE">
        <w:rPr>
          <w:rFonts w:hint="cs"/>
          <w:rtl/>
        </w:rPr>
        <w:t>ُ</w:t>
      </w:r>
      <w:r w:rsidRPr="00D82B22">
        <w:rPr>
          <w:rtl/>
        </w:rPr>
        <w:t>مور لا تجتمع في غير الصوم</w:t>
      </w:r>
      <w:r>
        <w:rPr>
          <w:rtl/>
        </w:rPr>
        <w:t xml:space="preserve"> ».</w:t>
      </w:r>
    </w:p>
    <w:p w:rsidR="00992664" w:rsidRPr="00432BEE" w:rsidRDefault="00992664" w:rsidP="00992664">
      <w:pPr>
        <w:pStyle w:val="libFootnote0"/>
        <w:rPr>
          <w:rtl/>
        </w:rPr>
      </w:pPr>
      <w:r w:rsidRPr="00432BEE">
        <w:rPr>
          <w:rtl/>
        </w:rPr>
        <w:t xml:space="preserve">وفي </w:t>
      </w:r>
      <w:r w:rsidRPr="0012008A">
        <w:rPr>
          <w:rStyle w:val="libFootnoteBoldChar"/>
          <w:rtl/>
        </w:rPr>
        <w:t>الوافي</w:t>
      </w:r>
      <w:r w:rsidRPr="00432BEE">
        <w:rPr>
          <w:rtl/>
        </w:rPr>
        <w:t xml:space="preserve"> : « إنّما خصّ الصوم بالله من بين سائر العبادات وبأنّه جازٍ به مع اشتراك الكلّ في ذلك ؛ لكونه خالصاً له ، وجزاؤه من عنده خاصّة من غير مشاركة أحد فيه ؛ لكونه مستوراً عن أعين الناس مصوناً عن ثنائهم عليه ».</w:t>
      </w:r>
    </w:p>
    <w:p w:rsidR="00992664" w:rsidRPr="00020424" w:rsidRDefault="00432BEE" w:rsidP="00992664">
      <w:pPr>
        <w:pStyle w:val="libFootnote0"/>
        <w:rPr>
          <w:rtl/>
          <w:lang w:bidi="fa-IR"/>
        </w:rPr>
      </w:pPr>
      <w:r>
        <w:rPr>
          <w:rtl/>
        </w:rPr>
        <w:t>ونقل العل</w:t>
      </w:r>
      <w:r>
        <w:rPr>
          <w:rFonts w:hint="cs"/>
          <w:rtl/>
        </w:rPr>
        <w:t>ّ</w:t>
      </w:r>
      <w:r>
        <w:rPr>
          <w:rtl/>
        </w:rPr>
        <w:t>ا</w:t>
      </w:r>
      <w:r w:rsidR="00992664" w:rsidRPr="00432BEE">
        <w:rPr>
          <w:rtl/>
        </w:rPr>
        <w:t xml:space="preserve">مة المجلسي في </w:t>
      </w:r>
      <w:r w:rsidR="00992664" w:rsidRPr="00DE76B9">
        <w:rPr>
          <w:rStyle w:val="libFootnoteBoldChar"/>
          <w:rtl/>
        </w:rPr>
        <w:t>مرآة العقول</w:t>
      </w:r>
      <w:r w:rsidR="00992664" w:rsidRPr="00432BEE">
        <w:rPr>
          <w:rtl/>
        </w:rPr>
        <w:t xml:space="preserve"> وجهاً آخر بقوله : « وقيل : فيه وجه رابع ، وهو أنّ الاستغناء من الطعام صفة الله تعالى ؛ فإنّه يطعم ولا يطعم ، فكأنّه يقول : إنّ الصائم يتقرّب بأمر هو صفة من صفاتي ».</w:t>
      </w:r>
    </w:p>
    <w:p w:rsidR="00992664" w:rsidRPr="00432BEE" w:rsidRDefault="00992664" w:rsidP="00992664">
      <w:pPr>
        <w:pStyle w:val="libFootnote0"/>
        <w:rPr>
          <w:rtl/>
        </w:rPr>
      </w:pPr>
      <w:r w:rsidRPr="00432BEE">
        <w:rPr>
          <w:rtl/>
        </w:rPr>
        <w:t xml:space="preserve">وقال ابن الأثير في </w:t>
      </w:r>
      <w:r w:rsidRPr="0012008A">
        <w:rPr>
          <w:rStyle w:val="libFootnoteBoldChar"/>
          <w:rtl/>
        </w:rPr>
        <w:t>النهاية</w:t>
      </w:r>
      <w:r w:rsidRPr="00432BEE">
        <w:rPr>
          <w:rtl/>
        </w:rPr>
        <w:t xml:space="preserve"> ، ج 1 ، ص 270 : « وأحسن ما سمعت في تأويل هذا الحديث أنّ جميع العبادات التي يتقرّب بها العباد إلى الله </w:t>
      </w:r>
      <w:r w:rsidR="009B673F" w:rsidRPr="00432BEE">
        <w:rPr>
          <w:rtl/>
        </w:rPr>
        <w:t>-</w:t>
      </w:r>
      <w:r w:rsidRPr="00432BEE">
        <w:rPr>
          <w:rtl/>
        </w:rPr>
        <w:t xml:space="preserve"> عزّ وجلّ </w:t>
      </w:r>
      <w:r w:rsidR="009B673F" w:rsidRPr="00432BEE">
        <w:rPr>
          <w:rtl/>
        </w:rPr>
        <w:t>-</w:t>
      </w:r>
      <w:r w:rsidRPr="00432BEE">
        <w:rPr>
          <w:rtl/>
        </w:rPr>
        <w:t xml:space="preserve"> من صلاة وحجّ وصدقة واعتكاف وتبتّل ودعاء وقربان وهدى وغير ذلك من أنواع العبادات ، قد عبد المشركون بها آلهتهم ، وما كانوا يتّخذونه من دون الله أنداداً ، ولم يسمع أنّ طائفة من طوائف المشركين وأرباب النحل في الأزمان المتقادمة عبدت آلهتها بالصوم ولا تقرّبت إليها به ،</w:t>
      </w:r>
      <w:r w:rsidR="00432BEE">
        <w:rPr>
          <w:rtl/>
        </w:rPr>
        <w:t xml:space="preserve"> ولا عُرف الصوم في العبادات إل</w:t>
      </w:r>
      <w:r w:rsidR="00432BEE">
        <w:rPr>
          <w:rFonts w:hint="cs"/>
          <w:rtl/>
        </w:rPr>
        <w:t>ّ</w:t>
      </w:r>
      <w:r w:rsidR="00432BEE">
        <w:rPr>
          <w:rtl/>
        </w:rPr>
        <w:t>ا</w:t>
      </w:r>
      <w:r w:rsidR="00432BEE">
        <w:rPr>
          <w:rFonts w:hint="cs"/>
          <w:rtl/>
        </w:rPr>
        <w:t xml:space="preserve"> </w:t>
      </w:r>
      <w:r w:rsidRPr="00432BEE">
        <w:rPr>
          <w:rtl/>
        </w:rPr>
        <w:t>من جهة الشرائع ، فلذلك قال الله عزّ وجلّ : الصوم لي وأنا أجزي به ، أي لم يشاركنى أحد فيه ، ولا عبد به غيري ، فأنا حينئذٍ أجزي به وأتولّي الجزاء عليه بنفسي ، لا أكله إلى أحد من ملك مقرّب أو غيره على قدر اختصاصه بي ».</w:t>
      </w:r>
    </w:p>
    <w:p w:rsidR="00992664" w:rsidRPr="00020424" w:rsidRDefault="00992664" w:rsidP="00992664">
      <w:pPr>
        <w:pStyle w:val="libFootnote0"/>
        <w:rPr>
          <w:rtl/>
          <w:lang w:bidi="fa-IR"/>
        </w:rPr>
      </w:pPr>
      <w:r w:rsidRPr="00432BEE">
        <w:rPr>
          <w:rtl/>
        </w:rPr>
        <w:t xml:space="preserve">ونقل في </w:t>
      </w:r>
      <w:r w:rsidRPr="00DE76B9">
        <w:rPr>
          <w:rStyle w:val="libFootnoteBoldChar"/>
          <w:rtl/>
        </w:rPr>
        <w:t>المرآة</w:t>
      </w:r>
      <w:r w:rsidRPr="00432BEE">
        <w:rPr>
          <w:rtl/>
        </w:rPr>
        <w:t xml:space="preserve"> في توجيه اختصاص الجزاء به تعالى وجهاً ، وهو أنّ معناه مضاعفة الجزاء من غير عدد ولا حساب ؛ لأنّ الكريم إذا أخبر أنّه يتولّى بنفسه الجزاء ، اقتضى أن يكون بحسب عظمته وسعته ، ثمّ قال : « أقول : </w:t>
      </w:r>
      <w:r w:rsidR="00432BE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338CC">
        <w:rPr>
          <w:rtl/>
        </w:rPr>
        <w:t>6258</w:t>
      </w:r>
      <w:r w:rsidRPr="001155DE">
        <w:rPr>
          <w:rStyle w:val="libBold2Char"/>
          <w:rtl/>
        </w:rPr>
        <w:t xml:space="preserve"> / 7.</w:t>
      </w:r>
      <w:r w:rsidRPr="00020424">
        <w:rPr>
          <w:rtl/>
          <w:lang w:bidi="fa-IR"/>
        </w:rPr>
        <w:t xml:space="preserve"> عَلِيٌّ </w:t>
      </w:r>
      <w:r w:rsidRPr="00A91B96">
        <w:rPr>
          <w:rStyle w:val="libFootnotenumChar"/>
          <w:rtl/>
        </w:rPr>
        <w:t>(1)</w:t>
      </w:r>
      <w:r w:rsidRPr="00020424">
        <w:rPr>
          <w:rtl/>
          <w:lang w:bidi="fa-IR"/>
        </w:rPr>
        <w:t xml:space="preserve"> ، عَنْ أَبِيهِ ، عَنِ ابْنِ أَبِي عُمَيْرٍ ، عَنْ سُلَيْمَانَ </w:t>
      </w:r>
      <w:r w:rsidRPr="00A91B96">
        <w:rPr>
          <w:rStyle w:val="libFootnotenumChar"/>
          <w:rtl/>
        </w:rPr>
        <w:t>(2)</w:t>
      </w:r>
      <w:r w:rsidRPr="00020424">
        <w:rPr>
          <w:rtl/>
          <w:lang w:bidi="fa-IR"/>
        </w:rPr>
        <w:t xml:space="preserve"> ، عَمَّنْ ذَكَرَهُ :</w:t>
      </w:r>
    </w:p>
    <w:p w:rsidR="00992664" w:rsidRPr="00020424" w:rsidRDefault="00992664" w:rsidP="00432BEE">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وَاسْتَعِينُوا بِالصَّبْرِ </w:t>
      </w:r>
      <w:r w:rsidR="00432BEE" w:rsidRPr="00A91B96">
        <w:rPr>
          <w:rStyle w:val="libFootnotenumChar"/>
          <w:rtl/>
        </w:rPr>
        <w:t>(3)</w:t>
      </w:r>
      <w:r w:rsidRPr="00005A81">
        <w:rPr>
          <w:rStyle w:val="libAlaemChar"/>
          <w:rtl/>
        </w:rPr>
        <w:t>)</w:t>
      </w:r>
      <w:r w:rsidRPr="00020424">
        <w:rPr>
          <w:rtl/>
          <w:lang w:bidi="fa-IR"/>
        </w:rPr>
        <w:t xml:space="preserve"> </w:t>
      </w:r>
      <w:r w:rsidRPr="00A91B96">
        <w:rPr>
          <w:rStyle w:val="libFootnotenumChar"/>
          <w:rtl/>
        </w:rPr>
        <w:t>(4)</w:t>
      </w:r>
      <w:r w:rsidRPr="00020424">
        <w:rPr>
          <w:rtl/>
          <w:lang w:bidi="fa-IR"/>
        </w:rPr>
        <w:t xml:space="preserve"> قَالَ : « الصَّبْرُ :</w:t>
      </w:r>
      <w:r>
        <w:rPr>
          <w:rFonts w:hint="cs"/>
          <w:rtl/>
          <w:lang w:bidi="fa-IR"/>
        </w:rPr>
        <w:t xml:space="preserve"> </w:t>
      </w:r>
      <w:r w:rsidRPr="00020424">
        <w:rPr>
          <w:rtl/>
          <w:lang w:bidi="fa-IR"/>
        </w:rPr>
        <w:t xml:space="preserve">الصِّيَامُ </w:t>
      </w:r>
      <w:r w:rsidRPr="00A91B96">
        <w:rPr>
          <w:rStyle w:val="libFootnotenumChar"/>
          <w:rtl/>
        </w:rPr>
        <w:t>(5)</w:t>
      </w:r>
      <w:r w:rsidRPr="00020424">
        <w:rPr>
          <w:rtl/>
          <w:lang w:bidi="fa-IR"/>
        </w:rPr>
        <w:t xml:space="preserve"> » وَقَالَ : « إِذَا نَزَلَتْ بِالرَّجُلِ النَّازِلَةُ وَالشَّدِيدَةُ </w:t>
      </w:r>
      <w:r w:rsidRPr="00A91B96">
        <w:rPr>
          <w:rStyle w:val="libFootnotenumChar"/>
          <w:rtl/>
        </w:rPr>
        <w:t>(6)</w:t>
      </w:r>
      <w:r w:rsidRPr="00020424">
        <w:rPr>
          <w:rtl/>
          <w:lang w:bidi="fa-IR"/>
        </w:rPr>
        <w:t xml:space="preserve"> فَلْيَصُمْ ، فَإِنَّ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وَاسْتَعِينُوا بِالصَّبْرِ </w:t>
      </w:r>
      <w:r w:rsidRPr="00005A81">
        <w:rPr>
          <w:rStyle w:val="libAlaemChar"/>
          <w:rtl/>
        </w:rPr>
        <w:t>)</w:t>
      </w:r>
      <w:r w:rsidRPr="00020424">
        <w:rPr>
          <w:rtl/>
          <w:lang w:bidi="fa-IR"/>
        </w:rPr>
        <w:t xml:space="preserve"> يَعْنِي الصِّيَامَ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2338CC">
        <w:rPr>
          <w:rtl/>
        </w:rPr>
        <w:t>6259</w:t>
      </w:r>
      <w:r w:rsidRPr="001155DE">
        <w:rPr>
          <w:rStyle w:val="libBold2Char"/>
          <w:rtl/>
        </w:rPr>
        <w:t xml:space="preserve"> / 8.</w:t>
      </w:r>
      <w:r w:rsidRPr="00020424">
        <w:rPr>
          <w:rtl/>
          <w:lang w:bidi="fa-IR"/>
        </w:rPr>
        <w:t xml:space="preserve"> عِدَّةٌ مِنْ أَصْحَابِنَا ، عَنْ سَهْلِ بْنِ زِيَادٍ ، عَنْ مُحَمَّدِ بْنِ سِنَانٍ ، عَنْ مُنْذِرِ بْنِ يَزِيدَ ، عَنْ يُونُسَ بْنِ ظَبْيَانَ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مَنْ صَامَ 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يَوْماً فِي شِدَّةِ الْحَرِّ ، فَأَصَابَهُ ظَمَأٌ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432BEE" w:rsidP="00432BEE">
      <w:pPr>
        <w:pStyle w:val="libFootnote0"/>
        <w:rPr>
          <w:rtl/>
          <w:lang w:bidi="fa-IR"/>
        </w:rPr>
      </w:pPr>
      <w:r>
        <w:rPr>
          <w:rFonts w:hint="cs"/>
          <w:rtl/>
        </w:rPr>
        <w:t xml:space="preserve">= </w:t>
      </w:r>
      <w:r w:rsidR="00992664" w:rsidRPr="00D82B22">
        <w:rPr>
          <w:rtl/>
        </w:rPr>
        <w:t>روّيت من بعض مشايخي أنّه كان يقرأ : ا</w:t>
      </w:r>
      <w:r>
        <w:rPr>
          <w:rFonts w:hint="cs"/>
          <w:rtl/>
        </w:rPr>
        <w:t>ُ</w:t>
      </w:r>
      <w:r w:rsidR="00992664" w:rsidRPr="00D82B22">
        <w:rPr>
          <w:rtl/>
        </w:rPr>
        <w:t>جزى به ، على بناء المفعول ، أي هو جزاء لنعمي وشكر لها. وربما يقال : إنّ المعنى : أنا جزاؤه. ولا يخفى بعده</w:t>
      </w:r>
      <w:r w:rsidR="00992664">
        <w:rPr>
          <w:rtl/>
        </w:rPr>
        <w:t xml:space="preserve"> ».</w:t>
      </w:r>
    </w:p>
    <w:p w:rsidR="00992664" w:rsidRDefault="00795177" w:rsidP="00992664">
      <w:pPr>
        <w:pStyle w:val="libFootnote0"/>
        <w:rPr>
          <w:rtl/>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152 ، ح 420 ، بسند آخر عن أبي جعفر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75 ، صدر ح 1773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مصباح الشريعة</w:t>
      </w:r>
      <w:r w:rsidR="00992664" w:rsidRPr="00020424">
        <w:rPr>
          <w:rtl/>
        </w:rPr>
        <w:t xml:space="preserve"> ، ص 135 ، الباب 65 ، ضمن الحديث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432BEE">
        <w:rPr>
          <w:rFonts w:hint="cs"/>
          <w:rtl/>
        </w:rPr>
        <w:t>.</w:t>
      </w:r>
      <w:r w:rsidR="00992664" w:rsidRPr="0012008A">
        <w:rPr>
          <w:rStyle w:val="libFootnoteBoldChar"/>
          <w:rtl/>
        </w:rPr>
        <w:t>الوافي</w:t>
      </w:r>
      <w:r w:rsidR="00992664" w:rsidRPr="00020424">
        <w:rPr>
          <w:rtl/>
        </w:rPr>
        <w:t xml:space="preserve"> ، ج 11 ، ص 24 ، ح 10349 ؛ </w:t>
      </w:r>
      <w:r w:rsidR="00992664" w:rsidRPr="0012008A">
        <w:rPr>
          <w:rStyle w:val="libFootnoteBoldChar"/>
          <w:rtl/>
        </w:rPr>
        <w:t>الوسائل</w:t>
      </w:r>
      <w:r w:rsidR="00992664" w:rsidRPr="00020424">
        <w:rPr>
          <w:rtl/>
        </w:rPr>
        <w:t xml:space="preserve"> ، ج 10 ، ص 397 ، ح 13679.</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وحاشية « بس » </w:t>
      </w:r>
      <w:r w:rsidR="00992664" w:rsidRPr="00EB1FD9">
        <w:rPr>
          <w:rStyle w:val="libFootnoteBoldChar"/>
          <w:rtl/>
        </w:rPr>
        <w:t>والوسائل</w:t>
      </w:r>
      <w:r w:rsidR="00992664" w:rsidRPr="00020424">
        <w:rPr>
          <w:rtl/>
        </w:rPr>
        <w:t xml:space="preserve"> : + «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432BEE">
        <w:rPr>
          <w:rtl/>
        </w:rPr>
        <w:t>والوافي وفضائل الأشهر الثلاثة</w:t>
      </w:r>
      <w:r w:rsidR="00992664" w:rsidRPr="00020424">
        <w:rPr>
          <w:rtl/>
        </w:rPr>
        <w:t xml:space="preserve"> : « سليم</w:t>
      </w:r>
      <w:r w:rsidR="00992664">
        <w:rPr>
          <w:rtl/>
        </w:rPr>
        <w:t xml:space="preserve"> ».</w:t>
      </w:r>
    </w:p>
    <w:p w:rsidR="00992664" w:rsidRPr="00020424" w:rsidRDefault="00795177" w:rsidP="00432BEE">
      <w:pPr>
        <w:pStyle w:val="libFootnote0"/>
        <w:rPr>
          <w:rtl/>
          <w:lang w:bidi="fa-IR"/>
        </w:rPr>
      </w:pPr>
      <w:r>
        <w:rPr>
          <w:rtl/>
        </w:rPr>
        <w:t>(3).</w:t>
      </w:r>
      <w:r w:rsidR="0014403D">
        <w:rPr>
          <w:rtl/>
        </w:rPr>
        <w:t xml:space="preserve"> </w:t>
      </w:r>
      <w:r w:rsidR="00992664" w:rsidRPr="00020424">
        <w:rPr>
          <w:rtl/>
        </w:rPr>
        <w:t xml:space="preserve">في « بث » وحاشية « جن » وتفسير القميّ وتفسير العيّاشي </w:t>
      </w:r>
      <w:r w:rsidR="00992664" w:rsidRPr="00432BEE">
        <w:rPr>
          <w:rtl/>
        </w:rPr>
        <w:t>وفضائل الأشهر الثلاثة</w:t>
      </w:r>
      <w:r w:rsidR="00992664" w:rsidRPr="00020424">
        <w:rPr>
          <w:rtl/>
        </w:rPr>
        <w:t xml:space="preserve"> : + </w:t>
      </w:r>
      <w:r w:rsidR="00432BEE" w:rsidRPr="00432BEE">
        <w:rPr>
          <w:rStyle w:val="libFootnoteAlaemChar"/>
          <w:rFonts w:hint="cs"/>
          <w:rtl/>
        </w:rPr>
        <w:t>(</w:t>
      </w:r>
      <w:r w:rsidR="00992664" w:rsidRPr="00432BEE">
        <w:rPr>
          <w:rStyle w:val="libFootnoteAieChar"/>
          <w:rtl/>
        </w:rPr>
        <w:t xml:space="preserve"> وَالصَّلَوةِ </w:t>
      </w:r>
      <w:r w:rsidR="00432BEE" w:rsidRPr="00432BEE">
        <w:rPr>
          <w:rStyle w:val="libFootnoteAlaemChar"/>
          <w:rFonts w:hint="cs"/>
          <w:rtl/>
        </w:rPr>
        <w:t>)</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البقرة </w:t>
      </w:r>
      <w:r w:rsidR="00432BEE">
        <w:rPr>
          <w:rtl/>
        </w:rPr>
        <w:t>(2)</w:t>
      </w:r>
      <w:r w:rsidR="0014403D">
        <w:rPr>
          <w:rtl/>
        </w:rPr>
        <w:t xml:space="preserve"> </w:t>
      </w:r>
      <w:r w:rsidR="00992664" w:rsidRPr="00020424">
        <w:rPr>
          <w:rtl/>
        </w:rPr>
        <w:t>: 45.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قال : الصبر : الصيام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بك » : « أو الشديدة</w:t>
      </w:r>
      <w:r w:rsidR="00992664">
        <w:rPr>
          <w:rtl/>
        </w:rPr>
        <w:t xml:space="preserve"> ».</w:t>
      </w:r>
      <w:r w:rsidR="00992664" w:rsidRPr="00020424">
        <w:rPr>
          <w:rtl/>
        </w:rPr>
        <w:t xml:space="preserve"> وفي </w:t>
      </w:r>
      <w:r w:rsidR="00992664" w:rsidRPr="00432BEE">
        <w:rPr>
          <w:rtl/>
        </w:rPr>
        <w:t>الوافي</w:t>
      </w:r>
      <w:r w:rsidR="00992664" w:rsidRPr="00020424">
        <w:rPr>
          <w:rtl/>
        </w:rPr>
        <w:t xml:space="preserve"> : « الشديدة » بدون الواو.</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وقال : إذا نزلت</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يعني الصيام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فضائل الأشهر الثلاثة</w:t>
      </w:r>
      <w:r w:rsidR="00992664" w:rsidRPr="00020424">
        <w:rPr>
          <w:rtl/>
        </w:rPr>
        <w:t xml:space="preserve"> ، ص 122 ، ح 125 ، بسنده عن عليّ بن إبراهيم. </w:t>
      </w:r>
      <w:r w:rsidR="00992664" w:rsidRPr="00DE76B9">
        <w:rPr>
          <w:rStyle w:val="libFootnoteBoldChar"/>
          <w:rtl/>
        </w:rPr>
        <w:t>تفسير العيّاشي</w:t>
      </w:r>
      <w:r w:rsidR="00992664" w:rsidRPr="00020424">
        <w:rPr>
          <w:rtl/>
        </w:rPr>
        <w:t xml:space="preserve"> ، ج 1 ، ص 43 ، ح 41 ، عن سليمان الفرا ، عن أبي الحسن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ح 40 ، عن عبدالله بن طلحة ، عن أبي عبدالله </w:t>
      </w:r>
      <w:r w:rsidR="00992664" w:rsidRPr="00D64ADA">
        <w:rPr>
          <w:rStyle w:val="libFootnoteAlaemChar"/>
          <w:rtl/>
        </w:rPr>
        <w:t>عليه‌السلام</w:t>
      </w:r>
      <w:r w:rsidR="00992664" w:rsidRPr="00020424">
        <w:rPr>
          <w:rtl/>
        </w:rPr>
        <w:t xml:space="preserve"> ، إلى قوله : « قال : الصبر : الصيام</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76 ، ح 1776 ، إلى : « قال : الصبر صيام » ؛ </w:t>
      </w:r>
      <w:r w:rsidR="00992664" w:rsidRPr="00DE76B9">
        <w:rPr>
          <w:rStyle w:val="libFootnoteBoldChar"/>
          <w:rtl/>
        </w:rPr>
        <w:t>وفيه</w:t>
      </w:r>
      <w:r w:rsidR="00992664" w:rsidRPr="00020424">
        <w:rPr>
          <w:rtl/>
        </w:rPr>
        <w:t xml:space="preserve"> ، ح 1777 ، من قوله : « إذا نزلت بالرجل » وفيهما مرسلاً من دون التصريح باسم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القمّي</w:t>
      </w:r>
      <w:r w:rsidR="00992664" w:rsidRPr="00020424">
        <w:rPr>
          <w:rtl/>
        </w:rPr>
        <w:t xml:space="preserve"> ، ج 1 ، ص 46 ، من دون الإسناد إلى المعصوم </w:t>
      </w:r>
      <w:r w:rsidR="00992664" w:rsidRPr="00D64ADA">
        <w:rPr>
          <w:rStyle w:val="libFootnoteAlaemChar"/>
          <w:rtl/>
        </w:rPr>
        <w:t>عليه‌السلام</w:t>
      </w:r>
      <w:r w:rsidR="00992664" w:rsidRPr="00020424">
        <w:rPr>
          <w:rtl/>
        </w:rPr>
        <w:t xml:space="preserve"> ، إلى قوله : « قال : الصبر : الصيام » </w:t>
      </w:r>
      <w:r w:rsidR="00432BEE">
        <w:rPr>
          <w:rFonts w:hint="cs"/>
          <w:rtl/>
        </w:rPr>
        <w:t>.</w:t>
      </w:r>
      <w:r w:rsidR="00992664" w:rsidRPr="0012008A">
        <w:rPr>
          <w:rStyle w:val="libFootnoteBoldChar"/>
          <w:rtl/>
        </w:rPr>
        <w:t>الوافي</w:t>
      </w:r>
      <w:r w:rsidR="00992664" w:rsidRPr="00020424">
        <w:rPr>
          <w:rtl/>
        </w:rPr>
        <w:t xml:space="preserve"> ، ج 11 ، ص 29 ، ح 10361 ؛ </w:t>
      </w:r>
      <w:r w:rsidR="00992664" w:rsidRPr="0012008A">
        <w:rPr>
          <w:rStyle w:val="libFootnoteBoldChar"/>
          <w:rtl/>
        </w:rPr>
        <w:t>الوسائل</w:t>
      </w:r>
      <w:r w:rsidR="00992664" w:rsidRPr="00020424">
        <w:rPr>
          <w:rtl/>
        </w:rPr>
        <w:t xml:space="preserve"> ، ج 10 ، ص 407 ، ح 13716.</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الظَمَأ : العطش. وقيل : هو شدّة العطش. </w:t>
      </w:r>
      <w:r w:rsidR="00992664" w:rsidRPr="0012008A">
        <w:rPr>
          <w:rStyle w:val="libFootnoteBoldChar"/>
          <w:rtl/>
        </w:rPr>
        <w:t>النهاية</w:t>
      </w:r>
      <w:r w:rsidR="00992664" w:rsidRPr="00020424">
        <w:rPr>
          <w:rtl/>
        </w:rPr>
        <w:t xml:space="preserve"> ، ج 3 ، ص 162 ( ظمأ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وَكَّلَ اللهُ بِهِ أَلْفَ مَلَكٍ يَمْسَحُونَ وَجْهَهُ وَيُبَشِّرُونَهُ </w:t>
      </w:r>
      <w:r w:rsidRPr="00A91B96">
        <w:rPr>
          <w:rStyle w:val="libFootnotenumChar"/>
          <w:rtl/>
        </w:rPr>
        <w:t>(1)</w:t>
      </w:r>
      <w:r w:rsidRPr="00020424">
        <w:rPr>
          <w:rtl/>
          <w:lang w:bidi="fa-IR"/>
        </w:rPr>
        <w:t xml:space="preserve"> حَتّى إِذَا أَفْطَرَ قَالَ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لَهُ</w:t>
      </w:r>
      <w:r w:rsidRPr="00A91B96">
        <w:rPr>
          <w:rStyle w:val="libFootnotenumChar"/>
          <w:rtl/>
        </w:rPr>
        <w:t>(2)</w:t>
      </w:r>
      <w:r w:rsidRPr="00020424">
        <w:rPr>
          <w:rtl/>
          <w:lang w:bidi="fa-IR"/>
        </w:rPr>
        <w:t xml:space="preserve"> : مَا أَطْيَبَ رِيحَكَ </w:t>
      </w:r>
      <w:r w:rsidRPr="00A91B96">
        <w:rPr>
          <w:rStyle w:val="libFootnotenumChar"/>
          <w:rtl/>
        </w:rPr>
        <w:t>(3)</w:t>
      </w:r>
      <w:r w:rsidRPr="00020424">
        <w:rPr>
          <w:rtl/>
          <w:lang w:bidi="fa-IR"/>
        </w:rPr>
        <w:t xml:space="preserve"> وَرَوْحَكَ </w:t>
      </w:r>
      <w:r w:rsidRPr="00A91B96">
        <w:rPr>
          <w:rStyle w:val="libFootnotenumChar"/>
          <w:rtl/>
        </w:rPr>
        <w:t>(4)</w:t>
      </w:r>
      <w:r>
        <w:rPr>
          <w:rtl/>
          <w:lang w:bidi="fa-IR"/>
        </w:rPr>
        <w:t>!</w:t>
      </w:r>
      <w:r w:rsidRPr="00020424">
        <w:rPr>
          <w:rtl/>
          <w:lang w:bidi="fa-IR"/>
        </w:rPr>
        <w:t xml:space="preserve"> مَلَائِكَتِي </w:t>
      </w:r>
      <w:r w:rsidRPr="00A91B96">
        <w:rPr>
          <w:rStyle w:val="libFootnotenumChar"/>
          <w:rtl/>
        </w:rPr>
        <w:t>(5)</w:t>
      </w:r>
      <w:r w:rsidRPr="00020424">
        <w:rPr>
          <w:rtl/>
          <w:lang w:bidi="fa-IR"/>
        </w:rPr>
        <w:t xml:space="preserve"> ، اشْهَدُوا أَنِّي قَدْ غَفَرْتُ لَهُ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2338CC">
        <w:rPr>
          <w:rtl/>
        </w:rPr>
        <w:t>6260</w:t>
      </w:r>
      <w:r w:rsidRPr="001155DE">
        <w:rPr>
          <w:rStyle w:val="libBold2Char"/>
          <w:rtl/>
        </w:rPr>
        <w:t xml:space="preserve"> / 9.</w:t>
      </w:r>
      <w:r w:rsidRPr="00020424">
        <w:rPr>
          <w:rtl/>
          <w:lang w:bidi="fa-IR"/>
        </w:rPr>
        <w:t xml:space="preserve"> أَحْمَدُ بْنُ إِدْرِيسَ ، عَنْ مُحَمَّدِ بْنِ حَسَّانَ ، عَنْ مُحَمَّدِ بْنِ عَلِيٍّ ، عَنْ عَلِيِّ بْنِ النُّعْمَانِ ، عَنْ عَبْدِ اللهِ بْنِ طَلْحَةَ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الصَّائِمُ فِي عِبَادَةٍ وَإِنْ كَانَ </w:t>
      </w:r>
      <w:r w:rsidRPr="00A91B96">
        <w:rPr>
          <w:rStyle w:val="libFootnotenumChar"/>
          <w:rtl/>
        </w:rPr>
        <w:t>(7)</w:t>
      </w:r>
      <w:r w:rsidRPr="00020424">
        <w:rPr>
          <w:rtl/>
          <w:lang w:bidi="fa-IR"/>
        </w:rPr>
        <w:t xml:space="preserve"> عَلى فِرَاشِهِ مَا لَمْ يَغْتَبْ مُسْلِماً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2338CC">
        <w:rPr>
          <w:rtl/>
        </w:rPr>
        <w:t>6261</w:t>
      </w:r>
      <w:r w:rsidRPr="001155DE">
        <w:rPr>
          <w:rStyle w:val="libBold2Char"/>
          <w:rtl/>
        </w:rPr>
        <w:t xml:space="preserve"> / 10.</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كَتَمَ صَوْمَهُ ، قَالَ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لِمَلَائِكَتِهِ : عَبْدِي‌</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32BEE" w:rsidTr="00432BEE">
        <w:tc>
          <w:tcPr>
            <w:tcW w:w="4006" w:type="dxa"/>
          </w:tcPr>
          <w:p w:rsidR="00432BEE" w:rsidRDefault="00432BEE" w:rsidP="00992664">
            <w:pPr>
              <w:pStyle w:val="libFootnote0"/>
              <w:rPr>
                <w:rtl/>
              </w:rPr>
            </w:pPr>
            <w:r>
              <w:rPr>
                <w:rtl/>
              </w:rPr>
              <w:t xml:space="preserve">(1). </w:t>
            </w:r>
            <w:r w:rsidRPr="00020424">
              <w:rPr>
                <w:rtl/>
              </w:rPr>
              <w:t>في « جن » : + « بالرحمة</w:t>
            </w:r>
            <w:r>
              <w:rPr>
                <w:rtl/>
              </w:rPr>
              <w:t xml:space="preserve"> ».</w:t>
            </w:r>
          </w:p>
        </w:tc>
        <w:tc>
          <w:tcPr>
            <w:tcW w:w="4006" w:type="dxa"/>
          </w:tcPr>
          <w:p w:rsidR="00432BEE" w:rsidRDefault="00432BEE" w:rsidP="00992664">
            <w:pPr>
              <w:pStyle w:val="libFootnote0"/>
              <w:rPr>
                <w:rtl/>
              </w:rPr>
            </w:pPr>
            <w:r>
              <w:rPr>
                <w:rtl/>
              </w:rPr>
              <w:t xml:space="preserve">(2). </w:t>
            </w:r>
            <w:r w:rsidRPr="00020424">
              <w:rPr>
                <w:rtl/>
              </w:rPr>
              <w:t>في</w:t>
            </w:r>
            <w:r>
              <w:rPr>
                <w:rtl/>
              </w:rPr>
              <w:t xml:space="preserve"> «بر ،بس ،بف ،</w:t>
            </w:r>
            <w:r w:rsidRPr="00020424">
              <w:rPr>
                <w:rtl/>
              </w:rPr>
              <w:t xml:space="preserve">بك » </w:t>
            </w:r>
            <w:r w:rsidRPr="00432BEE">
              <w:rPr>
                <w:rtl/>
              </w:rPr>
              <w:t>والوافي</w:t>
            </w:r>
            <w:r w:rsidRPr="00020424">
              <w:rPr>
                <w:rtl/>
              </w:rPr>
              <w:t xml:space="preserve">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الريح : النَّفَس بالتحريك</w:t>
      </w:r>
      <w:r w:rsidR="00992664">
        <w:rPr>
          <w:rtl/>
        </w:rPr>
        <w:t xml:space="preserve"> ».</w:t>
      </w:r>
    </w:p>
    <w:p w:rsidR="00992664" w:rsidRPr="00020424" w:rsidRDefault="00795177" w:rsidP="00A83B0E">
      <w:pPr>
        <w:pStyle w:val="libFootnote0"/>
        <w:rPr>
          <w:rtl/>
          <w:lang w:bidi="fa-IR"/>
        </w:rPr>
      </w:pPr>
      <w:r>
        <w:rPr>
          <w:rtl/>
        </w:rPr>
        <w:t>(4).</w:t>
      </w:r>
      <w:r w:rsidR="0014403D">
        <w:rPr>
          <w:rtl/>
        </w:rPr>
        <w:t xml:space="preserve"> </w:t>
      </w:r>
      <w:r w:rsidR="00992664" w:rsidRPr="00020424">
        <w:rPr>
          <w:rtl/>
        </w:rPr>
        <w:t xml:space="preserve">الرَّوْح : الراحة والسرور والفرح </w:t>
      </w:r>
      <w:r w:rsidR="00A83B0E">
        <w:rPr>
          <w:rtl/>
        </w:rPr>
        <w:t>والرحمة ونسيم الريح. وقال العل</w:t>
      </w:r>
      <w:r w:rsidR="00A83B0E">
        <w:rPr>
          <w:rFonts w:hint="cs"/>
          <w:rtl/>
        </w:rPr>
        <w:t>ّ</w:t>
      </w:r>
      <w:r w:rsidR="00A83B0E">
        <w:rPr>
          <w:rtl/>
        </w:rPr>
        <w:t>ا</w:t>
      </w:r>
      <w:r w:rsidR="00992664" w:rsidRPr="00020424">
        <w:rPr>
          <w:rtl/>
        </w:rPr>
        <w:t>مة المجلسي : « الروح بالفتح : نسيم الريح ، ويحتمل أن يكون المراد هنا تنفّس الصائم » ، وأمّا الع</w:t>
      </w:r>
      <w:r w:rsidR="00A83B0E">
        <w:rPr>
          <w:rtl/>
        </w:rPr>
        <w:t>ل</w:t>
      </w:r>
      <w:r w:rsidR="00A83B0E">
        <w:rPr>
          <w:rFonts w:hint="cs"/>
          <w:rtl/>
        </w:rPr>
        <w:t>ّ</w:t>
      </w:r>
      <w:r w:rsidR="00A83B0E">
        <w:rPr>
          <w:rtl/>
        </w:rPr>
        <w:t>ا</w:t>
      </w:r>
      <w:r w:rsidR="00992664" w:rsidRPr="00020424">
        <w:rPr>
          <w:rtl/>
        </w:rPr>
        <w:t>مة الفيض فإنّه قرأه بضمّ الراء ، حيث قال : « والروح بضمّ الراء : ما يدبّر البدن ويعبّر عنه الإنسان بأنا</w:t>
      </w:r>
      <w:r w:rsidR="00992664">
        <w:rPr>
          <w:rtl/>
        </w:rPr>
        <w:t xml:space="preserve"> ».</w:t>
      </w:r>
      <w:r w:rsidR="00992664" w:rsidRPr="00020424">
        <w:rPr>
          <w:rtl/>
        </w:rPr>
        <w:t xml:space="preserve"> راجع : </w:t>
      </w:r>
      <w:r w:rsidR="00992664" w:rsidRPr="00A722B1">
        <w:rPr>
          <w:rStyle w:val="libFootnoteBoldChar"/>
          <w:rtl/>
        </w:rPr>
        <w:t>القاموس المحيط</w:t>
      </w:r>
      <w:r w:rsidR="00992664" w:rsidRPr="00020424">
        <w:rPr>
          <w:rtl/>
        </w:rPr>
        <w:t xml:space="preserve"> ، ج 1 ، ص 335 ؛ </w:t>
      </w:r>
      <w:r w:rsidR="00992664" w:rsidRPr="00DE76B9">
        <w:rPr>
          <w:rStyle w:val="libFootnoteBoldChar"/>
          <w:rtl/>
        </w:rPr>
        <w:t>تاج العروس</w:t>
      </w:r>
      <w:r w:rsidR="00992664" w:rsidRPr="00020424">
        <w:rPr>
          <w:rtl/>
        </w:rPr>
        <w:t xml:space="preserve"> ، ج 2 ، ص 148 ( روح )</w:t>
      </w:r>
      <w:r w:rsidR="00992664">
        <w:rPr>
          <w:rtl/>
        </w:rPr>
        <w:t>.</w:t>
      </w:r>
      <w:r w:rsidR="00A83B0E">
        <w:rPr>
          <w:rFonts w:hint="cs"/>
          <w:rtl/>
        </w:rPr>
        <w:t xml:space="preserve">                                             </w:t>
      </w:r>
      <w:r>
        <w:rPr>
          <w:rtl/>
        </w:rPr>
        <w:t>(5).</w:t>
      </w:r>
      <w:r w:rsidR="0014403D">
        <w:rPr>
          <w:rtl/>
        </w:rPr>
        <w:t xml:space="preserve"> </w:t>
      </w:r>
      <w:r w:rsidR="00992664" w:rsidRPr="00020424">
        <w:rPr>
          <w:rtl/>
        </w:rPr>
        <w:t>في « جن » : « يا ملائكتي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76 ، ح 1781 ، مرسلاً من دون التصريح باسم المعصوم </w:t>
      </w:r>
      <w:r w:rsidR="00992664" w:rsidRPr="00D64ADA">
        <w:rPr>
          <w:rStyle w:val="libFootnoteAlaemChar"/>
          <w:rtl/>
        </w:rPr>
        <w:t>عليه‌السلام</w:t>
      </w:r>
      <w:r w:rsidR="00992664" w:rsidRPr="00020424">
        <w:rPr>
          <w:rtl/>
        </w:rPr>
        <w:t xml:space="preserve"> ، مع اختلاف يسير </w:t>
      </w:r>
      <w:r w:rsidR="00A83B0E">
        <w:rPr>
          <w:rFonts w:hint="cs"/>
          <w:rtl/>
        </w:rPr>
        <w:t>.</w:t>
      </w:r>
      <w:r w:rsidR="00992664" w:rsidRPr="0012008A">
        <w:rPr>
          <w:rStyle w:val="libFootnoteBoldChar"/>
          <w:rtl/>
        </w:rPr>
        <w:t>الوافي</w:t>
      </w:r>
      <w:r w:rsidR="00992664" w:rsidRPr="00020424">
        <w:rPr>
          <w:rtl/>
        </w:rPr>
        <w:t xml:space="preserve"> ، ج 11 ، ص 27 ، ح 10353.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A83B0E">
        <w:rPr>
          <w:rtl/>
        </w:rPr>
        <w:t>الوسائل والفقيه</w:t>
      </w:r>
      <w:r w:rsidR="00992664" w:rsidRPr="00020424">
        <w:rPr>
          <w:rtl/>
        </w:rPr>
        <w:t xml:space="preserve"> </w:t>
      </w:r>
      <w:r w:rsidR="00992664" w:rsidRPr="00A83B0E">
        <w:rPr>
          <w:rStyle w:val="libFootnoteBoldChar"/>
          <w:rtl/>
        </w:rPr>
        <w:t>وتحف العقول</w:t>
      </w:r>
      <w:r w:rsidR="00992664" w:rsidRPr="00020424">
        <w:rPr>
          <w:rtl/>
        </w:rPr>
        <w:t xml:space="preserve"> </w:t>
      </w:r>
      <w:r w:rsidR="00992664" w:rsidRPr="00A83B0E">
        <w:rPr>
          <w:rtl/>
        </w:rPr>
        <w:t>والأمالي للصدوق وثواب الأعمال وفضائل الأشهر الثلاثة والاختصاص</w:t>
      </w:r>
      <w:r w:rsidR="00992664" w:rsidRPr="00020424">
        <w:rPr>
          <w:rtl/>
        </w:rPr>
        <w:t xml:space="preserve"> : + « نائماً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وذلك لأنّ الغيبة أكل لحم الميتة ، وهي نوع من الأكل يتقوّى به البدن</w:t>
      </w:r>
      <w:r w:rsidR="00992664">
        <w:rPr>
          <w:rtl/>
        </w:rPr>
        <w:t xml:space="preserve"> ».</w:t>
      </w:r>
      <w:r w:rsidR="00992664" w:rsidRPr="00020424">
        <w:rPr>
          <w:rtl/>
        </w:rPr>
        <w:t xml:space="preserve"> وذكرت هنا احتمالات ا</w:t>
      </w:r>
      <w:r w:rsidR="00A83B0E">
        <w:rPr>
          <w:rFonts w:hint="cs"/>
          <w:rtl/>
        </w:rPr>
        <w:t>ُ</w:t>
      </w:r>
      <w:r w:rsidR="00992664" w:rsidRPr="00020424">
        <w:rPr>
          <w:rtl/>
        </w:rPr>
        <w:t xml:space="preserve">خر ، فراجع : </w:t>
      </w:r>
      <w:r w:rsidR="00992664" w:rsidRPr="00DE76B9">
        <w:rPr>
          <w:rStyle w:val="libFootnoteBoldChar"/>
          <w:rtl/>
        </w:rPr>
        <w:t>مرآة العقول</w:t>
      </w:r>
      <w:r w:rsidR="00992664" w:rsidRPr="00020424">
        <w:rPr>
          <w:rtl/>
        </w:rPr>
        <w:t xml:space="preserve"> ، ج 16 ، ص 202.</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190 ، ح 538 ، معلّقاً عن الكليني. </w:t>
      </w:r>
      <w:r w:rsidR="00992664" w:rsidRPr="00DE76B9">
        <w:rPr>
          <w:rStyle w:val="libFootnoteBoldChar"/>
          <w:rtl/>
        </w:rPr>
        <w:t>فضائل الأشهر الثلاثة</w:t>
      </w:r>
      <w:r w:rsidR="00992664" w:rsidRPr="00020424">
        <w:rPr>
          <w:rtl/>
        </w:rPr>
        <w:t xml:space="preserve"> ، ص 121 ، ح 124 ، عن الحسين بن أحمد بن إدريس ، عن محمّد بن حسّان. وفي </w:t>
      </w:r>
      <w:r w:rsidR="00992664" w:rsidRPr="00587829">
        <w:rPr>
          <w:rStyle w:val="libFootnoteBoldChar"/>
          <w:rtl/>
        </w:rPr>
        <w:t>الأمالي للصدوق</w:t>
      </w:r>
      <w:r w:rsidR="00992664" w:rsidRPr="00020424">
        <w:rPr>
          <w:rtl/>
        </w:rPr>
        <w:t xml:space="preserve"> ، ص 551 ، المجلس 82 ، ح 1 ؛ </w:t>
      </w:r>
      <w:r w:rsidR="00992664" w:rsidRPr="006C7A1F">
        <w:rPr>
          <w:rStyle w:val="libFootnoteBoldChar"/>
          <w:rtl/>
        </w:rPr>
        <w:t>وثواب الأعمال</w:t>
      </w:r>
      <w:r w:rsidR="00992664" w:rsidRPr="00020424">
        <w:rPr>
          <w:rtl/>
        </w:rPr>
        <w:t xml:space="preserve"> ، ص 75 ، ح 1 ، بسندهما عن عليّ بن النعمان ، عن عبدالله بن طلحة ،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2 ، ص 74 ، ح 1772 ؛ </w:t>
      </w:r>
      <w:r w:rsidR="00992664" w:rsidRPr="00A83B0E">
        <w:rPr>
          <w:rStyle w:val="libFootnoteBoldChar"/>
          <w:rtl/>
        </w:rPr>
        <w:t>وتحف العقول</w:t>
      </w:r>
      <w:r w:rsidR="00992664" w:rsidRPr="00020424">
        <w:rPr>
          <w:rtl/>
        </w:rPr>
        <w:t xml:space="preserve"> ، ص 47 ؛ </w:t>
      </w:r>
      <w:r w:rsidR="00992664" w:rsidRPr="00666432">
        <w:rPr>
          <w:rStyle w:val="libFootnoteBoldChar"/>
          <w:rtl/>
        </w:rPr>
        <w:t>والاختصاص</w:t>
      </w:r>
      <w:r w:rsidR="00992664" w:rsidRPr="00DE76B9">
        <w:rPr>
          <w:rStyle w:val="libFootnoteBoldChar"/>
          <w:rtl/>
        </w:rPr>
        <w:t xml:space="preserve"> </w:t>
      </w:r>
      <w:r w:rsidR="00992664" w:rsidRPr="00020424">
        <w:rPr>
          <w:rtl/>
        </w:rPr>
        <w:t xml:space="preserve">، ص 234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304 ، مرسلاً من دون التصريح باسم المعصوم </w:t>
      </w:r>
      <w:r w:rsidR="00992664" w:rsidRPr="00D64ADA">
        <w:rPr>
          <w:rStyle w:val="libFootnoteAlaemChar"/>
          <w:rtl/>
        </w:rPr>
        <w:t>عليه‌السلام</w:t>
      </w:r>
      <w:r w:rsidR="00992664" w:rsidRPr="00020424">
        <w:rPr>
          <w:rtl/>
        </w:rPr>
        <w:t xml:space="preserve"> </w:t>
      </w:r>
      <w:r w:rsidR="00A83B0E">
        <w:rPr>
          <w:rFonts w:hint="cs"/>
          <w:rtl/>
        </w:rPr>
        <w:t>.</w:t>
      </w:r>
      <w:r w:rsidR="00992664" w:rsidRPr="0012008A">
        <w:rPr>
          <w:rStyle w:val="libFootnoteBoldChar"/>
          <w:rtl/>
        </w:rPr>
        <w:t>الوافي</w:t>
      </w:r>
      <w:r w:rsidR="00992664" w:rsidRPr="00020424">
        <w:rPr>
          <w:rtl/>
        </w:rPr>
        <w:t xml:space="preserve"> ، ج 11 ، ص 27 ، ح 10354 ؛ </w:t>
      </w:r>
      <w:r w:rsidR="00992664" w:rsidRPr="0012008A">
        <w:rPr>
          <w:rStyle w:val="libFootnoteBoldChar"/>
          <w:rtl/>
        </w:rPr>
        <w:t>الوسائل</w:t>
      </w:r>
      <w:r w:rsidR="00992664" w:rsidRPr="00020424">
        <w:rPr>
          <w:rtl/>
        </w:rPr>
        <w:t xml:space="preserve"> ، ج 10 ، ص 399 ، ح 13684.</w:t>
      </w:r>
    </w:p>
    <w:p w:rsidR="00795177" w:rsidRDefault="00795177" w:rsidP="00795177">
      <w:pPr>
        <w:pStyle w:val="libNormal"/>
        <w:rPr>
          <w:rtl/>
          <w:lang w:bidi="fa-IR"/>
        </w:rPr>
      </w:pPr>
      <w:r>
        <w:rPr>
          <w:rtl/>
          <w:lang w:bidi="fa-IR"/>
        </w:rPr>
        <w:br w:type="page"/>
      </w:r>
    </w:p>
    <w:p w:rsidR="00992664" w:rsidRPr="00020424" w:rsidRDefault="00992664" w:rsidP="00A83B0E">
      <w:pPr>
        <w:pStyle w:val="libNormal0"/>
        <w:rPr>
          <w:rtl/>
          <w:lang w:bidi="fa-IR"/>
        </w:rPr>
      </w:pPr>
      <w:r w:rsidRPr="00020424">
        <w:rPr>
          <w:rtl/>
          <w:lang w:bidi="fa-IR"/>
        </w:rPr>
        <w:t>اسْتَجَارَ مِنْ عَذَابِي ، فَأَجِيرُوهُ ، وَوَكَّلَ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مَلَائِكَتَهُ </w:t>
      </w:r>
      <w:r w:rsidRPr="00A91B96">
        <w:rPr>
          <w:rStyle w:val="libFootnotenumChar"/>
          <w:rtl/>
        </w:rPr>
        <w:t>(1)</w:t>
      </w:r>
      <w:r w:rsidRPr="00020424">
        <w:rPr>
          <w:rtl/>
          <w:lang w:bidi="fa-IR"/>
        </w:rPr>
        <w:t xml:space="preserve"> بِالدُّعَاءِ لِلصَّائِمِينَ ، وَلَمْ يَأْمُرْهُمْ </w:t>
      </w:r>
      <w:r w:rsidRPr="00A91B96">
        <w:rPr>
          <w:rStyle w:val="libFootnotenumChar"/>
          <w:rtl/>
        </w:rPr>
        <w:t>(2)</w:t>
      </w:r>
      <w:r w:rsidR="00A83B0E">
        <w:rPr>
          <w:rtl/>
          <w:lang w:bidi="fa-IR"/>
        </w:rPr>
        <w:t xml:space="preserve"> بِالدُّعَاءِ لِأَحَدٍ إِل</w:t>
      </w:r>
      <w:r w:rsidR="00A83B0E">
        <w:rPr>
          <w:rFonts w:hint="cs"/>
          <w:rtl/>
          <w:lang w:bidi="fa-IR"/>
        </w:rPr>
        <w:t>َّ</w:t>
      </w:r>
      <w:r w:rsidR="00A83B0E">
        <w:rPr>
          <w:rtl/>
          <w:lang w:bidi="fa-IR"/>
        </w:rPr>
        <w:t>ا</w:t>
      </w:r>
      <w:r w:rsidRPr="00020424">
        <w:rPr>
          <w:rtl/>
          <w:lang w:bidi="fa-IR"/>
        </w:rPr>
        <w:t xml:space="preserve"> اسْتَجَابَ لَهُمْ فِيهِ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2338CC">
        <w:rPr>
          <w:rtl/>
        </w:rPr>
        <w:t>6262</w:t>
      </w:r>
      <w:r w:rsidRPr="001155DE">
        <w:rPr>
          <w:rStyle w:val="libBold2Char"/>
          <w:rtl/>
        </w:rPr>
        <w:t xml:space="preserve"> / 11.</w:t>
      </w:r>
      <w:r w:rsidRPr="00020424">
        <w:rPr>
          <w:rtl/>
          <w:lang w:bidi="fa-IR"/>
        </w:rPr>
        <w:t xml:space="preserve"> عَلِيٌّ </w:t>
      </w:r>
      <w:r w:rsidRPr="00A91B96">
        <w:rPr>
          <w:rStyle w:val="libFootnotenumChar"/>
          <w:rtl/>
        </w:rPr>
        <w:t>(4)</w:t>
      </w:r>
      <w:r w:rsidRPr="00020424">
        <w:rPr>
          <w:rtl/>
          <w:lang w:bidi="fa-IR"/>
        </w:rPr>
        <w:t xml:space="preserve"> ، عَنْ هَارُونَ بْنِ مُسْلِمٍ ، عَنْ مَسْعَدَةَ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 أَنَّ النَّبِيَّ </w:t>
      </w:r>
      <w:r w:rsidR="00B42914" w:rsidRPr="00B42914">
        <w:rPr>
          <w:rStyle w:val="libAlaemChar"/>
          <w:rtl/>
        </w:rPr>
        <w:t>صلى‌الله‌عليه‌وآله‌</w:t>
      </w:r>
      <w:r w:rsidRPr="00020424">
        <w:rPr>
          <w:rtl/>
          <w:lang w:bidi="fa-IR"/>
        </w:rPr>
        <w:t xml:space="preserve"> </w:t>
      </w:r>
      <w:r w:rsidRPr="00A91B96">
        <w:rPr>
          <w:rStyle w:val="libFootnotenumChar"/>
          <w:rtl/>
        </w:rPr>
        <w:t>(6)</w:t>
      </w:r>
      <w:r w:rsidRPr="00020424">
        <w:rPr>
          <w:rtl/>
          <w:lang w:bidi="fa-IR"/>
        </w:rPr>
        <w:t xml:space="preserve"> قَالَ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وَكَّلَ مَلَائِكَتَهُ </w:t>
      </w:r>
      <w:r w:rsidRPr="00A91B96">
        <w:rPr>
          <w:rStyle w:val="libFootnotenumChar"/>
          <w:rtl/>
        </w:rPr>
        <w:t>(7)</w:t>
      </w:r>
      <w:r w:rsidRPr="00020424">
        <w:rPr>
          <w:rtl/>
          <w:lang w:bidi="fa-IR"/>
        </w:rPr>
        <w:t xml:space="preserve"> بِالدُّعَاءِ لِلصَّائِمِينَ. وَقَالَ : أَخْبَرَنِي جَبْرَئِيلُ </w:t>
      </w:r>
      <w:r w:rsidRPr="00005A81">
        <w:rPr>
          <w:rStyle w:val="libAlaemChar"/>
          <w:rtl/>
        </w:rPr>
        <w:t>عليه‌السلام</w:t>
      </w:r>
      <w:r w:rsidRPr="00020424">
        <w:rPr>
          <w:rtl/>
          <w:lang w:bidi="fa-IR"/>
        </w:rPr>
        <w:t xml:space="preserve"> عَنْ رَبِّهِ أَنَّهُ قَالَ : مَا أَمَرْتُ مَلَائِكَتِي بِالدُّعَ</w:t>
      </w:r>
      <w:r w:rsidR="00A83B0E">
        <w:rPr>
          <w:rtl/>
          <w:lang w:bidi="fa-IR"/>
        </w:rPr>
        <w:t>اءِ لِأَحَدٍ مِنْ خَلْقِي إِل</w:t>
      </w:r>
      <w:r w:rsidR="00A83B0E">
        <w:rPr>
          <w:rFonts w:hint="cs"/>
          <w:rtl/>
          <w:lang w:bidi="fa-IR"/>
        </w:rPr>
        <w:t>َّ</w:t>
      </w:r>
      <w:r w:rsidR="00A83B0E">
        <w:rPr>
          <w:rtl/>
          <w:lang w:bidi="fa-IR"/>
        </w:rPr>
        <w:t>ا</w:t>
      </w:r>
      <w:r w:rsidRPr="00020424">
        <w:rPr>
          <w:rtl/>
          <w:lang w:bidi="fa-IR"/>
        </w:rPr>
        <w:t xml:space="preserve"> اسْتَجَبْتُ </w:t>
      </w:r>
      <w:r w:rsidRPr="00A91B96">
        <w:rPr>
          <w:rStyle w:val="libFootnotenumChar"/>
          <w:rtl/>
        </w:rPr>
        <w:t>(8)</w:t>
      </w:r>
      <w:r w:rsidRPr="00020424">
        <w:rPr>
          <w:rtl/>
          <w:lang w:bidi="fa-IR"/>
        </w:rPr>
        <w:t xml:space="preserve"> لَهُمْ فِيهِ</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2338CC">
        <w:rPr>
          <w:rtl/>
        </w:rPr>
        <w:t>6263</w:t>
      </w:r>
      <w:r w:rsidRPr="001155DE">
        <w:rPr>
          <w:rStyle w:val="libBold2Char"/>
          <w:rtl/>
        </w:rPr>
        <w:t xml:space="preserve"> / 12.</w:t>
      </w:r>
      <w:r w:rsidRPr="00020424">
        <w:rPr>
          <w:rtl/>
          <w:lang w:bidi="fa-IR"/>
        </w:rPr>
        <w:t xml:space="preserve"> وَبِهَذَا الْإِسْنَادِ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نَوْمُ الصَّائِمِ عِبَادَةٌ ، وَنَفَسُهُ </w:t>
      </w:r>
      <w:r w:rsidRPr="00A91B96">
        <w:rPr>
          <w:rStyle w:val="libFootnotenumChar"/>
          <w:rtl/>
        </w:rPr>
        <w:t>(10)</w:t>
      </w:r>
      <w:r w:rsidRPr="00020424">
        <w:rPr>
          <w:rtl/>
          <w:lang w:bidi="fa-IR"/>
        </w:rPr>
        <w:t xml:space="preserve"> تَسْبِيحٌ</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83B0E" w:rsidTr="00A83B0E">
        <w:tc>
          <w:tcPr>
            <w:tcW w:w="4006" w:type="dxa"/>
          </w:tcPr>
          <w:p w:rsidR="00A83B0E" w:rsidRDefault="00A83B0E" w:rsidP="00992664">
            <w:pPr>
              <w:pStyle w:val="libFootnote0"/>
              <w:rPr>
                <w:rtl/>
              </w:rPr>
            </w:pPr>
            <w:r>
              <w:rPr>
                <w:rtl/>
              </w:rPr>
              <w:t xml:space="preserve">(1). </w:t>
            </w:r>
            <w:r w:rsidRPr="00020424">
              <w:rPr>
                <w:rtl/>
              </w:rPr>
              <w:t xml:space="preserve">في </w:t>
            </w:r>
            <w:r w:rsidRPr="00A83B0E">
              <w:rPr>
                <w:rtl/>
              </w:rPr>
              <w:t>البحار</w:t>
            </w:r>
            <w:r w:rsidRPr="00020424">
              <w:rPr>
                <w:rtl/>
              </w:rPr>
              <w:t xml:space="preserve"> : « ملائكة</w:t>
            </w:r>
            <w:r>
              <w:rPr>
                <w:rtl/>
              </w:rPr>
              <w:t xml:space="preserve"> ».</w:t>
            </w:r>
          </w:p>
        </w:tc>
        <w:tc>
          <w:tcPr>
            <w:tcW w:w="4006" w:type="dxa"/>
          </w:tcPr>
          <w:p w:rsidR="00A83B0E" w:rsidRDefault="00A83B0E" w:rsidP="00992664">
            <w:pPr>
              <w:pStyle w:val="libFootnote0"/>
              <w:rPr>
                <w:rtl/>
              </w:rPr>
            </w:pPr>
            <w:r>
              <w:rPr>
                <w:rtl/>
              </w:rPr>
              <w:t xml:space="preserve">(2). </w:t>
            </w:r>
            <w:r w:rsidRPr="00020424">
              <w:rPr>
                <w:rtl/>
              </w:rPr>
              <w:t xml:space="preserve">في </w:t>
            </w:r>
            <w:r w:rsidRPr="0012008A">
              <w:rPr>
                <w:rStyle w:val="libFootnoteBoldChar"/>
                <w:rtl/>
              </w:rPr>
              <w:t>التهذيب</w:t>
            </w:r>
            <w:r w:rsidRPr="00020424">
              <w:rPr>
                <w:rtl/>
              </w:rPr>
              <w:t xml:space="preserve"> : « ولم يأمر</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190 ، ح 539 ، معلّقاً عن الكليني </w:t>
      </w:r>
      <w:r w:rsidR="00A83B0E">
        <w:rPr>
          <w:rFonts w:hint="cs"/>
          <w:rtl/>
        </w:rPr>
        <w:t>.</w:t>
      </w:r>
      <w:r w:rsidR="00992664" w:rsidRPr="0012008A">
        <w:rPr>
          <w:rStyle w:val="libFootnoteBoldChar"/>
          <w:rtl/>
        </w:rPr>
        <w:t>الوافي</w:t>
      </w:r>
      <w:r w:rsidR="00992664" w:rsidRPr="00020424">
        <w:rPr>
          <w:rtl/>
        </w:rPr>
        <w:t xml:space="preserve"> ، ج 11 ، ص 28 ، ح 10355 ؛ </w:t>
      </w:r>
      <w:r w:rsidR="00992664" w:rsidRPr="0012008A">
        <w:rPr>
          <w:rStyle w:val="libFootnoteBoldChar"/>
          <w:rtl/>
        </w:rPr>
        <w:t>الوسائل</w:t>
      </w:r>
      <w:r w:rsidR="00992664" w:rsidRPr="00020424">
        <w:rPr>
          <w:rtl/>
        </w:rPr>
        <w:t xml:space="preserve"> ، ج 10 ، ص 135 ، ح 13040 ؛ </w:t>
      </w:r>
      <w:r w:rsidR="00992664" w:rsidRPr="0012008A">
        <w:rPr>
          <w:rStyle w:val="libFootnoteBoldChar"/>
          <w:rtl/>
        </w:rPr>
        <w:t>البحار</w:t>
      </w:r>
      <w:r w:rsidR="00992664" w:rsidRPr="00020424">
        <w:rPr>
          <w:rtl/>
        </w:rPr>
        <w:t xml:space="preserve"> ، ج 59 ، ص 190 ، ح 44.</w:t>
      </w:r>
    </w:p>
    <w:tbl>
      <w:tblPr>
        <w:tblStyle w:val="TableGrid"/>
        <w:bidiVisual/>
        <w:tblW w:w="0" w:type="auto"/>
        <w:tblLook w:val="04A0" w:firstRow="1" w:lastRow="0" w:firstColumn="1" w:lastColumn="0" w:noHBand="0" w:noVBand="1"/>
      </w:tblPr>
      <w:tblGrid>
        <w:gridCol w:w="4006"/>
        <w:gridCol w:w="4006"/>
      </w:tblGrid>
      <w:tr w:rsidR="00A83B0E" w:rsidTr="00A83B0E">
        <w:tc>
          <w:tcPr>
            <w:tcW w:w="4006" w:type="dxa"/>
          </w:tcPr>
          <w:p w:rsidR="00A83B0E" w:rsidRDefault="00A83B0E" w:rsidP="00992664">
            <w:pPr>
              <w:pStyle w:val="libFootnote0"/>
              <w:rPr>
                <w:rtl/>
              </w:rPr>
            </w:pPr>
            <w:r>
              <w:rPr>
                <w:rtl/>
              </w:rPr>
              <w:t xml:space="preserve">(4). </w:t>
            </w:r>
            <w:r w:rsidRPr="00020424">
              <w:rPr>
                <w:rtl/>
              </w:rPr>
              <w:t>في « ظ » : + « بن إبراهيم</w:t>
            </w:r>
            <w:r>
              <w:rPr>
                <w:rtl/>
              </w:rPr>
              <w:t xml:space="preserve"> ».</w:t>
            </w:r>
          </w:p>
        </w:tc>
        <w:tc>
          <w:tcPr>
            <w:tcW w:w="4006" w:type="dxa"/>
          </w:tcPr>
          <w:p w:rsidR="00A83B0E" w:rsidRDefault="00A83B0E" w:rsidP="00992664">
            <w:pPr>
              <w:pStyle w:val="libFootnote0"/>
              <w:rPr>
                <w:rtl/>
              </w:rPr>
            </w:pPr>
            <w:r>
              <w:rPr>
                <w:rtl/>
              </w:rPr>
              <w:t>(5). في «بث،بح،بخ</w:t>
            </w:r>
            <w:r w:rsidRPr="00020424">
              <w:rPr>
                <w:rtl/>
              </w:rPr>
              <w:t xml:space="preserve">» </w:t>
            </w:r>
            <w:r w:rsidRPr="00A83B0E">
              <w:rPr>
                <w:rtl/>
              </w:rPr>
              <w:t>والوسائل</w:t>
            </w:r>
            <w:r w:rsidRPr="00020424">
              <w:rPr>
                <w:rtl/>
              </w:rPr>
              <w:t xml:space="preserve"> : + « بن صدقة</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أنّ النبيّ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بف ، بك » </w:t>
      </w:r>
      <w:r w:rsidR="00992664" w:rsidRPr="00A83B0E">
        <w:rPr>
          <w:rtl/>
        </w:rPr>
        <w:t>والوسائل والفقيه و</w:t>
      </w:r>
      <w:r w:rsidR="00D64ADA" w:rsidRPr="00A83B0E">
        <w:rPr>
          <w:rtl/>
        </w:rPr>
        <w:t>المحاسن</w:t>
      </w:r>
      <w:r w:rsidR="00992664" w:rsidRPr="00A83B0E">
        <w:rPr>
          <w:rtl/>
        </w:rPr>
        <w:t xml:space="preserve"> وفضائل الأشهر الثلاثة :</w:t>
      </w:r>
      <w:r w:rsidR="00992664" w:rsidRPr="00020424">
        <w:rPr>
          <w:rtl/>
        </w:rPr>
        <w:t xml:space="preserve"> « ملائكة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 « استجيب</w:t>
      </w:r>
      <w:r w:rsidR="00992664">
        <w:rPr>
          <w:rtl/>
        </w:rPr>
        <w:t xml:space="preserve"> ».</w:t>
      </w:r>
    </w:p>
    <w:p w:rsidR="00992664" w:rsidRPr="00020424" w:rsidRDefault="00795177" w:rsidP="00A83B0E">
      <w:pPr>
        <w:pStyle w:val="libFootnote0"/>
        <w:rPr>
          <w:rtl/>
          <w:lang w:bidi="fa-IR"/>
        </w:rPr>
      </w:pPr>
      <w:r>
        <w:rPr>
          <w:rtl/>
        </w:rPr>
        <w:t>(9).</w:t>
      </w:r>
      <w:r w:rsidR="0014403D">
        <w:rPr>
          <w:rtl/>
        </w:rPr>
        <w:t xml:space="preserve"> </w:t>
      </w:r>
      <w:r w:rsidR="00992664" w:rsidRPr="00DE76B9">
        <w:rPr>
          <w:rStyle w:val="libFootnoteBoldChar"/>
          <w:rtl/>
        </w:rPr>
        <w:t>فضائل الأشهر الثلاثة</w:t>
      </w:r>
      <w:r w:rsidR="00992664" w:rsidRPr="00020424">
        <w:rPr>
          <w:rtl/>
        </w:rPr>
        <w:t xml:space="preserve"> ، ص 121 ، ح 123 ، بسنده عن عليّ بن إبراهيم بن هاشم ، عن هارون بن مسلم ، عن مسعدة بن صدقة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D64ADA" w:rsidRPr="00D64ADA">
        <w:rPr>
          <w:rStyle w:val="libFootnoteBoldChar"/>
          <w:rtl/>
        </w:rPr>
        <w:t>المحاسن</w:t>
      </w:r>
      <w:r w:rsidR="00992664" w:rsidRPr="00020424">
        <w:rPr>
          <w:rtl/>
        </w:rPr>
        <w:t xml:space="preserve"> ، ص 72 ، كتاب </w:t>
      </w:r>
      <w:r w:rsidR="00992664" w:rsidRPr="0012008A">
        <w:rPr>
          <w:rStyle w:val="libFootnoteBoldChar"/>
          <w:rtl/>
        </w:rPr>
        <w:t>ثواب الأعمال</w:t>
      </w:r>
      <w:r w:rsidR="00992664" w:rsidRPr="00020424">
        <w:rPr>
          <w:rtl/>
        </w:rPr>
        <w:t xml:space="preserve"> ، ح 149 ، عن عدّة من أصحابنا ، عن هارون بن مسلم ، عن مسعدة بن صدقة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الجعفريّات</w:t>
      </w:r>
      <w:r w:rsidR="00992664" w:rsidRPr="00020424">
        <w:rPr>
          <w:rtl/>
        </w:rPr>
        <w:t xml:space="preserve"> ، ص 226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304 ، مرسلاً ، وفي الأخيرين من قوله : « وقال : أخبرني جبرئيل</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76 ، ح 1778 ، مرسلاً عن النبيّ </w:t>
      </w:r>
      <w:r w:rsidR="00A83B0E" w:rsidRPr="00D64ADA">
        <w:rPr>
          <w:rStyle w:val="libFootnoteAlaemChar"/>
          <w:rtl/>
        </w:rPr>
        <w:t>صلى‌الله‌عليه‌وآله</w:t>
      </w:r>
      <w:r w:rsidR="00A83B0E" w:rsidRPr="00B42914">
        <w:rPr>
          <w:rStyle w:val="libAlaemChar"/>
          <w:rtl/>
        </w:rPr>
        <w:t>‌</w:t>
      </w:r>
      <w:r w:rsidR="00A83B0E">
        <w:rPr>
          <w:rStyle w:val="libAlaemChar"/>
          <w:rFonts w:hint="cs"/>
          <w:rtl/>
        </w:rPr>
        <w:t>.</w:t>
      </w:r>
      <w:r w:rsidR="00992664" w:rsidRPr="0012008A">
        <w:rPr>
          <w:rStyle w:val="libFootnoteBoldChar"/>
          <w:rtl/>
        </w:rPr>
        <w:t>الوافي</w:t>
      </w:r>
      <w:r w:rsidR="00992664" w:rsidRPr="00020424">
        <w:rPr>
          <w:rtl/>
        </w:rPr>
        <w:t xml:space="preserve"> ، ج 11 ، ص 28 ، ح 10356 ؛ </w:t>
      </w:r>
      <w:r w:rsidR="00992664" w:rsidRPr="0012008A">
        <w:rPr>
          <w:rStyle w:val="libFootnoteBoldChar"/>
          <w:rtl/>
        </w:rPr>
        <w:t>الوسائل</w:t>
      </w:r>
      <w:r w:rsidR="00992664" w:rsidRPr="00020424">
        <w:rPr>
          <w:rtl/>
        </w:rPr>
        <w:t xml:space="preserve"> ، ج 10 ، ص 396 ، ح 13675.</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A83B0E">
        <w:rPr>
          <w:rtl/>
        </w:rPr>
        <w:t>ثواب الأعمال</w:t>
      </w:r>
      <w:r w:rsidR="00992664" w:rsidRPr="00020424">
        <w:rPr>
          <w:rtl/>
        </w:rPr>
        <w:t xml:space="preserve"> : « وصمته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190 ، ح 540 ، معلّقاً عن الكليني. </w:t>
      </w:r>
      <w:r w:rsidR="00D64ADA" w:rsidRPr="00D64ADA">
        <w:rPr>
          <w:rStyle w:val="libFootnoteBoldChar"/>
          <w:rtl/>
        </w:rPr>
        <w:t>المحاسن</w:t>
      </w:r>
      <w:r w:rsidR="00992664" w:rsidRPr="00020424">
        <w:rPr>
          <w:rtl/>
        </w:rPr>
        <w:t xml:space="preserve"> ، ص 72 ، كتاب </w:t>
      </w:r>
      <w:r w:rsidR="00992664" w:rsidRPr="0012008A">
        <w:rPr>
          <w:rStyle w:val="libFootnoteBoldChar"/>
          <w:rtl/>
        </w:rPr>
        <w:t>ثواب الأعمال</w:t>
      </w:r>
      <w:r w:rsidR="00992664" w:rsidRPr="00020424">
        <w:rPr>
          <w:rtl/>
        </w:rPr>
        <w:t xml:space="preserve"> ، ح 148 ، عن عدّة من أصحابنا ، عن هارون بن مسلم ، عن مسعدة بن صدقة ، عن أبي عبدالله ، عن أبيه </w:t>
      </w:r>
      <w:r w:rsidR="00D64ADA" w:rsidRPr="00D64ADA">
        <w:rPr>
          <w:rStyle w:val="libFootnoteAlaemChar"/>
          <w:rtl/>
        </w:rPr>
        <w:t>عليهما‌السلام</w:t>
      </w:r>
      <w:r w:rsidR="00992664" w:rsidRPr="00020424">
        <w:rPr>
          <w:rtl/>
        </w:rPr>
        <w:t xml:space="preserve">. </w:t>
      </w:r>
      <w:r w:rsidR="00992664" w:rsidRPr="0012008A">
        <w:rPr>
          <w:rStyle w:val="libFootnoteBoldChar"/>
          <w:rtl/>
        </w:rPr>
        <w:t>ثواب الأعمال</w:t>
      </w:r>
      <w:r w:rsidR="00992664" w:rsidRPr="00020424">
        <w:rPr>
          <w:rtl/>
        </w:rPr>
        <w:t xml:space="preserve"> ، ص 75 ، ح 3 ، بسند آخر. </w:t>
      </w:r>
      <w:r w:rsidR="00992664" w:rsidRPr="00DE76B9">
        <w:rPr>
          <w:rStyle w:val="libFootnoteBoldChar"/>
          <w:rtl/>
        </w:rPr>
        <w:t>قرب الإسناد</w:t>
      </w:r>
      <w:r w:rsidR="00992664" w:rsidRPr="00020424">
        <w:rPr>
          <w:rtl/>
        </w:rPr>
        <w:t xml:space="preserve"> ، ص 95 ، ح 324 ، بسند آخر عن جعفر بن محمّد ، عن أبيه </w:t>
      </w:r>
      <w:r w:rsidR="00D64ADA" w:rsidRPr="00D64ADA">
        <w:rPr>
          <w:rStyle w:val="libFootnoteAlaemChar"/>
          <w:rtl/>
        </w:rPr>
        <w:t>عليهما‌السلام</w:t>
      </w:r>
      <w:r w:rsidR="00992664" w:rsidRPr="00020424">
        <w:rPr>
          <w:rtl/>
        </w:rPr>
        <w:t xml:space="preserve"> عن </w:t>
      </w:r>
      <w:r w:rsidR="00A83B0E">
        <w:rPr>
          <w:rFonts w:hint="cs"/>
          <w:rtl/>
        </w:rPr>
        <w:t>=</w:t>
      </w:r>
    </w:p>
    <w:p w:rsidR="00795177" w:rsidRDefault="00795177" w:rsidP="00795177">
      <w:pPr>
        <w:pStyle w:val="libNormal"/>
        <w:rPr>
          <w:rtl/>
          <w:lang w:bidi="fa-IR"/>
        </w:rPr>
      </w:pPr>
      <w:r>
        <w:rPr>
          <w:rtl/>
          <w:lang w:bidi="fa-IR"/>
        </w:rPr>
        <w:br w:type="page"/>
      </w:r>
    </w:p>
    <w:p w:rsidR="00A83B0E" w:rsidRDefault="00992664" w:rsidP="00A83B0E">
      <w:pPr>
        <w:pStyle w:val="libNormal"/>
        <w:rPr>
          <w:rtl/>
          <w:lang w:bidi="fa-IR"/>
        </w:rPr>
      </w:pPr>
      <w:r w:rsidRPr="00C74F66">
        <w:rPr>
          <w:rtl/>
        </w:rPr>
        <w:t>6264</w:t>
      </w:r>
      <w:r w:rsidRPr="001155DE">
        <w:rPr>
          <w:rStyle w:val="libBold2Char"/>
          <w:rtl/>
        </w:rPr>
        <w:t xml:space="preserve"> / 13.</w:t>
      </w:r>
      <w:r w:rsidRPr="00020424">
        <w:rPr>
          <w:rtl/>
          <w:lang w:bidi="fa-IR"/>
        </w:rPr>
        <w:t xml:space="preserve"> عَلِيٌّ </w:t>
      </w:r>
      <w:r w:rsidRPr="00A91B96">
        <w:rPr>
          <w:rStyle w:val="libFootnotenumChar"/>
          <w:rtl/>
        </w:rPr>
        <w:t>(1)</w:t>
      </w:r>
      <w:r w:rsidRPr="00020424">
        <w:rPr>
          <w:rtl/>
          <w:lang w:bidi="fa-IR"/>
        </w:rPr>
        <w:t xml:space="preserve"> ، عَنْ أَبِيهِ ؛</w:t>
      </w:r>
    </w:p>
    <w:p w:rsidR="00992664" w:rsidRPr="00020424" w:rsidRDefault="00A83B0E" w:rsidP="00A83B0E">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أَوْحَى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إِلى مُوسى </w:t>
      </w:r>
      <w:r w:rsidRPr="00005A81">
        <w:rPr>
          <w:rStyle w:val="libAlaemChar"/>
          <w:rtl/>
        </w:rPr>
        <w:t>عليه‌السلام</w:t>
      </w:r>
      <w:r w:rsidRPr="00020424">
        <w:rPr>
          <w:rtl/>
          <w:lang w:bidi="fa-IR"/>
        </w:rPr>
        <w:t xml:space="preserve"> : مَا يَمْنَعُكَ مِنْ مُنَاجَاتِي</w:t>
      </w:r>
      <w:r>
        <w:rPr>
          <w:rtl/>
          <w:lang w:bidi="fa-IR"/>
        </w:rPr>
        <w:t>؟</w:t>
      </w:r>
      <w:r w:rsidRPr="00020424">
        <w:rPr>
          <w:rtl/>
          <w:lang w:bidi="fa-IR"/>
        </w:rPr>
        <w:t xml:space="preserve"> فَقَالَ </w:t>
      </w:r>
      <w:r w:rsidRPr="00A91B96">
        <w:rPr>
          <w:rStyle w:val="libFootnotenumChar"/>
          <w:rtl/>
        </w:rPr>
        <w:t>(2)</w:t>
      </w:r>
      <w:r w:rsidRPr="00020424">
        <w:rPr>
          <w:rtl/>
          <w:lang w:bidi="fa-IR"/>
        </w:rPr>
        <w:t xml:space="preserve"> : يَا رَبِّ ، أُجِلُّكَ </w:t>
      </w:r>
      <w:r w:rsidRPr="00A91B96">
        <w:rPr>
          <w:rStyle w:val="libFootnotenumChar"/>
          <w:rtl/>
        </w:rPr>
        <w:t>(3)</w:t>
      </w:r>
      <w:r w:rsidRPr="00020424">
        <w:rPr>
          <w:rtl/>
          <w:lang w:bidi="fa-IR"/>
        </w:rPr>
        <w:t xml:space="preserve"> عَنِ الْمُنَاجَاةِ لِخُلُوفِ </w:t>
      </w:r>
      <w:r w:rsidRPr="00A91B96">
        <w:rPr>
          <w:rStyle w:val="libFootnotenumChar"/>
          <w:rtl/>
        </w:rPr>
        <w:t>(4)</w:t>
      </w:r>
      <w:r w:rsidRPr="00020424">
        <w:rPr>
          <w:rtl/>
          <w:lang w:bidi="fa-IR"/>
        </w:rPr>
        <w:t xml:space="preserve"> فَمِ الصَّائِمِ ، فَأَوْحَى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إِلَيْهِ </w:t>
      </w:r>
      <w:r w:rsidRPr="00A91B96">
        <w:rPr>
          <w:rStyle w:val="libFootnotenumChar"/>
          <w:rtl/>
        </w:rPr>
        <w:t>(5)</w:t>
      </w:r>
      <w:r w:rsidRPr="00020424">
        <w:rPr>
          <w:rtl/>
          <w:lang w:bidi="fa-IR"/>
        </w:rPr>
        <w:t xml:space="preserve"> : يَا مُوسى ، لَخُلُوفُ فَمِ الصَّائِمِ أَطْيَبُ عِنْدِي مِنْ رِيحِ الْمِسْكِ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A83B0E" w:rsidRDefault="00A83B0E" w:rsidP="00A83B0E">
      <w:pPr>
        <w:pStyle w:val="libFootnote0"/>
        <w:rPr>
          <w:rtl/>
        </w:rPr>
      </w:pPr>
      <w:r>
        <w:rPr>
          <w:rFonts w:hint="cs"/>
          <w:rtl/>
        </w:rPr>
        <w:t xml:space="preserve">= </w:t>
      </w:r>
      <w:r w:rsidR="00992664" w:rsidRPr="00020424">
        <w:rPr>
          <w:rtl/>
        </w:rPr>
        <w:t xml:space="preserve">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الجعفريّات</w:t>
      </w:r>
      <w:r w:rsidR="00992664" w:rsidRPr="00020424">
        <w:rPr>
          <w:rtl/>
        </w:rPr>
        <w:t xml:space="preserve"> ، ص 58 ؛ </w:t>
      </w:r>
      <w:r w:rsidR="00992664" w:rsidRPr="006C7A1F">
        <w:rPr>
          <w:rStyle w:val="libFootnoteBoldChar"/>
          <w:rtl/>
        </w:rPr>
        <w:t>وثواب الأعمال</w:t>
      </w:r>
      <w:r w:rsidR="00992664" w:rsidRPr="00020424">
        <w:rPr>
          <w:rtl/>
        </w:rPr>
        <w:t xml:space="preserve"> ، ص 75 ، ح 2 ، بسند آخر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76 ، ح 1783 ، مرسلاً ، وفي الأخيرين مع زيادة في آخره. وفي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204 ؛ </w:t>
      </w:r>
      <w:r w:rsidR="00992664" w:rsidRPr="00DE3E80">
        <w:rPr>
          <w:rStyle w:val="libFootnoteBoldChar"/>
          <w:rtl/>
        </w:rPr>
        <w:t>والمقنعة</w:t>
      </w:r>
      <w:r w:rsidR="00992664" w:rsidRPr="00020424">
        <w:rPr>
          <w:rtl/>
        </w:rPr>
        <w:t xml:space="preserve"> ، ص 304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11 ، ص 28 ، ح 10357 ؛ </w:t>
      </w:r>
      <w:r w:rsidR="00992664" w:rsidRPr="0012008A">
        <w:rPr>
          <w:rStyle w:val="libFootnoteBoldChar"/>
          <w:rtl/>
        </w:rPr>
        <w:t>الوسائل</w:t>
      </w:r>
      <w:r w:rsidR="00992664" w:rsidRPr="00020424">
        <w:rPr>
          <w:rtl/>
        </w:rPr>
        <w:t xml:space="preserve"> ، ج 10 ، ص 396 ، ح 13676.</w:t>
      </w:r>
    </w:p>
    <w:tbl>
      <w:tblPr>
        <w:tblStyle w:val="TableGrid"/>
        <w:bidiVisual/>
        <w:tblW w:w="0" w:type="auto"/>
        <w:tblLook w:val="04A0" w:firstRow="1" w:lastRow="0" w:firstColumn="1" w:lastColumn="0" w:noHBand="0" w:noVBand="1"/>
      </w:tblPr>
      <w:tblGrid>
        <w:gridCol w:w="4006"/>
        <w:gridCol w:w="4006"/>
      </w:tblGrid>
      <w:tr w:rsidR="00A83B0E" w:rsidTr="00A83B0E">
        <w:tc>
          <w:tcPr>
            <w:tcW w:w="4006" w:type="dxa"/>
          </w:tcPr>
          <w:p w:rsidR="00A83B0E" w:rsidRDefault="00A83B0E" w:rsidP="00A83B0E">
            <w:pPr>
              <w:pStyle w:val="libFootnote0"/>
              <w:rPr>
                <w:rtl/>
              </w:rPr>
            </w:pPr>
            <w:r>
              <w:rPr>
                <w:rtl/>
              </w:rPr>
              <w:t xml:space="preserve">(1). </w:t>
            </w:r>
            <w:r w:rsidRPr="00020424">
              <w:rPr>
                <w:rtl/>
              </w:rPr>
              <w:t>في حاشية « بث » : + « بن إبراهيم</w:t>
            </w:r>
            <w:r>
              <w:rPr>
                <w:rtl/>
              </w:rPr>
              <w:t xml:space="preserve"> ».</w:t>
            </w:r>
          </w:p>
        </w:tc>
        <w:tc>
          <w:tcPr>
            <w:tcW w:w="4006" w:type="dxa"/>
          </w:tcPr>
          <w:p w:rsidR="00A83B0E" w:rsidRDefault="00A83B0E" w:rsidP="00A83B0E">
            <w:pPr>
              <w:pStyle w:val="libFootnote0"/>
              <w:rPr>
                <w:rtl/>
              </w:rPr>
            </w:pPr>
            <w:r>
              <w:rPr>
                <w:rtl/>
              </w:rPr>
              <w:t xml:space="preserve">(2). </w:t>
            </w:r>
            <w:r w:rsidRPr="00020424">
              <w:rPr>
                <w:rtl/>
              </w:rPr>
              <w:t>في « بث ، جن » : « 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ا</w:t>
      </w:r>
      <w:r w:rsidR="00A83B0E">
        <w:rPr>
          <w:rFonts w:hint="cs"/>
          <w:rtl/>
        </w:rPr>
        <w:t>ُ</w:t>
      </w:r>
      <w:r w:rsidR="00992664" w:rsidRPr="00020424">
        <w:rPr>
          <w:rtl/>
        </w:rPr>
        <w:t>جِلُّكَ » أي ا</w:t>
      </w:r>
      <w:r w:rsidR="00A83B0E">
        <w:rPr>
          <w:rFonts w:hint="cs"/>
          <w:rtl/>
        </w:rPr>
        <w:t>ُ</w:t>
      </w:r>
      <w:r w:rsidR="00992664" w:rsidRPr="00020424">
        <w:rPr>
          <w:rtl/>
        </w:rPr>
        <w:t xml:space="preserve">عظّمك ؛ من الجلال بمعنى العظمة. راجع : </w:t>
      </w:r>
      <w:r w:rsidR="00992664" w:rsidRPr="0012008A">
        <w:rPr>
          <w:rStyle w:val="libFootnoteBoldChar"/>
          <w:rtl/>
        </w:rPr>
        <w:t>الصحاح</w:t>
      </w:r>
      <w:r w:rsidR="00992664" w:rsidRPr="00020424">
        <w:rPr>
          <w:rtl/>
        </w:rPr>
        <w:t xml:space="preserve"> ، ج 4 ، ص 1658 ( جلل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لخلوق</w:t>
      </w:r>
      <w:r w:rsidR="00992664">
        <w:rPr>
          <w:rtl/>
        </w:rPr>
        <w:t xml:space="preserve"> ».</w:t>
      </w:r>
      <w:r w:rsidR="00992664" w:rsidRPr="00020424">
        <w:rPr>
          <w:rtl/>
        </w:rPr>
        <w:t xml:space="preserve"> والخُلُوف : تغيّر رائحة الفم ؛ يقال : خَلَفَ فم الصائم خِلْفَةً وخُلُوفاً ، أي تغيّرت رائحته. راجع : </w:t>
      </w:r>
      <w:r w:rsidR="00992664" w:rsidRPr="0012008A">
        <w:rPr>
          <w:rStyle w:val="libFootnoteBoldChar"/>
          <w:rtl/>
        </w:rPr>
        <w:t>الصحاح</w:t>
      </w:r>
      <w:r w:rsidR="00992664" w:rsidRPr="00020424">
        <w:rPr>
          <w:rtl/>
        </w:rPr>
        <w:t xml:space="preserve"> ، ج 4 ، ص 1356 ؛ </w:t>
      </w:r>
      <w:r w:rsidR="00992664" w:rsidRPr="0012008A">
        <w:rPr>
          <w:rStyle w:val="libFootnoteBoldChar"/>
          <w:rtl/>
        </w:rPr>
        <w:t>النهاية</w:t>
      </w:r>
      <w:r w:rsidR="00992664" w:rsidRPr="00020424">
        <w:rPr>
          <w:rtl/>
        </w:rPr>
        <w:t xml:space="preserve"> ، ج 2 ، ص 67 ( خلف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بر ، بف ، بك » :</w:t>
      </w:r>
      <w:r w:rsidR="00992664">
        <w:rPr>
          <w:rtl/>
        </w:rPr>
        <w:t xml:space="preserve"> </w:t>
      </w:r>
      <w:r w:rsidR="009B673F">
        <w:rPr>
          <w:rtl/>
        </w:rPr>
        <w:t>-</w:t>
      </w:r>
      <w:r w:rsidR="00992664">
        <w:rPr>
          <w:rtl/>
        </w:rPr>
        <w:t xml:space="preserve"> </w:t>
      </w:r>
      <w:r w:rsidR="00992664" w:rsidRPr="00020424">
        <w:rPr>
          <w:rtl/>
        </w:rPr>
        <w:t>« إليه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صار أطيب عند الله من ريح المسك ؛ لأنّه سبب طيب الروح الذي هو عند الله من الإنسان ، كما أنّ بدنه عند نفسه ، وإليه ا</w:t>
      </w:r>
      <w:r w:rsidR="00A83B0E">
        <w:rPr>
          <w:rFonts w:hint="cs"/>
          <w:rtl/>
        </w:rPr>
        <w:t>ُ</w:t>
      </w:r>
      <w:r w:rsidR="00992664" w:rsidRPr="00020424">
        <w:rPr>
          <w:rtl/>
        </w:rPr>
        <w:t xml:space="preserve">شير في قوله عزّوجلّ : </w:t>
      </w:r>
      <w:r w:rsidR="00992664" w:rsidRPr="00A83B0E">
        <w:rPr>
          <w:rStyle w:val="libFootnoteAlaemChar"/>
          <w:rtl/>
        </w:rPr>
        <w:t>(</w:t>
      </w:r>
      <w:r w:rsidR="00992664" w:rsidRPr="006B2AC6">
        <w:rPr>
          <w:rStyle w:val="libFootnoteAieChar"/>
          <w:rFonts w:hint="cs"/>
          <w:rtl/>
        </w:rPr>
        <w:t xml:space="preserve"> </w:t>
      </w:r>
      <w:r w:rsidR="00992664" w:rsidRPr="006B2AC6">
        <w:rPr>
          <w:rStyle w:val="libFootnoteAieChar"/>
          <w:rtl/>
        </w:rPr>
        <w:t>م</w:t>
      </w:r>
      <w:r w:rsidR="00A83B0E">
        <w:rPr>
          <w:rStyle w:val="libFootnoteAieChar"/>
          <w:rFonts w:hint="cs"/>
          <w:rtl/>
        </w:rPr>
        <w:t>َ</w:t>
      </w:r>
      <w:r w:rsidR="00992664" w:rsidRPr="006B2AC6">
        <w:rPr>
          <w:rStyle w:val="libFootnoteAieChar"/>
          <w:rtl/>
        </w:rPr>
        <w:t>ا عِنْدَكُمْ يَنْفَدُ وَم</w:t>
      </w:r>
      <w:r w:rsidR="00A83B0E">
        <w:rPr>
          <w:rStyle w:val="libFootnoteAieChar"/>
          <w:rFonts w:hint="cs"/>
          <w:rtl/>
        </w:rPr>
        <w:t>َ</w:t>
      </w:r>
      <w:r w:rsidR="00992664" w:rsidRPr="006B2AC6">
        <w:rPr>
          <w:rStyle w:val="libFootnoteAieChar"/>
          <w:rtl/>
        </w:rPr>
        <w:t>ا عِنْدَ اللهِ ب</w:t>
      </w:r>
      <w:r w:rsidR="00A83B0E">
        <w:rPr>
          <w:rStyle w:val="libFootnoteAieChar"/>
          <w:rFonts w:hint="cs"/>
          <w:rtl/>
        </w:rPr>
        <w:t>َ</w:t>
      </w:r>
      <w:r w:rsidR="00992664" w:rsidRPr="006B2AC6">
        <w:rPr>
          <w:rStyle w:val="libFootnoteAieChar"/>
          <w:rtl/>
        </w:rPr>
        <w:t xml:space="preserve">اقٍ </w:t>
      </w:r>
      <w:r w:rsidR="00992664" w:rsidRPr="00A83B0E">
        <w:rPr>
          <w:rStyle w:val="libFootnoteAlaemChar"/>
          <w:rtl/>
        </w:rPr>
        <w:t>)</w:t>
      </w:r>
      <w:r w:rsidR="00992664" w:rsidRPr="00020424">
        <w:rPr>
          <w:rtl/>
        </w:rPr>
        <w:t xml:space="preserve"> [ النحل </w:t>
      </w:r>
      <w:r w:rsidR="00A83B0E">
        <w:rPr>
          <w:rtl/>
        </w:rPr>
        <w:t>(16)</w:t>
      </w:r>
      <w:r w:rsidR="0014403D">
        <w:rPr>
          <w:rtl/>
        </w:rPr>
        <w:t xml:space="preserve"> </w:t>
      </w:r>
      <w:r w:rsidR="00A83B0E">
        <w:rPr>
          <w:rtl/>
        </w:rPr>
        <w:t>:</w:t>
      </w:r>
      <w:r w:rsidR="00992664" w:rsidRPr="00020424">
        <w:rPr>
          <w:rtl/>
        </w:rPr>
        <w:t>96 ] وأين طيب الروح من طيب المسك ؛ فإنّ الأوّل روحانيّ عقلانيّ معنويّ ، والثاني جسمانيّ حسّيّ صوريّ</w:t>
      </w:r>
      <w:r w:rsidR="00992664">
        <w:rPr>
          <w:rtl/>
        </w:rPr>
        <w:t xml:space="preserve"> ».</w:t>
      </w:r>
    </w:p>
    <w:p w:rsidR="00992664" w:rsidRPr="00020424" w:rsidRDefault="00992664" w:rsidP="00992664">
      <w:pPr>
        <w:pStyle w:val="libFootnote0"/>
        <w:rPr>
          <w:rtl/>
          <w:lang w:bidi="fa-IR"/>
        </w:rPr>
      </w:pPr>
      <w:r w:rsidRPr="00A83B0E">
        <w:rPr>
          <w:rtl/>
        </w:rPr>
        <w:t xml:space="preserve">وفي </w:t>
      </w:r>
      <w:r w:rsidRPr="00DE76B9">
        <w:rPr>
          <w:rStyle w:val="libFootnoteBoldChar"/>
          <w:rtl/>
        </w:rPr>
        <w:t>مرآة العقول</w:t>
      </w:r>
      <w:r w:rsidRPr="00A83B0E">
        <w:rPr>
          <w:rtl/>
        </w:rPr>
        <w:t xml:space="preserve"> ، ج 16 ، ص 203 : « قال بعض المحقّقين : لا يقال : استطابة الروائح من الصفات التي لا تليق بذاته تعالى ، إذ هو منزّه عن أمثاله ؛ لأنّا نقول : المراد بالأطيب الأقبل ، لأنّ الطيب مستلزم للقبول عادة ، أي خلوفه أقبل عند الله من قبول ريح المسك عندهم ، أو هذا الكلام جرى على سبيل الفرض ، أي لو تصوّر الطيب عند الله لكان الخلوف أطيب ... ».</w:t>
      </w:r>
    </w:p>
    <w:p w:rsidR="00992664" w:rsidRPr="00020424" w:rsidRDefault="00795177" w:rsidP="004F05E5">
      <w:pPr>
        <w:pStyle w:val="libFootnote0"/>
        <w:rPr>
          <w:rtl/>
          <w:lang w:bidi="fa-IR"/>
        </w:rPr>
      </w:pPr>
      <w:r>
        <w:rPr>
          <w:rtl/>
        </w:rPr>
        <w:t>(7).</w:t>
      </w:r>
      <w:r w:rsidR="0014403D">
        <w:rPr>
          <w:rtl/>
        </w:rPr>
        <w:t xml:space="preserve"> </w:t>
      </w:r>
      <w:r w:rsidR="00992664" w:rsidRPr="00DE76B9">
        <w:rPr>
          <w:rStyle w:val="libFootnoteBoldChar"/>
          <w:rtl/>
        </w:rPr>
        <w:t>فضائل الأشهر الثلاثة</w:t>
      </w:r>
      <w:r w:rsidR="00992664" w:rsidRPr="00020424">
        <w:rPr>
          <w:rtl/>
        </w:rPr>
        <w:t xml:space="preserve"> ، ص 121 ، ح 122 ، بسنده عن إبراهيم بن هاشم ، عن محمّد بن أبي عمير. </w:t>
      </w:r>
      <w:r w:rsidR="00992664" w:rsidRPr="00DE76B9">
        <w:rPr>
          <w:rStyle w:val="libFootnoteBoldChar"/>
          <w:rtl/>
        </w:rPr>
        <w:t>وفيه</w:t>
      </w:r>
      <w:r w:rsidR="00992664" w:rsidRPr="00020424">
        <w:rPr>
          <w:rtl/>
        </w:rPr>
        <w:t xml:space="preserve"> ، ص 133 ، ضمن ح 142 ؛ وص 143 ، ضمن ح 156 ؛ </w:t>
      </w:r>
      <w:r w:rsidR="00992664" w:rsidRPr="00FD6221">
        <w:rPr>
          <w:rStyle w:val="libFootnoteBoldChar"/>
          <w:rtl/>
        </w:rPr>
        <w:t>والخصال</w:t>
      </w:r>
      <w:r w:rsidR="00992664" w:rsidRPr="00020424">
        <w:rPr>
          <w:rtl/>
        </w:rPr>
        <w:t xml:space="preserve"> ، ص 45 ، باب الاثنين ، ضمن ح 42 ، بسند آخر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ثواب الأعمال</w:t>
      </w:r>
      <w:r w:rsidR="00992664" w:rsidRPr="00020424">
        <w:rPr>
          <w:rtl/>
        </w:rPr>
        <w:t xml:space="preserve"> ، ص 75 ، ح 4 ، بسند آخر ، مع اختلاف يسير. </w:t>
      </w:r>
      <w:r w:rsidR="00992664" w:rsidRPr="00757F3F">
        <w:rPr>
          <w:rStyle w:val="libFootnoteBoldChar"/>
          <w:rtl/>
        </w:rPr>
        <w:t>الأمالي للطوسي</w:t>
      </w:r>
      <w:r w:rsidR="00992664" w:rsidRPr="00020424">
        <w:rPr>
          <w:rtl/>
        </w:rPr>
        <w:t xml:space="preserve"> ، ص 496 ، المجلس 17 ، ح 57 ، بسند آخر عن عليّ بن الحسين ، عن آبائه </w:t>
      </w:r>
      <w:r w:rsidR="004F05E5" w:rsidRPr="00D64ADA">
        <w:rPr>
          <w:rStyle w:val="libFootnoteAlaemChar"/>
          <w:rtl/>
        </w:rPr>
        <w:t>عليهم‌السلام</w:t>
      </w:r>
      <w:r w:rsidR="004F05E5" w:rsidRPr="00020424">
        <w:rPr>
          <w:rtl/>
        </w:rPr>
        <w:t xml:space="preserve"> </w:t>
      </w:r>
      <w:r w:rsidR="00992664" w:rsidRPr="00020424">
        <w:rPr>
          <w:rtl/>
        </w:rPr>
        <w:t xml:space="preserve">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أوّله. </w:t>
      </w:r>
      <w:r w:rsidR="00992664" w:rsidRPr="0012008A">
        <w:rPr>
          <w:rStyle w:val="libFootnoteBoldChar"/>
          <w:rtl/>
        </w:rPr>
        <w:t>الفقيه</w:t>
      </w:r>
      <w:r w:rsidR="00992664" w:rsidRPr="00020424">
        <w:rPr>
          <w:rtl/>
        </w:rPr>
        <w:t xml:space="preserve"> ، ج 2 ، ص 75 ، ذيل ح 1773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E82BAA">
        <w:rPr>
          <w:rStyle w:val="libFootnoteBoldChar"/>
          <w:rtl/>
        </w:rPr>
        <w:t>النوادر للأشعري</w:t>
      </w:r>
      <w:r w:rsidR="00992664" w:rsidRPr="00020424">
        <w:rPr>
          <w:rtl/>
        </w:rPr>
        <w:t xml:space="preserve"> ، ص 24 ، ضمن ح 15 ، من دون الإسناد </w:t>
      </w:r>
      <w:r w:rsidR="00A83B0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37A9E">
        <w:rPr>
          <w:rtl/>
        </w:rPr>
        <w:t>6265</w:t>
      </w:r>
      <w:r w:rsidRPr="001155DE">
        <w:rPr>
          <w:rStyle w:val="libBold2Char"/>
          <w:rtl/>
        </w:rPr>
        <w:t xml:space="preserve"> / 14.</w:t>
      </w:r>
      <w:r w:rsidRPr="00020424">
        <w:rPr>
          <w:rtl/>
          <w:lang w:bidi="fa-IR"/>
        </w:rPr>
        <w:t xml:space="preserve"> عِدَّةٌ مِنْ أَصْحَابِنَا ، عَنْ سَهْلِ بْنِ زِيَادٍ ، عَنْ مَنْصُورِ بْنِ الْعَبَّاسِ ، عَنْ عَمْرِو بْنِ سَعِيدٍ ، عَنِ الْحَسَنِ بْنِ صَدَقَةَ ، قَالَ :</w:t>
      </w:r>
    </w:p>
    <w:p w:rsidR="00992664" w:rsidRPr="00020424" w:rsidRDefault="00992664" w:rsidP="00992664">
      <w:pPr>
        <w:pStyle w:val="libNormal"/>
        <w:rPr>
          <w:rtl/>
          <w:lang w:bidi="fa-IR"/>
        </w:rPr>
      </w:pPr>
      <w:r w:rsidRPr="00020424">
        <w:rPr>
          <w:rtl/>
          <w:lang w:bidi="fa-IR"/>
        </w:rPr>
        <w:t xml:space="preserve">قَالَ أَبُو الْحَسَنِ </w:t>
      </w:r>
      <w:r w:rsidRPr="00005A81">
        <w:rPr>
          <w:rStyle w:val="libAlaemChar"/>
          <w:rtl/>
        </w:rPr>
        <w:t>عليه‌السلام</w:t>
      </w:r>
      <w:r w:rsidRPr="00020424">
        <w:rPr>
          <w:rtl/>
          <w:lang w:bidi="fa-IR"/>
        </w:rPr>
        <w:t xml:space="preserve"> : « قِيلُوا </w:t>
      </w:r>
      <w:r w:rsidRPr="00A91B96">
        <w:rPr>
          <w:rStyle w:val="libFootnotenumChar"/>
          <w:rtl/>
        </w:rPr>
        <w:t>(1)</w:t>
      </w:r>
      <w:r w:rsidRPr="00020424">
        <w:rPr>
          <w:rtl/>
          <w:lang w:bidi="fa-IR"/>
        </w:rPr>
        <w:t xml:space="preserve"> ؛ فَإِنَّ اللهَ يُطْعِمُ الصَّائِمَ وَيَسْقِيهِ </w:t>
      </w:r>
      <w:r w:rsidRPr="00A91B96">
        <w:rPr>
          <w:rStyle w:val="libFootnotenumChar"/>
          <w:rtl/>
        </w:rPr>
        <w:t>(2)</w:t>
      </w:r>
      <w:r w:rsidRPr="00020424">
        <w:rPr>
          <w:rtl/>
          <w:lang w:bidi="fa-IR"/>
        </w:rPr>
        <w:t xml:space="preserve"> فِي مَنَامِهِ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37A9E">
        <w:rPr>
          <w:rtl/>
        </w:rPr>
        <w:t>6266</w:t>
      </w:r>
      <w:r w:rsidRPr="001155DE">
        <w:rPr>
          <w:rStyle w:val="libBold2Char"/>
          <w:rtl/>
        </w:rPr>
        <w:t xml:space="preserve"> / 15.</w:t>
      </w:r>
      <w:r w:rsidRPr="00020424">
        <w:rPr>
          <w:rtl/>
          <w:lang w:bidi="fa-IR"/>
        </w:rPr>
        <w:t xml:space="preserve"> عَلِيُّ بْنُ إِبْرَاهِيمَ ، عَنْ أَبِيهِ ، عَنِ ابْنِ أَبِي عُمَيْرٍ ، عَنْ</w:t>
      </w:r>
      <w:r w:rsidR="00A83B0E">
        <w:rPr>
          <w:rtl/>
          <w:lang w:bidi="fa-IR"/>
        </w:rPr>
        <w:t xml:space="preserve"> سَلَمَةَ صَاحِبِ السَّابِرِيِّ</w:t>
      </w:r>
      <w:r w:rsidRPr="00020424">
        <w:rPr>
          <w:rtl/>
          <w:lang w:bidi="fa-IR"/>
        </w:rPr>
        <w:t>، عَنْ أَبِي الصَّبَّاحِ الْكِنَانِيِّ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w:t>
      </w:r>
      <w:r w:rsidRPr="00A91B96">
        <w:rPr>
          <w:rStyle w:val="libFootnotenumChar"/>
          <w:rtl/>
        </w:rPr>
        <w:t>(4)</w:t>
      </w:r>
      <w:r w:rsidRPr="00020424">
        <w:rPr>
          <w:rtl/>
          <w:lang w:bidi="fa-IR"/>
        </w:rPr>
        <w:t xml:space="preserve"> قَالَ : « لِلصَّائِمِ فَرْحَتَانِ : فَرْحَةٌ عِنْدَ إِفْطَارِهِ ، وَفَرْحَةٌ عِنْدَ لِقَاءِ رَبِّهِ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p>
    <w:p w:rsidR="00992664" w:rsidRPr="00020424" w:rsidRDefault="00992664" w:rsidP="00992664">
      <w:pPr>
        <w:pStyle w:val="libLine"/>
        <w:rPr>
          <w:rtl/>
          <w:lang w:bidi="fa-IR"/>
        </w:rPr>
      </w:pPr>
      <w:r w:rsidRPr="00020424">
        <w:rPr>
          <w:rtl/>
          <w:lang w:bidi="fa-IR"/>
        </w:rPr>
        <w:t>__________________</w:t>
      </w:r>
    </w:p>
    <w:p w:rsidR="00992664" w:rsidRPr="00020424" w:rsidRDefault="00A83B0E" w:rsidP="00992664">
      <w:pPr>
        <w:pStyle w:val="libFootnote0"/>
        <w:rPr>
          <w:rtl/>
          <w:lang w:bidi="fa-IR"/>
        </w:rPr>
      </w:pPr>
      <w:r>
        <w:rPr>
          <w:rFonts w:hint="cs"/>
          <w:rtl/>
        </w:rPr>
        <w:t xml:space="preserve">= </w:t>
      </w:r>
      <w:r w:rsidR="00992664" w:rsidRPr="00020424">
        <w:rPr>
          <w:rtl/>
        </w:rPr>
        <w:t xml:space="preserve">إلى المعصوم </w:t>
      </w:r>
      <w:r w:rsidR="00992664" w:rsidRPr="00D64ADA">
        <w:rPr>
          <w:rStyle w:val="libFootnoteAlaemChar"/>
          <w:rtl/>
        </w:rPr>
        <w:t>عليه‌السلام</w:t>
      </w:r>
      <w:r w:rsidR="00992664" w:rsidRPr="00020424">
        <w:rPr>
          <w:rtl/>
        </w:rPr>
        <w:t xml:space="preserve"> ، مع اختلاف يسير ، وفي كلّها</w:t>
      </w:r>
      <w:r w:rsidR="00992664">
        <w:rPr>
          <w:rtl/>
        </w:rPr>
        <w:t xml:space="preserve"> </w:t>
      </w:r>
      <w:r w:rsidR="009B673F">
        <w:rPr>
          <w:rtl/>
        </w:rPr>
        <w:t>-</w:t>
      </w:r>
      <w:r w:rsidR="00992664">
        <w:rPr>
          <w:rtl/>
        </w:rPr>
        <w:t xml:space="preserve"> </w:t>
      </w:r>
      <w:r>
        <w:rPr>
          <w:rtl/>
        </w:rPr>
        <w:t>إل</w:t>
      </w:r>
      <w:r>
        <w:rPr>
          <w:rFonts w:hint="cs"/>
          <w:rtl/>
        </w:rPr>
        <w:t>ّ</w:t>
      </w:r>
      <w:r>
        <w:rPr>
          <w:rtl/>
        </w:rPr>
        <w:t>ا</w:t>
      </w:r>
      <w:r w:rsidR="00992664">
        <w:rPr>
          <w:rFonts w:hint="cs"/>
          <w:rtl/>
        </w:rPr>
        <w:t xml:space="preserve"> </w:t>
      </w:r>
      <w:r w:rsidR="00992664" w:rsidRPr="00020424">
        <w:rPr>
          <w:rtl/>
        </w:rPr>
        <w:t>الأوّل</w:t>
      </w:r>
      <w:r w:rsidR="00992664">
        <w:rPr>
          <w:rtl/>
        </w:rPr>
        <w:t xml:space="preserve"> </w:t>
      </w:r>
      <w:r w:rsidR="009B673F">
        <w:rPr>
          <w:rtl/>
        </w:rPr>
        <w:t>-</w:t>
      </w:r>
      <w:r w:rsidR="00992664">
        <w:rPr>
          <w:rtl/>
        </w:rPr>
        <w:t xml:space="preserve"> </w:t>
      </w:r>
      <w:r w:rsidR="00992664" w:rsidRPr="00020424">
        <w:rPr>
          <w:rtl/>
        </w:rPr>
        <w:t>من قوله : « لخلوف فم الصائم أطيب عندي</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76 ، ح 1779 ، مرسلاً </w:t>
      </w:r>
      <w:r>
        <w:rPr>
          <w:rFonts w:hint="cs"/>
          <w:rtl/>
        </w:rPr>
        <w:t>.</w:t>
      </w:r>
      <w:r w:rsidR="00992664" w:rsidRPr="0012008A">
        <w:rPr>
          <w:rStyle w:val="libFootnoteBoldChar"/>
          <w:rtl/>
        </w:rPr>
        <w:t>الوافي</w:t>
      </w:r>
      <w:r w:rsidR="00992664" w:rsidRPr="00020424">
        <w:rPr>
          <w:rtl/>
        </w:rPr>
        <w:t xml:space="preserve"> ، ج 11 ، ص 26 ، ح 10352 ؛ </w:t>
      </w:r>
      <w:r w:rsidR="00992664" w:rsidRPr="0012008A">
        <w:rPr>
          <w:rStyle w:val="libFootnoteBoldChar"/>
          <w:rtl/>
        </w:rPr>
        <w:t>الوسائل</w:t>
      </w:r>
      <w:r w:rsidR="00992664" w:rsidRPr="00020424">
        <w:rPr>
          <w:rtl/>
        </w:rPr>
        <w:t xml:space="preserve"> ، ج 10 ، ص 397 ، ح 13677 ؛ </w:t>
      </w:r>
      <w:r w:rsidR="00992664" w:rsidRPr="0012008A">
        <w:rPr>
          <w:rStyle w:val="libFootnoteBoldChar"/>
          <w:rtl/>
        </w:rPr>
        <w:t>البحار</w:t>
      </w:r>
      <w:r w:rsidR="00992664" w:rsidRPr="00020424">
        <w:rPr>
          <w:rtl/>
        </w:rPr>
        <w:t xml:space="preserve"> ، ج 13 ، ص 345 ، ح 31.</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أقبلوا</w:t>
      </w:r>
      <w:r w:rsidR="00992664">
        <w:rPr>
          <w:rtl/>
        </w:rPr>
        <w:t xml:space="preserve"> ».</w:t>
      </w:r>
      <w:r w:rsidR="00992664" w:rsidRPr="00020424">
        <w:rPr>
          <w:rtl/>
        </w:rPr>
        <w:t xml:space="preserve"> وفي « بخ ، بث ، بر ، بك » : « أقيِلوا</w:t>
      </w:r>
      <w:r w:rsidR="00992664">
        <w:rPr>
          <w:rtl/>
        </w:rPr>
        <w:t xml:space="preserve"> ».</w:t>
      </w:r>
      <w:r w:rsidR="00992664" w:rsidRPr="00020424">
        <w:rPr>
          <w:rtl/>
        </w:rPr>
        <w:t xml:space="preserve"> </w:t>
      </w:r>
      <w:r w:rsidR="00992664">
        <w:rPr>
          <w:rtl/>
        </w:rPr>
        <w:t>و «</w:t>
      </w:r>
      <w:r w:rsidR="00992664" w:rsidRPr="00020424">
        <w:rPr>
          <w:rtl/>
        </w:rPr>
        <w:t xml:space="preserve"> قيلوا » ، أمر من القيلولة ، وهي النوم في الظهيرة. وقيل : هي الاستراحة وقت نصف النهار وإن لم يكن معها نوم. راجع : </w:t>
      </w:r>
      <w:r w:rsidR="00992664" w:rsidRPr="0012008A">
        <w:rPr>
          <w:rStyle w:val="libFootnoteBoldChar"/>
          <w:rtl/>
        </w:rPr>
        <w:t>الصحاح</w:t>
      </w:r>
      <w:r w:rsidR="00992664" w:rsidRPr="00020424">
        <w:rPr>
          <w:rtl/>
        </w:rPr>
        <w:t xml:space="preserve"> ، ج 5 ، ص 1808 ؛ </w:t>
      </w:r>
      <w:r w:rsidR="00992664" w:rsidRPr="0012008A">
        <w:rPr>
          <w:rStyle w:val="libFootnoteBoldChar"/>
          <w:rtl/>
        </w:rPr>
        <w:t>النهاية</w:t>
      </w:r>
      <w:r w:rsidR="00992664" w:rsidRPr="00020424">
        <w:rPr>
          <w:rtl/>
        </w:rPr>
        <w:t xml:space="preserve"> ، ج 4 ، ص 133 ( قيل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لعلّ المراد بالإطعام والسقي لازمهما ، وهو تسكين شدّة الجوع والعطش ، كما هو المجرّب ، والله يعلم</w:t>
      </w:r>
      <w:r w:rsidR="00992664">
        <w:rPr>
          <w:rtl/>
        </w:rPr>
        <w:t xml:space="preserve"> ».</w:t>
      </w:r>
    </w:p>
    <w:p w:rsidR="00992664" w:rsidRPr="00020424" w:rsidRDefault="00795177" w:rsidP="00A83B0E">
      <w:pPr>
        <w:pStyle w:val="libFootnote0"/>
        <w:rPr>
          <w:rtl/>
          <w:lang w:bidi="fa-IR"/>
        </w:rPr>
      </w:pPr>
      <w:r>
        <w:rPr>
          <w:rtl/>
        </w:rPr>
        <w:t>(3).</w:t>
      </w:r>
      <w:r w:rsidR="0014403D">
        <w:rPr>
          <w:rtl/>
        </w:rPr>
        <w:t xml:space="preserve"> </w:t>
      </w:r>
      <w:r w:rsidR="00992664" w:rsidRPr="00DE76B9">
        <w:rPr>
          <w:rStyle w:val="libFootnoteBoldChar"/>
          <w:rtl/>
        </w:rPr>
        <w:t>فضائل الأشهر الثلاثة</w:t>
      </w:r>
      <w:r w:rsidR="00992664" w:rsidRPr="00020424">
        <w:rPr>
          <w:rtl/>
        </w:rPr>
        <w:t xml:space="preserve"> ، ص 120 ، ح 121 ، عن أحمد بن محمّد بن يحيى العطّار ، عن أبيه ، عن سهل بن زياد الأزدي. </w:t>
      </w:r>
      <w:r w:rsidR="00992664" w:rsidRPr="0012008A">
        <w:rPr>
          <w:rStyle w:val="libFootnoteBoldChar"/>
          <w:rtl/>
        </w:rPr>
        <w:t>ثواب الأعمال</w:t>
      </w:r>
      <w:r w:rsidR="00992664" w:rsidRPr="00020424">
        <w:rPr>
          <w:rtl/>
        </w:rPr>
        <w:t xml:space="preserve"> ، ص 75 ، ح 5 ، بسنده عن منصور بن العبّاس. </w:t>
      </w:r>
      <w:r w:rsidR="00992664" w:rsidRPr="0012008A">
        <w:rPr>
          <w:rStyle w:val="libFootnoteBoldChar"/>
          <w:rtl/>
        </w:rPr>
        <w:t>الفقيه</w:t>
      </w:r>
      <w:r w:rsidR="00992664" w:rsidRPr="00020424">
        <w:rPr>
          <w:rtl/>
        </w:rPr>
        <w:t xml:space="preserve"> ، ج 2 ، ص 76 ، ح 1782 ، مرسلاً. </w:t>
      </w:r>
      <w:r w:rsidR="00992664" w:rsidRPr="00DE76B9">
        <w:rPr>
          <w:rStyle w:val="libFootnoteBoldChar"/>
          <w:rtl/>
        </w:rPr>
        <w:t>وفيه</w:t>
      </w:r>
      <w:r w:rsidR="00992664" w:rsidRPr="00020424">
        <w:rPr>
          <w:rtl/>
        </w:rPr>
        <w:t xml:space="preserve"> ، ج 1 ، ص 503 ، ح 1447 ، مرسلاً من دون الإسناد إلى المعصوم </w:t>
      </w:r>
      <w:r w:rsidR="00992664" w:rsidRPr="00D64ADA">
        <w:rPr>
          <w:rStyle w:val="libFootnoteAlaemChar"/>
          <w:rtl/>
        </w:rPr>
        <w:t>عليه‌السلام</w:t>
      </w:r>
      <w:r w:rsidR="00992664" w:rsidRPr="00020424">
        <w:rPr>
          <w:rtl/>
        </w:rPr>
        <w:t xml:space="preserve"> </w:t>
      </w:r>
      <w:r w:rsidR="00A83B0E">
        <w:rPr>
          <w:rFonts w:hint="cs"/>
          <w:rtl/>
        </w:rPr>
        <w:t>.</w:t>
      </w:r>
      <w:r w:rsidR="00992664" w:rsidRPr="0012008A">
        <w:rPr>
          <w:rStyle w:val="libFootnoteBoldChar"/>
          <w:rtl/>
        </w:rPr>
        <w:t>الوافي</w:t>
      </w:r>
      <w:r w:rsidR="00992664" w:rsidRPr="00020424">
        <w:rPr>
          <w:rtl/>
        </w:rPr>
        <w:t xml:space="preserve"> ، ج 11 ، ص 29 ، ح 10358 ؛ </w:t>
      </w:r>
      <w:r w:rsidR="00992664" w:rsidRPr="0012008A">
        <w:rPr>
          <w:rStyle w:val="libFootnoteBoldChar"/>
          <w:rtl/>
        </w:rPr>
        <w:t>الوسائل</w:t>
      </w:r>
      <w:r w:rsidR="00992664" w:rsidRPr="00020424">
        <w:rPr>
          <w:rtl/>
        </w:rPr>
        <w:t xml:space="preserve"> ، ج 10 ، ص 136 ، ح 13042.</w:t>
      </w:r>
      <w:r w:rsidR="00A83B0E">
        <w:rPr>
          <w:rFonts w:hint="cs"/>
          <w:rtl/>
        </w:rPr>
        <w:t xml:space="preserve">  </w:t>
      </w:r>
      <w:r>
        <w:rPr>
          <w:rtl/>
        </w:rPr>
        <w:t>(4).</w:t>
      </w:r>
      <w:r w:rsidR="0014403D">
        <w:rPr>
          <w:rtl/>
        </w:rPr>
        <w:t xml:space="preserve"> </w:t>
      </w:r>
      <w:r w:rsidR="00992664" w:rsidRPr="00020424">
        <w:rPr>
          <w:rtl/>
        </w:rPr>
        <w:t xml:space="preserve">في </w:t>
      </w:r>
      <w:r w:rsidR="00992664" w:rsidRPr="00A83B0E">
        <w:rP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أنّه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757F3F">
        <w:rPr>
          <w:rStyle w:val="libFootnoteBoldChar"/>
          <w:rtl/>
        </w:rPr>
        <w:t>الأمالي للطوسي</w:t>
      </w:r>
      <w:r w:rsidR="00992664" w:rsidRPr="00020424">
        <w:rPr>
          <w:rtl/>
        </w:rPr>
        <w:t xml:space="preserve"> : « يوم القيامة » بدل « عند لقاء ربّه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فضائل الأشهر الثلاثة</w:t>
      </w:r>
      <w:r w:rsidR="00992664" w:rsidRPr="00020424">
        <w:rPr>
          <w:rtl/>
        </w:rPr>
        <w:t xml:space="preserve"> ، ص 120 ، ح 120 ، بسنده عن عليّ بن إبراهيم ، عن أبيه ، عن محمّد بن أبي عمير ، عن سلمة بيّاع السابري. </w:t>
      </w:r>
      <w:r w:rsidR="00992664" w:rsidRPr="00A722B1">
        <w:rPr>
          <w:rStyle w:val="libFootnoteBoldChar"/>
          <w:rtl/>
        </w:rPr>
        <w:t>الخصال</w:t>
      </w:r>
      <w:r w:rsidR="00992664" w:rsidRPr="00020424">
        <w:rPr>
          <w:rtl/>
        </w:rPr>
        <w:t xml:space="preserve"> ، ص 44 ، باب الاثنين ، ح 41 ، بسند آخر رفعه إلى الصادق </w:t>
      </w:r>
      <w:r w:rsidR="00992664" w:rsidRPr="00D64ADA">
        <w:rPr>
          <w:rStyle w:val="libFootnoteAlaemChar"/>
          <w:rtl/>
        </w:rPr>
        <w:t>عليه‌السلام</w:t>
      </w:r>
      <w:r w:rsidR="00992664" w:rsidRPr="00020424">
        <w:rPr>
          <w:rtl/>
        </w:rPr>
        <w:t xml:space="preserve">. وفي </w:t>
      </w:r>
      <w:r w:rsidR="00992664" w:rsidRPr="00DE76B9">
        <w:rPr>
          <w:rStyle w:val="libFootnoteBoldChar"/>
          <w:rtl/>
        </w:rPr>
        <w:t>فضائل الأشهر الثلاثة</w:t>
      </w:r>
      <w:r w:rsidR="00992664" w:rsidRPr="00020424">
        <w:rPr>
          <w:rtl/>
        </w:rPr>
        <w:t xml:space="preserve"> ، ص 143 ، ضمن ح 156 ؛ </w:t>
      </w:r>
      <w:r w:rsidR="00992664" w:rsidRPr="00216E45">
        <w:rPr>
          <w:rStyle w:val="libFootnoteBoldChar"/>
          <w:rtl/>
        </w:rPr>
        <w:t>ومعاني الأخبار</w:t>
      </w:r>
      <w:r w:rsidR="00992664" w:rsidRPr="00020424">
        <w:rPr>
          <w:rtl/>
        </w:rPr>
        <w:t xml:space="preserve"> ، ص 409 ، ح 89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757F3F">
        <w:rPr>
          <w:rStyle w:val="libFootnoteBoldChar"/>
          <w:rtl/>
        </w:rPr>
        <w:t>الأمالي للطوسي</w:t>
      </w:r>
      <w:r w:rsidR="00992664" w:rsidRPr="00020424">
        <w:rPr>
          <w:rtl/>
        </w:rPr>
        <w:t xml:space="preserve"> ، ص 496 ، المجلس 17 ، ح 57 ، بسند آخر عن عليّ بن الحسين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زيادة في آخره. </w:t>
      </w:r>
      <w:r w:rsidR="00992664" w:rsidRPr="0012008A">
        <w:rPr>
          <w:rStyle w:val="libFootnoteBoldChar"/>
          <w:rtl/>
        </w:rPr>
        <w:t>الفقيه</w:t>
      </w:r>
      <w:r w:rsidR="00992664" w:rsidRPr="00020424">
        <w:rPr>
          <w:rtl/>
        </w:rPr>
        <w:t xml:space="preserve"> ، ج 2 ، ص 76 ، ح 1780 ، مرسلاً. </w:t>
      </w:r>
      <w:r w:rsidR="00992664" w:rsidRPr="00DE76B9">
        <w:rPr>
          <w:rStyle w:val="libFootnoteBoldChar"/>
          <w:rtl/>
        </w:rPr>
        <w:t>وفيه</w:t>
      </w:r>
      <w:r w:rsidR="00992664" w:rsidRPr="00020424">
        <w:rPr>
          <w:rtl/>
        </w:rPr>
        <w:t xml:space="preserve"> ، ص 75 ، ضمن ح 1773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205 </w:t>
      </w:r>
      <w:r w:rsidR="00A83B0E">
        <w:rPr>
          <w:rFonts w:hint="cs"/>
          <w:rtl/>
        </w:rPr>
        <w:t>.</w:t>
      </w:r>
      <w:r w:rsidR="00992664" w:rsidRPr="0012008A">
        <w:rPr>
          <w:rStyle w:val="libFootnoteBoldChar"/>
          <w:rtl/>
        </w:rPr>
        <w:t>الوافي</w:t>
      </w:r>
      <w:r w:rsidR="00992664" w:rsidRPr="00020424">
        <w:rPr>
          <w:rtl/>
        </w:rPr>
        <w:t xml:space="preserve"> ، ج 11 ، ص 25 ، ح 10350 ؛ </w:t>
      </w:r>
      <w:r w:rsidR="00992664" w:rsidRPr="0012008A">
        <w:rPr>
          <w:rStyle w:val="libFootnoteBoldChar"/>
          <w:rtl/>
        </w:rPr>
        <w:t>الوسائل</w:t>
      </w:r>
      <w:r w:rsidR="00992664" w:rsidRPr="00020424">
        <w:rPr>
          <w:rtl/>
        </w:rPr>
        <w:t xml:space="preserve"> ، ج 10 ، ص 397 ، ح 13678.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37A9E">
        <w:rPr>
          <w:rtl/>
        </w:rPr>
        <w:t>6267</w:t>
      </w:r>
      <w:r w:rsidRPr="001155DE">
        <w:rPr>
          <w:rStyle w:val="libBold2Char"/>
          <w:rtl/>
        </w:rPr>
        <w:t xml:space="preserve"> / 16.</w:t>
      </w:r>
      <w:r w:rsidRPr="00020424">
        <w:rPr>
          <w:rtl/>
          <w:lang w:bidi="fa-IR"/>
        </w:rPr>
        <w:t xml:space="preserve"> عَلِيُّ بْنُ إِبْرَاهِيمَ ، عَنْ أَبِيهِ ، عن ابن أبي عُمَيْرٍ ، </w:t>
      </w:r>
      <w:r w:rsidRPr="00A91B96">
        <w:rPr>
          <w:rStyle w:val="libFootnotenumChar"/>
          <w:rtl/>
        </w:rPr>
        <w:t>(1)</w:t>
      </w:r>
      <w:r w:rsidRPr="00020424">
        <w:rPr>
          <w:rtl/>
          <w:lang w:bidi="fa-IR"/>
        </w:rPr>
        <w:t xml:space="preserve"> عَنِ السَّمَّانِ الْأَرْمَنِيِّ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 قَالَ : « إِذَا رَأَى الصَّائِمُ قَوْماً يَأْكُلُونَ ، أَوْ رَجُلاً يَأْكُلُ ، سَبَّحَتْ لَهُ </w:t>
      </w:r>
      <w:r w:rsidRPr="00A91B96">
        <w:rPr>
          <w:rStyle w:val="libFootnotenumChar"/>
          <w:rtl/>
        </w:rPr>
        <w:t>(4)</w:t>
      </w:r>
      <w:r w:rsidRPr="00020424">
        <w:rPr>
          <w:rtl/>
          <w:lang w:bidi="fa-IR"/>
        </w:rPr>
        <w:t xml:space="preserve"> كُلُّ شَعْرَةٍ مِنْهُ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37A9E">
        <w:rPr>
          <w:rtl/>
        </w:rPr>
        <w:t>6268</w:t>
      </w:r>
      <w:r w:rsidRPr="001155DE">
        <w:rPr>
          <w:rStyle w:val="libBold2Char"/>
          <w:rtl/>
        </w:rPr>
        <w:t xml:space="preserve"> / 17.</w:t>
      </w:r>
      <w:r w:rsidRPr="00020424">
        <w:rPr>
          <w:rtl/>
          <w:lang w:bidi="fa-IR"/>
        </w:rPr>
        <w:t xml:space="preserve"> عِدَّةٌ مِنْ أَصْحَابِنَا </w:t>
      </w:r>
      <w:r w:rsidRPr="00A91B96">
        <w:rPr>
          <w:rStyle w:val="libFootnotenumChar"/>
          <w:rtl/>
        </w:rPr>
        <w:t>(7)</w:t>
      </w:r>
      <w:r w:rsidRPr="00020424">
        <w:rPr>
          <w:rtl/>
          <w:lang w:bidi="fa-IR"/>
        </w:rPr>
        <w:t xml:space="preserve"> ، عَنْ سَهْلِ بْنِ زِيَادٍ ، عَنْ بَكْرِ بْنِ صَالِحٍ ، عَنْ مُحَمَّدِ بْنِ سِنَانٍ ، عَنْ مُنْذِرِ </w:t>
      </w:r>
      <w:r w:rsidRPr="00A91B96">
        <w:rPr>
          <w:rStyle w:val="libFootnotenumChar"/>
          <w:rtl/>
        </w:rPr>
        <w:t>(8)</w:t>
      </w:r>
      <w:r w:rsidRPr="00020424">
        <w:rPr>
          <w:rtl/>
          <w:lang w:bidi="fa-IR"/>
        </w:rPr>
        <w:t xml:space="preserve"> بْنِ يَزِيدَ ، عَنْ يُونُسَ بْنِ ظَبْيَانَ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مَنْ صَامَ لِلّهِ يَوْماً </w:t>
      </w:r>
      <w:r w:rsidRPr="00A91B96">
        <w:rPr>
          <w:rStyle w:val="libFootnotenumChar"/>
          <w:rtl/>
        </w:rPr>
        <w:t>(9)</w:t>
      </w:r>
      <w:r w:rsidRPr="00020424">
        <w:rPr>
          <w:rtl/>
          <w:lang w:bidi="fa-IR"/>
        </w:rPr>
        <w:t xml:space="preserve"> فِي شِدَّةِ الْحَرِّ ، فَأَصَابَهُ ظَمَأٌ ، وَكَّلَ اللهُ‌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حاشية « بز ، بط » </w:t>
      </w:r>
      <w:r w:rsidR="00992664" w:rsidRPr="00EB1FD9">
        <w:rPr>
          <w:rStyle w:val="libFootnoteBoldChar"/>
          <w:rtl/>
        </w:rPr>
        <w:t>والوسائل</w:t>
      </w:r>
      <w:r w:rsidR="00992664" w:rsidRPr="00020424">
        <w:rPr>
          <w:rtl/>
        </w:rPr>
        <w:t>. وفي « ظ ، ى ، بث ، بح ، بخ ، بر ، بس ، بف ، جن » والمطبوع :</w:t>
      </w:r>
      <w:r w:rsidR="00992664">
        <w:rPr>
          <w:rtl/>
        </w:rPr>
        <w:t xml:space="preserve"> </w:t>
      </w:r>
      <w:r w:rsidR="009B673F">
        <w:rPr>
          <w:rtl/>
        </w:rPr>
        <w:t>-</w:t>
      </w:r>
      <w:r w:rsidR="00992664">
        <w:rPr>
          <w:rtl/>
        </w:rPr>
        <w:t xml:space="preserve"> </w:t>
      </w:r>
      <w:r w:rsidR="00992664" w:rsidRPr="00020424">
        <w:rPr>
          <w:rtl/>
        </w:rPr>
        <w:t>« عن ابن أبي عمير</w:t>
      </w:r>
      <w:r w:rsidR="00992664">
        <w:rPr>
          <w:rtl/>
        </w:rPr>
        <w:t xml:space="preserve"> ».</w:t>
      </w:r>
    </w:p>
    <w:p w:rsidR="00992664" w:rsidRPr="00020424" w:rsidRDefault="00992664" w:rsidP="00992664">
      <w:pPr>
        <w:pStyle w:val="libFootnote0"/>
        <w:rPr>
          <w:rtl/>
          <w:lang w:bidi="fa-IR"/>
        </w:rPr>
      </w:pPr>
      <w:r w:rsidRPr="00B94BFB">
        <w:rPr>
          <w:rtl/>
        </w:rPr>
        <w:t xml:space="preserve">وما أثبتناه هو الظاهر ؛ فإنّه لم يثبت رواية إبراهيم بن هاشم والد عليّ ، عن أصحاب أبي عبدالله </w:t>
      </w:r>
      <w:r w:rsidRPr="00D64ADA">
        <w:rPr>
          <w:rStyle w:val="libFootnoteAlaemChar"/>
          <w:rtl/>
        </w:rPr>
        <w:t>عليه‌السلام</w:t>
      </w:r>
      <w:r w:rsidRPr="00B94BFB">
        <w:rPr>
          <w:rtl/>
        </w:rPr>
        <w:t xml:space="preserve"> مباشرة.</w:t>
      </w:r>
    </w:p>
    <w:p w:rsidR="00992664" w:rsidRPr="00020424" w:rsidRDefault="00992664" w:rsidP="00992664">
      <w:pPr>
        <w:pStyle w:val="libFootnote0"/>
        <w:rPr>
          <w:rtl/>
          <w:lang w:bidi="fa-IR"/>
        </w:rPr>
      </w:pPr>
      <w:r w:rsidRPr="00B94BFB">
        <w:rPr>
          <w:rtl/>
        </w:rPr>
        <w:t xml:space="preserve">ويؤيّد ذلك أنّ الخبر رواه الصدوق في </w:t>
      </w:r>
      <w:r w:rsidRPr="00DE76B9">
        <w:rPr>
          <w:rStyle w:val="libFootnoteBoldChar"/>
          <w:rtl/>
        </w:rPr>
        <w:t>فضائل الأشهر الثلاثة</w:t>
      </w:r>
      <w:r w:rsidRPr="00B94BFB">
        <w:rPr>
          <w:rtl/>
        </w:rPr>
        <w:t xml:space="preserve"> ، ص 119 ، ح 118 ، عن أبيه ، عن عليّ بن إبراهيم ، عن أبيه ، عن محمّد بن أبي عمير ، عن السمّان الأرمني. ولا يبعد أخذ الأحاديث 117 إلى 129 من </w:t>
      </w:r>
      <w:r w:rsidRPr="00DE76B9">
        <w:rPr>
          <w:rStyle w:val="libFootnoteBoldChar"/>
          <w:rtl/>
        </w:rPr>
        <w:t>الكافي</w:t>
      </w:r>
      <w:r w:rsidRPr="00B94BFB">
        <w:rPr>
          <w:rtl/>
        </w:rPr>
        <w:t xml:space="preserve"> ، فلاحظ.</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حاشية « بز ، بط » : « عن سلمة عن السمّان الأزمني</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عن سلمة السمّان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أنّه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بخ ، بر ، بف ، بك » </w:t>
      </w:r>
      <w:r w:rsidR="00992664" w:rsidRPr="000C36ED">
        <w:rPr>
          <w:rtl/>
        </w:rPr>
        <w:t>والوافي والوسائل والفقيه وفضائل الأشهر الثلاثة</w:t>
      </w:r>
      <w:r w:rsidR="00992664" w:rsidRPr="00020424">
        <w:rPr>
          <w:rtl/>
        </w:rPr>
        <w:t xml:space="preserve"> والثواب </w:t>
      </w:r>
      <w:r w:rsidR="00992664" w:rsidRPr="00666432">
        <w:rPr>
          <w:rStyle w:val="libFootnoteBoldChar"/>
          <w:rtl/>
        </w:rPr>
        <w:t>و</w:t>
      </w:r>
      <w:r w:rsidR="00992664" w:rsidRPr="00587829">
        <w:rPr>
          <w:rStyle w:val="libFootnoteBoldChar"/>
          <w:rtl/>
        </w:rPr>
        <w:t>الأمالي للصدوق</w:t>
      </w:r>
      <w:r w:rsidR="00992664" w:rsidRPr="00020424">
        <w:rPr>
          <w:rtl/>
        </w:rPr>
        <w:t>. وفي « ظ ، جن » : « سبّحت</w:t>
      </w:r>
      <w:r w:rsidR="00992664">
        <w:rPr>
          <w:rtl/>
        </w:rPr>
        <w:t xml:space="preserve"> ».</w:t>
      </w:r>
      <w:r w:rsidR="00992664" w:rsidRPr="00020424">
        <w:rPr>
          <w:rtl/>
        </w:rPr>
        <w:t xml:space="preserve"> وفي سائر النسخ والمرآة والمطبوع : « سجّت » ولم نجد له معني محصّلاً مناسباً للمقام.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سجّت ، لعلّ المراد أنّه يعطى ثواب ذلك ، أو أنّ شهوته للطعام لما أثرت في جميع بدنه ، واثيب بقدر ذلك ، فكأنّه سجّت جميع أعضائه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 « في جسمه » بدل « منه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فضائل الأشهر الثلاثة</w:t>
      </w:r>
      <w:r w:rsidR="00992664" w:rsidRPr="00020424">
        <w:rPr>
          <w:rtl/>
        </w:rPr>
        <w:t xml:space="preserve"> ، ص 119 ، ح 118 ، بسنده عن عليّ بن إبراهيم. وفي </w:t>
      </w:r>
      <w:r w:rsidR="00992664" w:rsidRPr="00587829">
        <w:rPr>
          <w:rStyle w:val="libFootnoteBoldChar"/>
          <w:rtl/>
        </w:rPr>
        <w:t>الأمالي للصدوق</w:t>
      </w:r>
      <w:r w:rsidR="00992664" w:rsidRPr="00020424">
        <w:rPr>
          <w:rtl/>
        </w:rPr>
        <w:t xml:space="preserve"> ، ص 587 ، المجلس 86 ، ح 9 ؛ </w:t>
      </w:r>
      <w:r w:rsidR="00992664" w:rsidRPr="006C7A1F">
        <w:rPr>
          <w:rStyle w:val="libFootnoteBoldChar"/>
          <w:rtl/>
        </w:rPr>
        <w:t>وثواب الأعمال</w:t>
      </w:r>
      <w:r w:rsidR="00992664" w:rsidRPr="00DE76B9">
        <w:rPr>
          <w:rStyle w:val="libFootnoteBoldChar"/>
          <w:rtl/>
        </w:rPr>
        <w:t xml:space="preserve"> </w:t>
      </w:r>
      <w:r w:rsidR="00992664" w:rsidRPr="00020424">
        <w:rPr>
          <w:rtl/>
        </w:rPr>
        <w:t xml:space="preserve">، ص 77 ، ح 1 ، بسند آخر عن الصادق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87 ، ح 1805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الثلاثة الأخيرة مع اختلاف يسير وزيادة في آخره </w:t>
      </w:r>
      <w:r w:rsidR="000C36ED">
        <w:rPr>
          <w:rFonts w:hint="cs"/>
          <w:rtl/>
        </w:rPr>
        <w:t>.</w:t>
      </w:r>
      <w:r w:rsidR="00992664" w:rsidRPr="0012008A">
        <w:rPr>
          <w:rStyle w:val="libFootnoteBoldChar"/>
          <w:rtl/>
        </w:rPr>
        <w:t>الوافي</w:t>
      </w:r>
      <w:r w:rsidR="00992664" w:rsidRPr="00020424">
        <w:rPr>
          <w:rtl/>
        </w:rPr>
        <w:t xml:space="preserve"> ، ج 11 ، ص 29 ، ح 10359 ؛ </w:t>
      </w:r>
      <w:r w:rsidR="00992664" w:rsidRPr="0012008A">
        <w:rPr>
          <w:rStyle w:val="libFootnoteBoldChar"/>
          <w:rtl/>
        </w:rPr>
        <w:t>الوسائل</w:t>
      </w:r>
      <w:r w:rsidR="00992664" w:rsidRPr="00020424">
        <w:rPr>
          <w:rtl/>
        </w:rPr>
        <w:t xml:space="preserve"> ، ج 10 ، ص 155 ، ح 13098.</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هذا الحديث هو نفس الحديث الثامن ، فراجع التعليقات منه. وفي </w:t>
      </w:r>
      <w:r w:rsidR="00992664" w:rsidRPr="00DE76B9">
        <w:rPr>
          <w:rStyle w:val="libFootnoteBoldChar"/>
          <w:rtl/>
        </w:rPr>
        <w:t>مرآة العقول</w:t>
      </w:r>
      <w:r w:rsidR="00992664" w:rsidRPr="00020424">
        <w:rPr>
          <w:rtl/>
        </w:rPr>
        <w:t xml:space="preserve"> : « قد تقدّم هذا الحديث بعينه‌آنفاً بدون توسّط بكر بن صالح بين سهل وابن سنان ، ولعلّه إنّما زيد هنا ، أو سقط هنالك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فضائل الأشهر الثلاثة : « عمر</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بف ، بك » : « يوماً لله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B673F" w:rsidP="000C36ED">
      <w:pPr>
        <w:pStyle w:val="libNormal0"/>
        <w:rPr>
          <w:rtl/>
          <w:lang w:bidi="fa-IR"/>
        </w:rPr>
      </w:pPr>
      <w:r>
        <w:rPr>
          <w:rFonts w:hint="cs"/>
          <w:rtl/>
          <w:lang w:bidi="fa-IR"/>
        </w:rPr>
        <w:t>-</w:t>
      </w:r>
      <w:r w:rsidR="00992664" w:rsidRPr="00020424">
        <w:rPr>
          <w:rtl/>
          <w:lang w:bidi="fa-IR"/>
        </w:rPr>
        <w:t xml:space="preserve"> عَزَّ وَجَلَّ</w:t>
      </w:r>
      <w:r w:rsidR="00992664">
        <w:rPr>
          <w:rtl/>
          <w:lang w:bidi="fa-IR"/>
        </w:rPr>
        <w:t xml:space="preserve"> </w:t>
      </w:r>
      <w:r>
        <w:rPr>
          <w:rtl/>
          <w:lang w:bidi="fa-IR"/>
        </w:rPr>
        <w:t>-</w:t>
      </w:r>
      <w:r w:rsidR="00992664">
        <w:rPr>
          <w:rtl/>
          <w:lang w:bidi="fa-IR"/>
        </w:rPr>
        <w:t xml:space="preserve"> </w:t>
      </w:r>
      <w:r w:rsidR="00992664" w:rsidRPr="00020424">
        <w:rPr>
          <w:rtl/>
          <w:lang w:bidi="fa-IR"/>
        </w:rPr>
        <w:t xml:space="preserve">بِهِ أَلْفَ مَلَكٍ يَمْسَحُونَ وَجْهَهُ وَيُبَشِّرُونَهُ حَتّى إِذَا أَفْطَرَ قَالَ اللهُ </w:t>
      </w:r>
      <w:r w:rsidR="00992664" w:rsidRPr="00A91B96">
        <w:rPr>
          <w:rStyle w:val="libFootnotenumChar"/>
          <w:rtl/>
        </w:rPr>
        <w:t>(1)</w:t>
      </w:r>
      <w:r w:rsidR="00992664" w:rsidRPr="00020424">
        <w:rPr>
          <w:rtl/>
          <w:lang w:bidi="fa-IR"/>
        </w:rPr>
        <w:t xml:space="preserve"> عَزَّ وَجَلَّ :</w:t>
      </w:r>
      <w:r w:rsidR="00992664">
        <w:rPr>
          <w:rFonts w:hint="cs"/>
          <w:rtl/>
          <w:lang w:bidi="fa-IR"/>
        </w:rPr>
        <w:t xml:space="preserve"> </w:t>
      </w:r>
      <w:r w:rsidR="00992664" w:rsidRPr="00020424">
        <w:rPr>
          <w:rtl/>
          <w:lang w:bidi="fa-IR"/>
        </w:rPr>
        <w:t xml:space="preserve">مَا أَطْيَبَ رِيحَكَ وَرَوْحَكَ </w:t>
      </w:r>
      <w:r w:rsidR="00992664" w:rsidRPr="00A91B96">
        <w:rPr>
          <w:rStyle w:val="libFootnotenumChar"/>
          <w:rtl/>
        </w:rPr>
        <w:t>(2)</w:t>
      </w:r>
      <w:r w:rsidR="00992664">
        <w:rPr>
          <w:rtl/>
          <w:lang w:bidi="fa-IR"/>
        </w:rPr>
        <w:t>!</w:t>
      </w:r>
      <w:r w:rsidR="00992664" w:rsidRPr="00020424">
        <w:rPr>
          <w:rtl/>
          <w:lang w:bidi="fa-IR"/>
        </w:rPr>
        <w:t xml:space="preserve"> مَلَائِكَتِي ، اشْهَدُوا أَنِّي قَدْ غَفَرْتُ لَهُ</w:t>
      </w:r>
      <w:r w:rsidR="00992664">
        <w:rPr>
          <w:rtl/>
          <w:lang w:bidi="fa-IR"/>
        </w:rPr>
        <w:t xml:space="preserve"> ».</w:t>
      </w:r>
      <w:r w:rsidR="00992664" w:rsidRPr="00020424">
        <w:rPr>
          <w:rtl/>
          <w:lang w:bidi="fa-IR"/>
        </w:rPr>
        <w:t xml:space="preserve"> </w:t>
      </w:r>
      <w:r w:rsidR="00992664" w:rsidRPr="00A91B96">
        <w:rPr>
          <w:rStyle w:val="libFootnotenumChar"/>
          <w:rtl/>
        </w:rPr>
        <w:t>(3)</w:t>
      </w:r>
      <w:r w:rsidR="00992664" w:rsidRPr="00020424">
        <w:rPr>
          <w:rtl/>
          <w:lang w:bidi="fa-IR"/>
        </w:rPr>
        <w:t xml:space="preserve"> ‌</w:t>
      </w:r>
    </w:p>
    <w:p w:rsidR="00992664" w:rsidRPr="00020424" w:rsidRDefault="00992664" w:rsidP="00992664">
      <w:pPr>
        <w:pStyle w:val="Heading2Center"/>
        <w:rPr>
          <w:rtl/>
          <w:lang w:bidi="fa-IR"/>
        </w:rPr>
      </w:pPr>
      <w:bookmarkStart w:id="302" w:name="_Toc345172816"/>
      <w:bookmarkStart w:id="303" w:name="_Toc464562634"/>
      <w:bookmarkStart w:id="304" w:name="_Toc44599937"/>
      <w:r w:rsidRPr="00020424">
        <w:rPr>
          <w:rtl/>
          <w:lang w:bidi="fa-IR"/>
        </w:rPr>
        <w:t>2</w:t>
      </w:r>
      <w:r>
        <w:rPr>
          <w:rtl/>
          <w:lang w:bidi="fa-IR"/>
        </w:rPr>
        <w:t xml:space="preserve"> </w:t>
      </w:r>
      <w:r w:rsidR="009B673F">
        <w:rPr>
          <w:rtl/>
          <w:lang w:bidi="fa-IR"/>
        </w:rPr>
        <w:t>-</w:t>
      </w:r>
      <w:r>
        <w:rPr>
          <w:rtl/>
          <w:lang w:bidi="fa-IR"/>
        </w:rPr>
        <w:t xml:space="preserve"> </w:t>
      </w:r>
      <w:r w:rsidRPr="00020424">
        <w:rPr>
          <w:rtl/>
          <w:lang w:bidi="fa-IR"/>
        </w:rPr>
        <w:t>بَابُ فَضْلِ شَهْرِ رَمَضَانَ‌</w:t>
      </w:r>
      <w:bookmarkEnd w:id="302"/>
      <w:bookmarkEnd w:id="303"/>
      <w:bookmarkEnd w:id="304"/>
    </w:p>
    <w:p w:rsidR="00992664" w:rsidRPr="00020424" w:rsidRDefault="00992664" w:rsidP="00992664">
      <w:pPr>
        <w:pStyle w:val="libNormal"/>
        <w:rPr>
          <w:rtl/>
          <w:lang w:bidi="fa-IR"/>
        </w:rPr>
      </w:pPr>
      <w:r w:rsidRPr="00A37A9E">
        <w:rPr>
          <w:rtl/>
        </w:rPr>
        <w:t>6269</w:t>
      </w:r>
      <w:r w:rsidRPr="001155DE">
        <w:rPr>
          <w:rStyle w:val="libBold2Char"/>
          <w:rtl/>
        </w:rPr>
        <w:t xml:space="preserve"> / 1.</w:t>
      </w:r>
      <w:r w:rsidRPr="00020424">
        <w:rPr>
          <w:rtl/>
          <w:lang w:bidi="fa-IR"/>
        </w:rPr>
        <w:t xml:space="preserve"> عَلِيُّ بْنُ إِبْرَاهِيمَ ، عَنْ أَبِيهِ ، عَنْ عَبْدِ اللهِ بْنِ الْمُغِيرَةِ ، عَنْ عَمْرٍو </w:t>
      </w:r>
      <w:r w:rsidRPr="00A91B96">
        <w:rPr>
          <w:rStyle w:val="libFootnotenumChar"/>
          <w:rtl/>
        </w:rPr>
        <w:t>(4)</w:t>
      </w:r>
      <w:r w:rsidRPr="00020424">
        <w:rPr>
          <w:rtl/>
          <w:lang w:bidi="fa-IR"/>
        </w:rPr>
        <w:t xml:space="preserve"> الشَّامِيِّ :</w:t>
      </w:r>
    </w:p>
    <w:p w:rsidR="00992664" w:rsidRPr="00020424" w:rsidRDefault="00992664" w:rsidP="000C36ED">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w:t>
      </w:r>
      <w:r w:rsidRPr="00005A81">
        <w:rPr>
          <w:rStyle w:val="libAlaemChar"/>
          <w:rtl/>
        </w:rPr>
        <w:t>(</w:t>
      </w:r>
      <w:r w:rsidRPr="004E5AB4">
        <w:rPr>
          <w:rStyle w:val="libAieChar"/>
          <w:rtl/>
        </w:rPr>
        <w:t xml:space="preserve"> إِنَّ عِدَّةَ الشُّهُورِ عِنْدَ اللهِ اثْنا عَشَرَ شَهْراً فِي كِتابِ اللهِ يَوْمَ خَلَقَ السَّماواتِ وَالْأَرْضَ </w:t>
      </w:r>
      <w:r w:rsidRPr="00005A81">
        <w:rPr>
          <w:rStyle w:val="libAlaemChar"/>
          <w:rtl/>
        </w:rPr>
        <w:t>)</w:t>
      </w:r>
      <w:r w:rsidRPr="00020424">
        <w:rPr>
          <w:rtl/>
          <w:lang w:bidi="fa-IR"/>
        </w:rPr>
        <w:t xml:space="preserve"> </w:t>
      </w:r>
      <w:r w:rsidRPr="00A91B96">
        <w:rPr>
          <w:rStyle w:val="libFootnotenumChar"/>
          <w:rtl/>
        </w:rPr>
        <w:t>(5)</w:t>
      </w:r>
      <w:r w:rsidRPr="00020424">
        <w:rPr>
          <w:rtl/>
          <w:lang w:bidi="fa-IR"/>
        </w:rPr>
        <w:t xml:space="preserve"> فَغُرَّةُ الشُّهُورِ </w:t>
      </w:r>
      <w:r w:rsidRPr="00A91B96">
        <w:rPr>
          <w:rStyle w:val="libFootnotenumChar"/>
          <w:rtl/>
        </w:rPr>
        <w:t>(6)</w:t>
      </w:r>
      <w:r w:rsidRPr="00020424">
        <w:rPr>
          <w:rtl/>
          <w:lang w:bidi="fa-IR"/>
        </w:rPr>
        <w:t xml:space="preserve"> شَهْرُ اللهِ عَزَّ ذِكْرُهُ ، وَهُوَ </w:t>
      </w:r>
      <w:r w:rsidRPr="00A91B96">
        <w:rPr>
          <w:rStyle w:val="libFootnotenumChar"/>
          <w:rtl/>
        </w:rPr>
        <w:t>(7)</w:t>
      </w:r>
      <w:r w:rsidRPr="00020424">
        <w:rPr>
          <w:rtl/>
          <w:lang w:bidi="fa-IR"/>
        </w:rPr>
        <w:t xml:space="preserve"> شَهْرُ رَمَضَانَ ، وَقَلْبُ شَهْرِ </w:t>
      </w:r>
      <w:r w:rsidRPr="00A91B96">
        <w:rPr>
          <w:rStyle w:val="libFootnotenumChar"/>
          <w:rtl/>
        </w:rPr>
        <w:t>(8)</w:t>
      </w:r>
      <w:r w:rsidRPr="00020424">
        <w:rPr>
          <w:rtl/>
          <w:lang w:bidi="fa-IR"/>
        </w:rPr>
        <w:t xml:space="preserve"> رَمَضَانَ لَيْلَةُ الْقَدْرِ ، وَنُزِّلَ الْقُرْآنُ فِي أَوَّلِ لَيْلَةٍ مِنْ شَهْرِ رَمَضَانَ ، فَاسْتَقْبِلِ الشَّهْرَ </w:t>
      </w:r>
      <w:r w:rsidRPr="00A91B96">
        <w:rPr>
          <w:rStyle w:val="libFootnotenumChar"/>
          <w:rtl/>
        </w:rPr>
        <w:t>(9)</w:t>
      </w:r>
      <w:r w:rsidRPr="00020424">
        <w:rPr>
          <w:rtl/>
          <w:lang w:bidi="fa-IR"/>
        </w:rPr>
        <w:t xml:space="preserve"> بِالْقُرْآنِ</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233DB" w:rsidTr="00E233DB">
        <w:tc>
          <w:tcPr>
            <w:tcW w:w="4006" w:type="dxa"/>
          </w:tcPr>
          <w:p w:rsidR="00E233DB" w:rsidRDefault="00E233DB" w:rsidP="00992664">
            <w:pPr>
              <w:pStyle w:val="libFootnote0"/>
              <w:rPr>
                <w:rtl/>
              </w:rPr>
            </w:pPr>
            <w:r>
              <w:rPr>
                <w:rtl/>
              </w:rPr>
              <w:t xml:space="preserve">(1). </w:t>
            </w:r>
            <w:r w:rsidRPr="00020424">
              <w:rPr>
                <w:rtl/>
              </w:rPr>
              <w:t>في « بر ، بف ، بك » :</w:t>
            </w:r>
            <w:r>
              <w:rPr>
                <w:rtl/>
              </w:rPr>
              <w:t xml:space="preserve"> - </w:t>
            </w:r>
            <w:r w:rsidRPr="00020424">
              <w:rPr>
                <w:rtl/>
              </w:rPr>
              <w:t>« الله</w:t>
            </w:r>
            <w:r>
              <w:rPr>
                <w:rtl/>
              </w:rPr>
              <w:t xml:space="preserve"> ».</w:t>
            </w:r>
          </w:p>
        </w:tc>
        <w:tc>
          <w:tcPr>
            <w:tcW w:w="4006" w:type="dxa"/>
          </w:tcPr>
          <w:p w:rsidR="00E233DB" w:rsidRDefault="00E233DB" w:rsidP="00992664">
            <w:pPr>
              <w:pStyle w:val="libFootnote0"/>
              <w:rPr>
                <w:rtl/>
              </w:rPr>
            </w:pPr>
            <w:r>
              <w:rPr>
                <w:rtl/>
              </w:rPr>
              <w:t xml:space="preserve">(2). </w:t>
            </w:r>
            <w:r w:rsidRPr="00020424">
              <w:rPr>
                <w:rtl/>
              </w:rPr>
              <w:t>في « جن » : « روحك وريحك</w:t>
            </w:r>
            <w:r>
              <w:rPr>
                <w:rtl/>
              </w:rPr>
              <w:t xml:space="preserve"> ».</w:t>
            </w:r>
          </w:p>
        </w:tc>
      </w:tr>
    </w:tbl>
    <w:p w:rsidR="00992664" w:rsidRPr="00020424" w:rsidRDefault="00795177" w:rsidP="00E233DB">
      <w:pPr>
        <w:pStyle w:val="libFootnote0"/>
        <w:rPr>
          <w:rtl/>
          <w:lang w:bidi="fa-IR"/>
        </w:rPr>
      </w:pPr>
      <w:r>
        <w:rPr>
          <w:rtl/>
        </w:rPr>
        <w:t>(3).</w:t>
      </w:r>
      <w:r w:rsidR="0014403D">
        <w:rPr>
          <w:rtl/>
        </w:rPr>
        <w:t xml:space="preserve"> </w:t>
      </w:r>
      <w:r w:rsidR="00992664" w:rsidRPr="00DE76B9">
        <w:rPr>
          <w:rStyle w:val="libFootnoteBoldChar"/>
          <w:rtl/>
        </w:rPr>
        <w:t>فضائل الأشهر الثلاثة</w:t>
      </w:r>
      <w:r w:rsidR="00992664" w:rsidRPr="00020424">
        <w:rPr>
          <w:rtl/>
        </w:rPr>
        <w:t xml:space="preserve"> ، ص 120 ، ح 119 ، بسنده عن محمّد بن يحيى العطّار ، عن سهل بن زياد الآدمي. </w:t>
      </w:r>
      <w:r w:rsidR="00992664" w:rsidRPr="00587829">
        <w:rPr>
          <w:rStyle w:val="libFootnoteBoldChar"/>
          <w:rtl/>
        </w:rPr>
        <w:t>الأمالي للصدوق</w:t>
      </w:r>
      <w:r w:rsidR="00992664" w:rsidRPr="00020424">
        <w:rPr>
          <w:rtl/>
        </w:rPr>
        <w:t xml:space="preserve"> ، ص 586 ، المجلس 86 ، ح 8 ، بسنده عن حسّان الرازي ، عن سهل بن زياد الواسطي. </w:t>
      </w:r>
      <w:r w:rsidR="00992664" w:rsidRPr="0012008A">
        <w:rPr>
          <w:rStyle w:val="libFootnoteBoldChar"/>
          <w:rtl/>
        </w:rPr>
        <w:t>ثواب الأعمال</w:t>
      </w:r>
      <w:r w:rsidR="00992664" w:rsidRPr="00020424">
        <w:rPr>
          <w:rtl/>
        </w:rPr>
        <w:t xml:space="preserve"> ، ص 52 ، ح 1 ، بسنده عن محمّد بن حسّان الرازي ، عن سهل بن زياد. </w:t>
      </w:r>
      <w:r w:rsidR="00992664" w:rsidRPr="0012008A">
        <w:rPr>
          <w:rStyle w:val="libFootnoteBoldChar"/>
          <w:rtl/>
        </w:rPr>
        <w:t>الفقيه</w:t>
      </w:r>
      <w:r w:rsidR="00992664" w:rsidRPr="00020424">
        <w:rPr>
          <w:rtl/>
        </w:rPr>
        <w:t xml:space="preserve"> ، ج 2 ، ص 76 ، ح 1781 ، مرسلاً من دون التصريح باسم المعصوم </w:t>
      </w:r>
      <w:r w:rsidR="00992664" w:rsidRPr="00D64ADA">
        <w:rPr>
          <w:rStyle w:val="libFootnoteAlaemChar"/>
          <w:rtl/>
        </w:rPr>
        <w:t>عليه‌السلام</w:t>
      </w:r>
      <w:r w:rsidR="00992664" w:rsidRPr="00020424">
        <w:rPr>
          <w:rtl/>
        </w:rPr>
        <w:t xml:space="preserve"> </w:t>
      </w:r>
      <w:r w:rsidR="00E233DB">
        <w:rPr>
          <w:rFonts w:hint="cs"/>
          <w:rtl/>
        </w:rPr>
        <w:t>.</w:t>
      </w:r>
      <w:r w:rsidR="00992664" w:rsidRPr="0012008A">
        <w:rPr>
          <w:rStyle w:val="libFootnoteBoldChar"/>
          <w:rtl/>
        </w:rPr>
        <w:t>الوافي</w:t>
      </w:r>
      <w:r w:rsidR="00992664" w:rsidRPr="00020424">
        <w:rPr>
          <w:rtl/>
        </w:rPr>
        <w:t xml:space="preserve"> ، ج 11 ، ص 27 ، ح 10353 ؛ </w:t>
      </w:r>
      <w:r w:rsidR="00992664" w:rsidRPr="0012008A">
        <w:rPr>
          <w:rStyle w:val="libFootnoteBoldChar"/>
          <w:rtl/>
        </w:rPr>
        <w:t>الوسائل</w:t>
      </w:r>
      <w:r w:rsidR="00992664" w:rsidRPr="00020424">
        <w:rPr>
          <w:rtl/>
        </w:rPr>
        <w:t xml:space="preserve"> ، ج 10 ، ص 409 ، ح 13719.</w:t>
      </w:r>
      <w:r w:rsidR="00E233DB">
        <w:rPr>
          <w:rFonts w:hint="cs"/>
          <w:rtl/>
        </w:rPr>
        <w:t xml:space="preserve">                             </w:t>
      </w:r>
      <w:r>
        <w:rPr>
          <w:rtl/>
        </w:rPr>
        <w:t>(4).</w:t>
      </w:r>
      <w:r w:rsidR="0014403D">
        <w:rPr>
          <w:rtl/>
        </w:rPr>
        <w:t xml:space="preserve"> </w:t>
      </w:r>
      <w:r w:rsidR="00992664" w:rsidRPr="00020424">
        <w:rPr>
          <w:rtl/>
        </w:rPr>
        <w:t>في فضائل الأشهر الثلاثة : « عمر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التوبة </w:t>
      </w:r>
      <w:r w:rsidR="00E233DB">
        <w:rPr>
          <w:rtl/>
        </w:rPr>
        <w:t>(9)</w:t>
      </w:r>
      <w:r w:rsidR="0014403D">
        <w:rPr>
          <w:rtl/>
        </w:rPr>
        <w:t xml:space="preserve"> </w:t>
      </w:r>
      <w:r w:rsidR="00992664" w:rsidRPr="00020424">
        <w:rPr>
          <w:rtl/>
        </w:rPr>
        <w:t>: 36.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أصل الغُرَّة : البياض الذي يكون في جبهة الفرس أو وجهه. وغرّة كلّ شي‌ء : أوّله وأكرمه. والنفيس من كلّ شي‌ء غرّة. وغرّة القوم : خيارهم وشريفهم. </w:t>
      </w:r>
      <w:r w:rsidR="00992664">
        <w:rPr>
          <w:rtl/>
        </w:rPr>
        <w:t>و «</w:t>
      </w:r>
      <w:r w:rsidR="00992664" w:rsidRPr="00020424">
        <w:rPr>
          <w:rtl/>
        </w:rPr>
        <w:t xml:space="preserve"> غرّة الشهور » أي ابتداؤها الواضع منها ، أو أشرفها وأفضلها ، أو المنوّر من بينها. راجع : </w:t>
      </w:r>
      <w:r w:rsidR="00992664" w:rsidRPr="0012008A">
        <w:rPr>
          <w:rStyle w:val="libFootnoteBoldChar"/>
          <w:rtl/>
        </w:rPr>
        <w:t>الصحاح</w:t>
      </w:r>
      <w:r w:rsidR="00992664" w:rsidRPr="00020424">
        <w:rPr>
          <w:rtl/>
        </w:rPr>
        <w:t xml:space="preserve"> ، ج 2 ، ص 767 ؛ </w:t>
      </w:r>
      <w:r w:rsidR="00992664" w:rsidRPr="0012008A">
        <w:rPr>
          <w:rStyle w:val="libFootnoteBoldChar"/>
          <w:rtl/>
        </w:rPr>
        <w:t>النهاية</w:t>
      </w:r>
      <w:r w:rsidR="00992664" w:rsidRPr="00020424">
        <w:rPr>
          <w:rtl/>
        </w:rPr>
        <w:t xml:space="preserve"> ، ج 3 ، ص 353 ( غرر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وهو</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قلب كلّ شي‌ء : لبّه وخالصه ومحضه. راجع : </w:t>
      </w:r>
      <w:r w:rsidR="00992664" w:rsidRPr="0012008A">
        <w:rPr>
          <w:rStyle w:val="libFootnoteBoldChar"/>
          <w:rtl/>
        </w:rPr>
        <w:t>النهاية</w:t>
      </w:r>
      <w:r w:rsidR="00992664" w:rsidRPr="00020424">
        <w:rPr>
          <w:rtl/>
        </w:rPr>
        <w:t xml:space="preserve"> ، ج 4 ، ص 96 ( قلب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فاستقبل الشهر بالقرآن ، أي أقبل معه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فاستقبل ، بصيغة الأمر ، أو على بناء المجهول ، والأوّل أظهر ، والمراد الأمر بتلاوته في أوّل ليلة منه ، ويحتمل التقديم أيضاً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192 ، ح 546 ، معلّقاً عن الكليني. وفي </w:t>
      </w:r>
      <w:r w:rsidR="00992664" w:rsidRPr="00587829">
        <w:rPr>
          <w:rStyle w:val="libFootnoteBoldChar"/>
          <w:rtl/>
        </w:rPr>
        <w:t>الأمالي للصدوق</w:t>
      </w:r>
      <w:r w:rsidR="00992664" w:rsidRPr="00020424">
        <w:rPr>
          <w:rtl/>
        </w:rPr>
        <w:t xml:space="preserve"> ، ص 62 ، المجلس 15 ، ح 4 ؛ </w:t>
      </w:r>
      <w:r w:rsidR="00992664" w:rsidRPr="00D27EE2">
        <w:rPr>
          <w:rStyle w:val="libFootnoteBoldChar"/>
          <w:rtl/>
        </w:rPr>
        <w:t>وفضائل الأشهر الثلاثة</w:t>
      </w:r>
      <w:r w:rsidR="00992664" w:rsidRPr="00020424">
        <w:rPr>
          <w:rtl/>
        </w:rPr>
        <w:t xml:space="preserve"> ، ص 87 ، ح 66 ، بسندهما عن عليّ بن إبراهيم. </w:t>
      </w:r>
      <w:r w:rsidR="00992664" w:rsidRPr="0012008A">
        <w:rPr>
          <w:rStyle w:val="libFootnoteBoldChar"/>
          <w:rtl/>
        </w:rPr>
        <w:t>الفقيه</w:t>
      </w:r>
      <w:r w:rsidR="00992664" w:rsidRPr="00020424">
        <w:rPr>
          <w:rtl/>
        </w:rPr>
        <w:t xml:space="preserve"> ، ج 2 ، ص 99 ، ح 1843 ، </w:t>
      </w:r>
      <w:r w:rsidR="00D51AE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37A9E">
        <w:rPr>
          <w:rtl/>
        </w:rPr>
        <w:t>6270</w:t>
      </w:r>
      <w:r w:rsidRPr="001155DE">
        <w:rPr>
          <w:rStyle w:val="libBold2Char"/>
          <w:rtl/>
        </w:rPr>
        <w:t xml:space="preserve"> / 2.</w:t>
      </w:r>
      <w:r w:rsidRPr="00020424">
        <w:rPr>
          <w:rtl/>
          <w:lang w:bidi="fa-IR"/>
        </w:rPr>
        <w:t xml:space="preserve"> أَحْمَدُ بْنُ إِدْرِيسَ ، عَنْ مُحَمَّدِ بْنِ عَبْدِ الْجَبَّارِ ، عَنْ صَفْوَانَ ، عَنْ إِسْحَاقَ بْنِ عَمَّارٍ ، عَنِ الْمِسْمَعِيِّ :</w:t>
      </w:r>
    </w:p>
    <w:p w:rsidR="00992664" w:rsidRPr="00020424" w:rsidRDefault="00992664" w:rsidP="00992664">
      <w:pPr>
        <w:pStyle w:val="libNormal"/>
        <w:rPr>
          <w:rtl/>
          <w:lang w:bidi="fa-IR"/>
        </w:rPr>
      </w:pPr>
      <w:r w:rsidRPr="00020424">
        <w:rPr>
          <w:rtl/>
          <w:lang w:bidi="fa-IR"/>
        </w:rPr>
        <w:t xml:space="preserve">أَنَّهُ سَمِعَ أَبَا عَبْدِ اللهِ </w:t>
      </w:r>
      <w:r w:rsidRPr="00005A81">
        <w:rPr>
          <w:rStyle w:val="libAlaemChar"/>
          <w:rtl/>
        </w:rPr>
        <w:t>عليه‌السلام</w:t>
      </w:r>
      <w:r w:rsidRPr="00020424">
        <w:rPr>
          <w:rtl/>
          <w:lang w:bidi="fa-IR"/>
        </w:rPr>
        <w:t xml:space="preserve"> يُوصِي وُلْدَهُ : « إِذَا دَخَلَ شَهْرُ رَمَضَانَ ، فَاجْهَدُوا أَنْفُسَكُمْ </w:t>
      </w:r>
      <w:r w:rsidRPr="00A91B96">
        <w:rPr>
          <w:rStyle w:val="libFootnotenumChar"/>
          <w:rtl/>
        </w:rPr>
        <w:t>(1)</w:t>
      </w:r>
      <w:r w:rsidRPr="00020424">
        <w:rPr>
          <w:rtl/>
          <w:lang w:bidi="fa-IR"/>
        </w:rPr>
        <w:t xml:space="preserve"> ، فَإِنَّ </w:t>
      </w:r>
      <w:r w:rsidRPr="00A91B96">
        <w:rPr>
          <w:rStyle w:val="libFootnotenumChar"/>
          <w:rtl/>
        </w:rPr>
        <w:t>(2)</w:t>
      </w:r>
      <w:r w:rsidRPr="00020424">
        <w:rPr>
          <w:rtl/>
          <w:lang w:bidi="fa-IR"/>
        </w:rPr>
        <w:t xml:space="preserve"> فِيهِ تُقَسَّمُ الْأَرْزَاقُ ، وَتُكْتَبُ </w:t>
      </w:r>
      <w:r w:rsidRPr="00A91B96">
        <w:rPr>
          <w:rStyle w:val="libFootnotenumChar"/>
          <w:rtl/>
        </w:rPr>
        <w:t>(3)</w:t>
      </w:r>
      <w:r w:rsidRPr="00020424">
        <w:rPr>
          <w:rtl/>
          <w:lang w:bidi="fa-IR"/>
        </w:rPr>
        <w:t xml:space="preserve"> الْآجَالُ ، وَفِيهِ يُكْتَبُ وَفْدُ </w:t>
      </w:r>
      <w:r w:rsidRPr="00A91B96">
        <w:rPr>
          <w:rStyle w:val="libFootnotenumChar"/>
          <w:rtl/>
        </w:rPr>
        <w:t>(4)</w:t>
      </w:r>
      <w:r w:rsidRPr="00020424">
        <w:rPr>
          <w:rtl/>
          <w:lang w:bidi="fa-IR"/>
        </w:rPr>
        <w:t xml:space="preserve"> اللهِ الَّذِينَ يَفِدُونَ إِلَيْهِ ، وَفِيهِ لَيْلَةٌ الْعَمَلُ فِيهَا خَيْرٌ مِنَ الْعَمَلِ فِي </w:t>
      </w:r>
      <w:r w:rsidRPr="00A91B96">
        <w:rPr>
          <w:rStyle w:val="libFootnotenumChar"/>
          <w:rtl/>
        </w:rPr>
        <w:t>(5)</w:t>
      </w:r>
      <w:r w:rsidRPr="00020424">
        <w:rPr>
          <w:rtl/>
          <w:lang w:bidi="fa-IR"/>
        </w:rPr>
        <w:t xml:space="preserve"> أَلْفِ شَهْرٍ</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37A9E">
        <w:rPr>
          <w:rtl/>
        </w:rPr>
        <w:t>6271</w:t>
      </w:r>
      <w:r w:rsidRPr="001155DE">
        <w:rPr>
          <w:rStyle w:val="libBold2Char"/>
          <w:rtl/>
        </w:rPr>
        <w:t xml:space="preserve"> / 3.</w:t>
      </w:r>
      <w:r w:rsidRPr="00020424">
        <w:rPr>
          <w:rtl/>
          <w:lang w:bidi="fa-IR"/>
        </w:rPr>
        <w:t xml:space="preserve"> مُحَمَّدُ بْنُ إِسْمَاعِيلَ ، عَنِ الْفَضْلِ بْنِ شَاذَانَ ، عَنِ ابْنِ أَبِي عُمَيْرٍ ، عَنْ هِشَامِ بْنِ الْحَكَمِ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لَمْ يُغْفَرْ لَهُ فِي شَهْرِ رَمَضَانَ ، لَمْ يُغْفَرْ لَهُ إِلى قَابِلٍ إِلاَّ أَنْ يَشْهَدَ عَرَفَةَ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081A48" w:rsidP="00992664">
      <w:pPr>
        <w:pStyle w:val="libFootnote0"/>
        <w:rPr>
          <w:rtl/>
          <w:lang w:bidi="fa-IR"/>
        </w:rPr>
      </w:pPr>
      <w:r>
        <w:rPr>
          <w:rFonts w:hint="cs"/>
          <w:rtl/>
        </w:rPr>
        <w:t xml:space="preserve">= </w:t>
      </w:r>
      <w:r w:rsidR="00992664" w:rsidRPr="00020424">
        <w:rPr>
          <w:rtl/>
        </w:rPr>
        <w:t xml:space="preserve">مرسلاً </w:t>
      </w:r>
      <w:r>
        <w:rPr>
          <w:rFonts w:hint="cs"/>
          <w:rtl/>
        </w:rPr>
        <w:t>.</w:t>
      </w:r>
      <w:r w:rsidR="00992664" w:rsidRPr="0012008A">
        <w:rPr>
          <w:rStyle w:val="libFootnoteBoldChar"/>
          <w:rtl/>
        </w:rPr>
        <w:t>الوافي</w:t>
      </w:r>
      <w:r w:rsidR="00992664" w:rsidRPr="00020424">
        <w:rPr>
          <w:rtl/>
        </w:rPr>
        <w:t xml:space="preserve"> ، ج 11 ، ص 363 ، ح 11030 ؛ </w:t>
      </w:r>
      <w:r w:rsidR="00992664" w:rsidRPr="0012008A">
        <w:rPr>
          <w:rStyle w:val="libFootnoteBoldChar"/>
          <w:rtl/>
        </w:rPr>
        <w:t>الوسائل</w:t>
      </w:r>
      <w:r w:rsidR="00992664" w:rsidRPr="00020424">
        <w:rPr>
          <w:rtl/>
        </w:rPr>
        <w:t xml:space="preserve"> ، ج 10 ، ص 305 ، ح 13482 ؛ </w:t>
      </w:r>
      <w:r w:rsidR="00992664" w:rsidRPr="0012008A">
        <w:rPr>
          <w:rStyle w:val="libFootnoteBoldChar"/>
          <w:rtl/>
        </w:rPr>
        <w:t>البحار</w:t>
      </w:r>
      <w:r w:rsidR="00992664" w:rsidRPr="00020424">
        <w:rPr>
          <w:rtl/>
        </w:rPr>
        <w:t xml:space="preserve"> ، ج 55 ، ص 367 ، ح 9.</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فاجهدوا أنفسكم » أي احملوا عليها فوق طاقتها ؛ يقال : جَهَدَ دابّته وأجهدها ، إذا حمل عليها في السير فوق‌طاقتها. راجع : </w:t>
      </w:r>
      <w:r w:rsidR="00992664" w:rsidRPr="00DE76B9">
        <w:rPr>
          <w:rStyle w:val="libFootnoteBoldChar"/>
          <w:rtl/>
        </w:rPr>
        <w:t>ترتيب كتاب العين</w:t>
      </w:r>
      <w:r w:rsidR="00992664" w:rsidRPr="00020424">
        <w:rPr>
          <w:rtl/>
        </w:rPr>
        <w:t xml:space="preserve"> ، ج 1 ، ص 325 ؛ </w:t>
      </w:r>
      <w:r w:rsidR="00992664" w:rsidRPr="0012008A">
        <w:rPr>
          <w:rStyle w:val="libFootnoteBoldChar"/>
          <w:rtl/>
        </w:rPr>
        <w:t>الصحاح</w:t>
      </w:r>
      <w:r w:rsidR="00992664" w:rsidRPr="00020424">
        <w:rPr>
          <w:rtl/>
        </w:rPr>
        <w:t xml:space="preserve"> ، ج 2 ، ص 460 ( جهد )</w:t>
      </w:r>
      <w:r w:rsidR="00992664">
        <w:rPr>
          <w:rtl/>
        </w:rPr>
        <w:t>.</w:t>
      </w:r>
    </w:p>
    <w:tbl>
      <w:tblPr>
        <w:tblStyle w:val="TableGrid"/>
        <w:bidiVisual/>
        <w:tblW w:w="0" w:type="auto"/>
        <w:tblLook w:val="04A0" w:firstRow="1" w:lastRow="0" w:firstColumn="1" w:lastColumn="0" w:noHBand="0" w:noVBand="1"/>
      </w:tblPr>
      <w:tblGrid>
        <w:gridCol w:w="4006"/>
        <w:gridCol w:w="4006"/>
      </w:tblGrid>
      <w:tr w:rsidR="00081A48" w:rsidTr="00081A48">
        <w:tc>
          <w:tcPr>
            <w:tcW w:w="4006" w:type="dxa"/>
          </w:tcPr>
          <w:p w:rsidR="00081A48" w:rsidRDefault="00081A48" w:rsidP="00992664">
            <w:pPr>
              <w:pStyle w:val="libFootnote0"/>
              <w:rPr>
                <w:rtl/>
              </w:rPr>
            </w:pPr>
            <w:r>
              <w:rPr>
                <w:rtl/>
              </w:rPr>
              <w:t xml:space="preserve">(2). </w:t>
            </w:r>
            <w:r w:rsidRPr="00020424">
              <w:rPr>
                <w:rtl/>
              </w:rPr>
              <w:t>في « بف » : « وإنّ</w:t>
            </w:r>
            <w:r>
              <w:rPr>
                <w:rtl/>
              </w:rPr>
              <w:t xml:space="preserve"> ».</w:t>
            </w:r>
          </w:p>
        </w:tc>
        <w:tc>
          <w:tcPr>
            <w:tcW w:w="4006" w:type="dxa"/>
          </w:tcPr>
          <w:p w:rsidR="00081A48" w:rsidRDefault="00081A48" w:rsidP="00992664">
            <w:pPr>
              <w:pStyle w:val="libFootnote0"/>
              <w:rPr>
                <w:rtl/>
              </w:rPr>
            </w:pPr>
            <w:r>
              <w:rPr>
                <w:rtl/>
              </w:rPr>
              <w:t xml:space="preserve">(3). </w:t>
            </w:r>
            <w:r w:rsidRPr="00020424">
              <w:rPr>
                <w:rtl/>
              </w:rPr>
              <w:t>في فضائل الأشهر الثلاثة : « ويثبت</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قال ابن الأثير : « الوَفْد : هم القوم يجتمعون ويردون البلاد ، واحدهم : وافد ، وكذلك الذين يقصدون الا</w:t>
      </w:r>
      <w:r w:rsidR="00D632A3">
        <w:rPr>
          <w:rFonts w:hint="cs"/>
          <w:rtl/>
        </w:rPr>
        <w:t>ُ</w:t>
      </w:r>
      <w:r w:rsidR="00992664" w:rsidRPr="00020424">
        <w:rPr>
          <w:rtl/>
        </w:rPr>
        <w:t>مراء لزيارة واسترفاد وانتجاع وغير ذلك</w:t>
      </w:r>
      <w:r w:rsidR="00992664">
        <w:rPr>
          <w:rtl/>
        </w:rPr>
        <w:t xml:space="preserve"> ».</w:t>
      </w:r>
      <w:r w:rsidR="00992664" w:rsidRPr="00020424">
        <w:rPr>
          <w:rtl/>
        </w:rPr>
        <w:t xml:space="preserve"> كنّي بهم عن حجّاج بيت الله الحرام ، فكأنّهم وفد الله تعالى وأضيافه نزلوا عليه رجاء برّه وإكرامه. </w:t>
      </w:r>
      <w:r w:rsidR="00992664" w:rsidRPr="0012008A">
        <w:rPr>
          <w:rStyle w:val="libFootnoteBoldChar"/>
          <w:rtl/>
        </w:rPr>
        <w:t>النهاية</w:t>
      </w:r>
      <w:r w:rsidR="00992664" w:rsidRPr="00020424">
        <w:rPr>
          <w:rtl/>
        </w:rPr>
        <w:t xml:space="preserve"> ، ج 5 ، ص 209 ( وفد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العمل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192 ، ح 547 ، معلّقاً عن الكليني. وفي </w:t>
      </w:r>
      <w:r w:rsidR="00992664" w:rsidRPr="00DE76B9">
        <w:rPr>
          <w:rStyle w:val="libFootnoteBoldChar"/>
          <w:rtl/>
        </w:rPr>
        <w:t>فضائل الأشهر الثلاثة</w:t>
      </w:r>
      <w:r w:rsidR="00992664" w:rsidRPr="00020424">
        <w:rPr>
          <w:rtl/>
        </w:rPr>
        <w:t xml:space="preserve"> ، ص 103 ، ح 90 ؛ وص 123 ، ح 129 ، بسندهما عن أحمد بن إدريس ، عن محمّد بن عبدالجبّار ، عن صفوان بن يحيى. </w:t>
      </w:r>
      <w:r w:rsidR="00992664" w:rsidRPr="0012008A">
        <w:rPr>
          <w:rStyle w:val="libFootnoteBoldChar"/>
          <w:rtl/>
        </w:rPr>
        <w:t>الفقيه</w:t>
      </w:r>
      <w:r w:rsidR="00992664" w:rsidRPr="00020424">
        <w:rPr>
          <w:rtl/>
        </w:rPr>
        <w:t xml:space="preserve"> ، ج 2 ، ص 99 ، ح 1842 ، مرسلاً. وراجع : </w:t>
      </w:r>
      <w:r w:rsidR="00992664" w:rsidRPr="00DE76B9">
        <w:rPr>
          <w:rStyle w:val="libFootnoteBoldChar"/>
          <w:rtl/>
        </w:rPr>
        <w:t>الكافي</w:t>
      </w:r>
      <w:r w:rsidR="00992664" w:rsidRPr="00020424">
        <w:rPr>
          <w:rtl/>
        </w:rPr>
        <w:t xml:space="preserve"> ، كتاب الصيام ، باب في ليلة القدر ، ح 6622 </w:t>
      </w:r>
      <w:r w:rsidR="00D632A3">
        <w:rPr>
          <w:rFonts w:hint="cs"/>
          <w:rtl/>
        </w:rPr>
        <w:t>.</w:t>
      </w:r>
      <w:r w:rsidR="00992664" w:rsidRPr="0012008A">
        <w:rPr>
          <w:rStyle w:val="libFootnoteBoldChar"/>
          <w:rtl/>
        </w:rPr>
        <w:t>الوافي</w:t>
      </w:r>
      <w:r w:rsidR="00992664" w:rsidRPr="00020424">
        <w:rPr>
          <w:rtl/>
        </w:rPr>
        <w:t xml:space="preserve"> ، ج 11 ، ص 364 ، ح 11031 ؛ </w:t>
      </w:r>
      <w:r w:rsidR="00992664" w:rsidRPr="0012008A">
        <w:rPr>
          <w:rStyle w:val="libFootnoteBoldChar"/>
          <w:rtl/>
        </w:rPr>
        <w:t>الوسائل</w:t>
      </w:r>
      <w:r w:rsidR="00992664" w:rsidRPr="00020424">
        <w:rPr>
          <w:rtl/>
        </w:rPr>
        <w:t xml:space="preserve"> ، ج 10 ، ص 305 ، ح 13481.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أنّه ليس في أيّام السنة كلّها من أسباب المغفرة ما في أيّام شهر رمضان وشهود عرفة ، فمن لم يغفر له فيهما فبالحريّ أن لا يغفر له في غيرهما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192 ، ح 548 ، معلّقاً عن الكليني. </w:t>
      </w:r>
      <w:r w:rsidR="00992664" w:rsidRPr="00DE76B9">
        <w:rPr>
          <w:rStyle w:val="libFootnoteBoldChar"/>
          <w:rtl/>
        </w:rPr>
        <w:t>فضائل الأشهر الثلاثة</w:t>
      </w:r>
      <w:r w:rsidR="00992664" w:rsidRPr="00020424">
        <w:rPr>
          <w:rtl/>
        </w:rPr>
        <w:t xml:space="preserve"> ، ص 123 ، ح 128 ، بسنده عن ابن </w:t>
      </w:r>
      <w:r w:rsidR="00D632A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82A8F">
        <w:rPr>
          <w:rtl/>
        </w:rPr>
        <w:t>6272</w:t>
      </w:r>
      <w:r w:rsidRPr="001155DE">
        <w:rPr>
          <w:rStyle w:val="libBold2Char"/>
          <w:rtl/>
        </w:rPr>
        <w:t xml:space="preserve"> / 4.</w:t>
      </w:r>
      <w:r w:rsidRPr="00020424">
        <w:rPr>
          <w:rtl/>
          <w:lang w:bidi="fa-IR"/>
        </w:rPr>
        <w:t xml:space="preserve"> مُحَمَّدُ بْنُ يَحْيى وَغَيْرُهُ ، عَنْ أَحْمَدَ بْنِ مُحَمَّدِ بْنِ عِيسى ، عَنِ الْحَسَنِ بْنِ مَحْبُوبٍ ، عَنْ أَبِي أَيُّوبَ ، عَنْ أَبِي الْوَرْدِ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خَطَبَ رَسُولُ اللهِ </w:t>
      </w:r>
      <w:r w:rsidR="00B42914" w:rsidRPr="00B42914">
        <w:rPr>
          <w:rStyle w:val="libAlaemChar"/>
          <w:rtl/>
        </w:rPr>
        <w:t>صلى‌الله‌عليه‌وآله‌</w:t>
      </w:r>
      <w:r w:rsidRPr="00020424">
        <w:rPr>
          <w:rtl/>
          <w:lang w:bidi="fa-IR"/>
        </w:rPr>
        <w:t xml:space="preserve"> النَّاسَ فِي آخِرِ جُمُعَةٍ مِنْ شَعْبَانَ ، فَحَمِدَ اللهَ وَأَثْنى عَلَيْهِ ، ثُمَّ قَالَ : أَيُّهَا </w:t>
      </w:r>
      <w:r w:rsidRPr="00A91B96">
        <w:rPr>
          <w:rStyle w:val="libFootnotenumChar"/>
          <w:rtl/>
        </w:rPr>
        <w:t>(1)</w:t>
      </w:r>
      <w:r w:rsidRPr="00020424">
        <w:rPr>
          <w:rtl/>
          <w:lang w:bidi="fa-IR"/>
        </w:rPr>
        <w:t xml:space="preserve"> النَّاسُ ، إِنَّهُ قَدْ أَظَلَّكُمْ </w:t>
      </w:r>
      <w:r w:rsidRPr="00A91B96">
        <w:rPr>
          <w:rStyle w:val="libFootnotenumChar"/>
          <w:rtl/>
        </w:rPr>
        <w:t>(2)</w:t>
      </w:r>
      <w:r w:rsidRPr="00020424">
        <w:rPr>
          <w:rtl/>
          <w:lang w:bidi="fa-IR"/>
        </w:rPr>
        <w:t xml:space="preserve"> شَهْرٌ فِيهِ لَيْلَةٌ خَيْرٌ مِنْ أَلْفِ شَهْرٍ ، وَهُوَ شَهْرُ رَمَضَانَ فَرَضَ اللهُ صِيَامَهُ ، وَجَعَلَ قِيَامَ لَيْلَةٍ فِيهِ </w:t>
      </w:r>
      <w:r w:rsidRPr="00A91B96">
        <w:rPr>
          <w:rStyle w:val="libFootnotenumChar"/>
          <w:rtl/>
        </w:rPr>
        <w:t>(3)</w:t>
      </w:r>
      <w:r w:rsidRPr="00020424">
        <w:rPr>
          <w:rtl/>
          <w:lang w:bidi="fa-IR"/>
        </w:rPr>
        <w:t xml:space="preserve"> بِتَطَوُّعِ صَلَاةٍ </w:t>
      </w:r>
      <w:r w:rsidRPr="00A91B96">
        <w:rPr>
          <w:rStyle w:val="libFootnotenumChar"/>
          <w:rtl/>
        </w:rPr>
        <w:t>(4)</w:t>
      </w:r>
      <w:r w:rsidRPr="00020424">
        <w:rPr>
          <w:rtl/>
          <w:lang w:bidi="fa-IR"/>
        </w:rPr>
        <w:t xml:space="preserve"> كَتَطَوُّعِ صَلَاةِ سَبْعِينَ لَيْلَةً فِيمَا سِوَاهُ مِنَ الشُّهُورِ ، وَجَعَلَ لِمَنْ تَطَوَّعَ فِيهِ بِخَصْلَةٍ </w:t>
      </w:r>
      <w:r w:rsidRPr="00A91B96">
        <w:rPr>
          <w:rStyle w:val="libFootnotenumChar"/>
          <w:rtl/>
        </w:rPr>
        <w:t>(5)</w:t>
      </w:r>
      <w:r w:rsidRPr="00020424">
        <w:rPr>
          <w:rtl/>
          <w:lang w:bidi="fa-IR"/>
        </w:rPr>
        <w:t xml:space="preserve"> مِنْ خِصَالِ الْخَيْرِ وَالْبِرِّ </w:t>
      </w:r>
      <w:r w:rsidRPr="00A91B96">
        <w:rPr>
          <w:rStyle w:val="libFootnotenumChar"/>
          <w:rtl/>
        </w:rPr>
        <w:t>(6)</w:t>
      </w:r>
      <w:r w:rsidRPr="00020424">
        <w:rPr>
          <w:rtl/>
          <w:lang w:bidi="fa-IR"/>
        </w:rPr>
        <w:t xml:space="preserve"> كَأَجْرِ مَنْ أَدّى فَرِيضَةً مِنْ فَرَائِضِ اللهِ عَزَّ وَجَلَّ ، وَمَنْ أَدّى فِيهِ </w:t>
      </w:r>
      <w:r w:rsidRPr="00A91B96">
        <w:rPr>
          <w:rStyle w:val="libFootnotenumChar"/>
          <w:rtl/>
        </w:rPr>
        <w:t>(7)</w:t>
      </w:r>
      <w:r w:rsidRPr="00020424">
        <w:rPr>
          <w:rtl/>
          <w:lang w:bidi="fa-IR"/>
        </w:rPr>
        <w:t xml:space="preserve"> فَرِيضَةً مِنْ فَرَائِضِ اللهِ ، كَانَ كَمَنْ أَدّى سَبْعِينَ فَرِيضَةً مِنْ فَرَائِضِ اللهِ فِيمَا سِوَاهُ مِنَ الشُّهُورِ ، وَهُوَ شَهْرُ الصَّبْرِ </w:t>
      </w:r>
      <w:r w:rsidRPr="00A91B96">
        <w:rPr>
          <w:rStyle w:val="libFootnotenumChar"/>
          <w:rtl/>
        </w:rPr>
        <w:t>(8)</w:t>
      </w:r>
      <w:r w:rsidRPr="00020424">
        <w:rPr>
          <w:rtl/>
          <w:lang w:bidi="fa-IR"/>
        </w:rPr>
        <w:t xml:space="preserve"> ، وَإِنَّ الصَّبْرَ ثَوَابُهُ الْجَنَّةُ ، وَشَهْرُ </w:t>
      </w:r>
      <w:r w:rsidRPr="00A91B96">
        <w:rPr>
          <w:rStyle w:val="libFootnotenumChar"/>
          <w:rtl/>
        </w:rPr>
        <w:t>(9)</w:t>
      </w:r>
      <w:r w:rsidRPr="00020424">
        <w:rPr>
          <w:rtl/>
          <w:lang w:bidi="fa-IR"/>
        </w:rPr>
        <w:t xml:space="preserve"> الْمُوَاسَاةِ </w:t>
      </w:r>
      <w:r w:rsidRPr="00A91B96">
        <w:rPr>
          <w:rStyle w:val="libFootnotenumChar"/>
          <w:rtl/>
        </w:rPr>
        <w:t>(10)</w:t>
      </w:r>
      <w:r w:rsidRPr="00020424">
        <w:rPr>
          <w:rtl/>
          <w:lang w:bidi="fa-IR"/>
        </w:rPr>
        <w:t xml:space="preserve"> ، وَهُوَ‌</w:t>
      </w:r>
    </w:p>
    <w:p w:rsidR="00992664" w:rsidRPr="00020424" w:rsidRDefault="00992664" w:rsidP="00992664">
      <w:pPr>
        <w:pStyle w:val="libLine"/>
        <w:rPr>
          <w:rtl/>
          <w:lang w:bidi="fa-IR"/>
        </w:rPr>
      </w:pPr>
      <w:r w:rsidRPr="00020424">
        <w:rPr>
          <w:rtl/>
          <w:lang w:bidi="fa-IR"/>
        </w:rPr>
        <w:t>__________________</w:t>
      </w:r>
    </w:p>
    <w:p w:rsidR="00992664" w:rsidRPr="00020424" w:rsidRDefault="00995F01" w:rsidP="00992664">
      <w:pPr>
        <w:pStyle w:val="libFootnote0"/>
        <w:rPr>
          <w:rtl/>
          <w:lang w:bidi="fa-IR"/>
        </w:rPr>
      </w:pPr>
      <w:r>
        <w:rPr>
          <w:rFonts w:hint="cs"/>
          <w:rtl/>
        </w:rPr>
        <w:t xml:space="preserve">= </w:t>
      </w:r>
      <w:r w:rsidR="00992664" w:rsidRPr="00020424">
        <w:rPr>
          <w:rtl/>
        </w:rPr>
        <w:t xml:space="preserve">أبي عمير. </w:t>
      </w:r>
      <w:r w:rsidR="00992664" w:rsidRPr="0012008A">
        <w:rPr>
          <w:rStyle w:val="libFootnoteBoldChar"/>
          <w:rtl/>
        </w:rPr>
        <w:t>الفقيه</w:t>
      </w:r>
      <w:r w:rsidR="00992664" w:rsidRPr="00020424">
        <w:rPr>
          <w:rtl/>
        </w:rPr>
        <w:t xml:space="preserve"> ، ج 2 ، ص 99 ، ح 1841 ، معلّقاً عن هشام بن الحكم. </w:t>
      </w:r>
      <w:r w:rsidR="00992664" w:rsidRPr="00DE76B9">
        <w:rPr>
          <w:rStyle w:val="libFootnoteBoldChar"/>
          <w:rtl/>
        </w:rPr>
        <w:t>فضائل الأشهر الثلاثة</w:t>
      </w:r>
      <w:r w:rsidR="00992664" w:rsidRPr="00020424">
        <w:rPr>
          <w:rtl/>
        </w:rPr>
        <w:t xml:space="preserve"> ، ص 100 ، ح 86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ص 117 ، ضمن ح 112 ، بسند آخر عن الحسن بن عليّ بن أبي طالب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الأخيرين إلى قوله : « لم يغفر له إلى قابل</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309 ، مرسلاً </w:t>
      </w:r>
      <w:r w:rsidR="00886B5F">
        <w:rPr>
          <w:rFonts w:hint="cs"/>
          <w:rtl/>
        </w:rPr>
        <w:t>.</w:t>
      </w:r>
      <w:r w:rsidR="00992664" w:rsidRPr="0012008A">
        <w:rPr>
          <w:rStyle w:val="libFootnoteBoldChar"/>
          <w:rtl/>
        </w:rPr>
        <w:t>الوافي</w:t>
      </w:r>
      <w:r w:rsidR="00992664" w:rsidRPr="00020424">
        <w:rPr>
          <w:rtl/>
        </w:rPr>
        <w:t xml:space="preserve"> ، ج 11 ، ص 364 ، ح 11032 ؛ </w:t>
      </w:r>
      <w:r w:rsidR="00992664" w:rsidRPr="0012008A">
        <w:rPr>
          <w:rStyle w:val="libFootnoteBoldChar"/>
          <w:rtl/>
        </w:rPr>
        <w:t>الوسائل</w:t>
      </w:r>
      <w:r w:rsidR="00992664" w:rsidRPr="00020424">
        <w:rPr>
          <w:rtl/>
        </w:rPr>
        <w:t xml:space="preserve"> ، ج 10 ، ص 305 ، ذيل ح 13480.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يا أيّها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أي أقبل عليكم ودنا منكم ، كأنّه ألقى عليكم ظلّه</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3 ، ص 160 ( ظلل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بس » </w:t>
      </w:r>
      <w:r w:rsidR="00992664" w:rsidRPr="00D27EE2">
        <w:rPr>
          <w:rStyle w:val="libFootnoteBoldChar"/>
          <w:rtl/>
        </w:rPr>
        <w:t>وفضائل الأشهر الثلاثة</w:t>
      </w:r>
      <w:r w:rsidR="00992664" w:rsidRPr="00020424">
        <w:rPr>
          <w:rtl/>
        </w:rPr>
        <w:t xml:space="preserve"> ، ص 71 : « منه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بك » </w:t>
      </w:r>
      <w:r w:rsidR="00992664" w:rsidRPr="00515444">
        <w:rPr>
          <w:rStyle w:val="libFootnoteBoldChar"/>
          <w:rtl/>
        </w:rPr>
        <w:t>والتهذيب</w:t>
      </w:r>
      <w:r w:rsidR="00992664" w:rsidRPr="00020424">
        <w:rPr>
          <w:rtl/>
        </w:rPr>
        <w:t xml:space="preserve"> ، ص 152 :</w:t>
      </w:r>
      <w:r w:rsidR="00992664">
        <w:rPr>
          <w:rtl/>
        </w:rPr>
        <w:t xml:space="preserve"> </w:t>
      </w:r>
      <w:r w:rsidR="009B673F">
        <w:rPr>
          <w:rtl/>
        </w:rPr>
        <w:t>-</w:t>
      </w:r>
      <w:r w:rsidR="00992664">
        <w:rPr>
          <w:rtl/>
        </w:rPr>
        <w:t xml:space="preserve"> </w:t>
      </w:r>
      <w:r w:rsidR="00992664" w:rsidRPr="00020424">
        <w:rPr>
          <w:rtl/>
        </w:rPr>
        <w:t>« صلاة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بث ، بخ ، بر ، بس ، بف ، بك » :</w:t>
      </w:r>
      <w:r w:rsidR="00992664">
        <w:rPr>
          <w:rtl/>
        </w:rPr>
        <w:t xml:space="preserve"> </w:t>
      </w:r>
      <w:r w:rsidR="009B673F">
        <w:rPr>
          <w:rtl/>
        </w:rPr>
        <w:t>-</w:t>
      </w:r>
      <w:r w:rsidR="00992664">
        <w:rPr>
          <w:rtl/>
        </w:rPr>
        <w:t xml:space="preserve"> </w:t>
      </w:r>
      <w:r w:rsidR="00992664" w:rsidRPr="00020424">
        <w:rPr>
          <w:rtl/>
        </w:rPr>
        <w:t>« بخصلة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47D9F" w:rsidTr="00147D9F">
        <w:tc>
          <w:tcPr>
            <w:tcW w:w="4006" w:type="dxa"/>
          </w:tcPr>
          <w:p w:rsidR="00147D9F" w:rsidRDefault="00147D9F" w:rsidP="00992664">
            <w:pPr>
              <w:pStyle w:val="libFootnote0"/>
              <w:rPr>
                <w:rtl/>
              </w:rPr>
            </w:pPr>
            <w:r>
              <w:rPr>
                <w:rtl/>
              </w:rPr>
              <w:t xml:space="preserve">(6). </w:t>
            </w:r>
            <w:r w:rsidRPr="00020424">
              <w:rPr>
                <w:rtl/>
              </w:rPr>
              <w:t>في « بث » : « والبركة</w:t>
            </w:r>
            <w:r>
              <w:rPr>
                <w:rtl/>
              </w:rPr>
              <w:t xml:space="preserve"> ».</w:t>
            </w:r>
          </w:p>
        </w:tc>
        <w:tc>
          <w:tcPr>
            <w:tcW w:w="4006" w:type="dxa"/>
          </w:tcPr>
          <w:p w:rsidR="00147D9F" w:rsidRDefault="00147D9F" w:rsidP="00992664">
            <w:pPr>
              <w:pStyle w:val="libFootnote0"/>
              <w:rPr>
                <w:rtl/>
              </w:rPr>
            </w:pPr>
            <w:r>
              <w:rPr>
                <w:rtl/>
              </w:rPr>
              <w:t xml:space="preserve">(7). </w:t>
            </w:r>
            <w:r w:rsidRPr="00020424">
              <w:rPr>
                <w:rtl/>
              </w:rPr>
              <w:t xml:space="preserve">في « بخ » </w:t>
            </w:r>
            <w:r w:rsidRPr="00FD6221">
              <w:rPr>
                <w:rStyle w:val="libFootnoteBoldChar"/>
                <w:rtl/>
              </w:rPr>
              <w:t>والفقيه</w:t>
            </w:r>
            <w:r w:rsidRPr="00020424">
              <w:rPr>
                <w:rtl/>
              </w:rPr>
              <w:t xml:space="preserve"> </w:t>
            </w:r>
            <w:r w:rsidRPr="006C7A1F">
              <w:rPr>
                <w:rStyle w:val="libFootnoteBoldChar"/>
                <w:rtl/>
              </w:rPr>
              <w:t>وثواب الأعمال</w:t>
            </w:r>
            <w:r w:rsidRPr="00020424">
              <w:rPr>
                <w:rtl/>
              </w:rPr>
              <w:t xml:space="preserve"> :</w:t>
            </w:r>
            <w:r>
              <w:rPr>
                <w:rtl/>
              </w:rPr>
              <w:t xml:space="preserve"> - </w:t>
            </w:r>
            <w:r w:rsidRPr="00020424">
              <w:rPr>
                <w:rtl/>
              </w:rPr>
              <w:t>« فيه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D64ADA" w:rsidRPr="00000067">
        <w:rPr>
          <w:rStyle w:val="libFootnoteAlaemChar"/>
          <w:rtl/>
        </w:rPr>
        <w:t>صلى‌الله‌عليه‌وآله</w:t>
      </w:r>
      <w:r w:rsidR="00B42914" w:rsidRPr="00000067">
        <w:rPr>
          <w:rStyle w:val="libFootnoteAlaemChar"/>
          <w:rtl/>
        </w:rPr>
        <w:t>‌</w:t>
      </w:r>
      <w:r w:rsidR="00992664" w:rsidRPr="00020424">
        <w:rPr>
          <w:rtl/>
        </w:rPr>
        <w:t xml:space="preserve"> : وهو</w:t>
      </w:r>
      <w:r w:rsidR="00000067">
        <w:rPr>
          <w:rtl/>
        </w:rPr>
        <w:t xml:space="preserve"> شهر الصبر. قال الوالد العل</w:t>
      </w:r>
      <w:r w:rsidR="00000067">
        <w:rPr>
          <w:rFonts w:hint="cs"/>
          <w:rtl/>
        </w:rPr>
        <w:t>ّ</w:t>
      </w:r>
      <w:r w:rsidR="00000067">
        <w:rPr>
          <w:rtl/>
        </w:rPr>
        <w:t>ا</w:t>
      </w:r>
      <w:r w:rsidR="00992664" w:rsidRPr="00020424">
        <w:rPr>
          <w:rtl/>
        </w:rPr>
        <w:t xml:space="preserve">مة </w:t>
      </w:r>
      <w:r w:rsidR="00D64ADA" w:rsidRPr="00D64ADA">
        <w:rPr>
          <w:rStyle w:val="libFootnoteAlaemChar"/>
          <w:rtl/>
        </w:rPr>
        <w:t>رحمه‌الله</w:t>
      </w:r>
      <w:r w:rsidR="00992664" w:rsidRPr="00020424">
        <w:rPr>
          <w:rtl/>
        </w:rPr>
        <w:t xml:space="preserve"> : أي للصبر على ترك المألوفات ، أو لأنّه‌ينبغي أن يصبر فيه عن غيرما يوجب رضاه تعالى</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بر ، بس ، بك » </w:t>
      </w:r>
      <w:r w:rsidR="00992664" w:rsidRPr="00EB1FD9">
        <w:rPr>
          <w:rStyle w:val="libFootnoteBoldChar"/>
          <w:rtl/>
        </w:rPr>
        <w:t>والوسائل</w:t>
      </w:r>
      <w:r w:rsidR="00992664" w:rsidRPr="00020424">
        <w:rPr>
          <w:rtl/>
        </w:rPr>
        <w:t xml:space="preserve"> ، ح 13484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w:t>
      </w:r>
      <w:r w:rsidR="00992664" w:rsidRPr="006C7A1F">
        <w:rPr>
          <w:rStyle w:val="libFootnoteBoldChar"/>
          <w:rtl/>
        </w:rPr>
        <w:t>وثواب الأعمال</w:t>
      </w:r>
      <w:r w:rsidR="00992664" w:rsidRPr="00020424">
        <w:rPr>
          <w:rtl/>
        </w:rPr>
        <w:t xml:space="preserve"> </w:t>
      </w:r>
      <w:r w:rsidR="00992664" w:rsidRPr="00FD6221">
        <w:rPr>
          <w:rStyle w:val="libFootnoteBoldChar"/>
          <w:rtl/>
        </w:rPr>
        <w:t>والخصال</w:t>
      </w:r>
      <w:r w:rsidR="00992664" w:rsidRPr="00020424">
        <w:rPr>
          <w:rtl/>
        </w:rPr>
        <w:t xml:space="preserve"> </w:t>
      </w:r>
      <w:r w:rsidR="00992664" w:rsidRPr="00D27EE2">
        <w:rPr>
          <w:rStyle w:val="libFootnoteBoldChar"/>
          <w:rtl/>
        </w:rPr>
        <w:t>وفضائل الأشهر الثلاثة</w:t>
      </w:r>
      <w:r w:rsidR="00992664" w:rsidRPr="00020424">
        <w:rPr>
          <w:rtl/>
        </w:rPr>
        <w:t xml:space="preserve"> ، ص 71 : « وهو شهر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المواساة » : المشاركة والمساهمة في الرزق والمعاش ، أو التسوية في غيره مع الإخوان. والمعنى : هو شهر ينبغي فيه أن يشرك الناس الفقراء وأهل الحاجة في معايشهم. راجع : </w:t>
      </w:r>
      <w:r w:rsidR="00992664" w:rsidRPr="0012008A">
        <w:rPr>
          <w:rStyle w:val="libFootnoteBoldChar"/>
          <w:rtl/>
        </w:rPr>
        <w:t>النهاية</w:t>
      </w:r>
      <w:r w:rsidR="00992664" w:rsidRPr="00020424">
        <w:rPr>
          <w:rtl/>
        </w:rPr>
        <w:t xml:space="preserve"> ، ج 1 ، ص 50 ؛ </w:t>
      </w:r>
      <w:r w:rsidR="00992664" w:rsidRPr="00A722B1">
        <w:rPr>
          <w:rStyle w:val="libFootnoteBoldChar"/>
          <w:rtl/>
        </w:rPr>
        <w:t>المصباح المنير</w:t>
      </w:r>
      <w:r w:rsidR="00992664" w:rsidRPr="00020424">
        <w:rPr>
          <w:rtl/>
        </w:rPr>
        <w:t xml:space="preserve"> ، ص 15 ( أسا ) ؛ </w:t>
      </w:r>
      <w:r w:rsidR="00992664" w:rsidRPr="00DE76B9">
        <w:rPr>
          <w:rStyle w:val="libFootnoteBoldChar"/>
          <w:rtl/>
        </w:rPr>
        <w:t>مرآة العقول</w:t>
      </w:r>
      <w:r w:rsidR="00992664" w:rsidRPr="00020424">
        <w:rPr>
          <w:rtl/>
        </w:rPr>
        <w:t xml:space="preserve"> ، ج 16 ، ص 207.</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شَهْرٌ </w:t>
      </w:r>
      <w:r w:rsidRPr="00A91B96">
        <w:rPr>
          <w:rStyle w:val="libFootnotenumChar"/>
          <w:rtl/>
        </w:rPr>
        <w:t>(1)</w:t>
      </w:r>
      <w:r w:rsidRPr="00020424">
        <w:rPr>
          <w:rtl/>
          <w:lang w:bidi="fa-IR"/>
        </w:rPr>
        <w:t xml:space="preserve"> يَزِيدُ اللهُ </w:t>
      </w:r>
      <w:r w:rsidRPr="00A91B96">
        <w:rPr>
          <w:rStyle w:val="libFootnotenumChar"/>
          <w:rtl/>
        </w:rPr>
        <w:t>(2)</w:t>
      </w:r>
      <w:r w:rsidRPr="00020424">
        <w:rPr>
          <w:rtl/>
          <w:lang w:bidi="fa-IR"/>
        </w:rPr>
        <w:t xml:space="preserve"> فِي رِزْقِ الْمُؤْمِنِ فِيهِ </w:t>
      </w:r>
      <w:r w:rsidRPr="00A91B96">
        <w:rPr>
          <w:rStyle w:val="libFootnotenumChar"/>
          <w:rtl/>
        </w:rPr>
        <w:t>(3)</w:t>
      </w:r>
      <w:r w:rsidRPr="00020424">
        <w:rPr>
          <w:rtl/>
          <w:lang w:bidi="fa-IR"/>
        </w:rPr>
        <w:t xml:space="preserve"> ، وَمَنْ فَطَّرَ فِيهِ مُؤْمِناً </w:t>
      </w:r>
      <w:r w:rsidRPr="00A91B96">
        <w:rPr>
          <w:rStyle w:val="libFootnotenumChar"/>
          <w:rtl/>
        </w:rPr>
        <w:t>(4)</w:t>
      </w:r>
      <w:r w:rsidRPr="00020424">
        <w:rPr>
          <w:rtl/>
          <w:lang w:bidi="fa-IR"/>
        </w:rPr>
        <w:t xml:space="preserve"> صَائِماً ، كَانَ لَهُ بِذلِكَ عِنْدَ اللهِ عِتْقُ رَقَبَةٍ ، وَمَغْفِرَةٌ لِذُنُوبِهِ فِيمَا مَضى.</w:t>
      </w:r>
    </w:p>
    <w:p w:rsidR="00992664" w:rsidRPr="00020424" w:rsidRDefault="00992664" w:rsidP="00992664">
      <w:pPr>
        <w:pStyle w:val="libNormal"/>
        <w:rPr>
          <w:rtl/>
          <w:lang w:bidi="fa-IR"/>
        </w:rPr>
      </w:pPr>
      <w:r w:rsidRPr="00020424">
        <w:rPr>
          <w:rtl/>
          <w:lang w:bidi="fa-IR"/>
        </w:rPr>
        <w:t xml:space="preserve">قِيلَ : يَا رَسُولَ اللهِ ، لَيْسَ كُلُّنَا يَقْدِرُ </w:t>
      </w:r>
      <w:r w:rsidRPr="00A91B96">
        <w:rPr>
          <w:rStyle w:val="libFootnotenumChar"/>
          <w:rtl/>
        </w:rPr>
        <w:t>(5)</w:t>
      </w:r>
      <w:r w:rsidRPr="00020424">
        <w:rPr>
          <w:rtl/>
          <w:lang w:bidi="fa-IR"/>
        </w:rPr>
        <w:t xml:space="preserve"> عَلى أَنْ يُفَطِّرَ </w:t>
      </w:r>
      <w:r w:rsidRPr="00A91B96">
        <w:rPr>
          <w:rStyle w:val="libFootnotenumChar"/>
          <w:rtl/>
        </w:rPr>
        <w:t>(6)</w:t>
      </w:r>
      <w:r w:rsidRPr="00020424">
        <w:rPr>
          <w:rtl/>
          <w:lang w:bidi="fa-IR"/>
        </w:rPr>
        <w:t xml:space="preserve"> صَائِماً.</w:t>
      </w:r>
    </w:p>
    <w:p w:rsidR="00992664" w:rsidRPr="00020424" w:rsidRDefault="00992664" w:rsidP="00992664">
      <w:pPr>
        <w:pStyle w:val="libNormal"/>
        <w:rPr>
          <w:rtl/>
          <w:lang w:bidi="fa-IR"/>
        </w:rPr>
      </w:pPr>
      <w:r w:rsidRPr="00020424">
        <w:rPr>
          <w:rtl/>
          <w:lang w:bidi="fa-IR"/>
        </w:rPr>
        <w:t xml:space="preserve">فَقَالَ : إِنَّ اللهَ كَرِيمٌ يُعْطِي هذَا الثَّوَابَ لِمَنْ لَمْ يَقْدِرْ </w:t>
      </w:r>
      <w:r w:rsidRPr="00A91B96">
        <w:rPr>
          <w:rStyle w:val="libFootnotenumChar"/>
          <w:rtl/>
        </w:rPr>
        <w:t>(7)</w:t>
      </w:r>
      <w:r w:rsidR="00000067">
        <w:rPr>
          <w:rtl/>
          <w:lang w:bidi="fa-IR"/>
        </w:rPr>
        <w:t xml:space="preserve"> إِل</w:t>
      </w:r>
      <w:r w:rsidR="00000067">
        <w:rPr>
          <w:rFonts w:hint="cs"/>
          <w:rtl/>
          <w:lang w:bidi="fa-IR"/>
        </w:rPr>
        <w:t>َّ</w:t>
      </w:r>
      <w:r w:rsidR="00000067">
        <w:rPr>
          <w:rtl/>
          <w:lang w:bidi="fa-IR"/>
        </w:rPr>
        <w:t>ا</w:t>
      </w:r>
      <w:r w:rsidRPr="00020424">
        <w:rPr>
          <w:rtl/>
          <w:lang w:bidi="fa-IR"/>
        </w:rPr>
        <w:t xml:space="preserve"> عَلى مَذْقَةٍ </w:t>
      </w:r>
      <w:r w:rsidRPr="00A91B96">
        <w:rPr>
          <w:rStyle w:val="libFootnotenumChar"/>
          <w:rtl/>
        </w:rPr>
        <w:t>(8)</w:t>
      </w:r>
      <w:r w:rsidRPr="00020424">
        <w:rPr>
          <w:rtl/>
          <w:lang w:bidi="fa-IR"/>
        </w:rPr>
        <w:t xml:space="preserve"> مِنْ لَبَنٍ يُفَطِّرُ بِهَا صَائِماً ، أَوْ شَرْبَةٍ مِنْ مَاءٍ عَذْبٍ </w:t>
      </w:r>
      <w:r w:rsidRPr="00A91B96">
        <w:rPr>
          <w:rStyle w:val="libFootnotenumChar"/>
          <w:rtl/>
        </w:rPr>
        <w:t>(9)</w:t>
      </w:r>
      <w:r w:rsidRPr="00020424">
        <w:rPr>
          <w:rtl/>
          <w:lang w:bidi="fa-IR"/>
        </w:rPr>
        <w:t xml:space="preserve"> ، أَوْ تَمَرَاتٍ </w:t>
      </w:r>
      <w:r w:rsidRPr="00A91B96">
        <w:rPr>
          <w:rStyle w:val="libFootnotenumChar"/>
          <w:rtl/>
        </w:rPr>
        <w:t>(10)</w:t>
      </w:r>
      <w:r w:rsidRPr="00020424">
        <w:rPr>
          <w:rtl/>
          <w:lang w:bidi="fa-IR"/>
        </w:rPr>
        <w:t xml:space="preserve"> لَايَقْدِرُ عَلى أَكْثَرَ مِنْ ذلِكَ </w:t>
      </w:r>
      <w:r w:rsidRPr="00A91B96">
        <w:rPr>
          <w:rStyle w:val="libFootnotenumChar"/>
          <w:rtl/>
        </w:rPr>
        <w:t>(11)</w:t>
      </w:r>
      <w:r w:rsidRPr="00020424">
        <w:rPr>
          <w:rtl/>
          <w:lang w:bidi="fa-IR"/>
        </w:rPr>
        <w:t xml:space="preserve"> ، وَمَنْ خَفَّفَ فِيهِ عَنْ مَمْلُوكِهِ ، خَفَّفَ اللهُ عَنْهُ حِسَابَهُ ، وَهُوَ شَهْرٌ أَوَّلُهُ </w:t>
      </w:r>
      <w:r w:rsidRPr="00A91B96">
        <w:rPr>
          <w:rStyle w:val="libFootnotenumChar"/>
          <w:rtl/>
        </w:rPr>
        <w:t>(12)</w:t>
      </w:r>
      <w:r w:rsidRPr="00020424">
        <w:rPr>
          <w:rtl/>
          <w:lang w:bidi="fa-IR"/>
        </w:rPr>
        <w:t xml:space="preserve"> رَحْمَةٌ ، وَأَوْسَطُهُ مَغْفِرَةٌ ، وَآخِرُهُ الْإِجَابَةُ وَالْعِتْقُ مِنَ النَّارِ ، وَلَاغِنى بِكُمْ عَنْ </w:t>
      </w:r>
      <w:r w:rsidRPr="00A91B96">
        <w:rPr>
          <w:rStyle w:val="libFootnotenumChar"/>
          <w:rtl/>
        </w:rPr>
        <w:t>(13)</w:t>
      </w:r>
      <w:r w:rsidRPr="00020424">
        <w:rPr>
          <w:rtl/>
          <w:lang w:bidi="fa-IR"/>
        </w:rPr>
        <w:t xml:space="preserve"> أَرْبَعِ خِصَالٍ ، خَصْلَتَيْنِ تُرْضُونَ اللهَ بِهِمَا ، وَخَصْلَتَيْنِ لَاغِنى بِكُمْ عَنْهُمَا ، فَأَمَّا اللَّتَانِ تُرْضُونَ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بِهِمَا ، فَشَهَادَةُ أَنْ لَا</w:t>
      </w:r>
      <w:r>
        <w:rPr>
          <w:rFonts w:hint="cs"/>
          <w:rtl/>
          <w:lang w:bidi="fa-IR"/>
        </w:rPr>
        <w:t xml:space="preserve"> </w:t>
      </w:r>
      <w:r w:rsidR="00BF43A7">
        <w:rPr>
          <w:rtl/>
          <w:lang w:bidi="fa-IR"/>
        </w:rPr>
        <w:t>إِلهَ إِل</w:t>
      </w:r>
      <w:r w:rsidR="00BF43A7">
        <w:rPr>
          <w:rFonts w:hint="cs"/>
          <w:rtl/>
          <w:lang w:bidi="fa-IR"/>
        </w:rPr>
        <w:t>َّ</w:t>
      </w:r>
      <w:r w:rsidR="00BF43A7">
        <w:rPr>
          <w:rtl/>
          <w:lang w:bidi="fa-IR"/>
        </w:rPr>
        <w:t>ا</w:t>
      </w:r>
      <w:r w:rsidRPr="00020424">
        <w:rPr>
          <w:rtl/>
          <w:lang w:bidi="fa-IR"/>
        </w:rPr>
        <w:t xml:space="preserve"> اللهُ ، وَأَنَّ مُحَمَّداً رَسُولُ اللهِ ، وَأَمَّا اللَّتَانِ لَا غِنى بِكُمْ عَنْهُمَا ، فَتَسْأَ لُونَ اللهَ فِيهِ حَوَائِجَكُمْ وَالْجَنَّةَ ، وَتَسْأَ لُونَ الْعَافِيَةَ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بح ، جن » :</w:t>
      </w:r>
      <w:r w:rsidR="00992664">
        <w:rPr>
          <w:rtl/>
        </w:rPr>
        <w:t xml:space="preserve"> </w:t>
      </w:r>
      <w:r w:rsidR="009B673F">
        <w:rPr>
          <w:rtl/>
        </w:rPr>
        <w:t>-</w:t>
      </w:r>
      <w:r w:rsidR="00992664">
        <w:rPr>
          <w:rtl/>
        </w:rPr>
        <w:t xml:space="preserve"> </w:t>
      </w:r>
      <w:r w:rsidR="00992664" w:rsidRPr="00020424">
        <w:rPr>
          <w:rtl/>
        </w:rPr>
        <w:t>« وإنّ الصبر</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وهو شهر</w:t>
      </w:r>
      <w:r w:rsidR="00992664">
        <w:rPr>
          <w:rtl/>
        </w:rPr>
        <w:t xml:space="preserve"> ».</w:t>
      </w:r>
      <w:r w:rsidR="00992664" w:rsidRPr="00020424">
        <w:rPr>
          <w:rtl/>
        </w:rPr>
        <w:t xml:space="preserve"> وفي « ى » :</w:t>
      </w:r>
      <w:r w:rsidR="00992664">
        <w:rPr>
          <w:rtl/>
        </w:rPr>
        <w:t xml:space="preserve"> </w:t>
      </w:r>
      <w:r w:rsidR="009B673F">
        <w:rPr>
          <w:rtl/>
        </w:rPr>
        <w:t>-</w:t>
      </w:r>
      <w:r w:rsidR="00992664">
        <w:rPr>
          <w:rtl/>
        </w:rPr>
        <w:t xml:space="preserve"> </w:t>
      </w:r>
      <w:r w:rsidR="00992664" w:rsidRPr="00020424">
        <w:rPr>
          <w:rtl/>
        </w:rPr>
        <w:t>« وهو شهر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فيه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202 :</w:t>
      </w:r>
      <w:r w:rsidR="00992664">
        <w:rPr>
          <w:rtl/>
        </w:rPr>
        <w:t xml:space="preserve"> </w:t>
      </w:r>
      <w:r w:rsidR="009B673F">
        <w:rPr>
          <w:rtl/>
        </w:rPr>
        <w:t>-</w:t>
      </w:r>
      <w:r w:rsidR="00992664">
        <w:rPr>
          <w:rtl/>
        </w:rPr>
        <w:t xml:space="preserve"> </w:t>
      </w:r>
      <w:r w:rsidR="00992664" w:rsidRPr="00020424">
        <w:rPr>
          <w:rtl/>
        </w:rPr>
        <w:t>« مؤمناً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بح ، بخ ، بر ، بس » </w:t>
      </w:r>
      <w:r w:rsidR="00992664" w:rsidRPr="00F27D90">
        <w:rPr>
          <w:rtl/>
        </w:rPr>
        <w:t>والفقيه والتهذيب وثواب الأعمال</w:t>
      </w:r>
      <w:r w:rsidR="00992664" w:rsidRPr="00020424">
        <w:rPr>
          <w:rtl/>
        </w:rPr>
        <w:t xml:space="preserve"> : « نقدر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بح ، بخ ، بر ، بس ، بك » </w:t>
      </w:r>
      <w:r w:rsidR="00992664" w:rsidRPr="00F27D90">
        <w:rPr>
          <w:rtl/>
        </w:rPr>
        <w:t>والفقيه والتهذيب وثواب الأعمال</w:t>
      </w:r>
      <w:r w:rsidR="00992664" w:rsidRPr="00020424">
        <w:rPr>
          <w:rtl/>
        </w:rPr>
        <w:t xml:space="preserve"> : « نفطر</w:t>
      </w:r>
      <w:r w:rsidR="00992664">
        <w:rPr>
          <w:rtl/>
        </w:rPr>
        <w:t xml:space="preserve"> ».</w:t>
      </w:r>
      <w:r w:rsidR="00992664" w:rsidRPr="00020424">
        <w:rPr>
          <w:rtl/>
        </w:rPr>
        <w:t xml:space="preserve"> وفي « بف » بالنون والياء معاً.</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وحاشية « بث » </w:t>
      </w:r>
      <w:r w:rsidR="00992664" w:rsidRPr="00D27EE2">
        <w:rPr>
          <w:rStyle w:val="libFootnoteBoldChar"/>
          <w:rtl/>
        </w:rPr>
        <w:t>وفضائل الأشهر الثلاثة</w:t>
      </w:r>
      <w:r w:rsidR="00992664" w:rsidRPr="00020424">
        <w:rPr>
          <w:rtl/>
        </w:rPr>
        <w:t xml:space="preserve"> ، ص 71 </w:t>
      </w:r>
      <w:r w:rsidR="00992664" w:rsidRPr="00DE3E80">
        <w:rPr>
          <w:rStyle w:val="libFootnoteBoldChar"/>
          <w:rtl/>
        </w:rPr>
        <w:t>والمقنعة</w:t>
      </w:r>
      <w:r w:rsidR="00992664" w:rsidRPr="00020424">
        <w:rPr>
          <w:rtl/>
        </w:rPr>
        <w:t xml:space="preserve"> : « لا يقدر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المَذْقة : الشربة من اللبن الممذوق ، أي الممزوج بالماء ؛ من المَذْق بمعنى المزج والخلط ؛ يقال : مذقت اللبن فهو مذيق ، إذا خلطته بالماء. راجع : </w:t>
      </w:r>
      <w:r w:rsidR="00992664" w:rsidRPr="0012008A">
        <w:rPr>
          <w:rStyle w:val="libFootnoteBoldChar"/>
          <w:rtl/>
        </w:rPr>
        <w:t>الصحاح</w:t>
      </w:r>
      <w:r w:rsidR="00992664" w:rsidRPr="00020424">
        <w:rPr>
          <w:rtl/>
        </w:rPr>
        <w:t xml:space="preserve"> ، ج 4 ، ص 1553 ؛ </w:t>
      </w:r>
      <w:r w:rsidR="00992664" w:rsidRPr="0012008A">
        <w:rPr>
          <w:rStyle w:val="libFootnoteBoldChar"/>
          <w:rtl/>
        </w:rPr>
        <w:t>النهاية</w:t>
      </w:r>
      <w:r w:rsidR="00992664" w:rsidRPr="00020424">
        <w:rPr>
          <w:rtl/>
        </w:rPr>
        <w:t xml:space="preserve"> ، ج 4 ، ص 311 ( مذق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الماء العَذْب : هو الطيّب الذي لا مُلُوحة فيه. </w:t>
      </w:r>
      <w:r w:rsidR="00992664" w:rsidRPr="0012008A">
        <w:rPr>
          <w:rStyle w:val="libFootnoteBoldChar"/>
          <w:rtl/>
        </w:rPr>
        <w:t>الصحاح</w:t>
      </w:r>
      <w:r w:rsidR="00992664" w:rsidRPr="00020424">
        <w:rPr>
          <w:rtl/>
        </w:rPr>
        <w:t xml:space="preserve"> ، ج 1 ، ص 178 ( عذب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عن بعض النسخ : « تميرات</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لا يقدر على أكثر ؛ يعني إذا كان لا يقدر على أكثر</w:t>
      </w:r>
      <w:r w:rsidR="00992664">
        <w:rPr>
          <w:rtl/>
        </w:rPr>
        <w:t xml:space="preserve"> ».</w:t>
      </w:r>
    </w:p>
    <w:p w:rsidR="00992664" w:rsidRPr="00020424" w:rsidRDefault="00795177" w:rsidP="006A3337">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أوّله ، أي عشر أوّله ، أو اليوم الأوّل. والأوّل أظهر ، أي في العشر الأوّل ينزل الله‌تعالى الرحمات الدنيويّة والا</w:t>
      </w:r>
      <w:r w:rsidR="006A3337">
        <w:rPr>
          <w:rFonts w:hint="cs"/>
          <w:rtl/>
        </w:rPr>
        <w:t>ُ</w:t>
      </w:r>
      <w:r w:rsidR="00992664" w:rsidRPr="00020424">
        <w:rPr>
          <w:rtl/>
        </w:rPr>
        <w:t>خرويّة على عباده ، وفي العشر الأوسط يغفر ذنوبهم ، وفي العشر الآخر يستجيب دعاءهم ويعتق رقابهم من النار</w:t>
      </w:r>
      <w:r w:rsidR="00992664">
        <w:rPr>
          <w:rtl/>
        </w:rPr>
        <w:t xml:space="preserve"> ».</w:t>
      </w:r>
      <w:r w:rsidR="006A3337">
        <w:rPr>
          <w:rFonts w:hint="cs"/>
          <w:rtl/>
        </w:rPr>
        <w:t xml:space="preserve">                           </w:t>
      </w:r>
      <w:r>
        <w:rPr>
          <w:rtl/>
        </w:rPr>
        <w:t>(13).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فيه من » بدل « بكم عن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وَتَعُوذُونَ </w:t>
      </w:r>
      <w:r w:rsidRPr="00A91B96">
        <w:rPr>
          <w:rStyle w:val="libFootnotenumChar"/>
          <w:rtl/>
        </w:rPr>
        <w:t>(1)</w:t>
      </w:r>
      <w:r w:rsidRPr="00020424">
        <w:rPr>
          <w:rtl/>
          <w:lang w:bidi="fa-IR"/>
        </w:rPr>
        <w:t xml:space="preserve"> بِهِ </w:t>
      </w:r>
      <w:r w:rsidRPr="00A91B96">
        <w:rPr>
          <w:rStyle w:val="libFootnotenumChar"/>
          <w:rtl/>
        </w:rPr>
        <w:t>(2)</w:t>
      </w:r>
      <w:r w:rsidRPr="00020424">
        <w:rPr>
          <w:rtl/>
          <w:lang w:bidi="fa-IR"/>
        </w:rPr>
        <w:t xml:space="preserve"> مِنَ النَّارِ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82A8F">
        <w:rPr>
          <w:rtl/>
        </w:rPr>
        <w:t>6273</w:t>
      </w:r>
      <w:r w:rsidRPr="001155DE">
        <w:rPr>
          <w:rStyle w:val="libBold2Char"/>
          <w:rtl/>
        </w:rPr>
        <w:t xml:space="preserve"> / 5.</w:t>
      </w:r>
      <w:r w:rsidRPr="00020424">
        <w:rPr>
          <w:rtl/>
          <w:lang w:bidi="fa-IR"/>
        </w:rPr>
        <w:t xml:space="preserve"> عِدَّةٌ مِنْ أَصْحَابِنَا ، عَنْ أَحْمَدَ بْنِ مُحَمَّدٍ ، عَنِ الْحُسَيْنِ بْنِ سَعِيدٍ ، عَنْ فَضَالَةَ بْنِ أَيُّوبَ ، عَنْ سَيْفِ بْنِ عَمِيرَةَ ، عَنْ عَبْدِ اللهِ بْنِ عَبْدِ اللهِ </w:t>
      </w:r>
      <w:r w:rsidRPr="00A91B96">
        <w:rPr>
          <w:rStyle w:val="libFootnotenumChar"/>
          <w:rtl/>
        </w:rPr>
        <w:t>(4)</w:t>
      </w:r>
      <w:r w:rsidRPr="00020424">
        <w:rPr>
          <w:rtl/>
          <w:lang w:bidi="fa-IR"/>
        </w:rPr>
        <w:t xml:space="preserve"> ، عَنْ رَجُلٍ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Pr>
          <w:rtl/>
          <w:lang w:bidi="fa-IR"/>
        </w:rPr>
        <w:t xml:space="preserve"> </w:t>
      </w:r>
      <w:r w:rsidR="009B673F">
        <w:rPr>
          <w:rtl/>
          <w:lang w:bidi="fa-IR"/>
        </w:rPr>
        <w:t>-</w:t>
      </w:r>
      <w:r>
        <w:rPr>
          <w:rtl/>
          <w:lang w:bidi="fa-IR"/>
        </w:rPr>
        <w:t xml:space="preserve"> </w:t>
      </w:r>
      <w:r w:rsidRPr="00020424">
        <w:rPr>
          <w:rtl/>
          <w:lang w:bidi="fa-IR"/>
        </w:rPr>
        <w:t>لَمَّا حَضَرَ شَهْرُ رَمَضَانَ وَذلِكَ فِي ثَلَاثٍ بَقِينَ مِنْ شَعْبَانَ</w:t>
      </w:r>
      <w:r>
        <w:rPr>
          <w:rtl/>
          <w:lang w:bidi="fa-IR"/>
        </w:rPr>
        <w:t xml:space="preserve"> </w:t>
      </w:r>
      <w:r w:rsidR="009B673F">
        <w:rPr>
          <w:rtl/>
          <w:lang w:bidi="fa-IR"/>
        </w:rPr>
        <w:t>-</w:t>
      </w:r>
      <w:r>
        <w:rPr>
          <w:rtl/>
          <w:lang w:bidi="fa-IR"/>
        </w:rPr>
        <w:t xml:space="preserve"> </w:t>
      </w:r>
      <w:r w:rsidRPr="00020424">
        <w:rPr>
          <w:rtl/>
          <w:lang w:bidi="fa-IR"/>
        </w:rPr>
        <w:t xml:space="preserve">قَالَ لِبِلَالٍ : نَادِ فِي النَّاسِ ، فَجَمَعَ النَّاسَ ، ثُمَّ صَعِدَ الْمِنْبَرَ ، فَحَمِدَ اللهَ وَأَثْنى عَلَيْهِ ، ثُمَّ قَالَ : أَيُّهَا النَّاسُ ، إِنَّ هذَا الشَّهْرَ </w:t>
      </w:r>
      <w:r w:rsidRPr="00A91B96">
        <w:rPr>
          <w:rStyle w:val="libFootnotenumChar"/>
          <w:rtl/>
        </w:rPr>
        <w:t>(5)</w:t>
      </w:r>
      <w:r w:rsidRPr="00020424">
        <w:rPr>
          <w:rtl/>
          <w:lang w:bidi="fa-IR"/>
        </w:rPr>
        <w:t xml:space="preserve"> قَدْ خَصَّكُمُ اللهُ بِهِ وَحَضَرَكُمْ </w:t>
      </w:r>
      <w:r w:rsidRPr="00A91B96">
        <w:rPr>
          <w:rStyle w:val="libFootnotenumChar"/>
          <w:rtl/>
        </w:rPr>
        <w:t>(6)</w:t>
      </w:r>
      <w:r w:rsidRPr="00020424">
        <w:rPr>
          <w:rtl/>
          <w:lang w:bidi="fa-IR"/>
        </w:rPr>
        <w:t xml:space="preserve"> ، وَهُوَ سَيِّدُ الشُّهُورِ ، لَيْلَةٌ </w:t>
      </w:r>
      <w:r w:rsidRPr="00A91B96">
        <w:rPr>
          <w:rStyle w:val="libFootnotenumChar"/>
          <w:rtl/>
        </w:rPr>
        <w:t>(7)</w:t>
      </w:r>
      <w:r w:rsidRPr="00020424">
        <w:rPr>
          <w:rtl/>
          <w:lang w:bidi="fa-IR"/>
        </w:rPr>
        <w:t xml:space="preserve"> فِيهِ خَيْرٌ مِنْ أَلْفِ شَهْرٍ ، تُغْلَقُ </w:t>
      </w:r>
      <w:r w:rsidRPr="00A91B96">
        <w:rPr>
          <w:rStyle w:val="libFootnotenumChar"/>
          <w:rtl/>
        </w:rPr>
        <w:t>(8)</w:t>
      </w:r>
      <w:r w:rsidRPr="00020424">
        <w:rPr>
          <w:rtl/>
          <w:lang w:bidi="fa-IR"/>
        </w:rPr>
        <w:t xml:space="preserve"> فِيهِ أَبْوَابُ النَّارِ ، وَتُفْتَحُ </w:t>
      </w:r>
      <w:r w:rsidRPr="00A91B96">
        <w:rPr>
          <w:rStyle w:val="libFootnotenumChar"/>
          <w:rtl/>
        </w:rPr>
        <w:t>(9)</w:t>
      </w:r>
      <w:r w:rsidRPr="00020424">
        <w:rPr>
          <w:rtl/>
          <w:lang w:bidi="fa-IR"/>
        </w:rPr>
        <w:t xml:space="preserve"> فِيهِ أَبْوَابُ الْجِنَانِ ، فَمَنْ أَدْرَكَهُ وَلَمْ يُغْفَرْ لَهُ ، فَأَبْعَدَهُ اللهُ ؛ وَمَنْ أَدْرَكَ وَالِدَيْهِ‌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بف » </w:t>
      </w:r>
      <w:r w:rsidR="00992664" w:rsidRPr="00F27D90">
        <w:rPr>
          <w:rtl/>
        </w:rPr>
        <w:t>والوافي والفقيه والتهذيب</w:t>
      </w:r>
      <w:r w:rsidR="00992664" w:rsidRPr="00020424">
        <w:rPr>
          <w:rtl/>
        </w:rPr>
        <w:t xml:space="preserve"> ، ج </w:t>
      </w:r>
      <w:r w:rsidR="00992664" w:rsidRPr="00F27D90">
        <w:rPr>
          <w:rtl/>
        </w:rPr>
        <w:t>3 والأمالي للصدوق والخصال وفضائل الأشهر الثلاثة</w:t>
      </w:r>
      <w:r w:rsidR="00992664" w:rsidRPr="00020424">
        <w:rPr>
          <w:rtl/>
        </w:rPr>
        <w:t xml:space="preserve"> ، ص 71 : « وتتعوّذون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587829">
        <w:rPr>
          <w:rStyle w:val="libFootnoteBoldChar"/>
          <w:rtl/>
        </w:rPr>
        <w:t>الأمالي للصدوق</w:t>
      </w:r>
      <w:r w:rsidR="00992664" w:rsidRPr="00020424">
        <w:rPr>
          <w:rtl/>
        </w:rPr>
        <w:t xml:space="preserve"> ، ص 41 ، المجلس 11 ، ح 1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xml:space="preserve">، ص 71 ، ح 51 ، بسندهما عن محمّد بن يحيى العطّار ، عن أحمد بن محمّد بن عيسى. وفي </w:t>
      </w:r>
      <w:r w:rsidR="00992664" w:rsidRPr="0012008A">
        <w:rPr>
          <w:rStyle w:val="libFootnoteBoldChar"/>
          <w:rtl/>
        </w:rPr>
        <w:t>ثواب الأعمال</w:t>
      </w:r>
      <w:r w:rsidR="00992664" w:rsidRPr="00020424">
        <w:rPr>
          <w:rtl/>
        </w:rPr>
        <w:t xml:space="preserve"> ، ص 90 ، ح 7 ؛ </w:t>
      </w:r>
      <w:r w:rsidR="00992664" w:rsidRPr="00FD6221">
        <w:rPr>
          <w:rStyle w:val="libFootnoteBoldChar"/>
          <w:rtl/>
        </w:rPr>
        <w:t>والخصال</w:t>
      </w:r>
      <w:r w:rsidR="00992664" w:rsidRPr="00020424">
        <w:rPr>
          <w:rtl/>
        </w:rPr>
        <w:t xml:space="preserve"> ، ص 259 ، باب الأربعة ، ح 135 ، بسندهما عن أحمد بن محمّد بن عيسى. </w:t>
      </w:r>
      <w:r w:rsidR="00992664" w:rsidRPr="0012008A">
        <w:rPr>
          <w:rStyle w:val="libFootnoteBoldChar"/>
          <w:rtl/>
        </w:rPr>
        <w:t>الفقيه</w:t>
      </w:r>
      <w:r w:rsidR="00992664" w:rsidRPr="00020424">
        <w:rPr>
          <w:rtl/>
        </w:rPr>
        <w:t xml:space="preserve"> ، ج 2 ، ص 94 ، ح 1831 ، معلّقاً عن الحسن بن محبوب. وفي </w:t>
      </w:r>
      <w:r w:rsidR="00992664" w:rsidRPr="0012008A">
        <w:rPr>
          <w:rStyle w:val="libFootnoteBoldChar"/>
          <w:rtl/>
        </w:rPr>
        <w:t>التهذيب</w:t>
      </w:r>
      <w:r w:rsidR="00992664" w:rsidRPr="00020424">
        <w:rPr>
          <w:rtl/>
        </w:rPr>
        <w:t xml:space="preserve"> ، ج 3 ، ص 57 ، ح 198 ؛ وج 4 ، ص 152 ، ح 423 ؛ وص 202 ، ح 5 ، بسند آخر عن الحسن بن محبوب ، وفي الأخير إلى قوله : « أوتمرات لايقدر على أكثر من ذلك</w:t>
      </w:r>
      <w:r w:rsidR="00992664">
        <w:rPr>
          <w:rtl/>
        </w:rPr>
        <w:t xml:space="preserve"> ».</w:t>
      </w:r>
      <w:r w:rsidR="00992664" w:rsidRPr="00020424">
        <w:rPr>
          <w:rtl/>
        </w:rPr>
        <w:t xml:space="preserve"> </w:t>
      </w:r>
      <w:r w:rsidR="00992664" w:rsidRPr="00DE76B9">
        <w:rPr>
          <w:rStyle w:val="libFootnoteBoldChar"/>
          <w:rtl/>
        </w:rPr>
        <w:t>فضائل الأشهر الثلاثة</w:t>
      </w:r>
      <w:r w:rsidR="00992664" w:rsidRPr="00020424">
        <w:rPr>
          <w:rtl/>
        </w:rPr>
        <w:t xml:space="preserve"> ، ص 128 ، ح 134 ، بسند آخر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وزيادة. </w:t>
      </w:r>
      <w:r w:rsidR="00992664" w:rsidRPr="0012008A">
        <w:rPr>
          <w:rStyle w:val="libFootnoteBoldChar"/>
          <w:rtl/>
        </w:rPr>
        <w:t>المقنعة</w:t>
      </w:r>
      <w:r w:rsidR="00992664" w:rsidRPr="00020424">
        <w:rPr>
          <w:rtl/>
        </w:rPr>
        <w:t xml:space="preserve"> ، ص 306 ، مرسلاً </w:t>
      </w:r>
      <w:r w:rsidR="00AE66BE">
        <w:rPr>
          <w:rFonts w:hint="cs"/>
          <w:rtl/>
        </w:rPr>
        <w:t>.</w:t>
      </w:r>
      <w:r w:rsidR="00992664" w:rsidRPr="0012008A">
        <w:rPr>
          <w:rStyle w:val="libFootnoteBoldChar"/>
          <w:rtl/>
        </w:rPr>
        <w:t>الوافي</w:t>
      </w:r>
      <w:r w:rsidR="00992664" w:rsidRPr="00020424">
        <w:rPr>
          <w:rtl/>
        </w:rPr>
        <w:t xml:space="preserve"> ، ج 11 ، ص 365 ، ح 11033 ؛ </w:t>
      </w:r>
      <w:r w:rsidR="00992664" w:rsidRPr="0012008A">
        <w:rPr>
          <w:rStyle w:val="libFootnoteBoldChar"/>
          <w:rtl/>
        </w:rPr>
        <w:t>الوسائل</w:t>
      </w:r>
      <w:r w:rsidR="00992664" w:rsidRPr="00020424">
        <w:rPr>
          <w:rtl/>
        </w:rPr>
        <w:t xml:space="preserve"> ، ج 10 ، ص 239 ، ذيل ح 13315 ؛ وص 307 ، ح 13484.</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جر » </w:t>
      </w:r>
      <w:r w:rsidR="00992664" w:rsidRPr="00F27D90">
        <w:rPr>
          <w:rtl/>
        </w:rPr>
        <w:t>والأمالي للصدوق وفضائل الأشهر الثلاثة</w:t>
      </w:r>
      <w:r w:rsidR="00992664" w:rsidRPr="00020424">
        <w:rPr>
          <w:rtl/>
        </w:rPr>
        <w:t xml:space="preserve"> : « عبيد الله بن عبد الله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6C7A1F">
        <w:rPr>
          <w:rStyle w:val="libFootnoteBoldChar"/>
          <w:rtl/>
        </w:rPr>
        <w:t>وثواب الأعمال</w:t>
      </w:r>
      <w:r w:rsidR="00992664" w:rsidRPr="00020424">
        <w:rPr>
          <w:rtl/>
        </w:rPr>
        <w:t xml:space="preserve"> : « عبد الله بن عبيد 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w:t>
      </w:r>
      <w:r w:rsidR="00992664" w:rsidRPr="006C7A1F">
        <w:rPr>
          <w:rStyle w:val="libFootnoteBoldChar"/>
          <w:rtl/>
        </w:rPr>
        <w:t>وثواب الأعمال</w:t>
      </w:r>
      <w:r w:rsidR="00992664" w:rsidRPr="00020424">
        <w:rPr>
          <w:rtl/>
        </w:rPr>
        <w:t xml:space="preserve"> ، ص 89 : « لشهر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بر ، بف ، بك » </w:t>
      </w:r>
      <w:r w:rsidR="00992664" w:rsidRPr="00515444">
        <w:rPr>
          <w:rStyle w:val="libFootnoteBoldChar"/>
          <w:rtl/>
        </w:rPr>
        <w:t>والوافي</w:t>
      </w:r>
      <w:r w:rsidR="00992664" w:rsidRPr="00020424">
        <w:rPr>
          <w:rtl/>
        </w:rPr>
        <w:t xml:space="preserve"> : + « فيه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وحضركم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وليلة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بك » </w:t>
      </w:r>
      <w:r w:rsidR="00992664" w:rsidRPr="00515444">
        <w:rPr>
          <w:rStyle w:val="libFootnoteBoldChar"/>
          <w:rtl/>
        </w:rPr>
        <w:t>والوافي</w:t>
      </w:r>
      <w:r w:rsidR="00992664" w:rsidRPr="00020424">
        <w:rPr>
          <w:rtl/>
        </w:rPr>
        <w:t xml:space="preserve"> : « يغلق</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بك » </w:t>
      </w:r>
      <w:r w:rsidR="00992664" w:rsidRPr="00515444">
        <w:rPr>
          <w:rStyle w:val="libFootnoteBoldChar"/>
          <w:rtl/>
        </w:rPr>
        <w:t>والوافي</w:t>
      </w:r>
      <w:r w:rsidR="00992664" w:rsidRPr="00020424">
        <w:rPr>
          <w:rtl/>
        </w:rPr>
        <w:t xml:space="preserve"> : « ويفتح</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وَلَمْ </w:t>
      </w:r>
      <w:r w:rsidRPr="00A91B96">
        <w:rPr>
          <w:rStyle w:val="libFootnotenumChar"/>
          <w:rtl/>
        </w:rPr>
        <w:t>(1)</w:t>
      </w:r>
      <w:r w:rsidRPr="00020424">
        <w:rPr>
          <w:rtl/>
          <w:lang w:bidi="fa-IR"/>
        </w:rPr>
        <w:t xml:space="preserve"> يُغْفَرْ لَهُ ، فَأَبْعَدَهُ </w:t>
      </w:r>
      <w:r w:rsidRPr="00A91B96">
        <w:rPr>
          <w:rStyle w:val="libFootnotenumChar"/>
          <w:rtl/>
        </w:rPr>
        <w:t>(2)</w:t>
      </w:r>
      <w:r w:rsidRPr="00020424">
        <w:rPr>
          <w:rtl/>
          <w:lang w:bidi="fa-IR"/>
        </w:rPr>
        <w:t xml:space="preserve"> اللهُ ؛ وَمَنْ ذُكِرْتُ </w:t>
      </w:r>
      <w:r w:rsidRPr="00A91B96">
        <w:rPr>
          <w:rStyle w:val="libFootnotenumChar"/>
          <w:rtl/>
        </w:rPr>
        <w:t>(3)</w:t>
      </w:r>
      <w:r w:rsidRPr="00020424">
        <w:rPr>
          <w:rtl/>
          <w:lang w:bidi="fa-IR"/>
        </w:rPr>
        <w:t xml:space="preserve"> عِنْدَهُ فَلَمْ </w:t>
      </w:r>
      <w:r w:rsidRPr="00A91B96">
        <w:rPr>
          <w:rStyle w:val="libFootnotenumChar"/>
          <w:rtl/>
        </w:rPr>
        <w:t>(4)</w:t>
      </w:r>
      <w:r w:rsidRPr="00020424">
        <w:rPr>
          <w:rtl/>
          <w:lang w:bidi="fa-IR"/>
        </w:rPr>
        <w:t xml:space="preserve"> يُصَلِّ </w:t>
      </w:r>
      <w:r w:rsidRPr="00A91B96">
        <w:rPr>
          <w:rStyle w:val="libFootnotenumChar"/>
          <w:rtl/>
        </w:rPr>
        <w:t>(5)</w:t>
      </w:r>
      <w:r w:rsidRPr="00020424">
        <w:rPr>
          <w:rtl/>
          <w:lang w:bidi="fa-IR"/>
        </w:rPr>
        <w:t xml:space="preserve"> عَلَيَّ ، فَلَمْ يَغْفِرِ اللهُ </w:t>
      </w:r>
      <w:r w:rsidRPr="00A91B96">
        <w:rPr>
          <w:rStyle w:val="libFootnotenumChar"/>
          <w:rtl/>
        </w:rPr>
        <w:t>(6)</w:t>
      </w:r>
      <w:r w:rsidRPr="00020424">
        <w:rPr>
          <w:rtl/>
          <w:lang w:bidi="fa-IR"/>
        </w:rPr>
        <w:t xml:space="preserve"> لَهُ </w:t>
      </w:r>
      <w:r w:rsidRPr="00A91B96">
        <w:rPr>
          <w:rStyle w:val="libFootnotenumChar"/>
          <w:rtl/>
        </w:rPr>
        <w:t>(7)</w:t>
      </w:r>
      <w:r w:rsidRPr="00020424">
        <w:rPr>
          <w:rtl/>
          <w:lang w:bidi="fa-IR"/>
        </w:rPr>
        <w:t xml:space="preserve"> ، فَأَبْعَدَهُ اللهُ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882A8F">
        <w:rPr>
          <w:rtl/>
        </w:rPr>
        <w:t>6274</w:t>
      </w:r>
      <w:r w:rsidRPr="001155DE">
        <w:rPr>
          <w:rStyle w:val="libBold2Char"/>
          <w:rtl/>
        </w:rPr>
        <w:t xml:space="preserve"> / 6.</w:t>
      </w:r>
      <w:r w:rsidRPr="00020424">
        <w:rPr>
          <w:rtl/>
          <w:lang w:bidi="fa-IR"/>
        </w:rPr>
        <w:t xml:space="preserve"> أَحْمَدُ بْنُ مُحَمَّدٍ </w:t>
      </w:r>
      <w:r w:rsidRPr="00A91B96">
        <w:rPr>
          <w:rStyle w:val="libFootnotenumChar"/>
          <w:rtl/>
        </w:rPr>
        <w:t>(9)</w:t>
      </w:r>
      <w:r w:rsidRPr="00020424">
        <w:rPr>
          <w:rtl/>
          <w:lang w:bidi="fa-IR"/>
        </w:rPr>
        <w:t xml:space="preserve"> ، عَنِ الْحُسَيْنِ بْنِ سَعِيدٍ ، عَنِ الْحُسَيْنِ بْنِ عُلْوَانَ ، عَنْ عَمْرِو بْنِ شِمْرٍ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يُقْبِلُ بِوَجْهِهِ إِلَى </w:t>
      </w:r>
      <w:r w:rsidRPr="00A91B96">
        <w:rPr>
          <w:rStyle w:val="libFootnotenumChar"/>
          <w:rtl/>
        </w:rPr>
        <w:t>(10)</w:t>
      </w:r>
      <w:r w:rsidRPr="00020424">
        <w:rPr>
          <w:rtl/>
          <w:lang w:bidi="fa-IR"/>
        </w:rPr>
        <w:t xml:space="preserve"> النَّاسِ ، فَيَقُولُ :</w:t>
      </w:r>
      <w:r>
        <w:rPr>
          <w:rFonts w:hint="cs"/>
          <w:rtl/>
          <w:lang w:bidi="fa-IR"/>
        </w:rPr>
        <w:t xml:space="preserve"> </w:t>
      </w:r>
      <w:r w:rsidRPr="00020424">
        <w:rPr>
          <w:rtl/>
          <w:lang w:bidi="fa-IR"/>
        </w:rPr>
        <w:t xml:space="preserve">يَا مَعْشَرَ </w:t>
      </w:r>
      <w:r w:rsidRPr="00A91B96">
        <w:rPr>
          <w:rStyle w:val="libFootnotenumChar"/>
          <w:rtl/>
        </w:rPr>
        <w:t>(11)</w:t>
      </w:r>
      <w:r w:rsidRPr="00020424">
        <w:rPr>
          <w:rtl/>
          <w:lang w:bidi="fa-IR"/>
        </w:rPr>
        <w:t xml:space="preserve"> النَّاسِ </w:t>
      </w:r>
      <w:r w:rsidRPr="00A91B96">
        <w:rPr>
          <w:rStyle w:val="libFootnotenumChar"/>
          <w:rtl/>
        </w:rPr>
        <w:t>(12)</w:t>
      </w:r>
      <w:r w:rsidRPr="00020424">
        <w:rPr>
          <w:rtl/>
          <w:lang w:bidi="fa-IR"/>
        </w:rPr>
        <w:t xml:space="preserve"> ، إِذَا طَلَعَ هِلَالُ شَهْرِ رَمَضَانَ ، غُلَّتْ مَرَدَةُ الشَّيَاطِينِ </w:t>
      </w:r>
      <w:r w:rsidRPr="00A91B96">
        <w:rPr>
          <w:rStyle w:val="libFootnotenumChar"/>
          <w:rtl/>
        </w:rPr>
        <w:t>(13)</w:t>
      </w:r>
      <w:r w:rsidRPr="00020424">
        <w:rPr>
          <w:rtl/>
          <w:lang w:bidi="fa-IR"/>
        </w:rPr>
        <w:t xml:space="preserve"> ، وَفُتِحَتْ‌</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w:t>
      </w:r>
      <w:r w:rsidR="00992664" w:rsidRPr="00AE66BE">
        <w:rPr>
          <w:rtl/>
        </w:rPr>
        <w:t xml:space="preserve">والأمالي للصدوق وثواب الأعمال وفضائل الأشهر الثلاثة </w:t>
      </w:r>
      <w:r w:rsidR="00992664" w:rsidRPr="00020424">
        <w:rPr>
          <w:rtl/>
        </w:rPr>
        <w:t>: « فلم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بك » : « أبعده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ومن ذكرت ، يدلّ على وجوب الصلاة عليه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كلّما ذكر ، سواء كان بالاسم ، أو الكنية ، أو اللقب ، أو الضمير ؛ فإنّ الذكر يشملها ؛ لأنّ التهديد يدلّ على الوجوب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E66BE" w:rsidTr="00AE66BE">
        <w:tc>
          <w:tcPr>
            <w:tcW w:w="4006" w:type="dxa"/>
          </w:tcPr>
          <w:p w:rsidR="00AE66BE" w:rsidRDefault="00AE66BE" w:rsidP="00992664">
            <w:pPr>
              <w:pStyle w:val="libFootnote0"/>
              <w:rPr>
                <w:rtl/>
              </w:rPr>
            </w:pPr>
            <w:r>
              <w:rPr>
                <w:rtl/>
              </w:rPr>
              <w:t xml:space="preserve">(4). </w:t>
            </w:r>
            <w:r w:rsidRPr="00020424">
              <w:rPr>
                <w:rtl/>
              </w:rPr>
              <w:t xml:space="preserve">في « بخ ، بر ، بف ، بك » </w:t>
            </w:r>
            <w:r w:rsidRPr="00515444">
              <w:rPr>
                <w:rStyle w:val="libFootnoteBoldChar"/>
                <w:rtl/>
              </w:rPr>
              <w:t>والوافي</w:t>
            </w:r>
            <w:r w:rsidRPr="00020424">
              <w:rPr>
                <w:rtl/>
              </w:rPr>
              <w:t xml:space="preserve"> : « ولم</w:t>
            </w:r>
            <w:r>
              <w:rPr>
                <w:rtl/>
              </w:rPr>
              <w:t xml:space="preserve"> ».</w:t>
            </w:r>
          </w:p>
        </w:tc>
        <w:tc>
          <w:tcPr>
            <w:tcW w:w="4006" w:type="dxa"/>
          </w:tcPr>
          <w:p w:rsidR="00AE66BE" w:rsidRDefault="00AE66BE" w:rsidP="00992664">
            <w:pPr>
              <w:pStyle w:val="libFootnote0"/>
              <w:rPr>
                <w:rtl/>
              </w:rPr>
            </w:pPr>
            <w:r>
              <w:rPr>
                <w:rtl/>
              </w:rPr>
              <w:t>(5).في فضائل الأشهر الثلاثة:«فصلّى»بدل«</w:t>
            </w:r>
            <w:r w:rsidRPr="00020424">
              <w:rPr>
                <w:rtl/>
              </w:rPr>
              <w:t>فلم يصلّ</w:t>
            </w:r>
            <w:r>
              <w:rPr>
                <w:rtl/>
              </w:rPr>
              <w:t>».</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w:t>
      </w:r>
      <w:r w:rsidR="00992664" w:rsidRPr="0096748D">
        <w:rPr>
          <w:rtl/>
        </w:rPr>
        <w:t>والفقيه والأمالي للصدوق وفضائل الأشهر الثلاثة 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فلم يغفر الله 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192 ، ح 549 ، معلّقاً عن الكليني. </w:t>
      </w:r>
      <w:r w:rsidR="00992664" w:rsidRPr="00587829">
        <w:rPr>
          <w:rStyle w:val="libFootnoteBoldChar"/>
          <w:rtl/>
        </w:rPr>
        <w:t>الأمالي للصدوق</w:t>
      </w:r>
      <w:r w:rsidR="00992664" w:rsidRPr="00020424">
        <w:rPr>
          <w:rtl/>
        </w:rPr>
        <w:t xml:space="preserve"> ، ص 58 ، المجلس 14 ، ح 2 ، بسنده عن أحمد بن محمّد بن عيسى ، عن الحسين بن سعيد ، عن فضالة ، عن سيف بن عميرة ، عن عبيدالله بن عبدالله ، عمّن سمع أبا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ثواب الأعمال</w:t>
      </w:r>
      <w:r w:rsidR="00992664" w:rsidRPr="00020424">
        <w:rPr>
          <w:rtl/>
        </w:rPr>
        <w:t xml:space="preserve"> ، ص 91 ، ح 8 ، بسنده عن أحمد بن محمّد بن عيسى ، عن الحسين بن سعيد. </w:t>
      </w:r>
      <w:r w:rsidR="00992664" w:rsidRPr="00DE76B9">
        <w:rPr>
          <w:rStyle w:val="libFootnoteBoldChar"/>
          <w:rtl/>
        </w:rPr>
        <w:t>وفيه</w:t>
      </w:r>
      <w:r w:rsidR="00992664" w:rsidRPr="00020424">
        <w:rPr>
          <w:rtl/>
        </w:rPr>
        <w:t xml:space="preserve"> ، ص 89 ، ح 4 ، بسنده عن أحمد بن محمّد بن عيسى ، عن الحسين بن سعيد ، عن فضالة ، عن سيف بن عميرة ، عن عبدالله بن عبيدالله ، عن أبي بصير ، عن الباقر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فضائل الأشهر الثلاثة</w:t>
      </w:r>
      <w:r w:rsidR="00992664" w:rsidRPr="00020424">
        <w:rPr>
          <w:rtl/>
        </w:rPr>
        <w:t xml:space="preserve"> ، ص 74 ، ح 55 ، بسنده عن أحمد بن محمّد بن عيسى ، عن الحسين بن عليّ بن فضّال ، عن سيف بن عميرة ، عن عبيدالله بن عبدالله ، عمّن سمع أبا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96 ، ح 1832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6748D">
        <w:rPr>
          <w:rFonts w:hint="cs"/>
          <w:rtl/>
        </w:rPr>
        <w:t>.</w:t>
      </w:r>
      <w:r w:rsidR="00992664" w:rsidRPr="0012008A">
        <w:rPr>
          <w:rStyle w:val="libFootnoteBoldChar"/>
          <w:rtl/>
        </w:rPr>
        <w:t>الوافي</w:t>
      </w:r>
      <w:r w:rsidR="00992664" w:rsidRPr="00020424">
        <w:rPr>
          <w:rtl/>
        </w:rPr>
        <w:t xml:space="preserve"> ، ج 11 ، ص 369 ، ح 11034 ؛ </w:t>
      </w:r>
      <w:r w:rsidR="00992664" w:rsidRPr="0012008A">
        <w:rPr>
          <w:rStyle w:val="libFootnoteBoldChar"/>
          <w:rtl/>
        </w:rPr>
        <w:t>الوسائل</w:t>
      </w:r>
      <w:r w:rsidR="00992664" w:rsidRPr="00020424">
        <w:rPr>
          <w:rtl/>
        </w:rPr>
        <w:t xml:space="preserve"> ، ج 10 ، ص 309 ، ح 13487.</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إلى</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على</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بث ، بخ ، بر ، بس ، بف ، بك » وحاشية « ى » </w:t>
      </w:r>
      <w:r w:rsidR="00992664" w:rsidRPr="00EB1FD9">
        <w:rPr>
          <w:rStyle w:val="libFootnoteBoldChar"/>
          <w:rtl/>
        </w:rPr>
        <w:t>والوسائل</w:t>
      </w:r>
      <w:r w:rsidR="00992664" w:rsidRPr="00020424">
        <w:rPr>
          <w:rtl/>
        </w:rPr>
        <w:t xml:space="preserve"> : « يا معاشر</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96748D">
        <w:rPr>
          <w:rtl/>
        </w:rPr>
        <w:t xml:space="preserve">التهذيب والأمالي للصدوق وثواب الأعمال وفضائل الأشهر الثلاثة </w:t>
      </w:r>
      <w:r w:rsidR="00992664" w:rsidRPr="00020424">
        <w:rPr>
          <w:rtl/>
        </w:rPr>
        <w:t>: « المسلمين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ال</w:t>
      </w:r>
      <w:r w:rsidR="00CD71DE">
        <w:rPr>
          <w:rFonts w:hint="cs"/>
          <w:rtl/>
        </w:rPr>
        <w:t>ـ</w:t>
      </w:r>
      <w:r w:rsidR="00992664" w:rsidRPr="00020424">
        <w:rPr>
          <w:rtl/>
        </w:rPr>
        <w:t>مَرَدَةُ : جمع المارد ، وهو من الرجال : العاتي الشديد. وقال الراغب : « المارد والمَريد من شياطين الجنّ و</w:t>
      </w:r>
      <w:r w:rsidR="00992664">
        <w:rPr>
          <w:rFonts w:hint="cs"/>
          <w:rtl/>
        </w:rPr>
        <w:t xml:space="preserve"> </w:t>
      </w:r>
      <w:r w:rsidR="0096748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أَبْوَابُ السَّمَاءِ وَأَبْوَابُ الْجِنَانِ </w:t>
      </w:r>
      <w:r w:rsidRPr="00A91B96">
        <w:rPr>
          <w:rStyle w:val="libFootnotenumChar"/>
          <w:rtl/>
        </w:rPr>
        <w:t>(1)</w:t>
      </w:r>
      <w:r w:rsidRPr="00020424">
        <w:rPr>
          <w:rtl/>
          <w:lang w:bidi="fa-IR"/>
        </w:rPr>
        <w:t xml:space="preserve"> وَأَبْوَابُ الرَّحْمَةِ ، وَغُلِّقَتْ أَبْوَابُ النَّارِ ، وَاسْتُجِيبَ الدُّعَاءُ ، وَكَانَ لِلّهِ فِيهِ عِنْدَ كُلِّ فِطْرٍ عُتَقَاءُ يُعْتِقُهُمُ اللهُ </w:t>
      </w:r>
      <w:r w:rsidRPr="00A91B96">
        <w:rPr>
          <w:rStyle w:val="libFootnotenumChar"/>
          <w:rtl/>
        </w:rPr>
        <w:t>(2)</w:t>
      </w:r>
      <w:r w:rsidRPr="00020424">
        <w:rPr>
          <w:rtl/>
          <w:lang w:bidi="fa-IR"/>
        </w:rPr>
        <w:t xml:space="preserve"> مِنَ النَّارِ ، وَيُنَادِي مُنَادٍ كُلَّ لَيْلَةٍ </w:t>
      </w:r>
      <w:r w:rsidRPr="00A91B96">
        <w:rPr>
          <w:rStyle w:val="libFootnotenumChar"/>
          <w:rtl/>
        </w:rPr>
        <w:t>(3)</w:t>
      </w:r>
      <w:r w:rsidRPr="00020424">
        <w:rPr>
          <w:rtl/>
          <w:lang w:bidi="fa-IR"/>
        </w:rPr>
        <w:t xml:space="preserve"> : هَلْ مِنْ سَائِلٍ</w:t>
      </w:r>
      <w:r>
        <w:rPr>
          <w:rtl/>
          <w:lang w:bidi="fa-IR"/>
        </w:rPr>
        <w:t>؟</w:t>
      </w:r>
      <w:r w:rsidRPr="00020424">
        <w:rPr>
          <w:rtl/>
          <w:lang w:bidi="fa-IR"/>
        </w:rPr>
        <w:t xml:space="preserve"> هَلْ مِنْ مُسْتَغْفِرٍ</w:t>
      </w:r>
      <w:r>
        <w:rPr>
          <w:rtl/>
          <w:lang w:bidi="fa-IR"/>
        </w:rPr>
        <w:t>؟</w:t>
      </w:r>
      <w:r w:rsidRPr="00020424">
        <w:rPr>
          <w:rtl/>
          <w:lang w:bidi="fa-IR"/>
        </w:rPr>
        <w:t xml:space="preserve"> الل</w:t>
      </w:r>
      <w:r w:rsidR="00CD71DE">
        <w:rPr>
          <w:rFonts w:hint="cs"/>
          <w:rtl/>
          <w:lang w:bidi="fa-IR"/>
        </w:rPr>
        <w:t>َّ</w:t>
      </w:r>
      <w:r w:rsidRPr="00020424">
        <w:rPr>
          <w:rtl/>
          <w:lang w:bidi="fa-IR"/>
        </w:rPr>
        <w:t xml:space="preserve">هُمَّ أَعْطِ كُلَّ مُنْفِقٍ خَلَفاً </w:t>
      </w:r>
      <w:r w:rsidRPr="00A91B96">
        <w:rPr>
          <w:rStyle w:val="libFootnotenumChar"/>
          <w:rtl/>
        </w:rPr>
        <w:t>(4)</w:t>
      </w:r>
      <w:r w:rsidRPr="00020424">
        <w:rPr>
          <w:rtl/>
          <w:lang w:bidi="fa-IR"/>
        </w:rPr>
        <w:t xml:space="preserve"> ، وَأَعْطِ كُلَّ مُمْسِكٍ تَلَفاً </w:t>
      </w:r>
      <w:r w:rsidRPr="00A91B96">
        <w:rPr>
          <w:rStyle w:val="libFootnotenumChar"/>
          <w:rtl/>
        </w:rPr>
        <w:t>(5)</w:t>
      </w:r>
      <w:r w:rsidRPr="00020424">
        <w:rPr>
          <w:rtl/>
          <w:lang w:bidi="fa-IR"/>
        </w:rPr>
        <w:t xml:space="preserve"> ؛ حَتّى إِذَا طَلَعَ هِلَالُ شَوَّالٍ ، نُودِيَ الْمُؤْمِنُونَ : أَنِ اغْدُوا </w:t>
      </w:r>
      <w:r w:rsidRPr="00A91B96">
        <w:rPr>
          <w:rStyle w:val="libFootnotenumChar"/>
          <w:rtl/>
        </w:rPr>
        <w:t>(6)</w:t>
      </w:r>
      <w:r w:rsidRPr="00020424">
        <w:rPr>
          <w:rtl/>
          <w:lang w:bidi="fa-IR"/>
        </w:rPr>
        <w:t xml:space="preserve"> إِلى جَوَائِزِكُمْ ، فَهُوَ يَوْمُ الْجَائِزَةِ</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أَبُو جَعْفَرٍ </w:t>
      </w:r>
      <w:r w:rsidRPr="00005A81">
        <w:rPr>
          <w:rStyle w:val="libAlaemChar"/>
          <w:rtl/>
        </w:rPr>
        <w:t>عليه‌السلام</w:t>
      </w:r>
      <w:r w:rsidRPr="00020424">
        <w:rPr>
          <w:rtl/>
          <w:lang w:bidi="fa-IR"/>
        </w:rPr>
        <w:t xml:space="preserve"> : « أَمَا وَالَّذِي نَفْسِي بِيَدِهِ مَا هِيَ بِجَائِزَةِ الدَّنَانِيرِ وَالدَّرَاهِمِ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882A8F">
        <w:rPr>
          <w:rtl/>
        </w:rPr>
        <w:t>6275</w:t>
      </w:r>
      <w:r w:rsidRPr="001155DE">
        <w:rPr>
          <w:rStyle w:val="libBold2Char"/>
          <w:rtl/>
        </w:rPr>
        <w:t xml:space="preserve"> / 7.</w:t>
      </w:r>
      <w:r w:rsidRPr="00020424">
        <w:rPr>
          <w:rtl/>
          <w:lang w:bidi="fa-IR"/>
        </w:rPr>
        <w:t xml:space="preserve"> عَلِيُّ بْنُ إِبْرَاهِيمَ ، عَنْ أَبِيهِ ، عَنِ ابْنِ أَبِي عُمَيْرٍ ، عَنْ جَمِيلِ بْنِ صَالِحٍ ، عَنْ‌</w:t>
      </w:r>
    </w:p>
    <w:p w:rsidR="00992664" w:rsidRPr="00020424" w:rsidRDefault="00992664" w:rsidP="00992664">
      <w:pPr>
        <w:pStyle w:val="libLine"/>
        <w:rPr>
          <w:rtl/>
          <w:lang w:bidi="fa-IR"/>
        </w:rPr>
      </w:pPr>
      <w:r w:rsidRPr="00020424">
        <w:rPr>
          <w:rtl/>
          <w:lang w:bidi="fa-IR"/>
        </w:rPr>
        <w:t>__________________</w:t>
      </w:r>
    </w:p>
    <w:p w:rsidR="00992664" w:rsidRPr="00020424" w:rsidRDefault="00CD71DE" w:rsidP="00992664">
      <w:pPr>
        <w:pStyle w:val="libFootnote0"/>
        <w:rPr>
          <w:rtl/>
          <w:lang w:bidi="fa-IR"/>
        </w:rPr>
      </w:pPr>
      <w:r>
        <w:rPr>
          <w:rFonts w:hint="cs"/>
          <w:rtl/>
        </w:rPr>
        <w:t xml:space="preserve">= </w:t>
      </w:r>
      <w:r w:rsidR="00992664" w:rsidRPr="00020424">
        <w:rPr>
          <w:rtl/>
        </w:rPr>
        <w:t>الإنس : المتعرّي من الخيرات ، من قولهم : شجر أمرد ، إذا تعرّى من الورق</w:t>
      </w:r>
      <w:r w:rsidR="00992664">
        <w:rPr>
          <w:rtl/>
        </w:rPr>
        <w:t xml:space="preserve"> ».</w:t>
      </w:r>
      <w:r w:rsidR="00992664" w:rsidRPr="00020424">
        <w:rPr>
          <w:rtl/>
        </w:rPr>
        <w:t xml:space="preserve"> راجع : </w:t>
      </w:r>
      <w:r w:rsidR="00992664" w:rsidRPr="00DE76B9">
        <w:rPr>
          <w:rStyle w:val="libFootnoteBoldChar"/>
          <w:rtl/>
        </w:rPr>
        <w:t>المفردات</w:t>
      </w:r>
      <w:r w:rsidR="00992664" w:rsidRPr="00020424">
        <w:rPr>
          <w:rtl/>
        </w:rPr>
        <w:t xml:space="preserve"> للراغب ، ص 764 ؛ </w:t>
      </w:r>
      <w:r w:rsidR="00992664" w:rsidRPr="0012008A">
        <w:rPr>
          <w:rStyle w:val="libFootnoteBoldChar"/>
          <w:rtl/>
        </w:rPr>
        <w:t>النهاية</w:t>
      </w:r>
      <w:r w:rsidR="00992664" w:rsidRPr="00020424">
        <w:rPr>
          <w:rtl/>
        </w:rPr>
        <w:t xml:space="preserve"> ، ج 4 ، ص 315 ( مرد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وأبواب الجنان</w:t>
      </w:r>
      <w:r w:rsidR="00992664">
        <w:rPr>
          <w:rtl/>
        </w:rPr>
        <w:t xml:space="preserve"> ».</w:t>
      </w:r>
    </w:p>
    <w:p w:rsidR="00992664" w:rsidRPr="00020424" w:rsidRDefault="00795177" w:rsidP="008B3D2F">
      <w:pPr>
        <w:pStyle w:val="libFootnote0"/>
        <w:rPr>
          <w:rtl/>
          <w:lang w:bidi="fa-IR"/>
        </w:rPr>
      </w:pPr>
      <w:r>
        <w:rPr>
          <w:rtl/>
        </w:rPr>
        <w:t>(2).</w:t>
      </w:r>
      <w:r w:rsidR="0014403D">
        <w:rPr>
          <w:rtl/>
        </w:rPr>
        <w:t xml:space="preserve"> </w:t>
      </w:r>
      <w:r w:rsidR="00992664" w:rsidRPr="00020424">
        <w:rPr>
          <w:rtl/>
        </w:rPr>
        <w:t xml:space="preserve">في « بخ ، بر ، بف ، بك » </w:t>
      </w:r>
      <w:r w:rsidR="00992664" w:rsidRPr="008B3D2F">
        <w:rPr>
          <w:rtl/>
        </w:rPr>
        <w:t>والفقيه والتهذيب والأمالي للصدوق وثواب الأعمال وفضائل الأشهر الثلاثة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r w:rsidR="008B3D2F">
        <w:rPr>
          <w:rFonts w:hint="cs"/>
          <w:rtl/>
        </w:rPr>
        <w:t xml:space="preserve">                                          </w:t>
      </w: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هل من تائب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أي عوضاً ؛ يقال : خَلَفَ الله لك خَلَفاً بخير ، وأخلف عليك خيراً ، أي أبدلك بما ذهب منك وعوّضك عنه</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2 ، ص 66 ( خلف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قيل : معنى قوله : آت كلّ ممسك تلفاً : ارزقه الإنفاق حتّى ينفق ، فإن لم يقدّر في سابق علمك أن‌ينفقه باختياره ، فأتلف ماله حتّى تأجره فيه أجر المصاب فيصيب خيراً ؛ فإنّ الملك لا يدعو بالشرّ لا سيّما في حقّ المؤمن</w:t>
      </w:r>
      <w:r w:rsidR="00992664">
        <w:rPr>
          <w:rtl/>
        </w:rPr>
        <w:t xml:space="preserve"> ».</w:t>
      </w:r>
      <w:r w:rsidR="00992664" w:rsidRPr="00020424">
        <w:rPr>
          <w:rtl/>
        </w:rPr>
        <w:t xml:space="preserve"> ولهذا الكلام تتمّة شريفة نقلناه معها في ذيل الحديث الأوّل من باب الإنفاق ، إن شئت فراجع.</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اغدوا » : أمر من الغُدُوّ ، وهو سير أوّل النهار ، ونقيض الرواح ، والمراد هنا مطلق السير. راجع : </w:t>
      </w:r>
      <w:r w:rsidR="00992664" w:rsidRPr="0012008A">
        <w:rPr>
          <w:rStyle w:val="libFootnoteBoldChar"/>
          <w:rtl/>
        </w:rPr>
        <w:t>النهاية</w:t>
      </w:r>
      <w:r w:rsidR="00992664" w:rsidRPr="00020424">
        <w:rPr>
          <w:rtl/>
        </w:rPr>
        <w:t xml:space="preserve"> ، ج 3 ، ص 346 ( غدا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F27D90">
        <w:rPr>
          <w:rtl/>
        </w:rPr>
        <w:t>والوافي والوسائل والفقيه والتهذيب والأمالي للصدوق</w:t>
      </w:r>
      <w:r w:rsidR="00992664" w:rsidRPr="00020424">
        <w:rPr>
          <w:rtl/>
        </w:rPr>
        <w:t xml:space="preserve"> والثواب </w:t>
      </w:r>
      <w:r w:rsidR="00992664" w:rsidRPr="00D27EE2">
        <w:rPr>
          <w:rStyle w:val="libFootnoteBoldChar"/>
          <w:rtl/>
        </w:rPr>
        <w:t>وفضائل الأشهر الثلاثة</w:t>
      </w:r>
      <w:r w:rsidR="00992664" w:rsidRPr="00020424">
        <w:rPr>
          <w:rtl/>
        </w:rPr>
        <w:t>. وفي المطبوع : « ولا الدراهم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193 ، ح 550 ، معلّقاً عن الكليني. وفي </w:t>
      </w:r>
      <w:r w:rsidR="00992664" w:rsidRPr="00587829">
        <w:rPr>
          <w:rStyle w:val="libFootnoteBoldChar"/>
          <w:rtl/>
        </w:rPr>
        <w:t>الأمالي للصدوق</w:t>
      </w:r>
      <w:r w:rsidR="00992664" w:rsidRPr="00020424">
        <w:rPr>
          <w:rtl/>
        </w:rPr>
        <w:t xml:space="preserve"> ، ص 47 ، المجلس 12 ، ذيل ح 1 ؛ </w:t>
      </w:r>
      <w:r w:rsidR="00992664" w:rsidRPr="006C7A1F">
        <w:rPr>
          <w:rStyle w:val="libFootnoteBoldChar"/>
          <w:rtl/>
        </w:rPr>
        <w:t>وثواب الأعمال</w:t>
      </w:r>
      <w:r w:rsidR="00992664" w:rsidRPr="00DE76B9">
        <w:rPr>
          <w:rStyle w:val="libFootnoteBoldChar"/>
          <w:rtl/>
        </w:rPr>
        <w:t xml:space="preserve"> </w:t>
      </w:r>
      <w:r w:rsidR="00992664" w:rsidRPr="00020424">
        <w:rPr>
          <w:rtl/>
        </w:rPr>
        <w:t xml:space="preserve">، ص 88 ، ذيل ح 2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xml:space="preserve">، ص 80 ، ذيل ح 62 ، بسند آخر عن الحسين بن سعيد. </w:t>
      </w:r>
      <w:r w:rsidR="00992664" w:rsidRPr="0012008A">
        <w:rPr>
          <w:rStyle w:val="libFootnoteBoldChar"/>
          <w:rtl/>
        </w:rPr>
        <w:t>الفقيه</w:t>
      </w:r>
      <w:r w:rsidR="00992664" w:rsidRPr="00020424">
        <w:rPr>
          <w:rtl/>
        </w:rPr>
        <w:t xml:space="preserve"> ، ج 2 ، ص 96 ، ذيل ح 1833 ، معلّقاً عن جابر. راجع : </w:t>
      </w:r>
      <w:r w:rsidR="00992664" w:rsidRPr="00DE76B9">
        <w:rPr>
          <w:rStyle w:val="libFootnoteBoldChar"/>
          <w:rtl/>
        </w:rPr>
        <w:t>الكافي</w:t>
      </w:r>
      <w:r w:rsidR="00992664" w:rsidRPr="00020424">
        <w:rPr>
          <w:rtl/>
        </w:rPr>
        <w:t xml:space="preserve"> ، كتاب الصيام ، باب يوم الفطر ، ح 6642 ؛ </w:t>
      </w:r>
      <w:r w:rsidR="00992664" w:rsidRPr="00FD6221">
        <w:rPr>
          <w:rStyle w:val="libFootnoteBoldChar"/>
          <w:rtl/>
        </w:rPr>
        <w:t>والفقيه</w:t>
      </w:r>
      <w:r w:rsidR="00992664" w:rsidRPr="00020424">
        <w:rPr>
          <w:rtl/>
        </w:rPr>
        <w:t xml:space="preserve"> ، ج 1 ، ص 511 ، ح 1478 ؛ وج 2 ، ص 175 ، ح 2060 </w:t>
      </w:r>
      <w:r w:rsidR="002A3871">
        <w:rPr>
          <w:rFonts w:hint="cs"/>
          <w:rtl/>
        </w:rPr>
        <w:t>.</w:t>
      </w:r>
      <w:r w:rsidR="00992664" w:rsidRPr="0012008A">
        <w:rPr>
          <w:rStyle w:val="libFootnoteBoldChar"/>
          <w:rtl/>
        </w:rPr>
        <w:t>الوافي</w:t>
      </w:r>
      <w:r w:rsidR="00992664" w:rsidRPr="00020424">
        <w:rPr>
          <w:rtl/>
        </w:rPr>
        <w:t xml:space="preserve"> ، ج 11 ، ص 370 ، ح 11035 ؛ </w:t>
      </w:r>
      <w:r w:rsidR="00992664" w:rsidRPr="0012008A">
        <w:rPr>
          <w:rStyle w:val="libFootnoteBoldChar"/>
          <w:rtl/>
        </w:rPr>
        <w:t>الوسائل</w:t>
      </w:r>
      <w:r w:rsidR="00992664" w:rsidRPr="00020424">
        <w:rPr>
          <w:rtl/>
        </w:rPr>
        <w:t xml:space="preserve"> ، ج 10 ، ص 310 ، ح 13488 ؛ </w:t>
      </w:r>
      <w:r w:rsidR="00992664" w:rsidRPr="0012008A">
        <w:rPr>
          <w:rStyle w:val="libFootnoteBoldChar"/>
          <w:rtl/>
        </w:rPr>
        <w:t>البحار</w:t>
      </w:r>
      <w:r w:rsidR="00992664" w:rsidRPr="00020424">
        <w:rPr>
          <w:rtl/>
        </w:rPr>
        <w:t xml:space="preserve"> ، ج 63 ، ص 261 ، ح 141 ، وتمام الرواية فيه : « إذا طلع هلال شهر رمضان غلّت مردة الشياطين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مُحَمَّدِ بْنِ مَرْوَانَ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إِنَّ 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فِي </w:t>
      </w:r>
      <w:r w:rsidRPr="00A91B96">
        <w:rPr>
          <w:rStyle w:val="libFootnotenumChar"/>
          <w:rtl/>
        </w:rPr>
        <w:t>(1)</w:t>
      </w:r>
      <w:r w:rsidRPr="00020424">
        <w:rPr>
          <w:rtl/>
          <w:lang w:bidi="fa-IR"/>
        </w:rPr>
        <w:t xml:space="preserve"> كُلِّ لَيْلَةٍ مِنْ شَهْرِ رَمَضَانَ عُتَقَاءَ وَطُلَ</w:t>
      </w:r>
      <w:r w:rsidR="002A3871">
        <w:rPr>
          <w:rtl/>
          <w:lang w:bidi="fa-IR"/>
        </w:rPr>
        <w:t>قَاءَ مِنَ النَّارِ إِل</w:t>
      </w:r>
      <w:r w:rsidR="002A3871">
        <w:rPr>
          <w:rFonts w:hint="cs"/>
          <w:rtl/>
          <w:lang w:bidi="fa-IR"/>
        </w:rPr>
        <w:t>َّ</w:t>
      </w:r>
      <w:r w:rsidR="002A3871">
        <w:rPr>
          <w:rtl/>
          <w:lang w:bidi="fa-IR"/>
        </w:rPr>
        <w:t>ا</w:t>
      </w:r>
      <w:r w:rsidRPr="00020424">
        <w:rPr>
          <w:rtl/>
          <w:lang w:bidi="fa-IR"/>
        </w:rPr>
        <w:t xml:space="preserve"> مَنْ أَفْطَرَ عَلى مُسْكِرٍ </w:t>
      </w:r>
      <w:r w:rsidRPr="00A91B96">
        <w:rPr>
          <w:rStyle w:val="libFootnotenumChar"/>
          <w:rtl/>
        </w:rPr>
        <w:t>(2)</w:t>
      </w:r>
      <w:r w:rsidRPr="00020424">
        <w:rPr>
          <w:rtl/>
          <w:lang w:bidi="fa-IR"/>
        </w:rPr>
        <w:t xml:space="preserve"> ، فَإِذَا كَانَ فِي آخِرِ لَيْلَةٍ مِنْهُ ، أَعْتَقَ فِيهَا </w:t>
      </w:r>
      <w:r w:rsidRPr="00A91B96">
        <w:rPr>
          <w:rStyle w:val="libFootnotenumChar"/>
          <w:rtl/>
        </w:rPr>
        <w:t>(3)</w:t>
      </w:r>
      <w:r w:rsidRPr="00020424">
        <w:rPr>
          <w:rtl/>
          <w:lang w:bidi="fa-IR"/>
        </w:rPr>
        <w:t xml:space="preserve"> مِثْلَ مَا أَعْتَقَ فِي جَمِيعِهِ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305" w:name="_Toc345172817"/>
      <w:bookmarkStart w:id="306" w:name="_Toc464562635"/>
      <w:bookmarkStart w:id="307" w:name="_Toc44599938"/>
      <w:r w:rsidRPr="00020424">
        <w:rPr>
          <w:rtl/>
          <w:lang w:bidi="fa-IR"/>
        </w:rPr>
        <w:t>3</w:t>
      </w:r>
      <w:r>
        <w:rPr>
          <w:rtl/>
          <w:lang w:bidi="fa-IR"/>
        </w:rPr>
        <w:t xml:space="preserve"> </w:t>
      </w:r>
      <w:r w:rsidR="009B673F">
        <w:rPr>
          <w:rtl/>
          <w:lang w:bidi="fa-IR"/>
        </w:rPr>
        <w:t>-</w:t>
      </w:r>
      <w:r>
        <w:rPr>
          <w:rtl/>
          <w:lang w:bidi="fa-IR"/>
        </w:rPr>
        <w:t xml:space="preserve"> </w:t>
      </w:r>
      <w:r w:rsidRPr="00020424">
        <w:rPr>
          <w:rtl/>
          <w:lang w:bidi="fa-IR"/>
        </w:rPr>
        <w:t xml:space="preserve">بَابُ مَنْ فَطَّرَ صَائِماً </w:t>
      </w:r>
      <w:r w:rsidRPr="00A91B96">
        <w:rPr>
          <w:rStyle w:val="libFootnotenumChar"/>
          <w:rtl/>
        </w:rPr>
        <w:t>(5)</w:t>
      </w:r>
      <w:r w:rsidRPr="00020424">
        <w:rPr>
          <w:rtl/>
          <w:lang w:bidi="fa-IR"/>
        </w:rPr>
        <w:t xml:space="preserve"> ‌</w:t>
      </w:r>
      <w:bookmarkEnd w:id="305"/>
      <w:bookmarkEnd w:id="306"/>
      <w:bookmarkEnd w:id="307"/>
    </w:p>
    <w:p w:rsidR="00992664" w:rsidRPr="00020424" w:rsidRDefault="00992664" w:rsidP="00992664">
      <w:pPr>
        <w:pStyle w:val="libNormal"/>
        <w:rPr>
          <w:rtl/>
          <w:lang w:bidi="fa-IR"/>
        </w:rPr>
      </w:pPr>
      <w:r w:rsidRPr="00882A8F">
        <w:rPr>
          <w:rtl/>
        </w:rPr>
        <w:t>6276</w:t>
      </w:r>
      <w:r w:rsidRPr="001155DE">
        <w:rPr>
          <w:rStyle w:val="libBold2Char"/>
          <w:rtl/>
        </w:rPr>
        <w:t xml:space="preserve"> / 1.</w:t>
      </w:r>
      <w:r w:rsidRPr="00020424">
        <w:rPr>
          <w:rtl/>
          <w:lang w:bidi="fa-IR"/>
        </w:rPr>
        <w:t xml:space="preserve"> عَلِيُّ بْنُ إِبْرَاهِيمَ ، عَنْ أَبِيهِ ، عَنِ ابْنِ أَبِي عُمَيْرٍ ، عَنْ سَلَمَةَ صَاحِبِ السَّابِرِيِّ ، عَنْ أَبِي الصَّبَّاحِ الْكِنَانِيِّ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فَطَّرَ صَائِماً ، فَلَهُ مِثْلُ أَجْرِهِ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الكافي ، ح 12255 </w:t>
      </w:r>
      <w:r w:rsidR="00992664" w:rsidRPr="00515444">
        <w:rPr>
          <w:rStyle w:val="libFootnoteBoldChar"/>
          <w:rtl/>
        </w:rPr>
        <w:t>والتهذيب</w:t>
      </w:r>
      <w:r w:rsidR="00992664" w:rsidRPr="00020424">
        <w:rPr>
          <w:rtl/>
        </w:rPr>
        <w:t xml:space="preserve"> ، ج 9 </w:t>
      </w:r>
      <w:r w:rsidR="00992664" w:rsidRPr="00D27EE2">
        <w:rPr>
          <w:rStyle w:val="libFootnoteBoldChar"/>
          <w:rtl/>
        </w:rPr>
        <w:t>وفضائل الأشهر الثلاثة</w:t>
      </w:r>
      <w:r w:rsidR="00992664" w:rsidRPr="00020424">
        <w:rPr>
          <w:rtl/>
        </w:rPr>
        <w:t xml:space="preserve"> ، ص 107 : « عند فطر » بدل « في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16CD0" w:rsidTr="00116CD0">
        <w:tc>
          <w:tcPr>
            <w:tcW w:w="4006" w:type="dxa"/>
          </w:tcPr>
          <w:p w:rsidR="00116CD0" w:rsidRDefault="00116CD0" w:rsidP="00992664">
            <w:pPr>
              <w:pStyle w:val="libFootnote0"/>
              <w:rPr>
                <w:rtl/>
              </w:rPr>
            </w:pPr>
            <w:r>
              <w:rPr>
                <w:rtl/>
              </w:rPr>
              <w:t xml:space="preserve">(2). </w:t>
            </w:r>
            <w:r w:rsidRPr="00020424">
              <w:rPr>
                <w:rtl/>
              </w:rPr>
              <w:t xml:space="preserve">في </w:t>
            </w:r>
            <w:r w:rsidRPr="00757F3F">
              <w:rPr>
                <w:rStyle w:val="libFootnoteBoldChar"/>
                <w:rtl/>
              </w:rPr>
              <w:t>الأمالي للطوسي</w:t>
            </w:r>
            <w:r w:rsidRPr="00020424">
              <w:rPr>
                <w:rtl/>
              </w:rPr>
              <w:t xml:space="preserve"> : « منكر</w:t>
            </w:r>
            <w:r>
              <w:rPr>
                <w:rtl/>
              </w:rPr>
              <w:t xml:space="preserve"> ».</w:t>
            </w:r>
          </w:p>
        </w:tc>
        <w:tc>
          <w:tcPr>
            <w:tcW w:w="4006" w:type="dxa"/>
          </w:tcPr>
          <w:p w:rsidR="00116CD0" w:rsidRDefault="00116CD0" w:rsidP="00992664">
            <w:pPr>
              <w:pStyle w:val="libFootnote0"/>
              <w:rPr>
                <w:rtl/>
              </w:rPr>
            </w:pPr>
            <w:r>
              <w:rPr>
                <w:rtl/>
              </w:rPr>
              <w:t xml:space="preserve">(3). </w:t>
            </w:r>
            <w:r w:rsidRPr="00020424">
              <w:rPr>
                <w:rtl/>
              </w:rPr>
              <w:t>في « ى » :</w:t>
            </w:r>
            <w:r>
              <w:rPr>
                <w:rtl/>
              </w:rPr>
              <w:t xml:space="preserve"> - </w:t>
            </w:r>
            <w:r w:rsidRPr="00020424">
              <w:rPr>
                <w:rtl/>
              </w:rPr>
              <w:t>« فيها</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193 ، ح 551 ، معلّقاً عن الكليني. وفي </w:t>
      </w:r>
      <w:r w:rsidR="00992664" w:rsidRPr="00587829">
        <w:rPr>
          <w:rStyle w:val="libFootnoteBoldChar"/>
          <w:rtl/>
        </w:rPr>
        <w:t>الأمالي للصدوق</w:t>
      </w:r>
      <w:r w:rsidR="00992664" w:rsidRPr="00020424">
        <w:rPr>
          <w:rtl/>
        </w:rPr>
        <w:t xml:space="preserve"> ، ص 58 ، المجلس 14 ، ح 1 ؛ </w:t>
      </w:r>
      <w:r w:rsidR="00992664" w:rsidRPr="006C7A1F">
        <w:rPr>
          <w:rStyle w:val="libFootnoteBoldChar"/>
          <w:rtl/>
        </w:rPr>
        <w:t>وثواب الأعمال</w:t>
      </w:r>
      <w:r w:rsidR="00992664" w:rsidRPr="00020424">
        <w:rPr>
          <w:rtl/>
        </w:rPr>
        <w:t xml:space="preserve"> ، ص 90 ، ح 6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xml:space="preserve">، ص 74 ، ح 54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497 ، المجلس 7 ، ح 60 بسند آخر عن ابن أبي عمير. </w:t>
      </w:r>
      <w:r w:rsidR="00992664" w:rsidRPr="0012008A">
        <w:rPr>
          <w:rStyle w:val="libFootnoteBoldChar"/>
          <w:rtl/>
        </w:rPr>
        <w:t>الفقيه</w:t>
      </w:r>
      <w:r w:rsidR="00992664" w:rsidRPr="00020424">
        <w:rPr>
          <w:rtl/>
        </w:rPr>
        <w:t xml:space="preserve"> ، ج 2 ، ص 98 ، ح 1838 ، معلّقاً عن محمّد بن مروان. وفي </w:t>
      </w:r>
      <w:r w:rsidR="00992664" w:rsidRPr="00DE76B9">
        <w:rPr>
          <w:rStyle w:val="libFootnoteBoldChar"/>
          <w:rtl/>
        </w:rPr>
        <w:t>الكافي</w:t>
      </w:r>
      <w:r w:rsidR="00992664" w:rsidRPr="00020424">
        <w:rPr>
          <w:rtl/>
        </w:rPr>
        <w:t xml:space="preserve"> ، كتاب الأشربة ، باب النرد والشطرنج ، ح 12414 ؛ </w:t>
      </w:r>
      <w:r w:rsidR="00992664" w:rsidRPr="00515444">
        <w:rPr>
          <w:rStyle w:val="libFootnoteBoldChar"/>
          <w:rtl/>
        </w:rPr>
        <w:t>والتهذيب</w:t>
      </w:r>
      <w:r w:rsidR="00992664" w:rsidRPr="00020424">
        <w:rPr>
          <w:rtl/>
        </w:rPr>
        <w:t xml:space="preserve"> ، ج 3 ، ص 60 ، ح 203 ؛ </w:t>
      </w:r>
      <w:r w:rsidR="00992664" w:rsidRPr="006C7A1F">
        <w:rPr>
          <w:rStyle w:val="libFootnoteBoldChar"/>
          <w:rtl/>
        </w:rPr>
        <w:t>وثواب الاعمال</w:t>
      </w:r>
      <w:r w:rsidR="00992664" w:rsidRPr="00020424">
        <w:rPr>
          <w:rtl/>
        </w:rPr>
        <w:t xml:space="preserve"> ، ص 92 ، ح 10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690 ، المجلس 39 ، ح 11 ، بسند آخر. وفي </w:t>
      </w:r>
      <w:r w:rsidR="00992664" w:rsidRPr="00DE76B9">
        <w:rPr>
          <w:rStyle w:val="libFootnoteBoldChar"/>
          <w:rtl/>
        </w:rPr>
        <w:t>الكافي</w:t>
      </w:r>
      <w:r w:rsidR="00992664" w:rsidRPr="00020424">
        <w:rPr>
          <w:rtl/>
        </w:rPr>
        <w:t xml:space="preserve"> ، كتاب الأشربة ، باب آخر منه ، ح 12255 ؛ </w:t>
      </w:r>
      <w:r w:rsidR="00992664" w:rsidRPr="00515444">
        <w:rPr>
          <w:rStyle w:val="libFootnoteBoldChar"/>
          <w:rtl/>
        </w:rPr>
        <w:t>والتهذيب</w:t>
      </w:r>
      <w:r w:rsidR="00992664" w:rsidRPr="00020424">
        <w:rPr>
          <w:rtl/>
        </w:rPr>
        <w:t xml:space="preserve"> ، ج 9 ، ص 107 ، ح 436 ، بسند آخر عن أبي جعفر </w:t>
      </w:r>
      <w:r w:rsidR="00992664" w:rsidRPr="00D64ADA">
        <w:rPr>
          <w:rStyle w:val="libFootnoteAlaemChar"/>
          <w:rtl/>
        </w:rPr>
        <w:t>عليه‌السلام</w:t>
      </w:r>
      <w:r w:rsidR="00992664" w:rsidRPr="00020424">
        <w:rPr>
          <w:rtl/>
        </w:rPr>
        <w:t xml:space="preserve"> ، وفي </w:t>
      </w:r>
      <w:r w:rsidR="00646AB1">
        <w:rPr>
          <w:rtl/>
        </w:rPr>
        <w:t>الستّة الأخيرة إلى قوله : « إل</w:t>
      </w:r>
      <w:r w:rsidR="00646AB1">
        <w:rPr>
          <w:rFonts w:hint="cs"/>
          <w:rtl/>
        </w:rPr>
        <w:t>ّ</w:t>
      </w:r>
      <w:r w:rsidR="00646AB1">
        <w:rPr>
          <w:rtl/>
        </w:rPr>
        <w:t>ا</w:t>
      </w:r>
      <w:r w:rsidR="00992664" w:rsidRPr="00020424">
        <w:rPr>
          <w:rtl/>
        </w:rPr>
        <w:t xml:space="preserve"> من أفطر على مسكر » مع زيادة في آخره. </w:t>
      </w:r>
      <w:r w:rsidR="00992664" w:rsidRPr="00DE76B9">
        <w:rPr>
          <w:rStyle w:val="libFootnoteBoldChar"/>
          <w:rtl/>
        </w:rPr>
        <w:t>فضائل الأشهر الثلاثة</w:t>
      </w:r>
      <w:r w:rsidR="00992664" w:rsidRPr="00020424">
        <w:rPr>
          <w:rtl/>
        </w:rPr>
        <w:t xml:space="preserve"> ، ص 109 ، ضمن الحديث الطويل 101 ، بسند آخر عن الصادق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w:t>
      </w:r>
      <w:r w:rsidR="00992664" w:rsidRPr="00DE76B9">
        <w:rPr>
          <w:rStyle w:val="libFootnoteBoldChar"/>
          <w:rtl/>
        </w:rPr>
        <w:t>وفيه</w:t>
      </w:r>
      <w:r w:rsidR="00992664" w:rsidRPr="00020424">
        <w:rPr>
          <w:rtl/>
        </w:rPr>
        <w:t xml:space="preserve"> ، ص 104 ، ح 93 ، بسند آخر عن الباقر </w:t>
      </w:r>
      <w:r w:rsidR="00992664" w:rsidRPr="00D64ADA">
        <w:rPr>
          <w:rStyle w:val="libFootnoteAlaemChar"/>
          <w:rtl/>
        </w:rPr>
        <w:t>عليه‌السلام</w:t>
      </w:r>
      <w:r w:rsidR="00992664" w:rsidRPr="00020424">
        <w:rPr>
          <w:rtl/>
        </w:rPr>
        <w:t xml:space="preserve"> ، من قوله : « فإذا كان في آخر ليلة منه » مع اختلاف يسير </w:t>
      </w:r>
      <w:r w:rsidR="00646AB1">
        <w:rPr>
          <w:rFonts w:hint="cs"/>
          <w:rtl/>
        </w:rPr>
        <w:t>.</w:t>
      </w:r>
      <w:r w:rsidR="00992664" w:rsidRPr="0012008A">
        <w:rPr>
          <w:rStyle w:val="libFootnoteBoldChar"/>
          <w:rtl/>
        </w:rPr>
        <w:t>الوافي</w:t>
      </w:r>
      <w:r w:rsidR="00992664" w:rsidRPr="00020424">
        <w:rPr>
          <w:rtl/>
        </w:rPr>
        <w:t xml:space="preserve"> ، ج 11 ، ص 372 ، ح 11039 ؛ </w:t>
      </w:r>
      <w:r w:rsidR="00992664" w:rsidRPr="0012008A">
        <w:rPr>
          <w:rStyle w:val="libFootnoteBoldChar"/>
          <w:rtl/>
        </w:rPr>
        <w:t>الوسائل</w:t>
      </w:r>
      <w:r w:rsidR="00992664" w:rsidRPr="00020424">
        <w:rPr>
          <w:rtl/>
        </w:rPr>
        <w:t xml:space="preserve"> ، ج 10 ، ص 306 ، ح 13483.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بك » : « الصائم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201 ، ح 579 ، معلّقاً عن الكليني. </w:t>
      </w:r>
      <w:r w:rsidR="00992664" w:rsidRPr="0012008A">
        <w:rPr>
          <w:rStyle w:val="libFootnoteBoldChar"/>
          <w:rtl/>
        </w:rPr>
        <w:t>الفقيه</w:t>
      </w:r>
      <w:r w:rsidR="00992664" w:rsidRPr="00020424">
        <w:rPr>
          <w:rtl/>
        </w:rPr>
        <w:t xml:space="preserve"> ، ج 2 ، ص 134 ، ح 1952 ، معلّقاً عن أبي الصبّاح الكناني. </w:t>
      </w:r>
      <w:r w:rsidR="00992664" w:rsidRPr="00E82BAA">
        <w:rPr>
          <w:rStyle w:val="libFootnoteBoldChar"/>
          <w:rtl/>
        </w:rPr>
        <w:t>النوادر للأشعري</w:t>
      </w:r>
      <w:r w:rsidR="00992664" w:rsidRPr="00020424">
        <w:rPr>
          <w:rtl/>
        </w:rPr>
        <w:t xml:space="preserve"> ، ص 16 ، ضمن ح 2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التهذيب</w:t>
      </w:r>
      <w:r w:rsidR="00992664" w:rsidRPr="00020424">
        <w:rPr>
          <w:rtl/>
        </w:rPr>
        <w:t xml:space="preserve"> ، ج 4 ، ص 201 ، ح 582 ، بسند آخر عن أبي عبدالله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342 ، مرسلاً </w:t>
      </w:r>
      <w:r w:rsidR="00646AB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04D24">
        <w:rPr>
          <w:rtl/>
        </w:rPr>
        <w:t>6277</w:t>
      </w:r>
      <w:r w:rsidRPr="001155DE">
        <w:rPr>
          <w:rStyle w:val="libBold2Char"/>
          <w:rtl/>
        </w:rPr>
        <w:t xml:space="preserve"> / 2.</w:t>
      </w:r>
      <w:r w:rsidRPr="00020424">
        <w:rPr>
          <w:rtl/>
          <w:lang w:bidi="fa-IR"/>
        </w:rPr>
        <w:t xml:space="preserve"> عِدَّةٌ مِنْ أَصْحَابِنَا ، عَنْ أَحْمَدَ بْنِ أَبِي عَبْدِ اللهِ </w:t>
      </w:r>
      <w:r w:rsidRPr="00A91B96">
        <w:rPr>
          <w:rStyle w:val="libFootnotenumChar"/>
          <w:rtl/>
        </w:rPr>
        <w:t>(1)</w:t>
      </w:r>
      <w:r w:rsidRPr="00020424">
        <w:rPr>
          <w:rtl/>
          <w:lang w:bidi="fa-IR"/>
        </w:rPr>
        <w:t xml:space="preserve"> ، عَنْ أَبِيهِ ، عَنْ سَعْدَانَ بْنِ مُسْلِمٍ ، عَنْ مُوسَى بْنِ بَكْرٍ :</w:t>
      </w:r>
    </w:p>
    <w:p w:rsidR="00992664" w:rsidRPr="00020424" w:rsidRDefault="00992664" w:rsidP="00992664">
      <w:pPr>
        <w:pStyle w:val="libNormal"/>
        <w:rPr>
          <w:rtl/>
          <w:lang w:bidi="fa-IR"/>
        </w:rPr>
      </w:pPr>
      <w:r w:rsidRPr="00020424">
        <w:rPr>
          <w:rtl/>
          <w:lang w:bidi="fa-IR"/>
        </w:rPr>
        <w:t xml:space="preserve">عَنْ أَبِي الْحَسَنِ مُوسى </w:t>
      </w:r>
      <w:r w:rsidRPr="00A91B96">
        <w:rPr>
          <w:rStyle w:val="libFootnotenumChar"/>
          <w:rtl/>
        </w:rPr>
        <w:t>(2)</w:t>
      </w:r>
      <w:r w:rsidRPr="00020424">
        <w:rPr>
          <w:rtl/>
          <w:lang w:bidi="fa-IR"/>
        </w:rPr>
        <w:t xml:space="preserve"> </w:t>
      </w:r>
      <w:r w:rsidRPr="00005A81">
        <w:rPr>
          <w:rStyle w:val="libAlaemChar"/>
          <w:rtl/>
        </w:rPr>
        <w:t>عليه‌السلام</w:t>
      </w:r>
      <w:r w:rsidRPr="00020424">
        <w:rPr>
          <w:rtl/>
          <w:lang w:bidi="fa-IR"/>
        </w:rPr>
        <w:t xml:space="preserve"> ، قَالَ : « فِطْرُكَ </w:t>
      </w:r>
      <w:r w:rsidRPr="00A91B96">
        <w:rPr>
          <w:rStyle w:val="libFootnotenumChar"/>
          <w:rtl/>
        </w:rPr>
        <w:t>(3)</w:t>
      </w:r>
      <w:r w:rsidRPr="00020424">
        <w:rPr>
          <w:rtl/>
          <w:lang w:bidi="fa-IR"/>
        </w:rPr>
        <w:t xml:space="preserve"> أَخَاكَ الصَّائِمَ أَفْضَلُ مِنْ صِيَامِكَ</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04D24">
        <w:rPr>
          <w:rtl/>
        </w:rPr>
        <w:t>6278</w:t>
      </w:r>
      <w:r w:rsidRPr="001155DE">
        <w:rPr>
          <w:rStyle w:val="libBold2Char"/>
          <w:rtl/>
        </w:rPr>
        <w:t xml:space="preserve"> / 3.</w:t>
      </w:r>
      <w:r w:rsidRPr="00020424">
        <w:rPr>
          <w:rtl/>
          <w:lang w:bidi="fa-IR"/>
        </w:rPr>
        <w:t xml:space="preserve"> أَحْمَدُ </w:t>
      </w:r>
      <w:r w:rsidRPr="00A91B96">
        <w:rPr>
          <w:rStyle w:val="libFootnotenumChar"/>
          <w:rtl/>
        </w:rPr>
        <w:t>(5)</w:t>
      </w:r>
      <w:r w:rsidRPr="00020424">
        <w:rPr>
          <w:rtl/>
          <w:lang w:bidi="fa-IR"/>
        </w:rPr>
        <w:t xml:space="preserve"> ، عَنْ مُحَمَّدِ بْنِ عَلِيٍّ </w:t>
      </w:r>
      <w:r w:rsidRPr="00A91B96">
        <w:rPr>
          <w:rStyle w:val="libFootnotenumChar"/>
          <w:rtl/>
        </w:rPr>
        <w:t>(6)</w:t>
      </w:r>
      <w:r w:rsidRPr="00020424">
        <w:rPr>
          <w:rtl/>
          <w:lang w:bidi="fa-IR"/>
        </w:rPr>
        <w:t xml:space="preserve"> ، عَنْ عَلِيِّ بْنِ أَسْبَاطٍ ، عَنْ سَيَابَةَ ، عَنْ </w:t>
      </w:r>
      <w:r w:rsidRPr="00A91B96">
        <w:rPr>
          <w:rStyle w:val="libFootnotenumChar"/>
          <w:rtl/>
        </w:rPr>
        <w:t>(7)</w:t>
      </w:r>
      <w:r w:rsidRPr="00020424">
        <w:rPr>
          <w:rtl/>
          <w:lang w:bidi="fa-IR"/>
        </w:rPr>
        <w:t xml:space="preserve"> ضُرَيْسٍ </w:t>
      </w:r>
      <w:r w:rsidRPr="00A91B96">
        <w:rPr>
          <w:rStyle w:val="libFootnotenumChar"/>
          <w:rtl/>
        </w:rPr>
        <w:t>(8)</w:t>
      </w:r>
      <w:r w:rsidRPr="00020424">
        <w:rPr>
          <w:rtl/>
          <w:lang w:bidi="fa-IR"/>
        </w:rPr>
        <w:t xml:space="preserve"> ، عَنْ حَمْزَةَ بْنِ حُمْرَانَ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عَلِيُّ بْنُ الْحُسَيْنِ </w:t>
      </w:r>
      <w:r w:rsidRPr="00005A81">
        <w:rPr>
          <w:rStyle w:val="libAlaemChar"/>
          <w:rtl/>
        </w:rPr>
        <w:t>عليهما‌السلام</w:t>
      </w:r>
      <w:r w:rsidRPr="00020424">
        <w:rPr>
          <w:rtl/>
          <w:lang w:bidi="fa-IR"/>
        </w:rPr>
        <w:t xml:space="preserve"> إِذَا كَانَ الْيَوْمُ الَّذِي يَصُومُ فِيهِ ، أَمَرَ بِشَاةٍ ، فَتُذْبَحُ </w:t>
      </w:r>
      <w:r w:rsidRPr="00A91B96">
        <w:rPr>
          <w:rStyle w:val="libFootnotenumChar"/>
          <w:rtl/>
        </w:rPr>
        <w:t>(9)</w:t>
      </w:r>
      <w:r w:rsidRPr="00020424">
        <w:rPr>
          <w:rtl/>
          <w:lang w:bidi="fa-IR"/>
        </w:rPr>
        <w:t xml:space="preserve"> ، وَتُقْطَعُ </w:t>
      </w:r>
      <w:r w:rsidRPr="00A91B96">
        <w:rPr>
          <w:rStyle w:val="libFootnotenumChar"/>
          <w:rtl/>
        </w:rPr>
        <w:t>(10)</w:t>
      </w:r>
      <w:r w:rsidRPr="00020424">
        <w:rPr>
          <w:rtl/>
          <w:lang w:bidi="fa-IR"/>
        </w:rPr>
        <w:t xml:space="preserve"> أَعْضَاءً </w:t>
      </w:r>
      <w:r w:rsidRPr="00A91B96">
        <w:rPr>
          <w:rStyle w:val="libFootnotenumChar"/>
          <w:rtl/>
        </w:rPr>
        <w:t>(11)</w:t>
      </w:r>
      <w:r w:rsidRPr="00020424">
        <w:rPr>
          <w:rtl/>
          <w:lang w:bidi="fa-IR"/>
        </w:rPr>
        <w:t xml:space="preserve"> ،</w:t>
      </w:r>
      <w:r w:rsidR="00BB7080">
        <w:rPr>
          <w:rFonts w:hint="cs"/>
          <w:rtl/>
          <w:lang w:bidi="fa-IR"/>
        </w:rPr>
        <w:t>............................</w:t>
      </w:r>
      <w:r w:rsidR="00BB7080">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A143EB" w:rsidP="00992664">
      <w:pPr>
        <w:pStyle w:val="libFootnote0"/>
        <w:rPr>
          <w:rtl/>
          <w:lang w:bidi="fa-IR"/>
        </w:rPr>
      </w:pPr>
      <w:r>
        <w:rPr>
          <w:rFonts w:hint="cs"/>
          <w:rtl/>
        </w:rPr>
        <w:t xml:space="preserve">= </w:t>
      </w:r>
      <w:r w:rsidR="00992664" w:rsidRPr="00020424">
        <w:rPr>
          <w:rtl/>
        </w:rPr>
        <w:t xml:space="preserve">عن الصادق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الأخيرين مع زيادة في آخره </w:t>
      </w:r>
      <w:r w:rsidR="001C2D5B">
        <w:rPr>
          <w:rFonts w:hint="cs"/>
          <w:rtl/>
        </w:rPr>
        <w:t>.</w:t>
      </w:r>
      <w:r w:rsidR="00992664" w:rsidRPr="0012008A">
        <w:rPr>
          <w:rStyle w:val="libFootnoteBoldChar"/>
          <w:rtl/>
        </w:rPr>
        <w:t>الوافي</w:t>
      </w:r>
      <w:r w:rsidR="00992664" w:rsidRPr="00020424">
        <w:rPr>
          <w:rtl/>
        </w:rPr>
        <w:t xml:space="preserve"> ، ج 11 ، ص 251 ، ح 10799 ؛ </w:t>
      </w:r>
      <w:r w:rsidR="00992664" w:rsidRPr="0012008A">
        <w:rPr>
          <w:rStyle w:val="libFootnoteBoldChar"/>
          <w:rtl/>
        </w:rPr>
        <w:t>الوسائل</w:t>
      </w:r>
      <w:r w:rsidR="00992664" w:rsidRPr="00020424">
        <w:rPr>
          <w:rtl/>
        </w:rPr>
        <w:t xml:space="preserve"> ، ج 10 ، ص 138 ، ح 13046.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أحمد بن محمّد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جن » :</w:t>
      </w:r>
      <w:r w:rsidR="00992664">
        <w:rPr>
          <w:rtl/>
        </w:rPr>
        <w:t xml:space="preserve"> </w:t>
      </w:r>
      <w:r w:rsidR="009B673F">
        <w:rPr>
          <w:rtl/>
        </w:rPr>
        <w:t>-</w:t>
      </w:r>
      <w:r w:rsidR="00992664">
        <w:rPr>
          <w:rtl/>
        </w:rPr>
        <w:t xml:space="preserve"> </w:t>
      </w:r>
      <w:r w:rsidR="00992664" w:rsidRPr="00020424">
        <w:rPr>
          <w:rtl/>
        </w:rPr>
        <w:t>« أبي الحسن</w:t>
      </w:r>
      <w:r w:rsidR="00992664">
        <w:rPr>
          <w:rtl/>
        </w:rPr>
        <w:t xml:space="preserve"> ».</w:t>
      </w:r>
      <w:r w:rsidR="00992664" w:rsidRPr="00020424">
        <w:rPr>
          <w:rtl/>
        </w:rPr>
        <w:t xml:space="preserve"> وفي « بف ، جر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موسى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تفطيرك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D64ADA" w:rsidRPr="00D64ADA">
        <w:rPr>
          <w:rStyle w:val="libFootnoteBoldChar"/>
          <w:rtl/>
        </w:rPr>
        <w:t>المحاسن</w:t>
      </w:r>
      <w:r w:rsidR="00992664" w:rsidRPr="00020424">
        <w:rPr>
          <w:rtl/>
        </w:rPr>
        <w:t xml:space="preserve"> ، ص 396 ، كتاب المآكل ، ح 66. وفي </w:t>
      </w:r>
      <w:r w:rsidR="00992664" w:rsidRPr="0012008A">
        <w:rPr>
          <w:rStyle w:val="libFootnoteBoldChar"/>
          <w:rtl/>
        </w:rPr>
        <w:t>التهذيب</w:t>
      </w:r>
      <w:r w:rsidR="00992664" w:rsidRPr="00020424">
        <w:rPr>
          <w:rtl/>
        </w:rPr>
        <w:t xml:space="preserve"> ، ج 4 ، ص 201 ، ح 580 ، معلّقاً عن الكليني. </w:t>
      </w:r>
      <w:r w:rsidR="00992664" w:rsidRPr="0012008A">
        <w:rPr>
          <w:rStyle w:val="libFootnoteBoldChar"/>
          <w:rtl/>
        </w:rPr>
        <w:t>الفقيه</w:t>
      </w:r>
      <w:r w:rsidR="00992664" w:rsidRPr="00020424">
        <w:rPr>
          <w:rtl/>
        </w:rPr>
        <w:t xml:space="preserve"> ، ج 2 ، ص 134 ، ح 1954 ، معلّقاً عن موسى بن بكر </w:t>
      </w:r>
      <w:r w:rsidR="00992664" w:rsidRPr="0012008A">
        <w:rPr>
          <w:rStyle w:val="libFootnoteBoldChar"/>
          <w:rtl/>
        </w:rPr>
        <w:t>الوافي</w:t>
      </w:r>
      <w:r w:rsidR="00992664" w:rsidRPr="00020424">
        <w:rPr>
          <w:rtl/>
        </w:rPr>
        <w:t xml:space="preserve"> ، ج 11 ، ص 251 ، ح 10800 ؛ </w:t>
      </w:r>
      <w:r w:rsidR="00992664" w:rsidRPr="0012008A">
        <w:rPr>
          <w:rStyle w:val="libFootnoteBoldChar"/>
          <w:rtl/>
        </w:rPr>
        <w:t>الوسائل</w:t>
      </w:r>
      <w:r w:rsidR="00992664" w:rsidRPr="00020424">
        <w:rPr>
          <w:rtl/>
        </w:rPr>
        <w:t xml:space="preserve"> ، ج 10 ، ص 139 ، ح 13048.</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أحمد ، عدّة من أصحابنا.</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بر ، بف » </w:t>
      </w:r>
      <w:r w:rsidR="00992664" w:rsidRPr="00EB1FD9">
        <w:rPr>
          <w:rStyle w:val="libFootnoteBoldChar"/>
          <w:rtl/>
        </w:rPr>
        <w:t>والوسائل</w:t>
      </w:r>
      <w:r w:rsidR="00992664" w:rsidRPr="00020424">
        <w:rPr>
          <w:rtl/>
        </w:rPr>
        <w:t>. وفي « بث » : « أحمد بن محمّد ، عن محمّد بن عليّ</w:t>
      </w:r>
      <w:r w:rsidR="00992664">
        <w:rPr>
          <w:rtl/>
        </w:rPr>
        <w:t xml:space="preserve"> ».</w:t>
      </w:r>
      <w:r w:rsidR="00992664" w:rsidRPr="00020424">
        <w:rPr>
          <w:rtl/>
        </w:rPr>
        <w:t xml:space="preserve"> وفي « بس » : « أحمد بن محمّد</w:t>
      </w:r>
      <w:r w:rsidR="00992664">
        <w:rPr>
          <w:rtl/>
        </w:rPr>
        <w:t xml:space="preserve"> ».</w:t>
      </w:r>
      <w:r w:rsidR="00992664" w:rsidRPr="00020424">
        <w:rPr>
          <w:rtl/>
        </w:rPr>
        <w:t xml:space="preserve"> وفي « ظ ، ى ، بح ، بخ ، جن » والمطبوع : « أحمد بن محمّد بن عليّ</w:t>
      </w:r>
      <w:r w:rsidR="00992664">
        <w:rPr>
          <w:rtl/>
        </w:rPr>
        <w:t xml:space="preserve"> ».</w:t>
      </w:r>
    </w:p>
    <w:p w:rsidR="00992664" w:rsidRPr="00020424" w:rsidRDefault="00992664" w:rsidP="001C2D5B">
      <w:pPr>
        <w:pStyle w:val="libFootnote0"/>
        <w:rPr>
          <w:rtl/>
          <w:lang w:bidi="fa-IR"/>
        </w:rPr>
      </w:pPr>
      <w:r w:rsidRPr="001C2D5B">
        <w:rPr>
          <w:rtl/>
        </w:rPr>
        <w:t xml:space="preserve">والمراد من أحمد هو أحمد بن أبي عبد الله المذكور في السند السابق. ويروي هو عن محمّد بن عليّ عن عليّ بن أسباط في عددٍ من الأسناد ، ولم نجد رواية أحمد بن محمّد بن عليّ عن عليّ بن أسباط في موضع. راجع : </w:t>
      </w:r>
      <w:r w:rsidRPr="00DE76B9">
        <w:rPr>
          <w:rStyle w:val="libFootnoteBoldChar"/>
          <w:rtl/>
        </w:rPr>
        <w:t>معجم رجال الحديث</w:t>
      </w:r>
      <w:r w:rsidRPr="001C2D5B">
        <w:rPr>
          <w:rtl/>
        </w:rPr>
        <w:t xml:space="preserve"> ، ج 16 ، ص 445 ؛ </w:t>
      </w:r>
      <w:r w:rsidR="00D64ADA" w:rsidRPr="00D64ADA">
        <w:rPr>
          <w:rStyle w:val="libFootnoteBoldChar"/>
          <w:rtl/>
        </w:rPr>
        <w:t>المحاسن</w:t>
      </w:r>
      <w:r w:rsidRPr="001C2D5B">
        <w:rPr>
          <w:rtl/>
        </w:rPr>
        <w:t xml:space="preserve"> ، ج 1 ، ص 33 ، ح 25 ؛ ج 2 ، ص 421 ، ح 200 ؛ ص 453 ، ح 370 ؛ ص 626 ، ذيل ح 91 </w:t>
      </w:r>
      <w:r w:rsidR="009B673F" w:rsidRPr="001C2D5B">
        <w:rPr>
          <w:rtl/>
        </w:rPr>
        <w:t>-</w:t>
      </w:r>
      <w:r w:rsidRPr="001C2D5B">
        <w:rPr>
          <w:rtl/>
        </w:rPr>
        <w:t xml:space="preserve"> 92 ؛ ص 628 ، ح 99 ؛ وص 633 ، ح 116.</w:t>
      </w:r>
    </w:p>
    <w:p w:rsidR="00992664" w:rsidRPr="00020424" w:rsidRDefault="00992664" w:rsidP="001C2D5B">
      <w:pPr>
        <w:pStyle w:val="libFootnote0"/>
        <w:rPr>
          <w:rtl/>
          <w:lang w:bidi="fa-IR"/>
        </w:rPr>
      </w:pPr>
      <w:r w:rsidRPr="001C2D5B">
        <w:rPr>
          <w:rtl/>
        </w:rPr>
        <w:t xml:space="preserve">وأمّا ما ورد في </w:t>
      </w:r>
      <w:r w:rsidR="00D64ADA" w:rsidRPr="00D64ADA">
        <w:rPr>
          <w:rStyle w:val="libFootnoteBoldChar"/>
          <w:rtl/>
        </w:rPr>
        <w:t>المحاسن</w:t>
      </w:r>
      <w:r w:rsidRPr="001C2D5B">
        <w:rPr>
          <w:rtl/>
        </w:rPr>
        <w:t xml:space="preserve"> ، ج 2 ، ص 396 ، ح 67 من نقل الخبر عن محمّد بن عليّ بن أسباط ، فهو محرّف ، والصواب فيه أيضاً : محمّد بن عليّ عن عليّ بن أسباط ، كما ورد في </w:t>
      </w:r>
      <w:r w:rsidRPr="0012008A">
        <w:rPr>
          <w:rStyle w:val="libFootnoteBoldChar"/>
          <w:rtl/>
        </w:rPr>
        <w:t>البحار</w:t>
      </w:r>
      <w:r w:rsidRPr="001C2D5B">
        <w:rPr>
          <w:rtl/>
        </w:rPr>
        <w:t xml:space="preserve"> ، ج 93 ، ص 317 ، ح 6.</w:t>
      </w:r>
    </w:p>
    <w:tbl>
      <w:tblPr>
        <w:tblStyle w:val="TableGrid"/>
        <w:bidiVisual/>
        <w:tblW w:w="0" w:type="auto"/>
        <w:tblLook w:val="04A0" w:firstRow="1" w:lastRow="0" w:firstColumn="1" w:lastColumn="0" w:noHBand="0" w:noVBand="1"/>
      </w:tblPr>
      <w:tblGrid>
        <w:gridCol w:w="4006"/>
        <w:gridCol w:w="4006"/>
      </w:tblGrid>
      <w:tr w:rsidR="001C2D5B" w:rsidTr="001C2D5B">
        <w:tc>
          <w:tcPr>
            <w:tcW w:w="4006" w:type="dxa"/>
          </w:tcPr>
          <w:p w:rsidR="001C2D5B" w:rsidRDefault="001C2D5B" w:rsidP="001C2D5B">
            <w:pPr>
              <w:pStyle w:val="libFootnote0"/>
              <w:rPr>
                <w:rtl/>
              </w:rPr>
            </w:pPr>
            <w:r>
              <w:rPr>
                <w:rtl/>
              </w:rPr>
              <w:t xml:space="preserve">(7). </w:t>
            </w:r>
            <w:r w:rsidRPr="00020424">
              <w:rPr>
                <w:rtl/>
              </w:rPr>
              <w:t>في « بر » : « بن</w:t>
            </w:r>
            <w:r>
              <w:rPr>
                <w:rtl/>
              </w:rPr>
              <w:t xml:space="preserve"> ».</w:t>
            </w:r>
          </w:p>
        </w:tc>
        <w:tc>
          <w:tcPr>
            <w:tcW w:w="4006" w:type="dxa"/>
          </w:tcPr>
          <w:p w:rsidR="001C2D5B" w:rsidRDefault="001C2D5B" w:rsidP="001C2D5B">
            <w:pPr>
              <w:pStyle w:val="libFootnote0"/>
              <w:rPr>
                <w:rtl/>
              </w:rPr>
            </w:pPr>
            <w:r>
              <w:rPr>
                <w:rtl/>
              </w:rPr>
              <w:t xml:space="preserve">(8). </w:t>
            </w:r>
            <w:r w:rsidRPr="00020424">
              <w:rPr>
                <w:rtl/>
              </w:rPr>
              <w:t>في « بس » وحاشية « ى ، بف » : « يونس</w:t>
            </w:r>
            <w:r>
              <w:rPr>
                <w:rtl/>
              </w:rPr>
              <w:t xml:space="preserve"> ».</w:t>
            </w:r>
          </w:p>
        </w:tc>
      </w:tr>
      <w:tr w:rsidR="001C2D5B" w:rsidTr="001C2D5B">
        <w:tc>
          <w:tcPr>
            <w:tcW w:w="4006" w:type="dxa"/>
          </w:tcPr>
          <w:p w:rsidR="001C2D5B" w:rsidRDefault="001C2D5B" w:rsidP="001C2D5B">
            <w:pPr>
              <w:pStyle w:val="libFootnote0"/>
              <w:rPr>
                <w:rtl/>
              </w:rPr>
            </w:pPr>
            <w:r>
              <w:rPr>
                <w:rtl/>
              </w:rPr>
              <w:t xml:space="preserve">(9). </w:t>
            </w:r>
            <w:r w:rsidRPr="00020424">
              <w:rPr>
                <w:rtl/>
              </w:rPr>
              <w:t>في « بر ، بك » : « فيذبح</w:t>
            </w:r>
            <w:r>
              <w:rPr>
                <w:rtl/>
              </w:rPr>
              <w:t xml:space="preserve"> ».</w:t>
            </w:r>
          </w:p>
        </w:tc>
        <w:tc>
          <w:tcPr>
            <w:tcW w:w="4006" w:type="dxa"/>
          </w:tcPr>
          <w:p w:rsidR="001C2D5B" w:rsidRDefault="006A5D6C" w:rsidP="001C2D5B">
            <w:pPr>
              <w:pStyle w:val="libFootnote0"/>
              <w:rPr>
                <w:rtl/>
              </w:rPr>
            </w:pPr>
            <w:r>
              <w:rPr>
                <w:rtl/>
              </w:rPr>
              <w:t xml:space="preserve">(10). </w:t>
            </w:r>
            <w:r w:rsidRPr="00020424">
              <w:rPr>
                <w:rtl/>
              </w:rPr>
              <w:t>في « بر ، بك » : « ويقطع</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بف » </w:t>
      </w:r>
      <w:r w:rsidR="00992664" w:rsidRPr="00515444">
        <w:rPr>
          <w:rStyle w:val="libFootnoteBoldChar"/>
          <w:rtl/>
        </w:rPr>
        <w:t>والوافي</w:t>
      </w:r>
      <w:r w:rsidR="00992664" w:rsidRPr="00020424">
        <w:rPr>
          <w:rtl/>
        </w:rPr>
        <w:t xml:space="preserve"> : « أعضاؤه</w:t>
      </w:r>
      <w:r w:rsidR="00992664">
        <w:rPr>
          <w:rtl/>
        </w:rPr>
        <w:t xml:space="preserve"> ».</w:t>
      </w:r>
      <w:r w:rsidR="00992664" w:rsidRPr="00020424">
        <w:rPr>
          <w:rtl/>
        </w:rPr>
        <w:t xml:space="preserve"> وفي « ى » : « أعضائه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وَتُطْبَخُ </w:t>
      </w:r>
      <w:r w:rsidRPr="00A91B96">
        <w:rPr>
          <w:rStyle w:val="libFootnotenumChar"/>
          <w:rtl/>
        </w:rPr>
        <w:t>(1)</w:t>
      </w:r>
      <w:r w:rsidRPr="00020424">
        <w:rPr>
          <w:rtl/>
          <w:lang w:bidi="fa-IR"/>
        </w:rPr>
        <w:t xml:space="preserve"> ، فَإِذَا كَانَ عِنْدَ </w:t>
      </w:r>
      <w:r w:rsidRPr="00A91B96">
        <w:rPr>
          <w:rStyle w:val="libFootnotenumChar"/>
          <w:rtl/>
        </w:rPr>
        <w:t>(2)</w:t>
      </w:r>
      <w:r w:rsidRPr="00020424">
        <w:rPr>
          <w:rtl/>
          <w:lang w:bidi="fa-IR"/>
        </w:rPr>
        <w:t xml:space="preserve"> الْمَسَاءِ ، أَكَبَّ عَلَى الْقُدُورِ </w:t>
      </w:r>
      <w:r w:rsidRPr="00A91B96">
        <w:rPr>
          <w:rStyle w:val="libFootnotenumChar"/>
          <w:rtl/>
        </w:rPr>
        <w:t>(3)</w:t>
      </w:r>
      <w:r w:rsidRPr="00020424">
        <w:rPr>
          <w:rtl/>
          <w:lang w:bidi="fa-IR"/>
        </w:rPr>
        <w:t xml:space="preserve"> حَتّى يَجِدَ رِيحَ الْمَرَقِ </w:t>
      </w:r>
      <w:r w:rsidRPr="00A91B96">
        <w:rPr>
          <w:rStyle w:val="libFootnotenumChar"/>
          <w:rtl/>
        </w:rPr>
        <w:t>(4)</w:t>
      </w:r>
      <w:r w:rsidRPr="00020424">
        <w:rPr>
          <w:rtl/>
          <w:lang w:bidi="fa-IR"/>
        </w:rPr>
        <w:t xml:space="preserve"> وَهُوَ صَائِمٌ ، ثُمَّ يَقُولُ : هَاتُوا الْقِصَاعَ </w:t>
      </w:r>
      <w:r w:rsidRPr="00A91B96">
        <w:rPr>
          <w:rStyle w:val="libFootnotenumChar"/>
          <w:rtl/>
        </w:rPr>
        <w:t>(5)</w:t>
      </w:r>
      <w:r w:rsidRPr="00020424">
        <w:rPr>
          <w:rtl/>
          <w:lang w:bidi="fa-IR"/>
        </w:rPr>
        <w:t xml:space="preserve"> ، اغْرِفُوا </w:t>
      </w:r>
      <w:r w:rsidRPr="00A91B96">
        <w:rPr>
          <w:rStyle w:val="libFootnotenumChar"/>
          <w:rtl/>
        </w:rPr>
        <w:t>(6)</w:t>
      </w:r>
      <w:r w:rsidRPr="00020424">
        <w:rPr>
          <w:rtl/>
          <w:lang w:bidi="fa-IR"/>
        </w:rPr>
        <w:t xml:space="preserve"> لآِلِ فُلَانٍ ، وَاغْرِفُوا </w:t>
      </w:r>
      <w:r w:rsidRPr="00A91B96">
        <w:rPr>
          <w:rStyle w:val="libFootnotenumChar"/>
          <w:rtl/>
        </w:rPr>
        <w:t>(7)</w:t>
      </w:r>
      <w:r w:rsidRPr="00020424">
        <w:rPr>
          <w:rtl/>
          <w:lang w:bidi="fa-IR"/>
        </w:rPr>
        <w:t xml:space="preserve"> لآِلِ فُلَانٍ ، ثُمَّ يُؤْتى بِخُبْزٍ وَتَمْرٍ </w:t>
      </w:r>
      <w:r w:rsidRPr="00A91B96">
        <w:rPr>
          <w:rStyle w:val="libFootnotenumChar"/>
          <w:rtl/>
        </w:rPr>
        <w:t>(8)</w:t>
      </w:r>
      <w:r w:rsidRPr="00020424">
        <w:rPr>
          <w:rtl/>
          <w:lang w:bidi="fa-IR"/>
        </w:rPr>
        <w:t xml:space="preserve"> ، فَيَكُونُ ذلِكَ عَشَاءَهُ </w:t>
      </w:r>
      <w:r w:rsidRPr="00A91B96">
        <w:rPr>
          <w:rStyle w:val="libFootnotenumChar"/>
          <w:rtl/>
        </w:rPr>
        <w:t>(9)</w:t>
      </w:r>
      <w:r w:rsidRPr="00020424">
        <w:rPr>
          <w:rtl/>
          <w:lang w:bidi="fa-IR"/>
        </w:rPr>
        <w:t xml:space="preserve"> صَلَّى اللهُ عَلَيْهِ وَعَلى آبَائِهِ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D04D24">
        <w:rPr>
          <w:rtl/>
        </w:rPr>
        <w:t>6279</w:t>
      </w:r>
      <w:r w:rsidRPr="001155DE">
        <w:rPr>
          <w:rStyle w:val="libBold2Char"/>
          <w:rtl/>
        </w:rPr>
        <w:t xml:space="preserve"> / 4.</w:t>
      </w:r>
      <w:r w:rsidRPr="00020424">
        <w:rPr>
          <w:rtl/>
          <w:lang w:bidi="fa-IR"/>
        </w:rPr>
        <w:t xml:space="preserve"> عَلِيُّ بْنُ إِبْرَاهِيمَ ، عَنْ هَارُونَ بْنِ مُسْلِمٍ ، عَنْ مَسْعَدَةَ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 عَنْ أَبِيهِ </w:t>
      </w:r>
      <w:r w:rsidRPr="00A91B96">
        <w:rPr>
          <w:rStyle w:val="libFootnotenumChar"/>
          <w:rtl/>
        </w:rPr>
        <w:t>(13)</w:t>
      </w:r>
      <w:r w:rsidRPr="00020424">
        <w:rPr>
          <w:rtl/>
          <w:lang w:bidi="fa-IR"/>
        </w:rPr>
        <w:t xml:space="preserve"> </w:t>
      </w:r>
      <w:r w:rsidRPr="00005A81">
        <w:rPr>
          <w:rStyle w:val="libAlaemChar"/>
          <w:rtl/>
        </w:rPr>
        <w:t>عليهما‌السلام</w:t>
      </w:r>
      <w:r w:rsidRPr="00020424">
        <w:rPr>
          <w:rtl/>
          <w:lang w:bidi="fa-IR"/>
        </w:rPr>
        <w:t xml:space="preserve"> ، قَالَ : « دَخَلَ سَدِيرٌ عَلى أَبِي </w:t>
      </w:r>
      <w:r w:rsidRPr="00005A81">
        <w:rPr>
          <w:rStyle w:val="libAlaemChar"/>
          <w:rtl/>
        </w:rPr>
        <w:t>عليه‌السلام</w:t>
      </w:r>
      <w:r w:rsidRPr="00020424">
        <w:rPr>
          <w:rtl/>
          <w:lang w:bidi="fa-IR"/>
        </w:rPr>
        <w:t xml:space="preserve"> فِي شَهْرِ رَمَضَانَ ، فَقَالَ </w:t>
      </w:r>
      <w:r w:rsidRPr="00A91B96">
        <w:rPr>
          <w:rStyle w:val="libFootnotenumChar"/>
          <w:rtl/>
        </w:rPr>
        <w:t>(14)</w:t>
      </w:r>
      <w:r w:rsidRPr="00020424">
        <w:rPr>
          <w:rtl/>
          <w:lang w:bidi="fa-IR"/>
        </w:rPr>
        <w:t xml:space="preserve"> : يَا سَدِيرُ ، هَلْ تَدْرِي </w:t>
      </w:r>
      <w:r w:rsidRPr="00A91B96">
        <w:rPr>
          <w:rStyle w:val="libFootnotenumChar"/>
          <w:rtl/>
        </w:rPr>
        <w:t>(15)</w:t>
      </w:r>
      <w:r w:rsidRPr="00020424">
        <w:rPr>
          <w:rtl/>
          <w:lang w:bidi="fa-IR"/>
        </w:rPr>
        <w:t xml:space="preserve"> أَيُّ اللَّيَالِي هذِهِ</w:t>
      </w:r>
      <w:r>
        <w:rPr>
          <w:rtl/>
          <w:lang w:bidi="fa-IR"/>
        </w:rPr>
        <w:t>؟</w:t>
      </w:r>
      <w:r w:rsidRPr="00020424">
        <w:rPr>
          <w:rtl/>
          <w:lang w:bidi="fa-IR"/>
        </w:rPr>
        <w:t xml:space="preserve"> فَقَالَ : نَعَمْ ، فِدَاكَ أَبِي ، هذِهِ لَيَالِي شَهْرِ رَمَضَانَ فَمَا ذَاكَ</w:t>
      </w:r>
      <w:r>
        <w:rPr>
          <w:rtl/>
          <w:lang w:bidi="fa-IR"/>
        </w:rPr>
        <w:t>؟</w:t>
      </w:r>
    </w:p>
    <w:p w:rsidR="00992664" w:rsidRPr="00020424" w:rsidRDefault="00992664" w:rsidP="00992664">
      <w:pPr>
        <w:pStyle w:val="libNormal"/>
        <w:rPr>
          <w:rtl/>
          <w:lang w:bidi="fa-IR"/>
        </w:rPr>
      </w:pPr>
      <w:r>
        <w:rPr>
          <w:rtl/>
          <w:lang w:bidi="fa-IR"/>
        </w:rPr>
        <w:t>فَقَالَ لَهُ : أَ</w:t>
      </w:r>
      <w:r w:rsidRPr="00020424">
        <w:rPr>
          <w:rtl/>
          <w:lang w:bidi="fa-IR"/>
        </w:rPr>
        <w:t xml:space="preserve">تَقْدِرُ عَلى أَنْ تُعْتِقَ فِي كُلِّ لَيْلَةٍ مِنْ هذِهِ اللَّيَالِي عَشْرَ رَقَبَاتٍ </w:t>
      </w:r>
      <w:r w:rsidRPr="00A91B96">
        <w:rPr>
          <w:rStyle w:val="libFootnotenumChar"/>
          <w:rtl/>
        </w:rPr>
        <w:t>(16)</w:t>
      </w:r>
      <w:r w:rsidRPr="00020424">
        <w:rPr>
          <w:rtl/>
          <w:lang w:bidi="fa-IR"/>
        </w:rPr>
        <w:t xml:space="preserve"> مِنْ وُلْدِ‌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بك » : « ويطبخ</w:t>
      </w:r>
      <w:r w:rsidR="00992664">
        <w:rPr>
          <w:rtl/>
        </w:rPr>
        <w:t xml:space="preserve"> ».</w:t>
      </w:r>
      <w:r w:rsidR="00992664" w:rsidRPr="00020424">
        <w:rPr>
          <w:rtl/>
        </w:rPr>
        <w:t xml:space="preserve"> وفي « بس » :</w:t>
      </w:r>
      <w:r w:rsidR="00992664">
        <w:rPr>
          <w:rtl/>
        </w:rPr>
        <w:t xml:space="preserve"> </w:t>
      </w:r>
      <w:r w:rsidR="009B673F">
        <w:rPr>
          <w:rtl/>
        </w:rPr>
        <w:t>-</w:t>
      </w:r>
      <w:r w:rsidR="00992664">
        <w:rPr>
          <w:rtl/>
        </w:rPr>
        <w:t xml:space="preserve"> </w:t>
      </w:r>
      <w:r w:rsidR="00992664" w:rsidRPr="00020424">
        <w:rPr>
          <w:rtl/>
        </w:rPr>
        <w:t>« وتطبخ</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عن بعض النسخ : « وقت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أكبّ على القدور » أي أقبل إليها ولزم. والقُدُور : جمع القِدْر ، وهي آنية يطبخ فيها ، وهي مؤنّثة. </w:t>
      </w:r>
      <w:r w:rsidR="00992664" w:rsidRPr="0012008A">
        <w:rPr>
          <w:rStyle w:val="libFootnoteBoldChar"/>
          <w:rtl/>
        </w:rPr>
        <w:t>الصحاح</w:t>
      </w:r>
      <w:r w:rsidR="00992664" w:rsidRPr="00020424">
        <w:rPr>
          <w:rtl/>
        </w:rPr>
        <w:t xml:space="preserve"> ، ج 1 ، ص 207 ( كبب ) ؛ </w:t>
      </w:r>
      <w:r w:rsidR="00992664" w:rsidRPr="00A722B1">
        <w:rPr>
          <w:rStyle w:val="libFootnoteBoldChar"/>
          <w:rtl/>
        </w:rPr>
        <w:t>المصباح المنير</w:t>
      </w:r>
      <w:r w:rsidR="00992664" w:rsidRPr="00020424">
        <w:rPr>
          <w:rtl/>
        </w:rPr>
        <w:t xml:space="preserve"> ، ص 492 ( قدر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ال</w:t>
      </w:r>
      <w:r w:rsidR="004A1BA7">
        <w:rPr>
          <w:rFonts w:hint="cs"/>
          <w:rtl/>
        </w:rPr>
        <w:t>ـ</w:t>
      </w:r>
      <w:r w:rsidR="00992664" w:rsidRPr="00020424">
        <w:rPr>
          <w:rtl/>
        </w:rPr>
        <w:t xml:space="preserve">مَرَقُ » : ماء اللحم إذا طبخ ، والذي يؤتدم به. </w:t>
      </w:r>
      <w:r w:rsidR="00992664" w:rsidRPr="00A722B1">
        <w:rPr>
          <w:rStyle w:val="libFootnoteBoldChar"/>
          <w:rtl/>
        </w:rPr>
        <w:t>لسان العرب</w:t>
      </w:r>
      <w:r w:rsidR="00992664" w:rsidRPr="00020424">
        <w:rPr>
          <w:rtl/>
        </w:rPr>
        <w:t xml:space="preserve"> ، ج 10 ، ص 340 ( مرق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القِصاع » : جمع القَصْعة ، وهي الضَخْمة ، أي الظرف الذي يؤكل فيه ويشبع العشرة. وقيل : هي الصَحْفة ، وهي التي تشبع الخمسة. </w:t>
      </w:r>
      <w:r w:rsidR="00992664" w:rsidRPr="00A722B1">
        <w:rPr>
          <w:rStyle w:val="libFootnoteBoldChar"/>
          <w:rtl/>
        </w:rPr>
        <w:t>لسان العرب</w:t>
      </w:r>
      <w:r w:rsidR="00992664" w:rsidRPr="00020424">
        <w:rPr>
          <w:rtl/>
        </w:rPr>
        <w:t xml:space="preserve"> ، ج 8 ، ص 274 ؛ </w:t>
      </w:r>
      <w:r w:rsidR="00992664" w:rsidRPr="00A722B1">
        <w:rPr>
          <w:rStyle w:val="libFootnoteBoldChar"/>
          <w:rtl/>
        </w:rPr>
        <w:t>القاموس المحيط</w:t>
      </w:r>
      <w:r w:rsidR="00992664" w:rsidRPr="00020424">
        <w:rPr>
          <w:rtl/>
        </w:rPr>
        <w:t xml:space="preserve"> ، ج 2 ، ص 1007 ( قصع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جن » : « اغرف</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واغرف</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و</w:t>
      </w:r>
      <w:r w:rsidR="00D64ADA" w:rsidRPr="00D64ADA">
        <w:rPr>
          <w:rStyle w:val="libFootnoteBoldChar"/>
          <w:rtl/>
        </w:rPr>
        <w:t>المحاسن</w:t>
      </w:r>
      <w:r w:rsidR="00992664" w:rsidRPr="00020424">
        <w:rPr>
          <w:rtl/>
        </w:rPr>
        <w:t xml:space="preserve"> : « اغرفوا » بدون الواو.</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 « بتمر وخبز</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العَشاء : الطعام الذي يؤكل عند العِشاء ، خلاف الغَداء. </w:t>
      </w:r>
      <w:r w:rsidR="00992664" w:rsidRPr="0012008A">
        <w:rPr>
          <w:rStyle w:val="libFootnoteBoldChar"/>
          <w:rtl/>
        </w:rPr>
        <w:t>الصحاح</w:t>
      </w:r>
      <w:r w:rsidR="00992664" w:rsidRPr="00020424">
        <w:rPr>
          <w:rtl/>
        </w:rPr>
        <w:t xml:space="preserve"> ، ج 6 ، ص 2427 ( عشا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 + « وأولاده</w:t>
      </w:r>
      <w:r w:rsidR="00992664">
        <w:rPr>
          <w:rtl/>
        </w:rPr>
        <w:t xml:space="preserve"> ».</w:t>
      </w:r>
      <w:r w:rsidR="00992664" w:rsidRPr="00020424">
        <w:rPr>
          <w:rtl/>
        </w:rPr>
        <w:t xml:space="preserve"> وفي « بر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و</w:t>
      </w:r>
      <w:r w:rsidR="00D64ADA" w:rsidRPr="00D64ADA">
        <w:rPr>
          <w:rStyle w:val="libFootnoteBoldChar"/>
          <w:rtl/>
        </w:rPr>
        <w:t>المحاسن</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وعلى آبائه</w:t>
      </w:r>
      <w:r w:rsidR="00992664">
        <w:rPr>
          <w:rtl/>
        </w:rPr>
        <w:t xml:space="preserve"> ».</w:t>
      </w:r>
    </w:p>
    <w:p w:rsidR="00992664" w:rsidRPr="00020424" w:rsidRDefault="00795177" w:rsidP="004A1BA7">
      <w:pPr>
        <w:pStyle w:val="libFootnote0"/>
        <w:rPr>
          <w:rtl/>
          <w:lang w:bidi="fa-IR"/>
        </w:rPr>
      </w:pPr>
      <w:r>
        <w:rPr>
          <w:rtl/>
        </w:rPr>
        <w:t>(11).</w:t>
      </w:r>
      <w:r w:rsidR="0014403D">
        <w:rPr>
          <w:rtl/>
        </w:rPr>
        <w:t xml:space="preserve"> </w:t>
      </w:r>
      <w:r w:rsidR="00D64ADA" w:rsidRPr="00D64ADA">
        <w:rPr>
          <w:rStyle w:val="libFootnoteBoldChar"/>
          <w:rtl/>
        </w:rPr>
        <w:t>المحاسن</w:t>
      </w:r>
      <w:r w:rsidR="00992664" w:rsidRPr="00020424">
        <w:rPr>
          <w:rtl/>
        </w:rPr>
        <w:t xml:space="preserve"> ، ص 396 ، كتاب المآكل ، ح 67 ، عن محمّد بن عليّ بن أسباط ، عن سيابة بن ضريس ، مع اختلاف يسير. </w:t>
      </w:r>
      <w:r w:rsidR="00992664" w:rsidRPr="0012008A">
        <w:rPr>
          <w:rStyle w:val="libFootnoteBoldChar"/>
          <w:rtl/>
        </w:rPr>
        <w:t>الفقيه</w:t>
      </w:r>
      <w:r w:rsidR="00992664" w:rsidRPr="00020424">
        <w:rPr>
          <w:rtl/>
        </w:rPr>
        <w:t xml:space="preserve"> ، ج 2 ، ص 134 ، ح 1955 ، مرسلاً </w:t>
      </w:r>
      <w:r w:rsidR="004A1BA7">
        <w:rPr>
          <w:rFonts w:hint="cs"/>
          <w:rtl/>
        </w:rPr>
        <w:t>.</w:t>
      </w:r>
      <w:r w:rsidR="00992664" w:rsidRPr="0012008A">
        <w:rPr>
          <w:rStyle w:val="libFootnoteBoldChar"/>
          <w:rtl/>
        </w:rPr>
        <w:t>الوافي</w:t>
      </w:r>
      <w:r w:rsidR="00992664" w:rsidRPr="00020424">
        <w:rPr>
          <w:rtl/>
        </w:rPr>
        <w:t xml:space="preserve"> ، ج 11 ، ص 224 ، ح 10740 ؛ </w:t>
      </w:r>
      <w:r w:rsidR="00992664" w:rsidRPr="0012008A">
        <w:rPr>
          <w:rStyle w:val="libFootnoteBoldChar"/>
          <w:rtl/>
        </w:rPr>
        <w:t>الوسائل</w:t>
      </w:r>
      <w:r w:rsidR="00992664" w:rsidRPr="00020424">
        <w:rPr>
          <w:rtl/>
        </w:rPr>
        <w:t xml:space="preserve"> ، ج 10 ، ص 140 ، ح 13049.</w:t>
      </w:r>
      <w:r w:rsidR="00F27D90">
        <w:rPr>
          <w:rFonts w:hint="cs"/>
          <w:rtl/>
        </w:rPr>
        <w:t xml:space="preserve">        </w:t>
      </w:r>
      <w:r w:rsidR="004A1BA7">
        <w:rPr>
          <w:rFonts w:hint="cs"/>
          <w:rtl/>
        </w:rPr>
        <w:t xml:space="preserve">     </w:t>
      </w:r>
      <w:r>
        <w:rPr>
          <w:rtl/>
        </w:rPr>
        <w:t>(12).</w:t>
      </w:r>
      <w:r w:rsidR="0014403D">
        <w:rPr>
          <w:rtl/>
        </w:rPr>
        <w:t xml:space="preserve"> </w:t>
      </w:r>
      <w:r w:rsidR="00992664" w:rsidRPr="00020424">
        <w:rPr>
          <w:rtl/>
        </w:rPr>
        <w:t>في « بث » : + « بن صدقة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A1BA7" w:rsidTr="004A1BA7">
        <w:tc>
          <w:tcPr>
            <w:tcW w:w="4006" w:type="dxa"/>
          </w:tcPr>
          <w:p w:rsidR="004A1BA7" w:rsidRDefault="004A1BA7"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عن أبيه</w:t>
            </w:r>
            <w:r>
              <w:rPr>
                <w:rtl/>
              </w:rPr>
              <w:t xml:space="preserve"> ».</w:t>
            </w:r>
          </w:p>
        </w:tc>
        <w:tc>
          <w:tcPr>
            <w:tcW w:w="4006" w:type="dxa"/>
          </w:tcPr>
          <w:p w:rsidR="004A1BA7" w:rsidRDefault="004A1BA7" w:rsidP="00992664">
            <w:pPr>
              <w:pStyle w:val="libFootnote0"/>
              <w:rPr>
                <w:rtl/>
              </w:rPr>
            </w:pPr>
            <w:r>
              <w:rPr>
                <w:rtl/>
              </w:rPr>
              <w:t xml:space="preserve">(14). </w:t>
            </w:r>
            <w:r w:rsidRPr="00020424">
              <w:rPr>
                <w:rtl/>
              </w:rPr>
              <w:t xml:space="preserve">في </w:t>
            </w:r>
            <w:r w:rsidRPr="0012008A">
              <w:rPr>
                <w:rStyle w:val="libFootnoteBoldChar"/>
                <w:rtl/>
              </w:rPr>
              <w:t>الوافي</w:t>
            </w:r>
            <w:r w:rsidRPr="00020424">
              <w:rPr>
                <w:rtl/>
              </w:rPr>
              <w:t xml:space="preserve"> عن بعض النسخ : + « له</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بح » : « أتدري</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بح ، بخ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رقاب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إِسْمَاعِيلَ</w:t>
      </w:r>
      <w:r>
        <w:rPr>
          <w:rtl/>
          <w:lang w:bidi="fa-IR"/>
        </w:rPr>
        <w:t>؟</w:t>
      </w:r>
      <w:r w:rsidRPr="00020424">
        <w:rPr>
          <w:rtl/>
          <w:lang w:bidi="fa-IR"/>
        </w:rPr>
        <w:t xml:space="preserve"> فَقَالَ لَهُ </w:t>
      </w:r>
      <w:r w:rsidRPr="00A91B96">
        <w:rPr>
          <w:rStyle w:val="libFootnotenumChar"/>
          <w:rtl/>
        </w:rPr>
        <w:t>(1)</w:t>
      </w:r>
      <w:r w:rsidRPr="00020424">
        <w:rPr>
          <w:rtl/>
          <w:lang w:bidi="fa-IR"/>
        </w:rPr>
        <w:t xml:space="preserve"> سَدِيرٌ : بِأَبِي أَنْتَ </w:t>
      </w:r>
      <w:r w:rsidRPr="00A91B96">
        <w:rPr>
          <w:rStyle w:val="libFootnotenumChar"/>
          <w:rtl/>
        </w:rPr>
        <w:t>(2)</w:t>
      </w:r>
      <w:r w:rsidRPr="00020424">
        <w:rPr>
          <w:rtl/>
          <w:lang w:bidi="fa-IR"/>
        </w:rPr>
        <w:t xml:space="preserve"> وَأُمِّي لَايَبْلُغُ مَالِي ذَاكَ </w:t>
      </w:r>
      <w:r w:rsidRPr="00A91B96">
        <w:rPr>
          <w:rStyle w:val="libFootnotenumChar"/>
          <w:rtl/>
        </w:rPr>
        <w:t>(3)</w:t>
      </w:r>
      <w:r w:rsidRPr="00020424">
        <w:rPr>
          <w:rtl/>
          <w:lang w:bidi="fa-IR"/>
        </w:rPr>
        <w:t xml:space="preserve"> فَمَا زَالَ يَنْقُصُ حَتّى بَلَغَ بِهِ رَقَبَةً وَاحِدَةً ، فِي كُلِّ ذلِكَ </w:t>
      </w:r>
      <w:r w:rsidRPr="00A91B96">
        <w:rPr>
          <w:rStyle w:val="libFootnotenumChar"/>
          <w:rtl/>
        </w:rPr>
        <w:t>(4)</w:t>
      </w:r>
      <w:r w:rsidRPr="00020424">
        <w:rPr>
          <w:rtl/>
          <w:lang w:bidi="fa-IR"/>
        </w:rPr>
        <w:t xml:space="preserve"> يَقُولُ : لَا</w:t>
      </w:r>
      <w:r>
        <w:rPr>
          <w:rFonts w:hint="cs"/>
          <w:rtl/>
          <w:lang w:bidi="fa-IR"/>
        </w:rPr>
        <w:t xml:space="preserve"> </w:t>
      </w:r>
      <w:r w:rsidRPr="00020424">
        <w:rPr>
          <w:rtl/>
          <w:lang w:bidi="fa-IR"/>
        </w:rPr>
        <w:t xml:space="preserve">أَقْدِرُ عَلَيْهِ ، فَقَالَ لَهُ : فَمَا </w:t>
      </w:r>
      <w:r w:rsidRPr="00A91B96">
        <w:rPr>
          <w:rStyle w:val="libFootnotenumChar"/>
          <w:rtl/>
        </w:rPr>
        <w:t>(5)</w:t>
      </w:r>
      <w:r w:rsidRPr="00020424">
        <w:rPr>
          <w:rtl/>
          <w:lang w:bidi="fa-IR"/>
        </w:rPr>
        <w:t xml:space="preserve"> تَقْدِرُ أَنْ تُفَطِّرَ فِي كُلِّ لَيْلَةٍ رَجُلاً مُسْلِماً</w:t>
      </w:r>
      <w:r>
        <w:rPr>
          <w:rtl/>
          <w:lang w:bidi="fa-IR"/>
        </w:rPr>
        <w:t>؟</w:t>
      </w:r>
      <w:r w:rsidRPr="00020424">
        <w:rPr>
          <w:rtl/>
          <w:lang w:bidi="fa-IR"/>
        </w:rPr>
        <w:t xml:space="preserve"> فَقَالَ لَهُ </w:t>
      </w:r>
      <w:r w:rsidRPr="00A91B96">
        <w:rPr>
          <w:rStyle w:val="libFootnotenumChar"/>
          <w:rtl/>
        </w:rPr>
        <w:t>(6)</w:t>
      </w:r>
      <w:r w:rsidRPr="00020424">
        <w:rPr>
          <w:rtl/>
          <w:lang w:bidi="fa-IR"/>
        </w:rPr>
        <w:t xml:space="preserve"> : بَلى وَعَشَرَةً ، فَقَالَ لَهُ أَبِي </w:t>
      </w:r>
      <w:r w:rsidRPr="00005A81">
        <w:rPr>
          <w:rStyle w:val="libAlaemChar"/>
          <w:rtl/>
        </w:rPr>
        <w:t>عليه‌السلام</w:t>
      </w:r>
      <w:r w:rsidRPr="00020424">
        <w:rPr>
          <w:rtl/>
          <w:lang w:bidi="fa-IR"/>
        </w:rPr>
        <w:t xml:space="preserve"> : فَذَاكَ </w:t>
      </w:r>
      <w:r w:rsidRPr="00A91B96">
        <w:rPr>
          <w:rStyle w:val="libFootnotenumChar"/>
          <w:rtl/>
        </w:rPr>
        <w:t>(7)</w:t>
      </w:r>
      <w:r w:rsidRPr="00020424">
        <w:rPr>
          <w:rtl/>
          <w:lang w:bidi="fa-IR"/>
        </w:rPr>
        <w:t xml:space="preserve"> الَّذِي أَرَدْتُ يَا سَدِيرُ ، إِنَّ إِفْطَارَكَ </w:t>
      </w:r>
      <w:r w:rsidRPr="00A91B96">
        <w:rPr>
          <w:rStyle w:val="libFootnotenumChar"/>
          <w:rtl/>
        </w:rPr>
        <w:t>(8)</w:t>
      </w:r>
      <w:r w:rsidRPr="00020424">
        <w:rPr>
          <w:rtl/>
          <w:lang w:bidi="fa-IR"/>
        </w:rPr>
        <w:t xml:space="preserve"> أَخَاكَ </w:t>
      </w:r>
      <w:r w:rsidRPr="00A91B96">
        <w:rPr>
          <w:rStyle w:val="libFootnotenumChar"/>
          <w:rtl/>
        </w:rPr>
        <w:t>(9)</w:t>
      </w:r>
      <w:r w:rsidRPr="00020424">
        <w:rPr>
          <w:rtl/>
          <w:lang w:bidi="fa-IR"/>
        </w:rPr>
        <w:t xml:space="preserve"> الْمُسْلِمَ يَعْدِلُ </w:t>
      </w:r>
      <w:r w:rsidRPr="00A91B96">
        <w:rPr>
          <w:rStyle w:val="libFootnotenumChar"/>
          <w:rtl/>
        </w:rPr>
        <w:t>(10)</w:t>
      </w:r>
      <w:r w:rsidRPr="00020424">
        <w:rPr>
          <w:rtl/>
          <w:lang w:bidi="fa-IR"/>
        </w:rPr>
        <w:t xml:space="preserve"> رَقَبَةً مِنْ وُلْدِ إِسْمَاعِيلَ </w:t>
      </w:r>
      <w:r w:rsidRPr="00005A81">
        <w:rPr>
          <w:rStyle w:val="libAlaemChar"/>
          <w:rtl/>
        </w:rPr>
        <w:t>عليه‌السلام</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Heading2Center"/>
        <w:rPr>
          <w:rtl/>
          <w:lang w:bidi="fa-IR"/>
        </w:rPr>
      </w:pPr>
      <w:bookmarkStart w:id="308" w:name="_Toc345172818"/>
      <w:bookmarkStart w:id="309" w:name="_Toc464562636"/>
      <w:bookmarkStart w:id="310" w:name="_Toc44599939"/>
      <w:r w:rsidRPr="00020424">
        <w:rPr>
          <w:rtl/>
          <w:lang w:bidi="fa-IR"/>
        </w:rPr>
        <w:t>4</w:t>
      </w:r>
      <w:r>
        <w:rPr>
          <w:rtl/>
          <w:lang w:bidi="fa-IR"/>
        </w:rPr>
        <w:t xml:space="preserve"> </w:t>
      </w:r>
      <w:r w:rsidR="009B673F">
        <w:rPr>
          <w:rtl/>
          <w:lang w:bidi="fa-IR"/>
        </w:rPr>
        <w:t>-</w:t>
      </w:r>
      <w:r>
        <w:rPr>
          <w:rtl/>
          <w:lang w:bidi="fa-IR"/>
        </w:rPr>
        <w:t xml:space="preserve"> </w:t>
      </w:r>
      <w:r w:rsidRPr="00020424">
        <w:rPr>
          <w:rtl/>
          <w:lang w:bidi="fa-IR"/>
        </w:rPr>
        <w:t xml:space="preserve">بَابٌ فِي </w:t>
      </w:r>
      <w:r w:rsidRPr="00A91B96">
        <w:rPr>
          <w:rStyle w:val="libFootnotenumChar"/>
          <w:rtl/>
        </w:rPr>
        <w:t>(12)</w:t>
      </w:r>
      <w:r>
        <w:rPr>
          <w:rtl/>
        </w:rPr>
        <w:t xml:space="preserve"> </w:t>
      </w:r>
      <w:r w:rsidRPr="00020424">
        <w:rPr>
          <w:rtl/>
          <w:lang w:bidi="fa-IR"/>
        </w:rPr>
        <w:t xml:space="preserve">النَّهْيِ عَنْ قَوْلِ رَمَضَانَ بِلَا شَهْرٍ </w:t>
      </w:r>
      <w:r w:rsidRPr="00A91B96">
        <w:rPr>
          <w:rStyle w:val="libFootnotenumChar"/>
          <w:rtl/>
        </w:rPr>
        <w:t>(13)</w:t>
      </w:r>
      <w:r w:rsidRPr="00020424">
        <w:rPr>
          <w:rtl/>
          <w:lang w:bidi="fa-IR"/>
        </w:rPr>
        <w:t xml:space="preserve"> ‌</w:t>
      </w:r>
      <w:bookmarkEnd w:id="308"/>
      <w:bookmarkEnd w:id="309"/>
      <w:bookmarkEnd w:id="310"/>
    </w:p>
    <w:p w:rsidR="00992664" w:rsidRPr="00020424" w:rsidRDefault="00992664" w:rsidP="00992664">
      <w:pPr>
        <w:pStyle w:val="libNormal"/>
        <w:rPr>
          <w:rtl/>
          <w:lang w:bidi="fa-IR"/>
        </w:rPr>
      </w:pPr>
      <w:r w:rsidRPr="00D04D24">
        <w:rPr>
          <w:rtl/>
        </w:rPr>
        <w:t>6280</w:t>
      </w:r>
      <w:r w:rsidRPr="001155DE">
        <w:rPr>
          <w:rStyle w:val="libBold2Char"/>
          <w:rtl/>
        </w:rPr>
        <w:t xml:space="preserve"> / 1.</w:t>
      </w:r>
      <w:r w:rsidRPr="00020424">
        <w:rPr>
          <w:rtl/>
          <w:lang w:bidi="fa-IR"/>
        </w:rPr>
        <w:t xml:space="preserve"> مُحَمَّدُ بْنُ يَحْيى ، عَنْ أَحْمَدَ بْنِ مُحَمَّدٍ وَمُحَمَّدِ بْنِ الْحُسَيْنِ ، عَنْ مُحَمَّدِ بْنِ يَحْيَى الْخَثْعَمِيِّ </w:t>
      </w:r>
      <w:r w:rsidRPr="00A91B96">
        <w:rPr>
          <w:rStyle w:val="libFootnotenumChar"/>
          <w:rtl/>
        </w:rPr>
        <w:t>(14)</w:t>
      </w:r>
      <w:r w:rsidRPr="00020424">
        <w:rPr>
          <w:rtl/>
          <w:lang w:bidi="fa-IR"/>
        </w:rPr>
        <w:t xml:space="preserve"> ، عَنْ غِيَاثِ بْنِ إِبْرَاهِيمَ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بك »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بك » :</w:t>
      </w:r>
      <w:r w:rsidR="00992664">
        <w:rPr>
          <w:rtl/>
        </w:rPr>
        <w:t xml:space="preserve"> </w:t>
      </w:r>
      <w:r w:rsidR="009B673F">
        <w:rPr>
          <w:rtl/>
        </w:rPr>
        <w:t>-</w:t>
      </w:r>
      <w:r w:rsidR="00992664">
        <w:rPr>
          <w:rtl/>
        </w:rPr>
        <w:t xml:space="preserve"> </w:t>
      </w:r>
      <w:r w:rsidR="00992664" w:rsidRPr="00020424">
        <w:rPr>
          <w:rtl/>
        </w:rPr>
        <w:t>« أنت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بر ، بف ، بك » </w:t>
      </w:r>
      <w:r w:rsidR="00992664" w:rsidRPr="00515444">
        <w:rPr>
          <w:rStyle w:val="libFootnoteBoldChar"/>
          <w:rtl/>
        </w:rPr>
        <w:t>والتهذيب</w:t>
      </w:r>
      <w:r w:rsidR="00992664" w:rsidRPr="00020424">
        <w:rPr>
          <w:rtl/>
        </w:rPr>
        <w:t xml:space="preserve"> : « ذلك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بك » : « ذاك</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أفما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بك »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A1BA7" w:rsidTr="004A1BA7">
        <w:tc>
          <w:tcPr>
            <w:tcW w:w="4006" w:type="dxa"/>
          </w:tcPr>
          <w:p w:rsidR="004A1BA7" w:rsidRDefault="004A1BA7" w:rsidP="00992664">
            <w:pPr>
              <w:pStyle w:val="libFootnote0"/>
              <w:rPr>
                <w:rtl/>
                <w:lang w:bidi="fa-IR"/>
              </w:rPr>
            </w:pPr>
            <w:r>
              <w:rPr>
                <w:rtl/>
              </w:rPr>
              <w:t xml:space="preserve">(7). </w:t>
            </w:r>
            <w:r w:rsidRPr="00020424">
              <w:rPr>
                <w:rtl/>
              </w:rPr>
              <w:t>في « بث » : « فذلك</w:t>
            </w:r>
            <w:r>
              <w:rPr>
                <w:rtl/>
              </w:rPr>
              <w:t xml:space="preserve"> ».</w:t>
            </w:r>
          </w:p>
        </w:tc>
        <w:tc>
          <w:tcPr>
            <w:tcW w:w="4006" w:type="dxa"/>
          </w:tcPr>
          <w:p w:rsidR="004A1BA7" w:rsidRDefault="004A1BA7" w:rsidP="00992664">
            <w:pPr>
              <w:pStyle w:val="libFootnote0"/>
              <w:rPr>
                <w:rtl/>
                <w:lang w:bidi="fa-IR"/>
              </w:rPr>
            </w:pPr>
            <w:r>
              <w:rPr>
                <w:rtl/>
              </w:rPr>
              <w:t xml:space="preserve">(8). </w:t>
            </w:r>
            <w:r w:rsidRPr="00020424">
              <w:rPr>
                <w:rtl/>
              </w:rPr>
              <w:t>في « بك » : « إفطار</w:t>
            </w:r>
            <w:r>
              <w:rPr>
                <w:rtl/>
              </w:rPr>
              <w:t xml:space="preserve"> ».</w:t>
            </w:r>
          </w:p>
        </w:tc>
      </w:tr>
      <w:tr w:rsidR="004A1BA7" w:rsidTr="004A1BA7">
        <w:tc>
          <w:tcPr>
            <w:tcW w:w="4006" w:type="dxa"/>
          </w:tcPr>
          <w:p w:rsidR="004A1BA7" w:rsidRDefault="004A1BA7" w:rsidP="00992664">
            <w:pPr>
              <w:pStyle w:val="libFootnote0"/>
              <w:rPr>
                <w:rtl/>
                <w:lang w:bidi="fa-IR"/>
              </w:rPr>
            </w:pPr>
            <w:r>
              <w:rPr>
                <w:rtl/>
              </w:rPr>
              <w:t xml:space="preserve">(9). </w:t>
            </w:r>
            <w:r w:rsidRPr="00020424">
              <w:rPr>
                <w:rtl/>
              </w:rPr>
              <w:t>في حاشية « ى » : « لأخيك</w:t>
            </w:r>
            <w:r>
              <w:rPr>
                <w:rtl/>
              </w:rPr>
              <w:t xml:space="preserve"> ».</w:t>
            </w:r>
          </w:p>
        </w:tc>
        <w:tc>
          <w:tcPr>
            <w:tcW w:w="4006" w:type="dxa"/>
          </w:tcPr>
          <w:p w:rsidR="004A1BA7" w:rsidRDefault="004A1BA7" w:rsidP="00992664">
            <w:pPr>
              <w:pStyle w:val="libFootnote0"/>
              <w:rPr>
                <w:rtl/>
                <w:lang w:bidi="fa-IR"/>
              </w:rPr>
            </w:pPr>
            <w:r>
              <w:rPr>
                <w:rtl/>
              </w:rPr>
              <w:t xml:space="preserve">(10). </w:t>
            </w:r>
            <w:r w:rsidRPr="00020424">
              <w:rPr>
                <w:rtl/>
              </w:rPr>
              <w:t xml:space="preserve">في « بر ، بك » </w:t>
            </w:r>
            <w:r w:rsidRPr="00515444">
              <w:rPr>
                <w:rStyle w:val="libFootnoteBoldChar"/>
                <w:rtl/>
              </w:rPr>
              <w:t>والوافي</w:t>
            </w:r>
            <w:r w:rsidRPr="00020424">
              <w:rPr>
                <w:rtl/>
              </w:rPr>
              <w:t xml:space="preserve"> </w:t>
            </w:r>
            <w:r w:rsidRPr="00FD6221">
              <w:rPr>
                <w:rStyle w:val="libFootnoteBoldChar"/>
                <w:rtl/>
              </w:rPr>
              <w:t>والفقيه</w:t>
            </w:r>
            <w:r w:rsidRPr="00020424">
              <w:rPr>
                <w:rtl/>
              </w:rPr>
              <w:t xml:space="preserve"> : + « عتق</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201 ، ح 581 ، معلّقاً عن الكليني ، عن عليّ بن مهزيار ، عن هارون بن مسلم ، عن مسعدة بن صدقة ، عن أبي عبدالله </w:t>
      </w:r>
      <w:r w:rsidR="00992664" w:rsidRPr="00D64ADA">
        <w:rPr>
          <w:rStyle w:val="libFootnoteAlaemChar"/>
          <w:rtl/>
        </w:rPr>
        <w:t>عليه‌السلام</w:t>
      </w:r>
      <w:r w:rsidR="00992664" w:rsidRPr="00020424">
        <w:rPr>
          <w:rtl/>
        </w:rPr>
        <w:t xml:space="preserve"> ، من دون الإسناد إلى أبيه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134 ، ح 1953 ، مرسلاً ؛ </w:t>
      </w:r>
      <w:r w:rsidR="00992664" w:rsidRPr="0012008A">
        <w:rPr>
          <w:rStyle w:val="libFootnoteBoldChar"/>
          <w:rtl/>
        </w:rPr>
        <w:t>المقنعة</w:t>
      </w:r>
      <w:r w:rsidR="00992664" w:rsidRPr="00020424">
        <w:rPr>
          <w:rtl/>
        </w:rPr>
        <w:t xml:space="preserve"> ، ص 343 ، مرسلاً عن الصادق </w:t>
      </w:r>
      <w:r w:rsidR="00992664" w:rsidRPr="00D64ADA">
        <w:rPr>
          <w:rStyle w:val="libFootnoteAlaemChar"/>
          <w:rtl/>
        </w:rPr>
        <w:t>عليه‌السلام</w:t>
      </w:r>
      <w:r w:rsidR="00992664" w:rsidRPr="00020424">
        <w:rPr>
          <w:rtl/>
        </w:rPr>
        <w:t xml:space="preserve"> ، من دون الإسناد إلى أبيه </w:t>
      </w:r>
      <w:r w:rsidR="00992664" w:rsidRPr="00D64ADA">
        <w:rPr>
          <w:rStyle w:val="libFootnoteAlaemChar"/>
          <w:rtl/>
        </w:rPr>
        <w:t>عليه‌السلام</w:t>
      </w:r>
      <w:r w:rsidR="00992664" w:rsidRPr="00020424">
        <w:rPr>
          <w:rtl/>
        </w:rPr>
        <w:t xml:space="preserve"> ، مع زيادة في آخره </w:t>
      </w:r>
      <w:r w:rsidR="00E82A64">
        <w:rPr>
          <w:rFonts w:hint="cs"/>
          <w:rtl/>
        </w:rPr>
        <w:t>.</w:t>
      </w:r>
      <w:r w:rsidR="00992664" w:rsidRPr="0012008A">
        <w:rPr>
          <w:rStyle w:val="libFootnoteBoldChar"/>
          <w:rtl/>
        </w:rPr>
        <w:t>الوافي</w:t>
      </w:r>
      <w:r w:rsidR="00992664" w:rsidRPr="00020424">
        <w:rPr>
          <w:rtl/>
        </w:rPr>
        <w:t xml:space="preserve"> ، ج 11 ، ص 252 ، ح 10801 ؛ </w:t>
      </w:r>
      <w:r w:rsidR="00992664" w:rsidRPr="0012008A">
        <w:rPr>
          <w:rStyle w:val="libFootnoteBoldChar"/>
          <w:rtl/>
        </w:rPr>
        <w:t>الوسائل</w:t>
      </w:r>
      <w:r w:rsidR="00992664" w:rsidRPr="00020424">
        <w:rPr>
          <w:rtl/>
        </w:rPr>
        <w:t xml:space="preserve"> ، ج 10 ، ص 139 ، ح 13047.</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في النهي عن قول رمضان بلا شهر</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روى محمّد بن الحسين عن محمّد بن يحيى الخزّاز كتاب غياث بن إبراهيم ، كما توسّط محمّد بن يحيى الخزّاز بين محمّد بن الحسين وبين غياث بن إبراهيم في بعض الأسناد. راجع : </w:t>
      </w:r>
      <w:r w:rsidR="00992664" w:rsidRPr="00D530ED">
        <w:rPr>
          <w:rStyle w:val="libFootnoteBoldChar"/>
          <w:rtl/>
        </w:rPr>
        <w:t>الفهرست للطوسي</w:t>
      </w:r>
      <w:r w:rsidR="00992664" w:rsidRPr="00020424">
        <w:rPr>
          <w:rtl/>
        </w:rPr>
        <w:t xml:space="preserve"> ، ص 355 ، الرقم 561 ؛ </w:t>
      </w:r>
      <w:r w:rsidR="00992664" w:rsidRPr="00DE76B9">
        <w:rPr>
          <w:rStyle w:val="libFootnoteBoldChar"/>
          <w:rtl/>
        </w:rPr>
        <w:t>معجم رجال الحديث</w:t>
      </w:r>
      <w:r w:rsidR="00992664" w:rsidRPr="00020424">
        <w:rPr>
          <w:rtl/>
        </w:rPr>
        <w:t xml:space="preserve"> ، ج 18 ، ص 392</w:t>
      </w:r>
      <w:r w:rsidR="00992664">
        <w:rPr>
          <w:rtl/>
        </w:rPr>
        <w:t xml:space="preserve"> </w:t>
      </w:r>
      <w:r w:rsidR="009B673F">
        <w:rPr>
          <w:rtl/>
        </w:rPr>
        <w:t>-</w:t>
      </w:r>
      <w:r w:rsidR="00992664">
        <w:rPr>
          <w:rtl/>
        </w:rPr>
        <w:t xml:space="preserve"> </w:t>
      </w:r>
      <w:r w:rsidR="00992664" w:rsidRPr="00020424">
        <w:rPr>
          <w:rtl/>
        </w:rPr>
        <w:t>393.</w:t>
      </w:r>
    </w:p>
    <w:p w:rsidR="00992664" w:rsidRPr="00020424" w:rsidRDefault="00992664" w:rsidP="00E82A64">
      <w:pPr>
        <w:pStyle w:val="libFootnote0"/>
        <w:rPr>
          <w:rtl/>
          <w:lang w:bidi="fa-IR"/>
        </w:rPr>
      </w:pPr>
      <w:r w:rsidRPr="00D82B22">
        <w:rPr>
          <w:rtl/>
        </w:rPr>
        <w:t xml:space="preserve">فعليه الظاهر إمّا زيادة الخثعمي ، أو كونه مصحّفاً من الخزّاز. ويؤيّد ذلك أنّ محمّد بن يحيى الخزّاز ترجم له </w:t>
      </w:r>
      <w:r w:rsidR="00E82A6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 عَنْ أَبِيهِ </w:t>
      </w:r>
      <w:r w:rsidRPr="00005A81">
        <w:rPr>
          <w:rStyle w:val="libAlaemChar"/>
          <w:rtl/>
        </w:rPr>
        <w:t>عليهما‌السلام</w:t>
      </w:r>
      <w:r w:rsidRPr="00020424">
        <w:rPr>
          <w:rtl/>
          <w:lang w:bidi="fa-IR"/>
        </w:rPr>
        <w:t xml:space="preserve"> ، قَالَ : « قَالَ أَمِيرُ الْمُؤْمِنِينَ </w:t>
      </w:r>
      <w:r w:rsidRPr="00005A81">
        <w:rPr>
          <w:rStyle w:val="libAlaemChar"/>
          <w:rtl/>
        </w:rPr>
        <w:t>عليه‌السلام</w:t>
      </w:r>
      <w:r w:rsidRPr="00020424">
        <w:rPr>
          <w:rtl/>
          <w:lang w:bidi="fa-IR"/>
        </w:rPr>
        <w:t xml:space="preserve"> : لَاتَقُولُوا : « رَمَضَانَ » وَلكِنْ قُولُوا : « شَهْرُ رَمَضَانَ » فَإِنَّكُمْ لَاتَدْرُونَ </w:t>
      </w:r>
      <w:r w:rsidRPr="00A91B96">
        <w:rPr>
          <w:rStyle w:val="libFootnotenumChar"/>
          <w:rtl/>
        </w:rPr>
        <w:t>(1)</w:t>
      </w:r>
      <w:r w:rsidRPr="00020424">
        <w:rPr>
          <w:rtl/>
          <w:lang w:bidi="fa-IR"/>
        </w:rPr>
        <w:t xml:space="preserve"> مَا رَمَضَانُ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D04D24">
        <w:rPr>
          <w:rtl/>
        </w:rPr>
        <w:t>6281</w:t>
      </w:r>
      <w:r w:rsidRPr="001155DE">
        <w:rPr>
          <w:rStyle w:val="libBold2Char"/>
          <w:rtl/>
        </w:rPr>
        <w:t xml:space="preserve"> / 2.</w:t>
      </w:r>
      <w:r w:rsidRPr="00020424">
        <w:rPr>
          <w:rtl/>
          <w:lang w:bidi="fa-IR"/>
        </w:rPr>
        <w:t xml:space="preserve"> عِدَّةٌ مِنْ أَصْحَابِنَا ، عَنْ أَحْمَدَ بْنِ مُحَمَّدٍ ، عَنْ أَحْمَدَ بْنِ مُحَمَّدِ بْنِ </w:t>
      </w:r>
      <w:r w:rsidRPr="00A91B96">
        <w:rPr>
          <w:rStyle w:val="libFootnotenumChar"/>
          <w:rtl/>
        </w:rPr>
        <w:t>(4)</w:t>
      </w:r>
      <w:r w:rsidRPr="00020424">
        <w:rPr>
          <w:rtl/>
          <w:lang w:bidi="fa-IR"/>
        </w:rPr>
        <w:t xml:space="preserve"> أَبِي نَصْرٍ ، عَنْ هِشَامِ بْنِ سَالِمٍ ، عَنْ سَعْدٍ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كُنَّا عِنْدَهُ ثَمَانِيَةَ رِجَالٍ ، فَذَكَرْنَا رَمَضَانَ ، فَقَالَ : « لَا تَقُولُوا :</w:t>
      </w:r>
      <w:r>
        <w:rPr>
          <w:rFonts w:hint="cs"/>
          <w:rtl/>
          <w:lang w:bidi="fa-IR"/>
        </w:rPr>
        <w:t xml:space="preserve"> </w:t>
      </w:r>
      <w:r w:rsidRPr="00020424">
        <w:rPr>
          <w:rtl/>
          <w:lang w:bidi="fa-IR"/>
        </w:rPr>
        <w:t xml:space="preserve">هذَا رَمَضَانُ </w:t>
      </w:r>
      <w:r w:rsidRPr="00A91B96">
        <w:rPr>
          <w:rStyle w:val="libFootnotenumChar"/>
          <w:rtl/>
        </w:rPr>
        <w:t>(6)</w:t>
      </w:r>
      <w:r w:rsidRPr="00020424">
        <w:rPr>
          <w:rtl/>
          <w:lang w:bidi="fa-IR"/>
        </w:rPr>
        <w:t xml:space="preserve"> ، وَلَاذَهَبَ رَمَضَانُ ، وَلَاجَاءَ رَمَضَانُ ؛ فَإِنَّ رَمَضَانَ اسْمٌ مِنْ أَسْمَاءِ اللهِ‌</w:t>
      </w:r>
    </w:p>
    <w:p w:rsidR="00992664" w:rsidRPr="00020424" w:rsidRDefault="00992664" w:rsidP="00992664">
      <w:pPr>
        <w:pStyle w:val="libLine"/>
        <w:rPr>
          <w:rtl/>
          <w:lang w:bidi="fa-IR"/>
        </w:rPr>
      </w:pPr>
      <w:r w:rsidRPr="00020424">
        <w:rPr>
          <w:rtl/>
          <w:lang w:bidi="fa-IR"/>
        </w:rPr>
        <w:t>__________________</w:t>
      </w:r>
    </w:p>
    <w:p w:rsidR="00992664" w:rsidRPr="00020424" w:rsidRDefault="00170518" w:rsidP="00170518">
      <w:pPr>
        <w:pStyle w:val="libFootnote0"/>
        <w:rPr>
          <w:rtl/>
          <w:lang w:bidi="fa-IR"/>
        </w:rPr>
      </w:pPr>
      <w:r>
        <w:rPr>
          <w:rFonts w:hint="cs"/>
          <w:rtl/>
        </w:rPr>
        <w:t xml:space="preserve">= </w:t>
      </w:r>
      <w:r w:rsidR="00992664" w:rsidRPr="00170518">
        <w:rPr>
          <w:rtl/>
        </w:rPr>
        <w:t xml:space="preserve">النجاشي وقال : « روى عن أصحاب أبي عبد الله </w:t>
      </w:r>
      <w:r w:rsidR="00992664" w:rsidRPr="00D64ADA">
        <w:rPr>
          <w:rStyle w:val="libFootnoteAlaemChar"/>
          <w:rtl/>
        </w:rPr>
        <w:t>عليه‌السلام</w:t>
      </w:r>
      <w:r w:rsidR="00992664" w:rsidRPr="00170518">
        <w:rPr>
          <w:rtl/>
        </w:rPr>
        <w:t xml:space="preserve"> » ، ولكن في ترجمة محمّد بن يحيى الخثعمي ، قال : « روى عن أبي عبد الله </w:t>
      </w:r>
      <w:r w:rsidR="00992664" w:rsidRPr="00D64ADA">
        <w:rPr>
          <w:rStyle w:val="libFootnoteAlaemChar"/>
          <w:rtl/>
        </w:rPr>
        <w:t>عليه‌السلام</w:t>
      </w:r>
      <w:r w:rsidR="00992664" w:rsidRPr="00170518">
        <w:rPr>
          <w:rtl/>
        </w:rPr>
        <w:t xml:space="preserve"> ». راجع : </w:t>
      </w:r>
      <w:r w:rsidR="00992664" w:rsidRPr="00DE76B9">
        <w:rPr>
          <w:rStyle w:val="libFootnoteBoldChar"/>
          <w:rtl/>
        </w:rPr>
        <w:t>رجال النجاشي</w:t>
      </w:r>
      <w:r w:rsidR="00992664" w:rsidRPr="00170518">
        <w:rPr>
          <w:rtl/>
        </w:rPr>
        <w:t xml:space="preserve"> ، ص 359 ، الرقم 963 </w:t>
      </w:r>
      <w:r w:rsidR="009B673F" w:rsidRPr="00170518">
        <w:rPr>
          <w:rtl/>
        </w:rPr>
        <w:t>-</w:t>
      </w:r>
      <w:r w:rsidR="00992664" w:rsidRPr="00170518">
        <w:rPr>
          <w:rtl/>
        </w:rPr>
        <w:t xml:space="preserve"> 964.</w:t>
      </w:r>
    </w:p>
    <w:p w:rsidR="00992664" w:rsidRPr="00020424" w:rsidRDefault="00795177" w:rsidP="00170518">
      <w:pPr>
        <w:pStyle w:val="libFootnote0"/>
        <w:rPr>
          <w:rtl/>
          <w:lang w:bidi="fa-IR"/>
        </w:rPr>
      </w:pPr>
      <w:r>
        <w:rPr>
          <w:rtl/>
        </w:rPr>
        <w:t>(1).</w:t>
      </w:r>
      <w:r w:rsidR="0014403D">
        <w:rPr>
          <w:rtl/>
        </w:rPr>
        <w:t xml:space="preserve"> </w:t>
      </w:r>
      <w:r w:rsidR="00992664" w:rsidRPr="00020424">
        <w:rPr>
          <w:rtl/>
        </w:rPr>
        <w:t>في « بر ، بك » : « ما تدرون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اختلف في رمضان ، فقيل : إنّه اسم من أسماء الله تعالى ، وعلى هذا فمعنى شهر رمضان : شهر الله ، وقد ورد ذلك في عدّة أخبار. وقيل : سمّي رمضان من الرَّمْض ، وهو شدّة وقع الشمس على الرمل وغيره ؛ لأنّهم لمّا نقلوا أسماء الشهور عن اللغة القديمة سمّوها بالأزمنة التي وقعت فيها ، فوافق هذا الشهر أيّام شدّة الحرّ ورمضه. وقيل غير ذلك. راجع : </w:t>
      </w:r>
      <w:r w:rsidR="00992664" w:rsidRPr="00E57D58">
        <w:rPr>
          <w:rStyle w:val="libFootnoteBoldChar"/>
          <w:rtl/>
        </w:rPr>
        <w:t>مدارك الأحكام</w:t>
      </w:r>
      <w:r w:rsidR="00992664" w:rsidRPr="00020424">
        <w:rPr>
          <w:rtl/>
        </w:rPr>
        <w:t xml:space="preserve"> ، ج 6 ، ص 15</w:t>
      </w:r>
      <w:r w:rsidR="00992664">
        <w:rPr>
          <w:rtl/>
        </w:rPr>
        <w:t xml:space="preserve"> </w:t>
      </w:r>
      <w:r w:rsidR="009B673F">
        <w:rPr>
          <w:rtl/>
        </w:rPr>
        <w:t>-</w:t>
      </w:r>
      <w:r w:rsidR="00992664">
        <w:rPr>
          <w:rtl/>
        </w:rPr>
        <w:t xml:space="preserve"> </w:t>
      </w:r>
      <w:r w:rsidR="00992664" w:rsidRPr="00020424">
        <w:rPr>
          <w:rtl/>
        </w:rPr>
        <w:t xml:space="preserve">16 ؛ </w:t>
      </w:r>
      <w:r w:rsidR="00992664" w:rsidRPr="0012008A">
        <w:rPr>
          <w:rStyle w:val="libFootnoteBoldChar"/>
          <w:rtl/>
        </w:rPr>
        <w:t>الصحاح</w:t>
      </w:r>
      <w:r w:rsidR="00992664" w:rsidRPr="00020424">
        <w:rPr>
          <w:rtl/>
        </w:rPr>
        <w:t xml:space="preserve"> ، ج 3 ، ص 1081 ؛ </w:t>
      </w:r>
      <w:r w:rsidR="00992664" w:rsidRPr="0012008A">
        <w:rPr>
          <w:rStyle w:val="libFootnoteBoldChar"/>
          <w:rtl/>
        </w:rPr>
        <w:t>النهاية</w:t>
      </w:r>
      <w:r w:rsidR="00992664" w:rsidRPr="00020424">
        <w:rPr>
          <w:rtl/>
        </w:rPr>
        <w:t xml:space="preserve"> ، ج 2 ، ص 264 ( رمض )</w:t>
      </w:r>
      <w:r w:rsidR="00992664">
        <w:rPr>
          <w:rtl/>
        </w:rPr>
        <w:t>.</w:t>
      </w:r>
    </w:p>
    <w:p w:rsidR="00992664" w:rsidRPr="00020424" w:rsidRDefault="00795177" w:rsidP="00170518">
      <w:pPr>
        <w:pStyle w:val="libFootnote0"/>
        <w:rPr>
          <w:rtl/>
          <w:lang w:bidi="fa-IR"/>
        </w:rPr>
      </w:pPr>
      <w:r>
        <w:rPr>
          <w:rtl/>
        </w:rPr>
        <w:t>(3).</w:t>
      </w:r>
      <w:r w:rsidR="0014403D">
        <w:rPr>
          <w:rtl/>
        </w:rPr>
        <w:t xml:space="preserve"> </w:t>
      </w:r>
      <w:r w:rsidR="00992664" w:rsidRPr="00DE76B9">
        <w:rPr>
          <w:rStyle w:val="libFootnoteBoldChar"/>
          <w:rtl/>
        </w:rPr>
        <w:t>معاني الأخبار</w:t>
      </w:r>
      <w:r w:rsidR="00992664" w:rsidRPr="00020424">
        <w:rPr>
          <w:rtl/>
        </w:rPr>
        <w:t xml:space="preserve"> ، ص 315 ، ح 2 ، بسنده عن محمّد بن يحيى. </w:t>
      </w:r>
      <w:r w:rsidR="00992664" w:rsidRPr="0012008A">
        <w:rPr>
          <w:rStyle w:val="libFootnoteBoldChar"/>
          <w:rtl/>
        </w:rPr>
        <w:t>الفقيه</w:t>
      </w:r>
      <w:r w:rsidR="00992664" w:rsidRPr="00020424">
        <w:rPr>
          <w:rtl/>
        </w:rPr>
        <w:t xml:space="preserve"> ، ج 2 ، ص 172 ، ح 2051 ، معلّقاً عن غياث بن إبراهيم. وفي </w:t>
      </w:r>
      <w:r w:rsidR="00992664" w:rsidRPr="00DE76B9">
        <w:rPr>
          <w:rStyle w:val="libFootnoteBoldChar"/>
          <w:rtl/>
        </w:rPr>
        <w:t>الجعفريّات</w:t>
      </w:r>
      <w:r w:rsidR="00992664" w:rsidRPr="00020424">
        <w:rPr>
          <w:rtl/>
        </w:rPr>
        <w:t xml:space="preserve"> ، ص 59 ، صدر الحديث ؛ وص 241 ، صدر الحديث ، بسند آخر عن جعفر بن محمّد ، عن آبائه ، عن عليّ </w:t>
      </w:r>
      <w:r w:rsidR="00992664" w:rsidRPr="00D64ADA">
        <w:rPr>
          <w:rStyle w:val="libFootnoteAlaemChar"/>
          <w:rtl/>
        </w:rPr>
        <w:t>عليهم‌السلام</w:t>
      </w:r>
      <w:r w:rsidR="00992664" w:rsidRPr="00020424">
        <w:rPr>
          <w:rtl/>
        </w:rPr>
        <w:t xml:space="preserve"> ، مع اختلاف يسير. </w:t>
      </w:r>
      <w:r w:rsidR="00992664" w:rsidRPr="00DE76B9">
        <w:rPr>
          <w:rStyle w:val="libFootnoteBoldChar"/>
          <w:rtl/>
        </w:rPr>
        <w:t>فضائل الأشهر الثلاثة</w:t>
      </w:r>
      <w:r w:rsidR="00992664" w:rsidRPr="00020424">
        <w:rPr>
          <w:rtl/>
        </w:rPr>
        <w:t xml:space="preserve"> ، ص 93 ، ح 73 ، بسند آخر عن الصادق ، عن أبيه ، عن آبائه </w:t>
      </w:r>
      <w:r w:rsidR="00992664" w:rsidRPr="00D64ADA">
        <w:rPr>
          <w:rStyle w:val="libFootnoteAlaemChar"/>
          <w:rtl/>
        </w:rPr>
        <w:t>عليهم‌السلام</w:t>
      </w:r>
      <w:r w:rsidR="00992664" w:rsidRPr="00020424">
        <w:rPr>
          <w:rtl/>
        </w:rPr>
        <w:t xml:space="preserve"> ، من دون الإسناد إلى عليّ </w:t>
      </w:r>
      <w:r w:rsidR="00992664" w:rsidRPr="00D64ADA">
        <w:rPr>
          <w:rStyle w:val="libFootnoteAlaemChar"/>
          <w:rtl/>
        </w:rPr>
        <w:t>عليه‌السلام</w:t>
      </w:r>
      <w:r w:rsidR="00992664" w:rsidRPr="00020424">
        <w:rPr>
          <w:rtl/>
        </w:rPr>
        <w:t xml:space="preserve"> </w:t>
      </w:r>
      <w:r w:rsidR="00170518">
        <w:rPr>
          <w:rFonts w:hint="cs"/>
          <w:rtl/>
        </w:rPr>
        <w:t>.</w:t>
      </w:r>
      <w:r w:rsidR="00992664" w:rsidRPr="0012008A">
        <w:rPr>
          <w:rStyle w:val="libFootnoteBoldChar"/>
          <w:rtl/>
        </w:rPr>
        <w:t>الوافي</w:t>
      </w:r>
      <w:r w:rsidR="00992664" w:rsidRPr="00020424">
        <w:rPr>
          <w:rtl/>
        </w:rPr>
        <w:t xml:space="preserve"> ، ج 11 ، ص 376 ، ح 11051 ؛ </w:t>
      </w:r>
      <w:r w:rsidR="00992664" w:rsidRPr="0012008A">
        <w:rPr>
          <w:rStyle w:val="libFootnoteBoldChar"/>
          <w:rtl/>
        </w:rPr>
        <w:t>الوسائل</w:t>
      </w:r>
      <w:r w:rsidR="00992664" w:rsidRPr="00020424">
        <w:rPr>
          <w:rtl/>
        </w:rPr>
        <w:t xml:space="preserve"> ، ج 10 ، ص 319 ، ح 13504.</w:t>
      </w:r>
      <w:r w:rsidR="00170518">
        <w:rPr>
          <w:rFonts w:hint="cs"/>
          <w:rtl/>
        </w:rPr>
        <w:t xml:space="preserve">         </w:t>
      </w:r>
      <w:r>
        <w:rPr>
          <w:rtl/>
        </w:rPr>
        <w:t>(4).</w:t>
      </w:r>
      <w:r w:rsidR="0014403D">
        <w:rPr>
          <w:rtl/>
        </w:rPr>
        <w:t xml:space="preserve"> </w:t>
      </w:r>
      <w:r w:rsidR="00170518">
        <w:rPr>
          <w:rtl/>
        </w:rPr>
        <w:t>في«ى،بث،بح،بخ،بر،جر»</w:t>
      </w:r>
      <w:r w:rsidR="00992664" w:rsidRPr="00020424">
        <w:rPr>
          <w:rtl/>
        </w:rPr>
        <w:t>:</w:t>
      </w:r>
      <w:r w:rsidR="009B673F">
        <w:rPr>
          <w:rtl/>
        </w:rPr>
        <w:t>-</w:t>
      </w:r>
      <w:r w:rsidR="00170518">
        <w:rPr>
          <w:rtl/>
        </w:rPr>
        <w:t>«</w:t>
      </w:r>
      <w:r w:rsidR="00992664" w:rsidRPr="00020424">
        <w:rPr>
          <w:rtl/>
        </w:rPr>
        <w:t>محمّد بن</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213 : « في بعض النسخ : عن مسعدة ،</w:t>
      </w:r>
      <w:r w:rsidR="00992664">
        <w:rPr>
          <w:rtl/>
        </w:rPr>
        <w:t xml:space="preserve"> ..</w:t>
      </w:r>
      <w:r w:rsidR="00992664" w:rsidRPr="00020424">
        <w:rPr>
          <w:rtl/>
        </w:rPr>
        <w:t>. وفي بعضها : عن سعد ؛ يعني ابن طريف</w:t>
      </w:r>
      <w:r w:rsidR="00992664">
        <w:rPr>
          <w:rtl/>
        </w:rPr>
        <w:t xml:space="preserve"> ».</w:t>
      </w:r>
      <w:r w:rsidR="00992664" w:rsidRPr="00020424">
        <w:rPr>
          <w:rtl/>
        </w:rPr>
        <w:t xml:space="preserve"> هذا ، والظاهر بملاحظة ورود الخبر في </w:t>
      </w:r>
      <w:r w:rsidR="00992664" w:rsidRPr="0012008A">
        <w:rPr>
          <w:rStyle w:val="libFootnoteBoldChar"/>
          <w:rtl/>
        </w:rPr>
        <w:t>الفقيه</w:t>
      </w:r>
      <w:r w:rsidR="00992664" w:rsidRPr="00020424">
        <w:rPr>
          <w:rtl/>
        </w:rPr>
        <w:t xml:space="preserve"> ، ج 2 ، ص 127 ، ح 2050 ، عن هشام بن سالم ، عن سعد الخفّاف</w:t>
      </w:r>
      <w:r w:rsidR="00992664">
        <w:rPr>
          <w:rtl/>
        </w:rPr>
        <w:t xml:space="preserve"> </w:t>
      </w:r>
      <w:r w:rsidR="009B673F">
        <w:rPr>
          <w:rtl/>
        </w:rPr>
        <w:t>-</w:t>
      </w:r>
      <w:r w:rsidR="00992664">
        <w:rPr>
          <w:rtl/>
        </w:rPr>
        <w:t xml:space="preserve"> </w:t>
      </w:r>
      <w:r w:rsidR="00992664" w:rsidRPr="00020424">
        <w:rPr>
          <w:rtl/>
        </w:rPr>
        <w:t>وهو عنوان آخر لسعد بن طريف</w:t>
      </w:r>
      <w:r w:rsidR="00992664">
        <w:rPr>
          <w:rtl/>
        </w:rPr>
        <w:t xml:space="preserve"> </w:t>
      </w:r>
      <w:r w:rsidR="009B673F">
        <w:rPr>
          <w:rtl/>
        </w:rPr>
        <w:t>-</w:t>
      </w:r>
      <w:r w:rsidR="00992664">
        <w:rPr>
          <w:rtl/>
        </w:rPr>
        <w:t xml:space="preserve"> </w:t>
      </w:r>
      <w:r w:rsidR="00992664" w:rsidRPr="00020424">
        <w:rPr>
          <w:rtl/>
        </w:rPr>
        <w:t>صحّة « سعد » في ما نحن فيه.</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قال 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تقولوا : هذا رمضان ، لعلّه على الفضل والأولويّة ؛ فإنّ الذي يقول : رمضان ، ظاهراً أنّه يريد الشهر إمّا بحذف المضاف ، أو بأنّه صار بكثرة الاستعمال اسماً للشهر وإن لم يكن في الأصل كذلك ، ويؤيّده أنّه ورد في كثير من الأخبار : رمضان ، بدون ذكر الشهر ، وإن أمكن أن يكون الإسقاط من الرواة ، والأحوط العمل بهذا الخبر » ، ثمّ نقل رواية رواها سيّد بن طاووس في النهي عن القول : رمضان ، وقال : « وإن كان حمله على الاستحباب متعيّناً ، والله يعلم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B673F" w:rsidP="00992664">
      <w:pPr>
        <w:rPr>
          <w:rtl/>
          <w:lang w:bidi="fa-IR"/>
        </w:rPr>
      </w:pPr>
      <w:r>
        <w:rPr>
          <w:rtl/>
          <w:lang w:bidi="fa-IR"/>
        </w:rPr>
        <w:t>-</w:t>
      </w:r>
      <w:r w:rsidR="00992664">
        <w:rPr>
          <w:rtl/>
          <w:lang w:bidi="fa-IR"/>
        </w:rPr>
        <w:t xml:space="preserve"> </w:t>
      </w:r>
      <w:r w:rsidR="00992664" w:rsidRPr="00020424">
        <w:rPr>
          <w:rtl/>
          <w:lang w:bidi="fa-IR"/>
        </w:rPr>
        <w:t>عَزَّ وَجَلَّ</w:t>
      </w:r>
      <w:r w:rsidR="00992664">
        <w:rPr>
          <w:rtl/>
          <w:lang w:bidi="fa-IR"/>
        </w:rPr>
        <w:t xml:space="preserve"> </w:t>
      </w:r>
      <w:r>
        <w:rPr>
          <w:rtl/>
          <w:lang w:bidi="fa-IR"/>
        </w:rPr>
        <w:t>-</w:t>
      </w:r>
      <w:r w:rsidR="00992664">
        <w:rPr>
          <w:rtl/>
          <w:lang w:bidi="fa-IR"/>
        </w:rPr>
        <w:t xml:space="preserve"> </w:t>
      </w:r>
      <w:r w:rsidR="00992664" w:rsidRPr="00020424">
        <w:rPr>
          <w:rtl/>
          <w:lang w:bidi="fa-IR"/>
        </w:rPr>
        <w:t xml:space="preserve">لَايَجِي‌ءُ وَلَايَذْهَبُ ، وَإِنَّمَا يَجِي‌ءُ وَيَذْهَبُ الزَّائِلُ ، وَلكِنْ قُولُوا : شَهْرُ رَمَضَانَ ؛ فَإِنَّ الشَّهْرَ </w:t>
      </w:r>
      <w:r w:rsidR="00992664" w:rsidRPr="00A91B96">
        <w:rPr>
          <w:rStyle w:val="libFootnotenumChar"/>
          <w:rtl/>
        </w:rPr>
        <w:t>(1)</w:t>
      </w:r>
      <w:r w:rsidR="00992664" w:rsidRPr="00020424">
        <w:rPr>
          <w:rtl/>
          <w:lang w:bidi="fa-IR"/>
        </w:rPr>
        <w:t xml:space="preserve"> مُضَافٌ </w:t>
      </w:r>
      <w:r w:rsidR="00992664" w:rsidRPr="00A91B96">
        <w:rPr>
          <w:rStyle w:val="libFootnotenumChar"/>
          <w:rtl/>
        </w:rPr>
        <w:t>(2)</w:t>
      </w:r>
      <w:r w:rsidR="00992664" w:rsidRPr="00020424">
        <w:rPr>
          <w:rtl/>
          <w:lang w:bidi="fa-IR"/>
        </w:rPr>
        <w:t xml:space="preserve"> إِلَى الِاسْمِ ، وَالِاسْمُ اسْمُ اللهِ عَزَّ ذِكْرُهُ ، وَهُوَ الشَّهْرُ الَّذِي أُنْزِلَ فِيهِ الْقُرْآنُ ، جَعَلَهُ </w:t>
      </w:r>
      <w:r w:rsidR="00992664" w:rsidRPr="00A91B96">
        <w:rPr>
          <w:rStyle w:val="libFootnotenumChar"/>
          <w:rtl/>
        </w:rPr>
        <w:t>(3)</w:t>
      </w:r>
      <w:r w:rsidR="00992664" w:rsidRPr="00020424">
        <w:rPr>
          <w:rtl/>
          <w:lang w:bidi="fa-IR"/>
        </w:rPr>
        <w:t xml:space="preserve"> مَثَلاً وَعِيداً </w:t>
      </w:r>
      <w:r w:rsidR="00992664" w:rsidRPr="00A91B96">
        <w:rPr>
          <w:rStyle w:val="libFootnotenumChar"/>
          <w:rtl/>
        </w:rPr>
        <w:t>(4)</w:t>
      </w:r>
      <w:r w:rsidR="00992664">
        <w:rPr>
          <w:rtl/>
          <w:lang w:bidi="fa-IR"/>
        </w:rPr>
        <w:t xml:space="preserve"> ».</w:t>
      </w:r>
      <w:r w:rsidR="00992664" w:rsidRPr="00020424">
        <w:rPr>
          <w:rtl/>
          <w:lang w:bidi="fa-IR"/>
        </w:rPr>
        <w:t xml:space="preserve"> </w:t>
      </w:r>
      <w:r w:rsidR="00992664" w:rsidRPr="00A91B96">
        <w:rPr>
          <w:rStyle w:val="libFootnotenumChar"/>
          <w:rtl/>
        </w:rPr>
        <w:t>(5)</w:t>
      </w:r>
      <w:r w:rsidR="00992664" w:rsidRPr="00020424">
        <w:rPr>
          <w:rtl/>
          <w:lang w:bidi="fa-IR"/>
        </w:rPr>
        <w:t xml:space="preserve"> ‌</w:t>
      </w:r>
    </w:p>
    <w:p w:rsidR="00992664" w:rsidRPr="00020424" w:rsidRDefault="00992664" w:rsidP="00992664">
      <w:pPr>
        <w:pStyle w:val="Heading2Center"/>
        <w:rPr>
          <w:rtl/>
          <w:lang w:bidi="fa-IR"/>
        </w:rPr>
      </w:pPr>
      <w:bookmarkStart w:id="311" w:name="_Toc345172819"/>
      <w:bookmarkStart w:id="312" w:name="_Toc464562637"/>
      <w:bookmarkStart w:id="313" w:name="_Toc44599940"/>
      <w:r w:rsidRPr="00020424">
        <w:rPr>
          <w:rtl/>
          <w:lang w:bidi="fa-IR"/>
        </w:rPr>
        <w:t>5</w:t>
      </w:r>
      <w:r>
        <w:rPr>
          <w:rtl/>
          <w:lang w:bidi="fa-IR"/>
        </w:rPr>
        <w:t xml:space="preserve"> </w:t>
      </w:r>
      <w:r w:rsidR="009B673F">
        <w:rPr>
          <w:rtl/>
          <w:lang w:bidi="fa-IR"/>
        </w:rPr>
        <w:t>-</w:t>
      </w:r>
      <w:r>
        <w:rPr>
          <w:rtl/>
          <w:lang w:bidi="fa-IR"/>
        </w:rPr>
        <w:t xml:space="preserve"> </w:t>
      </w:r>
      <w:r w:rsidRPr="00020424">
        <w:rPr>
          <w:rtl/>
          <w:lang w:bidi="fa-IR"/>
        </w:rPr>
        <w:t>بَابُ مَا يُقَالُ فِي مُسْتَقْبَلِ شَهْرِ رَمَضَانَ‌</w:t>
      </w:r>
      <w:bookmarkEnd w:id="311"/>
      <w:bookmarkEnd w:id="312"/>
      <w:bookmarkEnd w:id="313"/>
    </w:p>
    <w:p w:rsidR="00992664" w:rsidRPr="00020424" w:rsidRDefault="00992664" w:rsidP="00992664">
      <w:pPr>
        <w:pStyle w:val="libNormal"/>
        <w:rPr>
          <w:rtl/>
          <w:lang w:bidi="fa-IR"/>
        </w:rPr>
      </w:pPr>
      <w:r w:rsidRPr="00817DBE">
        <w:rPr>
          <w:rtl/>
        </w:rPr>
        <w:t>6282</w:t>
      </w:r>
      <w:r w:rsidRPr="001155DE">
        <w:rPr>
          <w:rStyle w:val="libBold2Char"/>
          <w:rtl/>
        </w:rPr>
        <w:t xml:space="preserve"> / 1.</w:t>
      </w:r>
      <w:r w:rsidRPr="00020424">
        <w:rPr>
          <w:rtl/>
          <w:lang w:bidi="fa-IR"/>
        </w:rPr>
        <w:t xml:space="preserve"> عَلِيُّ بْنُ إِبْرَاهِيمَ ، عَنْ أَبِيهِ ، عَنْ حَمَّادِ بْنِ عِيسى ، عَنْ إِبْرَاهِيمَ بْنِ عُمَرَ الْيَمَانِيِّ ، عَنْ عَمْرِو بْنِ شِمْرٍ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إِذَا أَهَلَّ </w:t>
      </w:r>
      <w:r w:rsidRPr="00A91B96">
        <w:rPr>
          <w:rStyle w:val="libFootnotenumChar"/>
          <w:rtl/>
        </w:rPr>
        <w:t>(6)</w:t>
      </w:r>
      <w:r w:rsidRPr="00020424">
        <w:rPr>
          <w:rtl/>
          <w:lang w:bidi="fa-IR"/>
        </w:rPr>
        <w:t xml:space="preserve"> هِلَالَ شَهْرِ رَمَضَانَ </w:t>
      </w:r>
      <w:r w:rsidRPr="00A91B96">
        <w:rPr>
          <w:rStyle w:val="libFootnotenumChar"/>
          <w:rtl/>
        </w:rPr>
        <w:t>(7)</w:t>
      </w:r>
      <w:r w:rsidRPr="00020424">
        <w:rPr>
          <w:rtl/>
          <w:lang w:bidi="fa-IR"/>
        </w:rPr>
        <w:t xml:space="preserve"> ، اسْتَقْبَلَ‌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بث ، بح ، بخ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فالشهر » بدل « فإنّ الشهر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بك » </w:t>
      </w:r>
      <w:r w:rsidR="00992664" w:rsidRPr="00216E45">
        <w:rPr>
          <w:rStyle w:val="libFootnoteBoldChar"/>
          <w:rtl/>
        </w:rPr>
        <w:t>ومعاني الأخبار</w:t>
      </w:r>
      <w:r w:rsidR="00992664" w:rsidRPr="00020424">
        <w:rPr>
          <w:rtl/>
        </w:rPr>
        <w:t xml:space="preserve"> </w:t>
      </w:r>
      <w:r w:rsidR="00992664" w:rsidRPr="00B71548">
        <w:rPr>
          <w:rStyle w:val="libFootnoteBoldChar"/>
          <w:rtl/>
        </w:rPr>
        <w:t>وبصائر الدرجات</w:t>
      </w:r>
      <w:r w:rsidR="00992664" w:rsidRPr="00020424">
        <w:rPr>
          <w:rtl/>
        </w:rPr>
        <w:t xml:space="preserve"> : « المضاف</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حاشية « بف » : « جعل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بخ » وحاشية « بح » : « ووعيداً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جعله مثلاً وعيداً ، أي الشهر أو القرآن مثلاً ، أي حجّة. وعيداً ، أي محلّ سرور لأوليائه ، والمثل بالثاني أنسب ، كما أنّ العيد بالأوّل أنسب. وقال الفيروز آبادي : والعيد بالكسر : ما اعتادك من همّ أو مرض أو حزن ونحوه. انتهى. وعلى الأخير يحتمل كون الواو جزء الكلمة</w:t>
      </w:r>
      <w:r w:rsidR="00992664">
        <w:rPr>
          <w:rtl/>
        </w:rPr>
        <w:t xml:space="preserve"> ».</w:t>
      </w:r>
      <w:r w:rsidR="00992664" w:rsidRPr="00020424">
        <w:rPr>
          <w:rtl/>
        </w:rPr>
        <w:t xml:space="preserve"> وراجع أيضاً : </w:t>
      </w:r>
      <w:r w:rsidR="00992664" w:rsidRPr="00A722B1">
        <w:rPr>
          <w:rStyle w:val="libFootnoteBoldChar"/>
          <w:rtl/>
        </w:rPr>
        <w:t>القاموس المحيط</w:t>
      </w:r>
      <w:r w:rsidR="00992664" w:rsidRPr="00020424">
        <w:rPr>
          <w:rtl/>
        </w:rPr>
        <w:t xml:space="preserve"> ، ج 1 ، ص 440 ( عود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بصائر الدرجات</w:t>
      </w:r>
      <w:r w:rsidR="00992664" w:rsidRPr="00020424">
        <w:rPr>
          <w:rtl/>
        </w:rPr>
        <w:t xml:space="preserve"> ، ص 311 ، صدر ح 12 ؛ </w:t>
      </w:r>
      <w:r w:rsidR="00992664" w:rsidRPr="00216E45">
        <w:rPr>
          <w:rStyle w:val="libFootnoteBoldChar"/>
          <w:rtl/>
        </w:rPr>
        <w:t>ومعاني الأخبار</w:t>
      </w:r>
      <w:r w:rsidR="00992664" w:rsidRPr="00020424">
        <w:rPr>
          <w:rtl/>
        </w:rPr>
        <w:t xml:space="preserve"> ، ص 315 ، ح 1 ، بسندهما عن أحمد بن محمّد بن عيسى ، عن أحمد بن محمّد بن أبي نصر. </w:t>
      </w:r>
      <w:r w:rsidR="00992664" w:rsidRPr="0012008A">
        <w:rPr>
          <w:rStyle w:val="libFootnoteBoldChar"/>
          <w:rtl/>
        </w:rPr>
        <w:t>الفقيه</w:t>
      </w:r>
      <w:r w:rsidR="00992664" w:rsidRPr="00020424">
        <w:rPr>
          <w:rtl/>
        </w:rPr>
        <w:t xml:space="preserve"> ، ج 2 ، ص 172 ، ح 2050 ، معلّقاً عن البزنطي ، عن هشام بن سالم ، عن سعد الخفّاف ،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فضائل الأشهر الثلاثة</w:t>
      </w:r>
      <w:r w:rsidR="00992664" w:rsidRPr="00020424">
        <w:rPr>
          <w:rtl/>
        </w:rPr>
        <w:t xml:space="preserve"> ، ص 98 ، ضمن الحديث الطويل 84 ، بسند آخر عن الرضا </w:t>
      </w:r>
      <w:r w:rsidR="00992664" w:rsidRPr="00D64ADA">
        <w:rPr>
          <w:rStyle w:val="libFootnoteAlaemChar"/>
          <w:rtl/>
        </w:rPr>
        <w:t>عليه‌السلام</w:t>
      </w:r>
      <w:r w:rsidR="00992664" w:rsidRPr="00020424">
        <w:rPr>
          <w:rtl/>
        </w:rPr>
        <w:t xml:space="preserve"> ، مع اختلاف </w:t>
      </w:r>
      <w:r w:rsidR="00CA6EF4">
        <w:rPr>
          <w:rFonts w:hint="cs"/>
          <w:rtl/>
        </w:rPr>
        <w:t>.</w:t>
      </w:r>
      <w:r w:rsidR="00992664" w:rsidRPr="0012008A">
        <w:rPr>
          <w:rStyle w:val="libFootnoteBoldChar"/>
          <w:rtl/>
        </w:rPr>
        <w:t>الوافي</w:t>
      </w:r>
      <w:r w:rsidR="00992664" w:rsidRPr="00020424">
        <w:rPr>
          <w:rtl/>
        </w:rPr>
        <w:t xml:space="preserve"> ، ج 11 ، ص 376 ، ح 11050 ؛ </w:t>
      </w:r>
      <w:r w:rsidR="00992664" w:rsidRPr="0012008A">
        <w:rPr>
          <w:rStyle w:val="libFootnoteBoldChar"/>
          <w:rtl/>
        </w:rPr>
        <w:t>الوسائل</w:t>
      </w:r>
      <w:r w:rsidR="00992664" w:rsidRPr="00020424">
        <w:rPr>
          <w:rtl/>
        </w:rPr>
        <w:t xml:space="preserve"> ، ج 10 ، ص 319 ، ح 13505.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196 : « هلّ</w:t>
      </w:r>
      <w:r w:rsidR="00992664">
        <w:rPr>
          <w:rtl/>
        </w:rPr>
        <w:t xml:space="preserve"> ».</w:t>
      </w:r>
      <w:r w:rsidR="00992664" w:rsidRPr="00020424">
        <w:rPr>
          <w:rtl/>
        </w:rPr>
        <w:t xml:space="preserve"> </w:t>
      </w:r>
      <w:r w:rsidR="00992664">
        <w:rPr>
          <w:rtl/>
        </w:rPr>
        <w:t>و «</w:t>
      </w:r>
      <w:r w:rsidR="00992664" w:rsidRPr="00020424">
        <w:rPr>
          <w:rtl/>
        </w:rPr>
        <w:t xml:space="preserve"> أَهَلَّ » ، على بناء المفعول ورفع « هلال » بالفاعليّة ، أو على بناء الفاعل‌بأن يكون الفاعل ضميراً راجعاً إليه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والهلال مفعولاً أو منصوباً بنزع الخافض ؛ يقال : أَهَلَّ الهلالُ ، إذا طلع. واهِلَّ واسْتُهِلَّ ، إذا ابصر. وأهللته ، إذا أبصرته. ومنهم من يجيز بناء ستهلّ للفاعل ، ومنهم من يمنع بناء أهلّ للمفعول ، كالجوهري. راجع : </w:t>
      </w:r>
      <w:r w:rsidR="00992664" w:rsidRPr="0012008A">
        <w:rPr>
          <w:rStyle w:val="libFootnoteBoldChar"/>
          <w:rtl/>
        </w:rPr>
        <w:t>الصحاح</w:t>
      </w:r>
      <w:r w:rsidR="00992664" w:rsidRPr="00020424">
        <w:rPr>
          <w:rtl/>
        </w:rPr>
        <w:t xml:space="preserve"> ، ج 5 ، ص 1852 ؛ </w:t>
      </w:r>
      <w:r w:rsidR="00992664" w:rsidRPr="0012008A">
        <w:rPr>
          <w:rStyle w:val="libFootnoteBoldChar"/>
          <w:rtl/>
        </w:rPr>
        <w:t>النهاية</w:t>
      </w:r>
      <w:r w:rsidR="00992664" w:rsidRPr="00020424">
        <w:rPr>
          <w:rtl/>
        </w:rPr>
        <w:t xml:space="preserve"> ، ج 5 ، ص 271 ؛ </w:t>
      </w:r>
      <w:r w:rsidR="00992664" w:rsidRPr="00A722B1">
        <w:rPr>
          <w:rStyle w:val="libFootnoteBoldChar"/>
          <w:rtl/>
        </w:rPr>
        <w:t>المصباح المنير</w:t>
      </w:r>
      <w:r w:rsidR="00992664" w:rsidRPr="00020424">
        <w:rPr>
          <w:rtl/>
        </w:rPr>
        <w:t xml:space="preserve"> ، ص 639 ( هلل ) ؛ </w:t>
      </w:r>
      <w:r w:rsidR="00992664" w:rsidRPr="00DE76B9">
        <w:rPr>
          <w:rStyle w:val="libFootnoteBoldChar"/>
          <w:rtl/>
        </w:rPr>
        <w:t>مرآة العقول</w:t>
      </w:r>
      <w:r w:rsidR="00992664" w:rsidRPr="00020424">
        <w:rPr>
          <w:rtl/>
        </w:rPr>
        <w:t xml:space="preserve"> ، ج 16 ، ص 214.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قال الشيخ البهائي </w:t>
      </w:r>
      <w:r w:rsidR="00D64ADA" w:rsidRPr="00D64ADA">
        <w:rPr>
          <w:rStyle w:val="libFootnoteAlaemChar"/>
          <w:rtl/>
        </w:rPr>
        <w:t>قدس‌سره</w:t>
      </w:r>
      <w:r w:rsidR="00992664" w:rsidRPr="00020424">
        <w:rPr>
          <w:rtl/>
        </w:rPr>
        <w:t xml:space="preserve"> : وقت الدعاء بامتداد وقت التسمية هلالاً ، والأولى عدم تأخيره </w:t>
      </w:r>
      <w:r w:rsidR="00CA6EF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الْقِبْلَةَ وَرَفَعَ </w:t>
      </w:r>
      <w:r w:rsidRPr="00A91B96">
        <w:rPr>
          <w:rStyle w:val="libFootnotenumChar"/>
          <w:rtl/>
        </w:rPr>
        <w:t>(1)</w:t>
      </w:r>
      <w:r w:rsidRPr="00020424">
        <w:rPr>
          <w:rtl/>
          <w:lang w:bidi="fa-IR"/>
        </w:rPr>
        <w:t xml:space="preserve"> يَدَيْهِ </w:t>
      </w:r>
      <w:r w:rsidRPr="00A91B96">
        <w:rPr>
          <w:rStyle w:val="libFootnotenumChar"/>
          <w:rtl/>
        </w:rPr>
        <w:t>(2)</w:t>
      </w:r>
      <w:r w:rsidRPr="00020424">
        <w:rPr>
          <w:rtl/>
          <w:lang w:bidi="fa-IR"/>
        </w:rPr>
        <w:t xml:space="preserve"> ، فَقَالَ </w:t>
      </w:r>
      <w:r w:rsidRPr="00A91B96">
        <w:rPr>
          <w:rStyle w:val="libFootnotenumChar"/>
          <w:rtl/>
        </w:rPr>
        <w:t>(3)</w:t>
      </w:r>
      <w:r w:rsidRPr="00020424">
        <w:rPr>
          <w:rtl/>
          <w:lang w:bidi="fa-IR"/>
        </w:rPr>
        <w:t xml:space="preserve"> : الل</w:t>
      </w:r>
      <w:r w:rsidR="00CA6EF4">
        <w:rPr>
          <w:rFonts w:hint="cs"/>
          <w:rtl/>
          <w:lang w:bidi="fa-IR"/>
        </w:rPr>
        <w:t>َّ</w:t>
      </w:r>
      <w:r w:rsidRPr="00020424">
        <w:rPr>
          <w:rtl/>
          <w:lang w:bidi="fa-IR"/>
        </w:rPr>
        <w:t xml:space="preserve">هُمَّ أَهِلَّهُ </w:t>
      </w:r>
      <w:r w:rsidRPr="00A91B96">
        <w:rPr>
          <w:rStyle w:val="libFootnotenumChar"/>
          <w:rtl/>
        </w:rPr>
        <w:t>(4)</w:t>
      </w:r>
      <w:r w:rsidRPr="00020424">
        <w:rPr>
          <w:rtl/>
          <w:lang w:bidi="fa-IR"/>
        </w:rPr>
        <w:t xml:space="preserve"> عَلَيْنَا بِالْأَمْنِ وَالْإِيمَانِ ، وَالسَّلَامَةِ وَالْإِسْلَامِ ، وَالْعَافِيَةِ الْمُجَلِّلَةِ </w:t>
      </w:r>
      <w:r w:rsidRPr="00A91B96">
        <w:rPr>
          <w:rStyle w:val="libFootnotenumChar"/>
          <w:rtl/>
        </w:rPr>
        <w:t>(5)</w:t>
      </w:r>
      <w:r w:rsidRPr="00020424">
        <w:rPr>
          <w:rtl/>
          <w:lang w:bidi="fa-IR"/>
        </w:rPr>
        <w:t xml:space="preserve"> ، وَالرِّزْقِ الْوَاسِعِ ، وَدَفْعِ الْأَسْقَامِ ؛ الل</w:t>
      </w:r>
      <w:r w:rsidR="00CA6EF4">
        <w:rPr>
          <w:rFonts w:hint="cs"/>
          <w:rtl/>
          <w:lang w:bidi="fa-IR"/>
        </w:rPr>
        <w:t>َّ</w:t>
      </w:r>
      <w:r w:rsidRPr="00020424">
        <w:rPr>
          <w:rtl/>
          <w:lang w:bidi="fa-IR"/>
        </w:rPr>
        <w:t>هُمَّ ارْزُقْنَا صِيَامَهُ وَقِيَامَهُ وَتِلَاوَةَ الْقُرْآنِ فِيهِ ، الل</w:t>
      </w:r>
      <w:r w:rsidR="00CD5180">
        <w:rPr>
          <w:rFonts w:hint="cs"/>
          <w:rtl/>
          <w:lang w:bidi="fa-IR"/>
        </w:rPr>
        <w:t>َّ</w:t>
      </w:r>
      <w:r w:rsidRPr="00020424">
        <w:rPr>
          <w:rtl/>
          <w:lang w:bidi="fa-IR"/>
        </w:rPr>
        <w:t xml:space="preserve">هُمَّ سَلِّمْهُ لَنَا ، وَتَسَلَّمْهُ مِنَّا ، وَسَلِّمْنَا فِيهِ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166710" w:rsidP="00992664">
      <w:pPr>
        <w:pStyle w:val="libFootnote0"/>
        <w:rPr>
          <w:rtl/>
          <w:lang w:bidi="fa-IR"/>
        </w:rPr>
      </w:pPr>
      <w:r>
        <w:rPr>
          <w:rFonts w:hint="cs"/>
          <w:rtl/>
        </w:rPr>
        <w:t xml:space="preserve">= </w:t>
      </w:r>
      <w:r w:rsidR="00992664" w:rsidRPr="00020424">
        <w:rPr>
          <w:rtl/>
        </w:rPr>
        <w:t xml:space="preserve">عن الأوّل عملاً بالمتيقّن عليه لغة وعرفاً ، فإن لم يتيسّر فعن الثانية لقول أكثر أهل اللغة بالامتداد إليها ، فإن فاتت فعن الثالثة لقول كثير منهم بأنّها آخر لياليه ، وأمّا ما ذكره صاحب </w:t>
      </w:r>
      <w:r w:rsidR="00992664" w:rsidRPr="00DE76B9">
        <w:rPr>
          <w:rStyle w:val="libFootnoteBoldChar"/>
          <w:rtl/>
        </w:rPr>
        <w:t>القاموس</w:t>
      </w:r>
      <w:r w:rsidR="00992664" w:rsidRPr="00020424">
        <w:rPr>
          <w:rtl/>
        </w:rPr>
        <w:t xml:space="preserve"> وشيخنا الشيخ أبوعلى </w:t>
      </w:r>
      <w:r w:rsidR="00D64ADA" w:rsidRPr="00D64ADA">
        <w:rPr>
          <w:rStyle w:val="libFootnoteAlaemChar"/>
          <w:rtl/>
        </w:rPr>
        <w:t>رحمه‌الله</w:t>
      </w:r>
      <w:r w:rsidR="00992664" w:rsidRPr="00020424">
        <w:rPr>
          <w:rtl/>
        </w:rPr>
        <w:t xml:space="preserve"> من إطلاق الهلال عليه إلى السابعة فهو خلاف المشهور لغة وعرفاً ، وكأنّه مجاز من قبيل إطلاقه عليه في الليلتين الأخيرتين ، انتهى</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جن » : « فرفع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يده</w:t>
      </w:r>
      <w:r w:rsidR="00992664">
        <w:rPr>
          <w:rtl/>
        </w:rPr>
        <w:t xml:space="preserve"> ».</w:t>
      </w:r>
      <w:r w:rsidR="00992664" w:rsidRPr="00020424">
        <w:rPr>
          <w:rtl/>
        </w:rPr>
        <w:t xml:space="preserve"> وفي « بك » :</w:t>
      </w:r>
      <w:r w:rsidR="00992664">
        <w:rPr>
          <w:rtl/>
        </w:rPr>
        <w:t xml:space="preserve"> </w:t>
      </w:r>
      <w:r w:rsidR="009B673F">
        <w:rPr>
          <w:rtl/>
        </w:rPr>
        <w:t>-</w:t>
      </w:r>
      <w:r w:rsidR="00992664">
        <w:rPr>
          <w:rtl/>
        </w:rPr>
        <w:t xml:space="preserve"> </w:t>
      </w:r>
      <w:r w:rsidR="00992664" w:rsidRPr="00020424">
        <w:rPr>
          <w:rtl/>
        </w:rPr>
        <w:t>« يديه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ص 96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والثواب </w:t>
      </w:r>
      <w:r w:rsidR="00992664" w:rsidRPr="00D27EE2">
        <w:rPr>
          <w:rStyle w:val="libFootnoteBoldChar"/>
          <w:rtl/>
        </w:rPr>
        <w:t>وفضائل الأشهر الثلاثة</w:t>
      </w:r>
      <w:r w:rsidR="00992664" w:rsidRPr="00020424">
        <w:rPr>
          <w:rtl/>
        </w:rPr>
        <w:t xml:space="preserve"> : « بوجهه » بدل « ورفع يديه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 استقبل القبلة ، يدلّ على استحباب استقبال القبلة للدعاء ، وعدم استقبال الهلال ، والأولى عدم الإشارة إليه كما ورد في الخبر وسيأتي : لاتشيروا إلى الهلال ولا إلى المطر. وروى سيّد بن طاووس في كتاب </w:t>
      </w:r>
      <w:r w:rsidR="00992664" w:rsidRPr="00DE76B9">
        <w:rPr>
          <w:rStyle w:val="libFootnoteBoldChar"/>
          <w:rtl/>
        </w:rPr>
        <w:t>الإقبال</w:t>
      </w:r>
      <w:r w:rsidR="00992664" w:rsidRPr="00020424">
        <w:rPr>
          <w:rtl/>
        </w:rPr>
        <w:t xml:space="preserve"> وغيره عن الصادق </w:t>
      </w:r>
      <w:r w:rsidR="00992664" w:rsidRPr="00D64ADA">
        <w:rPr>
          <w:rStyle w:val="libFootnoteAlaemChar"/>
          <w:rtl/>
        </w:rPr>
        <w:t>عليه‌السلام</w:t>
      </w:r>
      <w:r w:rsidR="00992664" w:rsidRPr="00020424">
        <w:rPr>
          <w:rtl/>
        </w:rPr>
        <w:t xml:space="preserve"> أنّه قال : إذا رأيت هلال شهر رمضان ، فلاتشر إليه ، ولكن استقبل القبلة ، وارفع يدك إلى الله عزّوجلّ ، وخاطب الهلال وقل :</w:t>
      </w:r>
      <w:r w:rsidR="00992664">
        <w:rPr>
          <w:rtl/>
        </w:rPr>
        <w:t xml:space="preserve"> ..</w:t>
      </w:r>
      <w:r w:rsidR="00992664" w:rsidRPr="00020424">
        <w:rPr>
          <w:rtl/>
        </w:rPr>
        <w:t>. ولا ينافي مخاطبة الهلال عدم التوجّه إليه ؛ فإنّ المخاطبة لايستلزم المواجهة ، وقد يخاطب الإنسان من ورّاثه ، ويدلّ أيضاً على استحباب رفع اليدين عند الدعاء للهلال ، وإن كان في هذا الخبر مخصوصاً بشهر رمضان ، ويدلّ ظاهراً على عدم الزوال عن موضع الرؤية ، كما هو صريح غيره من الأخبار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w:t>
      </w:r>
      <w:r w:rsidR="00992664" w:rsidRPr="00FD6221">
        <w:rPr>
          <w:rStyle w:val="libFootnoteBoldChar"/>
          <w:rtl/>
        </w:rPr>
        <w:t>والفقيه</w:t>
      </w:r>
      <w:r w:rsidR="00992664" w:rsidRPr="00020424">
        <w:rPr>
          <w:rtl/>
        </w:rPr>
        <w:t xml:space="preserve"> ، ص 100 : « وقال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أهلّه ، أي أطلعه وأدخله لنا ، أو أظهره لنا مقروناً بالأمن</w:t>
      </w:r>
      <w:r w:rsidR="00992664">
        <w:rPr>
          <w:rtl/>
        </w:rPr>
        <w:t xml:space="preserve"> ..</w:t>
      </w:r>
      <w:r w:rsidR="00992664" w:rsidRPr="00020424">
        <w:rPr>
          <w:rtl/>
        </w:rPr>
        <w:t>.</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والعافية المجلّلة ، هي إمّا بكسر اللام المشدّدة ، أي الشاملة لجميع البدن ، يقال : سحاب مجلّل ، أي يجلّل الأرض بالمطر ، أي يعمّ ؛ ذكره الجوهري. أو بفتحها ، أي العافية التي جلّلت علينا وجعلت كالجلّ شاملة لنا ، من قولهم : الل</w:t>
      </w:r>
      <w:r w:rsidR="00E465BA">
        <w:rPr>
          <w:rFonts w:hint="cs"/>
          <w:rtl/>
        </w:rPr>
        <w:t>ّ</w:t>
      </w:r>
      <w:r w:rsidR="00992664" w:rsidRPr="00020424">
        <w:rPr>
          <w:rtl/>
        </w:rPr>
        <w:t>همّ جلّلهم خزياً ، أي غطّهم به ، كما يتجلّل الرجل بالثوب ؛ ذكره الجزري</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1661 ؛ </w:t>
      </w:r>
      <w:r w:rsidR="00992664" w:rsidRPr="0012008A">
        <w:rPr>
          <w:rStyle w:val="libFootnoteBoldChar"/>
          <w:rtl/>
        </w:rPr>
        <w:t>النهاية</w:t>
      </w:r>
      <w:r w:rsidR="00992664" w:rsidRPr="00020424">
        <w:rPr>
          <w:rtl/>
        </w:rPr>
        <w:t xml:space="preserve"> ، ج 1 ، ص 289 ( جلل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جن » : « وتسلّمنا فيه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ص 96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والثواب </w:t>
      </w:r>
      <w:r w:rsidR="00992664" w:rsidRPr="00D27EE2">
        <w:rPr>
          <w:rStyle w:val="libFootnoteBoldChar"/>
          <w:rtl/>
        </w:rPr>
        <w:t>وفضائل الأشهر الثلاثة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وسلّمنا فيه</w:t>
      </w:r>
      <w:r w:rsidR="00992664">
        <w:rPr>
          <w:rtl/>
        </w:rPr>
        <w:t xml:space="preserve"> ».</w:t>
      </w:r>
    </w:p>
    <w:p w:rsidR="00992664" w:rsidRPr="00020424" w:rsidRDefault="00992664" w:rsidP="00E465BA">
      <w:pPr>
        <w:pStyle w:val="libFootnote0"/>
        <w:rPr>
          <w:rtl/>
          <w:lang w:bidi="fa-IR"/>
        </w:rPr>
      </w:pPr>
      <w:r w:rsidRPr="00E465BA">
        <w:rPr>
          <w:rtl/>
        </w:rPr>
        <w:t xml:space="preserve">وفي </w:t>
      </w:r>
      <w:r w:rsidRPr="0012008A">
        <w:rPr>
          <w:rStyle w:val="libFootnoteBoldChar"/>
          <w:rtl/>
        </w:rPr>
        <w:t>الوافي</w:t>
      </w:r>
      <w:r w:rsidRPr="00E465BA">
        <w:rPr>
          <w:rtl/>
        </w:rPr>
        <w:t xml:space="preserve"> : « سلّمه لنا ، هو أن لا يغمّ الهلال في أوّله أو آخره ، فيلتبس علينا الصوم والفطر. وتسلّمه منّا ، أي اعصمنا من المعاصي فيه ، أو تقبّله منّا. وفي بعض النسخ : وسلّمه منّا ، فيتعيّن المعنى الأوّل. وسلّمنا فيه وسلّمنا له ؛ يعني ممّا يحول بيننا وبين صومه من مرض وغيره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196 ، ح 562 ، معلّقاً عن الكليني. وفي </w:t>
      </w:r>
      <w:r w:rsidR="00992664" w:rsidRPr="00587829">
        <w:rPr>
          <w:rStyle w:val="libFootnoteBoldChar"/>
          <w:rtl/>
        </w:rPr>
        <w:t>الأمالي للصدوق</w:t>
      </w:r>
      <w:r w:rsidR="00992664" w:rsidRPr="00020424">
        <w:rPr>
          <w:rtl/>
        </w:rPr>
        <w:t xml:space="preserve"> ، ص 47 ، المجلس 12 ، صدر </w:t>
      </w:r>
      <w:r w:rsidR="00E465B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817DBE">
        <w:rPr>
          <w:rtl/>
        </w:rPr>
        <w:t>6283</w:t>
      </w:r>
      <w:r w:rsidRPr="001155DE">
        <w:rPr>
          <w:rStyle w:val="libBold2Char"/>
          <w:rtl/>
        </w:rPr>
        <w:t xml:space="preserve"> / 2.</w:t>
      </w:r>
      <w:r w:rsidRPr="00020424">
        <w:rPr>
          <w:rtl/>
          <w:lang w:bidi="fa-IR"/>
        </w:rPr>
        <w:t xml:space="preserve"> مُحَمَّدُ بْنُ يَحْيى ، عَنْ مُحَمَّدِ بْنِ أَحْمَدَ ، عَنْ أَحْمَدَ بْنِ الْحَسَنِ بْنِ عَلِيٍّ </w:t>
      </w:r>
      <w:r w:rsidRPr="00A91B96">
        <w:rPr>
          <w:rStyle w:val="libFootnotenumChar"/>
          <w:rtl/>
        </w:rPr>
        <w:t>(1)</w:t>
      </w:r>
      <w:r w:rsidRPr="00020424">
        <w:rPr>
          <w:rtl/>
          <w:lang w:bidi="fa-IR"/>
        </w:rPr>
        <w:t xml:space="preserve"> ، عَنْ عَمْرِو بْنِ سَعِيدٍ ، عَنْ مُصَدِّقِ بْنِ صَدَقَةَ ، عَنْ عَمَّارِ بْنِ مُوسَى السَّابَاطِيِّ ، قَالَ :</w:t>
      </w:r>
    </w:p>
    <w:p w:rsidR="00992664" w:rsidRPr="00020424" w:rsidRDefault="00992664" w:rsidP="00992664">
      <w:pPr>
        <w:pStyle w:val="libNormal"/>
        <w:rPr>
          <w:rtl/>
          <w:lang w:bidi="fa-IR"/>
        </w:rPr>
      </w:pPr>
      <w:r w:rsidRPr="00020424">
        <w:rPr>
          <w:rtl/>
          <w:lang w:bidi="fa-IR"/>
        </w:rPr>
        <w:t xml:space="preserve">قَالَ لِي </w:t>
      </w:r>
      <w:r w:rsidRPr="00A91B96">
        <w:rPr>
          <w:rStyle w:val="libFootnotenumChar"/>
          <w:rtl/>
        </w:rPr>
        <w:t>(2)</w:t>
      </w:r>
      <w:r w:rsidRPr="00020424">
        <w:rPr>
          <w:rtl/>
          <w:lang w:bidi="fa-IR"/>
        </w:rPr>
        <w:t xml:space="preserve"> أَبُو عَبْدِ اللهِ </w:t>
      </w:r>
      <w:r w:rsidRPr="00005A81">
        <w:rPr>
          <w:rStyle w:val="libAlaemChar"/>
          <w:rtl/>
        </w:rPr>
        <w:t>عليه‌السلام</w:t>
      </w:r>
      <w:r w:rsidRPr="00020424">
        <w:rPr>
          <w:rtl/>
          <w:lang w:bidi="fa-IR"/>
        </w:rPr>
        <w:t xml:space="preserve"> : « إِذَا كَانَ أَوَّلُ لَيْلَةٍ مِنْ شَهْرِ رَمَضَانَ ، فَقُلِ : الل</w:t>
      </w:r>
      <w:r w:rsidR="007C1387">
        <w:rPr>
          <w:rFonts w:hint="cs"/>
          <w:rtl/>
          <w:lang w:bidi="fa-IR"/>
        </w:rPr>
        <w:t>ّ</w:t>
      </w:r>
      <w:r w:rsidRPr="00020424">
        <w:rPr>
          <w:rtl/>
          <w:lang w:bidi="fa-IR"/>
        </w:rPr>
        <w:t xml:space="preserve">هُمَّ رَبَّ شَهْرِ رَمَضَانَ ، وَمُنْزِلَ </w:t>
      </w:r>
      <w:r w:rsidRPr="00A91B96">
        <w:rPr>
          <w:rStyle w:val="libFootnotenumChar"/>
          <w:rtl/>
        </w:rPr>
        <w:t>(3)</w:t>
      </w:r>
      <w:r w:rsidRPr="00020424">
        <w:rPr>
          <w:rtl/>
          <w:lang w:bidi="fa-IR"/>
        </w:rPr>
        <w:t xml:space="preserve"> الْقُرْآنِ </w:t>
      </w:r>
      <w:r w:rsidRPr="00A91B96">
        <w:rPr>
          <w:rStyle w:val="libFootnotenumChar"/>
          <w:rtl/>
        </w:rPr>
        <w:t>(4)</w:t>
      </w:r>
      <w:r w:rsidRPr="00020424">
        <w:rPr>
          <w:rtl/>
          <w:lang w:bidi="fa-IR"/>
        </w:rPr>
        <w:t xml:space="preserve"> ، هذَا شَهْرُ رَمَضَانَ الَّذِي أَنْزَلْتَ فِيهِ الْقُرْآنَ ، وَأَنْزَلْتَ فِيهِ آيَاتٍ بَيِّنَاتٍ مِنَ الْهُدى وَالْفُرْقَانِ ، الل</w:t>
      </w:r>
      <w:r w:rsidR="007C1387">
        <w:rPr>
          <w:rFonts w:hint="cs"/>
          <w:rtl/>
          <w:lang w:bidi="fa-IR"/>
        </w:rPr>
        <w:t>ّ</w:t>
      </w:r>
      <w:r w:rsidRPr="00020424">
        <w:rPr>
          <w:rtl/>
          <w:lang w:bidi="fa-IR"/>
        </w:rPr>
        <w:t>هُمَّ ارْزُقْنَا صِيَامَهُ ، وَأَعِنَّا عَلى قِيَامِهِ ، الل</w:t>
      </w:r>
      <w:r w:rsidR="007C1387">
        <w:rPr>
          <w:rFonts w:hint="cs"/>
          <w:rtl/>
          <w:lang w:bidi="fa-IR"/>
        </w:rPr>
        <w:t>ّ</w:t>
      </w:r>
      <w:r w:rsidRPr="00020424">
        <w:rPr>
          <w:rtl/>
          <w:lang w:bidi="fa-IR"/>
        </w:rPr>
        <w:t xml:space="preserve">هُمَّ سَلِّمْهُ لَنَا ، وَسَلِّمْنَا فِيهِ </w:t>
      </w:r>
      <w:r w:rsidRPr="00A91B96">
        <w:rPr>
          <w:rStyle w:val="libFootnotenumChar"/>
          <w:rtl/>
        </w:rPr>
        <w:t>(5)</w:t>
      </w:r>
      <w:r w:rsidRPr="00020424">
        <w:rPr>
          <w:rtl/>
          <w:lang w:bidi="fa-IR"/>
        </w:rPr>
        <w:t xml:space="preserve"> ، وَتَسَلَّمْهُ مِنَّا فِي يُسْرٍ مِنْكَ وَمُعَافَاةٍ </w:t>
      </w:r>
      <w:r w:rsidRPr="00A91B96">
        <w:rPr>
          <w:rStyle w:val="libFootnotenumChar"/>
          <w:rtl/>
        </w:rPr>
        <w:t>(6)</w:t>
      </w:r>
      <w:r w:rsidRPr="00020424">
        <w:rPr>
          <w:rtl/>
          <w:lang w:bidi="fa-IR"/>
        </w:rPr>
        <w:t xml:space="preserve"> ، وَاجْعَلْ فِيمَا تَقْضِي وَتُقَدِّرُ مِنَ الْأَمْرِ الْمَحْتُومِ فِيمَا </w:t>
      </w:r>
      <w:r w:rsidRPr="00A91B96">
        <w:rPr>
          <w:rStyle w:val="libFootnotenumChar"/>
          <w:rtl/>
        </w:rPr>
        <w:t>(7)</w:t>
      </w:r>
      <w:r w:rsidRPr="00020424">
        <w:rPr>
          <w:rtl/>
          <w:lang w:bidi="fa-IR"/>
        </w:rPr>
        <w:t xml:space="preserve"> يُفْرَقُ </w:t>
      </w:r>
      <w:r w:rsidRPr="00A91B96">
        <w:rPr>
          <w:rStyle w:val="libFootnotenumChar"/>
          <w:rtl/>
        </w:rPr>
        <w:t>(8)</w:t>
      </w:r>
      <w:r w:rsidRPr="00020424">
        <w:rPr>
          <w:rtl/>
          <w:lang w:bidi="fa-IR"/>
        </w:rPr>
        <w:t xml:space="preserve"> مِنَ الْأَمْرِ الْحَكِيمِ فِي لَيْلَةِ الْقَدْرِ مِنَ الْقَضَاءِ الَّذِي لَا يُرَدُّ وَلَايُبَدَّلُ أَنْ تَكْتُبَنِي مِنْ حُجَّاجِ بَيْتِكَ الْحَرَامِ ، الْمَبْرُورِ حَجُّهُمْ </w:t>
      </w:r>
      <w:r w:rsidRPr="00A91B96">
        <w:rPr>
          <w:rStyle w:val="libFootnotenumChar"/>
          <w:rtl/>
        </w:rPr>
        <w:t>(9)</w:t>
      </w:r>
      <w:r w:rsidRPr="00020424">
        <w:rPr>
          <w:rtl/>
          <w:lang w:bidi="fa-IR"/>
        </w:rPr>
        <w:t xml:space="preserve"> ، الْمَشْكُورِ سَعْيُهُمْ ، الْمَغْفُورِ ذَنْبُهُمْ </w:t>
      </w:r>
      <w:r w:rsidRPr="00A91B96">
        <w:rPr>
          <w:rStyle w:val="libFootnotenumChar"/>
          <w:rtl/>
        </w:rPr>
        <w:t>(10)</w:t>
      </w:r>
      <w:r w:rsidRPr="00020424">
        <w:rPr>
          <w:rtl/>
          <w:lang w:bidi="fa-IR"/>
        </w:rPr>
        <w:t xml:space="preserve"> ، الْمُكَفَّرِ عَنْهُمْ </w:t>
      </w:r>
      <w:r w:rsidRPr="00A91B96">
        <w:rPr>
          <w:rStyle w:val="libFootnotenumChar"/>
          <w:rtl/>
        </w:rPr>
        <w:t>(11)</w:t>
      </w:r>
      <w:r w:rsidRPr="00020424">
        <w:rPr>
          <w:rtl/>
          <w:lang w:bidi="fa-IR"/>
        </w:rPr>
        <w:t xml:space="preserve"> سَيِّئَاتُهُمْ ، وَاجْعَلْ فِيمَا تَقْضِي وَتُقَدِّرُ أَنْ‌</w:t>
      </w:r>
    </w:p>
    <w:p w:rsidR="00992664" w:rsidRPr="00020424" w:rsidRDefault="00992664" w:rsidP="00992664">
      <w:pPr>
        <w:pStyle w:val="libLine"/>
        <w:rPr>
          <w:rtl/>
          <w:lang w:bidi="fa-IR"/>
        </w:rPr>
      </w:pPr>
      <w:r w:rsidRPr="00020424">
        <w:rPr>
          <w:rtl/>
          <w:lang w:bidi="fa-IR"/>
        </w:rPr>
        <w:t>__________________</w:t>
      </w:r>
    </w:p>
    <w:p w:rsidR="00992664" w:rsidRPr="00020424" w:rsidRDefault="007C1387" w:rsidP="00992664">
      <w:pPr>
        <w:pStyle w:val="libFootnote0"/>
        <w:rPr>
          <w:rtl/>
          <w:lang w:bidi="fa-IR"/>
        </w:rPr>
      </w:pPr>
      <w:r>
        <w:rPr>
          <w:rFonts w:hint="cs"/>
          <w:rtl/>
        </w:rPr>
        <w:t xml:space="preserve">= </w:t>
      </w:r>
      <w:r w:rsidR="00992664" w:rsidRPr="00020424">
        <w:rPr>
          <w:rtl/>
        </w:rPr>
        <w:t xml:space="preserve">ح 1 ؛ </w:t>
      </w:r>
      <w:r w:rsidR="00992664" w:rsidRPr="006C7A1F">
        <w:rPr>
          <w:rStyle w:val="libFootnoteBoldChar"/>
          <w:rtl/>
        </w:rPr>
        <w:t>وثواب الأعمال</w:t>
      </w:r>
      <w:r w:rsidR="00992664" w:rsidRPr="00020424">
        <w:rPr>
          <w:rtl/>
        </w:rPr>
        <w:t xml:space="preserve"> ، ص 88 ، صدر ح 2 ؛ </w:t>
      </w:r>
      <w:r w:rsidR="00992664" w:rsidRPr="00D27EE2">
        <w:rPr>
          <w:rStyle w:val="libFootnoteBoldChar"/>
          <w:rtl/>
        </w:rPr>
        <w:t>وفضائل الأشهر الثلاثة</w:t>
      </w:r>
      <w:r w:rsidR="00992664" w:rsidRPr="00020424">
        <w:rPr>
          <w:rtl/>
        </w:rPr>
        <w:t xml:space="preserve"> ، ص 80 ، صدر ح 62 ، بسند آخر عن عمرو بن شمر. </w:t>
      </w:r>
      <w:r w:rsidR="00992664" w:rsidRPr="0012008A">
        <w:rPr>
          <w:rStyle w:val="libFootnoteBoldChar"/>
          <w:rtl/>
        </w:rPr>
        <w:t>الفقيه</w:t>
      </w:r>
      <w:r w:rsidR="00992664" w:rsidRPr="00020424">
        <w:rPr>
          <w:rtl/>
        </w:rPr>
        <w:t xml:space="preserve"> ، ج 2 ، ص 96 ، صدر ح 1833 ، معلّقاً عن جابر. </w:t>
      </w:r>
      <w:r w:rsidR="00992664" w:rsidRPr="00DE76B9">
        <w:rPr>
          <w:rStyle w:val="libFootnoteBoldChar"/>
          <w:rtl/>
        </w:rPr>
        <w:t>وفيه</w:t>
      </w:r>
      <w:r w:rsidR="00992664" w:rsidRPr="00020424">
        <w:rPr>
          <w:rtl/>
        </w:rPr>
        <w:t xml:space="preserve"> ، ص 100 ، ح 1846 ، مرسلاًعن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راجع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205 ؛ </w:t>
      </w:r>
      <w:r w:rsidR="00992664" w:rsidRPr="00DF4D84">
        <w:rPr>
          <w:rStyle w:val="libFootnoteBoldChar"/>
          <w:rtl/>
        </w:rPr>
        <w:t>وعيون الأخبار</w:t>
      </w:r>
      <w:r w:rsidR="00992664" w:rsidRPr="00020424">
        <w:rPr>
          <w:rtl/>
        </w:rPr>
        <w:t xml:space="preserve"> ، ج 2 ، ص 71 ، ح 329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495 ، المجلس 17 ، ح 53 و54 </w:t>
      </w:r>
      <w:r w:rsidR="005622D2">
        <w:rPr>
          <w:rFonts w:hint="cs"/>
          <w:rtl/>
        </w:rPr>
        <w:t>.</w:t>
      </w:r>
      <w:r w:rsidR="00992664" w:rsidRPr="0012008A">
        <w:rPr>
          <w:rStyle w:val="libFootnoteBoldChar"/>
          <w:rtl/>
        </w:rPr>
        <w:t>الوافي</w:t>
      </w:r>
      <w:r w:rsidR="00992664" w:rsidRPr="00020424">
        <w:rPr>
          <w:rtl/>
        </w:rPr>
        <w:t xml:space="preserve"> ، ج 11 ، ص 393 ، ح 11077 ؛ </w:t>
      </w:r>
      <w:r w:rsidR="00992664" w:rsidRPr="0012008A">
        <w:rPr>
          <w:rStyle w:val="libFootnoteBoldChar"/>
          <w:rtl/>
        </w:rPr>
        <w:t>الوسائل</w:t>
      </w:r>
      <w:r w:rsidR="00992664" w:rsidRPr="00020424">
        <w:rPr>
          <w:rtl/>
        </w:rPr>
        <w:t xml:space="preserve"> ، ج 10 ، ص 321 ، ح 13509.</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جر » :</w:t>
      </w:r>
      <w:r w:rsidR="00992664">
        <w:rPr>
          <w:rtl/>
        </w:rPr>
        <w:t xml:space="preserve"> </w:t>
      </w:r>
      <w:r w:rsidR="009B673F">
        <w:rPr>
          <w:rtl/>
        </w:rPr>
        <w:t>-</w:t>
      </w:r>
      <w:r w:rsidR="00992664">
        <w:rPr>
          <w:rtl/>
        </w:rPr>
        <w:t xml:space="preserve"> </w:t>
      </w:r>
      <w:r w:rsidR="00992664" w:rsidRPr="00020424">
        <w:rPr>
          <w:rtl/>
        </w:rPr>
        <w:t>« بن عليّ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بث ، بخ ، بر ، بف ، جر ، جن » </w:t>
      </w:r>
      <w:r w:rsidR="00992664" w:rsidRPr="00515444">
        <w:rPr>
          <w:rStyle w:val="libFootnoteBoldChar"/>
          <w:rtl/>
        </w:rPr>
        <w:t>والوافي</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بك » : « منزل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الفرقان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بح ، بس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وسلّمنا فيه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بث » : « وعافية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وفيما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بر ، بخ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تفرق</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فيما يفرق ، إشارة إلى قوله تعالى : </w:t>
      </w:r>
      <w:r w:rsidR="00992664" w:rsidRPr="005622D2">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فِيها يُفْرَقُ كُلُّ أَمْرٍ حَكِيمٍ </w:t>
      </w:r>
      <w:r w:rsidR="00992664" w:rsidRPr="005622D2">
        <w:rPr>
          <w:rStyle w:val="libFootnoteAlaemChar"/>
          <w:rtl/>
        </w:rPr>
        <w:t>)</w:t>
      </w:r>
      <w:r w:rsidR="00992664" w:rsidRPr="00020424">
        <w:rPr>
          <w:rtl/>
        </w:rPr>
        <w:t xml:space="preserve"> [ الدخان (44) : 4 ] ؛ فإنّه قد ورد في الأخبار أنّ المراد بها أنّ في ليلة القدر يقدّر كلّ أمر محكم ، أو كلّ أمر يوافق الحكمة</w:t>
      </w:r>
      <w:r w:rsidR="00992664">
        <w:rPr>
          <w:rtl/>
        </w:rPr>
        <w:t xml:space="preserve"> ».</w:t>
      </w:r>
    </w:p>
    <w:p w:rsidR="00992664" w:rsidRPr="00020424" w:rsidRDefault="00795177" w:rsidP="005622D2">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النهاية</w:t>
      </w:r>
      <w:r w:rsidR="00992664" w:rsidRPr="00020424">
        <w:rPr>
          <w:rtl/>
        </w:rPr>
        <w:t xml:space="preserve"> : « الحجّ المبرور</w:t>
      </w:r>
      <w:r w:rsidR="00992664">
        <w:rPr>
          <w:rtl/>
        </w:rPr>
        <w:t xml:space="preserve"> ..</w:t>
      </w:r>
      <w:r w:rsidR="00992664" w:rsidRPr="00020424">
        <w:rPr>
          <w:rtl/>
        </w:rPr>
        <w:t>. : هو الذي لا يخالطه شي‌ء من المآثم. وقيل : هو المقبول المقابَل بالبِرّ ، وهوالثواب</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117 ( برر )</w:t>
      </w:r>
      <w:r w:rsidR="00992664">
        <w:rPr>
          <w:rtl/>
        </w:rPr>
        <w:t>.</w:t>
      </w:r>
      <w:r w:rsidR="005622D2">
        <w:rPr>
          <w:rFonts w:hint="cs"/>
          <w:rtl/>
        </w:rPr>
        <w:t xml:space="preserve">                             </w:t>
      </w: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ذنوبهم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عنهم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تُطِيلَ </w:t>
      </w:r>
      <w:r w:rsidRPr="00A91B96">
        <w:rPr>
          <w:rStyle w:val="libFootnotenumChar"/>
          <w:rtl/>
        </w:rPr>
        <w:t>(1)</w:t>
      </w:r>
      <w:r w:rsidRPr="00020424">
        <w:rPr>
          <w:rtl/>
          <w:lang w:bidi="fa-IR"/>
        </w:rPr>
        <w:t xml:space="preserve"> لِي </w:t>
      </w:r>
      <w:r w:rsidRPr="00A91B96">
        <w:rPr>
          <w:rStyle w:val="libFootnotenumChar"/>
          <w:rtl/>
        </w:rPr>
        <w:t>(2)</w:t>
      </w:r>
      <w:r w:rsidRPr="00020424">
        <w:rPr>
          <w:rtl/>
          <w:lang w:bidi="fa-IR"/>
        </w:rPr>
        <w:t xml:space="preserve"> فِي </w:t>
      </w:r>
      <w:r w:rsidRPr="00A91B96">
        <w:rPr>
          <w:rStyle w:val="libFootnotenumChar"/>
          <w:rtl/>
        </w:rPr>
        <w:t>(3)</w:t>
      </w:r>
      <w:r w:rsidRPr="00020424">
        <w:rPr>
          <w:rtl/>
          <w:lang w:bidi="fa-IR"/>
        </w:rPr>
        <w:t xml:space="preserve"> عُمُرِي ، وَتُوَسِّعَ عَلَيَّ مِنَ الرِّزْقِ الْحَلَالِ</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17DBE">
        <w:rPr>
          <w:rtl/>
        </w:rPr>
        <w:t>6284</w:t>
      </w:r>
      <w:r w:rsidRPr="001155DE">
        <w:rPr>
          <w:rStyle w:val="libBold2Char"/>
          <w:rtl/>
        </w:rPr>
        <w:t xml:space="preserve"> / 3.</w:t>
      </w:r>
      <w:r w:rsidRPr="00020424">
        <w:rPr>
          <w:rtl/>
          <w:lang w:bidi="fa-IR"/>
        </w:rPr>
        <w:t xml:space="preserve"> عَلِيُّ بْنُ إِبْرَاهِيمَ ، عَنْ أَبِيهِ ، عَنِ ابْنِ مَحْبُوبٍ ، عَنْ عَلِيِّ بْنِ رِئَابٍ :</w:t>
      </w:r>
    </w:p>
    <w:p w:rsidR="00992664" w:rsidRPr="00020424" w:rsidRDefault="00992664" w:rsidP="00992664">
      <w:pPr>
        <w:pStyle w:val="libNormal"/>
        <w:rPr>
          <w:rtl/>
          <w:lang w:bidi="fa-IR"/>
        </w:rPr>
      </w:pPr>
      <w:r w:rsidRPr="00020424">
        <w:rPr>
          <w:rtl/>
          <w:lang w:bidi="fa-IR"/>
        </w:rPr>
        <w:t xml:space="preserve">عَنِ الْعَبْدِ الصَّالِحِ </w:t>
      </w:r>
      <w:r w:rsidRPr="00005A81">
        <w:rPr>
          <w:rStyle w:val="libAlaemChar"/>
          <w:rtl/>
        </w:rPr>
        <w:t>عليه‌السلام</w:t>
      </w:r>
      <w:r w:rsidRPr="00020424">
        <w:rPr>
          <w:rtl/>
          <w:lang w:bidi="fa-IR"/>
        </w:rPr>
        <w:t xml:space="preserve"> ، قَالَ : « ادْعُ بِهذَا الدُّعَاءِ فِي </w:t>
      </w:r>
      <w:r w:rsidRPr="00A91B96">
        <w:rPr>
          <w:rStyle w:val="libFootnotenumChar"/>
          <w:rtl/>
        </w:rPr>
        <w:t>(5)</w:t>
      </w:r>
      <w:r w:rsidRPr="00020424">
        <w:rPr>
          <w:rtl/>
          <w:lang w:bidi="fa-IR"/>
        </w:rPr>
        <w:t xml:space="preserve"> شَهْرِ رَمَضَانَ مُسْتَقْبِلَ دُخُولِ السَّنَةِ </w:t>
      </w:r>
      <w:r w:rsidRPr="00A91B96">
        <w:rPr>
          <w:rStyle w:val="libFootnotenumChar"/>
          <w:rtl/>
        </w:rPr>
        <w:t>(6)</w:t>
      </w:r>
      <w:r w:rsidRPr="00020424">
        <w:rPr>
          <w:rtl/>
          <w:lang w:bidi="fa-IR"/>
        </w:rPr>
        <w:t xml:space="preserve"> » وَذَكَرَ </w:t>
      </w:r>
      <w:r w:rsidRPr="00A91B96">
        <w:rPr>
          <w:rStyle w:val="libFootnotenumChar"/>
          <w:rtl/>
        </w:rPr>
        <w:t>(7)</w:t>
      </w:r>
      <w:r w:rsidRPr="00020424">
        <w:rPr>
          <w:rtl/>
          <w:lang w:bidi="fa-IR"/>
        </w:rPr>
        <w:t xml:space="preserve"> أَنَّهُ مَنْ دَعَا بِهِ مُحْتَسِباً </w:t>
      </w:r>
      <w:r w:rsidRPr="00A91B96">
        <w:rPr>
          <w:rStyle w:val="libFootnotenumChar"/>
          <w:rtl/>
        </w:rPr>
        <w:t>(8)</w:t>
      </w:r>
      <w:r w:rsidRPr="00020424">
        <w:rPr>
          <w:rtl/>
          <w:lang w:bidi="fa-IR"/>
        </w:rPr>
        <w:t xml:space="preserve"> مُخْلِصاً </w:t>
      </w:r>
      <w:r w:rsidRPr="00A91B96">
        <w:rPr>
          <w:rStyle w:val="libFootnotenumChar"/>
          <w:rtl/>
        </w:rPr>
        <w:t>(9)</w:t>
      </w:r>
      <w:r w:rsidRPr="00020424">
        <w:rPr>
          <w:rtl/>
          <w:lang w:bidi="fa-IR"/>
        </w:rPr>
        <w:t xml:space="preserve"> ، لَمْ تُصِبْهُ </w:t>
      </w:r>
      <w:r w:rsidRPr="00A91B96">
        <w:rPr>
          <w:rStyle w:val="libFootnotenumChar"/>
          <w:rtl/>
        </w:rPr>
        <w:t>(10)</w:t>
      </w:r>
      <w:r w:rsidRPr="00020424">
        <w:rPr>
          <w:rtl/>
          <w:lang w:bidi="fa-IR"/>
        </w:rPr>
        <w:t xml:space="preserve"> فِي تِلْكَ السَّنَةِ فِتْنَةٌ وَلَا آفَةٌ يُضَرُّ بِهَا </w:t>
      </w:r>
      <w:r w:rsidRPr="00A91B96">
        <w:rPr>
          <w:rStyle w:val="libFootnotenumChar"/>
          <w:rtl/>
        </w:rPr>
        <w:t>(11)</w:t>
      </w:r>
      <w:r w:rsidRPr="00020424">
        <w:rPr>
          <w:rtl/>
          <w:lang w:bidi="fa-IR"/>
        </w:rPr>
        <w:t xml:space="preserve"> دِينُهُ وَبَدَنُهُ ، وَوَقَاهُ اللهُ</w:t>
      </w:r>
      <w:r>
        <w:rPr>
          <w:rtl/>
          <w:lang w:bidi="fa-IR"/>
        </w:rPr>
        <w:t xml:space="preserve"> </w:t>
      </w:r>
      <w:r w:rsidR="009B673F">
        <w:rPr>
          <w:rtl/>
          <w:lang w:bidi="fa-IR"/>
        </w:rPr>
        <w:t>-</w:t>
      </w:r>
      <w:r>
        <w:rPr>
          <w:rtl/>
          <w:lang w:bidi="fa-IR"/>
        </w:rPr>
        <w:t xml:space="preserve"> </w:t>
      </w:r>
      <w:r w:rsidRPr="00020424">
        <w:rPr>
          <w:rtl/>
          <w:lang w:bidi="fa-IR"/>
        </w:rPr>
        <w:t>عَزَّ ذِكْرُهُ</w:t>
      </w:r>
      <w:r>
        <w:rPr>
          <w:rtl/>
          <w:lang w:bidi="fa-IR"/>
        </w:rPr>
        <w:t xml:space="preserve"> </w:t>
      </w:r>
      <w:r w:rsidR="009B673F">
        <w:rPr>
          <w:rtl/>
          <w:lang w:bidi="fa-IR"/>
        </w:rPr>
        <w:t>-</w:t>
      </w:r>
      <w:r>
        <w:rPr>
          <w:rtl/>
          <w:lang w:bidi="fa-IR"/>
        </w:rPr>
        <w:t xml:space="preserve"> </w:t>
      </w:r>
      <w:r w:rsidRPr="00020424">
        <w:rPr>
          <w:rtl/>
          <w:lang w:bidi="fa-IR"/>
        </w:rPr>
        <w:t>شَرَّ مَا يَأْتِي بِهِ تِلْكَ السَّنَةَ :</w:t>
      </w:r>
    </w:p>
    <w:p w:rsidR="00992664" w:rsidRPr="00020424" w:rsidRDefault="00992664" w:rsidP="00992664">
      <w:pPr>
        <w:pStyle w:val="libNormal"/>
        <w:rPr>
          <w:rtl/>
          <w:lang w:bidi="fa-IR"/>
        </w:rPr>
      </w:pPr>
      <w:r w:rsidRPr="00020424">
        <w:rPr>
          <w:rtl/>
          <w:lang w:bidi="fa-IR"/>
        </w:rPr>
        <w:t>« الل</w:t>
      </w:r>
      <w:r w:rsidR="00702D15">
        <w:rPr>
          <w:rFonts w:hint="cs"/>
          <w:rtl/>
          <w:lang w:bidi="fa-IR"/>
        </w:rPr>
        <w:t>ّ</w:t>
      </w:r>
      <w:r w:rsidRPr="00020424">
        <w:rPr>
          <w:rtl/>
          <w:lang w:bidi="fa-IR"/>
        </w:rPr>
        <w:t xml:space="preserve">هُمَّ إِنِّي أَسْأَ لُكَ بِاسْمِكَ الَّذِي دَانَ لَهُ </w:t>
      </w:r>
      <w:r w:rsidRPr="00A91B96">
        <w:rPr>
          <w:rStyle w:val="libFootnotenumChar"/>
          <w:rtl/>
        </w:rPr>
        <w:t>(12)</w:t>
      </w:r>
      <w:r w:rsidRPr="00020424">
        <w:rPr>
          <w:rtl/>
          <w:lang w:bidi="fa-IR"/>
        </w:rPr>
        <w:t xml:space="preserve"> كُلُّ شَيْ‌ءٍ ، وَبِرَحْمَتِكَ الَّتِي وَسِعَتْ كُلَّ شَيْ‌ءٍ ، وَبِعِزَّتِكَ الَّتِي قَهَرَتْ </w:t>
      </w:r>
      <w:r w:rsidRPr="00A91B96">
        <w:rPr>
          <w:rStyle w:val="libFootnotenumChar"/>
          <w:rtl/>
        </w:rPr>
        <w:t>(13)</w:t>
      </w:r>
      <w:r w:rsidRPr="00020424">
        <w:rPr>
          <w:rtl/>
          <w:lang w:bidi="fa-IR"/>
        </w:rPr>
        <w:t xml:space="preserve"> كُلَّ شَيْ‌ءٍ </w:t>
      </w:r>
      <w:r w:rsidRPr="00A91B96">
        <w:rPr>
          <w:rStyle w:val="libFootnotenumChar"/>
          <w:rtl/>
        </w:rPr>
        <w:t>(14)</w:t>
      </w:r>
      <w:r w:rsidRPr="00020424">
        <w:rPr>
          <w:rtl/>
          <w:lang w:bidi="fa-IR"/>
        </w:rPr>
        <w:t xml:space="preserve"> ، وَبِعَظَمَتِكَ الَّتِي تَوَاضَعَ لَهَا كُلُّ شَيْ‌ءٍ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w:t>
      </w:r>
      <w:r w:rsidR="00992664" w:rsidRPr="00EB1FD9">
        <w:rPr>
          <w:rStyle w:val="libFootnoteBoldChar"/>
          <w:rtl/>
        </w:rPr>
        <w:t>والوسائل</w:t>
      </w:r>
      <w:r w:rsidR="00992664" w:rsidRPr="00020424">
        <w:rPr>
          <w:rtl/>
        </w:rPr>
        <w:t xml:space="preserve"> : « أن تطوّل » ، ويحتمل ذلك أيضاً من « ى ، بث ، بح ، بس ، جن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بس ، بف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الصيام ، باب الدعاء في العشر الأواخر من شهر رمضان ، ح 6633 </w:t>
      </w:r>
      <w:r w:rsidR="00702D15">
        <w:rPr>
          <w:rFonts w:hint="cs"/>
          <w:rtl/>
        </w:rPr>
        <w:t>.</w:t>
      </w:r>
      <w:r w:rsidR="00992664" w:rsidRPr="0012008A">
        <w:rPr>
          <w:rStyle w:val="libFootnoteBoldChar"/>
          <w:rtl/>
        </w:rPr>
        <w:t>الوافي</w:t>
      </w:r>
      <w:r w:rsidR="00992664" w:rsidRPr="00020424">
        <w:rPr>
          <w:rtl/>
        </w:rPr>
        <w:t xml:space="preserve"> ، ج 11 ، ص 397 ، ح 11084 ؛ </w:t>
      </w:r>
      <w:r w:rsidR="00992664" w:rsidRPr="0012008A">
        <w:rPr>
          <w:rStyle w:val="libFootnoteBoldChar"/>
          <w:rtl/>
        </w:rPr>
        <w:t>الوسائل</w:t>
      </w:r>
      <w:r w:rsidR="00992664" w:rsidRPr="00020424">
        <w:rPr>
          <w:rtl/>
        </w:rPr>
        <w:t xml:space="preserve"> ، ج 10 ، ص 322 ، ح 13511.</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 « أوّل يوم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مستقبل دخول السنة ، هو إمّا بكسر الباء حالاً عن فاعل ادع ، أو بالفتح صفة أو بدلاًللشهر ، وعلى التقديرين فهو مبنيّ على أنّ السنة الشرعيّة أوّلها شهر رمضان ، ويحتمل أن يكون القيد لبيان ذلك فكان وقته كلّ الشهر ، وأن يكون لتعيين الوقت ، أي أوّل ليلة ، أو يوم منه ؛ فإنّه استقبال السنة وأوّلها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فذكر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محتسباً » أي متقرّباً وطالباً لوجه الله تعالى وثوابه. قال ابن الأثير : « فالاحتساب من الحسب ، كالاعتداد من العدّ ، وإنّما قيل لمن ينوي بعمله وجه الله : احتسبه ؛ لأنّ له حينئذٍ أن يعتدّ عمله ، فجُعل في حال مباشرة الفعل كأنّه معتدّ به</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1 ، ص 382 ( حسب )</w:t>
      </w:r>
      <w:r w:rsidR="00992664">
        <w:rPr>
          <w:rtl/>
        </w:rPr>
        <w:t>.</w:t>
      </w:r>
    </w:p>
    <w:p w:rsidR="00992664" w:rsidRPr="00020424" w:rsidRDefault="00795177" w:rsidP="00354C81">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 مخلصاً ، تأكيد له</w:t>
      </w:r>
      <w:r w:rsidR="00992664">
        <w:rPr>
          <w:rtl/>
        </w:rPr>
        <w:t xml:space="preserve"> </w:t>
      </w:r>
      <w:r w:rsidR="009B673F">
        <w:rPr>
          <w:rtl/>
        </w:rPr>
        <w:t>-</w:t>
      </w:r>
      <w:r w:rsidR="00992664">
        <w:rPr>
          <w:rtl/>
        </w:rPr>
        <w:t xml:space="preserve"> </w:t>
      </w:r>
      <w:r w:rsidR="00992664" w:rsidRPr="00020424">
        <w:rPr>
          <w:rtl/>
        </w:rPr>
        <w:t xml:space="preserve">أي لقوله </w:t>
      </w:r>
      <w:r w:rsidR="00992664" w:rsidRPr="00D64ADA">
        <w:rPr>
          <w:rStyle w:val="libFootnoteAlaemChar"/>
          <w:rtl/>
        </w:rPr>
        <w:t>عليه‌السلام</w:t>
      </w:r>
      <w:r w:rsidR="00992664" w:rsidRPr="00020424">
        <w:rPr>
          <w:rtl/>
        </w:rPr>
        <w:t xml:space="preserve"> : محتسباً</w:t>
      </w:r>
      <w:r w:rsidR="00992664">
        <w:rPr>
          <w:rtl/>
        </w:rPr>
        <w:t xml:space="preserve"> </w:t>
      </w:r>
      <w:r w:rsidR="009B673F">
        <w:rPr>
          <w:rtl/>
        </w:rPr>
        <w:t>-</w:t>
      </w:r>
      <w:r w:rsidR="00992664">
        <w:rPr>
          <w:rtl/>
        </w:rPr>
        <w:t xml:space="preserve"> </w:t>
      </w:r>
      <w:r w:rsidR="00992664" w:rsidRPr="00020424">
        <w:rPr>
          <w:rtl/>
        </w:rPr>
        <w:t>أو المراد بالإخلاص ما لا يكون مشوباً بالأغراض الاخرويّة أيضاً</w:t>
      </w:r>
      <w:r w:rsidR="00992664">
        <w:rPr>
          <w:rtl/>
        </w:rPr>
        <w:t xml:space="preserve"> ».</w:t>
      </w:r>
      <w:r w:rsidR="00354C81">
        <w:rPr>
          <w:rFonts w:hint="cs"/>
          <w:rtl/>
        </w:rPr>
        <w:t xml:space="preserve">                     </w:t>
      </w:r>
      <w:r>
        <w:rPr>
          <w:rtl/>
        </w:rPr>
        <w:t>(10).</w:t>
      </w:r>
      <w:r w:rsidR="0014403D">
        <w:rPr>
          <w:rtl/>
        </w:rPr>
        <w:t xml:space="preserve"> </w:t>
      </w:r>
      <w:r w:rsidR="00992664" w:rsidRPr="00020424">
        <w:rPr>
          <w:rtl/>
        </w:rPr>
        <w:t>في « بخ ، بر ، بك » : « لم يصبه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 في</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دان له » ، أي ذلّ له وأطاع واتّبع. </w:t>
      </w:r>
      <w:r w:rsidR="00992664" w:rsidRPr="0012008A">
        <w:rPr>
          <w:rStyle w:val="libFootnoteBoldChar"/>
          <w:rtl/>
        </w:rPr>
        <w:t>النهاية</w:t>
      </w:r>
      <w:r w:rsidR="00992664" w:rsidRPr="00020424">
        <w:rPr>
          <w:rtl/>
        </w:rPr>
        <w:t xml:space="preserve"> ، ج 2 ، ص 149 ( دين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حاشية « بث » والمطبوع : + « بها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وبعزّتك التي قهرت كلّ شي‌ء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وَبِقُوَّتِكَ الَّتِي خَضَعَ لَهَا كُلُّ شَيْ‌ءٍ </w:t>
      </w:r>
      <w:r w:rsidRPr="00A91B96">
        <w:rPr>
          <w:rStyle w:val="libFootnotenumChar"/>
          <w:rtl/>
        </w:rPr>
        <w:t>(1)</w:t>
      </w:r>
      <w:r w:rsidRPr="00020424">
        <w:rPr>
          <w:rtl/>
          <w:lang w:bidi="fa-IR"/>
        </w:rPr>
        <w:t xml:space="preserve"> ، وَبِجَبَرُوتِكَ الَّتِي غَلَبَتْ كُلَّ شَيْ‌ءٍ ، وَبِعِلْمِكَ الَّذِي أَحَاطَ بِكُلِّ شَيْ‌ءٍ ، يَا نُورُ يَا قُدُّوسُ ، يَا أَوَّلُ </w:t>
      </w:r>
      <w:r w:rsidRPr="00A91B96">
        <w:rPr>
          <w:rStyle w:val="libFootnotenumChar"/>
          <w:rtl/>
        </w:rPr>
        <w:t>(2)</w:t>
      </w:r>
      <w:r w:rsidRPr="00020424">
        <w:rPr>
          <w:rtl/>
          <w:lang w:bidi="fa-IR"/>
        </w:rPr>
        <w:t xml:space="preserve"> قَبْلَ كُلِّ شَيْ‌ءٍ ، وَيَا بَاقِي </w:t>
      </w:r>
      <w:r w:rsidRPr="00A91B96">
        <w:rPr>
          <w:rStyle w:val="libFootnotenumChar"/>
          <w:rtl/>
        </w:rPr>
        <w:t>(3)</w:t>
      </w:r>
      <w:r w:rsidRPr="00020424">
        <w:rPr>
          <w:rtl/>
          <w:lang w:bidi="fa-IR"/>
        </w:rPr>
        <w:t xml:space="preserve"> بَعْدَ كُلِّ شَيْ‌ءٍ ، يَا اللهُ يَا رَحْمَانُ يَا اللهُ </w:t>
      </w:r>
      <w:r w:rsidRPr="00A91B96">
        <w:rPr>
          <w:rStyle w:val="libFootnotenumChar"/>
          <w:rtl/>
        </w:rPr>
        <w:t>(4)</w:t>
      </w:r>
      <w:r w:rsidRPr="00020424">
        <w:rPr>
          <w:rtl/>
          <w:lang w:bidi="fa-IR"/>
        </w:rPr>
        <w:t xml:space="preserve"> ، صَلِّ عَلى مُحَمَّدٍ وَآلِ مُحَمَّدٍ ، وَاغْفِرْ لِيَ الذُّنُوبَ الَّتِي تُغَيِّرُ النِّعَمَ ، وَاغْفِرْ لِيَ الذُّنُوبَ الَّتِي تُنْزِلُ النِّقَمَ </w:t>
      </w:r>
      <w:r w:rsidRPr="00A91B96">
        <w:rPr>
          <w:rStyle w:val="libFootnotenumChar"/>
          <w:rtl/>
        </w:rPr>
        <w:t>(5)</w:t>
      </w:r>
      <w:r w:rsidRPr="00020424">
        <w:rPr>
          <w:rtl/>
          <w:lang w:bidi="fa-IR"/>
        </w:rPr>
        <w:t xml:space="preserve"> ، وَاغْفِرْ لِيَ الذُّنُوبَ الَّتِي تَقْطَعُ الرَّجَاءَ ، وَاغْفِرْ لِيَ الذُّنُوبَ الَّتِي تُدِيلُ </w:t>
      </w:r>
      <w:r w:rsidRPr="00A91B96">
        <w:rPr>
          <w:rStyle w:val="libFootnotenumChar"/>
          <w:rtl/>
        </w:rPr>
        <w:t>(6)</w:t>
      </w:r>
      <w:r w:rsidRPr="00020424">
        <w:rPr>
          <w:rtl/>
          <w:lang w:bidi="fa-IR"/>
        </w:rPr>
        <w:t xml:space="preserve"> الْأَعْدَاءَ ، وَاغْفِرْ لِيَ الذُّنُوبَ الَّتِي تَرُدُّ الدُّعَاءَ ، وَاغْفِرْ لِيَ الذُّنُوبَ الَّتِي يُسْتَحَقُّ بِهَا نُزُولُ الْبَلَاءِ </w:t>
      </w:r>
      <w:r w:rsidRPr="00A91B96">
        <w:rPr>
          <w:rStyle w:val="libFootnotenumChar"/>
          <w:rtl/>
        </w:rPr>
        <w:t>(7)</w:t>
      </w:r>
      <w:r w:rsidRPr="00020424">
        <w:rPr>
          <w:rtl/>
          <w:lang w:bidi="fa-IR"/>
        </w:rPr>
        <w:t xml:space="preserve"> ، وَاغْفِرْ لِيَ الذُّنُوبَ الَّتِي تَحْبِسُ غَيْثَ السَّمَاءِ ، وَاغْفِرْ لِيَ الذُّنُوبَ الَّتِي تَكْشِفُ الْغِطَاءَ ، وَاغْفِرْ لِيَ الذُّنُوبَ الَّتِي تُعَجِّلُ الْفَنَاءَ ، وَاغْفِرْ لِيَ الذُّنُوبَ الَّتِي تُورِثُ النَّدَمَ ، وَاغْفِرْ لِيَ الذُّنُوبَ الَّتِي تَهْتِكُ الْعِصَمَ ، وَأَلْبِسْنِي دِرْعَكَ الْحَصِينَةَ الَّتِي لَاتُرَامُ </w:t>
      </w:r>
      <w:r w:rsidRPr="00A91B96">
        <w:rPr>
          <w:rStyle w:val="libFootnotenumChar"/>
          <w:rtl/>
        </w:rPr>
        <w:t>(8)</w:t>
      </w:r>
      <w:r w:rsidRPr="00020424">
        <w:rPr>
          <w:rtl/>
          <w:lang w:bidi="fa-IR"/>
        </w:rPr>
        <w:t xml:space="preserve"> ، وَعَافِنِي مِنْ شَرِّ مَا </w:t>
      </w:r>
      <w:r w:rsidRPr="00A91B96">
        <w:rPr>
          <w:rStyle w:val="libFootnotenumChar"/>
          <w:rtl/>
        </w:rPr>
        <w:t>(9)</w:t>
      </w:r>
      <w:r w:rsidRPr="00020424">
        <w:rPr>
          <w:rtl/>
          <w:lang w:bidi="fa-IR"/>
        </w:rPr>
        <w:t xml:space="preserve"> أُحَاذِرُ </w:t>
      </w:r>
      <w:r w:rsidRPr="00A91B96">
        <w:rPr>
          <w:rStyle w:val="libFootnotenumChar"/>
          <w:rtl/>
        </w:rPr>
        <w:t>(10)</w:t>
      </w:r>
      <w:r w:rsidRPr="00020424">
        <w:rPr>
          <w:rtl/>
          <w:lang w:bidi="fa-IR"/>
        </w:rPr>
        <w:t xml:space="preserve"> بِاللَّيْلِ وَالنَّهَارِ فِي </w:t>
      </w:r>
      <w:r w:rsidRPr="00A91B96">
        <w:rPr>
          <w:rStyle w:val="libFootnotenumChar"/>
          <w:rtl/>
        </w:rPr>
        <w:t>(11)</w:t>
      </w:r>
      <w:r w:rsidRPr="00020424">
        <w:rPr>
          <w:rtl/>
          <w:lang w:bidi="fa-IR"/>
        </w:rPr>
        <w:t xml:space="preserve"> مُسْتَقْبِلِ سَنَتِي هذِهِ.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بك » :</w:t>
      </w:r>
      <w:r w:rsidR="00992664">
        <w:rPr>
          <w:rtl/>
        </w:rPr>
        <w:t xml:space="preserve"> </w:t>
      </w:r>
      <w:r w:rsidR="009B673F">
        <w:rPr>
          <w:rtl/>
        </w:rPr>
        <w:t>-</w:t>
      </w:r>
      <w:r w:rsidR="00992664">
        <w:rPr>
          <w:rtl/>
        </w:rPr>
        <w:t xml:space="preserve"> </w:t>
      </w:r>
      <w:r w:rsidR="00992664" w:rsidRPr="00020424">
        <w:rPr>
          <w:rtl/>
        </w:rPr>
        <w:t>« وبقوّتك التي خضع لها كلّ شي‌ء</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يا أوّلاً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يا أوّل ، كأنّ الظاهر : يا أوّلاً ، ويمكن أن يقال : قبل ، جملةمستأنفة ؛ فإنّه لمّا قال : يا أوّل فكأنّه سئل : كيف أوّليّته</w:t>
      </w:r>
      <w:r w:rsidR="00992664">
        <w:rPr>
          <w:rtl/>
        </w:rPr>
        <w:t>؟</w:t>
      </w:r>
      <w:r w:rsidR="00992664" w:rsidRPr="00020424">
        <w:rPr>
          <w:rtl/>
        </w:rPr>
        <w:t xml:space="preserve"> فقال : هو قبل كلّ شي‌ء ، ويمكن أن يكون « قبل » عطف بيان للأوّل ، وكذا الفقرة الثانية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 « يا باقي » بدون الواو. وفي </w:t>
      </w:r>
      <w:r w:rsidR="00992664" w:rsidRPr="0012008A">
        <w:rPr>
          <w:rStyle w:val="libFootnoteBoldChar"/>
          <w:rtl/>
        </w:rPr>
        <w:t>الوافي</w:t>
      </w:r>
      <w:r w:rsidR="00992664" w:rsidRPr="00020424">
        <w:rPr>
          <w:rtl/>
        </w:rPr>
        <w:t xml:space="preserve"> : « يا باقياً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بح ، بس ، جن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يا 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 النقم » : جمع النقمة بالكسر وبالفتح وكفرحة ، وهي العذاب والعقوبة والمكافأة بها. </w:t>
      </w:r>
      <w:r w:rsidR="00992664" w:rsidRPr="00A722B1">
        <w:rPr>
          <w:rStyle w:val="libFootnoteBoldChar"/>
          <w:rtl/>
        </w:rPr>
        <w:t>لسان العرب</w:t>
      </w:r>
      <w:r w:rsidR="00992664" w:rsidRPr="00020424">
        <w:rPr>
          <w:rtl/>
        </w:rPr>
        <w:t xml:space="preserve"> ، ج 12 ، ص 590 ؛ </w:t>
      </w:r>
      <w:r w:rsidR="00992664" w:rsidRPr="00A722B1">
        <w:rPr>
          <w:rStyle w:val="libFootnoteBoldChar"/>
          <w:rtl/>
        </w:rPr>
        <w:t>القاموس المحيط</w:t>
      </w:r>
      <w:r w:rsidR="00992664" w:rsidRPr="00020424">
        <w:rPr>
          <w:rtl/>
        </w:rPr>
        <w:t xml:space="preserve"> ، ج 2 ، ص 1532 ( نقم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بك » : « تميل</w:t>
      </w:r>
      <w:r w:rsidR="00992664">
        <w:rPr>
          <w:rtl/>
        </w:rPr>
        <w:t xml:space="preserve"> ».</w:t>
      </w:r>
      <w:r w:rsidR="00992664" w:rsidRPr="00020424">
        <w:rPr>
          <w:rtl/>
        </w:rPr>
        <w:t xml:space="preserve"> والإدالة : الغلبة ، يقال : الل</w:t>
      </w:r>
      <w:r w:rsidR="00354C81">
        <w:rPr>
          <w:rFonts w:hint="cs"/>
          <w:rtl/>
        </w:rPr>
        <w:t>ّ</w:t>
      </w:r>
      <w:r w:rsidR="00992664" w:rsidRPr="00020424">
        <w:rPr>
          <w:rtl/>
        </w:rPr>
        <w:t>همّ أدلني على فلان وانصري عليه ، ويقال أيضاً : ا</w:t>
      </w:r>
      <w:r w:rsidR="00354C81">
        <w:rPr>
          <w:rFonts w:hint="cs"/>
          <w:rtl/>
        </w:rPr>
        <w:t>ُ</w:t>
      </w:r>
      <w:r w:rsidR="00992664" w:rsidRPr="00020424">
        <w:rPr>
          <w:rtl/>
        </w:rPr>
        <w:t xml:space="preserve">ديل لناعلى أعدائنا ، أي نُصرنا عليهم. </w:t>
      </w:r>
      <w:r w:rsidR="00992664" w:rsidRPr="0012008A">
        <w:rPr>
          <w:rStyle w:val="libFootnoteBoldChar"/>
          <w:rtl/>
        </w:rPr>
        <w:t>الصحاح</w:t>
      </w:r>
      <w:r w:rsidR="00992664" w:rsidRPr="00020424">
        <w:rPr>
          <w:rtl/>
        </w:rPr>
        <w:t xml:space="preserve"> ، ج 4 ، ص 1700 ؛ </w:t>
      </w:r>
      <w:r w:rsidR="00992664" w:rsidRPr="0012008A">
        <w:rPr>
          <w:rStyle w:val="libFootnoteBoldChar"/>
          <w:rtl/>
        </w:rPr>
        <w:t>النهاية</w:t>
      </w:r>
      <w:r w:rsidR="00992664" w:rsidRPr="00020424">
        <w:rPr>
          <w:rtl/>
        </w:rPr>
        <w:t xml:space="preserve"> ، ج 2 ، ص 141 ( دول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 واغفر لي الذنوب التي تردّ الدعاء</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التي لا ترام ، أي لا يقصد الأعادي الظاهرة والباطنة لابسها بالضرر ، أو لا تقصد هي‌بالهتك والرفع ، وهي عصمته تعالى وحفظه وعونه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54C81" w:rsidTr="00354C81">
        <w:tc>
          <w:tcPr>
            <w:tcW w:w="4006" w:type="dxa"/>
          </w:tcPr>
          <w:p w:rsidR="00354C81" w:rsidRDefault="00354C81" w:rsidP="00992664">
            <w:pPr>
              <w:pStyle w:val="libFootnote0"/>
              <w:rPr>
                <w:rtl/>
              </w:rPr>
            </w:pPr>
            <w:r>
              <w:rPr>
                <w:rtl/>
              </w:rPr>
              <w:t xml:space="preserve">(9). </w:t>
            </w:r>
            <w:r w:rsidRPr="00020424">
              <w:rPr>
                <w:rtl/>
              </w:rPr>
              <w:t xml:space="preserve">في </w:t>
            </w:r>
            <w:r w:rsidRPr="0012008A">
              <w:rPr>
                <w:rStyle w:val="libFootnoteBoldChar"/>
                <w:rtl/>
              </w:rPr>
              <w:t>الوافي</w:t>
            </w:r>
            <w:r w:rsidRPr="00020424">
              <w:rPr>
                <w:rtl/>
              </w:rPr>
              <w:t xml:space="preserve"> : + « أخاف </w:t>
            </w:r>
            <w:r>
              <w:rPr>
                <w:rtl/>
              </w:rPr>
              <w:t>و ».</w:t>
            </w:r>
          </w:p>
        </w:tc>
        <w:tc>
          <w:tcPr>
            <w:tcW w:w="4006" w:type="dxa"/>
          </w:tcPr>
          <w:p w:rsidR="00354C81" w:rsidRDefault="00354C81" w:rsidP="00992664">
            <w:pPr>
              <w:pStyle w:val="libFootnote0"/>
              <w:rPr>
                <w:rtl/>
              </w:rPr>
            </w:pPr>
            <w:r>
              <w:rPr>
                <w:rtl/>
              </w:rPr>
              <w:t xml:space="preserve">(10). </w:t>
            </w:r>
            <w:r w:rsidRPr="00020424">
              <w:rPr>
                <w:rtl/>
              </w:rPr>
              <w:t>في حاشية : « ى » : « أخاف</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 « وفي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الل</w:t>
      </w:r>
      <w:r w:rsidR="00354C81">
        <w:rPr>
          <w:rFonts w:hint="cs"/>
          <w:rtl/>
          <w:lang w:bidi="fa-IR"/>
        </w:rPr>
        <w:t>ّ</w:t>
      </w:r>
      <w:r w:rsidRPr="00020424">
        <w:rPr>
          <w:rtl/>
          <w:lang w:bidi="fa-IR"/>
        </w:rPr>
        <w:t xml:space="preserve">هُمَّ رَبَّ السَّمَاوَاتِ السَّبْعِ ، وَالْأَرَضِينَ </w:t>
      </w:r>
      <w:r w:rsidRPr="00A91B96">
        <w:rPr>
          <w:rStyle w:val="libFootnotenumChar"/>
          <w:rtl/>
        </w:rPr>
        <w:t>(1)</w:t>
      </w:r>
      <w:r w:rsidRPr="00020424">
        <w:rPr>
          <w:rtl/>
          <w:lang w:bidi="fa-IR"/>
        </w:rPr>
        <w:t xml:space="preserve"> السَّبْعِ ، وَمَا فِيهِنَّ وَمَا بَيْنَهُنَّ ، وَرَبَّ الْعَرْشِ الْعَظِيمِ ، وَرَبَّ السَّبْعِ الْمَثَانِي </w:t>
      </w:r>
      <w:r w:rsidRPr="00A91B96">
        <w:rPr>
          <w:rStyle w:val="libFootnotenumChar"/>
          <w:rtl/>
        </w:rPr>
        <w:t>(2)</w:t>
      </w:r>
      <w:r w:rsidRPr="00020424">
        <w:rPr>
          <w:rtl/>
          <w:lang w:bidi="fa-IR"/>
        </w:rPr>
        <w:t xml:space="preserve"> وَالْقُرْآنِ الْعَظِيمِ ، وَرَبَّ إِسْرَافِيلَ وَمِيكَائِيلَ وَجَبْرَئِيلَ ، وَرَبَّ مُحَمَّدٍ </w:t>
      </w:r>
      <w:r w:rsidR="00B42914" w:rsidRPr="00B42914">
        <w:rPr>
          <w:rStyle w:val="libAlaemChar"/>
          <w:rtl/>
        </w:rPr>
        <w:t>صلى‌الله‌عليه‌وآله‌</w:t>
      </w:r>
      <w:r w:rsidRPr="00020424">
        <w:rPr>
          <w:rtl/>
          <w:lang w:bidi="fa-IR"/>
        </w:rPr>
        <w:t xml:space="preserve"> وَأَهْلِ بَيْتِهِ </w:t>
      </w:r>
      <w:r w:rsidRPr="00A91B96">
        <w:rPr>
          <w:rStyle w:val="libFootnotenumChar"/>
          <w:rtl/>
        </w:rPr>
        <w:t>(3)</w:t>
      </w:r>
      <w:r w:rsidRPr="00020424">
        <w:rPr>
          <w:rtl/>
          <w:lang w:bidi="fa-IR"/>
        </w:rPr>
        <w:t xml:space="preserve"> سَيِّدِ الْمُرْسَلِينَ وَخَاتَمِ النَّبِيِّينَ ، أَسْأَلُكَ بِكَ وَبِمَا سَمَّيْتَ بِهِ نَفْسَكَ </w:t>
      </w:r>
      <w:r w:rsidRPr="00A91B96">
        <w:rPr>
          <w:rStyle w:val="libFootnotenumChar"/>
          <w:rtl/>
        </w:rPr>
        <w:t>(4)</w:t>
      </w:r>
      <w:r w:rsidRPr="00020424">
        <w:rPr>
          <w:rtl/>
          <w:lang w:bidi="fa-IR"/>
        </w:rPr>
        <w:t xml:space="preserve"> يَا عَظِيمُ ، أَنْتَ الَّذِي تَمُنُّ بِالْعَظِيمِ </w:t>
      </w:r>
      <w:r w:rsidRPr="00A91B96">
        <w:rPr>
          <w:rStyle w:val="libFootnotenumChar"/>
          <w:rtl/>
        </w:rPr>
        <w:t>(5)</w:t>
      </w:r>
      <w:r w:rsidRPr="00020424">
        <w:rPr>
          <w:rtl/>
          <w:lang w:bidi="fa-IR"/>
        </w:rPr>
        <w:t xml:space="preserve"> ، وَتَدْفَعُ كُلَّ مَحْذُورٍ ، وَتُعْطِي كُلَّ جَزِيلٍ ، وَتُضَاعِفُ مِنَ الْحَسَنَاتِ بِالْقَلِيلِ وَالْكَثِيرِ </w:t>
      </w:r>
      <w:r w:rsidRPr="00A91B96">
        <w:rPr>
          <w:rStyle w:val="libFootnotenumChar"/>
          <w:rtl/>
        </w:rPr>
        <w:t>(6)</w:t>
      </w:r>
      <w:r w:rsidRPr="00020424">
        <w:rPr>
          <w:rtl/>
          <w:lang w:bidi="fa-IR"/>
        </w:rPr>
        <w:t xml:space="preserve"> ، وَتَفْعَلُ مَا تَشَاءُ يَا قَدِيرُ ، يَا اللهُ يَا رَحْمَانُ يَا رَحِيمُ </w:t>
      </w:r>
      <w:r w:rsidRPr="00A91B96">
        <w:rPr>
          <w:rStyle w:val="libFootnotenumChar"/>
          <w:rtl/>
        </w:rPr>
        <w:t>(7)</w:t>
      </w:r>
      <w:r w:rsidRPr="00020424">
        <w:rPr>
          <w:rtl/>
          <w:lang w:bidi="fa-IR"/>
        </w:rPr>
        <w:t xml:space="preserve"> ، صَلِّ عَلى مُحَمَّدٍ وَأَهْلِ </w:t>
      </w:r>
      <w:r w:rsidRPr="00A91B96">
        <w:rPr>
          <w:rStyle w:val="libFootnotenumChar"/>
          <w:rtl/>
        </w:rPr>
        <w:t>(8)</w:t>
      </w:r>
      <w:r w:rsidRPr="00020424">
        <w:rPr>
          <w:rtl/>
          <w:lang w:bidi="fa-IR"/>
        </w:rPr>
        <w:t xml:space="preserve"> بَيْتِهِ </w:t>
      </w:r>
      <w:r w:rsidRPr="00A91B96">
        <w:rPr>
          <w:rStyle w:val="libFootnotenumChar"/>
          <w:rtl/>
        </w:rPr>
        <w:t>(9)</w:t>
      </w:r>
      <w:r w:rsidRPr="00020424">
        <w:rPr>
          <w:rtl/>
          <w:lang w:bidi="fa-IR"/>
        </w:rPr>
        <w:t xml:space="preserve"> ، وَأَلْبِسْنِي فِي مُسْتَقْبِلِ هذِهِ السَّنَةِ </w:t>
      </w:r>
      <w:r w:rsidRPr="00A91B96">
        <w:rPr>
          <w:rStyle w:val="libFootnotenumChar"/>
          <w:rtl/>
        </w:rPr>
        <w:t>(10)</w:t>
      </w:r>
      <w:r w:rsidRPr="00020424">
        <w:rPr>
          <w:rtl/>
          <w:lang w:bidi="fa-IR"/>
        </w:rPr>
        <w:t xml:space="preserve"> سِتْرَكَ ، وَنَضِّرْ </w:t>
      </w:r>
      <w:r w:rsidRPr="00A91B96">
        <w:rPr>
          <w:rStyle w:val="libFootnotenumChar"/>
          <w:rtl/>
        </w:rPr>
        <w:t>(11)</w:t>
      </w:r>
      <w:r w:rsidRPr="00020424">
        <w:rPr>
          <w:rtl/>
          <w:lang w:bidi="fa-IR"/>
        </w:rPr>
        <w:t xml:space="preserve"> وَجْهِي بِنُورِكَ ، وَأَحِبَّنِي </w:t>
      </w:r>
      <w:r w:rsidRPr="00A91B96">
        <w:rPr>
          <w:rStyle w:val="libFootnotenumChar"/>
          <w:rtl/>
        </w:rPr>
        <w:t>(12)</w:t>
      </w:r>
      <w:r w:rsidRPr="00020424">
        <w:rPr>
          <w:rtl/>
          <w:lang w:bidi="fa-IR"/>
        </w:rPr>
        <w:t xml:space="preserve"> بِمَحَبَّتِكَ ، وَبَلِّغْنِي </w:t>
      </w:r>
      <w:r w:rsidRPr="00A91B96">
        <w:rPr>
          <w:rStyle w:val="libFootnotenumChar"/>
          <w:rtl/>
        </w:rPr>
        <w:t>(13)</w:t>
      </w:r>
      <w:r w:rsidRPr="00020424">
        <w:rPr>
          <w:rtl/>
          <w:lang w:bidi="fa-IR"/>
        </w:rPr>
        <w:t xml:space="preserve"> رِضْوَانَكَ وَشَرِيفَ </w:t>
      </w:r>
      <w:r w:rsidRPr="00A91B96">
        <w:rPr>
          <w:rStyle w:val="libFootnotenumChar"/>
          <w:rtl/>
        </w:rPr>
        <w:t>(14)</w:t>
      </w:r>
      <w:r w:rsidRPr="00020424">
        <w:rPr>
          <w:rtl/>
          <w:lang w:bidi="fa-IR"/>
        </w:rPr>
        <w:t xml:space="preserve"> كَرَامَتِكَ وَجَزِيلَ </w:t>
      </w:r>
      <w:r w:rsidRPr="00A91B96">
        <w:rPr>
          <w:rStyle w:val="libFootnotenumChar"/>
          <w:rtl/>
        </w:rPr>
        <w:t>(15)</w:t>
      </w:r>
      <w:r w:rsidRPr="00020424">
        <w:rPr>
          <w:rtl/>
          <w:lang w:bidi="fa-IR"/>
        </w:rPr>
        <w:t xml:space="preserve"> عَطَائِكَ </w:t>
      </w:r>
      <w:r w:rsidRPr="00A91B96">
        <w:rPr>
          <w:rStyle w:val="libFootnotenumChar"/>
          <w:rtl/>
        </w:rPr>
        <w:t>(16)</w:t>
      </w:r>
      <w:r w:rsidRPr="00020424">
        <w:rPr>
          <w:rtl/>
          <w:lang w:bidi="fa-IR"/>
        </w:rPr>
        <w:t xml:space="preserve"> مِنْ خَيْرِ مَا عِنْدَكَ ، وَمِنْ خَيْرِ‌</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بك ، جن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وربّ الأرضين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وربّ السبع المثاني ، إشارة إلى قوله تعالى : </w:t>
      </w:r>
      <w:r w:rsidR="00992664" w:rsidRPr="00354C81">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وَلَقَدْ آتَيْناكَ سَبْعاً مِنَ الْمَثانِي وَالْقُرْآنَ الْعَظِيمَ </w:t>
      </w:r>
      <w:r w:rsidR="00992664" w:rsidRPr="00354C81">
        <w:rPr>
          <w:rStyle w:val="libFootnoteAlaemChar"/>
          <w:rtl/>
        </w:rPr>
        <w:t>)</w:t>
      </w:r>
      <w:r w:rsidR="00992664" w:rsidRPr="00020424">
        <w:rPr>
          <w:rtl/>
        </w:rPr>
        <w:t xml:space="preserve"> [ الحجر </w:t>
      </w:r>
      <w:r w:rsidR="00354C81">
        <w:rPr>
          <w:rtl/>
        </w:rPr>
        <w:t>(15)</w:t>
      </w:r>
      <w:r w:rsidR="0014403D">
        <w:rPr>
          <w:rtl/>
        </w:rPr>
        <w:t xml:space="preserve"> </w:t>
      </w:r>
      <w:r w:rsidR="00992664" w:rsidRPr="00020424">
        <w:rPr>
          <w:rtl/>
        </w:rPr>
        <w:t xml:space="preserve">: 87 ] وفسّر بسورة الحمد ؛ فإنّه سبع آيات ، ويكرّر في الصلاة ، أو كرّر فيها آيات الوعد والوعيد ، وبالسبع الطوال وبأسباع القرآن ، وقد مرّ في كتاب الحجّة تأويلها بالأئمّة </w:t>
      </w:r>
      <w:r w:rsidR="00992664" w:rsidRPr="00D64ADA">
        <w:rPr>
          <w:rStyle w:val="libFootnoteAlaemChar"/>
          <w:rtl/>
        </w:rPr>
        <w:t>عليهم‌السلام</w:t>
      </w:r>
      <w:r w:rsidR="00992664">
        <w:rPr>
          <w:rtl/>
        </w:rPr>
        <w:t xml:space="preserve"> ».</w:t>
      </w:r>
      <w:r w:rsidR="00992664" w:rsidRPr="00020424">
        <w:rPr>
          <w:rtl/>
        </w:rPr>
        <w:t xml:space="preserve"> هذا والمثاني : جمع مَثْنى أو مَثْناة ، من التثنية بمعنى التكرار ، أو جمع من مثنية من الثناء. راجع : </w:t>
      </w:r>
      <w:r w:rsidR="00992664" w:rsidRPr="00DE76B9">
        <w:rPr>
          <w:rStyle w:val="libFootnoteBoldChar"/>
          <w:rtl/>
        </w:rPr>
        <w:t>المغرب</w:t>
      </w:r>
      <w:r w:rsidR="00992664" w:rsidRPr="00020424">
        <w:rPr>
          <w:rtl/>
        </w:rPr>
        <w:t xml:space="preserve"> ، ص 70 ( ثنى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وأهل بيته</w:t>
      </w:r>
      <w:r w:rsidR="00992664">
        <w:rPr>
          <w:rtl/>
        </w:rPr>
        <w:t xml:space="preserve"> ».</w:t>
      </w:r>
    </w:p>
    <w:p w:rsidR="00992664" w:rsidRPr="00020424" w:rsidRDefault="00795177" w:rsidP="00354C81">
      <w:pPr>
        <w:pStyle w:val="libFootnote0"/>
        <w:rPr>
          <w:rtl/>
          <w:lang w:bidi="fa-IR"/>
        </w:rPr>
      </w:pPr>
      <w:r>
        <w:rPr>
          <w:rtl/>
        </w:rPr>
        <w:t>(4).</w:t>
      </w:r>
      <w:r w:rsidR="0014403D">
        <w:rPr>
          <w:rtl/>
        </w:rPr>
        <w:t xml:space="preserve"> </w:t>
      </w:r>
      <w:r w:rsidR="00992664" w:rsidRPr="00020424">
        <w:rPr>
          <w:rtl/>
        </w:rPr>
        <w:t xml:space="preserve">هكذا في « ظ ، ى ، بث ، بح ، بر ، بس ، بك ، جن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به‌نفسك</w:t>
      </w:r>
      <w:r w:rsidR="00992664">
        <w:rPr>
          <w:rtl/>
        </w:rPr>
        <w:t xml:space="preserve"> ».</w:t>
      </w:r>
      <w:r w:rsidR="00354C81">
        <w:rPr>
          <w:rFonts w:hint="cs"/>
          <w:rtl/>
        </w:rPr>
        <w:t xml:space="preserve">      </w:t>
      </w:r>
      <w:r w:rsidR="00F27D90">
        <w:rPr>
          <w:rFonts w:hint="cs"/>
          <w:rtl/>
        </w:rPr>
        <w:t xml:space="preserve">                              </w:t>
      </w:r>
      <w:r w:rsidR="00354C81">
        <w:rPr>
          <w:rFonts w:hint="cs"/>
          <w:rtl/>
        </w:rPr>
        <w:t xml:space="preserve">         </w:t>
      </w:r>
      <w:r>
        <w:rPr>
          <w:rtl/>
        </w:rPr>
        <w:t>(5).</w:t>
      </w:r>
      <w:r w:rsidR="0014403D">
        <w:rPr>
          <w:rtl/>
        </w:rPr>
        <w:t xml:space="preserve"> </w:t>
      </w:r>
      <w:r w:rsidR="00992664" w:rsidRPr="00020424">
        <w:rPr>
          <w:rtl/>
        </w:rPr>
        <w:t>في « بر ، بك » : « بالعظم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54C81" w:rsidTr="00354C81">
        <w:tc>
          <w:tcPr>
            <w:tcW w:w="4006" w:type="dxa"/>
          </w:tcPr>
          <w:p w:rsidR="00354C81" w:rsidRDefault="00354C81"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w:t>
            </w:r>
            <w:r w:rsidRPr="00DE3E80">
              <w:rPr>
                <w:rStyle w:val="libFootnoteBoldChar"/>
                <w:rtl/>
              </w:rPr>
              <w:t>والمقنعة</w:t>
            </w:r>
            <w:r w:rsidRPr="00020424">
              <w:rPr>
                <w:rtl/>
              </w:rPr>
              <w:t xml:space="preserve"> : « وبالكثير</w:t>
            </w:r>
            <w:r>
              <w:rPr>
                <w:rtl/>
              </w:rPr>
              <w:t xml:space="preserve"> ».</w:t>
            </w:r>
          </w:p>
        </w:tc>
        <w:tc>
          <w:tcPr>
            <w:tcW w:w="4006" w:type="dxa"/>
          </w:tcPr>
          <w:p w:rsidR="00354C81" w:rsidRDefault="00354C81" w:rsidP="00992664">
            <w:pPr>
              <w:pStyle w:val="libFootnote0"/>
              <w:rPr>
                <w:rtl/>
              </w:rPr>
            </w:pPr>
            <w:r>
              <w:rPr>
                <w:rtl/>
              </w:rPr>
              <w:t>(7). في«ظ،بح،بس</w:t>
            </w:r>
            <w:r w:rsidRPr="00020424">
              <w:rPr>
                <w:rtl/>
              </w:rPr>
              <w:t>»</w:t>
            </w:r>
            <w:r w:rsidRPr="00515444">
              <w:rPr>
                <w:rStyle w:val="libFootnoteBoldChar"/>
                <w:rtl/>
              </w:rPr>
              <w:t>والتهذيب</w:t>
            </w:r>
            <w:r w:rsidRPr="00020424">
              <w:rPr>
                <w:rtl/>
              </w:rPr>
              <w:t xml:space="preserve"> </w:t>
            </w:r>
            <w:r w:rsidRPr="00DE3E80">
              <w:rPr>
                <w:rStyle w:val="libFootnoteBoldChar"/>
                <w:rtl/>
              </w:rPr>
              <w:t>والمقنعة</w:t>
            </w:r>
            <w:r w:rsidRPr="00020424">
              <w:rPr>
                <w:rtl/>
              </w:rPr>
              <w:t>:</w:t>
            </w:r>
            <w:r>
              <w:rPr>
                <w:rtl/>
              </w:rPr>
              <w:t xml:space="preserve"> -«</w:t>
            </w:r>
            <w:r w:rsidRPr="00020424">
              <w:rPr>
                <w:rtl/>
              </w:rPr>
              <w:t>يا رحيم</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 « وعلى أهل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بف ، بك » وحاشية « بث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DE3E80">
        <w:rPr>
          <w:rStyle w:val="libFootnoteBoldChar"/>
          <w:rtl/>
        </w:rPr>
        <w:t>والمقنعة</w:t>
      </w:r>
      <w:r w:rsidR="00992664" w:rsidRPr="00020424">
        <w:rPr>
          <w:rtl/>
        </w:rPr>
        <w:t xml:space="preserve"> : « وآل محمّد » بدل « وأهل بيته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سنتي هذه » بدل « هذه السنة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جن » : + « نور</w:t>
      </w:r>
      <w:r w:rsidR="00992664">
        <w:rPr>
          <w:rtl/>
        </w:rPr>
        <w:t xml:space="preserve"> ».</w:t>
      </w:r>
      <w:r w:rsidR="00992664" w:rsidRPr="00020424">
        <w:rPr>
          <w:rtl/>
        </w:rPr>
        <w:t xml:space="preserve"> وقوله : « نَضِّرْ وجهي » ، أي حسّنه ؛ من النَّضْرة بمعنى الحسن والرونق. </w:t>
      </w:r>
      <w:r w:rsidR="00992664" w:rsidRPr="0012008A">
        <w:rPr>
          <w:rStyle w:val="libFootnoteBoldChar"/>
          <w:rtl/>
        </w:rPr>
        <w:t>الصحاح</w:t>
      </w:r>
      <w:r w:rsidR="00992664" w:rsidRPr="00020424">
        <w:rPr>
          <w:rtl/>
        </w:rPr>
        <w:t xml:space="preserve"> ، ج 2 ، ص 830 ( نضر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ومرآة العقول كليهما عن بعض النسخ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 وأحيني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بث ، بخ » وحاشية « بح » : « وبلّغ بي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26188" w:rsidTr="00A26188">
        <w:tc>
          <w:tcPr>
            <w:tcW w:w="4006" w:type="dxa"/>
          </w:tcPr>
          <w:p w:rsidR="00A26188" w:rsidRDefault="00A26188" w:rsidP="00992664">
            <w:pPr>
              <w:pStyle w:val="libFootnote0"/>
              <w:rPr>
                <w:rtl/>
              </w:rPr>
            </w:pPr>
            <w:r>
              <w:rPr>
                <w:rtl/>
              </w:rPr>
              <w:t xml:space="preserve">(14). </w:t>
            </w:r>
            <w:r w:rsidRPr="00020424">
              <w:rPr>
                <w:rtl/>
              </w:rPr>
              <w:t>في « بر ، بك » : « وتشريف</w:t>
            </w:r>
            <w:r>
              <w:rPr>
                <w:rtl/>
              </w:rPr>
              <w:t xml:space="preserve"> ».</w:t>
            </w:r>
          </w:p>
        </w:tc>
        <w:tc>
          <w:tcPr>
            <w:tcW w:w="4006" w:type="dxa"/>
          </w:tcPr>
          <w:p w:rsidR="00A26188" w:rsidRDefault="00A26188" w:rsidP="00992664">
            <w:pPr>
              <w:pStyle w:val="libFootnote0"/>
              <w:rPr>
                <w:rtl/>
              </w:rPr>
            </w:pPr>
            <w:r>
              <w:rPr>
                <w:rtl/>
              </w:rPr>
              <w:t xml:space="preserve">(15). </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sidRPr="00020424">
              <w:rPr>
                <w:rtl/>
              </w:rPr>
              <w:t xml:space="preserve"> </w:t>
            </w:r>
            <w:r w:rsidRPr="00DE3E80">
              <w:rPr>
                <w:rStyle w:val="libFootnoteBoldChar"/>
                <w:rtl/>
              </w:rPr>
              <w:t>والمقنعة</w:t>
            </w:r>
            <w:r w:rsidRPr="00020424">
              <w:rPr>
                <w:rtl/>
              </w:rPr>
              <w:t xml:space="preserve"> : « وجسيم</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عطيّتك</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مَا أَنْتَ </w:t>
      </w:r>
      <w:r w:rsidRPr="00A91B96">
        <w:rPr>
          <w:rStyle w:val="libFootnotenumChar"/>
          <w:rtl/>
        </w:rPr>
        <w:t>(1)</w:t>
      </w:r>
      <w:r w:rsidRPr="00020424">
        <w:rPr>
          <w:rtl/>
          <w:lang w:bidi="fa-IR"/>
        </w:rPr>
        <w:t xml:space="preserve"> مُعْطٍ </w:t>
      </w:r>
      <w:r w:rsidRPr="00A91B96">
        <w:rPr>
          <w:rStyle w:val="libFootnotenumChar"/>
          <w:rtl/>
        </w:rPr>
        <w:t>(2)</w:t>
      </w:r>
      <w:r w:rsidRPr="00020424">
        <w:rPr>
          <w:rtl/>
          <w:lang w:bidi="fa-IR"/>
        </w:rPr>
        <w:t xml:space="preserve"> أَحَداً مِنْ خَلْقِكَ ، وَأَلْبِسْنِي مَعَ ذلِكَ عَافِيَتَكَ يَا مَوْضِعَ كُلِّ شَكْوى ، وَيَا شَاهِدَ كُلِّ نَجْوى ، وَيَا </w:t>
      </w:r>
      <w:r w:rsidRPr="00A91B96">
        <w:rPr>
          <w:rStyle w:val="libFootnotenumChar"/>
          <w:rtl/>
        </w:rPr>
        <w:t>(3)</w:t>
      </w:r>
      <w:r w:rsidRPr="00020424">
        <w:rPr>
          <w:rtl/>
          <w:lang w:bidi="fa-IR"/>
        </w:rPr>
        <w:t xml:space="preserve"> عَالِمَ كُلِّ خَفِيَّةٍ ، وَيَا دَافِعَ </w:t>
      </w:r>
      <w:r w:rsidRPr="00A91B96">
        <w:rPr>
          <w:rStyle w:val="libFootnotenumChar"/>
          <w:rtl/>
        </w:rPr>
        <w:t>(4)</w:t>
      </w:r>
      <w:r w:rsidRPr="00020424">
        <w:rPr>
          <w:rtl/>
          <w:lang w:bidi="fa-IR"/>
        </w:rPr>
        <w:t xml:space="preserve"> مَا تَشَاءُ </w:t>
      </w:r>
      <w:r w:rsidRPr="00A91B96">
        <w:rPr>
          <w:rStyle w:val="libFootnotenumChar"/>
          <w:rtl/>
        </w:rPr>
        <w:t>(5)</w:t>
      </w:r>
      <w:r w:rsidRPr="00020424">
        <w:rPr>
          <w:rtl/>
          <w:lang w:bidi="fa-IR"/>
        </w:rPr>
        <w:t xml:space="preserve"> مِنْ بَلِيَّةٍ ، يَا كَرِيمَ الْعَفْوِ ، يَا حَسَنَ التَّجَاوُزِ ، تَوَفَّنِي عَلى مِلَّةِ إِبْرَاهِيمَ وَفِطْرَتِهِ ، وَعَلى دِينِ مُحَمَّدٍ وَسُنَّتِهِ ، وَعَلى خَيْرِ وَفَاةٍ </w:t>
      </w:r>
      <w:r w:rsidRPr="00A91B96">
        <w:rPr>
          <w:rStyle w:val="libFootnotenumChar"/>
          <w:rtl/>
        </w:rPr>
        <w:t>(6)</w:t>
      </w:r>
      <w:r w:rsidRPr="00020424">
        <w:rPr>
          <w:rtl/>
          <w:lang w:bidi="fa-IR"/>
        </w:rPr>
        <w:t xml:space="preserve"> ، فَتَوَفَّنِي مُوَالِياً </w:t>
      </w:r>
      <w:r w:rsidRPr="00A91B96">
        <w:rPr>
          <w:rStyle w:val="libFootnotenumChar"/>
          <w:rtl/>
        </w:rPr>
        <w:t>(7)</w:t>
      </w:r>
      <w:r w:rsidRPr="00020424">
        <w:rPr>
          <w:rtl/>
          <w:lang w:bidi="fa-IR"/>
        </w:rPr>
        <w:t xml:space="preserve"> لِأَوْلِيَائِكَ ، مُعَادِياً </w:t>
      </w:r>
      <w:r w:rsidRPr="00A91B96">
        <w:rPr>
          <w:rStyle w:val="libFootnotenumChar"/>
          <w:rtl/>
        </w:rPr>
        <w:t>(8)</w:t>
      </w:r>
      <w:r w:rsidRPr="00020424">
        <w:rPr>
          <w:rtl/>
          <w:lang w:bidi="fa-IR"/>
        </w:rPr>
        <w:t xml:space="preserve"> لِأَعْدَائِكَ.</w:t>
      </w:r>
    </w:p>
    <w:p w:rsidR="00992664" w:rsidRPr="00020424" w:rsidRDefault="00992664" w:rsidP="00992664">
      <w:pPr>
        <w:pStyle w:val="libNormal"/>
        <w:rPr>
          <w:rtl/>
          <w:lang w:bidi="fa-IR"/>
        </w:rPr>
      </w:pPr>
      <w:r w:rsidRPr="00020424">
        <w:rPr>
          <w:rtl/>
          <w:lang w:bidi="fa-IR"/>
        </w:rPr>
        <w:t>الل</w:t>
      </w:r>
      <w:r w:rsidR="00A44A2D">
        <w:rPr>
          <w:rFonts w:hint="cs"/>
          <w:rtl/>
          <w:lang w:bidi="fa-IR"/>
        </w:rPr>
        <w:t>َّ</w:t>
      </w:r>
      <w:r w:rsidRPr="00020424">
        <w:rPr>
          <w:rtl/>
          <w:lang w:bidi="fa-IR"/>
        </w:rPr>
        <w:t xml:space="preserve">هُمَّ وَجَنِّبْنِي فِي هذِهِ السَّنَةِ كُلَّ عَمَلٍ أَوْ قَوْلٍ أَوْ فِعْلٍ يُبَاعِدُنِي </w:t>
      </w:r>
      <w:r w:rsidRPr="00A91B96">
        <w:rPr>
          <w:rStyle w:val="libFootnotenumChar"/>
          <w:rtl/>
        </w:rPr>
        <w:t>(9)</w:t>
      </w:r>
      <w:r w:rsidRPr="00020424">
        <w:rPr>
          <w:rtl/>
          <w:lang w:bidi="fa-IR"/>
        </w:rPr>
        <w:t xml:space="preserve"> مِنْكَ ، وَاجْلِبْنِي إِلى كُلِّ عَمَلٍ أَوْ قَوْلٍ أَوْ فِعْلٍ يُقَرِّبُنِي مِنْكَ فِي هذِهِ السَّنَةِ يَا أَرْحَمَ الرَّاحِمِينَ ، وَامْنَعْنِي مِنْ كُلِّ عَمَلٍ أَوْ فِعْلٍ أَوْ قَوْلٍ </w:t>
      </w:r>
      <w:r w:rsidRPr="00A91B96">
        <w:rPr>
          <w:rStyle w:val="libFootnotenumChar"/>
          <w:rtl/>
        </w:rPr>
        <w:t>(10)</w:t>
      </w:r>
      <w:r w:rsidRPr="00020424">
        <w:rPr>
          <w:rtl/>
          <w:lang w:bidi="fa-IR"/>
        </w:rPr>
        <w:t xml:space="preserve"> يَكُونُ مِنِّي أَخَافُ ضَرَرَ عَاقِبَتِهِ ، وَأَخَافُ مَقْتَكَ </w:t>
      </w:r>
      <w:r w:rsidRPr="00A91B96">
        <w:rPr>
          <w:rStyle w:val="libFootnotenumChar"/>
          <w:rtl/>
        </w:rPr>
        <w:t>(11)</w:t>
      </w:r>
      <w:r w:rsidRPr="00020424">
        <w:rPr>
          <w:rtl/>
          <w:lang w:bidi="fa-IR"/>
        </w:rPr>
        <w:t xml:space="preserve"> إِيَّايَ عَلَيْهِ حَذَراً </w:t>
      </w:r>
      <w:r w:rsidRPr="00A91B96">
        <w:rPr>
          <w:rStyle w:val="libFootnotenumChar"/>
          <w:rtl/>
        </w:rPr>
        <w:t>(12)</w:t>
      </w:r>
      <w:r w:rsidRPr="00020424">
        <w:rPr>
          <w:rtl/>
          <w:lang w:bidi="fa-IR"/>
        </w:rPr>
        <w:t xml:space="preserve"> أَنْ تَصْرِفَ </w:t>
      </w:r>
      <w:r w:rsidRPr="00A91B96">
        <w:rPr>
          <w:rStyle w:val="libFootnotenumChar"/>
          <w:rtl/>
        </w:rPr>
        <w:t>(13)</w:t>
      </w:r>
      <w:r w:rsidRPr="00020424">
        <w:rPr>
          <w:rtl/>
          <w:lang w:bidi="fa-IR"/>
        </w:rPr>
        <w:t xml:space="preserve"> وَجْهَكَ الْكَرِيمَ عَنِّي ، فَأَسْتَوْجِبَ بِهِ نَقْصاً مِنْ حَظٍّ لِي عِنْدَكَ ، يَا رَؤُوفُ يَا رَحِيمُ.</w:t>
      </w:r>
    </w:p>
    <w:p w:rsidR="00992664" w:rsidRPr="00020424" w:rsidRDefault="00992664" w:rsidP="00992664">
      <w:pPr>
        <w:pStyle w:val="libNormal"/>
        <w:rPr>
          <w:rtl/>
          <w:lang w:bidi="fa-IR"/>
        </w:rPr>
      </w:pPr>
      <w:r w:rsidRPr="00020424">
        <w:rPr>
          <w:rtl/>
          <w:lang w:bidi="fa-IR"/>
        </w:rPr>
        <w:t>الل</w:t>
      </w:r>
      <w:r w:rsidR="00604B14">
        <w:rPr>
          <w:rFonts w:hint="cs"/>
          <w:rtl/>
          <w:lang w:bidi="fa-IR"/>
        </w:rPr>
        <w:t>َّ</w:t>
      </w:r>
      <w:r w:rsidRPr="00020424">
        <w:rPr>
          <w:rtl/>
          <w:lang w:bidi="fa-IR"/>
        </w:rPr>
        <w:t xml:space="preserve">هُمَّ اجْعَلْنِي فِي مُسْتَقْبِلِ هذِهِ السَّنَةِ </w:t>
      </w:r>
      <w:r w:rsidRPr="00A91B96">
        <w:rPr>
          <w:rStyle w:val="libFootnotenumChar"/>
          <w:rtl/>
        </w:rPr>
        <w:t>(14)</w:t>
      </w:r>
      <w:r w:rsidRPr="00020424">
        <w:rPr>
          <w:rtl/>
          <w:lang w:bidi="fa-IR"/>
        </w:rPr>
        <w:t xml:space="preserve"> فِي حِفْظِكَ وَ</w:t>
      </w:r>
      <w:r>
        <w:rPr>
          <w:rFonts w:hint="cs"/>
          <w:rtl/>
          <w:lang w:bidi="fa-IR"/>
        </w:rPr>
        <w:t xml:space="preserve"> </w:t>
      </w:r>
      <w:r w:rsidRPr="00A91B96">
        <w:rPr>
          <w:rStyle w:val="libFootnotenumChar"/>
          <w:rtl/>
        </w:rPr>
        <w:t>(15)</w:t>
      </w:r>
      <w:r w:rsidRPr="00020424">
        <w:rPr>
          <w:rtl/>
          <w:lang w:bidi="fa-IR"/>
        </w:rPr>
        <w:t xml:space="preserve"> جِوَارِكَ وَكَنَفِكَ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بك » :</w:t>
      </w:r>
      <w:r w:rsidR="00992664">
        <w:rPr>
          <w:rtl/>
        </w:rPr>
        <w:t xml:space="preserve"> </w:t>
      </w:r>
      <w:r w:rsidR="009B673F">
        <w:rPr>
          <w:rtl/>
        </w:rPr>
        <w:t>-</w:t>
      </w:r>
      <w:r w:rsidR="00992664">
        <w:rPr>
          <w:rtl/>
        </w:rPr>
        <w:t xml:space="preserve"> </w:t>
      </w:r>
      <w:r w:rsidR="00992664" w:rsidRPr="00020424">
        <w:rPr>
          <w:rtl/>
        </w:rPr>
        <w:t>« عندك ومن خير ما أنت</w:t>
      </w:r>
      <w:r w:rsidR="00992664">
        <w:rPr>
          <w:rtl/>
        </w:rPr>
        <w:t xml:space="preserve"> ».</w:t>
      </w:r>
      <w:r w:rsidR="00992664" w:rsidRPr="00020424">
        <w:rPr>
          <w:rtl/>
        </w:rPr>
        <w:t xml:space="preserve"> وفي « بث ، بخ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أنت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بك » </w:t>
      </w:r>
      <w:r w:rsidR="00992664" w:rsidRPr="00515444">
        <w:rPr>
          <w:rStyle w:val="libFootnoteBoldChar"/>
          <w:rtl/>
        </w:rPr>
        <w:t>والوافي</w:t>
      </w:r>
      <w:r w:rsidR="00992664" w:rsidRPr="00020424">
        <w:rPr>
          <w:rtl/>
        </w:rPr>
        <w:t xml:space="preserve"> : « تعطي</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معطيه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يا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وفي « بف » والمطبوع : + « كلّ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بث ، بح ، بس »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 « يشاء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B5B54" w:rsidTr="008B5B54">
        <w:tc>
          <w:tcPr>
            <w:tcW w:w="4006" w:type="dxa"/>
          </w:tcPr>
          <w:p w:rsidR="008B5B54" w:rsidRDefault="008B5B54" w:rsidP="00992664">
            <w:pPr>
              <w:pStyle w:val="libFootnote0"/>
              <w:rPr>
                <w:rtl/>
              </w:rPr>
            </w:pPr>
            <w:r>
              <w:rPr>
                <w:rtl/>
              </w:rPr>
              <w:t xml:space="preserve">(6). </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sidRPr="00020424">
              <w:rPr>
                <w:rtl/>
              </w:rPr>
              <w:t xml:space="preserve"> </w:t>
            </w:r>
            <w:r w:rsidRPr="00DE3E80">
              <w:rPr>
                <w:rStyle w:val="libFootnoteBoldChar"/>
                <w:rtl/>
              </w:rPr>
              <w:t>والمقنعة</w:t>
            </w:r>
            <w:r w:rsidRPr="00020424">
              <w:rPr>
                <w:rtl/>
              </w:rPr>
              <w:t xml:space="preserve"> : « الوفاة</w:t>
            </w:r>
            <w:r>
              <w:rPr>
                <w:rtl/>
              </w:rPr>
              <w:t xml:space="preserve"> ».</w:t>
            </w:r>
          </w:p>
        </w:tc>
        <w:tc>
          <w:tcPr>
            <w:tcW w:w="4006" w:type="dxa"/>
          </w:tcPr>
          <w:p w:rsidR="008B5B54" w:rsidRDefault="008B5B54" w:rsidP="00992664">
            <w:pPr>
              <w:pStyle w:val="libFootnote0"/>
              <w:rPr>
                <w:rtl/>
              </w:rPr>
            </w:pPr>
            <w:r>
              <w:rPr>
                <w:rtl/>
              </w:rPr>
              <w:t xml:space="preserve">(7). </w:t>
            </w:r>
            <w:r w:rsidRPr="00020424">
              <w:rPr>
                <w:rtl/>
              </w:rPr>
              <w:t>في أكثر النسخ : « موال » ، وهو خلاف القواعد.</w:t>
            </w:r>
          </w:p>
        </w:tc>
      </w:tr>
      <w:tr w:rsidR="008B5B54" w:rsidTr="008B5B54">
        <w:tc>
          <w:tcPr>
            <w:tcW w:w="4006" w:type="dxa"/>
          </w:tcPr>
          <w:p w:rsidR="008B5B54" w:rsidRDefault="008B5B54" w:rsidP="00992664">
            <w:pPr>
              <w:pStyle w:val="libFootnote0"/>
              <w:rPr>
                <w:rtl/>
              </w:rPr>
            </w:pPr>
            <w:r>
              <w:rPr>
                <w:rtl/>
              </w:rPr>
              <w:t xml:space="preserve">(8). </w:t>
            </w:r>
            <w:r w:rsidRPr="00020424">
              <w:rPr>
                <w:rtl/>
              </w:rPr>
              <w:t>في أكثر النسخ : « معاد » ، وهو خلاف القواعد.</w:t>
            </w:r>
          </w:p>
        </w:tc>
        <w:tc>
          <w:tcPr>
            <w:tcW w:w="4006" w:type="dxa"/>
          </w:tcPr>
          <w:p w:rsidR="008B5B54" w:rsidRDefault="008B5B54" w:rsidP="00992664">
            <w:pPr>
              <w:pStyle w:val="libFootnote0"/>
              <w:rPr>
                <w:rtl/>
              </w:rPr>
            </w:pPr>
            <w:r>
              <w:rPr>
                <w:rtl/>
              </w:rPr>
              <w:t xml:space="preserve">(9). </w:t>
            </w:r>
            <w:r w:rsidRPr="00020424">
              <w:rPr>
                <w:rtl/>
              </w:rPr>
              <w:t>في « بخ » وحاشية « بث » : « يبعدني</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أو قول أو فعل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ال</w:t>
      </w:r>
      <w:r w:rsidR="007A5421">
        <w:rPr>
          <w:rFonts w:hint="cs"/>
          <w:rtl/>
        </w:rPr>
        <w:t>ـ</w:t>
      </w:r>
      <w:r w:rsidR="00992664" w:rsidRPr="00020424">
        <w:rPr>
          <w:rtl/>
        </w:rPr>
        <w:t xml:space="preserve">مَقْتُ : أشدّ البغض ؛ يقال : مقته مقتاً ، من باب قتل : أبغضه أشدّ البغض عن أمر قبيح. </w:t>
      </w:r>
      <w:r w:rsidR="00992664" w:rsidRPr="0012008A">
        <w:rPr>
          <w:rStyle w:val="libFootnoteBoldChar"/>
          <w:rtl/>
        </w:rPr>
        <w:t>النهاية</w:t>
      </w:r>
      <w:r w:rsidR="00992664" w:rsidRPr="00020424">
        <w:rPr>
          <w:rtl/>
        </w:rPr>
        <w:t xml:space="preserve"> ، ج 4 ، ص 346 ( مقت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حذاراً</w:t>
      </w:r>
      <w:r w:rsidR="00992664">
        <w:rPr>
          <w:rtl/>
        </w:rPr>
        <w:t xml:space="preserve"> ».</w:t>
      </w:r>
      <w:r w:rsidR="00992664" w:rsidRPr="00020424">
        <w:rPr>
          <w:rtl/>
        </w:rPr>
        <w:t xml:space="preserve"> وفيه عن بعض النسخ </w:t>
      </w:r>
      <w:r w:rsidR="00992664" w:rsidRPr="00515444">
        <w:rPr>
          <w:rStyle w:val="libFootnoteBoldChar"/>
          <w:rtl/>
        </w:rPr>
        <w:t>والتهذيب</w:t>
      </w:r>
      <w:r w:rsidR="00992664" w:rsidRPr="00020424">
        <w:rPr>
          <w:rtl/>
        </w:rPr>
        <w:t xml:space="preserve"> : « حذار</w:t>
      </w:r>
      <w:r w:rsidR="00992664">
        <w:rPr>
          <w:rtl/>
        </w:rPr>
        <w:t xml:space="preserve"> ».</w:t>
      </w:r>
    </w:p>
    <w:tbl>
      <w:tblPr>
        <w:tblStyle w:val="TableGrid"/>
        <w:bidiVisual/>
        <w:tblW w:w="0" w:type="auto"/>
        <w:tblLook w:val="04A0" w:firstRow="1" w:lastRow="0" w:firstColumn="1" w:lastColumn="0" w:noHBand="0" w:noVBand="1"/>
      </w:tblPr>
      <w:tblGrid>
        <w:gridCol w:w="3854"/>
        <w:gridCol w:w="4158"/>
      </w:tblGrid>
      <w:tr w:rsidR="007A5421" w:rsidTr="007A5421">
        <w:tc>
          <w:tcPr>
            <w:tcW w:w="3854" w:type="dxa"/>
          </w:tcPr>
          <w:p w:rsidR="007A5421" w:rsidRDefault="007A5421" w:rsidP="00992664">
            <w:pPr>
              <w:pStyle w:val="libFootnote0"/>
              <w:rPr>
                <w:rtl/>
              </w:rPr>
            </w:pPr>
            <w:r>
              <w:rPr>
                <w:rtl/>
              </w:rPr>
              <w:t xml:space="preserve">(13). </w:t>
            </w:r>
            <w:r w:rsidRPr="00020424">
              <w:rPr>
                <w:rtl/>
              </w:rPr>
              <w:t>في « ى » : + « عنّي</w:t>
            </w:r>
            <w:r>
              <w:rPr>
                <w:rtl/>
              </w:rPr>
              <w:t xml:space="preserve"> ».</w:t>
            </w:r>
          </w:p>
        </w:tc>
        <w:tc>
          <w:tcPr>
            <w:tcW w:w="4158" w:type="dxa"/>
          </w:tcPr>
          <w:p w:rsidR="007A5421" w:rsidRDefault="007A5421" w:rsidP="00992664">
            <w:pPr>
              <w:pStyle w:val="libFootnote0"/>
              <w:rPr>
                <w:rtl/>
              </w:rPr>
            </w:pPr>
            <w:r>
              <w:rPr>
                <w:rtl/>
              </w:rPr>
              <w:t>(14).</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Pr>
                <w:rtl/>
              </w:rPr>
              <w:t>:«سنتي هذه»بدل«</w:t>
            </w:r>
            <w:r w:rsidRPr="00020424">
              <w:rPr>
                <w:rtl/>
              </w:rPr>
              <w:t>هذه السنة</w:t>
            </w:r>
            <w:r>
              <w:rPr>
                <w:rtl/>
              </w:rPr>
              <w:t>».</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كلاءتك وفي</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وفي كنفك</w:t>
      </w:r>
      <w:r w:rsidR="00992664">
        <w:rPr>
          <w:rtl/>
        </w:rPr>
        <w:t xml:space="preserve"> ».</w:t>
      </w:r>
      <w:r w:rsidR="00992664" w:rsidRPr="00020424">
        <w:rPr>
          <w:rtl/>
        </w:rPr>
        <w:t xml:space="preserve"> وكَنَفُ الله تعالى : ستْره وحفظه ورحمته وحِرْزه ؛ يقال : أنت في كنف الله ، أي في ستره وحفظه. وكنفه الله ، أي رعاه وحفظه. راجع : </w:t>
      </w:r>
      <w:r w:rsidR="00992664" w:rsidRPr="00DE76B9">
        <w:rPr>
          <w:rStyle w:val="libFootnoteBoldChar"/>
          <w:rtl/>
        </w:rPr>
        <w:t>ترتيب كتاب العين</w:t>
      </w:r>
      <w:r w:rsidR="00992664" w:rsidRPr="00020424">
        <w:rPr>
          <w:rtl/>
        </w:rPr>
        <w:t xml:space="preserve"> ، ج 3 ، ص 1600 ؛ </w:t>
      </w:r>
      <w:r w:rsidR="00992664" w:rsidRPr="00A722B1">
        <w:rPr>
          <w:rStyle w:val="libFootnoteBoldChar"/>
          <w:rtl/>
        </w:rPr>
        <w:t>لسان العرب</w:t>
      </w:r>
      <w:r w:rsidR="00992664" w:rsidRPr="00020424">
        <w:rPr>
          <w:rtl/>
        </w:rPr>
        <w:t xml:space="preserve"> ، ج 9 ، ص 308 ( كنف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وَجَلِّلْنِي </w:t>
      </w:r>
      <w:r w:rsidRPr="00A91B96">
        <w:rPr>
          <w:rStyle w:val="libFootnotenumChar"/>
          <w:rtl/>
        </w:rPr>
        <w:t>(1)</w:t>
      </w:r>
      <w:r w:rsidRPr="00020424">
        <w:rPr>
          <w:rtl/>
          <w:lang w:bidi="fa-IR"/>
        </w:rPr>
        <w:t xml:space="preserve"> سِتْرَ </w:t>
      </w:r>
      <w:r w:rsidRPr="00A91B96">
        <w:rPr>
          <w:rStyle w:val="libFootnotenumChar"/>
          <w:rtl/>
        </w:rPr>
        <w:t>(2)</w:t>
      </w:r>
      <w:r w:rsidRPr="00020424">
        <w:rPr>
          <w:rtl/>
          <w:lang w:bidi="fa-IR"/>
        </w:rPr>
        <w:t xml:space="preserve"> عَافِيَتِكَ ، وَهَبْ لِي كَرَامَتَكَ ، عَزَّ جَارُكَ ، وَجَلَّ ثَنَاءُ وَجْهِكَ </w:t>
      </w:r>
      <w:r w:rsidRPr="00A91B96">
        <w:rPr>
          <w:rStyle w:val="libFootnotenumChar"/>
          <w:rtl/>
        </w:rPr>
        <w:t>(3)</w:t>
      </w:r>
      <w:r w:rsidRPr="00020424">
        <w:rPr>
          <w:rtl/>
          <w:lang w:bidi="fa-IR"/>
        </w:rPr>
        <w:t xml:space="preserve"> ، وَلَا</w:t>
      </w:r>
      <w:r>
        <w:rPr>
          <w:rFonts w:hint="cs"/>
          <w:rtl/>
          <w:lang w:bidi="fa-IR"/>
        </w:rPr>
        <w:t xml:space="preserve"> </w:t>
      </w:r>
      <w:r w:rsidRPr="00020424">
        <w:rPr>
          <w:rtl/>
          <w:lang w:bidi="fa-IR"/>
        </w:rPr>
        <w:t>إِلهَ غَيْرُكَ.</w:t>
      </w:r>
    </w:p>
    <w:p w:rsidR="00992664" w:rsidRPr="00020424" w:rsidRDefault="00992664" w:rsidP="00992664">
      <w:pPr>
        <w:pStyle w:val="libNormal"/>
        <w:rPr>
          <w:rtl/>
          <w:lang w:bidi="fa-IR"/>
        </w:rPr>
      </w:pPr>
      <w:r w:rsidRPr="00020424">
        <w:rPr>
          <w:rtl/>
          <w:lang w:bidi="fa-IR"/>
        </w:rPr>
        <w:t>الل</w:t>
      </w:r>
      <w:r w:rsidR="006B6289">
        <w:rPr>
          <w:rFonts w:hint="cs"/>
          <w:rtl/>
          <w:lang w:bidi="fa-IR"/>
        </w:rPr>
        <w:t>ّ</w:t>
      </w:r>
      <w:r w:rsidRPr="00020424">
        <w:rPr>
          <w:rtl/>
          <w:lang w:bidi="fa-IR"/>
        </w:rPr>
        <w:t xml:space="preserve">هُمَّ اجْعَلْنِي تَابِعاً لِصَالِحِ مَنْ مَضى مِنْ أَوْلِيَائِكَ ، وَأَلْحِقْنِي بِهِمْ ، وَاجْعَلْنِي مُسْلِماً لِمَنْ قَالَ بِالصِّدْقِ عَلَيْكَ مِنْهُمْ ، وَأَعُوذُ بِكَ إِلهِي </w:t>
      </w:r>
      <w:r w:rsidRPr="00A91B96">
        <w:rPr>
          <w:rStyle w:val="libFootnotenumChar"/>
          <w:rtl/>
        </w:rPr>
        <w:t>(4)</w:t>
      </w:r>
      <w:r w:rsidRPr="00020424">
        <w:rPr>
          <w:rtl/>
          <w:lang w:bidi="fa-IR"/>
        </w:rPr>
        <w:t xml:space="preserve"> أَنْ تُحِيطَ بِي </w:t>
      </w:r>
      <w:r w:rsidRPr="00A91B96">
        <w:rPr>
          <w:rStyle w:val="libFootnotenumChar"/>
          <w:rtl/>
        </w:rPr>
        <w:t>(5)</w:t>
      </w:r>
      <w:r w:rsidRPr="00020424">
        <w:rPr>
          <w:rtl/>
          <w:lang w:bidi="fa-IR"/>
        </w:rPr>
        <w:t xml:space="preserve"> خَطِيئَتِي وَظُلْمِي وَإِسْرَافِي عَلى نَفْسِي وَاتِّبَاعِي لِهَوَايَ وَاشْتِغَالِي بِشَهَوَاتِي ، فَيَحُولَ ذلِكَ بَيْنِي وَبَيْنَ رَحْمَتِكَ وَرِضْوَانِكَ ، فَأَكُونَ مَنْسِيّاً </w:t>
      </w:r>
      <w:r w:rsidRPr="00A91B96">
        <w:rPr>
          <w:rStyle w:val="libFootnotenumChar"/>
          <w:rtl/>
        </w:rPr>
        <w:t>(6)</w:t>
      </w:r>
      <w:r w:rsidRPr="00020424">
        <w:rPr>
          <w:rtl/>
          <w:lang w:bidi="fa-IR"/>
        </w:rPr>
        <w:t xml:space="preserve"> عِنْدَكَ ، مُتَعَرِّضاً لِسَخَطِكَ وَنَقِمَتِكَ.</w:t>
      </w:r>
    </w:p>
    <w:p w:rsidR="00992664" w:rsidRPr="00020424" w:rsidRDefault="00992664" w:rsidP="00992664">
      <w:pPr>
        <w:pStyle w:val="libNormal"/>
        <w:rPr>
          <w:rtl/>
          <w:lang w:bidi="fa-IR"/>
        </w:rPr>
      </w:pPr>
      <w:r w:rsidRPr="00020424">
        <w:rPr>
          <w:rtl/>
          <w:lang w:bidi="fa-IR"/>
        </w:rPr>
        <w:t>الل</w:t>
      </w:r>
      <w:r w:rsidR="006B6289">
        <w:rPr>
          <w:rFonts w:hint="cs"/>
          <w:rtl/>
          <w:lang w:bidi="fa-IR"/>
        </w:rPr>
        <w:t>ّ</w:t>
      </w:r>
      <w:r w:rsidRPr="00020424">
        <w:rPr>
          <w:rtl/>
          <w:lang w:bidi="fa-IR"/>
        </w:rPr>
        <w:t xml:space="preserve">هُمَّ وَفِّقْنِي لِكُلِّ عَمَلٍ صَالِحٍ تَرْضى بِهِ عَنِّي ، وَقَرِّبْنِي بِهِ </w:t>
      </w:r>
      <w:r w:rsidRPr="00A91B96">
        <w:rPr>
          <w:rStyle w:val="libFootnotenumChar"/>
          <w:rtl/>
        </w:rPr>
        <w:t>(7)</w:t>
      </w:r>
      <w:r w:rsidRPr="00020424">
        <w:rPr>
          <w:rtl/>
          <w:lang w:bidi="fa-IR"/>
        </w:rPr>
        <w:t xml:space="preserve"> إِلَيْكَ زُلْفى </w:t>
      </w:r>
      <w:r w:rsidRPr="00A91B96">
        <w:rPr>
          <w:rStyle w:val="libFootnotenumChar"/>
          <w:rtl/>
        </w:rPr>
        <w:t>(8)</w:t>
      </w:r>
    </w:p>
    <w:p w:rsidR="00992664" w:rsidRPr="00020424" w:rsidRDefault="00992664" w:rsidP="00992664">
      <w:pPr>
        <w:pStyle w:val="libNormal"/>
        <w:rPr>
          <w:rtl/>
          <w:lang w:bidi="fa-IR"/>
        </w:rPr>
      </w:pPr>
      <w:r w:rsidRPr="00020424">
        <w:rPr>
          <w:rtl/>
          <w:lang w:bidi="fa-IR"/>
        </w:rPr>
        <w:t>الل</w:t>
      </w:r>
      <w:r w:rsidR="006B6289">
        <w:rPr>
          <w:rFonts w:hint="cs"/>
          <w:rtl/>
          <w:lang w:bidi="fa-IR"/>
        </w:rPr>
        <w:t>ّ</w:t>
      </w:r>
      <w:r w:rsidRPr="00020424">
        <w:rPr>
          <w:rtl/>
          <w:lang w:bidi="fa-IR"/>
        </w:rPr>
        <w:t xml:space="preserve">هُمَّ كَمَا </w:t>
      </w:r>
      <w:r w:rsidRPr="00A91B96">
        <w:rPr>
          <w:rStyle w:val="libFootnotenumChar"/>
          <w:rtl/>
        </w:rPr>
        <w:t>(9)</w:t>
      </w:r>
      <w:r w:rsidRPr="00020424">
        <w:rPr>
          <w:rtl/>
          <w:lang w:bidi="fa-IR"/>
        </w:rPr>
        <w:t xml:space="preserve"> كَفَيْتَ نَبِيَّكَ مُحَمَّداً </w:t>
      </w:r>
      <w:r w:rsidR="00B42914" w:rsidRPr="00B42914">
        <w:rPr>
          <w:rStyle w:val="libAlaemChar"/>
          <w:rtl/>
        </w:rPr>
        <w:t>صلى‌الله‌عليه‌وآله‌</w:t>
      </w:r>
      <w:r w:rsidRPr="00020424">
        <w:rPr>
          <w:rtl/>
          <w:lang w:bidi="fa-IR"/>
        </w:rPr>
        <w:t xml:space="preserve"> هَوْلَ عَدُوِّهِ ، وَفَرَّجْتَ هَمَّهُ ، وَكَشَفْتَ غَمَّهُ ، وَصَدَقْتَهُ وَعْدَكَ ، وَأَنْجَزْتَ </w:t>
      </w:r>
      <w:r w:rsidRPr="00A91B96">
        <w:rPr>
          <w:rStyle w:val="libFootnotenumChar"/>
          <w:rtl/>
        </w:rPr>
        <w:t>(10)</w:t>
      </w:r>
      <w:r w:rsidRPr="00020424">
        <w:rPr>
          <w:rtl/>
          <w:lang w:bidi="fa-IR"/>
        </w:rPr>
        <w:t xml:space="preserve"> لَهُ مَوْعِدَكَ </w:t>
      </w:r>
      <w:r w:rsidRPr="00A91B96">
        <w:rPr>
          <w:rStyle w:val="libFootnotenumChar"/>
          <w:rtl/>
        </w:rPr>
        <w:t>(11)</w:t>
      </w:r>
      <w:r w:rsidRPr="00020424">
        <w:rPr>
          <w:rtl/>
          <w:lang w:bidi="fa-IR"/>
        </w:rPr>
        <w:t xml:space="preserve"> بِعَهْدِكَ </w:t>
      </w:r>
      <w:r w:rsidRPr="00A91B96">
        <w:rPr>
          <w:rStyle w:val="libFootnotenumChar"/>
          <w:rtl/>
        </w:rPr>
        <w:t>(12)</w:t>
      </w:r>
      <w:r w:rsidRPr="00020424">
        <w:rPr>
          <w:rtl/>
          <w:lang w:bidi="fa-IR"/>
        </w:rPr>
        <w:t xml:space="preserve"> ، الل</w:t>
      </w:r>
      <w:r w:rsidR="00267A8F">
        <w:rPr>
          <w:rFonts w:hint="cs"/>
          <w:rtl/>
          <w:lang w:bidi="fa-IR"/>
        </w:rPr>
        <w:t>ّ</w:t>
      </w:r>
      <w:r w:rsidRPr="00020424">
        <w:rPr>
          <w:rtl/>
          <w:lang w:bidi="fa-IR"/>
        </w:rPr>
        <w:t xml:space="preserve">هُمَّ بِذلِكَ </w:t>
      </w:r>
      <w:r w:rsidRPr="00A91B96">
        <w:rPr>
          <w:rStyle w:val="libFootnotenumChar"/>
          <w:rtl/>
        </w:rPr>
        <w:t>(13)</w:t>
      </w:r>
      <w:r w:rsidRPr="00020424">
        <w:rPr>
          <w:rtl/>
          <w:lang w:bidi="fa-IR"/>
        </w:rPr>
        <w:t xml:space="preserve"> فَاكْفِنِي هَوْلَ هذِهِ السَّنَةِ وَآفَاتِهَا وَأَسْقَامَهَا </w:t>
      </w:r>
      <w:r w:rsidRPr="00A91B96">
        <w:rPr>
          <w:rStyle w:val="libFootnotenumChar"/>
          <w:rtl/>
        </w:rPr>
        <w:t>(14)</w:t>
      </w:r>
      <w:r w:rsidRPr="00020424">
        <w:rPr>
          <w:rtl/>
          <w:lang w:bidi="fa-IR"/>
        </w:rPr>
        <w:t xml:space="preserve"> وَفِتْنَتَهَا </w:t>
      </w:r>
      <w:r w:rsidRPr="00A91B96">
        <w:rPr>
          <w:rStyle w:val="libFootnotenumChar"/>
          <w:rtl/>
        </w:rPr>
        <w:t>(15)</w:t>
      </w:r>
      <w:r w:rsidRPr="00020424">
        <w:rPr>
          <w:rtl/>
          <w:lang w:bidi="fa-IR"/>
        </w:rPr>
        <w:t xml:space="preserve"> وَشُرُورَهَا وَأَحْزَانَهَا وَضِيقَ الْمَعَاشِ فِيهَا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جلّلني » ، أي غطّني وألبسني. </w:t>
      </w:r>
      <w:r w:rsidR="00992664" w:rsidRPr="0012008A">
        <w:rPr>
          <w:rStyle w:val="libFootnoteBoldChar"/>
          <w:rtl/>
        </w:rPr>
        <w:t>النهاية</w:t>
      </w:r>
      <w:r w:rsidR="00992664" w:rsidRPr="00020424">
        <w:rPr>
          <w:rtl/>
        </w:rPr>
        <w:t xml:space="preserve"> ، ج 1 ، ص 289 ( جلل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بف » : « بستر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267A8F">
        <w:rPr>
          <w:rtl/>
        </w:rPr>
        <w:t>الفقيه والتهذيب والمقنعة</w:t>
      </w:r>
      <w:r w:rsidR="00992664" w:rsidRPr="00020424">
        <w:rPr>
          <w:rtl/>
        </w:rPr>
        <w:t xml:space="preserve"> : « ثناؤك » بدل « ثناء وجهك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 يا ] إلهي</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الل</w:t>
      </w:r>
      <w:r w:rsidR="00267A8F">
        <w:rPr>
          <w:rFonts w:hint="cs"/>
          <w:rtl/>
        </w:rPr>
        <w:t>ّ</w:t>
      </w:r>
      <w:r w:rsidR="00992664" w:rsidRPr="00020424">
        <w:rPr>
          <w:rtl/>
        </w:rPr>
        <w:t>هم وأعوذ بك » بدل « وأعوذ بك إلهى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معظم النسخ </w:t>
      </w:r>
      <w:r w:rsidR="00992664" w:rsidRPr="00267A8F">
        <w:rPr>
          <w:rtl/>
        </w:rPr>
        <w:t>والوافي والفقيه والتهذيب والمقنعة.</w:t>
      </w:r>
      <w:r w:rsidR="00992664" w:rsidRPr="00020424">
        <w:rPr>
          <w:rtl/>
        </w:rPr>
        <w:t xml:space="preserve"> وفي « بح » والمطبوع : « 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 مسيئاً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بك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267A8F">
      <w:pPr>
        <w:pStyle w:val="libFootnote0"/>
        <w:rPr>
          <w:rtl/>
          <w:lang w:bidi="fa-IR"/>
        </w:rPr>
      </w:pPr>
      <w:r>
        <w:rPr>
          <w:rtl/>
        </w:rPr>
        <w:t>(8).</w:t>
      </w:r>
      <w:r w:rsidR="0014403D">
        <w:rPr>
          <w:rtl/>
        </w:rPr>
        <w:t xml:space="preserve"> </w:t>
      </w:r>
      <w:r w:rsidR="00992664" w:rsidRPr="00020424">
        <w:rPr>
          <w:rtl/>
        </w:rPr>
        <w:t>الزُّلفي : القربة والمنزلة ، فهي اسم المصدر ، كأنّه قال : قرّبني به إليك ازدلافاً ، فهو مفعول مطلق ل</w:t>
      </w:r>
      <w:r w:rsidR="009B673F">
        <w:rPr>
          <w:rFonts w:hint="cs"/>
          <w:rtl/>
        </w:rPr>
        <w:t>-</w:t>
      </w:r>
      <w:r w:rsidR="00992664" w:rsidRPr="00020424">
        <w:rPr>
          <w:rtl/>
        </w:rPr>
        <w:t xml:space="preserve"> « قرّبني » من غير لفظه. راجع : </w:t>
      </w:r>
      <w:r w:rsidR="00992664" w:rsidRPr="0012008A">
        <w:rPr>
          <w:rStyle w:val="libFootnoteBoldChar"/>
          <w:rtl/>
        </w:rPr>
        <w:t>الصحاح</w:t>
      </w:r>
      <w:r w:rsidR="00992664" w:rsidRPr="00020424">
        <w:rPr>
          <w:rtl/>
        </w:rPr>
        <w:t xml:space="preserve"> ، ج 4 ، ص 1370 ؛ </w:t>
      </w:r>
      <w:r w:rsidR="00992664" w:rsidRPr="00A722B1">
        <w:rPr>
          <w:rStyle w:val="libFootnoteBoldChar"/>
          <w:rtl/>
        </w:rPr>
        <w:t>القاموس المحيط</w:t>
      </w:r>
      <w:r w:rsidR="00992664" w:rsidRPr="00020424">
        <w:rPr>
          <w:rtl/>
        </w:rPr>
        <w:t xml:space="preserve"> ، ج 2 ، ص 1089 ( زلف ) ؛ </w:t>
      </w:r>
      <w:r w:rsidR="00992664" w:rsidRPr="00DE76B9">
        <w:rPr>
          <w:rStyle w:val="libFootnoteBoldChar"/>
          <w:rtl/>
        </w:rPr>
        <w:t>مرآة العقول</w:t>
      </w:r>
      <w:r w:rsidR="00992664" w:rsidRPr="00020424">
        <w:rPr>
          <w:rtl/>
        </w:rPr>
        <w:t xml:space="preserve"> ، ج 16 ، ص 223.</w:t>
      </w:r>
      <w:r w:rsidR="00267A8F">
        <w:rPr>
          <w:rFonts w:hint="cs"/>
          <w:rtl/>
        </w:rPr>
        <w:t xml:space="preserve">                             </w:t>
      </w:r>
      <w:r>
        <w:rPr>
          <w:rtl/>
        </w:rPr>
        <w:t>(9).</w:t>
      </w:r>
      <w:r w:rsidR="0014403D">
        <w:rPr>
          <w:rtl/>
        </w:rPr>
        <w:t xml:space="preserve"> </w:t>
      </w:r>
      <w:r w:rsidR="00992664" w:rsidRPr="00020424">
        <w:rPr>
          <w:rtl/>
        </w:rPr>
        <w:t>في « بس » : « وكما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إنجاز الوعد : قضاؤه ، والوفاء به ، والتعجيل فيه. </w:t>
      </w:r>
      <w:r w:rsidR="00992664" w:rsidRPr="00A722B1">
        <w:rPr>
          <w:rStyle w:val="libFootnoteBoldChar"/>
          <w:rtl/>
        </w:rPr>
        <w:t>القاموس المحيط</w:t>
      </w:r>
      <w:r w:rsidR="00992664" w:rsidRPr="00020424">
        <w:rPr>
          <w:rtl/>
        </w:rPr>
        <w:t xml:space="preserve"> ، ج 1 ، ص 724 ( نجز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موعدك</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بر ، بك » : « جهدك » بدل « موعدك بعهدك</w:t>
      </w:r>
      <w:r w:rsidR="00992664">
        <w:rPr>
          <w:rtl/>
        </w:rPr>
        <w:t xml:space="preserve"> ».</w:t>
      </w:r>
      <w:r w:rsidR="00992664" w:rsidRPr="00020424">
        <w:rPr>
          <w:rtl/>
        </w:rPr>
        <w:t xml:space="preserve"> وفي </w:t>
      </w:r>
      <w:r w:rsidR="00992664" w:rsidRPr="006E1351">
        <w:rPr>
          <w:rtl/>
        </w:rPr>
        <w:t>الوافي والفقيه والتهذيب والمقنعة</w:t>
      </w:r>
      <w:r w:rsidR="00992664" w:rsidRPr="00020424">
        <w:rPr>
          <w:rtl/>
        </w:rPr>
        <w:t xml:space="preserve"> : « عهدك</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بث ، بخ ، بر ، بف ، بك » </w:t>
      </w:r>
      <w:r w:rsidR="00992664" w:rsidRPr="005E26A6">
        <w:rPr>
          <w:rtl/>
        </w:rPr>
        <w:t>والوافي والفقيه والتهذيب والمقنعة</w:t>
      </w:r>
      <w:r w:rsidR="00992664" w:rsidRPr="00020424">
        <w:rPr>
          <w:rtl/>
        </w:rPr>
        <w:t xml:space="preserve"> : « فبذلك</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بذلك ، أي بمثل ذلك الحفظ والكفاية أو بحقّه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67A8F" w:rsidTr="00267A8F">
        <w:tc>
          <w:tcPr>
            <w:tcW w:w="4006" w:type="dxa"/>
          </w:tcPr>
          <w:p w:rsidR="00267A8F" w:rsidRDefault="00267A8F" w:rsidP="00992664">
            <w:pPr>
              <w:pStyle w:val="libFootnote0"/>
              <w:rPr>
                <w:rtl/>
              </w:rPr>
            </w:pPr>
            <w:r>
              <w:rPr>
                <w:rtl/>
              </w:rPr>
              <w:t xml:space="preserve">(14). </w:t>
            </w:r>
            <w:r w:rsidRPr="00020424">
              <w:rPr>
                <w:rtl/>
              </w:rPr>
              <w:t>في « بف » : « وانتقامها</w:t>
            </w:r>
            <w:r>
              <w:rPr>
                <w:rtl/>
              </w:rPr>
              <w:t xml:space="preserve"> ».</w:t>
            </w:r>
          </w:p>
        </w:tc>
        <w:tc>
          <w:tcPr>
            <w:tcW w:w="4006" w:type="dxa"/>
          </w:tcPr>
          <w:p w:rsidR="00267A8F" w:rsidRDefault="00267A8F" w:rsidP="00992664">
            <w:pPr>
              <w:pStyle w:val="libFootnote0"/>
              <w:rPr>
                <w:rtl/>
              </w:rPr>
            </w:pPr>
            <w:r>
              <w:rPr>
                <w:rtl/>
              </w:rPr>
              <w:t xml:space="preserve">(15). </w:t>
            </w:r>
            <w:r w:rsidRPr="00020424">
              <w:rPr>
                <w:rtl/>
              </w:rPr>
              <w:t xml:space="preserve">في « بخ ، بس » </w:t>
            </w:r>
            <w:r w:rsidRPr="00515444">
              <w:rPr>
                <w:rStyle w:val="libFootnoteBoldChar"/>
                <w:rtl/>
              </w:rPr>
              <w:t>والوافي</w:t>
            </w:r>
            <w:r w:rsidRPr="00020424">
              <w:rPr>
                <w:rtl/>
              </w:rPr>
              <w:t xml:space="preserve"> </w:t>
            </w:r>
            <w:r w:rsidRPr="00FD6221">
              <w:rPr>
                <w:rStyle w:val="libFootnoteBoldChar"/>
                <w:rtl/>
              </w:rPr>
              <w:t>والفقيه</w:t>
            </w:r>
            <w:r w:rsidRPr="00020424">
              <w:rPr>
                <w:rtl/>
              </w:rPr>
              <w:t xml:space="preserve"> : « وفتنها</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6E1351">
      <w:pPr>
        <w:pStyle w:val="libNormal0"/>
        <w:rPr>
          <w:rtl/>
          <w:lang w:bidi="fa-IR"/>
        </w:rPr>
      </w:pPr>
      <w:r w:rsidRPr="00020424">
        <w:rPr>
          <w:rtl/>
          <w:lang w:bidi="fa-IR"/>
        </w:rPr>
        <w:t xml:space="preserve">وَبَلِّغْنِي بِرَحْمَتِكَ كَمَالَ الْعَافِيَةِ بِتَمَامِ دَوَامِ </w:t>
      </w:r>
      <w:r w:rsidRPr="00A91B96">
        <w:rPr>
          <w:rStyle w:val="libFootnotenumChar"/>
          <w:rtl/>
        </w:rPr>
        <w:t>(1)</w:t>
      </w:r>
      <w:r w:rsidRPr="00020424">
        <w:rPr>
          <w:rtl/>
          <w:lang w:bidi="fa-IR"/>
        </w:rPr>
        <w:t xml:space="preserve"> النِّعْمَةِ عِنْدِي إِلى مُنْتَهى أَجَلِي ، أَسْأَ لُكَ سُؤَالَ مَنْ أَسَاءَ وَظَلَمَ </w:t>
      </w:r>
      <w:r w:rsidRPr="00A91B96">
        <w:rPr>
          <w:rStyle w:val="libFootnotenumChar"/>
          <w:rtl/>
        </w:rPr>
        <w:t>(2)</w:t>
      </w:r>
      <w:r w:rsidRPr="00020424">
        <w:rPr>
          <w:rtl/>
          <w:lang w:bidi="fa-IR"/>
        </w:rPr>
        <w:t xml:space="preserve"> وَاعْتَرَفَ ، وَأَسْأَ لُكَ أَنْ تَغْفِرَ لِي مَا مَضى مِنَ الذُّنُوبِ الَّتِي حَصَرَتْهَا </w:t>
      </w:r>
      <w:r w:rsidRPr="00A91B96">
        <w:rPr>
          <w:rStyle w:val="libFootnotenumChar"/>
          <w:rtl/>
        </w:rPr>
        <w:t>(3)</w:t>
      </w:r>
      <w:r w:rsidRPr="00020424">
        <w:rPr>
          <w:rtl/>
          <w:lang w:bidi="fa-IR"/>
        </w:rPr>
        <w:t xml:space="preserve"> حَفَظَتُكَ ، وَأَحْصَتْهَا كِرَامُ مَلَائِكَتِكَ عَلَيَّ ، وَأَنْ تَعْصِمَنِي إِلهِي مِنَ الذُّنُوبِ فِيمَا بَقِيَ مِنْ عُمُرِي إِلى مُنْتَهى أَجَلِي ، يَا اللهُ يَا رَحْمَانُ ، صَلِّ عَلى مُحَمَّدٍ وَعَلى </w:t>
      </w:r>
      <w:r w:rsidRPr="00A91B96">
        <w:rPr>
          <w:rStyle w:val="libFootnotenumChar"/>
          <w:rtl/>
        </w:rPr>
        <w:t>(4)</w:t>
      </w:r>
      <w:r w:rsidRPr="00020424">
        <w:rPr>
          <w:rtl/>
          <w:lang w:bidi="fa-IR"/>
        </w:rPr>
        <w:t xml:space="preserve"> أَهْلِ بَيْتِ مُحَمَّدٍ </w:t>
      </w:r>
      <w:r w:rsidRPr="00A91B96">
        <w:rPr>
          <w:rStyle w:val="libFootnotenumChar"/>
          <w:rtl/>
        </w:rPr>
        <w:t>(5)</w:t>
      </w:r>
      <w:r w:rsidRPr="00020424">
        <w:rPr>
          <w:rtl/>
          <w:lang w:bidi="fa-IR"/>
        </w:rPr>
        <w:t xml:space="preserve"> ، وَآتِنِي كُلَّ مَا سَأَلْتُكَ وَرَغِبْتُ إِلَيْكَ فِيهِ ؛ فَإِنَّكَ أَمَرْتَنِي بِالدُّعَاءِ ، وَتَكَفَّلْتَ </w:t>
      </w:r>
      <w:r w:rsidRPr="00A91B96">
        <w:rPr>
          <w:rStyle w:val="libFootnotenumChar"/>
          <w:rtl/>
        </w:rPr>
        <w:t>(6)</w:t>
      </w:r>
      <w:r w:rsidRPr="00020424">
        <w:rPr>
          <w:rtl/>
          <w:lang w:bidi="fa-IR"/>
        </w:rPr>
        <w:t xml:space="preserve"> بِالإِجَابَةِ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6E1351">
      <w:pPr>
        <w:pStyle w:val="libNormal"/>
        <w:rPr>
          <w:rtl/>
          <w:lang w:bidi="fa-IR"/>
        </w:rPr>
      </w:pPr>
      <w:r w:rsidRPr="00817DBE">
        <w:rPr>
          <w:rtl/>
        </w:rPr>
        <w:t>6285</w:t>
      </w:r>
      <w:r w:rsidRPr="001155DE">
        <w:rPr>
          <w:rStyle w:val="libBold2Char"/>
          <w:rtl/>
        </w:rPr>
        <w:t xml:space="preserve"> / 4.</w:t>
      </w:r>
      <w:r w:rsidRPr="00020424">
        <w:rPr>
          <w:rtl/>
          <w:lang w:bidi="fa-IR"/>
        </w:rPr>
        <w:t xml:space="preserve"> أَحْمَدُ بْنُ مُحَمَّدٍ ، عَنْ عَلِيِّ بْنِ الْحَسَنِ </w:t>
      </w:r>
      <w:r w:rsidRPr="00A91B96">
        <w:rPr>
          <w:rStyle w:val="libFootnotenumChar"/>
          <w:rtl/>
        </w:rPr>
        <w:t>(9)</w:t>
      </w:r>
      <w:r w:rsidRPr="00020424">
        <w:rPr>
          <w:rtl/>
          <w:lang w:bidi="fa-IR"/>
        </w:rPr>
        <w:t xml:space="preserve"> ، عَنْ عَلِيِّ بْنِ أَسْبَاطٍ ، عَنِ الْحَكَمِ بْنِ مِسْكِينٍ ، قَالَ : حَدَّثَنَا عَمْرُو بْنُ شِمْرٍ ، قَالَ :</w:t>
      </w:r>
    </w:p>
    <w:p w:rsidR="00992664" w:rsidRPr="00020424" w:rsidRDefault="00992664" w:rsidP="006E1351">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كَانَ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إِذَا أَهَلَّ </w:t>
      </w:r>
      <w:r w:rsidRPr="00A91B96">
        <w:rPr>
          <w:rStyle w:val="libFootnotenumChar"/>
          <w:rtl/>
        </w:rPr>
        <w:t>(10)</w:t>
      </w:r>
      <w:r w:rsidRPr="00020424">
        <w:rPr>
          <w:rtl/>
          <w:lang w:bidi="fa-IR"/>
        </w:rPr>
        <w:t xml:space="preserve"> هِلَالَ شَهْرِ رَمَضَانَ ، أَقْبَلَ إِلَى الْقِبْلَةِ ، ثُمَّ قَالَ : الل</w:t>
      </w:r>
      <w:r w:rsidR="006E1351">
        <w:rPr>
          <w:rFonts w:hint="cs"/>
          <w:rtl/>
          <w:lang w:bidi="fa-IR"/>
        </w:rPr>
        <w:t>ّ</w:t>
      </w:r>
      <w:r w:rsidRPr="00020424">
        <w:rPr>
          <w:rtl/>
          <w:lang w:bidi="fa-IR"/>
        </w:rPr>
        <w:t>هُمَّ أَهِلَّهُ عَلَيْنَا بِالْأَمْنِ وَالْإِيمَانِ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المطبوع : + « [ العافية و ]</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واستكان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بس » </w:t>
      </w:r>
      <w:r w:rsidR="00992664" w:rsidRPr="00FD6221">
        <w:rPr>
          <w:rStyle w:val="libFootnoteBoldChar"/>
          <w:rtl/>
        </w:rPr>
        <w:t>والفقيه</w:t>
      </w:r>
      <w:r w:rsidR="00992664" w:rsidRPr="00020424">
        <w:rPr>
          <w:rtl/>
        </w:rPr>
        <w:t xml:space="preserve"> : « حضرتها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بث ، بح ، جن </w:t>
      </w:r>
      <w:r w:rsidR="00992664" w:rsidRPr="006E1351">
        <w:rPr>
          <w:rtl/>
        </w:rPr>
        <w:t>» والوافي والفقيه 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بس » : « وآل محمّد » بدل « وعلى أهل بيت محمّد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جميع النسخ التي </w:t>
      </w:r>
      <w:r w:rsidR="00992664" w:rsidRPr="006E1351">
        <w:rPr>
          <w:rtl/>
        </w:rPr>
        <w:t xml:space="preserve">قوبلت والوافي والفقيه والتهذيب والمقنعة. في </w:t>
      </w:r>
      <w:r w:rsidR="00992664" w:rsidRPr="00020424">
        <w:rPr>
          <w:rtl/>
        </w:rPr>
        <w:t>المطبوع : + « [ لي ]</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 يا أرحم الراحمين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3 ، ص 106 ، ح 266 ، معلّقاً عن الكليني. </w:t>
      </w:r>
      <w:r w:rsidR="00992664" w:rsidRPr="0012008A">
        <w:rPr>
          <w:rStyle w:val="libFootnoteBoldChar"/>
          <w:rtl/>
        </w:rPr>
        <w:t>المقنعة</w:t>
      </w:r>
      <w:r w:rsidR="00992664" w:rsidRPr="00020424">
        <w:rPr>
          <w:rtl/>
        </w:rPr>
        <w:t xml:space="preserve"> ، ص 320 ، مرسلاً عن الحسن بن محبوب. </w:t>
      </w:r>
      <w:r w:rsidR="00992664" w:rsidRPr="0012008A">
        <w:rPr>
          <w:rStyle w:val="libFootnoteBoldChar"/>
          <w:rtl/>
        </w:rPr>
        <w:t>الفقيه</w:t>
      </w:r>
      <w:r w:rsidR="00992664" w:rsidRPr="00020424">
        <w:rPr>
          <w:rtl/>
        </w:rPr>
        <w:t xml:space="preserve"> ، ج 2 ، ص 102 ، ح 1848 ، مرسلاً عن العبد الصالح موسى بن جعفر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الكافي</w:t>
      </w:r>
      <w:r w:rsidR="00992664" w:rsidRPr="00020424">
        <w:rPr>
          <w:rtl/>
        </w:rPr>
        <w:t xml:space="preserve"> ، كتاب الدعاء ، باب دعوات موجزات لجميع الحوائج للدنيا والآخرة ، ح 3466 </w:t>
      </w:r>
      <w:r w:rsidR="008C39A2">
        <w:rPr>
          <w:rFonts w:hint="cs"/>
          <w:rtl/>
        </w:rPr>
        <w:t>.</w:t>
      </w:r>
      <w:r w:rsidR="00992664" w:rsidRPr="0012008A">
        <w:rPr>
          <w:rStyle w:val="libFootnoteBoldChar"/>
          <w:rtl/>
        </w:rPr>
        <w:t>الوافي</w:t>
      </w:r>
      <w:r w:rsidR="00992664" w:rsidRPr="00020424">
        <w:rPr>
          <w:rtl/>
        </w:rPr>
        <w:t xml:space="preserve"> ، ج 11 ، ص 398 ، ح 11085.</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جر » </w:t>
      </w:r>
      <w:r w:rsidR="00992664" w:rsidRPr="00515444">
        <w:rPr>
          <w:rStyle w:val="libFootnoteBoldChar"/>
          <w:rtl/>
        </w:rPr>
        <w:t>والتهذيب</w:t>
      </w:r>
      <w:r w:rsidR="00992664" w:rsidRPr="00020424">
        <w:rPr>
          <w:rtl/>
        </w:rPr>
        <w:t xml:space="preserve">. وفي « ظ ، ى ، بث ، بح ، بخ ، بر ، بس ، بف ، جن » والمطبوع </w:t>
      </w:r>
      <w:r w:rsidR="00992664" w:rsidRPr="00EB1FD9">
        <w:rPr>
          <w:rStyle w:val="libFootnoteBoldChar"/>
          <w:rtl/>
        </w:rPr>
        <w:t>والوسائل</w:t>
      </w:r>
      <w:r w:rsidR="00992664" w:rsidRPr="00020424">
        <w:rPr>
          <w:rtl/>
        </w:rPr>
        <w:t xml:space="preserve"> : « الحسين</w:t>
      </w:r>
      <w:r w:rsidR="00992664">
        <w:rPr>
          <w:rtl/>
        </w:rPr>
        <w:t xml:space="preserve"> ».</w:t>
      </w:r>
      <w:r w:rsidR="00992664" w:rsidRPr="00020424">
        <w:rPr>
          <w:rtl/>
        </w:rPr>
        <w:t xml:space="preserve"> وما أثبتناه هو الصواب ، والمراد من عليّ بن الحسن ، هو عليّ بن الحسن بن فضّال ؛ فقد توسّط عليّ بن الحسن [ بن فضّال ] بين عليّ بن أسباط وبين أحمد بن محمّد شيخ المصنّف الملقّب بالعاصمي أو الكوفي في عددٍ من الأسناد. راجع : </w:t>
      </w:r>
      <w:r w:rsidR="00992664" w:rsidRPr="00DE76B9">
        <w:rPr>
          <w:rStyle w:val="libFootnoteBoldChar"/>
          <w:rtl/>
        </w:rPr>
        <w:t>معجم رجال الحديث</w:t>
      </w:r>
      <w:r w:rsidR="00992664" w:rsidRPr="00020424">
        <w:rPr>
          <w:rtl/>
        </w:rPr>
        <w:t xml:space="preserve"> ، ج 11 ، ص 548 ، ص 562</w:t>
      </w:r>
      <w:r w:rsidR="00992664">
        <w:rPr>
          <w:rtl/>
        </w:rPr>
        <w:t xml:space="preserve"> </w:t>
      </w:r>
      <w:r w:rsidR="009B673F">
        <w:rPr>
          <w:rtl/>
        </w:rPr>
        <w:t>-</w:t>
      </w:r>
      <w:r w:rsidR="00992664">
        <w:rPr>
          <w:rtl/>
        </w:rPr>
        <w:t xml:space="preserve"> </w:t>
      </w:r>
      <w:r w:rsidR="00992664" w:rsidRPr="00020424">
        <w:rPr>
          <w:rtl/>
        </w:rPr>
        <w:t>563 وص 570.</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هلّ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8C39A2">
      <w:pPr>
        <w:pStyle w:val="libNormal0"/>
        <w:rPr>
          <w:rtl/>
          <w:lang w:bidi="fa-IR"/>
        </w:rPr>
      </w:pPr>
      <w:r w:rsidRPr="00020424">
        <w:rPr>
          <w:rtl/>
          <w:lang w:bidi="fa-IR"/>
        </w:rPr>
        <w:t>وَالسَّلَامَةِ وَالْإِسْلَامِ ، وَالْعَافِيَةِ الْمُجَلِّلَةِ ، الل</w:t>
      </w:r>
      <w:r w:rsidR="008C39A2">
        <w:rPr>
          <w:rFonts w:hint="cs"/>
          <w:rtl/>
          <w:lang w:bidi="fa-IR"/>
        </w:rPr>
        <w:t>ّ</w:t>
      </w:r>
      <w:r w:rsidRPr="00020424">
        <w:rPr>
          <w:rtl/>
          <w:lang w:bidi="fa-IR"/>
        </w:rPr>
        <w:t>هُمَّ ارْزُقْنَا صِيَامَهُ وَقِيَامَهُ وَتِلَاوَةَ الْقُرْآنِ فِيهِ ، الل</w:t>
      </w:r>
      <w:r w:rsidR="00D45A1C">
        <w:rPr>
          <w:rFonts w:hint="cs"/>
          <w:rtl/>
          <w:lang w:bidi="fa-IR"/>
        </w:rPr>
        <w:t>ّ</w:t>
      </w:r>
      <w:r w:rsidRPr="00020424">
        <w:rPr>
          <w:rtl/>
          <w:lang w:bidi="fa-IR"/>
        </w:rPr>
        <w:t xml:space="preserve">هُمَّ سَلِّمْهُ لَنَا ، وَتَسَلَّمْهُ مِنَّا ، وَسَلِّمْنَا </w:t>
      </w:r>
      <w:r w:rsidRPr="00A91B96">
        <w:rPr>
          <w:rStyle w:val="libFootnotenumChar"/>
          <w:rtl/>
        </w:rPr>
        <w:t>(1)</w:t>
      </w:r>
      <w:r w:rsidRPr="00020424">
        <w:rPr>
          <w:rtl/>
          <w:lang w:bidi="fa-IR"/>
        </w:rPr>
        <w:t xml:space="preserve"> فِيهِ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17DBE">
        <w:rPr>
          <w:rtl/>
        </w:rPr>
        <w:t>6286</w:t>
      </w:r>
      <w:r w:rsidRPr="001155DE">
        <w:rPr>
          <w:rStyle w:val="libBold2Char"/>
          <w:rtl/>
        </w:rPr>
        <w:t xml:space="preserve"> / 5.</w:t>
      </w:r>
      <w:r w:rsidRPr="00020424">
        <w:rPr>
          <w:rtl/>
          <w:lang w:bidi="fa-IR"/>
        </w:rPr>
        <w:t xml:space="preserve"> عَلِيُّ بْنُ إِبْرَاهِيمَ ، عَنْ أَبِيهِ ، عَنْ إِسْمَاعِيلَ بْنِ مَرَّارٍ ، عَنْ يُونُسَ ، عَنْ مُعَاوِيَةَ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كَانَ إِذَا أَهَلَّ </w:t>
      </w:r>
      <w:r w:rsidRPr="00A91B96">
        <w:rPr>
          <w:rStyle w:val="libFootnotenumChar"/>
          <w:rtl/>
        </w:rPr>
        <w:t>(3)</w:t>
      </w:r>
      <w:r w:rsidRPr="00020424">
        <w:rPr>
          <w:rtl/>
          <w:lang w:bidi="fa-IR"/>
        </w:rPr>
        <w:t xml:space="preserve"> هِلَالَ شَهْرِ رَمَضَانَ ، قَالَ : « الل</w:t>
      </w:r>
      <w:r w:rsidR="00D45A1C">
        <w:rPr>
          <w:rFonts w:hint="cs"/>
          <w:rtl/>
          <w:lang w:bidi="fa-IR"/>
        </w:rPr>
        <w:t>ّ</w:t>
      </w:r>
      <w:r w:rsidRPr="00020424">
        <w:rPr>
          <w:rtl/>
          <w:lang w:bidi="fa-IR"/>
        </w:rPr>
        <w:t>هُمَّ أَدْخِلْهُ عَلَيْنَا بِالسَّلَامَةِ وَالْإِسْلَامِ ، وَالْيَقِينِ وَالْإِيمَانِ ، وَالْبِرِّ وَالتَّوْفِيقِ لِمَا تُحِبُّ وَتَرْضى</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17DBE">
        <w:rPr>
          <w:rtl/>
        </w:rPr>
        <w:t>6287</w:t>
      </w:r>
      <w:r w:rsidRPr="001155DE">
        <w:rPr>
          <w:rStyle w:val="libBold2Char"/>
          <w:rtl/>
        </w:rPr>
        <w:t xml:space="preserve"> / 6.</w:t>
      </w:r>
      <w:r w:rsidRPr="00020424">
        <w:rPr>
          <w:rtl/>
          <w:lang w:bidi="fa-IR"/>
        </w:rPr>
        <w:t xml:space="preserve"> يُونُسُ </w:t>
      </w:r>
      <w:r w:rsidRPr="00A91B96">
        <w:rPr>
          <w:rStyle w:val="libFootnotenumChar"/>
          <w:rtl/>
        </w:rPr>
        <w:t>(5)</w:t>
      </w:r>
      <w:r w:rsidRPr="00020424">
        <w:rPr>
          <w:rtl/>
          <w:lang w:bidi="fa-IR"/>
        </w:rPr>
        <w:t xml:space="preserve"> ، عَنْ عَلِيِّ بْنِ أَبِي حَمْزَةَ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حَضَرَ شَهْرُ رَمَضَانَ ، فَقُلِ : الل</w:t>
      </w:r>
      <w:r w:rsidR="00F01560">
        <w:rPr>
          <w:rFonts w:hint="cs"/>
          <w:rtl/>
          <w:lang w:bidi="fa-IR"/>
        </w:rPr>
        <w:t>ّ</w:t>
      </w:r>
      <w:r w:rsidRPr="00020424">
        <w:rPr>
          <w:rtl/>
          <w:lang w:bidi="fa-IR"/>
        </w:rPr>
        <w:t>هُمَّ قَدْ حَضَرَ شَهْرُ رَمَضَانَ ، وَقَدِ افْتَرَضْتَ عَلَيْنَا صِيَامَهُ ، وَأَنْزَلْتَ فِيهِ الْقُرْآنَ هُدًى لِلنَّاسِ وَبَيِّنَاتٍ مِنَ الْهُدى وَالْفُرْقَانِ ؛ الل</w:t>
      </w:r>
      <w:r w:rsidR="000B6F1A">
        <w:rPr>
          <w:rFonts w:hint="cs"/>
          <w:rtl/>
          <w:lang w:bidi="fa-IR"/>
        </w:rPr>
        <w:t>ّ</w:t>
      </w:r>
      <w:r w:rsidRPr="00020424">
        <w:rPr>
          <w:rtl/>
          <w:lang w:bidi="fa-IR"/>
        </w:rPr>
        <w:t>هُمَّ أَعِنَّا عَلى صِيَامِهِ ، الل</w:t>
      </w:r>
      <w:r w:rsidR="00F25D75">
        <w:rPr>
          <w:rFonts w:hint="cs"/>
          <w:rtl/>
          <w:lang w:bidi="fa-IR"/>
        </w:rPr>
        <w:t>ّ</w:t>
      </w:r>
      <w:r w:rsidRPr="00020424">
        <w:rPr>
          <w:rtl/>
          <w:lang w:bidi="fa-IR"/>
        </w:rPr>
        <w:t>هُمَّ تَقَبَّلْهُ مِنَّا ، وَسَلِّمْنَا فِيهِ ، وَتَسَلَّمْهُ مِنَّا فِي يُسْرٍ مِنْكَ وَعَافِيَةٍ ؛ إِنَّكَ عَلى كُلِّ شَيْ‌ءٍ قَدِيرٌ ، يَا أَرْحَمَ الرَّاحِمِينَ</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r w:rsidRPr="00020424">
        <w:t>‌</w:t>
      </w:r>
    </w:p>
    <w:p w:rsidR="00992664" w:rsidRPr="00020424" w:rsidRDefault="00992664" w:rsidP="00992664">
      <w:pPr>
        <w:pStyle w:val="libNormal"/>
        <w:rPr>
          <w:rtl/>
          <w:lang w:bidi="fa-IR"/>
        </w:rPr>
      </w:pPr>
      <w:r w:rsidRPr="00817DBE">
        <w:rPr>
          <w:rtl/>
        </w:rPr>
        <w:t>6288</w:t>
      </w:r>
      <w:r w:rsidRPr="001155DE">
        <w:rPr>
          <w:rStyle w:val="libBold2Char"/>
          <w:rtl/>
        </w:rPr>
        <w:t xml:space="preserve"> / 7.</w:t>
      </w:r>
      <w:r w:rsidRPr="00020424">
        <w:rPr>
          <w:rtl/>
          <w:lang w:bidi="fa-IR"/>
        </w:rPr>
        <w:t xml:space="preserve"> عَلِيٌّ </w:t>
      </w:r>
      <w:r w:rsidRPr="00A91B96">
        <w:rPr>
          <w:rStyle w:val="libFootnotenumChar"/>
          <w:rtl/>
        </w:rPr>
        <w:t>(7)</w:t>
      </w:r>
      <w:r w:rsidRPr="00020424">
        <w:rPr>
          <w:rtl/>
          <w:lang w:bidi="fa-IR"/>
        </w:rPr>
        <w:t xml:space="preserve"> ، عَنْ أَبِيهِ ، عَنْ إِسْمَاعِيلَ بْنِ مَرَّارٍ ، عَنْ يُونُسَ ، عَنْ إِبْرَاهِيمَ ، عَنْ مُحَمَّدِ بْنِ مُسْلِمٍ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جن » : « وتسلّمنا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197 ، ح 563 ، معلّقاً عن الكليني </w:t>
      </w:r>
      <w:r w:rsidR="00F25D75">
        <w:rPr>
          <w:rFonts w:hint="cs"/>
          <w:rtl/>
        </w:rPr>
        <w:t>.</w:t>
      </w:r>
      <w:r w:rsidR="00992664" w:rsidRPr="0012008A">
        <w:rPr>
          <w:rStyle w:val="libFootnoteBoldChar"/>
          <w:rtl/>
        </w:rPr>
        <w:t>الوافي</w:t>
      </w:r>
      <w:r w:rsidR="00992664" w:rsidRPr="00020424">
        <w:rPr>
          <w:rtl/>
        </w:rPr>
        <w:t xml:space="preserve"> ، ج 11 ، ص 394 ، ح 11079 ؛ </w:t>
      </w:r>
      <w:r w:rsidR="00992664" w:rsidRPr="0012008A">
        <w:rPr>
          <w:rStyle w:val="libFootnoteBoldChar"/>
          <w:rtl/>
        </w:rPr>
        <w:t>الوسائل</w:t>
      </w:r>
      <w:r w:rsidR="00992664" w:rsidRPr="00020424">
        <w:rPr>
          <w:rtl/>
        </w:rPr>
        <w:t xml:space="preserve"> ، ج 10 ، ص 322 ، ح 13512.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بخ » : « هلّ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394 ، ح 11080 ؛ </w:t>
      </w:r>
      <w:r w:rsidR="00992664" w:rsidRPr="0012008A">
        <w:rPr>
          <w:rStyle w:val="libFootnoteBoldChar"/>
          <w:rtl/>
        </w:rPr>
        <w:t>الوسائل</w:t>
      </w:r>
      <w:r w:rsidR="00992664" w:rsidRPr="00020424">
        <w:rPr>
          <w:rtl/>
        </w:rPr>
        <w:t xml:space="preserve"> ، ج 10 ، ص 323 ، ح 13513.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يونس ، عليّ بن إبراهيم عن أبيه عن إسماعيل بن مرّار.</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تفسير العيّاشي</w:t>
      </w:r>
      <w:r w:rsidR="00992664" w:rsidRPr="00020424">
        <w:rPr>
          <w:rtl/>
        </w:rPr>
        <w:t xml:space="preserve"> ، ج 1 ، ص 80 ، ح 183 ، عن عبدوس العطّار ، عن أبي بصير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315 ، مرسلاً عن الصادقين </w:t>
      </w:r>
      <w:r w:rsidR="00D64ADA" w:rsidRPr="00D64ADA">
        <w:rPr>
          <w:rStyle w:val="libFootnoteAlaemChar"/>
          <w:rtl/>
        </w:rPr>
        <w:t>عليهما‌السلام</w:t>
      </w:r>
      <w:r w:rsidR="00992664" w:rsidRPr="00020424">
        <w:rPr>
          <w:rtl/>
        </w:rPr>
        <w:t xml:space="preserve"> </w:t>
      </w:r>
      <w:r w:rsidR="00F25D75">
        <w:rPr>
          <w:rFonts w:hint="cs"/>
          <w:rtl/>
        </w:rPr>
        <w:t>.</w:t>
      </w:r>
      <w:r w:rsidR="00992664" w:rsidRPr="0012008A">
        <w:rPr>
          <w:rStyle w:val="libFootnoteBoldChar"/>
          <w:rtl/>
        </w:rPr>
        <w:t>الوافي</w:t>
      </w:r>
      <w:r w:rsidR="00992664" w:rsidRPr="00020424">
        <w:rPr>
          <w:rtl/>
        </w:rPr>
        <w:t xml:space="preserve"> ، ج 11 ، ص 397 ، ح 11083 ؛ </w:t>
      </w:r>
      <w:r w:rsidR="00992664" w:rsidRPr="0012008A">
        <w:rPr>
          <w:rStyle w:val="libFootnoteBoldChar"/>
          <w:rtl/>
        </w:rPr>
        <w:t>الوسائل</w:t>
      </w:r>
      <w:r w:rsidR="00992664" w:rsidRPr="00020424">
        <w:rPr>
          <w:rtl/>
        </w:rPr>
        <w:t xml:space="preserve"> ، ج 10 ، ص 325 ، ح 13518.</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بخ ، بر ، بف ، جر » : + « بن إبراهيم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F25D75" w:rsidP="00992664">
      <w:pPr>
        <w:rPr>
          <w:rtl/>
          <w:lang w:bidi="fa-IR"/>
        </w:rPr>
      </w:pPr>
      <w:r>
        <w:rPr>
          <w:rFonts w:hint="cs"/>
          <w:rtl/>
          <w:lang w:bidi="fa-IR"/>
        </w:rPr>
        <w:t xml:space="preserve">           </w:t>
      </w:r>
      <w:r w:rsidR="00992664" w:rsidRPr="00020424">
        <w:rPr>
          <w:rtl/>
          <w:lang w:bidi="fa-IR"/>
        </w:rPr>
        <w:t>وَ</w:t>
      </w:r>
      <w:r w:rsidR="00992664">
        <w:rPr>
          <w:rFonts w:hint="cs"/>
          <w:rtl/>
          <w:lang w:bidi="fa-IR"/>
        </w:rPr>
        <w:t xml:space="preserve"> </w:t>
      </w:r>
      <w:r w:rsidR="00992664" w:rsidRPr="00A91B96">
        <w:rPr>
          <w:rStyle w:val="libFootnotenumChar"/>
          <w:rtl/>
        </w:rPr>
        <w:t>(1)</w:t>
      </w:r>
      <w:r w:rsidR="00992664" w:rsidRPr="00020424">
        <w:rPr>
          <w:rtl/>
          <w:lang w:bidi="fa-IR"/>
        </w:rPr>
        <w:t xml:space="preserve"> الْحُسَيْنُ بْنُ مُحَمَّدٍ ، عَنْ أَحْمَدَ بْنِ إِسْحَاقَ ، عَنْ سَعْدَانَ ، عَنْ أَبِي بَصِيرٍ ، قَالَ :</w:t>
      </w:r>
    </w:p>
    <w:p w:rsidR="00992664" w:rsidRPr="00020424" w:rsidRDefault="00992664" w:rsidP="00992664">
      <w:pPr>
        <w:pStyle w:val="libNormal"/>
        <w:rPr>
          <w:rtl/>
          <w:lang w:bidi="fa-IR"/>
        </w:rPr>
      </w:pPr>
      <w:r w:rsidRPr="00020424">
        <w:rPr>
          <w:rtl/>
          <w:lang w:bidi="fa-IR"/>
        </w:rPr>
        <w:t xml:space="preserve">كَانَ أَبُو عَبْدِ اللهِ </w:t>
      </w:r>
      <w:r w:rsidRPr="00005A81">
        <w:rPr>
          <w:rStyle w:val="libAlaemChar"/>
          <w:rtl/>
        </w:rPr>
        <w:t>عليه‌السلام</w:t>
      </w:r>
      <w:r w:rsidRPr="00020424">
        <w:rPr>
          <w:rtl/>
          <w:lang w:bidi="fa-IR"/>
        </w:rPr>
        <w:t xml:space="preserve"> يَدْعُو بِهذَا الدُّعَاءِ فِي شَهْرِ رَمَضَانَ : « الل</w:t>
      </w:r>
      <w:r w:rsidR="00F25D75">
        <w:rPr>
          <w:rFonts w:hint="cs"/>
          <w:rtl/>
          <w:lang w:bidi="fa-IR"/>
        </w:rPr>
        <w:t>ّ</w:t>
      </w:r>
      <w:r w:rsidRPr="00020424">
        <w:rPr>
          <w:rtl/>
          <w:lang w:bidi="fa-IR"/>
        </w:rPr>
        <w:t xml:space="preserve">هُمَّ إِنِّي بِكَ </w:t>
      </w:r>
      <w:r w:rsidRPr="00A91B96">
        <w:rPr>
          <w:rStyle w:val="libFootnotenumChar"/>
          <w:rtl/>
        </w:rPr>
        <w:t>(2)</w:t>
      </w:r>
      <w:r w:rsidRPr="00020424">
        <w:rPr>
          <w:rtl/>
          <w:lang w:bidi="fa-IR"/>
        </w:rPr>
        <w:t xml:space="preserve"> وَمِنْكَ أَطْلُبُ حَاجَتِي ، وَمَنْ </w:t>
      </w:r>
      <w:r w:rsidRPr="00A91B96">
        <w:rPr>
          <w:rStyle w:val="libFootnotenumChar"/>
          <w:rtl/>
        </w:rPr>
        <w:t>(3)</w:t>
      </w:r>
      <w:r w:rsidRPr="00020424">
        <w:rPr>
          <w:rtl/>
          <w:lang w:bidi="fa-IR"/>
        </w:rPr>
        <w:t xml:space="preserve"> طَلَبَ حَاجَةً </w:t>
      </w:r>
      <w:r w:rsidRPr="00A91B96">
        <w:rPr>
          <w:rStyle w:val="libFootnotenumChar"/>
          <w:rtl/>
        </w:rPr>
        <w:t>(4)</w:t>
      </w:r>
      <w:r w:rsidRPr="00020424">
        <w:rPr>
          <w:rtl/>
          <w:lang w:bidi="fa-IR"/>
        </w:rPr>
        <w:t xml:space="preserve"> إِلَى </w:t>
      </w:r>
      <w:r w:rsidRPr="00A91B96">
        <w:rPr>
          <w:rStyle w:val="libFootnotenumChar"/>
          <w:rtl/>
        </w:rPr>
        <w:t>(5)</w:t>
      </w:r>
      <w:r w:rsidRPr="00020424">
        <w:rPr>
          <w:rtl/>
          <w:lang w:bidi="fa-IR"/>
        </w:rPr>
        <w:t xml:space="preserve"> النَّاسِ </w:t>
      </w:r>
      <w:r w:rsidRPr="00A91B96">
        <w:rPr>
          <w:rStyle w:val="libFootnotenumChar"/>
          <w:rtl/>
        </w:rPr>
        <w:t>(6)</w:t>
      </w:r>
      <w:r w:rsidRPr="00020424">
        <w:rPr>
          <w:rtl/>
          <w:lang w:bidi="fa-IR"/>
        </w:rPr>
        <w:t xml:space="preserve"> ، فَإِنِّي لَا</w:t>
      </w:r>
      <w:r>
        <w:rPr>
          <w:rFonts w:hint="cs"/>
          <w:rtl/>
          <w:lang w:bidi="fa-IR"/>
        </w:rPr>
        <w:t xml:space="preserve"> </w:t>
      </w:r>
      <w:r w:rsidR="00F25D75">
        <w:rPr>
          <w:rtl/>
          <w:lang w:bidi="fa-IR"/>
        </w:rPr>
        <w:t>أَطْلُبُ حَاجَتِي إِل</w:t>
      </w:r>
      <w:r w:rsidR="00F25D75">
        <w:rPr>
          <w:rFonts w:hint="cs"/>
          <w:rtl/>
          <w:lang w:bidi="fa-IR"/>
        </w:rPr>
        <w:t>َّ</w:t>
      </w:r>
      <w:r w:rsidR="00F25D75">
        <w:rPr>
          <w:rtl/>
          <w:lang w:bidi="fa-IR"/>
        </w:rPr>
        <w:t>ا</w:t>
      </w:r>
      <w:r w:rsidRPr="00020424">
        <w:rPr>
          <w:rtl/>
          <w:lang w:bidi="fa-IR"/>
        </w:rPr>
        <w:t xml:space="preserve"> مِنْكَ وَحْدَكَ لَا </w:t>
      </w:r>
      <w:r w:rsidRPr="00A91B96">
        <w:rPr>
          <w:rStyle w:val="libFootnotenumChar"/>
          <w:rtl/>
        </w:rPr>
        <w:t>(7)</w:t>
      </w:r>
      <w:r w:rsidRPr="00020424">
        <w:rPr>
          <w:rtl/>
          <w:lang w:bidi="fa-IR"/>
        </w:rPr>
        <w:t xml:space="preserve"> شَرِيكَ لَكَ ، وَأَسْأَ لُكَ بِفَضْلِكَ وَرِضْوَانِكَ أَنْ تُصَلِّيَ عَلى مُحَمَّدٍ وَعَلى </w:t>
      </w:r>
      <w:r w:rsidRPr="00A91B96">
        <w:rPr>
          <w:rStyle w:val="libFootnotenumChar"/>
          <w:rtl/>
        </w:rPr>
        <w:t>(8)</w:t>
      </w:r>
      <w:r w:rsidRPr="00020424">
        <w:rPr>
          <w:rtl/>
          <w:lang w:bidi="fa-IR"/>
        </w:rPr>
        <w:t xml:space="preserve"> أَهْلِ بَيْتِهِ </w:t>
      </w:r>
      <w:r w:rsidRPr="00A91B96">
        <w:rPr>
          <w:rStyle w:val="libFootnotenumChar"/>
          <w:rtl/>
        </w:rPr>
        <w:t>(9)</w:t>
      </w:r>
      <w:r w:rsidRPr="00020424">
        <w:rPr>
          <w:rtl/>
          <w:lang w:bidi="fa-IR"/>
        </w:rPr>
        <w:t xml:space="preserve"> ، وَأَنْ تَجْعَلَ لِي فِي </w:t>
      </w:r>
      <w:r w:rsidRPr="00A91B96">
        <w:rPr>
          <w:rStyle w:val="libFootnotenumChar"/>
          <w:rtl/>
        </w:rPr>
        <w:t>(10)</w:t>
      </w:r>
      <w:r w:rsidRPr="00020424">
        <w:rPr>
          <w:rtl/>
          <w:lang w:bidi="fa-IR"/>
        </w:rPr>
        <w:t xml:space="preserve"> عَامِي هذَا إِلى بَيْتِكَ الْحَرَامِ سَبِيلاً ، حَجَّةً </w:t>
      </w:r>
      <w:r w:rsidRPr="00A91B96">
        <w:rPr>
          <w:rStyle w:val="libFootnotenumChar"/>
          <w:rtl/>
        </w:rPr>
        <w:t>(11)</w:t>
      </w:r>
      <w:r w:rsidRPr="00020424">
        <w:rPr>
          <w:rtl/>
          <w:lang w:bidi="fa-IR"/>
        </w:rPr>
        <w:t xml:space="preserve"> مَبْرُورَةً ، مُتَقَبَّلَةً زَاكِيَةً ، خَالِصَةً لَكَ ، تُقِرُّ </w:t>
      </w:r>
      <w:r w:rsidRPr="00A91B96">
        <w:rPr>
          <w:rStyle w:val="libFootnotenumChar"/>
          <w:rtl/>
        </w:rPr>
        <w:t>(12)</w:t>
      </w:r>
      <w:r w:rsidRPr="00020424">
        <w:rPr>
          <w:rtl/>
          <w:lang w:bidi="fa-IR"/>
        </w:rPr>
        <w:t xml:space="preserve"> بِهَا عَيْنِي ، وَتَرْفَعُ بِهَا دَرَجَتِي ، وَتَرْزُقُنِي أَنْ أَغُضَّ بَصَرِي ، وَأَنْ أَحْفَظَ فَرْجِي ، وَأَنْ أَكُفَّ بِهَا عَنْ جَمِيعِ مَحَارِمِكَ ، حَتّى لَايَكُونَ شَيْ‌ءٌ آثَرَ </w:t>
      </w:r>
      <w:r w:rsidRPr="00A91B96">
        <w:rPr>
          <w:rStyle w:val="libFootnotenumChar"/>
          <w:rtl/>
        </w:rPr>
        <w:t>(13)</w:t>
      </w:r>
      <w:r w:rsidRPr="00020424">
        <w:rPr>
          <w:rtl/>
          <w:lang w:bidi="fa-IR"/>
        </w:rPr>
        <w:t xml:space="preserve"> عِنْدِي مِنْ طَاعَتِكَ وَخَشْيَتِكَ ، وَالْعَمَلِ بِمَا </w:t>
      </w:r>
      <w:r w:rsidRPr="00A91B96">
        <w:rPr>
          <w:rStyle w:val="libFootnotenumChar"/>
          <w:rtl/>
        </w:rPr>
        <w:t>(14)</w:t>
      </w:r>
      <w:r w:rsidRPr="00020424">
        <w:rPr>
          <w:rtl/>
          <w:lang w:bidi="fa-IR"/>
        </w:rPr>
        <w:t xml:space="preserve"> أَحْبَبْتَ </w:t>
      </w:r>
      <w:r w:rsidRPr="00A91B96">
        <w:rPr>
          <w:rStyle w:val="libFootnotenumChar"/>
          <w:rtl/>
        </w:rPr>
        <w:t>(15)</w:t>
      </w:r>
      <w:r w:rsidRPr="00020424">
        <w:rPr>
          <w:rtl/>
          <w:lang w:bidi="fa-IR"/>
        </w:rPr>
        <w:t xml:space="preserve"> ، وَالتَّرْكِ لِمَا كَرِهْتَ وَنَهَيْتَ عَنْهُ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السند تحويل بعطف « الحسين بن محمّد ، عن أحمد بن إسحاق ، عن سعدان ، عن أبي بصير » على « عليّ ، عن أبيه ، عن إسماعيل بن مرّار ، عن يونس ، عن إبراهيم ، عن محمّد بن مسلم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 [ أتوسّل ]</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ى ، بح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والمطبوع : « من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بر ، بف ، بك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DE3E80">
        <w:rPr>
          <w:rStyle w:val="libFootnoteBoldChar"/>
          <w:rtl/>
        </w:rPr>
        <w:t>والمقنعة</w:t>
      </w:r>
      <w:r w:rsidR="00992664" w:rsidRPr="00020424">
        <w:rPr>
          <w:rtl/>
        </w:rPr>
        <w:t xml:space="preserve"> : « حاجته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بس » : «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إلى الناس ، لعلّه ضمّن الطلب بمعنى التوجّه فعدّي بإلى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F3E1E" w:rsidTr="007F3E1E">
        <w:tc>
          <w:tcPr>
            <w:tcW w:w="4006" w:type="dxa"/>
          </w:tcPr>
          <w:p w:rsidR="007F3E1E" w:rsidRDefault="007F3E1E" w:rsidP="00992664">
            <w:pPr>
              <w:pStyle w:val="libFootnote0"/>
              <w:rPr>
                <w:rtl/>
              </w:rPr>
            </w:pPr>
            <w:r>
              <w:rPr>
                <w:rtl/>
              </w:rPr>
              <w:t xml:space="preserve">(7). </w:t>
            </w:r>
            <w:r w:rsidRPr="00020424">
              <w:rPr>
                <w:rtl/>
              </w:rPr>
              <w:t>في « بك » : « ولا</w:t>
            </w:r>
            <w:r>
              <w:rPr>
                <w:rtl/>
              </w:rPr>
              <w:t xml:space="preserve"> ».</w:t>
            </w:r>
          </w:p>
        </w:tc>
        <w:tc>
          <w:tcPr>
            <w:tcW w:w="4006" w:type="dxa"/>
          </w:tcPr>
          <w:p w:rsidR="007F3E1E" w:rsidRDefault="007F3E1E" w:rsidP="00992664">
            <w:pPr>
              <w:pStyle w:val="libFootnote0"/>
              <w:rPr>
                <w:rtl/>
              </w:rPr>
            </w:pPr>
            <w:r>
              <w:rPr>
                <w:rtl/>
              </w:rPr>
              <w:t>(8). في «ظ،ى،بث،بح،بر،بك</w:t>
            </w:r>
            <w:r w:rsidRPr="00020424">
              <w:rPr>
                <w:rtl/>
              </w:rPr>
              <w:t>»</w:t>
            </w:r>
            <w:r w:rsidRPr="00EB1FD9">
              <w:rPr>
                <w:rStyle w:val="libFootnoteBoldChar"/>
                <w:rtl/>
              </w:rPr>
              <w:t>والوسائل</w:t>
            </w:r>
            <w:r w:rsidRPr="00020424">
              <w:rPr>
                <w:rtl/>
              </w:rPr>
              <w:t xml:space="preserve"> :</w:t>
            </w:r>
            <w:r>
              <w:rPr>
                <w:rtl/>
              </w:rPr>
              <w:t>- «</w:t>
            </w:r>
            <w:r w:rsidRPr="00020424">
              <w:rPr>
                <w:rtl/>
              </w:rPr>
              <w:t>على</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بس » وحاشية « بح » </w:t>
      </w:r>
      <w:r w:rsidR="00992664" w:rsidRPr="00DE3E80">
        <w:rPr>
          <w:rStyle w:val="libFootnoteBoldChar"/>
          <w:rtl/>
        </w:rPr>
        <w:t>والمقنعة</w:t>
      </w:r>
      <w:r w:rsidR="00992664" w:rsidRPr="00020424">
        <w:rPr>
          <w:rtl/>
        </w:rPr>
        <w:t xml:space="preserve"> : « وآل محمّد » بدل « وعلى أهل بيته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بخ ، بر ، بك ، جن » وحاشية « بح » : « من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بك » : « وحجّة</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حجّة ، لعلّه منصوب بنزع الخافض ، أي لحجّة ، أو بكونه بدلاً عن قوله : سبيلاً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تقرّ ، يمكن أن يقرأ على بناء الإفعال والمجرّد</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 آثر » أي أقدم وأفضل وأكرم ؛ من الأَثَر بمعنى التقديم والتفضيل والإكرام والاختيار. راجع : </w:t>
      </w:r>
      <w:r w:rsidR="00992664" w:rsidRPr="00A722B1">
        <w:rPr>
          <w:rStyle w:val="libFootnoteBoldChar"/>
          <w:rtl/>
        </w:rPr>
        <w:t>لسان العرب</w:t>
      </w:r>
      <w:r w:rsidR="00992664" w:rsidRPr="00DE76B9">
        <w:rPr>
          <w:rStyle w:val="libFootnoteBoldChar"/>
          <w:rtl/>
        </w:rPr>
        <w:t xml:space="preserve"> </w:t>
      </w:r>
      <w:r w:rsidR="00992664" w:rsidRPr="00020424">
        <w:rPr>
          <w:rtl/>
        </w:rPr>
        <w:t xml:space="preserve">، ج 4 ، ص 7 ؛ </w:t>
      </w:r>
      <w:r w:rsidR="00992664" w:rsidRPr="00A722B1">
        <w:rPr>
          <w:rStyle w:val="libFootnoteBoldChar"/>
          <w:rtl/>
        </w:rPr>
        <w:t>القاموس المحيط</w:t>
      </w:r>
      <w:r w:rsidR="00992664" w:rsidRPr="00020424">
        <w:rPr>
          <w:rtl/>
        </w:rPr>
        <w:t xml:space="preserve"> ، ج 1 ، ص 490 ( أثر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لما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بخ ، بر ، بف ، بك » وحاشية « بث » </w:t>
      </w:r>
      <w:r w:rsidR="00992664" w:rsidRPr="00515444">
        <w:rPr>
          <w:rStyle w:val="libFootnoteBoldChar"/>
          <w:rtl/>
        </w:rPr>
        <w:t>والوافي</w:t>
      </w:r>
      <w:r w:rsidR="00992664" w:rsidRPr="00020424">
        <w:rPr>
          <w:rtl/>
        </w:rPr>
        <w:t xml:space="preserve"> : « تحبّ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وَاجْعَلْ ذلِكَ فِي يُسْرٍ وَيَسَارٍ </w:t>
      </w:r>
      <w:r w:rsidRPr="00A91B96">
        <w:rPr>
          <w:rStyle w:val="libFootnotenumChar"/>
          <w:rtl/>
        </w:rPr>
        <w:t>(1)</w:t>
      </w:r>
      <w:r w:rsidRPr="00020424">
        <w:rPr>
          <w:rtl/>
          <w:lang w:bidi="fa-IR"/>
        </w:rPr>
        <w:t xml:space="preserve"> وَعَافِيَةٍ ، وَأَوْزِعْنِي </w:t>
      </w:r>
      <w:r w:rsidRPr="00A91B96">
        <w:rPr>
          <w:rStyle w:val="libFootnotenumChar"/>
          <w:rtl/>
        </w:rPr>
        <w:t>(2)</w:t>
      </w:r>
      <w:r w:rsidRPr="00020424">
        <w:rPr>
          <w:rtl/>
          <w:lang w:bidi="fa-IR"/>
        </w:rPr>
        <w:t xml:space="preserve"> شُكْرَ </w:t>
      </w:r>
      <w:r w:rsidRPr="00A91B96">
        <w:rPr>
          <w:rStyle w:val="libFootnotenumChar"/>
          <w:rtl/>
        </w:rPr>
        <w:t>(3)</w:t>
      </w:r>
      <w:r w:rsidRPr="00020424">
        <w:rPr>
          <w:rtl/>
          <w:lang w:bidi="fa-IR"/>
        </w:rPr>
        <w:t xml:space="preserve"> مَا أَنْعَمْتَ بِهِ عَلَيَّ ، وَأَسْأَ لُكَ أَنْ تَجْعَلَ وَفَاتِي قَتْلاً فِي سَبِيلِكَ ، تَحْتَ رَايَةِ </w:t>
      </w:r>
      <w:r w:rsidRPr="00A91B96">
        <w:rPr>
          <w:rStyle w:val="libFootnotenumChar"/>
          <w:rtl/>
        </w:rPr>
        <w:t>(4)</w:t>
      </w:r>
      <w:r w:rsidRPr="00020424">
        <w:rPr>
          <w:rtl/>
          <w:lang w:bidi="fa-IR"/>
        </w:rPr>
        <w:t xml:space="preserve"> نَبِيِّكَ </w:t>
      </w:r>
      <w:r w:rsidRPr="00A91B96">
        <w:rPr>
          <w:rStyle w:val="libFootnotenumChar"/>
          <w:rtl/>
        </w:rPr>
        <w:t>(5)</w:t>
      </w:r>
      <w:r w:rsidRPr="00020424">
        <w:rPr>
          <w:rtl/>
          <w:lang w:bidi="fa-IR"/>
        </w:rPr>
        <w:t xml:space="preserve"> مَعَ أَوْلِيَائِكَ ، وَأَسْأَلُكَ أَنْ تَقْتُلَ بِي أَعْدَاءَكَ وَأَعْدَاءَ رَسُولِكَ ، وَأَسْأَ لُكَ أَنْ تُكْرِمَنِي </w:t>
      </w:r>
      <w:r w:rsidRPr="00A91B96">
        <w:rPr>
          <w:rStyle w:val="libFootnotenumChar"/>
          <w:rtl/>
        </w:rPr>
        <w:t>(6)</w:t>
      </w:r>
      <w:r w:rsidRPr="00020424">
        <w:rPr>
          <w:rtl/>
          <w:lang w:bidi="fa-IR"/>
        </w:rPr>
        <w:t xml:space="preserve"> بِهَوَانِ مَنْ شِئْتَ مِنْ خَلْقِكَ ، وَلَاتُهِنِّي </w:t>
      </w:r>
      <w:r w:rsidRPr="00A91B96">
        <w:rPr>
          <w:rStyle w:val="libFootnotenumChar"/>
          <w:rtl/>
        </w:rPr>
        <w:t>(7)</w:t>
      </w:r>
      <w:r w:rsidRPr="00020424">
        <w:rPr>
          <w:rtl/>
          <w:lang w:bidi="fa-IR"/>
        </w:rPr>
        <w:t xml:space="preserve"> بِكَرَامَةِ أَحَدٍ مِنْ </w:t>
      </w:r>
      <w:r w:rsidRPr="00A91B96">
        <w:rPr>
          <w:rStyle w:val="libFootnotenumChar"/>
          <w:rtl/>
        </w:rPr>
        <w:t>(8)</w:t>
      </w:r>
      <w:r w:rsidRPr="00020424">
        <w:rPr>
          <w:rtl/>
          <w:lang w:bidi="fa-IR"/>
        </w:rPr>
        <w:t xml:space="preserve"> أَوْلِيَائِكَ </w:t>
      </w:r>
      <w:r w:rsidRPr="00A91B96">
        <w:rPr>
          <w:rStyle w:val="libFootnotenumChar"/>
          <w:rtl/>
        </w:rPr>
        <w:t>(9)</w:t>
      </w:r>
      <w:r w:rsidRPr="00020424">
        <w:rPr>
          <w:rtl/>
          <w:lang w:bidi="fa-IR"/>
        </w:rPr>
        <w:t xml:space="preserve"> ، الل</w:t>
      </w:r>
      <w:r w:rsidR="00AF4DFB">
        <w:rPr>
          <w:rFonts w:hint="cs"/>
          <w:rtl/>
          <w:lang w:bidi="fa-IR"/>
        </w:rPr>
        <w:t>ّ</w:t>
      </w:r>
      <w:r w:rsidRPr="00020424">
        <w:rPr>
          <w:rtl/>
          <w:lang w:bidi="fa-IR"/>
        </w:rPr>
        <w:t xml:space="preserve">هُمَّ اجْعَلْ لِي مَعَ الرَّسُولِ سَبِيلاً </w:t>
      </w:r>
      <w:r w:rsidRPr="00A91B96">
        <w:rPr>
          <w:rStyle w:val="libFootnotenumChar"/>
          <w:rtl/>
        </w:rPr>
        <w:t>(10)</w:t>
      </w:r>
      <w:r w:rsidRPr="00020424">
        <w:rPr>
          <w:rtl/>
          <w:lang w:bidi="fa-IR"/>
        </w:rPr>
        <w:t xml:space="preserve"> ، حَسْبِيَ اللهُ ، مَا </w:t>
      </w:r>
      <w:r w:rsidRPr="00A91B96">
        <w:rPr>
          <w:rStyle w:val="libFootnotenumChar"/>
          <w:rtl/>
        </w:rPr>
        <w:t>(11)</w:t>
      </w:r>
      <w:r w:rsidRPr="00020424">
        <w:rPr>
          <w:rtl/>
          <w:lang w:bidi="fa-IR"/>
        </w:rPr>
        <w:t xml:space="preserve"> شَاءَ اللهُ</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منك</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ويسار ، تأكيد لليسر ، أو هو ضدّ الإعسار والفقر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أوزعني » أي ألهمني وأولعني ووفّقني. راجع : </w:t>
      </w:r>
      <w:r w:rsidR="00992664" w:rsidRPr="0012008A">
        <w:rPr>
          <w:rStyle w:val="libFootnoteBoldChar"/>
          <w:rtl/>
        </w:rPr>
        <w:t>النهاية</w:t>
      </w:r>
      <w:r w:rsidR="00992664" w:rsidRPr="00020424">
        <w:rPr>
          <w:rtl/>
        </w:rPr>
        <w:t xml:space="preserve"> ، ج 5 ، ص 181 ؛ </w:t>
      </w:r>
      <w:r w:rsidR="00992664" w:rsidRPr="00A722B1">
        <w:rPr>
          <w:rStyle w:val="libFootnoteBoldChar"/>
          <w:rtl/>
        </w:rPr>
        <w:t>المصباح المنير</w:t>
      </w:r>
      <w:r w:rsidR="00992664" w:rsidRPr="00020424">
        <w:rPr>
          <w:rtl/>
        </w:rPr>
        <w:t xml:space="preserve"> ، ص 657 ( وزع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معظم النسخ </w:t>
      </w:r>
      <w:r w:rsidR="00992664" w:rsidRPr="00EB1FD9">
        <w:rPr>
          <w:rStyle w:val="libFootnoteBoldChar"/>
          <w:rtl/>
        </w:rPr>
        <w:t>والوسائل</w:t>
      </w:r>
      <w:r w:rsidR="00992664" w:rsidRPr="00020424">
        <w:rPr>
          <w:rtl/>
        </w:rPr>
        <w:t xml:space="preserve">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أوزعني شكر</w:t>
      </w:r>
      <w:r w:rsidR="00992664">
        <w:rPr>
          <w:rtl/>
        </w:rPr>
        <w:t xml:space="preserve"> ».</w:t>
      </w:r>
      <w:r w:rsidR="00992664" w:rsidRPr="00020424">
        <w:rPr>
          <w:rtl/>
        </w:rPr>
        <w:t xml:space="preserve"> وفي « بظ » : « وأعنّي شكر</w:t>
      </w:r>
      <w:r w:rsidR="00992664">
        <w:rPr>
          <w:rtl/>
        </w:rPr>
        <w:t xml:space="preserve"> ».</w:t>
      </w:r>
      <w:r w:rsidR="00992664" w:rsidRPr="00020424">
        <w:rPr>
          <w:rtl/>
        </w:rPr>
        <w:t xml:space="preserve"> وما أثبتناه مطابق للمطبوع </w:t>
      </w:r>
      <w:r w:rsidR="00992664" w:rsidRPr="00515444">
        <w:rPr>
          <w:rStyle w:val="libFootnoteBoldChar"/>
          <w:rtl/>
        </w:rPr>
        <w:t>والوافي</w:t>
      </w:r>
      <w:r w:rsidR="00992664" w:rsidRPr="00020424">
        <w:rPr>
          <w:rtl/>
        </w:rPr>
        <w:t xml:space="preserve"> </w:t>
      </w:r>
      <w:r w:rsidR="00992664">
        <w:rPr>
          <w:rtl/>
        </w:rPr>
        <w:t>و «</w:t>
      </w:r>
      <w:r w:rsidR="00992664" w:rsidRPr="00020424">
        <w:rPr>
          <w:rtl/>
        </w:rPr>
        <w:t xml:space="preserve"> بت ، بث ، بذ » وحاشية « جت ، بى</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حاشية « جن » : + « محمّد</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w:t>
      </w:r>
      <w:r w:rsidR="00AF4DFB">
        <w:rPr>
          <w:rFonts w:hint="cs"/>
          <w:rtl/>
        </w:rPr>
        <w:t>ُ</w:t>
      </w:r>
      <w:r w:rsidR="00992664" w:rsidRPr="00020424">
        <w:rPr>
          <w:rtl/>
        </w:rPr>
        <w:t xml:space="preserve">ريد براية النبيّ رايته التي عند القائم </w:t>
      </w:r>
      <w:r w:rsidR="00992664" w:rsidRPr="00D64ADA">
        <w:rPr>
          <w:rStyle w:val="libFootnoteAlaemChar"/>
          <w:rtl/>
        </w:rPr>
        <w:t>عليه‌السلام</w:t>
      </w:r>
      <w:r w:rsidR="00992664" w:rsidRPr="00020424">
        <w:rPr>
          <w:rtl/>
        </w:rPr>
        <w:t xml:space="preserve"> ، أو عبّر عن راية القائم براية النبيّ ؛ لاتّحادهما في المعنى واشتراكهما في كونهما راية الحقّ</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قتلاً في سبيلك ، فإن قلت : مع علمه </w:t>
      </w:r>
      <w:r w:rsidR="00992664" w:rsidRPr="00D64ADA">
        <w:rPr>
          <w:rStyle w:val="libFootnoteAlaemChar"/>
          <w:rtl/>
        </w:rPr>
        <w:t>عليه‌السلام</w:t>
      </w:r>
      <w:r w:rsidR="00992664" w:rsidRPr="00020424">
        <w:rPr>
          <w:rtl/>
        </w:rPr>
        <w:t xml:space="preserve"> بعدم وقوع ذلك كيف يطلبه</w:t>
      </w:r>
      <w:r w:rsidR="00992664">
        <w:rPr>
          <w:rtl/>
        </w:rPr>
        <w:t>؟</w:t>
      </w:r>
      <w:r w:rsidR="00992664" w:rsidRPr="00020424">
        <w:rPr>
          <w:rtl/>
        </w:rPr>
        <w:t xml:space="preserve"> قلت : لا ينافي العلم بالوقوع واللاوقوع الدعاء ؛ فإنّها عبادة ا</w:t>
      </w:r>
      <w:r w:rsidR="00AF4DFB">
        <w:rPr>
          <w:rFonts w:hint="cs"/>
          <w:rtl/>
        </w:rPr>
        <w:t>ُ</w:t>
      </w:r>
      <w:r w:rsidR="00992664" w:rsidRPr="00020424">
        <w:rPr>
          <w:rtl/>
        </w:rPr>
        <w:t>مروا به ، ولو كانوا مأمورين بالعمل بمقتضى هذا العلم ، لزم أن يسقط عنهم أكثر التكاليف الشرعيّة ، كالتقيّة والاحتراس من الأعداء وغير ذلك ، مع أنّه على القول بالبداء كان ذلك محتملاً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المراد بقوله : تكرمني ولا تهينني ، أن يجعله محسوداً ولا يجعله حاسداً</w:t>
      </w:r>
      <w:r w:rsidR="00992664">
        <w:rPr>
          <w:rtl/>
        </w:rPr>
        <w:t xml:space="preserve"> ».</w:t>
      </w:r>
      <w:r w:rsidR="00992664" w:rsidRPr="00020424">
        <w:rPr>
          <w:rtl/>
        </w:rPr>
        <w:t xml:space="preserve"> وفي مرآة العقول : « قوله </w:t>
      </w:r>
      <w:r w:rsidR="00992664" w:rsidRPr="00D64ADA">
        <w:rPr>
          <w:rStyle w:val="libFootnoteAlaemChar"/>
          <w:rtl/>
        </w:rPr>
        <w:t>عليه‌السلام</w:t>
      </w:r>
      <w:r w:rsidR="00992664" w:rsidRPr="00020424">
        <w:rPr>
          <w:rtl/>
        </w:rPr>
        <w:t xml:space="preserve"> : أن تكرمني ، الإكرام والإهانة إمّا في الدنيا أو في الآخرة ، والأعمّ منهما أظهر ، أي تجعلني ضدّاً لأعدائك ، وتكرمني في الدنيا والآخرة بإهانتهم ، ولا تجعلني ضدّاً لأوليائك فيكون كرامتهم سبباً لإهانتي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ولا تهينني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بس » : + « خلقك </w:t>
      </w:r>
      <w:r w:rsidR="00992664">
        <w:rPr>
          <w:rtl/>
        </w:rPr>
        <w:t>و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حاشية « بح » : « خلقك</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إشارة إلى قوله تعالى</w:t>
      </w:r>
      <w:r w:rsidR="00992664" w:rsidRPr="00AF4DFB">
        <w:rPr>
          <w:rStyle w:val="libFootnoteAlaemChar"/>
          <w:rtl/>
        </w:rPr>
        <w:t>(</w:t>
      </w:r>
      <w:r w:rsidR="00992664" w:rsidRPr="006B2AC6">
        <w:rPr>
          <w:rStyle w:val="libFootnoteAieChar"/>
          <w:rFonts w:hint="cs"/>
          <w:rtl/>
        </w:rPr>
        <w:t xml:space="preserve"> </w:t>
      </w:r>
      <w:r w:rsidR="00992664" w:rsidRPr="006B2AC6">
        <w:rPr>
          <w:rStyle w:val="libFootnoteAieChar"/>
          <w:rtl/>
        </w:rPr>
        <w:t>وَيَوْمَ يَعَضُّ الظّالِمُ عَلى يَدَيْهِ يَقُولُ يا لَيْتَنِي اتَّخَذْتُ مَعَ الرَّسُولِ سَبِيلاً</w:t>
      </w:r>
      <w:r w:rsidR="00992664" w:rsidRPr="00AF4DFB">
        <w:rPr>
          <w:rStyle w:val="libFootnoteAlaemChar"/>
          <w:rtl/>
        </w:rPr>
        <w:t>)</w:t>
      </w:r>
      <w:r w:rsidR="00992664" w:rsidRPr="00020424">
        <w:rPr>
          <w:rtl/>
        </w:rPr>
        <w:t xml:space="preserve"> [ الفرقان (25) : 27 ] أي طريقاً إلى الهداية والحياة الأبدّية ، أو طريقاً واحداً وهو الطريق الحقّ. كذا ذكره المفسّرون ، ولايبعد أن يكون بمعنى « عند » كما صرّحوا بمجيئه بهذا المعنى ، فيكون المعنى : سبيلاً إلى الرسول وطاعته ، والله يعلم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وما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المقنعة</w:t>
      </w:r>
      <w:r w:rsidR="00992664" w:rsidRPr="00020424">
        <w:rPr>
          <w:rtl/>
        </w:rPr>
        <w:t xml:space="preserve"> ، ص 314 ، من دون الإسناد إلى المعصوم </w:t>
      </w:r>
      <w:r w:rsidR="00992664" w:rsidRPr="00D64ADA">
        <w:rPr>
          <w:rStyle w:val="libFootnoteAlaemChar"/>
          <w:rtl/>
        </w:rPr>
        <w:t>عليه‌السلام</w:t>
      </w:r>
      <w:r w:rsidR="00992664" w:rsidRPr="00020424">
        <w:rPr>
          <w:rtl/>
        </w:rPr>
        <w:t xml:space="preserve"> </w:t>
      </w:r>
      <w:r w:rsidR="00AF4DFB">
        <w:rPr>
          <w:rFonts w:hint="cs"/>
          <w:rtl/>
        </w:rPr>
        <w:t>,</w:t>
      </w:r>
      <w:r w:rsidR="00992664" w:rsidRPr="0012008A">
        <w:rPr>
          <w:rStyle w:val="libFootnoteBoldChar"/>
          <w:rtl/>
        </w:rPr>
        <w:t>الوافي</w:t>
      </w:r>
      <w:r w:rsidR="00992664" w:rsidRPr="00020424">
        <w:rPr>
          <w:rtl/>
        </w:rPr>
        <w:t xml:space="preserve"> ، ج 11 ، ص 401 ، ح 11086 ؛ </w:t>
      </w:r>
      <w:r w:rsidR="00992664" w:rsidRPr="0012008A">
        <w:rPr>
          <w:rStyle w:val="libFootnoteBoldChar"/>
          <w:rtl/>
        </w:rPr>
        <w:t>الوسائل</w:t>
      </w:r>
      <w:r w:rsidR="00992664" w:rsidRPr="00020424">
        <w:rPr>
          <w:rtl/>
        </w:rPr>
        <w:t xml:space="preserve"> ، ج 10 ، ص 325 ، ح 13519.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154209">
        <w:rPr>
          <w:rtl/>
        </w:rPr>
        <w:t>6289</w:t>
      </w:r>
      <w:r w:rsidRPr="001155DE">
        <w:rPr>
          <w:rStyle w:val="libBold2Char"/>
          <w:rtl/>
        </w:rPr>
        <w:t xml:space="preserve"> / 8.</w:t>
      </w:r>
      <w:r w:rsidRPr="00020424">
        <w:rPr>
          <w:rtl/>
          <w:lang w:bidi="fa-IR"/>
        </w:rPr>
        <w:t xml:space="preserve"> أَحْمَدُ بْنُ مُحَمَّدٍ ، عَنْ عَلِيِّ بْنِ الْحَسَنِ </w:t>
      </w:r>
      <w:r w:rsidRPr="00A91B96">
        <w:rPr>
          <w:rStyle w:val="libFootnotenumChar"/>
          <w:rtl/>
        </w:rPr>
        <w:t>(1)</w:t>
      </w:r>
      <w:r w:rsidRPr="00020424">
        <w:rPr>
          <w:rtl/>
          <w:lang w:bidi="fa-IR"/>
        </w:rPr>
        <w:t xml:space="preserve"> ، عَنْ جَعْفَرِ بْنِ مُحَمَّدٍ </w:t>
      </w:r>
      <w:r w:rsidRPr="00A91B96">
        <w:rPr>
          <w:rStyle w:val="libFootnotenumChar"/>
          <w:rtl/>
        </w:rPr>
        <w:t>(2)</w:t>
      </w:r>
      <w:r w:rsidRPr="00020424">
        <w:rPr>
          <w:rtl/>
          <w:lang w:bidi="fa-IR"/>
        </w:rPr>
        <w:t xml:space="preserve"> ، عَنْ عَلِيِّ بْنِ أَسْبَاطٍ ، عَنْ عَبْدِ الرَّحْمنِ بْنِ بَشِيرٍ ، عَنْ بَعْضِ رِجَالِهِ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أَنَّ عَلِيَّ بْنَ الْحُسَيْنِ </w:t>
      </w:r>
      <w:r w:rsidRPr="00005A81">
        <w:rPr>
          <w:rStyle w:val="libAlaemChar"/>
          <w:rtl/>
        </w:rPr>
        <w:t>عليهما‌السلام</w:t>
      </w:r>
      <w:r w:rsidRPr="00020424">
        <w:rPr>
          <w:rtl/>
          <w:lang w:bidi="fa-IR"/>
        </w:rPr>
        <w:t xml:space="preserve"> كَانَ </w:t>
      </w:r>
      <w:r w:rsidRPr="00A91B96">
        <w:rPr>
          <w:rStyle w:val="libFootnotenumChar"/>
          <w:rtl/>
        </w:rPr>
        <w:t>(4)</w:t>
      </w:r>
      <w:r w:rsidRPr="00020424">
        <w:rPr>
          <w:rtl/>
          <w:lang w:bidi="fa-IR"/>
        </w:rPr>
        <w:t xml:space="preserve"> يَدْعُو بِهذَا الدُّعَاءِ فِي كُلِّ يَوْمٍ مِنْ شَهْرِ رَمَضَانَ </w:t>
      </w:r>
      <w:r w:rsidRPr="00A91B96">
        <w:rPr>
          <w:rStyle w:val="libFootnotenumChar"/>
          <w:rtl/>
        </w:rPr>
        <w:t>(5)</w:t>
      </w:r>
      <w:r w:rsidRPr="00020424">
        <w:rPr>
          <w:rtl/>
          <w:lang w:bidi="fa-IR"/>
        </w:rPr>
        <w:t xml:space="preserve"> :</w:t>
      </w:r>
      <w:r>
        <w:rPr>
          <w:rFonts w:hint="cs"/>
          <w:rtl/>
          <w:lang w:bidi="fa-IR"/>
        </w:rPr>
        <w:t xml:space="preserve"> </w:t>
      </w:r>
      <w:r w:rsidRPr="00020424">
        <w:rPr>
          <w:rtl/>
          <w:lang w:bidi="fa-IR"/>
        </w:rPr>
        <w:t>« الل</w:t>
      </w:r>
      <w:r w:rsidR="00AF4DFB">
        <w:rPr>
          <w:rFonts w:hint="cs"/>
          <w:rtl/>
          <w:lang w:bidi="fa-IR"/>
        </w:rPr>
        <w:t>ّ</w:t>
      </w:r>
      <w:r w:rsidRPr="00020424">
        <w:rPr>
          <w:rtl/>
          <w:lang w:bidi="fa-IR"/>
        </w:rPr>
        <w:t xml:space="preserve">هُمَّ إِنَّ هذَا شَهْرُ رَمَضَانَ </w:t>
      </w:r>
      <w:r w:rsidRPr="00A91B96">
        <w:rPr>
          <w:rStyle w:val="libFootnotenumChar"/>
          <w:rtl/>
        </w:rPr>
        <w:t>(6)</w:t>
      </w:r>
      <w:r w:rsidRPr="00020424">
        <w:rPr>
          <w:rtl/>
          <w:lang w:bidi="fa-IR"/>
        </w:rPr>
        <w:t xml:space="preserve"> ، وَهذَا شَهْرُ الصِّيَامِ </w:t>
      </w:r>
      <w:r w:rsidRPr="00A91B96">
        <w:rPr>
          <w:rStyle w:val="libFootnotenumChar"/>
          <w:rtl/>
        </w:rPr>
        <w:t>(7)</w:t>
      </w:r>
      <w:r w:rsidRPr="00020424">
        <w:rPr>
          <w:rtl/>
          <w:lang w:bidi="fa-IR"/>
        </w:rPr>
        <w:t xml:space="preserve"> ، وَهذَا شَهْرُ الْإِنَابَةِ ، وَهذَا شَهْرُ التَّوْبَةِ ، وَهذَا شَهْرُ الْمَغْفِرَةِ وَالرَّحْمَةِ </w:t>
      </w:r>
      <w:r w:rsidRPr="00A91B96">
        <w:rPr>
          <w:rStyle w:val="libFootnotenumChar"/>
          <w:rtl/>
        </w:rPr>
        <w:t>(8)</w:t>
      </w:r>
      <w:r w:rsidRPr="00020424">
        <w:rPr>
          <w:rtl/>
          <w:lang w:bidi="fa-IR"/>
        </w:rPr>
        <w:t xml:space="preserve"> ، وَهذَا شَهْرُ الْعِتْقِ مِنَ النَّارِ وَالْفَوْزِ بِالْجَنَّةِ ؛ الل</w:t>
      </w:r>
      <w:r w:rsidR="00AF4DFB">
        <w:rPr>
          <w:rFonts w:hint="cs"/>
          <w:rtl/>
          <w:lang w:bidi="fa-IR"/>
        </w:rPr>
        <w:t>ّ</w:t>
      </w:r>
      <w:r w:rsidRPr="00020424">
        <w:rPr>
          <w:rtl/>
          <w:lang w:bidi="fa-IR"/>
        </w:rPr>
        <w:t xml:space="preserve">هُمَّ فَسَلِّمْهُ لِي ، وَتَسَلَّمْهُ مِنِّي ، وَأَعِنِّي عَلَيْهِ بِأَفْضَلِ عَوْنِكَ ، وَوَفِّقْنِي فِيهِ لِطَاعَتِكَ ، وَفَرِّغْنِي فِيهِ لِعِبَادَتِكَ وَدُعَائِكَ وَتِلَاوَةِ كِتَابِكَ ، وَأَعْظِمْ لِي فِيهِ الْبَرَكَةَ ، وَأَحْسِنْ لِي فِيهِ الْعَاقِبَةَ </w:t>
      </w:r>
      <w:r w:rsidRPr="00A91B96">
        <w:rPr>
          <w:rStyle w:val="libFootnotenumChar"/>
          <w:rtl/>
        </w:rPr>
        <w:t>(9)</w:t>
      </w:r>
      <w:r w:rsidRPr="00020424">
        <w:rPr>
          <w:rtl/>
          <w:lang w:bidi="fa-IR"/>
        </w:rPr>
        <w:t xml:space="preserve"> ، وَأَصِحَّ </w:t>
      </w:r>
      <w:r w:rsidRPr="00A91B96">
        <w:rPr>
          <w:rStyle w:val="libFootnotenumChar"/>
          <w:rtl/>
        </w:rPr>
        <w:t>(10)</w:t>
      </w:r>
      <w:r w:rsidRPr="00020424">
        <w:rPr>
          <w:rtl/>
          <w:lang w:bidi="fa-IR"/>
        </w:rPr>
        <w:t xml:space="preserve"> لِي فِيهِ بَدَنِي ، وَأَوْسِعْ </w:t>
      </w:r>
      <w:r w:rsidRPr="00A91B96">
        <w:rPr>
          <w:rStyle w:val="libFootnotenumChar"/>
          <w:rtl/>
        </w:rPr>
        <w:t>(11)</w:t>
      </w:r>
      <w:r w:rsidRPr="00020424">
        <w:rPr>
          <w:rtl/>
          <w:lang w:bidi="fa-IR"/>
        </w:rPr>
        <w:t xml:space="preserve"> فِيهِ رِزْقِي ، وَاكْفِنِي فِيهِ مَا أَهَمَّنِي ، وَاسْتَجِبْ لِي </w:t>
      </w:r>
      <w:r w:rsidRPr="00A91B96">
        <w:rPr>
          <w:rStyle w:val="libFootnotenumChar"/>
          <w:rtl/>
        </w:rPr>
        <w:t>(12)</w:t>
      </w:r>
      <w:r w:rsidRPr="00020424">
        <w:rPr>
          <w:rtl/>
          <w:lang w:bidi="fa-IR"/>
        </w:rPr>
        <w:t xml:space="preserve"> فِيهِ دُعَائِي ، وَبَلِّغْنِي فِيهِ رَجَائِي.</w:t>
      </w:r>
    </w:p>
    <w:p w:rsidR="00992664" w:rsidRPr="00020424" w:rsidRDefault="00992664" w:rsidP="00992664">
      <w:pPr>
        <w:pStyle w:val="libNormal"/>
        <w:rPr>
          <w:rtl/>
          <w:lang w:bidi="fa-IR"/>
        </w:rPr>
      </w:pPr>
      <w:r w:rsidRPr="00020424">
        <w:rPr>
          <w:rtl/>
          <w:lang w:bidi="fa-IR"/>
        </w:rPr>
        <w:t>الل</w:t>
      </w:r>
      <w:r w:rsidR="00AF4DFB">
        <w:rPr>
          <w:rFonts w:hint="cs"/>
          <w:rtl/>
          <w:lang w:bidi="fa-IR"/>
        </w:rPr>
        <w:t>ّ</w:t>
      </w:r>
      <w:r w:rsidRPr="00020424">
        <w:rPr>
          <w:rtl/>
          <w:lang w:bidi="fa-IR"/>
        </w:rPr>
        <w:t xml:space="preserve">هُمَّ </w:t>
      </w:r>
      <w:r w:rsidRPr="00A91B96">
        <w:rPr>
          <w:rStyle w:val="libFootnotenumChar"/>
          <w:rtl/>
        </w:rPr>
        <w:t>(13)</w:t>
      </w:r>
      <w:r w:rsidRPr="00020424">
        <w:rPr>
          <w:rtl/>
          <w:lang w:bidi="fa-IR"/>
        </w:rPr>
        <w:t xml:space="preserve"> أَذْهِبْ عَنِّي فِيهِ </w:t>
      </w:r>
      <w:r w:rsidRPr="00A91B96">
        <w:rPr>
          <w:rStyle w:val="libFootnotenumChar"/>
          <w:rtl/>
        </w:rPr>
        <w:t>(14)</w:t>
      </w:r>
      <w:r w:rsidRPr="00020424">
        <w:rPr>
          <w:rtl/>
          <w:lang w:bidi="fa-IR"/>
        </w:rPr>
        <w:t xml:space="preserve"> النُّعَاسَ وَالْكَسَلَ وَالسَّأْمَةَ </w:t>
      </w:r>
      <w:r w:rsidRPr="00A91B96">
        <w:rPr>
          <w:rStyle w:val="libFootnotenumChar"/>
          <w:rtl/>
        </w:rPr>
        <w:t>(15)</w:t>
      </w:r>
      <w:r w:rsidRPr="00020424">
        <w:rPr>
          <w:rtl/>
          <w:lang w:bidi="fa-IR"/>
        </w:rPr>
        <w:t xml:space="preserve"> وَالْفَتْرَةَ وَالْقَسْوَةَ وَالْغَفْلَةَ‌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ى ، بث ، بح ، بخ ، بر ، بس ، بف ، جن » والمطبوع </w:t>
      </w:r>
      <w:r w:rsidR="00992664" w:rsidRPr="00EB1FD9">
        <w:rPr>
          <w:rStyle w:val="libFootnoteBoldChar"/>
          <w:rtl/>
        </w:rPr>
        <w:t>والوسائل</w:t>
      </w:r>
      <w:r w:rsidR="00992664" w:rsidRPr="00020424">
        <w:rPr>
          <w:rtl/>
        </w:rPr>
        <w:t xml:space="preserve"> : « الحسين</w:t>
      </w:r>
      <w:r w:rsidR="00992664">
        <w:rPr>
          <w:rtl/>
        </w:rPr>
        <w:t>».</w:t>
      </w:r>
    </w:p>
    <w:p w:rsidR="00992664" w:rsidRPr="00020424" w:rsidRDefault="00992664" w:rsidP="00AF4DFB">
      <w:pPr>
        <w:pStyle w:val="libFootnote0"/>
        <w:rPr>
          <w:rtl/>
          <w:lang w:bidi="fa-IR"/>
        </w:rPr>
      </w:pPr>
      <w:r w:rsidRPr="00D82B22">
        <w:rPr>
          <w:rtl/>
        </w:rPr>
        <w:t>وعليّ بن الحسن هو ابن فضّال ، كما تقدّم في ذيل ح 4 من الباب.</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جعفر بن محمود</w:t>
      </w:r>
      <w:r w:rsidR="00992664">
        <w:rPr>
          <w:rtl/>
        </w:rPr>
        <w:t xml:space="preserve"> ».</w:t>
      </w:r>
      <w:r w:rsidR="00992664" w:rsidRPr="00020424">
        <w:rPr>
          <w:rtl/>
        </w:rPr>
        <w:t xml:space="preserve"> وفي « بف ، جر » وحاشية « بث ، بف » : « جعفر بن أبي محمود</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أصحابه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بك » :</w:t>
      </w:r>
      <w:r w:rsidR="00992664">
        <w:rPr>
          <w:rtl/>
        </w:rPr>
        <w:t xml:space="preserve"> </w:t>
      </w:r>
      <w:r w:rsidR="009B673F">
        <w:rPr>
          <w:rtl/>
        </w:rPr>
        <w:t>-</w:t>
      </w:r>
      <w:r w:rsidR="00992664">
        <w:rPr>
          <w:rtl/>
        </w:rPr>
        <w:t xml:space="preserve"> </w:t>
      </w:r>
      <w:r w:rsidR="00992664" w:rsidRPr="00020424">
        <w:rPr>
          <w:rtl/>
        </w:rPr>
        <w:t>« كان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بث ، بح ، بخ ، بس ، بف ، بك » :</w:t>
      </w:r>
      <w:r w:rsidR="00992664">
        <w:rPr>
          <w:rtl/>
        </w:rPr>
        <w:t xml:space="preserve"> </w:t>
      </w:r>
      <w:r w:rsidR="009B673F">
        <w:rPr>
          <w:rtl/>
        </w:rPr>
        <w:t>-</w:t>
      </w:r>
      <w:r w:rsidR="00992664">
        <w:rPr>
          <w:rtl/>
        </w:rPr>
        <w:t xml:space="preserve"> </w:t>
      </w:r>
      <w:r w:rsidR="00992664" w:rsidRPr="00020424">
        <w:rPr>
          <w:rtl/>
        </w:rPr>
        <w:t>« في كلّ يوم من شهر رمضان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 الذي أنزلت فيه القرآن ، هدى للناس وبيّنات من الهدى والفرقان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حاشية « بث » : « القيام</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 وهذا شهر القيام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والرحمة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بر ، بس ، بك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العافية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F4DFB" w:rsidTr="00AF4DFB">
        <w:tc>
          <w:tcPr>
            <w:tcW w:w="4006" w:type="dxa"/>
          </w:tcPr>
          <w:p w:rsidR="00AF4DFB" w:rsidRDefault="00AF4DFB" w:rsidP="00992664">
            <w:pPr>
              <w:pStyle w:val="libFootnote0"/>
              <w:rPr>
                <w:rtl/>
              </w:rPr>
            </w:pPr>
            <w:r>
              <w:rPr>
                <w:rtl/>
              </w:rPr>
              <w:t xml:space="preserve">(10). </w:t>
            </w:r>
            <w:r w:rsidRPr="00020424">
              <w:rPr>
                <w:rtl/>
              </w:rPr>
              <w:t>في « جن » وحاشية « بث » : « وأصلح</w:t>
            </w:r>
            <w:r>
              <w:rPr>
                <w:rtl/>
              </w:rPr>
              <w:t xml:space="preserve"> ».</w:t>
            </w:r>
          </w:p>
        </w:tc>
        <w:tc>
          <w:tcPr>
            <w:tcW w:w="4006" w:type="dxa"/>
          </w:tcPr>
          <w:p w:rsidR="00AF4DFB" w:rsidRDefault="00AF4DFB" w:rsidP="00992664">
            <w:pPr>
              <w:pStyle w:val="libFootnote0"/>
              <w:rPr>
                <w:rtl/>
              </w:rPr>
            </w:pPr>
            <w:r>
              <w:rPr>
                <w:rtl/>
              </w:rPr>
              <w:t xml:space="preserve">(11). </w:t>
            </w:r>
            <w:r w:rsidRPr="00020424">
              <w:rPr>
                <w:rtl/>
              </w:rPr>
              <w:t xml:space="preserve">في « ظ » </w:t>
            </w:r>
            <w:r w:rsidRPr="00515444">
              <w:rPr>
                <w:rStyle w:val="libFootnoteBoldChar"/>
                <w:rtl/>
              </w:rPr>
              <w:t>والتهذيب</w:t>
            </w:r>
            <w:r w:rsidRPr="00020424">
              <w:rPr>
                <w:rtl/>
              </w:rPr>
              <w:t xml:space="preserve"> : + « لي</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صلّ على محمّد وآل محمّد </w:t>
      </w:r>
      <w:r w:rsidR="00992664">
        <w:rPr>
          <w:rtl/>
        </w:rPr>
        <w:t>و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ظ ، ى ، بث ، بح » : « فيه عنّي</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 السأمة » : الملل والضجر. </w:t>
      </w:r>
      <w:r w:rsidR="00992664" w:rsidRPr="0012008A">
        <w:rPr>
          <w:rStyle w:val="libFootnoteBoldChar"/>
          <w:rtl/>
        </w:rPr>
        <w:t>النهاية</w:t>
      </w:r>
      <w:r w:rsidR="00992664" w:rsidRPr="00020424">
        <w:rPr>
          <w:rtl/>
        </w:rPr>
        <w:t xml:space="preserve"> ، ج 2 ، ص 329 ( سأم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وَالْغِرَّةَ </w:t>
      </w:r>
      <w:r w:rsidRPr="00A91B96">
        <w:rPr>
          <w:rStyle w:val="libFootnotenumChar"/>
          <w:rtl/>
        </w:rPr>
        <w:t>(1)</w:t>
      </w:r>
      <w:r w:rsidRPr="00020424">
        <w:rPr>
          <w:rtl/>
          <w:lang w:bidi="fa-IR"/>
        </w:rPr>
        <w:t xml:space="preserve"> ، الل</w:t>
      </w:r>
      <w:r w:rsidR="00AF4DFB">
        <w:rPr>
          <w:rFonts w:hint="cs"/>
          <w:rtl/>
          <w:lang w:bidi="fa-IR"/>
        </w:rPr>
        <w:t>ّ</w:t>
      </w:r>
      <w:r w:rsidRPr="00020424">
        <w:rPr>
          <w:rtl/>
          <w:lang w:bidi="fa-IR"/>
        </w:rPr>
        <w:t xml:space="preserve">هُمَّ جَنِّبْنِي </w:t>
      </w:r>
      <w:r w:rsidRPr="00A91B96">
        <w:rPr>
          <w:rStyle w:val="libFootnotenumChar"/>
          <w:rtl/>
        </w:rPr>
        <w:t>(2)</w:t>
      </w:r>
      <w:r w:rsidRPr="00020424">
        <w:rPr>
          <w:rtl/>
          <w:lang w:bidi="fa-IR"/>
        </w:rPr>
        <w:t xml:space="preserve"> فِيهِ </w:t>
      </w:r>
      <w:r w:rsidRPr="00A91B96">
        <w:rPr>
          <w:rStyle w:val="libFootnotenumChar"/>
          <w:rtl/>
        </w:rPr>
        <w:t>(3)</w:t>
      </w:r>
      <w:r w:rsidRPr="00020424">
        <w:rPr>
          <w:rtl/>
          <w:lang w:bidi="fa-IR"/>
        </w:rPr>
        <w:t xml:space="preserve"> الْعِلَلَ وَالْأَسْقَامَ </w:t>
      </w:r>
      <w:r w:rsidRPr="00A91B96">
        <w:rPr>
          <w:rStyle w:val="libFootnotenumChar"/>
          <w:rtl/>
        </w:rPr>
        <w:t>(4)</w:t>
      </w:r>
      <w:r w:rsidRPr="00020424">
        <w:rPr>
          <w:rtl/>
          <w:lang w:bidi="fa-IR"/>
        </w:rPr>
        <w:t xml:space="preserve"> ، وَالْهُمُومَ </w:t>
      </w:r>
      <w:r w:rsidRPr="00A91B96">
        <w:rPr>
          <w:rStyle w:val="libFootnotenumChar"/>
          <w:rtl/>
        </w:rPr>
        <w:t>(5)</w:t>
      </w:r>
      <w:r w:rsidRPr="00020424">
        <w:rPr>
          <w:rtl/>
          <w:lang w:bidi="fa-IR"/>
        </w:rPr>
        <w:t xml:space="preserve"> وَالْأَحْزَانَ ، وَالْأَعْرَاضَ </w:t>
      </w:r>
      <w:r w:rsidRPr="00A91B96">
        <w:rPr>
          <w:rStyle w:val="libFootnotenumChar"/>
          <w:rtl/>
        </w:rPr>
        <w:t>(6)</w:t>
      </w:r>
      <w:r w:rsidRPr="00020424">
        <w:rPr>
          <w:rtl/>
          <w:lang w:bidi="fa-IR"/>
        </w:rPr>
        <w:t xml:space="preserve"> وَالْأَمْرَاضَ </w:t>
      </w:r>
      <w:r w:rsidRPr="00A91B96">
        <w:rPr>
          <w:rStyle w:val="libFootnotenumChar"/>
          <w:rtl/>
        </w:rPr>
        <w:t>(7)</w:t>
      </w:r>
      <w:r w:rsidRPr="00020424">
        <w:rPr>
          <w:rtl/>
          <w:lang w:bidi="fa-IR"/>
        </w:rPr>
        <w:t xml:space="preserve"> ، وَالْخَطَايَا وَالذُّنُوبَ ، وَاصْرِفْ عَنِّي فِيهِ السُّوءَ وَالْفَحْشَاءَ ، وَالْجَهْدَ </w:t>
      </w:r>
      <w:r w:rsidRPr="00A91B96">
        <w:rPr>
          <w:rStyle w:val="libFootnotenumChar"/>
          <w:rtl/>
        </w:rPr>
        <w:t>(8)</w:t>
      </w:r>
      <w:r w:rsidRPr="00020424">
        <w:rPr>
          <w:rtl/>
          <w:lang w:bidi="fa-IR"/>
        </w:rPr>
        <w:t xml:space="preserve"> وَالْبَلَاءَ ، وَالتَّعَبَ وَالْعَنَاءَ </w:t>
      </w:r>
      <w:r w:rsidRPr="00A91B96">
        <w:rPr>
          <w:rStyle w:val="libFootnotenumChar"/>
          <w:rtl/>
        </w:rPr>
        <w:t>(9)</w:t>
      </w:r>
      <w:r w:rsidRPr="00020424">
        <w:rPr>
          <w:rtl/>
          <w:lang w:bidi="fa-IR"/>
        </w:rPr>
        <w:t xml:space="preserve"> ، إِنَّكَ سَمِيعُ الدُّعَاءِ.</w:t>
      </w:r>
    </w:p>
    <w:p w:rsidR="00992664" w:rsidRPr="00020424" w:rsidRDefault="00992664" w:rsidP="00992664">
      <w:pPr>
        <w:pStyle w:val="libNormal"/>
        <w:rPr>
          <w:rtl/>
          <w:lang w:bidi="fa-IR"/>
        </w:rPr>
      </w:pPr>
      <w:r w:rsidRPr="00020424">
        <w:rPr>
          <w:rtl/>
          <w:lang w:bidi="fa-IR"/>
        </w:rPr>
        <w:t>الل</w:t>
      </w:r>
      <w:r w:rsidR="00AF4DFB">
        <w:rPr>
          <w:rFonts w:hint="cs"/>
          <w:rtl/>
          <w:lang w:bidi="fa-IR"/>
        </w:rPr>
        <w:t>ّ</w:t>
      </w:r>
      <w:r w:rsidRPr="00020424">
        <w:rPr>
          <w:rtl/>
          <w:lang w:bidi="fa-IR"/>
        </w:rPr>
        <w:t xml:space="preserve">هُمَّ </w:t>
      </w:r>
      <w:r w:rsidRPr="00A91B96">
        <w:rPr>
          <w:rStyle w:val="libFootnotenumChar"/>
          <w:rtl/>
        </w:rPr>
        <w:t>(10)</w:t>
      </w:r>
      <w:r w:rsidRPr="00020424">
        <w:rPr>
          <w:rtl/>
          <w:lang w:bidi="fa-IR"/>
        </w:rPr>
        <w:t xml:space="preserve"> أَعِذْنِي فِيهِ مِنَ الشَّيْطَانِ الرَّجِيمِ وَهَمْزِهِ </w:t>
      </w:r>
      <w:r w:rsidRPr="00A91B96">
        <w:rPr>
          <w:rStyle w:val="libFootnotenumChar"/>
          <w:rtl/>
        </w:rPr>
        <w:t>(11)</w:t>
      </w:r>
      <w:r w:rsidRPr="00020424">
        <w:rPr>
          <w:rtl/>
          <w:lang w:bidi="fa-IR"/>
        </w:rPr>
        <w:t xml:space="preserve"> وَلَمْزِهِ </w:t>
      </w:r>
      <w:r w:rsidRPr="00A91B96">
        <w:rPr>
          <w:rStyle w:val="libFootnotenumChar"/>
          <w:rtl/>
        </w:rPr>
        <w:t>(12)</w:t>
      </w:r>
      <w:r w:rsidRPr="00020424">
        <w:rPr>
          <w:rtl/>
          <w:lang w:bidi="fa-IR"/>
        </w:rPr>
        <w:t xml:space="preserve"> ، وَنَفْثِهِ </w:t>
      </w:r>
      <w:r w:rsidRPr="00A91B96">
        <w:rPr>
          <w:rStyle w:val="libFootnotenumChar"/>
          <w:rtl/>
        </w:rPr>
        <w:t>(13)</w:t>
      </w:r>
      <w:r w:rsidRPr="00020424">
        <w:rPr>
          <w:rtl/>
          <w:lang w:bidi="fa-IR"/>
        </w:rPr>
        <w:t xml:space="preserve"> وَنَفْخِهِ </w:t>
      </w:r>
      <w:r w:rsidRPr="00A91B96">
        <w:rPr>
          <w:rStyle w:val="libFootnotenumChar"/>
          <w:rtl/>
        </w:rPr>
        <w:t>(14)</w:t>
      </w:r>
      <w:r w:rsidRPr="00020424">
        <w:rPr>
          <w:rtl/>
          <w:lang w:bidi="fa-IR"/>
        </w:rPr>
        <w:t xml:space="preserve"> ، وَ</w:t>
      </w:r>
      <w:r w:rsidR="00AF4DFB">
        <w:rPr>
          <w:rFonts w:hint="cs"/>
          <w:rtl/>
          <w:lang w:bidi="fa-IR"/>
        </w:rPr>
        <w:t xml:space="preserve"> </w:t>
      </w:r>
      <w:r w:rsidRPr="00020424">
        <w:rPr>
          <w:rtl/>
          <w:lang w:bidi="fa-IR"/>
        </w:rPr>
        <w:t xml:space="preserve">وَسْوَاسِهِ </w:t>
      </w:r>
      <w:r w:rsidRPr="00A91B96">
        <w:rPr>
          <w:rStyle w:val="libFootnotenumChar"/>
          <w:rtl/>
        </w:rPr>
        <w:t>(15)</w:t>
      </w:r>
      <w:r w:rsidRPr="00020424">
        <w:rPr>
          <w:rtl/>
          <w:lang w:bidi="fa-IR"/>
        </w:rPr>
        <w:t xml:space="preserve"> وَكَيْدِهِ ، وَمَكْرِهِ وَحِيَلِهِ </w:t>
      </w:r>
      <w:r w:rsidRPr="00A91B96">
        <w:rPr>
          <w:rStyle w:val="libFootnotenumChar"/>
          <w:rtl/>
        </w:rPr>
        <w:t>(16)</w:t>
      </w:r>
      <w:r w:rsidRPr="00020424">
        <w:rPr>
          <w:rtl/>
          <w:lang w:bidi="fa-IR"/>
        </w:rPr>
        <w:t xml:space="preserve"> ، وَأَمَانِيِّهِ </w:t>
      </w:r>
      <w:r w:rsidRPr="00A91B96">
        <w:rPr>
          <w:rStyle w:val="libFootnotenumChar"/>
          <w:rtl/>
        </w:rPr>
        <w:t>(17)</w:t>
      </w:r>
      <w:r w:rsidRPr="00020424">
        <w:rPr>
          <w:rtl/>
          <w:lang w:bidi="fa-IR"/>
        </w:rPr>
        <w:t xml:space="preserve"> وَخُدَعِهِ ، وَغُرُورِهِ </w:t>
      </w:r>
      <w:r w:rsidRPr="00A91B96">
        <w:rPr>
          <w:rStyle w:val="libFootnotenumChar"/>
          <w:rtl/>
        </w:rPr>
        <w:t>(18)</w:t>
      </w:r>
      <w:r w:rsidRPr="00020424">
        <w:rPr>
          <w:rtl/>
          <w:lang w:bidi="fa-IR"/>
        </w:rPr>
        <w:t xml:space="preserve"> وَفِتْنَتِهِ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الغِرَّة » : الغفلة. وقال العل</w:t>
      </w:r>
      <w:r w:rsidR="00AF4DFB">
        <w:rPr>
          <w:rFonts w:hint="cs"/>
          <w:rtl/>
        </w:rPr>
        <w:t>ّ</w:t>
      </w:r>
      <w:r w:rsidR="00AF4DFB">
        <w:rPr>
          <w:rtl/>
        </w:rPr>
        <w:t>ا</w:t>
      </w:r>
      <w:r w:rsidR="00992664" w:rsidRPr="00020424">
        <w:rPr>
          <w:rtl/>
        </w:rPr>
        <w:t>مة المجلسي : « أو الاغترار بالعمل ، أو بالدنيا ، أو الانخداع من الشيطان</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3 ، ص 355 ( غرر ) ؛ </w:t>
      </w:r>
      <w:r w:rsidR="00992664" w:rsidRPr="00DE76B9">
        <w:rPr>
          <w:rStyle w:val="libFootnoteBoldChar"/>
          <w:rtl/>
        </w:rPr>
        <w:t>مرآة العقول</w:t>
      </w:r>
      <w:r w:rsidR="00992664" w:rsidRPr="00020424">
        <w:rPr>
          <w:rtl/>
        </w:rPr>
        <w:t xml:space="preserve"> ، ج 16 ، ص 226.</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وجنّبني » بدل « الل</w:t>
      </w:r>
      <w:r w:rsidR="002E24C3">
        <w:rPr>
          <w:rFonts w:hint="cs"/>
          <w:rtl/>
        </w:rPr>
        <w:t>ّ</w:t>
      </w:r>
      <w:r w:rsidR="00992664" w:rsidRPr="00020424">
        <w:rPr>
          <w:rtl/>
        </w:rPr>
        <w:t>همّ جنبّني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ى » وحاشية « بث » : « والأشغال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هامش المطبوع عن بعض النسخ : « والاشتغال والغموم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12C3A" w:rsidTr="00D12C3A">
        <w:tc>
          <w:tcPr>
            <w:tcW w:w="4006" w:type="dxa"/>
          </w:tcPr>
          <w:p w:rsidR="00D12C3A" w:rsidRDefault="00D12C3A" w:rsidP="00992664">
            <w:pPr>
              <w:pStyle w:val="libFootnote0"/>
              <w:rPr>
                <w:rtl/>
              </w:rPr>
            </w:pPr>
            <w:r>
              <w:rPr>
                <w:rtl/>
              </w:rPr>
              <w:t xml:space="preserve">(6). </w:t>
            </w:r>
            <w:r w:rsidRPr="00020424">
              <w:rPr>
                <w:rtl/>
              </w:rPr>
              <w:t>في « بخ ، بس » : « والأغراض</w:t>
            </w:r>
            <w:r>
              <w:rPr>
                <w:rtl/>
              </w:rPr>
              <w:t xml:space="preserve"> ».</w:t>
            </w:r>
          </w:p>
        </w:tc>
        <w:tc>
          <w:tcPr>
            <w:tcW w:w="4006" w:type="dxa"/>
          </w:tcPr>
          <w:p w:rsidR="00D12C3A" w:rsidRDefault="00D12C3A" w:rsidP="00992664">
            <w:pPr>
              <w:pStyle w:val="libFootnote0"/>
              <w:rPr>
                <w:rtl/>
              </w:rPr>
            </w:pPr>
            <w:r>
              <w:rPr>
                <w:rtl/>
              </w:rPr>
              <w:t xml:space="preserve">(7). </w:t>
            </w:r>
            <w:r w:rsidRPr="00020424">
              <w:rPr>
                <w:rtl/>
              </w:rPr>
              <w:t>في « بك » :</w:t>
            </w:r>
            <w:r>
              <w:rPr>
                <w:rtl/>
              </w:rPr>
              <w:t xml:space="preserve"> - </w:t>
            </w:r>
            <w:r w:rsidRPr="00020424">
              <w:rPr>
                <w:rtl/>
              </w:rPr>
              <w:t>« والأمراض</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الجهد » بالضمّ : الوسع والطاقة. وبالفتح : المشقّة. وقيل : المبالغة والغاية. وقيل : هما لغتان في الوسع والطاقة ، فأمّا في المشقّة والغاية فالفتح لاغير. راجع : </w:t>
      </w:r>
      <w:r w:rsidR="00992664" w:rsidRPr="0012008A">
        <w:rPr>
          <w:rStyle w:val="libFootnoteBoldChar"/>
          <w:rtl/>
        </w:rPr>
        <w:t>الصحاح</w:t>
      </w:r>
      <w:r w:rsidR="00992664" w:rsidRPr="00020424">
        <w:rPr>
          <w:rtl/>
        </w:rPr>
        <w:t xml:space="preserve"> ، ج 2 ، ص 460 ؛ </w:t>
      </w:r>
      <w:r w:rsidR="00992664" w:rsidRPr="0012008A">
        <w:rPr>
          <w:rStyle w:val="libFootnoteBoldChar"/>
          <w:rtl/>
        </w:rPr>
        <w:t>النهاية</w:t>
      </w:r>
      <w:r w:rsidR="00992664" w:rsidRPr="00020424">
        <w:rPr>
          <w:rtl/>
        </w:rPr>
        <w:t xml:space="preserve"> ، ج 1 ، ص 320 ( جهد )</w:t>
      </w:r>
      <w:r w:rsidR="00992664">
        <w:rPr>
          <w:rtl/>
        </w:rPr>
        <w:t>.</w:t>
      </w:r>
    </w:p>
    <w:p w:rsidR="00992664" w:rsidRPr="00020424" w:rsidRDefault="00795177" w:rsidP="00694808">
      <w:pPr>
        <w:pStyle w:val="libFootnote0"/>
        <w:rPr>
          <w:rtl/>
          <w:lang w:bidi="fa-IR"/>
        </w:rPr>
      </w:pPr>
      <w:r>
        <w:rPr>
          <w:rtl/>
        </w:rPr>
        <w:t>(9).</w:t>
      </w:r>
      <w:r w:rsidR="0014403D">
        <w:rPr>
          <w:rtl/>
        </w:rPr>
        <w:t xml:space="preserve"> </w:t>
      </w:r>
      <w:r w:rsidR="00992664" w:rsidRPr="00020424">
        <w:rPr>
          <w:rtl/>
        </w:rPr>
        <w:t xml:space="preserve">« العَناء » : التعب والمشقّة. وقيل : العَناء : الحبس في شدّة وذلّ. راجع : </w:t>
      </w:r>
      <w:r w:rsidR="00992664" w:rsidRPr="0012008A">
        <w:rPr>
          <w:rStyle w:val="libFootnoteBoldChar"/>
          <w:rtl/>
        </w:rPr>
        <w:t>الصحاح</w:t>
      </w:r>
      <w:r w:rsidR="00992664" w:rsidRPr="00020424">
        <w:rPr>
          <w:rtl/>
        </w:rPr>
        <w:t xml:space="preserve"> ، ج 6 ، ص 2440 ؛ </w:t>
      </w:r>
      <w:r w:rsidR="00992664" w:rsidRPr="00A722B1">
        <w:rPr>
          <w:rStyle w:val="libFootnoteBoldChar"/>
          <w:rtl/>
        </w:rPr>
        <w:t>لسان العرب</w:t>
      </w:r>
      <w:r w:rsidR="00992664" w:rsidRPr="00020424">
        <w:rPr>
          <w:rtl/>
        </w:rPr>
        <w:t xml:space="preserve"> ، ج 15 ، ص 103 ( عنا )</w:t>
      </w:r>
      <w:r w:rsidR="00992664">
        <w:rPr>
          <w:rtl/>
        </w:rPr>
        <w:t>.</w:t>
      </w:r>
      <w:r w:rsidR="00694808">
        <w:rPr>
          <w:rFonts w:hint="cs"/>
          <w:rtl/>
        </w:rPr>
        <w:t xml:space="preserve">             </w:t>
      </w: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صلّ على محمّد وآل محمّد </w:t>
      </w:r>
      <w:r w:rsidR="00992664">
        <w:rPr>
          <w:rtl/>
        </w:rPr>
        <w:t>و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الهَمْز : النَخْس والغمز ، وكلّ شي‌ء دفعته فقد همزته. والهمز أيضاً : الغيبة والوقيعة في الناس وذكر عيوبهم. راجع : </w:t>
      </w:r>
      <w:r w:rsidR="00992664" w:rsidRPr="0012008A">
        <w:rPr>
          <w:rStyle w:val="libFootnoteBoldChar"/>
          <w:rtl/>
        </w:rPr>
        <w:t>النهاية</w:t>
      </w:r>
      <w:r w:rsidR="00992664" w:rsidRPr="00020424">
        <w:rPr>
          <w:rtl/>
        </w:rPr>
        <w:t xml:space="preserve"> ، ج 5 ، ص 273 ؛ </w:t>
      </w:r>
      <w:r w:rsidR="00992664" w:rsidRPr="00A722B1">
        <w:rPr>
          <w:rStyle w:val="libFootnoteBoldChar"/>
          <w:rtl/>
        </w:rPr>
        <w:t>لسان العرب</w:t>
      </w:r>
      <w:r w:rsidR="00992664" w:rsidRPr="00020424">
        <w:rPr>
          <w:rtl/>
        </w:rPr>
        <w:t xml:space="preserve"> ، ج 5 ، ص 426 ( همز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بك » :</w:t>
      </w:r>
      <w:r w:rsidR="00992664">
        <w:rPr>
          <w:rtl/>
        </w:rPr>
        <w:t xml:space="preserve"> </w:t>
      </w:r>
      <w:r w:rsidR="009B673F">
        <w:rPr>
          <w:rtl/>
        </w:rPr>
        <w:t>-</w:t>
      </w:r>
      <w:r w:rsidR="00992664">
        <w:rPr>
          <w:rtl/>
        </w:rPr>
        <w:t xml:space="preserve"> </w:t>
      </w:r>
      <w:r w:rsidR="00992664" w:rsidRPr="00020424">
        <w:rPr>
          <w:rtl/>
        </w:rPr>
        <w:t>« ولمزه</w:t>
      </w:r>
      <w:r w:rsidR="00992664">
        <w:rPr>
          <w:rtl/>
        </w:rPr>
        <w:t xml:space="preserve"> ».</w:t>
      </w:r>
      <w:r w:rsidR="00992664" w:rsidRPr="00020424">
        <w:rPr>
          <w:rtl/>
        </w:rPr>
        <w:t xml:space="preserve"> واللَّمْزُ : العيب والوقوع في الناس. وقيل : هو العيب في الوجه. والهمز : العيب في الغيب. وأصله الإشارة بالعين ونحوها. راجع : </w:t>
      </w:r>
      <w:r w:rsidR="00992664" w:rsidRPr="0012008A">
        <w:rPr>
          <w:rStyle w:val="libFootnoteBoldChar"/>
          <w:rtl/>
        </w:rPr>
        <w:t>الصحاح</w:t>
      </w:r>
      <w:r w:rsidR="00992664" w:rsidRPr="00020424">
        <w:rPr>
          <w:rtl/>
        </w:rPr>
        <w:t xml:space="preserve"> ، ج 3 ، ص 895 ؛ </w:t>
      </w:r>
      <w:r w:rsidR="00992664" w:rsidRPr="0012008A">
        <w:rPr>
          <w:rStyle w:val="libFootnoteBoldChar"/>
          <w:rtl/>
        </w:rPr>
        <w:t>النهاية</w:t>
      </w:r>
      <w:r w:rsidR="00992664" w:rsidRPr="00020424">
        <w:rPr>
          <w:rtl/>
        </w:rPr>
        <w:t xml:space="preserve"> ، ج 4 ، ص 269 ( لمز )</w:t>
      </w:r>
      <w:r w:rsidR="00992664">
        <w:rPr>
          <w:rtl/>
        </w:rPr>
        <w:t>.</w:t>
      </w:r>
    </w:p>
    <w:p w:rsidR="00992664" w:rsidRPr="00020424" w:rsidRDefault="00795177" w:rsidP="009D639A">
      <w:pPr>
        <w:pStyle w:val="libFootnote0"/>
        <w:rPr>
          <w:rtl/>
          <w:lang w:bidi="fa-IR"/>
        </w:rPr>
      </w:pPr>
      <w:r>
        <w:rPr>
          <w:rtl/>
        </w:rPr>
        <w:t>(13).</w:t>
      </w:r>
      <w:r w:rsidR="0014403D">
        <w:rPr>
          <w:rtl/>
        </w:rPr>
        <w:t xml:space="preserve"> </w:t>
      </w:r>
      <w:r w:rsidR="00992664" w:rsidRPr="00020424">
        <w:rPr>
          <w:rtl/>
        </w:rPr>
        <w:t>النفث : هو شبيه بالنفخ ، وهو أق</w:t>
      </w:r>
      <w:r w:rsidR="00694808">
        <w:rPr>
          <w:rtl/>
        </w:rPr>
        <w:t>لّ من التفل ؛ لأنّه لا يكون إل</w:t>
      </w:r>
      <w:r w:rsidR="00694808">
        <w:rPr>
          <w:rFonts w:hint="cs"/>
          <w:rtl/>
        </w:rPr>
        <w:t>ّ</w:t>
      </w:r>
      <w:r w:rsidR="00694808">
        <w:rPr>
          <w:rtl/>
        </w:rPr>
        <w:t>ا</w:t>
      </w:r>
      <w:r w:rsidR="00992664" w:rsidRPr="00020424">
        <w:rPr>
          <w:rtl/>
        </w:rPr>
        <w:t xml:space="preserve">و معه شي‌ء من الريق. راجع : </w:t>
      </w:r>
      <w:r w:rsidR="00992664" w:rsidRPr="0012008A">
        <w:rPr>
          <w:rStyle w:val="libFootnoteBoldChar"/>
          <w:rtl/>
        </w:rPr>
        <w:t>الصحاح</w:t>
      </w:r>
      <w:r w:rsidR="00992664" w:rsidRPr="00020424">
        <w:rPr>
          <w:rtl/>
        </w:rPr>
        <w:t xml:space="preserve"> ، ج 1 ، ص 295 ؛ </w:t>
      </w:r>
      <w:r w:rsidR="00992664" w:rsidRPr="0012008A">
        <w:rPr>
          <w:rStyle w:val="libFootnoteBoldChar"/>
          <w:rtl/>
        </w:rPr>
        <w:t>النهاية</w:t>
      </w:r>
      <w:r w:rsidR="00992664" w:rsidRPr="00020424">
        <w:rPr>
          <w:rtl/>
        </w:rPr>
        <w:t xml:space="preserve"> ، ج 5 ، ص 88 ( نفث )</w:t>
      </w:r>
      <w:r w:rsidR="00992664">
        <w:rPr>
          <w:rtl/>
        </w:rPr>
        <w:t>.</w:t>
      </w:r>
      <w:r w:rsidR="009D639A">
        <w:rPr>
          <w:rFonts w:hint="cs"/>
          <w:rtl/>
        </w:rPr>
        <w:t xml:space="preserve">           </w:t>
      </w:r>
      <w:r>
        <w:rPr>
          <w:rtl/>
        </w:rPr>
        <w:t>(14).</w:t>
      </w:r>
      <w:r w:rsidR="0014403D">
        <w:rPr>
          <w:rtl/>
        </w:rPr>
        <w:t xml:space="preserve"> </w:t>
      </w:r>
      <w:r w:rsidR="00992664" w:rsidRPr="00020424">
        <w:rPr>
          <w:rtl/>
        </w:rPr>
        <w:t>في « ى ، بث » : « ونفحه</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حاشية « بث » : « و</w:t>
      </w:r>
      <w:r w:rsidR="009D639A">
        <w:rPr>
          <w:rFonts w:hint="cs"/>
          <w:rtl/>
        </w:rPr>
        <w:t xml:space="preserve"> </w:t>
      </w:r>
      <w:r w:rsidR="00992664" w:rsidRPr="00020424">
        <w:rPr>
          <w:rtl/>
        </w:rPr>
        <w:t>وسوسته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ووسوسته وتثبيطه » بدل « ووسواسه</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بخ ، بف » : « وحبله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وهامش المطبوع عن بعض النسخ : « في هامش المطبوع</w:t>
      </w:r>
      <w:r w:rsidR="00992664">
        <w:rPr>
          <w:rtl/>
        </w:rPr>
        <w:t xml:space="preserve"> </w:t>
      </w:r>
      <w:r w:rsidR="009B673F">
        <w:rPr>
          <w:rtl/>
        </w:rPr>
        <w:t>-</w:t>
      </w:r>
      <w:r w:rsidR="00992664">
        <w:rPr>
          <w:rtl/>
        </w:rPr>
        <w:t xml:space="preserve"> </w:t>
      </w:r>
      <w:r w:rsidR="00992664" w:rsidRPr="00020424">
        <w:rPr>
          <w:rtl/>
        </w:rPr>
        <w:t>: وحبائله</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الأمانيّ : الأكاذيب ، ويقال للأحاديث التي تُتمنّى ، أي تختلق ولا أصل لها. واحدتها : ا</w:t>
      </w:r>
      <w:r w:rsidR="009D639A">
        <w:rPr>
          <w:rFonts w:hint="cs"/>
          <w:rtl/>
        </w:rPr>
        <w:t>ُ</w:t>
      </w:r>
      <w:r w:rsidR="00992664" w:rsidRPr="00020424">
        <w:rPr>
          <w:rtl/>
        </w:rPr>
        <w:t xml:space="preserve">منيّة ، وهي من التمنّي بمعنى الاختلاق والكذب. راجع : </w:t>
      </w:r>
      <w:r w:rsidR="00992664" w:rsidRPr="0012008A">
        <w:rPr>
          <w:rStyle w:val="libFootnoteBoldChar"/>
          <w:rtl/>
        </w:rPr>
        <w:t>النهاية</w:t>
      </w:r>
      <w:r w:rsidR="00992664" w:rsidRPr="00020424">
        <w:rPr>
          <w:rtl/>
        </w:rPr>
        <w:t xml:space="preserve"> ، ج 4 ، ص 367 ؛ </w:t>
      </w:r>
      <w:r w:rsidR="00992664" w:rsidRPr="00A722B1">
        <w:rPr>
          <w:rStyle w:val="libFootnoteBoldChar"/>
          <w:rtl/>
        </w:rPr>
        <w:t>لسان العرب</w:t>
      </w:r>
      <w:r w:rsidR="00992664" w:rsidRPr="00020424">
        <w:rPr>
          <w:rtl/>
        </w:rPr>
        <w:t xml:space="preserve"> ، ج 15 ، ص 395 ( منا )</w:t>
      </w:r>
      <w:r w:rsidR="00992664">
        <w:rPr>
          <w:rtl/>
        </w:rPr>
        <w:t>.</w:t>
      </w:r>
    </w:p>
    <w:p w:rsidR="00992664" w:rsidRPr="00020424" w:rsidRDefault="00795177" w:rsidP="00992664">
      <w:pPr>
        <w:pStyle w:val="libFootnote0"/>
        <w:rPr>
          <w:rtl/>
          <w:lang w:bidi="fa-IR"/>
        </w:rPr>
      </w:pPr>
      <w:r>
        <w:rPr>
          <w:rtl/>
        </w:rPr>
        <w:t>(18).</w:t>
      </w:r>
      <w:r w:rsidR="0014403D">
        <w:rPr>
          <w:rtl/>
        </w:rPr>
        <w:t xml:space="preserve"> </w:t>
      </w:r>
      <w:r w:rsidR="00992664" w:rsidRPr="00020424">
        <w:rPr>
          <w:rtl/>
        </w:rPr>
        <w:t>في « بر ، بف ، بك » : + « وشروره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وَرَجْلِهِ </w:t>
      </w:r>
      <w:r w:rsidRPr="00A91B96">
        <w:rPr>
          <w:rStyle w:val="libFootnotenumChar"/>
          <w:rtl/>
        </w:rPr>
        <w:t>(1)</w:t>
      </w:r>
      <w:r w:rsidRPr="00020424">
        <w:rPr>
          <w:rtl/>
          <w:lang w:bidi="fa-IR"/>
        </w:rPr>
        <w:t xml:space="preserve"> وَشَرَكِهِ </w:t>
      </w:r>
      <w:r w:rsidRPr="00A91B96">
        <w:rPr>
          <w:rStyle w:val="libFootnotenumChar"/>
          <w:rtl/>
        </w:rPr>
        <w:t>(2)</w:t>
      </w:r>
      <w:r w:rsidRPr="00020424">
        <w:rPr>
          <w:rtl/>
          <w:lang w:bidi="fa-IR"/>
        </w:rPr>
        <w:t xml:space="preserve"> ، وَأَعْوَانِهِ وَأَتْبَاعِهِ ، وَأَخْدَانِهِ </w:t>
      </w:r>
      <w:r w:rsidRPr="00A91B96">
        <w:rPr>
          <w:rStyle w:val="libFootnotenumChar"/>
          <w:rtl/>
        </w:rPr>
        <w:t>(3)</w:t>
      </w:r>
      <w:r w:rsidRPr="00020424">
        <w:rPr>
          <w:rtl/>
          <w:lang w:bidi="fa-IR"/>
        </w:rPr>
        <w:t xml:space="preserve"> وَأَشْيَاعِهِ ، وَأَوْلِيَائِهِ وَشُرَكَائِهِ ، وَجَمِيعِ كَيْدِهِمْ.</w:t>
      </w:r>
    </w:p>
    <w:p w:rsidR="00992664" w:rsidRPr="00020424" w:rsidRDefault="00992664" w:rsidP="00992664">
      <w:pPr>
        <w:pStyle w:val="libNormal"/>
        <w:rPr>
          <w:rtl/>
          <w:lang w:bidi="fa-IR"/>
        </w:rPr>
      </w:pPr>
      <w:r w:rsidRPr="00020424">
        <w:rPr>
          <w:rtl/>
          <w:lang w:bidi="fa-IR"/>
        </w:rPr>
        <w:t>الل</w:t>
      </w:r>
      <w:r w:rsidR="009D639A">
        <w:rPr>
          <w:rFonts w:hint="cs"/>
          <w:rtl/>
          <w:lang w:bidi="fa-IR"/>
        </w:rPr>
        <w:t>ّ</w:t>
      </w:r>
      <w:r w:rsidRPr="00020424">
        <w:rPr>
          <w:rtl/>
          <w:lang w:bidi="fa-IR"/>
        </w:rPr>
        <w:t xml:space="preserve">هُمَّ </w:t>
      </w:r>
      <w:r w:rsidRPr="00A91B96">
        <w:rPr>
          <w:rStyle w:val="libFootnotenumChar"/>
          <w:rtl/>
        </w:rPr>
        <w:t>(4)</w:t>
      </w:r>
      <w:r w:rsidRPr="00020424">
        <w:rPr>
          <w:rtl/>
          <w:lang w:bidi="fa-IR"/>
        </w:rPr>
        <w:t xml:space="preserve"> ارْزُقْنِي فِيهِ تَمَامَ صِيَامِهِ ، وَبُلُوغَ الْأَمَلِ </w:t>
      </w:r>
      <w:r w:rsidRPr="00A91B96">
        <w:rPr>
          <w:rStyle w:val="libFootnotenumChar"/>
          <w:rtl/>
        </w:rPr>
        <w:t>(5)</w:t>
      </w:r>
      <w:r w:rsidRPr="00020424">
        <w:rPr>
          <w:rtl/>
          <w:lang w:bidi="fa-IR"/>
        </w:rPr>
        <w:t xml:space="preserve"> فِي </w:t>
      </w:r>
      <w:r w:rsidRPr="00A91B96">
        <w:rPr>
          <w:rStyle w:val="libFootnotenumChar"/>
          <w:rtl/>
        </w:rPr>
        <w:t>(6)</w:t>
      </w:r>
      <w:r w:rsidRPr="00020424">
        <w:rPr>
          <w:rtl/>
          <w:lang w:bidi="fa-IR"/>
        </w:rPr>
        <w:t xml:space="preserve"> قِيَامِهِ ، وَاسْتِكْمَالَ مَا يُرْضِيكَ </w:t>
      </w:r>
      <w:r w:rsidRPr="00A91B96">
        <w:rPr>
          <w:rStyle w:val="libFootnotenumChar"/>
          <w:rtl/>
        </w:rPr>
        <w:t>(7)</w:t>
      </w:r>
      <w:r w:rsidRPr="00020424">
        <w:rPr>
          <w:rtl/>
          <w:lang w:bidi="fa-IR"/>
        </w:rPr>
        <w:t xml:space="preserve"> فِيهِ صَبْراً وَإِيمَاناً وَيَقِيناً وَاحْتِسَاباً </w:t>
      </w:r>
      <w:r w:rsidRPr="00A91B96">
        <w:rPr>
          <w:rStyle w:val="libFootnotenumChar"/>
          <w:rtl/>
        </w:rPr>
        <w:t>(8)</w:t>
      </w:r>
      <w:r w:rsidRPr="00020424">
        <w:rPr>
          <w:rtl/>
          <w:lang w:bidi="fa-IR"/>
        </w:rPr>
        <w:t xml:space="preserve"> ، ثُمَّ تَقَبَّلْ ذلِكَ مِنَّا </w:t>
      </w:r>
      <w:r w:rsidRPr="00A91B96">
        <w:rPr>
          <w:rStyle w:val="libFootnotenumChar"/>
          <w:rtl/>
        </w:rPr>
        <w:t>(9)</w:t>
      </w:r>
      <w:r w:rsidRPr="00020424">
        <w:rPr>
          <w:rtl/>
          <w:lang w:bidi="fa-IR"/>
        </w:rPr>
        <w:t xml:space="preserve"> بِالْأَضْعَافِ الْكَثِيرَةِ وَالْأَجْرِ الْعَظِيمِ.</w:t>
      </w:r>
    </w:p>
    <w:p w:rsidR="00992664" w:rsidRPr="00020424" w:rsidRDefault="00992664" w:rsidP="00992664">
      <w:pPr>
        <w:pStyle w:val="libNormal"/>
        <w:rPr>
          <w:rtl/>
          <w:lang w:bidi="fa-IR"/>
        </w:rPr>
      </w:pPr>
      <w:r w:rsidRPr="00020424">
        <w:rPr>
          <w:rtl/>
          <w:lang w:bidi="fa-IR"/>
        </w:rPr>
        <w:t>الل</w:t>
      </w:r>
      <w:r w:rsidR="009D639A">
        <w:rPr>
          <w:rFonts w:hint="cs"/>
          <w:rtl/>
          <w:lang w:bidi="fa-IR"/>
        </w:rPr>
        <w:t>ّ</w:t>
      </w:r>
      <w:r w:rsidRPr="00020424">
        <w:rPr>
          <w:rtl/>
          <w:lang w:bidi="fa-IR"/>
        </w:rPr>
        <w:t xml:space="preserve">هُمَّ </w:t>
      </w:r>
      <w:r w:rsidRPr="00A91B96">
        <w:rPr>
          <w:rStyle w:val="libFootnotenumChar"/>
          <w:rtl/>
        </w:rPr>
        <w:t>(10)</w:t>
      </w:r>
      <w:r w:rsidRPr="00020424">
        <w:rPr>
          <w:rtl/>
          <w:lang w:bidi="fa-IR"/>
        </w:rPr>
        <w:t xml:space="preserve"> ارْزُقْنِي </w:t>
      </w:r>
      <w:r w:rsidRPr="00A91B96">
        <w:rPr>
          <w:rStyle w:val="libFootnotenumChar"/>
          <w:rtl/>
        </w:rPr>
        <w:t>(11)</w:t>
      </w:r>
      <w:r w:rsidRPr="00020424">
        <w:rPr>
          <w:rtl/>
          <w:lang w:bidi="fa-IR"/>
        </w:rPr>
        <w:t xml:space="preserve"> فِيهِ الْجِدَّ وَ</w:t>
      </w:r>
      <w:r>
        <w:rPr>
          <w:rFonts w:hint="cs"/>
          <w:rtl/>
          <w:lang w:bidi="fa-IR"/>
        </w:rPr>
        <w:t xml:space="preserve"> </w:t>
      </w:r>
      <w:r w:rsidRPr="00A91B96">
        <w:rPr>
          <w:rStyle w:val="libFootnotenumChar"/>
          <w:rtl/>
        </w:rPr>
        <w:t>(12)</w:t>
      </w:r>
      <w:r w:rsidRPr="00020424">
        <w:rPr>
          <w:rtl/>
          <w:lang w:bidi="fa-IR"/>
        </w:rPr>
        <w:t xml:space="preserve"> الِاجْتِهَادَ ، وَالْقُوَّةَ وَالنَّشَاطَ ، وَالْإِنَابَةَ وَالتَّوْبَةَ </w:t>
      </w:r>
      <w:r w:rsidRPr="00A91B96">
        <w:rPr>
          <w:rStyle w:val="libFootnotenumChar"/>
          <w:rtl/>
        </w:rPr>
        <w:t>(13)</w:t>
      </w:r>
      <w:r w:rsidRPr="00020424">
        <w:rPr>
          <w:rtl/>
          <w:lang w:bidi="fa-IR"/>
        </w:rPr>
        <w:t xml:space="preserve"> ، وَالرَّغْبَةَ وَالرَّهْبَةَ </w:t>
      </w:r>
      <w:r w:rsidRPr="00A91B96">
        <w:rPr>
          <w:rStyle w:val="libFootnotenumChar"/>
          <w:rtl/>
        </w:rPr>
        <w:t>(14)</w:t>
      </w:r>
      <w:r w:rsidRPr="00020424">
        <w:rPr>
          <w:rtl/>
          <w:lang w:bidi="fa-IR"/>
        </w:rPr>
        <w:t xml:space="preserve"> ، وَالْجَزَعَ </w:t>
      </w:r>
      <w:r w:rsidRPr="00A91B96">
        <w:rPr>
          <w:rStyle w:val="libFootnotenumChar"/>
          <w:rtl/>
        </w:rPr>
        <w:t>(15)</w:t>
      </w:r>
      <w:r w:rsidRPr="00020424">
        <w:rPr>
          <w:rtl/>
          <w:lang w:bidi="fa-IR"/>
        </w:rPr>
        <w:t xml:space="preserve"> وَالرِّقَّةَ </w:t>
      </w:r>
      <w:r w:rsidRPr="00A91B96">
        <w:rPr>
          <w:rStyle w:val="libFootnotenumChar"/>
          <w:rtl/>
        </w:rPr>
        <w:t>(16)</w:t>
      </w:r>
      <w:r w:rsidRPr="00020424">
        <w:rPr>
          <w:rtl/>
          <w:lang w:bidi="fa-IR"/>
        </w:rPr>
        <w:t xml:space="preserve"> ، وَصِدْقَ اللِّسَانِ ، وَالْوَجَلَ مِنْكَ ، وَالرَّجَاءَ‌</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الرَّجْل : جمع الراجل ، وهو خلاف الفارس. راجع : </w:t>
      </w:r>
      <w:r w:rsidR="00992664" w:rsidRPr="0012008A">
        <w:rPr>
          <w:rStyle w:val="libFootnoteBoldChar"/>
          <w:rtl/>
        </w:rPr>
        <w:t>الصحاح</w:t>
      </w:r>
      <w:r w:rsidR="00992664" w:rsidRPr="00020424">
        <w:rPr>
          <w:rtl/>
        </w:rPr>
        <w:t xml:space="preserve"> ، ج 4 ، ص 1705 ( رجل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الشَّرَكُ : حبالة الصائد ، وكذلك ما ينصب للطير. واحدتها : شَرَكة ، وجمعها : شُرُك. وهي قليلة نادرة. راجع : </w:t>
      </w:r>
      <w:r w:rsidR="00992664" w:rsidRPr="0012008A">
        <w:rPr>
          <w:rStyle w:val="libFootnoteBoldChar"/>
          <w:rtl/>
        </w:rPr>
        <w:t>الصحاح</w:t>
      </w:r>
      <w:r w:rsidR="00992664" w:rsidRPr="00020424">
        <w:rPr>
          <w:rtl/>
        </w:rPr>
        <w:t xml:space="preserve"> ، ج 4 ، ص 1595 ( شرك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بخ » : « وأحداثه</w:t>
      </w:r>
      <w:r w:rsidR="00992664">
        <w:rPr>
          <w:rtl/>
        </w:rPr>
        <w:t xml:space="preserve"> ».</w:t>
      </w:r>
      <w:r w:rsidR="00992664" w:rsidRPr="00020424">
        <w:rPr>
          <w:rtl/>
        </w:rPr>
        <w:t xml:space="preserve"> وفي حاشية « ظ » </w:t>
      </w:r>
      <w:r w:rsidR="00992664" w:rsidRPr="00EB1FD9">
        <w:rPr>
          <w:rStyle w:val="libFootnoteBoldChar"/>
          <w:rtl/>
        </w:rPr>
        <w:t>والوسائل</w:t>
      </w:r>
      <w:r w:rsidR="00992664" w:rsidRPr="00020424">
        <w:rPr>
          <w:rtl/>
        </w:rPr>
        <w:t xml:space="preserve"> : « وإخوانه</w:t>
      </w:r>
      <w:r w:rsidR="00992664">
        <w:rPr>
          <w:rtl/>
        </w:rPr>
        <w:t xml:space="preserve"> ».</w:t>
      </w:r>
      <w:r w:rsidR="00992664" w:rsidRPr="00020424">
        <w:rPr>
          <w:rtl/>
        </w:rPr>
        <w:t xml:space="preserve"> وفي حاشية « بث » : « وأحزابه</w:t>
      </w:r>
      <w:r w:rsidR="00992664">
        <w:rPr>
          <w:rtl/>
        </w:rPr>
        <w:t xml:space="preserve"> ».</w:t>
      </w:r>
      <w:r w:rsidR="00992664" w:rsidRPr="00020424">
        <w:rPr>
          <w:rtl/>
        </w:rPr>
        <w:t xml:space="preserve"> والأخدان : جمع الخِدْن ، وهو الصديق. وقيل : هو الصديق في السرّ. راجع : </w:t>
      </w:r>
      <w:r w:rsidR="00992664" w:rsidRPr="0012008A">
        <w:rPr>
          <w:rStyle w:val="libFootnoteBoldChar"/>
          <w:rtl/>
        </w:rPr>
        <w:t>الصحاح</w:t>
      </w:r>
      <w:r w:rsidR="00992664" w:rsidRPr="00020424">
        <w:rPr>
          <w:rtl/>
        </w:rPr>
        <w:t xml:space="preserve"> ، ج 5 ، ص 2107 ؛ </w:t>
      </w:r>
      <w:r w:rsidR="00992664" w:rsidRPr="00A722B1">
        <w:rPr>
          <w:rStyle w:val="libFootnoteBoldChar"/>
          <w:rtl/>
        </w:rPr>
        <w:t>المصباح المنير</w:t>
      </w:r>
      <w:r w:rsidR="00992664" w:rsidRPr="00020424">
        <w:rPr>
          <w:rtl/>
        </w:rPr>
        <w:t xml:space="preserve"> ، ص 165 ( خدن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صلّ على محمّد وآل محمّد </w:t>
      </w:r>
      <w:r w:rsidR="00992664">
        <w:rPr>
          <w:rtl/>
        </w:rPr>
        <w:t>و ».</w:t>
      </w:r>
    </w:p>
    <w:tbl>
      <w:tblPr>
        <w:tblStyle w:val="TableGrid"/>
        <w:bidiVisual/>
        <w:tblW w:w="0" w:type="auto"/>
        <w:tblLook w:val="04A0" w:firstRow="1" w:lastRow="0" w:firstColumn="1" w:lastColumn="0" w:noHBand="0" w:noVBand="1"/>
      </w:tblPr>
      <w:tblGrid>
        <w:gridCol w:w="4006"/>
        <w:gridCol w:w="4006"/>
      </w:tblGrid>
      <w:tr w:rsidR="009D639A" w:rsidTr="009D639A">
        <w:tc>
          <w:tcPr>
            <w:tcW w:w="4006" w:type="dxa"/>
          </w:tcPr>
          <w:p w:rsidR="009D639A" w:rsidRDefault="009D639A" w:rsidP="00992664">
            <w:pPr>
              <w:pStyle w:val="libFootnote0"/>
              <w:rPr>
                <w:rtl/>
              </w:rPr>
            </w:pPr>
            <w:r>
              <w:rPr>
                <w:rtl/>
              </w:rPr>
              <w:t xml:space="preserve">(5). </w:t>
            </w:r>
            <w:r w:rsidRPr="00020424">
              <w:rPr>
                <w:rtl/>
              </w:rPr>
              <w:t>في « بس » وحاشية « بث » : « الأجل</w:t>
            </w:r>
            <w:r>
              <w:rPr>
                <w:rtl/>
              </w:rPr>
              <w:t xml:space="preserve"> ».</w:t>
            </w:r>
          </w:p>
        </w:tc>
        <w:tc>
          <w:tcPr>
            <w:tcW w:w="4006" w:type="dxa"/>
          </w:tcPr>
          <w:p w:rsidR="009D639A" w:rsidRDefault="009D639A" w:rsidP="00992664">
            <w:pPr>
              <w:pStyle w:val="libFootnote0"/>
              <w:rPr>
                <w:rtl/>
              </w:rPr>
            </w:pPr>
            <w:r>
              <w:rPr>
                <w:rtl/>
              </w:rPr>
              <w:t xml:space="preserve">(6). </w:t>
            </w:r>
            <w:r w:rsidRPr="00020424">
              <w:rPr>
                <w:rtl/>
              </w:rPr>
              <w:t xml:space="preserve">في « بث » : « فيه </w:t>
            </w:r>
            <w:r>
              <w:rPr>
                <w:rtl/>
              </w:rPr>
              <w:t>و »</w:t>
            </w:r>
            <w:r w:rsidRPr="00020424">
              <w:rPr>
                <w:rtl/>
              </w:rPr>
              <w:t xml:space="preserve"> بدل « في</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وحاشية « ظ » </w:t>
      </w:r>
      <w:r w:rsidR="00992664" w:rsidRPr="00515444">
        <w:rPr>
          <w:rStyle w:val="libFootnoteBoldChar"/>
          <w:rtl/>
        </w:rPr>
        <w:t>والتهذيب</w:t>
      </w:r>
      <w:r w:rsidR="00992664" w:rsidRPr="00020424">
        <w:rPr>
          <w:rtl/>
        </w:rPr>
        <w:t xml:space="preserve"> : + « عنّي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بك » : « وإحساناً</w:t>
      </w:r>
      <w:r w:rsidR="00992664">
        <w:rPr>
          <w:rtl/>
        </w:rPr>
        <w:t xml:space="preserve"> ».</w:t>
      </w:r>
      <w:r w:rsidR="00992664" w:rsidRPr="00020424">
        <w:rPr>
          <w:rtl/>
        </w:rPr>
        <w:t xml:space="preserve"> وقوله : « احتساباً » ، أي طلباً لوجه الله وثوابه ، من الحسب ، كالاعتداد من العدّ ، ويقال لمن ينوي بعمله وجه الله : احتسبه ؛ لأنّ له حينئذٍ أن يعتدّ عمله ، فجُعل في حال مباشرة الفعل كأنّه معتدّ به. راجع : </w:t>
      </w:r>
      <w:r w:rsidR="00992664" w:rsidRPr="0012008A">
        <w:rPr>
          <w:rStyle w:val="libFootnoteBoldChar"/>
          <w:rtl/>
        </w:rPr>
        <w:t>النهاية</w:t>
      </w:r>
      <w:r w:rsidR="00992664" w:rsidRPr="00020424">
        <w:rPr>
          <w:rtl/>
        </w:rPr>
        <w:t xml:space="preserve"> ، ج 1 ، ص 382 ؛ </w:t>
      </w:r>
      <w:r w:rsidR="00992664" w:rsidRPr="00A722B1">
        <w:rPr>
          <w:rStyle w:val="libFootnoteBoldChar"/>
          <w:rtl/>
        </w:rPr>
        <w:t>المصباح المنير</w:t>
      </w:r>
      <w:r w:rsidR="00992664" w:rsidRPr="00020424">
        <w:rPr>
          <w:rtl/>
        </w:rPr>
        <w:t xml:space="preserve"> ، ص 135 ( حسب )</w:t>
      </w:r>
      <w:r w:rsidR="00992664">
        <w:rPr>
          <w:rtl/>
        </w:rPr>
        <w:t>.</w:t>
      </w:r>
    </w:p>
    <w:tbl>
      <w:tblPr>
        <w:tblStyle w:val="TableGrid"/>
        <w:bidiVisual/>
        <w:tblW w:w="0" w:type="auto"/>
        <w:tblLook w:val="04A0" w:firstRow="1" w:lastRow="0" w:firstColumn="1" w:lastColumn="0" w:noHBand="0" w:noVBand="1"/>
      </w:tblPr>
      <w:tblGrid>
        <w:gridCol w:w="4006"/>
        <w:gridCol w:w="4006"/>
      </w:tblGrid>
      <w:tr w:rsidR="00C03127" w:rsidTr="00C03127">
        <w:tc>
          <w:tcPr>
            <w:tcW w:w="4006" w:type="dxa"/>
          </w:tcPr>
          <w:p w:rsidR="00C03127" w:rsidRDefault="00C03127" w:rsidP="00992664">
            <w:pPr>
              <w:pStyle w:val="libFootnote0"/>
              <w:rPr>
                <w:rtl/>
              </w:rPr>
            </w:pPr>
            <w:r>
              <w:rPr>
                <w:rtl/>
              </w:rPr>
              <w:t xml:space="preserve">(9). </w:t>
            </w:r>
            <w:r w:rsidRPr="00020424">
              <w:rPr>
                <w:rtl/>
              </w:rPr>
              <w:t xml:space="preserve">في « بث ، بح ، بخ ، بس » </w:t>
            </w:r>
            <w:r w:rsidRPr="00515444">
              <w:rPr>
                <w:rStyle w:val="libFootnoteBoldChar"/>
                <w:rtl/>
              </w:rPr>
              <w:t>والتهذيب</w:t>
            </w:r>
            <w:r>
              <w:rPr>
                <w:rtl/>
              </w:rPr>
              <w:t>:«</w:t>
            </w:r>
            <w:r w:rsidRPr="00020424">
              <w:rPr>
                <w:rtl/>
              </w:rPr>
              <w:t>منّي</w:t>
            </w:r>
            <w:r>
              <w:rPr>
                <w:rtl/>
              </w:rPr>
              <w:t>».</w:t>
            </w:r>
          </w:p>
        </w:tc>
        <w:tc>
          <w:tcPr>
            <w:tcW w:w="4006" w:type="dxa"/>
          </w:tcPr>
          <w:p w:rsidR="00C03127" w:rsidRDefault="00C03127" w:rsidP="00992664">
            <w:pPr>
              <w:pStyle w:val="libFootnote0"/>
              <w:rPr>
                <w:rtl/>
              </w:rPr>
            </w:pPr>
            <w:r>
              <w:rPr>
                <w:rtl/>
              </w:rPr>
              <w:t xml:space="preserve">(10). </w:t>
            </w:r>
            <w:r w:rsidRPr="00020424">
              <w:rPr>
                <w:rtl/>
              </w:rPr>
              <w:t xml:space="preserve">في </w:t>
            </w:r>
            <w:r w:rsidRPr="0012008A">
              <w:rPr>
                <w:rStyle w:val="libFootnoteBoldChar"/>
                <w:rtl/>
              </w:rPr>
              <w:t>التهذيب</w:t>
            </w:r>
            <w:r w:rsidR="00795109">
              <w:rPr>
                <w:rtl/>
              </w:rPr>
              <w:t>: +«</w:t>
            </w:r>
            <w:r w:rsidRPr="00020424">
              <w:rPr>
                <w:rtl/>
              </w:rPr>
              <w:t xml:space="preserve">صلّ على محمّد وآل محمّد </w:t>
            </w:r>
            <w:r>
              <w:rPr>
                <w:rtl/>
              </w:rPr>
              <w:t>و ».</w:t>
            </w:r>
          </w:p>
        </w:tc>
      </w:tr>
      <w:tr w:rsidR="00C03127" w:rsidTr="00C03127">
        <w:tc>
          <w:tcPr>
            <w:tcW w:w="4006" w:type="dxa"/>
          </w:tcPr>
          <w:p w:rsidR="00C03127" w:rsidRDefault="00795109" w:rsidP="00992664">
            <w:pPr>
              <w:pStyle w:val="libFootnote0"/>
              <w:rPr>
                <w:rtl/>
              </w:rPr>
            </w:pPr>
            <w:r>
              <w:rPr>
                <w:rtl/>
              </w:rPr>
              <w:t xml:space="preserve">(11). </w:t>
            </w:r>
            <w:r w:rsidRPr="00020424">
              <w:rPr>
                <w:rtl/>
              </w:rPr>
              <w:t>في « ظ ، ى » : « ارزقنا</w:t>
            </w:r>
            <w:r>
              <w:rPr>
                <w:rtl/>
              </w:rPr>
              <w:t xml:space="preserve"> ».</w:t>
            </w:r>
          </w:p>
        </w:tc>
        <w:tc>
          <w:tcPr>
            <w:tcW w:w="4006" w:type="dxa"/>
          </w:tcPr>
          <w:p w:rsidR="00C03127" w:rsidRDefault="00795109" w:rsidP="00992664">
            <w:pPr>
              <w:pStyle w:val="libFootnote0"/>
              <w:rPr>
                <w:rtl/>
              </w:rPr>
            </w:pPr>
            <w:r>
              <w:rPr>
                <w:rtl/>
              </w:rPr>
              <w:t xml:space="preserve">(12). </w:t>
            </w:r>
            <w:r w:rsidRPr="00020424">
              <w:rPr>
                <w:rtl/>
              </w:rPr>
              <w:t xml:space="preserve">في </w:t>
            </w:r>
            <w:r w:rsidRPr="0012008A">
              <w:rPr>
                <w:rStyle w:val="libFootnoteBoldChar"/>
                <w:rtl/>
              </w:rPr>
              <w:t>التهذيب</w:t>
            </w:r>
            <w:r w:rsidR="00000A2F">
              <w:rPr>
                <w:rtl/>
              </w:rPr>
              <w:t>:«الحجّ والعمرة»</w:t>
            </w:r>
            <w:r w:rsidRPr="00020424">
              <w:rPr>
                <w:rtl/>
              </w:rPr>
              <w:t xml:space="preserve">بدل « فيه الجدّ </w:t>
            </w:r>
            <w:r>
              <w:rPr>
                <w:rtl/>
              </w:rPr>
              <w:t>و ».</w:t>
            </w:r>
          </w:p>
        </w:tc>
      </w:tr>
      <w:tr w:rsidR="00C03127" w:rsidTr="00C03127">
        <w:tc>
          <w:tcPr>
            <w:tcW w:w="4006" w:type="dxa"/>
          </w:tcPr>
          <w:p w:rsidR="00C03127" w:rsidRDefault="00000A2F" w:rsidP="00992664">
            <w:pPr>
              <w:pStyle w:val="libFootnote0"/>
              <w:rPr>
                <w:rtl/>
              </w:rPr>
            </w:pPr>
            <w:r>
              <w:rPr>
                <w:rtl/>
              </w:rPr>
              <w:t xml:space="preserve">(13). </w:t>
            </w:r>
            <w:r w:rsidRPr="00020424">
              <w:rPr>
                <w:rtl/>
              </w:rPr>
              <w:t xml:space="preserve">في </w:t>
            </w:r>
            <w:r w:rsidRPr="0012008A">
              <w:rPr>
                <w:rStyle w:val="libFootnoteBoldChar"/>
                <w:rtl/>
              </w:rPr>
              <w:t>التهذيب</w:t>
            </w:r>
            <w:r w:rsidRPr="00020424">
              <w:rPr>
                <w:rtl/>
              </w:rPr>
              <w:t xml:space="preserve"> : + « والقربة والخير المقبول</w:t>
            </w:r>
            <w:r>
              <w:rPr>
                <w:rtl/>
              </w:rPr>
              <w:t xml:space="preserve"> ».</w:t>
            </w:r>
          </w:p>
        </w:tc>
        <w:tc>
          <w:tcPr>
            <w:tcW w:w="4006" w:type="dxa"/>
          </w:tcPr>
          <w:p w:rsidR="00C03127" w:rsidRDefault="00000A2F" w:rsidP="00992664">
            <w:pPr>
              <w:pStyle w:val="libFootnote0"/>
              <w:rPr>
                <w:rtl/>
              </w:rPr>
            </w:pPr>
            <w:r>
              <w:rPr>
                <w:rtl/>
              </w:rPr>
              <w:t xml:space="preserve">(14). </w:t>
            </w:r>
            <w:r w:rsidRPr="00020424">
              <w:rPr>
                <w:rtl/>
              </w:rPr>
              <w:t>في « جن » :</w:t>
            </w:r>
            <w:r>
              <w:rPr>
                <w:rtl/>
              </w:rPr>
              <w:t xml:space="preserve"> - </w:t>
            </w:r>
            <w:r w:rsidRPr="00020424">
              <w:rPr>
                <w:rtl/>
              </w:rPr>
              <w:t>« والرهبة</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والخشوع</w:t>
      </w:r>
      <w:r w:rsidR="00992664">
        <w:rPr>
          <w:rtl/>
        </w:rPr>
        <w:t xml:space="preserve"> ».</w:t>
      </w:r>
      <w:r w:rsidR="00992664" w:rsidRPr="00020424">
        <w:rPr>
          <w:rtl/>
        </w:rPr>
        <w:t xml:space="preserve"> وفيه : « الجزع إلى الله محمود كالطمع والرغبة والرهبة والخشوع ، والكلّ إلى غيره مذموم</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والتضرّع والخشوع والرقّة والنيّة الصادقة » بدل « والجزع والرقّة</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وما يرضيك ، إلى قوله : والرقّة ، ليس في بعض النسخ ، بل فيه هكذا : ومرفوع السعي ومقبول العمل ، إلى آخره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لَكَ ، وَالتَّوَكُّلَ عَلَيْكَ ، وَالثِّقَةَ بِكَ ، وَالْوَرَعَ عَنْ مَحَارِمِكَ بِصَالِحِ الْقَوْلِ </w:t>
      </w:r>
      <w:r w:rsidRPr="00A91B96">
        <w:rPr>
          <w:rStyle w:val="libFootnotenumChar"/>
          <w:rtl/>
        </w:rPr>
        <w:t>(1)</w:t>
      </w:r>
      <w:r w:rsidRPr="00020424">
        <w:rPr>
          <w:rtl/>
          <w:lang w:bidi="fa-IR"/>
        </w:rPr>
        <w:t xml:space="preserve"> ، وَمَقْبُولِ السَّعْيِ ، وَمَرْفُوعِ الْعَمَلِ </w:t>
      </w:r>
      <w:r w:rsidRPr="00A91B96">
        <w:rPr>
          <w:rStyle w:val="libFootnotenumChar"/>
          <w:rtl/>
        </w:rPr>
        <w:t>(2)</w:t>
      </w:r>
      <w:r w:rsidRPr="00020424">
        <w:rPr>
          <w:rtl/>
          <w:lang w:bidi="fa-IR"/>
        </w:rPr>
        <w:t xml:space="preserve"> ، وَمُسْتَجَابِ الدُّعَاءِ </w:t>
      </w:r>
      <w:r w:rsidRPr="00A91B96">
        <w:rPr>
          <w:rStyle w:val="libFootnotenumChar"/>
          <w:rtl/>
        </w:rPr>
        <w:t>(3)</w:t>
      </w:r>
      <w:r w:rsidRPr="00020424">
        <w:rPr>
          <w:rtl/>
          <w:lang w:bidi="fa-IR"/>
        </w:rPr>
        <w:t xml:space="preserve"> ، وَلَاتَحُلْ بَيْنِي وَبَيْنَ شَيْ‌ءٍ مِنْ ذلِكَ بِعَرَضٍ وَلَا </w:t>
      </w:r>
      <w:r w:rsidRPr="00A91B96">
        <w:rPr>
          <w:rStyle w:val="libFootnotenumChar"/>
          <w:rtl/>
        </w:rPr>
        <w:t>(4)</w:t>
      </w:r>
      <w:r w:rsidRPr="00020424">
        <w:rPr>
          <w:rtl/>
          <w:lang w:bidi="fa-IR"/>
        </w:rPr>
        <w:t xml:space="preserve"> مَرَضٍ ، وَلَاهَمٍّ </w:t>
      </w:r>
      <w:r w:rsidRPr="00A91B96">
        <w:rPr>
          <w:rStyle w:val="libFootnotenumChar"/>
          <w:rtl/>
        </w:rPr>
        <w:t>(5)</w:t>
      </w:r>
      <w:r w:rsidRPr="00020424">
        <w:rPr>
          <w:rtl/>
          <w:lang w:bidi="fa-IR"/>
        </w:rPr>
        <w:t xml:space="preserve"> وَلَاغَمٍّ </w:t>
      </w:r>
      <w:r w:rsidRPr="00A91B96">
        <w:rPr>
          <w:rStyle w:val="libFootnotenumChar"/>
          <w:rtl/>
        </w:rPr>
        <w:t>(6)</w:t>
      </w:r>
      <w:r w:rsidRPr="00020424">
        <w:rPr>
          <w:rtl/>
          <w:lang w:bidi="fa-IR"/>
        </w:rPr>
        <w:t xml:space="preserve"> ، بِرَحْمَتِكَ يَا أَرْحَمَ الرَّاحِمِينَ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54209">
        <w:rPr>
          <w:rtl/>
        </w:rPr>
        <w:t>6290</w:t>
      </w:r>
      <w:r w:rsidRPr="001155DE">
        <w:rPr>
          <w:rStyle w:val="libBold2Char"/>
          <w:rtl/>
        </w:rPr>
        <w:t xml:space="preserve"> / 9.</w:t>
      </w:r>
      <w:r w:rsidRPr="00020424">
        <w:rPr>
          <w:rtl/>
          <w:lang w:bidi="fa-IR"/>
        </w:rPr>
        <w:t xml:space="preserve"> عِدَّةٌ مِنْ أَصْحَابِنَا ، عَنْ سَهْلِ بْنِ زِيَادٍ ، عَنْ يَعْقُوبَ بْنِ يَزِيدَ ، عَنْ مُحَمَّدِ بْنِ إِبْرَاهِيمَ النَّوْفَلِيِّ ، عَنِ الْحُسَيْنِ بْنِ الْمُخْتَارِ رَفَعَهُ ، قَالَ :</w:t>
      </w:r>
    </w:p>
    <w:p w:rsidR="00992664" w:rsidRPr="00020424" w:rsidRDefault="00992664" w:rsidP="00992664">
      <w:pPr>
        <w:pStyle w:val="libNormal"/>
        <w:rPr>
          <w:rtl/>
          <w:lang w:bidi="fa-IR"/>
        </w:rPr>
      </w:pPr>
      <w:r w:rsidRPr="00020424">
        <w:rPr>
          <w:rtl/>
          <w:lang w:bidi="fa-IR"/>
        </w:rPr>
        <w:t xml:space="preserve">قَالَ أَمِيرُ الْمُؤْمِنِينَ </w:t>
      </w:r>
      <w:r w:rsidRPr="00005A81">
        <w:rPr>
          <w:rStyle w:val="libAlaemChar"/>
          <w:rtl/>
        </w:rPr>
        <w:t>عليه‌السلام</w:t>
      </w:r>
      <w:r w:rsidRPr="00020424">
        <w:rPr>
          <w:rtl/>
          <w:lang w:bidi="fa-IR"/>
        </w:rPr>
        <w:t xml:space="preserve"> : « إِذَا رَأَيْتَ الْهِلَالَ فَلَا تَبْرَحْ </w:t>
      </w:r>
      <w:r w:rsidRPr="00A91B96">
        <w:rPr>
          <w:rStyle w:val="libFootnotenumChar"/>
          <w:rtl/>
        </w:rPr>
        <w:t>(8)</w:t>
      </w:r>
      <w:r w:rsidRPr="00020424">
        <w:rPr>
          <w:rtl/>
          <w:lang w:bidi="fa-IR"/>
        </w:rPr>
        <w:t xml:space="preserve"> ، وَقُلِ : الل</w:t>
      </w:r>
      <w:r w:rsidR="0067334E">
        <w:rPr>
          <w:rFonts w:hint="cs"/>
          <w:rtl/>
          <w:lang w:bidi="fa-IR"/>
        </w:rPr>
        <w:t>ّ</w:t>
      </w:r>
      <w:r w:rsidR="0067334E">
        <w:rPr>
          <w:rtl/>
          <w:lang w:bidi="fa-IR"/>
        </w:rPr>
        <w:t>هُمَّ إِنِّي أَسْأَ</w:t>
      </w:r>
      <w:r w:rsidRPr="00020424">
        <w:rPr>
          <w:rtl/>
          <w:lang w:bidi="fa-IR"/>
        </w:rPr>
        <w:t xml:space="preserve">لُكَ خَيْرَ هذَا الشَّهْرِ وَفَتْحَهُ </w:t>
      </w:r>
      <w:r w:rsidRPr="00A91B96">
        <w:rPr>
          <w:rStyle w:val="libFootnotenumChar"/>
          <w:rtl/>
        </w:rPr>
        <w:t>(9)</w:t>
      </w:r>
      <w:r w:rsidRPr="00020424">
        <w:rPr>
          <w:rtl/>
          <w:lang w:bidi="fa-IR"/>
        </w:rPr>
        <w:t xml:space="preserve"> وَنُورَهُ وَنَصْرَهُ وَبَرَكَتَهُ وَطَهُورَهُ </w:t>
      </w:r>
      <w:r w:rsidRPr="00A91B96">
        <w:rPr>
          <w:rStyle w:val="libFootnotenumChar"/>
          <w:rtl/>
        </w:rPr>
        <w:t>(10)</w:t>
      </w:r>
      <w:r w:rsidRPr="00020424">
        <w:rPr>
          <w:rtl/>
          <w:lang w:bidi="fa-IR"/>
        </w:rPr>
        <w:t xml:space="preserve"> وَرِزْقَهُ ، و</w:t>
      </w:r>
      <w:r w:rsidR="0067334E">
        <w:rPr>
          <w:rtl/>
          <w:lang w:bidi="fa-IR"/>
        </w:rPr>
        <w:t>َأَسْأَ</w:t>
      </w:r>
      <w:r w:rsidRPr="00020424">
        <w:rPr>
          <w:rtl/>
          <w:lang w:bidi="fa-IR"/>
        </w:rPr>
        <w:t xml:space="preserve">لُكَ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بك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 مع صالح القول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بصالح القول ، أي مع صالح القول ، كمايأتي في الدعاء الكبير وكما يوجد في نسخ </w:t>
      </w:r>
      <w:r w:rsidR="00992664" w:rsidRPr="0012008A">
        <w:rPr>
          <w:rStyle w:val="libFootnoteBoldChar"/>
          <w:rtl/>
        </w:rPr>
        <w:t>الفقيه</w:t>
      </w:r>
      <w:r w:rsidR="00992664" w:rsidRPr="00020424">
        <w:rPr>
          <w:rtl/>
        </w:rPr>
        <w:t xml:space="preserve"> هنا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بصالح القول ، أي مع صالح القول ، كما في </w:t>
      </w:r>
      <w:r w:rsidR="00992664" w:rsidRPr="0012008A">
        <w:rPr>
          <w:rStyle w:val="libFootnoteBoldChar"/>
          <w:rtl/>
        </w:rPr>
        <w:t>التهذيب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بف » </w:t>
      </w:r>
      <w:r w:rsidR="00992664" w:rsidRPr="00FD6221">
        <w:rPr>
          <w:rStyle w:val="libFootnoteBoldChar"/>
          <w:rtl/>
        </w:rPr>
        <w:t>والفقيه</w:t>
      </w:r>
      <w:r w:rsidR="00992664" w:rsidRPr="00020424">
        <w:rPr>
          <w:rtl/>
        </w:rPr>
        <w:t xml:space="preserve"> : + « وما يرضيك فيه ، وأعطني صبراً واحتساباً وإيماناً ويقيناً ، ثمّ تقبّل ذلك منّي‌بالأضعاف الكثيرة والأجر العظيم. الل</w:t>
      </w:r>
      <w:r w:rsidR="0067334E">
        <w:rPr>
          <w:rFonts w:hint="cs"/>
          <w:rtl/>
        </w:rPr>
        <w:t>ّ</w:t>
      </w:r>
      <w:r w:rsidR="00992664" w:rsidRPr="00020424">
        <w:rPr>
          <w:rtl/>
        </w:rPr>
        <w:t>همّ ارزقني فيه الجدّ والاجتهاد والقوّة والنشاط والإنابة والتوبة والرغبة والرهبة والخشوع والرقّة ومرفوع العمل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وحاشية « بث » </w:t>
      </w:r>
      <w:r w:rsidR="00992664" w:rsidRPr="00515444">
        <w:rPr>
          <w:rStyle w:val="libFootnoteBoldChar"/>
          <w:rtl/>
        </w:rPr>
        <w:t>والتهذيب</w:t>
      </w:r>
      <w:r w:rsidR="00992664" w:rsidRPr="00020424">
        <w:rPr>
          <w:rtl/>
        </w:rPr>
        <w:t xml:space="preserve"> : « الدعوة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أو » بدل « ولا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بخ ، بر ، بس ، بف ، بك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ولا 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ى ، بث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ولا همّ ولا غمّ</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ولا غمّ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104 ، ح 1849 ، مرسلاً عن عليّ بن الحسين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3 ، ص 111 ، ذيل ح 266 ، من دون الإسناد إلى المعصوم </w:t>
      </w:r>
      <w:r w:rsidR="00992664" w:rsidRPr="00D64ADA">
        <w:rPr>
          <w:rStyle w:val="libFootnoteAlaemChar"/>
          <w:rtl/>
        </w:rPr>
        <w:t>عليه‌السلام</w:t>
      </w:r>
      <w:r w:rsidR="00992664" w:rsidRPr="00020424">
        <w:rPr>
          <w:rtl/>
        </w:rPr>
        <w:t xml:space="preserve"> ، وفيهما مع اختلاف يسير </w:t>
      </w:r>
      <w:r w:rsidR="00724398">
        <w:rPr>
          <w:rFonts w:hint="cs"/>
          <w:rtl/>
        </w:rPr>
        <w:t>.</w:t>
      </w:r>
      <w:r w:rsidR="00992664" w:rsidRPr="0012008A">
        <w:rPr>
          <w:rStyle w:val="libFootnoteBoldChar"/>
          <w:rtl/>
        </w:rPr>
        <w:t>الوافي</w:t>
      </w:r>
      <w:r w:rsidR="00992664" w:rsidRPr="00020424">
        <w:rPr>
          <w:rtl/>
        </w:rPr>
        <w:t xml:space="preserve"> ، ج 11 ، ص 403 ، ح 11087 ؛ </w:t>
      </w:r>
      <w:r w:rsidR="00992664" w:rsidRPr="0012008A">
        <w:rPr>
          <w:rStyle w:val="libFootnoteBoldChar"/>
          <w:rtl/>
        </w:rPr>
        <w:t>الوسائل</w:t>
      </w:r>
      <w:r w:rsidR="00992664" w:rsidRPr="00020424">
        <w:rPr>
          <w:rtl/>
        </w:rPr>
        <w:t xml:space="preserve"> ، ج 10 ، ص 326 ، ح 13520.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بف » وحاشية « بر » : « فلا تعرج</w:t>
      </w:r>
      <w:r w:rsidR="00992664">
        <w:rPr>
          <w:rtl/>
        </w:rPr>
        <w:t xml:space="preserve"> ».</w:t>
      </w:r>
      <w:r w:rsidR="00992664" w:rsidRPr="00020424">
        <w:rPr>
          <w:rtl/>
        </w:rPr>
        <w:t xml:space="preserve"> وقوله </w:t>
      </w:r>
      <w:r w:rsidR="00992664" w:rsidRPr="00D64ADA">
        <w:rPr>
          <w:rStyle w:val="libFootnoteAlaemChar"/>
          <w:rtl/>
        </w:rPr>
        <w:t>عليه‌السلام</w:t>
      </w:r>
      <w:r w:rsidR="00992664" w:rsidRPr="00020424">
        <w:rPr>
          <w:rtl/>
        </w:rPr>
        <w:t xml:space="preserve"> : « فلا تبرح » أي لا تزل عن مكانك والزمه ولا تتحرّك ، من‌قولهم : برح مكانه ، أي زال عنه وصار في البَراح ، وهو المتّسع من الأرض لا زرع فيه ولا شجر. راجع : </w:t>
      </w:r>
      <w:r w:rsidR="00992664" w:rsidRPr="0012008A">
        <w:rPr>
          <w:rStyle w:val="libFootnoteBoldChar"/>
          <w:rtl/>
        </w:rPr>
        <w:t>الصحاح</w:t>
      </w:r>
      <w:r w:rsidR="00992664" w:rsidRPr="00020424">
        <w:rPr>
          <w:rtl/>
        </w:rPr>
        <w:t xml:space="preserve"> ، ج 1 ، ص 355 ؛ </w:t>
      </w:r>
      <w:r w:rsidR="00992664" w:rsidRPr="00A722B1">
        <w:rPr>
          <w:rStyle w:val="libFootnoteBoldChar"/>
          <w:rtl/>
        </w:rPr>
        <w:t>المصباح المنير</w:t>
      </w:r>
      <w:r w:rsidR="00992664" w:rsidRPr="00020424">
        <w:rPr>
          <w:rtl/>
        </w:rPr>
        <w:t xml:space="preserve"> ، ص 42 ( برح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وفتحه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بك » : « وطهره</w:t>
      </w:r>
      <w:r w:rsidR="00992664">
        <w:rPr>
          <w:rtl/>
        </w:rPr>
        <w:t xml:space="preserve"> ».</w:t>
      </w:r>
      <w:r w:rsidR="00992664" w:rsidRPr="00020424">
        <w:rPr>
          <w:rtl/>
        </w:rPr>
        <w:t xml:space="preserve"> وفي « بس » وحاشية « بث » : « وظهوره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بس » : « أسألك » بدون الواو.</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خَيْرَ مَا فِيهِ ، وَخَيْرَ مَا بَعْدَهُ ، وَأَعُوذُ بِكَ مِنْ شَرِّ مَا فِيهِ ، وَشَرِّ مَا بَعْدَهُ ، الل</w:t>
      </w:r>
      <w:r w:rsidR="00724398">
        <w:rPr>
          <w:rFonts w:hint="cs"/>
          <w:rtl/>
          <w:lang w:bidi="fa-IR"/>
        </w:rPr>
        <w:t>ّ</w:t>
      </w:r>
      <w:r w:rsidRPr="00020424">
        <w:rPr>
          <w:rtl/>
          <w:lang w:bidi="fa-IR"/>
        </w:rPr>
        <w:t xml:space="preserve">هُمَّ أَدْخِلْهُ عَلَيْنَا بِالْأَمْنِ وَالْإِيمَانِ ، وَالسَّلَامَةِ وَالْإِسْلَامِ ، وَالْبَرَكَةِ وَالتَّوْفِيقِ </w:t>
      </w:r>
      <w:r w:rsidRPr="00A91B96">
        <w:rPr>
          <w:rStyle w:val="libFootnotenumChar"/>
          <w:rtl/>
        </w:rPr>
        <w:t>(1)</w:t>
      </w:r>
      <w:r w:rsidRPr="00020424">
        <w:rPr>
          <w:rtl/>
          <w:lang w:bidi="fa-IR"/>
        </w:rPr>
        <w:t xml:space="preserve"> لِمَا تُحِبُّ وَتَرْضى</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314" w:name="_Toc345172820"/>
      <w:bookmarkStart w:id="315" w:name="_Toc464562638"/>
      <w:bookmarkStart w:id="316" w:name="_Toc44599941"/>
      <w:r w:rsidRPr="00020424">
        <w:rPr>
          <w:rtl/>
          <w:lang w:bidi="fa-IR"/>
        </w:rPr>
        <w:t>6</w:t>
      </w:r>
      <w:r>
        <w:rPr>
          <w:rtl/>
          <w:lang w:bidi="fa-IR"/>
        </w:rPr>
        <w:t xml:space="preserve"> </w:t>
      </w:r>
      <w:r w:rsidR="009B673F">
        <w:rPr>
          <w:rtl/>
          <w:lang w:bidi="fa-IR"/>
        </w:rPr>
        <w:t>-</w:t>
      </w:r>
      <w:r>
        <w:rPr>
          <w:rtl/>
          <w:lang w:bidi="fa-IR"/>
        </w:rPr>
        <w:t xml:space="preserve"> </w:t>
      </w:r>
      <w:r w:rsidRPr="00020424">
        <w:rPr>
          <w:rtl/>
          <w:lang w:bidi="fa-IR"/>
        </w:rPr>
        <w:t>بَابُ الْأَهِلَّةِ وَالشَّهَادَةِ عَلَيْهَا‌</w:t>
      </w:r>
      <w:bookmarkEnd w:id="314"/>
      <w:bookmarkEnd w:id="315"/>
      <w:bookmarkEnd w:id="316"/>
    </w:p>
    <w:p w:rsidR="001A6B15" w:rsidRDefault="00992664" w:rsidP="001A6B15">
      <w:pPr>
        <w:pStyle w:val="libNormal"/>
        <w:rPr>
          <w:rtl/>
          <w:lang w:bidi="fa-IR"/>
        </w:rPr>
      </w:pPr>
      <w:r w:rsidRPr="00154209">
        <w:rPr>
          <w:rtl/>
        </w:rPr>
        <w:t>6291</w:t>
      </w:r>
      <w:r w:rsidRPr="001155DE">
        <w:rPr>
          <w:rStyle w:val="libBold2Char"/>
          <w:rtl/>
        </w:rPr>
        <w:t xml:space="preserve"> / 1.</w:t>
      </w:r>
      <w:r w:rsidRPr="00020424">
        <w:rPr>
          <w:rtl/>
          <w:lang w:bidi="fa-IR"/>
        </w:rPr>
        <w:t xml:space="preserve"> عَلِيُّ بْنُ إِبْرَاهِيمَ ، عَنْ أَبِيهِ ؛</w:t>
      </w:r>
    </w:p>
    <w:p w:rsidR="00992664" w:rsidRPr="00020424" w:rsidRDefault="001A6B15" w:rsidP="001A6B15">
      <w:pPr>
        <w:pStyle w:val="libNormal"/>
        <w:rPr>
          <w:rtl/>
          <w:lang w:bidi="fa-IR"/>
        </w:rPr>
      </w:pPr>
      <w:r>
        <w:rPr>
          <w:rFonts w:hint="cs"/>
          <w:rtl/>
          <w:lang w:bidi="fa-IR"/>
        </w:rPr>
        <w:t xml:space="preserve">              </w:t>
      </w:r>
      <w:r w:rsidR="00992664" w:rsidRPr="00020424">
        <w:rPr>
          <w:rtl/>
          <w:lang w:bidi="fa-IR"/>
        </w:rPr>
        <w:t xml:space="preserve">وَمُحَمَّدُ بْنُ يَحْيى ، عَنْ أَحْمَدَ بْنِ مُحَمَّدٍ جَمِيعاً ، عَنِ ابْنِ أَبِي عُمَيْرٍ ، عَنْ حَمَّادِ بْنِ عُثْمَانَ ، عَنِ الْحَلَبِيِّ </w:t>
      </w:r>
      <w:r w:rsidR="00992664" w:rsidRPr="00A91B96">
        <w:rPr>
          <w:rStyle w:val="libFootnotenumChar"/>
          <w:rtl/>
        </w:rPr>
        <w:t>(3)</w:t>
      </w:r>
      <w:r w:rsidR="00992664"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إِنَّهُ سُئِلَ عَنِ الْأَهِلَّةِ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فَقَالَ : « هِيَ أَهِلَّةُ الشُّهُورِ ، فَإِذَا رَأَيْتَ الْهِلَالَ فَصُمْ ، وَإِذَا </w:t>
      </w:r>
      <w:r w:rsidRPr="00A91B96">
        <w:rPr>
          <w:rStyle w:val="libFootnotenumChar"/>
          <w:rtl/>
        </w:rPr>
        <w:t>(5)</w:t>
      </w:r>
      <w:r w:rsidRPr="00020424">
        <w:rPr>
          <w:rtl/>
          <w:lang w:bidi="fa-IR"/>
        </w:rPr>
        <w:t xml:space="preserve"> رَأَيْتَهُ فَأَفْطِرْ</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E42744">
        <w:rPr>
          <w:rtl/>
        </w:rPr>
        <w:t>الوافي والفقيه والتهذيب</w:t>
      </w:r>
      <w:r w:rsidR="00992664" w:rsidRPr="00020424">
        <w:rPr>
          <w:rtl/>
        </w:rPr>
        <w:t xml:space="preserve"> : + « والتقوى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197 ، ح 564 ، معلّقاً عن الكليني. </w:t>
      </w:r>
      <w:r w:rsidR="00992664" w:rsidRPr="0012008A">
        <w:rPr>
          <w:rStyle w:val="libFootnoteBoldChar"/>
          <w:rtl/>
        </w:rPr>
        <w:t>الفقيه</w:t>
      </w:r>
      <w:r w:rsidR="00992664" w:rsidRPr="00020424">
        <w:rPr>
          <w:rtl/>
        </w:rPr>
        <w:t xml:space="preserve"> ، ج 2 ، ص 100 ، ح 1845 ، مرسلاً عن أميرالمؤمنين </w:t>
      </w:r>
      <w:r w:rsidR="00992664" w:rsidRPr="00D64ADA">
        <w:rPr>
          <w:rStyle w:val="libFootnoteAlaemChar"/>
          <w:rtl/>
        </w:rPr>
        <w:t>عليه‌السلام</w:t>
      </w:r>
      <w:r w:rsidR="00992664" w:rsidRPr="00020424">
        <w:rPr>
          <w:rtl/>
        </w:rPr>
        <w:t xml:space="preserve"> </w:t>
      </w:r>
      <w:r w:rsidR="0094193E">
        <w:rPr>
          <w:rFonts w:hint="cs"/>
          <w:rtl/>
        </w:rPr>
        <w:t>.</w:t>
      </w:r>
      <w:r w:rsidR="00992664" w:rsidRPr="0012008A">
        <w:rPr>
          <w:rStyle w:val="libFootnoteBoldChar"/>
          <w:rtl/>
        </w:rPr>
        <w:t>الوافي</w:t>
      </w:r>
      <w:r w:rsidR="00992664" w:rsidRPr="00020424">
        <w:rPr>
          <w:rtl/>
        </w:rPr>
        <w:t xml:space="preserve"> ، ج 11 ، ص 394 ، ح 11081 ؛ </w:t>
      </w:r>
      <w:r w:rsidR="00992664" w:rsidRPr="0012008A">
        <w:rPr>
          <w:rStyle w:val="libFootnoteBoldChar"/>
          <w:rtl/>
        </w:rPr>
        <w:t>الوسائل</w:t>
      </w:r>
      <w:r w:rsidR="00992664" w:rsidRPr="00020424">
        <w:rPr>
          <w:rtl/>
        </w:rPr>
        <w:t xml:space="preserve"> ، ج 10 ، ص 323 ، ح 13514.</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ص 161 : « عبدالله بن عليّ الحلبي » ، لكن في بعض نسخه المعتبرة : « عبيد الله بن عليّ الحلبي » ، وهو الصواب. وفي </w:t>
      </w:r>
      <w:r w:rsidR="00992664" w:rsidRPr="0012008A">
        <w:rPr>
          <w:rStyle w:val="libFootnoteBoldChar"/>
          <w:rtl/>
        </w:rPr>
        <w:t>المقنعة</w:t>
      </w:r>
      <w:r w:rsidR="00992664" w:rsidRPr="00020424">
        <w:rPr>
          <w:rtl/>
        </w:rPr>
        <w:t xml:space="preserve"> أيضاً : « عبيد الله بن عليّ الحلبي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228 : « لعلّه سئل عن تفسير الأهلّة المذكورة في قوله تعالى : </w:t>
      </w:r>
      <w:r w:rsidR="00992664" w:rsidRPr="0094193E">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يَسْئَلُونَكَ عَنِ الْأَهِلَّةِ </w:t>
      </w:r>
      <w:r w:rsidR="00992664" w:rsidRPr="0094193E">
        <w:rPr>
          <w:rStyle w:val="libFootnoteAlaemChar"/>
          <w:rtl/>
        </w:rPr>
        <w:t>)</w:t>
      </w:r>
      <w:r w:rsidR="00992664" w:rsidRPr="00020424">
        <w:rPr>
          <w:rtl/>
        </w:rPr>
        <w:t xml:space="preserve"> [ البقره </w:t>
      </w:r>
      <w:r w:rsidR="0094193E">
        <w:rPr>
          <w:rtl/>
        </w:rPr>
        <w:t>(2)</w:t>
      </w:r>
      <w:r w:rsidR="0014403D">
        <w:rPr>
          <w:rtl/>
        </w:rPr>
        <w:t xml:space="preserve"> </w:t>
      </w:r>
      <w:r w:rsidR="00992664" w:rsidRPr="00020424">
        <w:rPr>
          <w:rtl/>
        </w:rPr>
        <w:t>: 189 ] فالمراد أنّه لمّا أجاب الله تعالى بأنّها مواقيت للناس ، فإذا رأيت الهلال فصم ، فيصحّ التفريع ، وذكر الرؤية إمّا على المثال ، أو ا</w:t>
      </w:r>
      <w:r w:rsidR="00B90BFE">
        <w:rPr>
          <w:rFonts w:hint="cs"/>
          <w:rtl/>
        </w:rPr>
        <w:t>ُ</w:t>
      </w:r>
      <w:r w:rsidR="00992664" w:rsidRPr="00020424">
        <w:rPr>
          <w:rtl/>
        </w:rPr>
        <w:t>ريد بها العلم ، والله يعلم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 « فإذا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161 ، صدر ح 455 ، بسنده عن محمّد بن أبي عمير ، عن حمّاد بن عثمان. وفي </w:t>
      </w:r>
      <w:r w:rsidR="00992664" w:rsidRPr="0012008A">
        <w:rPr>
          <w:rStyle w:val="libFootnoteBoldChar"/>
          <w:rtl/>
        </w:rPr>
        <w:t>التهذيب</w:t>
      </w:r>
      <w:r w:rsidR="00992664" w:rsidRPr="00020424">
        <w:rPr>
          <w:rtl/>
        </w:rPr>
        <w:t xml:space="preserve"> ، ص 156 ، صدر ح 434 ؛ </w:t>
      </w:r>
      <w:r w:rsidR="00992664" w:rsidRPr="00FD6221">
        <w:rPr>
          <w:rStyle w:val="libFootnoteBoldChar"/>
          <w:rtl/>
        </w:rPr>
        <w:t>والاستبصار</w:t>
      </w:r>
      <w:r w:rsidR="00992664" w:rsidRPr="00020424">
        <w:rPr>
          <w:rtl/>
        </w:rPr>
        <w:t xml:space="preserve"> ، ج 2 ، ص 63 ، صدر ح 204 ، بسندهما عن الحلبيّ ،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155 ، صدر ح 430 ؛ وص 163 ، صدر ح 459 و460 ؛ </w:t>
      </w:r>
      <w:r w:rsidR="00992664" w:rsidRPr="00FD6221">
        <w:rPr>
          <w:rStyle w:val="libFootnoteBoldChar"/>
          <w:rtl/>
        </w:rPr>
        <w:t>والاستبصار</w:t>
      </w:r>
      <w:r w:rsidR="00992664" w:rsidRPr="00020424">
        <w:rPr>
          <w:rtl/>
        </w:rPr>
        <w:t xml:space="preserve"> ، ج 2 ، ص 63 ، صدر ح 200 ، بسند آخر. وفي </w:t>
      </w:r>
      <w:r w:rsidR="00992664" w:rsidRPr="0012008A">
        <w:rPr>
          <w:rStyle w:val="libFootnoteBoldChar"/>
          <w:rtl/>
        </w:rPr>
        <w:t>التهذيب</w:t>
      </w:r>
      <w:r w:rsidR="00992664" w:rsidRPr="00020424">
        <w:rPr>
          <w:rtl/>
        </w:rPr>
        <w:t xml:space="preserve"> ، ج 4 ، ص 164 ، ح 465 ، بسند آخر ، من قوله : « فإذا رأيت الهلال فصم</w:t>
      </w:r>
      <w:r w:rsidR="00992664">
        <w:rPr>
          <w:rtl/>
        </w:rPr>
        <w:t xml:space="preserve"> ».</w:t>
      </w:r>
      <w:r w:rsidR="00992664" w:rsidRPr="00020424">
        <w:rPr>
          <w:rtl/>
        </w:rPr>
        <w:t xml:space="preserve"> </w:t>
      </w:r>
      <w:r w:rsidR="00992664" w:rsidRPr="00DE76B9">
        <w:rPr>
          <w:rStyle w:val="libFootnoteBoldChar"/>
          <w:rtl/>
        </w:rPr>
        <w:t>تفسير العيّاشي</w:t>
      </w:r>
      <w:r w:rsidR="00992664" w:rsidRPr="00020424">
        <w:rPr>
          <w:rtl/>
        </w:rPr>
        <w:t xml:space="preserve"> ، ج 1 ، ص 85 ، صدر ح 208 ، عن زيد بن ا</w:t>
      </w:r>
      <w:r w:rsidR="004107BA">
        <w:rPr>
          <w:rFonts w:hint="cs"/>
          <w:rtl/>
        </w:rPr>
        <w:t>ُ</w:t>
      </w:r>
      <w:r w:rsidR="00992664" w:rsidRPr="00020424">
        <w:rPr>
          <w:rtl/>
        </w:rPr>
        <w:t xml:space="preserve">سامة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296 ، مرسلاً عن حمّاد بن عثمان </w:t>
      </w:r>
      <w:r w:rsidR="004107BA">
        <w:rPr>
          <w:rFonts w:hint="cs"/>
          <w:rtl/>
        </w:rPr>
        <w:t>.</w:t>
      </w:r>
      <w:r w:rsidR="00992664" w:rsidRPr="0012008A">
        <w:rPr>
          <w:rStyle w:val="libFootnoteBoldChar"/>
          <w:rtl/>
        </w:rPr>
        <w:t>الوافي</w:t>
      </w:r>
      <w:r w:rsidR="00992664" w:rsidRPr="00020424">
        <w:rPr>
          <w:rtl/>
        </w:rPr>
        <w:t xml:space="preserve"> ، ج 11 ، ص 117 ، ح 10517 ؛ </w:t>
      </w:r>
      <w:r w:rsidR="00992664" w:rsidRPr="0012008A">
        <w:rPr>
          <w:rStyle w:val="libFootnoteBoldChar"/>
          <w:rtl/>
        </w:rPr>
        <w:t>الوسائل</w:t>
      </w:r>
      <w:r w:rsidR="00992664" w:rsidRPr="00020424">
        <w:rPr>
          <w:rtl/>
        </w:rPr>
        <w:t xml:space="preserve"> ، ج 10 ، ص 252 ، ح 13339.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154209">
        <w:rPr>
          <w:rtl/>
        </w:rPr>
        <w:t>6292</w:t>
      </w:r>
      <w:r w:rsidRPr="001155DE">
        <w:rPr>
          <w:rStyle w:val="libBold2Char"/>
          <w:rtl/>
        </w:rPr>
        <w:t xml:space="preserve"> / 2.</w:t>
      </w:r>
      <w:r w:rsidRPr="00020424">
        <w:rPr>
          <w:rtl/>
          <w:lang w:bidi="fa-IR"/>
        </w:rPr>
        <w:t xml:space="preserve"> حَمَّادٌ </w:t>
      </w:r>
      <w:r w:rsidRPr="00A91B96">
        <w:rPr>
          <w:rStyle w:val="libFootnotenumChar"/>
          <w:rtl/>
        </w:rPr>
        <w:t>(1)</w:t>
      </w:r>
      <w:r w:rsidRPr="00020424">
        <w:rPr>
          <w:rtl/>
          <w:lang w:bidi="fa-IR"/>
        </w:rPr>
        <w:t xml:space="preserve"> ، عَنِ الْحَلَبِيِّ :</w:t>
      </w:r>
    </w:p>
    <w:p w:rsidR="00992664" w:rsidRPr="00020424" w:rsidRDefault="00992664" w:rsidP="004107BA">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عَلِيٌّ </w:t>
      </w:r>
      <w:r w:rsidRPr="00005A81">
        <w:rPr>
          <w:rStyle w:val="libAlaemChar"/>
          <w:rtl/>
        </w:rPr>
        <w:t>عليه‌السلام</w:t>
      </w:r>
      <w:r w:rsidRPr="00020424">
        <w:rPr>
          <w:rtl/>
          <w:lang w:bidi="fa-IR"/>
        </w:rPr>
        <w:t xml:space="preserve"> يَقُولُ : لَا</w:t>
      </w:r>
      <w:r>
        <w:rPr>
          <w:rFonts w:hint="cs"/>
          <w:rtl/>
          <w:lang w:bidi="fa-IR"/>
        </w:rPr>
        <w:t xml:space="preserve"> </w:t>
      </w:r>
      <w:r w:rsidRPr="00020424">
        <w:rPr>
          <w:rtl/>
          <w:lang w:bidi="fa-IR"/>
        </w:rPr>
        <w:t xml:space="preserve">أُجِيزُ فِي </w:t>
      </w:r>
      <w:r w:rsidRPr="00A91B96">
        <w:rPr>
          <w:rStyle w:val="libFootnotenumChar"/>
          <w:rtl/>
        </w:rPr>
        <w:t>(2)</w:t>
      </w:r>
      <w:r w:rsidR="004107BA">
        <w:rPr>
          <w:rtl/>
          <w:lang w:bidi="fa-IR"/>
        </w:rPr>
        <w:t xml:space="preserve"> الْهِلَالِ إِل</w:t>
      </w:r>
      <w:r w:rsidR="004107BA">
        <w:rPr>
          <w:rFonts w:hint="cs"/>
          <w:rtl/>
          <w:lang w:bidi="fa-IR"/>
        </w:rPr>
        <w:t>َّ</w:t>
      </w:r>
      <w:r w:rsidR="004107BA">
        <w:rPr>
          <w:rtl/>
          <w:lang w:bidi="fa-IR"/>
        </w:rPr>
        <w:t>ا</w:t>
      </w:r>
      <w:r w:rsidRPr="00020424">
        <w:rPr>
          <w:rtl/>
          <w:lang w:bidi="fa-IR"/>
        </w:rPr>
        <w:t xml:space="preserve"> شَهَادَةَ رَجُلَيْنِ عَدْلَيْنِ</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154209">
        <w:rPr>
          <w:rtl/>
        </w:rPr>
        <w:t>6293</w:t>
      </w:r>
      <w:r w:rsidRPr="001155DE">
        <w:rPr>
          <w:rStyle w:val="libBold2Char"/>
          <w:rtl/>
        </w:rPr>
        <w:t xml:space="preserve"> / 3.</w:t>
      </w:r>
      <w:r w:rsidRPr="00020424">
        <w:rPr>
          <w:rtl/>
          <w:lang w:bidi="fa-IR"/>
        </w:rPr>
        <w:t xml:space="preserve"> مُحَمَّدُ بْنِ يَحْيى ، عَنْ مُحَمَّدِ بْنِ الْحُسَيْنِ ، عَنْ عَلِيِّ بْنِ الْحَكَمِ ، عَنِ الْعَلَاءِ ، عَنْ مُحَمَّدِ بْنِ مُسْلِمٍ ، قَالَ :</w:t>
      </w:r>
    </w:p>
    <w:p w:rsidR="00992664" w:rsidRPr="00020424" w:rsidRDefault="00992664" w:rsidP="00992664">
      <w:pPr>
        <w:pStyle w:val="libNormal"/>
        <w:rPr>
          <w:rtl/>
          <w:lang w:bidi="fa-IR"/>
        </w:rPr>
      </w:pPr>
      <w:r w:rsidRPr="00020424">
        <w:rPr>
          <w:rtl/>
          <w:lang w:bidi="fa-IR"/>
        </w:rPr>
        <w:t xml:space="preserve">لَا تَجُوزُ </w:t>
      </w:r>
      <w:r w:rsidRPr="00A91B96">
        <w:rPr>
          <w:rStyle w:val="libFootnotenumChar"/>
          <w:rtl/>
        </w:rPr>
        <w:t>(4)</w:t>
      </w:r>
      <w:r w:rsidRPr="00020424">
        <w:rPr>
          <w:rtl/>
          <w:lang w:bidi="fa-IR"/>
        </w:rPr>
        <w:t xml:space="preserve"> شَهَادَةُ النِّسَاءِ فِي </w:t>
      </w:r>
      <w:r w:rsidRPr="00A91B96">
        <w:rPr>
          <w:rStyle w:val="libFootnotenumChar"/>
          <w:rtl/>
        </w:rPr>
        <w:t>(5)</w:t>
      </w:r>
      <w:r w:rsidRPr="00020424">
        <w:rPr>
          <w:rtl/>
          <w:lang w:bidi="fa-IR"/>
        </w:rPr>
        <w:t xml:space="preserve"> الْهِلَالِ.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154209">
        <w:rPr>
          <w:rtl/>
        </w:rPr>
        <w:t>6294</w:t>
      </w:r>
      <w:r w:rsidRPr="001155DE">
        <w:rPr>
          <w:rStyle w:val="libBold2Char"/>
          <w:rtl/>
        </w:rPr>
        <w:t xml:space="preserve"> / 4.</w:t>
      </w:r>
      <w:r w:rsidRPr="00020424">
        <w:rPr>
          <w:rtl/>
          <w:lang w:bidi="fa-IR"/>
        </w:rPr>
        <w:t xml:space="preserve"> عَلِيُّ بْنُ إِبْرَاهِيمَ ، عَنْ أَبِيهِ ، عَنِ ابْنِ أَبِي عُمَيْرٍ ، عَنْ حَمَّادِ بْنِ عُثْمَانَ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 صَلَوَاتُ اللهِ عَلَيْهِ : لَاتَجُوزُ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السند معلّق على سابقه ، وينسحب إليه الطريقان المتقدّمان إلى حمّاد بن عثمان.</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8E7F40">
        <w:rPr>
          <w:rtl/>
        </w:rPr>
        <w:t>الوافي والفقيه والتهذيب</w:t>
      </w:r>
      <w:r w:rsidR="00992664" w:rsidRPr="00020424">
        <w:rPr>
          <w:rtl/>
        </w:rPr>
        <w:t xml:space="preserve"> ، ص 180 : + « رؤية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180 ، ح 499 ، بسنده عن أحمد بن محمّد ، عن ابن أبي عمير ، عن حمّاد بن عثمان ، عن عبيدالله بن عليّ الحلبي. </w:t>
      </w:r>
      <w:r w:rsidR="00992664" w:rsidRPr="0012008A">
        <w:rPr>
          <w:rStyle w:val="libFootnoteBoldChar"/>
          <w:rtl/>
        </w:rPr>
        <w:t>الفقيه</w:t>
      </w:r>
      <w:r w:rsidR="00992664" w:rsidRPr="00020424">
        <w:rPr>
          <w:rtl/>
        </w:rPr>
        <w:t xml:space="preserve"> ، ج 2 ، ص 124 ، ح 1912 ، معلّقاً عن الحلبي. وفي </w:t>
      </w:r>
      <w:r w:rsidR="00992664" w:rsidRPr="0012008A">
        <w:rPr>
          <w:rStyle w:val="libFootnoteBoldChar"/>
          <w:rtl/>
        </w:rPr>
        <w:t>التهذيب</w:t>
      </w:r>
      <w:r w:rsidR="00992664" w:rsidRPr="00020424">
        <w:rPr>
          <w:rtl/>
        </w:rPr>
        <w:t xml:space="preserve"> ، ج 4 ، ص 316 ، ح 962 ، بسند آخر عن جعفر ، عن أبيه ، عن عليّ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المقنعة</w:t>
      </w:r>
      <w:r w:rsidR="00992664" w:rsidRPr="00020424">
        <w:rPr>
          <w:rtl/>
        </w:rPr>
        <w:t xml:space="preserve"> ، ص 298 ، مرسلاً عن حمّاد بن عثمان ، عن الحلبي </w:t>
      </w:r>
      <w:r w:rsidR="008E7F40">
        <w:rPr>
          <w:rFonts w:hint="cs"/>
          <w:rtl/>
        </w:rPr>
        <w:t>.</w:t>
      </w:r>
      <w:r w:rsidR="00992664" w:rsidRPr="0012008A">
        <w:rPr>
          <w:rStyle w:val="libFootnoteBoldChar"/>
          <w:rtl/>
        </w:rPr>
        <w:t>الوافي</w:t>
      </w:r>
      <w:r w:rsidR="00992664" w:rsidRPr="00020424">
        <w:rPr>
          <w:rtl/>
        </w:rPr>
        <w:t xml:space="preserve"> ، ج 11 ، ص 125 ، ح 10531 ؛ </w:t>
      </w:r>
      <w:r w:rsidR="00992664" w:rsidRPr="0012008A">
        <w:rPr>
          <w:rStyle w:val="libFootnoteBoldChar"/>
          <w:rtl/>
        </w:rPr>
        <w:t>الوسائل</w:t>
      </w:r>
      <w:r w:rsidR="00992664" w:rsidRPr="00020424">
        <w:rPr>
          <w:rtl/>
        </w:rPr>
        <w:t xml:space="preserve"> ، ج 10 ، ص 286 ، ح 13430.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بث ، بح ، بس » : « لا يجوز</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الكافي ، ح 14533 </w:t>
      </w:r>
      <w:r w:rsidR="00992664" w:rsidRPr="00515444">
        <w:rPr>
          <w:rStyle w:val="libFootnoteBoldChar"/>
          <w:rtl/>
        </w:rPr>
        <w:t>والتهذيب</w:t>
      </w:r>
      <w:r w:rsidR="00992664" w:rsidRPr="00020424">
        <w:rPr>
          <w:rtl/>
        </w:rPr>
        <w:t xml:space="preserve"> ، ص 264 ، ح 702 </w:t>
      </w:r>
      <w:r w:rsidR="00992664" w:rsidRPr="00FD6221">
        <w:rPr>
          <w:rStyle w:val="libFootnoteBoldChar"/>
          <w:rtl/>
        </w:rPr>
        <w:t>والاستبصار</w:t>
      </w:r>
      <w:r w:rsidR="00992664" w:rsidRPr="00020424">
        <w:rPr>
          <w:rtl/>
        </w:rPr>
        <w:t xml:space="preserve"> ، ج 3 ، ص 23 : + « رؤية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الشهادات ، باب ما يجوز من شهادة النساء وما لايجوز ، صدر ح 14531 ، بسنده عن محمّد بن مسلم. وفي </w:t>
      </w:r>
      <w:r w:rsidR="00992664" w:rsidRPr="00DE76B9">
        <w:rPr>
          <w:rStyle w:val="libFootnoteBoldChar"/>
          <w:rtl/>
        </w:rPr>
        <w:t>الكافي</w:t>
      </w:r>
      <w:r w:rsidR="00992664" w:rsidRPr="00020424">
        <w:rPr>
          <w:rtl/>
        </w:rPr>
        <w:t xml:space="preserve"> ، نفس الباب ، صدر ح 14533 ؛ </w:t>
      </w:r>
      <w:r w:rsidR="00992664" w:rsidRPr="00515444">
        <w:rPr>
          <w:rStyle w:val="libFootnoteBoldChar"/>
          <w:rtl/>
        </w:rPr>
        <w:t>والتهذيب</w:t>
      </w:r>
      <w:r w:rsidR="00992664" w:rsidRPr="00020424">
        <w:rPr>
          <w:rtl/>
        </w:rPr>
        <w:t xml:space="preserve"> ، ج 6 ، ص 264 ، صدر ح 702 ؛ </w:t>
      </w:r>
      <w:r w:rsidR="00992664" w:rsidRPr="00FD6221">
        <w:rPr>
          <w:rStyle w:val="libFootnoteBoldChar"/>
          <w:rtl/>
        </w:rPr>
        <w:t>والاستبصار</w:t>
      </w:r>
      <w:r w:rsidR="00992664" w:rsidRPr="00020424">
        <w:rPr>
          <w:rtl/>
        </w:rPr>
        <w:t xml:space="preserve"> ، ج 3 ، ص 23 ، صدر ح 70 ، بسند آخر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6 ، ص 269 ، صدر ح 725 ؛ </w:t>
      </w:r>
      <w:r w:rsidR="00992664" w:rsidRPr="00FD6221">
        <w:rPr>
          <w:rStyle w:val="libFootnoteBoldChar"/>
          <w:rtl/>
        </w:rPr>
        <w:t>والاستبصار</w:t>
      </w:r>
      <w:r w:rsidR="00992664" w:rsidRPr="00020424">
        <w:rPr>
          <w:rtl/>
        </w:rPr>
        <w:t xml:space="preserve"> ، ج 3 ، ص 30 ، صدر ح 97 ، بسندهما عن العلاء ، عن أحدهما </w:t>
      </w:r>
      <w:r w:rsidR="00D64ADA" w:rsidRPr="00D64ADA">
        <w:rPr>
          <w:rStyle w:val="libFootnoteAlaemChar"/>
          <w:rtl/>
        </w:rPr>
        <w:t>عليهما‌السلام</w:t>
      </w:r>
      <w:r w:rsidR="00992664" w:rsidRPr="00020424">
        <w:rPr>
          <w:rtl/>
        </w:rPr>
        <w:t xml:space="preserve">. </w:t>
      </w:r>
      <w:r w:rsidR="00992664" w:rsidRPr="00A722B1">
        <w:rPr>
          <w:rStyle w:val="libFootnoteBoldChar"/>
          <w:rtl/>
        </w:rPr>
        <w:t>الخصال</w:t>
      </w:r>
      <w:r w:rsidR="00992664" w:rsidRPr="00020424">
        <w:rPr>
          <w:rtl/>
        </w:rPr>
        <w:t xml:space="preserve"> ، ص 586 ، أبواب السبعين ومافوقه ، ضمن الحديث الطويل 12 ، بسند آخر عن الباقر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262 ؛ </w:t>
      </w:r>
      <w:r w:rsidR="00992664" w:rsidRPr="00587829">
        <w:rPr>
          <w:rStyle w:val="libFootnoteBoldChar"/>
          <w:rtl/>
        </w:rPr>
        <w:t>الأمالي للصدوق</w:t>
      </w:r>
      <w:r w:rsidR="00992664" w:rsidRPr="00020424">
        <w:rPr>
          <w:rtl/>
        </w:rPr>
        <w:t xml:space="preserve"> ، ص 647 ، المجلس 93 ، ضمن وصف دين الإماميّة على الإيجاز والاختصار ، وفي الثلاثة الأخيرة مع اختلاف يسير </w:t>
      </w:r>
      <w:r w:rsidR="008E7F40">
        <w:rPr>
          <w:rFonts w:hint="cs"/>
          <w:rtl/>
        </w:rPr>
        <w:t>.</w:t>
      </w:r>
      <w:r w:rsidR="00992664" w:rsidRPr="0012008A">
        <w:rPr>
          <w:rStyle w:val="libFootnoteBoldChar"/>
          <w:rtl/>
        </w:rPr>
        <w:t>الوافي</w:t>
      </w:r>
      <w:r w:rsidR="00992664" w:rsidRPr="00020424">
        <w:rPr>
          <w:rtl/>
        </w:rPr>
        <w:t xml:space="preserve"> ، ج 11 ، ص 126 ، ح 10535 ؛ </w:t>
      </w:r>
      <w:r w:rsidR="00992664" w:rsidRPr="0012008A">
        <w:rPr>
          <w:rStyle w:val="libFootnoteBoldChar"/>
          <w:rtl/>
        </w:rPr>
        <w:t>الوسائل</w:t>
      </w:r>
      <w:r w:rsidR="00992664" w:rsidRPr="00020424">
        <w:rPr>
          <w:rtl/>
        </w:rPr>
        <w:t xml:space="preserve"> ، ج 10 ، ص 286 ، ح 13431.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بث ، بح ، بخ ، بس » : « ولا يجوز</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 لا يجوز</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شَهَادَةُ النِّسَاءِ فِي </w:t>
      </w:r>
      <w:r w:rsidRPr="00A91B96">
        <w:rPr>
          <w:rStyle w:val="libFootnotenumChar"/>
          <w:rtl/>
        </w:rPr>
        <w:t>(1)</w:t>
      </w:r>
      <w:r w:rsidRPr="00020424">
        <w:rPr>
          <w:rtl/>
          <w:lang w:bidi="fa-IR"/>
        </w:rPr>
        <w:t xml:space="preserve"> الْهِلَالِ ، وَلَاتَجُوزُ </w:t>
      </w:r>
      <w:r w:rsidRPr="00A91B96">
        <w:rPr>
          <w:rStyle w:val="libFootnotenumChar"/>
          <w:rtl/>
        </w:rPr>
        <w:t>(2)</w:t>
      </w:r>
      <w:r w:rsidR="008E7F40">
        <w:rPr>
          <w:rtl/>
          <w:lang w:bidi="fa-IR"/>
        </w:rPr>
        <w:t xml:space="preserve"> إِل</w:t>
      </w:r>
      <w:r w:rsidR="008E7F40">
        <w:rPr>
          <w:rFonts w:hint="cs"/>
          <w:rtl/>
          <w:lang w:bidi="fa-IR"/>
        </w:rPr>
        <w:t>َّ</w:t>
      </w:r>
      <w:r w:rsidR="008E7F40">
        <w:rPr>
          <w:rtl/>
          <w:lang w:bidi="fa-IR"/>
        </w:rPr>
        <w:t>ا</w:t>
      </w:r>
      <w:r w:rsidRPr="00020424">
        <w:rPr>
          <w:rtl/>
          <w:lang w:bidi="fa-IR"/>
        </w:rPr>
        <w:t xml:space="preserve"> شَهَادَةُ رَجُلَيْنِ عَدْلَيْنِ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15077">
        <w:rPr>
          <w:rtl/>
        </w:rPr>
        <w:t>6295</w:t>
      </w:r>
      <w:r w:rsidRPr="001155DE">
        <w:rPr>
          <w:rStyle w:val="libBold2Char"/>
          <w:rtl/>
        </w:rPr>
        <w:t xml:space="preserve"> / 5.</w:t>
      </w:r>
      <w:r w:rsidRPr="00020424">
        <w:rPr>
          <w:rtl/>
          <w:lang w:bidi="fa-IR"/>
        </w:rPr>
        <w:t xml:space="preserve"> عِدَّةٌ مِنْ أَصْحَابِنَا ، عَنْ أَحْمَدَ بْنِ مُحَمَّدِ بْنِ عِيسى ، عَنْ عَلِيِّ بْنِ الْحَكَمِ ، عَنْ سَيْفِ بْنِ عَمِيرَةَ ، عَنِ الْفَضْلِ </w:t>
      </w:r>
      <w:r w:rsidRPr="00A91B96">
        <w:rPr>
          <w:rStyle w:val="libFootnotenumChar"/>
          <w:rtl/>
        </w:rPr>
        <w:t>(4)</w:t>
      </w:r>
      <w:r w:rsidRPr="00020424">
        <w:rPr>
          <w:rtl/>
          <w:lang w:bidi="fa-IR"/>
        </w:rPr>
        <w:t xml:space="preserve"> بْنِ عُثْمَانَ ، قَالَ :</w:t>
      </w:r>
    </w:p>
    <w:p w:rsidR="00992664" w:rsidRPr="00020424" w:rsidRDefault="00992664" w:rsidP="003507CB">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لَيْس</w:t>
      </w:r>
      <w:r w:rsidR="00711457">
        <w:rPr>
          <w:rtl/>
          <w:lang w:bidi="fa-IR"/>
        </w:rPr>
        <w:t>َ عَلى أَهْلِ الْقِبْلَةِ إِل</w:t>
      </w:r>
      <w:r w:rsidR="00711457">
        <w:rPr>
          <w:rFonts w:hint="cs"/>
          <w:rtl/>
          <w:lang w:bidi="fa-IR"/>
        </w:rPr>
        <w:t>َّ</w:t>
      </w:r>
      <w:r w:rsidR="00711457">
        <w:rPr>
          <w:rtl/>
          <w:lang w:bidi="fa-IR"/>
        </w:rPr>
        <w:t>ا</w:t>
      </w:r>
      <w:r w:rsidRPr="00020424">
        <w:rPr>
          <w:rtl/>
          <w:lang w:bidi="fa-IR"/>
        </w:rPr>
        <w:t xml:space="preserve"> الرُّؤْيَةُ </w:t>
      </w:r>
      <w:r w:rsidRPr="00A91B96">
        <w:rPr>
          <w:rStyle w:val="libFootnotenumChar"/>
          <w:rtl/>
        </w:rPr>
        <w:t>(5)</w:t>
      </w:r>
      <w:r w:rsidRPr="00020424">
        <w:rPr>
          <w:rtl/>
          <w:lang w:bidi="fa-IR"/>
        </w:rPr>
        <w:t xml:space="preserve"> ، لَيْسَ </w:t>
      </w:r>
      <w:r w:rsidRPr="00A91B96">
        <w:rPr>
          <w:rStyle w:val="libFootnotenumChar"/>
          <w:rtl/>
        </w:rPr>
        <w:t>(6)</w:t>
      </w:r>
      <w:r w:rsidRPr="00020424">
        <w:rPr>
          <w:rtl/>
          <w:lang w:bidi="fa-IR"/>
        </w:rPr>
        <w:t xml:space="preserve"> عَلَى الْمُسْلِمِينَ </w:t>
      </w:r>
      <w:r w:rsidR="003507CB">
        <w:rPr>
          <w:rtl/>
          <w:lang w:bidi="fa-IR"/>
        </w:rPr>
        <w:t>إِل</w:t>
      </w:r>
      <w:r w:rsidR="003507CB">
        <w:rPr>
          <w:rFonts w:hint="cs"/>
          <w:rtl/>
          <w:lang w:bidi="fa-IR"/>
        </w:rPr>
        <w:t>َّ</w:t>
      </w:r>
      <w:r w:rsidR="003507CB">
        <w:rPr>
          <w:rtl/>
          <w:lang w:bidi="fa-IR"/>
        </w:rPr>
        <w:t>ا</w:t>
      </w:r>
      <w:r w:rsidR="003507CB" w:rsidRPr="00020424">
        <w:rPr>
          <w:rtl/>
          <w:lang w:bidi="fa-IR"/>
        </w:rPr>
        <w:t xml:space="preserve"> </w:t>
      </w:r>
      <w:r w:rsidRPr="00020424">
        <w:rPr>
          <w:rtl/>
          <w:lang w:bidi="fa-IR"/>
        </w:rPr>
        <w:t xml:space="preserve">الرُّؤْيَةُ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15077">
        <w:rPr>
          <w:rtl/>
        </w:rPr>
        <w:t>6296</w:t>
      </w:r>
      <w:r w:rsidRPr="001155DE">
        <w:rPr>
          <w:rStyle w:val="libBold2Char"/>
          <w:rtl/>
        </w:rPr>
        <w:t xml:space="preserve"> / 6.</w:t>
      </w:r>
      <w:r w:rsidRPr="00020424">
        <w:rPr>
          <w:rtl/>
          <w:lang w:bidi="fa-IR"/>
        </w:rPr>
        <w:t xml:space="preserve"> أَحْمَدُ </w:t>
      </w:r>
      <w:r w:rsidRPr="00A91B96">
        <w:rPr>
          <w:rStyle w:val="libFootnotenumChar"/>
          <w:rtl/>
        </w:rPr>
        <w:t>(9)</w:t>
      </w:r>
      <w:r w:rsidRPr="00020424">
        <w:rPr>
          <w:rtl/>
          <w:lang w:bidi="fa-IR"/>
        </w:rPr>
        <w:t xml:space="preserve"> ، عَنْ عَلِيِّ بْنِ الْحَكَمِ ، عَنْ أَبِي أَيُّوبَ الْخَرَّازِ </w:t>
      </w:r>
      <w:r w:rsidRPr="00A91B96">
        <w:rPr>
          <w:rStyle w:val="libFootnotenumChar"/>
          <w:rtl/>
        </w:rPr>
        <w:t>(10)</w:t>
      </w:r>
      <w:r w:rsidR="00164E96">
        <w:rPr>
          <w:rtl/>
          <w:lang w:bidi="fa-IR"/>
        </w:rPr>
        <w:t xml:space="preserve"> ، عَنْ مُحَمَّدِ بْنِ مُسْلِمٍ</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رؤية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ى ، بث ، بخ ، بس » : « ولا يجوز</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180 ، ح 498 ، بسنده عن ابن أبي عمير ، عن حمّاد بن عثمان ، عن عبيدالله بن عليّ الحلبي ، عن أبي عبدالله ، عن عليّ </w:t>
      </w:r>
      <w:r w:rsidR="00D64ADA" w:rsidRPr="00D64ADA">
        <w:rPr>
          <w:rStyle w:val="libFootnoteAlaemChar"/>
          <w:rtl/>
        </w:rPr>
        <w:t>عليهما‌السلام</w:t>
      </w:r>
      <w:r w:rsidR="00992664" w:rsidRPr="00020424">
        <w:rPr>
          <w:rtl/>
        </w:rPr>
        <w:t xml:space="preserve">. </w:t>
      </w:r>
      <w:r w:rsidR="00992664" w:rsidRPr="00DE76B9">
        <w:rPr>
          <w:rStyle w:val="libFootnoteBoldChar"/>
          <w:rtl/>
        </w:rPr>
        <w:t>وفيه</w:t>
      </w:r>
      <w:r w:rsidR="00992664" w:rsidRPr="00020424">
        <w:rPr>
          <w:rtl/>
        </w:rPr>
        <w:t xml:space="preserve"> ، ج 6 ، ص 269 ، ح 724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3 ، ص 30 ، ح 96 ، بسندهما عن حمّاد بن عثمان ، عن أبي عبدالله </w:t>
      </w:r>
      <w:r w:rsidR="00992664" w:rsidRPr="00D64ADA">
        <w:rPr>
          <w:rStyle w:val="libFootnoteAlaemChar"/>
          <w:rtl/>
        </w:rPr>
        <w:t>عليه‌السلام</w:t>
      </w:r>
      <w:r w:rsidR="00992664" w:rsidRPr="00020424">
        <w:rPr>
          <w:rtl/>
        </w:rPr>
        <w:t xml:space="preserve"> ، من دون الإسناد إلى أميرالمؤمنين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124 ، ح 1914 ، مرسلاً عن عليّ </w:t>
      </w:r>
      <w:r w:rsidR="00992664" w:rsidRPr="00D64ADA">
        <w:rPr>
          <w:rStyle w:val="libFootnoteAlaemChar"/>
          <w:rtl/>
        </w:rPr>
        <w:t>عليه‌السلام</w:t>
      </w:r>
      <w:r w:rsidR="00992664" w:rsidRPr="00020424">
        <w:rPr>
          <w:rtl/>
        </w:rPr>
        <w:t xml:space="preserve"> ، وفي كلّ المصادر مع اختلاف يسير </w:t>
      </w:r>
      <w:r w:rsidR="009E5771">
        <w:rPr>
          <w:rFonts w:hint="cs"/>
          <w:rtl/>
        </w:rPr>
        <w:t>.</w:t>
      </w:r>
      <w:r w:rsidR="00992664" w:rsidRPr="0012008A">
        <w:rPr>
          <w:rStyle w:val="libFootnoteBoldChar"/>
          <w:rtl/>
        </w:rPr>
        <w:t>الوافي</w:t>
      </w:r>
      <w:r w:rsidR="00992664" w:rsidRPr="00020424">
        <w:rPr>
          <w:rtl/>
        </w:rPr>
        <w:t xml:space="preserve"> ، ج 11 ، ص 126 ، ح 10533 ؛ </w:t>
      </w:r>
      <w:r w:rsidR="00992664" w:rsidRPr="0012008A">
        <w:rPr>
          <w:rStyle w:val="libFootnoteBoldChar"/>
          <w:rtl/>
        </w:rPr>
        <w:t>الوسائل</w:t>
      </w:r>
      <w:r w:rsidR="00992664" w:rsidRPr="00020424">
        <w:rPr>
          <w:rtl/>
        </w:rPr>
        <w:t xml:space="preserve"> ، ج 10 ، ص 287 ، ح 13432.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جر » وحاشية « بف » : « الفضيل</w:t>
      </w:r>
      <w:r w:rsidR="00992664">
        <w:rPr>
          <w:rtl/>
        </w:rPr>
        <w:t xml:space="preserve"> ».</w:t>
      </w:r>
      <w:r w:rsidR="00992664" w:rsidRPr="00020424">
        <w:rPr>
          <w:rtl/>
        </w:rPr>
        <w:t xml:space="preserve"> وابن عثمان هذا ، هو الفضيل بن عثمان المراديّ الأعور ، ويقال له : الفضل أيضاً. راجع : </w:t>
      </w:r>
      <w:r w:rsidR="00992664" w:rsidRPr="00DE76B9">
        <w:rPr>
          <w:rStyle w:val="libFootnoteBoldChar"/>
          <w:rtl/>
        </w:rPr>
        <w:t>رجال الطوسي</w:t>
      </w:r>
      <w:r w:rsidR="00992664" w:rsidRPr="00020424">
        <w:rPr>
          <w:rtl/>
        </w:rPr>
        <w:t xml:space="preserve"> ، ص 268 ، الرقم 3854 ؛ وص 269 ، الرقم 3877.</w:t>
      </w:r>
    </w:p>
    <w:tbl>
      <w:tblPr>
        <w:tblStyle w:val="TableGrid"/>
        <w:bidiVisual/>
        <w:tblW w:w="0" w:type="auto"/>
        <w:tblLook w:val="04A0" w:firstRow="1" w:lastRow="0" w:firstColumn="1" w:lastColumn="0" w:noHBand="0" w:noVBand="1"/>
      </w:tblPr>
      <w:tblGrid>
        <w:gridCol w:w="4006"/>
        <w:gridCol w:w="4006"/>
      </w:tblGrid>
      <w:tr w:rsidR="009E5771" w:rsidTr="009E5771">
        <w:tc>
          <w:tcPr>
            <w:tcW w:w="4006" w:type="dxa"/>
          </w:tcPr>
          <w:p w:rsidR="009E5771" w:rsidRDefault="009E5771" w:rsidP="00992664">
            <w:pPr>
              <w:pStyle w:val="libFootnote0"/>
              <w:rPr>
                <w:rtl/>
              </w:rPr>
            </w:pPr>
            <w:r>
              <w:rPr>
                <w:rtl/>
              </w:rPr>
              <w:t>(5). في «</w:t>
            </w:r>
            <w:r w:rsidRPr="00020424">
              <w:rPr>
                <w:rtl/>
              </w:rPr>
              <w:t>ى » :</w:t>
            </w:r>
            <w:r>
              <w:rPr>
                <w:rtl/>
              </w:rPr>
              <w:t xml:space="preserve"> - « ليس على أهل القبلة إل</w:t>
            </w:r>
            <w:r>
              <w:rPr>
                <w:rFonts w:hint="cs"/>
                <w:rtl/>
              </w:rPr>
              <w:t>ّ</w:t>
            </w:r>
            <w:r>
              <w:rPr>
                <w:rtl/>
              </w:rPr>
              <w:t>ا</w:t>
            </w:r>
            <w:r>
              <w:rPr>
                <w:rFonts w:hint="cs"/>
                <w:rtl/>
              </w:rPr>
              <w:t xml:space="preserve"> </w:t>
            </w:r>
            <w:r w:rsidRPr="00020424">
              <w:rPr>
                <w:rtl/>
              </w:rPr>
              <w:t>الرؤية</w:t>
            </w:r>
            <w:r>
              <w:rPr>
                <w:rtl/>
              </w:rPr>
              <w:t xml:space="preserve"> ».</w:t>
            </w:r>
          </w:p>
        </w:tc>
        <w:tc>
          <w:tcPr>
            <w:tcW w:w="4006" w:type="dxa"/>
          </w:tcPr>
          <w:p w:rsidR="009E5771" w:rsidRDefault="009E5771" w:rsidP="00992664">
            <w:pPr>
              <w:pStyle w:val="libFootnote0"/>
              <w:rPr>
                <w:rtl/>
              </w:rPr>
            </w:pPr>
            <w:r>
              <w:rPr>
                <w:rtl/>
              </w:rPr>
              <w:t xml:space="preserve">(6). </w:t>
            </w:r>
            <w:r w:rsidRPr="00020424">
              <w:rPr>
                <w:rtl/>
              </w:rPr>
              <w:t xml:space="preserve">في « بس » </w:t>
            </w:r>
            <w:r w:rsidRPr="00FD6221">
              <w:rPr>
                <w:rStyle w:val="libFootnoteBoldChar"/>
                <w:rtl/>
              </w:rPr>
              <w:t>والفقيه</w:t>
            </w:r>
            <w:r w:rsidRPr="00020424">
              <w:rPr>
                <w:rtl/>
              </w:rPr>
              <w:t xml:space="preserve"> : « وليس</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هامش </w:t>
      </w:r>
      <w:r w:rsidR="00992664" w:rsidRPr="0012008A">
        <w:rPr>
          <w:rStyle w:val="libFootnoteBoldChar"/>
          <w:rtl/>
        </w:rPr>
        <w:t>الوافي</w:t>
      </w:r>
      <w:r w:rsidR="00992664" w:rsidRPr="00020424">
        <w:rPr>
          <w:rtl/>
        </w:rPr>
        <w:t xml:space="preserve"> : « قال السلطان : لعلّ الحصر إضافيّ بالنسبة إلى الجدول والحساب وأمثالها ، لا حقيقيّ ؛ فإنّ الهلال يثبت بعدلين ، ويمكن تصحيح كون الحصر حقيقيّاً بأن يكون المراد الحصر فيما ينتهي إلى الرؤية ، وشهادة العدلين إنّما تعتبر إذا استند إلى الرؤية ، لا إلى الجدول ومثله ، ويحتمل أنّ المراد بالحصر أنّ الرؤية تكفي ولا يتوقّف على الثبوت عند الحاكم على ما زعم بعض العامّة ، فحينئذٍ لا يكون المراد أنّه لا يثبت بشي‌ء آخر ، فتأمّل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158 ، ح 442 ؛ </w:t>
      </w:r>
      <w:r w:rsidR="00992664" w:rsidRPr="00FD6221">
        <w:rPr>
          <w:rStyle w:val="libFootnoteBoldChar"/>
          <w:rtl/>
        </w:rPr>
        <w:t>والاستبصار</w:t>
      </w:r>
      <w:r w:rsidR="00992664" w:rsidRPr="00020424">
        <w:rPr>
          <w:rtl/>
        </w:rPr>
        <w:t xml:space="preserve"> ، ج 2 ، ص 64 ، ح 209 ، بسندهما عن سيف بن عميرة ، عن الفضيل بن عثمان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123 ، ح 1909 ، معلّقاً عن الفضل بن عثمان. </w:t>
      </w:r>
      <w:r w:rsidR="00992664" w:rsidRPr="0012008A">
        <w:rPr>
          <w:rStyle w:val="libFootnoteBoldChar"/>
          <w:rtl/>
        </w:rPr>
        <w:t>المقنعة</w:t>
      </w:r>
      <w:r w:rsidR="00992664" w:rsidRPr="00020424">
        <w:rPr>
          <w:rtl/>
        </w:rPr>
        <w:t xml:space="preserve"> ، ص 297 ، مرسلاً عن سيف بن عميرة </w:t>
      </w:r>
      <w:r w:rsidR="005B6AEE">
        <w:rPr>
          <w:rFonts w:hint="cs"/>
          <w:rtl/>
        </w:rPr>
        <w:t>.</w:t>
      </w:r>
      <w:r w:rsidR="00992664" w:rsidRPr="0012008A">
        <w:rPr>
          <w:rStyle w:val="libFootnoteBoldChar"/>
          <w:rtl/>
        </w:rPr>
        <w:t>الوافي</w:t>
      </w:r>
      <w:r w:rsidR="00992664" w:rsidRPr="00020424">
        <w:rPr>
          <w:rtl/>
        </w:rPr>
        <w:t xml:space="preserve"> ، ج 11 ، ص 118 ، ح 10519 ؛ </w:t>
      </w:r>
      <w:r w:rsidR="00992664" w:rsidRPr="0012008A">
        <w:rPr>
          <w:rStyle w:val="libFootnoteBoldChar"/>
          <w:rtl/>
        </w:rPr>
        <w:t>الوسائل</w:t>
      </w:r>
      <w:r w:rsidR="00992664" w:rsidRPr="00020424">
        <w:rPr>
          <w:rtl/>
        </w:rPr>
        <w:t xml:space="preserve"> ، ج 10 ، ص 255 ، ذيل ح 13350.</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عي سابقه. ويروي عن أحمد ، عدّة من أصحابنا.</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هكذا في « ظ ، بث ، بح ، بخ ، جر</w:t>
      </w:r>
      <w:r w:rsidR="00992664">
        <w:rPr>
          <w:rtl/>
        </w:rPr>
        <w:t xml:space="preserve"> ».</w:t>
      </w:r>
      <w:r w:rsidR="00992664" w:rsidRPr="00020424">
        <w:rPr>
          <w:rtl/>
        </w:rPr>
        <w:t xml:space="preserve"> وفي « ى ، بس ، بف ، جن » والمطبوع : « الخزّاز</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إِذَا رَأَيْتُمُ الْهِلَالَ فَصُومُوا ، وَإِذَا رَأَيْتُمُوهُ </w:t>
      </w:r>
      <w:r w:rsidRPr="00A91B96">
        <w:rPr>
          <w:rStyle w:val="libFootnotenumChar"/>
          <w:rtl/>
        </w:rPr>
        <w:t>(1)</w:t>
      </w:r>
      <w:r w:rsidRPr="00020424">
        <w:rPr>
          <w:rtl/>
          <w:lang w:bidi="fa-IR"/>
        </w:rPr>
        <w:t xml:space="preserve"> فَأَفْطِرُوا ، وَلَيْسَ بِالرَّأْيِ وَلَابِالتَّظَنِّي </w:t>
      </w:r>
      <w:r w:rsidRPr="00A91B96">
        <w:rPr>
          <w:rStyle w:val="libFootnotenumChar"/>
          <w:rtl/>
        </w:rPr>
        <w:t>(2)</w:t>
      </w:r>
      <w:r w:rsidRPr="00020424">
        <w:rPr>
          <w:rtl/>
          <w:lang w:bidi="fa-IR"/>
        </w:rPr>
        <w:t xml:space="preserve"> ، وَلَيْسَ الرُّؤْيَةَ أَنْ يَقُومَ عَشَرَةُ نَفَرٍ </w:t>
      </w:r>
      <w:r w:rsidRPr="00A91B96">
        <w:rPr>
          <w:rStyle w:val="libFootnotenumChar"/>
          <w:rtl/>
        </w:rPr>
        <w:t>(3)</w:t>
      </w:r>
      <w:r w:rsidRPr="00020424">
        <w:rPr>
          <w:rtl/>
          <w:lang w:bidi="fa-IR"/>
        </w:rPr>
        <w:t xml:space="preserve"> ، فَيَقُولَ وَاحِدٌ : هُوَ ذَا ، وَيَنْظُرُ </w:t>
      </w:r>
      <w:r w:rsidRPr="00A91B96">
        <w:rPr>
          <w:rStyle w:val="libFootnotenumChar"/>
          <w:rtl/>
        </w:rPr>
        <w:t>(4)</w:t>
      </w:r>
      <w:r w:rsidRPr="00020424">
        <w:rPr>
          <w:rtl/>
          <w:lang w:bidi="fa-IR"/>
        </w:rPr>
        <w:t xml:space="preserve"> تِسْعَةٌ ، فَلَا يَرَوْنَهُ </w:t>
      </w:r>
      <w:r w:rsidRPr="00A91B96">
        <w:rPr>
          <w:rStyle w:val="libFootnotenumChar"/>
          <w:rtl/>
        </w:rPr>
        <w:t>(5)</w:t>
      </w:r>
      <w:r w:rsidRPr="00020424">
        <w:rPr>
          <w:rtl/>
          <w:lang w:bidi="fa-IR"/>
        </w:rPr>
        <w:t xml:space="preserve"> ، لكِنْ </w:t>
      </w:r>
      <w:r w:rsidRPr="00A91B96">
        <w:rPr>
          <w:rStyle w:val="libFootnotenumChar"/>
          <w:rtl/>
        </w:rPr>
        <w:t>(6)</w:t>
      </w:r>
      <w:r w:rsidRPr="00020424">
        <w:rPr>
          <w:rtl/>
          <w:lang w:bidi="fa-IR"/>
        </w:rPr>
        <w:t xml:space="preserve"> إِذَا رَآهُ وَاحِدٌ </w:t>
      </w:r>
      <w:r w:rsidRPr="00A91B96">
        <w:rPr>
          <w:rStyle w:val="libFootnotenumChar"/>
          <w:rtl/>
        </w:rPr>
        <w:t>(7)</w:t>
      </w:r>
      <w:r w:rsidRPr="00020424">
        <w:rPr>
          <w:rtl/>
          <w:lang w:bidi="fa-IR"/>
        </w:rPr>
        <w:t xml:space="preserve"> ، رَآهُ </w:t>
      </w:r>
      <w:r w:rsidRPr="00A91B96">
        <w:rPr>
          <w:rStyle w:val="libFootnotenumChar"/>
          <w:rtl/>
        </w:rPr>
        <w:t>(8)</w:t>
      </w:r>
      <w:r w:rsidRPr="00020424">
        <w:rPr>
          <w:rtl/>
          <w:lang w:bidi="fa-IR"/>
        </w:rPr>
        <w:t xml:space="preserve"> أَلْفٌ</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A15077">
        <w:rPr>
          <w:rtl/>
        </w:rPr>
        <w:t>6297</w:t>
      </w:r>
      <w:r w:rsidRPr="001155DE">
        <w:rPr>
          <w:rStyle w:val="libBold2Char"/>
          <w:rtl/>
        </w:rPr>
        <w:t xml:space="preserve"> / 7.</w:t>
      </w:r>
      <w:r w:rsidRPr="00020424">
        <w:rPr>
          <w:rtl/>
          <w:lang w:bidi="fa-IR"/>
        </w:rPr>
        <w:t xml:space="preserve"> مُحَمَّدُ بْنُ يَحْيى ، عَنْ أَحْمَدَ بْنِ مُحَمَّدٍ ، عَنْ مُحَمَّدِ بْنِ خَالِدٍ </w:t>
      </w:r>
      <w:r w:rsidRPr="00A91B96">
        <w:rPr>
          <w:rStyle w:val="libFootnotenumChar"/>
          <w:rtl/>
        </w:rPr>
        <w:t>(10)</w:t>
      </w:r>
      <w:r w:rsidRPr="00020424">
        <w:rPr>
          <w:rtl/>
          <w:lang w:bidi="fa-IR"/>
        </w:rPr>
        <w:t xml:space="preserve"> ، عَنْ سَعْدِ بْنِ سَعْدٍ ، عَنْ عَبْدِ اللهِ بْنِ الْحُسَيْنِ ، عَنِ </w:t>
      </w:r>
      <w:r w:rsidRPr="00A91B96">
        <w:rPr>
          <w:rStyle w:val="libFootnotenumChar"/>
          <w:rtl/>
        </w:rPr>
        <w:t>(11)</w:t>
      </w:r>
      <w:r w:rsidRPr="00020424">
        <w:rPr>
          <w:rtl/>
          <w:lang w:bidi="fa-IR"/>
        </w:rPr>
        <w:t xml:space="preserve"> الصَّلْتِ الْخَزَّازِ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5B6AEE" w:rsidP="005B6AEE">
      <w:pPr>
        <w:pStyle w:val="libFootnote0"/>
        <w:rPr>
          <w:rtl/>
          <w:lang w:bidi="fa-IR"/>
        </w:rPr>
      </w:pPr>
      <w:r>
        <w:rPr>
          <w:rFonts w:hint="cs"/>
          <w:rtl/>
        </w:rPr>
        <w:t xml:space="preserve">= </w:t>
      </w:r>
      <w:r w:rsidR="00992664" w:rsidRPr="005B6AEE">
        <w:rPr>
          <w:rtl/>
        </w:rPr>
        <w:t xml:space="preserve">والصواب هو الخرّاز ، كما تقدّم في </w:t>
      </w:r>
      <w:r w:rsidR="00992664" w:rsidRPr="00DE76B9">
        <w:rPr>
          <w:rStyle w:val="libFootnoteBoldChar"/>
          <w:rtl/>
        </w:rPr>
        <w:t>الكافي</w:t>
      </w:r>
      <w:r w:rsidR="00992664" w:rsidRPr="005B6AEE">
        <w:rPr>
          <w:rtl/>
        </w:rPr>
        <w:t xml:space="preserve"> ، ذيل ح 75.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بك » </w:t>
      </w:r>
      <w:r w:rsidR="00992664" w:rsidRPr="00515444">
        <w:rPr>
          <w:rStyle w:val="libFootnoteBoldChar"/>
          <w:rtl/>
        </w:rPr>
        <w:t>والوافي</w:t>
      </w:r>
      <w:r w:rsidR="00992664" w:rsidRPr="00020424">
        <w:rPr>
          <w:rtl/>
        </w:rPr>
        <w:t xml:space="preserve"> : « رأيتم الهلال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433 </w:t>
      </w:r>
      <w:r w:rsidR="00992664" w:rsidRPr="00FD6221">
        <w:rPr>
          <w:rStyle w:val="libFootnoteBoldChar"/>
          <w:rtl/>
        </w:rPr>
        <w:t>والاستبصار</w:t>
      </w:r>
      <w:r w:rsidR="00992664" w:rsidRPr="00020424">
        <w:rPr>
          <w:rtl/>
        </w:rPr>
        <w:t xml:space="preserve"> : + « لكن بالرؤية</w:t>
      </w:r>
      <w:r w:rsidR="00992664">
        <w:rPr>
          <w:rtl/>
        </w:rPr>
        <w:t xml:space="preserve"> ».</w:t>
      </w:r>
      <w:r w:rsidR="00992664" w:rsidRPr="00020424">
        <w:rPr>
          <w:rtl/>
        </w:rPr>
        <w:t xml:space="preserve"> </w:t>
      </w:r>
      <w:r w:rsidR="00992664">
        <w:rPr>
          <w:rtl/>
        </w:rPr>
        <w:t>و «</w:t>
      </w:r>
      <w:r w:rsidR="00992664" w:rsidRPr="00020424">
        <w:rPr>
          <w:rtl/>
        </w:rPr>
        <w:t xml:space="preserve"> التظنّي » : التحرّي. وقيل : هو إعمال الظنّ ، وأصله‌من التظنّن ا</w:t>
      </w:r>
      <w:r w:rsidR="000C5EB9">
        <w:rPr>
          <w:rFonts w:hint="cs"/>
          <w:rtl/>
        </w:rPr>
        <w:t>ُ</w:t>
      </w:r>
      <w:r w:rsidR="00992664" w:rsidRPr="00020424">
        <w:rPr>
          <w:rtl/>
        </w:rPr>
        <w:t xml:space="preserve">بدل من إحدى النونات ياء. راجع : </w:t>
      </w:r>
      <w:r w:rsidR="00992664" w:rsidRPr="00DE76B9">
        <w:rPr>
          <w:rStyle w:val="libFootnoteBoldChar"/>
          <w:rtl/>
        </w:rPr>
        <w:t>ترتيب كتاب العين</w:t>
      </w:r>
      <w:r w:rsidR="00992664" w:rsidRPr="00020424">
        <w:rPr>
          <w:rtl/>
        </w:rPr>
        <w:t xml:space="preserve"> ، ج 2 ، ص 1118 ؛ </w:t>
      </w:r>
      <w:r w:rsidR="00992664" w:rsidRPr="0012008A">
        <w:rPr>
          <w:rStyle w:val="libFootnoteBoldChar"/>
          <w:rtl/>
        </w:rPr>
        <w:t>الصحاح</w:t>
      </w:r>
      <w:r w:rsidR="00992664" w:rsidRPr="00020424">
        <w:rPr>
          <w:rtl/>
        </w:rPr>
        <w:t xml:space="preserve"> ، ج 6 ، ص 2160 ( ظنن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نفر</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 فينظروا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بس ، جن » وحاشية « بث » : « ويبصر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بر ، بف » </w:t>
      </w:r>
      <w:r w:rsidR="00992664" w:rsidRPr="00515444">
        <w:rPr>
          <w:rStyle w:val="libFootnoteBoldChar"/>
          <w:rtl/>
        </w:rPr>
        <w:t>والوافي</w:t>
      </w:r>
      <w:r w:rsidR="00992664" w:rsidRPr="00020424">
        <w:rPr>
          <w:rtl/>
        </w:rPr>
        <w:t xml:space="preserve"> : « ولا يرونه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بخ ، بر ، بف ، بك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ولكن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C7EAD" w:rsidTr="00FC7EAD">
        <w:tc>
          <w:tcPr>
            <w:tcW w:w="4006" w:type="dxa"/>
          </w:tcPr>
          <w:p w:rsidR="00FC7EAD" w:rsidRDefault="00FC7EAD" w:rsidP="00992664">
            <w:pPr>
              <w:pStyle w:val="libFootnote0"/>
              <w:rPr>
                <w:rtl/>
              </w:rPr>
            </w:pPr>
            <w:r>
              <w:rPr>
                <w:rtl/>
              </w:rPr>
              <w:t xml:space="preserve">(7). </w:t>
            </w:r>
            <w:r w:rsidRPr="00020424">
              <w:rPr>
                <w:rtl/>
              </w:rPr>
              <w:t>في « ى » : « أحد</w:t>
            </w:r>
            <w:r>
              <w:rPr>
                <w:rtl/>
              </w:rPr>
              <w:t xml:space="preserve"> ».</w:t>
            </w:r>
          </w:p>
        </w:tc>
        <w:tc>
          <w:tcPr>
            <w:tcW w:w="4006" w:type="dxa"/>
          </w:tcPr>
          <w:p w:rsidR="00FC7EAD" w:rsidRDefault="00FC7EAD" w:rsidP="00992664">
            <w:pPr>
              <w:pStyle w:val="libFootnote0"/>
              <w:rPr>
                <w:rtl/>
              </w:rPr>
            </w:pPr>
            <w:r>
              <w:rPr>
                <w:rtl/>
              </w:rPr>
              <w:t xml:space="preserve">(8). </w:t>
            </w:r>
            <w:r w:rsidRPr="00020424">
              <w:rPr>
                <w:rtl/>
              </w:rPr>
              <w:t xml:space="preserve">في </w:t>
            </w:r>
            <w:r w:rsidRPr="0012008A">
              <w:rPr>
                <w:rStyle w:val="libFootnoteBoldChar"/>
                <w:rtl/>
              </w:rPr>
              <w:t>التهذيب</w:t>
            </w:r>
            <w:r>
              <w:rPr>
                <w:rtl/>
              </w:rPr>
              <w:t>،</w:t>
            </w:r>
            <w:r w:rsidRPr="00020424">
              <w:rPr>
                <w:rtl/>
              </w:rPr>
              <w:t>ح 433</w:t>
            </w:r>
            <w:r w:rsidRPr="00FD6221">
              <w:rPr>
                <w:rStyle w:val="libFootnoteBoldChar"/>
                <w:rtl/>
              </w:rPr>
              <w:t>والاستبصار</w:t>
            </w:r>
            <w:r>
              <w:rPr>
                <w:rtl/>
              </w:rPr>
              <w:t>: +«</w:t>
            </w:r>
            <w:r w:rsidRPr="00020424">
              <w:rPr>
                <w:rtl/>
              </w:rPr>
              <w:t xml:space="preserve">عشرة </w:t>
            </w:r>
            <w:r>
              <w:rPr>
                <w:rtl/>
              </w:rPr>
              <w:t>و».</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156 ، ح 433 ، بسنده عن أبي أيّوب ، عن محمّد بن مسلم ؛ </w:t>
      </w:r>
      <w:r w:rsidR="00992664" w:rsidRPr="00DE76B9">
        <w:rPr>
          <w:rStyle w:val="libFootnoteBoldChar"/>
          <w:rtl/>
        </w:rPr>
        <w:t>الاستبصار</w:t>
      </w:r>
      <w:r w:rsidR="00992664" w:rsidRPr="00020424">
        <w:rPr>
          <w:rtl/>
        </w:rPr>
        <w:t xml:space="preserve"> ، ج 2 ، ص 63 ، ح 203 ، بسنده عن أيّوب وحمّاد ، عن محمّد بن مسلم ، وفيهما مع زيادة في آخره. </w:t>
      </w:r>
      <w:r w:rsidR="00992664" w:rsidRPr="0012008A">
        <w:rPr>
          <w:rStyle w:val="libFootnoteBoldChar"/>
          <w:rtl/>
        </w:rPr>
        <w:t>الفقيه</w:t>
      </w:r>
      <w:r w:rsidR="00992664" w:rsidRPr="00020424">
        <w:rPr>
          <w:rtl/>
        </w:rPr>
        <w:t xml:space="preserve"> ، ج 2 ، ص 123 ، ح 1908 ، معلّقاً عن محمّد بن مسلم. وفي </w:t>
      </w:r>
      <w:r w:rsidR="00992664" w:rsidRPr="0012008A">
        <w:rPr>
          <w:rStyle w:val="libFootnoteBoldChar"/>
          <w:rtl/>
        </w:rPr>
        <w:t>التهذيب</w:t>
      </w:r>
      <w:r w:rsidR="00992664" w:rsidRPr="00020424">
        <w:rPr>
          <w:rtl/>
        </w:rPr>
        <w:t xml:space="preserve"> ، ج 4 ، ص 160 ، ح 451 ، بسند آخر عن أبي عبدالله </w:t>
      </w:r>
      <w:r w:rsidR="00992664" w:rsidRPr="00D64ADA">
        <w:rPr>
          <w:rStyle w:val="libFootnoteAlaemChar"/>
          <w:rtl/>
        </w:rPr>
        <w:t>عليه‌السلام</w:t>
      </w:r>
      <w:r w:rsidR="00992664" w:rsidRPr="00020424">
        <w:rPr>
          <w:rtl/>
        </w:rPr>
        <w:t xml:space="preserve"> ، مع اختلاف يسير وزيادة في آخره. </w:t>
      </w:r>
      <w:r w:rsidR="00992664" w:rsidRPr="0012008A">
        <w:rPr>
          <w:rStyle w:val="libFootnoteBoldChar"/>
          <w:rtl/>
        </w:rPr>
        <w:t>المقنعة</w:t>
      </w:r>
      <w:r w:rsidR="00992664" w:rsidRPr="00020424">
        <w:rPr>
          <w:rtl/>
        </w:rPr>
        <w:t xml:space="preserve"> ، ص 296 ، مرسلاً عن ابن أبي عمير ، عن أيّوب بن نوح ، عن محمّد بن مسلم ، عن أبي عبدالله </w:t>
      </w:r>
      <w:r w:rsidR="00992664" w:rsidRPr="00D64ADA">
        <w:rPr>
          <w:rStyle w:val="libFootnoteAlaemChar"/>
          <w:rtl/>
        </w:rPr>
        <w:t>عليه‌السلام</w:t>
      </w:r>
      <w:r w:rsidR="00992664" w:rsidRPr="00020424">
        <w:rPr>
          <w:rtl/>
        </w:rPr>
        <w:t xml:space="preserve">. </w:t>
      </w:r>
      <w:r w:rsidR="00992664" w:rsidRPr="00587829">
        <w:rPr>
          <w:rStyle w:val="libFootnoteBoldChar"/>
          <w:rtl/>
        </w:rPr>
        <w:t>الأمالي للصدوق</w:t>
      </w:r>
      <w:r w:rsidR="00992664" w:rsidRPr="00020424">
        <w:rPr>
          <w:rtl/>
        </w:rPr>
        <w:t xml:space="preserve"> ، ص 647 ، المجلس 93 ، ضمن وصف دين الإماميّة على الإيجاز والاختصار ، مع اختلاف ، وفي الأخيرين إلى قوله : « ليس بالرأي ولابالتظنّي » </w:t>
      </w:r>
      <w:r w:rsidR="00167ABC">
        <w:rPr>
          <w:rFonts w:hint="cs"/>
          <w:rtl/>
        </w:rPr>
        <w:t>.</w:t>
      </w:r>
      <w:r w:rsidR="00992664" w:rsidRPr="0012008A">
        <w:rPr>
          <w:rStyle w:val="libFootnoteBoldChar"/>
          <w:rtl/>
        </w:rPr>
        <w:t>الوافي</w:t>
      </w:r>
      <w:r w:rsidR="00992664" w:rsidRPr="00020424">
        <w:rPr>
          <w:rtl/>
        </w:rPr>
        <w:t xml:space="preserve"> ، ج 11 ، ص 117 ، ح 10518 ؛ </w:t>
      </w:r>
      <w:r w:rsidR="00992664" w:rsidRPr="0012008A">
        <w:rPr>
          <w:rStyle w:val="libFootnoteBoldChar"/>
          <w:rtl/>
        </w:rPr>
        <w:t>الوسائل</w:t>
      </w:r>
      <w:r w:rsidR="00992664" w:rsidRPr="00020424">
        <w:rPr>
          <w:rtl/>
        </w:rPr>
        <w:t xml:space="preserve"> ، ج 10 ، ص 252 ، ذيل ح 13340 ؛ وص 289 ، ذيل ح 13440.</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هكذا في « بر ، بف ، جر</w:t>
      </w:r>
      <w:r w:rsidR="00992664">
        <w:rPr>
          <w:rtl/>
        </w:rPr>
        <w:t xml:space="preserve"> ».</w:t>
      </w:r>
      <w:r w:rsidR="00992664" w:rsidRPr="00020424">
        <w:rPr>
          <w:rtl/>
        </w:rPr>
        <w:t xml:space="preserve"> وفي « ظ ، ى ، بث ، بح ، بخ ، بس ، بف » والمطبوع </w:t>
      </w:r>
      <w:r w:rsidR="00992664" w:rsidRPr="00EB1FD9">
        <w:rPr>
          <w:rStyle w:val="libFootnoteBoldChar"/>
          <w:rtl/>
        </w:rPr>
        <w:t>والوسائل</w:t>
      </w:r>
      <w:r w:rsidR="00992664" w:rsidRPr="00020424">
        <w:rPr>
          <w:rtl/>
        </w:rPr>
        <w:t xml:space="preserve"> : « ومحمّد بن خالد</w:t>
      </w:r>
      <w:r w:rsidR="00992664">
        <w:rPr>
          <w:rtl/>
        </w:rPr>
        <w:t xml:space="preserve"> ».</w:t>
      </w:r>
    </w:p>
    <w:p w:rsidR="00992664" w:rsidRPr="00020424" w:rsidRDefault="00992664" w:rsidP="00167ABC">
      <w:pPr>
        <w:pStyle w:val="libFootnote0"/>
        <w:rPr>
          <w:rtl/>
          <w:lang w:bidi="fa-IR"/>
        </w:rPr>
      </w:pPr>
      <w:r w:rsidRPr="00167ABC">
        <w:rPr>
          <w:rtl/>
        </w:rPr>
        <w:t xml:space="preserve">والصواب ما أثبتناه ؛ فقد روى أحمد بن محمّد بن عيسى عن محمّد بن خالد البرقي بعض كتب سعد بن سعد ، وتوسّط محمّد بن خالد [ البرقي ] بين أحمد بن محمّد [ بن عيسى ] وسعد بن سعد في بعض الأسناد. راجع : </w:t>
      </w:r>
      <w:r w:rsidRPr="00DE76B9">
        <w:rPr>
          <w:rStyle w:val="libFootnoteBoldChar"/>
          <w:rtl/>
        </w:rPr>
        <w:t>رجال النجاشي</w:t>
      </w:r>
      <w:r w:rsidRPr="00167ABC">
        <w:rPr>
          <w:rtl/>
        </w:rPr>
        <w:t xml:space="preserve"> ، ص 179 ، الرقم 470 ؛ </w:t>
      </w:r>
      <w:r w:rsidRPr="00DE76B9">
        <w:rPr>
          <w:rStyle w:val="libFootnoteBoldChar"/>
          <w:rtl/>
        </w:rPr>
        <w:t>معجم رجال الحديث</w:t>
      </w:r>
      <w:r w:rsidRPr="00167ABC">
        <w:rPr>
          <w:rtl/>
        </w:rPr>
        <w:t xml:space="preserve"> ، ج 16 ، ص 357 و368.</w:t>
      </w:r>
    </w:p>
    <w:p w:rsidR="00992664" w:rsidRPr="00020424" w:rsidRDefault="00992664" w:rsidP="00167ABC">
      <w:pPr>
        <w:pStyle w:val="libFootnote0"/>
        <w:rPr>
          <w:rtl/>
          <w:lang w:bidi="fa-IR"/>
        </w:rPr>
      </w:pPr>
      <w:r w:rsidRPr="00D82B22">
        <w:rPr>
          <w:rtl/>
        </w:rPr>
        <w:t>ويؤكِّد ذلك عدم ثبوت رواية محمّد بن يحيى ، شيخ الكليني ، عن محمّد بن خالد</w:t>
      </w:r>
      <w:r>
        <w:rPr>
          <w:rtl/>
        </w:rPr>
        <w:t xml:space="preserve"> </w:t>
      </w:r>
      <w:r w:rsidR="009B673F">
        <w:rPr>
          <w:rtl/>
        </w:rPr>
        <w:t>-</w:t>
      </w:r>
      <w:r>
        <w:rPr>
          <w:rtl/>
        </w:rPr>
        <w:t xml:space="preserve"> </w:t>
      </w:r>
      <w:r w:rsidRPr="00D82B22">
        <w:rPr>
          <w:rtl/>
        </w:rPr>
        <w:t>وهو البرقي</w:t>
      </w:r>
      <w:r>
        <w:rPr>
          <w:rtl/>
        </w:rPr>
        <w:t xml:space="preserve"> </w:t>
      </w:r>
      <w:r w:rsidR="009B673F">
        <w:rPr>
          <w:rtl/>
        </w:rPr>
        <w:t>-</w:t>
      </w:r>
      <w:r>
        <w:rPr>
          <w:rtl/>
        </w:rPr>
        <w:t xml:space="preserve"> </w:t>
      </w:r>
      <w:r w:rsidRPr="00D82B22">
        <w:rPr>
          <w:rtl/>
        </w:rPr>
        <w:t>في موضع.</w:t>
      </w:r>
    </w:p>
    <w:tbl>
      <w:tblPr>
        <w:tblStyle w:val="TableGrid"/>
        <w:bidiVisual/>
        <w:tblW w:w="0" w:type="auto"/>
        <w:tblLook w:val="04A0" w:firstRow="1" w:lastRow="0" w:firstColumn="1" w:lastColumn="0" w:noHBand="0" w:noVBand="1"/>
      </w:tblPr>
      <w:tblGrid>
        <w:gridCol w:w="4006"/>
        <w:gridCol w:w="4006"/>
      </w:tblGrid>
      <w:tr w:rsidR="00167ABC" w:rsidTr="00167ABC">
        <w:tc>
          <w:tcPr>
            <w:tcW w:w="4006" w:type="dxa"/>
          </w:tcPr>
          <w:p w:rsidR="00167ABC" w:rsidRDefault="00167ABC" w:rsidP="00992664">
            <w:pPr>
              <w:pStyle w:val="libFootnote0"/>
              <w:rPr>
                <w:rtl/>
              </w:rPr>
            </w:pPr>
            <w:r>
              <w:rPr>
                <w:rtl/>
              </w:rPr>
              <w:t xml:space="preserve">(11). </w:t>
            </w:r>
            <w:r w:rsidRPr="00020424">
              <w:rPr>
                <w:rtl/>
              </w:rPr>
              <w:t>في « بخ ، بر ، بف ، جر » : « بن</w:t>
            </w:r>
            <w:r>
              <w:rPr>
                <w:rtl/>
              </w:rPr>
              <w:t xml:space="preserve"> ».</w:t>
            </w:r>
          </w:p>
        </w:tc>
        <w:tc>
          <w:tcPr>
            <w:tcW w:w="4006" w:type="dxa"/>
          </w:tcPr>
          <w:p w:rsidR="00167ABC" w:rsidRDefault="00167ABC" w:rsidP="00992664">
            <w:pPr>
              <w:pStyle w:val="libFootnote0"/>
              <w:rPr>
                <w:rtl/>
              </w:rPr>
            </w:pPr>
            <w:r>
              <w:rPr>
                <w:rtl/>
              </w:rPr>
              <w:t xml:space="preserve">(12). </w:t>
            </w:r>
            <w:r w:rsidRPr="00020424">
              <w:rPr>
                <w:rtl/>
              </w:rPr>
              <w:t>في « بح » : « الخرّاز</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غَابَ الْهِلَالُ قَبْلَ الشَّفَقِ ، فَهُوَ لِلَيْلَتِهِ </w:t>
      </w:r>
      <w:r w:rsidRPr="00A91B96">
        <w:rPr>
          <w:rStyle w:val="libFootnotenumChar"/>
          <w:rtl/>
        </w:rPr>
        <w:t>(1)</w:t>
      </w:r>
      <w:r w:rsidRPr="00020424">
        <w:rPr>
          <w:rtl/>
          <w:lang w:bidi="fa-IR"/>
        </w:rPr>
        <w:t xml:space="preserve"> ، وَإِذَا غَابَ بَعْدَ الشَّفَقِ ، فَهُوَ لِلَيْلَتَيْنِ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15077">
        <w:rPr>
          <w:rtl/>
        </w:rPr>
        <w:t>6298</w:t>
      </w:r>
      <w:r w:rsidRPr="001155DE">
        <w:rPr>
          <w:rStyle w:val="libBold2Char"/>
          <w:rtl/>
        </w:rPr>
        <w:t xml:space="preserve"> / 8.</w:t>
      </w:r>
      <w:r w:rsidRPr="00020424">
        <w:rPr>
          <w:rtl/>
          <w:lang w:bidi="fa-IR"/>
        </w:rPr>
        <w:t xml:space="preserve"> عِدَّةٌ مِنْ أَصْحَابِنَا ، عَنْ أَحْمَدَ بْنِ مُحَمَّدِ بْنِ عِيسى ، عَنْ حَمْزَةَ بْنِ يَعْلى </w:t>
      </w:r>
      <w:r w:rsidRPr="00A91B96">
        <w:rPr>
          <w:rStyle w:val="libFootnotenumChar"/>
          <w:rtl/>
        </w:rPr>
        <w:t>(4)</w:t>
      </w:r>
      <w:r w:rsidRPr="00020424">
        <w:rPr>
          <w:rtl/>
          <w:lang w:bidi="fa-IR"/>
        </w:rPr>
        <w:t xml:space="preserve"> ، عَنْ مُحَمَّدِ بْنِ الْحَسَنِ بْنِ أَبِي خَالِدٍ يَرْفَعُهُ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(6)</w:t>
      </w:r>
      <w:r w:rsidRPr="00020424">
        <w:rPr>
          <w:rtl/>
          <w:lang w:bidi="fa-IR"/>
        </w:rPr>
        <w:t xml:space="preserve"> : « إِذَا صَحَّ هِلَالُ شَهْرِ </w:t>
      </w:r>
      <w:r w:rsidRPr="00A91B96">
        <w:rPr>
          <w:rStyle w:val="libFootnotenumChar"/>
          <w:rtl/>
        </w:rPr>
        <w:t>(7)</w:t>
      </w:r>
      <w:r w:rsidRPr="00020424">
        <w:rPr>
          <w:rtl/>
          <w:lang w:bidi="fa-IR"/>
        </w:rPr>
        <w:t xml:space="preserve"> رَجَبٍ ، فَعُدَّ تِسْعَةً وَخَمْسِينَ يَوْماً ، وَصُمْ </w:t>
      </w:r>
      <w:r w:rsidRPr="00A91B96">
        <w:rPr>
          <w:rStyle w:val="libFootnotenumChar"/>
          <w:rtl/>
        </w:rPr>
        <w:t>(8)</w:t>
      </w:r>
      <w:r w:rsidRPr="00020424">
        <w:rPr>
          <w:rtl/>
          <w:lang w:bidi="fa-IR"/>
        </w:rPr>
        <w:t xml:space="preserve"> يَوْمَ السِّتِّينَ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A15077">
        <w:rPr>
          <w:rtl/>
        </w:rPr>
        <w:t>6299</w:t>
      </w:r>
      <w:r w:rsidRPr="001155DE">
        <w:rPr>
          <w:rStyle w:val="libBold2Char"/>
          <w:rtl/>
        </w:rPr>
        <w:t xml:space="preserve"> / 9.</w:t>
      </w:r>
      <w:r w:rsidRPr="00020424">
        <w:rPr>
          <w:rtl/>
          <w:lang w:bidi="fa-IR"/>
        </w:rPr>
        <w:t xml:space="preserve"> أَحْمَدُ بْنُ مُحَمَّدٍ ، عَنْ بَكْرٍ </w:t>
      </w:r>
      <w:r w:rsidRPr="00A91B96">
        <w:rPr>
          <w:rStyle w:val="libFootnotenumChar"/>
          <w:rtl/>
        </w:rPr>
        <w:t>(11)</w:t>
      </w:r>
      <w:r w:rsidRPr="00020424">
        <w:rPr>
          <w:rtl/>
          <w:lang w:bidi="fa-IR"/>
        </w:rPr>
        <w:t xml:space="preserve"> وَمُحَمَّدِ بْنِ أَبِي صُهْبَانَ ، عَنْ حَفْصٍ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بح » : « لليلة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بف » : + « عليّ بن إبراهيم ، عن أبيه ، عن حمّاد بن عيسى ، عن إسماعيل بن الحرّ ، عن أبي عبد الله </w:t>
      </w:r>
      <w:r w:rsidR="00992664" w:rsidRPr="00D64ADA">
        <w:rPr>
          <w:rStyle w:val="libFootnoteAlaemChar"/>
          <w:rtl/>
        </w:rPr>
        <w:t>عليه‌السلام</w:t>
      </w:r>
      <w:r w:rsidR="00992664" w:rsidRPr="00020424">
        <w:rPr>
          <w:rtl/>
        </w:rPr>
        <w:t xml:space="preserve"> ، قال : إذا غاب الهلال قبل الشفق فهو لليلته ، وإذا غاب بعد الشفق فهو لليلتين</w:t>
      </w:r>
      <w:r w:rsidR="00992664">
        <w:rPr>
          <w:rtl/>
        </w:rPr>
        <w:t xml:space="preserve"> ».</w:t>
      </w:r>
      <w:r w:rsidR="00992664" w:rsidRPr="00020424">
        <w:rPr>
          <w:rtl/>
        </w:rPr>
        <w:t xml:space="preserve"> وهذه الزيادة في هذه النسخ تكرار لحديث 12 في هذا الباب.</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208 </w:t>
      </w:r>
      <w:r w:rsidR="00DF67D2">
        <w:rPr>
          <w:rFonts w:hint="cs"/>
          <w:rtl/>
        </w:rPr>
        <w:t>.</w:t>
      </w:r>
      <w:r w:rsidR="00992664" w:rsidRPr="0012008A">
        <w:rPr>
          <w:rStyle w:val="libFootnoteBoldChar"/>
          <w:rtl/>
        </w:rPr>
        <w:t>الوافي</w:t>
      </w:r>
      <w:r w:rsidR="00992664" w:rsidRPr="00020424">
        <w:rPr>
          <w:rtl/>
        </w:rPr>
        <w:t xml:space="preserve"> ، ج 11 ، ص 154 ، ح 10594 ؛ </w:t>
      </w:r>
      <w:r w:rsidR="00992664" w:rsidRPr="0012008A">
        <w:rPr>
          <w:rStyle w:val="libFootnoteBoldChar"/>
          <w:rtl/>
        </w:rPr>
        <w:t>الوسائل</w:t>
      </w:r>
      <w:r w:rsidR="00992664" w:rsidRPr="00020424">
        <w:rPr>
          <w:rtl/>
        </w:rPr>
        <w:t xml:space="preserve"> ، ج 10 ، ص 282 ، ذيل ح 13420.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بح ، بخ ، بر ، بف ، جر ، جن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وفي « ظ ، بث ، جن » والمطبوع : « حمزة أبي‌يعلى</w:t>
      </w:r>
      <w:r w:rsidR="00992664">
        <w:rPr>
          <w:rtl/>
        </w:rPr>
        <w:t xml:space="preserve"> ».</w:t>
      </w:r>
      <w:r w:rsidR="00992664" w:rsidRPr="00020424">
        <w:rPr>
          <w:rtl/>
        </w:rPr>
        <w:t xml:space="preserve"> وفي « ى » : « حمزة ، عن أبي يعلى</w:t>
      </w:r>
      <w:r w:rsidR="00992664">
        <w:rPr>
          <w:rtl/>
        </w:rPr>
        <w:t xml:space="preserve"> ».</w:t>
      </w:r>
      <w:r w:rsidR="00992664" w:rsidRPr="00020424">
        <w:rPr>
          <w:rtl/>
        </w:rPr>
        <w:t xml:space="preserve"> وفي « بس » : « حمزة بن أبي يعلى</w:t>
      </w:r>
      <w:r w:rsidR="00992664">
        <w:rPr>
          <w:rtl/>
        </w:rPr>
        <w:t xml:space="preserve"> ».</w:t>
      </w:r>
    </w:p>
    <w:p w:rsidR="00992664" w:rsidRPr="00020424" w:rsidRDefault="00992664" w:rsidP="00DF67D2">
      <w:pPr>
        <w:pStyle w:val="libFootnote0"/>
        <w:rPr>
          <w:rtl/>
          <w:lang w:bidi="fa-IR"/>
        </w:rPr>
      </w:pPr>
      <w:r w:rsidRPr="00DF67D2">
        <w:rPr>
          <w:rtl/>
        </w:rPr>
        <w:t xml:space="preserve">وحمزة بن يعلى هو أبو يعلى الأشعريّ القمّي. راجع : </w:t>
      </w:r>
      <w:r w:rsidRPr="00DE76B9">
        <w:rPr>
          <w:rStyle w:val="libFootnoteBoldChar"/>
          <w:rtl/>
        </w:rPr>
        <w:t>رجال النجاشي</w:t>
      </w:r>
      <w:r w:rsidRPr="00DF67D2">
        <w:rPr>
          <w:rtl/>
        </w:rPr>
        <w:t xml:space="preserve"> ، ص 141 ، الرقم 366.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ظ ، ى ، بث ، بح ، بخ ، بس ، بف ، جر » </w:t>
      </w:r>
      <w:r w:rsidR="00992664" w:rsidRPr="00F27D90">
        <w:rPr>
          <w:rtl/>
        </w:rPr>
        <w:t>والوسائل والتهذيب والاستبصار</w:t>
      </w:r>
      <w:r w:rsidR="00992664" w:rsidRPr="00020424">
        <w:rPr>
          <w:rtl/>
        </w:rPr>
        <w:t>. وفي « بر ، جن » والمطبوع : « رفعه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هكذا في النسخ</w:t>
      </w:r>
      <w:r w:rsidR="00992664" w:rsidRPr="00DF67D2">
        <w:rPr>
          <w:rtl/>
        </w:rPr>
        <w:t xml:space="preserve"> والوافي والوسائل والتهذيب والاستبصار. </w:t>
      </w:r>
      <w:r w:rsidR="00992664" w:rsidRPr="00020424">
        <w:rPr>
          <w:rtl/>
        </w:rPr>
        <w:t>وفي المطبوع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بك » </w:t>
      </w:r>
      <w:r w:rsidR="00992664" w:rsidRPr="00DF67D2">
        <w:rPr>
          <w:rtl/>
        </w:rPr>
        <w:t>والوافي والفقيه والتهذيب والاستبصار وفضائل الأشهر الثلاثة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 « فصم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DF67D2">
        <w:rPr>
          <w:rtl/>
        </w:rPr>
        <w:t>التهذيب والاستبصار وفضائل الأشهر الثلاثة : «</w:t>
      </w:r>
      <w:r w:rsidR="00992664" w:rsidRPr="00020424">
        <w:rPr>
          <w:rtl/>
        </w:rPr>
        <w:t xml:space="preserve"> ستّين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180 ، ح 500 ؛ </w:t>
      </w:r>
      <w:r w:rsidR="00992664" w:rsidRPr="00FD6221">
        <w:rPr>
          <w:rStyle w:val="libFootnoteBoldChar"/>
          <w:rtl/>
        </w:rPr>
        <w:t>والاستبصار</w:t>
      </w:r>
      <w:r w:rsidR="00992664" w:rsidRPr="00020424">
        <w:rPr>
          <w:rtl/>
        </w:rPr>
        <w:t xml:space="preserve"> ، ج 2 ، ص 77 ، ح 232 ، معلّقاً عن الكليني. </w:t>
      </w:r>
      <w:r w:rsidR="00992664" w:rsidRPr="00DE76B9">
        <w:rPr>
          <w:rStyle w:val="libFootnoteBoldChar"/>
          <w:rtl/>
        </w:rPr>
        <w:t>فضائل الأشهر الثلاثة</w:t>
      </w:r>
      <w:r w:rsidR="00992664" w:rsidRPr="00020424">
        <w:rPr>
          <w:rtl/>
        </w:rPr>
        <w:t xml:space="preserve"> ، ص 94 ، ح 75 ، بسنده عن حمزة بن يعلى ، عن محمّد بن الحسين بن أبي خالد ، رفعه إلى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125 ، ح 1918 ، مرسلاً </w:t>
      </w:r>
      <w:r w:rsidR="00DF67D2">
        <w:rPr>
          <w:rFonts w:hint="cs"/>
          <w:rtl/>
        </w:rPr>
        <w:t>.</w:t>
      </w:r>
      <w:r w:rsidR="00992664" w:rsidRPr="0012008A">
        <w:rPr>
          <w:rStyle w:val="libFootnoteBoldChar"/>
          <w:rtl/>
        </w:rPr>
        <w:t>الوافي</w:t>
      </w:r>
      <w:r w:rsidR="00992664" w:rsidRPr="00020424">
        <w:rPr>
          <w:rtl/>
        </w:rPr>
        <w:t xml:space="preserve"> ، ج 11 ، ص 153 ، ح 10592 ؛ </w:t>
      </w:r>
      <w:r w:rsidR="00992664" w:rsidRPr="0012008A">
        <w:rPr>
          <w:rStyle w:val="libFootnoteBoldChar"/>
          <w:rtl/>
        </w:rPr>
        <w:t>الوسائل</w:t>
      </w:r>
      <w:r w:rsidR="00992664" w:rsidRPr="00020424">
        <w:rPr>
          <w:rtl/>
        </w:rPr>
        <w:t xml:space="preserve"> ، ج 10 ، ص 298 ، ح 13463.</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جر » </w:t>
      </w:r>
      <w:r w:rsidR="00992664" w:rsidRPr="00515444">
        <w:rPr>
          <w:rStyle w:val="libFootnoteBoldChar"/>
          <w:rtl/>
        </w:rPr>
        <w:t>والوافي</w:t>
      </w:r>
      <w:r w:rsidR="00992664" w:rsidRPr="00020424">
        <w:rPr>
          <w:rtl/>
        </w:rPr>
        <w:t xml:space="preserve"> : « أحمد ، عن محمّد بن بكر</w:t>
      </w:r>
      <w:r w:rsidR="00992664">
        <w:rPr>
          <w:rtl/>
        </w:rPr>
        <w:t xml:space="preserve"> ».</w:t>
      </w:r>
      <w:r w:rsidR="00992664" w:rsidRPr="00020424">
        <w:rPr>
          <w:rtl/>
        </w:rPr>
        <w:t xml:space="preserve"> وفي </w:t>
      </w:r>
      <w:r w:rsidR="00992664" w:rsidRPr="00F27D90">
        <w:rPr>
          <w:rtl/>
        </w:rPr>
        <w:t>الوسائل والتهذيب والاستبصار</w:t>
      </w:r>
      <w:r w:rsidR="00992664" w:rsidRPr="00020424">
        <w:rPr>
          <w:rtl/>
        </w:rPr>
        <w:t xml:space="preserve"> : « أحمد بن محمّد ، عن محمّد بن بكر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عَمْرِو بْنِ سَالِمٍ </w:t>
      </w:r>
      <w:r w:rsidRPr="00A91B96">
        <w:rPr>
          <w:rStyle w:val="libFootnotenumChar"/>
          <w:rtl/>
        </w:rPr>
        <w:t>(1)</w:t>
      </w:r>
      <w:r w:rsidRPr="00020424">
        <w:rPr>
          <w:rtl/>
          <w:lang w:bidi="fa-IR"/>
        </w:rPr>
        <w:t xml:space="preserve"> وَمُحَمَّدِ بْنِ زِيَادِ بْنِ عِيسى ، عَنْ هَارُونَ بْنِ خَارِجَةَ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عُدَّ شَعْبَانَ تِسْعَةً وَعِشْرِينَ يَوْماً ، فَإِنْ </w:t>
      </w:r>
      <w:r w:rsidRPr="00A91B96">
        <w:rPr>
          <w:rStyle w:val="libFootnotenumChar"/>
          <w:rtl/>
        </w:rPr>
        <w:t>(2)</w:t>
      </w:r>
      <w:r w:rsidRPr="00020424">
        <w:rPr>
          <w:rtl/>
          <w:lang w:bidi="fa-IR"/>
        </w:rPr>
        <w:t xml:space="preserve"> كَانَتْ مُتَغَيِّمَةً ، فَأَصْبِحْ صَائِماً </w:t>
      </w:r>
      <w:r w:rsidRPr="00A91B96">
        <w:rPr>
          <w:rStyle w:val="libFootnotenumChar"/>
          <w:rtl/>
        </w:rPr>
        <w:t>(3)</w:t>
      </w:r>
      <w:r w:rsidRPr="00020424">
        <w:rPr>
          <w:rtl/>
          <w:lang w:bidi="fa-IR"/>
        </w:rPr>
        <w:t xml:space="preserve"> ، فَإِنْ </w:t>
      </w:r>
      <w:r w:rsidRPr="00A91B96">
        <w:rPr>
          <w:rStyle w:val="libFootnotenumChar"/>
          <w:rtl/>
        </w:rPr>
        <w:t>(4)</w:t>
      </w:r>
      <w:r w:rsidRPr="00020424">
        <w:rPr>
          <w:rtl/>
          <w:lang w:bidi="fa-IR"/>
        </w:rPr>
        <w:t xml:space="preserve"> كَانَتْ </w:t>
      </w:r>
      <w:r w:rsidRPr="00A91B96">
        <w:rPr>
          <w:rStyle w:val="libFootnotenumChar"/>
          <w:rtl/>
        </w:rPr>
        <w:t>(5)</w:t>
      </w:r>
      <w:r w:rsidRPr="00020424">
        <w:rPr>
          <w:rtl/>
          <w:lang w:bidi="fa-IR"/>
        </w:rPr>
        <w:t xml:space="preserve"> صَاحِيَةً </w:t>
      </w:r>
      <w:r w:rsidRPr="00A91B96">
        <w:rPr>
          <w:rStyle w:val="libFootnotenumChar"/>
          <w:rtl/>
        </w:rPr>
        <w:t>(6)</w:t>
      </w:r>
      <w:r w:rsidRPr="00020424">
        <w:rPr>
          <w:rtl/>
          <w:lang w:bidi="fa-IR"/>
        </w:rPr>
        <w:t xml:space="preserve"> ، وَتَبَصَّرْتَهُ وَلَمْ تَرَ شَيْئاً ، فَأَصْبِحْ مُفْطِراً</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A15077">
        <w:rPr>
          <w:rtl/>
        </w:rPr>
        <w:t>6300</w:t>
      </w:r>
      <w:r w:rsidRPr="001155DE">
        <w:rPr>
          <w:rStyle w:val="libBold2Char"/>
          <w:rtl/>
        </w:rPr>
        <w:t xml:space="preserve"> / 10.</w:t>
      </w:r>
      <w:r w:rsidRPr="00020424">
        <w:rPr>
          <w:rtl/>
          <w:lang w:bidi="fa-IR"/>
        </w:rPr>
        <w:t xml:space="preserve"> عَلِيُّ بْنُ إِبْرَاهِيمَ ، عَنْ أَبِيهِ ، عَنِ ابْنِ أَبِي عُمَيْرٍ ، عَنْ حَمَّادٍ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رَأَوُا الْهِلَالَ قَبْلَ الزَّوَالِ ، فَهُوَ لِلَيْلَتِهِ </w:t>
      </w:r>
      <w:r w:rsidRPr="00A91B96">
        <w:rPr>
          <w:rStyle w:val="libFootnotenumChar"/>
          <w:rtl/>
        </w:rPr>
        <w:t>(9)</w:t>
      </w:r>
      <w:r w:rsidRPr="00020424">
        <w:rPr>
          <w:rtl/>
          <w:lang w:bidi="fa-IR"/>
        </w:rPr>
        <w:t xml:space="preserve"> الْمَاضِيَةِ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جر » : « حفص بن عمر بن سالم</w:t>
      </w:r>
      <w:r w:rsidR="00992664">
        <w:rPr>
          <w:rtl/>
        </w:rPr>
        <w:t xml:space="preserve"> ».</w:t>
      </w:r>
      <w:r w:rsidR="00992664" w:rsidRPr="00020424">
        <w:rPr>
          <w:rtl/>
        </w:rPr>
        <w:t xml:space="preserve"> وفي </w:t>
      </w:r>
      <w:r w:rsidR="00992664" w:rsidRPr="00F27D90">
        <w:rPr>
          <w:rtl/>
        </w:rPr>
        <w:t>التهذيب والاستبصار والوافي والوسائل :</w:t>
      </w:r>
      <w:r w:rsidR="00992664" w:rsidRPr="00020424">
        <w:rPr>
          <w:rtl/>
        </w:rPr>
        <w:t xml:space="preserve"> « حفص عن عمر بن سالم</w:t>
      </w:r>
      <w:r w:rsidR="00992664">
        <w:rPr>
          <w:rtl/>
        </w:rPr>
        <w:t xml:space="preserve"> ».</w:t>
      </w:r>
    </w:p>
    <w:p w:rsidR="00992664" w:rsidRPr="00020424" w:rsidRDefault="00992664" w:rsidP="00DF67D2">
      <w:pPr>
        <w:pStyle w:val="libFootnote0"/>
        <w:rPr>
          <w:rtl/>
          <w:lang w:bidi="fa-IR"/>
        </w:rPr>
      </w:pPr>
      <w:r w:rsidRPr="00DF67D2">
        <w:rPr>
          <w:rtl/>
        </w:rPr>
        <w:t xml:space="preserve">هذا ، ولم يظهر لنا ما هو الصواب في العنوانين : « بكر » أو « محمّد بن بكر » و « حفص عن عمرو بن سالم » أو « حفص بن عمر بن سالم ». لكن الظاهر بملاحظة ما ورد في </w:t>
      </w:r>
      <w:r w:rsidRPr="00DE76B9">
        <w:rPr>
          <w:rStyle w:val="libFootnoteBoldChar"/>
          <w:rtl/>
        </w:rPr>
        <w:t>الكافي</w:t>
      </w:r>
      <w:r w:rsidRPr="00DF67D2">
        <w:rPr>
          <w:rtl/>
        </w:rPr>
        <w:t xml:space="preserve"> ، ح 6313 ، من رواية عدّة من أصحابنا ، عن أحمد بن محمّد ، عن محمّد بن أبي الصهبان ، وقوع التعليق في سندنا هذا ، فيروي عن أحمد [ بن محمّد ] ، عدّة من أصحابنا.</w:t>
      </w:r>
    </w:p>
    <w:p w:rsidR="00992664" w:rsidRPr="00020424" w:rsidRDefault="00795177" w:rsidP="00DF67D2">
      <w:pPr>
        <w:pStyle w:val="libFootnote0"/>
        <w:rPr>
          <w:rtl/>
          <w:lang w:bidi="fa-IR"/>
        </w:rPr>
      </w:pPr>
      <w:r>
        <w:rPr>
          <w:rtl/>
        </w:rPr>
        <w:t>(2).</w:t>
      </w:r>
      <w:r w:rsidR="0014403D">
        <w:rPr>
          <w:rtl/>
        </w:rPr>
        <w:t xml:space="preserve"> </w:t>
      </w:r>
      <w:r w:rsidR="00992664" w:rsidRPr="00020424">
        <w:rPr>
          <w:rtl/>
        </w:rPr>
        <w:t>في « جن » : « وإن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فأصبح صائماً ؛ يعني بنيّة شعبان ؛ لأنّه يوم الشكّ الذي صائمه موفّق له ، بخلاف ما إذا كانت‌صاحية ؛ فإنّه لا شكّ فيه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فأصبح صائماً ، أي على الفضل والاستحباب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بث ، بخ ، بر ، بف ، بك » </w:t>
      </w:r>
      <w:r w:rsidR="00992664" w:rsidRPr="00F27D90">
        <w:rPr>
          <w:rtl/>
        </w:rPr>
        <w:t>والوافي والوسائل والتهذيب والاستبصار</w:t>
      </w:r>
      <w:r w:rsidR="00992664" w:rsidRPr="00020424">
        <w:rPr>
          <w:rtl/>
        </w:rPr>
        <w:t xml:space="preserve"> : « وإن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كان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جن » </w:t>
      </w:r>
      <w:r w:rsidR="00992664" w:rsidRPr="00DF67D2">
        <w:rPr>
          <w:rtl/>
        </w:rPr>
        <w:t>والوسائل والتهذيب والاستبصار</w:t>
      </w:r>
      <w:r w:rsidR="00992664" w:rsidRPr="00020424">
        <w:rPr>
          <w:rtl/>
        </w:rPr>
        <w:t xml:space="preserve"> : « مصحية</w:t>
      </w:r>
      <w:r w:rsidR="00992664">
        <w:rPr>
          <w:rtl/>
        </w:rPr>
        <w:t xml:space="preserve"> ».</w:t>
      </w:r>
      <w:r w:rsidR="00992664" w:rsidRPr="00020424">
        <w:rPr>
          <w:rtl/>
        </w:rPr>
        <w:t xml:space="preserve"> ويحتمل ذلك من « ظ ، ى ، بث ، بح ، بس</w:t>
      </w:r>
      <w:r w:rsidR="00992664">
        <w:rPr>
          <w:rtl/>
        </w:rPr>
        <w:t xml:space="preserve"> ».</w:t>
      </w:r>
      <w:r w:rsidR="00992664" w:rsidRPr="00020424">
        <w:rPr>
          <w:rtl/>
        </w:rPr>
        <w:t xml:space="preserve"> والصَّحْو : ذهاب الغيم ، قاله الجوهري. وقيل : الع</w:t>
      </w:r>
      <w:r w:rsidR="00DF67D2">
        <w:rPr>
          <w:rtl/>
        </w:rPr>
        <w:t>امّة تظنّ أنّ الصحو لا يكون إل</w:t>
      </w:r>
      <w:r w:rsidR="00DF67D2">
        <w:rPr>
          <w:rFonts w:hint="cs"/>
          <w:rtl/>
        </w:rPr>
        <w:t>ّ</w:t>
      </w:r>
      <w:r w:rsidR="00DF67D2">
        <w:rPr>
          <w:rtl/>
        </w:rPr>
        <w:t>ا</w:t>
      </w:r>
      <w:r w:rsidR="00992664" w:rsidRPr="00020424">
        <w:rPr>
          <w:rtl/>
        </w:rPr>
        <w:t xml:space="preserve">ذهاب الغيم وليس كذلك ، وإنّما الصحو تفرّق الغيم مع ذهاب البرد. راجع : </w:t>
      </w:r>
      <w:r w:rsidR="00992664" w:rsidRPr="0012008A">
        <w:rPr>
          <w:rStyle w:val="libFootnoteBoldChar"/>
          <w:rtl/>
        </w:rPr>
        <w:t>الصحاح</w:t>
      </w:r>
      <w:r w:rsidR="00992664" w:rsidRPr="00020424">
        <w:rPr>
          <w:rtl/>
        </w:rPr>
        <w:t xml:space="preserve"> ، ج 6 ، ص 2399 ؛ </w:t>
      </w:r>
      <w:r w:rsidR="00992664" w:rsidRPr="00A722B1">
        <w:rPr>
          <w:rStyle w:val="libFootnoteBoldChar"/>
          <w:rtl/>
        </w:rPr>
        <w:t>المصباح المنير</w:t>
      </w:r>
      <w:r w:rsidR="00992664" w:rsidRPr="00020424">
        <w:rPr>
          <w:rtl/>
        </w:rPr>
        <w:t xml:space="preserve"> ، ص 334 ( صحا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180 ، ح 501 ؛ </w:t>
      </w:r>
      <w:r w:rsidR="00992664" w:rsidRPr="00FD6221">
        <w:rPr>
          <w:rStyle w:val="libFootnoteBoldChar"/>
          <w:rtl/>
        </w:rPr>
        <w:t>والاستبصار</w:t>
      </w:r>
      <w:r w:rsidR="00992664" w:rsidRPr="00020424">
        <w:rPr>
          <w:rtl/>
        </w:rPr>
        <w:t xml:space="preserve"> ، ج 2 ، ص 77 ، ح 233 ، معلّقاً عن الكليني. وفي </w:t>
      </w:r>
      <w:r w:rsidR="00992664" w:rsidRPr="0012008A">
        <w:rPr>
          <w:rStyle w:val="libFootnoteBoldChar"/>
          <w:rtl/>
        </w:rPr>
        <w:t>التهذيب</w:t>
      </w:r>
      <w:r w:rsidR="00992664" w:rsidRPr="00020424">
        <w:rPr>
          <w:rtl/>
        </w:rPr>
        <w:t xml:space="preserve"> ، ج 4 ، ص 159 ، ح 447 ، بسنده عن أحمد بن محمّد </w:t>
      </w:r>
      <w:r w:rsidR="00992664" w:rsidRPr="0012008A">
        <w:rPr>
          <w:rStyle w:val="libFootnoteBoldChar"/>
          <w:rtl/>
        </w:rPr>
        <w:t>الوافي</w:t>
      </w:r>
      <w:r w:rsidR="00992664" w:rsidRPr="00020424">
        <w:rPr>
          <w:rtl/>
        </w:rPr>
        <w:t xml:space="preserve"> ، ج 11 ، ص 114 ، ح 10515 ؛ </w:t>
      </w:r>
      <w:r w:rsidR="00992664" w:rsidRPr="0012008A">
        <w:rPr>
          <w:rStyle w:val="libFootnoteBoldChar"/>
          <w:rtl/>
        </w:rPr>
        <w:t>الوسائل</w:t>
      </w:r>
      <w:r w:rsidR="00992664" w:rsidRPr="00020424">
        <w:rPr>
          <w:rtl/>
        </w:rPr>
        <w:t xml:space="preserve"> ، ج 10 ، ص 299 ، ح 13464.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جر </w:t>
      </w:r>
      <w:r w:rsidR="00992664" w:rsidRPr="00DF67D2">
        <w:rPr>
          <w:rtl/>
        </w:rPr>
        <w:t xml:space="preserve">» والوسائل والتهذيب والاستبصار </w:t>
      </w:r>
      <w:r w:rsidR="00992664" w:rsidRPr="00020424">
        <w:rPr>
          <w:rtl/>
        </w:rPr>
        <w:t>: + « بن عثمان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بح ، جن » </w:t>
      </w:r>
      <w:r w:rsidR="00992664" w:rsidRPr="00DF67D2">
        <w:rPr>
          <w:rtl/>
        </w:rPr>
        <w:t>والوسائل والتهذيب والاستبصار ،</w:t>
      </w:r>
      <w:r w:rsidR="00992664" w:rsidRPr="00020424">
        <w:rPr>
          <w:rtl/>
        </w:rPr>
        <w:t xml:space="preserve"> ص 73 : « لليلة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اختلف الأصحاب في الرؤية قبل الزوال ، والمشهور أنّها للّيلة المستقبلة. ونقل عن السيّد </w:t>
      </w:r>
      <w:r w:rsidR="00D64ADA" w:rsidRPr="00D64ADA">
        <w:rPr>
          <w:rStyle w:val="libFootnoteAlaemChar"/>
          <w:rtl/>
        </w:rPr>
        <w:t>رحمه‌الله</w:t>
      </w:r>
      <w:r w:rsidR="00992664" w:rsidRPr="00020424">
        <w:rPr>
          <w:rtl/>
        </w:rPr>
        <w:t xml:space="preserve"> القول بأنّها للّيلة الماضية. وقال في </w:t>
      </w:r>
      <w:r w:rsidR="00992664" w:rsidRPr="00DE76B9">
        <w:rPr>
          <w:rStyle w:val="libFootnoteBoldChar"/>
          <w:rtl/>
        </w:rPr>
        <w:t>المختلف</w:t>
      </w:r>
      <w:r w:rsidR="00992664" w:rsidRPr="00020424">
        <w:rPr>
          <w:rtl/>
        </w:rPr>
        <w:t xml:space="preserve"> : الأقرب اعتبار ذلك في الصوم دون الفطر</w:t>
      </w:r>
      <w:r w:rsidR="00992664">
        <w:rPr>
          <w:rtl/>
        </w:rPr>
        <w:t xml:space="preserve"> ».</w:t>
      </w:r>
      <w:r w:rsidR="00992664" w:rsidRPr="00020424">
        <w:rPr>
          <w:rtl/>
        </w:rPr>
        <w:t xml:space="preserve"> وللمزيد </w:t>
      </w:r>
      <w:r w:rsidR="00C6213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وَإِذَا رَأَوْهُ </w:t>
      </w:r>
      <w:r w:rsidRPr="00A91B96">
        <w:rPr>
          <w:rStyle w:val="libFootnotenumChar"/>
          <w:rtl/>
        </w:rPr>
        <w:t>(1)</w:t>
      </w:r>
      <w:r w:rsidRPr="00020424">
        <w:rPr>
          <w:rtl/>
          <w:lang w:bidi="fa-IR"/>
        </w:rPr>
        <w:t xml:space="preserve"> بَعْدَ الزَّوَالِ ، فَهُوَ لِلَيْلَتِهِ </w:t>
      </w:r>
      <w:r w:rsidRPr="00A91B96">
        <w:rPr>
          <w:rStyle w:val="libFootnotenumChar"/>
          <w:rtl/>
        </w:rPr>
        <w:t>(2)</w:t>
      </w:r>
      <w:r w:rsidRPr="00020424">
        <w:rPr>
          <w:rtl/>
          <w:lang w:bidi="fa-IR"/>
        </w:rPr>
        <w:t xml:space="preserve"> الْمُسْتَقْبَلَةِ</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15077">
        <w:rPr>
          <w:rtl/>
        </w:rPr>
        <w:t>6301</w:t>
      </w:r>
      <w:r w:rsidRPr="001155DE">
        <w:rPr>
          <w:rStyle w:val="libBold2Char"/>
          <w:rtl/>
        </w:rPr>
        <w:t xml:space="preserve"> / 11.</w:t>
      </w:r>
      <w:r w:rsidRPr="00020424">
        <w:rPr>
          <w:rtl/>
          <w:lang w:bidi="fa-IR"/>
        </w:rPr>
        <w:t xml:space="preserve"> أَحْمَدُ بْنُ إِدْرِيسَ ، عَنْ مُحَمَّدِ بْنِ أَحْمَدَ ، عَنْ يَعْقُوبَ بْنِ يَزِيدَ ، عَنْ مُحَمَّدِ بْنِ مُرَازِمٍ ، عَنْ أَبِيهِ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تَطَوَّقَ الْهِلَالُ </w:t>
      </w:r>
      <w:r w:rsidRPr="00A91B96">
        <w:rPr>
          <w:rStyle w:val="libFootnotenumChar"/>
          <w:rtl/>
        </w:rPr>
        <w:t>(4)</w:t>
      </w:r>
      <w:r w:rsidRPr="00020424">
        <w:rPr>
          <w:rtl/>
          <w:lang w:bidi="fa-IR"/>
        </w:rPr>
        <w:t xml:space="preserve"> ، فَهُوَ لِلَيْلَتَيْنِ ؛ وَإِذَا </w:t>
      </w:r>
      <w:r w:rsidRPr="00A91B96">
        <w:rPr>
          <w:rStyle w:val="libFootnotenumChar"/>
          <w:rtl/>
        </w:rPr>
        <w:t>(5)</w:t>
      </w:r>
      <w:r w:rsidRPr="00020424">
        <w:rPr>
          <w:rtl/>
          <w:lang w:bidi="fa-IR"/>
        </w:rPr>
        <w:t xml:space="preserve"> رَأَيْتَ ظِلَّ رَأْسِكَ </w:t>
      </w:r>
      <w:r w:rsidRPr="00A91B96">
        <w:rPr>
          <w:rStyle w:val="libFootnotenumChar"/>
          <w:rtl/>
        </w:rPr>
        <w:t>(6)</w:t>
      </w:r>
      <w:r w:rsidRPr="00020424">
        <w:rPr>
          <w:rtl/>
          <w:lang w:bidi="fa-IR"/>
        </w:rPr>
        <w:t xml:space="preserve"> فِيهِ </w:t>
      </w:r>
      <w:r w:rsidRPr="00A91B96">
        <w:rPr>
          <w:rStyle w:val="libFootnotenumChar"/>
          <w:rtl/>
        </w:rPr>
        <w:t>(7)</w:t>
      </w:r>
      <w:r w:rsidRPr="00020424">
        <w:rPr>
          <w:rtl/>
          <w:lang w:bidi="fa-IR"/>
        </w:rPr>
        <w:t xml:space="preserve"> ، فَهُوَ لِثَلَاثِ لَيَالٍ</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15077">
        <w:rPr>
          <w:rtl/>
        </w:rPr>
        <w:t>6302</w:t>
      </w:r>
      <w:r w:rsidRPr="001155DE">
        <w:rPr>
          <w:rStyle w:val="libBold2Char"/>
          <w:rtl/>
        </w:rPr>
        <w:t xml:space="preserve"> / 12.</w:t>
      </w:r>
      <w:r w:rsidRPr="00020424">
        <w:rPr>
          <w:rtl/>
          <w:lang w:bidi="fa-IR"/>
        </w:rPr>
        <w:t xml:space="preserve"> عَلِيُّ بْنُ إِبْرَاهِيمَ ، عَنْ أَبِيهِ ، عَنْ حَمَّادِ بْنِ عِيسى ، عَنْ إِسْمَاعِيلَ بْنِ الْحُرِّ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غَابَ الْهِلَالُ قَبْلَ الشَّفَقِ ، فَهُوَ لِلَيْلَتِهِ </w:t>
      </w:r>
      <w:r w:rsidRPr="00A91B96">
        <w:rPr>
          <w:rStyle w:val="libFootnotenumChar"/>
          <w:rtl/>
        </w:rPr>
        <w:t>(9)</w:t>
      </w:r>
      <w:r w:rsidRPr="00020424">
        <w:rPr>
          <w:rtl/>
          <w:lang w:bidi="fa-IR"/>
        </w:rPr>
        <w:t xml:space="preserve"> ؛ وَإِذَا </w:t>
      </w:r>
      <w:r w:rsidRPr="00A91B96">
        <w:rPr>
          <w:rStyle w:val="libFootnotenumChar"/>
          <w:rtl/>
        </w:rPr>
        <w:t>(10)</w:t>
      </w:r>
      <w:r w:rsidRPr="00020424">
        <w:rPr>
          <w:rtl/>
          <w:lang w:bidi="fa-IR"/>
        </w:rPr>
        <w:t xml:space="preserve"> غَابَ‌</w:t>
      </w:r>
    </w:p>
    <w:p w:rsidR="00992664" w:rsidRPr="00020424" w:rsidRDefault="00992664" w:rsidP="00992664">
      <w:pPr>
        <w:pStyle w:val="libLine"/>
        <w:rPr>
          <w:rtl/>
          <w:lang w:bidi="fa-IR"/>
        </w:rPr>
      </w:pPr>
      <w:r w:rsidRPr="00020424">
        <w:rPr>
          <w:rtl/>
          <w:lang w:bidi="fa-IR"/>
        </w:rPr>
        <w:t>__________________</w:t>
      </w:r>
    </w:p>
    <w:p w:rsidR="00992664" w:rsidRPr="00020424" w:rsidRDefault="00FB05C4" w:rsidP="00992664">
      <w:pPr>
        <w:pStyle w:val="libFootnote0"/>
        <w:rPr>
          <w:rtl/>
          <w:lang w:bidi="fa-IR"/>
        </w:rPr>
      </w:pPr>
      <w:r>
        <w:rPr>
          <w:rFonts w:hint="cs"/>
          <w:rtl/>
        </w:rPr>
        <w:t xml:space="preserve">= </w:t>
      </w:r>
      <w:r w:rsidR="00992664" w:rsidRPr="00020424">
        <w:rPr>
          <w:rtl/>
        </w:rPr>
        <w:t xml:space="preserve">راجع : </w:t>
      </w:r>
      <w:r w:rsidR="00992664" w:rsidRPr="00DE76B9">
        <w:rPr>
          <w:rStyle w:val="libFootnoteBoldChar"/>
          <w:rtl/>
        </w:rPr>
        <w:t>الناصريّات</w:t>
      </w:r>
      <w:r w:rsidR="00992664" w:rsidRPr="00020424">
        <w:rPr>
          <w:rtl/>
        </w:rPr>
        <w:t xml:space="preserve"> ، ص 291 ، المسألة 126 ؛ </w:t>
      </w:r>
      <w:r w:rsidR="00992664" w:rsidRPr="00DE76B9">
        <w:rPr>
          <w:rStyle w:val="libFootnoteBoldChar"/>
          <w:rtl/>
        </w:rPr>
        <w:t>مختلف الشيعة</w:t>
      </w:r>
      <w:r w:rsidR="00992664" w:rsidRPr="00020424">
        <w:rPr>
          <w:rtl/>
        </w:rPr>
        <w:t xml:space="preserve"> ، ج 13 ، ص 493</w:t>
      </w:r>
      <w:r w:rsidR="00992664">
        <w:rPr>
          <w:rtl/>
        </w:rPr>
        <w:t xml:space="preserve"> </w:t>
      </w:r>
      <w:r w:rsidR="009B673F">
        <w:rPr>
          <w:rtl/>
        </w:rPr>
        <w:t>-</w:t>
      </w:r>
      <w:r w:rsidR="00992664">
        <w:rPr>
          <w:rtl/>
        </w:rPr>
        <w:t xml:space="preserve"> </w:t>
      </w:r>
      <w:r w:rsidR="00992664" w:rsidRPr="00020424">
        <w:rPr>
          <w:rtl/>
        </w:rPr>
        <w:t xml:space="preserve">494 ؛ </w:t>
      </w:r>
      <w:r w:rsidR="00992664" w:rsidRPr="00E57D58">
        <w:rPr>
          <w:rStyle w:val="libFootnoteBoldChar"/>
          <w:rtl/>
        </w:rPr>
        <w:t>مدارك الأحكام</w:t>
      </w:r>
      <w:r w:rsidR="00992664" w:rsidRPr="00020424">
        <w:rPr>
          <w:rtl/>
        </w:rPr>
        <w:t xml:space="preserve"> ، ج 6 ، ص 179</w:t>
      </w:r>
      <w:r w:rsidR="00992664">
        <w:rPr>
          <w:rtl/>
        </w:rPr>
        <w:t xml:space="preserve"> </w:t>
      </w:r>
      <w:r w:rsidR="009B673F">
        <w:rPr>
          <w:rtl/>
        </w:rPr>
        <w:t>-</w:t>
      </w:r>
      <w:r w:rsidR="00992664">
        <w:rPr>
          <w:rtl/>
        </w:rPr>
        <w:t xml:space="preserve"> </w:t>
      </w:r>
      <w:r w:rsidR="00992664" w:rsidRPr="00020424">
        <w:rPr>
          <w:rtl/>
        </w:rPr>
        <w:t>180.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 « رأوا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بث ، بح ، بف ، جن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ص 73 : « لليلة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176 ، ح 488 ؛ </w:t>
      </w:r>
      <w:r w:rsidR="00992664" w:rsidRPr="00FD6221">
        <w:rPr>
          <w:rStyle w:val="libFootnoteBoldChar"/>
          <w:rtl/>
        </w:rPr>
        <w:t>والاستبصار</w:t>
      </w:r>
      <w:r w:rsidR="00992664" w:rsidRPr="00020424">
        <w:rPr>
          <w:rtl/>
        </w:rPr>
        <w:t xml:space="preserve"> ، ج 2 ، ص 73 ، ح 225 ، معلّقاً ، عن الكليني. وفي </w:t>
      </w:r>
      <w:r w:rsidR="00992664" w:rsidRPr="0012008A">
        <w:rPr>
          <w:rStyle w:val="libFootnoteBoldChar"/>
          <w:rtl/>
        </w:rPr>
        <w:t>التهذيب</w:t>
      </w:r>
      <w:r w:rsidR="00992664" w:rsidRPr="00020424">
        <w:rPr>
          <w:rtl/>
        </w:rPr>
        <w:t xml:space="preserve"> ، ج 4 ، ص 176 ، ح 489 ؛ </w:t>
      </w:r>
      <w:r w:rsidR="00992664" w:rsidRPr="00FD6221">
        <w:rPr>
          <w:rStyle w:val="libFootnoteBoldChar"/>
          <w:rtl/>
        </w:rPr>
        <w:t>والاستبصار</w:t>
      </w:r>
      <w:r w:rsidR="00992664" w:rsidRPr="00020424">
        <w:rPr>
          <w:rtl/>
        </w:rPr>
        <w:t xml:space="preserve"> ، ج 2 ، ص 74 ، ح 226 ، بسند آخر. </w:t>
      </w:r>
      <w:r w:rsidR="00992664" w:rsidRPr="0012008A">
        <w:rPr>
          <w:rStyle w:val="libFootnoteBoldChar"/>
          <w:rtl/>
        </w:rPr>
        <w:t>الفقيه</w:t>
      </w:r>
      <w:r w:rsidR="00992664" w:rsidRPr="00020424">
        <w:rPr>
          <w:rtl/>
        </w:rPr>
        <w:t xml:space="preserve"> ، ج 2 ، ص 169 ، ذيل ح 2038 ، وفي الثلاثة الأخيرة مع اختلاف </w:t>
      </w:r>
      <w:r w:rsidR="00FB05C4">
        <w:rPr>
          <w:rFonts w:hint="cs"/>
          <w:rtl/>
        </w:rPr>
        <w:t>.</w:t>
      </w:r>
      <w:r w:rsidR="00992664" w:rsidRPr="0012008A">
        <w:rPr>
          <w:rStyle w:val="libFootnoteBoldChar"/>
          <w:rtl/>
        </w:rPr>
        <w:t>الوافي</w:t>
      </w:r>
      <w:r w:rsidR="00992664" w:rsidRPr="00020424">
        <w:rPr>
          <w:rtl/>
        </w:rPr>
        <w:t xml:space="preserve"> ، ج 11 ، ص 147 ، ح 10581 ؛ </w:t>
      </w:r>
      <w:r w:rsidR="00992664" w:rsidRPr="0012008A">
        <w:rPr>
          <w:rStyle w:val="libFootnoteBoldChar"/>
          <w:rtl/>
        </w:rPr>
        <w:t>الوسائل</w:t>
      </w:r>
      <w:r w:rsidR="00992664" w:rsidRPr="00020424">
        <w:rPr>
          <w:rtl/>
        </w:rPr>
        <w:t xml:space="preserve"> ، ج 10 ، ص 280 ، ذيل ح 13415.</w:t>
      </w:r>
    </w:p>
    <w:p w:rsidR="00992664" w:rsidRPr="00020424" w:rsidRDefault="00795177" w:rsidP="00FB05C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هذه الأخبار حملها في </w:t>
      </w:r>
      <w:r w:rsidR="00992664" w:rsidRPr="0012008A">
        <w:rPr>
          <w:rStyle w:val="libFootnoteBoldChar"/>
          <w:rtl/>
        </w:rPr>
        <w:t>التهذيب</w:t>
      </w:r>
      <w:r w:rsidR="00992664" w:rsidRPr="00020424">
        <w:rPr>
          <w:rtl/>
        </w:rPr>
        <w:t>ين على ما إذا كانت السماء متغيّمة ، ويكون فيها علّة مانعة من‌الرؤية ، فيعتبر حينئذٍ في الليلة المستقبلة الغيبوبة والتطوّق ورؤية الظلّ ونحوها ، دون أن تكون مصحية ، كما أنّ الشاهدين من خارج البلد إنّما يعتبر مع العلّة دون الصحو</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إذا تطوّق الهلال ، إلخ ، نقل ا</w:t>
      </w:r>
      <w:r w:rsidR="00FB05C4">
        <w:rPr>
          <w:rtl/>
        </w:rPr>
        <w:t>لإجماع على عدم اعتبار ذلك ، إل</w:t>
      </w:r>
      <w:r w:rsidR="00FB05C4">
        <w:rPr>
          <w:rFonts w:hint="cs"/>
          <w:rtl/>
        </w:rPr>
        <w:t>ّ</w:t>
      </w:r>
      <w:r w:rsidR="00FB05C4">
        <w:rPr>
          <w:rtl/>
        </w:rPr>
        <w:t>ا</w:t>
      </w:r>
      <w:r w:rsidR="00992664">
        <w:rPr>
          <w:rFonts w:hint="cs"/>
          <w:rtl/>
        </w:rPr>
        <w:t xml:space="preserve"> </w:t>
      </w:r>
      <w:r w:rsidR="00992664" w:rsidRPr="00020424">
        <w:rPr>
          <w:rtl/>
        </w:rPr>
        <w:t>أنّ الشيخ في كتابي الأخبار حملها على ما إذا كان في السماء علّة من غيم</w:t>
      </w:r>
      <w:r w:rsidR="00992664">
        <w:rPr>
          <w:rtl/>
        </w:rPr>
        <w:t xml:space="preserve"> ».</w:t>
      </w:r>
      <w:r w:rsidR="00FB05C4">
        <w:rPr>
          <w:rFonts w:hint="cs"/>
          <w:rtl/>
        </w:rPr>
        <w:t xml:space="preserve">                                              </w:t>
      </w:r>
      <w:r w:rsidR="00F27D90">
        <w:rPr>
          <w:rFonts w:hint="cs"/>
          <w:rtl/>
        </w:rPr>
        <w:t xml:space="preserve"> </w:t>
      </w:r>
      <w:r w:rsidR="003B72BD">
        <w:rPr>
          <w:rFonts w:hint="cs"/>
          <w:rtl/>
        </w:rPr>
        <w:t xml:space="preserve">     </w:t>
      </w:r>
      <w:r w:rsidR="00FB05C4">
        <w:rPr>
          <w:rFonts w:hint="cs"/>
          <w:rtl/>
        </w:rPr>
        <w:t xml:space="preserve">    </w:t>
      </w:r>
      <w:r>
        <w:rPr>
          <w:rtl/>
        </w:rPr>
        <w:t>(5).</w:t>
      </w:r>
      <w:r w:rsidR="0014403D">
        <w:rPr>
          <w:rtl/>
        </w:rPr>
        <w:t xml:space="preserve"> </w:t>
      </w:r>
      <w:r w:rsidR="00992664" w:rsidRPr="00020424">
        <w:rPr>
          <w:rtl/>
        </w:rPr>
        <w:t>في « بخ » وفقه الرضا : « فإذا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B72BD" w:rsidTr="003B72BD">
        <w:tc>
          <w:tcPr>
            <w:tcW w:w="4006" w:type="dxa"/>
          </w:tcPr>
          <w:p w:rsidR="003B72BD" w:rsidRDefault="003B72BD"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 « نفسك</w:t>
            </w:r>
            <w:r>
              <w:rPr>
                <w:rtl/>
              </w:rPr>
              <w:t xml:space="preserve"> ».</w:t>
            </w:r>
          </w:p>
        </w:tc>
        <w:tc>
          <w:tcPr>
            <w:tcW w:w="4006" w:type="dxa"/>
          </w:tcPr>
          <w:p w:rsidR="003B72BD" w:rsidRDefault="003B72BD" w:rsidP="00992664">
            <w:pPr>
              <w:pStyle w:val="libFootnote0"/>
              <w:rPr>
                <w:rtl/>
              </w:rPr>
            </w:pPr>
            <w:r>
              <w:rPr>
                <w:rtl/>
              </w:rPr>
              <w:t xml:space="preserve">(7). </w:t>
            </w:r>
            <w:r w:rsidRPr="00020424">
              <w:rPr>
                <w:rtl/>
              </w:rPr>
              <w:t>في « ظ ، بح ، بس ، جن » :</w:t>
            </w:r>
            <w:r>
              <w:rPr>
                <w:rtl/>
              </w:rPr>
              <w:t xml:space="preserve"> - </w:t>
            </w:r>
            <w:r w:rsidRPr="00020424">
              <w:rPr>
                <w:rtl/>
              </w:rPr>
              <w:t>« فيه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178 ، ح 495 ؛ </w:t>
      </w:r>
      <w:r w:rsidR="00992664" w:rsidRPr="00FD6221">
        <w:rPr>
          <w:rStyle w:val="libFootnoteBoldChar"/>
          <w:rtl/>
        </w:rPr>
        <w:t>والاستبصار</w:t>
      </w:r>
      <w:r w:rsidR="00992664" w:rsidRPr="00020424">
        <w:rPr>
          <w:rtl/>
        </w:rPr>
        <w:t xml:space="preserve"> ، ج 2 ، ص 75 ، ح 229 ، بسندهما عن يعقوب بن يزيد. </w:t>
      </w:r>
      <w:r w:rsidR="00992664" w:rsidRPr="0012008A">
        <w:rPr>
          <w:rStyle w:val="libFootnoteBoldChar"/>
          <w:rtl/>
        </w:rPr>
        <w:t>الفقيه</w:t>
      </w:r>
      <w:r w:rsidR="00992664" w:rsidRPr="00020424">
        <w:rPr>
          <w:rtl/>
        </w:rPr>
        <w:t xml:space="preserve"> ، ج 2 ، ص 124 ، ح 1916 ، معلّقاً عن محمّد بن مرازم.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208 ، من قوله : « وإذا رأيت ظلّ رأسك » </w:t>
      </w:r>
      <w:r w:rsidR="0080705D">
        <w:rPr>
          <w:rFonts w:hint="cs"/>
          <w:rtl/>
        </w:rPr>
        <w:t>.</w:t>
      </w:r>
      <w:r w:rsidR="00992664" w:rsidRPr="0012008A">
        <w:rPr>
          <w:rStyle w:val="libFootnoteBoldChar"/>
          <w:rtl/>
        </w:rPr>
        <w:t>الوافي</w:t>
      </w:r>
      <w:r w:rsidR="00992664" w:rsidRPr="00020424">
        <w:rPr>
          <w:rtl/>
        </w:rPr>
        <w:t xml:space="preserve"> ، ج 11 ، ص 155 ، ح 10596 ؛ </w:t>
      </w:r>
      <w:r w:rsidR="00992664" w:rsidRPr="0012008A">
        <w:rPr>
          <w:rStyle w:val="libFootnoteBoldChar"/>
          <w:rtl/>
        </w:rPr>
        <w:t>الوسائل</w:t>
      </w:r>
      <w:r w:rsidR="00992664" w:rsidRPr="00020424">
        <w:rPr>
          <w:rtl/>
        </w:rPr>
        <w:t xml:space="preserve"> ، ج 10 ، ص 281 ، ذيل ح 13419.</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بس » </w:t>
      </w:r>
      <w:r w:rsidR="00992664" w:rsidRPr="0080705D">
        <w:rPr>
          <w:rtl/>
        </w:rPr>
        <w:t>والوافي والفقيه والاستبصار</w:t>
      </w:r>
      <w:r w:rsidR="00992664" w:rsidRPr="00020424">
        <w:rPr>
          <w:rtl/>
        </w:rPr>
        <w:t xml:space="preserve"> : « لليلة</w:t>
      </w:r>
      <w:r w:rsidR="00992664">
        <w:rPr>
          <w:rtl/>
        </w:rPr>
        <w:t xml:space="preserve"> ».</w:t>
      </w:r>
      <w:r w:rsidR="00992664" w:rsidRPr="00020424">
        <w:rPr>
          <w:rtl/>
        </w:rPr>
        <w:t xml:space="preserve"> وفي « ى » : « لليلتين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 « وإن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بَعْدَ الشَّفَقِ ، فَهُوَ لِلَيْلَتَيْنِ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317" w:name="_Toc345172821"/>
      <w:bookmarkStart w:id="318" w:name="_Toc464562639"/>
      <w:bookmarkStart w:id="319" w:name="_Toc44599942"/>
      <w:r w:rsidRPr="00020424">
        <w:rPr>
          <w:rtl/>
          <w:lang w:bidi="fa-IR"/>
        </w:rPr>
        <w:t>7</w:t>
      </w:r>
      <w:r>
        <w:rPr>
          <w:rtl/>
          <w:lang w:bidi="fa-IR"/>
        </w:rPr>
        <w:t xml:space="preserve"> </w:t>
      </w:r>
      <w:r w:rsidR="009B673F">
        <w:rPr>
          <w:rtl/>
          <w:lang w:bidi="fa-IR"/>
        </w:rPr>
        <w:t>-</w:t>
      </w:r>
      <w:r>
        <w:rPr>
          <w:rtl/>
          <w:lang w:bidi="fa-IR"/>
        </w:rPr>
        <w:t xml:space="preserve"> </w:t>
      </w:r>
      <w:r w:rsidRPr="00020424">
        <w:rPr>
          <w:rtl/>
          <w:lang w:bidi="fa-IR"/>
        </w:rPr>
        <w:t xml:space="preserve">بَابٌ نَادِرٌ </w:t>
      </w:r>
      <w:r w:rsidRPr="00A91B96">
        <w:rPr>
          <w:rStyle w:val="libFootnotenumChar"/>
          <w:rtl/>
        </w:rPr>
        <w:t>(3)</w:t>
      </w:r>
      <w:r w:rsidRPr="00020424">
        <w:rPr>
          <w:rtl/>
          <w:lang w:bidi="fa-IR"/>
        </w:rPr>
        <w:t xml:space="preserve"> ‌</w:t>
      </w:r>
      <w:bookmarkEnd w:id="317"/>
      <w:bookmarkEnd w:id="318"/>
      <w:bookmarkEnd w:id="319"/>
    </w:p>
    <w:p w:rsidR="00992664" w:rsidRPr="00020424" w:rsidRDefault="00992664" w:rsidP="00992664">
      <w:pPr>
        <w:pStyle w:val="libNormal"/>
        <w:rPr>
          <w:rtl/>
          <w:lang w:bidi="fa-IR"/>
        </w:rPr>
      </w:pPr>
      <w:r w:rsidRPr="00A15077">
        <w:rPr>
          <w:rtl/>
        </w:rPr>
        <w:t>6303</w:t>
      </w:r>
      <w:r w:rsidRPr="001155DE">
        <w:rPr>
          <w:rStyle w:val="libBold2Char"/>
          <w:rtl/>
        </w:rPr>
        <w:t xml:space="preserve"> / 1.</w:t>
      </w:r>
      <w:r w:rsidRPr="00020424">
        <w:rPr>
          <w:rtl/>
          <w:lang w:bidi="fa-IR"/>
        </w:rPr>
        <w:t xml:space="preserve"> عَلِيُّ بْنُ مُحَمَّدٍ ، عَنْ صَالِحِ بْنِ أَبِي حَمَّادٍ ، عَنِ ابْنِ سِنَانٍ ، عَنْ حُذَيْفَةَ بْنِ مَنْصُورٍ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شَهْرُ رَمَضَانَ ثَلَاثُونَ يَوْماً </w:t>
      </w:r>
      <w:r w:rsidRPr="00A91B96">
        <w:rPr>
          <w:rStyle w:val="libFootnotenumChar"/>
          <w:rtl/>
        </w:rPr>
        <w:t>(4)</w:t>
      </w:r>
      <w:r w:rsidRPr="00020424">
        <w:rPr>
          <w:rtl/>
          <w:lang w:bidi="fa-IR"/>
        </w:rPr>
        <w:t xml:space="preserve"> لَايَنْقُصُ أَبَداً</w:t>
      </w:r>
      <w:r>
        <w:rPr>
          <w:rtl/>
          <w:lang w:bidi="fa-IR"/>
        </w:rPr>
        <w:t xml:space="preserve"> ».</w:t>
      </w:r>
    </w:p>
    <w:p w:rsidR="00992664" w:rsidRPr="00020424" w:rsidRDefault="0080705D" w:rsidP="00992664">
      <w:pPr>
        <w:pStyle w:val="libNormal"/>
        <w:rPr>
          <w:rtl/>
          <w:lang w:bidi="fa-IR"/>
        </w:rPr>
      </w:pPr>
      <w:r>
        <w:rPr>
          <w:rFonts w:hint="cs"/>
          <w:rtl/>
          <w:lang w:bidi="fa-IR"/>
        </w:rPr>
        <w:t xml:space="preserve">* </w:t>
      </w:r>
      <w:r w:rsidR="00992664" w:rsidRPr="00020424">
        <w:rPr>
          <w:rtl/>
          <w:lang w:bidi="fa-IR"/>
        </w:rPr>
        <w:t xml:space="preserve">وَعَنْهُ ، عَنِ الْحَسَنِ بْنِ الْحُسَيْنِ ، عَنِ ابْنِ سِنَانٍ ، عَنْ حُذَيْفَةَ مِثْلُهُ. </w:t>
      </w:r>
      <w:r w:rsidR="00992664" w:rsidRPr="00A91B96">
        <w:rPr>
          <w:rStyle w:val="libFootnotenumChar"/>
          <w:rtl/>
        </w:rPr>
        <w:t>(5)</w:t>
      </w:r>
      <w:r w:rsidR="00992664" w:rsidRPr="00020424">
        <w:rPr>
          <w:rtl/>
          <w:lang w:bidi="fa-IR"/>
        </w:rPr>
        <w:t xml:space="preserve"> ‌</w:t>
      </w:r>
    </w:p>
    <w:p w:rsidR="00992664" w:rsidRPr="00020424" w:rsidRDefault="00992664" w:rsidP="00992664">
      <w:pPr>
        <w:pStyle w:val="libNormal"/>
        <w:rPr>
          <w:rtl/>
          <w:lang w:bidi="fa-IR"/>
        </w:rPr>
      </w:pPr>
      <w:r w:rsidRPr="00A15077">
        <w:rPr>
          <w:rtl/>
        </w:rPr>
        <w:t>6304</w:t>
      </w:r>
      <w:r w:rsidRPr="001155DE">
        <w:rPr>
          <w:rStyle w:val="libBold2Char"/>
          <w:rtl/>
        </w:rPr>
        <w:t xml:space="preserve"> / 2.</w:t>
      </w:r>
      <w:r w:rsidRPr="00020424">
        <w:rPr>
          <w:rtl/>
          <w:lang w:bidi="fa-IR"/>
        </w:rPr>
        <w:t xml:space="preserve"> عِدَّةٌ مِنْ أَصْحَابِنَا ، عَنْ سَهْلِ بْنِ زِيَادٍ ، عَنْ مُحَمَّدِ بْنِ إِسْمَاعِيلَ ، عَنْ بَعْضِ أَصْحَابِهِ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خَلَقَ الدُّنْيَا فِي سِتَّةِ أَيَّامٍ ، ثُمَّ اخْتَزَلَهَا </w:t>
      </w:r>
      <w:r w:rsidRPr="00A91B96">
        <w:rPr>
          <w:rStyle w:val="libFootnotenumChar"/>
          <w:rtl/>
        </w:rPr>
        <w:t>(6)</w:t>
      </w:r>
      <w:r w:rsidRPr="00020424">
        <w:rPr>
          <w:rtl/>
          <w:lang w:bidi="fa-IR"/>
        </w:rPr>
        <w:t xml:space="preserve"> عَنْ </w:t>
      </w:r>
      <w:r w:rsidRPr="00A91B96">
        <w:rPr>
          <w:rStyle w:val="libFootnotenumChar"/>
          <w:rtl/>
        </w:rPr>
        <w:t>(7)</w:t>
      </w:r>
      <w:r w:rsidRPr="00020424">
        <w:rPr>
          <w:rtl/>
          <w:lang w:bidi="fa-IR"/>
        </w:rPr>
        <w:t xml:space="preserve"> أَيَّامِ السَّنَةِ ، وَالسَّنَةُ </w:t>
      </w:r>
      <w:r w:rsidRPr="00A91B96">
        <w:rPr>
          <w:rStyle w:val="libFootnotenumChar"/>
          <w:rtl/>
        </w:rPr>
        <w:t>(8)</w:t>
      </w:r>
      <w:r w:rsidRPr="00020424">
        <w:rPr>
          <w:rtl/>
          <w:lang w:bidi="fa-IR"/>
        </w:rPr>
        <w:t xml:space="preserve"> ثَلَاثُمِائَةٍ‌</w:t>
      </w:r>
      <w:r w:rsidR="0080705D">
        <w:rPr>
          <w:rFonts w:hint="cs"/>
          <w:rtl/>
          <w:lang w:bidi="fa-IR"/>
        </w:rPr>
        <w:t>.............................</w:t>
      </w:r>
      <w:r w:rsidR="0080705D">
        <w:rPr>
          <w:rFonts w:hint="cs"/>
          <w:rtl/>
          <w:lang w:bidi="fa-IR"/>
        </w:rPr>
        <w:tab/>
      </w:r>
      <w:r w:rsidR="0080705D">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وإذا غاب بعد الشفق فهو لليلتين</w:t>
      </w:r>
      <w:r w:rsidR="00992664">
        <w:rPr>
          <w:rtl/>
        </w:rPr>
        <w:t xml:space="preserve"> ».</w:t>
      </w:r>
    </w:p>
    <w:p w:rsidR="00992664" w:rsidRPr="00020424" w:rsidRDefault="00795177" w:rsidP="007F2761">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125 ، ح 1917 ، معلّقاً عن حمّاد بن عيسى. وفي </w:t>
      </w:r>
      <w:r w:rsidR="00992664" w:rsidRPr="0012008A">
        <w:rPr>
          <w:rStyle w:val="libFootnoteBoldChar"/>
          <w:rtl/>
        </w:rPr>
        <w:t>التهذيب</w:t>
      </w:r>
      <w:r w:rsidR="00992664" w:rsidRPr="00020424">
        <w:rPr>
          <w:rtl/>
        </w:rPr>
        <w:t xml:space="preserve"> ، ج 4 ، ص 178 ، ح 494 ؛ </w:t>
      </w:r>
      <w:r w:rsidR="00992664" w:rsidRPr="00FD6221">
        <w:rPr>
          <w:rStyle w:val="libFootnoteBoldChar"/>
          <w:rtl/>
        </w:rPr>
        <w:t>والاستبصار</w:t>
      </w:r>
      <w:r w:rsidR="00992664" w:rsidRPr="00020424">
        <w:rPr>
          <w:rtl/>
        </w:rPr>
        <w:t xml:space="preserve"> ، ج 2 ، ص 75 ، ح 228 ، بسندهما عن حمّاد بن عيسى </w:t>
      </w:r>
      <w:r w:rsidR="007F2761">
        <w:rPr>
          <w:rFonts w:hint="cs"/>
          <w:rtl/>
        </w:rPr>
        <w:t>.</w:t>
      </w:r>
      <w:r w:rsidR="00992664" w:rsidRPr="0012008A">
        <w:rPr>
          <w:rStyle w:val="libFootnoteBoldChar"/>
          <w:rtl/>
        </w:rPr>
        <w:t>الوافي</w:t>
      </w:r>
      <w:r w:rsidR="00992664" w:rsidRPr="00020424">
        <w:rPr>
          <w:rtl/>
        </w:rPr>
        <w:t xml:space="preserve"> ، ج 11 ، ص 154 ، ح 10595 ؛ </w:t>
      </w:r>
      <w:r w:rsidR="00992664" w:rsidRPr="0012008A">
        <w:rPr>
          <w:rStyle w:val="libFootnoteBoldChar"/>
          <w:rtl/>
        </w:rPr>
        <w:t>الوسائل</w:t>
      </w:r>
      <w:r w:rsidR="00992664" w:rsidRPr="00020424">
        <w:rPr>
          <w:rtl/>
        </w:rPr>
        <w:t xml:space="preserve"> ، ج 10 ، ص 282 ، ح 13420.</w:t>
      </w:r>
      <w:r w:rsidR="007F2761">
        <w:rPr>
          <w:rFonts w:hint="cs"/>
          <w:rtl/>
        </w:rPr>
        <w:t xml:space="preserve">       </w:t>
      </w:r>
      <w:r>
        <w:rPr>
          <w:rtl/>
        </w:rPr>
        <w:t>(3).</w:t>
      </w:r>
      <w:r w:rsidR="0014403D">
        <w:rPr>
          <w:rtl/>
        </w:rPr>
        <w:t xml:space="preserve"> </w:t>
      </w:r>
      <w:r w:rsidR="00992664" w:rsidRPr="00020424">
        <w:rPr>
          <w:rtl/>
        </w:rPr>
        <w:t>في « بف » : « باب تماميّة شهر رمضان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يوماً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169 ، ح 2040 ؛ </w:t>
      </w:r>
      <w:r w:rsidR="00992664" w:rsidRPr="00515444">
        <w:rPr>
          <w:rStyle w:val="libFootnoteBoldChar"/>
          <w:rtl/>
        </w:rPr>
        <w:t>والتهذيب</w:t>
      </w:r>
      <w:r w:rsidR="00992664" w:rsidRPr="00020424">
        <w:rPr>
          <w:rtl/>
        </w:rPr>
        <w:t xml:space="preserve"> ، ج 4 ، ص 168 ، ح 479 ؛ وص 170 ، ذيل ح 482 ؛ </w:t>
      </w:r>
      <w:r w:rsidR="00992664" w:rsidRPr="00FD6221">
        <w:rPr>
          <w:rStyle w:val="libFootnoteBoldChar"/>
          <w:rtl/>
        </w:rPr>
        <w:t>والاستبصار</w:t>
      </w:r>
      <w:r w:rsidR="00992664" w:rsidRPr="00020424">
        <w:rPr>
          <w:rtl/>
        </w:rPr>
        <w:t xml:space="preserve"> ، ج 2 ، ص 65 ، ح 213 ؛ وص 67 ، ذيل ح 215 ، وفي كلّها معلّقاً عن محمّد بن سنان. </w:t>
      </w:r>
      <w:r w:rsidR="00992664" w:rsidRPr="00A722B1">
        <w:rPr>
          <w:rStyle w:val="libFootnoteBoldChar"/>
          <w:rtl/>
        </w:rPr>
        <w:t>الخصال</w:t>
      </w:r>
      <w:r w:rsidR="00992664" w:rsidRPr="00020424">
        <w:rPr>
          <w:rtl/>
        </w:rPr>
        <w:t xml:space="preserve"> ، ص 530 ، أبواب الثلاثين ومافوقه ، ح 5 ، بسند آخر عن الرضا </w:t>
      </w:r>
      <w:r w:rsidR="00992664" w:rsidRPr="00D64ADA">
        <w:rPr>
          <w:rStyle w:val="libFootnoteAlaemChar"/>
          <w:rtl/>
        </w:rPr>
        <w:t>عليه‌السلام</w:t>
      </w:r>
      <w:r w:rsidR="00992664" w:rsidRPr="00020424">
        <w:rPr>
          <w:rtl/>
        </w:rPr>
        <w:t xml:space="preserve"> ، مع اختلاف يسير وزيادة في أوّله. راجع : </w:t>
      </w:r>
      <w:r w:rsidR="00992664" w:rsidRPr="0012008A">
        <w:rPr>
          <w:rStyle w:val="libFootnoteBoldChar"/>
          <w:rtl/>
        </w:rPr>
        <w:t>التهذيب</w:t>
      </w:r>
      <w:r w:rsidR="00992664" w:rsidRPr="00020424">
        <w:rPr>
          <w:rtl/>
        </w:rPr>
        <w:t xml:space="preserve"> ، ج 4 ، ص 171 ، ح 484 ؛ </w:t>
      </w:r>
      <w:r w:rsidR="00992664" w:rsidRPr="00FD6221">
        <w:rPr>
          <w:rStyle w:val="libFootnoteBoldChar"/>
          <w:rtl/>
        </w:rPr>
        <w:t>والاستبصار</w:t>
      </w:r>
      <w:r w:rsidR="00992664" w:rsidRPr="00020424">
        <w:rPr>
          <w:rtl/>
        </w:rPr>
        <w:t xml:space="preserve"> ، ج 2 ، ص 68 ، ح 217 ؛ </w:t>
      </w:r>
      <w:r w:rsidR="00992664" w:rsidRPr="00FD6221">
        <w:rPr>
          <w:rStyle w:val="libFootnoteBoldChar"/>
          <w:rtl/>
        </w:rPr>
        <w:t>والخصال</w:t>
      </w:r>
      <w:r w:rsidR="00992664" w:rsidRPr="00020424">
        <w:rPr>
          <w:rtl/>
        </w:rPr>
        <w:t xml:space="preserve"> ، ص 530 ، أبواب الثلاثين ومافوقه ، ح 8 </w:t>
      </w:r>
      <w:r w:rsidR="007F2761">
        <w:rPr>
          <w:rFonts w:hint="cs"/>
          <w:rtl/>
        </w:rPr>
        <w:t>.</w:t>
      </w:r>
      <w:r w:rsidR="00992664" w:rsidRPr="0012008A">
        <w:rPr>
          <w:rStyle w:val="libFootnoteBoldChar"/>
          <w:rtl/>
        </w:rPr>
        <w:t>الوافي</w:t>
      </w:r>
      <w:r w:rsidR="00992664" w:rsidRPr="00020424">
        <w:rPr>
          <w:rtl/>
        </w:rPr>
        <w:t xml:space="preserve"> ، ج 11 ، ص 139 ، ح 10567 ؛ </w:t>
      </w:r>
      <w:r w:rsidR="00992664" w:rsidRPr="0012008A">
        <w:rPr>
          <w:rStyle w:val="libFootnoteBoldChar"/>
          <w:rtl/>
        </w:rPr>
        <w:t>الوسائل</w:t>
      </w:r>
      <w:r w:rsidR="00992664" w:rsidRPr="00020424">
        <w:rPr>
          <w:rtl/>
        </w:rPr>
        <w:t xml:space="preserve"> ، ج 10 ، ص 269 ، ذيل ح 13394.</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الاختزال : الاقتطاع والانفراد. </w:t>
      </w:r>
      <w:r w:rsidR="00992664" w:rsidRPr="00A722B1">
        <w:rPr>
          <w:rStyle w:val="libFootnoteBoldChar"/>
          <w:rtl/>
        </w:rPr>
        <w:t>القاموس المحيط</w:t>
      </w:r>
      <w:r w:rsidR="00992664" w:rsidRPr="00020424">
        <w:rPr>
          <w:rtl/>
        </w:rPr>
        <w:t xml:space="preserve"> ، ج 2 ، ص 1312 ( خزل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w:t>
      </w:r>
      <w:r w:rsidR="00992664" w:rsidRPr="00515444">
        <w:rPr>
          <w:rStyle w:val="libFootnoteBoldChar"/>
          <w:rtl/>
        </w:rPr>
        <w:t>والتهذيب</w:t>
      </w:r>
      <w:r w:rsidR="00992664" w:rsidRPr="00020424">
        <w:rPr>
          <w:rtl/>
        </w:rPr>
        <w:t xml:space="preserve"> ، ص 172 </w:t>
      </w:r>
      <w:r w:rsidR="00992664" w:rsidRPr="00FD6221">
        <w:rPr>
          <w:rStyle w:val="libFootnoteBoldChar"/>
          <w:rtl/>
        </w:rPr>
        <w:t>والاستبصار</w:t>
      </w:r>
      <w:r w:rsidR="00992664" w:rsidRPr="00020424">
        <w:rPr>
          <w:rtl/>
        </w:rPr>
        <w:t xml:space="preserve"> ، ص 68 : « من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بخ » : « وأيّام السنة » بدل « والسنة</w:t>
      </w:r>
      <w:r w:rsidR="00992664">
        <w:rPr>
          <w:rtl/>
        </w:rPr>
        <w:t xml:space="preserve"> ».</w:t>
      </w:r>
      <w:r w:rsidR="00992664" w:rsidRPr="00020424">
        <w:rPr>
          <w:rtl/>
        </w:rPr>
        <w:t xml:space="preserve"> وفي « بك » :</w:t>
      </w:r>
      <w:r w:rsidR="00992664">
        <w:rPr>
          <w:rtl/>
        </w:rPr>
        <w:t xml:space="preserve"> </w:t>
      </w:r>
      <w:r w:rsidR="009B673F">
        <w:rPr>
          <w:rtl/>
        </w:rPr>
        <w:t>-</w:t>
      </w:r>
      <w:r w:rsidR="00992664">
        <w:rPr>
          <w:rtl/>
        </w:rPr>
        <w:t xml:space="preserve"> </w:t>
      </w:r>
      <w:r w:rsidR="00992664" w:rsidRPr="00020424">
        <w:rPr>
          <w:rtl/>
        </w:rPr>
        <w:t>« والسنة</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ص 172 و</w:t>
      </w:r>
      <w:r w:rsidR="00992664" w:rsidRPr="0012008A">
        <w:rPr>
          <w:rStyle w:val="libFootnoteBoldChar"/>
          <w:rtl/>
        </w:rPr>
        <w:t>البحار</w:t>
      </w:r>
      <w:r w:rsidR="00992664" w:rsidRPr="00020424">
        <w:rPr>
          <w:rtl/>
        </w:rPr>
        <w:t xml:space="preserve"> : « فالسنّة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وَأَرْبَعٌ </w:t>
      </w:r>
      <w:r w:rsidRPr="00A91B96">
        <w:rPr>
          <w:rStyle w:val="libFootnotenumChar"/>
          <w:rtl/>
        </w:rPr>
        <w:t>(1)</w:t>
      </w:r>
      <w:r w:rsidRPr="00020424">
        <w:rPr>
          <w:rtl/>
          <w:lang w:bidi="fa-IR"/>
        </w:rPr>
        <w:t xml:space="preserve"> وَخَمْسُونَ </w:t>
      </w:r>
      <w:r w:rsidRPr="00A91B96">
        <w:rPr>
          <w:rStyle w:val="libFootnotenumChar"/>
          <w:rtl/>
        </w:rPr>
        <w:t>(2)</w:t>
      </w:r>
      <w:r w:rsidRPr="00020424">
        <w:rPr>
          <w:rtl/>
          <w:lang w:bidi="fa-IR"/>
        </w:rPr>
        <w:t xml:space="preserve"> يَوْماً ؛ شَعْبَانُ لَايَتِمُّ أَبَداً ، وَرَمَضَانُ </w:t>
      </w:r>
      <w:r w:rsidRPr="00A91B96">
        <w:rPr>
          <w:rStyle w:val="libFootnotenumChar"/>
          <w:rtl/>
        </w:rPr>
        <w:t>(3)</w:t>
      </w:r>
      <w:r w:rsidRPr="00020424">
        <w:rPr>
          <w:rtl/>
          <w:lang w:bidi="fa-IR"/>
        </w:rPr>
        <w:t xml:space="preserve"> لَايَنْقُصُ وَاللهِ </w:t>
      </w:r>
      <w:r w:rsidRPr="00A91B96">
        <w:rPr>
          <w:rStyle w:val="libFootnotenumChar"/>
          <w:rtl/>
        </w:rPr>
        <w:t>(4)</w:t>
      </w:r>
      <w:r w:rsidRPr="00020424">
        <w:rPr>
          <w:rtl/>
          <w:lang w:bidi="fa-IR"/>
        </w:rPr>
        <w:t xml:space="preserve"> أَبَداً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بخ ، بر ، بس ، بف ، بك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ص 172 </w:t>
      </w:r>
      <w:r w:rsidR="00992664" w:rsidRPr="00FD6221">
        <w:rPr>
          <w:rStyle w:val="libFootnoteBoldChar"/>
          <w:rtl/>
        </w:rPr>
        <w:t>والاستبصار</w:t>
      </w:r>
      <w:r w:rsidR="00992664" w:rsidRPr="00020424">
        <w:rPr>
          <w:rtl/>
        </w:rPr>
        <w:t xml:space="preserve"> ، ص 167 : « وأربعة</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بك » : « وخمسين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ظ ، ى ، بخ ، بر ، بس ، بف ، بك » </w:t>
      </w:r>
      <w:r w:rsidR="00992664" w:rsidRPr="00EB1FD9">
        <w:rPr>
          <w:rStyle w:val="libFootnoteBoldChar"/>
          <w:rtl/>
        </w:rPr>
        <w:t>والوسائل</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ص 172 </w:t>
      </w:r>
      <w:r w:rsidR="00992664" w:rsidRPr="00FD6221">
        <w:rPr>
          <w:rStyle w:val="libFootnoteBoldChar"/>
          <w:rtl/>
        </w:rPr>
        <w:t>والاستبصار</w:t>
      </w:r>
      <w:r w:rsidR="00992664" w:rsidRPr="00020424">
        <w:rPr>
          <w:rtl/>
        </w:rPr>
        <w:t xml:space="preserve"> ، ص 68 : « وشهر رمضان</w:t>
      </w:r>
      <w:r w:rsidR="00992664">
        <w:rPr>
          <w:rtl/>
        </w:rPr>
        <w:t xml:space="preserve"> ».</w:t>
      </w:r>
      <w:r w:rsidR="00992664" w:rsidRPr="00020424">
        <w:rPr>
          <w:rtl/>
        </w:rPr>
        <w:t xml:space="preserve"> وفي سائر النسخ والمطبوع : « رمضان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بس » : « والله لا ينقص</w:t>
      </w:r>
      <w:r w:rsidR="00992664">
        <w:rPr>
          <w:rtl/>
        </w:rPr>
        <w:t xml:space="preserve"> ».</w:t>
      </w:r>
    </w:p>
    <w:p w:rsidR="00992664" w:rsidRPr="00020424" w:rsidRDefault="00795177" w:rsidP="00253F1A">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من خالف هذه الأخبار وذهب إلى الأخبار الموافقة للعامّة في ضدّها اتّقي كما يُ</w:t>
      </w:r>
      <w:r w:rsidR="00253F1A">
        <w:rPr>
          <w:rtl/>
        </w:rPr>
        <w:t>تَّقَى العامّة ، ولا يكلَّم إل</w:t>
      </w:r>
      <w:r w:rsidR="00253F1A">
        <w:rPr>
          <w:rFonts w:hint="cs"/>
          <w:rtl/>
        </w:rPr>
        <w:t>ّ</w:t>
      </w:r>
      <w:r w:rsidR="00253F1A">
        <w:rPr>
          <w:rtl/>
        </w:rPr>
        <w:t>ا</w:t>
      </w:r>
      <w:r w:rsidR="00253F1A">
        <w:rPr>
          <w:rFonts w:hint="cs"/>
          <w:rtl/>
        </w:rPr>
        <w:t xml:space="preserve"> </w:t>
      </w:r>
      <w:r w:rsidR="00992664" w:rsidRPr="00020424">
        <w:rPr>
          <w:rtl/>
        </w:rPr>
        <w:t xml:space="preserve">بالتقيّة كائناً من كان </w:t>
      </w:r>
      <w:r w:rsidR="00253F1A">
        <w:rPr>
          <w:rtl/>
        </w:rPr>
        <w:t>إل</w:t>
      </w:r>
      <w:r w:rsidR="00253F1A">
        <w:rPr>
          <w:rFonts w:hint="cs"/>
          <w:rtl/>
        </w:rPr>
        <w:t>ّ</w:t>
      </w:r>
      <w:r w:rsidR="00253F1A">
        <w:rPr>
          <w:rtl/>
        </w:rPr>
        <w:t>ا</w:t>
      </w:r>
      <w:r w:rsidR="00253F1A">
        <w:rPr>
          <w:rFonts w:hint="cs"/>
          <w:rtl/>
        </w:rPr>
        <w:t xml:space="preserve"> </w:t>
      </w:r>
      <w:r w:rsidR="00992664" w:rsidRPr="00020424">
        <w:rPr>
          <w:rtl/>
        </w:rPr>
        <w:t xml:space="preserve">أن يكون مسترشداً فيرشد ويبيَّن له ؛ فإنّ البدعة إنّما تماث وتُبطَل بترك ذكرها ولا قوّة </w:t>
      </w:r>
      <w:r w:rsidR="00253F1A">
        <w:rPr>
          <w:rtl/>
        </w:rPr>
        <w:t>إل</w:t>
      </w:r>
      <w:r w:rsidR="00253F1A">
        <w:rPr>
          <w:rFonts w:hint="cs"/>
          <w:rtl/>
        </w:rPr>
        <w:t>ّ</w:t>
      </w:r>
      <w:r w:rsidR="00253F1A">
        <w:rPr>
          <w:rtl/>
        </w:rPr>
        <w:t>ا</w:t>
      </w:r>
      <w:r w:rsidR="00253F1A">
        <w:rPr>
          <w:rFonts w:hint="cs"/>
          <w:rtl/>
        </w:rPr>
        <w:t xml:space="preserve"> </w:t>
      </w:r>
      <w:r w:rsidR="00992664" w:rsidRPr="00020424">
        <w:rPr>
          <w:rtl/>
        </w:rPr>
        <w:t>بالله</w:t>
      </w:r>
      <w:r w:rsidR="00992664">
        <w:rPr>
          <w:rtl/>
        </w:rPr>
        <w:t xml:space="preserve"> ».</w:t>
      </w:r>
    </w:p>
    <w:p w:rsidR="00992664" w:rsidRPr="00020424" w:rsidRDefault="00992664" w:rsidP="00253F1A">
      <w:pPr>
        <w:pStyle w:val="libFootnote0"/>
        <w:rPr>
          <w:rtl/>
          <w:lang w:bidi="fa-IR"/>
        </w:rPr>
      </w:pPr>
      <w:r w:rsidRPr="00253F1A">
        <w:rPr>
          <w:rtl/>
        </w:rPr>
        <w:t xml:space="preserve">وفي </w:t>
      </w:r>
      <w:r w:rsidRPr="00DE76B9">
        <w:rPr>
          <w:rStyle w:val="libFootnoteBoldChar"/>
          <w:rtl/>
        </w:rPr>
        <w:t>مرآة العقول</w:t>
      </w:r>
      <w:r w:rsidRPr="00253F1A">
        <w:rPr>
          <w:rtl/>
        </w:rPr>
        <w:t xml:space="preserve"> ، ج 16 ، ص 232 : « عمل الصدوق </w:t>
      </w:r>
      <w:r w:rsidR="00D64ADA" w:rsidRPr="00D64ADA">
        <w:rPr>
          <w:rStyle w:val="libFootnoteAlaemChar"/>
          <w:rtl/>
        </w:rPr>
        <w:t>رحمه‌الله</w:t>
      </w:r>
      <w:r w:rsidRPr="00253F1A">
        <w:rPr>
          <w:rtl/>
        </w:rPr>
        <w:t xml:space="preserve"> في </w:t>
      </w:r>
      <w:r w:rsidRPr="0012008A">
        <w:rPr>
          <w:rStyle w:val="libFootnoteBoldChar"/>
          <w:rtl/>
        </w:rPr>
        <w:t>الفقيه</w:t>
      </w:r>
      <w:r w:rsidRPr="00253F1A">
        <w:rPr>
          <w:rtl/>
        </w:rPr>
        <w:t xml:space="preserve"> بتلك الأخبار ومعظم الأصحاب على خلافه ، وردّوا تلك الأخبار بضعف السند ومخالفة المحسوس والأخبار المستفيضة ، وحملها جماعة على عدم النقص في الثواب وإن كان ناقصاً في العدد ، ولا يبعد عندي حملها على التقيّة ؛ لموافقتها لأخبارهم وإن لم توافق أقوالهم ».</w:t>
      </w:r>
    </w:p>
    <w:p w:rsidR="00992664" w:rsidRPr="00020424" w:rsidRDefault="00253F1A" w:rsidP="009A2781">
      <w:pPr>
        <w:pStyle w:val="libFootnote0"/>
        <w:rPr>
          <w:rtl/>
          <w:lang w:bidi="fa-IR"/>
        </w:rPr>
      </w:pPr>
      <w:r>
        <w:rPr>
          <w:rtl/>
        </w:rPr>
        <w:t>وأمّا العل</w:t>
      </w:r>
      <w:r>
        <w:rPr>
          <w:rFonts w:hint="cs"/>
          <w:rtl/>
        </w:rPr>
        <w:t>ّ</w:t>
      </w:r>
      <w:r>
        <w:rPr>
          <w:rtl/>
        </w:rPr>
        <w:t>ا</w:t>
      </w:r>
      <w:r w:rsidR="00992664" w:rsidRPr="00253F1A">
        <w:rPr>
          <w:rtl/>
        </w:rPr>
        <w:t xml:space="preserve">مة الفيض فإنّه بعد نقل ما نقلناه عن </w:t>
      </w:r>
      <w:r w:rsidR="00992664" w:rsidRPr="0012008A">
        <w:rPr>
          <w:rStyle w:val="libFootnoteBoldChar"/>
          <w:rtl/>
        </w:rPr>
        <w:t>الفقيه</w:t>
      </w:r>
      <w:r w:rsidR="00992664" w:rsidRPr="00253F1A">
        <w:rPr>
          <w:rtl/>
        </w:rPr>
        <w:t xml:space="preserve"> قال في </w:t>
      </w:r>
      <w:r w:rsidR="00992664" w:rsidRPr="0012008A">
        <w:rPr>
          <w:rStyle w:val="libFootnoteBoldChar"/>
          <w:rtl/>
        </w:rPr>
        <w:t>الوافي</w:t>
      </w:r>
      <w:r w:rsidR="00992664" w:rsidRPr="00253F1A">
        <w:rPr>
          <w:rtl/>
        </w:rPr>
        <w:t xml:space="preserve"> : « وقال في </w:t>
      </w:r>
      <w:r w:rsidR="00992664" w:rsidRPr="0012008A">
        <w:rPr>
          <w:rStyle w:val="libFootnoteBoldChar"/>
          <w:rtl/>
        </w:rPr>
        <w:t>التهذيب</w:t>
      </w:r>
      <w:r w:rsidR="00992664" w:rsidRPr="00253F1A">
        <w:rPr>
          <w:rtl/>
        </w:rPr>
        <w:t xml:space="preserve">ين ما ملخّصه : أنّ هذه الأخبار لا يجوز العمل بها من وجوه ... ثمّ أوّل تلك الأخبار بتأويلات لا تخلو من بعد مع اختصاص بعضها ببعض الحديث ... وبالجملة فالمسألة ممّا تعارض فيه الأخبار ؛ لامتناع الجمع بينها </w:t>
      </w:r>
      <w:r w:rsidR="009A2781">
        <w:rPr>
          <w:rtl/>
        </w:rPr>
        <w:t>إل</w:t>
      </w:r>
      <w:r w:rsidR="009A2781">
        <w:rPr>
          <w:rFonts w:hint="cs"/>
          <w:rtl/>
        </w:rPr>
        <w:t>ّ</w:t>
      </w:r>
      <w:r w:rsidR="009A2781">
        <w:rPr>
          <w:rtl/>
        </w:rPr>
        <w:t>ا</w:t>
      </w:r>
      <w:r w:rsidR="009A2781">
        <w:rPr>
          <w:rFonts w:hint="cs"/>
          <w:rtl/>
        </w:rPr>
        <w:t xml:space="preserve"> </w:t>
      </w:r>
      <w:r w:rsidR="00992664" w:rsidRPr="00253F1A">
        <w:rPr>
          <w:rtl/>
        </w:rPr>
        <w:t xml:space="preserve">بتعسّف شديد ، فالصواب أن يقال : فيها روايتان : إحداهما موافقة لقاعدة أهل الحساب ، وهي معتبرة </w:t>
      </w:r>
      <w:r w:rsidR="009A2781">
        <w:rPr>
          <w:rtl/>
        </w:rPr>
        <w:t>إل</w:t>
      </w:r>
      <w:r w:rsidR="009A2781">
        <w:rPr>
          <w:rFonts w:hint="cs"/>
          <w:rtl/>
        </w:rPr>
        <w:t>ّ</w:t>
      </w:r>
      <w:r w:rsidR="009A2781">
        <w:rPr>
          <w:rtl/>
        </w:rPr>
        <w:t>ا</w:t>
      </w:r>
      <w:r w:rsidR="009A2781">
        <w:rPr>
          <w:rFonts w:hint="cs"/>
          <w:rtl/>
        </w:rPr>
        <w:t xml:space="preserve"> </w:t>
      </w:r>
      <w:r w:rsidR="00992664" w:rsidRPr="00253F1A">
        <w:rPr>
          <w:rtl/>
        </w:rPr>
        <w:t xml:space="preserve">أنّها إنّما تعتبر إذا تغيّمت السماء وتعذّرت الرؤية ، كما يأتي في باب العلامة عند تعذّر الرؤية بيانه ، لا مطلقاً ، ومخالفة للعامّة على ما قاله في </w:t>
      </w:r>
      <w:r w:rsidR="00992664" w:rsidRPr="0012008A">
        <w:rPr>
          <w:rStyle w:val="libFootnoteBoldChar"/>
          <w:rtl/>
        </w:rPr>
        <w:t>الفقيه</w:t>
      </w:r>
      <w:r w:rsidR="00992664" w:rsidRPr="00253F1A">
        <w:rPr>
          <w:rtl/>
        </w:rPr>
        <w:t xml:space="preserve"> ، وذلك ممّا يوجب رجحانها </w:t>
      </w:r>
      <w:r w:rsidR="009A2781">
        <w:rPr>
          <w:rtl/>
        </w:rPr>
        <w:t>إل</w:t>
      </w:r>
      <w:r w:rsidR="009A2781">
        <w:rPr>
          <w:rFonts w:hint="cs"/>
          <w:rtl/>
        </w:rPr>
        <w:t>ّ</w:t>
      </w:r>
      <w:r w:rsidR="009A2781">
        <w:rPr>
          <w:rtl/>
        </w:rPr>
        <w:t>ا</w:t>
      </w:r>
      <w:r w:rsidR="009A2781">
        <w:rPr>
          <w:rFonts w:hint="cs"/>
          <w:rtl/>
        </w:rPr>
        <w:t xml:space="preserve"> </w:t>
      </w:r>
      <w:r w:rsidR="00992664" w:rsidRPr="00253F1A">
        <w:rPr>
          <w:rtl/>
        </w:rPr>
        <w:t>أنّها غير مطابقة للظواهر والعمومات القرآنيّة ، ومع ذلك فهي متضمّنة لتعليلات عليلة تنبو عنها العقول السليمة والطباع المستقيمة ، ويبعد صدورها عن أئمّة الهدى ، بل هي ممّا يستشمّ منه رائحة الوضع. والا</w:t>
      </w:r>
      <w:r w:rsidR="009A2781">
        <w:rPr>
          <w:rFonts w:hint="cs"/>
          <w:rtl/>
        </w:rPr>
        <w:t>ُ</w:t>
      </w:r>
      <w:r w:rsidR="00992664" w:rsidRPr="00253F1A">
        <w:rPr>
          <w:rtl/>
        </w:rPr>
        <w:t xml:space="preserve">خرى موافقة للعامّة ، كما قاله ، وذلك ممّا يوجب ردّها </w:t>
      </w:r>
      <w:r w:rsidR="009A2781">
        <w:rPr>
          <w:rtl/>
        </w:rPr>
        <w:t>إل</w:t>
      </w:r>
      <w:r w:rsidR="009A2781">
        <w:rPr>
          <w:rFonts w:hint="cs"/>
          <w:rtl/>
        </w:rPr>
        <w:t>ّ</w:t>
      </w:r>
      <w:r w:rsidR="009A2781">
        <w:rPr>
          <w:rtl/>
        </w:rPr>
        <w:t>ا</w:t>
      </w:r>
      <w:r w:rsidR="009A2781">
        <w:rPr>
          <w:rFonts w:hint="cs"/>
          <w:rtl/>
        </w:rPr>
        <w:t xml:space="preserve"> </w:t>
      </w:r>
      <w:r w:rsidR="00992664" w:rsidRPr="00253F1A">
        <w:rPr>
          <w:rtl/>
        </w:rPr>
        <w:t>أنّها مطابقة للظواهر والعمومات القرآنيّة ، ومع ذلك فهي أكثر رواة وأوثق رجالاً وأسدّ مقالاً وأشبه بكلام أئمّة الهدى صلوات الله عليهم ، وربّما يشعر بعضها بذهاب بعض المخالفين إلى ما يخالفها والخبر الآتي آنفاً كالتصريح في ذلك. وفائدة الاختلاف إنّما تظهر في صيام يوم الشكّ وقضائه مع الفوات وقد مضى تحقيق ذلك في أخبار الباب الذي تقدّم هذا الباب ، وفيه بلاغ وكفاية لرفع هذا الاختلاف ، والعلم عند الله ».</w:t>
      </w:r>
    </w:p>
    <w:p w:rsidR="00992664" w:rsidRPr="00020424" w:rsidRDefault="00992664" w:rsidP="00253F1A">
      <w:pPr>
        <w:pStyle w:val="libFootnote0"/>
        <w:rPr>
          <w:rtl/>
          <w:lang w:bidi="fa-IR"/>
        </w:rPr>
      </w:pPr>
      <w:r w:rsidRPr="00253F1A">
        <w:rPr>
          <w:rtl/>
        </w:rPr>
        <w:t xml:space="preserve">وقال المحقّق الشعراني في هامش </w:t>
      </w:r>
      <w:r w:rsidRPr="0012008A">
        <w:rPr>
          <w:rStyle w:val="libFootnoteBoldChar"/>
          <w:rtl/>
        </w:rPr>
        <w:t>الوافي</w:t>
      </w:r>
      <w:r w:rsidRPr="00253F1A">
        <w:rPr>
          <w:rtl/>
        </w:rPr>
        <w:t xml:space="preserve"> : « قوله : فالمسألة ممّا تعارضت فيه الأخبار ، العجب من المصنّف كيف اعتنى بهذه الأخبار؟ وكيف يتعارض المتواتر المشهور مع الشاذّ النادر؟ فالاستهلال والشهادة على رؤية الأهلّة عمل جميع المسلمين ، يعلم ذلك جميع أهل العالم وملأت الكتب من أحكامها في </w:t>
      </w:r>
      <w:r w:rsidRPr="00DE76B9">
        <w:rPr>
          <w:rStyle w:val="libFootnoteBoldChar"/>
          <w:rtl/>
        </w:rPr>
        <w:t>الفقه</w:t>
      </w:r>
      <w:r w:rsidRPr="00253F1A">
        <w:rPr>
          <w:rtl/>
        </w:rPr>
        <w:t xml:space="preserve"> والحديث والتواريخ والسير من نقل الوقائع فيها ، فكيف يقاس الأحاديث التي شهد بصحّتها آلاف ا</w:t>
      </w:r>
      <w:r w:rsidR="009A2781">
        <w:rPr>
          <w:rFonts w:hint="cs"/>
          <w:rtl/>
        </w:rPr>
        <w:t>ُ</w:t>
      </w:r>
      <w:r w:rsidRPr="00253F1A">
        <w:rPr>
          <w:rtl/>
        </w:rPr>
        <w:t xml:space="preserve">لوف من </w:t>
      </w:r>
      <w:r w:rsidR="009A278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وَلَاتَكُونُ </w:t>
      </w:r>
      <w:r w:rsidRPr="00A91B96">
        <w:rPr>
          <w:rStyle w:val="libFootnotenumChar"/>
          <w:rtl/>
        </w:rPr>
        <w:t>(1)</w:t>
      </w:r>
      <w:r w:rsidRPr="00020424">
        <w:rPr>
          <w:rtl/>
          <w:lang w:bidi="fa-IR"/>
        </w:rPr>
        <w:t xml:space="preserve"> فَرِيضَةٌ نَاقِصَةً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وَلِتُكْمِلُوا الْعِدَّةَ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وَشَوَّالٌ تِسْعَةٌ وَعِشْرُونَ </w:t>
      </w:r>
      <w:r w:rsidRPr="00A91B96">
        <w:rPr>
          <w:rStyle w:val="libFootnotenumChar"/>
          <w:rtl/>
        </w:rPr>
        <w:t>(3)</w:t>
      </w:r>
      <w:r w:rsidRPr="00020424">
        <w:rPr>
          <w:rtl/>
          <w:lang w:bidi="fa-IR"/>
        </w:rPr>
        <w:t xml:space="preserve"> يَوْماً </w:t>
      </w:r>
      <w:r w:rsidRPr="00A91B96">
        <w:rPr>
          <w:rStyle w:val="libFootnotenumChar"/>
          <w:rtl/>
        </w:rPr>
        <w:t>(4)</w:t>
      </w:r>
      <w:r w:rsidRPr="00020424">
        <w:rPr>
          <w:rtl/>
          <w:lang w:bidi="fa-IR"/>
        </w:rPr>
        <w:t xml:space="preserve"> ، وَذُو الْقَعْدَةِ ثَلَاثُونَ يَوْماً ؛ لِقَوْلِ </w:t>
      </w:r>
      <w:r w:rsidRPr="00A91B96">
        <w:rPr>
          <w:rStyle w:val="libFootnotenumChar"/>
          <w:rtl/>
        </w:rPr>
        <w:t>(5)</w:t>
      </w:r>
      <w:r w:rsidRPr="00020424">
        <w:rPr>
          <w:rtl/>
          <w:lang w:bidi="fa-IR"/>
        </w:rPr>
        <w:t xml:space="preserve"> اللهِ عَزَّ وَجَلَّ : </w:t>
      </w:r>
      <w:r w:rsidRPr="00005A81">
        <w:rPr>
          <w:rStyle w:val="libAlaemChar"/>
          <w:rtl/>
        </w:rPr>
        <w:t>(</w:t>
      </w:r>
      <w:r w:rsidRPr="004E5AB4">
        <w:rPr>
          <w:rStyle w:val="libAieChar"/>
          <w:rtl/>
        </w:rPr>
        <w:t xml:space="preserve"> وَ</w:t>
      </w:r>
      <w:r w:rsidR="0023642D">
        <w:rPr>
          <w:rStyle w:val="libAieChar"/>
          <w:rFonts w:hint="cs"/>
          <w:rtl/>
        </w:rPr>
        <w:t xml:space="preserve"> </w:t>
      </w:r>
      <w:r w:rsidRPr="004E5AB4">
        <w:rPr>
          <w:rStyle w:val="libAieChar"/>
          <w:rtl/>
        </w:rPr>
        <w:t xml:space="preserve">واعَدْنا مُوسى ثَلاثِينَ لَيْلَةً وَأَتْمَمْناها بِعَشْرٍ فَتَمَّ مِيقاتُ رَبِّهِ أَرْبَعِينَ لَيْلَةً </w:t>
      </w:r>
      <w:r w:rsidRPr="00005A81">
        <w:rPr>
          <w:rStyle w:val="libAlaemChar"/>
          <w:rtl/>
        </w:rPr>
        <w:t>)</w:t>
      </w:r>
      <w:r w:rsidRPr="00020424">
        <w:rPr>
          <w:rtl/>
          <w:lang w:bidi="fa-IR"/>
        </w:rPr>
        <w:t xml:space="preserve"> </w:t>
      </w:r>
      <w:r w:rsidRPr="00A91B96">
        <w:rPr>
          <w:rStyle w:val="libFootnotenumChar"/>
          <w:rtl/>
        </w:rPr>
        <w:t>(6)</w:t>
      </w:r>
      <w:r w:rsidRPr="00020424">
        <w:rPr>
          <w:rtl/>
          <w:lang w:bidi="fa-IR"/>
        </w:rPr>
        <w:t xml:space="preserve"> وَذُو الْحِجَّةِ تِسْعَةٌ وَعِشْرُونَ يَوْماً ، وَالْمُحَرَّمُ ثَلَاثُونَ يَوْماً </w:t>
      </w:r>
      <w:r w:rsidRPr="00A91B96">
        <w:rPr>
          <w:rStyle w:val="libFootnotenumChar"/>
          <w:rtl/>
        </w:rPr>
        <w:t>(7)</w:t>
      </w:r>
      <w:r w:rsidRPr="00020424">
        <w:rPr>
          <w:rtl/>
          <w:lang w:bidi="fa-IR"/>
        </w:rPr>
        <w:t xml:space="preserve"> ، ثُمَّ الشُّهُورُ بَعْدَ ذلِكَ شَهْرٌ تَامٌّ ، وَشَهْرٌ نَاقِصٌ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55E2A">
        <w:rPr>
          <w:rtl/>
        </w:rPr>
        <w:t>6305</w:t>
      </w:r>
      <w:r w:rsidRPr="001155DE">
        <w:rPr>
          <w:rStyle w:val="libBold2Char"/>
          <w:rtl/>
        </w:rPr>
        <w:t xml:space="preserve"> / 3.</w:t>
      </w:r>
      <w:r w:rsidRPr="00020424">
        <w:rPr>
          <w:rtl/>
          <w:lang w:bidi="fa-IR"/>
        </w:rPr>
        <w:t xml:space="preserve"> مُحَمَّدُ بْنُ يَحْيى ، عَنْ مُحَمَّدِ بْنِ الْحُسَيْنِ ، عَنِ ابْنِ سِنَانٍ ، عَنْ حُذَيْفَةَ بْنِ مَنْصُورٍ ، عَنْ مُعَاذِ بْنِ كَثِيرٍ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شَهْرُ رَمَضَانَ ثَلَاثُونَ يَوْماً </w:t>
      </w:r>
      <w:r w:rsidRPr="00A91B96">
        <w:rPr>
          <w:rStyle w:val="libFootnotenumChar"/>
          <w:rtl/>
        </w:rPr>
        <w:t>(11)</w:t>
      </w:r>
      <w:r w:rsidRPr="00020424">
        <w:rPr>
          <w:rtl/>
          <w:lang w:bidi="fa-IR"/>
        </w:rPr>
        <w:t xml:space="preserve"> لَايَنْقُصُ</w:t>
      </w:r>
      <w:r>
        <w:rPr>
          <w:rtl/>
          <w:lang w:bidi="fa-IR"/>
        </w:rPr>
        <w:t xml:space="preserve"> </w:t>
      </w:r>
      <w:r w:rsidR="009B673F">
        <w:rPr>
          <w:rtl/>
          <w:lang w:bidi="fa-IR"/>
        </w:rPr>
        <w:t>-</w:t>
      </w:r>
      <w:r>
        <w:rPr>
          <w:rtl/>
          <w:lang w:bidi="fa-IR"/>
        </w:rPr>
        <w:t xml:space="preserve"> </w:t>
      </w:r>
      <w:r w:rsidRPr="00020424">
        <w:rPr>
          <w:rtl/>
          <w:lang w:bidi="fa-IR"/>
        </w:rPr>
        <w:t xml:space="preserve">وَاللهِ </w:t>
      </w:r>
      <w:r w:rsidRPr="00A91B96">
        <w:rPr>
          <w:rStyle w:val="libFootnotenumChar"/>
          <w:rtl/>
        </w:rPr>
        <w:t>(12)</w:t>
      </w:r>
      <w:r w:rsidRPr="00020424">
        <w:rPr>
          <w:rtl/>
          <w:lang w:bidi="fa-IR"/>
        </w:rPr>
        <w:t xml:space="preserve"> </w:t>
      </w:r>
      <w:r w:rsidR="009B673F">
        <w:rPr>
          <w:rFonts w:hint="cs"/>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23642D" w:rsidP="00B23DEC">
      <w:pPr>
        <w:pStyle w:val="libFootnote0"/>
        <w:rPr>
          <w:rtl/>
          <w:lang w:bidi="fa-IR"/>
        </w:rPr>
      </w:pPr>
      <w:r>
        <w:rPr>
          <w:rFonts w:hint="cs"/>
          <w:rtl/>
        </w:rPr>
        <w:t xml:space="preserve">= </w:t>
      </w:r>
      <w:r w:rsidR="00992664" w:rsidRPr="0023642D">
        <w:rPr>
          <w:rtl/>
        </w:rPr>
        <w:t xml:space="preserve">الناس بهذه الأحاديث التي لم يطّلع عليها أحد </w:t>
      </w:r>
      <w:r w:rsidR="00B23DEC">
        <w:rPr>
          <w:rtl/>
        </w:rPr>
        <w:t>إل</w:t>
      </w:r>
      <w:r w:rsidR="00B23DEC">
        <w:rPr>
          <w:rFonts w:hint="cs"/>
          <w:rtl/>
        </w:rPr>
        <w:t>ّ</w:t>
      </w:r>
      <w:r w:rsidR="00B23DEC">
        <w:rPr>
          <w:rtl/>
        </w:rPr>
        <w:t>ا</w:t>
      </w:r>
      <w:r w:rsidR="00B23DEC">
        <w:rPr>
          <w:rFonts w:hint="cs"/>
          <w:rtl/>
        </w:rPr>
        <w:t xml:space="preserve"> </w:t>
      </w:r>
      <w:r w:rsidR="00992664" w:rsidRPr="0023642D">
        <w:rPr>
          <w:rtl/>
        </w:rPr>
        <w:t xml:space="preserve">نادراً؟ ومن اطّلع عليها ردّها </w:t>
      </w:r>
      <w:r w:rsidR="00B23DEC">
        <w:rPr>
          <w:rtl/>
        </w:rPr>
        <w:t>إل</w:t>
      </w:r>
      <w:r w:rsidR="00B23DEC">
        <w:rPr>
          <w:rFonts w:hint="cs"/>
          <w:rtl/>
        </w:rPr>
        <w:t>ّ</w:t>
      </w:r>
      <w:r w:rsidR="00B23DEC">
        <w:rPr>
          <w:rtl/>
        </w:rPr>
        <w:t>ا</w:t>
      </w:r>
      <w:r w:rsidR="00B23DEC">
        <w:rPr>
          <w:rFonts w:hint="cs"/>
          <w:rtl/>
        </w:rPr>
        <w:t xml:space="preserve"> </w:t>
      </w:r>
      <w:r w:rsidR="00992664" w:rsidRPr="0023642D">
        <w:rPr>
          <w:rtl/>
        </w:rPr>
        <w:t xml:space="preserve">نادراً؟ ومن يسوي بين الحديثين في الاعتبار ويرى التعارض بينهما كمن لا يفرّق بين الإخبار عن وجود مكّة وجابلقا ، حيث يرى الإخبار عن البلدين مكتوبين في كتاب واحد ، أو لا يفرّق بين الإخبار عن هارون الرشيد والإخبار عن الضحّاك وإفريدون ؛ لأنّ الإخبارين كلاهما مكتوب في </w:t>
      </w:r>
      <w:r w:rsidR="00992664" w:rsidRPr="00DE76B9">
        <w:rPr>
          <w:rStyle w:val="libFootnoteBoldChar"/>
          <w:rtl/>
        </w:rPr>
        <w:t>تاريخ الطبري</w:t>
      </w:r>
      <w:r w:rsidR="00992664" w:rsidRPr="0023642D">
        <w:rPr>
          <w:rtl/>
        </w:rPr>
        <w:t xml:space="preserve">. وبالجملة لا تعارض بين المتواتر والآحاد ، ولا يجوز الاعتناء بالآحاد المناقض للمتواتر ». وللمزيد راجع : </w:t>
      </w:r>
      <w:r w:rsidR="00992664" w:rsidRPr="00DE76B9">
        <w:rPr>
          <w:rStyle w:val="libFootnoteBoldChar"/>
          <w:rtl/>
        </w:rPr>
        <w:t>إقبال الأعمال</w:t>
      </w:r>
      <w:r w:rsidR="00992664" w:rsidRPr="0023642D">
        <w:rPr>
          <w:rtl/>
        </w:rPr>
        <w:t xml:space="preserve"> ، ص 4 </w:t>
      </w:r>
      <w:r w:rsidR="009B673F" w:rsidRPr="0023642D">
        <w:rPr>
          <w:rtl/>
        </w:rPr>
        <w:t>-</w:t>
      </w:r>
      <w:r w:rsidR="00992664" w:rsidRPr="0023642D">
        <w:rPr>
          <w:rtl/>
        </w:rPr>
        <w:t xml:space="preserve"> 7.</w:t>
      </w:r>
    </w:p>
    <w:p w:rsidR="00992664" w:rsidRPr="00020424" w:rsidRDefault="00795177" w:rsidP="0023642D">
      <w:pPr>
        <w:pStyle w:val="libFootnote0"/>
        <w:rPr>
          <w:rtl/>
          <w:lang w:bidi="fa-IR"/>
        </w:rPr>
      </w:pPr>
      <w:r>
        <w:rPr>
          <w:rtl/>
        </w:rPr>
        <w:t>(1).</w:t>
      </w:r>
      <w:r w:rsidR="0014403D">
        <w:rPr>
          <w:rtl/>
        </w:rPr>
        <w:t xml:space="preserve"> </w:t>
      </w:r>
      <w:r w:rsidR="00992664" w:rsidRPr="00020424">
        <w:rPr>
          <w:rtl/>
        </w:rPr>
        <w:t>في « ى ، بث ، بر ، بس ، بك » : « ولا يكون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البقرة </w:t>
      </w:r>
      <w:r w:rsidR="00B23DEC">
        <w:rPr>
          <w:rtl/>
        </w:rPr>
        <w:t>(2)</w:t>
      </w:r>
      <w:r w:rsidR="0014403D">
        <w:rPr>
          <w:rtl/>
        </w:rPr>
        <w:t xml:space="preserve"> </w:t>
      </w:r>
      <w:r w:rsidR="00992664" w:rsidRPr="00020424">
        <w:rPr>
          <w:rtl/>
        </w:rPr>
        <w:t>: 185.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بك » : « وعشرين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23DEC" w:rsidTr="00B23DEC">
        <w:tc>
          <w:tcPr>
            <w:tcW w:w="4006" w:type="dxa"/>
          </w:tcPr>
          <w:p w:rsidR="00B23DEC" w:rsidRDefault="00B23DEC" w:rsidP="00992664">
            <w:pPr>
              <w:pStyle w:val="libFootnote0"/>
              <w:rPr>
                <w:rtl/>
              </w:rPr>
            </w:pPr>
            <w:r>
              <w:rPr>
                <w:rtl/>
              </w:rPr>
              <w:t xml:space="preserve">(4). </w:t>
            </w:r>
            <w:r w:rsidRPr="00020424">
              <w:rPr>
                <w:rtl/>
              </w:rPr>
              <w:t>في « ى » :</w:t>
            </w:r>
            <w:r>
              <w:rPr>
                <w:rtl/>
              </w:rPr>
              <w:t xml:space="preserve"> - </w:t>
            </w:r>
            <w:r w:rsidRPr="00020424">
              <w:rPr>
                <w:rtl/>
              </w:rPr>
              <w:t>« يوماً</w:t>
            </w:r>
            <w:r>
              <w:rPr>
                <w:rtl/>
              </w:rPr>
              <w:t xml:space="preserve"> ».</w:t>
            </w:r>
          </w:p>
        </w:tc>
        <w:tc>
          <w:tcPr>
            <w:tcW w:w="4006" w:type="dxa"/>
          </w:tcPr>
          <w:p w:rsidR="00B23DEC" w:rsidRDefault="00B23DEC" w:rsidP="00992664">
            <w:pPr>
              <w:pStyle w:val="libFootnote0"/>
              <w:rPr>
                <w:rtl/>
              </w:rPr>
            </w:pPr>
            <w:r>
              <w:rPr>
                <w:rtl/>
              </w:rPr>
              <w:t>(5). في«</w:t>
            </w:r>
            <w:r w:rsidRPr="00020424">
              <w:rPr>
                <w:rtl/>
              </w:rPr>
              <w:t xml:space="preserve">بخ، بر ، بك » </w:t>
            </w:r>
            <w:r w:rsidRPr="00515444">
              <w:rPr>
                <w:rStyle w:val="libFootnoteBoldChar"/>
                <w:rtl/>
              </w:rPr>
              <w:t>والوافي</w:t>
            </w:r>
            <w:r w:rsidRPr="00020424">
              <w:rPr>
                <w:rtl/>
              </w:rPr>
              <w:t xml:space="preserve"> </w:t>
            </w:r>
            <w:r w:rsidRPr="00EB1FD9">
              <w:rPr>
                <w:rStyle w:val="libFootnoteBoldChar"/>
                <w:rtl/>
              </w:rPr>
              <w:t>والوسائل</w:t>
            </w:r>
            <w:r w:rsidRPr="00020424">
              <w:rPr>
                <w:rtl/>
              </w:rPr>
              <w:t xml:space="preserve"> : « يقول</w:t>
            </w:r>
            <w:r>
              <w:rPr>
                <w:rtl/>
              </w:rPr>
              <w:t>».</w:t>
            </w:r>
          </w:p>
        </w:tc>
      </w:tr>
      <w:tr w:rsidR="00B23DEC" w:rsidTr="00B23DEC">
        <w:tc>
          <w:tcPr>
            <w:tcW w:w="4006" w:type="dxa"/>
          </w:tcPr>
          <w:p w:rsidR="00B23DEC" w:rsidRDefault="00B23DEC" w:rsidP="00992664">
            <w:pPr>
              <w:pStyle w:val="libFootnote0"/>
              <w:rPr>
                <w:rtl/>
              </w:rPr>
            </w:pPr>
            <w:r>
              <w:rPr>
                <w:rtl/>
              </w:rPr>
              <w:t xml:space="preserve">(6). </w:t>
            </w:r>
            <w:r w:rsidRPr="00020424">
              <w:rPr>
                <w:rtl/>
              </w:rPr>
              <w:t xml:space="preserve">الأعراف </w:t>
            </w:r>
            <w:r>
              <w:rPr>
                <w:rtl/>
              </w:rPr>
              <w:t xml:space="preserve">(7) </w:t>
            </w:r>
            <w:r w:rsidRPr="00020424">
              <w:rPr>
                <w:rtl/>
              </w:rPr>
              <w:t>: 142.</w:t>
            </w:r>
          </w:p>
        </w:tc>
        <w:tc>
          <w:tcPr>
            <w:tcW w:w="4006" w:type="dxa"/>
          </w:tcPr>
          <w:p w:rsidR="00B23DEC" w:rsidRDefault="00B23DEC" w:rsidP="00992664">
            <w:pPr>
              <w:pStyle w:val="libFootnote0"/>
              <w:rPr>
                <w:rtl/>
              </w:rPr>
            </w:pPr>
            <w:r>
              <w:rPr>
                <w:rtl/>
              </w:rPr>
              <w:t xml:space="preserve">(7). </w:t>
            </w:r>
            <w:r w:rsidRPr="00020424">
              <w:rPr>
                <w:rtl/>
              </w:rPr>
              <w:t>في « بر ، بف ، بك » :</w:t>
            </w:r>
            <w:r>
              <w:rPr>
                <w:rtl/>
              </w:rPr>
              <w:t xml:space="preserve"> - </w:t>
            </w:r>
            <w:r w:rsidRPr="00020424">
              <w:rPr>
                <w:rtl/>
              </w:rPr>
              <w:t>« يوماً</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قال في </w:t>
      </w:r>
      <w:r w:rsidR="00992664" w:rsidRPr="00DE76B9">
        <w:rPr>
          <w:rStyle w:val="libFootnoteBoldChar"/>
          <w:rtl/>
        </w:rPr>
        <w:t>مرآة العقول</w:t>
      </w:r>
      <w:r w:rsidR="00992664" w:rsidRPr="00020424">
        <w:rPr>
          <w:rtl/>
        </w:rPr>
        <w:t xml:space="preserve"> : « ثمّ اعلم أنّ في هذا الخبر إشكالاً من جهات ا</w:t>
      </w:r>
      <w:r w:rsidR="00FA59CC">
        <w:rPr>
          <w:rFonts w:hint="cs"/>
          <w:rtl/>
        </w:rPr>
        <w:t>ُ</w:t>
      </w:r>
      <w:r w:rsidR="00992664" w:rsidRPr="00020424">
        <w:rPr>
          <w:rtl/>
        </w:rPr>
        <w:t>خرى » ، ثمّ ذكرها وأجاب عنها ، وهي : الا</w:t>
      </w:r>
      <w:r w:rsidR="00CA7A4D">
        <w:rPr>
          <w:rFonts w:hint="cs"/>
          <w:rtl/>
        </w:rPr>
        <w:t>ُ</w:t>
      </w:r>
      <w:r w:rsidR="00992664" w:rsidRPr="00020424">
        <w:rPr>
          <w:rtl/>
        </w:rPr>
        <w:t>ولى : أنّ الثلاثمائة وستّين يوماً لا يوافق الشمسيّة ولا القمريّة. والثانية : أنّ خلق الدنيا في ستّة أيّام كيف صار سبباً لنقص الشهور القمريّة</w:t>
      </w:r>
      <w:r w:rsidR="00992664">
        <w:rPr>
          <w:rtl/>
        </w:rPr>
        <w:t>؟</w:t>
      </w:r>
      <w:r w:rsidR="00992664" w:rsidRPr="00020424">
        <w:rPr>
          <w:rtl/>
        </w:rPr>
        <w:t xml:space="preserve"> الثالثة : الاستدلال بالآية كيف يتمّ</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172 ، ح 485 ؛ </w:t>
      </w:r>
      <w:r w:rsidR="00992664" w:rsidRPr="00FD6221">
        <w:rPr>
          <w:rStyle w:val="libFootnoteBoldChar"/>
          <w:rtl/>
        </w:rPr>
        <w:t>والاستبصار</w:t>
      </w:r>
      <w:r w:rsidR="00992664" w:rsidRPr="00020424">
        <w:rPr>
          <w:rtl/>
        </w:rPr>
        <w:t xml:space="preserve"> ، ج 2 ، ص 68 ، ح 218 ، معلّقاً عن الكليني. وفي </w:t>
      </w:r>
      <w:r w:rsidR="00992664" w:rsidRPr="0012008A">
        <w:rPr>
          <w:rStyle w:val="libFootnoteBoldChar"/>
          <w:rtl/>
        </w:rPr>
        <w:t>الفقيه</w:t>
      </w:r>
      <w:r w:rsidR="00992664" w:rsidRPr="00020424">
        <w:rPr>
          <w:rtl/>
        </w:rPr>
        <w:t xml:space="preserve"> ، ج 2 ، ص 170 ، ح 2042 ؛ </w:t>
      </w:r>
      <w:r w:rsidR="00992664" w:rsidRPr="00515444">
        <w:rPr>
          <w:rStyle w:val="libFootnoteBoldChar"/>
          <w:rtl/>
        </w:rPr>
        <w:t>والتهذيب</w:t>
      </w:r>
      <w:r w:rsidR="00992664" w:rsidRPr="00020424">
        <w:rPr>
          <w:rtl/>
        </w:rPr>
        <w:t xml:space="preserve"> ، ج 4 ، ص 171 ، ح 483 ؛ </w:t>
      </w:r>
      <w:r w:rsidR="00992664" w:rsidRPr="00FD6221">
        <w:rPr>
          <w:rStyle w:val="libFootnoteBoldChar"/>
          <w:rtl/>
        </w:rPr>
        <w:t>والاستبصار</w:t>
      </w:r>
      <w:r w:rsidR="00992664" w:rsidRPr="00020424">
        <w:rPr>
          <w:rtl/>
        </w:rPr>
        <w:t xml:space="preserve"> ، ج 2 ، ص 67 ، ح 216 ؛ </w:t>
      </w:r>
      <w:r w:rsidR="00992664" w:rsidRPr="00216E45">
        <w:rPr>
          <w:rStyle w:val="libFootnoteBoldChar"/>
          <w:rtl/>
        </w:rPr>
        <w:t>ومعاني الأخبار</w:t>
      </w:r>
      <w:r w:rsidR="00992664" w:rsidRPr="00020424">
        <w:rPr>
          <w:rtl/>
        </w:rPr>
        <w:t xml:space="preserve"> ، ص 382 ، ح 14 ، بسند آخر مع اختلاف وزيادة في أوّله </w:t>
      </w:r>
      <w:r w:rsidR="00CA7A4D">
        <w:rPr>
          <w:rFonts w:hint="cs"/>
          <w:rtl/>
        </w:rPr>
        <w:t>.</w:t>
      </w:r>
      <w:r w:rsidR="00992664" w:rsidRPr="0012008A">
        <w:rPr>
          <w:rStyle w:val="libFootnoteBoldChar"/>
          <w:rtl/>
        </w:rPr>
        <w:t>الوافي</w:t>
      </w:r>
      <w:r w:rsidR="00992664" w:rsidRPr="00020424">
        <w:rPr>
          <w:rtl/>
        </w:rPr>
        <w:t xml:space="preserve"> ، ج 11 ، ص 142 ، ح 10576 ؛ </w:t>
      </w:r>
      <w:r w:rsidR="00992664" w:rsidRPr="0012008A">
        <w:rPr>
          <w:rStyle w:val="libFootnoteBoldChar"/>
          <w:rtl/>
        </w:rPr>
        <w:t>الوسائل</w:t>
      </w:r>
      <w:r w:rsidR="00992664" w:rsidRPr="00020424">
        <w:rPr>
          <w:rtl/>
        </w:rPr>
        <w:t xml:space="preserve"> ، ج 10 ، ص 272 ، ح 13402 ؛ </w:t>
      </w:r>
      <w:r w:rsidR="00992664" w:rsidRPr="0012008A">
        <w:rPr>
          <w:rStyle w:val="libFootnoteBoldChar"/>
          <w:rtl/>
        </w:rPr>
        <w:t>البحار</w:t>
      </w:r>
      <w:r w:rsidR="00992664" w:rsidRPr="00020424">
        <w:rPr>
          <w:rtl/>
        </w:rPr>
        <w:t xml:space="preserve"> ، ج 57 ، ص 215 ، ح 185.</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معاذ بن كثير</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FD6221">
        <w:rPr>
          <w:rStyle w:val="libFootnoteBoldChar"/>
          <w:rtl/>
        </w:rPr>
        <w:t>والخصال</w:t>
      </w:r>
      <w:r w:rsidR="00992664" w:rsidRPr="00020424">
        <w:rPr>
          <w:rtl/>
        </w:rPr>
        <w:t xml:space="preserve"> : + « ويقال له : معاذ بن مسلم الهراء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7A4D" w:rsidTr="00CA7A4D">
        <w:tc>
          <w:tcPr>
            <w:tcW w:w="4006" w:type="dxa"/>
          </w:tcPr>
          <w:p w:rsidR="00CA7A4D" w:rsidRDefault="00CA7A4D" w:rsidP="00992664">
            <w:pPr>
              <w:pStyle w:val="libFootnote0"/>
              <w:rPr>
                <w:rtl/>
              </w:rPr>
            </w:pPr>
            <w:r>
              <w:rPr>
                <w:rtl/>
              </w:rPr>
              <w:t>(11). في «</w:t>
            </w:r>
            <w:r w:rsidRPr="00020424">
              <w:rPr>
                <w:rtl/>
              </w:rPr>
              <w:t>ى ، بر ، بف ، بك » :</w:t>
            </w:r>
            <w:r>
              <w:rPr>
                <w:rtl/>
              </w:rPr>
              <w:t xml:space="preserve"> - «</w:t>
            </w:r>
            <w:r w:rsidRPr="00020424">
              <w:rPr>
                <w:rtl/>
              </w:rPr>
              <w:t>ثلاثون يوماً</w:t>
            </w:r>
            <w:r>
              <w:rPr>
                <w:rtl/>
              </w:rPr>
              <w:t>».</w:t>
            </w:r>
          </w:p>
        </w:tc>
        <w:tc>
          <w:tcPr>
            <w:tcW w:w="4006" w:type="dxa"/>
          </w:tcPr>
          <w:p w:rsidR="00CA7A4D" w:rsidRDefault="00CA7A4D" w:rsidP="00992664">
            <w:pPr>
              <w:pStyle w:val="libFootnote0"/>
              <w:rPr>
                <w:rtl/>
              </w:rPr>
            </w:pPr>
            <w:r>
              <w:rPr>
                <w:rtl/>
              </w:rPr>
              <w:t xml:space="preserve">(12).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والله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أَبَداً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320" w:name="_Toc345172822"/>
      <w:bookmarkStart w:id="321" w:name="_Toc464562640"/>
      <w:bookmarkStart w:id="322" w:name="_Toc44599943"/>
      <w:r w:rsidRPr="00020424">
        <w:rPr>
          <w:rtl/>
          <w:lang w:bidi="fa-IR"/>
        </w:rPr>
        <w:t>8</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(3)</w:t>
      </w:r>
      <w:r w:rsidRPr="00020424">
        <w:rPr>
          <w:rtl/>
          <w:lang w:bidi="fa-IR"/>
        </w:rPr>
        <w:t xml:space="preserve"> ‌</w:t>
      </w:r>
      <w:bookmarkEnd w:id="320"/>
      <w:bookmarkEnd w:id="321"/>
      <w:bookmarkEnd w:id="322"/>
    </w:p>
    <w:p w:rsidR="00992664" w:rsidRPr="00020424" w:rsidRDefault="00992664" w:rsidP="00992664">
      <w:pPr>
        <w:pStyle w:val="libNormal"/>
        <w:rPr>
          <w:rtl/>
          <w:lang w:bidi="fa-IR"/>
        </w:rPr>
      </w:pPr>
      <w:r w:rsidRPr="00055E2A">
        <w:rPr>
          <w:rtl/>
        </w:rPr>
        <w:t>6306</w:t>
      </w:r>
      <w:r w:rsidRPr="001155DE">
        <w:rPr>
          <w:rStyle w:val="libBold2Char"/>
          <w:rtl/>
        </w:rPr>
        <w:t xml:space="preserve"> / 1.</w:t>
      </w:r>
      <w:r w:rsidRPr="00020424">
        <w:rPr>
          <w:rtl/>
          <w:lang w:bidi="fa-IR"/>
        </w:rPr>
        <w:t xml:space="preserve"> عَلِيُّ بْنُ مُحَمَّدٍ ، عَنْ بَعْضِ أَصْحَابِنَا ، عَنْ مُحَمَّدِ بْنِ عِيسَى بْنِ عُبَيْدٍ </w:t>
      </w:r>
      <w:r w:rsidRPr="00A91B96">
        <w:rPr>
          <w:rStyle w:val="libFootnotenumChar"/>
          <w:rtl/>
        </w:rPr>
        <w:t>(4)</w:t>
      </w:r>
      <w:r w:rsidRPr="00020424">
        <w:rPr>
          <w:rtl/>
          <w:lang w:bidi="fa-IR"/>
        </w:rPr>
        <w:t xml:space="preserve"> ، عَنْ إِبْرَاهِيمَ بْنِ مُحَمَّدٍ الْمَدَنِيِّ </w:t>
      </w:r>
      <w:r w:rsidRPr="00A91B96">
        <w:rPr>
          <w:rStyle w:val="libFootnotenumChar"/>
          <w:rtl/>
        </w:rPr>
        <w:t>(5)</w:t>
      </w:r>
      <w:r w:rsidRPr="00020424">
        <w:rPr>
          <w:rtl/>
          <w:lang w:bidi="fa-IR"/>
        </w:rPr>
        <w:t xml:space="preserve"> ، عَنْ عِمْرَانَ الزَّعْفَرَانِيِّ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السَّمَاءَ تُطْبِقُ عَلَيْنَا </w:t>
      </w:r>
      <w:r w:rsidRPr="00A91B96">
        <w:rPr>
          <w:rStyle w:val="libFootnotenumChar"/>
          <w:rtl/>
        </w:rPr>
        <w:t>(6)</w:t>
      </w:r>
      <w:r w:rsidRPr="00020424">
        <w:rPr>
          <w:rtl/>
          <w:lang w:bidi="fa-IR"/>
        </w:rPr>
        <w:t xml:space="preserve"> بِالْعِرَاقِ </w:t>
      </w:r>
      <w:r w:rsidRPr="00A91B96">
        <w:rPr>
          <w:rStyle w:val="libFootnotenumChar"/>
          <w:rtl/>
        </w:rPr>
        <w:t>(7)</w:t>
      </w:r>
      <w:r w:rsidRPr="00020424">
        <w:rPr>
          <w:rtl/>
          <w:lang w:bidi="fa-IR"/>
        </w:rPr>
        <w:t xml:space="preserve"> الْيَوْمَيْنِ وَالثَّلَاثَةَ ، فَأَيَّ يَوْمٍ نَصُومُ</w:t>
      </w:r>
      <w:r>
        <w:rPr>
          <w:rtl/>
          <w:lang w:bidi="fa-IR"/>
        </w:rPr>
        <w:t>؟</w:t>
      </w:r>
    </w:p>
    <w:p w:rsidR="00992664" w:rsidRPr="00020424" w:rsidRDefault="00992664" w:rsidP="00992664">
      <w:pPr>
        <w:pStyle w:val="libNormal"/>
        <w:rPr>
          <w:rtl/>
          <w:lang w:bidi="fa-IR"/>
        </w:rPr>
      </w:pPr>
      <w:r w:rsidRPr="00020424">
        <w:rPr>
          <w:rtl/>
          <w:lang w:bidi="fa-IR"/>
        </w:rPr>
        <w:t xml:space="preserve">قَالَ : « انْظُرِ </w:t>
      </w:r>
      <w:r w:rsidRPr="00A91B96">
        <w:rPr>
          <w:rStyle w:val="libFootnotenumChar"/>
          <w:rtl/>
        </w:rPr>
        <w:t>(8)</w:t>
      </w:r>
      <w:r w:rsidRPr="00020424">
        <w:rPr>
          <w:rtl/>
          <w:lang w:bidi="fa-IR"/>
        </w:rPr>
        <w:t xml:space="preserve"> الْيَوْمَ الَّذِي صُمْتَ </w:t>
      </w:r>
      <w:r w:rsidRPr="00A91B96">
        <w:rPr>
          <w:rStyle w:val="libFootnotenumChar"/>
          <w:rtl/>
        </w:rPr>
        <w:t>(9)</w:t>
      </w:r>
      <w:r w:rsidRPr="00020424">
        <w:rPr>
          <w:rtl/>
          <w:lang w:bidi="fa-IR"/>
        </w:rPr>
        <w:t xml:space="preserve"> مِنَ السَّنَةِ الْمَاضِيَةِ ، وَصُمْ يَوْمَ الْخَامِسِ</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بف » : « أبداً والله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A722B1">
        <w:rPr>
          <w:rStyle w:val="libFootnoteBoldChar"/>
          <w:rtl/>
        </w:rPr>
        <w:t>الخصال</w:t>
      </w:r>
      <w:r w:rsidR="00992664" w:rsidRPr="00020424">
        <w:rPr>
          <w:rtl/>
        </w:rPr>
        <w:t xml:space="preserve"> ، ص 529 ، أبواب الثلاثين ومافوقه ، ح 4 ، عن أبيه ، عن سعد بن عبدالله وعبدالله بن جعفر الحميري ومحمّد بن يحيى العطّار وأحمد بن إدريس جميعاً ، عن أحمد بن محمّد بن عيسى ومحمّد بن الحسين بن أبي الخطّاب ، عن محمّد بن سنان. </w:t>
      </w:r>
      <w:r w:rsidR="00992664" w:rsidRPr="0012008A">
        <w:rPr>
          <w:rStyle w:val="libFootnoteBoldChar"/>
          <w:rtl/>
        </w:rPr>
        <w:t>الفقيه</w:t>
      </w:r>
      <w:r w:rsidR="00992664" w:rsidRPr="00020424">
        <w:rPr>
          <w:rtl/>
        </w:rPr>
        <w:t xml:space="preserve"> ، ج 2 ، ص 169 ، ح 2041 ، معلّقاً عن حذيفة بن منصور </w:t>
      </w:r>
      <w:r w:rsidR="00CA7A4D">
        <w:rPr>
          <w:rFonts w:hint="cs"/>
          <w:rtl/>
        </w:rPr>
        <w:t>.</w:t>
      </w:r>
      <w:r w:rsidR="00992664" w:rsidRPr="0012008A">
        <w:rPr>
          <w:rStyle w:val="libFootnoteBoldChar"/>
          <w:rtl/>
        </w:rPr>
        <w:t>الوافي</w:t>
      </w:r>
      <w:r w:rsidR="00992664" w:rsidRPr="00020424">
        <w:rPr>
          <w:rtl/>
        </w:rPr>
        <w:t xml:space="preserve"> ، ج 11 ، ص 139 ، ح 10568 ؛ </w:t>
      </w:r>
      <w:r w:rsidR="00992664" w:rsidRPr="0012008A">
        <w:rPr>
          <w:rStyle w:val="libFootnoteBoldChar"/>
          <w:rtl/>
        </w:rPr>
        <w:t>الوسائل</w:t>
      </w:r>
      <w:r w:rsidR="00992664" w:rsidRPr="00020424">
        <w:rPr>
          <w:rtl/>
        </w:rPr>
        <w:t xml:space="preserve"> ، ج 10 ، ص 269 ، ح 13395.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باب</w:t>
      </w:r>
      <w:r w:rsidR="00992664">
        <w:rPr>
          <w:rtl/>
        </w:rPr>
        <w:t xml:space="preserve"> ».</w:t>
      </w:r>
      <w:r w:rsidR="00992664" w:rsidRPr="00020424">
        <w:rPr>
          <w:rtl/>
        </w:rPr>
        <w:t xml:space="preserve"> وفي « بف » : « باب إطباق السماء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بح ، بس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عبيد</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المزَني</w:t>
      </w:r>
      <w:r w:rsidR="00992664">
        <w:rPr>
          <w:rtl/>
        </w:rPr>
        <w:t xml:space="preserve"> ».</w:t>
      </w:r>
      <w:r w:rsidR="00992664" w:rsidRPr="00020424">
        <w:rPr>
          <w:rtl/>
        </w:rPr>
        <w:t xml:space="preserve"> وفي « ى ، بث ، بخ ، بر ، بف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المزني</w:t>
      </w:r>
      <w:r w:rsidR="00992664">
        <w:rPr>
          <w:rtl/>
        </w:rPr>
        <w:t xml:space="preserve"> ».</w:t>
      </w:r>
      <w:r w:rsidR="00992664" w:rsidRPr="00020424">
        <w:rPr>
          <w:rtl/>
        </w:rPr>
        <w:t xml:space="preserve"> وفي « بح » وحاشية « بث » : « المرى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تُطْبِقُ علينا » أي تغطّينا ، والمراد تغشية السحاب السماء. راجع : </w:t>
      </w:r>
      <w:r w:rsidR="00992664" w:rsidRPr="00A722B1">
        <w:rPr>
          <w:rStyle w:val="libFootnoteBoldChar"/>
          <w:rtl/>
        </w:rPr>
        <w:t>المصباح المنير</w:t>
      </w:r>
      <w:r w:rsidR="00992664" w:rsidRPr="00020424">
        <w:rPr>
          <w:rtl/>
        </w:rPr>
        <w:t xml:space="preserve"> ، ص 369 ؛ </w:t>
      </w:r>
      <w:r w:rsidR="00992664" w:rsidRPr="00A722B1">
        <w:rPr>
          <w:rStyle w:val="libFootnoteBoldChar"/>
          <w:rtl/>
        </w:rPr>
        <w:t>القاموس المحيط</w:t>
      </w:r>
      <w:r w:rsidR="00992664" w:rsidRPr="00020424">
        <w:rPr>
          <w:rtl/>
        </w:rPr>
        <w:t xml:space="preserve"> ، ج 2 ، ص 1198 ( طبق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ظ ، ى ، بث ، بخ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والاستبصار</w:t>
      </w:r>
      <w:r w:rsidR="00992664" w:rsidRPr="00020424">
        <w:rPr>
          <w:rtl/>
        </w:rPr>
        <w:t xml:space="preserve">. وفي « بح » والمطبوع : + « اليوم </w:t>
      </w:r>
      <w:r w:rsidR="00992664">
        <w:rPr>
          <w:rtl/>
        </w:rPr>
        <w:t>و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حاشية « بف » : « أفطر</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236 : « قوله </w:t>
      </w:r>
      <w:r w:rsidR="00992664" w:rsidRPr="00D64ADA">
        <w:rPr>
          <w:rStyle w:val="libFootnoteAlaemChar"/>
          <w:rtl/>
        </w:rPr>
        <w:t>عليه‌السلام</w:t>
      </w:r>
      <w:r w:rsidR="00992664" w:rsidRPr="00020424">
        <w:rPr>
          <w:rtl/>
        </w:rPr>
        <w:t xml:space="preserve"> : انظر ، نزّل الشيخ </w:t>
      </w:r>
      <w:r w:rsidR="00D64ADA" w:rsidRPr="00D64ADA">
        <w:rPr>
          <w:rStyle w:val="libFootnoteAlaemChar"/>
          <w:rtl/>
        </w:rPr>
        <w:t>رحمه‌الله</w:t>
      </w:r>
      <w:r w:rsidR="00992664" w:rsidRPr="00020424">
        <w:rPr>
          <w:rtl/>
        </w:rPr>
        <w:t xml:space="preserve"> 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هذه الأخبار على أنّ السماء إذا كانت متغيّمة فعلى الإنسان أن يصوم اليوم الخامس احتياطاً ، فإن اتّفق أن يكون من رمضان فقد أجزأ عنه ، وإن كان من شعبان كتب له النوافل. وذكر جمع من الأصحاب أنّ اعتبار الخامس إنّما يتمّ في غير السنة الكبيسة ، أمّا فيها فاليوم السادس</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الاستبصار : + « مِنه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179 ، ح 496 ؛ </w:t>
      </w:r>
      <w:r w:rsidR="00992664" w:rsidRPr="00FD6221">
        <w:rPr>
          <w:rStyle w:val="libFootnoteBoldChar"/>
          <w:rtl/>
        </w:rPr>
        <w:t>والاستبصار</w:t>
      </w:r>
      <w:r w:rsidR="00992664" w:rsidRPr="00020424">
        <w:rPr>
          <w:rtl/>
        </w:rPr>
        <w:t xml:space="preserve"> ، ج 2 ، ص 76 ، ح 230 ، معلّقاً عن الكليني. </w:t>
      </w:r>
      <w:r w:rsidR="00992664" w:rsidRPr="0012008A">
        <w:rPr>
          <w:rStyle w:val="libFootnoteBoldChar"/>
          <w:rtl/>
        </w:rPr>
        <w:t>الفقيه</w:t>
      </w:r>
      <w:r w:rsidR="00992664" w:rsidRPr="00020424">
        <w:rPr>
          <w:rtl/>
        </w:rPr>
        <w:t xml:space="preserve"> ، ج 2 ، </w:t>
      </w:r>
      <w:r w:rsidR="001C1C5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767FD">
        <w:rPr>
          <w:rtl/>
        </w:rPr>
        <w:t>6307</w:t>
      </w:r>
      <w:r w:rsidRPr="001155DE">
        <w:rPr>
          <w:rStyle w:val="libBold2Char"/>
          <w:rtl/>
        </w:rPr>
        <w:t xml:space="preserve"> / 2.</w:t>
      </w:r>
      <w:r w:rsidRPr="00020424">
        <w:rPr>
          <w:rtl/>
          <w:lang w:bidi="fa-IR"/>
        </w:rPr>
        <w:t xml:space="preserve"> مُحَمَّدُ بْنُ يَحْيى ، عَنْ مُحَمَّدِ بْنِ أَحْمَدَ ، عَنِ الْعَبَّاسِ بْنِ مَعْرُوفٍ ، عَنْ صَفْوَانَ بْنِ يَحْيى </w:t>
      </w:r>
      <w:r w:rsidRPr="00A91B96">
        <w:rPr>
          <w:rStyle w:val="libFootnotenumChar"/>
          <w:rtl/>
        </w:rPr>
        <w:t>(1)</w:t>
      </w:r>
      <w:r w:rsidRPr="00020424">
        <w:rPr>
          <w:rtl/>
          <w:lang w:bidi="fa-IR"/>
        </w:rPr>
        <w:t xml:space="preserve"> ، عَنْ مُحَمَّدِ بْنِ عُثْمَانَ </w:t>
      </w:r>
      <w:r w:rsidRPr="00A91B96">
        <w:rPr>
          <w:rStyle w:val="libFootnotenumChar"/>
          <w:rtl/>
        </w:rPr>
        <w:t>(2)</w:t>
      </w:r>
      <w:r w:rsidRPr="00020424">
        <w:rPr>
          <w:rtl/>
          <w:lang w:bidi="fa-IR"/>
        </w:rPr>
        <w:t xml:space="preserve"> الْخُدْرِيِّ ، عَنْ بَعْضِ مَشَايِخِهِ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صُمْ فِي الْعَامِ </w:t>
      </w:r>
      <w:r w:rsidRPr="00A91B96">
        <w:rPr>
          <w:rStyle w:val="libFootnotenumChar"/>
          <w:rtl/>
        </w:rPr>
        <w:t>(3)</w:t>
      </w:r>
      <w:r w:rsidRPr="00020424">
        <w:rPr>
          <w:rtl/>
          <w:lang w:bidi="fa-IR"/>
        </w:rPr>
        <w:t xml:space="preserve"> الْمُسْتَقْبَلِ يَوْمَ </w:t>
      </w:r>
      <w:r w:rsidRPr="00A91B96">
        <w:rPr>
          <w:rStyle w:val="libFootnotenumChar"/>
          <w:rtl/>
        </w:rPr>
        <w:t>(4)</w:t>
      </w:r>
      <w:r w:rsidRPr="00020424">
        <w:rPr>
          <w:rtl/>
          <w:lang w:bidi="fa-IR"/>
        </w:rPr>
        <w:t xml:space="preserve"> الْخَامِسِ مِنْ يَوْمٍ صُمْتَ فِيهِ عَامَ أَوَّلَ</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767FD">
        <w:rPr>
          <w:rtl/>
        </w:rPr>
        <w:t>6308</w:t>
      </w:r>
      <w:r w:rsidRPr="001155DE">
        <w:rPr>
          <w:rStyle w:val="libBold2Char"/>
          <w:rtl/>
        </w:rPr>
        <w:t xml:space="preserve"> / 3.</w:t>
      </w:r>
      <w:r w:rsidRPr="00020424">
        <w:rPr>
          <w:rtl/>
          <w:lang w:bidi="fa-IR"/>
        </w:rPr>
        <w:t xml:space="preserve"> مُحَمَّدُ بْنُ يَحْيَى ، عَنْ أَحْمَدَ بْنِ مُحَمَّدٍ </w:t>
      </w:r>
      <w:r w:rsidRPr="00A91B96">
        <w:rPr>
          <w:rStyle w:val="libFootnotenumChar"/>
          <w:rtl/>
        </w:rPr>
        <w:t>(6)</w:t>
      </w:r>
      <w:r w:rsidRPr="00020424">
        <w:rPr>
          <w:rtl/>
          <w:lang w:bidi="fa-IR"/>
        </w:rPr>
        <w:t xml:space="preserve"> ، عَنِ السَّيَّارِيِّ ، قَالَ :</w:t>
      </w:r>
    </w:p>
    <w:p w:rsidR="00992664" w:rsidRPr="00020424" w:rsidRDefault="00992664" w:rsidP="00992664">
      <w:pPr>
        <w:pStyle w:val="libNormal"/>
        <w:rPr>
          <w:rtl/>
          <w:lang w:bidi="fa-IR"/>
        </w:rPr>
      </w:pPr>
      <w:r w:rsidRPr="00020424">
        <w:rPr>
          <w:rtl/>
          <w:lang w:bidi="fa-IR"/>
        </w:rPr>
        <w:t xml:space="preserve">كَتَبَ مُحَمَّدُ بْنُ الْفَرَجِ إِلَى الْعَسْكَرِيِّ </w:t>
      </w:r>
      <w:r w:rsidRPr="00005A81">
        <w:rPr>
          <w:rStyle w:val="libAlaemChar"/>
          <w:rtl/>
        </w:rPr>
        <w:t>عليه‌السلام</w:t>
      </w:r>
      <w:r w:rsidRPr="00020424">
        <w:rPr>
          <w:rtl/>
          <w:lang w:bidi="fa-IR"/>
        </w:rPr>
        <w:t xml:space="preserve"> يَسْأَ لُهُ </w:t>
      </w:r>
      <w:r w:rsidRPr="00A91B96">
        <w:rPr>
          <w:rStyle w:val="libFootnotenumChar"/>
          <w:rtl/>
        </w:rPr>
        <w:t>(7)</w:t>
      </w:r>
      <w:r w:rsidRPr="00020424">
        <w:rPr>
          <w:rtl/>
          <w:lang w:bidi="fa-IR"/>
        </w:rPr>
        <w:t xml:space="preserve"> عَمَّا رُوِيَ مِنَ </w:t>
      </w:r>
      <w:r w:rsidRPr="00A91B96">
        <w:rPr>
          <w:rStyle w:val="libFootnotenumChar"/>
          <w:rtl/>
        </w:rPr>
        <w:t>(8)</w:t>
      </w:r>
      <w:r w:rsidRPr="00020424">
        <w:rPr>
          <w:rtl/>
          <w:lang w:bidi="fa-IR"/>
        </w:rPr>
        <w:t xml:space="preserve"> الْحِسَابِ فِي الصَّوْمِ عَنْ آبَائِكَ فِي عَدِّ خَمْسَةِ أَيَّامٍ بَيْنَ </w:t>
      </w:r>
      <w:r w:rsidRPr="00A91B96">
        <w:rPr>
          <w:rStyle w:val="libFootnotenumChar"/>
          <w:rtl/>
        </w:rPr>
        <w:t>(9)</w:t>
      </w:r>
      <w:r w:rsidRPr="00020424">
        <w:rPr>
          <w:rtl/>
          <w:lang w:bidi="fa-IR"/>
        </w:rPr>
        <w:t xml:space="preserve"> أَوَّلِ السَّنَةِ الْمَاضِيَةِ ، وَالسَّنَةِ الثَّانِيَةِ الَّتِي تَأْتِي </w:t>
      </w:r>
      <w:r w:rsidRPr="00A91B96">
        <w:rPr>
          <w:rStyle w:val="libFootnotenumChar"/>
          <w:rtl/>
        </w:rPr>
        <w:t>(10)</w:t>
      </w:r>
      <w:r>
        <w:rPr>
          <w:rtl/>
          <w:lang w:bidi="fa-IR"/>
        </w:rPr>
        <w:t>؟</w:t>
      </w:r>
    </w:p>
    <w:p w:rsidR="00992664" w:rsidRPr="00020424" w:rsidRDefault="00992664" w:rsidP="00992664">
      <w:pPr>
        <w:pStyle w:val="libNormal"/>
        <w:rPr>
          <w:rtl/>
          <w:lang w:bidi="fa-IR"/>
        </w:rPr>
      </w:pPr>
      <w:r w:rsidRPr="00020424">
        <w:rPr>
          <w:rtl/>
          <w:lang w:bidi="fa-IR"/>
        </w:rPr>
        <w:t xml:space="preserve">فَكَتَبَ : « صَحِيحٌ ، وَلكِنْ عُدَّ فِي كُلِّ </w:t>
      </w:r>
      <w:r w:rsidRPr="00A91B96">
        <w:rPr>
          <w:rStyle w:val="libFootnotenumChar"/>
          <w:rtl/>
        </w:rPr>
        <w:t>(11)</w:t>
      </w:r>
      <w:r w:rsidRPr="00020424">
        <w:rPr>
          <w:rtl/>
          <w:lang w:bidi="fa-IR"/>
        </w:rPr>
        <w:t xml:space="preserve"> أَرْبَعِ سِنِينَ خَمْساً ، وَفِي السَّنَةِ </w:t>
      </w:r>
      <w:r w:rsidRPr="00A91B96">
        <w:rPr>
          <w:rStyle w:val="libFootnotenumChar"/>
          <w:rtl/>
        </w:rPr>
        <w:t>(12)</w:t>
      </w:r>
      <w:r w:rsidRPr="00020424">
        <w:rPr>
          <w:rtl/>
          <w:lang w:bidi="fa-IR"/>
        </w:rPr>
        <w:t xml:space="preserve"> الْخَامِسَةِ سِتّاً فِيمَا بَيْنَ الْأُولى </w:t>
      </w:r>
      <w:r w:rsidRPr="00A91B96">
        <w:rPr>
          <w:rStyle w:val="libFootnotenumChar"/>
          <w:rtl/>
        </w:rPr>
        <w:t>(13)</w:t>
      </w:r>
      <w:r w:rsidRPr="00020424">
        <w:rPr>
          <w:rtl/>
          <w:lang w:bidi="fa-IR"/>
        </w:rPr>
        <w:t xml:space="preserve"> وَالْحَادِثِ ، وَمَا سِوى ذلِكَ فَإِنَّمَا هُوَ خَمْسَةٌ خَمْسَةٌ</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BF1F34" w:rsidP="00992664">
      <w:pPr>
        <w:pStyle w:val="libFootnote0"/>
        <w:rPr>
          <w:rtl/>
          <w:lang w:bidi="fa-IR"/>
        </w:rPr>
      </w:pPr>
      <w:r>
        <w:rPr>
          <w:rFonts w:hint="cs"/>
          <w:rtl/>
        </w:rPr>
        <w:t xml:space="preserve">= </w:t>
      </w:r>
      <w:r w:rsidR="00992664" w:rsidRPr="00020424">
        <w:rPr>
          <w:rtl/>
        </w:rPr>
        <w:t xml:space="preserve">ص 125 ، ح 1919 ، مرسلاً من دون التصريح باسم المعصوم </w:t>
      </w:r>
      <w:r w:rsidR="00992664" w:rsidRPr="00D64ADA">
        <w:rPr>
          <w:rStyle w:val="libFootnoteAlaemChar"/>
          <w:rtl/>
        </w:rPr>
        <w:t>عليه‌السلام</w:t>
      </w:r>
      <w:r w:rsidR="00992664" w:rsidRPr="00020424">
        <w:rPr>
          <w:rtl/>
        </w:rPr>
        <w:t xml:space="preserve"> ، مع اختلاف </w:t>
      </w:r>
      <w:r w:rsidR="001E4107">
        <w:rPr>
          <w:rFonts w:hint="cs"/>
          <w:rtl/>
        </w:rPr>
        <w:t>.</w:t>
      </w:r>
      <w:r w:rsidR="00992664" w:rsidRPr="0012008A">
        <w:rPr>
          <w:rStyle w:val="libFootnoteBoldChar"/>
          <w:rtl/>
        </w:rPr>
        <w:t>الوافي</w:t>
      </w:r>
      <w:r w:rsidR="00992664" w:rsidRPr="00020424">
        <w:rPr>
          <w:rtl/>
        </w:rPr>
        <w:t xml:space="preserve"> ، ج 11 ، ص 151 ، ح 10587 ؛ </w:t>
      </w:r>
      <w:r w:rsidR="00992664" w:rsidRPr="0012008A">
        <w:rPr>
          <w:rStyle w:val="libFootnoteBoldChar"/>
          <w:rtl/>
        </w:rPr>
        <w:t>الوسائل</w:t>
      </w:r>
      <w:r w:rsidR="00992664" w:rsidRPr="00020424">
        <w:rPr>
          <w:rtl/>
        </w:rPr>
        <w:t xml:space="preserve"> ، ج 10 ، ص 283 ، ح 13424.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جر » وحاشية « بث » </w:t>
      </w:r>
      <w:r w:rsidR="00992664" w:rsidRPr="00515444">
        <w:rPr>
          <w:rStyle w:val="libFootnoteBoldChar"/>
          <w:rtl/>
        </w:rPr>
        <w:t>والوافي</w:t>
      </w:r>
      <w:r w:rsidR="00992664" w:rsidRPr="00020424">
        <w:rPr>
          <w:rtl/>
        </w:rPr>
        <w:t xml:space="preserve"> : + « عن أبي محمّد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عُثَيم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عام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اليوم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11 ، ص 152 ، ح 10589 ؛ </w:t>
      </w:r>
      <w:r w:rsidR="00992664" w:rsidRPr="0012008A">
        <w:rPr>
          <w:rStyle w:val="libFootnoteBoldChar"/>
          <w:rtl/>
        </w:rPr>
        <w:t>الوسائل</w:t>
      </w:r>
      <w:r w:rsidR="00992664" w:rsidRPr="00020424">
        <w:rPr>
          <w:rtl/>
        </w:rPr>
        <w:t xml:space="preserve"> ، ج 10 ، ص 283 ، ح 13422.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لم تثبت رواية أحمد بن محمّد</w:t>
      </w:r>
      <w:r w:rsidR="00992664">
        <w:rPr>
          <w:rtl/>
        </w:rPr>
        <w:t xml:space="preserve"> </w:t>
      </w:r>
      <w:r w:rsidR="009B673F">
        <w:rPr>
          <w:rtl/>
        </w:rPr>
        <w:t>-</w:t>
      </w:r>
      <w:r w:rsidR="00992664">
        <w:rPr>
          <w:rtl/>
        </w:rPr>
        <w:t xml:space="preserve"> </w:t>
      </w:r>
      <w:r w:rsidR="00992664" w:rsidRPr="00020424">
        <w:rPr>
          <w:rtl/>
        </w:rPr>
        <w:t>وهو ابن عيسى بقرينة رواية محمّد بن يحيى عنه</w:t>
      </w:r>
      <w:r w:rsidR="00992664">
        <w:rPr>
          <w:rtl/>
        </w:rPr>
        <w:t xml:space="preserve"> </w:t>
      </w:r>
      <w:r w:rsidR="009B673F">
        <w:rPr>
          <w:rtl/>
        </w:rPr>
        <w:t>-</w:t>
      </w:r>
      <w:r w:rsidR="00992664">
        <w:rPr>
          <w:rtl/>
        </w:rPr>
        <w:t xml:space="preserve"> </w:t>
      </w:r>
      <w:r w:rsidR="00992664" w:rsidRPr="00020424">
        <w:rPr>
          <w:rtl/>
        </w:rPr>
        <w:t xml:space="preserve">عن السيّاري ، والمعهود رواية محمّد بن يحيى ، عن محمّد بن أحمد ، عن السيّاري. راجع : </w:t>
      </w:r>
      <w:r w:rsidR="00992664" w:rsidRPr="00DE76B9">
        <w:rPr>
          <w:rStyle w:val="libFootnoteBoldChar"/>
          <w:rtl/>
        </w:rPr>
        <w:t>معجم رجال الحديث</w:t>
      </w:r>
      <w:r w:rsidR="00992664" w:rsidRPr="00020424">
        <w:rPr>
          <w:rtl/>
        </w:rPr>
        <w:t xml:space="preserve"> ، ج 14 ، ص 447.</w:t>
      </w:r>
    </w:p>
    <w:p w:rsidR="00992664" w:rsidRPr="00020424" w:rsidRDefault="00992664" w:rsidP="001E4107">
      <w:pPr>
        <w:pStyle w:val="libFootnote0"/>
        <w:rPr>
          <w:rtl/>
          <w:lang w:bidi="fa-IR"/>
        </w:rPr>
      </w:pPr>
      <w:r w:rsidRPr="00D82B22">
        <w:rPr>
          <w:rtl/>
        </w:rPr>
        <w:t>فعليه ، الظاهر أنّ الصواب في ما نحن فيه أيضاً هو محمّد بن أحمد.</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يسأله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بث ، بح ، بس ، جن » : « عن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بث ، بر ، بس ، بف » </w:t>
      </w:r>
      <w:r w:rsidR="00992664" w:rsidRPr="00515444">
        <w:rPr>
          <w:rStyle w:val="libFootnoteBoldChar"/>
          <w:rtl/>
        </w:rPr>
        <w:t>والوافي</w:t>
      </w:r>
      <w:r w:rsidR="00992664" w:rsidRPr="00020424">
        <w:rPr>
          <w:rtl/>
        </w:rPr>
        <w:t xml:space="preserve"> : « من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التي تأتي ؛ يعني هي التي تأتي بعد ما يعدّ الخمسة ويؤخذ الخامس ، وهي خبر لقوله : والسنة الثانية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كلّ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E4107" w:rsidTr="001E4107">
        <w:tc>
          <w:tcPr>
            <w:tcW w:w="4006" w:type="dxa"/>
          </w:tcPr>
          <w:p w:rsidR="001E4107" w:rsidRDefault="001E4107" w:rsidP="00992664">
            <w:pPr>
              <w:pStyle w:val="libFootnote0"/>
              <w:rPr>
                <w:rtl/>
              </w:rPr>
            </w:pPr>
            <w:r>
              <w:rPr>
                <w:rtl/>
              </w:rPr>
              <w:t xml:space="preserve">(12). </w:t>
            </w:r>
            <w:r w:rsidRPr="00020424">
              <w:rPr>
                <w:rtl/>
              </w:rPr>
              <w:t>في « ى » :</w:t>
            </w:r>
            <w:r>
              <w:rPr>
                <w:rtl/>
              </w:rPr>
              <w:t xml:space="preserve"> - </w:t>
            </w:r>
            <w:r w:rsidRPr="00020424">
              <w:rPr>
                <w:rtl/>
              </w:rPr>
              <w:t>« السنة</w:t>
            </w:r>
            <w:r>
              <w:rPr>
                <w:rtl/>
              </w:rPr>
              <w:t xml:space="preserve"> ».</w:t>
            </w:r>
          </w:p>
        </w:tc>
        <w:tc>
          <w:tcPr>
            <w:tcW w:w="4006" w:type="dxa"/>
          </w:tcPr>
          <w:p w:rsidR="001E4107" w:rsidRDefault="001E4107" w:rsidP="00992664">
            <w:pPr>
              <w:pStyle w:val="libFootnote0"/>
              <w:rPr>
                <w:rtl/>
              </w:rPr>
            </w:pPr>
            <w:r>
              <w:rPr>
                <w:rtl/>
              </w:rPr>
              <w:t xml:space="preserve">(13). </w:t>
            </w:r>
            <w:r w:rsidRPr="00020424">
              <w:rPr>
                <w:rtl/>
              </w:rPr>
              <w:t>في « ظ » : « الأوّل</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السَّيَّارِيُّ : وَهذِهِ مِنْ جِهَةِ الْكَبِيسَةِ </w:t>
      </w:r>
      <w:r w:rsidRPr="00A91B96">
        <w:rPr>
          <w:rStyle w:val="libFootnotenumChar"/>
          <w:rtl/>
        </w:rPr>
        <w:t>(1)</w:t>
      </w:r>
      <w:r w:rsidRPr="00020424">
        <w:rPr>
          <w:rtl/>
          <w:lang w:bidi="fa-IR"/>
        </w:rPr>
        <w:t xml:space="preserve"> ، قَالَ : وَقَدْ حَسَبَهُ </w:t>
      </w:r>
      <w:r w:rsidRPr="00A91B96">
        <w:rPr>
          <w:rStyle w:val="libFootnotenumChar"/>
          <w:rtl/>
        </w:rPr>
        <w:t>(2)</w:t>
      </w:r>
      <w:r w:rsidRPr="00020424">
        <w:rPr>
          <w:rtl/>
          <w:lang w:bidi="fa-IR"/>
        </w:rPr>
        <w:t xml:space="preserve"> أَصْحَابُنَا ، فَوَجَدُوهُ صَحِيحاً.</w:t>
      </w:r>
    </w:p>
    <w:p w:rsidR="00992664" w:rsidRPr="00020424" w:rsidRDefault="00992664" w:rsidP="00992664">
      <w:pPr>
        <w:pStyle w:val="libNormal"/>
        <w:rPr>
          <w:rtl/>
          <w:lang w:bidi="fa-IR"/>
        </w:rPr>
      </w:pPr>
      <w:r w:rsidRPr="00020424">
        <w:rPr>
          <w:rtl/>
          <w:lang w:bidi="fa-IR"/>
        </w:rPr>
        <w:t xml:space="preserve">قَالَ : وَكَتَبَ </w:t>
      </w:r>
      <w:r w:rsidRPr="00A91B96">
        <w:rPr>
          <w:rStyle w:val="libFootnotenumChar"/>
          <w:rtl/>
        </w:rPr>
        <w:t>(3)</w:t>
      </w:r>
      <w:r w:rsidRPr="00020424">
        <w:rPr>
          <w:rtl/>
          <w:lang w:bidi="fa-IR"/>
        </w:rPr>
        <w:t xml:space="preserve"> إِلَيْهِ </w:t>
      </w:r>
      <w:r w:rsidRPr="00A91B96">
        <w:rPr>
          <w:rStyle w:val="libFootnotenumChar"/>
          <w:rtl/>
        </w:rPr>
        <w:t>(4)</w:t>
      </w:r>
      <w:r w:rsidRPr="00020424">
        <w:rPr>
          <w:rtl/>
          <w:lang w:bidi="fa-IR"/>
        </w:rPr>
        <w:t xml:space="preserve"> مُحَمَّدُ بْنُ الْفَرَجِ فِي سَنَةِ ثَمَانٍ وَثَلَاثِينَ وَمِائَتَيْنِ : هذَا الْحِسَابُ </w:t>
      </w:r>
      <w:r w:rsidRPr="00A91B96">
        <w:rPr>
          <w:rStyle w:val="libFootnotenumChar"/>
          <w:rtl/>
        </w:rPr>
        <w:t>(5)</w:t>
      </w:r>
      <w:r w:rsidRPr="00020424">
        <w:rPr>
          <w:rtl/>
          <w:lang w:bidi="fa-IR"/>
        </w:rPr>
        <w:t xml:space="preserve"> لَايَتَهَيَّأُ لِكُلِّ</w:t>
      </w:r>
      <w:r>
        <w:rPr>
          <w:rFonts w:hint="cs"/>
          <w:rtl/>
          <w:lang w:bidi="fa-IR"/>
        </w:rPr>
        <w:t xml:space="preserve"> </w:t>
      </w:r>
      <w:r w:rsidRPr="00020424">
        <w:rPr>
          <w:rtl/>
          <w:lang w:bidi="fa-IR"/>
        </w:rPr>
        <w:t xml:space="preserve">إِنْسَانٍ أَنْ </w:t>
      </w:r>
      <w:r w:rsidRPr="00A91B96">
        <w:rPr>
          <w:rStyle w:val="libFootnotenumChar"/>
          <w:rtl/>
        </w:rPr>
        <w:t>(6)</w:t>
      </w:r>
      <w:r w:rsidRPr="00020424">
        <w:rPr>
          <w:rtl/>
          <w:lang w:bidi="fa-IR"/>
        </w:rPr>
        <w:t xml:space="preserve"> يَعْمَلَ عَلَيْهِ ، إِنَّمَا هذَا لِمَنْ يَعْرِفُ السِّنِينَ ، وَمَنْ </w:t>
      </w:r>
      <w:r w:rsidRPr="00A91B96">
        <w:rPr>
          <w:rStyle w:val="libFootnotenumChar"/>
          <w:rtl/>
        </w:rPr>
        <w:t>(7)</w:t>
      </w:r>
      <w:r w:rsidRPr="00020424">
        <w:rPr>
          <w:rtl/>
          <w:lang w:bidi="fa-IR"/>
        </w:rPr>
        <w:t xml:space="preserve"> يَعْلَمُ مَتى كَانَتِ </w:t>
      </w:r>
      <w:r w:rsidRPr="00A91B96">
        <w:rPr>
          <w:rStyle w:val="libFootnotenumChar"/>
          <w:rtl/>
        </w:rPr>
        <w:t>(8)</w:t>
      </w:r>
      <w:r w:rsidRPr="00020424">
        <w:rPr>
          <w:rtl/>
          <w:lang w:bidi="fa-IR"/>
        </w:rPr>
        <w:t xml:space="preserve"> السَّنَةُ الْكَبِيسَةُ </w:t>
      </w:r>
      <w:r w:rsidRPr="00A91B96">
        <w:rPr>
          <w:rStyle w:val="libFootnotenumChar"/>
          <w:rtl/>
        </w:rPr>
        <w:t>(9)</w:t>
      </w:r>
      <w:r w:rsidRPr="00020424">
        <w:rPr>
          <w:rtl/>
          <w:lang w:bidi="fa-IR"/>
        </w:rPr>
        <w:t xml:space="preserve"> ، ثُمَّ يَصِحُّ لَهُ هِلَالُ شَهْرِ رَمَضَانَ أَوَّلَ لَيْلَةٍ ، فَإِذَا صَحَّ‌</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بخ ، بس » : « الكبيسيّة</w:t>
      </w:r>
      <w:r w:rsidR="00992664">
        <w:rPr>
          <w:rtl/>
        </w:rPr>
        <w:t xml:space="preserve"> ».</w:t>
      </w:r>
      <w:r w:rsidR="00992664" w:rsidRPr="00020424">
        <w:rPr>
          <w:rtl/>
        </w:rPr>
        <w:t xml:space="preserve"> وفي اللغة : عام الكبيس في حساب أهل الشام المأخوذ عن أهل الروم : في كلّ أربع سنين يزيدون في شهر شُباط يوماً ، فيجعلونه تسعة وعشرين يوماً ، وفي ثلاث سنين يعدّونه ثمانية وعشرين يوماً ، يقوّمون بذلك كسور حساب السنة ، ويسمّون العام الذي يزيدون فيه ذلك اليوم </w:t>
      </w:r>
      <w:r w:rsidR="002C37E3">
        <w:rPr>
          <w:rtl/>
        </w:rPr>
        <w:t>عام الكبيس. وقال العل</w:t>
      </w:r>
      <w:r w:rsidR="002C37E3">
        <w:rPr>
          <w:rFonts w:hint="cs"/>
          <w:rtl/>
        </w:rPr>
        <w:t>ّ</w:t>
      </w:r>
      <w:r w:rsidR="002C37E3">
        <w:rPr>
          <w:rtl/>
        </w:rPr>
        <w:t>ا</w:t>
      </w:r>
      <w:r w:rsidR="00992664" w:rsidRPr="00020424">
        <w:rPr>
          <w:rtl/>
        </w:rPr>
        <w:t>مة الفيض : « الكبيسة تقال لليوم المجتمع من الكسور ؛ فإنّ أهل الحساب يعدّون الشهر الأوّل من السنة ثلاثين والثاني تسعة وعشرين وهكذا إلى آخر السنة ، ويجمعون الكسور حتّى إذا صار يوماً أو قريباً منه زادوا في آخر السنة يوماً ، وذلك يكون في كلّ ثلاثين سنة أحدعشر يوماً</w:t>
      </w:r>
      <w:r w:rsidR="00992664">
        <w:rPr>
          <w:rtl/>
        </w:rPr>
        <w:t xml:space="preserve"> ».</w:t>
      </w:r>
    </w:p>
    <w:p w:rsidR="00992664" w:rsidRPr="00020424" w:rsidRDefault="00992664" w:rsidP="00941396">
      <w:pPr>
        <w:pStyle w:val="libFootnote0"/>
        <w:rPr>
          <w:rtl/>
          <w:lang w:bidi="fa-IR"/>
        </w:rPr>
      </w:pPr>
      <w:r w:rsidRPr="00941396">
        <w:rPr>
          <w:rtl/>
        </w:rPr>
        <w:t xml:space="preserve">وقال المحقّق الشعراني : « أقول : السيّاري من أضعف خلق الله ، وهذه التُرَّهات من مجعولات وهمه ، وقد نسبه إلى الحجّة </w:t>
      </w:r>
      <w:r w:rsidRPr="00D64ADA">
        <w:rPr>
          <w:rStyle w:val="libFootnoteAlaemChar"/>
          <w:rtl/>
        </w:rPr>
        <w:t>عليه‌السلام</w:t>
      </w:r>
      <w:r w:rsidRPr="00941396">
        <w:rPr>
          <w:rtl/>
        </w:rPr>
        <w:t xml:space="preserve"> لغرض هو أعلم به ، وما ذكره من عدّ كلّ أربع سنين خمساً وفي السنة الخامسة ستّاً فهو اشتباه منه ، بل اشتباه في اشتباه ؛ فإنّه لم يفرّق أوّلاً بين السنة الشمسيّة والقمريّة ، وأثبت حكم الكبيسة الشمسيّة في القمريّة ، ثمّ اشتبه عليه الأمر في كبيسة سنة الشمسيّة ثانياً ؛ فإنّ الكبيسة في كلّ أربع سنين فيها في السنة الرابعة ، لا الخامسة ، وأمّا السنة القمريّة فالكبيسة فيها في إحدى عشرة سنة من كلّ ثلاثين سنة ، وهي السنة الثانية والخامسة والسابعة والعاشرة والثالثة عشرة والسادسة عشرة والثامنة عشرة والواحدة والعشرين والرابعة والعشرين والسادسة والعشرين والتاسعة والعشرين في الدورة ، ففي هذه السنين تكون السنة ثلاثمائة وخمسة وخمسين يوماً ، فعلى هذا تكون الكبيسة ، ويحاسب لا على ما ذكره السيّاري. والمصنّف </w:t>
      </w:r>
      <w:r w:rsidR="00D64ADA" w:rsidRPr="00D64ADA">
        <w:rPr>
          <w:rStyle w:val="libFootnoteAlaemChar"/>
          <w:rtl/>
        </w:rPr>
        <w:t>رحمه‌الله</w:t>
      </w:r>
      <w:r w:rsidRPr="00941396">
        <w:rPr>
          <w:rtl/>
        </w:rPr>
        <w:t xml:space="preserve"> مع تصريحه بما ذكرنا في معنى الكبيسة لم ينبّه على مخالفته لمضمون الرواية ». راجع : </w:t>
      </w:r>
      <w:r w:rsidRPr="00DE76B9">
        <w:rPr>
          <w:rStyle w:val="libFootnoteBoldChar"/>
          <w:rtl/>
        </w:rPr>
        <w:t>ترتيب كتاب العين</w:t>
      </w:r>
      <w:r w:rsidRPr="00941396">
        <w:rPr>
          <w:rtl/>
        </w:rPr>
        <w:t xml:space="preserve"> ، ج 3 ، ص 1551 ؛ </w:t>
      </w:r>
      <w:r w:rsidRPr="00A722B1">
        <w:rPr>
          <w:rStyle w:val="libFootnoteBoldChar"/>
          <w:rtl/>
        </w:rPr>
        <w:t>لسان العرب</w:t>
      </w:r>
      <w:r w:rsidRPr="00941396">
        <w:rPr>
          <w:rtl/>
        </w:rPr>
        <w:t xml:space="preserve"> ، ج 6 ، ص 191 ( كبس ) ؛ </w:t>
      </w:r>
      <w:r w:rsidRPr="0012008A">
        <w:rPr>
          <w:rStyle w:val="libFootnoteBoldChar"/>
          <w:rtl/>
        </w:rPr>
        <w:t>الوافي</w:t>
      </w:r>
      <w:r w:rsidRPr="00941396">
        <w:rPr>
          <w:rtl/>
        </w:rPr>
        <w:t xml:space="preserve"> ، ج 11 ، ص 152.</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بر ، بف » : « حسبوه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فكتب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إليه</w:t>
      </w:r>
      <w:r w:rsidR="00992664">
        <w:rPr>
          <w:rtl/>
        </w:rPr>
        <w:t xml:space="preserve"> ».</w:t>
      </w:r>
      <w:r w:rsidR="00992664" w:rsidRPr="00020424">
        <w:rPr>
          <w:rtl/>
        </w:rPr>
        <w:t xml:space="preserve"> وفي حاشية « بح ، جن » : « إلى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 هذا الحساب ، الظاهر أنّه كلام المصنّف ، ويحتمل أن يكون كلام السيّاري ، والغرض‌أنّ العمل بالخمسة والستّة إنّما يتيسّر لمن يعلم مبدأ حساب أهل النجوم ويميّز بين سنة الكبيسة وغيرها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41396" w:rsidTr="00941396">
        <w:tc>
          <w:tcPr>
            <w:tcW w:w="4006" w:type="dxa"/>
          </w:tcPr>
          <w:p w:rsidR="00941396" w:rsidRDefault="00941396" w:rsidP="00992664">
            <w:pPr>
              <w:pStyle w:val="libFootnote0"/>
              <w:rPr>
                <w:rtl/>
              </w:rPr>
            </w:pPr>
            <w:r>
              <w:rPr>
                <w:rtl/>
              </w:rPr>
              <w:t xml:space="preserve">(6). </w:t>
            </w:r>
            <w:r w:rsidRPr="00020424">
              <w:rPr>
                <w:rtl/>
              </w:rPr>
              <w:t>في « ظ ، ى ، بح ، بس ، جن » :</w:t>
            </w:r>
            <w:r>
              <w:rPr>
                <w:rtl/>
              </w:rPr>
              <w:t xml:space="preserve"> - </w:t>
            </w:r>
            <w:r w:rsidRPr="00020424">
              <w:rPr>
                <w:rtl/>
              </w:rPr>
              <w:t>« أن</w:t>
            </w:r>
            <w:r>
              <w:rPr>
                <w:rtl/>
              </w:rPr>
              <w:t xml:space="preserve"> ».</w:t>
            </w:r>
          </w:p>
        </w:tc>
        <w:tc>
          <w:tcPr>
            <w:tcW w:w="4006" w:type="dxa"/>
          </w:tcPr>
          <w:p w:rsidR="00941396" w:rsidRDefault="00941396" w:rsidP="00992664">
            <w:pPr>
              <w:pStyle w:val="libFootnote0"/>
              <w:rPr>
                <w:rtl/>
              </w:rPr>
            </w:pPr>
            <w:r>
              <w:rPr>
                <w:rtl/>
              </w:rPr>
              <w:t xml:space="preserve">(7). </w:t>
            </w:r>
            <w:r w:rsidRPr="00020424">
              <w:rPr>
                <w:rtl/>
              </w:rPr>
              <w:t>في « بح » : « وما</w:t>
            </w:r>
            <w:r>
              <w:rPr>
                <w:rtl/>
              </w:rPr>
              <w:t xml:space="preserve"> ».</w:t>
            </w:r>
          </w:p>
        </w:tc>
      </w:tr>
      <w:tr w:rsidR="00941396" w:rsidTr="00941396">
        <w:tc>
          <w:tcPr>
            <w:tcW w:w="4006" w:type="dxa"/>
          </w:tcPr>
          <w:p w:rsidR="00941396" w:rsidRDefault="00A23EA5" w:rsidP="00992664">
            <w:pPr>
              <w:pStyle w:val="libFootnote0"/>
              <w:rPr>
                <w:rtl/>
              </w:rPr>
            </w:pPr>
            <w:r>
              <w:rPr>
                <w:rtl/>
              </w:rPr>
              <w:t xml:space="preserve">(8). </w:t>
            </w:r>
            <w:r w:rsidRPr="00020424">
              <w:rPr>
                <w:rtl/>
              </w:rPr>
              <w:t>في « ى » : « كان</w:t>
            </w:r>
            <w:r>
              <w:rPr>
                <w:rtl/>
              </w:rPr>
              <w:t xml:space="preserve"> ».</w:t>
            </w:r>
          </w:p>
        </w:tc>
        <w:tc>
          <w:tcPr>
            <w:tcW w:w="4006" w:type="dxa"/>
          </w:tcPr>
          <w:p w:rsidR="00941396" w:rsidRDefault="00A23EA5" w:rsidP="00992664">
            <w:pPr>
              <w:pStyle w:val="libFootnote0"/>
              <w:rPr>
                <w:rtl/>
              </w:rPr>
            </w:pPr>
            <w:r>
              <w:rPr>
                <w:rtl/>
              </w:rPr>
              <w:t>(9). في «ى</w:t>
            </w:r>
            <w:r w:rsidRPr="00020424">
              <w:rPr>
                <w:rtl/>
              </w:rPr>
              <w:t>، بث ، بخ ، بس ، جن » : « الكبيسيّة</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لَهُ </w:t>
      </w:r>
      <w:r w:rsidRPr="00A91B96">
        <w:rPr>
          <w:rStyle w:val="libFootnotenumChar"/>
          <w:rtl/>
        </w:rPr>
        <w:t>(1)</w:t>
      </w:r>
      <w:r w:rsidRPr="00020424">
        <w:rPr>
          <w:rtl/>
          <w:lang w:bidi="fa-IR"/>
        </w:rPr>
        <w:t xml:space="preserve"> الْهِلَالُ لِلَيْلَتِهِ </w:t>
      </w:r>
      <w:r w:rsidRPr="00A91B96">
        <w:rPr>
          <w:rStyle w:val="libFootnotenumChar"/>
          <w:rtl/>
        </w:rPr>
        <w:t>(2)</w:t>
      </w:r>
      <w:r w:rsidRPr="00020424">
        <w:rPr>
          <w:rtl/>
          <w:lang w:bidi="fa-IR"/>
        </w:rPr>
        <w:t xml:space="preserve"> وَعَرَفَ السِّنِينَ ، صَحَّ لَهُ </w:t>
      </w:r>
      <w:r w:rsidRPr="00A91B96">
        <w:rPr>
          <w:rStyle w:val="libFootnotenumChar"/>
          <w:rtl/>
        </w:rPr>
        <w:t>(3)</w:t>
      </w:r>
      <w:r w:rsidRPr="00020424">
        <w:rPr>
          <w:rtl/>
          <w:lang w:bidi="fa-IR"/>
        </w:rPr>
        <w:t xml:space="preserve"> ذلِكَ إِنْ شَاءَ اللهُ.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683094">
        <w:rPr>
          <w:rtl/>
        </w:rPr>
        <w:t>6309</w:t>
      </w:r>
      <w:r w:rsidRPr="001155DE">
        <w:rPr>
          <w:rStyle w:val="libBold2Char"/>
          <w:rtl/>
        </w:rPr>
        <w:t xml:space="preserve"> / 4.</w:t>
      </w:r>
      <w:r w:rsidRPr="00020424">
        <w:rPr>
          <w:rtl/>
          <w:lang w:bidi="fa-IR"/>
        </w:rPr>
        <w:t xml:space="preserve"> عِدَّةٌ مِنْ أَصْحَابِنَا ، عَنْ سَهْلِ بْنِ زِيَادٍ ، عَنْ مَنْصُورِ بْنِ الْعَبَّاسِ ، عَنْ إِبْرَاهِيمَ الْأَحْوَلِ ، عَنْ عِمْرَانَ الزَّعْفَرَانِيِّ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إِنَّا </w:t>
      </w:r>
      <w:r w:rsidRPr="00A91B96">
        <w:rPr>
          <w:rStyle w:val="libFootnotenumChar"/>
          <w:rtl/>
        </w:rPr>
        <w:t>(5)</w:t>
      </w:r>
      <w:r w:rsidRPr="00020424">
        <w:rPr>
          <w:rtl/>
          <w:lang w:bidi="fa-IR"/>
        </w:rPr>
        <w:t xml:space="preserve"> نَمْكُثُ فِي الشِّتَاءِ الْيَوْمَ وَالْيَوْمَيْنِ ، لَاتُرى </w:t>
      </w:r>
      <w:r w:rsidRPr="00A91B96">
        <w:rPr>
          <w:rStyle w:val="libFootnotenumChar"/>
          <w:rtl/>
        </w:rPr>
        <w:t>(6)</w:t>
      </w:r>
      <w:r w:rsidRPr="00020424">
        <w:rPr>
          <w:rtl/>
          <w:lang w:bidi="fa-IR"/>
        </w:rPr>
        <w:t xml:space="preserve"> شَمْسٌ </w:t>
      </w:r>
      <w:r w:rsidRPr="00A91B96">
        <w:rPr>
          <w:rStyle w:val="libFootnotenumChar"/>
          <w:rtl/>
        </w:rPr>
        <w:t>(7)</w:t>
      </w:r>
      <w:r w:rsidRPr="00020424">
        <w:rPr>
          <w:rtl/>
          <w:lang w:bidi="fa-IR"/>
        </w:rPr>
        <w:t xml:space="preserve"> وَلَانَجْمٌ </w:t>
      </w:r>
      <w:r w:rsidRPr="00A91B96">
        <w:rPr>
          <w:rStyle w:val="libFootnotenumChar"/>
          <w:rtl/>
        </w:rPr>
        <w:t>(8)</w:t>
      </w:r>
      <w:r w:rsidRPr="00020424">
        <w:rPr>
          <w:rtl/>
          <w:lang w:bidi="fa-IR"/>
        </w:rPr>
        <w:t xml:space="preserve"> ، فَأَيَّ يَوْمٍ نَصُومُ</w:t>
      </w:r>
      <w:r>
        <w:rPr>
          <w:rtl/>
          <w:lang w:bidi="fa-IR"/>
        </w:rPr>
        <w:t>؟</w:t>
      </w:r>
    </w:p>
    <w:p w:rsidR="00992664" w:rsidRPr="00020424" w:rsidRDefault="00992664" w:rsidP="00992664">
      <w:pPr>
        <w:pStyle w:val="libNormal"/>
        <w:rPr>
          <w:rtl/>
          <w:lang w:bidi="fa-IR"/>
        </w:rPr>
      </w:pPr>
      <w:r w:rsidRPr="00020424">
        <w:rPr>
          <w:rtl/>
          <w:lang w:bidi="fa-IR"/>
        </w:rPr>
        <w:t xml:space="preserve">قَالَ : « انْظُرِ </w:t>
      </w:r>
      <w:r w:rsidRPr="00A91B96">
        <w:rPr>
          <w:rStyle w:val="libFootnotenumChar"/>
          <w:rtl/>
        </w:rPr>
        <w:t>(9)</w:t>
      </w:r>
      <w:r w:rsidRPr="00020424">
        <w:rPr>
          <w:rtl/>
          <w:lang w:bidi="fa-IR"/>
        </w:rPr>
        <w:t xml:space="preserve"> الْيَوْمَ الَّذِي صُمْتَ </w:t>
      </w:r>
      <w:r w:rsidRPr="00A91B96">
        <w:rPr>
          <w:rStyle w:val="libFootnotenumChar"/>
          <w:rtl/>
        </w:rPr>
        <w:t>(10)</w:t>
      </w:r>
      <w:r w:rsidRPr="00020424">
        <w:rPr>
          <w:rtl/>
          <w:lang w:bidi="fa-IR"/>
        </w:rPr>
        <w:t xml:space="preserve"> مِنَ السَّنَةِ الْمَاضِيَةِ ، وَعُدَّ خَمْسَةَ أَيَّامٍ ، وَصُمِ الْيَوْمَ </w:t>
      </w:r>
      <w:r w:rsidRPr="00A91B96">
        <w:rPr>
          <w:rStyle w:val="libFootnotenumChar"/>
          <w:rtl/>
        </w:rPr>
        <w:t>(11)</w:t>
      </w:r>
      <w:r w:rsidRPr="00020424">
        <w:rPr>
          <w:rtl/>
          <w:lang w:bidi="fa-IR"/>
        </w:rPr>
        <w:t xml:space="preserve"> الْخَامِسَ</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Heading2Center"/>
        <w:rPr>
          <w:rtl/>
          <w:lang w:bidi="fa-IR"/>
        </w:rPr>
      </w:pPr>
      <w:bookmarkStart w:id="323" w:name="_Toc345172823"/>
      <w:bookmarkStart w:id="324" w:name="_Toc464562641"/>
      <w:bookmarkStart w:id="325" w:name="_Toc44599944"/>
      <w:r w:rsidRPr="00020424">
        <w:rPr>
          <w:rtl/>
          <w:lang w:bidi="fa-IR"/>
        </w:rPr>
        <w:t>9</w:t>
      </w:r>
      <w:r>
        <w:rPr>
          <w:rtl/>
          <w:lang w:bidi="fa-IR"/>
        </w:rPr>
        <w:t xml:space="preserve"> </w:t>
      </w:r>
      <w:r w:rsidR="009B673F">
        <w:rPr>
          <w:rtl/>
          <w:lang w:bidi="fa-IR"/>
        </w:rPr>
        <w:t>-</w:t>
      </w:r>
      <w:r>
        <w:rPr>
          <w:rtl/>
          <w:lang w:bidi="fa-IR"/>
        </w:rPr>
        <w:t xml:space="preserve"> </w:t>
      </w:r>
      <w:r w:rsidRPr="00020424">
        <w:rPr>
          <w:rtl/>
          <w:lang w:bidi="fa-IR"/>
        </w:rPr>
        <w:t xml:space="preserve">بَابُ الْيَوْمِ الَّذِي يُشَكُّ فِيهِ مِنْ </w:t>
      </w:r>
      <w:r w:rsidRPr="00A91B96">
        <w:rPr>
          <w:rStyle w:val="libFootnotenumChar"/>
          <w:rtl/>
        </w:rPr>
        <w:t>(13)</w:t>
      </w:r>
      <w:r>
        <w:rPr>
          <w:rtl/>
        </w:rPr>
        <w:t xml:space="preserve"> </w:t>
      </w:r>
      <w:r w:rsidRPr="00020424">
        <w:rPr>
          <w:rtl/>
          <w:lang w:bidi="fa-IR"/>
        </w:rPr>
        <w:t>شَهْرِ رَمَضَانَ هُوَ أَوْ مِنْ شَعْبَانَ‌</w:t>
      </w:r>
      <w:bookmarkEnd w:id="323"/>
      <w:bookmarkEnd w:id="324"/>
      <w:bookmarkEnd w:id="325"/>
    </w:p>
    <w:p w:rsidR="00992664" w:rsidRPr="00020424" w:rsidRDefault="00992664" w:rsidP="00992664">
      <w:pPr>
        <w:pStyle w:val="libNormal"/>
        <w:rPr>
          <w:rtl/>
          <w:lang w:bidi="fa-IR"/>
        </w:rPr>
      </w:pPr>
      <w:r w:rsidRPr="00683094">
        <w:rPr>
          <w:rtl/>
        </w:rPr>
        <w:t>6310</w:t>
      </w:r>
      <w:r w:rsidRPr="001155DE">
        <w:rPr>
          <w:rStyle w:val="libBold2Char"/>
          <w:rtl/>
        </w:rPr>
        <w:t xml:space="preserve"> / 1.</w:t>
      </w:r>
      <w:r w:rsidRPr="00020424">
        <w:rPr>
          <w:rtl/>
          <w:lang w:bidi="fa-IR"/>
        </w:rPr>
        <w:t xml:space="preserve"> عِدَّةٌ مِنْ أَصْحَابِنَا ، عَنْ أَحْمَدَ بْنِ مُحَمَّدٍ ، عَنْ حَمْزَةَ بْنِ يَعْلى ، عَنْ زَكَرِيَّا بْنِ آدَمَ ، عَنِ الْكَاهِلِيِّ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الْيَوْمِ الَّذِي يُشَكُّ فِيهِ مِنْ شَعْبَانَ</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بخ ، بر ، بف ، جن » </w:t>
      </w:r>
      <w:r w:rsidR="00992664" w:rsidRPr="00515444">
        <w:rPr>
          <w:rStyle w:val="libFootnoteBoldChar"/>
          <w:rtl/>
        </w:rPr>
        <w:t>والوافي</w:t>
      </w:r>
      <w:r w:rsidR="00992664" w:rsidRPr="00020424">
        <w:rPr>
          <w:rtl/>
        </w:rPr>
        <w:t>. وفي بعض النسخ والمطبوع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03F8C" w:rsidTr="00D03F8C">
        <w:tc>
          <w:tcPr>
            <w:tcW w:w="4006" w:type="dxa"/>
          </w:tcPr>
          <w:p w:rsidR="00D03F8C" w:rsidRDefault="00D03F8C"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ليلته</w:t>
            </w:r>
            <w:r>
              <w:rPr>
                <w:rtl/>
              </w:rPr>
              <w:t xml:space="preserve"> ».</w:t>
            </w:r>
          </w:p>
        </w:tc>
        <w:tc>
          <w:tcPr>
            <w:tcW w:w="4006" w:type="dxa"/>
          </w:tcPr>
          <w:p w:rsidR="00D03F8C" w:rsidRDefault="00D03F8C"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152 ، ح 10591 ؛ </w:t>
      </w:r>
      <w:r w:rsidR="00992664" w:rsidRPr="0012008A">
        <w:rPr>
          <w:rStyle w:val="libFootnoteBoldChar"/>
          <w:rtl/>
        </w:rPr>
        <w:t>الوسائل</w:t>
      </w:r>
      <w:r w:rsidR="00992664" w:rsidRPr="00020424">
        <w:rPr>
          <w:rtl/>
        </w:rPr>
        <w:t xml:space="preserve"> ، ج 10 ، ص 283 ، ح 13423.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بث ، بح ، بر ، بس ، بف ، جن » : « إنّما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جن » بالياء والتاء معاً.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لا نرى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شمساً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بف » : « ولا نجوم</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ولا نجماً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34790" w:rsidTr="00934790">
        <w:tc>
          <w:tcPr>
            <w:tcW w:w="4006" w:type="dxa"/>
          </w:tcPr>
          <w:p w:rsidR="00934790" w:rsidRDefault="00934790" w:rsidP="00992664">
            <w:pPr>
              <w:pStyle w:val="libFootnote0"/>
              <w:rPr>
                <w:rtl/>
              </w:rPr>
            </w:pPr>
            <w:r>
              <w:rPr>
                <w:rtl/>
              </w:rPr>
              <w:t xml:space="preserve">(9). </w:t>
            </w:r>
            <w:r w:rsidRPr="00020424">
              <w:rPr>
                <w:rtl/>
              </w:rPr>
              <w:t>في حاشية « بف » : « أفطر</w:t>
            </w:r>
            <w:r>
              <w:rPr>
                <w:rtl/>
              </w:rPr>
              <w:t xml:space="preserve"> ».</w:t>
            </w:r>
          </w:p>
        </w:tc>
        <w:tc>
          <w:tcPr>
            <w:tcW w:w="4006" w:type="dxa"/>
          </w:tcPr>
          <w:p w:rsidR="00934790" w:rsidRDefault="00934790" w:rsidP="00992664">
            <w:pPr>
              <w:pStyle w:val="libFootnote0"/>
              <w:rPr>
                <w:rtl/>
              </w:rPr>
            </w:pPr>
            <w:r>
              <w:rPr>
                <w:rtl/>
              </w:rPr>
              <w:t xml:space="preserve">(10). </w:t>
            </w:r>
            <w:r w:rsidRPr="00020424">
              <w:rPr>
                <w:rtl/>
              </w:rPr>
              <w:t>في حاشية « بف » : + « فيه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يوم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179 ، ح 497 ؛ </w:t>
      </w:r>
      <w:r w:rsidR="00992664" w:rsidRPr="00FD6221">
        <w:rPr>
          <w:rStyle w:val="libFootnoteBoldChar"/>
          <w:rtl/>
        </w:rPr>
        <w:t>والاستبصار</w:t>
      </w:r>
      <w:r w:rsidR="00992664" w:rsidRPr="00020424">
        <w:rPr>
          <w:rtl/>
        </w:rPr>
        <w:t xml:space="preserve"> ، ج 2 ، ص 76 ، ح 231 ، معلّقاً عن الكليني.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208 ، من قوله : « انظر اليوم الذي صمت » مع اختلاف يسير </w:t>
      </w:r>
      <w:r w:rsidR="003C0A79">
        <w:rPr>
          <w:rFonts w:hint="cs"/>
          <w:rtl/>
        </w:rPr>
        <w:t>.</w:t>
      </w:r>
      <w:r w:rsidR="00992664" w:rsidRPr="0012008A">
        <w:rPr>
          <w:rStyle w:val="libFootnoteBoldChar"/>
          <w:rtl/>
        </w:rPr>
        <w:t>الوافي</w:t>
      </w:r>
      <w:r w:rsidR="00992664" w:rsidRPr="00020424">
        <w:rPr>
          <w:rtl/>
        </w:rPr>
        <w:t xml:space="preserve"> ، ج 11 ، ص 151 ، ح 10588.</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بخ ، بس » : «</w:t>
      </w:r>
      <w:r w:rsidR="00992664">
        <w:rPr>
          <w:rtl/>
        </w:rPr>
        <w:t xml:space="preserve"> أ</w:t>
      </w:r>
      <w:r w:rsidR="00992664" w:rsidRPr="00020424">
        <w:rPr>
          <w:rtl/>
        </w:rPr>
        <w:t>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لَأَنْ أَصُومَ يَوْماً مِنْ شَعْبَانَ أَحَبُّ إِلَيَّ مِنْ أَنْ أُفْطِرَ يَوْماً مِنْ شَهْرِ رَمَضَانَ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683094">
        <w:rPr>
          <w:rtl/>
        </w:rPr>
        <w:t>6311</w:t>
      </w:r>
      <w:r w:rsidRPr="001155DE">
        <w:rPr>
          <w:rStyle w:val="libBold2Char"/>
          <w:rtl/>
        </w:rPr>
        <w:t xml:space="preserve"> / 2.</w:t>
      </w:r>
      <w:r w:rsidRPr="00020424">
        <w:rPr>
          <w:rtl/>
          <w:lang w:bidi="fa-IR"/>
        </w:rPr>
        <w:t xml:space="preserve"> عَلِيُّ بْنُ إِبْرَاهِيمَ ، عَنْ مُحَمَّدِ بْنِ عِيسى ، عَنْ يُونُسَ ، عَنْ سَمَاعَةَ ، قَالَ :</w:t>
      </w:r>
    </w:p>
    <w:p w:rsidR="00992664" w:rsidRPr="00020424" w:rsidRDefault="00992664" w:rsidP="00992664">
      <w:pPr>
        <w:pStyle w:val="libNormal"/>
        <w:rPr>
          <w:rtl/>
          <w:lang w:bidi="fa-IR"/>
        </w:rPr>
      </w:pPr>
      <w:r w:rsidRPr="00020424">
        <w:rPr>
          <w:rtl/>
          <w:lang w:bidi="fa-IR"/>
        </w:rPr>
        <w:t>سَأَلْتُهُ عَنِ الْيَوْمِ الَّذِي يُشَكُّ فِيهِ مِنْ ش</w:t>
      </w:r>
      <w:r>
        <w:rPr>
          <w:rtl/>
          <w:lang w:bidi="fa-IR"/>
        </w:rPr>
        <w:t>َهْرِ رَمَضَانَ ، لَايَدْرِي أَ</w:t>
      </w:r>
      <w:r w:rsidRPr="00020424">
        <w:rPr>
          <w:rtl/>
          <w:lang w:bidi="fa-IR"/>
        </w:rPr>
        <w:t xml:space="preserve">هُوَ مِنْ شَعْبَانَ أَوْ مِنْ شَهْرِ </w:t>
      </w:r>
      <w:r w:rsidRPr="00A91B96">
        <w:rPr>
          <w:rStyle w:val="libFootnotenumChar"/>
          <w:rtl/>
        </w:rPr>
        <w:t>(3)</w:t>
      </w:r>
      <w:r w:rsidRPr="00020424">
        <w:rPr>
          <w:rtl/>
          <w:lang w:bidi="fa-IR"/>
        </w:rPr>
        <w:t xml:space="preserve"> رَمَضَانَ ، فَصَامَهُ ، فَكَانَ </w:t>
      </w:r>
      <w:r w:rsidRPr="00A91B96">
        <w:rPr>
          <w:rStyle w:val="libFootnotenumChar"/>
          <w:rtl/>
        </w:rPr>
        <w:t>(4)</w:t>
      </w:r>
      <w:r w:rsidRPr="00020424">
        <w:rPr>
          <w:rtl/>
          <w:lang w:bidi="fa-IR"/>
        </w:rPr>
        <w:t xml:space="preserve"> مِنْ </w:t>
      </w:r>
      <w:r w:rsidRPr="00A91B96">
        <w:rPr>
          <w:rStyle w:val="libFootnotenumChar"/>
          <w:rtl/>
        </w:rPr>
        <w:t>(5)</w:t>
      </w:r>
      <w:r w:rsidRPr="00020424">
        <w:rPr>
          <w:rtl/>
          <w:lang w:bidi="fa-IR"/>
        </w:rPr>
        <w:t xml:space="preserve"> شَهْرِ رَمَضَانَ</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3C0A79">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معنى الحديث أنّ صيام يوم الشكّ بنيّة شعبان أحبّ إليّ من إفطاره ، وذلك لأنّه إن صامه بنيّة شعبان وكان في الواقع منه لكان قد صام يوماً من شعبان ، وأمّا إذا أفطر وكان في الواقع من شهر رمضان فكان قد أفطر يوماً من شهر رمضان ، وصيام يوم من شعبان خير من إفطار يوم من شهر رمضان</w:t>
      </w:r>
      <w:r w:rsidR="00992664">
        <w:rPr>
          <w:rtl/>
        </w:rPr>
        <w:t xml:space="preserve"> ..</w:t>
      </w:r>
      <w:r w:rsidR="00992664" w:rsidRPr="00020424">
        <w:rPr>
          <w:rtl/>
        </w:rPr>
        <w:t>. وتحقيق الكلام في هذا المقام أنّ من رحمة الله سبحانه بناء الأحكام الشرعيّة على اليقين ، فإذا كان ثوبنا طاهراً مثلاً</w:t>
      </w:r>
      <w:r w:rsidR="003C0A79">
        <w:rPr>
          <w:rtl/>
        </w:rPr>
        <w:t xml:space="preserve"> لم نحكم بورود النجاسة عليه إل</w:t>
      </w:r>
      <w:r w:rsidR="003C0A79">
        <w:rPr>
          <w:rFonts w:hint="cs"/>
          <w:rtl/>
        </w:rPr>
        <w:t>ّ</w:t>
      </w:r>
      <w:r w:rsidR="003C0A79">
        <w:rPr>
          <w:rtl/>
        </w:rPr>
        <w:t>ا</w:t>
      </w:r>
      <w:r w:rsidR="00992664">
        <w:rPr>
          <w:rFonts w:hint="cs"/>
          <w:rtl/>
        </w:rPr>
        <w:t xml:space="preserve"> </w:t>
      </w:r>
      <w:r w:rsidR="00992664" w:rsidRPr="00020424">
        <w:rPr>
          <w:rtl/>
        </w:rPr>
        <w:t>إذا تيقّنّا ذلك وإن كان قد تنجّس في الواقع من دون معرفة لنا بنجاسته ، وذلك لأنّ اليقين لا ينقض بالشكّ أبداً ، بل إنّما ينقضه يقين آخر مثله</w:t>
      </w:r>
      <w:r w:rsidR="00992664">
        <w:rPr>
          <w:rtl/>
        </w:rPr>
        <w:t xml:space="preserve"> </w:t>
      </w:r>
      <w:r w:rsidR="009B673F">
        <w:rPr>
          <w:rtl/>
        </w:rPr>
        <w:t>-</w:t>
      </w:r>
      <w:r w:rsidR="00992664">
        <w:rPr>
          <w:rtl/>
        </w:rPr>
        <w:t xml:space="preserve"> </w:t>
      </w:r>
      <w:r w:rsidR="00992664" w:rsidRPr="00020424">
        <w:rPr>
          <w:rtl/>
        </w:rPr>
        <w:t>كما ورد به الأخبار</w:t>
      </w:r>
      <w:r w:rsidR="00992664">
        <w:rPr>
          <w:rtl/>
        </w:rPr>
        <w:t xml:space="preserve"> </w:t>
      </w:r>
      <w:r w:rsidR="009B673F">
        <w:rPr>
          <w:rtl/>
        </w:rPr>
        <w:t>-</w:t>
      </w:r>
      <w:r w:rsidR="00992664">
        <w:rPr>
          <w:rtl/>
        </w:rPr>
        <w:t xml:space="preserve"> </w:t>
      </w:r>
      <w:r w:rsidR="00992664" w:rsidRPr="00020424">
        <w:rPr>
          <w:rtl/>
        </w:rPr>
        <w:t xml:space="preserve">فكذلك إذا كنّا في شعبان لم نحكم بخروجنا منه ودخولنا في شهر رمضان </w:t>
      </w:r>
      <w:r w:rsidR="003C0A79">
        <w:rPr>
          <w:rtl/>
        </w:rPr>
        <w:t>إل</w:t>
      </w:r>
      <w:r w:rsidR="003C0A79">
        <w:rPr>
          <w:rFonts w:hint="cs"/>
          <w:rtl/>
        </w:rPr>
        <w:t>ّ</w:t>
      </w:r>
      <w:r w:rsidR="003C0A79">
        <w:rPr>
          <w:rtl/>
        </w:rPr>
        <w:t>ا</w:t>
      </w:r>
      <w:r w:rsidR="003C0A79">
        <w:rPr>
          <w:rFonts w:hint="cs"/>
          <w:rtl/>
        </w:rPr>
        <w:t xml:space="preserve"> </w:t>
      </w:r>
      <w:r w:rsidR="00992664" w:rsidRPr="00020424">
        <w:rPr>
          <w:rtl/>
        </w:rPr>
        <w:t xml:space="preserve">إذا تيقّنّا ذلك ، ولا تيقّن لنا بالدخول في شهر رمضان </w:t>
      </w:r>
      <w:r w:rsidR="003C0A79">
        <w:rPr>
          <w:rtl/>
        </w:rPr>
        <w:t>إل</w:t>
      </w:r>
      <w:r w:rsidR="003C0A79">
        <w:rPr>
          <w:rFonts w:hint="cs"/>
          <w:rtl/>
        </w:rPr>
        <w:t>ّ</w:t>
      </w:r>
      <w:r w:rsidR="003C0A79">
        <w:rPr>
          <w:rtl/>
        </w:rPr>
        <w:t>ا</w:t>
      </w:r>
      <w:r w:rsidR="003C0A79">
        <w:rPr>
          <w:rFonts w:hint="cs"/>
          <w:rtl/>
        </w:rPr>
        <w:t xml:space="preserve"> </w:t>
      </w:r>
      <w:r w:rsidR="00992664" w:rsidRPr="00020424">
        <w:rPr>
          <w:rtl/>
        </w:rPr>
        <w:t>برؤية هلاله ، أو بعد ثلاثين يوماً من شعبان ، فيوم الشكّ بهذا الاعتبار الشرعي معدود لنا في أيّام شعبان ، وليس من شهر رمضان في شي‌ء ، وإن كان في الواقع منه ؛ فإنّا لسنا مكلّفين بما في الواقع ، إذاً لهلكنا ووقعنا في الحرج ؛ إذ لا سبيل لنا إلى استعلام الواقع والعلم به ، فإذن كون الشي‌ء مشكوكاً فيه في نظر عقولنا لا ينافي كونه متيقّن الحكم عندنا باعتبار الحكم الشرعي ، فنحن إنّما نصوم يوم الشكّ بنيّة شعبان جزماً بحكم الشرع ؛ لنخرج من الشكّ الذي لنا بحسب عقولنا بالنسبة إلى الواقع ، وإنّما أجزأ حينئذٍ عن شهر رمضان إذا كان منه ؛ لأنّه قد وقع موقع الفريضة ، وموقع الفريضة لا يصلح لغيرها ، وقصد القربة كاف لصحّة العبادة إذا وقعت على وجهها ، وقد جاء ما كشف لنا أنّ نسبتنا إيّاه إلى شعبان كانت خطأ في الواقع وإن كنّا مكلّفين بها ؛ إذ لا سبيل لنا إلى العلم</w:t>
      </w:r>
      <w:r w:rsidR="00992664">
        <w:rPr>
          <w:rtl/>
        </w:rPr>
        <w:t xml:space="preserve"> ..</w:t>
      </w:r>
      <w:r w:rsidR="00992664" w:rsidRPr="00020424">
        <w:rPr>
          <w:rtl/>
        </w:rPr>
        <w:t>. ومن وقف على ما فصّلناه وحقّقنا لم يشتبه عليه شي‌ء من الأخبار الواردة في هذا الباب ، وعرف أنّ كلّها متّفقة المعاني لا تعارض فيها ولا تناقض بوجه ، ولله‌الحمد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181 ، ح 505 ؛ </w:t>
      </w:r>
      <w:r w:rsidR="00992664" w:rsidRPr="00FD6221">
        <w:rPr>
          <w:rStyle w:val="libFootnoteBoldChar"/>
          <w:rtl/>
        </w:rPr>
        <w:t>والاستبصار</w:t>
      </w:r>
      <w:r w:rsidR="00992664" w:rsidRPr="00020424">
        <w:rPr>
          <w:rtl/>
        </w:rPr>
        <w:t xml:space="preserve"> ، ج 2 ، ص 78 ، ح 237 ، معلّقاً عن الكليني. </w:t>
      </w:r>
      <w:r w:rsidR="00992664" w:rsidRPr="00DE76B9">
        <w:rPr>
          <w:rStyle w:val="libFootnoteBoldChar"/>
          <w:rtl/>
        </w:rPr>
        <w:t>فضائل الأشهر الثلاثة</w:t>
      </w:r>
      <w:r w:rsidR="00992664" w:rsidRPr="00020424">
        <w:rPr>
          <w:rtl/>
        </w:rPr>
        <w:t xml:space="preserve"> ، ص 63 ، ح 45 ، بسند آخر عن الرضا ، عن آبائه ، عن أميرالمؤمنين </w:t>
      </w:r>
      <w:r w:rsidR="00992664" w:rsidRPr="00D64ADA">
        <w:rPr>
          <w:rStyle w:val="libFootnoteAlaemChar"/>
          <w:rtl/>
        </w:rPr>
        <w:t>عليهم‌السلام</w:t>
      </w:r>
      <w:r w:rsidR="00992664" w:rsidRPr="00020424">
        <w:rPr>
          <w:rtl/>
        </w:rPr>
        <w:t xml:space="preserve">. </w:t>
      </w:r>
      <w:r w:rsidR="00992664" w:rsidRPr="00DE76B9">
        <w:rPr>
          <w:rStyle w:val="libFootnoteBoldChar"/>
          <w:rtl/>
        </w:rPr>
        <w:t>وفيه</w:t>
      </w:r>
      <w:r w:rsidR="00992664" w:rsidRPr="00020424">
        <w:rPr>
          <w:rtl/>
        </w:rPr>
        <w:t xml:space="preserve"> ، ص 106 ، ح 99 ، بسند آخر عن أميرالمؤمنين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300 ، مرسلاً عن زكريّا بن آدم. </w:t>
      </w:r>
      <w:r w:rsidR="00992664" w:rsidRPr="0012008A">
        <w:rPr>
          <w:rStyle w:val="libFootnoteBoldChar"/>
          <w:rtl/>
        </w:rPr>
        <w:t>الفقيه</w:t>
      </w:r>
      <w:r w:rsidR="00992664" w:rsidRPr="00020424">
        <w:rPr>
          <w:rtl/>
        </w:rPr>
        <w:t xml:space="preserve"> ، ج 2 ، ص 126 ، ح 1922 ، مرسلاً عن أميرالمؤمنين </w:t>
      </w:r>
      <w:r w:rsidR="00992664" w:rsidRPr="00D64ADA">
        <w:rPr>
          <w:rStyle w:val="libFootnoteAlaemChar"/>
          <w:rtl/>
        </w:rPr>
        <w:t>عليه‌السلام</w:t>
      </w:r>
      <w:r w:rsidR="00992664" w:rsidRPr="00020424">
        <w:rPr>
          <w:rtl/>
        </w:rPr>
        <w:t xml:space="preserve"> ، مع اختلاف يسير </w:t>
      </w:r>
      <w:r w:rsidR="003C0A79">
        <w:rPr>
          <w:rFonts w:hint="cs"/>
          <w:rtl/>
        </w:rPr>
        <w:t>.</w:t>
      </w:r>
      <w:r w:rsidR="00992664" w:rsidRPr="0012008A">
        <w:rPr>
          <w:rStyle w:val="libFootnoteBoldChar"/>
          <w:rtl/>
        </w:rPr>
        <w:t>الوافي</w:t>
      </w:r>
      <w:r w:rsidR="00992664" w:rsidRPr="00020424">
        <w:rPr>
          <w:rtl/>
        </w:rPr>
        <w:t xml:space="preserve"> ، ج 11 ، ص 105 ، ح 10499 ؛ </w:t>
      </w:r>
      <w:r w:rsidR="00992664" w:rsidRPr="0012008A">
        <w:rPr>
          <w:rStyle w:val="libFootnoteBoldChar"/>
          <w:rtl/>
        </w:rPr>
        <w:t>الوسائل</w:t>
      </w:r>
      <w:r w:rsidR="00992664" w:rsidRPr="00020424">
        <w:rPr>
          <w:rtl/>
        </w:rPr>
        <w:t xml:space="preserve"> ، ج 10 ، ص 20 ، ح 12730.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 + « هو</w:t>
      </w:r>
      <w:r w:rsidR="00992664">
        <w:rPr>
          <w:rtl/>
        </w:rPr>
        <w:t xml:space="preserve"> ».</w:t>
      </w:r>
      <w:r w:rsidR="00992664" w:rsidRPr="00020424">
        <w:rPr>
          <w:rtl/>
        </w:rPr>
        <w:t xml:space="preserve"> وفي « بر » وحاشية « بف » : « فكاف</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فكان</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في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هُوَ يَوْمٌ وُفِّقَ لَهُ ، لَاقَضَاءَ </w:t>
      </w:r>
      <w:r w:rsidRPr="00A91B96">
        <w:rPr>
          <w:rStyle w:val="libFootnotenumChar"/>
          <w:rtl/>
        </w:rPr>
        <w:t>(2)</w:t>
      </w:r>
      <w:r w:rsidRPr="00020424">
        <w:rPr>
          <w:rtl/>
          <w:lang w:bidi="fa-IR"/>
        </w:rPr>
        <w:t xml:space="preserve"> عَلَيْهِ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83094">
        <w:rPr>
          <w:rtl/>
        </w:rPr>
        <w:t>6312</w:t>
      </w:r>
      <w:r w:rsidRPr="001155DE">
        <w:rPr>
          <w:rStyle w:val="libBold2Char"/>
          <w:rtl/>
        </w:rPr>
        <w:t xml:space="preserve"> / 3.</w:t>
      </w:r>
      <w:r w:rsidRPr="00020424">
        <w:rPr>
          <w:rtl/>
          <w:lang w:bidi="fa-IR"/>
        </w:rPr>
        <w:t xml:space="preserve"> عَلِيٌّ </w:t>
      </w:r>
      <w:r w:rsidRPr="00A91B96">
        <w:rPr>
          <w:rStyle w:val="libFootnotenumChar"/>
          <w:rtl/>
        </w:rPr>
        <w:t>(4)</w:t>
      </w:r>
      <w:r w:rsidRPr="00020424">
        <w:rPr>
          <w:rtl/>
          <w:lang w:bidi="fa-IR"/>
        </w:rPr>
        <w:t xml:space="preserve"> ، عَنْ أَبِيهِ ، عَنِ ابْنِ أَبِي عُمَيْرٍ ، عَنْ مُعَاوِيَةَ بْنِ وَهْبٍ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 يَصُومُ الْيَوْمَ </w:t>
      </w:r>
      <w:r w:rsidRPr="00A91B96">
        <w:rPr>
          <w:rStyle w:val="libFootnotenumChar"/>
          <w:rtl/>
        </w:rPr>
        <w:t>(5)</w:t>
      </w:r>
      <w:r w:rsidRPr="00020424">
        <w:rPr>
          <w:rtl/>
          <w:lang w:bidi="fa-IR"/>
        </w:rPr>
        <w:t xml:space="preserve"> الَّذِي يَشُكُّ فِيهِ </w:t>
      </w:r>
      <w:r w:rsidRPr="00A91B96">
        <w:rPr>
          <w:rStyle w:val="libFootnotenumChar"/>
          <w:rtl/>
        </w:rPr>
        <w:t>(6)</w:t>
      </w:r>
      <w:r w:rsidRPr="00020424">
        <w:rPr>
          <w:rtl/>
          <w:lang w:bidi="fa-IR"/>
        </w:rPr>
        <w:t xml:space="preserve"> مِنْ شَهْرِ رَمَضَانَ ، فَيَكُونُ كَذلِكَ.</w:t>
      </w:r>
    </w:p>
    <w:p w:rsidR="00992664" w:rsidRPr="00020424" w:rsidRDefault="00992664" w:rsidP="00992664">
      <w:pPr>
        <w:pStyle w:val="libNormal"/>
        <w:rPr>
          <w:rtl/>
          <w:lang w:bidi="fa-IR"/>
        </w:rPr>
      </w:pPr>
      <w:r w:rsidRPr="00020424">
        <w:rPr>
          <w:rtl/>
          <w:lang w:bidi="fa-IR"/>
        </w:rPr>
        <w:t>فَقَالَ : « هُوَ شَيْ‌ءٌ وُفِّقَ لَهُ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683094">
        <w:rPr>
          <w:rtl/>
        </w:rPr>
        <w:t>6313</w:t>
      </w:r>
      <w:r w:rsidRPr="001155DE">
        <w:rPr>
          <w:rStyle w:val="libBold2Char"/>
          <w:rtl/>
        </w:rPr>
        <w:t xml:space="preserve"> / 4.</w:t>
      </w:r>
      <w:r w:rsidRPr="00020424">
        <w:rPr>
          <w:rtl/>
          <w:lang w:bidi="fa-IR"/>
        </w:rPr>
        <w:t xml:space="preserve"> عِدَّةٌ مِنْ أَصْحَابِنَا ، عَنْ أَحْمَدَ بْنِ مُحَمَّدٍ ، عَنْ مُحَمَّدِ بْنِ أَبِي الصُّهْبَانِ ، عَنْ عَلِيِّ بْنِ الْحَسَنِ </w:t>
      </w:r>
      <w:r w:rsidRPr="00A91B96">
        <w:rPr>
          <w:rStyle w:val="libFootnotenumChar"/>
          <w:rtl/>
        </w:rPr>
        <w:t>(8)</w:t>
      </w:r>
      <w:r w:rsidRPr="00020424">
        <w:rPr>
          <w:rtl/>
          <w:lang w:bidi="fa-IR"/>
        </w:rPr>
        <w:t xml:space="preserve"> بْنِ رِبَاطٍ ، عَنْ سَعِيدٍ الْأَعْرَجِ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إِنِّي صُمْتُ الْيَوْمَ الَّذِي يُشَكُّ فِيهِ ، فَكَانَ </w:t>
      </w:r>
      <w:r w:rsidRPr="00A91B96">
        <w:rPr>
          <w:rStyle w:val="libFootnotenumChar"/>
          <w:rtl/>
        </w:rPr>
        <w:t>(9)</w:t>
      </w:r>
      <w:r w:rsidRPr="00020424">
        <w:rPr>
          <w:rtl/>
          <w:lang w:bidi="fa-IR"/>
        </w:rPr>
        <w:t xml:space="preserve"> مِنْ شَهْرِ رَمَضَانَ ، أَفَأَقْضِيهِ </w:t>
      </w:r>
      <w:r w:rsidRPr="00A91B96">
        <w:rPr>
          <w:rStyle w:val="libFootnotenumChar"/>
          <w:rtl/>
        </w:rPr>
        <w:t>(10)</w:t>
      </w:r>
      <w:r>
        <w:rPr>
          <w:rtl/>
          <w:lang w:bidi="fa-IR"/>
        </w:rPr>
        <w:t>؟</w:t>
      </w:r>
    </w:p>
    <w:p w:rsidR="00992664" w:rsidRPr="00020424" w:rsidRDefault="00992664" w:rsidP="00992664">
      <w:pPr>
        <w:pStyle w:val="libNormal"/>
        <w:rPr>
          <w:rtl/>
          <w:lang w:bidi="fa-IR"/>
        </w:rPr>
      </w:pPr>
      <w:r w:rsidRPr="00020424">
        <w:rPr>
          <w:rtl/>
          <w:lang w:bidi="fa-IR"/>
        </w:rPr>
        <w:t xml:space="preserve">قَالَ : « لَا </w:t>
      </w:r>
      <w:r w:rsidRPr="00A91B96">
        <w:rPr>
          <w:rStyle w:val="libFootnotenumChar"/>
          <w:rtl/>
        </w:rPr>
        <w:t>(11)</w:t>
      </w:r>
      <w:r w:rsidRPr="00020424">
        <w:rPr>
          <w:rtl/>
          <w:lang w:bidi="fa-IR"/>
        </w:rPr>
        <w:t xml:space="preserve"> ، هُوَ يَوْمٌ وُفِّقْتَ لَهُ</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بس »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F27D90">
        <w:rPr>
          <w:rtl/>
        </w:rPr>
        <w:t>والوسائل وفضائل الأشهر الثلاثة.</w:t>
      </w:r>
      <w:r w:rsidR="00992664" w:rsidRPr="00020424">
        <w:rPr>
          <w:rtl/>
        </w:rPr>
        <w:t xml:space="preserve"> وفي المطبوع </w:t>
      </w:r>
      <w:r w:rsidR="00992664" w:rsidRPr="00515444">
        <w:rPr>
          <w:rStyle w:val="libFootnoteBoldChar"/>
          <w:rtl/>
        </w:rPr>
        <w:t>والوافي</w:t>
      </w:r>
      <w:r w:rsidR="00992664" w:rsidRPr="00020424">
        <w:rPr>
          <w:rtl/>
        </w:rPr>
        <w:t xml:space="preserve"> : « ولا قضاء</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181 ، ح 503 ؛ </w:t>
      </w:r>
      <w:r w:rsidR="00992664" w:rsidRPr="00FD6221">
        <w:rPr>
          <w:rStyle w:val="libFootnoteBoldChar"/>
          <w:rtl/>
        </w:rPr>
        <w:t>والاستبصار</w:t>
      </w:r>
      <w:r w:rsidR="00992664" w:rsidRPr="00020424">
        <w:rPr>
          <w:rtl/>
        </w:rPr>
        <w:t xml:space="preserve"> ، ج 2 ، ص 78 ، ح 235 ، معلّقاً عن الكليني. </w:t>
      </w:r>
      <w:r w:rsidR="00992664" w:rsidRPr="00DE76B9">
        <w:rPr>
          <w:rStyle w:val="libFootnoteBoldChar"/>
          <w:rtl/>
        </w:rPr>
        <w:t>فضائل الأشهر الثلاثة</w:t>
      </w:r>
      <w:r w:rsidR="00992664" w:rsidRPr="00020424">
        <w:rPr>
          <w:rtl/>
        </w:rPr>
        <w:t xml:space="preserve"> ، ص 107 ، ح 100 ، بسنده عن سماعة بن مهران ، عن أبي عبدالله </w:t>
      </w:r>
      <w:r w:rsidR="00992664" w:rsidRPr="00D64ADA">
        <w:rPr>
          <w:rStyle w:val="libFootnoteAlaemChar"/>
          <w:rtl/>
        </w:rPr>
        <w:t>عليه‌السلام</w:t>
      </w:r>
      <w:r w:rsidR="00992664" w:rsidRPr="00020424">
        <w:rPr>
          <w:rtl/>
        </w:rPr>
        <w:t xml:space="preserve"> ، مع اختلاف يسير </w:t>
      </w:r>
      <w:r w:rsidR="003C0A79">
        <w:rPr>
          <w:rFonts w:hint="cs"/>
          <w:rtl/>
        </w:rPr>
        <w:t>.</w:t>
      </w:r>
      <w:r w:rsidR="00992664" w:rsidRPr="0012008A">
        <w:rPr>
          <w:rStyle w:val="libFootnoteBoldChar"/>
          <w:rtl/>
        </w:rPr>
        <w:t>الوافي</w:t>
      </w:r>
      <w:r w:rsidR="00992664" w:rsidRPr="00020424">
        <w:rPr>
          <w:rtl/>
        </w:rPr>
        <w:t xml:space="preserve"> ، ج 11 ، ص 108 ، ح 10502 ؛ </w:t>
      </w:r>
      <w:r w:rsidR="00992664" w:rsidRPr="0012008A">
        <w:rPr>
          <w:rStyle w:val="libFootnoteBoldChar"/>
          <w:rtl/>
        </w:rPr>
        <w:t>الوسائل</w:t>
      </w:r>
      <w:r w:rsidR="00992664" w:rsidRPr="00020424">
        <w:rPr>
          <w:rtl/>
        </w:rPr>
        <w:t xml:space="preserve"> ، ج 10 ، ص 22 ، ح 12735.</w:t>
      </w:r>
    </w:p>
    <w:tbl>
      <w:tblPr>
        <w:tblStyle w:val="TableGrid"/>
        <w:bidiVisual/>
        <w:tblW w:w="0" w:type="auto"/>
        <w:tblLook w:val="04A0" w:firstRow="1" w:lastRow="0" w:firstColumn="1" w:lastColumn="0" w:noHBand="0" w:noVBand="1"/>
      </w:tblPr>
      <w:tblGrid>
        <w:gridCol w:w="4006"/>
        <w:gridCol w:w="4006"/>
      </w:tblGrid>
      <w:tr w:rsidR="003C0A79" w:rsidTr="003C0A79">
        <w:tc>
          <w:tcPr>
            <w:tcW w:w="4006" w:type="dxa"/>
          </w:tcPr>
          <w:p w:rsidR="003C0A79" w:rsidRDefault="003C0A79" w:rsidP="00992664">
            <w:pPr>
              <w:pStyle w:val="libFootnote0"/>
              <w:rPr>
                <w:rtl/>
              </w:rPr>
            </w:pPr>
            <w:r>
              <w:rPr>
                <w:rtl/>
              </w:rPr>
              <w:t xml:space="preserve">(4). </w:t>
            </w:r>
            <w:r w:rsidRPr="00020424">
              <w:rPr>
                <w:rtl/>
              </w:rPr>
              <w:t>في « ى » : + « بن إبراهيم</w:t>
            </w:r>
            <w:r>
              <w:rPr>
                <w:rtl/>
              </w:rPr>
              <w:t xml:space="preserve"> ».</w:t>
            </w:r>
          </w:p>
        </w:tc>
        <w:tc>
          <w:tcPr>
            <w:tcW w:w="4006" w:type="dxa"/>
          </w:tcPr>
          <w:p w:rsidR="003C0A79" w:rsidRDefault="003C0A79" w:rsidP="00992664">
            <w:pPr>
              <w:pStyle w:val="libFootnote0"/>
              <w:rPr>
                <w:rtl/>
              </w:rPr>
            </w:pPr>
            <w:r>
              <w:rPr>
                <w:rtl/>
              </w:rPr>
              <w:t xml:space="preserve">(5). </w:t>
            </w:r>
            <w:r w:rsidRPr="00020424">
              <w:rPr>
                <w:rtl/>
              </w:rPr>
              <w:t>في « ظ » : « يوم</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أنّه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108 ، ح 10503 ؛ </w:t>
      </w:r>
      <w:r w:rsidR="00992664" w:rsidRPr="0012008A">
        <w:rPr>
          <w:rStyle w:val="libFootnoteBoldChar"/>
          <w:rtl/>
        </w:rPr>
        <w:t>الوسائل</w:t>
      </w:r>
      <w:r w:rsidR="00992664" w:rsidRPr="00020424">
        <w:rPr>
          <w:rtl/>
        </w:rPr>
        <w:t xml:space="preserve"> ، ج 10 ، ص 22 ، ح 12734.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بث ، بر ، بف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وفي « ظ ، ى ، بح ، بخ ، بف ، جن » والمطبوع : « الحسين</w:t>
      </w:r>
      <w:r w:rsidR="00992664">
        <w:rPr>
          <w:rtl/>
        </w:rPr>
        <w:t xml:space="preserve"> ».</w:t>
      </w:r>
    </w:p>
    <w:p w:rsidR="00992664" w:rsidRPr="00020424" w:rsidRDefault="00992664" w:rsidP="003C0A79">
      <w:pPr>
        <w:pStyle w:val="libFootnote0"/>
        <w:rPr>
          <w:rtl/>
          <w:lang w:bidi="fa-IR"/>
        </w:rPr>
      </w:pPr>
      <w:r w:rsidRPr="003C0A79">
        <w:rPr>
          <w:rtl/>
        </w:rPr>
        <w:t xml:space="preserve">وابن رباط هذا ، هو عليّ بن الحسن بن رباط البجلي. راجع : </w:t>
      </w:r>
      <w:r w:rsidRPr="00DE76B9">
        <w:rPr>
          <w:rStyle w:val="libFootnoteBoldChar"/>
          <w:rtl/>
        </w:rPr>
        <w:t>رجال النجاشي</w:t>
      </w:r>
      <w:r w:rsidRPr="003C0A79">
        <w:rPr>
          <w:rtl/>
        </w:rPr>
        <w:t xml:space="preserve"> ، ص 251 ، الرقم 659 ؛ </w:t>
      </w:r>
      <w:r w:rsidRPr="00D530ED">
        <w:rPr>
          <w:rStyle w:val="libFootnoteBoldChar"/>
          <w:rtl/>
        </w:rPr>
        <w:t>الفهرست للطوسي</w:t>
      </w:r>
      <w:r w:rsidRPr="003C0A79">
        <w:rPr>
          <w:rtl/>
        </w:rPr>
        <w:t xml:space="preserve"> ، ص 269 ، الرقم 388.</w:t>
      </w:r>
      <w:r w:rsidR="003C0A79">
        <w:rPr>
          <w:rFonts w:hint="cs"/>
          <w:rtl/>
        </w:rPr>
        <w:t xml:space="preserve">                          </w:t>
      </w:r>
      <w:r w:rsidR="00795177">
        <w:rPr>
          <w:rtl/>
        </w:rPr>
        <w:t>(9).</w:t>
      </w:r>
      <w:r w:rsidR="0014403D">
        <w:rPr>
          <w:rtl/>
        </w:rPr>
        <w:t xml:space="preserve"> </w:t>
      </w:r>
      <w:r w:rsidRPr="00020424">
        <w:rPr>
          <w:rtl/>
        </w:rPr>
        <w:t>في « ظ » : « وكان</w:t>
      </w:r>
      <w:r>
        <w:rPr>
          <w:rtl/>
        </w:rPr>
        <w:t xml:space="preserve"> ».</w:t>
      </w:r>
    </w:p>
    <w:tbl>
      <w:tblPr>
        <w:tblStyle w:val="TableGrid"/>
        <w:bidiVisual/>
        <w:tblW w:w="0" w:type="auto"/>
        <w:tblLook w:val="04A0" w:firstRow="1" w:lastRow="0" w:firstColumn="1" w:lastColumn="0" w:noHBand="0" w:noVBand="1"/>
      </w:tblPr>
      <w:tblGrid>
        <w:gridCol w:w="4006"/>
        <w:gridCol w:w="4006"/>
      </w:tblGrid>
      <w:tr w:rsidR="003C0A79" w:rsidTr="003C0A79">
        <w:tc>
          <w:tcPr>
            <w:tcW w:w="4006" w:type="dxa"/>
          </w:tcPr>
          <w:p w:rsidR="003C0A79" w:rsidRDefault="003C0A79" w:rsidP="00992664">
            <w:pPr>
              <w:pStyle w:val="libFootnote0"/>
              <w:rPr>
                <w:rtl/>
              </w:rPr>
            </w:pPr>
            <w:r>
              <w:rPr>
                <w:rtl/>
              </w:rPr>
              <w:t xml:space="preserve">(10). </w:t>
            </w:r>
            <w:r w:rsidRPr="00020424">
              <w:rPr>
                <w:rtl/>
              </w:rPr>
              <w:t xml:space="preserve">في </w:t>
            </w:r>
            <w:r w:rsidRPr="0012008A">
              <w:rPr>
                <w:rStyle w:val="libFootnoteBoldChar"/>
                <w:rtl/>
              </w:rPr>
              <w:t>التهذيب</w:t>
            </w:r>
            <w:r w:rsidRPr="00020424">
              <w:rPr>
                <w:rtl/>
              </w:rPr>
              <w:t xml:space="preserve"> : « فأقضيه » بدون الهمزة.</w:t>
            </w:r>
          </w:p>
        </w:tc>
        <w:tc>
          <w:tcPr>
            <w:tcW w:w="4006" w:type="dxa"/>
          </w:tcPr>
          <w:p w:rsidR="003C0A79" w:rsidRDefault="003C0A79" w:rsidP="00992664">
            <w:pPr>
              <w:pStyle w:val="libFootnote0"/>
              <w:rPr>
                <w:rtl/>
              </w:rPr>
            </w:pPr>
            <w:r>
              <w:rPr>
                <w:rtl/>
              </w:rPr>
              <w:t xml:space="preserve">(11). </w:t>
            </w:r>
            <w:r w:rsidRPr="00020424">
              <w:rPr>
                <w:rtl/>
              </w:rPr>
              <w:t>في « ظ » :</w:t>
            </w:r>
            <w:r>
              <w:rPr>
                <w:rtl/>
              </w:rPr>
              <w:t xml:space="preserve"> - </w:t>
            </w:r>
            <w:r w:rsidRPr="00020424">
              <w:rPr>
                <w:rtl/>
              </w:rPr>
              <w:t>« لا</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182 ، ح 506 ؛ </w:t>
      </w:r>
      <w:r w:rsidR="00992664" w:rsidRPr="00FD6221">
        <w:rPr>
          <w:rStyle w:val="libFootnoteBoldChar"/>
          <w:rtl/>
        </w:rPr>
        <w:t>والاستبصار</w:t>
      </w:r>
      <w:r w:rsidR="00992664" w:rsidRPr="00020424">
        <w:rPr>
          <w:rtl/>
        </w:rPr>
        <w:t xml:space="preserve"> ، ج 2 ، ص 78 ، ح 238 ، معلّقاً عن الكليني </w:t>
      </w:r>
      <w:r w:rsidR="003C0A79">
        <w:rPr>
          <w:rFonts w:hint="cs"/>
          <w:rtl/>
        </w:rPr>
        <w:t>.</w:t>
      </w:r>
      <w:r w:rsidR="00992664" w:rsidRPr="0012008A">
        <w:rPr>
          <w:rStyle w:val="libFootnoteBoldChar"/>
          <w:rtl/>
        </w:rPr>
        <w:t>الوافي</w:t>
      </w:r>
      <w:r w:rsidR="00992664" w:rsidRPr="00020424">
        <w:rPr>
          <w:rtl/>
        </w:rPr>
        <w:t xml:space="preserve"> ، ج 11 ، ص 109 ، ح 10504 ؛ </w:t>
      </w:r>
      <w:r w:rsidR="00992664" w:rsidRPr="0012008A">
        <w:rPr>
          <w:rStyle w:val="libFootnoteBoldChar"/>
          <w:rtl/>
        </w:rPr>
        <w:t>الوسائل</w:t>
      </w:r>
      <w:r w:rsidR="00992664" w:rsidRPr="00020424">
        <w:rPr>
          <w:rtl/>
        </w:rPr>
        <w:t xml:space="preserve"> ، ج 10 ، ص 20 ، ح 12731.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83094">
        <w:rPr>
          <w:rtl/>
        </w:rPr>
        <w:t>6314</w:t>
      </w:r>
      <w:r w:rsidRPr="001155DE">
        <w:rPr>
          <w:rStyle w:val="libBold2Char"/>
          <w:rtl/>
        </w:rPr>
        <w:t xml:space="preserve"> / 5.</w:t>
      </w:r>
      <w:r w:rsidRPr="00020424">
        <w:rPr>
          <w:rtl/>
          <w:lang w:bidi="fa-IR"/>
        </w:rPr>
        <w:t xml:space="preserve"> أَحْمَدُ بْنُ مُحَمَّدٍ </w:t>
      </w:r>
      <w:r w:rsidRPr="00A91B96">
        <w:rPr>
          <w:rStyle w:val="libFootnotenumChar"/>
          <w:rtl/>
        </w:rPr>
        <w:t>(1)</w:t>
      </w:r>
      <w:r w:rsidRPr="00020424">
        <w:rPr>
          <w:rtl/>
          <w:lang w:bidi="fa-IR"/>
        </w:rPr>
        <w:t xml:space="preserve"> ، عَنِ </w:t>
      </w:r>
      <w:r w:rsidRPr="00A91B96">
        <w:rPr>
          <w:rStyle w:val="libFootnotenumChar"/>
          <w:rtl/>
        </w:rPr>
        <w:t>(2)</w:t>
      </w:r>
      <w:r w:rsidRPr="00020424">
        <w:rPr>
          <w:rtl/>
          <w:lang w:bidi="fa-IR"/>
        </w:rPr>
        <w:t xml:space="preserve"> ابْنِ أَبِي الصُّهْبَانِ ، عَنْ مُحَمَّدِ بْنِ بَكْرِ بْنِ جَنَاحٍ ، عَنْ عَلِيِّ بْنِ شَجَرَةَ ، عَنْ بَشِيرٍ النَّبَّالِ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صَوْمِ </w:t>
      </w:r>
      <w:r w:rsidRPr="00A91B96">
        <w:rPr>
          <w:rStyle w:val="libFootnotenumChar"/>
          <w:rtl/>
        </w:rPr>
        <w:t>(3)</w:t>
      </w:r>
      <w:r w:rsidRPr="00020424">
        <w:rPr>
          <w:rtl/>
          <w:lang w:bidi="fa-IR"/>
        </w:rPr>
        <w:t xml:space="preserve"> يَوْمِ الشَّكِّ</w:t>
      </w:r>
      <w:r>
        <w:rPr>
          <w:rtl/>
          <w:lang w:bidi="fa-IR"/>
        </w:rPr>
        <w:t>؟</w:t>
      </w:r>
    </w:p>
    <w:p w:rsidR="00992664" w:rsidRPr="00020424" w:rsidRDefault="00992664" w:rsidP="00992664">
      <w:pPr>
        <w:pStyle w:val="libNormal"/>
        <w:rPr>
          <w:rtl/>
          <w:lang w:bidi="fa-IR"/>
        </w:rPr>
      </w:pPr>
      <w:r w:rsidRPr="00020424">
        <w:rPr>
          <w:rtl/>
          <w:lang w:bidi="fa-IR"/>
        </w:rPr>
        <w:t xml:space="preserve">فَقَالَ : « صُمْهُ </w:t>
      </w:r>
      <w:r w:rsidRPr="00A91B96">
        <w:rPr>
          <w:rStyle w:val="libFootnotenumChar"/>
          <w:rtl/>
        </w:rPr>
        <w:t>(4)</w:t>
      </w:r>
      <w:r w:rsidRPr="00020424">
        <w:rPr>
          <w:rtl/>
          <w:lang w:bidi="fa-IR"/>
        </w:rPr>
        <w:t xml:space="preserve"> ، فَإِنْ يَكُ مِنْ شَعْبَانَ ، كَانَ تَطَوُّعاً ، وَإِنْ يَكُ مِنْ شَهْرِ رَمَضَانَ ، فَيَوْمٌ وُفِّقْتَ 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83094">
        <w:rPr>
          <w:rtl/>
        </w:rPr>
        <w:t>6315</w:t>
      </w:r>
      <w:r w:rsidRPr="001155DE">
        <w:rPr>
          <w:rStyle w:val="libBold2Char"/>
          <w:rtl/>
        </w:rPr>
        <w:t xml:space="preserve"> / 6.</w:t>
      </w:r>
      <w:r w:rsidRPr="00020424">
        <w:rPr>
          <w:rtl/>
          <w:lang w:bidi="fa-IR"/>
        </w:rPr>
        <w:t xml:space="preserve"> مُحَمَّدُ بْنُ يَحْيى ، عَنْ أَحْمَدَ بْنِ مُحَمَّدٍ ، عَنْ عُثْمَانَ بْنِ</w:t>
      </w:r>
      <w:r w:rsidR="003C0A79">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صَامَ يَوْماً وَلَايَدْرِي </w:t>
      </w:r>
      <w:r w:rsidRPr="00A91B96">
        <w:rPr>
          <w:rStyle w:val="libFootnotenumChar"/>
          <w:rtl/>
        </w:rPr>
        <w:t>(6)</w:t>
      </w:r>
      <w:r>
        <w:rPr>
          <w:rtl/>
          <w:lang w:bidi="fa-IR"/>
        </w:rPr>
        <w:t xml:space="preserve"> أَ</w:t>
      </w:r>
      <w:r w:rsidRPr="00020424">
        <w:rPr>
          <w:rtl/>
          <w:lang w:bidi="fa-IR"/>
        </w:rPr>
        <w:t xml:space="preserve">مِنْ </w:t>
      </w:r>
      <w:r w:rsidRPr="00A91B96">
        <w:rPr>
          <w:rStyle w:val="libFootnotenumChar"/>
          <w:rtl/>
        </w:rPr>
        <w:t>(7)</w:t>
      </w:r>
      <w:r w:rsidRPr="00020424">
        <w:rPr>
          <w:rtl/>
          <w:lang w:bidi="fa-IR"/>
        </w:rPr>
        <w:t xml:space="preserve"> شَهْرِ </w:t>
      </w:r>
      <w:r w:rsidRPr="00A91B96">
        <w:rPr>
          <w:rStyle w:val="libFootnotenumChar"/>
          <w:rtl/>
        </w:rPr>
        <w:t>(8)</w:t>
      </w:r>
      <w:r w:rsidRPr="00020424">
        <w:rPr>
          <w:rtl/>
          <w:lang w:bidi="fa-IR"/>
        </w:rPr>
        <w:t xml:space="preserve"> رَمَضَانَ هُوَ </w:t>
      </w:r>
      <w:r w:rsidRPr="00A91B96">
        <w:rPr>
          <w:rStyle w:val="libFootnotenumChar"/>
          <w:rtl/>
        </w:rPr>
        <w:t>(9)</w:t>
      </w:r>
      <w:r w:rsidRPr="00020424">
        <w:rPr>
          <w:rtl/>
          <w:lang w:bidi="fa-IR"/>
        </w:rPr>
        <w:t xml:space="preserve"> ، أَوْ مِنْ </w:t>
      </w:r>
      <w:r w:rsidRPr="00A91B96">
        <w:rPr>
          <w:rStyle w:val="libFootnotenumChar"/>
          <w:rtl/>
        </w:rPr>
        <w:t>(10)</w:t>
      </w:r>
      <w:r w:rsidRPr="00020424">
        <w:rPr>
          <w:rtl/>
          <w:lang w:bidi="fa-IR"/>
        </w:rPr>
        <w:t xml:space="preserve"> غَيْرِهِ ، فَجَاءَ قَوْمٌ ، فَشَهِدُوا أَنَّهُ كَانَ مِنْ شَهْرِ </w:t>
      </w:r>
      <w:r w:rsidRPr="00A91B96">
        <w:rPr>
          <w:rStyle w:val="libFootnotenumChar"/>
          <w:rtl/>
        </w:rPr>
        <w:t>(11)</w:t>
      </w:r>
      <w:r w:rsidRPr="00020424">
        <w:rPr>
          <w:rtl/>
          <w:lang w:bidi="fa-IR"/>
        </w:rPr>
        <w:t xml:space="preserve"> رَمَضَانَ ، فَقَالَ بَعْضُ النَّاسِ عِنْدَنَا : لَا يُعْتَدُّ بِهِ</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جر »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والسند معلّق على سابقه. ويروي عن أحمد بن محمّدعدّة من أصحابنا. وما ورد في </w:t>
      </w:r>
      <w:r w:rsidR="00992664" w:rsidRPr="0012008A">
        <w:rPr>
          <w:rStyle w:val="libFootnoteBoldChar"/>
          <w:rtl/>
        </w:rPr>
        <w:t>التهذيب</w:t>
      </w:r>
      <w:r w:rsidR="00992664" w:rsidRPr="00020424">
        <w:rPr>
          <w:rtl/>
        </w:rPr>
        <w:t xml:space="preserve"> ، ج 4 ، ص 181 ، ح 504 ؛ </w:t>
      </w:r>
      <w:r w:rsidR="00992664" w:rsidRPr="00FD6221">
        <w:rPr>
          <w:rStyle w:val="libFootnoteBoldChar"/>
          <w:rtl/>
        </w:rPr>
        <w:t>والاستبصار</w:t>
      </w:r>
      <w:r w:rsidR="00992664" w:rsidRPr="00020424">
        <w:rPr>
          <w:rtl/>
        </w:rPr>
        <w:t xml:space="preserve"> ، ج 2 ، ص 78 ، ح 236 ؛ من نقل الخبر عن محمّد بن يعقوب</w:t>
      </w:r>
      <w:r w:rsidR="00992664">
        <w:rPr>
          <w:rtl/>
        </w:rPr>
        <w:t xml:space="preserve"> </w:t>
      </w:r>
      <w:r w:rsidR="009B673F">
        <w:rPr>
          <w:rtl/>
        </w:rPr>
        <w:t>-</w:t>
      </w:r>
      <w:r w:rsidR="00992664">
        <w:rPr>
          <w:rtl/>
        </w:rPr>
        <w:t xml:space="preserve"> </w:t>
      </w:r>
      <w:r w:rsidR="00992664" w:rsidRPr="00020424">
        <w:rPr>
          <w:rtl/>
        </w:rPr>
        <w:t>وقد عبّر عنه في الموضعين بالضمير</w:t>
      </w:r>
      <w:r w:rsidR="00992664">
        <w:rPr>
          <w:rtl/>
        </w:rPr>
        <w:t xml:space="preserve"> </w:t>
      </w:r>
      <w:r w:rsidR="009B673F">
        <w:rPr>
          <w:rtl/>
        </w:rPr>
        <w:t>-</w:t>
      </w:r>
      <w:r w:rsidR="00992664">
        <w:rPr>
          <w:rtl/>
        </w:rPr>
        <w:t xml:space="preserve"> </w:t>
      </w:r>
      <w:r w:rsidR="00992664" w:rsidRPr="00020424">
        <w:rPr>
          <w:rtl/>
        </w:rPr>
        <w:t>عن أحمد بن محمّد ، ناشٍ من عدم الالتفات إلى وقوع التعليق في السند.</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جر ، جن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 محمّد</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C0A79" w:rsidTr="003C0A79">
        <w:tc>
          <w:tcPr>
            <w:tcW w:w="4006" w:type="dxa"/>
          </w:tcPr>
          <w:p w:rsidR="003C0A79" w:rsidRDefault="003C0A79" w:rsidP="00992664">
            <w:pPr>
              <w:pStyle w:val="libFootnote0"/>
              <w:rPr>
                <w:rtl/>
              </w:rPr>
            </w:pPr>
            <w:r>
              <w:rPr>
                <w:rtl/>
              </w:rPr>
              <w:t xml:space="preserve">(3). </w:t>
            </w:r>
            <w:r w:rsidRPr="00020424">
              <w:rPr>
                <w:rtl/>
              </w:rPr>
              <w:t xml:space="preserve">في « جن » </w:t>
            </w:r>
            <w:r w:rsidRPr="00515444">
              <w:rPr>
                <w:rStyle w:val="libFootnoteBoldChar"/>
                <w:rtl/>
              </w:rPr>
              <w:t>والوافي</w:t>
            </w:r>
            <w:r w:rsidRPr="00020424">
              <w:rPr>
                <w:rtl/>
              </w:rPr>
              <w:t xml:space="preserve"> :</w:t>
            </w:r>
            <w:r>
              <w:rPr>
                <w:rtl/>
              </w:rPr>
              <w:t xml:space="preserve"> - </w:t>
            </w:r>
            <w:r w:rsidRPr="00020424">
              <w:rPr>
                <w:rtl/>
              </w:rPr>
              <w:t>« صوم</w:t>
            </w:r>
            <w:r>
              <w:rPr>
                <w:rtl/>
              </w:rPr>
              <w:t xml:space="preserve"> ».</w:t>
            </w:r>
          </w:p>
        </w:tc>
        <w:tc>
          <w:tcPr>
            <w:tcW w:w="4006" w:type="dxa"/>
          </w:tcPr>
          <w:p w:rsidR="003C0A79" w:rsidRDefault="006777B9" w:rsidP="00992664">
            <w:pPr>
              <w:pStyle w:val="libFootnote0"/>
              <w:rPr>
                <w:rtl/>
              </w:rPr>
            </w:pPr>
            <w:r>
              <w:rPr>
                <w:rtl/>
              </w:rPr>
              <w:t xml:space="preserve">(4). </w:t>
            </w:r>
            <w:r w:rsidRPr="00020424">
              <w:rPr>
                <w:rtl/>
              </w:rPr>
              <w:t>في « جن » : « صمته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181 ، ح 504 ؛ </w:t>
      </w:r>
      <w:r w:rsidR="00992664" w:rsidRPr="00FD6221">
        <w:rPr>
          <w:rStyle w:val="libFootnoteBoldChar"/>
          <w:rtl/>
        </w:rPr>
        <w:t>والاستبصار</w:t>
      </w:r>
      <w:r w:rsidR="00992664" w:rsidRPr="00020424">
        <w:rPr>
          <w:rtl/>
        </w:rPr>
        <w:t xml:space="preserve"> ، ج 2 ، ص 78 ، ح 236 ، معلّقاً عن الكليني. </w:t>
      </w:r>
      <w:r w:rsidR="00992664" w:rsidRPr="0012008A">
        <w:rPr>
          <w:rStyle w:val="libFootnoteBoldChar"/>
          <w:rtl/>
        </w:rPr>
        <w:t>الفقيه</w:t>
      </w:r>
      <w:r w:rsidR="00992664" w:rsidRPr="00020424">
        <w:rPr>
          <w:rtl/>
        </w:rPr>
        <w:t xml:space="preserve"> ، ج 2 ، ص 127 ، ح 1924 ، معلّقاً عن بشير النبّال </w:t>
      </w:r>
      <w:r w:rsidR="009E2780">
        <w:rPr>
          <w:rFonts w:hint="cs"/>
          <w:rtl/>
        </w:rPr>
        <w:t>.</w:t>
      </w:r>
      <w:r w:rsidR="00992664" w:rsidRPr="0012008A">
        <w:rPr>
          <w:rStyle w:val="libFootnoteBoldChar"/>
          <w:rtl/>
        </w:rPr>
        <w:t>الوافي</w:t>
      </w:r>
      <w:r w:rsidR="00992664" w:rsidRPr="00020424">
        <w:rPr>
          <w:rtl/>
        </w:rPr>
        <w:t xml:space="preserve"> ، ج 11 ، ص 109 ، ح 10505 ؛ </w:t>
      </w:r>
      <w:r w:rsidR="00992664" w:rsidRPr="0012008A">
        <w:rPr>
          <w:rStyle w:val="libFootnoteBoldChar"/>
          <w:rtl/>
        </w:rPr>
        <w:t>الوسائل</w:t>
      </w:r>
      <w:r w:rsidR="00992664" w:rsidRPr="00020424">
        <w:rPr>
          <w:rtl/>
        </w:rPr>
        <w:t xml:space="preserve"> ، ج 10 ، ص 21 ، ح 12732.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وهو لا يدري » بدل « ولا يدري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بس » : « من » من دون همزة الاستفهام.</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بث ، بح ، بخ ، بر ، بس ، بف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هو</w:t>
      </w:r>
      <w:r w:rsidR="00992664">
        <w:rPr>
          <w:rtl/>
        </w:rPr>
        <w:t xml:space="preserve"> ».</w:t>
      </w:r>
      <w:r w:rsidR="00992664" w:rsidRPr="00020424">
        <w:rPr>
          <w:rtl/>
        </w:rPr>
        <w:t xml:space="preserve"> وفي الاستبصار : « هنا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أم من » بدل « أو من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بح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w:t>
      </w:r>
      <w:r w:rsidRPr="00020424">
        <w:rPr>
          <w:rtl/>
          <w:lang w:bidi="fa-IR"/>
        </w:rPr>
        <w:t xml:space="preserve"> : « بَلى</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 إِنَّهُمْ قَالُوا : صُمْتَ وَأَنْتَ لَاتَدْرِي </w:t>
      </w:r>
      <w:r w:rsidRPr="00A91B96">
        <w:rPr>
          <w:rStyle w:val="libFootnotenumChar"/>
          <w:rtl/>
        </w:rPr>
        <w:t>(2)</w:t>
      </w:r>
      <w:r>
        <w:rPr>
          <w:rtl/>
          <w:lang w:bidi="fa-IR"/>
        </w:rPr>
        <w:t xml:space="preserve"> أَ</w:t>
      </w:r>
      <w:r w:rsidRPr="00020424">
        <w:rPr>
          <w:rtl/>
          <w:lang w:bidi="fa-IR"/>
        </w:rPr>
        <w:t xml:space="preserve">مِنْ </w:t>
      </w:r>
      <w:r w:rsidRPr="00A91B96">
        <w:rPr>
          <w:rStyle w:val="libFootnotenumChar"/>
          <w:rtl/>
        </w:rPr>
        <w:t>(3)</w:t>
      </w:r>
      <w:r w:rsidRPr="00020424">
        <w:rPr>
          <w:rtl/>
          <w:lang w:bidi="fa-IR"/>
        </w:rPr>
        <w:t xml:space="preserve"> شَهْرِ </w:t>
      </w:r>
      <w:r w:rsidRPr="00A91B96">
        <w:rPr>
          <w:rStyle w:val="libFootnotenumChar"/>
          <w:rtl/>
        </w:rPr>
        <w:t>(4)</w:t>
      </w:r>
      <w:r w:rsidRPr="00020424">
        <w:rPr>
          <w:rtl/>
          <w:lang w:bidi="fa-IR"/>
        </w:rPr>
        <w:t xml:space="preserve"> رَمَضَانَ هذَا ، أَمْ مِنْ </w:t>
      </w:r>
      <w:r w:rsidRPr="00A91B96">
        <w:rPr>
          <w:rStyle w:val="libFootnotenumChar"/>
          <w:rtl/>
        </w:rPr>
        <w:t>(5)</w:t>
      </w:r>
      <w:r w:rsidRPr="00020424">
        <w:rPr>
          <w:rtl/>
          <w:lang w:bidi="fa-IR"/>
        </w:rPr>
        <w:t xml:space="preserve"> غَيْرِهِ</w:t>
      </w:r>
      <w:r>
        <w:rPr>
          <w:rtl/>
          <w:lang w:bidi="fa-IR"/>
        </w:rPr>
        <w:t>؟</w:t>
      </w:r>
    </w:p>
    <w:p w:rsidR="00992664" w:rsidRPr="00020424" w:rsidRDefault="00992664" w:rsidP="00992664">
      <w:pPr>
        <w:pStyle w:val="libNormal"/>
        <w:rPr>
          <w:rtl/>
          <w:lang w:bidi="fa-IR"/>
        </w:rPr>
      </w:pPr>
      <w:r w:rsidRPr="00020424">
        <w:rPr>
          <w:rtl/>
          <w:lang w:bidi="fa-IR"/>
        </w:rPr>
        <w:t xml:space="preserve">فَقَالَ : « بَلى ، فَاعْتَدَّ بِهِ ؛ فَإِنَّمَا هُوَ شَيْ‌ءٌ وَفَّقَكَ اللهُ لَهُ ، إِنَّمَا يُصَامُ يَوْمُ الشَّكِّ مِنْ شَعْبَانَ ، وَلَايَصُومُهُ </w:t>
      </w:r>
      <w:r w:rsidRPr="00A91B96">
        <w:rPr>
          <w:rStyle w:val="libFootnotenumChar"/>
          <w:rtl/>
        </w:rPr>
        <w:t>(6)</w:t>
      </w:r>
      <w:r w:rsidRPr="00020424">
        <w:rPr>
          <w:rtl/>
          <w:lang w:bidi="fa-IR"/>
        </w:rPr>
        <w:t xml:space="preserve"> مِنْ شَهْرِ رَمَضَانَ ؛ لِأَنَّهُ قَدْ نُهِيَ أَنْ يَنْفَرِدَ </w:t>
      </w:r>
      <w:r w:rsidRPr="00A91B96">
        <w:rPr>
          <w:rStyle w:val="libFootnotenumChar"/>
          <w:rtl/>
        </w:rPr>
        <w:t>(7)</w:t>
      </w:r>
      <w:r w:rsidRPr="00020424">
        <w:rPr>
          <w:rtl/>
          <w:lang w:bidi="fa-IR"/>
        </w:rPr>
        <w:t xml:space="preserve"> الْإِنْسَانُ بِالصِّيَامِ </w:t>
      </w:r>
      <w:r w:rsidRPr="00A91B96">
        <w:rPr>
          <w:rStyle w:val="libFootnotenumChar"/>
          <w:rtl/>
        </w:rPr>
        <w:t>(8)</w:t>
      </w:r>
      <w:r w:rsidRPr="00020424">
        <w:rPr>
          <w:rtl/>
          <w:lang w:bidi="fa-IR"/>
        </w:rPr>
        <w:t xml:space="preserve"> فِي يَوْمِ الشَّكِّ ، وَإِنَّمَا يَنْوِي مِنَ اللَّيْلَةِ </w:t>
      </w:r>
      <w:r w:rsidRPr="00A91B96">
        <w:rPr>
          <w:rStyle w:val="libFootnotenumChar"/>
          <w:rtl/>
        </w:rPr>
        <w:t>(9)</w:t>
      </w:r>
      <w:r w:rsidRPr="00020424">
        <w:rPr>
          <w:rtl/>
          <w:lang w:bidi="fa-IR"/>
        </w:rPr>
        <w:t xml:space="preserve"> أَنَّهُ يَصُومُ </w:t>
      </w:r>
      <w:r w:rsidRPr="00A91B96">
        <w:rPr>
          <w:rStyle w:val="libFootnotenumChar"/>
          <w:rtl/>
        </w:rPr>
        <w:t>(10)</w:t>
      </w:r>
      <w:r w:rsidRPr="00020424">
        <w:rPr>
          <w:rtl/>
          <w:lang w:bidi="fa-IR"/>
        </w:rPr>
        <w:t xml:space="preserve"> مِنْ شَعْبَانَ ، فَإِنْ كَانَ مِنْ شَهْرِ </w:t>
      </w:r>
      <w:r w:rsidRPr="00A91B96">
        <w:rPr>
          <w:rStyle w:val="libFootnotenumChar"/>
          <w:rtl/>
        </w:rPr>
        <w:t>(11)</w:t>
      </w:r>
      <w:r w:rsidRPr="00020424">
        <w:rPr>
          <w:rtl/>
          <w:lang w:bidi="fa-IR"/>
        </w:rPr>
        <w:t xml:space="preserve"> رَمَضَانَ ، أَجْزَأَ </w:t>
      </w:r>
      <w:r w:rsidRPr="00A91B96">
        <w:rPr>
          <w:rStyle w:val="libFootnotenumChar"/>
          <w:rtl/>
        </w:rPr>
        <w:t>(12)</w:t>
      </w:r>
      <w:r w:rsidRPr="00020424">
        <w:rPr>
          <w:rtl/>
          <w:lang w:bidi="fa-IR"/>
        </w:rPr>
        <w:t xml:space="preserve"> عَنْهُ بِتَفَضُّلِ اللهِ تَعَالى وَبِمَا قَدْ وَسَّعَ عَلى عِبَادِهِ ، وَلَوْلَا ذلِكَ لَهَلَكَ النَّاسُ</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Normal"/>
        <w:rPr>
          <w:rtl/>
          <w:lang w:bidi="fa-IR"/>
        </w:rPr>
      </w:pPr>
      <w:r w:rsidRPr="00A977E9">
        <w:rPr>
          <w:rtl/>
        </w:rPr>
        <w:t>6316</w:t>
      </w:r>
      <w:r w:rsidRPr="001155DE">
        <w:rPr>
          <w:rStyle w:val="libBold2Char"/>
          <w:rtl/>
        </w:rPr>
        <w:t xml:space="preserve"> / 7.</w:t>
      </w:r>
      <w:r w:rsidRPr="00020424">
        <w:rPr>
          <w:rtl/>
          <w:lang w:bidi="fa-IR"/>
        </w:rPr>
        <w:t xml:space="preserve"> سَهْلُ بْنُ زِيَادٍ </w:t>
      </w:r>
      <w:r w:rsidRPr="00A91B96">
        <w:rPr>
          <w:rStyle w:val="libFootnotenumChar"/>
          <w:rtl/>
        </w:rPr>
        <w:t>(14)</w:t>
      </w:r>
      <w:r w:rsidRPr="00020424">
        <w:rPr>
          <w:rtl/>
          <w:lang w:bidi="fa-IR"/>
        </w:rPr>
        <w:t xml:space="preserve"> ، عَنْ عَلِيِّ بْنِ الْحَكَمِ ، عَنْ رِفَاعَةَ ، عَنْ رَجُلٍ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تدري » بدون « لا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 « من » من دون همزة الاستفهام.</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بح ، بخ ، بر ، بس ، بف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الاستبصار : « أو من » بدل « أم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ولا تصومه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239 : « الظاهر أنّ المراد بالانفراد بصيامه أن ينويه من رمضان من بين سائر الناس من غير أن يصحّ عند الناس أنّه منه ، لا ما فهمه المفيد </w:t>
      </w:r>
      <w:r w:rsidR="00D64ADA" w:rsidRPr="00D64ADA">
        <w:rPr>
          <w:rStyle w:val="libFootnoteAlaemChar"/>
          <w:rtl/>
        </w:rPr>
        <w:t>رحمه‌الله</w:t>
      </w:r>
      <w:r w:rsidR="00992664">
        <w:rPr>
          <w:rtl/>
        </w:rPr>
        <w:t xml:space="preserve"> ».</w:t>
      </w:r>
      <w:r w:rsidR="00992664" w:rsidRPr="00020424">
        <w:rPr>
          <w:rtl/>
        </w:rPr>
        <w:t xml:space="preserve"> وسيأتي زيادة بيان ذيل الحديث 6319.</w:t>
      </w:r>
    </w:p>
    <w:tbl>
      <w:tblPr>
        <w:tblStyle w:val="TableGrid"/>
        <w:bidiVisual/>
        <w:tblW w:w="0" w:type="auto"/>
        <w:tblLook w:val="04A0" w:firstRow="1" w:lastRow="0" w:firstColumn="1" w:lastColumn="0" w:noHBand="0" w:noVBand="1"/>
      </w:tblPr>
      <w:tblGrid>
        <w:gridCol w:w="4006"/>
        <w:gridCol w:w="4006"/>
      </w:tblGrid>
      <w:tr w:rsidR="00DA6BA0" w:rsidTr="00DA6BA0">
        <w:tc>
          <w:tcPr>
            <w:tcW w:w="4006" w:type="dxa"/>
          </w:tcPr>
          <w:p w:rsidR="00DA6BA0" w:rsidRDefault="00DA6BA0"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للصيام</w:t>
            </w:r>
            <w:r>
              <w:rPr>
                <w:rtl/>
              </w:rPr>
              <w:t xml:space="preserve"> ».</w:t>
            </w:r>
          </w:p>
        </w:tc>
        <w:tc>
          <w:tcPr>
            <w:tcW w:w="4006" w:type="dxa"/>
          </w:tcPr>
          <w:p w:rsidR="00DA6BA0" w:rsidRDefault="00DA6BA0" w:rsidP="00992664">
            <w:pPr>
              <w:pStyle w:val="libFootnote0"/>
              <w:rPr>
                <w:rtl/>
              </w:rPr>
            </w:pPr>
            <w:r>
              <w:rPr>
                <w:rtl/>
              </w:rPr>
              <w:t xml:space="preserve">(9). </w:t>
            </w:r>
            <w:r w:rsidRPr="00020424">
              <w:rPr>
                <w:rtl/>
              </w:rPr>
              <w:t>في « ظ ، بخ ، بس » : « الليل</w:t>
            </w:r>
            <w:r>
              <w:rPr>
                <w:rtl/>
              </w:rPr>
              <w:t xml:space="preserve"> ».</w:t>
            </w:r>
          </w:p>
        </w:tc>
      </w:tr>
      <w:tr w:rsidR="00DA6BA0" w:rsidTr="00DA6BA0">
        <w:tc>
          <w:tcPr>
            <w:tcW w:w="4006" w:type="dxa"/>
          </w:tcPr>
          <w:p w:rsidR="00DA6BA0" w:rsidRDefault="00DA6BA0" w:rsidP="00992664">
            <w:pPr>
              <w:pStyle w:val="libFootnote0"/>
              <w:rPr>
                <w:rtl/>
              </w:rPr>
            </w:pPr>
            <w:r>
              <w:rPr>
                <w:rtl/>
              </w:rPr>
              <w:t xml:space="preserve">(10). </w:t>
            </w:r>
            <w:r w:rsidRPr="00020424">
              <w:rPr>
                <w:rtl/>
              </w:rPr>
              <w:t>في « جن » : « يصومه</w:t>
            </w:r>
            <w:r>
              <w:rPr>
                <w:rtl/>
              </w:rPr>
              <w:t xml:space="preserve"> ».</w:t>
            </w:r>
          </w:p>
        </w:tc>
        <w:tc>
          <w:tcPr>
            <w:tcW w:w="4006" w:type="dxa"/>
          </w:tcPr>
          <w:p w:rsidR="00DA6BA0" w:rsidRDefault="00DA6BA0" w:rsidP="00992664">
            <w:pPr>
              <w:pStyle w:val="libFootnote0"/>
              <w:rPr>
                <w:rtl/>
              </w:rPr>
            </w:pPr>
            <w:r>
              <w:rPr>
                <w:rtl/>
              </w:rPr>
              <w:t xml:space="preserve">(11). </w:t>
            </w:r>
            <w:r w:rsidRPr="00020424">
              <w:rPr>
                <w:rtl/>
              </w:rPr>
              <w:t>في « بخ ، بر ، بف » :</w:t>
            </w:r>
            <w:r>
              <w:rPr>
                <w:rtl/>
              </w:rPr>
              <w:t xml:space="preserve"> - </w:t>
            </w:r>
            <w:r w:rsidRPr="00020424">
              <w:rPr>
                <w:rtl/>
              </w:rPr>
              <w:t>« شهر</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الاستبصار : « أجزأه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182 ، ح 508 ؛ </w:t>
      </w:r>
      <w:r w:rsidR="00992664" w:rsidRPr="00FD6221">
        <w:rPr>
          <w:rStyle w:val="libFootnoteBoldChar"/>
          <w:rtl/>
        </w:rPr>
        <w:t>والاستبصار</w:t>
      </w:r>
      <w:r w:rsidR="00992664" w:rsidRPr="00020424">
        <w:rPr>
          <w:rtl/>
        </w:rPr>
        <w:t xml:space="preserve"> ، ج 2 ، ص 79 ، ح 240 ، معلّقاً عن الكليني </w:t>
      </w:r>
      <w:r w:rsidR="00A93C39">
        <w:rPr>
          <w:rFonts w:hint="cs"/>
          <w:rtl/>
        </w:rPr>
        <w:t>.</w:t>
      </w:r>
      <w:r w:rsidR="00992664" w:rsidRPr="0012008A">
        <w:rPr>
          <w:rStyle w:val="libFootnoteBoldChar"/>
          <w:rtl/>
        </w:rPr>
        <w:t>الوافي</w:t>
      </w:r>
      <w:r w:rsidR="00992664" w:rsidRPr="00020424">
        <w:rPr>
          <w:rtl/>
        </w:rPr>
        <w:t xml:space="preserve"> ، ج 11 ، ص 109 ، ح 10506 ؛ </w:t>
      </w:r>
      <w:r w:rsidR="00992664" w:rsidRPr="0012008A">
        <w:rPr>
          <w:rStyle w:val="libFootnoteBoldChar"/>
          <w:rtl/>
        </w:rPr>
        <w:t>الوسائل</w:t>
      </w:r>
      <w:r w:rsidR="00992664" w:rsidRPr="00020424">
        <w:rPr>
          <w:rtl/>
        </w:rPr>
        <w:t xml:space="preserve"> ، ج 10 ، ص 21 ، ح 12733.</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ليس سهل بن زياد من مشايخ المصنّف. وليس في الأسناد السابقة ما يصلح أن يكو</w:t>
      </w:r>
      <w:r w:rsidR="00A93C39">
        <w:rPr>
          <w:rtl/>
        </w:rPr>
        <w:t>ن هذا السند معلّقاً عليه إل</w:t>
      </w:r>
      <w:r w:rsidR="00A93C39">
        <w:rPr>
          <w:rFonts w:hint="cs"/>
          <w:rtl/>
        </w:rPr>
        <w:t>ّ</w:t>
      </w:r>
      <w:r w:rsidR="00A93C39">
        <w:rPr>
          <w:rtl/>
        </w:rPr>
        <w:t>ا</w:t>
      </w:r>
      <w:r w:rsidR="00992664" w:rsidRPr="00020424">
        <w:rPr>
          <w:rtl/>
        </w:rPr>
        <w:t xml:space="preserve">سند الحديث الرابع من الباب السابق. وتقدّم في </w:t>
      </w:r>
      <w:r w:rsidR="00992664" w:rsidRPr="00DE76B9">
        <w:rPr>
          <w:rStyle w:val="libFootnoteBoldChar"/>
          <w:rtl/>
        </w:rPr>
        <w:t>الكافي</w:t>
      </w:r>
      <w:r w:rsidR="00992664" w:rsidRPr="00020424">
        <w:rPr>
          <w:rtl/>
        </w:rPr>
        <w:t xml:space="preserve"> ، ذيل ح 6052 ، أنّ هذا النحو من ذكر السند لوضوح طريق الكليني إلى سهل بن زياد ، فلاحظ.</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دَخَلْتُ عَلى أَبِي الْعَبَّاسِ </w:t>
      </w:r>
      <w:r w:rsidRPr="00A91B96">
        <w:rPr>
          <w:rStyle w:val="libFootnotenumChar"/>
          <w:rtl/>
        </w:rPr>
        <w:t>(1)</w:t>
      </w:r>
      <w:r w:rsidRPr="00020424">
        <w:rPr>
          <w:rtl/>
          <w:lang w:bidi="fa-IR"/>
        </w:rPr>
        <w:t xml:space="preserve"> بِالْحِيرَةِ </w:t>
      </w:r>
      <w:r w:rsidRPr="00A91B96">
        <w:rPr>
          <w:rStyle w:val="libFootnotenumChar"/>
          <w:rtl/>
        </w:rPr>
        <w:t>(2)</w:t>
      </w:r>
      <w:r w:rsidRPr="00020424">
        <w:rPr>
          <w:rtl/>
          <w:lang w:bidi="fa-IR"/>
        </w:rPr>
        <w:t xml:space="preserve"> ، فَقَالَ :</w:t>
      </w:r>
    </w:p>
    <w:p w:rsidR="00992664" w:rsidRPr="00020424" w:rsidRDefault="00992664" w:rsidP="00992664">
      <w:pPr>
        <w:pStyle w:val="libNormal"/>
        <w:rPr>
          <w:rtl/>
          <w:lang w:bidi="fa-IR"/>
        </w:rPr>
      </w:pPr>
      <w:r w:rsidRPr="00020424">
        <w:rPr>
          <w:rtl/>
          <w:lang w:bidi="fa-IR"/>
        </w:rPr>
        <w:t>يَا أَبَا عَبْدِ اللهِ ، مَا تَقُولُ فِي الصِّيَامِ الْيَوْمَ</w:t>
      </w:r>
      <w:r>
        <w:rPr>
          <w:rtl/>
          <w:lang w:bidi="fa-IR"/>
        </w:rPr>
        <w:t>؟</w:t>
      </w:r>
      <w:r w:rsidRPr="00020424">
        <w:rPr>
          <w:rtl/>
          <w:lang w:bidi="fa-IR"/>
        </w:rPr>
        <w:t xml:space="preserve"> فَقُلْتُ : ذَاكَ </w:t>
      </w:r>
      <w:r w:rsidRPr="00A91B96">
        <w:rPr>
          <w:rStyle w:val="libFootnotenumChar"/>
          <w:rtl/>
        </w:rPr>
        <w:t>(3)</w:t>
      </w:r>
      <w:r w:rsidRPr="00020424">
        <w:rPr>
          <w:rtl/>
          <w:lang w:bidi="fa-IR"/>
        </w:rPr>
        <w:t xml:space="preserve"> إِلَى الْإِمَامِ ، إِنْ صُمْتَ صُمْنَا ، وَإِنْ أَفْطَرْتَ أَفْطَرْنَا ، فَقَالَ : يَا غُلَامُ ، عَلَيَّ بِالْمَائِدَةِ </w:t>
      </w:r>
      <w:r w:rsidRPr="00A91B96">
        <w:rPr>
          <w:rStyle w:val="libFootnotenumChar"/>
          <w:rtl/>
        </w:rPr>
        <w:t>(4)</w:t>
      </w:r>
      <w:r w:rsidRPr="00020424">
        <w:rPr>
          <w:rtl/>
          <w:lang w:bidi="fa-IR"/>
        </w:rPr>
        <w:t xml:space="preserve"> ، فَأَكَلْتُ مَعَهُ ، وَأَنَا أَعْلَمُ</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 xml:space="preserve">أَنَّهُ يَوْمٌ </w:t>
      </w:r>
      <w:r w:rsidRPr="00A91B96">
        <w:rPr>
          <w:rStyle w:val="libFootnotenumChar"/>
          <w:rtl/>
        </w:rPr>
        <w:t>(5)</w:t>
      </w:r>
      <w:r w:rsidRPr="00020424">
        <w:rPr>
          <w:rtl/>
          <w:lang w:bidi="fa-IR"/>
        </w:rPr>
        <w:t xml:space="preserve"> مِنْ </w:t>
      </w:r>
      <w:r w:rsidRPr="00A91B96">
        <w:rPr>
          <w:rStyle w:val="libFootnotenumChar"/>
          <w:rtl/>
        </w:rPr>
        <w:t>(6)</w:t>
      </w:r>
      <w:r w:rsidRPr="00020424">
        <w:rPr>
          <w:rtl/>
          <w:lang w:bidi="fa-IR"/>
        </w:rPr>
        <w:t xml:space="preserve"> شَهْرِ رَمَضَانَ ؛ فَكَانَ </w:t>
      </w:r>
      <w:r w:rsidRPr="00A91B96">
        <w:rPr>
          <w:rStyle w:val="libFootnotenumChar"/>
          <w:rtl/>
        </w:rPr>
        <w:t>(7)</w:t>
      </w:r>
      <w:r w:rsidRPr="00020424">
        <w:rPr>
          <w:rtl/>
          <w:lang w:bidi="fa-IR"/>
        </w:rPr>
        <w:t xml:space="preserve"> إِفْطَارِي يَوْماً وَقَضَاؤُهُ أَيْسَرَ عَلَيَّ مِنْ أَنْ يُضْرَبَ عُنُقِي وَلَايُعْبَدَ </w:t>
      </w:r>
      <w:r w:rsidRPr="00A91B96">
        <w:rPr>
          <w:rStyle w:val="libFootnotenumChar"/>
          <w:rtl/>
        </w:rPr>
        <w:t>(8)</w:t>
      </w:r>
      <w:r w:rsidRPr="00020424">
        <w:rPr>
          <w:rtl/>
          <w:lang w:bidi="fa-IR"/>
        </w:rPr>
        <w:t xml:space="preserve"> اللهُ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A977E9">
        <w:rPr>
          <w:rtl/>
        </w:rPr>
        <w:t>6317</w:t>
      </w:r>
      <w:r w:rsidRPr="001155DE">
        <w:rPr>
          <w:rStyle w:val="libBold2Char"/>
          <w:rtl/>
        </w:rPr>
        <w:t xml:space="preserve"> / 8.</w:t>
      </w:r>
      <w:r w:rsidRPr="00020424">
        <w:rPr>
          <w:rtl/>
          <w:lang w:bidi="fa-IR"/>
        </w:rPr>
        <w:t xml:space="preserve"> مُحَمَّدُ بْنُ يَحْيى ، عَنْ مُحَمَّدِ بْنِ الْحُسَيْنِ </w:t>
      </w:r>
      <w:r w:rsidRPr="00A91B96">
        <w:rPr>
          <w:rStyle w:val="libFootnotenumChar"/>
          <w:rtl/>
        </w:rPr>
        <w:t>(11)</w:t>
      </w:r>
      <w:r w:rsidRPr="00020424">
        <w:rPr>
          <w:rtl/>
          <w:lang w:bidi="fa-IR"/>
        </w:rPr>
        <w:t xml:space="preserve"> ، عَنْ عُبَيْسِ </w:t>
      </w:r>
      <w:r w:rsidRPr="00A91B96">
        <w:rPr>
          <w:rStyle w:val="libFootnotenumChar"/>
          <w:rtl/>
        </w:rPr>
        <w:t>(12)</w:t>
      </w:r>
      <w:r w:rsidRPr="00020424">
        <w:rPr>
          <w:rtl/>
          <w:lang w:bidi="fa-IR"/>
        </w:rPr>
        <w:t xml:space="preserve"> بْنِ هِشَامٍ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أبو العبّاس » : هو عبد الله محمّد السفّاح ، أوّل خليفة من خلفاء بني العبّاس ، وكانت مدّة خلافته أربع سنين وستّة أشهر ، ثمّ قام من بعده أخوه أبو جعفر المنصور ، وكانت خلافته إحدى وعشرين سنة وأحد عشر شهراً وأربعة عشر يوماً. وقيل غير ذلك. راجع : </w:t>
      </w:r>
      <w:r w:rsidR="00992664" w:rsidRPr="00DE76B9">
        <w:rPr>
          <w:rStyle w:val="libFootnoteBoldChar"/>
          <w:rtl/>
        </w:rPr>
        <w:t>مجمع البحرين</w:t>
      </w:r>
      <w:r w:rsidR="00992664" w:rsidRPr="00020424">
        <w:rPr>
          <w:rtl/>
        </w:rPr>
        <w:t xml:space="preserve"> ، ج 2 ، ص 373 ( سفح ) ؛ </w:t>
      </w:r>
      <w:r w:rsidR="00992664" w:rsidRPr="00DE76B9">
        <w:rPr>
          <w:rStyle w:val="libFootnoteBoldChar"/>
          <w:rtl/>
        </w:rPr>
        <w:t>مرآة العقول</w:t>
      </w:r>
      <w:r w:rsidR="00992664" w:rsidRPr="00020424">
        <w:rPr>
          <w:rtl/>
        </w:rPr>
        <w:t xml:space="preserve"> ، ج 16 ، ص 240.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قال ابن الأثير : « الحيرة ، هي بكسر الحاء : البلد القديم بظهر الكوفة ، ومحلّة بنيسابور</w:t>
      </w:r>
      <w:r w:rsidR="00992664">
        <w:rPr>
          <w:rtl/>
        </w:rPr>
        <w:t xml:space="preserve"> ».</w:t>
      </w:r>
      <w:r w:rsidR="00992664" w:rsidRPr="00020424">
        <w:rPr>
          <w:rtl/>
        </w:rPr>
        <w:t xml:space="preserve"> وقال المطرزي : « الحيرة بالكسر : مدينة كان يسكنها النعمان بن المنذر ، وهي على رأس ميل من الكوفة</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1 ، ص 467 ؛ </w:t>
      </w:r>
      <w:r w:rsidR="00992664" w:rsidRPr="00DE76B9">
        <w:rPr>
          <w:rStyle w:val="libFootnoteBoldChar"/>
          <w:rtl/>
        </w:rPr>
        <w:t>المغرب</w:t>
      </w:r>
      <w:r w:rsidR="00992664" w:rsidRPr="00020424">
        <w:rPr>
          <w:rtl/>
        </w:rPr>
        <w:t xml:space="preserve"> ، ص 134 ( حير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بح » </w:t>
      </w:r>
      <w:r w:rsidR="00992664" w:rsidRPr="00515444">
        <w:rPr>
          <w:rStyle w:val="libFootnoteBoldChar"/>
          <w:rtl/>
        </w:rPr>
        <w:t>والوافي</w:t>
      </w:r>
      <w:r w:rsidR="00992664" w:rsidRPr="00020424">
        <w:rPr>
          <w:rtl/>
        </w:rPr>
        <w:t xml:space="preserve"> : « ذلك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 « المائدة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يوم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93C39" w:rsidTr="00A93C39">
        <w:tc>
          <w:tcPr>
            <w:tcW w:w="4006" w:type="dxa"/>
          </w:tcPr>
          <w:p w:rsidR="00A93C39" w:rsidRDefault="00A93C39" w:rsidP="00992664">
            <w:pPr>
              <w:pStyle w:val="libFootnote0"/>
              <w:rPr>
                <w:rtl/>
              </w:rPr>
            </w:pPr>
            <w:r>
              <w:rPr>
                <w:rtl/>
              </w:rPr>
              <w:t xml:space="preserve">(6). </w:t>
            </w:r>
            <w:r w:rsidRPr="00020424">
              <w:rPr>
                <w:rtl/>
              </w:rPr>
              <w:t xml:space="preserve">في </w:t>
            </w:r>
            <w:r w:rsidRPr="0012008A">
              <w:rPr>
                <w:rStyle w:val="libFootnoteBoldChar"/>
                <w:rtl/>
              </w:rPr>
              <w:t>البحار</w:t>
            </w:r>
            <w:r w:rsidRPr="00020424">
              <w:rPr>
                <w:rtl/>
              </w:rPr>
              <w:t xml:space="preserve"> : « من يوم » بدل « يوم من</w:t>
            </w:r>
            <w:r>
              <w:rPr>
                <w:rtl/>
              </w:rPr>
              <w:t xml:space="preserve"> ».</w:t>
            </w:r>
          </w:p>
        </w:tc>
        <w:tc>
          <w:tcPr>
            <w:tcW w:w="4006" w:type="dxa"/>
          </w:tcPr>
          <w:p w:rsidR="00A93C39" w:rsidRDefault="00A93C39"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 « وكان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بس » : « أعبد</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نعبد</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الله</w:t>
      </w:r>
      <w:r w:rsidR="00992664">
        <w:rPr>
          <w:rtl/>
        </w:rPr>
        <w:t xml:space="preserve"> ».</w:t>
      </w:r>
      <w:r w:rsidR="00992664" w:rsidRPr="00020424">
        <w:rPr>
          <w:rtl/>
        </w:rPr>
        <w:t xml:space="preserve"> وفي مرآة العقول : « قوله </w:t>
      </w:r>
      <w:r w:rsidR="00992664" w:rsidRPr="00D64ADA">
        <w:rPr>
          <w:rStyle w:val="libFootnoteAlaemChar"/>
          <w:rtl/>
        </w:rPr>
        <w:t>عليه‌السلام</w:t>
      </w:r>
      <w:r w:rsidR="00992664" w:rsidRPr="00020424">
        <w:rPr>
          <w:rtl/>
        </w:rPr>
        <w:t xml:space="preserve"> : ولا يعبد الله ، أي يكون قتلي سبباً لأن يترك الناس عبادة الله ؛ فإنّ العبادة إنّما تكون بالإمام وولايته ومتابعته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11 ، ص 157 ، ح 10598 ؛ </w:t>
      </w:r>
      <w:r w:rsidR="00992664" w:rsidRPr="0012008A">
        <w:rPr>
          <w:rStyle w:val="libFootnoteBoldChar"/>
          <w:rtl/>
        </w:rPr>
        <w:t>الوسائل</w:t>
      </w:r>
      <w:r w:rsidR="00992664" w:rsidRPr="00020424">
        <w:rPr>
          <w:rtl/>
        </w:rPr>
        <w:t xml:space="preserve"> ، ج 10 ، ص 132 ، ح 13035 ؛ </w:t>
      </w:r>
      <w:r w:rsidR="00992664" w:rsidRPr="0012008A">
        <w:rPr>
          <w:rStyle w:val="libFootnoteBoldChar"/>
          <w:rtl/>
        </w:rPr>
        <w:t>البحار</w:t>
      </w:r>
      <w:r w:rsidR="00992664" w:rsidRPr="00020424">
        <w:rPr>
          <w:rtl/>
        </w:rPr>
        <w:t xml:space="preserve"> ، ج 47 ، ص 210 ، ح 54.</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محمّد بن الحسين</w:t>
      </w:r>
      <w:r w:rsidR="00992664">
        <w:rPr>
          <w:rtl/>
        </w:rPr>
        <w:t xml:space="preserve"> ».</w:t>
      </w:r>
      <w:r w:rsidR="00992664" w:rsidRPr="00020424">
        <w:rPr>
          <w:rtl/>
        </w:rPr>
        <w:t xml:space="preserve"> والظاهر</w:t>
      </w:r>
      <w:r w:rsidR="00992664">
        <w:rPr>
          <w:rtl/>
        </w:rPr>
        <w:t xml:space="preserve"> </w:t>
      </w:r>
      <w:r w:rsidR="009B673F">
        <w:rPr>
          <w:rtl/>
        </w:rPr>
        <w:t>-</w:t>
      </w:r>
      <w:r w:rsidR="00992664">
        <w:rPr>
          <w:rtl/>
        </w:rPr>
        <w:t xml:space="preserve"> </w:t>
      </w:r>
      <w:r w:rsidR="00992664" w:rsidRPr="00020424">
        <w:rPr>
          <w:rtl/>
        </w:rPr>
        <w:t xml:space="preserve">بملاحظة ما ورد في </w:t>
      </w:r>
      <w:r w:rsidR="00992664" w:rsidRPr="0012008A">
        <w:rPr>
          <w:rStyle w:val="libFootnoteBoldChar"/>
          <w:rtl/>
        </w:rPr>
        <w:t>التهذيب</w:t>
      </w:r>
      <w:r w:rsidR="00992664" w:rsidRPr="00020424">
        <w:rPr>
          <w:rtl/>
        </w:rPr>
        <w:t xml:space="preserve"> ، ج 3 ، ص 318 ، ح 987 ، وما ورد في </w:t>
      </w:r>
      <w:r w:rsidR="00992664" w:rsidRPr="00DE76B9">
        <w:rPr>
          <w:rStyle w:val="libFootnoteBoldChar"/>
          <w:rtl/>
        </w:rPr>
        <w:t>الكافي</w:t>
      </w:r>
      <w:r w:rsidR="00992664" w:rsidRPr="00020424">
        <w:rPr>
          <w:rtl/>
        </w:rPr>
        <w:t xml:space="preserve"> ، ح 518 و1191 ، من رواية محمّد بن يحيى ، عن الحسن بن عليّ الكوفي ، عن عبيس بن هشام ، وما ورد في </w:t>
      </w:r>
      <w:r w:rsidR="00992664" w:rsidRPr="00D530ED">
        <w:rPr>
          <w:rStyle w:val="libFootnoteBoldChar"/>
          <w:rtl/>
        </w:rPr>
        <w:t>الفهرست للطوسي</w:t>
      </w:r>
      <w:r w:rsidR="00992664" w:rsidRPr="00020424">
        <w:rPr>
          <w:rtl/>
        </w:rPr>
        <w:t xml:space="preserve"> ، ص 364 ، الرقم 547 ، و</w:t>
      </w:r>
      <w:r w:rsidR="00992664" w:rsidRPr="00DE76B9">
        <w:rPr>
          <w:rStyle w:val="libFootnoteBoldChar"/>
          <w:rtl/>
        </w:rPr>
        <w:t>رجال الطوسي</w:t>
      </w:r>
      <w:r w:rsidR="00992664" w:rsidRPr="00020424">
        <w:rPr>
          <w:rtl/>
        </w:rPr>
        <w:t xml:space="preserve"> ، ص 435 ، الرقم 6225 ، من كون محمّد بن الحسين والحسن بن عليّ الكوفي روايين لكتاب عبيس بن هشام</w:t>
      </w:r>
      <w:r w:rsidR="00992664">
        <w:rPr>
          <w:rtl/>
        </w:rPr>
        <w:t xml:space="preserve"> </w:t>
      </w:r>
      <w:r w:rsidR="009B673F">
        <w:rPr>
          <w:rtl/>
        </w:rPr>
        <w:t>-</w:t>
      </w:r>
      <w:r w:rsidR="00992664">
        <w:rPr>
          <w:rtl/>
        </w:rPr>
        <w:t xml:space="preserve"> </w:t>
      </w:r>
      <w:r w:rsidR="00992664" w:rsidRPr="00020424">
        <w:rPr>
          <w:rtl/>
        </w:rPr>
        <w:t>ثبوت « عن محمّد بن الحسين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 « العبيس</w:t>
      </w:r>
      <w:r w:rsidR="00992664">
        <w:rPr>
          <w:rtl/>
        </w:rPr>
        <w:t xml:space="preserve"> ».</w:t>
      </w:r>
      <w:r w:rsidR="00992664" w:rsidRPr="00020424">
        <w:rPr>
          <w:rtl/>
        </w:rPr>
        <w:t xml:space="preserve"> وفي الاستبصار : « عيسى</w:t>
      </w:r>
      <w:r w:rsidR="00992664">
        <w:rPr>
          <w:rtl/>
        </w:rPr>
        <w:t xml:space="preserve"> ».</w:t>
      </w:r>
      <w:r w:rsidR="00992664" w:rsidRPr="00020424">
        <w:rPr>
          <w:rtl/>
        </w:rPr>
        <w:t xml:space="preserve"> والمذكور في بعض نسخه : « عبيس</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الْخَضِرِ بْنِ عَبْدِ الْمَلِكِ </w:t>
      </w:r>
      <w:r w:rsidRPr="00A91B96">
        <w:rPr>
          <w:rStyle w:val="libFootnotenumChar"/>
          <w:rtl/>
        </w:rPr>
        <w:t>(1)</w:t>
      </w:r>
      <w:r w:rsidRPr="00020424">
        <w:rPr>
          <w:rtl/>
          <w:lang w:bidi="fa-IR"/>
        </w:rPr>
        <w:t xml:space="preserve"> ، عَنْ مُحَمَّدِ بْنِ حَكِيمٍ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الْيَوْمِ الَّذِي يُشَكُّ فِيهِ ؛ فَإِنَّ النَّاسَ يَزْعُمُونَ أَنَّ </w:t>
      </w:r>
      <w:r w:rsidRPr="00A91B96">
        <w:rPr>
          <w:rStyle w:val="libFootnotenumChar"/>
          <w:rtl/>
        </w:rPr>
        <w:t>(2)</w:t>
      </w:r>
      <w:r w:rsidRPr="00020424">
        <w:rPr>
          <w:rtl/>
          <w:lang w:bidi="fa-IR"/>
        </w:rPr>
        <w:t xml:space="preserve"> مَنْ صَامَهُ </w:t>
      </w:r>
      <w:r w:rsidRPr="00A91B96">
        <w:rPr>
          <w:rStyle w:val="libFootnotenumChar"/>
          <w:rtl/>
        </w:rPr>
        <w:t>(3)</w:t>
      </w:r>
      <w:r w:rsidRPr="00020424">
        <w:rPr>
          <w:rtl/>
          <w:lang w:bidi="fa-IR"/>
        </w:rPr>
        <w:t xml:space="preserve"> بِمَنْزِلَةِ مَنْ أَفْطَرَ يَوْماً </w:t>
      </w:r>
      <w:r w:rsidRPr="00A91B96">
        <w:rPr>
          <w:rStyle w:val="libFootnotenumChar"/>
          <w:rtl/>
        </w:rPr>
        <w:t>(4)</w:t>
      </w:r>
      <w:r w:rsidRPr="00020424">
        <w:rPr>
          <w:rtl/>
          <w:lang w:bidi="fa-IR"/>
        </w:rPr>
        <w:t xml:space="preserve"> فِي </w:t>
      </w:r>
      <w:r w:rsidRPr="00A91B96">
        <w:rPr>
          <w:rStyle w:val="libFootnotenumChar"/>
          <w:rtl/>
        </w:rPr>
        <w:t>(5)</w:t>
      </w:r>
      <w:r w:rsidRPr="00020424">
        <w:rPr>
          <w:rtl/>
          <w:lang w:bidi="fa-IR"/>
        </w:rPr>
        <w:t xml:space="preserve"> شَهْرِ رَمَضَانَ</w:t>
      </w:r>
      <w:r>
        <w:rPr>
          <w:rtl/>
          <w:lang w:bidi="fa-IR"/>
        </w:rPr>
        <w:t>؟</w:t>
      </w:r>
    </w:p>
    <w:p w:rsidR="00992664" w:rsidRPr="00020424" w:rsidRDefault="00992664" w:rsidP="00992664">
      <w:pPr>
        <w:pStyle w:val="libNormal"/>
        <w:rPr>
          <w:rtl/>
          <w:lang w:bidi="fa-IR"/>
        </w:rPr>
      </w:pPr>
      <w:r w:rsidRPr="00020424">
        <w:rPr>
          <w:rtl/>
          <w:lang w:bidi="fa-IR"/>
        </w:rPr>
        <w:t xml:space="preserve">فَقَالَ : « كَذَبُوا ، إِنْ كَانَ </w:t>
      </w:r>
      <w:r w:rsidRPr="00A91B96">
        <w:rPr>
          <w:rStyle w:val="libFootnotenumChar"/>
          <w:rtl/>
        </w:rPr>
        <w:t>(6)</w:t>
      </w:r>
      <w:r w:rsidRPr="00020424">
        <w:rPr>
          <w:rtl/>
          <w:lang w:bidi="fa-IR"/>
        </w:rPr>
        <w:t xml:space="preserve"> مِنْ شَهْرِ رَمَضَانَ ، فَهُوَ يَوْمٌ وُفِّقَ </w:t>
      </w:r>
      <w:r w:rsidRPr="00A91B96">
        <w:rPr>
          <w:rStyle w:val="libFootnotenumChar"/>
          <w:rtl/>
        </w:rPr>
        <w:t>(7)</w:t>
      </w:r>
      <w:r w:rsidRPr="00020424">
        <w:rPr>
          <w:rtl/>
          <w:lang w:bidi="fa-IR"/>
        </w:rPr>
        <w:t xml:space="preserve"> لَهُ ، وَإِنْ كَانَ مِنْ غَيْرِهِ ، فَهُوَ بِمَنْزِلَةِ مَا مَضى مِنَ الْأَيَّامِ</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977E9">
        <w:rPr>
          <w:rtl/>
        </w:rPr>
        <w:t>6318</w:t>
      </w:r>
      <w:r w:rsidRPr="001155DE">
        <w:rPr>
          <w:rStyle w:val="libBold2Char"/>
          <w:rtl/>
        </w:rPr>
        <w:t xml:space="preserve"> / 9.</w:t>
      </w:r>
      <w:r w:rsidRPr="00020424">
        <w:rPr>
          <w:rtl/>
          <w:lang w:bidi="fa-IR"/>
        </w:rPr>
        <w:t xml:space="preserve"> مُحَمَّدُ بْنُ يَحْيى ، عَنْ مُحَمَّدِ بْنِ أَحْمَدَ ، عَنْ أَيُّوبَ بْنِ نُوحٍ ، عَنِ الْعَبَّاسِ بْن عَامِرٍ ، عَنْ دَاوُدَ بْنِ الْحُصَيْنِ ، عَنْ رَجُلٍ مِنْ أَصْحَابِهِ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w:t>
      </w:r>
      <w:r w:rsidRPr="00A91B96">
        <w:rPr>
          <w:rStyle w:val="libFootnotenumChar"/>
          <w:rtl/>
        </w:rPr>
        <w:t>(10)</w:t>
      </w:r>
      <w:r w:rsidRPr="00020424">
        <w:rPr>
          <w:rtl/>
          <w:lang w:bidi="fa-IR"/>
        </w:rPr>
        <w:t xml:space="preserve"> قَالَ</w:t>
      </w:r>
      <w:r>
        <w:rPr>
          <w:rtl/>
          <w:lang w:bidi="fa-IR"/>
        </w:rPr>
        <w:t xml:space="preserve"> </w:t>
      </w:r>
      <w:r w:rsidR="009B673F">
        <w:rPr>
          <w:rtl/>
          <w:lang w:bidi="fa-IR"/>
        </w:rPr>
        <w:t>-</w:t>
      </w:r>
      <w:r>
        <w:rPr>
          <w:rtl/>
          <w:lang w:bidi="fa-IR"/>
        </w:rPr>
        <w:t xml:space="preserve"> </w:t>
      </w:r>
      <w:r w:rsidRPr="00020424">
        <w:rPr>
          <w:rtl/>
          <w:lang w:bidi="fa-IR"/>
        </w:rPr>
        <w:t xml:space="preserve">وَهُوَ بِالْحِيرَةِ </w:t>
      </w:r>
      <w:r w:rsidRPr="00A91B96">
        <w:rPr>
          <w:rStyle w:val="libFootnotenumChar"/>
          <w:rtl/>
        </w:rPr>
        <w:t>(11)</w:t>
      </w:r>
      <w:r w:rsidRPr="00020424">
        <w:rPr>
          <w:rtl/>
          <w:lang w:bidi="fa-IR"/>
        </w:rPr>
        <w:t xml:space="preserve"> فِي زَمَانِ </w:t>
      </w:r>
      <w:r w:rsidRPr="00A91B96">
        <w:rPr>
          <w:rStyle w:val="libFootnotenumChar"/>
          <w:rtl/>
        </w:rPr>
        <w:t>(12)</w:t>
      </w:r>
      <w:r w:rsidRPr="00020424">
        <w:rPr>
          <w:rtl/>
          <w:lang w:bidi="fa-IR"/>
        </w:rPr>
        <w:t xml:space="preserve"> أَبِي الْعَبَّاسِ</w:t>
      </w:r>
      <w:r>
        <w:rPr>
          <w:rtl/>
          <w:lang w:bidi="fa-IR"/>
        </w:rPr>
        <w:t xml:space="preserve"> </w:t>
      </w:r>
      <w:r w:rsidR="009B673F">
        <w:rPr>
          <w:rtl/>
          <w:lang w:bidi="fa-IR"/>
        </w:rPr>
        <w:t>-</w:t>
      </w:r>
      <w:r>
        <w:rPr>
          <w:rtl/>
          <w:lang w:bidi="fa-IR"/>
        </w:rPr>
        <w:t xml:space="preserve"> </w:t>
      </w:r>
      <w:r w:rsidRPr="00020424">
        <w:rPr>
          <w:rtl/>
          <w:lang w:bidi="fa-IR"/>
        </w:rPr>
        <w:t xml:space="preserve">: « إِنِّي </w:t>
      </w:r>
      <w:r w:rsidRPr="00A91B96">
        <w:rPr>
          <w:rStyle w:val="libFootnotenumChar"/>
          <w:rtl/>
        </w:rPr>
        <w:t>(13)</w:t>
      </w:r>
      <w:r w:rsidRPr="00020424">
        <w:rPr>
          <w:rtl/>
          <w:lang w:bidi="fa-IR"/>
        </w:rPr>
        <w:t xml:space="preserve"> دَخَلْتُ عَلَيْهِ ، وَقَدْ شَكَّ النَّاسُ فِي الصَّوْمِ وَهُوَ</w:t>
      </w:r>
      <w:r>
        <w:rPr>
          <w:rtl/>
          <w:lang w:bidi="fa-IR"/>
        </w:rPr>
        <w:t xml:space="preserve"> </w:t>
      </w:r>
      <w:r w:rsidR="009B673F">
        <w:rPr>
          <w:rtl/>
          <w:lang w:bidi="fa-IR"/>
        </w:rPr>
        <w:t>-</w:t>
      </w:r>
      <w:r>
        <w:rPr>
          <w:rtl/>
          <w:lang w:bidi="fa-IR"/>
        </w:rPr>
        <w:t xml:space="preserve"> </w:t>
      </w:r>
      <w:r w:rsidRPr="00020424">
        <w:rPr>
          <w:rtl/>
          <w:lang w:bidi="fa-IR"/>
        </w:rPr>
        <w:t>وَاللهِ</w:t>
      </w:r>
      <w:r>
        <w:rPr>
          <w:rtl/>
          <w:lang w:bidi="fa-IR"/>
        </w:rPr>
        <w:t xml:space="preserve"> </w:t>
      </w:r>
      <w:r w:rsidR="009B673F">
        <w:rPr>
          <w:rtl/>
          <w:lang w:bidi="fa-IR"/>
        </w:rPr>
        <w:t>-</w:t>
      </w:r>
      <w:r>
        <w:rPr>
          <w:rtl/>
          <w:lang w:bidi="fa-IR"/>
        </w:rPr>
        <w:t xml:space="preserve"> </w:t>
      </w:r>
      <w:r w:rsidRPr="00020424">
        <w:rPr>
          <w:rtl/>
          <w:lang w:bidi="fa-IR"/>
        </w:rPr>
        <w:t xml:space="preserve">مِنْ شَهْرِ </w:t>
      </w:r>
      <w:r w:rsidRPr="00A91B96">
        <w:rPr>
          <w:rStyle w:val="libFootnotenumChar"/>
          <w:rtl/>
        </w:rPr>
        <w:t>(14)</w:t>
      </w:r>
      <w:r w:rsidRPr="00020424">
        <w:rPr>
          <w:rtl/>
          <w:lang w:bidi="fa-IR"/>
        </w:rPr>
        <w:t xml:space="preserve"> رَمَضَانَ ، فَسَلَّمْتُ عَلَيْهِ </w:t>
      </w:r>
      <w:r w:rsidRPr="00A91B96">
        <w:rPr>
          <w:rStyle w:val="libFootnotenumChar"/>
          <w:rtl/>
        </w:rPr>
        <w:t>(15)</w:t>
      </w:r>
      <w:r w:rsidRPr="00020424">
        <w:rPr>
          <w:rtl/>
          <w:lang w:bidi="fa-IR"/>
        </w:rPr>
        <w:t xml:space="preserve"> ، فَقَال</w:t>
      </w:r>
      <w:r>
        <w:rPr>
          <w:rtl/>
          <w:lang w:bidi="fa-IR"/>
        </w:rPr>
        <w:t>َ : يَا أَبَا عَبْدِ اللهِ ، أَ</w:t>
      </w:r>
      <w:r w:rsidRPr="00020424">
        <w:rPr>
          <w:rtl/>
          <w:lang w:bidi="fa-IR"/>
        </w:rPr>
        <w:t>صُمْتَ الْيَوْمَ</w:t>
      </w:r>
      <w:r>
        <w:rPr>
          <w:rtl/>
          <w:lang w:bidi="fa-IR"/>
        </w:rPr>
        <w:t>؟</w:t>
      </w:r>
      <w:r w:rsidRPr="00020424">
        <w:rPr>
          <w:rtl/>
          <w:lang w:bidi="fa-IR"/>
        </w:rPr>
        <w:t xml:space="preserve"> فَقُلْتُ : لَا ، وَالْمَائِدَةُ بَيْنَ يَدَيْهِ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الحسن بن عبد الله » بدل « الخضر بن عبد الملك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 « صام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يوماً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بث ، بخ ، بر ، بس ، بف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sidRPr="00DE3E80">
        <w:rPr>
          <w:rStyle w:val="libFootnoteBoldChar"/>
          <w:rtl/>
        </w:rPr>
        <w:t>والمقنعة</w:t>
      </w:r>
      <w:r w:rsidR="00992664" w:rsidRPr="00020424">
        <w:rPr>
          <w:rtl/>
        </w:rPr>
        <w:t xml:space="preserve"> : « من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يوماً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DE3E80">
        <w:rPr>
          <w:rStyle w:val="libFootnoteBoldChar"/>
          <w:rtl/>
        </w:rPr>
        <w:t>والمقنعة</w:t>
      </w:r>
      <w:r w:rsidR="00992664" w:rsidRPr="00020424">
        <w:rPr>
          <w:rtl/>
        </w:rPr>
        <w:t xml:space="preserve"> : « وفّقوا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181 ، ح 502 ؛ </w:t>
      </w:r>
      <w:r w:rsidR="00992664" w:rsidRPr="00FD6221">
        <w:rPr>
          <w:rStyle w:val="libFootnoteBoldChar"/>
          <w:rtl/>
        </w:rPr>
        <w:t>والاستبصار</w:t>
      </w:r>
      <w:r w:rsidR="00992664" w:rsidRPr="00020424">
        <w:rPr>
          <w:rtl/>
        </w:rPr>
        <w:t xml:space="preserve"> ، ج 2 ، ص 77 ، ح 234 ، معلّقاً عن الكليني. </w:t>
      </w:r>
      <w:r w:rsidR="00992664" w:rsidRPr="0012008A">
        <w:rPr>
          <w:rStyle w:val="libFootnoteBoldChar"/>
          <w:rtl/>
        </w:rPr>
        <w:t>المقنعة</w:t>
      </w:r>
      <w:r w:rsidR="00992664" w:rsidRPr="00020424">
        <w:rPr>
          <w:rtl/>
        </w:rPr>
        <w:t xml:space="preserve"> ، ص 299 ، مرسلاً عن محمّد بن حكيم </w:t>
      </w:r>
      <w:r w:rsidR="00A93C39">
        <w:rPr>
          <w:rFonts w:hint="cs"/>
          <w:rtl/>
        </w:rPr>
        <w:t>.</w:t>
      </w:r>
      <w:r w:rsidR="00992664" w:rsidRPr="0012008A">
        <w:rPr>
          <w:rStyle w:val="libFootnoteBoldChar"/>
          <w:rtl/>
        </w:rPr>
        <w:t>الوافي</w:t>
      </w:r>
      <w:r w:rsidR="00992664" w:rsidRPr="00020424">
        <w:rPr>
          <w:rtl/>
        </w:rPr>
        <w:t xml:space="preserve"> ، ج 11 ، ص 110 ، ح 10507 ؛ </w:t>
      </w:r>
      <w:r w:rsidR="00992664" w:rsidRPr="0012008A">
        <w:rPr>
          <w:rStyle w:val="libFootnoteBoldChar"/>
          <w:rtl/>
        </w:rPr>
        <w:t>الوسائل</w:t>
      </w:r>
      <w:r w:rsidR="00992664" w:rsidRPr="00020424">
        <w:rPr>
          <w:rtl/>
        </w:rPr>
        <w:t xml:space="preserve"> ، ج 10 ، ص 22 ، ح 12736.</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 ظ ، بث ، بح ، بخ ، بر ، بس ، بف ، جر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وفي « ى ، جن » والمطبوع : « أصحابنا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93C39" w:rsidTr="00A93C39">
        <w:tc>
          <w:tcPr>
            <w:tcW w:w="4006" w:type="dxa"/>
          </w:tcPr>
          <w:p w:rsidR="00A93C39" w:rsidRDefault="00A93C39" w:rsidP="00992664">
            <w:pPr>
              <w:pStyle w:val="libFootnote0"/>
              <w:rPr>
                <w:rtl/>
              </w:rPr>
            </w:pPr>
            <w:r>
              <w:rPr>
                <w:rtl/>
              </w:rPr>
              <w:t xml:space="preserve">(11). </w:t>
            </w:r>
            <w:r w:rsidRPr="00020424">
              <w:rPr>
                <w:rtl/>
              </w:rPr>
              <w:t>في حاشية « بث » : « في الحيرة</w:t>
            </w:r>
            <w:r>
              <w:rPr>
                <w:rtl/>
              </w:rPr>
              <w:t xml:space="preserve"> ».</w:t>
            </w:r>
          </w:p>
        </w:tc>
        <w:tc>
          <w:tcPr>
            <w:tcW w:w="4006" w:type="dxa"/>
          </w:tcPr>
          <w:p w:rsidR="00A93C39" w:rsidRDefault="00A93C39" w:rsidP="00992664">
            <w:pPr>
              <w:pStyle w:val="libFootnote0"/>
              <w:rPr>
                <w:rtl/>
              </w:rPr>
            </w:pPr>
            <w:r>
              <w:rPr>
                <w:rtl/>
              </w:rPr>
              <w:t xml:space="preserve">(12). </w:t>
            </w:r>
            <w:r w:rsidRPr="00020424">
              <w:rPr>
                <w:rtl/>
              </w:rPr>
              <w:t>في « بس » : « دار</w:t>
            </w:r>
            <w:r>
              <w:rPr>
                <w:rtl/>
              </w:rPr>
              <w:t xml:space="preserve"> ».</w:t>
            </w:r>
          </w:p>
        </w:tc>
      </w:tr>
      <w:tr w:rsidR="00A93C39" w:rsidTr="00A93C39">
        <w:tc>
          <w:tcPr>
            <w:tcW w:w="4006" w:type="dxa"/>
          </w:tcPr>
          <w:p w:rsidR="00A93C39" w:rsidRDefault="00A93C39" w:rsidP="00992664">
            <w:pPr>
              <w:pStyle w:val="libFootnote0"/>
              <w:rPr>
                <w:rtl/>
              </w:rPr>
            </w:pPr>
            <w:r>
              <w:rPr>
                <w:rtl/>
              </w:rPr>
              <w:t xml:space="preserve">(13). </w:t>
            </w:r>
            <w:r w:rsidRPr="00020424">
              <w:rPr>
                <w:rtl/>
              </w:rPr>
              <w:t>في « ى » :</w:t>
            </w:r>
            <w:r>
              <w:rPr>
                <w:rtl/>
              </w:rPr>
              <w:t xml:space="preserve"> - </w:t>
            </w:r>
            <w:r w:rsidRPr="00020424">
              <w:rPr>
                <w:rtl/>
              </w:rPr>
              <w:t>« إنّي</w:t>
            </w:r>
            <w:r>
              <w:rPr>
                <w:rtl/>
              </w:rPr>
              <w:t xml:space="preserve"> ».</w:t>
            </w:r>
          </w:p>
        </w:tc>
        <w:tc>
          <w:tcPr>
            <w:tcW w:w="4006" w:type="dxa"/>
          </w:tcPr>
          <w:p w:rsidR="00A93C39" w:rsidRDefault="00A93C39" w:rsidP="00992664">
            <w:pPr>
              <w:pStyle w:val="libFootnote0"/>
              <w:rPr>
                <w:rtl/>
              </w:rPr>
            </w:pPr>
            <w:r>
              <w:rPr>
                <w:rtl/>
              </w:rPr>
              <w:t xml:space="preserve">(14). </w:t>
            </w:r>
            <w:r w:rsidRPr="00020424">
              <w:rPr>
                <w:rtl/>
              </w:rPr>
              <w:t>في « بخ ، بف » :</w:t>
            </w:r>
            <w:r>
              <w:rPr>
                <w:rtl/>
              </w:rPr>
              <w:t xml:space="preserve"> - </w:t>
            </w:r>
            <w:r w:rsidRPr="00020424">
              <w:rPr>
                <w:rtl/>
              </w:rPr>
              <w:t>« شهر</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فَادْنُ ، فَكُلْ » قَالَ </w:t>
      </w:r>
      <w:r w:rsidRPr="00A91B96">
        <w:rPr>
          <w:rStyle w:val="libFootnotenumChar"/>
          <w:rtl/>
        </w:rPr>
        <w:t>(1)</w:t>
      </w:r>
      <w:r w:rsidRPr="00020424">
        <w:rPr>
          <w:rtl/>
          <w:lang w:bidi="fa-IR"/>
        </w:rPr>
        <w:t xml:space="preserve"> : « فَدَنَوْتُ ، فَأَكَلْتُ </w:t>
      </w:r>
      <w:r w:rsidRPr="00A91B96">
        <w:rPr>
          <w:rStyle w:val="libFootnotenumChar"/>
          <w:rtl/>
        </w:rPr>
        <w:t>(2)</w:t>
      </w:r>
      <w:r w:rsidRPr="00020424">
        <w:rPr>
          <w:rtl/>
          <w:lang w:bidi="fa-IR"/>
        </w:rPr>
        <w:t xml:space="preserve"> » قَالَ : « وَقُلْتُ </w:t>
      </w:r>
      <w:r w:rsidRPr="00A91B96">
        <w:rPr>
          <w:rStyle w:val="libFootnotenumChar"/>
          <w:rtl/>
        </w:rPr>
        <w:t>(3)</w:t>
      </w:r>
      <w:r w:rsidRPr="00020424">
        <w:rPr>
          <w:rtl/>
          <w:lang w:bidi="fa-IR"/>
        </w:rPr>
        <w:t xml:space="preserve"> : الصَّوْمُ مَعَكَ ، وَالْفِطْرُ مَعَكَ</w:t>
      </w:r>
      <w:r>
        <w:rPr>
          <w:rtl/>
          <w:lang w:bidi="fa-IR"/>
        </w:rPr>
        <w:t xml:space="preserve"> ».</w:t>
      </w:r>
    </w:p>
    <w:p w:rsidR="00992664" w:rsidRPr="00020424" w:rsidRDefault="00992664" w:rsidP="00992664">
      <w:pPr>
        <w:pStyle w:val="libNormal"/>
        <w:rPr>
          <w:rtl/>
          <w:lang w:bidi="fa-IR"/>
        </w:rPr>
      </w:pPr>
      <w:r w:rsidRPr="00020424">
        <w:rPr>
          <w:rtl/>
          <w:lang w:bidi="fa-IR"/>
        </w:rPr>
        <w:t xml:space="preserve">فَقَالَ الرَّجُلُ لِأَبِي عَبْدِ اللهِ </w:t>
      </w:r>
      <w:r w:rsidRPr="00005A81">
        <w:rPr>
          <w:rStyle w:val="libAlaemChar"/>
          <w:rtl/>
        </w:rPr>
        <w:t>عليه‌السلام</w:t>
      </w:r>
      <w:r w:rsidRPr="00020424">
        <w:rPr>
          <w:rtl/>
          <w:lang w:bidi="fa-IR"/>
        </w:rPr>
        <w:t xml:space="preserve"> : تُفْطِرُ يَوْماً مِنْ شَهْرِ </w:t>
      </w:r>
      <w:r w:rsidRPr="00A91B96">
        <w:rPr>
          <w:rStyle w:val="libFootnotenumChar"/>
          <w:rtl/>
        </w:rPr>
        <w:t>(4)</w:t>
      </w:r>
      <w:r w:rsidRPr="00020424">
        <w:rPr>
          <w:rtl/>
          <w:lang w:bidi="fa-IR"/>
        </w:rPr>
        <w:t xml:space="preserve"> رَمَضَانَ</w:t>
      </w:r>
      <w:r>
        <w:rPr>
          <w:rtl/>
          <w:lang w:bidi="fa-IR"/>
        </w:rPr>
        <w:t>؟</w:t>
      </w:r>
    </w:p>
    <w:p w:rsidR="00992664" w:rsidRPr="00020424" w:rsidRDefault="00992664" w:rsidP="00992664">
      <w:pPr>
        <w:pStyle w:val="libNormal"/>
        <w:rPr>
          <w:rtl/>
          <w:lang w:bidi="fa-IR"/>
        </w:rPr>
      </w:pPr>
      <w:r w:rsidRPr="00020424">
        <w:rPr>
          <w:rtl/>
          <w:lang w:bidi="fa-IR"/>
        </w:rPr>
        <w:t xml:space="preserve">فَقَالَ : « إِي وَاللهِ ، أَنْ </w:t>
      </w:r>
      <w:r w:rsidRPr="00A91B96">
        <w:rPr>
          <w:rStyle w:val="libFootnotenumChar"/>
          <w:rtl/>
        </w:rPr>
        <w:t>(5)</w:t>
      </w:r>
      <w:r w:rsidRPr="00020424">
        <w:rPr>
          <w:rtl/>
          <w:lang w:bidi="fa-IR"/>
        </w:rPr>
        <w:t xml:space="preserve"> أُفْطِرَ يَوْماً مِنْ شَهْرِ رَمَضَانَ أَحَبُّ إِلَيَّ مِنْ أَنْ يُضْرَبَ عُنُقِي</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326" w:name="_Toc345172824"/>
      <w:bookmarkStart w:id="327" w:name="_Toc464562642"/>
      <w:bookmarkStart w:id="328" w:name="_Toc44599945"/>
      <w:r w:rsidRPr="00020424">
        <w:rPr>
          <w:rtl/>
          <w:lang w:bidi="fa-IR"/>
        </w:rPr>
        <w:t>10</w:t>
      </w:r>
      <w:r>
        <w:rPr>
          <w:rtl/>
          <w:lang w:bidi="fa-IR"/>
        </w:rPr>
        <w:t xml:space="preserve"> </w:t>
      </w:r>
      <w:r w:rsidR="009B673F">
        <w:rPr>
          <w:rtl/>
          <w:lang w:bidi="fa-IR"/>
        </w:rPr>
        <w:t>-</w:t>
      </w:r>
      <w:r>
        <w:rPr>
          <w:rtl/>
          <w:lang w:bidi="fa-IR"/>
        </w:rPr>
        <w:t xml:space="preserve"> </w:t>
      </w:r>
      <w:r w:rsidRPr="00020424">
        <w:rPr>
          <w:rtl/>
          <w:lang w:bidi="fa-IR"/>
        </w:rPr>
        <w:t xml:space="preserve">بَابُ وُجُوهِ الصَّوْمِ </w:t>
      </w:r>
      <w:r w:rsidRPr="00A91B96">
        <w:rPr>
          <w:rStyle w:val="libFootnotenumChar"/>
          <w:rtl/>
        </w:rPr>
        <w:t>(7)</w:t>
      </w:r>
      <w:r w:rsidRPr="00020424">
        <w:rPr>
          <w:rtl/>
          <w:lang w:bidi="fa-IR"/>
        </w:rPr>
        <w:t xml:space="preserve"> ‌</w:t>
      </w:r>
      <w:bookmarkEnd w:id="326"/>
      <w:bookmarkEnd w:id="327"/>
      <w:bookmarkEnd w:id="328"/>
    </w:p>
    <w:p w:rsidR="00992664" w:rsidRPr="00020424" w:rsidRDefault="00992664" w:rsidP="00992664">
      <w:pPr>
        <w:pStyle w:val="libNormal"/>
        <w:rPr>
          <w:rtl/>
          <w:lang w:bidi="fa-IR"/>
        </w:rPr>
      </w:pPr>
      <w:r w:rsidRPr="00A977E9">
        <w:rPr>
          <w:rtl/>
        </w:rPr>
        <w:t>6319</w:t>
      </w:r>
      <w:r w:rsidRPr="001155DE">
        <w:rPr>
          <w:rStyle w:val="libBold2Char"/>
          <w:rtl/>
        </w:rPr>
        <w:t xml:space="preserve"> / 1.</w:t>
      </w:r>
      <w:r w:rsidRPr="00020424">
        <w:rPr>
          <w:rtl/>
          <w:lang w:bidi="fa-IR"/>
        </w:rPr>
        <w:t xml:space="preserve"> عَلِيُّ بْنُ إِبْرَاهِيمَ ، عَنْ أَبِيهِ ، عَنِ الْقَاسِمِ بْنِ مُحَمَّدٍ الْجَوْهَرِيِّ </w:t>
      </w:r>
      <w:r w:rsidRPr="00A91B96">
        <w:rPr>
          <w:rStyle w:val="libFootnotenumChar"/>
          <w:rtl/>
        </w:rPr>
        <w:t>(8)</w:t>
      </w:r>
      <w:r w:rsidRPr="00020424">
        <w:rPr>
          <w:rtl/>
          <w:lang w:bidi="fa-IR"/>
        </w:rPr>
        <w:t xml:space="preserve"> ، عَنْ سُلَيْمَانَ بْنِ دَاوُدَ ، عَنْ سُفْيَانَ بْنِ عُيَيْنَةَ ، عَنِ الزُّهْرِيِّ :</w:t>
      </w:r>
    </w:p>
    <w:p w:rsidR="00992664" w:rsidRPr="00020424" w:rsidRDefault="00992664" w:rsidP="00992664">
      <w:pPr>
        <w:pStyle w:val="libNormal"/>
        <w:rPr>
          <w:rtl/>
          <w:lang w:bidi="fa-IR"/>
        </w:rPr>
      </w:pPr>
      <w:r w:rsidRPr="00020424">
        <w:rPr>
          <w:rtl/>
          <w:lang w:bidi="fa-IR"/>
        </w:rPr>
        <w:t xml:space="preserve">عَنْ عَلِيِّ بْنِ الْحُسَيْنِ </w:t>
      </w:r>
      <w:r w:rsidRPr="00005A81">
        <w:rPr>
          <w:rStyle w:val="libAlaemChar"/>
          <w:rtl/>
        </w:rPr>
        <w:t>عليه‌السلام</w:t>
      </w:r>
      <w:r w:rsidRPr="00020424">
        <w:rPr>
          <w:rtl/>
          <w:lang w:bidi="fa-IR"/>
        </w:rPr>
        <w:t xml:space="preserve"> ، قَالَ : قَالَ لِي </w:t>
      </w:r>
      <w:r w:rsidRPr="00A91B96">
        <w:rPr>
          <w:rStyle w:val="libFootnotenumChar"/>
          <w:rtl/>
        </w:rPr>
        <w:t>(9)</w:t>
      </w:r>
      <w:r w:rsidRPr="00020424">
        <w:rPr>
          <w:rtl/>
          <w:lang w:bidi="fa-IR"/>
        </w:rPr>
        <w:t xml:space="preserve"> يَوْماً : « يَا زُهْرِيُّ </w:t>
      </w:r>
      <w:r w:rsidRPr="00A91B96">
        <w:rPr>
          <w:rStyle w:val="libFootnotenumChar"/>
          <w:rtl/>
        </w:rPr>
        <w:t>(10)</w:t>
      </w:r>
      <w:r w:rsidRPr="00020424">
        <w:rPr>
          <w:rtl/>
          <w:lang w:bidi="fa-IR"/>
        </w:rPr>
        <w:t xml:space="preserve"> ، مِنْ أَيْنَ جِئْتَ</w:t>
      </w:r>
      <w:r>
        <w:rPr>
          <w:rtl/>
          <w:lang w:bidi="fa-IR"/>
        </w:rPr>
        <w:t>؟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014CB" w:rsidTr="00C014CB">
        <w:tc>
          <w:tcPr>
            <w:tcW w:w="4006" w:type="dxa"/>
          </w:tcPr>
          <w:p w:rsidR="00C014CB" w:rsidRDefault="00C014CB" w:rsidP="00992664">
            <w:pPr>
              <w:pStyle w:val="libFootnote0"/>
              <w:rPr>
                <w:rtl/>
              </w:rPr>
            </w:pPr>
            <w:r>
              <w:rPr>
                <w:rtl/>
              </w:rPr>
              <w:t xml:space="preserve">(1). </w:t>
            </w:r>
            <w:r w:rsidRPr="00020424">
              <w:rPr>
                <w:rtl/>
              </w:rPr>
              <w:t>في « بر » :</w:t>
            </w:r>
            <w:r>
              <w:rPr>
                <w:rtl/>
              </w:rPr>
              <w:t xml:space="preserve"> - </w:t>
            </w:r>
            <w:r w:rsidRPr="00020424">
              <w:rPr>
                <w:rtl/>
              </w:rPr>
              <w:t>« قال</w:t>
            </w:r>
            <w:r>
              <w:rPr>
                <w:rtl/>
              </w:rPr>
              <w:t xml:space="preserve"> ».</w:t>
            </w:r>
          </w:p>
        </w:tc>
        <w:tc>
          <w:tcPr>
            <w:tcW w:w="4006" w:type="dxa"/>
          </w:tcPr>
          <w:p w:rsidR="00C014CB" w:rsidRDefault="00C014CB" w:rsidP="00992664">
            <w:pPr>
              <w:pStyle w:val="libFootnote0"/>
              <w:rPr>
                <w:rtl/>
              </w:rPr>
            </w:pPr>
            <w:r>
              <w:rPr>
                <w:rtl/>
              </w:rPr>
              <w:t>(2). في «بخ ، بر»وحاشية«بث</w:t>
            </w:r>
            <w:r w:rsidRPr="00020424">
              <w:rPr>
                <w:rtl/>
              </w:rPr>
              <w:t xml:space="preserve">» </w:t>
            </w:r>
            <w:r w:rsidRPr="00515444">
              <w:rPr>
                <w:rStyle w:val="libFootnoteBoldChar"/>
                <w:rtl/>
              </w:rPr>
              <w:t>والوافي</w:t>
            </w:r>
            <w:r>
              <w:rPr>
                <w:rtl/>
              </w:rPr>
              <w:t xml:space="preserve"> :«</w:t>
            </w:r>
            <w:r w:rsidRPr="00020424">
              <w:rPr>
                <w:rtl/>
              </w:rPr>
              <w:t>وأكلت</w:t>
            </w:r>
            <w:r>
              <w:rPr>
                <w:rtl/>
              </w:rPr>
              <w:t xml:space="preserve"> ».</w:t>
            </w:r>
          </w:p>
        </w:tc>
      </w:tr>
      <w:tr w:rsidR="00C014CB" w:rsidTr="00C014CB">
        <w:tc>
          <w:tcPr>
            <w:tcW w:w="4006" w:type="dxa"/>
          </w:tcPr>
          <w:p w:rsidR="00C014CB" w:rsidRDefault="00C014CB" w:rsidP="00992664">
            <w:pPr>
              <w:pStyle w:val="libFootnote0"/>
              <w:rPr>
                <w:rtl/>
              </w:rPr>
            </w:pPr>
            <w:r>
              <w:rPr>
                <w:rtl/>
              </w:rPr>
              <w:t xml:space="preserve">(3). </w:t>
            </w:r>
            <w:r w:rsidRPr="00020424">
              <w:rPr>
                <w:rtl/>
              </w:rPr>
              <w:t>في « بث ، بس » : « فقلت</w:t>
            </w:r>
            <w:r>
              <w:rPr>
                <w:rtl/>
              </w:rPr>
              <w:t xml:space="preserve"> ».</w:t>
            </w:r>
          </w:p>
        </w:tc>
        <w:tc>
          <w:tcPr>
            <w:tcW w:w="4006" w:type="dxa"/>
          </w:tcPr>
          <w:p w:rsidR="00C014CB" w:rsidRDefault="00C014CB" w:rsidP="00992664">
            <w:pPr>
              <w:pStyle w:val="libFootnote0"/>
              <w:rPr>
                <w:rtl/>
              </w:rPr>
            </w:pPr>
            <w:r>
              <w:rPr>
                <w:rtl/>
              </w:rPr>
              <w:t xml:space="preserve">(4). </w:t>
            </w:r>
            <w:r w:rsidRPr="00020424">
              <w:rPr>
                <w:rtl/>
              </w:rPr>
              <w:t>في « بخ ، بف » :</w:t>
            </w:r>
            <w:r>
              <w:rPr>
                <w:rtl/>
              </w:rPr>
              <w:t xml:space="preserve"> - </w:t>
            </w:r>
            <w:r w:rsidRPr="00020424">
              <w:rPr>
                <w:rtl/>
              </w:rPr>
              <w:t>« شهر</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بث ، بح ، بخ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11 ، ص 157 ، ح 10599 ؛ </w:t>
      </w:r>
      <w:r w:rsidR="00992664" w:rsidRPr="0012008A">
        <w:rPr>
          <w:rStyle w:val="libFootnoteBoldChar"/>
          <w:rtl/>
        </w:rPr>
        <w:t>الوسائل</w:t>
      </w:r>
      <w:r w:rsidR="00992664" w:rsidRPr="00020424">
        <w:rPr>
          <w:rtl/>
        </w:rPr>
        <w:t xml:space="preserve"> ، ج 10 ، ص 131 ، ح 13034 ؛ </w:t>
      </w:r>
      <w:r w:rsidR="00992664" w:rsidRPr="0012008A">
        <w:rPr>
          <w:rStyle w:val="libFootnoteBoldChar"/>
          <w:rtl/>
        </w:rPr>
        <w:t>البحار</w:t>
      </w:r>
      <w:r w:rsidR="00992664" w:rsidRPr="00020424">
        <w:rPr>
          <w:rtl/>
        </w:rPr>
        <w:t xml:space="preserve"> ، ج 47 ، ص 210 ، ح 53.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بث ، بخ ، بر ، بف » : « الصيام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تقدّم سابقاً أنّ القاسم بن محمّد الراوي عن سليمان بن داود</w:t>
      </w:r>
      <w:r w:rsidR="00992664">
        <w:rPr>
          <w:rtl/>
        </w:rPr>
        <w:t xml:space="preserve"> </w:t>
      </w:r>
      <w:r w:rsidR="009B673F">
        <w:rPr>
          <w:rtl/>
        </w:rPr>
        <w:t>-</w:t>
      </w:r>
      <w:r w:rsidR="00992664">
        <w:rPr>
          <w:rtl/>
        </w:rPr>
        <w:t xml:space="preserve"> </w:t>
      </w:r>
      <w:r w:rsidR="00992664" w:rsidRPr="00020424">
        <w:rPr>
          <w:rtl/>
        </w:rPr>
        <w:t>وهو المنقري</w:t>
      </w:r>
      <w:r w:rsidR="00992664">
        <w:rPr>
          <w:rtl/>
        </w:rPr>
        <w:t xml:space="preserve"> </w:t>
      </w:r>
      <w:r w:rsidR="009B673F">
        <w:rPr>
          <w:rtl/>
        </w:rPr>
        <w:t>-</w:t>
      </w:r>
      <w:r w:rsidR="00992664">
        <w:rPr>
          <w:rtl/>
        </w:rPr>
        <w:t xml:space="preserve"> </w:t>
      </w:r>
      <w:r w:rsidR="00992664" w:rsidRPr="00020424">
        <w:rPr>
          <w:rtl/>
        </w:rPr>
        <w:t xml:space="preserve">هو القاسم بن محمّد الإصفهاني ، فعليه الظاهر زيادة قيد الجوهري في السند. لاحظ ما قدّمناه في </w:t>
      </w:r>
      <w:r w:rsidR="00992664" w:rsidRPr="00DE76B9">
        <w:rPr>
          <w:rStyle w:val="libFootnoteBoldChar"/>
          <w:rtl/>
        </w:rPr>
        <w:t>الكافي</w:t>
      </w:r>
      <w:r w:rsidR="00992664" w:rsidRPr="00020424">
        <w:rPr>
          <w:rtl/>
        </w:rPr>
        <w:t xml:space="preserve"> ، ذيل ح 3049. ويؤيّد ذلك أنّ الخبر رواه الصدوق في </w:t>
      </w:r>
      <w:r w:rsidR="00992664" w:rsidRPr="00A722B1">
        <w:rPr>
          <w:rStyle w:val="libFootnoteBoldChar"/>
          <w:rtl/>
        </w:rPr>
        <w:t>الخصال</w:t>
      </w:r>
      <w:r w:rsidR="00992664" w:rsidRPr="00020424">
        <w:rPr>
          <w:rtl/>
        </w:rPr>
        <w:t xml:space="preserve"> ، ص 534 ، ح 2 ، بسنده عن القاسم بن محمّد الإصفهاني ، عن سليمان بن داود المنقري.</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w:t>
      </w:r>
      <w:r w:rsidR="00992664" w:rsidRPr="00EB1FD9">
        <w:rPr>
          <w:rStyle w:val="libFootnoteBoldChar"/>
          <w:rtl/>
        </w:rPr>
        <w:t>وتفسير القمّي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محمّد بن مسلم بن شهاب الزهري ، راوي هذا الحديث ، وإن كان خصّيصاً بعليّ بن الحسين </w:t>
      </w:r>
      <w:r w:rsidR="00D64ADA" w:rsidRPr="00D64ADA">
        <w:rPr>
          <w:rStyle w:val="libFootnoteAlaemChar"/>
          <w:rtl/>
        </w:rPr>
        <w:t>عليهما‌السلام</w:t>
      </w:r>
      <w:r w:rsidR="00F82683">
        <w:rPr>
          <w:rtl/>
        </w:rPr>
        <w:t xml:space="preserve"> وكان له ميل ومحبّة إل</w:t>
      </w:r>
      <w:r w:rsidR="00F82683">
        <w:rPr>
          <w:rFonts w:hint="cs"/>
          <w:rtl/>
        </w:rPr>
        <w:t>ّ</w:t>
      </w:r>
      <w:r w:rsidR="00F82683">
        <w:rPr>
          <w:rtl/>
        </w:rPr>
        <w:t>ا</w:t>
      </w:r>
      <w:r w:rsidR="00992664">
        <w:rPr>
          <w:rFonts w:hint="cs"/>
          <w:rtl/>
        </w:rPr>
        <w:t xml:space="preserve"> </w:t>
      </w:r>
      <w:r w:rsidR="00992664" w:rsidRPr="00020424">
        <w:rPr>
          <w:rtl/>
        </w:rPr>
        <w:t>أنّه ل</w:t>
      </w:r>
      <w:r w:rsidR="00F82683">
        <w:rPr>
          <w:rFonts w:hint="cs"/>
          <w:rtl/>
        </w:rPr>
        <w:t>ـ</w:t>
      </w:r>
      <w:r w:rsidR="00992664" w:rsidRPr="00020424">
        <w:rPr>
          <w:rtl/>
        </w:rPr>
        <w:t xml:space="preserve">مّا كان من العامّة وفقهائهم أجمل </w:t>
      </w:r>
      <w:r w:rsidR="00992664" w:rsidRPr="00D64ADA">
        <w:rPr>
          <w:rStyle w:val="libFootnoteAlaemChar"/>
          <w:rtl/>
        </w:rPr>
        <w:t>عليه‌السلام</w:t>
      </w:r>
      <w:r w:rsidR="00992664" w:rsidRPr="00020424">
        <w:rPr>
          <w:rtl/>
        </w:rPr>
        <w:t xml:space="preserve"> معه في الكلام ، ولم يذكر له صيام السنّة ولا صيام الترغيب ؛ لعدم اشتهار خصوصهما بين العامّة ، وما زعمته العامّة من صيام الترغيب والسنّة سمّاه </w:t>
      </w:r>
      <w:r w:rsidR="00992664" w:rsidRPr="00D64ADA">
        <w:rPr>
          <w:rStyle w:val="libFootnoteAlaemChar"/>
          <w:rtl/>
        </w:rPr>
        <w:t>عليه‌السلام</w:t>
      </w:r>
      <w:r w:rsidR="00992664" w:rsidRPr="00020424">
        <w:rPr>
          <w:rtl/>
        </w:rPr>
        <w:t xml:space="preserve"> بالذي فيه خيار لصاحبه تنبيهاً له على عدم الترغيب فيه ؛ فإنّ أكثره ممّا ترك صيامه أولى ولصيام بعضه شرائط ، كما يأتي في الأخبار إن شاء الله</w:t>
      </w:r>
      <w:r w:rsidR="00992664">
        <w:rPr>
          <w:rtl/>
        </w:rPr>
        <w:t xml:space="preserve"> ».</w:t>
      </w:r>
    </w:p>
    <w:p w:rsidR="00992664" w:rsidRPr="00020424" w:rsidRDefault="00992664" w:rsidP="00F82683">
      <w:pPr>
        <w:pStyle w:val="libFootnote0"/>
        <w:rPr>
          <w:rtl/>
          <w:lang w:bidi="fa-IR"/>
        </w:rPr>
      </w:pPr>
      <w:r w:rsidRPr="00F82683">
        <w:rPr>
          <w:rtl/>
        </w:rPr>
        <w:t xml:space="preserve">وفي </w:t>
      </w:r>
      <w:r w:rsidRPr="00DE76B9">
        <w:rPr>
          <w:rStyle w:val="libFootnoteBoldChar"/>
          <w:rtl/>
        </w:rPr>
        <w:t>مرآة العقول</w:t>
      </w:r>
      <w:r w:rsidRPr="00F82683">
        <w:rPr>
          <w:rtl/>
        </w:rPr>
        <w:t xml:space="preserve"> ، ج 16 ، ص 241 : « الزهري </w:t>
      </w:r>
      <w:r w:rsidR="009B673F" w:rsidRPr="00F82683">
        <w:rPr>
          <w:rtl/>
        </w:rPr>
        <w:t>-</w:t>
      </w:r>
      <w:r w:rsidRPr="00F82683">
        <w:rPr>
          <w:rtl/>
        </w:rPr>
        <w:t xml:space="preserve"> بضمّ الزاي وسكون الهاء </w:t>
      </w:r>
      <w:r w:rsidR="009B673F" w:rsidRPr="00F82683">
        <w:rPr>
          <w:rtl/>
        </w:rPr>
        <w:t>-</w:t>
      </w:r>
      <w:r w:rsidRPr="00F82683">
        <w:rPr>
          <w:rtl/>
        </w:rPr>
        <w:t xml:space="preserve"> نسبة إلى زهرة ، أحد أجداده ، واسمه محمّد بن مسلم بن عبيد الله بن حارث بن شهاب بن زهرة بن كلاب ، وهو من علماء المخالفين وكان له رجوع إلى سيّد الساجدين </w:t>
      </w:r>
      <w:r w:rsidRPr="00D64ADA">
        <w:rPr>
          <w:rStyle w:val="libFootnoteAlaemChar"/>
          <w:rtl/>
        </w:rPr>
        <w:t>عليه‌السلام</w:t>
      </w:r>
      <w:r w:rsidRPr="00F82683">
        <w:rPr>
          <w:rtl/>
        </w:rPr>
        <w:t xml:space="preserve"> ». وانظر : </w:t>
      </w:r>
      <w:r w:rsidRPr="00DE76B9">
        <w:rPr>
          <w:rStyle w:val="libFootnoteBoldChar"/>
          <w:rtl/>
        </w:rPr>
        <w:t>رجال الطوسي</w:t>
      </w:r>
      <w:r w:rsidRPr="00F82683">
        <w:rPr>
          <w:rtl/>
        </w:rPr>
        <w:t xml:space="preserve"> ، ص 294 ، الرقم 4292 ؛ </w:t>
      </w:r>
      <w:r w:rsidRPr="00DE76B9">
        <w:rPr>
          <w:rStyle w:val="libFootnoteBoldChar"/>
          <w:rtl/>
        </w:rPr>
        <w:t>رجال ابن داود</w:t>
      </w:r>
      <w:r w:rsidRPr="00F82683">
        <w:rPr>
          <w:rtl/>
        </w:rPr>
        <w:t xml:space="preserve"> ، ص 336 ، الرقم 1475.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(1)</w:t>
      </w:r>
      <w:r w:rsidRPr="00020424">
        <w:rPr>
          <w:rtl/>
          <w:lang w:bidi="fa-IR"/>
        </w:rPr>
        <w:t xml:space="preserve"> : مِنَ الْمَسْجِدِ.</w:t>
      </w:r>
    </w:p>
    <w:p w:rsidR="00992664" w:rsidRPr="00020424" w:rsidRDefault="00992664" w:rsidP="00992664">
      <w:pPr>
        <w:pStyle w:val="libNormal"/>
        <w:rPr>
          <w:rtl/>
          <w:lang w:bidi="fa-IR"/>
        </w:rPr>
      </w:pPr>
      <w:r w:rsidRPr="00020424">
        <w:rPr>
          <w:rtl/>
          <w:lang w:bidi="fa-IR"/>
        </w:rPr>
        <w:t xml:space="preserve">قَالَ : « فِيمَ </w:t>
      </w:r>
      <w:r w:rsidRPr="00A91B96">
        <w:rPr>
          <w:rStyle w:val="libFootnotenumChar"/>
          <w:rtl/>
        </w:rPr>
        <w:t>(2)</w:t>
      </w:r>
      <w:r w:rsidRPr="00020424">
        <w:rPr>
          <w:rtl/>
          <w:lang w:bidi="fa-IR"/>
        </w:rPr>
        <w:t xml:space="preserve"> كُنْتُمْ </w:t>
      </w:r>
      <w:r w:rsidRPr="00A91B96">
        <w:rPr>
          <w:rStyle w:val="libFootnotenumChar"/>
          <w:rtl/>
        </w:rPr>
        <w:t>(3)</w:t>
      </w:r>
      <w:r>
        <w:rPr>
          <w:rtl/>
          <w:lang w:bidi="fa-IR"/>
        </w:rPr>
        <w:t>؟ ».</w:t>
      </w:r>
    </w:p>
    <w:p w:rsidR="00992664" w:rsidRPr="00020424" w:rsidRDefault="00992664" w:rsidP="00992664">
      <w:pPr>
        <w:pStyle w:val="libNormal"/>
        <w:rPr>
          <w:rtl/>
          <w:lang w:bidi="fa-IR"/>
        </w:rPr>
      </w:pPr>
      <w:r w:rsidRPr="00020424">
        <w:rPr>
          <w:rtl/>
          <w:lang w:bidi="fa-IR"/>
        </w:rPr>
        <w:t xml:space="preserve">قُلْتُ : تَذَاكَرْنَا أَمْرَ الصَّوْمِ ، فَاجْتَمَعَ </w:t>
      </w:r>
      <w:r w:rsidRPr="00A91B96">
        <w:rPr>
          <w:rStyle w:val="libFootnotenumChar"/>
          <w:rtl/>
        </w:rPr>
        <w:t>(4)</w:t>
      </w:r>
      <w:r w:rsidRPr="00020424">
        <w:rPr>
          <w:rtl/>
          <w:lang w:bidi="fa-IR"/>
        </w:rPr>
        <w:t xml:space="preserve"> رَأْيِي وَرَأْيُ أَصْحَابِي عَلى </w:t>
      </w:r>
      <w:r w:rsidRPr="00A91B96">
        <w:rPr>
          <w:rStyle w:val="libFootnotenumChar"/>
          <w:rtl/>
        </w:rPr>
        <w:t>(5)</w:t>
      </w:r>
      <w:r w:rsidRPr="00020424">
        <w:rPr>
          <w:rtl/>
          <w:lang w:bidi="fa-IR"/>
        </w:rPr>
        <w:t xml:space="preserve"> أَنَّهُ لَيْسَ مِنَ </w:t>
      </w:r>
      <w:r w:rsidR="008A0854">
        <w:rPr>
          <w:rtl/>
          <w:lang w:bidi="fa-IR"/>
        </w:rPr>
        <w:t>الصَّوْمِ شَيْ‌ءٌ وَاجِبٌ إِل</w:t>
      </w:r>
      <w:r w:rsidR="008A0854">
        <w:rPr>
          <w:rFonts w:hint="cs"/>
          <w:rtl/>
          <w:lang w:bidi="fa-IR"/>
        </w:rPr>
        <w:t>َّ</w:t>
      </w:r>
      <w:r w:rsidR="008A0854">
        <w:rPr>
          <w:rtl/>
          <w:lang w:bidi="fa-IR"/>
        </w:rPr>
        <w:t>ا</w:t>
      </w:r>
      <w:r w:rsidRPr="00020424">
        <w:rPr>
          <w:rtl/>
          <w:lang w:bidi="fa-IR"/>
        </w:rPr>
        <w:t xml:space="preserve"> صَوْمُ شَهْرِ رَمَضَانَ.</w:t>
      </w:r>
    </w:p>
    <w:p w:rsidR="00992664" w:rsidRPr="00020424" w:rsidRDefault="00992664" w:rsidP="00992664">
      <w:pPr>
        <w:pStyle w:val="libNormal"/>
        <w:rPr>
          <w:rtl/>
          <w:lang w:bidi="fa-IR"/>
        </w:rPr>
      </w:pPr>
      <w:r w:rsidRPr="00020424">
        <w:rPr>
          <w:rtl/>
          <w:lang w:bidi="fa-IR"/>
        </w:rPr>
        <w:t xml:space="preserve">فَقَالَ : « يَا زُهْرِيُّ ، لَيْسَ كَمَا قُلْتُمْ ، الصَّوْمُ عَلى أَرْبَعِينَ وَجْهاً ، فَعَشَرَةُ أَوْجُهٍ مِنْهَا وَاجِبَةٌ كَوُجُوبِ شَهْرِ رَمَضَانَ ، وَعَشَرَةُ أَوْجُهٍ </w:t>
      </w:r>
      <w:r w:rsidRPr="00A91B96">
        <w:rPr>
          <w:rStyle w:val="libFootnotenumChar"/>
          <w:rtl/>
        </w:rPr>
        <w:t>(6)</w:t>
      </w:r>
      <w:r w:rsidRPr="00020424">
        <w:rPr>
          <w:rtl/>
          <w:lang w:bidi="fa-IR"/>
        </w:rPr>
        <w:t xml:space="preserve"> مِنْهَا صِيَامُهُنَّ حَرَامٌ </w:t>
      </w:r>
      <w:r w:rsidRPr="00A91B96">
        <w:rPr>
          <w:rStyle w:val="libFootnotenumChar"/>
          <w:rtl/>
        </w:rPr>
        <w:t>(7)</w:t>
      </w:r>
      <w:r w:rsidRPr="00020424">
        <w:rPr>
          <w:rtl/>
          <w:lang w:bidi="fa-IR"/>
        </w:rPr>
        <w:t xml:space="preserve"> ، وَأَرْبَعَةَ عَشَرَ </w:t>
      </w:r>
      <w:r w:rsidRPr="00A91B96">
        <w:rPr>
          <w:rStyle w:val="libFootnotenumChar"/>
          <w:rtl/>
        </w:rPr>
        <w:t>(8)</w:t>
      </w:r>
      <w:r w:rsidRPr="00020424">
        <w:rPr>
          <w:rtl/>
          <w:lang w:bidi="fa-IR"/>
        </w:rPr>
        <w:t xml:space="preserve"> مِنْهَا صَاحِبُهَا </w:t>
      </w:r>
      <w:r w:rsidRPr="00A91B96">
        <w:rPr>
          <w:rStyle w:val="libFootnotenumChar"/>
          <w:rtl/>
        </w:rPr>
        <w:t>(9)</w:t>
      </w:r>
      <w:r w:rsidRPr="00020424">
        <w:rPr>
          <w:rtl/>
          <w:lang w:bidi="fa-IR"/>
        </w:rPr>
        <w:t xml:space="preserve"> بِالْخِيَارِ ، إِنْ شَاءَ صَامَ ، وَإِنْ شَاءَ أَفْطَرَ </w:t>
      </w:r>
      <w:r w:rsidRPr="00A91B96">
        <w:rPr>
          <w:rStyle w:val="libFootnotenumChar"/>
          <w:rtl/>
        </w:rPr>
        <w:t>(10)</w:t>
      </w:r>
      <w:r w:rsidRPr="00020424">
        <w:rPr>
          <w:rtl/>
          <w:lang w:bidi="fa-IR"/>
        </w:rPr>
        <w:t xml:space="preserve"> ، وَصَوْمُ الْإِذْنِ عَلى ثَلَاثَةِ أَوْجُهٍ ، وَصَوْمُ التَّأْدِيبِ ، وَصَوْمُ الْإِبَاحَةِ </w:t>
      </w:r>
      <w:r w:rsidRPr="00A91B96">
        <w:rPr>
          <w:rStyle w:val="libFootnotenumChar"/>
          <w:rtl/>
        </w:rPr>
        <w:t>(11)</w:t>
      </w:r>
      <w:r w:rsidRPr="00020424">
        <w:rPr>
          <w:rtl/>
          <w:lang w:bidi="fa-IR"/>
        </w:rPr>
        <w:t xml:space="preserve"> ، وَصَوْمُ السَّفَرِ وَالْمَرَضِ</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جُعِلْتُ فِدَاكَ ، فَسِّرْهُنَّ </w:t>
      </w:r>
      <w:r w:rsidRPr="00A91B96">
        <w:rPr>
          <w:rStyle w:val="libFootnotenumChar"/>
          <w:rtl/>
        </w:rPr>
        <w:t>(12)</w:t>
      </w:r>
      <w:r w:rsidRPr="00020424">
        <w:rPr>
          <w:rtl/>
          <w:lang w:bidi="fa-IR"/>
        </w:rPr>
        <w:t xml:space="preserve"> لِي.</w:t>
      </w:r>
    </w:p>
    <w:p w:rsidR="00992664" w:rsidRPr="00020424" w:rsidRDefault="00992664" w:rsidP="00992664">
      <w:pPr>
        <w:pStyle w:val="libNormal"/>
        <w:rPr>
          <w:rtl/>
          <w:lang w:bidi="fa-IR"/>
        </w:rPr>
      </w:pPr>
      <w:r w:rsidRPr="00020424">
        <w:rPr>
          <w:rtl/>
          <w:lang w:bidi="fa-IR"/>
        </w:rPr>
        <w:t xml:space="preserve">قَالَ : « أَمَّا الْوَاجِبَةُ </w:t>
      </w:r>
      <w:r w:rsidRPr="00A91B96">
        <w:rPr>
          <w:rStyle w:val="libFootnotenumChar"/>
          <w:rtl/>
        </w:rPr>
        <w:t>(13)</w:t>
      </w:r>
      <w:r w:rsidRPr="00020424">
        <w:rPr>
          <w:rtl/>
          <w:lang w:bidi="fa-IR"/>
        </w:rPr>
        <w:t xml:space="preserve"> : فَصِيَامُ شَهْرِ رَمَضَانَ ، وَصِيَامُ </w:t>
      </w:r>
      <w:r w:rsidRPr="00A91B96">
        <w:rPr>
          <w:rStyle w:val="libFootnotenumChar"/>
          <w:rtl/>
        </w:rPr>
        <w:t>(14)</w:t>
      </w:r>
      <w:r w:rsidRPr="00020424">
        <w:rPr>
          <w:rtl/>
          <w:lang w:bidi="fa-IR"/>
        </w:rPr>
        <w:t xml:space="preserve"> شَهْرَيْنِ مُتَتَابِعَيْنِ فِي كَفَّارَةِ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A0854" w:rsidTr="008A0854">
        <w:tc>
          <w:tcPr>
            <w:tcW w:w="4006" w:type="dxa"/>
          </w:tcPr>
          <w:p w:rsidR="008A0854" w:rsidRDefault="008A0854" w:rsidP="00992664">
            <w:pPr>
              <w:pStyle w:val="libFootnote0"/>
              <w:rPr>
                <w:rtl/>
              </w:rPr>
            </w:pPr>
            <w:r>
              <w:rPr>
                <w:rtl/>
              </w:rPr>
              <w:t xml:space="preserve">(1). </w:t>
            </w:r>
            <w:r w:rsidRPr="00020424">
              <w:rPr>
                <w:rtl/>
              </w:rPr>
              <w:t xml:space="preserve">في تفسير القمّي </w:t>
            </w:r>
            <w:r w:rsidRPr="00FD6221">
              <w:rPr>
                <w:rStyle w:val="libFootnoteBoldChar"/>
                <w:rtl/>
              </w:rPr>
              <w:t>والخصال</w:t>
            </w:r>
            <w:r w:rsidRPr="00020424">
              <w:rPr>
                <w:rtl/>
              </w:rPr>
              <w:t xml:space="preserve"> : « قلت</w:t>
            </w:r>
            <w:r>
              <w:rPr>
                <w:rtl/>
              </w:rPr>
              <w:t xml:space="preserve"> ».</w:t>
            </w:r>
          </w:p>
        </w:tc>
        <w:tc>
          <w:tcPr>
            <w:tcW w:w="4006" w:type="dxa"/>
          </w:tcPr>
          <w:p w:rsidR="008A0854" w:rsidRDefault="008A0854" w:rsidP="00992664">
            <w:pPr>
              <w:pStyle w:val="libFootnote0"/>
              <w:rPr>
                <w:rtl/>
              </w:rPr>
            </w:pPr>
            <w:r>
              <w:rPr>
                <w:rtl/>
              </w:rPr>
              <w:t>(2). في «بر»:«</w:t>
            </w:r>
            <w:r w:rsidRPr="00020424">
              <w:rPr>
                <w:rtl/>
              </w:rPr>
              <w:t>فبم</w:t>
            </w:r>
            <w:r>
              <w:rPr>
                <w:rtl/>
              </w:rPr>
              <w:t>».</w:t>
            </w:r>
            <w:r w:rsidRPr="00020424">
              <w:rPr>
                <w:rtl/>
              </w:rPr>
              <w:t>وفي حاشية « بث » : « فيما</w:t>
            </w:r>
            <w:r>
              <w:rPr>
                <w:rtl/>
              </w:rPr>
              <w:t xml:space="preserve"> ».</w:t>
            </w:r>
          </w:p>
        </w:tc>
      </w:tr>
      <w:tr w:rsidR="008A0854" w:rsidTr="008A0854">
        <w:tc>
          <w:tcPr>
            <w:tcW w:w="4006" w:type="dxa"/>
          </w:tcPr>
          <w:p w:rsidR="008A0854" w:rsidRDefault="008A0854" w:rsidP="00992664">
            <w:pPr>
              <w:pStyle w:val="libFootnote0"/>
              <w:rPr>
                <w:rtl/>
              </w:rPr>
            </w:pPr>
            <w:r>
              <w:rPr>
                <w:rtl/>
              </w:rPr>
              <w:t xml:space="preserve">(3). </w:t>
            </w:r>
            <w:r w:rsidRPr="00020424">
              <w:rPr>
                <w:rtl/>
              </w:rPr>
              <w:t xml:space="preserve">في « بخ ، بر » </w:t>
            </w:r>
            <w:r w:rsidRPr="00515444">
              <w:rPr>
                <w:rStyle w:val="libFootnoteBoldChar"/>
                <w:rtl/>
              </w:rPr>
              <w:t>والوافي</w:t>
            </w:r>
            <w:r w:rsidRPr="00020424">
              <w:rPr>
                <w:rtl/>
              </w:rPr>
              <w:t xml:space="preserve"> : « كنت</w:t>
            </w:r>
            <w:r>
              <w:rPr>
                <w:rtl/>
              </w:rPr>
              <w:t xml:space="preserve"> ».</w:t>
            </w:r>
          </w:p>
        </w:tc>
        <w:tc>
          <w:tcPr>
            <w:tcW w:w="4006" w:type="dxa"/>
          </w:tcPr>
          <w:p w:rsidR="008A0854" w:rsidRDefault="008A0854" w:rsidP="00992664">
            <w:pPr>
              <w:pStyle w:val="libFootnote0"/>
              <w:rPr>
                <w:rtl/>
              </w:rPr>
            </w:pPr>
            <w:r>
              <w:rPr>
                <w:rtl/>
              </w:rPr>
              <w:t xml:space="preserve">(4). </w:t>
            </w:r>
            <w:r w:rsidRPr="00020424">
              <w:rPr>
                <w:rtl/>
              </w:rPr>
              <w:t xml:space="preserve">في </w:t>
            </w:r>
            <w:r w:rsidRPr="008A0854">
              <w:rPr>
                <w:rtl/>
              </w:rPr>
              <w:t>الوافي والتهذيب والخصال</w:t>
            </w:r>
            <w:r w:rsidRPr="00020424">
              <w:rPr>
                <w:rtl/>
              </w:rPr>
              <w:t xml:space="preserve"> : « فأجمع</w:t>
            </w:r>
            <w:r>
              <w:rPr>
                <w:rtl/>
              </w:rPr>
              <w:t xml:space="preserve"> ».</w:t>
            </w:r>
          </w:p>
        </w:tc>
      </w:tr>
      <w:tr w:rsidR="008A0854" w:rsidTr="008A0854">
        <w:tc>
          <w:tcPr>
            <w:tcW w:w="4006" w:type="dxa"/>
          </w:tcPr>
          <w:p w:rsidR="008A0854" w:rsidRDefault="008568ED" w:rsidP="00992664">
            <w:pPr>
              <w:pStyle w:val="libFootnote0"/>
              <w:rPr>
                <w:rtl/>
              </w:rPr>
            </w:pPr>
            <w:r>
              <w:rPr>
                <w:rtl/>
              </w:rPr>
              <w:t xml:space="preserve">(5). </w:t>
            </w:r>
            <w:r w:rsidRPr="00020424">
              <w:rPr>
                <w:rtl/>
              </w:rPr>
              <w:t xml:space="preserve">في تفسير القمّي </w:t>
            </w:r>
            <w:r w:rsidRPr="00FD6221">
              <w:rPr>
                <w:rStyle w:val="libFootnoteBoldChar"/>
                <w:rtl/>
              </w:rPr>
              <w:t>والخصال</w:t>
            </w:r>
            <w:r w:rsidRPr="00020424">
              <w:rPr>
                <w:rtl/>
              </w:rPr>
              <w:t xml:space="preserve"> :</w:t>
            </w:r>
            <w:r>
              <w:rPr>
                <w:rtl/>
              </w:rPr>
              <w:t xml:space="preserve"> - </w:t>
            </w:r>
            <w:r w:rsidRPr="00020424">
              <w:rPr>
                <w:rtl/>
              </w:rPr>
              <w:t>« على</w:t>
            </w:r>
            <w:r>
              <w:rPr>
                <w:rtl/>
              </w:rPr>
              <w:t xml:space="preserve"> ».</w:t>
            </w:r>
          </w:p>
        </w:tc>
        <w:tc>
          <w:tcPr>
            <w:tcW w:w="4006" w:type="dxa"/>
          </w:tcPr>
          <w:p w:rsidR="008A0854" w:rsidRDefault="008568ED" w:rsidP="00992664">
            <w:pPr>
              <w:pStyle w:val="libFootnote0"/>
              <w:rPr>
                <w:rtl/>
              </w:rPr>
            </w:pPr>
            <w:r>
              <w:rPr>
                <w:rtl/>
              </w:rPr>
              <w:t xml:space="preserve">(6). </w:t>
            </w:r>
            <w:r w:rsidRPr="00020424">
              <w:rPr>
                <w:rtl/>
              </w:rPr>
              <w:t>في « بخ » :</w:t>
            </w:r>
            <w:r>
              <w:rPr>
                <w:rtl/>
              </w:rPr>
              <w:t xml:space="preserve"> - </w:t>
            </w:r>
            <w:r w:rsidRPr="00020424">
              <w:rPr>
                <w:rtl/>
              </w:rPr>
              <w:t>« أوجه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تفسير القمّي :</w:t>
      </w:r>
      <w:r w:rsidR="00992664">
        <w:rPr>
          <w:rtl/>
        </w:rPr>
        <w:t xml:space="preserve"> </w:t>
      </w:r>
      <w:r w:rsidR="009B673F">
        <w:rPr>
          <w:rtl/>
        </w:rPr>
        <w:t>-</w:t>
      </w:r>
      <w:r w:rsidR="00992664">
        <w:rPr>
          <w:rtl/>
        </w:rPr>
        <w:t xml:space="preserve"> </w:t>
      </w:r>
      <w:r w:rsidR="00992664" w:rsidRPr="00020424">
        <w:rPr>
          <w:rtl/>
        </w:rPr>
        <w:t>« وعشرة أوجه منها صيامهنّ حرام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F27D90">
        <w:rPr>
          <w:rtl/>
        </w:rPr>
        <w:t>الوافي والفقيه والتهذيب والخصال</w:t>
      </w:r>
      <w:r w:rsidR="00992664" w:rsidRPr="00020424">
        <w:rPr>
          <w:rtl/>
        </w:rPr>
        <w:t xml:space="preserve"> : + « وجهاً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فيها</w:t>
      </w:r>
      <w:r w:rsidR="00992664">
        <w:rPr>
          <w:rtl/>
        </w:rPr>
        <w:t xml:space="preserve"> ».</w:t>
      </w:r>
      <w:r w:rsidR="00992664" w:rsidRPr="00020424">
        <w:rPr>
          <w:rtl/>
        </w:rPr>
        <w:t xml:space="preserve"> وفي تفسير القميّ : « صاحبها فيها » بدل « منها صاحبها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تفسير القمّي : + « وعشرة أوجه منها حرام</w:t>
      </w:r>
      <w:r w:rsidR="00992664">
        <w:rPr>
          <w:rtl/>
        </w:rPr>
        <w:t xml:space="preserve"> ».</w:t>
      </w:r>
    </w:p>
    <w:p w:rsidR="00992664" w:rsidRPr="00020424" w:rsidRDefault="00795177" w:rsidP="00F27D90">
      <w:pPr>
        <w:pStyle w:val="libFootnote0"/>
        <w:rPr>
          <w:rtl/>
          <w:lang w:bidi="fa-IR"/>
        </w:rPr>
      </w:pPr>
      <w:r>
        <w:rPr>
          <w:rtl/>
        </w:rPr>
        <w:t>(11).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F27D90" w:rsidRPr="00D64ADA">
        <w:rPr>
          <w:rStyle w:val="libFootnoteAlaemChar"/>
          <w:rtl/>
        </w:rPr>
        <w:t>عليه‌السلام</w:t>
      </w:r>
      <w:r w:rsidR="00992664" w:rsidRPr="00020424">
        <w:rPr>
          <w:rtl/>
        </w:rPr>
        <w:t>: وصوم ال</w:t>
      </w:r>
      <w:r w:rsidR="008F7294">
        <w:rPr>
          <w:rtl/>
        </w:rPr>
        <w:t>إذن ، أي الصوم الذي لا يصحّ إل</w:t>
      </w:r>
      <w:r w:rsidR="008F7294">
        <w:rPr>
          <w:rFonts w:hint="cs"/>
          <w:rtl/>
        </w:rPr>
        <w:t>ّ</w:t>
      </w:r>
      <w:r w:rsidR="008F7294">
        <w:rPr>
          <w:rtl/>
        </w:rPr>
        <w:t>ا</w:t>
      </w:r>
      <w:r w:rsidR="00992664" w:rsidRPr="00020424">
        <w:rPr>
          <w:rtl/>
        </w:rPr>
        <w:t xml:space="preserve">بإذن الآخر. وقوله </w:t>
      </w:r>
      <w:r w:rsidR="00992664" w:rsidRPr="00D64ADA">
        <w:rPr>
          <w:rStyle w:val="libFootnoteAlaemChar"/>
          <w:rtl/>
        </w:rPr>
        <w:t>عليه‌السلام</w:t>
      </w:r>
      <w:r w:rsidR="00992664" w:rsidRPr="00020424">
        <w:rPr>
          <w:rtl/>
        </w:rPr>
        <w:t xml:space="preserve"> : وصوم التأديب ، شامل للتمرين والإمساك مستحبّاً. وقوله </w:t>
      </w:r>
      <w:r w:rsidR="00992664" w:rsidRPr="00D64ADA">
        <w:rPr>
          <w:rStyle w:val="libFootnoteAlaemChar"/>
          <w:rtl/>
        </w:rPr>
        <w:t>عليه‌السلام</w:t>
      </w:r>
      <w:r w:rsidR="00992664" w:rsidRPr="00020424">
        <w:rPr>
          <w:rtl/>
        </w:rPr>
        <w:t xml:space="preserve"> : وصوم الإباحة ، أي صوم وقع فيه مفسد على بعض الوجوه ولم يفسد فكأنّه ابيح فيه المفسد</w:t>
      </w:r>
      <w:r w:rsidR="00992664">
        <w:rPr>
          <w:rtl/>
        </w:rPr>
        <w:t xml:space="preserve"> ».</w:t>
      </w:r>
    </w:p>
    <w:p w:rsidR="00992664" w:rsidRPr="00020424" w:rsidRDefault="00992664" w:rsidP="008F7294">
      <w:pPr>
        <w:pStyle w:val="libFootnote0"/>
        <w:rPr>
          <w:rtl/>
          <w:lang w:bidi="fa-IR"/>
        </w:rPr>
      </w:pPr>
      <w:r w:rsidRPr="008F7294">
        <w:rPr>
          <w:rtl/>
        </w:rPr>
        <w:t xml:space="preserve">وفي هامش </w:t>
      </w:r>
      <w:r w:rsidRPr="0012008A">
        <w:rPr>
          <w:rStyle w:val="libFootnoteBoldChar"/>
          <w:rtl/>
        </w:rPr>
        <w:t>الوافي</w:t>
      </w:r>
      <w:r w:rsidRPr="008F7294">
        <w:rPr>
          <w:rtl/>
        </w:rPr>
        <w:t xml:space="preserve"> عن « مراد » : « قوله : وأمّا صوم الإباحة ، أي الصوم الذي وقع فيه ما من شأنه الإفطار ولم يؤاخذ الله تعالى عليه المكلّف بأن يوجب عليه قضاءه ، بل أباحه إتمام ذلك اليوم وإجراءه مجرى ما لم يقع فيه المضطرّ ».</w:t>
      </w:r>
      <w:r w:rsidR="008F7294">
        <w:rPr>
          <w:rFonts w:hint="cs"/>
          <w:rtl/>
        </w:rPr>
        <w:t xml:space="preserve">                                                           </w:t>
      </w:r>
      <w:r w:rsidR="00795177">
        <w:rPr>
          <w:rtl/>
        </w:rPr>
        <w:t>(12).</w:t>
      </w:r>
      <w:r w:rsidR="0014403D">
        <w:rPr>
          <w:rtl/>
        </w:rPr>
        <w:t xml:space="preserve"> </w:t>
      </w:r>
      <w:r w:rsidRPr="00020424">
        <w:rPr>
          <w:rtl/>
        </w:rPr>
        <w:t xml:space="preserve">في </w:t>
      </w:r>
      <w:r w:rsidRPr="0012008A">
        <w:rPr>
          <w:rStyle w:val="libFootnoteBoldChar"/>
          <w:rtl/>
        </w:rPr>
        <w:t>التهذيب</w:t>
      </w:r>
      <w:r w:rsidRPr="00020424">
        <w:rPr>
          <w:rtl/>
        </w:rPr>
        <w:t xml:space="preserve"> : « ففسّرهنّ</w:t>
      </w:r>
      <w:r>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بث ، بخ ، بر ، بف » وحاشية « بح » </w:t>
      </w:r>
      <w:r w:rsidR="00992664" w:rsidRPr="00515444">
        <w:rPr>
          <w:rStyle w:val="libFootnoteBoldChar"/>
          <w:rtl/>
        </w:rPr>
        <w:t>والوافي</w:t>
      </w:r>
      <w:r w:rsidR="00992664" w:rsidRPr="00020424">
        <w:rPr>
          <w:rtl/>
        </w:rPr>
        <w:t xml:space="preserve"> </w:t>
      </w:r>
      <w:r w:rsidR="00992664" w:rsidRPr="00EB1FD9">
        <w:rPr>
          <w:rStyle w:val="libFootnoteBoldChar"/>
          <w:rtl/>
        </w:rPr>
        <w:t>وتفسير القمّي</w:t>
      </w:r>
      <w:r w:rsidR="00992664" w:rsidRPr="00020424">
        <w:rPr>
          <w:rtl/>
        </w:rPr>
        <w:t xml:space="preserve"> </w:t>
      </w:r>
      <w:r w:rsidR="00992664" w:rsidRPr="00FD6221">
        <w:rPr>
          <w:rStyle w:val="libFootnoteBoldChar"/>
          <w:rtl/>
        </w:rPr>
        <w:t>والخصال</w:t>
      </w:r>
      <w:r w:rsidR="00992664" w:rsidRPr="00020424">
        <w:rPr>
          <w:rtl/>
        </w:rPr>
        <w:t xml:space="preserve"> : « الواجب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F1FB1" w:rsidTr="00EF1FB1">
        <w:tc>
          <w:tcPr>
            <w:tcW w:w="4006" w:type="dxa"/>
          </w:tcPr>
          <w:p w:rsidR="00EF1FB1" w:rsidRDefault="00EF1FB1" w:rsidP="00992664">
            <w:pPr>
              <w:pStyle w:val="libFootnote0"/>
              <w:rPr>
                <w:rtl/>
              </w:rPr>
            </w:pPr>
            <w:r>
              <w:rPr>
                <w:rtl/>
              </w:rPr>
              <w:t xml:space="preserve">(14).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صيام</w:t>
            </w:r>
            <w:r>
              <w:rPr>
                <w:rtl/>
              </w:rPr>
              <w:t xml:space="preserve"> ».</w:t>
            </w:r>
          </w:p>
        </w:tc>
        <w:tc>
          <w:tcPr>
            <w:tcW w:w="4006" w:type="dxa"/>
          </w:tcPr>
          <w:p w:rsidR="00EF1FB1" w:rsidRDefault="00EF1FB1" w:rsidP="00992664">
            <w:pPr>
              <w:pStyle w:val="libFootnote0"/>
              <w:rPr>
                <w:rtl/>
              </w:rPr>
            </w:pPr>
            <w:r>
              <w:rPr>
                <w:rtl/>
              </w:rPr>
              <w:t xml:space="preserve">(15). </w:t>
            </w:r>
            <w:r w:rsidRPr="00020424">
              <w:rPr>
                <w:rtl/>
              </w:rPr>
              <w:t>في « بر » :</w:t>
            </w:r>
            <w:r>
              <w:rPr>
                <w:rtl/>
              </w:rPr>
              <w:t xml:space="preserve"> - </w:t>
            </w:r>
            <w:r w:rsidRPr="00020424">
              <w:rPr>
                <w:rtl/>
              </w:rPr>
              <w:t>« كفّارة</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الظِّهَارِ ؛ لِقَوْلِ اللهِ </w:t>
      </w:r>
      <w:r w:rsidRPr="00A91B96">
        <w:rPr>
          <w:rStyle w:val="libFootnotenumChar"/>
          <w:rtl/>
        </w:rPr>
        <w:t>(1)</w:t>
      </w:r>
      <w:r w:rsidRPr="00020424">
        <w:rPr>
          <w:rtl/>
          <w:lang w:bidi="fa-IR"/>
        </w:rPr>
        <w:t xml:space="preserve"> تَعَالى : </w:t>
      </w:r>
      <w:r w:rsidRPr="00005A81">
        <w:rPr>
          <w:rStyle w:val="libAlaemChar"/>
          <w:rtl/>
        </w:rPr>
        <w:t>(</w:t>
      </w:r>
      <w:r w:rsidRPr="004E5AB4">
        <w:rPr>
          <w:rStyle w:val="libAieChar"/>
          <w:rtl/>
        </w:rPr>
        <w:t xml:space="preserve"> الَّذِينَ يُظاهِرُونَ مِنْ نِسائِهِمْ ثُمَّ يَعُودُونَ لِما قالُوا فَتَحْرِيرُ رَقَبَةٍ </w:t>
      </w:r>
      <w:r w:rsidRPr="00A91B96">
        <w:rPr>
          <w:rStyle w:val="libFootnotenumChar"/>
          <w:rtl/>
        </w:rPr>
        <w:t>(2)</w:t>
      </w:r>
      <w:r w:rsidRPr="004E5AB4">
        <w:rPr>
          <w:rStyle w:val="libAieChar"/>
          <w:rtl/>
        </w:rPr>
        <w:t xml:space="preserve"> مِنْ قَبْلِ أَنْ يَتَمَاسّا </w:t>
      </w:r>
      <w:r w:rsidRPr="00005A81">
        <w:rPr>
          <w:rStyle w:val="libAlaemChar"/>
          <w:rtl/>
        </w:rPr>
        <w:t>)</w:t>
      </w:r>
      <w:r w:rsidRPr="00020424">
        <w:rPr>
          <w:rtl/>
          <w:lang w:bidi="fa-IR"/>
        </w:rPr>
        <w:t xml:space="preserve"> إِلى قَوْلِهِ </w:t>
      </w:r>
      <w:r w:rsidRPr="00A91B96">
        <w:rPr>
          <w:rStyle w:val="libFootnotenumChar"/>
          <w:rtl/>
        </w:rPr>
        <w:t>(3)</w:t>
      </w:r>
      <w:r w:rsidRPr="00020424">
        <w:rPr>
          <w:rtl/>
          <w:lang w:bidi="fa-IR"/>
        </w:rPr>
        <w:t xml:space="preserve"> </w:t>
      </w:r>
      <w:r w:rsidRPr="00005A81">
        <w:rPr>
          <w:rStyle w:val="libAlaemChar"/>
          <w:rtl/>
        </w:rPr>
        <w:t>(</w:t>
      </w:r>
      <w:r w:rsidRPr="004E5AB4">
        <w:rPr>
          <w:rStyle w:val="libAieChar"/>
          <w:rtl/>
        </w:rPr>
        <w:t xml:space="preserve"> فَمَنْ لَمْ يَجِدْ فَصِيامُ شَهْرَيْنِ مُتَتابِعَيْنِ </w:t>
      </w:r>
      <w:r w:rsidRPr="00005A81">
        <w:rPr>
          <w:rStyle w:val="libAlaemChar"/>
          <w:rtl/>
        </w:rPr>
        <w:t>)</w:t>
      </w:r>
      <w:r w:rsidRPr="00020424">
        <w:rPr>
          <w:rtl/>
          <w:lang w:bidi="fa-IR"/>
        </w:rPr>
        <w:t xml:space="preserve"> </w:t>
      </w:r>
      <w:r w:rsidRPr="00A91B96">
        <w:rPr>
          <w:rStyle w:val="libFootnotenumChar"/>
          <w:rtl/>
        </w:rPr>
        <w:t>(4)</w:t>
      </w:r>
      <w:r w:rsidRPr="00020424">
        <w:rPr>
          <w:rtl/>
          <w:lang w:bidi="fa-IR"/>
        </w:rPr>
        <w:t xml:space="preserve"> ، وَصِيَامُ شَهْرَيْنِ مُتَتَابِعَيْنِ </w:t>
      </w:r>
      <w:r w:rsidRPr="00A91B96">
        <w:rPr>
          <w:rStyle w:val="libFootnotenumChar"/>
          <w:rtl/>
        </w:rPr>
        <w:t>(5)</w:t>
      </w:r>
      <w:r w:rsidRPr="00020424">
        <w:rPr>
          <w:rtl/>
          <w:lang w:bidi="fa-IR"/>
        </w:rPr>
        <w:t xml:space="preserve"> فِيمَنْ </w:t>
      </w:r>
      <w:r w:rsidRPr="00A91B96">
        <w:rPr>
          <w:rStyle w:val="libFootnotenumChar"/>
          <w:rtl/>
        </w:rPr>
        <w:t>(6)</w:t>
      </w:r>
      <w:r w:rsidRPr="00020424">
        <w:rPr>
          <w:rtl/>
          <w:lang w:bidi="fa-IR"/>
        </w:rPr>
        <w:t xml:space="preserve"> أَفْطَرَ يَوْماً مِنْ شَهْرِ رَمَضَانَ </w:t>
      </w:r>
      <w:r w:rsidRPr="00A91B96">
        <w:rPr>
          <w:rStyle w:val="libFootnotenumChar"/>
          <w:rtl/>
        </w:rPr>
        <w:t>(7)</w:t>
      </w:r>
      <w:r w:rsidRPr="00020424">
        <w:rPr>
          <w:rtl/>
          <w:lang w:bidi="fa-IR"/>
        </w:rPr>
        <w:t xml:space="preserve"> ، وَصِيَامُ شَهْرَيْنِ مُتَتَابِعَيْنِ </w:t>
      </w:r>
      <w:r w:rsidRPr="00A91B96">
        <w:rPr>
          <w:rStyle w:val="libFootnotenumChar"/>
          <w:rtl/>
        </w:rPr>
        <w:t>(8)</w:t>
      </w:r>
      <w:r w:rsidRPr="00020424">
        <w:rPr>
          <w:rtl/>
          <w:lang w:bidi="fa-IR"/>
        </w:rPr>
        <w:t xml:space="preserve"> فِي قَتْلِ الْخَطَإِ </w:t>
      </w:r>
      <w:r w:rsidRPr="00A91B96">
        <w:rPr>
          <w:rStyle w:val="libFootnotenumChar"/>
          <w:rtl/>
        </w:rPr>
        <w:t>(9)</w:t>
      </w:r>
      <w:r w:rsidRPr="00020424">
        <w:rPr>
          <w:rtl/>
          <w:lang w:bidi="fa-IR"/>
        </w:rPr>
        <w:t xml:space="preserve"> لِمَنْ لَمْ يَجِدِ الْعِتْقَ وَاجِبٌ </w:t>
      </w:r>
      <w:r w:rsidRPr="00A91B96">
        <w:rPr>
          <w:rStyle w:val="libFootnotenumChar"/>
          <w:rtl/>
        </w:rPr>
        <w:t>(10)</w:t>
      </w:r>
      <w:r w:rsidRPr="00020424">
        <w:rPr>
          <w:rtl/>
          <w:lang w:bidi="fa-IR"/>
        </w:rPr>
        <w:t xml:space="preserve"> ؛ لِقَوْلِ </w:t>
      </w:r>
      <w:r w:rsidRPr="00A91B96">
        <w:rPr>
          <w:rStyle w:val="libFootnotenumChar"/>
          <w:rtl/>
        </w:rPr>
        <w:t>(11)</w:t>
      </w:r>
      <w:r w:rsidRPr="00020424">
        <w:rPr>
          <w:rtl/>
          <w:lang w:bidi="fa-IR"/>
        </w:rPr>
        <w:t xml:space="preserve"> اللهِ عَزَّ وَجَلَّ : </w:t>
      </w:r>
      <w:r w:rsidRPr="00005A81">
        <w:rPr>
          <w:rStyle w:val="libAlaemChar"/>
          <w:rtl/>
        </w:rPr>
        <w:t>(</w:t>
      </w:r>
      <w:r w:rsidRPr="004E5AB4">
        <w:rPr>
          <w:rStyle w:val="libAieChar"/>
          <w:rtl/>
        </w:rPr>
        <w:t xml:space="preserve"> وَمَنْ قَتَلَ مُؤْمِناً خَطَأً فَتَحْرِيرُ رَقَبَةٍ مُؤْمِنَةٍ وَدِيَةٌ مُسَلَّمَةٌ إِلى أَهْلِهِ </w:t>
      </w:r>
      <w:r w:rsidRPr="00005A81">
        <w:rPr>
          <w:rStyle w:val="libAlaemChar"/>
          <w:rtl/>
        </w:rPr>
        <w:t>)</w:t>
      </w:r>
      <w:r w:rsidRPr="00020424">
        <w:rPr>
          <w:rtl/>
          <w:lang w:bidi="fa-IR"/>
        </w:rPr>
        <w:t xml:space="preserve"> إِلى قَوْلِهِ عَزَّ وَجَلَّ</w:t>
      </w:r>
      <w:r w:rsidRPr="00005A81">
        <w:rPr>
          <w:rStyle w:val="libAlaemChar"/>
          <w:rtl/>
        </w:rPr>
        <w:t>(</w:t>
      </w:r>
      <w:r w:rsidRPr="004E5AB4">
        <w:rPr>
          <w:rStyle w:val="libAieChar"/>
          <w:rtl/>
        </w:rPr>
        <w:t xml:space="preserve"> فَمَنْ لَمْ يَجِدْ فَصِيامُ شَهْرَيْنِ مُتَتابِعَيْنِ تَوْبَةً مِنَ اللهِ وَكانَ اللهُ عَلِيماً حَكِيماً </w:t>
      </w:r>
      <w:r w:rsidRPr="00005A81">
        <w:rPr>
          <w:rStyle w:val="libAlaemChar"/>
          <w:rtl/>
        </w:rPr>
        <w:t>)</w:t>
      </w:r>
      <w:r w:rsidRPr="00020424">
        <w:rPr>
          <w:rtl/>
          <w:lang w:bidi="fa-IR"/>
        </w:rPr>
        <w:t xml:space="preserve"> </w:t>
      </w:r>
      <w:r w:rsidRPr="00A91B96">
        <w:rPr>
          <w:rStyle w:val="libFootnotenumChar"/>
          <w:rtl/>
        </w:rPr>
        <w:t>(12)</w:t>
      </w:r>
      <w:r w:rsidRPr="00020424">
        <w:rPr>
          <w:rtl/>
          <w:lang w:bidi="fa-IR"/>
        </w:rPr>
        <w:t xml:space="preserve"> ؛ وَصَوْمُ ثَلَاثَةِ أَيَّامٍ فِي كَفَّارَةِ الْيَمِينِ‌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وحاشية « بث » : « لقوله » بدل « لقول 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بخ » : + « مؤمنة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جميع النسخ التي قوبلت </w:t>
      </w:r>
      <w:r w:rsidR="00992664" w:rsidRPr="00515444">
        <w:rPr>
          <w:rStyle w:val="libFootnoteBoldChar"/>
          <w:rtl/>
        </w:rPr>
        <w:t>والتهذيب</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إلى قوله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المجادلة (58) : 3</w:t>
      </w:r>
      <w:r w:rsidR="00992664">
        <w:rPr>
          <w:rtl/>
        </w:rPr>
        <w:t xml:space="preserve"> </w:t>
      </w:r>
      <w:r w:rsidR="009B673F">
        <w:rPr>
          <w:rtl/>
        </w:rPr>
        <w:t>-</w:t>
      </w:r>
      <w:r w:rsidR="00992664">
        <w:rPr>
          <w:rtl/>
        </w:rPr>
        <w:t xml:space="preserve"> </w:t>
      </w:r>
      <w:r w:rsidR="00992664" w:rsidRPr="00020424">
        <w:rPr>
          <w:rtl/>
        </w:rPr>
        <w:t xml:space="preserve">4. وفي تفسير القمّي </w:t>
      </w:r>
      <w:r w:rsidR="00992664" w:rsidRPr="00FD6221">
        <w:rPr>
          <w:rStyle w:val="libFootnoteBoldChar"/>
          <w:rtl/>
        </w:rPr>
        <w:t>والخصال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وصيام شهرين متتابعين في كفّارة الظهار</w:t>
      </w:r>
      <w:r w:rsidR="00992664">
        <w:rPr>
          <w:rtl/>
        </w:rPr>
        <w:t xml:space="preserve"> </w:t>
      </w:r>
      <w:r w:rsidR="009B673F">
        <w:rPr>
          <w:rtl/>
        </w:rPr>
        <w:t>-</w:t>
      </w:r>
      <w:r w:rsidR="00992664">
        <w:rPr>
          <w:rtl/>
        </w:rPr>
        <w:t xml:space="preserve"> </w:t>
      </w:r>
      <w:r w:rsidR="00992664" w:rsidRPr="00020424">
        <w:rPr>
          <w:rtl/>
        </w:rPr>
        <w:t>إلى قوله</w:t>
      </w:r>
      <w:r w:rsidR="00992664">
        <w:rPr>
          <w:rtl/>
        </w:rPr>
        <w:t xml:space="preserve"> </w:t>
      </w:r>
      <w:r w:rsidR="009B673F">
        <w:rPr>
          <w:rtl/>
        </w:rPr>
        <w:t>-</w:t>
      </w:r>
      <w:r w:rsidR="00992664">
        <w:rPr>
          <w:rtl/>
        </w:rPr>
        <w:t xml:space="preserve"> </w:t>
      </w:r>
      <w:r w:rsidR="00992664" w:rsidRPr="00020424">
        <w:rPr>
          <w:rtl/>
        </w:rPr>
        <w:t>فصيام شهرين متتابعين</w:t>
      </w:r>
      <w:r w:rsidR="00992664">
        <w:rPr>
          <w:rtl/>
        </w:rPr>
        <w:t xml:space="preserve"> ».</w:t>
      </w:r>
    </w:p>
    <w:p w:rsidR="00992664" w:rsidRPr="00020424" w:rsidRDefault="00992664" w:rsidP="00B225A8">
      <w:pPr>
        <w:pStyle w:val="libFootnote0"/>
        <w:rPr>
          <w:rtl/>
          <w:lang w:bidi="fa-IR"/>
        </w:rPr>
      </w:pPr>
      <w:r w:rsidRPr="004B0BC4">
        <w:rPr>
          <w:rtl/>
        </w:rPr>
        <w:t xml:space="preserve">وفي </w:t>
      </w:r>
      <w:r w:rsidRPr="00DE76B9">
        <w:rPr>
          <w:rStyle w:val="libFootnoteBoldChar"/>
          <w:rtl/>
        </w:rPr>
        <w:t>مجمع البيان</w:t>
      </w:r>
      <w:r w:rsidRPr="004B0BC4">
        <w:rPr>
          <w:rtl/>
        </w:rPr>
        <w:t xml:space="preserve"> ، ج 9 ، ص 410 ، ذيل الآية الشريفة : « </w:t>
      </w:r>
      <w:r w:rsidRPr="004B0BC4">
        <w:rPr>
          <w:rStyle w:val="libFootnoteAlaemChar"/>
          <w:rtl/>
        </w:rPr>
        <w:t>(</w:t>
      </w:r>
      <w:r w:rsidRPr="004B0BC4">
        <w:rPr>
          <w:rStyle w:val="libFootnoteAieChar"/>
          <w:rFonts w:hint="cs"/>
          <w:rtl/>
        </w:rPr>
        <w:t xml:space="preserve"> </w:t>
      </w:r>
      <w:r w:rsidRPr="004B0BC4">
        <w:rPr>
          <w:rStyle w:val="libFootnoteAieChar"/>
          <w:rtl/>
        </w:rPr>
        <w:t xml:space="preserve">ثُمَّ يَعُودُونَ لِما قالُوا </w:t>
      </w:r>
      <w:r w:rsidRPr="004B0BC4">
        <w:rPr>
          <w:rStyle w:val="libFootnoteAlaemChar"/>
          <w:rtl/>
        </w:rPr>
        <w:t>)</w:t>
      </w:r>
      <w:r w:rsidRPr="004B0BC4">
        <w:rPr>
          <w:rtl/>
        </w:rPr>
        <w:t xml:space="preserve">. اختلف المفسّرون والفقهاء في معنى العود هنا ، فقيل : إنّه العزم على وطئها ؛ عن قتادة ، وهو مذهب مالك وأبي حنيفة. وقيل : العود هو أن يمسكها بالعقد ، ولايتبع الظهار بطلاق ، وذلك أنّه إذا ظاهر منها فقد قصد التحريم ... وهو مذهب الشافعي. وقيل : إن العود هو أن يكرّر لفظ الظهار ؛ عن أبي العالية وهو مذهب أهل الظاهر .... وقال الأخفش : تقدير الآية : والذين يظاهرون من نسائهم فتحرير رقبة ، لما قالوا ، ثمّ يعودون إلى نسائهم ؛ أي فعليهم تحرير رقبة لما نطقوا به من ذكر التحريم ، والتقديم والتأخير كثير في التنزيل. وأمّا ما ذهب إليه أئمّة الهدى أنّ المراد بالعود إرادة الوطء ، ونقض القول الذي </w:t>
      </w:r>
      <w:r w:rsidR="004B0BC4">
        <w:rPr>
          <w:rtl/>
        </w:rPr>
        <w:t>قاله ؛ فإنّ الوطء لايجوز له إل</w:t>
      </w:r>
      <w:r w:rsidR="004B0BC4">
        <w:rPr>
          <w:rFonts w:hint="cs"/>
          <w:rtl/>
        </w:rPr>
        <w:t>ّ</w:t>
      </w:r>
      <w:r w:rsidR="004B0BC4">
        <w:rPr>
          <w:rtl/>
        </w:rPr>
        <w:t>ا</w:t>
      </w:r>
      <w:r w:rsidRPr="004B0BC4">
        <w:rPr>
          <w:rtl/>
        </w:rPr>
        <w:t xml:space="preserve"> بعد الكفّارة ، ولايبطل حكم قوله الأوّل </w:t>
      </w:r>
      <w:r w:rsidR="00B225A8">
        <w:rPr>
          <w:rtl/>
        </w:rPr>
        <w:t>إل</w:t>
      </w:r>
      <w:r w:rsidR="00B225A8">
        <w:rPr>
          <w:rFonts w:hint="cs"/>
          <w:rtl/>
        </w:rPr>
        <w:t>ّ</w:t>
      </w:r>
      <w:r w:rsidR="00B225A8">
        <w:rPr>
          <w:rtl/>
        </w:rPr>
        <w:t>ا</w:t>
      </w:r>
      <w:r w:rsidR="00B225A8" w:rsidRPr="004B0BC4">
        <w:rPr>
          <w:rtl/>
        </w:rPr>
        <w:t xml:space="preserve"> </w:t>
      </w:r>
      <w:r w:rsidRPr="004B0BC4">
        <w:rPr>
          <w:rtl/>
        </w:rPr>
        <w:t xml:space="preserve">بعد الكفّارة ... </w:t>
      </w:r>
      <w:r w:rsidRPr="00B225A8">
        <w:rPr>
          <w:rStyle w:val="libFootnoteAlaemChar"/>
          <w:rtl/>
        </w:rPr>
        <w:t>(</w:t>
      </w:r>
      <w:r w:rsidRPr="00B225A8">
        <w:rPr>
          <w:rStyle w:val="libFootnoteAieChar"/>
          <w:rtl/>
        </w:rPr>
        <w:t xml:space="preserve"> مّن قَبْلِ أَن يَتَمَآسَّا </w:t>
      </w:r>
      <w:r w:rsidRPr="00B225A8">
        <w:rPr>
          <w:rStyle w:val="libFootnoteAlaemChar"/>
          <w:rtl/>
        </w:rPr>
        <w:t>)</w:t>
      </w:r>
      <w:r w:rsidRPr="004B0BC4">
        <w:rPr>
          <w:rtl/>
        </w:rPr>
        <w:t xml:space="preserve"> أي من قبل أن يجامعها فيتماسّا ».</w:t>
      </w:r>
    </w:p>
    <w:tbl>
      <w:tblPr>
        <w:tblStyle w:val="TableGrid"/>
        <w:bidiVisual/>
        <w:tblW w:w="0" w:type="auto"/>
        <w:tblLook w:val="04A0" w:firstRow="1" w:lastRow="0" w:firstColumn="1" w:lastColumn="0" w:noHBand="0" w:noVBand="1"/>
      </w:tblPr>
      <w:tblGrid>
        <w:gridCol w:w="4006"/>
        <w:gridCol w:w="4006"/>
      </w:tblGrid>
      <w:tr w:rsidR="003E10F9" w:rsidTr="003E10F9">
        <w:tc>
          <w:tcPr>
            <w:tcW w:w="4006" w:type="dxa"/>
          </w:tcPr>
          <w:p w:rsidR="003E10F9" w:rsidRDefault="003E10F9" w:rsidP="00992664">
            <w:pPr>
              <w:pStyle w:val="libFootnote0"/>
              <w:rPr>
                <w:rtl/>
              </w:rPr>
            </w:pPr>
            <w:r>
              <w:rPr>
                <w:rtl/>
              </w:rPr>
              <w:t xml:space="preserve">(5). </w:t>
            </w:r>
            <w:r w:rsidRPr="00020424">
              <w:rPr>
                <w:rtl/>
              </w:rPr>
              <w:t>في « بر » :</w:t>
            </w:r>
            <w:r>
              <w:rPr>
                <w:rtl/>
              </w:rPr>
              <w:t xml:space="preserve"> - </w:t>
            </w:r>
            <w:r w:rsidRPr="00020424">
              <w:rPr>
                <w:rtl/>
              </w:rPr>
              <w:t>« متتابعين</w:t>
            </w:r>
            <w:r>
              <w:rPr>
                <w:rtl/>
              </w:rPr>
              <w:t xml:space="preserve"> ».</w:t>
            </w:r>
          </w:p>
        </w:tc>
        <w:tc>
          <w:tcPr>
            <w:tcW w:w="4006" w:type="dxa"/>
          </w:tcPr>
          <w:p w:rsidR="003E10F9" w:rsidRDefault="003E10F9" w:rsidP="00992664">
            <w:pPr>
              <w:pStyle w:val="libFootnote0"/>
              <w:rPr>
                <w:rtl/>
              </w:rPr>
            </w:pPr>
            <w:r>
              <w:rPr>
                <w:rtl/>
              </w:rPr>
              <w:t xml:space="preserve">(6). </w:t>
            </w:r>
            <w:r w:rsidRPr="00020424">
              <w:rPr>
                <w:rtl/>
              </w:rPr>
              <w:t xml:space="preserve">في « بف » </w:t>
            </w:r>
            <w:r w:rsidRPr="00FD6221">
              <w:rPr>
                <w:rStyle w:val="libFootnoteBoldChar"/>
                <w:rtl/>
              </w:rPr>
              <w:t>والخصال</w:t>
            </w:r>
            <w:r w:rsidRPr="00020424">
              <w:rPr>
                <w:rtl/>
              </w:rPr>
              <w:t xml:space="preserve"> : « لمن</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3E10F9">
        <w:rPr>
          <w:rtl/>
        </w:rPr>
        <w:t>الوافي وتفسير القمّي والخصال</w:t>
      </w:r>
      <w:r w:rsidR="00992664" w:rsidRPr="00020424">
        <w:rPr>
          <w:rtl/>
        </w:rPr>
        <w:t xml:space="preserve"> : + « متعمّداً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وصيام شهرين متتابعين</w:t>
      </w:r>
      <w:r w:rsidR="00992664">
        <w:rPr>
          <w:rtl/>
        </w:rPr>
        <w:t xml:space="preserve"> ».</w:t>
      </w:r>
    </w:p>
    <w:p w:rsidR="00992664" w:rsidRPr="00020424" w:rsidRDefault="00795177" w:rsidP="003E10F9">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في قتل الخطأ ، إنّما خصّ به ؛ لأنّه المذكور صريحاً في الآية للاحتجاج عليه بها. ويحتمل أن يكون ذكره على المثال</w:t>
      </w:r>
      <w:r w:rsidR="00992664">
        <w:rPr>
          <w:rtl/>
        </w:rPr>
        <w:t xml:space="preserve"> ».</w:t>
      </w:r>
      <w:r w:rsidR="003E10F9">
        <w:rPr>
          <w:rFonts w:hint="cs"/>
          <w:rtl/>
        </w:rPr>
        <w:t xml:space="preserve">                         </w:t>
      </w:r>
      <w:r>
        <w:rPr>
          <w:rtl/>
        </w:rPr>
        <w:t>(10).</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واجب</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تفسير القمّي </w:t>
      </w:r>
      <w:r w:rsidR="00992664" w:rsidRPr="00FD6221">
        <w:rPr>
          <w:rStyle w:val="libFootnoteBoldChar"/>
          <w:rtl/>
        </w:rPr>
        <w:t>والخصال</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النساء </w:t>
      </w:r>
      <w:r w:rsidR="003E10F9">
        <w:rPr>
          <w:rtl/>
        </w:rPr>
        <w:t>(4)</w:t>
      </w:r>
      <w:r w:rsidR="0014403D">
        <w:rPr>
          <w:rtl/>
        </w:rPr>
        <w:t xml:space="preserve"> </w:t>
      </w:r>
      <w:r w:rsidR="00992664" w:rsidRPr="00020424">
        <w:rPr>
          <w:rtl/>
        </w:rPr>
        <w:t>: 92. وفي تفسير القمّي : « وصيام شهرين متتابعين في كفّارة الظهار لمن لم يجد العتق واجب ، قال</w:t>
      </w:r>
      <w:r w:rsidR="00992664">
        <w:rPr>
          <w:rFonts w:hint="cs"/>
          <w:rtl/>
        </w:rPr>
        <w:t xml:space="preserve"> </w:t>
      </w:r>
      <w:r w:rsidR="008C19A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وَاجِبٌ </w:t>
      </w:r>
      <w:r w:rsidRPr="00A91B96">
        <w:rPr>
          <w:rStyle w:val="libFootnotenumChar"/>
          <w:rtl/>
        </w:rPr>
        <w:t>(1)</w:t>
      </w:r>
      <w:r w:rsidRPr="00020424">
        <w:rPr>
          <w:rtl/>
          <w:lang w:bidi="fa-IR"/>
        </w:rPr>
        <w:t xml:space="preserve"> ؛ قَالَ اللهُ عَزَّ وَجَلَّ </w:t>
      </w:r>
      <w:r w:rsidRPr="00A91B96">
        <w:rPr>
          <w:rStyle w:val="libFootnotenumChar"/>
          <w:rtl/>
        </w:rPr>
        <w:t>(2)</w:t>
      </w:r>
      <w:r w:rsidRPr="00020424">
        <w:rPr>
          <w:rtl/>
          <w:lang w:bidi="fa-IR"/>
        </w:rPr>
        <w:t xml:space="preserve"> : </w:t>
      </w:r>
      <w:r w:rsidRPr="00005A81">
        <w:rPr>
          <w:rStyle w:val="libAlaemChar"/>
          <w:rtl/>
        </w:rPr>
        <w:t>(</w:t>
      </w:r>
      <w:r w:rsidRPr="004E5AB4">
        <w:rPr>
          <w:rStyle w:val="libAieChar"/>
          <w:rtl/>
        </w:rPr>
        <w:t xml:space="preserve"> فَصِيامُ ثَلاثَةِ أَيّامٍ ذلِكَ كَفّارَةُ أَيْمانِكُمْ إِذا حَلَفْتُمْ </w:t>
      </w:r>
      <w:r w:rsidRPr="00005A81">
        <w:rPr>
          <w:rStyle w:val="libAlaemChar"/>
          <w:rtl/>
        </w:rPr>
        <w:t>)</w:t>
      </w:r>
      <w:r w:rsidRPr="00020424">
        <w:rPr>
          <w:rtl/>
          <w:lang w:bidi="fa-IR"/>
        </w:rPr>
        <w:t xml:space="preserve"> </w:t>
      </w:r>
      <w:r w:rsidRPr="00A91B96">
        <w:rPr>
          <w:rStyle w:val="libFootnotenumChar"/>
          <w:rtl/>
        </w:rPr>
        <w:t>(3)</w:t>
      </w:r>
      <w:r w:rsidRPr="00020424">
        <w:rPr>
          <w:rtl/>
          <w:lang w:bidi="fa-IR"/>
        </w:rPr>
        <w:t xml:space="preserve"> هذَا لِمَنْ لَا يَجِدُ </w:t>
      </w:r>
      <w:r w:rsidRPr="00A91B96">
        <w:rPr>
          <w:rStyle w:val="libFootnotenumChar"/>
          <w:rtl/>
        </w:rPr>
        <w:t>(4)</w:t>
      </w:r>
      <w:r w:rsidRPr="00020424">
        <w:rPr>
          <w:rtl/>
          <w:lang w:bidi="fa-IR"/>
        </w:rPr>
        <w:t xml:space="preserve"> الْإِطْعَامَ </w:t>
      </w:r>
      <w:r w:rsidRPr="00A91B96">
        <w:rPr>
          <w:rStyle w:val="libFootnotenumChar"/>
          <w:rtl/>
        </w:rPr>
        <w:t>(5)</w:t>
      </w:r>
      <w:r w:rsidRPr="00020424">
        <w:rPr>
          <w:rtl/>
          <w:lang w:bidi="fa-IR"/>
        </w:rPr>
        <w:t xml:space="preserve"> ، كُلُّ ذلِكَ مُتَتَابِعٌ وَلَيْسَ بِمُتَفَرِّقٍ ؛ وَصِيَامُ أَذى حَلْقِ الرَّأْسِ وَاجِبٌ ؛ قَالَ اللهُ عَزَّ وَجَلَّ : </w:t>
      </w:r>
      <w:r w:rsidRPr="00005A81">
        <w:rPr>
          <w:rStyle w:val="libAlaemChar"/>
          <w:rtl/>
        </w:rPr>
        <w:t>(</w:t>
      </w:r>
      <w:r w:rsidRPr="004E5AB4">
        <w:rPr>
          <w:rStyle w:val="libAieChar"/>
          <w:rtl/>
        </w:rPr>
        <w:t xml:space="preserve"> فَمَنْ كانَ مِنْكُمْ مَرِيضاً أَوْ بِهِ أَذىً مِنْ رَأْسِهِ فَفِدْيَةٌ مِنْ صِيامٍ أَوْ صَدَقَةٍ أَوْ نُسُكٍ </w:t>
      </w:r>
      <w:r w:rsidRPr="00005A81">
        <w:rPr>
          <w:rStyle w:val="libAlaemChar"/>
          <w:rtl/>
        </w:rPr>
        <w:t>)</w:t>
      </w:r>
      <w:r w:rsidRPr="00020424">
        <w:rPr>
          <w:rtl/>
          <w:lang w:bidi="fa-IR"/>
        </w:rPr>
        <w:t xml:space="preserve"> </w:t>
      </w:r>
      <w:r w:rsidRPr="00A91B96">
        <w:rPr>
          <w:rStyle w:val="libFootnotenumChar"/>
          <w:rtl/>
        </w:rPr>
        <w:t>(6)</w:t>
      </w:r>
      <w:r w:rsidRPr="00020424">
        <w:rPr>
          <w:rtl/>
          <w:lang w:bidi="fa-IR"/>
        </w:rPr>
        <w:t xml:space="preserve"> فَصَاحِبُهَا </w:t>
      </w:r>
      <w:r w:rsidRPr="00A91B96">
        <w:rPr>
          <w:rStyle w:val="libFootnotenumChar"/>
          <w:rtl/>
        </w:rPr>
        <w:t>(7)</w:t>
      </w:r>
      <w:r w:rsidRPr="00020424">
        <w:rPr>
          <w:rtl/>
          <w:lang w:bidi="fa-IR"/>
        </w:rPr>
        <w:t xml:space="preserve"> فِيهَا بِالْخِيَارِ ، فَإِنْ </w:t>
      </w:r>
      <w:r w:rsidRPr="00A91B96">
        <w:rPr>
          <w:rStyle w:val="libFootnotenumChar"/>
          <w:rtl/>
        </w:rPr>
        <w:t>(8)</w:t>
      </w:r>
      <w:r w:rsidRPr="00020424">
        <w:rPr>
          <w:rtl/>
          <w:lang w:bidi="fa-IR"/>
        </w:rPr>
        <w:t xml:space="preserve"> صَامَ </w:t>
      </w:r>
      <w:r w:rsidRPr="00A91B96">
        <w:rPr>
          <w:rStyle w:val="libFootnotenumChar"/>
          <w:rtl/>
        </w:rPr>
        <w:t>(9)</w:t>
      </w:r>
      <w:r w:rsidRPr="00020424">
        <w:rPr>
          <w:rtl/>
          <w:lang w:bidi="fa-IR"/>
        </w:rPr>
        <w:t xml:space="preserve"> ، صَامَ ثَلَاثَةَ </w:t>
      </w:r>
      <w:r w:rsidRPr="00A91B96">
        <w:rPr>
          <w:rStyle w:val="libFootnotenumChar"/>
          <w:rtl/>
        </w:rPr>
        <w:t>(10)</w:t>
      </w:r>
      <w:r w:rsidRPr="00020424">
        <w:rPr>
          <w:rtl/>
          <w:lang w:bidi="fa-IR"/>
        </w:rPr>
        <w:t xml:space="preserve"> أَيَّامٍ </w:t>
      </w:r>
      <w:r w:rsidRPr="00A91B96">
        <w:rPr>
          <w:rStyle w:val="libFootnotenumChar"/>
          <w:rtl/>
        </w:rPr>
        <w:t>(11)</w:t>
      </w:r>
      <w:r w:rsidRPr="00020424">
        <w:rPr>
          <w:rtl/>
          <w:lang w:bidi="fa-IR"/>
        </w:rPr>
        <w:t xml:space="preserve"> ؛ وَصَوْمُ </w:t>
      </w:r>
      <w:r w:rsidRPr="00A91B96">
        <w:rPr>
          <w:rStyle w:val="libFootnotenumChar"/>
          <w:rtl/>
        </w:rPr>
        <w:t>(12)</w:t>
      </w:r>
      <w:r w:rsidRPr="00020424">
        <w:rPr>
          <w:rtl/>
          <w:lang w:bidi="fa-IR"/>
        </w:rPr>
        <w:t xml:space="preserve"> الْمُتْعَةِ وَاجِبٌ لِمَنْ لَمْ يَجِدِ الْهَدْيَ ؛ قَالَ اللهُ عَزَّ وَجَلَّ : </w:t>
      </w:r>
      <w:r w:rsidRPr="00005A81">
        <w:rPr>
          <w:rStyle w:val="libAlaemChar"/>
          <w:rtl/>
        </w:rPr>
        <w:t>(</w:t>
      </w:r>
      <w:r w:rsidRPr="004E5AB4">
        <w:rPr>
          <w:rStyle w:val="libAieChar"/>
          <w:rtl/>
        </w:rPr>
        <w:t xml:space="preserve"> فَمَنْ تَمَتَّعَ بِالْعُمْرَةِ إِلَى الْحَجِّ فَمَا اسْتَيْسَرَ مِنَ الْهَدْيِ فَمَنْ لَمْ يَجِدْ فَصِيامُ ثَلاثَةِ أَيّامٍ فِي الْحَجِّ وَسَبْعَةٍ إِذا رَجَعْتُمْ تِلْكَ عَشَرَةٌ كامِلَةٌ </w:t>
      </w:r>
      <w:r w:rsidRPr="00005A81">
        <w:rPr>
          <w:rStyle w:val="libAlaemChar"/>
          <w:rtl/>
        </w:rPr>
        <w:t>)</w:t>
      </w:r>
      <w:r w:rsidRPr="00C6670F">
        <w:rPr>
          <w:rtl/>
        </w:rPr>
        <w:t xml:space="preserve"> ؛</w:t>
      </w:r>
      <w:r w:rsidRPr="00020424">
        <w:rPr>
          <w:rtl/>
          <w:lang w:bidi="fa-IR"/>
        </w:rPr>
        <w:t xml:space="preserve"> </w:t>
      </w:r>
      <w:r w:rsidRPr="00A91B96">
        <w:rPr>
          <w:rStyle w:val="libFootnotenumChar"/>
          <w:rtl/>
        </w:rPr>
        <w:t>(13)</w:t>
      </w:r>
      <w:r w:rsidRPr="00020424">
        <w:rPr>
          <w:rtl/>
          <w:lang w:bidi="fa-IR"/>
        </w:rPr>
        <w:t xml:space="preserve"> وَصَوْمُ جَزَاءِ الصَّيْدِ وَاجِبٌ ؛ قَالَ اللهُ عَزَّ وَجَلَّ : </w:t>
      </w:r>
      <w:r w:rsidRPr="00005A81">
        <w:rPr>
          <w:rStyle w:val="libAlaemChar"/>
          <w:rtl/>
        </w:rPr>
        <w:t>(</w:t>
      </w:r>
      <w:r w:rsidRPr="004E5AB4">
        <w:rPr>
          <w:rStyle w:val="libAieChar"/>
          <w:rtl/>
        </w:rPr>
        <w:t xml:space="preserve"> وَمَنْ قَتَلَهُ مِنْكُمْ مُتَعَمِّداً فَجَزاءٌ مِثْلُ ما قَتَلَ مِنَ النَّعَمِ يَحْكُمُ بِهِ ذَوا عَدْلٍ مِنْكُمْ هَدْياً بالِغَ الْكَعْبَةِ أَوْ كَفّارَةٌ طَعامُ مَساكِينَ أَوْ عَدْلُ ذلِكَ صِياماً </w:t>
      </w:r>
      <w:r w:rsidRPr="00005A81">
        <w:rPr>
          <w:rStyle w:val="libAlaemChar"/>
          <w:rtl/>
        </w:rPr>
        <w:t>)</w:t>
      </w:r>
      <w:r w:rsidRPr="00020424">
        <w:rPr>
          <w:rtl/>
          <w:lang w:bidi="fa-IR"/>
        </w:rPr>
        <w:t xml:space="preserve"> </w:t>
      </w:r>
      <w:r w:rsidRPr="00A91B96">
        <w:rPr>
          <w:rStyle w:val="libFootnotenumChar"/>
          <w:rtl/>
        </w:rPr>
        <w:t>(14)</w:t>
      </w:r>
      <w:r>
        <w:rPr>
          <w:rtl/>
          <w:lang w:bidi="fa-IR"/>
        </w:rPr>
        <w:t xml:space="preserve"> أَ</w:t>
      </w:r>
      <w:r w:rsidRPr="00020424">
        <w:rPr>
          <w:rtl/>
          <w:lang w:bidi="fa-IR"/>
        </w:rPr>
        <w:t xml:space="preserve">وَتَدْرِي </w:t>
      </w:r>
      <w:r w:rsidRPr="00A91B96">
        <w:rPr>
          <w:rStyle w:val="libFootnotenumChar"/>
          <w:rtl/>
        </w:rPr>
        <w:t>(15)</w:t>
      </w:r>
      <w:r w:rsidRPr="00020424">
        <w:rPr>
          <w:rtl/>
          <w:lang w:bidi="fa-IR"/>
        </w:rPr>
        <w:t xml:space="preserve"> كَيْفَ يَكُونُ</w:t>
      </w:r>
      <w:r w:rsidRPr="00005A81">
        <w:rPr>
          <w:rStyle w:val="libAlaemChar"/>
          <w:rtl/>
        </w:rPr>
        <w:t>(</w:t>
      </w:r>
      <w:r w:rsidRPr="004E5AB4">
        <w:rPr>
          <w:rStyle w:val="libAieChar"/>
          <w:rtl/>
        </w:rPr>
        <w:t xml:space="preserve"> عَدْلُ ذلِكَ صِياماً </w:t>
      </w:r>
      <w:r w:rsidRPr="00005A81">
        <w:rPr>
          <w:rStyle w:val="libAlaemChar"/>
          <w:rtl/>
        </w:rPr>
        <w:t>)</w:t>
      </w:r>
      <w:r w:rsidRPr="00020424">
        <w:rPr>
          <w:rtl/>
          <w:lang w:bidi="fa-IR"/>
        </w:rPr>
        <w:t xml:space="preserve"> يَا زُهْرِيُّ</w:t>
      </w:r>
      <w:r>
        <w:rPr>
          <w:rtl/>
          <w:lang w:bidi="fa-IR"/>
        </w:rPr>
        <w:t>؟ ».</w:t>
      </w:r>
    </w:p>
    <w:p w:rsidR="00992664" w:rsidRPr="00020424" w:rsidRDefault="00992664" w:rsidP="00992664">
      <w:pPr>
        <w:pStyle w:val="libLine"/>
        <w:rPr>
          <w:rtl/>
          <w:lang w:bidi="fa-IR"/>
        </w:rPr>
      </w:pPr>
      <w:r w:rsidRPr="00020424">
        <w:rPr>
          <w:rtl/>
          <w:lang w:bidi="fa-IR"/>
        </w:rPr>
        <w:t>__________________</w:t>
      </w:r>
    </w:p>
    <w:p w:rsidR="00992664" w:rsidRPr="00020424" w:rsidRDefault="00992664" w:rsidP="00992664">
      <w:pPr>
        <w:pStyle w:val="libFootnote0"/>
        <w:rPr>
          <w:rtl/>
          <w:lang w:bidi="fa-IR"/>
        </w:rPr>
      </w:pPr>
      <w:r w:rsidRPr="00020424">
        <w:rPr>
          <w:rtl/>
        </w:rPr>
        <w:t>‌</w:t>
      </w:r>
      <w:r w:rsidR="00A24EB3">
        <w:rPr>
          <w:rFonts w:hint="cs"/>
          <w:rtl/>
        </w:rPr>
        <w:t xml:space="preserve">= </w:t>
      </w:r>
      <w:r w:rsidRPr="00020424">
        <w:rPr>
          <w:rtl/>
        </w:rPr>
        <w:t xml:space="preserve">الله تعالى : </w:t>
      </w:r>
      <w:r w:rsidRPr="00A24EB3">
        <w:rPr>
          <w:rStyle w:val="libFootnoteAlaemChar"/>
          <w:rtl/>
        </w:rPr>
        <w:t>(</w:t>
      </w:r>
      <w:r w:rsidRPr="006B2AC6">
        <w:rPr>
          <w:rStyle w:val="libFootnoteAieChar"/>
          <w:rFonts w:hint="cs"/>
          <w:rtl/>
        </w:rPr>
        <w:t xml:space="preserve"> </w:t>
      </w:r>
      <w:r w:rsidRPr="006B2AC6">
        <w:rPr>
          <w:rStyle w:val="libFootnoteAieChar"/>
          <w:rtl/>
        </w:rPr>
        <w:t xml:space="preserve">فَمَنْ لَمْ يَجِدْ فَصِيامُ شَهْرَيْنِ مُتَتابِعَيْنِ </w:t>
      </w:r>
      <w:r w:rsidRPr="00A24EB3">
        <w:rPr>
          <w:rStyle w:val="libFootnoteAlaemChar"/>
          <w:rtl/>
        </w:rPr>
        <w:t>)</w:t>
      </w:r>
      <w:r w:rsidRPr="00A24EB3">
        <w:rPr>
          <w:rStyle w:val="libNormalChar"/>
          <w:rtl/>
        </w:rPr>
        <w:t xml:space="preserve"> </w:t>
      </w:r>
      <w:r w:rsidRPr="00A24EB3">
        <w:rPr>
          <w:rStyle w:val="libFootnoteAlaemChar"/>
          <w:rtl/>
        </w:rPr>
        <w:t>(</w:t>
      </w:r>
      <w:r w:rsidRPr="006B2AC6">
        <w:rPr>
          <w:rStyle w:val="libFootnoteAieChar"/>
          <w:rtl/>
        </w:rPr>
        <w:t xml:space="preserve"> مِنْ قَبْلِ أَنْ يَتَمَاسّا </w:t>
      </w:r>
      <w:r w:rsidRPr="00A24EB3">
        <w:rPr>
          <w:rStyle w:val="libFootnoteAlaemChar"/>
          <w:rtl/>
        </w:rPr>
        <w:t>)</w:t>
      </w:r>
      <w:r w:rsidRPr="00020424">
        <w:rPr>
          <w:rtl/>
        </w:rPr>
        <w:t>. » بدل</w:t>
      </w:r>
      <w:r w:rsidRPr="00A24EB3">
        <w:rPr>
          <w:rStyle w:val="libFootnoteAlaemChar"/>
          <w:rtl/>
        </w:rPr>
        <w:t>(</w:t>
      </w:r>
      <w:r w:rsidRPr="006B2AC6">
        <w:rPr>
          <w:rStyle w:val="libFootnoteAieChar"/>
          <w:rFonts w:hint="cs"/>
          <w:rtl/>
        </w:rPr>
        <w:t xml:space="preserve"> </w:t>
      </w:r>
      <w:r w:rsidRPr="006B2AC6">
        <w:rPr>
          <w:rStyle w:val="libFootnoteAieChar"/>
          <w:rtl/>
        </w:rPr>
        <w:t xml:space="preserve">تَوْبَةً مِنَ اللهِ وَكانَ اللهُ عَلِيماً حَكِيماً </w:t>
      </w:r>
      <w:r w:rsidRPr="00A24EB3">
        <w:rPr>
          <w:rStyle w:val="libFootnoteAlaemChar"/>
          <w:rtl/>
        </w:rPr>
        <w:t>)</w:t>
      </w:r>
      <w:r>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A24EB3">
        <w:rPr>
          <w:rtl/>
        </w:rPr>
        <w:t xml:space="preserve">في الوافي والفقيه وتفسير القمّي : + « لمن لم يجد </w:t>
      </w:r>
      <w:r w:rsidR="00992664" w:rsidRPr="00020424">
        <w:rPr>
          <w:rtl/>
        </w:rPr>
        <w:t>الإطعام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w:t>
      </w:r>
      <w:r w:rsidR="00992664" w:rsidRPr="00A24EB3">
        <w:rPr>
          <w:rtl/>
        </w:rPr>
        <w:t xml:space="preserve"> الوافي والفقيه وتفسير القمّي والخصال </w:t>
      </w:r>
      <w:r w:rsidR="00992664" w:rsidRPr="00020424">
        <w:rPr>
          <w:rtl/>
        </w:rPr>
        <w:t xml:space="preserve">: + </w:t>
      </w:r>
      <w:r w:rsidR="00992664" w:rsidRPr="00A24EB3">
        <w:rPr>
          <w:rStyle w:val="libFootnoteAlaemChar"/>
          <w:rtl/>
        </w:rPr>
        <w:t>(</w:t>
      </w:r>
      <w:r w:rsidR="00992664" w:rsidRPr="006B2AC6">
        <w:rPr>
          <w:rStyle w:val="libFootnoteAieChar"/>
          <w:rtl/>
        </w:rPr>
        <w:t xml:space="preserve"> فَمَن لَّمْ يَجِدْ </w:t>
      </w:r>
      <w:r w:rsidR="00992664" w:rsidRPr="00A24EB3">
        <w:rPr>
          <w:rStyle w:val="libFootnoteAlaemChar"/>
          <w:rtl/>
        </w:rPr>
        <w:t>)</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المائدة </w:t>
      </w:r>
      <w:r w:rsidR="00755408">
        <w:rPr>
          <w:rtl/>
        </w:rPr>
        <w:t>(5)</w:t>
      </w:r>
      <w:r w:rsidR="0014403D">
        <w:rPr>
          <w:rtl/>
        </w:rPr>
        <w:t xml:space="preserve"> </w:t>
      </w:r>
      <w:r w:rsidR="00992664" w:rsidRPr="00020424">
        <w:rPr>
          <w:rtl/>
        </w:rPr>
        <w:t>: 89.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بث ، بح ، بخ ، بف » </w:t>
      </w:r>
      <w:r w:rsidR="00992664" w:rsidRPr="00515444">
        <w:rPr>
          <w:rStyle w:val="libFootnoteBoldChar"/>
          <w:rtl/>
        </w:rPr>
        <w:t>والتهذيب</w:t>
      </w:r>
      <w:r w:rsidR="00992664" w:rsidRPr="00020424">
        <w:rPr>
          <w:rtl/>
        </w:rPr>
        <w:t xml:space="preserve"> : « لم يجد</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A24EB3">
        <w:rPr>
          <w:rtl/>
        </w:rPr>
        <w:t>الوافي والفقيه وتفسير القمّي والخصال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هذا لمن لا يجد الإطعام</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لمن لا يجد الإطعام ، أي لم يجده ، أو لم يجد أخويه أيضاً ، وهما العتق والكسوة ، وإمّا تركهما </w:t>
      </w:r>
      <w:r w:rsidR="00992664" w:rsidRPr="00D64ADA">
        <w:rPr>
          <w:rStyle w:val="libFootnoteAlaemChar"/>
          <w:rtl/>
        </w:rPr>
        <w:t>عليه‌السلام</w:t>
      </w:r>
      <w:r w:rsidR="00992664" w:rsidRPr="00020424">
        <w:rPr>
          <w:rtl/>
        </w:rPr>
        <w:t xml:space="preserve"> للظهور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البقرة </w:t>
      </w:r>
      <w:r w:rsidR="00755408">
        <w:rPr>
          <w:rtl/>
        </w:rPr>
        <w:t>(2)</w:t>
      </w:r>
      <w:r w:rsidR="0014403D">
        <w:rPr>
          <w:rtl/>
        </w:rPr>
        <w:t xml:space="preserve"> </w:t>
      </w:r>
      <w:r w:rsidR="00992664" w:rsidRPr="00020424">
        <w:rPr>
          <w:rtl/>
        </w:rPr>
        <w:t>: 196.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بر » </w:t>
      </w:r>
      <w:r w:rsidR="00992664" w:rsidRPr="00FD6221">
        <w:rPr>
          <w:rStyle w:val="libFootnoteBoldChar"/>
          <w:rtl/>
        </w:rPr>
        <w:t>والخصال</w:t>
      </w:r>
      <w:r w:rsidR="00992664" w:rsidRPr="00020424">
        <w:rPr>
          <w:rtl/>
        </w:rPr>
        <w:t xml:space="preserve"> : « وصاحبها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 + « شاء</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ى ، بح »</w:t>
      </w:r>
      <w:r w:rsidR="00992664" w:rsidRPr="00A24EB3">
        <w:rPr>
          <w:rtl/>
        </w:rPr>
        <w:t xml:space="preserve"> والتهذيب وتفسير القمّي</w:t>
      </w:r>
      <w:r w:rsidR="00992664" w:rsidRPr="00020424">
        <w:rPr>
          <w:rtl/>
        </w:rPr>
        <w:t xml:space="preserve"> : « شاء</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بف</w:t>
      </w:r>
      <w:r w:rsidR="00992664" w:rsidRPr="00A24EB3">
        <w:rPr>
          <w:rtl/>
        </w:rPr>
        <w:t xml:space="preserve"> » والوافي والفقيه والتهذيب :</w:t>
      </w:r>
      <w:r w:rsidR="00992664" w:rsidRPr="00020424">
        <w:rPr>
          <w:rtl/>
        </w:rPr>
        <w:t xml:space="preserve"> « ثلاثاً</w:t>
      </w:r>
      <w:r w:rsidR="00992664">
        <w:rPr>
          <w:rtl/>
        </w:rPr>
        <w:t xml:space="preserve"> ».</w:t>
      </w:r>
      <w:r w:rsidR="00992664" w:rsidRPr="00020424">
        <w:rPr>
          <w:rtl/>
        </w:rPr>
        <w:t xml:space="preserve"> وفي تفسير القمّي </w:t>
      </w:r>
      <w:r w:rsidR="00992664" w:rsidRPr="00FD6221">
        <w:rPr>
          <w:rStyle w:val="libFootnoteBoldChar"/>
          <w:rtl/>
        </w:rPr>
        <w:t>والخصال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ثلاثة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بر ، بف </w:t>
      </w:r>
      <w:r w:rsidR="00992664" w:rsidRPr="00A24EB3">
        <w:rPr>
          <w:rtl/>
        </w:rPr>
        <w:t xml:space="preserve">» والوافي والفقيه والتهذيب وتفسير القمّي والخصال : </w:t>
      </w:r>
      <w:r w:rsidR="009B673F">
        <w:rPr>
          <w:rtl/>
        </w:rPr>
        <w:t>-</w:t>
      </w:r>
      <w:r w:rsidR="00992664">
        <w:rPr>
          <w:rtl/>
        </w:rPr>
        <w:t xml:space="preserve"> </w:t>
      </w:r>
      <w:r w:rsidR="00992664" w:rsidRPr="00020424">
        <w:rPr>
          <w:rtl/>
        </w:rPr>
        <w:t>« أيّام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755408">
        <w:rPr>
          <w:rtl/>
        </w:rPr>
        <w:t xml:space="preserve">الوافي والفقيه والتهذيب وتفسير القمّي والخصال </w:t>
      </w:r>
      <w:r w:rsidR="00992664" w:rsidRPr="00020424">
        <w:rPr>
          <w:rtl/>
        </w:rPr>
        <w:t>: + « دم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55408" w:rsidTr="00755408">
        <w:tc>
          <w:tcPr>
            <w:tcW w:w="4006" w:type="dxa"/>
          </w:tcPr>
          <w:p w:rsidR="00755408" w:rsidRDefault="00755408" w:rsidP="00992664">
            <w:pPr>
              <w:pStyle w:val="libFootnote0"/>
              <w:rPr>
                <w:rtl/>
              </w:rPr>
            </w:pPr>
            <w:r>
              <w:rPr>
                <w:rtl/>
              </w:rPr>
              <w:t xml:space="preserve">(13). </w:t>
            </w:r>
            <w:r w:rsidRPr="00020424">
              <w:rPr>
                <w:rtl/>
              </w:rPr>
              <w:t xml:space="preserve">البقرة </w:t>
            </w:r>
            <w:r>
              <w:rPr>
                <w:rtl/>
              </w:rPr>
              <w:t xml:space="preserve">(2) </w:t>
            </w:r>
            <w:r w:rsidRPr="00020424">
              <w:rPr>
                <w:rtl/>
              </w:rPr>
              <w:t>: 196.</w:t>
            </w:r>
          </w:p>
        </w:tc>
        <w:tc>
          <w:tcPr>
            <w:tcW w:w="4006" w:type="dxa"/>
          </w:tcPr>
          <w:p w:rsidR="00755408" w:rsidRDefault="00755408" w:rsidP="00992664">
            <w:pPr>
              <w:pStyle w:val="libFootnote0"/>
              <w:rPr>
                <w:rtl/>
              </w:rPr>
            </w:pPr>
            <w:r>
              <w:rPr>
                <w:rtl/>
              </w:rPr>
              <w:t xml:space="preserve">(14). </w:t>
            </w:r>
            <w:r w:rsidRPr="00020424">
              <w:rPr>
                <w:rtl/>
              </w:rPr>
              <w:t xml:space="preserve">المائدة </w:t>
            </w:r>
            <w:r>
              <w:rPr>
                <w:rtl/>
              </w:rPr>
              <w:t xml:space="preserve">(5) </w:t>
            </w:r>
            <w:r w:rsidRPr="00020424">
              <w:rPr>
                <w:rtl/>
              </w:rPr>
              <w:t>: 95.</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ثمّ قال : أو تدري</w:t>
      </w:r>
      <w:r w:rsidR="00992664">
        <w:rPr>
          <w:rtl/>
        </w:rPr>
        <w:t xml:space="preserve"> ». وفي </w:t>
      </w:r>
      <w:r w:rsidR="00992664" w:rsidRPr="0012008A">
        <w:rPr>
          <w:rStyle w:val="libFootnoteBoldChar"/>
          <w:rtl/>
        </w:rPr>
        <w:t>التهذيب</w:t>
      </w:r>
      <w:r w:rsidR="00992664">
        <w:rPr>
          <w:rtl/>
        </w:rPr>
        <w:t xml:space="preserve"> : « أ</w:t>
      </w:r>
      <w:r w:rsidR="00992664" w:rsidRPr="00020424">
        <w:rPr>
          <w:rtl/>
        </w:rPr>
        <w:t>تدري » بدون الواو.</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قُلْتُ لَا</w:t>
      </w:r>
      <w:r>
        <w:rPr>
          <w:rFonts w:hint="cs"/>
          <w:rtl/>
          <w:lang w:bidi="fa-IR"/>
        </w:rPr>
        <w:t xml:space="preserve"> </w:t>
      </w:r>
      <w:r w:rsidRPr="00020424">
        <w:rPr>
          <w:rtl/>
          <w:lang w:bidi="fa-IR"/>
        </w:rPr>
        <w:t xml:space="preserve">أَدْرِي </w:t>
      </w:r>
      <w:r w:rsidRPr="00A91B96">
        <w:rPr>
          <w:rStyle w:val="libFootnotenumChar"/>
          <w:rtl/>
        </w:rPr>
        <w:t>(2)</w:t>
      </w:r>
    </w:p>
    <w:p w:rsidR="00992664" w:rsidRPr="00020424" w:rsidRDefault="00992664" w:rsidP="00992664">
      <w:pPr>
        <w:pStyle w:val="libNormal"/>
        <w:rPr>
          <w:rtl/>
          <w:lang w:bidi="fa-IR"/>
        </w:rPr>
      </w:pPr>
      <w:r w:rsidRPr="00020424">
        <w:rPr>
          <w:rtl/>
          <w:lang w:bidi="fa-IR"/>
        </w:rPr>
        <w:t xml:space="preserve">قَالَ : « يُقَوَّمُ </w:t>
      </w:r>
      <w:r w:rsidRPr="00A91B96">
        <w:rPr>
          <w:rStyle w:val="libFootnotenumChar"/>
          <w:rtl/>
        </w:rPr>
        <w:t>(3)</w:t>
      </w:r>
      <w:r w:rsidRPr="00020424">
        <w:rPr>
          <w:rtl/>
          <w:lang w:bidi="fa-IR"/>
        </w:rPr>
        <w:t xml:space="preserve"> الصَّيْدُ قِيمَةَ عَدْلٍ </w:t>
      </w:r>
      <w:r w:rsidRPr="00A91B96">
        <w:rPr>
          <w:rStyle w:val="libFootnotenumChar"/>
          <w:rtl/>
        </w:rPr>
        <w:t>(4)</w:t>
      </w:r>
      <w:r w:rsidRPr="00020424">
        <w:rPr>
          <w:rtl/>
          <w:lang w:bidi="fa-IR"/>
        </w:rPr>
        <w:t xml:space="preserve"> ، ثُمَّ تُفَضُّ </w:t>
      </w:r>
      <w:r w:rsidRPr="00A91B96">
        <w:rPr>
          <w:rStyle w:val="libFootnotenumChar"/>
          <w:rtl/>
        </w:rPr>
        <w:t>(5)</w:t>
      </w:r>
      <w:r w:rsidRPr="00020424">
        <w:rPr>
          <w:rtl/>
          <w:lang w:bidi="fa-IR"/>
        </w:rPr>
        <w:t xml:space="preserve"> تِلْكَ الْقِيمَةُ عَلَى الْبُرِّ ، ثُمَّ يُكَالُ ذلِكَ الْبُرُّ أَصْوَاعاً ، فَيَصُومُ لِكُلِّ نِصْفِ صَاعٍ يَوْماً ؛ وَصَوْمُ النَّذْرِ </w:t>
      </w:r>
      <w:r w:rsidRPr="00A91B96">
        <w:rPr>
          <w:rStyle w:val="libFootnotenumChar"/>
          <w:rtl/>
        </w:rPr>
        <w:t>(6)</w:t>
      </w:r>
      <w:r w:rsidRPr="00020424">
        <w:rPr>
          <w:rtl/>
          <w:lang w:bidi="fa-IR"/>
        </w:rPr>
        <w:t xml:space="preserve"> وَاجِبٌ </w:t>
      </w:r>
      <w:r w:rsidRPr="00A91B96">
        <w:rPr>
          <w:rStyle w:val="libFootnotenumChar"/>
          <w:rtl/>
        </w:rPr>
        <w:t>(7)</w:t>
      </w:r>
      <w:r w:rsidRPr="00020424">
        <w:rPr>
          <w:rtl/>
          <w:lang w:bidi="fa-IR"/>
        </w:rPr>
        <w:t xml:space="preserve"> ، وَصَوْمُ الِاعْتِكَافِ وَاجِبٌ </w:t>
      </w:r>
      <w:r w:rsidRPr="00A91B96">
        <w:rPr>
          <w:rStyle w:val="libFootnotenumChar"/>
          <w:rtl/>
        </w:rPr>
        <w:t>(8)</w:t>
      </w:r>
    </w:p>
    <w:p w:rsidR="00992664" w:rsidRPr="00020424" w:rsidRDefault="00992664" w:rsidP="00992664">
      <w:pPr>
        <w:pStyle w:val="libNormal"/>
        <w:rPr>
          <w:rtl/>
          <w:lang w:bidi="fa-IR"/>
        </w:rPr>
      </w:pPr>
      <w:r w:rsidRPr="00020424">
        <w:rPr>
          <w:rtl/>
          <w:lang w:bidi="fa-IR"/>
        </w:rPr>
        <w:t xml:space="preserve">وَأَمَّا الصَّوْمُ الْحَرَامُ : فَصَوْمُ يَوْمِ الْفِطْرِ ، وَيَوْمِ الْأَضْحى ، وَثَلَاثَةِ أَيَّامٍ مِنْ أَيَّامِ </w:t>
      </w:r>
      <w:r w:rsidRPr="00A91B96">
        <w:rPr>
          <w:rStyle w:val="libFootnotenumChar"/>
          <w:rtl/>
        </w:rPr>
        <w:t>(9)</w:t>
      </w:r>
      <w:r w:rsidRPr="00020424">
        <w:rPr>
          <w:rtl/>
          <w:lang w:bidi="fa-IR"/>
        </w:rPr>
        <w:t xml:space="preserve"> التَّشْرِيقِ ، وَصَوْمُ يَوْمِ الشَّكِّ أُمِرْنَا بِهِ وَنُهِينَا عَنْهُ ، أُمِرْنَا بِهِ أَنْ نَصُومَهُ مَعَ صِيَامِ شَعْبَانَ ، وَنُهِينَا عَنْهُ </w:t>
      </w:r>
      <w:r w:rsidRPr="00A91B96">
        <w:rPr>
          <w:rStyle w:val="libFootnotenumChar"/>
          <w:rtl/>
        </w:rPr>
        <w:t>(10)</w:t>
      </w:r>
      <w:r w:rsidRPr="00020424">
        <w:rPr>
          <w:rtl/>
          <w:lang w:bidi="fa-IR"/>
        </w:rPr>
        <w:t xml:space="preserve"> أَنْ يَنْفَرِدَ </w:t>
      </w:r>
      <w:r w:rsidRPr="00A91B96">
        <w:rPr>
          <w:rStyle w:val="libFootnotenumChar"/>
          <w:rtl/>
        </w:rPr>
        <w:t>(11)</w:t>
      </w:r>
      <w:r w:rsidRPr="00020424">
        <w:rPr>
          <w:rtl/>
          <w:lang w:bidi="fa-IR"/>
        </w:rPr>
        <w:t xml:space="preserve"> الرَّجُلُ بِصِيَامِهِ </w:t>
      </w:r>
      <w:r w:rsidRPr="00A91B96">
        <w:rPr>
          <w:rStyle w:val="libFootnotenumChar"/>
          <w:rtl/>
        </w:rPr>
        <w:t>(12)</w:t>
      </w:r>
      <w:r w:rsidRPr="00020424">
        <w:rPr>
          <w:rtl/>
          <w:lang w:bidi="fa-IR"/>
        </w:rPr>
        <w:t xml:space="preserve"> فِي الْيَوْمِ الَّذِي يَشُكُّ فِيهِ النَّاسُ</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بف » </w:t>
      </w:r>
      <w:r w:rsidR="00992664" w:rsidRPr="00EB1FD9">
        <w:rPr>
          <w:rStyle w:val="libFootnoteBoldChar"/>
          <w:rtl/>
        </w:rPr>
        <w:t>وتفسير القمّي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تفسير القمّي :</w:t>
      </w:r>
      <w:r w:rsidR="00992664">
        <w:rPr>
          <w:rtl/>
        </w:rPr>
        <w:t xml:space="preserve"> </w:t>
      </w:r>
      <w:r w:rsidR="009B673F">
        <w:rPr>
          <w:rtl/>
        </w:rPr>
        <w:t>-</w:t>
      </w:r>
      <w:r w:rsidR="00992664">
        <w:rPr>
          <w:rtl/>
        </w:rPr>
        <w:t xml:space="preserve"> </w:t>
      </w:r>
      <w:r w:rsidR="00992664" w:rsidRPr="00020424">
        <w:rPr>
          <w:rtl/>
        </w:rPr>
        <w:t>« أدري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w:t>
      </w:r>
      <w:r w:rsidR="00992664" w:rsidRPr="00FD6221">
        <w:rPr>
          <w:rStyle w:val="libFootnoteBoldChar"/>
          <w:rtl/>
        </w:rPr>
        <w:t>والخصال</w:t>
      </w:r>
      <w:r w:rsidR="00992664" w:rsidRPr="00020424">
        <w:rPr>
          <w:rtl/>
        </w:rPr>
        <w:t xml:space="preserve"> : « تقوّم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يقوّم الصيد قيمة [ قيمة عدل ]</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قيمة عادلة » بدل « قيمة عدل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بر ، بف ، جن » </w:t>
      </w:r>
      <w:r w:rsidR="00992664" w:rsidRPr="00EB1FD9">
        <w:rPr>
          <w:rStyle w:val="libFootnoteBoldChar"/>
          <w:rtl/>
        </w:rPr>
        <w:t>والوسائل</w:t>
      </w:r>
      <w:r w:rsidR="00992664" w:rsidRPr="00020424">
        <w:rPr>
          <w:rtl/>
        </w:rPr>
        <w:t xml:space="preserve"> : « يفضّ</w:t>
      </w:r>
      <w:r w:rsidR="00992664">
        <w:rPr>
          <w:rtl/>
        </w:rPr>
        <w:t xml:space="preserve"> ».</w:t>
      </w:r>
      <w:r w:rsidR="00992664" w:rsidRPr="00020424">
        <w:rPr>
          <w:rtl/>
        </w:rPr>
        <w:t xml:space="preserve"> وفي تفسير القمّي : « تنقض</w:t>
      </w:r>
      <w:r w:rsidR="00992664">
        <w:rPr>
          <w:rtl/>
        </w:rPr>
        <w:t xml:space="preserve"> ».</w:t>
      </w:r>
      <w:r w:rsidR="00992664" w:rsidRPr="00020424">
        <w:rPr>
          <w:rtl/>
        </w:rPr>
        <w:t xml:space="preserve"> وفي فقه الرضا : « يشتري</w:t>
      </w:r>
      <w:r w:rsidR="00992664">
        <w:rPr>
          <w:rtl/>
        </w:rPr>
        <w:t xml:space="preserve"> ».</w:t>
      </w:r>
      <w:r w:rsidR="00992664" w:rsidRPr="00020424">
        <w:rPr>
          <w:rtl/>
        </w:rPr>
        <w:t xml:space="preserve"> </w:t>
      </w:r>
      <w:r w:rsidR="00992664">
        <w:rPr>
          <w:rtl/>
        </w:rPr>
        <w:t>و «</w:t>
      </w:r>
      <w:r w:rsidR="00992664" w:rsidRPr="00020424">
        <w:rPr>
          <w:rtl/>
        </w:rPr>
        <w:t xml:space="preserve"> تُفَضُّ » أي تكسر ؛ من الفضّ بمعنى التفرقة والكسر. وقيل : الفضّ : الكسر مع التفرقة. راجع : </w:t>
      </w:r>
      <w:r w:rsidR="00992664" w:rsidRPr="0012008A">
        <w:rPr>
          <w:rStyle w:val="libFootnoteBoldChar"/>
          <w:rtl/>
        </w:rPr>
        <w:t>الصحاح</w:t>
      </w:r>
      <w:r w:rsidR="00992664" w:rsidRPr="00020424">
        <w:rPr>
          <w:rtl/>
        </w:rPr>
        <w:t xml:space="preserve"> ، ج 3 ، ص 1098 ؛ </w:t>
      </w:r>
      <w:r w:rsidR="00992664" w:rsidRPr="0012008A">
        <w:rPr>
          <w:rStyle w:val="libFootnoteBoldChar"/>
          <w:rtl/>
        </w:rPr>
        <w:t>النهاية</w:t>
      </w:r>
      <w:r w:rsidR="00992664" w:rsidRPr="00020424">
        <w:rPr>
          <w:rtl/>
        </w:rPr>
        <w:t xml:space="preserve"> ، ج 3 ، ص 454 ( فضض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وصوم النذر ، لعلّه ما يشمل العهد واليمين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واجب</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وصوم الاعتكاف واجب ، المراد به إمّا الوجوب الشرطي بمعنى عدم تحقّق الاعتكاف بدونه ، أو لكلّ ثالث ، كما سيأتي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بس » </w:t>
      </w:r>
      <w:r w:rsidR="00992664" w:rsidRPr="00FD6221">
        <w:rPr>
          <w:rStyle w:val="libFootnoteBoldChar"/>
          <w:rtl/>
        </w:rPr>
        <w:t>والفقيه</w:t>
      </w:r>
      <w:r w:rsidR="00992664" w:rsidRPr="00020424">
        <w:rPr>
          <w:rtl/>
        </w:rPr>
        <w:t xml:space="preserve"> </w:t>
      </w:r>
      <w:r w:rsidR="00992664" w:rsidRPr="00EB1FD9">
        <w:rPr>
          <w:rStyle w:val="libFootnoteBoldChar"/>
          <w:rtl/>
        </w:rPr>
        <w:t>وتفسير القمّي</w:t>
      </w:r>
      <w:r w:rsidR="00992664" w:rsidRPr="00020424">
        <w:rPr>
          <w:rtl/>
        </w:rPr>
        <w:t xml:space="preserve"> وفقه الرضا :</w:t>
      </w:r>
      <w:r w:rsidR="00992664">
        <w:rPr>
          <w:rtl/>
        </w:rPr>
        <w:t xml:space="preserve"> </w:t>
      </w:r>
      <w:r w:rsidR="009B673F">
        <w:rPr>
          <w:rtl/>
        </w:rPr>
        <w:t>-</w:t>
      </w:r>
      <w:r w:rsidR="00992664">
        <w:rPr>
          <w:rtl/>
        </w:rPr>
        <w:t xml:space="preserve"> </w:t>
      </w:r>
      <w:r w:rsidR="00992664" w:rsidRPr="00020424">
        <w:rPr>
          <w:rtl/>
        </w:rPr>
        <w:t>« من أيّام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عنه</w:t>
      </w:r>
      <w:r w:rsidR="00992664">
        <w:rPr>
          <w:rtl/>
        </w:rPr>
        <w:t xml:space="preserve"> ».</w:t>
      </w:r>
      <w:r w:rsidR="00992664" w:rsidRPr="00020424">
        <w:rPr>
          <w:rtl/>
        </w:rPr>
        <w:t xml:space="preserve"> وفي تفسير القمّي :</w:t>
      </w:r>
      <w:r w:rsidR="00992664">
        <w:rPr>
          <w:rtl/>
        </w:rPr>
        <w:t xml:space="preserve"> </w:t>
      </w:r>
      <w:r w:rsidR="009B673F">
        <w:rPr>
          <w:rtl/>
        </w:rPr>
        <w:t>-</w:t>
      </w:r>
      <w:r w:rsidR="00992664">
        <w:rPr>
          <w:rtl/>
        </w:rPr>
        <w:t xml:space="preserve"> </w:t>
      </w:r>
      <w:r w:rsidR="00992664" w:rsidRPr="00020424">
        <w:rPr>
          <w:rtl/>
        </w:rPr>
        <w:t>« امرنا به أن نصومه مع صيام شعبان ونهينا عنه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w:t>
      </w:r>
      <w:r w:rsidR="00992664" w:rsidRPr="00EB1FD9">
        <w:rPr>
          <w:rStyle w:val="libFootnoteBoldChar"/>
          <w:rtl/>
        </w:rPr>
        <w:t>وتفسير القمّي</w:t>
      </w:r>
      <w:r w:rsidR="00992664" w:rsidRPr="00020424">
        <w:rPr>
          <w:rtl/>
        </w:rPr>
        <w:t xml:space="preserve"> : « أن يتفرّد</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قوله </w:t>
      </w:r>
      <w:r w:rsidR="00992664" w:rsidRPr="00D64ADA">
        <w:rPr>
          <w:rStyle w:val="libFootnoteAlaemChar"/>
          <w:rtl/>
        </w:rPr>
        <w:t>عليه‌السلام</w:t>
      </w:r>
      <w:r w:rsidR="00992664" w:rsidRPr="00020424">
        <w:rPr>
          <w:rtl/>
        </w:rPr>
        <w:t xml:space="preserve"> : أن ينفرد الرجل بصيامه ، إضافة إلى الفاعل ، وانفراده به عبارة عن انفراده عن سائر أيّام شعبان بالصيام ؛ فإنّه مظنّة لاعتقاده وجوبه وكونه من شهر رمضان. أو المراد انفراده من بين جمهور الناس بصيامه من شهر رمضان مع عدم ثبوت كونه منه ، يدلّ على هذا حديث الزهري الآتي في باب صيام يوم الشكّ في هذا المعنى ؛ فإنّه نصّ</w:t>
      </w:r>
      <w:r w:rsidR="00A63D9B">
        <w:rPr>
          <w:rtl/>
        </w:rPr>
        <w:t xml:space="preserve"> فيه ، وهو بعينه هذا الحديث إل</w:t>
      </w:r>
      <w:r w:rsidR="00A63D9B">
        <w:rPr>
          <w:rFonts w:hint="cs"/>
          <w:rtl/>
        </w:rPr>
        <w:t>ّ</w:t>
      </w:r>
      <w:r w:rsidR="00A63D9B">
        <w:rPr>
          <w:rtl/>
        </w:rPr>
        <w:t>ا</w:t>
      </w:r>
      <w:r w:rsidR="00992664">
        <w:rPr>
          <w:rFonts w:hint="cs"/>
          <w:rtl/>
        </w:rPr>
        <w:t xml:space="preserve"> </w:t>
      </w:r>
      <w:r w:rsidR="00992664" w:rsidRPr="00020424">
        <w:rPr>
          <w:rtl/>
        </w:rPr>
        <w:t xml:space="preserve">أنّه أورده بأبين من هذا ، ويأتي تمام تحقيق هذا </w:t>
      </w:r>
      <w:r w:rsidR="00A63D9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فَقُلْتُ لَهُ : جُعِلْتُ فِدَاكَ ، فَإِنْ لَمْ يَكُنْ صَامَ مِنْ شَعْبَانَ شَيْئاً ، كَيْفَ </w:t>
      </w:r>
      <w:r w:rsidRPr="00A91B96">
        <w:rPr>
          <w:rStyle w:val="libFootnotenumChar"/>
          <w:rtl/>
        </w:rPr>
        <w:t>(1)</w:t>
      </w:r>
      <w:r w:rsidRPr="00020424">
        <w:rPr>
          <w:rtl/>
          <w:lang w:bidi="fa-IR"/>
        </w:rPr>
        <w:t xml:space="preserve"> يَصْنَعُ</w:t>
      </w:r>
      <w:r>
        <w:rPr>
          <w:rtl/>
          <w:lang w:bidi="fa-IR"/>
        </w:rPr>
        <w:t>؟</w:t>
      </w:r>
    </w:p>
    <w:p w:rsidR="00992664" w:rsidRPr="00020424" w:rsidRDefault="00992664" w:rsidP="00992664">
      <w:pPr>
        <w:pStyle w:val="libNormal"/>
        <w:rPr>
          <w:rtl/>
          <w:lang w:bidi="fa-IR"/>
        </w:rPr>
      </w:pPr>
      <w:r w:rsidRPr="00020424">
        <w:rPr>
          <w:rtl/>
          <w:lang w:bidi="fa-IR"/>
        </w:rPr>
        <w:t xml:space="preserve">قَالَ : « يَنْوِي لَيْلَةَ الشَّكِّ أَنَّهُ صَائِمٌ </w:t>
      </w:r>
      <w:r w:rsidRPr="00A91B96">
        <w:rPr>
          <w:rStyle w:val="libFootnotenumChar"/>
          <w:rtl/>
        </w:rPr>
        <w:t>(2)</w:t>
      </w:r>
      <w:r w:rsidRPr="00020424">
        <w:rPr>
          <w:rtl/>
          <w:lang w:bidi="fa-IR"/>
        </w:rPr>
        <w:t xml:space="preserve"> مِنْ شَعْبَانَ ، فَإِنْ كَانَ مِنْ شَهْرِ رَمَضَانَ ، أَجْزَأَ عَنْهُ ، وَإِنْ كَانَ مِنْ شَعْبَانَ ، لَمْ يَضُرَّهُ</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B30F6B" w:rsidP="00992664">
      <w:pPr>
        <w:pStyle w:val="libFootnote0"/>
        <w:rPr>
          <w:rtl/>
          <w:lang w:bidi="fa-IR"/>
        </w:rPr>
      </w:pPr>
      <w:r>
        <w:rPr>
          <w:rFonts w:hint="cs"/>
          <w:rtl/>
        </w:rPr>
        <w:t xml:space="preserve">= </w:t>
      </w:r>
      <w:r w:rsidR="00992664" w:rsidRPr="00020424">
        <w:rPr>
          <w:rtl/>
        </w:rPr>
        <w:t xml:space="preserve">المقام في ذلك الباب مع معنى قوله </w:t>
      </w:r>
      <w:r w:rsidR="00992664" w:rsidRPr="00D64ADA">
        <w:rPr>
          <w:rStyle w:val="libFootnoteAlaemChar"/>
          <w:rtl/>
        </w:rPr>
        <w:t>عليه‌السلام</w:t>
      </w:r>
      <w:r w:rsidR="00992664" w:rsidRPr="00020424">
        <w:rPr>
          <w:rtl/>
        </w:rPr>
        <w:t xml:space="preserve"> : وا</w:t>
      </w:r>
      <w:r>
        <w:rPr>
          <w:rFonts w:hint="cs"/>
          <w:rtl/>
        </w:rPr>
        <w:t>ُ</w:t>
      </w:r>
      <w:r w:rsidR="00992664" w:rsidRPr="00020424">
        <w:rPr>
          <w:rtl/>
        </w:rPr>
        <w:t xml:space="preserve">مرنا به أن نصومه مع صيام شعبان ، إن شاء الله. وكان قد سقط من </w:t>
      </w:r>
      <w:r w:rsidR="00992664" w:rsidRPr="00DE76B9">
        <w:rPr>
          <w:rStyle w:val="libFootnoteBoldChar"/>
          <w:rtl/>
        </w:rPr>
        <w:t>الكافي</w:t>
      </w:r>
      <w:r w:rsidR="00992664" w:rsidRPr="00020424">
        <w:rPr>
          <w:rtl/>
        </w:rPr>
        <w:t xml:space="preserve"> في النسخ التي رأيناها منه كلمات من هذا الحديث نقلناها من </w:t>
      </w:r>
      <w:r w:rsidR="00992664" w:rsidRPr="0012008A">
        <w:rPr>
          <w:rStyle w:val="libFootnoteBoldChar"/>
          <w:rtl/>
        </w:rPr>
        <w:t>التهذيب</w:t>
      </w:r>
      <w:r w:rsidR="00992664" w:rsidRPr="00020424">
        <w:rPr>
          <w:rtl/>
        </w:rPr>
        <w:t xml:space="preserve"> ، حيث أسند الحديث إلى صاحب </w:t>
      </w:r>
      <w:r w:rsidR="00992664" w:rsidRPr="00DE76B9">
        <w:rPr>
          <w:rStyle w:val="libFootnoteBoldChar"/>
          <w:rtl/>
        </w:rPr>
        <w:t>الكافي</w:t>
      </w:r>
      <w:r w:rsidR="00992664" w:rsidRPr="00020424">
        <w:rPr>
          <w:rtl/>
        </w:rPr>
        <w:t xml:space="preserve"> ، وكان بعضها ممّا لا يوجد في </w:t>
      </w:r>
      <w:r w:rsidR="00992664" w:rsidRPr="0012008A">
        <w:rPr>
          <w:rStyle w:val="libFootnoteBoldChar"/>
          <w:rtl/>
        </w:rPr>
        <w:t>الفقيه</w:t>
      </w:r>
      <w:r w:rsidR="00992664" w:rsidRPr="00020424">
        <w:rPr>
          <w:rtl/>
        </w:rPr>
        <w:t xml:space="preserve"> أيضاً في النسخ التي كانت عندنا ، ولعلّ ذلك من سهو النسّاخ</w:t>
      </w:r>
      <w:r w:rsidR="00992664">
        <w:rPr>
          <w:rtl/>
        </w:rPr>
        <w:t xml:space="preserve"> ».</w:t>
      </w:r>
    </w:p>
    <w:p w:rsidR="00992664" w:rsidRPr="00020424" w:rsidRDefault="00992664" w:rsidP="007E4B71">
      <w:pPr>
        <w:pStyle w:val="libFootnote0"/>
        <w:rPr>
          <w:rtl/>
          <w:lang w:bidi="fa-IR"/>
        </w:rPr>
      </w:pPr>
      <w:r w:rsidRPr="007E4B71">
        <w:rPr>
          <w:rStyle w:val="libFootnoteBoldChar"/>
          <w:rtl/>
        </w:rPr>
        <w:t xml:space="preserve">تنبيه </w:t>
      </w:r>
      <w:r w:rsidRPr="007E4B71">
        <w:rPr>
          <w:rtl/>
        </w:rPr>
        <w:t xml:space="preserve">: نقلنا تحقيقه للمقام في باب اليوم الذي يشكّ فيه من شهر رمضان هو أو من شعبان ، ذيل الحديث الأوّل ، وأمّا تحقيقه لقوله </w:t>
      </w:r>
      <w:r w:rsidRPr="00D64ADA">
        <w:rPr>
          <w:rStyle w:val="libFootnoteAlaemChar"/>
          <w:rtl/>
        </w:rPr>
        <w:t>عليه‌السلام</w:t>
      </w:r>
      <w:r w:rsidRPr="007E4B71">
        <w:rPr>
          <w:rtl/>
        </w:rPr>
        <w:t xml:space="preserve"> : « ا</w:t>
      </w:r>
      <w:r w:rsidR="007E4B71">
        <w:rPr>
          <w:rFonts w:hint="cs"/>
          <w:rtl/>
        </w:rPr>
        <w:t>ُ</w:t>
      </w:r>
      <w:r w:rsidRPr="007E4B71">
        <w:rPr>
          <w:rtl/>
        </w:rPr>
        <w:t xml:space="preserve">مرنا به أن نصومه مع صيام شعبان » مع تحقيقه للنهي عن الانفراد بصيامه ، فهو أنّه قال في </w:t>
      </w:r>
      <w:r w:rsidRPr="0012008A">
        <w:rPr>
          <w:rStyle w:val="libFootnoteBoldChar"/>
          <w:rtl/>
        </w:rPr>
        <w:t>الوافي</w:t>
      </w:r>
      <w:r w:rsidRPr="007E4B71">
        <w:rPr>
          <w:rtl/>
        </w:rPr>
        <w:t xml:space="preserve"> ، ج 11 ، ص 107 : « وأمّا النهي عن الانفراد بصيامه على ما ورد في بعض الأخبار </w:t>
      </w:r>
      <w:r w:rsidR="009B673F" w:rsidRPr="007E4B71">
        <w:rPr>
          <w:rtl/>
        </w:rPr>
        <w:t>-</w:t>
      </w:r>
      <w:r w:rsidRPr="007E4B71">
        <w:rPr>
          <w:rtl/>
        </w:rPr>
        <w:t xml:space="preserve"> كما مرّ وكما سيأتي </w:t>
      </w:r>
      <w:r w:rsidR="009B673F" w:rsidRPr="007E4B71">
        <w:rPr>
          <w:rtl/>
        </w:rPr>
        <w:t>-</w:t>
      </w:r>
      <w:r w:rsidRPr="007E4B71">
        <w:rPr>
          <w:rtl/>
        </w:rPr>
        <w:t xml:space="preserve"> فلعلّ السرّ فيه أنّ من انفرد بصيامه على أنّه من رمضان لم يمتثل حكم الشرع ، مع أنّه لم يعتقد كونه من رمضان فكيف ينوي صيامه منه؟ وأمّا من صامه بنيّة شعبان أو بنيّة الترديد ، وميّزه من بين سائر أيّام شعبان بصيامه ، فيظهر منه أنّه إنّما فعل ذلك لزعمه أنّ صيامه لابدّ منه ، وأنّ إفطاره ممّا لا يجوز ، فكأنّه صامه بنيّة شهر رمضان وإن أخطر بباله بحكم الشرع أنّه من شعبان ، وذلك يشبه إدخال يوم من غير شهر رمضان فيه ، فالأولى أن ل</w:t>
      </w:r>
      <w:r w:rsidR="007E4B71">
        <w:rPr>
          <w:rtl/>
        </w:rPr>
        <w:t>ا يصومه على هذا الوجه أيضاً إل</w:t>
      </w:r>
      <w:r w:rsidR="007E4B71">
        <w:rPr>
          <w:rFonts w:hint="cs"/>
          <w:rtl/>
        </w:rPr>
        <w:t>ّ</w:t>
      </w:r>
      <w:r w:rsidR="007E4B71">
        <w:rPr>
          <w:rtl/>
        </w:rPr>
        <w:t>ا</w:t>
      </w:r>
      <w:r w:rsidRPr="007E4B71">
        <w:rPr>
          <w:rFonts w:hint="cs"/>
          <w:rtl/>
        </w:rPr>
        <w:t xml:space="preserve"> </w:t>
      </w:r>
      <w:r w:rsidRPr="007E4B71">
        <w:rPr>
          <w:rtl/>
        </w:rPr>
        <w:t>أن يكون قد صام من شعبان شيئاً ؛ ليسقط هذا التوهّم.</w:t>
      </w:r>
    </w:p>
    <w:p w:rsidR="00992664" w:rsidRPr="00020424" w:rsidRDefault="00992664" w:rsidP="007E4B71">
      <w:pPr>
        <w:pStyle w:val="libFootnote0"/>
        <w:rPr>
          <w:rtl/>
          <w:lang w:bidi="fa-IR"/>
        </w:rPr>
      </w:pPr>
      <w:r w:rsidRPr="007E4B71">
        <w:rPr>
          <w:rtl/>
        </w:rPr>
        <w:t xml:space="preserve">وهذا معنى قوله </w:t>
      </w:r>
      <w:r w:rsidRPr="00D64ADA">
        <w:rPr>
          <w:rStyle w:val="libFootnoteAlaemChar"/>
          <w:rtl/>
        </w:rPr>
        <w:t>عليه‌السلام</w:t>
      </w:r>
      <w:r w:rsidRPr="007E4B71">
        <w:rPr>
          <w:rtl/>
        </w:rPr>
        <w:t xml:space="preserve"> في حديث الزهري السابق : ا</w:t>
      </w:r>
      <w:r w:rsidR="002C4BDF">
        <w:rPr>
          <w:rFonts w:hint="cs"/>
          <w:rtl/>
        </w:rPr>
        <w:t>ُ</w:t>
      </w:r>
      <w:r w:rsidRPr="007E4B71">
        <w:rPr>
          <w:rtl/>
        </w:rPr>
        <w:t>مرنا أن نصومه مع صيام شعبان ، ولكنّه إن فعل ذلك جاز صومه ، واحتسب من شهر رمضان ، إن ظهر كونه منه وإن ردّد فيه نيّته ؛ وذلك لأنّ معنى صيامه بنيّة شعبان صيامه على وجه الاستحباب دون الفرض ، وهذا يجتمع مع صيامه بنيّة الترديد أيضاً ؛ إذ لا ينافي الترديد اعتقاد عدم الفرض ، ولمّا ورد من إطلاق الرخصة في صيامه ، كما يأتي في هذا الباب خرج منه صيامه بنيّة شهر رمضان بأخبار أُخر وبقي جواز صيامه بنيّة الترديد ، كما بقي جواز صيامه بنيّة شعبان ، ولم يرد نهي عن صيامه بنيّة الترديد ، كما ورد عن صيامه بنيّة رمضان ... ».</w:t>
      </w:r>
    </w:p>
    <w:p w:rsidR="00992664" w:rsidRPr="00020424" w:rsidRDefault="00992664" w:rsidP="007E4B71">
      <w:pPr>
        <w:pStyle w:val="libFootnote0"/>
        <w:rPr>
          <w:rtl/>
          <w:lang w:bidi="fa-IR"/>
        </w:rPr>
      </w:pPr>
      <w:r w:rsidRPr="007E4B71">
        <w:rPr>
          <w:rtl/>
        </w:rPr>
        <w:t xml:space="preserve">وفي هامش </w:t>
      </w:r>
      <w:r w:rsidRPr="0012008A">
        <w:rPr>
          <w:rStyle w:val="libFootnoteBoldChar"/>
          <w:rtl/>
        </w:rPr>
        <w:t>الوافي</w:t>
      </w:r>
      <w:r w:rsidRPr="007E4B71">
        <w:rPr>
          <w:rtl/>
        </w:rPr>
        <w:t xml:space="preserve"> عن سلطان : « قوله : أن ينفرد الرجل بصيامه ، يحتمل أنّ المراد أنّ الرجل ينفرد عن الناس في هذا الصوم ، أي يصومه بنيّة رمضان مع عدم ثبوته أنّه من رمضان وكونه مشكوكاً فيه عند الناس ، ويحتمل أنّ المراد أنّه ينفرد بصيامه عن شعبان ، أي أفرده عن شعبان وجعله من شهر رمضان بلا ثبوت بمجرّد الشكّ ، وعلى التقديرين كونه منهيّاً عنه لذلك ظاهراً ».</w:t>
      </w:r>
    </w:p>
    <w:p w:rsidR="00992664" w:rsidRDefault="00992664" w:rsidP="007E4B71">
      <w:pPr>
        <w:pStyle w:val="libFootnote0"/>
        <w:rPr>
          <w:rtl/>
        </w:rPr>
      </w:pPr>
      <w:r w:rsidRPr="007E4B71">
        <w:rPr>
          <w:rtl/>
        </w:rPr>
        <w:t xml:space="preserve">وفي </w:t>
      </w:r>
      <w:r w:rsidRPr="00DE76B9">
        <w:rPr>
          <w:rStyle w:val="libFootnoteBoldChar"/>
          <w:rtl/>
        </w:rPr>
        <w:t>مرآة العقول</w:t>
      </w:r>
      <w:r w:rsidRPr="007E4B71">
        <w:rPr>
          <w:rtl/>
        </w:rPr>
        <w:t xml:space="preserve"> : « قوله </w:t>
      </w:r>
      <w:r w:rsidRPr="00D64ADA">
        <w:rPr>
          <w:rStyle w:val="libFootnoteAlaemChar"/>
          <w:rtl/>
        </w:rPr>
        <w:t>عليه‌السلام</w:t>
      </w:r>
      <w:r w:rsidRPr="007E4B71">
        <w:rPr>
          <w:rtl/>
        </w:rPr>
        <w:t xml:space="preserve"> : أن ينفرد ، الظاهر أنّ مراده </w:t>
      </w:r>
      <w:r w:rsidRPr="00D64ADA">
        <w:rPr>
          <w:rStyle w:val="libFootnoteAlaemChar"/>
          <w:rtl/>
        </w:rPr>
        <w:t>عليه‌السلام</w:t>
      </w:r>
      <w:r w:rsidRPr="007E4B71">
        <w:rPr>
          <w:rtl/>
        </w:rPr>
        <w:t xml:space="preserve"> ما أومأنا إليه في الحديث السادس من الباب السابق ، والراوي لم يتفطّن لذلك ، وفهمه كما فهمه بعض الأصحاب </w:t>
      </w:r>
      <w:r w:rsidR="009B673F" w:rsidRPr="007E4B71">
        <w:rPr>
          <w:rtl/>
        </w:rPr>
        <w:t>-</w:t>
      </w:r>
      <w:r w:rsidRPr="007E4B71">
        <w:rPr>
          <w:rtl/>
        </w:rPr>
        <w:t xml:space="preserve"> كما أشرنا إليه سابقاً </w:t>
      </w:r>
      <w:r w:rsidR="009B673F" w:rsidRPr="007E4B71">
        <w:rPr>
          <w:rtl/>
        </w:rPr>
        <w:t>-</w:t>
      </w:r>
      <w:r w:rsidRPr="007E4B71">
        <w:rPr>
          <w:rtl/>
        </w:rPr>
        <w:t xml:space="preserve"> فأجابه </w:t>
      </w:r>
      <w:r w:rsidRPr="00D64ADA">
        <w:rPr>
          <w:rStyle w:val="libFootnoteAlaemChar"/>
          <w:rtl/>
        </w:rPr>
        <w:t>عليه‌السلام</w:t>
      </w:r>
      <w:r w:rsidRPr="007E4B71">
        <w:rPr>
          <w:rtl/>
        </w:rPr>
        <w:t xml:space="preserve"> بما يظهر منه فساد وهمه ».</w:t>
      </w:r>
    </w:p>
    <w:p w:rsidR="00992664" w:rsidRPr="00020424" w:rsidRDefault="00795177" w:rsidP="007E4B71">
      <w:pPr>
        <w:pStyle w:val="libFootnote0"/>
        <w:rPr>
          <w:rtl/>
          <w:lang w:bidi="fa-IR"/>
        </w:rPr>
      </w:pPr>
      <w:r>
        <w:rPr>
          <w:rtl/>
        </w:rPr>
        <w:t>(1).</w:t>
      </w:r>
      <w:r w:rsidR="0014403D">
        <w:rPr>
          <w:rtl/>
        </w:rPr>
        <w:t xml:space="preserve"> </w:t>
      </w:r>
      <w:r w:rsidR="00992664" w:rsidRPr="00020424">
        <w:rPr>
          <w:rtl/>
        </w:rPr>
        <w:t>في « بف » : « فكيف</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 « صام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(1)</w:t>
      </w:r>
      <w:r w:rsidRPr="00020424">
        <w:rPr>
          <w:rtl/>
          <w:lang w:bidi="fa-IR"/>
        </w:rPr>
        <w:t xml:space="preserve"> : وَكَيْفَ </w:t>
      </w:r>
      <w:r w:rsidRPr="00A91B96">
        <w:rPr>
          <w:rStyle w:val="libFootnotenumChar"/>
          <w:rtl/>
        </w:rPr>
        <w:t>(2)</w:t>
      </w:r>
      <w:r w:rsidRPr="00020424">
        <w:rPr>
          <w:rtl/>
          <w:lang w:bidi="fa-IR"/>
        </w:rPr>
        <w:t xml:space="preserve"> يُجْزِئُ </w:t>
      </w:r>
      <w:r w:rsidRPr="00A91B96">
        <w:rPr>
          <w:rStyle w:val="libFootnotenumChar"/>
          <w:rtl/>
        </w:rPr>
        <w:t>(3)</w:t>
      </w:r>
      <w:r w:rsidRPr="00020424">
        <w:rPr>
          <w:rtl/>
          <w:lang w:bidi="fa-IR"/>
        </w:rPr>
        <w:t xml:space="preserve"> صَوْمُ تَطَوُّعٍ عَنْ فَرِيضَةٍ</w:t>
      </w:r>
      <w:r>
        <w:rPr>
          <w:rtl/>
          <w:lang w:bidi="fa-IR"/>
        </w:rPr>
        <w:t>؟</w:t>
      </w:r>
    </w:p>
    <w:p w:rsidR="00992664" w:rsidRPr="00020424" w:rsidRDefault="00992664" w:rsidP="00992664">
      <w:pPr>
        <w:pStyle w:val="libNormal"/>
        <w:rPr>
          <w:rtl/>
          <w:lang w:bidi="fa-IR"/>
        </w:rPr>
      </w:pPr>
      <w:r w:rsidRPr="00020424">
        <w:rPr>
          <w:rtl/>
          <w:lang w:bidi="fa-IR"/>
        </w:rPr>
        <w:t xml:space="preserve">فَقَالَ : « لَوْ أَنَّ رَجُلاً صَامَ يَوْماً مِنْ </w:t>
      </w:r>
      <w:r w:rsidRPr="00A91B96">
        <w:rPr>
          <w:rStyle w:val="libFootnotenumChar"/>
          <w:rtl/>
        </w:rPr>
        <w:t>(4)</w:t>
      </w:r>
      <w:r w:rsidRPr="00020424">
        <w:rPr>
          <w:rtl/>
          <w:lang w:bidi="fa-IR"/>
        </w:rPr>
        <w:t xml:space="preserve"> شَهْرِ رَمَضَانَ تَطَوُّعاً وَهُوَ لَايَعْلَمُ أَنَّهُ مِنْ شَهْرِ رَمَضَانَ </w:t>
      </w:r>
      <w:r w:rsidRPr="00A91B96">
        <w:rPr>
          <w:rStyle w:val="libFootnotenumChar"/>
          <w:rtl/>
        </w:rPr>
        <w:t>(5)</w:t>
      </w:r>
      <w:r w:rsidRPr="00020424">
        <w:rPr>
          <w:rtl/>
          <w:lang w:bidi="fa-IR"/>
        </w:rPr>
        <w:t xml:space="preserve"> ، ثُمَّ عَلِمَ بَعْدُ </w:t>
      </w:r>
      <w:r w:rsidRPr="00A91B96">
        <w:rPr>
          <w:rStyle w:val="libFootnotenumChar"/>
          <w:rtl/>
        </w:rPr>
        <w:t>(6)</w:t>
      </w:r>
      <w:r w:rsidRPr="00020424">
        <w:rPr>
          <w:rtl/>
          <w:lang w:bidi="fa-IR"/>
        </w:rPr>
        <w:t xml:space="preserve"> بِذلِكَ </w:t>
      </w:r>
      <w:r w:rsidRPr="00A91B96">
        <w:rPr>
          <w:rStyle w:val="libFootnotenumChar"/>
          <w:rtl/>
        </w:rPr>
        <w:t>(7)</w:t>
      </w:r>
      <w:r w:rsidRPr="00020424">
        <w:rPr>
          <w:rtl/>
          <w:lang w:bidi="fa-IR"/>
        </w:rPr>
        <w:t xml:space="preserve"> ، لَأَجْزَأَ </w:t>
      </w:r>
      <w:r w:rsidRPr="00A91B96">
        <w:rPr>
          <w:rStyle w:val="libFootnotenumChar"/>
          <w:rtl/>
        </w:rPr>
        <w:t>(8)</w:t>
      </w:r>
      <w:r w:rsidRPr="00020424">
        <w:rPr>
          <w:rtl/>
          <w:lang w:bidi="fa-IR"/>
        </w:rPr>
        <w:t xml:space="preserve"> عَنْهُ ؛ لِأَنَّ الْفَرْضَ إِنَّمَا </w:t>
      </w:r>
      <w:r w:rsidRPr="00A91B96">
        <w:rPr>
          <w:rStyle w:val="libFootnotenumChar"/>
          <w:rtl/>
        </w:rPr>
        <w:t>(9)</w:t>
      </w:r>
      <w:r w:rsidRPr="00020424">
        <w:rPr>
          <w:rtl/>
          <w:lang w:bidi="fa-IR"/>
        </w:rPr>
        <w:t xml:space="preserve"> وَقَعَ عَلَى الْيَوْمِ </w:t>
      </w:r>
      <w:r w:rsidRPr="00A91B96">
        <w:rPr>
          <w:rStyle w:val="libFootnotenumChar"/>
          <w:rtl/>
        </w:rPr>
        <w:t>(10)</w:t>
      </w:r>
      <w:r w:rsidRPr="00020424">
        <w:rPr>
          <w:rtl/>
          <w:lang w:bidi="fa-IR"/>
        </w:rPr>
        <w:t xml:space="preserve"> بِعَيْنِهِ.</w:t>
      </w:r>
    </w:p>
    <w:p w:rsidR="00992664" w:rsidRPr="00020424" w:rsidRDefault="00992664" w:rsidP="00992664">
      <w:pPr>
        <w:pStyle w:val="libNormal"/>
        <w:rPr>
          <w:rtl/>
          <w:lang w:bidi="fa-IR"/>
        </w:rPr>
      </w:pPr>
      <w:r w:rsidRPr="00020424">
        <w:rPr>
          <w:rtl/>
          <w:lang w:bidi="fa-IR"/>
        </w:rPr>
        <w:t xml:space="preserve">وَصَوْمُ الْوِصَالِ </w:t>
      </w:r>
      <w:r w:rsidRPr="00A91B96">
        <w:rPr>
          <w:rStyle w:val="libFootnotenumChar"/>
          <w:rtl/>
        </w:rPr>
        <w:t>(11)</w:t>
      </w:r>
      <w:r w:rsidRPr="00020424">
        <w:rPr>
          <w:rtl/>
          <w:lang w:bidi="fa-IR"/>
        </w:rPr>
        <w:t xml:space="preserve"> حَرَامٌ ، وَصَوْمُ الصَّمْتِ حَرَامٌ ، وَصَوْمُ نَذْرِ الْمَعْصِيَةِ حَرَامٌ ، وَصَوْمُ الدَّهْرِ حَرَامٌ </w:t>
      </w:r>
      <w:r w:rsidRPr="00A91B96">
        <w:rPr>
          <w:rStyle w:val="libFootnotenumChar"/>
          <w:rtl/>
        </w:rPr>
        <w:t>(12)</w:t>
      </w:r>
    </w:p>
    <w:p w:rsidR="00992664" w:rsidRPr="00020424" w:rsidRDefault="00992664" w:rsidP="00992664">
      <w:pPr>
        <w:pStyle w:val="libNormal"/>
        <w:rPr>
          <w:rtl/>
          <w:lang w:bidi="fa-IR"/>
        </w:rPr>
      </w:pPr>
      <w:r w:rsidRPr="00020424">
        <w:rPr>
          <w:rtl/>
          <w:lang w:bidi="fa-IR"/>
        </w:rPr>
        <w:t xml:space="preserve">وَأَمَّا الصَّوْمُ الَّذِي صَاحِبُهُ فِيهِ بِالْخِيَارِ : فَصَوْمُ يَوْمِ الْجُمُعَةِ وَالْخَمِيسِ </w:t>
      </w:r>
      <w:r w:rsidRPr="00A91B96">
        <w:rPr>
          <w:rStyle w:val="libFootnotenumChar"/>
          <w:rtl/>
        </w:rPr>
        <w:t>(13)</w:t>
      </w:r>
      <w:r w:rsidRPr="00020424">
        <w:rPr>
          <w:rtl/>
          <w:lang w:bidi="fa-IR"/>
        </w:rPr>
        <w:t xml:space="preserve"> ، وَصَوْمُ أَيَّامِ </w:t>
      </w:r>
      <w:r w:rsidRPr="00A91B96">
        <w:rPr>
          <w:rStyle w:val="libFootnotenumChar"/>
          <w:rtl/>
        </w:rPr>
        <w:t>(14)</w:t>
      </w:r>
      <w:r w:rsidRPr="00020424">
        <w:rPr>
          <w:rtl/>
          <w:lang w:bidi="fa-IR"/>
        </w:rPr>
        <w:t xml:space="preserve"> الْبِيضِ ، وَصَوْمُ سِتَّةِ أَيَّامٍ مِنْ شَوَّالٍ بَعْدَ شَهْرِ رَمَضَانَ ، وَصَوْمُ يَوْمِ عَرَفَةَ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بخ ، بر ، بف » : + « له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والخصال</w:t>
      </w:r>
      <w:r w:rsidR="00992664" w:rsidRPr="00020424">
        <w:rPr>
          <w:rtl/>
        </w:rPr>
        <w:t xml:space="preserve"> : « قلت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C4BDF" w:rsidTr="002C4BDF">
        <w:tc>
          <w:tcPr>
            <w:tcW w:w="4006" w:type="dxa"/>
          </w:tcPr>
          <w:p w:rsidR="002C4BDF" w:rsidRDefault="002C4BDF" w:rsidP="00992664">
            <w:pPr>
              <w:pStyle w:val="libFootnote0"/>
              <w:rPr>
                <w:rtl/>
              </w:rPr>
            </w:pPr>
            <w:r>
              <w:rPr>
                <w:rtl/>
              </w:rPr>
              <w:t xml:space="preserve">(2). </w:t>
            </w:r>
            <w:r w:rsidRPr="00020424">
              <w:rPr>
                <w:rtl/>
              </w:rPr>
              <w:t>في « جن » :</w:t>
            </w:r>
            <w:r>
              <w:rPr>
                <w:rtl/>
              </w:rPr>
              <w:t xml:space="preserve"> - </w:t>
            </w:r>
            <w:r w:rsidRPr="00020424">
              <w:rPr>
                <w:rtl/>
              </w:rPr>
              <w:t>« كيف</w:t>
            </w:r>
            <w:r>
              <w:rPr>
                <w:rtl/>
              </w:rPr>
              <w:t xml:space="preserve"> ».</w:t>
            </w:r>
          </w:p>
        </w:tc>
        <w:tc>
          <w:tcPr>
            <w:tcW w:w="4006" w:type="dxa"/>
          </w:tcPr>
          <w:p w:rsidR="002C4BDF" w:rsidRDefault="002C4BDF" w:rsidP="00992664">
            <w:pPr>
              <w:pStyle w:val="libFootnote0"/>
              <w:rPr>
                <w:rtl/>
              </w:rPr>
            </w:pPr>
            <w:r>
              <w:rPr>
                <w:rtl/>
              </w:rPr>
              <w:t xml:space="preserve">(3). </w:t>
            </w:r>
            <w:r w:rsidRPr="00020424">
              <w:rPr>
                <w:rtl/>
              </w:rPr>
              <w:t>في « ظ ، بح » : « يكفي</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تفسير القمّي :</w:t>
      </w:r>
      <w:r w:rsidR="00992664">
        <w:rPr>
          <w:rtl/>
        </w:rPr>
        <w:t xml:space="preserve"> </w:t>
      </w:r>
      <w:r w:rsidR="009B673F">
        <w:rPr>
          <w:rtl/>
        </w:rPr>
        <w:t>-</w:t>
      </w:r>
      <w:r w:rsidR="00992664">
        <w:rPr>
          <w:rtl/>
        </w:rPr>
        <w:t xml:space="preserve"> </w:t>
      </w:r>
      <w:r w:rsidR="00992664" w:rsidRPr="00020424">
        <w:rPr>
          <w:rtl/>
        </w:rPr>
        <w:t>« يوماً من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تطوّعاً وهو لا يعلم أنّه من شهر رمضان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بح ، جن » :</w:t>
      </w:r>
      <w:r w:rsidR="00992664">
        <w:rPr>
          <w:rtl/>
        </w:rPr>
        <w:t xml:space="preserve"> </w:t>
      </w:r>
      <w:r w:rsidR="009B673F">
        <w:rPr>
          <w:rtl/>
        </w:rPr>
        <w:t>-</w:t>
      </w:r>
      <w:r w:rsidR="00992664">
        <w:rPr>
          <w:rtl/>
        </w:rPr>
        <w:t xml:space="preserve"> </w:t>
      </w:r>
      <w:r w:rsidR="00992664" w:rsidRPr="00020424">
        <w:rPr>
          <w:rtl/>
        </w:rPr>
        <w:t>« بعد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بث ، بخ ، بر ، بس ، بف » وحاشية « بح » : « ذلك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C46BC3">
        <w:rPr>
          <w:rtl/>
        </w:rPr>
        <w:t xml:space="preserve">الفقيه والتهذيب والخصال </w:t>
      </w:r>
      <w:r w:rsidR="00992664" w:rsidRPr="00020424">
        <w:rPr>
          <w:rtl/>
        </w:rPr>
        <w:t>: « أجزأ</w:t>
      </w:r>
      <w:r w:rsidR="00992664">
        <w:rPr>
          <w:rtl/>
        </w:rPr>
        <w:t xml:space="preserve"> ».</w:t>
      </w:r>
      <w:r w:rsidR="00992664" w:rsidRPr="00020424">
        <w:rPr>
          <w:rtl/>
        </w:rPr>
        <w:t xml:space="preserve"> وفي تفسير القمّي : « أجزأه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46BC3" w:rsidTr="00C46BC3">
        <w:tc>
          <w:tcPr>
            <w:tcW w:w="4006" w:type="dxa"/>
          </w:tcPr>
          <w:p w:rsidR="00C46BC3" w:rsidRDefault="00C46BC3" w:rsidP="00992664">
            <w:pPr>
              <w:pStyle w:val="libFootnote0"/>
              <w:rPr>
                <w:rtl/>
              </w:rPr>
            </w:pPr>
            <w:r>
              <w:rPr>
                <w:rtl/>
              </w:rPr>
              <w:t xml:space="preserve">(9). </w:t>
            </w:r>
            <w:r w:rsidRPr="00020424">
              <w:rPr>
                <w:rtl/>
              </w:rPr>
              <w:t>في « ظ » :</w:t>
            </w:r>
            <w:r>
              <w:rPr>
                <w:rtl/>
              </w:rPr>
              <w:t xml:space="preserve"> - </w:t>
            </w:r>
            <w:r w:rsidRPr="00020424">
              <w:rPr>
                <w:rtl/>
              </w:rPr>
              <w:t>« إنّما</w:t>
            </w:r>
            <w:r>
              <w:rPr>
                <w:rtl/>
              </w:rPr>
              <w:t xml:space="preserve"> ».</w:t>
            </w:r>
          </w:p>
        </w:tc>
        <w:tc>
          <w:tcPr>
            <w:tcW w:w="4006" w:type="dxa"/>
          </w:tcPr>
          <w:p w:rsidR="00C46BC3" w:rsidRDefault="00C46BC3" w:rsidP="00992664">
            <w:pPr>
              <w:pStyle w:val="libFootnote0"/>
              <w:rPr>
                <w:rtl/>
              </w:rPr>
            </w:pPr>
            <w:r>
              <w:rPr>
                <w:rtl/>
              </w:rPr>
              <w:t xml:space="preserve">(10). </w:t>
            </w:r>
            <w:r w:rsidRPr="00020424">
              <w:rPr>
                <w:rtl/>
              </w:rPr>
              <w:t>في تفسير القمّي : « الشهر</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وصوم الوصال ، ذهب الشيخ في </w:t>
      </w:r>
      <w:r w:rsidR="00992664" w:rsidRPr="0012008A">
        <w:rPr>
          <w:rStyle w:val="libFootnoteBoldChar"/>
          <w:rtl/>
        </w:rPr>
        <w:t>النهاية</w:t>
      </w:r>
      <w:r w:rsidR="00992664" w:rsidRPr="00020424">
        <w:rPr>
          <w:rtl/>
        </w:rPr>
        <w:t xml:space="preserve"> وأكثر الأصحاب إلى أنّ صوم الوصال هوأن ينوي صوم يوم وليلة إلى السحر ، وذهب الشيخ في </w:t>
      </w:r>
      <w:r w:rsidR="00992664" w:rsidRPr="00DE76B9">
        <w:rPr>
          <w:rStyle w:val="libFootnoteBoldChar"/>
          <w:rtl/>
        </w:rPr>
        <w:t>الاقتصاد</w:t>
      </w:r>
      <w:r w:rsidR="00992664" w:rsidRPr="00020424">
        <w:rPr>
          <w:rtl/>
        </w:rPr>
        <w:t xml:space="preserve"> وابن إدريس إلى أنّ معناه أن يصوم يومين مع ليلة بينهما ، وإنّما يحرم تأخير العشاء إلى السحر إذا نوى كونه جزءاً من الصوم ، أمّا لو أخّره الصائم بغير نيّة فإنّه لا يحرم فيما قطع به الأصحاب ، والاحتياط يقتضي اجتناب ذلك</w:t>
      </w:r>
      <w:r w:rsidR="00992664">
        <w:rPr>
          <w:rtl/>
        </w:rPr>
        <w:t xml:space="preserve"> ».</w:t>
      </w:r>
      <w:r w:rsidR="00992664" w:rsidRPr="00020424">
        <w:rPr>
          <w:rtl/>
        </w:rPr>
        <w:t xml:space="preserve"> وللمزيد راجع : </w:t>
      </w:r>
      <w:r w:rsidR="00992664" w:rsidRPr="0012008A">
        <w:rPr>
          <w:rStyle w:val="libFootnoteBoldChar"/>
          <w:rtl/>
        </w:rPr>
        <w:t>النهاية</w:t>
      </w:r>
      <w:r w:rsidR="00992664" w:rsidRPr="00020424">
        <w:rPr>
          <w:rtl/>
        </w:rPr>
        <w:t xml:space="preserve"> ، ص 170 ؛ </w:t>
      </w:r>
      <w:r w:rsidR="00992664" w:rsidRPr="00DE76B9">
        <w:rPr>
          <w:rStyle w:val="libFootnoteBoldChar"/>
          <w:rtl/>
        </w:rPr>
        <w:t>الاقتصاد</w:t>
      </w:r>
      <w:r w:rsidR="00992664" w:rsidRPr="00020424">
        <w:rPr>
          <w:rtl/>
        </w:rPr>
        <w:t xml:space="preserve"> ، ص 293 ؛ </w:t>
      </w:r>
      <w:r w:rsidR="00992664" w:rsidRPr="00DE76B9">
        <w:rPr>
          <w:rStyle w:val="libFootnoteBoldChar"/>
          <w:rtl/>
        </w:rPr>
        <w:t>السرائر</w:t>
      </w:r>
      <w:r w:rsidR="00992664" w:rsidRPr="00020424">
        <w:rPr>
          <w:rtl/>
        </w:rPr>
        <w:t xml:space="preserve"> ، ج 1 ، ص 420 ؛ </w:t>
      </w:r>
      <w:r w:rsidR="00992664" w:rsidRPr="00DE76B9">
        <w:rPr>
          <w:rStyle w:val="libFootnoteBoldChar"/>
          <w:rtl/>
        </w:rPr>
        <w:t>المختصر النافع</w:t>
      </w:r>
      <w:r w:rsidR="00992664" w:rsidRPr="00020424">
        <w:rPr>
          <w:rtl/>
        </w:rPr>
        <w:t xml:space="preserve"> ، ص 71 ؛ </w:t>
      </w:r>
      <w:r w:rsidR="00992664" w:rsidRPr="00DE76B9">
        <w:rPr>
          <w:rStyle w:val="libFootnoteBoldChar"/>
          <w:rtl/>
        </w:rPr>
        <w:t>كشف الغطاء</w:t>
      </w:r>
      <w:r w:rsidR="00992664" w:rsidRPr="00020424">
        <w:rPr>
          <w:rtl/>
        </w:rPr>
        <w:t xml:space="preserve"> ، ج 2 ، ص 324 ؛ </w:t>
      </w:r>
      <w:r w:rsidR="00992664" w:rsidRPr="00DE76B9">
        <w:rPr>
          <w:rStyle w:val="libFootnoteBoldChar"/>
          <w:rtl/>
        </w:rPr>
        <w:t>جواهر الكلام</w:t>
      </w:r>
      <w:r w:rsidR="00992664" w:rsidRPr="00020424">
        <w:rPr>
          <w:rtl/>
        </w:rPr>
        <w:t xml:space="preserve"> ، ج 17 ، ص 129.</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وصوم الدهر ، حرمة صوم الدهر إمّا لاشتماله على الأيّام المحرّمة إن كان المراد كلّ السنة ، وإن كان المراد ما سوى الأيّام المحرّمة فلعلّه إنّما يحرم إذا صام على اعتقاد أنّه سنّة مؤكّدة ؛ فإنّه يتضمّن الافتراء على الله تعالى. ويمكن حمله على الكراهة ، أو التقيّة لاشتهار الخبر بهذا المضمون بين العامّة</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F27D90">
        <w:rPr>
          <w:rtl/>
        </w:rPr>
        <w:t>الوافي والفقيه وتفسير القمّي والخصال</w:t>
      </w:r>
      <w:r w:rsidR="00992664" w:rsidRPr="00020424">
        <w:rPr>
          <w:rtl/>
        </w:rPr>
        <w:t xml:space="preserve"> وفقه الرضا : + « والاثنين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هكذا في « ى ، بح » </w:t>
      </w:r>
      <w:r w:rsidR="00992664" w:rsidRPr="00F27D90">
        <w:rPr>
          <w:rtl/>
        </w:rPr>
        <w:t>والوافي والتهذيب وتفسير القمّي والخصال وفقه</w:t>
      </w:r>
      <w:r w:rsidR="00992664" w:rsidRPr="00020424">
        <w:rPr>
          <w:rtl/>
        </w:rPr>
        <w:t xml:space="preserve"> الرضا. وفي سائر النسخ والمطبوع</w:t>
      </w:r>
      <w:r w:rsidR="00992664">
        <w:rPr>
          <w:rFonts w:hint="cs"/>
          <w:rtl/>
        </w:rPr>
        <w:t xml:space="preserve"> </w:t>
      </w:r>
      <w:r w:rsidR="009361B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وَصَوْمُ </w:t>
      </w:r>
      <w:r w:rsidRPr="00A91B96">
        <w:rPr>
          <w:rStyle w:val="libFootnotenumChar"/>
          <w:rtl/>
        </w:rPr>
        <w:t>(1)</w:t>
      </w:r>
      <w:r w:rsidRPr="00020424">
        <w:rPr>
          <w:rtl/>
          <w:lang w:bidi="fa-IR"/>
        </w:rPr>
        <w:t xml:space="preserve"> يَوْمِ عَاشُورَاءَ ، فَكُلُّ </w:t>
      </w:r>
      <w:r w:rsidRPr="00A91B96">
        <w:rPr>
          <w:rStyle w:val="libFootnotenumChar"/>
          <w:rtl/>
        </w:rPr>
        <w:t>(2)</w:t>
      </w:r>
      <w:r w:rsidRPr="00020424">
        <w:rPr>
          <w:rtl/>
          <w:lang w:bidi="fa-IR"/>
        </w:rPr>
        <w:t xml:space="preserve"> ذلِكَ صَاحِبُهُ فِيهِ </w:t>
      </w:r>
      <w:r w:rsidRPr="00A91B96">
        <w:rPr>
          <w:rStyle w:val="libFootnotenumChar"/>
          <w:rtl/>
        </w:rPr>
        <w:t>(3)</w:t>
      </w:r>
      <w:r w:rsidRPr="00020424">
        <w:rPr>
          <w:rtl/>
          <w:lang w:bidi="fa-IR"/>
        </w:rPr>
        <w:t xml:space="preserve"> بِالْخِيَارِ ، إِنْ </w:t>
      </w:r>
      <w:r w:rsidRPr="00A91B96">
        <w:rPr>
          <w:rStyle w:val="libFootnotenumChar"/>
          <w:rtl/>
        </w:rPr>
        <w:t>(4)</w:t>
      </w:r>
      <w:r w:rsidRPr="00020424">
        <w:rPr>
          <w:rtl/>
          <w:lang w:bidi="fa-IR"/>
        </w:rPr>
        <w:t xml:space="preserve"> شَاءَ صَامَ ، وَإِنْ شَاءَ أَفْطَرَ </w:t>
      </w:r>
      <w:r w:rsidRPr="00A91B96">
        <w:rPr>
          <w:rStyle w:val="libFootnotenumChar"/>
          <w:rtl/>
        </w:rPr>
        <w:t>(5)</w:t>
      </w:r>
    </w:p>
    <w:p w:rsidR="00992664" w:rsidRPr="00020424" w:rsidRDefault="00992664" w:rsidP="009F1C15">
      <w:pPr>
        <w:pStyle w:val="libNormal"/>
        <w:rPr>
          <w:rtl/>
          <w:lang w:bidi="fa-IR"/>
        </w:rPr>
      </w:pPr>
      <w:r w:rsidRPr="00020424">
        <w:rPr>
          <w:rtl/>
          <w:lang w:bidi="fa-IR"/>
        </w:rPr>
        <w:t xml:space="preserve">وَأَمَّا صَوْمُ الْإِذْنِ : فَالْمَرْأَةُ </w:t>
      </w:r>
      <w:r w:rsidRPr="00A91B96">
        <w:rPr>
          <w:rStyle w:val="libFootnotenumChar"/>
          <w:rtl/>
        </w:rPr>
        <w:t>(6)</w:t>
      </w:r>
      <w:r w:rsidR="0085022B">
        <w:rPr>
          <w:rtl/>
          <w:lang w:bidi="fa-IR"/>
        </w:rPr>
        <w:t xml:space="preserve"> لَاتَصُومُ تَطَوُّعاً إِل</w:t>
      </w:r>
      <w:r w:rsidR="0085022B">
        <w:rPr>
          <w:rFonts w:hint="cs"/>
          <w:rtl/>
          <w:lang w:bidi="fa-IR"/>
        </w:rPr>
        <w:t>َّ</w:t>
      </w:r>
      <w:r w:rsidR="0085022B">
        <w:rPr>
          <w:rtl/>
          <w:lang w:bidi="fa-IR"/>
        </w:rPr>
        <w:t>ا</w:t>
      </w:r>
      <w:r w:rsidRPr="00020424">
        <w:rPr>
          <w:rtl/>
          <w:lang w:bidi="fa-IR"/>
        </w:rPr>
        <w:t xml:space="preserve"> بِإِذْنِ زَوْجِهَا ، وَالْعَبْدُ لَايَصُومُ تَطَوُّعاً </w:t>
      </w:r>
      <w:r w:rsidR="009F1C15">
        <w:rPr>
          <w:rtl/>
          <w:lang w:bidi="fa-IR"/>
        </w:rPr>
        <w:t>إِل</w:t>
      </w:r>
      <w:r w:rsidR="009F1C15">
        <w:rPr>
          <w:rFonts w:hint="cs"/>
          <w:rtl/>
          <w:lang w:bidi="fa-IR"/>
        </w:rPr>
        <w:t>َّ</w:t>
      </w:r>
      <w:r w:rsidR="009F1C15">
        <w:rPr>
          <w:rtl/>
          <w:lang w:bidi="fa-IR"/>
        </w:rPr>
        <w:t>ا</w:t>
      </w:r>
      <w:r w:rsidR="009F1C15" w:rsidRPr="00020424">
        <w:rPr>
          <w:rtl/>
          <w:lang w:bidi="fa-IR"/>
        </w:rPr>
        <w:t xml:space="preserve"> </w:t>
      </w:r>
      <w:r w:rsidRPr="00020424">
        <w:rPr>
          <w:rtl/>
          <w:lang w:bidi="fa-IR"/>
        </w:rPr>
        <w:t xml:space="preserve">بِإِذْنِ مَوْلاهُ </w:t>
      </w:r>
      <w:r w:rsidRPr="00A91B96">
        <w:rPr>
          <w:rStyle w:val="libFootnotenumChar"/>
          <w:rtl/>
        </w:rPr>
        <w:t>(7)</w:t>
      </w:r>
      <w:r w:rsidRPr="00020424">
        <w:rPr>
          <w:rtl/>
          <w:lang w:bidi="fa-IR"/>
        </w:rPr>
        <w:t xml:space="preserve"> ، وَالضَّيْفُ لَايَصُومُ </w:t>
      </w:r>
      <w:r w:rsidR="0085022B">
        <w:rPr>
          <w:rtl/>
          <w:lang w:bidi="fa-IR"/>
        </w:rPr>
        <w:t>تَطَوُّعاً إِل</w:t>
      </w:r>
      <w:r w:rsidR="0085022B">
        <w:rPr>
          <w:rFonts w:hint="cs"/>
          <w:rtl/>
          <w:lang w:bidi="fa-IR"/>
        </w:rPr>
        <w:t>َّ</w:t>
      </w:r>
      <w:r w:rsidR="0085022B">
        <w:rPr>
          <w:rtl/>
          <w:lang w:bidi="fa-IR"/>
        </w:rPr>
        <w:t>ا</w:t>
      </w:r>
      <w:r w:rsidRPr="00020424">
        <w:rPr>
          <w:rtl/>
          <w:lang w:bidi="fa-IR"/>
        </w:rPr>
        <w:t xml:space="preserve"> بِإِذْنِ صَاحِبِهِ </w:t>
      </w:r>
      <w:r w:rsidRPr="00A91B96">
        <w:rPr>
          <w:rStyle w:val="libFootnotenumChar"/>
          <w:rtl/>
        </w:rPr>
        <w:t>(8)</w:t>
      </w:r>
      <w:r w:rsidRPr="00020424">
        <w:rPr>
          <w:rtl/>
          <w:lang w:bidi="fa-IR"/>
        </w:rPr>
        <w:t xml:space="preserve"> ؛ قَالَ رَسُولُ اللهِ </w:t>
      </w:r>
      <w:r w:rsidR="00B42914" w:rsidRPr="00B42914">
        <w:rPr>
          <w:rStyle w:val="libAlaemChar"/>
          <w:rtl/>
        </w:rPr>
        <w:t>صلى‌الله‌عليه‌وآله‌</w:t>
      </w:r>
      <w:r w:rsidRPr="00020424">
        <w:rPr>
          <w:rtl/>
          <w:lang w:bidi="fa-IR"/>
        </w:rPr>
        <w:t xml:space="preserve"> : مَنْ نَزَلَ عَلى قَوْمٍ ، فَلَا يَصُومُ </w:t>
      </w:r>
      <w:r w:rsidRPr="00A91B96">
        <w:rPr>
          <w:rStyle w:val="libFootnotenumChar"/>
          <w:rtl/>
        </w:rPr>
        <w:t>(9)</w:t>
      </w:r>
      <w:r w:rsidRPr="00020424">
        <w:rPr>
          <w:rtl/>
          <w:lang w:bidi="fa-IR"/>
        </w:rPr>
        <w:t xml:space="preserve"> تَطَوُّعاً </w:t>
      </w:r>
      <w:r w:rsidRPr="00A91B96">
        <w:rPr>
          <w:rStyle w:val="libFootnotenumChar"/>
          <w:rtl/>
        </w:rPr>
        <w:t>(10)</w:t>
      </w:r>
      <w:r w:rsidRPr="00020424">
        <w:rPr>
          <w:rtl/>
          <w:lang w:bidi="fa-IR"/>
        </w:rPr>
        <w:t xml:space="preserve"> </w:t>
      </w:r>
      <w:r w:rsidR="009F1C15">
        <w:rPr>
          <w:rtl/>
          <w:lang w:bidi="fa-IR"/>
        </w:rPr>
        <w:t>إِل</w:t>
      </w:r>
      <w:r w:rsidR="009F1C15">
        <w:rPr>
          <w:rFonts w:hint="cs"/>
          <w:rtl/>
          <w:lang w:bidi="fa-IR"/>
        </w:rPr>
        <w:t>َّ</w:t>
      </w:r>
      <w:r w:rsidR="009F1C15">
        <w:rPr>
          <w:rtl/>
          <w:lang w:bidi="fa-IR"/>
        </w:rPr>
        <w:t>ا</w:t>
      </w:r>
      <w:r w:rsidR="009F1C15" w:rsidRPr="00020424">
        <w:rPr>
          <w:rtl/>
          <w:lang w:bidi="fa-IR"/>
        </w:rPr>
        <w:t xml:space="preserve"> </w:t>
      </w:r>
      <w:r w:rsidRPr="00020424">
        <w:rPr>
          <w:rtl/>
          <w:lang w:bidi="fa-IR"/>
        </w:rPr>
        <w:t>بِإِذْنِهِمْ.</w:t>
      </w:r>
    </w:p>
    <w:p w:rsidR="00992664" w:rsidRPr="00020424" w:rsidRDefault="00992664" w:rsidP="00992664">
      <w:pPr>
        <w:pStyle w:val="libNormal"/>
        <w:rPr>
          <w:rtl/>
          <w:lang w:bidi="fa-IR"/>
        </w:rPr>
      </w:pPr>
      <w:r w:rsidRPr="00020424">
        <w:rPr>
          <w:rtl/>
          <w:lang w:bidi="fa-IR"/>
        </w:rPr>
        <w:t xml:space="preserve">وَأَمَّا صَوْمُ التَّأْدِيبِ : فَأَنْ </w:t>
      </w:r>
      <w:r w:rsidRPr="00A91B96">
        <w:rPr>
          <w:rStyle w:val="libFootnotenumChar"/>
          <w:rtl/>
        </w:rPr>
        <w:t>(11)</w:t>
      </w:r>
      <w:r w:rsidRPr="00020424">
        <w:rPr>
          <w:rtl/>
          <w:lang w:bidi="fa-IR"/>
        </w:rPr>
        <w:t xml:space="preserve"> يُؤْخَذَ الصَّبِيُّ </w:t>
      </w:r>
      <w:r w:rsidRPr="00A91B96">
        <w:rPr>
          <w:rStyle w:val="libFootnotenumChar"/>
          <w:rtl/>
        </w:rPr>
        <w:t>(12)</w:t>
      </w:r>
      <w:r w:rsidRPr="00020424">
        <w:rPr>
          <w:rtl/>
          <w:lang w:bidi="fa-IR"/>
        </w:rPr>
        <w:t xml:space="preserve"> إِذَا رَاهَقَ </w:t>
      </w:r>
      <w:r w:rsidRPr="00A91B96">
        <w:rPr>
          <w:rStyle w:val="libFootnotenumChar"/>
          <w:rtl/>
        </w:rPr>
        <w:t>(13)</w:t>
      </w:r>
      <w:r w:rsidRPr="00020424">
        <w:rPr>
          <w:rtl/>
          <w:lang w:bidi="fa-IR"/>
        </w:rPr>
        <w:t xml:space="preserve"> بِالصَّوْمِ </w:t>
      </w:r>
      <w:r w:rsidRPr="00A91B96">
        <w:rPr>
          <w:rStyle w:val="libFootnotenumChar"/>
          <w:rtl/>
        </w:rPr>
        <w:t>(14)</w:t>
      </w:r>
      <w:r w:rsidRPr="00020424">
        <w:rPr>
          <w:rtl/>
          <w:lang w:bidi="fa-IR"/>
        </w:rPr>
        <w:t xml:space="preserve"> تَأْدِيباً ، وَلَيْسَ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992664" w:rsidP="00992664">
      <w:pPr>
        <w:pStyle w:val="libFootnote0"/>
        <w:rPr>
          <w:rtl/>
          <w:lang w:bidi="fa-IR"/>
        </w:rPr>
      </w:pPr>
      <w:r w:rsidRPr="00020424">
        <w:rPr>
          <w:rtl/>
        </w:rPr>
        <w:t>‌</w:t>
      </w:r>
      <w:r w:rsidR="009F1C15">
        <w:rPr>
          <w:rFonts w:hint="cs"/>
          <w:rtl/>
        </w:rPr>
        <w:t xml:space="preserve">= </w:t>
      </w:r>
      <w:r w:rsidRPr="00020424">
        <w:rPr>
          <w:rtl/>
        </w:rPr>
        <w:t>ومرآة العقول :</w:t>
      </w:r>
      <w:r>
        <w:rPr>
          <w:rtl/>
        </w:rPr>
        <w:t xml:space="preserve"> </w:t>
      </w:r>
      <w:r w:rsidR="009B673F">
        <w:rPr>
          <w:rtl/>
        </w:rPr>
        <w:t>-</w:t>
      </w:r>
      <w:r>
        <w:rPr>
          <w:rtl/>
        </w:rPr>
        <w:t xml:space="preserve"> </w:t>
      </w:r>
      <w:r w:rsidRPr="00020424">
        <w:rPr>
          <w:rtl/>
        </w:rPr>
        <w:t>« أيّام</w:t>
      </w:r>
      <w:r>
        <w:rPr>
          <w:rtl/>
        </w:rPr>
        <w:t xml:space="preserve"> ».</w:t>
      </w:r>
      <w:r w:rsidRPr="00020424">
        <w:rPr>
          <w:rtl/>
        </w:rPr>
        <w:t xml:space="preserve"> وقال في المرآة : « قوله </w:t>
      </w:r>
      <w:r w:rsidRPr="00D64ADA">
        <w:rPr>
          <w:rStyle w:val="libFootnoteAlaemChar"/>
          <w:rtl/>
        </w:rPr>
        <w:t>عليه‌السلام</w:t>
      </w:r>
      <w:r w:rsidRPr="00020424">
        <w:rPr>
          <w:rtl/>
        </w:rPr>
        <w:t xml:space="preserve"> : وصوم البيض ، أقول : إنّما لم يعدّ </w:t>
      </w:r>
      <w:r w:rsidRPr="00D64ADA">
        <w:rPr>
          <w:rStyle w:val="libFootnoteAlaemChar"/>
          <w:rtl/>
        </w:rPr>
        <w:t>عليه‌السلام</w:t>
      </w:r>
      <w:r w:rsidRPr="00020424">
        <w:rPr>
          <w:rtl/>
        </w:rPr>
        <w:t xml:space="preserve"> صوم كلّ أيّام البيض وجميع السنة واحداً ، كما عدّ شهر رمضان واحداً ؛ إذ لم يكن الثواب المقرّر لكلّ يوم منها مشروطاً بفعل الباقي ، بخلاف صوم شهر رمضان وغيره من الواجبات ؛ فإنّ بإفطار كلّ يوم منها ينقص ثواب الباقي ، وفي بعضها يفسد ولا ينفع فيما جعل له ، ثمّ إنّها مع ذلك أيضاً يصير المجموع ثلاثة عشر. وفي </w:t>
      </w:r>
      <w:r w:rsidRPr="0012008A">
        <w:rPr>
          <w:rStyle w:val="libFootnoteBoldChar"/>
          <w:rtl/>
        </w:rPr>
        <w:t>الفقيه</w:t>
      </w:r>
      <w:r w:rsidRPr="00020424">
        <w:rPr>
          <w:rtl/>
        </w:rPr>
        <w:t xml:space="preserve"> : فصوم يوم الجمعة والخميس والاثنين ، فيتمّ العدد. وأمّا على ما في الكتاب فلعلّه </w:t>
      </w:r>
      <w:r w:rsidRPr="00D64ADA">
        <w:rPr>
          <w:rStyle w:val="libFootnoteAlaemChar"/>
          <w:rtl/>
        </w:rPr>
        <w:t>عليه‌السلام</w:t>
      </w:r>
      <w:r w:rsidRPr="00020424">
        <w:rPr>
          <w:rtl/>
        </w:rPr>
        <w:t xml:space="preserve"> أراد بعاشوراء التاسع والعاشر ، كما روي : صوموا العاشوراء ، التاسع والعاشر</w:t>
      </w:r>
      <w:r>
        <w:rPr>
          <w:rtl/>
        </w:rPr>
        <w:t xml:space="preserve"> ..</w:t>
      </w:r>
      <w:r w:rsidRPr="00020424">
        <w:rPr>
          <w:rtl/>
        </w:rPr>
        <w:t>. ثمّ إنّه لعلّ المراد بصوم العاشر ، بل التاسع أيضاً الإمساك حزناً ؛ لورود النهي عن صومهما كثيراً ، والأظهر أنّه محمول على التقيّة ، بل الظاهر أنّ صوم السنة والاثنين أيضاً موافقان للعامّة ، كما يظهر من بعض الأخبار ، مع أنّ الراوي عامّيّ</w:t>
      </w:r>
      <w:r>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1E64B9">
        <w:rPr>
          <w:rtl/>
        </w:rPr>
        <w:t>في الفقيه والتهذيب والخصال</w:t>
      </w:r>
      <w:r w:rsidR="00992664" w:rsidRPr="00020424">
        <w:rPr>
          <w:rtl/>
        </w:rPr>
        <w:t xml:space="preserve"> وفقه الرضا :</w:t>
      </w:r>
      <w:r w:rsidR="00992664">
        <w:rPr>
          <w:rtl/>
        </w:rPr>
        <w:t xml:space="preserve"> </w:t>
      </w:r>
      <w:r w:rsidR="009B673F">
        <w:rPr>
          <w:rtl/>
        </w:rPr>
        <w:t>-</w:t>
      </w:r>
      <w:r w:rsidR="00992664">
        <w:rPr>
          <w:rtl/>
        </w:rPr>
        <w:t xml:space="preserve"> </w:t>
      </w:r>
      <w:r w:rsidR="00992664" w:rsidRPr="00020424">
        <w:rPr>
          <w:rtl/>
        </w:rPr>
        <w:t>« صوم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وفقه الرضا : « وكلّ</w:t>
      </w:r>
      <w:r w:rsidR="00992664">
        <w:rPr>
          <w:rtl/>
        </w:rPr>
        <w:t xml:space="preserve"> ».</w:t>
      </w:r>
      <w:r w:rsidR="00992664" w:rsidRPr="00020424">
        <w:rPr>
          <w:rtl/>
        </w:rPr>
        <w:t xml:space="preserve"> وفي </w:t>
      </w:r>
      <w:r w:rsidR="00992664" w:rsidRPr="001E64B9">
        <w:rPr>
          <w:rtl/>
        </w:rPr>
        <w:t>الفقيه وتفسير القمّي والخصال</w:t>
      </w:r>
      <w:r w:rsidR="00992664" w:rsidRPr="00020424">
        <w:rPr>
          <w:rtl/>
        </w:rPr>
        <w:t xml:space="preserve"> : « كلّ</w:t>
      </w:r>
      <w:r w:rsidR="00992664">
        <w:rPr>
          <w:rtl/>
        </w:rPr>
        <w:t xml:space="preserve"> ».</w:t>
      </w:r>
    </w:p>
    <w:p w:rsidR="00992664" w:rsidRPr="00020424" w:rsidRDefault="00795177" w:rsidP="00992664">
      <w:pPr>
        <w:pStyle w:val="libFootnote0"/>
        <w:rPr>
          <w:rtl/>
          <w:lang w:bidi="fa-IR"/>
        </w:rPr>
      </w:pPr>
      <w:r>
        <w:rPr>
          <w:rtl/>
          <w:lang w:bidi="fa-IR"/>
        </w:rPr>
        <w:t>(3).</w:t>
      </w:r>
      <w:r w:rsidR="0014403D">
        <w:rPr>
          <w:rtl/>
          <w:lang w:bidi="fa-IR"/>
        </w:rPr>
        <w:t xml:space="preserve"> </w:t>
      </w:r>
      <w:r w:rsidR="00992664" w:rsidRPr="00020424">
        <w:rPr>
          <w:rtl/>
          <w:lang w:bidi="fa-IR"/>
        </w:rPr>
        <w:t xml:space="preserve">في </w:t>
      </w:r>
      <w:r w:rsidR="00992664" w:rsidRPr="0012008A">
        <w:rPr>
          <w:rStyle w:val="libFootnoteBoldChar"/>
          <w:rtl/>
        </w:rPr>
        <w:t>التهذيب</w:t>
      </w:r>
      <w:r w:rsidR="00992664" w:rsidRPr="00020424">
        <w:rPr>
          <w:rtl/>
          <w:lang w:bidi="fa-IR"/>
        </w:rPr>
        <w:t xml:space="preserve"> : « فيه صاحبه</w:t>
      </w:r>
      <w:r w:rsidR="00992664">
        <w:rPr>
          <w:rtl/>
          <w:lang w:bidi="fa-IR"/>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 « فإن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تفسير القمّي : « ترك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E64B9">
        <w:rPr>
          <w:rtl/>
        </w:rPr>
        <w:t>الفقيه وتفسير القمّي والخصال</w:t>
      </w:r>
      <w:r w:rsidR="00992664" w:rsidRPr="00020424">
        <w:rPr>
          <w:rtl/>
        </w:rPr>
        <w:t xml:space="preserve"> وفقه الرضا : « فإنّ المرأة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E64B9" w:rsidTr="001E64B9">
        <w:tc>
          <w:tcPr>
            <w:tcW w:w="4006" w:type="dxa"/>
          </w:tcPr>
          <w:p w:rsidR="001E64B9" w:rsidRDefault="001E64B9" w:rsidP="00992664">
            <w:pPr>
              <w:pStyle w:val="libFootnote0"/>
              <w:rPr>
                <w:rtl/>
              </w:rPr>
            </w:pPr>
            <w:r>
              <w:rPr>
                <w:rtl/>
              </w:rPr>
              <w:t xml:space="preserve">(7). </w:t>
            </w:r>
            <w:r w:rsidRPr="00020424">
              <w:rPr>
                <w:rtl/>
              </w:rPr>
              <w:t xml:space="preserve">في </w:t>
            </w:r>
            <w:r w:rsidRPr="001E64B9">
              <w:rPr>
                <w:rtl/>
              </w:rPr>
              <w:t>الفقيه وتفسير القمّي والخصال</w:t>
            </w:r>
            <w:r w:rsidRPr="00020424">
              <w:rPr>
                <w:rtl/>
              </w:rPr>
              <w:t xml:space="preserve"> : « سيّده</w:t>
            </w:r>
            <w:r>
              <w:rPr>
                <w:rtl/>
              </w:rPr>
              <w:t xml:space="preserve"> ».</w:t>
            </w:r>
          </w:p>
        </w:tc>
        <w:tc>
          <w:tcPr>
            <w:tcW w:w="4006" w:type="dxa"/>
          </w:tcPr>
          <w:p w:rsidR="001E64B9" w:rsidRDefault="001E64B9" w:rsidP="00992664">
            <w:pPr>
              <w:pStyle w:val="libFootnote0"/>
              <w:rPr>
                <w:rtl/>
              </w:rPr>
            </w:pPr>
            <w:r>
              <w:rPr>
                <w:rtl/>
              </w:rPr>
              <w:t xml:space="preserve">(8). </w:t>
            </w:r>
            <w:r w:rsidRPr="00020424">
              <w:rPr>
                <w:rtl/>
              </w:rPr>
              <w:t>في فقه الرضا : « صاحب البيت</w:t>
            </w:r>
            <w:r>
              <w:rPr>
                <w:rtl/>
              </w:rPr>
              <w:t xml:space="preserve"> ».</w:t>
            </w:r>
          </w:p>
        </w:tc>
      </w:tr>
      <w:tr w:rsidR="001E64B9" w:rsidTr="001E64B9">
        <w:tc>
          <w:tcPr>
            <w:tcW w:w="4006" w:type="dxa"/>
          </w:tcPr>
          <w:p w:rsidR="001E64B9" w:rsidRDefault="001E64B9" w:rsidP="00992664">
            <w:pPr>
              <w:pStyle w:val="libFootnote0"/>
              <w:rPr>
                <w:rtl/>
              </w:rPr>
            </w:pPr>
            <w:r>
              <w:rPr>
                <w:rtl/>
              </w:rPr>
              <w:t xml:space="preserve">(9). </w:t>
            </w:r>
            <w:r w:rsidRPr="00020424">
              <w:rPr>
                <w:rtl/>
              </w:rPr>
              <w:t xml:space="preserve">في </w:t>
            </w:r>
            <w:r w:rsidRPr="0012008A">
              <w:rPr>
                <w:rStyle w:val="libFootnoteBoldChar"/>
                <w:rtl/>
              </w:rPr>
              <w:t>الوافي</w:t>
            </w:r>
            <w:r w:rsidRPr="00020424">
              <w:rPr>
                <w:rtl/>
              </w:rPr>
              <w:t xml:space="preserve"> : « فلا يصومنّ</w:t>
            </w:r>
            <w:r>
              <w:rPr>
                <w:rtl/>
              </w:rPr>
              <w:t xml:space="preserve"> ».</w:t>
            </w:r>
          </w:p>
        </w:tc>
        <w:tc>
          <w:tcPr>
            <w:tcW w:w="4006" w:type="dxa"/>
          </w:tcPr>
          <w:p w:rsidR="001E64B9" w:rsidRDefault="001E64B9" w:rsidP="00992664">
            <w:pPr>
              <w:pStyle w:val="libFootnote0"/>
              <w:rPr>
                <w:rtl/>
              </w:rPr>
            </w:pPr>
            <w:r>
              <w:rPr>
                <w:rtl/>
              </w:rPr>
              <w:t xml:space="preserve">(10). </w:t>
            </w:r>
            <w:r w:rsidRPr="00020424">
              <w:rPr>
                <w:rtl/>
              </w:rPr>
              <w:t>في تفسير القمّي :</w:t>
            </w:r>
            <w:r>
              <w:rPr>
                <w:rtl/>
              </w:rPr>
              <w:t xml:space="preserve"> - </w:t>
            </w:r>
            <w:r w:rsidRPr="00020424">
              <w:rPr>
                <w:rtl/>
              </w:rPr>
              <w:t>« تطوّعاً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وحاشية « بث » </w:t>
      </w:r>
      <w:r w:rsidR="00992664" w:rsidRPr="00515444">
        <w:rPr>
          <w:rStyle w:val="libFootnoteBoldChar"/>
          <w:rtl/>
        </w:rPr>
        <w:t>والتهذيب</w:t>
      </w:r>
      <w:r w:rsidR="00992664" w:rsidRPr="00020424">
        <w:rPr>
          <w:rtl/>
        </w:rPr>
        <w:t xml:space="preserve"> : « فإنّه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تفسير القمّي : « فالصبيّ يؤمر بالصوم » بدل « فأن يؤخذ الصبيّ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فقه الرضا : « بلغ سبع سنين » بدل « راهق</w:t>
      </w:r>
      <w:r w:rsidR="00992664">
        <w:rPr>
          <w:rtl/>
        </w:rPr>
        <w:t xml:space="preserve"> ».</w:t>
      </w:r>
      <w:r w:rsidR="00992664" w:rsidRPr="00020424">
        <w:rPr>
          <w:rtl/>
        </w:rPr>
        <w:t xml:space="preserve"> </w:t>
      </w:r>
      <w:r w:rsidR="00992664">
        <w:rPr>
          <w:rtl/>
        </w:rPr>
        <w:t>و «</w:t>
      </w:r>
      <w:r w:rsidR="00992664" w:rsidRPr="00020424">
        <w:rPr>
          <w:rtl/>
        </w:rPr>
        <w:t xml:space="preserve"> راهق » أي قارب الاحتلام. وقيل : قارب الاحتلام ولم يحتلم بعد. راجع : </w:t>
      </w:r>
      <w:r w:rsidR="00992664" w:rsidRPr="0012008A">
        <w:rPr>
          <w:rStyle w:val="libFootnoteBoldChar"/>
          <w:rtl/>
        </w:rPr>
        <w:t>الصحاح</w:t>
      </w:r>
      <w:r w:rsidR="00992664" w:rsidRPr="00020424">
        <w:rPr>
          <w:rtl/>
        </w:rPr>
        <w:t xml:space="preserve"> ، ج 4 ، ص 1487 ؛ </w:t>
      </w:r>
      <w:r w:rsidR="00992664" w:rsidRPr="00A722B1">
        <w:rPr>
          <w:rStyle w:val="libFootnoteBoldChar"/>
          <w:rtl/>
        </w:rPr>
        <w:t>المصباح المنير</w:t>
      </w:r>
      <w:r w:rsidR="00992664" w:rsidRPr="00020424">
        <w:rPr>
          <w:rtl/>
        </w:rPr>
        <w:t xml:space="preserve"> ، ص 242 ( رهق )</w:t>
      </w:r>
      <w:r w:rsidR="00992664">
        <w:rPr>
          <w:rtl/>
        </w:rPr>
        <w:t>.</w:t>
      </w:r>
    </w:p>
    <w:tbl>
      <w:tblPr>
        <w:tblStyle w:val="TableGrid"/>
        <w:bidiVisual/>
        <w:tblW w:w="0" w:type="auto"/>
        <w:tblLook w:val="04A0" w:firstRow="1" w:lastRow="0" w:firstColumn="1" w:lastColumn="0" w:noHBand="0" w:noVBand="1"/>
      </w:tblPr>
      <w:tblGrid>
        <w:gridCol w:w="4006"/>
        <w:gridCol w:w="4006"/>
      </w:tblGrid>
      <w:tr w:rsidR="001E64B9" w:rsidTr="001E64B9">
        <w:tc>
          <w:tcPr>
            <w:tcW w:w="4006" w:type="dxa"/>
          </w:tcPr>
          <w:p w:rsidR="001E64B9" w:rsidRDefault="001E64B9" w:rsidP="00992664">
            <w:pPr>
              <w:pStyle w:val="libFootnote0"/>
              <w:rPr>
                <w:rtl/>
              </w:rPr>
            </w:pPr>
            <w:r>
              <w:rPr>
                <w:rtl/>
              </w:rPr>
              <w:t xml:space="preserve">(14). </w:t>
            </w:r>
            <w:r w:rsidRPr="00020424">
              <w:rPr>
                <w:rtl/>
              </w:rPr>
              <w:t>في تفسير القمّي :</w:t>
            </w:r>
            <w:r>
              <w:rPr>
                <w:rtl/>
              </w:rPr>
              <w:t xml:space="preserve"> - </w:t>
            </w:r>
            <w:r w:rsidRPr="00020424">
              <w:rPr>
                <w:rtl/>
              </w:rPr>
              <w:t>« بالصوم</w:t>
            </w:r>
            <w:r>
              <w:rPr>
                <w:rtl/>
              </w:rPr>
              <w:t xml:space="preserve"> ».</w:t>
            </w:r>
          </w:p>
        </w:tc>
        <w:tc>
          <w:tcPr>
            <w:tcW w:w="4006" w:type="dxa"/>
          </w:tcPr>
          <w:p w:rsidR="001E64B9" w:rsidRDefault="001E64B9" w:rsidP="00992664">
            <w:pPr>
              <w:pStyle w:val="libFootnote0"/>
              <w:rPr>
                <w:rtl/>
              </w:rPr>
            </w:pPr>
            <w:r>
              <w:rPr>
                <w:rtl/>
              </w:rPr>
              <w:t xml:space="preserve">(15). </w:t>
            </w:r>
            <w:r w:rsidRPr="00020424">
              <w:rPr>
                <w:rtl/>
              </w:rPr>
              <w:t xml:space="preserve">في </w:t>
            </w:r>
            <w:r w:rsidRPr="0012008A">
              <w:rPr>
                <w:rStyle w:val="libFootnoteBoldChar"/>
                <w:rtl/>
              </w:rPr>
              <w:t>الوافي</w:t>
            </w:r>
            <w:r w:rsidRPr="00020424">
              <w:rPr>
                <w:rtl/>
              </w:rPr>
              <w:t xml:space="preserve"> : + « ذلك</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بِفَرْضٍ </w:t>
      </w:r>
      <w:r w:rsidRPr="00A91B96">
        <w:rPr>
          <w:rStyle w:val="libFootnotenumChar"/>
          <w:rtl/>
        </w:rPr>
        <w:t>(1)</w:t>
      </w:r>
      <w:r w:rsidRPr="00020424">
        <w:rPr>
          <w:rtl/>
          <w:lang w:bidi="fa-IR"/>
        </w:rPr>
        <w:t xml:space="preserve"> ؛ وَكَذلِكَ الْمُسَافِرُ إِذَا أَكَلَ مِنْ أَوَّلِ النَّهَارِ ، ثُمَّ قَدِمَ أَهْلَهُ </w:t>
      </w:r>
      <w:r w:rsidRPr="00A91B96">
        <w:rPr>
          <w:rStyle w:val="libFootnotenumChar"/>
          <w:rtl/>
        </w:rPr>
        <w:t>(2)</w:t>
      </w:r>
      <w:r w:rsidRPr="00020424">
        <w:rPr>
          <w:rtl/>
          <w:lang w:bidi="fa-IR"/>
        </w:rPr>
        <w:t xml:space="preserve"> ، أُمِرَ بِالإِمْسَاكِ بَقِيَّةَ يَوْمِهِ </w:t>
      </w:r>
      <w:r w:rsidRPr="00A91B96">
        <w:rPr>
          <w:rStyle w:val="libFootnotenumChar"/>
          <w:rtl/>
        </w:rPr>
        <w:t>(3)</w:t>
      </w:r>
      <w:r w:rsidRPr="00020424">
        <w:rPr>
          <w:rtl/>
          <w:lang w:bidi="fa-IR"/>
        </w:rPr>
        <w:t xml:space="preserve"> ، وَلَيْسَ بِفَرْضٍ </w:t>
      </w:r>
      <w:r w:rsidRPr="00A91B96">
        <w:rPr>
          <w:rStyle w:val="libFootnotenumChar"/>
          <w:rtl/>
        </w:rPr>
        <w:t>(4)</w:t>
      </w:r>
    </w:p>
    <w:p w:rsidR="00992664" w:rsidRPr="00020424" w:rsidRDefault="00992664" w:rsidP="00992664">
      <w:pPr>
        <w:pStyle w:val="libNormal"/>
        <w:rPr>
          <w:rtl/>
          <w:lang w:bidi="fa-IR"/>
        </w:rPr>
      </w:pPr>
      <w:r w:rsidRPr="00020424">
        <w:rPr>
          <w:rtl/>
          <w:lang w:bidi="fa-IR"/>
        </w:rPr>
        <w:t xml:space="preserve">وَأَمَّا صَوْمُ الْإِبَاحَةِ : لِمَنْ </w:t>
      </w:r>
      <w:r w:rsidRPr="00A91B96">
        <w:rPr>
          <w:rStyle w:val="libFootnotenumChar"/>
          <w:rtl/>
        </w:rPr>
        <w:t>(5)</w:t>
      </w:r>
      <w:r w:rsidRPr="00020424">
        <w:rPr>
          <w:rtl/>
          <w:lang w:bidi="fa-IR"/>
        </w:rPr>
        <w:t xml:space="preserve"> أَكَلَ أَوْ شَرِبَ نَاسِياً </w:t>
      </w:r>
      <w:r w:rsidRPr="00A91B96">
        <w:rPr>
          <w:rStyle w:val="libFootnotenumChar"/>
          <w:rtl/>
        </w:rPr>
        <w:t>(6)</w:t>
      </w:r>
      <w:r w:rsidRPr="00020424">
        <w:rPr>
          <w:rtl/>
          <w:lang w:bidi="fa-IR"/>
        </w:rPr>
        <w:t xml:space="preserve"> ، أَوْ قَاءَ مِنْ غَيْرِ تَعَمُّدٍ ، فَقَدْ أَبَاحَ اللهُ لَهُ ذلِكَ </w:t>
      </w:r>
      <w:r w:rsidRPr="00A91B96">
        <w:rPr>
          <w:rStyle w:val="libFootnotenumChar"/>
          <w:rtl/>
        </w:rPr>
        <w:t>(7)</w:t>
      </w:r>
      <w:r w:rsidRPr="00020424">
        <w:rPr>
          <w:rtl/>
          <w:lang w:bidi="fa-IR"/>
        </w:rPr>
        <w:t xml:space="preserve"> ، وَأَجْزَأَ عَنْهُ صَوْمُهُ.</w:t>
      </w:r>
    </w:p>
    <w:p w:rsidR="00992664" w:rsidRPr="00020424" w:rsidRDefault="00992664" w:rsidP="00992664">
      <w:pPr>
        <w:pStyle w:val="libNormal"/>
        <w:rPr>
          <w:rtl/>
          <w:lang w:bidi="fa-IR"/>
        </w:rPr>
      </w:pPr>
      <w:r w:rsidRPr="00020424">
        <w:rPr>
          <w:rtl/>
          <w:lang w:bidi="fa-IR"/>
        </w:rPr>
        <w:t xml:space="preserve">وَأَمَّا </w:t>
      </w:r>
      <w:r w:rsidRPr="00A91B96">
        <w:rPr>
          <w:rStyle w:val="libFootnotenumChar"/>
          <w:rtl/>
        </w:rPr>
        <w:t>(8)</w:t>
      </w:r>
      <w:r w:rsidRPr="00020424">
        <w:rPr>
          <w:rtl/>
          <w:lang w:bidi="fa-IR"/>
        </w:rPr>
        <w:t xml:space="preserve"> صَوْمُ السَّفَرِ وَالْمَرَضِ ، فَإِنَّ الْعَامَّةَ قَدِ اخْتَلَفَتْ </w:t>
      </w:r>
      <w:r w:rsidRPr="00A91B96">
        <w:rPr>
          <w:rStyle w:val="libFootnotenumChar"/>
          <w:rtl/>
        </w:rPr>
        <w:t>(9)</w:t>
      </w:r>
      <w:r w:rsidRPr="00020424">
        <w:rPr>
          <w:rtl/>
          <w:lang w:bidi="fa-IR"/>
        </w:rPr>
        <w:t xml:space="preserve"> فِي ذلِكَ ، فَقَالَ قَوْمٌ : يَصُومُ ، وَقَالَ آخَرُونَ </w:t>
      </w:r>
      <w:r w:rsidRPr="00A91B96">
        <w:rPr>
          <w:rStyle w:val="libFootnotenumChar"/>
          <w:rtl/>
        </w:rPr>
        <w:t>(10)</w:t>
      </w:r>
      <w:r w:rsidRPr="00020424">
        <w:rPr>
          <w:rtl/>
          <w:lang w:bidi="fa-IR"/>
        </w:rPr>
        <w:t xml:space="preserve"> : لَايَصُومُ ، وَقَالَ قَوْمٌ </w:t>
      </w:r>
      <w:r w:rsidRPr="00A91B96">
        <w:rPr>
          <w:rStyle w:val="libFootnotenumChar"/>
          <w:rtl/>
        </w:rPr>
        <w:t>(11)</w:t>
      </w:r>
      <w:r w:rsidRPr="00020424">
        <w:rPr>
          <w:rtl/>
          <w:lang w:bidi="fa-IR"/>
        </w:rPr>
        <w:t xml:space="preserve"> : إِنْ شَاءَ صَامَ ، وَإِنْ شَاءَ أَفْطَرَ ، وَأَمَّا </w:t>
      </w:r>
      <w:r w:rsidRPr="00A91B96">
        <w:rPr>
          <w:rStyle w:val="libFootnotenumChar"/>
          <w:rtl/>
        </w:rPr>
        <w:t>(12)</w:t>
      </w:r>
      <w:r w:rsidRPr="00020424">
        <w:rPr>
          <w:rtl/>
          <w:lang w:bidi="fa-IR"/>
        </w:rPr>
        <w:t xml:space="preserve"> نَحْنُ فَنَقُولُ : يُفْطِرُ فِي الْحَالَيْنِ </w:t>
      </w:r>
      <w:r w:rsidRPr="00A91B96">
        <w:rPr>
          <w:rStyle w:val="libFootnotenumChar"/>
          <w:rtl/>
        </w:rPr>
        <w:t>(13)</w:t>
      </w:r>
      <w:r w:rsidRPr="00020424">
        <w:rPr>
          <w:rtl/>
          <w:lang w:bidi="fa-IR"/>
        </w:rPr>
        <w:t xml:space="preserve"> جَمِيعاً ، فَإِنْ صَامَ فِي </w:t>
      </w:r>
      <w:r w:rsidRPr="00A91B96">
        <w:rPr>
          <w:rStyle w:val="libFootnotenumChar"/>
          <w:rtl/>
        </w:rPr>
        <w:t>(14)</w:t>
      </w:r>
      <w:r w:rsidRPr="00020424">
        <w:rPr>
          <w:rtl/>
          <w:lang w:bidi="fa-IR"/>
        </w:rPr>
        <w:t xml:space="preserve"> السَّفَرِ أَوْ فِي حَالِ الْمَرَضِ ، فَعَلَيْهِ </w:t>
      </w:r>
      <w:r w:rsidRPr="00A91B96">
        <w:rPr>
          <w:rStyle w:val="libFootnotenumChar"/>
          <w:rtl/>
        </w:rPr>
        <w:t>(15)</w:t>
      </w:r>
      <w:r w:rsidRPr="00020424">
        <w:rPr>
          <w:rtl/>
          <w:lang w:bidi="fa-IR"/>
        </w:rPr>
        <w:t xml:space="preserve"> الْقَضَاءُ </w:t>
      </w:r>
      <w:r w:rsidRPr="00A91B96">
        <w:rPr>
          <w:rStyle w:val="libFootnotenumChar"/>
          <w:rtl/>
        </w:rPr>
        <w:t>(16)</w:t>
      </w:r>
      <w:r w:rsidRPr="00020424">
        <w:rPr>
          <w:rtl/>
          <w:lang w:bidi="fa-IR"/>
        </w:rPr>
        <w:t xml:space="preserve"> ؛ فَإِنَّ </w:t>
      </w:r>
      <w:r w:rsidRPr="00A91B96">
        <w:rPr>
          <w:rStyle w:val="libFootnotenumChar"/>
          <w:rtl/>
        </w:rPr>
        <w:t>(17)</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فَمَنْ كانَ مِنْكُمْ مَرِيضاً أَوْ عَلى سَفَرٍ فَعِدَّةٌ مِنْ أَيّامٍ أُخَرَ </w:t>
      </w:r>
      <w:r w:rsidRPr="00005A81">
        <w:rPr>
          <w:rStyle w:val="libAlaemChar"/>
          <w:rtl/>
        </w:rPr>
        <w:t>)</w:t>
      </w:r>
      <w:r w:rsidRPr="00020424">
        <w:rPr>
          <w:rtl/>
          <w:lang w:bidi="fa-IR"/>
        </w:rPr>
        <w:t xml:space="preserve"> </w:t>
      </w:r>
      <w:r w:rsidRPr="00A91B96">
        <w:rPr>
          <w:rStyle w:val="libFootnotenumChar"/>
          <w:rtl/>
        </w:rPr>
        <w:t>(18)</w:t>
      </w:r>
      <w:r w:rsidRPr="00020424">
        <w:rPr>
          <w:rtl/>
          <w:lang w:bidi="fa-IR"/>
        </w:rPr>
        <w:t xml:space="preserve"> فَهذَا تَفْسِيرُ الصِّيَامِ </w:t>
      </w:r>
      <w:r w:rsidRPr="00A91B96">
        <w:rPr>
          <w:rStyle w:val="libFootnotenumChar"/>
          <w:rtl/>
        </w:rPr>
        <w:t>(19)</w:t>
      </w:r>
      <w:r>
        <w:rPr>
          <w:rtl/>
          <w:lang w:bidi="fa-IR"/>
        </w:rPr>
        <w:t xml:space="preserve"> ».</w:t>
      </w:r>
      <w:r w:rsidRPr="00020424">
        <w:rPr>
          <w:rtl/>
          <w:lang w:bidi="fa-IR"/>
        </w:rPr>
        <w:t xml:space="preserve"> </w:t>
      </w:r>
      <w:r w:rsidRPr="00A91B96">
        <w:rPr>
          <w:rStyle w:val="libFootnotenumChar"/>
          <w:rtl/>
        </w:rPr>
        <w:t>(20)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وليس بفرض</w:t>
      </w:r>
      <w:r w:rsidR="00992664">
        <w:rPr>
          <w:rtl/>
        </w:rPr>
        <w:t xml:space="preserve"> ».</w:t>
      </w:r>
      <w:r w:rsidR="00992664" w:rsidRPr="00020424">
        <w:rPr>
          <w:rtl/>
        </w:rPr>
        <w:t xml:space="preserve"> وفي « بف » </w:t>
      </w:r>
      <w:r w:rsidR="00992664" w:rsidRPr="00045428">
        <w:rPr>
          <w:rtl/>
        </w:rPr>
        <w:t>والوافي والفقيه والتهذيب وتفسير القمّي والخصال</w:t>
      </w:r>
      <w:r w:rsidR="00992664" w:rsidRPr="00020424">
        <w:rPr>
          <w:rtl/>
        </w:rPr>
        <w:t xml:space="preserve"> وفقه الرضا : + « وكذالك من أفطر لعلّة [ </w:t>
      </w:r>
      <w:r w:rsidR="00992664" w:rsidRPr="0012008A">
        <w:rPr>
          <w:rStyle w:val="libFootnoteBoldChar"/>
          <w:rtl/>
        </w:rPr>
        <w:t>التهذيب</w:t>
      </w:r>
      <w:r w:rsidR="00992664" w:rsidRPr="00020424">
        <w:rPr>
          <w:rtl/>
        </w:rPr>
        <w:t xml:space="preserve"> : + « من » ] أوّل النهار ، ثمّ قوّى [ تفسير القمّي : « عوفي » ] بقيّة يومه أمر بالإمساك [ </w:t>
      </w:r>
      <w:r w:rsidR="00992664" w:rsidRPr="0012008A">
        <w:rPr>
          <w:rStyle w:val="libFootnoteBoldChar"/>
          <w:rtl/>
        </w:rPr>
        <w:t>الوافي</w:t>
      </w:r>
      <w:r w:rsidR="00992664" w:rsidRPr="00020424">
        <w:rPr>
          <w:rtl/>
        </w:rPr>
        <w:t xml:space="preserve"> : + « عن الطعام » ] بقيّة يومه تأديباً وليس بفرض</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تفسير القمّي : « دخل مصره » بدل « قدم أهله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045428">
        <w:rPr>
          <w:rtl/>
        </w:rPr>
        <w:t>الفقيه وتفسير القمّي والخصال</w:t>
      </w:r>
      <w:r w:rsidR="00992664" w:rsidRPr="00020424">
        <w:rPr>
          <w:rtl/>
        </w:rPr>
        <w:t xml:space="preserve"> وفقه الرضا : + « تأديباً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 وكذلك الحائض إذا طهرت أمسكت بقيّة يومها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45428">
        <w:rPr>
          <w:rtl/>
        </w:rPr>
        <w:t>في الوافي والفقيه والتهذيب وتفسير القمّي والخصال وفقه الرضا : « ف</w:t>
      </w:r>
      <w:r w:rsidR="00992664" w:rsidRPr="00020424">
        <w:rPr>
          <w:rtl/>
        </w:rPr>
        <w:t>من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45428" w:rsidTr="00045428">
        <w:tc>
          <w:tcPr>
            <w:tcW w:w="4006" w:type="dxa"/>
          </w:tcPr>
          <w:p w:rsidR="00045428" w:rsidRDefault="00045428" w:rsidP="00992664">
            <w:pPr>
              <w:pStyle w:val="libFootnote0"/>
              <w:rPr>
                <w:rtl/>
              </w:rPr>
            </w:pPr>
            <w:r>
              <w:rPr>
                <w:rtl/>
              </w:rPr>
              <w:t xml:space="preserve">(6). </w:t>
            </w:r>
            <w:r w:rsidRPr="00020424">
              <w:rPr>
                <w:rtl/>
              </w:rPr>
              <w:t>في تفسير القمّي : + « أو تقيّاً</w:t>
            </w:r>
            <w:r>
              <w:rPr>
                <w:rtl/>
              </w:rPr>
              <w:t xml:space="preserve"> ».</w:t>
            </w:r>
          </w:p>
        </w:tc>
        <w:tc>
          <w:tcPr>
            <w:tcW w:w="4006" w:type="dxa"/>
          </w:tcPr>
          <w:p w:rsidR="00045428" w:rsidRDefault="00C5548B" w:rsidP="00992664">
            <w:pPr>
              <w:pStyle w:val="libFootnote0"/>
              <w:rPr>
                <w:rtl/>
              </w:rPr>
            </w:pPr>
            <w:r>
              <w:rPr>
                <w:rtl/>
              </w:rPr>
              <w:t xml:space="preserve">(7). </w:t>
            </w:r>
            <w:r w:rsidRPr="00020424">
              <w:rPr>
                <w:rtl/>
              </w:rPr>
              <w:t>في « بخ ، بر ، بف » : « ذلك له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جن » : « فأمّا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 « اختلفوا</w:t>
      </w:r>
      <w:r w:rsidR="00992664">
        <w:rPr>
          <w:rtl/>
        </w:rPr>
        <w:t xml:space="preserve"> ».</w:t>
      </w:r>
      <w:r w:rsidR="00992664" w:rsidRPr="00020424">
        <w:rPr>
          <w:rtl/>
        </w:rPr>
        <w:t xml:space="preserve"> وفي </w:t>
      </w:r>
      <w:r w:rsidR="00992664" w:rsidRPr="00C5548B">
        <w:rPr>
          <w:rtl/>
        </w:rPr>
        <w:t>الفقيه وتفسير القمّي والخصال وفقه</w:t>
      </w:r>
      <w:r w:rsidR="00992664" w:rsidRPr="00020424">
        <w:rPr>
          <w:rtl/>
        </w:rPr>
        <w:t xml:space="preserve"> الرضا : « اختلفت » بدون « قد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C5548B">
        <w:rPr>
          <w:rtl/>
        </w:rPr>
        <w:t>الفقيه وتفسير القمّي والخصال وفقه</w:t>
      </w:r>
      <w:r w:rsidR="00992664" w:rsidRPr="00020424">
        <w:rPr>
          <w:rtl/>
        </w:rPr>
        <w:t xml:space="preserve"> الرضا : « قوم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5548B" w:rsidTr="00C5548B">
        <w:tc>
          <w:tcPr>
            <w:tcW w:w="4006" w:type="dxa"/>
          </w:tcPr>
          <w:p w:rsidR="00C5548B" w:rsidRDefault="00C5548B" w:rsidP="00992664">
            <w:pPr>
              <w:pStyle w:val="libFootnote0"/>
              <w:rPr>
                <w:rtl/>
              </w:rPr>
            </w:pPr>
            <w:r>
              <w:rPr>
                <w:rtl/>
              </w:rPr>
              <w:t xml:space="preserve">(11). </w:t>
            </w:r>
            <w:r w:rsidRPr="00020424">
              <w:rPr>
                <w:rtl/>
              </w:rPr>
              <w:t>في « بر ، بف » : « آخرون</w:t>
            </w:r>
            <w:r>
              <w:rPr>
                <w:rtl/>
              </w:rPr>
              <w:t xml:space="preserve"> ».</w:t>
            </w:r>
          </w:p>
        </w:tc>
        <w:tc>
          <w:tcPr>
            <w:tcW w:w="4006" w:type="dxa"/>
          </w:tcPr>
          <w:p w:rsidR="00C5548B" w:rsidRDefault="00C5548B" w:rsidP="00992664">
            <w:pPr>
              <w:pStyle w:val="libFootnote0"/>
              <w:rPr>
                <w:rtl/>
              </w:rPr>
            </w:pPr>
            <w:r>
              <w:rPr>
                <w:rtl/>
              </w:rPr>
              <w:t xml:space="preserve">(12). </w:t>
            </w:r>
            <w:r w:rsidRPr="00020424">
              <w:rPr>
                <w:rtl/>
              </w:rPr>
              <w:t>في « بح » : « وإنّما</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w:t>
      </w:r>
      <w:r w:rsidR="00992664" w:rsidRPr="00C5548B">
        <w:rPr>
          <w:rtl/>
        </w:rPr>
        <w:t xml:space="preserve"> الفقيه وتفسير القمّي</w:t>
      </w:r>
      <w:r w:rsidR="00992664" w:rsidRPr="00020424">
        <w:rPr>
          <w:rtl/>
        </w:rPr>
        <w:t xml:space="preserve"> وفقه الرضا : « الحالتين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21801" w:rsidTr="00421801">
        <w:tc>
          <w:tcPr>
            <w:tcW w:w="4006" w:type="dxa"/>
          </w:tcPr>
          <w:p w:rsidR="00421801" w:rsidRDefault="00421801" w:rsidP="00421801">
            <w:pPr>
              <w:pStyle w:val="libFootnote0"/>
              <w:rPr>
                <w:rtl/>
                <w:lang w:bidi="fa-IR"/>
              </w:rPr>
            </w:pPr>
            <w:r>
              <w:rPr>
                <w:rtl/>
              </w:rPr>
              <w:t xml:space="preserve">(14). </w:t>
            </w:r>
            <w:r w:rsidRPr="00020424">
              <w:rPr>
                <w:rtl/>
              </w:rPr>
              <w:t xml:space="preserve">في </w:t>
            </w:r>
            <w:r w:rsidRPr="0012008A">
              <w:rPr>
                <w:rStyle w:val="libFootnoteBoldChar"/>
                <w:rtl/>
              </w:rPr>
              <w:t>التهذيب</w:t>
            </w:r>
            <w:r w:rsidRPr="00020424">
              <w:rPr>
                <w:rtl/>
              </w:rPr>
              <w:t xml:space="preserve"> : + « حال</w:t>
            </w:r>
            <w:r>
              <w:rPr>
                <w:rtl/>
              </w:rPr>
              <w:t xml:space="preserve"> ».</w:t>
            </w:r>
          </w:p>
        </w:tc>
        <w:tc>
          <w:tcPr>
            <w:tcW w:w="4006" w:type="dxa"/>
          </w:tcPr>
          <w:p w:rsidR="00421801" w:rsidRDefault="00421801" w:rsidP="00992664">
            <w:pPr>
              <w:pStyle w:val="libFootnote0"/>
              <w:rPr>
                <w:rtl/>
                <w:lang w:bidi="fa-IR"/>
              </w:rPr>
            </w:pPr>
            <w:r>
              <w:rPr>
                <w:rtl/>
              </w:rPr>
              <w:t>(15). في تفسير القمّي:«فهو عاص وعليه</w:t>
            </w:r>
            <w:r w:rsidRPr="00020424">
              <w:rPr>
                <w:rtl/>
              </w:rPr>
              <w:t>»</w:t>
            </w:r>
            <w:r>
              <w:rPr>
                <w:rtl/>
              </w:rPr>
              <w:t>بدل«</w:t>
            </w:r>
            <w:r w:rsidRPr="00020424">
              <w:rPr>
                <w:rtl/>
              </w:rPr>
              <w:t>فعليه</w:t>
            </w:r>
            <w:r>
              <w:rPr>
                <w:rtl/>
              </w:rPr>
              <w:t>».</w:t>
            </w:r>
          </w:p>
        </w:tc>
      </w:tr>
    </w:tbl>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C5548B">
        <w:rPr>
          <w:rtl/>
        </w:rPr>
        <w:t>الفقيه وتفسير القمّي والخصال : + « في ذ</w:t>
      </w:r>
      <w:r w:rsidR="00992664" w:rsidRPr="00020424">
        <w:rPr>
          <w:rtl/>
        </w:rPr>
        <w:t>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A6E57" w:rsidTr="006A6E57">
        <w:tc>
          <w:tcPr>
            <w:tcW w:w="4006" w:type="dxa"/>
          </w:tcPr>
          <w:p w:rsidR="006A6E57" w:rsidRDefault="006A6E57" w:rsidP="00992664">
            <w:pPr>
              <w:pStyle w:val="libFootnote0"/>
              <w:rPr>
                <w:rtl/>
              </w:rPr>
            </w:pPr>
            <w:r>
              <w:rPr>
                <w:rtl/>
              </w:rPr>
              <w:t xml:space="preserve">(17). </w:t>
            </w:r>
            <w:r w:rsidRPr="00020424">
              <w:rPr>
                <w:rtl/>
              </w:rPr>
              <w:t>في</w:t>
            </w:r>
            <w:r w:rsidRPr="006A6E57">
              <w:rPr>
                <w:rtl/>
              </w:rPr>
              <w:t xml:space="preserve"> الفقيه وتفسير القمّي والخصال </w:t>
            </w:r>
            <w:r w:rsidRPr="00020424">
              <w:rPr>
                <w:rtl/>
              </w:rPr>
              <w:t>: « لأنّ</w:t>
            </w:r>
            <w:r>
              <w:rPr>
                <w:rtl/>
              </w:rPr>
              <w:t xml:space="preserve"> ».</w:t>
            </w:r>
          </w:p>
        </w:tc>
        <w:tc>
          <w:tcPr>
            <w:tcW w:w="4006" w:type="dxa"/>
          </w:tcPr>
          <w:p w:rsidR="006A6E57" w:rsidRDefault="006A6E57" w:rsidP="00992664">
            <w:pPr>
              <w:pStyle w:val="libFootnote0"/>
              <w:rPr>
                <w:rtl/>
              </w:rPr>
            </w:pPr>
            <w:r>
              <w:rPr>
                <w:rtl/>
              </w:rPr>
              <w:t xml:space="preserve">(18). </w:t>
            </w:r>
            <w:r w:rsidRPr="00020424">
              <w:rPr>
                <w:rtl/>
              </w:rPr>
              <w:t xml:space="preserve">البقرة </w:t>
            </w:r>
            <w:r>
              <w:rPr>
                <w:rtl/>
              </w:rPr>
              <w:t xml:space="preserve">(2) </w:t>
            </w:r>
            <w:r w:rsidRPr="00020424">
              <w:rPr>
                <w:rtl/>
              </w:rPr>
              <w:t>: 184.</w:t>
            </w:r>
          </w:p>
        </w:tc>
      </w:tr>
    </w:tbl>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في </w:t>
      </w:r>
      <w:r w:rsidR="00992664" w:rsidRPr="006A6E57">
        <w:rPr>
          <w:rtl/>
        </w:rPr>
        <w:t xml:space="preserve">الفقيه وتفسير القمّي والخصال وفقه الرضا : </w:t>
      </w:r>
      <w:r w:rsidR="009B673F" w:rsidRPr="006A6E57">
        <w:rPr>
          <w:rtl/>
        </w:rPr>
        <w:t>-</w:t>
      </w:r>
      <w:r w:rsidR="00992664" w:rsidRPr="006A6E57">
        <w:rPr>
          <w:rtl/>
        </w:rPr>
        <w:t xml:space="preserve"> « فهذا</w:t>
      </w:r>
      <w:r w:rsidR="00992664" w:rsidRPr="00020424">
        <w:rPr>
          <w:rtl/>
        </w:rPr>
        <w:t xml:space="preserve"> تفسير الصيام</w:t>
      </w:r>
      <w:r w:rsidR="00992664">
        <w:rPr>
          <w:rtl/>
        </w:rPr>
        <w:t xml:space="preserve"> ».</w:t>
      </w:r>
    </w:p>
    <w:p w:rsidR="00992664" w:rsidRPr="00020424" w:rsidRDefault="00992664" w:rsidP="00992664">
      <w:pPr>
        <w:pStyle w:val="libFootnote0"/>
        <w:rPr>
          <w:rtl/>
          <w:lang w:bidi="fa-IR"/>
        </w:rPr>
      </w:pPr>
      <w:r w:rsidRPr="00020424">
        <w:rPr>
          <w:rtl/>
        </w:rPr>
        <w:t>(</w:t>
      </w:r>
      <w:r>
        <w:rPr>
          <w:rtl/>
        </w:rPr>
        <w:t>20)</w:t>
      </w:r>
      <w:r w:rsidRPr="00020424">
        <w:rPr>
          <w:rtl/>
        </w:rPr>
        <w:t xml:space="preserve"> </w:t>
      </w:r>
      <w:r w:rsidRPr="00DE76B9">
        <w:rPr>
          <w:rStyle w:val="libFootnoteBoldChar"/>
          <w:rtl/>
        </w:rPr>
        <w:t>تفسير القمّي</w:t>
      </w:r>
      <w:r w:rsidRPr="00020424">
        <w:rPr>
          <w:rtl/>
        </w:rPr>
        <w:t xml:space="preserve"> ، ج 1 ، ص 185. وفي </w:t>
      </w:r>
      <w:r w:rsidRPr="0012008A">
        <w:rPr>
          <w:rStyle w:val="libFootnoteBoldChar"/>
          <w:rtl/>
        </w:rPr>
        <w:t>التهذيب</w:t>
      </w:r>
      <w:r w:rsidRPr="00020424">
        <w:rPr>
          <w:rtl/>
        </w:rPr>
        <w:t xml:space="preserve"> ، ج 4 ، ص 294 ، ح 895 ؛ </w:t>
      </w:r>
      <w:r w:rsidRPr="00FD6221">
        <w:rPr>
          <w:rStyle w:val="libFootnoteBoldChar"/>
          <w:rtl/>
        </w:rPr>
        <w:t>والاستبصار</w:t>
      </w:r>
      <w:r w:rsidRPr="00DE76B9">
        <w:rPr>
          <w:rStyle w:val="libFootnoteBoldChar"/>
          <w:rtl/>
        </w:rPr>
        <w:t xml:space="preserve"> </w:t>
      </w:r>
      <w:r w:rsidRPr="00020424">
        <w:rPr>
          <w:rtl/>
        </w:rPr>
        <w:t xml:space="preserve">، ج 2 ، ص 131 ، </w:t>
      </w:r>
      <w:r w:rsidR="006A6E5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29" w:name="_Toc345172825"/>
      <w:bookmarkStart w:id="330" w:name="_Toc464562643"/>
      <w:bookmarkStart w:id="331" w:name="_Toc44599946"/>
      <w:r w:rsidRPr="00020424">
        <w:rPr>
          <w:rtl/>
          <w:lang w:bidi="fa-IR"/>
        </w:rPr>
        <w:t>11</w:t>
      </w:r>
      <w:r>
        <w:rPr>
          <w:rtl/>
          <w:lang w:bidi="fa-IR"/>
        </w:rPr>
        <w:t xml:space="preserve"> </w:t>
      </w:r>
      <w:r w:rsidR="009B673F">
        <w:rPr>
          <w:rtl/>
          <w:lang w:bidi="fa-IR"/>
        </w:rPr>
        <w:t>-</w:t>
      </w:r>
      <w:r>
        <w:rPr>
          <w:rtl/>
          <w:lang w:bidi="fa-IR"/>
        </w:rPr>
        <w:t xml:space="preserve"> </w:t>
      </w:r>
      <w:r w:rsidRPr="00020424">
        <w:rPr>
          <w:rtl/>
          <w:lang w:bidi="fa-IR"/>
        </w:rPr>
        <w:t>بَابُ أَدَبِ الصَّائِمِ‌</w:t>
      </w:r>
      <w:bookmarkEnd w:id="329"/>
      <w:bookmarkEnd w:id="330"/>
      <w:bookmarkEnd w:id="331"/>
    </w:p>
    <w:p w:rsidR="00992664" w:rsidRPr="00020424" w:rsidRDefault="00992664" w:rsidP="00992664">
      <w:pPr>
        <w:pStyle w:val="libNormal"/>
        <w:rPr>
          <w:rtl/>
          <w:lang w:bidi="fa-IR"/>
        </w:rPr>
      </w:pPr>
      <w:r w:rsidRPr="0024746B">
        <w:rPr>
          <w:rtl/>
        </w:rPr>
        <w:t>6320</w:t>
      </w:r>
      <w:r w:rsidRPr="001155DE">
        <w:rPr>
          <w:rStyle w:val="libBold2Char"/>
          <w:rtl/>
        </w:rPr>
        <w:t xml:space="preserve"> / 1.</w:t>
      </w:r>
      <w:r w:rsidRPr="00020424">
        <w:rPr>
          <w:rtl/>
          <w:lang w:bidi="fa-IR"/>
        </w:rPr>
        <w:t xml:space="preserve"> عَلِيُّ بْنُ إِبْرَاهِيمَ ، عَنْ أَبِيهِ ، عَنِ ابْنِ أَبِي عُمَيْرٍ ، عَنْ حَمَّادِ بْنِ عُثْمَانَ ، عَنْ مُحَمَّدِ بْنِ مُسْلِمٍ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إِذَا صُمْتَ ، فَلْيَصُمْ سَمْعُكَ وَبَصَرُكَ وَشَعْرُكَ وَجِلْدُكَ » وَعَدَّدَ </w:t>
      </w:r>
      <w:r w:rsidRPr="00A91B96">
        <w:rPr>
          <w:rStyle w:val="libFootnotenumChar"/>
          <w:rtl/>
        </w:rPr>
        <w:t>(1)</w:t>
      </w:r>
      <w:r w:rsidRPr="00020424">
        <w:rPr>
          <w:rtl/>
          <w:lang w:bidi="fa-IR"/>
        </w:rPr>
        <w:t xml:space="preserve"> أَشْيَاءَ غَيْرَ هذَا ، وَقَالَ : « لَا يَكُونُ </w:t>
      </w:r>
      <w:r w:rsidRPr="00A91B96">
        <w:rPr>
          <w:rStyle w:val="libFootnotenumChar"/>
          <w:rtl/>
        </w:rPr>
        <w:t>(2)</w:t>
      </w:r>
      <w:r w:rsidRPr="00020424">
        <w:rPr>
          <w:rtl/>
          <w:lang w:bidi="fa-IR"/>
        </w:rPr>
        <w:t xml:space="preserve"> يَوْمُ صَوْمِكَ كَيَوْمِ فِطْرِكَ</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24746B">
        <w:rPr>
          <w:rtl/>
        </w:rPr>
        <w:t>6321</w:t>
      </w:r>
      <w:r w:rsidRPr="001155DE">
        <w:rPr>
          <w:rStyle w:val="libBold2Char"/>
          <w:rtl/>
        </w:rPr>
        <w:t xml:space="preserve"> / 2.</w:t>
      </w:r>
      <w:r w:rsidRPr="00020424">
        <w:rPr>
          <w:rtl/>
          <w:lang w:bidi="fa-IR"/>
        </w:rPr>
        <w:t xml:space="preserve"> عَلِيُّ بْنُ إِبْرَاهِيمَ </w:t>
      </w:r>
      <w:r w:rsidRPr="00A91B96">
        <w:rPr>
          <w:rStyle w:val="libFootnotenumChar"/>
          <w:rtl/>
        </w:rPr>
        <w:t>(4)</w:t>
      </w:r>
      <w:r w:rsidRPr="00020424">
        <w:rPr>
          <w:rtl/>
          <w:lang w:bidi="fa-IR"/>
        </w:rPr>
        <w:t xml:space="preserve"> ، عَنْ أَبِيهِ ، عَنْ أَحْمَدَ بْنِ النَّضْرِ الْخَزَّازِ ، عَنْ عَمْرِو بْنِ شِمْرٍ ، عَنْ جَابِرٍ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جَعْفَرٍ </w:t>
      </w:r>
      <w:r w:rsidRPr="00A91B96">
        <w:rPr>
          <w:rStyle w:val="libFootnotenumChar"/>
          <w:rtl/>
        </w:rPr>
        <w:t>(6)</w:t>
      </w:r>
      <w:r w:rsidRPr="00020424">
        <w:rPr>
          <w:rtl/>
          <w:lang w:bidi="fa-IR"/>
        </w:rPr>
        <w:t xml:space="preserve">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لِجَابِرِ بْنِ عَبْدِ اللهِ : يَا جَابِرُ ، هذَا شَهْرُ رَمَضَانَ ، مَنْ صَامَ نَهَارَهُ ، وَقَامَ وِرْداً </w:t>
      </w:r>
      <w:r w:rsidRPr="00A91B96">
        <w:rPr>
          <w:rStyle w:val="libFootnotenumChar"/>
          <w:rtl/>
        </w:rPr>
        <w:t>(7)</w:t>
      </w:r>
      <w:r w:rsidRPr="00020424">
        <w:rPr>
          <w:rtl/>
          <w:lang w:bidi="fa-IR"/>
        </w:rPr>
        <w:t xml:space="preserve"> مِنْ لَيْلِهِ ، وَعَفَّ بَطْنُهُ وَفَرْجُهُ ، وَكَفَّ لِسَانَهُ </w:t>
      </w:r>
      <w:r w:rsidRPr="00A91B96">
        <w:rPr>
          <w:rStyle w:val="libFootnotenumChar"/>
          <w:rtl/>
        </w:rPr>
        <w:t>(8)</w:t>
      </w:r>
      <w:r w:rsidRPr="00020424">
        <w:rPr>
          <w:rtl/>
          <w:lang w:bidi="fa-IR"/>
        </w:rPr>
        <w:t xml:space="preserve"> ، خَرَجَ مِنْ ذُنُوبِهِ كَخُرُوجِهِ مِنَ الشَّهْرِ ، فَقَالَ جَابِرٌ : يَا رَسُولَ اللهِ ، مَا أَحْسَنَ هذَا الْحَدِيثَ</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667E50" w:rsidP="00D522CB">
      <w:pPr>
        <w:pStyle w:val="libFootnote0"/>
        <w:rPr>
          <w:rtl/>
          <w:lang w:bidi="fa-IR"/>
        </w:rPr>
      </w:pPr>
      <w:r>
        <w:rPr>
          <w:rFonts w:hint="cs"/>
          <w:rtl/>
        </w:rPr>
        <w:t xml:space="preserve">= </w:t>
      </w:r>
      <w:r w:rsidR="00992664" w:rsidRPr="00020424">
        <w:rPr>
          <w:rtl/>
        </w:rPr>
        <w:t xml:space="preserve">ح 427 ، معلّقاً عن الكليني ، وفي الأخير قطعة منه. </w:t>
      </w:r>
      <w:r w:rsidR="00992664" w:rsidRPr="00A722B1">
        <w:rPr>
          <w:rStyle w:val="libFootnoteBoldChar"/>
          <w:rtl/>
        </w:rPr>
        <w:t>الخصال</w:t>
      </w:r>
      <w:r w:rsidR="00992664" w:rsidRPr="00020424">
        <w:rPr>
          <w:rtl/>
        </w:rPr>
        <w:t xml:space="preserve"> ، ص 534 ، أبواب الأربعين ومافوقه ، ح 2 ، بسنده عن القاسم بن محمّد ، عن سليمان بن داود المنقري. </w:t>
      </w:r>
      <w:r w:rsidR="00992664" w:rsidRPr="0012008A">
        <w:rPr>
          <w:rStyle w:val="libFootnoteBoldChar"/>
          <w:rtl/>
        </w:rPr>
        <w:t>الفقيه</w:t>
      </w:r>
      <w:r w:rsidR="00992664" w:rsidRPr="00020424">
        <w:rPr>
          <w:rtl/>
        </w:rPr>
        <w:t xml:space="preserve"> ، ج 2 ، ص 77 ، ح 1784 ، معلّقاً عن الزهري.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201 ، من قوله : « أو تدري كيف يكون عزل ذلك صياماً يا زهري » ؛ </w:t>
      </w:r>
      <w:r w:rsidR="00992664" w:rsidRPr="0012008A">
        <w:rPr>
          <w:rStyle w:val="libFootnoteBoldChar"/>
          <w:rtl/>
        </w:rPr>
        <w:t>المقنعة</w:t>
      </w:r>
      <w:r w:rsidR="00992664" w:rsidRPr="00020424">
        <w:rPr>
          <w:rtl/>
        </w:rPr>
        <w:t xml:space="preserve"> ، ص 363 ، مرسلاً </w:t>
      </w:r>
      <w:r>
        <w:rPr>
          <w:rFonts w:hint="cs"/>
          <w:rtl/>
        </w:rPr>
        <w:t>.</w:t>
      </w:r>
      <w:r w:rsidR="00992664" w:rsidRPr="0012008A">
        <w:rPr>
          <w:rStyle w:val="libFootnoteBoldChar"/>
          <w:rtl/>
        </w:rPr>
        <w:t>الوافي</w:t>
      </w:r>
      <w:r w:rsidR="00992664" w:rsidRPr="00020424">
        <w:rPr>
          <w:rtl/>
        </w:rPr>
        <w:t xml:space="preserve"> ، ج 11 ، ص 37 ، ح 10374 ؛ </w:t>
      </w:r>
      <w:r w:rsidR="00992664" w:rsidRPr="0012008A">
        <w:rPr>
          <w:rStyle w:val="libFootnoteBoldChar"/>
          <w:rtl/>
        </w:rPr>
        <w:t>الوسائل</w:t>
      </w:r>
      <w:r w:rsidR="00992664" w:rsidRPr="00020424">
        <w:rPr>
          <w:rtl/>
        </w:rPr>
        <w:t xml:space="preserve"> ، ج 10 ، ص 241 ، ذيل ح 13318 ، إلى قوله : « أمّا الواجبة فصيام شهر رمضان وصوم شهرين متتابعين » ؛ </w:t>
      </w:r>
      <w:r w:rsidR="00992664" w:rsidRPr="00DE76B9">
        <w:rPr>
          <w:rStyle w:val="libFootnoteBoldChar"/>
          <w:rtl/>
        </w:rPr>
        <w:t>وفيه</w:t>
      </w:r>
      <w:r w:rsidR="00992664" w:rsidRPr="00020424">
        <w:rPr>
          <w:rtl/>
        </w:rPr>
        <w:t xml:space="preserve"> ، ص 367 ، ح 13618 ، إلى قوله : « وصوم الاعتكاف واجب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F3C87" w:rsidTr="003F3C87">
        <w:tc>
          <w:tcPr>
            <w:tcW w:w="4006" w:type="dxa"/>
          </w:tcPr>
          <w:p w:rsidR="003F3C87" w:rsidRDefault="003F3C87" w:rsidP="00992664">
            <w:pPr>
              <w:pStyle w:val="libFootnote0"/>
              <w:rPr>
                <w:rtl/>
              </w:rPr>
            </w:pPr>
            <w:r>
              <w:rPr>
                <w:rtl/>
              </w:rPr>
              <w:t xml:space="preserve">(1). </w:t>
            </w:r>
            <w:r w:rsidRPr="00020424">
              <w:rPr>
                <w:rtl/>
              </w:rPr>
              <w:t>في « بر ، بف » : « وعدّ</w:t>
            </w:r>
            <w:r>
              <w:rPr>
                <w:rtl/>
              </w:rPr>
              <w:t xml:space="preserve"> ».</w:t>
            </w:r>
          </w:p>
        </w:tc>
        <w:tc>
          <w:tcPr>
            <w:tcW w:w="4006" w:type="dxa"/>
          </w:tcPr>
          <w:p w:rsidR="003F3C87" w:rsidRDefault="003F3C87"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لا يكوننّ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194 ، ح 554 ، بسنده عن محمّد بن أبي عمير. </w:t>
      </w:r>
      <w:r w:rsidR="00992664" w:rsidRPr="0012008A">
        <w:rPr>
          <w:rStyle w:val="libFootnoteBoldChar"/>
          <w:rtl/>
        </w:rPr>
        <w:t>الفقيه</w:t>
      </w:r>
      <w:r w:rsidR="00992664" w:rsidRPr="00020424">
        <w:rPr>
          <w:rtl/>
        </w:rPr>
        <w:t xml:space="preserve"> ، ج 2 ، ص 108 ، ح 1855 ، معلّقاً عن محمّد بن مسلم. </w:t>
      </w:r>
      <w:r w:rsidR="00992664" w:rsidRPr="00E82BAA">
        <w:rPr>
          <w:rStyle w:val="libFootnoteBoldChar"/>
          <w:rtl/>
        </w:rPr>
        <w:t>النوادر للأشعري</w:t>
      </w:r>
      <w:r w:rsidR="00992664" w:rsidRPr="00020424">
        <w:rPr>
          <w:rtl/>
        </w:rPr>
        <w:t xml:space="preserve"> ، ص 23 ، ح 11 ، بسنده عن محمّد بن مسلم ،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وفيه</w:t>
      </w:r>
      <w:r w:rsidR="00992664" w:rsidRPr="00020424">
        <w:rPr>
          <w:rtl/>
        </w:rPr>
        <w:t xml:space="preserve"> ، ص 15 ، صدر ح 15 ، وتمام الرواية هكذا : « ونروي عن بعض آبائنا أنّه قال : إذا صمت فليصم سمعك وبصرك وجلدك وشعرك</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310 ، مرسلاً عن محمّد بن مسلم ، مع اختلاف يسير. راجع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205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369 ، المجلس 59 ، ح 1 ؛ </w:t>
      </w:r>
      <w:r w:rsidR="00992664" w:rsidRPr="00FD6221">
        <w:rPr>
          <w:rStyle w:val="libFootnoteBoldChar"/>
          <w:rtl/>
        </w:rPr>
        <w:t>والخصال</w:t>
      </w:r>
      <w:r w:rsidR="00992664" w:rsidRPr="00020424">
        <w:rPr>
          <w:rtl/>
        </w:rPr>
        <w:t xml:space="preserve"> ، ص 566 أبواب الخمسين ومافوقه ، ح 1 </w:t>
      </w:r>
      <w:r w:rsidR="00586996">
        <w:rPr>
          <w:rFonts w:hint="cs"/>
          <w:rtl/>
        </w:rPr>
        <w:t>.</w:t>
      </w:r>
      <w:r w:rsidR="00992664" w:rsidRPr="0012008A">
        <w:rPr>
          <w:rStyle w:val="libFootnoteBoldChar"/>
          <w:rtl/>
        </w:rPr>
        <w:t>الوافي</w:t>
      </w:r>
      <w:r w:rsidR="00992664" w:rsidRPr="00020424">
        <w:rPr>
          <w:rtl/>
        </w:rPr>
        <w:t xml:space="preserve"> ، ج 11 ، ص 221 ، ح 10733 ؛ </w:t>
      </w:r>
      <w:r w:rsidR="00992664" w:rsidRPr="0012008A">
        <w:rPr>
          <w:rStyle w:val="libFootnoteBoldChar"/>
          <w:rtl/>
        </w:rPr>
        <w:t>الوسائل</w:t>
      </w:r>
      <w:r w:rsidR="00992664" w:rsidRPr="00020424">
        <w:rPr>
          <w:rtl/>
        </w:rPr>
        <w:t xml:space="preserve"> ، ج 10 ، ص 161 ، ذيل ح 13120.</w:t>
      </w:r>
    </w:p>
    <w:tbl>
      <w:tblPr>
        <w:tblStyle w:val="TableGrid"/>
        <w:bidiVisual/>
        <w:tblW w:w="0" w:type="auto"/>
        <w:tblLook w:val="04A0" w:firstRow="1" w:lastRow="0" w:firstColumn="1" w:lastColumn="0" w:noHBand="0" w:noVBand="1"/>
      </w:tblPr>
      <w:tblGrid>
        <w:gridCol w:w="4006"/>
        <w:gridCol w:w="4006"/>
      </w:tblGrid>
      <w:tr w:rsidR="00586996" w:rsidTr="00586996">
        <w:tc>
          <w:tcPr>
            <w:tcW w:w="4006" w:type="dxa"/>
          </w:tcPr>
          <w:p w:rsidR="00586996" w:rsidRDefault="00586996" w:rsidP="00992664">
            <w:pPr>
              <w:pStyle w:val="libFootnote0"/>
              <w:rPr>
                <w:rtl/>
              </w:rPr>
            </w:pPr>
            <w:r>
              <w:rPr>
                <w:rtl/>
              </w:rPr>
              <w:t xml:space="preserve">(4). </w:t>
            </w:r>
            <w:r w:rsidRPr="00020424">
              <w:rPr>
                <w:rtl/>
              </w:rPr>
              <w:t>في « بر ، بف ، جر » :</w:t>
            </w:r>
            <w:r>
              <w:rPr>
                <w:rtl/>
              </w:rPr>
              <w:t xml:space="preserve"> - </w:t>
            </w:r>
            <w:r w:rsidRPr="00020424">
              <w:rPr>
                <w:rtl/>
              </w:rPr>
              <w:t>« بن إبراهيم</w:t>
            </w:r>
            <w:r>
              <w:rPr>
                <w:rtl/>
              </w:rPr>
              <w:t xml:space="preserve"> ».</w:t>
            </w:r>
          </w:p>
        </w:tc>
        <w:tc>
          <w:tcPr>
            <w:tcW w:w="4006" w:type="dxa"/>
          </w:tcPr>
          <w:p w:rsidR="00586996" w:rsidRDefault="00586996" w:rsidP="00992664">
            <w:pPr>
              <w:pStyle w:val="libFootnote0"/>
              <w:rPr>
                <w:rtl/>
              </w:rPr>
            </w:pPr>
            <w:r>
              <w:rPr>
                <w:rtl/>
              </w:rPr>
              <w:t xml:space="preserve">(5). </w:t>
            </w:r>
            <w:r w:rsidRPr="00020424">
              <w:rPr>
                <w:rtl/>
              </w:rPr>
              <w:t xml:space="preserve">في « جر » </w:t>
            </w:r>
            <w:r w:rsidRPr="00515444">
              <w:rPr>
                <w:rStyle w:val="libFootnoteBoldChar"/>
                <w:rtl/>
              </w:rPr>
              <w:t>والتهذيب</w:t>
            </w:r>
            <w:r w:rsidRPr="00020424">
              <w:rPr>
                <w:rtl/>
              </w:rPr>
              <w:t xml:space="preserve"> : + « بن يزيد</w:t>
            </w:r>
            <w:r>
              <w:rPr>
                <w:rtl/>
              </w:rPr>
              <w:t xml:space="preserve"> ».</w:t>
            </w:r>
          </w:p>
        </w:tc>
      </w:tr>
      <w:tr w:rsidR="00586996" w:rsidTr="00586996">
        <w:tc>
          <w:tcPr>
            <w:tcW w:w="4006" w:type="dxa"/>
          </w:tcPr>
          <w:p w:rsidR="00586996" w:rsidRDefault="0080177B"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 « أبي عبد الله</w:t>
            </w:r>
            <w:r>
              <w:rPr>
                <w:rtl/>
              </w:rPr>
              <w:t xml:space="preserve"> ».</w:t>
            </w:r>
          </w:p>
        </w:tc>
        <w:tc>
          <w:tcPr>
            <w:tcW w:w="4006" w:type="dxa"/>
          </w:tcPr>
          <w:p w:rsidR="00586996" w:rsidRDefault="0080177B" w:rsidP="00992664">
            <w:pPr>
              <w:pStyle w:val="libFootnote0"/>
              <w:rPr>
                <w:rtl/>
              </w:rPr>
            </w:pPr>
            <w:r>
              <w:rPr>
                <w:rtl/>
              </w:rPr>
              <w:t>(7). الوِرْد :</w:t>
            </w:r>
            <w:r w:rsidRPr="00020424">
              <w:rPr>
                <w:rtl/>
              </w:rPr>
              <w:t xml:space="preserve">الجزء. </w:t>
            </w:r>
            <w:r w:rsidRPr="0012008A">
              <w:rPr>
                <w:rStyle w:val="libFootnoteBoldChar"/>
                <w:rtl/>
              </w:rPr>
              <w:t>الصحاح</w:t>
            </w:r>
            <w:r>
              <w:rPr>
                <w:rtl/>
              </w:rPr>
              <w:t>،</w:t>
            </w:r>
            <w:r w:rsidRPr="00020424">
              <w:rPr>
                <w:rtl/>
              </w:rPr>
              <w:t>ج 2 ، ص 549 ( ورد )</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وكفّ لسانه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فَقَالَ رَسُولُ اللهِ </w:t>
      </w:r>
      <w:r w:rsidR="00B42914" w:rsidRPr="00B42914">
        <w:rPr>
          <w:rStyle w:val="libAlaemChar"/>
          <w:rtl/>
        </w:rPr>
        <w:t>صلى‌الله‌عليه‌وآله‌</w:t>
      </w:r>
      <w:r w:rsidRPr="00020424">
        <w:rPr>
          <w:rtl/>
          <w:lang w:bidi="fa-IR"/>
        </w:rPr>
        <w:t xml:space="preserve"> : يَا جَابِرُ </w:t>
      </w:r>
      <w:r w:rsidRPr="00A91B96">
        <w:rPr>
          <w:rStyle w:val="libFootnotenumChar"/>
          <w:rtl/>
        </w:rPr>
        <w:t>(1)</w:t>
      </w:r>
      <w:r w:rsidRPr="00020424">
        <w:rPr>
          <w:rtl/>
          <w:lang w:bidi="fa-IR"/>
        </w:rPr>
        <w:t xml:space="preserve"> ، وَمَا أَشَدَّ </w:t>
      </w:r>
      <w:r w:rsidRPr="00A91B96">
        <w:rPr>
          <w:rStyle w:val="libFootnotenumChar"/>
          <w:rtl/>
        </w:rPr>
        <w:t>(2)</w:t>
      </w:r>
      <w:r w:rsidRPr="00020424">
        <w:rPr>
          <w:rtl/>
          <w:lang w:bidi="fa-IR"/>
        </w:rPr>
        <w:t xml:space="preserve"> هذِهِ الشُّرُوطَ</w:t>
      </w:r>
      <w:r>
        <w:rPr>
          <w:rtl/>
          <w:lang w:bidi="fa-IR"/>
        </w:rPr>
        <w:t>!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4404B7">
        <w:rPr>
          <w:rtl/>
        </w:rPr>
        <w:t>6322</w:t>
      </w:r>
      <w:r w:rsidRPr="001155DE">
        <w:rPr>
          <w:rStyle w:val="libBold2Char"/>
          <w:rtl/>
        </w:rPr>
        <w:t xml:space="preserve"> / 3.</w:t>
      </w:r>
      <w:r w:rsidRPr="00020424">
        <w:rPr>
          <w:rtl/>
          <w:lang w:bidi="fa-IR"/>
        </w:rPr>
        <w:t xml:space="preserve"> عِدَّةٌ مِنْ أَصْحَابِنَا ، عَنْ أَحْمَدَ بْنِ مُحَمَّدٍ ، عَنِ الْحُسَيْنِ بْنِ سَعِيدٍ ، عَنِ النَّضْرِ بْنِ سُوَيْدٍ ، عَنِ الْقَاسِمِ بْنِ سُلَيْمَانَ ، عَنْ جَرَّاحٍ الْمَدَائِنِيِّ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الصِّيَامَ لَيْسَ مِنَ الطَّعَامِ وَالشَّرَابِ وَحْدَهُ</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w:t>
      </w:r>
      <w:r w:rsidRPr="00A91B96">
        <w:rPr>
          <w:rStyle w:val="libFootnotenumChar"/>
          <w:rtl/>
        </w:rPr>
        <w:t>(4)</w:t>
      </w:r>
      <w:r w:rsidRPr="00020424">
        <w:rPr>
          <w:rtl/>
          <w:lang w:bidi="fa-IR"/>
        </w:rPr>
        <w:t xml:space="preserve"> : « قَالَتْ مَرْيَمُ : </w:t>
      </w:r>
      <w:r w:rsidRPr="00005A81">
        <w:rPr>
          <w:rStyle w:val="libAlaemChar"/>
          <w:rtl/>
        </w:rPr>
        <w:t>(</w:t>
      </w:r>
      <w:r w:rsidRPr="004E5AB4">
        <w:rPr>
          <w:rStyle w:val="libAieChar"/>
          <w:rtl/>
        </w:rPr>
        <w:t xml:space="preserve"> إِنِّي نَذَرْتُ لِلرَّحْمنِ صَوْماً </w:t>
      </w:r>
      <w:r w:rsidRPr="00005A81">
        <w:rPr>
          <w:rStyle w:val="libAlaemChar"/>
          <w:rtl/>
        </w:rPr>
        <w:t>)</w:t>
      </w:r>
      <w:r w:rsidRPr="00020424">
        <w:rPr>
          <w:rtl/>
          <w:lang w:bidi="fa-IR"/>
        </w:rPr>
        <w:t xml:space="preserve"> </w:t>
      </w:r>
      <w:r w:rsidRPr="00A91B96">
        <w:rPr>
          <w:rStyle w:val="libFootnotenumChar"/>
          <w:rtl/>
        </w:rPr>
        <w:t>(5)</w:t>
      </w:r>
      <w:r w:rsidRPr="00020424">
        <w:rPr>
          <w:rtl/>
          <w:lang w:bidi="fa-IR"/>
        </w:rPr>
        <w:t xml:space="preserve"> أَيْ صَوْماً </w:t>
      </w:r>
      <w:r w:rsidRPr="00A91B96">
        <w:rPr>
          <w:rStyle w:val="libFootnotenumChar"/>
          <w:rtl/>
        </w:rPr>
        <w:t>(6)</w:t>
      </w:r>
      <w:r w:rsidRPr="00020424">
        <w:rPr>
          <w:rtl/>
          <w:lang w:bidi="fa-IR"/>
        </w:rPr>
        <w:t xml:space="preserve"> صَمْتاً </w:t>
      </w:r>
      <w:r w:rsidRPr="00A91B96">
        <w:rPr>
          <w:rStyle w:val="libFootnotenumChar"/>
          <w:rtl/>
        </w:rPr>
        <w:t>(7)</w:t>
      </w:r>
      <w:r>
        <w:rPr>
          <w:rtl/>
          <w:lang w:bidi="fa-IR"/>
        </w:rPr>
        <w:t xml:space="preserve"> </w:t>
      </w:r>
      <w:r w:rsidR="009B673F">
        <w:rPr>
          <w:rtl/>
          <w:lang w:bidi="fa-IR"/>
        </w:rPr>
        <w:t>-</w:t>
      </w:r>
      <w:r>
        <w:rPr>
          <w:rtl/>
          <w:lang w:bidi="fa-IR"/>
        </w:rPr>
        <w:t xml:space="preserve"> </w:t>
      </w:r>
      <w:r w:rsidRPr="00020424">
        <w:rPr>
          <w:rtl/>
          <w:lang w:bidi="fa-IR"/>
        </w:rPr>
        <w:t xml:space="preserve">وَفِي نُسْخَةٍ أُخْرى </w:t>
      </w:r>
      <w:r w:rsidRPr="00A91B96">
        <w:rPr>
          <w:rStyle w:val="libFootnotenumChar"/>
          <w:rtl/>
        </w:rPr>
        <w:t>(8)</w:t>
      </w:r>
      <w:r w:rsidRPr="00020424">
        <w:rPr>
          <w:rtl/>
          <w:lang w:bidi="fa-IR"/>
        </w:rPr>
        <w:t xml:space="preserve"> : أَيْ صَمْتاً </w:t>
      </w:r>
      <w:r w:rsidRPr="00A91B96">
        <w:rPr>
          <w:rStyle w:val="libFootnotenumChar"/>
          <w:rtl/>
        </w:rPr>
        <w:t>(9)</w:t>
      </w:r>
      <w:r>
        <w:rPr>
          <w:rtl/>
          <w:lang w:bidi="fa-IR"/>
        </w:rPr>
        <w:t xml:space="preserve"> </w:t>
      </w:r>
      <w:r w:rsidR="009B673F">
        <w:rPr>
          <w:rtl/>
          <w:lang w:bidi="fa-IR"/>
        </w:rPr>
        <w:t>-</w:t>
      </w:r>
      <w:r>
        <w:rPr>
          <w:rtl/>
          <w:lang w:bidi="fa-IR"/>
        </w:rPr>
        <w:t xml:space="preserve"> </w:t>
      </w:r>
      <w:r w:rsidRPr="00020424">
        <w:rPr>
          <w:rtl/>
          <w:lang w:bidi="fa-IR"/>
        </w:rPr>
        <w:t xml:space="preserve">فَإِذَا </w:t>
      </w:r>
      <w:r w:rsidRPr="00A91B96">
        <w:rPr>
          <w:rStyle w:val="libFootnotenumChar"/>
          <w:rtl/>
        </w:rPr>
        <w:t>(10)</w:t>
      </w:r>
      <w:r w:rsidRPr="00020424">
        <w:rPr>
          <w:rtl/>
          <w:lang w:bidi="fa-IR"/>
        </w:rPr>
        <w:t xml:space="preserve"> صُمْتُمْ فَاحْفَظُوا أَلْسِنَتَكُمْ ، وَغُضُّوا أَبْصَارَكُمْ ، وَلَا تَنَازَعُوا وَلَاتَحَاسَدُوا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وَسَمِعَ رَسُولُ اللهِ </w:t>
      </w:r>
      <w:r w:rsidR="00B42914" w:rsidRPr="00B42914">
        <w:rPr>
          <w:rStyle w:val="libAlaemChar"/>
          <w:rtl/>
        </w:rPr>
        <w:t>صلى‌الله‌عليه‌وآله‌</w:t>
      </w:r>
      <w:r w:rsidRPr="00020424">
        <w:rPr>
          <w:rtl/>
          <w:lang w:bidi="fa-IR"/>
        </w:rPr>
        <w:t xml:space="preserve"> امْرَأَةً تَسُبُّ جَارِيَةً لَهَا وَهِيَ صَائِمَةٌ ، فَدَعَا رَسُولُ اللهِ </w:t>
      </w:r>
      <w:r w:rsidR="00B42914" w:rsidRPr="00B42914">
        <w:rPr>
          <w:rStyle w:val="libAlaemChar"/>
          <w:rtl/>
        </w:rPr>
        <w:t>صلى‌الله‌عليه‌وآله‌</w:t>
      </w:r>
      <w:r w:rsidRPr="00020424">
        <w:rPr>
          <w:rtl/>
          <w:lang w:bidi="fa-IR"/>
        </w:rPr>
        <w:t xml:space="preserve"> بِطَعَامٍ ، فَقَالَ لَهَا : كُلِي ، فَقَالَتْ : إِنِّي صَائِمَةٌ ، فَقَالَ : كَيْفَ تَكُونِينَ صَائِمَةً وَقَدْ سَبَبْتِ </w:t>
      </w:r>
      <w:r w:rsidRPr="00A91B96">
        <w:rPr>
          <w:rStyle w:val="libFootnotenumChar"/>
          <w:rtl/>
        </w:rPr>
        <w:t>(11)</w:t>
      </w:r>
      <w:r w:rsidRPr="00020424">
        <w:rPr>
          <w:rtl/>
          <w:lang w:bidi="fa-IR"/>
        </w:rPr>
        <w:t xml:space="preserve"> جَارِيَتَكِ</w:t>
      </w:r>
      <w:r>
        <w:rPr>
          <w:rtl/>
          <w:lang w:bidi="fa-IR"/>
        </w:rPr>
        <w:t>؟!</w:t>
      </w:r>
      <w:r w:rsidRPr="00020424">
        <w:rPr>
          <w:rtl/>
          <w:lang w:bidi="fa-IR"/>
        </w:rPr>
        <w:t xml:space="preserve"> إِنَّ الصَّوْمَ </w:t>
      </w:r>
      <w:r w:rsidRPr="00A91B96">
        <w:rPr>
          <w:rStyle w:val="libFootnotenumChar"/>
          <w:rtl/>
        </w:rPr>
        <w:t>(12)</w:t>
      </w:r>
      <w:r w:rsidRPr="00020424">
        <w:rPr>
          <w:rtl/>
          <w:lang w:bidi="fa-IR"/>
        </w:rPr>
        <w:t xml:space="preserve"> لَيْسَ مِنَ الطَّعَامِ وَالشَّرَابِ </w:t>
      </w:r>
      <w:r w:rsidRPr="00A91B96">
        <w:rPr>
          <w:rStyle w:val="libFootnotenumChar"/>
          <w:rtl/>
        </w:rPr>
        <w:t>(13)</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وَقَالَ أَبُو عَبْدِ اللهِ </w:t>
      </w:r>
      <w:r w:rsidRPr="00005A81">
        <w:rPr>
          <w:rStyle w:val="libAlaemChar"/>
          <w:rtl/>
        </w:rPr>
        <w:t>عليه‌السلام</w:t>
      </w:r>
      <w:r w:rsidRPr="00020424">
        <w:rPr>
          <w:rtl/>
          <w:lang w:bidi="fa-IR"/>
        </w:rPr>
        <w:t xml:space="preserve"> : « إِذَا صُمْتَ ، فَلْيَصُمْ </w:t>
      </w:r>
      <w:r w:rsidRPr="00A91B96">
        <w:rPr>
          <w:rStyle w:val="libFootnotenumChar"/>
          <w:rtl/>
        </w:rPr>
        <w:t>(14)</w:t>
      </w:r>
      <w:r w:rsidRPr="00020424">
        <w:rPr>
          <w:rtl/>
          <w:lang w:bidi="fa-IR"/>
        </w:rPr>
        <w:t xml:space="preserve"> سَمْعُكَ وَبَصَرُكَ مِنَ الْحَرَامِ‌</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2265E" w:rsidTr="0042265E">
        <w:tc>
          <w:tcPr>
            <w:tcW w:w="4006" w:type="dxa"/>
          </w:tcPr>
          <w:p w:rsidR="0042265E" w:rsidRDefault="0042265E" w:rsidP="00992664">
            <w:pPr>
              <w:pStyle w:val="libFootnote0"/>
              <w:rPr>
                <w:rtl/>
              </w:rPr>
            </w:pPr>
            <w:r>
              <w:rPr>
                <w:rtl/>
              </w:rPr>
              <w:t xml:space="preserve">(1). </w:t>
            </w:r>
            <w:r w:rsidRPr="00020424">
              <w:rPr>
                <w:rtl/>
              </w:rPr>
              <w:t>في « ى » :</w:t>
            </w:r>
            <w:r>
              <w:rPr>
                <w:rtl/>
              </w:rPr>
              <w:t xml:space="preserve"> - </w:t>
            </w:r>
            <w:r w:rsidRPr="00020424">
              <w:rPr>
                <w:rtl/>
              </w:rPr>
              <w:t xml:space="preserve">« رسول الله </w:t>
            </w:r>
            <w:r w:rsidRPr="00D64ADA">
              <w:rPr>
                <w:rStyle w:val="libFootnoteAlaemChar"/>
                <w:rtl/>
              </w:rPr>
              <w:t>صلى‌الله‌عليه‌وآله</w:t>
            </w:r>
            <w:r w:rsidRPr="00B42914">
              <w:rPr>
                <w:rStyle w:val="libAlaemChar"/>
                <w:rtl/>
              </w:rPr>
              <w:t>‌</w:t>
            </w:r>
            <w:r w:rsidRPr="00020424">
              <w:rPr>
                <w:rtl/>
              </w:rPr>
              <w:t xml:space="preserve"> يا جابر</w:t>
            </w:r>
            <w:r>
              <w:rPr>
                <w:rtl/>
              </w:rPr>
              <w:t xml:space="preserve"> ».</w:t>
            </w:r>
          </w:p>
        </w:tc>
        <w:tc>
          <w:tcPr>
            <w:tcW w:w="4006" w:type="dxa"/>
          </w:tcPr>
          <w:p w:rsidR="0042265E" w:rsidRDefault="0042265E" w:rsidP="00992664">
            <w:pPr>
              <w:pStyle w:val="libFootnote0"/>
              <w:rPr>
                <w:rtl/>
              </w:rPr>
            </w:pPr>
            <w:r>
              <w:rPr>
                <w:rtl/>
              </w:rPr>
              <w:t xml:space="preserve">(2). </w:t>
            </w:r>
            <w:r w:rsidRPr="00020424">
              <w:rPr>
                <w:rtl/>
              </w:rPr>
              <w:t>في « ى ، بر ، بف » : « ما أشدّ » بدون الواو.</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195 ، ح 560 ، معلّقاً عن الكليني </w:t>
      </w:r>
      <w:r w:rsidR="00971C53">
        <w:rPr>
          <w:rFonts w:hint="cs"/>
          <w:rtl/>
        </w:rPr>
        <w:t>.</w:t>
      </w:r>
      <w:r w:rsidR="00992664" w:rsidRPr="0012008A">
        <w:rPr>
          <w:rStyle w:val="libFootnoteBoldChar"/>
          <w:rtl/>
        </w:rPr>
        <w:t>الوافي</w:t>
      </w:r>
      <w:r w:rsidR="00992664" w:rsidRPr="00020424">
        <w:rPr>
          <w:rtl/>
        </w:rPr>
        <w:t xml:space="preserve"> ، ج 11 ، ص 374 ، ح 11044 ؛ </w:t>
      </w:r>
      <w:r w:rsidR="00992664" w:rsidRPr="0012008A">
        <w:rPr>
          <w:rStyle w:val="libFootnoteBoldChar"/>
          <w:rtl/>
        </w:rPr>
        <w:t>الوسائل</w:t>
      </w:r>
      <w:r w:rsidR="00992664" w:rsidRPr="00020424">
        <w:rPr>
          <w:rtl/>
        </w:rPr>
        <w:t xml:space="preserve"> ، ج 10 ، ص 162 ، ذيل ح 13121.</w:t>
      </w:r>
    </w:p>
    <w:p w:rsidR="00992664" w:rsidRPr="00020424" w:rsidRDefault="00795177" w:rsidP="00971C53">
      <w:pPr>
        <w:pStyle w:val="libFootnote0"/>
        <w:rPr>
          <w:rtl/>
          <w:lang w:bidi="fa-IR"/>
        </w:rPr>
      </w:pPr>
      <w:r>
        <w:rPr>
          <w:rtl/>
        </w:rPr>
        <w:t>(4).</w:t>
      </w:r>
      <w:r w:rsidR="0014403D">
        <w:rPr>
          <w:rtl/>
        </w:rPr>
        <w:t xml:space="preserve"> </w:t>
      </w:r>
      <w:r w:rsidR="00992664" w:rsidRPr="00020424">
        <w:rPr>
          <w:rtl/>
        </w:rPr>
        <w:t>في النوادر : « إنّما للصوم شرط يحتاج أن يحفظ حتّى يتمّ الصوم ، وهو الصمت الداخل ؛ أما تسمع ما » بدل « ثمّ‌قال</w:t>
      </w:r>
      <w:r w:rsidR="00992664">
        <w:rPr>
          <w:rtl/>
        </w:rPr>
        <w:t xml:space="preserve"> ».</w:t>
      </w:r>
      <w:r w:rsidR="00971C53">
        <w:rPr>
          <w:rFonts w:hint="cs"/>
          <w:rtl/>
        </w:rPr>
        <w:t xml:space="preserve">                                                      </w:t>
      </w:r>
      <w:r>
        <w:rPr>
          <w:rtl/>
        </w:rPr>
        <w:t>(5).</w:t>
      </w:r>
      <w:r w:rsidR="0014403D">
        <w:rPr>
          <w:rtl/>
        </w:rPr>
        <w:t xml:space="preserve"> </w:t>
      </w:r>
      <w:r w:rsidR="00992664" w:rsidRPr="00020424">
        <w:rPr>
          <w:rtl/>
        </w:rPr>
        <w:t xml:space="preserve">مريم </w:t>
      </w:r>
      <w:r w:rsidR="00971C53">
        <w:rPr>
          <w:rtl/>
        </w:rPr>
        <w:t>(19)</w:t>
      </w:r>
      <w:r w:rsidR="0014403D">
        <w:rPr>
          <w:rtl/>
        </w:rPr>
        <w:t xml:space="preserve"> </w:t>
      </w:r>
      <w:r w:rsidR="00992664" w:rsidRPr="00020424">
        <w:rPr>
          <w:rtl/>
        </w:rPr>
        <w:t>: 26.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بث ، بخ ، بر ، بس ، بف » :</w:t>
      </w:r>
      <w:r w:rsidR="00992664">
        <w:rPr>
          <w:rtl/>
        </w:rPr>
        <w:t xml:space="preserve"> </w:t>
      </w:r>
      <w:r w:rsidR="009B673F">
        <w:rPr>
          <w:rtl/>
        </w:rPr>
        <w:t>-</w:t>
      </w:r>
      <w:r w:rsidR="00992664">
        <w:rPr>
          <w:rtl/>
        </w:rPr>
        <w:t xml:space="preserve"> </w:t>
      </w:r>
      <w:r w:rsidR="00992664" w:rsidRPr="00020424">
        <w:rPr>
          <w:rtl/>
        </w:rPr>
        <w:t>« صوماً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بح ، جن » ومرآة العقول </w:t>
      </w:r>
      <w:r w:rsidR="00992664" w:rsidRPr="00EB1FD9">
        <w:rPr>
          <w:rStyle w:val="libFootnoteBoldChar"/>
          <w:rtl/>
        </w:rPr>
        <w:t>والوسائل</w:t>
      </w:r>
      <w:r w:rsidR="00992664" w:rsidRPr="00020424">
        <w:rPr>
          <w:rtl/>
        </w:rPr>
        <w:t xml:space="preserve"> : « وصمتاً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248 : « لعلّ قوله : وفي نسخة ا</w:t>
      </w:r>
      <w:r w:rsidR="001D45ED">
        <w:rPr>
          <w:rFonts w:hint="cs"/>
          <w:rtl/>
        </w:rPr>
        <w:t>ُ</w:t>
      </w:r>
      <w:r w:rsidR="00992664" w:rsidRPr="00020424">
        <w:rPr>
          <w:rtl/>
        </w:rPr>
        <w:t xml:space="preserve">خرى ، من كلام رواة </w:t>
      </w:r>
      <w:r w:rsidR="00992664" w:rsidRPr="00DE76B9">
        <w:rPr>
          <w:rStyle w:val="libFootnoteBoldChar"/>
          <w:rtl/>
        </w:rPr>
        <w:t>الكافي</w:t>
      </w:r>
      <w:r w:rsidR="00992664" w:rsidRPr="00020424">
        <w:rPr>
          <w:rtl/>
        </w:rPr>
        <w:t xml:space="preserve"> ، ويحتمل على بعد أن‌يكون من كلام الكليني بأن يكون نسخ الأصل الذي أخذ الحديث منه مختلفةً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بح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ح 553 والنوادر :</w:t>
      </w:r>
      <w:r w:rsidR="00992664">
        <w:rPr>
          <w:rtl/>
        </w:rPr>
        <w:t xml:space="preserve"> </w:t>
      </w:r>
      <w:r w:rsidR="009B673F">
        <w:rPr>
          <w:rtl/>
        </w:rPr>
        <w:t>-</w:t>
      </w:r>
      <w:r w:rsidR="00992664">
        <w:rPr>
          <w:rtl/>
        </w:rPr>
        <w:t xml:space="preserve"> </w:t>
      </w:r>
      <w:r w:rsidR="00992664" w:rsidRPr="00020424">
        <w:rPr>
          <w:rtl/>
        </w:rPr>
        <w:t>« وفي نسخة ا</w:t>
      </w:r>
      <w:r w:rsidR="00637999">
        <w:rPr>
          <w:rFonts w:hint="cs"/>
          <w:rtl/>
        </w:rPr>
        <w:t>ُ</w:t>
      </w:r>
      <w:r w:rsidR="00992664" w:rsidRPr="00020424">
        <w:rPr>
          <w:rtl/>
        </w:rPr>
        <w:t>خرى : أي صمتاً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وإذا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 بث ، بخ ، بر ، جن » </w:t>
      </w:r>
      <w:r w:rsidR="00992664" w:rsidRPr="00515444">
        <w:rPr>
          <w:rStyle w:val="libFootnoteBoldChar"/>
          <w:rtl/>
        </w:rPr>
        <w:t>والوافي</w:t>
      </w:r>
      <w:r w:rsidR="00992664" w:rsidRPr="00020424">
        <w:rPr>
          <w:rtl/>
        </w:rPr>
        <w:t>. وفي سائر النسخ والمطبوع : « سبّيت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37999" w:rsidTr="00637999">
        <w:tc>
          <w:tcPr>
            <w:tcW w:w="4006" w:type="dxa"/>
          </w:tcPr>
          <w:p w:rsidR="00637999" w:rsidRDefault="00637999" w:rsidP="00992664">
            <w:pPr>
              <w:pStyle w:val="libFootnote0"/>
              <w:rPr>
                <w:rtl/>
              </w:rPr>
            </w:pPr>
            <w:r>
              <w:rPr>
                <w:rtl/>
              </w:rPr>
              <w:t xml:space="preserve">(12). </w:t>
            </w:r>
            <w:r w:rsidRPr="00020424">
              <w:rPr>
                <w:rtl/>
              </w:rPr>
              <w:t>في « ظ » : « الصيام</w:t>
            </w:r>
            <w:r>
              <w:rPr>
                <w:rtl/>
              </w:rPr>
              <w:t xml:space="preserve"> ».</w:t>
            </w:r>
          </w:p>
        </w:tc>
        <w:tc>
          <w:tcPr>
            <w:tcW w:w="4006" w:type="dxa"/>
          </w:tcPr>
          <w:p w:rsidR="00637999" w:rsidRDefault="00637999" w:rsidP="00992664">
            <w:pPr>
              <w:pStyle w:val="libFootnote0"/>
              <w:rPr>
                <w:rtl/>
              </w:rPr>
            </w:pPr>
            <w:r>
              <w:rPr>
                <w:rtl/>
              </w:rPr>
              <w:t xml:space="preserve">(13). </w:t>
            </w:r>
            <w:r w:rsidRPr="00020424">
              <w:rPr>
                <w:rtl/>
              </w:rPr>
              <w:t xml:space="preserve">في </w:t>
            </w:r>
            <w:r w:rsidRPr="0012008A">
              <w:rPr>
                <w:rStyle w:val="libFootnoteBoldChar"/>
                <w:rtl/>
              </w:rPr>
              <w:t>الوسائل</w:t>
            </w:r>
            <w:r w:rsidRPr="00020424">
              <w:rPr>
                <w:rtl/>
              </w:rPr>
              <w:t xml:space="preserve"> : + « فقط</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بف » : « فلتصم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وَالْقَبِيحِ ، وَ</w:t>
      </w:r>
      <w:r w:rsidR="005806A9">
        <w:rPr>
          <w:rFonts w:hint="cs"/>
          <w:rtl/>
          <w:lang w:bidi="fa-IR"/>
        </w:rPr>
        <w:t xml:space="preserve"> </w:t>
      </w:r>
      <w:r w:rsidRPr="00020424">
        <w:rPr>
          <w:rtl/>
          <w:lang w:bidi="fa-IR"/>
        </w:rPr>
        <w:t xml:space="preserve">دَعِ الْمِرَاءَ </w:t>
      </w:r>
      <w:r w:rsidRPr="00A91B96">
        <w:rPr>
          <w:rStyle w:val="libFootnotenumChar"/>
          <w:rtl/>
        </w:rPr>
        <w:t>(1)</w:t>
      </w:r>
      <w:r w:rsidRPr="00020424">
        <w:rPr>
          <w:rtl/>
          <w:lang w:bidi="fa-IR"/>
        </w:rPr>
        <w:t xml:space="preserve"> وَأَذَى الْخَادِمِ ، وَلْيَكُنْ عَلَيْكَ وَقَارُ الصِّيَامِ </w:t>
      </w:r>
      <w:r w:rsidRPr="00A91B96">
        <w:rPr>
          <w:rStyle w:val="libFootnotenumChar"/>
          <w:rtl/>
        </w:rPr>
        <w:t>(2)</w:t>
      </w:r>
      <w:r w:rsidRPr="00020424">
        <w:rPr>
          <w:rtl/>
          <w:lang w:bidi="fa-IR"/>
        </w:rPr>
        <w:t xml:space="preserve"> ، وَلَاتَجْعَلْ يَوْمَ صَوْمِكَ كَيَوْمِ فِطْرِكَ</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4404B7">
        <w:rPr>
          <w:rtl/>
        </w:rPr>
        <w:t>6323</w:t>
      </w:r>
      <w:r w:rsidRPr="001155DE">
        <w:rPr>
          <w:rStyle w:val="libBold2Char"/>
          <w:rtl/>
        </w:rPr>
        <w:t xml:space="preserve"> / 4.</w:t>
      </w:r>
      <w:r w:rsidRPr="00020424">
        <w:rPr>
          <w:rtl/>
          <w:lang w:bidi="fa-IR"/>
        </w:rPr>
        <w:t xml:space="preserve"> عِدَّةٌ مِنْ أَصْحَابِنَا ، عَنْ سَهْلِ بْنِ زِيَادٍ ، عَنِ الْحَسَنِ بْنِ مَحْبُوبٍ ، عَنْ أَبِي أَيُّوبَ ، عَنِ الْفُضَيْلِ بْنِ يَسَارٍ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صَامَ أَحَدُكُمُ الثَّلَاثَةَ الْأَيَّامِ مِنَ الشَّهْرِ ، فَلَا يُجَادِلَنَّ أَحَداً ، وَلَايَجْهَلْ </w:t>
      </w:r>
      <w:r w:rsidRPr="00A91B96">
        <w:rPr>
          <w:rStyle w:val="libFootnotenumChar"/>
          <w:rtl/>
        </w:rPr>
        <w:t>(4)</w:t>
      </w:r>
      <w:r w:rsidRPr="00020424">
        <w:rPr>
          <w:rtl/>
          <w:lang w:bidi="fa-IR"/>
        </w:rPr>
        <w:t xml:space="preserve"> ، وَلَايُسْرِعْ إِلَى الْحَلْفِ وَالْأَيْمَانِ بِاللهِ ، فَإِنْ جَهِلَ </w:t>
      </w:r>
      <w:r w:rsidRPr="00A91B96">
        <w:rPr>
          <w:rStyle w:val="libFootnotenumChar"/>
          <w:rtl/>
        </w:rPr>
        <w:t>(5)</w:t>
      </w:r>
      <w:r w:rsidRPr="00020424">
        <w:rPr>
          <w:rtl/>
          <w:lang w:bidi="fa-IR"/>
        </w:rPr>
        <w:t xml:space="preserve"> عَلَيْهِ أَحَدٌ ، فَلْيَتَحَمَّلْ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404B7">
        <w:rPr>
          <w:rtl/>
        </w:rPr>
        <w:t>6324</w:t>
      </w:r>
      <w:r w:rsidRPr="001155DE">
        <w:rPr>
          <w:rStyle w:val="libBold2Char"/>
          <w:rtl/>
        </w:rPr>
        <w:t xml:space="preserve"> / 5.</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مَا مِنْ عَبْدٍ صَالِحٍ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w:t>
      </w:r>
      <w:r w:rsidR="005806A9">
        <w:rPr>
          <w:rFonts w:hint="cs"/>
          <w:rtl/>
        </w:rPr>
        <w:t>ـ</w:t>
      </w:r>
      <w:r w:rsidR="00992664" w:rsidRPr="00020424">
        <w:rPr>
          <w:rtl/>
        </w:rPr>
        <w:t>مِراءُ »</w:t>
      </w:r>
      <w:r w:rsidR="00236E70">
        <w:rPr>
          <w:rtl/>
        </w:rPr>
        <w:t xml:space="preserve"> : الجدال ، ولا يكون المراء إل</w:t>
      </w:r>
      <w:r w:rsidR="00236E70">
        <w:rPr>
          <w:rFonts w:hint="cs"/>
          <w:rtl/>
        </w:rPr>
        <w:t>ّ</w:t>
      </w:r>
      <w:r w:rsidR="00236E70">
        <w:rPr>
          <w:rtl/>
        </w:rPr>
        <w:t>ا</w:t>
      </w:r>
      <w:r w:rsidR="00992664">
        <w:rPr>
          <w:rFonts w:hint="cs"/>
          <w:rtl/>
        </w:rPr>
        <w:t xml:space="preserve"> </w:t>
      </w:r>
      <w:r w:rsidR="00992664" w:rsidRPr="00020424">
        <w:rPr>
          <w:rtl/>
        </w:rPr>
        <w:t xml:space="preserve">اعتراضاً ، بخلاف الجدال ؛ فإنّه يكون ابتداء واعتراضاً. راجع : </w:t>
      </w:r>
      <w:r w:rsidR="00992664" w:rsidRPr="0012008A">
        <w:rPr>
          <w:rStyle w:val="libFootnoteBoldChar"/>
          <w:rtl/>
        </w:rPr>
        <w:t>النهاية</w:t>
      </w:r>
      <w:r w:rsidR="00992664" w:rsidRPr="00020424">
        <w:rPr>
          <w:rtl/>
        </w:rPr>
        <w:t xml:space="preserve"> ، ج 4 ، ص 322 ؛ </w:t>
      </w:r>
      <w:r w:rsidR="00992664" w:rsidRPr="00A722B1">
        <w:rPr>
          <w:rStyle w:val="libFootnoteBoldChar"/>
          <w:rtl/>
        </w:rPr>
        <w:t>المصباح المنير</w:t>
      </w:r>
      <w:r w:rsidR="00992664" w:rsidRPr="00020424">
        <w:rPr>
          <w:rtl/>
        </w:rPr>
        <w:t xml:space="preserve"> ، ص 570 ( مرا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حاشية « بث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ح 1862 : « الصائم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194 ، ح 553 ، إلى قوله : « ليس من الطعام والشراب » ؛ </w:t>
      </w:r>
      <w:r w:rsidR="00992664" w:rsidRPr="00DE76B9">
        <w:rPr>
          <w:rStyle w:val="libFootnoteBoldChar"/>
          <w:rtl/>
        </w:rPr>
        <w:t>وفيه</w:t>
      </w:r>
      <w:r w:rsidR="00992664" w:rsidRPr="00020424">
        <w:rPr>
          <w:rtl/>
        </w:rPr>
        <w:t xml:space="preserve"> ، ص 194 ، ح 555 ، من قوله : « قال : وقال أبوعبدالله </w:t>
      </w:r>
      <w:r w:rsidR="00992664" w:rsidRPr="00D64ADA">
        <w:rPr>
          <w:rStyle w:val="libFootnoteAlaemChar"/>
          <w:rtl/>
        </w:rPr>
        <w:t>عليه‌السلام</w:t>
      </w:r>
      <w:r w:rsidR="00992664" w:rsidRPr="00020424">
        <w:rPr>
          <w:rtl/>
        </w:rPr>
        <w:t xml:space="preserve"> : إذا صمت » ، وفيهما بسند آخر عن الحسين بن سعيد. </w:t>
      </w:r>
      <w:r w:rsidR="00992664" w:rsidRPr="00E82BAA">
        <w:rPr>
          <w:rStyle w:val="libFootnoteBoldChar"/>
          <w:rtl/>
        </w:rPr>
        <w:t>النوادر للأشعري</w:t>
      </w:r>
      <w:r w:rsidR="00992664" w:rsidRPr="00020424">
        <w:rPr>
          <w:rtl/>
        </w:rPr>
        <w:t xml:space="preserve"> ، ص 20 ، ح 9 ، عن النضر بن سويد ، من قوله : « قال : وقال أبو عبدالله </w:t>
      </w:r>
      <w:r w:rsidR="00992664" w:rsidRPr="00D64ADA">
        <w:rPr>
          <w:rStyle w:val="libFootnoteAlaemChar"/>
          <w:rtl/>
        </w:rPr>
        <w:t>عليه‌السلام</w:t>
      </w:r>
      <w:r w:rsidR="00992664" w:rsidRPr="00020424">
        <w:rPr>
          <w:rtl/>
        </w:rPr>
        <w:t xml:space="preserve"> : إذا صمت » مع زيادة. </w:t>
      </w:r>
      <w:r w:rsidR="00992664" w:rsidRPr="00DE76B9">
        <w:rPr>
          <w:rStyle w:val="libFootnoteBoldChar"/>
          <w:rtl/>
        </w:rPr>
        <w:t>وفيه</w:t>
      </w:r>
      <w:r w:rsidR="00992664" w:rsidRPr="00020424">
        <w:rPr>
          <w:rtl/>
        </w:rPr>
        <w:t xml:space="preserve"> ، ص 21 ، صدر ح 10 ، هكذا : « عن أبي عبدالله </w:t>
      </w:r>
      <w:r w:rsidR="00992664" w:rsidRPr="00D64ADA">
        <w:rPr>
          <w:rStyle w:val="libFootnoteAlaemChar"/>
          <w:rtl/>
        </w:rPr>
        <w:t>عليه‌السلام</w:t>
      </w:r>
      <w:r w:rsidR="00992664" w:rsidRPr="00020424">
        <w:rPr>
          <w:rtl/>
        </w:rPr>
        <w:t xml:space="preserve"> : إنّ الصيام ليس من الطعام</w:t>
      </w:r>
      <w:r w:rsidR="00992664">
        <w:rPr>
          <w:rtl/>
        </w:rPr>
        <w:t xml:space="preserve"> ..</w:t>
      </w:r>
      <w:r w:rsidR="00992664" w:rsidRPr="00020424">
        <w:rPr>
          <w:rtl/>
        </w:rPr>
        <w:t>. » إلى قوله : « ولا تنازعوا وتحاسدوا</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109 ، ح 1861 ، مرسلاً من دون الإسناد إلى المعصوم </w:t>
      </w:r>
      <w:r w:rsidR="00992664" w:rsidRPr="00D64ADA">
        <w:rPr>
          <w:rStyle w:val="libFootnoteAlaemChar"/>
          <w:rtl/>
        </w:rPr>
        <w:t>عليه‌السلام</w:t>
      </w:r>
      <w:r w:rsidR="00992664" w:rsidRPr="00020424">
        <w:rPr>
          <w:rtl/>
        </w:rPr>
        <w:t xml:space="preserve"> ، من قوله : « وسمع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 إلى قوله : « ليس من الطعام والشراب » ؛ </w:t>
      </w:r>
      <w:r w:rsidR="00992664" w:rsidRPr="00DE76B9">
        <w:rPr>
          <w:rStyle w:val="libFootnoteBoldChar"/>
          <w:rtl/>
        </w:rPr>
        <w:t>وفيه</w:t>
      </w:r>
      <w:r w:rsidR="00992664" w:rsidRPr="00020424">
        <w:rPr>
          <w:rtl/>
        </w:rPr>
        <w:t xml:space="preserve"> ، ج 2 ، ص 109 ، ح 1862 ، مرسلاً ، من قوله : « قال أبوعبدالله </w:t>
      </w:r>
      <w:r w:rsidR="00992664" w:rsidRPr="00D64ADA">
        <w:rPr>
          <w:rStyle w:val="libFootnoteAlaemChar"/>
          <w:rtl/>
        </w:rPr>
        <w:t>عليه‌السلام</w:t>
      </w:r>
      <w:r w:rsidR="00992664" w:rsidRPr="00020424">
        <w:rPr>
          <w:rtl/>
        </w:rPr>
        <w:t xml:space="preserve"> : إذا صمت فليصم » </w:t>
      </w:r>
      <w:r w:rsidR="00C6135D">
        <w:rPr>
          <w:rFonts w:hint="cs"/>
          <w:rtl/>
        </w:rPr>
        <w:t>.</w:t>
      </w:r>
      <w:r w:rsidR="00992664" w:rsidRPr="0012008A">
        <w:rPr>
          <w:rStyle w:val="libFootnoteBoldChar"/>
          <w:rtl/>
        </w:rPr>
        <w:t>الوافي</w:t>
      </w:r>
      <w:r w:rsidR="00992664" w:rsidRPr="00020424">
        <w:rPr>
          <w:rtl/>
        </w:rPr>
        <w:t xml:space="preserve"> ، ج 11 ، ص 221 ، ح 10734 ؛ </w:t>
      </w:r>
      <w:r w:rsidR="00992664" w:rsidRPr="0012008A">
        <w:rPr>
          <w:rStyle w:val="libFootnoteBoldChar"/>
          <w:rtl/>
        </w:rPr>
        <w:t>الوسائل</w:t>
      </w:r>
      <w:r w:rsidR="00992664" w:rsidRPr="00020424">
        <w:rPr>
          <w:rtl/>
        </w:rPr>
        <w:t xml:space="preserve"> ، ج 10 ، ص 162 ، ح 13122 ؛ </w:t>
      </w:r>
      <w:r w:rsidR="00992664" w:rsidRPr="0012008A">
        <w:rPr>
          <w:rStyle w:val="libFootnoteBoldChar"/>
          <w:rtl/>
        </w:rPr>
        <w:t>البحار</w:t>
      </w:r>
      <w:r w:rsidR="00992664" w:rsidRPr="00020424">
        <w:rPr>
          <w:rtl/>
        </w:rPr>
        <w:t xml:space="preserve"> ، ج 97 ، ص 351.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بف ، جن » : « فلا تجادلنّ أحداً ولا تجهل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بالجهل الشتم والأذى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وحاشية « بث » : « فليحمل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فليحتمل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195 ، ح 557 ، بسنده عن الحسن بن محبوب. </w:t>
      </w:r>
      <w:r w:rsidR="00992664" w:rsidRPr="0012008A">
        <w:rPr>
          <w:rStyle w:val="libFootnoteBoldChar"/>
          <w:rtl/>
        </w:rPr>
        <w:t>الفقيه</w:t>
      </w:r>
      <w:r w:rsidR="00992664" w:rsidRPr="00020424">
        <w:rPr>
          <w:rtl/>
        </w:rPr>
        <w:t xml:space="preserve"> ، ج 2 ، ص 82 ، ح 1787 ، معلّقاً عن الفضيل بن يسار </w:t>
      </w:r>
      <w:r w:rsidR="00C6135D">
        <w:rPr>
          <w:rFonts w:hint="cs"/>
          <w:rtl/>
        </w:rPr>
        <w:t>.</w:t>
      </w:r>
      <w:r w:rsidR="00992664" w:rsidRPr="0012008A">
        <w:rPr>
          <w:rStyle w:val="libFootnoteBoldChar"/>
          <w:rtl/>
        </w:rPr>
        <w:t>الوافي</w:t>
      </w:r>
      <w:r w:rsidR="00992664" w:rsidRPr="00020424">
        <w:rPr>
          <w:rtl/>
        </w:rPr>
        <w:t xml:space="preserve"> ، ج 11 ، ص 223 ، ح 10737 ؛ </w:t>
      </w:r>
      <w:r w:rsidR="00992664" w:rsidRPr="0012008A">
        <w:rPr>
          <w:rStyle w:val="libFootnoteBoldChar"/>
          <w:rtl/>
        </w:rPr>
        <w:t>الوسائل</w:t>
      </w:r>
      <w:r w:rsidR="00992664" w:rsidRPr="00020424">
        <w:rPr>
          <w:rtl/>
        </w:rPr>
        <w:t xml:space="preserve"> ، ج 10 ، ص 167 ، ذيل ح 13134.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F46936">
        <w:rPr>
          <w:rtl/>
        </w:rPr>
        <w:t>الوافي والوسائل والفقيه</w:t>
      </w:r>
      <w:r w:rsidR="00992664" w:rsidRPr="00020424">
        <w:rPr>
          <w:rtl/>
        </w:rPr>
        <w:t xml:space="preserve"> : « صائم</w:t>
      </w:r>
      <w:r w:rsidR="00992664">
        <w:rPr>
          <w:rtl/>
        </w:rPr>
        <w:t xml:space="preserve"> ».</w:t>
      </w:r>
      <w:r w:rsidR="00992664" w:rsidRPr="00020424">
        <w:rPr>
          <w:rtl/>
        </w:rPr>
        <w:t xml:space="preserve"> وفي </w:t>
      </w:r>
      <w:r w:rsidR="00992664" w:rsidRPr="00F46936">
        <w:rPr>
          <w:rtl/>
        </w:rPr>
        <w:t>الأمالي للصدوق وثواب الأعمال</w:t>
      </w:r>
      <w:r w:rsidR="00992664" w:rsidRPr="00020424">
        <w:rPr>
          <w:rtl/>
        </w:rPr>
        <w:t xml:space="preserve"> : « يصبح صائماً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يُشْتَمُ ، فَيَقُولُ : إِنِّي صَائِمٌ ، سَلَامٌ عَلَيْكَ ، لَا</w:t>
      </w:r>
      <w:r>
        <w:rPr>
          <w:rFonts w:hint="cs"/>
          <w:rtl/>
          <w:lang w:bidi="fa-IR"/>
        </w:rPr>
        <w:t xml:space="preserve"> </w:t>
      </w:r>
      <w:r w:rsidRPr="00020424">
        <w:rPr>
          <w:rtl/>
          <w:lang w:bidi="fa-IR"/>
        </w:rPr>
        <w:t xml:space="preserve">أَشْتِمُكَ كَمَا شَتَمْتَنِي ، </w:t>
      </w:r>
      <w:r w:rsidRPr="00A91B96">
        <w:rPr>
          <w:rStyle w:val="libFootnotenumChar"/>
          <w:rtl/>
        </w:rPr>
        <w:t>(1)</w:t>
      </w:r>
      <w:r w:rsidR="00456E61">
        <w:rPr>
          <w:rtl/>
          <w:lang w:bidi="fa-IR"/>
        </w:rPr>
        <w:t xml:space="preserve"> إِل</w:t>
      </w:r>
      <w:r w:rsidR="00456E61">
        <w:rPr>
          <w:rFonts w:hint="cs"/>
          <w:rtl/>
          <w:lang w:bidi="fa-IR"/>
        </w:rPr>
        <w:t>َّ</w:t>
      </w:r>
      <w:r w:rsidR="00456E61">
        <w:rPr>
          <w:rtl/>
          <w:lang w:bidi="fa-IR"/>
        </w:rPr>
        <w:t>ا</w:t>
      </w:r>
      <w:r w:rsidRPr="00020424">
        <w:rPr>
          <w:rtl/>
          <w:lang w:bidi="fa-IR"/>
        </w:rPr>
        <w:t xml:space="preserve"> قَالَ الرَّبُّ تَبَارَكَ وَتَعَالى </w:t>
      </w:r>
      <w:r w:rsidRPr="00A91B96">
        <w:rPr>
          <w:rStyle w:val="libFootnotenumChar"/>
          <w:rtl/>
        </w:rPr>
        <w:t>(2)</w:t>
      </w:r>
      <w:r w:rsidRPr="00020424">
        <w:rPr>
          <w:rtl/>
          <w:lang w:bidi="fa-IR"/>
        </w:rPr>
        <w:t xml:space="preserve"> : اسْتَجَارَ عَبْدِي بِالصَّوْمِ مِنْ شَرِّ عَبْدِي ، فَقَدْ </w:t>
      </w:r>
      <w:r w:rsidRPr="00A91B96">
        <w:rPr>
          <w:rStyle w:val="libFootnotenumChar"/>
          <w:rtl/>
        </w:rPr>
        <w:t>(3)</w:t>
      </w:r>
      <w:r w:rsidRPr="00020424">
        <w:rPr>
          <w:rtl/>
          <w:lang w:bidi="fa-IR"/>
        </w:rPr>
        <w:t xml:space="preserve"> أَجَرْتُهُ مِنَ النَّارِ</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404B7">
        <w:rPr>
          <w:rtl/>
        </w:rPr>
        <w:t>6325</w:t>
      </w:r>
      <w:r w:rsidRPr="001155DE">
        <w:rPr>
          <w:rStyle w:val="libBold2Char"/>
          <w:rtl/>
        </w:rPr>
        <w:t xml:space="preserve"> / 6.</w:t>
      </w:r>
      <w:r w:rsidRPr="00020424">
        <w:rPr>
          <w:rtl/>
          <w:lang w:bidi="fa-IR"/>
        </w:rPr>
        <w:t xml:space="preserve"> عَلِيُّ بْنُ إِبْرَاهِيمَ ، عَنْ أَبِيهِ ، عَنِ ابْنِ أَبِي عُمَيْرٍ ، عَنْ حَمَّادِ بْنِ عُثْمَانَ وَغَيْرِهِ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يُنْشَدُ </w:t>
      </w:r>
      <w:r w:rsidRPr="00A91B96">
        <w:rPr>
          <w:rStyle w:val="libFootnotenumChar"/>
          <w:rtl/>
        </w:rPr>
        <w:t>(5)</w:t>
      </w:r>
      <w:r w:rsidRPr="00020424">
        <w:rPr>
          <w:rtl/>
          <w:lang w:bidi="fa-IR"/>
        </w:rPr>
        <w:t xml:space="preserve"> الشِّعْرُ بِلَيْلٍ ، وَلَايُنْشَدُ </w:t>
      </w:r>
      <w:r w:rsidRPr="00A91B96">
        <w:rPr>
          <w:rStyle w:val="libFootnotenumChar"/>
          <w:rtl/>
        </w:rPr>
        <w:t>(6)</w:t>
      </w:r>
      <w:r w:rsidRPr="00020424">
        <w:rPr>
          <w:rtl/>
          <w:lang w:bidi="fa-IR"/>
        </w:rPr>
        <w:t xml:space="preserve"> فِي شَهْرِ رَمَضَانَ بِلَيْلٍ وَلَانَهَارٍ</w:t>
      </w:r>
      <w:r>
        <w:rPr>
          <w:rtl/>
          <w:lang w:bidi="fa-IR"/>
        </w:rPr>
        <w:t xml:space="preserve"> ».</w:t>
      </w:r>
    </w:p>
    <w:p w:rsidR="00992664" w:rsidRPr="00020424" w:rsidRDefault="00992664" w:rsidP="00992664">
      <w:pPr>
        <w:pStyle w:val="libNormal"/>
        <w:rPr>
          <w:rtl/>
          <w:lang w:bidi="fa-IR"/>
        </w:rPr>
      </w:pPr>
      <w:r w:rsidRPr="00020424">
        <w:rPr>
          <w:rtl/>
          <w:lang w:bidi="fa-IR"/>
        </w:rPr>
        <w:t xml:space="preserve">فَقَالَ لَهُ إِسْمَاعِيلُ : يَا أَبَتَاهْ ، فَإِنَّهُ فِينَا </w:t>
      </w:r>
      <w:r w:rsidRPr="00A91B96">
        <w:rPr>
          <w:rStyle w:val="libFootnotenumChar"/>
          <w:rtl/>
        </w:rPr>
        <w:t>(7)</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(8)</w:t>
      </w:r>
      <w:r w:rsidRPr="00020424">
        <w:rPr>
          <w:rtl/>
          <w:lang w:bidi="fa-IR"/>
        </w:rPr>
        <w:t xml:space="preserve"> : « وَإِنْ كَانَ فِينَا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بح ، بخ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 « تشتمني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D3934" w:rsidTr="00AD3934">
        <w:tc>
          <w:tcPr>
            <w:tcW w:w="4006" w:type="dxa"/>
          </w:tcPr>
          <w:p w:rsidR="00AD3934" w:rsidRDefault="00AD3934" w:rsidP="00992664">
            <w:pPr>
              <w:pStyle w:val="libFootnote0"/>
              <w:rPr>
                <w:rtl/>
              </w:rPr>
            </w:pPr>
            <w:r>
              <w:rPr>
                <w:rtl/>
              </w:rPr>
              <w:t xml:space="preserve">(2). </w:t>
            </w:r>
            <w:r w:rsidRPr="00020424">
              <w:rPr>
                <w:rtl/>
              </w:rPr>
              <w:t xml:space="preserve">في </w:t>
            </w:r>
            <w:r w:rsidRPr="0012008A">
              <w:rPr>
                <w:rStyle w:val="libFootnoteBoldChar"/>
                <w:rtl/>
              </w:rPr>
              <w:t>ثواب الأعمال</w:t>
            </w:r>
            <w:r w:rsidRPr="00020424">
              <w:rPr>
                <w:rtl/>
              </w:rPr>
              <w:t xml:space="preserve"> : + « لملائكته</w:t>
            </w:r>
            <w:r>
              <w:rPr>
                <w:rtl/>
              </w:rPr>
              <w:t xml:space="preserve"> ».</w:t>
            </w:r>
          </w:p>
        </w:tc>
        <w:tc>
          <w:tcPr>
            <w:tcW w:w="4006" w:type="dxa"/>
          </w:tcPr>
          <w:p w:rsidR="00AD3934" w:rsidRDefault="00AD3934" w:rsidP="00992664">
            <w:pPr>
              <w:pStyle w:val="libFootnote0"/>
              <w:rPr>
                <w:rtl/>
              </w:rPr>
            </w:pPr>
            <w:r>
              <w:rPr>
                <w:rtl/>
              </w:rPr>
              <w:t>(3). في</w:t>
            </w:r>
            <w:r w:rsidRPr="00020424">
              <w:rPr>
                <w:rtl/>
              </w:rPr>
              <w:t>«</w:t>
            </w:r>
            <w:r>
              <w:rPr>
                <w:rtl/>
              </w:rPr>
              <w:t>ظ،بث،بح،بخ،بر،بس،بف</w:t>
            </w:r>
            <w:r w:rsidRPr="00020424">
              <w:rPr>
                <w:rtl/>
              </w:rPr>
              <w:t>»</w:t>
            </w:r>
            <w:r w:rsidRPr="00515444">
              <w:rPr>
                <w:rStyle w:val="libFootnoteBoldChar"/>
                <w:rtl/>
              </w:rPr>
              <w:t>والوافي</w:t>
            </w:r>
            <w:r w:rsidRPr="00020424">
              <w:rPr>
                <w:rtl/>
              </w:rPr>
              <w:t>: « قد</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الجعفريّات</w:t>
      </w:r>
      <w:r w:rsidR="00992664" w:rsidRPr="00020424">
        <w:rPr>
          <w:rtl/>
        </w:rPr>
        <w:t xml:space="preserve"> ، ص 60 ، بسند آخر. وفي </w:t>
      </w:r>
      <w:r w:rsidR="00992664" w:rsidRPr="00587829">
        <w:rPr>
          <w:rStyle w:val="libFootnoteBoldChar"/>
          <w:rtl/>
        </w:rPr>
        <w:t>الأمالي للصدوق</w:t>
      </w:r>
      <w:r w:rsidR="00992664" w:rsidRPr="00020424">
        <w:rPr>
          <w:rtl/>
        </w:rPr>
        <w:t xml:space="preserve"> ، ص 586 ، المجلس 86 ، ح 6 ؛ </w:t>
      </w:r>
      <w:r w:rsidR="00992664" w:rsidRPr="006C7A1F">
        <w:rPr>
          <w:rStyle w:val="libFootnoteBoldChar"/>
          <w:rtl/>
        </w:rPr>
        <w:t>وثواب الأعمال</w:t>
      </w:r>
      <w:r w:rsidR="00992664" w:rsidRPr="00020424">
        <w:rPr>
          <w:rtl/>
        </w:rPr>
        <w:t xml:space="preserve"> ، ص 76 ، ح 1 ، بسند آخر عن أبي عبدالله ، عن أبيه </w:t>
      </w:r>
      <w:r w:rsidR="00D64ADA" w:rsidRPr="00D64ADA">
        <w:rPr>
          <w:rStyle w:val="libFootnoteAlaemChar"/>
          <w:rtl/>
        </w:rPr>
        <w:t>عليهما‌السلام</w:t>
      </w:r>
      <w:r w:rsidR="00992664" w:rsidRPr="00020424">
        <w:rPr>
          <w:rtl/>
        </w:rPr>
        <w:t xml:space="preserve"> عن رسول الله </w:t>
      </w:r>
      <w:r w:rsidR="00D64ADA" w:rsidRPr="00953737">
        <w:rPr>
          <w:rStyle w:val="libFootnoteAlaemChar"/>
          <w:rtl/>
        </w:rPr>
        <w:t>صلى‌الله‌عليه‌وآله</w:t>
      </w:r>
      <w:r w:rsidR="00B42914" w:rsidRPr="00953737">
        <w:rPr>
          <w:rStyle w:val="libFootnoteAlaemChar"/>
          <w:rtl/>
        </w:rPr>
        <w:t>‌</w:t>
      </w:r>
      <w:r w:rsidR="00992664" w:rsidRPr="00020424">
        <w:rPr>
          <w:rtl/>
        </w:rPr>
        <w:t xml:space="preserve">. </w:t>
      </w:r>
      <w:r w:rsidR="00D64ADA" w:rsidRPr="00D64ADA">
        <w:rPr>
          <w:rStyle w:val="libFootnoteBoldChar"/>
          <w:rtl/>
        </w:rPr>
        <w:t>المحاسن</w:t>
      </w:r>
      <w:r w:rsidR="00992664" w:rsidRPr="00020424">
        <w:rPr>
          <w:rtl/>
        </w:rPr>
        <w:t xml:space="preserve"> ، ص 72 ، كتاب </w:t>
      </w:r>
      <w:r w:rsidR="00992664" w:rsidRPr="0012008A">
        <w:rPr>
          <w:rStyle w:val="libFootnoteBoldChar"/>
          <w:rtl/>
        </w:rPr>
        <w:t>ثواب الأعمال</w:t>
      </w:r>
      <w:r w:rsidR="00992664" w:rsidRPr="00020424">
        <w:rPr>
          <w:rtl/>
        </w:rPr>
        <w:t xml:space="preserve"> ، ح 151 ، بسند آخر عن أبي عبدالله </w:t>
      </w:r>
      <w:r w:rsidR="00992664" w:rsidRPr="00D64ADA">
        <w:rPr>
          <w:rStyle w:val="libFootnoteAlaemChar"/>
          <w:rtl/>
        </w:rPr>
        <w:t>عليه‌السلام</w:t>
      </w:r>
      <w:r w:rsidR="00992664" w:rsidRPr="00020424">
        <w:rPr>
          <w:rtl/>
        </w:rPr>
        <w:t xml:space="preserve"> ، من دون الإسناد إلى النبيّ </w:t>
      </w:r>
      <w:r w:rsidR="00D64ADA" w:rsidRPr="00953737">
        <w:rPr>
          <w:rStyle w:val="libFootnoteAlaemChar"/>
          <w:rtl/>
        </w:rPr>
        <w:t>صلى‌الله‌عليه‌وآله</w:t>
      </w:r>
      <w:r w:rsidR="00B42914" w:rsidRPr="00953737">
        <w:rPr>
          <w:rStyle w:val="libFootnoteAlaemChar"/>
          <w:rtl/>
        </w:rPr>
        <w:t>‌</w:t>
      </w:r>
      <w:r w:rsidR="00992664" w:rsidRPr="00020424">
        <w:rPr>
          <w:rtl/>
        </w:rPr>
        <w:t xml:space="preserve"> ، وفي كلّ المصادر مع اختلاف يسير. </w:t>
      </w:r>
      <w:r w:rsidR="00992664" w:rsidRPr="0012008A">
        <w:rPr>
          <w:rStyle w:val="libFootnoteBoldChar"/>
          <w:rtl/>
        </w:rPr>
        <w:t>الفقيه</w:t>
      </w:r>
      <w:r w:rsidR="00992664" w:rsidRPr="00020424">
        <w:rPr>
          <w:rtl/>
        </w:rPr>
        <w:t xml:space="preserve"> ، ج 2 ، ص 109 ، ح 1860 ، مرسلاً عن رسول الله </w:t>
      </w:r>
      <w:r w:rsidR="00D64ADA" w:rsidRPr="00953737">
        <w:rPr>
          <w:rStyle w:val="libFootnoteAlaemChar"/>
          <w:rtl/>
        </w:rPr>
        <w:t>صلى‌الله‌عليه‌وآله</w:t>
      </w:r>
      <w:r w:rsidR="00B42914" w:rsidRPr="00953737">
        <w:rPr>
          <w:rStyle w:val="libFootnoteAlaemChar"/>
          <w:rtl/>
        </w:rPr>
        <w:t>‌</w:t>
      </w:r>
      <w:r w:rsidR="00992664" w:rsidRPr="00020424">
        <w:rPr>
          <w:rtl/>
        </w:rPr>
        <w:t xml:space="preserve"> </w:t>
      </w:r>
      <w:r w:rsidR="00953737">
        <w:rPr>
          <w:rFonts w:hint="cs"/>
          <w:rtl/>
        </w:rPr>
        <w:t>.</w:t>
      </w:r>
      <w:r w:rsidR="00992664" w:rsidRPr="0012008A">
        <w:rPr>
          <w:rStyle w:val="libFootnoteBoldChar"/>
          <w:rtl/>
        </w:rPr>
        <w:t>الوافي</w:t>
      </w:r>
      <w:r w:rsidR="00992664" w:rsidRPr="00020424">
        <w:rPr>
          <w:rtl/>
        </w:rPr>
        <w:t xml:space="preserve"> ، ج 11 ، ص 223 ، ح 10738 ؛ </w:t>
      </w:r>
      <w:r w:rsidR="00992664" w:rsidRPr="0012008A">
        <w:rPr>
          <w:rStyle w:val="libFootnoteBoldChar"/>
          <w:rtl/>
        </w:rPr>
        <w:t>الوسائل</w:t>
      </w:r>
      <w:r w:rsidR="00992664" w:rsidRPr="00020424">
        <w:rPr>
          <w:rtl/>
        </w:rPr>
        <w:t xml:space="preserve"> ، ج 10 ، ص 167 ، ح 13135.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بف » بالياء والتاء معاً.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ص 195 : « لا تنشد</w:t>
      </w:r>
      <w:r w:rsidR="00992664">
        <w:rPr>
          <w:rtl/>
        </w:rPr>
        <w:t xml:space="preserve"> ».</w:t>
      </w:r>
    </w:p>
    <w:p w:rsidR="00992664" w:rsidRPr="00020424" w:rsidRDefault="00992664" w:rsidP="00953737">
      <w:pPr>
        <w:pStyle w:val="libFootnote0"/>
        <w:rPr>
          <w:rtl/>
          <w:lang w:bidi="fa-IR"/>
        </w:rPr>
      </w:pPr>
      <w:r w:rsidRPr="00953737">
        <w:rPr>
          <w:rtl/>
        </w:rPr>
        <w:t xml:space="preserve">وفي </w:t>
      </w:r>
      <w:r w:rsidRPr="0012008A">
        <w:rPr>
          <w:rStyle w:val="libFootnoteBoldChar"/>
          <w:rtl/>
        </w:rPr>
        <w:t>الوافي</w:t>
      </w:r>
      <w:r w:rsidRPr="00953737">
        <w:rPr>
          <w:rtl/>
        </w:rPr>
        <w:t xml:space="preserve"> : « الإنشاد : قراءة الشعر ، والشعر غلّب على المنظوم من القول ، وأصله الكلام التخييلي الذي هو أحد الصناعات الخمس نظماً كان أو نثراً. ولعلّ المنظوم المشتمل على الحكمة والموعظة ، أو المناجاة مع الله سبحانه ممّا لم يكن فيه تخييل شعري مستثنى عن هذا الحكم ، أو غير داخل فيه ؛ لما ورد أنّ ما لا بأس به من الشعر فلا بأس به ». وراجع أيضاً : </w:t>
      </w:r>
      <w:r w:rsidRPr="00A722B1">
        <w:rPr>
          <w:rStyle w:val="libFootnoteBoldChar"/>
          <w:rtl/>
        </w:rPr>
        <w:t>القاموس المحيط</w:t>
      </w:r>
      <w:r w:rsidRPr="00953737">
        <w:rPr>
          <w:rtl/>
        </w:rPr>
        <w:t xml:space="preserve"> ، ج 1 ، ص 465 ( نشد ).</w:t>
      </w:r>
    </w:p>
    <w:p w:rsidR="00992664" w:rsidRPr="00020424" w:rsidRDefault="00795177" w:rsidP="00953737">
      <w:pPr>
        <w:pStyle w:val="libFootnote0"/>
        <w:rPr>
          <w:rtl/>
          <w:lang w:bidi="fa-IR"/>
        </w:rPr>
      </w:pPr>
      <w:r>
        <w:rPr>
          <w:rtl/>
        </w:rPr>
        <w:t>(6).</w:t>
      </w:r>
      <w:r w:rsidR="0014403D">
        <w:rPr>
          <w:rtl/>
        </w:rPr>
        <w:t xml:space="preserve"> </w:t>
      </w:r>
      <w:r w:rsidR="00992664" w:rsidRPr="00020424">
        <w:rPr>
          <w:rtl/>
        </w:rPr>
        <w:t>في « بف » بالياء والتاء معاً. وفي « بخ » :</w:t>
      </w:r>
      <w:r w:rsidR="00992664">
        <w:rPr>
          <w:rtl/>
        </w:rPr>
        <w:t xml:space="preserve"> </w:t>
      </w:r>
      <w:r w:rsidR="009B673F">
        <w:rPr>
          <w:rtl/>
        </w:rPr>
        <w:t>-</w:t>
      </w:r>
      <w:r w:rsidR="00992664">
        <w:rPr>
          <w:rtl/>
        </w:rPr>
        <w:t xml:space="preserve"> </w:t>
      </w:r>
      <w:r w:rsidR="00992664" w:rsidRPr="00020424">
        <w:rPr>
          <w:rtl/>
        </w:rPr>
        <w:t>« ينشد</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ص 195 : « ولا تنشد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ضبطه في </w:t>
      </w:r>
      <w:r w:rsidR="00992664" w:rsidRPr="0012008A">
        <w:rPr>
          <w:rStyle w:val="libFootnoteBoldChar"/>
          <w:rtl/>
        </w:rPr>
        <w:t>الوافي</w:t>
      </w:r>
      <w:r w:rsidR="00992664" w:rsidRPr="00020424">
        <w:rPr>
          <w:rtl/>
        </w:rPr>
        <w:t xml:space="preserve"> : « وإن كان فينا » ، ثمّ قال في الهامش : « كذا في </w:t>
      </w:r>
      <w:r w:rsidR="00992664" w:rsidRPr="0012008A">
        <w:rPr>
          <w:rStyle w:val="libFootnoteBoldChar"/>
          <w:rtl/>
        </w:rPr>
        <w:t>الفقيه</w:t>
      </w:r>
      <w:r w:rsidR="00992664" w:rsidRPr="00020424">
        <w:rPr>
          <w:rtl/>
        </w:rPr>
        <w:t xml:space="preserve">. وفي الكافي : فإنّه فينا. وما في </w:t>
      </w:r>
      <w:r w:rsidR="00992664" w:rsidRPr="0012008A">
        <w:rPr>
          <w:rStyle w:val="libFootnoteBoldChar"/>
          <w:rtl/>
        </w:rPr>
        <w:t>الفقيه</w:t>
      </w:r>
      <w:r w:rsidR="00992664" w:rsidRPr="00020424">
        <w:rPr>
          <w:rtl/>
        </w:rPr>
        <w:t xml:space="preserve"> أوضح ، ولذا اخترناه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بر ، بف » </w:t>
      </w:r>
      <w:r w:rsidR="00992664" w:rsidRPr="00515444">
        <w:rPr>
          <w:rStyle w:val="libFootnoteBoldChar"/>
          <w:rtl/>
        </w:rPr>
        <w:t>والوافي</w:t>
      </w:r>
      <w:r w:rsidR="00992664" w:rsidRPr="00020424">
        <w:rPr>
          <w:rtl/>
        </w:rPr>
        <w:t xml:space="preserve"> : + « فقال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وإن كان فينا ، أي في مدحنا أهل البيت</w:t>
      </w:r>
      <w:r w:rsidR="00992664">
        <w:rPr>
          <w:rtl/>
        </w:rPr>
        <w:t xml:space="preserve"> ..</w:t>
      </w:r>
      <w:r w:rsidR="00992664" w:rsidRPr="00020424">
        <w:rPr>
          <w:rtl/>
        </w:rPr>
        <w:t xml:space="preserve">. وذلك لأنّ كونه في مدحهم </w:t>
      </w:r>
      <w:r w:rsidR="00992664" w:rsidRPr="00D64ADA">
        <w:rPr>
          <w:rStyle w:val="libFootnoteAlaemChar"/>
          <w:rtl/>
        </w:rPr>
        <w:t>عليهم‌السلام</w:t>
      </w:r>
      <w:r w:rsidR="00992664" w:rsidRPr="00020424">
        <w:rPr>
          <w:rtl/>
        </w:rPr>
        <w:t xml:space="preserve"> لا يخرجه عن التخييل الشعري</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ولعلّه في مدحهم </w:t>
      </w:r>
      <w:r w:rsidR="00992664" w:rsidRPr="00D64ADA">
        <w:rPr>
          <w:rStyle w:val="libFootnoteAlaemChar"/>
          <w:rtl/>
        </w:rPr>
        <w:t>عليهم‌السلام</w:t>
      </w:r>
      <w:r w:rsidR="00992664" w:rsidRPr="00020424">
        <w:rPr>
          <w:rtl/>
        </w:rPr>
        <w:t xml:space="preserve"> يرجع إلى كونه أقلّ ثواباً من سائر الأوقات</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195 ، ح 556 ؛ وص 319 ، ح 972 ، بسندهما عن ابن أبي عمير. </w:t>
      </w:r>
      <w:r w:rsidR="00992664" w:rsidRPr="0012008A">
        <w:rPr>
          <w:rStyle w:val="libFootnoteBoldChar"/>
          <w:rtl/>
        </w:rPr>
        <w:t>الفقيه</w:t>
      </w:r>
      <w:r w:rsidR="00992664" w:rsidRPr="00020424">
        <w:rPr>
          <w:rtl/>
        </w:rPr>
        <w:t xml:space="preserve"> ، ج 2 ، ص 108 ، ح 1859 ، مرسلاً </w:t>
      </w:r>
      <w:r w:rsidR="00793914">
        <w:rPr>
          <w:rFonts w:hint="cs"/>
          <w:rtl/>
        </w:rPr>
        <w:t>.</w:t>
      </w:r>
      <w:r w:rsidR="00992664" w:rsidRPr="0012008A">
        <w:rPr>
          <w:rStyle w:val="libFootnoteBoldChar"/>
          <w:rtl/>
        </w:rPr>
        <w:t>الوافي</w:t>
      </w:r>
      <w:r w:rsidR="00992664" w:rsidRPr="00020424">
        <w:rPr>
          <w:rtl/>
        </w:rPr>
        <w:t xml:space="preserve"> ، ج 11 ، ص 219 ، ح 10731 ؛ </w:t>
      </w:r>
      <w:r w:rsidR="00992664" w:rsidRPr="0012008A">
        <w:rPr>
          <w:rStyle w:val="libFootnoteBoldChar"/>
          <w:rtl/>
        </w:rPr>
        <w:t>الوسائل</w:t>
      </w:r>
      <w:r w:rsidR="00992664" w:rsidRPr="00020424">
        <w:rPr>
          <w:rtl/>
        </w:rPr>
        <w:t xml:space="preserve"> ، ج 10 ، ص 169 ، ذيل ح 13138.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404B7">
        <w:rPr>
          <w:rtl/>
        </w:rPr>
        <w:t>6326</w:t>
      </w:r>
      <w:r w:rsidRPr="001155DE">
        <w:rPr>
          <w:rStyle w:val="libBold2Char"/>
          <w:rtl/>
        </w:rPr>
        <w:t xml:space="preserve"> / 7.</w:t>
      </w:r>
      <w:r w:rsidRPr="00020424">
        <w:rPr>
          <w:rtl/>
          <w:lang w:bidi="fa-IR"/>
        </w:rPr>
        <w:t xml:space="preserve"> أَحْمَدُ بْنُ مُحَمَّدٍ ، عَنْ عَلِيِّ بْنِ الْحَسَنِ </w:t>
      </w:r>
      <w:r w:rsidRPr="00A91B96">
        <w:rPr>
          <w:rStyle w:val="libFootnotenumChar"/>
          <w:rtl/>
        </w:rPr>
        <w:t>(1)</w:t>
      </w:r>
      <w:r w:rsidRPr="00020424">
        <w:rPr>
          <w:rtl/>
          <w:lang w:bidi="fa-IR"/>
        </w:rPr>
        <w:t xml:space="preserve"> ، عَنْ مُحَمَّدِ بْنِ عُبَيْدٍ ، عَنْ عُبَيْدِ </w:t>
      </w:r>
      <w:r w:rsidRPr="00A91B96">
        <w:rPr>
          <w:rStyle w:val="libFootnotenumChar"/>
          <w:rtl/>
        </w:rPr>
        <w:t>(2)</w:t>
      </w:r>
      <w:r w:rsidRPr="00020424">
        <w:rPr>
          <w:rtl/>
          <w:lang w:bidi="fa-IR"/>
        </w:rPr>
        <w:t xml:space="preserve"> بْنِ هَارُونَ ، قَالَ : حَدَّثَنَا أَبُو يَزِيدَ </w:t>
      </w:r>
      <w:r w:rsidRPr="00A91B96">
        <w:rPr>
          <w:rStyle w:val="libFootnotenumChar"/>
          <w:rtl/>
        </w:rPr>
        <w:t>(3)</w:t>
      </w:r>
      <w:r w:rsidRPr="00020424">
        <w:rPr>
          <w:rtl/>
          <w:lang w:bidi="fa-IR"/>
        </w:rPr>
        <w:t xml:space="preserve"> ، عَنْ حُصَيْنٍ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أَمِيرُ الْمُؤْمِنِينَ صَلَوَاتُ اللهِ عَلَيْهِ : عَلَيْكُمْ </w:t>
      </w:r>
      <w:r w:rsidRPr="00A91B96">
        <w:rPr>
          <w:rStyle w:val="libFootnotenumChar"/>
          <w:rtl/>
        </w:rPr>
        <w:t>(4)</w:t>
      </w:r>
      <w:r w:rsidRPr="00020424">
        <w:rPr>
          <w:rtl/>
          <w:lang w:bidi="fa-IR"/>
        </w:rPr>
        <w:t xml:space="preserve"> فِي شَهْرِ رَمَضَانَ بِكَثْرَةِ الِاسْتِغْفَارِ وَالدُّعَاءِ ، فَأَمَّا الدُّعَاءُ ، فَيُدْفَعُ بِهِ </w:t>
      </w:r>
      <w:r w:rsidRPr="00A91B96">
        <w:rPr>
          <w:rStyle w:val="libFootnotenumChar"/>
          <w:rtl/>
        </w:rPr>
        <w:t>(5)</w:t>
      </w:r>
      <w:r w:rsidRPr="00020424">
        <w:rPr>
          <w:rtl/>
          <w:lang w:bidi="fa-IR"/>
        </w:rPr>
        <w:t xml:space="preserve"> عَنْكُمُ الْبَلَاءُ ، وَأَمَّا الِاسْتِغْفَارُ ، فَيَمْحى </w:t>
      </w:r>
      <w:r w:rsidRPr="00A91B96">
        <w:rPr>
          <w:rStyle w:val="libFootnotenumChar"/>
          <w:rtl/>
        </w:rPr>
        <w:t>(6)</w:t>
      </w:r>
      <w:r w:rsidRPr="00020424">
        <w:rPr>
          <w:rtl/>
          <w:lang w:bidi="fa-IR"/>
        </w:rPr>
        <w:t xml:space="preserve"> ذُنُوبَكُمْ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404B7">
        <w:rPr>
          <w:rtl/>
        </w:rPr>
        <w:t>6327</w:t>
      </w:r>
      <w:r w:rsidRPr="001155DE">
        <w:rPr>
          <w:rStyle w:val="libBold2Char"/>
          <w:rtl/>
        </w:rPr>
        <w:t xml:space="preserve"> / 8.</w:t>
      </w:r>
      <w:r w:rsidRPr="00020424">
        <w:rPr>
          <w:rtl/>
          <w:lang w:bidi="fa-IR"/>
        </w:rPr>
        <w:t xml:space="preserve"> وَبِهذَا الْإِسْنَادِ ، قَالَ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 كَانَ عَلِيُّ بْنُ الْحُسَيْنِ </w:t>
      </w:r>
      <w:r w:rsidRPr="00005A81">
        <w:rPr>
          <w:rStyle w:val="libAlaemChar"/>
          <w:rtl/>
        </w:rPr>
        <w:t>عليهما‌السلام</w:t>
      </w:r>
      <w:r w:rsidRPr="00020424">
        <w:rPr>
          <w:rtl/>
          <w:lang w:bidi="fa-IR"/>
        </w:rPr>
        <w:t xml:space="preserve"> إِذَا كَانَ شَهْرُ </w:t>
      </w:r>
      <w:r w:rsidRPr="00A91B96">
        <w:rPr>
          <w:rStyle w:val="libFootnotenumChar"/>
          <w:rtl/>
        </w:rPr>
        <w:t>(9)</w:t>
      </w:r>
      <w:r w:rsidRPr="00020424">
        <w:rPr>
          <w:rtl/>
          <w:lang w:bidi="fa-IR"/>
        </w:rPr>
        <w:t xml:space="preserve"> رَم</w:t>
      </w:r>
      <w:r w:rsidR="00793914">
        <w:rPr>
          <w:rtl/>
          <w:lang w:bidi="fa-IR"/>
        </w:rPr>
        <w:t>َضَانَ ، لَمْ يَتَكَلَّمْ إِل</w:t>
      </w:r>
      <w:r w:rsidR="00793914">
        <w:rPr>
          <w:rFonts w:hint="cs"/>
          <w:rtl/>
          <w:lang w:bidi="fa-IR"/>
        </w:rPr>
        <w:t>َّ</w:t>
      </w:r>
      <w:r w:rsidR="00793914">
        <w:rPr>
          <w:rtl/>
          <w:lang w:bidi="fa-IR"/>
        </w:rPr>
        <w:t>ا</w:t>
      </w:r>
      <w:r w:rsidRPr="00020424">
        <w:rPr>
          <w:rtl/>
          <w:lang w:bidi="fa-IR"/>
        </w:rPr>
        <w:t xml:space="preserve"> بِالدُّعَاءِ وَالتَّسْبِيحِ‌</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بخ ، بف » وحاشية « بث » </w:t>
      </w:r>
      <w:r w:rsidR="00992664" w:rsidRPr="00EB1FD9">
        <w:rPr>
          <w:rStyle w:val="libFootnoteBoldChar"/>
          <w:rtl/>
        </w:rPr>
        <w:t>والوسائل</w:t>
      </w:r>
      <w:r w:rsidR="00992664" w:rsidRPr="00020424">
        <w:rPr>
          <w:rtl/>
        </w:rPr>
        <w:t xml:space="preserve">. وفي « ظ ، ى ، بث ، بح ، بر ، بس ، جر ، جن » </w:t>
      </w:r>
      <w:r w:rsidR="00992664" w:rsidRPr="007F31EE">
        <w:rPr>
          <w:rtl/>
        </w:rPr>
        <w:t>و</w:t>
      </w:r>
      <w:r w:rsidR="007F31EE">
        <w:rPr>
          <w:rFonts w:hint="cs"/>
          <w:rtl/>
        </w:rPr>
        <w:t xml:space="preserve"> </w:t>
      </w:r>
      <w:r w:rsidR="00992664" w:rsidRPr="00515444">
        <w:rPr>
          <w:rStyle w:val="libFootnoteBoldChar"/>
          <w:rtl/>
        </w:rPr>
        <w:t>الوافي</w:t>
      </w:r>
      <w:r w:rsidR="007F31EE" w:rsidRPr="007F31EE">
        <w:rPr>
          <w:rFonts w:hint="cs"/>
          <w:rtl/>
        </w:rPr>
        <w:t xml:space="preserve"> </w:t>
      </w:r>
      <w:r w:rsidR="00992664" w:rsidRPr="00020424">
        <w:rPr>
          <w:rtl/>
        </w:rPr>
        <w:t>‌والمطبوع : « الحسين</w:t>
      </w:r>
      <w:r w:rsidR="00992664">
        <w:rPr>
          <w:rtl/>
        </w:rPr>
        <w:t xml:space="preserve"> ».</w:t>
      </w:r>
    </w:p>
    <w:p w:rsidR="00992664" w:rsidRPr="00020424" w:rsidRDefault="00992664" w:rsidP="007F31EE">
      <w:pPr>
        <w:pStyle w:val="libFootnote0"/>
        <w:rPr>
          <w:rtl/>
          <w:lang w:bidi="fa-IR"/>
        </w:rPr>
      </w:pPr>
      <w:r w:rsidRPr="007F31EE">
        <w:rPr>
          <w:rtl/>
        </w:rPr>
        <w:t xml:space="preserve">والصواب ما أثبتناه. والمراد من عليّ بن الحسن هذا ، هو عليّ بن الحسن بن فضّال ؛ فقد روى عليّ بن الحسن بن فضّال </w:t>
      </w:r>
      <w:r w:rsidR="009B673F" w:rsidRPr="007F31EE">
        <w:rPr>
          <w:rtl/>
        </w:rPr>
        <w:t>-</w:t>
      </w:r>
      <w:r w:rsidRPr="007F31EE">
        <w:rPr>
          <w:rtl/>
        </w:rPr>
        <w:t xml:space="preserve"> وقد عُبّر عنه بالضمير </w:t>
      </w:r>
      <w:r w:rsidR="009B673F" w:rsidRPr="007F31EE">
        <w:rPr>
          <w:rtl/>
        </w:rPr>
        <w:t>-</w:t>
      </w:r>
      <w:r w:rsidRPr="007F31EE">
        <w:rPr>
          <w:rtl/>
        </w:rPr>
        <w:t xml:space="preserve"> عن محمّد بن عبيد في </w:t>
      </w:r>
      <w:r w:rsidRPr="0012008A">
        <w:rPr>
          <w:rStyle w:val="libFootnoteBoldChar"/>
          <w:rtl/>
        </w:rPr>
        <w:t>التهذيب</w:t>
      </w:r>
      <w:r w:rsidRPr="007F31EE">
        <w:rPr>
          <w:rtl/>
        </w:rPr>
        <w:t xml:space="preserve"> ، ج 4 ، ص 152 ، ح 421 ، وعن محمّد بن عبيد بن عتبة في ح 422 ، وكلا الخبرين مرتبط بشهر رمضان ودوره في غفران الذنوب.</w:t>
      </w:r>
    </w:p>
    <w:p w:rsidR="00992664" w:rsidRPr="00020424" w:rsidRDefault="00992664" w:rsidP="007F31EE">
      <w:pPr>
        <w:pStyle w:val="libFootnote0"/>
        <w:rPr>
          <w:rtl/>
          <w:lang w:bidi="fa-IR"/>
        </w:rPr>
      </w:pPr>
      <w:r w:rsidRPr="007F31EE">
        <w:rPr>
          <w:rtl/>
        </w:rPr>
        <w:t xml:space="preserve">فعليه المراد من أحمد بن محمّد ، هو العاصميّ الراوي عن عليّ بن الحسن [ بن فضّال ]. راجع : </w:t>
      </w:r>
      <w:r w:rsidRPr="00DE76B9">
        <w:rPr>
          <w:rStyle w:val="libFootnoteBoldChar"/>
          <w:rtl/>
        </w:rPr>
        <w:t>معجم رجال الحديث</w:t>
      </w:r>
      <w:r w:rsidRPr="007F31EE">
        <w:rPr>
          <w:rtl/>
        </w:rPr>
        <w:t xml:space="preserve"> ، ج 2 ، ص 706 </w:t>
      </w:r>
      <w:r w:rsidR="009B673F" w:rsidRPr="007F31EE">
        <w:rPr>
          <w:rtl/>
        </w:rPr>
        <w:t>-</w:t>
      </w:r>
      <w:r w:rsidRPr="007F31EE">
        <w:rPr>
          <w:rtl/>
        </w:rPr>
        <w:t xml:space="preserve"> 708.</w:t>
      </w:r>
    </w:p>
    <w:p w:rsidR="00992664" w:rsidRPr="00020424" w:rsidRDefault="00992664" w:rsidP="007F31EE">
      <w:pPr>
        <w:pStyle w:val="libFootnote0"/>
        <w:rPr>
          <w:rtl/>
          <w:lang w:bidi="fa-IR"/>
        </w:rPr>
      </w:pPr>
      <w:r w:rsidRPr="007F31EE">
        <w:rPr>
          <w:rtl/>
        </w:rPr>
        <w:t xml:space="preserve">وأمّا ما ورد في </w:t>
      </w:r>
      <w:r w:rsidRPr="00587829">
        <w:rPr>
          <w:rStyle w:val="libFootnoteBoldChar"/>
          <w:rtl/>
        </w:rPr>
        <w:t>الأمالي للصدوق</w:t>
      </w:r>
      <w:r w:rsidRPr="007F31EE">
        <w:rPr>
          <w:rtl/>
        </w:rPr>
        <w:t xml:space="preserve"> ، ص 59 ، المجلس 15 ، ح 2 ؛ </w:t>
      </w:r>
      <w:r w:rsidRPr="00D27EE2">
        <w:rPr>
          <w:rStyle w:val="libFootnoteBoldChar"/>
          <w:rtl/>
        </w:rPr>
        <w:t>وفضائل الأشهر الثلاثة</w:t>
      </w:r>
      <w:r w:rsidRPr="00DE76B9">
        <w:rPr>
          <w:rStyle w:val="libFootnoteBoldChar"/>
          <w:rtl/>
        </w:rPr>
        <w:t xml:space="preserve"> </w:t>
      </w:r>
      <w:r w:rsidRPr="007F31EE">
        <w:rPr>
          <w:rtl/>
        </w:rPr>
        <w:t xml:space="preserve">، ص 76 ، ح 59 ؛ من نقل الخبر بسنده عن أحمد بن محمّد بن عيسى عن عليّ بن الحسين </w:t>
      </w:r>
      <w:r w:rsidR="009B673F" w:rsidRPr="007F31EE">
        <w:rPr>
          <w:rtl/>
        </w:rPr>
        <w:t>-</w:t>
      </w:r>
      <w:r w:rsidRPr="007F31EE">
        <w:rPr>
          <w:rtl/>
        </w:rPr>
        <w:t xml:space="preserve"> والمذكور في </w:t>
      </w:r>
      <w:r w:rsidRPr="0012008A">
        <w:rPr>
          <w:rStyle w:val="libFootnoteBoldChar"/>
          <w:rtl/>
        </w:rPr>
        <w:t>البحار</w:t>
      </w:r>
      <w:r w:rsidRPr="007F31EE">
        <w:rPr>
          <w:rtl/>
        </w:rPr>
        <w:t xml:space="preserve"> ، ج 93 ، ص 378 ، ح 2 ، عليّ بن الحسن ، نقلاً من </w:t>
      </w:r>
      <w:r w:rsidRPr="00DE76B9">
        <w:rPr>
          <w:rStyle w:val="libFootnoteBoldChar"/>
          <w:rtl/>
        </w:rPr>
        <w:t>الأمالي</w:t>
      </w:r>
      <w:r w:rsidRPr="007F31EE">
        <w:rPr>
          <w:rtl/>
        </w:rPr>
        <w:t xml:space="preserve"> </w:t>
      </w:r>
      <w:r w:rsidR="009B673F" w:rsidRPr="007F31EE">
        <w:rPr>
          <w:rtl/>
        </w:rPr>
        <w:t>-</w:t>
      </w:r>
      <w:r w:rsidRPr="007F31EE">
        <w:rPr>
          <w:rtl/>
        </w:rPr>
        <w:t xml:space="preserve"> فالظاهر إضافة قيد « بن عيسى » تفسيراً لأحمد بن محمّد ، بتخيّل كونه هو ابن عيسى.</w:t>
      </w:r>
      <w:r w:rsidR="007F31EE">
        <w:rPr>
          <w:rFonts w:hint="cs"/>
          <w:rtl/>
        </w:rPr>
        <w:t xml:space="preserve">            </w:t>
      </w:r>
      <w:r w:rsidR="00F27D90">
        <w:rPr>
          <w:rFonts w:hint="cs"/>
          <w:rtl/>
        </w:rPr>
        <w:t xml:space="preserve">                             </w:t>
      </w:r>
      <w:r w:rsidR="007F31EE">
        <w:rPr>
          <w:rFonts w:hint="cs"/>
          <w:rtl/>
        </w:rPr>
        <w:t xml:space="preserve">       </w:t>
      </w:r>
      <w:r w:rsidR="00795177">
        <w:rPr>
          <w:rtl/>
        </w:rPr>
        <w:t>(2).</w:t>
      </w:r>
      <w:r w:rsidR="0014403D">
        <w:rPr>
          <w:rtl/>
        </w:rPr>
        <w:t xml:space="preserve"> </w:t>
      </w:r>
      <w:r w:rsidRPr="00020424">
        <w:rPr>
          <w:rtl/>
        </w:rPr>
        <w:t>في فضائل الأشهر الثلاثة : « عتبة</w:t>
      </w:r>
      <w:r>
        <w:rPr>
          <w:rtl/>
        </w:rPr>
        <w:t xml:space="preserve"> ».</w:t>
      </w:r>
    </w:p>
    <w:tbl>
      <w:tblPr>
        <w:tblStyle w:val="TableGrid"/>
        <w:bidiVisual/>
        <w:tblW w:w="0" w:type="auto"/>
        <w:tblLook w:val="04A0" w:firstRow="1" w:lastRow="0" w:firstColumn="1" w:lastColumn="0" w:noHBand="0" w:noVBand="1"/>
      </w:tblPr>
      <w:tblGrid>
        <w:gridCol w:w="4006"/>
        <w:gridCol w:w="4006"/>
      </w:tblGrid>
      <w:tr w:rsidR="007F31EE" w:rsidTr="007F31EE">
        <w:tc>
          <w:tcPr>
            <w:tcW w:w="4006" w:type="dxa"/>
          </w:tcPr>
          <w:p w:rsidR="007F31EE" w:rsidRDefault="007F31EE" w:rsidP="00992664">
            <w:pPr>
              <w:pStyle w:val="libFootnote0"/>
              <w:rPr>
                <w:rtl/>
              </w:rPr>
            </w:pPr>
            <w:r>
              <w:rPr>
                <w:rtl/>
              </w:rPr>
              <w:t>(3). في«ظ»:«</w:t>
            </w:r>
            <w:r w:rsidRPr="00020424">
              <w:rPr>
                <w:rtl/>
              </w:rPr>
              <w:t>أبو زيد</w:t>
            </w:r>
            <w:r>
              <w:rPr>
                <w:rtl/>
              </w:rPr>
              <w:t>». وفي«بخ»</w:t>
            </w:r>
            <w:r w:rsidRPr="00020424">
              <w:rPr>
                <w:rtl/>
              </w:rPr>
              <w:t>: « أبو بريد</w:t>
            </w:r>
            <w:r>
              <w:rPr>
                <w:rtl/>
              </w:rPr>
              <w:t xml:space="preserve"> ».</w:t>
            </w:r>
          </w:p>
        </w:tc>
        <w:tc>
          <w:tcPr>
            <w:tcW w:w="4006" w:type="dxa"/>
          </w:tcPr>
          <w:p w:rsidR="007F31EE" w:rsidRDefault="007F31EE" w:rsidP="00992664">
            <w:pPr>
              <w:pStyle w:val="libFootnote0"/>
              <w:rPr>
                <w:rtl/>
              </w:rPr>
            </w:pPr>
            <w:r>
              <w:rPr>
                <w:rtl/>
              </w:rPr>
              <w:t xml:space="preserve">(4). </w:t>
            </w:r>
            <w:r w:rsidRPr="00020424">
              <w:rPr>
                <w:rtl/>
              </w:rPr>
              <w:t>في « بر » : « وعليكم</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بف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فتمحى فيه</w:t>
      </w:r>
      <w:r w:rsidR="00992664">
        <w:rPr>
          <w:rtl/>
        </w:rPr>
        <w:t xml:space="preserve"> ».</w:t>
      </w:r>
      <w:r w:rsidR="00992664" w:rsidRPr="00020424">
        <w:rPr>
          <w:rtl/>
        </w:rPr>
        <w:t xml:space="preserve"> وفي « ى ، بح » : « فتمحى</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w:t>
      </w:r>
      <w:r w:rsidR="00992664" w:rsidRPr="00D27EE2">
        <w:rPr>
          <w:rStyle w:val="libFootnoteBoldChar"/>
          <w:rtl/>
        </w:rPr>
        <w:t>وفضائل الأشهر الثلاثة</w:t>
      </w:r>
      <w:r w:rsidR="00992664" w:rsidRPr="00020424">
        <w:rPr>
          <w:rtl/>
        </w:rPr>
        <w:t xml:space="preserve"> : « فتمحى به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587829">
        <w:rPr>
          <w:rStyle w:val="libFootnoteBoldChar"/>
          <w:rtl/>
        </w:rPr>
        <w:t>الأمالي للصدوق</w:t>
      </w:r>
      <w:r w:rsidR="00992664" w:rsidRPr="00020424">
        <w:rPr>
          <w:rtl/>
        </w:rPr>
        <w:t xml:space="preserve"> ، ص 61 ، المجلس 15 ، ح 2 ؛ </w:t>
      </w:r>
      <w:r w:rsidR="00992664" w:rsidRPr="00D27EE2">
        <w:rPr>
          <w:rStyle w:val="libFootnoteBoldChar"/>
          <w:rtl/>
        </w:rPr>
        <w:t>وفضائل الأشهر الثلاثة</w:t>
      </w:r>
      <w:r w:rsidR="00992664" w:rsidRPr="00020424">
        <w:rPr>
          <w:rtl/>
        </w:rPr>
        <w:t xml:space="preserve"> ، ص 76 ، ح 59 ، بسندهما عن أحمد بن محمّد بن عيسى ، عن عليّ بن الحسين. </w:t>
      </w:r>
      <w:r w:rsidR="00992664" w:rsidRPr="0012008A">
        <w:rPr>
          <w:rStyle w:val="libFootnoteBoldChar"/>
          <w:rtl/>
        </w:rPr>
        <w:t>الفقيه</w:t>
      </w:r>
      <w:r w:rsidR="00992664" w:rsidRPr="00020424">
        <w:rPr>
          <w:rtl/>
        </w:rPr>
        <w:t xml:space="preserve"> ، ج 2 ، ص 108 ، ح 1858 ، مرسلاً عن أميرالمؤمنين </w:t>
      </w:r>
      <w:r w:rsidR="00992664" w:rsidRPr="00D64ADA">
        <w:rPr>
          <w:rStyle w:val="libFootnoteAlaemChar"/>
          <w:rtl/>
        </w:rPr>
        <w:t>عليه‌السلام</w:t>
      </w:r>
      <w:r w:rsidR="00992664" w:rsidRPr="00020424">
        <w:rPr>
          <w:rtl/>
        </w:rPr>
        <w:t xml:space="preserve"> </w:t>
      </w:r>
      <w:r w:rsidR="00504FFF">
        <w:rPr>
          <w:rFonts w:hint="cs"/>
          <w:rtl/>
        </w:rPr>
        <w:t>.</w:t>
      </w:r>
      <w:r w:rsidR="00992664" w:rsidRPr="0012008A">
        <w:rPr>
          <w:rStyle w:val="libFootnoteBoldChar"/>
          <w:rtl/>
        </w:rPr>
        <w:t>الوافي</w:t>
      </w:r>
      <w:r w:rsidR="00992664" w:rsidRPr="00020424">
        <w:rPr>
          <w:rtl/>
        </w:rPr>
        <w:t xml:space="preserve"> ، ج 11 ، ص 406 ، ح 11090 ؛ </w:t>
      </w:r>
      <w:r w:rsidR="00992664" w:rsidRPr="0012008A">
        <w:rPr>
          <w:rStyle w:val="libFootnoteBoldChar"/>
          <w:rtl/>
        </w:rPr>
        <w:t>الوسائل</w:t>
      </w:r>
      <w:r w:rsidR="00992664" w:rsidRPr="00020424">
        <w:rPr>
          <w:rtl/>
        </w:rPr>
        <w:t xml:space="preserve"> ، ج 10 ، ص 308 ، ذيل ح 13485.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الضمير المستتر في « قال » راجع إلى أبي عبدالله </w:t>
      </w:r>
      <w:r w:rsidR="00992664" w:rsidRPr="00D64ADA">
        <w:rPr>
          <w:rStyle w:val="libFootnoteAlaemChar"/>
          <w:rtl/>
        </w:rPr>
        <w:t>عليه‌السلام</w:t>
      </w:r>
      <w:r w:rsidR="00992664" w:rsidRPr="00020424">
        <w:rPr>
          <w:rtl/>
        </w:rPr>
        <w:t xml:space="preserve"> ، والمراد بهذا الإسناد ، هو السند المتقدّم إليه.</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بف » : + « الله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04FFF">
      <w:pPr>
        <w:pStyle w:val="libNormal0"/>
        <w:rPr>
          <w:rtl/>
          <w:lang w:bidi="fa-IR"/>
        </w:rPr>
      </w:pPr>
      <w:r w:rsidRPr="00020424">
        <w:rPr>
          <w:rtl/>
          <w:lang w:bidi="fa-IR"/>
        </w:rPr>
        <w:t>وَالِاسْتِغْفَارِ وَالتَّكْبِيرِ ، فَإِذَا أَفْطَرَ ، قَالَ : الل</w:t>
      </w:r>
      <w:r w:rsidR="00504FFF">
        <w:rPr>
          <w:rFonts w:hint="cs"/>
          <w:rtl/>
          <w:lang w:bidi="fa-IR"/>
        </w:rPr>
        <w:t>ّ</w:t>
      </w:r>
      <w:r w:rsidRPr="00020424">
        <w:rPr>
          <w:rtl/>
          <w:lang w:bidi="fa-IR"/>
        </w:rPr>
        <w:t xml:space="preserve">هُمَّ إِنْ شِئْتَ أَنْ </w:t>
      </w:r>
      <w:r w:rsidRPr="00A91B96">
        <w:rPr>
          <w:rStyle w:val="libFootnotenumChar"/>
          <w:rtl/>
        </w:rPr>
        <w:t>(1)</w:t>
      </w:r>
      <w:r w:rsidRPr="00020424">
        <w:rPr>
          <w:rtl/>
          <w:lang w:bidi="fa-IR"/>
        </w:rPr>
        <w:t xml:space="preserve"> تَفْعَلَ ، فَعَلْتَ</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404B7">
        <w:rPr>
          <w:rtl/>
        </w:rPr>
        <w:t>6328</w:t>
      </w:r>
      <w:r w:rsidRPr="001155DE">
        <w:rPr>
          <w:rStyle w:val="libBold2Char"/>
          <w:rtl/>
        </w:rPr>
        <w:t xml:space="preserve"> / 9.</w:t>
      </w:r>
      <w:r w:rsidRPr="00020424">
        <w:rPr>
          <w:rtl/>
          <w:lang w:bidi="fa-IR"/>
        </w:rPr>
        <w:t xml:space="preserve"> عَلِيُّ بْنُ مُحَمَّدٍ ، عَنْ أَحْمَدَ بْنِ مُحَمَّدِ بْنِ خَالِدٍ ، عَنِ الْوَشَّاءِ ، عَنْ عَلِيِّ بْنِ أَبِي حَمْزَةَ ، عَنْ أَبِي بَصِيرٍ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إِنَّ الصِّيَامَ لَيْسَ مِنَ الطَّعَامِ وَالشَّرَابِ وَحْدَهُ ؛ إِنَّ مَرْيَمَ </w:t>
      </w:r>
      <w:r w:rsidRPr="00005A81">
        <w:rPr>
          <w:rStyle w:val="libAlaemChar"/>
          <w:rtl/>
        </w:rPr>
        <w:t>عليها‌السلام</w:t>
      </w:r>
      <w:r w:rsidRPr="00020424">
        <w:rPr>
          <w:rtl/>
          <w:lang w:bidi="fa-IR"/>
        </w:rPr>
        <w:t xml:space="preserve"> قَالَتْ : </w:t>
      </w:r>
      <w:r w:rsidRPr="00005A81">
        <w:rPr>
          <w:rStyle w:val="libAlaemChar"/>
          <w:rtl/>
        </w:rPr>
        <w:t>(</w:t>
      </w:r>
      <w:r w:rsidRPr="004E5AB4">
        <w:rPr>
          <w:rStyle w:val="libAieChar"/>
          <w:rtl/>
        </w:rPr>
        <w:t xml:space="preserve"> إِنِّي نَذَرْتُ لِلرَّحْمنِ صَوْماً </w:t>
      </w:r>
      <w:r w:rsidRPr="00005A81">
        <w:rPr>
          <w:rStyle w:val="libAlaemChar"/>
          <w:rtl/>
        </w:rPr>
        <w:t>)</w:t>
      </w:r>
      <w:r w:rsidRPr="00020424">
        <w:rPr>
          <w:rtl/>
          <w:lang w:bidi="fa-IR"/>
        </w:rPr>
        <w:t xml:space="preserve"> </w:t>
      </w:r>
      <w:r w:rsidRPr="00A91B96">
        <w:rPr>
          <w:rStyle w:val="libFootnotenumChar"/>
          <w:rtl/>
        </w:rPr>
        <w:t>(3)</w:t>
      </w:r>
      <w:r w:rsidRPr="00020424">
        <w:rPr>
          <w:rtl/>
          <w:lang w:bidi="fa-IR"/>
        </w:rPr>
        <w:t xml:space="preserve"> أَيْ صَمْتاً </w:t>
      </w:r>
      <w:r w:rsidRPr="00A91B96">
        <w:rPr>
          <w:rStyle w:val="libFootnotenumChar"/>
          <w:rtl/>
        </w:rPr>
        <w:t>(4)</w:t>
      </w:r>
      <w:r w:rsidRPr="00020424">
        <w:rPr>
          <w:rtl/>
          <w:lang w:bidi="fa-IR"/>
        </w:rPr>
        <w:t xml:space="preserve"> ، فَاحْفَظُوا أَلْسِنَتَكُمْ ، وَغُضُّوا أَبْصَارَكُمْ ، وَلَاتَحَاسَدُوا ، وَلَا تَنَازَعُوا </w:t>
      </w:r>
      <w:r w:rsidRPr="00A91B96">
        <w:rPr>
          <w:rStyle w:val="libFootnotenumChar"/>
          <w:rtl/>
        </w:rPr>
        <w:t>(5)</w:t>
      </w:r>
      <w:r w:rsidRPr="00020424">
        <w:rPr>
          <w:rtl/>
          <w:lang w:bidi="fa-IR"/>
        </w:rPr>
        <w:t xml:space="preserve"> ، فَإِنَّ الْحَسَدَ يَأْكُلُ الْإِيمَانَ ، كَمَا تَأْكُلُ </w:t>
      </w:r>
      <w:r w:rsidRPr="00A91B96">
        <w:rPr>
          <w:rStyle w:val="libFootnotenumChar"/>
          <w:rtl/>
        </w:rPr>
        <w:t>(6)</w:t>
      </w:r>
      <w:r w:rsidRPr="00020424">
        <w:rPr>
          <w:rtl/>
          <w:lang w:bidi="fa-IR"/>
        </w:rPr>
        <w:t xml:space="preserve"> النَّارُ الْحَطَبَ</w:t>
      </w:r>
      <w:r>
        <w:rPr>
          <w:rtl/>
          <w:lang w:bidi="fa-IR"/>
        </w:rPr>
        <w:t>».</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404B7">
        <w:rPr>
          <w:rtl/>
        </w:rPr>
        <w:t>6329</w:t>
      </w:r>
      <w:r w:rsidRPr="001155DE">
        <w:rPr>
          <w:rStyle w:val="libBold2Char"/>
          <w:rtl/>
        </w:rPr>
        <w:t xml:space="preserve"> / 10.</w:t>
      </w:r>
      <w:r w:rsidRPr="00020424">
        <w:rPr>
          <w:rtl/>
          <w:lang w:bidi="fa-IR"/>
        </w:rPr>
        <w:t xml:space="preserve"> عَلِيُّ بْنُ إِبْرَاهِيمَ ، عَنْ أَبِيهِ ، عَنِ ابْنِ أَبِي عُمَيْرٍ ، عَنْ مَنْصُورِ بْنِ يُونُسَ ، عَنْ أَبِي بَصِيرٍ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w:t>
      </w:r>
      <w:r w:rsidRPr="00A91B96">
        <w:rPr>
          <w:rStyle w:val="libFootnotenumChar"/>
          <w:rtl/>
        </w:rPr>
        <w:t>(8)</w:t>
      </w:r>
      <w:r w:rsidRPr="00020424">
        <w:rPr>
          <w:rtl/>
          <w:lang w:bidi="fa-IR"/>
        </w:rPr>
        <w:t xml:space="preserve"> : « الْكَذِبَةُ تَنْقُضُ الْوُضُوءَ ، وَتُفَطِّرُ </w:t>
      </w:r>
      <w:r w:rsidRPr="00A91B96">
        <w:rPr>
          <w:rStyle w:val="libFootnotenumChar"/>
          <w:rtl/>
        </w:rPr>
        <w:t>(9)</w:t>
      </w:r>
      <w:r w:rsidRPr="00020424">
        <w:rPr>
          <w:rtl/>
          <w:lang w:bidi="fa-IR"/>
        </w:rPr>
        <w:t xml:space="preserve"> الصَّائِمَ </w:t>
      </w:r>
      <w:r w:rsidRPr="00A91B96">
        <w:rPr>
          <w:rStyle w:val="libFootnotenumChar"/>
          <w:rtl/>
        </w:rPr>
        <w:t>(10)</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(11)</w:t>
      </w:r>
      <w:r w:rsidRPr="00020424">
        <w:rPr>
          <w:rtl/>
          <w:lang w:bidi="fa-IR"/>
        </w:rPr>
        <w:t xml:space="preserve"> : قُلْتُ : هَلَكْنَا </w:t>
      </w:r>
      <w:r w:rsidRPr="00A91B96">
        <w:rPr>
          <w:rStyle w:val="libFootnotenumChar"/>
          <w:rtl/>
        </w:rPr>
        <w:t>(12)</w:t>
      </w:r>
      <w:r w:rsidR="00504FFF" w:rsidRPr="00504FFF">
        <w:rP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بر »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406 ، ح 11091 ؛ </w:t>
      </w:r>
      <w:r w:rsidR="00992664" w:rsidRPr="0012008A">
        <w:rPr>
          <w:rStyle w:val="libFootnoteBoldChar"/>
          <w:rtl/>
        </w:rPr>
        <w:t>الوسائل</w:t>
      </w:r>
      <w:r w:rsidR="00992664" w:rsidRPr="00020424">
        <w:rPr>
          <w:rtl/>
        </w:rPr>
        <w:t xml:space="preserve"> ، ج 10 ، ص 309 ، ح 13486 ؛ </w:t>
      </w:r>
      <w:r w:rsidR="00992664" w:rsidRPr="0012008A">
        <w:rPr>
          <w:rStyle w:val="libFootnoteBoldChar"/>
          <w:rtl/>
        </w:rPr>
        <w:t>البحار</w:t>
      </w:r>
      <w:r w:rsidR="00992664" w:rsidRPr="00020424">
        <w:rPr>
          <w:rtl/>
        </w:rPr>
        <w:t xml:space="preserve"> ، ج 46 ، ص 65 ، ح 25.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مريم </w:t>
      </w:r>
      <w:r w:rsidR="00ED7241">
        <w:rPr>
          <w:rtl/>
        </w:rPr>
        <w:t>(19)</w:t>
      </w:r>
      <w:r w:rsidR="0014403D">
        <w:rPr>
          <w:rtl/>
        </w:rPr>
        <w:t xml:space="preserve"> </w:t>
      </w:r>
      <w:r w:rsidR="00992664" w:rsidRPr="00020424">
        <w:rPr>
          <w:rtl/>
        </w:rPr>
        <w:t>: 26.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وإذا صمتم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 « ولا تنازعوا ولا تحاسدوا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يأكل</w:t>
      </w:r>
      <w:r w:rsidR="00992664">
        <w:rPr>
          <w:rtl/>
        </w:rPr>
        <w:t xml:space="preserve"> ».</w:t>
      </w:r>
      <w:r w:rsidR="00992664" w:rsidRPr="00020424">
        <w:rPr>
          <w:rtl/>
        </w:rPr>
        <w:t xml:space="preserve"> وفي « جن » بالياء والتاء معاً.</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108 ، ح 1857 ، معلّقاً عن أبي بصير. </w:t>
      </w:r>
      <w:r w:rsidR="00992664" w:rsidRPr="00DE76B9">
        <w:rPr>
          <w:rStyle w:val="libFootnoteBoldChar"/>
          <w:rtl/>
        </w:rPr>
        <w:t>تحف العقول</w:t>
      </w:r>
      <w:r w:rsidR="00992664" w:rsidRPr="00020424">
        <w:rPr>
          <w:rtl/>
        </w:rPr>
        <w:t xml:space="preserve"> ، ص 363 ، مع زيادة في أوّله. راجع : </w:t>
      </w:r>
      <w:r w:rsidR="00992664" w:rsidRPr="00DE76B9">
        <w:rPr>
          <w:rStyle w:val="libFootnoteBoldChar"/>
          <w:rtl/>
        </w:rPr>
        <w:t>الكافي</w:t>
      </w:r>
      <w:r w:rsidR="00992664" w:rsidRPr="00020424">
        <w:rPr>
          <w:rtl/>
        </w:rPr>
        <w:t xml:space="preserve"> ، كتاب الإيمان والكفر ، باب الحسد ، ح 2546 و2547 ؛ </w:t>
      </w:r>
      <w:r w:rsidR="00992664" w:rsidRPr="00EE0C68">
        <w:rPr>
          <w:rStyle w:val="libFootnoteBoldChar"/>
          <w:rtl/>
        </w:rPr>
        <w:t>وقرب الإسناد</w:t>
      </w:r>
      <w:r w:rsidR="00992664" w:rsidRPr="00020424">
        <w:rPr>
          <w:rtl/>
        </w:rPr>
        <w:t xml:space="preserve"> ، ص 29 ، ح 94 ؛ </w:t>
      </w:r>
      <w:r w:rsidR="00992664" w:rsidRPr="00A83B0E">
        <w:rPr>
          <w:rStyle w:val="libFootnoteBoldChar"/>
          <w:rtl/>
        </w:rPr>
        <w:t>وتحف العقول</w:t>
      </w:r>
      <w:r w:rsidR="00992664" w:rsidRPr="00020424">
        <w:rPr>
          <w:rtl/>
        </w:rPr>
        <w:t xml:space="preserve"> ، ص 152 ؛ </w:t>
      </w:r>
      <w:r w:rsidR="00992664" w:rsidRPr="00D27EE2">
        <w:rPr>
          <w:rStyle w:val="libFootnoteBoldChar"/>
          <w:rtl/>
        </w:rPr>
        <w:t>ونهج البلاغة</w:t>
      </w:r>
      <w:r w:rsidR="00992664" w:rsidRPr="00020424">
        <w:rPr>
          <w:rtl/>
        </w:rPr>
        <w:t xml:space="preserve"> ، ص 116 ، الخطبة 86 </w:t>
      </w:r>
      <w:r w:rsidR="00ED7241">
        <w:rPr>
          <w:rFonts w:hint="cs"/>
          <w:rtl/>
        </w:rPr>
        <w:t>.</w:t>
      </w:r>
      <w:r w:rsidR="00992664" w:rsidRPr="0012008A">
        <w:rPr>
          <w:rStyle w:val="libFootnoteBoldChar"/>
          <w:rtl/>
        </w:rPr>
        <w:t>الوافي</w:t>
      </w:r>
      <w:r w:rsidR="00992664" w:rsidRPr="00020424">
        <w:rPr>
          <w:rtl/>
        </w:rPr>
        <w:t xml:space="preserve"> ، ج 11 ، ص 222 ، ح 10735 ؛ </w:t>
      </w:r>
      <w:r w:rsidR="00992664" w:rsidRPr="0012008A">
        <w:rPr>
          <w:rStyle w:val="libFootnoteBoldChar"/>
          <w:rtl/>
        </w:rPr>
        <w:t>الوسائل</w:t>
      </w:r>
      <w:r w:rsidR="00992664" w:rsidRPr="00020424">
        <w:rPr>
          <w:rtl/>
        </w:rPr>
        <w:t xml:space="preserve"> ، ج 10 ، ص 163 ، ح 13123.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الكافي ، ح 2691 : + « إنّ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والكافي ، ح 2691 : « لتفطر » بدل « تنقض الوضوء وتفطر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D7241" w:rsidTr="00ED7241">
        <w:tc>
          <w:tcPr>
            <w:tcW w:w="4006" w:type="dxa"/>
          </w:tcPr>
          <w:p w:rsidR="00ED7241" w:rsidRDefault="00ED7241" w:rsidP="00992664">
            <w:pPr>
              <w:pStyle w:val="libFootnote0"/>
              <w:rPr>
                <w:rtl/>
              </w:rPr>
            </w:pPr>
            <w:r>
              <w:rPr>
                <w:rtl/>
              </w:rPr>
              <w:t xml:space="preserve">(10). </w:t>
            </w:r>
            <w:r w:rsidRPr="00020424">
              <w:rPr>
                <w:rtl/>
              </w:rPr>
              <w:t xml:space="preserve">في « بث » </w:t>
            </w:r>
            <w:r w:rsidRPr="00515444">
              <w:rPr>
                <w:rStyle w:val="libFootnoteBoldChar"/>
                <w:rtl/>
              </w:rPr>
              <w:t>والتهذيب</w:t>
            </w:r>
            <w:r>
              <w:rPr>
                <w:rtl/>
              </w:rPr>
              <w:t xml:space="preserve"> ، ح 585 : «</w:t>
            </w:r>
            <w:r w:rsidRPr="00020424">
              <w:rPr>
                <w:rtl/>
              </w:rPr>
              <w:t>الصيام</w:t>
            </w:r>
            <w:r>
              <w:rPr>
                <w:rtl/>
              </w:rPr>
              <w:t>».</w:t>
            </w:r>
          </w:p>
        </w:tc>
        <w:tc>
          <w:tcPr>
            <w:tcW w:w="4006" w:type="dxa"/>
          </w:tcPr>
          <w:p w:rsidR="00ED7241" w:rsidRDefault="00ED7241" w:rsidP="00992664">
            <w:pPr>
              <w:pStyle w:val="libFootnote0"/>
              <w:rPr>
                <w:rtl/>
              </w:rPr>
            </w:pPr>
            <w:r>
              <w:rPr>
                <w:rtl/>
              </w:rPr>
              <w:t xml:space="preserve">(11). </w:t>
            </w:r>
            <w:r w:rsidRPr="00020424">
              <w:rPr>
                <w:rtl/>
              </w:rPr>
              <w:t xml:space="preserve">في </w:t>
            </w:r>
            <w:r w:rsidRPr="0012008A">
              <w:rPr>
                <w:rStyle w:val="libFootnoteBoldChar"/>
                <w:rtl/>
              </w:rPr>
              <w:t>البحار</w:t>
            </w:r>
            <w:r w:rsidRPr="00020424">
              <w:rPr>
                <w:rtl/>
              </w:rPr>
              <w:t xml:space="preserve"> والكافي ، ح 2691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والكافي ، ح 2691 : « وأيّنا لا يكون ذلك منه » بدل « هلكنا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لَيْسَ حَيْثُ تَذْهَبُ </w:t>
      </w:r>
      <w:r w:rsidRPr="00A91B96">
        <w:rPr>
          <w:rStyle w:val="libFootnotenumChar"/>
          <w:rtl/>
        </w:rPr>
        <w:t>(1)</w:t>
      </w:r>
      <w:r w:rsidRPr="00020424">
        <w:rPr>
          <w:rtl/>
          <w:lang w:bidi="fa-IR"/>
        </w:rPr>
        <w:t xml:space="preserve"> ، إِنَّمَا ذلِكَ </w:t>
      </w:r>
      <w:r w:rsidRPr="00A91B96">
        <w:rPr>
          <w:rStyle w:val="libFootnotenumChar"/>
          <w:rtl/>
        </w:rPr>
        <w:t>(2)</w:t>
      </w:r>
      <w:r w:rsidRPr="00020424">
        <w:rPr>
          <w:rtl/>
          <w:lang w:bidi="fa-IR"/>
        </w:rPr>
        <w:t xml:space="preserve"> الْكَذِبُ عَلَى اللهِ </w:t>
      </w:r>
      <w:r w:rsidRPr="00A91B96">
        <w:rPr>
          <w:rStyle w:val="libFootnotenumChar"/>
          <w:rtl/>
        </w:rPr>
        <w:t>(3)</w:t>
      </w:r>
      <w:r w:rsidRPr="00020424">
        <w:rPr>
          <w:rtl/>
          <w:lang w:bidi="fa-IR"/>
        </w:rPr>
        <w:t xml:space="preserve"> عَزَّ وَجَلَّ ، وَعَلى رَسُولِهِ ، وَعَلَى الْأَئِمَّةِ </w:t>
      </w:r>
      <w:r w:rsidRPr="00005A81">
        <w:rPr>
          <w:rStyle w:val="libAlaemChar"/>
          <w:rtl/>
        </w:rPr>
        <w:t>عليهم‌السلام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404B7">
        <w:rPr>
          <w:rtl/>
        </w:rPr>
        <w:t>6330</w:t>
      </w:r>
      <w:r w:rsidRPr="001155DE">
        <w:rPr>
          <w:rStyle w:val="libBold2Char"/>
          <w:rtl/>
        </w:rPr>
        <w:t xml:space="preserve"> / 11.</w:t>
      </w:r>
      <w:r w:rsidRPr="00020424">
        <w:rPr>
          <w:rtl/>
          <w:lang w:bidi="fa-IR"/>
        </w:rPr>
        <w:t xml:space="preserve"> مُحَمَّدُ بْنُ يَحْيى ، عَنْ أَحْمَدَ بْنِ مُحَمَّدٍ ، عَنِ الْحَسَنِ </w:t>
      </w:r>
      <w:r w:rsidRPr="00A91B96">
        <w:rPr>
          <w:rStyle w:val="libFootnotenumChar"/>
          <w:rtl/>
        </w:rPr>
        <w:t>(5)</w:t>
      </w:r>
      <w:r w:rsidRPr="00020424">
        <w:rPr>
          <w:rtl/>
          <w:lang w:bidi="fa-IR"/>
        </w:rPr>
        <w:t xml:space="preserve"> بْنِ مُوسى ، عَنْ غِيَاثٍ </w:t>
      </w:r>
      <w:r w:rsidRPr="00A91B96">
        <w:rPr>
          <w:rStyle w:val="libFootnotenumChar"/>
          <w:rtl/>
        </w:rPr>
        <w:t>(6)</w:t>
      </w:r>
      <w:r w:rsidRPr="00020424">
        <w:rPr>
          <w:rtl/>
          <w:lang w:bidi="fa-IR"/>
        </w:rPr>
        <w:t xml:space="preserve">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إِنَّ اللهَ كَرِهَ لِي </w:t>
      </w:r>
      <w:r w:rsidRPr="00A91B96">
        <w:rPr>
          <w:rStyle w:val="libFootnotenumChar"/>
          <w:rtl/>
        </w:rPr>
        <w:t>(7)</w:t>
      </w:r>
      <w:r w:rsidRPr="00020424">
        <w:rPr>
          <w:rtl/>
          <w:lang w:bidi="fa-IR"/>
        </w:rPr>
        <w:t xml:space="preserve"> سِتَّ خِصَالٍ ، ثُمَّ كَرِهْتُهُنَّ </w:t>
      </w:r>
      <w:r w:rsidRPr="00A91B96">
        <w:rPr>
          <w:rStyle w:val="libFootnotenumChar"/>
          <w:rtl/>
        </w:rPr>
        <w:t>(8)</w:t>
      </w:r>
      <w:r w:rsidRPr="00020424">
        <w:rPr>
          <w:rtl/>
          <w:lang w:bidi="fa-IR"/>
        </w:rPr>
        <w:t xml:space="preserve"> لِلْأَوْصِيَاءِ مِنْ وُلْدِي‌</w:t>
      </w:r>
      <w:r w:rsidR="000D799C">
        <w:rPr>
          <w:rFonts w:hint="cs"/>
          <w:rtl/>
          <w:lang w:bidi="fa-IR"/>
        </w:rPr>
        <w:t>.............................</w:t>
      </w:r>
      <w:r w:rsidR="00F27D90">
        <w:rPr>
          <w:rFonts w:hint="cs"/>
          <w:rtl/>
          <w:lang w:bidi="fa-IR"/>
        </w:rPr>
        <w:t>........</w:t>
      </w:r>
      <w:r w:rsidR="000D799C">
        <w:rPr>
          <w:rFonts w:hint="cs"/>
          <w:rtl/>
          <w:lang w:bidi="fa-IR"/>
        </w:rPr>
        <w:t>.........</w:t>
      </w:r>
      <w:r w:rsidR="000D799C">
        <w:rPr>
          <w:rFonts w:hint="cs"/>
          <w:rtl/>
          <w:lang w:bidi="fa-IR"/>
        </w:rPr>
        <w:tab/>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A2E51" w:rsidTr="006A2E51">
        <w:tc>
          <w:tcPr>
            <w:tcW w:w="4006" w:type="dxa"/>
          </w:tcPr>
          <w:p w:rsidR="006A2E51" w:rsidRDefault="006A2E51" w:rsidP="00992664">
            <w:pPr>
              <w:pStyle w:val="libFootnote0"/>
              <w:rPr>
                <w:rtl/>
              </w:rPr>
            </w:pPr>
            <w:r>
              <w:rPr>
                <w:rtl/>
              </w:rPr>
              <w:t xml:space="preserve">(1). </w:t>
            </w:r>
            <w:r w:rsidRPr="00020424">
              <w:rPr>
                <w:rtl/>
              </w:rPr>
              <w:t xml:space="preserve">في </w:t>
            </w:r>
            <w:r w:rsidRPr="0012008A">
              <w:rPr>
                <w:rStyle w:val="libFootnoteBoldChar"/>
                <w:rtl/>
              </w:rPr>
              <w:t>البحار</w:t>
            </w:r>
            <w:r w:rsidRPr="00020424">
              <w:rPr>
                <w:rtl/>
              </w:rPr>
              <w:t xml:space="preserve"> والكافي ، ح 2691 : « ذهبت</w:t>
            </w:r>
            <w:r>
              <w:rPr>
                <w:rtl/>
              </w:rPr>
              <w:t xml:space="preserve"> ».</w:t>
            </w:r>
          </w:p>
        </w:tc>
        <w:tc>
          <w:tcPr>
            <w:tcW w:w="4006" w:type="dxa"/>
          </w:tcPr>
          <w:p w:rsidR="006A2E51" w:rsidRDefault="006A2E51" w:rsidP="00992664">
            <w:pPr>
              <w:pStyle w:val="libFootnote0"/>
              <w:rPr>
                <w:rtl/>
              </w:rPr>
            </w:pPr>
            <w:r>
              <w:rPr>
                <w:rtl/>
              </w:rPr>
              <w:t xml:space="preserve">(2). </w:t>
            </w:r>
            <w:r w:rsidRPr="00020424">
              <w:rPr>
                <w:rtl/>
              </w:rPr>
              <w:t>في « ى ، بث ، بخ ، بف ، جن » : « ذاك</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اختلف الأصحاب في فساد الصوم بالكذب على الله وعلى رسوله وعلى الأئمّة </w:t>
      </w:r>
      <w:r w:rsidR="00992664" w:rsidRPr="00D64ADA">
        <w:rPr>
          <w:rStyle w:val="libFootnoteAlaemChar"/>
          <w:rtl/>
        </w:rPr>
        <w:t>عليهم‌السلام</w:t>
      </w:r>
      <w:r w:rsidR="00992664" w:rsidRPr="00020424">
        <w:rPr>
          <w:rtl/>
        </w:rPr>
        <w:t xml:space="preserve"> بعد اتّفاقهم على أنّ غيره من أنواع الكذب لا يفسد الصوم وإن كان محرّماً. فقال الشيخان والمرتضى في </w:t>
      </w:r>
      <w:r w:rsidR="00992664" w:rsidRPr="00DE76B9">
        <w:rPr>
          <w:rStyle w:val="libFootnoteBoldChar"/>
          <w:rtl/>
        </w:rPr>
        <w:t>الانتصار</w:t>
      </w:r>
      <w:r w:rsidR="00992664" w:rsidRPr="00020424">
        <w:rPr>
          <w:rtl/>
        </w:rPr>
        <w:t xml:space="preserve"> : إنّه مفسد للصوم ، ويجب به القضاء والكفّارة. وقال السيّد في </w:t>
      </w:r>
      <w:r w:rsidR="00992664" w:rsidRPr="00DE76B9">
        <w:rPr>
          <w:rStyle w:val="libFootnoteBoldChar"/>
          <w:rtl/>
        </w:rPr>
        <w:t>الجمل</w:t>
      </w:r>
      <w:r w:rsidR="00992664" w:rsidRPr="00020424">
        <w:rPr>
          <w:rtl/>
        </w:rPr>
        <w:t xml:space="preserve"> وابن إدريس : لا يفسد. وهو الأقوى ؛ إذ الظاهر أنّ المراد بالإفطار في هذا الخبر إبطال كمال الصوم ، كما يدلّ عليه ضمّه إلى الوضوء وهو غير مبطل له قطعاً</w:t>
      </w:r>
      <w:r w:rsidR="00992664">
        <w:rPr>
          <w:rtl/>
        </w:rPr>
        <w:t xml:space="preserve"> ».</w:t>
      </w:r>
      <w:r w:rsidR="00992664" w:rsidRPr="00020424">
        <w:rPr>
          <w:rtl/>
        </w:rPr>
        <w:t xml:space="preserve"> وراجع أيضاً : </w:t>
      </w:r>
      <w:r w:rsidR="00992664" w:rsidRPr="0012008A">
        <w:rPr>
          <w:rStyle w:val="libFootnoteBoldChar"/>
          <w:rtl/>
        </w:rPr>
        <w:t>المقنعة</w:t>
      </w:r>
      <w:r w:rsidR="00992664" w:rsidRPr="00020424">
        <w:rPr>
          <w:rtl/>
        </w:rPr>
        <w:t xml:space="preserve"> ، ص 344 ؛ </w:t>
      </w:r>
      <w:r w:rsidR="00992664" w:rsidRPr="00DE76B9">
        <w:rPr>
          <w:rStyle w:val="libFootnoteBoldChar"/>
          <w:rtl/>
        </w:rPr>
        <w:t>الانتصار</w:t>
      </w:r>
      <w:r w:rsidR="00992664" w:rsidRPr="00020424">
        <w:rPr>
          <w:rtl/>
        </w:rPr>
        <w:t xml:space="preserve"> ، ص 184 ، المسألة 82 ؛</w:t>
      </w:r>
      <w:r w:rsidR="00992664" w:rsidRPr="00962FAD">
        <w:rPr>
          <w:rtl/>
        </w:rPr>
        <w:t xml:space="preserve"> جمل العلم والعمل ضمن رسائل المرتضى ،</w:t>
      </w:r>
      <w:r w:rsidR="00992664" w:rsidRPr="00020424">
        <w:rPr>
          <w:rtl/>
        </w:rPr>
        <w:t xml:space="preserve"> ج 3 ، ص 54 ؛ </w:t>
      </w:r>
      <w:r w:rsidR="00992664" w:rsidRPr="00DE76B9">
        <w:rPr>
          <w:rStyle w:val="libFootnoteBoldChar"/>
          <w:rtl/>
        </w:rPr>
        <w:t>المبسوط</w:t>
      </w:r>
      <w:r w:rsidR="00992664" w:rsidRPr="00020424">
        <w:rPr>
          <w:rtl/>
        </w:rPr>
        <w:t xml:space="preserve"> ، ج 1 ، ص 270 ؛ </w:t>
      </w:r>
      <w:r w:rsidR="00992664" w:rsidRPr="00DE76B9">
        <w:rPr>
          <w:rStyle w:val="libFootnoteBoldChar"/>
          <w:rtl/>
        </w:rPr>
        <w:t>السرائر</w:t>
      </w:r>
      <w:r w:rsidR="00992664" w:rsidRPr="00020424">
        <w:rPr>
          <w:rtl/>
        </w:rPr>
        <w:t xml:space="preserve"> ، ج 1 ، ص 376.</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الإيمان والكفر ، باب الكذب ، ح 2691. وفي </w:t>
      </w:r>
      <w:r w:rsidR="00992664" w:rsidRPr="0012008A">
        <w:rPr>
          <w:rStyle w:val="libFootnoteBoldChar"/>
          <w:rtl/>
        </w:rPr>
        <w:t>التهذيب</w:t>
      </w:r>
      <w:r w:rsidR="00992664" w:rsidRPr="00020424">
        <w:rPr>
          <w:rtl/>
        </w:rPr>
        <w:t xml:space="preserve"> ، ج 4 ، ص 203 ، ح 585 ؛ </w:t>
      </w:r>
      <w:r w:rsidR="00992664" w:rsidRPr="00216E45">
        <w:rPr>
          <w:rStyle w:val="libFootnoteBoldChar"/>
          <w:rtl/>
        </w:rPr>
        <w:t>ومعاني الأخبار</w:t>
      </w:r>
      <w:r w:rsidR="00992664" w:rsidRPr="00DE76B9">
        <w:rPr>
          <w:rStyle w:val="libFootnoteBoldChar"/>
          <w:rtl/>
        </w:rPr>
        <w:t xml:space="preserve"> </w:t>
      </w:r>
      <w:r w:rsidR="00992664" w:rsidRPr="00020424">
        <w:rPr>
          <w:rtl/>
        </w:rPr>
        <w:t xml:space="preserve">، ص 165 ، ح 1 ؛ بسندهما عن ابن أبي عمير. وفي </w:t>
      </w:r>
      <w:r w:rsidR="00992664" w:rsidRPr="0012008A">
        <w:rPr>
          <w:rStyle w:val="libFootnoteBoldChar"/>
          <w:rtl/>
        </w:rPr>
        <w:t>الفقيه</w:t>
      </w:r>
      <w:r w:rsidR="00992664" w:rsidRPr="00020424">
        <w:rPr>
          <w:rtl/>
        </w:rPr>
        <w:t xml:space="preserve"> ، ج 2 ، ص 107 ، ح 1854 ، معلّقاً عن منصور بن يونس ، وتمام الرواية : « إنّ الكذب على الله وعلى الأئمّة </w:t>
      </w:r>
      <w:r w:rsidR="00992664" w:rsidRPr="00D64ADA">
        <w:rPr>
          <w:rStyle w:val="libFootnoteAlaemChar"/>
          <w:rtl/>
        </w:rPr>
        <w:t>عليهم‌السلام</w:t>
      </w:r>
      <w:r w:rsidR="00992664" w:rsidRPr="00020424">
        <w:rPr>
          <w:rtl/>
        </w:rPr>
        <w:t xml:space="preserve"> يفطّر الصائم</w:t>
      </w:r>
      <w:r w:rsidR="00992664">
        <w:rPr>
          <w:rtl/>
        </w:rPr>
        <w:t xml:space="preserve"> ».</w:t>
      </w:r>
      <w:r w:rsidR="00992664" w:rsidRPr="00020424">
        <w:rPr>
          <w:rtl/>
        </w:rPr>
        <w:t xml:space="preserve"> </w:t>
      </w:r>
      <w:r w:rsidR="00992664" w:rsidRPr="00DE76B9">
        <w:rPr>
          <w:rStyle w:val="libFootnoteBoldChar"/>
          <w:rtl/>
        </w:rPr>
        <w:t>تحف العقول</w:t>
      </w:r>
      <w:r w:rsidR="00992664" w:rsidRPr="00020424">
        <w:rPr>
          <w:rtl/>
        </w:rPr>
        <w:t xml:space="preserve"> ، ص 363 ، مع اختلاف يسير وزيادة في آخره. راجع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201 ؛ وص 205 ؛ </w:t>
      </w:r>
      <w:r w:rsidR="00992664" w:rsidRPr="00FD6221">
        <w:rPr>
          <w:rStyle w:val="libFootnoteBoldChar"/>
          <w:rtl/>
        </w:rPr>
        <w:t>والخصال</w:t>
      </w:r>
      <w:r w:rsidR="00992664" w:rsidRPr="00020424">
        <w:rPr>
          <w:rtl/>
        </w:rPr>
        <w:t xml:space="preserve"> ، ص 286 ، باب الخمسة ، ح 39 </w:t>
      </w:r>
      <w:r w:rsidR="0092621F">
        <w:rPr>
          <w:rFonts w:hint="cs"/>
          <w:rtl/>
        </w:rPr>
        <w:t>.</w:t>
      </w:r>
      <w:r w:rsidR="00992664" w:rsidRPr="0012008A">
        <w:rPr>
          <w:rStyle w:val="libFootnoteBoldChar"/>
          <w:rtl/>
        </w:rPr>
        <w:t>الوافي</w:t>
      </w:r>
      <w:r w:rsidR="00992664" w:rsidRPr="00020424">
        <w:rPr>
          <w:rtl/>
        </w:rPr>
        <w:t xml:space="preserve"> ، ج 11 ، ص 167 ، ح 10606 ؛ </w:t>
      </w:r>
      <w:r w:rsidR="00992664" w:rsidRPr="0012008A">
        <w:rPr>
          <w:rStyle w:val="libFootnoteBoldChar"/>
          <w:rtl/>
        </w:rPr>
        <w:t>الوسائل</w:t>
      </w:r>
      <w:r w:rsidR="00992664" w:rsidRPr="00020424">
        <w:rPr>
          <w:rtl/>
        </w:rPr>
        <w:t xml:space="preserve"> ، ج 10 ، ص 33 ، ذيل ح 12757 ؛ </w:t>
      </w:r>
      <w:r w:rsidR="00992664" w:rsidRPr="0012008A">
        <w:rPr>
          <w:rStyle w:val="libFootnoteBoldChar"/>
          <w:rtl/>
        </w:rPr>
        <w:t>البحار</w:t>
      </w:r>
      <w:r w:rsidR="00992664" w:rsidRPr="00020424">
        <w:rPr>
          <w:rtl/>
        </w:rPr>
        <w:t xml:space="preserve"> ، ج 72 ، ص 249 ، ح 12.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بث ، بخ ، بر ، بف » : « حسين</w:t>
      </w:r>
      <w:r w:rsidR="00992664">
        <w:rPr>
          <w:rtl/>
        </w:rPr>
        <w:t xml:space="preserve"> ».</w:t>
      </w:r>
      <w:r w:rsidR="00992664" w:rsidRPr="00020424">
        <w:rPr>
          <w:rtl/>
        </w:rPr>
        <w:t xml:space="preserve"> وفي « ى ، بح ، بس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الحسين</w:t>
      </w:r>
      <w:r w:rsidR="00992664">
        <w:rPr>
          <w:rtl/>
        </w:rPr>
        <w:t xml:space="preserve"> ».</w:t>
      </w:r>
      <w:r w:rsidR="00992664" w:rsidRPr="00020424">
        <w:rPr>
          <w:rtl/>
        </w:rPr>
        <w:t xml:space="preserve"> وفي « جن » : « أبي‌الحسين</w:t>
      </w:r>
      <w:r w:rsidR="00992664">
        <w:rPr>
          <w:rtl/>
        </w:rPr>
        <w:t xml:space="preserve"> ».</w:t>
      </w:r>
    </w:p>
    <w:p w:rsidR="00992664" w:rsidRPr="00020424" w:rsidRDefault="00992664" w:rsidP="0092621F">
      <w:pPr>
        <w:pStyle w:val="libFootnote0"/>
        <w:rPr>
          <w:rtl/>
          <w:lang w:bidi="fa-IR"/>
        </w:rPr>
      </w:pPr>
      <w:r w:rsidRPr="0092621F">
        <w:rPr>
          <w:rtl/>
        </w:rPr>
        <w:t xml:space="preserve">وابن موسى هذا ، هو الحسن بن موسى الخشّاب الراوي عن غياث بن كلوب ، عن إسحاق بن عمّار. راجع : </w:t>
      </w:r>
      <w:r w:rsidRPr="00D530ED">
        <w:rPr>
          <w:rStyle w:val="libFootnoteBoldChar"/>
          <w:rtl/>
        </w:rPr>
        <w:t>الفهرست للطوسي</w:t>
      </w:r>
      <w:r w:rsidRPr="0092621F">
        <w:rPr>
          <w:rtl/>
        </w:rPr>
        <w:t xml:space="preserve"> ، ص 355 ، الرقم 562 ؛ </w:t>
      </w:r>
      <w:r w:rsidRPr="00DE76B9">
        <w:rPr>
          <w:rStyle w:val="libFootnoteBoldChar"/>
          <w:rtl/>
        </w:rPr>
        <w:t>معجم رجال الحديث</w:t>
      </w:r>
      <w:r w:rsidRPr="0092621F">
        <w:rPr>
          <w:rtl/>
        </w:rPr>
        <w:t xml:space="preserve"> ، ج 13 ، ص 426 </w:t>
      </w:r>
      <w:r w:rsidR="009B673F" w:rsidRPr="0092621F">
        <w:rPr>
          <w:rtl/>
        </w:rPr>
        <w:t>-</w:t>
      </w:r>
      <w:r w:rsidRPr="0092621F">
        <w:rPr>
          <w:rtl/>
        </w:rPr>
        <w:t xml:space="preserve"> 427.</w:t>
      </w:r>
    </w:p>
    <w:p w:rsidR="00992664" w:rsidRPr="00020424" w:rsidRDefault="00795177" w:rsidP="0092621F">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بن إبراهيم</w:t>
      </w:r>
      <w:r w:rsidR="00992664">
        <w:rPr>
          <w:rtl/>
        </w:rPr>
        <w:t xml:space="preserve"> ».</w:t>
      </w:r>
      <w:r w:rsidR="00992664" w:rsidRPr="00020424">
        <w:rPr>
          <w:rtl/>
        </w:rPr>
        <w:t xml:space="preserve"> وهو سهو ، كما تقدّم في </w:t>
      </w:r>
      <w:r w:rsidR="00992664" w:rsidRPr="00DE76B9">
        <w:rPr>
          <w:rStyle w:val="libFootnoteBoldChar"/>
          <w:rtl/>
        </w:rPr>
        <w:t>الكافي</w:t>
      </w:r>
      <w:r w:rsidR="00992664" w:rsidRPr="00020424">
        <w:rPr>
          <w:rtl/>
        </w:rPr>
        <w:t xml:space="preserve"> ، ذيل ح 6085 ، فلاحظ.</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كره لي ، المراد بالكراهة هنا ما يعمّ التحريم والكراهة بالمعنى‌المصطلح ؛ لأنّ في تلك </w:t>
      </w:r>
      <w:r w:rsidR="00992664" w:rsidRPr="00A722B1">
        <w:rPr>
          <w:rStyle w:val="libFootnoteBoldChar"/>
          <w:rtl/>
        </w:rPr>
        <w:t>الخصال</w:t>
      </w:r>
      <w:r w:rsidR="00992664" w:rsidRPr="00020424">
        <w:rPr>
          <w:rtl/>
        </w:rPr>
        <w:t xml:space="preserve"> ما ليس بحرام ، والمصنّف أسقط سائر </w:t>
      </w:r>
      <w:r w:rsidR="00992664" w:rsidRPr="00A722B1">
        <w:rPr>
          <w:rStyle w:val="libFootnoteBoldChar"/>
          <w:rtl/>
        </w:rPr>
        <w:t>الخصال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بخ ، بر » </w:t>
      </w:r>
      <w:r w:rsidR="00992664" w:rsidRPr="00FD6221">
        <w:rPr>
          <w:rStyle w:val="libFootnoteBoldChar"/>
          <w:rtl/>
        </w:rPr>
        <w:t>والخصال</w:t>
      </w:r>
      <w:r w:rsidR="00992664" w:rsidRPr="00020424">
        <w:rPr>
          <w:rtl/>
        </w:rPr>
        <w:t xml:space="preserve"> : « وكرههنّ</w:t>
      </w:r>
      <w:r w:rsidR="00992664">
        <w:rPr>
          <w:rtl/>
        </w:rPr>
        <w:t xml:space="preserve"> ».</w:t>
      </w:r>
      <w:r w:rsidR="00992664" w:rsidRPr="00020424">
        <w:rPr>
          <w:rtl/>
        </w:rPr>
        <w:t xml:space="preserve"> وفي « بس ، بف ، جن » : « ثمّ كرههنّ</w:t>
      </w:r>
      <w:r w:rsidR="00992664">
        <w:rPr>
          <w:rtl/>
        </w:rPr>
        <w:t xml:space="preserve"> ».</w:t>
      </w:r>
      <w:r w:rsidR="00992664" w:rsidRPr="00020424">
        <w:rPr>
          <w:rtl/>
        </w:rPr>
        <w:t xml:space="preserve"> وفي </w:t>
      </w:r>
      <w:r w:rsidR="00992664" w:rsidRPr="00DE76B9">
        <w:rPr>
          <w:rStyle w:val="libFootnoteBoldChar"/>
          <w:rtl/>
        </w:rPr>
        <w:t>الكافي</w:t>
      </w:r>
      <w:r w:rsidR="00992664" w:rsidRPr="00020424">
        <w:rPr>
          <w:rtl/>
        </w:rPr>
        <w:t xml:space="preserve"> ، ح 6085 : </w:t>
      </w:r>
      <w:r w:rsidR="0092621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وَأَتْبَاعِهِمْ </w:t>
      </w:r>
      <w:r w:rsidRPr="00A91B96">
        <w:rPr>
          <w:rStyle w:val="libFootnotenumChar"/>
          <w:rtl/>
        </w:rPr>
        <w:t>(1)</w:t>
      </w:r>
      <w:r w:rsidRPr="00020424">
        <w:rPr>
          <w:rtl/>
          <w:lang w:bidi="fa-IR"/>
        </w:rPr>
        <w:t xml:space="preserve"> مِنْ بَعْدِي </w:t>
      </w:r>
      <w:r w:rsidRPr="00A91B96">
        <w:rPr>
          <w:rStyle w:val="libFootnotenumChar"/>
          <w:rtl/>
        </w:rPr>
        <w:t>(2)</w:t>
      </w:r>
      <w:r w:rsidRPr="00020424">
        <w:rPr>
          <w:rtl/>
          <w:lang w:bidi="fa-IR"/>
        </w:rPr>
        <w:t xml:space="preserve"> : الرَّفَثَ </w:t>
      </w:r>
      <w:r w:rsidRPr="00A91B96">
        <w:rPr>
          <w:rStyle w:val="libFootnotenumChar"/>
          <w:rtl/>
        </w:rPr>
        <w:t>(3)</w:t>
      </w:r>
      <w:r w:rsidRPr="00020424">
        <w:rPr>
          <w:rtl/>
          <w:lang w:bidi="fa-IR"/>
        </w:rPr>
        <w:t xml:space="preserve"> فِي الصَّوْمِ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332" w:name="_Toc345172826"/>
      <w:bookmarkStart w:id="333" w:name="_Toc464562644"/>
      <w:bookmarkStart w:id="334" w:name="_Toc44599947"/>
      <w:r w:rsidRPr="00020424">
        <w:rPr>
          <w:rtl/>
          <w:lang w:bidi="fa-IR"/>
        </w:rPr>
        <w:t>12</w:t>
      </w:r>
      <w:r>
        <w:rPr>
          <w:rtl/>
          <w:lang w:bidi="fa-IR"/>
        </w:rPr>
        <w:t xml:space="preserve"> </w:t>
      </w:r>
      <w:r w:rsidR="009B673F">
        <w:rPr>
          <w:rtl/>
          <w:lang w:bidi="fa-IR"/>
        </w:rPr>
        <w:t>-</w:t>
      </w:r>
      <w:r>
        <w:rPr>
          <w:rtl/>
          <w:lang w:bidi="fa-IR"/>
        </w:rPr>
        <w:t xml:space="preserve"> </w:t>
      </w:r>
      <w:r w:rsidRPr="00020424">
        <w:rPr>
          <w:rtl/>
          <w:lang w:bidi="fa-IR"/>
        </w:rPr>
        <w:t xml:space="preserve">بَابُ صَوْمِ رَسُولِ اللهِ </w:t>
      </w:r>
      <w:r w:rsidR="00B42914" w:rsidRPr="00B42914">
        <w:rPr>
          <w:rStyle w:val="libAlaemChar"/>
          <w:rtl/>
        </w:rPr>
        <w:t>صلى‌الله‌عليه‌وآله‌</w:t>
      </w:r>
      <w:r w:rsidRPr="00020424">
        <w:rPr>
          <w:rtl/>
          <w:lang w:bidi="fa-IR"/>
        </w:rPr>
        <w:t>‌</w:t>
      </w:r>
      <w:bookmarkEnd w:id="332"/>
      <w:bookmarkEnd w:id="333"/>
      <w:bookmarkEnd w:id="334"/>
    </w:p>
    <w:p w:rsidR="00992664" w:rsidRPr="00020424" w:rsidRDefault="00992664" w:rsidP="00992664">
      <w:pPr>
        <w:pStyle w:val="libNormal"/>
        <w:rPr>
          <w:rtl/>
          <w:lang w:bidi="fa-IR"/>
        </w:rPr>
      </w:pPr>
      <w:r w:rsidRPr="00B143A6">
        <w:rPr>
          <w:rtl/>
        </w:rPr>
        <w:t>6331</w:t>
      </w:r>
      <w:r w:rsidRPr="001155DE">
        <w:rPr>
          <w:rStyle w:val="libBold2Char"/>
          <w:rtl/>
        </w:rPr>
        <w:t xml:space="preserve"> / 1.</w:t>
      </w:r>
      <w:r w:rsidRPr="00020424">
        <w:rPr>
          <w:rtl/>
          <w:lang w:bidi="fa-IR"/>
        </w:rPr>
        <w:t xml:space="preserve"> الْحُسَيْنُ بْنُ مُحَمَّدٍ ، عَنْ مُعَلَّى بْنِ مُحَمَّدٍ ، عَنِ الْوَشَّاءِ ، عَنْ حَمَّادِ بْنِ عُثْمَانَ :</w:t>
      </w:r>
    </w:p>
    <w:p w:rsidR="00992664" w:rsidRPr="00020424" w:rsidRDefault="00992664" w:rsidP="00F27D90">
      <w:pPr>
        <w:pStyle w:val="libNormal"/>
        <w:rPr>
          <w:rtl/>
          <w:lang w:bidi="fa-IR"/>
        </w:rPr>
      </w:pPr>
      <w:r w:rsidRPr="00020424">
        <w:rPr>
          <w:rtl/>
          <w:lang w:bidi="fa-IR"/>
        </w:rPr>
        <w:t xml:space="preserve">عَنْ أَبِي عَبْدِ اللهِ </w:t>
      </w:r>
      <w:r w:rsidRPr="00A91B96">
        <w:rPr>
          <w:rStyle w:val="libFootnotenumChar"/>
          <w:rtl/>
        </w:rPr>
        <w:t>(5)</w:t>
      </w:r>
      <w:r w:rsidRPr="00020424">
        <w:rPr>
          <w:rtl/>
          <w:lang w:bidi="fa-IR"/>
        </w:rPr>
        <w:t xml:space="preserve"> </w:t>
      </w:r>
      <w:r w:rsidRPr="00005A81">
        <w:rPr>
          <w:rStyle w:val="libAlaemChar"/>
          <w:rtl/>
        </w:rPr>
        <w:t>عليه‌السلام</w:t>
      </w:r>
      <w:r w:rsidRPr="00020424">
        <w:rPr>
          <w:rtl/>
          <w:lang w:bidi="fa-IR"/>
        </w:rPr>
        <w:t xml:space="preserve"> ، قَالَ : سَمِعْتُهُ يَقُولُ : « صَامَ رَسُولُ اللهِ </w:t>
      </w:r>
      <w:r w:rsidR="00F27D90" w:rsidRPr="00B42914">
        <w:rPr>
          <w:rStyle w:val="libAlaemChar"/>
          <w:rtl/>
        </w:rPr>
        <w:t>صلى‌الله‌عليه‌وآله‌</w:t>
      </w:r>
      <w:r w:rsidR="00F27D90" w:rsidRPr="00020424">
        <w:rPr>
          <w:rtl/>
          <w:lang w:bidi="fa-IR"/>
        </w:rPr>
        <w:t>‌</w:t>
      </w:r>
      <w:r w:rsidRPr="00020424">
        <w:rPr>
          <w:rtl/>
          <w:lang w:bidi="fa-IR"/>
        </w:rPr>
        <w:t>حَتّى قِيلَ :</w:t>
      </w:r>
    </w:p>
    <w:p w:rsidR="00992664" w:rsidRPr="00020424" w:rsidRDefault="00992664" w:rsidP="00992664">
      <w:pPr>
        <w:pStyle w:val="libLine"/>
        <w:rPr>
          <w:rtl/>
          <w:lang w:bidi="fa-IR"/>
        </w:rPr>
      </w:pPr>
      <w:r w:rsidRPr="00020424">
        <w:rPr>
          <w:rtl/>
          <w:lang w:bidi="fa-IR"/>
        </w:rPr>
        <w:t>__________________</w:t>
      </w:r>
    </w:p>
    <w:p w:rsidR="00992664" w:rsidRPr="00020424" w:rsidRDefault="007A1E89" w:rsidP="00992664">
      <w:pPr>
        <w:pStyle w:val="libFootnote0"/>
        <w:rPr>
          <w:rtl/>
          <w:lang w:bidi="fa-IR"/>
        </w:rPr>
      </w:pPr>
      <w:r>
        <w:rPr>
          <w:rFonts w:hint="cs"/>
          <w:rtl/>
        </w:rPr>
        <w:t xml:space="preserve">= </w:t>
      </w:r>
      <w:r w:rsidR="00992664" w:rsidRPr="00020424">
        <w:rPr>
          <w:rtl/>
        </w:rPr>
        <w:t>« وكرهتها</w:t>
      </w:r>
      <w:r w:rsidR="00992664">
        <w:rPr>
          <w:rtl/>
        </w:rPr>
        <w:t xml:space="preserve"> ».</w:t>
      </w:r>
      <w:r w:rsidR="00992664" w:rsidRPr="00020424">
        <w:rPr>
          <w:rtl/>
        </w:rPr>
        <w:t xml:space="preserve"> وفي</w:t>
      </w:r>
      <w:r w:rsidR="00992664" w:rsidRPr="007A1E89">
        <w:rPr>
          <w:rtl/>
        </w:rPr>
        <w:t xml:space="preserve"> الفقيه والتهذيب والأمالي للصدوق وفضائل الأشهر الثلاثة </w:t>
      </w:r>
      <w:r w:rsidR="00992664" w:rsidRPr="00020424">
        <w:rPr>
          <w:rtl/>
        </w:rPr>
        <w:t>: « وكرهتهنّ</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 « وأبنائهم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بعد</w:t>
      </w:r>
      <w:r w:rsidR="00992664">
        <w:rPr>
          <w:rtl/>
        </w:rPr>
        <w:t xml:space="preserve"> ».</w:t>
      </w:r>
      <w:r w:rsidR="00992664" w:rsidRPr="00020424">
        <w:rPr>
          <w:rtl/>
        </w:rPr>
        <w:t xml:space="preserve"> وفي الكافي ، ح 6085 : + « منها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 أحدها</w:t>
      </w:r>
      <w:r w:rsidR="00992664">
        <w:rPr>
          <w:rtl/>
        </w:rPr>
        <w:t xml:space="preserve"> ».</w:t>
      </w:r>
    </w:p>
    <w:p w:rsidR="00992664" w:rsidRPr="00020424" w:rsidRDefault="00795177" w:rsidP="00EE0BD7">
      <w:pPr>
        <w:pStyle w:val="libFootnote0"/>
        <w:rPr>
          <w:rtl/>
          <w:lang w:bidi="fa-IR"/>
        </w:rPr>
      </w:pPr>
      <w:r>
        <w:rPr>
          <w:rtl/>
        </w:rPr>
        <w:t>(3).</w:t>
      </w:r>
      <w:r w:rsidR="0014403D">
        <w:rPr>
          <w:rtl/>
        </w:rPr>
        <w:t xml:space="preserve"> </w:t>
      </w:r>
      <w:r w:rsidR="00992664" w:rsidRPr="00020424">
        <w:rPr>
          <w:rtl/>
        </w:rPr>
        <w:t>في « بخ ، بر ، بف » وحاشية « بث ، جن » : + « الجماع</w:t>
      </w:r>
      <w:r w:rsidR="00992664">
        <w:rPr>
          <w:rtl/>
        </w:rPr>
        <w:t xml:space="preserve"> ».</w:t>
      </w:r>
      <w:r w:rsidR="00992664" w:rsidRPr="00020424">
        <w:rPr>
          <w:rtl/>
        </w:rPr>
        <w:t xml:space="preserve"> وقال الجوهري : « الرَّفَثُ : الجماع. والرفث أيضاً : الفُحْش من القول ، وكلام النساء في الجماع</w:t>
      </w:r>
      <w:r w:rsidR="00992664">
        <w:rPr>
          <w:rtl/>
        </w:rPr>
        <w:t xml:space="preserve"> ».</w:t>
      </w:r>
      <w:r w:rsidR="00992664" w:rsidRPr="00020424">
        <w:rPr>
          <w:rtl/>
        </w:rPr>
        <w:t xml:space="preserve"> وعن الأزهري : الرفث : كلمة جامعة لكلّ ما ير</w:t>
      </w:r>
      <w:r w:rsidR="007A1E89">
        <w:rPr>
          <w:rtl/>
        </w:rPr>
        <w:t>يده الرجل من المرأة. وقال العل</w:t>
      </w:r>
      <w:r w:rsidR="007A1E89">
        <w:rPr>
          <w:rFonts w:hint="cs"/>
          <w:rtl/>
        </w:rPr>
        <w:t>ّ</w:t>
      </w:r>
      <w:r w:rsidR="007A1E89">
        <w:rPr>
          <w:rtl/>
        </w:rPr>
        <w:t>ا</w:t>
      </w:r>
      <w:r w:rsidR="00992664" w:rsidRPr="00020424">
        <w:rPr>
          <w:rtl/>
        </w:rPr>
        <w:t>مة الفيض : « الرفث ، محرّكة : الجماع والفحش ، والمراد به هاهنا هو الثاني</w:t>
      </w:r>
      <w:r w:rsidR="00992664">
        <w:rPr>
          <w:rtl/>
        </w:rPr>
        <w:t xml:space="preserve"> ».</w:t>
      </w:r>
      <w:r w:rsidR="00992664" w:rsidRPr="00020424">
        <w:rPr>
          <w:rtl/>
        </w:rPr>
        <w:t xml:space="preserve"> وقال </w:t>
      </w:r>
      <w:r w:rsidR="00EE0BD7">
        <w:rPr>
          <w:rtl/>
        </w:rPr>
        <w:t>العل</w:t>
      </w:r>
      <w:r w:rsidR="00EE0BD7">
        <w:rPr>
          <w:rFonts w:hint="cs"/>
          <w:rtl/>
        </w:rPr>
        <w:t>ّ</w:t>
      </w:r>
      <w:r w:rsidR="00EE0BD7">
        <w:rPr>
          <w:rtl/>
        </w:rPr>
        <w:t>ا</w:t>
      </w:r>
      <w:r w:rsidR="00EE0BD7" w:rsidRPr="00020424">
        <w:rPr>
          <w:rtl/>
        </w:rPr>
        <w:t xml:space="preserve">مة </w:t>
      </w:r>
      <w:r w:rsidR="00992664" w:rsidRPr="00020424">
        <w:rPr>
          <w:rtl/>
        </w:rPr>
        <w:t>المجلسي : « هو بالتحريك : الجماع والفحش ، وهنا يحتملهما. وفي بعض النسخ بعده : والجماع ، فالثاني أظهر ، وإن احتمل أن يكون العطف تفسيريّاً » ثمّ ذكر ما نقلناه عن الأزهري وقال : « فعلى هذا يكون بعض الأفراد محمولاً على الحرمة وبعضها على الكراهة ، كما سيأتي</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283 ؛ </w:t>
      </w:r>
      <w:r w:rsidR="00992664" w:rsidRPr="0012008A">
        <w:rPr>
          <w:rStyle w:val="libFootnoteBoldChar"/>
          <w:rtl/>
        </w:rPr>
        <w:t>النهاية</w:t>
      </w:r>
      <w:r w:rsidR="00992664" w:rsidRPr="00020424">
        <w:rPr>
          <w:rtl/>
        </w:rPr>
        <w:t xml:space="preserve"> ، ج 2 ، ص 241 ( رفث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الكافي</w:t>
      </w:r>
      <w:r w:rsidR="00992664" w:rsidRPr="00020424">
        <w:rPr>
          <w:rtl/>
        </w:rPr>
        <w:t xml:space="preserve"> ، كتاب الزكاة ، باب المنّ ، ح 6085 ، ولكن فيه : « المنّ بعد الصدقة » بدل « الرفث في الصوم</w:t>
      </w:r>
      <w:r w:rsidR="00992664">
        <w:rPr>
          <w:rtl/>
        </w:rPr>
        <w:t xml:space="preserve"> ».</w:t>
      </w:r>
      <w:r w:rsidR="00992664" w:rsidRPr="00020424">
        <w:rPr>
          <w:rtl/>
        </w:rPr>
        <w:t xml:space="preserve"> </w:t>
      </w:r>
      <w:r w:rsidR="00992664" w:rsidRPr="0012008A">
        <w:rPr>
          <w:rStyle w:val="libFootnoteBoldChar"/>
          <w:rtl/>
        </w:rPr>
        <w:t>التهذيب</w:t>
      </w:r>
      <w:r w:rsidR="00992664" w:rsidRPr="00020424">
        <w:rPr>
          <w:rtl/>
        </w:rPr>
        <w:t xml:space="preserve"> ، ج 4 ، ص 195 ، ح 559 ، معلّقاً عن الكليني. </w:t>
      </w:r>
      <w:r w:rsidR="00992664" w:rsidRPr="00A722B1">
        <w:rPr>
          <w:rStyle w:val="libFootnoteBoldChar"/>
          <w:rtl/>
        </w:rPr>
        <w:t>الخصال</w:t>
      </w:r>
      <w:r w:rsidR="00992664" w:rsidRPr="00020424">
        <w:rPr>
          <w:rtl/>
        </w:rPr>
        <w:t xml:space="preserve"> ، ص 372 ، باب الستّة ، ح 19 ، بسنده عن الحسن بن موسى الخشّاب ، عن غياث بن إبراهيم ، عن إسحاق بن عمّار. وفي </w:t>
      </w:r>
      <w:r w:rsidR="00992664" w:rsidRPr="00587829">
        <w:rPr>
          <w:rStyle w:val="libFootnoteBoldChar"/>
          <w:rtl/>
        </w:rPr>
        <w:t>الأمالي للصدوق</w:t>
      </w:r>
      <w:r w:rsidR="00992664" w:rsidRPr="00020424">
        <w:rPr>
          <w:rtl/>
        </w:rPr>
        <w:t xml:space="preserve"> ، ص 62 ، المجلس 15 ، ح 3 ؛ </w:t>
      </w:r>
      <w:r w:rsidR="00992664" w:rsidRPr="00D27EE2">
        <w:rPr>
          <w:rStyle w:val="libFootnoteBoldChar"/>
          <w:rtl/>
        </w:rPr>
        <w:t>وفضائل الأشهر الثلاثة</w:t>
      </w:r>
      <w:r w:rsidR="00992664" w:rsidRPr="00020424">
        <w:rPr>
          <w:rtl/>
        </w:rPr>
        <w:t xml:space="preserve"> ، ص 76 ، ح 60 ، بسندهما عن أحمد بن محمّد بن عيسى ، عن الحسين بن موسى ، عن غياث بن إبراهيم ، عن الصادق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D64ADA" w:rsidRPr="00D64ADA">
        <w:rPr>
          <w:rStyle w:val="libFootnoteBoldChar"/>
          <w:rtl/>
        </w:rPr>
        <w:t>المحاسن</w:t>
      </w:r>
      <w:r w:rsidR="00992664" w:rsidRPr="00020424">
        <w:rPr>
          <w:rtl/>
        </w:rPr>
        <w:t xml:space="preserve"> ، ص 10 ، كتاب الأشكال والقرائن ، ح 31 ، بسند آخر. </w:t>
      </w:r>
      <w:r w:rsidR="00992664" w:rsidRPr="00DE76B9">
        <w:rPr>
          <w:rStyle w:val="libFootnoteBoldChar"/>
          <w:rtl/>
        </w:rPr>
        <w:t>الجعفريّات</w:t>
      </w:r>
      <w:r w:rsidR="00992664" w:rsidRPr="00020424">
        <w:rPr>
          <w:rtl/>
        </w:rPr>
        <w:t xml:space="preserve"> ، ص 36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الفقيه</w:t>
      </w:r>
      <w:r w:rsidR="00992664" w:rsidRPr="00020424">
        <w:rPr>
          <w:rtl/>
        </w:rPr>
        <w:t xml:space="preserve"> ، ج 1 ، ص 188 ، ح 575 ؛ وج 2 ، ص 71 ، ح 1761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كلّ المصادر</w:t>
      </w:r>
      <w:r w:rsidR="00992664">
        <w:rPr>
          <w:rtl/>
        </w:rPr>
        <w:t xml:space="preserve"> </w:t>
      </w:r>
      <w:r w:rsidR="009B673F">
        <w:rPr>
          <w:rtl/>
        </w:rPr>
        <w:t>-</w:t>
      </w:r>
      <w:r w:rsidR="00992664">
        <w:rPr>
          <w:rtl/>
        </w:rPr>
        <w:t xml:space="preserve"> </w:t>
      </w:r>
      <w:r w:rsidR="00992664" w:rsidRPr="00020424">
        <w:rPr>
          <w:rtl/>
        </w:rPr>
        <w:t>إلاّ</w:t>
      </w:r>
      <w:r w:rsidR="00992664">
        <w:rPr>
          <w:rFonts w:hint="cs"/>
          <w:rtl/>
        </w:rPr>
        <w:t xml:space="preserve"> </w:t>
      </w:r>
      <w:r w:rsidR="00992664" w:rsidRPr="0012008A">
        <w:rPr>
          <w:rStyle w:val="libFootnoteBoldChar"/>
          <w:rtl/>
        </w:rPr>
        <w:t>التهذيب</w:t>
      </w:r>
      <w:r w:rsidR="00992664">
        <w:rPr>
          <w:rtl/>
        </w:rPr>
        <w:t xml:space="preserve"> </w:t>
      </w:r>
      <w:r w:rsidR="009B673F">
        <w:rPr>
          <w:rtl/>
        </w:rPr>
        <w:t>-</w:t>
      </w:r>
      <w:r w:rsidR="00992664">
        <w:rPr>
          <w:rtl/>
        </w:rPr>
        <w:t xml:space="preserve"> </w:t>
      </w:r>
      <w:r w:rsidR="00992664" w:rsidRPr="00020424">
        <w:rPr>
          <w:rtl/>
        </w:rPr>
        <w:t xml:space="preserve">مع زيادة. </w:t>
      </w:r>
      <w:r w:rsidR="00992664" w:rsidRPr="0012008A">
        <w:rPr>
          <w:rStyle w:val="libFootnoteBoldChar"/>
          <w:rtl/>
        </w:rPr>
        <w:t>الفقيه</w:t>
      </w:r>
      <w:r w:rsidR="00992664" w:rsidRPr="00020424">
        <w:rPr>
          <w:rtl/>
        </w:rPr>
        <w:t xml:space="preserve"> ، ج 2 ، ص 108 ، ح 1856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E471E9">
        <w:rPr>
          <w:rFonts w:hint="cs"/>
          <w:rtl/>
        </w:rPr>
        <w:t>.</w:t>
      </w:r>
      <w:r w:rsidR="00992664" w:rsidRPr="0012008A">
        <w:rPr>
          <w:rStyle w:val="libFootnoteBoldChar"/>
          <w:rtl/>
        </w:rPr>
        <w:t>الوافي</w:t>
      </w:r>
      <w:r w:rsidR="00992664" w:rsidRPr="00020424">
        <w:rPr>
          <w:rtl/>
        </w:rPr>
        <w:t xml:space="preserve"> ، ج 11 ، ص 224 ، ح 10739 ؛ </w:t>
      </w:r>
      <w:r w:rsidR="00992664" w:rsidRPr="0012008A">
        <w:rPr>
          <w:rStyle w:val="libFootnoteBoldChar"/>
          <w:rtl/>
        </w:rPr>
        <w:t>الوسائل</w:t>
      </w:r>
      <w:r w:rsidR="00992664" w:rsidRPr="00020424">
        <w:rPr>
          <w:rtl/>
        </w:rPr>
        <w:t xml:space="preserve"> ، ج 10 ، ص 170 ، ح 13139.</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ورد مضمون الخبر في </w:t>
      </w:r>
      <w:r w:rsidR="00D64ADA" w:rsidRPr="00D64ADA">
        <w:rPr>
          <w:rStyle w:val="libFootnoteBoldChar"/>
          <w:rtl/>
        </w:rPr>
        <w:t>المحاسن</w:t>
      </w:r>
      <w:r w:rsidR="00992664" w:rsidRPr="00020424">
        <w:rPr>
          <w:rtl/>
        </w:rPr>
        <w:t xml:space="preserve"> ، ص 301 ، ح 8 ، بسنده عن حمّاد بن عثمان ، قال : قال أبوجعفر </w:t>
      </w:r>
      <w:r w:rsidR="00992664" w:rsidRPr="00D64ADA">
        <w:rPr>
          <w:rStyle w:val="libFootnoteAlaemChar"/>
          <w:rtl/>
        </w:rPr>
        <w:t>عليه‌السلام</w:t>
      </w:r>
      <w:r w:rsidR="00992664" w:rsidRPr="00020424">
        <w:rPr>
          <w:rtl/>
        </w:rPr>
        <w:t xml:space="preserve"> ، والمذكور في بعض نسخ </w:t>
      </w:r>
      <w:r w:rsidR="00D64ADA" w:rsidRPr="00D64ADA">
        <w:rPr>
          <w:rStyle w:val="libFootnoteBoldChar"/>
          <w:rtl/>
        </w:rPr>
        <w:t>المحاسن</w:t>
      </w:r>
      <w:r w:rsidR="00992664" w:rsidRPr="00020424">
        <w:rPr>
          <w:rtl/>
        </w:rPr>
        <w:t xml:space="preserve"> وعنه في </w:t>
      </w:r>
      <w:r w:rsidR="00992664" w:rsidRPr="0012008A">
        <w:rPr>
          <w:rStyle w:val="libFootnoteBoldChar"/>
          <w:rtl/>
        </w:rPr>
        <w:t>البحار</w:t>
      </w:r>
      <w:r w:rsidR="00992664" w:rsidRPr="00020424">
        <w:rPr>
          <w:rtl/>
        </w:rPr>
        <w:t xml:space="preserve"> ، ج 97 ، ص 102 ، ح 34 : « أبوعبدالله </w:t>
      </w:r>
      <w:r w:rsidR="00992664" w:rsidRPr="00D64ADA">
        <w:rPr>
          <w:rStyle w:val="libFootnoteAlaemChar"/>
          <w:rtl/>
        </w:rPr>
        <w:t>عليه‌السلام</w:t>
      </w:r>
      <w:r w:rsidR="00992664">
        <w:rPr>
          <w:rtl/>
        </w:rPr>
        <w:t xml:space="preserve"> ».</w:t>
      </w:r>
      <w:r w:rsidR="00992664" w:rsidRPr="00020424">
        <w:rPr>
          <w:rtl/>
        </w:rPr>
        <w:t xml:space="preserve"> وهو الصواب ؛ فإنّ حمّاد بن عثمان من أحداث أصحاب أبي عبدالله </w:t>
      </w:r>
      <w:r w:rsidR="00992664" w:rsidRPr="00D64ADA">
        <w:rPr>
          <w:rStyle w:val="libFootnoteAlaemChar"/>
          <w:rtl/>
        </w:rPr>
        <w:t>عليه‌السلام</w:t>
      </w:r>
      <w:r w:rsidR="00992664" w:rsidRPr="00020424">
        <w:rPr>
          <w:rtl/>
        </w:rPr>
        <w:t xml:space="preserve"> الذين لم يدركوا أبا جعفر الباقر </w:t>
      </w:r>
      <w:r w:rsidR="00992664" w:rsidRPr="00D64ADA">
        <w:rPr>
          <w:rStyle w:val="libFootnoteAlaemChar"/>
          <w:rtl/>
        </w:rPr>
        <w:t>عليه‌السلام</w:t>
      </w:r>
      <w:r w:rsidR="00992664" w:rsidRPr="00020424">
        <w:rPr>
          <w:rtl/>
        </w:rPr>
        <w:t>.</w:t>
      </w:r>
    </w:p>
    <w:p w:rsidR="00795177" w:rsidRDefault="00795177" w:rsidP="00795177">
      <w:pPr>
        <w:pStyle w:val="libNormal"/>
        <w:rPr>
          <w:rtl/>
          <w:lang w:bidi="fa-IR"/>
        </w:rPr>
      </w:pPr>
      <w:r>
        <w:rPr>
          <w:rtl/>
          <w:lang w:bidi="fa-IR"/>
        </w:rPr>
        <w:br w:type="page"/>
      </w:r>
    </w:p>
    <w:p w:rsidR="00992664" w:rsidRPr="00020424" w:rsidRDefault="00992664" w:rsidP="00E471E9">
      <w:pPr>
        <w:pStyle w:val="libNormal0"/>
        <w:rPr>
          <w:rtl/>
          <w:lang w:bidi="fa-IR"/>
        </w:rPr>
      </w:pPr>
      <w:r w:rsidRPr="00020424">
        <w:rPr>
          <w:rtl/>
          <w:lang w:bidi="fa-IR"/>
        </w:rPr>
        <w:t xml:space="preserve">مَا يُفْطِرُ ، ثُمَّ أَفْطَرَ حَتّى قِيلَ : مَا يَصُومُ ، ثُمَّ صَامَ صَوْمَ دَاوُدَ </w:t>
      </w:r>
      <w:r w:rsidRPr="00005A81">
        <w:rPr>
          <w:rStyle w:val="libAlaemChar"/>
          <w:rtl/>
        </w:rPr>
        <w:t>عليه‌السلام</w:t>
      </w:r>
      <w:r w:rsidRPr="00020424">
        <w:rPr>
          <w:rtl/>
          <w:lang w:bidi="fa-IR"/>
        </w:rPr>
        <w:t xml:space="preserve"> يَوْماً وَيَوْماً لَا </w:t>
      </w:r>
      <w:r w:rsidRPr="00A91B96">
        <w:rPr>
          <w:rStyle w:val="libFootnotenumChar"/>
          <w:rtl/>
        </w:rPr>
        <w:t>(1)</w:t>
      </w:r>
      <w:r w:rsidRPr="00020424">
        <w:rPr>
          <w:rtl/>
          <w:lang w:bidi="fa-IR"/>
        </w:rPr>
        <w:t xml:space="preserve"> ، ثُمَّ </w:t>
      </w:r>
      <w:r w:rsidRPr="00A91B96">
        <w:rPr>
          <w:rStyle w:val="libFootnotenumChar"/>
          <w:rtl/>
        </w:rPr>
        <w:t>(2)</w:t>
      </w:r>
      <w:r w:rsidRPr="00020424">
        <w:rPr>
          <w:rtl/>
          <w:lang w:bidi="fa-IR"/>
        </w:rPr>
        <w:t xml:space="preserve"> قُبِضَ عَلى صِيَامِ ثَلَاثَةِ أَيَّامٍ فِي الشَّهْرِ » قَالَ : « إِنَّهُنَّ </w:t>
      </w:r>
      <w:r w:rsidRPr="00A91B96">
        <w:rPr>
          <w:rStyle w:val="libFootnotenumChar"/>
          <w:rtl/>
        </w:rPr>
        <w:t>(3)</w:t>
      </w:r>
      <w:r w:rsidRPr="00020424">
        <w:rPr>
          <w:rtl/>
          <w:lang w:bidi="fa-IR"/>
        </w:rPr>
        <w:t xml:space="preserve"> يَعْدِلْنَ صَوْمَ </w:t>
      </w:r>
      <w:r w:rsidRPr="00A91B96">
        <w:rPr>
          <w:rStyle w:val="libFootnotenumChar"/>
          <w:rtl/>
        </w:rPr>
        <w:t>(4)</w:t>
      </w:r>
      <w:r w:rsidRPr="00020424">
        <w:rPr>
          <w:rtl/>
          <w:lang w:bidi="fa-IR"/>
        </w:rPr>
        <w:t xml:space="preserve"> الدَّهْرِ </w:t>
      </w:r>
      <w:r w:rsidRPr="00A91B96">
        <w:rPr>
          <w:rStyle w:val="libFootnotenumChar"/>
          <w:rtl/>
        </w:rPr>
        <w:t>(5)</w:t>
      </w:r>
      <w:r w:rsidRPr="00020424">
        <w:rPr>
          <w:rtl/>
          <w:lang w:bidi="fa-IR"/>
        </w:rPr>
        <w:t xml:space="preserve"> ، وَيَذْهَبْنَ بِوَحَرِ </w:t>
      </w:r>
      <w:r w:rsidRPr="00A91B96">
        <w:rPr>
          <w:rStyle w:val="libFootnotenumChar"/>
          <w:rtl/>
        </w:rPr>
        <w:t>(6)</w:t>
      </w:r>
      <w:r w:rsidRPr="00020424">
        <w:rPr>
          <w:rtl/>
          <w:lang w:bidi="fa-IR"/>
        </w:rPr>
        <w:t xml:space="preserve"> الصَّدْرِ </w:t>
      </w:r>
      <w:r w:rsidRPr="00A91B96">
        <w:rPr>
          <w:rStyle w:val="libFootnotenumChar"/>
          <w:rtl/>
        </w:rPr>
        <w:t>(7)</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حَمَّادٌ </w:t>
      </w:r>
      <w:r w:rsidRPr="00A91B96">
        <w:rPr>
          <w:rStyle w:val="libFootnotenumChar"/>
          <w:rtl/>
        </w:rPr>
        <w:t>(8)</w:t>
      </w:r>
      <w:r w:rsidRPr="00020424">
        <w:rPr>
          <w:rtl/>
          <w:lang w:bidi="fa-IR"/>
        </w:rPr>
        <w:t xml:space="preserve"> : الْوَحَرُ </w:t>
      </w:r>
      <w:r w:rsidRPr="00A91B96">
        <w:rPr>
          <w:rStyle w:val="libFootnotenumChar"/>
          <w:rtl/>
        </w:rPr>
        <w:t>(9)</w:t>
      </w:r>
      <w:r w:rsidRPr="00020424">
        <w:rPr>
          <w:rtl/>
          <w:lang w:bidi="fa-IR"/>
        </w:rPr>
        <w:t xml:space="preserve"> : الْوَسْوَسَةُ.</w:t>
      </w:r>
    </w:p>
    <w:p w:rsidR="00992664" w:rsidRPr="00020424" w:rsidRDefault="00992664" w:rsidP="00992664">
      <w:pPr>
        <w:pStyle w:val="libNormal"/>
        <w:rPr>
          <w:rtl/>
          <w:lang w:bidi="fa-IR"/>
        </w:rPr>
      </w:pPr>
      <w:r w:rsidRPr="00020424">
        <w:rPr>
          <w:rtl/>
          <w:lang w:bidi="fa-IR"/>
        </w:rPr>
        <w:t xml:space="preserve">قَالَ حَمَّادٌ فَقُلْتُ : وَأَيُّ </w:t>
      </w:r>
      <w:r w:rsidRPr="00A91B96">
        <w:rPr>
          <w:rStyle w:val="libFootnotenumChar"/>
          <w:rtl/>
        </w:rPr>
        <w:t>(10)</w:t>
      </w:r>
      <w:r w:rsidRPr="00020424">
        <w:rPr>
          <w:rtl/>
          <w:lang w:bidi="fa-IR"/>
        </w:rPr>
        <w:t xml:space="preserve"> الْأَيَّامِ هِيَ </w:t>
      </w:r>
      <w:r w:rsidRPr="00A91B96">
        <w:rPr>
          <w:rStyle w:val="libFootnotenumChar"/>
          <w:rtl/>
        </w:rPr>
        <w:t>(11)</w:t>
      </w:r>
      <w:r>
        <w:rPr>
          <w:rtl/>
          <w:lang w:bidi="fa-IR"/>
        </w:rPr>
        <w:t>؟</w:t>
      </w:r>
    </w:p>
    <w:p w:rsidR="00992664" w:rsidRPr="00020424" w:rsidRDefault="00992664" w:rsidP="00992664">
      <w:pPr>
        <w:pStyle w:val="libNormal"/>
        <w:rPr>
          <w:rtl/>
          <w:lang w:bidi="fa-IR"/>
        </w:rPr>
      </w:pPr>
      <w:r w:rsidRPr="00020424">
        <w:rPr>
          <w:rtl/>
          <w:lang w:bidi="fa-IR"/>
        </w:rPr>
        <w:t xml:space="preserve">قَالَ : « أَوَّلُ خَمِيسٍ فِي الشَّهْرِ ، وَأَوَّلُ أَرْبِعَاءَ بَعْدَ الْعَشْرِ مِنْهُ </w:t>
      </w:r>
      <w:r w:rsidRPr="00A91B96">
        <w:rPr>
          <w:rStyle w:val="libFootnotenumChar"/>
          <w:rtl/>
        </w:rPr>
        <w:t>(12)</w:t>
      </w:r>
      <w:r w:rsidRPr="00020424">
        <w:rPr>
          <w:rtl/>
          <w:lang w:bidi="fa-IR"/>
        </w:rPr>
        <w:t xml:space="preserve"> ، وَآخِرُ خَمِيسٍ فِيهِ</w:t>
      </w:r>
      <w:r>
        <w:rPr>
          <w:rtl/>
          <w:lang w:bidi="fa-IR"/>
        </w:rPr>
        <w:t xml:space="preserve"> ».</w:t>
      </w:r>
    </w:p>
    <w:p w:rsidR="00992664" w:rsidRPr="00020424" w:rsidRDefault="00992664" w:rsidP="00992664">
      <w:pPr>
        <w:pStyle w:val="libNormal"/>
        <w:rPr>
          <w:rtl/>
          <w:lang w:bidi="fa-IR"/>
        </w:rPr>
      </w:pPr>
      <w:r w:rsidRPr="00020424">
        <w:rPr>
          <w:rtl/>
          <w:lang w:bidi="fa-IR"/>
        </w:rPr>
        <w:t xml:space="preserve">فَقُلْتُ </w:t>
      </w:r>
      <w:r w:rsidRPr="00A91B96">
        <w:rPr>
          <w:rStyle w:val="libFootnotenumChar"/>
          <w:rtl/>
        </w:rPr>
        <w:t>(13)</w:t>
      </w:r>
      <w:r w:rsidRPr="00020424">
        <w:rPr>
          <w:rtl/>
          <w:lang w:bidi="fa-IR"/>
        </w:rPr>
        <w:t xml:space="preserve"> : كَيْفَ </w:t>
      </w:r>
      <w:r w:rsidRPr="00A91B96">
        <w:rPr>
          <w:rStyle w:val="libFootnotenumChar"/>
          <w:rtl/>
        </w:rPr>
        <w:t>(14)</w:t>
      </w:r>
      <w:r w:rsidRPr="00020424">
        <w:rPr>
          <w:rtl/>
          <w:lang w:bidi="fa-IR"/>
        </w:rPr>
        <w:t xml:space="preserve"> صَارَتْ هذِهِ الْأَيَّامُ الَّتِي </w:t>
      </w:r>
      <w:r w:rsidRPr="00A91B96">
        <w:rPr>
          <w:rStyle w:val="libFootnotenumChar"/>
          <w:rtl/>
        </w:rPr>
        <w:t>(15)</w:t>
      </w:r>
      <w:r w:rsidRPr="00020424">
        <w:rPr>
          <w:rtl/>
          <w:lang w:bidi="fa-IR"/>
        </w:rPr>
        <w:t xml:space="preserve"> تُصَامُ</w:t>
      </w:r>
      <w:r>
        <w:rPr>
          <w:rtl/>
          <w:lang w:bidi="fa-IR"/>
        </w:rPr>
        <w:t>؟</w:t>
      </w:r>
    </w:p>
    <w:p w:rsidR="00992664" w:rsidRPr="00020424" w:rsidRDefault="00992664" w:rsidP="00992664">
      <w:pPr>
        <w:pStyle w:val="libNormal"/>
        <w:rPr>
          <w:rtl/>
          <w:lang w:bidi="fa-IR"/>
        </w:rPr>
      </w:pPr>
      <w:r w:rsidRPr="00020424">
        <w:rPr>
          <w:rtl/>
          <w:lang w:bidi="fa-IR"/>
        </w:rPr>
        <w:t xml:space="preserve">فَقَالَ : « إِنَّ مَنْ قَبْلَنَا مِنَ الْأُمَمِ كَانَ </w:t>
      </w:r>
      <w:r w:rsidRPr="00A91B96">
        <w:rPr>
          <w:rStyle w:val="libFootnotenumChar"/>
          <w:rtl/>
        </w:rPr>
        <w:t>(16)</w:t>
      </w:r>
      <w:r w:rsidRPr="00020424">
        <w:rPr>
          <w:rtl/>
          <w:lang w:bidi="fa-IR"/>
        </w:rPr>
        <w:t xml:space="preserve"> إِذَا نَزَلَ </w:t>
      </w:r>
      <w:r w:rsidRPr="00A91B96">
        <w:rPr>
          <w:rStyle w:val="libFootnotenumChar"/>
          <w:rtl/>
        </w:rPr>
        <w:t>(17)</w:t>
      </w:r>
      <w:r w:rsidRPr="00020424">
        <w:rPr>
          <w:rtl/>
          <w:lang w:bidi="fa-IR"/>
        </w:rPr>
        <w:t xml:space="preserve"> عَلى أَحَدِهِمُ الْعَذَابُ ، نَزَلَ فِي هذِهِ‌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FD6221">
        <w:rPr>
          <w:rStyle w:val="libFootnoteBoldChar"/>
          <w:rtl/>
        </w:rPr>
        <w:t>والفقيه</w:t>
      </w:r>
      <w:r w:rsidR="00992664" w:rsidRPr="00020424">
        <w:rPr>
          <w:rtl/>
        </w:rPr>
        <w:t xml:space="preserve"> </w:t>
      </w:r>
      <w:r w:rsidR="00992664" w:rsidRPr="006C7A1F">
        <w:rPr>
          <w:rStyle w:val="libFootnoteBoldChar"/>
          <w:rtl/>
        </w:rPr>
        <w:t>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 « حتّى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w:t>
      </w:r>
      <w:r w:rsidR="00992664" w:rsidRPr="00E471E9">
        <w:rPr>
          <w:rtl/>
        </w:rPr>
        <w:t xml:space="preserve"> التهذيب والاستبصار و</w:t>
      </w:r>
      <w:r w:rsidR="00D64ADA" w:rsidRPr="00E471E9">
        <w:rPr>
          <w:rtl/>
        </w:rPr>
        <w:t>المحاسن</w:t>
      </w:r>
      <w:r w:rsidR="00992664" w:rsidRPr="00E471E9">
        <w:rPr>
          <w:rtl/>
        </w:rPr>
        <w:t xml:space="preserve"> وثواب الأعمال </w:t>
      </w:r>
      <w:r w:rsidR="00992664" w:rsidRPr="00020424">
        <w:rPr>
          <w:rtl/>
        </w:rPr>
        <w:t>: « وقال » بدل « قال : إنّهنّ</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إنّهنّ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مرآة العقول : « من صوم</w:t>
      </w:r>
      <w:r w:rsidR="00992664">
        <w:rPr>
          <w:rtl/>
        </w:rPr>
        <w:t xml:space="preserve"> ».</w:t>
      </w:r>
    </w:p>
    <w:p w:rsidR="00992664" w:rsidRPr="00020424" w:rsidRDefault="00795177" w:rsidP="00E471E9">
      <w:pPr>
        <w:pStyle w:val="libFootnote0"/>
        <w:rPr>
          <w:rtl/>
          <w:lang w:bidi="fa-IR"/>
        </w:rPr>
      </w:pPr>
      <w:r>
        <w:rPr>
          <w:rtl/>
        </w:rPr>
        <w:t>(5).</w:t>
      </w:r>
      <w:r w:rsidR="0014403D">
        <w:rPr>
          <w:rtl/>
        </w:rPr>
        <w:t xml:space="preserve"> </w:t>
      </w:r>
      <w:r w:rsidR="00992664" w:rsidRPr="00020424">
        <w:rPr>
          <w:rtl/>
        </w:rPr>
        <w:t xml:space="preserve">هكذا في « ظ ، ى ، بث ، بخ ، بر ، بس ، بف » </w:t>
      </w:r>
      <w:r w:rsidR="00992664" w:rsidRPr="00515444">
        <w:rPr>
          <w:rStyle w:val="libFootnoteBoldChar"/>
          <w:rtl/>
        </w:rPr>
        <w:t>والوافي</w:t>
      </w:r>
      <w:r w:rsidR="00992664" w:rsidRPr="00020424">
        <w:rPr>
          <w:rtl/>
        </w:rPr>
        <w:t xml:space="preserve"> ومرآة العقول </w:t>
      </w:r>
      <w:r w:rsidR="00992664" w:rsidRPr="00E471E9">
        <w:rPr>
          <w:rtl/>
        </w:rPr>
        <w:t>والفقيه والتهذيب والاستبصار</w:t>
      </w:r>
      <w:r w:rsidR="00992664" w:rsidRPr="00020424">
        <w:rPr>
          <w:rtl/>
        </w:rPr>
        <w:t>. وفي سائر النسخ والمطبوع : « الشهر</w:t>
      </w:r>
      <w:r w:rsidR="00992664">
        <w:rPr>
          <w:rtl/>
        </w:rPr>
        <w:t xml:space="preserve"> ».</w:t>
      </w:r>
      <w:r w:rsidR="00E471E9">
        <w:rPr>
          <w:rFonts w:hint="cs"/>
          <w:rtl/>
        </w:rPr>
        <w:t xml:space="preserve">                            </w:t>
      </w:r>
      <w:r>
        <w:rPr>
          <w:rtl/>
        </w:rPr>
        <w:t>(6).</w:t>
      </w:r>
      <w:r w:rsidR="0014403D">
        <w:rPr>
          <w:rtl/>
        </w:rPr>
        <w:t xml:space="preserve"> </w:t>
      </w:r>
      <w:r w:rsidR="00992664" w:rsidRPr="00020424">
        <w:rPr>
          <w:rtl/>
        </w:rPr>
        <w:t>في « ى ، بر » : « بوجر</w:t>
      </w:r>
      <w:r w:rsidR="00992664">
        <w:rPr>
          <w:rtl/>
        </w:rPr>
        <w:t xml:space="preserve"> ».</w:t>
      </w:r>
      <w:r w:rsidR="00992664" w:rsidRPr="00020424">
        <w:rPr>
          <w:rtl/>
        </w:rPr>
        <w:t xml:space="preserve"> والوَجْر : الخوف.</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الصدور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FD6221">
        <w:rPr>
          <w:rStyle w:val="libFootnoteBoldChar"/>
          <w:rtl/>
        </w:rPr>
        <w:t>والفقيه</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قال حمّاد</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 فقلت : فما الوحر</w:t>
      </w:r>
      <w:r w:rsidR="00992664">
        <w:rPr>
          <w:rtl/>
        </w:rPr>
        <w:t>؟</w:t>
      </w:r>
      <w:r w:rsidR="00992664" w:rsidRPr="00020424">
        <w:rPr>
          <w:rtl/>
        </w:rPr>
        <w:t xml:space="preserve"> فقال [ في الاستبصار : قال ]</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بر » : « الوجر</w:t>
      </w:r>
      <w:r w:rsidR="00992664">
        <w:rPr>
          <w:rtl/>
        </w:rPr>
        <w:t xml:space="preserve"> ».</w:t>
      </w:r>
      <w:r w:rsidR="00992664" w:rsidRPr="00020424">
        <w:rPr>
          <w:rtl/>
        </w:rPr>
        <w:t xml:space="preserve"> وفي المطبوع : « والوحر » مع الواو ، ولكن في جميع النسخ التي قوبلت بدون الواو.</w:t>
      </w:r>
    </w:p>
    <w:p w:rsidR="00992664" w:rsidRPr="00E471E9" w:rsidRDefault="00992664" w:rsidP="00E471E9">
      <w:pPr>
        <w:pStyle w:val="libFootnote0"/>
        <w:rPr>
          <w:rtl/>
        </w:rPr>
      </w:pPr>
      <w:r w:rsidRPr="00E471E9">
        <w:rPr>
          <w:rtl/>
        </w:rPr>
        <w:t>والوَحَر في اللغة : غشّ الصدر ووساوسه وبلابله. وقيل : هو الحِقْد والغيظ. وقيل : هو العداوة. وقيل : هو أشدّ الغضب. راجع : النهاية ، ج 5 ، ص 160 ؛ لسان العرب ، ج 5 ، ص 281 ( وحر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 « ما هي</w:t>
      </w:r>
      <w:r w:rsidR="00992664">
        <w:rPr>
          <w:rtl/>
        </w:rPr>
        <w:t xml:space="preserve"> ».</w:t>
      </w:r>
      <w:r w:rsidR="00992664" w:rsidRPr="00020424">
        <w:rPr>
          <w:rtl/>
        </w:rPr>
        <w:t xml:space="preserve"> وفي « بخ » : « فأيّ</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أيّ » بدون الواو.</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بر » : « هو</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بر ، بف » وحاشية « بث » : « فيه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471E9" w:rsidTr="00E471E9">
        <w:tc>
          <w:tcPr>
            <w:tcW w:w="4006" w:type="dxa"/>
          </w:tcPr>
          <w:p w:rsidR="00E471E9" w:rsidRDefault="00E471E9" w:rsidP="00992664">
            <w:pPr>
              <w:pStyle w:val="libFootnote0"/>
              <w:rPr>
                <w:rtl/>
              </w:rPr>
            </w:pPr>
            <w:r>
              <w:rPr>
                <w:rtl/>
              </w:rPr>
              <w:t xml:space="preserve">(13). </w:t>
            </w:r>
            <w:r w:rsidRPr="00020424">
              <w:rPr>
                <w:rtl/>
              </w:rPr>
              <w:t>في الاستبصار : + « له</w:t>
            </w:r>
            <w:r>
              <w:rPr>
                <w:rtl/>
              </w:rPr>
              <w:t xml:space="preserve"> ».</w:t>
            </w:r>
          </w:p>
        </w:tc>
        <w:tc>
          <w:tcPr>
            <w:tcW w:w="4006" w:type="dxa"/>
          </w:tcPr>
          <w:p w:rsidR="00E471E9" w:rsidRDefault="00E471E9" w:rsidP="00992664">
            <w:pPr>
              <w:pStyle w:val="libFootnote0"/>
              <w:rPr>
                <w:rtl/>
              </w:rPr>
            </w:pPr>
            <w:r>
              <w:rPr>
                <w:rtl/>
              </w:rPr>
              <w:t>(14).</w:t>
            </w:r>
            <w:r w:rsidRPr="00020424">
              <w:rPr>
                <w:rtl/>
              </w:rPr>
              <w:t xml:space="preserve">في </w:t>
            </w:r>
            <w:r w:rsidRPr="00E471E9">
              <w:rPr>
                <w:rtl/>
              </w:rPr>
              <w:t>التهذيب والاستبصار وثواب الأعمال</w:t>
            </w:r>
            <w:r w:rsidRPr="00020424">
              <w:rPr>
                <w:rtl/>
              </w:rPr>
              <w:t xml:space="preserve"> </w:t>
            </w:r>
            <w:r>
              <w:rPr>
                <w:rtl/>
              </w:rPr>
              <w:t>:</w:t>
            </w:r>
            <w:r w:rsidRPr="00020424">
              <w:rPr>
                <w:rtl/>
              </w:rPr>
              <w:t>« لِمَ</w:t>
            </w:r>
            <w:r>
              <w:rPr>
                <w:rtl/>
              </w:rPr>
              <w:t xml:space="preserve"> ».</w:t>
            </w:r>
          </w:p>
        </w:tc>
      </w:tr>
      <w:tr w:rsidR="00E471E9" w:rsidTr="00E471E9">
        <w:tc>
          <w:tcPr>
            <w:tcW w:w="4006" w:type="dxa"/>
          </w:tcPr>
          <w:p w:rsidR="00E471E9" w:rsidRDefault="00E471E9" w:rsidP="00992664">
            <w:pPr>
              <w:pStyle w:val="libFootnote0"/>
              <w:rPr>
                <w:rtl/>
              </w:rPr>
            </w:pPr>
            <w:r>
              <w:rPr>
                <w:rtl/>
              </w:rPr>
              <w:t xml:space="preserve">(15). </w:t>
            </w:r>
            <w:r w:rsidRPr="00020424">
              <w:rPr>
                <w:rtl/>
              </w:rPr>
              <w:t>في « ى » :</w:t>
            </w:r>
            <w:r>
              <w:rPr>
                <w:rtl/>
              </w:rPr>
              <w:t xml:space="preserve"> - </w:t>
            </w:r>
            <w:r w:rsidRPr="00020424">
              <w:rPr>
                <w:rtl/>
              </w:rPr>
              <w:t>« التي</w:t>
            </w:r>
            <w:r>
              <w:rPr>
                <w:rtl/>
              </w:rPr>
              <w:t xml:space="preserve"> ».</w:t>
            </w:r>
          </w:p>
        </w:tc>
        <w:tc>
          <w:tcPr>
            <w:tcW w:w="4006" w:type="dxa"/>
          </w:tcPr>
          <w:p w:rsidR="00E471E9" w:rsidRDefault="00E471E9" w:rsidP="00992664">
            <w:pPr>
              <w:pStyle w:val="libFootnote0"/>
              <w:rPr>
                <w:rtl/>
              </w:rPr>
            </w:pPr>
            <w:r>
              <w:rPr>
                <w:rtl/>
              </w:rPr>
              <w:t xml:space="preserve">(16). </w:t>
            </w:r>
            <w:r w:rsidRPr="00020424">
              <w:rPr>
                <w:rtl/>
              </w:rPr>
              <w:t xml:space="preserve">في </w:t>
            </w:r>
            <w:r w:rsidRPr="0012008A">
              <w:rPr>
                <w:rStyle w:val="libFootnoteBoldChar"/>
                <w:rtl/>
              </w:rPr>
              <w:t>الوافي</w:t>
            </w:r>
            <w:r w:rsidRPr="00020424">
              <w:rPr>
                <w:rtl/>
              </w:rPr>
              <w:t xml:space="preserve"> : « كانوا</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في الاستبصار </w:t>
      </w:r>
      <w:r w:rsidR="00992664" w:rsidRPr="006C7A1F">
        <w:rPr>
          <w:rStyle w:val="libFootnoteBoldChar"/>
          <w:rtl/>
        </w:rPr>
        <w:t>وثواب الأعمال</w:t>
      </w:r>
      <w:r w:rsidR="00992664" w:rsidRPr="00020424">
        <w:rPr>
          <w:rtl/>
        </w:rPr>
        <w:t xml:space="preserve"> : « أنزل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الْأَيَّامِ ، فَصَامَ رَسُولُ اللهِ </w:t>
      </w:r>
      <w:r w:rsidR="00B42914" w:rsidRPr="00B42914">
        <w:rPr>
          <w:rStyle w:val="libAlaemChar"/>
          <w:rtl/>
        </w:rPr>
        <w:t>صلى‌الله‌عليه‌وآله‌</w:t>
      </w:r>
      <w:r w:rsidRPr="00020424">
        <w:rPr>
          <w:rtl/>
          <w:lang w:bidi="fa-IR"/>
        </w:rPr>
        <w:t xml:space="preserve"> هذِهِ </w:t>
      </w:r>
      <w:r w:rsidRPr="00A91B96">
        <w:rPr>
          <w:rStyle w:val="libFootnotenumChar"/>
          <w:rtl/>
        </w:rPr>
        <w:t>(1)</w:t>
      </w:r>
      <w:r w:rsidRPr="00020424">
        <w:rPr>
          <w:rtl/>
          <w:lang w:bidi="fa-IR"/>
        </w:rPr>
        <w:t xml:space="preserve"> الْأَيَّامَ الْمَخُوفَةَ</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B143A6">
        <w:rPr>
          <w:rtl/>
        </w:rPr>
        <w:t>6332</w:t>
      </w:r>
      <w:r w:rsidRPr="001155DE">
        <w:rPr>
          <w:rStyle w:val="libBold2Char"/>
          <w:rtl/>
        </w:rPr>
        <w:t xml:space="preserve"> / 2.</w:t>
      </w:r>
      <w:r w:rsidRPr="00020424">
        <w:rPr>
          <w:rtl/>
          <w:lang w:bidi="fa-IR"/>
        </w:rPr>
        <w:t xml:space="preserve"> عَلِيُّ بْنُ إِبْرَاهِيمَ ، عَنْ أَبِيهِ ، عَنِ ابْنِ أَبِي عُمَيْرٍ ، عَنْ أَبِي أَيُّوبَ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أَوَّلَ مَا بُعِثَ يَصُومُ حَتّى يُقَالَ : مَا يُفْطِرُ ، وَيُفْطِرُ حَتّى يُقَالَ : مَا يَصُومُ ، ثُمَّ تَرَكَ ذلِكَ ، وَصَامَ يَوْماً وَأَفْطَرَ يَوْماً ، وَهُوَ صَوْمُ دَاوُدَ </w:t>
      </w:r>
      <w:r w:rsidRPr="00005A81">
        <w:rPr>
          <w:rStyle w:val="libAlaemChar"/>
          <w:rtl/>
        </w:rPr>
        <w:t>عليه‌السلام</w:t>
      </w:r>
      <w:r w:rsidRPr="00020424">
        <w:rPr>
          <w:rtl/>
          <w:lang w:bidi="fa-IR"/>
        </w:rPr>
        <w:t xml:space="preserve"> ، ثُمَّ تَرَكَ ذلِكَ ، وَصَامَ الثَّلَاثَةَ الْأَيَّامِ الْغُرِّ </w:t>
      </w:r>
      <w:r w:rsidRPr="00A91B96">
        <w:rPr>
          <w:rStyle w:val="libFootnotenumChar"/>
          <w:rtl/>
        </w:rPr>
        <w:t>(3)</w:t>
      </w:r>
      <w:r w:rsidRPr="00020424">
        <w:rPr>
          <w:rtl/>
          <w:lang w:bidi="fa-IR"/>
        </w:rPr>
        <w:t xml:space="preserve"> ، ثُمَّ تَرَكَ ذلِكَ </w:t>
      </w:r>
      <w:r w:rsidRPr="00A91B96">
        <w:rPr>
          <w:rStyle w:val="libFootnotenumChar"/>
          <w:rtl/>
        </w:rPr>
        <w:t>(4)</w:t>
      </w:r>
      <w:r w:rsidRPr="00020424">
        <w:rPr>
          <w:rtl/>
          <w:lang w:bidi="fa-IR"/>
        </w:rPr>
        <w:t xml:space="preserve"> ، وَفَرَّقَهَا فِي كُلِّ عَشَرَةِ أَيَّامٍ </w:t>
      </w:r>
      <w:r w:rsidRPr="00A91B96">
        <w:rPr>
          <w:rStyle w:val="libFootnotenumChar"/>
          <w:rtl/>
        </w:rPr>
        <w:t>(5)</w:t>
      </w:r>
      <w:r w:rsidRPr="00020424">
        <w:rPr>
          <w:rtl/>
          <w:lang w:bidi="fa-IR"/>
        </w:rPr>
        <w:t xml:space="preserve"> يَوْمَا : خَمِيسَيْنِ بَيْنَهُمَا أَرْبِعَاءُ ، فَقُبِضَ </w:t>
      </w:r>
      <w:r w:rsidRPr="00A91B96">
        <w:rPr>
          <w:rStyle w:val="libFootnotenumChar"/>
          <w:rtl/>
        </w:rPr>
        <w:t>(6)</w:t>
      </w:r>
      <w:r>
        <w:rPr>
          <w:rtl/>
          <w:lang w:bidi="fa-IR"/>
        </w:rPr>
        <w:t xml:space="preserve"> </w:t>
      </w:r>
      <w:r w:rsidR="009B673F">
        <w:rPr>
          <w:rtl/>
          <w:lang w:bidi="fa-IR"/>
        </w:rPr>
        <w:t>-</w:t>
      </w:r>
      <w:r>
        <w:rPr>
          <w:rtl/>
          <w:lang w:bidi="fa-IR"/>
        </w:rPr>
        <w:t xml:space="preserve"> </w:t>
      </w:r>
      <w:r w:rsidRPr="00020424">
        <w:rPr>
          <w:rtl/>
          <w:lang w:bidi="fa-IR"/>
        </w:rPr>
        <w:t xml:space="preserve">عَلَيْهِ وَآلِهِ </w:t>
      </w:r>
      <w:r w:rsidRPr="00A91B96">
        <w:rPr>
          <w:rStyle w:val="libFootnotenumChar"/>
          <w:rtl/>
        </w:rPr>
        <w:t>(7)</w:t>
      </w:r>
      <w:r w:rsidRPr="00020424">
        <w:rPr>
          <w:rtl/>
          <w:lang w:bidi="fa-IR"/>
        </w:rPr>
        <w:t xml:space="preserve"> السَّلَامُ</w:t>
      </w:r>
      <w:r>
        <w:rPr>
          <w:rtl/>
          <w:lang w:bidi="fa-IR"/>
        </w:rPr>
        <w:t xml:space="preserve"> </w:t>
      </w:r>
      <w:r w:rsidR="009B673F">
        <w:rPr>
          <w:rtl/>
          <w:lang w:bidi="fa-IR"/>
        </w:rPr>
        <w:t>-</w:t>
      </w:r>
      <w:r>
        <w:rPr>
          <w:rtl/>
          <w:lang w:bidi="fa-IR"/>
        </w:rPr>
        <w:t xml:space="preserve"> </w:t>
      </w:r>
      <w:r w:rsidRPr="00020424">
        <w:rPr>
          <w:rtl/>
          <w:lang w:bidi="fa-IR"/>
        </w:rPr>
        <w:t xml:space="preserve">وَهُوَ يَعْمَلُ </w:t>
      </w:r>
      <w:r w:rsidRPr="00A91B96">
        <w:rPr>
          <w:rStyle w:val="libFootnotenumChar"/>
          <w:rtl/>
        </w:rPr>
        <w:t>(8)</w:t>
      </w:r>
      <w:r w:rsidRPr="00020424">
        <w:rPr>
          <w:rtl/>
          <w:lang w:bidi="fa-IR"/>
        </w:rPr>
        <w:t xml:space="preserve"> ذلِكَ</w:t>
      </w:r>
      <w:r>
        <w:rPr>
          <w:rtl/>
          <w:lang w:bidi="fa-IR"/>
        </w:rPr>
        <w:t xml:space="preserve"> ».</w:t>
      </w:r>
      <w:r w:rsidRPr="00020424">
        <w:rPr>
          <w:rtl/>
          <w:lang w:bidi="fa-IR"/>
        </w:rPr>
        <w:t xml:space="preserve"> </w:t>
      </w:r>
      <w:r w:rsidRPr="00A91B96">
        <w:rPr>
          <w:rStyle w:val="libFootnotenumChar"/>
          <w:rtl/>
        </w:rPr>
        <w:t>(9)</w:t>
      </w:r>
      <w:r w:rsidRPr="00020424">
        <w:rPr>
          <w:rtl/>
          <w:lang w:bidi="fa-IR"/>
        </w:rPr>
        <w:t>‌</w:t>
      </w:r>
    </w:p>
    <w:p w:rsidR="00992664" w:rsidRPr="00020424" w:rsidRDefault="00992664" w:rsidP="00992664">
      <w:pPr>
        <w:pStyle w:val="libNormal"/>
        <w:rPr>
          <w:rtl/>
          <w:lang w:bidi="fa-IR"/>
        </w:rPr>
      </w:pPr>
      <w:r w:rsidRPr="00B143A6">
        <w:rPr>
          <w:rtl/>
        </w:rPr>
        <w:t>6333</w:t>
      </w:r>
      <w:r w:rsidRPr="001155DE">
        <w:rPr>
          <w:rStyle w:val="libBold2Char"/>
          <w:rtl/>
        </w:rPr>
        <w:t xml:space="preserve"> / 3.</w:t>
      </w:r>
      <w:r w:rsidRPr="00020424">
        <w:rPr>
          <w:rtl/>
          <w:lang w:bidi="fa-IR"/>
        </w:rPr>
        <w:t xml:space="preserve"> عِدَّةٌ مِنْ أَصْحَابِنَا ، عَنْ سَهْلِ بْنِ زِيَادٍ ، عَنِ الْحَسَنِ بْنِ مَحْبُوبٍ ، عَنْ جَمِيلِ بْنِ صَالِحٍ ، عَنْ مُحَمَّدِ بْنِ مَرْوَانَ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xml:space="preserve">« الأيّام ، فصام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هذه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302 ، ح 913 ؛ </w:t>
      </w:r>
      <w:r w:rsidR="00992664" w:rsidRPr="00FD6221">
        <w:rPr>
          <w:rStyle w:val="libFootnoteBoldChar"/>
          <w:rtl/>
        </w:rPr>
        <w:t>والاستبصار</w:t>
      </w:r>
      <w:r w:rsidR="00992664" w:rsidRPr="00020424">
        <w:rPr>
          <w:rtl/>
        </w:rPr>
        <w:t xml:space="preserve"> ، ج 2 ، ص 136 ، ح 444 ، معلّقاً عن الكليني. </w:t>
      </w:r>
      <w:r w:rsidR="00992664" w:rsidRPr="0012008A">
        <w:rPr>
          <w:rStyle w:val="libFootnoteBoldChar"/>
          <w:rtl/>
        </w:rPr>
        <w:t>الفقيه</w:t>
      </w:r>
      <w:r w:rsidR="00992664" w:rsidRPr="00020424">
        <w:rPr>
          <w:rtl/>
        </w:rPr>
        <w:t xml:space="preserve"> ، ج 2 ، ص 82 ، ح 1786 ، معلّقاً عن حمّاد بن عثمان ؛ </w:t>
      </w:r>
      <w:r w:rsidR="00992664" w:rsidRPr="0012008A">
        <w:rPr>
          <w:rStyle w:val="libFootnoteBoldChar"/>
          <w:rtl/>
        </w:rPr>
        <w:t>ثواب الأعمال</w:t>
      </w:r>
      <w:r w:rsidR="00992664" w:rsidRPr="00020424">
        <w:rPr>
          <w:rtl/>
        </w:rPr>
        <w:t xml:space="preserve"> ، ص 105 ، ح 6 ، بسنده عن حمّاد بن عثمان. </w:t>
      </w:r>
      <w:r w:rsidR="00D64ADA" w:rsidRPr="00D64ADA">
        <w:rPr>
          <w:rStyle w:val="libFootnoteBoldChar"/>
          <w:rtl/>
        </w:rPr>
        <w:t>المحاسن</w:t>
      </w:r>
      <w:r w:rsidR="00992664" w:rsidRPr="00020424">
        <w:rPr>
          <w:rtl/>
        </w:rPr>
        <w:t xml:space="preserve"> ، ص 301 ، كتاب العلل ، ح 8 ، بسنده عن حمّاد بن عثمان ، عن أبي جعفر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المقنعة</w:t>
      </w:r>
      <w:r w:rsidR="00992664" w:rsidRPr="00020424">
        <w:rPr>
          <w:rtl/>
        </w:rPr>
        <w:t xml:space="preserve"> ، ص 376 ، مرسلاً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راجع : </w:t>
      </w:r>
      <w:r w:rsidR="00992664" w:rsidRPr="0012008A">
        <w:rPr>
          <w:rStyle w:val="libFootnoteBoldChar"/>
          <w:rtl/>
        </w:rPr>
        <w:t>ثواب الأعمال</w:t>
      </w:r>
      <w:r w:rsidR="00992664" w:rsidRPr="00020424">
        <w:rPr>
          <w:rtl/>
        </w:rPr>
        <w:t xml:space="preserve"> ، ص 105 ، ح 3 و5 و8 ؛ </w:t>
      </w:r>
      <w:r w:rsidR="00992664" w:rsidRPr="00FD6221">
        <w:rPr>
          <w:rStyle w:val="libFootnoteBoldChar"/>
          <w:rtl/>
        </w:rPr>
        <w:t>والخصال</w:t>
      </w:r>
      <w:r w:rsidR="00992664" w:rsidRPr="00020424">
        <w:rPr>
          <w:rtl/>
        </w:rPr>
        <w:t xml:space="preserve"> ، ص 160 ، باب الثلاثة ، ح 209 ، ح 1 </w:t>
      </w:r>
      <w:r w:rsidR="001625BA">
        <w:rPr>
          <w:rFonts w:hint="cs"/>
          <w:rtl/>
        </w:rPr>
        <w:t>.</w:t>
      </w:r>
      <w:r w:rsidR="00992664" w:rsidRPr="0012008A">
        <w:rPr>
          <w:rStyle w:val="libFootnoteBoldChar"/>
          <w:rtl/>
        </w:rPr>
        <w:t>الوافي</w:t>
      </w:r>
      <w:r w:rsidR="00992664" w:rsidRPr="00020424">
        <w:rPr>
          <w:rtl/>
        </w:rPr>
        <w:t xml:space="preserve"> ، ج 11 ، ص 43 ، ح 10375 ؛ </w:t>
      </w:r>
      <w:r w:rsidR="00992664" w:rsidRPr="0012008A">
        <w:rPr>
          <w:rStyle w:val="libFootnoteBoldChar"/>
          <w:rtl/>
        </w:rPr>
        <w:t>الوسائل</w:t>
      </w:r>
      <w:r w:rsidR="00992664" w:rsidRPr="00020424">
        <w:rPr>
          <w:rtl/>
        </w:rPr>
        <w:t xml:space="preserve"> ، ج 10 ، ص 415 ، ذيل ح 13735.</w:t>
      </w:r>
    </w:p>
    <w:p w:rsidR="00992664" w:rsidRPr="00020424" w:rsidRDefault="00795177" w:rsidP="001625BA">
      <w:pPr>
        <w:pStyle w:val="libFootnote0"/>
        <w:rPr>
          <w:rtl/>
          <w:lang w:bidi="fa-IR"/>
        </w:rPr>
      </w:pPr>
      <w:r>
        <w:rPr>
          <w:rtl/>
        </w:rPr>
        <w:t>(3).</w:t>
      </w:r>
      <w:r w:rsidR="0014403D">
        <w:rPr>
          <w:rtl/>
        </w:rPr>
        <w:t xml:space="preserve"> </w:t>
      </w:r>
      <w:r w:rsidR="00992664" w:rsidRPr="00020424">
        <w:rPr>
          <w:rtl/>
        </w:rPr>
        <w:t xml:space="preserve">« الأيّام الغرّ » أي الأيّام البيض الليالي بالقمر ، وهي ثالث عشر ورابع عشر وخامس عشر. </w:t>
      </w:r>
      <w:r w:rsidR="00992664" w:rsidRPr="0012008A">
        <w:rPr>
          <w:rStyle w:val="libFootnoteBoldChar"/>
          <w:rtl/>
        </w:rPr>
        <w:t>النهاية</w:t>
      </w:r>
      <w:r w:rsidR="00992664" w:rsidRPr="00020424">
        <w:rPr>
          <w:rtl/>
        </w:rPr>
        <w:t xml:space="preserve"> ، ج 3 ، ص 354 ( غرر )</w:t>
      </w:r>
      <w:r w:rsidR="00992664">
        <w:rPr>
          <w:rtl/>
        </w:rPr>
        <w:t>.</w:t>
      </w:r>
      <w:r w:rsidR="001625BA">
        <w:rPr>
          <w:rFonts w:hint="cs"/>
          <w:rtl/>
        </w:rPr>
        <w:t xml:space="preserve">       </w:t>
      </w:r>
      <w:r w:rsidR="00F27D90">
        <w:rPr>
          <w:rFonts w:hint="cs"/>
          <w:rtl/>
        </w:rPr>
        <w:t xml:space="preserve">                             </w:t>
      </w:r>
      <w:r w:rsidR="001625BA">
        <w:rPr>
          <w:rFonts w:hint="cs"/>
          <w:rtl/>
        </w:rPr>
        <w:t xml:space="preserve">    </w:t>
      </w:r>
      <w:r>
        <w:rPr>
          <w:rtl/>
        </w:rPr>
        <w:t>(4).</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ذلك</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بح ، بس ، جن »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أيّام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625BA" w:rsidTr="001625BA">
        <w:tc>
          <w:tcPr>
            <w:tcW w:w="4006" w:type="dxa"/>
          </w:tcPr>
          <w:p w:rsidR="001625BA" w:rsidRDefault="001625BA" w:rsidP="00992664">
            <w:pPr>
              <w:pStyle w:val="libFootnote0"/>
              <w:rPr>
                <w:rtl/>
              </w:rPr>
            </w:pPr>
            <w:r>
              <w:rPr>
                <w:rtl/>
              </w:rPr>
              <w:t xml:space="preserve">(6). </w:t>
            </w:r>
            <w:r w:rsidRPr="00020424">
              <w:rPr>
                <w:rtl/>
              </w:rPr>
              <w:t>في « ى » : « وقبض</w:t>
            </w:r>
            <w:r>
              <w:rPr>
                <w:rtl/>
              </w:rPr>
              <w:t xml:space="preserve"> ».</w:t>
            </w:r>
          </w:p>
        </w:tc>
        <w:tc>
          <w:tcPr>
            <w:tcW w:w="4006" w:type="dxa"/>
          </w:tcPr>
          <w:p w:rsidR="001625BA" w:rsidRDefault="001625BA" w:rsidP="00992664">
            <w:pPr>
              <w:pStyle w:val="libFootnote0"/>
              <w:rPr>
                <w:rtl/>
              </w:rPr>
            </w:pPr>
            <w:r>
              <w:rPr>
                <w:rtl/>
              </w:rPr>
              <w:t xml:space="preserve">(7). </w:t>
            </w:r>
            <w:r w:rsidRPr="00020424">
              <w:rPr>
                <w:rtl/>
              </w:rPr>
              <w:t xml:space="preserve">في « بح ، بخ » </w:t>
            </w:r>
            <w:r w:rsidRPr="00515444">
              <w:rPr>
                <w:rStyle w:val="libFootnoteBoldChar"/>
                <w:rtl/>
              </w:rPr>
              <w:t>والوافي</w:t>
            </w:r>
            <w:r w:rsidRPr="00020424">
              <w:rPr>
                <w:rtl/>
              </w:rPr>
              <w:t xml:space="preserve"> :</w:t>
            </w:r>
            <w:r>
              <w:rPr>
                <w:rtl/>
              </w:rPr>
              <w:t xml:space="preserve"> - </w:t>
            </w:r>
            <w:r w:rsidRPr="00020424">
              <w:rPr>
                <w:rtl/>
              </w:rPr>
              <w:t>« وآله</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يفعل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A722B1">
        <w:rPr>
          <w:rStyle w:val="libFootnoteBoldChar"/>
          <w:rtl/>
        </w:rPr>
        <w:t>الخصال</w:t>
      </w:r>
      <w:r w:rsidR="00992664" w:rsidRPr="00020424">
        <w:rPr>
          <w:rtl/>
        </w:rPr>
        <w:t xml:space="preserve"> ، ص 390 ، باب السبعة ، ح 80 ، بسنده عن محمّد بن أبي عمير. </w:t>
      </w:r>
      <w:r w:rsidR="00992664" w:rsidRPr="0012008A">
        <w:rPr>
          <w:rStyle w:val="libFootnoteBoldChar"/>
          <w:rtl/>
        </w:rPr>
        <w:t>المقنعة</w:t>
      </w:r>
      <w:r w:rsidR="00992664" w:rsidRPr="00020424">
        <w:rPr>
          <w:rtl/>
        </w:rPr>
        <w:t xml:space="preserve"> ، ص 370 ، مرسلاً ، وفيهما مع اختلاف يسير </w:t>
      </w:r>
      <w:r w:rsidR="0031001F">
        <w:rPr>
          <w:rFonts w:hint="cs"/>
          <w:rtl/>
        </w:rPr>
        <w:t>.</w:t>
      </w:r>
      <w:r w:rsidR="00992664" w:rsidRPr="0012008A">
        <w:rPr>
          <w:rStyle w:val="libFootnoteBoldChar"/>
          <w:rtl/>
        </w:rPr>
        <w:t>الوافي</w:t>
      </w:r>
      <w:r w:rsidR="00992664" w:rsidRPr="00020424">
        <w:rPr>
          <w:rtl/>
        </w:rPr>
        <w:t xml:space="preserve"> ، ج 11 ، ص 44 ، ح 10376 ؛ </w:t>
      </w:r>
      <w:r w:rsidR="00992664" w:rsidRPr="0012008A">
        <w:rPr>
          <w:rStyle w:val="libFootnoteBoldChar"/>
          <w:rtl/>
        </w:rPr>
        <w:t>الوسائل</w:t>
      </w:r>
      <w:r w:rsidR="00992664" w:rsidRPr="00020424">
        <w:rPr>
          <w:rtl/>
        </w:rPr>
        <w:t xml:space="preserve"> ، ج 10 ، ص 423 ، ح 13750 ؛ </w:t>
      </w:r>
      <w:r w:rsidR="00992664" w:rsidRPr="0012008A">
        <w:rPr>
          <w:rStyle w:val="libFootnoteBoldChar"/>
          <w:rtl/>
        </w:rPr>
        <w:t>البحار</w:t>
      </w:r>
      <w:r w:rsidR="00992664" w:rsidRPr="00020424">
        <w:rPr>
          <w:rtl/>
        </w:rPr>
        <w:t xml:space="preserve"> ، ج 16 ، ص 270 ، ح 85.</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كَانَ رَسُولُ اللهِ </w:t>
      </w:r>
      <w:r w:rsidR="00B42914" w:rsidRPr="00B42914">
        <w:rPr>
          <w:rStyle w:val="libAlaemChar"/>
          <w:rtl/>
        </w:rPr>
        <w:t>صلى‌الله‌عليه‌وآله‌</w:t>
      </w:r>
      <w:r w:rsidRPr="00020424">
        <w:rPr>
          <w:rtl/>
          <w:lang w:bidi="fa-IR"/>
        </w:rPr>
        <w:t xml:space="preserve"> يَصُومُ حَتّى يُقَالَ : لَايُفْطِرُ </w:t>
      </w:r>
      <w:r w:rsidRPr="00A91B96">
        <w:rPr>
          <w:rStyle w:val="libFootnotenumChar"/>
          <w:rtl/>
        </w:rPr>
        <w:t>(1)</w:t>
      </w:r>
      <w:r w:rsidRPr="00020424">
        <w:rPr>
          <w:rtl/>
          <w:lang w:bidi="fa-IR"/>
        </w:rPr>
        <w:t xml:space="preserve"> ، ثُمَّ صَامَ يَوْماً وَأَفْطَرَ يَوْماً ، ثُمَّ صَامَ الْإِثْنَيْنَ وَالْخَمِيسَ ، ثُمَّ آلَ مِنْ ذلِكَ إِلى صِيَامِ ث</w:t>
      </w:r>
      <w:r w:rsidR="00F13CCC">
        <w:rPr>
          <w:rtl/>
          <w:lang w:bidi="fa-IR"/>
        </w:rPr>
        <w:t>َلَاثَةِ أَيَّامٍ فِي الشَّهْرِ</w:t>
      </w:r>
      <w:r w:rsidRPr="00020424">
        <w:rPr>
          <w:rtl/>
          <w:lang w:bidi="fa-IR"/>
        </w:rPr>
        <w:t xml:space="preserve">: الْخَمِيسِ فِي أَوَّلِ الشَّهْرِ ، وَأَرْبِعَاءَ فِي وَسَطِ الشَّهْرِ ، وَخَمِيسٍ فِي آخِرِ الشَّهْرِ ، وَكَانَ يَقُولُ : ذلِكَ صَوْمُ الدَّهْرِ ، وَقَدْ كَانَ أَبِي </w:t>
      </w:r>
      <w:r w:rsidRPr="00005A81">
        <w:rPr>
          <w:rStyle w:val="libAlaemChar"/>
          <w:rtl/>
        </w:rPr>
        <w:t>عليه‌السلام</w:t>
      </w:r>
      <w:r w:rsidRPr="00020424">
        <w:rPr>
          <w:rtl/>
          <w:lang w:bidi="fa-IR"/>
        </w:rPr>
        <w:t xml:space="preserve"> يَقُولُ : مَا مِنْ أَحَدٍ أَبْغَضَ إِلَيَّ </w:t>
      </w:r>
      <w:r w:rsidRPr="00A91B96">
        <w:rPr>
          <w:rStyle w:val="libFootnotenumChar"/>
          <w:rtl/>
        </w:rPr>
        <w:t>(2)</w:t>
      </w:r>
      <w:r w:rsidRPr="00020424">
        <w:rPr>
          <w:rtl/>
          <w:lang w:bidi="fa-IR"/>
        </w:rPr>
        <w:t xml:space="preserve"> مِنْ رَجُلٍ يُقَالُ لَهُ : كَانَ رَسُولُ اللهِ </w:t>
      </w:r>
      <w:r w:rsidR="00B42914" w:rsidRPr="00B42914">
        <w:rPr>
          <w:rStyle w:val="libAlaemChar"/>
          <w:rtl/>
        </w:rPr>
        <w:t>صلى‌الله‌عليه‌وآله‌</w:t>
      </w:r>
      <w:r w:rsidRPr="00020424">
        <w:rPr>
          <w:rtl/>
          <w:lang w:bidi="fa-IR"/>
        </w:rPr>
        <w:t xml:space="preserve"> يَفْعَلُ كَذا وَكَذا ، فَيَقُولُ : لَايُعَذِّبُنِي اللهُ عَلى أَنْ أَجْتَهِدَ </w:t>
      </w:r>
      <w:r w:rsidRPr="00A91B96">
        <w:rPr>
          <w:rStyle w:val="libFootnotenumChar"/>
          <w:rtl/>
        </w:rPr>
        <w:t>(3)</w:t>
      </w:r>
      <w:r w:rsidRPr="00020424">
        <w:rPr>
          <w:rtl/>
          <w:lang w:bidi="fa-IR"/>
        </w:rPr>
        <w:t xml:space="preserve"> فِي الصَّلَاةِ </w:t>
      </w:r>
      <w:r w:rsidRPr="00A91B96">
        <w:rPr>
          <w:rStyle w:val="libFootnotenumChar"/>
          <w:rtl/>
        </w:rPr>
        <w:t>(4)</w:t>
      </w:r>
      <w:r w:rsidRPr="00020424">
        <w:rPr>
          <w:rtl/>
          <w:lang w:bidi="fa-IR"/>
        </w:rPr>
        <w:t xml:space="preserve"> ، كَأَنَّهُ </w:t>
      </w:r>
      <w:r w:rsidRPr="00A91B96">
        <w:rPr>
          <w:rStyle w:val="libFootnotenumChar"/>
          <w:rtl/>
        </w:rPr>
        <w:t>(5)</w:t>
      </w:r>
      <w:r w:rsidRPr="00020424">
        <w:rPr>
          <w:rtl/>
          <w:lang w:bidi="fa-IR"/>
        </w:rPr>
        <w:t xml:space="preserve"> يَرى أَنَّ رَسُولَ اللهِ </w:t>
      </w:r>
      <w:r w:rsidR="00B42914" w:rsidRPr="00B42914">
        <w:rPr>
          <w:rStyle w:val="libAlaemChar"/>
          <w:rtl/>
        </w:rPr>
        <w:t>صلى‌الله‌عليه‌وآله‌</w:t>
      </w:r>
      <w:r w:rsidRPr="00020424">
        <w:rPr>
          <w:rtl/>
          <w:lang w:bidi="fa-IR"/>
        </w:rPr>
        <w:t xml:space="preserve"> تَرَكَ شَيْئاً مِنَ الْفَضْلِ عَجْزاً عَنْهُ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143A6">
        <w:rPr>
          <w:rtl/>
        </w:rPr>
        <w:t>6334</w:t>
      </w:r>
      <w:r w:rsidRPr="001155DE">
        <w:rPr>
          <w:rStyle w:val="libBold2Char"/>
          <w:rtl/>
        </w:rPr>
        <w:t xml:space="preserve"> / 4.</w:t>
      </w:r>
      <w:r w:rsidRPr="00020424">
        <w:rPr>
          <w:rtl/>
          <w:lang w:bidi="fa-IR"/>
        </w:rPr>
        <w:t xml:space="preserve"> عَلِيُّ بْنُ إِبْرَاهِيمَ ، عَنْ أَبِيهِ ، عَنِ ابْنِ أَبِي عُمَيْرٍ ، عَنْ حَفْصِ بْنِ الْبَخْتَرِيِّ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كُنَّ </w:t>
      </w:r>
      <w:r w:rsidRPr="00A91B96">
        <w:rPr>
          <w:rStyle w:val="libFootnotenumChar"/>
          <w:rtl/>
        </w:rPr>
        <w:t>(7)</w:t>
      </w:r>
      <w:r w:rsidRPr="00020424">
        <w:rPr>
          <w:rtl/>
          <w:lang w:bidi="fa-IR"/>
        </w:rPr>
        <w:t xml:space="preserve"> نِسَاءُ النَّبِيِّ </w:t>
      </w:r>
      <w:r w:rsidR="00B42914" w:rsidRPr="00B42914">
        <w:rPr>
          <w:rStyle w:val="libAlaemChar"/>
          <w:rtl/>
        </w:rPr>
        <w:t>صلى‌الله‌عليه‌وآله‌</w:t>
      </w:r>
      <w:r w:rsidRPr="00020424">
        <w:rPr>
          <w:rtl/>
          <w:lang w:bidi="fa-IR"/>
        </w:rPr>
        <w:t xml:space="preserve"> إِذَا كَانَ عَلَيْهِنَّ صِيَامٌ ، أَخَّرْنَ ذلِكَ إِلى شَعْبَانَ ؛ كَرَاهَةَ </w:t>
      </w:r>
      <w:r w:rsidRPr="00A91B96">
        <w:rPr>
          <w:rStyle w:val="libFootnotenumChar"/>
          <w:rtl/>
        </w:rPr>
        <w:t>(8)</w:t>
      </w:r>
      <w:r w:rsidRPr="00020424">
        <w:rPr>
          <w:rtl/>
          <w:lang w:bidi="fa-IR"/>
        </w:rPr>
        <w:t xml:space="preserve"> أَنْ يَمْنَعْنَ رَسُولَ اللهِ </w:t>
      </w:r>
      <w:r w:rsidR="00B42914" w:rsidRPr="00B42914">
        <w:rPr>
          <w:rStyle w:val="libAlaemChar"/>
          <w:rtl/>
        </w:rPr>
        <w:t>صلى‌الله‌عليه‌وآله‌</w:t>
      </w:r>
      <w:r w:rsidRPr="00020424">
        <w:rPr>
          <w:rtl/>
          <w:lang w:bidi="fa-IR"/>
        </w:rPr>
        <w:t xml:space="preserve"> </w:t>
      </w:r>
      <w:r w:rsidRPr="00A91B96">
        <w:rPr>
          <w:rStyle w:val="libFootnotenumChar"/>
          <w:rtl/>
        </w:rPr>
        <w:t>(9)</w:t>
      </w:r>
      <w:r w:rsidRPr="00020424">
        <w:rPr>
          <w:rtl/>
          <w:lang w:bidi="fa-IR"/>
        </w:rPr>
        <w:t xml:space="preserve"> ، فَإِذَا كَانَ شَعْبَانُ صُمْنَ </w:t>
      </w:r>
      <w:r w:rsidRPr="00A91B96">
        <w:rPr>
          <w:rStyle w:val="libFootnotenumChar"/>
          <w:rtl/>
        </w:rPr>
        <w:t>(10)</w:t>
      </w:r>
      <w:r w:rsidRPr="00020424">
        <w:rPr>
          <w:rtl/>
          <w:lang w:bidi="fa-IR"/>
        </w:rPr>
        <w:t xml:space="preserve"> ، وَكَانَ رَسُولُ اللهِ </w:t>
      </w:r>
      <w:r w:rsidR="00B42914" w:rsidRPr="00B42914">
        <w:rPr>
          <w:rStyle w:val="libAlaemChar"/>
          <w:rtl/>
        </w:rPr>
        <w:t>صلى‌الله‌عليه‌وآله‌</w:t>
      </w:r>
      <w:r w:rsidRPr="00020424">
        <w:rPr>
          <w:rtl/>
          <w:lang w:bidi="fa-IR"/>
        </w:rPr>
        <w:t xml:space="preserve"> يَقُولُ : شَعْبَانُ شَهْرِي</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بف » </w:t>
      </w:r>
      <w:r w:rsidR="00992664" w:rsidRPr="00F13CCC">
        <w:rPr>
          <w:rtl/>
        </w:rPr>
        <w:t>والوافي والفقيه وثواب الأعمال : +</w:t>
      </w:r>
      <w:r w:rsidR="00992664" w:rsidRPr="00020424">
        <w:rPr>
          <w:rtl/>
        </w:rPr>
        <w:t xml:space="preserve"> « ويفطر حتّى يقال : لا يصوم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إلى الله عزّوجلّ » بدل « إليّ</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11 ، ص 253 : « قوله </w:t>
      </w:r>
      <w:r w:rsidR="00992664" w:rsidRPr="00D64ADA">
        <w:rPr>
          <w:rStyle w:val="libFootnoteAlaemChar"/>
          <w:rtl/>
        </w:rPr>
        <w:t>عليه‌السلام</w:t>
      </w:r>
      <w:r w:rsidR="00992664" w:rsidRPr="00020424">
        <w:rPr>
          <w:rtl/>
        </w:rPr>
        <w:t xml:space="preserve"> : ما من أحد أبغض إليّ ، لعلّه محمول على ما إذا زاد بقصد السنّة بأن أدخلها في السنّة ، أو على قصد الزيادة على عمل الرسول </w:t>
      </w:r>
      <w:r w:rsidR="00D64ADA" w:rsidRPr="00D64ADA">
        <w:rPr>
          <w:rStyle w:val="libFootnoteAlaemChar"/>
          <w:rtl/>
        </w:rPr>
        <w:t>صلى‌الله‌عليه‌وآله</w:t>
      </w:r>
      <w:r w:rsidR="00B42914" w:rsidRPr="00B42914">
        <w:rPr>
          <w:rStyle w:val="libAlaemChar"/>
          <w:rtl/>
        </w:rPr>
        <w:t>‌</w:t>
      </w:r>
      <w:r w:rsidR="00F13CCC">
        <w:rPr>
          <w:rtl/>
        </w:rPr>
        <w:t xml:space="preserve"> واستقلال عمله ؛ لئل</w:t>
      </w:r>
      <w:r w:rsidR="00F13CCC">
        <w:rPr>
          <w:rFonts w:hint="cs"/>
          <w:rtl/>
        </w:rPr>
        <w:t>ّ</w:t>
      </w:r>
      <w:r w:rsidR="00F13CCC">
        <w:rPr>
          <w:rtl/>
        </w:rPr>
        <w:t>ا</w:t>
      </w:r>
      <w:r w:rsidR="00992664" w:rsidRPr="00020424">
        <w:rPr>
          <w:rtl/>
        </w:rPr>
        <w:t xml:space="preserve"> ينافي ما ورد من الفضل في سائر أنواع الصيام والصلاة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13CCC" w:rsidTr="00F13CCC">
        <w:tc>
          <w:tcPr>
            <w:tcW w:w="4006" w:type="dxa"/>
          </w:tcPr>
          <w:p w:rsidR="00F13CCC" w:rsidRDefault="00F13CCC" w:rsidP="00992664">
            <w:pPr>
              <w:pStyle w:val="libFootnote0"/>
              <w:rPr>
                <w:rtl/>
              </w:rPr>
            </w:pPr>
            <w:r>
              <w:rPr>
                <w:rtl/>
              </w:rPr>
              <w:t xml:space="preserve">(3). </w:t>
            </w:r>
            <w:r w:rsidRPr="00020424">
              <w:rPr>
                <w:rtl/>
              </w:rPr>
              <w:t>في « بخ ، بر ، بف » : « أن أجهد</w:t>
            </w:r>
            <w:r>
              <w:rPr>
                <w:rtl/>
              </w:rPr>
              <w:t xml:space="preserve"> ».</w:t>
            </w:r>
          </w:p>
        </w:tc>
        <w:tc>
          <w:tcPr>
            <w:tcW w:w="4006" w:type="dxa"/>
          </w:tcPr>
          <w:p w:rsidR="00F13CCC" w:rsidRDefault="00F13CCC" w:rsidP="00992664">
            <w:pPr>
              <w:pStyle w:val="libFootnote0"/>
              <w:rPr>
                <w:rtl/>
              </w:rPr>
            </w:pPr>
            <w:r>
              <w:rPr>
                <w:rtl/>
              </w:rPr>
              <w:t xml:space="preserve">(4). </w:t>
            </w:r>
            <w:r w:rsidRPr="00020424">
              <w:rPr>
                <w:rtl/>
              </w:rPr>
              <w:t xml:space="preserve">في « بف » </w:t>
            </w:r>
            <w:r w:rsidRPr="00515444">
              <w:rPr>
                <w:rStyle w:val="libFootnoteBoldChar"/>
                <w:rtl/>
              </w:rPr>
              <w:t>والوافي</w:t>
            </w:r>
            <w:r w:rsidRPr="00020424">
              <w:rPr>
                <w:rtl/>
              </w:rPr>
              <w:t xml:space="preserve"> </w:t>
            </w:r>
            <w:r w:rsidRPr="00FD6221">
              <w:rPr>
                <w:rStyle w:val="libFootnoteBoldChar"/>
                <w:rtl/>
              </w:rPr>
              <w:t>والفقيه</w:t>
            </w:r>
            <w:r w:rsidRPr="00020424">
              <w:rPr>
                <w:rtl/>
              </w:rPr>
              <w:t xml:space="preserve"> : + « والصوم</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وكان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81 ، ح 1785 ، معلّقاً عن الحسن بن محبوب ؛ </w:t>
      </w:r>
      <w:r w:rsidR="00992664" w:rsidRPr="0012008A">
        <w:rPr>
          <w:rStyle w:val="libFootnoteBoldChar"/>
          <w:rtl/>
        </w:rPr>
        <w:t>ثواب الأعمال</w:t>
      </w:r>
      <w:r w:rsidR="00992664" w:rsidRPr="00020424">
        <w:rPr>
          <w:rtl/>
        </w:rPr>
        <w:t xml:space="preserve"> ، ص 104 ، ح 1 ، بسنده عن الحسين بن محبوب </w:t>
      </w:r>
      <w:r w:rsidR="004D34D6">
        <w:rPr>
          <w:rFonts w:hint="cs"/>
          <w:rtl/>
        </w:rPr>
        <w:t>.</w:t>
      </w:r>
      <w:r w:rsidR="00992664" w:rsidRPr="0012008A">
        <w:rPr>
          <w:rStyle w:val="libFootnoteBoldChar"/>
          <w:rtl/>
        </w:rPr>
        <w:t>الوافي</w:t>
      </w:r>
      <w:r w:rsidR="00992664" w:rsidRPr="00020424">
        <w:rPr>
          <w:rtl/>
        </w:rPr>
        <w:t xml:space="preserve"> ، ج 11 ، ص 44 ، ح 10377 ؛ </w:t>
      </w:r>
      <w:r w:rsidR="00992664" w:rsidRPr="0012008A">
        <w:rPr>
          <w:rStyle w:val="libFootnoteBoldChar"/>
          <w:rtl/>
        </w:rPr>
        <w:t>الوسائل</w:t>
      </w:r>
      <w:r w:rsidR="00992664" w:rsidRPr="00020424">
        <w:rPr>
          <w:rtl/>
        </w:rPr>
        <w:t xml:space="preserve"> ، ج 1 ، ص 110 ، ذيل ح 271 ؛ وج 10 ، ص 417 ، ذيل ح 13739 ؛ </w:t>
      </w:r>
      <w:r w:rsidR="00992664" w:rsidRPr="0012008A">
        <w:rPr>
          <w:rStyle w:val="libFootnoteBoldChar"/>
          <w:rtl/>
        </w:rPr>
        <w:t>البحار</w:t>
      </w:r>
      <w:r w:rsidR="00992664" w:rsidRPr="00020424">
        <w:rPr>
          <w:rtl/>
        </w:rPr>
        <w:t xml:space="preserve"> ، ج 16 ، ص 270 ، ح 86.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عن بعض النسخ : « إنّ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بخ ، بف » </w:t>
      </w:r>
      <w:r w:rsidR="00992664" w:rsidRPr="004D34D6">
        <w:rPr>
          <w:rtl/>
        </w:rPr>
        <w:t>والفقيه والتهذيب وثواب الأعمال وفضائل الأشهر الثلاثة : «</w:t>
      </w:r>
      <w:r w:rsidR="00992664" w:rsidRPr="00020424">
        <w:rPr>
          <w:rtl/>
        </w:rPr>
        <w:t xml:space="preserve"> كراهية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بف </w:t>
      </w:r>
      <w:r w:rsidR="00992664" w:rsidRPr="004D34D6">
        <w:rPr>
          <w:rtl/>
        </w:rPr>
        <w:t>» والوافي والتهذيب وثواب الأعمال وفضائل الأشهر الثلاثة :</w:t>
      </w:r>
      <w:r w:rsidR="00992664" w:rsidRPr="00020424">
        <w:rPr>
          <w:rtl/>
        </w:rPr>
        <w:t xml:space="preserve"> + « حاجته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بح » </w:t>
      </w:r>
      <w:r w:rsidR="00992664" w:rsidRPr="00EB1FD9">
        <w:rPr>
          <w:rStyle w:val="libFootnoteBoldChar"/>
          <w:rtl/>
        </w:rPr>
        <w:t>والوسائل</w:t>
      </w:r>
      <w:r w:rsidR="00992664" w:rsidRPr="00020424">
        <w:rPr>
          <w:rtl/>
        </w:rPr>
        <w:t xml:space="preserve"> ، ح 13569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ص </w:t>
      </w:r>
      <w:r w:rsidR="00992664" w:rsidRPr="004D34D6">
        <w:rPr>
          <w:rtl/>
        </w:rPr>
        <w:t>316 وثواب الأعمال وفضائل الأشهر الثلاثة</w:t>
      </w:r>
      <w:r w:rsidR="00992664" w:rsidRPr="00020424">
        <w:rPr>
          <w:rtl/>
        </w:rPr>
        <w:t xml:space="preserve"> : + « وصام معهنّ</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13914 : + « صام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308 ، ح 932 ، معلّقاً عن الكليني. </w:t>
      </w:r>
      <w:r w:rsidR="00992664" w:rsidRPr="00DE76B9">
        <w:rPr>
          <w:rStyle w:val="libFootnoteBoldChar"/>
          <w:rtl/>
        </w:rPr>
        <w:t>فضائل الأشهر الثلاثة</w:t>
      </w:r>
      <w:r w:rsidR="00992664" w:rsidRPr="00020424">
        <w:rPr>
          <w:rtl/>
        </w:rPr>
        <w:t xml:space="preserve"> ، ص 59 ، ح 39 ، عن </w:t>
      </w:r>
      <w:r w:rsidR="004D34D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58053F">
        <w:rPr>
          <w:rtl/>
        </w:rPr>
        <w:t>6335</w:t>
      </w:r>
      <w:r w:rsidRPr="001155DE">
        <w:rPr>
          <w:rStyle w:val="libBold2Char"/>
          <w:rtl/>
        </w:rPr>
        <w:t xml:space="preserve"> / 5.</w:t>
      </w:r>
      <w:r w:rsidRPr="00020424">
        <w:rPr>
          <w:rtl/>
          <w:lang w:bidi="fa-IR"/>
        </w:rPr>
        <w:t xml:space="preserve"> مُحَمَّدُ بْنُ يَحْيى ، عَنْ أَحْمَدَ بْنِ مُحَمَّدٍ ، عَنْ عُثْمَانَ بْنِ</w:t>
      </w:r>
      <w:r w:rsidR="00D15DB9">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هَلْ صَامَ أَحَدٌ مِنْ آبَائِكَ شَعْبَانَ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 خَيْرُ آبَائِي رَسُولُ اللهِ </w:t>
      </w:r>
      <w:r w:rsidR="00B42914" w:rsidRPr="00B42914">
        <w:rPr>
          <w:rStyle w:val="libAlaemChar"/>
          <w:rtl/>
        </w:rPr>
        <w:t>صلى‌الله‌عليه‌وآله‌</w:t>
      </w:r>
      <w:r w:rsidRPr="00020424">
        <w:rPr>
          <w:rtl/>
          <w:lang w:bidi="fa-IR"/>
        </w:rPr>
        <w:t xml:space="preserve"> صَامَهُ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F8714A" w:rsidRDefault="00992664" w:rsidP="00F8714A">
      <w:pPr>
        <w:pStyle w:val="libNormal"/>
        <w:rPr>
          <w:rtl/>
          <w:lang w:bidi="fa-IR"/>
        </w:rPr>
      </w:pPr>
      <w:r w:rsidRPr="0058053F">
        <w:rPr>
          <w:rtl/>
        </w:rPr>
        <w:t>6336</w:t>
      </w:r>
      <w:r w:rsidRPr="001155DE">
        <w:rPr>
          <w:rStyle w:val="libBold2Char"/>
          <w:rtl/>
        </w:rPr>
        <w:t xml:space="preserve"> / 6.</w:t>
      </w:r>
      <w:r w:rsidRPr="00020424">
        <w:rPr>
          <w:rtl/>
          <w:lang w:bidi="fa-IR"/>
        </w:rPr>
        <w:t xml:space="preserve"> أَبُو عَلِيٍّ الْأَشْعَرِيُّ ، عَنْ مُحَمَّدِ بْنِ عَبْدِ الْجَبَّارِ ؛</w:t>
      </w:r>
    </w:p>
    <w:p w:rsidR="00992664" w:rsidRPr="00020424" w:rsidRDefault="00F8714A" w:rsidP="00F8714A">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صَفْوَانَ ، عَنِ ابْنِ مُسْكَانَ ، عَنِ الْحَلَبِيِّ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هَلْ صَامَ أَحَدٌ مِنْ آبَائِكَ شَعْبَانَ قَطُّ</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صَامَهُ خَيْرُ آبَائِي رَسُولُ اللهِ </w:t>
      </w:r>
      <w:r w:rsidR="00B42914" w:rsidRPr="00B42914">
        <w:rPr>
          <w:rStyle w:val="libAlaemChar"/>
          <w:rtl/>
        </w:rPr>
        <w:t>صلى‌الله‌عليه‌وآله‌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544142" w:rsidP="00785509">
      <w:pPr>
        <w:pStyle w:val="libFootnote0"/>
        <w:rPr>
          <w:rtl/>
          <w:lang w:bidi="fa-IR"/>
        </w:rPr>
      </w:pPr>
      <w:r>
        <w:rPr>
          <w:rFonts w:hint="cs"/>
          <w:rtl/>
        </w:rPr>
        <w:t xml:space="preserve">= </w:t>
      </w:r>
      <w:r w:rsidR="00992664" w:rsidRPr="00020424">
        <w:rPr>
          <w:rtl/>
        </w:rPr>
        <w:t xml:space="preserve">عليّ بن إبراهيم. وفي </w:t>
      </w:r>
      <w:r w:rsidR="00992664" w:rsidRPr="0012008A">
        <w:rPr>
          <w:rStyle w:val="libFootnoteBoldChar"/>
          <w:rtl/>
        </w:rPr>
        <w:t>التهذيب</w:t>
      </w:r>
      <w:r w:rsidR="00992664" w:rsidRPr="00020424">
        <w:rPr>
          <w:rtl/>
        </w:rPr>
        <w:t xml:space="preserve"> ، ج 4 ، ص 316 ، ح 96 ؛ </w:t>
      </w:r>
      <w:r w:rsidR="00992664" w:rsidRPr="006C7A1F">
        <w:rPr>
          <w:rStyle w:val="libFootnoteBoldChar"/>
          <w:rtl/>
        </w:rPr>
        <w:t>وثواب الأعمال</w:t>
      </w:r>
      <w:r w:rsidR="00992664" w:rsidRPr="00020424">
        <w:rPr>
          <w:rtl/>
        </w:rPr>
        <w:t xml:space="preserve"> ، ص 85 ، ح 9 ، بسندهما عن ابن أبي عمير. </w:t>
      </w:r>
      <w:r w:rsidR="00992664" w:rsidRPr="0012008A">
        <w:rPr>
          <w:rStyle w:val="libFootnoteBoldChar"/>
          <w:rtl/>
        </w:rPr>
        <w:t>الفقيه</w:t>
      </w:r>
      <w:r w:rsidR="00992664" w:rsidRPr="00020424">
        <w:rPr>
          <w:rtl/>
        </w:rPr>
        <w:t xml:space="preserve"> ، ج 2 ، ص 94 ، ح 1828 ، من دون الإسناد إلى المعصوم </w:t>
      </w:r>
      <w:r w:rsidR="00992664" w:rsidRPr="00D64ADA">
        <w:rPr>
          <w:rStyle w:val="libFootnoteAlaemChar"/>
          <w:rtl/>
        </w:rPr>
        <w:t>عليه‌السلام</w:t>
      </w:r>
      <w:r w:rsidR="00992664" w:rsidRPr="00020424">
        <w:rPr>
          <w:rtl/>
        </w:rPr>
        <w:t xml:space="preserve">. وورد قطعة : « شعبان شهري » بأسانيد مختلفة في هذه المصادر : </w:t>
      </w:r>
      <w:r w:rsidR="00992664" w:rsidRPr="00E82BAA">
        <w:rPr>
          <w:rStyle w:val="libFootnoteBoldChar"/>
          <w:rtl/>
        </w:rPr>
        <w:t>النوادر للأشعري</w:t>
      </w:r>
      <w:r w:rsidR="00992664" w:rsidRPr="00020424">
        <w:rPr>
          <w:rtl/>
        </w:rPr>
        <w:t xml:space="preserve"> ، ص 16 ، ح 2 ؛ </w:t>
      </w:r>
      <w:r w:rsidR="00992664" w:rsidRPr="00DE76B9">
        <w:rPr>
          <w:rStyle w:val="libFootnoteBoldChar"/>
          <w:rtl/>
        </w:rPr>
        <w:t>الجعفريّات</w:t>
      </w:r>
      <w:r w:rsidR="00992664" w:rsidRPr="00020424">
        <w:rPr>
          <w:rtl/>
        </w:rPr>
        <w:t xml:space="preserve"> ، ص 58 ؛ </w:t>
      </w:r>
      <w:r w:rsidR="00992664" w:rsidRPr="00587829">
        <w:rPr>
          <w:rStyle w:val="libFootnoteBoldChar"/>
          <w:rtl/>
        </w:rPr>
        <w:t>الأمالي للصدوق</w:t>
      </w:r>
      <w:r w:rsidR="00992664" w:rsidRPr="00020424">
        <w:rPr>
          <w:rtl/>
        </w:rPr>
        <w:t xml:space="preserve"> ، ص 19 ، المجلس 6 ، ح 1 ؛ وص 628 ، المجلس 91 ، ح 5 ؛ </w:t>
      </w:r>
      <w:r w:rsidR="00992664" w:rsidRPr="0012008A">
        <w:rPr>
          <w:rStyle w:val="libFootnoteBoldChar"/>
          <w:rtl/>
        </w:rPr>
        <w:t>ثواب الأعمال</w:t>
      </w:r>
      <w:r w:rsidR="00992664" w:rsidRPr="00020424">
        <w:rPr>
          <w:rtl/>
        </w:rPr>
        <w:t xml:space="preserve"> ، ص 78 ، ح 4 ؛ وص 84 ، ح 5 ؛ </w:t>
      </w:r>
      <w:r w:rsidR="00992664" w:rsidRPr="00DE76B9">
        <w:rPr>
          <w:rStyle w:val="libFootnoteBoldChar"/>
          <w:rtl/>
        </w:rPr>
        <w:t>فضائل الأشهر الثلاثة</w:t>
      </w:r>
      <w:r w:rsidR="00992664" w:rsidRPr="00020424">
        <w:rPr>
          <w:rtl/>
        </w:rPr>
        <w:t xml:space="preserve"> ، ص 43 ، ح 20 ؛ وص 54 ، ح 32 ؛ وص 55 ، ح 33 ؛ وص 58 ، ح 37 ؛ وص 61 ، ح 43 ؛ وص 115 ، ح 110 ؛ </w:t>
      </w:r>
      <w:r w:rsidR="00992664" w:rsidRPr="00DE76B9">
        <w:rPr>
          <w:rStyle w:val="libFootnoteBoldChar"/>
          <w:rtl/>
        </w:rPr>
        <w:t>تحف العقول</w:t>
      </w:r>
      <w:r w:rsidR="00992664" w:rsidRPr="00020424">
        <w:rPr>
          <w:rtl/>
        </w:rPr>
        <w:t xml:space="preserve"> ، ص 419 ؛ </w:t>
      </w:r>
      <w:r w:rsidR="00992664" w:rsidRPr="00DE3E80">
        <w:rPr>
          <w:rStyle w:val="libFootnoteBoldChar"/>
          <w:rtl/>
        </w:rPr>
        <w:t>والمقنعة</w:t>
      </w:r>
      <w:r w:rsidR="00992664" w:rsidRPr="00020424">
        <w:rPr>
          <w:rtl/>
        </w:rPr>
        <w:t xml:space="preserve"> ، ص 370 </w:t>
      </w:r>
      <w:r w:rsidR="00785509">
        <w:rPr>
          <w:rFonts w:hint="cs"/>
          <w:rtl/>
        </w:rPr>
        <w:t>.</w:t>
      </w:r>
      <w:r w:rsidR="00992664" w:rsidRPr="0012008A">
        <w:rPr>
          <w:rStyle w:val="libFootnoteBoldChar"/>
          <w:rtl/>
        </w:rPr>
        <w:t>الوافي</w:t>
      </w:r>
      <w:r w:rsidR="00992664" w:rsidRPr="00020424">
        <w:rPr>
          <w:rtl/>
        </w:rPr>
        <w:t xml:space="preserve"> ، ج 11 ، ص 60 ، ح 10415 ؛ </w:t>
      </w:r>
      <w:r w:rsidR="00992664" w:rsidRPr="0012008A">
        <w:rPr>
          <w:rStyle w:val="libFootnoteBoldChar"/>
          <w:rtl/>
        </w:rPr>
        <w:t>الوسائل</w:t>
      </w:r>
      <w:r w:rsidR="00992664" w:rsidRPr="00020424">
        <w:rPr>
          <w:rtl/>
        </w:rPr>
        <w:t xml:space="preserve"> ، ج 10 ، ص 486 ، ح 13914 ؛ </w:t>
      </w:r>
      <w:r w:rsidR="00992664" w:rsidRPr="00DE76B9">
        <w:rPr>
          <w:rStyle w:val="libFootnoteBoldChar"/>
          <w:rtl/>
        </w:rPr>
        <w:t>وفيه</w:t>
      </w:r>
      <w:r w:rsidR="00992664" w:rsidRPr="00020424">
        <w:rPr>
          <w:rtl/>
        </w:rPr>
        <w:t xml:space="preserve"> ، ص 345 ، ح 13569 ، إلى قوله : « فإذا كان شعبان صمن » ؛ </w:t>
      </w:r>
      <w:r w:rsidR="00992664" w:rsidRPr="0012008A">
        <w:rPr>
          <w:rStyle w:val="libFootnoteBoldChar"/>
          <w:rtl/>
        </w:rPr>
        <w:t>البحار</w:t>
      </w:r>
      <w:r w:rsidR="00992664" w:rsidRPr="00020424">
        <w:rPr>
          <w:rtl/>
        </w:rPr>
        <w:t xml:space="preserve"> ، ج 16 ، ص 270 ، ح 87.</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قطّ</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930 </w:t>
      </w:r>
      <w:r w:rsidR="00992664" w:rsidRPr="006C7A1F">
        <w:rPr>
          <w:rStyle w:val="libFootnoteBoldChar"/>
          <w:rtl/>
        </w:rPr>
        <w:t>وثواب الأعمال</w:t>
      </w:r>
      <w:r w:rsidR="00992664" w:rsidRPr="00020424">
        <w:rPr>
          <w:rtl/>
        </w:rPr>
        <w:t xml:space="preserve"> ، ح 11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308 ، ح 930 ، معلّقاً عن الكليني. </w:t>
      </w:r>
      <w:r w:rsidR="00992664" w:rsidRPr="00DE76B9">
        <w:rPr>
          <w:rStyle w:val="libFootnoteBoldChar"/>
          <w:rtl/>
        </w:rPr>
        <w:t>فضائل الأشهر الثلاثة</w:t>
      </w:r>
      <w:r w:rsidR="00992664" w:rsidRPr="00020424">
        <w:rPr>
          <w:rtl/>
        </w:rPr>
        <w:t xml:space="preserve"> ، ص 60 ، ح 40 ، بسنده عن أحمد بن محمّد بن عيسى ومحمّد بن الحسين بن أبي الخطّاب جميعاً ، عن عمر بن عيسى ، عن سماعة بن مهران ، مع اختلاف يسير. </w:t>
      </w:r>
      <w:r w:rsidR="00992664" w:rsidRPr="0012008A">
        <w:rPr>
          <w:rStyle w:val="libFootnoteBoldChar"/>
          <w:rtl/>
        </w:rPr>
        <w:t>ثواب الأعمال</w:t>
      </w:r>
      <w:r w:rsidR="00992664" w:rsidRPr="00020424">
        <w:rPr>
          <w:rtl/>
        </w:rPr>
        <w:t xml:space="preserve"> ، ص 85 ، ح 10 ، بسنده عن عثمان بن عيسى. </w:t>
      </w:r>
      <w:r w:rsidR="00992664" w:rsidRPr="00E82BAA">
        <w:rPr>
          <w:rStyle w:val="libFootnoteBoldChar"/>
          <w:rtl/>
        </w:rPr>
        <w:t>النوادر للأشعري</w:t>
      </w:r>
      <w:r w:rsidR="00992664" w:rsidRPr="00020424">
        <w:rPr>
          <w:rtl/>
        </w:rPr>
        <w:t xml:space="preserve"> ، ص 19 ، صدر ح 5 ، بسنده عن سماعة ، مع اختلاف يسير. وفي </w:t>
      </w:r>
      <w:r w:rsidR="00992664" w:rsidRPr="0012008A">
        <w:rPr>
          <w:rStyle w:val="libFootnoteBoldChar"/>
          <w:rtl/>
        </w:rPr>
        <w:t>التهذيب</w:t>
      </w:r>
      <w:r w:rsidR="00992664" w:rsidRPr="00020424">
        <w:rPr>
          <w:rtl/>
        </w:rPr>
        <w:t xml:space="preserve"> ، ج 4 ، ص 308 ، ح 929 ؛ </w:t>
      </w:r>
      <w:r w:rsidR="00992664" w:rsidRPr="00FD6221">
        <w:rPr>
          <w:rStyle w:val="libFootnoteBoldChar"/>
          <w:rtl/>
        </w:rPr>
        <w:t>والاستبصار</w:t>
      </w:r>
      <w:r w:rsidR="00992664" w:rsidRPr="00020424">
        <w:rPr>
          <w:rtl/>
        </w:rPr>
        <w:t xml:space="preserve"> ، ج 2 ، ص 138 ، ح 451 ؛ </w:t>
      </w:r>
      <w:r w:rsidR="00992664" w:rsidRPr="006C7A1F">
        <w:rPr>
          <w:rStyle w:val="libFootnoteBoldChar"/>
          <w:rtl/>
        </w:rPr>
        <w:t>وثواب الأعمال</w:t>
      </w:r>
      <w:r w:rsidR="00992664" w:rsidRPr="00020424">
        <w:rPr>
          <w:rtl/>
        </w:rPr>
        <w:t xml:space="preserve"> ، ص 85 ، ح 11 ؛ </w:t>
      </w:r>
      <w:r w:rsidR="00992664" w:rsidRPr="00D27EE2">
        <w:rPr>
          <w:rStyle w:val="libFootnoteBoldChar"/>
          <w:rtl/>
        </w:rPr>
        <w:t>وفضائل الأشهر الثلاثة</w:t>
      </w:r>
      <w:r w:rsidR="00992664" w:rsidRPr="00020424">
        <w:rPr>
          <w:rtl/>
        </w:rPr>
        <w:t xml:space="preserve"> ، ص 52 ، ح 28 ، بسند آخر ، مع اختلاف يسير </w:t>
      </w:r>
      <w:r w:rsidR="00785509">
        <w:rPr>
          <w:rFonts w:hint="cs"/>
          <w:rtl/>
        </w:rPr>
        <w:t>.</w:t>
      </w:r>
      <w:r w:rsidR="00992664" w:rsidRPr="0012008A">
        <w:rPr>
          <w:rStyle w:val="libFootnoteBoldChar"/>
          <w:rtl/>
        </w:rPr>
        <w:t>الوافي</w:t>
      </w:r>
      <w:r w:rsidR="00992664" w:rsidRPr="00020424">
        <w:rPr>
          <w:rtl/>
        </w:rPr>
        <w:t xml:space="preserve"> ، ج 11 ، ص 59 ، ح 10413 ؛ </w:t>
      </w:r>
      <w:r w:rsidR="00992664" w:rsidRPr="0012008A">
        <w:rPr>
          <w:rStyle w:val="libFootnoteBoldChar"/>
          <w:rtl/>
        </w:rPr>
        <w:t>الوسائل</w:t>
      </w:r>
      <w:r w:rsidR="00992664" w:rsidRPr="00020424">
        <w:rPr>
          <w:rtl/>
        </w:rPr>
        <w:t xml:space="preserve"> ، ج 10 ، ص 487 ، ح 13915.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308 ، ح 931 ، معلّقاً عن الكليني ، عن أبي عليّ الأشعري </w:t>
      </w:r>
      <w:r w:rsidR="00785509">
        <w:rPr>
          <w:rFonts w:hint="cs"/>
          <w:rtl/>
        </w:rPr>
        <w:t>.</w:t>
      </w:r>
      <w:r w:rsidR="00992664" w:rsidRPr="0012008A">
        <w:rPr>
          <w:rStyle w:val="libFootnoteBoldChar"/>
          <w:rtl/>
        </w:rPr>
        <w:t>الوافي</w:t>
      </w:r>
      <w:r w:rsidR="00992664" w:rsidRPr="00020424">
        <w:rPr>
          <w:rtl/>
        </w:rPr>
        <w:t xml:space="preserve"> ، ج 11 ، ص 59 ، </w:t>
      </w:r>
      <w:r w:rsidR="00785509">
        <w:rPr>
          <w:rFonts w:hint="cs"/>
          <w:rtl/>
        </w:rPr>
        <w:t>=</w:t>
      </w:r>
    </w:p>
    <w:p w:rsidR="00795177" w:rsidRDefault="00795177" w:rsidP="00795177">
      <w:pPr>
        <w:pStyle w:val="libNormal"/>
        <w:rPr>
          <w:rtl/>
          <w:lang w:bidi="fa-IR"/>
        </w:rPr>
      </w:pPr>
      <w:r>
        <w:rPr>
          <w:rtl/>
          <w:lang w:bidi="fa-IR"/>
        </w:rPr>
        <w:br w:type="page"/>
      </w:r>
    </w:p>
    <w:p w:rsidR="00992664" w:rsidRPr="00020424" w:rsidRDefault="00ED658C" w:rsidP="00992664">
      <w:pPr>
        <w:pStyle w:val="libNormal"/>
        <w:rPr>
          <w:rtl/>
          <w:lang w:bidi="fa-IR"/>
        </w:rPr>
      </w:pPr>
      <w:r>
        <w:rPr>
          <w:rFonts w:hint="cs"/>
          <w:rtl/>
          <w:lang w:bidi="fa-IR"/>
        </w:rPr>
        <w:t xml:space="preserve">* </w:t>
      </w:r>
      <w:r w:rsidR="00992664" w:rsidRPr="00020424">
        <w:rPr>
          <w:rtl/>
          <w:lang w:bidi="fa-IR"/>
        </w:rPr>
        <w:t xml:space="preserve">عَلِيُّ بْنُ إِبْرَاهِيمَ ، عَنْ مُحَمَّدِ بْنِ عِيسَى بْنِ عُبَيْدٍ ، عَنْ يُونُسَ ، عَنِ ابْنِ مُسْكَانَ ، عَنِ الْحَلَبِيِّ : عَنْ أَبِي عَبْدِ اللهِ </w:t>
      </w:r>
      <w:r w:rsidR="00992664" w:rsidRPr="00005A81">
        <w:rPr>
          <w:rStyle w:val="libAlaemChar"/>
          <w:rtl/>
        </w:rPr>
        <w:t>عليه‌السلام</w:t>
      </w:r>
      <w:r w:rsidR="00992664" w:rsidRPr="00020424">
        <w:rPr>
          <w:rtl/>
          <w:lang w:bidi="fa-IR"/>
        </w:rPr>
        <w:t xml:space="preserve"> مِثْلَهُ.</w:t>
      </w:r>
    </w:p>
    <w:p w:rsidR="00992664" w:rsidRPr="00020424" w:rsidRDefault="00992664" w:rsidP="00992664">
      <w:pPr>
        <w:rPr>
          <w:rtl/>
          <w:lang w:bidi="fa-IR"/>
        </w:rPr>
      </w:pPr>
      <w:r w:rsidRPr="00020424">
        <w:rPr>
          <w:rtl/>
          <w:lang w:bidi="fa-IR"/>
        </w:rPr>
        <w:t xml:space="preserve">فَأَمَّا الَّذِي </w:t>
      </w:r>
      <w:r w:rsidRPr="00A91B96">
        <w:rPr>
          <w:rStyle w:val="libFootnotenumChar"/>
          <w:rtl/>
        </w:rPr>
        <w:t>(1)</w:t>
      </w:r>
      <w:r w:rsidRPr="00020424">
        <w:rPr>
          <w:rtl/>
          <w:lang w:bidi="fa-IR"/>
        </w:rPr>
        <w:t xml:space="preserve"> جَاءَ فِي صَوْمِ شَعْبَانَ أَنَّهُ سُئِلَ </w:t>
      </w:r>
      <w:r w:rsidRPr="00005A81">
        <w:rPr>
          <w:rStyle w:val="libAlaemChar"/>
          <w:rtl/>
        </w:rPr>
        <w:t>عليه‌السلام</w:t>
      </w:r>
      <w:r w:rsidRPr="00020424">
        <w:rPr>
          <w:rtl/>
          <w:lang w:bidi="fa-IR"/>
        </w:rPr>
        <w:t xml:space="preserve"> عَنْهُ ، فَقَالَ : « مَا صَامَهُ رَسُولُ اللهِ </w:t>
      </w:r>
      <w:r w:rsidR="00B42914" w:rsidRPr="00B42914">
        <w:rPr>
          <w:rStyle w:val="libAlaemChar"/>
          <w:rtl/>
        </w:rPr>
        <w:t>صلى‌الله‌عليه‌وآله‌</w:t>
      </w:r>
      <w:r w:rsidRPr="00020424">
        <w:rPr>
          <w:rtl/>
          <w:lang w:bidi="fa-IR"/>
        </w:rPr>
        <w:t xml:space="preserve"> ، وَلَا أَحَدٌ مِنْ آبَائِي » قَالَ ذلِكَ لِأَنَّ قَوْماً قَالُوا </w:t>
      </w:r>
      <w:r w:rsidRPr="00A91B96">
        <w:rPr>
          <w:rStyle w:val="libFootnotenumChar"/>
          <w:rtl/>
        </w:rPr>
        <w:t>(2)</w:t>
      </w:r>
      <w:r w:rsidRPr="00020424">
        <w:rPr>
          <w:rtl/>
          <w:lang w:bidi="fa-IR"/>
        </w:rPr>
        <w:t xml:space="preserve"> : إِنَّ صِيَامَهُ فَرْضٌ مِثْلُ صِيَامِ شَهْرِ رَمَضَانَ ، وَ</w:t>
      </w:r>
      <w:r w:rsidR="00ED658C">
        <w:rPr>
          <w:rFonts w:hint="cs"/>
          <w:rtl/>
          <w:lang w:bidi="fa-IR"/>
        </w:rPr>
        <w:t xml:space="preserve"> </w:t>
      </w:r>
      <w:r w:rsidRPr="00020424">
        <w:rPr>
          <w:rtl/>
          <w:lang w:bidi="fa-IR"/>
        </w:rPr>
        <w:t xml:space="preserve">وُجُوبَهُ مِثْلُ وُجُوبِ شَهْرِ رَمَضَانَ ، وَإِنَّ </w:t>
      </w:r>
      <w:r w:rsidRPr="00A91B96">
        <w:rPr>
          <w:rStyle w:val="libFootnotenumChar"/>
          <w:rtl/>
        </w:rPr>
        <w:t>(3)</w:t>
      </w:r>
      <w:r w:rsidRPr="00020424">
        <w:rPr>
          <w:rtl/>
          <w:lang w:bidi="fa-IR"/>
        </w:rPr>
        <w:t xml:space="preserve"> مَنْ أَفْطَرَ يَوْماً مِنْهُ ، فَعَلَيْهِ مِنَ الْكَفَّارَةِ مِثْلُ مَا عَلى مَنْ أَفْطَرَ يَوْماً مِنْ شَهْرِ رَمَضَانَ ، وَإِنَّمَا قَوْلُ الْعَالِمِ </w:t>
      </w:r>
      <w:r w:rsidRPr="00005A81">
        <w:rPr>
          <w:rStyle w:val="libAlaemChar"/>
          <w:rtl/>
        </w:rPr>
        <w:t>عليه‌السلام</w:t>
      </w:r>
      <w:r w:rsidRPr="00020424">
        <w:rPr>
          <w:rtl/>
          <w:lang w:bidi="fa-IR"/>
        </w:rPr>
        <w:t xml:space="preserve"> : « مَا صَامَهُ رَسُولُ اللهِ </w:t>
      </w:r>
      <w:r w:rsidR="00B42914" w:rsidRPr="00B42914">
        <w:rPr>
          <w:rStyle w:val="libAlaemChar"/>
          <w:rtl/>
        </w:rPr>
        <w:t>صلى‌الله‌عليه‌وآله‌</w:t>
      </w:r>
      <w:r w:rsidRPr="00020424">
        <w:rPr>
          <w:rtl/>
          <w:lang w:bidi="fa-IR"/>
        </w:rPr>
        <w:t xml:space="preserve"> ، وَلَا</w:t>
      </w:r>
      <w:r>
        <w:rPr>
          <w:rFonts w:hint="cs"/>
          <w:rtl/>
          <w:lang w:bidi="fa-IR"/>
        </w:rPr>
        <w:t xml:space="preserve"> </w:t>
      </w:r>
      <w:r w:rsidRPr="00020424">
        <w:rPr>
          <w:rtl/>
          <w:lang w:bidi="fa-IR"/>
        </w:rPr>
        <w:t xml:space="preserve">أَحَدٌ مِنْ آبَائِي </w:t>
      </w:r>
      <w:r w:rsidRPr="00005A81">
        <w:rPr>
          <w:rStyle w:val="libAlaemChar"/>
          <w:rtl/>
        </w:rPr>
        <w:t>عليهم‌السلام</w:t>
      </w:r>
      <w:r>
        <w:rPr>
          <w:rtl/>
          <w:lang w:bidi="fa-IR"/>
        </w:rPr>
        <w:t xml:space="preserve"> ».</w:t>
      </w:r>
      <w:r w:rsidRPr="00020424">
        <w:rPr>
          <w:rtl/>
          <w:lang w:bidi="fa-IR"/>
        </w:rPr>
        <w:t xml:space="preserve"> أَيْ مَا صَامُوهُ </w:t>
      </w:r>
      <w:r w:rsidRPr="00A91B96">
        <w:rPr>
          <w:rStyle w:val="libFootnotenumChar"/>
          <w:rtl/>
        </w:rPr>
        <w:t>(4)</w:t>
      </w:r>
      <w:r w:rsidRPr="00020424">
        <w:rPr>
          <w:rtl/>
          <w:lang w:bidi="fa-IR"/>
        </w:rPr>
        <w:t xml:space="preserve"> فَرْضاً وَاجِباً ؛ تَكْذِيباً لِقَوْلِ مَنْ زَعَمَ أَنَّهُ فَرْضٌ ، وَإِنَّمَا كَانُوا يَصُومُونَهُ </w:t>
      </w:r>
      <w:r w:rsidRPr="00A91B96">
        <w:rPr>
          <w:rStyle w:val="libFootnotenumChar"/>
          <w:rtl/>
        </w:rPr>
        <w:t>(5)</w:t>
      </w:r>
      <w:r w:rsidRPr="00020424">
        <w:rPr>
          <w:rtl/>
          <w:lang w:bidi="fa-IR"/>
        </w:rPr>
        <w:t xml:space="preserve"> سُنَّةً فِيهَا فَضْلٌ ، وَلَيْسَ عَلى مَنْ لَمْ يَصُمْهُ شَيْ‌ءٌ.</w:t>
      </w:r>
    </w:p>
    <w:p w:rsidR="00992664" w:rsidRPr="00020424" w:rsidRDefault="00992664" w:rsidP="00992664">
      <w:pPr>
        <w:pStyle w:val="libNormal"/>
        <w:rPr>
          <w:rtl/>
          <w:lang w:bidi="fa-IR"/>
        </w:rPr>
      </w:pPr>
      <w:r w:rsidRPr="0058053F">
        <w:rPr>
          <w:rtl/>
        </w:rPr>
        <w:t>6337</w:t>
      </w:r>
      <w:r w:rsidRPr="001155DE">
        <w:rPr>
          <w:rStyle w:val="libBold2Char"/>
          <w:rtl/>
        </w:rPr>
        <w:t xml:space="preserve"> / 7.</w:t>
      </w:r>
      <w:r w:rsidRPr="00020424">
        <w:rPr>
          <w:rtl/>
          <w:lang w:bidi="fa-IR"/>
        </w:rPr>
        <w:t xml:space="preserve"> أَحْمَدُ بْنُ مُحَمَّدٍ </w:t>
      </w:r>
      <w:r w:rsidRPr="00A91B96">
        <w:rPr>
          <w:rStyle w:val="libFootnotenumChar"/>
          <w:rtl/>
        </w:rPr>
        <w:t>(6)</w:t>
      </w:r>
      <w:r w:rsidRPr="00020424">
        <w:rPr>
          <w:rtl/>
          <w:lang w:bidi="fa-IR"/>
        </w:rPr>
        <w:t xml:space="preserve"> ، عَنْ عَلِيِّ بْنِ الْحَسَنِ ، عَنْ أَحْمَدَ بْنِ صَبِيحٍ ، عَنْ عَنْبَسَةَ الْعَابِدِ ، قَالَ :</w:t>
      </w:r>
    </w:p>
    <w:p w:rsidR="00992664" w:rsidRPr="00020424" w:rsidRDefault="00992664" w:rsidP="00992664">
      <w:pPr>
        <w:pStyle w:val="libNormal"/>
        <w:rPr>
          <w:rtl/>
          <w:lang w:bidi="fa-IR"/>
        </w:rPr>
      </w:pPr>
      <w:r w:rsidRPr="00020424">
        <w:rPr>
          <w:rtl/>
          <w:lang w:bidi="fa-IR"/>
        </w:rPr>
        <w:t xml:space="preserve">قُبِضَ النَّبِيُّ </w:t>
      </w:r>
      <w:r w:rsidR="00B42914" w:rsidRPr="00B42914">
        <w:rPr>
          <w:rStyle w:val="libAlaemChar"/>
          <w:rtl/>
        </w:rPr>
        <w:t>صلى‌الله‌عليه‌وآله‌</w:t>
      </w:r>
      <w:r w:rsidRPr="00020424">
        <w:rPr>
          <w:rtl/>
          <w:lang w:bidi="fa-IR"/>
        </w:rPr>
        <w:t xml:space="preserve"> عَلى صَوْمِ شَعْبَانَ وَرَمَضَانَ </w:t>
      </w:r>
      <w:r w:rsidRPr="00A91B96">
        <w:rPr>
          <w:rStyle w:val="libFootnotenumChar"/>
          <w:rtl/>
        </w:rPr>
        <w:t>(7)</w:t>
      </w:r>
      <w:r w:rsidRPr="00020424">
        <w:rPr>
          <w:rtl/>
          <w:lang w:bidi="fa-IR"/>
        </w:rPr>
        <w:t xml:space="preserve"> وَثَلَاثَةِ أَيَّامٍ فِي كُلِّ شَهْرٍ : أَوَّلِ‌</w:t>
      </w:r>
    </w:p>
    <w:p w:rsidR="00992664" w:rsidRPr="00020424" w:rsidRDefault="00992664" w:rsidP="00992664">
      <w:pPr>
        <w:pStyle w:val="libLine"/>
        <w:rPr>
          <w:rtl/>
          <w:lang w:bidi="fa-IR"/>
        </w:rPr>
      </w:pPr>
      <w:r w:rsidRPr="00020424">
        <w:rPr>
          <w:rtl/>
          <w:lang w:bidi="fa-IR"/>
        </w:rPr>
        <w:t>__________________</w:t>
      </w:r>
    </w:p>
    <w:p w:rsidR="00992664" w:rsidRPr="00020424" w:rsidRDefault="00ED658C" w:rsidP="00992664">
      <w:pPr>
        <w:pStyle w:val="libFootnote0"/>
        <w:rPr>
          <w:rtl/>
          <w:lang w:bidi="fa-IR"/>
        </w:rPr>
      </w:pPr>
      <w:r>
        <w:rPr>
          <w:rFonts w:hint="cs"/>
          <w:rtl/>
        </w:rPr>
        <w:t xml:space="preserve">= </w:t>
      </w:r>
      <w:r w:rsidR="00992664" w:rsidRPr="00020424">
        <w:rPr>
          <w:rtl/>
        </w:rPr>
        <w:t xml:space="preserve">ح 10414 ؛ </w:t>
      </w:r>
      <w:r w:rsidR="00992664" w:rsidRPr="0012008A">
        <w:rPr>
          <w:rStyle w:val="libFootnoteBoldChar"/>
          <w:rtl/>
        </w:rPr>
        <w:t>الوسائل</w:t>
      </w:r>
      <w:r w:rsidR="00992664" w:rsidRPr="00020424">
        <w:rPr>
          <w:rtl/>
        </w:rPr>
        <w:t xml:space="preserve"> ، ج 10 ، ص 485 ، ح 13913.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 فأمّا الذي ، هذا كلام المصنّف </w:t>
      </w:r>
      <w:r w:rsidR="00D64ADA" w:rsidRPr="00D64ADA">
        <w:rPr>
          <w:rStyle w:val="libFootnoteAlaemChar"/>
          <w:rtl/>
        </w:rPr>
        <w:t>قدس‌سره</w:t>
      </w:r>
      <w:r w:rsidR="00992664" w:rsidRPr="00020424">
        <w:rPr>
          <w:rtl/>
        </w:rPr>
        <w:t xml:space="preserve"> ، وتوجيهه حسن ، والقوم الذين ذكرهم : هم أبوالخطّاب وأصحابه على ما ذكره الشيخ </w:t>
      </w:r>
      <w:r w:rsidR="00D64ADA" w:rsidRPr="00D64ADA">
        <w:rPr>
          <w:rStyle w:val="libFootnoteAlaemChar"/>
          <w:rtl/>
        </w:rPr>
        <w:t>قدس‌سره</w:t>
      </w:r>
      <w:r w:rsidR="00992664" w:rsidRPr="00020424">
        <w:rPr>
          <w:rtl/>
        </w:rPr>
        <w:t xml:space="preserve"> في </w:t>
      </w:r>
      <w:r w:rsidR="00992664" w:rsidRPr="0012008A">
        <w:rPr>
          <w:rStyle w:val="libFootnoteBoldChar"/>
          <w:rtl/>
        </w:rPr>
        <w:t>التهذيب</w:t>
      </w:r>
      <w:r w:rsidR="00992664">
        <w:rPr>
          <w:rtl/>
        </w:rPr>
        <w:t xml:space="preserve"> </w:t>
      </w:r>
      <w:r w:rsidR="009B673F">
        <w:rPr>
          <w:rtl/>
        </w:rPr>
        <w:t>-</w:t>
      </w:r>
      <w:r w:rsidR="00992664">
        <w:rPr>
          <w:rtl/>
        </w:rPr>
        <w:t xml:space="preserve"> </w:t>
      </w:r>
      <w:r w:rsidR="00992664" w:rsidRPr="00020424">
        <w:rPr>
          <w:rtl/>
        </w:rPr>
        <w:t xml:space="preserve">وفي </w:t>
      </w:r>
      <w:r w:rsidR="00992664" w:rsidRPr="00DE76B9">
        <w:rPr>
          <w:rStyle w:val="libFootnoteBoldChar"/>
          <w:rtl/>
        </w:rPr>
        <w:t>الاستبصار</w:t>
      </w:r>
      <w:r w:rsidR="00992664" w:rsidRPr="00020424">
        <w:rPr>
          <w:rtl/>
        </w:rPr>
        <w:t xml:space="preserve"> أيضاً</w:t>
      </w:r>
      <w:r w:rsidR="00992664">
        <w:rPr>
          <w:rtl/>
        </w:rPr>
        <w:t xml:space="preserve"> </w:t>
      </w:r>
      <w:r w:rsidR="009B673F">
        <w:rPr>
          <w:rtl/>
        </w:rPr>
        <w:t>-</w:t>
      </w:r>
      <w:r w:rsidR="00992664">
        <w:rPr>
          <w:rtl/>
        </w:rPr>
        <w:t xml:space="preserve"> </w:t>
      </w:r>
      <w:r w:rsidR="00992664" w:rsidRPr="00020424">
        <w:rPr>
          <w:rtl/>
        </w:rPr>
        <w:t xml:space="preserve">ويمكن أن يكون محمولاً على التقيّة أيضاً ؛ لأنّ أكثر العامّة لا يعدّون صوم جميع شعبان من السنن ، وإن كانوا رووا أخباراً كثيرة في فضله ، ورووا عن عائشة أنّه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كان يصوم كلّه ، وأوّلوه بتأويلات ، وسؤال السائل في الخبرين السابقين ربّما يؤمي إليه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 « ظنّوا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42C29" w:rsidTr="00042C29">
        <w:tc>
          <w:tcPr>
            <w:tcW w:w="4006" w:type="dxa"/>
          </w:tcPr>
          <w:p w:rsidR="00042C29" w:rsidRDefault="00042C29" w:rsidP="00992664">
            <w:pPr>
              <w:pStyle w:val="libFootnote0"/>
              <w:rPr>
                <w:rtl/>
              </w:rPr>
            </w:pPr>
            <w:r>
              <w:rPr>
                <w:rtl/>
              </w:rPr>
              <w:t xml:space="preserve">(3). </w:t>
            </w:r>
            <w:r w:rsidRPr="00020424">
              <w:rPr>
                <w:rtl/>
              </w:rPr>
              <w:t>في « بخ ، بف » : « فإنّ</w:t>
            </w:r>
            <w:r>
              <w:rPr>
                <w:rtl/>
              </w:rPr>
              <w:t xml:space="preserve"> ».</w:t>
            </w:r>
          </w:p>
        </w:tc>
        <w:tc>
          <w:tcPr>
            <w:tcW w:w="4006" w:type="dxa"/>
          </w:tcPr>
          <w:p w:rsidR="00042C29" w:rsidRDefault="00042C29" w:rsidP="00992664">
            <w:pPr>
              <w:pStyle w:val="libFootnote0"/>
              <w:rPr>
                <w:rtl/>
              </w:rPr>
            </w:pPr>
            <w:r>
              <w:rPr>
                <w:rtl/>
              </w:rPr>
              <w:t xml:space="preserve">(4). </w:t>
            </w:r>
            <w:r w:rsidRPr="00020424">
              <w:rPr>
                <w:rtl/>
              </w:rPr>
              <w:t>في « بخ » : + « صوماً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يصومون</w:t>
      </w:r>
      <w:r w:rsidR="00992664">
        <w:rPr>
          <w:rtl/>
        </w:rPr>
        <w:t xml:space="preserve"> ».</w:t>
      </w:r>
    </w:p>
    <w:p w:rsidR="00992664" w:rsidRPr="00020424" w:rsidRDefault="00795177" w:rsidP="00D155AA">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13751 : « محمّد بن يحيى ، عن أحمد بن محمّد</w:t>
      </w:r>
      <w:r w:rsidR="00992664">
        <w:rPr>
          <w:rtl/>
        </w:rPr>
        <w:t xml:space="preserve"> ».</w:t>
      </w:r>
      <w:r w:rsidR="00992664" w:rsidRPr="00020424">
        <w:rPr>
          <w:rtl/>
        </w:rPr>
        <w:t xml:space="preserve"> وهو سهو ؛ فإنّ عليّ بن الحسن الراوي عن‌أحمد بن صبيح ، هو عليّ بن الحسن بن فضّال الذي يروي عنه أحمد بن محمّد العاصميّ الكوفي ، وهو من مشايخ الكليني.</w:t>
      </w:r>
      <w:r w:rsidR="00D155AA">
        <w:rPr>
          <w:rFonts w:hint="cs"/>
          <w:rtl/>
        </w:rPr>
        <w:t xml:space="preserve">                </w:t>
      </w:r>
      <w:r w:rsidR="00F27D90">
        <w:rPr>
          <w:rFonts w:hint="cs"/>
          <w:rtl/>
        </w:rPr>
        <w:t xml:space="preserve">                           </w:t>
      </w:r>
      <w:r w:rsidR="00D155AA">
        <w:rPr>
          <w:rFonts w:hint="cs"/>
          <w:rtl/>
        </w:rPr>
        <w:t xml:space="preserve">       </w:t>
      </w:r>
      <w:r>
        <w:rPr>
          <w:rtl/>
        </w:rPr>
        <w:t>(7).</w:t>
      </w:r>
      <w:r w:rsidR="0014403D">
        <w:rPr>
          <w:rtl/>
        </w:rPr>
        <w:t xml:space="preserve"> </w:t>
      </w:r>
      <w:r w:rsidR="00992664" w:rsidRPr="00020424">
        <w:rPr>
          <w:rtl/>
        </w:rPr>
        <w:t>في « بث » : « وشهر رمضان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خَمِيسٍ ، وَأَوْسَطِ أَرْبِعَاءَ ، وَآخِرِ خَمِيسٍ ، وَكَانَ </w:t>
      </w:r>
      <w:r w:rsidRPr="00A91B96">
        <w:rPr>
          <w:rStyle w:val="libFootnotenumChar"/>
          <w:rtl/>
        </w:rPr>
        <w:t>(1)</w:t>
      </w:r>
      <w:r w:rsidRPr="00020424">
        <w:rPr>
          <w:rtl/>
          <w:lang w:bidi="fa-IR"/>
        </w:rPr>
        <w:t xml:space="preserve"> أَبُو جَعْفَرٍ وَأَبُو عَبْدِ اللهِ </w:t>
      </w:r>
      <w:r w:rsidRPr="00005A81">
        <w:rPr>
          <w:rStyle w:val="libAlaemChar"/>
          <w:rtl/>
        </w:rPr>
        <w:t>عليهما‌السلام</w:t>
      </w:r>
      <w:r w:rsidRPr="00020424">
        <w:rPr>
          <w:rtl/>
          <w:lang w:bidi="fa-IR"/>
        </w:rPr>
        <w:t xml:space="preserve"> يَصُومَانِ ذلِكَ.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335" w:name="_Toc345172827"/>
      <w:bookmarkStart w:id="336" w:name="_Toc464562645"/>
      <w:bookmarkStart w:id="337" w:name="_Toc44599948"/>
      <w:r w:rsidRPr="00020424">
        <w:rPr>
          <w:rtl/>
          <w:lang w:bidi="fa-IR"/>
        </w:rPr>
        <w:t>13</w:t>
      </w:r>
      <w:r>
        <w:rPr>
          <w:rtl/>
          <w:lang w:bidi="fa-IR"/>
        </w:rPr>
        <w:t xml:space="preserve"> </w:t>
      </w:r>
      <w:r w:rsidR="009B673F">
        <w:rPr>
          <w:rtl/>
          <w:lang w:bidi="fa-IR"/>
        </w:rPr>
        <w:t>-</w:t>
      </w:r>
      <w:r>
        <w:rPr>
          <w:rtl/>
          <w:lang w:bidi="fa-IR"/>
        </w:rPr>
        <w:t xml:space="preserve"> </w:t>
      </w:r>
      <w:r w:rsidRPr="00020424">
        <w:rPr>
          <w:rtl/>
          <w:lang w:bidi="fa-IR"/>
        </w:rPr>
        <w:t>بَابُ فَضْلِ صَوْمِ شَعْبَانَ وَصِلَتِهِ بِرَمَضَانَ وَصِيَامِ ثَلَاثَةِ أَيَّامٍ فِي كُلِّ شَهْرٍ‌</w:t>
      </w:r>
      <w:bookmarkEnd w:id="335"/>
      <w:bookmarkEnd w:id="336"/>
      <w:bookmarkEnd w:id="337"/>
    </w:p>
    <w:p w:rsidR="00D22D00" w:rsidRDefault="00992664" w:rsidP="00D22D00">
      <w:pPr>
        <w:pStyle w:val="libNormal"/>
        <w:rPr>
          <w:rtl/>
          <w:lang w:bidi="fa-IR"/>
        </w:rPr>
      </w:pPr>
      <w:r w:rsidRPr="00571508">
        <w:rPr>
          <w:rtl/>
        </w:rPr>
        <w:t>6338</w:t>
      </w:r>
      <w:r w:rsidRPr="001155DE">
        <w:rPr>
          <w:rStyle w:val="libBold2Char"/>
          <w:rtl/>
        </w:rPr>
        <w:t xml:space="preserve"> / 1.</w:t>
      </w:r>
      <w:r w:rsidRPr="00020424">
        <w:rPr>
          <w:rtl/>
          <w:lang w:bidi="fa-IR"/>
        </w:rPr>
        <w:t xml:space="preserve"> عِدَّةٌ مِنْ أَصْحَابِنَا ، عَنْ أَحْمَدَ بْنِ مُحَمَّدٍ ؛</w:t>
      </w:r>
    </w:p>
    <w:p w:rsidR="00992664" w:rsidRPr="00020424" w:rsidRDefault="00D22D00" w:rsidP="00D22D00">
      <w:pPr>
        <w:pStyle w:val="libNormal"/>
        <w:rPr>
          <w:rtl/>
          <w:lang w:bidi="fa-IR"/>
        </w:rPr>
      </w:pPr>
      <w:r>
        <w:rPr>
          <w:rFonts w:hint="cs"/>
          <w:rtl/>
          <w:lang w:bidi="fa-IR"/>
        </w:rPr>
        <w:t xml:space="preserve">              </w:t>
      </w:r>
      <w:r w:rsidR="00992664" w:rsidRPr="00020424">
        <w:rPr>
          <w:rtl/>
          <w:lang w:bidi="fa-IR"/>
        </w:rPr>
        <w:t>وَعَلِيُّ بْنُ إِبْرَاهِيمَ ، عَنْ أَبِيهِ جَمِيعاً ، عَنِ ابْنِ أَبِي عُمَيْرٍ ، عَنْ سَلَمَةَ صَاحِبِ السَّابِرِيِّ ، عَنْ أَبِي الصَّبَّاحِ الْكِنَانِيِّ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صَوْمُ شَعْبَانَ وَشَهْرِ </w:t>
      </w:r>
      <w:r w:rsidRPr="00A91B96">
        <w:rPr>
          <w:rStyle w:val="libFootnotenumChar"/>
          <w:rtl/>
        </w:rPr>
        <w:t>(3)</w:t>
      </w:r>
      <w:r w:rsidRPr="00020424">
        <w:rPr>
          <w:rtl/>
          <w:lang w:bidi="fa-IR"/>
        </w:rPr>
        <w:t xml:space="preserve"> رَمَضَانَ مُتَتَابِعَيْنِ </w:t>
      </w:r>
      <w:r w:rsidRPr="00A91B96">
        <w:rPr>
          <w:rStyle w:val="libFootnotenumChar"/>
          <w:rtl/>
        </w:rPr>
        <w:t>(4)</w:t>
      </w:r>
      <w:r w:rsidRPr="00020424">
        <w:rPr>
          <w:rtl/>
          <w:lang w:bidi="fa-IR"/>
        </w:rPr>
        <w:t xml:space="preserve"> تَوْبَةٌ مِنَ اللهِ </w:t>
      </w:r>
      <w:r w:rsidRPr="00A91B96">
        <w:rPr>
          <w:rStyle w:val="libFootnotenumChar"/>
          <w:rtl/>
        </w:rPr>
        <w:t>(5)</w:t>
      </w:r>
      <w:r w:rsidRPr="00020424">
        <w:rPr>
          <w:rtl/>
          <w:lang w:bidi="fa-IR"/>
        </w:rPr>
        <w:t xml:space="preserve"> ؛ وَاللهِ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571508">
        <w:rPr>
          <w:rtl/>
        </w:rPr>
        <w:t>6339</w:t>
      </w:r>
      <w:r w:rsidRPr="001155DE">
        <w:rPr>
          <w:rStyle w:val="libBold2Char"/>
          <w:rtl/>
        </w:rPr>
        <w:t xml:space="preserve"> / 2.</w:t>
      </w:r>
      <w:r w:rsidRPr="00020424">
        <w:rPr>
          <w:rtl/>
          <w:lang w:bidi="fa-IR"/>
        </w:rPr>
        <w:t xml:space="preserve"> عَلِيُّ بْنُ إِبْرَاهِيمَ ، عَنْ مُحَمَّدِ بْنِ عِيسَى بْنِ عُبَيْدٍ ، عَنْ يُونُسَ ، عَنْ عُمَرَ بْنِ أَبَانٍ ، عَنِ الْمُفَضَّلِ بْنِ عُمَرَ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فكان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45 ، ح 10378 ؛ </w:t>
      </w:r>
      <w:r w:rsidR="00992664" w:rsidRPr="0012008A">
        <w:rPr>
          <w:rStyle w:val="libFootnoteBoldChar"/>
          <w:rtl/>
        </w:rPr>
        <w:t>الوسائل</w:t>
      </w:r>
      <w:r w:rsidR="00992664" w:rsidRPr="00020424">
        <w:rPr>
          <w:rtl/>
        </w:rPr>
        <w:t xml:space="preserve"> ، ج 10 ، ص 423 ، ح 13751 ؛ وص 487 ، ح 13916 ؛ </w:t>
      </w:r>
      <w:r w:rsidR="00992664" w:rsidRPr="0012008A">
        <w:rPr>
          <w:rStyle w:val="libFootnoteBoldChar"/>
          <w:rtl/>
        </w:rPr>
        <w:t>البحار</w:t>
      </w:r>
      <w:r w:rsidR="00992664" w:rsidRPr="00020424">
        <w:rPr>
          <w:rtl/>
        </w:rPr>
        <w:t xml:space="preserve"> ، ج 16 ، ص 271 ، ح 88.</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 وصوم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بس » وتفسير العيّاشي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متتابعين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التوبة من العبد أن يتوب إلى الله ، والتوبة من الله أن يقيم من العبد عبادة مقام توبته ، فطهّره بها من ذنوبه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والله</w:t>
      </w:r>
      <w:r w:rsidR="00992664">
        <w:rPr>
          <w:rtl/>
        </w:rPr>
        <w:t xml:space="preserve"> ».</w:t>
      </w:r>
      <w:r w:rsidR="00992664" w:rsidRPr="00020424">
        <w:rPr>
          <w:rtl/>
        </w:rPr>
        <w:t xml:space="preserve"> وفي </w:t>
      </w:r>
      <w:r w:rsidR="00992664" w:rsidRPr="00587829">
        <w:rPr>
          <w:rStyle w:val="libFootnoteBoldChar"/>
          <w:rtl/>
        </w:rPr>
        <w:t>الأمالي للصدوق</w:t>
      </w:r>
      <w:r w:rsidR="00992664" w:rsidRPr="00020424">
        <w:rPr>
          <w:rtl/>
        </w:rPr>
        <w:t xml:space="preserve"> : « ولو من دم حرام » بدل « والله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307 ، ح 925 ؛ </w:t>
      </w:r>
      <w:r w:rsidR="00992664" w:rsidRPr="00FD6221">
        <w:rPr>
          <w:rStyle w:val="libFootnoteBoldChar"/>
          <w:rtl/>
        </w:rPr>
        <w:t>والاستبصار</w:t>
      </w:r>
      <w:r w:rsidR="00992664" w:rsidRPr="00020424">
        <w:rPr>
          <w:rtl/>
        </w:rPr>
        <w:t xml:space="preserve"> ، ج 2 ، ص 137 ، ح 449 ، معلّقاً عن الكليني. وفي </w:t>
      </w:r>
      <w:r w:rsidR="00992664" w:rsidRPr="0012008A">
        <w:rPr>
          <w:rStyle w:val="libFootnoteBoldChar"/>
          <w:rtl/>
        </w:rPr>
        <w:t>ثواب الأعمال</w:t>
      </w:r>
      <w:r w:rsidR="00992664" w:rsidRPr="00020424">
        <w:rPr>
          <w:rtl/>
        </w:rPr>
        <w:t xml:space="preserve"> ، ص 84 ، ح 6 ؛ </w:t>
      </w:r>
      <w:r w:rsidR="00992664" w:rsidRPr="00D27EE2">
        <w:rPr>
          <w:rStyle w:val="libFootnoteBoldChar"/>
          <w:rtl/>
        </w:rPr>
        <w:t>وفضائل الأشهر الثلاثة</w:t>
      </w:r>
      <w:r w:rsidR="00992664" w:rsidRPr="00020424">
        <w:rPr>
          <w:rtl/>
        </w:rPr>
        <w:t xml:space="preserve"> ، ص 60 ، ح 41 ، بسندهما عن ابن أبي عمير ، مع اختلاف يسير. </w:t>
      </w:r>
      <w:r w:rsidR="00992664" w:rsidRPr="00DE76B9">
        <w:rPr>
          <w:rStyle w:val="libFootnoteBoldChar"/>
          <w:rtl/>
        </w:rPr>
        <w:t>وفيه</w:t>
      </w:r>
      <w:r w:rsidR="00992664" w:rsidRPr="00020424">
        <w:rPr>
          <w:rtl/>
        </w:rPr>
        <w:t xml:space="preserve"> ، ص 53 ، ح 30 ، بسند آخر ، مع اختلاف. </w:t>
      </w:r>
      <w:r w:rsidR="00992664" w:rsidRPr="00587829">
        <w:rPr>
          <w:rStyle w:val="libFootnoteBoldChar"/>
          <w:rtl/>
        </w:rPr>
        <w:t>الأمالي للصدوق</w:t>
      </w:r>
      <w:r w:rsidR="00992664" w:rsidRPr="00020424">
        <w:rPr>
          <w:rtl/>
        </w:rPr>
        <w:t xml:space="preserve"> ، ص 670 ، المجلس 95 ، ح 9 ، بسند آخر. </w:t>
      </w:r>
      <w:r w:rsidR="00992664" w:rsidRPr="00DE76B9">
        <w:rPr>
          <w:rStyle w:val="libFootnoteBoldChar"/>
          <w:rtl/>
        </w:rPr>
        <w:t>تفسير العيّاشي</w:t>
      </w:r>
      <w:r w:rsidR="00992664" w:rsidRPr="00020424">
        <w:rPr>
          <w:rtl/>
        </w:rPr>
        <w:t xml:space="preserve"> ، ج 1 ، ص 266 ، ح 235 ، عن أبي الصباح الكناني ، من دون التصريح باسم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373 ، مرسلاً من دون التصريح باسم المعصوم </w:t>
      </w:r>
      <w:r w:rsidR="00992664" w:rsidRPr="00D64ADA">
        <w:rPr>
          <w:rStyle w:val="libFootnoteAlaemChar"/>
          <w:rtl/>
        </w:rPr>
        <w:t>عليه‌السلام</w:t>
      </w:r>
      <w:r w:rsidR="00992664" w:rsidRPr="00020424">
        <w:rPr>
          <w:rtl/>
        </w:rPr>
        <w:t xml:space="preserve"> </w:t>
      </w:r>
      <w:r w:rsidR="00525BE9">
        <w:rPr>
          <w:rFonts w:hint="cs"/>
          <w:rtl/>
        </w:rPr>
        <w:t>.</w:t>
      </w:r>
      <w:r w:rsidR="00992664" w:rsidRPr="0012008A">
        <w:rPr>
          <w:rStyle w:val="libFootnoteBoldChar"/>
          <w:rtl/>
        </w:rPr>
        <w:t>الوافي</w:t>
      </w:r>
      <w:r w:rsidR="00992664" w:rsidRPr="00020424">
        <w:rPr>
          <w:rtl/>
        </w:rPr>
        <w:t xml:space="preserve"> ، ج 11 ، ص 62 ، ح 10420 ؛ </w:t>
      </w:r>
      <w:r w:rsidR="00992664" w:rsidRPr="0012008A">
        <w:rPr>
          <w:rStyle w:val="libFootnoteBoldChar"/>
          <w:rtl/>
        </w:rPr>
        <w:t>الوسائل</w:t>
      </w:r>
      <w:r w:rsidR="00992664" w:rsidRPr="00020424">
        <w:rPr>
          <w:rtl/>
        </w:rPr>
        <w:t xml:space="preserve"> ، ج 10 ، ص 495 ، ح 13944.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صَوْمُ شَعْبَانَ وَشَهْرِ </w:t>
      </w:r>
      <w:r w:rsidRPr="00A91B96">
        <w:rPr>
          <w:rStyle w:val="libFootnotenumChar"/>
          <w:rtl/>
        </w:rPr>
        <w:t>(1)</w:t>
      </w:r>
      <w:r w:rsidRPr="00020424">
        <w:rPr>
          <w:rtl/>
          <w:lang w:bidi="fa-IR"/>
        </w:rPr>
        <w:t xml:space="preserve"> رَمَضَانَ مُتَتَابِعَيْنِ تَوْبَةٌ مِنَ اللهِ</w:t>
      </w:r>
      <w:r w:rsidRPr="00A91B96">
        <w:rPr>
          <w:rStyle w:val="libFootnotenumChar"/>
          <w:rtl/>
        </w:rPr>
        <w:t>(2)</w:t>
      </w:r>
      <w:r>
        <w:rPr>
          <w:rtl/>
          <w:lang w:bidi="fa-IR"/>
        </w:rPr>
        <w:t>».</w:t>
      </w:r>
      <w:r w:rsidRPr="00A91B96">
        <w:rPr>
          <w:rStyle w:val="libFootnotenumChar"/>
          <w:rtl/>
        </w:rPr>
        <w:t>(3)</w:t>
      </w:r>
      <w:r w:rsidRPr="00020424">
        <w:rPr>
          <w:rtl/>
          <w:lang w:bidi="fa-IR"/>
        </w:rPr>
        <w:t>‌</w:t>
      </w:r>
    </w:p>
    <w:p w:rsidR="00992664" w:rsidRPr="00020424" w:rsidRDefault="00992664" w:rsidP="00992664">
      <w:pPr>
        <w:pStyle w:val="libNormal"/>
        <w:rPr>
          <w:rtl/>
          <w:lang w:bidi="fa-IR"/>
        </w:rPr>
      </w:pPr>
      <w:r w:rsidRPr="00571508">
        <w:rPr>
          <w:rtl/>
        </w:rPr>
        <w:t>6340</w:t>
      </w:r>
      <w:r w:rsidRPr="001155DE">
        <w:rPr>
          <w:rStyle w:val="libBold2Char"/>
          <w:rtl/>
        </w:rPr>
        <w:t xml:space="preserve"> / 3.</w:t>
      </w:r>
      <w:r w:rsidRPr="00020424">
        <w:rPr>
          <w:rtl/>
          <w:lang w:bidi="fa-IR"/>
        </w:rPr>
        <w:t xml:space="preserve"> عِدَّةٌ مِنْ أَصْحَابِنَا ، عَنْ أَحْمَدَ بْنِ مُحَمَّدٍ ، عَنِ الْحُسَيْنِ بْنِ سَعِيدٍ ، عَنْ عَلِيِّ بْنِ الصَّلْتِ ، عَنْ زُرْعَةَ بْنِ مُحَمَّدٍ </w:t>
      </w:r>
      <w:r w:rsidRPr="00A91B96">
        <w:rPr>
          <w:rStyle w:val="libFootnotenumChar"/>
          <w:rtl/>
        </w:rPr>
        <w:t>(4)</w:t>
      </w:r>
      <w:r w:rsidRPr="00020424">
        <w:rPr>
          <w:rtl/>
          <w:lang w:bidi="fa-IR"/>
        </w:rPr>
        <w:t xml:space="preserve"> ، عَنِ الْمُفَضَّلِ بْنِ عُمَرَ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عَلِيُّ بْنُ الْحُسَيْنِ </w:t>
      </w:r>
      <w:r w:rsidRPr="00005A81">
        <w:rPr>
          <w:rStyle w:val="libAlaemChar"/>
          <w:rtl/>
        </w:rPr>
        <w:t>عليهما‌السلام</w:t>
      </w:r>
      <w:r w:rsidRPr="00020424">
        <w:rPr>
          <w:rtl/>
          <w:lang w:bidi="fa-IR"/>
        </w:rPr>
        <w:t xml:space="preserve"> يَصِلُ مَا بَيْنَ شَعْبَانَ وَرَمَضَانَ </w:t>
      </w:r>
      <w:r w:rsidRPr="00A91B96">
        <w:rPr>
          <w:rStyle w:val="libFootnotenumChar"/>
          <w:rtl/>
        </w:rPr>
        <w:t>(5)</w:t>
      </w:r>
      <w:r w:rsidRPr="00020424">
        <w:rPr>
          <w:rtl/>
          <w:lang w:bidi="fa-IR"/>
        </w:rPr>
        <w:t xml:space="preserve"> ، وَيَقُولُ : صَوْمُ شَهْرَيْنِ مُتَتَابِعَيْنِ تَوْبَةٌ مِنَ اللهِ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571508">
        <w:rPr>
          <w:rtl/>
        </w:rPr>
        <w:t>6341</w:t>
      </w:r>
      <w:r w:rsidRPr="001155DE">
        <w:rPr>
          <w:rStyle w:val="libBold2Char"/>
          <w:rtl/>
        </w:rPr>
        <w:t xml:space="preserve"> / 4.</w:t>
      </w:r>
      <w:r w:rsidRPr="00020424">
        <w:rPr>
          <w:rtl/>
          <w:lang w:bidi="fa-IR"/>
        </w:rPr>
        <w:t xml:space="preserve"> أَحْمَدُ بْنُ مُحَمَّدٍ </w:t>
      </w:r>
      <w:r w:rsidRPr="00A91B96">
        <w:rPr>
          <w:rStyle w:val="libFootnotenumChar"/>
          <w:rtl/>
        </w:rPr>
        <w:t>(7)</w:t>
      </w:r>
      <w:r w:rsidRPr="00020424">
        <w:rPr>
          <w:rtl/>
          <w:lang w:bidi="fa-IR"/>
        </w:rPr>
        <w:t xml:space="preserve"> ، عَنِ الْحُسَيْنِ بْنِ سَعِيدٍ ، عَنِ الْحُسَيْنِ بْنِ عُلْوَانَ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بح ، بس » : + « والله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ثواب الأعمال</w:t>
      </w:r>
      <w:r w:rsidR="00992664" w:rsidRPr="00020424">
        <w:rPr>
          <w:rtl/>
        </w:rPr>
        <w:t xml:space="preserve"> ، ص 84 ، ح 3 ، بسنده عن المفضّل بن عمر ؛ </w:t>
      </w:r>
      <w:r w:rsidR="00992664" w:rsidRPr="00DE76B9">
        <w:rPr>
          <w:rStyle w:val="libFootnoteBoldChar"/>
          <w:rtl/>
        </w:rPr>
        <w:t>فضائل الأشهر الثلاثة</w:t>
      </w:r>
      <w:r w:rsidR="00992664" w:rsidRPr="00020424">
        <w:rPr>
          <w:rtl/>
        </w:rPr>
        <w:t xml:space="preserve"> ، ص 58 ، ح 38 ، بسنده عن المفضّل بن عمر ، عن أبي عبدالله ، عن أبيه </w:t>
      </w:r>
      <w:r w:rsidR="00D64ADA" w:rsidRPr="00D64ADA">
        <w:rPr>
          <w:rStyle w:val="libFootnoteAlaemChar"/>
          <w:rtl/>
        </w:rPr>
        <w:t>عليهما‌السلام</w:t>
      </w:r>
      <w:r w:rsidR="00992664" w:rsidRPr="00020424">
        <w:rPr>
          <w:rtl/>
        </w:rPr>
        <w:t xml:space="preserve"> ، مع زيادة في أوّله. </w:t>
      </w:r>
      <w:r w:rsidR="00992664" w:rsidRPr="00DE76B9">
        <w:rPr>
          <w:rStyle w:val="libFootnoteBoldChar"/>
          <w:rtl/>
        </w:rPr>
        <w:t>تفسير العيّاشي</w:t>
      </w:r>
      <w:r w:rsidR="00992664" w:rsidRPr="00020424">
        <w:rPr>
          <w:rtl/>
        </w:rPr>
        <w:t xml:space="preserve"> ، ج 1 ، ص 266 ، ح 232 ، عن المفضّل بن عمر </w:t>
      </w:r>
      <w:r w:rsidR="00CA5A67">
        <w:rPr>
          <w:rFonts w:hint="cs"/>
          <w:rtl/>
        </w:rPr>
        <w:t>.</w:t>
      </w:r>
      <w:r w:rsidR="00992664" w:rsidRPr="0012008A">
        <w:rPr>
          <w:rStyle w:val="libFootnoteBoldChar"/>
          <w:rtl/>
        </w:rPr>
        <w:t>الوافي</w:t>
      </w:r>
      <w:r w:rsidR="00992664" w:rsidRPr="00020424">
        <w:rPr>
          <w:rtl/>
        </w:rPr>
        <w:t xml:space="preserve"> ، ج 11 ، ص 63 ، ح 10421.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w:t>
      </w:r>
      <w:r w:rsidR="00992664" w:rsidRPr="00515444">
        <w:rPr>
          <w:rStyle w:val="libFootnoteBoldChar"/>
          <w:rtl/>
        </w:rPr>
        <w:t>والوافي</w:t>
      </w:r>
      <w:r w:rsidR="00992664" w:rsidRPr="00020424">
        <w:rPr>
          <w:rtl/>
        </w:rPr>
        <w:t xml:space="preserve">. وفي « ظ ، ى ، بح ، بس ، جن » </w:t>
      </w:r>
      <w:r w:rsidR="00992664" w:rsidRPr="00EB1FD9">
        <w:rPr>
          <w:rStyle w:val="libFootnoteBoldChar"/>
          <w:rtl/>
        </w:rPr>
        <w:t>والوسائل</w:t>
      </w:r>
      <w:r w:rsidR="00992664" w:rsidRPr="00020424">
        <w:rPr>
          <w:rtl/>
        </w:rPr>
        <w:t xml:space="preserve"> : + « </w:t>
      </w:r>
      <w:r w:rsidR="00992664">
        <w:rPr>
          <w:rtl/>
        </w:rPr>
        <w:t>و ».</w:t>
      </w:r>
      <w:r w:rsidR="00992664" w:rsidRPr="00020424">
        <w:rPr>
          <w:rtl/>
        </w:rPr>
        <w:t xml:space="preserve"> وفي « بخ ، بر ، بف » : + « عن سماعة</w:t>
      </w:r>
      <w:r w:rsidR="00992664">
        <w:rPr>
          <w:rtl/>
        </w:rPr>
        <w:t xml:space="preserve"> ».</w:t>
      </w:r>
      <w:r w:rsidR="00992664" w:rsidRPr="00020424">
        <w:rPr>
          <w:rtl/>
        </w:rPr>
        <w:t xml:space="preserve"> وفي المطبوع : + « [ عن سماعة ] </w:t>
      </w:r>
      <w:r w:rsidR="00992664">
        <w:rPr>
          <w:rtl/>
        </w:rPr>
        <w:t>و ».</w:t>
      </w:r>
    </w:p>
    <w:p w:rsidR="00992664" w:rsidRPr="00020424" w:rsidRDefault="00992664" w:rsidP="00DE00C8">
      <w:pPr>
        <w:pStyle w:val="libFootnote0"/>
        <w:rPr>
          <w:rtl/>
          <w:lang w:bidi="fa-IR"/>
        </w:rPr>
      </w:pPr>
      <w:r w:rsidRPr="00DE00C8">
        <w:rPr>
          <w:rtl/>
        </w:rPr>
        <w:t xml:space="preserve">والظاهر أنّ الصواب ما أثبتناه ؛ فإنّه مضافاً إلى رواية زرعة [ بن محمّد ] عن المفضّل [ بن عمر ] في عدّة من الأسناد وعدم التعاطف بين سماعة والمفضّل في شي‌ء من الأسناد ، ورد الخبر مع زيادة في صدره في </w:t>
      </w:r>
      <w:r w:rsidRPr="0012008A">
        <w:rPr>
          <w:rStyle w:val="libFootnoteBoldChar"/>
          <w:rtl/>
        </w:rPr>
        <w:t>الفقيه</w:t>
      </w:r>
      <w:r w:rsidRPr="00DE00C8">
        <w:rPr>
          <w:rtl/>
        </w:rPr>
        <w:t xml:space="preserve"> ، ج 2 ، ص 93 ، ح 1827 ، بإسناده عن زرعة ، عن المفضّل ، عن أبي عبد الله </w:t>
      </w:r>
      <w:r w:rsidRPr="00D64ADA">
        <w:rPr>
          <w:rStyle w:val="libFootnoteAlaemChar"/>
          <w:rtl/>
        </w:rPr>
        <w:t>عليه‌السلام</w:t>
      </w:r>
      <w:r w:rsidRPr="00DE00C8">
        <w:rPr>
          <w:rtl/>
        </w:rPr>
        <w:t xml:space="preserve">. وكذا ورد في </w:t>
      </w:r>
      <w:r w:rsidRPr="0012008A">
        <w:rPr>
          <w:rStyle w:val="libFootnoteBoldChar"/>
          <w:rtl/>
        </w:rPr>
        <w:t>ثواب الأعمال</w:t>
      </w:r>
      <w:r w:rsidRPr="00DE00C8">
        <w:rPr>
          <w:rtl/>
        </w:rPr>
        <w:t xml:space="preserve"> ، ص 82 ، ح 7 </w:t>
      </w:r>
      <w:r w:rsidRPr="00D27EE2">
        <w:rPr>
          <w:rStyle w:val="libFootnoteBoldChar"/>
          <w:rtl/>
        </w:rPr>
        <w:t>وفضائل الأشهر الثلاثة</w:t>
      </w:r>
      <w:r w:rsidRPr="00DE00C8">
        <w:rPr>
          <w:rtl/>
        </w:rPr>
        <w:t xml:space="preserve"> ، ص 58 ، ح 38 ، بسنديه عن زرعة [ بن محمّد ] عن المفضّل بن عمر ، عن أبي عبد الله </w:t>
      </w:r>
      <w:r w:rsidRPr="00D64ADA">
        <w:rPr>
          <w:rStyle w:val="libFootnoteAlaemChar"/>
          <w:rtl/>
        </w:rPr>
        <w:t>عليه‌السلام</w:t>
      </w:r>
      <w:r w:rsidRPr="00DE00C8">
        <w:rPr>
          <w:rtl/>
        </w:rPr>
        <w:t>.</w:t>
      </w:r>
    </w:p>
    <w:p w:rsidR="00992664" w:rsidRPr="00020424" w:rsidRDefault="00992664" w:rsidP="00DE00C8">
      <w:pPr>
        <w:pStyle w:val="libFootnote0"/>
        <w:rPr>
          <w:rtl/>
          <w:lang w:bidi="fa-IR"/>
        </w:rPr>
      </w:pPr>
      <w:r w:rsidRPr="00DE00C8">
        <w:rPr>
          <w:rtl/>
        </w:rPr>
        <w:t xml:space="preserve">ولا يخفى أنّ المقام من مظانّ زيادة « عن سماعة » سهواً ؛ لما ورد في كثيرٍ من الأسناد من رواية زرعة [ بن محمّد ] عن سماعة [ بن مهران ]. راجع : </w:t>
      </w:r>
      <w:r w:rsidRPr="00DE76B9">
        <w:rPr>
          <w:rStyle w:val="libFootnoteBoldChar"/>
          <w:rtl/>
        </w:rPr>
        <w:t>معجم رجال الحديث</w:t>
      </w:r>
      <w:r w:rsidRPr="00DE00C8">
        <w:rPr>
          <w:rtl/>
        </w:rPr>
        <w:t xml:space="preserve"> ، ج 7 ، ص 474 </w:t>
      </w:r>
      <w:r w:rsidR="009B673F" w:rsidRPr="00DE00C8">
        <w:rPr>
          <w:rtl/>
        </w:rPr>
        <w:t>-</w:t>
      </w:r>
      <w:r w:rsidRPr="00DE00C8">
        <w:rPr>
          <w:rtl/>
        </w:rPr>
        <w:t xml:space="preserve"> 480.</w:t>
      </w:r>
    </w:p>
    <w:p w:rsidR="00992664" w:rsidRPr="00020424" w:rsidRDefault="00992664" w:rsidP="00DE00C8">
      <w:pPr>
        <w:pStyle w:val="libFootnote0"/>
        <w:rPr>
          <w:rtl/>
          <w:lang w:bidi="fa-IR"/>
        </w:rPr>
      </w:pPr>
      <w:r w:rsidRPr="00D82B22">
        <w:rPr>
          <w:rtl/>
        </w:rPr>
        <w:t>ثمّ إنّ في « بخ ، بر ، بف » :</w:t>
      </w:r>
      <w:r>
        <w:rPr>
          <w:rtl/>
        </w:rPr>
        <w:t xml:space="preserve"> </w:t>
      </w:r>
      <w:r w:rsidR="009B673F">
        <w:rPr>
          <w:rtl/>
        </w:rPr>
        <w:t>-</w:t>
      </w:r>
      <w:r>
        <w:rPr>
          <w:rtl/>
        </w:rPr>
        <w:t xml:space="preserve"> </w:t>
      </w:r>
      <w:r w:rsidRPr="00D82B22">
        <w:rPr>
          <w:rtl/>
        </w:rPr>
        <w:t>/ « بن محمّد</w:t>
      </w:r>
      <w:r>
        <w:rPr>
          <w:rtl/>
        </w:rPr>
        <w:t xml:space="preserve"> ».</w:t>
      </w:r>
      <w:r w:rsidR="00DE00C8">
        <w:rPr>
          <w:rFonts w:hint="cs"/>
          <w:rtl/>
        </w:rPr>
        <w:t xml:space="preserve">      </w:t>
      </w:r>
      <w:r w:rsidR="00795177">
        <w:rPr>
          <w:rtl/>
        </w:rPr>
        <w:t>(5).</w:t>
      </w:r>
      <w:r w:rsidR="0014403D">
        <w:rPr>
          <w:rtl/>
        </w:rPr>
        <w:t xml:space="preserve"> </w:t>
      </w:r>
      <w:r w:rsidRPr="00020424">
        <w:rPr>
          <w:rtl/>
        </w:rPr>
        <w:t xml:space="preserve">في « ى ، بث ، جن » </w:t>
      </w:r>
      <w:r w:rsidRPr="00515444">
        <w:rPr>
          <w:rStyle w:val="libFootnoteBoldChar"/>
          <w:rtl/>
        </w:rPr>
        <w:t>والوافي</w:t>
      </w:r>
      <w:r w:rsidRPr="00020424">
        <w:rPr>
          <w:rtl/>
        </w:rPr>
        <w:t xml:space="preserve"> : « وشهر رمضان</w:t>
      </w:r>
      <w:r>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93 ، ح 1827 ، معلّقاً عن زرعة ، عن المفضّل ، عن أبي عبدالله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ثواب الأعمال</w:t>
      </w:r>
      <w:r w:rsidR="00992664" w:rsidRPr="00020424">
        <w:rPr>
          <w:rtl/>
        </w:rPr>
        <w:t xml:space="preserve"> ، ص 84 ، ح 7 ، بسنده عن زرعة بن محمّد ، عن المفضّل بن عمر ، وفيهما مع زيادة في أوّله </w:t>
      </w:r>
      <w:r w:rsidR="00497064">
        <w:rPr>
          <w:rFonts w:hint="cs"/>
          <w:rtl/>
        </w:rPr>
        <w:t>.</w:t>
      </w:r>
      <w:r w:rsidR="00992664" w:rsidRPr="0012008A">
        <w:rPr>
          <w:rStyle w:val="libFootnoteBoldChar"/>
          <w:rtl/>
        </w:rPr>
        <w:t>الوافي</w:t>
      </w:r>
      <w:r w:rsidR="00992664" w:rsidRPr="00020424">
        <w:rPr>
          <w:rtl/>
        </w:rPr>
        <w:t xml:space="preserve"> ، ج 11 ، ص 63 ، ح 10422 ؛ </w:t>
      </w:r>
      <w:r w:rsidR="00992664" w:rsidRPr="0012008A">
        <w:rPr>
          <w:rStyle w:val="libFootnoteBoldChar"/>
          <w:rtl/>
        </w:rPr>
        <w:t>الوسائل</w:t>
      </w:r>
      <w:r w:rsidR="00992664" w:rsidRPr="00020424">
        <w:rPr>
          <w:rtl/>
        </w:rPr>
        <w:t xml:space="preserve"> ، ج 10 ، ص 496 ، ح 13947.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السند معلّق على سابقه. ويروي عن أحمد بن محمّد ، عدّة من أصحابنا.</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عَمْرِو بْنِ خَالِدٍ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يَصُومُ شَعْبَانَ وَرَمَضَانَ </w:t>
      </w:r>
      <w:r w:rsidRPr="00A91B96">
        <w:rPr>
          <w:rStyle w:val="libFootnotenumChar"/>
          <w:rtl/>
        </w:rPr>
        <w:t>(1)</w:t>
      </w:r>
      <w:r w:rsidRPr="00020424">
        <w:rPr>
          <w:rtl/>
          <w:lang w:bidi="fa-IR"/>
        </w:rPr>
        <w:t xml:space="preserve"> يَصِلُهُمَا </w:t>
      </w:r>
      <w:r w:rsidRPr="00A91B96">
        <w:rPr>
          <w:rStyle w:val="libFootnotenumChar"/>
          <w:rtl/>
        </w:rPr>
        <w:t>(2)</w:t>
      </w:r>
      <w:r w:rsidRPr="00020424">
        <w:rPr>
          <w:rtl/>
          <w:lang w:bidi="fa-IR"/>
        </w:rPr>
        <w:t xml:space="preserve"> ، وَيَنْهَى النَّاسَ أَنْ يَصِلُوهُمَا </w:t>
      </w:r>
      <w:r w:rsidRPr="00A91B96">
        <w:rPr>
          <w:rStyle w:val="libFootnotenumChar"/>
          <w:rtl/>
        </w:rPr>
        <w:t>(3)</w:t>
      </w:r>
      <w:r w:rsidRPr="00020424">
        <w:rPr>
          <w:rtl/>
          <w:lang w:bidi="fa-IR"/>
        </w:rPr>
        <w:t xml:space="preserve"> ، وَكَانَ يَقُولُ : هُمَا شَهْرَا </w:t>
      </w:r>
      <w:r w:rsidRPr="00A91B96">
        <w:rPr>
          <w:rStyle w:val="libFootnotenumChar"/>
          <w:rtl/>
        </w:rPr>
        <w:t>(4)</w:t>
      </w:r>
      <w:r w:rsidRPr="00020424">
        <w:rPr>
          <w:rtl/>
          <w:lang w:bidi="fa-IR"/>
        </w:rPr>
        <w:t xml:space="preserve"> اللهِ ، وَهُمَا </w:t>
      </w:r>
      <w:r w:rsidRPr="00A91B96">
        <w:rPr>
          <w:rStyle w:val="libFootnotenumChar"/>
          <w:rtl/>
        </w:rPr>
        <w:t>(5)</w:t>
      </w:r>
      <w:r w:rsidRPr="00020424">
        <w:rPr>
          <w:rtl/>
          <w:lang w:bidi="fa-IR"/>
        </w:rPr>
        <w:t xml:space="preserve"> كَفَّارَةٌ لِمَا قَبْلَهُمَا وَلِمَا بَعْدَهُمَا مِنَ الذُّنُوبِ</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571508">
        <w:rPr>
          <w:rtl/>
        </w:rPr>
        <w:t>6342</w:t>
      </w:r>
      <w:r w:rsidRPr="001155DE">
        <w:rPr>
          <w:rStyle w:val="libBold2Char"/>
          <w:rtl/>
        </w:rPr>
        <w:t xml:space="preserve"> / 5.</w:t>
      </w:r>
      <w:r w:rsidRPr="00020424">
        <w:rPr>
          <w:rtl/>
          <w:lang w:bidi="fa-IR"/>
        </w:rPr>
        <w:t xml:space="preserve"> عَلِيُّ بْنُ مُحَمَّدٍ ، عَنْ بَعْضِ أَصْحَابِهِ </w:t>
      </w:r>
      <w:r w:rsidRPr="00A91B96">
        <w:rPr>
          <w:rStyle w:val="libFootnotenumChar"/>
          <w:rtl/>
        </w:rPr>
        <w:t>(7)</w:t>
      </w:r>
      <w:r w:rsidRPr="00020424">
        <w:rPr>
          <w:rtl/>
          <w:lang w:bidi="fa-IR"/>
        </w:rPr>
        <w:t xml:space="preserve"> ، عَنْ مُحَمَّدِ بْنِ سُل</w:t>
      </w:r>
      <w:r w:rsidR="00497064">
        <w:rPr>
          <w:rtl/>
          <w:lang w:bidi="fa-IR"/>
        </w:rPr>
        <w:t>َيْمَانَ ، عَنْ أَبِيهِ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تَقُولُ فِي الرَّجُلِ يَصُومُ شَعْبَانَ وَشَهْرَ رَمَضَانَ</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بث » </w:t>
      </w:r>
      <w:r w:rsidR="00992664" w:rsidRPr="00F27D90">
        <w:rPr>
          <w:rtl/>
        </w:rPr>
        <w:t>والوافي والفقيه والتهذيب والاستبصار وثواب الأعمال وفضائل الأشهر الثلاثة</w:t>
      </w:r>
      <w:r w:rsidR="00992664" w:rsidRPr="00020424">
        <w:rPr>
          <w:rtl/>
        </w:rPr>
        <w:t xml:space="preserve"> : « وشهررمضان</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ويصلهما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حمل في </w:t>
      </w:r>
      <w:r w:rsidR="00992664" w:rsidRPr="0012008A">
        <w:rPr>
          <w:rStyle w:val="libFootnoteBoldChar"/>
          <w:rtl/>
        </w:rPr>
        <w:t>الفقيه</w:t>
      </w:r>
      <w:r w:rsidR="00992664" w:rsidRPr="00020424">
        <w:rPr>
          <w:rtl/>
        </w:rPr>
        <w:t xml:space="preserve"> قوله : وينهى الناس أن يصلوهما ، على الإنكار والحكاية ، دون الإخبار ؛ يعني من‌شاء وصل ، ومن شاء فصل ، واستدلّ عليه بالخبر السابق. أقول : بل الأولى أن يجعل الوصل هنا بمعنى ترك الإفطار إلى السحر حتّى يصير صوم وصال ؛ ليكون موافقاً لما رواه في </w:t>
      </w:r>
      <w:r w:rsidR="00992664" w:rsidRPr="0012008A">
        <w:rPr>
          <w:rStyle w:val="libFootnoteBoldChar"/>
          <w:rtl/>
        </w:rPr>
        <w:t>الفقيه</w:t>
      </w:r>
      <w:r w:rsidR="00992664" w:rsidRPr="00020424">
        <w:rPr>
          <w:rtl/>
        </w:rPr>
        <w:t xml:space="preserve"> أيضاً أنّه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نهى عن الوصال وكان يواصل ، الحديث ، كما يأتي في الباب الآتى ، ولخبر سليمان الآتي في هذا الباب. وما ذكره بعيد عن سياق الكلام وما بعده جدّاً ، مع أنّ ذلك ليس ممّا يتعجّب منه ويستنكر ؛ إذ كان له </w:t>
      </w:r>
      <w:r w:rsidR="00D64ADA" w:rsidRPr="00D64ADA">
        <w:rPr>
          <w:rStyle w:val="libFootnoteAlaemChar"/>
          <w:rtl/>
        </w:rPr>
        <w:t>صلى‌الله‌عليه‌وآله</w:t>
      </w:r>
      <w:r w:rsidR="00B42914" w:rsidRPr="00B42914">
        <w:rPr>
          <w:rStyle w:val="libAlaemChar"/>
          <w:rtl/>
        </w:rPr>
        <w:t>‌</w:t>
      </w:r>
      <w:r w:rsidR="00497064">
        <w:rPr>
          <w:rtl/>
        </w:rPr>
        <w:t xml:space="preserve"> خصائص ليست ل</w:t>
      </w:r>
      <w:r w:rsidR="00992664" w:rsidRPr="00020424">
        <w:rPr>
          <w:rtl/>
        </w:rPr>
        <w:t>ا</w:t>
      </w:r>
      <w:r w:rsidR="00497064">
        <w:rPr>
          <w:rFonts w:hint="cs"/>
          <w:rtl/>
        </w:rPr>
        <w:t>ُ</w:t>
      </w:r>
      <w:r w:rsidR="00992664" w:rsidRPr="00020424">
        <w:rPr>
          <w:rtl/>
        </w:rPr>
        <w:t>مّته ، كما يدلّ عليه الخبر الآتي وغيره من الأخبار</w:t>
      </w:r>
      <w:r w:rsidR="00992664">
        <w:rPr>
          <w:rtl/>
        </w:rPr>
        <w:t xml:space="preserve"> ».</w:t>
      </w:r>
    </w:p>
    <w:p w:rsidR="00992664" w:rsidRPr="00020424" w:rsidRDefault="00992664" w:rsidP="00F27D90">
      <w:pPr>
        <w:pStyle w:val="libFootnote0"/>
        <w:rPr>
          <w:rtl/>
          <w:lang w:bidi="fa-IR"/>
        </w:rPr>
      </w:pPr>
      <w:r w:rsidRPr="00222106">
        <w:rPr>
          <w:rtl/>
        </w:rPr>
        <w:t xml:space="preserve">وفي </w:t>
      </w:r>
      <w:r w:rsidRPr="00DE76B9">
        <w:rPr>
          <w:rStyle w:val="libFootnoteBoldChar"/>
          <w:rtl/>
        </w:rPr>
        <w:t>مرآة العقول</w:t>
      </w:r>
      <w:r w:rsidRPr="00222106">
        <w:rPr>
          <w:rtl/>
        </w:rPr>
        <w:t xml:space="preserve"> ، ج 16 ، ص 256 ؛ « ... وحمله الشيخ على الوصال المحرّم على غيره </w:t>
      </w:r>
      <w:r w:rsidR="00D64ADA" w:rsidRPr="00D64ADA">
        <w:rPr>
          <w:rStyle w:val="libFootnoteAlaemChar"/>
          <w:rtl/>
        </w:rPr>
        <w:t>صلى‌الله‌عليه‌وآله</w:t>
      </w:r>
      <w:r w:rsidR="00B42914" w:rsidRPr="00B42914">
        <w:rPr>
          <w:rStyle w:val="libAlaemChar"/>
          <w:rtl/>
        </w:rPr>
        <w:t>‌</w:t>
      </w:r>
      <w:r w:rsidRPr="00222106">
        <w:rPr>
          <w:rtl/>
        </w:rPr>
        <w:t xml:space="preserve"> بأن لا يفطر بين آخر شعبان وأوّل شهر رمضان. ويمكن أن يقرأ </w:t>
      </w:r>
      <w:r w:rsidR="009B673F" w:rsidRPr="00222106">
        <w:rPr>
          <w:rtl/>
        </w:rPr>
        <w:t>-</w:t>
      </w:r>
      <w:r w:rsidRPr="00222106">
        <w:rPr>
          <w:rtl/>
        </w:rPr>
        <w:t xml:space="preserve"> أي ينهى </w:t>
      </w:r>
      <w:r w:rsidR="009B673F" w:rsidRPr="00222106">
        <w:rPr>
          <w:rtl/>
        </w:rPr>
        <w:t>-</w:t>
      </w:r>
      <w:r w:rsidRPr="00222106">
        <w:rPr>
          <w:rtl/>
        </w:rPr>
        <w:t xml:space="preserve"> على بناء الإفعال بمعنى الإعلام والإبلاغ. ويحتمل أيضاً أن يكون « الناس » بالرفع ؛ ليكون فاعل ينهى ، أي لم يكن النبيّ </w:t>
      </w:r>
      <w:r w:rsidR="00F27D90" w:rsidRPr="00D64ADA">
        <w:rPr>
          <w:rStyle w:val="libFootnoteAlaemChar"/>
          <w:rtl/>
        </w:rPr>
        <w:t>صلى‌الله‌عليه‌وآله</w:t>
      </w:r>
      <w:r w:rsidR="00F27D90" w:rsidRPr="00B42914">
        <w:rPr>
          <w:rStyle w:val="libAlaemChar"/>
          <w:rtl/>
        </w:rPr>
        <w:t>‌</w:t>
      </w:r>
      <w:r w:rsidR="00F27D90">
        <w:rPr>
          <w:rtl/>
        </w:rPr>
        <w:t xml:space="preserve"> </w:t>
      </w:r>
      <w:r w:rsidRPr="00222106">
        <w:rPr>
          <w:rtl/>
        </w:rPr>
        <w:t xml:space="preserve">ينهى عن الوصل ، بل كان يفعله ، والناس ، أي العامّة ينهون عنه افتراء عليه </w:t>
      </w:r>
      <w:r w:rsidR="00D64ADA" w:rsidRPr="00D64ADA">
        <w:rPr>
          <w:rStyle w:val="libFootnoteAlaemChar"/>
          <w:rtl/>
        </w:rPr>
        <w:t>صلى‌الله‌عليه‌وآله</w:t>
      </w:r>
      <w:r w:rsidR="00B42914" w:rsidRPr="00B42914">
        <w:rPr>
          <w:rStyle w:val="libAlaemChar"/>
          <w:rtl/>
        </w:rPr>
        <w:t>‌</w:t>
      </w:r>
      <w:r w:rsidRPr="00222106">
        <w:rPr>
          <w:rtl/>
        </w:rPr>
        <w:t>. والأظهر الحمل على التقيّة ».</w:t>
      </w:r>
    </w:p>
    <w:p w:rsidR="00992664" w:rsidRPr="00020424" w:rsidRDefault="00795177" w:rsidP="00222106">
      <w:pPr>
        <w:pStyle w:val="libFootnote0"/>
        <w:rPr>
          <w:rtl/>
          <w:lang w:bidi="fa-IR"/>
        </w:rPr>
      </w:pPr>
      <w:r>
        <w:rPr>
          <w:rtl/>
        </w:rPr>
        <w:t>(4).</w:t>
      </w:r>
      <w:r w:rsidR="0014403D">
        <w:rPr>
          <w:rtl/>
        </w:rPr>
        <w:t xml:space="preserve"> </w:t>
      </w:r>
      <w:r w:rsidR="00992664" w:rsidRPr="00020424">
        <w:rPr>
          <w:rtl/>
        </w:rPr>
        <w:t xml:space="preserve">في « ظ ، ى ، بث ، بح ، بخ ، بس ، جن » </w:t>
      </w:r>
      <w:r w:rsidR="00992664" w:rsidRPr="00D27EE2">
        <w:rPr>
          <w:rStyle w:val="libFootnoteBoldChar"/>
          <w:rtl/>
        </w:rPr>
        <w:t>وفضائل الأشهر الثلاثة</w:t>
      </w:r>
      <w:r w:rsidR="00992664" w:rsidRPr="00020424">
        <w:rPr>
          <w:rtl/>
        </w:rPr>
        <w:t xml:space="preserve"> : « شهر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بف » : « هما » بدون الواو.</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ثواب الأعمال</w:t>
      </w:r>
      <w:r w:rsidR="00992664" w:rsidRPr="00020424">
        <w:rPr>
          <w:rtl/>
        </w:rPr>
        <w:t xml:space="preserve"> ، ص 85 ، ح 8 ، بسنده عن أحمد بن أبي عبدالله ، عن الحسين بن سعيد. وفي </w:t>
      </w:r>
      <w:r w:rsidR="00992664" w:rsidRPr="0012008A">
        <w:rPr>
          <w:rStyle w:val="libFootnoteBoldChar"/>
          <w:rtl/>
        </w:rPr>
        <w:t>التهذيب</w:t>
      </w:r>
      <w:r w:rsidR="00992664" w:rsidRPr="00020424">
        <w:rPr>
          <w:rtl/>
        </w:rPr>
        <w:t xml:space="preserve"> ، ج 4 ، ص 307 ، ح 926 ؛ </w:t>
      </w:r>
      <w:r w:rsidR="00992664" w:rsidRPr="00FD6221">
        <w:rPr>
          <w:rStyle w:val="libFootnoteBoldChar"/>
          <w:rtl/>
        </w:rPr>
        <w:t>والاستبصار</w:t>
      </w:r>
      <w:r w:rsidR="00992664" w:rsidRPr="00020424">
        <w:rPr>
          <w:rtl/>
        </w:rPr>
        <w:t xml:space="preserve"> ، ج 2 ، ص 137 ، ح 450 ، معلّقاً عن الحسين بن سعيد. </w:t>
      </w:r>
      <w:r w:rsidR="00992664" w:rsidRPr="00DE76B9">
        <w:rPr>
          <w:rStyle w:val="libFootnoteBoldChar"/>
          <w:rtl/>
        </w:rPr>
        <w:t>فضائل الأشهر الثلاثة</w:t>
      </w:r>
      <w:r w:rsidR="00992664" w:rsidRPr="00020424">
        <w:rPr>
          <w:rtl/>
        </w:rPr>
        <w:t xml:space="preserve"> ، ص 51 ، ح 27 ، بسنده عن الحسين بن سعيد. </w:t>
      </w:r>
      <w:r w:rsidR="00992664" w:rsidRPr="0012008A">
        <w:rPr>
          <w:rStyle w:val="libFootnoteBoldChar"/>
          <w:rtl/>
        </w:rPr>
        <w:t>الفقيه</w:t>
      </w:r>
      <w:r w:rsidR="00992664" w:rsidRPr="00020424">
        <w:rPr>
          <w:rtl/>
        </w:rPr>
        <w:t xml:space="preserve"> ، ج 2 ، ص 93 ، ح 1826 ، معلّقاً عن عمرو بن خالد </w:t>
      </w:r>
      <w:r w:rsidR="00222106">
        <w:rPr>
          <w:rFonts w:hint="cs"/>
          <w:rtl/>
        </w:rPr>
        <w:t>.</w:t>
      </w:r>
      <w:r w:rsidR="00992664" w:rsidRPr="0012008A">
        <w:rPr>
          <w:rStyle w:val="libFootnoteBoldChar"/>
          <w:rtl/>
        </w:rPr>
        <w:t>الوافي</w:t>
      </w:r>
      <w:r w:rsidR="00992664" w:rsidRPr="00020424">
        <w:rPr>
          <w:rtl/>
        </w:rPr>
        <w:t xml:space="preserve"> ، ج 11 ، ص 64 ، ح 10423 ؛ </w:t>
      </w:r>
      <w:r w:rsidR="00992664" w:rsidRPr="0012008A">
        <w:rPr>
          <w:rStyle w:val="libFootnoteBoldChar"/>
          <w:rtl/>
        </w:rPr>
        <w:t>الوسائل</w:t>
      </w:r>
      <w:r w:rsidR="00992664" w:rsidRPr="00020424">
        <w:rPr>
          <w:rtl/>
        </w:rPr>
        <w:t xml:space="preserve"> ، ج 10 ، ص 496 ، ح 13948.</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حاشية « بث » </w:t>
      </w:r>
      <w:r w:rsidR="00992664" w:rsidRPr="00515444">
        <w:rPr>
          <w:rStyle w:val="libFootnoteBoldChar"/>
          <w:rtl/>
        </w:rPr>
        <w:t>والتهذيب</w:t>
      </w:r>
      <w:r w:rsidR="00992664" w:rsidRPr="00020424">
        <w:rPr>
          <w:rtl/>
        </w:rPr>
        <w:t xml:space="preserve"> ، ص 307 : « أصحابنا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هُمَا الشَّهْرَانِ اللَّذَانِ </w:t>
      </w:r>
      <w:r w:rsidRPr="00A91B96">
        <w:rPr>
          <w:rStyle w:val="libFootnotenumChar"/>
          <w:rtl/>
        </w:rPr>
        <w:t>(2)</w:t>
      </w:r>
      <w:r w:rsidRPr="00020424">
        <w:rPr>
          <w:rtl/>
          <w:lang w:bidi="fa-IR"/>
        </w:rPr>
        <w:t xml:space="preserve"> قَالَ اللهُ تَبَارَكَ وَتَعَالى : </w:t>
      </w:r>
      <w:r w:rsidRPr="00005A81">
        <w:rPr>
          <w:rStyle w:val="libAlaemChar"/>
          <w:rtl/>
        </w:rPr>
        <w:t>(</w:t>
      </w:r>
      <w:r w:rsidRPr="004E5AB4">
        <w:rPr>
          <w:rStyle w:val="libAieChar"/>
          <w:rtl/>
        </w:rPr>
        <w:t xml:space="preserve"> شَهْرَيْنِ مُتَتابِعَيْنِ تَوْبَةً مِنَ اللهِ</w:t>
      </w:r>
      <w:r w:rsidRPr="00005A81">
        <w:rPr>
          <w:rStyle w:val="libAlaemChar"/>
          <w:rtl/>
        </w:rPr>
        <w:t>)</w:t>
      </w:r>
      <w:r w:rsidRPr="00020424">
        <w:rPr>
          <w:rtl/>
          <w:lang w:bidi="fa-IR"/>
        </w:rPr>
        <w:t xml:space="preserve">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فَلَا يَفْصِلُ </w:t>
      </w:r>
      <w:r w:rsidRPr="00A91B96">
        <w:rPr>
          <w:rStyle w:val="libFootnotenumChar"/>
          <w:rtl/>
        </w:rPr>
        <w:t>(4)</w:t>
      </w:r>
      <w:r w:rsidRPr="00020424">
        <w:rPr>
          <w:rtl/>
          <w:lang w:bidi="fa-IR"/>
        </w:rPr>
        <w:t xml:space="preserve"> بَيْنَهُمَا</w:t>
      </w:r>
      <w:r>
        <w:rPr>
          <w:rtl/>
          <w:lang w:bidi="fa-IR"/>
        </w:rPr>
        <w:t>؟</w:t>
      </w:r>
    </w:p>
    <w:p w:rsidR="00992664" w:rsidRPr="00020424" w:rsidRDefault="00992664" w:rsidP="00992664">
      <w:pPr>
        <w:pStyle w:val="libNormal"/>
        <w:rPr>
          <w:rtl/>
          <w:lang w:bidi="fa-IR"/>
        </w:rPr>
      </w:pPr>
      <w:r w:rsidRPr="00020424">
        <w:rPr>
          <w:rtl/>
          <w:lang w:bidi="fa-IR"/>
        </w:rPr>
        <w:t xml:space="preserve">قَالَ : « إِذَا أَفْطَرَ مِنَ اللَّيْلِ فَهُوَ فَصْلٌ ، وَإِنَّمَا قَالَ رَسُولُ اللهِ </w:t>
      </w:r>
      <w:r w:rsidR="00B42914" w:rsidRPr="00B42914">
        <w:rPr>
          <w:rStyle w:val="libAlaemChar"/>
          <w:rtl/>
        </w:rPr>
        <w:t>صلى‌الله‌عليه‌وآله‌</w:t>
      </w:r>
      <w:r w:rsidRPr="00020424">
        <w:rPr>
          <w:rtl/>
          <w:lang w:bidi="fa-IR"/>
        </w:rPr>
        <w:t xml:space="preserve"> : لَاوِصَالَ فِي صِيَامٍ ، يَعْنِي لَايَصُومُ الرَّجُلُ يَوْمَيْنِ </w:t>
      </w:r>
      <w:r w:rsidRPr="00A91B96">
        <w:rPr>
          <w:rStyle w:val="libFootnotenumChar"/>
          <w:rtl/>
        </w:rPr>
        <w:t>(5)</w:t>
      </w:r>
      <w:r w:rsidRPr="00020424">
        <w:rPr>
          <w:rtl/>
          <w:lang w:bidi="fa-IR"/>
        </w:rPr>
        <w:t xml:space="preserve"> مُتَوَالِيَيْنِ مِنْ غَيْرِ إِفْطَارٍ ، وَقَدْ يُسْتَحَبُّ لِلْعَبْدِ </w:t>
      </w:r>
      <w:r w:rsidRPr="00A91B96">
        <w:rPr>
          <w:rStyle w:val="libFootnotenumChar"/>
          <w:rtl/>
        </w:rPr>
        <w:t>(6)</w:t>
      </w:r>
      <w:r w:rsidRPr="00020424">
        <w:rPr>
          <w:rtl/>
          <w:lang w:bidi="fa-IR"/>
        </w:rPr>
        <w:t xml:space="preserve"> أَنْ لَا يَدَعَ السَّحُورَ</w:t>
      </w:r>
      <w:r>
        <w:rPr>
          <w:rtl/>
          <w:lang w:bidi="fa-IR"/>
        </w:rPr>
        <w:t>».</w:t>
      </w:r>
      <w:r w:rsidRPr="00A91B96">
        <w:rPr>
          <w:rStyle w:val="libFootnotenumChar"/>
          <w:rtl/>
        </w:rPr>
        <w:t>(7)</w:t>
      </w:r>
    </w:p>
    <w:p w:rsidR="00992664" w:rsidRPr="00020424" w:rsidRDefault="00992664" w:rsidP="00992664">
      <w:pPr>
        <w:pStyle w:val="libNormal"/>
        <w:rPr>
          <w:rtl/>
          <w:lang w:bidi="fa-IR"/>
        </w:rPr>
      </w:pPr>
      <w:r w:rsidRPr="00571508">
        <w:rPr>
          <w:rtl/>
        </w:rPr>
        <w:t>6343</w:t>
      </w:r>
      <w:r w:rsidRPr="001155DE">
        <w:rPr>
          <w:rStyle w:val="libBold2Char"/>
          <w:rtl/>
        </w:rPr>
        <w:t xml:space="preserve"> / 6.</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سأَلَهُ </w:t>
      </w:r>
      <w:r w:rsidRPr="00A91B96">
        <w:rPr>
          <w:rStyle w:val="libFootnotenumChar"/>
          <w:rtl/>
        </w:rPr>
        <w:t>(8)</w:t>
      </w:r>
      <w:r w:rsidRPr="00020424">
        <w:rPr>
          <w:rtl/>
          <w:lang w:bidi="fa-IR"/>
        </w:rPr>
        <w:t xml:space="preserve"> عَنِ الصَّوْمِ فِي الْحَضَرِ</w:t>
      </w:r>
      <w:r>
        <w:rPr>
          <w:rtl/>
          <w:lang w:bidi="fa-IR"/>
        </w:rPr>
        <w:t>؟</w:t>
      </w:r>
    </w:p>
    <w:p w:rsidR="00992664" w:rsidRPr="00020424" w:rsidRDefault="00992664" w:rsidP="00992664">
      <w:pPr>
        <w:pStyle w:val="libNormal"/>
        <w:rPr>
          <w:rtl/>
          <w:lang w:bidi="fa-IR"/>
        </w:rPr>
      </w:pPr>
      <w:r w:rsidRPr="00020424">
        <w:rPr>
          <w:rtl/>
          <w:lang w:bidi="fa-IR"/>
        </w:rPr>
        <w:t>فَقَالَ : « ثَلَاثَةُ أَيَّامٍ فِي كُلِّ شَهْرٍ : الْخَمِيسُ مِنْ جُمْعَةٍ ، وَالْأَرْبِعَاءُ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هما الشهران ؛ يعني أنّهما مثل شهري الكفّارة في أنّهما توبة من الله وكفّارة للخطايا ، ولمّا فهم السائل من التتابع لزوم الوصل من غير إفطار ، وكان قد سمع النهي عن الوصال ، أشكل الأمر عليه ، فاستفهم ذلك ، فأجابه </w:t>
      </w:r>
      <w:r w:rsidR="00992664" w:rsidRPr="00D64ADA">
        <w:rPr>
          <w:rStyle w:val="libFootnoteAlaemChar"/>
          <w:rtl/>
        </w:rPr>
        <w:t>عليه‌السلام</w:t>
      </w:r>
      <w:r w:rsidR="00992664" w:rsidRPr="00020424">
        <w:rPr>
          <w:rtl/>
        </w:rPr>
        <w:t xml:space="preserve"> بالفرق بين الأمرين. وهذا الخبر كالنصّ في ما قلناه في تأويل الخبر السابق</w:t>
      </w:r>
      <w:r w:rsidR="00992664">
        <w:rPr>
          <w:rtl/>
        </w:rPr>
        <w:t xml:space="preserve"> ».</w:t>
      </w:r>
    </w:p>
    <w:p w:rsidR="00992664" w:rsidRPr="00020424" w:rsidRDefault="00992664" w:rsidP="00222106">
      <w:pPr>
        <w:pStyle w:val="libFootnote0"/>
        <w:rPr>
          <w:rtl/>
          <w:lang w:bidi="fa-IR"/>
        </w:rPr>
      </w:pPr>
      <w:r w:rsidRPr="00222106">
        <w:rPr>
          <w:rtl/>
        </w:rPr>
        <w:t xml:space="preserve">وفي </w:t>
      </w:r>
      <w:r w:rsidRPr="00DE76B9">
        <w:rPr>
          <w:rStyle w:val="libFootnoteBoldChar"/>
          <w:rtl/>
        </w:rPr>
        <w:t>مرآة العقول</w:t>
      </w:r>
      <w:r w:rsidRPr="00222106">
        <w:rPr>
          <w:rtl/>
        </w:rPr>
        <w:t xml:space="preserve"> : « قوله </w:t>
      </w:r>
      <w:r w:rsidRPr="00D64ADA">
        <w:rPr>
          <w:rStyle w:val="libFootnoteAlaemChar"/>
          <w:rtl/>
        </w:rPr>
        <w:t>عليه‌السلام</w:t>
      </w:r>
      <w:r w:rsidRPr="00222106">
        <w:rPr>
          <w:rtl/>
        </w:rPr>
        <w:t xml:space="preserve"> : هما الشهران ، هذه الآية وردت ظاهراً في كفّارة قتل الخطأ ، ولا خلاف في أنّه لا يجزي هذان الشهران عنها. ويحتمل أن يكون أوّلاً كذلك ، ثمّ نسخ ، أو يكون المراد أنّهما نظير هذين الشهرين في كون كلّ منهما كفّارة من الذنوب. ولا يبعد أن يكون في بطن الآية هذا أيضاً مراداً ».</w:t>
      </w:r>
    </w:p>
    <w:p w:rsidR="00992664" w:rsidRPr="00020424" w:rsidRDefault="00795177" w:rsidP="00222106">
      <w:pPr>
        <w:pStyle w:val="libFootnote0"/>
        <w:rPr>
          <w:rtl/>
          <w:lang w:bidi="fa-IR"/>
        </w:rPr>
      </w:pPr>
      <w:r>
        <w:rPr>
          <w:rtl/>
        </w:rPr>
        <w:t>(3).</w:t>
      </w:r>
      <w:r w:rsidR="0014403D">
        <w:rPr>
          <w:rtl/>
        </w:rPr>
        <w:t xml:space="preserve"> </w:t>
      </w:r>
      <w:r w:rsidR="00992664" w:rsidRPr="00020424">
        <w:rPr>
          <w:rtl/>
        </w:rPr>
        <w:t xml:space="preserve">النساء </w:t>
      </w:r>
      <w:r w:rsidR="00222106">
        <w:rPr>
          <w:rtl/>
        </w:rPr>
        <w:t>(4)</w:t>
      </w:r>
      <w:r w:rsidR="0014403D">
        <w:rPr>
          <w:rtl/>
        </w:rPr>
        <w:t xml:space="preserve"> </w:t>
      </w:r>
      <w:r w:rsidR="00992664" w:rsidRPr="00020424">
        <w:rPr>
          <w:rtl/>
        </w:rPr>
        <w:t>: 92.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بر ، بف » : « ولا يفصل</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أفلا يفصل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C4AD0" w:rsidTr="006C4AD0">
        <w:tc>
          <w:tcPr>
            <w:tcW w:w="4006" w:type="dxa"/>
          </w:tcPr>
          <w:p w:rsidR="006C4AD0" w:rsidRDefault="006C4AD0" w:rsidP="00992664">
            <w:pPr>
              <w:pStyle w:val="libFootnote0"/>
              <w:rPr>
                <w:rtl/>
              </w:rPr>
            </w:pPr>
            <w:r>
              <w:rPr>
                <w:rtl/>
              </w:rPr>
              <w:t xml:space="preserve">(5). </w:t>
            </w:r>
            <w:r w:rsidRPr="00020424">
              <w:rPr>
                <w:rtl/>
              </w:rPr>
              <w:t>في « بح » : « صومين</w:t>
            </w:r>
            <w:r>
              <w:rPr>
                <w:rtl/>
              </w:rPr>
              <w:t xml:space="preserve"> ».</w:t>
            </w:r>
          </w:p>
        </w:tc>
        <w:tc>
          <w:tcPr>
            <w:tcW w:w="4006" w:type="dxa"/>
          </w:tcPr>
          <w:p w:rsidR="006C4AD0" w:rsidRDefault="006C4AD0"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 ص 309 : « للرجل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307 ، ح 927 ؛ وص 309 ، ذيل ح 932 ، [ وفيه من قوله : « قلت : فلا يفصل بينهما » ] ؛ </w:t>
      </w:r>
      <w:r w:rsidR="00992664" w:rsidRPr="00FD6221">
        <w:rPr>
          <w:rStyle w:val="libFootnoteBoldChar"/>
          <w:rtl/>
        </w:rPr>
        <w:t>والاستبصار</w:t>
      </w:r>
      <w:r w:rsidR="00992664" w:rsidRPr="00020424">
        <w:rPr>
          <w:rtl/>
        </w:rPr>
        <w:t xml:space="preserve"> ، ج 2 ، ص 138 ، ح 452 ، معلّقاً عن الكليني. راجع : </w:t>
      </w:r>
      <w:r w:rsidR="00992664" w:rsidRPr="00DE76B9">
        <w:rPr>
          <w:rStyle w:val="libFootnoteBoldChar"/>
          <w:rtl/>
        </w:rPr>
        <w:t>الكافي</w:t>
      </w:r>
      <w:r w:rsidR="00992664" w:rsidRPr="00020424">
        <w:rPr>
          <w:rtl/>
        </w:rPr>
        <w:t xml:space="preserve"> ، كتاب الصيام ، باب صوم الوصال وصوم الدهر ، ح 6351 ؛ وكتاب النكاح ، باب أنّه لارضاع بعد فطام ، ح 9898 ؛ </w:t>
      </w:r>
      <w:r w:rsidR="00992664" w:rsidRPr="00FD6221">
        <w:rPr>
          <w:rStyle w:val="libFootnoteBoldChar"/>
          <w:rtl/>
        </w:rPr>
        <w:t>والفقيه</w:t>
      </w:r>
      <w:r w:rsidR="00992664" w:rsidRPr="00020424">
        <w:rPr>
          <w:rtl/>
        </w:rPr>
        <w:t xml:space="preserve"> ، ج 2 ، ص 172 ، ح 2049 ؛ وج 3 ، ص 359 ، ح 4273 ؛ وج 4 ، ص 367 ، ح 5762 ؛ و</w:t>
      </w:r>
      <w:r w:rsidR="00992664" w:rsidRPr="00E82BAA">
        <w:rPr>
          <w:rStyle w:val="libFootnoteBoldChar"/>
          <w:rtl/>
        </w:rPr>
        <w:t>النوادر للأشعري</w:t>
      </w:r>
      <w:r w:rsidR="00992664" w:rsidRPr="00020424">
        <w:rPr>
          <w:rtl/>
        </w:rPr>
        <w:t xml:space="preserve"> ، ص 26 ، ح 17 ؛ و</w:t>
      </w:r>
      <w:r w:rsidR="00992664" w:rsidRPr="00DE76B9">
        <w:rPr>
          <w:rStyle w:val="libFootnoteBoldChar"/>
          <w:rtl/>
        </w:rPr>
        <w:t>الجعفريّات</w:t>
      </w:r>
      <w:r w:rsidR="00992664" w:rsidRPr="00020424">
        <w:rPr>
          <w:rtl/>
        </w:rPr>
        <w:t xml:space="preserve"> ، ص 112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378 ، المجلس 60 ، ح 4 ؛ وص 423 ، المجلس 15 ، ح 3 </w:t>
      </w:r>
      <w:r w:rsidR="00B73188">
        <w:rPr>
          <w:rFonts w:hint="cs"/>
          <w:rtl/>
        </w:rPr>
        <w:t>.</w:t>
      </w:r>
      <w:r w:rsidR="00992664" w:rsidRPr="0012008A">
        <w:rPr>
          <w:rStyle w:val="libFootnoteBoldChar"/>
          <w:rtl/>
        </w:rPr>
        <w:t>الوافي</w:t>
      </w:r>
      <w:r w:rsidR="00992664" w:rsidRPr="00020424">
        <w:rPr>
          <w:rtl/>
        </w:rPr>
        <w:t xml:space="preserve"> ، ج 11 ، ص 65 ، ح 10425 ؛ </w:t>
      </w:r>
      <w:r w:rsidR="00992664" w:rsidRPr="0012008A">
        <w:rPr>
          <w:rStyle w:val="libFootnoteBoldChar"/>
          <w:rtl/>
        </w:rPr>
        <w:t>الوسائل</w:t>
      </w:r>
      <w:r w:rsidR="00992664" w:rsidRPr="00020424">
        <w:rPr>
          <w:rtl/>
        </w:rPr>
        <w:t xml:space="preserve"> ، ج 10 ، ص 496 ، ح 13946 ؛ وص 522 ، ح 14019 ؛ </w:t>
      </w:r>
      <w:r w:rsidR="00992664" w:rsidRPr="00DE76B9">
        <w:rPr>
          <w:rStyle w:val="libFootnoteBoldChar"/>
          <w:rtl/>
        </w:rPr>
        <w:t>وفيه</w:t>
      </w:r>
      <w:r w:rsidR="00992664" w:rsidRPr="00020424">
        <w:rPr>
          <w:rtl/>
        </w:rPr>
        <w:t xml:space="preserve"> ، ص 143 ، ح 13058 ، تمام الرواية هكذا : « وقد يستحبّ للعبد أن لايدع السحور</w:t>
      </w:r>
      <w:r w:rsidR="00992664">
        <w:rPr>
          <w:rtl/>
        </w:rPr>
        <w:t xml:space="preserve"> ».</w:t>
      </w:r>
    </w:p>
    <w:p w:rsidR="00992664" w:rsidRDefault="00795177" w:rsidP="00992664">
      <w:pPr>
        <w:pStyle w:val="libFootnote0"/>
        <w:rPr>
          <w:rtl/>
        </w:rPr>
      </w:pPr>
      <w:r>
        <w:rPr>
          <w:rtl/>
        </w:rPr>
        <w:t>(8).</w:t>
      </w:r>
      <w:r w:rsidR="0014403D">
        <w:rPr>
          <w:rtl/>
        </w:rPr>
        <w:t xml:space="preserve"> </w:t>
      </w:r>
      <w:r w:rsidR="00992664" w:rsidRPr="00020424">
        <w:rPr>
          <w:rtl/>
        </w:rPr>
        <w:t>هكذا في « ظ ، ى ، بث ، بخ ، بر ، بف ، جن</w:t>
      </w:r>
      <w:r w:rsidR="00992664">
        <w:rPr>
          <w:rtl/>
        </w:rPr>
        <w:t xml:space="preserve"> ».</w:t>
      </w:r>
      <w:r w:rsidR="00992664" w:rsidRPr="00020424">
        <w:rPr>
          <w:rtl/>
        </w:rPr>
        <w:t xml:space="preserve"> وفي « بح ، بس » والمطبوع </w:t>
      </w:r>
      <w:r w:rsidR="00992664" w:rsidRPr="00EB1FD9">
        <w:rPr>
          <w:rStyle w:val="libFootnoteBoldChar"/>
          <w:rtl/>
        </w:rPr>
        <w:t>والوسائل</w:t>
      </w:r>
      <w:r w:rsidR="00992664" w:rsidRPr="00020424">
        <w:rPr>
          <w:rtl/>
        </w:rPr>
        <w:t xml:space="preserve"> : « سئل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27D90">
      <w:pPr>
        <w:pStyle w:val="libNormal0"/>
        <w:rPr>
          <w:rtl/>
          <w:lang w:bidi="fa-IR"/>
        </w:rPr>
      </w:pPr>
      <w:r w:rsidRPr="00020424">
        <w:rPr>
          <w:rtl/>
          <w:lang w:bidi="fa-IR"/>
        </w:rPr>
        <w:t xml:space="preserve">جُمْعَةٍ </w:t>
      </w:r>
      <w:r w:rsidRPr="00A91B96">
        <w:rPr>
          <w:rStyle w:val="libFootnotenumChar"/>
          <w:rtl/>
        </w:rPr>
        <w:t>(1)</w:t>
      </w:r>
      <w:r w:rsidRPr="00020424">
        <w:rPr>
          <w:rtl/>
          <w:lang w:bidi="fa-IR"/>
        </w:rPr>
        <w:t xml:space="preserve"> ، وَالْخَمِيسُ مِنْ جُمْعَةٍ أُخْرى</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w:t>
      </w:r>
      <w:r w:rsidRPr="00A91B96">
        <w:rPr>
          <w:rStyle w:val="libFootnotenumChar"/>
          <w:rtl/>
        </w:rPr>
        <w:t>(2)</w:t>
      </w:r>
      <w:r w:rsidRPr="00020424">
        <w:rPr>
          <w:rtl/>
          <w:lang w:bidi="fa-IR"/>
        </w:rPr>
        <w:t xml:space="preserve"> : « قَالَ أَمِيرُ الْمُؤْمِنِينَ </w:t>
      </w:r>
      <w:r w:rsidRPr="00005A81">
        <w:rPr>
          <w:rStyle w:val="libAlaemChar"/>
          <w:rtl/>
        </w:rPr>
        <w:t>عليه‌السلام</w:t>
      </w:r>
      <w:r w:rsidRPr="00020424">
        <w:rPr>
          <w:rtl/>
          <w:lang w:bidi="fa-IR"/>
        </w:rPr>
        <w:t xml:space="preserve"> : صِيَامُ شَهْرِ الصَّبْرِ </w:t>
      </w:r>
      <w:r w:rsidRPr="00A91B96">
        <w:rPr>
          <w:rStyle w:val="libFootnotenumChar"/>
          <w:rtl/>
        </w:rPr>
        <w:t>(3)</w:t>
      </w:r>
      <w:r w:rsidRPr="00020424">
        <w:rPr>
          <w:rtl/>
          <w:lang w:bidi="fa-IR"/>
        </w:rPr>
        <w:t xml:space="preserve"> وَثَلَاثَةِ أَيَّامٍ مِنْ كُلِّ شَهْرٍ يَذْهَبْنَ بِبَلَابِلِ </w:t>
      </w:r>
      <w:r w:rsidRPr="00A91B96">
        <w:rPr>
          <w:rStyle w:val="libFootnotenumChar"/>
          <w:rtl/>
        </w:rPr>
        <w:t>(4)</w:t>
      </w:r>
      <w:r w:rsidRPr="00020424">
        <w:rPr>
          <w:rtl/>
          <w:lang w:bidi="fa-IR"/>
        </w:rPr>
        <w:t xml:space="preserve"> الصُّدُورِ </w:t>
      </w:r>
      <w:r w:rsidRPr="00A91B96">
        <w:rPr>
          <w:rStyle w:val="libFootnotenumChar"/>
          <w:rtl/>
        </w:rPr>
        <w:t>(5)</w:t>
      </w:r>
      <w:r w:rsidRPr="00020424">
        <w:rPr>
          <w:rtl/>
          <w:lang w:bidi="fa-IR"/>
        </w:rPr>
        <w:t xml:space="preserve"> ، وَصِيَامُ ثَلَاثَةِ أَيَّامٍ مِنْ كُلِّ شَهْرٍ صِيَامُ الدَّهْرِ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00093BD9">
        <w:rPr>
          <w:rtl/>
          <w:lang w:bidi="fa-IR"/>
        </w:rPr>
        <w:t>يَقُولُ</w:t>
      </w:r>
      <w:r w:rsidRPr="00020424">
        <w:rPr>
          <w:rtl/>
          <w:lang w:bidi="fa-IR"/>
        </w:rPr>
        <w:t>:</w:t>
      </w:r>
      <w:r w:rsidRPr="00005A81">
        <w:rPr>
          <w:rStyle w:val="libAlaemChar"/>
          <w:rtl/>
        </w:rPr>
        <w:t>(</w:t>
      </w:r>
      <w:r w:rsidRPr="004E5AB4">
        <w:rPr>
          <w:rStyle w:val="libAieChar"/>
          <w:rtl/>
        </w:rPr>
        <w:t xml:space="preserve"> مَنْ جاءَ بِالْحَسَنَةِ فَلَهُ عَشْرُ أَمْثالِها </w:t>
      </w:r>
      <w:r w:rsidRPr="00005A81">
        <w:rPr>
          <w:rStyle w:val="libAlaemChar"/>
          <w:rtl/>
        </w:rPr>
        <w:t>)</w:t>
      </w:r>
      <w:r w:rsidRPr="00020424">
        <w:rPr>
          <w:rtl/>
          <w:lang w:bidi="fa-IR"/>
        </w:rPr>
        <w:t xml:space="preserve">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571508">
        <w:rPr>
          <w:rtl/>
        </w:rPr>
        <w:t>6344</w:t>
      </w:r>
      <w:r w:rsidRPr="001155DE">
        <w:rPr>
          <w:rStyle w:val="libBold2Char"/>
          <w:rtl/>
        </w:rPr>
        <w:t xml:space="preserve"> / 7.</w:t>
      </w:r>
      <w:r w:rsidRPr="00020424">
        <w:rPr>
          <w:rtl/>
          <w:lang w:bidi="fa-IR"/>
        </w:rPr>
        <w:t xml:space="preserve"> عِدَّةٌ مِنْ أَصْحَابِنَا ، عَنْ سَهْلِ بْنِ زِيَادٍ ، عَنْ أَحْمَدَ بْنِ مُحَ</w:t>
      </w:r>
      <w:r w:rsidR="00093BD9">
        <w:rPr>
          <w:rtl/>
          <w:lang w:bidi="fa-IR"/>
        </w:rPr>
        <w:t>مَّدِ بْنِ أَبِي نَصْرٍ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الصِّيَامِ فِي الشَّهْرِ : كَيْفَ هُوَ</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 « ى » :</w:t>
      </w:r>
      <w:r w:rsidR="00992664">
        <w:rPr>
          <w:rtl/>
        </w:rPr>
        <w:t xml:space="preserve"> </w:t>
      </w:r>
      <w:r w:rsidR="009B673F">
        <w:rPr>
          <w:rtl/>
        </w:rPr>
        <w:t>-</w:t>
      </w:r>
      <w:r w:rsidR="00992664">
        <w:rPr>
          <w:rtl/>
        </w:rPr>
        <w:t xml:space="preserve"> </w:t>
      </w:r>
      <w:r w:rsidR="00992664" w:rsidRPr="00020424">
        <w:rPr>
          <w:rtl/>
        </w:rPr>
        <w:t>« والأربعاء من جمعة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قال </w:t>
      </w:r>
      <w:r w:rsidR="00992664">
        <w:rPr>
          <w:rtl/>
        </w:rPr>
        <w:t>و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شهر الصبر : شهر رمضان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بلابل</w:t>
      </w:r>
      <w:r w:rsidR="00992664">
        <w:rPr>
          <w:rtl/>
        </w:rPr>
        <w:t xml:space="preserve"> ».</w:t>
      </w:r>
      <w:r w:rsidR="00992664" w:rsidRPr="00020424">
        <w:rPr>
          <w:rtl/>
        </w:rPr>
        <w:t xml:space="preserve"> وقال الخليل : « البَلْبَلة : وسواس الهموم في الصدر ، وهو البَلبال ، والجمع : البلابل. وغيره : البلبلة والبَلابل والبَلبال : شدّة الهمّ ، والوسواس في الصدور ، وحديث النفس ، فأمّا البِلْبال بالكسر فمصدر</w:t>
      </w:r>
      <w:r w:rsidR="00992664">
        <w:rPr>
          <w:rtl/>
        </w:rPr>
        <w:t xml:space="preserve"> ».</w:t>
      </w:r>
      <w:r w:rsidR="00992664" w:rsidRPr="00020424">
        <w:rPr>
          <w:rtl/>
        </w:rPr>
        <w:t xml:space="preserve"> وقال الزبيدي : « هو جمع بالبال ، والظاهر من سياقه أنّه كعُلابط ؛ فإنّه لو كان بالفتح لقال : الجمع : بلابل ، فتأمّل</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1 ، ص 191 ؛ </w:t>
      </w:r>
      <w:r w:rsidR="00992664" w:rsidRPr="00A722B1">
        <w:rPr>
          <w:rStyle w:val="libFootnoteBoldChar"/>
          <w:rtl/>
        </w:rPr>
        <w:t>لسان العرب</w:t>
      </w:r>
      <w:r w:rsidR="00992664" w:rsidRPr="00020424">
        <w:rPr>
          <w:rtl/>
        </w:rPr>
        <w:t xml:space="preserve"> ، ج 11 ، ص 69 ؛ </w:t>
      </w:r>
      <w:r w:rsidR="00992664" w:rsidRPr="00DE76B9">
        <w:rPr>
          <w:rStyle w:val="libFootnoteBoldChar"/>
          <w:rtl/>
        </w:rPr>
        <w:t>تاج العروس</w:t>
      </w:r>
      <w:r w:rsidR="00992664" w:rsidRPr="00020424">
        <w:rPr>
          <w:rtl/>
        </w:rPr>
        <w:t xml:space="preserve"> ، ج 7 ، ص 235 ( بلل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 « الصدر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الأنعام </w:t>
      </w:r>
      <w:r w:rsidR="000B1E41">
        <w:rPr>
          <w:rtl/>
        </w:rPr>
        <w:t>(6)</w:t>
      </w:r>
      <w:r w:rsidR="0014403D">
        <w:rPr>
          <w:rtl/>
        </w:rPr>
        <w:t xml:space="preserve"> </w:t>
      </w:r>
      <w:r w:rsidR="00992664" w:rsidRPr="00020424">
        <w:rPr>
          <w:rtl/>
        </w:rPr>
        <w:t>: 160.</w:t>
      </w:r>
    </w:p>
    <w:p w:rsidR="00992664" w:rsidRPr="00020424" w:rsidRDefault="00795177" w:rsidP="003E7D86">
      <w:pPr>
        <w:pStyle w:val="libFootnote0"/>
        <w:rPr>
          <w:rtl/>
          <w:lang w:bidi="fa-IR"/>
        </w:rPr>
      </w:pPr>
      <w:r>
        <w:rPr>
          <w:rtl/>
        </w:rPr>
        <w:t>(7).</w:t>
      </w:r>
      <w:r w:rsidR="0014403D">
        <w:rPr>
          <w:rtl/>
        </w:rPr>
        <w:t xml:space="preserve"> </w:t>
      </w:r>
      <w:r w:rsidR="00992664" w:rsidRPr="00587829">
        <w:rPr>
          <w:rStyle w:val="libFootnoteBoldChar"/>
          <w:rtl/>
        </w:rPr>
        <w:t>الأمالي للصدوق</w:t>
      </w:r>
      <w:r w:rsidR="00992664" w:rsidRPr="00020424">
        <w:rPr>
          <w:rtl/>
        </w:rPr>
        <w:t xml:space="preserve"> ، ص 587 ، المجلس 86 ، ح 10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xml:space="preserve">، ص 97 ، ح 83 ، بسندهما عن محمّد بن أبي عمير ، عن حمّاد بن عثمان ، عن الحلبي. </w:t>
      </w:r>
      <w:r w:rsidR="00992664" w:rsidRPr="0012008A">
        <w:rPr>
          <w:rStyle w:val="libFootnoteBoldChar"/>
          <w:rtl/>
        </w:rPr>
        <w:t>ثواب الأعمال</w:t>
      </w:r>
      <w:r w:rsidR="00992664" w:rsidRPr="00020424">
        <w:rPr>
          <w:rtl/>
        </w:rPr>
        <w:t xml:space="preserve"> ، ص 105 ، ح 2 ، بسنده عن محمّد بن أبي عمير ، وفي الأخيرين من قوله : « قال : قال أميرالمؤمنين </w:t>
      </w:r>
      <w:r w:rsidR="00992664" w:rsidRPr="00D64ADA">
        <w:rPr>
          <w:rStyle w:val="libFootnoteAlaemChar"/>
          <w:rtl/>
        </w:rPr>
        <w:t>عليه‌السلام</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303 ، ح 915 ؛ </w:t>
      </w:r>
      <w:r w:rsidR="00992664" w:rsidRPr="00FD6221">
        <w:rPr>
          <w:rStyle w:val="libFootnoteBoldChar"/>
          <w:rtl/>
        </w:rPr>
        <w:t>والاستبصار</w:t>
      </w:r>
      <w:r w:rsidR="00992664" w:rsidRPr="00020424">
        <w:rPr>
          <w:rtl/>
        </w:rPr>
        <w:t xml:space="preserve"> ، ج 2 ، ص 136 ، ح 445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160 ، باب الثلاثة ، ح 209 ، بسند آخر ، مع اختلاف. </w:t>
      </w:r>
      <w:r w:rsidR="00992664" w:rsidRPr="00DE76B9">
        <w:rPr>
          <w:rStyle w:val="libFootnoteBoldChar"/>
          <w:rtl/>
        </w:rPr>
        <w:t>تفسير العيّاشي</w:t>
      </w:r>
      <w:r w:rsidR="00992664" w:rsidRPr="00020424">
        <w:rPr>
          <w:rtl/>
        </w:rPr>
        <w:t xml:space="preserve"> ، ج 1 ، ص 387 ، ح 141 ، عن عبدالله الحلبي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386 ، ح 134 ، عن الحسين بن سعيد ، يرفعه عن أميرالمؤمنين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83 ، ح 1789 ، مرسلاً عن أميرالمؤمنين </w:t>
      </w:r>
      <w:r w:rsidR="00992664" w:rsidRPr="00D64ADA">
        <w:rPr>
          <w:rStyle w:val="libFootnoteAlaemChar"/>
          <w:rtl/>
        </w:rPr>
        <w:t>عليه‌السلام</w:t>
      </w:r>
      <w:r w:rsidR="00992664" w:rsidRPr="00020424">
        <w:rPr>
          <w:rtl/>
        </w:rPr>
        <w:t xml:space="preserve"> ، وفي الثلاثة الأخيرة من قوله : « قال أميرالمؤمنين </w:t>
      </w:r>
      <w:r w:rsidR="00992664" w:rsidRPr="00D64ADA">
        <w:rPr>
          <w:rStyle w:val="libFootnoteAlaemChar"/>
          <w:rtl/>
        </w:rPr>
        <w:t>عليه‌السلام</w:t>
      </w:r>
      <w:r w:rsidR="00992664">
        <w:rPr>
          <w:rtl/>
        </w:rPr>
        <w:t xml:space="preserve"> ».</w:t>
      </w:r>
      <w:r w:rsidR="00992664" w:rsidRPr="00020424">
        <w:rPr>
          <w:rtl/>
        </w:rPr>
        <w:t xml:space="preserve"> راجع : </w:t>
      </w:r>
      <w:r w:rsidR="00992664" w:rsidRPr="00DE76B9">
        <w:rPr>
          <w:rStyle w:val="libFootnoteBoldChar"/>
          <w:rtl/>
        </w:rPr>
        <w:t>تفسير العيّاشي</w:t>
      </w:r>
      <w:r w:rsidR="00992664" w:rsidRPr="00020424">
        <w:rPr>
          <w:rtl/>
        </w:rPr>
        <w:t xml:space="preserve"> ، ج 1 ، ص 387 ، ح 142 ؛ </w:t>
      </w:r>
      <w:r w:rsidR="00992664" w:rsidRPr="00515444">
        <w:rPr>
          <w:rStyle w:val="libFootnoteBoldChar"/>
          <w:rtl/>
        </w:rPr>
        <w:t>وعلل الشرائع</w:t>
      </w:r>
      <w:r w:rsidR="00992664" w:rsidRPr="00DE76B9">
        <w:rPr>
          <w:rStyle w:val="libFootnoteBoldChar"/>
          <w:rtl/>
        </w:rPr>
        <w:t xml:space="preserve"> </w:t>
      </w:r>
      <w:r w:rsidR="00992664" w:rsidRPr="00020424">
        <w:rPr>
          <w:rtl/>
        </w:rPr>
        <w:t xml:space="preserve">، ص 271 ، ح 9 ؛ </w:t>
      </w:r>
      <w:r w:rsidR="00992664" w:rsidRPr="00DF4D84">
        <w:rPr>
          <w:rStyle w:val="libFootnoteBoldChar"/>
          <w:rtl/>
        </w:rPr>
        <w:t>وعيون الأخبار</w:t>
      </w:r>
      <w:r w:rsidR="00992664" w:rsidRPr="00020424">
        <w:rPr>
          <w:rtl/>
        </w:rPr>
        <w:t xml:space="preserve"> ، ج 2 ، ص 118 ، ح 1 </w:t>
      </w:r>
      <w:r w:rsidR="000A5C1C">
        <w:rPr>
          <w:rFonts w:hint="cs"/>
          <w:rtl/>
        </w:rPr>
        <w:t>.</w:t>
      </w:r>
      <w:r w:rsidR="00992664" w:rsidRPr="0012008A">
        <w:rPr>
          <w:rStyle w:val="libFootnoteBoldChar"/>
          <w:rtl/>
        </w:rPr>
        <w:t>الوافي</w:t>
      </w:r>
      <w:r w:rsidR="00992664" w:rsidRPr="00020424">
        <w:rPr>
          <w:rtl/>
        </w:rPr>
        <w:t xml:space="preserve"> ، ج 11 ، ص 45 ، ح 10379 ؛ </w:t>
      </w:r>
      <w:r w:rsidR="00992664" w:rsidRPr="0012008A">
        <w:rPr>
          <w:rStyle w:val="libFootnoteBoldChar"/>
          <w:rtl/>
        </w:rPr>
        <w:t>الوسائل</w:t>
      </w:r>
      <w:r w:rsidR="00992664" w:rsidRPr="00020424">
        <w:rPr>
          <w:rtl/>
        </w:rPr>
        <w:t xml:space="preserve"> ، ج 10 ، ص 423 ، ح 13752 ، إلى قوله : « والخميس من جمعة ا</w:t>
      </w:r>
      <w:r w:rsidR="000A5C1C">
        <w:rPr>
          <w:rFonts w:hint="cs"/>
          <w:rtl/>
        </w:rPr>
        <w:t>ُ</w:t>
      </w:r>
      <w:r w:rsidR="00992664" w:rsidRPr="00020424">
        <w:rPr>
          <w:rtl/>
        </w:rPr>
        <w:t>خرى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4650B">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ثَلَاثٌ </w:t>
      </w:r>
      <w:r w:rsidRPr="00A91B96">
        <w:rPr>
          <w:rStyle w:val="libFootnotenumChar"/>
          <w:rtl/>
        </w:rPr>
        <w:t>(2)</w:t>
      </w:r>
      <w:r w:rsidRPr="00020424">
        <w:rPr>
          <w:rtl/>
          <w:lang w:bidi="fa-IR"/>
        </w:rPr>
        <w:t xml:space="preserve"> فِي الشَّهْرِ ، فِي كُلِّ عَشْرٍ </w:t>
      </w:r>
      <w:r w:rsidRPr="00A91B96">
        <w:rPr>
          <w:rStyle w:val="libFootnotenumChar"/>
          <w:rtl/>
        </w:rPr>
        <w:t>(3)</w:t>
      </w:r>
      <w:r w:rsidRPr="00020424">
        <w:rPr>
          <w:rtl/>
          <w:lang w:bidi="fa-IR"/>
        </w:rPr>
        <w:t xml:space="preserve"> يَوْمٌ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مَنْ جاءَ بِالْحَسَنَةِ فَلَهُ عَشْرُ أَمْثالِها </w:t>
      </w:r>
      <w:r w:rsidRPr="00005A81">
        <w:rPr>
          <w:rStyle w:val="libAlaemChar"/>
          <w:rtl/>
        </w:rPr>
        <w:t>)</w:t>
      </w:r>
      <w:r w:rsidRPr="00020424">
        <w:rPr>
          <w:rtl/>
          <w:lang w:bidi="fa-IR"/>
        </w:rPr>
        <w:t xml:space="preserve"> </w:t>
      </w:r>
      <w:r w:rsidRPr="00A91B96">
        <w:rPr>
          <w:rStyle w:val="libFootnotenumChar"/>
          <w:rtl/>
        </w:rPr>
        <w:t>(4)</w:t>
      </w:r>
      <w:r w:rsidRPr="00020424">
        <w:rPr>
          <w:rtl/>
          <w:lang w:bidi="fa-IR"/>
        </w:rPr>
        <w:t xml:space="preserve"> ؛ ثَلَاثَةُ </w:t>
      </w:r>
      <w:r w:rsidRPr="00A91B96">
        <w:rPr>
          <w:rStyle w:val="libFootnotenumChar"/>
          <w:rtl/>
        </w:rPr>
        <w:t>(5)</w:t>
      </w:r>
      <w:r w:rsidRPr="00020424">
        <w:rPr>
          <w:rtl/>
          <w:lang w:bidi="fa-IR"/>
        </w:rPr>
        <w:t xml:space="preserve"> أَيَّامٍ فِي الشَّهْرِ صَوْمُ الدَّهْرِ » </w:t>
      </w:r>
      <w:r w:rsidRPr="00A91B96">
        <w:rPr>
          <w:rStyle w:val="libFootnotenumChar"/>
          <w:rtl/>
        </w:rPr>
        <w:t>(6)</w:t>
      </w:r>
      <w:r w:rsidR="0094650B">
        <w:rPr>
          <w:rFonts w:hint="cs"/>
          <w:rtl/>
          <w:lang w:bidi="fa-IR"/>
        </w:rPr>
        <w:t>.</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B224F">
        <w:rPr>
          <w:rtl/>
        </w:rPr>
        <w:t>6345</w:t>
      </w:r>
      <w:r w:rsidRPr="001155DE">
        <w:rPr>
          <w:rStyle w:val="libBold2Char"/>
          <w:rtl/>
        </w:rPr>
        <w:t xml:space="preserve"> / 8.</w:t>
      </w:r>
      <w:r w:rsidRPr="00020424">
        <w:rPr>
          <w:rtl/>
          <w:lang w:bidi="fa-IR"/>
        </w:rPr>
        <w:t xml:space="preserve"> عِدَّةٌ مِنْ أَصْحَابِنَا ، عَنْ أَحْمَدَ بْنِ مُحَمَّدِ بْنِ خَالِدٍ ، عَنْ مُحَمَّدِ بْنِ عَلِيٍّ ، عَنِ الْحُصَيْنِ </w:t>
      </w:r>
      <w:r w:rsidRPr="00A91B96">
        <w:rPr>
          <w:rStyle w:val="libFootnotenumChar"/>
          <w:rtl/>
        </w:rPr>
        <w:t>(8)</w:t>
      </w:r>
      <w:r w:rsidRPr="00020424">
        <w:rPr>
          <w:rtl/>
          <w:lang w:bidi="fa-IR"/>
        </w:rPr>
        <w:t xml:space="preserve"> بْنِ مُخَارِقٍ أَبِي </w:t>
      </w:r>
      <w:r w:rsidRPr="00A91B96">
        <w:rPr>
          <w:rStyle w:val="libFootnotenumChar"/>
          <w:rtl/>
        </w:rPr>
        <w:t>(9)</w:t>
      </w:r>
      <w:r w:rsidRPr="00020424">
        <w:rPr>
          <w:rtl/>
          <w:lang w:bidi="fa-IR"/>
        </w:rPr>
        <w:t xml:space="preserve"> جُنَادَةَ السَّلُولِيِّ ، عَنْ أَبِي حَمْزَةَ :</w:t>
      </w:r>
    </w:p>
    <w:p w:rsidR="00992664" w:rsidRPr="00020424" w:rsidRDefault="00992664" w:rsidP="00992664">
      <w:pPr>
        <w:pStyle w:val="libNormal"/>
        <w:rPr>
          <w:rtl/>
          <w:lang w:bidi="fa-IR"/>
        </w:rPr>
      </w:pPr>
      <w:r w:rsidRPr="00020424">
        <w:rPr>
          <w:rtl/>
          <w:lang w:bidi="fa-IR"/>
        </w:rPr>
        <w:t xml:space="preserve">عَنْ أَبِي جَعْفَرٍ ، عَنْ أَبِيهِ </w:t>
      </w:r>
      <w:r w:rsidRPr="00005A81">
        <w:rPr>
          <w:rStyle w:val="libAlaemChar"/>
          <w:rtl/>
        </w:rPr>
        <w:t>عليهما‌السلام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صَامَ شَعْبَانَ ، كَانَ لَهُ‌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w:t>
      </w:r>
      <w:r w:rsidR="00992664" w:rsidRPr="00515444">
        <w:rPr>
          <w:rStyle w:val="libFootnoteBoldChar"/>
          <w:rtl/>
        </w:rPr>
        <w:t>والوافي</w:t>
      </w:r>
      <w:r w:rsidR="00992664" w:rsidRPr="00020424">
        <w:rPr>
          <w:rtl/>
        </w:rPr>
        <w:t xml:space="preserve"> : « ثلاثة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ى ، بس » : « عشرة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الأنعام </w:t>
      </w:r>
      <w:r w:rsidR="0094650B">
        <w:rPr>
          <w:rtl/>
        </w:rPr>
        <w:t>(6)</w:t>
      </w:r>
      <w:r w:rsidR="0014403D">
        <w:rPr>
          <w:rtl/>
        </w:rPr>
        <w:t xml:space="preserve"> </w:t>
      </w:r>
      <w:r w:rsidR="00992664" w:rsidRPr="00020424">
        <w:rPr>
          <w:rtl/>
        </w:rPr>
        <w:t>: 160.</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وثلاثة » مع الواو.</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ى ، بح ، بس ، جن » :</w:t>
      </w:r>
      <w:r w:rsidR="00992664">
        <w:rPr>
          <w:rtl/>
        </w:rPr>
        <w:t xml:space="preserve"> </w:t>
      </w:r>
      <w:r w:rsidR="009B673F">
        <w:rPr>
          <w:rtl/>
        </w:rPr>
        <w:t>-</w:t>
      </w:r>
      <w:r w:rsidR="00992664">
        <w:rPr>
          <w:rtl/>
        </w:rPr>
        <w:t xml:space="preserve"> </w:t>
      </w:r>
      <w:r w:rsidR="00992664" w:rsidRPr="00020424">
        <w:rPr>
          <w:rtl/>
        </w:rPr>
        <w:t>« ثلاثة أيّام في الشهر صوم الدهر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302 ، ح 914 ، معلّقاً عن الكليني. </w:t>
      </w:r>
      <w:r w:rsidR="00992664" w:rsidRPr="0012008A">
        <w:rPr>
          <w:rStyle w:val="libFootnoteBoldChar"/>
          <w:rtl/>
        </w:rPr>
        <w:t>ثواب الأعمال</w:t>
      </w:r>
      <w:r w:rsidR="00992664" w:rsidRPr="00020424">
        <w:rPr>
          <w:rtl/>
        </w:rPr>
        <w:t xml:space="preserve"> ، ص 105 ، ح 3 بسند آخر </w:t>
      </w:r>
      <w:r w:rsidR="0094650B">
        <w:rPr>
          <w:rFonts w:hint="cs"/>
          <w:rtl/>
        </w:rPr>
        <w:t>.</w:t>
      </w:r>
      <w:r w:rsidR="00992664" w:rsidRPr="0012008A">
        <w:rPr>
          <w:rStyle w:val="libFootnoteBoldChar"/>
          <w:rtl/>
        </w:rPr>
        <w:t>الوافي</w:t>
      </w:r>
      <w:r w:rsidR="00992664" w:rsidRPr="00020424">
        <w:rPr>
          <w:rtl/>
        </w:rPr>
        <w:t xml:space="preserve"> ، ج 11 ، ص 46 ، ح 10380 ؛ </w:t>
      </w:r>
      <w:r w:rsidR="00992664" w:rsidRPr="0012008A">
        <w:rPr>
          <w:rStyle w:val="libFootnoteBoldChar"/>
          <w:rtl/>
        </w:rPr>
        <w:t>الوسائل</w:t>
      </w:r>
      <w:r w:rsidR="00992664" w:rsidRPr="00020424">
        <w:rPr>
          <w:rtl/>
        </w:rPr>
        <w:t xml:space="preserve"> ، ج 10 ، ص 426 ، ح 13755 و13756.</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ى ، بث ، بح ، بخ ، بر ، بس ، بف ، جن » والمطبوع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الحسين</w:t>
      </w:r>
      <w:r w:rsidR="00992664">
        <w:rPr>
          <w:rtl/>
        </w:rPr>
        <w:t xml:space="preserve"> ».</w:t>
      </w:r>
    </w:p>
    <w:p w:rsidR="00992664" w:rsidRPr="00020424" w:rsidRDefault="00992664" w:rsidP="0094650B">
      <w:pPr>
        <w:pStyle w:val="libFootnote0"/>
        <w:rPr>
          <w:rtl/>
          <w:lang w:bidi="fa-IR"/>
        </w:rPr>
      </w:pPr>
      <w:r w:rsidRPr="0094650B">
        <w:rPr>
          <w:rtl/>
        </w:rPr>
        <w:t xml:space="preserve">والظاهر أنّ الصواب ما أثبتناه ؛ فقد ترجم النجاشي له في رجاله ، ص 145 ، الرقم 376 وقال : « حصين بن المخارق بن عبد الرحمن بن ورقاء بن حبشي أبو جنادة السلوليّ ». والمذكور في </w:t>
      </w:r>
      <w:r w:rsidRPr="00DE76B9">
        <w:rPr>
          <w:rStyle w:val="libFootnoteBoldChar"/>
          <w:rtl/>
        </w:rPr>
        <w:t>رجال الطوسي</w:t>
      </w:r>
      <w:r w:rsidRPr="0094650B">
        <w:rPr>
          <w:rtl/>
        </w:rPr>
        <w:t xml:space="preserve"> ، ص 191 ، الرقم 2363 ، هو حصين بن مخارق أبو جنادة السلوليّ الكوفي.</w:t>
      </w:r>
    </w:p>
    <w:p w:rsidR="00992664" w:rsidRPr="00020424" w:rsidRDefault="00992664" w:rsidP="0094650B">
      <w:pPr>
        <w:pStyle w:val="libFootnote0"/>
        <w:rPr>
          <w:rtl/>
          <w:lang w:bidi="fa-IR"/>
        </w:rPr>
      </w:pPr>
      <w:r w:rsidRPr="0094650B">
        <w:rPr>
          <w:rtl/>
        </w:rPr>
        <w:t xml:space="preserve">وأمّا ما ورد في </w:t>
      </w:r>
      <w:r w:rsidRPr="00DE76B9">
        <w:rPr>
          <w:rStyle w:val="libFootnoteBoldChar"/>
          <w:rtl/>
        </w:rPr>
        <w:t>رجال الطوسي</w:t>
      </w:r>
      <w:r w:rsidRPr="0094650B">
        <w:rPr>
          <w:rtl/>
        </w:rPr>
        <w:t xml:space="preserve"> ، ص 335 ، الرقم 4993 ؛ من الحسين بن المخارق </w:t>
      </w:r>
      <w:r w:rsidR="009B673F" w:rsidRPr="0094650B">
        <w:rPr>
          <w:rtl/>
        </w:rPr>
        <w:t>-</w:t>
      </w:r>
      <w:r w:rsidRPr="0094650B">
        <w:rPr>
          <w:rtl/>
        </w:rPr>
        <w:t xml:space="preserve"> كما في فهرسته ، ص 148 ، الرقم 228 </w:t>
      </w:r>
      <w:r w:rsidR="009B673F" w:rsidRPr="0094650B">
        <w:rPr>
          <w:rtl/>
        </w:rPr>
        <w:t>-</w:t>
      </w:r>
      <w:r w:rsidRPr="0094650B">
        <w:rPr>
          <w:rtl/>
        </w:rPr>
        <w:t xml:space="preserve"> فلا يعتمد عليه ؛ فإنّ المذكور في بعض النسخ المعتبرة من الرجال هو « الحصين ».</w:t>
      </w:r>
    </w:p>
    <w:p w:rsidR="00992664" w:rsidRPr="00020424" w:rsidRDefault="00992664" w:rsidP="0094650B">
      <w:pPr>
        <w:pStyle w:val="libFootnote0"/>
        <w:rPr>
          <w:rtl/>
          <w:lang w:bidi="fa-IR"/>
        </w:rPr>
      </w:pPr>
      <w:r w:rsidRPr="0094650B">
        <w:rPr>
          <w:rtl/>
        </w:rPr>
        <w:t xml:space="preserve">والمذكور في </w:t>
      </w:r>
      <w:r w:rsidRPr="00DE76B9">
        <w:rPr>
          <w:rStyle w:val="libFootnoteBoldChar"/>
          <w:rtl/>
        </w:rPr>
        <w:t>رجال ابن داود</w:t>
      </w:r>
      <w:r w:rsidRPr="0094650B">
        <w:rPr>
          <w:rtl/>
        </w:rPr>
        <w:t xml:space="preserve"> ، ص 530 ، الرقم 152 نقلاً من ابن الغضائري ، هو الحصين بن المخارق.</w:t>
      </w:r>
    </w:p>
    <w:p w:rsidR="00992664" w:rsidRPr="00020424" w:rsidRDefault="0094650B" w:rsidP="0094650B">
      <w:pPr>
        <w:pStyle w:val="libFootnote0"/>
        <w:rPr>
          <w:rtl/>
          <w:lang w:bidi="fa-IR"/>
        </w:rPr>
      </w:pPr>
      <w:r>
        <w:rPr>
          <w:rtl/>
        </w:rPr>
        <w:t>وأمّا ضبطُ العل</w:t>
      </w:r>
      <w:r>
        <w:rPr>
          <w:rFonts w:hint="cs"/>
          <w:rtl/>
        </w:rPr>
        <w:t>ّ</w:t>
      </w:r>
      <w:r>
        <w:rPr>
          <w:rtl/>
        </w:rPr>
        <w:t>ا</w:t>
      </w:r>
      <w:r w:rsidR="00992664" w:rsidRPr="0094650B">
        <w:rPr>
          <w:rtl/>
        </w:rPr>
        <w:t xml:space="preserve">مة العنوان في خلاصته ، ص 219 ، الرقم 3 ، بضم الحاء وفتح الضاد المعجمة ، فهو معارض بضبطه في </w:t>
      </w:r>
      <w:r w:rsidR="00992664" w:rsidRPr="00DE76B9">
        <w:rPr>
          <w:rStyle w:val="libFootnoteBoldChar"/>
          <w:rtl/>
        </w:rPr>
        <w:t>إيضاح الاشتباه</w:t>
      </w:r>
      <w:r w:rsidR="00992664" w:rsidRPr="0094650B">
        <w:rPr>
          <w:rtl/>
        </w:rPr>
        <w:t xml:space="preserve"> ، ص 165 ، الرقم 236 فقد قال فيه : « حصين ، بالحاء المهملة المضمومة والصاد المهملة المفتوحة ».</w:t>
      </w:r>
    </w:p>
    <w:p w:rsidR="00992664" w:rsidRPr="00020424" w:rsidRDefault="00992664" w:rsidP="0094650B">
      <w:pPr>
        <w:pStyle w:val="libFootnote0"/>
        <w:rPr>
          <w:rtl/>
          <w:lang w:bidi="fa-IR"/>
        </w:rPr>
      </w:pPr>
      <w:r w:rsidRPr="0094650B">
        <w:rPr>
          <w:rtl/>
        </w:rPr>
        <w:t xml:space="preserve">ثمّ إنّ الرجل ذكره الذهبي تارة في </w:t>
      </w:r>
      <w:r w:rsidRPr="00DE76B9">
        <w:rPr>
          <w:rStyle w:val="libFootnoteBoldChar"/>
          <w:rtl/>
        </w:rPr>
        <w:t>ميزان الاعتدال</w:t>
      </w:r>
      <w:r w:rsidRPr="0094650B">
        <w:rPr>
          <w:rtl/>
        </w:rPr>
        <w:t xml:space="preserve"> ، ج 2 ، ص 77 ، الرقم 2097 ، وقال : « حصين بن مخارق بن ورقاء ، أبو جنادة » ، وا</w:t>
      </w:r>
      <w:r w:rsidR="0094650B">
        <w:rPr>
          <w:rFonts w:hint="cs"/>
          <w:rtl/>
        </w:rPr>
        <w:t>ُ</w:t>
      </w:r>
      <w:r w:rsidRPr="0094650B">
        <w:rPr>
          <w:rtl/>
        </w:rPr>
        <w:t>خرى في ج 6 ، ص 185 ، الرقم 10074 وقال : « أبو جنادة عن الأعمش هو حصين بن مخارق ».</w:t>
      </w:r>
    </w:p>
    <w:p w:rsidR="00992664" w:rsidRPr="00020424" w:rsidRDefault="00795177" w:rsidP="0094650B">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وأبي » ، لكنّه ورد في بعض نسخه على الصواب ، بدون الواو.</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طُهْراً </w:t>
      </w:r>
      <w:r w:rsidRPr="00A91B96">
        <w:rPr>
          <w:rStyle w:val="libFootnotenumChar"/>
          <w:rtl/>
        </w:rPr>
        <w:t>(1)</w:t>
      </w:r>
      <w:r w:rsidRPr="00020424">
        <w:rPr>
          <w:rtl/>
          <w:lang w:bidi="fa-IR"/>
        </w:rPr>
        <w:t xml:space="preserve"> مِنْ كُلِّ زَلَّةٍ وَوَصْمَةٍ </w:t>
      </w:r>
      <w:r w:rsidRPr="00A91B96">
        <w:rPr>
          <w:rStyle w:val="libFootnotenumChar"/>
          <w:rtl/>
        </w:rPr>
        <w:t>(2)</w:t>
      </w:r>
      <w:r w:rsidRPr="00020424">
        <w:rPr>
          <w:rtl/>
          <w:lang w:bidi="fa-IR"/>
        </w:rPr>
        <w:t xml:space="preserve"> وَبَادِرَةٍ</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قَالَ أَبُو حَمْزَةَ : قُلْتُ </w:t>
      </w:r>
      <w:r w:rsidRPr="00A91B96">
        <w:rPr>
          <w:rStyle w:val="libFootnotenumChar"/>
          <w:rtl/>
        </w:rPr>
        <w:t>(4)</w:t>
      </w:r>
      <w:r w:rsidRPr="00020424">
        <w:rPr>
          <w:rtl/>
          <w:lang w:bidi="fa-IR"/>
        </w:rPr>
        <w:t xml:space="preserve"> لِأَبِي جَعْفَرٍ </w:t>
      </w:r>
      <w:r w:rsidRPr="00005A81">
        <w:rPr>
          <w:rStyle w:val="libAlaemChar"/>
          <w:rtl/>
        </w:rPr>
        <w:t>عليه‌السلام</w:t>
      </w:r>
      <w:r w:rsidRPr="00020424">
        <w:rPr>
          <w:rtl/>
          <w:lang w:bidi="fa-IR"/>
        </w:rPr>
        <w:t xml:space="preserve"> : مَا الْوَصْمَةُ</w:t>
      </w:r>
      <w:r>
        <w:rPr>
          <w:rtl/>
          <w:lang w:bidi="fa-IR"/>
        </w:rPr>
        <w:t>؟</w:t>
      </w:r>
    </w:p>
    <w:p w:rsidR="00992664" w:rsidRPr="00020424" w:rsidRDefault="00992664" w:rsidP="00992664">
      <w:pPr>
        <w:pStyle w:val="libNormal"/>
        <w:rPr>
          <w:rtl/>
          <w:lang w:bidi="fa-IR"/>
        </w:rPr>
      </w:pPr>
      <w:r w:rsidRPr="00020424">
        <w:rPr>
          <w:rtl/>
          <w:lang w:bidi="fa-IR"/>
        </w:rPr>
        <w:t xml:space="preserve">قَالَ : « الْيَمِينُ فِي الْمَعْصِيَةِ ، وَالنَّذْرُ </w:t>
      </w:r>
      <w:r w:rsidRPr="00A91B96">
        <w:rPr>
          <w:rStyle w:val="libFootnotenumChar"/>
          <w:rtl/>
        </w:rPr>
        <w:t>(5)</w:t>
      </w:r>
      <w:r w:rsidRPr="00020424">
        <w:rPr>
          <w:rtl/>
          <w:lang w:bidi="fa-IR"/>
        </w:rPr>
        <w:t xml:space="preserve"> فِي الْمَعْصِيَةِ </w:t>
      </w:r>
      <w:r w:rsidRPr="00A91B96">
        <w:rPr>
          <w:rStyle w:val="libFootnotenumChar"/>
          <w:rtl/>
        </w:rPr>
        <w:t>(6)</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(7)</w:t>
      </w:r>
      <w:r w:rsidRPr="00020424">
        <w:rPr>
          <w:rtl/>
          <w:lang w:bidi="fa-IR"/>
        </w:rPr>
        <w:t xml:space="preserve"> : فَمَا </w:t>
      </w:r>
      <w:r w:rsidRPr="00A91B96">
        <w:rPr>
          <w:rStyle w:val="libFootnotenumChar"/>
          <w:rtl/>
        </w:rPr>
        <w:t>(8)</w:t>
      </w:r>
      <w:r w:rsidRPr="00020424">
        <w:rPr>
          <w:rtl/>
          <w:lang w:bidi="fa-IR"/>
        </w:rPr>
        <w:t xml:space="preserve"> الْبَادِرَةُ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(9)</w:t>
      </w:r>
      <w:r w:rsidRPr="00020424">
        <w:rPr>
          <w:rtl/>
          <w:lang w:bidi="fa-IR"/>
        </w:rPr>
        <w:t xml:space="preserve"> : « الْيَمِينُ عِنْدَ الْغَضَبِ ، وَالتَّوْبَةُ مِنْهَا </w:t>
      </w:r>
      <w:r w:rsidRPr="00A91B96">
        <w:rPr>
          <w:rStyle w:val="libFootnotenumChar"/>
          <w:rtl/>
        </w:rPr>
        <w:t>(10)</w:t>
      </w:r>
      <w:r w:rsidRPr="00020424">
        <w:rPr>
          <w:rtl/>
          <w:lang w:bidi="fa-IR"/>
        </w:rPr>
        <w:t xml:space="preserve"> النَّدَمُ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4B224F">
        <w:rPr>
          <w:rtl/>
        </w:rPr>
        <w:t>6346</w:t>
      </w:r>
      <w:r w:rsidRPr="001155DE">
        <w:rPr>
          <w:rStyle w:val="libBold2Char"/>
          <w:rtl/>
        </w:rPr>
        <w:t xml:space="preserve"> / 9.</w:t>
      </w:r>
      <w:r w:rsidRPr="00020424">
        <w:rPr>
          <w:rtl/>
          <w:lang w:bidi="fa-IR"/>
        </w:rPr>
        <w:t xml:space="preserve"> مُحَمَّدُ بْنُ يَحْيى ، عَنْ أَحْمَدَ بْنِ مُحَمَّدٍ ، عَنِ ابْنِ فَضَّالٍ ، عَنِ ابْنِ بُكَيْرٍ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طهرة</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كان له طهراً ، أي كفّارة وتوبة. أو المراد أنّ ذلك يطهّره بحيث لا يجي‌ء منه هذه الا</w:t>
      </w:r>
      <w:r w:rsidR="0094650B">
        <w:rPr>
          <w:rFonts w:hint="cs"/>
          <w:rtl/>
        </w:rPr>
        <w:t>ُ</w:t>
      </w:r>
      <w:r w:rsidR="00992664" w:rsidRPr="00020424">
        <w:rPr>
          <w:rtl/>
        </w:rPr>
        <w:t>مور بعد ذلك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 « وفهة</w:t>
      </w:r>
      <w:r w:rsidR="00992664">
        <w:rPr>
          <w:rtl/>
        </w:rPr>
        <w:t xml:space="preserve"> ».</w:t>
      </w:r>
      <w:r w:rsidR="00992664" w:rsidRPr="00020424">
        <w:rPr>
          <w:rtl/>
        </w:rPr>
        <w:t xml:space="preserve"> والوَصْمَةُ في اللغة : العيب والعار ، والعيب في الكلام ، وشدّ الشي‌ء بسرعة ، والكسل والفترة في الجسد. راجع : </w:t>
      </w:r>
      <w:r w:rsidR="00992664" w:rsidRPr="0012008A">
        <w:rPr>
          <w:rStyle w:val="libFootnoteBoldChar"/>
          <w:rtl/>
        </w:rPr>
        <w:t>الصحاح</w:t>
      </w:r>
      <w:r w:rsidR="00992664" w:rsidRPr="00020424">
        <w:rPr>
          <w:rtl/>
        </w:rPr>
        <w:t xml:space="preserve"> ، ج 5 ، ص 2052 ؛ </w:t>
      </w:r>
      <w:r w:rsidR="00992664" w:rsidRPr="00A722B1">
        <w:rPr>
          <w:rStyle w:val="libFootnoteBoldChar"/>
          <w:rtl/>
        </w:rPr>
        <w:t>لسان العرب</w:t>
      </w:r>
      <w:r w:rsidR="00992664" w:rsidRPr="00020424">
        <w:rPr>
          <w:rtl/>
        </w:rPr>
        <w:t xml:space="preserve"> ، ج 12 ، ص 630 ( وصم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البادرة : الحِدّة ، وهو ما يبدر من حدّة الرجل عند غضبه من قول أو فعل. والبادرة من الكلام : التي تسبق من الإنسان في الغضب. والبادرة : الكلمة العوراء. والبادرة : الغضبة السريعة. راجع : </w:t>
      </w:r>
      <w:r w:rsidR="00992664" w:rsidRPr="0012008A">
        <w:rPr>
          <w:rStyle w:val="libFootnoteBoldChar"/>
          <w:rtl/>
        </w:rPr>
        <w:t>النهاية</w:t>
      </w:r>
      <w:r w:rsidR="00992664" w:rsidRPr="00020424">
        <w:rPr>
          <w:rtl/>
        </w:rPr>
        <w:t xml:space="preserve"> ، ج 1 ، ص 106 ؛ </w:t>
      </w:r>
      <w:r w:rsidR="00992664" w:rsidRPr="00A722B1">
        <w:rPr>
          <w:rStyle w:val="libFootnoteBoldChar"/>
          <w:rtl/>
        </w:rPr>
        <w:t>لسان العرب</w:t>
      </w:r>
      <w:r w:rsidR="00992664" w:rsidRPr="00020424">
        <w:rPr>
          <w:rtl/>
        </w:rPr>
        <w:t xml:space="preserve"> ، ج 4 ، ص 48 ( بدر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w:t>
      </w:r>
      <w:r w:rsidR="00992664" w:rsidRPr="0094650B">
        <w:rPr>
          <w:rtl/>
        </w:rPr>
        <w:t>» والفقيه والتهذيب وثواب الأعمال</w:t>
      </w:r>
      <w:r w:rsidR="00992664" w:rsidRPr="00020424">
        <w:rPr>
          <w:rtl/>
        </w:rPr>
        <w:t xml:space="preserve"> والمعاني : « فقلت</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ولانذر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والمعاني : « لانذر في معصية » بدل « النذر في المعصية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فقلت</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ما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عند</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عليها</w:t>
      </w:r>
      <w:r w:rsidR="00992664">
        <w:rPr>
          <w:rtl/>
        </w:rPr>
        <w:t xml:space="preserve"> ».</w:t>
      </w:r>
      <w:r w:rsidR="00992664" w:rsidRPr="00020424">
        <w:rPr>
          <w:rtl/>
        </w:rPr>
        <w:t xml:space="preserve"> وقال : « وأمّا قوله : والتوبة منها الندم عليها ، فكلام مستأنف ، ذكر لبيان أنّ اليمين عند الغضب لا كفّارة لها ، إنّما كفّارته و</w:t>
      </w:r>
      <w:r w:rsidR="0094650B">
        <w:rPr>
          <w:rtl/>
        </w:rPr>
        <w:t>التوبة منها الندم عليها ليس إل</w:t>
      </w:r>
      <w:r w:rsidR="0094650B">
        <w:rPr>
          <w:rFonts w:hint="cs"/>
          <w:rtl/>
        </w:rPr>
        <w:t>ّ</w:t>
      </w:r>
      <w:r w:rsidR="0094650B">
        <w:rPr>
          <w:rtl/>
        </w:rPr>
        <w:t>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307 ، ح 928 ، معلّقاً عن الكليني. </w:t>
      </w:r>
      <w:r w:rsidR="00992664" w:rsidRPr="00DE76B9">
        <w:rPr>
          <w:rStyle w:val="libFootnoteBoldChar"/>
          <w:rtl/>
        </w:rPr>
        <w:t>معاني الأخبار</w:t>
      </w:r>
      <w:r w:rsidR="00992664" w:rsidRPr="00020424">
        <w:rPr>
          <w:rtl/>
        </w:rPr>
        <w:t xml:space="preserve"> ، ص 169 ، ح 1 ، بسنده عن محمّد بن عليّ الكوفي ، عن حضين بن مخارق أبي جنادة السلولي. </w:t>
      </w:r>
      <w:r w:rsidR="00992664" w:rsidRPr="0012008A">
        <w:rPr>
          <w:rStyle w:val="libFootnoteBoldChar"/>
          <w:rtl/>
        </w:rPr>
        <w:t>ثواب الأعمال</w:t>
      </w:r>
      <w:r w:rsidR="00992664" w:rsidRPr="00020424">
        <w:rPr>
          <w:rtl/>
        </w:rPr>
        <w:t xml:space="preserve"> ، ص 83 ، ح 1 ، بسنده عن الحصين بن يزيد المخارق الكوفي ، عن أبي جنادة السلولي ، عن أبي حمزة الثمالي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92 ، ح 1823 ، معلّقاً عن أبي حمزة الثمالي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373 ، مرسلاً عن الباقر </w:t>
      </w:r>
      <w:r w:rsidR="00992664" w:rsidRPr="00D64ADA">
        <w:rPr>
          <w:rStyle w:val="libFootnoteAlaemChar"/>
          <w:rtl/>
        </w:rPr>
        <w:t>عليه‌السلام</w:t>
      </w:r>
      <w:r w:rsidR="00992664" w:rsidRPr="00020424">
        <w:rPr>
          <w:rtl/>
        </w:rPr>
        <w:t xml:space="preserve"> إلى قوله : « وصمة وبادرة » ، وفي الثلاثة الأخيرة من دون الإسناد إلى النبيّ </w:t>
      </w:r>
      <w:r w:rsidR="00D64ADA" w:rsidRPr="00A42A73">
        <w:rPr>
          <w:rStyle w:val="libFootnoteAlaemChar"/>
          <w:rtl/>
        </w:rPr>
        <w:t>صلى‌الله‌عليه‌وآله</w:t>
      </w:r>
      <w:r w:rsidR="00B42914" w:rsidRPr="00A42A73">
        <w:rPr>
          <w:rStyle w:val="libFootnoteAlaemChar"/>
          <w:rtl/>
        </w:rPr>
        <w:t>‌</w:t>
      </w:r>
      <w:r w:rsidR="00992664" w:rsidRPr="00020424">
        <w:rPr>
          <w:rtl/>
        </w:rPr>
        <w:t xml:space="preserve"> </w:t>
      </w:r>
      <w:r w:rsidR="00A42A73">
        <w:rPr>
          <w:rFonts w:hint="cs"/>
          <w:rtl/>
        </w:rPr>
        <w:t>.</w:t>
      </w:r>
      <w:r w:rsidR="00992664" w:rsidRPr="0012008A">
        <w:rPr>
          <w:rStyle w:val="libFootnoteBoldChar"/>
          <w:rtl/>
        </w:rPr>
        <w:t>الوافي</w:t>
      </w:r>
      <w:r w:rsidR="00992664" w:rsidRPr="00020424">
        <w:rPr>
          <w:rtl/>
        </w:rPr>
        <w:t xml:space="preserve"> ، ج 11 ، ص 61 ، ح 10417 ؛ </w:t>
      </w:r>
      <w:r w:rsidR="00992664" w:rsidRPr="0012008A">
        <w:rPr>
          <w:rStyle w:val="libFootnoteBoldChar"/>
          <w:rtl/>
        </w:rPr>
        <w:t>الوسائل</w:t>
      </w:r>
      <w:r w:rsidR="00992664" w:rsidRPr="00020424">
        <w:rPr>
          <w:rtl/>
        </w:rPr>
        <w:t xml:space="preserve"> ، ج 10 ، ص 488 ، ذيل ح 13919.</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زُرَارَةَ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أَفْضَلِ مَا جَرَتْ بِهِ السُّنَّةُ فِي التَّطَوُّعِ مِنَ الصَّوْمِ</w:t>
      </w:r>
      <w:r>
        <w:rPr>
          <w:rtl/>
          <w:lang w:bidi="fa-IR"/>
        </w:rPr>
        <w:t>؟</w:t>
      </w:r>
    </w:p>
    <w:p w:rsidR="00992664" w:rsidRPr="00020424" w:rsidRDefault="00992664" w:rsidP="00992664">
      <w:pPr>
        <w:pStyle w:val="libNormal"/>
        <w:rPr>
          <w:rtl/>
          <w:lang w:bidi="fa-IR"/>
        </w:rPr>
      </w:pPr>
      <w:r w:rsidRPr="00020424">
        <w:rPr>
          <w:rtl/>
          <w:lang w:bidi="fa-IR"/>
        </w:rPr>
        <w:t>فَقَالَ : « ثَلَاثَةُ أَيَّامٍ فِي كُلِّ شَهْرٍ : الْخَمِيسُ فِي أَوَّلِ الشَّهْرِ ، وَالْأَرْبِعَاءُ فِي وَسَطِ الشَّهْرِ ، وَالْخَمِيسُ فِي آخِرِ الشَّهْرِ</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لَهُ </w:t>
      </w:r>
      <w:r w:rsidRPr="00A91B96">
        <w:rPr>
          <w:rStyle w:val="libFootnotenumChar"/>
          <w:rtl/>
        </w:rPr>
        <w:t>(1)</w:t>
      </w:r>
      <w:r w:rsidRPr="00020424">
        <w:rPr>
          <w:rtl/>
          <w:lang w:bidi="fa-IR"/>
        </w:rPr>
        <w:t xml:space="preserve"> : هذَا جَمِيعُ مَا جَرَتْ بِهِ السُّنَّةُ </w:t>
      </w:r>
      <w:r w:rsidRPr="00A91B96">
        <w:rPr>
          <w:rStyle w:val="libFootnotenumChar"/>
          <w:rtl/>
        </w:rPr>
        <w:t>(2)</w:t>
      </w:r>
      <w:r w:rsidRPr="00020424">
        <w:rPr>
          <w:rtl/>
          <w:lang w:bidi="fa-IR"/>
        </w:rPr>
        <w:t xml:space="preserve"> فِي الصَّوْمِ</w:t>
      </w:r>
      <w:r>
        <w:rPr>
          <w:rtl/>
          <w:lang w:bidi="fa-IR"/>
        </w:rPr>
        <w:t>؟</w:t>
      </w:r>
    </w:p>
    <w:p w:rsidR="00992664" w:rsidRPr="00020424" w:rsidRDefault="00992664" w:rsidP="00992664">
      <w:pPr>
        <w:pStyle w:val="libNormal"/>
        <w:rPr>
          <w:rtl/>
          <w:lang w:bidi="fa-IR"/>
        </w:rPr>
      </w:pPr>
      <w:r w:rsidRPr="00020424">
        <w:rPr>
          <w:rtl/>
          <w:lang w:bidi="fa-IR"/>
        </w:rPr>
        <w:t>فَقَالَ : « نَعَمْ</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4B224F">
        <w:rPr>
          <w:rtl/>
        </w:rPr>
        <w:t>6347</w:t>
      </w:r>
      <w:r w:rsidRPr="001155DE">
        <w:rPr>
          <w:rStyle w:val="libBold2Char"/>
          <w:rtl/>
        </w:rPr>
        <w:t xml:space="preserve"> / 10.</w:t>
      </w:r>
      <w:r w:rsidRPr="00020424">
        <w:rPr>
          <w:rtl/>
          <w:lang w:bidi="fa-IR"/>
        </w:rPr>
        <w:t xml:space="preserve"> عَلِيُّ بْنُ إِبْرَاهِيمَ ، عَنْ أَبِيهِ ، عَنْ حَمَّادٍ ، عَنْ حَرِيزٍ ، قَالَ :</w:t>
      </w:r>
    </w:p>
    <w:p w:rsidR="00992664" w:rsidRPr="00020424" w:rsidRDefault="00992664" w:rsidP="00992664">
      <w:pPr>
        <w:pStyle w:val="libNormal"/>
        <w:rPr>
          <w:rtl/>
          <w:lang w:bidi="fa-IR"/>
        </w:rPr>
      </w:pPr>
      <w:r w:rsidRPr="00020424">
        <w:rPr>
          <w:rtl/>
          <w:lang w:bidi="fa-IR"/>
        </w:rPr>
        <w:t xml:space="preserve">قِيلَ </w:t>
      </w:r>
      <w:r w:rsidRPr="00A91B96">
        <w:rPr>
          <w:rStyle w:val="libFootnotenumChar"/>
          <w:rtl/>
        </w:rPr>
        <w:t>(4)</w:t>
      </w:r>
      <w:r w:rsidRPr="00020424">
        <w:rPr>
          <w:rtl/>
          <w:lang w:bidi="fa-IR"/>
        </w:rPr>
        <w:t xml:space="preserve"> لِأَبِي عَبْدِ اللهِ </w:t>
      </w:r>
      <w:r w:rsidRPr="00005A81">
        <w:rPr>
          <w:rStyle w:val="libAlaemChar"/>
          <w:rtl/>
        </w:rPr>
        <w:t>عليه‌السلام</w:t>
      </w:r>
      <w:r w:rsidRPr="00020424">
        <w:rPr>
          <w:rtl/>
          <w:lang w:bidi="fa-IR"/>
        </w:rPr>
        <w:t xml:space="preserve"> : مَا جَاءَ فِي الصَّوْمِ فِي </w:t>
      </w:r>
      <w:r w:rsidRPr="00A91B96">
        <w:rPr>
          <w:rStyle w:val="libFootnotenumChar"/>
          <w:rtl/>
        </w:rPr>
        <w:t>(5)</w:t>
      </w:r>
      <w:r w:rsidRPr="00020424">
        <w:rPr>
          <w:rtl/>
          <w:lang w:bidi="fa-IR"/>
        </w:rPr>
        <w:t xml:space="preserve"> يَوْمِ الْأَرْبِعَاءِ</w:t>
      </w:r>
      <w:r>
        <w:rPr>
          <w:rtl/>
          <w:lang w:bidi="fa-IR"/>
        </w:rPr>
        <w:t>؟</w:t>
      </w:r>
    </w:p>
    <w:p w:rsidR="00992664" w:rsidRPr="00020424" w:rsidRDefault="00992664" w:rsidP="00992664">
      <w:pPr>
        <w:pStyle w:val="libNormal"/>
        <w:rPr>
          <w:rtl/>
          <w:lang w:bidi="fa-IR"/>
        </w:rPr>
      </w:pPr>
      <w:r w:rsidRPr="00020424">
        <w:rPr>
          <w:rtl/>
          <w:lang w:bidi="fa-IR"/>
        </w:rPr>
        <w:t xml:space="preserve">فَقَالَ : « قَالَ أَمِيرُ الْمُؤْمِنِينَ </w:t>
      </w:r>
      <w:r w:rsidRPr="00005A81">
        <w:rPr>
          <w:rStyle w:val="libAlaemChar"/>
          <w:rtl/>
        </w:rPr>
        <w:t>عليه‌السلام</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خَلَقَ النَّارَ يَوْمَ الْأَرْبِعَاءِ ، فَأَوْجَبَ صَوْمَهُ </w:t>
      </w:r>
      <w:r w:rsidRPr="00A91B96">
        <w:rPr>
          <w:rStyle w:val="libFootnotenumChar"/>
          <w:rtl/>
        </w:rPr>
        <w:t>(6)</w:t>
      </w:r>
      <w:r w:rsidRPr="00020424">
        <w:rPr>
          <w:rtl/>
          <w:lang w:bidi="fa-IR"/>
        </w:rPr>
        <w:t xml:space="preserve"> لِيُتَعَوَّذَ بِهِ </w:t>
      </w:r>
      <w:r w:rsidRPr="00A91B96">
        <w:rPr>
          <w:rStyle w:val="libFootnotenumChar"/>
          <w:rtl/>
        </w:rPr>
        <w:t>(7)</w:t>
      </w:r>
      <w:r w:rsidRPr="00020424">
        <w:rPr>
          <w:rtl/>
          <w:lang w:bidi="fa-IR"/>
        </w:rPr>
        <w:t xml:space="preserve"> مِنَ النَّارِ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4B224F">
        <w:rPr>
          <w:rtl/>
        </w:rPr>
        <w:t>6348</w:t>
      </w:r>
      <w:r w:rsidRPr="001155DE">
        <w:rPr>
          <w:rStyle w:val="libBold2Char"/>
          <w:rtl/>
        </w:rPr>
        <w:t xml:space="preserve"> / 11.</w:t>
      </w:r>
      <w:r w:rsidRPr="00020424">
        <w:rPr>
          <w:rtl/>
          <w:lang w:bidi="fa-IR"/>
        </w:rPr>
        <w:t xml:space="preserve"> مُحَمَّدُ بْنُ يَحْيى ، عَنْ أَحْمَدَ بْنِ مُحَمَّدٍ ، عَنْ عَلِيِّ بْنِ الْحَكَمِ ، عَنْ هِشَامِ بْنِ سَالِمٍ ، عَنِ الْأَحْوَلِ ، عَنِ ابْنِ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 أَنَّ رَسُولَ اللهِ </w:t>
      </w:r>
      <w:r w:rsidR="00B42914" w:rsidRPr="00B42914">
        <w:rPr>
          <w:rStyle w:val="libAlaemChar"/>
          <w:rtl/>
        </w:rPr>
        <w:t>صلى‌الله‌عليه‌وآله‌</w:t>
      </w:r>
      <w:r w:rsidRPr="00020424">
        <w:rPr>
          <w:rtl/>
          <w:lang w:bidi="fa-IR"/>
        </w:rPr>
        <w:t xml:space="preserve"> سُئِلَ عَنْ صَوْمِ خَمِيسَيْنِ بَيْنَهُمَا أَرْبِعَاءُ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w:t>
      </w:r>
      <w:r w:rsidR="00992664" w:rsidRPr="00A42A73">
        <w:rPr>
          <w:rtl/>
        </w:rPr>
        <w:t>والفقيه وثواب الأعمال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 جميع ما جرت به السنّة ، لعلّه م</w:t>
      </w:r>
      <w:r w:rsidR="00A42A73">
        <w:rPr>
          <w:rtl/>
        </w:rPr>
        <w:t>حمول على السنّة المؤكّدة ؛ لئل</w:t>
      </w:r>
      <w:r w:rsidR="00A42A73">
        <w:rPr>
          <w:rFonts w:hint="cs"/>
          <w:rtl/>
        </w:rPr>
        <w:t>ّ</w:t>
      </w:r>
      <w:r w:rsidR="00A42A73">
        <w:rPr>
          <w:rtl/>
        </w:rPr>
        <w:t>ا</w:t>
      </w:r>
      <w:r w:rsidR="00992664" w:rsidRPr="00020424">
        <w:rPr>
          <w:rtl/>
        </w:rPr>
        <w:t xml:space="preserve"> ينافي كون جميع الشعبان من السنّة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ثواب الأعمال</w:t>
      </w:r>
      <w:r w:rsidR="00992664" w:rsidRPr="00020424">
        <w:rPr>
          <w:rtl/>
        </w:rPr>
        <w:t xml:space="preserve"> ، ص 106 ، ح 8 ، بسنده عن الحسن بن عليّ ، عن ابن بكير. </w:t>
      </w:r>
      <w:r w:rsidR="00992664" w:rsidRPr="0012008A">
        <w:rPr>
          <w:rStyle w:val="libFootnoteBoldChar"/>
          <w:rtl/>
        </w:rPr>
        <w:t>الفقيه</w:t>
      </w:r>
      <w:r w:rsidR="00992664" w:rsidRPr="00020424">
        <w:rPr>
          <w:rtl/>
        </w:rPr>
        <w:t xml:space="preserve"> ، ج 2 ، ص 84 ، ح 1796 ، معلّقاً عن ابن بكير </w:t>
      </w:r>
      <w:r w:rsidR="008A1A7B">
        <w:rPr>
          <w:rFonts w:hint="cs"/>
          <w:rtl/>
        </w:rPr>
        <w:t>.</w:t>
      </w:r>
      <w:r w:rsidR="00992664" w:rsidRPr="0012008A">
        <w:rPr>
          <w:rStyle w:val="libFootnoteBoldChar"/>
          <w:rtl/>
        </w:rPr>
        <w:t>الوافي</w:t>
      </w:r>
      <w:r w:rsidR="00992664" w:rsidRPr="00020424">
        <w:rPr>
          <w:rtl/>
        </w:rPr>
        <w:t xml:space="preserve"> ، ج 11 ، ص 46 ، ح 10381 ؛ </w:t>
      </w:r>
      <w:r w:rsidR="00992664" w:rsidRPr="0012008A">
        <w:rPr>
          <w:rStyle w:val="libFootnoteBoldChar"/>
          <w:rtl/>
        </w:rPr>
        <w:t>الوسائل</w:t>
      </w:r>
      <w:r w:rsidR="00992664" w:rsidRPr="00020424">
        <w:rPr>
          <w:rtl/>
        </w:rPr>
        <w:t xml:space="preserve"> ، ج 10 ، ص 418 ، ذيل ح 13740.</w:t>
      </w:r>
    </w:p>
    <w:tbl>
      <w:tblPr>
        <w:tblStyle w:val="TableGrid"/>
        <w:bidiVisual/>
        <w:tblW w:w="0" w:type="auto"/>
        <w:tblLook w:val="04A0" w:firstRow="1" w:lastRow="0" w:firstColumn="1" w:lastColumn="0" w:noHBand="0" w:noVBand="1"/>
      </w:tblPr>
      <w:tblGrid>
        <w:gridCol w:w="4006"/>
        <w:gridCol w:w="4006"/>
      </w:tblGrid>
      <w:tr w:rsidR="008A1A7B" w:rsidTr="008A1A7B">
        <w:tc>
          <w:tcPr>
            <w:tcW w:w="4006" w:type="dxa"/>
          </w:tcPr>
          <w:p w:rsidR="008A1A7B" w:rsidRDefault="008A1A7B" w:rsidP="00992664">
            <w:pPr>
              <w:pStyle w:val="libFootnote0"/>
              <w:rPr>
                <w:rtl/>
              </w:rPr>
            </w:pPr>
            <w:r>
              <w:rPr>
                <w:rtl/>
              </w:rPr>
              <w:t xml:space="preserve">(4). </w:t>
            </w:r>
            <w:r w:rsidRPr="00020424">
              <w:rPr>
                <w:rtl/>
              </w:rPr>
              <w:t>في « بخ » : « قلت</w:t>
            </w:r>
            <w:r>
              <w:rPr>
                <w:rtl/>
              </w:rPr>
              <w:t xml:space="preserve"> ».</w:t>
            </w:r>
          </w:p>
        </w:tc>
        <w:tc>
          <w:tcPr>
            <w:tcW w:w="4006" w:type="dxa"/>
          </w:tcPr>
          <w:p w:rsidR="008A1A7B" w:rsidRDefault="008A1A7B" w:rsidP="00992664">
            <w:pPr>
              <w:pStyle w:val="libFootnote0"/>
              <w:rPr>
                <w:rtl/>
              </w:rPr>
            </w:pPr>
            <w:r>
              <w:rPr>
                <w:rtl/>
              </w:rPr>
              <w:t xml:space="preserve">(5). </w:t>
            </w:r>
            <w:r w:rsidRPr="00020424">
              <w:rPr>
                <w:rtl/>
              </w:rPr>
              <w:t xml:space="preserve">في « ى ، بر ، بف » </w:t>
            </w:r>
            <w:r w:rsidRPr="00515444">
              <w:rPr>
                <w:rStyle w:val="libFootnoteBoldChar"/>
                <w:rtl/>
              </w:rPr>
              <w:t>والوافي</w:t>
            </w:r>
            <w:r w:rsidRPr="00020424">
              <w:rPr>
                <w:rtl/>
              </w:rPr>
              <w:t xml:space="preserve"> :</w:t>
            </w:r>
            <w:r>
              <w:rPr>
                <w:rtl/>
              </w:rPr>
              <w:t xml:space="preserve"> - </w:t>
            </w:r>
            <w:r w:rsidRPr="00020424">
              <w:rPr>
                <w:rtl/>
              </w:rPr>
              <w:t>« في</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فأوجب صومه ، أي ألزمه وأكّده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بح ، بخ ، بر ، بف » وحاشية « بث ، جن » </w:t>
      </w:r>
      <w:r w:rsidR="00992664" w:rsidRPr="00515444">
        <w:rPr>
          <w:rStyle w:val="libFootnoteBoldChar"/>
          <w:rtl/>
        </w:rPr>
        <w:t>والوافي</w:t>
      </w:r>
      <w:r w:rsidR="00992664" w:rsidRPr="00020424">
        <w:rPr>
          <w:rtl/>
        </w:rPr>
        <w:t xml:space="preserve"> : « بالله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ثواب الأعمال</w:t>
      </w:r>
      <w:r w:rsidR="00992664" w:rsidRPr="00020424">
        <w:rPr>
          <w:rtl/>
        </w:rPr>
        <w:t xml:space="preserve"> ، ص 105 ، ح 5 ، بسنده عن حمّاد بن عيسى ، عن حريز </w:t>
      </w:r>
      <w:r w:rsidR="00F51DB9">
        <w:rPr>
          <w:rFonts w:hint="cs"/>
          <w:rtl/>
        </w:rPr>
        <w:t>.</w:t>
      </w:r>
      <w:r w:rsidR="00992664" w:rsidRPr="0012008A">
        <w:rPr>
          <w:rStyle w:val="libFootnoteBoldChar"/>
          <w:rtl/>
        </w:rPr>
        <w:t>الوافي</w:t>
      </w:r>
      <w:r w:rsidR="00992664" w:rsidRPr="00020424">
        <w:rPr>
          <w:rtl/>
        </w:rPr>
        <w:t xml:space="preserve"> ، ج 11 ، ص 47 ، ح 10383 ؛ </w:t>
      </w:r>
      <w:r w:rsidR="00992664" w:rsidRPr="0012008A">
        <w:rPr>
          <w:rStyle w:val="libFootnoteBoldChar"/>
          <w:rtl/>
        </w:rPr>
        <w:t>الوسائل</w:t>
      </w:r>
      <w:r w:rsidR="00992664" w:rsidRPr="00020424">
        <w:rPr>
          <w:rtl/>
        </w:rPr>
        <w:t xml:space="preserve"> ، ج 10 ، ص 424 ، ح 13754.</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فَقَالَ : أَمَّا الْخَمِيسُ فَيَوْمٌ تُعْرَضُ </w:t>
      </w:r>
      <w:r w:rsidRPr="00A91B96">
        <w:rPr>
          <w:rStyle w:val="libFootnotenumChar"/>
          <w:rtl/>
        </w:rPr>
        <w:t>(1)</w:t>
      </w:r>
      <w:r w:rsidRPr="00020424">
        <w:rPr>
          <w:rtl/>
          <w:lang w:bidi="fa-IR"/>
        </w:rPr>
        <w:t xml:space="preserve"> فِيهِ الْأَعْمَالُ ، وَأَمَّا الْأَرْبِعَاءُ فَيَوْمٌ خُلِقَتْ فِيهِ النَّارُ ، وَأَمَّا </w:t>
      </w:r>
      <w:r w:rsidRPr="00A91B96">
        <w:rPr>
          <w:rStyle w:val="libFootnotenumChar"/>
          <w:rtl/>
        </w:rPr>
        <w:t>(2)</w:t>
      </w:r>
      <w:r w:rsidRPr="00020424">
        <w:rPr>
          <w:rtl/>
          <w:lang w:bidi="fa-IR"/>
        </w:rPr>
        <w:t xml:space="preserve"> الصَّوْمُ فَجُنَّةٌ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B224F">
        <w:rPr>
          <w:rtl/>
        </w:rPr>
        <w:t>6349</w:t>
      </w:r>
      <w:r w:rsidRPr="001155DE">
        <w:rPr>
          <w:rStyle w:val="libBold2Char"/>
          <w:rtl/>
        </w:rPr>
        <w:t xml:space="preserve"> / 12.</w:t>
      </w:r>
      <w:r w:rsidRPr="00020424">
        <w:rPr>
          <w:rtl/>
          <w:lang w:bidi="fa-IR"/>
        </w:rPr>
        <w:t xml:space="preserve"> عَلِيُّ بْنُ إِبْرَاهِيمَ ، عَنْ مُحَمَّدِ بْنِ عِيسَى بْنِ عُبَيْدٍ ، عَنْ يُونُسَ ، عَنْ إِسْحَاقَ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 « إِنَّمَا يُصَامُ يَوْمُ الْأَرْبِعَاءِ لِأَنَّهُ لَمْ تُعَذَّبْ </w:t>
      </w:r>
      <w:r w:rsidRPr="00A91B96">
        <w:rPr>
          <w:rStyle w:val="libFootnotenumChar"/>
          <w:rtl/>
        </w:rPr>
        <w:t>(5)</w:t>
      </w:r>
      <w:r w:rsidRPr="00020424">
        <w:rPr>
          <w:rtl/>
          <w:lang w:bidi="fa-IR"/>
        </w:rPr>
        <w:t xml:space="preserve"> أُمَّةٌ فِيمَا</w:t>
      </w:r>
      <w:r w:rsidR="00F51DB9">
        <w:rPr>
          <w:rtl/>
          <w:lang w:bidi="fa-IR"/>
        </w:rPr>
        <w:t xml:space="preserve"> مَضى إِل</w:t>
      </w:r>
      <w:r w:rsidR="00F51DB9">
        <w:rPr>
          <w:rFonts w:hint="cs"/>
          <w:rtl/>
          <w:lang w:bidi="fa-IR"/>
        </w:rPr>
        <w:t>َّ</w:t>
      </w:r>
      <w:r w:rsidR="00F51DB9">
        <w:rPr>
          <w:rtl/>
          <w:lang w:bidi="fa-IR"/>
        </w:rPr>
        <w:t>ا</w:t>
      </w:r>
      <w:r w:rsidRPr="00020424">
        <w:rPr>
          <w:rtl/>
          <w:lang w:bidi="fa-IR"/>
        </w:rPr>
        <w:t xml:space="preserve"> فِي </w:t>
      </w:r>
      <w:r w:rsidRPr="00A91B96">
        <w:rPr>
          <w:rStyle w:val="libFootnotenumChar"/>
          <w:rtl/>
        </w:rPr>
        <w:t>(6)</w:t>
      </w:r>
      <w:r w:rsidRPr="00020424">
        <w:rPr>
          <w:rtl/>
          <w:lang w:bidi="fa-IR"/>
        </w:rPr>
        <w:t xml:space="preserve"> يَوْمِ الْأَرْبِعَاءِ وَسَطِ الشَّهْرِ ، فَيُسْتَحَبُّ أَنْ يُصَامَ ذلِكَ الْيَوْمُ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B224F">
        <w:rPr>
          <w:rtl/>
        </w:rPr>
        <w:t>6350</w:t>
      </w:r>
      <w:r w:rsidRPr="001155DE">
        <w:rPr>
          <w:rStyle w:val="libBold2Char"/>
          <w:rtl/>
        </w:rPr>
        <w:t xml:space="preserve"> / 13.</w:t>
      </w:r>
      <w:r w:rsidRPr="00020424">
        <w:rPr>
          <w:rtl/>
          <w:lang w:bidi="fa-IR"/>
        </w:rPr>
        <w:t xml:space="preserve"> الْحُسَيْنُ بْنُ مُحَمَّدٍ ، عَنْ مُحَمَّدِ بْنِ عِمْرَانَ ، عَنْ زِيَادٍ الْقَنْدِيِّ ، عَنْ عَبْدِ اللهِ بْنِ سِنَانٍ ، قَالَ :</w:t>
      </w:r>
    </w:p>
    <w:p w:rsidR="00992664" w:rsidRPr="00020424" w:rsidRDefault="00992664" w:rsidP="00992664">
      <w:pPr>
        <w:pStyle w:val="libNormal"/>
        <w:rPr>
          <w:rtl/>
          <w:lang w:bidi="fa-IR"/>
        </w:rPr>
      </w:pPr>
      <w:r w:rsidRPr="00020424">
        <w:rPr>
          <w:rtl/>
          <w:lang w:bidi="fa-IR"/>
        </w:rPr>
        <w:t xml:space="preserve">قَالَ لِي </w:t>
      </w:r>
      <w:r w:rsidRPr="00A91B96">
        <w:rPr>
          <w:rStyle w:val="libFootnotenumChar"/>
          <w:rtl/>
        </w:rPr>
        <w:t>(8)</w:t>
      </w:r>
      <w:r w:rsidRPr="00020424">
        <w:rPr>
          <w:rtl/>
          <w:lang w:bidi="fa-IR"/>
        </w:rPr>
        <w:t xml:space="preserve"> أَبُو عَبْدِ اللهِ </w:t>
      </w:r>
      <w:r w:rsidRPr="00005A81">
        <w:rPr>
          <w:rStyle w:val="libAlaemChar"/>
          <w:rtl/>
        </w:rPr>
        <w:t>عليه‌السلام</w:t>
      </w:r>
      <w:r w:rsidRPr="00020424">
        <w:rPr>
          <w:rtl/>
          <w:lang w:bidi="fa-IR"/>
        </w:rPr>
        <w:t xml:space="preserve"> : « إِذَا كَانَ فِي أَوَّلِ الشَّهْرِ خَمِيسَانِ ، فَصُمْ أَوَّلَهُمَا ؛ فَإِنَّهُ‌</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3142F" w:rsidTr="0033142F">
        <w:tc>
          <w:tcPr>
            <w:tcW w:w="4006" w:type="dxa"/>
          </w:tcPr>
          <w:p w:rsidR="0033142F" w:rsidRDefault="0033142F" w:rsidP="00992664">
            <w:pPr>
              <w:pStyle w:val="libFootnote0"/>
              <w:rPr>
                <w:rtl/>
              </w:rPr>
            </w:pPr>
            <w:r>
              <w:rPr>
                <w:rtl/>
              </w:rPr>
              <w:t xml:space="preserve">(1). </w:t>
            </w:r>
            <w:r w:rsidRPr="00020424">
              <w:rPr>
                <w:rtl/>
              </w:rPr>
              <w:t xml:space="preserve">في « بر » </w:t>
            </w:r>
            <w:r w:rsidRPr="00515444">
              <w:rPr>
                <w:rStyle w:val="libFootnoteBoldChar"/>
                <w:rtl/>
              </w:rPr>
              <w:t>والوافي</w:t>
            </w:r>
            <w:r w:rsidRPr="00020424">
              <w:rPr>
                <w:rtl/>
              </w:rPr>
              <w:t xml:space="preserve"> : « يعرض</w:t>
            </w:r>
            <w:r>
              <w:rPr>
                <w:rtl/>
              </w:rPr>
              <w:t xml:space="preserve"> ».</w:t>
            </w:r>
          </w:p>
        </w:tc>
        <w:tc>
          <w:tcPr>
            <w:tcW w:w="4006" w:type="dxa"/>
          </w:tcPr>
          <w:p w:rsidR="0033142F" w:rsidRDefault="0033142F" w:rsidP="00992664">
            <w:pPr>
              <w:pStyle w:val="libFootnote0"/>
              <w:rPr>
                <w:rtl/>
              </w:rPr>
            </w:pPr>
            <w:r>
              <w:rPr>
                <w:rtl/>
              </w:rPr>
              <w:t xml:space="preserve">(2). </w:t>
            </w:r>
            <w:r w:rsidRPr="00020424">
              <w:rPr>
                <w:rtl/>
              </w:rPr>
              <w:t>في « بر » : « أمّا » بدون الواو.</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B04396">
        <w:rPr>
          <w:rtl/>
        </w:rPr>
        <w:t>والوافي والفقيه والخصال وثواب الأعمال.</w:t>
      </w:r>
      <w:r w:rsidR="00992664" w:rsidRPr="00020424">
        <w:rPr>
          <w:rtl/>
        </w:rPr>
        <w:t xml:space="preserve"> وفي المطبوع : + « [ من النّار ]</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علل الشرائع</w:t>
      </w:r>
      <w:r w:rsidR="00992664" w:rsidRPr="00020424">
        <w:rPr>
          <w:rtl/>
        </w:rPr>
        <w:t xml:space="preserve"> ، ص 381 ، ح 1 ، بسنده عن هشام بن الحكم ، عن الأحول ، عن ابن سنان ، عمّن ذكره ،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ثواب الأعمال</w:t>
      </w:r>
      <w:r w:rsidR="00992664" w:rsidRPr="00020424">
        <w:rPr>
          <w:rtl/>
        </w:rPr>
        <w:t xml:space="preserve"> ، ص 105 ، ح 4 ؛ </w:t>
      </w:r>
      <w:r w:rsidR="00992664" w:rsidRPr="00FD6221">
        <w:rPr>
          <w:rStyle w:val="libFootnoteBoldChar"/>
          <w:rtl/>
        </w:rPr>
        <w:t>والخصال</w:t>
      </w:r>
      <w:r w:rsidR="00992664" w:rsidRPr="00020424">
        <w:rPr>
          <w:rtl/>
        </w:rPr>
        <w:t xml:space="preserve"> ، ص 390 ، باب الستّة ، ح 81 ، بسندهما عن هشام بن سالم ، عن الأحول ، عمّن ذكره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83 ، ح 1790 ، معلّقاً عن عبدالله بن سنان ، عن أبي عبدالله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الكافي</w:t>
      </w:r>
      <w:r w:rsidR="00992664" w:rsidRPr="00020424">
        <w:rPr>
          <w:rtl/>
        </w:rPr>
        <w:t xml:space="preserve"> ، كتاب الإيمان والكفر ، باب دعائم الإسلام ، ح 1494 ؛ ونفس الباب ، ح 1504 ؛ وكتاب الصيام ، باب ما جاء في فضل الصوم والصائم ، ح 6252 ؛ </w:t>
      </w:r>
      <w:r w:rsidR="00992664" w:rsidRPr="00FD6221">
        <w:rPr>
          <w:rStyle w:val="libFootnoteBoldChar"/>
          <w:rtl/>
        </w:rPr>
        <w:t>والفقيه</w:t>
      </w:r>
      <w:r w:rsidR="00992664" w:rsidRPr="00020424">
        <w:rPr>
          <w:rtl/>
        </w:rPr>
        <w:t xml:space="preserve"> ، ج 2 ، ص 74 ، ح 1771 ؛ وص 75 ، ح 1775 ؛ </w:t>
      </w:r>
      <w:r w:rsidR="00992664" w:rsidRPr="00515444">
        <w:rPr>
          <w:rStyle w:val="libFootnoteBoldChar"/>
          <w:rtl/>
        </w:rPr>
        <w:t>والتهذيب</w:t>
      </w:r>
      <w:r w:rsidR="00992664" w:rsidRPr="00020424">
        <w:rPr>
          <w:rtl/>
        </w:rPr>
        <w:t xml:space="preserve"> ، ج 4 ، ص 151 ، ح 418 </w:t>
      </w:r>
      <w:r w:rsidR="00747786">
        <w:rPr>
          <w:rFonts w:hint="cs"/>
          <w:rtl/>
        </w:rPr>
        <w:t>.</w:t>
      </w:r>
      <w:r w:rsidR="00992664" w:rsidRPr="0012008A">
        <w:rPr>
          <w:rStyle w:val="libFootnoteBoldChar"/>
          <w:rtl/>
        </w:rPr>
        <w:t>الوافي</w:t>
      </w:r>
      <w:r w:rsidR="00992664" w:rsidRPr="00020424">
        <w:rPr>
          <w:rtl/>
        </w:rPr>
        <w:t xml:space="preserve"> ، ج 11 ، ص 46 ، ح 10382.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بح ، بخ ، بر ، بس ، بف ، جن » </w:t>
      </w:r>
      <w:r w:rsidR="00992664" w:rsidRPr="00515444">
        <w:rPr>
          <w:rStyle w:val="libFootnoteBoldChar"/>
          <w:rtl/>
        </w:rPr>
        <w:t>والوافي</w:t>
      </w:r>
      <w:r w:rsidR="00992664" w:rsidRPr="00020424">
        <w:rPr>
          <w:rtl/>
        </w:rPr>
        <w:t xml:space="preserve"> : « لم يعذّب</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 قال : إنّ الله لم يعذّب » بدل « قال : قال : إنّما يصام يوم الأربعاء ؛ لأنّه لم تعذّب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وفي </w:t>
      </w:r>
      <w:r w:rsidR="00992664" w:rsidRPr="0012008A">
        <w:rPr>
          <w:rStyle w:val="libFootnoteBoldChar"/>
          <w:rtl/>
        </w:rPr>
        <w:t>البحار</w:t>
      </w:r>
      <w:r w:rsidR="00992664" w:rsidRPr="00020424">
        <w:rPr>
          <w:rtl/>
        </w:rPr>
        <w:t xml:space="preserve"> </w:t>
      </w:r>
      <w:r w:rsidR="00992664" w:rsidRPr="00FD6221">
        <w:rPr>
          <w:rStyle w:val="libFootnoteBoldChar"/>
          <w:rtl/>
        </w:rPr>
        <w:t>والفقيه</w:t>
      </w:r>
      <w:r w:rsidR="00992664" w:rsidRPr="00020424">
        <w:rPr>
          <w:rtl/>
        </w:rPr>
        <w:t xml:space="preserve"> و</w:t>
      </w:r>
      <w:r w:rsidR="00D64ADA" w:rsidRPr="00D64ADA">
        <w:rPr>
          <w:rStyle w:val="libFootnoteBoldChar"/>
          <w:rtl/>
        </w:rPr>
        <w:t>المحاسن</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D64ADA" w:rsidRPr="00D64ADA">
        <w:rPr>
          <w:rStyle w:val="libFootnoteBoldChar"/>
          <w:rtl/>
        </w:rPr>
        <w:t>المحاسن</w:t>
      </w:r>
      <w:r w:rsidR="00992664" w:rsidRPr="00020424">
        <w:rPr>
          <w:rtl/>
        </w:rPr>
        <w:t xml:space="preserve"> ، ص 320 ، كتاب العلل ، ح 54 ، بسنده عن يونس. </w:t>
      </w:r>
      <w:r w:rsidR="00992664" w:rsidRPr="00DE76B9">
        <w:rPr>
          <w:rStyle w:val="libFootnoteBoldChar"/>
          <w:rtl/>
        </w:rPr>
        <w:t>علل الشرائع</w:t>
      </w:r>
      <w:r w:rsidR="00992664" w:rsidRPr="00020424">
        <w:rPr>
          <w:rtl/>
        </w:rPr>
        <w:t xml:space="preserve"> ، ص 381 ، ح 4 ، بسنده عن يونس بن عبدالرحمن ، عن إسحاق بن عمّار. </w:t>
      </w:r>
      <w:r w:rsidR="00992664" w:rsidRPr="0012008A">
        <w:rPr>
          <w:rStyle w:val="libFootnoteBoldChar"/>
          <w:rtl/>
        </w:rPr>
        <w:t>الفقيه</w:t>
      </w:r>
      <w:r w:rsidR="00992664" w:rsidRPr="00020424">
        <w:rPr>
          <w:rtl/>
        </w:rPr>
        <w:t xml:space="preserve"> ، ج 2 ، ص 83 ، ح 1791 ، معلّقاً عن إسحاق بن عمّار. راجع : </w:t>
      </w:r>
      <w:r w:rsidR="00992664" w:rsidRPr="00DE76B9">
        <w:rPr>
          <w:rStyle w:val="libFootnoteBoldChar"/>
          <w:rtl/>
        </w:rPr>
        <w:t>عيون الأخبار</w:t>
      </w:r>
      <w:r w:rsidR="00992664" w:rsidRPr="00020424">
        <w:rPr>
          <w:rtl/>
        </w:rPr>
        <w:t xml:space="preserve"> ، ج 2 ، ص 118 ، ح 1 ؛ </w:t>
      </w:r>
      <w:r w:rsidR="00992664" w:rsidRPr="00515444">
        <w:rPr>
          <w:rStyle w:val="libFootnoteBoldChar"/>
          <w:rtl/>
        </w:rPr>
        <w:t>وعلل الشرائع</w:t>
      </w:r>
      <w:r w:rsidR="00992664" w:rsidRPr="00020424">
        <w:rPr>
          <w:rtl/>
        </w:rPr>
        <w:t xml:space="preserve"> ، ص 272 ، ح 9 </w:t>
      </w:r>
      <w:r w:rsidR="00747786">
        <w:rPr>
          <w:rFonts w:hint="cs"/>
          <w:rtl/>
        </w:rPr>
        <w:t>.</w:t>
      </w:r>
      <w:r w:rsidR="00992664" w:rsidRPr="0012008A">
        <w:rPr>
          <w:rStyle w:val="libFootnoteBoldChar"/>
          <w:rtl/>
        </w:rPr>
        <w:t>الوافي</w:t>
      </w:r>
      <w:r w:rsidR="00992664" w:rsidRPr="00020424">
        <w:rPr>
          <w:rtl/>
        </w:rPr>
        <w:t xml:space="preserve"> ، ج 11 ، ص 47 ، ح 10384 ؛ </w:t>
      </w:r>
      <w:r w:rsidR="00992664" w:rsidRPr="0012008A">
        <w:rPr>
          <w:rStyle w:val="libFootnoteBoldChar"/>
          <w:rtl/>
        </w:rPr>
        <w:t>الوسائل</w:t>
      </w:r>
      <w:r w:rsidR="00992664" w:rsidRPr="00020424">
        <w:rPr>
          <w:rtl/>
        </w:rPr>
        <w:t xml:space="preserve"> ، ج 10 ، ص 419 ، ذيل ح 13741 ؛ </w:t>
      </w:r>
      <w:r w:rsidR="00992664" w:rsidRPr="0012008A">
        <w:rPr>
          <w:rStyle w:val="libFootnoteBoldChar"/>
          <w:rtl/>
        </w:rPr>
        <w:t>البحار</w:t>
      </w:r>
      <w:r w:rsidR="00992664" w:rsidRPr="00020424">
        <w:rPr>
          <w:rtl/>
        </w:rPr>
        <w:t xml:space="preserve"> ، ج 14 ، ص 464 ، ح 32 ، إلى قوله : « وسط الشهر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أَفْضَلُ ، وَإِذَا </w:t>
      </w:r>
      <w:r w:rsidRPr="00A91B96">
        <w:rPr>
          <w:rStyle w:val="libFootnotenumChar"/>
          <w:rtl/>
        </w:rPr>
        <w:t>(1)</w:t>
      </w:r>
      <w:r w:rsidRPr="00020424">
        <w:rPr>
          <w:rtl/>
          <w:lang w:bidi="fa-IR"/>
        </w:rPr>
        <w:t xml:space="preserve"> كَانَ فِي آخِرِ الشَّهْرِ </w:t>
      </w:r>
      <w:r w:rsidRPr="00A91B96">
        <w:rPr>
          <w:rStyle w:val="libFootnotenumChar"/>
          <w:rtl/>
        </w:rPr>
        <w:t>(2)</w:t>
      </w:r>
      <w:r w:rsidRPr="00020424">
        <w:rPr>
          <w:rtl/>
          <w:lang w:bidi="fa-IR"/>
        </w:rPr>
        <w:t xml:space="preserve"> خَمِيسَانِ ، فَصُمْ آخِرَهُمَا ؛ فَإِنَّهُ أَفْضَلُ</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338" w:name="_Toc345172828"/>
      <w:bookmarkStart w:id="339" w:name="_Toc464562646"/>
      <w:bookmarkStart w:id="340" w:name="_Toc44599949"/>
      <w:r w:rsidRPr="00020424">
        <w:rPr>
          <w:rtl/>
          <w:lang w:bidi="fa-IR"/>
        </w:rPr>
        <w:t>14</w:t>
      </w:r>
      <w:r>
        <w:rPr>
          <w:rtl/>
          <w:lang w:bidi="fa-IR"/>
        </w:rPr>
        <w:t xml:space="preserve"> </w:t>
      </w:r>
      <w:r w:rsidR="009B673F">
        <w:rPr>
          <w:rtl/>
          <w:lang w:bidi="fa-IR"/>
        </w:rPr>
        <w:t>-</w:t>
      </w:r>
      <w:r>
        <w:rPr>
          <w:rtl/>
          <w:lang w:bidi="fa-IR"/>
        </w:rPr>
        <w:t xml:space="preserve"> </w:t>
      </w:r>
      <w:r w:rsidRPr="00020424">
        <w:rPr>
          <w:rtl/>
          <w:lang w:bidi="fa-IR"/>
        </w:rPr>
        <w:t>بَابُ أَنَّهُ يُسْتَحَبُّ السَّحُورُ‌</w:t>
      </w:r>
      <w:bookmarkEnd w:id="338"/>
      <w:bookmarkEnd w:id="339"/>
      <w:bookmarkEnd w:id="340"/>
    </w:p>
    <w:p w:rsidR="00992664" w:rsidRPr="00020424" w:rsidRDefault="00992664" w:rsidP="00992664">
      <w:pPr>
        <w:pStyle w:val="libNormal"/>
        <w:rPr>
          <w:rtl/>
          <w:lang w:bidi="fa-IR"/>
        </w:rPr>
      </w:pPr>
      <w:r w:rsidRPr="004B224F">
        <w:rPr>
          <w:rtl/>
        </w:rPr>
        <w:t>6351</w:t>
      </w:r>
      <w:r w:rsidRPr="001155DE">
        <w:rPr>
          <w:rStyle w:val="libBold2Char"/>
          <w:rtl/>
        </w:rPr>
        <w:t xml:space="preserve"> / 1.</w:t>
      </w:r>
      <w:r w:rsidRPr="00020424">
        <w:rPr>
          <w:rtl/>
          <w:lang w:bidi="fa-IR"/>
        </w:rPr>
        <w:t xml:space="preserve"> عَلِيُّ بْنُ إِبْرَاهِيمَ ، عَنْ أَبِيهِ ، عَنْ حَمَّادِ بْنِ عِيسى ، عَن</w:t>
      </w:r>
      <w:r w:rsidR="00747786">
        <w:rPr>
          <w:rtl/>
          <w:lang w:bidi="fa-IR"/>
        </w:rPr>
        <w:t>ْ شُعَيْبٍ ، عَنْ أَبِي بَصِيرٍ</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السَّحُورِ </w:t>
      </w:r>
      <w:r w:rsidRPr="00A91B96">
        <w:rPr>
          <w:rStyle w:val="libFootnotenumChar"/>
          <w:rtl/>
        </w:rPr>
        <w:t>(4)</w:t>
      </w:r>
      <w:r>
        <w:rPr>
          <w:rtl/>
          <w:lang w:bidi="fa-IR"/>
        </w:rPr>
        <w:t xml:space="preserve"> لِمَنْ أَرَادَ الصَّوْمَ : أَ</w:t>
      </w:r>
      <w:r w:rsidRPr="00020424">
        <w:rPr>
          <w:rtl/>
          <w:lang w:bidi="fa-IR"/>
        </w:rPr>
        <w:t>وَاجِبٌ هُوَ عَلَيْهِ</w:t>
      </w:r>
      <w:r>
        <w:rPr>
          <w:rtl/>
          <w:lang w:bidi="fa-IR"/>
        </w:rPr>
        <w:t>؟</w:t>
      </w:r>
    </w:p>
    <w:p w:rsidR="00992664" w:rsidRPr="00020424" w:rsidRDefault="00992664" w:rsidP="00992664">
      <w:pPr>
        <w:pStyle w:val="libNormal"/>
        <w:rPr>
          <w:rtl/>
          <w:lang w:bidi="fa-IR"/>
        </w:rPr>
      </w:pPr>
      <w:r w:rsidRPr="00020424">
        <w:rPr>
          <w:rtl/>
          <w:lang w:bidi="fa-IR"/>
        </w:rPr>
        <w:t xml:space="preserve">فَقَالَ : « لَا بَأْسَ بِأَنْ لَايَتَسَحَّرَ إِنْ شَاءَ ، وَأَمَّا فِي شَهْرِ رَمَضَانَ ، فَإِنَّهُ أَفْضَلُ أَنْ يَتَسَحَّرَ ، نُحِبُّ </w:t>
      </w:r>
      <w:r w:rsidRPr="00A91B96">
        <w:rPr>
          <w:rStyle w:val="libFootnotenumChar"/>
          <w:rtl/>
        </w:rPr>
        <w:t>(5)</w:t>
      </w:r>
      <w:r w:rsidRPr="00020424">
        <w:rPr>
          <w:rtl/>
          <w:lang w:bidi="fa-IR"/>
        </w:rPr>
        <w:t xml:space="preserve"> أَنْ لَايُتْرَكَ فِي شَهْرِ رَمَضَانَ</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B224F">
        <w:rPr>
          <w:rtl/>
        </w:rPr>
        <w:t>6352</w:t>
      </w:r>
      <w:r w:rsidRPr="001155DE">
        <w:rPr>
          <w:rStyle w:val="libBold2Char"/>
          <w:rtl/>
        </w:rPr>
        <w:t xml:space="preserve"> / 2.</w:t>
      </w:r>
      <w:r w:rsidRPr="00020424">
        <w:rPr>
          <w:rtl/>
          <w:lang w:bidi="fa-IR"/>
        </w:rPr>
        <w:t xml:space="preserve"> عِدَّةٌ مِنْ أَصْحَابِنَا ، عَنْ أَحْمَدَ بْنِ مُحَمَّدٍ ، عَنِ الْحُسَيْنِ بْنِ سَعِيدٍ ، عَنْ أَخِيهِ الْحَسَنِ ، عَنْ زُرْعَةَ ، عَنْ سَمَاعَةَ ، قَالَ :</w:t>
      </w:r>
    </w:p>
    <w:p w:rsidR="00992664" w:rsidRPr="00020424" w:rsidRDefault="00992664" w:rsidP="00992664">
      <w:pPr>
        <w:pStyle w:val="libNormal"/>
        <w:rPr>
          <w:rtl/>
          <w:lang w:bidi="fa-IR"/>
        </w:rPr>
      </w:pPr>
      <w:r w:rsidRPr="00020424">
        <w:rPr>
          <w:rtl/>
          <w:lang w:bidi="fa-IR"/>
        </w:rPr>
        <w:t>سَأَلْتُهُ عَنِ السَّحُورِ لِمَنْ أَرَادَ الصَّوْمَ</w:t>
      </w:r>
      <w:r>
        <w:rPr>
          <w:rtl/>
          <w:lang w:bidi="fa-IR"/>
        </w:rPr>
        <w:t>؟</w:t>
      </w:r>
    </w:p>
    <w:p w:rsidR="00992664" w:rsidRPr="00020424" w:rsidRDefault="00992664" w:rsidP="00992664">
      <w:pPr>
        <w:pStyle w:val="libNormal"/>
        <w:rPr>
          <w:rtl/>
          <w:lang w:bidi="fa-IR"/>
        </w:rPr>
      </w:pPr>
      <w:r w:rsidRPr="00020424">
        <w:rPr>
          <w:rtl/>
          <w:lang w:bidi="fa-IR"/>
        </w:rPr>
        <w:t xml:space="preserve">فَقَالَ : « أَمَّا فِي </w:t>
      </w:r>
      <w:r w:rsidRPr="00A91B96">
        <w:rPr>
          <w:rStyle w:val="libFootnotenumChar"/>
          <w:rtl/>
        </w:rPr>
        <w:t>(7)</w:t>
      </w:r>
      <w:r w:rsidRPr="00020424">
        <w:rPr>
          <w:rtl/>
          <w:lang w:bidi="fa-IR"/>
        </w:rPr>
        <w:t xml:space="preserve"> شَهْرِ رَمَضَانَ ، فَإِنَّ الْفَضْلَ فِي السَّحُورِ وَلَوْ بِشَرْبَةٍ مِنْ مَاءٍ ، وَأَمَّا‌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الاستبصار : « وإن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آخره » بدل « آخر الشهر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303 ، ح 916 ؛ </w:t>
      </w:r>
      <w:r w:rsidR="00992664" w:rsidRPr="00FD6221">
        <w:rPr>
          <w:rStyle w:val="libFootnoteBoldChar"/>
          <w:rtl/>
        </w:rPr>
        <w:t>والاستبصار</w:t>
      </w:r>
      <w:r w:rsidR="00992664" w:rsidRPr="00020424">
        <w:rPr>
          <w:rtl/>
        </w:rPr>
        <w:t xml:space="preserve"> ، ج 2 ، ص 136 ، ح 446 ، معلّقاً عن الكليني. </w:t>
      </w:r>
      <w:r w:rsidR="00992664" w:rsidRPr="0012008A">
        <w:rPr>
          <w:rStyle w:val="libFootnoteBoldChar"/>
          <w:rtl/>
        </w:rPr>
        <w:t>الفقيه</w:t>
      </w:r>
      <w:r w:rsidR="00992664" w:rsidRPr="00020424">
        <w:rPr>
          <w:rtl/>
        </w:rPr>
        <w:t xml:space="preserve"> ، ج 2 ، ص 83 ، ح 1792 ، معلّقاً عن عبدالله بن سنان </w:t>
      </w:r>
      <w:r w:rsidR="005C7F3D">
        <w:rPr>
          <w:rFonts w:hint="cs"/>
          <w:rtl/>
        </w:rPr>
        <w:t>.</w:t>
      </w:r>
      <w:r w:rsidR="00992664" w:rsidRPr="0012008A">
        <w:rPr>
          <w:rStyle w:val="libFootnoteBoldChar"/>
          <w:rtl/>
        </w:rPr>
        <w:t>الوافي</w:t>
      </w:r>
      <w:r w:rsidR="00992664" w:rsidRPr="00020424">
        <w:rPr>
          <w:rtl/>
        </w:rPr>
        <w:t xml:space="preserve"> ، ج 11 ، ص 47 ، ح 10385 ؛ </w:t>
      </w:r>
      <w:r w:rsidR="00992664" w:rsidRPr="0012008A">
        <w:rPr>
          <w:rStyle w:val="libFootnoteBoldChar"/>
          <w:rtl/>
        </w:rPr>
        <w:t>الوسائل</w:t>
      </w:r>
      <w:r w:rsidR="00992664" w:rsidRPr="00020424">
        <w:rPr>
          <w:rtl/>
        </w:rPr>
        <w:t xml:space="preserve"> ، ج 10 ، ص 416 ، ذيل ح 13737.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السحور » : ما يُتَسحّر به ، أي يؤكل في السَّحَر ، وهو قُبيل الصبح. وقيل : هو بالفتح : اسم ما يتسحّر به من الطعام والشراب ، وبالضمّ المصدر والفعل نفسه ، وأكثر ما يروى بالفتح. وقيل : إنّ الصواب بالضمّ ؛ لأنّه بالفتح الطعام والبركة والأجر والثواب في الفعل ، لا في الطعام. راجع : </w:t>
      </w:r>
      <w:r w:rsidR="00992664" w:rsidRPr="0012008A">
        <w:rPr>
          <w:rStyle w:val="libFootnoteBoldChar"/>
          <w:rtl/>
        </w:rPr>
        <w:t>النهاية</w:t>
      </w:r>
      <w:r w:rsidR="00992664" w:rsidRPr="00020424">
        <w:rPr>
          <w:rtl/>
        </w:rPr>
        <w:t xml:space="preserve"> ، ج 2 ، ص 347 ؛ </w:t>
      </w:r>
      <w:r w:rsidR="00992664" w:rsidRPr="00A722B1">
        <w:rPr>
          <w:rStyle w:val="libFootnoteBoldChar"/>
          <w:rtl/>
        </w:rPr>
        <w:t>المصباح المنير</w:t>
      </w:r>
      <w:r w:rsidR="00992664" w:rsidRPr="00020424">
        <w:rPr>
          <w:rtl/>
        </w:rPr>
        <w:t xml:space="preserve"> ، ص 267 ( سحر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w:t>
      </w:r>
      <w:r w:rsidR="005C7F3D">
        <w:rPr>
          <w:rFonts w:hint="cs"/>
          <w:rtl/>
        </w:rPr>
        <w:t>ُ</w:t>
      </w:r>
      <w:r w:rsidR="00992664" w:rsidRPr="00020424">
        <w:rPr>
          <w:rtl/>
        </w:rPr>
        <w:t>حبّ</w:t>
      </w:r>
      <w:r w:rsidR="00992664">
        <w:rPr>
          <w:rtl/>
        </w:rPr>
        <w:t xml:space="preserve"> ».</w:t>
      </w:r>
    </w:p>
    <w:p w:rsidR="00992664" w:rsidRPr="00020424" w:rsidRDefault="00795177" w:rsidP="005C7F3D">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136 ، ح 1959 ، معلّقاً عن أبي بصير ، من دون التصريح باسم المعصوم </w:t>
      </w:r>
      <w:r w:rsidR="00992664" w:rsidRPr="00D64ADA">
        <w:rPr>
          <w:rStyle w:val="libFootnoteAlaemChar"/>
          <w:rtl/>
        </w:rPr>
        <w:t>عليه‌السلام</w:t>
      </w:r>
      <w:r w:rsidR="00992664" w:rsidRPr="00020424">
        <w:rPr>
          <w:rtl/>
        </w:rPr>
        <w:t xml:space="preserve"> ، مع اختلاف يسير. راجع : </w:t>
      </w:r>
      <w:r w:rsidR="00992664" w:rsidRPr="00DE76B9">
        <w:rPr>
          <w:rStyle w:val="libFootnoteBoldChar"/>
          <w:rtl/>
        </w:rPr>
        <w:t>الكافي</w:t>
      </w:r>
      <w:r w:rsidR="00992664" w:rsidRPr="00020424">
        <w:rPr>
          <w:rtl/>
        </w:rPr>
        <w:t xml:space="preserve"> ، كتاب الصيام ، باب فضل صوم شعبان</w:t>
      </w:r>
      <w:r w:rsidR="00992664">
        <w:rPr>
          <w:rtl/>
        </w:rPr>
        <w:t xml:space="preserve"> ..</w:t>
      </w:r>
      <w:r w:rsidR="00992664" w:rsidRPr="00020424">
        <w:rPr>
          <w:rtl/>
        </w:rPr>
        <w:t xml:space="preserve">. ، ح 6342 ؛ </w:t>
      </w:r>
      <w:r w:rsidR="00992664" w:rsidRPr="00515444">
        <w:rPr>
          <w:rStyle w:val="libFootnoteBoldChar"/>
          <w:rtl/>
        </w:rPr>
        <w:t>والتهذيب</w:t>
      </w:r>
      <w:r w:rsidR="00992664" w:rsidRPr="00020424">
        <w:rPr>
          <w:rtl/>
        </w:rPr>
        <w:t xml:space="preserve"> ، ج 4 ، ص 307 ، ح 927 ؛ </w:t>
      </w:r>
      <w:r w:rsidR="00992664" w:rsidRPr="00FD6221">
        <w:rPr>
          <w:rStyle w:val="libFootnoteBoldChar"/>
          <w:rtl/>
        </w:rPr>
        <w:t>والاستبصار</w:t>
      </w:r>
      <w:r w:rsidR="00992664" w:rsidRPr="00020424">
        <w:rPr>
          <w:rtl/>
        </w:rPr>
        <w:t xml:space="preserve"> ، ج 2 ، ص 138 ، ح 452 </w:t>
      </w:r>
      <w:r w:rsidR="005C7F3D">
        <w:rPr>
          <w:rFonts w:hint="cs"/>
          <w:rtl/>
        </w:rPr>
        <w:t>.</w:t>
      </w:r>
      <w:r w:rsidR="00992664" w:rsidRPr="0012008A">
        <w:rPr>
          <w:rStyle w:val="libFootnoteBoldChar"/>
          <w:rtl/>
        </w:rPr>
        <w:t>الوافي</w:t>
      </w:r>
      <w:r w:rsidR="00992664" w:rsidRPr="00020424">
        <w:rPr>
          <w:rtl/>
        </w:rPr>
        <w:t xml:space="preserve"> ، ج 11 ، ص 241 ، ح 10777 ؛ </w:t>
      </w:r>
      <w:r w:rsidR="00992664" w:rsidRPr="0012008A">
        <w:rPr>
          <w:rStyle w:val="libFootnoteBoldChar"/>
          <w:rtl/>
        </w:rPr>
        <w:t>الوسائل</w:t>
      </w:r>
      <w:r w:rsidR="00992664" w:rsidRPr="00020424">
        <w:rPr>
          <w:rtl/>
        </w:rPr>
        <w:t xml:space="preserve"> ، ج 10 ، ص 142 ، ح 13057.</w:t>
      </w:r>
      <w:r w:rsidR="005C7F3D">
        <w:rPr>
          <w:rFonts w:hint="cs"/>
          <w:rtl/>
        </w:rPr>
        <w:t xml:space="preserve">                </w:t>
      </w:r>
      <w:r w:rsidR="00A959A2">
        <w:rPr>
          <w:rFonts w:hint="cs"/>
          <w:rtl/>
        </w:rPr>
        <w:t xml:space="preserve">       </w:t>
      </w: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فِي التَّطَوُّعِ </w:t>
      </w:r>
      <w:r w:rsidRPr="00A91B96">
        <w:rPr>
          <w:rStyle w:val="libFootnotenumChar"/>
          <w:rtl/>
        </w:rPr>
        <w:t>(1)</w:t>
      </w:r>
      <w:r w:rsidRPr="00020424">
        <w:rPr>
          <w:rtl/>
          <w:lang w:bidi="fa-IR"/>
        </w:rPr>
        <w:t xml:space="preserve"> ، فَمَنْ أَحَبَّ أَنْ يَتَسَحَّرَ فَلْيَفْعَلْ ، وَمَنْ لَمْ يَفْعَلْ فَلَا بَأْسَ</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B224F">
        <w:rPr>
          <w:rtl/>
        </w:rPr>
        <w:t>6353</w:t>
      </w:r>
      <w:r w:rsidRPr="001155DE">
        <w:rPr>
          <w:rStyle w:val="libBold2Char"/>
          <w:rtl/>
        </w:rPr>
        <w:t xml:space="preserve"> / 3.</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جَعْفَرٍ ، عَنْ آبَائِهِ </w:t>
      </w:r>
      <w:r w:rsidRPr="00005A81">
        <w:rPr>
          <w:rStyle w:val="libAlaemChar"/>
          <w:rtl/>
        </w:rPr>
        <w:t>عليهم‌السلام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السَّحُورُ بَرَكَةٌ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وَقَالَ </w:t>
      </w:r>
      <w:r w:rsidRPr="00A91B96">
        <w:rPr>
          <w:rStyle w:val="libFootnotenumChar"/>
          <w:rtl/>
        </w:rPr>
        <w:t>(4)</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لَاتَدَعُ أُمَّتِيَ السَّحُورَ وَلَوْ عَلى حَشَفَةٍ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341" w:name="_Toc345172829"/>
      <w:bookmarkStart w:id="342" w:name="_Toc464562647"/>
      <w:bookmarkStart w:id="343" w:name="_Toc44599950"/>
      <w:r w:rsidRPr="00020424">
        <w:rPr>
          <w:rtl/>
          <w:lang w:bidi="fa-IR"/>
        </w:rPr>
        <w:t>15</w:t>
      </w:r>
      <w:r>
        <w:rPr>
          <w:rtl/>
          <w:lang w:bidi="fa-IR"/>
        </w:rPr>
        <w:t xml:space="preserve"> </w:t>
      </w:r>
      <w:r w:rsidR="009B673F">
        <w:rPr>
          <w:rtl/>
          <w:lang w:bidi="fa-IR"/>
        </w:rPr>
        <w:t>-</w:t>
      </w:r>
      <w:r>
        <w:rPr>
          <w:rtl/>
          <w:lang w:bidi="fa-IR"/>
        </w:rPr>
        <w:t xml:space="preserve"> </w:t>
      </w:r>
      <w:r w:rsidRPr="00020424">
        <w:rPr>
          <w:rtl/>
          <w:lang w:bidi="fa-IR"/>
        </w:rPr>
        <w:t>بَابُ مَا يَقُولُ الصَّائِمُ إِذَا أَفْطَرَ‌</w:t>
      </w:r>
      <w:bookmarkEnd w:id="341"/>
      <w:bookmarkEnd w:id="342"/>
      <w:bookmarkEnd w:id="343"/>
    </w:p>
    <w:p w:rsidR="00992664" w:rsidRPr="00020424" w:rsidRDefault="00992664" w:rsidP="00992664">
      <w:pPr>
        <w:pStyle w:val="libNormal"/>
        <w:rPr>
          <w:rtl/>
          <w:lang w:bidi="fa-IR"/>
        </w:rPr>
      </w:pPr>
      <w:r w:rsidRPr="004B224F">
        <w:rPr>
          <w:rtl/>
        </w:rPr>
        <w:t>6354</w:t>
      </w:r>
      <w:r w:rsidRPr="001155DE">
        <w:rPr>
          <w:rStyle w:val="libBold2Char"/>
          <w:rtl/>
        </w:rPr>
        <w:t xml:space="preserve"> / 1.</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جَعْفَرٍ </w:t>
      </w:r>
      <w:r w:rsidRPr="00A91B96">
        <w:rPr>
          <w:rStyle w:val="libFootnotenumChar"/>
          <w:rtl/>
        </w:rPr>
        <w:t>(7)</w:t>
      </w:r>
      <w:r w:rsidRPr="00020424">
        <w:rPr>
          <w:rtl/>
          <w:lang w:bidi="fa-IR"/>
        </w:rPr>
        <w:t xml:space="preserve"> ، عَنْ آبَائِهِ </w:t>
      </w:r>
      <w:r w:rsidRPr="00005A81">
        <w:rPr>
          <w:rStyle w:val="libAlaemChar"/>
          <w:rtl/>
        </w:rPr>
        <w:t>عليهم‌السلام</w:t>
      </w:r>
      <w:r w:rsidRPr="00020424">
        <w:rPr>
          <w:rtl/>
          <w:lang w:bidi="fa-IR"/>
        </w:rPr>
        <w:t xml:space="preserve"> </w:t>
      </w:r>
      <w:r w:rsidRPr="00A91B96">
        <w:rPr>
          <w:rStyle w:val="libFootnotenumChar"/>
          <w:rtl/>
        </w:rPr>
        <w:t>(8)</w:t>
      </w:r>
      <w:r w:rsidRPr="00020424">
        <w:rPr>
          <w:rtl/>
          <w:lang w:bidi="fa-IR"/>
        </w:rPr>
        <w:t xml:space="preserve"> : « أَنَّ رَسُولَ اللهِ </w:t>
      </w:r>
      <w:r w:rsidR="00B42914" w:rsidRPr="00B42914">
        <w:rPr>
          <w:rStyle w:val="libAlaemChar"/>
          <w:rtl/>
        </w:rPr>
        <w:t>صلى‌الله‌عليه‌وآله‌</w:t>
      </w:r>
      <w:r w:rsidRPr="00020424">
        <w:rPr>
          <w:rtl/>
          <w:lang w:bidi="fa-IR"/>
        </w:rPr>
        <w:t xml:space="preserve"> كَانَ إِذَا أَفْطَرَ ، قَالَ : الل</w:t>
      </w:r>
      <w:r w:rsidR="00A60295">
        <w:rPr>
          <w:rFonts w:hint="cs"/>
          <w:rtl/>
          <w:lang w:bidi="fa-IR"/>
        </w:rPr>
        <w:t>ّ</w:t>
      </w:r>
      <w:r w:rsidRPr="00020424">
        <w:rPr>
          <w:rtl/>
          <w:lang w:bidi="fa-IR"/>
        </w:rPr>
        <w:t>هُمَّ لَكَ‌</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197 : + « في غير رمضان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197 ، ح 565 ؛ وص 314 ، ح 952 ، معلّقاً عن الحسين بن سعيد. </w:t>
      </w:r>
      <w:r w:rsidR="00992664" w:rsidRPr="0012008A">
        <w:rPr>
          <w:rStyle w:val="libFootnoteBoldChar"/>
          <w:rtl/>
        </w:rPr>
        <w:t>الفقيه</w:t>
      </w:r>
      <w:r w:rsidR="00992664" w:rsidRPr="00020424">
        <w:rPr>
          <w:rtl/>
        </w:rPr>
        <w:t xml:space="preserve"> ، ج 2 ، ص 35 ، ح 1958 ، معلّقاً عن سماعة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205 ، إلى قوله : « ولو بشربة من ماء » مع اختلاف يسير. </w:t>
      </w:r>
      <w:r w:rsidR="00992664" w:rsidRPr="0012008A">
        <w:rPr>
          <w:rStyle w:val="libFootnoteBoldChar"/>
          <w:rtl/>
        </w:rPr>
        <w:t>الفقيه</w:t>
      </w:r>
      <w:r w:rsidR="00992664" w:rsidRPr="00020424">
        <w:rPr>
          <w:rtl/>
        </w:rPr>
        <w:t xml:space="preserve"> ، ج 2 ، ص 136 ، ح 1961 ، مرسلاً عن أميرالمؤمنين </w:t>
      </w:r>
      <w:r w:rsidR="00992664" w:rsidRPr="00D64ADA">
        <w:rPr>
          <w:rStyle w:val="libFootnoteAlaemChar"/>
          <w:rtl/>
        </w:rPr>
        <w:t>عليه‌السلام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المقنعة</w:t>
      </w:r>
      <w:r w:rsidR="00992664" w:rsidRPr="00020424">
        <w:rPr>
          <w:rtl/>
        </w:rPr>
        <w:t xml:space="preserve"> ، ص 316 ، مرسلاً ، من دون التصريح باسم المعصوم </w:t>
      </w:r>
      <w:r w:rsidR="00992664" w:rsidRPr="00D64ADA">
        <w:rPr>
          <w:rStyle w:val="libFootnoteAlaemChar"/>
          <w:rtl/>
        </w:rPr>
        <w:t>عليه‌السلام</w:t>
      </w:r>
      <w:r w:rsidR="00992664" w:rsidRPr="00020424">
        <w:rPr>
          <w:rtl/>
        </w:rPr>
        <w:t xml:space="preserve"> ، وفي الأخيرين مع زيادة في أوّله. </w:t>
      </w:r>
      <w:r w:rsidR="00992664" w:rsidRPr="00DE76B9">
        <w:rPr>
          <w:rStyle w:val="libFootnoteBoldChar"/>
          <w:rtl/>
        </w:rPr>
        <w:t>وفيه</w:t>
      </w:r>
      <w:r w:rsidR="00992664" w:rsidRPr="00020424">
        <w:rPr>
          <w:rtl/>
        </w:rPr>
        <w:t xml:space="preserve"> ، ص 316 ، مرسلاً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وفي الثلاثة الأخيرة إلى قوله : « ولو بشربة من ماء » مع اختلاف. </w:t>
      </w:r>
      <w:r w:rsidR="00992664" w:rsidRPr="0012008A">
        <w:rPr>
          <w:rStyle w:val="libFootnoteBoldChar"/>
          <w:rtl/>
        </w:rPr>
        <w:t>المقنعة</w:t>
      </w:r>
      <w:r w:rsidR="00992664" w:rsidRPr="00020424">
        <w:rPr>
          <w:rtl/>
        </w:rPr>
        <w:t xml:space="preserve"> ، ص 381 ، مرسلاً من دون التصريح باسم المعصوم </w:t>
      </w:r>
      <w:r w:rsidR="00992664" w:rsidRPr="00D64ADA">
        <w:rPr>
          <w:rStyle w:val="libFootnoteAlaemChar"/>
          <w:rtl/>
        </w:rPr>
        <w:t>عليه‌السلام</w:t>
      </w:r>
      <w:r w:rsidR="00992664" w:rsidRPr="00020424">
        <w:rPr>
          <w:rtl/>
        </w:rPr>
        <w:t xml:space="preserve"> ، مع اختلاف يسير </w:t>
      </w:r>
      <w:r w:rsidR="00B915A6">
        <w:rPr>
          <w:rFonts w:hint="cs"/>
          <w:rtl/>
        </w:rPr>
        <w:t>.</w:t>
      </w:r>
      <w:r w:rsidR="00992664" w:rsidRPr="0012008A">
        <w:rPr>
          <w:rStyle w:val="libFootnoteBoldChar"/>
          <w:rtl/>
        </w:rPr>
        <w:t>الوافي</w:t>
      </w:r>
      <w:r w:rsidR="00992664" w:rsidRPr="00020424">
        <w:rPr>
          <w:rtl/>
        </w:rPr>
        <w:t xml:space="preserve"> ، ج 11 ، ص 241 ، ح 10775 ؛ </w:t>
      </w:r>
      <w:r w:rsidR="00992664" w:rsidRPr="0012008A">
        <w:rPr>
          <w:rStyle w:val="libFootnoteBoldChar"/>
          <w:rtl/>
        </w:rPr>
        <w:t>الوسائل</w:t>
      </w:r>
      <w:r w:rsidR="00992664" w:rsidRPr="00020424">
        <w:rPr>
          <w:rtl/>
        </w:rPr>
        <w:t xml:space="preserve"> ، ج 10 ، ص 143 ، ح 13061.</w:t>
      </w:r>
    </w:p>
    <w:tbl>
      <w:tblPr>
        <w:tblStyle w:val="TableGrid"/>
        <w:bidiVisual/>
        <w:tblW w:w="0" w:type="auto"/>
        <w:tblLook w:val="04A0" w:firstRow="1" w:lastRow="0" w:firstColumn="1" w:lastColumn="0" w:noHBand="0" w:noVBand="1"/>
      </w:tblPr>
      <w:tblGrid>
        <w:gridCol w:w="4006"/>
        <w:gridCol w:w="4006"/>
      </w:tblGrid>
      <w:tr w:rsidR="00B915A6" w:rsidTr="00B915A6">
        <w:tc>
          <w:tcPr>
            <w:tcW w:w="4006" w:type="dxa"/>
          </w:tcPr>
          <w:p w:rsidR="00B915A6" w:rsidRDefault="00B915A6" w:rsidP="00992664">
            <w:pPr>
              <w:pStyle w:val="libFootnote0"/>
              <w:rPr>
                <w:rtl/>
              </w:rPr>
            </w:pPr>
            <w:r>
              <w:rPr>
                <w:rtl/>
              </w:rPr>
              <w:t xml:space="preserve">(3). </w:t>
            </w:r>
            <w:r w:rsidRPr="00020424">
              <w:rPr>
                <w:rtl/>
              </w:rPr>
              <w:t>في « ى » :</w:t>
            </w:r>
            <w:r>
              <w:rPr>
                <w:rtl/>
              </w:rPr>
              <w:t xml:space="preserve"> - </w:t>
            </w:r>
            <w:r w:rsidRPr="00020424">
              <w:rPr>
                <w:rtl/>
              </w:rPr>
              <w:t>« قال</w:t>
            </w:r>
            <w:r>
              <w:rPr>
                <w:rtl/>
              </w:rPr>
              <w:t xml:space="preserve"> ».</w:t>
            </w:r>
          </w:p>
        </w:tc>
        <w:tc>
          <w:tcPr>
            <w:tcW w:w="4006" w:type="dxa"/>
          </w:tcPr>
          <w:p w:rsidR="00B915A6" w:rsidRDefault="00B915A6" w:rsidP="00992664">
            <w:pPr>
              <w:pStyle w:val="libFootnote0"/>
              <w:rPr>
                <w:rtl/>
              </w:rPr>
            </w:pPr>
            <w:r>
              <w:rPr>
                <w:rtl/>
              </w:rPr>
              <w:t xml:space="preserve">(4). </w:t>
            </w:r>
            <w:r w:rsidRPr="00020424">
              <w:rPr>
                <w:rtl/>
              </w:rPr>
              <w:t xml:space="preserve">في « ى ، بح » </w:t>
            </w:r>
            <w:r w:rsidRPr="00515444">
              <w:rPr>
                <w:rStyle w:val="libFootnoteBoldChar"/>
                <w:rtl/>
              </w:rPr>
              <w:t>والتهذيب</w:t>
            </w:r>
            <w:r w:rsidRPr="00020424">
              <w:rPr>
                <w:rtl/>
              </w:rPr>
              <w:t xml:space="preserve"> : « قال » بدون الواو.</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وحاشية « بث » </w:t>
      </w:r>
      <w:r w:rsidR="00992664" w:rsidRPr="00FD6221">
        <w:rPr>
          <w:rStyle w:val="libFootnoteBoldChar"/>
          <w:rtl/>
        </w:rPr>
        <w:t>والفقيه</w:t>
      </w:r>
      <w:r w:rsidR="00992664" w:rsidRPr="00020424">
        <w:rPr>
          <w:rtl/>
        </w:rPr>
        <w:t xml:space="preserve"> : + « تمر</w:t>
      </w:r>
      <w:r w:rsidR="00992664">
        <w:rPr>
          <w:rtl/>
        </w:rPr>
        <w:t xml:space="preserve"> ».</w:t>
      </w:r>
      <w:r w:rsidR="00992664" w:rsidRPr="00020424">
        <w:rPr>
          <w:rtl/>
        </w:rPr>
        <w:t xml:space="preserve"> وفي « جن » : + « وتمر</w:t>
      </w:r>
      <w:r w:rsidR="00992664">
        <w:rPr>
          <w:rtl/>
        </w:rPr>
        <w:t xml:space="preserve"> ».</w:t>
      </w:r>
      <w:r w:rsidR="00992664" w:rsidRPr="00020424">
        <w:rPr>
          <w:rtl/>
        </w:rPr>
        <w:t xml:space="preserve"> والحشفة : واحدة الحَشَف ، وهو اليابس الفاسد من التمر ، أو الضعيف الذي لا نوى له ، كالشِّيص ، أو هو أردأ التمر ، وهو الذي يجفّ من غير نضبح ولا إدراك فلا يكون له لحم. راجع : </w:t>
      </w:r>
      <w:r w:rsidR="00992664" w:rsidRPr="0012008A">
        <w:rPr>
          <w:rStyle w:val="libFootnoteBoldChar"/>
          <w:rtl/>
        </w:rPr>
        <w:t>النهاية</w:t>
      </w:r>
      <w:r w:rsidR="00992664" w:rsidRPr="00020424">
        <w:rPr>
          <w:rtl/>
        </w:rPr>
        <w:t xml:space="preserve"> ، ج 1 ، ص 391 ؛ </w:t>
      </w:r>
      <w:r w:rsidR="00992664" w:rsidRPr="00A722B1">
        <w:rPr>
          <w:rStyle w:val="libFootnoteBoldChar"/>
          <w:rtl/>
        </w:rPr>
        <w:t>المصباح المنير</w:t>
      </w:r>
      <w:r w:rsidR="00B915A6">
        <w:rPr>
          <w:rtl/>
        </w:rPr>
        <w:t xml:space="preserve"> ، ص 137 ( حشف</w:t>
      </w:r>
      <w:r w:rsidR="00992664" w:rsidRPr="00020424">
        <w:rPr>
          <w:rtl/>
        </w:rPr>
        <w:t>)</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198 ، ح 568 ، معلّقاً عن الكليني. </w:t>
      </w:r>
      <w:r w:rsidR="00992664" w:rsidRPr="00DE76B9">
        <w:rPr>
          <w:rStyle w:val="libFootnoteBoldChar"/>
          <w:rtl/>
        </w:rPr>
        <w:t>الجعفريّات</w:t>
      </w:r>
      <w:r w:rsidR="00992664" w:rsidRPr="00020424">
        <w:rPr>
          <w:rtl/>
        </w:rPr>
        <w:t xml:space="preserve"> ، ص 159 ، بسند آخر ، وتمام الرواية : « السحور بركة</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135 ، ح 1957 ، مرسلاً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B915A6">
        <w:rPr>
          <w:rFonts w:hint="cs"/>
          <w:rtl/>
        </w:rPr>
        <w:t>.</w:t>
      </w:r>
      <w:r w:rsidR="00992664" w:rsidRPr="0012008A">
        <w:rPr>
          <w:rStyle w:val="libFootnoteBoldChar"/>
          <w:rtl/>
        </w:rPr>
        <w:t>الوافي</w:t>
      </w:r>
      <w:r w:rsidR="00992664" w:rsidRPr="00020424">
        <w:rPr>
          <w:rtl/>
        </w:rPr>
        <w:t xml:space="preserve"> ، ج 11 ، ص 242 ، ح 10778 ؛ </w:t>
      </w:r>
      <w:r w:rsidR="00992664" w:rsidRPr="0012008A">
        <w:rPr>
          <w:rStyle w:val="libFootnoteBoldChar"/>
          <w:rtl/>
        </w:rPr>
        <w:t>الوسائل</w:t>
      </w:r>
      <w:r w:rsidR="00992664" w:rsidRPr="00020424">
        <w:rPr>
          <w:rtl/>
        </w:rPr>
        <w:t xml:space="preserve"> ، ج 10 ، ص 143 ، ح 13059 ، تمام الرواية فيه : « السحور بركة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ظ ، ى ، بث ، بح ، بخ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وفي « جر » </w:t>
      </w:r>
      <w:r w:rsidR="00992664" w:rsidRPr="00515444">
        <w:rPr>
          <w:rStyle w:val="libFootnoteBoldChar"/>
          <w:rtl/>
        </w:rPr>
        <w:t>والتهذيب</w:t>
      </w:r>
      <w:r w:rsidR="00992664" w:rsidRPr="00020424">
        <w:rPr>
          <w:rtl/>
        </w:rPr>
        <w:t xml:space="preserve"> : + « بن‌محمّد</w:t>
      </w:r>
      <w:r w:rsidR="00992664">
        <w:rPr>
          <w:rtl/>
        </w:rPr>
        <w:t xml:space="preserve"> ».</w:t>
      </w:r>
      <w:r w:rsidR="00992664" w:rsidRPr="00020424">
        <w:rPr>
          <w:rtl/>
        </w:rPr>
        <w:t xml:space="preserve"> وفي المطبوع : « [ أبي ] جعفر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صُمْنَا ، وَعَلى رِزْقِكَ أَفْطَرْنَا ، فَتَقَبَّلْهُ مِنَّا ، ذَهَبَ الظَّمَأُ </w:t>
      </w:r>
      <w:r w:rsidRPr="00A91B96">
        <w:rPr>
          <w:rStyle w:val="libFootnotenumChar"/>
          <w:rtl/>
        </w:rPr>
        <w:t>(1)</w:t>
      </w:r>
      <w:r w:rsidRPr="00020424">
        <w:rPr>
          <w:rtl/>
          <w:lang w:bidi="fa-IR"/>
        </w:rPr>
        <w:t xml:space="preserve"> ، وَابْتَلَّتِ الْعُرُوقُ ، وَبَقِيَ الْأَجْرُ</w:t>
      </w:r>
      <w:r>
        <w:rPr>
          <w:rtl/>
          <w:lang w:bidi="fa-IR"/>
        </w:rPr>
        <w:t xml:space="preserve"> ».</w:t>
      </w:r>
      <w:r w:rsidRPr="00020424">
        <w:rPr>
          <w:rtl/>
          <w:lang w:bidi="fa-IR"/>
        </w:rPr>
        <w:t xml:space="preserve"> </w:t>
      </w:r>
      <w:r w:rsidRPr="00A91B96">
        <w:rPr>
          <w:rStyle w:val="libFootnotenumChar"/>
          <w:rtl/>
        </w:rPr>
        <w:t>(2)</w:t>
      </w:r>
      <w:r w:rsidR="00B04396">
        <w:rPr>
          <w:rtl/>
          <w:lang w:bidi="fa-IR"/>
        </w:rPr>
        <w:t xml:space="preserve"> </w:t>
      </w:r>
    </w:p>
    <w:p w:rsidR="00992664" w:rsidRPr="00020424" w:rsidRDefault="00992664" w:rsidP="00992664">
      <w:pPr>
        <w:pStyle w:val="libNormal"/>
        <w:rPr>
          <w:rtl/>
          <w:lang w:bidi="fa-IR"/>
        </w:rPr>
      </w:pPr>
      <w:r w:rsidRPr="004B224F">
        <w:rPr>
          <w:rtl/>
        </w:rPr>
        <w:t>6355</w:t>
      </w:r>
      <w:r w:rsidRPr="001155DE">
        <w:rPr>
          <w:rStyle w:val="libBold2Char"/>
          <w:rtl/>
        </w:rPr>
        <w:t xml:space="preserve"> / 2.</w:t>
      </w:r>
      <w:r w:rsidRPr="00020424">
        <w:rPr>
          <w:rtl/>
          <w:lang w:bidi="fa-IR"/>
        </w:rPr>
        <w:t xml:space="preserve"> الْحُسَيْنُ بْنُ مُحَمَّدٍ ، عَنْ أَحْمَدَ بْنِ إِسْحَاقَ ، عَنْ سَعْدَانَ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تَقُولُ </w:t>
      </w:r>
      <w:r w:rsidRPr="00A91B96">
        <w:rPr>
          <w:rStyle w:val="libFootnotenumChar"/>
          <w:rtl/>
        </w:rPr>
        <w:t>(3)</w:t>
      </w:r>
      <w:r w:rsidRPr="00020424">
        <w:rPr>
          <w:rtl/>
          <w:lang w:bidi="fa-IR"/>
        </w:rPr>
        <w:t xml:space="preserve"> فِي كُلِّ لَيْلَةٍ مِنْ شَهْرِ رَمَضَانَ عِنْدَ الْإِفْطَارِ إِلى آخِرِهِ : الْحَمْدُ لِلّهِ الَّذِي أَعَانَنَا فَصُمْنَا ، وَرَزَقَنَا فَأَفْطَرْنَا ، الل</w:t>
      </w:r>
      <w:r w:rsidR="00B915A6">
        <w:rPr>
          <w:rFonts w:hint="cs"/>
          <w:rtl/>
          <w:lang w:bidi="fa-IR"/>
        </w:rPr>
        <w:t>َّ</w:t>
      </w:r>
      <w:r w:rsidRPr="00020424">
        <w:rPr>
          <w:rtl/>
          <w:lang w:bidi="fa-IR"/>
        </w:rPr>
        <w:t xml:space="preserve">هُمَّ تَقَبَّلْ </w:t>
      </w:r>
      <w:r w:rsidRPr="00A91B96">
        <w:rPr>
          <w:rStyle w:val="libFootnotenumChar"/>
          <w:rtl/>
        </w:rPr>
        <w:t>(4)</w:t>
      </w:r>
      <w:r w:rsidRPr="00020424">
        <w:rPr>
          <w:rtl/>
          <w:lang w:bidi="fa-IR"/>
        </w:rPr>
        <w:t xml:space="preserve"> مِنَّا ، وَأَعِنَّا عَلَيْهِ ، وَسَلِّمْنَا فِيهِ ، وَتَسَلَّمْهُ مِنَّا </w:t>
      </w:r>
      <w:r w:rsidRPr="00A91B96">
        <w:rPr>
          <w:rStyle w:val="libFootnotenumChar"/>
          <w:rtl/>
        </w:rPr>
        <w:t>(5)</w:t>
      </w:r>
      <w:r w:rsidRPr="00020424">
        <w:rPr>
          <w:rtl/>
          <w:lang w:bidi="fa-IR"/>
        </w:rPr>
        <w:t xml:space="preserve"> فِي يُسْرٍ مِنْكَ وَعَافِيَةٍ ، الْحَمْدُ لِلّهِ الَّذِي قَضى عَنَّا </w:t>
      </w:r>
      <w:r w:rsidRPr="00A91B96">
        <w:rPr>
          <w:rStyle w:val="libFootnotenumChar"/>
          <w:rtl/>
        </w:rPr>
        <w:t>(6)</w:t>
      </w:r>
      <w:r w:rsidRPr="00020424">
        <w:rPr>
          <w:rtl/>
          <w:lang w:bidi="fa-IR"/>
        </w:rPr>
        <w:t xml:space="preserve"> يَوْماً مِنْ شَهْرِ رَمَضَانَ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A63C6D" w:rsidP="00A63C6D">
      <w:pPr>
        <w:pStyle w:val="libFootnote0"/>
        <w:rPr>
          <w:rtl/>
          <w:lang w:bidi="fa-IR"/>
        </w:rPr>
      </w:pPr>
      <w:r>
        <w:rPr>
          <w:rFonts w:hint="cs"/>
          <w:rtl/>
        </w:rPr>
        <w:t xml:space="preserve">= </w:t>
      </w:r>
      <w:r w:rsidR="00992664" w:rsidRPr="00A63C6D">
        <w:rPr>
          <w:rtl/>
        </w:rPr>
        <w:t xml:space="preserve">وما أثبتناه هو الصواب ؛ فإنّ المراد من السكوني هو إسماعيل بن مسلم أبي زياد ، وهو من أصحاب أبي عبدالله </w:t>
      </w:r>
      <w:r w:rsidR="00992664" w:rsidRPr="00D64ADA">
        <w:rPr>
          <w:rStyle w:val="libFootnoteAlaemChar"/>
          <w:rtl/>
        </w:rPr>
        <w:t>عليه‌السلام</w:t>
      </w:r>
      <w:r w:rsidR="00992664" w:rsidRPr="00A63C6D">
        <w:rPr>
          <w:rtl/>
        </w:rPr>
        <w:t xml:space="preserve"> ، وقد أكثر من الرواية عنه </w:t>
      </w:r>
      <w:r w:rsidR="00992664" w:rsidRPr="00D64ADA">
        <w:rPr>
          <w:rStyle w:val="libFootnoteAlaemChar"/>
          <w:rtl/>
        </w:rPr>
        <w:t>عليه‌السلام</w:t>
      </w:r>
      <w:r w:rsidR="00992664" w:rsidRPr="00A63C6D">
        <w:rPr>
          <w:rtl/>
        </w:rPr>
        <w:t xml:space="preserve"> بعنوان « جعفر » ، ولم يثبت روايته عن أبي جعفر </w:t>
      </w:r>
      <w:r w:rsidR="00992664" w:rsidRPr="00D64ADA">
        <w:rPr>
          <w:rStyle w:val="libFootnoteAlaemChar"/>
          <w:rtl/>
        </w:rPr>
        <w:t>عليه‌السلام</w:t>
      </w:r>
      <w:r w:rsidR="00992664" w:rsidRPr="00A63C6D">
        <w:rPr>
          <w:rtl/>
        </w:rPr>
        <w:t xml:space="preserve">. راجع : </w:t>
      </w:r>
      <w:r w:rsidR="00992664" w:rsidRPr="00DE76B9">
        <w:rPr>
          <w:rStyle w:val="libFootnoteBoldChar"/>
          <w:rtl/>
        </w:rPr>
        <w:t>رجال البرقي</w:t>
      </w:r>
      <w:r w:rsidR="00992664" w:rsidRPr="00A63C6D">
        <w:rPr>
          <w:rtl/>
        </w:rPr>
        <w:t xml:space="preserve"> ، ص 28 ؛ </w:t>
      </w:r>
      <w:r w:rsidR="00992664" w:rsidRPr="00DE76B9">
        <w:rPr>
          <w:rStyle w:val="libFootnoteBoldChar"/>
          <w:rtl/>
        </w:rPr>
        <w:t>رجال الطوسي</w:t>
      </w:r>
      <w:r w:rsidR="00992664" w:rsidRPr="00A63C6D">
        <w:rPr>
          <w:rtl/>
        </w:rPr>
        <w:t xml:space="preserve"> ، ص 160 ، الرقم 1788.</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199 : + « قال</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 الظَمَأ » : العطش ، أو شدّته ؛ وفي </w:t>
      </w:r>
      <w:r w:rsidR="00992664" w:rsidRPr="00DE76B9">
        <w:rPr>
          <w:rStyle w:val="libFootnoteBoldChar"/>
          <w:rtl/>
        </w:rPr>
        <w:t>المرآة</w:t>
      </w:r>
      <w:r w:rsidR="00992664" w:rsidRPr="00020424">
        <w:rPr>
          <w:rtl/>
        </w:rPr>
        <w:t xml:space="preserve"> : « قوله </w:t>
      </w:r>
      <w:r w:rsidR="00992664" w:rsidRPr="00D64ADA">
        <w:rPr>
          <w:rStyle w:val="libFootnoteAlaemChar"/>
          <w:rtl/>
        </w:rPr>
        <w:t>عليه‌السلام</w:t>
      </w:r>
      <w:r w:rsidR="00992664" w:rsidRPr="00020424">
        <w:rPr>
          <w:rtl/>
        </w:rPr>
        <w:t xml:space="preserve"> ذهب الظمأ ، أقول : لايبعد عدم كون قوله : ذهب الظمأ ، من‌تتمّة الدعاء ، بل يكون تحريصاً على الصوم بعد إتمام الدعاء ، لكنّ الأصحاب جعلوه من تتمّة الدعاء</w:t>
      </w:r>
      <w:r w:rsidR="00992664">
        <w:rPr>
          <w:rtl/>
        </w:rPr>
        <w:t>».</w:t>
      </w:r>
      <w:r w:rsidR="00992664" w:rsidRPr="00020424">
        <w:rPr>
          <w:rtl/>
        </w:rPr>
        <w:t xml:space="preserve"> راجع : </w:t>
      </w:r>
      <w:r w:rsidR="00992664" w:rsidRPr="0012008A">
        <w:rPr>
          <w:rStyle w:val="libFootnoteBoldChar"/>
          <w:rtl/>
        </w:rPr>
        <w:t>الصحاح</w:t>
      </w:r>
      <w:r w:rsidR="00992664" w:rsidRPr="00020424">
        <w:rPr>
          <w:rtl/>
        </w:rPr>
        <w:t xml:space="preserve"> ، ج 1 ، ص 61 ؛ </w:t>
      </w:r>
      <w:r w:rsidR="00992664" w:rsidRPr="0012008A">
        <w:rPr>
          <w:rStyle w:val="libFootnoteBoldChar"/>
          <w:rtl/>
        </w:rPr>
        <w:t>النهاية</w:t>
      </w:r>
      <w:r w:rsidR="00992664" w:rsidRPr="00020424">
        <w:rPr>
          <w:rtl/>
        </w:rPr>
        <w:t xml:space="preserve"> ، ج 3 ، ص 162 ( ظمأ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199 ، ح 576 ، معلّقاً عن الكليني. </w:t>
      </w:r>
      <w:r w:rsidR="00992664" w:rsidRPr="00DE76B9">
        <w:rPr>
          <w:rStyle w:val="libFootnoteBoldChar"/>
          <w:rtl/>
        </w:rPr>
        <w:t>الجعفريّات</w:t>
      </w:r>
      <w:r w:rsidR="00992664" w:rsidRPr="00020424">
        <w:rPr>
          <w:rtl/>
        </w:rPr>
        <w:t xml:space="preserve"> ، ص 60 ،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التهذيب</w:t>
      </w:r>
      <w:r w:rsidR="00992664" w:rsidRPr="00020424">
        <w:rPr>
          <w:rtl/>
        </w:rPr>
        <w:t xml:space="preserve"> ، ج 4 ، ص 200 ، ذيل ح 578 ، بسند آخر عن أبي عبدالله ، عن أبيه ، عن أميرالمؤمنين </w:t>
      </w:r>
      <w:r w:rsidR="00992664" w:rsidRPr="00D64ADA">
        <w:rPr>
          <w:rStyle w:val="libFootnoteAlaemChar"/>
          <w:rtl/>
        </w:rPr>
        <w:t>عليهم‌السلام</w:t>
      </w:r>
      <w:r w:rsidR="00992664" w:rsidRPr="00020424">
        <w:rPr>
          <w:rtl/>
        </w:rPr>
        <w:t xml:space="preserve"> ، إلى قوله : « وعلى رزقك أفطرنا » مع اختلاف يسير وزيادة في آخره. </w:t>
      </w:r>
      <w:r w:rsidR="00992664" w:rsidRPr="0012008A">
        <w:rPr>
          <w:rStyle w:val="libFootnoteBoldChar"/>
          <w:rtl/>
        </w:rPr>
        <w:t>الفقيه</w:t>
      </w:r>
      <w:r w:rsidR="00992664" w:rsidRPr="00020424">
        <w:rPr>
          <w:rtl/>
        </w:rPr>
        <w:t xml:space="preserve"> ، ج 2 ، ص 106 ، ح 1850 ، مرسلاً عن رسول 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319 ، مرسلاً عن إسماعيل بن أبي زياد ،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راجع : </w:t>
      </w:r>
      <w:r w:rsidR="00992664" w:rsidRPr="00DE76B9">
        <w:rPr>
          <w:rStyle w:val="libFootnoteBoldChar"/>
          <w:rtl/>
        </w:rPr>
        <w:t>فضائل الأشهر الثلاثة</w:t>
      </w:r>
      <w:r w:rsidR="00992664" w:rsidRPr="00020424">
        <w:rPr>
          <w:rtl/>
        </w:rPr>
        <w:t xml:space="preserve"> ، ص 96 ، ح 81 ؛ وص 106 ، ح 98 </w:t>
      </w:r>
      <w:r w:rsidR="003A3D55">
        <w:rPr>
          <w:rFonts w:hint="cs"/>
          <w:rtl/>
        </w:rPr>
        <w:t>.</w:t>
      </w:r>
      <w:r w:rsidR="00992664" w:rsidRPr="0012008A">
        <w:rPr>
          <w:rStyle w:val="libFootnoteBoldChar"/>
          <w:rtl/>
        </w:rPr>
        <w:t>الوافي</w:t>
      </w:r>
      <w:r w:rsidR="00992664" w:rsidRPr="00020424">
        <w:rPr>
          <w:rtl/>
        </w:rPr>
        <w:t xml:space="preserve"> ، ج 11 ، ص 248 ، ح 10795 ؛ </w:t>
      </w:r>
      <w:r w:rsidR="00992664" w:rsidRPr="0012008A">
        <w:rPr>
          <w:rStyle w:val="libFootnoteBoldChar"/>
          <w:rtl/>
        </w:rPr>
        <w:t>الوسائل</w:t>
      </w:r>
      <w:r w:rsidR="00992664" w:rsidRPr="00020424">
        <w:rPr>
          <w:rtl/>
        </w:rPr>
        <w:t xml:space="preserve"> ، ج 10 ، ص 147 ، ح 13070.</w:t>
      </w:r>
    </w:p>
    <w:tbl>
      <w:tblPr>
        <w:tblStyle w:val="TableGrid"/>
        <w:bidiVisual/>
        <w:tblW w:w="0" w:type="auto"/>
        <w:tblLook w:val="04A0" w:firstRow="1" w:lastRow="0" w:firstColumn="1" w:lastColumn="0" w:noHBand="0" w:noVBand="1"/>
      </w:tblPr>
      <w:tblGrid>
        <w:gridCol w:w="4006"/>
        <w:gridCol w:w="4006"/>
      </w:tblGrid>
      <w:tr w:rsidR="007128EA" w:rsidTr="007128EA">
        <w:tc>
          <w:tcPr>
            <w:tcW w:w="4006" w:type="dxa"/>
          </w:tcPr>
          <w:p w:rsidR="007128EA" w:rsidRDefault="007128EA" w:rsidP="00992664">
            <w:pPr>
              <w:pStyle w:val="libFootnote0"/>
              <w:rPr>
                <w:rtl/>
              </w:rPr>
            </w:pPr>
            <w:r>
              <w:rPr>
                <w:rtl/>
              </w:rPr>
              <w:t>(3). في «بث،بح،</w:t>
            </w:r>
            <w:r w:rsidRPr="00020424">
              <w:rPr>
                <w:rtl/>
              </w:rPr>
              <w:t>بخ ، بر ، بس ، بف » : « يقول</w:t>
            </w:r>
            <w:r>
              <w:rPr>
                <w:rtl/>
              </w:rPr>
              <w:t xml:space="preserve"> ».</w:t>
            </w:r>
          </w:p>
        </w:tc>
        <w:tc>
          <w:tcPr>
            <w:tcW w:w="4006" w:type="dxa"/>
          </w:tcPr>
          <w:p w:rsidR="007128EA" w:rsidRDefault="007128EA" w:rsidP="00992664">
            <w:pPr>
              <w:pStyle w:val="libFootnote0"/>
              <w:rPr>
                <w:rtl/>
              </w:rPr>
            </w:pPr>
            <w:r>
              <w:rPr>
                <w:rtl/>
              </w:rPr>
              <w:t xml:space="preserve">(4). </w:t>
            </w:r>
            <w:r w:rsidR="009D481C">
              <w:rPr>
                <w:rtl/>
              </w:rPr>
              <w:t>في «بس</w:t>
            </w:r>
            <w:r w:rsidRPr="00020424">
              <w:rPr>
                <w:rtl/>
              </w:rPr>
              <w:t xml:space="preserve">» وحاشية « بث » </w:t>
            </w:r>
            <w:r w:rsidRPr="00DE3E80">
              <w:rPr>
                <w:rStyle w:val="libFootnoteBoldChar"/>
                <w:rtl/>
              </w:rPr>
              <w:t>والمقنعة</w:t>
            </w:r>
            <w:r w:rsidRPr="00020424">
              <w:rPr>
                <w:rtl/>
              </w:rPr>
              <w:t xml:space="preserve"> : « تقبله</w:t>
            </w:r>
            <w:r>
              <w:rPr>
                <w:rtl/>
              </w:rPr>
              <w:t xml:space="preserve"> ».</w:t>
            </w:r>
          </w:p>
        </w:tc>
      </w:tr>
    </w:tbl>
    <w:p w:rsidR="00992664" w:rsidRPr="00020424" w:rsidRDefault="00795177" w:rsidP="003D4DAA">
      <w:pPr>
        <w:pStyle w:val="libFootnote0"/>
        <w:rPr>
          <w:rtl/>
          <w:lang w:bidi="fa-IR"/>
        </w:rPr>
      </w:pPr>
      <w:r>
        <w:rPr>
          <w:rtl/>
        </w:rPr>
        <w:t>(5).</w:t>
      </w:r>
      <w:r w:rsidR="0014403D">
        <w:rPr>
          <w:rtl/>
        </w:rPr>
        <w:t xml:space="preserve"> </w:t>
      </w:r>
      <w:r w:rsidR="00992664" w:rsidRPr="00020424">
        <w:rPr>
          <w:rtl/>
        </w:rPr>
        <w:t xml:space="preserve">« سلّمنا فيه » يعنى ممّا يحول بيننا وبين صومه من مرض وغيره ، أو من البلايا والمعاصي. </w:t>
      </w:r>
      <w:r w:rsidR="00992664">
        <w:rPr>
          <w:rtl/>
        </w:rPr>
        <w:t>و «</w:t>
      </w:r>
      <w:r w:rsidR="00992664" w:rsidRPr="00020424">
        <w:rPr>
          <w:rtl/>
        </w:rPr>
        <w:t xml:space="preserve"> تسلّمه منّا » أي‌اعصمنا من المعاصي فيه ، أو خذه وتقبّل منّا ما عملنا فيه من الخير. راجع : </w:t>
      </w:r>
      <w:r w:rsidR="00992664" w:rsidRPr="0012008A">
        <w:rPr>
          <w:rStyle w:val="libFootnoteBoldChar"/>
          <w:rtl/>
        </w:rPr>
        <w:t>الوافي</w:t>
      </w:r>
      <w:r w:rsidR="00992664" w:rsidRPr="00020424">
        <w:rPr>
          <w:rtl/>
        </w:rPr>
        <w:t xml:space="preserve"> ، ج 11 ، ص 394 ؛ </w:t>
      </w:r>
      <w:r w:rsidR="00992664" w:rsidRPr="00DE76B9">
        <w:rPr>
          <w:rStyle w:val="libFootnoteBoldChar"/>
          <w:rtl/>
        </w:rPr>
        <w:t>مرآة العقول</w:t>
      </w:r>
      <w:r w:rsidR="00992664" w:rsidRPr="00020424">
        <w:rPr>
          <w:rtl/>
        </w:rPr>
        <w:t xml:space="preserve"> ، ج 16 ، ص 217.</w:t>
      </w:r>
      <w:r w:rsidR="003D4DAA">
        <w:rPr>
          <w:rFonts w:hint="cs"/>
          <w:rtl/>
        </w:rPr>
        <w:t xml:space="preserve">                  </w:t>
      </w: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قضى عنّا ، أي وفّقنا لأدائه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200 ، ح 577 ، معلّقاً عن الكليني. </w:t>
      </w:r>
      <w:r w:rsidR="00992664" w:rsidRPr="0012008A">
        <w:rPr>
          <w:rStyle w:val="libFootnoteBoldChar"/>
          <w:rtl/>
        </w:rPr>
        <w:t>الفقيه</w:t>
      </w:r>
      <w:r w:rsidR="00992664" w:rsidRPr="00020424">
        <w:rPr>
          <w:rtl/>
        </w:rPr>
        <w:t xml:space="preserve"> ، ج 2 ، ص 106 ، ح 1851 ، معلّقاً عن أبي بصير. </w:t>
      </w:r>
      <w:r w:rsidR="00992664" w:rsidRPr="00DE76B9">
        <w:rPr>
          <w:rStyle w:val="libFootnoteBoldChar"/>
          <w:rtl/>
        </w:rPr>
        <w:t>تفسير العيّاشي</w:t>
      </w:r>
      <w:r w:rsidR="00992664" w:rsidRPr="00020424">
        <w:rPr>
          <w:rtl/>
        </w:rPr>
        <w:t xml:space="preserve"> ، ج 1 ، ص 80 ، ح 183 ، عن عبدوس العطّار ، عن أبي بصير. </w:t>
      </w:r>
      <w:r w:rsidR="00992664" w:rsidRPr="0012008A">
        <w:rPr>
          <w:rStyle w:val="libFootnoteBoldChar"/>
          <w:rtl/>
        </w:rPr>
        <w:t>المقنعة</w:t>
      </w:r>
      <w:r w:rsidR="00992664" w:rsidRPr="00020424">
        <w:rPr>
          <w:rtl/>
        </w:rPr>
        <w:t xml:space="preserve"> ، ص 319 ، مرسلاً عن </w:t>
      </w:r>
      <w:r w:rsidR="00F621B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44" w:name="_Toc345172830"/>
      <w:bookmarkStart w:id="345" w:name="_Toc464562648"/>
      <w:bookmarkStart w:id="346" w:name="_Toc44599951"/>
      <w:r w:rsidRPr="00020424">
        <w:rPr>
          <w:rtl/>
          <w:lang w:bidi="fa-IR"/>
        </w:rPr>
        <w:t>16</w:t>
      </w:r>
      <w:r>
        <w:rPr>
          <w:rtl/>
          <w:lang w:bidi="fa-IR"/>
        </w:rPr>
        <w:t xml:space="preserve"> </w:t>
      </w:r>
      <w:r w:rsidR="009B673F">
        <w:rPr>
          <w:rtl/>
          <w:lang w:bidi="fa-IR"/>
        </w:rPr>
        <w:t>-</w:t>
      </w:r>
      <w:r>
        <w:rPr>
          <w:rtl/>
          <w:lang w:bidi="fa-IR"/>
        </w:rPr>
        <w:t xml:space="preserve"> </w:t>
      </w:r>
      <w:r w:rsidRPr="00020424">
        <w:rPr>
          <w:rtl/>
          <w:lang w:bidi="fa-IR"/>
        </w:rPr>
        <w:t xml:space="preserve">بَابُ صَوْمِ </w:t>
      </w:r>
      <w:r w:rsidRPr="00A91B96">
        <w:rPr>
          <w:rStyle w:val="libFootnotenumChar"/>
          <w:rtl/>
        </w:rPr>
        <w:t>(1)</w:t>
      </w:r>
      <w:r>
        <w:rPr>
          <w:rtl/>
        </w:rPr>
        <w:t xml:space="preserve"> </w:t>
      </w:r>
      <w:r w:rsidRPr="00020424">
        <w:rPr>
          <w:rtl/>
          <w:lang w:bidi="fa-IR"/>
        </w:rPr>
        <w:t>الْوِصَالِ وَصَوْمِ الدَّهْرِ‌</w:t>
      </w:r>
      <w:bookmarkEnd w:id="344"/>
      <w:bookmarkEnd w:id="345"/>
      <w:bookmarkEnd w:id="346"/>
    </w:p>
    <w:p w:rsidR="00992664" w:rsidRPr="00020424" w:rsidRDefault="00992664" w:rsidP="00992664">
      <w:pPr>
        <w:pStyle w:val="libNormal"/>
        <w:rPr>
          <w:rtl/>
          <w:lang w:bidi="fa-IR"/>
        </w:rPr>
      </w:pPr>
      <w:r w:rsidRPr="004B224F">
        <w:rPr>
          <w:rtl/>
        </w:rPr>
        <w:t>6356</w:t>
      </w:r>
      <w:r w:rsidRPr="001155DE">
        <w:rPr>
          <w:rStyle w:val="libBold2Char"/>
          <w:rtl/>
        </w:rPr>
        <w:t xml:space="preserve"> / 1.</w:t>
      </w:r>
      <w:r w:rsidRPr="00020424">
        <w:rPr>
          <w:rtl/>
          <w:lang w:bidi="fa-IR"/>
        </w:rPr>
        <w:t xml:space="preserve"> عِدَّةٌ مِنْ أَصْحَابِنَا ، عَنْ أَحْمَدَ بْنِ مُحَمَّدٍ ، عَنْ عَلِيِّ بْنِ الْحَكَمِ ، عَنْ سَيْفِ بْنِ عَمِيرَةَ ، عَنْ حَسَّانَ بْنِ مُخْتَارٍ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w:t>
      </w:r>
      <w:r w:rsidRPr="00A91B96">
        <w:rPr>
          <w:rStyle w:val="libFootnotenumChar"/>
          <w:rtl/>
        </w:rPr>
        <w:t>(2)</w:t>
      </w:r>
      <w:r w:rsidRPr="00020424">
        <w:rPr>
          <w:rtl/>
          <w:lang w:bidi="fa-IR"/>
        </w:rPr>
        <w:t xml:space="preserve"> الْوِصَالُ </w:t>
      </w:r>
      <w:r w:rsidRPr="00A91B96">
        <w:rPr>
          <w:rStyle w:val="libFootnotenumChar"/>
          <w:rtl/>
        </w:rPr>
        <w:t>(3)</w:t>
      </w:r>
      <w:r w:rsidRPr="00020424">
        <w:rPr>
          <w:rtl/>
          <w:lang w:bidi="fa-IR"/>
        </w:rPr>
        <w:t xml:space="preserve"> فِي الصِّيَامِ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قَالَ : فَقَالَ : « إِنَّ رَسُولَ اللهِ </w:t>
      </w:r>
      <w:r w:rsidR="00B42914" w:rsidRPr="00B42914">
        <w:rPr>
          <w:rStyle w:val="libAlaemChar"/>
          <w:rtl/>
        </w:rPr>
        <w:t>صلى‌الله‌عليه‌وآله‌</w:t>
      </w:r>
      <w:r w:rsidRPr="00020424">
        <w:rPr>
          <w:rtl/>
          <w:lang w:bidi="fa-IR"/>
        </w:rPr>
        <w:t xml:space="preserve"> قَالَ </w:t>
      </w:r>
      <w:r w:rsidRPr="00A91B96">
        <w:rPr>
          <w:rStyle w:val="libFootnotenumChar"/>
          <w:rtl/>
        </w:rPr>
        <w:t>(5)</w:t>
      </w:r>
      <w:r w:rsidRPr="00020424">
        <w:rPr>
          <w:rtl/>
          <w:lang w:bidi="fa-IR"/>
        </w:rPr>
        <w:t xml:space="preserve"> : لَاوِصَالَ فِي صِيَامٍ ، وَلَا صَمْتَ </w:t>
      </w:r>
      <w:r w:rsidRPr="00A91B96">
        <w:rPr>
          <w:rStyle w:val="libFootnotenumChar"/>
          <w:rtl/>
        </w:rPr>
        <w:t>(6)</w:t>
      </w:r>
      <w:r w:rsidRPr="00020424">
        <w:rPr>
          <w:rtl/>
          <w:lang w:bidi="fa-IR"/>
        </w:rPr>
        <w:t xml:space="preserve"> يَوْمٍ إِلَى اللَّيْلِ ، وَلَاعِتْقَ قَبْلَ مِلْكٍ</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D7192A" w:rsidP="00992664">
      <w:pPr>
        <w:pStyle w:val="libFootnote0"/>
        <w:rPr>
          <w:rtl/>
          <w:lang w:bidi="fa-IR"/>
        </w:rPr>
      </w:pPr>
      <w:r>
        <w:rPr>
          <w:rFonts w:hint="cs"/>
          <w:rtl/>
        </w:rPr>
        <w:t xml:space="preserve">= </w:t>
      </w:r>
      <w:r w:rsidR="00992664" w:rsidRPr="00020424">
        <w:rPr>
          <w:rtl/>
        </w:rPr>
        <w:t xml:space="preserve">أبي بصير ، وفي الأخيرين مع اختلاف يسير </w:t>
      </w:r>
      <w:r w:rsidR="007B2C9C">
        <w:rPr>
          <w:rFonts w:hint="cs"/>
          <w:rtl/>
        </w:rPr>
        <w:t>.</w:t>
      </w:r>
      <w:r w:rsidR="00992664" w:rsidRPr="0012008A">
        <w:rPr>
          <w:rStyle w:val="libFootnoteBoldChar"/>
          <w:rtl/>
        </w:rPr>
        <w:t>الوافي</w:t>
      </w:r>
      <w:r w:rsidR="00992664" w:rsidRPr="00020424">
        <w:rPr>
          <w:rtl/>
        </w:rPr>
        <w:t xml:space="preserve"> ، ج 11 ، ص 248 ، ح 10796 ؛ </w:t>
      </w:r>
      <w:r w:rsidR="00992664" w:rsidRPr="0012008A">
        <w:rPr>
          <w:rStyle w:val="libFootnoteBoldChar"/>
          <w:rtl/>
        </w:rPr>
        <w:t>الوسائل</w:t>
      </w:r>
      <w:r w:rsidR="00992664" w:rsidRPr="00020424">
        <w:rPr>
          <w:rtl/>
        </w:rPr>
        <w:t xml:space="preserve"> ، ج 10 ، ص 147 ، ح 13071.</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بح ، بخ ، بس ، بر ، بف » :</w:t>
      </w:r>
      <w:r w:rsidR="00992664">
        <w:rPr>
          <w:rtl/>
        </w:rPr>
        <w:t xml:space="preserve"> </w:t>
      </w:r>
      <w:r w:rsidR="009B673F">
        <w:rPr>
          <w:rtl/>
        </w:rPr>
        <w:t>-</w:t>
      </w:r>
      <w:r w:rsidR="00992664">
        <w:rPr>
          <w:rtl/>
        </w:rPr>
        <w:t xml:space="preserve"> </w:t>
      </w:r>
      <w:r w:rsidR="00992664" w:rsidRPr="00020424">
        <w:rPr>
          <w:rtl/>
        </w:rPr>
        <w:t>« صوم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وهامش المطبوع نقلاً عن بعض النسخ :</w:t>
      </w:r>
      <w:r w:rsidR="00992664">
        <w:rPr>
          <w:rtl/>
        </w:rPr>
        <w:t xml:space="preserve"> </w:t>
      </w:r>
      <w:r w:rsidR="009B673F">
        <w:rPr>
          <w:rtl/>
        </w:rPr>
        <w:t>-</w:t>
      </w:r>
      <w:r w:rsidR="00992664">
        <w:rPr>
          <w:rtl/>
        </w:rPr>
        <w:t xml:space="preserve"> </w:t>
      </w:r>
      <w:r w:rsidR="00992664" w:rsidRPr="00020424">
        <w:rPr>
          <w:rtl/>
        </w:rPr>
        <w:t>« 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243 : « ذهب الشيخ في </w:t>
      </w:r>
      <w:r w:rsidR="00992664" w:rsidRPr="0012008A">
        <w:rPr>
          <w:rStyle w:val="libFootnoteBoldChar"/>
          <w:rtl/>
        </w:rPr>
        <w:t>النهاية</w:t>
      </w:r>
      <w:r w:rsidR="00992664" w:rsidRPr="00020424">
        <w:rPr>
          <w:rtl/>
        </w:rPr>
        <w:t xml:space="preserve"> وأكثر الأصحاب إلى أنّ صوم الوصال هو أن ينوي صوم يوم وليلة إلى السحر ، وذهب الشيخ في </w:t>
      </w:r>
      <w:r w:rsidR="00992664" w:rsidRPr="00DE76B9">
        <w:rPr>
          <w:rStyle w:val="libFootnoteBoldChar"/>
          <w:rtl/>
        </w:rPr>
        <w:t>الاقتصاد</w:t>
      </w:r>
      <w:r w:rsidR="00992664" w:rsidRPr="00020424">
        <w:rPr>
          <w:rtl/>
        </w:rPr>
        <w:t xml:space="preserve"> وابن إدريس إلى أنّ معناه أن يصوم يومين مع ليلة بينهما. وإنّما يحرم تأخير العشاء إلى السحر إذا نوى كونه جزءاً من الصوم ، أمّا لو أخّره الصائم بغير نيّة فإنّه لا يحرم في ما قطع به الأصحاب ، والاحتياط يقتضي اجتناب ذلك</w:t>
      </w:r>
      <w:r w:rsidR="00992664">
        <w:rPr>
          <w:rtl/>
        </w:rPr>
        <w:t xml:space="preserve"> ».</w:t>
      </w:r>
      <w:r w:rsidR="00992664" w:rsidRPr="00020424">
        <w:rPr>
          <w:rtl/>
        </w:rPr>
        <w:t xml:space="preserve"> وللمزيد راجع : </w:t>
      </w:r>
      <w:r w:rsidR="00992664" w:rsidRPr="0012008A">
        <w:rPr>
          <w:rStyle w:val="libFootnoteBoldChar"/>
          <w:rtl/>
        </w:rPr>
        <w:t>النهاية</w:t>
      </w:r>
      <w:r w:rsidR="00992664" w:rsidRPr="00020424">
        <w:rPr>
          <w:rtl/>
        </w:rPr>
        <w:t xml:space="preserve"> ، ص 170 ؛ </w:t>
      </w:r>
      <w:r w:rsidR="00992664" w:rsidRPr="00DE76B9">
        <w:rPr>
          <w:rStyle w:val="libFootnoteBoldChar"/>
          <w:rtl/>
        </w:rPr>
        <w:t>الاقتصاد</w:t>
      </w:r>
      <w:r w:rsidR="00992664" w:rsidRPr="00020424">
        <w:rPr>
          <w:rtl/>
        </w:rPr>
        <w:t xml:space="preserve"> ، ص 293 ؛ </w:t>
      </w:r>
      <w:r w:rsidR="00992664" w:rsidRPr="00DE76B9">
        <w:rPr>
          <w:rStyle w:val="libFootnoteBoldChar"/>
          <w:rtl/>
        </w:rPr>
        <w:t>السرائر</w:t>
      </w:r>
      <w:r w:rsidR="00992664" w:rsidRPr="00020424">
        <w:rPr>
          <w:rtl/>
        </w:rPr>
        <w:t xml:space="preserve"> ، ج 1 ، ص 420 ؛ </w:t>
      </w:r>
      <w:r w:rsidR="00992664" w:rsidRPr="00DE76B9">
        <w:rPr>
          <w:rStyle w:val="libFootnoteBoldChar"/>
          <w:rtl/>
        </w:rPr>
        <w:t>المختصر النافع</w:t>
      </w:r>
      <w:r w:rsidR="00992664" w:rsidRPr="00020424">
        <w:rPr>
          <w:rtl/>
        </w:rPr>
        <w:t xml:space="preserve"> ، ص 71 ؛ </w:t>
      </w:r>
      <w:r w:rsidR="00992664" w:rsidRPr="00DE76B9">
        <w:rPr>
          <w:rStyle w:val="libFootnoteBoldChar"/>
          <w:rtl/>
        </w:rPr>
        <w:t>كشف الغطاء</w:t>
      </w:r>
      <w:r w:rsidR="00992664" w:rsidRPr="00020424">
        <w:rPr>
          <w:rtl/>
        </w:rPr>
        <w:t xml:space="preserve"> ، ج 2 ، ص 324 ؛ </w:t>
      </w:r>
      <w:r w:rsidR="00992664" w:rsidRPr="00DE76B9">
        <w:rPr>
          <w:rStyle w:val="libFootnoteBoldChar"/>
          <w:rtl/>
        </w:rPr>
        <w:t>جواهر الكلام</w:t>
      </w:r>
      <w:r w:rsidR="00992664" w:rsidRPr="00020424">
        <w:rPr>
          <w:rtl/>
        </w:rPr>
        <w:t xml:space="preserve"> ، ج 17 ، ص 129.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صيام</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ما الوصال في الصيام</w:t>
      </w:r>
      <w:r w:rsidR="00992664">
        <w:rPr>
          <w:rtl/>
        </w:rPr>
        <w:t>؟</w:t>
      </w:r>
      <w:r w:rsidR="00992664" w:rsidRPr="00020424">
        <w:rPr>
          <w:rtl/>
        </w:rPr>
        <w:t xml:space="preserve"> ، أي ما حكم الوصال</w:t>
      </w:r>
      <w:r w:rsidR="00992664">
        <w:rPr>
          <w:rtl/>
        </w:rPr>
        <w:t>؟</w:t>
      </w:r>
      <w:r w:rsidR="00992664" w:rsidRPr="00020424">
        <w:rPr>
          <w:rtl/>
        </w:rPr>
        <w:t xml:space="preserve"> لا حقيقته ؛ لينطبق الجواب عليه ، مع أنّه يحتمل أن يكون </w:t>
      </w:r>
      <w:r w:rsidR="00992664" w:rsidRPr="00D64ADA">
        <w:rPr>
          <w:rStyle w:val="libFootnoteAlaemChar"/>
          <w:rtl/>
        </w:rPr>
        <w:t>عليه‌السلام</w:t>
      </w:r>
      <w:r w:rsidR="00992664" w:rsidRPr="00020424">
        <w:rPr>
          <w:rtl/>
        </w:rPr>
        <w:t xml:space="preserve"> أعرض عن الجواب تقيّة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بف » : « فقال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بدل « فقال : إنّ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كذا في المطبوع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النسخ : « وصمت » بدون لا.</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الكافي</w:t>
      </w:r>
      <w:r w:rsidR="00992664" w:rsidRPr="00020424">
        <w:rPr>
          <w:rtl/>
        </w:rPr>
        <w:t xml:space="preserve"> ، كتاب النكاح ، باب أنّه لارضاع بعد فطام ، ضمن ح 9898 ؛ و</w:t>
      </w:r>
      <w:r w:rsidR="00992664" w:rsidRPr="00E82BAA">
        <w:rPr>
          <w:rStyle w:val="libFootnoteBoldChar"/>
          <w:rtl/>
        </w:rPr>
        <w:t>النوادر للأشعري</w:t>
      </w:r>
      <w:r w:rsidR="00992664" w:rsidRPr="00020424">
        <w:rPr>
          <w:rtl/>
        </w:rPr>
        <w:t xml:space="preserve"> ، ص 26 ، ضمن ح 17 ، بسند آخر ، مع اختلاف يسير. </w:t>
      </w:r>
      <w:r w:rsidR="00992664" w:rsidRPr="00DE76B9">
        <w:rPr>
          <w:rStyle w:val="libFootnoteBoldChar"/>
          <w:rtl/>
        </w:rPr>
        <w:t>الكافي</w:t>
      </w:r>
      <w:r w:rsidR="00992664" w:rsidRPr="00020424">
        <w:rPr>
          <w:rtl/>
        </w:rPr>
        <w:t xml:space="preserve"> ، كتاب الروضة ، ضمن ح 15050 ، بسند آخر ، من قوله : « ولا صمت يوم إلى الليل » مع اختلاف يسير. وفي </w:t>
      </w:r>
      <w:r w:rsidR="00992664" w:rsidRPr="00DE76B9">
        <w:rPr>
          <w:rStyle w:val="libFootnoteBoldChar"/>
          <w:rtl/>
        </w:rPr>
        <w:t>الكافي</w:t>
      </w:r>
      <w:r w:rsidR="00992664" w:rsidRPr="00020424">
        <w:rPr>
          <w:rtl/>
        </w:rPr>
        <w:t xml:space="preserve"> ، كتاب الصيام ، باب فضل صوم شعبان</w:t>
      </w:r>
      <w:r w:rsidR="00992664">
        <w:rPr>
          <w:rtl/>
        </w:rPr>
        <w:t xml:space="preserve"> ..</w:t>
      </w:r>
      <w:r w:rsidR="00992664" w:rsidRPr="00020424">
        <w:rPr>
          <w:rtl/>
        </w:rPr>
        <w:t xml:space="preserve">. ، ضمن ح 6342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4 ، ص 307 ، ضمن ح 927 ؛ </w:t>
      </w:r>
      <w:r w:rsidR="00992664" w:rsidRPr="00FD6221">
        <w:rPr>
          <w:rStyle w:val="libFootnoteBoldChar"/>
          <w:rtl/>
        </w:rPr>
        <w:t>والاستبصار</w:t>
      </w:r>
      <w:r w:rsidR="00992664" w:rsidRPr="00020424">
        <w:rPr>
          <w:rtl/>
        </w:rPr>
        <w:t xml:space="preserve"> ، ج 2 ، ص 138 ، ضمن ح 452 ، بسند آخر ، وتمام الرواية : « لاوصال في صيام</w:t>
      </w:r>
      <w:r w:rsidR="00992664">
        <w:rPr>
          <w:rtl/>
        </w:rPr>
        <w:t xml:space="preserve"> ».</w:t>
      </w:r>
      <w:r w:rsidR="00992664" w:rsidRPr="00020424">
        <w:rPr>
          <w:rtl/>
        </w:rPr>
        <w:t xml:space="preserve"> وفي </w:t>
      </w:r>
      <w:r w:rsidR="00992664" w:rsidRPr="00DE76B9">
        <w:rPr>
          <w:rStyle w:val="libFootnoteBoldChar"/>
          <w:rtl/>
        </w:rPr>
        <w:t>الكافي</w:t>
      </w:r>
      <w:r w:rsidR="00992664" w:rsidRPr="00020424">
        <w:rPr>
          <w:rtl/>
        </w:rPr>
        <w:t xml:space="preserve"> ، كتاب العتق والتدبي</w:t>
      </w:r>
      <w:r w:rsidR="00D863A4">
        <w:rPr>
          <w:rtl/>
        </w:rPr>
        <w:t>ر والكتابة ، باب أنّه لاعتق إل</w:t>
      </w:r>
      <w:r w:rsidR="00D863A4">
        <w:rPr>
          <w:rFonts w:hint="cs"/>
          <w:rtl/>
        </w:rPr>
        <w:t>ّ</w:t>
      </w:r>
      <w:r w:rsidR="00D863A4">
        <w:rPr>
          <w:rtl/>
        </w:rPr>
        <w:t>ا</w:t>
      </w:r>
      <w:r w:rsidR="00992664" w:rsidRPr="00020424">
        <w:rPr>
          <w:rtl/>
        </w:rPr>
        <w:t xml:space="preserve">بعد ملك ، ح 11146 ؛ </w:t>
      </w:r>
      <w:r w:rsidR="00992664" w:rsidRPr="00515444">
        <w:rPr>
          <w:rStyle w:val="libFootnoteBoldChar"/>
          <w:rtl/>
        </w:rPr>
        <w:t>والتهذيب</w:t>
      </w:r>
      <w:r w:rsidR="00992664" w:rsidRPr="00020424">
        <w:rPr>
          <w:rtl/>
        </w:rPr>
        <w:t xml:space="preserve"> ، ج 8 ، ص 217 ، ح 773 ؛ </w:t>
      </w:r>
      <w:r w:rsidR="00992664" w:rsidRPr="00FD6221">
        <w:rPr>
          <w:rStyle w:val="libFootnoteBoldChar"/>
          <w:rtl/>
        </w:rPr>
        <w:t>والاستبصار</w:t>
      </w:r>
      <w:r w:rsidR="00992664" w:rsidRPr="00020424">
        <w:rPr>
          <w:rtl/>
        </w:rPr>
        <w:t xml:space="preserve"> ، ج 4 ، ص 5 ، ح 14 ، وتمام الرواية : « ولا عتق قبل </w:t>
      </w:r>
      <w:r w:rsidR="00217D5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52818">
        <w:rPr>
          <w:rtl/>
        </w:rPr>
        <w:t>6357</w:t>
      </w:r>
      <w:r w:rsidRPr="001155DE">
        <w:rPr>
          <w:rStyle w:val="libBold2Char"/>
          <w:rtl/>
        </w:rPr>
        <w:t xml:space="preserve"> / 2.</w:t>
      </w:r>
      <w:r w:rsidRPr="00020424">
        <w:rPr>
          <w:rtl/>
          <w:lang w:bidi="fa-IR"/>
        </w:rPr>
        <w:t xml:space="preserve"> أَحْمَدُ بْنُ مُحَمَّدٍ </w:t>
      </w:r>
      <w:r w:rsidRPr="00A91B96">
        <w:rPr>
          <w:rStyle w:val="libFootnotenumChar"/>
          <w:rtl/>
        </w:rPr>
        <w:t>(1)</w:t>
      </w:r>
      <w:r w:rsidRPr="00020424">
        <w:rPr>
          <w:rtl/>
          <w:lang w:bidi="fa-IR"/>
        </w:rPr>
        <w:t xml:space="preserve"> ، عَنِ الْحَسَنِ بْنِ مَحْبُوبٍ ، عَنِ الْحَلَبِيِّ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الْوِصَالُ فِي الصِّيَامِ </w:t>
      </w:r>
      <w:r w:rsidRPr="00A91B96">
        <w:rPr>
          <w:rStyle w:val="libFootnotenumChar"/>
          <w:rtl/>
        </w:rPr>
        <w:t>(3)</w:t>
      </w:r>
      <w:r w:rsidRPr="00020424">
        <w:rPr>
          <w:rtl/>
          <w:lang w:bidi="fa-IR"/>
        </w:rPr>
        <w:t xml:space="preserve"> أَنْ يَجْعَلَ عَشَاءَهُ سَحُورَهُ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4A0C78" w:rsidRDefault="00992664" w:rsidP="004A0C78">
      <w:pPr>
        <w:pStyle w:val="libNormal"/>
        <w:rPr>
          <w:rtl/>
          <w:lang w:bidi="fa-IR"/>
        </w:rPr>
      </w:pPr>
      <w:r w:rsidRPr="00652818">
        <w:rPr>
          <w:rtl/>
        </w:rPr>
        <w:t>6358</w:t>
      </w:r>
      <w:r w:rsidRPr="001155DE">
        <w:rPr>
          <w:rStyle w:val="libBold2Char"/>
          <w:rtl/>
        </w:rPr>
        <w:t xml:space="preserve"> / 3.</w:t>
      </w:r>
      <w:r w:rsidRPr="00020424">
        <w:rPr>
          <w:rtl/>
          <w:lang w:bidi="fa-IR"/>
        </w:rPr>
        <w:t xml:space="preserve"> عَلِيُّ بْنُ إِبْرَاهِيمَ ، عَنْ أَبِيهِ ؛</w:t>
      </w:r>
    </w:p>
    <w:p w:rsidR="00992664" w:rsidRPr="00020424" w:rsidRDefault="004A0C78" w:rsidP="004A0C78">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w:t>
      </w:r>
    </w:p>
    <w:p w:rsidR="00992664" w:rsidRPr="00020424" w:rsidRDefault="00992664" w:rsidP="00992664">
      <w:pPr>
        <w:pStyle w:val="libLine"/>
        <w:rPr>
          <w:rtl/>
          <w:lang w:bidi="fa-IR"/>
        </w:rPr>
      </w:pPr>
      <w:r w:rsidRPr="00020424">
        <w:rPr>
          <w:rtl/>
          <w:lang w:bidi="fa-IR"/>
        </w:rPr>
        <w:t>__________________</w:t>
      </w:r>
    </w:p>
    <w:p w:rsidR="00992664" w:rsidRPr="00020424" w:rsidRDefault="0097175D" w:rsidP="00992664">
      <w:pPr>
        <w:pStyle w:val="libFootnote0"/>
        <w:rPr>
          <w:rtl/>
          <w:lang w:bidi="fa-IR"/>
        </w:rPr>
      </w:pPr>
      <w:r>
        <w:rPr>
          <w:rFonts w:hint="cs"/>
          <w:rtl/>
        </w:rPr>
        <w:t xml:space="preserve">= </w:t>
      </w:r>
      <w:r w:rsidR="00992664" w:rsidRPr="00020424">
        <w:rPr>
          <w:rtl/>
        </w:rPr>
        <w:t xml:space="preserve">ملك » مع زيادة في أوّله. وفي </w:t>
      </w:r>
      <w:r w:rsidR="00992664" w:rsidRPr="0012008A">
        <w:rPr>
          <w:rStyle w:val="libFootnoteBoldChar"/>
          <w:rtl/>
        </w:rPr>
        <w:t>الفقيه</w:t>
      </w:r>
      <w:r w:rsidR="00992664" w:rsidRPr="00020424">
        <w:rPr>
          <w:rtl/>
        </w:rPr>
        <w:t xml:space="preserve"> ، ج 4 ، ص 367 ، ضمن الحديث الطويل 5762 ؛ و</w:t>
      </w:r>
      <w:r w:rsidR="00992664" w:rsidRPr="00DE76B9">
        <w:rPr>
          <w:rStyle w:val="libFootnoteBoldChar"/>
          <w:rtl/>
        </w:rPr>
        <w:t>الجعفريّات</w:t>
      </w:r>
      <w:r w:rsidR="00992664" w:rsidRPr="00020424">
        <w:rPr>
          <w:rtl/>
        </w:rPr>
        <w:t xml:space="preserve"> ، ص 112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378 ، المجلس 60 ، ضمن ح 4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423 ، المجلس 15 ، ضمن ح 3 ، بسند آخر عن أبي عبدالله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 وفي الأخير إلى قوله : « ولا صمت يوم إلى الليل</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3 ، ص 359 ، ضمن ح 4273 ، بسند آخر عن أبي جعفر </w:t>
      </w:r>
      <w:r w:rsidR="00992664" w:rsidRPr="00D64ADA">
        <w:rPr>
          <w:rStyle w:val="libFootnoteAlaemChar"/>
          <w:rtl/>
        </w:rPr>
        <w:t>عليه‌السلام</w:t>
      </w:r>
      <w:r w:rsidR="00992664" w:rsidRPr="00020424">
        <w:rPr>
          <w:rtl/>
        </w:rPr>
        <w:t xml:space="preserve"> عن رسول الله </w:t>
      </w:r>
      <w:r w:rsidR="00992664" w:rsidRPr="00D64ADA">
        <w:rPr>
          <w:rStyle w:val="libFootnoteAlaemChar"/>
          <w:rtl/>
        </w:rPr>
        <w:t>عليه‌السلام</w:t>
      </w:r>
      <w:r w:rsidR="00992664" w:rsidRPr="00020424">
        <w:rPr>
          <w:rtl/>
        </w:rPr>
        <w:t xml:space="preserve"> ، مع اختلاف يسير. </w:t>
      </w:r>
      <w:r w:rsidR="00992664" w:rsidRPr="00DE76B9">
        <w:rPr>
          <w:rStyle w:val="libFootnoteBoldChar"/>
          <w:rtl/>
        </w:rPr>
        <w:t>وفيه</w:t>
      </w:r>
      <w:r w:rsidR="00992664" w:rsidRPr="00020424">
        <w:rPr>
          <w:rtl/>
        </w:rPr>
        <w:t xml:space="preserve"> ، ج 2 ، ص 172 ، ح 2049 ، مرسلاً عن أبي عبدالله </w:t>
      </w:r>
      <w:r w:rsidR="00992664" w:rsidRPr="00D64ADA">
        <w:rPr>
          <w:rStyle w:val="libFootnoteAlaemChar"/>
          <w:rtl/>
        </w:rPr>
        <w:t>عليه‌السلام</w:t>
      </w:r>
      <w:r w:rsidR="00992664" w:rsidRPr="00020424">
        <w:rPr>
          <w:rtl/>
        </w:rPr>
        <w:t xml:space="preserve"> ، من </w:t>
      </w:r>
      <w:r w:rsidR="00992664" w:rsidRPr="00DE76B9">
        <w:rPr>
          <w:rStyle w:val="libFootnoteBoldChar"/>
          <w:rtl/>
        </w:rPr>
        <w:t>دون الإسناد</w:t>
      </w:r>
      <w:r w:rsidR="00992664" w:rsidRPr="00020424">
        <w:rPr>
          <w:rtl/>
        </w:rPr>
        <w:t xml:space="preserve"> إلى النبيّ </w:t>
      </w:r>
      <w:r w:rsidR="00D64ADA" w:rsidRPr="00CE1636">
        <w:rPr>
          <w:rStyle w:val="libFootnoteAlaemChar"/>
          <w:rtl/>
        </w:rPr>
        <w:t>صلى‌الله‌عليه‌وآله</w:t>
      </w:r>
      <w:r w:rsidR="00B42914" w:rsidRPr="00CE1636">
        <w:rPr>
          <w:rStyle w:val="libFootnoteAlaemChar"/>
          <w:rtl/>
        </w:rPr>
        <w:t>‌</w:t>
      </w:r>
      <w:r w:rsidR="00992664" w:rsidRPr="00020424">
        <w:rPr>
          <w:rtl/>
        </w:rPr>
        <w:t xml:space="preserve"> ، وتمام الرواية : « لاوصال في صيام ولا صمت يومٍ إلى الليل » ؛ </w:t>
      </w:r>
      <w:r w:rsidR="00992664" w:rsidRPr="00DE76B9">
        <w:rPr>
          <w:rStyle w:val="libFootnoteBoldChar"/>
          <w:rtl/>
        </w:rPr>
        <w:t>وفيه</w:t>
      </w:r>
      <w:r w:rsidR="00992664" w:rsidRPr="00020424">
        <w:rPr>
          <w:rtl/>
        </w:rPr>
        <w:t xml:space="preserve"> ، ج 3 ، ص 116 ، ح 3445 ، مرسلاً عن رسول الله </w:t>
      </w:r>
      <w:r w:rsidR="00992664" w:rsidRPr="00D64ADA">
        <w:rPr>
          <w:rStyle w:val="libFootnoteAlaemChar"/>
          <w:rtl/>
        </w:rPr>
        <w:t>عليه‌السلام</w:t>
      </w:r>
      <w:r w:rsidR="00992664" w:rsidRPr="00020424">
        <w:rPr>
          <w:rtl/>
        </w:rPr>
        <w:t xml:space="preserve"> ، وتمام الرواية : « ولاعتق قبل ملك » مع زيادة في أوّله </w:t>
      </w:r>
      <w:r w:rsidR="00CE1636">
        <w:rPr>
          <w:rFonts w:hint="cs"/>
          <w:rtl/>
        </w:rPr>
        <w:t>.</w:t>
      </w:r>
      <w:r w:rsidR="00992664" w:rsidRPr="0012008A">
        <w:rPr>
          <w:rStyle w:val="libFootnoteBoldChar"/>
          <w:rtl/>
        </w:rPr>
        <w:t>الوافي</w:t>
      </w:r>
      <w:r w:rsidR="00992664" w:rsidRPr="00020424">
        <w:rPr>
          <w:rtl/>
        </w:rPr>
        <w:t xml:space="preserve"> ، ج 11 ، ص 67 ، ح 10426 ؛ </w:t>
      </w:r>
      <w:r w:rsidR="00992664" w:rsidRPr="0012008A">
        <w:rPr>
          <w:rStyle w:val="libFootnoteBoldChar"/>
          <w:rtl/>
        </w:rPr>
        <w:t>الوسائل</w:t>
      </w:r>
      <w:r w:rsidR="00992664" w:rsidRPr="00020424">
        <w:rPr>
          <w:rtl/>
        </w:rPr>
        <w:t xml:space="preserve"> ، ج 10 ، ص 521 ، ح 14017.</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عدّة من أصحابنا.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لم نجد رواية الحسن بن محبوب عن الحلبي</w:t>
      </w:r>
      <w:r w:rsidR="00992664">
        <w:rPr>
          <w:rtl/>
        </w:rPr>
        <w:t xml:space="preserve"> </w:t>
      </w:r>
      <w:r w:rsidR="009B673F">
        <w:rPr>
          <w:rtl/>
        </w:rPr>
        <w:t>-</w:t>
      </w:r>
      <w:r w:rsidR="00992664">
        <w:rPr>
          <w:rtl/>
        </w:rPr>
        <w:t xml:space="preserve"> </w:t>
      </w:r>
      <w:r w:rsidR="00992664" w:rsidRPr="00020424">
        <w:rPr>
          <w:rtl/>
        </w:rPr>
        <w:t xml:space="preserve">والمراد به في أصحاب أبي عبد الله </w:t>
      </w:r>
      <w:r w:rsidR="00992664" w:rsidRPr="00D64ADA">
        <w:rPr>
          <w:rStyle w:val="libFootnoteAlaemChar"/>
          <w:rtl/>
        </w:rPr>
        <w:t>عليه‌السلام</w:t>
      </w:r>
      <w:r w:rsidR="00992664" w:rsidRPr="00020424">
        <w:rPr>
          <w:rtl/>
        </w:rPr>
        <w:t xml:space="preserve"> إمّا عبيد الله بن عليّ أو أخوه محمّد</w:t>
      </w:r>
      <w:r w:rsidR="00992664">
        <w:rPr>
          <w:rtl/>
        </w:rPr>
        <w:t xml:space="preserve"> </w:t>
      </w:r>
      <w:r w:rsidR="009B673F">
        <w:rPr>
          <w:rtl/>
        </w:rPr>
        <w:t>-</w:t>
      </w:r>
      <w:r w:rsidR="00992664">
        <w:rPr>
          <w:rtl/>
        </w:rPr>
        <w:t xml:space="preserve"> </w:t>
      </w:r>
      <w:r w:rsidR="00992664" w:rsidRPr="00020424">
        <w:rPr>
          <w:rtl/>
        </w:rPr>
        <w:t xml:space="preserve">مباشرة إلاّفي هذا السند وما ورد في </w:t>
      </w:r>
      <w:r w:rsidR="00992664" w:rsidRPr="00DE76B9">
        <w:rPr>
          <w:rStyle w:val="libFootnoteBoldChar"/>
          <w:rtl/>
        </w:rPr>
        <w:t>علل الشرائع</w:t>
      </w:r>
      <w:r w:rsidR="00992664" w:rsidRPr="00020424">
        <w:rPr>
          <w:rtl/>
        </w:rPr>
        <w:t xml:space="preserve"> ، ص 581 ، ح 15 من رواية الحسن بن محبوب عن محمّد الحلبي. والغالب في رواية الحسن بن محبوب عن الحلبي هو النقل بواسطة واحدة ، وفي بعض الموارد بواسطتين ، كما ورد في </w:t>
      </w:r>
      <w:r w:rsidR="00992664" w:rsidRPr="00DE76B9">
        <w:rPr>
          <w:rStyle w:val="libFootnoteBoldChar"/>
          <w:rtl/>
        </w:rPr>
        <w:t>الكافي</w:t>
      </w:r>
      <w:r w:rsidR="00992664" w:rsidRPr="00020424">
        <w:rPr>
          <w:rtl/>
        </w:rPr>
        <w:t xml:space="preserve"> ، ح 9893 ؛ من رواية ابن محبوب عن أبي أيّوب الخزّاز</w:t>
      </w:r>
      <w:r w:rsidR="00992664">
        <w:rPr>
          <w:rtl/>
        </w:rPr>
        <w:t xml:space="preserve"> </w:t>
      </w:r>
      <w:r w:rsidR="009B673F">
        <w:rPr>
          <w:rtl/>
        </w:rPr>
        <w:t>-</w:t>
      </w:r>
      <w:r w:rsidR="00992664">
        <w:rPr>
          <w:rtl/>
        </w:rPr>
        <w:t xml:space="preserve"> </w:t>
      </w:r>
      <w:r w:rsidR="00992664" w:rsidRPr="00020424">
        <w:rPr>
          <w:rtl/>
        </w:rPr>
        <w:t>والصواب الخرّاز</w:t>
      </w:r>
      <w:r w:rsidR="00992664">
        <w:rPr>
          <w:rtl/>
        </w:rPr>
        <w:t xml:space="preserve"> </w:t>
      </w:r>
      <w:r w:rsidR="009B673F">
        <w:rPr>
          <w:rtl/>
        </w:rPr>
        <w:t>-</w:t>
      </w:r>
      <w:r w:rsidR="00992664">
        <w:rPr>
          <w:rtl/>
        </w:rPr>
        <w:t xml:space="preserve"> </w:t>
      </w:r>
      <w:r w:rsidR="00992664" w:rsidRPr="00020424">
        <w:rPr>
          <w:rtl/>
        </w:rPr>
        <w:t xml:space="preserve">عن ابن مسكان عن الحلبي ، وما ورد في </w:t>
      </w:r>
      <w:r w:rsidR="00992664" w:rsidRPr="00DE76B9">
        <w:rPr>
          <w:rStyle w:val="libFootnoteBoldChar"/>
          <w:rtl/>
        </w:rPr>
        <w:t>الكافي</w:t>
      </w:r>
      <w:r w:rsidR="00992664" w:rsidRPr="00020424">
        <w:rPr>
          <w:rtl/>
        </w:rPr>
        <w:t xml:space="preserve"> ، ح 13908 ؛ من رواية ابن محبوب ، عن عليّ بن الحسن بن رباط ، عن ابن مسكان ، عن الحلبي.</w:t>
      </w:r>
    </w:p>
    <w:p w:rsidR="00992664" w:rsidRPr="00020424" w:rsidRDefault="00992664" w:rsidP="00CE1636">
      <w:pPr>
        <w:pStyle w:val="libFootnote0"/>
        <w:rPr>
          <w:rtl/>
          <w:lang w:bidi="fa-IR"/>
        </w:rPr>
      </w:pPr>
      <w:r w:rsidRPr="00D82B22">
        <w:rPr>
          <w:rtl/>
        </w:rPr>
        <w:t>فعليه لا يبعد وقوع الخلل في ما نحن فيه ؛ من سقط أو إرسال.</w:t>
      </w:r>
    </w:p>
    <w:p w:rsidR="00992664" w:rsidRPr="00020424" w:rsidRDefault="00992664" w:rsidP="00CE1636">
      <w:pPr>
        <w:pStyle w:val="libFootnote0"/>
        <w:rPr>
          <w:rtl/>
          <w:lang w:bidi="fa-IR"/>
        </w:rPr>
      </w:pPr>
      <w:r w:rsidRPr="00D82B22">
        <w:rPr>
          <w:rtl/>
        </w:rPr>
        <w:t>ويؤكِّد ذلك أنّ عمدة مشايخ محمّد وعبيدالله الحلبيين</w:t>
      </w:r>
      <w:r>
        <w:rPr>
          <w:rtl/>
        </w:rPr>
        <w:t xml:space="preserve"> </w:t>
      </w:r>
      <w:r w:rsidR="009B673F">
        <w:rPr>
          <w:rtl/>
        </w:rPr>
        <w:t>-</w:t>
      </w:r>
      <w:r>
        <w:rPr>
          <w:rtl/>
        </w:rPr>
        <w:t xml:space="preserve"> </w:t>
      </w:r>
      <w:r w:rsidRPr="00D82B22">
        <w:rPr>
          <w:rtl/>
        </w:rPr>
        <w:t>وهم حمّاد بن عثمان ، وعبدالله بن مسكان ، وحميد بن المثنّى ، وأبان بن عثمان</w:t>
      </w:r>
      <w:r>
        <w:rPr>
          <w:rtl/>
        </w:rPr>
        <w:t xml:space="preserve"> </w:t>
      </w:r>
      <w:r w:rsidR="009B673F">
        <w:rPr>
          <w:rtl/>
        </w:rPr>
        <w:t>-</w:t>
      </w:r>
      <w:r>
        <w:rPr>
          <w:rtl/>
        </w:rPr>
        <w:t xml:space="preserve"> </w:t>
      </w:r>
      <w:r w:rsidRPr="00D82B22">
        <w:rPr>
          <w:rtl/>
        </w:rPr>
        <w:t>كلّهم في طبقة مشايخ الحسن بن محبوب.</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الوصال الذي نهى عنه هو » بدل « الوصال في الصيام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العَشاء ، بالفتح والمدّ : الطعام بعينه الذي يؤكل عند العِشاء ، وهو خلاف الغَداء. والسِّحور : ما يتسحّر به من طعام أو شراب. راجع : </w:t>
      </w:r>
      <w:r w:rsidR="00992664" w:rsidRPr="0012008A">
        <w:rPr>
          <w:rStyle w:val="libFootnoteBoldChar"/>
          <w:rtl/>
        </w:rPr>
        <w:t>الصحاح</w:t>
      </w:r>
      <w:r w:rsidR="00992664" w:rsidRPr="00020424">
        <w:rPr>
          <w:rtl/>
        </w:rPr>
        <w:t xml:space="preserve"> ، ج 6 ، ص 2427 ؛ </w:t>
      </w:r>
      <w:r w:rsidR="00992664" w:rsidRPr="0012008A">
        <w:rPr>
          <w:rStyle w:val="libFootnoteBoldChar"/>
          <w:rtl/>
        </w:rPr>
        <w:t>النهاية</w:t>
      </w:r>
      <w:r w:rsidR="00992664" w:rsidRPr="00020424">
        <w:rPr>
          <w:rtl/>
        </w:rPr>
        <w:t xml:space="preserve"> ، ج 3 ، ص 242 ( عشا ) وج 2 ، ص 347 ( سحر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298 ، ح 898 ، بسنده عن أحمد بن محمّد ، عمّن رواه ، عن الحلبي. </w:t>
      </w:r>
      <w:r w:rsidR="00992664" w:rsidRPr="0012008A">
        <w:rPr>
          <w:rStyle w:val="libFootnoteBoldChar"/>
          <w:rtl/>
        </w:rPr>
        <w:t>الفقيه</w:t>
      </w:r>
      <w:r w:rsidR="00992664" w:rsidRPr="00020424">
        <w:rPr>
          <w:rtl/>
        </w:rPr>
        <w:t xml:space="preserve"> ، ج 2 ، ص 172 ، ح 2047 ، مرسلاً </w:t>
      </w:r>
      <w:r w:rsidR="00CE1636">
        <w:rPr>
          <w:rFonts w:hint="cs"/>
          <w:rtl/>
        </w:rPr>
        <w:t>.</w:t>
      </w:r>
      <w:r w:rsidR="00992664" w:rsidRPr="0012008A">
        <w:rPr>
          <w:rStyle w:val="libFootnoteBoldChar"/>
          <w:rtl/>
        </w:rPr>
        <w:t>الوافي</w:t>
      </w:r>
      <w:r w:rsidR="00992664" w:rsidRPr="00020424">
        <w:rPr>
          <w:rtl/>
        </w:rPr>
        <w:t xml:space="preserve"> ، ج 11 ، ص 68 ، ح 10428 ؛ </w:t>
      </w:r>
      <w:r w:rsidR="00992664" w:rsidRPr="0012008A">
        <w:rPr>
          <w:rStyle w:val="libFootnoteBoldChar"/>
          <w:rtl/>
        </w:rPr>
        <w:t>الوسائل</w:t>
      </w:r>
      <w:r w:rsidR="00992664" w:rsidRPr="00020424">
        <w:rPr>
          <w:rtl/>
        </w:rPr>
        <w:t xml:space="preserve"> ، ج 10 ، ص 521 ، ح 14016.</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أَبِي عُمَيْرٍ ، عَنْ حَفْصِ بْنِ الْبَخْتَرِيِّ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الْمُوَاصِلُ فِي الصِّيَامِ يَصُومُ يَوْماً وَلَيْلَةً ، وَيُفْطِرُ فِي السَّحَرِ</w:t>
      </w:r>
      <w:r>
        <w:rPr>
          <w:rtl/>
          <w:lang w:bidi="fa-IR"/>
        </w:rPr>
        <w:t>».</w:t>
      </w:r>
      <w:r w:rsidRPr="00A91B96">
        <w:rPr>
          <w:rStyle w:val="libFootnotenumChar"/>
          <w:rtl/>
        </w:rPr>
        <w:t>(1)</w:t>
      </w:r>
    </w:p>
    <w:p w:rsidR="00992664" w:rsidRPr="00020424" w:rsidRDefault="00992664" w:rsidP="00992664">
      <w:pPr>
        <w:pStyle w:val="libNormal"/>
        <w:rPr>
          <w:rtl/>
          <w:lang w:bidi="fa-IR"/>
        </w:rPr>
      </w:pPr>
      <w:r w:rsidRPr="00652818">
        <w:rPr>
          <w:rtl/>
        </w:rPr>
        <w:t>6359</w:t>
      </w:r>
      <w:r w:rsidRPr="001155DE">
        <w:rPr>
          <w:rStyle w:val="libBold2Char"/>
          <w:rtl/>
        </w:rPr>
        <w:t xml:space="preserve"> / 4.</w:t>
      </w:r>
      <w:r w:rsidRPr="00020424">
        <w:rPr>
          <w:rtl/>
          <w:lang w:bidi="fa-IR"/>
        </w:rPr>
        <w:t xml:space="preserve"> الْحُسَيْنُ بْنُ مُحَمَّدٍ ، عَنْ مُعَلَّى بْنِ مُحَمَّدٍ ، عَنِ الْوَشَّاءِ ، عَنْ أَبَانٍ ، عَنْ زُرَارَةَ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صَوْمِ الدَّهْرِ</w:t>
      </w:r>
      <w:r>
        <w:rPr>
          <w:rtl/>
          <w:lang w:bidi="fa-IR"/>
        </w:rPr>
        <w:t>؟</w:t>
      </w:r>
    </w:p>
    <w:p w:rsidR="00992664" w:rsidRPr="00020424" w:rsidRDefault="00992664" w:rsidP="00992664">
      <w:pPr>
        <w:pStyle w:val="libNormal"/>
        <w:rPr>
          <w:rtl/>
          <w:lang w:bidi="fa-IR"/>
        </w:rPr>
      </w:pPr>
      <w:r w:rsidRPr="00020424">
        <w:rPr>
          <w:rtl/>
          <w:lang w:bidi="fa-IR"/>
        </w:rPr>
        <w:t xml:space="preserve">فَقَالَ : « لَمْ نَزَلْ نَكْرَهُهُ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52818">
        <w:rPr>
          <w:rtl/>
        </w:rPr>
        <w:t>6360</w:t>
      </w:r>
      <w:r w:rsidRPr="001155DE">
        <w:rPr>
          <w:rStyle w:val="libBold2Char"/>
          <w:rtl/>
        </w:rPr>
        <w:t xml:space="preserve"> / 5.</w:t>
      </w:r>
      <w:r w:rsidRPr="00020424">
        <w:rPr>
          <w:rtl/>
          <w:lang w:bidi="fa-IR"/>
        </w:rPr>
        <w:t xml:space="preserve"> مُحَمَّدُ بْنُ يَحْيى ، عَنْ أَحْمَدَ بْنِ مُحَمَّدٍ ، عَنْ عُثْمَانَ بْنِ</w:t>
      </w:r>
      <w:r w:rsidR="00CE1636">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سَأَلْتُهُ عَنْ صَوْمِ الدَّهْرِ ، فَكَرِهَهُ ، وَقَالَ : « لَا بَأْسَ أَنْ يَصُومَ </w:t>
      </w:r>
      <w:r w:rsidRPr="00A91B96">
        <w:rPr>
          <w:rStyle w:val="libFootnotenumChar"/>
          <w:rtl/>
        </w:rPr>
        <w:t>(4)</w:t>
      </w:r>
      <w:r w:rsidRPr="00020424">
        <w:rPr>
          <w:rtl/>
          <w:lang w:bidi="fa-IR"/>
        </w:rPr>
        <w:t xml:space="preserve"> يَوْماً ، وَيُفْطِرَ </w:t>
      </w:r>
      <w:r w:rsidRPr="00A91B96">
        <w:rPr>
          <w:rStyle w:val="libFootnotenumChar"/>
          <w:rtl/>
        </w:rPr>
        <w:t>(5)</w:t>
      </w:r>
      <w:r w:rsidRPr="00020424">
        <w:rPr>
          <w:rtl/>
          <w:lang w:bidi="fa-IR"/>
        </w:rPr>
        <w:t xml:space="preserve"> يَوْماً</w:t>
      </w:r>
      <w:r>
        <w:rPr>
          <w:rtl/>
          <w:lang w:bidi="fa-IR"/>
        </w:rPr>
        <w:t xml:space="preserve"> ».</w:t>
      </w:r>
      <w:r w:rsidRPr="00020424">
        <w:rPr>
          <w:rtl/>
          <w:lang w:bidi="fa-IR"/>
        </w:rPr>
        <w:t xml:space="preserve"> </w:t>
      </w:r>
      <w:r w:rsidRPr="00A91B96">
        <w:rPr>
          <w:rStyle w:val="libFootnotenumChar"/>
          <w:rtl/>
        </w:rPr>
        <w:t>(6)</w:t>
      </w:r>
      <w:r w:rsidRPr="00020424">
        <w:rPr>
          <w:rtl/>
          <w:lang w:bidi="fa-IR"/>
        </w:rPr>
        <w:t>‌</w:t>
      </w:r>
    </w:p>
    <w:p w:rsidR="00992664" w:rsidRPr="00020424" w:rsidRDefault="00992664" w:rsidP="00992664">
      <w:pPr>
        <w:pStyle w:val="Heading2Center"/>
        <w:rPr>
          <w:rtl/>
          <w:lang w:bidi="fa-IR"/>
        </w:rPr>
      </w:pPr>
      <w:bookmarkStart w:id="347" w:name="_Toc345172831"/>
      <w:bookmarkStart w:id="348" w:name="_Toc464562649"/>
      <w:bookmarkStart w:id="349" w:name="_Toc44599952"/>
      <w:r w:rsidRPr="00020424">
        <w:rPr>
          <w:rtl/>
          <w:lang w:bidi="fa-IR"/>
        </w:rPr>
        <w:t>17</w:t>
      </w:r>
      <w:r>
        <w:rPr>
          <w:rtl/>
          <w:lang w:bidi="fa-IR"/>
        </w:rPr>
        <w:t xml:space="preserve"> </w:t>
      </w:r>
      <w:r w:rsidR="009B673F">
        <w:rPr>
          <w:rtl/>
          <w:lang w:bidi="fa-IR"/>
        </w:rPr>
        <w:t>-</w:t>
      </w:r>
      <w:r>
        <w:rPr>
          <w:rtl/>
          <w:lang w:bidi="fa-IR"/>
        </w:rPr>
        <w:t xml:space="preserve"> </w:t>
      </w:r>
      <w:r w:rsidRPr="00020424">
        <w:rPr>
          <w:rtl/>
          <w:lang w:bidi="fa-IR"/>
        </w:rPr>
        <w:t xml:space="preserve">بَابُ مَنْ أَكَلَ أَوْ شَرِبَ وَهُوَ شَاكٌّ فِي الْفَجْرِ </w:t>
      </w:r>
      <w:r w:rsidRPr="00A91B96">
        <w:rPr>
          <w:rStyle w:val="libFootnotenumChar"/>
          <w:rtl/>
        </w:rPr>
        <w:t>(7)</w:t>
      </w:r>
      <w:r>
        <w:rPr>
          <w:rtl/>
          <w:lang w:bidi="fa-IR"/>
        </w:rPr>
        <w:t xml:space="preserve"> </w:t>
      </w:r>
      <w:r w:rsidRPr="00020424">
        <w:rPr>
          <w:rtl/>
          <w:lang w:bidi="fa-IR"/>
        </w:rPr>
        <w:t>أَوْ بَعْدَ طُلُوعِهِ‌</w:t>
      </w:r>
      <w:bookmarkEnd w:id="347"/>
      <w:bookmarkEnd w:id="348"/>
      <w:bookmarkEnd w:id="349"/>
    </w:p>
    <w:p w:rsidR="00992664" w:rsidRPr="00020424" w:rsidRDefault="00992664" w:rsidP="00992664">
      <w:pPr>
        <w:pStyle w:val="libNormal"/>
        <w:rPr>
          <w:rtl/>
          <w:lang w:bidi="fa-IR"/>
        </w:rPr>
      </w:pPr>
      <w:r w:rsidRPr="00652818">
        <w:rPr>
          <w:rtl/>
        </w:rPr>
        <w:t>6361</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68 ، ح 10429 ؛ </w:t>
      </w:r>
      <w:r w:rsidR="00992664" w:rsidRPr="0012008A">
        <w:rPr>
          <w:rStyle w:val="libFootnoteBoldChar"/>
          <w:rtl/>
        </w:rPr>
        <w:t>الوسائل</w:t>
      </w:r>
      <w:r w:rsidR="00992664" w:rsidRPr="00020424">
        <w:rPr>
          <w:rtl/>
        </w:rPr>
        <w:t xml:space="preserve"> ، ج 10 ، ص 521 ، ح 14018.</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بر » :</w:t>
      </w:r>
      <w:r w:rsidR="00992664">
        <w:rPr>
          <w:rtl/>
        </w:rPr>
        <w:t xml:space="preserve"> </w:t>
      </w:r>
      <w:r w:rsidR="009B673F">
        <w:rPr>
          <w:rtl/>
        </w:rPr>
        <w:t>-</w:t>
      </w:r>
      <w:r w:rsidR="00992664">
        <w:rPr>
          <w:rtl/>
        </w:rPr>
        <w:t xml:space="preserve"> </w:t>
      </w:r>
      <w:r w:rsidR="00992664" w:rsidRPr="00020424">
        <w:rPr>
          <w:rtl/>
        </w:rPr>
        <w:t>« فقال : لم نزل نكرهه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 xml:space="preserve">عن صوم الدهر » في الحديث الآتي.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لم نزل نكرهه ، إن كان المراد بالدهر ما يشمل الأيّام المحرّمة فالكراهة بمعنى الحرمة ، وإن كان بمعنى سائر الأيّام فهي بمعناه ، كما هو المشهور بين الأصحاب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172 ، ح 2048 ، معلّقاً عن زرارة </w:t>
      </w:r>
      <w:r w:rsidR="00863C6F">
        <w:rPr>
          <w:rFonts w:hint="cs"/>
          <w:rtl/>
        </w:rPr>
        <w:t>.</w:t>
      </w:r>
      <w:r w:rsidR="00992664" w:rsidRPr="0012008A">
        <w:rPr>
          <w:rStyle w:val="libFootnoteBoldChar"/>
          <w:rtl/>
        </w:rPr>
        <w:t>الوافي</w:t>
      </w:r>
      <w:r w:rsidR="00992664" w:rsidRPr="00020424">
        <w:rPr>
          <w:rtl/>
        </w:rPr>
        <w:t xml:space="preserve"> ، ج 11 ، ص 68 ، ح 10430 ؛ </w:t>
      </w:r>
      <w:r w:rsidR="00992664" w:rsidRPr="0012008A">
        <w:rPr>
          <w:rStyle w:val="libFootnoteBoldChar"/>
          <w:rtl/>
        </w:rPr>
        <w:t>الوسائل</w:t>
      </w:r>
      <w:r w:rsidR="00992664" w:rsidRPr="00020424">
        <w:rPr>
          <w:rtl/>
        </w:rPr>
        <w:t xml:space="preserve"> ، ج 10 ، ص 526 ، ح 14033.</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 « بأن يصوم</w:t>
      </w:r>
      <w:r w:rsidR="00992664">
        <w:rPr>
          <w:rtl/>
        </w:rPr>
        <w:t xml:space="preserve"> ».</w:t>
      </w:r>
      <w:r w:rsidR="00992664" w:rsidRPr="00020424">
        <w:rPr>
          <w:rtl/>
        </w:rPr>
        <w:t xml:space="preserve"> وفي « بح ، بس » : « أن تصوم</w:t>
      </w:r>
      <w:r w:rsidR="00992664">
        <w:rPr>
          <w:rtl/>
        </w:rPr>
        <w:t xml:space="preserve"> ».</w:t>
      </w:r>
      <w:r w:rsidR="00992664" w:rsidRPr="00020424">
        <w:rPr>
          <w:rtl/>
        </w:rPr>
        <w:t xml:space="preserve"> وفي « بر ، بف » : « أن يفطر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ويصوم</w:t>
      </w:r>
      <w:r w:rsidR="00992664">
        <w:rPr>
          <w:rtl/>
        </w:rPr>
        <w:t xml:space="preserve"> ».</w:t>
      </w:r>
      <w:r w:rsidR="00992664" w:rsidRPr="00020424">
        <w:rPr>
          <w:rtl/>
        </w:rPr>
        <w:t xml:space="preserve"> وفي « بح » : « وتفطر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11 ، ص 69 ، ح 10432 ؛ </w:t>
      </w:r>
      <w:r w:rsidR="00992664" w:rsidRPr="0012008A">
        <w:rPr>
          <w:rStyle w:val="libFootnoteBoldChar"/>
          <w:rtl/>
        </w:rPr>
        <w:t>الوسائل</w:t>
      </w:r>
      <w:r w:rsidR="00992664" w:rsidRPr="00020424">
        <w:rPr>
          <w:rtl/>
        </w:rPr>
        <w:t xml:space="preserve"> ، ج 10 ، ص 526 ، ح 14034.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 + « أو بعد الفجر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رَجُلٍ تَسَحَّرَ </w:t>
      </w:r>
      <w:r w:rsidRPr="00A91B96">
        <w:rPr>
          <w:rStyle w:val="libFootnotenumChar"/>
          <w:rtl/>
        </w:rPr>
        <w:t>(1)</w:t>
      </w:r>
      <w:r w:rsidRPr="00020424">
        <w:rPr>
          <w:rtl/>
          <w:lang w:bidi="fa-IR"/>
        </w:rPr>
        <w:t xml:space="preserve"> ، ثُمَّ خَرَجَ مِنْ بَيْتِهِ وَقَدْ طَلَعَ الْفَجْرُ وَتَبَيَّنَ</w:t>
      </w:r>
      <w:r>
        <w:rPr>
          <w:rtl/>
          <w:lang w:bidi="fa-IR"/>
        </w:rPr>
        <w:t>؟</w:t>
      </w:r>
    </w:p>
    <w:p w:rsidR="00992664" w:rsidRPr="00020424" w:rsidRDefault="00992664" w:rsidP="00992664">
      <w:pPr>
        <w:pStyle w:val="libNormal"/>
        <w:rPr>
          <w:rtl/>
          <w:lang w:bidi="fa-IR"/>
        </w:rPr>
      </w:pPr>
      <w:r w:rsidRPr="00020424">
        <w:rPr>
          <w:rtl/>
          <w:lang w:bidi="fa-IR"/>
        </w:rPr>
        <w:t xml:space="preserve">قَالَ : « يُتِمُّ صَوْمَهُ ذلِكَ ، ثُمَّ لْيَقْضِهِ </w:t>
      </w:r>
      <w:r w:rsidRPr="00A91B96">
        <w:rPr>
          <w:rStyle w:val="libFootnotenumChar"/>
          <w:rtl/>
        </w:rPr>
        <w:t>(2)</w:t>
      </w:r>
      <w:r w:rsidRPr="00020424">
        <w:rPr>
          <w:rtl/>
          <w:lang w:bidi="fa-IR"/>
        </w:rPr>
        <w:t xml:space="preserve"> ، فَإِنْ تَسَحَّرَ فِي غَيْرِ شَهْرِ رَمَضَانَ بَعْدَ الْفَجْرِ ، أَفْطَرَ</w:t>
      </w:r>
      <w:r>
        <w:rPr>
          <w:rtl/>
          <w:lang w:bidi="fa-IR"/>
        </w:rPr>
        <w:t>».</w:t>
      </w:r>
    </w:p>
    <w:p w:rsidR="00992664" w:rsidRPr="00020424" w:rsidRDefault="00992664" w:rsidP="00992664">
      <w:pPr>
        <w:pStyle w:val="libNormal"/>
        <w:rPr>
          <w:rtl/>
          <w:lang w:bidi="fa-IR"/>
        </w:rPr>
      </w:pPr>
      <w:r w:rsidRPr="00020424">
        <w:rPr>
          <w:rtl/>
          <w:lang w:bidi="fa-IR"/>
        </w:rPr>
        <w:t xml:space="preserve">ثُمَّ قَالَ : « إِنَّ أَبِي كَانَ لَيْلَةً يُصَلِّي وَأَنَا آكُلُ ، فَانْصَرَفَ ، فَقَالَ : أَمَّا جَعْفَرٌ فَقَدْ أَكَلَ وَشَرِبَ بَعْدَ الْفَجْرِ ، فَأَمَرَنِي </w:t>
      </w:r>
      <w:r w:rsidRPr="00A91B96">
        <w:rPr>
          <w:rStyle w:val="libFootnotenumChar"/>
          <w:rtl/>
        </w:rPr>
        <w:t>(3)</w:t>
      </w:r>
      <w:r w:rsidRPr="00020424">
        <w:rPr>
          <w:rtl/>
          <w:lang w:bidi="fa-IR"/>
        </w:rPr>
        <w:t xml:space="preserve"> ، فَأَفْطَرْتُ ذلِكَ الْيَوْمَ فِي غَيْرِ شَهْرِ </w:t>
      </w:r>
      <w:r w:rsidRPr="00A91B96">
        <w:rPr>
          <w:rStyle w:val="libFootnotenumChar"/>
          <w:rtl/>
        </w:rPr>
        <w:t>(4)</w:t>
      </w:r>
      <w:r w:rsidRPr="00020424">
        <w:rPr>
          <w:rtl/>
          <w:lang w:bidi="fa-IR"/>
        </w:rPr>
        <w:t xml:space="preserve"> رَمَضَانَ</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52818">
        <w:rPr>
          <w:rtl/>
        </w:rPr>
        <w:t>6362</w:t>
      </w:r>
      <w:r w:rsidRPr="001155DE">
        <w:rPr>
          <w:rStyle w:val="libBold2Char"/>
          <w:rtl/>
        </w:rPr>
        <w:t xml:space="preserve"> / 2.</w:t>
      </w:r>
      <w:r w:rsidRPr="00020424">
        <w:rPr>
          <w:rtl/>
          <w:lang w:bidi="fa-IR"/>
        </w:rPr>
        <w:t xml:space="preserve"> مُحَمَّدُ بْنُ يَحْيى ، عَنْ أَحْمَدَ بْنِ مُحَمَّدٍ ، عَنْ عُثْمَانَ بْنِ عِيسى ، عَنْ سَمَاعَةَ بْنِ مِهْرَانَ ، قَالَ :</w:t>
      </w:r>
    </w:p>
    <w:p w:rsidR="00992664" w:rsidRPr="00020424" w:rsidRDefault="00992664" w:rsidP="00992664">
      <w:pPr>
        <w:pStyle w:val="libNormal"/>
        <w:rPr>
          <w:rtl/>
          <w:lang w:bidi="fa-IR"/>
        </w:rPr>
      </w:pPr>
      <w:r w:rsidRPr="00020424">
        <w:rPr>
          <w:rtl/>
          <w:lang w:bidi="fa-IR"/>
        </w:rPr>
        <w:t xml:space="preserve">سَأَلْتُهُ عَنْ رَجُلٍ أَكَلَ وَشَرِبَ </w:t>
      </w:r>
      <w:r w:rsidRPr="00A91B96">
        <w:rPr>
          <w:rStyle w:val="libFootnotenumChar"/>
          <w:rtl/>
        </w:rPr>
        <w:t>(6)</w:t>
      </w:r>
      <w:r w:rsidRPr="00020424">
        <w:rPr>
          <w:rtl/>
          <w:lang w:bidi="fa-IR"/>
        </w:rPr>
        <w:t xml:space="preserve"> بَعْدَ مَا طَلَعَ الْفَجْرُ فِي شَهْرِ رَمَضَانَ</w:t>
      </w:r>
      <w:r>
        <w:rPr>
          <w:rtl/>
          <w:lang w:bidi="fa-IR"/>
        </w:rPr>
        <w:t>؟</w:t>
      </w:r>
    </w:p>
    <w:p w:rsidR="00992664" w:rsidRPr="00020424" w:rsidRDefault="00992664" w:rsidP="00992664">
      <w:pPr>
        <w:pStyle w:val="libNormal"/>
        <w:rPr>
          <w:rtl/>
          <w:lang w:bidi="fa-IR"/>
        </w:rPr>
      </w:pPr>
      <w:r w:rsidRPr="00020424">
        <w:rPr>
          <w:rtl/>
          <w:lang w:bidi="fa-IR"/>
        </w:rPr>
        <w:t xml:space="preserve">فَقَالَ : « إِنْ كَانَ قَامَ فَنَظَرَ فَلَمْ يَرَ </w:t>
      </w:r>
      <w:r w:rsidRPr="00A91B96">
        <w:rPr>
          <w:rStyle w:val="libFootnotenumChar"/>
          <w:rtl/>
        </w:rPr>
        <w:t>(7)</w:t>
      </w:r>
      <w:r w:rsidRPr="00020424">
        <w:rPr>
          <w:rtl/>
          <w:lang w:bidi="fa-IR"/>
        </w:rPr>
        <w:t xml:space="preserve"> الْفَجْرَ فَأَكَلَ ، ثُمَّ عَادَ فَرَأَى الْفَجْرَ ، فَلْيُتِمَّ صَوْمَهُ ، وَلَا</w:t>
      </w:r>
      <w:r>
        <w:rPr>
          <w:rFonts w:hint="cs"/>
          <w:rtl/>
          <w:lang w:bidi="fa-IR"/>
        </w:rPr>
        <w:t xml:space="preserve"> </w:t>
      </w:r>
      <w:r w:rsidRPr="00020424">
        <w:rPr>
          <w:rtl/>
          <w:lang w:bidi="fa-IR"/>
        </w:rPr>
        <w:t xml:space="preserve">إِعَادَةَ </w:t>
      </w:r>
      <w:r w:rsidRPr="00A91B96">
        <w:rPr>
          <w:rStyle w:val="libFootnotenumChar"/>
          <w:rtl/>
        </w:rPr>
        <w:t>(8)</w:t>
      </w:r>
      <w:r w:rsidRPr="00020424">
        <w:rPr>
          <w:rtl/>
          <w:lang w:bidi="fa-IR"/>
        </w:rPr>
        <w:t xml:space="preserve"> عَلَيْهِ ؛ وَإِنْ كَانَ قَامَ فَأَكَلَ وَشَرِبَ ، ثُمَّ نَظَرَ إِلَى الْفَجْرِ فَرَأى أَنَّهُ قَدْ طَلَعَ الْفَجْرُ </w:t>
      </w:r>
      <w:r w:rsidRPr="00A91B96">
        <w:rPr>
          <w:rStyle w:val="libFootnotenumChar"/>
          <w:rtl/>
        </w:rPr>
        <w:t>(9)</w:t>
      </w:r>
      <w:r w:rsidRPr="00020424">
        <w:rPr>
          <w:rtl/>
          <w:lang w:bidi="fa-IR"/>
        </w:rPr>
        <w:t xml:space="preserve"> ، فَلْيُتِمَّ صَوْمَهُ ، وَيَقْضِي </w:t>
      </w:r>
      <w:r w:rsidRPr="00A91B96">
        <w:rPr>
          <w:rStyle w:val="libFootnotenumChar"/>
          <w:rtl/>
        </w:rPr>
        <w:t>(10)</w:t>
      </w:r>
      <w:r w:rsidRPr="00020424">
        <w:rPr>
          <w:rtl/>
          <w:lang w:bidi="fa-IR"/>
        </w:rPr>
        <w:t xml:space="preserve"> يَوْماً آخَرَ ؛ لِأَنَّهُ بَدَأَ بِالْأَكْلِ قَبْلَ النَّظَرِ ، فَعَلَيْهِ الْإِعَادَةُ</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بس » بالتاء والياء معاً. </w:t>
      </w:r>
      <w:r w:rsidR="00992664">
        <w:rPr>
          <w:rtl/>
        </w:rPr>
        <w:t>و «</w:t>
      </w:r>
      <w:r w:rsidR="00992664" w:rsidRPr="00020424">
        <w:rPr>
          <w:rtl/>
        </w:rPr>
        <w:t xml:space="preserve"> تسحّر » أي أكل السَّحور ، وهو ما يؤكل عند السحر من الطعام والشراب. راجع : </w:t>
      </w:r>
      <w:r w:rsidR="00992664" w:rsidRPr="0012008A">
        <w:rPr>
          <w:rStyle w:val="libFootnoteBoldChar"/>
          <w:rtl/>
        </w:rPr>
        <w:t>النهاية</w:t>
      </w:r>
      <w:r w:rsidR="00992664" w:rsidRPr="00020424">
        <w:rPr>
          <w:rtl/>
        </w:rPr>
        <w:t xml:space="preserve"> ، ج 2 ، ص 347 ؛ </w:t>
      </w:r>
      <w:r w:rsidR="00992664" w:rsidRPr="00A722B1">
        <w:rPr>
          <w:rStyle w:val="libFootnoteBoldChar"/>
          <w:rtl/>
        </w:rPr>
        <w:t>المصباح المنير</w:t>
      </w:r>
      <w:r w:rsidR="00992664" w:rsidRPr="00020424">
        <w:rPr>
          <w:rtl/>
        </w:rPr>
        <w:t xml:space="preserve"> ، ص 267 ( سحر )</w:t>
      </w:r>
      <w:r w:rsidR="00992664">
        <w:rPr>
          <w:rtl/>
        </w:rPr>
        <w:t>.</w:t>
      </w:r>
    </w:p>
    <w:tbl>
      <w:tblPr>
        <w:tblStyle w:val="TableGrid"/>
        <w:bidiVisual/>
        <w:tblW w:w="0" w:type="auto"/>
        <w:tblLook w:val="04A0" w:firstRow="1" w:lastRow="0" w:firstColumn="1" w:lastColumn="0" w:noHBand="0" w:noVBand="1"/>
      </w:tblPr>
      <w:tblGrid>
        <w:gridCol w:w="4006"/>
        <w:gridCol w:w="4006"/>
      </w:tblGrid>
      <w:tr w:rsidR="00863C6F" w:rsidTr="00863C6F">
        <w:tc>
          <w:tcPr>
            <w:tcW w:w="4006" w:type="dxa"/>
          </w:tcPr>
          <w:p w:rsidR="00863C6F" w:rsidRDefault="00863C6F" w:rsidP="00992664">
            <w:pPr>
              <w:pStyle w:val="libFootnote0"/>
              <w:rPr>
                <w:rtl/>
              </w:rPr>
            </w:pPr>
            <w:r>
              <w:rPr>
                <w:rtl/>
              </w:rPr>
              <w:t xml:space="preserve">(2). </w:t>
            </w:r>
            <w:r w:rsidRPr="00020424">
              <w:rPr>
                <w:rtl/>
              </w:rPr>
              <w:t xml:space="preserve">في </w:t>
            </w:r>
            <w:r w:rsidRPr="0012008A">
              <w:rPr>
                <w:rStyle w:val="libFootnoteBoldChar"/>
                <w:rtl/>
              </w:rPr>
              <w:t>الوافي</w:t>
            </w:r>
            <w:r w:rsidRPr="00020424">
              <w:rPr>
                <w:rtl/>
              </w:rPr>
              <w:t xml:space="preserve"> : « ليقضيه</w:t>
            </w:r>
            <w:r>
              <w:rPr>
                <w:rtl/>
              </w:rPr>
              <w:t xml:space="preserve"> ».</w:t>
            </w:r>
          </w:p>
        </w:tc>
        <w:tc>
          <w:tcPr>
            <w:tcW w:w="4006" w:type="dxa"/>
          </w:tcPr>
          <w:p w:rsidR="00863C6F" w:rsidRDefault="00863C6F" w:rsidP="00992664">
            <w:pPr>
              <w:pStyle w:val="libFootnote0"/>
              <w:rPr>
                <w:rtl/>
              </w:rPr>
            </w:pPr>
            <w:r>
              <w:rPr>
                <w:rtl/>
              </w:rPr>
              <w:t xml:space="preserve">(3). </w:t>
            </w:r>
            <w:r w:rsidRPr="00020424">
              <w:rPr>
                <w:rtl/>
              </w:rPr>
              <w:t>في « ى » :</w:t>
            </w:r>
            <w:r>
              <w:rPr>
                <w:rtl/>
              </w:rPr>
              <w:t xml:space="preserve"> - </w:t>
            </w:r>
            <w:r w:rsidRPr="00020424">
              <w:rPr>
                <w:rtl/>
              </w:rPr>
              <w:t>« فأمرني</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269 ، ح 812 ؛ </w:t>
      </w:r>
      <w:r w:rsidR="00992664" w:rsidRPr="00FD6221">
        <w:rPr>
          <w:rStyle w:val="libFootnoteBoldChar"/>
          <w:rtl/>
        </w:rPr>
        <w:t>والاستبصار</w:t>
      </w:r>
      <w:r w:rsidR="00992664" w:rsidRPr="00020424">
        <w:rPr>
          <w:rtl/>
        </w:rPr>
        <w:t xml:space="preserve"> ، ج 2 ، ص 116 ، ح 379 ، بسندهما عن ابن أبي عمير </w:t>
      </w:r>
      <w:r w:rsidR="000421B5">
        <w:rPr>
          <w:rFonts w:hint="cs"/>
          <w:rtl/>
        </w:rPr>
        <w:t>.</w:t>
      </w:r>
      <w:r w:rsidR="00992664" w:rsidRPr="0012008A">
        <w:rPr>
          <w:rStyle w:val="libFootnoteBoldChar"/>
          <w:rtl/>
        </w:rPr>
        <w:t>الوافي</w:t>
      </w:r>
      <w:r w:rsidR="00992664" w:rsidRPr="00020424">
        <w:rPr>
          <w:rtl/>
        </w:rPr>
        <w:t xml:space="preserve"> ، ج 11 ، ص 289 ، ح 10879 ؛ </w:t>
      </w:r>
      <w:r w:rsidR="00992664" w:rsidRPr="0012008A">
        <w:rPr>
          <w:rStyle w:val="libFootnoteBoldChar"/>
          <w:rtl/>
        </w:rPr>
        <w:t>الوسائل</w:t>
      </w:r>
      <w:r w:rsidR="00992664" w:rsidRPr="00020424">
        <w:rPr>
          <w:rtl/>
        </w:rPr>
        <w:t xml:space="preserve"> ، ج 10 ، ص 115 ، ذيل ح 12995.</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أو شرب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421B5" w:rsidTr="000421B5">
        <w:tc>
          <w:tcPr>
            <w:tcW w:w="4006" w:type="dxa"/>
          </w:tcPr>
          <w:p w:rsidR="000421B5" w:rsidRDefault="000421B5"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 « ولم ير</w:t>
            </w:r>
            <w:r>
              <w:rPr>
                <w:rtl/>
              </w:rPr>
              <w:t xml:space="preserve"> ».</w:t>
            </w:r>
          </w:p>
        </w:tc>
        <w:tc>
          <w:tcPr>
            <w:tcW w:w="4006" w:type="dxa"/>
          </w:tcPr>
          <w:p w:rsidR="000421B5" w:rsidRDefault="000421B5"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فلا إعادة</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بف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الفجر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بح » وحاشية « بث » : « وليقض</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269 ، ح 811 ؛ </w:t>
      </w:r>
      <w:r w:rsidR="00992664" w:rsidRPr="00FD6221">
        <w:rPr>
          <w:rStyle w:val="libFootnoteBoldChar"/>
          <w:rtl/>
        </w:rPr>
        <w:t>والاستبصار</w:t>
      </w:r>
      <w:r w:rsidR="00992664" w:rsidRPr="00020424">
        <w:rPr>
          <w:rtl/>
        </w:rPr>
        <w:t xml:space="preserve"> ، ج 2 ، ص 116 ، ح 378 ، معلّقاً عن الكليني. </w:t>
      </w:r>
      <w:r w:rsidR="00992664" w:rsidRPr="0012008A">
        <w:rPr>
          <w:rStyle w:val="libFootnoteBoldChar"/>
          <w:rtl/>
        </w:rPr>
        <w:t>الفقيه</w:t>
      </w:r>
      <w:r w:rsidR="00992664" w:rsidRPr="00020424">
        <w:rPr>
          <w:rtl/>
        </w:rPr>
        <w:t xml:space="preserve"> ، ج 2 ، </w:t>
      </w:r>
      <w:r w:rsidR="00B60CA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652818">
        <w:rPr>
          <w:rtl/>
        </w:rPr>
        <w:t>6363</w:t>
      </w:r>
      <w:r w:rsidRPr="001155DE">
        <w:rPr>
          <w:rStyle w:val="libBold2Char"/>
          <w:rtl/>
        </w:rPr>
        <w:t xml:space="preserve"> / 3.</w:t>
      </w:r>
      <w:r w:rsidRPr="00020424">
        <w:rPr>
          <w:rtl/>
          <w:lang w:bidi="fa-IR"/>
        </w:rPr>
        <w:t xml:space="preserve"> عَلِيُّ بْنُ إِبْرَاهِيمَ ، عَنْ أَبِيهِ ، عَنِ ابْنِ أَبِي عُمَيْرٍ ، عَنْ مُعَاوِيَةَ بْنِ عَمَّارٍ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آمُرُ الْجَارِيَةَ أَنْ تَنْظُرَ : طَلَعَ الْفَجْرُ ، أَمْ لَا ، فَتَقُولُ : لَمْ يَطْلُعْ </w:t>
      </w:r>
      <w:r w:rsidRPr="00A91B96">
        <w:rPr>
          <w:rStyle w:val="libFootnotenumChar"/>
          <w:rtl/>
        </w:rPr>
        <w:t>(1)</w:t>
      </w:r>
      <w:r w:rsidRPr="00020424">
        <w:rPr>
          <w:rtl/>
          <w:lang w:bidi="fa-IR"/>
        </w:rPr>
        <w:t xml:space="preserve"> ، فَآكُلُ ، ثُمَّ أَنْظُرُهُ </w:t>
      </w:r>
      <w:r w:rsidRPr="00A91B96">
        <w:rPr>
          <w:rStyle w:val="libFootnotenumChar"/>
          <w:rtl/>
        </w:rPr>
        <w:t>(2)</w:t>
      </w:r>
      <w:r w:rsidRPr="00020424">
        <w:rPr>
          <w:rtl/>
          <w:lang w:bidi="fa-IR"/>
        </w:rPr>
        <w:t xml:space="preserve"> ، فَأَجِدُهُ قَدْ طَلَعَ </w:t>
      </w:r>
      <w:r w:rsidRPr="00A91B96">
        <w:rPr>
          <w:rStyle w:val="libFootnotenumChar"/>
          <w:rtl/>
        </w:rPr>
        <w:t>(3)</w:t>
      </w:r>
      <w:r w:rsidRPr="00020424">
        <w:rPr>
          <w:rtl/>
          <w:lang w:bidi="fa-IR"/>
        </w:rPr>
        <w:t xml:space="preserve"> حِينَ نَظَرَتْ</w:t>
      </w:r>
      <w:r>
        <w:rPr>
          <w:rtl/>
          <w:lang w:bidi="fa-IR"/>
        </w:rPr>
        <w:t>؟</w:t>
      </w:r>
    </w:p>
    <w:p w:rsidR="00992664" w:rsidRPr="00020424" w:rsidRDefault="00992664" w:rsidP="00992664">
      <w:pPr>
        <w:pStyle w:val="libNormal"/>
        <w:rPr>
          <w:rtl/>
          <w:lang w:bidi="fa-IR"/>
        </w:rPr>
      </w:pPr>
      <w:r w:rsidRPr="00020424">
        <w:rPr>
          <w:rtl/>
          <w:lang w:bidi="fa-IR"/>
        </w:rPr>
        <w:t xml:space="preserve">قَالَ : « تُتِمُّ يَوْمَكَ ، ثُمَّ تَقْضِيهِ </w:t>
      </w:r>
      <w:r w:rsidRPr="00A91B96">
        <w:rPr>
          <w:rStyle w:val="libFootnotenumChar"/>
          <w:rtl/>
        </w:rPr>
        <w:t>(4)</w:t>
      </w:r>
      <w:r w:rsidRPr="00020424">
        <w:rPr>
          <w:rtl/>
          <w:lang w:bidi="fa-IR"/>
        </w:rPr>
        <w:t xml:space="preserve"> ، أَمَا إِنَّكَ لَوْ كُنْتَ أَنْتَ الَّذِي نَظَرْتَ ، مَا كَانَ عَلَيْكَ قَضَاؤُهُ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52818">
        <w:rPr>
          <w:rtl/>
        </w:rPr>
        <w:t>6364</w:t>
      </w:r>
      <w:r w:rsidRPr="001155DE">
        <w:rPr>
          <w:rStyle w:val="libBold2Char"/>
          <w:rtl/>
        </w:rPr>
        <w:t xml:space="preserve"> / 4.</w:t>
      </w:r>
      <w:r w:rsidRPr="00020424">
        <w:rPr>
          <w:rtl/>
          <w:lang w:bidi="fa-IR"/>
        </w:rPr>
        <w:t xml:space="preserve"> مُحَمَّدُ بْنُ إِسْمَاعِيلَ ، عَنِ الْفَضْلِ بْنِ شَاذَانَ ، عَنْ صَفْوَانَ بْنِ يَحْيى ، عَنْ عِيصِ بْنِ الْقَاسِمِ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خَرَجَ فِي شَهْرِ رَمَضَانَ وَأَصْحَابُهُ يَتَسَحَّرُونَ فِي بَيْتٍ ، فَنَظَرَ إِلَى الْفَجْرِ ، فَنَادَاهُمْ </w:t>
      </w:r>
      <w:r w:rsidRPr="00A91B96">
        <w:rPr>
          <w:rStyle w:val="libFootnotenumChar"/>
          <w:rtl/>
        </w:rPr>
        <w:t>(6)</w:t>
      </w:r>
      <w:r w:rsidRPr="00020424">
        <w:rPr>
          <w:rtl/>
          <w:lang w:bidi="fa-IR"/>
        </w:rPr>
        <w:t xml:space="preserve"> ، فَكَفَّ بَعْضُهُمْ ، وَظَنَّ بَعْضُهُمْ أَنَّهُ يَسْخَرُ ، فَأَكَلَ</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 يُتِمُّ صَوْمَهُ ، وَيَقْضِي</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652818">
        <w:rPr>
          <w:rtl/>
        </w:rPr>
        <w:t>6365</w:t>
      </w:r>
      <w:r w:rsidRPr="001155DE">
        <w:rPr>
          <w:rStyle w:val="libBold2Char"/>
          <w:rtl/>
        </w:rPr>
        <w:t xml:space="preserve"> / 5.</w:t>
      </w:r>
      <w:r w:rsidRPr="00020424">
        <w:rPr>
          <w:rtl/>
          <w:lang w:bidi="fa-IR"/>
        </w:rPr>
        <w:t xml:space="preserve"> صَفْوَانُ بْنُ يَحْيى </w:t>
      </w:r>
      <w:r w:rsidRPr="00A91B96">
        <w:rPr>
          <w:rStyle w:val="libFootnotenumChar"/>
          <w:rtl/>
        </w:rPr>
        <w:t>(9)</w:t>
      </w:r>
      <w:r w:rsidRPr="00020424">
        <w:rPr>
          <w:rtl/>
          <w:lang w:bidi="fa-IR"/>
        </w:rPr>
        <w:t xml:space="preserve"> ، عَنْ إِسْحَاقَ بْنِ عَمَّارٍ ، قَالَ :</w:t>
      </w:r>
    </w:p>
    <w:p w:rsidR="00992664" w:rsidRPr="00020424" w:rsidRDefault="00992664" w:rsidP="00B60CA7">
      <w:pPr>
        <w:pStyle w:val="libNormal"/>
        <w:rPr>
          <w:rtl/>
          <w:lang w:bidi="fa-IR"/>
        </w:rPr>
      </w:pPr>
      <w:r w:rsidRPr="00020424">
        <w:rPr>
          <w:rtl/>
          <w:lang w:bidi="fa-IR"/>
        </w:rPr>
        <w:t xml:space="preserve">قُلْتُ لِأَبِي إِبْرَاهِيمَ </w:t>
      </w:r>
      <w:r w:rsidR="00B60CA7" w:rsidRPr="00005A81">
        <w:rPr>
          <w:rStyle w:val="libAlaemChar"/>
          <w:rtl/>
        </w:rPr>
        <w:t>عليه‌السلام</w:t>
      </w:r>
      <w:r w:rsidRPr="00020424">
        <w:rPr>
          <w:rtl/>
          <w:lang w:bidi="fa-IR"/>
        </w:rPr>
        <w:t>: يَكُونُ عَلَيَّ الْيَوْمُ وَالْيَوْمَانِ مِنْ شَهْرِ رَمَضَانَ ، فَأَتَسَحَّرُ‌</w:t>
      </w:r>
    </w:p>
    <w:p w:rsidR="00992664" w:rsidRPr="00020424" w:rsidRDefault="00992664" w:rsidP="00992664">
      <w:pPr>
        <w:pStyle w:val="libLine"/>
        <w:rPr>
          <w:rtl/>
          <w:lang w:bidi="fa-IR"/>
        </w:rPr>
      </w:pPr>
      <w:r w:rsidRPr="00020424">
        <w:rPr>
          <w:rtl/>
          <w:lang w:bidi="fa-IR"/>
        </w:rPr>
        <w:t>__________________</w:t>
      </w:r>
    </w:p>
    <w:p w:rsidR="00992664" w:rsidRPr="00020424" w:rsidRDefault="00B60CA7" w:rsidP="00992664">
      <w:pPr>
        <w:pStyle w:val="libFootnote0"/>
        <w:rPr>
          <w:rtl/>
          <w:lang w:bidi="fa-IR"/>
        </w:rPr>
      </w:pPr>
      <w:r>
        <w:rPr>
          <w:rFonts w:hint="cs"/>
          <w:rtl/>
        </w:rPr>
        <w:t xml:space="preserve">= </w:t>
      </w:r>
      <w:r w:rsidR="00992664" w:rsidRPr="00020424">
        <w:rPr>
          <w:rtl/>
        </w:rPr>
        <w:t xml:space="preserve">ص 131 ، ذيل ح 1938 ، معلّقاً عن سماعة بن مهران </w:t>
      </w:r>
      <w:r w:rsidR="0086305F">
        <w:rPr>
          <w:rFonts w:hint="cs"/>
          <w:rtl/>
        </w:rPr>
        <w:t>.</w:t>
      </w:r>
      <w:r w:rsidR="00992664" w:rsidRPr="0012008A">
        <w:rPr>
          <w:rStyle w:val="libFootnoteBoldChar"/>
          <w:rtl/>
        </w:rPr>
        <w:t>الوافي</w:t>
      </w:r>
      <w:r w:rsidR="00992664" w:rsidRPr="00020424">
        <w:rPr>
          <w:rtl/>
        </w:rPr>
        <w:t xml:space="preserve"> ، ج 11 ، ص 287 ، ح 10875 ؛ </w:t>
      </w:r>
      <w:r w:rsidR="00992664" w:rsidRPr="0012008A">
        <w:rPr>
          <w:rStyle w:val="libFootnoteBoldChar"/>
          <w:rtl/>
        </w:rPr>
        <w:t>الوسائل</w:t>
      </w:r>
      <w:r w:rsidR="00992664" w:rsidRPr="00020424">
        <w:rPr>
          <w:rtl/>
        </w:rPr>
        <w:t xml:space="preserve"> ، ج 10 ، ص 115 ، ح 12997.</w:t>
      </w:r>
    </w:p>
    <w:tbl>
      <w:tblPr>
        <w:tblStyle w:val="TableGrid"/>
        <w:bidiVisual/>
        <w:tblW w:w="0" w:type="auto"/>
        <w:tblLook w:val="04A0" w:firstRow="1" w:lastRow="0" w:firstColumn="1" w:lastColumn="0" w:noHBand="0" w:noVBand="1"/>
      </w:tblPr>
      <w:tblGrid>
        <w:gridCol w:w="4006"/>
        <w:gridCol w:w="4006"/>
      </w:tblGrid>
      <w:tr w:rsidR="0086305F" w:rsidTr="0086305F">
        <w:tc>
          <w:tcPr>
            <w:tcW w:w="4006" w:type="dxa"/>
          </w:tcPr>
          <w:p w:rsidR="0086305F" w:rsidRDefault="0086305F"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 + « بعد</w:t>
            </w:r>
            <w:r>
              <w:rPr>
                <w:rtl/>
              </w:rPr>
              <w:t xml:space="preserve"> ».</w:t>
            </w:r>
          </w:p>
        </w:tc>
        <w:tc>
          <w:tcPr>
            <w:tcW w:w="4006" w:type="dxa"/>
          </w:tcPr>
          <w:p w:rsidR="0086305F" w:rsidRDefault="0086305F" w:rsidP="0086305F">
            <w:pPr>
              <w:pStyle w:val="libFootnote0"/>
              <w:rPr>
                <w:rtl/>
                <w:lang w:bidi="fa-IR"/>
              </w:rPr>
            </w:pPr>
            <w:r>
              <w:rPr>
                <w:rtl/>
              </w:rPr>
              <w:t>(2). في «بخ،بر،</w:t>
            </w:r>
            <w:r w:rsidRPr="00020424">
              <w:rPr>
                <w:rtl/>
              </w:rPr>
              <w:t xml:space="preserve">بس ، بف » </w:t>
            </w:r>
            <w:r w:rsidRPr="00515444">
              <w:rPr>
                <w:rStyle w:val="libFootnoteBoldChar"/>
                <w:rtl/>
              </w:rPr>
              <w:t>والوافي</w:t>
            </w:r>
            <w:r w:rsidRPr="00020424">
              <w:rPr>
                <w:rtl/>
              </w:rPr>
              <w:t xml:space="preserve"> : « أنظر</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 الفجر</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قد كان طلع</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w:t>
      </w:r>
      <w:r w:rsidR="00992664" w:rsidRPr="00515444">
        <w:rPr>
          <w:rStyle w:val="libFootnoteBoldChar"/>
          <w:rtl/>
        </w:rPr>
        <w:t>والتهذيب</w:t>
      </w:r>
      <w:r w:rsidR="00992664" w:rsidRPr="00020424">
        <w:rPr>
          <w:rtl/>
        </w:rPr>
        <w:t xml:space="preserve"> : « وتقضيه</w:t>
      </w:r>
      <w:r w:rsidR="00992664">
        <w:rPr>
          <w:rtl/>
        </w:rPr>
        <w:t xml:space="preserve"> ».</w:t>
      </w:r>
      <w:r w:rsidR="00992664" w:rsidRPr="00020424">
        <w:rPr>
          <w:rtl/>
        </w:rPr>
        <w:t xml:space="preserve"> وفي « جن » :</w:t>
      </w:r>
      <w:r w:rsidR="00992664">
        <w:rPr>
          <w:rtl/>
        </w:rPr>
        <w:t xml:space="preserve"> </w:t>
      </w:r>
      <w:r w:rsidR="009B673F">
        <w:rPr>
          <w:rtl/>
        </w:rPr>
        <w:t>-</w:t>
      </w:r>
      <w:r w:rsidR="00992664">
        <w:rPr>
          <w:rtl/>
        </w:rPr>
        <w:t xml:space="preserve"> </w:t>
      </w:r>
      <w:r w:rsidR="00992664" w:rsidRPr="00020424">
        <w:rPr>
          <w:rtl/>
        </w:rPr>
        <w:t>« ثمّ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269 ، ح 813 ، معلّقاً عن الكليني. </w:t>
      </w:r>
      <w:r w:rsidR="00992664" w:rsidRPr="0012008A">
        <w:rPr>
          <w:rStyle w:val="libFootnoteBoldChar"/>
          <w:rtl/>
        </w:rPr>
        <w:t>الفقيه</w:t>
      </w:r>
      <w:r w:rsidR="00992664" w:rsidRPr="00020424">
        <w:rPr>
          <w:rtl/>
        </w:rPr>
        <w:t xml:space="preserve"> ، ج 2 ، ص 131 ، ح 1940 ، معلّقاً عن محمّد بن أبي عمير ، مع اختلاف يسير </w:t>
      </w:r>
      <w:r w:rsidR="000C3F1A">
        <w:rPr>
          <w:rFonts w:hint="cs"/>
          <w:rtl/>
        </w:rPr>
        <w:t>.</w:t>
      </w:r>
      <w:r w:rsidR="00992664" w:rsidRPr="0012008A">
        <w:rPr>
          <w:rStyle w:val="libFootnoteBoldChar"/>
          <w:rtl/>
        </w:rPr>
        <w:t>الوافي</w:t>
      </w:r>
      <w:r w:rsidR="00992664" w:rsidRPr="00020424">
        <w:rPr>
          <w:rtl/>
        </w:rPr>
        <w:t xml:space="preserve"> ، ج 11 ، ص 288 ، ح 10876 ؛ </w:t>
      </w:r>
      <w:r w:rsidR="00992664" w:rsidRPr="0012008A">
        <w:rPr>
          <w:rStyle w:val="libFootnoteBoldChar"/>
          <w:rtl/>
        </w:rPr>
        <w:t>الوسائل</w:t>
      </w:r>
      <w:r w:rsidR="00992664" w:rsidRPr="00020424">
        <w:rPr>
          <w:rtl/>
        </w:rPr>
        <w:t xml:space="preserve"> ، ج 10 ، ص 118 ، ذيل ح 13002.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وفي المطبوع : « وناداهم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بث » </w:t>
      </w:r>
      <w:r w:rsidR="00992664" w:rsidRPr="00515444">
        <w:rPr>
          <w:rStyle w:val="libFootnoteBoldChar"/>
          <w:rtl/>
        </w:rPr>
        <w:t>والتهذيب</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270 ، ح 814 ، معلّقاً عن الكليني. </w:t>
      </w:r>
      <w:r w:rsidR="00992664" w:rsidRPr="0012008A">
        <w:rPr>
          <w:rStyle w:val="libFootnoteBoldChar"/>
          <w:rtl/>
        </w:rPr>
        <w:t>الفقيه</w:t>
      </w:r>
      <w:r w:rsidR="00992664" w:rsidRPr="00020424">
        <w:rPr>
          <w:rtl/>
        </w:rPr>
        <w:t xml:space="preserve"> ، ج 2 ، ص 131 ، ح 1939 ، معلّقاً عن صفوان بن يحيى </w:t>
      </w:r>
      <w:r w:rsidR="000C3F1A">
        <w:rPr>
          <w:rFonts w:hint="cs"/>
          <w:rtl/>
        </w:rPr>
        <w:t>.</w:t>
      </w:r>
      <w:r w:rsidR="00992664" w:rsidRPr="0012008A">
        <w:rPr>
          <w:rStyle w:val="libFootnoteBoldChar"/>
          <w:rtl/>
        </w:rPr>
        <w:t>الوافي</w:t>
      </w:r>
      <w:r w:rsidR="00992664" w:rsidRPr="00020424">
        <w:rPr>
          <w:rtl/>
        </w:rPr>
        <w:t xml:space="preserve"> ، ج 11 ، ص 288 ، ح 10877 ؛ </w:t>
      </w:r>
      <w:r w:rsidR="00992664" w:rsidRPr="0012008A">
        <w:rPr>
          <w:rStyle w:val="libFootnoteBoldChar"/>
          <w:rtl/>
        </w:rPr>
        <w:t>الوسائل</w:t>
      </w:r>
      <w:r w:rsidR="00992664" w:rsidRPr="00020424">
        <w:rPr>
          <w:rtl/>
        </w:rPr>
        <w:t xml:space="preserve"> ، ج 10 ، ص 118 ، ذيل ح 13003.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على سابقه ، كما هو واضح.</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مُصْبِحاً ، أُفْطِرُ ذلِكَ الْيَوْمَ ، وَأَقْضِي </w:t>
      </w:r>
      <w:r w:rsidRPr="00A91B96">
        <w:rPr>
          <w:rStyle w:val="libFootnotenumChar"/>
          <w:rtl/>
        </w:rPr>
        <w:t>(1)</w:t>
      </w:r>
      <w:r w:rsidRPr="00020424">
        <w:rPr>
          <w:rtl/>
          <w:lang w:bidi="fa-IR"/>
        </w:rPr>
        <w:t xml:space="preserve"> مَكَانَ ذلِكَ الْيَوْمِ </w:t>
      </w:r>
      <w:r w:rsidRPr="00A91B96">
        <w:rPr>
          <w:rStyle w:val="libFootnotenumChar"/>
          <w:rtl/>
        </w:rPr>
        <w:t>(2)</w:t>
      </w:r>
      <w:r w:rsidRPr="00020424">
        <w:rPr>
          <w:rtl/>
          <w:lang w:bidi="fa-IR"/>
        </w:rPr>
        <w:t xml:space="preserve"> يَوْماً </w:t>
      </w:r>
      <w:r w:rsidRPr="00A91B96">
        <w:rPr>
          <w:rStyle w:val="libFootnotenumChar"/>
          <w:rtl/>
        </w:rPr>
        <w:t>(3)</w:t>
      </w:r>
      <w:r w:rsidRPr="00020424">
        <w:rPr>
          <w:rtl/>
          <w:lang w:bidi="fa-IR"/>
        </w:rPr>
        <w:t xml:space="preserve"> آخَرَ ، أَوْ أُتِمُّ </w:t>
      </w:r>
      <w:r w:rsidRPr="00A91B96">
        <w:rPr>
          <w:rStyle w:val="libFootnotenumChar"/>
          <w:rtl/>
        </w:rPr>
        <w:t>(4)</w:t>
      </w:r>
      <w:r w:rsidRPr="00020424">
        <w:rPr>
          <w:rtl/>
          <w:lang w:bidi="fa-IR"/>
        </w:rPr>
        <w:t xml:space="preserve"> عَلى صَوْمِ ذلِكَ الْيَوْمِ ، وَأَقْضِي يَوْماً آخَرَ</w:t>
      </w:r>
      <w:r>
        <w:rPr>
          <w:rtl/>
          <w:lang w:bidi="fa-IR"/>
        </w:rPr>
        <w:t>؟</w:t>
      </w:r>
    </w:p>
    <w:p w:rsidR="00992664" w:rsidRPr="00020424" w:rsidRDefault="00992664" w:rsidP="00992664">
      <w:pPr>
        <w:pStyle w:val="libNormal"/>
        <w:rPr>
          <w:rtl/>
          <w:lang w:bidi="fa-IR"/>
        </w:rPr>
      </w:pPr>
      <w:r w:rsidRPr="00020424">
        <w:rPr>
          <w:rtl/>
          <w:lang w:bidi="fa-IR"/>
        </w:rPr>
        <w:t xml:space="preserve">فَقَالَ : « لَا ، بَلْ تُفْطِرُ ذلِكَ الْيَوْمَ </w:t>
      </w:r>
      <w:r w:rsidRPr="00A91B96">
        <w:rPr>
          <w:rStyle w:val="libFootnotenumChar"/>
          <w:rtl/>
        </w:rPr>
        <w:t>(5)</w:t>
      </w:r>
      <w:r w:rsidRPr="00020424">
        <w:rPr>
          <w:rtl/>
          <w:lang w:bidi="fa-IR"/>
        </w:rPr>
        <w:t xml:space="preserve"> ؛ لِأَنَّكَ أَكَلْتَ مُصْبِحاً ، وَتَقْضِي يَوْماً آخَرَ</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84153B">
        <w:rPr>
          <w:rtl/>
        </w:rPr>
        <w:t>6366</w:t>
      </w:r>
      <w:r w:rsidRPr="001155DE">
        <w:rPr>
          <w:rStyle w:val="libBold2Char"/>
          <w:rtl/>
        </w:rPr>
        <w:t xml:space="preserve"> / 6.</w:t>
      </w:r>
      <w:r w:rsidRPr="00020424">
        <w:rPr>
          <w:rtl/>
          <w:lang w:bidi="fa-IR"/>
        </w:rPr>
        <w:t xml:space="preserve"> عِدَّةٌ مِنْ أَصْحَابِنَا ، عَنْ أَحْمَدَ بْنِ مُحَمَّدٍ ، عَنِ الْحُسَيْنِ بْنِ سَعِيدٍ ، عَنِ الْقَاسِمِ بْنِ مُحَمَّدٍ ، عَنْ عَلِيِّ بْنِ أَبِي حَمْزَةَ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سَأَلْتُهُ عَنْ رَجُلٍ شَرِبَ </w:t>
      </w:r>
      <w:r w:rsidRPr="00A91B96">
        <w:rPr>
          <w:rStyle w:val="libFootnotenumChar"/>
          <w:rtl/>
        </w:rPr>
        <w:t>(7)</w:t>
      </w:r>
      <w:r w:rsidRPr="00020424">
        <w:rPr>
          <w:rtl/>
          <w:lang w:bidi="fa-IR"/>
        </w:rPr>
        <w:t xml:space="preserve"> بَعْدَ مَا طَلَعَ الْفَجْرُ وَهُوَ لَايَعْلَمُ </w:t>
      </w:r>
      <w:r w:rsidRPr="00A91B96">
        <w:rPr>
          <w:rStyle w:val="libFootnotenumChar"/>
          <w:rtl/>
        </w:rPr>
        <w:t>(8)</w:t>
      </w:r>
      <w:r w:rsidRPr="00020424">
        <w:rPr>
          <w:rtl/>
          <w:lang w:bidi="fa-IR"/>
        </w:rPr>
        <w:t xml:space="preserve"> فِي شَهْرِ رَمَضَانَ</w:t>
      </w:r>
      <w:r>
        <w:rPr>
          <w:rtl/>
          <w:lang w:bidi="fa-IR"/>
        </w:rPr>
        <w:t>؟</w:t>
      </w:r>
    </w:p>
    <w:p w:rsidR="00992664" w:rsidRPr="00020424" w:rsidRDefault="00992664" w:rsidP="00992664">
      <w:pPr>
        <w:pStyle w:val="libNormal"/>
        <w:rPr>
          <w:rtl/>
          <w:lang w:bidi="fa-IR"/>
        </w:rPr>
      </w:pPr>
      <w:r w:rsidRPr="00020424">
        <w:rPr>
          <w:rtl/>
          <w:lang w:bidi="fa-IR"/>
        </w:rPr>
        <w:t xml:space="preserve">قَالَ : « يَصُومُ يَوْمَهُ ذلِكَ ، وَيَقْضِي يَوْماً آخَرَ ، وَإِنْ </w:t>
      </w:r>
      <w:r w:rsidRPr="00A91B96">
        <w:rPr>
          <w:rStyle w:val="libFootnotenumChar"/>
          <w:rtl/>
        </w:rPr>
        <w:t>(9)</w:t>
      </w:r>
      <w:r w:rsidRPr="00020424">
        <w:rPr>
          <w:rtl/>
          <w:lang w:bidi="fa-IR"/>
        </w:rPr>
        <w:t xml:space="preserve"> كَانَ قَضَاءً لِرَمَضَانَ فِي شَوَّالٍ ، أَوْ فِي </w:t>
      </w:r>
      <w:r w:rsidRPr="00A91B96">
        <w:rPr>
          <w:rStyle w:val="libFootnotenumChar"/>
          <w:rtl/>
        </w:rPr>
        <w:t>(10)</w:t>
      </w:r>
      <w:r w:rsidRPr="00020424">
        <w:rPr>
          <w:rtl/>
          <w:lang w:bidi="fa-IR"/>
        </w:rPr>
        <w:t xml:space="preserve"> غَيْرِهِ ، فَشَرِبَ بَعْدَ </w:t>
      </w:r>
      <w:r w:rsidRPr="00A91B96">
        <w:rPr>
          <w:rStyle w:val="libFootnotenumChar"/>
          <w:rtl/>
        </w:rPr>
        <w:t>(11)</w:t>
      </w:r>
      <w:r w:rsidRPr="00020424">
        <w:rPr>
          <w:rtl/>
          <w:lang w:bidi="fa-IR"/>
        </w:rPr>
        <w:t xml:space="preserve"> الْفَجْرِ ، فَلْيُفْطِرْ يَوْمَهُ ذلِكَ ، وَيَقْضِي</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Normal"/>
        <w:rPr>
          <w:rtl/>
          <w:lang w:bidi="fa-IR"/>
        </w:rPr>
      </w:pPr>
      <w:r w:rsidRPr="0084153B">
        <w:rPr>
          <w:rtl/>
        </w:rPr>
        <w:t>6367</w:t>
      </w:r>
      <w:r w:rsidRPr="001155DE">
        <w:rPr>
          <w:rStyle w:val="libBold2Char"/>
          <w:rtl/>
        </w:rPr>
        <w:t xml:space="preserve"> / 7.</w:t>
      </w:r>
      <w:r w:rsidRPr="00020424">
        <w:rPr>
          <w:rtl/>
          <w:lang w:bidi="fa-IR"/>
        </w:rPr>
        <w:t xml:space="preserve"> مُحَمَّدُ بْنُ يَحْيى ، عَنْ أَحْمَدَ بْنِ مُحَمَّدٍ ، عَنْ عُثْمَانَ بْنِ عِيسى ، عَنْ سَمَاعَةَ بْنِ مِهْرَانَ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020424">
        <w:rPr>
          <w:rtl/>
        </w:rPr>
        <w:t xml:space="preserve"> : « أو أقضي</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أو في قوله : أو أقضى بمعنى إلى أن ، فالياء مفتوحة ، وربمايوجد في بعض النسخ : وأقضي ، وهو أوضح</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بح ، بخ ، بس ، بف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اليوم</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مكان ذلك اليوم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يوماً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جن » : « وا</w:t>
      </w:r>
      <w:r w:rsidR="000C3F1A">
        <w:rPr>
          <w:rFonts w:hint="cs"/>
          <w:rtl/>
        </w:rPr>
        <w:t>ُ</w:t>
      </w:r>
      <w:r w:rsidR="00992664" w:rsidRPr="00020424">
        <w:rPr>
          <w:rtl/>
        </w:rPr>
        <w:t>تمّ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اليوم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11 ، ص 289 ، ح 10880 ؛ </w:t>
      </w:r>
      <w:r w:rsidR="00992664" w:rsidRPr="0012008A">
        <w:rPr>
          <w:rStyle w:val="libFootnoteBoldChar"/>
          <w:rtl/>
        </w:rPr>
        <w:t>الوسائل</w:t>
      </w:r>
      <w:r w:rsidR="00992664" w:rsidRPr="00020424">
        <w:rPr>
          <w:rtl/>
        </w:rPr>
        <w:t xml:space="preserve"> ، ج 10 ، ص 117 ، ح 13000.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 « يشرب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C3F1A" w:rsidTr="000C3F1A">
        <w:tc>
          <w:tcPr>
            <w:tcW w:w="4006" w:type="dxa"/>
          </w:tcPr>
          <w:p w:rsidR="000C3F1A" w:rsidRDefault="000C3F1A" w:rsidP="00992664">
            <w:pPr>
              <w:pStyle w:val="libFootnote0"/>
              <w:rPr>
                <w:rtl/>
              </w:rPr>
            </w:pPr>
            <w:r>
              <w:rPr>
                <w:rtl/>
              </w:rPr>
              <w:t xml:space="preserve">(8). </w:t>
            </w:r>
            <w:r w:rsidRPr="00020424">
              <w:rPr>
                <w:rtl/>
              </w:rPr>
              <w:t>في « ى ، بر ، بس » : + « أنّه</w:t>
            </w:r>
            <w:r>
              <w:rPr>
                <w:rtl/>
              </w:rPr>
              <w:t xml:space="preserve"> ».</w:t>
            </w:r>
          </w:p>
        </w:tc>
        <w:tc>
          <w:tcPr>
            <w:tcW w:w="4006" w:type="dxa"/>
          </w:tcPr>
          <w:p w:rsidR="000C3F1A" w:rsidRDefault="000C3F1A" w:rsidP="00992664">
            <w:pPr>
              <w:pStyle w:val="libFootnote0"/>
              <w:rPr>
                <w:rtl/>
              </w:rPr>
            </w:pPr>
            <w:r>
              <w:rPr>
                <w:rtl/>
              </w:rPr>
              <w:t xml:space="preserve">(9). </w:t>
            </w:r>
            <w:r w:rsidRPr="00020424">
              <w:rPr>
                <w:rtl/>
              </w:rPr>
              <w:t>في « بر ، بس » : « فإن</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بث ، بخ ، بر ، بف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 + « طلوع</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الوافي</w:t>
      </w:r>
      <w:r w:rsidR="00992664" w:rsidRPr="00020424">
        <w:rPr>
          <w:rtl/>
        </w:rPr>
        <w:t xml:space="preserve"> ، ج 11 ، ص 288 ، ح 10878 ؛ </w:t>
      </w:r>
      <w:r w:rsidR="00992664" w:rsidRPr="0012008A">
        <w:rPr>
          <w:rStyle w:val="libFootnoteBoldChar"/>
          <w:rtl/>
        </w:rPr>
        <w:t>الوسائل</w:t>
      </w:r>
      <w:r w:rsidR="00992664" w:rsidRPr="00020424">
        <w:rPr>
          <w:rtl/>
        </w:rPr>
        <w:t xml:space="preserve"> ، ج 10 ، ص 116 ، ح 12998 ، إلى قوله : « ويقضي يوماً آخر » ؛ وص 117 ، ح 13001.</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سَأَلْتُهُ عَنْ رَجُلَيْنِ قَامَا ، فَنَظَرَا إِلَى الْفَجْرِ ، فَقَالَ أَحَدُهُمَا : هُوَ ذَا </w:t>
      </w:r>
      <w:r w:rsidRPr="00A91B96">
        <w:rPr>
          <w:rStyle w:val="libFootnotenumChar"/>
          <w:rtl/>
        </w:rPr>
        <w:t>(1)</w:t>
      </w:r>
      <w:r w:rsidRPr="00020424">
        <w:rPr>
          <w:rtl/>
          <w:lang w:bidi="fa-IR"/>
        </w:rPr>
        <w:t xml:space="preserve"> ، وَقَالَ الْآخَرُ : مَا أَرى شَيْئاً</w:t>
      </w:r>
      <w:r>
        <w:rPr>
          <w:rtl/>
          <w:lang w:bidi="fa-IR"/>
        </w:rPr>
        <w:t>؟</w:t>
      </w:r>
    </w:p>
    <w:p w:rsidR="00992664" w:rsidRPr="00020424" w:rsidRDefault="00992664" w:rsidP="00992664">
      <w:pPr>
        <w:pStyle w:val="libNormal"/>
        <w:rPr>
          <w:rtl/>
          <w:lang w:bidi="fa-IR"/>
        </w:rPr>
      </w:pPr>
      <w:r w:rsidRPr="00020424">
        <w:rPr>
          <w:rtl/>
          <w:lang w:bidi="fa-IR"/>
        </w:rPr>
        <w:t xml:space="preserve">قَالَ : « فَلْيَأْكُلِ الَّذِي لَمْ يَسْتَبِنْ لَهُ </w:t>
      </w:r>
      <w:r w:rsidRPr="00A91B96">
        <w:rPr>
          <w:rStyle w:val="libFootnotenumChar"/>
          <w:rtl/>
        </w:rPr>
        <w:t>(2)</w:t>
      </w:r>
      <w:r w:rsidRPr="00020424">
        <w:rPr>
          <w:rtl/>
          <w:lang w:bidi="fa-IR"/>
        </w:rPr>
        <w:t xml:space="preserve"> الْفَجْرُ ، وَقَدْ حَرُمَ عَلَى الَّذِي زَعَمَ أَنَّهُ رَأَى الْفَجْرَ ؛ إِنَّ </w:t>
      </w:r>
      <w:r w:rsidRPr="00A91B96">
        <w:rPr>
          <w:rStyle w:val="libFootnotenumChar"/>
          <w:rtl/>
        </w:rPr>
        <w:t>(3)</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كُلُوا </w:t>
      </w:r>
      <w:r w:rsidRPr="00A91B96">
        <w:rPr>
          <w:rStyle w:val="libFootnotenumChar"/>
          <w:rtl/>
        </w:rPr>
        <w:t>(4)</w:t>
      </w:r>
      <w:r w:rsidRPr="004E5AB4">
        <w:rPr>
          <w:rStyle w:val="libAieChar"/>
          <w:rtl/>
        </w:rPr>
        <w:t xml:space="preserve"> وَاشْرَبُوا حَتّى يَتَبَيَّنَ لَكُمُ الْخَيْطُ الْأَبْيَضُ مِنَ الْخَيْطِ الْأَسْوَدِ مِنَ الْفَجْرِ </w:t>
      </w:r>
      <w:r w:rsidRPr="00005A81">
        <w:rPr>
          <w:rStyle w:val="libAlaemChar"/>
          <w:rtl/>
        </w:rPr>
        <w:t>)</w:t>
      </w:r>
      <w:r w:rsidRPr="00020424">
        <w:rPr>
          <w:rtl/>
          <w:lang w:bidi="fa-IR"/>
        </w:rPr>
        <w:t xml:space="preserve">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350" w:name="_Toc345172832"/>
      <w:bookmarkStart w:id="351" w:name="_Toc464562650"/>
      <w:bookmarkStart w:id="352" w:name="_Toc44599953"/>
      <w:r w:rsidRPr="00020424">
        <w:rPr>
          <w:rtl/>
          <w:lang w:bidi="fa-IR"/>
        </w:rPr>
        <w:t>18</w:t>
      </w:r>
      <w:r>
        <w:rPr>
          <w:rtl/>
          <w:lang w:bidi="fa-IR"/>
        </w:rPr>
        <w:t xml:space="preserve"> </w:t>
      </w:r>
      <w:r w:rsidR="009B673F">
        <w:rPr>
          <w:rtl/>
          <w:lang w:bidi="fa-IR"/>
        </w:rPr>
        <w:t>-</w:t>
      </w:r>
      <w:r>
        <w:rPr>
          <w:rtl/>
          <w:lang w:bidi="fa-IR"/>
        </w:rPr>
        <w:t xml:space="preserve"> </w:t>
      </w:r>
      <w:r w:rsidRPr="00020424">
        <w:rPr>
          <w:rtl/>
          <w:lang w:bidi="fa-IR"/>
        </w:rPr>
        <w:t xml:space="preserve">بَابُ الْفَجْرِ مَا هُوَ وَمَتى </w:t>
      </w:r>
      <w:r w:rsidRPr="00A91B96">
        <w:rPr>
          <w:rStyle w:val="libFootnotenumChar"/>
          <w:rtl/>
        </w:rPr>
        <w:t>(7)</w:t>
      </w:r>
      <w:r>
        <w:rPr>
          <w:rtl/>
        </w:rPr>
        <w:t xml:space="preserve"> </w:t>
      </w:r>
      <w:r w:rsidRPr="00020424">
        <w:rPr>
          <w:rtl/>
          <w:lang w:bidi="fa-IR"/>
        </w:rPr>
        <w:t>يَحِلُّ وَمَتى يَحْرُمُ الْأَكْلُ‌</w:t>
      </w:r>
      <w:bookmarkEnd w:id="350"/>
      <w:bookmarkEnd w:id="351"/>
      <w:bookmarkEnd w:id="352"/>
    </w:p>
    <w:p w:rsidR="00992664" w:rsidRPr="00020424" w:rsidRDefault="00992664" w:rsidP="00992664">
      <w:pPr>
        <w:pStyle w:val="libNormal"/>
        <w:rPr>
          <w:rtl/>
          <w:lang w:bidi="fa-IR"/>
        </w:rPr>
      </w:pPr>
      <w:r w:rsidRPr="0084153B">
        <w:rPr>
          <w:rtl/>
        </w:rPr>
        <w:t>6368</w:t>
      </w:r>
      <w:r w:rsidRPr="001155DE">
        <w:rPr>
          <w:rStyle w:val="libBold2Char"/>
          <w:rtl/>
        </w:rPr>
        <w:t xml:space="preserve"> / 1.</w:t>
      </w:r>
      <w:r w:rsidRPr="00020424">
        <w:rPr>
          <w:rtl/>
          <w:lang w:bidi="fa-IR"/>
        </w:rPr>
        <w:t xml:space="preserve"> مُحَمَّدُ بْنُ يَحْيى ، عَنْ مُحَمَّدِ بْنِ الْحُسَيْنِ ، عَنِ الْعَلَاءِ بْنِ رَزِينٍ </w:t>
      </w:r>
      <w:r w:rsidRPr="00A91B96">
        <w:rPr>
          <w:rStyle w:val="libFootnotenumChar"/>
          <w:rtl/>
        </w:rPr>
        <w:t>(8)</w:t>
      </w:r>
      <w:r w:rsidRPr="00020424">
        <w:rPr>
          <w:rtl/>
          <w:lang w:bidi="fa-IR"/>
        </w:rPr>
        <w:t xml:space="preserve">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265 : « هوذا ، اسم الإشارة راجع إلى الفجر ، ومدلوله مقطوع به في كلام‌الأصحاب ، والآية ظاهرة الدلالة عليه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لم يتبيّن له</w:t>
      </w:r>
      <w:r w:rsidR="00992664">
        <w:rPr>
          <w:rtl/>
        </w:rPr>
        <w:t xml:space="preserve"> ».</w:t>
      </w:r>
      <w:r w:rsidR="00992664" w:rsidRPr="00020424">
        <w:rPr>
          <w:rtl/>
        </w:rPr>
        <w:t xml:space="preserve"> وفي تفسير العيّاشي : « يستيقن » بدل « يستبن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A05BB" w:rsidTr="00AA05BB">
        <w:tc>
          <w:tcPr>
            <w:tcW w:w="4006" w:type="dxa"/>
          </w:tcPr>
          <w:p w:rsidR="00AA05BB" w:rsidRDefault="00AA05BB"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لأنّ</w:t>
            </w:r>
            <w:r>
              <w:rPr>
                <w:rtl/>
              </w:rPr>
              <w:t xml:space="preserve"> ».</w:t>
            </w:r>
          </w:p>
        </w:tc>
        <w:tc>
          <w:tcPr>
            <w:tcW w:w="4006" w:type="dxa"/>
          </w:tcPr>
          <w:p w:rsidR="00AA05BB" w:rsidRDefault="00AA05BB" w:rsidP="00992664">
            <w:pPr>
              <w:pStyle w:val="libFootnote0"/>
              <w:rPr>
                <w:rtl/>
              </w:rPr>
            </w:pPr>
            <w:r>
              <w:rPr>
                <w:rtl/>
              </w:rPr>
              <w:t xml:space="preserve">(4). </w:t>
            </w:r>
            <w:r w:rsidRPr="00020424">
              <w:rPr>
                <w:rtl/>
              </w:rPr>
              <w:t xml:space="preserve">في « بث ، بح ، بس » </w:t>
            </w:r>
            <w:r w:rsidRPr="00FD6221">
              <w:rPr>
                <w:rStyle w:val="libFootnoteBoldChar"/>
                <w:rtl/>
              </w:rPr>
              <w:t>والفقيه</w:t>
            </w:r>
            <w:r w:rsidRPr="00020424">
              <w:rPr>
                <w:rtl/>
              </w:rPr>
              <w:t xml:space="preserve"> : </w:t>
            </w:r>
            <w:r w:rsidRPr="00AA05BB">
              <w:rPr>
                <w:rStyle w:val="libFootnoteAlaemChar"/>
                <w:rtl/>
              </w:rPr>
              <w:t>(</w:t>
            </w:r>
            <w:r w:rsidRPr="006B2AC6">
              <w:rPr>
                <w:rStyle w:val="libFootnoteAieChar"/>
                <w:rtl/>
              </w:rPr>
              <w:t xml:space="preserve"> وَكُلُوا </w:t>
            </w:r>
            <w:r w:rsidRPr="00AA05BB">
              <w:rPr>
                <w:rStyle w:val="libFootnoteAlaemChar"/>
                <w:rtl/>
              </w:rPr>
              <w:t>)</w:t>
            </w:r>
            <w:r>
              <w:rPr>
                <w:rtl/>
              </w:rPr>
              <w:t>.</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البقرة </w:t>
      </w:r>
      <w:r w:rsidR="00EF08D3">
        <w:rPr>
          <w:rtl/>
        </w:rPr>
        <w:t>(2)</w:t>
      </w:r>
      <w:r w:rsidR="0014403D">
        <w:rPr>
          <w:rtl/>
        </w:rPr>
        <w:t xml:space="preserve"> </w:t>
      </w:r>
      <w:r w:rsidR="00992664" w:rsidRPr="00020424">
        <w:rPr>
          <w:rtl/>
        </w:rPr>
        <w:t>: 187.</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317 ، ح 967 ، بسنده عن عثمان بن عيسى. </w:t>
      </w:r>
      <w:r w:rsidR="00992664" w:rsidRPr="0012008A">
        <w:rPr>
          <w:rStyle w:val="libFootnoteBoldChar"/>
          <w:rtl/>
        </w:rPr>
        <w:t>الفقيه</w:t>
      </w:r>
      <w:r w:rsidR="00992664" w:rsidRPr="00020424">
        <w:rPr>
          <w:rtl/>
        </w:rPr>
        <w:t xml:space="preserve"> ، ج 2 ، ص 131 ، صدر ح 1938 ، معلّقاً عن سماعة بن مهران. </w:t>
      </w:r>
      <w:r w:rsidR="00992664" w:rsidRPr="00DE76B9">
        <w:rPr>
          <w:rStyle w:val="libFootnoteBoldChar"/>
          <w:rtl/>
        </w:rPr>
        <w:t>تفسير العيّاشي</w:t>
      </w:r>
      <w:r w:rsidR="00992664" w:rsidRPr="00020424">
        <w:rPr>
          <w:rtl/>
        </w:rPr>
        <w:t xml:space="preserve"> ، ج 1 ، ص 83 ، ح 199 ، عن أبي بصير ، عن أبي عبدالله </w:t>
      </w:r>
      <w:r w:rsidR="00992664" w:rsidRPr="00D64ADA">
        <w:rPr>
          <w:rStyle w:val="libFootnoteAlaemChar"/>
          <w:rtl/>
        </w:rPr>
        <w:t>عليه‌السلام</w:t>
      </w:r>
      <w:r w:rsidR="00992664" w:rsidRPr="00020424">
        <w:rPr>
          <w:rtl/>
        </w:rPr>
        <w:t xml:space="preserve"> ، وفيهما مع اختلاف يسير </w:t>
      </w:r>
      <w:r w:rsidR="00EF08D3">
        <w:rPr>
          <w:rFonts w:hint="cs"/>
          <w:rtl/>
        </w:rPr>
        <w:t>.</w:t>
      </w:r>
      <w:r w:rsidR="00992664" w:rsidRPr="0012008A">
        <w:rPr>
          <w:rStyle w:val="libFootnoteBoldChar"/>
          <w:rtl/>
        </w:rPr>
        <w:t>الوافي</w:t>
      </w:r>
      <w:r w:rsidR="00992664" w:rsidRPr="00020424">
        <w:rPr>
          <w:rtl/>
        </w:rPr>
        <w:t xml:space="preserve"> ، ج 11 ، ص 230 ، ح 10749 ؛ </w:t>
      </w:r>
      <w:r w:rsidR="00992664" w:rsidRPr="0012008A">
        <w:rPr>
          <w:rStyle w:val="libFootnoteBoldChar"/>
          <w:rtl/>
        </w:rPr>
        <w:t>الوسائل</w:t>
      </w:r>
      <w:r w:rsidR="00992664" w:rsidRPr="00020424">
        <w:rPr>
          <w:rtl/>
        </w:rPr>
        <w:t xml:space="preserve"> ، ج 10 ، ص 119 ، ح 13004.</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متى » بدون الواو.</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روى محمّد بن الحسين</w:t>
      </w:r>
      <w:r w:rsidR="00992664">
        <w:rPr>
          <w:rtl/>
        </w:rPr>
        <w:t xml:space="preserve"> </w:t>
      </w:r>
      <w:r w:rsidR="009B673F">
        <w:rPr>
          <w:rtl/>
        </w:rPr>
        <w:t>-</w:t>
      </w:r>
      <w:r w:rsidR="00992664">
        <w:rPr>
          <w:rtl/>
        </w:rPr>
        <w:t xml:space="preserve"> </w:t>
      </w:r>
      <w:r w:rsidR="00992664" w:rsidRPr="00020424">
        <w:rPr>
          <w:rtl/>
        </w:rPr>
        <w:t>وهو ابن أبي الخطّاب</w:t>
      </w:r>
      <w:r w:rsidR="00992664">
        <w:rPr>
          <w:rtl/>
        </w:rPr>
        <w:t xml:space="preserve"> </w:t>
      </w:r>
      <w:r w:rsidR="009B673F">
        <w:rPr>
          <w:rtl/>
        </w:rPr>
        <w:t>-</w:t>
      </w:r>
      <w:r w:rsidR="00992664">
        <w:rPr>
          <w:rtl/>
        </w:rPr>
        <w:t xml:space="preserve"> </w:t>
      </w:r>
      <w:r w:rsidR="00992664" w:rsidRPr="00020424">
        <w:rPr>
          <w:rtl/>
        </w:rPr>
        <w:t xml:space="preserve">كتاب العلاء بن رزين بواسطة الحسن بن محبوب ، ولم‌يُعْهَد روايته عن العلاء مباشرةً. كما أنّه لم يعهد رواية العلاء عن موسى بن بكر ؛ بل العلاء متقدّم عليه طبقة. راجع : </w:t>
      </w:r>
      <w:r w:rsidR="00992664" w:rsidRPr="00D530ED">
        <w:rPr>
          <w:rStyle w:val="libFootnoteBoldChar"/>
          <w:rtl/>
        </w:rPr>
        <w:t>الفهرست للطوسي</w:t>
      </w:r>
      <w:r w:rsidR="00992664" w:rsidRPr="00020424">
        <w:rPr>
          <w:rtl/>
        </w:rPr>
        <w:t xml:space="preserve"> ، ص 322 ، الرقم 500.</w:t>
      </w:r>
    </w:p>
    <w:p w:rsidR="00992664" w:rsidRPr="00020424" w:rsidRDefault="00992664" w:rsidP="00EF08D3">
      <w:pPr>
        <w:pStyle w:val="libFootnote0"/>
        <w:rPr>
          <w:rtl/>
          <w:lang w:bidi="fa-IR"/>
        </w:rPr>
      </w:pPr>
      <w:r w:rsidRPr="00EF08D3">
        <w:rPr>
          <w:rtl/>
        </w:rPr>
        <w:t>فعليه وقوع الخلل في السند ممّا لا ريب فيه. وقال الا</w:t>
      </w:r>
      <w:r w:rsidR="00EF08D3">
        <w:rPr>
          <w:rFonts w:hint="cs"/>
          <w:rtl/>
        </w:rPr>
        <w:t>ُ</w:t>
      </w:r>
      <w:r w:rsidRPr="00EF08D3">
        <w:rPr>
          <w:rtl/>
        </w:rPr>
        <w:t xml:space="preserve">ستاد السيد محمّد جواد الشبيري </w:t>
      </w:r>
      <w:r w:rsidR="009B673F" w:rsidRPr="00EF08D3">
        <w:rPr>
          <w:rtl/>
        </w:rPr>
        <w:t>-</w:t>
      </w:r>
      <w:r w:rsidRPr="00EF08D3">
        <w:rPr>
          <w:rtl/>
        </w:rPr>
        <w:t xml:space="preserve"> دام توفيقه </w:t>
      </w:r>
      <w:r w:rsidR="009B673F" w:rsidRPr="00EF08D3">
        <w:rPr>
          <w:rtl/>
        </w:rPr>
        <w:t>-</w:t>
      </w:r>
      <w:r w:rsidRPr="00EF08D3">
        <w:rPr>
          <w:rtl/>
        </w:rPr>
        <w:t xml:space="preserve"> في رفع الخلل : « فقد يخطر بالبال كون الصواب : عليّ بن الحكم ، بدل العلاء بن رزين ؛ فقد أكثر محمّد بن الحسين من الرواية عن عليّ بن الحكم ، وكذا أكثر عليّ بن الحكم من الرواية عن موسى بن بكر ، وقد وردت في </w:t>
      </w:r>
      <w:r w:rsidRPr="00DE76B9">
        <w:rPr>
          <w:rStyle w:val="libFootnoteBoldChar"/>
          <w:rtl/>
        </w:rPr>
        <w:t>الكافي</w:t>
      </w:r>
      <w:r w:rsidRPr="00EF08D3">
        <w:rPr>
          <w:rtl/>
        </w:rPr>
        <w:t xml:space="preserve"> ، ح 9109 </w:t>
      </w:r>
      <w:r w:rsidR="009B673F" w:rsidRPr="00EF08D3">
        <w:rPr>
          <w:rtl/>
        </w:rPr>
        <w:t>-</w:t>
      </w:r>
      <w:r w:rsidRPr="00EF08D3">
        <w:rPr>
          <w:rtl/>
        </w:rPr>
        <w:t xml:space="preserve"> وعنه </w:t>
      </w:r>
      <w:r w:rsidRPr="0012008A">
        <w:rPr>
          <w:rStyle w:val="libFootnoteBoldChar"/>
          <w:rtl/>
        </w:rPr>
        <w:t>التهذيب</w:t>
      </w:r>
      <w:r w:rsidRPr="00EF08D3">
        <w:rPr>
          <w:rtl/>
        </w:rPr>
        <w:t xml:space="preserve"> ، ج 7 ، ص 217 ، ح 949 ، من غير تصريح </w:t>
      </w:r>
      <w:r w:rsidR="009B673F" w:rsidRPr="00EF08D3">
        <w:rPr>
          <w:rtl/>
        </w:rPr>
        <w:t>-</w:t>
      </w:r>
      <w:r w:rsidRPr="00EF08D3">
        <w:rPr>
          <w:rtl/>
        </w:rPr>
        <w:t xml:space="preserve"> رواية محمّد بن يحيى ، عن محمّد بن الحسين ، عن عليّ بن الحكم ، عن موسى بن بكر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مُوسَى بْنِ بَكْرٍ ، عَنْ زُرَارَةَ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أَذَّنَ </w:t>
      </w:r>
      <w:r w:rsidRPr="00A91B96">
        <w:rPr>
          <w:rStyle w:val="libFootnotenumChar"/>
          <w:rtl/>
        </w:rPr>
        <w:t>(1)</w:t>
      </w:r>
      <w:r w:rsidRPr="00020424">
        <w:rPr>
          <w:rtl/>
          <w:lang w:bidi="fa-IR"/>
        </w:rPr>
        <w:t xml:space="preserve"> ابْنُ أُمِّ </w:t>
      </w:r>
      <w:r w:rsidRPr="00A91B96">
        <w:rPr>
          <w:rStyle w:val="libFootnotenumChar"/>
          <w:rtl/>
        </w:rPr>
        <w:t>(2)</w:t>
      </w:r>
      <w:r w:rsidRPr="00020424">
        <w:rPr>
          <w:rtl/>
          <w:lang w:bidi="fa-IR"/>
        </w:rPr>
        <w:t xml:space="preserve"> مَكْتُومٍ </w:t>
      </w:r>
      <w:r w:rsidRPr="00A91B96">
        <w:rPr>
          <w:rStyle w:val="libFootnotenumChar"/>
          <w:rtl/>
        </w:rPr>
        <w:t>(3)</w:t>
      </w:r>
      <w:r w:rsidRPr="00020424">
        <w:rPr>
          <w:rtl/>
          <w:lang w:bidi="fa-IR"/>
        </w:rPr>
        <w:t xml:space="preserve"> لِصَلَاةِ الْغَدَاةِ </w:t>
      </w:r>
      <w:r w:rsidRPr="00A91B96">
        <w:rPr>
          <w:rStyle w:val="libFootnotenumChar"/>
          <w:rtl/>
        </w:rPr>
        <w:t>(4)</w:t>
      </w:r>
      <w:r w:rsidRPr="00020424">
        <w:rPr>
          <w:rtl/>
          <w:lang w:bidi="fa-IR"/>
        </w:rPr>
        <w:t xml:space="preserve"> ، وَمَرَّ رَجُلٌ بِرَسُولِ اللهِ </w:t>
      </w:r>
      <w:r w:rsidR="00B42914" w:rsidRPr="00B42914">
        <w:rPr>
          <w:rStyle w:val="libAlaemChar"/>
          <w:rtl/>
        </w:rPr>
        <w:t>صلى‌الله‌عليه‌وآله‌</w:t>
      </w:r>
      <w:r w:rsidRPr="00020424">
        <w:rPr>
          <w:rtl/>
          <w:lang w:bidi="fa-IR"/>
        </w:rPr>
        <w:t xml:space="preserve"> وَهُوَ يَتَسَحَّرُ ، فَدَعَاهُ أَنْ يَأْكُلَ مَعَهُ ، فَقَالَ : يَا رَسُولَ اللهِ ، قَدْ أَذَّنَ الْمُؤَذِّنُ </w:t>
      </w:r>
      <w:r w:rsidRPr="00A91B96">
        <w:rPr>
          <w:rStyle w:val="libFootnotenumChar"/>
          <w:rtl/>
        </w:rPr>
        <w:t>(5)</w:t>
      </w:r>
      <w:r w:rsidRPr="00020424">
        <w:rPr>
          <w:rtl/>
          <w:lang w:bidi="fa-IR"/>
        </w:rPr>
        <w:t xml:space="preserve"> لِلْفَجْرِ ، فَقَالَ : إِنَّ هذَا ابْنُ أُمِّ مَكْتُومٍ وَهُوَ يُؤَذِّنُ بِلَيْلٍ ، فَإِذَا أَذَّنَ بِلَالٌ ، فَعِنْدَ ذلِكَ فَأَمْسِكْ </w:t>
      </w:r>
      <w:r w:rsidRPr="00A91B96">
        <w:rPr>
          <w:rStyle w:val="libFootnotenumChar"/>
          <w:rtl/>
        </w:rPr>
        <w:t>(6)</w:t>
      </w:r>
      <w:r>
        <w:rPr>
          <w:rtl/>
          <w:lang w:bidi="fa-IR"/>
        </w:rPr>
        <w:t>».</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84153B">
        <w:rPr>
          <w:rtl/>
        </w:rPr>
        <w:t>6369</w:t>
      </w:r>
      <w:r w:rsidRPr="001155DE">
        <w:rPr>
          <w:rStyle w:val="libBold2Char"/>
          <w:rtl/>
        </w:rPr>
        <w:t xml:space="preserve"> / 2.</w:t>
      </w:r>
      <w:r w:rsidRPr="00020424">
        <w:rPr>
          <w:rtl/>
          <w:lang w:bidi="fa-IR"/>
        </w:rPr>
        <w:t xml:space="preserve"> عَلِيُّ بْنُ إِبْرَاهِيمَ ، عَنْ أَبِيهِ ، عَنِ ابْنِ أَبِي عُمَيْرٍ </w:t>
      </w:r>
      <w:r w:rsidRPr="00A91B96">
        <w:rPr>
          <w:rStyle w:val="libFootnotenumChar"/>
          <w:rtl/>
        </w:rPr>
        <w:t>(8)</w:t>
      </w:r>
      <w:r w:rsidRPr="00020424">
        <w:rPr>
          <w:rtl/>
          <w:lang w:bidi="fa-IR"/>
        </w:rPr>
        <w:t xml:space="preserve"> ، عَنْ عَلِيِّ بْنِ عَطِيَّةَ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الْفَجْرُ </w:t>
      </w:r>
      <w:r w:rsidRPr="00A91B96">
        <w:rPr>
          <w:rStyle w:val="libFootnotenumChar"/>
          <w:rtl/>
        </w:rPr>
        <w:t>(9)</w:t>
      </w:r>
      <w:r w:rsidRPr="00020424">
        <w:rPr>
          <w:rtl/>
          <w:lang w:bidi="fa-IR"/>
        </w:rPr>
        <w:t xml:space="preserve"> هُوَ الَّذِي إِذَا رَأَيْتَهُ مُعْتَرِضاً كَأَنَّهُ بَيَاضُ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F08D3" w:rsidP="00EF08D3">
      <w:pPr>
        <w:pStyle w:val="libFootnote0"/>
        <w:rPr>
          <w:rtl/>
          <w:lang w:bidi="fa-IR"/>
        </w:rPr>
      </w:pPr>
      <w:r>
        <w:rPr>
          <w:rFonts w:hint="cs"/>
          <w:rtl/>
        </w:rPr>
        <w:t xml:space="preserve">= </w:t>
      </w:r>
      <w:r w:rsidR="00992664" w:rsidRPr="00EF08D3">
        <w:rPr>
          <w:rtl/>
        </w:rPr>
        <w:t>وقال في كيفيّة تبديل « عليّ بن الحكم » ب</w:t>
      </w:r>
      <w:r w:rsidR="009B673F" w:rsidRPr="00EF08D3">
        <w:rPr>
          <w:rtl/>
        </w:rPr>
        <w:t>-</w:t>
      </w:r>
      <w:r w:rsidR="00992664" w:rsidRPr="00EF08D3">
        <w:rPr>
          <w:rtl/>
        </w:rPr>
        <w:t xml:space="preserve"> « العلاء بن رزين » : « عليّ بن الحكم يروي عن العلاء بن رزين ( </w:t>
      </w:r>
      <w:r w:rsidR="00B749F7">
        <w:rPr>
          <w:rFonts w:hint="cs"/>
          <w:rtl/>
        </w:rPr>
        <w:t xml:space="preserve">= </w:t>
      </w:r>
      <w:r w:rsidR="00992664" w:rsidRPr="00EF08D3">
        <w:rPr>
          <w:rtl/>
        </w:rPr>
        <w:t>العلاء</w:t>
      </w:r>
      <w:r w:rsidR="00B749F7">
        <w:rPr>
          <w:rFonts w:hint="cs"/>
          <w:rtl/>
        </w:rPr>
        <w:t xml:space="preserve"> =</w:t>
      </w:r>
      <w:r w:rsidR="00992664" w:rsidRPr="00EF08D3">
        <w:rPr>
          <w:rtl/>
        </w:rPr>
        <w:t xml:space="preserve"> العلاء السقلاء ) في روايات كثيرة جدّاً ، منها ما ورد في كتاب الصيام من </w:t>
      </w:r>
      <w:r w:rsidR="00992664" w:rsidRPr="00DE76B9">
        <w:rPr>
          <w:rStyle w:val="libFootnoteBoldChar"/>
          <w:rtl/>
        </w:rPr>
        <w:t>الكافي</w:t>
      </w:r>
      <w:r w:rsidR="00992664" w:rsidRPr="00EF08D3">
        <w:rPr>
          <w:rtl/>
        </w:rPr>
        <w:t xml:space="preserve"> </w:t>
      </w:r>
      <w:r w:rsidR="009B673F" w:rsidRPr="00EF08D3">
        <w:rPr>
          <w:rtl/>
        </w:rPr>
        <w:t>-</w:t>
      </w:r>
      <w:r w:rsidR="00992664" w:rsidRPr="00EF08D3">
        <w:rPr>
          <w:rtl/>
        </w:rPr>
        <w:t xml:space="preserve"> كالخبر المبحوث عنه </w:t>
      </w:r>
      <w:r w:rsidR="009B673F" w:rsidRPr="00EF08D3">
        <w:rPr>
          <w:rtl/>
        </w:rPr>
        <w:t>-</w:t>
      </w:r>
      <w:r w:rsidR="00992664" w:rsidRPr="00EF08D3">
        <w:rPr>
          <w:rtl/>
        </w:rPr>
        <w:t xml:space="preserve"> بهذا الإسناد : محمّد بن يحيى ، عن محمّد بن الحسين ، عن عليّ بن الحكم ، عن العلاء بن رزين ؛ فلعلّ الكليني </w:t>
      </w:r>
      <w:r w:rsidR="009B673F" w:rsidRPr="00EF08D3">
        <w:rPr>
          <w:rtl/>
        </w:rPr>
        <w:t>-</w:t>
      </w:r>
      <w:r w:rsidR="00992664" w:rsidRPr="00EF08D3">
        <w:rPr>
          <w:rtl/>
        </w:rPr>
        <w:t xml:space="preserve"> </w:t>
      </w:r>
      <w:r w:rsidR="00D64ADA" w:rsidRPr="00D64ADA">
        <w:rPr>
          <w:rStyle w:val="libFootnoteAlaemChar"/>
          <w:rtl/>
        </w:rPr>
        <w:t>قدس‌سره</w:t>
      </w:r>
      <w:r w:rsidR="00992664" w:rsidRPr="00EF08D3">
        <w:rPr>
          <w:rtl/>
        </w:rPr>
        <w:t xml:space="preserve"> </w:t>
      </w:r>
      <w:r w:rsidR="009B673F" w:rsidRPr="00EF08D3">
        <w:rPr>
          <w:rtl/>
        </w:rPr>
        <w:t>-</w:t>
      </w:r>
      <w:r w:rsidR="00992664" w:rsidRPr="00EF08D3">
        <w:rPr>
          <w:rtl/>
        </w:rPr>
        <w:t xml:space="preserve"> أخطأ الراوي بالمرويّ عنه ، فبدّل أحدهما بالآخر. ويؤكّد الوهم شباهة « عليّ » ب</w:t>
      </w:r>
      <w:r w:rsidR="00900295">
        <w:rPr>
          <w:rFonts w:hint="cs"/>
          <w:rtl/>
        </w:rPr>
        <w:t>ـ</w:t>
      </w:r>
      <w:r w:rsidR="00992664" w:rsidRPr="00EF08D3">
        <w:rPr>
          <w:rtl/>
        </w:rPr>
        <w:t xml:space="preserve"> « علاء ».</w:t>
      </w:r>
    </w:p>
    <w:tbl>
      <w:tblPr>
        <w:tblStyle w:val="TableGrid"/>
        <w:bidiVisual/>
        <w:tblW w:w="0" w:type="auto"/>
        <w:tblLook w:val="04A0" w:firstRow="1" w:lastRow="0" w:firstColumn="1" w:lastColumn="0" w:noHBand="0" w:noVBand="1"/>
      </w:tblPr>
      <w:tblGrid>
        <w:gridCol w:w="4006"/>
        <w:gridCol w:w="4006"/>
      </w:tblGrid>
      <w:tr w:rsidR="007D1D2F" w:rsidTr="007D1D2F">
        <w:tc>
          <w:tcPr>
            <w:tcW w:w="4006" w:type="dxa"/>
          </w:tcPr>
          <w:p w:rsidR="007D1D2F" w:rsidRDefault="007D1D2F" w:rsidP="00992664">
            <w:pPr>
              <w:pStyle w:val="libFootnote0"/>
              <w:rPr>
                <w:rtl/>
                <w:lang w:bidi="fa-IR"/>
              </w:rPr>
            </w:pPr>
            <w:r>
              <w:rPr>
                <w:rtl/>
              </w:rPr>
              <w:t xml:space="preserve">(1). </w:t>
            </w:r>
            <w:r w:rsidRPr="00020424">
              <w:rPr>
                <w:rtl/>
              </w:rPr>
              <w:t>في « بث ، بخ » : « كان</w:t>
            </w:r>
            <w:r>
              <w:rPr>
                <w:rtl/>
              </w:rPr>
              <w:t xml:space="preserve"> ».</w:t>
            </w:r>
          </w:p>
        </w:tc>
        <w:tc>
          <w:tcPr>
            <w:tcW w:w="4006" w:type="dxa"/>
          </w:tcPr>
          <w:p w:rsidR="007D1D2F" w:rsidRDefault="007D1D2F" w:rsidP="00992664">
            <w:pPr>
              <w:pStyle w:val="libFootnote0"/>
              <w:rPr>
                <w:rtl/>
                <w:lang w:bidi="fa-IR"/>
              </w:rPr>
            </w:pPr>
            <w:r>
              <w:rPr>
                <w:rtl/>
              </w:rPr>
              <w:t xml:space="preserve">(2). </w:t>
            </w:r>
            <w:r w:rsidRPr="00020424">
              <w:rPr>
                <w:rtl/>
              </w:rPr>
              <w:t>في « ى » :</w:t>
            </w:r>
            <w:r>
              <w:rPr>
                <w:rtl/>
              </w:rPr>
              <w:t xml:space="preserve"> - </w:t>
            </w:r>
            <w:r w:rsidRPr="00020424">
              <w:rPr>
                <w:rtl/>
              </w:rPr>
              <w:t>« ا</w:t>
            </w:r>
            <w:r>
              <w:rPr>
                <w:rFonts w:hint="cs"/>
                <w:rtl/>
              </w:rPr>
              <w:t>ُ</w:t>
            </w:r>
            <w:r w:rsidRPr="00020424">
              <w:rPr>
                <w:rtl/>
              </w:rPr>
              <w:t>مّ</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 يؤذّن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لصلاة الغداة ؛ يعني لتهيئة صلاة الغداة قبل وقتها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مؤذّن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w:t>
      </w:r>
      <w:r w:rsidR="00992664" w:rsidRPr="00515444">
        <w:rPr>
          <w:rStyle w:val="libFootnoteBoldChar"/>
          <w:rtl/>
        </w:rPr>
        <w:t>والوافي</w:t>
      </w:r>
      <w:r w:rsidR="00992664" w:rsidRPr="00020424">
        <w:rPr>
          <w:rtl/>
        </w:rPr>
        <w:t xml:space="preserve"> : « أمسك</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 ح 6880 : + « يعني في الصوم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228 ، ح 10744 ؛ </w:t>
      </w:r>
      <w:r w:rsidR="00992664" w:rsidRPr="0012008A">
        <w:rPr>
          <w:rStyle w:val="libFootnoteBoldChar"/>
          <w:rtl/>
        </w:rPr>
        <w:t>الوسائل</w:t>
      </w:r>
      <w:r w:rsidR="00992664" w:rsidRPr="00020424">
        <w:rPr>
          <w:rtl/>
        </w:rPr>
        <w:t xml:space="preserve"> ، ج 5 ، ص 389 ، ح 6880 ، من قوله : « فقال : إنّ هذا ابن ا</w:t>
      </w:r>
      <w:r w:rsidR="000538B3">
        <w:rPr>
          <w:rFonts w:hint="cs"/>
          <w:rtl/>
        </w:rPr>
        <w:t>ُ</w:t>
      </w:r>
      <w:r w:rsidR="00992664" w:rsidRPr="00020424">
        <w:rPr>
          <w:rtl/>
        </w:rPr>
        <w:t xml:space="preserve">مّ مكتوم » ؛ وج 10 ، ص 120 ، ح 13007 ؛ </w:t>
      </w:r>
      <w:r w:rsidR="00992664" w:rsidRPr="0012008A">
        <w:rPr>
          <w:rStyle w:val="libFootnoteBoldChar"/>
          <w:rtl/>
        </w:rPr>
        <w:t>البحار</w:t>
      </w:r>
      <w:r w:rsidR="00992664" w:rsidRPr="00020424">
        <w:rPr>
          <w:rtl/>
        </w:rPr>
        <w:t xml:space="preserve"> ، ج 22 ، ص 264 ، ح 6 ؛ وج 83 ، ص 132 ، ح 98.</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جر » </w:t>
      </w:r>
      <w:r w:rsidR="00992664" w:rsidRPr="00515444">
        <w:rPr>
          <w:rStyle w:val="libFootnoteBoldChar"/>
          <w:rtl/>
        </w:rPr>
        <w:t>والتهذيب</w:t>
      </w:r>
      <w:r w:rsidR="00992664" w:rsidRPr="00020424">
        <w:rPr>
          <w:rtl/>
        </w:rPr>
        <w:t xml:space="preserve"> ، ج 4 ، ص 185 ، ح 515. وفي « ظ ، ى ، بث ، بح ، بخ ، بر ، بس ، بف ، جن » والمطبوع :</w:t>
      </w:r>
      <w:r w:rsidR="00992664">
        <w:rPr>
          <w:rtl/>
        </w:rPr>
        <w:t xml:space="preserve"> </w:t>
      </w:r>
      <w:r w:rsidR="009B673F">
        <w:rPr>
          <w:rtl/>
        </w:rPr>
        <w:t>-</w:t>
      </w:r>
      <w:r w:rsidR="00992664">
        <w:rPr>
          <w:rtl/>
        </w:rPr>
        <w:t xml:space="preserve"> </w:t>
      </w:r>
      <w:r w:rsidR="00992664" w:rsidRPr="00020424">
        <w:rPr>
          <w:rtl/>
        </w:rPr>
        <w:t>« عن ابن أبي عمير</w:t>
      </w:r>
      <w:r w:rsidR="00992664">
        <w:rPr>
          <w:rtl/>
        </w:rPr>
        <w:t xml:space="preserve"> ».</w:t>
      </w:r>
    </w:p>
    <w:p w:rsidR="00992664" w:rsidRPr="00020424" w:rsidRDefault="00992664" w:rsidP="00C7330B">
      <w:pPr>
        <w:pStyle w:val="libFootnote0"/>
        <w:rPr>
          <w:rtl/>
          <w:lang w:bidi="fa-IR"/>
        </w:rPr>
      </w:pPr>
      <w:r w:rsidRPr="00C7330B">
        <w:rPr>
          <w:rtl/>
        </w:rPr>
        <w:t xml:space="preserve">وابن أبي عمير روى كتاب عليّ بن عطيّة ، وتوسّط بينه وبين إبراهيم بن هاشم في عددٍ من الأسناد. راجع : </w:t>
      </w:r>
      <w:r w:rsidRPr="00D530ED">
        <w:rPr>
          <w:rStyle w:val="libFootnoteBoldChar"/>
          <w:rtl/>
        </w:rPr>
        <w:t>الفهرست للطوسي</w:t>
      </w:r>
      <w:r w:rsidRPr="00C7330B">
        <w:rPr>
          <w:rtl/>
        </w:rPr>
        <w:t xml:space="preserve"> ، ص 283 ، الرقم 421 ؛ </w:t>
      </w:r>
      <w:r w:rsidRPr="00DE76B9">
        <w:rPr>
          <w:rStyle w:val="libFootnoteBoldChar"/>
          <w:rtl/>
        </w:rPr>
        <w:t>معجم رجال الحديث</w:t>
      </w:r>
      <w:r w:rsidRPr="00C7330B">
        <w:rPr>
          <w:rtl/>
        </w:rPr>
        <w:t xml:space="preserve"> ، ج 22 ، ص 294.</w:t>
      </w:r>
    </w:p>
    <w:p w:rsidR="00992664" w:rsidRPr="00020424" w:rsidRDefault="00992664" w:rsidP="00C7330B">
      <w:pPr>
        <w:pStyle w:val="libFootnote0"/>
        <w:rPr>
          <w:rtl/>
          <w:lang w:bidi="fa-IR"/>
        </w:rPr>
      </w:pPr>
      <w:r w:rsidRPr="00C7330B">
        <w:rPr>
          <w:rtl/>
        </w:rPr>
        <w:t xml:space="preserve">ويؤيّد ما أثبتناه ما تقدّم في </w:t>
      </w:r>
      <w:r w:rsidRPr="00DE76B9">
        <w:rPr>
          <w:rStyle w:val="libFootnoteBoldChar"/>
          <w:rtl/>
        </w:rPr>
        <w:t>الكافي</w:t>
      </w:r>
      <w:r w:rsidRPr="00C7330B">
        <w:rPr>
          <w:rtl/>
        </w:rPr>
        <w:t xml:space="preserve"> ، ح 4859 ؛ من نقل الخبر باختلاف يسير جدّاً عن عليّ بن إبراهيم ، عن أبيه ، عن ابن أبي عمير ، عن عليّ بن عطيّة.</w:t>
      </w:r>
    </w:p>
    <w:p w:rsidR="00992664" w:rsidRPr="00020424" w:rsidRDefault="00795177" w:rsidP="00C7330B">
      <w:pPr>
        <w:pStyle w:val="libFootnote0"/>
        <w:rPr>
          <w:rtl/>
          <w:lang w:bidi="fa-IR"/>
        </w:rPr>
      </w:pPr>
      <w:r>
        <w:rPr>
          <w:rtl/>
        </w:rPr>
        <w:t>(9).</w:t>
      </w:r>
      <w:r w:rsidR="0014403D">
        <w:rPr>
          <w:rtl/>
        </w:rPr>
        <w:t xml:space="preserve"> </w:t>
      </w:r>
      <w:r w:rsidR="00992664" w:rsidRPr="00020424">
        <w:rPr>
          <w:rtl/>
        </w:rPr>
        <w:t xml:space="preserve">في الكافي ، ح 4859 </w:t>
      </w:r>
      <w:r w:rsidR="00992664" w:rsidRPr="00515444">
        <w:rPr>
          <w:rStyle w:val="libFootnoteBoldChar"/>
          <w:rtl/>
        </w:rPr>
        <w:t>والتهذيب</w:t>
      </w:r>
      <w:r w:rsidR="00992664" w:rsidRPr="00020424">
        <w:rPr>
          <w:rtl/>
        </w:rPr>
        <w:t xml:space="preserve"> ، ح 118 </w:t>
      </w:r>
      <w:r w:rsidR="00992664" w:rsidRPr="00FD6221">
        <w:rPr>
          <w:rStyle w:val="libFootnoteBoldChar"/>
          <w:rtl/>
        </w:rPr>
        <w:t>والاستبصار</w:t>
      </w:r>
      <w:r w:rsidR="00992664" w:rsidRPr="00020424">
        <w:rPr>
          <w:rtl/>
        </w:rPr>
        <w:t xml:space="preserve"> ، ح 997 : « الصبح</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ح 997 : + « نهر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سُورى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C7330B" w:rsidRDefault="00992664" w:rsidP="00C7330B">
      <w:pPr>
        <w:pStyle w:val="libNormal"/>
        <w:rPr>
          <w:rtl/>
          <w:lang w:bidi="fa-IR"/>
        </w:rPr>
      </w:pPr>
      <w:r w:rsidRPr="0084153B">
        <w:rPr>
          <w:rtl/>
        </w:rPr>
        <w:t>6370</w:t>
      </w:r>
      <w:r w:rsidRPr="001155DE">
        <w:rPr>
          <w:rStyle w:val="libBold2Char"/>
          <w:rtl/>
        </w:rPr>
        <w:t xml:space="preserve"> / 3.</w:t>
      </w:r>
      <w:r w:rsidRPr="00020424">
        <w:rPr>
          <w:rtl/>
          <w:lang w:bidi="fa-IR"/>
        </w:rPr>
        <w:t xml:space="preserve"> عَلِيُّ بْنُ إِبْرَاهِيمَ ، عَنْ أَبِيهِ ؛</w:t>
      </w:r>
    </w:p>
    <w:p w:rsidR="00992664" w:rsidRPr="00020424" w:rsidRDefault="00B04396" w:rsidP="00C7330B">
      <w:pPr>
        <w:pStyle w:val="libNormal"/>
        <w:rPr>
          <w:rtl/>
          <w:lang w:bidi="fa-IR"/>
        </w:rPr>
      </w:pPr>
      <w:r>
        <w:rPr>
          <w:rFonts w:hint="cs"/>
          <w:rtl/>
          <w:lang w:bidi="fa-IR"/>
        </w:rPr>
        <w:t xml:space="preserve">            </w:t>
      </w:r>
      <w:r w:rsidR="00C7330B">
        <w:rPr>
          <w:rFonts w:hint="cs"/>
          <w:rtl/>
          <w:lang w:bidi="fa-IR"/>
        </w:rPr>
        <w:t xml:space="preserve"> </w:t>
      </w:r>
      <w:r w:rsidR="00992664" w:rsidRPr="00020424">
        <w:rPr>
          <w:rtl/>
          <w:lang w:bidi="fa-IR"/>
        </w:rPr>
        <w:t>وَمُحَمَّدُ بْنُ يَحْيى ، عَنْ أَحْمَدَ بْنِ مُحَمَّدٍ جَمِيعاً ، عَنِ ابْنِ أَبِي عُمَيْرٍ ، عَنْ حَمَّادٍ ، عَنِ الْحَلَبِيِّ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عَنِ</w:t>
      </w:r>
      <w:r w:rsidRPr="00707463">
        <w:rPr>
          <w:rStyle w:val="libAlaemChar"/>
          <w:rtl/>
        </w:rPr>
        <w:t>(</w:t>
      </w:r>
      <w:r w:rsidRPr="004E5AB4">
        <w:rPr>
          <w:rStyle w:val="libAieChar"/>
          <w:rtl/>
        </w:rPr>
        <w:t xml:space="preserve"> الْخَيْطُ الْأَبْيَضُ مِنَ الْخَيْطِ الْأَسْوَدِ </w:t>
      </w:r>
      <w:r w:rsidRPr="00005A81">
        <w:rPr>
          <w:rStyle w:val="libAlaemChar"/>
          <w:rtl/>
        </w:rPr>
        <w:t>)</w:t>
      </w:r>
      <w:r w:rsidRPr="00020424">
        <w:rPr>
          <w:rtl/>
          <w:lang w:bidi="fa-IR"/>
        </w:rPr>
        <w:t xml:space="preserve">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فَقَالَ : « بَيَاضُ النَّهَارِ مِنْ سَوَادِ اللَّيْلِ</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وَكَانَ </w:t>
      </w:r>
      <w:r w:rsidRPr="00A91B96">
        <w:rPr>
          <w:rStyle w:val="libFootnotenumChar"/>
          <w:rtl/>
        </w:rPr>
        <w:t>(5)</w:t>
      </w:r>
      <w:r w:rsidRPr="00020424">
        <w:rPr>
          <w:rtl/>
          <w:lang w:bidi="fa-IR"/>
        </w:rPr>
        <w:t xml:space="preserve"> بِلَالٌ يُؤَذِّنُ لِلنَّبِيِّ </w:t>
      </w:r>
      <w:r w:rsidR="00B42914" w:rsidRPr="00B42914">
        <w:rPr>
          <w:rStyle w:val="libAlaemChar"/>
          <w:rtl/>
        </w:rPr>
        <w:t>صلى‌الله‌عليه‌وآله‌</w:t>
      </w:r>
      <w:r w:rsidRPr="00020424">
        <w:rPr>
          <w:rtl/>
          <w:lang w:bidi="fa-IR"/>
        </w:rPr>
        <w:t xml:space="preserve"> وَابْنُ أُمِّ مَكْتُومٍ</w:t>
      </w:r>
      <w:r>
        <w:rPr>
          <w:rtl/>
          <w:lang w:bidi="fa-IR"/>
        </w:rPr>
        <w:t xml:space="preserve"> </w:t>
      </w:r>
      <w:r w:rsidR="009B673F">
        <w:rPr>
          <w:rtl/>
          <w:lang w:bidi="fa-IR"/>
        </w:rPr>
        <w:t>-</w:t>
      </w:r>
      <w:r>
        <w:rPr>
          <w:rtl/>
          <w:lang w:bidi="fa-IR"/>
        </w:rPr>
        <w:t xml:space="preserve"> </w:t>
      </w:r>
      <w:r w:rsidRPr="00020424">
        <w:rPr>
          <w:rtl/>
          <w:lang w:bidi="fa-IR"/>
        </w:rPr>
        <w:t>وَكَانَ أَعْمى</w:t>
      </w:r>
      <w:r>
        <w:rPr>
          <w:rtl/>
          <w:lang w:bidi="fa-IR"/>
        </w:rPr>
        <w:t xml:space="preserve"> </w:t>
      </w:r>
      <w:r w:rsidR="009B673F">
        <w:rPr>
          <w:rtl/>
          <w:lang w:bidi="fa-IR"/>
        </w:rPr>
        <w:t>-</w:t>
      </w:r>
      <w:r>
        <w:rPr>
          <w:rtl/>
          <w:lang w:bidi="fa-IR"/>
        </w:rPr>
        <w:t xml:space="preserve"> </w:t>
      </w:r>
      <w:r w:rsidRPr="00020424">
        <w:rPr>
          <w:rtl/>
          <w:lang w:bidi="fa-IR"/>
        </w:rPr>
        <w:t xml:space="preserve">يُؤَذِّنُ بِلَيْلٍ ، وَيُؤَذِّنُ بِلَالٌ </w:t>
      </w:r>
      <w:r w:rsidRPr="00A91B96">
        <w:rPr>
          <w:rStyle w:val="libFootnotenumChar"/>
          <w:rtl/>
        </w:rPr>
        <w:t>(6)</w:t>
      </w:r>
      <w:r w:rsidRPr="00020424">
        <w:rPr>
          <w:rtl/>
          <w:lang w:bidi="fa-IR"/>
        </w:rPr>
        <w:t xml:space="preserve"> حِينَ يَطْلُعُ الْفَجْرُ ، فَقَالَ النَّبِيُّ </w:t>
      </w:r>
      <w:r w:rsidR="00B42914" w:rsidRPr="00B42914">
        <w:rPr>
          <w:rStyle w:val="libAlaemChar"/>
          <w:rtl/>
        </w:rPr>
        <w:t>صلى‌الله‌عليه‌وآله‌</w:t>
      </w:r>
      <w:r w:rsidRPr="00020424">
        <w:rPr>
          <w:rtl/>
          <w:lang w:bidi="fa-IR"/>
        </w:rPr>
        <w:t xml:space="preserve"> : إِذَا سَمِعْتُمْ صَوْتَ بِلَالٍ ، فَدَعُوا الطَّعَامَ وَالشَّرَابَ ، فَقَدْ أَصْبَحْتُمْ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مرآة العقول </w:t>
      </w:r>
      <w:r w:rsidR="00992664" w:rsidRPr="00515444">
        <w:rPr>
          <w:rStyle w:val="libFootnoteBoldChar"/>
          <w:rtl/>
        </w:rPr>
        <w:t>والتهذيب</w:t>
      </w:r>
      <w:r w:rsidR="00992664" w:rsidRPr="00020424">
        <w:rPr>
          <w:rtl/>
        </w:rPr>
        <w:t xml:space="preserve"> ، ح 118 وج 4 </w:t>
      </w:r>
      <w:r w:rsidR="00992664" w:rsidRPr="00FD6221">
        <w:rPr>
          <w:rStyle w:val="libFootnoteBoldChar"/>
          <w:rtl/>
        </w:rPr>
        <w:t>والاستبصار</w:t>
      </w:r>
      <w:r w:rsidR="00992664" w:rsidRPr="00020424">
        <w:rPr>
          <w:rtl/>
        </w:rPr>
        <w:t xml:space="preserve"> ، ح 997 : « سوراء</w:t>
      </w:r>
      <w:r w:rsidR="00992664">
        <w:rPr>
          <w:rtl/>
        </w:rPr>
        <w:t xml:space="preserve"> ».</w:t>
      </w:r>
      <w:r w:rsidR="00992664" w:rsidRPr="00020424">
        <w:rPr>
          <w:rtl/>
        </w:rPr>
        <w:t xml:space="preserve"> </w:t>
      </w:r>
      <w:r w:rsidR="00992664">
        <w:rPr>
          <w:rtl/>
        </w:rPr>
        <w:t>و «</w:t>
      </w:r>
      <w:r w:rsidR="00992664" w:rsidRPr="00020424">
        <w:rPr>
          <w:rtl/>
        </w:rPr>
        <w:t xml:space="preserve"> سورى » ، مثال بشرى : موضع بالعراق من أرض بابل ، وهو بلد السريانيّين ، والمراد ببياضها نهرها ، كما ورد في غيره من ا</w:t>
      </w:r>
      <w:r w:rsidR="00707463">
        <w:rPr>
          <w:rtl/>
        </w:rPr>
        <w:t>لأخبار ، وهو الفرات. وقال العل</w:t>
      </w:r>
      <w:r w:rsidR="00707463">
        <w:rPr>
          <w:rFonts w:hint="cs"/>
          <w:rtl/>
        </w:rPr>
        <w:t>ّ</w:t>
      </w:r>
      <w:r w:rsidR="00707463">
        <w:rPr>
          <w:rtl/>
        </w:rPr>
        <w:t>ا</w:t>
      </w:r>
      <w:r w:rsidR="00992664" w:rsidRPr="00020424">
        <w:rPr>
          <w:rtl/>
        </w:rPr>
        <w:t xml:space="preserve">مة المجلسي : « ويروى عن الشيخ البهائي </w:t>
      </w:r>
      <w:r w:rsidR="00D64ADA" w:rsidRPr="00D64ADA">
        <w:rPr>
          <w:rStyle w:val="libFootnoteAlaemChar"/>
          <w:rtl/>
        </w:rPr>
        <w:t>رحمه‌الله</w:t>
      </w:r>
      <w:r w:rsidR="00992664" w:rsidRPr="00020424">
        <w:rPr>
          <w:rtl/>
        </w:rPr>
        <w:t xml:space="preserve"> : نباض ، بالنون ، ثمّ الباء الموحّدة ، من قولهم : نبض الماء نبوضاً : إذا سال. ولا يخفى غرابته من مثله ، لكنّ الجواد قد يكبو والصارم قد ينبو</w:t>
      </w:r>
      <w:r w:rsidR="00992664">
        <w:rPr>
          <w:rtl/>
        </w:rPr>
        <w:t xml:space="preserve"> ».</w:t>
      </w:r>
      <w:r w:rsidR="00707463">
        <w:rPr>
          <w:rtl/>
        </w:rPr>
        <w:t xml:space="preserve"> أقول : قرأه العل</w:t>
      </w:r>
      <w:r w:rsidR="00707463">
        <w:rPr>
          <w:rFonts w:hint="cs"/>
          <w:rtl/>
        </w:rPr>
        <w:t>ّ</w:t>
      </w:r>
      <w:r w:rsidR="00707463">
        <w:rPr>
          <w:rtl/>
        </w:rPr>
        <w:t>ا</w:t>
      </w:r>
      <w:r w:rsidR="00992664" w:rsidRPr="00020424">
        <w:rPr>
          <w:rtl/>
        </w:rPr>
        <w:t xml:space="preserve">مة الفيض وفسّره كما قرأه الشيخ البهائي وفسّره. راجع : </w:t>
      </w:r>
      <w:r w:rsidR="00992664" w:rsidRPr="0012008A">
        <w:rPr>
          <w:rStyle w:val="libFootnoteBoldChar"/>
          <w:rtl/>
        </w:rPr>
        <w:t>الصحاح</w:t>
      </w:r>
      <w:r w:rsidR="00992664" w:rsidRPr="00020424">
        <w:rPr>
          <w:rtl/>
        </w:rPr>
        <w:t xml:space="preserve"> ، ج 2 ، ص 690 ؛ </w:t>
      </w:r>
      <w:r w:rsidR="00992664" w:rsidRPr="00A722B1">
        <w:rPr>
          <w:rStyle w:val="libFootnoteBoldChar"/>
          <w:rtl/>
        </w:rPr>
        <w:t>لسان العرب</w:t>
      </w:r>
      <w:r w:rsidR="00992664" w:rsidRPr="00020424">
        <w:rPr>
          <w:rtl/>
        </w:rPr>
        <w:t xml:space="preserve"> ، ج 4 ، ص 389 ( سور )</w:t>
      </w:r>
      <w:r w:rsidR="00992664">
        <w:rPr>
          <w:rtl/>
        </w:rPr>
        <w:t>.</w:t>
      </w:r>
      <w:r w:rsidR="00992664" w:rsidRPr="00020424">
        <w:rPr>
          <w:rtl/>
        </w:rPr>
        <w:t xml:space="preserve"> وللمزيد في تحقيق المقام راجع : </w:t>
      </w:r>
      <w:r w:rsidR="00992664" w:rsidRPr="00DE76B9">
        <w:rPr>
          <w:rStyle w:val="libFootnoteBoldChar"/>
          <w:rtl/>
        </w:rPr>
        <w:t>الحبل المتين</w:t>
      </w:r>
      <w:r w:rsidR="00992664" w:rsidRPr="00020424">
        <w:rPr>
          <w:rtl/>
        </w:rPr>
        <w:t xml:space="preserve"> ، ص 144</w:t>
      </w:r>
      <w:r w:rsidR="00992664">
        <w:rPr>
          <w:rtl/>
        </w:rPr>
        <w:t xml:space="preserve"> </w:t>
      </w:r>
      <w:r w:rsidR="009B673F">
        <w:rPr>
          <w:rtl/>
        </w:rPr>
        <w:t>-</w:t>
      </w:r>
      <w:r w:rsidR="00992664">
        <w:rPr>
          <w:rtl/>
        </w:rPr>
        <w:t xml:space="preserve"> </w:t>
      </w:r>
      <w:r w:rsidR="00992664" w:rsidRPr="00020424">
        <w:rPr>
          <w:rtl/>
        </w:rPr>
        <w:t>146.</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الكافي</w:t>
      </w:r>
      <w:r w:rsidR="00992664" w:rsidRPr="00020424">
        <w:rPr>
          <w:rtl/>
        </w:rPr>
        <w:t xml:space="preserve"> ، كتاب الصلاة ، باب وقت الفجر ، ح 4859. وفي </w:t>
      </w:r>
      <w:r w:rsidR="00992664" w:rsidRPr="0012008A">
        <w:rPr>
          <w:rStyle w:val="libFootnoteBoldChar"/>
          <w:rtl/>
        </w:rPr>
        <w:t>التهذيب</w:t>
      </w:r>
      <w:r w:rsidR="00992664" w:rsidRPr="00020424">
        <w:rPr>
          <w:rtl/>
        </w:rPr>
        <w:t xml:space="preserve"> ، ج 4 ، ص 185 ، ح 515 ، معلّقاً عن الكليني. </w:t>
      </w:r>
      <w:r w:rsidR="00992664" w:rsidRPr="00DE76B9">
        <w:rPr>
          <w:rStyle w:val="libFootnoteBoldChar"/>
          <w:rtl/>
        </w:rPr>
        <w:t>وفيه</w:t>
      </w:r>
      <w:r w:rsidR="00992664" w:rsidRPr="00020424">
        <w:rPr>
          <w:rtl/>
        </w:rPr>
        <w:t xml:space="preserve"> ، ج 2 ، ص 37 ، ح 118 ؛ </w:t>
      </w:r>
      <w:r w:rsidR="00992664" w:rsidRPr="00FD6221">
        <w:rPr>
          <w:rStyle w:val="libFootnoteBoldChar"/>
          <w:rtl/>
        </w:rPr>
        <w:t>والاستبصار</w:t>
      </w:r>
      <w:r w:rsidR="00992664" w:rsidRPr="00020424">
        <w:rPr>
          <w:rtl/>
        </w:rPr>
        <w:t xml:space="preserve"> ، ج 1 ، ص 275 ، ح 997 ، معلّقاً عن عليّ بن إبراهيم ، عن أبيه ، عن ابن أبي عمير ، عن عليّ بن عطيّة. </w:t>
      </w:r>
      <w:r w:rsidR="00992664" w:rsidRPr="0012008A">
        <w:rPr>
          <w:rStyle w:val="libFootnoteBoldChar"/>
          <w:rtl/>
        </w:rPr>
        <w:t>الفقيه</w:t>
      </w:r>
      <w:r w:rsidR="00992664" w:rsidRPr="00020424">
        <w:rPr>
          <w:rtl/>
        </w:rPr>
        <w:t xml:space="preserve"> ، ج 1 ، ص 500 ، ح 1436 ، معلّقاً عن عليّ بن عطيّة. وفي </w:t>
      </w:r>
      <w:r w:rsidR="00992664" w:rsidRPr="0012008A">
        <w:rPr>
          <w:rStyle w:val="libFootnoteBoldChar"/>
          <w:rtl/>
        </w:rPr>
        <w:t>التهذيب</w:t>
      </w:r>
      <w:r w:rsidR="00992664" w:rsidRPr="00020424">
        <w:rPr>
          <w:rtl/>
        </w:rPr>
        <w:t xml:space="preserve"> ، ج 2 ، ص 37 ، ح 117 ؛ </w:t>
      </w:r>
      <w:r w:rsidR="00992664" w:rsidRPr="00FD6221">
        <w:rPr>
          <w:rStyle w:val="libFootnoteBoldChar"/>
          <w:rtl/>
        </w:rPr>
        <w:t>والاستبصار</w:t>
      </w:r>
      <w:r w:rsidR="00992664" w:rsidRPr="00020424">
        <w:rPr>
          <w:rtl/>
        </w:rPr>
        <w:t xml:space="preserve"> ، ج 1 ، ص 275 ، ح 996 ، بسند آخر عن أبي الحسن الماضي </w:t>
      </w:r>
      <w:r w:rsidR="00992664" w:rsidRPr="00D64ADA">
        <w:rPr>
          <w:rStyle w:val="libFootnoteAlaemChar"/>
          <w:rtl/>
        </w:rPr>
        <w:t>عليه‌السلام</w:t>
      </w:r>
      <w:r w:rsidR="00992664" w:rsidRPr="00020424">
        <w:rPr>
          <w:rtl/>
        </w:rPr>
        <w:t xml:space="preserve"> ، مع اختلاف يسير </w:t>
      </w:r>
      <w:r w:rsidR="00BF6457">
        <w:rPr>
          <w:rFonts w:hint="cs"/>
          <w:rtl/>
        </w:rPr>
        <w:t>.</w:t>
      </w:r>
      <w:r w:rsidR="00992664" w:rsidRPr="0012008A">
        <w:rPr>
          <w:rStyle w:val="libFootnoteBoldChar"/>
          <w:rtl/>
        </w:rPr>
        <w:t>الوافي</w:t>
      </w:r>
      <w:r w:rsidR="00992664" w:rsidRPr="00020424">
        <w:rPr>
          <w:rtl/>
        </w:rPr>
        <w:t xml:space="preserve"> ، ج 11 ، ص 229 ، ح 10746 ؛ </w:t>
      </w:r>
      <w:r w:rsidR="00992664" w:rsidRPr="0012008A">
        <w:rPr>
          <w:rStyle w:val="libFootnoteBoldChar"/>
          <w:rtl/>
        </w:rPr>
        <w:t>الوسائل</w:t>
      </w:r>
      <w:r w:rsidR="00992664" w:rsidRPr="00020424">
        <w:rPr>
          <w:rtl/>
        </w:rPr>
        <w:t xml:space="preserve"> ، ج 4 ، ص 210 ، ح 4942.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جر » </w:t>
      </w:r>
      <w:r w:rsidR="00992664" w:rsidRPr="00515444">
        <w:rPr>
          <w:rStyle w:val="libFootnoteBoldChar"/>
          <w:rtl/>
        </w:rPr>
        <w:t>والتهذيب</w:t>
      </w:r>
      <w:r w:rsidR="00992664" w:rsidRPr="00020424">
        <w:rPr>
          <w:rtl/>
        </w:rPr>
        <w:t xml:space="preserve"> : « عن أبي عبد الله </w:t>
      </w:r>
      <w:r w:rsidR="00992664" w:rsidRPr="00D64ADA">
        <w:rPr>
          <w:rStyle w:val="libFootnoteAlaemChar"/>
          <w:rtl/>
        </w:rPr>
        <w:t>عليه‌السلام</w:t>
      </w:r>
      <w:r w:rsidR="00992664" w:rsidRPr="00020424">
        <w:rPr>
          <w:rtl/>
        </w:rPr>
        <w:t xml:space="preserve"> قال : سألته » بدل « قال : سألت أبا عبد الله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البقرة </w:t>
      </w:r>
      <w:r w:rsidR="00BF6457">
        <w:rPr>
          <w:rtl/>
        </w:rPr>
        <w:t>(2)</w:t>
      </w:r>
      <w:r w:rsidR="0014403D">
        <w:rPr>
          <w:rtl/>
        </w:rPr>
        <w:t xml:space="preserve"> </w:t>
      </w:r>
      <w:r w:rsidR="00992664" w:rsidRPr="00020424">
        <w:rPr>
          <w:rtl/>
        </w:rPr>
        <w:t xml:space="preserve">: 187. وفي </w:t>
      </w:r>
      <w:r w:rsidR="00992664" w:rsidRPr="0012008A">
        <w:rPr>
          <w:rStyle w:val="libFootnoteBoldChar"/>
          <w:rtl/>
        </w:rPr>
        <w:t>الوافي</w:t>
      </w:r>
      <w:r w:rsidR="00992664" w:rsidRPr="00020424">
        <w:rPr>
          <w:rtl/>
        </w:rPr>
        <w:t xml:space="preserve"> : + </w:t>
      </w:r>
      <w:r w:rsidR="00992664" w:rsidRPr="008610B4">
        <w:rPr>
          <w:rStyle w:val="libFootnoteAlaemChar"/>
          <w:rtl/>
        </w:rPr>
        <w:t>(</w:t>
      </w:r>
      <w:r w:rsidR="00992664" w:rsidRPr="006B2AC6">
        <w:rPr>
          <w:rStyle w:val="libFootnoteAieChar"/>
          <w:rtl/>
        </w:rPr>
        <w:t xml:space="preserve"> مِنَ الْفَجْرِ </w:t>
      </w:r>
      <w:r w:rsidR="00992664" w:rsidRPr="008610B4">
        <w:rPr>
          <w:rStyle w:val="libFootnoteAlaemChar"/>
          <w:rtl/>
        </w:rPr>
        <w:t>)</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w:t>
      </w:r>
      <w:r w:rsidR="00992664" w:rsidRPr="00EB1FD9">
        <w:rPr>
          <w:rStyle w:val="libFootnoteBoldChar"/>
          <w:rtl/>
        </w:rPr>
        <w:t>والوسائل</w:t>
      </w:r>
      <w:r w:rsidR="00992664" w:rsidRPr="00020424">
        <w:rPr>
          <w:rtl/>
        </w:rPr>
        <w:t xml:space="preserve"> ، ح 6879 : « كان » بدون الواو.</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وابن ا</w:t>
      </w:r>
      <w:r w:rsidR="008610B4">
        <w:rPr>
          <w:rFonts w:hint="cs"/>
          <w:rtl/>
        </w:rPr>
        <w:t>ُ</w:t>
      </w:r>
      <w:r w:rsidR="00992664" w:rsidRPr="00020424">
        <w:rPr>
          <w:rtl/>
        </w:rPr>
        <w:t>مّ مكتوم</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ويؤذّن بلال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184 ، ح 513 ، معلّقاً عن الكليني. </w:t>
      </w:r>
      <w:r w:rsidR="00992664" w:rsidRPr="00DE76B9">
        <w:rPr>
          <w:rStyle w:val="libFootnoteBoldChar"/>
          <w:rtl/>
        </w:rPr>
        <w:t>تفسير العيّاشي</w:t>
      </w:r>
      <w:r w:rsidR="00992664" w:rsidRPr="00020424">
        <w:rPr>
          <w:rtl/>
        </w:rPr>
        <w:t xml:space="preserve"> ، ج 1 ، ص 84 ، ح 203 ، عن عبيدالله </w:t>
      </w:r>
      <w:r w:rsidR="008610B4">
        <w:rPr>
          <w:rFonts w:hint="cs"/>
          <w:rtl/>
        </w:rPr>
        <w:t>=</w:t>
      </w:r>
    </w:p>
    <w:p w:rsidR="00795177" w:rsidRDefault="00795177" w:rsidP="00795177">
      <w:pPr>
        <w:pStyle w:val="libNormal"/>
        <w:rPr>
          <w:rtl/>
          <w:lang w:bidi="fa-IR"/>
        </w:rPr>
      </w:pPr>
      <w:r>
        <w:rPr>
          <w:rtl/>
          <w:lang w:bidi="fa-IR"/>
        </w:rPr>
        <w:br w:type="page"/>
      </w:r>
    </w:p>
    <w:p w:rsidR="00F5085D" w:rsidRDefault="00992664" w:rsidP="00F5085D">
      <w:pPr>
        <w:pStyle w:val="libNormal"/>
        <w:rPr>
          <w:rtl/>
          <w:lang w:bidi="fa-IR"/>
        </w:rPr>
      </w:pPr>
      <w:r w:rsidRPr="0084292F">
        <w:rPr>
          <w:rtl/>
        </w:rPr>
        <w:t>6371</w:t>
      </w:r>
      <w:r w:rsidRPr="001155DE">
        <w:rPr>
          <w:rStyle w:val="libBold2Char"/>
          <w:rtl/>
        </w:rPr>
        <w:t xml:space="preserve"> / 4.</w:t>
      </w:r>
      <w:r w:rsidRPr="00020424">
        <w:rPr>
          <w:rtl/>
          <w:lang w:bidi="fa-IR"/>
        </w:rPr>
        <w:t xml:space="preserve"> مُحَمَّدُ بْنُ إِسْمَاعِيلَ ، عَنِ الْفَضْلِ بْنِ شَاذَانَ ؛</w:t>
      </w:r>
    </w:p>
    <w:p w:rsidR="00992664" w:rsidRPr="00020424" w:rsidRDefault="00F5085D" w:rsidP="00F5085D">
      <w:pPr>
        <w:pStyle w:val="libNormal"/>
        <w:rPr>
          <w:rtl/>
          <w:lang w:bidi="fa-IR"/>
        </w:rPr>
      </w:pPr>
      <w:r>
        <w:rPr>
          <w:rFonts w:hint="cs"/>
          <w:rtl/>
          <w:lang w:bidi="fa-IR"/>
        </w:rPr>
        <w:t xml:space="preserve">              </w:t>
      </w:r>
      <w:r w:rsidR="00992664" w:rsidRPr="00020424">
        <w:rPr>
          <w:rtl/>
          <w:lang w:bidi="fa-IR"/>
        </w:rPr>
        <w:t>وَ</w:t>
      </w:r>
      <w:r>
        <w:rPr>
          <w:rFonts w:hint="cs"/>
          <w:rtl/>
          <w:lang w:bidi="fa-IR"/>
        </w:rPr>
        <w:t xml:space="preserve"> </w:t>
      </w:r>
      <w:r w:rsidR="00992664" w:rsidRPr="00020424">
        <w:rPr>
          <w:rtl/>
          <w:lang w:bidi="fa-IR"/>
        </w:rPr>
        <w:t xml:space="preserve">أَحْمَدُ بْنُ إِدْرِيسَ ، عَنْ مُحَمَّدِ بْنِ عَبْدِ الْجَبَّارِ جَمِيعاً ، عَنْ صَفْوَانَ بْنِ يَحْيى </w:t>
      </w:r>
      <w:r w:rsidR="00992664" w:rsidRPr="00A91B96">
        <w:rPr>
          <w:rStyle w:val="libFootnotenumChar"/>
          <w:rtl/>
        </w:rPr>
        <w:t>(1)</w:t>
      </w:r>
      <w:r w:rsidR="00992664" w:rsidRPr="00020424">
        <w:rPr>
          <w:rtl/>
          <w:lang w:bidi="fa-IR"/>
        </w:rPr>
        <w:t xml:space="preserve"> ، عَنِ ابْنِ مُسْكَانَ ، عَنْ أَبِي بَصِيرٍ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فِي قَوْلِ اللهِ عَزَّوَجَلَّ : </w:t>
      </w:r>
      <w:r w:rsidRPr="00005A81">
        <w:rPr>
          <w:rStyle w:val="libAlaemChar"/>
          <w:rtl/>
        </w:rPr>
        <w:t>(</w:t>
      </w:r>
      <w:r w:rsidRPr="004E5AB4">
        <w:rPr>
          <w:rStyle w:val="libAieChar"/>
          <w:rtl/>
        </w:rPr>
        <w:t xml:space="preserve"> أُحِلَّ لَكُمْ لَيْلَةَ الصِّيامِ الرَّفَثُ إِلى نِسائِكُمْ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الْآيَةَ ، فَقَالَ : « نَزَلَتْ </w:t>
      </w:r>
      <w:r w:rsidRPr="00A91B96">
        <w:rPr>
          <w:rStyle w:val="libFootnotenumChar"/>
          <w:rtl/>
        </w:rPr>
        <w:t>(3)</w:t>
      </w:r>
      <w:r w:rsidRPr="00020424">
        <w:rPr>
          <w:rtl/>
          <w:lang w:bidi="fa-IR"/>
        </w:rPr>
        <w:t xml:space="preserve"> فِي خَوَّاتِ بْنِ </w:t>
      </w:r>
      <w:r w:rsidRPr="00A91B96">
        <w:rPr>
          <w:rStyle w:val="libFootnotenumChar"/>
          <w:rtl/>
        </w:rPr>
        <w:t>(4)</w:t>
      </w:r>
      <w:r w:rsidRPr="00020424">
        <w:rPr>
          <w:rtl/>
          <w:lang w:bidi="fa-IR"/>
        </w:rPr>
        <w:t xml:space="preserve"> جُبَيْرٍ </w:t>
      </w:r>
      <w:r w:rsidRPr="00A91B96">
        <w:rPr>
          <w:rStyle w:val="libFootnotenumChar"/>
          <w:rtl/>
        </w:rPr>
        <w:t>(5)</w:t>
      </w:r>
      <w:r w:rsidRPr="00020424">
        <w:rPr>
          <w:rtl/>
          <w:lang w:bidi="fa-IR"/>
        </w:rPr>
        <w:t xml:space="preserve"> الْأَنْصَارِيِّ ، وَكَانَ مَعَ النَّبِيِّ </w:t>
      </w:r>
      <w:r w:rsidR="00B42914" w:rsidRPr="00B42914">
        <w:rPr>
          <w:rStyle w:val="libAlaemChar"/>
          <w:rtl/>
        </w:rPr>
        <w:t>صلى‌الله‌عليه‌وآله‌</w:t>
      </w:r>
      <w:r w:rsidRPr="00020424">
        <w:rPr>
          <w:rtl/>
          <w:lang w:bidi="fa-IR"/>
        </w:rPr>
        <w:t xml:space="preserve"> فِي الْخَنْدَقِ وَهُوَ صَائِمٌ ، فَأَمْسى وَهُوَ </w:t>
      </w:r>
      <w:r w:rsidRPr="00A91B96">
        <w:rPr>
          <w:rStyle w:val="libFootnotenumChar"/>
          <w:rtl/>
        </w:rPr>
        <w:t>(6)</w:t>
      </w:r>
      <w:r w:rsidRPr="00020424">
        <w:rPr>
          <w:rtl/>
          <w:lang w:bidi="fa-IR"/>
        </w:rPr>
        <w:t xml:space="preserve"> عَلى تِلْكَ الْحَالِ ، وَكَانُوا </w:t>
      </w:r>
      <w:r w:rsidRPr="00A91B96">
        <w:rPr>
          <w:rStyle w:val="libFootnotenumChar"/>
          <w:rtl/>
        </w:rPr>
        <w:t>(7)</w:t>
      </w:r>
      <w:r w:rsidRPr="00020424">
        <w:rPr>
          <w:rtl/>
          <w:lang w:bidi="fa-IR"/>
        </w:rPr>
        <w:t xml:space="preserve"> قَبْلَ أَنْ تَنْزِلَ هذِهِ الْآيَةُ إِذَا نَامَ أَحَدُهُمْ حُرِّمَ عَلَيْهِ الطَّعَامُ وَالشَّرَابُ </w:t>
      </w:r>
      <w:r w:rsidRPr="00A91B96">
        <w:rPr>
          <w:rStyle w:val="libFootnotenumChar"/>
          <w:rtl/>
        </w:rPr>
        <w:t>(8)</w:t>
      </w:r>
      <w:r w:rsidRPr="00020424">
        <w:rPr>
          <w:rtl/>
          <w:lang w:bidi="fa-IR"/>
        </w:rPr>
        <w:t xml:space="preserve"> ، فَجَاءَ خَوَّاتٌ إِلى أَهْلِهِ حِينَ أَمْسى ، فَقَالَ : هَلْ عِنْدَكُمْ طَعَامٌ</w:t>
      </w:r>
      <w:r>
        <w:rPr>
          <w:rtl/>
          <w:lang w:bidi="fa-IR"/>
        </w:rPr>
        <w:t>؟</w:t>
      </w:r>
      <w:r w:rsidRPr="00020424">
        <w:rPr>
          <w:rtl/>
          <w:lang w:bidi="fa-IR"/>
        </w:rPr>
        <w:t xml:space="preserve"> فَقَالُوا : </w:t>
      </w:r>
      <w:r w:rsidRPr="00A91B96">
        <w:rPr>
          <w:rStyle w:val="libFootnotenumChar"/>
          <w:rtl/>
        </w:rPr>
        <w:t>(9)</w:t>
      </w:r>
      <w:r w:rsidRPr="00020424">
        <w:rPr>
          <w:rtl/>
          <w:lang w:bidi="fa-IR"/>
        </w:rPr>
        <w:t xml:space="preserve"> لَاتَنَمْ </w:t>
      </w:r>
      <w:r w:rsidRPr="00A91B96">
        <w:rPr>
          <w:rStyle w:val="libFootnotenumChar"/>
          <w:rtl/>
        </w:rPr>
        <w:t>(10)</w:t>
      </w:r>
      <w:r w:rsidRPr="00020424">
        <w:rPr>
          <w:rtl/>
          <w:lang w:bidi="fa-IR"/>
        </w:rPr>
        <w:t xml:space="preserve"> حَتّى نُصْلِحَ </w:t>
      </w:r>
      <w:r w:rsidRPr="00A91B96">
        <w:rPr>
          <w:rStyle w:val="libFootnotenumChar"/>
          <w:rtl/>
        </w:rPr>
        <w:t>(11)</w:t>
      </w:r>
      <w:r w:rsidRPr="00020424">
        <w:rPr>
          <w:rtl/>
          <w:lang w:bidi="fa-IR"/>
        </w:rPr>
        <w:t xml:space="preserve"> لَكَ طَعَاماً ، فَاتَّكَأَ ، فَنَامَ ، فَقَالُوا لَهُ : قَدْ فَعَلْتَ </w:t>
      </w:r>
      <w:r w:rsidRPr="00A91B96">
        <w:rPr>
          <w:rStyle w:val="libFootnotenumChar"/>
          <w:rtl/>
        </w:rPr>
        <w:t>(12)</w:t>
      </w:r>
      <w:r>
        <w:rPr>
          <w:rtl/>
          <w:lang w:bidi="fa-IR"/>
        </w:rPr>
        <w:t>؟</w:t>
      </w:r>
      <w:r w:rsidRPr="00020424">
        <w:rPr>
          <w:rtl/>
          <w:lang w:bidi="fa-IR"/>
        </w:rPr>
        <w:t xml:space="preserve"> قَالَ </w:t>
      </w:r>
      <w:r w:rsidRPr="00A91B96">
        <w:rPr>
          <w:rStyle w:val="libFootnotenumChar"/>
          <w:rtl/>
        </w:rPr>
        <w:t>(13)</w:t>
      </w:r>
      <w:r w:rsidRPr="00020424">
        <w:rPr>
          <w:rtl/>
          <w:lang w:bidi="fa-IR"/>
        </w:rPr>
        <w:t xml:space="preserve"> : نَعَمْ ، فَبَاتَ عَلى تِلْكَ الْحَالِ ، فَأَصْبَحَ </w:t>
      </w:r>
      <w:r w:rsidRPr="00A91B96">
        <w:rPr>
          <w:rStyle w:val="libFootnotenumChar"/>
          <w:rtl/>
        </w:rPr>
        <w:t>(14)</w:t>
      </w:r>
      <w:r w:rsidRPr="00020424">
        <w:rPr>
          <w:rtl/>
          <w:lang w:bidi="fa-IR"/>
        </w:rPr>
        <w:t xml:space="preserve"> ، ثُمَّ غَدَا إِلَى الْخَنْدَقِ ، فَجَعَلَ يُغْشى عَلَيْهِ ، فَمَرَّ بِهِ </w:t>
      </w:r>
      <w:r w:rsidRPr="00A91B96">
        <w:rPr>
          <w:rStyle w:val="libFootnotenumChar"/>
          <w:rtl/>
        </w:rPr>
        <w:t>(15)</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 فَلَمَّا رَأَى الَّذِي بِهِ ، أَخْبَرَهُ كَيْفَ كَانَ أَمْرُهُ ، فَأَنْزَلَ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فِيهِ الْآيَةَ : </w:t>
      </w:r>
      <w:r w:rsidRPr="00005A81">
        <w:rPr>
          <w:rStyle w:val="libAlaemChar"/>
          <w:rtl/>
        </w:rPr>
        <w:t>(</w:t>
      </w:r>
      <w:r w:rsidRPr="004E5AB4">
        <w:rPr>
          <w:rStyle w:val="libAieChar"/>
          <w:rtl/>
        </w:rPr>
        <w:t xml:space="preserve"> وَكُلُوا وَاشْرَبُوا حَتّى يَتَبَيَّنَ لَكُمُ الْخَيْطُ الْأَبْيَضُ مِنَ الْخَيْطِ </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F5085D" w:rsidP="00992664">
      <w:pPr>
        <w:pStyle w:val="libFootnote0"/>
        <w:rPr>
          <w:rtl/>
          <w:lang w:bidi="fa-IR"/>
        </w:rPr>
      </w:pPr>
      <w:r>
        <w:rPr>
          <w:rFonts w:hint="cs"/>
          <w:rtl/>
        </w:rPr>
        <w:t xml:space="preserve">= </w:t>
      </w:r>
      <w:r w:rsidR="00992664" w:rsidRPr="00020424">
        <w:rPr>
          <w:rtl/>
        </w:rPr>
        <w:t xml:space="preserve">الحلبي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131 ، ح 1936 ، مرسلاً ، وفي الأخيرين إلى قوله : « بياض النهار من سواد الليل » </w:t>
      </w:r>
      <w:r w:rsidR="00AC2B8E">
        <w:rPr>
          <w:rFonts w:hint="cs"/>
          <w:rtl/>
        </w:rPr>
        <w:t>.</w:t>
      </w:r>
      <w:r w:rsidR="00992664" w:rsidRPr="0012008A">
        <w:rPr>
          <w:rStyle w:val="libFootnoteBoldChar"/>
          <w:rtl/>
        </w:rPr>
        <w:t>الوافي</w:t>
      </w:r>
      <w:r w:rsidR="00992664" w:rsidRPr="00020424">
        <w:rPr>
          <w:rtl/>
        </w:rPr>
        <w:t xml:space="preserve"> ، ج 11 ، ص 228 ، ح 10742 ؛ </w:t>
      </w:r>
      <w:r w:rsidR="00992664" w:rsidRPr="0012008A">
        <w:rPr>
          <w:rStyle w:val="libFootnoteBoldChar"/>
          <w:rtl/>
        </w:rPr>
        <w:t>الوسائل</w:t>
      </w:r>
      <w:r w:rsidR="00992664" w:rsidRPr="00020424">
        <w:rPr>
          <w:rtl/>
        </w:rPr>
        <w:t xml:space="preserve"> ، ج 10 ، ص 111 ، ح 12987 ؛ </w:t>
      </w:r>
      <w:r w:rsidR="00992664" w:rsidRPr="00DE76B9">
        <w:rPr>
          <w:rStyle w:val="libFootnoteBoldChar"/>
          <w:rtl/>
        </w:rPr>
        <w:t>وفيه</w:t>
      </w:r>
      <w:r w:rsidR="00992664" w:rsidRPr="00020424">
        <w:rPr>
          <w:rtl/>
        </w:rPr>
        <w:t xml:space="preserve"> ، ج 5 ، ص 389 ، ح 6879 ، من قوله : « قال : وكان بلال يؤذّن » إلى قوله : « حين يطلع الفجر » ؛ </w:t>
      </w:r>
      <w:r w:rsidR="00992664" w:rsidRPr="0012008A">
        <w:rPr>
          <w:rStyle w:val="libFootnoteBoldChar"/>
          <w:rtl/>
        </w:rPr>
        <w:t>البحار</w:t>
      </w:r>
      <w:r w:rsidR="00992664" w:rsidRPr="00020424">
        <w:rPr>
          <w:rtl/>
        </w:rPr>
        <w:t xml:space="preserve"> ، ج 22 ، ص 265 ، ح 7 ؛ وج 83 ، ص 111 ، ح 13 ، إلى قوله : « حين يطلع الفجر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C2B8E" w:rsidTr="00AC2B8E">
        <w:tc>
          <w:tcPr>
            <w:tcW w:w="4006" w:type="dxa"/>
          </w:tcPr>
          <w:p w:rsidR="00AC2B8E" w:rsidRDefault="00AC2B8E"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بن يحيى</w:t>
            </w:r>
            <w:r>
              <w:rPr>
                <w:rtl/>
              </w:rPr>
              <w:t xml:space="preserve"> ».</w:t>
            </w:r>
          </w:p>
        </w:tc>
        <w:tc>
          <w:tcPr>
            <w:tcW w:w="4006" w:type="dxa"/>
          </w:tcPr>
          <w:p w:rsidR="00AC2B8E" w:rsidRDefault="00AC2B8E" w:rsidP="00992664">
            <w:pPr>
              <w:pStyle w:val="libFootnote0"/>
              <w:rPr>
                <w:rtl/>
              </w:rPr>
            </w:pPr>
            <w:r>
              <w:rPr>
                <w:rtl/>
              </w:rPr>
              <w:t xml:space="preserve">(2). </w:t>
            </w:r>
            <w:r w:rsidRPr="00020424">
              <w:rPr>
                <w:rtl/>
              </w:rPr>
              <w:t xml:space="preserve">البقرة </w:t>
            </w:r>
            <w:r>
              <w:rPr>
                <w:rtl/>
              </w:rPr>
              <w:t xml:space="preserve">(2) </w:t>
            </w:r>
            <w:r w:rsidRPr="00020424">
              <w:rPr>
                <w:rtl/>
              </w:rPr>
              <w:t>: 187.</w:t>
            </w:r>
          </w:p>
        </w:tc>
      </w:tr>
      <w:tr w:rsidR="00AC2B8E" w:rsidTr="00AC2B8E">
        <w:tc>
          <w:tcPr>
            <w:tcW w:w="4006" w:type="dxa"/>
          </w:tcPr>
          <w:p w:rsidR="00AC2B8E" w:rsidRDefault="00AC2B8E"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 « ا</w:t>
            </w:r>
            <w:r>
              <w:rPr>
                <w:rFonts w:hint="cs"/>
                <w:rtl/>
              </w:rPr>
              <w:t>ُ</w:t>
            </w:r>
            <w:r w:rsidRPr="00020424">
              <w:rPr>
                <w:rtl/>
              </w:rPr>
              <w:t>نزلت</w:t>
            </w:r>
            <w:r>
              <w:rPr>
                <w:rtl/>
              </w:rPr>
              <w:t xml:space="preserve"> ».</w:t>
            </w:r>
          </w:p>
        </w:tc>
        <w:tc>
          <w:tcPr>
            <w:tcW w:w="4006" w:type="dxa"/>
          </w:tcPr>
          <w:p w:rsidR="00AC2B8E" w:rsidRDefault="00AC2B8E" w:rsidP="00992664">
            <w:pPr>
              <w:pStyle w:val="libFootnote0"/>
              <w:rPr>
                <w:rtl/>
              </w:rPr>
            </w:pPr>
            <w:r>
              <w:rPr>
                <w:rtl/>
              </w:rPr>
              <w:t xml:space="preserve">(4). </w:t>
            </w:r>
            <w:r w:rsidRPr="00020424">
              <w:rPr>
                <w:rtl/>
              </w:rPr>
              <w:t>في « بث » :</w:t>
            </w:r>
            <w:r>
              <w:rPr>
                <w:rtl/>
              </w:rPr>
              <w:t xml:space="preserve"> - </w:t>
            </w:r>
            <w:r w:rsidRPr="00020424">
              <w:rPr>
                <w:rtl/>
              </w:rPr>
              <w:t>« بن</w:t>
            </w:r>
            <w:r>
              <w:rPr>
                <w:rtl/>
              </w:rPr>
              <w:t xml:space="preserve"> ».</w:t>
            </w:r>
          </w:p>
        </w:tc>
      </w:tr>
    </w:tbl>
    <w:p w:rsidR="00992664" w:rsidRPr="00020424" w:rsidRDefault="00795177" w:rsidP="00A666C9">
      <w:pPr>
        <w:pStyle w:val="libFootnote0"/>
        <w:rPr>
          <w:rtl/>
          <w:lang w:bidi="fa-IR"/>
        </w:rPr>
      </w:pPr>
      <w:r>
        <w:rPr>
          <w:rtl/>
        </w:rPr>
        <w:t>(5).</w:t>
      </w:r>
      <w:r w:rsidR="0014403D">
        <w:rPr>
          <w:rtl/>
        </w:rPr>
        <w:t xml:space="preserve"> </w:t>
      </w:r>
      <w:r w:rsidR="00992664" w:rsidRPr="00020424">
        <w:rPr>
          <w:rtl/>
        </w:rPr>
        <w:t xml:space="preserve">في « بح ، جن » وحاشية « بث » : « حنين » ، وهو سهو. راجع : </w:t>
      </w:r>
      <w:r w:rsidR="00992664" w:rsidRPr="00DE76B9">
        <w:rPr>
          <w:rStyle w:val="libFootnoteBoldChar"/>
          <w:rtl/>
        </w:rPr>
        <w:t>ا</w:t>
      </w:r>
      <w:r w:rsidR="00A666C9">
        <w:rPr>
          <w:rStyle w:val="libFootnoteBoldChar"/>
          <w:rFonts w:hint="cs"/>
          <w:rtl/>
        </w:rPr>
        <w:t>ُ</w:t>
      </w:r>
      <w:r w:rsidR="00992664" w:rsidRPr="00DE76B9">
        <w:rPr>
          <w:rStyle w:val="libFootnoteBoldChar"/>
          <w:rtl/>
        </w:rPr>
        <w:t>سدالغابة</w:t>
      </w:r>
      <w:r w:rsidR="00992664" w:rsidRPr="00020424">
        <w:rPr>
          <w:rtl/>
        </w:rPr>
        <w:t xml:space="preserve"> ، ج</w:t>
      </w:r>
      <w:r w:rsidR="00A666C9">
        <w:rPr>
          <w:rtl/>
        </w:rPr>
        <w:t xml:space="preserve"> 2 ، ص 189 ، الرقم 1489</w:t>
      </w:r>
      <w:r w:rsidR="00992664" w:rsidRPr="00020424">
        <w:rPr>
          <w:rtl/>
        </w:rPr>
        <w:t>؛</w:t>
      </w:r>
      <w:r w:rsidR="00992664" w:rsidRPr="00DE76B9">
        <w:rPr>
          <w:rStyle w:val="libFootnoteBoldChar"/>
          <w:rtl/>
        </w:rPr>
        <w:t>سير أعلام النبلاء</w:t>
      </w:r>
      <w:r w:rsidR="00A666C9">
        <w:rPr>
          <w:rtl/>
        </w:rPr>
        <w:t>،ج 2 ،ص 329 ،</w:t>
      </w:r>
      <w:r w:rsidR="00992664" w:rsidRPr="00020424">
        <w:rPr>
          <w:rtl/>
        </w:rPr>
        <w:t>الرقم 64.</w:t>
      </w:r>
      <w:r w:rsidR="00A666C9">
        <w:rPr>
          <w:rFonts w:hint="cs"/>
          <w:rtl/>
        </w:rPr>
        <w:t xml:space="preserve">    </w:t>
      </w: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A666C9">
        <w:rPr>
          <w:rtl/>
        </w:rPr>
        <w:t>:«وأمسى»بدل«</w:t>
      </w:r>
      <w:r w:rsidR="00992664" w:rsidRPr="00020424">
        <w:rPr>
          <w:rtl/>
        </w:rPr>
        <w:t>فأمسى وهو</w:t>
      </w:r>
      <w:r w:rsidR="00992664">
        <w:rPr>
          <w:rtl/>
        </w:rPr>
        <w:t>».</w:t>
      </w:r>
    </w:p>
    <w:tbl>
      <w:tblPr>
        <w:tblStyle w:val="TableGrid"/>
        <w:bidiVisual/>
        <w:tblW w:w="0" w:type="auto"/>
        <w:tblLook w:val="04A0" w:firstRow="1" w:lastRow="0" w:firstColumn="1" w:lastColumn="0" w:noHBand="0" w:noVBand="1"/>
      </w:tblPr>
      <w:tblGrid>
        <w:gridCol w:w="4006"/>
        <w:gridCol w:w="4006"/>
      </w:tblGrid>
      <w:tr w:rsidR="00613513" w:rsidTr="00613513">
        <w:tc>
          <w:tcPr>
            <w:tcW w:w="4006" w:type="dxa"/>
          </w:tcPr>
          <w:p w:rsidR="00613513" w:rsidRDefault="00F60BB4" w:rsidP="00992664">
            <w:pPr>
              <w:pStyle w:val="libFootnote0"/>
              <w:rPr>
                <w:rtl/>
              </w:rPr>
            </w:pPr>
            <w:r>
              <w:rPr>
                <w:rtl/>
              </w:rPr>
              <w:t xml:space="preserve">(7). </w:t>
            </w:r>
            <w:r w:rsidRPr="00020424">
              <w:rPr>
                <w:rtl/>
              </w:rPr>
              <w:t xml:space="preserve">في حاشية « بث » </w:t>
            </w:r>
            <w:r w:rsidRPr="00515444">
              <w:rPr>
                <w:rStyle w:val="libFootnoteBoldChar"/>
                <w:rtl/>
              </w:rPr>
              <w:t>والتهذيب</w:t>
            </w:r>
            <w:r w:rsidRPr="00020424">
              <w:rPr>
                <w:rtl/>
              </w:rPr>
              <w:t xml:space="preserve"> : « وكان</w:t>
            </w:r>
            <w:r>
              <w:rPr>
                <w:rtl/>
              </w:rPr>
              <w:t xml:space="preserve"> ».</w:t>
            </w:r>
          </w:p>
        </w:tc>
        <w:tc>
          <w:tcPr>
            <w:tcW w:w="4006" w:type="dxa"/>
          </w:tcPr>
          <w:p w:rsidR="00613513" w:rsidRDefault="00F60BB4" w:rsidP="00992664">
            <w:pPr>
              <w:pStyle w:val="libFootnote0"/>
              <w:rPr>
                <w:rtl/>
              </w:rPr>
            </w:pPr>
            <w:r>
              <w:rPr>
                <w:rtl/>
              </w:rPr>
              <w:t xml:space="preserve">(8). </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sidRPr="00020424">
              <w:rPr>
                <w:rtl/>
              </w:rPr>
              <w:t xml:space="preserve"> :</w:t>
            </w:r>
            <w:r>
              <w:rPr>
                <w:rtl/>
              </w:rPr>
              <w:t xml:space="preserve"> - </w:t>
            </w:r>
            <w:r w:rsidRPr="00020424">
              <w:rPr>
                <w:rtl/>
              </w:rPr>
              <w:t>« والشراب</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جميع النسخ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sidRPr="00FD6221">
        <w:rPr>
          <w:rStyle w:val="libFootnoteBoldChar"/>
          <w:rtl/>
        </w:rPr>
        <w:t>والفقيه</w:t>
      </w:r>
      <w:r w:rsidR="00992664" w:rsidRPr="00020424">
        <w:rPr>
          <w:rtl/>
        </w:rPr>
        <w:t>. وفي المطبوع : + « لا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ت ، بخ ، بذ ، بر ، بز ، بص ، بط ، بظ ، بك ، جى » : « فنم</w:t>
      </w:r>
      <w:r w:rsidR="00992664">
        <w:rPr>
          <w:rtl/>
        </w:rPr>
        <w:t xml:space="preserve"> ».</w:t>
      </w:r>
      <w:r w:rsidR="00992664" w:rsidRPr="00020424">
        <w:rPr>
          <w:rtl/>
        </w:rPr>
        <w:t xml:space="preserve"> في </w:t>
      </w:r>
      <w:r w:rsidR="00992664" w:rsidRPr="0012008A">
        <w:rPr>
          <w:rStyle w:val="libFootnoteBoldChar"/>
          <w:rtl/>
        </w:rPr>
        <w:t>التهذيب</w:t>
      </w:r>
      <w:r w:rsidR="00992664" w:rsidRPr="00020424">
        <w:rPr>
          <w:rtl/>
        </w:rPr>
        <w:t xml:space="preserve"> : « أقم » بدل « لاتنم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حاشية « بث » : « حتّى نطبخ</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حتّى نصنع</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60BB4" w:rsidTr="00F60BB4">
        <w:tc>
          <w:tcPr>
            <w:tcW w:w="4006" w:type="dxa"/>
          </w:tcPr>
          <w:p w:rsidR="00F60BB4" w:rsidRDefault="00F60BB4" w:rsidP="00992664">
            <w:pPr>
              <w:pStyle w:val="libFootnote0"/>
              <w:rPr>
                <w:rtl/>
              </w:rPr>
            </w:pPr>
            <w:r>
              <w:rPr>
                <w:rtl/>
              </w:rPr>
              <w:t xml:space="preserve">(12). </w:t>
            </w:r>
            <w:r w:rsidRPr="00020424">
              <w:rPr>
                <w:rtl/>
              </w:rPr>
              <w:t xml:space="preserve">في </w:t>
            </w:r>
            <w:r w:rsidRPr="0012008A">
              <w:rPr>
                <w:rStyle w:val="libFootnoteBoldChar"/>
                <w:rtl/>
              </w:rPr>
              <w:t>الوسائل</w:t>
            </w:r>
            <w:r w:rsidRPr="00020424">
              <w:rPr>
                <w:rtl/>
              </w:rPr>
              <w:t xml:space="preserve"> </w:t>
            </w:r>
            <w:r w:rsidRPr="00515444">
              <w:rPr>
                <w:rStyle w:val="libFootnoteBoldChar"/>
                <w:rtl/>
              </w:rPr>
              <w:t>والتهذيب</w:t>
            </w:r>
            <w:r w:rsidRPr="00020424">
              <w:rPr>
                <w:rtl/>
              </w:rPr>
              <w:t xml:space="preserve"> : « قد غفلت</w:t>
            </w:r>
            <w:r>
              <w:rPr>
                <w:rtl/>
              </w:rPr>
              <w:t xml:space="preserve"> ».</w:t>
            </w:r>
          </w:p>
        </w:tc>
        <w:tc>
          <w:tcPr>
            <w:tcW w:w="4006" w:type="dxa"/>
          </w:tcPr>
          <w:p w:rsidR="00F60BB4" w:rsidRDefault="00F60BB4" w:rsidP="00992664">
            <w:pPr>
              <w:pStyle w:val="libFootnote0"/>
              <w:rPr>
                <w:rtl/>
              </w:rPr>
            </w:pPr>
            <w:r>
              <w:rPr>
                <w:rtl/>
              </w:rPr>
              <w:t>(13). في «بر ، بف</w:t>
            </w:r>
            <w:r w:rsidRPr="00020424">
              <w:rPr>
                <w:rtl/>
              </w:rPr>
              <w:t xml:space="preserve">»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 « فقال</w:t>
            </w:r>
            <w:r>
              <w:rPr>
                <w:rtl/>
              </w:rPr>
              <w:t xml:space="preserve"> ».</w:t>
            </w:r>
          </w:p>
        </w:tc>
      </w:tr>
      <w:tr w:rsidR="00F60BB4" w:rsidTr="00F60BB4">
        <w:tc>
          <w:tcPr>
            <w:tcW w:w="4006" w:type="dxa"/>
          </w:tcPr>
          <w:p w:rsidR="00F60BB4" w:rsidRDefault="00F60BB4" w:rsidP="00F60BB4">
            <w:pPr>
              <w:pStyle w:val="libFootnote0"/>
              <w:rPr>
                <w:rtl/>
              </w:rPr>
            </w:pPr>
            <w:r>
              <w:rPr>
                <w:rtl/>
              </w:rPr>
              <w:t xml:space="preserve">(14). </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sidRPr="00020424">
              <w:rPr>
                <w:rtl/>
              </w:rPr>
              <w:t xml:space="preserve"> : « وأصبح</w:t>
            </w:r>
            <w:r>
              <w:rPr>
                <w:rtl/>
              </w:rPr>
              <w:t xml:space="preserve"> ».</w:t>
            </w:r>
          </w:p>
        </w:tc>
        <w:tc>
          <w:tcPr>
            <w:tcW w:w="4006" w:type="dxa"/>
          </w:tcPr>
          <w:p w:rsidR="00F60BB4" w:rsidRDefault="00F60BB4" w:rsidP="00992664">
            <w:pPr>
              <w:pStyle w:val="libFootnote0"/>
              <w:rPr>
                <w:rtl/>
              </w:rPr>
            </w:pPr>
            <w:r>
              <w:rPr>
                <w:rtl/>
              </w:rPr>
              <w:t xml:space="preserve">(15).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به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4E5AB4">
        <w:rPr>
          <w:rStyle w:val="libAieChar"/>
          <w:rtl/>
        </w:rPr>
        <w:t xml:space="preserve">الْأَسْوَدِ مِنَ الْفَجْرِ </w:t>
      </w:r>
      <w:r w:rsidRPr="00005A81">
        <w:rPr>
          <w:rStyle w:val="libAlaemChar"/>
          <w:rtl/>
        </w:rPr>
        <w:t>)</w:t>
      </w:r>
      <w:r w:rsidRPr="00020424">
        <w:rPr>
          <w:rtl/>
          <w:lang w:bidi="fa-IR"/>
        </w:rPr>
        <w:t xml:space="preserve">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84292F">
        <w:rPr>
          <w:rtl/>
        </w:rPr>
        <w:t>6372</w:t>
      </w:r>
      <w:r w:rsidRPr="001155DE">
        <w:rPr>
          <w:rStyle w:val="libBold2Char"/>
          <w:rtl/>
        </w:rPr>
        <w:t xml:space="preserve"> / 5.</w:t>
      </w:r>
      <w:r w:rsidRPr="00020424">
        <w:rPr>
          <w:rtl/>
          <w:lang w:bidi="fa-IR"/>
        </w:rPr>
        <w:t xml:space="preserve"> عِدَّةٌ مِنْ أَصْحَابِنَا ، عَنْ أَحْمَدَ بْنِ مُحَمَّدٍ ، عَنْ عَلِيِّ بْنِ الْحَكَمِ ، عَنْ عَاصِمِ بْنِ حُمَيْدٍ </w:t>
      </w:r>
      <w:r w:rsidRPr="00A91B96">
        <w:rPr>
          <w:rStyle w:val="libFootnotenumChar"/>
          <w:rtl/>
        </w:rPr>
        <w:t>(3)</w:t>
      </w:r>
      <w:r w:rsidRPr="00020424">
        <w:rPr>
          <w:rtl/>
          <w:lang w:bidi="fa-IR"/>
        </w:rPr>
        <w:t xml:space="preserve">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فَقُلْتُ : مَتى يَحْرُمُ الطَّعَامُ وَالشَّرَابُ </w:t>
      </w:r>
      <w:r w:rsidRPr="00A91B96">
        <w:rPr>
          <w:rStyle w:val="libFootnotenumChar"/>
          <w:rtl/>
        </w:rPr>
        <w:t>(4)</w:t>
      </w:r>
      <w:r w:rsidRPr="00020424">
        <w:rPr>
          <w:rtl/>
          <w:lang w:bidi="fa-IR"/>
        </w:rPr>
        <w:t xml:space="preserve"> عَلَى الصَّائِمِ ، وَتَحِلُّ الصَّلَاةُ صَلَاةُ الْفَجْرِ</w:t>
      </w:r>
      <w:r>
        <w:rPr>
          <w:rtl/>
          <w:lang w:bidi="fa-IR"/>
        </w:rPr>
        <w:t>؟</w:t>
      </w:r>
    </w:p>
    <w:p w:rsidR="00992664" w:rsidRPr="00020424" w:rsidRDefault="00992664" w:rsidP="00992664">
      <w:pPr>
        <w:pStyle w:val="libNormal"/>
        <w:rPr>
          <w:rtl/>
          <w:lang w:bidi="fa-IR"/>
        </w:rPr>
      </w:pPr>
      <w:r w:rsidRPr="00020424">
        <w:rPr>
          <w:rtl/>
          <w:lang w:bidi="fa-IR"/>
        </w:rPr>
        <w:t xml:space="preserve">فَقَالَ : « إِذَا اعْتَرَضَ الْفَجْرُ ، وَكَانَ كَالْقُبْطِيَّةِ </w:t>
      </w:r>
      <w:r w:rsidRPr="00A91B96">
        <w:rPr>
          <w:rStyle w:val="libFootnotenumChar"/>
          <w:rtl/>
        </w:rPr>
        <w:t>(5)</w:t>
      </w:r>
      <w:r w:rsidRPr="00020424">
        <w:rPr>
          <w:rtl/>
          <w:lang w:bidi="fa-IR"/>
        </w:rPr>
        <w:t xml:space="preserve"> الْبَيْضَاءِ ، فَثَمَّ </w:t>
      </w:r>
      <w:r w:rsidRPr="00A91B96">
        <w:rPr>
          <w:rStyle w:val="libFootnotenumChar"/>
          <w:rtl/>
        </w:rPr>
        <w:t>(6)</w:t>
      </w:r>
      <w:r w:rsidRPr="00020424">
        <w:rPr>
          <w:rtl/>
          <w:lang w:bidi="fa-IR"/>
        </w:rPr>
        <w:t xml:space="preserve"> يَحْرُمُ الطَّعَامُ </w:t>
      </w:r>
      <w:r w:rsidRPr="00A91B96">
        <w:rPr>
          <w:rStyle w:val="libFootnotenumChar"/>
          <w:rtl/>
        </w:rPr>
        <w:t>(7)</w:t>
      </w:r>
      <w:r w:rsidRPr="00020424">
        <w:rPr>
          <w:rtl/>
          <w:lang w:bidi="fa-IR"/>
        </w:rPr>
        <w:t xml:space="preserve"> ، وَيَحِلُّ الصِّيَامُ </w:t>
      </w:r>
      <w:r w:rsidRPr="00A91B96">
        <w:rPr>
          <w:rStyle w:val="libFootnotenumChar"/>
          <w:rtl/>
        </w:rPr>
        <w:t>(8)</w:t>
      </w:r>
      <w:r w:rsidRPr="00020424">
        <w:rPr>
          <w:rtl/>
          <w:lang w:bidi="fa-IR"/>
        </w:rPr>
        <w:t xml:space="preserve"> ، وَتَحِلُّ الصَّلَاةُ صَلَاةُ الْفَجْرِ</w:t>
      </w:r>
      <w:r>
        <w:rPr>
          <w:rtl/>
          <w:lang w:bidi="fa-IR"/>
        </w:rPr>
        <w:t xml:space="preserve"> ».</w:t>
      </w:r>
    </w:p>
    <w:p w:rsidR="00992664" w:rsidRPr="00020424" w:rsidRDefault="00992664" w:rsidP="00992664">
      <w:pPr>
        <w:pStyle w:val="libNormal"/>
        <w:rPr>
          <w:rtl/>
          <w:lang w:bidi="fa-IR"/>
        </w:rPr>
      </w:pPr>
      <w:r w:rsidRPr="00020424">
        <w:rPr>
          <w:rtl/>
          <w:lang w:bidi="fa-IR"/>
        </w:rPr>
        <w:t>قُلْتُ : فَلَسْنَا فِي وَقْتٍ إِلى أَنْ يَطْلُعَ شُعَاعُ الشَّمْسِ.</w:t>
      </w:r>
    </w:p>
    <w:p w:rsidR="00992664" w:rsidRPr="00020424" w:rsidRDefault="00992664" w:rsidP="00992664">
      <w:pPr>
        <w:pStyle w:val="libNormal"/>
        <w:rPr>
          <w:rtl/>
          <w:lang w:bidi="fa-IR"/>
        </w:rPr>
      </w:pPr>
      <w:r w:rsidRPr="00020424">
        <w:rPr>
          <w:rtl/>
          <w:lang w:bidi="fa-IR"/>
        </w:rPr>
        <w:t>فَقَالَ : « هَيْهَاتَ ، أَيْنَ تَذْهَبُ</w:t>
      </w:r>
      <w:r>
        <w:rPr>
          <w:rtl/>
          <w:lang w:bidi="fa-IR"/>
        </w:rPr>
        <w:t>؟</w:t>
      </w:r>
      <w:r w:rsidRPr="00020424">
        <w:rPr>
          <w:rtl/>
          <w:lang w:bidi="fa-IR"/>
        </w:rPr>
        <w:t xml:space="preserve"> تِلْكَ صَلَاةُ الصِّبْيَانِ</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البقرة </w:t>
      </w:r>
      <w:r w:rsidR="003334CD">
        <w:rPr>
          <w:rtl/>
        </w:rPr>
        <w:t>(2)</w:t>
      </w:r>
      <w:r w:rsidR="0014403D">
        <w:rPr>
          <w:rtl/>
        </w:rPr>
        <w:t xml:space="preserve"> </w:t>
      </w:r>
      <w:r w:rsidR="00992664" w:rsidRPr="00020424">
        <w:rPr>
          <w:rtl/>
        </w:rPr>
        <w:t>: 187.</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184 ، ح 512 ، معلّقاً عن الكليني. </w:t>
      </w:r>
      <w:r w:rsidR="00992664" w:rsidRPr="0012008A">
        <w:rPr>
          <w:rStyle w:val="libFootnoteBoldChar"/>
          <w:rtl/>
        </w:rPr>
        <w:t>الفقيه</w:t>
      </w:r>
      <w:r w:rsidR="00992664" w:rsidRPr="00020424">
        <w:rPr>
          <w:rtl/>
        </w:rPr>
        <w:t xml:space="preserve"> ، ج 2 ، ص 130 ، ح 1935 ، معلّقاً عن أبي بصير. </w:t>
      </w:r>
      <w:r w:rsidR="00992664" w:rsidRPr="00DE76B9">
        <w:rPr>
          <w:rStyle w:val="libFootnoteBoldChar"/>
          <w:rtl/>
        </w:rPr>
        <w:t>تفسير القمّي</w:t>
      </w:r>
      <w:r w:rsidR="00992664" w:rsidRPr="00020424">
        <w:rPr>
          <w:rtl/>
        </w:rPr>
        <w:t xml:space="preserve"> ، ج 1 ، ص 66 ، مرسلاً من دون الإسناد إلى المعصوم </w:t>
      </w:r>
      <w:r w:rsidR="00992664" w:rsidRPr="00D64ADA">
        <w:rPr>
          <w:rStyle w:val="libFootnoteAlaemChar"/>
          <w:rtl/>
        </w:rPr>
        <w:t>عليه‌السلام</w:t>
      </w:r>
      <w:r w:rsidR="00992664" w:rsidRPr="00020424">
        <w:rPr>
          <w:rtl/>
        </w:rPr>
        <w:t xml:space="preserve"> ، مع اختلاف </w:t>
      </w:r>
      <w:r w:rsidR="00132CA7">
        <w:rPr>
          <w:rFonts w:hint="cs"/>
          <w:rtl/>
        </w:rPr>
        <w:t>.</w:t>
      </w:r>
      <w:r w:rsidR="00992664" w:rsidRPr="0012008A">
        <w:rPr>
          <w:rStyle w:val="libFootnoteBoldChar"/>
          <w:rtl/>
        </w:rPr>
        <w:t>الوافي</w:t>
      </w:r>
      <w:r w:rsidR="00992664" w:rsidRPr="00020424">
        <w:rPr>
          <w:rtl/>
        </w:rPr>
        <w:t xml:space="preserve"> ، ج 11 ، ص 227 ، ح 10741 ؛ </w:t>
      </w:r>
      <w:r w:rsidR="00992664" w:rsidRPr="0012008A">
        <w:rPr>
          <w:rStyle w:val="libFootnoteBoldChar"/>
          <w:rtl/>
        </w:rPr>
        <w:t>الوسائل</w:t>
      </w:r>
      <w:r w:rsidR="00992664" w:rsidRPr="00020424">
        <w:rPr>
          <w:rtl/>
        </w:rPr>
        <w:t xml:space="preserve"> ، ج 10 ، ص 112 ، ح 12990 ؛ </w:t>
      </w:r>
      <w:r w:rsidR="00992664" w:rsidRPr="0012008A">
        <w:rPr>
          <w:rStyle w:val="libFootnoteBoldChar"/>
          <w:rtl/>
        </w:rPr>
        <w:t>البحار</w:t>
      </w:r>
      <w:r w:rsidR="00992664" w:rsidRPr="00020424">
        <w:rPr>
          <w:rtl/>
        </w:rPr>
        <w:t xml:space="preserve"> ، ج 20 ، ص 267 ، ح 21.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 + « عن محمّد بن قيس</w:t>
      </w:r>
      <w:r w:rsidR="00992664">
        <w:rPr>
          <w:rtl/>
        </w:rPr>
        <w:t xml:space="preserve"> ».</w:t>
      </w:r>
      <w:r w:rsidR="00992664" w:rsidRPr="00020424">
        <w:rPr>
          <w:rtl/>
        </w:rPr>
        <w:t xml:space="preserve"> لكنّه غير مذكور في بعض النسخ المعتبرة منه ، كما أنّ ما ورد في </w:t>
      </w:r>
      <w:r w:rsidR="00992664" w:rsidRPr="0012008A">
        <w:rPr>
          <w:rStyle w:val="libFootnoteBoldChar"/>
          <w:rtl/>
        </w:rPr>
        <w:t>التهذيب</w:t>
      </w:r>
      <w:r w:rsidR="00992664" w:rsidRPr="00020424">
        <w:rPr>
          <w:rtl/>
        </w:rPr>
        <w:t xml:space="preserve"> ، ج 10 ، ص 275 ، ح 1077 ؛ من رواية عاصم بن حميد عن محمّد بن قيس عن أبي بصير ، لم تذكر عبارة « عن محمّد بن قيس » في بعض نسخه المعتبرة. وكأنّه ناشٍ من كثرة روايات عاصم بن حميد عن محمّد بن قيس. راجع : </w:t>
      </w:r>
      <w:r w:rsidR="00992664" w:rsidRPr="00DE76B9">
        <w:rPr>
          <w:rStyle w:val="libFootnoteBoldChar"/>
          <w:rtl/>
        </w:rPr>
        <w:t>معجم رجال الحديث</w:t>
      </w:r>
      <w:r w:rsidR="00992664" w:rsidRPr="00020424">
        <w:rPr>
          <w:rtl/>
        </w:rPr>
        <w:t xml:space="preserve"> ، ج 9 ، ص 476</w:t>
      </w:r>
      <w:r w:rsidR="00992664">
        <w:rPr>
          <w:rtl/>
        </w:rPr>
        <w:t xml:space="preserve"> </w:t>
      </w:r>
      <w:r w:rsidR="009B673F">
        <w:rPr>
          <w:rtl/>
        </w:rPr>
        <w:t>-</w:t>
      </w:r>
      <w:r w:rsidR="00992664">
        <w:rPr>
          <w:rtl/>
        </w:rPr>
        <w:t xml:space="preserve"> </w:t>
      </w:r>
      <w:r w:rsidR="00992664" w:rsidRPr="00020424">
        <w:rPr>
          <w:rtl/>
        </w:rPr>
        <w:t>480.</w:t>
      </w:r>
    </w:p>
    <w:p w:rsidR="00992664" w:rsidRPr="00020424" w:rsidRDefault="00992664" w:rsidP="00CC0F5F">
      <w:pPr>
        <w:pStyle w:val="libFootnote0"/>
        <w:rPr>
          <w:rtl/>
          <w:lang w:bidi="fa-IR"/>
        </w:rPr>
      </w:pPr>
      <w:r w:rsidRPr="00CC0F5F">
        <w:rPr>
          <w:rtl/>
        </w:rPr>
        <w:t xml:space="preserve">ويؤيّد ذلك ما ورد في كثيرٍ من الأسناد من رواية عاصم بن حميد عن أبي بصير مباشرةً ، وعدم معهوديّة رواية عاصم بن حميد عن محمّد بن قيس عن أبي بصير. راجع : </w:t>
      </w:r>
      <w:r w:rsidRPr="00DE76B9">
        <w:rPr>
          <w:rStyle w:val="libFootnoteBoldChar"/>
          <w:rtl/>
        </w:rPr>
        <w:t>معجم رجال الحديث</w:t>
      </w:r>
      <w:r w:rsidRPr="00CC0F5F">
        <w:rPr>
          <w:rtl/>
        </w:rPr>
        <w:t xml:space="preserve"> ، ج 9 ، ص 473 </w:t>
      </w:r>
      <w:r w:rsidR="009B673F" w:rsidRPr="00CC0F5F">
        <w:rPr>
          <w:rtl/>
        </w:rPr>
        <w:t>-</w:t>
      </w:r>
      <w:r w:rsidRPr="00CC0F5F">
        <w:rPr>
          <w:rtl/>
        </w:rPr>
        <w:t xml:space="preserve"> 475.</w:t>
      </w:r>
    </w:p>
    <w:p w:rsidR="00992664" w:rsidRPr="00020424" w:rsidRDefault="00795177" w:rsidP="00CC0F5F">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ج 4 :</w:t>
      </w:r>
      <w:r w:rsidR="00992664">
        <w:rPr>
          <w:rtl/>
        </w:rPr>
        <w:t xml:space="preserve"> </w:t>
      </w:r>
      <w:r w:rsidR="009B673F">
        <w:rPr>
          <w:rtl/>
        </w:rPr>
        <w:t>-</w:t>
      </w:r>
      <w:r w:rsidR="00992664">
        <w:rPr>
          <w:rtl/>
        </w:rPr>
        <w:t xml:space="preserve"> </w:t>
      </w:r>
      <w:r w:rsidR="00992664" w:rsidRPr="00020424">
        <w:rPr>
          <w:rtl/>
        </w:rPr>
        <w:t>« والشراب</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وحاشية « بث » : « كالقطنة</w:t>
      </w:r>
      <w:r w:rsidR="00992664">
        <w:rPr>
          <w:rtl/>
        </w:rPr>
        <w:t xml:space="preserve"> ».</w:t>
      </w:r>
      <w:r w:rsidR="00992664" w:rsidRPr="00020424">
        <w:rPr>
          <w:rtl/>
        </w:rPr>
        <w:t xml:space="preserve"> </w:t>
      </w:r>
      <w:r w:rsidR="00992664">
        <w:rPr>
          <w:rtl/>
        </w:rPr>
        <w:t>و «</w:t>
      </w:r>
      <w:r w:rsidR="00992664" w:rsidRPr="00020424">
        <w:rPr>
          <w:rtl/>
        </w:rPr>
        <w:t xml:space="preserve"> القِبْطِيَّةُ » : ثياب بيض رقاق من كتّان ، تتّخذ بمصر ، وقد يضمّ‌القاف ؛ لأنّهم يغيّرون في النسبة ، كما قالوا : سُهْليّ ودُهْريّ ، وكأنّه منسوب إلى القِبْط ، وهم أهل مصر. وهذا في الثياب ، فأمّا في الناس فقِبطيّ بالكسر. راجع : </w:t>
      </w:r>
      <w:r w:rsidR="00992664" w:rsidRPr="0012008A">
        <w:rPr>
          <w:rStyle w:val="libFootnoteBoldChar"/>
          <w:rtl/>
        </w:rPr>
        <w:t>الصحاح</w:t>
      </w:r>
      <w:r w:rsidR="00992664" w:rsidRPr="00020424">
        <w:rPr>
          <w:rtl/>
        </w:rPr>
        <w:t xml:space="preserve"> ، ج 3 ، ص 1151 ؛ </w:t>
      </w:r>
      <w:r w:rsidR="00992664" w:rsidRPr="0012008A">
        <w:rPr>
          <w:rStyle w:val="libFootnoteBoldChar"/>
          <w:rtl/>
        </w:rPr>
        <w:t>النهاية</w:t>
      </w:r>
      <w:r w:rsidR="00992664" w:rsidRPr="00020424">
        <w:rPr>
          <w:rtl/>
        </w:rPr>
        <w:t xml:space="preserve"> ، ج 4 ، ص 6 ( قبط )</w:t>
      </w:r>
      <w:r w:rsidR="00992664">
        <w:rPr>
          <w:rtl/>
        </w:rPr>
        <w:t>.</w:t>
      </w:r>
    </w:p>
    <w:tbl>
      <w:tblPr>
        <w:tblStyle w:val="TableGrid"/>
        <w:bidiVisual/>
        <w:tblW w:w="0" w:type="auto"/>
        <w:tblLook w:val="04A0" w:firstRow="1" w:lastRow="0" w:firstColumn="1" w:lastColumn="0" w:noHBand="0" w:noVBand="1"/>
      </w:tblPr>
      <w:tblGrid>
        <w:gridCol w:w="4006"/>
        <w:gridCol w:w="4006"/>
      </w:tblGrid>
      <w:tr w:rsidR="00CC0F5F" w:rsidTr="00CC0F5F">
        <w:tc>
          <w:tcPr>
            <w:tcW w:w="4006" w:type="dxa"/>
          </w:tcPr>
          <w:p w:rsidR="00CC0F5F" w:rsidRDefault="00CC0F5F" w:rsidP="00992664">
            <w:pPr>
              <w:pStyle w:val="libFootnote0"/>
              <w:rPr>
                <w:rtl/>
              </w:rPr>
            </w:pPr>
            <w:r>
              <w:rPr>
                <w:rtl/>
              </w:rPr>
              <w:t xml:space="preserve">(6). </w:t>
            </w:r>
            <w:r w:rsidRPr="00020424">
              <w:rPr>
                <w:rtl/>
              </w:rPr>
              <w:t>في « بر » : « ثمّ</w:t>
            </w:r>
            <w:r>
              <w:rPr>
                <w:rtl/>
              </w:rPr>
              <w:t xml:space="preserve"> ».</w:t>
            </w:r>
          </w:p>
        </w:tc>
        <w:tc>
          <w:tcPr>
            <w:tcW w:w="4006" w:type="dxa"/>
          </w:tcPr>
          <w:p w:rsidR="00CC0F5F" w:rsidRDefault="00CC0F5F" w:rsidP="00992664">
            <w:pPr>
              <w:pStyle w:val="libFootnote0"/>
              <w:rPr>
                <w:rtl/>
              </w:rPr>
            </w:pPr>
            <w:r>
              <w:rPr>
                <w:rtl/>
              </w:rPr>
              <w:t xml:space="preserve">(7). </w:t>
            </w:r>
            <w:r w:rsidRPr="00020424">
              <w:rPr>
                <w:rtl/>
              </w:rPr>
              <w:t>في « بث ، بخ » : + « والشراب</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بس » </w:t>
      </w:r>
      <w:r w:rsidR="00992664" w:rsidRPr="00515444">
        <w:rPr>
          <w:rStyle w:val="libFootnoteBoldChar"/>
          <w:rtl/>
        </w:rPr>
        <w:t>والتهذيب</w:t>
      </w:r>
      <w:r w:rsidR="00992664" w:rsidRPr="00020424">
        <w:rPr>
          <w:rtl/>
        </w:rPr>
        <w:t xml:space="preserve"> ، ج 4 :</w:t>
      </w:r>
      <w:r w:rsidR="00992664">
        <w:rPr>
          <w:rtl/>
        </w:rPr>
        <w:t xml:space="preserve"> </w:t>
      </w:r>
      <w:r w:rsidR="009B673F">
        <w:rPr>
          <w:rtl/>
        </w:rPr>
        <w:t>-</w:t>
      </w:r>
      <w:r w:rsidR="00992664">
        <w:rPr>
          <w:rtl/>
        </w:rPr>
        <w:t xml:space="preserve"> </w:t>
      </w:r>
      <w:r w:rsidR="00992664" w:rsidRPr="00020424">
        <w:rPr>
          <w:rtl/>
        </w:rPr>
        <w:t>« ويحلّ الصيام</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على الصائم » بدل « ويحلّ الصيام</w:t>
      </w:r>
      <w:r w:rsidR="00992664">
        <w:rPr>
          <w:rtl/>
        </w:rPr>
        <w:t xml:space="preserve"> ».</w:t>
      </w:r>
    </w:p>
    <w:p w:rsidR="00992664" w:rsidRDefault="00795177" w:rsidP="00992664">
      <w:pPr>
        <w:pStyle w:val="libFootnote0"/>
        <w:rPr>
          <w:rtl/>
        </w:rPr>
      </w:pPr>
      <w:r>
        <w:rPr>
          <w:rtl/>
        </w:rPr>
        <w:t>(9).</w:t>
      </w:r>
      <w:r w:rsidR="0014403D">
        <w:rPr>
          <w:rtl/>
        </w:rPr>
        <w:t xml:space="preserve"> </w:t>
      </w:r>
      <w:r w:rsidR="00992664" w:rsidRPr="0012008A">
        <w:rPr>
          <w:rStyle w:val="libFootnoteBoldChar"/>
          <w:rtl/>
        </w:rPr>
        <w:t>التهذيب</w:t>
      </w:r>
      <w:r w:rsidR="00F87BFB">
        <w:rPr>
          <w:rtl/>
        </w:rPr>
        <w:t>،</w:t>
      </w:r>
      <w:r w:rsidR="00992664" w:rsidRPr="00020424">
        <w:rPr>
          <w:rtl/>
        </w:rPr>
        <w:t xml:space="preserve">ج 4 ، ص 185 ، ح 514 ، معلّقاً عن الكليني. </w:t>
      </w:r>
      <w:r w:rsidR="00992664" w:rsidRPr="0012008A">
        <w:rPr>
          <w:rStyle w:val="libFootnoteBoldChar"/>
          <w:rtl/>
        </w:rPr>
        <w:t>الفقيه</w:t>
      </w:r>
      <w:r w:rsidR="00F87BFB">
        <w:rPr>
          <w:rtl/>
        </w:rPr>
        <w:t>،ج 2 ، ص 130،ح 1934،</w:t>
      </w:r>
      <w:r w:rsidR="00992664" w:rsidRPr="00020424">
        <w:rPr>
          <w:rtl/>
        </w:rPr>
        <w:t xml:space="preserve">معلّقاً عن </w:t>
      </w:r>
      <w:r w:rsidR="005A45C8">
        <w:rPr>
          <w:rFonts w:hint="cs"/>
          <w:rtl/>
        </w:rPr>
        <w:t>=</w:t>
      </w:r>
    </w:p>
    <w:p w:rsidR="00F87BFB" w:rsidRDefault="00F87BFB" w:rsidP="00F87BFB">
      <w:pPr>
        <w:pStyle w:val="libNormal"/>
        <w:rPr>
          <w:rtl/>
          <w:lang w:bidi="fa-IR"/>
        </w:rPr>
      </w:pPr>
      <w:r>
        <w:rPr>
          <w:rtl/>
          <w:lang w:bidi="fa-IR"/>
        </w:rPr>
        <w:br w:type="page"/>
      </w:r>
    </w:p>
    <w:p w:rsidR="00992664" w:rsidRPr="00020424" w:rsidRDefault="00992664" w:rsidP="00992664">
      <w:pPr>
        <w:pStyle w:val="Heading2Center"/>
        <w:rPr>
          <w:rtl/>
          <w:lang w:bidi="fa-IR"/>
        </w:rPr>
      </w:pPr>
      <w:bookmarkStart w:id="353" w:name="_Toc345172833"/>
      <w:bookmarkStart w:id="354" w:name="_Toc464562651"/>
      <w:bookmarkStart w:id="355" w:name="_Toc44599954"/>
      <w:r w:rsidRPr="00020424">
        <w:rPr>
          <w:rtl/>
          <w:lang w:bidi="fa-IR"/>
        </w:rPr>
        <w:t>19</w:t>
      </w:r>
      <w:r>
        <w:rPr>
          <w:rtl/>
          <w:lang w:bidi="fa-IR"/>
        </w:rPr>
        <w:t xml:space="preserve"> </w:t>
      </w:r>
      <w:r w:rsidR="009B673F">
        <w:rPr>
          <w:rtl/>
          <w:lang w:bidi="fa-IR"/>
        </w:rPr>
        <w:t>-</w:t>
      </w:r>
      <w:r>
        <w:rPr>
          <w:rtl/>
          <w:lang w:bidi="fa-IR"/>
        </w:rPr>
        <w:t xml:space="preserve"> </w:t>
      </w:r>
      <w:r w:rsidRPr="00020424">
        <w:rPr>
          <w:rtl/>
          <w:lang w:bidi="fa-IR"/>
        </w:rPr>
        <w:t>بَابُ مَنْ ظَنَّ أَنَّهُ لَيْلٌ فَأَفْطَرَ قَبْلَ اللَّيْلِ‌</w:t>
      </w:r>
      <w:bookmarkEnd w:id="353"/>
      <w:bookmarkEnd w:id="354"/>
      <w:bookmarkEnd w:id="355"/>
    </w:p>
    <w:p w:rsidR="00992664" w:rsidRPr="00020424" w:rsidRDefault="00992664" w:rsidP="00992664">
      <w:pPr>
        <w:pStyle w:val="libNormal"/>
        <w:rPr>
          <w:rtl/>
          <w:lang w:bidi="fa-IR"/>
        </w:rPr>
      </w:pPr>
      <w:r w:rsidRPr="0084292F">
        <w:rPr>
          <w:rtl/>
        </w:rPr>
        <w:t>6373</w:t>
      </w:r>
      <w:r w:rsidRPr="001155DE">
        <w:rPr>
          <w:rStyle w:val="libBold2Char"/>
          <w:rtl/>
        </w:rPr>
        <w:t xml:space="preserve"> / 1.</w:t>
      </w:r>
      <w:r w:rsidRPr="00020424">
        <w:rPr>
          <w:rtl/>
          <w:lang w:bidi="fa-IR"/>
        </w:rPr>
        <w:t xml:space="preserve"> مُحَمَّدُ بْنُ يَحْيى ، عَنْ أَحْمَدَ بْنِ مُحَمَّدٍ ، عَنْ عُثْمَانَ بْنِ</w:t>
      </w:r>
      <w:r w:rsidR="00DD1DD7">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سَأَلْتُهُ عَنْ قَوْمٍ صَامُوا شَهْرَ رَمَضَانَ ، فَغَشِيَهُمْ سَحَابٌ أَسْوَدُ </w:t>
      </w:r>
      <w:r w:rsidRPr="00A91B96">
        <w:rPr>
          <w:rStyle w:val="libFootnotenumChar"/>
          <w:rtl/>
        </w:rPr>
        <w:t>(1)</w:t>
      </w:r>
      <w:r w:rsidRPr="00020424">
        <w:rPr>
          <w:rtl/>
          <w:lang w:bidi="fa-IR"/>
        </w:rPr>
        <w:t xml:space="preserve"> عِنْدَ غُرُوبِ الشَّمْسِ ، فَظَنُّوا أَنَّهُ لَيْلٌ </w:t>
      </w:r>
      <w:r w:rsidRPr="00A91B96">
        <w:rPr>
          <w:rStyle w:val="libFootnotenumChar"/>
          <w:rtl/>
        </w:rPr>
        <w:t>(2)</w:t>
      </w:r>
      <w:r w:rsidRPr="00020424">
        <w:rPr>
          <w:rtl/>
          <w:lang w:bidi="fa-IR"/>
        </w:rPr>
        <w:t xml:space="preserve"> ، فَأَفْطَرُوا </w:t>
      </w:r>
      <w:r w:rsidRPr="00A91B96">
        <w:rPr>
          <w:rStyle w:val="libFootnotenumChar"/>
          <w:rtl/>
        </w:rPr>
        <w:t>(3)</w:t>
      </w:r>
      <w:r w:rsidRPr="00020424">
        <w:rPr>
          <w:rtl/>
          <w:lang w:bidi="fa-IR"/>
        </w:rPr>
        <w:t xml:space="preserve"> ، ثُمَّ إِنَّ السَّحَابَ انْجَلى ، فَإِذَا الشَّمْسُ</w:t>
      </w:r>
      <w:r>
        <w:rPr>
          <w:rtl/>
          <w:lang w:bidi="fa-IR"/>
        </w:rPr>
        <w:t>؟</w:t>
      </w:r>
    </w:p>
    <w:p w:rsidR="00992664" w:rsidRPr="00020424" w:rsidRDefault="00992664" w:rsidP="00992664">
      <w:pPr>
        <w:pStyle w:val="libNormal"/>
        <w:rPr>
          <w:rtl/>
          <w:lang w:bidi="fa-IR"/>
        </w:rPr>
      </w:pPr>
      <w:r w:rsidRPr="00020424">
        <w:rPr>
          <w:rtl/>
          <w:lang w:bidi="fa-IR"/>
        </w:rPr>
        <w:t>فَقَالَ : « عَلَى الَّذِي أَفْطَرَ صِيَامُ ذلِكَ الْيَوْمِ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ثُمَّ أَتِمُّوا </w:t>
      </w:r>
      <w:r w:rsidRPr="00A91B96">
        <w:rPr>
          <w:rStyle w:val="libFootnotenumChar"/>
          <w:rtl/>
        </w:rPr>
        <w:t>(4)</w:t>
      </w:r>
      <w:r w:rsidRPr="004E5AB4">
        <w:rPr>
          <w:rStyle w:val="libAieChar"/>
          <w:rtl/>
        </w:rPr>
        <w:t xml:space="preserve"> الصِّيامَ إِلَى اللَّيْلِ </w:t>
      </w:r>
      <w:r w:rsidRPr="00005A81">
        <w:rPr>
          <w:rStyle w:val="libAlaemChar"/>
          <w:rtl/>
        </w:rPr>
        <w:t>)</w:t>
      </w:r>
      <w:r w:rsidRPr="00020424">
        <w:rPr>
          <w:rtl/>
          <w:lang w:bidi="fa-IR"/>
        </w:rPr>
        <w:t xml:space="preserve"> </w:t>
      </w:r>
      <w:r w:rsidRPr="00A91B96">
        <w:rPr>
          <w:rStyle w:val="libFootnotenumChar"/>
          <w:rtl/>
        </w:rPr>
        <w:t>(5)</w:t>
      </w:r>
      <w:r w:rsidRPr="00020424">
        <w:rPr>
          <w:rtl/>
          <w:lang w:bidi="fa-IR"/>
        </w:rPr>
        <w:t xml:space="preserve"> فَمَنْ أَكَلَ قَبْلَ أَنْ يَدْخُلَ اللَّيْلُ ، فَعَلَيْهِ قَضَاؤُهُ </w:t>
      </w:r>
      <w:r w:rsidRPr="00A91B96">
        <w:rPr>
          <w:rStyle w:val="libFootnotenumChar"/>
          <w:rtl/>
        </w:rPr>
        <w:t>(6)</w:t>
      </w:r>
      <w:r w:rsidRPr="00020424">
        <w:rPr>
          <w:rtl/>
          <w:lang w:bidi="fa-IR"/>
        </w:rPr>
        <w:t xml:space="preserve"> ؛ لِأَنَّهُ أَكَلَ مُتَعَمِّداً</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84292F">
        <w:rPr>
          <w:rtl/>
        </w:rPr>
        <w:t>6374</w:t>
      </w:r>
      <w:r w:rsidRPr="001155DE">
        <w:rPr>
          <w:rStyle w:val="libBold2Char"/>
          <w:rtl/>
        </w:rPr>
        <w:t xml:space="preserve"> / 2.</w:t>
      </w:r>
      <w:r w:rsidRPr="00020424">
        <w:rPr>
          <w:rtl/>
          <w:lang w:bidi="fa-IR"/>
        </w:rPr>
        <w:t xml:space="preserve"> عَلِيُّ بْنُ إِبْرَاهِيمَ ، عَنْ مُحَمَّدِ بْنِ عِيسَى بْنِ عُبَيْدٍ ، عَنْ يُونُسَ </w:t>
      </w:r>
      <w:r w:rsidRPr="00A91B96">
        <w:rPr>
          <w:rStyle w:val="libFootnotenumChar"/>
          <w:rtl/>
        </w:rPr>
        <w:t>(8)</w:t>
      </w:r>
      <w:r w:rsidRPr="00020424">
        <w:rPr>
          <w:rtl/>
          <w:lang w:bidi="fa-IR"/>
        </w:rPr>
        <w:t xml:space="preserve"> ، عَنْ أَبِي بَصِيرٍ وَسَمَاعَةَ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قَوْمٍ صَامُوا شَهْرَ رَمَضَانَ ، فَغَشِيَهُمْ سَحَابٌ أَسْوَدُ عِنْدَ‌</w:t>
      </w:r>
    </w:p>
    <w:p w:rsidR="00992664" w:rsidRPr="00020424" w:rsidRDefault="00992664" w:rsidP="00992664">
      <w:pPr>
        <w:pStyle w:val="libLine"/>
        <w:rPr>
          <w:rtl/>
          <w:lang w:bidi="fa-IR"/>
        </w:rPr>
      </w:pPr>
      <w:r w:rsidRPr="00020424">
        <w:rPr>
          <w:rtl/>
          <w:lang w:bidi="fa-IR"/>
        </w:rPr>
        <w:t>__________________</w:t>
      </w:r>
    </w:p>
    <w:p w:rsidR="00992664" w:rsidRPr="00020424" w:rsidRDefault="00524E8C" w:rsidP="00992664">
      <w:pPr>
        <w:pStyle w:val="libFootnote0"/>
        <w:rPr>
          <w:rtl/>
          <w:lang w:bidi="fa-IR"/>
        </w:rPr>
      </w:pPr>
      <w:r>
        <w:rPr>
          <w:rFonts w:hint="cs"/>
          <w:rtl/>
        </w:rPr>
        <w:t xml:space="preserve">= </w:t>
      </w:r>
      <w:r w:rsidR="00992664" w:rsidRPr="00020424">
        <w:rPr>
          <w:rtl/>
        </w:rPr>
        <w:t xml:space="preserve">عاصم بن حميد ، عن أبي بصير ليث المرادي. وفي </w:t>
      </w:r>
      <w:r w:rsidR="00992664" w:rsidRPr="0012008A">
        <w:rPr>
          <w:rStyle w:val="libFootnoteBoldChar"/>
          <w:rtl/>
        </w:rPr>
        <w:t>التهذيب</w:t>
      </w:r>
      <w:r w:rsidR="00992664" w:rsidRPr="00020424">
        <w:rPr>
          <w:rtl/>
        </w:rPr>
        <w:t xml:space="preserve"> ، ج 2 ، ص 39 ، ح 122 ؛ </w:t>
      </w:r>
      <w:r w:rsidR="00992664" w:rsidRPr="00FD6221">
        <w:rPr>
          <w:rStyle w:val="libFootnoteBoldChar"/>
          <w:rtl/>
        </w:rPr>
        <w:t>والاستبصار</w:t>
      </w:r>
      <w:r w:rsidR="00992664" w:rsidRPr="00020424">
        <w:rPr>
          <w:rtl/>
        </w:rPr>
        <w:t xml:space="preserve"> ، ج 1 ، ص 276 ، ح 1002 ، بسندهما عن عاصم بن حميد ، عن أبي بصير المكفوف ، مع اختلاف يسير وزيادة في آخره </w:t>
      </w:r>
      <w:r>
        <w:rPr>
          <w:rFonts w:hint="cs"/>
          <w:rtl/>
        </w:rPr>
        <w:t>.</w:t>
      </w:r>
      <w:r w:rsidR="00992664" w:rsidRPr="0012008A">
        <w:rPr>
          <w:rStyle w:val="libFootnoteBoldChar"/>
          <w:rtl/>
        </w:rPr>
        <w:t>الوافي</w:t>
      </w:r>
      <w:r w:rsidR="00992664" w:rsidRPr="00020424">
        <w:rPr>
          <w:rtl/>
        </w:rPr>
        <w:t xml:space="preserve"> ، ج 11 ، ص 229 ، ح 10745 ؛ </w:t>
      </w:r>
      <w:r w:rsidR="00992664" w:rsidRPr="0012008A">
        <w:rPr>
          <w:rStyle w:val="libFootnoteBoldChar"/>
          <w:rtl/>
        </w:rPr>
        <w:t>الوسائل</w:t>
      </w:r>
      <w:r w:rsidR="00992664" w:rsidRPr="00020424">
        <w:rPr>
          <w:rtl/>
        </w:rPr>
        <w:t xml:space="preserve"> ، ج 4 ، ص 209 ، ذيل ح 4941 ؛ </w:t>
      </w:r>
      <w:r w:rsidR="00992664" w:rsidRPr="00DE76B9">
        <w:rPr>
          <w:rStyle w:val="libFootnoteBoldChar"/>
          <w:rtl/>
        </w:rPr>
        <w:t>وفيه</w:t>
      </w:r>
      <w:r w:rsidR="00992664" w:rsidRPr="00020424">
        <w:rPr>
          <w:rtl/>
        </w:rPr>
        <w:t xml:space="preserve"> ، ج 10 ، ص 111 ، ح 12988 ، إلى قوله : « يحلّ الصيام وتحلّ الصلاة صلاة الفجر</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بس » : « سواد » بدل « سحاب أسود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حاشية « بث ، بح » : « الليل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 « فأفطر بعضهم</w:t>
      </w:r>
      <w:r w:rsidR="00992664">
        <w:rPr>
          <w:rtl/>
        </w:rPr>
        <w:t xml:space="preserve"> ».</w:t>
      </w:r>
      <w:r w:rsidR="00992664" w:rsidRPr="00020424">
        <w:rPr>
          <w:rtl/>
        </w:rPr>
        <w:t xml:space="preserve"> وفي « بس » :</w:t>
      </w:r>
      <w:r w:rsidR="00992664">
        <w:rPr>
          <w:rtl/>
        </w:rPr>
        <w:t xml:space="preserve"> </w:t>
      </w:r>
      <w:r w:rsidR="009B673F">
        <w:rPr>
          <w:rtl/>
        </w:rPr>
        <w:t>-</w:t>
      </w:r>
      <w:r w:rsidR="00992664">
        <w:rPr>
          <w:rtl/>
        </w:rPr>
        <w:t xml:space="preserve"> </w:t>
      </w:r>
      <w:r w:rsidR="00992664" w:rsidRPr="00020424">
        <w:rPr>
          <w:rtl/>
        </w:rPr>
        <w:t>« فأفطروا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المصحف الشريف </w:t>
      </w:r>
      <w:r w:rsidR="00992664" w:rsidRPr="00515444">
        <w:rPr>
          <w:rStyle w:val="libFootnoteBoldChar"/>
          <w:rtl/>
        </w:rPr>
        <w:t>والوافي</w:t>
      </w:r>
      <w:r w:rsidR="00992664" w:rsidRPr="00020424">
        <w:rPr>
          <w:rtl/>
        </w:rPr>
        <w:t>. وفي النسخ والمطبوع : « وأتمّوا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البقرة </w:t>
      </w:r>
      <w:r w:rsidR="00524E8C">
        <w:rPr>
          <w:rtl/>
        </w:rPr>
        <w:t>(2)</w:t>
      </w:r>
      <w:r w:rsidR="0014403D">
        <w:rPr>
          <w:rtl/>
        </w:rPr>
        <w:t xml:space="preserve"> </w:t>
      </w:r>
      <w:r w:rsidR="00992664" w:rsidRPr="00020424">
        <w:rPr>
          <w:rtl/>
        </w:rPr>
        <w:t>: 187.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قضاء</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راجع : </w:t>
      </w:r>
      <w:r w:rsidR="00992664" w:rsidRPr="0012008A">
        <w:rPr>
          <w:rStyle w:val="libFootnoteBoldChar"/>
          <w:rtl/>
        </w:rPr>
        <w:t>الفقيه</w:t>
      </w:r>
      <w:r w:rsidR="00992664" w:rsidRPr="00020424">
        <w:rPr>
          <w:rtl/>
        </w:rPr>
        <w:t xml:space="preserve"> ، ج 2 ، ص 120 ، ح 1901 ؛ </w:t>
      </w:r>
      <w:r w:rsidR="00992664" w:rsidRPr="00515444">
        <w:rPr>
          <w:rStyle w:val="libFootnoteBoldChar"/>
          <w:rtl/>
        </w:rPr>
        <w:t>والتهذيب</w:t>
      </w:r>
      <w:r w:rsidR="00992664" w:rsidRPr="00020424">
        <w:rPr>
          <w:rtl/>
        </w:rPr>
        <w:t xml:space="preserve"> ، ج 4 ، ص 270 ، ح 816 و817 ؛ </w:t>
      </w:r>
      <w:r w:rsidR="00992664" w:rsidRPr="00FD6221">
        <w:rPr>
          <w:rStyle w:val="libFootnoteBoldChar"/>
          <w:rtl/>
        </w:rPr>
        <w:t>والاستبصار</w:t>
      </w:r>
      <w:r w:rsidR="00992664" w:rsidRPr="00020424">
        <w:rPr>
          <w:rtl/>
        </w:rPr>
        <w:t xml:space="preserve"> ، ج 2 ، ص 115 ، ح 374 و375 </w:t>
      </w:r>
      <w:r w:rsidR="00524E8C">
        <w:rPr>
          <w:rFonts w:hint="cs"/>
          <w:rtl/>
        </w:rPr>
        <w:t>.</w:t>
      </w:r>
      <w:r w:rsidR="00992664" w:rsidRPr="0012008A">
        <w:rPr>
          <w:rStyle w:val="libFootnoteBoldChar"/>
          <w:rtl/>
        </w:rPr>
        <w:t>الوافي</w:t>
      </w:r>
      <w:r w:rsidR="00992664" w:rsidRPr="00020424">
        <w:rPr>
          <w:rtl/>
        </w:rPr>
        <w:t xml:space="preserve"> ، ج 11 ، ص 290 ، ح 10882 ؛ </w:t>
      </w:r>
      <w:r w:rsidR="00992664" w:rsidRPr="0012008A">
        <w:rPr>
          <w:rStyle w:val="libFootnoteBoldChar"/>
          <w:rtl/>
        </w:rPr>
        <w:t>الوسائل</w:t>
      </w:r>
      <w:r w:rsidR="00992664" w:rsidRPr="00020424">
        <w:rPr>
          <w:rtl/>
        </w:rPr>
        <w:t xml:space="preserve"> ، ج 10 ، ص 122 ، ذيل ح 13009.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الاستبصار : + « بن عبد الرحمن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غُرُوبِ الشَّمْسِ ، فَرَأَوْا أَنَّهُ اللَّيْلُ ، فَأَفْطَرَ بَعْضُهُمْ </w:t>
      </w:r>
      <w:r w:rsidRPr="00A91B96">
        <w:rPr>
          <w:rStyle w:val="libFootnotenumChar"/>
          <w:rtl/>
        </w:rPr>
        <w:t>(1)</w:t>
      </w:r>
      <w:r w:rsidRPr="00020424">
        <w:rPr>
          <w:rtl/>
          <w:lang w:bidi="fa-IR"/>
        </w:rPr>
        <w:t xml:space="preserve"> ، ثُمَّ إِنَّ السَّحَابَ انْجَلى ، فَإِذَا الشَّمْسُ </w:t>
      </w:r>
      <w:r w:rsidRPr="00A91B96">
        <w:rPr>
          <w:rStyle w:val="libFootnotenumChar"/>
          <w:rtl/>
        </w:rPr>
        <w:t>(2)</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عَلَى الَّذِي أَفْطَرَ صِيَامُ ذلِكَ الْيَوْمِ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أَتِمُّوا </w:t>
      </w:r>
      <w:r w:rsidRPr="00A91B96">
        <w:rPr>
          <w:rStyle w:val="libFootnotenumChar"/>
          <w:rtl/>
        </w:rPr>
        <w:t>(4)</w:t>
      </w:r>
      <w:r w:rsidRPr="004E5AB4">
        <w:rPr>
          <w:rStyle w:val="libAieChar"/>
          <w:rtl/>
        </w:rPr>
        <w:t xml:space="preserve"> الصِّيامَ إِلَى اللَّيْلِ </w:t>
      </w:r>
      <w:r w:rsidRPr="00005A81">
        <w:rPr>
          <w:rStyle w:val="libAlaemChar"/>
          <w:rtl/>
        </w:rPr>
        <w:t>)</w:t>
      </w:r>
      <w:r w:rsidRPr="00020424">
        <w:rPr>
          <w:rtl/>
          <w:lang w:bidi="fa-IR"/>
        </w:rPr>
        <w:t xml:space="preserve"> فَمَنْ أَكَلَ قَبْلَ أَنْ يَدْخُلَ اللَّيْلُ ، فَعَلَيْهِ قَضَاؤُهُ </w:t>
      </w:r>
      <w:r w:rsidRPr="00A91B96">
        <w:rPr>
          <w:rStyle w:val="libFootnotenumChar"/>
          <w:rtl/>
        </w:rPr>
        <w:t>(5)</w:t>
      </w:r>
      <w:r w:rsidRPr="00020424">
        <w:rPr>
          <w:rtl/>
          <w:lang w:bidi="fa-IR"/>
        </w:rPr>
        <w:t xml:space="preserve"> ؛ لِأَنَّهُ أَكَلَ مُتَعَمِّداً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356" w:name="_Toc345172834"/>
      <w:bookmarkStart w:id="357" w:name="_Toc464562652"/>
      <w:bookmarkStart w:id="358" w:name="_Toc44599955"/>
      <w:r w:rsidRPr="00020424">
        <w:rPr>
          <w:rtl/>
          <w:lang w:bidi="fa-IR"/>
        </w:rPr>
        <w:t>20</w:t>
      </w:r>
      <w:r>
        <w:rPr>
          <w:rtl/>
          <w:lang w:bidi="fa-IR"/>
        </w:rPr>
        <w:t xml:space="preserve"> </w:t>
      </w:r>
      <w:r w:rsidR="009B673F">
        <w:rPr>
          <w:rtl/>
          <w:lang w:bidi="fa-IR"/>
        </w:rPr>
        <w:t>-</w:t>
      </w:r>
      <w:r>
        <w:rPr>
          <w:rtl/>
          <w:lang w:bidi="fa-IR"/>
        </w:rPr>
        <w:t xml:space="preserve"> </w:t>
      </w:r>
      <w:r w:rsidRPr="00020424">
        <w:rPr>
          <w:rtl/>
          <w:lang w:bidi="fa-IR"/>
        </w:rPr>
        <w:t>بَابُ وَقْتِ الْإِفْطَارِ‌</w:t>
      </w:r>
      <w:bookmarkEnd w:id="356"/>
      <w:bookmarkEnd w:id="357"/>
      <w:bookmarkEnd w:id="358"/>
    </w:p>
    <w:p w:rsidR="00992664" w:rsidRPr="00020424" w:rsidRDefault="00992664" w:rsidP="00992664">
      <w:pPr>
        <w:pStyle w:val="libNormal"/>
        <w:rPr>
          <w:rtl/>
          <w:lang w:bidi="fa-IR"/>
        </w:rPr>
      </w:pPr>
      <w:r w:rsidRPr="0084292F">
        <w:rPr>
          <w:rtl/>
        </w:rPr>
        <w:t>6375</w:t>
      </w:r>
      <w:r w:rsidRPr="001155DE">
        <w:rPr>
          <w:rStyle w:val="libBold2Char"/>
          <w:rtl/>
        </w:rPr>
        <w:t xml:space="preserve"> / 1.</w:t>
      </w:r>
      <w:r w:rsidRPr="00020424">
        <w:rPr>
          <w:rtl/>
          <w:lang w:bidi="fa-IR"/>
        </w:rPr>
        <w:t xml:space="preserve"> عِدَّةٌ مِنْ أَصْحَابِنَا </w:t>
      </w:r>
      <w:r w:rsidRPr="00A91B96">
        <w:rPr>
          <w:rStyle w:val="libFootnotenumChar"/>
          <w:rtl/>
        </w:rPr>
        <w:t>(7)</w:t>
      </w:r>
      <w:r w:rsidRPr="00020424">
        <w:rPr>
          <w:rtl/>
          <w:lang w:bidi="fa-IR"/>
        </w:rPr>
        <w:t xml:space="preserve"> ، عَنْ سَهْلِ بْنِ زِيَادٍ ، عَنْ مُحَمَّدِ بْنِ عِيسَى بْنِ عُبَيْدٍ </w:t>
      </w:r>
      <w:r w:rsidRPr="00A91B96">
        <w:rPr>
          <w:rStyle w:val="libFootnotenumChar"/>
          <w:rtl/>
        </w:rPr>
        <w:t>(8)</w:t>
      </w:r>
      <w:r w:rsidRPr="00020424">
        <w:rPr>
          <w:rtl/>
          <w:lang w:bidi="fa-IR"/>
        </w:rPr>
        <w:t xml:space="preserve"> ، عَنِ ابْنِ أَبِي عُمَيْرٍ ، عَمَّنْ ذَكَرَهُ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وَقْتُ سُقُوطِ الْقُرْصِ وَوُجُوبِ </w:t>
      </w:r>
      <w:r w:rsidRPr="00A91B96">
        <w:rPr>
          <w:rStyle w:val="libFootnotenumChar"/>
          <w:rtl/>
        </w:rPr>
        <w:t>(9)</w:t>
      </w:r>
      <w:r w:rsidRPr="00020424">
        <w:rPr>
          <w:rtl/>
          <w:lang w:bidi="fa-IR"/>
        </w:rPr>
        <w:t xml:space="preserve"> الْإِفْطَارِ مِنَ الصِّيَامِ </w:t>
      </w:r>
      <w:r w:rsidRPr="00A91B96">
        <w:rPr>
          <w:rStyle w:val="libFootnotenumChar"/>
          <w:rtl/>
        </w:rPr>
        <w:t>(10)</w:t>
      </w:r>
      <w:r w:rsidRPr="00020424">
        <w:rPr>
          <w:rtl/>
          <w:lang w:bidi="fa-IR"/>
        </w:rPr>
        <w:t xml:space="preserve"> أَنْ يَقُومَ </w:t>
      </w:r>
      <w:r w:rsidRPr="00A91B96">
        <w:rPr>
          <w:rStyle w:val="libFootnotenumChar"/>
          <w:rtl/>
        </w:rPr>
        <w:t>(11)</w:t>
      </w:r>
      <w:r w:rsidRPr="00020424">
        <w:rPr>
          <w:rtl/>
          <w:lang w:bidi="fa-IR"/>
        </w:rPr>
        <w:t xml:space="preserve"> بِحِذَاءِ الْقِبْلَةِ ، وَيَتَفَقَّدَ </w:t>
      </w:r>
      <w:r w:rsidRPr="00A91B96">
        <w:rPr>
          <w:rStyle w:val="libFootnotenumChar"/>
          <w:rtl/>
        </w:rPr>
        <w:t>(12)</w:t>
      </w:r>
      <w:r w:rsidRPr="00020424">
        <w:rPr>
          <w:rtl/>
          <w:lang w:bidi="fa-IR"/>
        </w:rPr>
        <w:t xml:space="preserve"> الْحُمْرَةَ الَّتِي تَرْتَفِعُ مِنَ الْمَشْرِقِ ، فَإِذَا جَازَتْ قِمَّةَ الرَّأْسِ </w:t>
      </w:r>
      <w:r w:rsidRPr="00A91B96">
        <w:rPr>
          <w:rStyle w:val="libFootnotenumChar"/>
          <w:rtl/>
        </w:rPr>
        <w:t>(13)</w:t>
      </w:r>
      <w:r w:rsidRPr="00020424">
        <w:rPr>
          <w:rtl/>
          <w:lang w:bidi="fa-IR"/>
        </w:rPr>
        <w:t xml:space="preserve"> إِلى نَاحِيَةِ الْمَغْرِبِ ، فَقَدْ وَجَبَ الْإِفْطَارُ ، وَسَقَطَ‌</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لبعضهم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فأفطر بعضهم ، ثمّ إنّ السحاب انجلى ، فإذا الشمس</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524E8C">
        <w:rPr>
          <w:rtl/>
        </w:rPr>
        <w:t>الوسائل والتهذيب والاستبصار</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كذا في النسخ ، وفي المصحف الشريف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w:t>
      </w:r>
      <w:r w:rsidR="00992664" w:rsidRPr="00524E8C">
        <w:rPr>
          <w:rStyle w:val="libFootnoteAlaemChar"/>
          <w:rtl/>
        </w:rPr>
        <w:t>(</w:t>
      </w:r>
      <w:r w:rsidR="00992664" w:rsidRPr="006B2AC6">
        <w:rPr>
          <w:rStyle w:val="libFootnoteAieChar"/>
          <w:rtl/>
        </w:rPr>
        <w:t xml:space="preserve"> ثُمَّ أَتِمُّوا </w:t>
      </w:r>
      <w:r w:rsidR="00992664" w:rsidRPr="00524E8C">
        <w:rPr>
          <w:rStyle w:val="libFootnoteAlaemChar"/>
          <w:rtl/>
        </w:rPr>
        <w:t>)</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 وعليه الإفطار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270 ، ح 815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115 ، ح 377 ، معلّقاً عن الكليني </w:t>
      </w:r>
      <w:r w:rsidR="00524E8C">
        <w:rPr>
          <w:rFonts w:hint="cs"/>
          <w:rtl/>
        </w:rPr>
        <w:t>.</w:t>
      </w:r>
      <w:r w:rsidR="00992664" w:rsidRPr="0012008A">
        <w:rPr>
          <w:rStyle w:val="libFootnoteBoldChar"/>
          <w:rtl/>
        </w:rPr>
        <w:t>الوافي</w:t>
      </w:r>
      <w:r w:rsidR="00992664" w:rsidRPr="00020424">
        <w:rPr>
          <w:rtl/>
        </w:rPr>
        <w:t xml:space="preserve"> ، ج 11 ، ص 290 ، ح 10883 ؛ </w:t>
      </w:r>
      <w:r w:rsidR="00992664" w:rsidRPr="0012008A">
        <w:rPr>
          <w:rStyle w:val="libFootnoteBoldChar"/>
          <w:rtl/>
        </w:rPr>
        <w:t>الوسائل</w:t>
      </w:r>
      <w:r w:rsidR="00992664" w:rsidRPr="00020424">
        <w:rPr>
          <w:rtl/>
        </w:rPr>
        <w:t xml:space="preserve"> ، ج 10 ، ص 121 ، ح 13009.</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الكافي ، ح 4844 : « عن عليّ بن محمّد » بدل « عدّة من أصحابنا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97477" w:rsidTr="00F97477">
        <w:tc>
          <w:tcPr>
            <w:tcW w:w="4006" w:type="dxa"/>
          </w:tcPr>
          <w:p w:rsidR="00F97477" w:rsidRDefault="00F97477" w:rsidP="00992664">
            <w:pPr>
              <w:pStyle w:val="libFootnote0"/>
              <w:rPr>
                <w:rtl/>
              </w:rPr>
            </w:pPr>
            <w:r>
              <w:rPr>
                <w:rtl/>
              </w:rPr>
              <w:t xml:space="preserve">(8). </w:t>
            </w:r>
            <w:r w:rsidRPr="00020424">
              <w:rPr>
                <w:rtl/>
              </w:rPr>
              <w:t>في الكافي ، ح 4844 :</w:t>
            </w:r>
            <w:r>
              <w:rPr>
                <w:rtl/>
              </w:rPr>
              <w:t xml:space="preserve"> - </w:t>
            </w:r>
            <w:r w:rsidRPr="00020424">
              <w:rPr>
                <w:rtl/>
              </w:rPr>
              <w:t>« بن عبيد</w:t>
            </w:r>
            <w:r>
              <w:rPr>
                <w:rtl/>
              </w:rPr>
              <w:t xml:space="preserve"> ».</w:t>
            </w:r>
          </w:p>
        </w:tc>
        <w:tc>
          <w:tcPr>
            <w:tcW w:w="4006" w:type="dxa"/>
          </w:tcPr>
          <w:p w:rsidR="00F97477" w:rsidRDefault="00F97477" w:rsidP="00992664">
            <w:pPr>
              <w:pStyle w:val="libFootnote0"/>
              <w:rPr>
                <w:rtl/>
              </w:rPr>
            </w:pPr>
            <w:r>
              <w:rPr>
                <w:rtl/>
              </w:rPr>
              <w:t xml:space="preserve">(9). </w:t>
            </w:r>
            <w:r w:rsidRPr="00020424">
              <w:rPr>
                <w:rtl/>
              </w:rPr>
              <w:t>في « بح ، جن » : « وجوب » بدون الواو.</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الكافي ، ح 4844 :</w:t>
      </w:r>
      <w:r w:rsidR="00992664">
        <w:rPr>
          <w:rtl/>
        </w:rPr>
        <w:t xml:space="preserve"> </w:t>
      </w:r>
      <w:r w:rsidR="009B673F">
        <w:rPr>
          <w:rtl/>
        </w:rPr>
        <w:t>-</w:t>
      </w:r>
      <w:r w:rsidR="00992664">
        <w:rPr>
          <w:rtl/>
        </w:rPr>
        <w:t xml:space="preserve"> </w:t>
      </w:r>
      <w:r w:rsidR="00992664" w:rsidRPr="00020424">
        <w:rPr>
          <w:rtl/>
        </w:rPr>
        <w:t>« من الصيام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ى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ح 13014 والكافي ح 4844 : « أن تقوم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بخ ، بر ، بس ، بف » </w:t>
      </w:r>
      <w:r w:rsidR="00992664" w:rsidRPr="00515444">
        <w:rPr>
          <w:rStyle w:val="libFootnoteBoldChar"/>
          <w:rtl/>
        </w:rPr>
        <w:t>والوافي</w:t>
      </w:r>
      <w:r w:rsidR="00992664" w:rsidRPr="00020424">
        <w:rPr>
          <w:rtl/>
        </w:rPr>
        <w:t xml:space="preserve"> : « وتتفقّد</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قمّة</w:t>
      </w:r>
      <w:r w:rsidR="00992664">
        <w:rPr>
          <w:rtl/>
        </w:rPr>
        <w:t xml:space="preserve"> ».</w:t>
      </w:r>
      <w:r w:rsidR="00992664" w:rsidRPr="00020424">
        <w:rPr>
          <w:rtl/>
        </w:rPr>
        <w:t xml:space="preserve"> وفي حاشية « ظ ، بث » : « قبّة الرأس</w:t>
      </w:r>
      <w:r w:rsidR="00992664">
        <w:rPr>
          <w:rtl/>
        </w:rPr>
        <w:t xml:space="preserve"> ».</w:t>
      </w:r>
      <w:r w:rsidR="00992664" w:rsidRPr="00020424">
        <w:rPr>
          <w:rtl/>
        </w:rPr>
        <w:t xml:space="preserve"> </w:t>
      </w:r>
      <w:r w:rsidR="00992664">
        <w:rPr>
          <w:rtl/>
        </w:rPr>
        <w:t>و «</w:t>
      </w:r>
      <w:r w:rsidR="00992664" w:rsidRPr="00020424">
        <w:rPr>
          <w:rtl/>
        </w:rPr>
        <w:t xml:space="preserve"> قِمَّةُ الرأس » : أعلاه ووسطه. راجع : </w:t>
      </w:r>
      <w:r w:rsidR="00992664" w:rsidRPr="0012008A">
        <w:rPr>
          <w:rStyle w:val="libFootnoteBoldChar"/>
          <w:rtl/>
        </w:rPr>
        <w:t>الصحاح</w:t>
      </w:r>
      <w:r w:rsidR="00992664" w:rsidRPr="00020424">
        <w:rPr>
          <w:rtl/>
        </w:rPr>
        <w:t xml:space="preserve"> ، ج 5 ، ص 2015 ؛ </w:t>
      </w:r>
      <w:r w:rsidR="00992664" w:rsidRPr="0012008A">
        <w:rPr>
          <w:rStyle w:val="libFootnoteBoldChar"/>
          <w:rtl/>
        </w:rPr>
        <w:t>النهاية</w:t>
      </w:r>
      <w:r w:rsidR="00992664" w:rsidRPr="00020424">
        <w:rPr>
          <w:rtl/>
        </w:rPr>
        <w:t xml:space="preserve"> ، ج 4 ، ص 110 ( قمم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الْقُرْصُ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867163" w:rsidRDefault="00992664" w:rsidP="00867163">
      <w:pPr>
        <w:pStyle w:val="libNormal"/>
        <w:rPr>
          <w:rtl/>
          <w:lang w:bidi="fa-IR"/>
        </w:rPr>
      </w:pPr>
      <w:r w:rsidRPr="00422B64">
        <w:rPr>
          <w:rtl/>
        </w:rPr>
        <w:t>6376</w:t>
      </w:r>
      <w:r w:rsidRPr="001155DE">
        <w:rPr>
          <w:rStyle w:val="libBold2Char"/>
          <w:rtl/>
        </w:rPr>
        <w:t xml:space="preserve"> / 2.</w:t>
      </w:r>
      <w:r w:rsidRPr="00020424">
        <w:rPr>
          <w:rtl/>
          <w:lang w:bidi="fa-IR"/>
        </w:rPr>
        <w:t xml:space="preserve"> عَلِيُّ بْنُ إِبْرَاهِيمَ ، عَنْ أَبِيهِ ؛</w:t>
      </w:r>
    </w:p>
    <w:p w:rsidR="00992664" w:rsidRPr="00020424" w:rsidRDefault="00867163" w:rsidP="00867163">
      <w:pPr>
        <w:pStyle w:val="libNormal"/>
        <w:rPr>
          <w:rtl/>
          <w:lang w:bidi="fa-IR"/>
        </w:rPr>
      </w:pPr>
      <w:r>
        <w:rPr>
          <w:rFonts w:hint="cs"/>
          <w:rtl/>
          <w:lang w:bidi="fa-IR"/>
        </w:rPr>
        <w:t xml:space="preserve">              </w:t>
      </w:r>
      <w:r w:rsidR="00992664" w:rsidRPr="00020424">
        <w:rPr>
          <w:rtl/>
          <w:lang w:bidi="fa-IR"/>
        </w:rPr>
        <w:t xml:space="preserve">وَعِدَّةٌ مِنْ أَصْحَابِنَا ، عَنْ أَحْمَدَ بْنِ مُحَمَّدٍ جَمِيعاً ، عَنِ ابْنِ أَبِي عُمَيْرٍ ، عَنِ الْقَاسِمِ ابْنِ عُرْوَةَ ، عَنْ بُرَيْدِ </w:t>
      </w:r>
      <w:r w:rsidR="00992664" w:rsidRPr="00A91B96">
        <w:rPr>
          <w:rStyle w:val="libFootnotenumChar"/>
          <w:rtl/>
        </w:rPr>
        <w:t>(3)</w:t>
      </w:r>
      <w:r w:rsidR="00992664" w:rsidRPr="00020424">
        <w:rPr>
          <w:rtl/>
          <w:lang w:bidi="fa-IR"/>
        </w:rPr>
        <w:t xml:space="preserve"> بْنِ مُعَاوِيَةَ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إِذَا غَابَتِ الْحُمْرَةُ مِنْ هذَا الْجَانِبِ</w:t>
      </w:r>
      <w:r>
        <w:rPr>
          <w:rtl/>
          <w:lang w:bidi="fa-IR"/>
        </w:rPr>
        <w:t xml:space="preserve"> </w:t>
      </w:r>
      <w:r w:rsidR="009B673F">
        <w:rPr>
          <w:rtl/>
          <w:lang w:bidi="fa-IR"/>
        </w:rPr>
        <w:t>-</w:t>
      </w:r>
      <w:r>
        <w:rPr>
          <w:rtl/>
          <w:lang w:bidi="fa-IR"/>
        </w:rPr>
        <w:t xml:space="preserve"> </w:t>
      </w:r>
      <w:r w:rsidRPr="00020424">
        <w:rPr>
          <w:rtl/>
          <w:lang w:bidi="fa-IR"/>
        </w:rPr>
        <w:t xml:space="preserve">يَعْنِي نَاحِيَةَ </w:t>
      </w:r>
      <w:r w:rsidRPr="00A91B96">
        <w:rPr>
          <w:rStyle w:val="libFootnotenumChar"/>
          <w:rtl/>
        </w:rPr>
        <w:t>(4)</w:t>
      </w:r>
      <w:r w:rsidRPr="00020424">
        <w:rPr>
          <w:rtl/>
          <w:lang w:bidi="fa-IR"/>
        </w:rPr>
        <w:t xml:space="preserve"> الْمَشْرِقِ</w:t>
      </w:r>
      <w:r>
        <w:rPr>
          <w:rtl/>
          <w:lang w:bidi="fa-IR"/>
        </w:rPr>
        <w:t xml:space="preserve"> </w:t>
      </w:r>
      <w:r w:rsidR="009B673F">
        <w:rPr>
          <w:rtl/>
          <w:lang w:bidi="fa-IR"/>
        </w:rPr>
        <w:t>-</w:t>
      </w:r>
      <w:r>
        <w:rPr>
          <w:rtl/>
          <w:lang w:bidi="fa-IR"/>
        </w:rPr>
        <w:t xml:space="preserve"> </w:t>
      </w:r>
      <w:r w:rsidRPr="00020424">
        <w:rPr>
          <w:rtl/>
          <w:lang w:bidi="fa-IR"/>
        </w:rPr>
        <w:t xml:space="preserve">فَقَدْ غَابَتِ الشَّمْسُ فِي شَرْقِ الْأَرْضِ </w:t>
      </w:r>
      <w:r w:rsidRPr="00A91B96">
        <w:rPr>
          <w:rStyle w:val="libFootnotenumChar"/>
          <w:rtl/>
        </w:rPr>
        <w:t>(5)</w:t>
      </w:r>
      <w:r w:rsidRPr="00020424">
        <w:rPr>
          <w:rtl/>
          <w:lang w:bidi="fa-IR"/>
        </w:rPr>
        <w:t xml:space="preserve"> وَغَرْبِهَا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22B64">
        <w:rPr>
          <w:rtl/>
        </w:rPr>
        <w:t>6377</w:t>
      </w:r>
      <w:r w:rsidRPr="001155DE">
        <w:rPr>
          <w:rStyle w:val="libBold2Char"/>
          <w:rtl/>
        </w:rPr>
        <w:t xml:space="preserve"> / 3.</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سُئِلَ عَنِ الْإفْطَارِ : قَبْلَ الصَّلَاةِ ، أَوْ بَعْدَهَا</w:t>
      </w:r>
      <w:r>
        <w:rPr>
          <w:rtl/>
          <w:lang w:bidi="fa-IR"/>
        </w:rPr>
        <w:t>؟</w:t>
      </w:r>
    </w:p>
    <w:p w:rsidR="00992664" w:rsidRPr="00020424" w:rsidRDefault="00992664" w:rsidP="00992664">
      <w:pPr>
        <w:pStyle w:val="libNormal"/>
        <w:rPr>
          <w:rtl/>
          <w:lang w:bidi="fa-IR"/>
        </w:rPr>
      </w:pPr>
      <w:r w:rsidRPr="00020424">
        <w:rPr>
          <w:rtl/>
          <w:lang w:bidi="fa-IR"/>
        </w:rPr>
        <w:t xml:space="preserve">قَالَ : « إِنْ كَانَ مَعَهُ قَوْمٌ يَخْشى أَنْ يَحْبِسَهُمْ عَنْ عَشَائِهِمْ </w:t>
      </w:r>
      <w:r w:rsidRPr="00A91B96">
        <w:rPr>
          <w:rStyle w:val="libFootnotenumChar"/>
          <w:rtl/>
        </w:rPr>
        <w:t>(7)</w:t>
      </w:r>
      <w:r w:rsidRPr="00020424">
        <w:rPr>
          <w:rtl/>
          <w:lang w:bidi="fa-IR"/>
        </w:rPr>
        <w:t xml:space="preserve"> ، فَلْيُفْطِرْ مَعَهُمْ ، وَإِنْ‌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قد مضى في كتاب الصلاة أنّ معنى سقوط القرص غيبوبته في الا</w:t>
      </w:r>
      <w:r w:rsidR="00867163">
        <w:rPr>
          <w:rFonts w:hint="cs"/>
          <w:rtl/>
        </w:rPr>
        <w:t>ُ</w:t>
      </w:r>
      <w:r w:rsidR="00992664" w:rsidRPr="00020424">
        <w:rPr>
          <w:rtl/>
        </w:rPr>
        <w:t>فق بحيث إذا نظر إليه لم ير ، وأنّ تأخير الصلاة والإفطار إلى ذهاب الحمرة المشرقيّة من باب الأولى والأحوط ، دون الوجوب ، وذلك لأنّ بذهاب الحمرة يتحقّق الغروب التامّ من معمورة العالم ، أو أكثر البلاد ، فتفسير السقوط هنا بذلك تفسير له بما يتحقّق معه الاحتياط ، فلا ينافي كون معناه مجرّد الغيبوبة عن النظر في الا</w:t>
      </w:r>
      <w:r w:rsidR="008B21C8">
        <w:rPr>
          <w:rFonts w:hint="cs"/>
          <w:rtl/>
        </w:rPr>
        <w:t>ُ</w:t>
      </w:r>
      <w:r w:rsidR="00992664" w:rsidRPr="00020424">
        <w:rPr>
          <w:rtl/>
        </w:rPr>
        <w:t>فق</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الكافي</w:t>
      </w:r>
      <w:r w:rsidR="00992664" w:rsidRPr="00020424">
        <w:rPr>
          <w:rtl/>
        </w:rPr>
        <w:t xml:space="preserve"> ، كتاب الصلاة ، باب وقت المغرب والعشاء الآخرة ، ح 4844. وفي </w:t>
      </w:r>
      <w:r w:rsidR="00992664" w:rsidRPr="0012008A">
        <w:rPr>
          <w:rStyle w:val="libFootnoteBoldChar"/>
          <w:rtl/>
        </w:rPr>
        <w:t>التهذيب</w:t>
      </w:r>
      <w:r w:rsidR="00992664" w:rsidRPr="00020424">
        <w:rPr>
          <w:rtl/>
        </w:rPr>
        <w:t xml:space="preserve"> ، ج 4 ، ص 185 ، ح 516 ، معلّقاً عن الكليني </w:t>
      </w:r>
      <w:r w:rsidR="008B21C8">
        <w:rPr>
          <w:rFonts w:hint="cs"/>
          <w:rtl/>
        </w:rPr>
        <w:t>.</w:t>
      </w:r>
      <w:r w:rsidR="00992664" w:rsidRPr="0012008A">
        <w:rPr>
          <w:rStyle w:val="libFootnoteBoldChar"/>
          <w:rtl/>
        </w:rPr>
        <w:t>الوافي</w:t>
      </w:r>
      <w:r w:rsidR="00992664" w:rsidRPr="00020424">
        <w:rPr>
          <w:rtl/>
        </w:rPr>
        <w:t xml:space="preserve"> ، ج 11 ، ص 231 ، ح 10751 ؛ </w:t>
      </w:r>
      <w:r w:rsidR="00992664" w:rsidRPr="0012008A">
        <w:rPr>
          <w:rStyle w:val="libFootnoteBoldChar"/>
          <w:rtl/>
        </w:rPr>
        <w:t>الوسائل</w:t>
      </w:r>
      <w:r w:rsidR="00992664" w:rsidRPr="00020424">
        <w:rPr>
          <w:rtl/>
        </w:rPr>
        <w:t xml:space="preserve"> ، ج 10 ، ص 173 ، ذيل ح 4830 ؛ وج 10 ، ص 124 ، ح 13014.</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الاستبصار ، ح 957 : « يزيد » ، لكنّ المذكور في بعض نسخه المعتبرة هو « بريد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من » بدل « ناحية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270 : « قوله </w:t>
      </w:r>
      <w:r w:rsidR="00992664" w:rsidRPr="00D64ADA">
        <w:rPr>
          <w:rStyle w:val="libFootnoteAlaemChar"/>
          <w:rtl/>
        </w:rPr>
        <w:t>عليه‌السلام</w:t>
      </w:r>
      <w:r w:rsidR="00992664" w:rsidRPr="00020424">
        <w:rPr>
          <w:rtl/>
        </w:rPr>
        <w:t xml:space="preserve"> : في شرق الأرض ، أي القرص من المغرب وأثرها من المشرق ، أو من البلاد الشرقيّة والغربيّة القريبة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الصلاة ، باب وقت المغرب والعشاء الآخرة ، ح 4842 ؛ </w:t>
      </w:r>
      <w:r w:rsidR="00992664" w:rsidRPr="00515444">
        <w:rPr>
          <w:rStyle w:val="libFootnoteBoldChar"/>
          <w:rtl/>
        </w:rPr>
        <w:t>والتهذيب</w:t>
      </w:r>
      <w:r w:rsidR="00992664" w:rsidRPr="00020424">
        <w:rPr>
          <w:rtl/>
        </w:rPr>
        <w:t xml:space="preserve"> ، ج 2 ، ص 29 ، ح 84 و85 ؛ وص 257 ، ح 1021 ؛ </w:t>
      </w:r>
      <w:r w:rsidR="00992664" w:rsidRPr="00FD6221">
        <w:rPr>
          <w:rStyle w:val="libFootnoteBoldChar"/>
          <w:rtl/>
        </w:rPr>
        <w:t>والاستبصار</w:t>
      </w:r>
      <w:r w:rsidR="00992664" w:rsidRPr="00020424">
        <w:rPr>
          <w:rtl/>
        </w:rPr>
        <w:t xml:space="preserve"> ، ج 1 ، ص 265 ، ح 956 و957 ، بسند آخر عن القاسم بن عروة </w:t>
      </w:r>
      <w:r w:rsidR="00C25729">
        <w:rPr>
          <w:rFonts w:hint="cs"/>
          <w:rtl/>
        </w:rPr>
        <w:t>.</w:t>
      </w:r>
      <w:r w:rsidR="00992664" w:rsidRPr="0012008A">
        <w:rPr>
          <w:rStyle w:val="libFootnoteBoldChar"/>
          <w:rtl/>
        </w:rPr>
        <w:t>الوافي</w:t>
      </w:r>
      <w:r w:rsidR="00992664" w:rsidRPr="00020424">
        <w:rPr>
          <w:rtl/>
        </w:rPr>
        <w:t xml:space="preserve"> ، ج 7 ، ص 265 ، ح 5879 ؛ </w:t>
      </w:r>
      <w:r w:rsidR="00992664" w:rsidRPr="0012008A">
        <w:rPr>
          <w:rStyle w:val="libFootnoteBoldChar"/>
          <w:rtl/>
        </w:rPr>
        <w:t>الوسائل</w:t>
      </w:r>
      <w:r w:rsidR="00992664" w:rsidRPr="00020424">
        <w:rPr>
          <w:rtl/>
        </w:rPr>
        <w:t xml:space="preserve"> ، ج 4 ، ص 172 ، ذيل ح 4827.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العَشاء</w:t>
      </w:r>
      <w:r w:rsidR="00992664">
        <w:rPr>
          <w:rtl/>
        </w:rPr>
        <w:t xml:space="preserve"> </w:t>
      </w:r>
      <w:r w:rsidR="009B673F">
        <w:rPr>
          <w:rtl/>
        </w:rPr>
        <w:t>-</w:t>
      </w:r>
      <w:r w:rsidR="00992664">
        <w:rPr>
          <w:rtl/>
        </w:rPr>
        <w:t xml:space="preserve"> </w:t>
      </w:r>
      <w:r w:rsidR="00992664" w:rsidRPr="00020424">
        <w:rPr>
          <w:rtl/>
        </w:rPr>
        <w:t>بالفتح والمدّ</w:t>
      </w:r>
      <w:r w:rsidR="00992664">
        <w:rPr>
          <w:rtl/>
        </w:rPr>
        <w:t xml:space="preserve"> </w:t>
      </w:r>
      <w:r w:rsidR="009B673F">
        <w:rPr>
          <w:rtl/>
        </w:rPr>
        <w:t>-</w:t>
      </w:r>
      <w:r w:rsidR="00992664">
        <w:rPr>
          <w:rtl/>
        </w:rPr>
        <w:t xml:space="preserve"> </w:t>
      </w:r>
      <w:r w:rsidR="00992664" w:rsidRPr="00020424">
        <w:rPr>
          <w:rtl/>
        </w:rPr>
        <w:t xml:space="preserve">: الطعام بعينه الذي يؤكل عند العِشاء ، وهو خلاف الغَداء. راجع : </w:t>
      </w:r>
      <w:r w:rsidR="00992664" w:rsidRPr="0012008A">
        <w:rPr>
          <w:rStyle w:val="libFootnoteBoldChar"/>
          <w:rtl/>
        </w:rPr>
        <w:t>الصحاح</w:t>
      </w:r>
      <w:r w:rsidR="00992664" w:rsidRPr="00020424">
        <w:rPr>
          <w:rtl/>
        </w:rPr>
        <w:t xml:space="preserve"> ، ج 6 ، ص 2427 ؛ </w:t>
      </w:r>
      <w:r w:rsidR="00992664" w:rsidRPr="0012008A">
        <w:rPr>
          <w:rStyle w:val="libFootnoteBoldChar"/>
          <w:rtl/>
        </w:rPr>
        <w:t>النهاية</w:t>
      </w:r>
      <w:r w:rsidR="00992664" w:rsidRPr="00020424">
        <w:rPr>
          <w:rtl/>
        </w:rPr>
        <w:t xml:space="preserve"> ، ج 3 ، ص 242 ( عشا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كَانَ غَيْرُ </w:t>
      </w:r>
      <w:r w:rsidRPr="00A91B96">
        <w:rPr>
          <w:rStyle w:val="libFootnotenumChar"/>
          <w:rtl/>
        </w:rPr>
        <w:t>(1)</w:t>
      </w:r>
      <w:r w:rsidRPr="00020424">
        <w:rPr>
          <w:rtl/>
          <w:lang w:bidi="fa-IR"/>
        </w:rPr>
        <w:t xml:space="preserve"> ذلِكَ ، فَلْيُصَلِّ وَلْيُفْطِرْ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359" w:name="_Toc345172835"/>
      <w:bookmarkStart w:id="360" w:name="_Toc464562653"/>
      <w:bookmarkStart w:id="361" w:name="_Toc44599956"/>
      <w:r w:rsidRPr="00020424">
        <w:rPr>
          <w:rtl/>
          <w:lang w:bidi="fa-IR"/>
        </w:rPr>
        <w:t>21</w:t>
      </w:r>
      <w:r>
        <w:rPr>
          <w:rtl/>
          <w:lang w:bidi="fa-IR"/>
        </w:rPr>
        <w:t xml:space="preserve"> </w:t>
      </w:r>
      <w:r w:rsidR="009B673F">
        <w:rPr>
          <w:rtl/>
          <w:lang w:bidi="fa-IR"/>
        </w:rPr>
        <w:t>-</w:t>
      </w:r>
      <w:r>
        <w:rPr>
          <w:rtl/>
          <w:lang w:bidi="fa-IR"/>
        </w:rPr>
        <w:t xml:space="preserve"> </w:t>
      </w:r>
      <w:r w:rsidRPr="00020424">
        <w:rPr>
          <w:rtl/>
          <w:lang w:bidi="fa-IR"/>
        </w:rPr>
        <w:t>بَابُ مَنْ أَكَلَ أَوْ شَرِبَ نَاسِياً فِي شَهْرِ رَمَضَانَ‌</w:t>
      </w:r>
      <w:bookmarkEnd w:id="359"/>
      <w:bookmarkEnd w:id="360"/>
      <w:bookmarkEnd w:id="361"/>
    </w:p>
    <w:p w:rsidR="00C25729" w:rsidRDefault="00992664" w:rsidP="00C25729">
      <w:pPr>
        <w:pStyle w:val="libNormal"/>
        <w:rPr>
          <w:rtl/>
          <w:lang w:bidi="fa-IR"/>
        </w:rPr>
      </w:pPr>
      <w:r w:rsidRPr="00422B64">
        <w:rPr>
          <w:rtl/>
        </w:rPr>
        <w:t>6378</w:t>
      </w:r>
      <w:r w:rsidRPr="001155DE">
        <w:rPr>
          <w:rStyle w:val="libBold2Char"/>
          <w:rtl/>
        </w:rPr>
        <w:t xml:space="preserve"> / 1.</w:t>
      </w:r>
      <w:r w:rsidRPr="00020424">
        <w:rPr>
          <w:rtl/>
          <w:lang w:bidi="fa-IR"/>
        </w:rPr>
        <w:t xml:space="preserve"> عَلِيُّ بْنُ إِبْرَاهِيمَ ، عَنْ أَبِيهِ ؛</w:t>
      </w:r>
    </w:p>
    <w:p w:rsidR="00992664" w:rsidRPr="00020424" w:rsidRDefault="00C25729" w:rsidP="00C25729">
      <w:pPr>
        <w:pStyle w:val="libNormal"/>
        <w:rPr>
          <w:rtl/>
          <w:lang w:bidi="fa-IR"/>
        </w:rPr>
      </w:pPr>
      <w:r>
        <w:rPr>
          <w:rFonts w:hint="cs"/>
          <w:rtl/>
          <w:lang w:bidi="fa-IR"/>
        </w:rPr>
        <w:t xml:space="preserve">              </w:t>
      </w:r>
      <w:r w:rsidR="00992664" w:rsidRPr="00020424">
        <w:rPr>
          <w:rtl/>
          <w:lang w:bidi="fa-IR"/>
        </w:rPr>
        <w:t>وَمُحَمَّدُ بْنُ يَحْيى ، عَنْ أَحْمَدَ بْنِ مُحَمَّدٍ جَمِيعاً ، عَنِ ابْنِ أَبِي عُمَيْرٍ ، عَنْ حَمَّادِ بْنِ عُثْمَانَ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رَجُلٍ نَسِيَ ، فَأَكَلَ وَشَرِبَ ، ثُمَّ ذَكَرَ</w:t>
      </w:r>
      <w:r>
        <w:rPr>
          <w:rtl/>
          <w:lang w:bidi="fa-IR"/>
        </w:rPr>
        <w:t>؟</w:t>
      </w:r>
    </w:p>
    <w:p w:rsidR="00992664" w:rsidRPr="00020424" w:rsidRDefault="00992664" w:rsidP="00992664">
      <w:pPr>
        <w:pStyle w:val="libNormal"/>
        <w:rPr>
          <w:rtl/>
          <w:lang w:bidi="fa-IR"/>
        </w:rPr>
      </w:pPr>
      <w:r w:rsidRPr="00020424">
        <w:rPr>
          <w:rtl/>
          <w:lang w:bidi="fa-IR"/>
        </w:rPr>
        <w:t xml:space="preserve">قَالَ : « لَا يُفْطِرْ </w:t>
      </w:r>
      <w:r w:rsidRPr="00A91B96">
        <w:rPr>
          <w:rStyle w:val="libFootnotenumChar"/>
          <w:rtl/>
        </w:rPr>
        <w:t>(4)</w:t>
      </w:r>
      <w:r w:rsidRPr="00020424">
        <w:rPr>
          <w:rtl/>
          <w:lang w:bidi="fa-IR"/>
        </w:rPr>
        <w:t xml:space="preserve"> ، إِنَّمَا هُوَ شَيْ‌ءٌ رَزَقَهُ اللهُ عَزَّ وَجَلَّ ، فَلْيُتِمَّ صَوْمَهُ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422B64">
        <w:rPr>
          <w:rtl/>
        </w:rPr>
        <w:t>6379</w:t>
      </w:r>
      <w:r w:rsidRPr="001155DE">
        <w:rPr>
          <w:rStyle w:val="libBold2Char"/>
          <w:rtl/>
        </w:rPr>
        <w:t xml:space="preserve"> / 2.</w:t>
      </w:r>
      <w:r w:rsidRPr="00020424">
        <w:rPr>
          <w:rtl/>
          <w:lang w:bidi="fa-IR"/>
        </w:rPr>
        <w:t xml:space="preserve"> مُحَمَّدُ بْنُ يَحْيى ، عَنْ أَحْمَدَ بْنِ مُحَمَّدٍ ، عَنْ عُثْمَانَ بْنِ</w:t>
      </w:r>
      <w:r w:rsidR="00C25729">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سَأَلْتُهُ عَنِ الرَّجُلِ يَأْكُلُ وَيَشْرَبُ فِي شَهْرِ رَمَضَانَ</w:t>
      </w:r>
      <w:r>
        <w:rPr>
          <w:rtl/>
          <w:lang w:bidi="fa-IR"/>
        </w:rPr>
        <w:t>؟</w:t>
      </w:r>
    </w:p>
    <w:p w:rsidR="00992664" w:rsidRPr="00020424" w:rsidRDefault="00992664" w:rsidP="00992664">
      <w:pPr>
        <w:pStyle w:val="libNormal"/>
        <w:rPr>
          <w:rtl/>
          <w:lang w:bidi="fa-IR"/>
        </w:rPr>
      </w:pPr>
      <w:r w:rsidRPr="00020424">
        <w:rPr>
          <w:rtl/>
          <w:lang w:bidi="fa-IR"/>
        </w:rPr>
        <w:t>قَالَ : « لَيْسَ عَلَيْهِ قَضَاءُهُ ، فَلْيُتِمَّ صَوْمَهُ</w:t>
      </w:r>
      <w:r>
        <w:rPr>
          <w:rtl/>
          <w:lang w:bidi="fa-IR"/>
        </w:rPr>
        <w:t xml:space="preserve"> ».</w:t>
      </w:r>
    </w:p>
    <w:p w:rsidR="00992664" w:rsidRPr="00020424" w:rsidRDefault="00992664" w:rsidP="00992664">
      <w:pPr>
        <w:pStyle w:val="libNormal"/>
        <w:rPr>
          <w:rtl/>
          <w:lang w:bidi="fa-IR"/>
        </w:rPr>
      </w:pPr>
      <w:r w:rsidRPr="00422B64">
        <w:rPr>
          <w:rtl/>
        </w:rPr>
        <w:t>6380</w:t>
      </w:r>
      <w:r w:rsidRPr="001155DE">
        <w:rPr>
          <w:rStyle w:val="libBold2Char"/>
          <w:rtl/>
        </w:rPr>
        <w:t xml:space="preserve"> / 3.</w:t>
      </w:r>
      <w:r w:rsidRPr="00020424">
        <w:rPr>
          <w:rtl/>
          <w:lang w:bidi="fa-IR"/>
        </w:rPr>
        <w:t xml:space="preserve"> مُحَمَّدُ بْنُ يَحْيى ، عَنْ أَحْمَدَ بْنِ مُحَمَّدٍ ، عَنِ الْحُسَيْنِ بْنِ سَعِيدٍ ، عَنِ‌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051C9" w:rsidTr="006051C9">
        <w:tc>
          <w:tcPr>
            <w:tcW w:w="4006" w:type="dxa"/>
          </w:tcPr>
          <w:p w:rsidR="006051C9" w:rsidRDefault="006051C9" w:rsidP="00992664">
            <w:pPr>
              <w:pStyle w:val="libFootnote0"/>
              <w:rPr>
                <w:rtl/>
              </w:rPr>
            </w:pPr>
            <w:r>
              <w:rPr>
                <w:rtl/>
              </w:rPr>
              <w:t xml:space="preserve">(1). </w:t>
            </w:r>
            <w:r w:rsidRPr="00020424">
              <w:rPr>
                <w:rtl/>
              </w:rPr>
              <w:t>في « بر » : « دون</w:t>
            </w:r>
            <w:r>
              <w:rPr>
                <w:rtl/>
              </w:rPr>
              <w:t xml:space="preserve"> ».</w:t>
            </w:r>
          </w:p>
        </w:tc>
        <w:tc>
          <w:tcPr>
            <w:tcW w:w="4006" w:type="dxa"/>
          </w:tcPr>
          <w:p w:rsidR="006051C9" w:rsidRDefault="006051C9" w:rsidP="00992664">
            <w:pPr>
              <w:pStyle w:val="libFootnote0"/>
              <w:rPr>
                <w:rtl/>
              </w:rPr>
            </w:pPr>
            <w:r>
              <w:rPr>
                <w:rtl/>
              </w:rPr>
              <w:t xml:space="preserve">(2). </w:t>
            </w:r>
            <w:r w:rsidRPr="00020424">
              <w:rPr>
                <w:rtl/>
              </w:rPr>
              <w:t>في « بح ، بر ، بس ، بف ، جن » : « ويفطر</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185 ، ح 517 ، معلّقاً عن الكليني. </w:t>
      </w:r>
      <w:r w:rsidR="00992664" w:rsidRPr="0012008A">
        <w:rPr>
          <w:rStyle w:val="libFootnoteBoldChar"/>
          <w:rtl/>
        </w:rPr>
        <w:t>الفقيه</w:t>
      </w:r>
      <w:r w:rsidR="00992664" w:rsidRPr="00020424">
        <w:rPr>
          <w:rtl/>
        </w:rPr>
        <w:t xml:space="preserve"> ، ج 2 ، ص 129 ، ح 1933 ، معلّقاً عن الحلبي. </w:t>
      </w:r>
      <w:r w:rsidR="00992664" w:rsidRPr="0012008A">
        <w:rPr>
          <w:rStyle w:val="libFootnoteBoldChar"/>
          <w:rtl/>
        </w:rPr>
        <w:t>التهذيب</w:t>
      </w:r>
      <w:r w:rsidR="00992664" w:rsidRPr="00020424">
        <w:rPr>
          <w:rtl/>
        </w:rPr>
        <w:t xml:space="preserve"> ، ج 4 ، ص 198 ، صدر ح 570 ، بسند آخر عن أبي جعفر </w:t>
      </w:r>
      <w:r w:rsidR="00992664" w:rsidRPr="00D64ADA">
        <w:rPr>
          <w:rStyle w:val="libFootnoteAlaemChar"/>
          <w:rtl/>
        </w:rPr>
        <w:t>عليه‌السلام</w:t>
      </w:r>
      <w:r w:rsidR="00992664" w:rsidRPr="00020424">
        <w:rPr>
          <w:rtl/>
        </w:rPr>
        <w:t xml:space="preserve"> </w:t>
      </w:r>
      <w:r w:rsidR="00914C04">
        <w:rPr>
          <w:rFonts w:hint="cs"/>
          <w:rtl/>
        </w:rPr>
        <w:t>.</w:t>
      </w:r>
      <w:r w:rsidR="00992664" w:rsidRPr="0012008A">
        <w:rPr>
          <w:rStyle w:val="libFootnoteBoldChar"/>
          <w:rtl/>
        </w:rPr>
        <w:t>الوافي</w:t>
      </w:r>
      <w:r w:rsidR="00992664" w:rsidRPr="00020424">
        <w:rPr>
          <w:rtl/>
        </w:rPr>
        <w:t xml:space="preserve"> ، ج 11 ، ص 245 ، ح 10785 ؛ </w:t>
      </w:r>
      <w:r w:rsidR="00992664" w:rsidRPr="0012008A">
        <w:rPr>
          <w:rStyle w:val="libFootnoteBoldChar"/>
          <w:rtl/>
        </w:rPr>
        <w:t>الوسائل</w:t>
      </w:r>
      <w:r w:rsidR="00992664" w:rsidRPr="00020424">
        <w:rPr>
          <w:rtl/>
        </w:rPr>
        <w:t xml:space="preserve"> ، ج 10 ، ص 149 ، ذيل ح 13079.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271 : « قوله </w:t>
      </w:r>
      <w:r w:rsidR="00992664" w:rsidRPr="00D64ADA">
        <w:rPr>
          <w:rStyle w:val="libFootnoteAlaemChar"/>
          <w:rtl/>
        </w:rPr>
        <w:t>عليه‌السلام</w:t>
      </w:r>
      <w:r w:rsidR="00992664" w:rsidRPr="00020424">
        <w:rPr>
          <w:rtl/>
        </w:rPr>
        <w:t xml:space="preserve"> : لا يفطر ، بإطلاقه يشمل كلّ صوم ، كما هو المذهب ، فالتعميم في العنوان أولى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277 ، ح 838 ، بسنده عن محمّد بن أبي عمير ، عن حمّاد ، عن الحلبي. </w:t>
      </w:r>
      <w:r w:rsidR="00992664" w:rsidRPr="0012008A">
        <w:rPr>
          <w:rStyle w:val="libFootnoteBoldChar"/>
          <w:rtl/>
        </w:rPr>
        <w:t>الفقيه</w:t>
      </w:r>
      <w:r w:rsidR="00992664" w:rsidRPr="00020424">
        <w:rPr>
          <w:rtl/>
        </w:rPr>
        <w:t xml:space="preserve"> ، ج 2 ، ص 118 ، ح 1893 ، معلّقاً عن الحلبي. وفي </w:t>
      </w:r>
      <w:r w:rsidR="00992664" w:rsidRPr="0012008A">
        <w:rPr>
          <w:rStyle w:val="libFootnoteBoldChar"/>
          <w:rtl/>
        </w:rPr>
        <w:t>التهذيب</w:t>
      </w:r>
      <w:r w:rsidR="00992664" w:rsidRPr="00020424">
        <w:rPr>
          <w:rtl/>
        </w:rPr>
        <w:t xml:space="preserve"> ، ج 4 ، ص 268 ، ح 809 ؛ وص 277 ، ح 839 ، بسند آخر عن أبي جعفر ، عن‌أميرالمؤمنين </w:t>
      </w:r>
      <w:r w:rsidR="00D64ADA" w:rsidRPr="00D64ADA">
        <w:rPr>
          <w:rStyle w:val="libFootnoteAlaemChar"/>
          <w:rtl/>
        </w:rPr>
        <w:t>عليهما‌السلام</w:t>
      </w:r>
      <w:r w:rsidR="00992664" w:rsidRPr="00020424">
        <w:rPr>
          <w:rtl/>
        </w:rPr>
        <w:t xml:space="preserve"> ، مع اختلاف يسير. وراجع : </w:t>
      </w:r>
      <w:r w:rsidR="00992664" w:rsidRPr="00DE76B9">
        <w:rPr>
          <w:rStyle w:val="libFootnoteBoldChar"/>
          <w:rtl/>
        </w:rPr>
        <w:t>الكافي</w:t>
      </w:r>
      <w:r w:rsidR="00992664" w:rsidRPr="00020424">
        <w:rPr>
          <w:rtl/>
        </w:rPr>
        <w:t xml:space="preserve"> ، كتاب الصيام ، باب وجوه الصوم ، ضمن ح 6319 </w:t>
      </w:r>
      <w:r w:rsidR="00914C04">
        <w:rPr>
          <w:rFonts w:hint="cs"/>
          <w:rtl/>
        </w:rPr>
        <w:t>.</w:t>
      </w:r>
      <w:r w:rsidR="00992664" w:rsidRPr="0012008A">
        <w:rPr>
          <w:rStyle w:val="libFootnoteBoldChar"/>
          <w:rtl/>
        </w:rPr>
        <w:t>الوافي</w:t>
      </w:r>
      <w:r w:rsidR="00992664" w:rsidRPr="00020424">
        <w:rPr>
          <w:rtl/>
        </w:rPr>
        <w:t xml:space="preserve"> ، ج 11 ، ص 285 ، ح 10866 ؛ </w:t>
      </w:r>
      <w:r w:rsidR="00992664" w:rsidRPr="0012008A">
        <w:rPr>
          <w:rStyle w:val="libFootnoteBoldChar"/>
          <w:rtl/>
        </w:rPr>
        <w:t>الوسائل</w:t>
      </w:r>
      <w:r w:rsidR="00992664" w:rsidRPr="00020424">
        <w:rPr>
          <w:rtl/>
        </w:rPr>
        <w:t xml:space="preserve"> ، ج 10 ، ص 50 ذيل ح 12802.</w:t>
      </w:r>
    </w:p>
    <w:p w:rsidR="00795177" w:rsidRDefault="00795177" w:rsidP="00795177">
      <w:pPr>
        <w:pStyle w:val="libNormal"/>
        <w:rPr>
          <w:rtl/>
          <w:lang w:bidi="fa-IR"/>
        </w:rPr>
      </w:pPr>
      <w:r>
        <w:rPr>
          <w:rtl/>
          <w:lang w:bidi="fa-IR"/>
        </w:rPr>
        <w:br w:type="page"/>
      </w:r>
    </w:p>
    <w:p w:rsidR="00992664" w:rsidRPr="00020424" w:rsidRDefault="00992664" w:rsidP="00914C04">
      <w:pPr>
        <w:pStyle w:val="libNormal0"/>
        <w:rPr>
          <w:rtl/>
          <w:lang w:bidi="fa-IR"/>
        </w:rPr>
      </w:pPr>
      <w:r w:rsidRPr="00020424">
        <w:rPr>
          <w:rtl/>
          <w:lang w:bidi="fa-IR"/>
        </w:rPr>
        <w:t>الْقَاسِمِ بْنِ مُحَمَّدٍ ، عَنْ عَلِيِّ بْنِ أَبِي حَمْزَةَ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w:t>
      </w:r>
      <w:r w:rsidRPr="00A91B96">
        <w:rPr>
          <w:rStyle w:val="libFootnotenumChar"/>
          <w:rtl/>
        </w:rPr>
        <w:t>(1)</w:t>
      </w:r>
      <w:r w:rsidRPr="00020424">
        <w:rPr>
          <w:rtl/>
          <w:lang w:bidi="fa-IR"/>
        </w:rPr>
        <w:t xml:space="preserve"> عَنْ رَجُلٍ صَامَ فِي شَهْرِ </w:t>
      </w:r>
      <w:r w:rsidRPr="00A91B96">
        <w:rPr>
          <w:rStyle w:val="libFootnotenumChar"/>
          <w:rtl/>
        </w:rPr>
        <w:t>(2)</w:t>
      </w:r>
      <w:r w:rsidRPr="00020424">
        <w:rPr>
          <w:rtl/>
          <w:lang w:bidi="fa-IR"/>
        </w:rPr>
        <w:t xml:space="preserve"> رَمَضَانَ ، فَأَكَلَ وَشَرِبَ </w:t>
      </w:r>
      <w:r w:rsidRPr="00A91B96">
        <w:rPr>
          <w:rStyle w:val="libFootnotenumChar"/>
          <w:rtl/>
        </w:rPr>
        <w:t>(3)</w:t>
      </w:r>
      <w:r w:rsidRPr="00020424">
        <w:rPr>
          <w:rtl/>
          <w:lang w:bidi="fa-IR"/>
        </w:rPr>
        <w:t xml:space="preserve"> نَاسِياً</w:t>
      </w:r>
      <w:r>
        <w:rPr>
          <w:rtl/>
          <w:lang w:bidi="fa-IR"/>
        </w:rPr>
        <w:t>؟</w:t>
      </w:r>
    </w:p>
    <w:p w:rsidR="00992664" w:rsidRPr="00020424" w:rsidRDefault="00992664" w:rsidP="00992664">
      <w:pPr>
        <w:pStyle w:val="libNormal"/>
        <w:rPr>
          <w:rtl/>
          <w:lang w:bidi="fa-IR"/>
        </w:rPr>
      </w:pPr>
      <w:r w:rsidRPr="00020424">
        <w:rPr>
          <w:rtl/>
          <w:lang w:bidi="fa-IR"/>
        </w:rPr>
        <w:t>قَالَ : « يُتِمُّ صَوْمَهُ ، وَلَيْسَ عَلَيْهِ قَضَاؤُهُ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22B64">
        <w:rPr>
          <w:rtl/>
        </w:rPr>
        <w:t>6381</w:t>
      </w:r>
      <w:r w:rsidRPr="001155DE">
        <w:rPr>
          <w:rStyle w:val="libBold2Char"/>
          <w:rtl/>
        </w:rPr>
        <w:t xml:space="preserve"> / 4.</w:t>
      </w:r>
      <w:r w:rsidRPr="00020424">
        <w:rPr>
          <w:rtl/>
          <w:lang w:bidi="fa-IR"/>
        </w:rPr>
        <w:t xml:space="preserve"> عِدَّةٌ مِنْ أَصْحَابِنَا ، عَنْ سَهْلِ بْنِ زِيَادٍ ، عَنْ أَحْمَدَ بْنِ مُحَمَّدِ بْنِ أَبِي نَصْرٍ ، عَنْ دَاوُدَ بْنِ سِرْحَانَ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يَنْسى ، فَيَأْكُلُ </w:t>
      </w:r>
      <w:r w:rsidRPr="00A91B96">
        <w:rPr>
          <w:rStyle w:val="libFootnotenumChar"/>
          <w:rtl/>
        </w:rPr>
        <w:t>(5)</w:t>
      </w:r>
      <w:r w:rsidRPr="00020424">
        <w:rPr>
          <w:rtl/>
          <w:lang w:bidi="fa-IR"/>
        </w:rPr>
        <w:t xml:space="preserve"> فِي شَهْرِ رَمَضَانَ</w:t>
      </w:r>
      <w:r>
        <w:rPr>
          <w:rtl/>
          <w:lang w:bidi="fa-IR"/>
        </w:rPr>
        <w:t>؟</w:t>
      </w:r>
    </w:p>
    <w:p w:rsidR="00992664" w:rsidRPr="00020424" w:rsidRDefault="00992664" w:rsidP="00992664">
      <w:pPr>
        <w:pStyle w:val="libNormal"/>
        <w:rPr>
          <w:rtl/>
          <w:lang w:bidi="fa-IR"/>
        </w:rPr>
      </w:pPr>
      <w:r w:rsidRPr="00020424">
        <w:rPr>
          <w:rtl/>
          <w:lang w:bidi="fa-IR"/>
        </w:rPr>
        <w:t xml:space="preserve">قَالَ : « يُتِمُّ صَوْمَهُ ؛ فَإِنَّمَا </w:t>
      </w:r>
      <w:r w:rsidRPr="00A91B96">
        <w:rPr>
          <w:rStyle w:val="libFootnotenumChar"/>
          <w:rtl/>
        </w:rPr>
        <w:t>(6)</w:t>
      </w:r>
      <w:r w:rsidRPr="00020424">
        <w:rPr>
          <w:rtl/>
          <w:lang w:bidi="fa-IR"/>
        </w:rPr>
        <w:t xml:space="preserve"> هُوَ شَيْ‌ءٌ أَطْعَمَهُ اللهُ إِيَّاهُ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362" w:name="_Toc345172836"/>
      <w:bookmarkStart w:id="363" w:name="_Toc464562654"/>
      <w:bookmarkStart w:id="364" w:name="_Toc44599957"/>
      <w:r w:rsidRPr="00020424">
        <w:rPr>
          <w:rtl/>
          <w:lang w:bidi="fa-IR"/>
        </w:rPr>
        <w:t>22</w:t>
      </w:r>
      <w:r>
        <w:rPr>
          <w:rtl/>
          <w:lang w:bidi="fa-IR"/>
        </w:rPr>
        <w:t xml:space="preserve"> </w:t>
      </w:r>
      <w:r w:rsidR="009B673F">
        <w:rPr>
          <w:rtl/>
          <w:lang w:bidi="fa-IR"/>
        </w:rPr>
        <w:t>-</w:t>
      </w:r>
      <w:r>
        <w:rPr>
          <w:rtl/>
          <w:lang w:bidi="fa-IR"/>
        </w:rPr>
        <w:t xml:space="preserve"> </w:t>
      </w:r>
      <w:r w:rsidRPr="00020424">
        <w:rPr>
          <w:rtl/>
          <w:lang w:bidi="fa-IR"/>
        </w:rPr>
        <w:t>بَابُ مَنْ أَفْطَرَ مُتَعَمِّداً مِنْ غَيْرِ عُذْرٍ أَوْ جَامَعَ مُتَعَمِّداً فِي شَهْرِ رَمَضَانَ‌</w:t>
      </w:r>
      <w:bookmarkEnd w:id="362"/>
      <w:bookmarkEnd w:id="363"/>
      <w:bookmarkEnd w:id="364"/>
    </w:p>
    <w:p w:rsidR="00992664" w:rsidRPr="00020424" w:rsidRDefault="00992664" w:rsidP="00992664">
      <w:pPr>
        <w:pStyle w:val="libNormal"/>
        <w:rPr>
          <w:rtl/>
          <w:lang w:bidi="fa-IR"/>
        </w:rPr>
      </w:pPr>
      <w:r w:rsidRPr="00422B64">
        <w:rPr>
          <w:rtl/>
        </w:rPr>
        <w:t>6382</w:t>
      </w:r>
      <w:r w:rsidRPr="001155DE">
        <w:rPr>
          <w:rStyle w:val="libBold2Char"/>
          <w:rtl/>
        </w:rPr>
        <w:t xml:space="preserve"> / 1.</w:t>
      </w:r>
      <w:r w:rsidRPr="00020424">
        <w:rPr>
          <w:rtl/>
          <w:lang w:bidi="fa-IR"/>
        </w:rPr>
        <w:t xml:space="preserve"> عِدَّةٌ مِنْ أَصْحَابِنَا ، عَنْ أَحْمَدَ بْنِ مُحَمَّدِ بْنِ عِيسى ، عَنِ الْحَسَنِ بْنِ مَحْبُوبٍ ، عَنْ عَبْدِ اللهِ بْنِ سِنَانٍ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لم يرد في النسخ من « عن الرجل يأكل ويشرب » في الحديث السابق ، إلى « سألت أبا عبدالله </w:t>
      </w:r>
      <w:r w:rsidR="00992664" w:rsidRPr="00D64ADA">
        <w:rPr>
          <w:rStyle w:val="libFootnoteAlaemChar"/>
          <w:rtl/>
        </w:rPr>
        <w:t>عليه‌السلام</w:t>
      </w:r>
      <w:r w:rsidR="00914C04">
        <w:rPr>
          <w:rtl/>
        </w:rPr>
        <w:t xml:space="preserve"> » في حديثنا هذا ، إل</w:t>
      </w:r>
      <w:r w:rsidR="00914C04">
        <w:rPr>
          <w:rFonts w:hint="cs"/>
          <w:rtl/>
        </w:rPr>
        <w:t>ّ</w:t>
      </w:r>
      <w:r w:rsidR="00914C04">
        <w:rPr>
          <w:rtl/>
        </w:rPr>
        <w:t>ا</w:t>
      </w:r>
      <w:r w:rsidR="00914C04">
        <w:rPr>
          <w:rFonts w:hint="cs"/>
          <w:rtl/>
        </w:rPr>
        <w:t xml:space="preserve"> </w:t>
      </w:r>
      <w:r w:rsidR="00992664" w:rsidRPr="00020424">
        <w:rPr>
          <w:rtl/>
        </w:rPr>
        <w:t>في « جر</w:t>
      </w:r>
      <w:r w:rsidR="00992664">
        <w:rPr>
          <w:rtl/>
        </w:rPr>
        <w:t xml:space="preserve"> ».</w:t>
      </w:r>
      <w:r w:rsidR="00992664" w:rsidRPr="00020424">
        <w:rPr>
          <w:rtl/>
        </w:rPr>
        <w:t xml:space="preserve"> واحتمال وقوع السقط هنا في أكثر النسخ أقوى وأظهر جدّاً من احتمال الزيادة في « جر » ؛ إذ لاوجه منطقي لزيادة هذه العبارة لاسيّما بعد ما كانت مولّفة من متن وسند دون العكس. والسند المذكور في هذه العبارة من أسناد الكليني </w:t>
      </w:r>
      <w:r w:rsidR="00D64ADA" w:rsidRPr="00D64ADA">
        <w:rPr>
          <w:rStyle w:val="libFootnoteAlaemChar"/>
          <w:rtl/>
        </w:rPr>
        <w:t>قدس‌سره</w:t>
      </w:r>
      <w:r w:rsidR="00992664" w:rsidRPr="00020424">
        <w:rPr>
          <w:rtl/>
        </w:rPr>
        <w:t xml:space="preserve"> قد صرّح به في كثيرٍ من مواضع </w:t>
      </w:r>
      <w:r w:rsidR="00992664" w:rsidRPr="00DE76B9">
        <w:rPr>
          <w:rStyle w:val="libFootnoteBoldChar"/>
          <w:rtl/>
        </w:rPr>
        <w:t>الكافي</w:t>
      </w:r>
      <w:r w:rsidR="00992664" w:rsidRPr="0002042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بس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أو شرب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268 ، ح 808 ، معلّقاً عن الحسين بن سعيد ، عن القاسم بن محمّد ، عن علىّ ، عن أبي بصير </w:t>
      </w:r>
      <w:r w:rsidR="00EF74C4">
        <w:rPr>
          <w:rFonts w:hint="cs"/>
          <w:rtl/>
        </w:rPr>
        <w:t>.</w:t>
      </w:r>
      <w:r w:rsidR="00992664" w:rsidRPr="0012008A">
        <w:rPr>
          <w:rStyle w:val="libFootnoteBoldChar"/>
          <w:rtl/>
        </w:rPr>
        <w:t>الوافي</w:t>
      </w:r>
      <w:r w:rsidR="00992664" w:rsidRPr="00020424">
        <w:rPr>
          <w:rtl/>
        </w:rPr>
        <w:t xml:space="preserve"> ، ج 11 ، ص 286 ، ح 10869 ؛ </w:t>
      </w:r>
      <w:r w:rsidR="00992664" w:rsidRPr="0012008A">
        <w:rPr>
          <w:rStyle w:val="libFootnoteBoldChar"/>
          <w:rtl/>
        </w:rPr>
        <w:t>الوسائل</w:t>
      </w:r>
      <w:r w:rsidR="00992664" w:rsidRPr="00020424">
        <w:rPr>
          <w:rtl/>
        </w:rPr>
        <w:t xml:space="preserve"> ، ج 10 ، ص 51 ، ح 12806.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بح ، بس ، جن » </w:t>
      </w:r>
      <w:r w:rsidR="00992664" w:rsidRPr="00EB1FD9">
        <w:rPr>
          <w:rStyle w:val="libFootnoteBoldChar"/>
          <w:rtl/>
        </w:rPr>
        <w:t>والوسائل</w:t>
      </w:r>
      <w:r w:rsidR="00992664" w:rsidRPr="00020424">
        <w:rPr>
          <w:rtl/>
        </w:rPr>
        <w:t xml:space="preserve"> : « ويأكل</w:t>
      </w:r>
      <w:r w:rsidR="00992664">
        <w:rPr>
          <w:rtl/>
        </w:rPr>
        <w:t xml:space="preserve"> ».</w:t>
      </w:r>
      <w:r w:rsidR="00992664" w:rsidRPr="00020424">
        <w:rPr>
          <w:rtl/>
        </w:rPr>
        <w:t xml:space="preserve"> وفي « بث » : « فأكل وشرب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جن » : « إنّما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بث ، بح ، بر ، بس ، بف ، جن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إيّاه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268 ، ح 810 ، معلّقاً عن الكليني </w:t>
      </w:r>
      <w:r w:rsidR="00EF74C4">
        <w:rPr>
          <w:rFonts w:hint="cs"/>
          <w:rtl/>
        </w:rPr>
        <w:t>.</w:t>
      </w:r>
      <w:r w:rsidR="00992664" w:rsidRPr="0012008A">
        <w:rPr>
          <w:rStyle w:val="libFootnoteBoldChar"/>
          <w:rtl/>
        </w:rPr>
        <w:t>الوافي</w:t>
      </w:r>
      <w:r w:rsidR="00992664" w:rsidRPr="00020424">
        <w:rPr>
          <w:rtl/>
        </w:rPr>
        <w:t xml:space="preserve"> ، ج 11 ، ص 286 ، ح 10868 ؛ </w:t>
      </w:r>
      <w:r w:rsidR="00992664" w:rsidRPr="0012008A">
        <w:rPr>
          <w:rStyle w:val="libFootnoteBoldChar"/>
          <w:rtl/>
        </w:rPr>
        <w:t>الوسائل</w:t>
      </w:r>
      <w:r w:rsidR="00992664" w:rsidRPr="00020424">
        <w:rPr>
          <w:rtl/>
        </w:rPr>
        <w:t xml:space="preserve"> ، ج 10 ، ص 51 ، ح 12807.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أَفْطَرَ مِنْ </w:t>
      </w:r>
      <w:r w:rsidRPr="00A91B96">
        <w:rPr>
          <w:rStyle w:val="libFootnotenumChar"/>
          <w:rtl/>
        </w:rPr>
        <w:t>(1)</w:t>
      </w:r>
      <w:r w:rsidRPr="00020424">
        <w:rPr>
          <w:rtl/>
          <w:lang w:bidi="fa-IR"/>
        </w:rPr>
        <w:t xml:space="preserve"> شَهْرِ رَمَضَانَ مُتَعَمِّداً يَوْماً وَاحِداً مِنْ غَيْرِ عُذْرٍ ، قَالَ : « يُعْتِقُ نَسَمَةً </w:t>
      </w:r>
      <w:r w:rsidRPr="00A91B96">
        <w:rPr>
          <w:rStyle w:val="libFootnotenumChar"/>
          <w:rtl/>
        </w:rPr>
        <w:t>(2)</w:t>
      </w:r>
      <w:r w:rsidRPr="00020424">
        <w:rPr>
          <w:rtl/>
          <w:lang w:bidi="fa-IR"/>
        </w:rPr>
        <w:t xml:space="preserve"> ، أَوْ يَصُومُ شَهْرَيْنِ مُتَتَابِعَيْنِ ، أَوْ يُطْعِمُ سِتِّينَ مِسْكِيناً ، فَإِنْ لَمْ يَقْدِرْ ، تَصَدَّقَ بِمَا يُطِيقُ</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EF74C4" w:rsidRDefault="00992664" w:rsidP="00EF74C4">
      <w:pPr>
        <w:pStyle w:val="libNormal"/>
        <w:rPr>
          <w:rtl/>
          <w:lang w:bidi="fa-IR"/>
        </w:rPr>
      </w:pPr>
      <w:r w:rsidRPr="00422B64">
        <w:rPr>
          <w:rtl/>
        </w:rPr>
        <w:t>6383</w:t>
      </w:r>
      <w:r w:rsidRPr="001155DE">
        <w:rPr>
          <w:rStyle w:val="libBold2Char"/>
          <w:rtl/>
        </w:rPr>
        <w:t xml:space="preserve"> / 2.</w:t>
      </w:r>
      <w:r w:rsidRPr="00020424">
        <w:rPr>
          <w:rtl/>
          <w:lang w:bidi="fa-IR"/>
        </w:rPr>
        <w:t xml:space="preserve"> عَلِيُّ بْنُ إِبْرَاهِيمَ ، عَنْ أَبِيهِ ؛</w:t>
      </w:r>
    </w:p>
    <w:p w:rsidR="00992664" w:rsidRPr="00020424" w:rsidRDefault="00EF74C4" w:rsidP="00EF74C4">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جَمِيلِ بْنِ دَرَّاجٍ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رَجُلٍ أَفْطَرَ يَوْماً مِنْ شَهْرِ رَمَضَانَ مُتَعَمِّداً</w:t>
      </w:r>
      <w:r>
        <w:rPr>
          <w:rtl/>
          <w:lang w:bidi="fa-IR"/>
        </w:rPr>
        <w:t>؟</w:t>
      </w:r>
    </w:p>
    <w:p w:rsidR="00992664" w:rsidRPr="00020424" w:rsidRDefault="00992664" w:rsidP="00992664">
      <w:pPr>
        <w:pStyle w:val="libNormal"/>
        <w:rPr>
          <w:rtl/>
          <w:lang w:bidi="fa-IR"/>
        </w:rPr>
      </w:pPr>
      <w:r w:rsidRPr="00020424">
        <w:rPr>
          <w:rtl/>
          <w:lang w:bidi="fa-IR"/>
        </w:rPr>
        <w:t xml:space="preserve">فَقَالَ : « إِنَّ رَجُلاً </w:t>
      </w:r>
      <w:r w:rsidRPr="00A91B96">
        <w:rPr>
          <w:rStyle w:val="libFootnotenumChar"/>
          <w:rtl/>
        </w:rPr>
        <w:t>(4)</w:t>
      </w:r>
      <w:r w:rsidRPr="00020424">
        <w:rPr>
          <w:rtl/>
          <w:lang w:bidi="fa-IR"/>
        </w:rPr>
        <w:t xml:space="preserve"> أَتَى النَّبِيَّ </w:t>
      </w:r>
      <w:r w:rsidR="00B42914" w:rsidRPr="00B42914">
        <w:rPr>
          <w:rStyle w:val="libAlaemChar"/>
          <w:rtl/>
        </w:rPr>
        <w:t>صلى‌الله‌عليه‌وآله‌</w:t>
      </w:r>
      <w:r w:rsidRPr="00020424">
        <w:rPr>
          <w:rtl/>
          <w:lang w:bidi="fa-IR"/>
        </w:rPr>
        <w:t xml:space="preserve"> ، فَقَالَ : هَلَكْتُ يَا رَسُولَ اللهِ ، فَقَالَ : مَا لَكَ</w:t>
      </w:r>
      <w:r>
        <w:rPr>
          <w:rtl/>
          <w:lang w:bidi="fa-IR"/>
        </w:rPr>
        <w:t>؟</w:t>
      </w:r>
      <w:r>
        <w:rPr>
          <w:rFonts w:hint="cs"/>
          <w:rtl/>
          <w:lang w:bidi="fa-IR"/>
        </w:rPr>
        <w:t xml:space="preserve"> </w:t>
      </w:r>
      <w:r w:rsidRPr="00020424">
        <w:rPr>
          <w:rtl/>
          <w:lang w:bidi="fa-IR"/>
        </w:rPr>
        <w:t xml:space="preserve">فَقَالَ </w:t>
      </w:r>
      <w:r w:rsidRPr="00A91B96">
        <w:rPr>
          <w:rStyle w:val="libFootnotenumChar"/>
          <w:rtl/>
        </w:rPr>
        <w:t>(5)</w:t>
      </w:r>
      <w:r w:rsidRPr="00020424">
        <w:rPr>
          <w:rtl/>
          <w:lang w:bidi="fa-IR"/>
        </w:rPr>
        <w:t xml:space="preserve"> : النَّارَ يَا رَسُولَ اللهِ ، قَالَ : وَمَا لَكَ</w:t>
      </w:r>
      <w:r>
        <w:rPr>
          <w:rtl/>
          <w:lang w:bidi="fa-IR"/>
        </w:rPr>
        <w:t>؟</w:t>
      </w:r>
      <w:r w:rsidRPr="00020424">
        <w:rPr>
          <w:rtl/>
          <w:lang w:bidi="fa-IR"/>
        </w:rPr>
        <w:t xml:space="preserve"> قَالَ : وَقَعْتُ عَلى أَهْلِي ، قَالَ : تَصَدَّقْ ، وَاسْتَغْفِرْ </w:t>
      </w:r>
      <w:r w:rsidRPr="00A91B96">
        <w:rPr>
          <w:rStyle w:val="libFootnotenumChar"/>
          <w:rtl/>
        </w:rPr>
        <w:t>(6)</w:t>
      </w:r>
      <w:r w:rsidRPr="00020424">
        <w:rPr>
          <w:rtl/>
          <w:lang w:bidi="fa-IR"/>
        </w:rPr>
        <w:t xml:space="preserve"> ، فَقَالَ الرَّجُلُ : فَوَ الَّذِي </w:t>
      </w:r>
      <w:r w:rsidRPr="00A91B96">
        <w:rPr>
          <w:rStyle w:val="libFootnotenumChar"/>
          <w:rtl/>
        </w:rPr>
        <w:t>(7)</w:t>
      </w:r>
      <w:r w:rsidRPr="00020424">
        <w:rPr>
          <w:rtl/>
          <w:lang w:bidi="fa-IR"/>
        </w:rPr>
        <w:t xml:space="preserve"> عَظَّمَ حَقَّكَ مَا تَرَكْتُ فِي الْبَيْتِ شَيْئاً لَا </w:t>
      </w:r>
      <w:r w:rsidRPr="00A91B96">
        <w:rPr>
          <w:rStyle w:val="libFootnotenumChar"/>
          <w:rtl/>
        </w:rPr>
        <w:t>(8)</w:t>
      </w:r>
      <w:r w:rsidRPr="00020424">
        <w:rPr>
          <w:rtl/>
          <w:lang w:bidi="fa-IR"/>
        </w:rPr>
        <w:t xml:space="preserve"> قَلِيلاً وَلَا كَثِيراً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فَدَخَلَ رَجُلٌ مِنَ النَّاسِ بِمِكْتَلٍ </w:t>
      </w:r>
      <w:r w:rsidRPr="00A91B96">
        <w:rPr>
          <w:rStyle w:val="libFootnotenumChar"/>
          <w:rtl/>
        </w:rPr>
        <w:t>(9)</w:t>
      </w:r>
      <w:r w:rsidRPr="00020424">
        <w:rPr>
          <w:rtl/>
          <w:lang w:bidi="fa-IR"/>
        </w:rPr>
        <w:t xml:space="preserve"> مِنْ تَمْرٍ فِيهِ عِشْرُونَ صَاعاً يَكُونُ عَشَرَةَ‌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جت ، بح ، بس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قال الجوهري : « النسمة : الإنسان</w:t>
      </w:r>
      <w:r w:rsidR="00992664">
        <w:rPr>
          <w:rtl/>
        </w:rPr>
        <w:t xml:space="preserve"> ».</w:t>
      </w:r>
      <w:r w:rsidR="00992664" w:rsidRPr="00020424">
        <w:rPr>
          <w:rtl/>
        </w:rPr>
        <w:t xml:space="preserve"> وقال ابن الأثير : « النسمة : النفس والروح ، وكلّ دابّة فيها روح فهي‌نسمة</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5 ، ص 2040 ؛ </w:t>
      </w:r>
      <w:r w:rsidR="00992664" w:rsidRPr="0012008A">
        <w:rPr>
          <w:rStyle w:val="libFootnoteBoldChar"/>
          <w:rtl/>
        </w:rPr>
        <w:t>النهاية</w:t>
      </w:r>
      <w:r w:rsidR="00992664" w:rsidRPr="00020424">
        <w:rPr>
          <w:rtl/>
        </w:rPr>
        <w:t xml:space="preserve"> ، ج 5 ، ص 49 ( نسم )</w:t>
      </w:r>
      <w:r w:rsidR="00992664">
        <w:rPr>
          <w:rtl/>
        </w:rPr>
        <w:t>.</w:t>
      </w:r>
    </w:p>
    <w:p w:rsidR="00992664" w:rsidRPr="00020424" w:rsidRDefault="00795177" w:rsidP="009440DC">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205 ، ح 594 ؛ </w:t>
      </w:r>
      <w:r w:rsidR="00992664" w:rsidRPr="00FD6221">
        <w:rPr>
          <w:rStyle w:val="libFootnoteBoldChar"/>
          <w:rtl/>
        </w:rPr>
        <w:t>والاستبصار</w:t>
      </w:r>
      <w:r w:rsidR="00992664" w:rsidRPr="00020424">
        <w:rPr>
          <w:rtl/>
        </w:rPr>
        <w:t xml:space="preserve"> ، ج 2 ، ص 95 ، ح 310 ، معلّقاً عن الكليني. </w:t>
      </w:r>
      <w:r w:rsidR="00992664" w:rsidRPr="0012008A">
        <w:rPr>
          <w:rStyle w:val="libFootnoteBoldChar"/>
          <w:rtl/>
        </w:rPr>
        <w:t>الفقيه</w:t>
      </w:r>
      <w:r w:rsidR="00992664" w:rsidRPr="00020424">
        <w:rPr>
          <w:rtl/>
        </w:rPr>
        <w:t xml:space="preserve"> ، ج 2 ، ص 115 ، ح 1884 ، معلّقاً عن الحسن بن محبوب. </w:t>
      </w:r>
      <w:r w:rsidR="00992664" w:rsidRPr="0012008A">
        <w:rPr>
          <w:rStyle w:val="libFootnoteBoldChar"/>
          <w:rtl/>
        </w:rPr>
        <w:t>التهذيب</w:t>
      </w:r>
      <w:r w:rsidR="00992664" w:rsidRPr="00020424">
        <w:rPr>
          <w:rtl/>
        </w:rPr>
        <w:t xml:space="preserve"> ، ج 4 ، ص 321 ، ح 984 ، بسنده عن عبدالله بن سنان. </w:t>
      </w:r>
      <w:r w:rsidR="00992664" w:rsidRPr="0012008A">
        <w:rPr>
          <w:rStyle w:val="libFootnoteBoldChar"/>
          <w:rtl/>
        </w:rPr>
        <w:t>الفقيه</w:t>
      </w:r>
      <w:r w:rsidR="00992664" w:rsidRPr="00020424">
        <w:rPr>
          <w:rtl/>
        </w:rPr>
        <w:t xml:space="preserve"> ، ج 3 ، ص 528 ، ح 4830 ، مرسلاً من دون الإسناد إلى المعصوم </w:t>
      </w:r>
      <w:r w:rsidR="00992664" w:rsidRPr="00D64ADA">
        <w:rPr>
          <w:rStyle w:val="libFootnoteAlaemChar"/>
          <w:rtl/>
        </w:rPr>
        <w:t>عليه‌السلام</w:t>
      </w:r>
      <w:r w:rsidR="00992664" w:rsidRPr="00020424">
        <w:rPr>
          <w:rtl/>
        </w:rPr>
        <w:t xml:space="preserve"> ، وتمام الرواية : « أنّه إذا لم يقدر على الإطعام تصدّق بما يطيق » </w:t>
      </w:r>
      <w:r w:rsidR="00EF74C4">
        <w:rPr>
          <w:rFonts w:hint="cs"/>
          <w:rtl/>
        </w:rPr>
        <w:t>.</w:t>
      </w:r>
      <w:r w:rsidR="00992664" w:rsidRPr="0012008A">
        <w:rPr>
          <w:rStyle w:val="libFootnoteBoldChar"/>
          <w:rtl/>
        </w:rPr>
        <w:t>الوافي</w:t>
      </w:r>
      <w:r w:rsidR="00992664" w:rsidRPr="00020424">
        <w:rPr>
          <w:rtl/>
        </w:rPr>
        <w:t xml:space="preserve"> ، ج 11 ، ص 271 ، ح 10835 ؛ </w:t>
      </w:r>
      <w:r w:rsidR="00992664" w:rsidRPr="0012008A">
        <w:rPr>
          <w:rStyle w:val="libFootnoteBoldChar"/>
          <w:rtl/>
        </w:rPr>
        <w:t>الوسائل</w:t>
      </w:r>
      <w:r w:rsidR="00992664" w:rsidRPr="00020424">
        <w:rPr>
          <w:rtl/>
        </w:rPr>
        <w:t xml:space="preserve"> ، ج 10 ، ص 44 ، ح 12789.</w:t>
      </w:r>
      <w:r w:rsidR="009440DC">
        <w:rPr>
          <w:rFonts w:hint="cs"/>
          <w:rtl/>
        </w:rPr>
        <w:t xml:space="preserve">               </w:t>
      </w:r>
      <w:r>
        <w:rPr>
          <w:rtl/>
        </w:rPr>
        <w:t>(4).</w:t>
      </w:r>
      <w:r w:rsidR="0014403D">
        <w:rPr>
          <w:rtl/>
        </w:rPr>
        <w:t xml:space="preserve"> </w:t>
      </w:r>
      <w:r w:rsidR="00992664" w:rsidRPr="00020424">
        <w:rPr>
          <w:rtl/>
        </w:rPr>
        <w:t>في « ى » : « الرجل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بث ، بخ ، بر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440DC" w:rsidTr="009440DC">
        <w:tc>
          <w:tcPr>
            <w:tcW w:w="4006" w:type="dxa"/>
          </w:tcPr>
          <w:p w:rsidR="009440DC" w:rsidRDefault="009440DC"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 ربّك</w:t>
            </w:r>
            <w:r>
              <w:rPr>
                <w:rtl/>
              </w:rPr>
              <w:t xml:space="preserve"> ».</w:t>
            </w:r>
          </w:p>
        </w:tc>
        <w:tc>
          <w:tcPr>
            <w:tcW w:w="4006" w:type="dxa"/>
          </w:tcPr>
          <w:p w:rsidR="009440DC" w:rsidRDefault="009440DC" w:rsidP="00992664">
            <w:pPr>
              <w:pStyle w:val="libFootnote0"/>
              <w:rPr>
                <w:rtl/>
              </w:rPr>
            </w:pPr>
            <w:r>
              <w:rPr>
                <w:rtl/>
              </w:rPr>
              <w:t xml:space="preserve">(7). </w:t>
            </w:r>
            <w:r w:rsidRPr="00020424">
              <w:rPr>
                <w:rtl/>
              </w:rPr>
              <w:t>في الاستبصار : « والذي</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و</w:t>
      </w:r>
      <w:r w:rsidR="00992664" w:rsidRPr="00E82BAA">
        <w:rPr>
          <w:rStyle w:val="libFootnoteBoldChar"/>
          <w:rtl/>
        </w:rPr>
        <w:t>النوادر للأشعري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 « بمكيل</w:t>
      </w:r>
      <w:r w:rsidR="00992664">
        <w:rPr>
          <w:rtl/>
        </w:rPr>
        <w:t xml:space="preserve"> ».</w:t>
      </w:r>
      <w:r w:rsidR="00992664" w:rsidRPr="00020424">
        <w:rPr>
          <w:rtl/>
        </w:rPr>
        <w:t xml:space="preserve"> والمِكْتَل</w:t>
      </w:r>
      <w:r w:rsidR="00992664">
        <w:rPr>
          <w:rtl/>
        </w:rPr>
        <w:t xml:space="preserve"> </w:t>
      </w:r>
      <w:r w:rsidR="009B673F">
        <w:rPr>
          <w:rtl/>
        </w:rPr>
        <w:t>-</w:t>
      </w:r>
      <w:r w:rsidR="00992664">
        <w:rPr>
          <w:rtl/>
        </w:rPr>
        <w:t xml:space="preserve"> </w:t>
      </w:r>
      <w:r w:rsidR="00992664" w:rsidRPr="00020424">
        <w:rPr>
          <w:rtl/>
        </w:rPr>
        <w:t>بكسر الميم</w:t>
      </w:r>
      <w:r w:rsidR="00992664">
        <w:rPr>
          <w:rtl/>
        </w:rPr>
        <w:t xml:space="preserve"> </w:t>
      </w:r>
      <w:r w:rsidR="009B673F">
        <w:rPr>
          <w:rtl/>
        </w:rPr>
        <w:t>-</w:t>
      </w:r>
      <w:r w:rsidR="00992664">
        <w:rPr>
          <w:rtl/>
        </w:rPr>
        <w:t xml:space="preserve"> </w:t>
      </w:r>
      <w:r w:rsidR="00992664" w:rsidRPr="00020424">
        <w:rPr>
          <w:rtl/>
        </w:rPr>
        <w:t xml:space="preserve">: الزنبيل الكبير ، أو شبه الزنبيل ، يسع خمسة عشر صاعاً ، كأنّ </w:t>
      </w:r>
      <w:r w:rsidR="007C41C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أَصْوُعٍ بِصَاعِنَا </w:t>
      </w:r>
      <w:r w:rsidRPr="00A91B96">
        <w:rPr>
          <w:rStyle w:val="libFootnotenumChar"/>
          <w:rtl/>
        </w:rPr>
        <w:t>(1)</w:t>
      </w:r>
      <w:r w:rsidRPr="00020424">
        <w:rPr>
          <w:rtl/>
          <w:lang w:bidi="fa-IR"/>
        </w:rPr>
        <w:t xml:space="preserve"> ، فَقَالَ لَهُ رَسُولُ اللهِ </w:t>
      </w:r>
      <w:r w:rsidR="00B42914" w:rsidRPr="00B42914">
        <w:rPr>
          <w:rStyle w:val="libAlaemChar"/>
          <w:rtl/>
        </w:rPr>
        <w:t>صلى‌الله‌عليه‌وآله‌</w:t>
      </w:r>
      <w:r w:rsidRPr="00020424">
        <w:rPr>
          <w:rtl/>
          <w:lang w:bidi="fa-IR"/>
        </w:rPr>
        <w:t xml:space="preserve"> : خُذْ هذَا التَّمْرَ ، فَتَصَدَّقْ بِهِ ، فَقَالَ : يَا رَسُولَ اللهِ ، عَلى مَنْ أَتَصَدَّقُ بِهِ </w:t>
      </w:r>
      <w:r w:rsidRPr="00A91B96">
        <w:rPr>
          <w:rStyle w:val="libFootnotenumChar"/>
          <w:rtl/>
        </w:rPr>
        <w:t>(2)</w:t>
      </w:r>
      <w:r w:rsidRPr="00020424">
        <w:rPr>
          <w:rtl/>
          <w:lang w:bidi="fa-IR"/>
        </w:rPr>
        <w:t xml:space="preserve"> ، وَقَدْ أَخْبَرْتُكَ أَنَّهُ لَيْسَ فِي بَيْتِي </w:t>
      </w:r>
      <w:r w:rsidRPr="00A91B96">
        <w:rPr>
          <w:rStyle w:val="libFootnotenumChar"/>
          <w:rtl/>
        </w:rPr>
        <w:t>(3)</w:t>
      </w:r>
      <w:r w:rsidRPr="00020424">
        <w:rPr>
          <w:rtl/>
          <w:lang w:bidi="fa-IR"/>
        </w:rPr>
        <w:t xml:space="preserve"> قَلِيلٌ وَلَاكَثِيرٌ</w:t>
      </w:r>
      <w:r>
        <w:rPr>
          <w:rtl/>
          <w:lang w:bidi="fa-IR"/>
        </w:rPr>
        <w:t>؟</w:t>
      </w:r>
      <w:r w:rsidRPr="00020424">
        <w:rPr>
          <w:rtl/>
          <w:lang w:bidi="fa-IR"/>
        </w:rPr>
        <w:t xml:space="preserve"> قَالَ : فَخُذْهُ ، وَأَطْعِمْهُ </w:t>
      </w:r>
      <w:r w:rsidRPr="00A91B96">
        <w:rPr>
          <w:rStyle w:val="libFootnotenumChar"/>
          <w:rtl/>
        </w:rPr>
        <w:t>(4)</w:t>
      </w:r>
      <w:r w:rsidRPr="00020424">
        <w:rPr>
          <w:rtl/>
          <w:lang w:bidi="fa-IR"/>
        </w:rPr>
        <w:t xml:space="preserve"> عِيَالَكَ ، وَاسْتَغْفِرِ اللهَ</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فَلَمَّا خَرَجْنَا </w:t>
      </w:r>
      <w:r w:rsidRPr="00A91B96">
        <w:rPr>
          <w:rStyle w:val="libFootnotenumChar"/>
          <w:rtl/>
        </w:rPr>
        <w:t>(5)</w:t>
      </w:r>
      <w:r w:rsidRPr="00020424">
        <w:rPr>
          <w:rtl/>
          <w:lang w:bidi="fa-IR"/>
        </w:rPr>
        <w:t xml:space="preserve"> ، قَالَ أَصْحَابُنَا : إِنَّهُ </w:t>
      </w:r>
      <w:r w:rsidRPr="00A91B96">
        <w:rPr>
          <w:rStyle w:val="libFootnotenumChar"/>
          <w:rtl/>
        </w:rPr>
        <w:t>(6)</w:t>
      </w:r>
      <w:r w:rsidRPr="00020424">
        <w:rPr>
          <w:rtl/>
          <w:lang w:bidi="fa-IR"/>
        </w:rPr>
        <w:t xml:space="preserve"> بَدَأَ بِالْعِتْقِ ، فَقَالَ : « أَعْتِقْ ، أَوْ صُمْ ، أَوْ تَصَدَّقْ</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22B64">
        <w:rPr>
          <w:rtl/>
        </w:rPr>
        <w:t>6384</w:t>
      </w:r>
      <w:r w:rsidRPr="001155DE">
        <w:rPr>
          <w:rStyle w:val="libBold2Char"/>
          <w:rtl/>
        </w:rPr>
        <w:t xml:space="preserve"> / 3.</w:t>
      </w:r>
      <w:r w:rsidRPr="00020424">
        <w:rPr>
          <w:rtl/>
          <w:lang w:bidi="fa-IR"/>
        </w:rPr>
        <w:t xml:space="preserve"> عَلِيُّ بْنُ إِبْرَاهِيمَ ، عَنْ أَبِيهِ ، عَنِ ابْنِ أَبِي عُمَيْرٍ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وَقَعَ عَلى أَهْلِهِ فِي شَهْرِ رَمَضَانَ ، فَلَمْ يَجِدْ مَا‌</w:t>
      </w:r>
    </w:p>
    <w:p w:rsidR="00992664" w:rsidRPr="00020424" w:rsidRDefault="00992664" w:rsidP="00992664">
      <w:pPr>
        <w:pStyle w:val="libLine"/>
        <w:rPr>
          <w:rtl/>
          <w:lang w:bidi="fa-IR"/>
        </w:rPr>
      </w:pPr>
      <w:r w:rsidRPr="00020424">
        <w:rPr>
          <w:rtl/>
          <w:lang w:bidi="fa-IR"/>
        </w:rPr>
        <w:t>__________________</w:t>
      </w:r>
    </w:p>
    <w:p w:rsidR="00992664" w:rsidRPr="00020424" w:rsidRDefault="00285426" w:rsidP="00992664">
      <w:pPr>
        <w:pStyle w:val="libFootnote0"/>
        <w:rPr>
          <w:rtl/>
          <w:lang w:bidi="fa-IR"/>
        </w:rPr>
      </w:pPr>
      <w:r>
        <w:rPr>
          <w:rFonts w:hint="cs"/>
          <w:rtl/>
        </w:rPr>
        <w:t xml:space="preserve">= </w:t>
      </w:r>
      <w:r w:rsidR="00992664" w:rsidRPr="00020424">
        <w:rPr>
          <w:rtl/>
        </w:rPr>
        <w:t xml:space="preserve">فيه كُتَلاً من التمر ، أي قِطَعاً مجتمعة. راجع : </w:t>
      </w:r>
      <w:r w:rsidR="00992664" w:rsidRPr="0012008A">
        <w:rPr>
          <w:rStyle w:val="libFootnoteBoldChar"/>
          <w:rtl/>
        </w:rPr>
        <w:t>الصحاح</w:t>
      </w:r>
      <w:r w:rsidR="00992664" w:rsidRPr="00020424">
        <w:rPr>
          <w:rtl/>
        </w:rPr>
        <w:t xml:space="preserve"> ، ج 5 ، ص 1809 ؛ </w:t>
      </w:r>
      <w:r w:rsidR="00992664" w:rsidRPr="0012008A">
        <w:rPr>
          <w:rStyle w:val="libFootnoteBoldChar"/>
          <w:rtl/>
        </w:rPr>
        <w:t>النهاية</w:t>
      </w:r>
      <w:r w:rsidR="00992664" w:rsidRPr="00020424">
        <w:rPr>
          <w:rtl/>
        </w:rPr>
        <w:t xml:space="preserve"> ، ج 4 ، ص 150 ( كتل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يكون عشرة أصوع بصاعنا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053B8" w:rsidTr="001053B8">
        <w:tc>
          <w:tcPr>
            <w:tcW w:w="4006" w:type="dxa"/>
          </w:tcPr>
          <w:p w:rsidR="001053B8" w:rsidRDefault="001053B8" w:rsidP="00992664">
            <w:pPr>
              <w:pStyle w:val="libFootnote0"/>
              <w:rPr>
                <w:rtl/>
              </w:rPr>
            </w:pPr>
            <w:r>
              <w:rPr>
                <w:rtl/>
              </w:rPr>
              <w:t xml:space="preserve">(2). </w:t>
            </w:r>
            <w:r w:rsidRPr="00020424">
              <w:rPr>
                <w:rtl/>
              </w:rPr>
              <w:t>في « ى » :</w:t>
            </w:r>
            <w:r>
              <w:rPr>
                <w:rtl/>
              </w:rPr>
              <w:t xml:space="preserve"> - </w:t>
            </w:r>
            <w:r w:rsidRPr="00020424">
              <w:rPr>
                <w:rtl/>
              </w:rPr>
              <w:t>« به</w:t>
            </w:r>
            <w:r>
              <w:rPr>
                <w:rtl/>
              </w:rPr>
              <w:t xml:space="preserve"> ».</w:t>
            </w:r>
          </w:p>
        </w:tc>
        <w:tc>
          <w:tcPr>
            <w:tcW w:w="4006" w:type="dxa"/>
          </w:tcPr>
          <w:p w:rsidR="001053B8" w:rsidRDefault="001053B8" w:rsidP="00992664">
            <w:pPr>
              <w:pStyle w:val="libFootnote0"/>
              <w:rPr>
                <w:rtl/>
              </w:rPr>
            </w:pPr>
            <w:r>
              <w:rPr>
                <w:rtl/>
              </w:rPr>
              <w:t>(3). في«ى»: +«</w:t>
            </w:r>
            <w:r w:rsidRPr="00020424">
              <w:rPr>
                <w:rtl/>
              </w:rPr>
              <w:t>شي‌ء</w:t>
            </w:r>
            <w:r>
              <w:rPr>
                <w:rtl/>
              </w:rPr>
              <w:t>».</w:t>
            </w:r>
            <w:r w:rsidRPr="00020424">
              <w:rPr>
                <w:rtl/>
              </w:rPr>
              <w:t xml:space="preserve">وفي </w:t>
            </w:r>
            <w:r w:rsidRPr="0012008A">
              <w:rPr>
                <w:rStyle w:val="libFootnoteBoldChar"/>
                <w:rtl/>
              </w:rPr>
              <w:t>الوافي</w:t>
            </w:r>
            <w:r>
              <w:rPr>
                <w:rtl/>
              </w:rPr>
              <w:t>:«</w:t>
            </w:r>
            <w:r w:rsidRPr="00020424">
              <w:rPr>
                <w:rtl/>
              </w:rPr>
              <w:t>ليس لي شي‌ء</w:t>
            </w:r>
            <w:r>
              <w:rPr>
                <w:rtl/>
              </w:rPr>
              <w:t>».</w:t>
            </w:r>
          </w:p>
        </w:tc>
      </w:tr>
    </w:tbl>
    <w:p w:rsidR="00992664" w:rsidRPr="00020424" w:rsidRDefault="00795177" w:rsidP="00DE386E">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فأطعمه</w:t>
      </w:r>
      <w:r w:rsidR="00992664">
        <w:rPr>
          <w:rtl/>
        </w:rPr>
        <w:t xml:space="preserve"> ».</w:t>
      </w:r>
    </w:p>
    <w:p w:rsidR="00992664" w:rsidRPr="00020424" w:rsidRDefault="00992664" w:rsidP="00DE386E">
      <w:pPr>
        <w:pStyle w:val="libFootnote0"/>
        <w:rPr>
          <w:rtl/>
          <w:lang w:bidi="fa-IR"/>
        </w:rPr>
      </w:pPr>
      <w:r w:rsidRPr="00DE386E">
        <w:rPr>
          <w:rtl/>
        </w:rPr>
        <w:t xml:space="preserve">وفي </w:t>
      </w:r>
      <w:r w:rsidRPr="00DE76B9">
        <w:rPr>
          <w:rStyle w:val="libFootnoteBoldChar"/>
          <w:rtl/>
        </w:rPr>
        <w:t>مرآة العقول</w:t>
      </w:r>
      <w:r w:rsidRPr="00DE386E">
        <w:rPr>
          <w:rtl/>
        </w:rPr>
        <w:t xml:space="preserve"> ، ج 16 ، ص 273 : « قوله </w:t>
      </w:r>
      <w:r w:rsidR="00D64ADA" w:rsidRPr="00D64ADA">
        <w:rPr>
          <w:rStyle w:val="libFootnoteAlaemChar"/>
          <w:rtl/>
        </w:rPr>
        <w:t>صلى‌الله‌عليه‌وآله</w:t>
      </w:r>
      <w:r w:rsidR="00B42914" w:rsidRPr="00B42914">
        <w:rPr>
          <w:rStyle w:val="libAlaemChar"/>
          <w:rtl/>
        </w:rPr>
        <w:t>‌</w:t>
      </w:r>
      <w:r w:rsidRPr="00DE386E">
        <w:rPr>
          <w:rtl/>
        </w:rPr>
        <w:t xml:space="preserve"> : وأطعمه ، لعلّه </w:t>
      </w:r>
      <w:r w:rsidR="00D64ADA" w:rsidRPr="00D64ADA">
        <w:rPr>
          <w:rStyle w:val="libFootnoteAlaemChar"/>
          <w:rtl/>
        </w:rPr>
        <w:t>صلى‌الله‌عليه‌وآله</w:t>
      </w:r>
      <w:r w:rsidR="00B42914" w:rsidRPr="00B42914">
        <w:rPr>
          <w:rStyle w:val="libAlaemChar"/>
          <w:rtl/>
        </w:rPr>
        <w:t>‌</w:t>
      </w:r>
      <w:r w:rsidRPr="00DE386E">
        <w:rPr>
          <w:rtl/>
        </w:rPr>
        <w:t xml:space="preserve"> إنّما رخّص أن يطعمه عياله لكونه عاجزاً وكان لا تجب عليه الكفّارة ، وإنّما تبرّع </w:t>
      </w:r>
      <w:r w:rsidR="00D64ADA" w:rsidRPr="00D64ADA">
        <w:rPr>
          <w:rStyle w:val="libFootnoteAlaemChar"/>
          <w:rtl/>
        </w:rPr>
        <w:t>صلى‌الله‌عليه‌وآله</w:t>
      </w:r>
      <w:r w:rsidR="00B42914" w:rsidRPr="00B42914">
        <w:rPr>
          <w:rStyle w:val="libAlaemChar"/>
          <w:rtl/>
        </w:rPr>
        <w:t>‌</w:t>
      </w:r>
      <w:r w:rsidRPr="00DE386E">
        <w:rPr>
          <w:rtl/>
        </w:rPr>
        <w:t xml:space="preserve"> من قبله ، فلا ينافي عدم جواز إعطاء الكفّارة من تجب عليه نفقته ، على أنّ عياله لفقره لم يكونوا ممّن يجب عليه نفقته ، كما جوّزه بعض الأصحاب ، قال الشهيد </w:t>
      </w:r>
      <w:r w:rsidR="00D64ADA" w:rsidRPr="00D64ADA">
        <w:rPr>
          <w:rStyle w:val="libFootnoteAlaemChar"/>
          <w:rtl/>
        </w:rPr>
        <w:t>رحمه‌الله</w:t>
      </w:r>
      <w:r w:rsidRPr="00DE386E">
        <w:rPr>
          <w:rtl/>
        </w:rPr>
        <w:t xml:space="preserve"> في </w:t>
      </w:r>
      <w:r w:rsidRPr="00DE76B9">
        <w:rPr>
          <w:rStyle w:val="libFootnoteBoldChar"/>
          <w:rtl/>
        </w:rPr>
        <w:t>الدروس</w:t>
      </w:r>
      <w:r w:rsidRPr="00DE386E">
        <w:rPr>
          <w:rtl/>
        </w:rPr>
        <w:t xml:space="preserve"> : ولو كانوا واجبي النفقة والمكفّر فقير ، قيل : يجزي ».</w:t>
      </w:r>
    </w:p>
    <w:p w:rsidR="00992664" w:rsidRPr="00020424" w:rsidRDefault="00795177" w:rsidP="00DE386E">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رجعنا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إنّه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 إنّه ، أي الصادق </w:t>
      </w:r>
      <w:r w:rsidR="00992664" w:rsidRPr="00D64ADA">
        <w:rPr>
          <w:rStyle w:val="libFootnoteAlaemChar"/>
          <w:rtl/>
        </w:rPr>
        <w:t>عليه‌السلام</w:t>
      </w:r>
      <w:r w:rsidR="00992664" w:rsidRPr="00020424">
        <w:rPr>
          <w:rtl/>
        </w:rPr>
        <w:t xml:space="preserve"> بدأ بالعتق عند ذكر الكفّارة في مجلس آخر ، أو في هذا المجلس ، وغفل جميل عنه</w:t>
      </w:r>
      <w:r w:rsidR="00992664">
        <w:rPr>
          <w:rtl/>
        </w:rPr>
        <w:t xml:space="preserve"> ».</w:t>
      </w:r>
      <w:r w:rsidR="00992664" w:rsidRPr="00020424">
        <w:rPr>
          <w:rtl/>
        </w:rPr>
        <w:t xml:space="preserve"> وفي هامش الطبعة الحجريّة : « الظاهر أنّ جميلاً كان في ذلك الوقت مشتغلاً بشخص أو بشي‌ء آخر ، ولم يسمع العتق والصوم ، وسمعهما بقيّة الأصحاب كعبد المؤمن مثلاً الذي روى عنه الصدوق هذا الحديث على ما هو المشهور أنّه </w:t>
      </w:r>
      <w:r w:rsidR="00992664" w:rsidRPr="00D64ADA">
        <w:rPr>
          <w:rStyle w:val="libFootnoteAlaemChar"/>
          <w:rtl/>
        </w:rPr>
        <w:t>عليه‌السلام</w:t>
      </w:r>
      <w:r w:rsidR="00992664" w:rsidRPr="00020424">
        <w:rPr>
          <w:rtl/>
        </w:rPr>
        <w:t xml:space="preserve"> قال : قال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للأعرابي : أعتق رقبة ، فاعتذر ثمّ قال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صم شهرين ، فاعتذر ثمّ قال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تصدّق ، إلى آخر الحديث. أو كان سماعهم قبل مجي‌ء جميل ذلك المجلس ، فلمّا جاء جميل كرّره لأجله ، ولم يذكر العتق والصوم ، واختصر على ذكر التصدّق اعتماداً على ذكر الأصحاب له ، وكثيراً ما يقع أمثال ذلك في المحاورات ، كذا ا</w:t>
      </w:r>
      <w:r w:rsidR="00DE386E">
        <w:rPr>
          <w:rFonts w:hint="cs"/>
          <w:rtl/>
        </w:rPr>
        <w:t>ُ</w:t>
      </w:r>
      <w:r w:rsidR="00992664" w:rsidRPr="00020424">
        <w:rPr>
          <w:rtl/>
        </w:rPr>
        <w:t>فيد. رفيع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206 ، ح 595 ؛ </w:t>
      </w:r>
      <w:r w:rsidR="00992664" w:rsidRPr="00FD6221">
        <w:rPr>
          <w:rStyle w:val="libFootnoteBoldChar"/>
          <w:rtl/>
        </w:rPr>
        <w:t>والاستبصار</w:t>
      </w:r>
      <w:r w:rsidR="00992664" w:rsidRPr="00020424">
        <w:rPr>
          <w:rtl/>
        </w:rPr>
        <w:t xml:space="preserve"> ، ج 2 ، ص 80 ، ح 245 ، معلّقاً عن الكليني. </w:t>
      </w:r>
      <w:r w:rsidR="00992664" w:rsidRPr="00E82BAA">
        <w:rPr>
          <w:rStyle w:val="libFootnoteBoldChar"/>
          <w:rtl/>
        </w:rPr>
        <w:t>النوادر للأشعري</w:t>
      </w:r>
      <w:r w:rsidR="00992664" w:rsidRPr="00020424">
        <w:rPr>
          <w:rtl/>
        </w:rPr>
        <w:t xml:space="preserve"> ، ص 68 ، ح 142 ، عن جميل بن درّاج ، إلى قوله : « وأطعمه عيالك واستغفر الله » </w:t>
      </w:r>
      <w:r w:rsidR="004C0A5A">
        <w:rPr>
          <w:rFonts w:hint="cs"/>
          <w:rtl/>
        </w:rPr>
        <w:t>.</w:t>
      </w:r>
      <w:r w:rsidR="00992664" w:rsidRPr="0012008A">
        <w:rPr>
          <w:rStyle w:val="libFootnoteBoldChar"/>
          <w:rtl/>
        </w:rPr>
        <w:t>الوافي</w:t>
      </w:r>
      <w:r w:rsidR="00992664" w:rsidRPr="00020424">
        <w:rPr>
          <w:rtl/>
        </w:rPr>
        <w:t xml:space="preserve"> ، ج 11 ، ص 271 ، ح 10836 ؛ </w:t>
      </w:r>
      <w:r w:rsidR="00992664" w:rsidRPr="0012008A">
        <w:rPr>
          <w:rStyle w:val="libFootnoteBoldChar"/>
          <w:rtl/>
        </w:rPr>
        <w:t>الوسائل</w:t>
      </w:r>
      <w:r w:rsidR="00992664" w:rsidRPr="00020424">
        <w:rPr>
          <w:rtl/>
        </w:rPr>
        <w:t xml:space="preserve"> ، ج 10 ، ص 45 ، ح 12790.</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يَتَصَدَّقُ بِهِ عَلى سِتِّينَ مِسْكِيناً ، قَالَ : « يَتَصَدَّقُ بِقَدْرِ مَا </w:t>
      </w:r>
      <w:r w:rsidRPr="00A91B96">
        <w:rPr>
          <w:rStyle w:val="libFootnotenumChar"/>
          <w:rtl/>
        </w:rPr>
        <w:t>(1)</w:t>
      </w:r>
      <w:r w:rsidRPr="00020424">
        <w:rPr>
          <w:rtl/>
          <w:lang w:bidi="fa-IR"/>
        </w:rPr>
        <w:t xml:space="preserve"> يُطِيقُ</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22B64">
        <w:rPr>
          <w:rtl/>
        </w:rPr>
        <w:t>6385</w:t>
      </w:r>
      <w:r w:rsidRPr="001155DE">
        <w:rPr>
          <w:rStyle w:val="libBold2Char"/>
          <w:rtl/>
        </w:rPr>
        <w:t xml:space="preserve"> / 4.</w:t>
      </w:r>
      <w:r w:rsidRPr="00020424">
        <w:rPr>
          <w:rtl/>
          <w:lang w:bidi="fa-IR"/>
        </w:rPr>
        <w:t xml:space="preserve"> مُحَمَّدُ بْنُ يَحْيى ، عَنْ مُحَمَّدِ بْنِ الْحُسَيْنِ ، عَنْ صَفْوَانَ بْنِ يَحْيى </w:t>
      </w:r>
      <w:r w:rsidRPr="00A91B96">
        <w:rPr>
          <w:rStyle w:val="libFootnotenumChar"/>
          <w:rtl/>
        </w:rPr>
        <w:t>(3)</w:t>
      </w:r>
      <w:r w:rsidRPr="00020424">
        <w:rPr>
          <w:rtl/>
          <w:lang w:bidi="fa-IR"/>
        </w:rPr>
        <w:t xml:space="preserve">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يَعْبَثُ بِأَهْلِهِ فِي شَهْرِ رَمَضَانَ حَتّى يُمْنِيَ</w:t>
      </w:r>
      <w:r>
        <w:rPr>
          <w:rtl/>
          <w:lang w:bidi="fa-IR"/>
        </w:rPr>
        <w:t>؟</w:t>
      </w:r>
    </w:p>
    <w:p w:rsidR="00992664" w:rsidRPr="00020424" w:rsidRDefault="00992664" w:rsidP="00992664">
      <w:pPr>
        <w:pStyle w:val="libNormal"/>
        <w:rPr>
          <w:rtl/>
          <w:lang w:bidi="fa-IR"/>
        </w:rPr>
      </w:pPr>
      <w:r w:rsidRPr="00020424">
        <w:rPr>
          <w:rtl/>
          <w:lang w:bidi="fa-IR"/>
        </w:rPr>
        <w:t>قَالَ : « عَلَيْهِ مِنَ الْكَفَّارَةِ مِثْلُ مَا عَلَى الَّذِي يُجَامِعُ</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422B64">
        <w:rPr>
          <w:rtl/>
        </w:rPr>
        <w:t>6386</w:t>
      </w:r>
      <w:r w:rsidRPr="001155DE">
        <w:rPr>
          <w:rStyle w:val="libBold2Char"/>
          <w:rtl/>
        </w:rPr>
        <w:t xml:space="preserve"> / 5.</w:t>
      </w:r>
      <w:r w:rsidRPr="00020424">
        <w:rPr>
          <w:rtl/>
          <w:lang w:bidi="fa-IR"/>
        </w:rPr>
        <w:t xml:space="preserve"> عِدَّةٌ مِنْ أَصْحَابِنَا ، عَنْ أَحْمَدَ بْنِ مُحَمَّدٍ ، عَنِ ابْنِ مَحْبُوبٍ ، عَنْ هِشَامِ بْنِ سَالِمٍ ، عَنْ بُرَيْدٍ الْعِجْلِيِّ ، قَالَ :</w:t>
      </w:r>
    </w:p>
    <w:p w:rsidR="00992664" w:rsidRPr="00020424" w:rsidRDefault="00992664" w:rsidP="00992664">
      <w:pPr>
        <w:pStyle w:val="libNormal"/>
        <w:rPr>
          <w:rtl/>
          <w:lang w:bidi="fa-IR"/>
        </w:rPr>
      </w:pPr>
      <w:r w:rsidRPr="00020424">
        <w:rPr>
          <w:rtl/>
          <w:lang w:bidi="fa-IR"/>
        </w:rPr>
        <w:t xml:space="preserve">سُئِلَ أَبُو جَعْفَرٍ </w:t>
      </w:r>
      <w:r w:rsidRPr="00005A81">
        <w:rPr>
          <w:rStyle w:val="libAlaemChar"/>
          <w:rtl/>
        </w:rPr>
        <w:t>عليه‌السلام</w:t>
      </w:r>
      <w:r w:rsidRPr="00020424">
        <w:rPr>
          <w:rtl/>
          <w:lang w:bidi="fa-IR"/>
        </w:rPr>
        <w:t xml:space="preserve"> عَنْ رَجُلٍ شَهِدَ عَلَيْهِ شُهُودٌ أَنَّهُ أَفْطَرَ مِنْ </w:t>
      </w:r>
      <w:r w:rsidRPr="00A91B96">
        <w:rPr>
          <w:rStyle w:val="libFootnotenumChar"/>
          <w:rtl/>
        </w:rPr>
        <w:t>(5)</w:t>
      </w:r>
      <w:r w:rsidRPr="00020424">
        <w:rPr>
          <w:rtl/>
          <w:lang w:bidi="fa-IR"/>
        </w:rPr>
        <w:t xml:space="preserve"> شَهْرِ </w:t>
      </w:r>
      <w:r w:rsidRPr="00A91B96">
        <w:rPr>
          <w:rStyle w:val="libFootnotenumChar"/>
          <w:rtl/>
        </w:rPr>
        <w:t>(6)</w:t>
      </w:r>
      <w:r w:rsidRPr="00020424">
        <w:rPr>
          <w:rtl/>
          <w:lang w:bidi="fa-IR"/>
        </w:rPr>
        <w:t xml:space="preserve"> رَمَضَانَ ثَلَاثَةَ أَيَّامٍ</w:t>
      </w:r>
      <w:r>
        <w:rPr>
          <w:rtl/>
          <w:lang w:bidi="fa-IR"/>
        </w:rPr>
        <w:t>؟</w:t>
      </w:r>
    </w:p>
    <w:p w:rsidR="00992664" w:rsidRPr="00020424" w:rsidRDefault="00992664" w:rsidP="008776E7">
      <w:pPr>
        <w:pStyle w:val="libNormal"/>
        <w:rPr>
          <w:rtl/>
          <w:lang w:bidi="fa-IR"/>
        </w:rPr>
      </w:pPr>
      <w:r w:rsidRPr="00020424">
        <w:rPr>
          <w:rtl/>
          <w:lang w:bidi="fa-IR"/>
        </w:rPr>
        <w:t xml:space="preserve">قَالَ : « يُسْأَلُ : هَلْ عَلَيْكَ فِي إِفْطَارِكَ فِي شَهْرِ رَمَضَانَ </w:t>
      </w:r>
      <w:r w:rsidRPr="00A91B96">
        <w:rPr>
          <w:rStyle w:val="libFootnotenumChar"/>
          <w:rtl/>
        </w:rPr>
        <w:t>(7)</w:t>
      </w:r>
      <w:r w:rsidRPr="00020424">
        <w:rPr>
          <w:rtl/>
          <w:lang w:bidi="fa-IR"/>
        </w:rPr>
        <w:t xml:space="preserve"> إِثْمٌ</w:t>
      </w:r>
      <w:r>
        <w:rPr>
          <w:rtl/>
          <w:lang w:bidi="fa-IR"/>
        </w:rPr>
        <w:t>؟</w:t>
      </w:r>
      <w:r w:rsidRPr="00020424">
        <w:rPr>
          <w:rtl/>
          <w:lang w:bidi="fa-IR"/>
        </w:rPr>
        <w:t xml:space="preserve"> فَإِنْ قَالَ : لَا ، فَإِنَّ </w:t>
      </w:r>
      <w:r w:rsidRPr="00A91B96">
        <w:rPr>
          <w:rStyle w:val="libFootnotenumChar"/>
          <w:rtl/>
        </w:rPr>
        <w:t>(8)</w:t>
      </w:r>
      <w:r w:rsidRPr="00020424">
        <w:rPr>
          <w:rtl/>
          <w:lang w:bidi="fa-IR"/>
        </w:rPr>
        <w:t xml:space="preserve"> عَلَى الْإمَامِ أَنْ يَقْتُلَهُ ، وَإِنْ </w:t>
      </w:r>
      <w:r w:rsidRPr="00A91B96">
        <w:rPr>
          <w:rStyle w:val="libFootnotenumChar"/>
          <w:rtl/>
        </w:rPr>
        <w:t>(9)</w:t>
      </w:r>
      <w:r w:rsidRPr="00020424">
        <w:rPr>
          <w:rtl/>
          <w:lang w:bidi="fa-IR"/>
        </w:rPr>
        <w:t xml:space="preserve"> قَالَ : نَعَمْ ، فَإِنَّ عَلَى الْإمَامِ أَنْ يَنْهَكَهُ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 ج 4 : « بما يطيق » بدل « بقدر ما يطيق</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206 ، ح 596 ؛ </w:t>
      </w:r>
      <w:r w:rsidR="00992664" w:rsidRPr="00FD6221">
        <w:rPr>
          <w:rStyle w:val="libFootnoteBoldChar"/>
          <w:rtl/>
        </w:rPr>
        <w:t>والاستبصار</w:t>
      </w:r>
      <w:r w:rsidR="00992664" w:rsidRPr="00020424">
        <w:rPr>
          <w:rtl/>
        </w:rPr>
        <w:t xml:space="preserve"> ، ج 2 ، ص 81 ، ح 246 ؛ وص 96 ، ح 313 ، معلّقاً عن الكليني. </w:t>
      </w:r>
      <w:r w:rsidR="00992664" w:rsidRPr="0012008A">
        <w:rPr>
          <w:rStyle w:val="libFootnoteBoldChar"/>
          <w:rtl/>
        </w:rPr>
        <w:t>التهذيب</w:t>
      </w:r>
      <w:r w:rsidR="00992664" w:rsidRPr="00020424">
        <w:rPr>
          <w:rtl/>
        </w:rPr>
        <w:t xml:space="preserve"> ، ج 8 ، ص 324 ، ح 1205 ، بسنده عن محمّد بن أبي عمير </w:t>
      </w:r>
      <w:r w:rsidR="009D3B68">
        <w:rPr>
          <w:rFonts w:hint="cs"/>
          <w:rtl/>
        </w:rPr>
        <w:t>.</w:t>
      </w:r>
      <w:r w:rsidR="00992664" w:rsidRPr="0012008A">
        <w:rPr>
          <w:rStyle w:val="libFootnoteBoldChar"/>
          <w:rtl/>
        </w:rPr>
        <w:t>الوافي</w:t>
      </w:r>
      <w:r w:rsidR="00992664" w:rsidRPr="00020424">
        <w:rPr>
          <w:rtl/>
        </w:rPr>
        <w:t xml:space="preserve"> ، ج 11 ، ص 273 ، ح 10840 ؛ </w:t>
      </w:r>
      <w:r w:rsidR="00992664" w:rsidRPr="0012008A">
        <w:rPr>
          <w:rStyle w:val="libFootnoteBoldChar"/>
          <w:rtl/>
        </w:rPr>
        <w:t>الوسائل</w:t>
      </w:r>
      <w:r w:rsidR="00992664" w:rsidRPr="00020424">
        <w:rPr>
          <w:rtl/>
        </w:rPr>
        <w:t xml:space="preserve"> ، ج 10 ، ص 46 ، ح 12791.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D3B68">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206 ، ح 597 ؛ </w:t>
      </w:r>
      <w:r w:rsidR="00992664" w:rsidRPr="00FD6221">
        <w:rPr>
          <w:rStyle w:val="libFootnoteBoldChar"/>
          <w:rtl/>
        </w:rPr>
        <w:t>والاستبصار</w:t>
      </w:r>
      <w:r w:rsidR="00992664" w:rsidRPr="00020424">
        <w:rPr>
          <w:rtl/>
        </w:rPr>
        <w:t xml:space="preserve"> ، ج 2 ، ص 81 ، ح 247 ، معلّقاً عن الكليني. </w:t>
      </w:r>
      <w:r w:rsidR="00992664" w:rsidRPr="0012008A">
        <w:rPr>
          <w:rStyle w:val="libFootnoteBoldChar"/>
          <w:rtl/>
        </w:rPr>
        <w:t>التهذيب</w:t>
      </w:r>
      <w:r w:rsidR="00992664" w:rsidRPr="00020424">
        <w:rPr>
          <w:rtl/>
        </w:rPr>
        <w:t xml:space="preserve"> ، ج 5 ، ص 327 ، ح 1124 ، بسنده عن صفوان ، عن عبدالرحمن بن الحجّاج. </w:t>
      </w:r>
      <w:r w:rsidR="00992664" w:rsidRPr="00E82BAA">
        <w:rPr>
          <w:rStyle w:val="libFootnoteBoldChar"/>
          <w:rtl/>
        </w:rPr>
        <w:t>النوادر للأشعري</w:t>
      </w:r>
      <w:r w:rsidR="00992664" w:rsidRPr="00020424">
        <w:rPr>
          <w:rtl/>
        </w:rPr>
        <w:t xml:space="preserve"> ، ص 68 ، ح 140 ، بسند آخر ، مع اختلاف. راجع : </w:t>
      </w:r>
      <w:r w:rsidR="00992664" w:rsidRPr="00DE76B9">
        <w:rPr>
          <w:rStyle w:val="libFootnoteBoldChar"/>
          <w:rtl/>
        </w:rPr>
        <w:t>الكافي</w:t>
      </w:r>
      <w:r w:rsidR="00992664" w:rsidRPr="00020424">
        <w:rPr>
          <w:rtl/>
        </w:rPr>
        <w:t xml:space="preserve"> ، كتاب الحجّ ، باب المحرم يقبّل امرأته</w:t>
      </w:r>
      <w:r w:rsidR="00992664">
        <w:rPr>
          <w:rtl/>
        </w:rPr>
        <w:t xml:space="preserve"> ..</w:t>
      </w:r>
      <w:r w:rsidR="00992664" w:rsidRPr="00020424">
        <w:rPr>
          <w:rtl/>
        </w:rPr>
        <w:t xml:space="preserve">. ، ح 7381 ؛ </w:t>
      </w:r>
      <w:r w:rsidR="00992664" w:rsidRPr="00515444">
        <w:rPr>
          <w:rStyle w:val="libFootnoteBoldChar"/>
          <w:rtl/>
        </w:rPr>
        <w:t>والتهذيب</w:t>
      </w:r>
      <w:r w:rsidR="00992664" w:rsidRPr="00020424">
        <w:rPr>
          <w:rtl/>
        </w:rPr>
        <w:t xml:space="preserve"> ، ج 4 ، ص 273 ، ح 826 ؛ وج 5 ، ص 324 ، ح 1114 </w:t>
      </w:r>
      <w:r w:rsidR="009D3B68">
        <w:rPr>
          <w:rFonts w:hint="cs"/>
          <w:rtl/>
        </w:rPr>
        <w:t>.</w:t>
      </w:r>
      <w:r w:rsidR="00992664" w:rsidRPr="0012008A">
        <w:rPr>
          <w:rStyle w:val="libFootnoteBoldChar"/>
          <w:rtl/>
        </w:rPr>
        <w:t>الوافي</w:t>
      </w:r>
      <w:r w:rsidR="00992664" w:rsidRPr="00020424">
        <w:rPr>
          <w:rtl/>
        </w:rPr>
        <w:t xml:space="preserve"> ، ج 11 ، ص 274 ، ح 10842 ؛ </w:t>
      </w:r>
      <w:r w:rsidR="00992664" w:rsidRPr="0012008A">
        <w:rPr>
          <w:rStyle w:val="libFootnoteBoldChar"/>
          <w:rtl/>
        </w:rPr>
        <w:t>الوسائل</w:t>
      </w:r>
      <w:r w:rsidR="00992664" w:rsidRPr="00020424">
        <w:rPr>
          <w:rtl/>
        </w:rPr>
        <w:t xml:space="preserve"> ، ج 10 ، ص 39 ، ح 12776.</w:t>
      </w:r>
      <w:r w:rsidR="00B04396">
        <w:rPr>
          <w:rFonts w:hint="cs"/>
          <w:rtl/>
        </w:rPr>
        <w:t xml:space="preserve">            </w:t>
      </w:r>
      <w:r w:rsidR="009D3B68">
        <w:rPr>
          <w:rFonts w:hint="cs"/>
          <w:rtl/>
        </w:rPr>
        <w:t xml:space="preserve">         </w:t>
      </w:r>
      <w:r>
        <w:rPr>
          <w:rtl/>
        </w:rPr>
        <w:t>(5).</w:t>
      </w:r>
      <w:r w:rsidR="0014403D">
        <w:rPr>
          <w:rtl/>
        </w:rPr>
        <w:t xml:space="preserve"> </w:t>
      </w:r>
      <w:r w:rsidR="00992664" w:rsidRPr="00020424">
        <w:rPr>
          <w:rtl/>
        </w:rPr>
        <w:t>في حاشية « بح » : «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w:t>
      </w:r>
      <w:r w:rsidR="00992664" w:rsidRPr="00515444">
        <w:rPr>
          <w:rStyle w:val="libFootnoteBoldChar"/>
          <w:rtl/>
        </w:rPr>
        <w:t>والتهذيب</w:t>
      </w:r>
      <w:r w:rsidR="00992664" w:rsidRPr="00020424">
        <w:rPr>
          <w:rtl/>
        </w:rPr>
        <w:t xml:space="preserve"> ، ج 10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بح ، بس ، جن » </w:t>
      </w:r>
      <w:r w:rsidR="00992664" w:rsidRPr="00EB1FD9">
        <w:rPr>
          <w:rStyle w:val="libFootnoteBoldChar"/>
          <w:rtl/>
        </w:rPr>
        <w:t>والوسائل</w:t>
      </w:r>
      <w:r w:rsidR="00992664" w:rsidRPr="00020424">
        <w:rPr>
          <w:rtl/>
        </w:rPr>
        <w:t xml:space="preserve"> والكافي ، ح 14048 </w:t>
      </w:r>
      <w:r w:rsidR="00992664" w:rsidRPr="00515444">
        <w:rPr>
          <w:rStyle w:val="libFootnoteBoldChar"/>
          <w:rtl/>
        </w:rPr>
        <w:t>والتهذيب</w:t>
      </w:r>
      <w:r w:rsidR="00992664" w:rsidRPr="00020424">
        <w:rPr>
          <w:rtl/>
        </w:rPr>
        <w:t xml:space="preserve"> ، ج 10 :</w:t>
      </w:r>
      <w:r w:rsidR="00992664">
        <w:rPr>
          <w:rtl/>
        </w:rPr>
        <w:t xml:space="preserve"> </w:t>
      </w:r>
      <w:r w:rsidR="009B673F">
        <w:rPr>
          <w:rtl/>
        </w:rPr>
        <w:t>-</w:t>
      </w:r>
      <w:r w:rsidR="00992664">
        <w:rPr>
          <w:rtl/>
        </w:rPr>
        <w:t xml:space="preserve"> </w:t>
      </w:r>
      <w:r w:rsidR="00992664" w:rsidRPr="00020424">
        <w:rPr>
          <w:rtl/>
        </w:rPr>
        <w:t>« في شهر رمضان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51AA3" w:rsidTr="00B51AA3">
        <w:tc>
          <w:tcPr>
            <w:tcW w:w="4006" w:type="dxa"/>
          </w:tcPr>
          <w:p w:rsidR="00B51AA3" w:rsidRDefault="00B51AA3" w:rsidP="00992664">
            <w:pPr>
              <w:pStyle w:val="libFootnote0"/>
              <w:rPr>
                <w:rtl/>
              </w:rPr>
            </w:pPr>
            <w:r>
              <w:rPr>
                <w:rtl/>
              </w:rPr>
              <w:t xml:space="preserve">(8). </w:t>
            </w:r>
            <w:r w:rsidRPr="00020424">
              <w:rPr>
                <w:rtl/>
              </w:rPr>
              <w:t xml:space="preserve">في « بر ، بف » </w:t>
            </w:r>
            <w:r w:rsidRPr="00515444">
              <w:rPr>
                <w:rStyle w:val="libFootnoteBoldChar"/>
                <w:rtl/>
              </w:rPr>
              <w:t>والوافي</w:t>
            </w:r>
            <w:r w:rsidRPr="00020424">
              <w:rPr>
                <w:rtl/>
              </w:rPr>
              <w:t xml:space="preserve"> : « كان</w:t>
            </w:r>
            <w:r>
              <w:rPr>
                <w:rtl/>
              </w:rPr>
              <w:t xml:space="preserve"> ».</w:t>
            </w:r>
          </w:p>
        </w:tc>
        <w:tc>
          <w:tcPr>
            <w:tcW w:w="4006" w:type="dxa"/>
          </w:tcPr>
          <w:p w:rsidR="00B51AA3" w:rsidRDefault="00B51AA3" w:rsidP="00992664">
            <w:pPr>
              <w:pStyle w:val="libFootnote0"/>
              <w:rPr>
                <w:rtl/>
              </w:rPr>
            </w:pPr>
            <w:r>
              <w:rPr>
                <w:rtl/>
              </w:rPr>
              <w:t>(9). في الكافي،</w:t>
            </w:r>
            <w:r w:rsidRPr="00020424">
              <w:rPr>
                <w:rtl/>
              </w:rPr>
              <w:t xml:space="preserve">ح 14048 </w:t>
            </w:r>
            <w:r w:rsidRPr="00515444">
              <w:rPr>
                <w:rStyle w:val="libFootnoteBoldChar"/>
                <w:rtl/>
              </w:rPr>
              <w:t>والتهذيب</w:t>
            </w:r>
            <w:r>
              <w:rPr>
                <w:rtl/>
              </w:rPr>
              <w:t>،ج 10:+«</w:t>
            </w:r>
            <w:r w:rsidRPr="00020424">
              <w:rPr>
                <w:rtl/>
              </w:rPr>
              <w:t>هو</w:t>
            </w:r>
            <w:r>
              <w:rPr>
                <w:rtl/>
              </w:rPr>
              <w:t>».</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أن ينهكه » أي يبالغ في عقوبته والنَهْك : المبالغة في كلّ شي‌ء. راجع : </w:t>
      </w:r>
      <w:r w:rsidR="00992664" w:rsidRPr="0012008A">
        <w:rPr>
          <w:rStyle w:val="libFootnoteBoldChar"/>
          <w:rtl/>
        </w:rPr>
        <w:t>الصحاح</w:t>
      </w:r>
      <w:r w:rsidR="00992664" w:rsidRPr="00020424">
        <w:rPr>
          <w:rtl/>
        </w:rPr>
        <w:t xml:space="preserve"> ، ج 4 ، ص 1613 ؛ </w:t>
      </w:r>
      <w:r w:rsidR="00992664" w:rsidRPr="00A722B1">
        <w:rPr>
          <w:rStyle w:val="libFootnoteBoldChar"/>
          <w:rtl/>
        </w:rPr>
        <w:t>القاموس المحيط</w:t>
      </w:r>
      <w:r w:rsidR="00992664" w:rsidRPr="00020424">
        <w:rPr>
          <w:rtl/>
        </w:rPr>
        <w:t xml:space="preserve"> ، ج 2 ، ص 1265 ( نهك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ضَرْباً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1462C6">
        <w:rPr>
          <w:rtl/>
        </w:rPr>
        <w:t>6387</w:t>
      </w:r>
      <w:r w:rsidRPr="001155DE">
        <w:rPr>
          <w:rStyle w:val="libBold2Char"/>
          <w:rtl/>
        </w:rPr>
        <w:t xml:space="preserve"> / 6.</w:t>
      </w:r>
      <w:r w:rsidRPr="00020424">
        <w:rPr>
          <w:rtl/>
          <w:lang w:bidi="fa-IR"/>
        </w:rPr>
        <w:t xml:space="preserve"> مُحَمَّدُ بْنُ يَحْيى ، عَنْ أَحْمَدَ بْنِ مُحَمَّدٍ ، عَنْ عُثْمَانَ بْنِ</w:t>
      </w:r>
      <w:r w:rsidR="00A813B3">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سَأَلْتُهُ عَنْ رَجُلٍ وُجِدَ </w:t>
      </w:r>
      <w:r w:rsidRPr="00A91B96">
        <w:rPr>
          <w:rStyle w:val="libFootnotenumChar"/>
          <w:rtl/>
        </w:rPr>
        <w:t>(2)</w:t>
      </w:r>
      <w:r w:rsidRPr="00020424">
        <w:rPr>
          <w:rtl/>
          <w:lang w:bidi="fa-IR"/>
        </w:rPr>
        <w:t xml:space="preserve"> فِي شَهْرِ رَمَضَانَ وَقَدْ أَفْطَرَ ثَلَاثَ مَرَّاتٍ وَقَدْ رُفِعَ إِلَى الْإمَامِ ثَلَاثَ مَرَّاتٍ</w:t>
      </w:r>
      <w:r>
        <w:rPr>
          <w:rtl/>
          <w:lang w:bidi="fa-IR"/>
        </w:rPr>
        <w:t>؟</w:t>
      </w:r>
    </w:p>
    <w:p w:rsidR="00992664" w:rsidRPr="00020424" w:rsidRDefault="00992664" w:rsidP="00992664">
      <w:pPr>
        <w:pStyle w:val="libNormal"/>
        <w:rPr>
          <w:rtl/>
          <w:lang w:bidi="fa-IR"/>
        </w:rPr>
      </w:pPr>
      <w:r w:rsidRPr="00020424">
        <w:rPr>
          <w:rtl/>
          <w:lang w:bidi="fa-IR"/>
        </w:rPr>
        <w:t xml:space="preserve">قَالَ : « يُقْتَلُ فِي الثَّالِثَةِ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462C6">
        <w:rPr>
          <w:rtl/>
        </w:rPr>
        <w:t>6388</w:t>
      </w:r>
      <w:r w:rsidRPr="001155DE">
        <w:rPr>
          <w:rStyle w:val="libBold2Char"/>
          <w:rtl/>
        </w:rPr>
        <w:t xml:space="preserve"> / 7.</w:t>
      </w:r>
      <w:r w:rsidRPr="00020424">
        <w:rPr>
          <w:rtl/>
          <w:lang w:bidi="fa-IR"/>
        </w:rPr>
        <w:t xml:space="preserve"> عَلِيُّ بْنُ إِبْرَاهِيمَ ، عَنْ أَبِيهِ ، عَنِ ابْنِ أَبِي عُمَيْرٍ ، عَنْ حَفْصِ بْنِ سُوقَةَ ، عَمَّنْ ذَكَرَهُ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يُلَاعِبُ أَهْلَهُ أَوْ جَارِيَتَهُ وَهُوَ فِي قَضَاءِ شَهْرِ رَمَضَانَ ، فَيَسْبِقُهُ الْمَاءُ ، فَيُنْزِلُ.</w:t>
      </w:r>
    </w:p>
    <w:p w:rsidR="00992664" w:rsidRPr="00020424" w:rsidRDefault="00992664" w:rsidP="00992664">
      <w:pPr>
        <w:pStyle w:val="libNormal"/>
        <w:rPr>
          <w:rtl/>
          <w:lang w:bidi="fa-IR"/>
        </w:rPr>
      </w:pPr>
      <w:r w:rsidRPr="00020424">
        <w:rPr>
          <w:rtl/>
          <w:lang w:bidi="fa-IR"/>
        </w:rPr>
        <w:t xml:space="preserve">قَالَ : « عَلَيْهِ مِنَ الْكَفَّارَةِ </w:t>
      </w:r>
      <w:r w:rsidRPr="00A91B96">
        <w:rPr>
          <w:rStyle w:val="libFootnotenumChar"/>
          <w:rtl/>
        </w:rPr>
        <w:t>(5)</w:t>
      </w:r>
      <w:r w:rsidRPr="00020424">
        <w:rPr>
          <w:rtl/>
          <w:lang w:bidi="fa-IR"/>
        </w:rPr>
        <w:t xml:space="preserve"> مِثْلُ مَا عَلَى الَّذِي يُجَامِعُ </w:t>
      </w:r>
      <w:r w:rsidRPr="00A91B96">
        <w:rPr>
          <w:rStyle w:val="libFootnotenumChar"/>
          <w:rtl/>
        </w:rPr>
        <w:t>(6)</w:t>
      </w:r>
      <w:r w:rsidRPr="00020424">
        <w:rPr>
          <w:rtl/>
          <w:lang w:bidi="fa-IR"/>
        </w:rPr>
        <w:t xml:space="preserve"> فِي شَهْرِ رَمَضَانَ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215 ، ح 624 ، معلّقاً عن الكليني. وفي </w:t>
      </w:r>
      <w:r w:rsidR="00992664" w:rsidRPr="00DE76B9">
        <w:rPr>
          <w:rStyle w:val="libFootnoteBoldChar"/>
          <w:rtl/>
        </w:rPr>
        <w:t>الكافي</w:t>
      </w:r>
      <w:r w:rsidR="00992664" w:rsidRPr="00020424">
        <w:rPr>
          <w:rtl/>
        </w:rPr>
        <w:t xml:space="preserve"> ، كتاب الحدود ، باب حدّ المرتدّ ، 14048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2 ، ص 117 ، ح 1890 ؛ </w:t>
      </w:r>
      <w:r w:rsidR="00992664" w:rsidRPr="00515444">
        <w:rPr>
          <w:rStyle w:val="libFootnoteBoldChar"/>
          <w:rtl/>
        </w:rPr>
        <w:t>والتهذيب</w:t>
      </w:r>
      <w:r w:rsidR="00992664" w:rsidRPr="00020424">
        <w:rPr>
          <w:rtl/>
        </w:rPr>
        <w:t xml:space="preserve"> ، ج 10 ، ص 141 ، ح 558 ، معلّقاً عن ابن محبوب. </w:t>
      </w:r>
      <w:r w:rsidR="00992664" w:rsidRPr="0012008A">
        <w:rPr>
          <w:rStyle w:val="libFootnoteBoldChar"/>
          <w:rtl/>
        </w:rPr>
        <w:t>المقنعة</w:t>
      </w:r>
      <w:r w:rsidR="00992664" w:rsidRPr="00020424">
        <w:rPr>
          <w:rtl/>
        </w:rPr>
        <w:t xml:space="preserve"> ، ص 247 ، مرسلاً </w:t>
      </w:r>
      <w:r w:rsidR="00A813B3">
        <w:rPr>
          <w:rFonts w:hint="cs"/>
          <w:rtl/>
        </w:rPr>
        <w:t>.</w:t>
      </w:r>
      <w:r w:rsidR="00992664" w:rsidRPr="0012008A">
        <w:rPr>
          <w:rStyle w:val="libFootnoteBoldChar"/>
          <w:rtl/>
        </w:rPr>
        <w:t>الوافي</w:t>
      </w:r>
      <w:r w:rsidR="00992664" w:rsidRPr="00020424">
        <w:rPr>
          <w:rtl/>
        </w:rPr>
        <w:t xml:space="preserve"> ، ج 11 ، ص 277 ، ح 10853 ؛ </w:t>
      </w:r>
      <w:r w:rsidR="00992664" w:rsidRPr="0012008A">
        <w:rPr>
          <w:rStyle w:val="libFootnoteBoldChar"/>
          <w:rtl/>
        </w:rPr>
        <w:t>الوسائل</w:t>
      </w:r>
      <w:r w:rsidR="00992664" w:rsidRPr="00020424">
        <w:rPr>
          <w:rtl/>
        </w:rPr>
        <w:t xml:space="preserve"> ، ج 10 ، ص 248 ، ح 13334.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وحاشية « بث </w:t>
      </w:r>
      <w:r w:rsidR="00992664" w:rsidRPr="00DC7101">
        <w:rPr>
          <w:rtl/>
        </w:rPr>
        <w:t>» والوافي والفقيه والتهذيب</w:t>
      </w:r>
      <w:r w:rsidR="00992664" w:rsidRPr="00020424">
        <w:rPr>
          <w:rtl/>
        </w:rPr>
        <w:t xml:space="preserve"> و</w:t>
      </w:r>
      <w:r w:rsidR="00992664" w:rsidRPr="00E82BAA">
        <w:rPr>
          <w:rStyle w:val="libFootnoteBoldChar"/>
          <w:rtl/>
        </w:rPr>
        <w:t>النوادر للأشعري</w:t>
      </w:r>
      <w:r w:rsidR="00992664" w:rsidRPr="00020424">
        <w:rPr>
          <w:rtl/>
        </w:rPr>
        <w:t xml:space="preserve"> : « أخذ</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يقتل في الثالثة ، ذهب إليه جماعة من الأصحاب. وقيل : يقتل في الرابعة</w:t>
      </w:r>
      <w:r w:rsidR="00992664">
        <w:rPr>
          <w:rtl/>
        </w:rPr>
        <w:t xml:space="preserve"> ».</w:t>
      </w:r>
    </w:p>
    <w:p w:rsidR="00992664" w:rsidRPr="00020424" w:rsidRDefault="00795177" w:rsidP="00E82BAA">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207 ، ح 598 ، معلّقاً عن الكليني. </w:t>
      </w:r>
      <w:r w:rsidR="00992664" w:rsidRPr="00E82BAA">
        <w:rPr>
          <w:rStyle w:val="libFootnoteBoldChar"/>
          <w:rtl/>
        </w:rPr>
        <w:t>النوادر للأشعري</w:t>
      </w:r>
      <w:r w:rsidR="00992664" w:rsidRPr="00020424">
        <w:rPr>
          <w:rtl/>
        </w:rPr>
        <w:t xml:space="preserve"> ، ص 69 ، ح 14 ، عن سماعة. </w:t>
      </w:r>
      <w:r w:rsidR="00992664" w:rsidRPr="0012008A">
        <w:rPr>
          <w:rStyle w:val="libFootnoteBoldChar"/>
          <w:rtl/>
        </w:rPr>
        <w:t>الفقيه</w:t>
      </w:r>
      <w:r w:rsidR="00992664" w:rsidRPr="00020424">
        <w:rPr>
          <w:rtl/>
        </w:rPr>
        <w:t xml:space="preserve"> ، ج 2 ، ص 117 ، ح 1891 ، معلّقاً عن سماعة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الكافي</w:t>
      </w:r>
      <w:r w:rsidR="00992664" w:rsidRPr="00020424">
        <w:rPr>
          <w:rtl/>
        </w:rPr>
        <w:t xml:space="preserve"> ، كتاب الحدود ، باب حدّ المرتد ، ح 14040 ، بسند آخر عن أبي عبدالله </w:t>
      </w:r>
      <w:r w:rsidR="00992664" w:rsidRPr="00D64ADA">
        <w:rPr>
          <w:rStyle w:val="libFootnoteAlaemChar"/>
          <w:rtl/>
        </w:rPr>
        <w:t>عليه‌السلام</w:t>
      </w:r>
      <w:r w:rsidR="00992664" w:rsidRPr="00020424">
        <w:rPr>
          <w:rtl/>
        </w:rPr>
        <w:t xml:space="preserve"> ، وتمام الرواية فيه : « من أخذ في شهر رمضان وقد أفطر فرفع إلى الإمام يقتل في الثالثة » </w:t>
      </w:r>
      <w:r w:rsidR="00E82BAA">
        <w:rPr>
          <w:rFonts w:hint="cs"/>
          <w:rtl/>
        </w:rPr>
        <w:t>.</w:t>
      </w:r>
      <w:r w:rsidR="00992664" w:rsidRPr="0012008A">
        <w:rPr>
          <w:rStyle w:val="libFootnoteBoldChar"/>
          <w:rtl/>
        </w:rPr>
        <w:t>الوافي</w:t>
      </w:r>
      <w:r w:rsidR="00992664" w:rsidRPr="00020424">
        <w:rPr>
          <w:rtl/>
        </w:rPr>
        <w:t xml:space="preserve"> ، ج 11 ، ص 278 ، ح 10854 ؛ </w:t>
      </w:r>
      <w:r w:rsidR="00992664" w:rsidRPr="0012008A">
        <w:rPr>
          <w:rStyle w:val="libFootnoteBoldChar"/>
          <w:rtl/>
        </w:rPr>
        <w:t>الوسائل</w:t>
      </w:r>
      <w:r w:rsidR="00992664" w:rsidRPr="00020424">
        <w:rPr>
          <w:rtl/>
        </w:rPr>
        <w:t xml:space="preserve"> ، ج 10 ، ص 249 ، ح 13335.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عليه من الكفّارة ، يدلّ على ما ذهب إليه ابنا بابويه من أنّ قضاء إفطار شهر رمضان بعد الزوال كفّارته كفّارة إفطار شهر رمضان ، وحمله المحقّق في </w:t>
      </w:r>
      <w:r w:rsidR="00992664" w:rsidRPr="00DE76B9">
        <w:rPr>
          <w:rStyle w:val="libFootnoteBoldChar"/>
          <w:rtl/>
        </w:rPr>
        <w:t>المعتبر</w:t>
      </w:r>
      <w:r w:rsidR="00992664" w:rsidRPr="00020424">
        <w:rPr>
          <w:rtl/>
        </w:rPr>
        <w:t xml:space="preserve"> على الاستحباب ، وذهب الأكثر إلى أنّها إطعام عشرة مساكين لكلّ مسكين مدّ ، ومع العجز صيام ثلاثة أيّام. وقال ابن البرّاج</w:t>
      </w:r>
      <w:r w:rsidR="00E82BAA">
        <w:rPr>
          <w:rtl/>
        </w:rPr>
        <w:t xml:space="preserve"> : كفّارة يمين. وقال أبو الصلاح</w:t>
      </w:r>
      <w:r w:rsidR="00992664" w:rsidRPr="00020424">
        <w:rPr>
          <w:rtl/>
        </w:rPr>
        <w:t>: صيام ثلاثة أيّام وإطعام عشرة مساكين ، والأشهر الأظهر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بح » : « جامع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221 ، ح 983 ، بسنده عن ابن أبي عمير. </w:t>
      </w:r>
      <w:r w:rsidR="00992664" w:rsidRPr="00E82BAA">
        <w:rPr>
          <w:rStyle w:val="libFootnoteBoldChar"/>
          <w:rtl/>
        </w:rPr>
        <w:t>النوادر للأشعري</w:t>
      </w:r>
      <w:r w:rsidR="00E82BAA">
        <w:rPr>
          <w:rtl/>
        </w:rPr>
        <w:t xml:space="preserve"> ، ص 69، ح 143</w:t>
      </w:r>
      <w:r w:rsidR="00992664" w:rsidRPr="00020424">
        <w:rPr>
          <w:rtl/>
        </w:rPr>
        <w:t xml:space="preserve">، </w:t>
      </w:r>
      <w:r w:rsidR="00E82BA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1462C6">
        <w:rPr>
          <w:rtl/>
        </w:rPr>
        <w:t>6389</w:t>
      </w:r>
      <w:r w:rsidRPr="001155DE">
        <w:rPr>
          <w:rStyle w:val="libBold2Char"/>
          <w:rtl/>
        </w:rPr>
        <w:t xml:space="preserve"> / 8.</w:t>
      </w:r>
      <w:r w:rsidRPr="00020424">
        <w:rPr>
          <w:rtl/>
          <w:lang w:bidi="fa-IR"/>
        </w:rPr>
        <w:t xml:space="preserve"> حُمَيْدُ بْنُ زِيَادٍ ، عَنِ الْحَسَنِ بْنِ مُحَمَّدِ بْنِ </w:t>
      </w:r>
      <w:r w:rsidRPr="00A91B96">
        <w:rPr>
          <w:rStyle w:val="libFootnotenumChar"/>
          <w:rtl/>
        </w:rPr>
        <w:t>(1)</w:t>
      </w:r>
      <w:r w:rsidRPr="00020424">
        <w:rPr>
          <w:rtl/>
          <w:lang w:bidi="fa-IR"/>
        </w:rPr>
        <w:t xml:space="preserve"> سَمَاعَةَ ، عَنْ غَيْرِ وَاحِدٍ ، عَنْ أَبَانِ بْنِ عُثْمَانَ ، عَنْ عَبْدِ الرَّحْمنِ بْنِ أَبِي عَبْدِ اللهِ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سَأَلْتُهُ عَنْ رَجُلٍ أَفْطَرَ يَوْماً مِنْ شَهْرِ رَمَضَانَ مُتَعَمِّداً</w:t>
      </w:r>
      <w:r>
        <w:rPr>
          <w:rtl/>
          <w:lang w:bidi="fa-IR"/>
        </w:rPr>
        <w:t>؟</w:t>
      </w:r>
    </w:p>
    <w:p w:rsidR="00992664" w:rsidRPr="00020424" w:rsidRDefault="00992664" w:rsidP="00992664">
      <w:pPr>
        <w:pStyle w:val="libNormal"/>
        <w:rPr>
          <w:rtl/>
          <w:lang w:bidi="fa-IR"/>
        </w:rPr>
      </w:pPr>
      <w:r w:rsidRPr="00020424">
        <w:rPr>
          <w:rtl/>
          <w:lang w:bidi="fa-IR"/>
        </w:rPr>
        <w:t xml:space="preserve">قَالَ : « يَتَصَدَّقُ بِعِشْرِينَ صَاعاً </w:t>
      </w:r>
      <w:r w:rsidRPr="00A91B96">
        <w:rPr>
          <w:rStyle w:val="libFootnotenumChar"/>
          <w:rtl/>
        </w:rPr>
        <w:t>(3)</w:t>
      </w:r>
      <w:r w:rsidRPr="00020424">
        <w:rPr>
          <w:rtl/>
          <w:lang w:bidi="fa-IR"/>
        </w:rPr>
        <w:t xml:space="preserve"> ، وَيَقْضِي مَكَانَهُ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1462C6">
        <w:rPr>
          <w:rtl/>
        </w:rPr>
        <w:t>6390</w:t>
      </w:r>
      <w:r w:rsidRPr="001155DE">
        <w:rPr>
          <w:rStyle w:val="libBold2Char"/>
          <w:rtl/>
        </w:rPr>
        <w:t xml:space="preserve"> / 9.</w:t>
      </w:r>
      <w:r w:rsidRPr="00020424">
        <w:rPr>
          <w:rtl/>
          <w:lang w:bidi="fa-IR"/>
        </w:rPr>
        <w:t xml:space="preserve"> عَلِيُّ بْنُ مُحَمَّدِ بْنِ بُنْدَارَ ، عَنْ إِبْرَاهِيمَ بْنِ إِسْحَاقَ الْأَحْمَرِ ، عَنْ عَبْدِ اللهِ بْنِ حَمَّادٍ </w:t>
      </w:r>
      <w:r w:rsidRPr="00A91B96">
        <w:rPr>
          <w:rStyle w:val="libFootnotenumChar"/>
          <w:rtl/>
        </w:rPr>
        <w:t>(5)</w:t>
      </w:r>
      <w:r w:rsidRPr="00020424">
        <w:rPr>
          <w:rtl/>
          <w:lang w:bidi="fa-IR"/>
        </w:rPr>
        <w:t xml:space="preserve"> ، عَنِ الْمُفَضَّلِ بْنِ عُمَرَ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أَتَى امْرَأَتَهُ وَهُوَ صَائِمٌ وَهِيَ صَائِمَةٌ.</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إِنْ كَانَ اسْتَكْرَهَهَا ، فَعَلَيْهِ كَفَّارَتَانِ ، وَإِنْ كَانَتْ طَاوَعَتْهُ </w:t>
      </w:r>
      <w:r w:rsidRPr="00A91B96">
        <w:rPr>
          <w:rStyle w:val="libFootnotenumChar"/>
          <w:rtl/>
        </w:rPr>
        <w:t>(7)</w:t>
      </w:r>
      <w:r w:rsidRPr="00020424">
        <w:rPr>
          <w:rtl/>
          <w:lang w:bidi="fa-IR"/>
        </w:rPr>
        <w:t xml:space="preserve"> ، فَعَلَيْهِ كَفَّارَةٌ </w:t>
      </w:r>
      <w:r w:rsidRPr="00A91B96">
        <w:rPr>
          <w:rStyle w:val="libFootnotenumChar"/>
          <w:rtl/>
        </w:rPr>
        <w:t>(8)</w:t>
      </w:r>
      <w:r w:rsidRPr="00020424">
        <w:rPr>
          <w:rtl/>
          <w:lang w:bidi="fa-IR"/>
        </w:rPr>
        <w:t xml:space="preserve"> وَعَلَيْهَا كَفَّارَةٌ ، وَإِنْ كَانَ أَكْرَهَهَا ، فَعَلَيْهِ </w:t>
      </w:r>
      <w:r w:rsidRPr="00A91B96">
        <w:rPr>
          <w:rStyle w:val="libFootnotenumChar"/>
          <w:rtl/>
        </w:rPr>
        <w:t>(9)</w:t>
      </w:r>
      <w:r w:rsidRPr="00020424">
        <w:rPr>
          <w:rtl/>
          <w:lang w:bidi="fa-IR"/>
        </w:rPr>
        <w:t xml:space="preserve"> ضَرْبُ خَمْسِينَ سَوْطاً نِصْفِ الْحَدِّ ، وَإِنْ كَانَتْ </w:t>
      </w:r>
      <w:r w:rsidRPr="00A91B96">
        <w:rPr>
          <w:rStyle w:val="libFootnotenumChar"/>
          <w:rtl/>
        </w:rPr>
        <w:t>(10)</w:t>
      </w:r>
      <w:r w:rsidRPr="00020424">
        <w:rPr>
          <w:rtl/>
          <w:lang w:bidi="fa-IR"/>
        </w:rPr>
        <w:t xml:space="preserve"> طَاوَعَتْهُ </w:t>
      </w:r>
      <w:r w:rsidRPr="00A91B96">
        <w:rPr>
          <w:rStyle w:val="libFootnotenumChar"/>
          <w:rtl/>
        </w:rPr>
        <w:t>(11)</w:t>
      </w:r>
      <w:r w:rsidRPr="00020424">
        <w:rPr>
          <w:rtl/>
          <w:lang w:bidi="fa-IR"/>
        </w:rPr>
        <w:t xml:space="preserve"> ، ضُرِبَ خَمْسَةً وَعِشْرِينَ سَوْطاً ، وَضُرِبَتْ خَمْسَةً وَعِشْرِينَ سَوْطاً</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82BAA" w:rsidP="00992664">
      <w:pPr>
        <w:pStyle w:val="libFootnote0"/>
        <w:rPr>
          <w:rtl/>
          <w:lang w:bidi="fa-IR"/>
        </w:rPr>
      </w:pPr>
      <w:r>
        <w:rPr>
          <w:rFonts w:hint="cs"/>
          <w:rtl/>
        </w:rPr>
        <w:t xml:space="preserve">= </w:t>
      </w:r>
      <w:r w:rsidR="00992664" w:rsidRPr="00020424">
        <w:rPr>
          <w:rtl/>
        </w:rPr>
        <w:t xml:space="preserve">مرسلاً </w:t>
      </w:r>
      <w:r w:rsidR="00E43A02">
        <w:rPr>
          <w:rFonts w:hint="cs"/>
          <w:rtl/>
        </w:rPr>
        <w:t>.</w:t>
      </w:r>
      <w:r w:rsidR="00992664" w:rsidRPr="0012008A">
        <w:rPr>
          <w:rStyle w:val="libFootnoteBoldChar"/>
          <w:rtl/>
        </w:rPr>
        <w:t>الوسائل</w:t>
      </w:r>
      <w:r w:rsidR="00992664" w:rsidRPr="00020424">
        <w:rPr>
          <w:rtl/>
        </w:rPr>
        <w:t xml:space="preserve"> ، ج 10 ، ص 39 ، ح 12777 ؛ وص 130 ، ذيل ح 13029.</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محمّد بن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عن أبي عبد الله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بعشرين صاعاً ، لعلّه محمول على الاستحباب</w:t>
      </w:r>
      <w:r w:rsidR="00992664">
        <w:rPr>
          <w:rtl/>
        </w:rPr>
        <w:t xml:space="preserve"> ».</w:t>
      </w:r>
    </w:p>
    <w:p w:rsidR="00992664" w:rsidRPr="00020424" w:rsidRDefault="00795177" w:rsidP="00E43A02">
      <w:pPr>
        <w:pStyle w:val="libFootnote0"/>
        <w:rPr>
          <w:rtl/>
          <w:lang w:bidi="fa-IR"/>
        </w:rPr>
      </w:pPr>
      <w:r>
        <w:rPr>
          <w:rtl/>
        </w:rPr>
        <w:t>(4).</w:t>
      </w:r>
      <w:r w:rsidR="0014403D">
        <w:rPr>
          <w:rtl/>
        </w:rPr>
        <w:t xml:space="preserve"> </w:t>
      </w:r>
      <w:r w:rsidR="00992664" w:rsidRPr="00020424">
        <w:rPr>
          <w:rtl/>
        </w:rPr>
        <w:t xml:space="preserve">راجع : </w:t>
      </w:r>
      <w:r w:rsidR="00992664" w:rsidRPr="00E82BAA">
        <w:rPr>
          <w:rStyle w:val="libFootnoteBoldChar"/>
          <w:rtl/>
        </w:rPr>
        <w:t>النوادر للأشعري</w:t>
      </w:r>
      <w:r w:rsidR="00992664" w:rsidRPr="00020424">
        <w:rPr>
          <w:rtl/>
        </w:rPr>
        <w:t xml:space="preserve"> ، ص 24 ، ح 15 </w:t>
      </w:r>
      <w:r w:rsidR="00E43A02">
        <w:rPr>
          <w:rFonts w:hint="cs"/>
          <w:rtl/>
        </w:rPr>
        <w:t>.</w:t>
      </w:r>
      <w:r w:rsidR="00992664" w:rsidRPr="0012008A">
        <w:rPr>
          <w:rStyle w:val="libFootnoteBoldChar"/>
          <w:rtl/>
        </w:rPr>
        <w:t>الوافي</w:t>
      </w:r>
      <w:r w:rsidR="00992664" w:rsidRPr="00020424">
        <w:rPr>
          <w:rtl/>
        </w:rPr>
        <w:t xml:space="preserve"> ، ج 11 ، ص 275 ، ح 10845 ؛ </w:t>
      </w:r>
      <w:r w:rsidR="00992664" w:rsidRPr="0012008A">
        <w:rPr>
          <w:rStyle w:val="libFootnoteBoldChar"/>
          <w:rtl/>
        </w:rPr>
        <w:t>الوسائل</w:t>
      </w:r>
      <w:r w:rsidR="00992664" w:rsidRPr="00020424">
        <w:rPr>
          <w:rtl/>
        </w:rPr>
        <w:t xml:space="preserve"> ، ج 10 ، ص 46 ، ح 12792.</w:t>
      </w:r>
      <w:r w:rsidR="00E43A02">
        <w:rPr>
          <w:rFonts w:hint="cs"/>
          <w:rtl/>
        </w:rPr>
        <w:t xml:space="preserve">                </w:t>
      </w:r>
      <w:r w:rsidR="00B04396">
        <w:rPr>
          <w:rFonts w:hint="cs"/>
          <w:rtl/>
        </w:rPr>
        <w:t xml:space="preserve">               </w:t>
      </w:r>
      <w:r w:rsidR="00E43A02">
        <w:rPr>
          <w:rFonts w:hint="cs"/>
          <w:rtl/>
        </w:rPr>
        <w:t xml:space="preserve">  </w:t>
      </w:r>
      <w:r>
        <w:rPr>
          <w:rtl/>
        </w:rPr>
        <w:t>(5).</w:t>
      </w:r>
      <w:r w:rsidR="0014403D">
        <w:rPr>
          <w:rtl/>
        </w:rPr>
        <w:t xml:space="preserve"> </w:t>
      </w:r>
      <w:r w:rsidR="00992664" w:rsidRPr="00020424">
        <w:rPr>
          <w:rtl/>
        </w:rPr>
        <w:t>في الكافي ، ح 13974 : + « الأنصاري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الكافي ، ح 13974 : « وهي صائمة وهو صائم. قال » بدل « وهو صائم وهي صائمة. فقال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الكافي ، ح 13974 : « وإن لم يستكرهها » بدل « وإن كانت طاوعته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43A02" w:rsidTr="00E43A02">
        <w:tc>
          <w:tcPr>
            <w:tcW w:w="4006" w:type="dxa"/>
          </w:tcPr>
          <w:p w:rsidR="00E43A02" w:rsidRDefault="00E43A02" w:rsidP="00992664">
            <w:pPr>
              <w:pStyle w:val="libFootnote0"/>
              <w:rPr>
                <w:rtl/>
              </w:rPr>
            </w:pPr>
            <w:r>
              <w:rPr>
                <w:rtl/>
              </w:rPr>
              <w:t xml:space="preserve">(8). </w:t>
            </w:r>
            <w:r w:rsidRPr="00020424">
              <w:rPr>
                <w:rtl/>
              </w:rPr>
              <w:t>في « بر ، بف » : « الكفّارة</w:t>
            </w:r>
            <w:r>
              <w:rPr>
                <w:rtl/>
              </w:rPr>
              <w:t xml:space="preserve"> ».</w:t>
            </w:r>
          </w:p>
        </w:tc>
        <w:tc>
          <w:tcPr>
            <w:tcW w:w="4006" w:type="dxa"/>
          </w:tcPr>
          <w:p w:rsidR="00E43A02" w:rsidRDefault="00E43A02" w:rsidP="00992664">
            <w:pPr>
              <w:pStyle w:val="libFootnote0"/>
              <w:rPr>
                <w:rtl/>
              </w:rPr>
            </w:pPr>
            <w:r>
              <w:rPr>
                <w:rtl/>
              </w:rPr>
              <w:t xml:space="preserve">(9). </w:t>
            </w:r>
            <w:r w:rsidRPr="00020424">
              <w:rPr>
                <w:rtl/>
              </w:rPr>
              <w:t>في « ظ » : « عليه</w:t>
            </w:r>
            <w:r>
              <w:rPr>
                <w:rtl/>
              </w:rPr>
              <w:t xml:space="preserve"> ».</w:t>
            </w:r>
          </w:p>
        </w:tc>
      </w:tr>
      <w:tr w:rsidR="00E43A02" w:rsidTr="00E43A02">
        <w:tc>
          <w:tcPr>
            <w:tcW w:w="4006" w:type="dxa"/>
          </w:tcPr>
          <w:p w:rsidR="00E43A02" w:rsidRDefault="00E43A02" w:rsidP="00992664">
            <w:pPr>
              <w:pStyle w:val="libFootnote0"/>
              <w:rPr>
                <w:rtl/>
              </w:rPr>
            </w:pPr>
            <w:r>
              <w:rPr>
                <w:rtl/>
              </w:rPr>
              <w:t xml:space="preserve">(10). </w:t>
            </w:r>
            <w:r w:rsidRPr="00020424">
              <w:rPr>
                <w:rtl/>
              </w:rPr>
              <w:t xml:space="preserve">في </w:t>
            </w:r>
            <w:r w:rsidRPr="00E43A02">
              <w:rPr>
                <w:rtl/>
              </w:rPr>
              <w:t>الوافي</w:t>
            </w:r>
            <w:r w:rsidRPr="00020424">
              <w:rPr>
                <w:rtl/>
              </w:rPr>
              <w:t xml:space="preserve"> : « كان</w:t>
            </w:r>
            <w:r>
              <w:rPr>
                <w:rtl/>
              </w:rPr>
              <w:t xml:space="preserve"> ».</w:t>
            </w:r>
          </w:p>
        </w:tc>
        <w:tc>
          <w:tcPr>
            <w:tcW w:w="4006" w:type="dxa"/>
          </w:tcPr>
          <w:p w:rsidR="00E43A02" w:rsidRDefault="00E43A02" w:rsidP="00992664">
            <w:pPr>
              <w:pStyle w:val="libFootnote0"/>
              <w:rPr>
                <w:rtl/>
              </w:rPr>
            </w:pPr>
            <w:r>
              <w:rPr>
                <w:rtl/>
              </w:rPr>
              <w:t xml:space="preserve">(11). </w:t>
            </w:r>
            <w:r w:rsidRPr="00020424">
              <w:rPr>
                <w:rtl/>
              </w:rPr>
              <w:t>في « جن » : + « فعليه</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DE76B9">
        <w:rPr>
          <w:rStyle w:val="libFootnoteBoldChar"/>
          <w:rtl/>
        </w:rPr>
        <w:t>الكافي</w:t>
      </w:r>
      <w:r w:rsidR="00992664" w:rsidRPr="00020424">
        <w:rPr>
          <w:rtl/>
        </w:rPr>
        <w:t xml:space="preserve"> ، كتاب الحدود ، باب ما يجب فيه التعزير في جميع الحدود ، ح 13974. وفي </w:t>
      </w:r>
      <w:r w:rsidR="00992664" w:rsidRPr="0012008A">
        <w:rPr>
          <w:rStyle w:val="libFootnoteBoldChar"/>
          <w:rtl/>
        </w:rPr>
        <w:t>التهذيب</w:t>
      </w:r>
      <w:r w:rsidR="00992664" w:rsidRPr="00020424">
        <w:rPr>
          <w:rtl/>
        </w:rPr>
        <w:t xml:space="preserve"> ، ج 4 ، ص 215 ، ح 625 ؛ وج 10 ، ص 145 ، ح 574 ، معلّقاً عن الكليني. </w:t>
      </w:r>
      <w:r w:rsidR="00992664" w:rsidRPr="0012008A">
        <w:rPr>
          <w:rStyle w:val="libFootnoteBoldChar"/>
          <w:rtl/>
        </w:rPr>
        <w:t>الفقيه</w:t>
      </w:r>
      <w:r w:rsidR="00992664" w:rsidRPr="00020424">
        <w:rPr>
          <w:rtl/>
        </w:rPr>
        <w:t xml:space="preserve"> ، ج 2 ، ص 117 ، ح 1889 ، معلّقاً عن المفضّل بن عمر </w:t>
      </w:r>
      <w:r w:rsidR="00E43A02">
        <w:rPr>
          <w:rFonts w:hint="cs"/>
          <w:rtl/>
        </w:rPr>
        <w:t>.</w:t>
      </w:r>
      <w:r w:rsidR="00992664" w:rsidRPr="0012008A">
        <w:rPr>
          <w:rStyle w:val="libFootnoteBoldChar"/>
          <w:rtl/>
        </w:rPr>
        <w:t>الوافي</w:t>
      </w:r>
      <w:r w:rsidR="00992664" w:rsidRPr="00020424">
        <w:rPr>
          <w:rtl/>
        </w:rPr>
        <w:t xml:space="preserve"> ، ج 11 ، ص 277 ، ح 10852 ؛ </w:t>
      </w:r>
      <w:r w:rsidR="00992664" w:rsidRPr="0012008A">
        <w:rPr>
          <w:rStyle w:val="libFootnoteBoldChar"/>
          <w:rtl/>
        </w:rPr>
        <w:t>الوسائل</w:t>
      </w:r>
      <w:r w:rsidR="00992664" w:rsidRPr="00020424">
        <w:rPr>
          <w:rtl/>
        </w:rPr>
        <w:t xml:space="preserve"> ، ج 10 ، ص 56 ، ح 12820 ؛ وج 28 ، ص 377 ، ح 35006.</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65" w:name="_Toc345172837"/>
      <w:bookmarkStart w:id="366" w:name="_Toc464562655"/>
      <w:bookmarkStart w:id="367" w:name="_Toc44599958"/>
      <w:r w:rsidRPr="00020424">
        <w:rPr>
          <w:rtl/>
          <w:lang w:bidi="fa-IR"/>
        </w:rPr>
        <w:t>23</w:t>
      </w:r>
      <w:r>
        <w:rPr>
          <w:rtl/>
          <w:lang w:bidi="fa-IR"/>
        </w:rPr>
        <w:t xml:space="preserve"> </w:t>
      </w:r>
      <w:r w:rsidR="009B673F">
        <w:rPr>
          <w:rtl/>
          <w:lang w:bidi="fa-IR"/>
        </w:rPr>
        <w:t>-</w:t>
      </w:r>
      <w:r>
        <w:rPr>
          <w:rtl/>
          <w:lang w:bidi="fa-IR"/>
        </w:rPr>
        <w:t xml:space="preserve"> </w:t>
      </w:r>
      <w:r w:rsidRPr="00020424">
        <w:rPr>
          <w:rtl/>
          <w:lang w:bidi="fa-IR"/>
        </w:rPr>
        <w:t>بَابُ الصَّائِمِ يُقَبِّلُ أَوْ يُبَاشِرُ‌</w:t>
      </w:r>
      <w:bookmarkEnd w:id="365"/>
      <w:bookmarkEnd w:id="366"/>
      <w:bookmarkEnd w:id="367"/>
    </w:p>
    <w:p w:rsidR="00E43A02" w:rsidRDefault="00992664" w:rsidP="00E43A02">
      <w:pPr>
        <w:pStyle w:val="libNormal"/>
        <w:rPr>
          <w:rtl/>
          <w:lang w:bidi="fa-IR"/>
        </w:rPr>
      </w:pPr>
      <w:r w:rsidRPr="001462C6">
        <w:rPr>
          <w:rtl/>
        </w:rPr>
        <w:t>6391</w:t>
      </w:r>
      <w:r w:rsidRPr="001155DE">
        <w:rPr>
          <w:rStyle w:val="libBold2Char"/>
          <w:rtl/>
        </w:rPr>
        <w:t xml:space="preserve"> / 1.</w:t>
      </w:r>
      <w:r w:rsidRPr="00020424">
        <w:rPr>
          <w:rtl/>
          <w:lang w:bidi="fa-IR"/>
        </w:rPr>
        <w:t xml:space="preserve"> عَلِيُّ بْنُ إِبْرَاهِيمَ ، عَنْ أَبِيهِ ؛</w:t>
      </w:r>
    </w:p>
    <w:p w:rsidR="00992664" w:rsidRPr="00020424" w:rsidRDefault="00E43A02" w:rsidP="00E43A02">
      <w:pPr>
        <w:pStyle w:val="libNormal"/>
        <w:rPr>
          <w:rtl/>
          <w:lang w:bidi="fa-IR"/>
        </w:rPr>
      </w:pPr>
      <w:r>
        <w:rPr>
          <w:rFonts w:hint="cs"/>
          <w:rtl/>
          <w:lang w:bidi="fa-IR"/>
        </w:rPr>
        <w:t xml:space="preserve">             </w:t>
      </w:r>
      <w:r w:rsidR="00992664" w:rsidRPr="00020424">
        <w:rPr>
          <w:rtl/>
          <w:lang w:bidi="fa-IR"/>
        </w:rPr>
        <w:t xml:space="preserve">وَمُحَمَّدُ بْنُ يَحْيى ، عَنْ أَحْمَدَ بْنِ مُحَمَّدٍ جَمِيعاً </w:t>
      </w:r>
      <w:r w:rsidR="00992664" w:rsidRPr="00A91B96">
        <w:rPr>
          <w:rStyle w:val="libFootnotenumChar"/>
          <w:rtl/>
        </w:rPr>
        <w:t>(1)</w:t>
      </w:r>
      <w:r w:rsidR="00992664" w:rsidRPr="00020424">
        <w:rPr>
          <w:rtl/>
          <w:lang w:bidi="fa-IR"/>
        </w:rPr>
        <w:t xml:space="preserve">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أَنَّهُ سُئِلَ عَنْ رَجُلٍ </w:t>
      </w:r>
      <w:r w:rsidRPr="00A91B96">
        <w:rPr>
          <w:rStyle w:val="libFootnotenumChar"/>
          <w:rtl/>
        </w:rPr>
        <w:t>(2)</w:t>
      </w:r>
      <w:r w:rsidRPr="00020424">
        <w:rPr>
          <w:rtl/>
          <w:lang w:bidi="fa-IR"/>
        </w:rPr>
        <w:t xml:space="preserve"> يَمَسُّ مِنَ الْمَرْأَةِ </w:t>
      </w:r>
      <w:r w:rsidRPr="00A91B96">
        <w:rPr>
          <w:rStyle w:val="libFootnotenumChar"/>
          <w:rtl/>
        </w:rPr>
        <w:t>(3)</w:t>
      </w:r>
      <w:r>
        <w:rPr>
          <w:rtl/>
          <w:lang w:bidi="fa-IR"/>
        </w:rPr>
        <w:t xml:space="preserve"> شَيْئاً : أَ</w:t>
      </w:r>
      <w:r w:rsidRPr="00020424">
        <w:rPr>
          <w:rtl/>
          <w:lang w:bidi="fa-IR"/>
        </w:rPr>
        <w:t xml:space="preserve">يُفْسِدُ </w:t>
      </w:r>
      <w:r w:rsidRPr="00A91B96">
        <w:rPr>
          <w:rStyle w:val="libFootnotenumChar"/>
          <w:rtl/>
        </w:rPr>
        <w:t>(4)</w:t>
      </w:r>
      <w:r w:rsidRPr="00020424">
        <w:rPr>
          <w:rtl/>
          <w:lang w:bidi="fa-IR"/>
        </w:rPr>
        <w:t xml:space="preserve"> ذلِكَ صَوْمَهُ ، أَوْ يَنْقُضُهُ </w:t>
      </w:r>
      <w:r w:rsidRPr="00A91B96">
        <w:rPr>
          <w:rStyle w:val="libFootnotenumChar"/>
          <w:rtl/>
        </w:rPr>
        <w:t>(5)</w:t>
      </w:r>
      <w:r>
        <w:rPr>
          <w:rtl/>
          <w:lang w:bidi="fa-IR"/>
        </w:rPr>
        <w:t>؟</w:t>
      </w:r>
    </w:p>
    <w:p w:rsidR="00992664" w:rsidRPr="00020424" w:rsidRDefault="00992664" w:rsidP="00992664">
      <w:pPr>
        <w:pStyle w:val="libNormal"/>
        <w:rPr>
          <w:rtl/>
          <w:lang w:bidi="fa-IR"/>
        </w:rPr>
      </w:pPr>
      <w:r w:rsidRPr="00020424">
        <w:rPr>
          <w:rtl/>
          <w:lang w:bidi="fa-IR"/>
        </w:rPr>
        <w:t xml:space="preserve">فَقَالَ : « إِنَّ ذلِكَ يُكْرَهُ </w:t>
      </w:r>
      <w:r w:rsidRPr="00A91B96">
        <w:rPr>
          <w:rStyle w:val="libFootnotenumChar"/>
          <w:rtl/>
        </w:rPr>
        <w:t>(6)</w:t>
      </w:r>
      <w:r w:rsidRPr="00020424">
        <w:rPr>
          <w:rtl/>
          <w:lang w:bidi="fa-IR"/>
        </w:rPr>
        <w:t xml:space="preserve"> لِلرَّجُلِ الشَّابِّ مَخَافَةَ أَنْ يَسْبِقَهُ الْمَنِيُّ</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E43A02" w:rsidRDefault="00992664" w:rsidP="00E43A02">
      <w:pPr>
        <w:pStyle w:val="libNormal"/>
        <w:rPr>
          <w:rtl/>
          <w:lang w:bidi="fa-IR"/>
        </w:rPr>
      </w:pPr>
      <w:r w:rsidRPr="001462C6">
        <w:rPr>
          <w:rtl/>
        </w:rPr>
        <w:t>6392</w:t>
      </w:r>
      <w:r w:rsidRPr="001155DE">
        <w:rPr>
          <w:rStyle w:val="libBold2Char"/>
          <w:rtl/>
        </w:rPr>
        <w:t xml:space="preserve"> / 2.</w:t>
      </w:r>
      <w:r w:rsidRPr="00020424">
        <w:rPr>
          <w:rtl/>
          <w:lang w:bidi="fa-IR"/>
        </w:rPr>
        <w:t xml:space="preserve"> عَلِيُّ بْنُ إِبْرَاهِيمَ </w:t>
      </w:r>
      <w:r w:rsidRPr="00A91B96">
        <w:rPr>
          <w:rStyle w:val="libFootnotenumChar"/>
          <w:rtl/>
        </w:rPr>
        <w:t>(8)</w:t>
      </w:r>
      <w:r w:rsidRPr="00020424">
        <w:rPr>
          <w:rtl/>
          <w:lang w:bidi="fa-IR"/>
        </w:rPr>
        <w:t xml:space="preserve"> ، عَنْ أَبِيهِ ؛</w:t>
      </w:r>
    </w:p>
    <w:p w:rsidR="00992664" w:rsidRPr="00020424" w:rsidRDefault="00E43A02" w:rsidP="00E43A02">
      <w:pPr>
        <w:pStyle w:val="libNormal"/>
        <w:rPr>
          <w:rtl/>
          <w:lang w:bidi="fa-IR"/>
        </w:rPr>
      </w:pPr>
      <w:r>
        <w:rPr>
          <w:rFonts w:hint="cs"/>
          <w:rtl/>
          <w:lang w:bidi="fa-IR"/>
        </w:rPr>
        <w:t xml:space="preserve">            </w:t>
      </w:r>
      <w:r w:rsidR="00992664" w:rsidRPr="00020424">
        <w:rPr>
          <w:rtl/>
          <w:lang w:bidi="fa-IR"/>
        </w:rPr>
        <w:t xml:space="preserve">وَمُحَمَّدُ بْنُ إِسْمَاعِيلَ ، عَنِ الْفَضْلِ بْنِ شَاذَانَ </w:t>
      </w:r>
      <w:r w:rsidR="00992664" w:rsidRPr="00A91B96">
        <w:rPr>
          <w:rStyle w:val="libFootnotenumChar"/>
          <w:rtl/>
        </w:rPr>
        <w:t>(9)</w:t>
      </w:r>
      <w:r w:rsidR="00992664" w:rsidRPr="00020424">
        <w:rPr>
          <w:rtl/>
          <w:lang w:bidi="fa-IR"/>
        </w:rPr>
        <w:t xml:space="preserve"> جَمِيعاً ، عَنِ ابْنِ أَبِي عُمَيْرٍ ، عَنْ جَمِيلٍ ، عَنْ زُرَارَةَ :</w:t>
      </w:r>
    </w:p>
    <w:p w:rsidR="00992664" w:rsidRPr="00020424" w:rsidRDefault="00992664" w:rsidP="00992664">
      <w:pPr>
        <w:pStyle w:val="libNormal"/>
        <w:rPr>
          <w:rtl/>
          <w:lang w:bidi="fa-IR"/>
        </w:rPr>
      </w:pPr>
      <w:r w:rsidRPr="00020424">
        <w:rPr>
          <w:rtl/>
          <w:lang w:bidi="fa-IR"/>
        </w:rPr>
        <w:t xml:space="preserve">عَنْ أَبِي جَعْفَرٍ </w:t>
      </w:r>
      <w:r w:rsidRPr="00A91B96">
        <w:rPr>
          <w:rStyle w:val="libFootnotenumChar"/>
          <w:rtl/>
        </w:rPr>
        <w:t>(10)</w:t>
      </w:r>
      <w:r w:rsidRPr="00020424">
        <w:rPr>
          <w:rtl/>
          <w:lang w:bidi="fa-IR"/>
        </w:rPr>
        <w:t xml:space="preserve"> </w:t>
      </w:r>
      <w:r w:rsidRPr="00005A81">
        <w:rPr>
          <w:rStyle w:val="libAlaemChar"/>
          <w:rtl/>
        </w:rPr>
        <w:t>عليه‌السلام</w:t>
      </w:r>
      <w:r w:rsidRPr="00020424">
        <w:rPr>
          <w:rtl/>
          <w:lang w:bidi="fa-IR"/>
        </w:rPr>
        <w:t xml:space="preserve"> ، قَالَ : « لَا تَنْقُضُ الْقُبْلَةُ الصَّوْمَ</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1462C6">
        <w:rPr>
          <w:rtl/>
        </w:rPr>
        <w:t>6393</w:t>
      </w:r>
      <w:r w:rsidRPr="001155DE">
        <w:rPr>
          <w:rStyle w:val="libBold2Char"/>
          <w:rtl/>
        </w:rPr>
        <w:t xml:space="preserve"> / 3.</w:t>
      </w:r>
      <w:r w:rsidRPr="00020424">
        <w:rPr>
          <w:rtl/>
          <w:lang w:bidi="fa-IR"/>
        </w:rPr>
        <w:t xml:space="preserve"> عِدَّةٌ مِنْ أَصْحَابِنَا ، عَنْ أَحْمَدَ بْنِ مُحَمَّدٍ </w:t>
      </w:r>
      <w:r w:rsidRPr="00A91B96">
        <w:rPr>
          <w:rStyle w:val="libFootnotenumChar"/>
          <w:rtl/>
        </w:rPr>
        <w:t>(12)</w:t>
      </w:r>
      <w:r w:rsidRPr="00020424">
        <w:rPr>
          <w:rtl/>
          <w:lang w:bidi="fa-IR"/>
        </w:rPr>
        <w:t xml:space="preserve"> ، عَنْ عَلِيِّ بْنِ الْحَكَمِ ، عَنْ دَاوُدَ بْنِ‌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43A02" w:rsidTr="00E43A02">
        <w:tc>
          <w:tcPr>
            <w:tcW w:w="4006" w:type="dxa"/>
          </w:tcPr>
          <w:p w:rsidR="00E43A02" w:rsidRDefault="00E43A02" w:rsidP="00992664">
            <w:pPr>
              <w:pStyle w:val="libFootnote0"/>
              <w:rPr>
                <w:rtl/>
              </w:rPr>
            </w:pPr>
            <w:r>
              <w:rPr>
                <w:rtl/>
              </w:rPr>
              <w:t xml:space="preserve">(1). </w:t>
            </w:r>
            <w:r w:rsidRPr="00020424">
              <w:rPr>
                <w:rtl/>
              </w:rPr>
              <w:t>في « ى ، بح ، جن » :</w:t>
            </w:r>
            <w:r>
              <w:rPr>
                <w:rtl/>
              </w:rPr>
              <w:t xml:space="preserve"> - </w:t>
            </w:r>
            <w:r w:rsidRPr="00020424">
              <w:rPr>
                <w:rtl/>
              </w:rPr>
              <w:t>« جميعاً</w:t>
            </w:r>
            <w:r>
              <w:rPr>
                <w:rtl/>
              </w:rPr>
              <w:t xml:space="preserve"> ».</w:t>
            </w:r>
          </w:p>
        </w:tc>
        <w:tc>
          <w:tcPr>
            <w:tcW w:w="4006" w:type="dxa"/>
          </w:tcPr>
          <w:p w:rsidR="00E43A02" w:rsidRDefault="00E43A02" w:rsidP="00992664">
            <w:pPr>
              <w:pStyle w:val="libFootnote0"/>
              <w:rPr>
                <w:rtl/>
              </w:rPr>
            </w:pPr>
            <w:r>
              <w:rPr>
                <w:rtl/>
              </w:rPr>
              <w:t xml:space="preserve">(2). </w:t>
            </w:r>
            <w:r w:rsidRPr="00020424">
              <w:rPr>
                <w:rtl/>
              </w:rPr>
              <w:t>في « ظ » وحاشية « بح » : « الرجل</w:t>
            </w:r>
            <w:r>
              <w:rPr>
                <w:rtl/>
              </w:rPr>
              <w:t xml:space="preserve"> ».</w:t>
            </w:r>
          </w:p>
        </w:tc>
      </w:tr>
      <w:tr w:rsidR="00E43A02" w:rsidTr="00E43A02">
        <w:tc>
          <w:tcPr>
            <w:tcW w:w="4006" w:type="dxa"/>
          </w:tcPr>
          <w:p w:rsidR="00E43A02" w:rsidRDefault="00E43A02" w:rsidP="00992664">
            <w:pPr>
              <w:pStyle w:val="libFootnote0"/>
              <w:rPr>
                <w:rtl/>
              </w:rPr>
            </w:pPr>
            <w:r>
              <w:rPr>
                <w:rtl/>
              </w:rPr>
              <w:t xml:space="preserve">(3). </w:t>
            </w:r>
            <w:r w:rsidRPr="00020424">
              <w:rPr>
                <w:rtl/>
              </w:rPr>
              <w:t>في « بث » : « امرأته</w:t>
            </w:r>
            <w:r>
              <w:rPr>
                <w:rtl/>
              </w:rPr>
              <w:t xml:space="preserve"> ».</w:t>
            </w:r>
          </w:p>
        </w:tc>
        <w:tc>
          <w:tcPr>
            <w:tcW w:w="4006" w:type="dxa"/>
          </w:tcPr>
          <w:p w:rsidR="00E43A02" w:rsidRDefault="00E43A02" w:rsidP="00992664">
            <w:pPr>
              <w:pStyle w:val="libFootnote0"/>
              <w:rPr>
                <w:rtl/>
              </w:rPr>
            </w:pPr>
            <w:r>
              <w:rPr>
                <w:rtl/>
              </w:rPr>
              <w:t>(4). في «ى،بخ» : «يفسد</w:t>
            </w:r>
            <w:r w:rsidRPr="00020424">
              <w:rPr>
                <w:rtl/>
              </w:rPr>
              <w:t>» من دون همزة الاستفهام.</w:t>
            </w:r>
          </w:p>
        </w:tc>
      </w:tr>
      <w:tr w:rsidR="00E43A02" w:rsidTr="00E43A02">
        <w:tc>
          <w:tcPr>
            <w:tcW w:w="4006" w:type="dxa"/>
          </w:tcPr>
          <w:p w:rsidR="00E43A02" w:rsidRDefault="00E43A02" w:rsidP="00992664">
            <w:pPr>
              <w:pStyle w:val="libFootnote0"/>
              <w:rPr>
                <w:rtl/>
              </w:rPr>
            </w:pPr>
            <w:r>
              <w:rPr>
                <w:rtl/>
              </w:rPr>
              <w:t xml:space="preserve">(5). </w:t>
            </w:r>
            <w:r w:rsidRPr="00020424">
              <w:rPr>
                <w:rtl/>
              </w:rPr>
              <w:t>في « ى ، بف » : « ينقصه</w:t>
            </w:r>
            <w:r>
              <w:rPr>
                <w:rtl/>
              </w:rPr>
              <w:t xml:space="preserve"> ».</w:t>
            </w:r>
          </w:p>
        </w:tc>
        <w:tc>
          <w:tcPr>
            <w:tcW w:w="4006" w:type="dxa"/>
          </w:tcPr>
          <w:p w:rsidR="00E43A02" w:rsidRDefault="00E43A02" w:rsidP="00992664">
            <w:pPr>
              <w:pStyle w:val="libFootnote0"/>
              <w:rPr>
                <w:rtl/>
              </w:rPr>
            </w:pPr>
            <w:r>
              <w:rPr>
                <w:rtl/>
              </w:rPr>
              <w:t>(6). في «بخ،بر،بف</w:t>
            </w:r>
            <w:r w:rsidRPr="00020424">
              <w:rPr>
                <w:rtl/>
              </w:rPr>
              <w:t xml:space="preserve">» </w:t>
            </w:r>
            <w:r w:rsidRPr="00E43A02">
              <w:rPr>
                <w:rtl/>
              </w:rPr>
              <w:t>والوافي</w:t>
            </w:r>
            <w:r w:rsidRPr="00020424">
              <w:rPr>
                <w:rtl/>
              </w:rPr>
              <w:t xml:space="preserve"> </w:t>
            </w:r>
            <w:r>
              <w:rPr>
                <w:rtl/>
              </w:rPr>
              <w:t>ومرآة العقول : «</w:t>
            </w:r>
            <w:r w:rsidRPr="00020424">
              <w:rPr>
                <w:rtl/>
              </w:rPr>
              <w:t>ليكره</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211 ، ح 10712 ؛ </w:t>
      </w:r>
      <w:r w:rsidR="00992664" w:rsidRPr="0012008A">
        <w:rPr>
          <w:rStyle w:val="libFootnoteBoldChar"/>
          <w:rtl/>
        </w:rPr>
        <w:t>الوسائل</w:t>
      </w:r>
      <w:r w:rsidR="00992664" w:rsidRPr="00020424">
        <w:rPr>
          <w:rtl/>
        </w:rPr>
        <w:t xml:space="preserve"> ، ج 10 ، ص 97 ، ح 12940.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بر ، بف ، جر ، جن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71460" w:rsidTr="00F71460">
        <w:tc>
          <w:tcPr>
            <w:tcW w:w="4006" w:type="dxa"/>
          </w:tcPr>
          <w:p w:rsidR="00F71460" w:rsidRDefault="00F71460" w:rsidP="00992664">
            <w:pPr>
              <w:pStyle w:val="libFootnote0"/>
              <w:rPr>
                <w:rtl/>
              </w:rPr>
            </w:pPr>
            <w:r>
              <w:rPr>
                <w:rtl/>
              </w:rPr>
              <w:t>(9). في «بخ،بر،بف</w:t>
            </w:r>
            <w:r w:rsidRPr="00020424">
              <w:rPr>
                <w:rtl/>
              </w:rPr>
              <w:t>» :</w:t>
            </w:r>
            <w:r>
              <w:rPr>
                <w:rtl/>
              </w:rPr>
              <w:t>- «</w:t>
            </w:r>
            <w:r w:rsidRPr="00020424">
              <w:rPr>
                <w:rtl/>
              </w:rPr>
              <w:t>بن شاذان</w:t>
            </w:r>
            <w:r>
              <w:rPr>
                <w:rtl/>
              </w:rPr>
              <w:t xml:space="preserve"> ».</w:t>
            </w:r>
          </w:p>
        </w:tc>
        <w:tc>
          <w:tcPr>
            <w:tcW w:w="4006" w:type="dxa"/>
          </w:tcPr>
          <w:p w:rsidR="00F71460" w:rsidRDefault="00F71460" w:rsidP="00992664">
            <w:pPr>
              <w:pStyle w:val="libFootnote0"/>
              <w:rPr>
                <w:rtl/>
              </w:rPr>
            </w:pPr>
            <w:r>
              <w:rPr>
                <w:rtl/>
              </w:rPr>
              <w:t>(10).في حاشية «جن» وهامش المطبوع:«</w:t>
            </w:r>
            <w:r w:rsidRPr="00020424">
              <w:rPr>
                <w:rtl/>
              </w:rPr>
              <w:t>أبي عبد الله</w:t>
            </w:r>
            <w:r>
              <w:rPr>
                <w:rtl/>
              </w:rPr>
              <w:t>».</w:t>
            </w:r>
          </w:p>
        </w:tc>
      </w:tr>
    </w:tbl>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271 ، ح 819 ، بسنده عن ابن أبي عمير ، وبسند آخر عن جميل ؛ </w:t>
      </w:r>
      <w:r w:rsidR="00992664" w:rsidRPr="00DE76B9">
        <w:rPr>
          <w:rStyle w:val="libFootnoteBoldChar"/>
          <w:rtl/>
        </w:rPr>
        <w:t>الاستبصار</w:t>
      </w:r>
      <w:r w:rsidR="00992664" w:rsidRPr="00020424">
        <w:rPr>
          <w:rtl/>
        </w:rPr>
        <w:t xml:space="preserve"> ، ج 2 ، ص 82 ، ح 250 ، بسنده عن ابن أبي عمير ، عن جميل ، عن زرارة وأبي بصير ، عن أبي جعفر </w:t>
      </w:r>
      <w:r w:rsidR="00992664" w:rsidRPr="00D64ADA">
        <w:rPr>
          <w:rStyle w:val="libFootnoteAlaemChar"/>
          <w:rtl/>
        </w:rPr>
        <w:t>عليه‌السلام</w:t>
      </w:r>
      <w:r w:rsidR="00992664" w:rsidRPr="00020424">
        <w:rPr>
          <w:rtl/>
        </w:rPr>
        <w:t xml:space="preserve"> ، وبسند آخر عن جميل ، عن زرارة وأبي بصير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4 ، ص 271 ، ح 820 ، بسند آخر عن أبي عبدالله </w:t>
      </w:r>
      <w:r w:rsidR="00992664" w:rsidRPr="00D64ADA">
        <w:rPr>
          <w:rStyle w:val="libFootnoteAlaemChar"/>
          <w:rtl/>
        </w:rPr>
        <w:t>عليه‌السلام</w:t>
      </w:r>
      <w:r w:rsidR="00992664" w:rsidRPr="00020424">
        <w:rPr>
          <w:rtl/>
        </w:rPr>
        <w:t xml:space="preserve"> ، مع اختلاف يسير </w:t>
      </w:r>
      <w:r w:rsidR="00F71460">
        <w:rPr>
          <w:rFonts w:hint="cs"/>
          <w:rtl/>
        </w:rPr>
        <w:t>.</w:t>
      </w:r>
      <w:r w:rsidR="00992664" w:rsidRPr="0012008A">
        <w:rPr>
          <w:rStyle w:val="libFootnoteBoldChar"/>
          <w:rtl/>
        </w:rPr>
        <w:t>الوافي</w:t>
      </w:r>
      <w:r w:rsidR="00992664" w:rsidRPr="00020424">
        <w:rPr>
          <w:rtl/>
        </w:rPr>
        <w:t xml:space="preserve"> ، ج 11 ، ص 211 ، ح 10713 ؛ </w:t>
      </w:r>
      <w:r w:rsidR="00992664" w:rsidRPr="0012008A">
        <w:rPr>
          <w:rStyle w:val="libFootnoteBoldChar"/>
          <w:rtl/>
        </w:rPr>
        <w:t>الوسائل</w:t>
      </w:r>
      <w:r w:rsidR="00992664" w:rsidRPr="00020424">
        <w:rPr>
          <w:rtl/>
        </w:rPr>
        <w:t xml:space="preserve"> ، ج 10 ، ص 97 ، ح 12941.</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71460">
      <w:pPr>
        <w:pStyle w:val="libNormal0"/>
        <w:rPr>
          <w:rtl/>
          <w:lang w:bidi="fa-IR"/>
        </w:rPr>
      </w:pPr>
      <w:r w:rsidRPr="00020424">
        <w:rPr>
          <w:rtl/>
          <w:lang w:bidi="fa-IR"/>
        </w:rPr>
        <w:t>النُّعْمَانِ ، عَنْ مَنْصُورِ بْنِ حَازِمٍ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تَقُولُ فِي الصَّائِمِ يُقَبِّلُ الْجَارِيَةَ وَالْمَرْأَةَ</w:t>
      </w:r>
      <w:r>
        <w:rPr>
          <w:rtl/>
          <w:lang w:bidi="fa-IR"/>
        </w:rPr>
        <w:t>؟</w:t>
      </w:r>
    </w:p>
    <w:p w:rsidR="00992664" w:rsidRPr="00020424" w:rsidRDefault="00992664" w:rsidP="00992664">
      <w:pPr>
        <w:pStyle w:val="libNormal"/>
        <w:rPr>
          <w:rtl/>
          <w:lang w:bidi="fa-IR"/>
        </w:rPr>
      </w:pPr>
      <w:r w:rsidRPr="00020424">
        <w:rPr>
          <w:rtl/>
          <w:lang w:bidi="fa-IR"/>
        </w:rPr>
        <w:t xml:space="preserve">فَقَالَ : « أَمَّا الشَّيْخُ الْكَبِيرُ مِثْلِي وَمِثْلُكَ ، فَلَا بَأْسَ ؛ وَأَمَّا الشَّابُّ الشَّبِقُ </w:t>
      </w:r>
      <w:r w:rsidRPr="00A91B96">
        <w:rPr>
          <w:rStyle w:val="libFootnotenumChar"/>
          <w:rtl/>
        </w:rPr>
        <w:t>(1)</w:t>
      </w:r>
      <w:r w:rsidRPr="00020424">
        <w:rPr>
          <w:rtl/>
          <w:lang w:bidi="fa-IR"/>
        </w:rPr>
        <w:t xml:space="preserve"> ، فَلَا ؛ لِأَنَّهُ </w:t>
      </w:r>
      <w:r w:rsidRPr="00A91B96">
        <w:rPr>
          <w:rStyle w:val="libFootnotenumChar"/>
          <w:rtl/>
        </w:rPr>
        <w:t>(2)</w:t>
      </w:r>
      <w:r w:rsidRPr="00020424">
        <w:rPr>
          <w:rtl/>
          <w:lang w:bidi="fa-IR"/>
        </w:rPr>
        <w:t xml:space="preserve"> لَا يُؤْمَنُ ، وَالْقُبْلَةُ إِحْدَى الشَّهْوَتَيْنِ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فَمَا تَرى فِي مِثْلِي تَكُونُ </w:t>
      </w:r>
      <w:r w:rsidRPr="00A91B96">
        <w:rPr>
          <w:rStyle w:val="libFootnotenumChar"/>
          <w:rtl/>
        </w:rPr>
        <w:t>(4)</w:t>
      </w:r>
      <w:r w:rsidRPr="00020424">
        <w:rPr>
          <w:rtl/>
          <w:lang w:bidi="fa-IR"/>
        </w:rPr>
        <w:t xml:space="preserve"> لَهُ الْجَارِيَةُ ، فَيُلَاعِبُهَا </w:t>
      </w:r>
      <w:r w:rsidRPr="00A91B96">
        <w:rPr>
          <w:rStyle w:val="libFootnotenumChar"/>
          <w:rtl/>
        </w:rPr>
        <w:t>(5)</w:t>
      </w:r>
      <w:r>
        <w:rPr>
          <w:rtl/>
          <w:lang w:bidi="fa-IR"/>
        </w:rPr>
        <w:t>؟</w:t>
      </w:r>
    </w:p>
    <w:p w:rsidR="00992664" w:rsidRPr="00020424" w:rsidRDefault="00992664" w:rsidP="00992664">
      <w:pPr>
        <w:pStyle w:val="libNormal"/>
        <w:rPr>
          <w:rtl/>
          <w:lang w:bidi="fa-IR"/>
        </w:rPr>
      </w:pPr>
      <w:r w:rsidRPr="00020424">
        <w:rPr>
          <w:rtl/>
          <w:lang w:bidi="fa-IR"/>
        </w:rPr>
        <w:t xml:space="preserve">فَقَالَ لِي : « إِنَّكَ لَشَبِقٌ </w:t>
      </w:r>
      <w:r w:rsidRPr="00A91B96">
        <w:rPr>
          <w:rStyle w:val="libFootnotenumChar"/>
          <w:rtl/>
        </w:rPr>
        <w:t>(6)</w:t>
      </w:r>
      <w:r w:rsidRPr="00020424">
        <w:rPr>
          <w:rtl/>
          <w:lang w:bidi="fa-IR"/>
        </w:rPr>
        <w:t xml:space="preserve"> يَا أَبَا </w:t>
      </w:r>
      <w:r w:rsidRPr="00A91B96">
        <w:rPr>
          <w:rStyle w:val="libFootnotenumChar"/>
          <w:rtl/>
        </w:rPr>
        <w:t>(7)</w:t>
      </w:r>
      <w:r w:rsidRPr="00020424">
        <w:rPr>
          <w:rtl/>
          <w:lang w:bidi="fa-IR"/>
        </w:rPr>
        <w:t xml:space="preserve"> حَازِمٍ ، كَيْفَ طُعْمُكَ </w:t>
      </w:r>
      <w:r w:rsidRPr="00A91B96">
        <w:rPr>
          <w:rStyle w:val="libFootnotenumChar"/>
          <w:rtl/>
        </w:rPr>
        <w:t>(8)</w:t>
      </w:r>
      <w:r>
        <w:rPr>
          <w:rtl/>
          <w:lang w:bidi="fa-IR"/>
        </w:rPr>
        <w:t>؟ ».</w:t>
      </w:r>
    </w:p>
    <w:p w:rsidR="00992664" w:rsidRPr="00020424" w:rsidRDefault="00992664" w:rsidP="00992664">
      <w:pPr>
        <w:pStyle w:val="libNormal"/>
        <w:rPr>
          <w:rtl/>
          <w:lang w:bidi="fa-IR"/>
        </w:rPr>
      </w:pPr>
      <w:r w:rsidRPr="00020424">
        <w:rPr>
          <w:rtl/>
          <w:lang w:bidi="fa-IR"/>
        </w:rPr>
        <w:t>قُلْتُ : إِنْ شَبِعْتُ أَضَرَّنِي ، وَإِنْ جُعْتُ أَضْعَفَنِي.</w:t>
      </w:r>
    </w:p>
    <w:p w:rsidR="00992664" w:rsidRPr="00020424" w:rsidRDefault="00992664" w:rsidP="00992664">
      <w:pPr>
        <w:pStyle w:val="libNormal"/>
        <w:rPr>
          <w:rtl/>
          <w:lang w:bidi="fa-IR"/>
        </w:rPr>
      </w:pPr>
      <w:r w:rsidRPr="00020424">
        <w:rPr>
          <w:rtl/>
          <w:lang w:bidi="fa-IR"/>
        </w:rPr>
        <w:t xml:space="preserve">قَالَ : « كَذلِكَ أَنَا </w:t>
      </w:r>
      <w:r w:rsidRPr="00A91B96">
        <w:rPr>
          <w:rStyle w:val="libFootnotenumChar"/>
          <w:rtl/>
        </w:rPr>
        <w:t>(9)</w:t>
      </w:r>
      <w:r w:rsidRPr="00020424">
        <w:rPr>
          <w:rtl/>
          <w:lang w:bidi="fa-IR"/>
        </w:rPr>
        <w:t xml:space="preserve"> ، فَكَيْفَ أَنْتَ وَالنِّسَاءَ</w:t>
      </w:r>
      <w:r>
        <w:rPr>
          <w:rtl/>
          <w:lang w:bidi="fa-IR"/>
        </w:rPr>
        <w:t>؟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(10)</w:t>
      </w:r>
      <w:r w:rsidRPr="00020424">
        <w:rPr>
          <w:rtl/>
          <w:lang w:bidi="fa-IR"/>
        </w:rPr>
        <w:t xml:space="preserve"> : وَلَاشَيْ‌ءَ </w:t>
      </w:r>
      <w:r w:rsidRPr="00A91B96">
        <w:rPr>
          <w:rStyle w:val="libFootnotenumChar"/>
          <w:rtl/>
        </w:rPr>
        <w:t>(11)</w:t>
      </w:r>
      <w:r w:rsidR="00F71460" w:rsidRPr="00F71460">
        <w:rPr>
          <w:rFonts w:hint="cs"/>
          <w:rtl/>
        </w:rPr>
        <w:t>.</w:t>
      </w:r>
    </w:p>
    <w:p w:rsidR="00992664" w:rsidRPr="00020424" w:rsidRDefault="00992664" w:rsidP="00992664">
      <w:pPr>
        <w:pStyle w:val="libNormal"/>
        <w:rPr>
          <w:rtl/>
          <w:lang w:bidi="fa-IR"/>
        </w:rPr>
      </w:pPr>
      <w:r w:rsidRPr="00020424">
        <w:rPr>
          <w:rtl/>
          <w:lang w:bidi="fa-IR"/>
        </w:rPr>
        <w:t xml:space="preserve">قَالَ : « وَلكِنِّي </w:t>
      </w:r>
      <w:r w:rsidRPr="00A91B96">
        <w:rPr>
          <w:rStyle w:val="libFootnotenumChar"/>
          <w:rtl/>
        </w:rPr>
        <w:t>(12)</w:t>
      </w:r>
      <w:r w:rsidRPr="00020424">
        <w:rPr>
          <w:rtl/>
          <w:lang w:bidi="fa-IR"/>
        </w:rPr>
        <w:t xml:space="preserve"> يَا أَبَا </w:t>
      </w:r>
      <w:r w:rsidRPr="00A91B96">
        <w:rPr>
          <w:rStyle w:val="libFootnotenumChar"/>
          <w:rtl/>
        </w:rPr>
        <w:t>(13)</w:t>
      </w:r>
      <w:r w:rsidRPr="00020424">
        <w:rPr>
          <w:rtl/>
          <w:lang w:bidi="fa-IR"/>
        </w:rPr>
        <w:t xml:space="preserve"> حَازِمٍ ، مَا أَشَاءُ </w:t>
      </w:r>
      <w:r w:rsidRPr="00A91B96">
        <w:rPr>
          <w:rStyle w:val="libFootnotenumChar"/>
          <w:rtl/>
        </w:rPr>
        <w:t>(14)</w:t>
      </w:r>
      <w:r w:rsidRPr="00020424">
        <w:rPr>
          <w:rtl/>
          <w:lang w:bidi="fa-IR"/>
        </w:rPr>
        <w:t xml:space="preserve"> شَيْئاً أَنْ يَكُونَ‌</w:t>
      </w:r>
      <w:r w:rsidR="00F71460">
        <w:rPr>
          <w:rFonts w:hint="cs"/>
          <w:rtl/>
          <w:lang w:bidi="fa-IR"/>
        </w:rPr>
        <w:t xml:space="preserve"> ...............</w:t>
      </w:r>
      <w:r w:rsidR="00F71460">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الشَّبِقُ » : من اشتدّ ميله إلى الجماع ؛ من الشَّبَق بمعنى شدّة الغُلْمة وطلب النكاح. والغُلْمةُ : هيجان شهوة</w:t>
      </w:r>
      <w:r w:rsidR="00F71460">
        <w:rPr>
          <w:rFonts w:hint="cs"/>
          <w:rtl/>
        </w:rPr>
        <w:t xml:space="preserve"> </w:t>
      </w:r>
      <w:r w:rsidR="00992664" w:rsidRPr="00020424">
        <w:rPr>
          <w:rtl/>
        </w:rPr>
        <w:t xml:space="preserve">النكاح من المرأة والرجل وغيرهما. راجع : </w:t>
      </w:r>
      <w:r w:rsidR="00992664" w:rsidRPr="0012008A">
        <w:rPr>
          <w:rStyle w:val="libFootnoteBoldChar"/>
          <w:rtl/>
        </w:rPr>
        <w:t>الصحاح</w:t>
      </w:r>
      <w:r w:rsidR="00992664" w:rsidRPr="00020424">
        <w:rPr>
          <w:rtl/>
        </w:rPr>
        <w:t xml:space="preserve"> ، ج 4 ، ص 1500 ؛ </w:t>
      </w:r>
      <w:r w:rsidR="00992664" w:rsidRPr="0012008A">
        <w:rPr>
          <w:rStyle w:val="libFootnoteBoldChar"/>
          <w:rtl/>
        </w:rPr>
        <w:t>النهاية</w:t>
      </w:r>
      <w:r w:rsidR="00992664" w:rsidRPr="00020424">
        <w:rPr>
          <w:rtl/>
        </w:rPr>
        <w:t xml:space="preserve"> ، ج 2 ، ص 441 ( شبق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بر ، بف » </w:t>
      </w:r>
      <w:r w:rsidR="00992664" w:rsidRPr="00F71460">
        <w:rPr>
          <w:rtl/>
        </w:rPr>
        <w:t>والوافي</w:t>
      </w:r>
      <w:r w:rsidR="00992664" w:rsidRPr="00020424">
        <w:rPr>
          <w:rtl/>
        </w:rPr>
        <w:t xml:space="preserve"> : « فإنّه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والقبلة إحدى الشهوتين ؛ يعني كما أنّ النكاح يفضي إلى الإمناء ، كذلك القبلة ربّما تفضي إليه</w:t>
      </w:r>
      <w:r w:rsidR="00992664">
        <w:rPr>
          <w:rtl/>
        </w:rPr>
        <w:t>».</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277 : « وأمّا قوله </w:t>
      </w:r>
      <w:r w:rsidR="00992664" w:rsidRPr="00D64ADA">
        <w:rPr>
          <w:rStyle w:val="libFootnoteAlaemChar"/>
          <w:rtl/>
        </w:rPr>
        <w:t>عليه‌السلام</w:t>
      </w:r>
      <w:r w:rsidR="00992664" w:rsidRPr="00020424">
        <w:rPr>
          <w:rtl/>
        </w:rPr>
        <w:t xml:space="preserve"> : والقبلة إحدى الشهوتين ، فيحتمل وجهين : أحدهما أن يكون وجهاً آخر للنهي بأنّها أيضاً بمنزلة الجماع في حصول الالتذاذ للشبق ، فلا ينبغي له ارتكابه. والثاني أنّها أحد الموجبين لنزول المنيّ ، فيكون تتمّة للوجه الأوّل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71460" w:rsidTr="00F71460">
        <w:tc>
          <w:tcPr>
            <w:tcW w:w="4006" w:type="dxa"/>
          </w:tcPr>
          <w:p w:rsidR="00F71460" w:rsidRDefault="00F71460" w:rsidP="00992664">
            <w:pPr>
              <w:pStyle w:val="libFootnote0"/>
              <w:rPr>
                <w:rtl/>
                <w:lang w:bidi="fa-IR"/>
              </w:rPr>
            </w:pPr>
            <w:r>
              <w:rPr>
                <w:rtl/>
              </w:rPr>
              <w:t xml:space="preserve">(4). </w:t>
            </w:r>
            <w:r w:rsidRPr="00020424">
              <w:rPr>
                <w:rtl/>
              </w:rPr>
              <w:t>في « ى ، بر ، بس ، جن » : « يكون</w:t>
            </w:r>
            <w:r>
              <w:rPr>
                <w:rtl/>
              </w:rPr>
              <w:t xml:space="preserve"> ».</w:t>
            </w:r>
          </w:p>
        </w:tc>
        <w:tc>
          <w:tcPr>
            <w:tcW w:w="4006" w:type="dxa"/>
          </w:tcPr>
          <w:p w:rsidR="00F71460" w:rsidRDefault="00F71460" w:rsidP="00992664">
            <w:pPr>
              <w:pStyle w:val="libFootnote0"/>
              <w:rPr>
                <w:rtl/>
                <w:lang w:bidi="fa-IR"/>
              </w:rPr>
            </w:pPr>
            <w:r>
              <w:rPr>
                <w:rtl/>
              </w:rPr>
              <w:t xml:space="preserve">(5). </w:t>
            </w:r>
            <w:r w:rsidRPr="00020424">
              <w:rPr>
                <w:rtl/>
              </w:rPr>
              <w:t>في « بر ، بف » : « فا</w:t>
            </w:r>
            <w:r>
              <w:rPr>
                <w:rFonts w:hint="cs"/>
                <w:rtl/>
              </w:rPr>
              <w:t>ُ</w:t>
            </w:r>
            <w:r w:rsidRPr="00020424">
              <w:rPr>
                <w:rtl/>
              </w:rPr>
              <w:t>لاعبها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إنّك لشبق ، استفهام تعجّب انبعث من سؤاله عن ملاعبة مثله الجارية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بخ » :</w:t>
      </w:r>
      <w:r w:rsidR="00992664">
        <w:rPr>
          <w:rtl/>
        </w:rPr>
        <w:t xml:space="preserve"> </w:t>
      </w:r>
      <w:r w:rsidR="009B673F">
        <w:rPr>
          <w:rtl/>
        </w:rPr>
        <w:t>-</w:t>
      </w:r>
      <w:r w:rsidR="00992664">
        <w:rPr>
          <w:rtl/>
        </w:rPr>
        <w:t xml:space="preserve"> </w:t>
      </w:r>
      <w:r w:rsidR="00992664" w:rsidRPr="00020424">
        <w:rPr>
          <w:rtl/>
        </w:rPr>
        <w:t>« أبا</w:t>
      </w:r>
      <w:r w:rsidR="00992664">
        <w:rPr>
          <w:rtl/>
        </w:rPr>
        <w:t xml:space="preserve"> ».</w:t>
      </w:r>
      <w:r w:rsidR="00992664" w:rsidRPr="00020424">
        <w:rPr>
          <w:rtl/>
        </w:rPr>
        <w:t xml:space="preserve"> وفي </w:t>
      </w:r>
      <w:r w:rsidR="00992664" w:rsidRPr="00F71460">
        <w:rPr>
          <w:rtl/>
        </w:rPr>
        <w:t>الوافي</w:t>
      </w:r>
      <w:r w:rsidR="00992664" w:rsidRPr="00020424">
        <w:rPr>
          <w:rtl/>
        </w:rPr>
        <w:t xml:space="preserve"> : « با » بدون الهمزة.</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الطعْم</w:t>
      </w:r>
      <w:r w:rsidR="00992664">
        <w:rPr>
          <w:rtl/>
        </w:rPr>
        <w:t xml:space="preserve"> </w:t>
      </w:r>
      <w:r w:rsidR="009B673F">
        <w:rPr>
          <w:rtl/>
        </w:rPr>
        <w:t>-</w:t>
      </w:r>
      <w:r w:rsidR="00992664">
        <w:rPr>
          <w:rtl/>
        </w:rPr>
        <w:t xml:space="preserve"> </w:t>
      </w:r>
      <w:r w:rsidR="00992664" w:rsidRPr="00020424">
        <w:rPr>
          <w:rtl/>
        </w:rPr>
        <w:t>بضمّ الطاء وفتحها</w:t>
      </w:r>
      <w:r w:rsidR="00992664">
        <w:rPr>
          <w:rtl/>
        </w:rPr>
        <w:t xml:space="preserve"> </w:t>
      </w:r>
      <w:r w:rsidR="009B673F">
        <w:rPr>
          <w:rtl/>
        </w:rPr>
        <w:t>-</w:t>
      </w:r>
      <w:r w:rsidR="00992664">
        <w:rPr>
          <w:rtl/>
        </w:rPr>
        <w:t xml:space="preserve"> </w:t>
      </w:r>
      <w:r w:rsidR="00992664" w:rsidRPr="00020424">
        <w:rPr>
          <w:rtl/>
        </w:rPr>
        <w:t>: الأكل. وقيل : هو بالفتح : الأكل ، وبالضمّ : ما ا</w:t>
      </w:r>
      <w:r w:rsidR="00F71460">
        <w:rPr>
          <w:rFonts w:hint="cs"/>
          <w:rtl/>
        </w:rPr>
        <w:t>ُ</w:t>
      </w:r>
      <w:r w:rsidR="00992664" w:rsidRPr="00020424">
        <w:rPr>
          <w:rtl/>
        </w:rPr>
        <w:t xml:space="preserve">كل. راجع : </w:t>
      </w:r>
      <w:r w:rsidR="00992664" w:rsidRPr="0012008A">
        <w:rPr>
          <w:rStyle w:val="libFootnoteBoldChar"/>
          <w:rtl/>
        </w:rPr>
        <w:t>النهاية</w:t>
      </w:r>
      <w:r w:rsidR="00992664" w:rsidRPr="00020424">
        <w:rPr>
          <w:rtl/>
        </w:rPr>
        <w:t xml:space="preserve"> : ج 3 ، ص 125 ؛ </w:t>
      </w:r>
      <w:r w:rsidR="00992664" w:rsidRPr="00A722B1">
        <w:rPr>
          <w:rStyle w:val="libFootnoteBoldChar"/>
          <w:rtl/>
        </w:rPr>
        <w:t>لسان العرب</w:t>
      </w:r>
      <w:r w:rsidR="00992664" w:rsidRPr="00020424">
        <w:rPr>
          <w:rtl/>
        </w:rPr>
        <w:t xml:space="preserve"> ، ج 12 ، ص 364 ( طعم )</w:t>
      </w:r>
      <w:r w:rsidR="00992664">
        <w:rPr>
          <w:rtl/>
        </w:rPr>
        <w:t>.</w:t>
      </w:r>
    </w:p>
    <w:tbl>
      <w:tblPr>
        <w:tblStyle w:val="TableGrid"/>
        <w:bidiVisual/>
        <w:tblW w:w="0" w:type="auto"/>
        <w:tblLook w:val="04A0" w:firstRow="1" w:lastRow="0" w:firstColumn="1" w:lastColumn="0" w:noHBand="0" w:noVBand="1"/>
      </w:tblPr>
      <w:tblGrid>
        <w:gridCol w:w="4006"/>
        <w:gridCol w:w="4006"/>
      </w:tblGrid>
      <w:tr w:rsidR="00F71460" w:rsidTr="00F71460">
        <w:tc>
          <w:tcPr>
            <w:tcW w:w="4006" w:type="dxa"/>
          </w:tcPr>
          <w:p w:rsidR="00F71460" w:rsidRDefault="00F71460" w:rsidP="00992664">
            <w:pPr>
              <w:pStyle w:val="libFootnote0"/>
              <w:rPr>
                <w:rtl/>
                <w:lang w:bidi="fa-IR"/>
              </w:rPr>
            </w:pPr>
            <w:r>
              <w:rPr>
                <w:rtl/>
              </w:rPr>
              <w:t xml:space="preserve">(9). </w:t>
            </w:r>
            <w:r w:rsidRPr="00020424">
              <w:rPr>
                <w:rtl/>
              </w:rPr>
              <w:t>في « ى » : + « فكيف قال كذلك</w:t>
            </w:r>
            <w:r>
              <w:rPr>
                <w:rtl/>
              </w:rPr>
              <w:t xml:space="preserve"> ».</w:t>
            </w:r>
          </w:p>
        </w:tc>
        <w:tc>
          <w:tcPr>
            <w:tcW w:w="4006" w:type="dxa"/>
          </w:tcPr>
          <w:p w:rsidR="00F71460" w:rsidRDefault="0007046F" w:rsidP="00992664">
            <w:pPr>
              <w:pStyle w:val="libFootnote0"/>
              <w:rPr>
                <w:rtl/>
                <w:lang w:bidi="fa-IR"/>
              </w:rPr>
            </w:pPr>
            <w:r>
              <w:rPr>
                <w:rtl/>
              </w:rPr>
              <w:t>(10). في «جن» :«</w:t>
            </w:r>
            <w:r w:rsidRPr="00020424">
              <w:rPr>
                <w:rtl/>
              </w:rPr>
              <w:t>فقلت</w:t>
            </w:r>
            <w:r>
              <w:rPr>
                <w:rtl/>
              </w:rPr>
              <w:t>».</w:t>
            </w:r>
            <w:r w:rsidRPr="00020424">
              <w:rPr>
                <w:rtl/>
              </w:rPr>
              <w:t xml:space="preserve"> وفي « بر » : « قال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بح » : « فلا شي‌ء</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إمّا لعدم الرغبة ، أو عدم القدرة لعدم مساعدة الآلة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بف » : « ولكن</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ولكنّي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7046F" w:rsidTr="0007046F">
        <w:tc>
          <w:tcPr>
            <w:tcW w:w="4006" w:type="dxa"/>
          </w:tcPr>
          <w:p w:rsidR="0007046F" w:rsidRDefault="0007046F" w:rsidP="00992664">
            <w:pPr>
              <w:pStyle w:val="libFootnote0"/>
              <w:rPr>
                <w:rtl/>
              </w:rPr>
            </w:pPr>
            <w:r>
              <w:rPr>
                <w:rtl/>
              </w:rPr>
              <w:t xml:space="preserve">(13). </w:t>
            </w:r>
            <w:r w:rsidRPr="00020424">
              <w:rPr>
                <w:rtl/>
              </w:rPr>
              <w:t xml:space="preserve">في </w:t>
            </w:r>
            <w:r w:rsidRPr="0007046F">
              <w:rPr>
                <w:rtl/>
              </w:rPr>
              <w:t>الوافي</w:t>
            </w:r>
            <w:r w:rsidRPr="00020424">
              <w:rPr>
                <w:rtl/>
              </w:rPr>
              <w:t xml:space="preserve"> : « با » بدون الهمزة.</w:t>
            </w:r>
          </w:p>
        </w:tc>
        <w:tc>
          <w:tcPr>
            <w:tcW w:w="4006" w:type="dxa"/>
          </w:tcPr>
          <w:p w:rsidR="0007046F" w:rsidRDefault="0007046F" w:rsidP="00992664">
            <w:pPr>
              <w:pStyle w:val="libFootnote0"/>
              <w:rPr>
                <w:rtl/>
              </w:rPr>
            </w:pPr>
            <w:r>
              <w:rPr>
                <w:rtl/>
              </w:rPr>
              <w:t xml:space="preserve">(14). </w:t>
            </w:r>
            <w:r w:rsidRPr="00020424">
              <w:rPr>
                <w:rtl/>
              </w:rPr>
              <w:t>في « بح » : « شاء</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07046F">
      <w:pPr>
        <w:pStyle w:val="libNormal0"/>
        <w:rPr>
          <w:rtl/>
          <w:lang w:bidi="fa-IR"/>
        </w:rPr>
      </w:pPr>
      <w:r w:rsidRPr="00020424">
        <w:rPr>
          <w:rtl/>
          <w:lang w:bidi="fa-IR"/>
        </w:rPr>
        <w:t xml:space="preserve">ذلِكَ </w:t>
      </w:r>
      <w:r w:rsidRPr="00A91B96">
        <w:rPr>
          <w:rStyle w:val="libFootnotenumChar"/>
          <w:rtl/>
        </w:rPr>
        <w:t>(1)</w:t>
      </w:r>
      <w:r w:rsidRPr="00020424">
        <w:rPr>
          <w:rtl/>
          <w:lang w:bidi="fa-IR"/>
        </w:rPr>
        <w:t xml:space="preserve"> مِنِّي </w:t>
      </w:r>
      <w:r w:rsidRPr="00A91B96">
        <w:rPr>
          <w:rStyle w:val="libFootnotenumChar"/>
          <w:rtl/>
        </w:rPr>
        <w:t>(2)</w:t>
      </w:r>
      <w:r w:rsidR="0007046F">
        <w:rPr>
          <w:rtl/>
          <w:lang w:bidi="fa-IR"/>
        </w:rPr>
        <w:t xml:space="preserve"> إِل</w:t>
      </w:r>
      <w:r w:rsidR="0007046F">
        <w:rPr>
          <w:rFonts w:hint="cs"/>
          <w:rtl/>
          <w:lang w:bidi="fa-IR"/>
        </w:rPr>
        <w:t>َّ</w:t>
      </w:r>
      <w:r w:rsidR="0007046F">
        <w:rPr>
          <w:rtl/>
          <w:lang w:bidi="fa-IR"/>
        </w:rPr>
        <w:t>ا</w:t>
      </w:r>
      <w:r w:rsidRPr="00020424">
        <w:rPr>
          <w:rtl/>
          <w:lang w:bidi="fa-IR"/>
        </w:rPr>
        <w:t xml:space="preserve"> </w:t>
      </w:r>
      <w:r w:rsidRPr="00A91B96">
        <w:rPr>
          <w:rStyle w:val="libFootnotenumChar"/>
          <w:rtl/>
        </w:rPr>
        <w:t>(3)</w:t>
      </w:r>
      <w:r w:rsidRPr="00020424">
        <w:rPr>
          <w:rtl/>
          <w:lang w:bidi="fa-IR"/>
        </w:rPr>
        <w:t xml:space="preserve"> فَعَلْتُ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07046F" w:rsidRDefault="00992664" w:rsidP="0007046F">
      <w:pPr>
        <w:pStyle w:val="Heading2Center"/>
        <w:rPr>
          <w:rtl/>
          <w:lang w:bidi="fa-IR"/>
        </w:rPr>
      </w:pPr>
      <w:bookmarkStart w:id="368" w:name="_Toc345172838"/>
      <w:bookmarkStart w:id="369" w:name="_Toc44599959"/>
      <w:bookmarkStart w:id="370" w:name="_Toc464562656"/>
      <w:r w:rsidRPr="00020424">
        <w:rPr>
          <w:rtl/>
          <w:lang w:bidi="fa-IR"/>
        </w:rPr>
        <w:t>24</w:t>
      </w:r>
      <w:r>
        <w:rPr>
          <w:rtl/>
          <w:lang w:bidi="fa-IR"/>
        </w:rPr>
        <w:t xml:space="preserve"> </w:t>
      </w:r>
      <w:r w:rsidR="009B673F">
        <w:rPr>
          <w:rtl/>
          <w:lang w:bidi="fa-IR"/>
        </w:rPr>
        <w:t>-</w:t>
      </w:r>
      <w:r>
        <w:rPr>
          <w:rtl/>
          <w:lang w:bidi="fa-IR"/>
        </w:rPr>
        <w:t xml:space="preserve"> </w:t>
      </w:r>
      <w:r w:rsidRPr="00020424">
        <w:rPr>
          <w:rtl/>
          <w:lang w:bidi="fa-IR"/>
        </w:rPr>
        <w:t xml:space="preserve">بَابٌ فِيمَنْ أَجْنَبَ بِاللَّيْلِ </w:t>
      </w:r>
      <w:r w:rsidRPr="00A91B96">
        <w:rPr>
          <w:rStyle w:val="libFootnotenumChar"/>
          <w:rtl/>
        </w:rPr>
        <w:t>(6)</w:t>
      </w:r>
      <w:r>
        <w:rPr>
          <w:rtl/>
        </w:rPr>
        <w:t xml:space="preserve"> </w:t>
      </w:r>
      <w:r w:rsidRPr="00020424">
        <w:rPr>
          <w:rtl/>
          <w:lang w:bidi="fa-IR"/>
        </w:rPr>
        <w:t xml:space="preserve">فِي شَهْرِ رَمَضَانَ وَغَيْرِهِ فَتَرَكَ </w:t>
      </w:r>
      <w:r w:rsidRPr="00A91B96">
        <w:rPr>
          <w:rStyle w:val="libFootnotenumChar"/>
          <w:rtl/>
        </w:rPr>
        <w:t>(7)</w:t>
      </w:r>
      <w:r>
        <w:rPr>
          <w:rtl/>
        </w:rPr>
        <w:t xml:space="preserve"> </w:t>
      </w:r>
      <w:r w:rsidRPr="00020424">
        <w:rPr>
          <w:rtl/>
          <w:lang w:bidi="fa-IR"/>
        </w:rPr>
        <w:t>الْغُسْلَ إِلى</w:t>
      </w:r>
      <w:bookmarkStart w:id="371" w:name="_Toc345172839"/>
      <w:bookmarkEnd w:id="368"/>
      <w:bookmarkEnd w:id="369"/>
    </w:p>
    <w:p w:rsidR="00992664" w:rsidRPr="00020424" w:rsidRDefault="00992664" w:rsidP="0007046F">
      <w:pPr>
        <w:pStyle w:val="Heading2Center"/>
        <w:rPr>
          <w:rtl/>
          <w:lang w:bidi="fa-IR"/>
        </w:rPr>
      </w:pPr>
      <w:bookmarkStart w:id="372" w:name="_Toc44599960"/>
      <w:r w:rsidRPr="00020424">
        <w:rPr>
          <w:rtl/>
          <w:lang w:bidi="fa-IR"/>
        </w:rPr>
        <w:t xml:space="preserve">أَنْ يُصْبِحَ أَوِ احْتَلَمَ بِاللَّيْلِ أَوِ النَّهَارِ </w:t>
      </w:r>
      <w:r w:rsidRPr="00A91B96">
        <w:rPr>
          <w:rStyle w:val="libFootnotenumChar"/>
          <w:rtl/>
        </w:rPr>
        <w:t>(8)</w:t>
      </w:r>
      <w:r w:rsidRPr="00020424">
        <w:rPr>
          <w:rtl/>
          <w:lang w:bidi="fa-IR"/>
        </w:rPr>
        <w:t xml:space="preserve"> ‌</w:t>
      </w:r>
      <w:bookmarkEnd w:id="370"/>
      <w:bookmarkEnd w:id="371"/>
      <w:bookmarkEnd w:id="372"/>
    </w:p>
    <w:p w:rsidR="0007046F" w:rsidRDefault="00992664" w:rsidP="0007046F">
      <w:pPr>
        <w:pStyle w:val="libNormal"/>
        <w:rPr>
          <w:rtl/>
          <w:lang w:bidi="fa-IR"/>
        </w:rPr>
      </w:pPr>
      <w:r w:rsidRPr="001462C6">
        <w:rPr>
          <w:rtl/>
        </w:rPr>
        <w:t>6394</w:t>
      </w:r>
      <w:r w:rsidRPr="001155DE">
        <w:rPr>
          <w:rStyle w:val="libBold2Char"/>
          <w:rtl/>
        </w:rPr>
        <w:t xml:space="preserve"> / 1.</w:t>
      </w:r>
      <w:r w:rsidRPr="00020424">
        <w:rPr>
          <w:rtl/>
          <w:lang w:bidi="fa-IR"/>
        </w:rPr>
        <w:t xml:space="preserve"> عَلِيُّ بْنُ إِبْرَاهِيمَ ، عَنْ أَبِيهِ ؛</w:t>
      </w:r>
    </w:p>
    <w:p w:rsidR="00992664" w:rsidRPr="00020424" w:rsidRDefault="0007046F" w:rsidP="0007046F">
      <w:pPr>
        <w:pStyle w:val="libNormal"/>
        <w:rPr>
          <w:rtl/>
          <w:lang w:bidi="fa-IR"/>
        </w:rPr>
      </w:pPr>
      <w:r>
        <w:rPr>
          <w:rFonts w:hint="cs"/>
          <w:rtl/>
          <w:lang w:bidi="fa-IR"/>
        </w:rPr>
        <w:t xml:space="preserve">            </w:t>
      </w:r>
      <w:r w:rsidR="00992664" w:rsidRPr="00020424">
        <w:rPr>
          <w:rtl/>
          <w:lang w:bidi="fa-IR"/>
        </w:rPr>
        <w:t>وَمُحَمَّدُ بْنُ يَحْيى ، عَنْ أَحْمَدَ بْنِ مُحَمَّدٍ جَمِيعاً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قَالَ فِي رَجُلٍ احْتَلَمَ </w:t>
      </w:r>
      <w:r w:rsidRPr="00A91B96">
        <w:rPr>
          <w:rStyle w:val="libFootnotenumChar"/>
          <w:rtl/>
        </w:rPr>
        <w:t>(9)</w:t>
      </w:r>
      <w:r w:rsidRPr="00020424">
        <w:rPr>
          <w:rtl/>
          <w:lang w:bidi="fa-IR"/>
        </w:rPr>
        <w:t xml:space="preserve"> أَوَّلَ اللَّيْلِ ، أَوْ أَصَابَ </w:t>
      </w:r>
      <w:r w:rsidRPr="00A91B96">
        <w:rPr>
          <w:rStyle w:val="libFootnotenumChar"/>
          <w:rtl/>
        </w:rPr>
        <w:t>(10)</w:t>
      </w:r>
      <w:r w:rsidRPr="00020424">
        <w:rPr>
          <w:rtl/>
          <w:lang w:bidi="fa-IR"/>
        </w:rPr>
        <w:t xml:space="preserve"> مِنْ أَهْلِهِ ، ثُمَّ نَامَ مُتَعَمِّداً </w:t>
      </w:r>
      <w:r w:rsidRPr="00A91B96">
        <w:rPr>
          <w:rStyle w:val="libFootnotenumChar"/>
          <w:rtl/>
        </w:rPr>
        <w:t>(11)</w:t>
      </w:r>
      <w:r w:rsidRPr="00020424">
        <w:rPr>
          <w:rtl/>
          <w:lang w:bidi="fa-IR"/>
        </w:rPr>
        <w:t xml:space="preserve"> فِي شَهْرِ رَمَضَانَ حَتّى أَصْبَحَ.</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7046F" w:rsidTr="0007046F">
        <w:tc>
          <w:tcPr>
            <w:tcW w:w="4006" w:type="dxa"/>
          </w:tcPr>
          <w:p w:rsidR="0007046F" w:rsidRDefault="0007046F" w:rsidP="00992664">
            <w:pPr>
              <w:pStyle w:val="libFootnote0"/>
              <w:rPr>
                <w:rtl/>
              </w:rPr>
            </w:pPr>
            <w:r>
              <w:rPr>
                <w:rtl/>
              </w:rPr>
              <w:t xml:space="preserve">(1). </w:t>
            </w:r>
            <w:r w:rsidRPr="00020424">
              <w:rPr>
                <w:rtl/>
              </w:rPr>
              <w:t>في « بف » : « ذاك</w:t>
            </w:r>
            <w:r>
              <w:rPr>
                <w:rtl/>
              </w:rPr>
              <w:t xml:space="preserve"> ».</w:t>
            </w:r>
          </w:p>
        </w:tc>
        <w:tc>
          <w:tcPr>
            <w:tcW w:w="4006" w:type="dxa"/>
          </w:tcPr>
          <w:p w:rsidR="0007046F" w:rsidRDefault="0007046F" w:rsidP="00992664">
            <w:pPr>
              <w:pStyle w:val="libFootnote0"/>
              <w:rPr>
                <w:rtl/>
              </w:rPr>
            </w:pPr>
            <w:r>
              <w:rPr>
                <w:rtl/>
              </w:rPr>
              <w:t xml:space="preserve">(2). </w:t>
            </w:r>
            <w:r w:rsidRPr="00020424">
              <w:rPr>
                <w:rtl/>
              </w:rPr>
              <w:t xml:space="preserve">في </w:t>
            </w:r>
            <w:r w:rsidRPr="0007046F">
              <w:rPr>
                <w:rtl/>
              </w:rPr>
              <w:t>الوافي</w:t>
            </w:r>
            <w:r w:rsidRPr="00020424">
              <w:rPr>
                <w:rtl/>
              </w:rPr>
              <w:t xml:space="preserve"> : « عنّي</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إن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07046F">
        <w:rPr>
          <w:rtl/>
        </w:rPr>
        <w:t xml:space="preserve"> : « إل</w:t>
      </w:r>
      <w:r w:rsidR="0007046F">
        <w:rPr>
          <w:rFonts w:hint="cs"/>
          <w:rtl/>
        </w:rPr>
        <w:t>ّ</w:t>
      </w:r>
      <w:r w:rsidR="0007046F">
        <w:rPr>
          <w:rtl/>
        </w:rPr>
        <w:t>ا</w:t>
      </w:r>
      <w:r w:rsidR="00992664" w:rsidRPr="00020424">
        <w:rPr>
          <w:rtl/>
        </w:rPr>
        <w:t xml:space="preserve"> فعلت ؛ يعني أنّ لي القدرة على كلّ ما ا</w:t>
      </w:r>
      <w:r w:rsidR="0007046F">
        <w:rPr>
          <w:rFonts w:hint="cs"/>
          <w:rtl/>
        </w:rPr>
        <w:t>ُ</w:t>
      </w:r>
      <w:r w:rsidR="00992664" w:rsidRPr="00020424">
        <w:rPr>
          <w:rtl/>
        </w:rPr>
        <w:t>ريد من ذلك ، ويصدر ذلك منّي على حسب الإرادة والرغبة</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07046F">
        <w:rPr>
          <w:rtl/>
        </w:rPr>
        <w:t xml:space="preserve"> : إل</w:t>
      </w:r>
      <w:r w:rsidR="0007046F">
        <w:rPr>
          <w:rFonts w:hint="cs"/>
          <w:rtl/>
        </w:rPr>
        <w:t>ّ</w:t>
      </w:r>
      <w:r w:rsidR="0007046F">
        <w:rPr>
          <w:rtl/>
        </w:rPr>
        <w:t>ا</w:t>
      </w:r>
      <w:r w:rsidR="0007046F">
        <w:rPr>
          <w:rFonts w:hint="cs"/>
          <w:rtl/>
        </w:rPr>
        <w:t xml:space="preserve"> </w:t>
      </w:r>
      <w:r w:rsidR="00992664" w:rsidRPr="00020424">
        <w:rPr>
          <w:rtl/>
        </w:rPr>
        <w:t>فعلت ، أي لا أكفّ نفسي عن الجماع ، بل آتي به بقدر الشهوة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113 ، ذيل ح 1873 ، إلى قوله : « أمّا الشابّ الشبق فلا ، لأنّه لايؤمن » مع اختلاف يسير </w:t>
      </w:r>
      <w:r w:rsidR="0007046F">
        <w:rPr>
          <w:rFonts w:hint="cs"/>
          <w:rtl/>
        </w:rPr>
        <w:t>.</w:t>
      </w:r>
      <w:r w:rsidR="00992664" w:rsidRPr="0012008A">
        <w:rPr>
          <w:rStyle w:val="libFootnoteBoldChar"/>
          <w:rtl/>
        </w:rPr>
        <w:t>الوافي</w:t>
      </w:r>
      <w:r w:rsidR="00992664" w:rsidRPr="00020424">
        <w:rPr>
          <w:rtl/>
        </w:rPr>
        <w:t xml:space="preserve"> ، ج 11 ، ص 212 ، ح 10718 ؛ </w:t>
      </w:r>
      <w:r w:rsidR="00992664" w:rsidRPr="0012008A">
        <w:rPr>
          <w:rStyle w:val="libFootnoteBoldChar"/>
          <w:rtl/>
        </w:rPr>
        <w:t>الوسائل</w:t>
      </w:r>
      <w:r w:rsidR="00992664" w:rsidRPr="00020424">
        <w:rPr>
          <w:rtl/>
        </w:rPr>
        <w:t xml:space="preserve"> ، ج 10 ، ص 97 ، ح 12942 ، إلى قوله : « إنّك لشبق يا أبا حازم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7046F" w:rsidTr="0007046F">
        <w:tc>
          <w:tcPr>
            <w:tcW w:w="4006" w:type="dxa"/>
          </w:tcPr>
          <w:p w:rsidR="0007046F" w:rsidRDefault="0007046F" w:rsidP="00992664">
            <w:pPr>
              <w:pStyle w:val="libFootnote0"/>
              <w:rPr>
                <w:rtl/>
              </w:rPr>
            </w:pPr>
            <w:r>
              <w:rPr>
                <w:rtl/>
              </w:rPr>
              <w:t xml:space="preserve">(6). </w:t>
            </w:r>
            <w:r w:rsidRPr="00020424">
              <w:rPr>
                <w:rtl/>
              </w:rPr>
              <w:t>في حاشية « بح » : « في الليل</w:t>
            </w:r>
            <w:r>
              <w:rPr>
                <w:rtl/>
              </w:rPr>
              <w:t xml:space="preserve"> ».</w:t>
            </w:r>
          </w:p>
        </w:tc>
        <w:tc>
          <w:tcPr>
            <w:tcW w:w="4006" w:type="dxa"/>
          </w:tcPr>
          <w:p w:rsidR="0007046F" w:rsidRDefault="0007046F" w:rsidP="00992664">
            <w:pPr>
              <w:pStyle w:val="libFootnote0"/>
              <w:rPr>
                <w:rtl/>
              </w:rPr>
            </w:pPr>
            <w:r>
              <w:rPr>
                <w:rtl/>
              </w:rPr>
              <w:t xml:space="preserve">(7). </w:t>
            </w:r>
            <w:r w:rsidRPr="00020424">
              <w:rPr>
                <w:rtl/>
              </w:rPr>
              <w:t>في « بث ، بح ، بخ » : « وترك</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 « والنهار</w:t>
      </w:r>
      <w:r w:rsidR="00992664">
        <w:rPr>
          <w:rtl/>
        </w:rPr>
        <w:t xml:space="preserve"> ».</w:t>
      </w:r>
      <w:r w:rsidR="00992664" w:rsidRPr="00020424">
        <w:rPr>
          <w:rtl/>
        </w:rPr>
        <w:t xml:space="preserve"> وفي « ظ ، بث ، بح » ومرآة العقول : « أو بالنهار</w:t>
      </w:r>
      <w:r w:rsidR="00992664">
        <w:rPr>
          <w:rtl/>
        </w:rPr>
        <w:t xml:space="preserve"> ».</w:t>
      </w:r>
      <w:r w:rsidR="0007046F">
        <w:rPr>
          <w:rtl/>
        </w:rPr>
        <w:t xml:space="preserve"> وفي «جن» : «</w:t>
      </w:r>
      <w:r w:rsidR="00992664" w:rsidRPr="00020424">
        <w:rPr>
          <w:rtl/>
        </w:rPr>
        <w:t>وبالنهار</w:t>
      </w:r>
      <w:r w:rsidR="00992664">
        <w:rPr>
          <w:rtl/>
        </w:rPr>
        <w:t>».</w:t>
      </w:r>
    </w:p>
    <w:tbl>
      <w:tblPr>
        <w:tblStyle w:val="TableGrid"/>
        <w:bidiVisual/>
        <w:tblW w:w="0" w:type="auto"/>
        <w:tblLook w:val="04A0" w:firstRow="1" w:lastRow="0" w:firstColumn="1" w:lastColumn="0" w:noHBand="0" w:noVBand="1"/>
      </w:tblPr>
      <w:tblGrid>
        <w:gridCol w:w="4006"/>
        <w:gridCol w:w="4006"/>
      </w:tblGrid>
      <w:tr w:rsidR="0007046F" w:rsidTr="0007046F">
        <w:tc>
          <w:tcPr>
            <w:tcW w:w="4006" w:type="dxa"/>
          </w:tcPr>
          <w:p w:rsidR="0007046F" w:rsidRDefault="0007046F" w:rsidP="00992664">
            <w:pPr>
              <w:pStyle w:val="libFootnote0"/>
              <w:rPr>
                <w:rtl/>
                <w:lang w:bidi="fa-IR"/>
              </w:rPr>
            </w:pPr>
            <w:r>
              <w:rPr>
                <w:rtl/>
              </w:rPr>
              <w:t xml:space="preserve">(9). </w:t>
            </w:r>
            <w:r w:rsidRPr="00020424">
              <w:rPr>
                <w:rtl/>
              </w:rPr>
              <w:t>في « بث » : + « في</w:t>
            </w:r>
            <w:r>
              <w:rPr>
                <w:rtl/>
              </w:rPr>
              <w:t xml:space="preserve"> ».</w:t>
            </w:r>
          </w:p>
        </w:tc>
        <w:tc>
          <w:tcPr>
            <w:tcW w:w="4006" w:type="dxa"/>
          </w:tcPr>
          <w:p w:rsidR="0007046F" w:rsidRDefault="0007046F" w:rsidP="00992664">
            <w:pPr>
              <w:pStyle w:val="libFootnote0"/>
              <w:rPr>
                <w:rtl/>
                <w:lang w:bidi="fa-IR"/>
              </w:rPr>
            </w:pPr>
            <w:r>
              <w:rPr>
                <w:rtl/>
              </w:rPr>
              <w:t xml:space="preserve">(10). </w:t>
            </w:r>
            <w:r w:rsidRPr="00020424">
              <w:rPr>
                <w:rtl/>
              </w:rPr>
              <w:t>في « ى » : « وأصاب</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معنى تعمّد النوم أن ينام اختياراً عالماً بالجنابة ذاكراً لها دون أن يغلب عليه النوم ، أو وقع منه ناسياً أو جاهلاً ، وهو بإطلاقه يشمل ما إذا كان عند النوم عازماً على فعل الطهارة قبل الفجر ، أو عازماً على تركها ، أو غير عازم لا على فعلها ولا على تركها ، فهذه ثلاثة شقوق تستدعي أحكاماً ثلاثة ، والأخبار التي وردت في هذا الباب على اختلافها في الحكم وإطلاق أكثرها في المورد لا تعدو أحكاماً ثلاثة يصلح أن يكون كلّ منها حكماً لواحد من هذه الشقوق</w:t>
      </w:r>
      <w:r w:rsidR="00992664">
        <w:rPr>
          <w:rtl/>
        </w:rPr>
        <w:t xml:space="preserve"> ..</w:t>
      </w:r>
      <w:r w:rsidR="00992664" w:rsidRPr="00020424">
        <w:rPr>
          <w:rtl/>
        </w:rPr>
        <w:t>.</w:t>
      </w:r>
      <w:r w:rsidR="00992664">
        <w:rPr>
          <w:rtl/>
        </w:rPr>
        <w:t xml:space="preserve"> ».</w:t>
      </w:r>
    </w:p>
    <w:p w:rsidR="00992664" w:rsidRPr="00020424" w:rsidRDefault="00992664" w:rsidP="00992664">
      <w:pPr>
        <w:pStyle w:val="libFootnote0"/>
        <w:rPr>
          <w:rtl/>
          <w:lang w:bidi="fa-IR"/>
        </w:rPr>
      </w:pPr>
      <w:r w:rsidRPr="0007046F">
        <w:rPr>
          <w:rtl/>
        </w:rPr>
        <w:t xml:space="preserve">وذكر في </w:t>
      </w:r>
      <w:r w:rsidRPr="00DE76B9">
        <w:rPr>
          <w:rStyle w:val="libFootnoteBoldChar"/>
          <w:rtl/>
        </w:rPr>
        <w:t>مرآة العقول</w:t>
      </w:r>
      <w:r w:rsidRPr="0007046F">
        <w:rPr>
          <w:rtl/>
        </w:rPr>
        <w:t xml:space="preserve"> ، ج 16 ، ص 278 أنّ المشهور ، بل المجمع عليه حرمة البقاء على الجنابة متعمّداً حتّى يطلع الفجر ووجوب القضاء والكفّارة به. وكذا المشهور وجوب القضاء والأشهر وجوب الكفّارة أيضاً في </w:t>
      </w:r>
      <w:r w:rsidR="0007046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يُتِمُّ صَوْمَهُ ذلِكَ </w:t>
      </w:r>
      <w:r w:rsidRPr="00A91B96">
        <w:rPr>
          <w:rStyle w:val="libFootnotenumChar"/>
          <w:rtl/>
        </w:rPr>
        <w:t>(1)</w:t>
      </w:r>
      <w:r w:rsidRPr="00020424">
        <w:rPr>
          <w:rtl/>
          <w:lang w:bidi="fa-IR"/>
        </w:rPr>
        <w:t xml:space="preserve"> ، ثُمَّ يَقْضِيهِ إِذَا أَفْطَرَ مِنْ </w:t>
      </w:r>
      <w:r w:rsidRPr="00A91B96">
        <w:rPr>
          <w:rStyle w:val="libFootnotenumChar"/>
          <w:rtl/>
        </w:rPr>
        <w:t>(2)</w:t>
      </w:r>
      <w:r w:rsidRPr="00020424">
        <w:rPr>
          <w:rtl/>
          <w:lang w:bidi="fa-IR"/>
        </w:rPr>
        <w:t xml:space="preserve"> شَهْرِ رَمَضَانَ </w:t>
      </w:r>
      <w:r w:rsidRPr="00A91B96">
        <w:rPr>
          <w:rStyle w:val="libFootnotenumChar"/>
          <w:rtl/>
        </w:rPr>
        <w:t>(3)</w:t>
      </w:r>
      <w:r w:rsidRPr="00020424">
        <w:rPr>
          <w:rtl/>
          <w:lang w:bidi="fa-IR"/>
        </w:rPr>
        <w:t xml:space="preserve"> ، وَيَسْتَغْفِرُ رَبَّهُ</w:t>
      </w:r>
      <w:r>
        <w:rPr>
          <w:rtl/>
          <w:lang w:bidi="fa-IR"/>
        </w:rPr>
        <w:t>».</w:t>
      </w:r>
      <w:r w:rsidRPr="00A91B96">
        <w:rPr>
          <w:rStyle w:val="libFootnotenumChar"/>
          <w:rtl/>
        </w:rPr>
        <w:t>(4)</w:t>
      </w:r>
      <w:r w:rsidRPr="00020424">
        <w:rPr>
          <w:rtl/>
          <w:lang w:bidi="fa-IR"/>
        </w:rPr>
        <w:t>‌</w:t>
      </w:r>
    </w:p>
    <w:p w:rsidR="00992664" w:rsidRPr="00020424" w:rsidRDefault="00992664" w:rsidP="00992664">
      <w:pPr>
        <w:pStyle w:val="libNormal"/>
        <w:rPr>
          <w:rtl/>
          <w:lang w:bidi="fa-IR"/>
        </w:rPr>
      </w:pPr>
      <w:r w:rsidRPr="001462C6">
        <w:rPr>
          <w:rtl/>
        </w:rPr>
        <w:t>6395</w:t>
      </w:r>
      <w:r w:rsidRPr="001155DE">
        <w:rPr>
          <w:rStyle w:val="libBold2Char"/>
          <w:rtl/>
        </w:rPr>
        <w:t xml:space="preserve"> / 2.</w:t>
      </w:r>
      <w:r w:rsidRPr="00020424">
        <w:rPr>
          <w:rtl/>
          <w:lang w:bidi="fa-IR"/>
        </w:rPr>
        <w:t xml:space="preserve"> مُحَمَّدُ بْنُ يَحْيى ، عَنْ مُحَمَّدِ بْنِ الْحُسَيْنِ ، عَنِ الْعَلَاءِ بْنِ رَزِينٍ </w:t>
      </w:r>
      <w:r w:rsidRPr="00A91B96">
        <w:rPr>
          <w:rStyle w:val="libFootnotenumChar"/>
          <w:rtl/>
        </w:rPr>
        <w:t>(5)</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سَأَلْتُهُ عَنِ الرَّجُلِ يُصِيبُ </w:t>
      </w:r>
      <w:r w:rsidRPr="00A91B96">
        <w:rPr>
          <w:rStyle w:val="libFootnotenumChar"/>
          <w:rtl/>
        </w:rPr>
        <w:t>(6)</w:t>
      </w:r>
      <w:r w:rsidRPr="00020424">
        <w:rPr>
          <w:rtl/>
          <w:lang w:bidi="fa-IR"/>
        </w:rPr>
        <w:t xml:space="preserve"> الْجَارِيَةَ </w:t>
      </w:r>
      <w:r w:rsidRPr="00A91B96">
        <w:rPr>
          <w:rStyle w:val="libFootnotenumChar"/>
          <w:rtl/>
        </w:rPr>
        <w:t>(7)</w:t>
      </w:r>
      <w:r w:rsidRPr="00020424">
        <w:rPr>
          <w:rtl/>
          <w:lang w:bidi="fa-IR"/>
        </w:rPr>
        <w:t xml:space="preserve"> فِي شَهْرِ رَمَضَانَ ، ثُمَّ يَنَامُ </w:t>
      </w:r>
      <w:r w:rsidRPr="00A91B96">
        <w:rPr>
          <w:rStyle w:val="libFootnotenumChar"/>
          <w:rtl/>
        </w:rPr>
        <w:t>(8)</w:t>
      </w:r>
      <w:r w:rsidRPr="00020424">
        <w:rPr>
          <w:rtl/>
          <w:lang w:bidi="fa-IR"/>
        </w:rPr>
        <w:t xml:space="preserve"> قَبْلَ أَنْ يَغْتَسِلَ</w:t>
      </w:r>
      <w:r>
        <w:rPr>
          <w:rtl/>
          <w:lang w:bidi="fa-IR"/>
        </w:rPr>
        <w:t>؟</w:t>
      </w:r>
    </w:p>
    <w:p w:rsidR="00992664" w:rsidRPr="00020424" w:rsidRDefault="00992664" w:rsidP="00992664">
      <w:pPr>
        <w:pStyle w:val="libNormal"/>
        <w:rPr>
          <w:rtl/>
          <w:lang w:bidi="fa-IR"/>
        </w:rPr>
      </w:pPr>
      <w:r w:rsidRPr="00020424">
        <w:rPr>
          <w:rtl/>
          <w:lang w:bidi="fa-IR"/>
        </w:rPr>
        <w:t>قَالَ : « يُتِمُّ صَوْمَهُ ، وَ</w:t>
      </w:r>
      <w:r w:rsidR="0010524B">
        <w:rPr>
          <w:rtl/>
          <w:lang w:bidi="fa-IR"/>
        </w:rPr>
        <w:t>يَقْضِي ذلِكَ الْيَوْمَ ، إِل</w:t>
      </w:r>
      <w:r w:rsidR="0010524B">
        <w:rPr>
          <w:rFonts w:hint="cs"/>
          <w:rtl/>
          <w:lang w:bidi="fa-IR"/>
        </w:rPr>
        <w:t>َّ</w:t>
      </w:r>
      <w:r w:rsidR="0010524B">
        <w:rPr>
          <w:rtl/>
          <w:lang w:bidi="fa-IR"/>
        </w:rPr>
        <w:t>ا</w:t>
      </w:r>
      <w:r w:rsidRPr="00020424">
        <w:rPr>
          <w:rtl/>
          <w:lang w:bidi="fa-IR"/>
        </w:rPr>
        <w:t xml:space="preserve"> أَنْ يَسْتَيْقِظَ </w:t>
      </w:r>
      <w:r w:rsidRPr="00A91B96">
        <w:rPr>
          <w:rStyle w:val="libFootnotenumChar"/>
          <w:rtl/>
        </w:rPr>
        <w:t>(9)</w:t>
      </w:r>
      <w:r w:rsidRPr="00020424">
        <w:rPr>
          <w:rtl/>
          <w:lang w:bidi="fa-IR"/>
        </w:rPr>
        <w:t xml:space="preserve"> قَبْلَ أَنْ يَطْلُعَ الْفَجْرُ ،</w:t>
      </w:r>
    </w:p>
    <w:p w:rsidR="00992664" w:rsidRPr="00020424" w:rsidRDefault="00992664" w:rsidP="00992664">
      <w:pPr>
        <w:pStyle w:val="libLine"/>
        <w:rPr>
          <w:rtl/>
          <w:lang w:bidi="fa-IR"/>
        </w:rPr>
      </w:pPr>
      <w:r w:rsidRPr="00020424">
        <w:rPr>
          <w:rtl/>
          <w:lang w:bidi="fa-IR"/>
        </w:rPr>
        <w:t>__________________</w:t>
      </w:r>
    </w:p>
    <w:p w:rsidR="00992664" w:rsidRPr="00020424" w:rsidRDefault="0010524B" w:rsidP="00992664">
      <w:pPr>
        <w:pStyle w:val="libFootnote0"/>
        <w:rPr>
          <w:rtl/>
          <w:lang w:bidi="fa-IR"/>
        </w:rPr>
      </w:pPr>
      <w:r>
        <w:rPr>
          <w:rFonts w:hint="cs"/>
          <w:rtl/>
        </w:rPr>
        <w:t xml:space="preserve">= </w:t>
      </w:r>
      <w:r w:rsidR="00992664" w:rsidRPr="0010524B">
        <w:rPr>
          <w:rtl/>
        </w:rPr>
        <w:t>ما لو نام غير ناو للغسل ، أو كان ناوياً وكان غير معتاد للانتباه ، وأن لا خلاف في عدم وجوب القضاء لو نام ناوياً للفعل ، ولم ينتبه حتّى يطلع الفجر ، ولا خلاف في وجوب القضاء خاصّة في الانتباه بعد النومة الثانية ، وكذلك في الانتباه بعد الثالثة في الأشهر. ثمّ قال : « قوله</w:t>
      </w:r>
      <w:r w:rsidR="00992664" w:rsidRPr="00C8681E">
        <w:rPr>
          <w:rStyle w:val="libFootnoteAieChar"/>
          <w:rtl/>
        </w:rPr>
        <w:t xml:space="preserve"> </w:t>
      </w:r>
      <w:r w:rsidR="00992664" w:rsidRPr="00D64ADA">
        <w:rPr>
          <w:rStyle w:val="libFootnoteAlaemChar"/>
          <w:rtl/>
        </w:rPr>
        <w:t>عليه‌السلام</w:t>
      </w:r>
      <w:r w:rsidR="00992664" w:rsidRPr="0010524B">
        <w:rPr>
          <w:rtl/>
        </w:rPr>
        <w:t xml:space="preserve"> : متعمّداً ، حمل على ما إذا نام بنيّة الغسل وكان من عادته الانتباه قبل الفجر ، لكنّ الاستغفار يومي إلى أنّ المراد بالتعمّد عدم نيّة الغسل. ويمكن أن يقال : ليس الاستغفار لهذا الذنب ، بل لتدارك ما</w:t>
      </w:r>
      <w:r w:rsidR="00992664" w:rsidRPr="0010524B">
        <w:rPr>
          <w:rFonts w:hint="cs"/>
          <w:rtl/>
        </w:rPr>
        <w:t xml:space="preserve"> </w:t>
      </w:r>
      <w:r w:rsidR="00992664" w:rsidRPr="0010524B">
        <w:rPr>
          <w:rtl/>
        </w:rPr>
        <w:t>فات منه من الفضل ، ثمّ إنّه يدلّ على أنّ النوم الأوّل للمحتلم هو النوم بعد الانتباه على احتلامه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 اليوم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ى ، بث ، بح ، بخ ، بر ، بف ، جن » </w:t>
      </w:r>
      <w:r w:rsidR="00992664" w:rsidRPr="0010524B">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إذا أفطر شهر رمضان ؛ يعني إذا فرغ من صيام الشهر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211 ، ح 614 ؛ </w:t>
      </w:r>
      <w:r w:rsidR="00992664" w:rsidRPr="00FD6221">
        <w:rPr>
          <w:rStyle w:val="libFootnoteBoldChar"/>
          <w:rtl/>
        </w:rPr>
        <w:t>والاستبصار</w:t>
      </w:r>
      <w:r w:rsidR="00992664" w:rsidRPr="00020424">
        <w:rPr>
          <w:rtl/>
        </w:rPr>
        <w:t xml:space="preserve"> ، ج 2 ، ص 86 ، ح 268 ، بسند آخر عن أبي الحسن </w:t>
      </w:r>
      <w:r w:rsidR="00992664" w:rsidRPr="00D64ADA">
        <w:rPr>
          <w:rStyle w:val="libFootnoteAlaemChar"/>
          <w:rtl/>
        </w:rPr>
        <w:t>عليه‌السلام</w:t>
      </w:r>
      <w:r w:rsidR="00992664" w:rsidRPr="00020424">
        <w:rPr>
          <w:rtl/>
        </w:rPr>
        <w:t xml:space="preserve"> ، مع اختلاف </w:t>
      </w:r>
      <w:r w:rsidR="0010524B">
        <w:rPr>
          <w:rFonts w:hint="cs"/>
          <w:rtl/>
        </w:rPr>
        <w:t>.</w:t>
      </w:r>
      <w:r w:rsidR="00992664" w:rsidRPr="0012008A">
        <w:rPr>
          <w:rStyle w:val="libFootnoteBoldChar"/>
          <w:rtl/>
        </w:rPr>
        <w:t>الوافي</w:t>
      </w:r>
      <w:r w:rsidR="00992664" w:rsidRPr="00020424">
        <w:rPr>
          <w:rtl/>
        </w:rPr>
        <w:t xml:space="preserve"> ، ج 11 ، ص 259 ، ح 10811 ؛ </w:t>
      </w:r>
      <w:r w:rsidR="00992664" w:rsidRPr="0012008A">
        <w:rPr>
          <w:rStyle w:val="libFootnoteBoldChar"/>
          <w:rtl/>
        </w:rPr>
        <w:t>الوسائل</w:t>
      </w:r>
      <w:r w:rsidR="00992664" w:rsidRPr="00020424">
        <w:rPr>
          <w:rtl/>
        </w:rPr>
        <w:t xml:space="preserve"> ، ج 10 ، ص 63 ، ح 12836.</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ظهر ممّا قدّمناه في </w:t>
      </w:r>
      <w:r w:rsidR="00992664" w:rsidRPr="00DE76B9">
        <w:rPr>
          <w:rStyle w:val="libFootnoteBoldChar"/>
          <w:rtl/>
        </w:rPr>
        <w:t>الكافي</w:t>
      </w:r>
      <w:r w:rsidR="00992664" w:rsidRPr="00020424">
        <w:rPr>
          <w:rtl/>
        </w:rPr>
        <w:t xml:space="preserve"> ، ذيل ح 6368 ، وقوع الخلل في رواية محمّد بن الحسين عن العلاء بن رزين</w:t>
      </w:r>
      <w:r w:rsidR="0010524B">
        <w:rPr>
          <w:rFonts w:hint="cs"/>
          <w:rtl/>
        </w:rPr>
        <w:t xml:space="preserve"> </w:t>
      </w:r>
      <w:r w:rsidR="00992664" w:rsidRPr="00020424">
        <w:rPr>
          <w:rtl/>
        </w:rPr>
        <w:t>‌مباشرةً ، فلاحظ.</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w:t>
      </w:r>
      <w:r w:rsidR="00992664" w:rsidRPr="0010524B">
        <w:rPr>
          <w:rtl/>
        </w:rPr>
        <w:t>والوافي والتهذيب والاستبصار</w:t>
      </w:r>
      <w:r w:rsidR="00992664" w:rsidRPr="00020424">
        <w:rPr>
          <w:rtl/>
        </w:rPr>
        <w:t xml:space="preserve"> : « تصيبه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بر ، بف » </w:t>
      </w:r>
      <w:r w:rsidR="00992664" w:rsidRPr="0010524B">
        <w:rPr>
          <w:rtl/>
        </w:rPr>
        <w:t>والوافي والتهذيب والاستبصار</w:t>
      </w:r>
      <w:r w:rsidR="00992664" w:rsidRPr="00020424">
        <w:rPr>
          <w:rtl/>
        </w:rPr>
        <w:t xml:space="preserve"> : « الجنابة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نام</w:t>
      </w:r>
      <w:r w:rsidR="00992664">
        <w:rPr>
          <w:rtl/>
        </w:rPr>
        <w:t xml:space="preserve"> ».</w:t>
      </w:r>
      <w:r w:rsidR="00992664" w:rsidRPr="00020424">
        <w:rPr>
          <w:rtl/>
        </w:rPr>
        <w:t xml:space="preserve"> وقال فيه : « إطلاق النوم في هذين الخبرين</w:t>
      </w:r>
      <w:r w:rsidR="00992664">
        <w:rPr>
          <w:rtl/>
        </w:rPr>
        <w:t xml:space="preserve"> </w:t>
      </w:r>
      <w:r w:rsidR="009B673F">
        <w:rPr>
          <w:rtl/>
        </w:rPr>
        <w:t>-</w:t>
      </w:r>
      <w:r w:rsidR="00992664">
        <w:rPr>
          <w:rtl/>
        </w:rPr>
        <w:t xml:space="preserve"> </w:t>
      </w:r>
      <w:r w:rsidR="00992664" w:rsidRPr="00020424">
        <w:rPr>
          <w:rtl/>
        </w:rPr>
        <w:t xml:space="preserve">والخبر الآخر هو المرويّ في </w:t>
      </w:r>
      <w:r w:rsidR="00992664" w:rsidRPr="0012008A">
        <w:rPr>
          <w:rStyle w:val="libFootnoteBoldChar"/>
          <w:rtl/>
        </w:rPr>
        <w:t>التهذيب</w:t>
      </w:r>
      <w:r w:rsidR="00992664" w:rsidRPr="00020424">
        <w:rPr>
          <w:rtl/>
        </w:rPr>
        <w:t xml:space="preserve"> ، ج 4 ، ص 211 ، ح 614</w:t>
      </w:r>
      <w:r w:rsidR="00992664">
        <w:rPr>
          <w:rtl/>
        </w:rPr>
        <w:t xml:space="preserve"> </w:t>
      </w:r>
      <w:r w:rsidR="009B673F">
        <w:rPr>
          <w:rtl/>
        </w:rPr>
        <w:t>-</w:t>
      </w:r>
      <w:r w:rsidR="00992664">
        <w:rPr>
          <w:rtl/>
        </w:rPr>
        <w:t xml:space="preserve"> </w:t>
      </w:r>
      <w:r w:rsidR="00992664" w:rsidRPr="00020424">
        <w:rPr>
          <w:rtl/>
        </w:rPr>
        <w:t xml:space="preserve">يشمل الشقوق الثلاثة التي أشرنا إليها ، فيقبل التقييد بما يجمع بينهما وبين ما ينافيهما بأن يقيّد بعدم العزم على الطهارة قبل الفجر ؛ فإنّه إذا لم يكن معتاداً لانتباه ، أو لم يغلب على ظنّه ذلك ، أو لم يكن له سبح طويل فهو غير عازم. وأمّا حمله على تثنية النوم كما فعله في </w:t>
      </w:r>
      <w:r w:rsidR="00992664" w:rsidRPr="0010524B">
        <w:rPr>
          <w:rtl/>
        </w:rPr>
        <w:t>التهذيبين</w:t>
      </w:r>
      <w:r w:rsidR="00992664" w:rsidRPr="00020424">
        <w:rPr>
          <w:rtl/>
        </w:rPr>
        <w:t xml:space="preserve"> فلا يخفى بعده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10524B">
        <w:rPr>
          <w:rtl/>
        </w:rPr>
        <w:t xml:space="preserve"> : « قوله : إل</w:t>
      </w:r>
      <w:r w:rsidR="0010524B">
        <w:rPr>
          <w:rFonts w:hint="cs"/>
          <w:rtl/>
        </w:rPr>
        <w:t>ّ</w:t>
      </w:r>
      <w:r w:rsidR="0010524B">
        <w:rPr>
          <w:rtl/>
        </w:rPr>
        <w:t>ا</w:t>
      </w:r>
      <w:r w:rsidR="00992664">
        <w:rPr>
          <w:rFonts w:hint="cs"/>
          <w:rtl/>
        </w:rPr>
        <w:t xml:space="preserve"> </w:t>
      </w:r>
      <w:r w:rsidR="00992664" w:rsidRPr="00020424">
        <w:rPr>
          <w:rtl/>
        </w:rPr>
        <w:t>أن يستيقظ ؛ يعني أنّ القضاء إنّما يجب عليه إذا لم يستيقظ إلى أن يصبح ، أمّا إذا استيقظ</w:t>
      </w:r>
      <w:r w:rsidR="0010524B">
        <w:rPr>
          <w:rFonts w:hint="cs"/>
          <w:rtl/>
        </w:rPr>
        <w:t xml:space="preserve"> </w:t>
      </w:r>
      <w:r w:rsidR="00992664" w:rsidRPr="00020424">
        <w:rPr>
          <w:rtl/>
        </w:rPr>
        <w:t>قبل الفجر فإن اغتسل فلا شي‌ء عليه ، وكذا إذا انتظر ماء. وإنّما سكت عن الاغتسال لظهور حكمه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0524B">
      <w:pPr>
        <w:pStyle w:val="libNormal0"/>
        <w:rPr>
          <w:rtl/>
          <w:lang w:bidi="fa-IR"/>
        </w:rPr>
      </w:pPr>
      <w:r w:rsidRPr="00020424">
        <w:rPr>
          <w:rtl/>
          <w:lang w:bidi="fa-IR"/>
        </w:rPr>
        <w:t xml:space="preserve">فَإِنِ </w:t>
      </w:r>
      <w:r w:rsidRPr="00A91B96">
        <w:rPr>
          <w:rStyle w:val="libFootnotenumChar"/>
          <w:rtl/>
        </w:rPr>
        <w:t>(1)</w:t>
      </w:r>
      <w:r w:rsidRPr="00020424">
        <w:rPr>
          <w:rtl/>
          <w:lang w:bidi="fa-IR"/>
        </w:rPr>
        <w:t xml:space="preserve"> انْتَظَرَ </w:t>
      </w:r>
      <w:r w:rsidRPr="00A91B96">
        <w:rPr>
          <w:rStyle w:val="libFootnotenumChar"/>
          <w:rtl/>
        </w:rPr>
        <w:t>(2)</w:t>
      </w:r>
      <w:r w:rsidRPr="00020424">
        <w:rPr>
          <w:rtl/>
          <w:lang w:bidi="fa-IR"/>
        </w:rPr>
        <w:t xml:space="preserve"> مَاءً </w:t>
      </w:r>
      <w:r w:rsidRPr="00A91B96">
        <w:rPr>
          <w:rStyle w:val="libFootnotenumChar"/>
          <w:rtl/>
        </w:rPr>
        <w:t>(3)</w:t>
      </w:r>
      <w:r w:rsidRPr="00020424">
        <w:rPr>
          <w:rtl/>
          <w:lang w:bidi="fa-IR"/>
        </w:rPr>
        <w:t xml:space="preserve"> يُسَخَّنُ ، أَوْ يَسْتَقِي ، فَطَلَعَ الْفَجْرُ ، فَلَا يَقْضِي يَوْمَهُ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1462C6">
        <w:rPr>
          <w:rtl/>
        </w:rPr>
        <w:t>6396</w:t>
      </w:r>
      <w:r w:rsidRPr="001155DE">
        <w:rPr>
          <w:rStyle w:val="libBold2Char"/>
          <w:rtl/>
        </w:rPr>
        <w:t xml:space="preserve"> / 3.</w:t>
      </w:r>
      <w:r w:rsidRPr="00020424">
        <w:rPr>
          <w:rtl/>
          <w:lang w:bidi="fa-IR"/>
        </w:rPr>
        <w:t xml:space="preserve"> مُحَمَّدُ بْنُ يَحْيى ، عَنْ أَحْمَدَ بْنِ مُحَمَّدٍ ، عَنِ ابْنِ فَضَّالٍ ، عَنِ ابْنِ بُكَيْرٍ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يُجْنِبُ ، ثُمَّ يَنَامُ حَتّ</w:t>
      </w:r>
      <w:r>
        <w:rPr>
          <w:rtl/>
          <w:lang w:bidi="fa-IR"/>
        </w:rPr>
        <w:t>ى يُصْبِحَ ، أَ</w:t>
      </w:r>
      <w:r w:rsidRPr="00020424">
        <w:rPr>
          <w:rtl/>
          <w:lang w:bidi="fa-IR"/>
        </w:rPr>
        <w:t>يَصُومُ ذلِكَ الْيَوْمَ تَطَوُّعاً</w:t>
      </w:r>
      <w:r>
        <w:rPr>
          <w:rtl/>
          <w:lang w:bidi="fa-IR"/>
        </w:rPr>
        <w:t>؟</w:t>
      </w:r>
    </w:p>
    <w:p w:rsidR="00992664" w:rsidRPr="00020424" w:rsidRDefault="00992664" w:rsidP="00992664">
      <w:pPr>
        <w:pStyle w:val="libNormal"/>
        <w:rPr>
          <w:rtl/>
          <w:lang w:bidi="fa-IR"/>
        </w:rPr>
      </w:pPr>
      <w:r>
        <w:rPr>
          <w:rtl/>
          <w:lang w:bidi="fa-IR"/>
        </w:rPr>
        <w:t>فَقَالَ : « أَ</w:t>
      </w:r>
      <w:r w:rsidRPr="00020424">
        <w:rPr>
          <w:rtl/>
          <w:lang w:bidi="fa-IR"/>
        </w:rPr>
        <w:t>لَيْسَ هُوَ بِالْخِيَارِ مَا بَيْنَهُ وَبَيْنَ نِصْفِ النَّهَارِ</w:t>
      </w:r>
      <w:r>
        <w:rPr>
          <w:rtl/>
          <w:lang w:bidi="fa-IR"/>
        </w:rPr>
        <w:t>؟ ».</w:t>
      </w:r>
    </w:p>
    <w:p w:rsidR="00992664" w:rsidRPr="00020424" w:rsidRDefault="00992664" w:rsidP="00992664">
      <w:pPr>
        <w:pStyle w:val="libNormal"/>
        <w:rPr>
          <w:rtl/>
          <w:lang w:bidi="fa-IR"/>
        </w:rPr>
      </w:pPr>
      <w:r w:rsidRPr="00020424">
        <w:rPr>
          <w:rtl/>
          <w:lang w:bidi="fa-IR"/>
        </w:rPr>
        <w:t xml:space="preserve">قَالَ : وَسَأَلْتُهُ عَنِ الرَّجُلِ يَحْتَلِمُ بِالنَّهَارِ فِي شَهْرِ رَمَضَانَ : يُتِمُّ صَوْمَهُ </w:t>
      </w:r>
      <w:r w:rsidRPr="00A91B96">
        <w:rPr>
          <w:rStyle w:val="libFootnotenumChar"/>
          <w:rtl/>
        </w:rPr>
        <w:t>(6)</w:t>
      </w:r>
      <w:r w:rsidRPr="00020424">
        <w:rPr>
          <w:rtl/>
          <w:lang w:bidi="fa-IR"/>
        </w:rPr>
        <w:t xml:space="preserve"> كَمَا هُوَ</w:t>
      </w:r>
      <w:r>
        <w:rPr>
          <w:rtl/>
          <w:lang w:bidi="fa-IR"/>
        </w:rPr>
        <w:t>؟</w:t>
      </w:r>
    </w:p>
    <w:p w:rsidR="00992664" w:rsidRPr="00020424" w:rsidRDefault="00992664" w:rsidP="00992664">
      <w:pPr>
        <w:pStyle w:val="libNormal"/>
        <w:rPr>
          <w:rtl/>
          <w:lang w:bidi="fa-IR"/>
        </w:rPr>
      </w:pPr>
      <w:r w:rsidRPr="00020424">
        <w:rPr>
          <w:rtl/>
          <w:lang w:bidi="fa-IR"/>
        </w:rPr>
        <w:t>فَقَالَ : « لَا بَأْسَ</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462C6">
        <w:rPr>
          <w:rtl/>
        </w:rPr>
        <w:t>6397</w:t>
      </w:r>
      <w:r w:rsidRPr="001155DE">
        <w:rPr>
          <w:rStyle w:val="libBold2Char"/>
          <w:rtl/>
        </w:rPr>
        <w:t xml:space="preserve"> / 4.</w:t>
      </w:r>
      <w:r w:rsidRPr="00020424">
        <w:rPr>
          <w:rtl/>
          <w:lang w:bidi="fa-IR"/>
        </w:rPr>
        <w:t xml:space="preserve"> أَحْمَدُ بْنُ مُحَمَّدٍ </w:t>
      </w:r>
      <w:r w:rsidRPr="00A91B96">
        <w:rPr>
          <w:rStyle w:val="libFootnotenumChar"/>
          <w:rtl/>
        </w:rPr>
        <w:t>(8)</w:t>
      </w:r>
      <w:r w:rsidRPr="00020424">
        <w:rPr>
          <w:rtl/>
          <w:lang w:bidi="fa-IR"/>
        </w:rPr>
        <w:t xml:space="preserve"> ، عَنِ الْحَجَّالِ ، عَنِ ابْنِ سِنَانٍ ، قَالَ :</w:t>
      </w:r>
    </w:p>
    <w:p w:rsidR="00992664" w:rsidRPr="00020424" w:rsidRDefault="00992664" w:rsidP="00992664">
      <w:pPr>
        <w:pStyle w:val="libNormal"/>
        <w:rPr>
          <w:rtl/>
          <w:lang w:bidi="fa-IR"/>
        </w:rPr>
      </w:pPr>
      <w:r w:rsidRPr="00020424">
        <w:rPr>
          <w:rtl/>
          <w:lang w:bidi="fa-IR"/>
        </w:rPr>
        <w:t xml:space="preserve">كَتَبَ </w:t>
      </w:r>
      <w:r w:rsidRPr="00A91B96">
        <w:rPr>
          <w:rStyle w:val="libFootnotenumChar"/>
          <w:rtl/>
        </w:rPr>
        <w:t>(9)</w:t>
      </w:r>
      <w:r w:rsidRPr="00020424">
        <w:rPr>
          <w:rtl/>
          <w:lang w:bidi="fa-IR"/>
        </w:rPr>
        <w:t xml:space="preserve"> أَبِي </w:t>
      </w:r>
      <w:r w:rsidRPr="00A91B96">
        <w:rPr>
          <w:rStyle w:val="libFootnotenumChar"/>
          <w:rtl/>
        </w:rPr>
        <w:t>(10)</w:t>
      </w:r>
      <w:r w:rsidRPr="00020424">
        <w:rPr>
          <w:rtl/>
          <w:lang w:bidi="fa-IR"/>
        </w:rPr>
        <w:t xml:space="preserve"> إِلى أَبِي عَبْدِ اللهِ </w:t>
      </w:r>
      <w:r w:rsidRPr="00005A81">
        <w:rPr>
          <w:rStyle w:val="libAlaemChar"/>
          <w:rtl/>
        </w:rPr>
        <w:t>عليه‌السلام</w:t>
      </w:r>
      <w:r>
        <w:rPr>
          <w:rtl/>
          <w:lang w:bidi="fa-IR"/>
        </w:rPr>
        <w:t xml:space="preserve"> </w:t>
      </w:r>
      <w:r w:rsidR="009B673F">
        <w:rPr>
          <w:rtl/>
          <w:lang w:bidi="fa-IR"/>
        </w:rPr>
        <w:t>-</w:t>
      </w:r>
      <w:r>
        <w:rPr>
          <w:rtl/>
          <w:lang w:bidi="fa-IR"/>
        </w:rPr>
        <w:t xml:space="preserve"> </w:t>
      </w:r>
      <w:r w:rsidRPr="00020424">
        <w:rPr>
          <w:rtl/>
          <w:lang w:bidi="fa-IR"/>
        </w:rPr>
        <w:t>وَكَانَ يَقْضِي شَهْرَ رَمَضَانَ</w:t>
      </w:r>
      <w:r>
        <w:rPr>
          <w:rtl/>
          <w:lang w:bidi="fa-IR"/>
        </w:rPr>
        <w:t xml:space="preserve"> </w:t>
      </w:r>
      <w:r w:rsidR="009B673F">
        <w:rPr>
          <w:rtl/>
          <w:lang w:bidi="fa-IR"/>
        </w:rPr>
        <w:t>-</w:t>
      </w:r>
      <w:r>
        <w:rPr>
          <w:rtl/>
          <w:lang w:bidi="fa-IR"/>
        </w:rPr>
        <w:t xml:space="preserve"> </w:t>
      </w:r>
      <w:r w:rsidRPr="00020424">
        <w:rPr>
          <w:rtl/>
          <w:lang w:bidi="fa-IR"/>
        </w:rPr>
        <w:t xml:space="preserve">وَقَالَ </w:t>
      </w:r>
      <w:r w:rsidRPr="00A91B96">
        <w:rPr>
          <w:rStyle w:val="libFootnotenumChar"/>
          <w:rtl/>
        </w:rPr>
        <w:t>(11)</w:t>
      </w:r>
      <w:r w:rsidRPr="00020424">
        <w:rPr>
          <w:rtl/>
          <w:lang w:bidi="fa-IR"/>
        </w:rPr>
        <w:t xml:space="preserve"> : إِنِّي‌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حاشية « بح » : « وإن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فإن انتظر ، أي في صورة الانتباه بعدم النوم ، أو بعد الجنابة مع عدم النوم. والأخير أوفق بمذاهب الأصحاب ، والأوّل أظهر من لفظ الخبر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D10DC" w:rsidTr="005D10DC">
        <w:tc>
          <w:tcPr>
            <w:tcW w:w="4006" w:type="dxa"/>
          </w:tcPr>
          <w:p w:rsidR="005D10DC" w:rsidRDefault="005D10DC" w:rsidP="00992664">
            <w:pPr>
              <w:pStyle w:val="libFootnote0"/>
              <w:rPr>
                <w:rtl/>
              </w:rPr>
            </w:pPr>
            <w:r>
              <w:rPr>
                <w:rtl/>
              </w:rPr>
              <w:t xml:space="preserve">(3). </w:t>
            </w:r>
            <w:r w:rsidRPr="00020424">
              <w:rPr>
                <w:rtl/>
              </w:rPr>
              <w:t>في « بر ، بف » : « ماءه</w:t>
            </w:r>
            <w:r>
              <w:rPr>
                <w:rtl/>
              </w:rPr>
              <w:t xml:space="preserve"> ».</w:t>
            </w:r>
          </w:p>
        </w:tc>
        <w:tc>
          <w:tcPr>
            <w:tcW w:w="4006" w:type="dxa"/>
          </w:tcPr>
          <w:p w:rsidR="005D10DC" w:rsidRDefault="005D10DC" w:rsidP="00992664">
            <w:pPr>
              <w:pStyle w:val="libFootnote0"/>
              <w:rPr>
                <w:rtl/>
              </w:rPr>
            </w:pPr>
            <w:r>
              <w:rPr>
                <w:rtl/>
              </w:rPr>
              <w:t xml:space="preserve">(4). </w:t>
            </w:r>
            <w:r w:rsidRPr="00020424">
              <w:rPr>
                <w:rtl/>
              </w:rPr>
              <w:t>في « بح ، بخ ، بس » : « صومه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211 ، ح 613 ؛ </w:t>
      </w:r>
      <w:r w:rsidR="00992664" w:rsidRPr="00FD6221">
        <w:rPr>
          <w:rStyle w:val="libFootnoteBoldChar"/>
          <w:rtl/>
        </w:rPr>
        <w:t>والاستبصار</w:t>
      </w:r>
      <w:r w:rsidR="00992664" w:rsidRPr="00020424">
        <w:rPr>
          <w:rtl/>
        </w:rPr>
        <w:t xml:space="preserve"> ، ج 2 ، ص 86 ، ح 270 ، بسندهما عن العلاء ، عن محمّد بن مسلم. </w:t>
      </w:r>
      <w:r w:rsidR="00992664" w:rsidRPr="00DE76B9">
        <w:rPr>
          <w:rStyle w:val="libFootnoteBoldChar"/>
          <w:rtl/>
        </w:rPr>
        <w:t>وفيه</w:t>
      </w:r>
      <w:r w:rsidR="00992664" w:rsidRPr="00020424">
        <w:rPr>
          <w:rtl/>
        </w:rPr>
        <w:t xml:space="preserve"> ، ص 86 ، ح 267 ، بسند آخر من دون الإسناد إلى المعصوم </w:t>
      </w:r>
      <w:r w:rsidR="00992664" w:rsidRPr="00D64ADA">
        <w:rPr>
          <w:rStyle w:val="libFootnoteAlaemChar"/>
          <w:rtl/>
        </w:rPr>
        <w:t>عليه‌السلام</w:t>
      </w:r>
      <w:r w:rsidR="00992664" w:rsidRPr="00020424">
        <w:rPr>
          <w:rtl/>
        </w:rPr>
        <w:t xml:space="preserve"> ، إلى قوله : « ويقضي ذلك اليوم » مع اختلاف يسير وزيادة في آخره. راجع : </w:t>
      </w:r>
      <w:r w:rsidR="00992664" w:rsidRPr="0012008A">
        <w:rPr>
          <w:rStyle w:val="libFootnoteBoldChar"/>
          <w:rtl/>
        </w:rPr>
        <w:t>الفقيه</w:t>
      </w:r>
      <w:r w:rsidR="00992664" w:rsidRPr="00020424">
        <w:rPr>
          <w:rtl/>
        </w:rPr>
        <w:t xml:space="preserve"> ، ج 2 ، ص 119 ، ح 1898 ؛ </w:t>
      </w:r>
      <w:r w:rsidR="00992664" w:rsidRPr="00515444">
        <w:rPr>
          <w:rStyle w:val="libFootnoteBoldChar"/>
          <w:rtl/>
        </w:rPr>
        <w:t>والتهذيب</w:t>
      </w:r>
      <w:r w:rsidR="00992664" w:rsidRPr="00020424">
        <w:rPr>
          <w:rtl/>
        </w:rPr>
        <w:t xml:space="preserve"> ، ج 4 ، ص 211 ، ح 612 ؛ وص 212 ، ح 615 ؛ </w:t>
      </w:r>
      <w:r w:rsidR="00992664" w:rsidRPr="00FD6221">
        <w:rPr>
          <w:rStyle w:val="libFootnoteBoldChar"/>
          <w:rtl/>
        </w:rPr>
        <w:t>والاستبصار</w:t>
      </w:r>
      <w:r w:rsidR="00992664" w:rsidRPr="00020424">
        <w:rPr>
          <w:rtl/>
        </w:rPr>
        <w:t xml:space="preserve"> ، ج 2 ، ص 86 ، ح 269 ؛ وص 87 ، ح 271 </w:t>
      </w:r>
      <w:r w:rsidR="005D10DC">
        <w:rPr>
          <w:rFonts w:hint="cs"/>
          <w:rtl/>
        </w:rPr>
        <w:t>.</w:t>
      </w:r>
      <w:r w:rsidR="00992664" w:rsidRPr="0012008A">
        <w:rPr>
          <w:rStyle w:val="libFootnoteBoldChar"/>
          <w:rtl/>
        </w:rPr>
        <w:t>الوافي</w:t>
      </w:r>
      <w:r w:rsidR="00992664" w:rsidRPr="00020424">
        <w:rPr>
          <w:rtl/>
        </w:rPr>
        <w:t xml:space="preserve"> ، ج 11 ، ص 261 ، ح 10813 ؛ </w:t>
      </w:r>
      <w:r w:rsidR="00992664" w:rsidRPr="0012008A">
        <w:rPr>
          <w:rStyle w:val="libFootnoteBoldChar"/>
          <w:rtl/>
        </w:rPr>
        <w:t>الوسائل</w:t>
      </w:r>
      <w:r w:rsidR="00992664" w:rsidRPr="00020424">
        <w:rPr>
          <w:rtl/>
        </w:rPr>
        <w:t xml:space="preserve"> ، ج 10 ، ص 60 ، ذيل ح 12829 ؛ وص 62 ، ذيل ح 12833.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بح ، بر ، بس » وحاشية « جن » : « يومه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263 ، ح 10818 ؛ </w:t>
      </w:r>
      <w:r w:rsidR="00992664" w:rsidRPr="0012008A">
        <w:rPr>
          <w:rStyle w:val="libFootnoteBoldChar"/>
          <w:rtl/>
        </w:rPr>
        <w:t>الوسائل</w:t>
      </w:r>
      <w:r w:rsidR="00992664" w:rsidRPr="00020424">
        <w:rPr>
          <w:rtl/>
        </w:rPr>
        <w:t xml:space="preserve"> ، ج 10 ، ص 68 ، ح 12847 ، إلى قوله : « بينه وبين نصف النهار » ؛ </w:t>
      </w:r>
      <w:r w:rsidR="00992664" w:rsidRPr="00DE76B9">
        <w:rPr>
          <w:rStyle w:val="libFootnoteBoldChar"/>
          <w:rtl/>
        </w:rPr>
        <w:t>وفيه</w:t>
      </w:r>
      <w:r w:rsidR="00992664" w:rsidRPr="00020424">
        <w:rPr>
          <w:rtl/>
        </w:rPr>
        <w:t xml:space="preserve"> ، ص 103 ، ح 12964 ؛ </w:t>
      </w:r>
      <w:r w:rsidR="00992664" w:rsidRPr="0012008A">
        <w:rPr>
          <w:rStyle w:val="libFootnoteBoldChar"/>
          <w:rtl/>
        </w:rPr>
        <w:t>البحار</w:t>
      </w:r>
      <w:r w:rsidR="00992664" w:rsidRPr="00020424">
        <w:rPr>
          <w:rtl/>
        </w:rPr>
        <w:t xml:space="preserve"> ، ج 83 ، ص 131 ، ح 9 ، وفي الأخيرين من قوله : « وسألته عن الرجل يحتلم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p>
    <w:p w:rsidR="00992664" w:rsidRPr="00020424" w:rsidRDefault="00992664" w:rsidP="00992664">
      <w:pPr>
        <w:pStyle w:val="libFootnote0"/>
        <w:rPr>
          <w:rtl/>
          <w:lang w:bidi="fa-IR"/>
        </w:rPr>
      </w:pPr>
      <w:r w:rsidRPr="005D10DC">
        <w:rPr>
          <w:rtl/>
        </w:rPr>
        <w:t xml:space="preserve">ثمّ </w:t>
      </w:r>
      <w:r w:rsidRPr="007720DB">
        <w:rPr>
          <w:rtl/>
        </w:rPr>
        <w:t>إنّ</w:t>
      </w:r>
      <w:r w:rsidRPr="005D10DC">
        <w:rPr>
          <w:rtl/>
        </w:rPr>
        <w:t xml:space="preserve"> السند معلّق على سابقه. ويروي عن أحمد بن محمّد ، محمّد بن يحيى.</w:t>
      </w:r>
    </w:p>
    <w:tbl>
      <w:tblPr>
        <w:tblStyle w:val="TableGrid"/>
        <w:bidiVisual/>
        <w:tblW w:w="0" w:type="auto"/>
        <w:tblLook w:val="04A0" w:firstRow="1" w:lastRow="0" w:firstColumn="1" w:lastColumn="0" w:noHBand="0" w:noVBand="1"/>
      </w:tblPr>
      <w:tblGrid>
        <w:gridCol w:w="4006"/>
        <w:gridCol w:w="4006"/>
      </w:tblGrid>
      <w:tr w:rsidR="005D10DC" w:rsidTr="005D10DC">
        <w:tc>
          <w:tcPr>
            <w:tcW w:w="4006" w:type="dxa"/>
          </w:tcPr>
          <w:p w:rsidR="005D10DC" w:rsidRDefault="005D10DC" w:rsidP="00992664">
            <w:pPr>
              <w:pStyle w:val="libFootnote0"/>
              <w:rPr>
                <w:rtl/>
              </w:rPr>
            </w:pPr>
            <w:r>
              <w:rPr>
                <w:rtl/>
              </w:rPr>
              <w:t xml:space="preserve">(9). </w:t>
            </w:r>
            <w:r w:rsidRPr="00020424">
              <w:rPr>
                <w:rtl/>
              </w:rPr>
              <w:t>في « بخ » : « كتبت</w:t>
            </w:r>
            <w:r>
              <w:rPr>
                <w:rtl/>
              </w:rPr>
              <w:t xml:space="preserve"> ».</w:t>
            </w:r>
          </w:p>
        </w:tc>
        <w:tc>
          <w:tcPr>
            <w:tcW w:w="4006" w:type="dxa"/>
          </w:tcPr>
          <w:p w:rsidR="005D10DC" w:rsidRDefault="005D10DC" w:rsidP="00992664">
            <w:pPr>
              <w:pStyle w:val="libFootnote0"/>
              <w:rPr>
                <w:rtl/>
              </w:rPr>
            </w:pPr>
            <w:r>
              <w:rPr>
                <w:rtl/>
              </w:rPr>
              <w:t xml:space="preserve">(10). </w:t>
            </w:r>
            <w:r w:rsidRPr="00020424">
              <w:rPr>
                <w:rtl/>
              </w:rPr>
              <w:t>في « بث ، بخ ، بس » :</w:t>
            </w:r>
            <w:r>
              <w:rPr>
                <w:rtl/>
              </w:rPr>
              <w:t xml:space="preserve"> - </w:t>
            </w:r>
            <w:r w:rsidRPr="00020424">
              <w:rPr>
                <w:rtl/>
              </w:rPr>
              <w:t>« أبي</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5D10DC">
        <w:rPr>
          <w:rtl/>
        </w:rPr>
        <w:t>والوافي</w:t>
      </w:r>
      <w:r w:rsidR="00992664" w:rsidRPr="00020424">
        <w:rPr>
          <w:rtl/>
        </w:rPr>
        <w:t xml:space="preserve"> : « فقال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أَصْبَحْتُ بِالْغُسْلِ ، وَأَصَابَتْنِي جَنَابَةٌ ، فَلَمْ </w:t>
      </w:r>
      <w:r w:rsidRPr="00A91B96">
        <w:rPr>
          <w:rStyle w:val="libFootnotenumChar"/>
          <w:rtl/>
        </w:rPr>
        <w:t>(1)</w:t>
      </w:r>
      <w:r w:rsidRPr="00020424">
        <w:rPr>
          <w:rtl/>
          <w:lang w:bidi="fa-IR"/>
        </w:rPr>
        <w:t xml:space="preserve"> أَغْتَسِلْ حَتّى طَلَعَ الْفَجْرُ</w:t>
      </w:r>
      <w:r>
        <w:rPr>
          <w:rtl/>
          <w:lang w:bidi="fa-IR"/>
        </w:rPr>
        <w:t>؟</w:t>
      </w:r>
    </w:p>
    <w:p w:rsidR="00992664" w:rsidRPr="00020424" w:rsidRDefault="00992664" w:rsidP="00992664">
      <w:pPr>
        <w:pStyle w:val="libNormal"/>
        <w:rPr>
          <w:rtl/>
          <w:lang w:bidi="fa-IR"/>
        </w:rPr>
      </w:pPr>
      <w:r w:rsidRPr="00020424">
        <w:rPr>
          <w:rtl/>
          <w:lang w:bidi="fa-IR"/>
        </w:rPr>
        <w:t xml:space="preserve">فَأَجَابَهُ </w:t>
      </w:r>
      <w:r w:rsidRPr="00005A81">
        <w:rPr>
          <w:rStyle w:val="libAlaemChar"/>
          <w:rtl/>
        </w:rPr>
        <w:t>عليه‌السلام</w:t>
      </w:r>
      <w:r w:rsidRPr="00020424">
        <w:rPr>
          <w:rtl/>
          <w:lang w:bidi="fa-IR"/>
        </w:rPr>
        <w:t xml:space="preserve"> : « لَا تَصُمْ هذَا الْيَوْمَ ، وَصُمْ غَداً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E1144">
        <w:rPr>
          <w:rtl/>
        </w:rPr>
        <w:t>6398</w:t>
      </w:r>
      <w:r w:rsidRPr="001155DE">
        <w:rPr>
          <w:rStyle w:val="libBold2Char"/>
          <w:rtl/>
        </w:rPr>
        <w:t xml:space="preserve"> / 5.</w:t>
      </w:r>
      <w:r w:rsidRPr="00020424">
        <w:rPr>
          <w:rtl/>
          <w:lang w:bidi="fa-IR"/>
        </w:rPr>
        <w:t xml:space="preserve"> عِدَّةٌ مِنْ أَصْحَابِنَا ، عَنْ سَهْلِ بْنِ زِيَادٍ ، عَنِ الْحَسَنِ </w:t>
      </w:r>
      <w:r w:rsidRPr="00A91B96">
        <w:rPr>
          <w:rStyle w:val="libFootnotenumChar"/>
          <w:rtl/>
        </w:rPr>
        <w:t>(3)</w:t>
      </w:r>
      <w:r w:rsidRPr="00020424">
        <w:rPr>
          <w:rtl/>
          <w:lang w:bidi="fa-IR"/>
        </w:rPr>
        <w:t xml:space="preserve"> بْنِ مَحْبُوبٍ ، عَنْ عَلِيِّ </w:t>
      </w:r>
      <w:r w:rsidRPr="00A91B96">
        <w:rPr>
          <w:rStyle w:val="libFootnotenumChar"/>
          <w:rtl/>
        </w:rPr>
        <w:t>(4)</w:t>
      </w:r>
      <w:r w:rsidRPr="00020424">
        <w:rPr>
          <w:rtl/>
          <w:lang w:bidi="fa-IR"/>
        </w:rPr>
        <w:t xml:space="preserve"> بْنِ رِئَابٍ ، عَنْ إِبْرَاهِيمَ بْنِ مَيْمُونٍ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يُجْنِبُ بِاللَّيْلِ </w:t>
      </w:r>
      <w:r w:rsidRPr="00A91B96">
        <w:rPr>
          <w:rStyle w:val="libFootnotenumChar"/>
          <w:rtl/>
        </w:rPr>
        <w:t>(5)</w:t>
      </w:r>
      <w:r w:rsidRPr="00020424">
        <w:rPr>
          <w:rtl/>
          <w:lang w:bidi="fa-IR"/>
        </w:rPr>
        <w:t xml:space="preserve"> فِي شَهْرِ رَمَضَانَ ، فَنَسِيَ </w:t>
      </w:r>
      <w:r w:rsidRPr="00A91B96">
        <w:rPr>
          <w:rStyle w:val="libFootnotenumChar"/>
          <w:rtl/>
        </w:rPr>
        <w:t>(6)</w:t>
      </w:r>
      <w:r w:rsidRPr="00020424">
        <w:rPr>
          <w:rtl/>
          <w:lang w:bidi="fa-IR"/>
        </w:rPr>
        <w:t xml:space="preserve"> أَنْ يَغْتَسِلَ حَتّى يَمْضِيَ بِذلِكَ </w:t>
      </w:r>
      <w:r w:rsidRPr="00A91B96">
        <w:rPr>
          <w:rStyle w:val="libFootnotenumChar"/>
          <w:rtl/>
        </w:rPr>
        <w:t>(7)</w:t>
      </w:r>
      <w:r w:rsidRPr="00020424">
        <w:rPr>
          <w:rtl/>
          <w:lang w:bidi="fa-IR"/>
        </w:rPr>
        <w:t xml:space="preserve"> جُمْعَةٌ ، أَوْ يَخْرُجَ شَهْرُ رَمَضَانَ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قَالَ : « عَلَيْهِ قَضَاءُ الصَّلَاةِ وَالصَّوْمِ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Heading2Center"/>
        <w:rPr>
          <w:rtl/>
          <w:lang w:bidi="fa-IR"/>
        </w:rPr>
      </w:pPr>
      <w:bookmarkStart w:id="373" w:name="_Toc345172840"/>
      <w:bookmarkStart w:id="374" w:name="_Toc464562657"/>
      <w:bookmarkStart w:id="375" w:name="_Toc44599961"/>
      <w:r w:rsidRPr="00020424">
        <w:rPr>
          <w:rtl/>
          <w:lang w:bidi="fa-IR"/>
        </w:rPr>
        <w:t>25</w:t>
      </w:r>
      <w:r>
        <w:rPr>
          <w:rtl/>
          <w:lang w:bidi="fa-IR"/>
        </w:rPr>
        <w:t xml:space="preserve"> </w:t>
      </w:r>
      <w:r w:rsidR="009B673F">
        <w:rPr>
          <w:rtl/>
          <w:lang w:bidi="fa-IR"/>
        </w:rPr>
        <w:t>-</w:t>
      </w:r>
      <w:r>
        <w:rPr>
          <w:rtl/>
          <w:lang w:bidi="fa-IR"/>
        </w:rPr>
        <w:t xml:space="preserve"> </w:t>
      </w:r>
      <w:r w:rsidRPr="00020424">
        <w:rPr>
          <w:rtl/>
          <w:lang w:bidi="fa-IR"/>
        </w:rPr>
        <w:t>بَابُ كَرَاهِيَةِ الِارْتِمَاسِ فِي الْمَاءِ لِلصَّائِمِ‌</w:t>
      </w:r>
      <w:bookmarkEnd w:id="373"/>
      <w:bookmarkEnd w:id="374"/>
      <w:bookmarkEnd w:id="375"/>
    </w:p>
    <w:p w:rsidR="00992664" w:rsidRPr="00020424" w:rsidRDefault="00992664" w:rsidP="00992664">
      <w:pPr>
        <w:pStyle w:val="libNormal"/>
        <w:rPr>
          <w:rtl/>
          <w:lang w:bidi="fa-IR"/>
        </w:rPr>
      </w:pPr>
      <w:r w:rsidRPr="001155DE">
        <w:rPr>
          <w:rStyle w:val="libBold2Char"/>
          <w:rtl/>
        </w:rPr>
        <w:t>6399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الصَّائِمُ يَسْتَنْقِعُ فِي الْمَاءِ </w:t>
      </w:r>
      <w:r w:rsidRPr="00A91B96">
        <w:rPr>
          <w:rStyle w:val="libFootnotenumChar"/>
          <w:rtl/>
        </w:rPr>
        <w:t>(10)</w:t>
      </w:r>
      <w:r w:rsidRPr="00020424">
        <w:rPr>
          <w:rtl/>
          <w:lang w:bidi="fa-IR"/>
        </w:rPr>
        <w:t xml:space="preserve"> ،</w:t>
      </w:r>
      <w:r w:rsidR="00F30C41">
        <w:rPr>
          <w:rFonts w:hint="cs"/>
          <w:rtl/>
          <w:lang w:bidi="fa-IR"/>
        </w:rPr>
        <w:t xml:space="preserve"> .............</w:t>
      </w:r>
      <w:r w:rsidR="00F30C41">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بف » </w:t>
      </w:r>
      <w:r w:rsidR="00992664" w:rsidRPr="00F30C41">
        <w:rPr>
          <w:rtl/>
        </w:rPr>
        <w:t>والوافي</w:t>
      </w:r>
      <w:r w:rsidR="00992664" w:rsidRPr="00020424">
        <w:rPr>
          <w:rtl/>
        </w:rPr>
        <w:t xml:space="preserve"> : « ولم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119 ، ح 1899 ، معلّقاً عن عبدالله بن سنان ، مع اختلاف يسير </w:t>
      </w:r>
      <w:r w:rsidR="00F30C41">
        <w:rPr>
          <w:rFonts w:hint="cs"/>
          <w:rtl/>
        </w:rPr>
        <w:t>.</w:t>
      </w:r>
      <w:r w:rsidR="00992664" w:rsidRPr="0012008A">
        <w:rPr>
          <w:rStyle w:val="libFootnoteBoldChar"/>
          <w:rtl/>
        </w:rPr>
        <w:t>الوافي</w:t>
      </w:r>
      <w:r w:rsidR="00992664" w:rsidRPr="00020424">
        <w:rPr>
          <w:rtl/>
        </w:rPr>
        <w:t xml:space="preserve"> ، ج 11 ، ص 263 ، ح 10821 ؛ </w:t>
      </w:r>
      <w:r w:rsidR="00992664" w:rsidRPr="0012008A">
        <w:rPr>
          <w:rStyle w:val="libFootnoteBoldChar"/>
          <w:rtl/>
        </w:rPr>
        <w:t>الوسائل</w:t>
      </w:r>
      <w:r w:rsidR="00992664" w:rsidRPr="00020424">
        <w:rPr>
          <w:rtl/>
        </w:rPr>
        <w:t xml:space="preserve"> ، ج 10 ، ص 67 ، ح 12844.</w:t>
      </w:r>
    </w:p>
    <w:tbl>
      <w:tblPr>
        <w:tblStyle w:val="TableGrid"/>
        <w:bidiVisual/>
        <w:tblW w:w="0" w:type="auto"/>
        <w:tblLook w:val="04A0" w:firstRow="1" w:lastRow="0" w:firstColumn="1" w:lastColumn="0" w:noHBand="0" w:noVBand="1"/>
      </w:tblPr>
      <w:tblGrid>
        <w:gridCol w:w="4006"/>
        <w:gridCol w:w="4006"/>
      </w:tblGrid>
      <w:tr w:rsidR="00F30C41" w:rsidTr="00F30C41">
        <w:tc>
          <w:tcPr>
            <w:tcW w:w="4006" w:type="dxa"/>
          </w:tcPr>
          <w:p w:rsidR="00F30C41" w:rsidRDefault="00F30C41" w:rsidP="00992664">
            <w:pPr>
              <w:pStyle w:val="libFootnote0"/>
              <w:rPr>
                <w:rtl/>
              </w:rPr>
            </w:pPr>
            <w:r>
              <w:rPr>
                <w:rtl/>
              </w:rPr>
              <w:t xml:space="preserve">(3). </w:t>
            </w:r>
            <w:r w:rsidRPr="00020424">
              <w:rPr>
                <w:rtl/>
              </w:rPr>
              <w:t>في « بر ، بف ، جر » :</w:t>
            </w:r>
            <w:r>
              <w:rPr>
                <w:rtl/>
              </w:rPr>
              <w:t xml:space="preserve"> - </w:t>
            </w:r>
            <w:r w:rsidRPr="00020424">
              <w:rPr>
                <w:rtl/>
              </w:rPr>
              <w:t>« الحسن</w:t>
            </w:r>
            <w:r>
              <w:rPr>
                <w:rtl/>
              </w:rPr>
              <w:t xml:space="preserve"> ».</w:t>
            </w:r>
          </w:p>
        </w:tc>
        <w:tc>
          <w:tcPr>
            <w:tcW w:w="4006" w:type="dxa"/>
          </w:tcPr>
          <w:p w:rsidR="00F30C41" w:rsidRDefault="00F30C41" w:rsidP="00992664">
            <w:pPr>
              <w:pStyle w:val="libFootnote0"/>
              <w:rPr>
                <w:rtl/>
              </w:rPr>
            </w:pPr>
            <w:r>
              <w:rPr>
                <w:rtl/>
              </w:rPr>
              <w:t xml:space="preserve">(4). </w:t>
            </w:r>
            <w:r w:rsidRPr="00020424">
              <w:rPr>
                <w:rtl/>
              </w:rPr>
              <w:t>في « بر ، بف » :</w:t>
            </w:r>
            <w:r>
              <w:rPr>
                <w:rtl/>
              </w:rPr>
              <w:t xml:space="preserve"> - </w:t>
            </w:r>
            <w:r w:rsidRPr="00020424">
              <w:rPr>
                <w:rtl/>
              </w:rPr>
              <w:t>« عليّ</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حاشية « بف » : « بليل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بس » : « فينسى</w:t>
      </w:r>
      <w:r w:rsidR="00992664">
        <w:rPr>
          <w:rtl/>
        </w:rPr>
        <w:t xml:space="preserve"> ».</w:t>
      </w:r>
      <w:r w:rsidR="00992664" w:rsidRPr="00020424">
        <w:rPr>
          <w:rtl/>
        </w:rPr>
        <w:t xml:space="preserve"> وفي « بخ ، بر ، بف » </w:t>
      </w:r>
      <w:r w:rsidR="00992664" w:rsidRPr="00F30C41">
        <w:rPr>
          <w:rtl/>
        </w:rPr>
        <w:t>والوافي والفقيه</w:t>
      </w:r>
      <w:r w:rsidR="00992664" w:rsidRPr="00020424">
        <w:rPr>
          <w:rtl/>
        </w:rPr>
        <w:t xml:space="preserve"> ، ح 1895 : « ثمّ ينسى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30C41" w:rsidTr="00F30C41">
        <w:tc>
          <w:tcPr>
            <w:tcW w:w="4006" w:type="dxa"/>
          </w:tcPr>
          <w:p w:rsidR="00F30C41" w:rsidRDefault="00F30C41" w:rsidP="00992664">
            <w:pPr>
              <w:pStyle w:val="libFootnote0"/>
              <w:rPr>
                <w:rtl/>
              </w:rPr>
            </w:pPr>
            <w:r>
              <w:rPr>
                <w:rtl/>
              </w:rPr>
              <w:t xml:space="preserve">(7). </w:t>
            </w:r>
            <w:r w:rsidRPr="00020424">
              <w:rPr>
                <w:rtl/>
              </w:rPr>
              <w:t xml:space="preserve">في « بخ » </w:t>
            </w:r>
            <w:r w:rsidRPr="00FD6221">
              <w:rPr>
                <w:rStyle w:val="libFootnoteBoldChar"/>
                <w:rtl/>
              </w:rPr>
              <w:t>والفقيه</w:t>
            </w:r>
            <w:r w:rsidRPr="00020424">
              <w:rPr>
                <w:rtl/>
              </w:rPr>
              <w:t xml:space="preserve"> ، ح 1895 : « لذلك</w:t>
            </w:r>
            <w:r>
              <w:rPr>
                <w:rtl/>
              </w:rPr>
              <w:t xml:space="preserve"> ».</w:t>
            </w:r>
          </w:p>
        </w:tc>
        <w:tc>
          <w:tcPr>
            <w:tcW w:w="4006" w:type="dxa"/>
          </w:tcPr>
          <w:p w:rsidR="00F30C41" w:rsidRDefault="00F30C41" w:rsidP="00992664">
            <w:pPr>
              <w:pStyle w:val="libFootnote0"/>
              <w:rPr>
                <w:rtl/>
              </w:rPr>
            </w:pPr>
            <w:r>
              <w:rPr>
                <w:rtl/>
              </w:rPr>
              <w:t>(8). في «ى»</w:t>
            </w:r>
            <w:r w:rsidRPr="00020424">
              <w:rPr>
                <w:rtl/>
              </w:rPr>
              <w:t>:</w:t>
            </w:r>
            <w:r>
              <w:rPr>
                <w:rtl/>
              </w:rPr>
              <w:t>-«</w:t>
            </w:r>
            <w:r w:rsidRPr="00020424">
              <w:rPr>
                <w:rtl/>
              </w:rPr>
              <w:t>فنسي أن يغتسل</w:t>
            </w:r>
            <w:r>
              <w:rPr>
                <w:rtl/>
              </w:rPr>
              <w:t>-</w:t>
            </w:r>
            <w:r w:rsidRPr="00020424">
              <w:rPr>
                <w:rtl/>
              </w:rPr>
              <w:t>إلى</w:t>
            </w:r>
            <w:r>
              <w:rPr>
                <w:rtl/>
              </w:rPr>
              <w:t>-</w:t>
            </w:r>
            <w:r w:rsidRPr="00020424">
              <w:rPr>
                <w:rtl/>
              </w:rPr>
              <w:t>شهر رمضان</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118 ، ح 1895 ، معلّقاً عن عليّ بن رئاب. وفي </w:t>
      </w:r>
      <w:r w:rsidR="00992664" w:rsidRPr="0012008A">
        <w:rPr>
          <w:rStyle w:val="libFootnoteBoldChar"/>
          <w:rtl/>
        </w:rPr>
        <w:t>التهذيب</w:t>
      </w:r>
      <w:r w:rsidR="00992664" w:rsidRPr="00020424">
        <w:rPr>
          <w:rtl/>
        </w:rPr>
        <w:t xml:space="preserve"> ، ج 1 ، ص 150 ، ح 428 ؛ وج 4 ، ص 311 ، ح 938 ، بسند آخر ، مع اختلاف يسير. </w:t>
      </w:r>
      <w:r w:rsidR="00992664" w:rsidRPr="0012008A">
        <w:rPr>
          <w:rStyle w:val="libFootnoteBoldChar"/>
          <w:rtl/>
        </w:rPr>
        <w:t>الفقيه</w:t>
      </w:r>
      <w:r w:rsidR="00992664" w:rsidRPr="00020424">
        <w:rPr>
          <w:rtl/>
        </w:rPr>
        <w:t xml:space="preserve"> ، ج 2 ، ص 118 ، ح 1896 ، مرسلاً من دون الإسناد إلى المعصوم </w:t>
      </w:r>
      <w:r w:rsidR="00992664" w:rsidRPr="00D64ADA">
        <w:rPr>
          <w:rStyle w:val="libFootnoteAlaemChar"/>
          <w:rtl/>
        </w:rPr>
        <w:t>عليه‌السلام</w:t>
      </w:r>
      <w:r w:rsidR="00992664" w:rsidRPr="00020424">
        <w:rPr>
          <w:rtl/>
        </w:rPr>
        <w:t xml:space="preserve"> ، مع زيادة في آخره </w:t>
      </w:r>
      <w:r w:rsidR="00F30C41">
        <w:rPr>
          <w:rFonts w:hint="cs"/>
          <w:rtl/>
        </w:rPr>
        <w:t>.</w:t>
      </w:r>
      <w:r w:rsidR="00992664" w:rsidRPr="0012008A">
        <w:rPr>
          <w:rStyle w:val="libFootnoteBoldChar"/>
          <w:rtl/>
        </w:rPr>
        <w:t>الوافي</w:t>
      </w:r>
      <w:r w:rsidR="00992664" w:rsidRPr="00020424">
        <w:rPr>
          <w:rtl/>
        </w:rPr>
        <w:t xml:space="preserve"> ، ج 11 ، ص 263 ، ح 10814.</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بالماء</w:t>
      </w:r>
      <w:r w:rsidR="00992664">
        <w:rPr>
          <w:rtl/>
        </w:rPr>
        <w:t xml:space="preserve"> ».</w:t>
      </w:r>
      <w:r w:rsidR="00992664" w:rsidRPr="00020424">
        <w:rPr>
          <w:rtl/>
        </w:rPr>
        <w:t xml:space="preserve"> والاستنقاع في الماء : النزول فيه ؛ يقال : استنقع في الغدير ، أي نزل فيه واغتسل ، كأنّه</w:t>
      </w:r>
      <w:r w:rsidR="00F30C41">
        <w:rPr>
          <w:rFonts w:hint="cs"/>
          <w:rtl/>
        </w:rPr>
        <w:t xml:space="preserve"> </w:t>
      </w:r>
      <w:r w:rsidR="00F30C41">
        <w:rPr>
          <w:rtl/>
        </w:rPr>
        <w:t>‌ثبت فيه ؛ ليتبرّد. قال العل</w:t>
      </w:r>
      <w:r w:rsidR="00F30C41">
        <w:rPr>
          <w:rFonts w:hint="cs"/>
          <w:rtl/>
        </w:rPr>
        <w:t>ّ</w:t>
      </w:r>
      <w:r w:rsidR="00F30C41">
        <w:rPr>
          <w:rtl/>
        </w:rPr>
        <w:t>ا</w:t>
      </w:r>
      <w:r w:rsidR="00992664" w:rsidRPr="00020424">
        <w:rPr>
          <w:rtl/>
        </w:rPr>
        <w:t>مة المجلسي : « الاستنقاع</w:t>
      </w:r>
      <w:r w:rsidR="00992664">
        <w:rPr>
          <w:rtl/>
        </w:rPr>
        <w:t xml:space="preserve"> </w:t>
      </w:r>
      <w:r w:rsidR="009B673F">
        <w:rPr>
          <w:rtl/>
        </w:rPr>
        <w:t>-</w:t>
      </w:r>
      <w:r w:rsidR="00992664">
        <w:rPr>
          <w:rtl/>
        </w:rPr>
        <w:t xml:space="preserve"> </w:t>
      </w:r>
      <w:r w:rsidR="00992664" w:rsidRPr="00020424">
        <w:rPr>
          <w:rtl/>
        </w:rPr>
        <w:t>كما يظهر من كتب اللغة</w:t>
      </w:r>
      <w:r w:rsidR="00992664">
        <w:rPr>
          <w:rtl/>
        </w:rPr>
        <w:t xml:space="preserve"> </w:t>
      </w:r>
      <w:r w:rsidR="009B673F">
        <w:rPr>
          <w:rtl/>
        </w:rPr>
        <w:t>-</w:t>
      </w:r>
      <w:r w:rsidR="00992664">
        <w:rPr>
          <w:rtl/>
        </w:rPr>
        <w:t xml:space="preserve"> </w:t>
      </w:r>
      <w:r w:rsidR="00992664" w:rsidRPr="00020424">
        <w:rPr>
          <w:rtl/>
        </w:rPr>
        <w:t>: النزول في الماء واللبس فيه ، و</w:t>
      </w:r>
      <w:r w:rsidR="00992664">
        <w:rPr>
          <w:rFonts w:hint="cs"/>
          <w:rtl/>
        </w:rPr>
        <w:t xml:space="preserve"> </w:t>
      </w:r>
      <w:r w:rsidR="00F30C4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F30C41">
      <w:pPr>
        <w:pStyle w:val="libNormal0"/>
        <w:rPr>
          <w:rtl/>
          <w:lang w:bidi="fa-IR"/>
        </w:rPr>
      </w:pPr>
      <w:r w:rsidRPr="00020424">
        <w:rPr>
          <w:rtl/>
          <w:lang w:bidi="fa-IR"/>
        </w:rPr>
        <w:t xml:space="preserve">وَلَايَرْتَمِسُ </w:t>
      </w:r>
      <w:r w:rsidRPr="00A91B96">
        <w:rPr>
          <w:rStyle w:val="libFootnotenumChar"/>
          <w:rtl/>
        </w:rPr>
        <w:t>(1)</w:t>
      </w:r>
      <w:r w:rsidRPr="00020424">
        <w:rPr>
          <w:rtl/>
          <w:lang w:bidi="fa-IR"/>
        </w:rPr>
        <w:t xml:space="preserve"> رَأْسُهُ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E1144">
        <w:rPr>
          <w:rtl/>
        </w:rPr>
        <w:t>6400</w:t>
      </w:r>
      <w:r w:rsidRPr="001155DE">
        <w:rPr>
          <w:rStyle w:val="libBold2Char"/>
          <w:rtl/>
        </w:rPr>
        <w:t xml:space="preserve"> / 2.</w:t>
      </w:r>
      <w:r w:rsidRPr="00020424">
        <w:rPr>
          <w:rtl/>
          <w:lang w:bidi="fa-IR"/>
        </w:rPr>
        <w:t xml:space="preserve"> عَلِيُّ بْنُ إِبْرَاهِيمَ </w:t>
      </w:r>
      <w:r w:rsidRPr="00A91B96">
        <w:rPr>
          <w:rStyle w:val="libFootnotenumChar"/>
          <w:rtl/>
        </w:rPr>
        <w:t>(3)</w:t>
      </w:r>
      <w:r w:rsidRPr="00020424">
        <w:rPr>
          <w:rtl/>
          <w:lang w:bidi="fa-IR"/>
        </w:rPr>
        <w:t xml:space="preserve"> ، عَنْ أَبِيهِ ، عَنْ حَمَّادٍ ، عَنْ حَرِيزٍ :</w:t>
      </w:r>
    </w:p>
    <w:p w:rsidR="00992664" w:rsidRPr="00020424" w:rsidRDefault="00992664" w:rsidP="00992664">
      <w:pPr>
        <w:pStyle w:val="libNormal"/>
        <w:rPr>
          <w:rtl/>
          <w:lang w:bidi="fa-IR"/>
        </w:rPr>
      </w:pPr>
      <w:r w:rsidRPr="00020424">
        <w:rPr>
          <w:rtl/>
          <w:lang w:bidi="fa-IR"/>
        </w:rPr>
        <w:t>عَنْ أَبِي عَبْدِ اللهِ</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قَالَ : « لَا يَرْتَمِسُ </w:t>
      </w:r>
      <w:r w:rsidRPr="00A91B96">
        <w:rPr>
          <w:rStyle w:val="libFootnotenumChar"/>
          <w:rtl/>
        </w:rPr>
        <w:t>(4)</w:t>
      </w:r>
      <w:r w:rsidRPr="00020424">
        <w:rPr>
          <w:rtl/>
          <w:lang w:bidi="fa-IR"/>
        </w:rPr>
        <w:t xml:space="preserve"> الصَّائِمُ ، وَلَا</w:t>
      </w:r>
      <w:r>
        <w:rPr>
          <w:rFonts w:hint="cs"/>
          <w:rtl/>
          <w:lang w:bidi="fa-IR"/>
        </w:rPr>
        <w:t xml:space="preserve"> </w:t>
      </w:r>
      <w:r w:rsidRPr="00020424">
        <w:rPr>
          <w:rtl/>
          <w:lang w:bidi="fa-IR"/>
        </w:rPr>
        <w:t>الْمُحْرِمُ رَأْسُهُ فِي الْمَاءِ</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2E1144">
        <w:rPr>
          <w:rtl/>
        </w:rPr>
        <w:t>6401</w:t>
      </w:r>
      <w:r w:rsidRPr="001155DE">
        <w:rPr>
          <w:rStyle w:val="libBold2Char"/>
          <w:rtl/>
        </w:rPr>
        <w:t xml:space="preserve"> / 3.</w:t>
      </w:r>
      <w:r w:rsidRPr="00020424">
        <w:rPr>
          <w:rtl/>
          <w:lang w:bidi="fa-IR"/>
        </w:rPr>
        <w:t xml:space="preserve"> مُحَمَّدُ بْنُ يَحْيى ، عَنْ مُحَمَّدِ بْنِ الْحُسَيْنِ ، عَنْ عَلِيِّ بْنِ الْحَكَمِ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الصَّائِمُ يَسْتَنْقِعُ فِي الْمَاءِ ، وَيَصُبُّ عَلى رَأْسِهِ ، وَيَتَبَرَّدُ‌</w:t>
      </w:r>
    </w:p>
    <w:p w:rsidR="00992664" w:rsidRPr="00020424" w:rsidRDefault="00992664" w:rsidP="00992664">
      <w:pPr>
        <w:pStyle w:val="libLine"/>
        <w:rPr>
          <w:rtl/>
          <w:lang w:bidi="fa-IR"/>
        </w:rPr>
      </w:pPr>
      <w:r w:rsidRPr="00020424">
        <w:rPr>
          <w:rtl/>
          <w:lang w:bidi="fa-IR"/>
        </w:rPr>
        <w:t>__________________</w:t>
      </w:r>
    </w:p>
    <w:p w:rsidR="00992664" w:rsidRPr="00020424" w:rsidRDefault="00612975" w:rsidP="00992664">
      <w:pPr>
        <w:pStyle w:val="libFootnote0"/>
        <w:rPr>
          <w:rtl/>
          <w:lang w:bidi="fa-IR"/>
        </w:rPr>
      </w:pPr>
      <w:r>
        <w:rPr>
          <w:rFonts w:hint="cs"/>
          <w:rtl/>
        </w:rPr>
        <w:t xml:space="preserve">= </w:t>
      </w:r>
      <w:r w:rsidR="00992664" w:rsidRPr="00020424">
        <w:rPr>
          <w:rtl/>
        </w:rPr>
        <w:t>عبّر عنه أكثر الأصحاب بالجلوس فيه ، وهو أخصّ من المعنى اللغويّ. وعلى التقديرين هو مكروه للمرأة دون الرجال ، كما سيأتي</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1294 ؛ </w:t>
      </w:r>
      <w:r w:rsidR="00992664" w:rsidRPr="00A722B1">
        <w:rPr>
          <w:rStyle w:val="libFootnoteBoldChar"/>
          <w:rtl/>
        </w:rPr>
        <w:t>القاموس المحيط</w:t>
      </w:r>
      <w:r w:rsidR="00992664" w:rsidRPr="00020424">
        <w:rPr>
          <w:rtl/>
        </w:rPr>
        <w:t xml:space="preserve"> ، ج 2 ، ص 1028 ( نقع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612975">
        <w:rPr>
          <w:rtl/>
        </w:rPr>
        <w:t>والوافي والتهذيب والاستبصار</w:t>
      </w:r>
      <w:r w:rsidR="00992664" w:rsidRPr="00020424">
        <w:rPr>
          <w:rtl/>
        </w:rPr>
        <w:t xml:space="preserve"> : « ولا يرمس</w:t>
      </w:r>
      <w:r w:rsidR="00992664">
        <w:rPr>
          <w:rtl/>
        </w:rPr>
        <w:t xml:space="preserve"> ».</w:t>
      </w:r>
    </w:p>
    <w:p w:rsidR="00992664" w:rsidRPr="00020424" w:rsidRDefault="00992664" w:rsidP="00992664">
      <w:pPr>
        <w:pStyle w:val="libFootnote0"/>
        <w:rPr>
          <w:rtl/>
          <w:lang w:bidi="fa-IR"/>
        </w:rPr>
      </w:pPr>
      <w:r w:rsidRPr="00612975">
        <w:rPr>
          <w:rtl/>
        </w:rPr>
        <w:t xml:space="preserve">وفي </w:t>
      </w:r>
      <w:r w:rsidRPr="00DE76B9">
        <w:rPr>
          <w:rStyle w:val="libFootnoteBoldChar"/>
          <w:rtl/>
        </w:rPr>
        <w:t>مرآة العقول</w:t>
      </w:r>
      <w:r w:rsidRPr="00612975">
        <w:rPr>
          <w:rtl/>
        </w:rPr>
        <w:t xml:space="preserve"> ، ج 16 ، ص 281 : « قوله </w:t>
      </w:r>
      <w:r w:rsidRPr="00612975">
        <w:rPr>
          <w:rStyle w:val="libFootnoteAlaemChar"/>
          <w:rtl/>
        </w:rPr>
        <w:t>عليه‌السلام</w:t>
      </w:r>
      <w:r w:rsidRPr="00612975">
        <w:rPr>
          <w:rtl/>
        </w:rPr>
        <w:t xml:space="preserve"> : ولا يرتمس ، لعلّه كان الأولى : يرمس ، كما في غيره من الكتب ؛ لأنّ الارتماس لازم ، وهو الاغتماس والاختفاء تحت الماء. وقوله : رأسه ، إمّا مرفوع بالفاعليّة ، أو منصوب بنزع الخافض ، ويمكن أن يكون استعمل متعدّياً ولم ينقل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203 ، ح 587 ؛ </w:t>
      </w:r>
      <w:r w:rsidR="00992664" w:rsidRPr="00FD6221">
        <w:rPr>
          <w:rStyle w:val="libFootnoteBoldChar"/>
          <w:rtl/>
        </w:rPr>
        <w:t>والاستبصار</w:t>
      </w:r>
      <w:r w:rsidR="00992664" w:rsidRPr="00020424">
        <w:rPr>
          <w:rtl/>
        </w:rPr>
        <w:t xml:space="preserve"> ، ج 2 ، ص 84 ، ح 258 ، بسندهما عن محمّد بن أبي عمير ، عن حمّاد.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مع اختلاف يسير </w:t>
      </w:r>
      <w:r w:rsidR="00612975">
        <w:rPr>
          <w:rFonts w:hint="cs"/>
          <w:rtl/>
        </w:rPr>
        <w:t>.</w:t>
      </w:r>
      <w:r w:rsidR="00992664" w:rsidRPr="0012008A">
        <w:rPr>
          <w:rStyle w:val="libFootnoteBoldChar"/>
          <w:rtl/>
        </w:rPr>
        <w:t>الوافي</w:t>
      </w:r>
      <w:r w:rsidR="00992664" w:rsidRPr="00020424">
        <w:rPr>
          <w:rtl/>
        </w:rPr>
        <w:t xml:space="preserve"> ، ج 11 ، ص 169 ، ح 10610 ؛ </w:t>
      </w:r>
      <w:r w:rsidR="00992664" w:rsidRPr="0012008A">
        <w:rPr>
          <w:rStyle w:val="libFootnoteBoldChar"/>
          <w:rtl/>
        </w:rPr>
        <w:t>الوسائل</w:t>
      </w:r>
      <w:r w:rsidR="00992664" w:rsidRPr="00020424">
        <w:rPr>
          <w:rtl/>
        </w:rPr>
        <w:t xml:space="preserve"> ، ج 10 ، ص 37 ، ح 12772.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بف » </w:t>
      </w:r>
      <w:r w:rsidR="00992664" w:rsidRPr="00612975">
        <w:rPr>
          <w:rtl/>
        </w:rPr>
        <w:t>والوافي والتهذيب</w:t>
      </w:r>
      <w:r w:rsidR="00992664" w:rsidRPr="00020424">
        <w:rPr>
          <w:rtl/>
        </w:rPr>
        <w:t xml:space="preserve"> ، ص 203 </w:t>
      </w:r>
      <w:r w:rsidR="00992664" w:rsidRPr="00612975">
        <w:rPr>
          <w:rtl/>
        </w:rPr>
        <w:t>والاستبصار</w:t>
      </w:r>
      <w:r w:rsidR="00992664" w:rsidRPr="00020424">
        <w:rPr>
          <w:rtl/>
        </w:rPr>
        <w:t xml:space="preserve"> ، ح 259 : « لا يرمس</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DE76B9">
        <w:rPr>
          <w:rStyle w:val="libFootnoteBoldChar"/>
          <w:rtl/>
        </w:rPr>
        <w:t>الكافي</w:t>
      </w:r>
      <w:r w:rsidR="00992664" w:rsidRPr="00020424">
        <w:rPr>
          <w:rtl/>
        </w:rPr>
        <w:t xml:space="preserve"> ، كتاب الحجّ ، باب أنّ المحرم لايرتمس في الماء ، ح 7272 ، عن عليّ بن إبراهيم ، عن أبيه ، عن حمّاد بن عيسى ، عمّن أخبره ، عن أبي عبدالله </w:t>
      </w:r>
      <w:r w:rsidR="00992664" w:rsidRPr="00D64ADA">
        <w:rPr>
          <w:rStyle w:val="libFootnoteAlaemChar"/>
          <w:rtl/>
        </w:rPr>
        <w:t>عليه‌السلام</w:t>
      </w:r>
      <w:r w:rsidR="00992664" w:rsidRPr="00020424">
        <w:rPr>
          <w:rtl/>
        </w:rPr>
        <w:t xml:space="preserve"> ، وتمام الراواية فيه : « لايرتمس المحرم في الماء</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203 ، ح 588 ؛ </w:t>
      </w:r>
      <w:r w:rsidR="00992664" w:rsidRPr="00FD6221">
        <w:rPr>
          <w:rStyle w:val="libFootnoteBoldChar"/>
          <w:rtl/>
        </w:rPr>
        <w:t>والاستبصار</w:t>
      </w:r>
      <w:r w:rsidR="00992664" w:rsidRPr="00020424">
        <w:rPr>
          <w:rtl/>
        </w:rPr>
        <w:t xml:space="preserve"> ، ج 2 ، ص 84 ، ح 259 ، بسندهما عن حمّاد. </w:t>
      </w:r>
      <w:r w:rsidR="00992664" w:rsidRPr="0012008A">
        <w:rPr>
          <w:rStyle w:val="libFootnoteBoldChar"/>
          <w:rtl/>
        </w:rPr>
        <w:t>التهذيب</w:t>
      </w:r>
      <w:r w:rsidR="00992664" w:rsidRPr="00020424">
        <w:rPr>
          <w:rtl/>
        </w:rPr>
        <w:t xml:space="preserve"> ، ج 5 ، ص 312 ، ح 1071 ، بسنده عن حمّاد. </w:t>
      </w:r>
      <w:r w:rsidR="00992664" w:rsidRPr="0012008A">
        <w:rPr>
          <w:rStyle w:val="libFootnoteBoldChar"/>
          <w:rtl/>
        </w:rPr>
        <w:t>الفقيه</w:t>
      </w:r>
      <w:r w:rsidR="00992664" w:rsidRPr="00020424">
        <w:rPr>
          <w:rtl/>
        </w:rPr>
        <w:t xml:space="preserve"> ، ج 2 ، ص 354 ، ح 2678 ، معلّقاً عن حريز ، وفي الأخيرين مع زيادة في أوّله. </w:t>
      </w:r>
      <w:r w:rsidR="00992664" w:rsidRPr="00DE76B9">
        <w:rPr>
          <w:rStyle w:val="libFootnoteBoldChar"/>
          <w:rtl/>
        </w:rPr>
        <w:t>الكافي</w:t>
      </w:r>
      <w:r w:rsidR="00992664" w:rsidRPr="00020424">
        <w:rPr>
          <w:rtl/>
        </w:rPr>
        <w:t xml:space="preserve"> ، كتاب الحجّ ، باب أنّ المحرم لايرتمس في الماء ، ح 7273 بسند آخر ، وتمام الرواية في الثلاثة الأخيرة هكذا : « لايرتمس المحرم في الماء ولا الصائم</w:t>
      </w:r>
      <w:r w:rsidR="00992664">
        <w:rPr>
          <w:rtl/>
        </w:rPr>
        <w:t xml:space="preserve"> ».</w:t>
      </w:r>
      <w:r w:rsidR="00992664" w:rsidRPr="00020424">
        <w:rPr>
          <w:rtl/>
        </w:rPr>
        <w:t xml:space="preserve"> راجع : </w:t>
      </w:r>
      <w:r w:rsidR="00992664" w:rsidRPr="0012008A">
        <w:rPr>
          <w:rStyle w:val="libFootnoteBoldChar"/>
          <w:rtl/>
        </w:rPr>
        <w:t>التهذيب</w:t>
      </w:r>
      <w:r w:rsidR="00992664" w:rsidRPr="00020424">
        <w:rPr>
          <w:rtl/>
        </w:rPr>
        <w:t xml:space="preserve"> ، ج 4 ، ص 202 ، ح 584 ؛ </w:t>
      </w:r>
      <w:r w:rsidR="00992664" w:rsidRPr="00FD6221">
        <w:rPr>
          <w:rStyle w:val="libFootnoteBoldChar"/>
          <w:rtl/>
        </w:rPr>
        <w:t>والاستبصار</w:t>
      </w:r>
      <w:r w:rsidR="00992664" w:rsidRPr="00020424">
        <w:rPr>
          <w:rtl/>
        </w:rPr>
        <w:t xml:space="preserve"> ، ج 2 ، ص 84 ، ح 261 </w:t>
      </w:r>
      <w:r w:rsidR="00612975">
        <w:rPr>
          <w:rFonts w:hint="cs"/>
          <w:rtl/>
        </w:rPr>
        <w:t>.</w:t>
      </w:r>
      <w:r w:rsidR="00992664" w:rsidRPr="0012008A">
        <w:rPr>
          <w:rStyle w:val="libFootnoteBoldChar"/>
          <w:rtl/>
        </w:rPr>
        <w:t>الوافي</w:t>
      </w:r>
      <w:r w:rsidR="00992664" w:rsidRPr="00020424">
        <w:rPr>
          <w:rtl/>
        </w:rPr>
        <w:t xml:space="preserve"> ، ج 11 ، ص 169 ، ح 10611 ؛ </w:t>
      </w:r>
      <w:r w:rsidR="00992664" w:rsidRPr="0012008A">
        <w:rPr>
          <w:rStyle w:val="libFootnoteBoldChar"/>
          <w:rtl/>
        </w:rPr>
        <w:t>الوسائل</w:t>
      </w:r>
      <w:r w:rsidR="00992664" w:rsidRPr="00020424">
        <w:rPr>
          <w:rtl/>
        </w:rPr>
        <w:t xml:space="preserve"> ، ج 10 ، ص 38 ، ذيل ح 12773.</w:t>
      </w:r>
    </w:p>
    <w:p w:rsidR="00795177" w:rsidRDefault="00795177" w:rsidP="00795177">
      <w:pPr>
        <w:pStyle w:val="libNormal"/>
        <w:rPr>
          <w:rtl/>
          <w:lang w:bidi="fa-IR"/>
        </w:rPr>
      </w:pPr>
      <w:r>
        <w:rPr>
          <w:rtl/>
          <w:lang w:bidi="fa-IR"/>
        </w:rPr>
        <w:br w:type="page"/>
      </w:r>
    </w:p>
    <w:p w:rsidR="00992664" w:rsidRPr="00020424" w:rsidRDefault="00992664" w:rsidP="00612975">
      <w:pPr>
        <w:pStyle w:val="libNormal0"/>
        <w:rPr>
          <w:rtl/>
          <w:lang w:bidi="fa-IR"/>
        </w:rPr>
      </w:pPr>
      <w:r w:rsidRPr="00020424">
        <w:rPr>
          <w:rtl/>
          <w:lang w:bidi="fa-IR"/>
        </w:rPr>
        <w:t xml:space="preserve">بِالثَّوْبِ </w:t>
      </w:r>
      <w:r w:rsidRPr="00A91B96">
        <w:rPr>
          <w:rStyle w:val="libFootnotenumChar"/>
          <w:rtl/>
        </w:rPr>
        <w:t>(1)</w:t>
      </w:r>
      <w:r w:rsidRPr="00020424">
        <w:rPr>
          <w:rtl/>
          <w:lang w:bidi="fa-IR"/>
        </w:rPr>
        <w:t xml:space="preserve"> ، وَيَنْضَحُ </w:t>
      </w:r>
      <w:r w:rsidRPr="00A91B96">
        <w:rPr>
          <w:rStyle w:val="libFootnotenumChar"/>
          <w:rtl/>
        </w:rPr>
        <w:t>(2)</w:t>
      </w:r>
      <w:r w:rsidRPr="00020424">
        <w:rPr>
          <w:rtl/>
          <w:lang w:bidi="fa-IR"/>
        </w:rPr>
        <w:t xml:space="preserve"> بِالْمِرْوَحَةِ </w:t>
      </w:r>
      <w:r w:rsidRPr="00A91B96">
        <w:rPr>
          <w:rStyle w:val="libFootnotenumChar"/>
          <w:rtl/>
        </w:rPr>
        <w:t>(3)</w:t>
      </w:r>
      <w:r w:rsidRPr="00020424">
        <w:rPr>
          <w:rtl/>
          <w:lang w:bidi="fa-IR"/>
        </w:rPr>
        <w:t xml:space="preserve"> ، وَيَنْضَحُ الْبُورِيَاءَ </w:t>
      </w:r>
      <w:r w:rsidRPr="00A91B96">
        <w:rPr>
          <w:rStyle w:val="libFootnotenumChar"/>
          <w:rtl/>
        </w:rPr>
        <w:t>(4)</w:t>
      </w:r>
      <w:r w:rsidRPr="00020424">
        <w:rPr>
          <w:rtl/>
          <w:lang w:bidi="fa-IR"/>
        </w:rPr>
        <w:t xml:space="preserve"> تَحْتَهُ </w:t>
      </w:r>
      <w:r w:rsidRPr="00A91B96">
        <w:rPr>
          <w:rStyle w:val="libFootnotenumChar"/>
          <w:rtl/>
        </w:rPr>
        <w:t>(5)</w:t>
      </w:r>
      <w:r w:rsidRPr="00020424">
        <w:rPr>
          <w:rtl/>
          <w:lang w:bidi="fa-IR"/>
        </w:rPr>
        <w:t xml:space="preserve"> ، وَلَايَغْمِسُ رَأْسَهُ فِي الْمَاءِ</w:t>
      </w:r>
      <w:r>
        <w:rPr>
          <w:rtl/>
          <w:lang w:bidi="fa-IR"/>
        </w:rPr>
        <w:t>».</w:t>
      </w:r>
      <w:r w:rsidRPr="00A91B96">
        <w:rPr>
          <w:rStyle w:val="libFootnotenumChar"/>
          <w:rtl/>
        </w:rPr>
        <w:t>(6)</w:t>
      </w:r>
    </w:p>
    <w:p w:rsidR="00992664" w:rsidRPr="00020424" w:rsidRDefault="00992664" w:rsidP="00992664">
      <w:pPr>
        <w:pStyle w:val="libNormal"/>
        <w:rPr>
          <w:rtl/>
          <w:lang w:bidi="fa-IR"/>
        </w:rPr>
      </w:pPr>
      <w:r w:rsidRPr="002E1144">
        <w:rPr>
          <w:rtl/>
        </w:rPr>
        <w:t>6402</w:t>
      </w:r>
      <w:r w:rsidRPr="001155DE">
        <w:rPr>
          <w:rStyle w:val="libBold2Char"/>
          <w:rtl/>
        </w:rPr>
        <w:t xml:space="preserve"> / 4.</w:t>
      </w:r>
      <w:r w:rsidRPr="00020424">
        <w:rPr>
          <w:rtl/>
          <w:lang w:bidi="fa-IR"/>
        </w:rPr>
        <w:t xml:space="preserve"> مُحَمَّدُ بْنُ يَحْيى </w:t>
      </w:r>
      <w:r w:rsidRPr="00A91B96">
        <w:rPr>
          <w:rStyle w:val="libFootnotenumChar"/>
          <w:rtl/>
        </w:rPr>
        <w:t>(7)</w:t>
      </w:r>
      <w:r w:rsidRPr="00020424">
        <w:rPr>
          <w:rtl/>
          <w:lang w:bidi="fa-IR"/>
        </w:rPr>
        <w:t xml:space="preserve"> ، عَنْ مُحَمَّدِ بْنِ الْحُسَيْنِ ، عَنْ مُوسَى بْنِ سَعْدَانَ ، عَنْ عَبْدِ اللهِ بْنِ الْقَاسِمِ </w:t>
      </w:r>
      <w:r w:rsidRPr="00A91B96">
        <w:rPr>
          <w:rStyle w:val="libFootnotenumChar"/>
          <w:rtl/>
        </w:rPr>
        <w:t>(8)</w:t>
      </w:r>
      <w:r w:rsidRPr="00020424">
        <w:rPr>
          <w:rtl/>
          <w:lang w:bidi="fa-IR"/>
        </w:rPr>
        <w:t xml:space="preserve"> ، عَنْ عَبْدِ اللهِ بْنِ سِنَانٍ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لَا تُلْزِقْ </w:t>
      </w:r>
      <w:r w:rsidRPr="00A91B96">
        <w:rPr>
          <w:rStyle w:val="libFootnotenumChar"/>
          <w:rtl/>
        </w:rPr>
        <w:t>(9)</w:t>
      </w:r>
      <w:r w:rsidRPr="00020424">
        <w:rPr>
          <w:rtl/>
          <w:lang w:bidi="fa-IR"/>
        </w:rPr>
        <w:t xml:space="preserve"> ثَوْبَكَ إِلى جَسَدِكَ وَهُوَ رَطْبٌ وَأَنْتَ‌</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 ويتبرّد بالثوب ، يدلّ على الجواز ، ولا ينافي الكراهة المشهورة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بف » :</w:t>
      </w:r>
      <w:r w:rsidR="00992664">
        <w:rPr>
          <w:rtl/>
        </w:rPr>
        <w:t xml:space="preserve"> </w:t>
      </w:r>
      <w:r w:rsidR="009B673F">
        <w:rPr>
          <w:rtl/>
        </w:rPr>
        <w:t>-</w:t>
      </w:r>
      <w:r w:rsidR="00992664">
        <w:rPr>
          <w:rtl/>
        </w:rPr>
        <w:t xml:space="preserve"> </w:t>
      </w:r>
      <w:r w:rsidR="00992664" w:rsidRPr="00020424">
        <w:rPr>
          <w:rtl/>
        </w:rPr>
        <w:t>« بالثوب وينضح</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بالثوب وينضح بالمروحة</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وينضح بالمروحة</w:t>
      </w:r>
      <w:r w:rsidR="00992664">
        <w:rPr>
          <w:rtl/>
        </w:rPr>
        <w:t xml:space="preserve"> ».</w:t>
      </w:r>
      <w:r w:rsidR="00992664" w:rsidRPr="00020424">
        <w:rPr>
          <w:rtl/>
        </w:rPr>
        <w:t xml:space="preserve"> </w:t>
      </w:r>
      <w:r w:rsidR="00992664">
        <w:rPr>
          <w:rtl/>
        </w:rPr>
        <w:t>و «</w:t>
      </w:r>
      <w:r w:rsidR="00992664" w:rsidRPr="00020424">
        <w:rPr>
          <w:rtl/>
        </w:rPr>
        <w:t xml:space="preserve"> المِرْوَحة » : ما يتروّح بها ، وهي آلة تحرّك بها الريح عند اشتداد الحرّ. راجع : </w:t>
      </w:r>
      <w:r w:rsidR="00992664" w:rsidRPr="0012008A">
        <w:rPr>
          <w:rStyle w:val="libFootnoteBoldChar"/>
          <w:rtl/>
        </w:rPr>
        <w:t>الصحاح</w:t>
      </w:r>
      <w:r w:rsidR="00992664" w:rsidRPr="00020424">
        <w:rPr>
          <w:rtl/>
        </w:rPr>
        <w:t xml:space="preserve"> ، ج 1 ، ص 369 ؛ </w:t>
      </w:r>
      <w:r w:rsidR="00992664" w:rsidRPr="0012008A">
        <w:rPr>
          <w:rStyle w:val="libFootnoteBoldChar"/>
          <w:rtl/>
        </w:rPr>
        <w:t>النهاية</w:t>
      </w:r>
      <w:r w:rsidR="00612975">
        <w:rPr>
          <w:rtl/>
        </w:rPr>
        <w:t xml:space="preserve"> ، ج 2 ، ص 273 (</w:t>
      </w:r>
      <w:r w:rsidR="00992664" w:rsidRPr="00020424">
        <w:rPr>
          <w:rtl/>
        </w:rPr>
        <w:t>روح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البُورياء » والبارياء : هي الحصير المعمول من القصب ، ويقال فيها : باريّة وبُوريّ ، وعن الأصمعي : البورياء بالفارسيّة ، وهو بالعربيّة : باريّ وبوريّ. راجع : </w:t>
      </w:r>
      <w:r w:rsidR="00992664" w:rsidRPr="0012008A">
        <w:rPr>
          <w:rStyle w:val="libFootnoteBoldChar"/>
          <w:rtl/>
        </w:rPr>
        <w:t>الصحاح</w:t>
      </w:r>
      <w:r w:rsidR="00992664" w:rsidRPr="00020424">
        <w:rPr>
          <w:rtl/>
        </w:rPr>
        <w:t xml:space="preserve"> ، ج 2 ، ص 598 ؛ </w:t>
      </w:r>
      <w:r w:rsidR="00992664" w:rsidRPr="0012008A">
        <w:rPr>
          <w:rStyle w:val="libFootnoteBoldChar"/>
          <w:rtl/>
        </w:rPr>
        <w:t>النهاية</w:t>
      </w:r>
      <w:r w:rsidR="00992664" w:rsidRPr="00020424">
        <w:rPr>
          <w:rtl/>
        </w:rPr>
        <w:t xml:space="preserve"> ، ج 1 ، ص 162 ( بور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ص 204 :</w:t>
      </w:r>
      <w:r w:rsidR="00992664">
        <w:rPr>
          <w:rtl/>
        </w:rPr>
        <w:t xml:space="preserve"> </w:t>
      </w:r>
      <w:r w:rsidR="009B673F">
        <w:rPr>
          <w:rtl/>
        </w:rPr>
        <w:t>-</w:t>
      </w:r>
      <w:r w:rsidR="00992664">
        <w:rPr>
          <w:rtl/>
        </w:rPr>
        <w:t xml:space="preserve"> </w:t>
      </w:r>
      <w:r w:rsidR="00992664" w:rsidRPr="00020424">
        <w:rPr>
          <w:rtl/>
        </w:rPr>
        <w:t>« تحته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ج 4 ، ص 204 ، ح 591 ؛ </w:t>
      </w:r>
      <w:r w:rsidR="00992664" w:rsidRPr="00FD6221">
        <w:rPr>
          <w:rStyle w:val="libFootnoteBoldChar"/>
          <w:rtl/>
        </w:rPr>
        <w:t>والاستبصار</w:t>
      </w:r>
      <w:r w:rsidR="00992664" w:rsidRPr="00020424">
        <w:rPr>
          <w:rtl/>
        </w:rPr>
        <w:t xml:space="preserve"> ، ج 2 ، ص 84 ، ح 260 ، معلّقاً عن الكليني. وفي </w:t>
      </w:r>
      <w:r w:rsidR="00992664" w:rsidRPr="0012008A">
        <w:rPr>
          <w:rStyle w:val="libFootnoteBoldChar"/>
          <w:rtl/>
        </w:rPr>
        <w:t>التهذيب</w:t>
      </w:r>
      <w:r w:rsidR="00992664" w:rsidRPr="00020424">
        <w:rPr>
          <w:rtl/>
        </w:rPr>
        <w:t xml:space="preserve"> ، ج 4 ، ص 262 ، ح 785 ؛ </w:t>
      </w:r>
      <w:r w:rsidR="00992664" w:rsidRPr="00FD6221">
        <w:rPr>
          <w:rStyle w:val="libFootnoteBoldChar"/>
          <w:rtl/>
        </w:rPr>
        <w:t>والاستبصار</w:t>
      </w:r>
      <w:r w:rsidR="00992664" w:rsidRPr="00020424">
        <w:rPr>
          <w:rtl/>
        </w:rPr>
        <w:t xml:space="preserve"> ، ج 2 ، ص 91 ، ح 294 ، بسندهم</w:t>
      </w:r>
      <w:r w:rsidR="00315D68">
        <w:rPr>
          <w:rtl/>
        </w:rPr>
        <w:t>ا عن علاء القل</w:t>
      </w:r>
      <w:r w:rsidR="00315D68">
        <w:rPr>
          <w:rFonts w:hint="cs"/>
          <w:rtl/>
        </w:rPr>
        <w:t>ّ</w:t>
      </w:r>
      <w:r w:rsidR="00315D68">
        <w:rPr>
          <w:rtl/>
        </w:rPr>
        <w:t>ا</w:t>
      </w:r>
      <w:r w:rsidR="00992664" w:rsidRPr="00020424">
        <w:rPr>
          <w:rtl/>
        </w:rPr>
        <w:t xml:space="preserve">ء ، عن محمّد بن مسلم ، عن أبي عبدالله </w:t>
      </w:r>
      <w:r w:rsidR="00992664" w:rsidRPr="00D64ADA">
        <w:rPr>
          <w:rStyle w:val="libFootnoteAlaemChar"/>
          <w:rtl/>
        </w:rPr>
        <w:t>عليه‌السلام</w:t>
      </w:r>
      <w:r w:rsidR="00992664" w:rsidRPr="00020424">
        <w:rPr>
          <w:rtl/>
        </w:rPr>
        <w:t xml:space="preserve"> ، مع زيادة في أوّله </w:t>
      </w:r>
      <w:r w:rsidR="00315D68">
        <w:rPr>
          <w:rFonts w:hint="cs"/>
          <w:rtl/>
        </w:rPr>
        <w:t>.</w:t>
      </w:r>
      <w:r w:rsidR="00992664" w:rsidRPr="0012008A">
        <w:rPr>
          <w:rStyle w:val="libFootnoteBoldChar"/>
          <w:rtl/>
        </w:rPr>
        <w:t>الوافي</w:t>
      </w:r>
      <w:r w:rsidR="00992664" w:rsidRPr="00020424">
        <w:rPr>
          <w:rtl/>
        </w:rPr>
        <w:t xml:space="preserve"> ، ج 11 ، ص 170 ، ح 10615 ؛ </w:t>
      </w:r>
      <w:r w:rsidR="00992664" w:rsidRPr="0012008A">
        <w:rPr>
          <w:rStyle w:val="libFootnoteBoldChar"/>
          <w:rtl/>
        </w:rPr>
        <w:t>الوسائل</w:t>
      </w:r>
      <w:r w:rsidR="00992664" w:rsidRPr="00020424">
        <w:rPr>
          <w:rtl/>
        </w:rPr>
        <w:t xml:space="preserve"> ، ج 10 ، ص 36 ، ح 12767.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بخ ، بر ، جر » وحاشية « بث » </w:t>
      </w:r>
      <w:r w:rsidR="00992664" w:rsidRPr="00515444">
        <w:rPr>
          <w:rStyle w:val="libFootnoteBoldChar"/>
          <w:rtl/>
        </w:rPr>
        <w:t>والوافي</w:t>
      </w:r>
      <w:r w:rsidR="00992664" w:rsidRPr="00020424">
        <w:rPr>
          <w:rtl/>
        </w:rPr>
        <w:t xml:space="preserve">. وفي « ظ ، ى ، بث ، بح ، بس ، جن » والمطبوع </w:t>
      </w:r>
      <w:r w:rsidR="00992664" w:rsidRPr="00315D68">
        <w:rPr>
          <w:rtl/>
        </w:rPr>
        <w:t>والوسائل</w:t>
      </w:r>
      <w:r w:rsidR="00992664" w:rsidRPr="00020424">
        <w:rPr>
          <w:rtl/>
        </w:rPr>
        <w:t xml:space="preserve"> : « عبد الله بن الهيثم</w:t>
      </w:r>
      <w:r w:rsidR="00992664">
        <w:rPr>
          <w:rtl/>
        </w:rPr>
        <w:t xml:space="preserve"> ».</w:t>
      </w:r>
    </w:p>
    <w:p w:rsidR="00992664" w:rsidRPr="00020424" w:rsidRDefault="00992664" w:rsidP="00315D68">
      <w:pPr>
        <w:pStyle w:val="libFootnote0"/>
        <w:rPr>
          <w:rtl/>
          <w:lang w:bidi="fa-IR"/>
        </w:rPr>
      </w:pPr>
      <w:r w:rsidRPr="00315D68">
        <w:rPr>
          <w:rtl/>
        </w:rPr>
        <w:t xml:space="preserve">والصواب ما أثبتناه ؛ فقد روى موسى بن سعدان عن عبد الله بن سنان في عددٍ من الأسناد وقد توسّط عبدالله بن القاسم في بعضها بينه وبين عبد الله بن سنان. راجع : </w:t>
      </w:r>
      <w:r w:rsidRPr="00DE76B9">
        <w:rPr>
          <w:rStyle w:val="libFootnoteBoldChar"/>
          <w:rtl/>
        </w:rPr>
        <w:t>معجم رجال الحديث</w:t>
      </w:r>
      <w:r w:rsidRPr="00315D68">
        <w:rPr>
          <w:rtl/>
        </w:rPr>
        <w:t xml:space="preserve"> ، ج 10 ، ص 490 </w:t>
      </w:r>
      <w:r w:rsidR="009B673F" w:rsidRPr="00315D68">
        <w:rPr>
          <w:rtl/>
        </w:rPr>
        <w:t>-</w:t>
      </w:r>
      <w:r w:rsidRPr="00315D68">
        <w:rPr>
          <w:rtl/>
        </w:rPr>
        <w:t xml:space="preserve"> 491 ؛ وج 19 ، ص 353.</w:t>
      </w:r>
    </w:p>
    <w:p w:rsidR="00992664" w:rsidRPr="00020424" w:rsidRDefault="00992664" w:rsidP="00315D68">
      <w:pPr>
        <w:pStyle w:val="libFootnote0"/>
        <w:rPr>
          <w:rtl/>
          <w:lang w:bidi="fa-IR"/>
        </w:rPr>
      </w:pPr>
      <w:r w:rsidRPr="00D82B22">
        <w:rPr>
          <w:rtl/>
        </w:rPr>
        <w:t>ويويِّد ذلك أنّا لم نجد رواية موسى بن سعدان ، عن عبدالله بن الهيثم ولارواية عبدالله بن الهيثم ، عن عبدالله بن سنان</w:t>
      </w:r>
      <w:r>
        <w:rPr>
          <w:rtl/>
        </w:rPr>
        <w:t xml:space="preserve"> </w:t>
      </w:r>
      <w:r w:rsidR="009B673F">
        <w:rPr>
          <w:rtl/>
        </w:rPr>
        <w:t>-</w:t>
      </w:r>
      <w:r>
        <w:rPr>
          <w:rtl/>
        </w:rPr>
        <w:t xml:space="preserve"> </w:t>
      </w:r>
      <w:r w:rsidRPr="00D82B22">
        <w:rPr>
          <w:rtl/>
        </w:rPr>
        <w:t>سواء أكان قد توسّط بينهما أم لا</w:t>
      </w:r>
      <w:r>
        <w:rPr>
          <w:rtl/>
        </w:rPr>
        <w:t xml:space="preserve"> </w:t>
      </w:r>
      <w:r w:rsidR="009B673F">
        <w:rPr>
          <w:rtl/>
        </w:rPr>
        <w:t>-</w:t>
      </w:r>
      <w:r>
        <w:rPr>
          <w:rtl/>
        </w:rPr>
        <w:t xml:space="preserve"> </w:t>
      </w:r>
      <w:r w:rsidRPr="00D82B22">
        <w:rPr>
          <w:rtl/>
        </w:rPr>
        <w:t>في موضع.</w:t>
      </w:r>
    </w:p>
    <w:p w:rsidR="00992664" w:rsidRPr="00020424" w:rsidRDefault="00992664" w:rsidP="00315D68">
      <w:pPr>
        <w:pStyle w:val="libFootnote0"/>
        <w:rPr>
          <w:rtl/>
          <w:lang w:bidi="fa-IR"/>
        </w:rPr>
      </w:pPr>
      <w:r w:rsidRPr="00D82B22">
        <w:rPr>
          <w:rtl/>
        </w:rPr>
        <w:t>هذا ، وحذف « الألف » من « القاسم » ، وكتابته هكذا : « القسم »</w:t>
      </w:r>
      <w:r>
        <w:rPr>
          <w:rtl/>
        </w:rPr>
        <w:t xml:space="preserve"> </w:t>
      </w:r>
      <w:r w:rsidR="009B673F">
        <w:rPr>
          <w:rtl/>
        </w:rPr>
        <w:t>-</w:t>
      </w:r>
      <w:r>
        <w:rPr>
          <w:rtl/>
        </w:rPr>
        <w:t xml:space="preserve"> </w:t>
      </w:r>
      <w:r w:rsidRPr="00D82B22">
        <w:rPr>
          <w:rtl/>
        </w:rPr>
        <w:t>كما في « جر »</w:t>
      </w:r>
      <w:r>
        <w:rPr>
          <w:rtl/>
        </w:rPr>
        <w:t xml:space="preserve"> </w:t>
      </w:r>
      <w:r w:rsidR="009B673F">
        <w:rPr>
          <w:rtl/>
        </w:rPr>
        <w:t>-</w:t>
      </w:r>
      <w:r>
        <w:rPr>
          <w:rtl/>
        </w:rPr>
        <w:t xml:space="preserve"> </w:t>
      </w:r>
      <w:r w:rsidRPr="00D82B22">
        <w:rPr>
          <w:rtl/>
        </w:rPr>
        <w:t>يجعل الكلمة في معرض التصحيف ، كما لا يخفى.</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تلزق ، يدلّ على المنع من بلّ الثوب على الجسد ، وحمل على الكراهة ، ولم</w:t>
      </w:r>
      <w:r w:rsidR="00315D68">
        <w:rPr>
          <w:rFonts w:hint="cs"/>
          <w:rtl/>
        </w:rPr>
        <w:t xml:space="preserve"> </w:t>
      </w:r>
      <w:r w:rsidR="00992664" w:rsidRPr="00020424">
        <w:rPr>
          <w:rtl/>
        </w:rPr>
        <w:t>‌يذهب إلى التحريم أحد ؛ لضعف المستند ووجود المعارض ، كما مرّ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15D68">
      <w:pPr>
        <w:pStyle w:val="libNormal0"/>
        <w:rPr>
          <w:rtl/>
          <w:lang w:bidi="fa-IR"/>
        </w:rPr>
      </w:pPr>
      <w:r w:rsidRPr="00020424">
        <w:rPr>
          <w:rtl/>
          <w:lang w:bidi="fa-IR"/>
        </w:rPr>
        <w:t xml:space="preserve">صَائِمٌ حَتّى تَعْصِرَهُ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750884">
        <w:rPr>
          <w:rtl/>
        </w:rPr>
        <w:t>6403</w:t>
      </w:r>
      <w:r w:rsidRPr="001155DE">
        <w:rPr>
          <w:rStyle w:val="libBold2Char"/>
          <w:rtl/>
        </w:rPr>
        <w:t xml:space="preserve"> / 5.</w:t>
      </w:r>
      <w:r w:rsidRPr="00020424">
        <w:rPr>
          <w:rtl/>
          <w:lang w:bidi="fa-IR"/>
        </w:rPr>
        <w:t xml:space="preserve"> مُحَمَّدُ بْنُ يَحْيى وَغَيْرُهُ ، عَنْ مُحَمَّدِ بْنِ أَحْمَدَ ، عَنِ السَّيَّارِيِّ ، عَنْ مُحَمَّدِ بْنِ عَلِيٍّ الْهَمْدَانِيِّ </w:t>
      </w:r>
      <w:r w:rsidRPr="00A91B96">
        <w:rPr>
          <w:rStyle w:val="libFootnotenumChar"/>
          <w:rtl/>
        </w:rPr>
        <w:t>(3)</w:t>
      </w:r>
      <w:r w:rsidRPr="00020424">
        <w:rPr>
          <w:rtl/>
          <w:lang w:bidi="fa-IR"/>
        </w:rPr>
        <w:t xml:space="preserve"> ، عَنْ حَنَانِ بْنِ سَدِيرٍ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الصَّائِمِ يَسْتَنْقِعُ فِي الْمَاءِ</w:t>
      </w:r>
      <w:r>
        <w:rPr>
          <w:rtl/>
          <w:lang w:bidi="fa-IR"/>
        </w:rPr>
        <w:t>؟</w:t>
      </w:r>
    </w:p>
    <w:p w:rsidR="00992664" w:rsidRPr="00020424" w:rsidRDefault="00992664" w:rsidP="00992664">
      <w:pPr>
        <w:pStyle w:val="libNormal"/>
        <w:rPr>
          <w:rtl/>
          <w:lang w:bidi="fa-IR"/>
        </w:rPr>
      </w:pPr>
      <w:r w:rsidRPr="00020424">
        <w:rPr>
          <w:rtl/>
          <w:lang w:bidi="fa-IR"/>
        </w:rPr>
        <w:t xml:space="preserve">قَالَ : « لَا بَأْسَ ، وَلكِنْ </w:t>
      </w:r>
      <w:r w:rsidRPr="00A91B96">
        <w:rPr>
          <w:rStyle w:val="libFootnotenumChar"/>
          <w:rtl/>
        </w:rPr>
        <w:t>(4)</w:t>
      </w:r>
      <w:r w:rsidRPr="00020424">
        <w:rPr>
          <w:rtl/>
          <w:lang w:bidi="fa-IR"/>
        </w:rPr>
        <w:t xml:space="preserve"> لَايَنْغَمِسُ فِيهِ ، وَالْمَرْأَةُ لَاتَسْتَنْقِعُ فِي الْمَاءِ </w:t>
      </w:r>
      <w:r w:rsidRPr="00A91B96">
        <w:rPr>
          <w:rStyle w:val="libFootnotenumChar"/>
          <w:rtl/>
        </w:rPr>
        <w:t>(5)</w:t>
      </w:r>
      <w:r w:rsidRPr="00020424">
        <w:rPr>
          <w:rtl/>
          <w:lang w:bidi="fa-IR"/>
        </w:rPr>
        <w:t xml:space="preserve"> ؛ لِأَنَّهَا تَحْمِلُ الْمَاءَ بِفَرْجِهَا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750884">
        <w:rPr>
          <w:rtl/>
        </w:rPr>
        <w:t>6404</w:t>
      </w:r>
      <w:r w:rsidRPr="001155DE">
        <w:rPr>
          <w:rStyle w:val="libBold2Char"/>
          <w:rtl/>
        </w:rPr>
        <w:t xml:space="preserve"> / 6.</w:t>
      </w:r>
      <w:r w:rsidRPr="00020424">
        <w:rPr>
          <w:rtl/>
          <w:lang w:bidi="fa-IR"/>
        </w:rPr>
        <w:t xml:space="preserve"> عِدَّةٌ مِنْ أَصْحَابِنَا ، عَنْ سَهْلِ بْنِ زِيَادٍ ، عَنْ بَعْضِ أَصْحَابِنَا ، عَنْ مُثَنًّى الْحَنَّاطِ وَالْحَسَنِ الصَّيْقَلِ </w:t>
      </w:r>
      <w:r w:rsidRPr="00A91B96">
        <w:rPr>
          <w:rStyle w:val="libFootnotenumChar"/>
          <w:rtl/>
        </w:rPr>
        <w:t>(7)</w:t>
      </w:r>
      <w:r w:rsidRPr="00020424">
        <w:rPr>
          <w:rtl/>
          <w:lang w:bidi="fa-IR"/>
        </w:rPr>
        <w:t xml:space="preserve">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 « حتّى تفطر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172 ، ح 10619 ؛ </w:t>
      </w:r>
      <w:r w:rsidR="00992664" w:rsidRPr="0012008A">
        <w:rPr>
          <w:rStyle w:val="libFootnoteBoldChar"/>
          <w:rtl/>
        </w:rPr>
        <w:t>الوسائل</w:t>
      </w:r>
      <w:r w:rsidR="00992664" w:rsidRPr="00020424">
        <w:rPr>
          <w:rtl/>
        </w:rPr>
        <w:t xml:space="preserve"> ، ج 10 ، ص 36 ، ح 12768.</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بث ، بح ، بخ ، بر ، بف ، جن</w:t>
      </w:r>
      <w:r w:rsidR="00992664">
        <w:rPr>
          <w:rtl/>
        </w:rPr>
        <w:t xml:space="preserve"> ».</w:t>
      </w:r>
      <w:r w:rsidR="00992664" w:rsidRPr="00020424">
        <w:rPr>
          <w:rtl/>
        </w:rPr>
        <w:t xml:space="preserve"> وفي « ى » : الحمداني</w:t>
      </w:r>
      <w:r w:rsidR="00992664">
        <w:rPr>
          <w:rtl/>
        </w:rPr>
        <w:t xml:space="preserve"> ».</w:t>
      </w:r>
      <w:r w:rsidR="00992664" w:rsidRPr="00020424">
        <w:rPr>
          <w:rtl/>
        </w:rPr>
        <w:t xml:space="preserve"> وفي « ظ ، بس » والمطبوع : « الهمذاني</w:t>
      </w:r>
      <w:r w:rsidR="00992664">
        <w:rPr>
          <w:rtl/>
        </w:rPr>
        <w:t xml:space="preserve"> ».</w:t>
      </w:r>
    </w:p>
    <w:p w:rsidR="00992664" w:rsidRPr="00020424" w:rsidRDefault="00992664" w:rsidP="00992664">
      <w:pPr>
        <w:pStyle w:val="libFootnote0"/>
        <w:rPr>
          <w:rtl/>
          <w:lang w:bidi="fa-IR"/>
        </w:rPr>
      </w:pPr>
      <w:r w:rsidRPr="00315D68">
        <w:rPr>
          <w:rtl/>
        </w:rPr>
        <w:t xml:space="preserve">والصواب ما أثبتناه. راجع : </w:t>
      </w:r>
      <w:r w:rsidRPr="00D530ED">
        <w:rPr>
          <w:rStyle w:val="libFootnoteBoldChar"/>
          <w:rtl/>
        </w:rPr>
        <w:t>الفهرست للطوسي</w:t>
      </w:r>
      <w:r w:rsidRPr="00315D68">
        <w:rPr>
          <w:rtl/>
        </w:rPr>
        <w:t xml:space="preserve"> ، ص 406 ، الرقم 619 ؛ </w:t>
      </w:r>
      <w:r w:rsidRPr="00DE76B9">
        <w:rPr>
          <w:rStyle w:val="libFootnoteBoldChar"/>
          <w:rtl/>
        </w:rPr>
        <w:t>رجال الطوسي</w:t>
      </w:r>
      <w:r w:rsidRPr="00315D68">
        <w:rPr>
          <w:rtl/>
        </w:rPr>
        <w:t xml:space="preserve"> ، ص 438 ، الرقم 6264 ؛ </w:t>
      </w:r>
      <w:r w:rsidRPr="00DE76B9">
        <w:rPr>
          <w:rStyle w:val="libFootnoteBoldChar"/>
          <w:rtl/>
        </w:rPr>
        <w:t>معجم رجال الحديث</w:t>
      </w:r>
      <w:r w:rsidRPr="00315D68">
        <w:rPr>
          <w:rtl/>
        </w:rPr>
        <w:t xml:space="preserve"> ، ج 17 ، ص 355 </w:t>
      </w:r>
      <w:r w:rsidR="009B673F" w:rsidRPr="00315D68">
        <w:rPr>
          <w:rtl/>
        </w:rPr>
        <w:t>-</w:t>
      </w:r>
      <w:r w:rsidRPr="00315D68">
        <w:rPr>
          <w:rtl/>
        </w:rPr>
        <w:t xml:space="preserve"> 357.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لكن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 الماء</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المشهور بين الأصحاب كراهة جلوس المرأة في الماء</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263 ، ح 789 ، معلّقاً عن الكليني. </w:t>
      </w:r>
      <w:r w:rsidR="00992664" w:rsidRPr="00DE76B9">
        <w:rPr>
          <w:rStyle w:val="libFootnoteBoldChar"/>
          <w:rtl/>
        </w:rPr>
        <w:t>علل الشرائع</w:t>
      </w:r>
      <w:r w:rsidR="00992664" w:rsidRPr="00020424">
        <w:rPr>
          <w:rtl/>
        </w:rPr>
        <w:t xml:space="preserve"> ، ص 388 ، ح 1 ، بسنده عن محمّد بن يحيى العطّار ، عن محمّد بن أحمد ، عن أحمد السيّاري ، عن محمّد بن عليّ الهمداني. </w:t>
      </w:r>
      <w:r w:rsidR="00992664" w:rsidRPr="0012008A">
        <w:rPr>
          <w:rStyle w:val="libFootnoteBoldChar"/>
          <w:rtl/>
        </w:rPr>
        <w:t>الفقيه</w:t>
      </w:r>
      <w:r w:rsidR="00992664" w:rsidRPr="00020424">
        <w:rPr>
          <w:rtl/>
        </w:rPr>
        <w:t xml:space="preserve"> ، ج 2 ، ص 115 ، ح 1882 ، معلّقاً عن حنان بن سدير.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من قوله : « والمرأة لا تستنقع » </w:t>
      </w:r>
      <w:r w:rsidR="00315D68">
        <w:rPr>
          <w:rFonts w:hint="cs"/>
          <w:rtl/>
        </w:rPr>
        <w:t>.</w:t>
      </w:r>
      <w:r w:rsidR="00992664" w:rsidRPr="0012008A">
        <w:rPr>
          <w:rStyle w:val="libFootnoteBoldChar"/>
          <w:rtl/>
        </w:rPr>
        <w:t>الوافي</w:t>
      </w:r>
      <w:r w:rsidR="00992664" w:rsidRPr="00020424">
        <w:rPr>
          <w:rtl/>
        </w:rPr>
        <w:t xml:space="preserve"> ، ج 11 ، ص 171 ، ح 10617 ؛ </w:t>
      </w:r>
      <w:r w:rsidR="00992664" w:rsidRPr="0012008A">
        <w:rPr>
          <w:rStyle w:val="libFootnoteBoldChar"/>
          <w:rtl/>
        </w:rPr>
        <w:t>الوسائل</w:t>
      </w:r>
      <w:r w:rsidR="00992664" w:rsidRPr="00020424">
        <w:rPr>
          <w:rtl/>
        </w:rPr>
        <w:t xml:space="preserve"> ، ج 10 ، ص 37 ، ذيل ح 12771.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روى المثنّى بن الوليد</w:t>
      </w:r>
      <w:r w:rsidR="00992664">
        <w:rPr>
          <w:rtl/>
        </w:rPr>
        <w:t xml:space="preserve"> </w:t>
      </w:r>
      <w:r w:rsidR="009B673F">
        <w:rPr>
          <w:rtl/>
        </w:rPr>
        <w:t>-</w:t>
      </w:r>
      <w:r w:rsidR="00992664">
        <w:rPr>
          <w:rtl/>
        </w:rPr>
        <w:t xml:space="preserve"> </w:t>
      </w:r>
      <w:r w:rsidR="00992664" w:rsidRPr="00020424">
        <w:rPr>
          <w:rtl/>
        </w:rPr>
        <w:t>بعناوينه : المثنّى ، والمثنّى الحنّاط ، والمثنّى بن الوليد</w:t>
      </w:r>
      <w:r w:rsidR="00992664">
        <w:rPr>
          <w:rtl/>
        </w:rPr>
        <w:t xml:space="preserve"> </w:t>
      </w:r>
      <w:r w:rsidR="009B673F">
        <w:rPr>
          <w:rtl/>
        </w:rPr>
        <w:t>-</w:t>
      </w:r>
      <w:r w:rsidR="00992664">
        <w:rPr>
          <w:rtl/>
        </w:rPr>
        <w:t xml:space="preserve"> </w:t>
      </w:r>
      <w:r w:rsidR="00992664" w:rsidRPr="00020424">
        <w:rPr>
          <w:rtl/>
        </w:rPr>
        <w:t xml:space="preserve">عن الحسن الصيقل في عددٍ من الأسناد. راجع : </w:t>
      </w:r>
      <w:r w:rsidR="00992664" w:rsidRPr="00DE76B9">
        <w:rPr>
          <w:rStyle w:val="libFootnoteBoldChar"/>
          <w:rtl/>
        </w:rPr>
        <w:t>معجم رجال الحديث</w:t>
      </w:r>
      <w:r w:rsidR="00992664" w:rsidRPr="00020424">
        <w:rPr>
          <w:rtl/>
        </w:rPr>
        <w:t xml:space="preserve"> ، ج 14 ، ص 184 ؛ ص 380 و384.</w:t>
      </w:r>
    </w:p>
    <w:p w:rsidR="00992664" w:rsidRPr="00020424" w:rsidRDefault="00992664" w:rsidP="00992664">
      <w:pPr>
        <w:pStyle w:val="libFootnote0"/>
        <w:rPr>
          <w:rtl/>
          <w:lang w:bidi="fa-IR"/>
        </w:rPr>
      </w:pPr>
      <w:r w:rsidRPr="00315D68">
        <w:rPr>
          <w:rtl/>
        </w:rPr>
        <w:t xml:space="preserve">والظاهر أنّ الصواب في ما نحن فيه أيضاً : « مثنّى الحنّاط عن الحسن الصيقل » : كما يؤيّد ذلك قوله : « قال : سألت » ؛ فإنّه يدلّ على وحدة الراوي عن أبي عبد الله </w:t>
      </w:r>
      <w:r w:rsidRPr="00D64ADA">
        <w:rPr>
          <w:rStyle w:val="libFootnoteAlaemChar"/>
          <w:rtl/>
        </w:rPr>
        <w:t>عليه‌السلام</w:t>
      </w:r>
      <w:r w:rsidRPr="00315D68">
        <w:rPr>
          <w:rtl/>
        </w:rPr>
        <w:t>.</w:t>
      </w:r>
    </w:p>
    <w:p w:rsidR="00992664" w:rsidRPr="00020424" w:rsidRDefault="00992664" w:rsidP="00992664">
      <w:pPr>
        <w:pStyle w:val="libFootnote0"/>
        <w:rPr>
          <w:rtl/>
          <w:lang w:bidi="fa-IR"/>
        </w:rPr>
      </w:pPr>
      <w:r w:rsidRPr="00315D68">
        <w:rPr>
          <w:rtl/>
        </w:rPr>
        <w:t xml:space="preserve">هذا ، وظهر من ذلك وقوع التحريف في ما ورد في « بث ، بخ ، جر ، جن » من « الخيّاط » بدل « الحنّاط » ؛ فإنّ لقب المثنّى بن الوليد هو الحنّاط. راجع : </w:t>
      </w:r>
      <w:r w:rsidRPr="00DE76B9">
        <w:rPr>
          <w:rStyle w:val="libFootnoteBoldChar"/>
          <w:rtl/>
        </w:rPr>
        <w:t>رجال النجاشي</w:t>
      </w:r>
      <w:r w:rsidRPr="00315D68">
        <w:rPr>
          <w:rtl/>
        </w:rPr>
        <w:t xml:space="preserve"> ، ص 414 ، الرقم 1106 ؛ </w:t>
      </w:r>
      <w:r w:rsidRPr="00DE76B9">
        <w:rPr>
          <w:rStyle w:val="libFootnoteBoldChar"/>
          <w:rtl/>
        </w:rPr>
        <w:t>رجال البرقي</w:t>
      </w:r>
      <w:r w:rsidRPr="00315D68">
        <w:rPr>
          <w:rtl/>
        </w:rPr>
        <w:t xml:space="preserve"> ، ص 41 ؛ </w:t>
      </w:r>
      <w:r w:rsidRPr="00D530ED">
        <w:rPr>
          <w:rStyle w:val="libFootnoteBoldChar"/>
          <w:rtl/>
        </w:rPr>
        <w:t>الفهرست للطوسي</w:t>
      </w:r>
      <w:r w:rsidRPr="00315D68">
        <w:rPr>
          <w:rtl/>
        </w:rPr>
        <w:t xml:space="preserve"> ، ص 468 ، الرقم 748.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الصَّائِمِ يَرْتَمِسُ </w:t>
      </w:r>
      <w:r w:rsidRPr="00A91B96">
        <w:rPr>
          <w:rStyle w:val="libFootnotenumChar"/>
          <w:rtl/>
        </w:rPr>
        <w:t>(1)</w:t>
      </w:r>
      <w:r w:rsidRPr="00020424">
        <w:rPr>
          <w:rtl/>
          <w:lang w:bidi="fa-IR"/>
        </w:rPr>
        <w:t xml:space="preserve"> فِي الْمَاءِ</w:t>
      </w:r>
      <w:r>
        <w:rPr>
          <w:rtl/>
          <w:lang w:bidi="fa-IR"/>
        </w:rPr>
        <w:t>؟</w:t>
      </w:r>
      <w:r w:rsidRPr="00020424">
        <w:rPr>
          <w:rtl/>
          <w:lang w:bidi="fa-IR"/>
        </w:rPr>
        <w:t xml:space="preserve"> قَالَ : « لَا ، وَلَا</w:t>
      </w:r>
      <w:r>
        <w:rPr>
          <w:rFonts w:hint="cs"/>
          <w:rtl/>
          <w:lang w:bidi="fa-IR"/>
        </w:rPr>
        <w:t xml:space="preserve"> </w:t>
      </w:r>
      <w:r w:rsidRPr="00020424">
        <w:rPr>
          <w:rtl/>
          <w:lang w:bidi="fa-IR"/>
        </w:rPr>
        <w:t>الْمُحْرِمُ</w:t>
      </w:r>
      <w:r>
        <w:rPr>
          <w:rtl/>
          <w:lang w:bidi="fa-IR"/>
        </w:rPr>
        <w:t xml:space="preserve"> ».</w:t>
      </w:r>
    </w:p>
    <w:p w:rsidR="00992664" w:rsidRPr="00020424" w:rsidRDefault="00992664" w:rsidP="00992664">
      <w:pPr>
        <w:pStyle w:val="libNormal"/>
        <w:rPr>
          <w:rtl/>
          <w:lang w:bidi="fa-IR"/>
        </w:rPr>
      </w:pPr>
      <w:r w:rsidRPr="00020424">
        <w:rPr>
          <w:rtl/>
          <w:lang w:bidi="fa-IR"/>
        </w:rPr>
        <w:t>قَالَ : وَسَأَلْتُهُ عَنِ الصَّائِمِ : يَلْبَسُ الثَّوْبَ الْمَبْلُولَ</w:t>
      </w:r>
      <w:r>
        <w:rPr>
          <w:rtl/>
          <w:lang w:bidi="fa-IR"/>
        </w:rPr>
        <w:t>؟</w:t>
      </w:r>
      <w:r w:rsidRPr="00020424">
        <w:rPr>
          <w:rtl/>
          <w:lang w:bidi="fa-IR"/>
        </w:rPr>
        <w:t xml:space="preserve"> قَالَ : « لَا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376" w:name="_Toc345172841"/>
      <w:bookmarkStart w:id="377" w:name="_Toc464562658"/>
      <w:bookmarkStart w:id="378" w:name="_Toc44599962"/>
      <w:r w:rsidRPr="00020424">
        <w:rPr>
          <w:rtl/>
          <w:lang w:bidi="fa-IR"/>
        </w:rPr>
        <w:t>26</w:t>
      </w:r>
      <w:r>
        <w:rPr>
          <w:rtl/>
          <w:lang w:bidi="fa-IR"/>
        </w:rPr>
        <w:t xml:space="preserve"> </w:t>
      </w:r>
      <w:r w:rsidR="009B673F">
        <w:rPr>
          <w:rtl/>
          <w:lang w:bidi="fa-IR"/>
        </w:rPr>
        <w:t>-</w:t>
      </w:r>
      <w:r>
        <w:rPr>
          <w:rtl/>
          <w:lang w:bidi="fa-IR"/>
        </w:rPr>
        <w:t xml:space="preserve"> </w:t>
      </w:r>
      <w:r w:rsidRPr="00020424">
        <w:rPr>
          <w:rtl/>
          <w:lang w:bidi="fa-IR"/>
        </w:rPr>
        <w:t>بَابُ الْمَضْمَضَةِ وَالِاسْتِنْشَاقِ لِلصَّائِمِ‌</w:t>
      </w:r>
      <w:bookmarkEnd w:id="376"/>
      <w:bookmarkEnd w:id="377"/>
      <w:bookmarkEnd w:id="378"/>
    </w:p>
    <w:p w:rsidR="00992664" w:rsidRPr="00020424" w:rsidRDefault="00992664" w:rsidP="00992664">
      <w:pPr>
        <w:pStyle w:val="libNormal"/>
        <w:rPr>
          <w:rtl/>
          <w:lang w:bidi="fa-IR"/>
        </w:rPr>
      </w:pPr>
      <w:r w:rsidRPr="00750884">
        <w:rPr>
          <w:rtl/>
        </w:rPr>
        <w:t>6405</w:t>
      </w:r>
      <w:r w:rsidRPr="001155DE">
        <w:rPr>
          <w:rStyle w:val="libBold2Char"/>
          <w:rtl/>
        </w:rPr>
        <w:t xml:space="preserve"> / 1.</w:t>
      </w:r>
      <w:r w:rsidRPr="00020424">
        <w:rPr>
          <w:rtl/>
          <w:lang w:bidi="fa-IR"/>
        </w:rPr>
        <w:t xml:space="preserve"> عَلِيُّ بْنُ إِبْرَاهِيمَ ، عَنْ أَبِيهِ ، عَنِ ابْنِ أَبِي عُمَيْرٍ ، عَنْ حَمَّادٍ ، عَنِ الْحَلَبِيِّ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الصَّائِمِ يَتَوَضَّأُ لِلصَّلَاةِ ، فَيَدْخُلُ الْمَاءُ حَلْقَهُ </w:t>
      </w:r>
      <w:r w:rsidRPr="00A91B96">
        <w:rPr>
          <w:rStyle w:val="libFootnotenumChar"/>
          <w:rtl/>
        </w:rPr>
        <w:t>(5)</w:t>
      </w:r>
      <w:r w:rsidR="007A0788" w:rsidRPr="007A0788">
        <w:rPr>
          <w:rFonts w:hint="cs"/>
          <w:rtl/>
        </w:rPr>
        <w:t>.</w:t>
      </w:r>
    </w:p>
    <w:p w:rsidR="00992664" w:rsidRPr="00020424" w:rsidRDefault="00992664" w:rsidP="00992664">
      <w:pPr>
        <w:pStyle w:val="libNormal"/>
        <w:rPr>
          <w:rtl/>
          <w:lang w:bidi="fa-IR"/>
        </w:rPr>
      </w:pPr>
      <w:r w:rsidRPr="00020424">
        <w:rPr>
          <w:rtl/>
          <w:lang w:bidi="fa-IR"/>
        </w:rPr>
        <w:t xml:space="preserve">فَقَالَ : « إِنْ كَانَ وُضُوؤُهُ لِصَلَاةِ فَرِيضَةٍ ، فَلَيْسَ عَلَيْهِ شَيْ‌ءٌ ، وَإِنْ كَانَ وُضُوؤُهُ </w:t>
      </w:r>
      <w:r w:rsidRPr="00A91B96">
        <w:rPr>
          <w:rStyle w:val="libFootnotenumChar"/>
          <w:rtl/>
        </w:rPr>
        <w:t>(6)</w:t>
      </w:r>
      <w:r w:rsidR="00302F5F">
        <w:rPr>
          <w:rtl/>
          <w:lang w:bidi="fa-IR"/>
        </w:rPr>
        <w:t xml:space="preserve"> لِصَلَاةِ نَافِلَةٍ</w:t>
      </w:r>
      <w:r w:rsidRPr="00020424">
        <w:rPr>
          <w:rtl/>
          <w:lang w:bidi="fa-IR"/>
        </w:rPr>
        <w:t>، فَعَلَيْهِ الْقَضَاءُ</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02F5F" w:rsidTr="00302F5F">
        <w:tc>
          <w:tcPr>
            <w:tcW w:w="4006" w:type="dxa"/>
          </w:tcPr>
          <w:p w:rsidR="00302F5F" w:rsidRDefault="00302F5F" w:rsidP="00992664">
            <w:pPr>
              <w:pStyle w:val="libFootnote0"/>
              <w:rPr>
                <w:rtl/>
              </w:rPr>
            </w:pPr>
            <w:r>
              <w:rPr>
                <w:rtl/>
              </w:rPr>
              <w:t xml:space="preserve">(1). </w:t>
            </w:r>
            <w:r w:rsidRPr="00020424">
              <w:rPr>
                <w:rtl/>
              </w:rPr>
              <w:t>في « بس » : « أيرتمس</w:t>
            </w:r>
            <w:r>
              <w:rPr>
                <w:rtl/>
              </w:rPr>
              <w:t xml:space="preserve"> ».</w:t>
            </w:r>
          </w:p>
        </w:tc>
        <w:tc>
          <w:tcPr>
            <w:tcW w:w="4006" w:type="dxa"/>
          </w:tcPr>
          <w:p w:rsidR="00302F5F" w:rsidRDefault="00302F5F" w:rsidP="00992664">
            <w:pPr>
              <w:pStyle w:val="libFootnote0"/>
              <w:rPr>
                <w:rtl/>
              </w:rPr>
            </w:pPr>
            <w:r>
              <w:rPr>
                <w:rtl/>
              </w:rPr>
              <w:t xml:space="preserve">(2). </w:t>
            </w:r>
            <w:r w:rsidRPr="00020424">
              <w:rPr>
                <w:rtl/>
              </w:rPr>
              <w:t xml:space="preserve">في </w:t>
            </w:r>
            <w:r w:rsidRPr="00302F5F">
              <w:rPr>
                <w:rtl/>
              </w:rPr>
              <w:t>التهذيب والاستبصار</w:t>
            </w:r>
            <w:r w:rsidRPr="00020424">
              <w:rPr>
                <w:rtl/>
              </w:rPr>
              <w:t xml:space="preserve"> : + « ولا يشمّ الريحان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267 ، ح 806 ؛ </w:t>
      </w:r>
      <w:r w:rsidR="00992664" w:rsidRPr="00FD6221">
        <w:rPr>
          <w:rStyle w:val="libFootnoteBoldChar"/>
          <w:rtl/>
        </w:rPr>
        <w:t>والاستبصار</w:t>
      </w:r>
      <w:r w:rsidR="00992664" w:rsidRPr="00020424">
        <w:rPr>
          <w:rtl/>
        </w:rPr>
        <w:t xml:space="preserve"> ، ج 2 ، ص 93 ، ح 300 ، بسندهما عن الحسن الصيقل. </w:t>
      </w:r>
      <w:r w:rsidR="00992664" w:rsidRPr="00DE76B9">
        <w:rPr>
          <w:rStyle w:val="libFootnoteBoldChar"/>
          <w:rtl/>
        </w:rPr>
        <w:t>قرب الإسناد</w:t>
      </w:r>
      <w:r w:rsidR="00992664" w:rsidRPr="00020424">
        <w:rPr>
          <w:rtl/>
        </w:rPr>
        <w:t xml:space="preserve"> ، ص 125 ، ح 439 ، بسند آخر ، إلى قوله : « ولا المحرم » مع زيادة في آخره </w:t>
      </w:r>
      <w:r w:rsidR="00302F5F">
        <w:rPr>
          <w:rFonts w:hint="cs"/>
          <w:rtl/>
        </w:rPr>
        <w:t>.</w:t>
      </w:r>
      <w:r w:rsidR="00992664" w:rsidRPr="0012008A">
        <w:rPr>
          <w:rStyle w:val="libFootnoteBoldChar"/>
          <w:rtl/>
        </w:rPr>
        <w:t>الوافي</w:t>
      </w:r>
      <w:r w:rsidR="00992664" w:rsidRPr="00020424">
        <w:rPr>
          <w:rtl/>
        </w:rPr>
        <w:t xml:space="preserve"> ، ج 11 ، ص 171 ، ح 10618 ؛ </w:t>
      </w:r>
      <w:r w:rsidR="00992664" w:rsidRPr="0012008A">
        <w:rPr>
          <w:rStyle w:val="libFootnoteBoldChar"/>
          <w:rtl/>
        </w:rPr>
        <w:t>الوسائل</w:t>
      </w:r>
      <w:r w:rsidR="00992664" w:rsidRPr="00020424">
        <w:rPr>
          <w:rtl/>
        </w:rPr>
        <w:t xml:space="preserve"> ، ج 10 ، ص 36 ، ح 12769.</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ط ، ى ، بح ، بخ ، بس ، بف ، جت ، جد ، جن » والمطبوع </w:t>
      </w:r>
      <w:r w:rsidR="00992664" w:rsidRPr="00302F5F">
        <w:rP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الحلبي</w:t>
      </w:r>
      <w:r w:rsidR="00992664">
        <w:rPr>
          <w:rtl/>
        </w:rPr>
        <w:t xml:space="preserve"> ».</w:t>
      </w:r>
    </w:p>
    <w:p w:rsidR="00992664" w:rsidRPr="00020424" w:rsidRDefault="00992664" w:rsidP="00992664">
      <w:pPr>
        <w:pStyle w:val="libFootnote0"/>
        <w:rPr>
          <w:rtl/>
          <w:lang w:bidi="fa-IR"/>
        </w:rPr>
      </w:pPr>
      <w:r w:rsidRPr="00302F5F">
        <w:rPr>
          <w:rtl/>
        </w:rPr>
        <w:t xml:space="preserve">وقد تكرّرت رواية [ محمّد ] بن أبي عمير عن حمّاد [ بن عثمان ] عن الحلبي عن أبي عبدالله </w:t>
      </w:r>
      <w:r w:rsidRPr="00D64ADA">
        <w:rPr>
          <w:rStyle w:val="libFootnoteAlaemChar"/>
          <w:rtl/>
        </w:rPr>
        <w:t>عليه‌السلام</w:t>
      </w:r>
      <w:r w:rsidRPr="00302F5F">
        <w:rPr>
          <w:rtl/>
        </w:rPr>
        <w:t xml:space="preserve"> في كثيرٍ من الأسناد جدّاً ، كما روى [ محمّد ] بن أبي عمير عن حمّاد [ بن عثمان ] عن أبي عبد الله </w:t>
      </w:r>
      <w:r w:rsidRPr="00302F5F">
        <w:rPr>
          <w:rStyle w:val="libFootnoteAlaemChar"/>
          <w:rtl/>
        </w:rPr>
        <w:t>عليه‌السلام</w:t>
      </w:r>
      <w:r w:rsidRPr="00302F5F">
        <w:rPr>
          <w:rtl/>
        </w:rPr>
        <w:t xml:space="preserve"> ، من دون توسّط الحلبي في أسنادٍ عديدة منها ما تقدّم في ح 6294 و6300 و6327 ، وما يأتي في ح 6420. فلذلك يمكن القول بعدم حصول الاطمئنان بثبوت « عن الحلبي » في السند ، بل يحتمل زيادته ؛ نظراً إلى كثرة روايات ابن أبي عمير عن حمّاد عن الحلبي ، لكن يؤيّد ما أثبتناه ورود الخبر في </w:t>
      </w:r>
      <w:r w:rsidRPr="0012008A">
        <w:rPr>
          <w:rStyle w:val="libFootnoteBoldChar"/>
          <w:rtl/>
        </w:rPr>
        <w:t>التهذيب</w:t>
      </w:r>
      <w:r w:rsidRPr="00302F5F">
        <w:rPr>
          <w:rtl/>
        </w:rPr>
        <w:t xml:space="preserve"> ، ج 4 ، ص 324 ، ح 999 ، عن أحمد بن محمّد بن الحسن ، عن الحسين ، عن ابن أبي عمير ، عن حمّاد ، عن الحلبي ، عن أبي عبد الله </w:t>
      </w:r>
      <w:r w:rsidRPr="00D64ADA">
        <w:rPr>
          <w:rStyle w:val="libFootnoteAlaemChar"/>
          <w:rtl/>
        </w:rPr>
        <w:t>عليه‌السلام</w:t>
      </w:r>
      <w:r w:rsidRPr="00302F5F">
        <w:rPr>
          <w:rtl/>
        </w:rPr>
        <w:t xml:space="preserve"> </w:t>
      </w:r>
      <w:r w:rsidR="009B673F" w:rsidRPr="00302F5F">
        <w:rPr>
          <w:rtl/>
        </w:rPr>
        <w:t>-</w:t>
      </w:r>
      <w:r w:rsidRPr="00302F5F">
        <w:rPr>
          <w:rtl/>
        </w:rPr>
        <w:t xml:space="preserve"> والمذكور في بعض النسخ المعتبرة جدّاً : « أحمد بن محمّد عن الحسين » ، وهو الظاهر </w:t>
      </w:r>
      <w:r w:rsidR="009B673F" w:rsidRPr="00302F5F">
        <w:rPr>
          <w:rtl/>
        </w:rPr>
        <w:t>-</w:t>
      </w:r>
      <w:r w:rsidRPr="00302F5F">
        <w:rPr>
          <w:rtl/>
        </w:rPr>
        <w:t xml:space="preserve"> فقد روى أحمد بن محمّد [ بن عيسى ] عن الحسين [ بن سعيد ] عن ابن أبي عمير في أسناد كثيرة جدّاً. راجع : </w:t>
      </w:r>
      <w:r w:rsidRPr="00302F5F">
        <w:rPr>
          <w:rStyle w:val="libFootnoteBoldChar"/>
          <w:rtl/>
        </w:rPr>
        <w:t>معجم رجال الحديث</w:t>
      </w:r>
      <w:r w:rsidRPr="00302F5F">
        <w:rPr>
          <w:rtl/>
        </w:rPr>
        <w:t xml:space="preserve"> ، ج 5 ، ص 398 وص 418 </w:t>
      </w:r>
      <w:r w:rsidR="009B673F" w:rsidRPr="00302F5F">
        <w:rPr>
          <w:rtl/>
        </w:rPr>
        <w:t>-</w:t>
      </w:r>
      <w:r w:rsidRPr="00302F5F">
        <w:rPr>
          <w:rtl/>
        </w:rPr>
        <w:t xml:space="preserve"> 423.</w:t>
      </w:r>
    </w:p>
    <w:p w:rsidR="00992664" w:rsidRPr="00020424" w:rsidRDefault="00992664" w:rsidP="00992664">
      <w:pPr>
        <w:pStyle w:val="libFootnote0"/>
        <w:rPr>
          <w:rtl/>
          <w:lang w:bidi="fa-IR"/>
        </w:rPr>
      </w:pPr>
      <w:r w:rsidRPr="00302F5F">
        <w:rPr>
          <w:rtl/>
        </w:rPr>
        <w:t xml:space="preserve">والظاهر أنّ خبر </w:t>
      </w:r>
      <w:r w:rsidRPr="0012008A">
        <w:rPr>
          <w:rStyle w:val="libFootnoteBoldChar"/>
          <w:rtl/>
        </w:rPr>
        <w:t>التهذيب</w:t>
      </w:r>
      <w:r w:rsidRPr="00302F5F">
        <w:rPr>
          <w:rtl/>
        </w:rPr>
        <w:t xml:space="preserve"> مأخوذ من كتاب أحمد بن محمّد ، وهذا يكشف عن ثبوت « عن الحلبي » في الطريق قبل انتقال الخبر إلى </w:t>
      </w:r>
      <w:r w:rsidRPr="00DE76B9">
        <w:rPr>
          <w:rStyle w:val="libFootnoteBoldChar"/>
          <w:rtl/>
        </w:rPr>
        <w:t>الكافي</w:t>
      </w:r>
      <w:r w:rsidRPr="00302F5F">
        <w:rPr>
          <w:rtl/>
        </w:rPr>
        <w:t xml:space="preserve"> ، فلا وجه للقول بزيادة « عن الحلبي » في « جر ».</w:t>
      </w:r>
    </w:p>
    <w:tbl>
      <w:tblPr>
        <w:tblStyle w:val="TableGrid"/>
        <w:bidiVisual/>
        <w:tblW w:w="0" w:type="auto"/>
        <w:tblLook w:val="04A0" w:firstRow="1" w:lastRow="0" w:firstColumn="1" w:lastColumn="0" w:noHBand="0" w:noVBand="1"/>
      </w:tblPr>
      <w:tblGrid>
        <w:gridCol w:w="4006"/>
        <w:gridCol w:w="4006"/>
      </w:tblGrid>
      <w:tr w:rsidR="00302F5F" w:rsidTr="00302F5F">
        <w:tc>
          <w:tcPr>
            <w:tcW w:w="4006" w:type="dxa"/>
          </w:tcPr>
          <w:p w:rsidR="00302F5F" w:rsidRDefault="00302F5F" w:rsidP="00992664">
            <w:pPr>
              <w:pStyle w:val="libFootnote0"/>
              <w:rPr>
                <w:rtl/>
              </w:rPr>
            </w:pPr>
            <w:r>
              <w:rPr>
                <w:rtl/>
              </w:rPr>
              <w:t xml:space="preserve">(5). </w:t>
            </w:r>
            <w:r w:rsidRPr="00020424">
              <w:rPr>
                <w:rtl/>
              </w:rPr>
              <w:t xml:space="preserve">في « بخ ، بر ، بف » </w:t>
            </w:r>
            <w:r w:rsidRPr="00302F5F">
              <w:rPr>
                <w:rtl/>
              </w:rPr>
              <w:t>والوافي</w:t>
            </w:r>
            <w:r w:rsidRPr="00020424">
              <w:rPr>
                <w:rtl/>
              </w:rPr>
              <w:t xml:space="preserve"> : « حلقه الماء</w:t>
            </w:r>
            <w:r>
              <w:rPr>
                <w:rtl/>
              </w:rPr>
              <w:t xml:space="preserve"> ».</w:t>
            </w:r>
          </w:p>
        </w:tc>
        <w:tc>
          <w:tcPr>
            <w:tcW w:w="4006" w:type="dxa"/>
          </w:tcPr>
          <w:p w:rsidR="00302F5F" w:rsidRDefault="00302F5F" w:rsidP="00992664">
            <w:pPr>
              <w:pStyle w:val="libFootnote0"/>
              <w:rPr>
                <w:rtl/>
              </w:rPr>
            </w:pPr>
            <w:r>
              <w:rPr>
                <w:rtl/>
              </w:rPr>
              <w:t xml:space="preserve">(6). </w:t>
            </w:r>
            <w:r w:rsidRPr="00020424">
              <w:rPr>
                <w:rtl/>
              </w:rPr>
              <w:t>في « بر » :</w:t>
            </w:r>
            <w:r>
              <w:rPr>
                <w:rtl/>
              </w:rPr>
              <w:t xml:space="preserve"> - </w:t>
            </w:r>
            <w:r w:rsidRPr="00020424">
              <w:rPr>
                <w:rtl/>
              </w:rPr>
              <w:t>« وضوؤه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324 ، ح 999 ، بسنده عن ابن أبي عمير ، عن حمّاد ، عن الحلبي ، عن أبي عبدالله </w:t>
      </w:r>
      <w:r w:rsidR="00992664" w:rsidRPr="00D64ADA">
        <w:rPr>
          <w:rStyle w:val="libFootnoteAlaemChar"/>
          <w:rtl/>
        </w:rPr>
        <w:t>عليه‌السلام</w:t>
      </w:r>
      <w:r w:rsidR="00992664" w:rsidRPr="00020424">
        <w:rPr>
          <w:rtl/>
        </w:rPr>
        <w:t xml:space="preserve">. </w:t>
      </w:r>
      <w:r w:rsidR="00302F5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50884">
        <w:rPr>
          <w:rtl/>
        </w:rPr>
        <w:t>6406</w:t>
      </w:r>
      <w:r w:rsidRPr="001155DE">
        <w:rPr>
          <w:rStyle w:val="libBold2Char"/>
          <w:rtl/>
        </w:rPr>
        <w:t xml:space="preserve"> / 2.</w:t>
      </w:r>
      <w:r w:rsidRPr="00020424">
        <w:rPr>
          <w:rtl/>
          <w:lang w:bidi="fa-IR"/>
        </w:rPr>
        <w:t xml:space="preserve"> عَلِيُّ بْنُ إِبْرَاهِيمَ </w:t>
      </w:r>
      <w:r w:rsidRPr="00A91B96">
        <w:rPr>
          <w:rStyle w:val="libFootnotenumChar"/>
          <w:rtl/>
        </w:rPr>
        <w:t>(1)</w:t>
      </w:r>
      <w:r w:rsidRPr="00020424">
        <w:rPr>
          <w:rtl/>
          <w:lang w:bidi="fa-IR"/>
        </w:rPr>
        <w:t xml:space="preserve"> ، عَنْ أَبِيهِ ، عَنْ إِسْمَاعِيلَ بْنِ مَرَّارٍ ، عَنْ يُونُسَ ، عَنْ أَبِي جَمِيلَةَ ، عَنْ زَيْدٍ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الصَّائِمِ </w:t>
      </w:r>
      <w:r w:rsidRPr="00A91B96">
        <w:rPr>
          <w:rStyle w:val="libFootnotenumChar"/>
          <w:rtl/>
        </w:rPr>
        <w:t>(3)</w:t>
      </w:r>
      <w:r w:rsidRPr="00020424">
        <w:rPr>
          <w:rtl/>
          <w:lang w:bidi="fa-IR"/>
        </w:rPr>
        <w:t xml:space="preserve"> يَتَمَضْمَضُ.</w:t>
      </w:r>
    </w:p>
    <w:p w:rsidR="00992664" w:rsidRPr="00020424" w:rsidRDefault="00992664" w:rsidP="00992664">
      <w:pPr>
        <w:pStyle w:val="libNormal"/>
        <w:rPr>
          <w:rtl/>
          <w:lang w:bidi="fa-IR"/>
        </w:rPr>
      </w:pPr>
      <w:r w:rsidRPr="00020424">
        <w:rPr>
          <w:rtl/>
          <w:lang w:bidi="fa-IR"/>
        </w:rPr>
        <w:t xml:space="preserve">قَالَ : « لَا يَبْلَعْ رِيقَهُ حَتّى يَبْزُقَ ثَلَاثَ مَرَّاتٍ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750884">
        <w:rPr>
          <w:rtl/>
        </w:rPr>
        <w:t>6407</w:t>
      </w:r>
      <w:r w:rsidRPr="001155DE">
        <w:rPr>
          <w:rStyle w:val="libBold2Char"/>
          <w:rtl/>
        </w:rPr>
        <w:t xml:space="preserve"> / 3.</w:t>
      </w:r>
      <w:r w:rsidRPr="00020424">
        <w:rPr>
          <w:rtl/>
          <w:lang w:bidi="fa-IR"/>
        </w:rPr>
        <w:t xml:space="preserve"> عَلِيُّ بْنُ إِبْرَاهِيمَ </w:t>
      </w:r>
      <w:r w:rsidRPr="00A91B96">
        <w:rPr>
          <w:rStyle w:val="libFootnotenumChar"/>
          <w:rtl/>
        </w:rPr>
        <w:t>(6)</w:t>
      </w:r>
      <w:r w:rsidRPr="00020424">
        <w:rPr>
          <w:rtl/>
          <w:lang w:bidi="fa-IR"/>
        </w:rPr>
        <w:t xml:space="preserve"> ، عَنْ أَبِيهِ ، عَنِ ابْنِ أَبِي عُمَيْرٍ ، عَنْ حَمَّادٍ ، عَمَّنْ ذَكَرَهُ :</w:t>
      </w:r>
    </w:p>
    <w:p w:rsidR="00992664" w:rsidRPr="00020424" w:rsidRDefault="00992664" w:rsidP="00992664">
      <w:pPr>
        <w:pStyle w:val="libNormal"/>
        <w:rPr>
          <w:rtl/>
          <w:lang w:bidi="fa-IR"/>
        </w:rPr>
      </w:pPr>
      <w:r w:rsidRPr="00020424">
        <w:rPr>
          <w:rtl/>
          <w:lang w:bidi="fa-IR"/>
        </w:rPr>
        <w:t>عَنْ أَبِي عَبْدِ اللهِ</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فِي الصَّائِمِ </w:t>
      </w:r>
      <w:r w:rsidRPr="00A91B96">
        <w:rPr>
          <w:rStyle w:val="libFootnotenumChar"/>
          <w:rtl/>
        </w:rPr>
        <w:t>(7)</w:t>
      </w:r>
      <w:r w:rsidRPr="00020424">
        <w:rPr>
          <w:rtl/>
          <w:lang w:bidi="fa-IR"/>
        </w:rPr>
        <w:t xml:space="preserve"> يَتَمَضْمَضُ وَيَسْتَنْشِقُ </w:t>
      </w:r>
      <w:r w:rsidRPr="00A91B96">
        <w:rPr>
          <w:rStyle w:val="libFootnotenumChar"/>
          <w:rtl/>
        </w:rPr>
        <w:t>(8)</w:t>
      </w:r>
      <w:r w:rsidR="006227A3" w:rsidRPr="006227A3">
        <w:rPr>
          <w:rFonts w:hint="cs"/>
          <w:rtl/>
        </w:rPr>
        <w:t>.</w:t>
      </w:r>
    </w:p>
    <w:p w:rsidR="00992664" w:rsidRPr="00020424" w:rsidRDefault="00992664" w:rsidP="00992664">
      <w:pPr>
        <w:pStyle w:val="libNormal"/>
        <w:rPr>
          <w:rtl/>
          <w:lang w:bidi="fa-IR"/>
        </w:rPr>
      </w:pPr>
      <w:r w:rsidRPr="00020424">
        <w:rPr>
          <w:rtl/>
          <w:lang w:bidi="fa-IR"/>
        </w:rPr>
        <w:t xml:space="preserve">قَالَ : « نَعَمْ ، وَلكِنْ لَايُبَالِغْ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750884">
        <w:rPr>
          <w:rtl/>
        </w:rPr>
        <w:t>6408</w:t>
      </w:r>
      <w:r w:rsidRPr="001155DE">
        <w:rPr>
          <w:rStyle w:val="libBold2Char"/>
          <w:rtl/>
        </w:rPr>
        <w:t xml:space="preserve"> / 4.</w:t>
      </w:r>
      <w:r w:rsidRPr="00020424">
        <w:rPr>
          <w:rtl/>
          <w:lang w:bidi="fa-IR"/>
        </w:rPr>
        <w:t xml:space="preserve"> عِدَّةٌ مِنْ أَصْحَابِنَا ، عَنْ سَهْلِ بْنِ زِيَادٍ ، عَنِ الرَّيَّانِ بْنِ الصَّلْتِ ، عَنْ يُونُسَ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6227A3" w:rsidP="00992664">
      <w:pPr>
        <w:pStyle w:val="libFootnote0"/>
        <w:rPr>
          <w:rtl/>
          <w:lang w:bidi="fa-IR"/>
        </w:rPr>
      </w:pPr>
      <w:r w:rsidRPr="006227A3">
        <w:rPr>
          <w:rFonts w:hint="cs"/>
          <w:rtl/>
        </w:rPr>
        <w:t xml:space="preserve">= </w:t>
      </w:r>
      <w:r w:rsidR="00992664" w:rsidRPr="0012008A">
        <w:rPr>
          <w:rStyle w:val="libFootnoteBoldChar"/>
          <w:rtl/>
        </w:rPr>
        <w:t>الفقيه</w:t>
      </w:r>
      <w:r w:rsidR="00992664" w:rsidRPr="00020424">
        <w:rPr>
          <w:rtl/>
        </w:rPr>
        <w:t xml:space="preserve"> ، ج 2 ، ص 110 ، ذيل ح 1866 ، مع اختلاف. وراجع : </w:t>
      </w:r>
      <w:r w:rsidR="00992664" w:rsidRPr="0012008A">
        <w:rPr>
          <w:rStyle w:val="libFootnoteBoldChar"/>
          <w:rtl/>
        </w:rPr>
        <w:t>التهذيب</w:t>
      </w:r>
      <w:r w:rsidR="00992664" w:rsidRPr="00020424">
        <w:rPr>
          <w:rtl/>
        </w:rPr>
        <w:t xml:space="preserve"> ، ج 4 ، ص 323 ، ح 996 </w:t>
      </w:r>
      <w:r>
        <w:rPr>
          <w:rFonts w:hint="cs"/>
          <w:rtl/>
        </w:rPr>
        <w:t>.</w:t>
      </w:r>
      <w:r w:rsidR="00992664" w:rsidRPr="0012008A">
        <w:rPr>
          <w:rStyle w:val="libFootnoteBoldChar"/>
          <w:rtl/>
        </w:rPr>
        <w:t>الوافي</w:t>
      </w:r>
      <w:r w:rsidR="00992664" w:rsidRPr="00020424">
        <w:rPr>
          <w:rtl/>
        </w:rPr>
        <w:t xml:space="preserve"> ، ج 11 ، ص 173 ، ح 10621 ؛ </w:t>
      </w:r>
      <w:r w:rsidR="00992664" w:rsidRPr="0012008A">
        <w:rPr>
          <w:rStyle w:val="libFootnoteBoldChar"/>
          <w:rtl/>
        </w:rPr>
        <w:t>الوسائل</w:t>
      </w:r>
      <w:r w:rsidR="00992664" w:rsidRPr="00020424">
        <w:rPr>
          <w:rtl/>
        </w:rPr>
        <w:t xml:space="preserve"> ، ج 10 ، ص 70 ، ح 12852.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6227A3">
        <w:rPr>
          <w:rtl/>
        </w:rPr>
        <w:t>الوسائل والتهذيب</w:t>
      </w:r>
      <w:r w:rsidR="00992664" w:rsidRPr="00020424">
        <w:rPr>
          <w:rtl/>
        </w:rPr>
        <w:t xml:space="preserve"> ، ص 265 : + « الشحّام</w:t>
      </w:r>
      <w:r w:rsidR="00992664">
        <w:rPr>
          <w:rtl/>
        </w:rPr>
        <w:t xml:space="preserve"> ».</w:t>
      </w:r>
      <w:r w:rsidR="00992664" w:rsidRPr="00020424">
        <w:rPr>
          <w:rtl/>
        </w:rPr>
        <w:t xml:space="preserve"> وروى أبو جميلة كتاب زيد الشحّام. راجع : </w:t>
      </w:r>
      <w:r w:rsidR="00992664" w:rsidRPr="00D530ED">
        <w:rPr>
          <w:rStyle w:val="libFootnoteBoldChar"/>
          <w:rtl/>
        </w:rPr>
        <w:t>الفهرست للطوسي</w:t>
      </w:r>
      <w:r w:rsidR="00992664" w:rsidRPr="00020424">
        <w:rPr>
          <w:rtl/>
        </w:rPr>
        <w:t xml:space="preserve"> ، ص 201 ، الرقم 298.</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6227A3">
        <w:rPr>
          <w:rtl/>
        </w:rPr>
        <w:t>والوافي والتهذيب</w:t>
      </w:r>
      <w:r w:rsidR="00992664" w:rsidRPr="00020424">
        <w:rPr>
          <w:rtl/>
        </w:rPr>
        <w:t xml:space="preserve"> ، ص 265 </w:t>
      </w:r>
      <w:r w:rsidR="00992664" w:rsidRPr="006227A3">
        <w:rPr>
          <w:rtl/>
        </w:rPr>
        <w:t>والاستبصار</w:t>
      </w:r>
      <w:r w:rsidR="00992664" w:rsidRPr="00020424">
        <w:rPr>
          <w:rtl/>
        </w:rPr>
        <w:t xml:space="preserve"> : « صائم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قال : لا يبلع » إلى « في الصائم يتمضمض » في الحديث الآتي.</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265 ، ح 797 ؛ </w:t>
      </w:r>
      <w:r w:rsidR="00992664" w:rsidRPr="00FD6221">
        <w:rPr>
          <w:rStyle w:val="libFootnoteBoldChar"/>
          <w:rtl/>
        </w:rPr>
        <w:t>والاستبصار</w:t>
      </w:r>
      <w:r w:rsidR="00992664" w:rsidRPr="00020424">
        <w:rPr>
          <w:rtl/>
        </w:rPr>
        <w:t xml:space="preserve"> ، ج 2 ، ص 94 ، ح 303 ، معلّقاً عن الكليني. </w:t>
      </w:r>
      <w:r w:rsidR="00992664" w:rsidRPr="0012008A">
        <w:rPr>
          <w:rStyle w:val="libFootnoteBoldChar"/>
          <w:rtl/>
        </w:rPr>
        <w:t>التهذيب</w:t>
      </w:r>
      <w:r w:rsidR="00992664" w:rsidRPr="00020424">
        <w:rPr>
          <w:rtl/>
        </w:rPr>
        <w:t xml:space="preserve"> ، ج 4 ، ص 324 ، ح 997 ، معلّقاً عن أبي جميلة ، عن زيد الشحّام ، من دون الإسناد إلى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110 ، ذيل ح 1866 ، مع اختلاف يسير. وراجع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w:t>
      </w:r>
      <w:r w:rsidR="006227A3">
        <w:rPr>
          <w:rFonts w:hint="cs"/>
          <w:rtl/>
        </w:rPr>
        <w:t>.</w:t>
      </w:r>
      <w:r w:rsidR="00992664" w:rsidRPr="0012008A">
        <w:rPr>
          <w:rStyle w:val="libFootnoteBoldChar"/>
          <w:rtl/>
        </w:rPr>
        <w:t>الوافي</w:t>
      </w:r>
      <w:r w:rsidR="00992664" w:rsidRPr="00020424">
        <w:rPr>
          <w:rtl/>
        </w:rPr>
        <w:t xml:space="preserve"> ، ج 11 ، ص 174 ، ح 10625 ؛ </w:t>
      </w:r>
      <w:r w:rsidR="00992664" w:rsidRPr="0012008A">
        <w:rPr>
          <w:rStyle w:val="libFootnoteBoldChar"/>
          <w:rtl/>
        </w:rPr>
        <w:t>الوسائل</w:t>
      </w:r>
      <w:r w:rsidR="00992664" w:rsidRPr="00020424">
        <w:rPr>
          <w:rtl/>
        </w:rPr>
        <w:t xml:space="preserve"> ، ج 10 ، ص 91 ، ح 12920.</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بس » : + « يتوضّأ للصلاة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بر ، بف » </w:t>
      </w:r>
      <w:r w:rsidR="00992664" w:rsidRPr="006227A3">
        <w:rPr>
          <w:rtl/>
        </w:rPr>
        <w:t>والوافي</w:t>
      </w:r>
      <w:r w:rsidR="00992664" w:rsidRPr="00020424">
        <w:rPr>
          <w:rtl/>
        </w:rPr>
        <w:t xml:space="preserve"> : « يستنشق ويتمضمض</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وحاشية « بث » </w:t>
      </w:r>
      <w:r w:rsidR="00992664" w:rsidRPr="006227A3">
        <w:rPr>
          <w:rtl/>
        </w:rPr>
        <w:t>والوافي</w:t>
      </w:r>
      <w:r w:rsidR="00992664" w:rsidRPr="00020424">
        <w:rPr>
          <w:rtl/>
        </w:rPr>
        <w:t xml:space="preserve"> ومرآة العقول : « لا يبلغ</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11 ، ص 174 ، ح 10627 ؛ </w:t>
      </w:r>
      <w:r w:rsidR="00992664" w:rsidRPr="0012008A">
        <w:rPr>
          <w:rStyle w:val="libFootnoteBoldChar"/>
          <w:rtl/>
        </w:rPr>
        <w:t>الوسائل</w:t>
      </w:r>
      <w:r w:rsidR="00992664" w:rsidRPr="00020424">
        <w:rPr>
          <w:rtl/>
        </w:rPr>
        <w:t xml:space="preserve"> ، ج 10 ، ص 71 ، ح 12853.</w:t>
      </w:r>
    </w:p>
    <w:p w:rsidR="00795177" w:rsidRDefault="00795177" w:rsidP="00795177">
      <w:pPr>
        <w:pStyle w:val="libNormal"/>
        <w:rPr>
          <w:rtl/>
          <w:lang w:bidi="fa-IR"/>
        </w:rPr>
      </w:pPr>
      <w:r>
        <w:rPr>
          <w:rtl/>
          <w:lang w:bidi="fa-IR"/>
        </w:rPr>
        <w:br w:type="page"/>
      </w:r>
    </w:p>
    <w:p w:rsidR="00992664" w:rsidRPr="00020424" w:rsidRDefault="00992664" w:rsidP="006227A3">
      <w:pPr>
        <w:pStyle w:val="libNormal"/>
        <w:rPr>
          <w:rtl/>
          <w:lang w:bidi="fa-IR"/>
        </w:rPr>
      </w:pPr>
      <w:r w:rsidRPr="00020424">
        <w:rPr>
          <w:rtl/>
          <w:lang w:bidi="fa-IR"/>
        </w:rPr>
        <w:t xml:space="preserve">الصَّائِمُ فِي شَهْرِ رَمَضَانَ يَسْتَاكُ مَتى شَاءَ ، وَإِنْ تَمَضْمَضَ فِي </w:t>
      </w:r>
      <w:r w:rsidRPr="00A91B96">
        <w:rPr>
          <w:rStyle w:val="libFootnotenumChar"/>
          <w:rtl/>
        </w:rPr>
        <w:t>(1)</w:t>
      </w:r>
      <w:r w:rsidRPr="00020424">
        <w:rPr>
          <w:rtl/>
          <w:lang w:bidi="fa-IR"/>
        </w:rPr>
        <w:t xml:space="preserve"> وَقْتِ فَرِيضَةٍ </w:t>
      </w:r>
      <w:r w:rsidRPr="00A91B96">
        <w:rPr>
          <w:rStyle w:val="libFootnotenumChar"/>
          <w:rtl/>
        </w:rPr>
        <w:t>(2)</w:t>
      </w:r>
      <w:r w:rsidRPr="00020424">
        <w:rPr>
          <w:rtl/>
          <w:lang w:bidi="fa-IR"/>
        </w:rPr>
        <w:t xml:space="preserve"> ، فَدَخَلَ الْمَاءُ حَلْقَهُ ، فَلَيْسَ عَلَيْهِ شَيْ‌ءٌ </w:t>
      </w:r>
      <w:r w:rsidRPr="00A91B96">
        <w:rPr>
          <w:rStyle w:val="libFootnotenumChar"/>
          <w:rtl/>
        </w:rPr>
        <w:t>(3)</w:t>
      </w:r>
      <w:r w:rsidRPr="00020424">
        <w:rPr>
          <w:rtl/>
          <w:lang w:bidi="fa-IR"/>
        </w:rPr>
        <w:t xml:space="preserve"> ، وَقَدْ تَمَّ صَوْمُهُ ، وَإِنْ تَمَضْمَضَ فِي غَيْرِ وَقْتِ فَرِيضَةٍ ، فَدَخَلَ الْمَاءُ</w:t>
      </w:r>
      <w:r w:rsidRPr="00A91B96">
        <w:rPr>
          <w:rStyle w:val="libFootnotenumChar"/>
          <w:rtl/>
        </w:rPr>
        <w:t>(4)</w:t>
      </w:r>
      <w:r w:rsidRPr="00020424">
        <w:rPr>
          <w:rtl/>
          <w:lang w:bidi="fa-IR"/>
        </w:rPr>
        <w:t xml:space="preserve"> حَلْقَهُ ، فَعَلَيْهِ الْإِعَادَةُ ؛ وَالْأَفْضَلُ لِلصَّائِمِ أَنْ لَايَتَمَضْمَضَ.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379" w:name="_Toc345172842"/>
      <w:bookmarkStart w:id="380" w:name="_Toc464562659"/>
      <w:bookmarkStart w:id="381" w:name="_Toc44599963"/>
      <w:r w:rsidRPr="00020424">
        <w:rPr>
          <w:rtl/>
          <w:lang w:bidi="fa-IR"/>
        </w:rPr>
        <w:t>27</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(6)</w:t>
      </w:r>
      <w:r>
        <w:rPr>
          <w:rtl/>
        </w:rPr>
        <w:t xml:space="preserve"> </w:t>
      </w:r>
      <w:r w:rsidRPr="00020424">
        <w:rPr>
          <w:rtl/>
          <w:lang w:bidi="fa-IR"/>
        </w:rPr>
        <w:t>الصَّائِمِ يَتَقَيَّأُ أَوْ يَذْرَعُهُ الْقَيْ‌ءُ أَوْ يَقْلِسُ‌</w:t>
      </w:r>
      <w:bookmarkEnd w:id="379"/>
      <w:bookmarkEnd w:id="380"/>
      <w:bookmarkEnd w:id="381"/>
    </w:p>
    <w:p w:rsidR="006227A3" w:rsidRDefault="00992664" w:rsidP="006227A3">
      <w:pPr>
        <w:pStyle w:val="libNormal"/>
        <w:rPr>
          <w:rtl/>
          <w:lang w:bidi="fa-IR"/>
        </w:rPr>
      </w:pPr>
      <w:r w:rsidRPr="00932CF0">
        <w:rPr>
          <w:rtl/>
        </w:rPr>
        <w:t>6409</w:t>
      </w:r>
      <w:r w:rsidRPr="001155DE">
        <w:rPr>
          <w:rStyle w:val="libBold2Char"/>
          <w:rtl/>
        </w:rPr>
        <w:t xml:space="preserve"> / 1.</w:t>
      </w:r>
      <w:r w:rsidRPr="00020424">
        <w:rPr>
          <w:rtl/>
          <w:lang w:bidi="fa-IR"/>
        </w:rPr>
        <w:t xml:space="preserve"> مُحَمَّدُ بْنُ إِسْمَاعِيلَ ، عَنِ الْفَضْلِ بْنِ شَاذَانَ ؛</w:t>
      </w:r>
    </w:p>
    <w:p w:rsidR="00992664" w:rsidRPr="00020424" w:rsidRDefault="006227A3" w:rsidP="006227A3">
      <w:pPr>
        <w:pStyle w:val="libNormal"/>
        <w:rPr>
          <w:rtl/>
          <w:lang w:bidi="fa-IR"/>
        </w:rPr>
      </w:pPr>
      <w:r>
        <w:rPr>
          <w:rFonts w:hint="cs"/>
          <w:rtl/>
          <w:lang w:bidi="fa-IR"/>
        </w:rPr>
        <w:t xml:space="preserve">            </w:t>
      </w:r>
      <w:r w:rsidR="00992664" w:rsidRPr="00020424">
        <w:rPr>
          <w:rtl/>
          <w:lang w:bidi="fa-IR"/>
        </w:rPr>
        <w:t>وَأَبُو عَلِيٍّ الْأَشْعَرِيُّ ، عَنْ مُحَمَّدِ بْنِ عَبْدِ الْجَبَّارِ جَمِيعاً ، عَنْ صَفْوَانَ بْنِ يَحْيى ، عَنِ ابْنِ مُسْكَانَ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تَقَيَّأَ الصَّائِمُ ، فَعَلَيْهِ قَضَاءُ ذلِكَ الْيَوْمِ ، وَإِنْ </w:t>
      </w:r>
      <w:r w:rsidRPr="00A91B96">
        <w:rPr>
          <w:rStyle w:val="libFootnotenumChar"/>
          <w:rtl/>
        </w:rPr>
        <w:t>(7)</w:t>
      </w:r>
      <w:r w:rsidRPr="00020424">
        <w:rPr>
          <w:rtl/>
          <w:lang w:bidi="fa-IR"/>
        </w:rPr>
        <w:t xml:space="preserve"> ذَرَعَهُ </w:t>
      </w:r>
      <w:r w:rsidRPr="00A91B96">
        <w:rPr>
          <w:rStyle w:val="libFootnotenumChar"/>
          <w:rtl/>
        </w:rPr>
        <w:t>(8)</w:t>
      </w:r>
      <w:r w:rsidRPr="00020424">
        <w:rPr>
          <w:rtl/>
          <w:lang w:bidi="fa-IR"/>
        </w:rPr>
        <w:t xml:space="preserve"> مِنْ غَيْرِ أَنْ يَتَقَيَّأَ ، فَلْيُتِمَّ صَوْمَهُ</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932CF0">
        <w:rPr>
          <w:rtl/>
        </w:rPr>
        <w:t>6410</w:t>
      </w:r>
      <w:r w:rsidRPr="001155DE">
        <w:rPr>
          <w:rStyle w:val="libBold2Char"/>
          <w:rtl/>
        </w:rPr>
        <w:t xml:space="preserve"> / 2.</w:t>
      </w:r>
      <w:r w:rsidRPr="00020424">
        <w:rPr>
          <w:rtl/>
          <w:lang w:bidi="fa-IR"/>
        </w:rPr>
        <w:t xml:space="preserve"> عَلِيُّ بْنُ إِبْرَاهِيمَ ، عَنْ أَبِيهِ ، عَنِ ابْنِ أَبِي عُمَيْرٍ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 غير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6227A3">
        <w:rPr>
          <w:rtl/>
        </w:rPr>
        <w:t>والوافي والوسائل والتهذيب والاستبصار. وفي ا</w:t>
      </w:r>
      <w:r w:rsidR="00992664" w:rsidRPr="00020424">
        <w:rPr>
          <w:rtl/>
        </w:rPr>
        <w:t>لمطبوع : « فريضته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w:t>
      </w:r>
      <w:r w:rsidR="00992664" w:rsidRPr="008E6B64">
        <w:rPr>
          <w:rtl/>
        </w:rPr>
        <w:t>والوافي والتهذيب والاستبصار</w:t>
      </w:r>
      <w:r w:rsidR="00992664" w:rsidRPr="00020424">
        <w:rPr>
          <w:rtl/>
        </w:rPr>
        <w:t xml:space="preserve"> : « فلا شي‌ء عليه » بدل « فليس عليه شي‌ء</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الماء</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205 ، ح 593 ؛ </w:t>
      </w:r>
      <w:r w:rsidR="00992664" w:rsidRPr="00FD6221">
        <w:rPr>
          <w:rStyle w:val="libFootnoteBoldChar"/>
          <w:rtl/>
        </w:rPr>
        <w:t>والاستبصار</w:t>
      </w:r>
      <w:r w:rsidR="00992664" w:rsidRPr="00020424">
        <w:rPr>
          <w:rtl/>
        </w:rPr>
        <w:t xml:space="preserve"> ، ج 2 ، ص 94 ، ح 304 ، معلّقاً عن الكليني. وراجع : </w:t>
      </w:r>
      <w:r w:rsidR="00992664" w:rsidRPr="00DE76B9">
        <w:rPr>
          <w:rStyle w:val="libFootnoteBoldChar"/>
          <w:rtl/>
        </w:rPr>
        <w:t>الكافي</w:t>
      </w:r>
      <w:r w:rsidR="00992664" w:rsidRPr="00020424">
        <w:rPr>
          <w:rtl/>
        </w:rPr>
        <w:t xml:space="preserve"> ، كتاب الصيام ، باب السواك للصائم ، ح 6428 </w:t>
      </w:r>
      <w:r w:rsidR="008E6B64">
        <w:rPr>
          <w:rFonts w:hint="cs"/>
          <w:rtl/>
        </w:rPr>
        <w:t>.</w:t>
      </w:r>
      <w:r w:rsidR="00992664" w:rsidRPr="0012008A">
        <w:rPr>
          <w:rStyle w:val="libFootnoteBoldChar"/>
          <w:rtl/>
        </w:rPr>
        <w:t>الوافي</w:t>
      </w:r>
      <w:r w:rsidR="00992664" w:rsidRPr="00020424">
        <w:rPr>
          <w:rtl/>
        </w:rPr>
        <w:t xml:space="preserve"> ، ج 11 ، ص 173 ، ح 10623 ؛ </w:t>
      </w:r>
      <w:r w:rsidR="00992664" w:rsidRPr="0012008A">
        <w:rPr>
          <w:rStyle w:val="libFootnoteBoldChar"/>
          <w:rtl/>
        </w:rPr>
        <w:t>الوسائل</w:t>
      </w:r>
      <w:r w:rsidR="00992664" w:rsidRPr="00020424">
        <w:rPr>
          <w:rtl/>
        </w:rPr>
        <w:t xml:space="preserve"> ، ج 10 ، ص 71 ، ح 12854 ؛ </w:t>
      </w:r>
      <w:r w:rsidR="00992664" w:rsidRPr="00DE76B9">
        <w:rPr>
          <w:rStyle w:val="libFootnoteBoldChar"/>
          <w:rtl/>
        </w:rPr>
        <w:t>وفيه</w:t>
      </w:r>
      <w:r w:rsidR="00992664" w:rsidRPr="00020424">
        <w:rPr>
          <w:rtl/>
        </w:rPr>
        <w:t xml:space="preserve"> ، ص 85 ، ح 12902 ، إلى قوله : « يستاك متى شاء</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بح ، بر ، بف ، جن » ومرآة العقول : + «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8E6B64">
        <w:rPr>
          <w:rtl/>
        </w:rPr>
        <w:t>التهذيب</w:t>
      </w:r>
      <w:r w:rsidR="00992664" w:rsidRPr="00020424">
        <w:rPr>
          <w:rtl/>
        </w:rPr>
        <w:t xml:space="preserve"> : « فإن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بح ، بخ ، جن » </w:t>
      </w:r>
      <w:r w:rsidR="00992664" w:rsidRPr="008E6B64">
        <w:rPr>
          <w:rtl/>
        </w:rPr>
        <w:t>والوافي والتهذيب</w:t>
      </w:r>
      <w:r w:rsidR="00992664" w:rsidRPr="00020424">
        <w:rPr>
          <w:rtl/>
        </w:rPr>
        <w:t xml:space="preserve"> : + « القي‌ء</w:t>
      </w:r>
      <w:r w:rsidR="00992664">
        <w:rPr>
          <w:rtl/>
        </w:rPr>
        <w:t xml:space="preserve"> ».</w:t>
      </w:r>
      <w:r w:rsidR="00992664" w:rsidRPr="00020424">
        <w:rPr>
          <w:rtl/>
        </w:rPr>
        <w:t xml:space="preserve"> </w:t>
      </w:r>
      <w:r w:rsidR="00992664">
        <w:rPr>
          <w:rtl/>
        </w:rPr>
        <w:t>و «</w:t>
      </w:r>
      <w:r w:rsidR="00992664" w:rsidRPr="00020424">
        <w:rPr>
          <w:rtl/>
        </w:rPr>
        <w:t xml:space="preserve"> ذَرَعَهُ القي‌ء » ، أي سبقه وغلبه في الخروج. راجع : </w:t>
      </w:r>
      <w:r w:rsidR="00992664" w:rsidRPr="0012008A">
        <w:rPr>
          <w:rStyle w:val="libFootnoteBoldChar"/>
          <w:rtl/>
        </w:rPr>
        <w:t>الصحاح</w:t>
      </w:r>
      <w:r w:rsidR="00992664" w:rsidRPr="00020424">
        <w:rPr>
          <w:rtl/>
        </w:rPr>
        <w:t xml:space="preserve"> ، ج 3 ، ص 1210 ؛ </w:t>
      </w:r>
      <w:r w:rsidR="00992664" w:rsidRPr="0012008A">
        <w:rPr>
          <w:rStyle w:val="libFootnoteBoldChar"/>
          <w:rtl/>
        </w:rPr>
        <w:t>النهاية</w:t>
      </w:r>
      <w:r w:rsidR="00992664" w:rsidRPr="00020424">
        <w:rPr>
          <w:rtl/>
        </w:rPr>
        <w:t xml:space="preserve"> ، ج 2 ، ص 158 ( ذرع )</w:t>
      </w:r>
      <w:r w:rsidR="00992664">
        <w:rPr>
          <w:rtl/>
        </w:rPr>
        <w:t>.</w:t>
      </w:r>
    </w:p>
    <w:p w:rsidR="00992664" w:rsidRPr="00020424" w:rsidRDefault="00795177" w:rsidP="009A1161">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264 ، ح 790 ، معلّقاً عن الكليني </w:t>
      </w:r>
      <w:r w:rsidR="009A1161">
        <w:rPr>
          <w:rFonts w:hint="cs"/>
          <w:rtl/>
        </w:rPr>
        <w:t>.</w:t>
      </w:r>
      <w:r w:rsidR="00992664" w:rsidRPr="0012008A">
        <w:rPr>
          <w:rStyle w:val="libFootnoteBoldChar"/>
          <w:rtl/>
        </w:rPr>
        <w:t>الوافي</w:t>
      </w:r>
      <w:r w:rsidR="00992664" w:rsidRPr="00020424">
        <w:rPr>
          <w:rtl/>
        </w:rPr>
        <w:t xml:space="preserve"> ، ج 11 ، ص 177 ، ح 10629 ؛ </w:t>
      </w:r>
      <w:r w:rsidR="00992664" w:rsidRPr="0012008A">
        <w:rPr>
          <w:rStyle w:val="libFootnoteBoldChar"/>
          <w:rtl/>
        </w:rPr>
        <w:t>الوسائل</w:t>
      </w:r>
      <w:r w:rsidR="00992664" w:rsidRPr="00020424">
        <w:rPr>
          <w:rtl/>
        </w:rPr>
        <w:t xml:space="preserve"> ، ج 10 ، ص 87 ، ح 12908.</w:t>
      </w:r>
      <w:r w:rsidR="009A1161">
        <w:rPr>
          <w:rFonts w:hint="cs"/>
          <w:rtl/>
        </w:rPr>
        <w:t xml:space="preserve">     </w:t>
      </w:r>
      <w:r>
        <w:rPr>
          <w:rtl/>
        </w:rPr>
        <w:t>(10).</w:t>
      </w:r>
      <w:r w:rsidR="0014403D">
        <w:rPr>
          <w:rtl/>
        </w:rPr>
        <w:t xml:space="preserve"> </w:t>
      </w:r>
      <w:r w:rsidR="00992664" w:rsidRPr="00020424">
        <w:rPr>
          <w:rtl/>
        </w:rPr>
        <w:t xml:space="preserve">في </w:t>
      </w:r>
      <w:r w:rsidR="00992664" w:rsidRPr="009A1161">
        <w:rPr>
          <w:rtl/>
        </w:rPr>
        <w:t>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ابن أبي عمير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A1161" w:rsidP="00992664">
      <w:pPr>
        <w:rPr>
          <w:rtl/>
          <w:lang w:bidi="fa-IR"/>
        </w:rPr>
      </w:pPr>
      <w:r>
        <w:rPr>
          <w:rFonts w:hint="cs"/>
          <w:rtl/>
          <w:lang w:bidi="fa-IR"/>
        </w:rPr>
        <w:t xml:space="preserve">           </w:t>
      </w:r>
      <w:r w:rsidR="00992664" w:rsidRPr="00020424">
        <w:rPr>
          <w:rtl/>
          <w:lang w:bidi="fa-IR"/>
        </w:rPr>
        <w:t xml:space="preserve">وَمُحَمَّدُ بْنُ يَحْيى ، عَنْ أَحْمَدَ بْنِ مُحَمَّدٍ </w:t>
      </w:r>
      <w:r w:rsidR="00992664" w:rsidRPr="00A91B96">
        <w:rPr>
          <w:rStyle w:val="libFootnotenumChar"/>
          <w:rtl/>
        </w:rPr>
        <w:t>(1)</w:t>
      </w:r>
      <w:r w:rsidR="00992664" w:rsidRPr="00020424">
        <w:rPr>
          <w:rtl/>
          <w:lang w:bidi="fa-IR"/>
        </w:rPr>
        <w:t xml:space="preserve">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تَقَيَّأَ الصَّائِمُ ، فَقَدْ أَفْطَرَ ، وَإِنْ ذَرَعَهُ مِنْ غَيْرِ أَنْ يَتَقَيَّأَ ، فَلْيُتِمَّ صَوْمَهُ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932CF0">
        <w:rPr>
          <w:rtl/>
        </w:rPr>
        <w:t>6411</w:t>
      </w:r>
      <w:r w:rsidRPr="001155DE">
        <w:rPr>
          <w:rStyle w:val="libBold2Char"/>
          <w:rtl/>
        </w:rPr>
        <w:t xml:space="preserve"> / 3.</w:t>
      </w:r>
      <w:r w:rsidRPr="00020424">
        <w:rPr>
          <w:rtl/>
          <w:lang w:bidi="fa-IR"/>
        </w:rPr>
        <w:t xml:space="preserve"> مُحَمَّدُ بْنُ إِسْمَاعِيلَ ، عَنِ الْفَضْلِ بْنِ شَاذَانَ ، عَنِ ابْنِ أَبِي عُمَيْرٍ ، عَنْ مُعَاوِيَةَ </w:t>
      </w:r>
      <w:r w:rsidRPr="00A91B96">
        <w:rPr>
          <w:rStyle w:val="libFootnotenumChar"/>
          <w:rtl/>
        </w:rPr>
        <w:t>(3)</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الَّذِي </w:t>
      </w:r>
      <w:r w:rsidRPr="00A91B96">
        <w:rPr>
          <w:rStyle w:val="libFootnotenumChar"/>
          <w:rtl/>
        </w:rPr>
        <w:t>(4)</w:t>
      </w:r>
      <w:r w:rsidRPr="00020424">
        <w:rPr>
          <w:rtl/>
          <w:lang w:bidi="fa-IR"/>
        </w:rPr>
        <w:t xml:space="preserve"> يَذْرَعُهُ الْقَيْ‌ءُ وَهُوَ صَائِمٌ ، قَالَ : « يُتِمُّ صَوْمَهُ </w:t>
      </w:r>
      <w:r w:rsidRPr="00A91B96">
        <w:rPr>
          <w:rStyle w:val="libFootnotenumChar"/>
          <w:rtl/>
        </w:rPr>
        <w:t>(5)</w:t>
      </w:r>
      <w:r w:rsidRPr="00020424">
        <w:rPr>
          <w:rtl/>
          <w:lang w:bidi="fa-IR"/>
        </w:rPr>
        <w:t xml:space="preserve"> ، وَلَا يَقْضِي</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932CF0">
        <w:rPr>
          <w:rtl/>
        </w:rPr>
        <w:t>6412</w:t>
      </w:r>
      <w:r w:rsidRPr="001155DE">
        <w:rPr>
          <w:rStyle w:val="libBold2Char"/>
          <w:rtl/>
        </w:rPr>
        <w:t xml:space="preserve"> / 4.</w:t>
      </w:r>
      <w:r w:rsidRPr="00020424">
        <w:rPr>
          <w:rtl/>
          <w:lang w:bidi="fa-IR"/>
        </w:rPr>
        <w:t xml:space="preserve"> مُحَمَّدُ بْنُ يَحْيى ، عَنْ مُحَمَّدِ بْنِ أَحْمَدَ ، عَنْ أَحْمَدَ بْنِ الْحَسَنِ </w:t>
      </w:r>
      <w:r w:rsidRPr="00A91B96">
        <w:rPr>
          <w:rStyle w:val="libFootnotenumChar"/>
          <w:rtl/>
        </w:rPr>
        <w:t>(7)</w:t>
      </w:r>
      <w:r w:rsidRPr="00020424">
        <w:rPr>
          <w:rtl/>
          <w:lang w:bidi="fa-IR"/>
        </w:rPr>
        <w:t xml:space="preserve"> ، عَنْ عَمْرِو بْنِ سَعِيدٍ ، عَنْ مُصَدِّقِ بْنِ صَدَقَةً ، عَنْ عَمَّارِ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يَخْرُجُ مِنْ جَوْفِهِ الْقَلْسُ </w:t>
      </w:r>
      <w:r w:rsidRPr="00A91B96">
        <w:rPr>
          <w:rStyle w:val="libFootnotenumChar"/>
          <w:rtl/>
        </w:rPr>
        <w:t>(8)</w:t>
      </w:r>
      <w:r w:rsidRPr="00020424">
        <w:rPr>
          <w:rtl/>
          <w:lang w:bidi="fa-IR"/>
        </w:rPr>
        <w:t xml:space="preserve"> حَتّى يَبْلُغَ‌</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جر » </w:t>
      </w:r>
      <w:r w:rsidR="00992664" w:rsidRPr="009A1161">
        <w:rPr>
          <w:rtl/>
        </w:rPr>
        <w:t>والتهذيب</w:t>
      </w:r>
      <w:r w:rsidR="00992664" w:rsidRPr="00020424">
        <w:rPr>
          <w:rtl/>
        </w:rPr>
        <w:t xml:space="preserve">. وفي « ظ ، ى ، بث ، بح ، بر ، بس ، بف ، جن » والمطبوع </w:t>
      </w:r>
      <w:r w:rsidR="00992664" w:rsidRPr="009A1161">
        <w:rPr>
          <w:rtl/>
        </w:rPr>
        <w:t>والوسائل</w:t>
      </w:r>
      <w:r w:rsidR="00992664" w:rsidRPr="00020424">
        <w:rPr>
          <w:rtl/>
        </w:rPr>
        <w:t xml:space="preserve"> </w:t>
      </w:r>
      <w:r w:rsidR="009A1161">
        <w:rPr>
          <w:rtl/>
        </w:rPr>
        <w:t>: + «</w:t>
      </w:r>
      <w:r w:rsidR="00992664" w:rsidRPr="00020424">
        <w:rPr>
          <w:rtl/>
        </w:rPr>
        <w:t>جميعاً</w:t>
      </w:r>
      <w:r w:rsidR="00992664">
        <w:rPr>
          <w:rtl/>
        </w:rPr>
        <w:t xml:space="preserve"> ».</w:t>
      </w:r>
    </w:p>
    <w:p w:rsidR="00992664" w:rsidRPr="00020424" w:rsidRDefault="00992664" w:rsidP="009A1161">
      <w:pPr>
        <w:pStyle w:val="libFootnote0"/>
        <w:rPr>
          <w:rtl/>
          <w:lang w:bidi="fa-IR"/>
        </w:rPr>
      </w:pPr>
      <w:r w:rsidRPr="00D82B22">
        <w:rPr>
          <w:rtl/>
        </w:rPr>
        <w:t>ويؤيّد ما أثبتناه ما ورد في « بخ » ؛ من عليّ بن إبراهيم ، عن أبيه ، عن ابن أبي عمير ، عن حمّاد ، عن الحلبي إلخ ؛ فإنّ الظاهر جواز النظر عن « ابن أبي عمير » في الطريق الأوّل ، إلى « ابن أبي عمير » المذكور في الطريق الثاني فوقع السقط.</w:t>
      </w:r>
    </w:p>
    <w:p w:rsidR="00992664" w:rsidRPr="00020424" w:rsidRDefault="00795177" w:rsidP="009A1161">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264 ، ح 791 ، معلّقاً عن الكليني </w:t>
      </w:r>
      <w:r w:rsidR="009A1161">
        <w:rPr>
          <w:rFonts w:hint="cs"/>
          <w:rtl/>
        </w:rPr>
        <w:t>.</w:t>
      </w:r>
      <w:r w:rsidR="00992664" w:rsidRPr="0012008A">
        <w:rPr>
          <w:rStyle w:val="libFootnoteBoldChar"/>
          <w:rtl/>
        </w:rPr>
        <w:t>الوافي</w:t>
      </w:r>
      <w:r w:rsidR="00992664" w:rsidRPr="00020424">
        <w:rPr>
          <w:rtl/>
        </w:rPr>
        <w:t xml:space="preserve"> ، ج 11 ، ص 177 ، ح 10630 ؛ </w:t>
      </w:r>
      <w:r w:rsidR="00992664" w:rsidRPr="0012008A">
        <w:rPr>
          <w:rStyle w:val="libFootnoteBoldChar"/>
          <w:rtl/>
        </w:rPr>
        <w:t>الوسائل</w:t>
      </w:r>
      <w:r w:rsidR="00992664" w:rsidRPr="00020424">
        <w:rPr>
          <w:rtl/>
        </w:rPr>
        <w:t xml:space="preserve"> ، ج 10 ، ص 86 ، ح 12906.</w:t>
      </w:r>
      <w:r w:rsidR="00B04396">
        <w:rPr>
          <w:rFonts w:hint="cs"/>
          <w:rtl/>
        </w:rPr>
        <w:t xml:space="preserve">          </w:t>
      </w:r>
      <w:r w:rsidR="009A1161">
        <w:rPr>
          <w:rFonts w:hint="cs"/>
          <w:rtl/>
        </w:rPr>
        <w:t xml:space="preserve">    </w:t>
      </w:r>
      <w:r>
        <w:rPr>
          <w:rtl/>
        </w:rPr>
        <w:t>(3).</w:t>
      </w:r>
      <w:r w:rsidR="0014403D">
        <w:rPr>
          <w:rtl/>
        </w:rPr>
        <w:t xml:space="preserve"> </w:t>
      </w:r>
      <w:r w:rsidR="00992664" w:rsidRPr="00020424">
        <w:rPr>
          <w:rtl/>
        </w:rPr>
        <w:t>في « بث » : + « بن عمّار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A1161" w:rsidTr="009A1161">
        <w:tc>
          <w:tcPr>
            <w:tcW w:w="4006" w:type="dxa"/>
          </w:tcPr>
          <w:p w:rsidR="009A1161" w:rsidRDefault="009A1161" w:rsidP="00992664">
            <w:pPr>
              <w:pStyle w:val="libFootnote0"/>
              <w:rPr>
                <w:rtl/>
              </w:rPr>
            </w:pPr>
            <w:r>
              <w:rPr>
                <w:rtl/>
              </w:rPr>
              <w:t xml:space="preserve">(4). </w:t>
            </w:r>
            <w:r w:rsidRPr="00020424">
              <w:rPr>
                <w:rtl/>
              </w:rPr>
              <w:t>في « بح » : « رجل</w:t>
            </w:r>
            <w:r>
              <w:rPr>
                <w:rtl/>
              </w:rPr>
              <w:t xml:space="preserve"> ».</w:t>
            </w:r>
          </w:p>
        </w:tc>
        <w:tc>
          <w:tcPr>
            <w:tcW w:w="4006" w:type="dxa"/>
          </w:tcPr>
          <w:p w:rsidR="009A1161" w:rsidRDefault="009A1161" w:rsidP="00992664">
            <w:pPr>
              <w:pStyle w:val="libFootnote0"/>
              <w:rPr>
                <w:rtl/>
              </w:rPr>
            </w:pPr>
            <w:r>
              <w:rPr>
                <w:rtl/>
              </w:rPr>
              <w:t xml:space="preserve">(5). </w:t>
            </w:r>
            <w:r w:rsidRPr="00020424">
              <w:rPr>
                <w:rtl/>
              </w:rPr>
              <w:t>في « ى » :</w:t>
            </w:r>
            <w:r>
              <w:rPr>
                <w:rtl/>
              </w:rPr>
              <w:t xml:space="preserve"> - </w:t>
            </w:r>
            <w:r w:rsidRPr="00020424">
              <w:rPr>
                <w:rtl/>
              </w:rPr>
              <w:t>« صومه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111 ، ح 1868 ، بسند آخر ، مع اختلاف يسير وزيادة في آخره.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وتمام الرواية : « الرعاف والقلس والقي‌ء</w:t>
      </w:r>
      <w:r w:rsidR="00AF0564">
        <w:rPr>
          <w:rtl/>
        </w:rPr>
        <w:t xml:space="preserve"> لاينقض الصوم إل</w:t>
      </w:r>
      <w:r w:rsidR="00AF0564">
        <w:rPr>
          <w:rFonts w:hint="cs"/>
          <w:rtl/>
        </w:rPr>
        <w:t>ّ</w:t>
      </w:r>
      <w:r w:rsidR="00AF0564">
        <w:rPr>
          <w:rtl/>
        </w:rPr>
        <w:t>ا</w:t>
      </w:r>
      <w:r w:rsidR="00992664">
        <w:rPr>
          <w:rFonts w:hint="cs"/>
          <w:rtl/>
        </w:rPr>
        <w:t xml:space="preserve"> </w:t>
      </w:r>
      <w:r w:rsidR="00992664" w:rsidRPr="00020424">
        <w:rPr>
          <w:rtl/>
        </w:rPr>
        <w:t xml:space="preserve">أن يتقيّأ متعمّداً » </w:t>
      </w:r>
      <w:r w:rsidR="00AF0564">
        <w:rPr>
          <w:rFonts w:hint="cs"/>
          <w:rtl/>
        </w:rPr>
        <w:t>.</w:t>
      </w:r>
      <w:r w:rsidR="00992664" w:rsidRPr="0012008A">
        <w:rPr>
          <w:rStyle w:val="libFootnoteBoldChar"/>
          <w:rtl/>
        </w:rPr>
        <w:t>الوافي</w:t>
      </w:r>
      <w:r w:rsidR="00992664" w:rsidRPr="00020424">
        <w:rPr>
          <w:rtl/>
        </w:rPr>
        <w:t xml:space="preserve"> ، ج 11 ، ص 178 ، ح 10633 ؛ </w:t>
      </w:r>
      <w:r w:rsidR="00992664" w:rsidRPr="0012008A">
        <w:rPr>
          <w:rStyle w:val="libFootnoteBoldChar"/>
          <w:rtl/>
        </w:rPr>
        <w:t>الوسائل</w:t>
      </w:r>
      <w:r w:rsidR="00992664" w:rsidRPr="00020424">
        <w:rPr>
          <w:rtl/>
        </w:rPr>
        <w:t xml:space="preserve"> ، ج 10 ، ص 87 ، ح 12909.</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ى ، بخ ، بر ، بف ، جن » : « الحسين » ، وقد تقدّم غير مرّة أنّ أحمد هذا ، هو أحمد بن الحسن بن عليّ بن‌فضّال. راجع : </w:t>
      </w:r>
      <w:r w:rsidR="00992664" w:rsidRPr="00DE76B9">
        <w:rPr>
          <w:rStyle w:val="libFootnoteBoldChar"/>
          <w:rtl/>
        </w:rPr>
        <w:t>معجم رجال الحديث</w:t>
      </w:r>
      <w:r w:rsidR="00992664" w:rsidRPr="00020424">
        <w:rPr>
          <w:rtl/>
        </w:rPr>
        <w:t xml:space="preserve"> ، ج 2 ، ص 436</w:t>
      </w:r>
      <w:r w:rsidR="00992664">
        <w:rPr>
          <w:rtl/>
        </w:rPr>
        <w:t xml:space="preserve"> </w:t>
      </w:r>
      <w:r w:rsidR="009B673F">
        <w:rPr>
          <w:rtl/>
        </w:rPr>
        <w:t>-</w:t>
      </w:r>
      <w:r w:rsidR="00992664">
        <w:rPr>
          <w:rtl/>
        </w:rPr>
        <w:t xml:space="preserve"> </w:t>
      </w:r>
      <w:r w:rsidR="00992664" w:rsidRPr="00020424">
        <w:rPr>
          <w:rtl/>
        </w:rPr>
        <w:t>439.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قال الخليل : « القَلْسُ : ما خرج من الحلق مِلْ‌ءَ الفم أو دونه وليس بقي‌ء ، فإذا غلب فهو القي‌ء</w:t>
      </w:r>
      <w:r w:rsidR="00992664">
        <w:rPr>
          <w:rtl/>
        </w:rPr>
        <w:t xml:space="preserve"> ».</w:t>
      </w:r>
      <w:r w:rsidR="00992664" w:rsidRPr="00020424">
        <w:rPr>
          <w:rtl/>
        </w:rPr>
        <w:t xml:space="preserve"> نقله عنه</w:t>
      </w:r>
      <w:r w:rsidR="00AF0564">
        <w:rPr>
          <w:rFonts w:hint="cs"/>
          <w:rtl/>
        </w:rPr>
        <w:t xml:space="preserve"> </w:t>
      </w:r>
      <w:r w:rsidR="00AF0564">
        <w:rPr>
          <w:rtl/>
        </w:rPr>
        <w:t>‌الجوهري أيضاً إل</w:t>
      </w:r>
      <w:r w:rsidR="00AF0564">
        <w:rPr>
          <w:rFonts w:hint="cs"/>
          <w:rtl/>
        </w:rPr>
        <w:t>ّ</w:t>
      </w:r>
      <w:r w:rsidR="00AF0564">
        <w:rPr>
          <w:rtl/>
        </w:rPr>
        <w:t>ا</w:t>
      </w:r>
      <w:r w:rsidR="00992664">
        <w:rPr>
          <w:rFonts w:hint="cs"/>
          <w:rtl/>
        </w:rPr>
        <w:t xml:space="preserve"> </w:t>
      </w:r>
      <w:r w:rsidR="00992664" w:rsidRPr="00020424">
        <w:rPr>
          <w:rtl/>
        </w:rPr>
        <w:t>أنّه نقل : « فإذا عاد » بدل « فإذا غلب</w:t>
      </w:r>
      <w:r w:rsidR="00992664">
        <w:rPr>
          <w:rtl/>
        </w:rPr>
        <w:t xml:space="preserve"> ».</w:t>
      </w:r>
      <w:r w:rsidR="00992664" w:rsidRPr="00020424">
        <w:rPr>
          <w:rtl/>
        </w:rPr>
        <w:t xml:space="preserve"> وقال ابن الأثير : « القلس بالتحريك ، وقيل بالسكون : </w:t>
      </w:r>
      <w:r w:rsidR="00AF056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الْحَلْقَ ، ثُمَّ يَرْجِعُ إِلى جَوْفِهِ وَهُوَ صَائِمٌ</w:t>
      </w:r>
      <w:r>
        <w:rPr>
          <w:rtl/>
          <w:lang w:bidi="fa-IR"/>
        </w:rPr>
        <w:t>؟</w:t>
      </w:r>
    </w:p>
    <w:p w:rsidR="00992664" w:rsidRPr="00020424" w:rsidRDefault="00992664" w:rsidP="00992664">
      <w:pPr>
        <w:pStyle w:val="libNormal"/>
        <w:rPr>
          <w:rtl/>
          <w:lang w:bidi="fa-IR"/>
        </w:rPr>
      </w:pPr>
      <w:r w:rsidRPr="00020424">
        <w:rPr>
          <w:rtl/>
          <w:lang w:bidi="fa-IR"/>
        </w:rPr>
        <w:t xml:space="preserve">قَالَ : « لَيْسَ بِشَيْ‌ءٍ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932CF0">
        <w:rPr>
          <w:rtl/>
        </w:rPr>
        <w:t>6413</w:t>
      </w:r>
      <w:r w:rsidRPr="001155DE">
        <w:rPr>
          <w:rStyle w:val="libBold2Char"/>
          <w:rtl/>
        </w:rPr>
        <w:t xml:space="preserve"> / 5.</w:t>
      </w:r>
      <w:r w:rsidRPr="00020424">
        <w:rPr>
          <w:rtl/>
          <w:lang w:bidi="fa-IR"/>
        </w:rPr>
        <w:t xml:space="preserve"> مُحَمَّدُ بْنُ يَحْيى ، عَنْ مُحَمَّدِ بْنِ الْحُسَيْنِ ، عَنْ عَلِيِّ بْنِ الْحَكَمِ ، عَنِ الْعَلَاءِ </w:t>
      </w:r>
      <w:r w:rsidRPr="00A91B96">
        <w:rPr>
          <w:rStyle w:val="libFootnotenumChar"/>
          <w:rtl/>
        </w:rPr>
        <w:t>(3)</w:t>
      </w:r>
      <w:r w:rsidRPr="00020424">
        <w:rPr>
          <w:rtl/>
          <w:lang w:bidi="fa-IR"/>
        </w:rPr>
        <w:t xml:space="preserve"> بْنِ رَزِينٍ ، عَنْ مُحَمَّدِ بْنِ مُسْلِمٍ ، قَالَ :</w:t>
      </w:r>
    </w:p>
    <w:p w:rsidR="00992664" w:rsidRPr="00020424" w:rsidRDefault="00992664" w:rsidP="00992664">
      <w:pPr>
        <w:pStyle w:val="libNormal"/>
        <w:rPr>
          <w:rtl/>
          <w:lang w:bidi="fa-IR"/>
        </w:rPr>
      </w:pPr>
      <w:r w:rsidRPr="00020424">
        <w:rPr>
          <w:rtl/>
          <w:lang w:bidi="fa-IR"/>
        </w:rPr>
        <w:t xml:space="preserve">سُئِلَ أَبُو جَعْفَرٍ </w:t>
      </w:r>
      <w:r w:rsidRPr="00A91B96">
        <w:rPr>
          <w:rStyle w:val="libFootnotenumChar"/>
          <w:rtl/>
        </w:rPr>
        <w:t>(4)</w:t>
      </w:r>
      <w:r w:rsidRPr="00020424">
        <w:rPr>
          <w:rtl/>
          <w:lang w:bidi="fa-IR"/>
        </w:rPr>
        <w:t xml:space="preserve"> </w:t>
      </w:r>
      <w:r w:rsidRPr="00005A81">
        <w:rPr>
          <w:rStyle w:val="libAlaemChar"/>
          <w:rtl/>
        </w:rPr>
        <w:t>عليه‌السلام</w:t>
      </w:r>
      <w:r w:rsidRPr="00020424">
        <w:rPr>
          <w:rtl/>
          <w:lang w:bidi="fa-IR"/>
        </w:rPr>
        <w:t xml:space="preserve"> عَنِ الْقَلْسِ يُفَطِّرُ الصَّائِمَ</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932CF0">
        <w:rPr>
          <w:rtl/>
        </w:rPr>
        <w:t>6414</w:t>
      </w:r>
      <w:r w:rsidRPr="001155DE">
        <w:rPr>
          <w:rStyle w:val="libBold2Char"/>
          <w:rtl/>
        </w:rPr>
        <w:t xml:space="preserve"> / 6.</w:t>
      </w:r>
      <w:r w:rsidRPr="00020424">
        <w:rPr>
          <w:rtl/>
          <w:lang w:bidi="fa-IR"/>
        </w:rPr>
        <w:t xml:space="preserve"> مُحَمَّدُ بْنُ يَحْيى </w:t>
      </w:r>
      <w:r w:rsidRPr="00A91B96">
        <w:rPr>
          <w:rStyle w:val="libFootnotenumChar"/>
          <w:rtl/>
        </w:rPr>
        <w:t>(6)</w:t>
      </w:r>
      <w:r w:rsidRPr="00020424">
        <w:rPr>
          <w:rtl/>
          <w:lang w:bidi="fa-IR"/>
        </w:rPr>
        <w:t xml:space="preserve"> ، عَنْ أَحْمَدَ بْنِ مُحَمَّدٍ ، عَنْ عُثْمَانَ بْنِ عِيسى ، عَنْ سَمَاعَةَ ، قَالَ :</w:t>
      </w:r>
    </w:p>
    <w:p w:rsidR="00992664" w:rsidRPr="00020424" w:rsidRDefault="00992664" w:rsidP="00992664">
      <w:pPr>
        <w:pStyle w:val="libNormal"/>
        <w:rPr>
          <w:rtl/>
          <w:lang w:bidi="fa-IR"/>
        </w:rPr>
      </w:pPr>
      <w:r w:rsidRPr="00020424">
        <w:rPr>
          <w:rtl/>
          <w:lang w:bidi="fa-IR"/>
        </w:rPr>
        <w:t>سَأَلْتُهُ عَنِ الْقَلْسِ</w:t>
      </w:r>
      <w:r>
        <w:rPr>
          <w:rtl/>
          <w:lang w:bidi="fa-IR"/>
        </w:rPr>
        <w:t xml:space="preserve"> </w:t>
      </w:r>
      <w:r w:rsidR="009B673F">
        <w:rPr>
          <w:rtl/>
          <w:lang w:bidi="fa-IR"/>
        </w:rPr>
        <w:t>-</w:t>
      </w:r>
      <w:r>
        <w:rPr>
          <w:rtl/>
          <w:lang w:bidi="fa-IR"/>
        </w:rPr>
        <w:t xml:space="preserve"> </w:t>
      </w:r>
      <w:r w:rsidRPr="00020424">
        <w:rPr>
          <w:rtl/>
          <w:lang w:bidi="fa-IR"/>
        </w:rPr>
        <w:t xml:space="preserve">وَهِيَ الْجُشْأَةُ </w:t>
      </w:r>
      <w:r w:rsidRPr="00A91B96">
        <w:rPr>
          <w:rStyle w:val="libFootnotenumChar"/>
          <w:rtl/>
        </w:rPr>
        <w:t>(7)</w:t>
      </w:r>
      <w:r>
        <w:rPr>
          <w:rtl/>
          <w:lang w:bidi="fa-IR"/>
        </w:rPr>
        <w:t xml:space="preserve"> </w:t>
      </w:r>
      <w:r w:rsidR="009B673F">
        <w:rPr>
          <w:rtl/>
          <w:lang w:bidi="fa-IR"/>
        </w:rPr>
        <w:t>-</w:t>
      </w:r>
      <w:r>
        <w:rPr>
          <w:rtl/>
          <w:lang w:bidi="fa-IR"/>
        </w:rPr>
        <w:t xml:space="preserve"> </w:t>
      </w:r>
      <w:r w:rsidRPr="00020424">
        <w:rPr>
          <w:rtl/>
          <w:lang w:bidi="fa-IR"/>
        </w:rPr>
        <w:t>يَرْتَفِعُ الطَّعَامُ مِنْ جَوْفِ الرَّجُلِ مِنْ غَيْرِ أَنْ يَكُونَ تَقَيَّأَ وَهُوَ قَائِمٌ فِي الصَّلَاةِ</w:t>
      </w:r>
      <w:r>
        <w:rPr>
          <w:rtl/>
          <w:lang w:bidi="fa-IR"/>
        </w:rPr>
        <w:t>؟</w:t>
      </w:r>
    </w:p>
    <w:p w:rsidR="00992664" w:rsidRPr="00020424" w:rsidRDefault="00992664" w:rsidP="00992664">
      <w:pPr>
        <w:pStyle w:val="libNormal"/>
        <w:rPr>
          <w:rtl/>
          <w:lang w:bidi="fa-IR"/>
        </w:rPr>
      </w:pPr>
      <w:r w:rsidRPr="00020424">
        <w:rPr>
          <w:rtl/>
          <w:lang w:bidi="fa-IR"/>
        </w:rPr>
        <w:t xml:space="preserve">قَالَ : « لَا يَنْقُضُ ذلِكَ وُضُوءَهُ ، وَلَايَقْطَعُ </w:t>
      </w:r>
      <w:r w:rsidRPr="00A91B96">
        <w:rPr>
          <w:rStyle w:val="libFootnotenumChar"/>
          <w:rtl/>
        </w:rPr>
        <w:t>(8)</w:t>
      </w:r>
      <w:r w:rsidRPr="00020424">
        <w:rPr>
          <w:rtl/>
          <w:lang w:bidi="fa-IR"/>
        </w:rPr>
        <w:t xml:space="preserve"> صَلَاتَهُ ، وَلَايُفَطِّرُ </w:t>
      </w:r>
      <w:r w:rsidRPr="00A91B96">
        <w:rPr>
          <w:rStyle w:val="libFootnotenumChar"/>
          <w:rtl/>
        </w:rPr>
        <w:t>(9)</w:t>
      </w:r>
      <w:r w:rsidRPr="00020424">
        <w:rPr>
          <w:rtl/>
          <w:lang w:bidi="fa-IR"/>
        </w:rPr>
        <w:t xml:space="preserve"> صِيَامَهُ</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AF0564" w:rsidP="00992664">
      <w:pPr>
        <w:pStyle w:val="libFootnote0"/>
        <w:rPr>
          <w:rtl/>
          <w:lang w:bidi="fa-IR"/>
        </w:rPr>
      </w:pPr>
      <w:r>
        <w:rPr>
          <w:rFonts w:hint="cs"/>
          <w:rtl/>
        </w:rPr>
        <w:t xml:space="preserve">= </w:t>
      </w:r>
      <w:r w:rsidR="00992664" w:rsidRPr="00020424">
        <w:rPr>
          <w:rtl/>
        </w:rPr>
        <w:t>ما خرج</w:t>
      </w:r>
      <w:r w:rsidR="00992664">
        <w:rPr>
          <w:rtl/>
        </w:rPr>
        <w:t xml:space="preserve"> ..</w:t>
      </w:r>
      <w:r w:rsidR="00992664" w:rsidRPr="00020424">
        <w:rPr>
          <w:rtl/>
        </w:rPr>
        <w:t>.</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3 ، ص 1517 ؛ </w:t>
      </w:r>
      <w:r w:rsidR="00992664" w:rsidRPr="0012008A">
        <w:rPr>
          <w:rStyle w:val="libFootnoteBoldChar"/>
          <w:rtl/>
        </w:rPr>
        <w:t>الصحاح</w:t>
      </w:r>
      <w:r w:rsidR="00992664" w:rsidRPr="00020424">
        <w:rPr>
          <w:rtl/>
        </w:rPr>
        <w:t xml:space="preserve"> ، ج 3 ، ص 965 ؛ </w:t>
      </w:r>
      <w:r w:rsidR="00992664" w:rsidRPr="0012008A">
        <w:rPr>
          <w:rStyle w:val="libFootnoteBoldChar"/>
          <w:rtl/>
        </w:rPr>
        <w:t>النهاية</w:t>
      </w:r>
      <w:r w:rsidR="00992664" w:rsidRPr="00020424">
        <w:rPr>
          <w:rtl/>
        </w:rPr>
        <w:t xml:space="preserve"> ، ج 4 ، ص 100 ( قلس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ليس بشي‌ء ، إمّا لعدم الاختيار ، أو لعدم الوصول إلى الفم. والأوّل أظهر</w:t>
      </w:r>
      <w:r w:rsidR="00992664">
        <w:rPr>
          <w:rtl/>
        </w:rPr>
        <w:t xml:space="preserve"> ».</w:t>
      </w:r>
    </w:p>
    <w:p w:rsidR="00992664" w:rsidRPr="00020424" w:rsidRDefault="00795177" w:rsidP="00AF05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265 ، ح 769 ، بسند آخر ، مع اختلاف </w:t>
      </w:r>
      <w:r w:rsidR="00AF0564">
        <w:rPr>
          <w:rFonts w:hint="cs"/>
          <w:rtl/>
        </w:rPr>
        <w:t>.</w:t>
      </w:r>
      <w:r w:rsidR="00992664" w:rsidRPr="0012008A">
        <w:rPr>
          <w:rStyle w:val="libFootnoteBoldChar"/>
          <w:rtl/>
        </w:rPr>
        <w:t>الوافي</w:t>
      </w:r>
      <w:r w:rsidR="00992664" w:rsidRPr="00020424">
        <w:rPr>
          <w:rtl/>
        </w:rPr>
        <w:t xml:space="preserve"> ، ج 11 ، ص 178 ، ح 10635 ؛ </w:t>
      </w:r>
      <w:r w:rsidR="00992664" w:rsidRPr="0012008A">
        <w:rPr>
          <w:rStyle w:val="libFootnoteBoldChar"/>
          <w:rtl/>
        </w:rPr>
        <w:t>الوسائل</w:t>
      </w:r>
      <w:r w:rsidR="00992664" w:rsidRPr="00020424">
        <w:rPr>
          <w:rtl/>
        </w:rPr>
        <w:t xml:space="preserve"> ، ج 10 ، ص 90 ، ح 12917.</w:t>
      </w:r>
      <w:r w:rsidR="00AF0564">
        <w:rPr>
          <w:rFonts w:hint="cs"/>
          <w:rtl/>
        </w:rPr>
        <w:t xml:space="preserve">  </w:t>
      </w:r>
      <w:r>
        <w:rPr>
          <w:rtl/>
        </w:rPr>
        <w:t>(3).</w:t>
      </w:r>
      <w:r w:rsidR="0014403D">
        <w:rPr>
          <w:rtl/>
        </w:rPr>
        <w:t xml:space="preserve"> </w:t>
      </w:r>
      <w:r w:rsidR="00992664" w:rsidRPr="00020424">
        <w:rPr>
          <w:rtl/>
        </w:rPr>
        <w:t>في « ى ، بخ ، بف ، جر » : « علا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أبو عبد الله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110 ، ح 1866 ، معلّقاً عن العلاء ، عن محمّد بن مسلم. </w:t>
      </w:r>
      <w:r w:rsidR="00992664" w:rsidRPr="0012008A">
        <w:rPr>
          <w:rStyle w:val="libFootnoteBoldChar"/>
          <w:rtl/>
        </w:rPr>
        <w:t>التهذيب</w:t>
      </w:r>
      <w:r w:rsidR="00992664" w:rsidRPr="00020424">
        <w:rPr>
          <w:rtl/>
        </w:rPr>
        <w:t xml:space="preserve"> ، ج 4 ، ص 265 ، ح 795 ، بسنده عن علاء بن رزين </w:t>
      </w:r>
      <w:r w:rsidR="00AF0564">
        <w:rPr>
          <w:rFonts w:hint="cs"/>
          <w:rtl/>
        </w:rPr>
        <w:t>.</w:t>
      </w:r>
      <w:r w:rsidR="00992664" w:rsidRPr="0012008A">
        <w:rPr>
          <w:rStyle w:val="libFootnoteBoldChar"/>
          <w:rtl/>
        </w:rPr>
        <w:t>الوافي</w:t>
      </w:r>
      <w:r w:rsidR="00992664" w:rsidRPr="00020424">
        <w:rPr>
          <w:rtl/>
        </w:rPr>
        <w:t xml:space="preserve"> ، ج 11 ، ص 179 ، ح 10636 ؛ </w:t>
      </w:r>
      <w:r w:rsidR="00992664" w:rsidRPr="0012008A">
        <w:rPr>
          <w:rStyle w:val="libFootnoteBoldChar"/>
          <w:rtl/>
        </w:rPr>
        <w:t>الوسائل</w:t>
      </w:r>
      <w:r w:rsidR="00992664" w:rsidRPr="00020424">
        <w:rPr>
          <w:rtl/>
        </w:rPr>
        <w:t xml:space="preserve"> ، ج 10 ، ص 89 ، ح 12916.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بخ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الجشأة » ، مثال عُمْدَة : الاسم من التجشّؤ ، بمعنى تنفّس المعدة ، وقال الفيّومي : « هو صوت مع ريح يحصل‌من الفم عند حصول الشبع</w:t>
      </w:r>
      <w:r w:rsidR="00992664">
        <w:rPr>
          <w:rtl/>
        </w:rPr>
        <w:t xml:space="preserve"> ».</w:t>
      </w:r>
      <w:r w:rsidR="00992664" w:rsidRPr="00020424">
        <w:rPr>
          <w:rtl/>
        </w:rPr>
        <w:t xml:space="preserve"> راجع : </w:t>
      </w:r>
      <w:r w:rsidR="00992664" w:rsidRPr="00A722B1">
        <w:rPr>
          <w:rStyle w:val="libFootnoteBoldChar"/>
          <w:rtl/>
        </w:rPr>
        <w:t>المصباح المنير</w:t>
      </w:r>
      <w:r w:rsidR="00992664" w:rsidRPr="00020424">
        <w:rPr>
          <w:rtl/>
        </w:rPr>
        <w:t xml:space="preserve"> ، ص 102 ؛ </w:t>
      </w:r>
      <w:r w:rsidR="00992664" w:rsidRPr="00A722B1">
        <w:rPr>
          <w:rStyle w:val="libFootnoteBoldChar"/>
          <w:rtl/>
        </w:rPr>
        <w:t>القاموس المحيط</w:t>
      </w:r>
      <w:r w:rsidR="00AF0564">
        <w:rPr>
          <w:rtl/>
        </w:rPr>
        <w:t xml:space="preserve"> ، ج 1 ، ص 99 (</w:t>
      </w:r>
      <w:r w:rsidR="00992664" w:rsidRPr="00020424">
        <w:rPr>
          <w:rtl/>
        </w:rPr>
        <w:t>جشأ )</w:t>
      </w:r>
      <w:r w:rsidR="00992664">
        <w:rPr>
          <w:rtl/>
        </w:rPr>
        <w:t>.</w:t>
      </w:r>
    </w:p>
    <w:tbl>
      <w:tblPr>
        <w:tblStyle w:val="TableGrid"/>
        <w:bidiVisual/>
        <w:tblW w:w="0" w:type="auto"/>
        <w:tblLook w:val="04A0" w:firstRow="1" w:lastRow="0" w:firstColumn="1" w:lastColumn="0" w:noHBand="0" w:noVBand="1"/>
      </w:tblPr>
      <w:tblGrid>
        <w:gridCol w:w="4006"/>
        <w:gridCol w:w="4006"/>
      </w:tblGrid>
      <w:tr w:rsidR="00AF0564" w:rsidTr="00AF0564">
        <w:tc>
          <w:tcPr>
            <w:tcW w:w="4006" w:type="dxa"/>
          </w:tcPr>
          <w:p w:rsidR="00AF0564" w:rsidRDefault="00AF0564" w:rsidP="00992664">
            <w:pPr>
              <w:pStyle w:val="libFootnote0"/>
              <w:rPr>
                <w:rtl/>
                <w:lang w:bidi="fa-IR"/>
              </w:rPr>
            </w:pPr>
            <w:r>
              <w:rPr>
                <w:rtl/>
              </w:rPr>
              <w:t xml:space="preserve">(8). </w:t>
            </w:r>
            <w:r w:rsidRPr="00020424">
              <w:rPr>
                <w:rtl/>
              </w:rPr>
              <w:t>في « ظ » : « ولا تقطع</w:t>
            </w:r>
            <w:r>
              <w:rPr>
                <w:rtl/>
              </w:rPr>
              <w:t xml:space="preserve"> ».</w:t>
            </w:r>
          </w:p>
        </w:tc>
        <w:tc>
          <w:tcPr>
            <w:tcW w:w="4006" w:type="dxa"/>
          </w:tcPr>
          <w:p w:rsidR="00AF0564" w:rsidRDefault="00AF0564" w:rsidP="00992664">
            <w:pPr>
              <w:pStyle w:val="libFootnote0"/>
              <w:rPr>
                <w:rtl/>
                <w:lang w:bidi="fa-IR"/>
              </w:rPr>
            </w:pPr>
            <w:r>
              <w:rPr>
                <w:rtl/>
              </w:rPr>
              <w:t xml:space="preserve">(9). </w:t>
            </w:r>
            <w:r w:rsidRPr="00020424">
              <w:rPr>
                <w:rtl/>
              </w:rPr>
              <w:t>في « بخ » : « ولا يفسد</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264 ، ح 794 ، معلّقاً عن الكليني </w:t>
      </w:r>
      <w:r w:rsidR="00AF0564">
        <w:rPr>
          <w:rFonts w:hint="cs"/>
          <w:rtl/>
        </w:rPr>
        <w:t>.</w:t>
      </w:r>
      <w:r w:rsidR="00992664" w:rsidRPr="0012008A">
        <w:rPr>
          <w:rStyle w:val="libFootnoteBoldChar"/>
          <w:rtl/>
        </w:rPr>
        <w:t>الوافي</w:t>
      </w:r>
      <w:r w:rsidR="00992664" w:rsidRPr="00020424">
        <w:rPr>
          <w:rtl/>
        </w:rPr>
        <w:t xml:space="preserve"> ، ج 11 ، ص 180 ، ح 10639 ؛ </w:t>
      </w:r>
      <w:r w:rsidR="00992664" w:rsidRPr="0012008A">
        <w:rPr>
          <w:rStyle w:val="libFootnoteBoldChar"/>
          <w:rtl/>
        </w:rPr>
        <w:t>الوسائل</w:t>
      </w:r>
      <w:r w:rsidR="00992664" w:rsidRPr="00020424">
        <w:rPr>
          <w:rtl/>
        </w:rPr>
        <w:t xml:space="preserve"> ، ج 1 ، ص 261 ، ح 678 ، إلى قوله : « لاينقض ذلك وضوءه » ؛ وج 7 ، ص 239 ، ح 9218 ؛ وج 10 ، ص 90 ، ح 12918.</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82" w:name="_Toc345172843"/>
      <w:bookmarkStart w:id="383" w:name="_Toc464562660"/>
      <w:bookmarkStart w:id="384" w:name="_Toc44599964"/>
      <w:r w:rsidRPr="00020424">
        <w:rPr>
          <w:rtl/>
          <w:lang w:bidi="fa-IR"/>
        </w:rPr>
        <w:t>28</w:t>
      </w:r>
      <w:r>
        <w:rPr>
          <w:rtl/>
          <w:lang w:bidi="fa-IR"/>
        </w:rPr>
        <w:t xml:space="preserve"> </w:t>
      </w:r>
      <w:r w:rsidR="009B673F">
        <w:rPr>
          <w:rtl/>
          <w:lang w:bidi="fa-IR"/>
        </w:rPr>
        <w:t>-</w:t>
      </w:r>
      <w:r>
        <w:rPr>
          <w:rtl/>
          <w:lang w:bidi="fa-IR"/>
        </w:rPr>
        <w:t xml:space="preserve"> </w:t>
      </w:r>
      <w:r w:rsidRPr="00020424">
        <w:rPr>
          <w:rtl/>
          <w:lang w:bidi="fa-IR"/>
        </w:rPr>
        <w:t>بَابٌ فِي الصَّائِمِ يَحْتَجِمُ وَيَدْخُلُ الْحَمَّامَ‌</w:t>
      </w:r>
      <w:bookmarkEnd w:id="382"/>
      <w:bookmarkEnd w:id="383"/>
      <w:bookmarkEnd w:id="384"/>
    </w:p>
    <w:p w:rsidR="00AF0564" w:rsidRDefault="00992664" w:rsidP="00AF0564">
      <w:pPr>
        <w:pStyle w:val="libNormal"/>
        <w:rPr>
          <w:rtl/>
          <w:lang w:bidi="fa-IR"/>
        </w:rPr>
      </w:pPr>
      <w:r w:rsidRPr="00932CF0">
        <w:rPr>
          <w:rtl/>
        </w:rPr>
        <w:t>6415</w:t>
      </w:r>
      <w:r w:rsidRPr="001155DE">
        <w:rPr>
          <w:rStyle w:val="libBold2Char"/>
          <w:rtl/>
        </w:rPr>
        <w:t xml:space="preserve"> / 1.</w:t>
      </w:r>
      <w:r w:rsidRPr="00020424">
        <w:rPr>
          <w:rtl/>
          <w:lang w:bidi="fa-IR"/>
        </w:rPr>
        <w:t xml:space="preserve"> عَلِيُّ بْنُ إِبْرَاهِيمَ ، عَنْ أَبِيهِ ؛</w:t>
      </w:r>
    </w:p>
    <w:p w:rsidR="00992664" w:rsidRPr="00020424" w:rsidRDefault="00AF0564" w:rsidP="00AF0564">
      <w:pPr>
        <w:pStyle w:val="libNormal"/>
        <w:rPr>
          <w:rtl/>
          <w:lang w:bidi="fa-IR"/>
        </w:rPr>
      </w:pPr>
      <w:r>
        <w:rPr>
          <w:rFonts w:hint="cs"/>
          <w:rtl/>
          <w:lang w:bidi="fa-IR"/>
        </w:rPr>
        <w:t xml:space="preserve">             </w:t>
      </w:r>
      <w:r w:rsidR="00992664" w:rsidRPr="00020424">
        <w:rPr>
          <w:rtl/>
          <w:lang w:bidi="fa-IR"/>
        </w:rPr>
        <w:t>وَمُحَمَّدُ بْنُ يَحْيى ، عَنْ أَحْمَدَ بْنِ مُحَمَّدٍ جَمِيعاً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w:t>
      </w:r>
      <w:r>
        <w:rPr>
          <w:rtl/>
          <w:lang w:bidi="fa-IR"/>
        </w:rPr>
        <w:t>سَأَلْتُهُ عَنِ الصَّائِمِ : أَ</w:t>
      </w:r>
      <w:r w:rsidRPr="00020424">
        <w:rPr>
          <w:rtl/>
          <w:lang w:bidi="fa-IR"/>
        </w:rPr>
        <w:t xml:space="preserve">يَحْتَجِمُ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فَقَالَ : « إِنّ</w:t>
      </w:r>
      <w:r>
        <w:rPr>
          <w:rtl/>
          <w:lang w:bidi="fa-IR"/>
        </w:rPr>
        <w:t>ِي أَتَخَوَّفُ عَلَيْهِ ، أَ</w:t>
      </w:r>
      <w:r w:rsidRPr="00020424">
        <w:rPr>
          <w:rtl/>
          <w:lang w:bidi="fa-IR"/>
        </w:rPr>
        <w:t xml:space="preserve">مَا </w:t>
      </w:r>
      <w:r w:rsidRPr="00A91B96">
        <w:rPr>
          <w:rStyle w:val="libFootnotenumChar"/>
          <w:rtl/>
        </w:rPr>
        <w:t>(2)</w:t>
      </w:r>
      <w:r w:rsidRPr="00020424">
        <w:rPr>
          <w:rtl/>
          <w:lang w:bidi="fa-IR"/>
        </w:rPr>
        <w:t xml:space="preserve"> يَتَخَوَّفُ عَلى نَفْسِهِ</w:t>
      </w:r>
      <w:r>
        <w:rPr>
          <w:rtl/>
          <w:lang w:bidi="fa-IR"/>
        </w:rPr>
        <w:t>؟ ».</w:t>
      </w:r>
    </w:p>
    <w:p w:rsidR="00992664" w:rsidRPr="00020424" w:rsidRDefault="00992664" w:rsidP="00992664">
      <w:pPr>
        <w:pStyle w:val="libNormal"/>
        <w:rPr>
          <w:rtl/>
          <w:lang w:bidi="fa-IR"/>
        </w:rPr>
      </w:pPr>
      <w:r w:rsidRPr="00020424">
        <w:rPr>
          <w:rtl/>
          <w:lang w:bidi="fa-IR"/>
        </w:rPr>
        <w:t xml:space="preserve">قُلْتُ : مَا ذَا يَتَخَوَّفُ </w:t>
      </w:r>
      <w:r w:rsidRPr="00A91B96">
        <w:rPr>
          <w:rStyle w:val="libFootnotenumChar"/>
          <w:rtl/>
        </w:rPr>
        <w:t>(3)</w:t>
      </w:r>
      <w:r w:rsidRPr="00020424">
        <w:rPr>
          <w:rtl/>
          <w:lang w:bidi="fa-IR"/>
        </w:rPr>
        <w:t xml:space="preserve"> عَلَيْهِ</w:t>
      </w:r>
      <w:r>
        <w:rPr>
          <w:rtl/>
          <w:lang w:bidi="fa-IR"/>
        </w:rPr>
        <w:t>؟</w:t>
      </w:r>
    </w:p>
    <w:p w:rsidR="00992664" w:rsidRPr="00020424" w:rsidRDefault="00992664" w:rsidP="00992664">
      <w:pPr>
        <w:pStyle w:val="libNormal"/>
        <w:rPr>
          <w:rtl/>
          <w:lang w:bidi="fa-IR"/>
        </w:rPr>
      </w:pPr>
      <w:r w:rsidRPr="00020424">
        <w:rPr>
          <w:rtl/>
          <w:lang w:bidi="fa-IR"/>
        </w:rPr>
        <w:t xml:space="preserve">قَالَ : « الْغَشَيَانَ </w:t>
      </w:r>
      <w:r w:rsidRPr="00A91B96">
        <w:rPr>
          <w:rStyle w:val="libFootnotenumChar"/>
          <w:rtl/>
        </w:rPr>
        <w:t>(4)</w:t>
      </w:r>
      <w:r w:rsidRPr="00020424">
        <w:rPr>
          <w:rtl/>
          <w:lang w:bidi="fa-IR"/>
        </w:rPr>
        <w:t xml:space="preserve"> ، أَوْ تَثُورَ </w:t>
      </w:r>
      <w:r w:rsidRPr="00A91B96">
        <w:rPr>
          <w:rStyle w:val="libFootnotenumChar"/>
          <w:rtl/>
        </w:rPr>
        <w:t>(5)</w:t>
      </w:r>
      <w:r w:rsidRPr="00020424">
        <w:rPr>
          <w:rtl/>
          <w:lang w:bidi="fa-IR"/>
        </w:rPr>
        <w:t xml:space="preserve"> بِهِ مِرَّةٌ </w:t>
      </w:r>
      <w:r w:rsidRPr="00A91B96">
        <w:rPr>
          <w:rStyle w:val="libFootnotenumChar"/>
          <w:rtl/>
        </w:rPr>
        <w:t>(6)</w:t>
      </w:r>
      <w:r>
        <w:rPr>
          <w:rtl/>
          <w:lang w:bidi="fa-IR"/>
        </w:rPr>
        <w:t xml:space="preserve"> ».</w:t>
      </w:r>
    </w:p>
    <w:p w:rsidR="00992664" w:rsidRPr="00020424" w:rsidRDefault="00992664" w:rsidP="00992664">
      <w:pPr>
        <w:pStyle w:val="libNormal"/>
        <w:rPr>
          <w:rtl/>
          <w:lang w:bidi="fa-IR"/>
        </w:rPr>
      </w:pPr>
      <w:r>
        <w:rPr>
          <w:rtl/>
          <w:lang w:bidi="fa-IR"/>
        </w:rPr>
        <w:t>قُلْتُ : أَ</w:t>
      </w:r>
      <w:r w:rsidRPr="00020424">
        <w:rPr>
          <w:rtl/>
          <w:lang w:bidi="fa-IR"/>
        </w:rPr>
        <w:t xml:space="preserve">رَأَيْتَ إِنْ قَوِيَ عَلى ذلِكَ وَلَمْ يَخْشَ شَيْئاً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قَالَ : « نَعَمْ ، إِنْ شَاءَ</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932CF0">
        <w:rPr>
          <w:rtl/>
        </w:rPr>
        <w:t>6416</w:t>
      </w:r>
      <w:r w:rsidRPr="001155DE">
        <w:rPr>
          <w:rStyle w:val="libBold2Char"/>
          <w:rtl/>
        </w:rPr>
        <w:t xml:space="preserve"> / 2.</w:t>
      </w:r>
      <w:r w:rsidRPr="00020424">
        <w:rPr>
          <w:rtl/>
          <w:lang w:bidi="fa-IR"/>
        </w:rPr>
        <w:t xml:space="preserve"> مُحَمَّدُ بْنُ يَحْيى ، عَنْ أَحْمَدَ بْنِ مُحَمَّدٍ </w:t>
      </w:r>
      <w:r w:rsidRPr="00A91B96">
        <w:rPr>
          <w:rStyle w:val="libFootnotenumChar"/>
          <w:rtl/>
        </w:rPr>
        <w:t>(9)</w:t>
      </w:r>
      <w:r w:rsidRPr="00020424">
        <w:rPr>
          <w:rtl/>
          <w:lang w:bidi="fa-IR"/>
        </w:rPr>
        <w:t xml:space="preserve"> ، عَنْ عَلِيِّ بْنِ الْحَكَمِ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BE5509">
        <w:rPr>
          <w:rtl/>
        </w:rPr>
        <w:t>والوافي</w:t>
      </w:r>
      <w:r w:rsidR="00992664" w:rsidRPr="00020424">
        <w:rPr>
          <w:rtl/>
        </w:rPr>
        <w:t xml:space="preserve"> : « يحتجم » بدون همزة الاستفهام.</w:t>
      </w:r>
    </w:p>
    <w:tbl>
      <w:tblPr>
        <w:tblStyle w:val="TableGrid"/>
        <w:bidiVisual/>
        <w:tblW w:w="0" w:type="auto"/>
        <w:tblLook w:val="04A0" w:firstRow="1" w:lastRow="0" w:firstColumn="1" w:lastColumn="0" w:noHBand="0" w:noVBand="1"/>
      </w:tblPr>
      <w:tblGrid>
        <w:gridCol w:w="4006"/>
        <w:gridCol w:w="4006"/>
      </w:tblGrid>
      <w:tr w:rsidR="00BE5509" w:rsidTr="00BE5509">
        <w:tc>
          <w:tcPr>
            <w:tcW w:w="4006" w:type="dxa"/>
          </w:tcPr>
          <w:p w:rsidR="00BE5509" w:rsidRDefault="00BE5509" w:rsidP="00992664">
            <w:pPr>
              <w:pStyle w:val="libFootnote0"/>
              <w:rPr>
                <w:rtl/>
              </w:rPr>
            </w:pPr>
            <w:r>
              <w:rPr>
                <w:rtl/>
              </w:rPr>
              <w:t xml:space="preserve">(2). </w:t>
            </w:r>
            <w:r w:rsidRPr="00020424">
              <w:rPr>
                <w:rtl/>
              </w:rPr>
              <w:t xml:space="preserve">في « بر » </w:t>
            </w:r>
            <w:r w:rsidRPr="00BE5509">
              <w:rPr>
                <w:rtl/>
              </w:rPr>
              <w:t>والفقيه</w:t>
            </w:r>
            <w:r w:rsidRPr="00020424">
              <w:rPr>
                <w:rtl/>
              </w:rPr>
              <w:t xml:space="preserve"> : « ما » بدون همزة الاستفهام.</w:t>
            </w:r>
          </w:p>
        </w:tc>
        <w:tc>
          <w:tcPr>
            <w:tcW w:w="4006" w:type="dxa"/>
          </w:tcPr>
          <w:p w:rsidR="00BE5509" w:rsidRDefault="00BE5509" w:rsidP="00992664">
            <w:pPr>
              <w:pStyle w:val="libFootnote0"/>
              <w:rPr>
                <w:rtl/>
              </w:rPr>
            </w:pPr>
            <w:r>
              <w:rPr>
                <w:rtl/>
              </w:rPr>
              <w:t>(3). في «بر ، بس</w:t>
            </w:r>
            <w:r w:rsidRPr="00020424">
              <w:rPr>
                <w:rtl/>
              </w:rPr>
              <w:t xml:space="preserve">» </w:t>
            </w:r>
            <w:r w:rsidRPr="00BE5509">
              <w:rPr>
                <w:rtl/>
              </w:rPr>
              <w:t>والتهذيب والفقيه</w:t>
            </w:r>
            <w:r w:rsidRPr="00020424">
              <w:rPr>
                <w:rtl/>
              </w:rPr>
              <w:t xml:space="preserve"> </w:t>
            </w:r>
            <w:r>
              <w:rPr>
                <w:rtl/>
              </w:rPr>
              <w:t>: «</w:t>
            </w:r>
            <w:r w:rsidRPr="00020424">
              <w:rPr>
                <w:rtl/>
              </w:rPr>
              <w:t>تتخوّف</w:t>
            </w:r>
            <w:r>
              <w:rPr>
                <w:rtl/>
              </w:rPr>
              <w:t>».</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BE5509">
        <w:rPr>
          <w:rtl/>
        </w:rPr>
        <w:t>الوافي</w:t>
      </w:r>
      <w:r w:rsidR="00992664" w:rsidRPr="00020424">
        <w:rPr>
          <w:rtl/>
        </w:rPr>
        <w:t xml:space="preserve"> : « الغشي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أو يثور</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أن تثور</w:t>
      </w:r>
      <w:r w:rsidR="00992664">
        <w:rPr>
          <w:rtl/>
        </w:rPr>
        <w:t xml:space="preserve"> ».</w:t>
      </w:r>
      <w:r w:rsidR="00992664" w:rsidRPr="00020424">
        <w:rPr>
          <w:rtl/>
        </w:rPr>
        <w:t xml:space="preserve"> </w:t>
      </w:r>
      <w:r w:rsidR="00992664">
        <w:rPr>
          <w:rtl/>
        </w:rPr>
        <w:t>و «</w:t>
      </w:r>
      <w:r w:rsidR="00992664" w:rsidRPr="00020424">
        <w:rPr>
          <w:rtl/>
        </w:rPr>
        <w:t xml:space="preserve"> تثور به » أي تثب عليه ، يقال : ثار به الدم ، أي وثب عليه ، وثار به الناس ، أي وثبوا عليه. راجع : </w:t>
      </w:r>
      <w:r w:rsidR="00992664" w:rsidRPr="0012008A">
        <w:rPr>
          <w:rStyle w:val="libFootnoteBoldChar"/>
          <w:rtl/>
        </w:rPr>
        <w:t>الصحاح</w:t>
      </w:r>
      <w:r w:rsidR="00992664" w:rsidRPr="00020424">
        <w:rPr>
          <w:rtl/>
        </w:rPr>
        <w:t xml:space="preserve"> ، ج 2 ، ص 606 ؛ </w:t>
      </w:r>
      <w:r w:rsidR="00992664" w:rsidRPr="00A722B1">
        <w:rPr>
          <w:rStyle w:val="libFootnoteBoldChar"/>
          <w:rtl/>
        </w:rPr>
        <w:t>لسان العرب</w:t>
      </w:r>
      <w:r w:rsidR="00992664" w:rsidRPr="00020424">
        <w:rPr>
          <w:rtl/>
        </w:rPr>
        <w:t xml:space="preserve"> ، ج 4 ، ص 109 ( ثور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المرّة »</w:t>
      </w:r>
      <w:r w:rsidR="00992664">
        <w:rPr>
          <w:rtl/>
        </w:rPr>
        <w:t xml:space="preserve"> </w:t>
      </w:r>
      <w:r w:rsidR="009B673F">
        <w:rPr>
          <w:rtl/>
        </w:rPr>
        <w:t>-</w:t>
      </w:r>
      <w:r w:rsidR="00992664">
        <w:rPr>
          <w:rtl/>
        </w:rPr>
        <w:t xml:space="preserve"> </w:t>
      </w:r>
      <w:r w:rsidR="00992664" w:rsidRPr="00020424">
        <w:rPr>
          <w:rtl/>
        </w:rPr>
        <w:t>بكسر الميم</w:t>
      </w:r>
      <w:r w:rsidR="00992664">
        <w:rPr>
          <w:rtl/>
        </w:rPr>
        <w:t xml:space="preserve"> </w:t>
      </w:r>
      <w:r w:rsidR="009B673F">
        <w:rPr>
          <w:rtl/>
        </w:rPr>
        <w:t>-</w:t>
      </w:r>
      <w:r w:rsidR="00992664">
        <w:rPr>
          <w:rtl/>
        </w:rPr>
        <w:t xml:space="preserve"> </w:t>
      </w:r>
      <w:r w:rsidR="00992664" w:rsidRPr="00020424">
        <w:rPr>
          <w:rtl/>
        </w:rPr>
        <w:t>: إحدى الطبائع الأربع ، ومزاج من أمزجة الب</w:t>
      </w:r>
      <w:r w:rsidR="00BE5509">
        <w:rPr>
          <w:rtl/>
        </w:rPr>
        <w:t>دن ، وخلط من أخلاطه. وقال العل</w:t>
      </w:r>
      <w:r w:rsidR="00BE5509">
        <w:rPr>
          <w:rFonts w:hint="cs"/>
          <w:rtl/>
        </w:rPr>
        <w:t>ّ</w:t>
      </w:r>
      <w:r w:rsidR="00BE5509">
        <w:rPr>
          <w:rtl/>
        </w:rPr>
        <w:t>ا</w:t>
      </w:r>
      <w:r w:rsidR="00992664" w:rsidRPr="00020424">
        <w:rPr>
          <w:rtl/>
        </w:rPr>
        <w:t>مة المجلسي : « هي بالكسر تطلق على الصفراء والسوداء</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5 ، ص 168 ؛ </w:t>
      </w:r>
      <w:r w:rsidR="00992664" w:rsidRPr="00A722B1">
        <w:rPr>
          <w:rStyle w:val="libFootnoteBoldChar"/>
          <w:rtl/>
        </w:rPr>
        <w:t>المصباح المنير</w:t>
      </w:r>
      <w:r w:rsidR="00992664" w:rsidRPr="00020424">
        <w:rPr>
          <w:rtl/>
        </w:rPr>
        <w:t xml:space="preserve"> ، ص 568 ( مور ) ؛ </w:t>
      </w:r>
      <w:r w:rsidR="00992664" w:rsidRPr="00DE76B9">
        <w:rPr>
          <w:rStyle w:val="libFootnoteBoldChar"/>
          <w:rtl/>
        </w:rPr>
        <w:t>مرآة العقول</w:t>
      </w:r>
      <w:r w:rsidR="00992664" w:rsidRPr="00020424">
        <w:rPr>
          <w:rtl/>
        </w:rPr>
        <w:t xml:space="preserve"> ، ج 16 ، ص 287.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شيئاً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261 ، ح 777 ؛ </w:t>
      </w:r>
      <w:r w:rsidR="00992664" w:rsidRPr="00FD6221">
        <w:rPr>
          <w:rStyle w:val="libFootnoteBoldChar"/>
          <w:rtl/>
        </w:rPr>
        <w:t>والاستبصار</w:t>
      </w:r>
      <w:r w:rsidR="00992664" w:rsidRPr="00020424">
        <w:rPr>
          <w:rtl/>
        </w:rPr>
        <w:t xml:space="preserve"> ، ج 2 ، ص 91 ، ح 290 ، معلّقاً عن الكليني. </w:t>
      </w:r>
      <w:r w:rsidR="00992664" w:rsidRPr="0012008A">
        <w:rPr>
          <w:rStyle w:val="libFootnoteBoldChar"/>
          <w:rtl/>
        </w:rPr>
        <w:t>الفقيه</w:t>
      </w:r>
      <w:r w:rsidR="00992664" w:rsidRPr="00020424">
        <w:rPr>
          <w:rtl/>
        </w:rPr>
        <w:t xml:space="preserve"> ، ج 2 ، ص 110 ، ح 1864 ، معلّقاً عن الحلبيّ </w:t>
      </w:r>
      <w:r w:rsidR="00BE5509">
        <w:rPr>
          <w:rFonts w:hint="cs"/>
          <w:rtl/>
        </w:rPr>
        <w:t>.</w:t>
      </w:r>
      <w:r w:rsidR="00992664" w:rsidRPr="0012008A">
        <w:rPr>
          <w:rStyle w:val="libFootnoteBoldChar"/>
          <w:rtl/>
        </w:rPr>
        <w:t>الوافي</w:t>
      </w:r>
      <w:r w:rsidR="00992664" w:rsidRPr="00020424">
        <w:rPr>
          <w:rtl/>
        </w:rPr>
        <w:t xml:space="preserve"> ، ج 11 ، ص 185 ، ح 10647 ؛ </w:t>
      </w:r>
      <w:r w:rsidR="00992664" w:rsidRPr="0012008A">
        <w:rPr>
          <w:rStyle w:val="libFootnoteBoldChar"/>
          <w:rtl/>
        </w:rPr>
        <w:t>الوسائل</w:t>
      </w:r>
      <w:r w:rsidR="00992664" w:rsidRPr="00020424">
        <w:rPr>
          <w:rtl/>
        </w:rPr>
        <w:t xml:space="preserve"> ، ج 10 ، ص 77 ، ح 12874.</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BE5509">
        <w:rPr>
          <w:rtl/>
        </w:rPr>
        <w:t>التهذيب</w:t>
      </w:r>
      <w:r w:rsidR="00992664" w:rsidRPr="00020424">
        <w:rPr>
          <w:rtl/>
        </w:rPr>
        <w:t xml:space="preserve"> : « أحمد بن يحيى » ، والمذكور في بعض نسخه المعتبرة : « أحمد بن محمّد » ، وهو الصواب.</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الْحُسَيْنِ بْنِ أَبِي الْعَلَاءِ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الْحِجَامَةِ لِلصَّائِمِ</w:t>
      </w:r>
      <w:r>
        <w:rPr>
          <w:rtl/>
          <w:lang w:bidi="fa-IR"/>
        </w:rPr>
        <w:t>؟</w:t>
      </w:r>
    </w:p>
    <w:p w:rsidR="00992664" w:rsidRPr="00020424" w:rsidRDefault="00992664" w:rsidP="00992664">
      <w:pPr>
        <w:pStyle w:val="libNormal"/>
        <w:rPr>
          <w:rtl/>
          <w:lang w:bidi="fa-IR"/>
        </w:rPr>
      </w:pPr>
      <w:r w:rsidRPr="00020424">
        <w:rPr>
          <w:rtl/>
          <w:lang w:bidi="fa-IR"/>
        </w:rPr>
        <w:t>قَالَ : « نَعَمْ ، إِذَا لَمْ يَخَفْ ضَعْفاً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932CF0">
        <w:rPr>
          <w:rtl/>
        </w:rPr>
        <w:t>6417</w:t>
      </w:r>
      <w:r w:rsidRPr="001155DE">
        <w:rPr>
          <w:rStyle w:val="libBold2Char"/>
          <w:rtl/>
        </w:rPr>
        <w:t xml:space="preserve"> / 3.</w:t>
      </w:r>
      <w:r w:rsidRPr="00020424">
        <w:rPr>
          <w:rtl/>
          <w:lang w:bidi="fa-IR"/>
        </w:rPr>
        <w:t xml:space="preserve"> مُحَمَّدُ بْنُ يَحْيى ، عَنْ أَحْمَدَ بْنِ مُحَمَّدٍ ، عَنْ عَلِيِّ بْنِ الْحَكَمِ ، عَنِ الْعَلَاءِ بْنِ رَزِينٍ </w:t>
      </w:r>
      <w:r w:rsidRPr="00A91B96">
        <w:rPr>
          <w:rStyle w:val="libFootnotenumChar"/>
          <w:rtl/>
        </w:rPr>
        <w:t>(2)</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أَنَّهُ سُئِلَ عَنِ الرَّجُلِ يَدْخُلُ الْحَمَّامَ وَهُوَ صَائِمٌ</w:t>
      </w:r>
      <w:r>
        <w:rPr>
          <w:rtl/>
          <w:lang w:bidi="fa-IR"/>
        </w:rPr>
        <w:t>؟</w:t>
      </w:r>
    </w:p>
    <w:p w:rsidR="00992664" w:rsidRPr="00020424" w:rsidRDefault="00992664" w:rsidP="00992664">
      <w:pPr>
        <w:pStyle w:val="libNormal"/>
        <w:rPr>
          <w:rtl/>
          <w:lang w:bidi="fa-IR"/>
        </w:rPr>
      </w:pPr>
      <w:r w:rsidRPr="00020424">
        <w:rPr>
          <w:rtl/>
          <w:lang w:bidi="fa-IR"/>
        </w:rPr>
        <w:t xml:space="preserve">فَقَالَ : « لَا بَأْسَ مَا </w:t>
      </w:r>
      <w:r w:rsidRPr="00A91B96">
        <w:rPr>
          <w:rStyle w:val="libFootnotenumChar"/>
          <w:rtl/>
        </w:rPr>
        <w:t>(3)</w:t>
      </w:r>
      <w:r w:rsidRPr="00020424">
        <w:rPr>
          <w:rtl/>
          <w:lang w:bidi="fa-IR"/>
        </w:rPr>
        <w:t xml:space="preserve"> لَمْ يَخْشَ ضَعْفاً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932CF0">
        <w:rPr>
          <w:rtl/>
        </w:rPr>
        <w:t>6418</w:t>
      </w:r>
      <w:r w:rsidRPr="001155DE">
        <w:rPr>
          <w:rStyle w:val="libBold2Char"/>
          <w:rtl/>
        </w:rPr>
        <w:t xml:space="preserve"> / 4.</w:t>
      </w:r>
      <w:r w:rsidRPr="00020424">
        <w:rPr>
          <w:rtl/>
          <w:lang w:bidi="fa-IR"/>
        </w:rPr>
        <w:t xml:space="preserve"> مُحَمَّدُ بْنُ يَحْيى </w:t>
      </w:r>
      <w:r w:rsidRPr="00A91B96">
        <w:rPr>
          <w:rStyle w:val="libFootnotenumChar"/>
          <w:rtl/>
        </w:rPr>
        <w:t>(6)</w:t>
      </w:r>
      <w:r w:rsidRPr="00020424">
        <w:rPr>
          <w:rtl/>
          <w:lang w:bidi="fa-IR"/>
        </w:rPr>
        <w:t xml:space="preserve"> ، عَنْ أَحْمَدَ بْنِ مُحَمَّدٍ </w:t>
      </w:r>
      <w:r w:rsidRPr="00A91B96">
        <w:rPr>
          <w:rStyle w:val="libFootnotenumChar"/>
          <w:rtl/>
        </w:rPr>
        <w:t>(7)</w:t>
      </w:r>
      <w:r w:rsidRPr="00020424">
        <w:rPr>
          <w:rtl/>
          <w:lang w:bidi="fa-IR"/>
        </w:rPr>
        <w:t xml:space="preserve"> ، عَنِ الْحُسَيْنِ بْنِ سَعِيدٍ </w:t>
      </w:r>
      <w:r w:rsidRPr="00A91B96">
        <w:rPr>
          <w:rStyle w:val="libFootnotenumChar"/>
          <w:rtl/>
        </w:rPr>
        <w:t>(8)</w:t>
      </w:r>
      <w:r w:rsidRPr="00020424">
        <w:rPr>
          <w:rtl/>
          <w:lang w:bidi="fa-IR"/>
        </w:rPr>
        <w:t xml:space="preserve"> ، عَنِ الْقَاسِمِ بْنِ مُحَمَّدٍ ، عَنْ عَلِيِّ بْنِ أَبِي حَمْزَةَ ، عَنْ أَبِي بَصِيرٍ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260 ، ح 773 ؛ </w:t>
      </w:r>
      <w:r w:rsidR="00992664" w:rsidRPr="00FD6221">
        <w:rPr>
          <w:rStyle w:val="libFootnoteBoldChar"/>
          <w:rtl/>
        </w:rPr>
        <w:t>والاستبصار</w:t>
      </w:r>
      <w:r w:rsidR="00992664" w:rsidRPr="00020424">
        <w:rPr>
          <w:rtl/>
        </w:rPr>
        <w:t xml:space="preserve"> ، ج 2 ، ص 90 ، ح 286 ، معلّقاً عن الكليني. وفي </w:t>
      </w:r>
      <w:r w:rsidR="00992664" w:rsidRPr="0012008A">
        <w:rPr>
          <w:rStyle w:val="libFootnoteBoldChar"/>
          <w:rtl/>
        </w:rPr>
        <w:t>التهذيب</w:t>
      </w:r>
      <w:r w:rsidR="00992664" w:rsidRPr="00020424">
        <w:rPr>
          <w:rtl/>
        </w:rPr>
        <w:t xml:space="preserve"> ، ج 4 ، ص 260 ، ح 774 ؛ وصدر ح 776 ؛ </w:t>
      </w:r>
      <w:r w:rsidR="00992664" w:rsidRPr="00FD6221">
        <w:rPr>
          <w:rStyle w:val="libFootnoteBoldChar"/>
          <w:rtl/>
        </w:rPr>
        <w:t>والاستبصار</w:t>
      </w:r>
      <w:r w:rsidR="00992664" w:rsidRPr="00020424">
        <w:rPr>
          <w:rtl/>
        </w:rPr>
        <w:t xml:space="preserve"> ، ج 2 ، ص 90 ، ح 287 ؛ وص 291 ، صدر ح 289 ، بسند آخر ، مع اختلاف يسير. </w:t>
      </w:r>
      <w:r w:rsidR="00992664" w:rsidRPr="00DE76B9">
        <w:rPr>
          <w:rStyle w:val="libFootnoteBoldChar"/>
          <w:rtl/>
        </w:rPr>
        <w:t>الجعفريّات</w:t>
      </w:r>
      <w:r w:rsidR="00992664" w:rsidRPr="00020424">
        <w:rPr>
          <w:rtl/>
        </w:rPr>
        <w:t xml:space="preserve"> ، ص 61 ، بسند آخر ، عن جعفر بن محمّد ، عن آبائه ، عن عليّ </w:t>
      </w:r>
      <w:r w:rsidR="00992664" w:rsidRPr="00D64ADA">
        <w:rPr>
          <w:rStyle w:val="libFootnoteAlaemChar"/>
          <w:rtl/>
        </w:rPr>
        <w:t>عليهم‌السلام</w:t>
      </w:r>
      <w:r w:rsidR="00992664" w:rsidRPr="00020424">
        <w:rPr>
          <w:rtl/>
        </w:rPr>
        <w:t xml:space="preserve">. </w:t>
      </w:r>
      <w:r w:rsidR="00992664" w:rsidRPr="0012008A">
        <w:rPr>
          <w:rStyle w:val="libFootnoteBoldChar"/>
          <w:rtl/>
        </w:rPr>
        <w:t>الفقيه</w:t>
      </w:r>
      <w:r w:rsidR="00992664" w:rsidRPr="00020424">
        <w:rPr>
          <w:rtl/>
        </w:rPr>
        <w:t xml:space="preserve"> ، ج 2 ، ص 110 ، ح 1865 ، مرسلاً عن أميرالمؤمنين </w:t>
      </w:r>
      <w:r w:rsidR="00992664" w:rsidRPr="00D64ADA">
        <w:rPr>
          <w:rStyle w:val="libFootnoteAlaemChar"/>
          <w:rtl/>
        </w:rPr>
        <w:t>عليه‌السلام</w:t>
      </w:r>
      <w:r w:rsidR="00992664" w:rsidRPr="00020424">
        <w:rPr>
          <w:rtl/>
        </w:rPr>
        <w:t xml:space="preserve">. </w:t>
      </w:r>
      <w:r w:rsidR="00992664" w:rsidRPr="00DE76B9">
        <w:rPr>
          <w:rStyle w:val="libFootnoteBoldChar"/>
          <w:rtl/>
        </w:rPr>
        <w:t>معاني الأخبار</w:t>
      </w:r>
      <w:r w:rsidR="00992664" w:rsidRPr="00020424">
        <w:rPr>
          <w:rtl/>
        </w:rPr>
        <w:t xml:space="preserve"> ، ص 319 ، صدر ح 1 ، من دون الإسناد إلى المعصوم </w:t>
      </w:r>
      <w:r w:rsidR="00992664" w:rsidRPr="00D64ADA">
        <w:rPr>
          <w:rStyle w:val="libFootnoteAlaemChar"/>
          <w:rtl/>
        </w:rPr>
        <w:t>عليه‌السلام</w:t>
      </w:r>
      <w:r w:rsidR="00992664" w:rsidRPr="00020424">
        <w:rPr>
          <w:rtl/>
        </w:rPr>
        <w:t xml:space="preserve"> ، وفي الثلاثة الأخيرة مع اختلاف يسير. راجع : </w:t>
      </w:r>
      <w:r w:rsidR="00992664" w:rsidRPr="00DE76B9">
        <w:rPr>
          <w:rStyle w:val="libFootnoteBoldChar"/>
          <w:rtl/>
        </w:rPr>
        <w:t>الكافي</w:t>
      </w:r>
      <w:r w:rsidR="00992664" w:rsidRPr="00020424">
        <w:rPr>
          <w:rtl/>
        </w:rPr>
        <w:t xml:space="preserve"> ، كتاب الصيام ، باب في الصائم يسعط</w:t>
      </w:r>
      <w:r w:rsidR="00992664">
        <w:rPr>
          <w:rtl/>
        </w:rPr>
        <w:t xml:space="preserve"> ..</w:t>
      </w:r>
      <w:r w:rsidR="00992664" w:rsidRPr="00020424">
        <w:rPr>
          <w:rtl/>
        </w:rPr>
        <w:t xml:space="preserve">. ، ح 6422 ؛ </w:t>
      </w:r>
      <w:r w:rsidR="00992664" w:rsidRPr="00515444">
        <w:rPr>
          <w:rStyle w:val="libFootnoteBoldChar"/>
          <w:rtl/>
        </w:rPr>
        <w:t>والتهذيب</w:t>
      </w:r>
      <w:r w:rsidR="00992664" w:rsidRPr="00020424">
        <w:rPr>
          <w:rtl/>
        </w:rPr>
        <w:t xml:space="preserve"> ، ج 4 ، ص 204 ، ح 592 </w:t>
      </w:r>
      <w:r w:rsidR="00906E61">
        <w:rPr>
          <w:rFonts w:hint="cs"/>
          <w:rtl/>
        </w:rPr>
        <w:t>.</w:t>
      </w:r>
      <w:r w:rsidR="00992664" w:rsidRPr="0012008A">
        <w:rPr>
          <w:rStyle w:val="libFootnoteBoldChar"/>
          <w:rtl/>
        </w:rPr>
        <w:t>الوافي</w:t>
      </w:r>
      <w:r w:rsidR="00992664" w:rsidRPr="00020424">
        <w:rPr>
          <w:rtl/>
        </w:rPr>
        <w:t xml:space="preserve"> ، ج 11 ، ص 186 ، ح 10649 ؛ </w:t>
      </w:r>
      <w:r w:rsidR="00992664" w:rsidRPr="0012008A">
        <w:rPr>
          <w:rStyle w:val="libFootnoteBoldChar"/>
          <w:rtl/>
        </w:rPr>
        <w:t>الوسائل</w:t>
      </w:r>
      <w:r w:rsidR="00992664" w:rsidRPr="00020424">
        <w:rPr>
          <w:rtl/>
        </w:rPr>
        <w:t xml:space="preserve"> ، ج 10 ، ص 77 ، ح 12875.</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رزين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إذا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يدلّ على جواز دخول الحمّام في الصوم ، والمنع منه إذا كان مضعفاً ، وحمله الأصحاب على الكراهة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261 ، ح 779 ، معلّقاً عن الكليني. </w:t>
      </w:r>
      <w:r w:rsidR="00992664" w:rsidRPr="0012008A">
        <w:rPr>
          <w:rStyle w:val="libFootnoteBoldChar"/>
          <w:rtl/>
        </w:rPr>
        <w:t>الفقيه</w:t>
      </w:r>
      <w:r w:rsidR="00992664" w:rsidRPr="00020424">
        <w:rPr>
          <w:rtl/>
        </w:rPr>
        <w:t xml:space="preserve"> ، ج 2 ، ص 113 ، ح 1873 ، معلّقاً عن العلاء ، عن محمّد بن مسلم </w:t>
      </w:r>
      <w:r w:rsidR="00906E61">
        <w:rPr>
          <w:rFonts w:hint="cs"/>
          <w:rtl/>
        </w:rPr>
        <w:t>.</w:t>
      </w:r>
      <w:r w:rsidR="00992664" w:rsidRPr="0012008A">
        <w:rPr>
          <w:rStyle w:val="libFootnoteBoldChar"/>
          <w:rtl/>
        </w:rPr>
        <w:t>الوافي</w:t>
      </w:r>
      <w:r w:rsidR="00992664" w:rsidRPr="00020424">
        <w:rPr>
          <w:rtl/>
        </w:rPr>
        <w:t xml:space="preserve"> ، ج 11 ، ص 187 ، ح 10655 ؛ </w:t>
      </w:r>
      <w:r w:rsidR="00992664" w:rsidRPr="0012008A">
        <w:rPr>
          <w:rStyle w:val="libFootnoteBoldChar"/>
          <w:rtl/>
        </w:rPr>
        <w:t>الوسائل</w:t>
      </w:r>
      <w:r w:rsidR="00992664" w:rsidRPr="00020424">
        <w:rPr>
          <w:rtl/>
        </w:rPr>
        <w:t xml:space="preserve"> ، ج 10 ، ص 81 ، ح 12888.</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بر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في </w:t>
      </w:r>
      <w:r w:rsidR="00992664" w:rsidRPr="0012008A">
        <w:rPr>
          <w:rStyle w:val="libFootnoteBoldChar"/>
          <w:rtl/>
        </w:rPr>
        <w:t>التهذيب</w:t>
      </w:r>
      <w:r w:rsidR="00992664" w:rsidRPr="00020424">
        <w:rPr>
          <w:rtl/>
        </w:rPr>
        <w:t xml:space="preserve"> : « محمّد بن أحمد » بدل « محمّد بن يحيى عن أحمد بن محمّد</w:t>
      </w:r>
      <w:r w:rsidR="00992664">
        <w:rPr>
          <w:rtl/>
        </w:rPr>
        <w:t xml:space="preserve"> ».</w:t>
      </w:r>
      <w:r w:rsidR="00992664" w:rsidRPr="00020424">
        <w:rPr>
          <w:rtl/>
        </w:rPr>
        <w:t xml:space="preserve"> لكن في بعض النسخ المعتبرة منه : « محمّد عن أحمد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بن سعيد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w:t>
      </w:r>
      <w:r w:rsidRPr="00A91B96">
        <w:rPr>
          <w:rStyle w:val="libFootnotenumChar"/>
          <w:rtl/>
        </w:rPr>
        <w:t>(1)</w:t>
      </w:r>
      <w:r w:rsidRPr="00020424">
        <w:rPr>
          <w:rtl/>
          <w:lang w:bidi="fa-IR"/>
        </w:rPr>
        <w:t xml:space="preserve"> عَنِ الرَّجُلِ يَدْخُلُ الْحَمَّامَ وَهُوَ صَائِمٌ</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 لَا بَأْسَ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385" w:name="_Toc345172844"/>
      <w:bookmarkStart w:id="386" w:name="_Toc464562661"/>
      <w:bookmarkStart w:id="387" w:name="_Toc44599965"/>
      <w:r w:rsidRPr="00020424">
        <w:rPr>
          <w:rtl/>
          <w:lang w:bidi="fa-IR"/>
        </w:rPr>
        <w:t>29</w:t>
      </w:r>
      <w:r>
        <w:rPr>
          <w:rtl/>
          <w:lang w:bidi="fa-IR"/>
        </w:rPr>
        <w:t xml:space="preserve"> </w:t>
      </w:r>
      <w:r w:rsidR="009B673F">
        <w:rPr>
          <w:rtl/>
          <w:lang w:bidi="fa-IR"/>
        </w:rPr>
        <w:t>-</w:t>
      </w:r>
      <w:r>
        <w:rPr>
          <w:rtl/>
          <w:lang w:bidi="fa-IR"/>
        </w:rPr>
        <w:t xml:space="preserve"> </w:t>
      </w:r>
      <w:r w:rsidRPr="00020424">
        <w:rPr>
          <w:rtl/>
          <w:lang w:bidi="fa-IR"/>
        </w:rPr>
        <w:t xml:space="preserve">بَابٌ فِي </w:t>
      </w:r>
      <w:r w:rsidRPr="00A91B96">
        <w:rPr>
          <w:rStyle w:val="libFootnotenumChar"/>
          <w:rtl/>
        </w:rPr>
        <w:t>(5)</w:t>
      </w:r>
      <w:r>
        <w:rPr>
          <w:rtl/>
        </w:rPr>
        <w:t xml:space="preserve"> </w:t>
      </w:r>
      <w:r w:rsidRPr="00020424">
        <w:rPr>
          <w:rtl/>
          <w:lang w:bidi="fa-IR"/>
        </w:rPr>
        <w:t xml:space="preserve">الصَّائِمِ يَسْعُطُ </w:t>
      </w:r>
      <w:r w:rsidRPr="00A91B96">
        <w:rPr>
          <w:rStyle w:val="libFootnotenumChar"/>
          <w:rtl/>
        </w:rPr>
        <w:t>(6)</w:t>
      </w:r>
      <w:r>
        <w:rPr>
          <w:rtl/>
        </w:rPr>
        <w:t xml:space="preserve"> </w:t>
      </w:r>
      <w:r w:rsidRPr="00020424">
        <w:rPr>
          <w:rtl/>
          <w:lang w:bidi="fa-IR"/>
        </w:rPr>
        <w:t xml:space="preserve">وَيَصُبُّ فِي أُذُنِهِ الدُّهْنَ أَوْ يَحْتَقِنُ </w:t>
      </w:r>
      <w:r w:rsidRPr="00A91B96">
        <w:rPr>
          <w:rStyle w:val="libFootnotenumChar"/>
          <w:rtl/>
        </w:rPr>
        <w:t>(7)</w:t>
      </w:r>
      <w:r w:rsidRPr="00020424">
        <w:rPr>
          <w:rtl/>
          <w:lang w:bidi="fa-IR"/>
        </w:rPr>
        <w:t xml:space="preserve"> ‌</w:t>
      </w:r>
      <w:bookmarkEnd w:id="385"/>
      <w:bookmarkEnd w:id="386"/>
      <w:bookmarkEnd w:id="387"/>
    </w:p>
    <w:p w:rsidR="00992664" w:rsidRPr="00020424" w:rsidRDefault="00992664" w:rsidP="00992664">
      <w:pPr>
        <w:pStyle w:val="libNormal"/>
        <w:rPr>
          <w:rtl/>
          <w:lang w:bidi="fa-IR"/>
        </w:rPr>
      </w:pPr>
      <w:r w:rsidRPr="00F33756">
        <w:rPr>
          <w:rtl/>
        </w:rPr>
        <w:t>6419</w:t>
      </w:r>
      <w:r w:rsidRPr="001155DE">
        <w:rPr>
          <w:rStyle w:val="libBold2Char"/>
          <w:rtl/>
        </w:rPr>
        <w:t xml:space="preserve"> / 1.</w:t>
      </w:r>
      <w:r w:rsidRPr="00020424">
        <w:rPr>
          <w:rtl/>
          <w:lang w:bidi="fa-IR"/>
        </w:rPr>
        <w:t xml:space="preserve"> أَبُو عَلِيٍّ الْأَشْعَرِيُّ ، عَنْ مُحَمَّدِ بْنِ عَبْدِ الْجَبَّارِ ، عَنْ صَفْوَانَ بْنِ يَحْيى ، عَنْ حَمَّادِ بْنِ عُثْمَانَ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الصَّائِمِ يَشْتَكِي أُذُنَهُ يَصُبُّ </w:t>
      </w:r>
      <w:r w:rsidRPr="00A91B96">
        <w:rPr>
          <w:rStyle w:val="libFootnotenumChar"/>
          <w:rtl/>
        </w:rPr>
        <w:t>(8)</w:t>
      </w:r>
      <w:r w:rsidRPr="00020424">
        <w:rPr>
          <w:rtl/>
          <w:lang w:bidi="fa-IR"/>
        </w:rPr>
        <w:t xml:space="preserve"> فِيهَا الدَّوَاءَ</w:t>
      </w:r>
      <w:r>
        <w:rPr>
          <w:rtl/>
          <w:lang w:bidi="fa-IR"/>
        </w:rPr>
        <w:t>؟</w:t>
      </w:r>
    </w:p>
    <w:p w:rsidR="00992664" w:rsidRPr="00020424" w:rsidRDefault="00992664" w:rsidP="00992664">
      <w:pPr>
        <w:pStyle w:val="libNormal"/>
        <w:rPr>
          <w:rtl/>
          <w:lang w:bidi="fa-IR"/>
        </w:rPr>
      </w:pPr>
      <w:r w:rsidRPr="00020424">
        <w:rPr>
          <w:rtl/>
          <w:lang w:bidi="fa-IR"/>
        </w:rPr>
        <w:t xml:space="preserve">قَالَ : « لَا بَأْسَ بِهِ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F33756">
        <w:rPr>
          <w:rtl/>
        </w:rPr>
        <w:t>6420</w:t>
      </w:r>
      <w:r w:rsidRPr="001155DE">
        <w:rPr>
          <w:rStyle w:val="libBold2Char"/>
          <w:rtl/>
        </w:rPr>
        <w:t xml:space="preserve"> / 2.</w:t>
      </w:r>
      <w:r w:rsidRPr="00020424">
        <w:rPr>
          <w:rtl/>
          <w:lang w:bidi="fa-IR"/>
        </w:rPr>
        <w:t xml:space="preserve"> عَلِيُّ بْنُ إِبْرَاهِيمَ ، عَنْ أَبِيهِ ، عَنِ ابْنِ أَبِي عُمَيْرٍ ، عَنْ حَمَّادٍ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الصَّائِمِ يَصُبُّ فِي أُذُنِهِ الدُّهْنَ</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(11)</w:t>
      </w:r>
      <w:r w:rsidRPr="00020424">
        <w:rPr>
          <w:rtl/>
          <w:lang w:bidi="fa-IR"/>
        </w:rPr>
        <w:t xml:space="preserve"> : « لَا بَأْسَ بِهِ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جر » : « عن أبي عبد الله </w:t>
      </w:r>
      <w:r w:rsidR="00992664" w:rsidRPr="00D64ADA">
        <w:rPr>
          <w:rStyle w:val="libFootnoteAlaemChar"/>
          <w:rtl/>
        </w:rPr>
        <w:t>عليه‌السلام</w:t>
      </w:r>
      <w:r w:rsidR="00992664" w:rsidRPr="00020424">
        <w:rPr>
          <w:rtl/>
        </w:rPr>
        <w:t xml:space="preserve"> ، قال : سألته » بدل « قال : سألت أبا عبد الله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وحاشية « بح » </w:t>
      </w:r>
      <w:r w:rsidR="00992664" w:rsidRPr="00906E61">
        <w:rP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بف » </w:t>
      </w:r>
      <w:r w:rsidR="00992664" w:rsidRPr="00906E61">
        <w:rPr>
          <w:rtl/>
        </w:rPr>
        <w:t>والوافي</w:t>
      </w:r>
      <w:r w:rsidR="00992664" w:rsidRPr="00020424">
        <w:rPr>
          <w:rtl/>
        </w:rPr>
        <w:t xml:space="preserve"> : « ليس به بأس » بدل « لا بأس</w:t>
      </w:r>
      <w:r w:rsidR="00992664">
        <w:rPr>
          <w:rtl/>
        </w:rPr>
        <w:t xml:space="preserve"> ».</w:t>
      </w:r>
    </w:p>
    <w:p w:rsidR="00992664" w:rsidRPr="00020424" w:rsidRDefault="00795177" w:rsidP="00906E61">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261 ، ح 778 ، معلّقاً عن الكليني </w:t>
      </w:r>
      <w:r w:rsidR="00906E61">
        <w:rPr>
          <w:rFonts w:hint="cs"/>
          <w:rtl/>
        </w:rPr>
        <w:t>.</w:t>
      </w:r>
      <w:r w:rsidR="00992664" w:rsidRPr="0012008A">
        <w:rPr>
          <w:rStyle w:val="libFootnoteBoldChar"/>
          <w:rtl/>
        </w:rPr>
        <w:t>الوافي</w:t>
      </w:r>
      <w:r w:rsidR="00992664" w:rsidRPr="00020424">
        <w:rPr>
          <w:rtl/>
        </w:rPr>
        <w:t xml:space="preserve"> ، ج 11 ، ص 187 ، ح 10656 ؛ </w:t>
      </w:r>
      <w:r w:rsidR="00992664" w:rsidRPr="0012008A">
        <w:rPr>
          <w:rStyle w:val="libFootnoteBoldChar"/>
          <w:rtl/>
        </w:rPr>
        <w:t>الوسائل</w:t>
      </w:r>
      <w:r w:rsidR="00992664" w:rsidRPr="00020424">
        <w:rPr>
          <w:rtl/>
        </w:rPr>
        <w:t xml:space="preserve"> ، ج 10 ، ص 82 ، ح 12889.</w:t>
      </w:r>
      <w:r w:rsidR="00B04396">
        <w:rPr>
          <w:rFonts w:hint="cs"/>
          <w:rtl/>
        </w:rPr>
        <w:t xml:space="preserve">        </w:t>
      </w:r>
      <w:r w:rsidR="00906E61">
        <w:rPr>
          <w:rFonts w:hint="cs"/>
          <w:rtl/>
        </w:rPr>
        <w:t xml:space="preserve">       </w:t>
      </w:r>
      <w:r>
        <w:rPr>
          <w:rtl/>
        </w:rPr>
        <w:t>(5).</w:t>
      </w:r>
      <w:r w:rsidR="0014403D">
        <w:rPr>
          <w:rtl/>
        </w:rPr>
        <w:t xml:space="preserve"> </w:t>
      </w:r>
      <w:r w:rsidR="00992664" w:rsidRPr="00020424">
        <w:rPr>
          <w:rtl/>
        </w:rPr>
        <w:t>في « ى ، بس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06E61" w:rsidTr="00906E61">
        <w:tc>
          <w:tcPr>
            <w:tcW w:w="4006" w:type="dxa"/>
          </w:tcPr>
          <w:p w:rsidR="00906E61" w:rsidRDefault="00906E61" w:rsidP="00992664">
            <w:pPr>
              <w:pStyle w:val="libFootnote0"/>
              <w:rPr>
                <w:rtl/>
              </w:rPr>
            </w:pPr>
            <w:r>
              <w:rPr>
                <w:rtl/>
              </w:rPr>
              <w:t xml:space="preserve">(6). </w:t>
            </w:r>
            <w:r w:rsidRPr="00020424">
              <w:rPr>
                <w:rtl/>
              </w:rPr>
              <w:t>في « بث » : « يتسعّط</w:t>
            </w:r>
            <w:r>
              <w:rPr>
                <w:rtl/>
              </w:rPr>
              <w:t xml:space="preserve"> ».</w:t>
            </w:r>
          </w:p>
        </w:tc>
        <w:tc>
          <w:tcPr>
            <w:tcW w:w="4006" w:type="dxa"/>
          </w:tcPr>
          <w:p w:rsidR="00906E61" w:rsidRDefault="00906E61" w:rsidP="00992664">
            <w:pPr>
              <w:pStyle w:val="libFootnote0"/>
              <w:rPr>
                <w:rtl/>
              </w:rPr>
            </w:pPr>
            <w:r>
              <w:rPr>
                <w:rtl/>
              </w:rPr>
              <w:t xml:space="preserve">(7). </w:t>
            </w:r>
            <w:r w:rsidRPr="00020424">
              <w:rPr>
                <w:rtl/>
              </w:rPr>
              <w:t>في « ى ، جن » : « ويحتقن</w:t>
            </w:r>
            <w:r>
              <w:rPr>
                <w:rtl/>
              </w:rPr>
              <w:t xml:space="preserve"> ».</w:t>
            </w:r>
          </w:p>
        </w:tc>
      </w:tr>
      <w:tr w:rsidR="00906E61" w:rsidTr="00906E61">
        <w:tc>
          <w:tcPr>
            <w:tcW w:w="4006" w:type="dxa"/>
          </w:tcPr>
          <w:p w:rsidR="00906E61" w:rsidRDefault="00906E61" w:rsidP="00992664">
            <w:pPr>
              <w:pStyle w:val="libFootnote0"/>
              <w:rPr>
                <w:rtl/>
              </w:rPr>
            </w:pPr>
            <w:r>
              <w:rPr>
                <w:rtl/>
              </w:rPr>
              <w:t xml:space="preserve">(8). </w:t>
            </w:r>
            <w:r w:rsidRPr="00020424">
              <w:rPr>
                <w:rtl/>
              </w:rPr>
              <w:t>في « بر » : « ويصبّ</w:t>
            </w:r>
            <w:r>
              <w:rPr>
                <w:rtl/>
              </w:rPr>
              <w:t xml:space="preserve"> ».</w:t>
            </w:r>
          </w:p>
        </w:tc>
        <w:tc>
          <w:tcPr>
            <w:tcW w:w="4006" w:type="dxa"/>
          </w:tcPr>
          <w:p w:rsidR="00906E61" w:rsidRDefault="00906E61" w:rsidP="00992664">
            <w:pPr>
              <w:pStyle w:val="libFootnote0"/>
              <w:rPr>
                <w:rtl/>
              </w:rPr>
            </w:pPr>
            <w:r>
              <w:rPr>
                <w:rtl/>
              </w:rPr>
              <w:t xml:space="preserve">(9). </w:t>
            </w:r>
            <w:r w:rsidRPr="00020424">
              <w:rPr>
                <w:rtl/>
              </w:rPr>
              <w:t>في « بر ، بف » :</w:t>
            </w:r>
            <w:r>
              <w:rPr>
                <w:rtl/>
              </w:rPr>
              <w:t xml:space="preserve"> - </w:t>
            </w:r>
            <w:r w:rsidRPr="00020424">
              <w:rPr>
                <w:rtl/>
              </w:rPr>
              <w:t>« به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258 ، ح 764 ، معلّقاً عن الكليني. </w:t>
      </w:r>
      <w:r w:rsidR="00992664" w:rsidRPr="00DE76B9">
        <w:rPr>
          <w:rStyle w:val="libFootnoteBoldChar"/>
          <w:rtl/>
        </w:rPr>
        <w:t>وفيه</w:t>
      </w:r>
      <w:r w:rsidR="00992664" w:rsidRPr="00020424">
        <w:rPr>
          <w:rtl/>
        </w:rPr>
        <w:t xml:space="preserve"> ، ص 311 ، ح 941 ؛ </w:t>
      </w:r>
      <w:r w:rsidR="00992664" w:rsidRPr="00FD6221">
        <w:rPr>
          <w:rStyle w:val="libFootnoteBoldChar"/>
          <w:rtl/>
        </w:rPr>
        <w:t>والاستبصار</w:t>
      </w:r>
      <w:r w:rsidR="00992664" w:rsidRPr="00020424">
        <w:rPr>
          <w:rtl/>
        </w:rPr>
        <w:t xml:space="preserve"> ، ج 2 ، ص 95 ، ح 307 ، بسند آخر ، مع اختلاف يسير وزيادة في آخره. </w:t>
      </w:r>
      <w:r w:rsidR="00992664" w:rsidRPr="0012008A">
        <w:rPr>
          <w:rStyle w:val="libFootnoteBoldChar"/>
          <w:rtl/>
        </w:rPr>
        <w:t>الفقيه</w:t>
      </w:r>
      <w:r w:rsidR="00992664" w:rsidRPr="00020424">
        <w:rPr>
          <w:rtl/>
        </w:rPr>
        <w:t xml:space="preserve"> ، ج 2 ، ص 112 ، ذيل ح 1869 ، مع اختلاف يسير </w:t>
      </w:r>
      <w:r w:rsidR="00906E61">
        <w:rPr>
          <w:rFonts w:hint="cs"/>
          <w:rtl/>
        </w:rPr>
        <w:t>.</w:t>
      </w:r>
      <w:r w:rsidR="00992664" w:rsidRPr="0012008A">
        <w:rPr>
          <w:rStyle w:val="libFootnoteBoldChar"/>
          <w:rtl/>
        </w:rPr>
        <w:t>الوافي</w:t>
      </w:r>
      <w:r w:rsidR="00992664" w:rsidRPr="00020424">
        <w:rPr>
          <w:rtl/>
        </w:rPr>
        <w:t xml:space="preserve"> ، ج 11 ، ص 182 ، ح 10643 ؛ </w:t>
      </w:r>
      <w:r w:rsidR="00992664" w:rsidRPr="0012008A">
        <w:rPr>
          <w:rStyle w:val="libFootnoteBoldChar"/>
          <w:rtl/>
        </w:rPr>
        <w:t>الوسائل</w:t>
      </w:r>
      <w:r w:rsidR="00992664" w:rsidRPr="00020424">
        <w:rPr>
          <w:rtl/>
        </w:rPr>
        <w:t xml:space="preserve"> ، ج 10 ، ص 72 ، ح 12857.</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مسائل عليّ بن جعفر : + « إذا لم يدخل حلقه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ى ، بخ ، بر ، بف » </w:t>
      </w:r>
      <w:r w:rsidR="00992664" w:rsidRPr="00906E61">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258 ، ح 763 ، معلّقاً عن الكليني. </w:t>
      </w:r>
      <w:r w:rsidR="00992664" w:rsidRPr="00DE76B9">
        <w:rPr>
          <w:rStyle w:val="libFootnoteBoldChar"/>
          <w:rtl/>
        </w:rPr>
        <w:t>مسائل عليّ بن جعفر</w:t>
      </w:r>
      <w:r w:rsidR="00992664" w:rsidRPr="00020424">
        <w:rPr>
          <w:rtl/>
        </w:rPr>
        <w:t xml:space="preserve"> ، ص 110 </w:t>
      </w:r>
      <w:r w:rsidR="00906E61">
        <w:rPr>
          <w:rFonts w:hint="cs"/>
          <w:rtl/>
        </w:rPr>
        <w:t>.</w:t>
      </w:r>
      <w:r w:rsidR="00992664" w:rsidRPr="0012008A">
        <w:rPr>
          <w:rStyle w:val="libFootnoteBoldChar"/>
          <w:rtl/>
        </w:rPr>
        <w:t>الوافي</w:t>
      </w:r>
      <w:r w:rsidR="00992664" w:rsidRPr="00020424">
        <w:rPr>
          <w:rtl/>
        </w:rPr>
        <w:t xml:space="preserve"> ، ج 11 ، ص 183 ، ح 10644 ؛ </w:t>
      </w:r>
      <w:r w:rsidR="00992664" w:rsidRPr="0012008A">
        <w:rPr>
          <w:rStyle w:val="libFootnoteBoldChar"/>
          <w:rtl/>
        </w:rPr>
        <w:t>الوسائل</w:t>
      </w:r>
      <w:r w:rsidR="00992664" w:rsidRPr="00020424">
        <w:rPr>
          <w:rtl/>
        </w:rPr>
        <w:t xml:space="preserve"> ، ج 10 ، ص 72 ، ح 12858.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F33756">
        <w:rPr>
          <w:rtl/>
        </w:rPr>
        <w:t>6421</w:t>
      </w:r>
      <w:r w:rsidRPr="001155DE">
        <w:rPr>
          <w:rStyle w:val="libBold2Char"/>
          <w:rtl/>
        </w:rPr>
        <w:t xml:space="preserve"> / 3.</w:t>
      </w:r>
      <w:r w:rsidRPr="00020424">
        <w:rPr>
          <w:rtl/>
          <w:lang w:bidi="fa-IR"/>
        </w:rPr>
        <w:t xml:space="preserve"> عِدَّةٌ مِنْ أَصْحَابِنَا ، عَنْ سَهْلِ بْنِ زِيَادٍ ، عَنْ أَحْمَدَ بْنِ مُحَمَّدٍ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أَنَّهُ سَأَلَهُ عَنِ الرَّجُلِ يَحْتَقِنُ </w:t>
      </w:r>
      <w:r w:rsidRPr="00A91B96">
        <w:rPr>
          <w:rStyle w:val="libFootnotenumChar"/>
          <w:rtl/>
        </w:rPr>
        <w:t>(2)</w:t>
      </w:r>
      <w:r w:rsidRPr="00020424">
        <w:rPr>
          <w:rtl/>
          <w:lang w:bidi="fa-IR"/>
        </w:rPr>
        <w:t xml:space="preserve"> تَكُونُ </w:t>
      </w:r>
      <w:r w:rsidRPr="00A91B96">
        <w:rPr>
          <w:rStyle w:val="libFootnotenumChar"/>
          <w:rtl/>
        </w:rPr>
        <w:t>(3)</w:t>
      </w:r>
      <w:r w:rsidRPr="00020424">
        <w:rPr>
          <w:rtl/>
          <w:lang w:bidi="fa-IR"/>
        </w:rPr>
        <w:t xml:space="preserve"> بِهِ الْعِلَّةُ فِي شَهْرِ رَمَضَانَ</w:t>
      </w:r>
      <w:r>
        <w:rPr>
          <w:rtl/>
          <w:lang w:bidi="fa-IR"/>
        </w:rPr>
        <w:t>؟</w:t>
      </w:r>
    </w:p>
    <w:p w:rsidR="00992664" w:rsidRPr="00020424" w:rsidRDefault="00992664" w:rsidP="00992664">
      <w:pPr>
        <w:pStyle w:val="libNormal"/>
        <w:rPr>
          <w:rtl/>
          <w:lang w:bidi="fa-IR"/>
        </w:rPr>
      </w:pPr>
      <w:r w:rsidRPr="00020424">
        <w:rPr>
          <w:rtl/>
          <w:lang w:bidi="fa-IR"/>
        </w:rPr>
        <w:t>فَقَالَ : « الصَّائِمُ لَايَجُوزُ لَهُ أَنْ يَحْتَقِنَ</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F33756">
        <w:rPr>
          <w:rtl/>
        </w:rPr>
        <w:t>6422</w:t>
      </w:r>
      <w:r w:rsidRPr="001155DE">
        <w:rPr>
          <w:rStyle w:val="libBold2Char"/>
          <w:rtl/>
        </w:rPr>
        <w:t xml:space="preserve"> / 4.</w:t>
      </w:r>
      <w:r w:rsidRPr="00020424">
        <w:rPr>
          <w:rtl/>
          <w:lang w:bidi="fa-IR"/>
        </w:rPr>
        <w:t xml:space="preserve"> أَحْمَدُ بْنُ مُحَمَّدٍ ، عَنْ عَلِيِّ بْنِ الْحَسَنِ </w:t>
      </w:r>
      <w:r w:rsidRPr="00A91B96">
        <w:rPr>
          <w:rStyle w:val="libFootnotenumChar"/>
          <w:rtl/>
        </w:rPr>
        <w:t>(5)</w:t>
      </w:r>
      <w:r w:rsidRPr="00020424">
        <w:rPr>
          <w:rtl/>
          <w:lang w:bidi="fa-IR"/>
        </w:rPr>
        <w:t xml:space="preserve"> ، عَنْ أَحْمَدَ بْنِ الْحَسَنِ ، عَنْ أَبِيهِ ، عَنْ عَلِيِّ بْنِ رِبَاطٍ ، عَنِ ابْنِ مُسْكَانَ ، عَنْ لَيْثٍ الْمُرَادِيِّ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الصَّائِمِ يَحْتَجِمُ وَيَصُبُّ فِي أُذُنِهِ الدُّهْنَ</w:t>
      </w:r>
      <w:r>
        <w:rPr>
          <w:rtl/>
          <w:lang w:bidi="fa-IR"/>
        </w:rPr>
        <w:t>؟</w:t>
      </w:r>
    </w:p>
    <w:p w:rsidR="00992664" w:rsidRPr="00020424" w:rsidRDefault="00906E61" w:rsidP="00992664">
      <w:pPr>
        <w:pStyle w:val="libNormal"/>
        <w:rPr>
          <w:rtl/>
          <w:lang w:bidi="fa-IR"/>
        </w:rPr>
      </w:pPr>
      <w:r>
        <w:rPr>
          <w:rtl/>
          <w:lang w:bidi="fa-IR"/>
        </w:rPr>
        <w:t>قَالَ : « لَا بَأْسَ إِل</w:t>
      </w:r>
      <w:r>
        <w:rPr>
          <w:rFonts w:hint="cs"/>
          <w:rtl/>
          <w:lang w:bidi="fa-IR"/>
        </w:rPr>
        <w:t>َّ</w:t>
      </w:r>
      <w:r>
        <w:rPr>
          <w:rtl/>
          <w:lang w:bidi="fa-IR"/>
        </w:rPr>
        <w:t>ا</w:t>
      </w:r>
      <w:r w:rsidR="00992664" w:rsidRPr="00020424">
        <w:rPr>
          <w:rtl/>
          <w:lang w:bidi="fa-IR"/>
        </w:rPr>
        <w:t xml:space="preserve"> السُّعُوطَ </w:t>
      </w:r>
      <w:r w:rsidR="00992664" w:rsidRPr="00A91B96">
        <w:rPr>
          <w:rStyle w:val="libFootnotenumChar"/>
          <w:rtl/>
        </w:rPr>
        <w:t>(6)</w:t>
      </w:r>
      <w:r w:rsidR="00992664" w:rsidRPr="00020424">
        <w:rPr>
          <w:rtl/>
          <w:lang w:bidi="fa-IR"/>
        </w:rPr>
        <w:t xml:space="preserve"> ؛ فَإِنَّهُ يُكْرَهُ</w:t>
      </w:r>
      <w:r w:rsidR="00992664">
        <w:rPr>
          <w:rtl/>
          <w:lang w:bidi="fa-IR"/>
        </w:rPr>
        <w:t xml:space="preserve"> ».</w:t>
      </w:r>
      <w:r w:rsidR="00992664" w:rsidRPr="00020424">
        <w:rPr>
          <w:rtl/>
          <w:lang w:bidi="fa-IR"/>
        </w:rPr>
        <w:t xml:space="preserve"> </w:t>
      </w:r>
      <w:r w:rsidR="00992664" w:rsidRPr="00A91B96">
        <w:rPr>
          <w:rStyle w:val="libFootnotenumChar"/>
          <w:rtl/>
        </w:rPr>
        <w:t>(7)</w:t>
      </w:r>
    </w:p>
    <w:p w:rsidR="00992664" w:rsidRPr="00020424" w:rsidRDefault="00992664" w:rsidP="00992664">
      <w:pPr>
        <w:pStyle w:val="libNormal"/>
        <w:rPr>
          <w:rtl/>
          <w:lang w:bidi="fa-IR"/>
        </w:rPr>
      </w:pPr>
      <w:r w:rsidRPr="00F33756">
        <w:rPr>
          <w:rtl/>
        </w:rPr>
        <w:t>6423</w:t>
      </w:r>
      <w:r w:rsidRPr="001155DE">
        <w:rPr>
          <w:rStyle w:val="libBold2Char"/>
          <w:rtl/>
        </w:rPr>
        <w:t xml:space="preserve"> / 5.</w:t>
      </w:r>
      <w:r w:rsidRPr="00020424">
        <w:rPr>
          <w:rtl/>
          <w:lang w:bidi="fa-IR"/>
        </w:rPr>
        <w:t xml:space="preserve"> مُحَمَّدُ بْنُ يَحْيى ، عَنِ الْعَمْرَكِيِّ بْنِ عَلِيٍّ </w:t>
      </w:r>
      <w:r w:rsidRPr="00A91B96">
        <w:rPr>
          <w:rStyle w:val="libFootnotenumChar"/>
          <w:rtl/>
        </w:rPr>
        <w:t>(8)</w:t>
      </w:r>
      <w:r w:rsidRPr="00020424">
        <w:rPr>
          <w:rtl/>
          <w:lang w:bidi="fa-IR"/>
        </w:rPr>
        <w:t xml:space="preserve"> ، عَنْ عَلِيِّ بْنِ جَعْفَرٍ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جر » : + « بن أبي نصر ، عن الرضا </w:t>
      </w:r>
      <w:r w:rsidR="00992664" w:rsidRPr="00D64ADA">
        <w:rPr>
          <w:rStyle w:val="libFootnoteAlaemChar"/>
          <w:rtl/>
        </w:rPr>
        <w:t>عليه‌السلام</w:t>
      </w:r>
      <w:r w:rsidR="00992664">
        <w:rPr>
          <w:rtl/>
        </w:rPr>
        <w:t xml:space="preserve"> ».</w:t>
      </w:r>
      <w:r w:rsidR="00992664" w:rsidRPr="00020424">
        <w:rPr>
          <w:rtl/>
        </w:rPr>
        <w:t xml:space="preserve"> وفي </w:t>
      </w:r>
      <w:r w:rsidR="00992664" w:rsidRPr="000F06E7">
        <w:rPr>
          <w:rtl/>
        </w:rPr>
        <w:t>التهذيب والاستبصار</w:t>
      </w:r>
      <w:r w:rsidR="00992664" w:rsidRPr="00020424">
        <w:rPr>
          <w:rtl/>
        </w:rPr>
        <w:t xml:space="preserve"> : + « عن أبي الحسن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الاحتقان : استعمال الحُقْنة ، وهو دواء يُحْقَن به المريض المحتقن ، أي يعطاه من أسفله. راجع : </w:t>
      </w:r>
      <w:r w:rsidR="00992664" w:rsidRPr="0012008A">
        <w:rPr>
          <w:rStyle w:val="libFootnoteBoldChar"/>
          <w:rtl/>
        </w:rPr>
        <w:t>النهاية</w:t>
      </w:r>
      <w:r w:rsidR="00992664" w:rsidRPr="00020424">
        <w:rPr>
          <w:rtl/>
        </w:rPr>
        <w:t xml:space="preserve"> ، ج 1 ، ص 416 ؛ </w:t>
      </w:r>
      <w:r w:rsidR="00992664" w:rsidRPr="00A722B1">
        <w:rPr>
          <w:rStyle w:val="libFootnoteBoldChar"/>
          <w:rtl/>
        </w:rPr>
        <w:t>لسان العرب</w:t>
      </w:r>
      <w:r w:rsidR="00992664" w:rsidRPr="00020424">
        <w:rPr>
          <w:rtl/>
        </w:rPr>
        <w:t xml:space="preserve"> ، ج 13 ، ص 126 ( حقن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بح ، بر ، بف » : « يكون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111 ، ح 1871 ، معلّقاً عن أحمد بن محمّد بن أبي نصر البزنطي ، عن أبي الحسن الرضا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204 ، ح 589 ؛ </w:t>
      </w:r>
      <w:r w:rsidR="00992664" w:rsidRPr="00FD6221">
        <w:rPr>
          <w:rStyle w:val="libFootnoteBoldChar"/>
          <w:rtl/>
        </w:rPr>
        <w:t>والاستبصار</w:t>
      </w:r>
      <w:r w:rsidR="00992664" w:rsidRPr="00020424">
        <w:rPr>
          <w:rtl/>
        </w:rPr>
        <w:t xml:space="preserve"> ، ج 2 ، ص 83 ، ح 256 ، بسندهما عن أحمد بن محمّد بن أبي نصر ، عن أبي الحسن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مع اختلاف يسير </w:t>
      </w:r>
      <w:r w:rsidR="000F06E7">
        <w:rPr>
          <w:rFonts w:hint="cs"/>
          <w:rtl/>
        </w:rPr>
        <w:t>.</w:t>
      </w:r>
      <w:r w:rsidR="00992664" w:rsidRPr="0012008A">
        <w:rPr>
          <w:rStyle w:val="libFootnoteBoldChar"/>
          <w:rtl/>
        </w:rPr>
        <w:t>الوافي</w:t>
      </w:r>
      <w:r w:rsidR="00992664" w:rsidRPr="00020424">
        <w:rPr>
          <w:rtl/>
        </w:rPr>
        <w:t xml:space="preserve"> ، ج 11 ، ص 181 ، ح 10640 ؛ </w:t>
      </w:r>
      <w:r w:rsidR="00992664" w:rsidRPr="0012008A">
        <w:rPr>
          <w:rStyle w:val="libFootnoteBoldChar"/>
          <w:rtl/>
        </w:rPr>
        <w:t>الوسائل</w:t>
      </w:r>
      <w:r w:rsidR="00992664" w:rsidRPr="00020424">
        <w:rPr>
          <w:rtl/>
        </w:rPr>
        <w:t xml:space="preserve"> ، ج 10 ، ص 42 ، ذيل ح 12784.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ى ، بس ، جر » وحاشية « جن » </w:t>
      </w:r>
      <w:r w:rsidR="00992664" w:rsidRPr="000F06E7">
        <w:rPr>
          <w:rtl/>
        </w:rPr>
        <w:t>والوسائل</w:t>
      </w:r>
      <w:r w:rsidR="00992664" w:rsidRPr="00020424">
        <w:rPr>
          <w:rtl/>
        </w:rPr>
        <w:t xml:space="preserve">. وفي « ظ ، بث ، بح ، بخ ، بر ، بف ، جن » والمطبوع </w:t>
      </w:r>
      <w:r w:rsidR="00992664" w:rsidRPr="000F06E7">
        <w:rPr>
          <w:rtl/>
        </w:rPr>
        <w:t>والتهذيب</w:t>
      </w:r>
      <w:r w:rsidR="00992664" w:rsidRPr="00020424">
        <w:rPr>
          <w:rtl/>
        </w:rPr>
        <w:t xml:space="preserve"> : « الحسين</w:t>
      </w:r>
      <w:r w:rsidR="00992664">
        <w:rPr>
          <w:rtl/>
        </w:rPr>
        <w:t xml:space="preserve"> ».</w:t>
      </w:r>
    </w:p>
    <w:p w:rsidR="00992664" w:rsidRPr="00020424" w:rsidRDefault="00992664" w:rsidP="00992664">
      <w:pPr>
        <w:pStyle w:val="libFootnote0"/>
        <w:rPr>
          <w:rtl/>
          <w:lang w:bidi="fa-IR"/>
        </w:rPr>
      </w:pPr>
      <w:r w:rsidRPr="000F06E7">
        <w:rPr>
          <w:rtl/>
        </w:rPr>
        <w:t xml:space="preserve">وعليّ بن الحسن هو ابن فضّال ، قد تكرّرت روايته عن أخيه أحمد بن الحسن عن أبيه. راجع : </w:t>
      </w:r>
      <w:r w:rsidRPr="00DE76B9">
        <w:rPr>
          <w:rStyle w:val="libFootnoteBoldChar"/>
          <w:rtl/>
        </w:rPr>
        <w:t>معجم رجال الحديث</w:t>
      </w:r>
      <w:r w:rsidRPr="000F06E7">
        <w:rPr>
          <w:rtl/>
        </w:rPr>
        <w:t xml:space="preserve"> ، ج 2 ، ص 426 </w:t>
      </w:r>
      <w:r w:rsidR="009B673F" w:rsidRPr="000F06E7">
        <w:rPr>
          <w:rtl/>
        </w:rPr>
        <w:t>-</w:t>
      </w:r>
      <w:r w:rsidRPr="000F06E7">
        <w:rPr>
          <w:rtl/>
        </w:rPr>
        <w:t xml:space="preserve"> 427.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السُّعُوط » ، مثل قعود : مصدر بمعنى إدخال الدواء في الأنف ، والسَّعوط مثال رسول : اسم الدواء يصبّ في الأنف. راجع : </w:t>
      </w:r>
      <w:r w:rsidR="00992664" w:rsidRPr="0012008A">
        <w:rPr>
          <w:rStyle w:val="libFootnoteBoldChar"/>
          <w:rtl/>
        </w:rPr>
        <w:t>النهاية</w:t>
      </w:r>
      <w:r w:rsidR="00992664" w:rsidRPr="00020424">
        <w:rPr>
          <w:rtl/>
        </w:rPr>
        <w:t xml:space="preserve"> ، ج 2 ، ص 368 ؛ </w:t>
      </w:r>
      <w:r w:rsidR="00992664" w:rsidRPr="00A722B1">
        <w:rPr>
          <w:rStyle w:val="libFootnoteBoldChar"/>
          <w:rtl/>
        </w:rPr>
        <w:t>المصباح المنير</w:t>
      </w:r>
      <w:r w:rsidR="00992664" w:rsidRPr="00020424">
        <w:rPr>
          <w:rtl/>
        </w:rPr>
        <w:t xml:space="preserve"> ، ص 277 ( سعط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204 ، ح 592 ، معلّقاً عن الكليني. </w:t>
      </w:r>
      <w:r w:rsidR="00992664" w:rsidRPr="00DE76B9">
        <w:rPr>
          <w:rStyle w:val="libFootnoteBoldChar"/>
          <w:rtl/>
        </w:rPr>
        <w:t>وفيه</w:t>
      </w:r>
      <w:r w:rsidR="00992664" w:rsidRPr="00020424">
        <w:rPr>
          <w:rtl/>
        </w:rPr>
        <w:t xml:space="preserve"> ، ج 4 ، ص 214 ، ح 622 ، بسند آخر عن جعفر بن محمّد ، عن أبيه </w:t>
      </w:r>
      <w:r w:rsidR="00D64ADA" w:rsidRPr="00D64ADA">
        <w:rPr>
          <w:rStyle w:val="libFootnoteAlaemChar"/>
          <w:rtl/>
        </w:rPr>
        <w:t>عليهما‌السلام</w:t>
      </w:r>
      <w:r w:rsidR="00992664" w:rsidRPr="00020424">
        <w:rPr>
          <w:rtl/>
        </w:rPr>
        <w:t xml:space="preserve"> ، مع زيادة في أوّله. </w:t>
      </w:r>
      <w:r w:rsidR="00992664" w:rsidRPr="00DE76B9">
        <w:rPr>
          <w:rStyle w:val="libFootnoteBoldChar"/>
          <w:rtl/>
        </w:rPr>
        <w:t>وفيه</w:t>
      </w:r>
      <w:r w:rsidR="00992664" w:rsidRPr="00020424">
        <w:rPr>
          <w:rtl/>
        </w:rPr>
        <w:t xml:space="preserve"> ، ح 623 ، بسند آخر عن جعفر ، عن أبيه ، عن عليّ </w:t>
      </w:r>
      <w:r w:rsidR="00992664" w:rsidRPr="00D64ADA">
        <w:rPr>
          <w:rStyle w:val="libFootnoteAlaemChar"/>
          <w:rtl/>
        </w:rPr>
        <w:t>عليهم‌السلام</w:t>
      </w:r>
      <w:r w:rsidR="00992664" w:rsidRPr="00020424">
        <w:rPr>
          <w:rtl/>
        </w:rPr>
        <w:t xml:space="preserve"> ، وتمام الرواية في الأخيرين : « كره السعوط للصائم</w:t>
      </w:r>
      <w:r w:rsidR="00992664">
        <w:rPr>
          <w:rtl/>
        </w:rPr>
        <w:t xml:space="preserve"> ».</w:t>
      </w:r>
      <w:r w:rsidR="00992664" w:rsidRPr="00020424">
        <w:rPr>
          <w:rtl/>
        </w:rPr>
        <w:t xml:space="preserve"> وراجع : </w:t>
      </w:r>
      <w:r w:rsidR="00992664" w:rsidRPr="00DE76B9">
        <w:rPr>
          <w:rStyle w:val="libFootnoteBoldChar"/>
          <w:rtl/>
        </w:rPr>
        <w:t>الكافي</w:t>
      </w:r>
      <w:r w:rsidR="00992664" w:rsidRPr="00020424">
        <w:rPr>
          <w:rtl/>
        </w:rPr>
        <w:t xml:space="preserve"> ، كتاب الصيام ، باب في الصائم يجتجم ويدخل الحمّام ، ح 6416 </w:t>
      </w:r>
      <w:r w:rsidR="000F06E7">
        <w:rPr>
          <w:rFonts w:hint="cs"/>
          <w:rtl/>
        </w:rPr>
        <w:t>.</w:t>
      </w:r>
      <w:r w:rsidR="00992664" w:rsidRPr="0012008A">
        <w:rPr>
          <w:rStyle w:val="libFootnoteBoldChar"/>
          <w:rtl/>
        </w:rPr>
        <w:t>الوافي</w:t>
      </w:r>
      <w:r w:rsidR="00992664" w:rsidRPr="00020424">
        <w:rPr>
          <w:rtl/>
        </w:rPr>
        <w:t xml:space="preserve"> ، ج 11 ، ص 183 ، ح 10645 ؛ </w:t>
      </w:r>
      <w:r w:rsidR="00992664" w:rsidRPr="0012008A">
        <w:rPr>
          <w:rStyle w:val="libFootnoteBoldChar"/>
          <w:rtl/>
        </w:rPr>
        <w:t>الوسائل</w:t>
      </w:r>
      <w:r w:rsidR="00992664" w:rsidRPr="00020424">
        <w:rPr>
          <w:rtl/>
        </w:rPr>
        <w:t xml:space="preserve"> ، ج 10 ، ص 43 ، ح 12786.</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بن عليّ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أَخِيهِ مُوسَى بْنِ جَعْفَرٍ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قَالَ : سَأَلْتُهُ عَنِ الرَّجُلِ وَالْمَرْأَةِ : هَلْ يَصْلُحُ لَهُمَا أَنْ يَسْتَدْخِلَا الدَّوَاءَ </w:t>
      </w:r>
      <w:r w:rsidRPr="00A91B96">
        <w:rPr>
          <w:rStyle w:val="libFootnotenumChar"/>
          <w:rtl/>
        </w:rPr>
        <w:t>(2)</w:t>
      </w:r>
      <w:r w:rsidRPr="00020424">
        <w:rPr>
          <w:rtl/>
          <w:lang w:bidi="fa-IR"/>
        </w:rPr>
        <w:t xml:space="preserve"> وَهُمَا صَائِمَانِ</w:t>
      </w:r>
      <w:r>
        <w:rPr>
          <w:rtl/>
          <w:lang w:bidi="fa-IR"/>
        </w:rPr>
        <w:t>؟</w:t>
      </w:r>
    </w:p>
    <w:p w:rsidR="00992664" w:rsidRPr="00020424" w:rsidRDefault="00992664" w:rsidP="00992664">
      <w:pPr>
        <w:pStyle w:val="libNormal"/>
        <w:rPr>
          <w:rtl/>
          <w:lang w:bidi="fa-IR"/>
        </w:rPr>
      </w:pPr>
      <w:r w:rsidRPr="00020424">
        <w:rPr>
          <w:rtl/>
          <w:lang w:bidi="fa-IR"/>
        </w:rPr>
        <w:t>قَالَ : « لَا بَأْسَ</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F33756">
        <w:rPr>
          <w:rtl/>
        </w:rPr>
        <w:t>6424</w:t>
      </w:r>
      <w:r w:rsidRPr="001155DE">
        <w:rPr>
          <w:rStyle w:val="libBold2Char"/>
          <w:rtl/>
        </w:rPr>
        <w:t xml:space="preserve"> / 6.</w:t>
      </w:r>
      <w:r w:rsidRPr="00020424">
        <w:rPr>
          <w:rtl/>
          <w:lang w:bidi="fa-IR"/>
        </w:rPr>
        <w:t xml:space="preserve"> أَحْمَدُ بْنُ مُحَمَّدٍ ، عَنْ عَلِيِّ بْنِ الْحَسَنِ </w:t>
      </w:r>
      <w:r w:rsidRPr="00A91B96">
        <w:rPr>
          <w:rStyle w:val="libFootnotenumChar"/>
          <w:rtl/>
        </w:rPr>
        <w:t>(4)</w:t>
      </w:r>
      <w:r w:rsidRPr="00020424">
        <w:rPr>
          <w:rtl/>
          <w:lang w:bidi="fa-IR"/>
        </w:rPr>
        <w:t xml:space="preserve"> ، عَنْ أَبِيهِ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جر » </w:t>
      </w:r>
      <w:r w:rsidR="00992664" w:rsidRPr="000F06E7">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جعفر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الجامد ، كما يأتي</w:t>
      </w:r>
      <w:r w:rsidR="00992664">
        <w:rPr>
          <w:rtl/>
        </w:rPr>
        <w:t xml:space="preserve"> ».</w:t>
      </w:r>
      <w:r w:rsidR="00992664" w:rsidRPr="00020424">
        <w:rPr>
          <w:rtl/>
        </w:rPr>
        <w:t xml:space="preserve"> وفي </w:t>
      </w:r>
      <w:r w:rsidR="00992664" w:rsidRPr="000F06E7">
        <w:rPr>
          <w:rStyle w:val="libFootnoteBoldChar"/>
          <w:rtl/>
        </w:rPr>
        <w:t>مرآة العقول</w:t>
      </w:r>
      <w:r w:rsidR="00992664" w:rsidRPr="00020424">
        <w:rPr>
          <w:rtl/>
        </w:rPr>
        <w:t xml:space="preserve"> : « يدلّ على جواز الاحتقان بالجامد ، فيمكن حمل الخبر السابق على المائع جمعاً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325 ، ح 1005 ، معلّقاً عن عليّ بن جعفر. </w:t>
      </w:r>
      <w:r w:rsidR="00992664" w:rsidRPr="00DE76B9">
        <w:rPr>
          <w:rStyle w:val="libFootnoteBoldChar"/>
          <w:rtl/>
        </w:rPr>
        <w:t>قرب الإسناد</w:t>
      </w:r>
      <w:r w:rsidR="00992664" w:rsidRPr="00020424">
        <w:rPr>
          <w:rtl/>
        </w:rPr>
        <w:t xml:space="preserve"> ، ص 230 ، ح 898 ، بسنده عن عليّ بن جعفر </w:t>
      </w:r>
      <w:r w:rsidR="000F06E7">
        <w:rPr>
          <w:rFonts w:hint="cs"/>
          <w:rtl/>
        </w:rPr>
        <w:t>.</w:t>
      </w:r>
      <w:r w:rsidR="00992664" w:rsidRPr="0012008A">
        <w:rPr>
          <w:rStyle w:val="libFootnoteBoldChar"/>
          <w:rtl/>
        </w:rPr>
        <w:t>الوافي</w:t>
      </w:r>
      <w:r w:rsidR="00992664" w:rsidRPr="00020424">
        <w:rPr>
          <w:rtl/>
        </w:rPr>
        <w:t xml:space="preserve"> ، ج 11 ، ص 182 ، ح 10641 ؛ </w:t>
      </w:r>
      <w:r w:rsidR="00992664" w:rsidRPr="0012008A">
        <w:rPr>
          <w:rStyle w:val="libFootnoteBoldChar"/>
          <w:rtl/>
        </w:rPr>
        <w:t>الوسائل</w:t>
      </w:r>
      <w:r w:rsidR="00992664" w:rsidRPr="00020424">
        <w:rPr>
          <w:rtl/>
        </w:rPr>
        <w:t xml:space="preserve"> ، ج 10 ، ص 41 ، ح 12781.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النسخ مختلفة هنا ؛ ففي « ظ ، بث ، بح ، بر ، بف ، جن » والمطبوع : « عليّ بن الحسين عن محمّد بن الحسين</w:t>
      </w:r>
      <w:r w:rsidR="00992664">
        <w:rPr>
          <w:rtl/>
        </w:rPr>
        <w:t xml:space="preserve"> ».</w:t>
      </w:r>
      <w:r w:rsidR="00992664" w:rsidRPr="00020424">
        <w:rPr>
          <w:rtl/>
        </w:rPr>
        <w:t xml:space="preserve"> وفي « ى ، بس » وحاشية « جن » : « عليّ بن الحسن عن محمّد بن الحسين</w:t>
      </w:r>
      <w:r w:rsidR="00992664">
        <w:rPr>
          <w:rtl/>
        </w:rPr>
        <w:t xml:space="preserve"> ».</w:t>
      </w:r>
      <w:r w:rsidR="00992664" w:rsidRPr="00020424">
        <w:rPr>
          <w:rtl/>
        </w:rPr>
        <w:t xml:space="preserve"> وفي « بخ ، جر » : « عليّ بن الحسين</w:t>
      </w:r>
      <w:r w:rsidR="00992664">
        <w:rPr>
          <w:rtl/>
        </w:rPr>
        <w:t xml:space="preserve"> ».</w:t>
      </w:r>
      <w:r w:rsidR="00992664" w:rsidRPr="00020424">
        <w:rPr>
          <w:rtl/>
        </w:rPr>
        <w:t xml:space="preserve"> وفي </w:t>
      </w:r>
      <w:r w:rsidR="00992664" w:rsidRPr="000F06E7">
        <w:rPr>
          <w:rtl/>
        </w:rPr>
        <w:t>الوسائل</w:t>
      </w:r>
      <w:r w:rsidR="00992664" w:rsidRPr="00020424">
        <w:rPr>
          <w:rtl/>
        </w:rPr>
        <w:t xml:space="preserve"> : « عليّ بن الحسن عن محمّد بن الحسن</w:t>
      </w:r>
      <w:r w:rsidR="00992664">
        <w:rPr>
          <w:rtl/>
        </w:rPr>
        <w:t xml:space="preserve"> ».</w:t>
      </w:r>
    </w:p>
    <w:p w:rsidR="00992664" w:rsidRPr="00020424" w:rsidRDefault="00992664" w:rsidP="00992664">
      <w:pPr>
        <w:pStyle w:val="libFootnote0"/>
        <w:rPr>
          <w:rtl/>
          <w:lang w:bidi="fa-IR"/>
        </w:rPr>
      </w:pPr>
      <w:r w:rsidRPr="000F06E7">
        <w:rPr>
          <w:rtl/>
        </w:rPr>
        <w:t xml:space="preserve">وعليّ بن الحسن هذا ، هو عليّ بن الحسن بن فضّال ، يروي عنه أحمد بن محمّد شيخ المصنّف. هذا ممّا لا كلام فيه. لكن ربّما يخطر بالبال صحّة ما ورد في </w:t>
      </w:r>
      <w:r w:rsidRPr="0012008A">
        <w:rPr>
          <w:rStyle w:val="libFootnoteBoldChar"/>
          <w:rtl/>
        </w:rPr>
        <w:t>الوسائل</w:t>
      </w:r>
      <w:r w:rsidRPr="000F06E7">
        <w:rPr>
          <w:rtl/>
        </w:rPr>
        <w:t xml:space="preserve"> من « عليّ بن الحسن عن محمّد بن الحسن » ؛ لما ورد في عددٍ من الأسناد من رواية عليّ بن الحسن [ بن فضّال ] عن أخيه محمّد بن الحسن عن أبيه ، ويؤكّد ذلك قول النجاشي في ترجمة عليّ بن الحسن بن فضّال : « لم يرو عن أبيه شيئاً وقال : كنت ا</w:t>
      </w:r>
      <w:r w:rsidR="000F06E7">
        <w:rPr>
          <w:rFonts w:hint="cs"/>
          <w:rtl/>
        </w:rPr>
        <w:t>ُ</w:t>
      </w:r>
      <w:r w:rsidRPr="000F06E7">
        <w:rPr>
          <w:rtl/>
        </w:rPr>
        <w:t xml:space="preserve">قابله </w:t>
      </w:r>
      <w:r w:rsidR="009B673F" w:rsidRPr="000F06E7">
        <w:rPr>
          <w:rtl/>
        </w:rPr>
        <w:t>-</w:t>
      </w:r>
      <w:r w:rsidRPr="000F06E7">
        <w:rPr>
          <w:rtl/>
        </w:rPr>
        <w:t xml:space="preserve"> وسنّي ثمان عشرة سنة </w:t>
      </w:r>
      <w:r w:rsidR="009B673F" w:rsidRPr="000F06E7">
        <w:rPr>
          <w:rtl/>
        </w:rPr>
        <w:t>-</w:t>
      </w:r>
      <w:r w:rsidRPr="000F06E7">
        <w:rPr>
          <w:rtl/>
        </w:rPr>
        <w:t xml:space="preserve"> بكتبه ، ولا أفهم إذ ذاك الروايات ، ولا أستحلّ أن أرويها عنه. وروى عن أخويه عن أبيهما ». راجع : </w:t>
      </w:r>
      <w:r w:rsidRPr="00DE76B9">
        <w:rPr>
          <w:rStyle w:val="libFootnoteBoldChar"/>
          <w:rtl/>
        </w:rPr>
        <w:t>معجم رجال الحديث</w:t>
      </w:r>
      <w:r w:rsidRPr="000F06E7">
        <w:rPr>
          <w:rtl/>
        </w:rPr>
        <w:t xml:space="preserve"> ، ج 15 ، ص 369 </w:t>
      </w:r>
      <w:r w:rsidR="009B673F" w:rsidRPr="000F06E7">
        <w:rPr>
          <w:rtl/>
        </w:rPr>
        <w:t>-</w:t>
      </w:r>
      <w:r w:rsidRPr="000F06E7">
        <w:rPr>
          <w:rtl/>
        </w:rPr>
        <w:t xml:space="preserve"> 370 ؛ </w:t>
      </w:r>
      <w:r w:rsidRPr="00DE76B9">
        <w:rPr>
          <w:rStyle w:val="libFootnoteBoldChar"/>
          <w:rtl/>
        </w:rPr>
        <w:t>رجال النجاشي</w:t>
      </w:r>
      <w:r w:rsidRPr="000F06E7">
        <w:rPr>
          <w:rtl/>
        </w:rPr>
        <w:t xml:space="preserve"> ، ص 257 ، الرقم 676.</w:t>
      </w:r>
    </w:p>
    <w:p w:rsidR="00992664" w:rsidRPr="00020424" w:rsidRDefault="00992664" w:rsidP="000F06E7">
      <w:pPr>
        <w:pStyle w:val="libFootnote0"/>
        <w:rPr>
          <w:rtl/>
          <w:lang w:bidi="fa-IR"/>
        </w:rPr>
      </w:pPr>
      <w:r w:rsidRPr="00D82B22">
        <w:rPr>
          <w:rtl/>
        </w:rPr>
        <w:t>فلابدّ لنا من التكلّم حول أمرين : امكان رواية عليّ بن الحسن بن فضّال عن أبيه مباشرةً أو عدمه ، ووجه صحّة ما أثبتناه.</w:t>
      </w:r>
    </w:p>
    <w:p w:rsidR="00992664" w:rsidRPr="00020424" w:rsidRDefault="00992664" w:rsidP="00992664">
      <w:pPr>
        <w:pStyle w:val="libFootnote0"/>
        <w:rPr>
          <w:rtl/>
          <w:lang w:bidi="fa-IR"/>
        </w:rPr>
      </w:pPr>
      <w:r w:rsidRPr="000F06E7">
        <w:rPr>
          <w:rtl/>
        </w:rPr>
        <w:t xml:space="preserve">أمّا الأوّل ، فللنجاشي كلام عقيب كلامه المتقدّم ينبغي الالتفات إليه ، قال : « وذكر أحمد بن الحسين </w:t>
      </w:r>
      <w:r w:rsidR="00D64ADA" w:rsidRPr="000F06E7">
        <w:rPr>
          <w:rStyle w:val="libFootnoteAlaemChar"/>
          <w:rtl/>
        </w:rPr>
        <w:t>رحمه‌الله</w:t>
      </w:r>
      <w:r w:rsidRPr="000F06E7">
        <w:rPr>
          <w:rtl/>
        </w:rPr>
        <w:t xml:space="preserve"> أنّه رأى نسخة أخرجها أبو جعفر بن بابويه وقال : حدّثنا محمّد بن إبراهيم بن إسحاق الطالقاني ، قال : حدّثنا أحمد بن محمّد بن سعيد ، قال : حدّثنا عليّ بن الحسن بن فضّال عن أبيه عن الرضا [ </w:t>
      </w:r>
      <w:r w:rsidRPr="000F06E7">
        <w:rPr>
          <w:rStyle w:val="libFootnoteAlaemChar"/>
          <w:rtl/>
        </w:rPr>
        <w:t>عليه‌السلام</w:t>
      </w:r>
      <w:r w:rsidRPr="000F06E7">
        <w:rPr>
          <w:rtl/>
        </w:rPr>
        <w:t xml:space="preserve"> ] ، ولا يعرف الكوفيّون هذه النسخة ، ولا رويت من غير هذا الطريق ».</w:t>
      </w:r>
    </w:p>
    <w:p w:rsidR="00992664" w:rsidRPr="00020424" w:rsidRDefault="00992664" w:rsidP="00992664">
      <w:pPr>
        <w:pStyle w:val="libFootnote0"/>
        <w:rPr>
          <w:rtl/>
          <w:lang w:bidi="fa-IR"/>
        </w:rPr>
      </w:pPr>
      <w:r w:rsidRPr="000F06E7">
        <w:rPr>
          <w:rtl/>
        </w:rPr>
        <w:t xml:space="preserve">هذا الكلام </w:t>
      </w:r>
      <w:r w:rsidR="009B673F" w:rsidRPr="000F06E7">
        <w:rPr>
          <w:rtl/>
        </w:rPr>
        <w:t>-</w:t>
      </w:r>
      <w:r w:rsidRPr="000F06E7">
        <w:rPr>
          <w:rtl/>
        </w:rPr>
        <w:t xml:space="preserve"> كما ترى </w:t>
      </w:r>
      <w:r w:rsidR="009B673F" w:rsidRPr="000F06E7">
        <w:rPr>
          <w:rtl/>
        </w:rPr>
        <w:t>-</w:t>
      </w:r>
      <w:r w:rsidRPr="000F06E7">
        <w:rPr>
          <w:rtl/>
        </w:rPr>
        <w:t xml:space="preserve"> يدلّ على رواية عليّ بن الحسن بن فضّال عن أبيه مباشرة ، عن مولانا الرضا </w:t>
      </w:r>
      <w:r w:rsidRPr="00D64ADA">
        <w:rPr>
          <w:rStyle w:val="libFootnoteAlaemChar"/>
          <w:rtl/>
        </w:rPr>
        <w:t>عليه‌السلام</w:t>
      </w:r>
      <w:r w:rsidRPr="000F06E7">
        <w:rPr>
          <w:rtl/>
        </w:rPr>
        <w:t>.</w:t>
      </w:r>
    </w:p>
    <w:p w:rsidR="00992664" w:rsidRPr="00020424" w:rsidRDefault="00992664" w:rsidP="00992664">
      <w:pPr>
        <w:pStyle w:val="libFootnote0"/>
        <w:rPr>
          <w:rtl/>
          <w:lang w:bidi="fa-IR"/>
        </w:rPr>
      </w:pPr>
      <w:r w:rsidRPr="000F06E7">
        <w:rPr>
          <w:rtl/>
        </w:rPr>
        <w:t xml:space="preserve">ثمّ إنّا فحصنا في الأسناد عن هذا الارتباط </w:t>
      </w:r>
      <w:r w:rsidR="009B673F" w:rsidRPr="000F06E7">
        <w:rPr>
          <w:rtl/>
        </w:rPr>
        <w:t>-</w:t>
      </w:r>
      <w:r w:rsidRPr="000F06E7">
        <w:rPr>
          <w:rtl/>
        </w:rPr>
        <w:t xml:space="preserve"> فحصاً أكيداً </w:t>
      </w:r>
      <w:r w:rsidR="009B673F" w:rsidRPr="000F06E7">
        <w:rPr>
          <w:rtl/>
        </w:rPr>
        <w:t>-</w:t>
      </w:r>
      <w:r w:rsidRPr="000F06E7">
        <w:rPr>
          <w:rtl/>
        </w:rPr>
        <w:t xml:space="preserve"> فلم نجد في شي‌ء من الأسناد في ما يروي فيه عليّ بن الحسن عن أبيه عن الرضا </w:t>
      </w:r>
      <w:r w:rsidRPr="00D64ADA">
        <w:rPr>
          <w:rStyle w:val="libFootnoteAlaemChar"/>
          <w:rtl/>
        </w:rPr>
        <w:t>عليه‌السلام</w:t>
      </w:r>
      <w:r w:rsidRPr="000F06E7">
        <w:rPr>
          <w:rtl/>
        </w:rPr>
        <w:t xml:space="preserve"> </w:t>
      </w:r>
      <w:r w:rsidR="009B673F" w:rsidRPr="000F06E7">
        <w:rPr>
          <w:rtl/>
        </w:rPr>
        <w:t>-</w:t>
      </w:r>
      <w:r w:rsidRPr="000F06E7">
        <w:rPr>
          <w:rtl/>
        </w:rPr>
        <w:t xml:space="preserve"> بعناوينه المختلفة </w:t>
      </w:r>
      <w:r w:rsidR="009B673F" w:rsidRPr="000F06E7">
        <w:rPr>
          <w:rtl/>
        </w:rPr>
        <w:t>-</w:t>
      </w:r>
      <w:r w:rsidRPr="000F06E7">
        <w:rPr>
          <w:rtl/>
        </w:rPr>
        <w:t xml:space="preserve"> توسّط أحد أَخَويْ عليّ بن الحسن بينه وبين أبيه ، بل يروي </w:t>
      </w:r>
      <w:r w:rsidR="000F06E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كَتَبْتُ إِلى أَبِي الْحَسَنِ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مَا تَقُولُ فِي التَّلَطُّفِ </w:t>
      </w:r>
      <w:r w:rsidRPr="00A91B96">
        <w:rPr>
          <w:rStyle w:val="libFootnotenumChar"/>
          <w:rtl/>
        </w:rPr>
        <w:t>(2)</w:t>
      </w:r>
      <w:r w:rsidRPr="00020424">
        <w:rPr>
          <w:rtl/>
          <w:lang w:bidi="fa-IR"/>
        </w:rPr>
        <w:t xml:space="preserve"> يَسْتَدْخِلُهُ الْإِنْسَانُ وَهُوَ صَائِمٌ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فَكَتَبَ : « لَا بَأْسَ بِالْجَامِدِ</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0F06E7" w:rsidP="00992664">
      <w:pPr>
        <w:pStyle w:val="libFootnote0"/>
        <w:rPr>
          <w:rtl/>
          <w:lang w:bidi="fa-IR"/>
        </w:rPr>
      </w:pPr>
      <w:r w:rsidRPr="000F06E7">
        <w:rPr>
          <w:rFonts w:hint="cs"/>
          <w:rtl/>
        </w:rPr>
        <w:t xml:space="preserve">= </w:t>
      </w:r>
      <w:r w:rsidR="00992664" w:rsidRPr="000F06E7">
        <w:rPr>
          <w:rtl/>
        </w:rPr>
        <w:t>عليّ بن الحسن في جميع ذلك عن أبيه مباشرة. ا</w:t>
      </w:r>
      <w:r>
        <w:rPr>
          <w:rFonts w:hint="cs"/>
          <w:rtl/>
        </w:rPr>
        <w:t>ُ</w:t>
      </w:r>
      <w:r w:rsidR="00992664" w:rsidRPr="000F06E7">
        <w:rPr>
          <w:rtl/>
        </w:rPr>
        <w:t xml:space="preserve">نظر على سبيل المثال : </w:t>
      </w:r>
      <w:r w:rsidR="00992664" w:rsidRPr="000F06E7">
        <w:rPr>
          <w:rStyle w:val="libFootnoteBoldChar"/>
          <w:rtl/>
        </w:rPr>
        <w:t>الفقيه</w:t>
      </w:r>
      <w:r w:rsidR="00992664" w:rsidRPr="000F06E7">
        <w:rPr>
          <w:rtl/>
        </w:rPr>
        <w:t xml:space="preserve"> ، ج 3 ، ص 502 ، ح 4764 ؛ وج 4 ، ص 418 ، ح 5914 ؛ </w:t>
      </w:r>
      <w:r w:rsidR="00992664" w:rsidRPr="0012008A">
        <w:rPr>
          <w:rStyle w:val="libFootnoteBoldChar"/>
          <w:rtl/>
        </w:rPr>
        <w:t>التهذيب</w:t>
      </w:r>
      <w:r w:rsidR="00992664" w:rsidRPr="000F06E7">
        <w:rPr>
          <w:rtl/>
        </w:rPr>
        <w:t xml:space="preserve"> ، ج 6 ، ص 108 ، ح 190 ؛ </w:t>
      </w:r>
      <w:r w:rsidR="00992664" w:rsidRPr="00DE76B9">
        <w:rPr>
          <w:rStyle w:val="libFootnoteBoldChar"/>
          <w:rtl/>
        </w:rPr>
        <w:t>التوحيد</w:t>
      </w:r>
      <w:r w:rsidR="00992664" w:rsidRPr="000F06E7">
        <w:rPr>
          <w:rtl/>
        </w:rPr>
        <w:t xml:space="preserve"> ، ص 162 ، ح 1 ؛ وص 232 ، ح 1 ؛ </w:t>
      </w:r>
      <w:r w:rsidR="00992664" w:rsidRPr="00A722B1">
        <w:rPr>
          <w:rStyle w:val="libFootnoteBoldChar"/>
          <w:rtl/>
        </w:rPr>
        <w:t>الخصال</w:t>
      </w:r>
      <w:r w:rsidR="00992664" w:rsidRPr="000F06E7">
        <w:rPr>
          <w:rtl/>
        </w:rPr>
        <w:t xml:space="preserve"> : ص 55 ، ح 78 ؛ وص 527 ، ح 1 ؛ </w:t>
      </w:r>
      <w:r w:rsidR="00992664" w:rsidRPr="00DE76B9">
        <w:rPr>
          <w:rStyle w:val="libFootnoteBoldChar"/>
          <w:rtl/>
        </w:rPr>
        <w:t>صفات الشيعة</w:t>
      </w:r>
      <w:r w:rsidR="00992664" w:rsidRPr="000F06E7">
        <w:rPr>
          <w:rtl/>
        </w:rPr>
        <w:t xml:space="preserve"> ، ص 50 ، ح 70 ؛ </w:t>
      </w:r>
      <w:r w:rsidR="00992664" w:rsidRPr="00DE76B9">
        <w:rPr>
          <w:rStyle w:val="libFootnoteBoldChar"/>
          <w:rtl/>
        </w:rPr>
        <w:t>علل الشرائع</w:t>
      </w:r>
      <w:r w:rsidR="00992664" w:rsidRPr="000F06E7">
        <w:rPr>
          <w:rtl/>
        </w:rPr>
        <w:t xml:space="preserve"> ، ص 155 ، ح 3 ؛ </w:t>
      </w:r>
      <w:r w:rsidR="00992664" w:rsidRPr="00DE76B9">
        <w:rPr>
          <w:rStyle w:val="libFootnoteBoldChar"/>
          <w:rtl/>
        </w:rPr>
        <w:t>عيون الأخبار</w:t>
      </w:r>
      <w:r w:rsidR="00992664" w:rsidRPr="000F06E7">
        <w:rPr>
          <w:rtl/>
        </w:rPr>
        <w:t xml:space="preserve"> ، ج 1 ، ص 125 ، ح 19 ؛ وص 129 ، ح 26 ؛ وص 260 ، ح 19 ؛ ص 292 ، ح 45 ؛ ص 294 ، ح 48 ؛ ص 298 ، ح 57 ؛ وج 2 ، ص 255 ، ح 5.</w:t>
      </w:r>
    </w:p>
    <w:p w:rsidR="00992664" w:rsidRPr="00020424" w:rsidRDefault="00992664" w:rsidP="00992664">
      <w:pPr>
        <w:pStyle w:val="libFootnote0"/>
        <w:rPr>
          <w:rtl/>
          <w:lang w:bidi="fa-IR"/>
        </w:rPr>
      </w:pPr>
      <w:r w:rsidRPr="000F06E7">
        <w:rPr>
          <w:rtl/>
        </w:rPr>
        <w:t xml:space="preserve">إذا تبينّ هذا ، فنقول : إنّ المراد من أبي الحسن </w:t>
      </w:r>
      <w:r w:rsidRPr="00D64ADA">
        <w:rPr>
          <w:rStyle w:val="libFootnoteAlaemChar"/>
          <w:rtl/>
        </w:rPr>
        <w:t>عليه‌السلام</w:t>
      </w:r>
      <w:r w:rsidRPr="000F06E7">
        <w:rPr>
          <w:rtl/>
        </w:rPr>
        <w:t xml:space="preserve"> في ما نحن فيه هو مولانا الرضا عليه‌السلام ؛ فقد عُدَّ الحسن بن عليّ بن فضّال والد عليّ من أصحاب أبي الحسن الرضا </w:t>
      </w:r>
      <w:r w:rsidRPr="00D64ADA">
        <w:rPr>
          <w:rStyle w:val="libFootnoteAlaemChar"/>
          <w:rtl/>
        </w:rPr>
        <w:t>عليه‌السلام</w:t>
      </w:r>
      <w:r w:rsidRPr="000F06E7">
        <w:rPr>
          <w:rtl/>
        </w:rPr>
        <w:t xml:space="preserve"> ومن نشأ في عصره ، كما في </w:t>
      </w:r>
      <w:r w:rsidRPr="00DE76B9">
        <w:rPr>
          <w:rStyle w:val="libFootnoteBoldChar"/>
          <w:rtl/>
        </w:rPr>
        <w:t>رجال البرقي</w:t>
      </w:r>
      <w:r w:rsidRPr="000F06E7">
        <w:rPr>
          <w:rtl/>
        </w:rPr>
        <w:t xml:space="preserve"> ، ص 54 ، ورجال الطوسي ، ص 354 ، الرقم 5241 ولم يثبت روايته عن أبي الحسن موسى بن جعفر </w:t>
      </w:r>
      <w:r w:rsidR="00D64ADA" w:rsidRPr="00D64ADA">
        <w:rPr>
          <w:rStyle w:val="libFootnoteAlaemChar"/>
          <w:rtl/>
        </w:rPr>
        <w:t>عليهما‌السلام</w:t>
      </w:r>
      <w:r w:rsidRPr="000F06E7">
        <w:rPr>
          <w:rtl/>
        </w:rPr>
        <w:t>. فالظاهر زيادة « محمّد بن الحسن » أو « محمّد بن الحسين » في ما نحن فيه!</w:t>
      </w:r>
    </w:p>
    <w:p w:rsidR="00992664" w:rsidRPr="000F06E7" w:rsidRDefault="00992664" w:rsidP="000F06E7">
      <w:pPr>
        <w:pStyle w:val="libFootnote0"/>
        <w:rPr>
          <w:rtl/>
        </w:rPr>
      </w:pPr>
      <w:r w:rsidRPr="000F06E7">
        <w:rPr>
          <w:rtl/>
        </w:rPr>
        <w:t>ويظهر من ذلك ، الأمر الثاني وهو وجه صحّة ما أثبتناه.</w:t>
      </w:r>
    </w:p>
    <w:p w:rsidR="00992664" w:rsidRPr="00020424" w:rsidRDefault="00992664" w:rsidP="00992664">
      <w:pPr>
        <w:pStyle w:val="libFootnote0"/>
        <w:rPr>
          <w:rtl/>
          <w:lang w:bidi="fa-IR"/>
        </w:rPr>
      </w:pPr>
      <w:r w:rsidRPr="000F06E7">
        <w:rPr>
          <w:rtl/>
        </w:rPr>
        <w:t xml:space="preserve">ويؤيّد ذلك ما ورد في </w:t>
      </w:r>
      <w:r w:rsidRPr="0012008A">
        <w:rPr>
          <w:rStyle w:val="libFootnoteBoldChar"/>
          <w:rtl/>
        </w:rPr>
        <w:t>التهذيب</w:t>
      </w:r>
      <w:r w:rsidRPr="000F06E7">
        <w:rPr>
          <w:rtl/>
        </w:rPr>
        <w:t xml:space="preserve"> ، ج 4 ، ص 204 ، ح 590 </w:t>
      </w:r>
      <w:r w:rsidR="009B673F" w:rsidRPr="000F06E7">
        <w:rPr>
          <w:rtl/>
        </w:rPr>
        <w:t>-</w:t>
      </w:r>
      <w:r w:rsidRPr="000F06E7">
        <w:rPr>
          <w:rtl/>
        </w:rPr>
        <w:t xml:space="preserve"> والخبر مأخوذ من </w:t>
      </w:r>
      <w:r w:rsidRPr="00DE76B9">
        <w:rPr>
          <w:rStyle w:val="libFootnoteBoldChar"/>
          <w:rtl/>
        </w:rPr>
        <w:t>الكافي</w:t>
      </w:r>
      <w:r w:rsidRPr="000F06E7">
        <w:rPr>
          <w:rtl/>
        </w:rPr>
        <w:t xml:space="preserve"> من غير تصريح </w:t>
      </w:r>
      <w:r w:rsidR="009B673F" w:rsidRPr="000F06E7">
        <w:rPr>
          <w:rtl/>
        </w:rPr>
        <w:t>-</w:t>
      </w:r>
      <w:r w:rsidRPr="000F06E7">
        <w:rPr>
          <w:rtl/>
        </w:rPr>
        <w:t xml:space="preserve"> من نقل الخبر عن أحمد بن محمّد ، عن عليّ بن الحسن ، عن أبيه ، قال : كتب إلى أبي الحسن </w:t>
      </w:r>
      <w:r w:rsidRPr="00D64ADA">
        <w:rPr>
          <w:rStyle w:val="libFootnoteAlaemChar"/>
          <w:rtl/>
        </w:rPr>
        <w:t>عليه‌السلام</w:t>
      </w:r>
      <w:r w:rsidRPr="000F06E7">
        <w:rPr>
          <w:rtl/>
        </w:rPr>
        <w:t>.</w:t>
      </w:r>
    </w:p>
    <w:p w:rsidR="00992664" w:rsidRPr="00020424" w:rsidRDefault="00992664" w:rsidP="00992664">
      <w:pPr>
        <w:pStyle w:val="libFootnote0"/>
        <w:rPr>
          <w:rtl/>
          <w:lang w:bidi="fa-IR"/>
        </w:rPr>
      </w:pPr>
      <w:r w:rsidRPr="000F06E7">
        <w:rPr>
          <w:rtl/>
        </w:rPr>
        <w:t xml:space="preserve">فتحصّل أنّ الظنّ الحاصل من </w:t>
      </w:r>
      <w:r w:rsidRPr="0012008A">
        <w:rPr>
          <w:rStyle w:val="libFootnoteBoldChar"/>
          <w:rtl/>
        </w:rPr>
        <w:t>التهذيب</w:t>
      </w:r>
      <w:r w:rsidRPr="000F06E7">
        <w:rPr>
          <w:rtl/>
        </w:rPr>
        <w:t xml:space="preserve"> </w:t>
      </w:r>
      <w:r w:rsidR="009B673F" w:rsidRPr="000F06E7">
        <w:rPr>
          <w:rtl/>
        </w:rPr>
        <w:t>-</w:t>
      </w:r>
      <w:r w:rsidRPr="000F06E7">
        <w:rPr>
          <w:rtl/>
        </w:rPr>
        <w:t xml:space="preserve"> كأقدم نسخة من </w:t>
      </w:r>
      <w:r w:rsidRPr="00DE76B9">
        <w:rPr>
          <w:rStyle w:val="libFootnoteBoldChar"/>
          <w:rtl/>
        </w:rPr>
        <w:t>الكافي</w:t>
      </w:r>
      <w:r w:rsidRPr="000F06E7">
        <w:rPr>
          <w:rtl/>
        </w:rPr>
        <w:t xml:space="preserve"> في ما نحن فيه </w:t>
      </w:r>
      <w:r w:rsidR="009B673F" w:rsidRPr="000F06E7">
        <w:rPr>
          <w:rtl/>
        </w:rPr>
        <w:t>-</w:t>
      </w:r>
      <w:r w:rsidRPr="000F06E7">
        <w:rPr>
          <w:rtl/>
        </w:rPr>
        <w:t xml:space="preserve"> ومن « بخ ، جر » </w:t>
      </w:r>
      <w:r w:rsidR="009B673F" w:rsidRPr="000F06E7">
        <w:rPr>
          <w:rtl/>
        </w:rPr>
        <w:t>-</w:t>
      </w:r>
      <w:r w:rsidRPr="000F06E7">
        <w:rPr>
          <w:rtl/>
        </w:rPr>
        <w:t xml:space="preserve"> وهما من أجود نسخ </w:t>
      </w:r>
      <w:r w:rsidRPr="00DE76B9">
        <w:rPr>
          <w:rStyle w:val="libFootnoteBoldChar"/>
          <w:rtl/>
        </w:rPr>
        <w:t>الكافي</w:t>
      </w:r>
      <w:r w:rsidRPr="000F06E7">
        <w:rPr>
          <w:rtl/>
        </w:rPr>
        <w:t xml:space="preserve"> </w:t>
      </w:r>
      <w:r w:rsidR="009B673F" w:rsidRPr="000F06E7">
        <w:rPr>
          <w:rtl/>
        </w:rPr>
        <w:t>-</w:t>
      </w:r>
      <w:r w:rsidRPr="000F06E7">
        <w:rPr>
          <w:rtl/>
        </w:rPr>
        <w:t xml:space="preserve"> وممّا قدّمناه عن </w:t>
      </w:r>
      <w:r w:rsidRPr="00DE76B9">
        <w:rPr>
          <w:rStyle w:val="libFootnoteBoldChar"/>
          <w:rtl/>
        </w:rPr>
        <w:t>رجال النجاشي</w:t>
      </w:r>
      <w:r w:rsidRPr="000F06E7">
        <w:rPr>
          <w:rtl/>
        </w:rPr>
        <w:t xml:space="preserve"> والأسناد ، بعدم ثبوت « عن محمّد بن الحسن » أو « عن محمّد بن الحسين » أقوى بمراتب من ثبوت إحدى العبارتين.</w:t>
      </w:r>
    </w:p>
    <w:p w:rsidR="00992664" w:rsidRDefault="00992664" w:rsidP="00992664">
      <w:pPr>
        <w:pStyle w:val="libFootnote0"/>
        <w:rPr>
          <w:rtl/>
        </w:rPr>
      </w:pPr>
      <w:r w:rsidRPr="000F06E7">
        <w:rPr>
          <w:rtl/>
        </w:rPr>
        <w:t xml:space="preserve">أضف إلى ذلك كلّه ما ورد في </w:t>
      </w:r>
      <w:r w:rsidRPr="0012008A">
        <w:rPr>
          <w:rStyle w:val="libFootnoteBoldChar"/>
          <w:rtl/>
        </w:rPr>
        <w:t>الوافي</w:t>
      </w:r>
      <w:r w:rsidRPr="000F06E7">
        <w:rPr>
          <w:rtl/>
        </w:rPr>
        <w:t xml:space="preserve"> ؛ من ذكر الإسناد هكذا : « أحمد ، عن التيمليّ ، عن أبيه » </w:t>
      </w:r>
      <w:r w:rsidR="009B673F" w:rsidRPr="000F06E7">
        <w:rPr>
          <w:rtl/>
        </w:rPr>
        <w:t>-</w:t>
      </w:r>
      <w:r w:rsidRPr="000F06E7">
        <w:rPr>
          <w:rtl/>
        </w:rPr>
        <w:t xml:space="preserve"> والمراد من التيملي ، هو عليّ بن الحسن بن عليّ بن فضّال الملقّب بالتيميّ والتيمليّ ، وكلاهما بمعنىً </w:t>
      </w:r>
      <w:r w:rsidR="009B673F" w:rsidRPr="000F06E7">
        <w:rPr>
          <w:rtl/>
        </w:rPr>
        <w:t>-</w:t>
      </w:r>
      <w:r w:rsidRPr="000F06E7">
        <w:rPr>
          <w:rtl/>
        </w:rPr>
        <w:t xml:space="preserve"> ثمّ قال : « إسناد هذا الحديث في بعض نسخ </w:t>
      </w:r>
      <w:r w:rsidRPr="00DE76B9">
        <w:rPr>
          <w:rStyle w:val="libFootnoteBoldChar"/>
          <w:rtl/>
        </w:rPr>
        <w:t>الكافي</w:t>
      </w:r>
      <w:r w:rsidRPr="000F06E7">
        <w:rPr>
          <w:rtl/>
        </w:rPr>
        <w:t xml:space="preserve"> هكذا : أحمد ، عن عليّ بن الحسين ، عن محمّد الحسين ، عن أبيه ، والصواب ما كتبناه ، كما في النسخ الا</w:t>
      </w:r>
      <w:r w:rsidR="000F06E7">
        <w:rPr>
          <w:rFonts w:hint="cs"/>
          <w:rtl/>
        </w:rPr>
        <w:t>ُ</w:t>
      </w:r>
      <w:r w:rsidRPr="000F06E7">
        <w:rPr>
          <w:rtl/>
        </w:rPr>
        <w:t>خر موافقاً لما في التهذيبين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 الرضا</w:t>
      </w:r>
      <w:r w:rsidR="00992664">
        <w:rPr>
          <w:rtl/>
        </w:rPr>
        <w:t xml:space="preserve"> ».</w:t>
      </w:r>
    </w:p>
    <w:p w:rsidR="00992664" w:rsidRPr="00020424" w:rsidRDefault="00795177" w:rsidP="000F06E7">
      <w:pPr>
        <w:pStyle w:val="libFootnote0"/>
        <w:rPr>
          <w:rtl/>
          <w:lang w:bidi="fa-IR"/>
        </w:rPr>
      </w:pPr>
      <w:r>
        <w:rPr>
          <w:rtl/>
        </w:rPr>
        <w:t>(2).</w:t>
      </w:r>
      <w:r w:rsidR="0014403D">
        <w:rPr>
          <w:rtl/>
        </w:rPr>
        <w:t xml:space="preserve"> </w:t>
      </w:r>
      <w:r w:rsidR="00992664" w:rsidRPr="00020424">
        <w:rPr>
          <w:rtl/>
        </w:rPr>
        <w:t xml:space="preserve">في معظم النسخ التي قوبلت </w:t>
      </w:r>
      <w:r w:rsidR="00992664" w:rsidRPr="000F06E7">
        <w:rPr>
          <w:rtl/>
        </w:rPr>
        <w:t>والوافي</w:t>
      </w:r>
      <w:r w:rsidR="00992664" w:rsidRPr="00020424">
        <w:rPr>
          <w:rtl/>
        </w:rPr>
        <w:t xml:space="preserve"> </w:t>
      </w:r>
      <w:r w:rsidR="00992664" w:rsidRPr="000F06E7">
        <w:rPr>
          <w:rtl/>
        </w:rPr>
        <w:t>والوسائل</w:t>
      </w:r>
      <w:r w:rsidR="00992664" w:rsidRPr="00020424">
        <w:rPr>
          <w:rtl/>
        </w:rPr>
        <w:t xml:space="preserve"> : « اللطف</w:t>
      </w:r>
      <w:r w:rsidR="00992664">
        <w:rPr>
          <w:rtl/>
        </w:rPr>
        <w:t xml:space="preserve"> ».</w:t>
      </w:r>
      <w:r w:rsidR="00992664" w:rsidRPr="00020424">
        <w:rPr>
          <w:rtl/>
        </w:rPr>
        <w:t xml:space="preserve"> وفي </w:t>
      </w:r>
      <w:r w:rsidR="00992664" w:rsidRPr="000F06E7">
        <w:rPr>
          <w:rtl/>
        </w:rPr>
        <w:t>التهذيب</w:t>
      </w:r>
      <w:r w:rsidR="00992664" w:rsidRPr="00020424">
        <w:rPr>
          <w:rtl/>
        </w:rPr>
        <w:t xml:space="preserve"> : + « بالأشياف</w:t>
      </w:r>
      <w:r w:rsidR="00992664">
        <w:rPr>
          <w:rtl/>
        </w:rPr>
        <w:t xml:space="preserve"> ».</w:t>
      </w:r>
      <w:r w:rsidR="00992664" w:rsidRPr="00020424">
        <w:rPr>
          <w:rtl/>
        </w:rPr>
        <w:t xml:space="preserve"> </w:t>
      </w:r>
      <w:r w:rsidR="00992664">
        <w:rPr>
          <w:rtl/>
        </w:rPr>
        <w:t>و «</w:t>
      </w:r>
      <w:r w:rsidR="00992664" w:rsidRPr="00020424">
        <w:rPr>
          <w:rtl/>
        </w:rPr>
        <w:t xml:space="preserve"> التلطّف </w:t>
      </w:r>
      <w:r w:rsidR="000F06E7">
        <w:rPr>
          <w:rtl/>
        </w:rPr>
        <w:t>» : الترفّق والتخشّع. قال العل</w:t>
      </w:r>
      <w:r w:rsidR="000F06E7">
        <w:rPr>
          <w:rFonts w:hint="cs"/>
          <w:rtl/>
        </w:rPr>
        <w:t>ّ</w:t>
      </w:r>
      <w:r w:rsidR="000F06E7">
        <w:rPr>
          <w:rtl/>
        </w:rPr>
        <w:t>ا</w:t>
      </w:r>
      <w:r w:rsidR="00992664" w:rsidRPr="00020424">
        <w:rPr>
          <w:rtl/>
        </w:rPr>
        <w:t>مة المجلسي : « وهنا كناية عن الحقنة</w:t>
      </w:r>
      <w:r w:rsidR="00992664">
        <w:rPr>
          <w:rtl/>
        </w:rPr>
        <w:t xml:space="preserve"> ».</w:t>
      </w:r>
      <w:r w:rsidR="00992664" w:rsidRPr="00020424">
        <w:rPr>
          <w:rtl/>
        </w:rPr>
        <w:t xml:space="preserve"> وقال الطريحي : « التلطّف : هو إدخال الشي‌ء في الفرج مطلقاً</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4 ، ص 1427 ؛ </w:t>
      </w:r>
      <w:r w:rsidR="00992664" w:rsidRPr="00A722B1">
        <w:rPr>
          <w:rStyle w:val="libFootnoteBoldChar"/>
          <w:rtl/>
        </w:rPr>
        <w:t>المصباح المنير</w:t>
      </w:r>
      <w:r w:rsidR="00992664" w:rsidRPr="00020424">
        <w:rPr>
          <w:rtl/>
        </w:rPr>
        <w:t xml:space="preserve"> ، ص 553 ؛ </w:t>
      </w:r>
      <w:r w:rsidR="00992664" w:rsidRPr="00DE76B9">
        <w:rPr>
          <w:rStyle w:val="libFootnoteBoldChar"/>
          <w:rtl/>
        </w:rPr>
        <w:t>مجمع البحرين</w:t>
      </w:r>
      <w:r w:rsidR="00992664" w:rsidRPr="00020424">
        <w:rPr>
          <w:rtl/>
        </w:rPr>
        <w:t xml:space="preserve"> ، ج 5 ، ص 121 ( لطف )</w:t>
      </w:r>
      <w:r w:rsidR="00992664">
        <w:rPr>
          <w:rtl/>
        </w:rPr>
        <w:t>.</w:t>
      </w:r>
      <w:r w:rsidR="000F06E7">
        <w:rPr>
          <w:rFonts w:hint="cs"/>
          <w:rtl/>
        </w:rPr>
        <w:t xml:space="preserve">                          </w:t>
      </w:r>
      <w:r>
        <w:rPr>
          <w:rtl/>
        </w:rPr>
        <w:t>(3).</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وهو صائم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204 ، ح 590 ؛ </w:t>
      </w:r>
      <w:r w:rsidR="00992664" w:rsidRPr="00FD6221">
        <w:rPr>
          <w:rStyle w:val="libFootnoteBoldChar"/>
          <w:rtl/>
        </w:rPr>
        <w:t>والاستبصار</w:t>
      </w:r>
      <w:r w:rsidR="00992664" w:rsidRPr="00020424">
        <w:rPr>
          <w:rtl/>
        </w:rPr>
        <w:t xml:space="preserve"> ، ج 2 ، ص 83 ، ح 257 ، معلّقاً عن أحمد بن محمّد ، عن عليّ بن الحسن ، عن أبيه ، عن أبي الحسن </w:t>
      </w:r>
      <w:r w:rsidR="00992664" w:rsidRPr="00D64ADA">
        <w:rPr>
          <w:rStyle w:val="libFootnoteAlaemChar"/>
          <w:rtl/>
        </w:rPr>
        <w:t>عليه‌السلام</w:t>
      </w:r>
      <w:r w:rsidR="00992664" w:rsidRPr="00020424">
        <w:rPr>
          <w:rtl/>
        </w:rPr>
        <w:t xml:space="preserve"> </w:t>
      </w:r>
      <w:r w:rsidR="000F06E7">
        <w:rPr>
          <w:rFonts w:hint="cs"/>
          <w:rtl/>
        </w:rPr>
        <w:t>.</w:t>
      </w:r>
      <w:r w:rsidR="00992664" w:rsidRPr="0012008A">
        <w:rPr>
          <w:rStyle w:val="libFootnoteBoldChar"/>
          <w:rtl/>
        </w:rPr>
        <w:t>الوافي</w:t>
      </w:r>
      <w:r w:rsidR="00992664" w:rsidRPr="00020424">
        <w:rPr>
          <w:rtl/>
        </w:rPr>
        <w:t xml:space="preserve"> ، ج 11 ، ص 182 ، ح 10642 ؛ </w:t>
      </w:r>
      <w:r w:rsidR="00992664" w:rsidRPr="0012008A">
        <w:rPr>
          <w:rStyle w:val="libFootnoteBoldChar"/>
          <w:rtl/>
        </w:rPr>
        <w:t>الوسائل</w:t>
      </w:r>
      <w:r w:rsidR="00992664" w:rsidRPr="00020424">
        <w:rPr>
          <w:rtl/>
        </w:rPr>
        <w:t xml:space="preserve"> ، ج 10 ، ص 41 ، ح 12782.</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388" w:name="_Toc345172845"/>
      <w:bookmarkStart w:id="389" w:name="_Toc464562662"/>
      <w:bookmarkStart w:id="390" w:name="_Toc44599966"/>
      <w:r w:rsidRPr="00020424">
        <w:rPr>
          <w:rtl/>
          <w:lang w:bidi="fa-IR"/>
        </w:rPr>
        <w:t>30</w:t>
      </w:r>
      <w:r>
        <w:rPr>
          <w:rtl/>
          <w:lang w:bidi="fa-IR"/>
        </w:rPr>
        <w:t xml:space="preserve"> </w:t>
      </w:r>
      <w:r w:rsidR="009B673F">
        <w:rPr>
          <w:rtl/>
          <w:lang w:bidi="fa-IR"/>
        </w:rPr>
        <w:t>-</w:t>
      </w:r>
      <w:r>
        <w:rPr>
          <w:rtl/>
          <w:lang w:bidi="fa-IR"/>
        </w:rPr>
        <w:t xml:space="preserve"> </w:t>
      </w:r>
      <w:r w:rsidRPr="00020424">
        <w:rPr>
          <w:rtl/>
          <w:lang w:bidi="fa-IR"/>
        </w:rPr>
        <w:t>بَابُ الْكُحْلِ وَالذَّرُورِ لِلصَّائِمِ‌</w:t>
      </w:r>
      <w:bookmarkEnd w:id="388"/>
      <w:bookmarkEnd w:id="389"/>
      <w:bookmarkEnd w:id="390"/>
    </w:p>
    <w:p w:rsidR="00992664" w:rsidRPr="00020424" w:rsidRDefault="00992664" w:rsidP="00992664">
      <w:pPr>
        <w:pStyle w:val="libNormal"/>
        <w:rPr>
          <w:rtl/>
          <w:lang w:bidi="fa-IR"/>
        </w:rPr>
      </w:pPr>
      <w:r w:rsidRPr="007720DB">
        <w:rPr>
          <w:rtl/>
        </w:rPr>
        <w:t>6425</w:t>
      </w:r>
      <w:r w:rsidRPr="001155DE">
        <w:rPr>
          <w:rStyle w:val="libBold2Char"/>
          <w:rtl/>
        </w:rPr>
        <w:t xml:space="preserve"> / 1.</w:t>
      </w:r>
      <w:r w:rsidRPr="00020424">
        <w:rPr>
          <w:rtl/>
          <w:lang w:bidi="fa-IR"/>
        </w:rPr>
        <w:t xml:space="preserve"> عِدَّةٌ مِنْ أَصْحَابِنَا ، عَنْ أَحْمَدَ بْنِ مُحَمَّدٍ ، عَنْ عَلِيِّ بْنِ الْحَكَمِ ، عَنْ سُلَيْمَانَ </w:t>
      </w:r>
      <w:r w:rsidRPr="00A91B96">
        <w:rPr>
          <w:rStyle w:val="libFootnotenumChar"/>
          <w:rtl/>
        </w:rPr>
        <w:t>(1)</w:t>
      </w:r>
      <w:r w:rsidRPr="00020424">
        <w:rPr>
          <w:rtl/>
          <w:lang w:bidi="fa-IR"/>
        </w:rPr>
        <w:t xml:space="preserve"> الْفَرَّاءِ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w:t>
      </w:r>
      <w:r w:rsidRPr="00A91B96">
        <w:rPr>
          <w:rStyle w:val="libFootnotenumChar"/>
          <w:rtl/>
        </w:rPr>
        <w:t>(2)</w:t>
      </w:r>
      <w:r w:rsidRPr="00020424">
        <w:rPr>
          <w:rtl/>
          <w:lang w:bidi="fa-IR"/>
        </w:rPr>
        <w:t xml:space="preserve"> الصَّائِمِ يَكْتَحِلُ ، قَالَ : « لَا بَأْسَ بِهِ ؛ لَيْسَ بِطَعَامٍ وَلَا شَرَابٍ </w:t>
      </w:r>
      <w:r w:rsidRPr="00A91B96">
        <w:rPr>
          <w:rStyle w:val="libFootnotenumChar"/>
          <w:rtl/>
        </w:rPr>
        <w:t>(3)</w:t>
      </w:r>
      <w:r>
        <w:rPr>
          <w:rtl/>
          <w:lang w:bidi="fa-IR"/>
        </w:rPr>
        <w:t>».</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0F06E7" w:rsidP="00992664">
      <w:pPr>
        <w:pStyle w:val="libNormal"/>
        <w:rPr>
          <w:rtl/>
          <w:lang w:bidi="fa-IR"/>
        </w:rPr>
      </w:pPr>
      <w:r>
        <w:rPr>
          <w:rFonts w:hint="cs"/>
          <w:rtl/>
          <w:lang w:bidi="fa-IR"/>
        </w:rPr>
        <w:t xml:space="preserve">* </w:t>
      </w:r>
      <w:r w:rsidR="00992664" w:rsidRPr="00020424">
        <w:rPr>
          <w:rtl/>
          <w:lang w:bidi="fa-IR"/>
        </w:rPr>
        <w:t xml:space="preserve">عَلِيُّ بْنُ إِبْرَاهِيمَ ، عَنْ أَبِيهِ ، عَنِ ابْنِ أَبِي عُمَيْرٍ ، عَنْ سُلَيْمَانَ </w:t>
      </w:r>
      <w:r w:rsidR="00992664" w:rsidRPr="00A91B96">
        <w:rPr>
          <w:rStyle w:val="libFootnotenumChar"/>
          <w:rtl/>
        </w:rPr>
        <w:t>(5)</w:t>
      </w:r>
      <w:r w:rsidR="00992664" w:rsidRPr="00020424">
        <w:rPr>
          <w:rtl/>
          <w:lang w:bidi="fa-IR"/>
        </w:rPr>
        <w:t xml:space="preserve"> الْفَرَّاءِ ، عَنْ غَيْرِ وَاحِدٍ ، عَنْ أَبِي جَعْفَرٍ </w:t>
      </w:r>
      <w:r w:rsidR="00992664" w:rsidRPr="00005A81">
        <w:rPr>
          <w:rStyle w:val="libAlaemChar"/>
          <w:rtl/>
        </w:rPr>
        <w:t>عليه‌السلام</w:t>
      </w:r>
      <w:r w:rsidR="00992664" w:rsidRPr="00020424">
        <w:rPr>
          <w:rtl/>
          <w:lang w:bidi="fa-IR"/>
        </w:rPr>
        <w:t xml:space="preserve"> مِثْلَهُ. </w:t>
      </w:r>
      <w:r w:rsidR="00992664" w:rsidRPr="00A91B96">
        <w:rPr>
          <w:rStyle w:val="libFootnotenumChar"/>
          <w:rtl/>
        </w:rPr>
        <w:t>(6)</w:t>
      </w:r>
      <w:r w:rsidR="00992664" w:rsidRPr="00020424">
        <w:rPr>
          <w:rtl/>
          <w:lang w:bidi="fa-IR"/>
        </w:rPr>
        <w:t xml:space="preserve"> ‌</w:t>
      </w:r>
    </w:p>
    <w:p w:rsidR="00992664" w:rsidRPr="00020424" w:rsidRDefault="00992664" w:rsidP="00992664">
      <w:pPr>
        <w:pStyle w:val="libNormal"/>
        <w:rPr>
          <w:rtl/>
          <w:lang w:bidi="fa-IR"/>
        </w:rPr>
      </w:pPr>
      <w:r w:rsidRPr="007720DB">
        <w:rPr>
          <w:rtl/>
        </w:rPr>
        <w:t>6426</w:t>
      </w:r>
      <w:r w:rsidRPr="001155DE">
        <w:rPr>
          <w:rStyle w:val="libBold2Char"/>
          <w:rtl/>
        </w:rPr>
        <w:t xml:space="preserve"> / 2.</w:t>
      </w:r>
      <w:r w:rsidRPr="00020424">
        <w:rPr>
          <w:rtl/>
          <w:lang w:bidi="fa-IR"/>
        </w:rPr>
        <w:t xml:space="preserve"> مُحَمَّدُ بْنُ يَحْيى ، عَنْ أَحْمَدَ بْنِ مُحَمَّدٍ </w:t>
      </w:r>
      <w:r w:rsidRPr="00A91B96">
        <w:rPr>
          <w:rStyle w:val="libFootnotenumChar"/>
          <w:rtl/>
        </w:rPr>
        <w:t>(7)</w:t>
      </w:r>
      <w:r w:rsidRPr="00020424">
        <w:rPr>
          <w:rtl/>
          <w:lang w:bidi="fa-IR"/>
        </w:rPr>
        <w:t xml:space="preserve"> ، عَنْ مُحَمَّدِ بْنِ خَالِدٍ ، عَنْ سَعْدِ بْنِ سَعْدٍ الْأَشْعَرِيِّ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سَأَلْتُهُ عَمَّنْ يُصِيبُهُ الرَّمَدُ فِي شَهْرِ رَمَضَانَ : هَلْ يَذُرُّ </w:t>
      </w:r>
      <w:r w:rsidRPr="00A91B96">
        <w:rPr>
          <w:rStyle w:val="libFootnotenumChar"/>
          <w:rtl/>
        </w:rPr>
        <w:t>(8)</w:t>
      </w:r>
      <w:r w:rsidRPr="00020424">
        <w:rPr>
          <w:rtl/>
          <w:lang w:bidi="fa-IR"/>
        </w:rPr>
        <w:t xml:space="preserve"> عَيْنَهُ بِالنَّهَارِ وَهُوَ صَائِمٌ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بخ ، بر ، بس ، بف ، جر » وحاشية « بح » </w:t>
      </w:r>
      <w:r w:rsidR="00992664" w:rsidRPr="000F06E7">
        <w:rPr>
          <w:rtl/>
        </w:rPr>
        <w:t>والوسائل والتهذيب والاستبصار</w:t>
      </w:r>
      <w:r w:rsidR="00992664" w:rsidRPr="00020424">
        <w:rPr>
          <w:rtl/>
        </w:rPr>
        <w:t xml:space="preserve"> : « سليم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0F06E7">
        <w:rPr>
          <w:rtl/>
        </w:rPr>
        <w:t>التهذيب</w:t>
      </w:r>
      <w:r w:rsidR="00992664" w:rsidRPr="00020424">
        <w:rPr>
          <w:rtl/>
        </w:rPr>
        <w:t xml:space="preserve"> : « قال : سألته عن » بدل «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21 ، ص 291 : « المشهور بين الأصحاب كراهة الاكتحال بما فيه صبر أو مسك ، ومقتضى بعض الروايات المعتبرة كراهة الاكتحال بكلّ ما له طعم يصل إلى الحلق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258 ، ح 765 ، معلّقاً عن الكليني. </w:t>
      </w:r>
      <w:r w:rsidR="00992664" w:rsidRPr="00DE76B9">
        <w:rPr>
          <w:rStyle w:val="libFootnoteBoldChar"/>
          <w:rtl/>
        </w:rPr>
        <w:t>الاستبصار</w:t>
      </w:r>
      <w:r w:rsidR="00992664" w:rsidRPr="00020424">
        <w:rPr>
          <w:rtl/>
        </w:rPr>
        <w:t xml:space="preserve"> ، ج 2 ، ص 89 ، ح 278 ، معلّقاً عن أحمد بن محمّد. وفي </w:t>
      </w:r>
      <w:r w:rsidR="00992664" w:rsidRPr="0012008A">
        <w:rPr>
          <w:rStyle w:val="libFootnoteBoldChar"/>
          <w:rtl/>
        </w:rPr>
        <w:t>التهذيب</w:t>
      </w:r>
      <w:r w:rsidR="00992664" w:rsidRPr="00020424">
        <w:rPr>
          <w:rtl/>
        </w:rPr>
        <w:t xml:space="preserve"> ، ج 4 ، ص 258 ، ح 766 و767 ؛ </w:t>
      </w:r>
      <w:r w:rsidR="00992664" w:rsidRPr="00FD6221">
        <w:rPr>
          <w:rStyle w:val="libFootnoteBoldChar"/>
          <w:rtl/>
        </w:rPr>
        <w:t>والاستبصار</w:t>
      </w:r>
      <w:r w:rsidR="00992664" w:rsidRPr="00020424">
        <w:rPr>
          <w:rtl/>
        </w:rPr>
        <w:t xml:space="preserve"> ، ج 2 ، ص 89 ، ح 279 و280 ، بسند آخر ، مع اختلاف يسير. </w:t>
      </w:r>
      <w:r w:rsidR="00992664" w:rsidRPr="0012008A">
        <w:rPr>
          <w:rStyle w:val="libFootnoteBoldChar"/>
          <w:rtl/>
        </w:rPr>
        <w:t>الفقيه</w:t>
      </w:r>
      <w:r w:rsidR="00992664" w:rsidRPr="00020424">
        <w:rPr>
          <w:rtl/>
        </w:rPr>
        <w:t xml:space="preserve"> ، ج 2 ، ص 110 ، ذيل ح 1865 ، مع اختلاف يسير </w:t>
      </w:r>
      <w:r w:rsidR="000F06E7">
        <w:rPr>
          <w:rFonts w:hint="cs"/>
          <w:rtl/>
        </w:rPr>
        <w:t>.</w:t>
      </w:r>
      <w:r w:rsidR="00992664" w:rsidRPr="0012008A">
        <w:rPr>
          <w:rStyle w:val="libFootnoteBoldChar"/>
          <w:rtl/>
        </w:rPr>
        <w:t>الوافي</w:t>
      </w:r>
      <w:r w:rsidR="00992664" w:rsidRPr="00020424">
        <w:rPr>
          <w:rtl/>
        </w:rPr>
        <w:t xml:space="preserve"> ، ج 11 ، ص 189 ، ح 10657 ؛ </w:t>
      </w:r>
      <w:r w:rsidR="00992664" w:rsidRPr="0012008A">
        <w:rPr>
          <w:rStyle w:val="libFootnoteBoldChar"/>
          <w:rtl/>
        </w:rPr>
        <w:t>الوسائل</w:t>
      </w:r>
      <w:r w:rsidR="00992664" w:rsidRPr="00020424">
        <w:rPr>
          <w:rtl/>
        </w:rPr>
        <w:t xml:space="preserve"> ، ج 10 ، ص 74 ، ح 12862.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بخ ، بر ، بس ، جر ، جن » </w:t>
      </w:r>
      <w:r w:rsidR="00992664" w:rsidRPr="000F06E7">
        <w:rPr>
          <w:rtl/>
        </w:rPr>
        <w:t>والوافي والوسائل</w:t>
      </w:r>
      <w:r w:rsidR="00992664" w:rsidRPr="00020424">
        <w:rPr>
          <w:rtl/>
        </w:rPr>
        <w:t xml:space="preserve"> : « سليم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11 ، ص 189 ، ح 10658 ؛ </w:t>
      </w:r>
      <w:r w:rsidR="00992664" w:rsidRPr="0012008A">
        <w:rPr>
          <w:rStyle w:val="libFootnoteBoldChar"/>
          <w:rtl/>
        </w:rPr>
        <w:t>الوسائل</w:t>
      </w:r>
      <w:r w:rsidR="00992664" w:rsidRPr="00020424">
        <w:rPr>
          <w:rtl/>
        </w:rPr>
        <w:t xml:space="preserve"> ، ج 10 ، ص 74 ، ذيل ح 12862.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 بن خالد</w:t>
      </w:r>
      <w:r w:rsidR="00992664">
        <w:rPr>
          <w:rtl/>
        </w:rPr>
        <w:t xml:space="preserve"> ».</w:t>
      </w:r>
      <w:r w:rsidR="00992664" w:rsidRPr="00020424">
        <w:rPr>
          <w:rtl/>
        </w:rPr>
        <w:t xml:space="preserve"> وتقدّم غير مرّة أنّه لم يثبت رواية محمّد بن يحيى ، عن أحمد بن محمّد بن خالد</w:t>
      </w:r>
      <w:r w:rsidR="000F06E7">
        <w:rPr>
          <w:rFonts w:hint="cs"/>
          <w:rtl/>
        </w:rPr>
        <w:t xml:space="preserve"> </w:t>
      </w:r>
      <w:r w:rsidR="00992664" w:rsidRPr="00020424">
        <w:rPr>
          <w:rtl/>
        </w:rPr>
        <w:t xml:space="preserve">في أسناد </w:t>
      </w:r>
      <w:r w:rsidR="00992664" w:rsidRPr="00DE76B9">
        <w:rPr>
          <w:rStyle w:val="libFootnoteBoldChar"/>
          <w:rtl/>
        </w:rPr>
        <w:t>الكافي</w:t>
      </w:r>
      <w:r w:rsidR="00992664" w:rsidRPr="00020424">
        <w:rPr>
          <w:rtl/>
        </w:rPr>
        <w:t>. لاحظ ما قدّمناه ذيل ح 3239.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هل تذرّ</w:t>
      </w:r>
      <w:r w:rsidR="00992664">
        <w:rPr>
          <w:rtl/>
        </w:rPr>
        <w:t xml:space="preserve"> ».</w:t>
      </w:r>
      <w:r w:rsidR="00992664" w:rsidRPr="00020424">
        <w:rPr>
          <w:rtl/>
        </w:rPr>
        <w:t xml:space="preserve"> وقوله : « يذرّ عينَه » ، أي يداويها بالذَّرُور ، أو يطرحه فيها ، والذرور : ما يذرّ في العين </w:t>
      </w:r>
      <w:r w:rsidR="000F06E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 يَذُرُّهَا إِذَا أَفْطَرَ ، وَلَايَذُرُّهَا وَهُوَ صَائِمٌ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7720DB">
        <w:rPr>
          <w:rtl/>
        </w:rPr>
        <w:t>6427</w:t>
      </w:r>
      <w:r w:rsidRPr="001155DE">
        <w:rPr>
          <w:rStyle w:val="libBold2Char"/>
          <w:rtl/>
        </w:rPr>
        <w:t xml:space="preserve"> / 3.</w:t>
      </w:r>
      <w:r w:rsidRPr="00020424">
        <w:rPr>
          <w:rtl/>
          <w:lang w:bidi="fa-IR"/>
        </w:rPr>
        <w:t xml:space="preserve"> مُحَمَّدُ بْنُ يَحْيى ، عَنْ أَحْمَدَ بْنِ مُحَمَّدٍ ، عَنْ عُثْمَانَ بْنِ عِيسى ، عَنْ سَمَاعَةَ بْنِ مِهْرَانَ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سَأَلْتُهُ عَنِ الْكُحْلِ لِلصَّائِمِ</w:t>
      </w:r>
      <w:r>
        <w:rPr>
          <w:rtl/>
          <w:lang w:bidi="fa-IR"/>
        </w:rPr>
        <w:t>؟</w:t>
      </w:r>
    </w:p>
    <w:p w:rsidR="00992664" w:rsidRPr="00020424" w:rsidRDefault="00992664" w:rsidP="00992664">
      <w:pPr>
        <w:pStyle w:val="libNormal"/>
        <w:rPr>
          <w:rtl/>
          <w:lang w:bidi="fa-IR"/>
        </w:rPr>
      </w:pPr>
      <w:r w:rsidRPr="00020424">
        <w:rPr>
          <w:rtl/>
          <w:lang w:bidi="fa-IR"/>
        </w:rPr>
        <w:t xml:space="preserve">فَقَالَ : « إِذَا كَانَ كُحْلاً لَيْسَ فِيهِ مِسْكٌ وَلَيْسَ لَهُ طَعْمٌ فِي الْحَلْقِ </w:t>
      </w:r>
      <w:r w:rsidRPr="00A91B96">
        <w:rPr>
          <w:rStyle w:val="libFootnotenumChar"/>
          <w:rtl/>
        </w:rPr>
        <w:t>(3)</w:t>
      </w:r>
      <w:r w:rsidRPr="00020424">
        <w:rPr>
          <w:rtl/>
          <w:lang w:bidi="fa-IR"/>
        </w:rPr>
        <w:t xml:space="preserve"> ، فَلَا بَأْسَ بِهِ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391" w:name="_Toc345172846"/>
      <w:bookmarkStart w:id="392" w:name="_Toc464562663"/>
      <w:bookmarkStart w:id="393" w:name="_Toc44599967"/>
      <w:r w:rsidRPr="00020424">
        <w:rPr>
          <w:rtl/>
          <w:lang w:bidi="fa-IR"/>
        </w:rPr>
        <w:t>31</w:t>
      </w:r>
      <w:r>
        <w:rPr>
          <w:rtl/>
          <w:lang w:bidi="fa-IR"/>
        </w:rPr>
        <w:t xml:space="preserve"> </w:t>
      </w:r>
      <w:r w:rsidR="009B673F">
        <w:rPr>
          <w:rtl/>
          <w:lang w:bidi="fa-IR"/>
        </w:rPr>
        <w:t>-</w:t>
      </w:r>
      <w:r>
        <w:rPr>
          <w:rtl/>
          <w:lang w:bidi="fa-IR"/>
        </w:rPr>
        <w:t xml:space="preserve"> </w:t>
      </w:r>
      <w:r w:rsidRPr="00020424">
        <w:rPr>
          <w:rtl/>
          <w:lang w:bidi="fa-IR"/>
        </w:rPr>
        <w:t>بَابُ السِّوَاكِ لِلصَّائِمِ‌</w:t>
      </w:r>
      <w:bookmarkEnd w:id="391"/>
      <w:bookmarkEnd w:id="392"/>
      <w:bookmarkEnd w:id="393"/>
    </w:p>
    <w:p w:rsidR="00992664" w:rsidRPr="00020424" w:rsidRDefault="00992664" w:rsidP="00992664">
      <w:pPr>
        <w:pStyle w:val="libNormal"/>
        <w:rPr>
          <w:rtl/>
          <w:lang w:bidi="fa-IR"/>
        </w:rPr>
      </w:pPr>
      <w:r w:rsidRPr="007720DB">
        <w:rPr>
          <w:rtl/>
        </w:rPr>
        <w:t>6428</w:t>
      </w:r>
      <w:r w:rsidRPr="001155DE">
        <w:rPr>
          <w:rStyle w:val="libBold2Char"/>
          <w:rtl/>
        </w:rPr>
        <w:t xml:space="preserve"> / 1.</w:t>
      </w:r>
      <w:r w:rsidRPr="00020424">
        <w:rPr>
          <w:rtl/>
          <w:lang w:bidi="fa-IR"/>
        </w:rPr>
        <w:t xml:space="preserve"> عِدَّةٌ مِنْ أَصْحَابِنَا ، عَنْ أَحْمَدَ بْنِ مُحَمَّدٍ ، عَنْ عَلِيِّ بْنِ الْحَكَمِ ، عَنِ الْحُسَيْنِ بْنِ أَبِي الْعَلَاءِ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السِّوَاكِ لِلصَّائِمِ</w:t>
      </w:r>
      <w:r>
        <w:rPr>
          <w:rtl/>
          <w:lang w:bidi="fa-IR"/>
        </w:rPr>
        <w:t>؟</w:t>
      </w:r>
    </w:p>
    <w:p w:rsidR="00992664" w:rsidRPr="00020424" w:rsidRDefault="00992664" w:rsidP="00992664">
      <w:pPr>
        <w:pStyle w:val="libNormal"/>
        <w:rPr>
          <w:rtl/>
          <w:lang w:bidi="fa-IR"/>
        </w:rPr>
      </w:pPr>
      <w:r w:rsidRPr="00020424">
        <w:rPr>
          <w:rtl/>
          <w:lang w:bidi="fa-IR"/>
        </w:rPr>
        <w:t xml:space="preserve">فَقَالَ : « نَعَمْ ، يَسْتَاكُ أَيَّ النَّهَارِ شَاءَ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0F06E7" w:rsidP="00992664">
      <w:pPr>
        <w:pStyle w:val="libFootnote0"/>
        <w:rPr>
          <w:rtl/>
          <w:lang w:bidi="fa-IR"/>
        </w:rPr>
      </w:pPr>
      <w:r>
        <w:rPr>
          <w:rFonts w:hint="cs"/>
          <w:rtl/>
        </w:rPr>
        <w:t xml:space="preserve">= </w:t>
      </w:r>
      <w:r w:rsidR="00992664" w:rsidRPr="00020424">
        <w:rPr>
          <w:rtl/>
        </w:rPr>
        <w:t xml:space="preserve">من الدواء اليابس. راجع : </w:t>
      </w:r>
      <w:r w:rsidR="00992664" w:rsidRPr="0012008A">
        <w:rPr>
          <w:rStyle w:val="libFootnoteBoldChar"/>
          <w:rtl/>
        </w:rPr>
        <w:t>النهاية</w:t>
      </w:r>
      <w:r w:rsidR="00992664" w:rsidRPr="00020424">
        <w:rPr>
          <w:rtl/>
        </w:rPr>
        <w:t xml:space="preserve"> ، ج 2 ، ص 157 ؛ </w:t>
      </w:r>
      <w:r w:rsidR="00992664" w:rsidRPr="00A722B1">
        <w:rPr>
          <w:rStyle w:val="libFootnoteBoldChar"/>
          <w:rtl/>
        </w:rPr>
        <w:t>القاموس المحيط</w:t>
      </w:r>
      <w:r w:rsidR="00992664" w:rsidRPr="00020424">
        <w:rPr>
          <w:rtl/>
        </w:rPr>
        <w:t xml:space="preserve"> ، ج 1 ، ص 559 ( ذرر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259 ، ح 768 ؛ </w:t>
      </w:r>
      <w:r w:rsidR="00992664" w:rsidRPr="00FD6221">
        <w:rPr>
          <w:rStyle w:val="libFootnoteBoldChar"/>
          <w:rtl/>
        </w:rPr>
        <w:t>والاستبصار</w:t>
      </w:r>
      <w:r w:rsidR="00992664" w:rsidRPr="00020424">
        <w:rPr>
          <w:rtl/>
        </w:rPr>
        <w:t xml:space="preserve"> ، ج 2 ، ص 89 ، ح 281 ، بسند آخر ، مع اختلاف يسير. راجع : </w:t>
      </w:r>
      <w:r w:rsidR="00992664" w:rsidRPr="00DE76B9">
        <w:rPr>
          <w:rStyle w:val="libFootnoteBoldChar"/>
          <w:rtl/>
        </w:rPr>
        <w:t>الكافي</w:t>
      </w:r>
      <w:r w:rsidR="00992664" w:rsidRPr="00020424">
        <w:rPr>
          <w:rtl/>
        </w:rPr>
        <w:t xml:space="preserve"> ، كتاب الصيام ، باب حدّ المرض الذي يجوز للرجل أن يفطر </w:t>
      </w:r>
      <w:r w:rsidR="00992664" w:rsidRPr="00DE76B9">
        <w:rPr>
          <w:rStyle w:val="libFootnoteBoldChar"/>
          <w:rtl/>
        </w:rPr>
        <w:t>فيه</w:t>
      </w:r>
      <w:r w:rsidR="00992664" w:rsidRPr="00020424">
        <w:rPr>
          <w:rtl/>
        </w:rPr>
        <w:t xml:space="preserve"> ، ح 6458 ؛ </w:t>
      </w:r>
      <w:r w:rsidR="00992664" w:rsidRPr="00FD6221">
        <w:rPr>
          <w:rStyle w:val="libFootnoteBoldChar"/>
          <w:rtl/>
        </w:rPr>
        <w:t>والفقيه</w:t>
      </w:r>
      <w:r w:rsidR="00992664" w:rsidRPr="00020424">
        <w:rPr>
          <w:rtl/>
        </w:rPr>
        <w:t xml:space="preserve"> ، ج 2 ، ص 132 ، ح 1945 </w:t>
      </w:r>
      <w:r w:rsidR="000F06E7">
        <w:rPr>
          <w:rFonts w:hint="cs"/>
          <w:rtl/>
        </w:rPr>
        <w:t>.</w:t>
      </w:r>
      <w:r w:rsidR="00992664" w:rsidRPr="0012008A">
        <w:rPr>
          <w:rStyle w:val="libFootnoteBoldChar"/>
          <w:rtl/>
        </w:rPr>
        <w:t>الوافي</w:t>
      </w:r>
      <w:r w:rsidR="00992664" w:rsidRPr="00020424">
        <w:rPr>
          <w:rtl/>
        </w:rPr>
        <w:t xml:space="preserve"> ، ج 11 ، ص 191 ، ح 10665 ؛ </w:t>
      </w:r>
      <w:r w:rsidR="00992664" w:rsidRPr="0012008A">
        <w:rPr>
          <w:rStyle w:val="libFootnoteBoldChar"/>
          <w:rtl/>
        </w:rPr>
        <w:t>الوسائل</w:t>
      </w:r>
      <w:r w:rsidR="00992664" w:rsidRPr="00020424">
        <w:rPr>
          <w:rtl/>
        </w:rPr>
        <w:t xml:space="preserve"> ، ج 10 ، ص 75 ، ح 12864.</w:t>
      </w:r>
    </w:p>
    <w:tbl>
      <w:tblPr>
        <w:tblStyle w:val="TableGrid"/>
        <w:bidiVisual/>
        <w:tblW w:w="0" w:type="auto"/>
        <w:tblLook w:val="04A0" w:firstRow="1" w:lastRow="0" w:firstColumn="1" w:lastColumn="0" w:noHBand="0" w:noVBand="1"/>
      </w:tblPr>
      <w:tblGrid>
        <w:gridCol w:w="4006"/>
        <w:gridCol w:w="4006"/>
      </w:tblGrid>
      <w:tr w:rsidR="000F06E7" w:rsidTr="000F06E7">
        <w:tc>
          <w:tcPr>
            <w:tcW w:w="4006" w:type="dxa"/>
          </w:tcPr>
          <w:p w:rsidR="000F06E7" w:rsidRDefault="000F06E7" w:rsidP="00992664">
            <w:pPr>
              <w:pStyle w:val="libFootnote0"/>
              <w:rPr>
                <w:rtl/>
              </w:rPr>
            </w:pPr>
            <w:r>
              <w:rPr>
                <w:rtl/>
              </w:rPr>
              <w:t xml:space="preserve">(2). </w:t>
            </w:r>
            <w:r w:rsidRPr="00020424">
              <w:rPr>
                <w:rtl/>
              </w:rPr>
              <w:t xml:space="preserve">في </w:t>
            </w:r>
            <w:r w:rsidRPr="000F06E7">
              <w:rPr>
                <w:rtl/>
              </w:rPr>
              <w:t>التهذيب والاستبصار</w:t>
            </w:r>
            <w:r w:rsidRPr="00020424">
              <w:rPr>
                <w:rtl/>
              </w:rPr>
              <w:t xml:space="preserve"> :</w:t>
            </w:r>
            <w:r>
              <w:rPr>
                <w:rtl/>
              </w:rPr>
              <w:t xml:space="preserve"> - </w:t>
            </w:r>
            <w:r w:rsidRPr="00020424">
              <w:rPr>
                <w:rtl/>
              </w:rPr>
              <w:t>« بن مهران</w:t>
            </w:r>
            <w:r>
              <w:rPr>
                <w:rtl/>
              </w:rPr>
              <w:t xml:space="preserve"> ».</w:t>
            </w:r>
          </w:p>
        </w:tc>
        <w:tc>
          <w:tcPr>
            <w:tcW w:w="4006" w:type="dxa"/>
          </w:tcPr>
          <w:p w:rsidR="000F06E7" w:rsidRDefault="000F06E7" w:rsidP="00992664">
            <w:pPr>
              <w:pStyle w:val="libFootnote0"/>
              <w:rPr>
                <w:rtl/>
              </w:rPr>
            </w:pPr>
            <w:r>
              <w:rPr>
                <w:rtl/>
              </w:rPr>
              <w:t xml:space="preserve">(3). </w:t>
            </w:r>
            <w:r w:rsidRPr="00020424">
              <w:rPr>
                <w:rtl/>
              </w:rPr>
              <w:t>في « بخ » :</w:t>
            </w:r>
            <w:r>
              <w:rPr>
                <w:rtl/>
              </w:rPr>
              <w:t xml:space="preserve"> - </w:t>
            </w:r>
            <w:r w:rsidRPr="00020424">
              <w:rPr>
                <w:rtl/>
              </w:rPr>
              <w:t>« في الحلق</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بف » </w:t>
      </w:r>
      <w:r w:rsidR="00992664" w:rsidRPr="000F06E7">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ح 770 </w:t>
      </w:r>
      <w:r w:rsidR="00992664" w:rsidRPr="00FF70BD">
        <w:rPr>
          <w:rtl/>
        </w:rPr>
        <w:t>والاستبصار</w:t>
      </w:r>
      <w:r w:rsidR="00992664" w:rsidRPr="00020424">
        <w:rPr>
          <w:rtl/>
        </w:rPr>
        <w:t xml:space="preserve"> </w:t>
      </w:r>
      <w:r w:rsidR="00FF70BD">
        <w:rPr>
          <w:rtl/>
        </w:rPr>
        <w:t>، ح 283 : « فليس به بأس</w:t>
      </w:r>
      <w:r w:rsidR="00992664" w:rsidRPr="00020424">
        <w:rPr>
          <w:rtl/>
        </w:rPr>
        <w:t>» بدل « فلا بأس به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259 ، ح 770 ؛ </w:t>
      </w:r>
      <w:r w:rsidR="00992664" w:rsidRPr="00FD6221">
        <w:rPr>
          <w:rStyle w:val="libFootnoteBoldChar"/>
          <w:rtl/>
        </w:rPr>
        <w:t>والاستبصار</w:t>
      </w:r>
      <w:r w:rsidR="00992664" w:rsidRPr="00020424">
        <w:rPr>
          <w:rtl/>
        </w:rPr>
        <w:t xml:space="preserve"> ، ج 2 ، ص 90 ، ح 283 ، معلّقاً عن الكليني. وفي </w:t>
      </w:r>
      <w:r w:rsidR="00992664" w:rsidRPr="0012008A">
        <w:rPr>
          <w:rStyle w:val="libFootnoteBoldChar"/>
          <w:rtl/>
        </w:rPr>
        <w:t>التهذيب</w:t>
      </w:r>
      <w:r w:rsidR="00992664" w:rsidRPr="00020424">
        <w:rPr>
          <w:rtl/>
        </w:rPr>
        <w:t xml:space="preserve"> ، ج 4 ، ص 259 ، ح 771 ؛ </w:t>
      </w:r>
      <w:r w:rsidR="00992664" w:rsidRPr="00FD6221">
        <w:rPr>
          <w:rStyle w:val="libFootnoteBoldChar"/>
          <w:rtl/>
        </w:rPr>
        <w:t>والاستبصار</w:t>
      </w:r>
      <w:r w:rsidR="00992664" w:rsidRPr="00020424">
        <w:rPr>
          <w:rtl/>
        </w:rPr>
        <w:t xml:space="preserve"> ، ج 2 ، ص 90 ، ح 284 ، بسند آخر عن أحدهما </w:t>
      </w:r>
      <w:r w:rsidR="00D64ADA" w:rsidRPr="00D64ADA">
        <w:rPr>
          <w:rStyle w:val="libFootnoteAlaemChar"/>
          <w:rtl/>
        </w:rPr>
        <w:t>عليهما‌السلام</w:t>
      </w:r>
      <w:r w:rsidR="00992664" w:rsidRPr="00020424">
        <w:rPr>
          <w:rtl/>
        </w:rPr>
        <w:t xml:space="preserve"> ، مع اختلاف يسير </w:t>
      </w:r>
      <w:r w:rsidR="00FF70BD">
        <w:rPr>
          <w:rFonts w:hint="cs"/>
          <w:rtl/>
        </w:rPr>
        <w:t>.</w:t>
      </w:r>
      <w:r w:rsidR="00992664" w:rsidRPr="0012008A">
        <w:rPr>
          <w:rStyle w:val="libFootnoteBoldChar"/>
          <w:rtl/>
        </w:rPr>
        <w:t>الوافي</w:t>
      </w:r>
      <w:r w:rsidR="00992664" w:rsidRPr="00020424">
        <w:rPr>
          <w:rtl/>
        </w:rPr>
        <w:t xml:space="preserve"> ، ج 11 ، ص 190 ، ح 10663 ؛ </w:t>
      </w:r>
      <w:r w:rsidR="00992664" w:rsidRPr="0012008A">
        <w:rPr>
          <w:rStyle w:val="libFootnoteBoldChar"/>
          <w:rtl/>
        </w:rPr>
        <w:t>الوسائل</w:t>
      </w:r>
      <w:r w:rsidR="00992664" w:rsidRPr="00020424">
        <w:rPr>
          <w:rtl/>
        </w:rPr>
        <w:t xml:space="preserve"> ، ج 10 ، ص 74 ، ح 12863.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783 : « أيّ ساعة شاء من أوّل النهار إلى آخره » بدل « أيّ النهار شاء</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262 ، ح 780 و781 و784 وصدر 785 ؛ </w:t>
      </w:r>
      <w:r w:rsidR="00992664" w:rsidRPr="00FD6221">
        <w:rPr>
          <w:rStyle w:val="libFootnoteBoldChar"/>
          <w:rtl/>
        </w:rPr>
        <w:t>والاستبصار</w:t>
      </w:r>
      <w:r w:rsidR="00992664" w:rsidRPr="00020424">
        <w:rPr>
          <w:rtl/>
        </w:rPr>
        <w:t xml:space="preserve"> ، ج 2 ، ص 91 ، صدر ح 292 ، بسند آخر. </w:t>
      </w:r>
      <w:r w:rsidR="00992664" w:rsidRPr="0012008A">
        <w:rPr>
          <w:rStyle w:val="libFootnoteBoldChar"/>
          <w:rtl/>
        </w:rPr>
        <w:t>التهذيب</w:t>
      </w:r>
      <w:r w:rsidR="00992664" w:rsidRPr="00020424">
        <w:rPr>
          <w:rtl/>
        </w:rPr>
        <w:t xml:space="preserve"> ، ج 4 ، ص 262 ، ح 783 ، بسند آخر عن أبي جعفر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قرب الإسناد</w:t>
      </w:r>
      <w:r w:rsidR="00992664" w:rsidRPr="00020424">
        <w:rPr>
          <w:rtl/>
        </w:rPr>
        <w:t xml:space="preserve"> ، ص 89 ، ح 296 ، بسند </w:t>
      </w:r>
      <w:r w:rsidR="00FF70B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720DB">
        <w:rPr>
          <w:rtl/>
        </w:rPr>
        <w:t>6429</w:t>
      </w:r>
      <w:r w:rsidRPr="001155DE">
        <w:rPr>
          <w:rStyle w:val="libBold2Char"/>
          <w:rtl/>
        </w:rPr>
        <w:t xml:space="preserve"> / 2.</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الصَّائِمِ يَسْتَاكُ بِالْمَاءِ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قَالَ : « لَا بَأْسَ بِهِ » وَقَالَ : « لَا يَسْتَاكُ بِسِوَاكٍ رَطْبٍ</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7720DB">
        <w:rPr>
          <w:rtl/>
        </w:rPr>
        <w:t>6430</w:t>
      </w:r>
      <w:r w:rsidRPr="001155DE">
        <w:rPr>
          <w:rStyle w:val="libBold2Char"/>
          <w:rtl/>
        </w:rPr>
        <w:t xml:space="preserve"> / 3.</w:t>
      </w:r>
      <w:r w:rsidRPr="00020424">
        <w:rPr>
          <w:rtl/>
          <w:lang w:bidi="fa-IR"/>
        </w:rPr>
        <w:t xml:space="preserve"> عَلِيُّ بْنُ إِبْرَاهِيمَ ، عَنْ أَبِيهِ </w:t>
      </w:r>
      <w:r w:rsidRPr="00A91B96">
        <w:rPr>
          <w:rStyle w:val="libFootnotenumChar"/>
          <w:rtl/>
        </w:rPr>
        <w:t>(3)</w:t>
      </w:r>
      <w:r w:rsidRPr="00020424">
        <w:rPr>
          <w:rtl/>
          <w:lang w:bidi="fa-IR"/>
        </w:rPr>
        <w:t xml:space="preserve"> ، عَنْ عَبْدِ اللهِ بْنِ الْمُغِيرَةِ ،</w:t>
      </w:r>
      <w:r w:rsidR="00FF70BD">
        <w:rPr>
          <w:rtl/>
          <w:lang w:bidi="fa-IR"/>
        </w:rPr>
        <w:t xml:space="preserve"> عَنْ عَبْدِ اللهِ بْنِ سِنَانٍ</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كَرِهَ لِلصَّائِمِ أَنْ يَسْتَاكَ بِسِوَاكٍ رَطْبٍ ، وَقَالَ : « لَا يَضُرُّ أَنْ يَبُلَّ سِوَاكَهُ بِالْمَاءِ ، ثُمَّ يَنْفُضَهُ </w:t>
      </w:r>
      <w:r w:rsidRPr="00A91B96">
        <w:rPr>
          <w:rStyle w:val="libFootnotenumChar"/>
          <w:rtl/>
        </w:rPr>
        <w:t>(4)</w:t>
      </w:r>
      <w:r w:rsidRPr="00020424">
        <w:rPr>
          <w:rtl/>
          <w:lang w:bidi="fa-IR"/>
        </w:rPr>
        <w:t xml:space="preserve"> حَتّى لَايَبْقى فِيهِ شَيْ‌ءٌ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FF70BD" w:rsidP="00992664">
      <w:pPr>
        <w:pStyle w:val="libFootnote0"/>
        <w:rPr>
          <w:rtl/>
          <w:lang w:bidi="fa-IR"/>
        </w:rPr>
      </w:pPr>
      <w:r>
        <w:rPr>
          <w:rFonts w:hint="cs"/>
          <w:rtl/>
        </w:rPr>
        <w:t xml:space="preserve">= </w:t>
      </w:r>
      <w:r w:rsidR="00992664" w:rsidRPr="00020424">
        <w:rPr>
          <w:rtl/>
        </w:rPr>
        <w:t xml:space="preserve">آخر عن جعفر ، عن أبيه </w:t>
      </w:r>
      <w:r w:rsidR="00D64ADA" w:rsidRPr="00D64ADA">
        <w:rPr>
          <w:rStyle w:val="libFootnoteAlaemChar"/>
          <w:rtl/>
        </w:rPr>
        <w:t>عليهما‌السلام</w:t>
      </w:r>
      <w:r w:rsidR="00992664" w:rsidRPr="00020424">
        <w:rPr>
          <w:rtl/>
        </w:rPr>
        <w:t xml:space="preserve">. وفي </w:t>
      </w:r>
      <w:r w:rsidR="00992664" w:rsidRPr="00DE76B9">
        <w:rPr>
          <w:rStyle w:val="libFootnoteBoldChar"/>
          <w:rtl/>
        </w:rPr>
        <w:t>الكافي</w:t>
      </w:r>
      <w:r w:rsidR="00992664" w:rsidRPr="00020424">
        <w:rPr>
          <w:rtl/>
        </w:rPr>
        <w:t xml:space="preserve"> ، كتاب الصيام ، باب المضمضة والاستنشاق للصائم ، صدر ح 6408 ؛ </w:t>
      </w:r>
      <w:r w:rsidR="00992664" w:rsidRPr="00515444">
        <w:rPr>
          <w:rStyle w:val="libFootnoteBoldChar"/>
          <w:rtl/>
        </w:rPr>
        <w:t>والتهذيب</w:t>
      </w:r>
      <w:r w:rsidR="00992664" w:rsidRPr="00020424">
        <w:rPr>
          <w:rtl/>
        </w:rPr>
        <w:t xml:space="preserve"> ، ج 4 ، ص 205 ، صدر ح 593 ؛ </w:t>
      </w:r>
      <w:r w:rsidR="00992664" w:rsidRPr="00FD6221">
        <w:rPr>
          <w:rStyle w:val="libFootnoteBoldChar"/>
          <w:rtl/>
        </w:rPr>
        <w:t>والاستبصار</w:t>
      </w:r>
      <w:r w:rsidR="00992664" w:rsidRPr="00020424">
        <w:rPr>
          <w:rtl/>
        </w:rPr>
        <w:t xml:space="preserve"> ، ج 2 ، ص 94 ، صدر ح 304 ، بسند آخر من دون الإسناد إلى المعصوم </w:t>
      </w:r>
      <w:r w:rsidR="00992664" w:rsidRPr="00D64ADA">
        <w:rPr>
          <w:rStyle w:val="libFootnoteAlaemChar"/>
          <w:rtl/>
        </w:rPr>
        <w:t>عليه‌السلام</w:t>
      </w:r>
      <w:r w:rsidR="00992664" w:rsidRPr="00020424">
        <w:rPr>
          <w:rtl/>
        </w:rPr>
        <w:t xml:space="preserve">. </w:t>
      </w:r>
      <w:r w:rsidR="00992664" w:rsidRPr="00E82BAA">
        <w:rPr>
          <w:rStyle w:val="libFootnoteBoldChar"/>
          <w:rtl/>
        </w:rPr>
        <w:t>النوادر للأشعري</w:t>
      </w:r>
      <w:r w:rsidR="00992664" w:rsidRPr="00020424">
        <w:rPr>
          <w:rtl/>
        </w:rPr>
        <w:t xml:space="preserve"> ، ص 24 ، ضمن ح 15 ، مرسلاً من دون الإسناد إلى المعصوم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1 ، ص 53 ، ذيل ح 117 ؛ وج 2 ، ص 110 ، ذيل ح 1865 ، وفي كلّ المصادر مع اختلاف يسير </w:t>
      </w:r>
      <w:r>
        <w:rPr>
          <w:rFonts w:hint="cs"/>
          <w:rtl/>
        </w:rPr>
        <w:t>.</w:t>
      </w:r>
      <w:r w:rsidR="00992664" w:rsidRPr="0012008A">
        <w:rPr>
          <w:rStyle w:val="libFootnoteBoldChar"/>
          <w:rtl/>
        </w:rPr>
        <w:t>الوافي</w:t>
      </w:r>
      <w:r w:rsidR="00992664" w:rsidRPr="00020424">
        <w:rPr>
          <w:rtl/>
        </w:rPr>
        <w:t xml:space="preserve"> ، ج 11 ، ص 193 ، ح 10668 ؛ </w:t>
      </w:r>
      <w:r w:rsidR="00992664" w:rsidRPr="0012008A">
        <w:rPr>
          <w:rStyle w:val="libFootnoteBoldChar"/>
          <w:rtl/>
        </w:rPr>
        <w:t>الوسائل</w:t>
      </w:r>
      <w:r w:rsidR="00992664" w:rsidRPr="00020424">
        <w:rPr>
          <w:rtl/>
        </w:rPr>
        <w:t xml:space="preserve"> ، ج 2 ، ص 26 ، ح 1380 ؛ وج 10 ، ص 84 ، ح 12898.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بح ، بر ، بس » </w:t>
      </w:r>
      <w:r w:rsidR="00992664" w:rsidRPr="00FF70BD">
        <w:rP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بالماء</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323 ، ح 992 ، معلّقاً عن الكليني. وفي </w:t>
      </w:r>
      <w:r w:rsidR="00992664" w:rsidRPr="0012008A">
        <w:rPr>
          <w:rStyle w:val="libFootnoteBoldChar"/>
          <w:rtl/>
        </w:rPr>
        <w:t>التهذيب</w:t>
      </w:r>
      <w:r w:rsidR="00992664" w:rsidRPr="00020424">
        <w:rPr>
          <w:rtl/>
        </w:rPr>
        <w:t xml:space="preserve"> ، ج 4 ، ص 262 ، ح 782 ؛ وص 323 ، ح 993 ؛ </w:t>
      </w:r>
      <w:r w:rsidR="00992664" w:rsidRPr="00FD6221">
        <w:rPr>
          <w:rStyle w:val="libFootnoteBoldChar"/>
          <w:rtl/>
        </w:rPr>
        <w:t>والاستبصار</w:t>
      </w:r>
      <w:r w:rsidR="00992664" w:rsidRPr="00020424">
        <w:rPr>
          <w:rtl/>
        </w:rPr>
        <w:t xml:space="preserve"> ، ج 2 ، ص 91 ، ح 291 ، بسند آخر عن الحلبي ، مع اختلاف. وفي </w:t>
      </w:r>
      <w:r w:rsidR="00992664" w:rsidRPr="0012008A">
        <w:rPr>
          <w:rStyle w:val="libFootnoteBoldChar"/>
          <w:rtl/>
        </w:rPr>
        <w:t>التهذيب</w:t>
      </w:r>
      <w:r w:rsidR="00992664" w:rsidRPr="00020424">
        <w:rPr>
          <w:rtl/>
        </w:rPr>
        <w:t xml:space="preserve"> ، ج 4 ، ص 262 ، صدر ح 785 ؛ </w:t>
      </w:r>
      <w:r w:rsidR="00992664" w:rsidRPr="00FD6221">
        <w:rPr>
          <w:rStyle w:val="libFootnoteBoldChar"/>
          <w:rtl/>
        </w:rPr>
        <w:t>والاستبصار</w:t>
      </w:r>
      <w:r w:rsidR="00992664" w:rsidRPr="00020424">
        <w:rPr>
          <w:rtl/>
        </w:rPr>
        <w:t xml:space="preserve"> ، ج 2 ، ص 91 ، صدر ح 292 ، بسند آخر ، مع اختلاف يسير. وفي </w:t>
      </w:r>
      <w:r w:rsidR="00992664" w:rsidRPr="0012008A">
        <w:rPr>
          <w:rStyle w:val="libFootnoteBoldChar"/>
          <w:rtl/>
        </w:rPr>
        <w:t>التهذيب</w:t>
      </w:r>
      <w:r w:rsidR="00992664" w:rsidRPr="00020424">
        <w:rPr>
          <w:rtl/>
        </w:rPr>
        <w:t xml:space="preserve"> ، ج 4 ، ص 262 ، ح 786 ؛ </w:t>
      </w:r>
      <w:r w:rsidR="00992664" w:rsidRPr="00FD6221">
        <w:rPr>
          <w:rStyle w:val="libFootnoteBoldChar"/>
          <w:rtl/>
        </w:rPr>
        <w:t>والاستبصار</w:t>
      </w:r>
      <w:r w:rsidR="00992664" w:rsidRPr="00020424">
        <w:rPr>
          <w:rtl/>
        </w:rPr>
        <w:t xml:space="preserve"> ، ج 2 ، ص 91 ، ح 293 ، بسند آخر ، وتمام الرواية : « لايستاك الصائم بعود رطب</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110 ، ذيل ح 1865 ، مع اختلاف </w:t>
      </w:r>
      <w:r w:rsidR="00FF70BD">
        <w:rPr>
          <w:rFonts w:hint="cs"/>
          <w:rtl/>
        </w:rPr>
        <w:t>.</w:t>
      </w:r>
      <w:r w:rsidR="00992664" w:rsidRPr="0012008A">
        <w:rPr>
          <w:rStyle w:val="libFootnoteBoldChar"/>
          <w:rtl/>
        </w:rPr>
        <w:t>الوافي</w:t>
      </w:r>
      <w:r w:rsidR="00992664" w:rsidRPr="00020424">
        <w:rPr>
          <w:rtl/>
        </w:rPr>
        <w:t xml:space="preserve"> ، ج 11 ، ص 193 ، ح 10669 ؛ </w:t>
      </w:r>
      <w:r w:rsidR="00992664" w:rsidRPr="0012008A">
        <w:rPr>
          <w:rStyle w:val="libFootnoteBoldChar"/>
          <w:rtl/>
        </w:rPr>
        <w:t>الوسائل</w:t>
      </w:r>
      <w:r w:rsidR="00992664" w:rsidRPr="00020424">
        <w:rPr>
          <w:rtl/>
        </w:rPr>
        <w:t xml:space="preserve"> ، ج 10 ، ص 84 ، ح 12899.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FF70BD">
        <w:rPr>
          <w:rtl/>
        </w:rPr>
        <w:t>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أبيه</w:t>
      </w:r>
      <w:r w:rsidR="00992664">
        <w:rPr>
          <w:rtl/>
        </w:rPr>
        <w:t xml:space="preserve"> ».</w:t>
      </w:r>
      <w:r w:rsidR="00992664" w:rsidRPr="00020424">
        <w:rPr>
          <w:rtl/>
        </w:rPr>
        <w:t xml:space="preserve"> والظاهر ثبوته ؛ فقد روى عليّ [ بن إبراهيم ] ، عن أبيه ، عن [ عبدالله ] بن المغيرة في كثيرٍ من الأسناد ، ولم يثبت رواية عليّ ، عن ابن المغيرة مباشرة. راجع : </w:t>
      </w:r>
      <w:r w:rsidR="00992664" w:rsidRPr="00DE76B9">
        <w:rPr>
          <w:rStyle w:val="libFootnoteBoldChar"/>
          <w:rtl/>
        </w:rPr>
        <w:t>معجم رجال الحديث</w:t>
      </w:r>
      <w:r w:rsidR="00992664" w:rsidRPr="00020424">
        <w:rPr>
          <w:rtl/>
        </w:rPr>
        <w:t xml:space="preserve"> ، ج 1 ، ص 499 ؛ وص 525</w:t>
      </w:r>
      <w:r w:rsidR="00992664">
        <w:rPr>
          <w:rtl/>
        </w:rPr>
        <w:t xml:space="preserve"> </w:t>
      </w:r>
      <w:r w:rsidR="009B673F">
        <w:rPr>
          <w:rtl/>
        </w:rPr>
        <w:t>-</w:t>
      </w:r>
      <w:r w:rsidR="00992664">
        <w:rPr>
          <w:rtl/>
        </w:rPr>
        <w:t xml:space="preserve"> </w:t>
      </w:r>
      <w:r w:rsidR="00992664" w:rsidRPr="00020424">
        <w:rPr>
          <w:rtl/>
        </w:rPr>
        <w:t>527.</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النَّفْضُ : أن تأخذ شيئاً بيدك فتنفضه ، أي تحرّكه ؛ ليزول عنه الغبار ونحوه ، فانتفض ، أي تحرّك لذلك. راجع : </w:t>
      </w:r>
      <w:r w:rsidR="00992664" w:rsidRPr="00A722B1">
        <w:rPr>
          <w:rStyle w:val="libFootnoteBoldChar"/>
          <w:rtl/>
        </w:rPr>
        <w:t>لسان العرب</w:t>
      </w:r>
      <w:r w:rsidR="00992664" w:rsidRPr="00020424">
        <w:rPr>
          <w:rtl/>
        </w:rPr>
        <w:t xml:space="preserve"> ، ج 7 ، ص 240 ؛ </w:t>
      </w:r>
      <w:r w:rsidR="00992664" w:rsidRPr="00A722B1">
        <w:rPr>
          <w:rStyle w:val="libFootnoteBoldChar"/>
          <w:rtl/>
        </w:rPr>
        <w:t>المصباح المنير</w:t>
      </w:r>
      <w:r w:rsidR="00992664" w:rsidRPr="00020424">
        <w:rPr>
          <w:rtl/>
        </w:rPr>
        <w:t xml:space="preserve"> ، ص 618 ( نفض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ذيل الحديث 787 : « فالكراهية في هذه الأخبار إنّما توجّهت إلى من لا يضبط نفسه فيبصق ما يحصل في فمه من رطوبة العود ، فأمّا من يتمكّن من حفظ نفسه فلا بأس باستعماله على كلّ حال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263 ، ح 787 ؛ </w:t>
      </w:r>
      <w:r w:rsidR="00992664" w:rsidRPr="00FD6221">
        <w:rPr>
          <w:rStyle w:val="libFootnoteBoldChar"/>
          <w:rtl/>
        </w:rPr>
        <w:t>والاستبصار</w:t>
      </w:r>
      <w:r w:rsidR="00992664" w:rsidRPr="00020424">
        <w:rPr>
          <w:rtl/>
        </w:rPr>
        <w:t xml:space="preserve"> ، ج 2 ، ص 92 ، ح 294 ، معلّقاً عن الكليني </w:t>
      </w:r>
      <w:r w:rsidR="00FF70BD">
        <w:rPr>
          <w:rFonts w:hint="cs"/>
          <w:rtl/>
        </w:rPr>
        <w:t>.</w:t>
      </w:r>
      <w:r w:rsidR="00992664" w:rsidRPr="0012008A">
        <w:rPr>
          <w:rStyle w:val="libFootnoteBoldChar"/>
          <w:rtl/>
        </w:rPr>
        <w:t>الوافي</w:t>
      </w:r>
      <w:r w:rsidR="00992664" w:rsidRPr="00020424">
        <w:rPr>
          <w:rtl/>
        </w:rPr>
        <w:t xml:space="preserve"> ، ج 11 ، ص 194 ، ح 10670 ؛ </w:t>
      </w:r>
      <w:r w:rsidR="00992664" w:rsidRPr="0012008A">
        <w:rPr>
          <w:rStyle w:val="libFootnoteBoldChar"/>
          <w:rtl/>
        </w:rPr>
        <w:t>الوسائل</w:t>
      </w:r>
      <w:r w:rsidR="00992664" w:rsidRPr="00020424">
        <w:rPr>
          <w:rtl/>
        </w:rPr>
        <w:t xml:space="preserve"> ، ج 2 ، ص 26 ، ح 1381 ؛ وج 10 ، ص 85 ، ح 12900.</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7720DB">
        <w:rPr>
          <w:rtl/>
        </w:rPr>
        <w:t>6431</w:t>
      </w:r>
      <w:r w:rsidRPr="001155DE">
        <w:rPr>
          <w:rStyle w:val="libBold2Char"/>
          <w:rtl/>
        </w:rPr>
        <w:t xml:space="preserve"> / 4.</w:t>
      </w:r>
      <w:r w:rsidRPr="00020424">
        <w:rPr>
          <w:rtl/>
          <w:lang w:bidi="fa-IR"/>
        </w:rPr>
        <w:t xml:space="preserve"> مُحَمَّدُ بْنُ يَحْيى ، عَنْ مُحَمَّدِ بْنِ أَحْمَدَ ، عَنْ أَحْمَدَ بْنِ الْحَسَنِ </w:t>
      </w:r>
      <w:r w:rsidRPr="00A91B96">
        <w:rPr>
          <w:rStyle w:val="libFootnotenumChar"/>
          <w:rtl/>
        </w:rPr>
        <w:t>(1)</w:t>
      </w:r>
      <w:r w:rsidRPr="00020424">
        <w:rPr>
          <w:rtl/>
          <w:lang w:bidi="fa-IR"/>
        </w:rPr>
        <w:t xml:space="preserve"> ، عَنْ عَمْرِو بْنِ سَعِيدٍ ، عَنْ مُصَدِّقِ بْنِ صَدَقَةَ ، عَنْ عَمَّارِ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الصَّائِمِ يَنْزِعُ ضِرْسَهُ ، قَالَ : « لَا ، وَلَايُدْمِي فَاهُ ، وَلَايَسْتَاكُ بِعُودٍ رَطْبٍ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394" w:name="_Toc345172847"/>
      <w:bookmarkStart w:id="395" w:name="_Toc464562664"/>
      <w:bookmarkStart w:id="396" w:name="_Toc44599968"/>
      <w:r w:rsidRPr="00020424">
        <w:rPr>
          <w:rtl/>
          <w:lang w:bidi="fa-IR"/>
        </w:rPr>
        <w:t>32</w:t>
      </w:r>
      <w:r>
        <w:rPr>
          <w:rtl/>
          <w:lang w:bidi="fa-IR"/>
        </w:rPr>
        <w:t xml:space="preserve"> </w:t>
      </w:r>
      <w:r w:rsidR="009B673F">
        <w:rPr>
          <w:rtl/>
          <w:lang w:bidi="fa-IR"/>
        </w:rPr>
        <w:t>-</w:t>
      </w:r>
      <w:r>
        <w:rPr>
          <w:rtl/>
          <w:lang w:bidi="fa-IR"/>
        </w:rPr>
        <w:t xml:space="preserve"> </w:t>
      </w:r>
      <w:r w:rsidRPr="00020424">
        <w:rPr>
          <w:rtl/>
          <w:lang w:bidi="fa-IR"/>
        </w:rPr>
        <w:t>بَابُ الطِّيبِ وَالرَّيْحَانِ لِلصَّائِمِ‌</w:t>
      </w:r>
      <w:bookmarkEnd w:id="394"/>
      <w:bookmarkEnd w:id="395"/>
      <w:bookmarkEnd w:id="396"/>
    </w:p>
    <w:p w:rsidR="00992664" w:rsidRPr="00020424" w:rsidRDefault="00992664" w:rsidP="00992664">
      <w:pPr>
        <w:pStyle w:val="libNormal"/>
        <w:rPr>
          <w:rtl/>
          <w:lang w:bidi="fa-IR"/>
        </w:rPr>
      </w:pPr>
      <w:r w:rsidRPr="007720DB">
        <w:rPr>
          <w:rtl/>
        </w:rPr>
        <w:t>6432</w:t>
      </w:r>
      <w:r w:rsidRPr="001155DE">
        <w:rPr>
          <w:rStyle w:val="libBold2Char"/>
          <w:rtl/>
        </w:rPr>
        <w:t xml:space="preserve"> / 1.</w:t>
      </w:r>
      <w:r w:rsidRPr="00020424">
        <w:rPr>
          <w:rtl/>
          <w:lang w:bidi="fa-IR"/>
        </w:rPr>
        <w:t xml:space="preserve"> عِدَّةٌ مِنْ أَصْحَابِنَا ، عَنْ أَحْمَدَ بْنِ مُحَمَّدٍ ، عَنْ مُحَمَّدِ بْنِ يَحْيى </w:t>
      </w:r>
      <w:r w:rsidRPr="00A91B96">
        <w:rPr>
          <w:rStyle w:val="libFootnotenumChar"/>
          <w:rtl/>
        </w:rPr>
        <w:t>(4)</w:t>
      </w:r>
      <w:r w:rsidRPr="00020424">
        <w:rPr>
          <w:rtl/>
          <w:lang w:bidi="fa-IR"/>
        </w:rPr>
        <w:t xml:space="preserve"> ، عَنْ غِيَاثِ بْنِ إِبْرَاهِيمَ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جَعْفَرٍ ، عَنْ أَبِيهِ </w:t>
      </w:r>
      <w:r w:rsidRPr="00005A81">
        <w:rPr>
          <w:rStyle w:val="libAlaemChar"/>
          <w:rtl/>
        </w:rPr>
        <w:t>عليهما‌السلام</w:t>
      </w:r>
      <w:r w:rsidRPr="00020424">
        <w:rPr>
          <w:rtl/>
          <w:lang w:bidi="fa-IR"/>
        </w:rPr>
        <w:t xml:space="preserve"> : « أَنَّ عَلِيّاً</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كَرِهَ الْمِسْكَ </w:t>
      </w:r>
      <w:r w:rsidRPr="00A91B96">
        <w:rPr>
          <w:rStyle w:val="libFootnotenumChar"/>
          <w:rtl/>
        </w:rPr>
        <w:t>(6)</w:t>
      </w:r>
      <w:r w:rsidRPr="00020424">
        <w:rPr>
          <w:rtl/>
          <w:lang w:bidi="fa-IR"/>
        </w:rPr>
        <w:t xml:space="preserve"> أَنْ يَتَطَيَّبَ‌</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بح ، بر ، بف ، جر ، جن » : « الحسين</w:t>
      </w:r>
      <w:r w:rsidR="00992664">
        <w:rPr>
          <w:rtl/>
        </w:rPr>
        <w:t xml:space="preserve"> ».</w:t>
      </w:r>
      <w:r w:rsidR="00992664" w:rsidRPr="00020424">
        <w:rPr>
          <w:rtl/>
        </w:rPr>
        <w:t xml:space="preserve"> وهو سهو كما تقدّم غير مرّة. والمراد من أحمد بن الحسن</w:t>
      </w:r>
      <w:r w:rsidR="00982887">
        <w:rPr>
          <w:rFonts w:hint="cs"/>
          <w:rtl/>
        </w:rPr>
        <w:t xml:space="preserve"> </w:t>
      </w:r>
      <w:r w:rsidR="00992664" w:rsidRPr="00020424">
        <w:rPr>
          <w:rtl/>
        </w:rPr>
        <w:t xml:space="preserve">‌هو أحمد بن الحسن بن عليّ بن فضّال. راجع : </w:t>
      </w:r>
      <w:r w:rsidR="00992664" w:rsidRPr="00DE76B9">
        <w:rPr>
          <w:rStyle w:val="libFootnoteBoldChar"/>
          <w:rtl/>
        </w:rPr>
        <w:t xml:space="preserve">معجم رجال الحديث </w:t>
      </w:r>
      <w:r w:rsidR="00992664" w:rsidRPr="00020424">
        <w:rPr>
          <w:rtl/>
        </w:rPr>
        <w:t>، ج 2 ، ص 436</w:t>
      </w:r>
      <w:r w:rsidR="00992664">
        <w:rPr>
          <w:rtl/>
        </w:rPr>
        <w:t xml:space="preserve"> </w:t>
      </w:r>
      <w:r w:rsidR="009B673F">
        <w:rPr>
          <w:rtl/>
        </w:rPr>
        <w:t>-</w:t>
      </w:r>
      <w:r w:rsidR="00992664">
        <w:rPr>
          <w:rtl/>
        </w:rPr>
        <w:t xml:space="preserve"> </w:t>
      </w:r>
      <w:r w:rsidR="00992664" w:rsidRPr="00020424">
        <w:rPr>
          <w:rtl/>
        </w:rPr>
        <w:t>439.</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لعلّ المراد بالعود الرطب العود المرطّب بالماء ، لا العود الذي فيه رطوبة من نفسه وإن أمكن أن يشمله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112 ، ح 1871 ، معلّقاً عن عمّار بن موسى‌الساباطي ، إلى قوله : « ولا يدمي فاه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262 ، ضمن ح 785 و786 ؛ </w:t>
      </w:r>
      <w:r w:rsidR="00992664" w:rsidRPr="00FD6221">
        <w:rPr>
          <w:rStyle w:val="libFootnoteBoldChar"/>
          <w:rtl/>
        </w:rPr>
        <w:t>والاستبصار</w:t>
      </w:r>
      <w:r w:rsidR="00992664" w:rsidRPr="00DE76B9">
        <w:rPr>
          <w:rStyle w:val="libFootnoteBoldChar"/>
          <w:rtl/>
        </w:rPr>
        <w:t xml:space="preserve"> </w:t>
      </w:r>
      <w:r w:rsidR="00992664" w:rsidRPr="00020424">
        <w:rPr>
          <w:rtl/>
        </w:rPr>
        <w:t>، ج 2 ، ص 91 ، ضمن ح 292 و293 ، بسند آخر ، هذه الفقرة : « ولا يستاك بعود رطب</w:t>
      </w:r>
      <w:r w:rsidR="00992664">
        <w:rPr>
          <w:rtl/>
        </w:rPr>
        <w:t xml:space="preserve"> ».</w:t>
      </w:r>
      <w:r w:rsidR="00992664" w:rsidRPr="00020424">
        <w:rPr>
          <w:rtl/>
        </w:rPr>
        <w:t xml:space="preserve"> راجع : </w:t>
      </w:r>
      <w:r w:rsidR="00992664" w:rsidRPr="0012008A">
        <w:rPr>
          <w:rStyle w:val="libFootnoteBoldChar"/>
          <w:rtl/>
        </w:rPr>
        <w:t>الفقيه</w:t>
      </w:r>
      <w:r w:rsidR="00992664" w:rsidRPr="00020424">
        <w:rPr>
          <w:rtl/>
        </w:rPr>
        <w:t xml:space="preserve"> ، ج 2 ، ص 110 ، ح 1865 ؛ </w:t>
      </w:r>
      <w:r w:rsidR="00992664" w:rsidRPr="00515444">
        <w:rPr>
          <w:rStyle w:val="libFootnoteBoldChar"/>
          <w:rtl/>
        </w:rPr>
        <w:t>والتهذيب</w:t>
      </w:r>
      <w:r w:rsidR="00992664" w:rsidRPr="00020424">
        <w:rPr>
          <w:rtl/>
        </w:rPr>
        <w:t xml:space="preserve"> ، ج 4 ، ص 262 ، ح 782 ؛ وص 323 ، ح 993 ؛ </w:t>
      </w:r>
      <w:r w:rsidR="00992664" w:rsidRPr="00FD6221">
        <w:rPr>
          <w:rStyle w:val="libFootnoteBoldChar"/>
          <w:rtl/>
        </w:rPr>
        <w:t>والاستبصار</w:t>
      </w:r>
      <w:r w:rsidR="00992664" w:rsidRPr="00020424">
        <w:rPr>
          <w:rtl/>
        </w:rPr>
        <w:t xml:space="preserve"> ، ج 2 ، ص 91 ، ح 291 </w:t>
      </w:r>
      <w:r w:rsidR="00982887">
        <w:rPr>
          <w:rFonts w:hint="cs"/>
          <w:rtl/>
        </w:rPr>
        <w:t>.</w:t>
      </w:r>
      <w:r w:rsidR="00992664" w:rsidRPr="0012008A">
        <w:rPr>
          <w:rStyle w:val="libFootnoteBoldChar"/>
          <w:rtl/>
        </w:rPr>
        <w:t>الوافي</w:t>
      </w:r>
      <w:r w:rsidR="00992664" w:rsidRPr="00020424">
        <w:rPr>
          <w:rtl/>
        </w:rPr>
        <w:t xml:space="preserve"> ، ج 11 ، ص 194 ، ح 10671 ؛ </w:t>
      </w:r>
      <w:r w:rsidR="00992664" w:rsidRPr="0012008A">
        <w:rPr>
          <w:rStyle w:val="libFootnoteBoldChar"/>
          <w:rtl/>
        </w:rPr>
        <w:t>الوسائل</w:t>
      </w:r>
      <w:r w:rsidR="00992664" w:rsidRPr="00020424">
        <w:rPr>
          <w:rtl/>
        </w:rPr>
        <w:t xml:space="preserve"> ، ج 10 ، ص 78 ، ح 12876 ؛ وص 85 ، ح 12901.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ى ، بث ، بح ، بخ ، بر ، بس ، بف ، جن » : « محمّد بن عليّ</w:t>
      </w:r>
      <w:r w:rsidR="00992664">
        <w:rPr>
          <w:rtl/>
        </w:rPr>
        <w:t xml:space="preserve"> ».</w:t>
      </w:r>
      <w:r w:rsidR="00992664" w:rsidRPr="00020424">
        <w:rPr>
          <w:rtl/>
        </w:rPr>
        <w:t xml:space="preserve"> وهو سهو ؛ فقد روى محمّد بن يحيى</w:t>
      </w:r>
      <w:r w:rsidR="00982887">
        <w:rPr>
          <w:rFonts w:hint="cs"/>
          <w:rtl/>
        </w:rPr>
        <w:t xml:space="preserve"> </w:t>
      </w:r>
      <w:r w:rsidR="00992664" w:rsidRPr="00020424">
        <w:rPr>
          <w:rtl/>
        </w:rPr>
        <w:t xml:space="preserve">‌الخزّاز كتاب غياث بن إبراهيم وتوسّط بينه وبين أحمد بن محمّد [ بن عيسى ] في بعض الأسناد. راجع : </w:t>
      </w:r>
      <w:r w:rsidR="00992664" w:rsidRPr="00D530ED">
        <w:rPr>
          <w:rStyle w:val="libFootnoteBoldChar"/>
          <w:rtl/>
        </w:rPr>
        <w:t>الفهرست للطوسي</w:t>
      </w:r>
      <w:r w:rsidR="00992664" w:rsidRPr="00020424">
        <w:rPr>
          <w:rtl/>
        </w:rPr>
        <w:t xml:space="preserve"> ، ص 355 ، الرقم 561 ؛ </w:t>
      </w:r>
      <w:r w:rsidR="00992664" w:rsidRPr="00DE76B9">
        <w:rPr>
          <w:rStyle w:val="libFootnoteBoldChar"/>
          <w:rtl/>
        </w:rPr>
        <w:t>معجم رجال الحديث</w:t>
      </w:r>
      <w:r w:rsidR="00992664" w:rsidRPr="00020424">
        <w:rPr>
          <w:rtl/>
        </w:rPr>
        <w:t xml:space="preserve"> ، ج 18 ، ص 392</w:t>
      </w:r>
      <w:r w:rsidR="00992664">
        <w:rPr>
          <w:rtl/>
        </w:rPr>
        <w:t xml:space="preserve"> </w:t>
      </w:r>
      <w:r w:rsidR="009B673F">
        <w:rPr>
          <w:rtl/>
        </w:rPr>
        <w:t>-</w:t>
      </w:r>
      <w:r w:rsidR="00992664">
        <w:rPr>
          <w:rtl/>
        </w:rPr>
        <w:t xml:space="preserve"> </w:t>
      </w:r>
      <w:r w:rsidR="00992664" w:rsidRPr="00020424">
        <w:rPr>
          <w:rtl/>
        </w:rPr>
        <w:t>393.</w:t>
      </w:r>
    </w:p>
    <w:p w:rsidR="00992664" w:rsidRPr="00020424" w:rsidRDefault="00992664" w:rsidP="00992664">
      <w:pPr>
        <w:pStyle w:val="libFootnote0"/>
        <w:rPr>
          <w:rtl/>
          <w:lang w:bidi="fa-IR"/>
        </w:rPr>
      </w:pPr>
      <w:r w:rsidRPr="00982887">
        <w:rPr>
          <w:rtl/>
        </w:rPr>
        <w:t xml:space="preserve">وأمّا رواية محمّد بن عليّ عن </w:t>
      </w:r>
      <w:r w:rsidR="00982887">
        <w:rPr>
          <w:rtl/>
        </w:rPr>
        <w:t>غياث بن إبراهيم ، فلم نجدها إل</w:t>
      </w:r>
      <w:r w:rsidR="00982887">
        <w:rPr>
          <w:rFonts w:hint="cs"/>
          <w:rtl/>
        </w:rPr>
        <w:t>ّ</w:t>
      </w:r>
      <w:r w:rsidR="00982887">
        <w:rPr>
          <w:rtl/>
        </w:rPr>
        <w:t>ا</w:t>
      </w:r>
      <w:r w:rsidR="00982887">
        <w:rPr>
          <w:rFonts w:hint="cs"/>
          <w:rtl/>
        </w:rPr>
        <w:t xml:space="preserve"> </w:t>
      </w:r>
      <w:r w:rsidRPr="00982887">
        <w:rPr>
          <w:rtl/>
        </w:rPr>
        <w:t xml:space="preserve">في </w:t>
      </w:r>
      <w:r w:rsidRPr="0012008A">
        <w:rPr>
          <w:rStyle w:val="libFootnoteBoldChar"/>
          <w:rtl/>
        </w:rPr>
        <w:t>التهذيب</w:t>
      </w:r>
      <w:r w:rsidRPr="00982887">
        <w:rPr>
          <w:rtl/>
        </w:rPr>
        <w:t xml:space="preserve"> ، ج 7 ، ص 120 ، ح 525 ، والخبر ورد في </w:t>
      </w:r>
      <w:r w:rsidRPr="00DE76B9">
        <w:rPr>
          <w:rStyle w:val="libFootnoteBoldChar"/>
          <w:rtl/>
        </w:rPr>
        <w:t>الكافي</w:t>
      </w:r>
      <w:r w:rsidRPr="00982887">
        <w:rPr>
          <w:rtl/>
        </w:rPr>
        <w:t xml:space="preserve"> ، ح 8873 ، </w:t>
      </w:r>
      <w:r w:rsidRPr="00DE76B9">
        <w:rPr>
          <w:rStyle w:val="libFootnoteBoldChar"/>
          <w:rtl/>
        </w:rPr>
        <w:t>وفيه</w:t>
      </w:r>
      <w:r w:rsidRPr="00982887">
        <w:rPr>
          <w:rtl/>
        </w:rPr>
        <w:t xml:space="preserve"> « محمّد بن يحيى » بدل « محمّد بن عليّ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294 : « قوله </w:t>
      </w:r>
      <w:r w:rsidR="00992664" w:rsidRPr="00D64ADA">
        <w:rPr>
          <w:rStyle w:val="libFootnoteAlaemChar"/>
          <w:rtl/>
        </w:rPr>
        <w:t>عليه‌السلام</w:t>
      </w:r>
      <w:r w:rsidR="00992664" w:rsidRPr="00020424">
        <w:rPr>
          <w:rtl/>
        </w:rPr>
        <w:t xml:space="preserve"> : كره المسك ، ظاهر أكثر الأصحاب استحباب التطيّب للصائم‌</w:t>
      </w:r>
      <w:r w:rsidR="00992664">
        <w:rPr>
          <w:rFonts w:hint="cs"/>
          <w:rtl/>
        </w:rPr>
        <w:t xml:space="preserve"> </w:t>
      </w:r>
      <w:r w:rsidR="0098288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82887">
      <w:pPr>
        <w:pStyle w:val="libNormal0"/>
        <w:rPr>
          <w:rtl/>
          <w:lang w:bidi="fa-IR"/>
        </w:rPr>
      </w:pPr>
      <w:r w:rsidRPr="00020424">
        <w:rPr>
          <w:rtl/>
          <w:lang w:bidi="fa-IR"/>
        </w:rPr>
        <w:t>بِهِ الصَّائِمُ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553F60">
        <w:rPr>
          <w:rtl/>
        </w:rPr>
        <w:t>6433</w:t>
      </w:r>
      <w:r w:rsidRPr="001155DE">
        <w:rPr>
          <w:rStyle w:val="libBold2Char"/>
          <w:rtl/>
        </w:rPr>
        <w:t xml:space="preserve"> / 2.</w:t>
      </w:r>
      <w:r w:rsidRPr="00020424">
        <w:rPr>
          <w:rtl/>
          <w:lang w:bidi="fa-IR"/>
        </w:rPr>
        <w:t xml:space="preserve"> عِدَّةٌ مِنْ أَصْحَابِنَا ، عَنْ أَحْمَدَ بْنِ مُحَمَّدِ بْنِ خَالِدٍ ، عَنْ دَاوُدَ بْنِ إِسْحَاقَ الْحَذَّاءِ ، عَنْ مُحَمَّدِ بْنِ الْفَيْضِ </w:t>
      </w:r>
      <w:r w:rsidRPr="00A91B96">
        <w:rPr>
          <w:rStyle w:val="libFootnotenumChar"/>
          <w:rtl/>
        </w:rPr>
        <w:t>(2)</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يَنْهى عَنِ النَّرْجِسِ </w:t>
      </w:r>
      <w:r w:rsidRPr="00A91B96">
        <w:rPr>
          <w:rStyle w:val="libFootnotenumChar"/>
          <w:rtl/>
        </w:rPr>
        <w:t>(3)</w:t>
      </w:r>
      <w:r w:rsidRPr="00020424">
        <w:rPr>
          <w:rtl/>
          <w:lang w:bidi="fa-IR"/>
        </w:rPr>
        <w:t xml:space="preserve"> ، فَقُلْتُ : جُعِلْتُ فِدَاكَ ، لِمَ ذلِكَ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(5)</w:t>
      </w:r>
      <w:r w:rsidRPr="00020424">
        <w:rPr>
          <w:rtl/>
          <w:lang w:bidi="fa-IR"/>
        </w:rPr>
        <w:t xml:space="preserve"> : « لِأَنَّهُ رَيْحَانُ الْأَعَاجِمِ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tbl>
      <w:tblPr>
        <w:bidiVisual/>
        <w:tblW w:w="0" w:type="auto"/>
        <w:tblLook w:val="01E0" w:firstRow="1" w:lastRow="1" w:firstColumn="1" w:lastColumn="1" w:noHBand="0" w:noVBand="0"/>
      </w:tblPr>
      <w:tblGrid>
        <w:gridCol w:w="459"/>
        <w:gridCol w:w="7128"/>
      </w:tblGrid>
      <w:tr w:rsidR="00992664" w:rsidTr="006B0729">
        <w:tc>
          <w:tcPr>
            <w:tcW w:w="459" w:type="dxa"/>
            <w:shd w:val="clear" w:color="auto" w:fill="auto"/>
          </w:tcPr>
          <w:p w:rsidR="00992664" w:rsidRDefault="00992664" w:rsidP="006B0729">
            <w:pPr>
              <w:rPr>
                <w:rtl/>
                <w:lang w:bidi="fa-IR"/>
              </w:rPr>
            </w:pPr>
          </w:p>
        </w:tc>
        <w:tc>
          <w:tcPr>
            <w:tcW w:w="7128" w:type="dxa"/>
            <w:shd w:val="clear" w:color="auto" w:fill="auto"/>
          </w:tcPr>
          <w:p w:rsidR="00992664" w:rsidRDefault="00992664" w:rsidP="006B0729">
            <w:pPr>
              <w:rPr>
                <w:rtl/>
                <w:lang w:bidi="fa-IR"/>
              </w:rPr>
            </w:pPr>
            <w:r w:rsidRPr="00020424">
              <w:rPr>
                <w:rtl/>
                <w:lang w:bidi="fa-IR"/>
              </w:rPr>
              <w:t xml:space="preserve">وَأَخْبَرَنِي </w:t>
            </w:r>
            <w:r w:rsidRPr="00A91B96">
              <w:rPr>
                <w:rStyle w:val="libFootnotenumChar"/>
                <w:rtl/>
              </w:rPr>
              <w:t>(7)</w:t>
            </w:r>
            <w:r w:rsidRPr="00020424">
              <w:rPr>
                <w:rtl/>
                <w:lang w:bidi="fa-IR"/>
              </w:rPr>
              <w:t xml:space="preserve"> بَعْضُ أَصْحَابِنَا أَنَّ الْأَعَاجِمَ كَانَتْ تَشَمُّهُ إِذَا صَامُوا ، وَقَالُوا </w:t>
            </w:r>
            <w:r w:rsidRPr="00A91B96">
              <w:rPr>
                <w:rStyle w:val="libFootnotenumChar"/>
                <w:rtl/>
              </w:rPr>
              <w:t>(8)</w:t>
            </w:r>
            <w:r w:rsidRPr="00020424">
              <w:rPr>
                <w:rtl/>
                <w:lang w:bidi="fa-IR"/>
              </w:rPr>
              <w:t xml:space="preserve"> : إِنَّهُ يُمْسِكُ </w:t>
            </w:r>
            <w:r w:rsidRPr="00A91B96">
              <w:rPr>
                <w:rStyle w:val="libFootnotenumChar"/>
                <w:rtl/>
              </w:rPr>
              <w:t>(9)</w:t>
            </w:r>
            <w:r>
              <w:rPr>
                <w:rtl/>
                <w:lang w:bidi="fa-IR"/>
              </w:rPr>
              <w:t xml:space="preserve"> ‌</w:t>
            </w:r>
          </w:p>
        </w:tc>
      </w:tr>
    </w:tbl>
    <w:p w:rsidR="00992664" w:rsidRPr="00020424" w:rsidRDefault="00992664" w:rsidP="00992664">
      <w:pPr>
        <w:pStyle w:val="libLine"/>
        <w:rPr>
          <w:rtl/>
          <w:lang w:bidi="fa-IR"/>
        </w:rPr>
      </w:pPr>
      <w:r w:rsidRPr="00020424">
        <w:rPr>
          <w:rtl/>
          <w:lang w:bidi="fa-IR"/>
        </w:rPr>
        <w:t>__________________</w:t>
      </w:r>
    </w:p>
    <w:p w:rsidR="00992664" w:rsidRPr="00020424" w:rsidRDefault="00982887" w:rsidP="00992664">
      <w:pPr>
        <w:pStyle w:val="libFootnote0"/>
        <w:rPr>
          <w:rtl/>
          <w:lang w:bidi="fa-IR"/>
        </w:rPr>
      </w:pPr>
      <w:r>
        <w:rPr>
          <w:rFonts w:hint="cs"/>
          <w:rtl/>
        </w:rPr>
        <w:t xml:space="preserve">= </w:t>
      </w:r>
      <w:r w:rsidR="00992664" w:rsidRPr="00020424">
        <w:rPr>
          <w:rtl/>
        </w:rPr>
        <w:t>بأنواع الطيب ، وإنّما خصّوا الكراهة بشمّ الرياحين خصوصاً النرجس ، وأل</w:t>
      </w:r>
      <w:r>
        <w:rPr>
          <w:rtl/>
        </w:rPr>
        <w:t>حق العل</w:t>
      </w:r>
      <w:r>
        <w:rPr>
          <w:rFonts w:hint="cs"/>
          <w:rtl/>
        </w:rPr>
        <w:t>ّ</w:t>
      </w:r>
      <w:r>
        <w:rPr>
          <w:rtl/>
        </w:rPr>
        <w:t>ا</w:t>
      </w:r>
      <w:r w:rsidR="00992664" w:rsidRPr="00020424">
        <w:rPr>
          <w:rtl/>
        </w:rPr>
        <w:t xml:space="preserve">مة في </w:t>
      </w:r>
      <w:r w:rsidR="00992664" w:rsidRPr="00DE76B9">
        <w:rPr>
          <w:rStyle w:val="libFootnoteBoldChar"/>
          <w:rtl/>
        </w:rPr>
        <w:t>المنتهي</w:t>
      </w:r>
      <w:r w:rsidR="00992664" w:rsidRPr="00020424">
        <w:rPr>
          <w:rtl/>
        </w:rPr>
        <w:t xml:space="preserve"> بالنرجس المسك ؛ لشدّة رائحته ولهذه الرواية ، واقتصر الشهيد </w:t>
      </w:r>
      <w:r w:rsidR="00D64ADA" w:rsidRPr="00D64ADA">
        <w:rPr>
          <w:rStyle w:val="libFootnoteAlaemChar"/>
          <w:rtl/>
        </w:rPr>
        <w:t>رحمه‌الله</w:t>
      </w:r>
      <w:r w:rsidR="00992664" w:rsidRPr="00020424">
        <w:rPr>
          <w:rtl/>
        </w:rPr>
        <w:t xml:space="preserve"> في </w:t>
      </w:r>
      <w:r w:rsidR="00992664" w:rsidRPr="00DE76B9">
        <w:rPr>
          <w:rStyle w:val="libFootnoteBoldChar"/>
          <w:rtl/>
        </w:rPr>
        <w:t>الدروس</w:t>
      </w:r>
      <w:r w:rsidR="00992664" w:rsidRPr="00020424">
        <w:rPr>
          <w:rtl/>
        </w:rPr>
        <w:t xml:space="preserve"> على نسبة الكراهة إلى هذه الرواية</w:t>
      </w:r>
      <w:r w:rsidR="00992664">
        <w:rPr>
          <w:rtl/>
        </w:rPr>
        <w:t xml:space="preserve"> ».</w:t>
      </w:r>
      <w:r w:rsidR="00992664" w:rsidRPr="00020424">
        <w:rPr>
          <w:rtl/>
        </w:rPr>
        <w:t xml:space="preserve"> وراجع أيضاً : </w:t>
      </w:r>
      <w:r w:rsidR="00992664" w:rsidRPr="00DE76B9">
        <w:rPr>
          <w:rStyle w:val="libFootnoteBoldChar"/>
          <w:rtl/>
        </w:rPr>
        <w:t>منتهى المطلب</w:t>
      </w:r>
      <w:r w:rsidR="00992664" w:rsidRPr="00020424">
        <w:rPr>
          <w:rtl/>
        </w:rPr>
        <w:t xml:space="preserve"> ، ج 9 ، ص 192 ؛ </w:t>
      </w:r>
      <w:r w:rsidR="00992664" w:rsidRPr="00DE76B9">
        <w:rPr>
          <w:rStyle w:val="libFootnoteBoldChar"/>
          <w:rtl/>
        </w:rPr>
        <w:t>الدروس الشرعيّة</w:t>
      </w:r>
      <w:r w:rsidR="00992664" w:rsidRPr="00020424">
        <w:rPr>
          <w:rtl/>
        </w:rPr>
        <w:t xml:space="preserve"> ، ج 1 ، ص 279 ، الدرس 73.</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266 ، ح 801 ، معلّقاً عن الكليني </w:t>
      </w:r>
      <w:r w:rsidR="00982887">
        <w:rPr>
          <w:rFonts w:hint="cs"/>
          <w:rtl/>
        </w:rPr>
        <w:t>.</w:t>
      </w:r>
      <w:r w:rsidR="00992664" w:rsidRPr="0012008A">
        <w:rPr>
          <w:rStyle w:val="libFootnoteBoldChar"/>
          <w:rtl/>
        </w:rPr>
        <w:t>الوافي</w:t>
      </w:r>
      <w:r w:rsidR="00992664" w:rsidRPr="00020424">
        <w:rPr>
          <w:rtl/>
        </w:rPr>
        <w:t xml:space="preserve"> ، ج 11 ، ص 205 ، ح 10698 ؛ </w:t>
      </w:r>
      <w:r w:rsidR="00992664" w:rsidRPr="0012008A">
        <w:rPr>
          <w:rStyle w:val="libFootnoteBoldChar"/>
          <w:rtl/>
        </w:rPr>
        <w:t>الوسائل</w:t>
      </w:r>
      <w:r w:rsidR="00992664" w:rsidRPr="00020424">
        <w:rPr>
          <w:rtl/>
        </w:rPr>
        <w:t xml:space="preserve"> ، ج 10 ، ص 93 ، ح 12927.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بخ ، بر ، بف » وحاشية « بث ، جن » </w:t>
      </w:r>
      <w:r w:rsidR="00992664" w:rsidRPr="00FD6221">
        <w:rPr>
          <w:rStyle w:val="libFootnoteBoldChar"/>
          <w:rtl/>
        </w:rPr>
        <w:t>والاستبصار</w:t>
      </w:r>
      <w:r w:rsidR="00992664" w:rsidRPr="00020424">
        <w:rPr>
          <w:rtl/>
        </w:rPr>
        <w:t xml:space="preserve"> : « العيص » ، وهو سهو. ومحمّد هذا ، هو محمّد بن الفيض التيمي من تيم الرباب ؛ فقد روى أحمد بن أبي عبد الله ، عن داود بن إسحاق أبي سليمان الحذّاء ، عن محمّد بن الفيض ، من تيم الرباب في </w:t>
      </w:r>
      <w:r w:rsidR="00992664" w:rsidRPr="00DE76B9">
        <w:rPr>
          <w:rStyle w:val="libFootnoteBoldChar"/>
          <w:rtl/>
        </w:rPr>
        <w:t>الكافي</w:t>
      </w:r>
      <w:r w:rsidR="00992664" w:rsidRPr="00020424">
        <w:rPr>
          <w:rtl/>
        </w:rPr>
        <w:t xml:space="preserve"> ، ح 12556 ، وهو المذكور في </w:t>
      </w:r>
      <w:r w:rsidR="00992664" w:rsidRPr="00DE76B9">
        <w:rPr>
          <w:rStyle w:val="libFootnoteBoldChar"/>
          <w:rtl/>
        </w:rPr>
        <w:t>رجال الطوسي</w:t>
      </w:r>
      <w:r w:rsidR="00992664" w:rsidRPr="00020424">
        <w:rPr>
          <w:rtl/>
        </w:rPr>
        <w:t xml:space="preserve"> ، ص 313 ، الرقم 4646.</w:t>
      </w:r>
    </w:p>
    <w:p w:rsidR="00992664" w:rsidRPr="00020424" w:rsidRDefault="00992664" w:rsidP="00992664">
      <w:pPr>
        <w:pStyle w:val="libFootnote0"/>
        <w:rPr>
          <w:rtl/>
          <w:lang w:bidi="fa-IR"/>
        </w:rPr>
      </w:pPr>
      <w:r w:rsidRPr="00982887">
        <w:rPr>
          <w:rtl/>
        </w:rPr>
        <w:t xml:space="preserve">ثمّ إنّ التَّيْمي نسبة إلى قبائل اسمها تيم ، منهم تيم الرِّباب ، كما في </w:t>
      </w:r>
      <w:r w:rsidRPr="00982887">
        <w:rPr>
          <w:rStyle w:val="libFootnoteBoldChar"/>
          <w:rtl/>
        </w:rPr>
        <w:t>الأنساب للسمعاني</w:t>
      </w:r>
      <w:r w:rsidRPr="00982887">
        <w:rPr>
          <w:rtl/>
        </w:rPr>
        <w:t xml:space="preserve"> ، ج 1 ، ص 498. فتبيّن من ذلك وقوع الخلل في ما ورد في </w:t>
      </w:r>
      <w:r w:rsidRPr="0012008A">
        <w:rPr>
          <w:rStyle w:val="libFootnoteBoldChar"/>
          <w:rtl/>
        </w:rPr>
        <w:t>الفقيه</w:t>
      </w:r>
      <w:r w:rsidRPr="00982887">
        <w:rPr>
          <w:rtl/>
        </w:rPr>
        <w:t xml:space="preserve"> ، ج 2 ، ص 114 ، ح 1878 ؛ </w:t>
      </w:r>
      <w:r w:rsidRPr="00515444">
        <w:rPr>
          <w:rStyle w:val="libFootnoteBoldChar"/>
          <w:rtl/>
        </w:rPr>
        <w:t>وعلل الشرائع</w:t>
      </w:r>
      <w:r w:rsidR="00982887">
        <w:rPr>
          <w:rtl/>
        </w:rPr>
        <w:t xml:space="preserve"> ، ص 387 ، ح 1 من «</w:t>
      </w:r>
      <w:r w:rsidRPr="00982887">
        <w:rPr>
          <w:rtl/>
        </w:rPr>
        <w:t>محمّد بن الفيض التيمي عن ابن رئاب ».</w:t>
      </w:r>
    </w:p>
    <w:tbl>
      <w:tblPr>
        <w:tblStyle w:val="TableGrid"/>
        <w:bidiVisual/>
        <w:tblW w:w="0" w:type="auto"/>
        <w:tblLook w:val="04A0" w:firstRow="1" w:lastRow="0" w:firstColumn="1" w:lastColumn="0" w:noHBand="0" w:noVBand="1"/>
      </w:tblPr>
      <w:tblGrid>
        <w:gridCol w:w="4006"/>
        <w:gridCol w:w="4006"/>
      </w:tblGrid>
      <w:tr w:rsidR="00982887" w:rsidTr="00982887">
        <w:tc>
          <w:tcPr>
            <w:tcW w:w="4006" w:type="dxa"/>
          </w:tcPr>
          <w:p w:rsidR="00982887" w:rsidRDefault="00982887" w:rsidP="00992664">
            <w:pPr>
              <w:pStyle w:val="libFootnote0"/>
              <w:rPr>
                <w:rtl/>
                <w:lang w:bidi="fa-IR"/>
              </w:rPr>
            </w:pPr>
            <w:r>
              <w:rPr>
                <w:rtl/>
              </w:rPr>
              <w:t xml:space="preserve">(3). </w:t>
            </w:r>
            <w:r w:rsidRPr="00020424">
              <w:rPr>
                <w:rtl/>
              </w:rPr>
              <w:t xml:space="preserve">في </w:t>
            </w:r>
            <w:r w:rsidRPr="00982887">
              <w:rPr>
                <w:rtl/>
              </w:rPr>
              <w:t>الفقيه</w:t>
            </w:r>
            <w:r w:rsidRPr="00020424">
              <w:rPr>
                <w:rtl/>
              </w:rPr>
              <w:t xml:space="preserve"> والعلل : + « للصائم</w:t>
            </w:r>
            <w:r>
              <w:rPr>
                <w:rtl/>
              </w:rPr>
              <w:t xml:space="preserve"> ».</w:t>
            </w:r>
          </w:p>
        </w:tc>
        <w:tc>
          <w:tcPr>
            <w:tcW w:w="4006" w:type="dxa"/>
          </w:tcPr>
          <w:p w:rsidR="00982887" w:rsidRDefault="00982887" w:rsidP="00992664">
            <w:pPr>
              <w:pStyle w:val="libFootnote0"/>
              <w:rPr>
                <w:rtl/>
                <w:lang w:bidi="fa-IR"/>
              </w:rPr>
            </w:pPr>
            <w:r>
              <w:rPr>
                <w:rtl/>
              </w:rPr>
              <w:t xml:space="preserve">(4). </w:t>
            </w:r>
            <w:r w:rsidRPr="00020424">
              <w:rPr>
                <w:rtl/>
              </w:rPr>
              <w:t xml:space="preserve">في </w:t>
            </w:r>
            <w:r w:rsidRPr="00982887">
              <w:rPr>
                <w:rtl/>
              </w:rPr>
              <w:t>التهذيب والاستبصار</w:t>
            </w:r>
            <w:r w:rsidRPr="00020424">
              <w:rPr>
                <w:rtl/>
              </w:rPr>
              <w:t xml:space="preserve"> : « ذاك</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بس » وحاشية « بح » </w:t>
      </w:r>
      <w:r w:rsidR="00992664" w:rsidRPr="00982887">
        <w:rPr>
          <w:rtl/>
        </w:rPr>
        <w:t>والفقيه والتهذيب</w:t>
      </w:r>
      <w:r w:rsidR="00992664" w:rsidRPr="00020424">
        <w:rPr>
          <w:rtl/>
        </w:rPr>
        <w:t xml:space="preserve"> والعلل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266 ، ح 804 ؛ </w:t>
      </w:r>
      <w:r w:rsidR="00992664" w:rsidRPr="00FD6221">
        <w:rPr>
          <w:rStyle w:val="libFootnoteBoldChar"/>
          <w:rtl/>
        </w:rPr>
        <w:t>والاستبصار</w:t>
      </w:r>
      <w:r w:rsidR="00992664" w:rsidRPr="00020424">
        <w:rPr>
          <w:rtl/>
        </w:rPr>
        <w:t xml:space="preserve"> ، ج 2 ، ص 94 ، ح 302 ، معلّقاً عن الكليني. </w:t>
      </w:r>
      <w:r w:rsidR="00992664" w:rsidRPr="00DE76B9">
        <w:rPr>
          <w:rStyle w:val="libFootnoteBoldChar"/>
          <w:rtl/>
        </w:rPr>
        <w:t>علل الشرائع</w:t>
      </w:r>
      <w:r w:rsidR="00992664" w:rsidRPr="00020424">
        <w:rPr>
          <w:rtl/>
        </w:rPr>
        <w:t xml:space="preserve"> ، ص 383 ، ح 1 ، بسنده عن أحمد بن أبي عبدالله البرقي ، عن داود بن إسحاق الحذّاء ، عن محمّد بن الفيض التيمي ، عن ابن رئاب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114 ، ح 1878 ، معلّقاً عن محمّد بن الفيض التيمي ، عن ابن رئاب ، عن أبي عبدالله </w:t>
      </w:r>
      <w:r w:rsidR="00992664" w:rsidRPr="00D64ADA">
        <w:rPr>
          <w:rStyle w:val="libFootnoteAlaemChar"/>
          <w:rtl/>
        </w:rPr>
        <w:t>عليه‌السلام</w:t>
      </w:r>
      <w:r w:rsidR="00992664" w:rsidRPr="00020424">
        <w:rPr>
          <w:rtl/>
        </w:rPr>
        <w:t xml:space="preserve"> ، وفي الأخيرين مع اختلاف يسير </w:t>
      </w:r>
      <w:r w:rsidR="00F402A2">
        <w:rPr>
          <w:rFonts w:hint="cs"/>
          <w:rtl/>
        </w:rPr>
        <w:t>.</w:t>
      </w:r>
      <w:r w:rsidR="00992664" w:rsidRPr="0012008A">
        <w:rPr>
          <w:rStyle w:val="libFootnoteBoldChar"/>
          <w:rtl/>
        </w:rPr>
        <w:t>الوافي</w:t>
      </w:r>
      <w:r w:rsidR="00992664" w:rsidRPr="00020424">
        <w:rPr>
          <w:rtl/>
        </w:rPr>
        <w:t xml:space="preserve"> ، ج 11 ، ص 207 ، ح 10705 ؛ </w:t>
      </w:r>
      <w:r w:rsidR="00992664" w:rsidRPr="0012008A">
        <w:rPr>
          <w:rStyle w:val="libFootnoteBoldChar"/>
          <w:rtl/>
        </w:rPr>
        <w:t>الوسائل</w:t>
      </w:r>
      <w:r w:rsidR="00992664" w:rsidRPr="00020424">
        <w:rPr>
          <w:rtl/>
        </w:rPr>
        <w:t xml:space="preserve"> ، ج 10 ، ص 92 ، ح 12925.</w:t>
      </w:r>
    </w:p>
    <w:tbl>
      <w:tblPr>
        <w:tblStyle w:val="TableGrid"/>
        <w:bidiVisual/>
        <w:tblW w:w="0" w:type="auto"/>
        <w:tblLook w:val="04A0" w:firstRow="1" w:lastRow="0" w:firstColumn="1" w:lastColumn="0" w:noHBand="0" w:noVBand="1"/>
      </w:tblPr>
      <w:tblGrid>
        <w:gridCol w:w="4006"/>
        <w:gridCol w:w="4006"/>
      </w:tblGrid>
      <w:tr w:rsidR="00F402A2" w:rsidTr="00F402A2">
        <w:tc>
          <w:tcPr>
            <w:tcW w:w="4006" w:type="dxa"/>
          </w:tcPr>
          <w:p w:rsidR="00F402A2" w:rsidRDefault="00F402A2" w:rsidP="00992664">
            <w:pPr>
              <w:pStyle w:val="libFootnote0"/>
              <w:rPr>
                <w:rtl/>
              </w:rPr>
            </w:pPr>
            <w:r>
              <w:rPr>
                <w:rtl/>
              </w:rPr>
              <w:t xml:space="preserve">(7). </w:t>
            </w:r>
            <w:r w:rsidRPr="00020424">
              <w:rPr>
                <w:rtl/>
              </w:rPr>
              <w:t>في « جر » : « وأخبرنا</w:t>
            </w:r>
            <w:r>
              <w:rPr>
                <w:rtl/>
              </w:rPr>
              <w:t xml:space="preserve"> ».</w:t>
            </w:r>
          </w:p>
        </w:tc>
        <w:tc>
          <w:tcPr>
            <w:tcW w:w="4006" w:type="dxa"/>
          </w:tcPr>
          <w:p w:rsidR="00F402A2" w:rsidRDefault="00F402A2" w:rsidP="00992664">
            <w:pPr>
              <w:pStyle w:val="libFootnote0"/>
              <w:rPr>
                <w:rtl/>
              </w:rPr>
            </w:pPr>
            <w:r>
              <w:rPr>
                <w:rtl/>
              </w:rPr>
              <w:t xml:space="preserve">(8). </w:t>
            </w:r>
            <w:r w:rsidRPr="00020424">
              <w:rPr>
                <w:rtl/>
              </w:rPr>
              <w:t>في « بخ ، بف » وحاشية « بح » : « وقال</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المقنعة</w:t>
      </w:r>
      <w:r w:rsidR="00992664" w:rsidRPr="00020424">
        <w:rPr>
          <w:rtl/>
        </w:rPr>
        <w:t xml:space="preserve"> ، ص 357 : « يكره شمّ النرجس خاصّة للصائم ، وذلك أنّ ملوك الفرس كان لهم يوم في السنة </w:t>
      </w:r>
      <w:r w:rsidR="00F402A2">
        <w:rPr>
          <w:rFonts w:hint="cs"/>
          <w:rtl/>
        </w:rPr>
        <w:t>=</w:t>
      </w:r>
    </w:p>
    <w:p w:rsidR="00795177" w:rsidRDefault="00795177" w:rsidP="00795177">
      <w:pPr>
        <w:pStyle w:val="libNormal"/>
        <w:rPr>
          <w:rtl/>
          <w:lang w:bidi="fa-IR"/>
        </w:rPr>
      </w:pPr>
      <w:r>
        <w:rPr>
          <w:rtl/>
          <w:lang w:bidi="fa-IR"/>
        </w:rPr>
        <w:br w:type="page"/>
      </w:r>
    </w:p>
    <w:tbl>
      <w:tblPr>
        <w:bidiVisual/>
        <w:tblW w:w="0" w:type="auto"/>
        <w:tblLook w:val="01E0" w:firstRow="1" w:lastRow="1" w:firstColumn="1" w:lastColumn="1" w:noHBand="0" w:noVBand="0"/>
      </w:tblPr>
      <w:tblGrid>
        <w:gridCol w:w="459"/>
        <w:gridCol w:w="7128"/>
      </w:tblGrid>
      <w:tr w:rsidR="00992664" w:rsidTr="006B0729">
        <w:tc>
          <w:tcPr>
            <w:tcW w:w="459" w:type="dxa"/>
            <w:shd w:val="clear" w:color="auto" w:fill="auto"/>
          </w:tcPr>
          <w:p w:rsidR="00992664" w:rsidRDefault="00992664" w:rsidP="006B0729">
            <w:pPr>
              <w:rPr>
                <w:rtl/>
                <w:lang w:bidi="fa-IR"/>
              </w:rPr>
            </w:pPr>
          </w:p>
        </w:tc>
        <w:tc>
          <w:tcPr>
            <w:tcW w:w="7128" w:type="dxa"/>
            <w:shd w:val="clear" w:color="auto" w:fill="auto"/>
          </w:tcPr>
          <w:p w:rsidR="00992664" w:rsidRDefault="00992664" w:rsidP="00B04396">
            <w:pPr>
              <w:pStyle w:val="libNormal0"/>
              <w:rPr>
                <w:rtl/>
                <w:lang w:bidi="fa-IR"/>
              </w:rPr>
            </w:pPr>
            <w:r w:rsidRPr="00020424">
              <w:rPr>
                <w:rtl/>
                <w:lang w:bidi="fa-IR"/>
              </w:rPr>
              <w:t xml:space="preserve">الْجُوعَ. </w:t>
            </w:r>
            <w:r w:rsidRPr="00A91B96">
              <w:rPr>
                <w:rStyle w:val="libFootnotenumChar"/>
                <w:rtl/>
              </w:rPr>
              <w:t>(1)</w:t>
            </w:r>
            <w:r>
              <w:rPr>
                <w:rtl/>
                <w:lang w:bidi="fa-IR"/>
              </w:rPr>
              <w:t xml:space="preserve"> ‌</w:t>
            </w:r>
          </w:p>
        </w:tc>
      </w:tr>
    </w:tbl>
    <w:p w:rsidR="00992664" w:rsidRPr="00020424" w:rsidRDefault="00992664" w:rsidP="00992664">
      <w:pPr>
        <w:pStyle w:val="libNormal"/>
        <w:rPr>
          <w:rtl/>
          <w:lang w:bidi="fa-IR"/>
        </w:rPr>
      </w:pPr>
      <w:r w:rsidRPr="00553F60">
        <w:rPr>
          <w:rtl/>
        </w:rPr>
        <w:t>6434</w:t>
      </w:r>
      <w:r w:rsidRPr="001155DE">
        <w:rPr>
          <w:rStyle w:val="libBold2Char"/>
          <w:rtl/>
        </w:rPr>
        <w:t xml:space="preserve"> / 3.</w:t>
      </w:r>
      <w:r w:rsidRPr="00020424">
        <w:rPr>
          <w:rtl/>
          <w:lang w:bidi="fa-IR"/>
        </w:rPr>
        <w:t xml:space="preserve"> عِدَّةٌ مِنْ أَصْحَابِنَا ، عَنْ أَحْمَدَ بْنِ مُحَمَّدِ بْنِ خَالِدٍ ، عَنْ أَبِيهِ ، عَنْ عَبْدِ اللهِ بْنِ الْفَضْلِ النَّوْفَلِيِّ ، عَنِ الْحَسَنِ بْنِ رَاشِدٍ ، قَالَ :</w:t>
      </w:r>
    </w:p>
    <w:p w:rsidR="00992664" w:rsidRPr="00020424" w:rsidRDefault="00992664" w:rsidP="00992664">
      <w:pPr>
        <w:pStyle w:val="libNormal"/>
        <w:rPr>
          <w:rtl/>
          <w:lang w:bidi="fa-IR"/>
        </w:rPr>
      </w:pPr>
      <w:r w:rsidRPr="00020424">
        <w:rPr>
          <w:rtl/>
          <w:lang w:bidi="fa-IR"/>
        </w:rPr>
        <w:t xml:space="preserve">كَانَ أَبُو عَبْدِ اللهِ </w:t>
      </w:r>
      <w:r w:rsidRPr="00005A81">
        <w:rPr>
          <w:rStyle w:val="libAlaemChar"/>
          <w:rtl/>
        </w:rPr>
        <w:t>عليه‌السلام</w:t>
      </w:r>
      <w:r w:rsidRPr="00020424">
        <w:rPr>
          <w:rtl/>
          <w:lang w:bidi="fa-IR"/>
        </w:rPr>
        <w:t xml:space="preserve"> إِذَا صَامَ تَطَيَّبَ </w:t>
      </w:r>
      <w:r w:rsidRPr="00A91B96">
        <w:rPr>
          <w:rStyle w:val="libFootnotenumChar"/>
          <w:rtl/>
        </w:rPr>
        <w:t>(2)</w:t>
      </w:r>
      <w:r w:rsidRPr="00020424">
        <w:rPr>
          <w:rtl/>
          <w:lang w:bidi="fa-IR"/>
        </w:rPr>
        <w:t xml:space="preserve"> بِالطِّيبِ </w:t>
      </w:r>
      <w:r w:rsidRPr="00A91B96">
        <w:rPr>
          <w:rStyle w:val="libFootnotenumChar"/>
          <w:rtl/>
        </w:rPr>
        <w:t>(3)</w:t>
      </w:r>
      <w:r w:rsidRPr="00020424">
        <w:rPr>
          <w:rtl/>
          <w:lang w:bidi="fa-IR"/>
        </w:rPr>
        <w:t xml:space="preserve"> ، وَيَقُولُ : « الطِّيبُ تُحْفَةُ </w:t>
      </w:r>
      <w:r w:rsidRPr="00A91B96">
        <w:rPr>
          <w:rStyle w:val="libFootnotenumChar"/>
          <w:rtl/>
        </w:rPr>
        <w:t>(4)</w:t>
      </w:r>
      <w:r w:rsidRPr="00020424">
        <w:rPr>
          <w:rtl/>
          <w:lang w:bidi="fa-IR"/>
        </w:rPr>
        <w:t>الصَّائِمِ</w:t>
      </w:r>
      <w:r>
        <w:rPr>
          <w:rtl/>
          <w:lang w:bidi="fa-IR"/>
        </w:rPr>
        <w:t>».</w:t>
      </w:r>
      <w:r w:rsidRPr="00A91B96">
        <w:rPr>
          <w:rStyle w:val="libFootnotenumChar"/>
          <w:rtl/>
        </w:rPr>
        <w:t>(5)</w:t>
      </w:r>
    </w:p>
    <w:p w:rsidR="00992664" w:rsidRPr="00020424" w:rsidRDefault="00992664" w:rsidP="00992664">
      <w:pPr>
        <w:pStyle w:val="libNormal"/>
        <w:rPr>
          <w:rtl/>
          <w:lang w:bidi="fa-IR"/>
        </w:rPr>
      </w:pPr>
      <w:r w:rsidRPr="00553F60">
        <w:rPr>
          <w:rtl/>
        </w:rPr>
        <w:t>6435</w:t>
      </w:r>
      <w:r w:rsidRPr="001155DE">
        <w:rPr>
          <w:rStyle w:val="libBold2Char"/>
          <w:rtl/>
        </w:rPr>
        <w:t xml:space="preserve"> / 4.</w:t>
      </w:r>
      <w:r w:rsidRPr="00020424">
        <w:rPr>
          <w:rtl/>
          <w:lang w:bidi="fa-IR"/>
        </w:rPr>
        <w:t xml:space="preserve"> مُحَمَّدُ بْنُ يَحْيى ، عَنْ مُحَمَّدِ بْنِ الْحُسَيْنِ ، عَنْ عَلِيِّ بْنِ الْحَكَمِ ، عَنِ الْعَلَاءِ بْنِ رَزِينٍ ، عَنْ مُحَمَّدِ بْنِ مُسْلِمٍ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الصَّائِمُ يَشَمُّ الرَّيْحَانَ وَالطِّيبَ</w:t>
      </w:r>
      <w:r>
        <w:rPr>
          <w:rtl/>
          <w:lang w:bidi="fa-IR"/>
        </w:rPr>
        <w:t>؟</w:t>
      </w:r>
    </w:p>
    <w:p w:rsidR="00992664" w:rsidRPr="00020424" w:rsidRDefault="00992664" w:rsidP="00992664">
      <w:pPr>
        <w:pStyle w:val="libNormal"/>
        <w:rPr>
          <w:rtl/>
          <w:lang w:bidi="fa-IR"/>
        </w:rPr>
      </w:pPr>
      <w:r w:rsidRPr="00020424">
        <w:rPr>
          <w:rtl/>
          <w:lang w:bidi="fa-IR"/>
        </w:rPr>
        <w:t xml:space="preserve">قَالَ : « لَا بَأْسَ بِهِ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F402A2" w:rsidP="00992664">
      <w:pPr>
        <w:pStyle w:val="libFootnote0"/>
        <w:rPr>
          <w:rtl/>
          <w:lang w:bidi="fa-IR"/>
        </w:rPr>
      </w:pPr>
      <w:r>
        <w:rPr>
          <w:rFonts w:hint="cs"/>
          <w:rtl/>
        </w:rPr>
        <w:t xml:space="preserve">= </w:t>
      </w:r>
      <w:r w:rsidR="00992664" w:rsidRPr="00020424">
        <w:rPr>
          <w:rtl/>
        </w:rPr>
        <w:t>يصومونه ، وكانوا في ذلك اليوم يعدون النرجس ويكثرون من شمّه ؛ ليذهب عنهم العطش ، فصار كالسنّة لهم ، فنهى آل محمّد</w:t>
      </w:r>
      <w:r w:rsidR="00992664">
        <w:rPr>
          <w:rtl/>
        </w:rPr>
        <w:t xml:space="preserve"> </w:t>
      </w:r>
      <w:r w:rsidR="009B673F">
        <w:rPr>
          <w:rtl/>
        </w:rPr>
        <w:t>-</w:t>
      </w:r>
      <w:r w:rsidR="00992664">
        <w:rPr>
          <w:rtl/>
        </w:rPr>
        <w:t xml:space="preserve"> </w:t>
      </w:r>
      <w:r w:rsidR="00992664" w:rsidRPr="00020424">
        <w:rPr>
          <w:rtl/>
        </w:rPr>
        <w:t>صلوات الله عليهم</w:t>
      </w:r>
      <w:r w:rsidR="00992664">
        <w:rPr>
          <w:rtl/>
        </w:rPr>
        <w:t xml:space="preserve"> </w:t>
      </w:r>
      <w:r w:rsidR="009B673F">
        <w:rPr>
          <w:rtl/>
        </w:rPr>
        <w:t>-</w:t>
      </w:r>
      <w:r w:rsidR="00992664">
        <w:rPr>
          <w:rtl/>
        </w:rPr>
        <w:t xml:space="preserve"> </w:t>
      </w:r>
      <w:r w:rsidR="00992664" w:rsidRPr="00020424">
        <w:rPr>
          <w:rtl/>
        </w:rPr>
        <w:t>من شمّه خلافاً على القوم ، وإن كان شمّه لا يفسد الصيام</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كأنّ كراهيته إنّما هي للتشبّه بهم ؛ فإنّهم كانوا كفّاراً</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207 ، ح 10705 ؛ </w:t>
      </w:r>
      <w:r w:rsidR="00992664" w:rsidRPr="0012008A">
        <w:rPr>
          <w:rStyle w:val="libFootnoteBoldChar"/>
          <w:rtl/>
        </w:rPr>
        <w:t>الوسائل</w:t>
      </w:r>
      <w:r w:rsidR="00992664" w:rsidRPr="00020424">
        <w:rPr>
          <w:rtl/>
        </w:rPr>
        <w:t xml:space="preserve"> ، ج 10 ، ص 92 ، ح 12926.</w:t>
      </w:r>
    </w:p>
    <w:tbl>
      <w:tblPr>
        <w:tblStyle w:val="TableGrid"/>
        <w:bidiVisual/>
        <w:tblW w:w="0" w:type="auto"/>
        <w:tblLook w:val="04A0" w:firstRow="1" w:lastRow="0" w:firstColumn="1" w:lastColumn="0" w:noHBand="0" w:noVBand="1"/>
      </w:tblPr>
      <w:tblGrid>
        <w:gridCol w:w="4214"/>
        <w:gridCol w:w="3798"/>
      </w:tblGrid>
      <w:tr w:rsidR="00F402A2" w:rsidTr="00F402A2">
        <w:tc>
          <w:tcPr>
            <w:tcW w:w="4214" w:type="dxa"/>
          </w:tcPr>
          <w:p w:rsidR="00F402A2" w:rsidRDefault="00F402A2" w:rsidP="00992664">
            <w:pPr>
              <w:pStyle w:val="libFootnote0"/>
              <w:rPr>
                <w:rtl/>
              </w:rPr>
            </w:pPr>
            <w:r>
              <w:rPr>
                <w:rtl/>
              </w:rPr>
              <w:t>(2).في«بر،بس»:«</w:t>
            </w:r>
            <w:r w:rsidRPr="00020424">
              <w:rPr>
                <w:rtl/>
              </w:rPr>
              <w:t>يطيب</w:t>
            </w:r>
            <w:r>
              <w:rPr>
                <w:rtl/>
              </w:rPr>
              <w:t>».وفي</w:t>
            </w:r>
            <w:r>
              <w:rPr>
                <w:rFonts w:hint="cs"/>
                <w:rtl/>
              </w:rPr>
              <w:t xml:space="preserve"> </w:t>
            </w:r>
            <w:r w:rsidRPr="00F402A2">
              <w:rPr>
                <w:rtl/>
              </w:rPr>
              <w:t>الوسائلوالخصال</w:t>
            </w:r>
            <w:r>
              <w:rPr>
                <w:rtl/>
              </w:rPr>
              <w:t>:«</w:t>
            </w:r>
            <w:r w:rsidRPr="00020424">
              <w:rPr>
                <w:rtl/>
              </w:rPr>
              <w:t>يتطيّب</w:t>
            </w:r>
            <w:r>
              <w:rPr>
                <w:rtl/>
              </w:rPr>
              <w:t>».</w:t>
            </w:r>
          </w:p>
        </w:tc>
        <w:tc>
          <w:tcPr>
            <w:tcW w:w="3798" w:type="dxa"/>
          </w:tcPr>
          <w:p w:rsidR="00F402A2" w:rsidRDefault="00F402A2" w:rsidP="00992664">
            <w:pPr>
              <w:pStyle w:val="libFootnote0"/>
              <w:rPr>
                <w:rtl/>
              </w:rPr>
            </w:pPr>
            <w:r>
              <w:rPr>
                <w:rtl/>
              </w:rPr>
              <w:t xml:space="preserve">(3). </w:t>
            </w:r>
            <w:r w:rsidRPr="00020424">
              <w:rPr>
                <w:rtl/>
              </w:rPr>
              <w:t>في « بث » :</w:t>
            </w:r>
            <w:r>
              <w:rPr>
                <w:rtl/>
              </w:rPr>
              <w:t xml:space="preserve"> - </w:t>
            </w:r>
            <w:r w:rsidRPr="00020424">
              <w:rPr>
                <w:rtl/>
              </w:rPr>
              <w:t>« بالطيب</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التحفة : الطُرْفة</w:t>
      </w:r>
      <w:r w:rsidR="00992664">
        <w:rPr>
          <w:rtl/>
        </w:rPr>
        <w:t xml:space="preserve"> </w:t>
      </w:r>
      <w:r w:rsidR="009B673F">
        <w:rPr>
          <w:rtl/>
        </w:rPr>
        <w:t>-</w:t>
      </w:r>
      <w:r w:rsidR="00992664">
        <w:rPr>
          <w:rtl/>
        </w:rPr>
        <w:t xml:space="preserve"> </w:t>
      </w:r>
      <w:r w:rsidR="00992664" w:rsidRPr="00020424">
        <w:rPr>
          <w:rtl/>
        </w:rPr>
        <w:t>وهو الحديث الجديد المستحسن ، وكلّ شي‌ء استحدثته فأعجبك</w:t>
      </w:r>
      <w:r w:rsidR="00992664">
        <w:rPr>
          <w:rtl/>
        </w:rPr>
        <w:t xml:space="preserve"> </w:t>
      </w:r>
      <w:r w:rsidR="009B673F">
        <w:rPr>
          <w:rtl/>
        </w:rPr>
        <w:t>-</w:t>
      </w:r>
      <w:r w:rsidR="00992664">
        <w:rPr>
          <w:rtl/>
        </w:rPr>
        <w:t xml:space="preserve"> </w:t>
      </w:r>
      <w:r w:rsidR="00992664" w:rsidRPr="00020424">
        <w:rPr>
          <w:rtl/>
        </w:rPr>
        <w:t xml:space="preserve">والبرّ واللطف. وقيل : التحفة : طرفة الفاكهة ، ثمّ تستعمل في غير الفاكهة من الألطاف والعطايا. راجع : </w:t>
      </w:r>
      <w:r w:rsidR="00992664" w:rsidRPr="0012008A">
        <w:rPr>
          <w:rStyle w:val="libFootnoteBoldChar"/>
          <w:rtl/>
        </w:rPr>
        <w:t>النهاية</w:t>
      </w:r>
      <w:r w:rsidR="00992664" w:rsidRPr="00020424">
        <w:rPr>
          <w:rtl/>
        </w:rPr>
        <w:t xml:space="preserve"> ، ج 1 ، ص 182 ؛ </w:t>
      </w:r>
      <w:r w:rsidR="00992664" w:rsidRPr="00A722B1">
        <w:rPr>
          <w:rStyle w:val="libFootnoteBoldChar"/>
          <w:rtl/>
        </w:rPr>
        <w:t>القاموس المحيط</w:t>
      </w:r>
      <w:r w:rsidR="00992664" w:rsidRPr="00020424">
        <w:rPr>
          <w:rtl/>
        </w:rPr>
        <w:t xml:space="preserve"> ، ج 2 ، ص 1060 ( تحف )</w:t>
      </w:r>
      <w:r w:rsidR="00992664">
        <w:rPr>
          <w:rtl/>
        </w:rPr>
        <w:t>.</w:t>
      </w:r>
    </w:p>
    <w:p w:rsidR="00992664" w:rsidRPr="00020424" w:rsidRDefault="00992664" w:rsidP="00992664">
      <w:pPr>
        <w:pStyle w:val="libFootnote0"/>
        <w:rPr>
          <w:rtl/>
          <w:lang w:bidi="fa-IR"/>
        </w:rPr>
      </w:pPr>
      <w:r w:rsidRPr="00F402A2">
        <w:rPr>
          <w:rtl/>
        </w:rPr>
        <w:t xml:space="preserve">وفي </w:t>
      </w:r>
      <w:r w:rsidRPr="00DE76B9">
        <w:rPr>
          <w:rStyle w:val="libFootnoteBoldChar"/>
          <w:rtl/>
        </w:rPr>
        <w:t>مرآة العقول</w:t>
      </w:r>
      <w:r w:rsidRPr="00F402A2">
        <w:rPr>
          <w:rtl/>
        </w:rPr>
        <w:t xml:space="preserve"> : « قوله </w:t>
      </w:r>
      <w:r w:rsidRPr="00D64ADA">
        <w:rPr>
          <w:rStyle w:val="libFootnoteAlaemChar"/>
          <w:rtl/>
        </w:rPr>
        <w:t>عليه‌السلام</w:t>
      </w:r>
      <w:r w:rsidRPr="006A1EEE">
        <w:rPr>
          <w:rtl/>
        </w:rPr>
        <w:t xml:space="preserve"> : تحفة الصائم ، أي يستحبّ أن يؤتى به للصائم ويتحف به ؛ لأنّه ينتفع به في حالة الصوم ، ولا ينتفع بغيره من المأكول والمشروب ؛ أو أتحف الله الصائم به بأنّه أحلّ له التلذّذ به في الصوم. ثمّ اعلم أنّ هذا الخبر يدلّ على عدم كراهة استعمال مطلق الطيب ، بل على استحبابه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265 ، ح 799 ، معلّقاً عن الكليني. </w:t>
      </w:r>
      <w:r w:rsidR="00992664" w:rsidRPr="0012008A">
        <w:rPr>
          <w:rStyle w:val="libFootnoteBoldChar"/>
          <w:rtl/>
        </w:rPr>
        <w:t>الفقيه</w:t>
      </w:r>
      <w:r w:rsidR="00992664" w:rsidRPr="00020424">
        <w:rPr>
          <w:rtl/>
        </w:rPr>
        <w:t xml:space="preserve"> ، ج 2 ، ص 112 ، ح 1872 ، معلّقاً عن الحسن بن راشد. </w:t>
      </w:r>
      <w:r w:rsidR="00992664" w:rsidRPr="00A722B1">
        <w:rPr>
          <w:rStyle w:val="libFootnoteBoldChar"/>
          <w:rtl/>
        </w:rPr>
        <w:t>الخصال</w:t>
      </w:r>
      <w:r w:rsidR="00992664" w:rsidRPr="00020424">
        <w:rPr>
          <w:rtl/>
        </w:rPr>
        <w:t xml:space="preserve"> ، ص 61 ، باب الاثنين ، ذيل ح 86 ، مرسلاً عن أبي عبدالله الحسين بن عليّ </w:t>
      </w:r>
      <w:r w:rsidR="00992664" w:rsidRPr="00D64ADA">
        <w:rPr>
          <w:rStyle w:val="libFootnoteAlaemChar"/>
          <w:rtl/>
        </w:rPr>
        <w:t>عليه‌السلام</w:t>
      </w:r>
      <w:r w:rsidR="00992664" w:rsidRPr="00020424">
        <w:rPr>
          <w:rtl/>
        </w:rPr>
        <w:t xml:space="preserve"> </w:t>
      </w:r>
      <w:r w:rsidR="006A1EEE">
        <w:rPr>
          <w:rFonts w:hint="cs"/>
          <w:rtl/>
        </w:rPr>
        <w:t>.</w:t>
      </w:r>
      <w:r w:rsidR="00992664" w:rsidRPr="0012008A">
        <w:rPr>
          <w:rStyle w:val="libFootnoteBoldChar"/>
          <w:rtl/>
        </w:rPr>
        <w:t>الوافي</w:t>
      </w:r>
      <w:r w:rsidR="00992664" w:rsidRPr="00020424">
        <w:rPr>
          <w:rtl/>
        </w:rPr>
        <w:t xml:space="preserve"> ، ج 11 ، ص 205 ، ح 10699 ؛ </w:t>
      </w:r>
      <w:r w:rsidR="00992664" w:rsidRPr="0012008A">
        <w:rPr>
          <w:rStyle w:val="libFootnoteBoldChar"/>
          <w:rtl/>
        </w:rPr>
        <w:t>الوسائل</w:t>
      </w:r>
      <w:r w:rsidR="00992664" w:rsidRPr="00020424">
        <w:rPr>
          <w:rtl/>
        </w:rPr>
        <w:t xml:space="preserve"> ، ج 10 ، ص 92 ، ح 12924 ؛ </w:t>
      </w:r>
      <w:r w:rsidR="00992664" w:rsidRPr="0012008A">
        <w:rPr>
          <w:rStyle w:val="libFootnoteBoldChar"/>
          <w:rtl/>
        </w:rPr>
        <w:t>البحار</w:t>
      </w:r>
      <w:r w:rsidR="00992664" w:rsidRPr="00020424">
        <w:rPr>
          <w:rtl/>
        </w:rPr>
        <w:t xml:space="preserve"> ، ج 47 ، ص 54 ، ح 89.</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800 </w:t>
      </w:r>
      <w:r w:rsidR="00992664" w:rsidRPr="006A1EEE">
        <w:rPr>
          <w:rtl/>
        </w:rPr>
        <w:t>والاستبصار</w:t>
      </w:r>
      <w:r w:rsidR="00992664" w:rsidRPr="00020424">
        <w:rPr>
          <w:rtl/>
        </w:rPr>
        <w:t xml:space="preserve"> ، ص 92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بأس به ، يدلّ على عدم كراهة شمّ الريحان ، وحمل على الجواز جمعاً ، لكن روايات الجواز التي ظاهرها عدم الكراهة أقوى سنداً ، ولذا مال بعض المحقّقين من المتأخّرين إلى عدم الكراهة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266 ، ح 800 ؛ </w:t>
      </w:r>
      <w:r w:rsidR="00992664" w:rsidRPr="00FD6221">
        <w:rPr>
          <w:rStyle w:val="libFootnoteBoldChar"/>
          <w:rtl/>
        </w:rPr>
        <w:t>والاستبصار</w:t>
      </w:r>
      <w:r w:rsidR="00992664" w:rsidRPr="00020424">
        <w:rPr>
          <w:rtl/>
        </w:rPr>
        <w:t xml:space="preserve"> ، ج 2 ، ص 92 ، ح 296 ، معلّقاً عن الكليني. وفي </w:t>
      </w:r>
      <w:r w:rsidR="00992664" w:rsidRPr="0012008A">
        <w:rPr>
          <w:rStyle w:val="libFootnoteBoldChar"/>
          <w:rtl/>
        </w:rPr>
        <w:t>التهذيب</w:t>
      </w:r>
      <w:r w:rsidR="00992664" w:rsidRPr="00020424">
        <w:rPr>
          <w:rtl/>
        </w:rPr>
        <w:t xml:space="preserve"> ، </w:t>
      </w:r>
      <w:r w:rsidR="006A1EEE">
        <w:rPr>
          <w:rFonts w:hint="cs"/>
          <w:rtl/>
        </w:rPr>
        <w:t>=</w:t>
      </w:r>
    </w:p>
    <w:p w:rsidR="00795177" w:rsidRDefault="00795177" w:rsidP="00795177">
      <w:pPr>
        <w:pStyle w:val="libNormal"/>
        <w:rPr>
          <w:rtl/>
          <w:lang w:bidi="fa-IR"/>
        </w:rPr>
      </w:pPr>
      <w:r>
        <w:rPr>
          <w:rtl/>
          <w:lang w:bidi="fa-IR"/>
        </w:rPr>
        <w:br w:type="page"/>
      </w:r>
    </w:p>
    <w:p w:rsidR="00992664" w:rsidRPr="00020424" w:rsidRDefault="006A1EEE" w:rsidP="006A1EEE">
      <w:pPr>
        <w:pStyle w:val="libNormal"/>
        <w:rPr>
          <w:rtl/>
          <w:lang w:bidi="fa-IR"/>
        </w:rPr>
      </w:pPr>
      <w:r>
        <w:rPr>
          <w:rFonts w:hint="cs"/>
          <w:rtl/>
          <w:lang w:bidi="fa-IR"/>
        </w:rPr>
        <w:t xml:space="preserve">* </w:t>
      </w:r>
      <w:r w:rsidR="00992664" w:rsidRPr="00020424">
        <w:rPr>
          <w:rtl/>
          <w:lang w:bidi="fa-IR"/>
        </w:rPr>
        <w:t xml:space="preserve">وَرُوِيَ : أَنَّهُ لَايَشَمُّ الرَّيْحَانَ ؛ لِأَنَّهُ يُكْرَهُ لَهُ أَنْ يَتَلَذَّذَ بِهِ </w:t>
      </w:r>
      <w:r w:rsidR="00992664" w:rsidRPr="00A91B96">
        <w:rPr>
          <w:rStyle w:val="libFootnotenumChar"/>
          <w:rtl/>
        </w:rPr>
        <w:t>(1)</w:t>
      </w:r>
      <w:r>
        <w:rPr>
          <w:rFonts w:hint="cs"/>
          <w:rtl/>
          <w:lang w:bidi="fa-IR"/>
        </w:rPr>
        <w:t>.</w:t>
      </w:r>
      <w:r w:rsidR="00992664" w:rsidRPr="00A91B96">
        <w:rPr>
          <w:rStyle w:val="libFootnotenumChar"/>
          <w:rtl/>
        </w:rPr>
        <w:t>(2)</w:t>
      </w:r>
      <w:r w:rsidR="00992664" w:rsidRPr="00020424">
        <w:rPr>
          <w:rtl/>
          <w:lang w:bidi="fa-IR"/>
        </w:rPr>
        <w:t xml:space="preserve"> ‌</w:t>
      </w:r>
    </w:p>
    <w:p w:rsidR="00992664" w:rsidRPr="00020424" w:rsidRDefault="00992664" w:rsidP="00992664">
      <w:pPr>
        <w:pStyle w:val="libNormal"/>
        <w:rPr>
          <w:rtl/>
          <w:lang w:bidi="fa-IR"/>
        </w:rPr>
      </w:pPr>
      <w:r w:rsidRPr="00465EEC">
        <w:rPr>
          <w:rtl/>
        </w:rPr>
        <w:t>6436</w:t>
      </w:r>
      <w:r w:rsidRPr="001155DE">
        <w:rPr>
          <w:rStyle w:val="libBold2Char"/>
          <w:rtl/>
        </w:rPr>
        <w:t xml:space="preserve"> / 5.</w:t>
      </w:r>
      <w:r w:rsidRPr="00020424">
        <w:rPr>
          <w:rtl/>
          <w:lang w:bidi="fa-IR"/>
        </w:rPr>
        <w:t xml:space="preserve"> عَلِيُّ بْنُ إِبْرَاهِيمَ ، عَنْ أَبِيهِ ، عَنِ ابْنِ أَبِي عُمَيْرٍ </w:t>
      </w:r>
      <w:r w:rsidRPr="00A91B96">
        <w:rPr>
          <w:rStyle w:val="libFootnotenumChar"/>
          <w:rtl/>
        </w:rPr>
        <w:t>(3)</w:t>
      </w:r>
      <w:r w:rsidRPr="00020424">
        <w:rPr>
          <w:rtl/>
          <w:lang w:bidi="fa-IR"/>
        </w:rPr>
        <w:t xml:space="preserve"> ، عَنِ</w:t>
      </w:r>
      <w:r w:rsidR="006A1EEE">
        <w:rPr>
          <w:rtl/>
          <w:lang w:bidi="fa-IR"/>
        </w:rPr>
        <w:t xml:space="preserve"> الْحَسَنِ بْنِ رَاشِدٍ ،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الْحَائِضُ تَقْضِي الصَّلَاةَ</w:t>
      </w:r>
      <w:r>
        <w:rPr>
          <w:rtl/>
          <w:lang w:bidi="fa-IR"/>
        </w:rPr>
        <w:t>؟</w:t>
      </w:r>
      <w:r w:rsidRPr="00020424">
        <w:rPr>
          <w:rtl/>
          <w:lang w:bidi="fa-IR"/>
        </w:rPr>
        <w:t xml:space="preserve"> قَالَ : « لَا</w:t>
      </w:r>
      <w:r>
        <w:rPr>
          <w:rtl/>
          <w:lang w:bidi="fa-IR"/>
        </w:rPr>
        <w:t xml:space="preserve"> ».</w:t>
      </w:r>
    </w:p>
    <w:p w:rsidR="00992664" w:rsidRPr="00020424" w:rsidRDefault="00992664" w:rsidP="00992664">
      <w:pPr>
        <w:pStyle w:val="libNormal"/>
        <w:rPr>
          <w:rtl/>
          <w:lang w:bidi="fa-IR"/>
        </w:rPr>
      </w:pPr>
      <w:r w:rsidRPr="00020424">
        <w:rPr>
          <w:rtl/>
          <w:lang w:bidi="fa-IR"/>
        </w:rPr>
        <w:t>قُلْتُ : تَقْضِي الصَّوْمَ</w:t>
      </w:r>
      <w:r>
        <w:rPr>
          <w:rtl/>
          <w:lang w:bidi="fa-IR"/>
        </w:rPr>
        <w:t>؟</w:t>
      </w:r>
      <w:r w:rsidRPr="00020424">
        <w:rPr>
          <w:rtl/>
          <w:lang w:bidi="fa-IR"/>
        </w:rPr>
        <w:t xml:space="preserve"> قَالَ : « نَعَمْ » </w:t>
      </w:r>
      <w:r w:rsidRPr="00A91B96">
        <w:rPr>
          <w:rStyle w:val="libFootnotenumChar"/>
          <w:rtl/>
        </w:rPr>
        <w:t>(4)</w:t>
      </w:r>
    </w:p>
    <w:p w:rsidR="00992664" w:rsidRPr="00020424" w:rsidRDefault="00992664" w:rsidP="00992664">
      <w:pPr>
        <w:pStyle w:val="libNormal"/>
        <w:rPr>
          <w:rtl/>
          <w:lang w:bidi="fa-IR"/>
        </w:rPr>
      </w:pPr>
      <w:r w:rsidRPr="00020424">
        <w:rPr>
          <w:rtl/>
          <w:lang w:bidi="fa-IR"/>
        </w:rPr>
        <w:t xml:space="preserve">قُلْتُ : مِنْ أَيْنَ جَاءَ ذَا </w:t>
      </w:r>
      <w:r w:rsidRPr="00A91B96">
        <w:rPr>
          <w:rStyle w:val="libFootnotenumChar"/>
          <w:rtl/>
        </w:rPr>
        <w:t>(5)</w:t>
      </w:r>
      <w:r>
        <w:rPr>
          <w:rtl/>
          <w:lang w:bidi="fa-IR"/>
        </w:rPr>
        <w:t>؟</w:t>
      </w:r>
      <w:r w:rsidRPr="00020424">
        <w:rPr>
          <w:rtl/>
          <w:lang w:bidi="fa-IR"/>
        </w:rPr>
        <w:t xml:space="preserve"> قَالَ : « إِنَّ </w:t>
      </w:r>
      <w:r w:rsidRPr="00A91B96">
        <w:rPr>
          <w:rStyle w:val="libFootnotenumChar"/>
          <w:rtl/>
        </w:rPr>
        <w:t>(6)</w:t>
      </w:r>
      <w:r w:rsidRPr="00020424">
        <w:rPr>
          <w:rtl/>
          <w:lang w:bidi="fa-IR"/>
        </w:rPr>
        <w:t xml:space="preserve"> أَوَّلَ مَنْ قَاسَ إِبْلِيسُ</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وَالصَّائِمُ </w:t>
      </w:r>
      <w:r w:rsidRPr="00A91B96">
        <w:rPr>
          <w:rStyle w:val="libFootnotenumChar"/>
          <w:rtl/>
        </w:rPr>
        <w:t>(7)</w:t>
      </w:r>
      <w:r w:rsidRPr="00020424">
        <w:rPr>
          <w:rtl/>
          <w:lang w:bidi="fa-IR"/>
        </w:rPr>
        <w:t xml:space="preserve"> يَسْتَنْقِعُ فِي الْمَاءِ </w:t>
      </w:r>
      <w:r w:rsidRPr="00A91B96">
        <w:rPr>
          <w:rStyle w:val="libFootnotenumChar"/>
          <w:rtl/>
        </w:rPr>
        <w:t>(8)</w:t>
      </w:r>
      <w:r>
        <w:rPr>
          <w:rtl/>
          <w:lang w:bidi="fa-IR"/>
        </w:rPr>
        <w:t>؟</w:t>
      </w:r>
      <w:r w:rsidRPr="00020424">
        <w:rPr>
          <w:rtl/>
          <w:lang w:bidi="fa-IR"/>
        </w:rPr>
        <w:t xml:space="preserve"> قَالَ : « نَعَمْ</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6A1EEE" w:rsidP="00992664">
      <w:pPr>
        <w:pStyle w:val="libFootnote0"/>
        <w:rPr>
          <w:rtl/>
          <w:lang w:bidi="fa-IR"/>
        </w:rPr>
      </w:pPr>
      <w:r>
        <w:rPr>
          <w:rFonts w:hint="cs"/>
          <w:rtl/>
        </w:rPr>
        <w:t xml:space="preserve">= </w:t>
      </w:r>
      <w:r w:rsidR="00992664" w:rsidRPr="00020424">
        <w:rPr>
          <w:rtl/>
        </w:rPr>
        <w:t xml:space="preserve">ج 4 ، ص 266 ، ح 802 ؛ </w:t>
      </w:r>
      <w:r w:rsidR="00992664" w:rsidRPr="00FD6221">
        <w:rPr>
          <w:rStyle w:val="libFootnoteBoldChar"/>
          <w:rtl/>
        </w:rPr>
        <w:t>والاستبصار</w:t>
      </w:r>
      <w:r w:rsidR="00992664" w:rsidRPr="00020424">
        <w:rPr>
          <w:rtl/>
        </w:rPr>
        <w:t xml:space="preserve"> ، ج 2 ، ص 93 ، ح 297 ، بسند آخر عن أبي الحسن الرضا </w:t>
      </w:r>
      <w:r w:rsidR="00992664" w:rsidRPr="00D64ADA">
        <w:rPr>
          <w:rStyle w:val="libFootnoteAlaemChar"/>
          <w:rtl/>
        </w:rPr>
        <w:t>عليه‌السلام</w:t>
      </w:r>
      <w:r w:rsidR="00992664" w:rsidRPr="00020424">
        <w:rPr>
          <w:rtl/>
        </w:rPr>
        <w:t xml:space="preserve"> ، مع اختلاف يسير ؛ </w:t>
      </w:r>
      <w:r w:rsidR="00992664" w:rsidRPr="0012008A">
        <w:rPr>
          <w:rStyle w:val="libFootnoteBoldChar"/>
          <w:rtl/>
        </w:rPr>
        <w:t>التهذيب</w:t>
      </w:r>
      <w:r w:rsidR="00992664" w:rsidRPr="00020424">
        <w:rPr>
          <w:rtl/>
        </w:rPr>
        <w:t xml:space="preserve"> ، ج 4 ، ص 265 ، ح 798 ، بسند آخر ، وتمام الرواية فيه : « الصائم يدّهن بالطيب ويشمّ الريحان » </w:t>
      </w:r>
      <w:r>
        <w:rPr>
          <w:rFonts w:hint="cs"/>
          <w:rtl/>
        </w:rPr>
        <w:t>.</w:t>
      </w:r>
      <w:r w:rsidR="00992664" w:rsidRPr="0012008A">
        <w:rPr>
          <w:rStyle w:val="libFootnoteBoldChar"/>
          <w:rtl/>
        </w:rPr>
        <w:t>الوافي</w:t>
      </w:r>
      <w:r w:rsidR="00992664" w:rsidRPr="00020424">
        <w:rPr>
          <w:rtl/>
        </w:rPr>
        <w:t xml:space="preserve"> ، ج 11 ، ص 206 ، ح 10702 ؛ </w:t>
      </w:r>
      <w:r w:rsidR="00992664" w:rsidRPr="0012008A">
        <w:rPr>
          <w:rStyle w:val="libFootnoteBoldChar"/>
          <w:rtl/>
        </w:rPr>
        <w:t>الوسائل</w:t>
      </w:r>
      <w:r w:rsidR="00992664" w:rsidRPr="00020424">
        <w:rPr>
          <w:rtl/>
        </w:rPr>
        <w:t xml:space="preserve"> ، ج 10 ، ص 91 ، ح 12922.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يكره له أن يتلذّذ ، جعل الشهيد </w:t>
      </w:r>
      <w:r w:rsidR="00D64ADA" w:rsidRPr="00D64ADA">
        <w:rPr>
          <w:rStyle w:val="libFootnoteAlaemChar"/>
          <w:rtl/>
        </w:rPr>
        <w:t>رحمه‌الله</w:t>
      </w:r>
      <w:r w:rsidR="00992664" w:rsidRPr="00020424">
        <w:rPr>
          <w:rtl/>
        </w:rPr>
        <w:t xml:space="preserve"> في </w:t>
      </w:r>
      <w:r w:rsidR="00992664" w:rsidRPr="006A1EEE">
        <w:rPr>
          <w:rtl/>
        </w:rPr>
        <w:t>الدروس</w:t>
      </w:r>
      <w:r w:rsidR="00992664" w:rsidRPr="00020424">
        <w:rPr>
          <w:rtl/>
        </w:rPr>
        <w:t xml:space="preserve"> هذا التعليل مؤيّداً لكراهة المسك ، ولعلّه مخصوص بالتلذّذ الحاصل من الريحان</w:t>
      </w:r>
      <w:r w:rsidR="00992664">
        <w:rPr>
          <w:rtl/>
        </w:rPr>
        <w:t xml:space="preserve"> ».</w:t>
      </w:r>
      <w:r w:rsidR="00992664" w:rsidRPr="00020424">
        <w:rPr>
          <w:rtl/>
        </w:rPr>
        <w:t xml:space="preserve"> الموجود في </w:t>
      </w:r>
      <w:r w:rsidR="00992664" w:rsidRPr="00DE76B9">
        <w:rPr>
          <w:rStyle w:val="libFootnoteBoldChar"/>
          <w:rtl/>
        </w:rPr>
        <w:t>الدروس الشرعيّة</w:t>
      </w:r>
      <w:r w:rsidR="00992664" w:rsidRPr="00020424">
        <w:rPr>
          <w:rtl/>
        </w:rPr>
        <w:t xml:space="preserve"> ، ج 1 ، ص 279 ، ذيل الدرس 73 ، هكذا : « يكره</w:t>
      </w:r>
      <w:r w:rsidR="00992664">
        <w:rPr>
          <w:rtl/>
        </w:rPr>
        <w:t xml:space="preserve"> ..</w:t>
      </w:r>
      <w:r w:rsidR="00992664" w:rsidRPr="00020424">
        <w:rPr>
          <w:rtl/>
        </w:rPr>
        <w:t xml:space="preserve">. شمّ الرياحين وخصوصاً النرجس ، ولا يكره شمّ الطيب ، بل روي استحبابه للصائم ، وعن عليّ </w:t>
      </w:r>
      <w:r w:rsidR="00992664" w:rsidRPr="00D64ADA">
        <w:rPr>
          <w:rStyle w:val="libFootnoteAlaemChar"/>
          <w:rtl/>
        </w:rPr>
        <w:t>عليه‌السلام</w:t>
      </w:r>
      <w:r w:rsidR="00992664" w:rsidRPr="00020424">
        <w:rPr>
          <w:rtl/>
        </w:rPr>
        <w:t xml:space="preserve"> بطريق غياث كراهة المسك ، نعم في رواية الحسن بن راشد تعليل شمّ الرياحين باللذّة وأنّها مكروهة للصائم</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علل الشرائع</w:t>
      </w:r>
      <w:r w:rsidR="00992664" w:rsidRPr="00020424">
        <w:rPr>
          <w:rtl/>
        </w:rPr>
        <w:t xml:space="preserve"> ، ص 383 ، ح 2 ، بسنده عن أبي عبدالله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الفقيه</w:t>
      </w:r>
      <w:r w:rsidR="00992664" w:rsidRPr="00020424">
        <w:rPr>
          <w:rtl/>
        </w:rPr>
        <w:t xml:space="preserve"> ، ج 2 ، ص 114 ، ح 1880 ، مرسلاً ، وفيهما مع اختلاف يسير. راجع : </w:t>
      </w:r>
      <w:r w:rsidR="00992664" w:rsidRPr="0012008A">
        <w:rPr>
          <w:rStyle w:val="libFootnoteBoldChar"/>
          <w:rtl/>
        </w:rPr>
        <w:t>التهذيب</w:t>
      </w:r>
      <w:r w:rsidR="00992664" w:rsidRPr="00020424">
        <w:rPr>
          <w:rtl/>
        </w:rPr>
        <w:t xml:space="preserve"> ، ج 4 ، ص 266 ، ح 803 ؛ </w:t>
      </w:r>
      <w:r w:rsidR="00992664" w:rsidRPr="00FD6221">
        <w:rPr>
          <w:rStyle w:val="libFootnoteBoldChar"/>
          <w:rtl/>
        </w:rPr>
        <w:t>والاستبصار</w:t>
      </w:r>
      <w:r w:rsidR="00992664" w:rsidRPr="00020424">
        <w:rPr>
          <w:rtl/>
        </w:rPr>
        <w:t xml:space="preserve"> ، ج 2 ، ص 93 ، ح 298 </w:t>
      </w:r>
      <w:r w:rsidR="006A1EEE">
        <w:rPr>
          <w:rFonts w:hint="cs"/>
          <w:rtl/>
        </w:rPr>
        <w:t>.</w:t>
      </w:r>
      <w:r w:rsidR="00992664" w:rsidRPr="0012008A">
        <w:rPr>
          <w:rStyle w:val="libFootnoteBoldChar"/>
          <w:rtl/>
        </w:rPr>
        <w:t>الوافي</w:t>
      </w:r>
      <w:r w:rsidR="00992664" w:rsidRPr="00020424">
        <w:rPr>
          <w:rtl/>
        </w:rPr>
        <w:t xml:space="preserve"> ، ج 11 ، ص 206 ، ح 10703 ؛ </w:t>
      </w:r>
      <w:r w:rsidR="00992664" w:rsidRPr="0012008A">
        <w:rPr>
          <w:rStyle w:val="libFootnoteBoldChar"/>
          <w:rtl/>
        </w:rPr>
        <w:t>الوسائل</w:t>
      </w:r>
      <w:r w:rsidR="00992664" w:rsidRPr="00020424">
        <w:rPr>
          <w:rtl/>
        </w:rPr>
        <w:t xml:space="preserve"> ، ج 10 ، ص 92 ، ح 12923.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الكافي ، ح 6535 :</w:t>
      </w:r>
      <w:r w:rsidR="00992664">
        <w:rPr>
          <w:rtl/>
        </w:rPr>
        <w:t xml:space="preserve"> </w:t>
      </w:r>
      <w:r w:rsidR="009B673F">
        <w:rPr>
          <w:rtl/>
        </w:rPr>
        <w:t>-</w:t>
      </w:r>
      <w:r w:rsidR="00992664">
        <w:rPr>
          <w:rtl/>
        </w:rPr>
        <w:t xml:space="preserve"> </w:t>
      </w:r>
      <w:r w:rsidR="00992664" w:rsidRPr="00020424">
        <w:rPr>
          <w:rtl/>
        </w:rPr>
        <w:t>« عن ابن أبي عمير » ، ويأتي أنّ الظاهر وقوع السقط هناك.</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الكافي ، ح 6535 : « تقضي الصوم</w:t>
      </w:r>
      <w:r w:rsidR="00992664">
        <w:rPr>
          <w:rtl/>
        </w:rPr>
        <w:t>؟</w:t>
      </w:r>
      <w:r w:rsidR="00992664" w:rsidRPr="00020424">
        <w:rPr>
          <w:rtl/>
        </w:rPr>
        <w:t xml:space="preserve"> قال : نعم ، قلت : تقضي الصلاة</w:t>
      </w:r>
      <w:r w:rsidR="00992664">
        <w:rPr>
          <w:rtl/>
        </w:rPr>
        <w:t>؟</w:t>
      </w:r>
      <w:r w:rsidR="00992664" w:rsidRPr="00020424">
        <w:rPr>
          <w:rtl/>
        </w:rPr>
        <w:t xml:space="preserve"> قال : لا » بدل « تقضي الصلاة</w:t>
      </w:r>
      <w:r w:rsidR="00992664">
        <w:rPr>
          <w:rtl/>
        </w:rPr>
        <w:t>؟</w:t>
      </w:r>
      <w:r w:rsidR="00992664" w:rsidRPr="00020424">
        <w:rPr>
          <w:rtl/>
        </w:rPr>
        <w:t xml:space="preserve"> قال : لا ، قلت : تقضي الصوم</w:t>
      </w:r>
      <w:r w:rsidR="00992664">
        <w:rPr>
          <w:rtl/>
        </w:rPr>
        <w:t>؟</w:t>
      </w:r>
      <w:r w:rsidR="00992664" w:rsidRPr="00020424">
        <w:rPr>
          <w:rtl/>
        </w:rPr>
        <w:t xml:space="preserve"> قال : نعم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حاشية « بث » </w:t>
      </w:r>
      <w:r w:rsidR="00992664" w:rsidRPr="006A1EEE">
        <w:rPr>
          <w:rtl/>
        </w:rPr>
        <w:t>والوافي والوسائل</w:t>
      </w:r>
      <w:r w:rsidR="00992664" w:rsidRPr="00020424">
        <w:rPr>
          <w:rtl/>
        </w:rPr>
        <w:t xml:space="preserve"> ، ح 2329 والكافي ، ح 4219 و6535 </w:t>
      </w:r>
      <w:r w:rsidR="00992664" w:rsidRPr="006A1EEE">
        <w:rPr>
          <w:rtl/>
        </w:rPr>
        <w:t>والتهذيب</w:t>
      </w:r>
      <w:r w:rsidR="00992664" w:rsidRPr="00020424">
        <w:rPr>
          <w:rtl/>
        </w:rPr>
        <w:t xml:space="preserve"> ، ح 807 </w:t>
      </w:r>
      <w:r w:rsidR="00992664" w:rsidRPr="00FD6221">
        <w:rPr>
          <w:rStyle w:val="libFootnoteBoldChar"/>
          <w:rtl/>
        </w:rPr>
        <w:t>والاستبصار</w:t>
      </w:r>
      <w:r w:rsidR="00992664" w:rsidRPr="00020424">
        <w:rPr>
          <w:rtl/>
        </w:rPr>
        <w:t xml:space="preserve"> ، ح 301 : « هذا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6A1EEE">
        <w:rPr>
          <w:rtl/>
        </w:rPr>
        <w:t>الوافي</w:t>
      </w:r>
      <w:r w:rsidR="00992664" w:rsidRPr="00020424">
        <w:rPr>
          <w:rtl/>
        </w:rPr>
        <w:t xml:space="preserve"> والكافي ، ح 6535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6A1EEE">
        <w:rPr>
          <w:rtl/>
        </w:rPr>
        <w:t>الوافي والاستبصار</w:t>
      </w:r>
      <w:r w:rsidR="00992664" w:rsidRPr="00020424">
        <w:rPr>
          <w:rtl/>
        </w:rPr>
        <w:t xml:space="preserve"> ، ح 301 : « فالصائم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الاستنقاع في الماء : النزول فيه ؛ يقال : استنقع في الغدير ، أي نزل فيه واغتسل ، كأنّه ثبت فيه ليتبرّد. قال </w:t>
      </w:r>
      <w:r w:rsidR="006A1EE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قُلْتُ : فَيَبُلُّ </w:t>
      </w:r>
      <w:r w:rsidRPr="00A91B96">
        <w:rPr>
          <w:rStyle w:val="libFootnotenumChar"/>
          <w:rtl/>
        </w:rPr>
        <w:t>(1)</w:t>
      </w:r>
      <w:r w:rsidRPr="00020424">
        <w:rPr>
          <w:rtl/>
          <w:lang w:bidi="fa-IR"/>
        </w:rPr>
        <w:t xml:space="preserve"> ثَوْباً عَلى جَسَدِهِ</w:t>
      </w:r>
      <w:r>
        <w:rPr>
          <w:rtl/>
          <w:lang w:bidi="fa-IR"/>
        </w:rPr>
        <w:t>؟</w:t>
      </w:r>
      <w:r w:rsidRPr="00020424">
        <w:rPr>
          <w:rtl/>
          <w:lang w:bidi="fa-IR"/>
        </w:rPr>
        <w:t xml:space="preserve"> قَالَ : « لَا</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مِنْ أَيْنَ جَاءَ ذَا </w:t>
      </w:r>
      <w:r w:rsidRPr="00A91B96">
        <w:rPr>
          <w:rStyle w:val="libFootnotenumChar"/>
          <w:rtl/>
        </w:rPr>
        <w:t>(2)</w:t>
      </w:r>
      <w:r>
        <w:rPr>
          <w:rtl/>
          <w:lang w:bidi="fa-IR"/>
        </w:rPr>
        <w:t>؟</w:t>
      </w:r>
      <w:r w:rsidRPr="00020424">
        <w:rPr>
          <w:rtl/>
          <w:lang w:bidi="fa-IR"/>
        </w:rPr>
        <w:t xml:space="preserve"> قَالَ : « مِنْ ذَاكَ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الصَّائِمُ </w:t>
      </w:r>
      <w:r w:rsidRPr="00A91B96">
        <w:rPr>
          <w:rStyle w:val="libFootnotenumChar"/>
          <w:rtl/>
        </w:rPr>
        <w:t>(4)</w:t>
      </w:r>
      <w:r w:rsidRPr="00020424">
        <w:rPr>
          <w:rtl/>
          <w:lang w:bidi="fa-IR"/>
        </w:rPr>
        <w:t xml:space="preserve"> يَشَمُّ الرَّيْحَانَ</w:t>
      </w:r>
      <w:r>
        <w:rPr>
          <w:rtl/>
          <w:lang w:bidi="fa-IR"/>
        </w:rPr>
        <w:t>؟</w:t>
      </w:r>
      <w:r w:rsidRPr="00020424">
        <w:rPr>
          <w:rtl/>
          <w:lang w:bidi="fa-IR"/>
        </w:rPr>
        <w:t xml:space="preserve"> قَالَ : « لَا ؛ لِأَنَّهُ لَذَّةٌ ، وَيُكْرَهُ لَهُ </w:t>
      </w:r>
      <w:r w:rsidRPr="00A91B96">
        <w:rPr>
          <w:rStyle w:val="libFootnotenumChar"/>
          <w:rtl/>
        </w:rPr>
        <w:t>(5)</w:t>
      </w:r>
      <w:r w:rsidRPr="00020424">
        <w:rPr>
          <w:rtl/>
          <w:lang w:bidi="fa-IR"/>
        </w:rPr>
        <w:t xml:space="preserve"> أَنْ يَتَلَذَّذَ</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397" w:name="_Toc345172848"/>
      <w:bookmarkStart w:id="398" w:name="_Toc464562665"/>
      <w:bookmarkStart w:id="399" w:name="_Toc44599969"/>
      <w:r w:rsidRPr="00020424">
        <w:rPr>
          <w:rtl/>
          <w:lang w:bidi="fa-IR"/>
        </w:rPr>
        <w:t>33</w:t>
      </w:r>
      <w:r>
        <w:rPr>
          <w:rtl/>
          <w:lang w:bidi="fa-IR"/>
        </w:rPr>
        <w:t xml:space="preserve"> </w:t>
      </w:r>
      <w:r w:rsidR="009B673F">
        <w:rPr>
          <w:rtl/>
          <w:lang w:bidi="fa-IR"/>
        </w:rPr>
        <w:t>-</w:t>
      </w:r>
      <w:r>
        <w:rPr>
          <w:rtl/>
          <w:lang w:bidi="fa-IR"/>
        </w:rPr>
        <w:t xml:space="preserve"> </w:t>
      </w:r>
      <w:r w:rsidRPr="00020424">
        <w:rPr>
          <w:rtl/>
          <w:lang w:bidi="fa-IR"/>
        </w:rPr>
        <w:t>بَابُ مَضْغِ الْعِلْكِ لِلصَّائِمِ‌</w:t>
      </w:r>
      <w:bookmarkEnd w:id="397"/>
      <w:bookmarkEnd w:id="398"/>
      <w:bookmarkEnd w:id="399"/>
    </w:p>
    <w:p w:rsidR="00992664" w:rsidRPr="00020424" w:rsidRDefault="00992664" w:rsidP="00992664">
      <w:pPr>
        <w:pStyle w:val="libNormal"/>
        <w:rPr>
          <w:rtl/>
          <w:lang w:bidi="fa-IR"/>
        </w:rPr>
      </w:pPr>
      <w:r w:rsidRPr="00465EEC">
        <w:rPr>
          <w:rtl/>
        </w:rPr>
        <w:t>6437</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 الصَّائِمُ يَمْضَغُ الْعِلْكَ </w:t>
      </w:r>
      <w:r w:rsidRPr="00A91B96">
        <w:rPr>
          <w:rStyle w:val="libFootnotenumChar"/>
          <w:rtl/>
        </w:rPr>
        <w:t>(7)</w:t>
      </w:r>
      <w:r>
        <w:rPr>
          <w:rtl/>
          <w:lang w:bidi="fa-IR"/>
        </w:rPr>
        <w:t>؟</w:t>
      </w:r>
      <w:r w:rsidRPr="00020424">
        <w:rPr>
          <w:rtl/>
          <w:lang w:bidi="fa-IR"/>
        </w:rPr>
        <w:t xml:space="preserve"> قَالَ :</w:t>
      </w:r>
      <w:r w:rsidR="006A1EEE">
        <w:rPr>
          <w:rFonts w:hint="cs"/>
          <w:rtl/>
          <w:lang w:bidi="fa-IR"/>
        </w:rPr>
        <w:t xml:space="preserve">            </w:t>
      </w:r>
      <w:r w:rsidR="006A1EEE">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6A1EEE" w:rsidP="00992664">
      <w:pPr>
        <w:pStyle w:val="libFootnote0"/>
        <w:rPr>
          <w:rtl/>
          <w:lang w:bidi="fa-IR"/>
        </w:rPr>
      </w:pPr>
      <w:r>
        <w:rPr>
          <w:rFonts w:hint="cs"/>
          <w:rtl/>
        </w:rPr>
        <w:t xml:space="preserve">= </w:t>
      </w:r>
      <w:r>
        <w:rPr>
          <w:rtl/>
        </w:rPr>
        <w:t>العل</w:t>
      </w:r>
      <w:r>
        <w:rPr>
          <w:rFonts w:hint="cs"/>
          <w:rtl/>
        </w:rPr>
        <w:t>ّ</w:t>
      </w:r>
      <w:r>
        <w:rPr>
          <w:rtl/>
        </w:rPr>
        <w:t>ا</w:t>
      </w:r>
      <w:r w:rsidR="00992664" w:rsidRPr="00020424">
        <w:rPr>
          <w:rtl/>
        </w:rPr>
        <w:t>مة المجلسي : « الاستنقاع كما يظهر من كتب اللغة : النزول في الماء واللبس فيه ، وعبّر عنه أكثر الأصحاب بالجلوس فيه ، وهو أخصّ من المعنى اللغوي ، وعلى التقديرين هو مكروه للمرأة دون الرجال</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1294 ؛ </w:t>
      </w:r>
      <w:r w:rsidR="00992664" w:rsidRPr="00A722B1">
        <w:rPr>
          <w:rStyle w:val="libFootnoteBoldChar"/>
          <w:rtl/>
        </w:rPr>
        <w:t>القاموس المحيط</w:t>
      </w:r>
      <w:r w:rsidR="00992664" w:rsidRPr="00020424">
        <w:rPr>
          <w:rtl/>
        </w:rPr>
        <w:t xml:space="preserve"> ، ج 2 ، ص 1028 ( نقع ) ؛ </w:t>
      </w:r>
      <w:r w:rsidR="00992664" w:rsidRPr="00DE76B9">
        <w:rPr>
          <w:rStyle w:val="libFootnoteBoldChar"/>
          <w:rtl/>
        </w:rPr>
        <w:t>مرآة العقول</w:t>
      </w:r>
      <w:r w:rsidR="00992664" w:rsidRPr="00020424">
        <w:rPr>
          <w:rtl/>
        </w:rPr>
        <w:t xml:space="preserve"> ، ج 16 ، ص 281.</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الاستبصار : « أفيبلّ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6A1EEE">
        <w:rPr>
          <w:rtl/>
        </w:rPr>
        <w:t>الوافي والتهذيب</w:t>
      </w:r>
      <w:r w:rsidR="00992664" w:rsidRPr="00020424">
        <w:rPr>
          <w:rtl/>
        </w:rPr>
        <w:t xml:space="preserve"> ، ح 807 </w:t>
      </w:r>
      <w:r w:rsidR="00992664" w:rsidRPr="006A1EEE">
        <w:rPr>
          <w:rtl/>
        </w:rPr>
        <w:t xml:space="preserve">والاستبصار </w:t>
      </w:r>
      <w:r w:rsidR="00992664" w:rsidRPr="00020424">
        <w:rPr>
          <w:rtl/>
        </w:rPr>
        <w:t>، ح 301 : « هذا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807 : « ذلك</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من ذاك ، أي ممّا أنبأتك عليه من عدم تطرّق القياس في دين الله ووجوب التسليم في كلّ ما ورد من الشارع</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والصائم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بخ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الكافي</w:t>
      </w:r>
      <w:r w:rsidR="00992664" w:rsidRPr="00020424">
        <w:rPr>
          <w:rtl/>
        </w:rPr>
        <w:t xml:space="preserve"> ، كتاب الحيض ، باب الحائض تقضي الصوم ولا تقضي الصلاة ، ح 4219 ؛ وكتاب الصيام ، باب صوم الحائض والمستحاضة ، ح 6535. وفي </w:t>
      </w:r>
      <w:r w:rsidR="00992664" w:rsidRPr="0012008A">
        <w:rPr>
          <w:rStyle w:val="libFootnoteBoldChar"/>
          <w:rtl/>
        </w:rPr>
        <w:t>التهذيب</w:t>
      </w:r>
      <w:r w:rsidR="00992664" w:rsidRPr="00020424">
        <w:rPr>
          <w:rtl/>
        </w:rPr>
        <w:t xml:space="preserve"> ، ج 1 ، ص 160 ، ح 458 ، بسنده عن الكليني ، وفي كلّها إلى قوله : « أوّل من قاس إبليس</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 ص 267 ، ح 807 ؛ </w:t>
      </w:r>
      <w:r w:rsidR="00992664" w:rsidRPr="00FD6221">
        <w:rPr>
          <w:rStyle w:val="libFootnoteBoldChar"/>
          <w:rtl/>
        </w:rPr>
        <w:t>والاستبصار</w:t>
      </w:r>
      <w:r w:rsidR="00992664" w:rsidRPr="00020424">
        <w:rPr>
          <w:rtl/>
        </w:rPr>
        <w:t xml:space="preserve"> ، ج 2 ، ص 93 ، ح 301 ، معلّقاً عن الكليني. وفي </w:t>
      </w:r>
      <w:r w:rsidR="00992664" w:rsidRPr="0012008A">
        <w:rPr>
          <w:rStyle w:val="libFootnoteBoldChar"/>
          <w:rtl/>
        </w:rPr>
        <w:t>التهذيب</w:t>
      </w:r>
      <w:r w:rsidR="00992664" w:rsidRPr="00020424">
        <w:rPr>
          <w:rtl/>
        </w:rPr>
        <w:t xml:space="preserve"> ، ج 4 ، ص 267 ، ح 805 ؛ </w:t>
      </w:r>
      <w:r w:rsidR="00992664" w:rsidRPr="00FD6221">
        <w:rPr>
          <w:rStyle w:val="libFootnoteBoldChar"/>
          <w:rtl/>
        </w:rPr>
        <w:t>والاستبصار</w:t>
      </w:r>
      <w:r w:rsidR="00992664" w:rsidRPr="00020424">
        <w:rPr>
          <w:rtl/>
        </w:rPr>
        <w:t xml:space="preserve"> ، ج 2 ، ص 93 ، ح 299 ، تمام الرواية هكذا : « الصائم لايشمّ الريحان » ؛ علل الشرائع ، ص 383 ، ح 2 ، من قوله : « قلت : الصائم يشمّ الريحان » مع اختلاف يسير ، وفي الثلاثة الأخيرة بسند آخر عن الحسن بن راشد. راجع : </w:t>
      </w:r>
      <w:r w:rsidR="00992664" w:rsidRPr="00DE76B9">
        <w:rPr>
          <w:rStyle w:val="libFootnoteBoldChar"/>
          <w:rtl/>
        </w:rPr>
        <w:t>الكافي</w:t>
      </w:r>
      <w:r w:rsidR="00992664" w:rsidRPr="00020424">
        <w:rPr>
          <w:rtl/>
        </w:rPr>
        <w:t xml:space="preserve"> ، كتاب فضل العلم ، باب البدع والرأي والمقاييس ، ح 175 ؛ </w:t>
      </w:r>
      <w:r w:rsidR="00992664" w:rsidRPr="00FD6221">
        <w:rPr>
          <w:rStyle w:val="libFootnoteBoldChar"/>
          <w:rtl/>
        </w:rPr>
        <w:t>والفقيه</w:t>
      </w:r>
      <w:r w:rsidR="00992664" w:rsidRPr="00020424">
        <w:rPr>
          <w:rtl/>
        </w:rPr>
        <w:t xml:space="preserve"> ، ج 1 ، ص 91 ، ح 197 ؛ و</w:t>
      </w:r>
      <w:r w:rsidR="00D64ADA" w:rsidRPr="00D64ADA">
        <w:rPr>
          <w:rStyle w:val="libFootnoteBoldChar"/>
          <w:rtl/>
        </w:rPr>
        <w:t>المحاسن</w:t>
      </w:r>
      <w:r w:rsidR="00992664" w:rsidRPr="00020424">
        <w:rPr>
          <w:rtl/>
        </w:rPr>
        <w:t xml:space="preserve"> ، ص 214 ، ح 96 و97 ؛ </w:t>
      </w:r>
      <w:r w:rsidR="00992664" w:rsidRPr="00515444">
        <w:rPr>
          <w:rStyle w:val="libFootnoteBoldChar"/>
          <w:rtl/>
        </w:rPr>
        <w:t>وعلل الشرائع</w:t>
      </w:r>
      <w:r w:rsidR="00992664" w:rsidRPr="00020424">
        <w:rPr>
          <w:rtl/>
        </w:rPr>
        <w:t xml:space="preserve"> ، ص 86 ، ح 2 </w:t>
      </w:r>
      <w:r w:rsidR="00D45A62">
        <w:rPr>
          <w:rFonts w:hint="cs"/>
          <w:rtl/>
        </w:rPr>
        <w:t>.</w:t>
      </w:r>
      <w:r w:rsidR="00992664" w:rsidRPr="0012008A">
        <w:rPr>
          <w:rStyle w:val="libFootnoteBoldChar"/>
          <w:rtl/>
        </w:rPr>
        <w:t>الوافي</w:t>
      </w:r>
      <w:r w:rsidR="00992664" w:rsidRPr="00020424">
        <w:rPr>
          <w:rtl/>
        </w:rPr>
        <w:t xml:space="preserve"> ، ج 11 ، ص 206 ، ح 10704 ؛ </w:t>
      </w:r>
      <w:r w:rsidR="00992664" w:rsidRPr="0012008A">
        <w:rPr>
          <w:rStyle w:val="libFootnoteBoldChar"/>
          <w:rtl/>
        </w:rPr>
        <w:t>الوسائل</w:t>
      </w:r>
      <w:r w:rsidR="00992664" w:rsidRPr="00020424">
        <w:rPr>
          <w:rtl/>
        </w:rPr>
        <w:t xml:space="preserve"> ، ج 2 ، ص 347 ، ح 2329 ؛ وج 10 ، ص 37 ، ح 12770 ؛ وص 93 ، ح 12928 ، مقطّعاً.</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العِلْكُ » : الذي يُمْضَغ. وقيل : هو كلّ صَمْغ يُمضَغ من لُبان وغيره فلا يسيل. والصمغ : شي‌ء يسيل من</w:t>
      </w:r>
      <w:r w:rsidR="00992664">
        <w:rPr>
          <w:rFonts w:hint="cs"/>
          <w:rtl/>
        </w:rPr>
        <w:t xml:space="preserve"> </w:t>
      </w:r>
      <w:r w:rsidR="00CD651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 لَا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65EEC">
        <w:rPr>
          <w:rtl/>
        </w:rPr>
        <w:t>6438</w:t>
      </w:r>
      <w:r w:rsidRPr="001155DE">
        <w:rPr>
          <w:rStyle w:val="libBold2Char"/>
          <w:rtl/>
        </w:rPr>
        <w:t xml:space="preserve"> / 2.</w:t>
      </w:r>
      <w:r w:rsidRPr="00020424">
        <w:rPr>
          <w:rtl/>
          <w:lang w:bidi="fa-IR"/>
        </w:rPr>
        <w:t xml:space="preserve"> مُحَمَّدُ بْنُ يَحْيى ، عَنْ مُحَمَّدِ بْنِ الْحُسَيْنِ ، عَنْ عَلِيِّ بْنِ الْحَكَمِ ، عَنِ الْعَلَاءِ بْنِ رَزِينٍ ، عَنْ مُحَمَّدِ بْنِ مُسْلِمٍ ، قَالَ :</w:t>
      </w:r>
    </w:p>
    <w:p w:rsidR="00992664" w:rsidRPr="00020424" w:rsidRDefault="00992664" w:rsidP="00992664">
      <w:pPr>
        <w:pStyle w:val="libNormal"/>
        <w:rPr>
          <w:rtl/>
          <w:lang w:bidi="fa-IR"/>
        </w:rPr>
      </w:pPr>
      <w:r w:rsidRPr="00020424">
        <w:rPr>
          <w:rtl/>
          <w:lang w:bidi="fa-IR"/>
        </w:rPr>
        <w:t xml:space="preserve">قَالَ أَبُو جَعْفَرٍ </w:t>
      </w:r>
      <w:r w:rsidRPr="00005A81">
        <w:rPr>
          <w:rStyle w:val="libAlaemChar"/>
          <w:rtl/>
        </w:rPr>
        <w:t>عليه‌السلام</w:t>
      </w:r>
      <w:r w:rsidRPr="00020424">
        <w:rPr>
          <w:rtl/>
          <w:lang w:bidi="fa-IR"/>
        </w:rPr>
        <w:t xml:space="preserve"> : « يَا مُحَمَّدُ ، إِيَّاكَ أَنْ تَمْضَغَ عِلْكاً ؛ فَإِنِّي مَضَغْتُ الْيَوْمَ عِلْكاً وَأَنَا صَائِمٌ ، فَوَجَدْتُ فِي نَفْسِي مِنْهُ شَيْئاً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400" w:name="_Toc345172849"/>
      <w:bookmarkStart w:id="401" w:name="_Toc464562666"/>
      <w:bookmarkStart w:id="402" w:name="_Toc44599970"/>
      <w:r w:rsidRPr="00020424">
        <w:rPr>
          <w:rtl/>
          <w:lang w:bidi="fa-IR"/>
        </w:rPr>
        <w:t>34</w:t>
      </w:r>
      <w:r>
        <w:rPr>
          <w:rtl/>
          <w:lang w:bidi="fa-IR"/>
        </w:rPr>
        <w:t xml:space="preserve"> </w:t>
      </w:r>
      <w:r w:rsidR="009B673F">
        <w:rPr>
          <w:rtl/>
          <w:lang w:bidi="fa-IR"/>
        </w:rPr>
        <w:t>-</w:t>
      </w:r>
      <w:r>
        <w:rPr>
          <w:rtl/>
          <w:lang w:bidi="fa-IR"/>
        </w:rPr>
        <w:t xml:space="preserve"> </w:t>
      </w:r>
      <w:r w:rsidRPr="00020424">
        <w:rPr>
          <w:rtl/>
          <w:lang w:bidi="fa-IR"/>
        </w:rPr>
        <w:t xml:space="preserve">بَابٌ فِي الصَّائِمِ يَذُوقُ الْقِدْرَ </w:t>
      </w:r>
      <w:r w:rsidRPr="00A91B96">
        <w:rPr>
          <w:rStyle w:val="libFootnotenumChar"/>
          <w:rtl/>
        </w:rPr>
        <w:t>(5)</w:t>
      </w:r>
      <w:r>
        <w:rPr>
          <w:rtl/>
        </w:rPr>
        <w:t xml:space="preserve"> </w:t>
      </w:r>
      <w:r w:rsidRPr="00020424">
        <w:rPr>
          <w:rtl/>
          <w:lang w:bidi="fa-IR"/>
        </w:rPr>
        <w:t xml:space="preserve">وَيَزُقُّ الْفَرْخَ </w:t>
      </w:r>
      <w:r w:rsidRPr="00A91B96">
        <w:rPr>
          <w:rStyle w:val="libFootnotenumChar"/>
          <w:rtl/>
        </w:rPr>
        <w:t>(6)</w:t>
      </w:r>
      <w:r w:rsidRPr="00020424">
        <w:rPr>
          <w:rtl/>
          <w:lang w:bidi="fa-IR"/>
        </w:rPr>
        <w:t xml:space="preserve"> ‌</w:t>
      </w:r>
      <w:bookmarkEnd w:id="400"/>
      <w:bookmarkEnd w:id="401"/>
      <w:bookmarkEnd w:id="402"/>
    </w:p>
    <w:p w:rsidR="00992664" w:rsidRPr="00020424" w:rsidRDefault="00992664" w:rsidP="00992664">
      <w:pPr>
        <w:pStyle w:val="libNormal"/>
        <w:rPr>
          <w:rtl/>
          <w:lang w:bidi="fa-IR"/>
        </w:rPr>
      </w:pPr>
      <w:r w:rsidRPr="00465EEC">
        <w:rPr>
          <w:rtl/>
        </w:rPr>
        <w:t>6439</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الْمَرْأَةِ الصَّائِمَةِ تَطْبُخُ الْقِدْرَ </w:t>
      </w:r>
      <w:r w:rsidRPr="00A91B96">
        <w:rPr>
          <w:rStyle w:val="libFootnotenumChar"/>
          <w:rtl/>
        </w:rPr>
        <w:t>(7)</w:t>
      </w:r>
      <w:r w:rsidRPr="00020424">
        <w:rPr>
          <w:rtl/>
          <w:lang w:bidi="fa-IR"/>
        </w:rPr>
        <w:t xml:space="preserve"> ، فَتَذُوقُ الْمَرَقَةَ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992664" w:rsidP="00992664">
      <w:pPr>
        <w:pStyle w:val="libFootnote0"/>
        <w:rPr>
          <w:rtl/>
          <w:lang w:bidi="fa-IR"/>
        </w:rPr>
      </w:pPr>
      <w:r w:rsidRPr="00020424">
        <w:rPr>
          <w:rtl/>
        </w:rPr>
        <w:t>‌</w:t>
      </w:r>
      <w:r w:rsidR="00932900">
        <w:rPr>
          <w:rFonts w:hint="cs"/>
          <w:rtl/>
        </w:rPr>
        <w:t xml:space="preserve">= </w:t>
      </w:r>
      <w:r w:rsidRPr="00020424">
        <w:rPr>
          <w:rtl/>
        </w:rPr>
        <w:t xml:space="preserve">الشجرة ويجمد عليها. واللُبان : الصنوبر ، والكُنْدُر ، كأنّه لبن يتحلّب من شجرة. راجع : </w:t>
      </w:r>
      <w:r w:rsidRPr="0012008A">
        <w:rPr>
          <w:rStyle w:val="libFootnoteBoldChar"/>
          <w:rtl/>
        </w:rPr>
        <w:t>الصحاح</w:t>
      </w:r>
      <w:r w:rsidRPr="00020424">
        <w:rPr>
          <w:rtl/>
        </w:rPr>
        <w:t xml:space="preserve"> ، ج 4 ، ص 1601 ؛ </w:t>
      </w:r>
      <w:r w:rsidRPr="00A722B1">
        <w:rPr>
          <w:rStyle w:val="libFootnoteBoldChar"/>
          <w:rtl/>
        </w:rPr>
        <w:t>المصباح المنير</w:t>
      </w:r>
      <w:r w:rsidRPr="00020424">
        <w:rPr>
          <w:rtl/>
        </w:rPr>
        <w:t xml:space="preserve"> ، ص 426 ( علك )</w:t>
      </w:r>
      <w:r>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296 : « قوله </w:t>
      </w:r>
      <w:r w:rsidR="00992664" w:rsidRPr="00D64ADA">
        <w:rPr>
          <w:rStyle w:val="libFootnoteAlaemChar"/>
          <w:rtl/>
        </w:rPr>
        <w:t>عليه‌السلام</w:t>
      </w:r>
      <w:r w:rsidR="00992664" w:rsidRPr="00020424">
        <w:rPr>
          <w:rtl/>
        </w:rPr>
        <w:t xml:space="preserve"> : قال : لا ، ما له طعم كالعلك إذا تغيّر الريق بطعمه ، ولم ينفصل منه أجزاء ، فابتلع الصائم الريق المتغيّر بطعمه ، ففي فساد الصوم به قولان : أحدهما الإفساد لهذا الخبر</w:t>
      </w:r>
      <w:r w:rsidR="00992664">
        <w:rPr>
          <w:rtl/>
        </w:rPr>
        <w:t xml:space="preserve"> ..</w:t>
      </w:r>
      <w:r w:rsidR="00992664" w:rsidRPr="00020424">
        <w:rPr>
          <w:rtl/>
        </w:rPr>
        <w:t xml:space="preserve">. وأمّا الخبر فالأجود حمل النهي فيه على الكراهة ، كما اختاره الشيخ في </w:t>
      </w:r>
      <w:r w:rsidR="00992664" w:rsidRPr="00DE76B9">
        <w:rPr>
          <w:rStyle w:val="libFootnoteBoldChar"/>
          <w:rtl/>
        </w:rPr>
        <w:t>المبسوط</w:t>
      </w:r>
      <w:r w:rsidR="00992664" w:rsidRPr="00020424">
        <w:rPr>
          <w:rtl/>
        </w:rPr>
        <w:t xml:space="preserve"> وابن إدريس وجماعة لصحيحة محمّد بن مسلم وغيرها</w:t>
      </w:r>
      <w:r w:rsidR="00992664">
        <w:rPr>
          <w:rtl/>
        </w:rPr>
        <w:t xml:space="preserve"> ».</w:t>
      </w:r>
      <w:r w:rsidR="00992664" w:rsidRPr="00020424">
        <w:rPr>
          <w:rtl/>
        </w:rPr>
        <w:t xml:space="preserve"> وراجع أيضاً : </w:t>
      </w:r>
      <w:r w:rsidR="00992664" w:rsidRPr="00DE76B9">
        <w:rPr>
          <w:rStyle w:val="libFootnoteBoldChar"/>
          <w:rtl/>
        </w:rPr>
        <w:t>المبسوط</w:t>
      </w:r>
      <w:r w:rsidR="00992664" w:rsidRPr="00020424">
        <w:rPr>
          <w:rtl/>
        </w:rPr>
        <w:t xml:space="preserve"> ، ج 1 ، ص 273 ؛ </w:t>
      </w:r>
      <w:r w:rsidR="00992664" w:rsidRPr="00DE76B9">
        <w:rPr>
          <w:rStyle w:val="libFootnoteBoldChar"/>
          <w:rtl/>
        </w:rPr>
        <w:t>السرائر</w:t>
      </w:r>
      <w:r w:rsidR="00992664" w:rsidRPr="00020424">
        <w:rPr>
          <w:rtl/>
        </w:rPr>
        <w:t xml:space="preserve"> ، ج 1 ، ص 389 ؛ </w:t>
      </w:r>
      <w:r w:rsidR="00992664" w:rsidRPr="00DE76B9">
        <w:rPr>
          <w:rStyle w:val="libFootnoteBoldChar"/>
          <w:rtl/>
        </w:rPr>
        <w:t>المعتبر</w:t>
      </w:r>
      <w:r w:rsidR="00992664" w:rsidRPr="00020424">
        <w:rPr>
          <w:rtl/>
        </w:rPr>
        <w:t xml:space="preserve"> ، ج 2 ، ص 658 ؛ </w:t>
      </w:r>
      <w:r w:rsidR="00992664" w:rsidRPr="00DE76B9">
        <w:rPr>
          <w:rStyle w:val="libFootnoteBoldChar"/>
          <w:rtl/>
        </w:rPr>
        <w:t>المختصر النافع</w:t>
      </w:r>
      <w:r w:rsidR="00992664" w:rsidRPr="00020424">
        <w:rPr>
          <w:rtl/>
        </w:rPr>
        <w:t xml:space="preserve"> ، ص 65 ؛ </w:t>
      </w:r>
      <w:r w:rsidR="00992664" w:rsidRPr="00DE76B9">
        <w:rPr>
          <w:rStyle w:val="libFootnoteBoldChar"/>
          <w:rtl/>
        </w:rPr>
        <w:t>منتهى المطلب</w:t>
      </w:r>
      <w:r w:rsidR="00992664" w:rsidRPr="00020424">
        <w:rPr>
          <w:rtl/>
        </w:rPr>
        <w:t xml:space="preserve"> ، ج 9 ، ص 90.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راجع : </w:t>
      </w:r>
      <w:r w:rsidR="00992664" w:rsidRPr="0012008A">
        <w:rPr>
          <w:rStyle w:val="libFootnoteBoldChar"/>
          <w:rtl/>
        </w:rPr>
        <w:t>التهذيب</w:t>
      </w:r>
      <w:r w:rsidR="00992664" w:rsidRPr="00020424">
        <w:rPr>
          <w:rtl/>
        </w:rPr>
        <w:t xml:space="preserve"> ، ج 4 ، ص 324 ، ح 1002 </w:t>
      </w:r>
      <w:r w:rsidR="00932900">
        <w:rPr>
          <w:rFonts w:hint="cs"/>
          <w:rtl/>
        </w:rPr>
        <w:t>.</w:t>
      </w:r>
      <w:r w:rsidR="00992664" w:rsidRPr="0012008A">
        <w:rPr>
          <w:rStyle w:val="libFootnoteBoldChar"/>
          <w:rtl/>
        </w:rPr>
        <w:t>الوافي</w:t>
      </w:r>
      <w:r w:rsidR="00992664" w:rsidRPr="00020424">
        <w:rPr>
          <w:rtl/>
        </w:rPr>
        <w:t xml:space="preserve"> ، ج 11 ، ص 197 ، ح 10680 ؛ </w:t>
      </w:r>
      <w:r w:rsidR="00992664" w:rsidRPr="0012008A">
        <w:rPr>
          <w:rStyle w:val="libFootnoteBoldChar"/>
          <w:rtl/>
        </w:rPr>
        <w:t>الوسائل</w:t>
      </w:r>
      <w:r w:rsidR="00992664" w:rsidRPr="00020424">
        <w:rPr>
          <w:rtl/>
        </w:rPr>
        <w:t xml:space="preserve"> ، ج 10 ، ص 105 ، ح 12969.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كأنّه </w:t>
      </w:r>
      <w:r w:rsidR="00992664" w:rsidRPr="00D64ADA">
        <w:rPr>
          <w:rStyle w:val="libFootnoteAlaemChar"/>
          <w:rtl/>
        </w:rPr>
        <w:t>عليه‌السلام</w:t>
      </w:r>
      <w:r w:rsidR="00992664" w:rsidRPr="00020424">
        <w:rPr>
          <w:rtl/>
        </w:rPr>
        <w:t xml:space="preserve"> شكّ في تغيّر ريقه المبلوع بطعم العلك ، أو قوي ذلك في نفسه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197 ، ح 10681 ؛ </w:t>
      </w:r>
      <w:r w:rsidR="00992664" w:rsidRPr="0012008A">
        <w:rPr>
          <w:rStyle w:val="libFootnoteBoldChar"/>
          <w:rtl/>
        </w:rPr>
        <w:t>الوسائل</w:t>
      </w:r>
      <w:r w:rsidR="00992664" w:rsidRPr="00020424">
        <w:rPr>
          <w:rtl/>
        </w:rPr>
        <w:t xml:space="preserve"> ، ج 10 ، ص 104 ، ح 12968.</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بخ » : « المرق</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حاشية « ظ » : « الطير</w:t>
      </w:r>
      <w:r w:rsidR="00992664">
        <w:rPr>
          <w:rtl/>
        </w:rPr>
        <w:t xml:space="preserve"> ».</w:t>
      </w:r>
      <w:r w:rsidR="00992664" w:rsidRPr="00020424">
        <w:rPr>
          <w:rtl/>
        </w:rPr>
        <w:t xml:space="preserve"> </w:t>
      </w:r>
      <w:r w:rsidR="00992664">
        <w:rPr>
          <w:rtl/>
        </w:rPr>
        <w:t>و «</w:t>
      </w:r>
      <w:r w:rsidR="00992664" w:rsidRPr="00020424">
        <w:rPr>
          <w:rtl/>
        </w:rPr>
        <w:t xml:space="preserve"> يزقّ الفرخ</w:t>
      </w:r>
      <w:r w:rsidR="00992664">
        <w:rPr>
          <w:rtl/>
        </w:rPr>
        <w:t xml:space="preserve"> ».</w:t>
      </w:r>
      <w:r w:rsidR="00992664" w:rsidRPr="00020424">
        <w:rPr>
          <w:rtl/>
        </w:rPr>
        <w:t xml:space="preserve"> أي يطعمه بفيه ، يقال : زقّ الطائر فرخه يزقّ ، أي أطعمه بفيه. راجع : </w:t>
      </w:r>
      <w:r w:rsidR="00992664" w:rsidRPr="0012008A">
        <w:rPr>
          <w:rStyle w:val="libFootnoteBoldChar"/>
          <w:rtl/>
        </w:rPr>
        <w:t>الصحاح</w:t>
      </w:r>
      <w:r w:rsidR="00992664" w:rsidRPr="00020424">
        <w:rPr>
          <w:rtl/>
        </w:rPr>
        <w:t xml:space="preserve"> ، ج 4 ، ص 1491 ؛ </w:t>
      </w:r>
      <w:r w:rsidR="00992664" w:rsidRPr="00A722B1">
        <w:rPr>
          <w:rStyle w:val="libFootnoteBoldChar"/>
          <w:rtl/>
        </w:rPr>
        <w:t>القاموس المحيط</w:t>
      </w:r>
      <w:r w:rsidR="00992664" w:rsidRPr="00020424">
        <w:rPr>
          <w:rtl/>
        </w:rPr>
        <w:t xml:space="preserve"> ، ج 2 ، ص 1183 ( زقق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 القِدْر » : آنية يطبخ فيها ، وهي مؤنّثة. </w:t>
      </w:r>
      <w:r w:rsidR="00992664" w:rsidRPr="00A722B1">
        <w:rPr>
          <w:rStyle w:val="libFootnoteBoldChar"/>
          <w:rtl/>
        </w:rPr>
        <w:t>المصباح المنير</w:t>
      </w:r>
      <w:r w:rsidR="00992664" w:rsidRPr="00020424">
        <w:rPr>
          <w:rtl/>
        </w:rPr>
        <w:t xml:space="preserve"> ، ص 492 ( قدر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المرق</w:t>
      </w:r>
      <w:r w:rsidR="00992664">
        <w:rPr>
          <w:rtl/>
        </w:rPr>
        <w:t xml:space="preserve"> ».</w:t>
      </w:r>
      <w:r w:rsidR="00992664" w:rsidRPr="00020424">
        <w:rPr>
          <w:rtl/>
        </w:rPr>
        <w:t xml:space="preserve"> </w:t>
      </w:r>
      <w:r w:rsidR="00992664">
        <w:rPr>
          <w:rtl/>
        </w:rPr>
        <w:t>و «</w:t>
      </w:r>
      <w:r w:rsidR="00992664" w:rsidRPr="00020424">
        <w:rPr>
          <w:rtl/>
        </w:rPr>
        <w:t xml:space="preserve"> المرقة » : واحدة المَرَق ، وهو ماء اللحم إذا طبخ الذي يؤتدم به. راجع : </w:t>
      </w:r>
      <w:r w:rsidR="00992664" w:rsidRPr="00A722B1">
        <w:rPr>
          <w:rStyle w:val="libFootnoteBoldChar"/>
          <w:rtl/>
        </w:rPr>
        <w:t>لسان العرب</w:t>
      </w:r>
      <w:r w:rsidR="00992664" w:rsidRPr="00020424">
        <w:rPr>
          <w:rtl/>
        </w:rPr>
        <w:t xml:space="preserve"> ، ج 10 ، ص 340 ؛ </w:t>
      </w:r>
      <w:r w:rsidR="00992664" w:rsidRPr="00DE76B9">
        <w:rPr>
          <w:rStyle w:val="libFootnoteBoldChar"/>
          <w:rtl/>
        </w:rPr>
        <w:t>مجمع البحرين</w:t>
      </w:r>
      <w:r w:rsidR="00992664" w:rsidRPr="00020424">
        <w:rPr>
          <w:rtl/>
        </w:rPr>
        <w:t xml:space="preserve"> ، ج 5 ، ص 160 ( مرق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تَنْظُرُ إِلَيْهِ</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w:t>
      </w:r>
      <w:r w:rsidRPr="00020424">
        <w:rPr>
          <w:rtl/>
          <w:lang w:bidi="fa-IR"/>
        </w:rPr>
        <w:t xml:space="preserve"> : « لَا بَأْسَ بِهِ </w:t>
      </w:r>
      <w:r w:rsidRPr="00A91B96">
        <w:rPr>
          <w:rStyle w:val="libFootnotenumChar"/>
          <w:rtl/>
        </w:rPr>
        <w:t>(2)</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وَسُئِلَ عَنِ الْمَرْأَةِ يَكُونُ لَهَا الصَّبِيُّ وَهِيَ صَائِمَةٌ ، فَتَمْضَغُ الْخُبْزَ وَتُطْعِمُهُ</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(4)</w:t>
      </w:r>
      <w:r w:rsidRPr="00020424">
        <w:rPr>
          <w:rtl/>
          <w:lang w:bidi="fa-IR"/>
        </w:rPr>
        <w:t xml:space="preserve"> : « لَا بَأْسَ ، وَالطَّيْرَ إِنْ كَانَ لَهَا</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465EEC">
        <w:rPr>
          <w:rtl/>
        </w:rPr>
        <w:t>6440</w:t>
      </w:r>
      <w:r w:rsidRPr="001155DE">
        <w:rPr>
          <w:rStyle w:val="libBold2Char"/>
          <w:rtl/>
        </w:rPr>
        <w:t xml:space="preserve"> / 2.</w:t>
      </w:r>
      <w:r w:rsidRPr="00020424">
        <w:rPr>
          <w:rtl/>
          <w:lang w:bidi="fa-IR"/>
        </w:rPr>
        <w:t xml:space="preserve"> الْحُسَيْنُ بْنُ مُحَمَّدٍ ، عَنْ مُعَلَّى بْنِ مُحَمَّدٍ ، عَنِ الْحَسَنِ الْوَشَّاءِ </w:t>
      </w:r>
      <w:r w:rsidRPr="00A91B96">
        <w:rPr>
          <w:rStyle w:val="libFootnotenumChar"/>
          <w:rtl/>
        </w:rPr>
        <w:t>(6)</w:t>
      </w:r>
      <w:r w:rsidRPr="00020424">
        <w:rPr>
          <w:rtl/>
          <w:lang w:bidi="fa-IR"/>
        </w:rPr>
        <w:t xml:space="preserve"> ، عَنْ أَبَانِ بْنِ عُثْمَانَ ، عَنِ الْحَسَنِ </w:t>
      </w:r>
      <w:r w:rsidRPr="00A91B96">
        <w:rPr>
          <w:rStyle w:val="libFootnotenumChar"/>
          <w:rtl/>
        </w:rPr>
        <w:t>(7)</w:t>
      </w:r>
      <w:r w:rsidRPr="00020424">
        <w:rPr>
          <w:rtl/>
          <w:lang w:bidi="fa-IR"/>
        </w:rPr>
        <w:t xml:space="preserve"> بْنِ زِيَادٍ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بَأْسَ لِلطَّبَّاخِ وَالطَّبَّاخَةِ أَنْ يَذُوقَ </w:t>
      </w:r>
      <w:r w:rsidRPr="00A91B96">
        <w:rPr>
          <w:rStyle w:val="libFootnotenumChar"/>
          <w:rtl/>
        </w:rPr>
        <w:t>(8)</w:t>
      </w:r>
      <w:r w:rsidRPr="00020424">
        <w:rPr>
          <w:rtl/>
          <w:lang w:bidi="fa-IR"/>
        </w:rPr>
        <w:t xml:space="preserve"> الْمَرَقَ وَهُوَ صَائِمٌ</w:t>
      </w:r>
      <w:r>
        <w:rPr>
          <w:rtl/>
          <w:lang w:bidi="fa-IR"/>
        </w:rPr>
        <w:t>».</w:t>
      </w:r>
      <w:r w:rsidRPr="00A91B96">
        <w:rPr>
          <w:rStyle w:val="libFootnotenumChar"/>
          <w:rtl/>
        </w:rPr>
        <w:t>(9)</w:t>
      </w:r>
    </w:p>
    <w:p w:rsidR="00992664" w:rsidRPr="00020424" w:rsidRDefault="00992664" w:rsidP="00992664">
      <w:pPr>
        <w:pStyle w:val="libNormal"/>
        <w:rPr>
          <w:rtl/>
          <w:lang w:bidi="fa-IR"/>
        </w:rPr>
      </w:pPr>
      <w:r w:rsidRPr="00465EEC">
        <w:rPr>
          <w:rtl/>
        </w:rPr>
        <w:t>6441</w:t>
      </w:r>
      <w:r w:rsidRPr="001155DE">
        <w:rPr>
          <w:rStyle w:val="libBold2Char"/>
          <w:rtl/>
        </w:rPr>
        <w:t xml:space="preserve"> / 3.</w:t>
      </w:r>
      <w:r w:rsidRPr="00020424">
        <w:rPr>
          <w:rtl/>
          <w:lang w:bidi="fa-IR"/>
        </w:rPr>
        <w:t xml:space="preserve"> عَلِيُّ بْنُ إِبْرَاهِيمَ ، عَنْ هَارُونَ بْنِ مُسْلِمٍ ، عَنْ مَسْعَدَةَ بْنِ صَدَقَةَ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بح » : «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ظ ، ى ، بث ، بخ ، بر ، بس ، بف » وحاشية « جن » </w:t>
      </w:r>
      <w:r w:rsidR="00992664" w:rsidRPr="00515444">
        <w:rPr>
          <w:rStyle w:val="libFootnoteBoldChar"/>
          <w:rtl/>
        </w:rPr>
        <w:t>والوافي</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وقال</w:t>
      </w:r>
      <w:r w:rsidR="00992664">
        <w:rPr>
          <w:rtl/>
        </w:rPr>
        <w:t xml:space="preserve"> ».</w:t>
      </w:r>
      <w:r w:rsidR="00992664" w:rsidRPr="00020424">
        <w:rPr>
          <w:rtl/>
        </w:rPr>
        <w:t xml:space="preserve"> وفي « بخ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بر ، بف » : «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312 ، ح 942 ؛ </w:t>
      </w:r>
      <w:r w:rsidR="00992664" w:rsidRPr="00FD6221">
        <w:rPr>
          <w:rStyle w:val="libFootnoteBoldChar"/>
          <w:rtl/>
        </w:rPr>
        <w:t>والاستبصار</w:t>
      </w:r>
      <w:r w:rsidR="00992664" w:rsidRPr="00020424">
        <w:rPr>
          <w:rtl/>
        </w:rPr>
        <w:t xml:space="preserve"> ، ج 2 ، ص 95 ، ح 308 ، بسندهما عن ابن أبي عمير </w:t>
      </w:r>
      <w:r w:rsidR="00932900">
        <w:rPr>
          <w:rFonts w:hint="cs"/>
          <w:rtl/>
        </w:rPr>
        <w:t>.</w:t>
      </w:r>
      <w:r w:rsidR="00992664" w:rsidRPr="0012008A">
        <w:rPr>
          <w:rStyle w:val="libFootnoteBoldChar"/>
          <w:rtl/>
        </w:rPr>
        <w:t>الوافي</w:t>
      </w:r>
      <w:r w:rsidR="00992664" w:rsidRPr="00020424">
        <w:rPr>
          <w:rtl/>
        </w:rPr>
        <w:t xml:space="preserve"> ، ج 11 ، ص 198 ، ح 10684 ؛ </w:t>
      </w:r>
      <w:r w:rsidR="00992664" w:rsidRPr="0012008A">
        <w:rPr>
          <w:rStyle w:val="libFootnoteBoldChar"/>
          <w:rtl/>
        </w:rPr>
        <w:t>الوسائل</w:t>
      </w:r>
      <w:r w:rsidR="00992664" w:rsidRPr="00020424">
        <w:rPr>
          <w:rtl/>
        </w:rPr>
        <w:t xml:space="preserve"> ، ج 10 ، ص 105 ، ح 12971.</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هكذا في « ظ ، ى ، بث ، بح ، بخ ، بس ، جن</w:t>
      </w:r>
      <w:r w:rsidR="00992664">
        <w:rPr>
          <w:rtl/>
        </w:rPr>
        <w:t xml:space="preserve"> ».</w:t>
      </w:r>
      <w:r w:rsidR="00992664" w:rsidRPr="00020424">
        <w:rPr>
          <w:rtl/>
        </w:rPr>
        <w:t xml:space="preserve"> وفي « بر ، بف » : « الحسن بن زياد الوشّاء</w:t>
      </w:r>
      <w:r w:rsidR="00992664">
        <w:rPr>
          <w:rtl/>
        </w:rPr>
        <w:t xml:space="preserve"> ».</w:t>
      </w:r>
      <w:r w:rsidR="00992664" w:rsidRPr="00020424">
        <w:rPr>
          <w:rtl/>
        </w:rPr>
        <w:t xml:space="preserve"> وفي « جر » : « الوشّاء</w:t>
      </w:r>
      <w:r w:rsidR="00992664">
        <w:rPr>
          <w:rtl/>
        </w:rPr>
        <w:t xml:space="preserve"> ».</w:t>
      </w:r>
      <w:r w:rsidR="00992664" w:rsidRPr="00020424">
        <w:rPr>
          <w:rtl/>
        </w:rPr>
        <w:t xml:space="preserve"> وفي المطبوع </w:t>
      </w:r>
      <w:r w:rsidR="00992664" w:rsidRPr="00EB1FD9">
        <w:rPr>
          <w:rStyle w:val="libFootnoteBoldChar"/>
          <w:rtl/>
        </w:rPr>
        <w:t>والوسائل</w:t>
      </w:r>
      <w:r w:rsidR="00992664" w:rsidRPr="00020424">
        <w:rPr>
          <w:rtl/>
        </w:rPr>
        <w:t xml:space="preserve"> : « الحسن بن عليّ الوشّاء</w:t>
      </w:r>
      <w:r w:rsidR="00992664">
        <w:rPr>
          <w:rtl/>
        </w:rPr>
        <w:t xml:space="preserve"> ».</w:t>
      </w:r>
    </w:p>
    <w:p w:rsidR="00992664" w:rsidRPr="00020424" w:rsidRDefault="00992664" w:rsidP="00006FBA">
      <w:pPr>
        <w:pStyle w:val="libFootnote0"/>
        <w:rPr>
          <w:rtl/>
          <w:lang w:bidi="fa-IR"/>
        </w:rPr>
      </w:pPr>
      <w:r w:rsidRPr="00006FBA">
        <w:rPr>
          <w:rtl/>
        </w:rPr>
        <w:t xml:space="preserve">والحسن الوشّاء ، هو الحسن بن عليّ بن زياد الوشّاء. راجع : </w:t>
      </w:r>
      <w:r w:rsidRPr="00DE76B9">
        <w:rPr>
          <w:rStyle w:val="libFootnoteBoldChar"/>
          <w:rtl/>
        </w:rPr>
        <w:t>رجال النجاشي</w:t>
      </w:r>
      <w:r w:rsidRPr="00006FBA">
        <w:rPr>
          <w:rtl/>
        </w:rPr>
        <w:t xml:space="preserve"> ، ص 39 ، الرقم 80 ؛ </w:t>
      </w:r>
      <w:r w:rsidRPr="00DE76B9">
        <w:rPr>
          <w:rStyle w:val="libFootnoteBoldChar"/>
          <w:rtl/>
        </w:rPr>
        <w:t>رجال البرقي</w:t>
      </w:r>
      <w:r w:rsidRPr="00006FBA">
        <w:rPr>
          <w:rtl/>
        </w:rPr>
        <w:t xml:space="preserve"> ، ص 51.</w:t>
      </w:r>
    </w:p>
    <w:p w:rsidR="00992664" w:rsidRPr="00020424" w:rsidRDefault="00795177" w:rsidP="00006FBA">
      <w:pPr>
        <w:pStyle w:val="libFootnote0"/>
        <w:rPr>
          <w:rtl/>
          <w:lang w:bidi="fa-IR"/>
        </w:rPr>
      </w:pPr>
      <w:r>
        <w:rPr>
          <w:rtl/>
        </w:rPr>
        <w:t>(7).</w:t>
      </w:r>
      <w:r w:rsidR="0014403D">
        <w:rPr>
          <w:rtl/>
        </w:rPr>
        <w:t xml:space="preserve"> </w:t>
      </w:r>
      <w:r w:rsidR="00992664" w:rsidRPr="00020424">
        <w:rPr>
          <w:rtl/>
        </w:rPr>
        <w:t xml:space="preserve">هكذا في « ى ، جر » </w:t>
      </w:r>
      <w:r w:rsidR="00992664" w:rsidRPr="00EB1FD9">
        <w:rPr>
          <w:rStyle w:val="libFootnoteBoldChar"/>
          <w:rtl/>
        </w:rPr>
        <w:t>والوسائل</w:t>
      </w:r>
      <w:r w:rsidR="00992664" w:rsidRPr="00020424">
        <w:rPr>
          <w:rtl/>
        </w:rPr>
        <w:t>. وفي « ظ ، بث ، بح ، بخ ، بر ، بس ، بف ، جن » والمطبوع : « الحسين</w:t>
      </w:r>
      <w:r w:rsidR="00992664">
        <w:rPr>
          <w:rtl/>
        </w:rPr>
        <w:t xml:space="preserve"> ».</w:t>
      </w:r>
    </w:p>
    <w:p w:rsidR="00992664" w:rsidRPr="00020424" w:rsidRDefault="00992664" w:rsidP="00006FBA">
      <w:pPr>
        <w:pStyle w:val="libFootnote0"/>
        <w:rPr>
          <w:rtl/>
          <w:lang w:bidi="fa-IR"/>
        </w:rPr>
      </w:pPr>
      <w:r w:rsidRPr="00006FBA">
        <w:rPr>
          <w:rtl/>
        </w:rPr>
        <w:t xml:space="preserve">وابن زياد هذا مشترك بين الحسن بن زياد الصيقل وبين الحسن بن زياد العطّار ، روى عنهما أبان [ بن عثمان ] في بعض الأسناد. راجع : </w:t>
      </w:r>
      <w:r w:rsidRPr="00DE76B9">
        <w:rPr>
          <w:rStyle w:val="libFootnoteBoldChar"/>
          <w:rtl/>
        </w:rPr>
        <w:t>معجم رجال الحديث</w:t>
      </w:r>
      <w:r w:rsidRPr="00006FBA">
        <w:rPr>
          <w:rtl/>
        </w:rPr>
        <w:t xml:space="preserve"> ، ج 1 ، ص 382 ، وص 417.</w:t>
      </w:r>
    </w:p>
    <w:p w:rsidR="00992664" w:rsidRPr="00020424" w:rsidRDefault="00795177" w:rsidP="00006FBA">
      <w:pPr>
        <w:pStyle w:val="libFootnote0"/>
        <w:rPr>
          <w:rtl/>
          <w:lang w:bidi="fa-IR"/>
        </w:rPr>
      </w:pPr>
      <w:r>
        <w:rPr>
          <w:rtl/>
        </w:rPr>
        <w:t>(8).</w:t>
      </w:r>
      <w:r w:rsidR="0014403D">
        <w:rPr>
          <w:rtl/>
        </w:rPr>
        <w:t xml:space="preserve"> </w:t>
      </w:r>
      <w:r w:rsidR="00992664" w:rsidRPr="00020424">
        <w:rPr>
          <w:rtl/>
        </w:rPr>
        <w:t>في « بح » : « أن يذوقا</w:t>
      </w:r>
      <w:r w:rsidR="00992664">
        <w:rPr>
          <w:rtl/>
        </w:rPr>
        <w:t xml:space="preserve"> ».</w:t>
      </w:r>
      <w:r w:rsidR="00992664" w:rsidRPr="00020424">
        <w:rPr>
          <w:rtl/>
        </w:rPr>
        <w:t xml:space="preserve"> وفي « بخ » : « أن تذوق</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311 ، ضمن ح 941 ؛ </w:t>
      </w:r>
      <w:r w:rsidR="00992664" w:rsidRPr="00FD6221">
        <w:rPr>
          <w:rStyle w:val="libFootnoteBoldChar"/>
          <w:rtl/>
        </w:rPr>
        <w:t>والاستبصار</w:t>
      </w:r>
      <w:r w:rsidR="00992664" w:rsidRPr="00020424">
        <w:rPr>
          <w:rtl/>
        </w:rPr>
        <w:t xml:space="preserve"> ، ج 2 ، ص 95 ، ضمن ح 307 ، بسند آخر. </w:t>
      </w:r>
      <w:r w:rsidR="00992664" w:rsidRPr="0012008A">
        <w:rPr>
          <w:rStyle w:val="libFootnoteBoldChar"/>
          <w:rtl/>
        </w:rPr>
        <w:t>الفقيه</w:t>
      </w:r>
      <w:r w:rsidR="00992664" w:rsidRPr="00020424">
        <w:rPr>
          <w:rtl/>
        </w:rPr>
        <w:t xml:space="preserve"> ، ج 2 ، ص 112 ، ذيل ح 1869 ، وفي كلّها مع اختلاف يسير </w:t>
      </w:r>
      <w:r w:rsidR="00006FBA">
        <w:rPr>
          <w:rFonts w:hint="cs"/>
          <w:rtl/>
        </w:rPr>
        <w:t>.</w:t>
      </w:r>
      <w:r w:rsidR="00992664" w:rsidRPr="0012008A">
        <w:rPr>
          <w:rStyle w:val="libFootnoteBoldChar"/>
          <w:rtl/>
        </w:rPr>
        <w:t>الوافي</w:t>
      </w:r>
      <w:r w:rsidR="00992664" w:rsidRPr="00020424">
        <w:rPr>
          <w:rtl/>
        </w:rPr>
        <w:t xml:space="preserve"> ، ج 11 ، ص 199 ، ح 10685 ؛ </w:t>
      </w:r>
      <w:r w:rsidR="00992664" w:rsidRPr="0012008A">
        <w:rPr>
          <w:rStyle w:val="libFootnoteBoldChar"/>
          <w:rtl/>
        </w:rPr>
        <w:t>الوسائل</w:t>
      </w:r>
      <w:r w:rsidR="00992664" w:rsidRPr="00020424">
        <w:rPr>
          <w:rtl/>
        </w:rPr>
        <w:t xml:space="preserve"> ، ج 10 ، ص 107 ، ح 12976.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إِنَّ فَاطِمَةَ</w:t>
      </w:r>
      <w:r>
        <w:rPr>
          <w:rtl/>
          <w:lang w:bidi="fa-IR"/>
        </w:rPr>
        <w:t xml:space="preserve"> </w:t>
      </w:r>
      <w:r w:rsidR="009B673F">
        <w:rPr>
          <w:rtl/>
          <w:lang w:bidi="fa-IR"/>
        </w:rPr>
        <w:t>-</w:t>
      </w:r>
      <w:r>
        <w:rPr>
          <w:rtl/>
          <w:lang w:bidi="fa-IR"/>
        </w:rPr>
        <w:t xml:space="preserve"> </w:t>
      </w:r>
      <w:r w:rsidRPr="00020424">
        <w:rPr>
          <w:rtl/>
          <w:lang w:bidi="fa-IR"/>
        </w:rPr>
        <w:t>صَلَّى اللهُ عَلَيْهَا</w:t>
      </w:r>
      <w:r>
        <w:rPr>
          <w:rtl/>
          <w:lang w:bidi="fa-IR"/>
        </w:rPr>
        <w:t xml:space="preserve"> </w:t>
      </w:r>
      <w:r w:rsidR="009B673F">
        <w:rPr>
          <w:rtl/>
          <w:lang w:bidi="fa-IR"/>
        </w:rPr>
        <w:t>-</w:t>
      </w:r>
      <w:r>
        <w:rPr>
          <w:rtl/>
          <w:lang w:bidi="fa-IR"/>
        </w:rPr>
        <w:t xml:space="preserve"> </w:t>
      </w:r>
      <w:r w:rsidRPr="00020424">
        <w:rPr>
          <w:rtl/>
          <w:lang w:bidi="fa-IR"/>
        </w:rPr>
        <w:t xml:space="preserve">كَانَتْ تَمْضَغُ لِلْحَسَنِ ، ثُمَّ لِلْحُسَيْنِ </w:t>
      </w:r>
      <w:r w:rsidRPr="00A91B96">
        <w:rPr>
          <w:rStyle w:val="libFootnotenumChar"/>
          <w:rtl/>
        </w:rPr>
        <w:t>(1)</w:t>
      </w:r>
      <w:r>
        <w:rPr>
          <w:rtl/>
          <w:lang w:bidi="fa-IR"/>
        </w:rPr>
        <w:t xml:space="preserve"> </w:t>
      </w:r>
      <w:r w:rsidR="009B673F">
        <w:rPr>
          <w:rtl/>
          <w:lang w:bidi="fa-IR"/>
        </w:rPr>
        <w:t>-</w:t>
      </w:r>
      <w:r>
        <w:rPr>
          <w:rtl/>
          <w:lang w:bidi="fa-IR"/>
        </w:rPr>
        <w:t xml:space="preserve"> </w:t>
      </w:r>
      <w:r w:rsidRPr="00020424">
        <w:rPr>
          <w:rtl/>
          <w:lang w:bidi="fa-IR"/>
        </w:rPr>
        <w:t>صَلَوَاتُ اللهِ عَلَيْهِمَا</w:t>
      </w:r>
      <w:r>
        <w:rPr>
          <w:rtl/>
          <w:lang w:bidi="fa-IR"/>
        </w:rPr>
        <w:t xml:space="preserve"> </w:t>
      </w:r>
      <w:r w:rsidR="009B673F">
        <w:rPr>
          <w:rtl/>
          <w:lang w:bidi="fa-IR"/>
        </w:rPr>
        <w:t>-</w:t>
      </w:r>
      <w:r>
        <w:rPr>
          <w:rtl/>
          <w:lang w:bidi="fa-IR"/>
        </w:rPr>
        <w:t xml:space="preserve"> </w:t>
      </w:r>
      <w:r w:rsidRPr="00020424">
        <w:rPr>
          <w:rtl/>
          <w:lang w:bidi="fa-IR"/>
        </w:rPr>
        <w:t>وَهِيَ صَائِمَةٌ فِي شَهْرِ رَمَضَانَ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E3504">
        <w:rPr>
          <w:rtl/>
        </w:rPr>
        <w:t>6442</w:t>
      </w:r>
      <w:r w:rsidRPr="001155DE">
        <w:rPr>
          <w:rStyle w:val="libBold2Char"/>
          <w:rtl/>
        </w:rPr>
        <w:t xml:space="preserve"> / 4.</w:t>
      </w:r>
      <w:r w:rsidRPr="00020424">
        <w:rPr>
          <w:rtl/>
          <w:lang w:bidi="fa-IR"/>
        </w:rPr>
        <w:t xml:space="preserve"> عِدَّةٌ مِنْ أَصْحَابِنَا ، عَنْ أَحْمَدَ بْنِ مُحَمَّدٍ ، عَنِ الْحُسَيْنِ بْنِ سَعِيدٍ ، عَنْ عَلِيِّ بْنِ النُّعْمَانِ ، عَنْ سَعِيدٍ الْأَعْرَجِ ، قَالَ :</w:t>
      </w:r>
    </w:p>
    <w:p w:rsidR="00992664" w:rsidRPr="00020424" w:rsidRDefault="00992664" w:rsidP="00E775C1">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الصَّائِمِ : يَذُوقُ </w:t>
      </w:r>
      <w:r w:rsidRPr="00A91B96">
        <w:rPr>
          <w:rStyle w:val="libFootnotenumChar"/>
          <w:rtl/>
        </w:rPr>
        <w:t>(3)</w:t>
      </w:r>
      <w:r w:rsidRPr="00020424">
        <w:rPr>
          <w:rtl/>
          <w:lang w:bidi="fa-IR"/>
        </w:rPr>
        <w:t xml:space="preserve"> الشَّيْ‌ءَ ، وَلَايَبْلَعُهُ</w:t>
      </w:r>
      <w:r>
        <w:rPr>
          <w:rtl/>
          <w:lang w:bidi="fa-IR"/>
        </w:rPr>
        <w:t>؟</w:t>
      </w:r>
      <w:r w:rsidRPr="00020424">
        <w:rPr>
          <w:rtl/>
          <w:lang w:bidi="fa-IR"/>
        </w:rPr>
        <w:t xml:space="preserve"> قَالَ : « لَا » </w:t>
      </w:r>
      <w:r w:rsidRPr="00A91B96">
        <w:rPr>
          <w:rStyle w:val="libFootnotenumChar"/>
          <w:rtl/>
        </w:rPr>
        <w:t>(4)</w:t>
      </w:r>
      <w:r w:rsidR="00E775C1">
        <w:rPr>
          <w:rFonts w:hint="cs"/>
          <w:rtl/>
          <w:lang w:bidi="fa-IR"/>
        </w:rPr>
        <w:t>.</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403" w:name="_Toc345172850"/>
      <w:bookmarkStart w:id="404" w:name="_Toc464562667"/>
      <w:bookmarkStart w:id="405" w:name="_Toc44599971"/>
      <w:r w:rsidRPr="00020424">
        <w:rPr>
          <w:rtl/>
          <w:lang w:bidi="fa-IR"/>
        </w:rPr>
        <w:t>35</w:t>
      </w:r>
      <w:r>
        <w:rPr>
          <w:rtl/>
          <w:lang w:bidi="fa-IR"/>
        </w:rPr>
        <w:t xml:space="preserve"> </w:t>
      </w:r>
      <w:r w:rsidR="009B673F">
        <w:rPr>
          <w:rtl/>
          <w:lang w:bidi="fa-IR"/>
        </w:rPr>
        <w:t>-</w:t>
      </w:r>
      <w:r>
        <w:rPr>
          <w:rtl/>
          <w:lang w:bidi="fa-IR"/>
        </w:rPr>
        <w:t xml:space="preserve"> </w:t>
      </w:r>
      <w:r w:rsidRPr="00020424">
        <w:rPr>
          <w:rtl/>
          <w:lang w:bidi="fa-IR"/>
        </w:rPr>
        <w:t>بَابٌ فِي الصَّائِمِ يَزْدَرِدُ نُخَامَتَهُ وَيَدْخُلُ حَلْقَهُ الذُّبَابُ‌</w:t>
      </w:r>
      <w:bookmarkEnd w:id="403"/>
      <w:bookmarkEnd w:id="404"/>
      <w:bookmarkEnd w:id="405"/>
    </w:p>
    <w:p w:rsidR="00992664" w:rsidRPr="00020424" w:rsidRDefault="00992664" w:rsidP="00992664">
      <w:pPr>
        <w:pStyle w:val="libNormal"/>
        <w:rPr>
          <w:rtl/>
          <w:lang w:bidi="fa-IR"/>
        </w:rPr>
      </w:pPr>
      <w:r w:rsidRPr="002E3504">
        <w:rPr>
          <w:rtl/>
        </w:rPr>
        <w:t>6443</w:t>
      </w:r>
      <w:r w:rsidRPr="001155DE">
        <w:rPr>
          <w:rStyle w:val="libBold2Char"/>
          <w:rtl/>
        </w:rPr>
        <w:t xml:space="preserve"> / 1.</w:t>
      </w:r>
      <w:r w:rsidRPr="00020424">
        <w:rPr>
          <w:rtl/>
          <w:lang w:bidi="fa-IR"/>
        </w:rPr>
        <w:t xml:space="preserve"> عَلِيُّ بْنُ إِبْرَاهِيمَ ، عَنْ أَبِيهِ ، عَنْ عَبْدِ اللهِ بْنِ الْمُغِيرَةِ ، عَنْ غِيَاثِ بْنِ إِبْرَاهِيمَ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بَأْسَ بِأَنْ يَزْدَرِدَ </w:t>
      </w:r>
      <w:r w:rsidRPr="00A91B96">
        <w:rPr>
          <w:rStyle w:val="libFootnotenumChar"/>
          <w:rtl/>
        </w:rPr>
        <w:t>(6)</w:t>
      </w:r>
      <w:r w:rsidRPr="00020424">
        <w:rPr>
          <w:rtl/>
          <w:lang w:bidi="fa-IR"/>
        </w:rPr>
        <w:t xml:space="preserve"> الصَّائِمُ نُخَامَتَهُ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بخ ، بر ، بف ، جن » : « الحسين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198 ، ح 10683 ؛ </w:t>
      </w:r>
      <w:r w:rsidR="00992664" w:rsidRPr="0012008A">
        <w:rPr>
          <w:rStyle w:val="libFootnoteBoldChar"/>
          <w:rtl/>
        </w:rPr>
        <w:t>الوسائل</w:t>
      </w:r>
      <w:r w:rsidR="00992664" w:rsidRPr="00020424">
        <w:rPr>
          <w:rtl/>
        </w:rPr>
        <w:t xml:space="preserve"> ، ج 10 ، ص 108 ، ح 12980.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جن » : « أيذوق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298 : « قوله </w:t>
      </w:r>
      <w:r w:rsidR="00992664" w:rsidRPr="00D64ADA">
        <w:rPr>
          <w:rStyle w:val="libFootnoteAlaemChar"/>
          <w:rtl/>
        </w:rPr>
        <w:t>عليه‌السلام</w:t>
      </w:r>
      <w:r w:rsidR="00992664" w:rsidRPr="00020424">
        <w:rPr>
          <w:rtl/>
        </w:rPr>
        <w:t xml:space="preserve"> : قال : لا. اعلم أنّ الشيخ</w:t>
      </w:r>
      <w:r w:rsidR="00992664">
        <w:rPr>
          <w:rtl/>
        </w:rPr>
        <w:t xml:space="preserve"> </w:t>
      </w:r>
      <w:r w:rsidR="009B673F">
        <w:rPr>
          <w:rtl/>
        </w:rPr>
        <w:t>-</w:t>
      </w:r>
      <w:r w:rsidR="00992664">
        <w:rPr>
          <w:rtl/>
        </w:rPr>
        <w:t xml:space="preserve"> </w:t>
      </w:r>
      <w:r w:rsidR="00D64ADA" w:rsidRPr="00D64ADA">
        <w:rPr>
          <w:rStyle w:val="libFootnoteAlaemChar"/>
          <w:rtl/>
        </w:rPr>
        <w:t>قدس‌سره</w:t>
      </w:r>
      <w:r w:rsidR="00992664">
        <w:rPr>
          <w:rtl/>
        </w:rPr>
        <w:t xml:space="preserve"> </w:t>
      </w:r>
      <w:r w:rsidR="009B673F">
        <w:rPr>
          <w:rtl/>
        </w:rPr>
        <w:t>-</w:t>
      </w:r>
      <w:r w:rsidR="00992664">
        <w:rPr>
          <w:rtl/>
        </w:rPr>
        <w:t xml:space="preserve"> </w:t>
      </w:r>
      <w:r w:rsidR="00992664" w:rsidRPr="00020424">
        <w:rPr>
          <w:rtl/>
        </w:rPr>
        <w:t xml:space="preserve">أورد هذا الخبر في الكتابين وأوّله بما لفظه في </w:t>
      </w:r>
      <w:r w:rsidR="00992664" w:rsidRPr="0012008A">
        <w:rPr>
          <w:rStyle w:val="libFootnoteBoldChar"/>
          <w:rtl/>
        </w:rPr>
        <w:t>التهذيب</w:t>
      </w:r>
      <w:r w:rsidR="00992664" w:rsidRPr="00020424">
        <w:rPr>
          <w:rtl/>
        </w:rPr>
        <w:t xml:space="preserve"> : هذه الرواية محمولة على من لا يكون له حاجة إلى ذلك ، والرخصة إنّما وردت في ذلك لصاحبة الصبيّ ، أو الطبّاخ الذي يخاف فساد طعامه ، أو من عنده طائر إن لم يزقّه هلك ، فأمّا من هو مستغن عن جميع ذلك فلا يجوز له أن يزقّ الطعام. انتهى. ولا يخفى ما فيه من البعد ؛ إذ لا دلالة في الأخبار السابقة على التقييد الذي اعتبره ، والأولى الحمل على الكراهة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312 ، ح 943 ؛ </w:t>
      </w:r>
      <w:r w:rsidR="00992664" w:rsidRPr="00FD6221">
        <w:rPr>
          <w:rStyle w:val="libFootnoteBoldChar"/>
          <w:rtl/>
        </w:rPr>
        <w:t>والاستبصار</w:t>
      </w:r>
      <w:r w:rsidR="00992664" w:rsidRPr="00020424">
        <w:rPr>
          <w:rtl/>
        </w:rPr>
        <w:t xml:space="preserve"> ، ج 2 ، ص 95 ، ح 309 ، معلّقاً عن الحسين بن سعيد </w:t>
      </w:r>
      <w:r w:rsidR="00C13608">
        <w:rPr>
          <w:rFonts w:hint="cs"/>
          <w:rtl/>
        </w:rPr>
        <w:t>.</w:t>
      </w:r>
      <w:r w:rsidR="00992664" w:rsidRPr="0012008A">
        <w:rPr>
          <w:rStyle w:val="libFootnoteBoldChar"/>
          <w:rtl/>
        </w:rPr>
        <w:t>الوافي</w:t>
      </w:r>
      <w:r w:rsidR="00992664" w:rsidRPr="00020424">
        <w:rPr>
          <w:rtl/>
        </w:rPr>
        <w:t xml:space="preserve"> ، ج 11 ، ص 200 ، ح 10689 ؛ </w:t>
      </w:r>
      <w:r w:rsidR="00992664" w:rsidRPr="0012008A">
        <w:rPr>
          <w:rStyle w:val="libFootnoteBoldChar"/>
          <w:rtl/>
        </w:rPr>
        <w:t>الوسائل</w:t>
      </w:r>
      <w:r w:rsidR="00992664" w:rsidRPr="00020424">
        <w:rPr>
          <w:rtl/>
        </w:rPr>
        <w:t xml:space="preserve"> ، ج 10 ، ص 106 ، ذيل ح 12972.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الازدراد : الابتلاع ؛ يقال : زرد الرجل اللقمة يزردها ، من باب تعب ، أي بلعها</w:t>
      </w:r>
      <w:r w:rsidR="006C4B90">
        <w:rPr>
          <w:rtl/>
        </w:rPr>
        <w:t xml:space="preserve"> وابتلعها ، وازدردها مثله. راجع</w:t>
      </w:r>
      <w:r w:rsidR="00992664" w:rsidRPr="00020424">
        <w:rPr>
          <w:rtl/>
        </w:rPr>
        <w:t xml:space="preserve">: </w:t>
      </w:r>
      <w:r w:rsidR="00992664" w:rsidRPr="0012008A">
        <w:rPr>
          <w:rStyle w:val="libFootnoteBoldChar"/>
          <w:rtl/>
        </w:rPr>
        <w:t>الصحاح</w:t>
      </w:r>
      <w:r w:rsidR="00992664" w:rsidRPr="00020424">
        <w:rPr>
          <w:rtl/>
        </w:rPr>
        <w:t xml:space="preserve"> ، ج 2 ، ص 480 ؛ </w:t>
      </w:r>
      <w:r w:rsidR="00992664" w:rsidRPr="00A722B1">
        <w:rPr>
          <w:rStyle w:val="libFootnoteBoldChar"/>
          <w:rtl/>
        </w:rPr>
        <w:t>المصباح المنير</w:t>
      </w:r>
      <w:r w:rsidR="00992664" w:rsidRPr="00020424">
        <w:rPr>
          <w:rtl/>
        </w:rPr>
        <w:t xml:space="preserve"> ، ص 252 ( زرد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قال الخليل : « النخامة : ما يخرج من الخيشوم عند التنخّع</w:t>
      </w:r>
      <w:r w:rsidR="00992664">
        <w:rPr>
          <w:rtl/>
        </w:rPr>
        <w:t xml:space="preserve"> ».</w:t>
      </w:r>
      <w:r w:rsidR="00992664" w:rsidRPr="00020424">
        <w:rPr>
          <w:rtl/>
        </w:rPr>
        <w:t xml:space="preserve"> وقال ابن الأثير : « النخامة : البزقة التي تخرج من أقصى الحلق ومن مخرج الخاء المعجمة</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3 ، ص 177 ؛ </w:t>
      </w:r>
      <w:r w:rsidR="00992664" w:rsidRPr="0012008A">
        <w:rPr>
          <w:rStyle w:val="libFootnoteBoldChar"/>
          <w:rtl/>
        </w:rPr>
        <w:t>النهاية</w:t>
      </w:r>
      <w:r w:rsidR="00992664" w:rsidRPr="00020424">
        <w:rPr>
          <w:rtl/>
        </w:rPr>
        <w:t xml:space="preserve"> ، ج 5 ، ص 34 ( نخم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323 ، ح 995 ، بسنده عن غياث ،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الجعفريّات</w:t>
      </w:r>
      <w:r w:rsidR="00992664" w:rsidRPr="00020424">
        <w:rPr>
          <w:rtl/>
        </w:rPr>
        <w:t xml:space="preserve"> ، ص 92 ، بسند آخر </w:t>
      </w:r>
      <w:r w:rsidR="005F5ED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E3504">
        <w:rPr>
          <w:rtl/>
        </w:rPr>
        <w:t>6444</w:t>
      </w:r>
      <w:r w:rsidRPr="001155DE">
        <w:rPr>
          <w:rStyle w:val="libBold2Char"/>
          <w:rtl/>
        </w:rPr>
        <w:t xml:space="preserve"> / 2.</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 أَنَّ عَلِيّاً </w:t>
      </w:r>
      <w:r w:rsidRPr="00005A81">
        <w:rPr>
          <w:rStyle w:val="libAlaemChar"/>
          <w:rtl/>
        </w:rPr>
        <w:t>عليه‌السلام</w:t>
      </w:r>
      <w:r w:rsidRPr="00020424">
        <w:rPr>
          <w:rtl/>
          <w:lang w:bidi="fa-IR"/>
        </w:rPr>
        <w:t xml:space="preserve"> سُئِلَ عَنِ الذُّبَابِ يَدْخُلُ حَلْقَ الصَّائِمِ</w:t>
      </w:r>
      <w:r>
        <w:rPr>
          <w:rtl/>
          <w:lang w:bidi="fa-IR"/>
        </w:rPr>
        <w:t>؟</w:t>
      </w:r>
    </w:p>
    <w:p w:rsidR="00992664" w:rsidRPr="00020424" w:rsidRDefault="00992664" w:rsidP="006C4B90">
      <w:pPr>
        <w:pStyle w:val="libNormal"/>
        <w:rPr>
          <w:rtl/>
          <w:lang w:bidi="fa-IR"/>
        </w:rPr>
      </w:pPr>
      <w:r w:rsidRPr="00020424">
        <w:rPr>
          <w:rtl/>
          <w:lang w:bidi="fa-IR"/>
        </w:rPr>
        <w:t xml:space="preserve">قَالَ : لَيْسَ عَلَيْهِ قَضَاءٌ ؛ لِأَنَّهُ لَيْسَ بِطَعَامٍ </w:t>
      </w:r>
      <w:r w:rsidRPr="00A91B96">
        <w:rPr>
          <w:rStyle w:val="libFootnotenumChar"/>
          <w:rtl/>
        </w:rPr>
        <w:t>(1)</w:t>
      </w:r>
      <w:r>
        <w:rPr>
          <w:rtl/>
          <w:lang w:bidi="fa-IR"/>
        </w:rPr>
        <w:t xml:space="preserve"> ».</w:t>
      </w:r>
      <w:r w:rsidRPr="00A91B96">
        <w:rPr>
          <w:rStyle w:val="libFootnotenumChar"/>
          <w:rtl/>
        </w:rPr>
        <w:t>(2)</w:t>
      </w:r>
    </w:p>
    <w:p w:rsidR="00992664" w:rsidRPr="00020424" w:rsidRDefault="00992664" w:rsidP="00992664">
      <w:pPr>
        <w:pStyle w:val="Heading2Center"/>
        <w:rPr>
          <w:rtl/>
          <w:lang w:bidi="fa-IR"/>
        </w:rPr>
      </w:pPr>
      <w:bookmarkStart w:id="406" w:name="_Toc345172851"/>
      <w:bookmarkStart w:id="407" w:name="_Toc464562668"/>
      <w:bookmarkStart w:id="408" w:name="_Toc44599972"/>
      <w:r w:rsidRPr="00020424">
        <w:rPr>
          <w:rtl/>
          <w:lang w:bidi="fa-IR"/>
        </w:rPr>
        <w:t>36</w:t>
      </w:r>
      <w:r>
        <w:rPr>
          <w:rtl/>
          <w:lang w:bidi="fa-IR"/>
        </w:rPr>
        <w:t xml:space="preserve"> </w:t>
      </w:r>
      <w:r w:rsidR="009B673F">
        <w:rPr>
          <w:rtl/>
          <w:lang w:bidi="fa-IR"/>
        </w:rPr>
        <w:t>-</w:t>
      </w:r>
      <w:r>
        <w:rPr>
          <w:rtl/>
          <w:lang w:bidi="fa-IR"/>
        </w:rPr>
        <w:t xml:space="preserve"> </w:t>
      </w:r>
      <w:r w:rsidRPr="00020424">
        <w:rPr>
          <w:rtl/>
          <w:lang w:bidi="fa-IR"/>
        </w:rPr>
        <w:t>بَابٌ فِي الرَّجُلِ يَمُصُّ الْخَاتَمَ وَالْحَصَاةَ وَالنَّوَاةَ‌</w:t>
      </w:r>
      <w:bookmarkEnd w:id="406"/>
      <w:bookmarkEnd w:id="407"/>
      <w:bookmarkEnd w:id="408"/>
    </w:p>
    <w:p w:rsidR="00992664" w:rsidRPr="00020424" w:rsidRDefault="00992664" w:rsidP="00992664">
      <w:pPr>
        <w:pStyle w:val="libNormal"/>
        <w:rPr>
          <w:rtl/>
          <w:lang w:bidi="fa-IR"/>
        </w:rPr>
      </w:pPr>
      <w:r w:rsidRPr="002E3504">
        <w:rPr>
          <w:rtl/>
        </w:rPr>
        <w:t>6445</w:t>
      </w:r>
      <w:r w:rsidRPr="001155DE">
        <w:rPr>
          <w:rStyle w:val="libBold2Char"/>
          <w:rtl/>
        </w:rPr>
        <w:t xml:space="preserve"> / 1.</w:t>
      </w:r>
      <w:r w:rsidRPr="00020424">
        <w:rPr>
          <w:rtl/>
          <w:lang w:bidi="fa-IR"/>
        </w:rPr>
        <w:t xml:space="preserve"> عِدَّةٌ مِنْ أَصْحَابِنَا ، عَنْ أَحْمَدَ بْنِ مُحَمَّدٍ ، عَنِ الْحُسَيْنِ بْنِ سَعِيدٍ ، عَنِ النَّضْرِ بْنِ سُوَيْدٍ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يَعْطَشُ فِي شَهْرِ رَمَضَانَ ، قَالَ : « لَا بَأْسَ بِأَنْ </w:t>
      </w:r>
      <w:r w:rsidRPr="00A91B96">
        <w:rPr>
          <w:rStyle w:val="libFootnotenumChar"/>
          <w:rtl/>
        </w:rPr>
        <w:t>(3)</w:t>
      </w:r>
      <w:r w:rsidRPr="00020424">
        <w:rPr>
          <w:rtl/>
          <w:lang w:bidi="fa-IR"/>
        </w:rPr>
        <w:t xml:space="preserve"> يَمُصَّ الْخَاتَمَ</w:t>
      </w:r>
      <w:r>
        <w:rPr>
          <w:rtl/>
          <w:lang w:bidi="fa-IR"/>
        </w:rPr>
        <w:t>».</w:t>
      </w:r>
      <w:r w:rsidRPr="00A91B96">
        <w:rPr>
          <w:rStyle w:val="libFootnotenumChar"/>
          <w:rtl/>
        </w:rPr>
        <w:t>(4)</w:t>
      </w:r>
    </w:p>
    <w:p w:rsidR="00992664" w:rsidRPr="00020424" w:rsidRDefault="00992664" w:rsidP="00992664">
      <w:pPr>
        <w:pStyle w:val="libNormal"/>
        <w:rPr>
          <w:rtl/>
          <w:lang w:bidi="fa-IR"/>
        </w:rPr>
      </w:pPr>
      <w:r w:rsidRPr="002E3504">
        <w:rPr>
          <w:rtl/>
        </w:rPr>
        <w:t>6446</w:t>
      </w:r>
      <w:r w:rsidRPr="001155DE">
        <w:rPr>
          <w:rStyle w:val="libBold2Char"/>
          <w:rtl/>
        </w:rPr>
        <w:t xml:space="preserve"> / 2.</w:t>
      </w:r>
      <w:r w:rsidRPr="00020424">
        <w:rPr>
          <w:rtl/>
          <w:lang w:bidi="fa-IR"/>
        </w:rPr>
        <w:t xml:space="preserve"> أَحْمَدُ بْنُ مُحَمَّدٍ </w:t>
      </w:r>
      <w:r w:rsidRPr="00A91B96">
        <w:rPr>
          <w:rStyle w:val="libFootnotenumChar"/>
          <w:rtl/>
        </w:rPr>
        <w:t>(5)</w:t>
      </w:r>
      <w:r w:rsidRPr="00020424">
        <w:rPr>
          <w:rtl/>
          <w:lang w:bidi="fa-IR"/>
        </w:rPr>
        <w:t xml:space="preserve"> ، عَنْ عَلِيِّ بْنِ الْحَسَنِ ، عَنْ مُحَسِّنِ بْنِ أَحْمَدَ ، عَنْ يُونُسَ بْنِ يَعْقُوبَ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الْخَاتَمُ فِي فَمِ الصَّائِمِ لَيْسَ بِهِ بَأْسٌ ، فَأَمَّا النَّوَاةُ فَلَا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8B767C" w:rsidP="00992664">
      <w:pPr>
        <w:pStyle w:val="libFootnote0"/>
        <w:rPr>
          <w:rtl/>
          <w:lang w:bidi="fa-IR"/>
        </w:rPr>
      </w:pPr>
      <w:r>
        <w:rPr>
          <w:rFonts w:hint="cs"/>
          <w:rtl/>
        </w:rPr>
        <w:t xml:space="preserve">= </w:t>
      </w:r>
      <w:r w:rsidR="00992664" w:rsidRPr="00020424">
        <w:rPr>
          <w:rtl/>
        </w:rPr>
        <w:t xml:space="preserve">عن جعفر بن محمّد </w:t>
      </w:r>
      <w:r w:rsidR="00D64ADA" w:rsidRPr="00D64ADA">
        <w:rPr>
          <w:rStyle w:val="libFootnoteAlaemChar"/>
          <w:rtl/>
        </w:rPr>
        <w:t>عليهما‌السلام</w:t>
      </w:r>
      <w:r w:rsidR="00992664" w:rsidRPr="00020424">
        <w:rPr>
          <w:rtl/>
        </w:rPr>
        <w:t xml:space="preserve"> </w:t>
      </w:r>
      <w:r w:rsidR="00DD1DCE">
        <w:rPr>
          <w:rFonts w:hint="cs"/>
          <w:rtl/>
        </w:rPr>
        <w:t>.</w:t>
      </w:r>
      <w:r w:rsidR="00992664" w:rsidRPr="0012008A">
        <w:rPr>
          <w:rStyle w:val="libFootnoteBoldChar"/>
          <w:rtl/>
        </w:rPr>
        <w:t>الوافي</w:t>
      </w:r>
      <w:r w:rsidR="00992664" w:rsidRPr="00020424">
        <w:rPr>
          <w:rtl/>
        </w:rPr>
        <w:t xml:space="preserve"> ، ج 11 ، ص 201 ، ح 10690 ؛ </w:t>
      </w:r>
      <w:r w:rsidR="00992664" w:rsidRPr="0012008A">
        <w:rPr>
          <w:rStyle w:val="libFootnoteBoldChar"/>
          <w:rtl/>
        </w:rPr>
        <w:t>الوسائل</w:t>
      </w:r>
      <w:r w:rsidR="00992664" w:rsidRPr="00020424">
        <w:rPr>
          <w:rtl/>
        </w:rPr>
        <w:t xml:space="preserve"> ، ج 10 ، ص 108 ، ح 12981.</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لأنّه ليس بطعام ، أي ليس ممّا يعتاد أكله ، أو ليس دخول الذباب ممّا يعدّ طعماً وأكلاً ، والأوّل أظهر لفظاً والثاني معنى</w:t>
      </w:r>
      <w:r w:rsidR="00992664">
        <w:rPr>
          <w:rtl/>
        </w:rPr>
        <w:t xml:space="preserve"> ».</w:t>
      </w:r>
    </w:p>
    <w:p w:rsidR="00992664" w:rsidRPr="00020424" w:rsidRDefault="00795177" w:rsidP="00C5369C">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323 ، ح 994 ، معلّقاً عن هارون بن مسلم </w:t>
      </w:r>
      <w:r w:rsidR="00DD1DCE">
        <w:rPr>
          <w:rFonts w:hint="cs"/>
          <w:rtl/>
        </w:rPr>
        <w:t>.</w:t>
      </w:r>
      <w:r w:rsidR="00992664" w:rsidRPr="0012008A">
        <w:rPr>
          <w:rStyle w:val="libFootnoteBoldChar"/>
          <w:rtl/>
        </w:rPr>
        <w:t>الوافي</w:t>
      </w:r>
      <w:r w:rsidR="00C5369C">
        <w:rPr>
          <w:rtl/>
        </w:rPr>
        <w:t xml:space="preserve"> ، ج 11 ، ص 201 ، ح 10691</w:t>
      </w:r>
      <w:r w:rsidR="00992664" w:rsidRPr="00020424">
        <w:rPr>
          <w:rtl/>
        </w:rPr>
        <w:t>؛</w:t>
      </w:r>
      <w:r w:rsidR="00992664" w:rsidRPr="0012008A">
        <w:rPr>
          <w:rStyle w:val="libFootnoteBoldChar"/>
          <w:rtl/>
        </w:rPr>
        <w:t>الوسائل</w:t>
      </w:r>
      <w:r w:rsidR="00C5369C">
        <w:rPr>
          <w:rtl/>
        </w:rPr>
        <w:t>،ج10،ص 109،</w:t>
      </w:r>
      <w:r w:rsidR="00992664" w:rsidRPr="00020424">
        <w:rPr>
          <w:rtl/>
        </w:rPr>
        <w:t>ح 12982.</w:t>
      </w:r>
      <w:r w:rsidR="00C5369C">
        <w:rPr>
          <w:rFonts w:hint="cs"/>
          <w:rtl/>
        </w:rPr>
        <w:t xml:space="preserve">          </w:t>
      </w:r>
      <w:r>
        <w:rPr>
          <w:rtl/>
        </w:rPr>
        <w:t>(3).</w:t>
      </w:r>
      <w:r w:rsidR="0014403D">
        <w:rPr>
          <w:rtl/>
        </w:rPr>
        <w:t xml:space="preserve"> </w:t>
      </w:r>
      <w:r w:rsidR="00992664" w:rsidRPr="00020424">
        <w:rPr>
          <w:rtl/>
        </w:rPr>
        <w:t>في « بس » : « أن » بدون الباء.</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324 ، ح 1001 ، معلّقاً عن أحمد ، عن الحسين ، عن النضر بن سويد </w:t>
      </w:r>
      <w:r w:rsidR="00C5369C">
        <w:rPr>
          <w:rFonts w:hint="cs"/>
          <w:rtl/>
        </w:rPr>
        <w:t>.</w:t>
      </w:r>
      <w:r w:rsidR="00992664" w:rsidRPr="0012008A">
        <w:rPr>
          <w:rStyle w:val="libFootnoteBoldChar"/>
          <w:rtl/>
        </w:rPr>
        <w:t>الوافي</w:t>
      </w:r>
      <w:r w:rsidR="00992664" w:rsidRPr="00020424">
        <w:rPr>
          <w:rtl/>
        </w:rPr>
        <w:t xml:space="preserve"> ، ج 11 ، ص 202 ، ح 10693 ؛ </w:t>
      </w:r>
      <w:r w:rsidR="00992664" w:rsidRPr="0012008A">
        <w:rPr>
          <w:rStyle w:val="libFootnoteBoldChar"/>
          <w:rtl/>
        </w:rPr>
        <w:t>الوسائل</w:t>
      </w:r>
      <w:r w:rsidR="00992664" w:rsidRPr="00020424">
        <w:rPr>
          <w:rtl/>
        </w:rPr>
        <w:t xml:space="preserve"> ، ج 10 ، ص 109 ، ح 12983.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عليّ بن الحسن الراوي عن محسِّن بن أحمد ، هو عليّ بن الحسن بن عليّ بن فضّال. وأحمد بن محمّدالراوي عنه ، هو الشيخ المصنّف ، والمراد به أحمد بن محمّد العاصميّ الكوفي. فلا يُتَوهّمُ وقوع التعليق في السند.</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112 ، ح 1870 ، بسند آخر ، مع اختلاف يسير </w:t>
      </w:r>
      <w:r w:rsidR="00F6152A">
        <w:rPr>
          <w:rFonts w:hint="cs"/>
          <w:rtl/>
        </w:rPr>
        <w:t>.</w:t>
      </w:r>
      <w:r w:rsidR="00992664" w:rsidRPr="0012008A">
        <w:rPr>
          <w:rStyle w:val="libFootnoteBoldChar"/>
          <w:rtl/>
        </w:rPr>
        <w:t>الوافي</w:t>
      </w:r>
      <w:r w:rsidR="00992664" w:rsidRPr="00020424">
        <w:rPr>
          <w:rtl/>
        </w:rPr>
        <w:t xml:space="preserve"> ، ج 11 ، ص 202 ، ح 10694 ؛ </w:t>
      </w:r>
      <w:r w:rsidR="00B47C9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09" w:name="_Toc345172852"/>
      <w:bookmarkStart w:id="410" w:name="_Toc464562669"/>
      <w:bookmarkStart w:id="411" w:name="_Toc44599973"/>
      <w:r w:rsidRPr="00020424">
        <w:rPr>
          <w:rtl/>
          <w:lang w:bidi="fa-IR"/>
        </w:rPr>
        <w:t>37</w:t>
      </w:r>
      <w:r>
        <w:rPr>
          <w:rtl/>
          <w:lang w:bidi="fa-IR"/>
        </w:rPr>
        <w:t xml:space="preserve"> </w:t>
      </w:r>
      <w:r w:rsidR="009B673F">
        <w:rPr>
          <w:rtl/>
          <w:lang w:bidi="fa-IR"/>
        </w:rPr>
        <w:t>-</w:t>
      </w:r>
      <w:r>
        <w:rPr>
          <w:rtl/>
          <w:lang w:bidi="fa-IR"/>
        </w:rPr>
        <w:t xml:space="preserve"> </w:t>
      </w:r>
      <w:r w:rsidRPr="00020424">
        <w:rPr>
          <w:rtl/>
          <w:lang w:bidi="fa-IR"/>
        </w:rPr>
        <w:t>بَابُ الشَّيْخِ وَالْعَجُوزِ يَضْعُفَانِ عَنِ الصَّوْمِ‌</w:t>
      </w:r>
      <w:bookmarkEnd w:id="409"/>
      <w:bookmarkEnd w:id="410"/>
      <w:bookmarkEnd w:id="411"/>
    </w:p>
    <w:p w:rsidR="00992664" w:rsidRPr="00020424" w:rsidRDefault="00992664" w:rsidP="00992664">
      <w:pPr>
        <w:pStyle w:val="libNormal"/>
        <w:rPr>
          <w:rtl/>
          <w:lang w:bidi="fa-IR"/>
        </w:rPr>
      </w:pPr>
      <w:r w:rsidRPr="002E3504">
        <w:rPr>
          <w:rtl/>
        </w:rPr>
        <w:t>6447</w:t>
      </w:r>
      <w:r w:rsidRPr="001155DE">
        <w:rPr>
          <w:rStyle w:val="libBold2Char"/>
          <w:rtl/>
        </w:rPr>
        <w:t xml:space="preserve"> / 1.</w:t>
      </w:r>
      <w:r w:rsidRPr="00020424">
        <w:rPr>
          <w:rtl/>
          <w:lang w:bidi="fa-IR"/>
        </w:rPr>
        <w:t xml:space="preserve"> مُحَمَّدُ بْنُ يَحْيى ، عَنْ مُحَمَّدِ بْنِ الْحُسَيْنِ ، عَنْ صَفْوَانَ بْنِ يَحْيى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وَعَلَى الَّذِينَ يُطِيقُونَهُ فِدْيَةٌ طَع</w:t>
      </w:r>
      <w:r w:rsidR="00A712F8">
        <w:rPr>
          <w:rStyle w:val="libAieChar"/>
          <w:rFonts w:hint="cs"/>
          <w:rtl/>
        </w:rPr>
        <w:t>َ</w:t>
      </w:r>
      <w:r w:rsidRPr="004E5AB4">
        <w:rPr>
          <w:rStyle w:val="libAieChar"/>
          <w:rtl/>
        </w:rPr>
        <w:t xml:space="preserve">امُ مِسْكِينٍ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قَالَ : « الشَّيْخُ الْكَبِيرُ وَالَّذِي يَأْخُذُهُ الْعُطَاشُ </w:t>
      </w:r>
      <w:r w:rsidRPr="00A91B96">
        <w:rPr>
          <w:rStyle w:val="libFootnotenumChar"/>
          <w:rtl/>
        </w:rPr>
        <w:t>(2)</w:t>
      </w:r>
      <w:r>
        <w:rPr>
          <w:rtl/>
          <w:lang w:bidi="fa-IR"/>
        </w:rPr>
        <w:t xml:space="preserve"> ».</w:t>
      </w:r>
    </w:p>
    <w:p w:rsidR="00992664" w:rsidRPr="00020424" w:rsidRDefault="00992664" w:rsidP="00657C86">
      <w:pPr>
        <w:pStyle w:val="libNormal"/>
        <w:rPr>
          <w:rtl/>
          <w:lang w:bidi="fa-IR"/>
        </w:rPr>
      </w:pPr>
      <w:r w:rsidRPr="00020424">
        <w:rPr>
          <w:rtl/>
          <w:lang w:bidi="fa-IR"/>
        </w:rPr>
        <w:t xml:space="preserve">وَعَنْ قَوْلِهِ عَزَّ وَجَلَّ : </w:t>
      </w:r>
      <w:r w:rsidRPr="00005A81">
        <w:rPr>
          <w:rStyle w:val="libAlaemChar"/>
          <w:rtl/>
        </w:rPr>
        <w:t>(</w:t>
      </w:r>
      <w:r w:rsidRPr="004E5AB4">
        <w:rPr>
          <w:rStyle w:val="libAieChar"/>
          <w:rtl/>
        </w:rPr>
        <w:t xml:space="preserve"> فَمَنْ لَمْ يَسْتَطِعْ فَإِطْعامُ سِتِّينَ مِسْكِيناً </w:t>
      </w:r>
      <w:r w:rsidRPr="00005A81">
        <w:rPr>
          <w:rStyle w:val="libAlaemChar"/>
          <w:rtl/>
        </w:rPr>
        <w:t>)</w:t>
      </w:r>
      <w:r w:rsidRPr="00020424">
        <w:rPr>
          <w:rtl/>
          <w:lang w:bidi="fa-IR"/>
        </w:rPr>
        <w:t xml:space="preserve"> </w:t>
      </w:r>
      <w:r w:rsidRPr="00A91B96">
        <w:rPr>
          <w:rStyle w:val="libFootnotenumChar"/>
          <w:rtl/>
        </w:rPr>
        <w:t>(3)</w:t>
      </w:r>
      <w:r w:rsidRPr="00020424">
        <w:rPr>
          <w:rtl/>
          <w:lang w:bidi="fa-IR"/>
        </w:rPr>
        <w:t xml:space="preserve"> قَالَ : « مِنْ مَرَضٍ ، أَوْ عُطَاشٍ</w:t>
      </w:r>
      <w:r>
        <w:rPr>
          <w:rtl/>
          <w:lang w:bidi="fa-IR"/>
        </w:rPr>
        <w:t xml:space="preserve"> ».</w:t>
      </w:r>
      <w:r w:rsidRPr="00020424">
        <w:rPr>
          <w:rtl/>
          <w:lang w:bidi="fa-IR"/>
        </w:rPr>
        <w:t xml:space="preserve"> </w:t>
      </w:r>
      <w:r w:rsidRPr="00A91B96">
        <w:rPr>
          <w:rStyle w:val="libFootnotenumChar"/>
          <w:rtl/>
        </w:rPr>
        <w:t>(4)</w:t>
      </w:r>
    </w:p>
    <w:p w:rsidR="00992664" w:rsidRPr="00020424" w:rsidRDefault="00992664" w:rsidP="00992664">
      <w:pPr>
        <w:pStyle w:val="libNormal"/>
        <w:rPr>
          <w:rtl/>
          <w:lang w:bidi="fa-IR"/>
        </w:rPr>
      </w:pPr>
      <w:r w:rsidRPr="002E3504">
        <w:rPr>
          <w:rtl/>
        </w:rPr>
        <w:t>6448</w:t>
      </w:r>
      <w:r w:rsidRPr="001155DE">
        <w:rPr>
          <w:rStyle w:val="libBold2Char"/>
          <w:rtl/>
        </w:rPr>
        <w:t xml:space="preserve"> / 2.</w:t>
      </w:r>
      <w:r w:rsidRPr="00020424">
        <w:rPr>
          <w:rtl/>
          <w:lang w:bidi="fa-IR"/>
        </w:rPr>
        <w:t xml:space="preserve"> عِدَّةٌ مِنْ أَصْحَابِنَا ، عَنْ أَحْمَدَ بْنِ مُحَمَّدٍ ، عَنْ عَلِيِّ بْنِ الْحَكَمِ ، عَنْ عَبْدِ الْمَلِكِ بْنِ عُتْبَةَ الْهَاشِمِيِّ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A712F8" w:rsidP="00992664">
      <w:pPr>
        <w:pStyle w:val="libFootnote0"/>
        <w:rPr>
          <w:rtl/>
          <w:lang w:bidi="fa-IR"/>
        </w:rPr>
      </w:pPr>
      <w:r w:rsidRPr="00A712F8">
        <w:rPr>
          <w:rFonts w:hint="cs"/>
          <w:rtl/>
        </w:rPr>
        <w:t xml:space="preserve">= </w:t>
      </w:r>
      <w:r w:rsidR="00992664" w:rsidRPr="0012008A">
        <w:rPr>
          <w:rStyle w:val="libFootnoteBoldChar"/>
          <w:rtl/>
        </w:rPr>
        <w:t>الوسائل</w:t>
      </w:r>
      <w:r w:rsidR="00992664" w:rsidRPr="00020424">
        <w:rPr>
          <w:rtl/>
        </w:rPr>
        <w:t xml:space="preserve"> ، ج 10 ، ص 110 ، ح 12984.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سورة البقرة </w:t>
      </w:r>
      <w:r w:rsidR="00A825E1">
        <w:rPr>
          <w:rtl/>
        </w:rPr>
        <w:t>(2)</w:t>
      </w:r>
      <w:r w:rsidR="0014403D">
        <w:rPr>
          <w:rtl/>
        </w:rPr>
        <w:t xml:space="preserve"> </w:t>
      </w:r>
      <w:r w:rsidR="00992664" w:rsidRPr="00020424">
        <w:rPr>
          <w:rtl/>
        </w:rPr>
        <w:t xml:space="preserve">: 184 </w:t>
      </w:r>
      <w:r w:rsidR="00992664">
        <w:rPr>
          <w:rtl/>
        </w:rPr>
        <w:t>و «</w:t>
      </w:r>
      <w:r w:rsidR="00992664" w:rsidRPr="00020424">
        <w:rPr>
          <w:rtl/>
        </w:rPr>
        <w:t xml:space="preserve"> بخ ، بر</w:t>
      </w:r>
      <w:r w:rsidR="00992664">
        <w:rPr>
          <w:rtl/>
        </w:rPr>
        <w:t xml:space="preserve"> ».</w:t>
      </w:r>
      <w:r w:rsidR="00992664" w:rsidRPr="00020424">
        <w:rPr>
          <w:rtl/>
        </w:rPr>
        <w:t xml:space="preserve"> وفي « ظ ، ى ، بث ، بف ، جن » والمطبوع </w:t>
      </w:r>
      <w:r w:rsidR="00992664" w:rsidRPr="00515444">
        <w:rPr>
          <w:rStyle w:val="libFootnoteBoldChar"/>
          <w:rtl/>
        </w:rPr>
        <w:t>والوافي</w:t>
      </w:r>
      <w:r w:rsidR="00992664" w:rsidRPr="00020424">
        <w:rPr>
          <w:rtl/>
        </w:rPr>
        <w:t xml:space="preserve"> : « مساكين</w:t>
      </w:r>
      <w:r w:rsidR="00992664">
        <w:rPr>
          <w:rtl/>
        </w:rPr>
        <w:t xml:space="preserve"> ».</w:t>
      </w:r>
      <w:r w:rsidR="00992664" w:rsidRPr="00020424">
        <w:rPr>
          <w:rtl/>
        </w:rPr>
        <w:t xml:space="preserve"> وفي هامش </w:t>
      </w:r>
      <w:r w:rsidR="00992664" w:rsidRPr="0012008A">
        <w:rPr>
          <w:rStyle w:val="libFootnoteBoldChar"/>
          <w:rtl/>
        </w:rPr>
        <w:t>الوافي</w:t>
      </w:r>
      <w:r w:rsidR="00992664" w:rsidRPr="00020424">
        <w:rPr>
          <w:rtl/>
        </w:rPr>
        <w:t xml:space="preserve"> عن ابن المصنّف : « كذا في </w:t>
      </w:r>
      <w:r w:rsidR="00992664" w:rsidRPr="00DE76B9">
        <w:rPr>
          <w:rStyle w:val="libFootnoteBoldChar"/>
          <w:rtl/>
        </w:rPr>
        <w:t>الكافي</w:t>
      </w:r>
      <w:r w:rsidR="00992664" w:rsidRPr="00020424">
        <w:rPr>
          <w:rtl/>
        </w:rPr>
        <w:t xml:space="preserve"> ، وفي نسخ </w:t>
      </w:r>
      <w:r w:rsidR="00992664" w:rsidRPr="0012008A">
        <w:rPr>
          <w:rStyle w:val="libFootnoteBoldChar"/>
          <w:rtl/>
        </w:rPr>
        <w:t>التهذيب</w:t>
      </w:r>
      <w:r w:rsidR="00992664" w:rsidRPr="00020424">
        <w:rPr>
          <w:rtl/>
        </w:rPr>
        <w:t xml:space="preserve"> التي عندنا : </w:t>
      </w:r>
      <w:r w:rsidR="00992664" w:rsidRPr="00A825E1">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طَعامُ مِسْكِينٍ </w:t>
      </w:r>
      <w:r w:rsidR="00992664" w:rsidRPr="00A825E1">
        <w:rPr>
          <w:rStyle w:val="libFootnoteAlaemChar"/>
          <w:rtl/>
        </w:rPr>
        <w:t>)</w:t>
      </w:r>
      <w:r w:rsidR="00992664" w:rsidRPr="00020424">
        <w:rPr>
          <w:rtl/>
        </w:rPr>
        <w:t xml:space="preserve"> ، وبهما قرئ الآية</w:t>
      </w:r>
      <w:r w:rsidR="00992664">
        <w:rPr>
          <w:rtl/>
        </w:rPr>
        <w:t xml:space="preserve"> ».</w:t>
      </w:r>
      <w:r w:rsidR="00992664" w:rsidRPr="00020424">
        <w:rPr>
          <w:rtl/>
        </w:rPr>
        <w:t xml:space="preserve"> وفي هامش </w:t>
      </w:r>
      <w:r w:rsidR="00992664" w:rsidRPr="00DE76B9">
        <w:rPr>
          <w:rStyle w:val="libFootnoteBoldChar"/>
          <w:rtl/>
        </w:rPr>
        <w:t>الكافي</w:t>
      </w:r>
      <w:r w:rsidR="00A825E1">
        <w:rPr>
          <w:rtl/>
        </w:rPr>
        <w:t xml:space="preserve"> المطبوع عن العل</w:t>
      </w:r>
      <w:r w:rsidR="00A825E1">
        <w:rPr>
          <w:rFonts w:hint="cs"/>
          <w:rtl/>
        </w:rPr>
        <w:t>ّ</w:t>
      </w:r>
      <w:r w:rsidR="00A825E1">
        <w:rPr>
          <w:rtl/>
        </w:rPr>
        <w:t>ا</w:t>
      </w:r>
      <w:r w:rsidR="00992664" w:rsidRPr="00020424">
        <w:rPr>
          <w:rtl/>
        </w:rPr>
        <w:t>مة المجلسي : « هكذا في النسخ التي بين أظهرنا في الموضعين</w:t>
      </w:r>
      <w:r w:rsidR="00992664">
        <w:rPr>
          <w:rtl/>
        </w:rPr>
        <w:t xml:space="preserve"> </w:t>
      </w:r>
      <w:r w:rsidR="009B673F">
        <w:rPr>
          <w:rtl/>
        </w:rPr>
        <w:t>-</w:t>
      </w:r>
      <w:r w:rsidR="00992664">
        <w:rPr>
          <w:rtl/>
        </w:rPr>
        <w:t xml:space="preserve"> </w:t>
      </w:r>
      <w:r w:rsidR="00992664" w:rsidRPr="00020424">
        <w:rPr>
          <w:rtl/>
        </w:rPr>
        <w:t>أي في كليهما : مساكين</w:t>
      </w:r>
      <w:r w:rsidR="00992664">
        <w:rPr>
          <w:rtl/>
        </w:rPr>
        <w:t xml:space="preserve"> </w:t>
      </w:r>
      <w:r w:rsidR="009B673F">
        <w:rPr>
          <w:rtl/>
        </w:rPr>
        <w:t>-</w:t>
      </w:r>
      <w:r w:rsidR="00992664">
        <w:rPr>
          <w:rtl/>
        </w:rPr>
        <w:t xml:space="preserve"> </w:t>
      </w:r>
      <w:r w:rsidR="00992664" w:rsidRPr="00020424">
        <w:rPr>
          <w:rtl/>
        </w:rPr>
        <w:t xml:space="preserve">وفي التنزيل : </w:t>
      </w:r>
      <w:r w:rsidR="00992664" w:rsidRPr="008B722D">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فِدْيَةٌ طَعامُ مِسْكِينٍ </w:t>
      </w:r>
      <w:r w:rsidR="00992664" w:rsidRPr="008B722D">
        <w:rPr>
          <w:rStyle w:val="libFootnoteAlaemChar"/>
          <w:rtl/>
        </w:rPr>
        <w:t>)</w:t>
      </w:r>
      <w:r w:rsidR="00992664" w:rsidRPr="00020424">
        <w:rPr>
          <w:rtl/>
        </w:rPr>
        <w:t xml:space="preserve"> بالإفراد ، فلعلّ الموجود في مصحفهم هكذا ، كما في قراءة نافع وابن عامر برواية ابن ذكوان ؛ فإنّه قرأ بإضافة فدية إلى طعام وجمع مسكين ، أو كتب في نسخة الأصل هكذا سهواً</w:t>
      </w:r>
      <w:r w:rsidR="00992664">
        <w:rPr>
          <w:rtl/>
        </w:rPr>
        <w:t xml:space="preserve"> ».</w:t>
      </w:r>
    </w:p>
    <w:p w:rsidR="00992664" w:rsidRPr="00020424" w:rsidRDefault="00795177" w:rsidP="008B722D">
      <w:pPr>
        <w:pStyle w:val="libFootnote0"/>
        <w:rPr>
          <w:rtl/>
          <w:lang w:bidi="fa-IR"/>
        </w:rPr>
      </w:pPr>
      <w:r>
        <w:rPr>
          <w:rtl/>
        </w:rPr>
        <w:t>(2).</w:t>
      </w:r>
      <w:r w:rsidR="0014403D">
        <w:rPr>
          <w:rtl/>
        </w:rPr>
        <w:t xml:space="preserve"> </w:t>
      </w:r>
      <w:r w:rsidR="00992664" w:rsidRPr="00020424">
        <w:rPr>
          <w:rtl/>
        </w:rPr>
        <w:t xml:space="preserve">« العُطاش » : شدّة العطش ، وقد يكون داءً يصيب الإنسان يشرب الماء فلا يروى. راجع : </w:t>
      </w:r>
      <w:r w:rsidR="00992664" w:rsidRPr="0012008A">
        <w:rPr>
          <w:rStyle w:val="libFootnoteBoldChar"/>
          <w:rtl/>
        </w:rPr>
        <w:t>الصحاح</w:t>
      </w:r>
      <w:r w:rsidR="00992664" w:rsidRPr="00020424">
        <w:rPr>
          <w:rtl/>
        </w:rPr>
        <w:t xml:space="preserve"> ، ج 3 ، ص 1012 ؛ </w:t>
      </w:r>
      <w:r w:rsidR="00992664" w:rsidRPr="0012008A">
        <w:rPr>
          <w:rStyle w:val="libFootnoteBoldChar"/>
          <w:rtl/>
        </w:rPr>
        <w:t>النهاية</w:t>
      </w:r>
      <w:r w:rsidR="00992664" w:rsidRPr="00020424">
        <w:rPr>
          <w:rtl/>
        </w:rPr>
        <w:t xml:space="preserve"> ، ج 3 ، ص 256 ( عطش )</w:t>
      </w:r>
      <w:r w:rsidR="00992664">
        <w:rPr>
          <w:rtl/>
        </w:rPr>
        <w:t>.</w:t>
      </w:r>
      <w:r w:rsidR="008B722D">
        <w:rPr>
          <w:rFonts w:hint="cs"/>
          <w:rtl/>
        </w:rPr>
        <w:t xml:space="preserve">                       </w:t>
      </w:r>
      <w:r>
        <w:rPr>
          <w:rtl/>
        </w:rPr>
        <w:t>(3).</w:t>
      </w:r>
      <w:r w:rsidR="0014403D">
        <w:rPr>
          <w:rtl/>
        </w:rPr>
        <w:t xml:space="preserve"> </w:t>
      </w:r>
      <w:r w:rsidR="00992664" w:rsidRPr="00020424">
        <w:rPr>
          <w:rtl/>
        </w:rPr>
        <w:t>المجادلة (58) : 4.</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8 ، ص 325 ، ح 1206 ، بسنده عن صفوان بن يحيى ، من قوله : « وعن قوله عزّوجلّ : </w:t>
      </w:r>
      <w:r w:rsidR="00992664" w:rsidRPr="008B722D">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فَمَنْ لَمْ يَسْتَطِعْ </w:t>
      </w:r>
      <w:r w:rsidR="00992664" w:rsidRPr="008B722D">
        <w:rPr>
          <w:rStyle w:val="libFootnoteAlaemChar"/>
          <w:rtl/>
        </w:rPr>
        <w:t>)</w:t>
      </w:r>
      <w:r w:rsidR="00992664">
        <w:rPr>
          <w:rtl/>
        </w:rPr>
        <w:t xml:space="preserve"> ».</w:t>
      </w:r>
      <w:r w:rsidR="00992664" w:rsidRPr="00020424">
        <w:rPr>
          <w:rtl/>
        </w:rPr>
        <w:t xml:space="preserve"> </w:t>
      </w:r>
      <w:r w:rsidR="00992664" w:rsidRPr="00DE76B9">
        <w:rPr>
          <w:rStyle w:val="libFootnoteBoldChar"/>
          <w:rtl/>
        </w:rPr>
        <w:t>وفيه</w:t>
      </w:r>
      <w:r w:rsidR="00992664" w:rsidRPr="00020424">
        <w:rPr>
          <w:rtl/>
        </w:rPr>
        <w:t xml:space="preserve"> ، ج 4 ، ص 237 ، ح 695 ، بسنده عن العلاء ، عن محمّد بن مسلم. </w:t>
      </w:r>
      <w:r w:rsidR="00992664" w:rsidRPr="00DE76B9">
        <w:rPr>
          <w:rStyle w:val="libFootnoteBoldChar"/>
          <w:rtl/>
        </w:rPr>
        <w:t>تفسير العيّاشي</w:t>
      </w:r>
      <w:r w:rsidR="00992664" w:rsidRPr="00020424">
        <w:rPr>
          <w:rtl/>
        </w:rPr>
        <w:t xml:space="preserve"> ، ج 1 ، ص 79 ، ح 179 ، عن العلاء ، عن محمّد بن مسلم. </w:t>
      </w:r>
      <w:r w:rsidR="00992664" w:rsidRPr="00DE76B9">
        <w:rPr>
          <w:rStyle w:val="libFootnoteBoldChar"/>
          <w:rtl/>
        </w:rPr>
        <w:t>وفيه</w:t>
      </w:r>
      <w:r w:rsidR="00992664" w:rsidRPr="00020424">
        <w:rPr>
          <w:rtl/>
        </w:rPr>
        <w:t xml:space="preserve"> ، ص 78 ، ح 176 ، عن محمّد بن مسلم ، وفي الأخيرين إلى قوله : « والذي يأخذه العطاش</w:t>
      </w:r>
      <w:r w:rsidR="00992664">
        <w:rPr>
          <w:rtl/>
        </w:rPr>
        <w:t xml:space="preserve"> ».</w:t>
      </w:r>
      <w:r w:rsidR="00992664" w:rsidRPr="00020424">
        <w:rPr>
          <w:rtl/>
        </w:rPr>
        <w:t xml:space="preserve"> </w:t>
      </w:r>
      <w:r w:rsidR="00992664" w:rsidRPr="00DE76B9">
        <w:rPr>
          <w:rStyle w:val="libFootnoteBoldChar"/>
          <w:rtl/>
        </w:rPr>
        <w:t>وفيه</w:t>
      </w:r>
      <w:r w:rsidR="00992664" w:rsidRPr="00020424">
        <w:rPr>
          <w:rtl/>
        </w:rPr>
        <w:t xml:space="preserve"> أيضاً ، ح 177 ، عن سماعة ، عن أبي بصير ، من دون الإسناد إلى المعصوم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ص 79 ، ح 180 ، عن رفاعة ، عن أبي عبدالله </w:t>
      </w:r>
      <w:r w:rsidR="00992664" w:rsidRPr="00D64ADA">
        <w:rPr>
          <w:rStyle w:val="libFootnoteAlaemChar"/>
          <w:rtl/>
        </w:rPr>
        <w:t>عليه‌السلام</w:t>
      </w:r>
      <w:r w:rsidR="00992664" w:rsidRPr="00020424">
        <w:rPr>
          <w:rtl/>
        </w:rPr>
        <w:t xml:space="preserve"> ، وفي الأخيرين إلى قوله : « الشيخ الكبير » ، مع زيادة </w:t>
      </w:r>
      <w:r w:rsidR="008B722D">
        <w:rPr>
          <w:rFonts w:hint="cs"/>
          <w:rtl/>
        </w:rPr>
        <w:t>.</w:t>
      </w:r>
      <w:r w:rsidR="00992664" w:rsidRPr="0012008A">
        <w:rPr>
          <w:rStyle w:val="libFootnoteBoldChar"/>
          <w:rtl/>
        </w:rPr>
        <w:t>الوافي</w:t>
      </w:r>
      <w:r w:rsidR="00992664" w:rsidRPr="00020424">
        <w:rPr>
          <w:rtl/>
        </w:rPr>
        <w:t xml:space="preserve"> ، ج 11 ، ص 293 ، ح 10887 ؛ </w:t>
      </w:r>
      <w:r w:rsidR="00992664" w:rsidRPr="0012008A">
        <w:rPr>
          <w:rStyle w:val="libFootnoteBoldChar"/>
          <w:rtl/>
        </w:rPr>
        <w:t>الوسائل</w:t>
      </w:r>
      <w:r w:rsidR="00992664" w:rsidRPr="00020424">
        <w:rPr>
          <w:rtl/>
        </w:rPr>
        <w:t xml:space="preserve"> ، ج 10 ، ص 210 ، ح 13242 ؛ </w:t>
      </w:r>
      <w:r w:rsidR="00992664" w:rsidRPr="00DE76B9">
        <w:rPr>
          <w:rStyle w:val="libFootnoteBoldChar"/>
          <w:rtl/>
        </w:rPr>
        <w:t>وفيه</w:t>
      </w:r>
      <w:r w:rsidR="00992664" w:rsidRPr="00020424">
        <w:rPr>
          <w:rtl/>
        </w:rPr>
        <w:t xml:space="preserve"> ، ص 217 ، ح 13257 ، من قوله : « وعن قوله عزّوجلّ : </w:t>
      </w:r>
      <w:r w:rsidR="00992664" w:rsidRPr="008B722D">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فَمَنْ لَمْ يَسْتَطِعْ </w:t>
      </w:r>
      <w:r w:rsidR="00992664" w:rsidRPr="008B722D">
        <w:rPr>
          <w:rStyle w:val="libFootnoteAlaemChar"/>
          <w:rtl/>
        </w:rPr>
        <w:t>)</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 أَبَا الْحَسَنِ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عَنِ الشَّيْخِ الْكَبِيرِ ، وَالْعَجُوزِ الْكَبِيرَةِ الَّتِي تَضْعُفُ عَنِ الصَّوْمِ فِي شَهْرِ رَمَضَانَ</w:t>
      </w:r>
      <w:r>
        <w:rPr>
          <w:rtl/>
          <w:lang w:bidi="fa-IR"/>
        </w:rPr>
        <w:t>؟</w:t>
      </w:r>
    </w:p>
    <w:p w:rsidR="00992664" w:rsidRPr="00020424" w:rsidRDefault="00992664" w:rsidP="00992664">
      <w:pPr>
        <w:pStyle w:val="libNormal"/>
        <w:rPr>
          <w:rtl/>
          <w:lang w:bidi="fa-IR"/>
        </w:rPr>
      </w:pPr>
      <w:r w:rsidRPr="00020424">
        <w:rPr>
          <w:rtl/>
          <w:lang w:bidi="fa-IR"/>
        </w:rPr>
        <w:t xml:space="preserve">قَالَ : « تَصَدَّقُ </w:t>
      </w:r>
      <w:r w:rsidRPr="00A91B96">
        <w:rPr>
          <w:rStyle w:val="libFootnotenumChar"/>
          <w:rtl/>
        </w:rPr>
        <w:t>(2)</w:t>
      </w:r>
      <w:r w:rsidRPr="00020424">
        <w:rPr>
          <w:rtl/>
          <w:lang w:bidi="fa-IR"/>
        </w:rPr>
        <w:t xml:space="preserve"> فِي </w:t>
      </w:r>
      <w:r w:rsidRPr="00A91B96">
        <w:rPr>
          <w:rStyle w:val="libFootnotenumChar"/>
          <w:rtl/>
        </w:rPr>
        <w:t>(3)</w:t>
      </w:r>
      <w:r w:rsidRPr="00020424">
        <w:rPr>
          <w:rtl/>
          <w:lang w:bidi="fa-IR"/>
        </w:rPr>
        <w:t xml:space="preserve"> كُلِّ يَوْمٍ بِمُدِّ حِنْطَةٍ</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r w:rsidRPr="00020424">
        <w:t>‌</w:t>
      </w:r>
    </w:p>
    <w:p w:rsidR="00992664" w:rsidRPr="00020424" w:rsidRDefault="00992664" w:rsidP="00992664">
      <w:pPr>
        <w:pStyle w:val="libNormal"/>
        <w:rPr>
          <w:rtl/>
          <w:lang w:bidi="fa-IR"/>
        </w:rPr>
      </w:pPr>
      <w:r w:rsidRPr="00B96998">
        <w:rPr>
          <w:rtl/>
        </w:rPr>
        <w:t>6449</w:t>
      </w:r>
      <w:r w:rsidRPr="001155DE">
        <w:rPr>
          <w:rStyle w:val="libBold2Char"/>
          <w:rtl/>
        </w:rPr>
        <w:t xml:space="preserve"> / 3.</w:t>
      </w:r>
      <w:r w:rsidRPr="00020424">
        <w:rPr>
          <w:rtl/>
          <w:lang w:bidi="fa-IR"/>
        </w:rPr>
        <w:t xml:space="preserve"> عَلِيُّ بْنُ إِبْرَاهِيمَ ، عَنْ أَبِيهِ ، عَنْ عَبْدِ اللهِ بْنِ الْمُغِيرَةِ ، عَنْ عَبْدِ اللهِ بْنِ سِنَانٍ ، قَالَ :</w:t>
      </w:r>
    </w:p>
    <w:p w:rsidR="00992664" w:rsidRPr="00020424" w:rsidRDefault="00992664" w:rsidP="00992664">
      <w:pPr>
        <w:pStyle w:val="libNormal"/>
        <w:rPr>
          <w:rtl/>
          <w:lang w:bidi="fa-IR"/>
        </w:rPr>
      </w:pPr>
      <w:r w:rsidRPr="00020424">
        <w:rPr>
          <w:rtl/>
          <w:lang w:bidi="fa-IR"/>
        </w:rPr>
        <w:t xml:space="preserve">سَأَلْتُهُ عَنْ رَجُلٍ كَبِيرٍ ضَعُفَ </w:t>
      </w:r>
      <w:r w:rsidRPr="00A91B96">
        <w:rPr>
          <w:rStyle w:val="libFootnotenumChar"/>
          <w:rtl/>
        </w:rPr>
        <w:t>(5)</w:t>
      </w:r>
      <w:r w:rsidRPr="00020424">
        <w:rPr>
          <w:rtl/>
          <w:lang w:bidi="fa-IR"/>
        </w:rPr>
        <w:t xml:space="preserve"> عَنْ صَوْمِ شَهْرِ رَمَضَانَ</w:t>
      </w:r>
      <w:r>
        <w:rPr>
          <w:rtl/>
          <w:lang w:bidi="fa-IR"/>
        </w:rPr>
        <w:t>؟</w:t>
      </w:r>
    </w:p>
    <w:p w:rsidR="00992664" w:rsidRPr="00020424" w:rsidRDefault="00992664" w:rsidP="00992664">
      <w:pPr>
        <w:pStyle w:val="libNormal"/>
        <w:rPr>
          <w:rtl/>
          <w:lang w:bidi="fa-IR"/>
        </w:rPr>
      </w:pPr>
      <w:r w:rsidRPr="00020424">
        <w:rPr>
          <w:rtl/>
          <w:lang w:bidi="fa-IR"/>
        </w:rPr>
        <w:t xml:space="preserve">قَالَ : « يَتَصَدَّقُ </w:t>
      </w:r>
      <w:r w:rsidRPr="00A91B96">
        <w:rPr>
          <w:rStyle w:val="libFootnotenumChar"/>
          <w:rtl/>
        </w:rPr>
        <w:t>(6)</w:t>
      </w:r>
      <w:r w:rsidRPr="00020424">
        <w:rPr>
          <w:rtl/>
          <w:lang w:bidi="fa-IR"/>
        </w:rPr>
        <w:t xml:space="preserve"> كُلَّ يَوْمٍ بِمَا يُجْزِئُ مِنْ طَعَامِ مِسْكِينٍ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B96998">
        <w:rPr>
          <w:rtl/>
        </w:rPr>
        <w:t>6450</w:t>
      </w:r>
      <w:r w:rsidRPr="001155DE">
        <w:rPr>
          <w:rStyle w:val="libBold2Char"/>
          <w:rtl/>
        </w:rPr>
        <w:t xml:space="preserve"> / 4.</w:t>
      </w:r>
      <w:r w:rsidRPr="00020424">
        <w:rPr>
          <w:rtl/>
          <w:lang w:bidi="fa-IR"/>
        </w:rPr>
        <w:t xml:space="preserve"> مُحَمَّدُ بْنُ يَحْيى ، عَنْ أَحْمَدَ بْنِ مُحَمَّدٍ ، عَنِ الْحَسَنِ بْنِ مَحْبُوبٍ ، عَنِ الْعَلَاءِ بْنِ رَزِينٍ </w:t>
      </w:r>
      <w:r w:rsidRPr="00A91B96">
        <w:rPr>
          <w:rStyle w:val="libFootnotenumChar"/>
          <w:rtl/>
        </w:rPr>
        <w:t>(8)</w:t>
      </w:r>
      <w:r w:rsidRPr="00020424">
        <w:rPr>
          <w:rtl/>
          <w:lang w:bidi="fa-IR"/>
        </w:rPr>
        <w:t xml:space="preserve"> ، عَنْ مُحَمَّدِ بْنِ مُسْلِمٍ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الشَّيْخُ الْكَبِيرُ وَالَّذِي بِهِ الْعُطَاشُ لَاحَرَجَ عَلَيْهِمَا أَنْ يُفْطِرَا فِي شَهْرِ </w:t>
      </w:r>
      <w:r w:rsidRPr="00A91B96">
        <w:rPr>
          <w:rStyle w:val="libFootnotenumChar"/>
          <w:rtl/>
        </w:rPr>
        <w:t>(9)</w:t>
      </w:r>
      <w:r w:rsidRPr="00020424">
        <w:rPr>
          <w:rtl/>
          <w:lang w:bidi="fa-IR"/>
        </w:rPr>
        <w:t xml:space="preserve"> رَمَضَانَ ، وَيَتَصَدَّقُ كُلُّ وَاحِدٍ مِنْهُمَا فِي كُلِّ يَوْمٍ بِمُدٍّ مِنْ طَعَامٍ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أبا عبد 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جن » </w:t>
      </w:r>
      <w:r w:rsidR="00992664" w:rsidRPr="00515444">
        <w:rPr>
          <w:rStyle w:val="libFootnoteBoldChar"/>
          <w:rtl/>
        </w:rPr>
        <w:t>والتهذيب</w:t>
      </w:r>
      <w:r w:rsidR="00992664" w:rsidRPr="00020424">
        <w:rPr>
          <w:rtl/>
        </w:rPr>
        <w:t xml:space="preserve"> : « تتصدّق</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عن بعض النسخ : « يتصدّق</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8B722D">
        <w:rPr>
          <w:rtl/>
        </w:rPr>
        <w:t>الفقيه والتهذيب والاستبصار</w:t>
      </w:r>
      <w:r w:rsidR="00992664" w:rsidRPr="00020424">
        <w:rPr>
          <w:rtl/>
        </w:rPr>
        <w:t xml:space="preserve"> : « عن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238 ، ح 696 ؛ </w:t>
      </w:r>
      <w:r w:rsidR="00992664" w:rsidRPr="00FD6221">
        <w:rPr>
          <w:rStyle w:val="libFootnoteBoldChar"/>
          <w:rtl/>
        </w:rPr>
        <w:t>والاستبصار</w:t>
      </w:r>
      <w:r w:rsidR="00992664" w:rsidRPr="00020424">
        <w:rPr>
          <w:rtl/>
        </w:rPr>
        <w:t xml:space="preserve"> ، ج 2 ، ص 103 ، ح 337 ، معلّقاً عن أحمد بن محمّد بن عيسى ، عن عليّ بن الحكم. </w:t>
      </w:r>
      <w:r w:rsidR="00992664" w:rsidRPr="0012008A">
        <w:rPr>
          <w:rStyle w:val="libFootnoteBoldChar"/>
          <w:rtl/>
        </w:rPr>
        <w:t>الفقيه</w:t>
      </w:r>
      <w:r w:rsidR="00992664" w:rsidRPr="00020424">
        <w:rPr>
          <w:rtl/>
        </w:rPr>
        <w:t xml:space="preserve"> ، ج 2 ، ص 134 ، ح 1951 ، معلّقاً عن عبدالملك بن عتبة الهاشمي </w:t>
      </w:r>
      <w:r w:rsidR="008B722D">
        <w:rPr>
          <w:rFonts w:hint="cs"/>
          <w:rtl/>
        </w:rPr>
        <w:t>.</w:t>
      </w:r>
      <w:r w:rsidR="00992664" w:rsidRPr="0012008A">
        <w:rPr>
          <w:rStyle w:val="libFootnoteBoldChar"/>
          <w:rtl/>
        </w:rPr>
        <w:t>الوافي</w:t>
      </w:r>
      <w:r w:rsidR="00992664" w:rsidRPr="00020424">
        <w:rPr>
          <w:rtl/>
        </w:rPr>
        <w:t xml:space="preserve"> ، ج 11 ، ص 294 ، ح 10889 ؛ </w:t>
      </w:r>
      <w:r w:rsidR="00992664" w:rsidRPr="0012008A">
        <w:rPr>
          <w:rStyle w:val="libFootnoteBoldChar"/>
          <w:rtl/>
        </w:rPr>
        <w:t>الوسائل</w:t>
      </w:r>
      <w:r w:rsidR="00992664" w:rsidRPr="00020424">
        <w:rPr>
          <w:rtl/>
        </w:rPr>
        <w:t xml:space="preserve"> ، ج 10 ، ص 211 ، ح 13243.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بث ، بخ ، بر ، بف » وحاشية « بح » : « ضعيف</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بف » : + « عن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237 ، ح 694 ؛ وص 326 ، ح 1010 ؛ </w:t>
      </w:r>
      <w:r w:rsidR="00992664" w:rsidRPr="00DE76B9">
        <w:rPr>
          <w:rStyle w:val="libFootnoteBoldChar"/>
          <w:rtl/>
        </w:rPr>
        <w:t>الاستبصار</w:t>
      </w:r>
      <w:r w:rsidR="00992664" w:rsidRPr="00020424">
        <w:rPr>
          <w:rtl/>
        </w:rPr>
        <w:t xml:space="preserve"> ، ج 2 ، ص 103 ، ح 336 ؛ </w:t>
      </w:r>
      <w:r w:rsidR="00992664" w:rsidRPr="00DE76B9">
        <w:rPr>
          <w:rStyle w:val="libFootnoteBoldChar"/>
          <w:rtl/>
        </w:rPr>
        <w:t>النوادر</w:t>
      </w:r>
      <w:r w:rsidR="00992664" w:rsidRPr="00020424">
        <w:rPr>
          <w:rtl/>
        </w:rPr>
        <w:t xml:space="preserve"> للأشعرى ، ص 70 ، ح 145 ، وفي كلّها بسند آخر عن أبي عبدالله </w:t>
      </w:r>
      <w:r w:rsidR="00992664" w:rsidRPr="00D64ADA">
        <w:rPr>
          <w:rStyle w:val="libFootnoteAlaemChar"/>
          <w:rtl/>
        </w:rPr>
        <w:t>عليه‌السلام</w:t>
      </w:r>
      <w:r w:rsidR="00992664" w:rsidRPr="00020424">
        <w:rPr>
          <w:rtl/>
        </w:rPr>
        <w:t xml:space="preserve"> ، مع اختلاف يسير </w:t>
      </w:r>
      <w:r w:rsidR="00376CFB">
        <w:rPr>
          <w:rFonts w:hint="cs"/>
          <w:rtl/>
        </w:rPr>
        <w:t>.</w:t>
      </w:r>
      <w:r w:rsidR="00992664" w:rsidRPr="0012008A">
        <w:rPr>
          <w:rStyle w:val="libFootnoteBoldChar"/>
          <w:rtl/>
        </w:rPr>
        <w:t>الوافي</w:t>
      </w:r>
      <w:r w:rsidR="00992664" w:rsidRPr="00020424">
        <w:rPr>
          <w:rtl/>
        </w:rPr>
        <w:t xml:space="preserve"> ، ج 11 ، ص 294 ، ح 10890 ؛ </w:t>
      </w:r>
      <w:r w:rsidR="00992664" w:rsidRPr="0012008A">
        <w:rPr>
          <w:rStyle w:val="libFootnoteBoldChar"/>
          <w:rtl/>
        </w:rPr>
        <w:t>الوسائل</w:t>
      </w:r>
      <w:r w:rsidR="00992664" w:rsidRPr="00020424">
        <w:rPr>
          <w:rtl/>
        </w:rPr>
        <w:t xml:space="preserve"> ، ج 10 ، ص 211 ، ح 13244.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بن رزين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بث ، بف » وتفسير العيّاشي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وَلَاقَضَاءَ عَلَيْهِمَا ، فَإِنْ لَمْ يَقْدِرَا ، فَلَا شَيْ‌ءَ عَلَيْهِمَا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B96998">
        <w:rPr>
          <w:rtl/>
        </w:rPr>
        <w:t>6451</w:t>
      </w:r>
      <w:r w:rsidRPr="001155DE">
        <w:rPr>
          <w:rStyle w:val="libBold2Char"/>
          <w:rtl/>
        </w:rPr>
        <w:t xml:space="preserve"> / 5.</w:t>
      </w:r>
      <w:r w:rsidRPr="00020424">
        <w:rPr>
          <w:rtl/>
          <w:lang w:bidi="fa-IR"/>
        </w:rPr>
        <w:t xml:space="preserve"> أَحْمَدُ بْنُ مُحَمَّدٍ </w:t>
      </w:r>
      <w:r w:rsidRPr="00A91B96">
        <w:rPr>
          <w:rStyle w:val="libFootnotenumChar"/>
          <w:rtl/>
        </w:rPr>
        <w:t>(2)</w:t>
      </w:r>
      <w:r w:rsidRPr="00020424">
        <w:rPr>
          <w:rtl/>
          <w:lang w:bidi="fa-IR"/>
        </w:rPr>
        <w:t xml:space="preserve"> ، عَنِ ابْنِ فَضَّالٍ ، عَنِ ابْنِ بُكَيْرٍ ، عَنْ بَعْضِ أَصْحَابِنَا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 اللهِ عَزَّ وَجَلَّ : </w:t>
      </w:r>
      <w:r w:rsidRPr="00005A81">
        <w:rPr>
          <w:rStyle w:val="libAlaemChar"/>
          <w:rtl/>
        </w:rPr>
        <w:t>(</w:t>
      </w:r>
      <w:r w:rsidRPr="004E5AB4">
        <w:rPr>
          <w:rStyle w:val="libAieChar"/>
          <w:rtl/>
        </w:rPr>
        <w:t xml:space="preserve"> وَعَلَى الَّذِينَ يُطِيقُونَهُ فِدْيَةٌ طَعامُ مِسْكِينٍ</w:t>
      </w:r>
      <w:r w:rsidRPr="00005A81">
        <w:rPr>
          <w:rStyle w:val="libAlaemChar"/>
          <w:rtl/>
        </w:rPr>
        <w:t>)</w:t>
      </w:r>
      <w:r w:rsidRPr="00A91B96">
        <w:rPr>
          <w:rStyle w:val="libFootnotenumChar"/>
          <w:rtl/>
        </w:rPr>
        <w:t>(3)</w:t>
      </w:r>
      <w:r w:rsidR="00376CFB">
        <w:rPr>
          <w:rFonts w:hint="cs"/>
          <w:rtl/>
          <w:lang w:bidi="fa-IR"/>
        </w:rPr>
        <w:t xml:space="preserve"> </w:t>
      </w:r>
      <w:r w:rsidRPr="00020424">
        <w:rPr>
          <w:rtl/>
          <w:lang w:bidi="fa-IR"/>
        </w:rPr>
        <w:t>قَالَ : « الَّذِينَ كَانُوا يُطِيقُونَ الصَّوْمَ ، فَأَصَابَهُمْ كِبَرٌ أَوْ عُطَاشٌ أَوْ شِبْهُ ذلِكَ ، فَعَلَيْهِمْ لِكُلِّ يَوْمٍ مُدٌّ</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96998">
        <w:rPr>
          <w:rtl/>
        </w:rPr>
        <w:t>6452</w:t>
      </w:r>
      <w:r w:rsidRPr="001155DE">
        <w:rPr>
          <w:rStyle w:val="libBold2Char"/>
          <w:rtl/>
        </w:rPr>
        <w:t xml:space="preserve"> / 6.</w:t>
      </w:r>
      <w:r w:rsidRPr="00020424">
        <w:rPr>
          <w:rtl/>
          <w:lang w:bidi="fa-IR"/>
        </w:rPr>
        <w:t xml:space="preserve"> أَحْمَدُ بْنُ إِدْرِيسَ وَغَيْرُهُ </w:t>
      </w:r>
      <w:r w:rsidRPr="00A91B96">
        <w:rPr>
          <w:rStyle w:val="libFootnotenumChar"/>
          <w:rtl/>
        </w:rPr>
        <w:t>(5)</w:t>
      </w:r>
      <w:r w:rsidRPr="00020424">
        <w:rPr>
          <w:rtl/>
          <w:lang w:bidi="fa-IR"/>
        </w:rPr>
        <w:t xml:space="preserve"> ، عَنْ مُحَمَّدِ بْنِ أَحْمَدَ </w:t>
      </w:r>
      <w:r w:rsidRPr="00A91B96">
        <w:rPr>
          <w:rStyle w:val="libFootnotenumChar"/>
          <w:rtl/>
        </w:rPr>
        <w:t>(6)</w:t>
      </w:r>
      <w:r w:rsidRPr="00020424">
        <w:rPr>
          <w:rtl/>
          <w:lang w:bidi="fa-IR"/>
        </w:rPr>
        <w:t xml:space="preserve"> ، عَنْ أَحْمَدَ بْنِ الْحَسَنِ </w:t>
      </w:r>
      <w:r w:rsidRPr="00A91B96">
        <w:rPr>
          <w:rStyle w:val="libFootnotenumChar"/>
          <w:rtl/>
        </w:rPr>
        <w:t>(7)</w:t>
      </w:r>
      <w:r w:rsidRPr="00020424">
        <w:rPr>
          <w:rtl/>
          <w:lang w:bidi="fa-IR"/>
        </w:rPr>
        <w:t xml:space="preserve"> ، عَنْ عَمْرِو بْنِ سَعِيدٍ ، عَنْ مُصَدِّقِ بْنِ صَدَقَةَ ، عَنْ عَمَّارٍ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يُصِيبُهُ الْعُطَاشُ </w:t>
      </w:r>
      <w:r w:rsidRPr="00A91B96">
        <w:rPr>
          <w:rStyle w:val="libFootnotenumChar"/>
          <w:rtl/>
        </w:rPr>
        <w:t>(9)</w:t>
      </w:r>
      <w:r w:rsidRPr="00020424">
        <w:rPr>
          <w:rtl/>
          <w:lang w:bidi="fa-IR"/>
        </w:rPr>
        <w:t xml:space="preserve"> حَتّى يَخَافَ عَلى نَفْسِهِ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238 ، ح 697 ؛ </w:t>
      </w:r>
      <w:r w:rsidR="00992664" w:rsidRPr="00FD6221">
        <w:rPr>
          <w:rStyle w:val="libFootnoteBoldChar"/>
          <w:rtl/>
        </w:rPr>
        <w:t>والاستبصار</w:t>
      </w:r>
      <w:r w:rsidR="00992664" w:rsidRPr="00020424">
        <w:rPr>
          <w:rtl/>
        </w:rPr>
        <w:t xml:space="preserve"> ، ج 2 ، ص 104 ، ح 338 ، معلّقاً عن الكليني. </w:t>
      </w:r>
      <w:r w:rsidR="00992664" w:rsidRPr="0012008A">
        <w:rPr>
          <w:rStyle w:val="libFootnoteBoldChar"/>
          <w:rtl/>
        </w:rPr>
        <w:t>الفقيه</w:t>
      </w:r>
      <w:r w:rsidR="00992664" w:rsidRPr="00020424">
        <w:rPr>
          <w:rtl/>
        </w:rPr>
        <w:t xml:space="preserve"> ، ج 2 ، ص 133 ، ح 1947 ، معلّقاً عن العلاء ، عن محمّد بن مسلم. </w:t>
      </w:r>
      <w:r w:rsidR="00992664" w:rsidRPr="00DE76B9">
        <w:rPr>
          <w:rStyle w:val="libFootnoteBoldChar"/>
          <w:rtl/>
        </w:rPr>
        <w:t>تفسيرالعيّاشي</w:t>
      </w:r>
      <w:r w:rsidR="00992664" w:rsidRPr="00020424">
        <w:rPr>
          <w:rtl/>
        </w:rPr>
        <w:t xml:space="preserve"> ، ج 1 ، ص 79 ، ح 181 ، عن محمّد بن مسلم </w:t>
      </w:r>
      <w:r w:rsidR="00376CFB">
        <w:rPr>
          <w:rFonts w:hint="cs"/>
          <w:rtl/>
        </w:rPr>
        <w:t>.</w:t>
      </w:r>
      <w:r w:rsidR="00992664" w:rsidRPr="0012008A">
        <w:rPr>
          <w:rStyle w:val="libFootnoteBoldChar"/>
          <w:rtl/>
        </w:rPr>
        <w:t>الوافي</w:t>
      </w:r>
      <w:r w:rsidR="00992664" w:rsidRPr="00020424">
        <w:rPr>
          <w:rtl/>
        </w:rPr>
        <w:t xml:space="preserve"> ، ج 11 ، ص 295 ، ح 10893 ؛ </w:t>
      </w:r>
      <w:r w:rsidR="00992664" w:rsidRPr="0012008A">
        <w:rPr>
          <w:rStyle w:val="libFootnoteBoldChar"/>
          <w:rtl/>
        </w:rPr>
        <w:t>الوسائل</w:t>
      </w:r>
      <w:r w:rsidR="00992664" w:rsidRPr="00020424">
        <w:rPr>
          <w:rtl/>
        </w:rPr>
        <w:t xml:space="preserve"> ، ج 10 ، ص 209 ، ح 13240.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السند معلّق على سابقه. ويروي عن أحمد بن محمّد ، محمّد بن يحيى.</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ى ، بث ، بح ، بس ، بف ، جن » ومرآة العقول : « مساكين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133 ، ح 1949 ، معلّقاً عن ابن بكير ، عن الصادق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4 ، ص 239 ، ذيل ح 700 ، بسند آخر عن أبي جعفر </w:t>
      </w:r>
      <w:r w:rsidR="00992664" w:rsidRPr="00D64ADA">
        <w:rPr>
          <w:rStyle w:val="libFootnoteAlaemChar"/>
          <w:rtl/>
        </w:rPr>
        <w:t>عليه‌السلام</w:t>
      </w:r>
      <w:r w:rsidR="00992664" w:rsidRPr="00020424">
        <w:rPr>
          <w:rtl/>
        </w:rPr>
        <w:t xml:space="preserve"> ، مع اختلاف يسير </w:t>
      </w:r>
      <w:r w:rsidR="00376CFB">
        <w:rPr>
          <w:rFonts w:hint="cs"/>
          <w:rtl/>
        </w:rPr>
        <w:t>.</w:t>
      </w:r>
      <w:r w:rsidR="00992664" w:rsidRPr="0012008A">
        <w:rPr>
          <w:rStyle w:val="libFootnoteBoldChar"/>
          <w:rtl/>
        </w:rPr>
        <w:t>الوافي</w:t>
      </w:r>
      <w:r w:rsidR="00992664" w:rsidRPr="00020424">
        <w:rPr>
          <w:rtl/>
        </w:rPr>
        <w:t xml:space="preserve"> ، ج 11 ، ص 296 ، ح 10895 ؛ </w:t>
      </w:r>
      <w:r w:rsidR="00992664" w:rsidRPr="0012008A">
        <w:rPr>
          <w:rStyle w:val="libFootnoteBoldChar"/>
          <w:rtl/>
        </w:rPr>
        <w:t>الوسائل</w:t>
      </w:r>
      <w:r w:rsidR="00992664" w:rsidRPr="00020424">
        <w:rPr>
          <w:rtl/>
        </w:rPr>
        <w:t xml:space="preserve"> ، ج 10 ، ص 211 ، ح 13245.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702 :</w:t>
      </w:r>
      <w:r w:rsidR="00992664">
        <w:rPr>
          <w:rtl/>
        </w:rPr>
        <w:t xml:space="preserve"> </w:t>
      </w:r>
      <w:r w:rsidR="009B673F">
        <w:rPr>
          <w:rtl/>
        </w:rPr>
        <w:t>-</w:t>
      </w:r>
      <w:r w:rsidR="00992664">
        <w:rPr>
          <w:rtl/>
        </w:rPr>
        <w:t xml:space="preserve"> </w:t>
      </w:r>
      <w:r w:rsidR="00992664" w:rsidRPr="00020424">
        <w:rPr>
          <w:rtl/>
        </w:rPr>
        <w:t>« وغيره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702 : + « بن يحيى</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جر » </w:t>
      </w:r>
      <w:r w:rsidR="00992664" w:rsidRPr="00EB1FD9">
        <w:rPr>
          <w:rStyle w:val="libFootnoteBoldChar"/>
          <w:rtl/>
        </w:rPr>
        <w:t>والوسائل</w:t>
      </w:r>
      <w:r w:rsidR="00992664" w:rsidRPr="00020424">
        <w:rPr>
          <w:rtl/>
        </w:rPr>
        <w:t>. وفي « ظ ، ى ، بث ، بح ، بخ ، بر ، بس ، بف ، جن » والمطبوع : « محمّد بن الحسين</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أحمد بن الحسين » ، لكن في بعض نسخه المعتبرة كما أثبتناه.</w:t>
      </w:r>
    </w:p>
    <w:p w:rsidR="00992664" w:rsidRPr="00020424" w:rsidRDefault="00992664" w:rsidP="00E90CE5">
      <w:pPr>
        <w:pStyle w:val="libFootnote0"/>
        <w:rPr>
          <w:rtl/>
          <w:lang w:bidi="fa-IR"/>
        </w:rPr>
      </w:pPr>
      <w:r w:rsidRPr="00D82B22">
        <w:rPr>
          <w:rtl/>
        </w:rPr>
        <w:t>وما أثبتناه هو الصواب ؛ فقد تقدّم غير مرّةٍ رواية محمّد بن أحمد عن أحمد بن الحسين</w:t>
      </w:r>
      <w:r>
        <w:rPr>
          <w:rtl/>
        </w:rPr>
        <w:t xml:space="preserve"> </w:t>
      </w:r>
      <w:r w:rsidR="009B673F">
        <w:rPr>
          <w:rtl/>
        </w:rPr>
        <w:t>-</w:t>
      </w:r>
      <w:r>
        <w:rPr>
          <w:rtl/>
        </w:rPr>
        <w:t xml:space="preserve"> </w:t>
      </w:r>
      <w:r w:rsidRPr="00D82B22">
        <w:rPr>
          <w:rtl/>
        </w:rPr>
        <w:t>وهو أحمد بن الحسن بن عليّ بن فضّال</w:t>
      </w:r>
      <w:r>
        <w:rPr>
          <w:rtl/>
        </w:rPr>
        <w:t xml:space="preserve"> </w:t>
      </w:r>
      <w:r w:rsidR="009B673F">
        <w:rPr>
          <w:rtl/>
        </w:rPr>
        <w:t>-</w:t>
      </w:r>
      <w:r>
        <w:rPr>
          <w:rtl/>
        </w:rPr>
        <w:t xml:space="preserve"> </w:t>
      </w:r>
      <w:r w:rsidRPr="00D82B22">
        <w:rPr>
          <w:rtl/>
        </w:rPr>
        <w:t>عن عمرو بن سعيد في الطريق المنتهي إلى عمّار بن موسى. وأمّا رواية محمّد بن الحسين ، عن عمرو بن سعيد ، فلم نعثر عليها في موضع.</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جر » : + « بن موسى</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ح 702 : + « بن موسى الساباطي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ح 702 : « العطش</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قَالَ : « يَشْرَبُ بِقَدْرِ مَا يُمْسِكُ </w:t>
      </w:r>
      <w:r w:rsidRPr="00A91B96">
        <w:rPr>
          <w:rStyle w:val="libFootnotenumChar"/>
          <w:rtl/>
        </w:rPr>
        <w:t>(1)</w:t>
      </w:r>
      <w:r w:rsidRPr="00020424">
        <w:rPr>
          <w:rtl/>
          <w:lang w:bidi="fa-IR"/>
        </w:rPr>
        <w:t xml:space="preserve"> رَمَقَهُ </w:t>
      </w:r>
      <w:r w:rsidRPr="00A91B96">
        <w:rPr>
          <w:rStyle w:val="libFootnotenumChar"/>
          <w:rtl/>
        </w:rPr>
        <w:t>(2)</w:t>
      </w:r>
      <w:r w:rsidRPr="00020424">
        <w:rPr>
          <w:rtl/>
          <w:lang w:bidi="fa-IR"/>
        </w:rPr>
        <w:t xml:space="preserve"> ، وَلَايَشْرَبُ حَتّى يَرْوى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96998">
        <w:rPr>
          <w:rtl/>
        </w:rPr>
        <w:t>6453</w:t>
      </w:r>
      <w:r w:rsidRPr="001155DE">
        <w:rPr>
          <w:rStyle w:val="libBold2Char"/>
          <w:rtl/>
        </w:rPr>
        <w:t xml:space="preserve"> / 7.</w:t>
      </w:r>
      <w:r w:rsidRPr="00020424">
        <w:rPr>
          <w:rtl/>
          <w:lang w:bidi="fa-IR"/>
        </w:rPr>
        <w:t xml:space="preserve"> عَلِيُّ بْنُ إِبْرَاهِيمَ ، عَنْ أَبِيهِ ، عَنْ إِسْمَاعِيلَ بْنِ مَرَّارٍ ، عَنْ يُونُسَ ، عَنْ مُفَضَّلِ </w:t>
      </w:r>
      <w:r w:rsidRPr="00A91B96">
        <w:rPr>
          <w:rStyle w:val="libFootnotenumChar"/>
          <w:rtl/>
        </w:rPr>
        <w:t>(5)</w:t>
      </w:r>
      <w:r w:rsidRPr="00020424">
        <w:rPr>
          <w:rtl/>
          <w:lang w:bidi="fa-IR"/>
        </w:rPr>
        <w:t xml:space="preserve"> بْنِ عُمَرَ </w:t>
      </w:r>
      <w:r w:rsidRPr="00A91B96">
        <w:rPr>
          <w:rStyle w:val="libFootnotenumChar"/>
          <w:rtl/>
        </w:rPr>
        <w:t>(6)</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لَنَا فَتَيَاتٍ وَشُبَّاناً </w:t>
      </w:r>
      <w:r w:rsidRPr="00A91B96">
        <w:rPr>
          <w:rStyle w:val="libFootnotenumChar"/>
          <w:rtl/>
        </w:rPr>
        <w:t>(7)</w:t>
      </w:r>
      <w:r w:rsidRPr="00020424">
        <w:rPr>
          <w:rtl/>
          <w:lang w:bidi="fa-IR"/>
        </w:rPr>
        <w:t xml:space="preserve"> لَايَقْدِرُونَ عَلَى الصِّيَامِ مِنْ شِدَّةِ مَا يُصِيبُهُمْ مِنَ الْعَطَشِ.</w:t>
      </w:r>
    </w:p>
    <w:p w:rsidR="00992664" w:rsidRPr="00020424" w:rsidRDefault="00992664" w:rsidP="00992664">
      <w:pPr>
        <w:pStyle w:val="libNormal"/>
        <w:rPr>
          <w:rtl/>
          <w:lang w:bidi="fa-IR"/>
        </w:rPr>
      </w:pPr>
      <w:r w:rsidRPr="00020424">
        <w:rPr>
          <w:rtl/>
          <w:lang w:bidi="fa-IR"/>
        </w:rPr>
        <w:t xml:space="preserve">قَالَ : « فَلْيَشْرَبُوا </w:t>
      </w:r>
      <w:r w:rsidRPr="00A91B96">
        <w:rPr>
          <w:rStyle w:val="libFootnotenumChar"/>
          <w:rtl/>
        </w:rPr>
        <w:t>(8)</w:t>
      </w:r>
      <w:r w:rsidRPr="00020424">
        <w:rPr>
          <w:rtl/>
          <w:lang w:bidi="fa-IR"/>
        </w:rPr>
        <w:t xml:space="preserve"> بِقَدْرِ </w:t>
      </w:r>
      <w:r w:rsidRPr="00A91B96">
        <w:rPr>
          <w:rStyle w:val="libFootnotenumChar"/>
          <w:rtl/>
        </w:rPr>
        <w:t>(9)</w:t>
      </w:r>
      <w:r w:rsidRPr="00020424">
        <w:rPr>
          <w:rtl/>
          <w:lang w:bidi="fa-IR"/>
        </w:rPr>
        <w:t xml:space="preserve"> مَا </w:t>
      </w:r>
      <w:r w:rsidRPr="00A91B96">
        <w:rPr>
          <w:rStyle w:val="libFootnotenumChar"/>
          <w:rtl/>
        </w:rPr>
        <w:t>(10)</w:t>
      </w:r>
      <w:r w:rsidRPr="00020424">
        <w:rPr>
          <w:rtl/>
          <w:lang w:bidi="fa-IR"/>
        </w:rPr>
        <w:t xml:space="preserve"> تَرْوى </w:t>
      </w:r>
      <w:r w:rsidRPr="00A91B96">
        <w:rPr>
          <w:rStyle w:val="libFootnotenumChar"/>
          <w:rtl/>
        </w:rPr>
        <w:t>(11)</w:t>
      </w:r>
      <w:r w:rsidRPr="00020424">
        <w:rPr>
          <w:rtl/>
          <w:lang w:bidi="fa-IR"/>
        </w:rPr>
        <w:t xml:space="preserve"> بِهِ </w:t>
      </w:r>
      <w:r w:rsidRPr="00A91B96">
        <w:rPr>
          <w:rStyle w:val="libFootnotenumChar"/>
          <w:rtl/>
        </w:rPr>
        <w:t>(12)</w:t>
      </w:r>
      <w:r w:rsidRPr="00020424">
        <w:rPr>
          <w:rtl/>
          <w:lang w:bidi="fa-IR"/>
        </w:rPr>
        <w:t xml:space="preserve"> نُفُوسُهُمْ وَمَا يَحْذَرُونَ</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هكذا في جميع النسخ التي قوبلت. وفي المطبوع : + « به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قال الخليل : « الرمق : بقيّة الحياة</w:t>
      </w:r>
      <w:r w:rsidR="00992664">
        <w:rPr>
          <w:rtl/>
        </w:rPr>
        <w:t xml:space="preserve"> ».</w:t>
      </w:r>
      <w:r w:rsidR="00992664" w:rsidRPr="00020424">
        <w:rPr>
          <w:rtl/>
        </w:rPr>
        <w:t xml:space="preserve"> وقال الجوهري : « الرمق : بقيّة الروح</w:t>
      </w:r>
      <w:r w:rsidR="00992664">
        <w:rPr>
          <w:rtl/>
        </w:rPr>
        <w:t xml:space="preserve"> ».</w:t>
      </w:r>
      <w:r w:rsidR="00992664" w:rsidRPr="00020424">
        <w:rPr>
          <w:rtl/>
        </w:rPr>
        <w:t xml:space="preserve"> وقال ابن الأثير : « هو بقيّة الروح وآخر النفس</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1 ، ص 714 ؛ </w:t>
      </w:r>
      <w:r w:rsidR="00992664" w:rsidRPr="0012008A">
        <w:rPr>
          <w:rStyle w:val="libFootnoteBoldChar"/>
          <w:rtl/>
        </w:rPr>
        <w:t>الصحاح</w:t>
      </w:r>
      <w:r w:rsidR="00992664" w:rsidRPr="00020424">
        <w:rPr>
          <w:rtl/>
        </w:rPr>
        <w:t xml:space="preserve"> ، ج 4 ، ص 1484 ؛ </w:t>
      </w:r>
      <w:r w:rsidR="00992664" w:rsidRPr="0012008A">
        <w:rPr>
          <w:rStyle w:val="libFootnoteBoldChar"/>
          <w:rtl/>
        </w:rPr>
        <w:t>النهاية</w:t>
      </w:r>
      <w:r w:rsidR="00992664" w:rsidRPr="00020424">
        <w:rPr>
          <w:rtl/>
        </w:rPr>
        <w:t xml:space="preserve"> ، ج 2 ، ص 264 ( رمق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قال صاحب المدارك : هل يجب على ذي العطاش الاقتصار من الشرب على ما تندفع به الضرورة ، أم يجوز له التملى من الشراب وغيره</w:t>
      </w:r>
      <w:r w:rsidR="00992664">
        <w:rPr>
          <w:rtl/>
        </w:rPr>
        <w:t>؟</w:t>
      </w:r>
      <w:r w:rsidR="00992664" w:rsidRPr="00020424">
        <w:rPr>
          <w:rtl/>
        </w:rPr>
        <w:t xml:space="preserve"> قيل بالأوّل لرواية عمّار ( يعني هذه الرواية )</w:t>
      </w:r>
      <w:r w:rsidR="00992664">
        <w:rPr>
          <w:rtl/>
        </w:rPr>
        <w:t>.</w:t>
      </w:r>
      <w:r w:rsidR="00992664" w:rsidRPr="00020424">
        <w:rPr>
          <w:rtl/>
        </w:rPr>
        <w:t xml:space="preserve"> وقيل بالثاني ، وهو خيرة الأكثر لإطلاق سائر الأخبار ، ولاريب أنّ الأوّل أحوط. انتهى. أقول : ظاهر رواية عمّار أنّها فيمن أصابه العطش اتّفاقاً من غير أن تكون له علّة مقتضية له مستمرّة ، وظاهر أخبار الفدية أنّها وردت في صاحب العلّة ، فلا يبعد أن يكون حكم الأوّل جواز الشرب بقدر سدّ الرمق والقضاء بدون فدية ، وحكم الثاني وجوب الفدية وسقوط القضاء وعدم وجوب الاقتصار على سدّ الرمق</w:t>
      </w:r>
      <w:r w:rsidR="00992664">
        <w:rPr>
          <w:rtl/>
        </w:rPr>
        <w:t xml:space="preserve"> ».</w:t>
      </w:r>
      <w:r w:rsidR="00992664" w:rsidRPr="00020424">
        <w:rPr>
          <w:rtl/>
        </w:rPr>
        <w:t xml:space="preserve"> وراجع : </w:t>
      </w:r>
      <w:r w:rsidR="00992664" w:rsidRPr="00E57D58">
        <w:rPr>
          <w:rStyle w:val="libFootnoteBoldChar"/>
          <w:rtl/>
        </w:rPr>
        <w:t>مدارك الأحكام</w:t>
      </w:r>
      <w:r w:rsidR="00992664" w:rsidRPr="00020424">
        <w:rPr>
          <w:rtl/>
        </w:rPr>
        <w:t xml:space="preserve"> ، ج 6 ، ص 298.</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240 ، ح 702 ، معلّقاً عن الكليني. </w:t>
      </w:r>
      <w:r w:rsidR="00992664" w:rsidRPr="0012008A">
        <w:rPr>
          <w:rStyle w:val="libFootnoteBoldChar"/>
          <w:rtl/>
        </w:rPr>
        <w:t>الفقيه</w:t>
      </w:r>
      <w:r w:rsidR="00992664" w:rsidRPr="00020424">
        <w:rPr>
          <w:rtl/>
        </w:rPr>
        <w:t xml:space="preserve"> ، ج 2 ، ص 133 ، ح 1948 ، معلّقاً عن عمّار بن موسى ، عن أبي عبدالله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التهذيب</w:t>
      </w:r>
      <w:r w:rsidR="00992664" w:rsidRPr="00020424">
        <w:rPr>
          <w:rtl/>
        </w:rPr>
        <w:t xml:space="preserve"> ، ج 4 ، ص 326 ، ح 1011 ، معلّقاً عن عمّار بن موسى الساباطي ، عن أبي عبدالله </w:t>
      </w:r>
      <w:r w:rsidR="00992664" w:rsidRPr="00D64ADA">
        <w:rPr>
          <w:rStyle w:val="libFootnoteAlaemChar"/>
          <w:rtl/>
        </w:rPr>
        <w:t>عليه‌السلام</w:t>
      </w:r>
      <w:r w:rsidR="00992664" w:rsidRPr="00020424">
        <w:rPr>
          <w:rtl/>
        </w:rPr>
        <w:t xml:space="preserve"> </w:t>
      </w:r>
      <w:r w:rsidR="00CB09B9">
        <w:rPr>
          <w:rFonts w:hint="cs"/>
          <w:rtl/>
        </w:rPr>
        <w:t>.</w:t>
      </w:r>
      <w:r w:rsidR="00992664" w:rsidRPr="0012008A">
        <w:rPr>
          <w:rStyle w:val="libFootnoteBoldChar"/>
          <w:rtl/>
        </w:rPr>
        <w:t>الوافي</w:t>
      </w:r>
      <w:r w:rsidR="00992664" w:rsidRPr="00020424">
        <w:rPr>
          <w:rtl/>
        </w:rPr>
        <w:t xml:space="preserve"> ، ج 11 ، ص 296 ، ح 10896 ؛ </w:t>
      </w:r>
      <w:r w:rsidR="00992664" w:rsidRPr="0012008A">
        <w:rPr>
          <w:rStyle w:val="libFootnoteBoldChar"/>
          <w:rtl/>
        </w:rPr>
        <w:t>الوسائل</w:t>
      </w:r>
      <w:r w:rsidR="00992664" w:rsidRPr="00020424">
        <w:rPr>
          <w:rtl/>
        </w:rPr>
        <w:t xml:space="preserve"> ، ج 10 ، ص 214 ، ح 13252.</w:t>
      </w:r>
    </w:p>
    <w:p w:rsidR="00992664" w:rsidRPr="00020424" w:rsidRDefault="00795177" w:rsidP="002C5A57">
      <w:pPr>
        <w:pStyle w:val="libFootnote0"/>
        <w:rPr>
          <w:rtl/>
          <w:lang w:bidi="fa-IR"/>
        </w:rPr>
      </w:pPr>
      <w:r>
        <w:rPr>
          <w:rtl/>
        </w:rPr>
        <w:t>(5).</w:t>
      </w:r>
      <w:r w:rsidR="0014403D">
        <w:rPr>
          <w:rtl/>
        </w:rPr>
        <w:t xml:space="preserve"> </w:t>
      </w:r>
      <w:r w:rsidR="00992664" w:rsidRPr="00020424">
        <w:rPr>
          <w:rtl/>
        </w:rPr>
        <w:t xml:space="preserve">هكذا في « ظ ، بث ، بخ ، بر ، بف ، جر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وفي « ى ، بح ، بس ، جن » والمطبوع </w:t>
      </w:r>
      <w:r w:rsidR="00992664" w:rsidRPr="00EB1FD9">
        <w:rPr>
          <w:rStyle w:val="libFootnoteBoldChar"/>
          <w:rtl/>
        </w:rPr>
        <w:t>والوسائل</w:t>
      </w:r>
      <w:r w:rsidR="00992664" w:rsidRPr="00020424">
        <w:rPr>
          <w:rtl/>
        </w:rPr>
        <w:t xml:space="preserve"> : « المفضّل</w:t>
      </w:r>
      <w:r w:rsidR="00992664">
        <w:rPr>
          <w:rtl/>
        </w:rPr>
        <w:t xml:space="preserve"> ».</w:t>
      </w:r>
      <w:r w:rsidR="00B04396">
        <w:rPr>
          <w:rFonts w:hint="cs"/>
          <w:rtl/>
        </w:rPr>
        <w:t xml:space="preserve">                  </w:t>
      </w:r>
      <w:r w:rsidR="002C5A57">
        <w:rPr>
          <w:rFonts w:hint="cs"/>
          <w:rtl/>
        </w:rPr>
        <w:t xml:space="preserve">                </w:t>
      </w:r>
      <w:r>
        <w:rPr>
          <w:rtl/>
        </w:rPr>
        <w:t>(6).</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بن عمر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فتياناً وبنات » بدل « فتيات وشُبّاناً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C5A57" w:rsidTr="002C5A57">
        <w:tc>
          <w:tcPr>
            <w:tcW w:w="4006" w:type="dxa"/>
          </w:tcPr>
          <w:p w:rsidR="002C5A57" w:rsidRDefault="002C5A57" w:rsidP="00992664">
            <w:pPr>
              <w:pStyle w:val="libFootnote0"/>
              <w:rPr>
                <w:rtl/>
              </w:rPr>
            </w:pPr>
            <w:r>
              <w:rPr>
                <w:rtl/>
              </w:rPr>
              <w:t xml:space="preserve">(8). </w:t>
            </w:r>
            <w:r w:rsidRPr="00020424">
              <w:rPr>
                <w:rtl/>
              </w:rPr>
              <w:t>في « ى » : « فيشربوا</w:t>
            </w:r>
            <w:r>
              <w:rPr>
                <w:rtl/>
              </w:rPr>
              <w:t xml:space="preserve"> ».</w:t>
            </w:r>
          </w:p>
        </w:tc>
        <w:tc>
          <w:tcPr>
            <w:tcW w:w="4006" w:type="dxa"/>
          </w:tcPr>
          <w:p w:rsidR="002C5A57" w:rsidRDefault="002C5A57"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 « مقدار</w:t>
            </w:r>
            <w:r>
              <w:rPr>
                <w:rtl/>
              </w:rPr>
              <w:t xml:space="preserve"> ».</w:t>
            </w:r>
          </w:p>
        </w:tc>
      </w:tr>
      <w:tr w:rsidR="002C5A57" w:rsidTr="002C5A57">
        <w:tc>
          <w:tcPr>
            <w:tcW w:w="4006" w:type="dxa"/>
          </w:tcPr>
          <w:p w:rsidR="002C5A57" w:rsidRDefault="002C5A57" w:rsidP="00992664">
            <w:pPr>
              <w:pStyle w:val="libFootnote0"/>
              <w:rPr>
                <w:rtl/>
              </w:rPr>
            </w:pPr>
            <w:r>
              <w:rPr>
                <w:rtl/>
              </w:rPr>
              <w:t xml:space="preserve">(10). </w:t>
            </w:r>
            <w:r w:rsidRPr="00020424">
              <w:rPr>
                <w:rtl/>
              </w:rPr>
              <w:t>في « ى » :</w:t>
            </w:r>
            <w:r>
              <w:rPr>
                <w:rtl/>
              </w:rPr>
              <w:t xml:space="preserve"> - </w:t>
            </w:r>
            <w:r w:rsidRPr="00020424">
              <w:rPr>
                <w:rtl/>
              </w:rPr>
              <w:t>« ما</w:t>
            </w:r>
            <w:r>
              <w:rPr>
                <w:rtl/>
              </w:rPr>
              <w:t xml:space="preserve"> ».</w:t>
            </w:r>
          </w:p>
        </w:tc>
        <w:tc>
          <w:tcPr>
            <w:tcW w:w="4006" w:type="dxa"/>
          </w:tcPr>
          <w:p w:rsidR="002C5A57" w:rsidRDefault="002C5A57" w:rsidP="00992664">
            <w:pPr>
              <w:pStyle w:val="libFootnote0"/>
              <w:rPr>
                <w:rtl/>
              </w:rPr>
            </w:pPr>
            <w:r>
              <w:rPr>
                <w:rtl/>
              </w:rPr>
              <w:t xml:space="preserve">(11). </w:t>
            </w:r>
            <w:r w:rsidRPr="00020424">
              <w:rPr>
                <w:rtl/>
              </w:rPr>
              <w:t>في « بف » : « يروى</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240 ، ح 703 ، معلّقاً عن الكليني </w:t>
      </w:r>
      <w:r w:rsidR="009721C3">
        <w:rPr>
          <w:rFonts w:hint="cs"/>
          <w:rtl/>
        </w:rPr>
        <w:t>.</w:t>
      </w:r>
      <w:r w:rsidR="00992664" w:rsidRPr="0012008A">
        <w:rPr>
          <w:rStyle w:val="libFootnoteBoldChar"/>
          <w:rtl/>
        </w:rPr>
        <w:t>الوافي</w:t>
      </w:r>
      <w:r w:rsidR="00992664" w:rsidRPr="00020424">
        <w:rPr>
          <w:rtl/>
        </w:rPr>
        <w:t xml:space="preserve"> ، ج 11 ، ص 296 ، ح 10897 ؛ </w:t>
      </w:r>
      <w:r w:rsidR="00992664" w:rsidRPr="0012008A">
        <w:rPr>
          <w:rStyle w:val="libFootnoteBoldChar"/>
          <w:rtl/>
        </w:rPr>
        <w:t>الوسائل</w:t>
      </w:r>
      <w:r w:rsidR="00992664" w:rsidRPr="00020424">
        <w:rPr>
          <w:rtl/>
        </w:rPr>
        <w:t xml:space="preserve"> ، ج 10 ، ص 214 ، ح 13253.</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12" w:name="_Toc345172853"/>
      <w:bookmarkStart w:id="413" w:name="_Toc464562670"/>
      <w:bookmarkStart w:id="414" w:name="_Toc44599974"/>
      <w:r w:rsidRPr="00020424">
        <w:rPr>
          <w:rtl/>
          <w:lang w:bidi="fa-IR"/>
        </w:rPr>
        <w:t>38</w:t>
      </w:r>
      <w:r>
        <w:rPr>
          <w:rtl/>
          <w:lang w:bidi="fa-IR"/>
        </w:rPr>
        <w:t xml:space="preserve"> </w:t>
      </w:r>
      <w:r w:rsidR="009B673F">
        <w:rPr>
          <w:rtl/>
          <w:lang w:bidi="fa-IR"/>
        </w:rPr>
        <w:t>-</w:t>
      </w:r>
      <w:r>
        <w:rPr>
          <w:rtl/>
          <w:lang w:bidi="fa-IR"/>
        </w:rPr>
        <w:t xml:space="preserve"> </w:t>
      </w:r>
      <w:r w:rsidRPr="00020424">
        <w:rPr>
          <w:rtl/>
          <w:lang w:bidi="fa-IR"/>
        </w:rPr>
        <w:t>بَابُ الْحَامِلِ وَالْمُرْضِعِ يَضْعُفَانِ عَنِ الصَّوْمِ‌</w:t>
      </w:r>
      <w:bookmarkEnd w:id="412"/>
      <w:bookmarkEnd w:id="413"/>
      <w:bookmarkEnd w:id="414"/>
    </w:p>
    <w:p w:rsidR="00992664" w:rsidRPr="00020424" w:rsidRDefault="00992664" w:rsidP="00992664">
      <w:pPr>
        <w:pStyle w:val="libNormal"/>
        <w:rPr>
          <w:rtl/>
          <w:lang w:bidi="fa-IR"/>
        </w:rPr>
      </w:pPr>
      <w:r w:rsidRPr="00B96998">
        <w:rPr>
          <w:rtl/>
        </w:rPr>
        <w:t>6454</w:t>
      </w:r>
      <w:r w:rsidRPr="001155DE">
        <w:rPr>
          <w:rStyle w:val="libBold2Char"/>
          <w:rtl/>
        </w:rPr>
        <w:t xml:space="preserve"> / 1.</w:t>
      </w:r>
      <w:r w:rsidRPr="00020424">
        <w:rPr>
          <w:rtl/>
          <w:lang w:bidi="fa-IR"/>
        </w:rPr>
        <w:t xml:space="preserve"> مُحَمَّدُ بْنُ يَحْيى </w:t>
      </w:r>
      <w:r w:rsidRPr="00A91B96">
        <w:rPr>
          <w:rStyle w:val="libFootnotenumChar"/>
          <w:rtl/>
        </w:rPr>
        <w:t>(1)</w:t>
      </w:r>
      <w:r w:rsidRPr="00020424">
        <w:rPr>
          <w:rtl/>
          <w:lang w:bidi="fa-IR"/>
        </w:rPr>
        <w:t xml:space="preserve"> ، عَنْ أَحْمَدَ بْنِ مُحَمَّدٍ ، عَنِ ابْنِ مَحْبُوبٍ ، عَنِ الْعَلَاءِ بْنِ رَزِينٍ ، عَنْ مُحَمَّدِ بْنِ مُسْلِمٍ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الْحَامِلُ الْمُقْرِبُ وَالْمُرْضِعُ الْقَلِيلَةُ </w:t>
      </w:r>
      <w:r w:rsidRPr="00A91B96">
        <w:rPr>
          <w:rStyle w:val="libFootnotenumChar"/>
          <w:rtl/>
        </w:rPr>
        <w:t>(2)</w:t>
      </w:r>
      <w:r w:rsidRPr="00020424">
        <w:rPr>
          <w:rtl/>
          <w:lang w:bidi="fa-IR"/>
        </w:rPr>
        <w:t xml:space="preserve"> اللَّبَنِ لَاحَرَجَ عَلَيْهِمَا أَنْ يُفْطِرَا </w:t>
      </w:r>
      <w:r w:rsidRPr="00A91B96">
        <w:rPr>
          <w:rStyle w:val="libFootnotenumChar"/>
          <w:rtl/>
        </w:rPr>
        <w:t>(3)</w:t>
      </w:r>
      <w:r w:rsidRPr="00020424">
        <w:rPr>
          <w:rtl/>
          <w:lang w:bidi="fa-IR"/>
        </w:rPr>
        <w:t xml:space="preserve"> فِي شَهْرِ رَمَضَانَ ؛ لِأَنَّهُمَا لَايُطِيقَانِ </w:t>
      </w:r>
      <w:r w:rsidRPr="00A91B96">
        <w:rPr>
          <w:rStyle w:val="libFootnotenumChar"/>
          <w:rtl/>
        </w:rPr>
        <w:t>(4)</w:t>
      </w:r>
      <w:r w:rsidRPr="00020424">
        <w:rPr>
          <w:rtl/>
          <w:lang w:bidi="fa-IR"/>
        </w:rPr>
        <w:t xml:space="preserve"> الصَّوْمَ ، وَعَلَيْهِمَا أَنْ يَتَصَدَّقَ </w:t>
      </w:r>
      <w:r w:rsidRPr="00A91B96">
        <w:rPr>
          <w:rStyle w:val="libFootnotenumChar"/>
          <w:rtl/>
        </w:rPr>
        <w:t>(5)</w:t>
      </w:r>
      <w:r w:rsidRPr="00020424">
        <w:rPr>
          <w:rtl/>
          <w:lang w:bidi="fa-IR"/>
        </w:rPr>
        <w:t xml:space="preserve"> كُلُّ وَاحِدٍ </w:t>
      </w:r>
      <w:r w:rsidRPr="00A91B96">
        <w:rPr>
          <w:rStyle w:val="libFootnotenumChar"/>
          <w:rtl/>
        </w:rPr>
        <w:t>(6)</w:t>
      </w:r>
      <w:r w:rsidRPr="00020424">
        <w:rPr>
          <w:rtl/>
          <w:lang w:bidi="fa-IR"/>
        </w:rPr>
        <w:t xml:space="preserve"> مِنْهُمَا فِي كُلِّ يَوْمٍ يُفْطِرُ </w:t>
      </w:r>
      <w:r w:rsidRPr="00A91B96">
        <w:rPr>
          <w:rStyle w:val="libFootnotenumChar"/>
          <w:rtl/>
        </w:rPr>
        <w:t>(7)</w:t>
      </w:r>
      <w:r w:rsidRPr="00020424">
        <w:rPr>
          <w:rtl/>
          <w:lang w:bidi="fa-IR"/>
        </w:rPr>
        <w:t xml:space="preserve"> فِيهِ بِمُدٍّ مِنْ طَعَامٍ ، وَعَلَيْهِمَا قَضَاءُ كُلِّ يَوْمٍ أَفْطَرَتَا فِيهِ ، تَقْضِيَانِهِ </w:t>
      </w:r>
      <w:r w:rsidRPr="00A91B96">
        <w:rPr>
          <w:rStyle w:val="libFootnotenumChar"/>
          <w:rtl/>
        </w:rPr>
        <w:t>(8)</w:t>
      </w:r>
      <w:r w:rsidRPr="00020424">
        <w:rPr>
          <w:rtl/>
          <w:lang w:bidi="fa-IR"/>
        </w:rPr>
        <w:t xml:space="preserve"> بَعْدُ</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721C3" w:rsidP="00992664">
      <w:pPr>
        <w:pStyle w:val="libNormal"/>
        <w:rPr>
          <w:rtl/>
          <w:lang w:bidi="fa-IR"/>
        </w:rPr>
      </w:pPr>
      <w:r>
        <w:rPr>
          <w:rFonts w:hint="cs"/>
          <w:rtl/>
          <w:lang w:bidi="fa-IR"/>
        </w:rPr>
        <w:t xml:space="preserve">* </w:t>
      </w:r>
      <w:r w:rsidR="00992664" w:rsidRPr="00020424">
        <w:rPr>
          <w:rtl/>
          <w:lang w:bidi="fa-IR"/>
        </w:rPr>
        <w:t xml:space="preserve">مُحَمَّدُ بْنُ يَحْيى ، عَنْ مُحَمَّدِ بْنِ الْحُسَيْنِ ، عَنْ مُحَمَّدِ بْنِ عَبْدِ اللهِ بْنِ هِلَالٍ ، عَنِ الْعَلَاءِ بْنِ رَزِينٍ ، عَنْ مُحَمَّدِ بْنِ مُسْلِمٍ ، عَنْ أَبِي جَعْفَرٍ </w:t>
      </w:r>
      <w:r w:rsidR="00992664" w:rsidRPr="00005A81">
        <w:rPr>
          <w:rStyle w:val="libAlaemChar"/>
          <w:rtl/>
        </w:rPr>
        <w:t>عليه‌السلام</w:t>
      </w:r>
      <w:r w:rsidR="00992664" w:rsidRPr="00020424">
        <w:rPr>
          <w:rtl/>
          <w:lang w:bidi="fa-IR"/>
        </w:rPr>
        <w:t xml:space="preserve"> مِثْلَهُ. </w:t>
      </w:r>
      <w:r w:rsidR="00992664" w:rsidRPr="00A91B96">
        <w:rPr>
          <w:rStyle w:val="libFootnotenumChar"/>
          <w:rtl/>
        </w:rPr>
        <w:t>(10)</w:t>
      </w:r>
      <w:r w:rsidR="00992664" w:rsidRPr="00020424">
        <w:rPr>
          <w:rtl/>
          <w:lang w:bidi="fa-IR"/>
        </w:rPr>
        <w:t xml:space="preserve"> ‌</w:t>
      </w:r>
    </w:p>
    <w:p w:rsidR="00992664" w:rsidRPr="00020424" w:rsidRDefault="00992664" w:rsidP="00992664">
      <w:pPr>
        <w:pStyle w:val="Heading2Center"/>
        <w:rPr>
          <w:rtl/>
          <w:lang w:bidi="fa-IR"/>
        </w:rPr>
      </w:pPr>
      <w:bookmarkStart w:id="415" w:name="_Toc345172854"/>
      <w:bookmarkStart w:id="416" w:name="_Toc464562671"/>
      <w:bookmarkStart w:id="417" w:name="_Toc44599975"/>
      <w:r w:rsidRPr="00020424">
        <w:rPr>
          <w:rtl/>
          <w:lang w:bidi="fa-IR"/>
        </w:rPr>
        <w:t>39</w:t>
      </w:r>
      <w:r>
        <w:rPr>
          <w:rtl/>
          <w:lang w:bidi="fa-IR"/>
        </w:rPr>
        <w:t xml:space="preserve"> </w:t>
      </w:r>
      <w:r w:rsidR="009B673F">
        <w:rPr>
          <w:rtl/>
          <w:lang w:bidi="fa-IR"/>
        </w:rPr>
        <w:t>-</w:t>
      </w:r>
      <w:r>
        <w:rPr>
          <w:rtl/>
          <w:lang w:bidi="fa-IR"/>
        </w:rPr>
        <w:t xml:space="preserve"> </w:t>
      </w:r>
      <w:r w:rsidRPr="00020424">
        <w:rPr>
          <w:rtl/>
          <w:lang w:bidi="fa-IR"/>
        </w:rPr>
        <w:t>بَابُ حَدِّ الْمَرَضِ الَّذِي يَجُوزُ لِلرَّجُلِ أَنْ يُفْطِرَ فِيهِ‌</w:t>
      </w:r>
      <w:bookmarkEnd w:id="415"/>
      <w:bookmarkEnd w:id="416"/>
      <w:bookmarkEnd w:id="417"/>
    </w:p>
    <w:p w:rsidR="00992664" w:rsidRPr="00020424" w:rsidRDefault="00992664" w:rsidP="00992664">
      <w:pPr>
        <w:pStyle w:val="libNormal"/>
        <w:rPr>
          <w:rtl/>
          <w:lang w:bidi="fa-IR"/>
        </w:rPr>
      </w:pPr>
      <w:r w:rsidRPr="00B96998">
        <w:rPr>
          <w:rtl/>
        </w:rPr>
        <w:t>6455</w:t>
      </w:r>
      <w:r w:rsidRPr="001155DE">
        <w:rPr>
          <w:rStyle w:val="libBold2Char"/>
          <w:rtl/>
        </w:rPr>
        <w:t xml:space="preserve"> / 1.</w:t>
      </w:r>
      <w:r w:rsidRPr="00020424">
        <w:rPr>
          <w:rtl/>
          <w:lang w:bidi="fa-IR"/>
        </w:rPr>
        <w:t xml:space="preserve"> عَلِيُّ بْنُ إِبْرَاهِيمَ ، عَنْ أَبِيهِ ، عَنِ ابْنِ أَبِي عُمَيْرٍ ، عَنْ جَمِيلِ بْنِ دَرَّاجٍ ، عَنِ الْوَلِيدِ بْنِ صَبِيحٍ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القليل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9721C3">
        <w:rPr>
          <w:rtl/>
        </w:rPr>
        <w:t>الوافي والوسائل والفقيه والتهذيب</w:t>
      </w:r>
      <w:r w:rsidR="00992664" w:rsidRPr="00020424">
        <w:rPr>
          <w:rtl/>
        </w:rPr>
        <w:t xml:space="preserve"> : « أن تفطرا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EB1FD9">
        <w:rPr>
          <w:rStyle w:val="libFootnoteBoldChar"/>
          <w:rtl/>
        </w:rPr>
        <w:t>والوسائل</w:t>
      </w:r>
      <w:r w:rsidR="00992664" w:rsidRPr="00020424">
        <w:rPr>
          <w:rtl/>
        </w:rPr>
        <w:t xml:space="preserve">. وفي المطبوع </w:t>
      </w:r>
      <w:r w:rsidR="00992664" w:rsidRPr="00515444">
        <w:rPr>
          <w:rStyle w:val="libFootnoteBoldChar"/>
          <w:rtl/>
        </w:rPr>
        <w:t>والوافي</w:t>
      </w:r>
      <w:r w:rsidR="00992664" w:rsidRPr="00020424">
        <w:rPr>
          <w:rtl/>
        </w:rPr>
        <w:t xml:space="preserve"> : « لا تطيقان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721C3" w:rsidTr="009721C3">
        <w:tc>
          <w:tcPr>
            <w:tcW w:w="4006" w:type="dxa"/>
          </w:tcPr>
          <w:p w:rsidR="009721C3" w:rsidRDefault="009721C3" w:rsidP="00992664">
            <w:pPr>
              <w:pStyle w:val="libFootnote0"/>
              <w:rPr>
                <w:rtl/>
              </w:rPr>
            </w:pPr>
            <w:r>
              <w:rPr>
                <w:rtl/>
              </w:rPr>
              <w:t xml:space="preserve">(5). </w:t>
            </w:r>
            <w:r w:rsidRPr="00020424">
              <w:rPr>
                <w:rtl/>
              </w:rPr>
              <w:t xml:space="preserve">في </w:t>
            </w:r>
            <w:r w:rsidRPr="009721C3">
              <w:rPr>
                <w:rtl/>
              </w:rPr>
              <w:t>الوافي والفقيه والتهذيب</w:t>
            </w:r>
            <w:r w:rsidRPr="00020424">
              <w:rPr>
                <w:rtl/>
              </w:rPr>
              <w:t xml:space="preserve"> : « أن تتصدّق</w:t>
            </w:r>
            <w:r>
              <w:rPr>
                <w:rtl/>
              </w:rPr>
              <w:t xml:space="preserve"> ».</w:t>
            </w:r>
          </w:p>
        </w:tc>
        <w:tc>
          <w:tcPr>
            <w:tcW w:w="4006" w:type="dxa"/>
          </w:tcPr>
          <w:p w:rsidR="009721C3" w:rsidRDefault="009721C3" w:rsidP="00992664">
            <w:pPr>
              <w:pStyle w:val="libFootnote0"/>
              <w:rPr>
                <w:rtl/>
              </w:rPr>
            </w:pPr>
            <w:r>
              <w:rPr>
                <w:rtl/>
              </w:rPr>
              <w:t>(6). في</w:t>
            </w:r>
            <w:r w:rsidRPr="00020424">
              <w:rPr>
                <w:rtl/>
              </w:rPr>
              <w:t>«</w:t>
            </w:r>
            <w:r>
              <w:rPr>
                <w:rtl/>
              </w:rPr>
              <w:t>بح،بر»</w:t>
            </w:r>
            <w:r w:rsidRPr="009721C3">
              <w:rPr>
                <w:rtl/>
              </w:rPr>
              <w:t>والوافي والفقيه والتهذيب</w:t>
            </w:r>
            <w:r w:rsidRPr="00020424">
              <w:rPr>
                <w:rtl/>
              </w:rPr>
              <w:t xml:space="preserve"> : « واحدة</w:t>
            </w:r>
            <w:r>
              <w:rPr>
                <w:rtl/>
              </w:rPr>
              <w:t xml:space="preserve"> ».</w:t>
            </w:r>
          </w:p>
        </w:tc>
      </w:tr>
      <w:tr w:rsidR="009721C3" w:rsidTr="009721C3">
        <w:tc>
          <w:tcPr>
            <w:tcW w:w="4006" w:type="dxa"/>
          </w:tcPr>
          <w:p w:rsidR="009721C3" w:rsidRDefault="00F00556" w:rsidP="00992664">
            <w:pPr>
              <w:pStyle w:val="libFootnote0"/>
              <w:rPr>
                <w:rtl/>
              </w:rPr>
            </w:pPr>
            <w:r>
              <w:rPr>
                <w:rtl/>
              </w:rPr>
              <w:t xml:space="preserve">(7). </w:t>
            </w:r>
            <w:r w:rsidRPr="009721C3">
              <w:rPr>
                <w:rtl/>
              </w:rPr>
              <w:t>في الوافي والفقيه والتهذيب</w:t>
            </w:r>
            <w:r w:rsidRPr="00020424">
              <w:rPr>
                <w:rtl/>
              </w:rPr>
              <w:t xml:space="preserve"> : « تفطر</w:t>
            </w:r>
            <w:r>
              <w:rPr>
                <w:rtl/>
              </w:rPr>
              <w:t xml:space="preserve"> ».</w:t>
            </w:r>
          </w:p>
        </w:tc>
        <w:tc>
          <w:tcPr>
            <w:tcW w:w="4006" w:type="dxa"/>
          </w:tcPr>
          <w:p w:rsidR="009721C3" w:rsidRDefault="00F00556" w:rsidP="00992664">
            <w:pPr>
              <w:pStyle w:val="libFootnote0"/>
              <w:rPr>
                <w:rtl/>
              </w:rPr>
            </w:pPr>
            <w:r>
              <w:rPr>
                <w:rtl/>
              </w:rPr>
              <w:t xml:space="preserve">(8). </w:t>
            </w:r>
            <w:r w:rsidRPr="00020424">
              <w:rPr>
                <w:rtl/>
              </w:rPr>
              <w:t>في « بخ ، بر ، بف ، جن » : « يقضيانه</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239 ، ح 701 ، معلّقاً عن الكليني. </w:t>
      </w:r>
      <w:r w:rsidR="00992664" w:rsidRPr="0012008A">
        <w:rPr>
          <w:rStyle w:val="libFootnoteBoldChar"/>
          <w:rtl/>
        </w:rPr>
        <w:t>الفقيه</w:t>
      </w:r>
      <w:r w:rsidR="00992664" w:rsidRPr="00020424">
        <w:rPr>
          <w:rtl/>
        </w:rPr>
        <w:t xml:space="preserve"> ، ج 2 ، ص 134 ، ح 1950 ، معلّقاً عن العلاء ، عن محمّد بن مسلم </w:t>
      </w:r>
      <w:r w:rsidR="003C7650">
        <w:rPr>
          <w:rFonts w:hint="cs"/>
          <w:rtl/>
        </w:rPr>
        <w:t>.</w:t>
      </w:r>
      <w:r w:rsidR="00992664" w:rsidRPr="0012008A">
        <w:rPr>
          <w:rStyle w:val="libFootnoteBoldChar"/>
          <w:rtl/>
        </w:rPr>
        <w:t>الوافي</w:t>
      </w:r>
      <w:r w:rsidR="00992664" w:rsidRPr="00020424">
        <w:rPr>
          <w:rtl/>
        </w:rPr>
        <w:t xml:space="preserve"> ، ج 11 ، ص 297 ، ح 10898 ؛ </w:t>
      </w:r>
      <w:r w:rsidR="00992664" w:rsidRPr="0012008A">
        <w:rPr>
          <w:rStyle w:val="libFootnoteBoldChar"/>
          <w:rtl/>
        </w:rPr>
        <w:t>الوسائل</w:t>
      </w:r>
      <w:r w:rsidR="00992664" w:rsidRPr="00020424">
        <w:rPr>
          <w:rtl/>
        </w:rPr>
        <w:t xml:space="preserve"> ، ج 10 ، ص 215 ، ح 13254.</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الفقيه</w:t>
      </w:r>
      <w:r w:rsidR="00992664" w:rsidRPr="00020424">
        <w:rPr>
          <w:rtl/>
        </w:rPr>
        <w:t xml:space="preserve"> ، ج 2 ، ص 134 ، ح 1950 ، معلّقاً عن العلاء ، عن محمّد بن مسلم </w:t>
      </w:r>
      <w:r w:rsidR="009A0F7D">
        <w:rPr>
          <w:rFonts w:hint="cs"/>
          <w:rtl/>
        </w:rPr>
        <w:t>.</w:t>
      </w:r>
      <w:r w:rsidR="00992664" w:rsidRPr="0012008A">
        <w:rPr>
          <w:rStyle w:val="libFootnoteBoldChar"/>
          <w:rtl/>
        </w:rPr>
        <w:t>الوافي</w:t>
      </w:r>
      <w:r w:rsidR="00992664" w:rsidRPr="00020424">
        <w:rPr>
          <w:rtl/>
        </w:rPr>
        <w:t xml:space="preserve"> ، ج 11 ، ص 297 ، ح 10898 ؛ </w:t>
      </w:r>
      <w:r w:rsidR="00992664" w:rsidRPr="0012008A">
        <w:rPr>
          <w:rStyle w:val="libFootnoteBoldChar"/>
          <w:rtl/>
        </w:rPr>
        <w:t>الوسائل</w:t>
      </w:r>
      <w:r w:rsidR="00992664" w:rsidRPr="00020424">
        <w:rPr>
          <w:rtl/>
        </w:rPr>
        <w:t xml:space="preserve"> ، ج 10 ، ص 215 ، ذيل ح 13254.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حُمِمْتُ بِالْمَدِينَةِ يَوْماً فِي شَهْرِ رَمَضَانَ ، فَبَعَثَ إِلَيَّ أَبُو عَبْدِ اللهِ </w:t>
      </w:r>
      <w:r w:rsidRPr="00005A81">
        <w:rPr>
          <w:rStyle w:val="libAlaemChar"/>
          <w:rtl/>
        </w:rPr>
        <w:t>عليه‌السلام</w:t>
      </w:r>
      <w:r w:rsidRPr="00020424">
        <w:rPr>
          <w:rtl/>
          <w:lang w:bidi="fa-IR"/>
        </w:rPr>
        <w:t xml:space="preserve"> بِقَصْعَةٍ </w:t>
      </w:r>
      <w:r w:rsidRPr="00A91B96">
        <w:rPr>
          <w:rStyle w:val="libFootnotenumChar"/>
          <w:rtl/>
        </w:rPr>
        <w:t>(1)</w:t>
      </w:r>
      <w:r w:rsidRPr="00020424">
        <w:rPr>
          <w:rtl/>
          <w:lang w:bidi="fa-IR"/>
        </w:rPr>
        <w:t xml:space="preserve"> فِيهَا خَلٌّ وَزَيْتٌ ، وَقَالَ </w:t>
      </w:r>
      <w:r w:rsidRPr="00A91B96">
        <w:rPr>
          <w:rStyle w:val="libFootnotenumChar"/>
          <w:rtl/>
        </w:rPr>
        <w:t>(2)</w:t>
      </w:r>
      <w:r w:rsidRPr="00020424">
        <w:rPr>
          <w:rtl/>
          <w:lang w:bidi="fa-IR"/>
        </w:rPr>
        <w:t xml:space="preserve"> : « أَفْطِرْ ، وَصَلِّ وَأَنْتَ قَاعِدٌ</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96998">
        <w:rPr>
          <w:rtl/>
        </w:rPr>
        <w:t>6456</w:t>
      </w:r>
      <w:r w:rsidRPr="001155DE">
        <w:rPr>
          <w:rStyle w:val="libBold2Char"/>
          <w:rtl/>
        </w:rPr>
        <w:t xml:space="preserve"> / 2.</w:t>
      </w:r>
      <w:r w:rsidRPr="00020424">
        <w:rPr>
          <w:rtl/>
          <w:lang w:bidi="fa-IR"/>
        </w:rPr>
        <w:t xml:space="preserve"> عَلِيُّ بْنُ إِبْرَاهِيمَ </w:t>
      </w:r>
      <w:r w:rsidRPr="00A91B96">
        <w:rPr>
          <w:rStyle w:val="libFootnotenumChar"/>
          <w:rtl/>
        </w:rPr>
        <w:t>(4)</w:t>
      </w:r>
      <w:r w:rsidRPr="00020424">
        <w:rPr>
          <w:rtl/>
          <w:lang w:bidi="fa-IR"/>
        </w:rPr>
        <w:t xml:space="preserve"> ، عَنْ أَبِيهِ ، عَنِ ابْنِ أَبِي عُمَيْرٍ ، عَنْ عُمَرَ </w:t>
      </w:r>
      <w:r w:rsidRPr="00A91B96">
        <w:rPr>
          <w:rStyle w:val="libFootnotenumChar"/>
          <w:rtl/>
        </w:rPr>
        <w:t>(5)</w:t>
      </w:r>
      <w:r w:rsidR="009943CE">
        <w:rPr>
          <w:rtl/>
          <w:lang w:bidi="fa-IR"/>
        </w:rPr>
        <w:t xml:space="preserve"> بْنِ أُذَيْنَةَ ،قَالَ</w:t>
      </w:r>
      <w:r w:rsidRPr="00020424">
        <w:rPr>
          <w:rtl/>
          <w:lang w:bidi="fa-IR"/>
        </w:rPr>
        <w:t>:</w:t>
      </w:r>
    </w:p>
    <w:p w:rsidR="00992664" w:rsidRPr="00020424" w:rsidRDefault="00992664" w:rsidP="00992664">
      <w:pPr>
        <w:pStyle w:val="libNormal"/>
        <w:rPr>
          <w:rtl/>
          <w:lang w:bidi="fa-IR"/>
        </w:rPr>
      </w:pPr>
      <w:r w:rsidRPr="00020424">
        <w:rPr>
          <w:rtl/>
          <w:lang w:bidi="fa-IR"/>
        </w:rPr>
        <w:t xml:space="preserve">كَتَبْتُ إِلى أَبِي عَبْدِ اللهِ </w:t>
      </w:r>
      <w:r w:rsidRPr="00005A81">
        <w:rPr>
          <w:rStyle w:val="libAlaemChar"/>
          <w:rtl/>
        </w:rPr>
        <w:t>عليه‌السلام</w:t>
      </w:r>
      <w:r w:rsidRPr="00020424">
        <w:rPr>
          <w:rtl/>
          <w:lang w:bidi="fa-IR"/>
        </w:rPr>
        <w:t xml:space="preserve"> أَسْأَلُهُ : مَا حَدُّ الْمَرَضِ الَّذِي يُفْطِرُ فِيهِ </w:t>
      </w:r>
      <w:r w:rsidRPr="00A91B96">
        <w:rPr>
          <w:rStyle w:val="libFootnotenumChar"/>
          <w:rtl/>
        </w:rPr>
        <w:t>(6)</w:t>
      </w:r>
      <w:r w:rsidRPr="00020424">
        <w:rPr>
          <w:rtl/>
          <w:lang w:bidi="fa-IR"/>
        </w:rPr>
        <w:t xml:space="preserve"> صَاحِبُهُ ، وَالْمَرَضِ الَّذِي يَدَعُ صَاحِبُهُ الصَّلَاةَ قَائِماً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(8)</w:t>
      </w:r>
      <w:r w:rsidRPr="00020424">
        <w:rPr>
          <w:rtl/>
          <w:lang w:bidi="fa-IR"/>
        </w:rPr>
        <w:t xml:space="preserve"> : </w:t>
      </w:r>
      <w:r w:rsidRPr="00005A81">
        <w:rPr>
          <w:rStyle w:val="libAlaemChar"/>
          <w:rtl/>
        </w:rPr>
        <w:t>(</w:t>
      </w:r>
      <w:r w:rsidRPr="004E5AB4">
        <w:rPr>
          <w:rStyle w:val="libAieChar"/>
          <w:rtl/>
        </w:rPr>
        <w:t xml:space="preserve"> بَلِ الْإِنْسانُ عَلى نَفْسِهِ بَصِيرَةٌ </w:t>
      </w:r>
      <w:r w:rsidRPr="00005A81">
        <w:rPr>
          <w:rStyle w:val="libAlaemChar"/>
          <w:rtl/>
        </w:rPr>
        <w:t>)</w:t>
      </w:r>
      <w:r w:rsidRPr="00020424">
        <w:rPr>
          <w:rtl/>
          <w:lang w:bidi="fa-IR"/>
        </w:rPr>
        <w:t xml:space="preserve"> </w:t>
      </w:r>
      <w:r w:rsidRPr="00A91B96">
        <w:rPr>
          <w:rStyle w:val="libFootnotenumChar"/>
          <w:rtl/>
        </w:rPr>
        <w:t>(9)</w:t>
      </w:r>
      <w:r w:rsidRPr="00020424">
        <w:rPr>
          <w:rtl/>
          <w:lang w:bidi="fa-IR"/>
        </w:rPr>
        <w:t xml:space="preserve"> وَقَالَ : « ذَاكَ </w:t>
      </w:r>
      <w:r w:rsidRPr="00A91B96">
        <w:rPr>
          <w:rStyle w:val="libFootnotenumChar"/>
          <w:rtl/>
        </w:rPr>
        <w:t>(10)</w:t>
      </w:r>
      <w:r w:rsidR="009943CE">
        <w:rPr>
          <w:rtl/>
          <w:lang w:bidi="fa-IR"/>
        </w:rPr>
        <w:t xml:space="preserve"> إِلَيْهِ،</w:t>
      </w:r>
      <w:r w:rsidRPr="00020424">
        <w:rPr>
          <w:rtl/>
          <w:lang w:bidi="fa-IR"/>
        </w:rPr>
        <w:t>هُوَ أَعْلَمُ بِنَفْسِهِ</w:t>
      </w:r>
      <w:r>
        <w:rPr>
          <w:rtl/>
          <w:lang w:bidi="fa-IR"/>
        </w:rPr>
        <w:t>».</w:t>
      </w:r>
      <w:r w:rsidRPr="00A91B96">
        <w:rPr>
          <w:rStyle w:val="libFootnotenumChar"/>
          <w:rtl/>
        </w:rPr>
        <w:t>(11)</w:t>
      </w:r>
    </w:p>
    <w:p w:rsidR="00992664" w:rsidRPr="00020424" w:rsidRDefault="00992664" w:rsidP="00992664">
      <w:pPr>
        <w:pStyle w:val="libNormal"/>
        <w:rPr>
          <w:rtl/>
          <w:lang w:bidi="fa-IR"/>
        </w:rPr>
      </w:pPr>
      <w:r w:rsidRPr="00B96998">
        <w:rPr>
          <w:rtl/>
        </w:rPr>
        <w:t>6457</w:t>
      </w:r>
      <w:r w:rsidRPr="001155DE">
        <w:rPr>
          <w:rStyle w:val="libBold2Char"/>
          <w:rtl/>
        </w:rPr>
        <w:t xml:space="preserve"> / 3.</w:t>
      </w:r>
      <w:r w:rsidRPr="00020424">
        <w:rPr>
          <w:rtl/>
          <w:lang w:bidi="fa-IR"/>
        </w:rPr>
        <w:t xml:space="preserve"> عَلِيُّ بْنُ إِبْرَاهِيمَ ، عَنْ مُحَمَّدِ بْنِ عِيسَى بْنِ عُبَيْدٍ ، عَنْ ي</w:t>
      </w:r>
      <w:r w:rsidR="00E81C1D">
        <w:rPr>
          <w:rtl/>
          <w:lang w:bidi="fa-IR"/>
        </w:rPr>
        <w:t>ُونُسَ ، عَنْ سَمَاعَةَ ،</w:t>
      </w:r>
      <w:r w:rsidR="009943CE">
        <w:rPr>
          <w:rtl/>
          <w:lang w:bidi="fa-IR"/>
        </w:rPr>
        <w:t>قَالَ</w:t>
      </w:r>
      <w:r w:rsidRPr="00020424">
        <w:rPr>
          <w:rtl/>
          <w:lang w:bidi="fa-IR"/>
        </w:rPr>
        <w:t>:</w:t>
      </w:r>
    </w:p>
    <w:p w:rsidR="00992664" w:rsidRPr="00020424" w:rsidRDefault="00992664" w:rsidP="00992664">
      <w:pPr>
        <w:pStyle w:val="libNormal"/>
        <w:rPr>
          <w:rtl/>
          <w:lang w:bidi="fa-IR"/>
        </w:rPr>
      </w:pPr>
      <w:r w:rsidRPr="00020424">
        <w:rPr>
          <w:rtl/>
          <w:lang w:bidi="fa-IR"/>
        </w:rPr>
        <w:t>سَأَلْتُهُ : مَا حَدُّ الْمَرَضِ الَّذِي يَجِبُ عَلى صَاحِبِهِ فِيهِ الْإفْطَارُ ، كَمَا يَجِبُ عَلَيْهِ فِي‌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القصعة : الضَّخْمة ، وهي إناء تشبع عشرة. راجع : </w:t>
      </w:r>
      <w:r w:rsidR="00992664" w:rsidRPr="00A722B1">
        <w:rPr>
          <w:rStyle w:val="libFootnoteBoldChar"/>
          <w:rtl/>
        </w:rPr>
        <w:t>لسان العرب</w:t>
      </w:r>
      <w:r w:rsidR="00992664" w:rsidRPr="00020424">
        <w:rPr>
          <w:rtl/>
        </w:rPr>
        <w:t xml:space="preserve"> ، ج 8 ، ص 274 ؛ </w:t>
      </w:r>
      <w:r w:rsidR="00992664" w:rsidRPr="00DE76B9">
        <w:rPr>
          <w:rStyle w:val="libFootnoteBoldChar"/>
          <w:rtl/>
        </w:rPr>
        <w:t>تاج العروس</w:t>
      </w:r>
      <w:r w:rsidR="00992664" w:rsidRPr="00020424">
        <w:rPr>
          <w:rtl/>
        </w:rPr>
        <w:t xml:space="preserve"> ، ج 5 ، ص 469 ( قصع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وحاشية « بح »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132 ، ح 1942 ، معلّقاً عن جميل بن درّاج </w:t>
      </w:r>
      <w:r w:rsidR="00E81C1D">
        <w:rPr>
          <w:rFonts w:hint="cs"/>
          <w:rtl/>
        </w:rPr>
        <w:t>.</w:t>
      </w:r>
      <w:r w:rsidR="00992664" w:rsidRPr="0012008A">
        <w:rPr>
          <w:rStyle w:val="libFootnoteBoldChar"/>
          <w:rtl/>
        </w:rPr>
        <w:t>الوافي</w:t>
      </w:r>
      <w:r w:rsidR="00992664" w:rsidRPr="00020424">
        <w:rPr>
          <w:rtl/>
        </w:rPr>
        <w:t xml:space="preserve"> ، ج 11 ، ص 301 ، ح 10911 ؛ </w:t>
      </w:r>
      <w:r w:rsidR="00992664" w:rsidRPr="0012008A">
        <w:rPr>
          <w:rStyle w:val="libFootnoteBoldChar"/>
          <w:rtl/>
        </w:rPr>
        <w:t>الوسائل</w:t>
      </w:r>
      <w:r w:rsidR="00992664" w:rsidRPr="00020424">
        <w:rPr>
          <w:rtl/>
        </w:rPr>
        <w:t xml:space="preserve"> ، ج 5 ، ص 482 ، ح 7115 ؛ وج 10 ، ص 217 ، ذيل ح 13258.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جر » </w:t>
      </w:r>
      <w:r w:rsidR="00992664" w:rsidRPr="00515444">
        <w:rPr>
          <w:rStyle w:val="libFootnoteBoldChar"/>
          <w:rtl/>
        </w:rPr>
        <w:t>والتهذيب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عمر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3 : « يضطرّ » بدل « يفطرفيه</w:t>
      </w:r>
      <w:r w:rsidR="00992664">
        <w:rPr>
          <w:rtl/>
        </w:rPr>
        <w:t xml:space="preserve"> ».</w:t>
      </w:r>
    </w:p>
    <w:p w:rsidR="00992664" w:rsidRPr="00020424" w:rsidRDefault="00795177" w:rsidP="00747318">
      <w:pPr>
        <w:pStyle w:val="libFootnote0"/>
        <w:rPr>
          <w:rtl/>
          <w:lang w:bidi="fa-IR"/>
        </w:rPr>
      </w:pPr>
      <w:r>
        <w:rPr>
          <w:rtl/>
        </w:rPr>
        <w:t>(7).</w:t>
      </w:r>
      <w:r w:rsidR="0014403D">
        <w:rPr>
          <w:rtl/>
        </w:rPr>
        <w:t xml:space="preserve"> </w:t>
      </w:r>
      <w:r w:rsidR="00992664" w:rsidRPr="00020424">
        <w:rPr>
          <w:rtl/>
        </w:rPr>
        <w:t xml:space="preserve">في « ى » وحاشية « ظ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13265 </w:t>
      </w:r>
      <w:r w:rsidR="00992664" w:rsidRPr="00515444">
        <w:rPr>
          <w:rStyle w:val="libFootnoteBoldChar"/>
          <w:rtl/>
        </w:rPr>
        <w:t>والتهذيب</w:t>
      </w:r>
      <w:r w:rsidR="00992664" w:rsidRPr="00020424">
        <w:rPr>
          <w:rtl/>
        </w:rPr>
        <w:t xml:space="preserve"> ، ج 4 : « من قيام</w:t>
      </w:r>
      <w:r w:rsidR="00992664">
        <w:rPr>
          <w:rtl/>
        </w:rPr>
        <w:t xml:space="preserve"> ».</w:t>
      </w:r>
      <w:r w:rsidR="00747318">
        <w:rPr>
          <w:rtl/>
        </w:rPr>
        <w:t xml:space="preserve"> وفي « بث ، بخ،بف</w:t>
      </w:r>
      <w:r w:rsidR="00992664" w:rsidRPr="00020424">
        <w:rPr>
          <w:rtl/>
        </w:rPr>
        <w:t>»</w:t>
      </w:r>
      <w:r w:rsidR="00992664" w:rsidRPr="00EB1FD9">
        <w:rPr>
          <w:rStyle w:val="libFootnoteBoldChar"/>
          <w:rtl/>
        </w:rPr>
        <w:t>والوسائل</w:t>
      </w:r>
      <w:r w:rsidR="00747318">
        <w:rPr>
          <w:rtl/>
        </w:rPr>
        <w:t>،ح 7151</w:t>
      </w:r>
      <w:r w:rsidR="00992664" w:rsidRPr="00020424">
        <w:rPr>
          <w:rtl/>
        </w:rPr>
        <w:t>:</w:t>
      </w:r>
      <w:r w:rsidR="009B673F">
        <w:rPr>
          <w:rtl/>
        </w:rPr>
        <w:t>-</w:t>
      </w:r>
      <w:r w:rsidR="00747318">
        <w:rPr>
          <w:rtl/>
        </w:rPr>
        <w:t>«</w:t>
      </w:r>
      <w:r w:rsidR="00992664" w:rsidRPr="00020424">
        <w:rPr>
          <w:rtl/>
        </w:rPr>
        <w:t>قائماً</w:t>
      </w:r>
      <w:r w:rsidR="00992664">
        <w:rPr>
          <w:rtl/>
        </w:rPr>
        <w:t>».</w:t>
      </w:r>
      <w:r w:rsidR="00747318">
        <w:rPr>
          <w:rFonts w:hint="cs"/>
          <w:rtl/>
        </w:rPr>
        <w:t xml:space="preserve">                    </w:t>
      </w:r>
      <w:r>
        <w:rPr>
          <w:rtl/>
        </w:rPr>
        <w:t>(8).</w:t>
      </w:r>
      <w:r w:rsidR="0014403D">
        <w:rPr>
          <w:rtl/>
        </w:rPr>
        <w:t xml:space="preserve"> </w:t>
      </w:r>
      <w:r w:rsidR="00747318">
        <w:rPr>
          <w:rtl/>
        </w:rPr>
        <w:t>في«بخ،بر،بف</w:t>
      </w:r>
      <w:r w:rsidR="00992664" w:rsidRPr="00020424">
        <w:rPr>
          <w:rtl/>
        </w:rPr>
        <w:t>»</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747318">
        <w:rPr>
          <w:rtl/>
        </w:rPr>
        <w:t>،ج 4:«</w:t>
      </w:r>
      <w:r w:rsidR="00992664" w:rsidRPr="00020424">
        <w:rPr>
          <w:rtl/>
        </w:rPr>
        <w:t>فقال</w:t>
      </w:r>
      <w:r w:rsidR="00992664">
        <w:rPr>
          <w:rtl/>
        </w:rPr>
        <w:t>».</w:t>
      </w:r>
    </w:p>
    <w:tbl>
      <w:tblPr>
        <w:tblStyle w:val="TableGrid"/>
        <w:bidiVisual/>
        <w:tblW w:w="0" w:type="auto"/>
        <w:tblLook w:val="04A0" w:firstRow="1" w:lastRow="0" w:firstColumn="1" w:lastColumn="0" w:noHBand="0" w:noVBand="1"/>
      </w:tblPr>
      <w:tblGrid>
        <w:gridCol w:w="4006"/>
        <w:gridCol w:w="4006"/>
      </w:tblGrid>
      <w:tr w:rsidR="00747318" w:rsidTr="00747318">
        <w:tc>
          <w:tcPr>
            <w:tcW w:w="4006" w:type="dxa"/>
          </w:tcPr>
          <w:p w:rsidR="00747318" w:rsidRDefault="00747318" w:rsidP="00992664">
            <w:pPr>
              <w:pStyle w:val="libFootnote0"/>
              <w:rPr>
                <w:rtl/>
              </w:rPr>
            </w:pPr>
            <w:r>
              <w:rPr>
                <w:rtl/>
              </w:rPr>
              <w:t xml:space="preserve">(9). </w:t>
            </w:r>
            <w:r w:rsidRPr="00020424">
              <w:rPr>
                <w:rtl/>
              </w:rPr>
              <w:t>القيامة (75) : 14.</w:t>
            </w:r>
          </w:p>
        </w:tc>
        <w:tc>
          <w:tcPr>
            <w:tcW w:w="4006" w:type="dxa"/>
          </w:tcPr>
          <w:p w:rsidR="00747318" w:rsidRDefault="00747318" w:rsidP="00992664">
            <w:pPr>
              <w:pStyle w:val="libFootnote0"/>
              <w:rPr>
                <w:rtl/>
              </w:rPr>
            </w:pPr>
            <w:r>
              <w:rPr>
                <w:rtl/>
              </w:rPr>
              <w:t xml:space="preserve">(10). </w:t>
            </w:r>
            <w:r w:rsidRPr="00020424">
              <w:rPr>
                <w:rtl/>
              </w:rPr>
              <w:t xml:space="preserve">في حاشية « بث » </w:t>
            </w:r>
            <w:r w:rsidRPr="00FD6221">
              <w:rPr>
                <w:rStyle w:val="libFootnoteBoldChar"/>
                <w:rtl/>
              </w:rPr>
              <w:t>والاستبصار</w:t>
            </w:r>
            <w:r w:rsidRPr="00020424">
              <w:rPr>
                <w:rtl/>
              </w:rPr>
              <w:t xml:space="preserve"> : « ذلك</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256 ، ح 758 ؛ </w:t>
      </w:r>
      <w:r w:rsidR="00992664" w:rsidRPr="00FD6221">
        <w:rPr>
          <w:rStyle w:val="libFootnoteBoldChar"/>
          <w:rtl/>
        </w:rPr>
        <w:t>والاستبصار</w:t>
      </w:r>
      <w:r w:rsidR="00992664" w:rsidRPr="00020424">
        <w:rPr>
          <w:rtl/>
        </w:rPr>
        <w:t xml:space="preserve"> ، ج 2 ، ص 114 ، ح 371 ، عن الكليني. وفي </w:t>
      </w:r>
      <w:r w:rsidR="00992664" w:rsidRPr="0012008A">
        <w:rPr>
          <w:rStyle w:val="libFootnoteBoldChar"/>
          <w:rtl/>
        </w:rPr>
        <w:t>التهذيب</w:t>
      </w:r>
      <w:r w:rsidR="00992664" w:rsidRPr="00020424">
        <w:rPr>
          <w:rtl/>
        </w:rPr>
        <w:t xml:space="preserve"> ، ج 3 ، ص 177 ، ح 399 ، بسنده عن ابن أبي عمير ، عن عمر بن ا</w:t>
      </w:r>
      <w:r w:rsidR="00D85CDA">
        <w:rPr>
          <w:rFonts w:hint="cs"/>
          <w:rtl/>
        </w:rPr>
        <w:t>ُ</w:t>
      </w:r>
      <w:r w:rsidR="00992664" w:rsidRPr="00020424">
        <w:rPr>
          <w:rtl/>
        </w:rPr>
        <w:t xml:space="preserve">ذينة ، عمّن أخبره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132 ، ح 1941 ، بسند آخر. </w:t>
      </w:r>
      <w:r w:rsidR="00992664" w:rsidRPr="0012008A">
        <w:rPr>
          <w:rStyle w:val="libFootnoteBoldChar"/>
          <w:rtl/>
        </w:rPr>
        <w:t>المقنعة</w:t>
      </w:r>
      <w:r w:rsidR="00992664" w:rsidRPr="00020424">
        <w:rPr>
          <w:rtl/>
        </w:rPr>
        <w:t xml:space="preserve"> ، ص 355 ، مرسلاً ، وفي الثلاثة الأخيرة مع اختلاف يسير </w:t>
      </w:r>
      <w:r w:rsidR="00D85CDA">
        <w:rPr>
          <w:rFonts w:hint="cs"/>
          <w:rtl/>
        </w:rPr>
        <w:t>.</w:t>
      </w:r>
      <w:r w:rsidR="00992664" w:rsidRPr="0012008A">
        <w:rPr>
          <w:rStyle w:val="libFootnoteBoldChar"/>
          <w:rtl/>
        </w:rPr>
        <w:t>الوافي</w:t>
      </w:r>
      <w:r w:rsidR="00992664" w:rsidRPr="00020424">
        <w:rPr>
          <w:rtl/>
        </w:rPr>
        <w:t xml:space="preserve"> ، ج 11 ، ص 299 ، ح 10901 ؛ </w:t>
      </w:r>
      <w:r w:rsidR="00992664" w:rsidRPr="0012008A">
        <w:rPr>
          <w:rStyle w:val="libFootnoteBoldChar"/>
          <w:rtl/>
        </w:rPr>
        <w:t>الوسائل</w:t>
      </w:r>
      <w:r w:rsidR="00992664" w:rsidRPr="00020424">
        <w:rPr>
          <w:rtl/>
        </w:rPr>
        <w:t xml:space="preserve"> ، ج 5 ، ص 494 ، ح 7151 ؛ وج 10 ، ص 220 ، ح 13265.</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السَّفَرِ </w:t>
      </w:r>
      <w:r w:rsidRPr="00A91B96">
        <w:rPr>
          <w:rStyle w:val="libFootnotenumChar"/>
          <w:rtl/>
        </w:rPr>
        <w:t>(1)</w:t>
      </w:r>
      <w:r w:rsidRPr="00020424">
        <w:rPr>
          <w:rtl/>
          <w:lang w:bidi="fa-IR"/>
        </w:rPr>
        <w:t xml:space="preserve"> مَنْ كَانَ مَرِيضاً </w:t>
      </w:r>
      <w:r w:rsidRPr="00A91B96">
        <w:rPr>
          <w:rStyle w:val="libFootnotenumChar"/>
          <w:rtl/>
        </w:rPr>
        <w:t>(2)</w:t>
      </w:r>
      <w:r w:rsidRPr="00020424">
        <w:rPr>
          <w:rtl/>
          <w:lang w:bidi="fa-IR"/>
        </w:rPr>
        <w:t xml:space="preserve"> أَوْ عَلى سَفَرٍ</w:t>
      </w:r>
      <w:r>
        <w:rPr>
          <w:rtl/>
          <w:lang w:bidi="fa-IR"/>
        </w:rPr>
        <w:t>؟</w:t>
      </w:r>
    </w:p>
    <w:p w:rsidR="00992664" w:rsidRPr="00020424" w:rsidRDefault="00992664" w:rsidP="00992664">
      <w:pPr>
        <w:pStyle w:val="libNormal"/>
        <w:rPr>
          <w:rtl/>
          <w:lang w:bidi="fa-IR"/>
        </w:rPr>
      </w:pPr>
      <w:r w:rsidRPr="00020424">
        <w:rPr>
          <w:rtl/>
          <w:lang w:bidi="fa-IR"/>
        </w:rPr>
        <w:t xml:space="preserve">قَالَ : « هُوَ مُؤْتَمَنٌ عَلَيْهِ ، مُفَوَّضٌ إِلَيْهِ ، فَإِنْ وَجَدَ ضَعْفاً فَلْيُفْطِرْ ، وَإِنْ وَجَدَ قُوَّةً فَلْيَصُمْهُ ، كَانَ الْمَرَضُ </w:t>
      </w:r>
      <w:r w:rsidRPr="00A91B96">
        <w:rPr>
          <w:rStyle w:val="libFootnotenumChar"/>
          <w:rtl/>
        </w:rPr>
        <w:t>(3)</w:t>
      </w:r>
      <w:r w:rsidRPr="00020424">
        <w:rPr>
          <w:rtl/>
          <w:lang w:bidi="fa-IR"/>
        </w:rPr>
        <w:t xml:space="preserve"> مَا كَانَ</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96998">
        <w:rPr>
          <w:rtl/>
        </w:rPr>
        <w:t>6458</w:t>
      </w:r>
      <w:r w:rsidRPr="001155DE">
        <w:rPr>
          <w:rStyle w:val="libBold2Char"/>
          <w:rtl/>
        </w:rPr>
        <w:t xml:space="preserve"> / 4.</w:t>
      </w:r>
      <w:r w:rsidRPr="00020424">
        <w:rPr>
          <w:rtl/>
          <w:lang w:bidi="fa-IR"/>
        </w:rPr>
        <w:t xml:space="preserve"> عَلِيُّ بْنُ إِبْرَاهِيمَ </w:t>
      </w:r>
      <w:r w:rsidRPr="00A91B96">
        <w:rPr>
          <w:rStyle w:val="libFootnotenumChar"/>
          <w:rtl/>
        </w:rPr>
        <w:t>(5)</w:t>
      </w:r>
      <w:r w:rsidRPr="00020424">
        <w:rPr>
          <w:rtl/>
          <w:lang w:bidi="fa-IR"/>
        </w:rPr>
        <w:t xml:space="preserve"> ، عَنْ أَبِيهِ ، عَنْ حَمَّادٍ ، عَنْ حَرِيزٍ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الصَّائِمُ </w:t>
      </w:r>
      <w:r w:rsidRPr="00A91B96">
        <w:rPr>
          <w:rStyle w:val="libFootnotenumChar"/>
          <w:rtl/>
        </w:rPr>
        <w:t>(6)</w:t>
      </w:r>
      <w:r w:rsidRPr="00020424">
        <w:rPr>
          <w:rtl/>
          <w:lang w:bidi="fa-IR"/>
        </w:rPr>
        <w:t xml:space="preserve"> إِذَا خَافَ عَلى عَيْنَيْهِ </w:t>
      </w:r>
      <w:r w:rsidRPr="00A91B96">
        <w:rPr>
          <w:rStyle w:val="libFootnotenumChar"/>
          <w:rtl/>
        </w:rPr>
        <w:t>(7)</w:t>
      </w:r>
      <w:r w:rsidRPr="00020424">
        <w:rPr>
          <w:rtl/>
          <w:lang w:bidi="fa-IR"/>
        </w:rPr>
        <w:t xml:space="preserve"> مِنَ </w:t>
      </w:r>
      <w:r w:rsidRPr="00A91B96">
        <w:rPr>
          <w:rStyle w:val="libFootnotenumChar"/>
          <w:rtl/>
        </w:rPr>
        <w:t>(8)</w:t>
      </w:r>
      <w:r w:rsidRPr="00020424">
        <w:rPr>
          <w:rtl/>
          <w:lang w:bidi="fa-IR"/>
        </w:rPr>
        <w:t xml:space="preserve"> الرَّمَدِ </w:t>
      </w:r>
      <w:r w:rsidRPr="00A91B96">
        <w:rPr>
          <w:rStyle w:val="libFootnotenumChar"/>
          <w:rtl/>
        </w:rPr>
        <w:t>(9)</w:t>
      </w:r>
      <w:r w:rsidRPr="00020424">
        <w:rPr>
          <w:rtl/>
          <w:lang w:bidi="fa-IR"/>
        </w:rPr>
        <w:t xml:space="preserve"> ، أَفْطَرَ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B96998">
        <w:rPr>
          <w:rtl/>
        </w:rPr>
        <w:t>6459</w:t>
      </w:r>
      <w:r w:rsidRPr="001155DE">
        <w:rPr>
          <w:rStyle w:val="libBold2Char"/>
          <w:rtl/>
        </w:rPr>
        <w:t xml:space="preserve"> / 5.</w:t>
      </w:r>
      <w:r w:rsidRPr="00020424">
        <w:rPr>
          <w:rtl/>
          <w:lang w:bidi="fa-IR"/>
        </w:rPr>
        <w:t xml:space="preserve"> مُحَمَّدُ بْنُ يَحْيى وَغَيْرُهُ ، عَنْ مُحَمَّدِ بْنِ أَحْمَدَ ، عَنْ أَحْمَدَ بْنِ الْحَسَنِ ، عَنْ عَمْرِو بْنِ سَعِيدٍ ، عَنْ مُصَدِّقِ بْنِ صَدَقَةَ ، عَنْ عَمَّارِ بْنِ مُوسى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w:t>
      </w:r>
      <w:r w:rsidRPr="00A91B96">
        <w:rPr>
          <w:rStyle w:val="libFootnotenumChar"/>
          <w:rtl/>
        </w:rPr>
        <w:t>(13)</w:t>
      </w:r>
      <w:r w:rsidRPr="00020424">
        <w:rPr>
          <w:rtl/>
          <w:lang w:bidi="fa-IR"/>
        </w:rPr>
        <w:t xml:space="preserve"> الرَّجُلِ يَجِدُ فِي رَأْسِهِ وَجَعاً مِنْ صُدَاعٍ شَدِيدٍ : هَلْ يَجُوزُ لَهُ الْإفْطَارُ</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تفسير العيّاشي : + « في قوله </w:t>
      </w:r>
      <w:r w:rsidR="00992664">
        <w:rPr>
          <w:rtl/>
        </w:rPr>
        <w:t>و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307 : « قوله : من كان مريضاً ، الظاهر أنّه استشهاد بالآية واللفظ غير موافق لها ؛ إذ فيها : </w:t>
      </w:r>
      <w:r w:rsidR="00992664" w:rsidRPr="00D85CDA">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فَمَنْ كانَ مِنْكُمْ مَرِيضاً </w:t>
      </w:r>
      <w:r w:rsidR="00992664" w:rsidRPr="00D85CDA">
        <w:rPr>
          <w:rStyle w:val="libFootnoteAlaemChar"/>
          <w:rtl/>
        </w:rPr>
        <w:t>)</w:t>
      </w:r>
      <w:r w:rsidR="00992664" w:rsidRPr="00020424">
        <w:rPr>
          <w:rtl/>
        </w:rPr>
        <w:t xml:space="preserve"> [ البقرة </w:t>
      </w:r>
      <w:r w:rsidR="00D85CDA">
        <w:rPr>
          <w:rtl/>
        </w:rPr>
        <w:t>(2)</w:t>
      </w:r>
      <w:r w:rsidR="0014403D">
        <w:rPr>
          <w:rtl/>
        </w:rPr>
        <w:t xml:space="preserve"> </w:t>
      </w:r>
      <w:r w:rsidR="00992664" w:rsidRPr="00020424">
        <w:rPr>
          <w:rtl/>
        </w:rPr>
        <w:t xml:space="preserve">: 185 ] وفي </w:t>
      </w:r>
      <w:r w:rsidR="00992664" w:rsidRPr="0012008A">
        <w:rPr>
          <w:rStyle w:val="libFootnoteBoldChar"/>
          <w:rtl/>
        </w:rPr>
        <w:t>التهذيب</w:t>
      </w:r>
      <w:r w:rsidR="00992664" w:rsidRPr="00020424">
        <w:rPr>
          <w:rtl/>
        </w:rPr>
        <w:t xml:space="preserve"> أيضاً كما في المتن ، ولعلّه من النسّاخ وإن احتمل على بعد أن يكون نقل الآية بالمعنى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تفسير العيّاشي : « المريض</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256 ، ح 759 ؛ </w:t>
      </w:r>
      <w:r w:rsidR="00992664" w:rsidRPr="00FD6221">
        <w:rPr>
          <w:rStyle w:val="libFootnoteBoldChar"/>
          <w:rtl/>
        </w:rPr>
        <w:t>والاستبصار</w:t>
      </w:r>
      <w:r w:rsidR="00992664" w:rsidRPr="00020424">
        <w:rPr>
          <w:rtl/>
        </w:rPr>
        <w:t xml:space="preserve"> ، ج 2 ، ص 114 ، ح 372 ، بسندهما عن عليّ ، عن أبيه ، عن محمّد بن عيسى ، عن رجل ، عن سماعة. </w:t>
      </w:r>
      <w:r w:rsidR="00992664" w:rsidRPr="00DE76B9">
        <w:rPr>
          <w:rStyle w:val="libFootnoteBoldChar"/>
          <w:rtl/>
        </w:rPr>
        <w:t>تفسير العيّاشي</w:t>
      </w:r>
      <w:r w:rsidR="00992664" w:rsidRPr="00020424">
        <w:rPr>
          <w:rtl/>
        </w:rPr>
        <w:t xml:space="preserve"> ، ج 1 ، ص 81 ، ح 189 ، عن أبي بصير ، عن أبي عبدالله </w:t>
      </w:r>
      <w:r w:rsidR="00992664" w:rsidRPr="00D64ADA">
        <w:rPr>
          <w:rStyle w:val="libFootnoteAlaemChar"/>
          <w:rtl/>
        </w:rPr>
        <w:t>عليه‌السلام</w:t>
      </w:r>
      <w:r w:rsidR="00992664" w:rsidRPr="00020424">
        <w:rPr>
          <w:rtl/>
        </w:rPr>
        <w:t xml:space="preserve"> </w:t>
      </w:r>
      <w:r w:rsidR="00D85CDA">
        <w:rPr>
          <w:rFonts w:hint="cs"/>
          <w:rtl/>
        </w:rPr>
        <w:t>.</w:t>
      </w:r>
      <w:r w:rsidR="00992664" w:rsidRPr="0012008A">
        <w:rPr>
          <w:rStyle w:val="libFootnoteBoldChar"/>
          <w:rtl/>
        </w:rPr>
        <w:t>الوافي</w:t>
      </w:r>
      <w:r w:rsidR="00992664" w:rsidRPr="00020424">
        <w:rPr>
          <w:rtl/>
        </w:rPr>
        <w:t xml:space="preserve"> ، ج 11 ، ص 300 ، ح 10903 ؛ </w:t>
      </w:r>
      <w:r w:rsidR="00992664" w:rsidRPr="0012008A">
        <w:rPr>
          <w:rStyle w:val="libFootnoteBoldChar"/>
          <w:rtl/>
        </w:rPr>
        <w:t>الوسائل</w:t>
      </w:r>
      <w:r w:rsidR="00992664" w:rsidRPr="00020424">
        <w:rPr>
          <w:rtl/>
        </w:rPr>
        <w:t xml:space="preserve"> ، ج 10 ، ص 220 ، ح 13264.</w:t>
      </w:r>
    </w:p>
    <w:tbl>
      <w:tblPr>
        <w:tblStyle w:val="TableGrid"/>
        <w:bidiVisual/>
        <w:tblW w:w="0" w:type="auto"/>
        <w:tblLook w:val="04A0" w:firstRow="1" w:lastRow="0" w:firstColumn="1" w:lastColumn="0" w:noHBand="0" w:noVBand="1"/>
      </w:tblPr>
      <w:tblGrid>
        <w:gridCol w:w="4006"/>
        <w:gridCol w:w="4006"/>
      </w:tblGrid>
      <w:tr w:rsidR="00D85CDA" w:rsidTr="00D85CDA">
        <w:tc>
          <w:tcPr>
            <w:tcW w:w="4006" w:type="dxa"/>
          </w:tcPr>
          <w:p w:rsidR="00D85CDA" w:rsidRDefault="00D85CDA" w:rsidP="00992664">
            <w:pPr>
              <w:pStyle w:val="libFootnote0"/>
              <w:rPr>
                <w:rtl/>
              </w:rPr>
            </w:pPr>
            <w:r>
              <w:rPr>
                <w:rtl/>
              </w:rPr>
              <w:t xml:space="preserve">(5). </w:t>
            </w:r>
            <w:r w:rsidRPr="00020424">
              <w:rPr>
                <w:rtl/>
              </w:rPr>
              <w:t>في « بخ ، بر ، بف » :</w:t>
            </w:r>
            <w:r>
              <w:rPr>
                <w:rtl/>
              </w:rPr>
              <w:t xml:space="preserve"> - </w:t>
            </w:r>
            <w:r w:rsidRPr="00020424">
              <w:rPr>
                <w:rtl/>
              </w:rPr>
              <w:t>« بن إبراهيم</w:t>
            </w:r>
            <w:r>
              <w:rPr>
                <w:rtl/>
              </w:rPr>
              <w:t xml:space="preserve"> ».</w:t>
            </w:r>
          </w:p>
        </w:tc>
        <w:tc>
          <w:tcPr>
            <w:tcW w:w="4006" w:type="dxa"/>
          </w:tcPr>
          <w:p w:rsidR="00D85CDA" w:rsidRDefault="00D85CDA" w:rsidP="00992664">
            <w:pPr>
              <w:pStyle w:val="libFootnote0"/>
              <w:rPr>
                <w:rtl/>
              </w:rPr>
            </w:pPr>
            <w:r>
              <w:rPr>
                <w:rtl/>
              </w:rPr>
              <w:t xml:space="preserve">(6). </w:t>
            </w:r>
            <w:r w:rsidRPr="00020424">
              <w:rPr>
                <w:rtl/>
              </w:rPr>
              <w:t>في « بح » : « للصائم</w:t>
            </w:r>
            <w:r>
              <w:rPr>
                <w:rtl/>
              </w:rPr>
              <w:t xml:space="preserve"> ».</w:t>
            </w:r>
          </w:p>
        </w:tc>
      </w:tr>
      <w:tr w:rsidR="00D85CDA" w:rsidTr="00D85CDA">
        <w:tc>
          <w:tcPr>
            <w:tcW w:w="4006" w:type="dxa"/>
          </w:tcPr>
          <w:p w:rsidR="00D85CDA" w:rsidRDefault="00D85CDA" w:rsidP="00992664">
            <w:pPr>
              <w:pStyle w:val="libFootnote0"/>
              <w:rPr>
                <w:rtl/>
              </w:rPr>
            </w:pPr>
            <w:r>
              <w:rPr>
                <w:rtl/>
              </w:rPr>
              <w:t xml:space="preserve">(7). </w:t>
            </w:r>
            <w:r w:rsidRPr="00020424">
              <w:rPr>
                <w:rtl/>
              </w:rPr>
              <w:t xml:space="preserve">في « بخ » </w:t>
            </w:r>
            <w:r w:rsidRPr="00515444">
              <w:rPr>
                <w:rStyle w:val="libFootnoteBoldChar"/>
                <w:rtl/>
              </w:rPr>
              <w:t>والوافي</w:t>
            </w:r>
            <w:r w:rsidRPr="00020424">
              <w:rPr>
                <w:rtl/>
              </w:rPr>
              <w:t xml:space="preserve"> : « عينه</w:t>
            </w:r>
            <w:r>
              <w:rPr>
                <w:rtl/>
              </w:rPr>
              <w:t xml:space="preserve"> ».</w:t>
            </w:r>
          </w:p>
        </w:tc>
        <w:tc>
          <w:tcPr>
            <w:tcW w:w="4006" w:type="dxa"/>
          </w:tcPr>
          <w:p w:rsidR="00D85CDA" w:rsidRDefault="00D85CDA" w:rsidP="00992664">
            <w:pPr>
              <w:pStyle w:val="libFootnote0"/>
              <w:rPr>
                <w:rtl/>
              </w:rPr>
            </w:pPr>
            <w:r>
              <w:rPr>
                <w:rtl/>
              </w:rPr>
              <w:t xml:space="preserve">(8). </w:t>
            </w:r>
            <w:r w:rsidRPr="00020424">
              <w:rPr>
                <w:rtl/>
              </w:rPr>
              <w:t>في « ظ » :</w:t>
            </w:r>
            <w:r>
              <w:rPr>
                <w:rtl/>
              </w:rPr>
              <w:t xml:space="preserve"> - </w:t>
            </w:r>
            <w:r w:rsidRPr="00020424">
              <w:rPr>
                <w:rtl/>
              </w:rPr>
              <w:t>« من</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 الرمد » : هيجان العين ، يقال : رَمِدَ الرجل يَرْمَدُ رَمَداً ، أي هاجت عينه. وقيل : الرمد : وجع العين وانتفاخها. راجع : </w:t>
      </w:r>
      <w:r w:rsidR="00992664" w:rsidRPr="0012008A">
        <w:rPr>
          <w:rStyle w:val="libFootnoteBoldChar"/>
          <w:rtl/>
        </w:rPr>
        <w:t>الصحاح</w:t>
      </w:r>
      <w:r w:rsidR="00992664" w:rsidRPr="00020424">
        <w:rPr>
          <w:rtl/>
        </w:rPr>
        <w:t xml:space="preserve"> ، ج 2 ، ص 478 ؛ </w:t>
      </w:r>
      <w:r w:rsidR="00992664" w:rsidRPr="00A722B1">
        <w:rPr>
          <w:rStyle w:val="libFootnoteBoldChar"/>
          <w:rtl/>
        </w:rPr>
        <w:t>لسان العرب</w:t>
      </w:r>
      <w:r w:rsidR="00992664" w:rsidRPr="00020424">
        <w:rPr>
          <w:rtl/>
        </w:rPr>
        <w:t xml:space="preserve"> ، ج 3 ، ص 185 ( رمد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فطر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الفقيه</w:t>
      </w:r>
      <w:r w:rsidR="00992664" w:rsidRPr="00020424">
        <w:rPr>
          <w:rtl/>
        </w:rPr>
        <w:t xml:space="preserve"> ، ج 2 ، ص 132 ، ح 1945 ، معلّقاً عن حريز. وراجع : </w:t>
      </w:r>
      <w:r w:rsidR="00992664" w:rsidRPr="00DE76B9">
        <w:rPr>
          <w:rStyle w:val="libFootnoteBoldChar"/>
          <w:rtl/>
        </w:rPr>
        <w:t>الكافي</w:t>
      </w:r>
      <w:r w:rsidR="00992664" w:rsidRPr="00020424">
        <w:rPr>
          <w:rtl/>
        </w:rPr>
        <w:t xml:space="preserve"> ، كتاب الصيام ، باب الكحل والذَّرور للصائم ، ح 6426 </w:t>
      </w:r>
      <w:r w:rsidR="00782569">
        <w:rPr>
          <w:rFonts w:hint="cs"/>
          <w:rtl/>
        </w:rPr>
        <w:t>.</w:t>
      </w:r>
      <w:r w:rsidR="00992664" w:rsidRPr="0012008A">
        <w:rPr>
          <w:rStyle w:val="libFootnoteBoldChar"/>
          <w:rtl/>
        </w:rPr>
        <w:t>الوافي</w:t>
      </w:r>
      <w:r w:rsidR="00992664" w:rsidRPr="00020424">
        <w:rPr>
          <w:rtl/>
        </w:rPr>
        <w:t xml:space="preserve"> ، ج 11 ، ص 301 ، ح 10909 ؛ </w:t>
      </w:r>
      <w:r w:rsidR="00992664" w:rsidRPr="0012008A">
        <w:rPr>
          <w:rStyle w:val="libFootnoteBoldChar"/>
          <w:rtl/>
        </w:rPr>
        <w:t>الوسائل</w:t>
      </w:r>
      <w:r w:rsidR="00992664" w:rsidRPr="00020424">
        <w:rPr>
          <w:rtl/>
        </w:rPr>
        <w:t xml:space="preserve"> ، ج 10 ، ص 218 ، ح 13259.</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جر » : + « الساباطي</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عمّار الساباطي</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عن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إِذَا صُدِّعَ صُدَاعاً </w:t>
      </w:r>
      <w:r w:rsidRPr="00A91B96">
        <w:rPr>
          <w:rStyle w:val="libFootnotenumChar"/>
          <w:rtl/>
        </w:rPr>
        <w:t>(1)</w:t>
      </w:r>
      <w:r w:rsidRPr="00020424">
        <w:rPr>
          <w:rtl/>
          <w:lang w:bidi="fa-IR"/>
        </w:rPr>
        <w:t xml:space="preserve"> شَدِيداً ، وَإِذَا حُمَّ حُمَّى شَدِيدَةً ، وَإِذَا رَمِدَتْ عَيْنَاهُ رَمَداً شَدِيداً ، فَقَدْ حَلَّ لَهُ الْإفْطَارُ</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B96998">
        <w:rPr>
          <w:rtl/>
        </w:rPr>
        <w:t>6460</w:t>
      </w:r>
      <w:r w:rsidRPr="001155DE">
        <w:rPr>
          <w:rStyle w:val="libBold2Char"/>
          <w:rtl/>
        </w:rPr>
        <w:t xml:space="preserve"> / 6.</w:t>
      </w:r>
      <w:r w:rsidRPr="00020424">
        <w:rPr>
          <w:rtl/>
          <w:lang w:bidi="fa-IR"/>
        </w:rPr>
        <w:t xml:space="preserve"> عِدَّةٌ مِنْ أَصْحَابِنَا ، عَنْ أَحْمَدَ بْنِ مُحَمَّدٍ ، عَنْ عَلِيِّ بْنِ الْحَكَمِ ، عَنْ سَيْفِ بْنِ عَمِيرَةَ ، عَنْ بَكْرِ بْنِ أَبِي بَكْرٍ الْحَضْرَمِيِّ </w:t>
      </w:r>
      <w:r w:rsidRPr="00A91B96">
        <w:rPr>
          <w:rStyle w:val="libFootnotenumChar"/>
          <w:rtl/>
        </w:rPr>
        <w:t>(3)</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سَأَلَهُ أَبِي</w:t>
      </w:r>
      <w:r>
        <w:rPr>
          <w:rtl/>
          <w:lang w:bidi="fa-IR"/>
        </w:rPr>
        <w:t xml:space="preserve"> </w:t>
      </w:r>
      <w:r w:rsidR="009B673F">
        <w:rPr>
          <w:rtl/>
          <w:lang w:bidi="fa-IR"/>
        </w:rPr>
        <w:t>-</w:t>
      </w:r>
      <w:r>
        <w:rPr>
          <w:rtl/>
          <w:lang w:bidi="fa-IR"/>
        </w:rPr>
        <w:t xml:space="preserve"> </w:t>
      </w:r>
      <w:r w:rsidRPr="00020424">
        <w:rPr>
          <w:rtl/>
          <w:lang w:bidi="fa-IR"/>
        </w:rPr>
        <w:t xml:space="preserve">يَعْنِي أَبَا عَبْدِ اللهِ </w:t>
      </w:r>
      <w:r w:rsidRPr="00005A81">
        <w:rPr>
          <w:rStyle w:val="libAlaemChar"/>
          <w:rtl/>
        </w:rPr>
        <w:t>عليه‌السلام</w:t>
      </w:r>
      <w:r w:rsidRPr="00020424">
        <w:rPr>
          <w:rtl/>
          <w:lang w:bidi="fa-IR"/>
        </w:rPr>
        <w:t xml:space="preserve"> وَأَنَا أَسْمَعُ</w:t>
      </w:r>
      <w:r>
        <w:rPr>
          <w:rtl/>
          <w:lang w:bidi="fa-IR"/>
        </w:rPr>
        <w:t xml:space="preserve"> </w:t>
      </w:r>
      <w:r w:rsidR="009B673F">
        <w:rPr>
          <w:rtl/>
          <w:lang w:bidi="fa-IR"/>
        </w:rPr>
        <w:t>-</w:t>
      </w:r>
      <w:r>
        <w:rPr>
          <w:rtl/>
          <w:lang w:bidi="fa-IR"/>
        </w:rPr>
        <w:t xml:space="preserve"> </w:t>
      </w:r>
      <w:r w:rsidRPr="00020424">
        <w:rPr>
          <w:rtl/>
          <w:lang w:bidi="fa-IR"/>
        </w:rPr>
        <w:t>: مَا حَدُّ الْمَرَضِ الَّذِي يُتْرَكُ مِنْهُ الصَّوْمُ</w:t>
      </w:r>
      <w:r>
        <w:rPr>
          <w:rtl/>
          <w:lang w:bidi="fa-IR"/>
        </w:rPr>
        <w:t>؟</w:t>
      </w:r>
    </w:p>
    <w:p w:rsidR="00992664" w:rsidRPr="00020424" w:rsidRDefault="00992664" w:rsidP="00992664">
      <w:pPr>
        <w:pStyle w:val="libNormal"/>
        <w:rPr>
          <w:rtl/>
          <w:lang w:bidi="fa-IR"/>
        </w:rPr>
      </w:pPr>
      <w:r w:rsidRPr="00020424">
        <w:rPr>
          <w:rtl/>
          <w:lang w:bidi="fa-IR"/>
        </w:rPr>
        <w:t xml:space="preserve">قَالَ : « إِذَا لَمْ يَسْتَطِعْ أَنْ يَتَسَحَّرَ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الصُّداعُ : وجع الرأس. </w:t>
      </w:r>
      <w:r w:rsidR="00992664" w:rsidRPr="0012008A">
        <w:rPr>
          <w:rStyle w:val="libFootnoteBoldChar"/>
          <w:rtl/>
        </w:rPr>
        <w:t>الصحاح</w:t>
      </w:r>
      <w:r w:rsidR="00992664" w:rsidRPr="00020424">
        <w:rPr>
          <w:rtl/>
        </w:rPr>
        <w:t xml:space="preserve"> ، ج 3 ، ص 1242 ( صدع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256 ، ح 760 ، معلّقاً عن الكليني </w:t>
      </w:r>
      <w:r w:rsidR="00992664" w:rsidRPr="0012008A">
        <w:rPr>
          <w:rStyle w:val="libFootnoteBoldChar"/>
          <w:rtl/>
        </w:rPr>
        <w:t>الوافي</w:t>
      </w:r>
      <w:r w:rsidR="00992664" w:rsidRPr="00020424">
        <w:rPr>
          <w:rtl/>
        </w:rPr>
        <w:t xml:space="preserve"> ، ج 11 ، ص 301 ، ح 10907 ؛ </w:t>
      </w:r>
      <w:r w:rsidR="00992664" w:rsidRPr="0012008A">
        <w:rPr>
          <w:rStyle w:val="libFootnoteBoldChar"/>
          <w:rtl/>
        </w:rPr>
        <w:t>الوسائل</w:t>
      </w:r>
      <w:r w:rsidR="00992664" w:rsidRPr="00020424">
        <w:rPr>
          <w:rtl/>
        </w:rPr>
        <w:t xml:space="preserve"> ، ج 10 ، ص 220 ، ح 13266.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الخبر رواه الصدوق في </w:t>
      </w:r>
      <w:r w:rsidR="00992664" w:rsidRPr="0012008A">
        <w:rPr>
          <w:rStyle w:val="libFootnoteBoldChar"/>
          <w:rtl/>
        </w:rPr>
        <w:t>الفقيه</w:t>
      </w:r>
      <w:r w:rsidR="00992664" w:rsidRPr="00020424">
        <w:rPr>
          <w:rtl/>
        </w:rPr>
        <w:t xml:space="preserve"> ، ج 2 ، ص 132 ، ح 1943 ، قال : « وروى بكر بن محمّد الأزدي عن أبي عبد الله </w:t>
      </w:r>
      <w:r w:rsidR="00992664" w:rsidRPr="00D64ADA">
        <w:rPr>
          <w:rStyle w:val="libFootnoteAlaemChar"/>
          <w:rtl/>
        </w:rPr>
        <w:t>عليه‌السلام</w:t>
      </w:r>
      <w:r w:rsidR="00992664" w:rsidRPr="00020424">
        <w:rPr>
          <w:rtl/>
        </w:rPr>
        <w:t xml:space="preserve"> ، قال : سأله أبي وأنا أسمع</w:t>
      </w:r>
      <w:r w:rsidR="00992664">
        <w:rPr>
          <w:rtl/>
        </w:rPr>
        <w:t xml:space="preserve"> ».</w:t>
      </w:r>
    </w:p>
    <w:p w:rsidR="00992664" w:rsidRPr="00020424" w:rsidRDefault="00992664" w:rsidP="00D13A72">
      <w:pPr>
        <w:pStyle w:val="libFootnote0"/>
        <w:rPr>
          <w:rtl/>
          <w:lang w:bidi="fa-IR"/>
        </w:rPr>
      </w:pPr>
      <w:r w:rsidRPr="00D13A72">
        <w:rPr>
          <w:rtl/>
        </w:rPr>
        <w:t xml:space="preserve">والشيخ الطوسي أيضاً رواه تارة في </w:t>
      </w:r>
      <w:r w:rsidRPr="0012008A">
        <w:rPr>
          <w:rStyle w:val="libFootnoteBoldChar"/>
          <w:rtl/>
        </w:rPr>
        <w:t>التهذيب</w:t>
      </w:r>
      <w:r w:rsidRPr="00D13A72">
        <w:rPr>
          <w:rtl/>
        </w:rPr>
        <w:t xml:space="preserve"> ، ج 3 ، ص 178 ، ح 401 ، بسنده عن عليّ بن الحكم ، عن سيف ، عن بكّار </w:t>
      </w:r>
      <w:r w:rsidR="009B673F" w:rsidRPr="00D13A72">
        <w:rPr>
          <w:rtl/>
        </w:rPr>
        <w:t>-</w:t>
      </w:r>
      <w:r w:rsidRPr="00D13A72">
        <w:rPr>
          <w:rtl/>
        </w:rPr>
        <w:t xml:space="preserve"> وفي بعض مخطوطاته : « بكر » ، كما في </w:t>
      </w:r>
      <w:r w:rsidRPr="0012008A">
        <w:rPr>
          <w:rStyle w:val="libFootnoteBoldChar"/>
          <w:rtl/>
        </w:rPr>
        <w:t>الوسائل</w:t>
      </w:r>
      <w:r w:rsidRPr="00D13A72">
        <w:rPr>
          <w:rtl/>
        </w:rPr>
        <w:t xml:space="preserve"> أيضا : « بكر » </w:t>
      </w:r>
      <w:r w:rsidR="009B673F" w:rsidRPr="00D13A72">
        <w:rPr>
          <w:rtl/>
        </w:rPr>
        <w:t>-</w:t>
      </w:r>
      <w:r w:rsidRPr="00D13A72">
        <w:rPr>
          <w:rtl/>
        </w:rPr>
        <w:t xml:space="preserve"> قال : سأله أبي </w:t>
      </w:r>
      <w:r w:rsidR="009B673F" w:rsidRPr="00D13A72">
        <w:rPr>
          <w:rtl/>
        </w:rPr>
        <w:t>-</w:t>
      </w:r>
      <w:r w:rsidRPr="00D13A72">
        <w:rPr>
          <w:rtl/>
        </w:rPr>
        <w:t xml:space="preserve"> يعني أبا عبد الله </w:t>
      </w:r>
      <w:r w:rsidRPr="00D64ADA">
        <w:rPr>
          <w:rStyle w:val="libFootnoteAlaemChar"/>
          <w:rtl/>
        </w:rPr>
        <w:t>عليه‌السلام</w:t>
      </w:r>
      <w:r w:rsidRPr="00D13A72">
        <w:rPr>
          <w:rtl/>
        </w:rPr>
        <w:t xml:space="preserve"> </w:t>
      </w:r>
      <w:r w:rsidR="009B673F" w:rsidRPr="00D13A72">
        <w:rPr>
          <w:rtl/>
        </w:rPr>
        <w:t>-</w:t>
      </w:r>
      <w:r w:rsidRPr="00D13A72">
        <w:rPr>
          <w:rtl/>
        </w:rPr>
        <w:t xml:space="preserve"> وأنا أسمع. ورواه ا</w:t>
      </w:r>
      <w:r w:rsidR="00D13A72">
        <w:rPr>
          <w:rFonts w:hint="cs"/>
          <w:rtl/>
        </w:rPr>
        <w:t>ُ</w:t>
      </w:r>
      <w:r w:rsidRPr="00D13A72">
        <w:rPr>
          <w:rtl/>
        </w:rPr>
        <w:t xml:space="preserve">خرى في ج 4 ، ص 325 ، ح 1009 ، بسنده عن فضالة ، عن سيف ، عن أبي بكر ، عن أبي عبد الله </w:t>
      </w:r>
      <w:r w:rsidRPr="00D64ADA">
        <w:rPr>
          <w:rStyle w:val="libFootnoteAlaemChar"/>
          <w:rtl/>
        </w:rPr>
        <w:t>عليه‌السلام</w:t>
      </w:r>
      <w:r w:rsidRPr="00D13A72">
        <w:rPr>
          <w:rtl/>
        </w:rPr>
        <w:t xml:space="preserve"> ، قال : سأله أبي وأنا أسمع.</w:t>
      </w:r>
    </w:p>
    <w:p w:rsidR="00992664" w:rsidRPr="00020424" w:rsidRDefault="00992664" w:rsidP="00D13A72">
      <w:pPr>
        <w:pStyle w:val="libFootnote0"/>
        <w:rPr>
          <w:rtl/>
          <w:lang w:bidi="fa-IR"/>
        </w:rPr>
      </w:pPr>
      <w:r w:rsidRPr="00D13A72">
        <w:rPr>
          <w:rtl/>
        </w:rPr>
        <w:t xml:space="preserve">والظاهر أنّ الراوي عن الإمام </w:t>
      </w:r>
      <w:r w:rsidRPr="00D64ADA">
        <w:rPr>
          <w:rStyle w:val="libFootnoteAlaemChar"/>
          <w:rtl/>
        </w:rPr>
        <w:t>عليه‌السلام</w:t>
      </w:r>
      <w:r w:rsidRPr="00D13A72">
        <w:rPr>
          <w:rtl/>
        </w:rPr>
        <w:t xml:space="preserve"> في الجميع واحد ، وهو بكر بن أبي بكر الحضرمي ؛ فإنّه لم يثبت رواية سيف </w:t>
      </w:r>
      <w:r w:rsidR="009B673F" w:rsidRPr="00D13A72">
        <w:rPr>
          <w:rtl/>
        </w:rPr>
        <w:t>-</w:t>
      </w:r>
      <w:r w:rsidRPr="00D13A72">
        <w:rPr>
          <w:rtl/>
        </w:rPr>
        <w:t xml:space="preserve"> وهو ابن عميرة </w:t>
      </w:r>
      <w:r w:rsidR="009B673F" w:rsidRPr="00D13A72">
        <w:rPr>
          <w:rtl/>
        </w:rPr>
        <w:t>-</w:t>
      </w:r>
      <w:r w:rsidRPr="00D13A72">
        <w:rPr>
          <w:rtl/>
        </w:rPr>
        <w:t xml:space="preserve"> عن بكّار ، أخي بكر بن أبي بكر. لكنّه روى عن بكر بن أبي بكر [ الحضرمي ] في بعض الأسناد. راجع </w:t>
      </w:r>
      <w:r w:rsidRPr="00DE76B9">
        <w:rPr>
          <w:rStyle w:val="libFootnoteBoldChar"/>
          <w:rtl/>
        </w:rPr>
        <w:t>: معجم رجال الحديث</w:t>
      </w:r>
      <w:r w:rsidRPr="00D13A72">
        <w:rPr>
          <w:rtl/>
        </w:rPr>
        <w:t xml:space="preserve"> ، ج 2 ، ص 339 ، الرقم 1825 ؛ وص 340 ، الرقم 1826.</w:t>
      </w:r>
    </w:p>
    <w:p w:rsidR="00992664" w:rsidRPr="00020424" w:rsidRDefault="00992664" w:rsidP="00D13A72">
      <w:pPr>
        <w:pStyle w:val="libFootnote0"/>
        <w:rPr>
          <w:rtl/>
          <w:lang w:bidi="fa-IR"/>
        </w:rPr>
      </w:pPr>
      <w:r w:rsidRPr="00D13A72">
        <w:rPr>
          <w:rtl/>
        </w:rPr>
        <w:t xml:space="preserve">وأمّا بكر بن محمّد الأزدي ، فظاهر ترجمة النجاشي له ، عدم كون والده من الرواة ؛ حيث ذكر عمومته شديداً وعبد السلام وابن عمّه موسى بن عبد السلام وعمّته غنيمة كالرواة ، ولم يذكر أباه. راجع : </w:t>
      </w:r>
      <w:r w:rsidRPr="00DE76B9">
        <w:rPr>
          <w:rStyle w:val="libFootnoteBoldChar"/>
          <w:rtl/>
        </w:rPr>
        <w:t>رجال النجاشي</w:t>
      </w:r>
      <w:r w:rsidRPr="00D13A72">
        <w:rPr>
          <w:rtl/>
        </w:rPr>
        <w:t xml:space="preserve"> ، ص 108 ، الرقم 273.</w:t>
      </w:r>
    </w:p>
    <w:p w:rsidR="00992664" w:rsidRPr="00020424" w:rsidRDefault="00992664" w:rsidP="00D13A72">
      <w:pPr>
        <w:pStyle w:val="libFootnote0"/>
        <w:rPr>
          <w:rtl/>
          <w:lang w:bidi="fa-IR"/>
        </w:rPr>
      </w:pPr>
      <w:r w:rsidRPr="00D82B22">
        <w:rPr>
          <w:rtl/>
        </w:rPr>
        <w:t>وكيفيّة زيادة « بن محمّد الأزدي » لا تخفى على المتأمّل.</w:t>
      </w:r>
    </w:p>
    <w:p w:rsidR="00992664" w:rsidRPr="00020424" w:rsidRDefault="00795177" w:rsidP="00D13A72">
      <w:pPr>
        <w:pStyle w:val="libFootnote0"/>
        <w:rPr>
          <w:rtl/>
          <w:lang w:bidi="fa-IR"/>
        </w:rPr>
      </w:pPr>
      <w:r>
        <w:rPr>
          <w:rtl/>
        </w:rPr>
        <w:t>(4).</w:t>
      </w:r>
      <w:r w:rsidR="0014403D">
        <w:rPr>
          <w:rtl/>
        </w:rPr>
        <w:t xml:space="preserve"> </w:t>
      </w:r>
      <w:r w:rsidR="00992664" w:rsidRPr="00020424">
        <w:rPr>
          <w:rtl/>
        </w:rPr>
        <w:t xml:space="preserve">« أن يتسحّر » أي يأكل السحور ، وهو ما يُتَسحّر به ، أي يؤكل في السحر. وقيل غير ذلك. راجع : </w:t>
      </w:r>
      <w:r w:rsidR="00992664" w:rsidRPr="0012008A">
        <w:rPr>
          <w:rStyle w:val="libFootnoteBoldChar"/>
          <w:rtl/>
        </w:rPr>
        <w:t>النهاية</w:t>
      </w:r>
      <w:r w:rsidR="00992664" w:rsidRPr="00020424">
        <w:rPr>
          <w:rtl/>
        </w:rPr>
        <w:t xml:space="preserve"> ، ج 2 ، ص 347 ؛ </w:t>
      </w:r>
      <w:r w:rsidR="00992664" w:rsidRPr="00A722B1">
        <w:rPr>
          <w:rStyle w:val="libFootnoteBoldChar"/>
          <w:rtl/>
        </w:rPr>
        <w:t>المصباح المنير</w:t>
      </w:r>
      <w:r w:rsidR="00992664" w:rsidRPr="00020424">
        <w:rPr>
          <w:rtl/>
        </w:rPr>
        <w:t xml:space="preserve"> ، ص 267 ( سحر )</w:t>
      </w:r>
      <w:r w:rsidR="00992664">
        <w:rPr>
          <w:rtl/>
        </w:rPr>
        <w:t>.</w:t>
      </w:r>
    </w:p>
    <w:p w:rsidR="00992664" w:rsidRPr="00020424" w:rsidRDefault="00992664" w:rsidP="00D13A72">
      <w:pPr>
        <w:pStyle w:val="libFootnote0"/>
        <w:rPr>
          <w:rtl/>
          <w:lang w:bidi="fa-IR"/>
        </w:rPr>
      </w:pPr>
      <w:r w:rsidRPr="00D13A72">
        <w:rPr>
          <w:rtl/>
        </w:rPr>
        <w:t xml:space="preserve">وفي </w:t>
      </w:r>
      <w:r w:rsidRPr="00DE76B9">
        <w:rPr>
          <w:rStyle w:val="libFootnoteBoldChar"/>
          <w:rtl/>
        </w:rPr>
        <w:t>مرآة العقول</w:t>
      </w:r>
      <w:r w:rsidR="00D13A72">
        <w:rPr>
          <w:rtl/>
        </w:rPr>
        <w:t xml:space="preserve"> : « قال الوالد العل</w:t>
      </w:r>
      <w:r w:rsidR="00D13A72">
        <w:rPr>
          <w:rFonts w:hint="cs"/>
          <w:rtl/>
        </w:rPr>
        <w:t>ّ</w:t>
      </w:r>
      <w:r w:rsidR="00D13A72">
        <w:rPr>
          <w:rtl/>
        </w:rPr>
        <w:t>ا</w:t>
      </w:r>
      <w:r w:rsidRPr="00D13A72">
        <w:rPr>
          <w:rtl/>
        </w:rPr>
        <w:t xml:space="preserve">مة </w:t>
      </w:r>
      <w:r w:rsidR="00D64ADA" w:rsidRPr="00D64ADA">
        <w:rPr>
          <w:rStyle w:val="libFootnoteAlaemChar"/>
          <w:rtl/>
        </w:rPr>
        <w:t>رحمه‌الله</w:t>
      </w:r>
      <w:r w:rsidRPr="00D13A72">
        <w:rPr>
          <w:rtl/>
        </w:rPr>
        <w:t xml:space="preserve"> : المراد به : إن لم يستطع أن يشرب الدواء في السحر ويصوم فليفطر ».</w:t>
      </w:r>
    </w:p>
    <w:p w:rsidR="00992664" w:rsidRPr="00020424" w:rsidRDefault="00795177" w:rsidP="00D13A72">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3 ، ص 178 ، ح 401 ، معلّقاً عن أحمد بن محمّد ، عن عليّ بن الحكم ، عن سيف ، عن بكّار ، </w:t>
      </w:r>
      <w:r w:rsidR="002C2A9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B66F8F">
        <w:rPr>
          <w:rtl/>
        </w:rPr>
        <w:t>6461</w:t>
      </w:r>
      <w:r w:rsidRPr="001155DE">
        <w:rPr>
          <w:rStyle w:val="libBold2Char"/>
          <w:rtl/>
        </w:rPr>
        <w:t xml:space="preserve"> / 7.</w:t>
      </w:r>
      <w:r w:rsidRPr="00020424">
        <w:rPr>
          <w:rtl/>
          <w:lang w:bidi="fa-IR"/>
        </w:rPr>
        <w:t xml:space="preserve"> أَحْمَدُ بْنُ مُحَمَّدٍ </w:t>
      </w:r>
      <w:r w:rsidRPr="00A91B96">
        <w:rPr>
          <w:rStyle w:val="libFootnotenumChar"/>
          <w:rtl/>
        </w:rPr>
        <w:t>(1)</w:t>
      </w:r>
      <w:r w:rsidRPr="00020424">
        <w:rPr>
          <w:rtl/>
          <w:lang w:bidi="fa-IR"/>
        </w:rPr>
        <w:t xml:space="preserve"> ، عَنِ الْحُسَيْنِ بْنِ سَعِيدٍ ، عَنْ فَضَالَةَ </w:t>
      </w:r>
      <w:r w:rsidRPr="00A91B96">
        <w:rPr>
          <w:rStyle w:val="libFootnotenumChar"/>
          <w:rtl/>
        </w:rPr>
        <w:t>(2)</w:t>
      </w:r>
      <w:r w:rsidRPr="00020424">
        <w:rPr>
          <w:rtl/>
          <w:lang w:bidi="fa-IR"/>
        </w:rPr>
        <w:t xml:space="preserve"> ، عَنِ الْحُسَيْنِ بْنِ عُثْمَانَ ، عَنْ سُلَيْمَانَ بْنِ عَمْرٍو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اشْتَكَتْ أُمُّ سَلَمَةَ</w:t>
      </w:r>
      <w:r>
        <w:rPr>
          <w:rtl/>
          <w:lang w:bidi="fa-IR"/>
        </w:rPr>
        <w:t xml:space="preserve"> </w:t>
      </w:r>
      <w:r w:rsidR="009B673F">
        <w:rPr>
          <w:rtl/>
          <w:lang w:bidi="fa-IR"/>
        </w:rPr>
        <w:t>-</w:t>
      </w:r>
      <w:r>
        <w:rPr>
          <w:rtl/>
          <w:lang w:bidi="fa-IR"/>
        </w:rPr>
        <w:t xml:space="preserve"> </w:t>
      </w:r>
      <w:r w:rsidRPr="00020424">
        <w:rPr>
          <w:rtl/>
          <w:lang w:bidi="fa-IR"/>
        </w:rPr>
        <w:t xml:space="preserve">رَحْمَةُ اللهِ عَلَيْهَا </w:t>
      </w:r>
      <w:r w:rsidRPr="00A91B96">
        <w:rPr>
          <w:rStyle w:val="libFootnotenumChar"/>
          <w:rtl/>
        </w:rPr>
        <w:t>(4)</w:t>
      </w:r>
      <w:r>
        <w:rPr>
          <w:rtl/>
          <w:lang w:bidi="fa-IR"/>
        </w:rPr>
        <w:t xml:space="preserve"> </w:t>
      </w:r>
      <w:r w:rsidR="009B673F">
        <w:rPr>
          <w:rtl/>
          <w:lang w:bidi="fa-IR"/>
        </w:rPr>
        <w:t>-</w:t>
      </w:r>
      <w:r>
        <w:rPr>
          <w:rtl/>
          <w:lang w:bidi="fa-IR"/>
        </w:rPr>
        <w:t xml:space="preserve"> </w:t>
      </w:r>
      <w:r w:rsidRPr="00020424">
        <w:rPr>
          <w:rtl/>
          <w:lang w:bidi="fa-IR"/>
        </w:rPr>
        <w:t xml:space="preserve">عَيْنَهَا فِي شَهْرِ رَمَضَانَ ، فَأَمَرَهَا رَسُولُ اللهِ </w:t>
      </w:r>
      <w:r w:rsidR="00B42914" w:rsidRPr="00B42914">
        <w:rPr>
          <w:rStyle w:val="libAlaemChar"/>
          <w:rtl/>
        </w:rPr>
        <w:t>صلى‌الله‌عليه‌وآله‌</w:t>
      </w:r>
      <w:r w:rsidRPr="00020424">
        <w:rPr>
          <w:rtl/>
          <w:lang w:bidi="fa-IR"/>
        </w:rPr>
        <w:t xml:space="preserve"> أَنْ تُفْطِرَ ، وَقَالَ : عَشَاءُ </w:t>
      </w:r>
      <w:r w:rsidRPr="00A91B96">
        <w:rPr>
          <w:rStyle w:val="libFootnotenumChar"/>
          <w:rtl/>
        </w:rPr>
        <w:t>(5)</w:t>
      </w:r>
      <w:r w:rsidRPr="00020424">
        <w:rPr>
          <w:rtl/>
          <w:lang w:bidi="fa-IR"/>
        </w:rPr>
        <w:t xml:space="preserve"> اللَّيْلِ لِعَيْنِكِ رَدِيٌّ</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66F8F">
        <w:rPr>
          <w:rtl/>
        </w:rPr>
        <w:t>6462</w:t>
      </w:r>
      <w:r w:rsidRPr="001155DE">
        <w:rPr>
          <w:rStyle w:val="libBold2Char"/>
          <w:rtl/>
        </w:rPr>
        <w:t xml:space="preserve"> / 8.</w:t>
      </w:r>
      <w:r w:rsidRPr="00020424">
        <w:rPr>
          <w:rtl/>
          <w:lang w:bidi="fa-IR"/>
        </w:rPr>
        <w:t xml:space="preserve"> عَلِيُّ بْنُ إِبْرَاهِيمَ ، عَنْ مُحَمَّدِ بْنِ عِيسى ، عَنْ يُونُسَ ، عَنْ شُعَيْبٍ </w:t>
      </w:r>
      <w:r w:rsidRPr="00A91B96">
        <w:rPr>
          <w:rStyle w:val="libFootnotenumChar"/>
          <w:rtl/>
        </w:rPr>
        <w:t>(7)</w:t>
      </w:r>
      <w:r w:rsidRPr="00020424">
        <w:rPr>
          <w:rtl/>
          <w:lang w:bidi="fa-IR"/>
        </w:rPr>
        <w:t xml:space="preserve"> ، عَنْ مُحَمَّدِ بْنِ مُسْلِمٍ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حَدُّ الْمَرِيضِ </w:t>
      </w:r>
      <w:r w:rsidRPr="00A91B96">
        <w:rPr>
          <w:rStyle w:val="libFootnotenumChar"/>
          <w:rtl/>
        </w:rPr>
        <w:t>(8)</w:t>
      </w:r>
      <w:r w:rsidRPr="00020424">
        <w:rPr>
          <w:rtl/>
          <w:lang w:bidi="fa-IR"/>
        </w:rPr>
        <w:t xml:space="preserve"> إِذَا نَقَهَ </w:t>
      </w:r>
      <w:r w:rsidRPr="00A91B96">
        <w:rPr>
          <w:rStyle w:val="libFootnotenumChar"/>
          <w:rtl/>
        </w:rPr>
        <w:t>(9)</w:t>
      </w:r>
      <w:r w:rsidRPr="00020424">
        <w:rPr>
          <w:rtl/>
          <w:lang w:bidi="fa-IR"/>
        </w:rPr>
        <w:t xml:space="preserve"> فِي الصِّيَامِ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F54355" w:rsidP="00992664">
      <w:pPr>
        <w:pStyle w:val="libFootnote0"/>
        <w:rPr>
          <w:rtl/>
          <w:lang w:bidi="fa-IR"/>
        </w:rPr>
      </w:pPr>
      <w:r>
        <w:rPr>
          <w:rFonts w:hint="cs"/>
          <w:rtl/>
        </w:rPr>
        <w:t xml:space="preserve">= </w:t>
      </w:r>
      <w:r w:rsidR="00992664" w:rsidRPr="00020424">
        <w:rPr>
          <w:rtl/>
        </w:rPr>
        <w:t xml:space="preserve">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وفيه</w:t>
      </w:r>
      <w:r w:rsidR="00992664" w:rsidRPr="00020424">
        <w:rPr>
          <w:rtl/>
        </w:rPr>
        <w:t xml:space="preserve"> ، ج 4 ، ص 325 ، ح 1009 ، بسنده عن سيف ، عن أبي بكير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132 ، ح 1943 ، معلّقاً عن بكر بن محمّد الأزدي ، عن أبي عبدالله </w:t>
      </w:r>
      <w:r w:rsidR="00992664" w:rsidRPr="00D64ADA">
        <w:rPr>
          <w:rStyle w:val="libFootnoteAlaemChar"/>
          <w:rtl/>
        </w:rPr>
        <w:t>عليه‌السلام</w:t>
      </w:r>
      <w:r w:rsidR="00992664" w:rsidRPr="00020424">
        <w:rPr>
          <w:rtl/>
        </w:rPr>
        <w:t xml:space="preserve"> </w:t>
      </w:r>
      <w:r w:rsidR="00170E55">
        <w:rPr>
          <w:rFonts w:hint="cs"/>
          <w:rtl/>
        </w:rPr>
        <w:t>.</w:t>
      </w:r>
      <w:r w:rsidR="00992664" w:rsidRPr="0012008A">
        <w:rPr>
          <w:rStyle w:val="libFootnoteBoldChar"/>
          <w:rtl/>
        </w:rPr>
        <w:t>الوافي</w:t>
      </w:r>
      <w:r w:rsidR="00992664" w:rsidRPr="00020424">
        <w:rPr>
          <w:rtl/>
        </w:rPr>
        <w:t xml:space="preserve"> ، ج 11 ، ص 300 ، ح 10904 ؛ </w:t>
      </w:r>
      <w:r w:rsidR="00992664" w:rsidRPr="0012008A">
        <w:rPr>
          <w:rStyle w:val="libFootnoteBoldChar"/>
          <w:rtl/>
        </w:rPr>
        <w:t>الوسائل</w:t>
      </w:r>
      <w:r w:rsidR="00992664" w:rsidRPr="00020424">
        <w:rPr>
          <w:rtl/>
        </w:rPr>
        <w:t xml:space="preserve"> ، ج 10 ، ص 221 ، ح 13268.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عدّة من‌أصحابنا.</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ى ، بث ، بح ، بخ ، بر ، بس ، بف ، جن » والمطبوع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فضالة</w:t>
      </w:r>
      <w:r w:rsidR="00992664">
        <w:rPr>
          <w:rtl/>
        </w:rPr>
        <w:t xml:space="preserve"> ».</w:t>
      </w:r>
    </w:p>
    <w:p w:rsidR="00992664" w:rsidRPr="00020424" w:rsidRDefault="00992664" w:rsidP="00170E55">
      <w:pPr>
        <w:pStyle w:val="libFootnote0"/>
        <w:rPr>
          <w:rtl/>
          <w:lang w:bidi="fa-IR"/>
        </w:rPr>
      </w:pPr>
      <w:r w:rsidRPr="00170E55">
        <w:rPr>
          <w:rtl/>
        </w:rPr>
        <w:t xml:space="preserve">والظاهر صحّة ما أثبتناه ، فقد روى الحسين بن سعيد ، عن فضالة [ بن أيّوب ] عن الحسين بن عثمان في أسناد عديدةٍ. ولم نجد رواية الحسين بن سعيد عن الحسين بن عثمان مباشرة في موضع. راجع : </w:t>
      </w:r>
      <w:r w:rsidRPr="00DE76B9">
        <w:rPr>
          <w:rStyle w:val="libFootnoteBoldChar"/>
          <w:rtl/>
        </w:rPr>
        <w:t>معجم رجال الحديث</w:t>
      </w:r>
      <w:r w:rsidRPr="00170E55">
        <w:rPr>
          <w:rtl/>
        </w:rPr>
        <w:t xml:space="preserve"> ، ج 13 ، ص 434 ؛ وص 445 </w:t>
      </w:r>
      <w:r w:rsidR="009B673F" w:rsidRPr="00170E55">
        <w:rPr>
          <w:rtl/>
        </w:rPr>
        <w:t>-</w:t>
      </w:r>
      <w:r w:rsidRPr="00170E55">
        <w:rPr>
          <w:rtl/>
        </w:rPr>
        <w:t xml:space="preserve"> 446.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w:t>
      </w:r>
      <w:r w:rsidR="00992664" w:rsidRPr="00EB1FD9">
        <w:rPr>
          <w:rStyle w:val="libFootnoteBoldChar"/>
          <w:rtl/>
        </w:rPr>
        <w:t>والوسائل</w:t>
      </w:r>
      <w:r w:rsidR="00992664" w:rsidRPr="00020424">
        <w:rPr>
          <w:rtl/>
        </w:rPr>
        <w:t xml:space="preserve"> : « عمر</w:t>
      </w:r>
      <w:r w:rsidR="00992664">
        <w:rPr>
          <w:rtl/>
        </w:rPr>
        <w:t xml:space="preserve"> ».</w:t>
      </w:r>
      <w:r w:rsidR="00992664" w:rsidRPr="00020424">
        <w:rPr>
          <w:rtl/>
        </w:rPr>
        <w:t xml:space="preserve"> والمذكور في أصحاب أبي عبد الله </w:t>
      </w:r>
      <w:r w:rsidR="00992664" w:rsidRPr="00D64ADA">
        <w:rPr>
          <w:rStyle w:val="libFootnoteAlaemChar"/>
          <w:rtl/>
        </w:rPr>
        <w:t>عليه‌السلام</w:t>
      </w:r>
      <w:r w:rsidR="00992664" w:rsidRPr="00020424">
        <w:rPr>
          <w:rtl/>
        </w:rPr>
        <w:t xml:space="preserve"> هو سليمان بن عمرو. راجع : </w:t>
      </w:r>
      <w:r w:rsidR="00992664" w:rsidRPr="00DE76B9">
        <w:rPr>
          <w:rStyle w:val="libFootnoteBoldChar"/>
          <w:rtl/>
        </w:rPr>
        <w:t>رجال الطوسي</w:t>
      </w:r>
      <w:r w:rsidR="00992664" w:rsidRPr="00020424">
        <w:rPr>
          <w:rtl/>
        </w:rPr>
        <w:t xml:space="preserve"> ، ص 217 ، الرقم 2864</w:t>
      </w:r>
      <w:r w:rsidR="00992664">
        <w:rPr>
          <w:rtl/>
        </w:rPr>
        <w:t xml:space="preserve"> </w:t>
      </w:r>
      <w:r w:rsidR="009B673F">
        <w:rPr>
          <w:rtl/>
        </w:rPr>
        <w:t>-</w:t>
      </w:r>
      <w:r w:rsidR="00992664">
        <w:rPr>
          <w:rtl/>
        </w:rPr>
        <w:t xml:space="preserve"> </w:t>
      </w:r>
      <w:r w:rsidR="00992664" w:rsidRPr="00020424">
        <w:rPr>
          <w:rtl/>
        </w:rPr>
        <w:t>2865.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رحمة الله عليها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العَشاء : الطعام الذي يؤكل عند العِشاء. وقيل : العَشاء</w:t>
      </w:r>
      <w:r w:rsidR="00992664">
        <w:rPr>
          <w:rtl/>
        </w:rPr>
        <w:t xml:space="preserve"> </w:t>
      </w:r>
      <w:r w:rsidR="009B673F">
        <w:rPr>
          <w:rtl/>
        </w:rPr>
        <w:t>-</w:t>
      </w:r>
      <w:r w:rsidR="00992664">
        <w:rPr>
          <w:rtl/>
        </w:rPr>
        <w:t xml:space="preserve"> </w:t>
      </w:r>
      <w:r w:rsidR="00992664" w:rsidRPr="00020424">
        <w:rPr>
          <w:rtl/>
        </w:rPr>
        <w:t>بالفتح والمدّ</w:t>
      </w:r>
      <w:r w:rsidR="00992664">
        <w:rPr>
          <w:rtl/>
        </w:rPr>
        <w:t xml:space="preserve"> </w:t>
      </w:r>
      <w:r w:rsidR="009B673F">
        <w:rPr>
          <w:rtl/>
        </w:rPr>
        <w:t>-</w:t>
      </w:r>
      <w:r w:rsidR="00992664">
        <w:rPr>
          <w:rtl/>
        </w:rPr>
        <w:t xml:space="preserve"> </w:t>
      </w:r>
      <w:r w:rsidR="00992664" w:rsidRPr="00020424">
        <w:rPr>
          <w:rtl/>
        </w:rPr>
        <w:t xml:space="preserve">: الطعام بعينه ، وهو خلاف الغداء. راجع : </w:t>
      </w:r>
      <w:r w:rsidR="00992664" w:rsidRPr="0012008A">
        <w:rPr>
          <w:rStyle w:val="libFootnoteBoldChar"/>
          <w:rtl/>
        </w:rPr>
        <w:t>الصحاح</w:t>
      </w:r>
      <w:r w:rsidR="00992664" w:rsidRPr="00020424">
        <w:rPr>
          <w:rtl/>
        </w:rPr>
        <w:t xml:space="preserve"> ، ج 6 ، ص 2427 ؛ </w:t>
      </w:r>
      <w:r w:rsidR="00992664" w:rsidRPr="0012008A">
        <w:rPr>
          <w:rStyle w:val="libFootnoteBoldChar"/>
          <w:rtl/>
        </w:rPr>
        <w:t>النهاية</w:t>
      </w:r>
      <w:r w:rsidR="00992664" w:rsidRPr="00020424">
        <w:rPr>
          <w:rtl/>
        </w:rPr>
        <w:t xml:space="preserve"> ، ج 3 ، ص 242 ( عشا )</w:t>
      </w:r>
      <w:r w:rsidR="00992664">
        <w:rPr>
          <w:rtl/>
        </w:rPr>
        <w:t>.</w:t>
      </w:r>
    </w:p>
    <w:p w:rsidR="00992664" w:rsidRPr="00020424" w:rsidRDefault="00795177" w:rsidP="00B17119">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132 ، ح 1944 ، معلّقاً عن سليمان بن عمرو. </w:t>
      </w:r>
      <w:r w:rsidR="00992664" w:rsidRPr="00DE76B9">
        <w:rPr>
          <w:rStyle w:val="libFootnoteBoldChar"/>
          <w:rtl/>
        </w:rPr>
        <w:t>علل الشرائع</w:t>
      </w:r>
      <w:r w:rsidR="00992664" w:rsidRPr="00020424">
        <w:rPr>
          <w:rtl/>
        </w:rPr>
        <w:t xml:space="preserve"> ، ص 382 ، ح 2 ، بسنده عن الحسين بن سعيد ، عن سليمان بن عمرو </w:t>
      </w:r>
      <w:r w:rsidR="00170E55">
        <w:rPr>
          <w:rFonts w:hint="cs"/>
          <w:rtl/>
        </w:rPr>
        <w:t>.</w:t>
      </w:r>
      <w:r w:rsidR="00992664" w:rsidRPr="0012008A">
        <w:rPr>
          <w:rStyle w:val="libFootnoteBoldChar"/>
          <w:rtl/>
        </w:rPr>
        <w:t>الوافي</w:t>
      </w:r>
      <w:r w:rsidR="00992664" w:rsidRPr="00020424">
        <w:rPr>
          <w:rtl/>
        </w:rPr>
        <w:t xml:space="preserve"> ، ج 11 ، ص 301 ، ح 10908 ؛ </w:t>
      </w:r>
      <w:r w:rsidR="00992664" w:rsidRPr="0012008A">
        <w:rPr>
          <w:rStyle w:val="libFootnoteBoldChar"/>
          <w:rtl/>
        </w:rPr>
        <w:t>الوسائل</w:t>
      </w:r>
      <w:r w:rsidR="00992664" w:rsidRPr="00020424">
        <w:rPr>
          <w:rtl/>
        </w:rPr>
        <w:t xml:space="preserve"> ، ج 10 ، ص 218 ، ذيل ح 13260.</w:t>
      </w:r>
      <w:r w:rsidR="00B17119">
        <w:rPr>
          <w:rFonts w:hint="cs"/>
          <w:rtl/>
        </w:rPr>
        <w:t xml:space="preserve">                             </w:t>
      </w:r>
      <w:r>
        <w:rPr>
          <w:rtl/>
        </w:rPr>
        <w:t>(7).</w:t>
      </w:r>
      <w:r w:rsidR="0014403D">
        <w:rPr>
          <w:rtl/>
        </w:rPr>
        <w:t xml:space="preserve"> </w:t>
      </w:r>
      <w:r w:rsidR="00992664" w:rsidRPr="00020424">
        <w:rPr>
          <w:rtl/>
        </w:rPr>
        <w:t>في « ى ، بح ، بس » :</w:t>
      </w:r>
      <w:r w:rsidR="00992664">
        <w:rPr>
          <w:rtl/>
        </w:rPr>
        <w:t xml:space="preserve"> </w:t>
      </w:r>
      <w:r w:rsidR="009B673F">
        <w:rPr>
          <w:rtl/>
        </w:rPr>
        <w:t>-</w:t>
      </w:r>
      <w:r w:rsidR="00992664">
        <w:rPr>
          <w:rtl/>
        </w:rPr>
        <w:t xml:space="preserve"> </w:t>
      </w:r>
      <w:r w:rsidR="00992664" w:rsidRPr="00020424">
        <w:rPr>
          <w:rtl/>
        </w:rPr>
        <w:t>« عن شعيب</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بر ، بف » </w:t>
      </w:r>
      <w:r w:rsidR="00992664" w:rsidRPr="00515444">
        <w:rPr>
          <w:rStyle w:val="libFootnoteBoldChar"/>
          <w:rtl/>
        </w:rPr>
        <w:t>والوافي</w:t>
      </w:r>
      <w:r w:rsidR="00992664" w:rsidRPr="00020424">
        <w:rPr>
          <w:rtl/>
        </w:rPr>
        <w:t xml:space="preserve"> : « المرض</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قال الجوهري : « نَقِة من مرضه بالكسر نَقَهاً : إذا صحّ وهو في عقب علّته</w:t>
      </w:r>
      <w:r w:rsidR="00992664">
        <w:rPr>
          <w:rtl/>
        </w:rPr>
        <w:t xml:space="preserve"> ».</w:t>
      </w:r>
      <w:r w:rsidR="001877DC">
        <w:rPr>
          <w:rtl/>
        </w:rPr>
        <w:t xml:space="preserve"> وقال ابن الأثير</w:t>
      </w:r>
      <w:r w:rsidR="00992664" w:rsidRPr="00020424">
        <w:rPr>
          <w:rtl/>
        </w:rPr>
        <w:t xml:space="preserve">: « نَقِه المريض </w:t>
      </w:r>
      <w:r w:rsidR="00BE5B7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 ذلِكَ إِلَيْهِ ، هُوَ أَعْلَمُ بِنَفْسِهِ ، إِذَا قَوِيَ فَلْيَصُمْ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Heading2Center"/>
        <w:rPr>
          <w:rtl/>
          <w:lang w:bidi="fa-IR"/>
        </w:rPr>
      </w:pPr>
      <w:bookmarkStart w:id="418" w:name="_Toc345172855"/>
      <w:bookmarkStart w:id="419" w:name="_Toc464562672"/>
      <w:bookmarkStart w:id="420" w:name="_Toc44599976"/>
      <w:r w:rsidRPr="00020424">
        <w:rPr>
          <w:rtl/>
          <w:lang w:bidi="fa-IR"/>
        </w:rPr>
        <w:t>40</w:t>
      </w:r>
      <w:r>
        <w:rPr>
          <w:rtl/>
          <w:lang w:bidi="fa-IR"/>
        </w:rPr>
        <w:t xml:space="preserve"> </w:t>
      </w:r>
      <w:r w:rsidR="009B673F">
        <w:rPr>
          <w:rtl/>
          <w:lang w:bidi="fa-IR"/>
        </w:rPr>
        <w:t>-</w:t>
      </w:r>
      <w:r>
        <w:rPr>
          <w:rtl/>
          <w:lang w:bidi="fa-IR"/>
        </w:rPr>
        <w:t xml:space="preserve"> </w:t>
      </w:r>
      <w:r w:rsidRPr="00020424">
        <w:rPr>
          <w:rtl/>
          <w:lang w:bidi="fa-IR"/>
        </w:rPr>
        <w:t>بَابُ مَنْ تَوَالى عَلَيْهِ رَمَضَانَانِ‌</w:t>
      </w:r>
      <w:bookmarkEnd w:id="418"/>
      <w:bookmarkEnd w:id="419"/>
      <w:bookmarkEnd w:id="420"/>
    </w:p>
    <w:p w:rsidR="00992664" w:rsidRPr="00020424" w:rsidRDefault="00992664" w:rsidP="00992664">
      <w:pPr>
        <w:pStyle w:val="libNormal"/>
        <w:rPr>
          <w:rtl/>
          <w:lang w:bidi="fa-IR"/>
        </w:rPr>
      </w:pPr>
      <w:r w:rsidRPr="00B66F8F">
        <w:rPr>
          <w:rtl/>
        </w:rPr>
        <w:t>6463</w:t>
      </w:r>
      <w:r w:rsidRPr="001155DE">
        <w:rPr>
          <w:rStyle w:val="libBold2Char"/>
          <w:rtl/>
        </w:rPr>
        <w:t xml:space="preserve"> / 1.</w:t>
      </w:r>
      <w:r w:rsidRPr="00020424">
        <w:rPr>
          <w:rtl/>
          <w:lang w:bidi="fa-IR"/>
        </w:rPr>
        <w:t xml:space="preserve"> عَلِيُّ بْنُ إِبْرَاهِيمَ ، عَنْ أَبِيهِ </w:t>
      </w:r>
      <w:r w:rsidRPr="00A91B96">
        <w:rPr>
          <w:rStyle w:val="libFootnotenumChar"/>
          <w:rtl/>
        </w:rPr>
        <w:t>(2)</w:t>
      </w:r>
      <w:r w:rsidRPr="00020424">
        <w:rPr>
          <w:rtl/>
          <w:lang w:bidi="fa-IR"/>
        </w:rPr>
        <w:t xml:space="preserve"> ، عَنْ حَمَّادِ بْنِ عِيسى ، عَنْ حَرِيزٍ ، عَنْ مُحَمَّدِ بْنِ مُسْلِمٍ :</w:t>
      </w:r>
    </w:p>
    <w:p w:rsidR="00992664" w:rsidRPr="00020424" w:rsidRDefault="00992664" w:rsidP="00992664">
      <w:pPr>
        <w:pStyle w:val="libNormal"/>
        <w:rPr>
          <w:rtl/>
          <w:lang w:bidi="fa-IR"/>
        </w:rPr>
      </w:pPr>
      <w:r w:rsidRPr="00020424">
        <w:rPr>
          <w:rtl/>
          <w:lang w:bidi="fa-IR"/>
        </w:rPr>
        <w:t>عَنْ أَبِي جَعْفَرٍ وَأَبِي عَبْدِ اللهِ</w:t>
      </w:r>
      <w:r>
        <w:rPr>
          <w:rtl/>
          <w:lang w:bidi="fa-IR"/>
        </w:rPr>
        <w:t xml:space="preserve"> </w:t>
      </w:r>
      <w:r w:rsidR="009B673F">
        <w:rPr>
          <w:rtl/>
          <w:lang w:bidi="fa-IR"/>
        </w:rPr>
        <w:t>-</w:t>
      </w:r>
      <w:r>
        <w:rPr>
          <w:rtl/>
          <w:lang w:bidi="fa-IR"/>
        </w:rPr>
        <w:t xml:space="preserve"> </w:t>
      </w:r>
      <w:r w:rsidRPr="00020424">
        <w:rPr>
          <w:rtl/>
          <w:lang w:bidi="fa-IR"/>
        </w:rPr>
        <w:t xml:space="preserve">صَلَوَاتُ اللهِ عَلَيْهِمَا </w:t>
      </w:r>
      <w:r w:rsidRPr="00A91B96">
        <w:rPr>
          <w:rStyle w:val="libFootnotenumChar"/>
          <w:rtl/>
        </w:rPr>
        <w:t>(3)</w:t>
      </w:r>
      <w:r>
        <w:rPr>
          <w:rtl/>
          <w:lang w:bidi="fa-IR"/>
        </w:rPr>
        <w:t xml:space="preserve"> </w:t>
      </w:r>
      <w:r w:rsidR="009B673F">
        <w:rPr>
          <w:rtl/>
          <w:lang w:bidi="fa-IR"/>
        </w:rPr>
        <w:t>-</w:t>
      </w:r>
      <w:r>
        <w:rPr>
          <w:rtl/>
          <w:lang w:bidi="fa-IR"/>
        </w:rPr>
        <w:t xml:space="preserve"> </w:t>
      </w:r>
      <w:r w:rsidRPr="00020424">
        <w:rPr>
          <w:rtl/>
          <w:lang w:bidi="fa-IR"/>
        </w:rPr>
        <w:t xml:space="preserve">قَالَ : سَأَلْتُهُمَا عَنْ رَجُلٍ مَرِضَ ، فَلَمْ يَصُمْ حَتّى أَدْرَكَهُ </w:t>
      </w:r>
      <w:r w:rsidRPr="00A91B96">
        <w:rPr>
          <w:rStyle w:val="libFootnotenumChar"/>
          <w:rtl/>
        </w:rPr>
        <w:t>(4)</w:t>
      </w:r>
      <w:r w:rsidRPr="00020424">
        <w:rPr>
          <w:rtl/>
          <w:lang w:bidi="fa-IR"/>
        </w:rPr>
        <w:t xml:space="preserve"> رَمَضَانٌ آخَرُ</w:t>
      </w:r>
      <w:r>
        <w:rPr>
          <w:rtl/>
          <w:lang w:bidi="fa-IR"/>
        </w:rPr>
        <w:t>؟</w:t>
      </w:r>
    </w:p>
    <w:p w:rsidR="00992664" w:rsidRPr="00020424" w:rsidRDefault="00992664" w:rsidP="00992664">
      <w:pPr>
        <w:pStyle w:val="libNormal"/>
        <w:rPr>
          <w:rtl/>
          <w:lang w:bidi="fa-IR"/>
        </w:rPr>
      </w:pPr>
      <w:r w:rsidRPr="00020424">
        <w:rPr>
          <w:rtl/>
          <w:lang w:bidi="fa-IR"/>
        </w:rPr>
        <w:t xml:space="preserve">فَقَالَا </w:t>
      </w:r>
      <w:r w:rsidRPr="00A91B96">
        <w:rPr>
          <w:rStyle w:val="libFootnotenumChar"/>
          <w:rtl/>
        </w:rPr>
        <w:t>(5)</w:t>
      </w:r>
      <w:r w:rsidRPr="00020424">
        <w:rPr>
          <w:rtl/>
          <w:lang w:bidi="fa-IR"/>
        </w:rPr>
        <w:t xml:space="preserve"> : « إِنْ كَانَ بَرَأَ </w:t>
      </w:r>
      <w:r w:rsidRPr="00A91B96">
        <w:rPr>
          <w:rStyle w:val="libFootnotenumChar"/>
          <w:rtl/>
        </w:rPr>
        <w:t>(6)</w:t>
      </w:r>
      <w:r w:rsidRPr="00020424">
        <w:rPr>
          <w:rtl/>
          <w:lang w:bidi="fa-IR"/>
        </w:rPr>
        <w:t xml:space="preserve"> ، ثُمَّ تَوَانى قَبْلَ أَنْ يُدْرِكَهُ رَمَضَانُ </w:t>
      </w:r>
      <w:r w:rsidRPr="00A91B96">
        <w:rPr>
          <w:rStyle w:val="libFootnotenumChar"/>
          <w:rtl/>
        </w:rPr>
        <w:t>(7)</w:t>
      </w:r>
      <w:r w:rsidRPr="00020424">
        <w:rPr>
          <w:rtl/>
          <w:lang w:bidi="fa-IR"/>
        </w:rPr>
        <w:t xml:space="preserve"> الْآخَرِ ، صَامَ الَّذِي أَدْرَكَهُ ،</w:t>
      </w:r>
    </w:p>
    <w:p w:rsidR="00992664" w:rsidRPr="00020424" w:rsidRDefault="00992664" w:rsidP="00992664">
      <w:pPr>
        <w:pStyle w:val="libLine"/>
        <w:rPr>
          <w:rtl/>
          <w:lang w:bidi="fa-IR"/>
        </w:rPr>
      </w:pPr>
      <w:r w:rsidRPr="00020424">
        <w:rPr>
          <w:rtl/>
          <w:lang w:bidi="fa-IR"/>
        </w:rPr>
        <w:t>__________________</w:t>
      </w:r>
    </w:p>
    <w:p w:rsidR="00992664" w:rsidRPr="00020424" w:rsidRDefault="001877DC" w:rsidP="00992664">
      <w:pPr>
        <w:pStyle w:val="libFootnote0"/>
        <w:rPr>
          <w:rtl/>
          <w:lang w:bidi="fa-IR"/>
        </w:rPr>
      </w:pPr>
      <w:r>
        <w:rPr>
          <w:rFonts w:hint="cs"/>
          <w:rtl/>
          <w:lang w:bidi="fa-IR"/>
        </w:rPr>
        <w:t xml:space="preserve">= </w:t>
      </w:r>
      <w:r w:rsidR="00992664" w:rsidRPr="00020424">
        <w:rPr>
          <w:rtl/>
        </w:rPr>
        <w:t>يَنقَه فهو ناقه : إذا برأ وأفاق وكان قريب العهد بالمرض لم يرجع إليه كمال صحّته وقوّته</w:t>
      </w:r>
      <w:r w:rsidR="00992664">
        <w:rPr>
          <w:rtl/>
        </w:rPr>
        <w:t xml:space="preserve"> ».</w:t>
      </w:r>
      <w:r w:rsidR="00D94A7A">
        <w:rPr>
          <w:rtl/>
        </w:rPr>
        <w:t xml:space="preserve"> وقال العل</w:t>
      </w:r>
      <w:r w:rsidR="00D94A7A">
        <w:rPr>
          <w:rFonts w:hint="cs"/>
          <w:rtl/>
        </w:rPr>
        <w:t>ّ</w:t>
      </w:r>
      <w:r w:rsidR="00D94A7A">
        <w:rPr>
          <w:rtl/>
        </w:rPr>
        <w:t>ا</w:t>
      </w:r>
      <w:r w:rsidR="00992664" w:rsidRPr="00020424">
        <w:rPr>
          <w:rtl/>
        </w:rPr>
        <w:t xml:space="preserve">مة المجلسي : « قوله </w:t>
      </w:r>
      <w:r w:rsidR="00992664" w:rsidRPr="00D64ADA">
        <w:rPr>
          <w:rStyle w:val="libFootnoteAlaemChar"/>
          <w:rtl/>
        </w:rPr>
        <w:t>عليه‌السلام</w:t>
      </w:r>
      <w:r w:rsidR="00992664" w:rsidRPr="00020424">
        <w:rPr>
          <w:rtl/>
        </w:rPr>
        <w:t xml:space="preserve"> : نقه ، أي خرج من مرضه ، وبقي فيه ضعف</w:t>
      </w:r>
      <w:r w:rsidR="00992664">
        <w:rPr>
          <w:rtl/>
        </w:rPr>
        <w:t xml:space="preserve"> ..</w:t>
      </w:r>
      <w:r w:rsidR="00992664" w:rsidRPr="00020424">
        <w:rPr>
          <w:rtl/>
        </w:rPr>
        <w:t>. ويدلّ على أنّ خوف عود المرض ممّا يجوّز الإفطار ، ويؤيّد جواز الإفطار لخوف حدوث المرض ، ويمكن أن يقال : النقاهة أيضاً : بقيّة من المرض</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2253 ؛ </w:t>
      </w:r>
      <w:r w:rsidR="00992664" w:rsidRPr="0012008A">
        <w:rPr>
          <w:rStyle w:val="libFootnoteBoldChar"/>
          <w:rtl/>
        </w:rPr>
        <w:t>النهاية</w:t>
      </w:r>
      <w:r w:rsidR="00992664" w:rsidRPr="00020424">
        <w:rPr>
          <w:rtl/>
        </w:rPr>
        <w:t xml:space="preserve"> ، ج 5 ، ص 111 ( نقه ) ؛ </w:t>
      </w:r>
      <w:r w:rsidR="00992664" w:rsidRPr="00DE76B9">
        <w:rPr>
          <w:rStyle w:val="libFootnoteBoldChar"/>
          <w:rtl/>
        </w:rPr>
        <w:t>مرآة العقول</w:t>
      </w:r>
      <w:r w:rsidR="00992664" w:rsidRPr="00020424">
        <w:rPr>
          <w:rtl/>
        </w:rPr>
        <w:t xml:space="preserve"> ، ج 16 ، ص 308.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الصلاة ، باب صلاة الشيخ الكبير والمريض ، ح 5413 </w:t>
      </w:r>
      <w:r w:rsidR="00745C14">
        <w:rPr>
          <w:rFonts w:hint="cs"/>
          <w:rtl/>
        </w:rPr>
        <w:t>.</w:t>
      </w:r>
      <w:r w:rsidR="00992664" w:rsidRPr="0012008A">
        <w:rPr>
          <w:rStyle w:val="libFootnoteBoldChar"/>
          <w:rtl/>
        </w:rPr>
        <w:t>الوافي</w:t>
      </w:r>
      <w:r w:rsidR="00992664" w:rsidRPr="00020424">
        <w:rPr>
          <w:rtl/>
        </w:rPr>
        <w:t xml:space="preserve"> ، ج 11 ، ص 302 ، ح 10912 ؛ </w:t>
      </w:r>
      <w:r w:rsidR="00992664" w:rsidRPr="0012008A">
        <w:rPr>
          <w:rStyle w:val="libFootnoteBoldChar"/>
          <w:rtl/>
        </w:rPr>
        <w:t>الوسائل</w:t>
      </w:r>
      <w:r w:rsidR="00992664" w:rsidRPr="00020424">
        <w:rPr>
          <w:rtl/>
        </w:rPr>
        <w:t xml:space="preserve"> ، ج 10 ، ص 219 ، ح 13263.</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بر ، بف ، جر » </w:t>
      </w:r>
      <w:r w:rsidR="00992664" w:rsidRPr="00FD6221">
        <w:rPr>
          <w:rStyle w:val="libFootnoteBoldChar"/>
          <w:rtl/>
        </w:rPr>
        <w:t>والاستبصار</w:t>
      </w:r>
      <w:r w:rsidR="00992664" w:rsidRPr="00020424">
        <w:rPr>
          <w:rtl/>
        </w:rPr>
        <w:t xml:space="preserve">. وفي « ى ، بث ، بح ، بخ ، بس ، جن » وحاشية « ظ » والمطبوع </w:t>
      </w:r>
      <w:r w:rsidR="00992664" w:rsidRPr="00EB1FD9">
        <w:rPr>
          <w:rStyle w:val="libFootnoteBoldChar"/>
          <w:rtl/>
        </w:rPr>
        <w:t>والوسائل</w:t>
      </w:r>
      <w:r w:rsidR="00992664" w:rsidRPr="00020424">
        <w:rPr>
          <w:rtl/>
        </w:rPr>
        <w:t xml:space="preserve"> : + « عن ابن أبي عمير</w:t>
      </w:r>
      <w:r w:rsidR="00992664">
        <w:rPr>
          <w:rtl/>
        </w:rPr>
        <w:t xml:space="preserve"> ».</w:t>
      </w:r>
      <w:r w:rsidR="00992664" w:rsidRPr="00020424">
        <w:rPr>
          <w:rtl/>
        </w:rPr>
        <w:t xml:space="preserve"> وفي « ظ » : + « عن ابن أبي أيّوب</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أيضاً : + « عن ابن أبي عمير » ، لكنّه غير مذكور في بعض نسخه المعتبرة.</w:t>
      </w:r>
    </w:p>
    <w:p w:rsidR="00992664" w:rsidRPr="00020424" w:rsidRDefault="00992664" w:rsidP="00647FB6">
      <w:pPr>
        <w:pStyle w:val="libFootnote0"/>
        <w:rPr>
          <w:rtl/>
          <w:lang w:bidi="fa-IR"/>
        </w:rPr>
      </w:pPr>
      <w:r w:rsidRPr="00647FB6">
        <w:rPr>
          <w:rtl/>
        </w:rPr>
        <w:t xml:space="preserve">هذا ، وطريق عليّ بن إبراهيم عن أبيه عن حمّاد [ بن عيسى ] عن حريز [ بن عبد الله ] من أشهر أسناد </w:t>
      </w:r>
      <w:r w:rsidRPr="00DE76B9">
        <w:rPr>
          <w:rStyle w:val="libFootnoteBoldChar"/>
          <w:rtl/>
        </w:rPr>
        <w:t>الكافي</w:t>
      </w:r>
      <w:r w:rsidRPr="00647FB6">
        <w:rPr>
          <w:rtl/>
        </w:rPr>
        <w:t xml:space="preserve">. راجع : </w:t>
      </w:r>
      <w:r w:rsidRPr="00DE76B9">
        <w:rPr>
          <w:rStyle w:val="libFootnoteBoldChar"/>
          <w:rtl/>
        </w:rPr>
        <w:t>معجم رجال الحديث</w:t>
      </w:r>
      <w:r w:rsidRPr="00647FB6">
        <w:rPr>
          <w:rtl/>
        </w:rPr>
        <w:t xml:space="preserve"> ، ج 6 ، ص 377 </w:t>
      </w:r>
      <w:r w:rsidR="009B673F" w:rsidRPr="00647FB6">
        <w:rPr>
          <w:rtl/>
        </w:rPr>
        <w:t>-</w:t>
      </w:r>
      <w:r w:rsidRPr="00647FB6">
        <w:rPr>
          <w:rtl/>
        </w:rPr>
        <w:t xml:space="preserve"> 379 ؛ ص 426 </w:t>
      </w:r>
      <w:r w:rsidR="009B673F" w:rsidRPr="00647FB6">
        <w:rPr>
          <w:rtl/>
        </w:rPr>
        <w:t>-</w:t>
      </w:r>
      <w:r w:rsidRPr="00647FB6">
        <w:rPr>
          <w:rtl/>
        </w:rPr>
        <w:t xml:space="preserve"> 828 ؛ وص 433.</w:t>
      </w:r>
    </w:p>
    <w:p w:rsidR="00992664" w:rsidRPr="00020424" w:rsidRDefault="00992664" w:rsidP="00647FB6">
      <w:pPr>
        <w:pStyle w:val="libFootnote0"/>
        <w:rPr>
          <w:rtl/>
          <w:lang w:bidi="fa-IR"/>
        </w:rPr>
      </w:pPr>
      <w:r w:rsidRPr="00647FB6">
        <w:rPr>
          <w:rtl/>
        </w:rPr>
        <w:t xml:space="preserve">ويؤيّد ذلك ما ورد في </w:t>
      </w:r>
      <w:r w:rsidRPr="0012008A">
        <w:rPr>
          <w:rStyle w:val="libFootnoteBoldChar"/>
          <w:rtl/>
        </w:rPr>
        <w:t>الوافي</w:t>
      </w:r>
      <w:r w:rsidRPr="00647FB6">
        <w:rPr>
          <w:rtl/>
        </w:rPr>
        <w:t xml:space="preserve"> من ذكر إسناد الحديث هكذا : « الأربعة عن محمّد » ثمّ قال : « إسناد هذا الحديث في بعض النسخ هكذا : الثلاثة ، عن حمّاد بن عيسى ، عن حريز ، عن محمّد ، وما ذكرناه موافق للتهذيبين ، وهو الصواب ». والمراد من الثلاثة في كلامه ، هم : عليّ بن إبراهيم ، عن أبيه ، عن ابن أبي عمير.</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أبي جعفر وأبي عبدالله صلوات الله عليهما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47FB6" w:rsidTr="00647FB6">
        <w:tc>
          <w:tcPr>
            <w:tcW w:w="4006" w:type="dxa"/>
          </w:tcPr>
          <w:p w:rsidR="00647FB6" w:rsidRDefault="00647FB6"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 شهر</w:t>
            </w:r>
            <w:r>
              <w:rPr>
                <w:rtl/>
              </w:rPr>
              <w:t xml:space="preserve"> ».</w:t>
            </w:r>
          </w:p>
        </w:tc>
        <w:tc>
          <w:tcPr>
            <w:tcW w:w="4006" w:type="dxa"/>
          </w:tcPr>
          <w:p w:rsidR="00647FB6" w:rsidRDefault="00AB571F" w:rsidP="00992664">
            <w:pPr>
              <w:pStyle w:val="libFootnote0"/>
              <w:rPr>
                <w:rtl/>
              </w:rPr>
            </w:pPr>
            <w:r>
              <w:rPr>
                <w:rtl/>
              </w:rPr>
              <w:t xml:space="preserve">(5). </w:t>
            </w:r>
            <w:r w:rsidRPr="00020424">
              <w:rPr>
                <w:rtl/>
              </w:rPr>
              <w:t>في « بف ، جن » : « فقال</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قد برأ</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بث ، بخ ، بر ، بس ، بف » وحاشية « بح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الرمضان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وَتَصَدَّقَ عَنْ </w:t>
      </w:r>
      <w:r w:rsidRPr="00A91B96">
        <w:rPr>
          <w:rStyle w:val="libFootnotenumChar"/>
          <w:rtl/>
        </w:rPr>
        <w:t>(1)</w:t>
      </w:r>
      <w:r w:rsidRPr="00020424">
        <w:rPr>
          <w:rtl/>
          <w:lang w:bidi="fa-IR"/>
        </w:rPr>
        <w:t xml:space="preserve"> كُلِّ يَوْمٍ بِمُدٍّ مِنْ طَعَامٍ عَلى مِسْكِينٍ ، وَعَلَيْهِ قَضَاؤُهُ ، وَإِنْ </w:t>
      </w:r>
      <w:r w:rsidRPr="00A91B96">
        <w:rPr>
          <w:rStyle w:val="libFootnotenumChar"/>
          <w:rtl/>
        </w:rPr>
        <w:t>(2)</w:t>
      </w:r>
      <w:r w:rsidRPr="00020424">
        <w:rPr>
          <w:rtl/>
          <w:lang w:bidi="fa-IR"/>
        </w:rPr>
        <w:t xml:space="preserve"> كَانَ لَمْ يَزَلْ مَرِيضاً حَتّى أَدْرَكَهُ </w:t>
      </w:r>
      <w:r w:rsidRPr="00A91B96">
        <w:rPr>
          <w:rStyle w:val="libFootnotenumChar"/>
          <w:rtl/>
        </w:rPr>
        <w:t>(3)</w:t>
      </w:r>
      <w:r w:rsidRPr="00020424">
        <w:rPr>
          <w:rtl/>
          <w:lang w:bidi="fa-IR"/>
        </w:rPr>
        <w:t xml:space="preserve"> رَمَضَانٌ آخَرُ ، صَامَ الَّذِي أَدْرَكَهُ ، وَتَصَدَّقَ عَنِ الْأَوَّلِ لِكُلِّ يَوْمٍ مُدّاً </w:t>
      </w:r>
      <w:r w:rsidRPr="00A91B96">
        <w:rPr>
          <w:rStyle w:val="libFootnotenumChar"/>
          <w:rtl/>
        </w:rPr>
        <w:t>(4)</w:t>
      </w:r>
      <w:r w:rsidRPr="00020424">
        <w:rPr>
          <w:rtl/>
          <w:lang w:bidi="fa-IR"/>
        </w:rPr>
        <w:t xml:space="preserve"> عَلى </w:t>
      </w:r>
      <w:r w:rsidRPr="00A91B96">
        <w:rPr>
          <w:rStyle w:val="libFootnotenumChar"/>
          <w:rtl/>
        </w:rPr>
        <w:t>(5)</w:t>
      </w:r>
      <w:r w:rsidRPr="00020424">
        <w:rPr>
          <w:rtl/>
          <w:lang w:bidi="fa-IR"/>
        </w:rPr>
        <w:t xml:space="preserve"> مِسْكِينٍ ، وَلَيْسَ عَلَيْهِ قَضَاؤُهُ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8E1B73" w:rsidRDefault="00992664" w:rsidP="008E1B73">
      <w:pPr>
        <w:pStyle w:val="libNormal"/>
        <w:rPr>
          <w:rtl/>
          <w:lang w:bidi="fa-IR"/>
        </w:rPr>
      </w:pPr>
      <w:r w:rsidRPr="00B66F8F">
        <w:rPr>
          <w:rtl/>
        </w:rPr>
        <w:t>6464</w:t>
      </w:r>
      <w:r w:rsidRPr="001155DE">
        <w:rPr>
          <w:rStyle w:val="libBold2Char"/>
          <w:rtl/>
        </w:rPr>
        <w:t xml:space="preserve"> / 2.</w:t>
      </w:r>
      <w:r w:rsidRPr="00020424">
        <w:rPr>
          <w:rtl/>
          <w:lang w:bidi="fa-IR"/>
        </w:rPr>
        <w:t xml:space="preserve"> عَلِيُّ بْنُ إِبْرَاهِيمَ ، عَنْ أَبِيهِ ؛</w:t>
      </w:r>
    </w:p>
    <w:p w:rsidR="00992664" w:rsidRPr="00020424" w:rsidRDefault="008E1B73" w:rsidP="008E1B73">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جَمِيلٍ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الرَّجُلِ يَمْرَضُ ، فَيُدْرِكُهُ شَهْرُ رَمَضَانَ ، وَيَخْرُجُ عَنْهُ </w:t>
      </w:r>
      <w:r w:rsidRPr="00A91B96">
        <w:rPr>
          <w:rStyle w:val="libFootnotenumChar"/>
          <w:rtl/>
        </w:rPr>
        <w:t>(8)</w:t>
      </w:r>
      <w:r w:rsidRPr="00020424">
        <w:rPr>
          <w:rtl/>
          <w:lang w:bidi="fa-IR"/>
        </w:rPr>
        <w:t xml:space="preserve"> وَهُوَ مَرِيضٌ ، وَلَايَصِحُّ </w:t>
      </w:r>
      <w:r w:rsidRPr="00A91B96">
        <w:rPr>
          <w:rStyle w:val="libFootnotenumChar"/>
          <w:rtl/>
        </w:rPr>
        <w:t>(9)</w:t>
      </w:r>
      <w:r w:rsidRPr="00020424">
        <w:rPr>
          <w:rtl/>
          <w:lang w:bidi="fa-IR"/>
        </w:rPr>
        <w:t xml:space="preserve"> حَتّى يُدْرِكَهُ شَهْرُ رَمَضَانٍ آخَرُ.</w:t>
      </w:r>
    </w:p>
    <w:p w:rsidR="00992664" w:rsidRPr="00020424" w:rsidRDefault="00992664" w:rsidP="00992664">
      <w:pPr>
        <w:pStyle w:val="libNormal"/>
        <w:rPr>
          <w:rtl/>
          <w:lang w:bidi="fa-IR"/>
        </w:rPr>
      </w:pPr>
      <w:r w:rsidRPr="00020424">
        <w:rPr>
          <w:rtl/>
          <w:lang w:bidi="fa-IR"/>
        </w:rPr>
        <w:t xml:space="preserve">قَالَ : « يَتَصَدَّقُ عَنِ الْأَوَّلِ ، وَيَصُومُ الثَّانِيَ ، فَإِنْ كَانَ </w:t>
      </w:r>
      <w:r w:rsidRPr="00A91B96">
        <w:rPr>
          <w:rStyle w:val="libFootnotenumChar"/>
          <w:rtl/>
        </w:rPr>
        <w:t>(10)</w:t>
      </w:r>
      <w:r w:rsidRPr="00020424">
        <w:rPr>
          <w:rtl/>
          <w:lang w:bidi="fa-IR"/>
        </w:rPr>
        <w:t xml:space="preserve"> صَحَّ فِيمَا </w:t>
      </w:r>
      <w:r w:rsidRPr="00A91B96">
        <w:rPr>
          <w:rStyle w:val="libFootnotenumChar"/>
          <w:rtl/>
        </w:rPr>
        <w:t>(11)</w:t>
      </w:r>
      <w:r w:rsidRPr="00020424">
        <w:rPr>
          <w:rtl/>
          <w:lang w:bidi="fa-IR"/>
        </w:rPr>
        <w:t xml:space="preserve"> بَيْنَهُمَا وَلَمْ يَصُمْ حَتّى أَدْرَكَهُ </w:t>
      </w:r>
      <w:r w:rsidRPr="00A91B96">
        <w:rPr>
          <w:rStyle w:val="libFootnotenumChar"/>
          <w:rtl/>
        </w:rPr>
        <w:t>(12)</w:t>
      </w:r>
      <w:r w:rsidRPr="00020424">
        <w:rPr>
          <w:rtl/>
          <w:lang w:bidi="fa-IR"/>
        </w:rPr>
        <w:t xml:space="preserve"> شَهْرُ رَمَضَانٍ آخَرُ ، صَامَهُمَا جَمِيعاً ، وَيَتَصَدَّقُ </w:t>
      </w:r>
      <w:r w:rsidRPr="00A91B96">
        <w:rPr>
          <w:rStyle w:val="libFootnotenumChar"/>
          <w:rtl/>
        </w:rPr>
        <w:t>(13)</w:t>
      </w:r>
      <w:r w:rsidRPr="00020424">
        <w:rPr>
          <w:rtl/>
          <w:lang w:bidi="fa-IR"/>
        </w:rPr>
        <w:t xml:space="preserve"> عَنِ الْأَوَّلِ</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Normal"/>
        <w:rPr>
          <w:rtl/>
          <w:lang w:bidi="fa-IR"/>
        </w:rPr>
      </w:pPr>
      <w:r w:rsidRPr="00B66F8F">
        <w:rPr>
          <w:rtl/>
        </w:rPr>
        <w:t>6465</w:t>
      </w:r>
      <w:r w:rsidRPr="001155DE">
        <w:rPr>
          <w:rStyle w:val="libBold2Char"/>
          <w:rtl/>
        </w:rPr>
        <w:t xml:space="preserve"> / 3.</w:t>
      </w:r>
      <w:r w:rsidRPr="00020424">
        <w:rPr>
          <w:rtl/>
          <w:lang w:bidi="fa-IR"/>
        </w:rPr>
        <w:t xml:space="preserve"> مُحَمَّدُ بْنُ يَحْيى ، عَنْ أَحْمَدَ بْنِ مُحَمَّدٍ ، عَنْ مُحَمَّدِ بْنِ إِسْمَاعِيلَ ، عَنْ‌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E3211" w:rsidTr="005E3211">
        <w:tc>
          <w:tcPr>
            <w:tcW w:w="4006" w:type="dxa"/>
          </w:tcPr>
          <w:p w:rsidR="005E3211" w:rsidRDefault="005E3211" w:rsidP="00992664">
            <w:pPr>
              <w:pStyle w:val="libFootnote0"/>
              <w:rPr>
                <w:rtl/>
              </w:rPr>
            </w:pPr>
            <w:r>
              <w:rPr>
                <w:rtl/>
              </w:rPr>
              <w:t xml:space="preserve">(1). </w:t>
            </w:r>
            <w:r w:rsidRPr="00020424">
              <w:rPr>
                <w:rtl/>
              </w:rPr>
              <w:t>في « ظ ، بر ، بف » :</w:t>
            </w:r>
            <w:r>
              <w:rPr>
                <w:rtl/>
              </w:rPr>
              <w:t xml:space="preserve"> - </w:t>
            </w:r>
            <w:r w:rsidRPr="00020424">
              <w:rPr>
                <w:rtl/>
              </w:rPr>
              <w:t>« عن</w:t>
            </w:r>
            <w:r>
              <w:rPr>
                <w:rtl/>
              </w:rPr>
              <w:t xml:space="preserve"> ».</w:t>
            </w:r>
          </w:p>
        </w:tc>
        <w:tc>
          <w:tcPr>
            <w:tcW w:w="4006" w:type="dxa"/>
          </w:tcPr>
          <w:p w:rsidR="005E3211" w:rsidRDefault="005E3211" w:rsidP="00992664">
            <w:pPr>
              <w:pStyle w:val="libFootnote0"/>
              <w:rPr>
                <w:rtl/>
              </w:rPr>
            </w:pPr>
            <w:r>
              <w:rPr>
                <w:rtl/>
              </w:rPr>
              <w:t xml:space="preserve">(2). </w:t>
            </w:r>
            <w:r w:rsidRPr="00020424">
              <w:rPr>
                <w:rtl/>
              </w:rPr>
              <w:t xml:space="preserve">في « بث ، بخ ، بف » </w:t>
            </w:r>
            <w:r w:rsidRPr="00515444">
              <w:rPr>
                <w:rStyle w:val="libFootnoteBoldChar"/>
                <w:rtl/>
              </w:rPr>
              <w:t>والتهذيب</w:t>
            </w:r>
            <w:r w:rsidRPr="00020424">
              <w:rPr>
                <w:rtl/>
              </w:rPr>
              <w:t xml:space="preserve"> : « فإن</w:t>
            </w:r>
            <w:r>
              <w:rPr>
                <w:rtl/>
              </w:rPr>
              <w:t xml:space="preserve"> ».</w:t>
            </w:r>
          </w:p>
        </w:tc>
      </w:tr>
      <w:tr w:rsidR="005E3211" w:rsidTr="005E3211">
        <w:tc>
          <w:tcPr>
            <w:tcW w:w="4006" w:type="dxa"/>
          </w:tcPr>
          <w:p w:rsidR="005E3211" w:rsidRDefault="005E3211" w:rsidP="00992664">
            <w:pPr>
              <w:pStyle w:val="libFootnote0"/>
              <w:rPr>
                <w:rtl/>
              </w:rPr>
            </w:pPr>
            <w:r>
              <w:rPr>
                <w:rtl/>
              </w:rPr>
              <w:t xml:space="preserve">(3). </w:t>
            </w:r>
            <w:r w:rsidRPr="00020424">
              <w:rPr>
                <w:rtl/>
              </w:rPr>
              <w:t xml:space="preserve">في « جن » </w:t>
            </w:r>
            <w:r w:rsidRPr="00515444">
              <w:rPr>
                <w:rStyle w:val="libFootnoteBoldChar"/>
                <w:rtl/>
              </w:rPr>
              <w:t>والتهذيب</w:t>
            </w:r>
            <w:r w:rsidRPr="00020424">
              <w:rPr>
                <w:rtl/>
              </w:rPr>
              <w:t xml:space="preserve"> : + « شهر</w:t>
            </w:r>
            <w:r>
              <w:rPr>
                <w:rtl/>
              </w:rPr>
              <w:t xml:space="preserve"> ».</w:t>
            </w:r>
          </w:p>
        </w:tc>
        <w:tc>
          <w:tcPr>
            <w:tcW w:w="4006" w:type="dxa"/>
          </w:tcPr>
          <w:p w:rsidR="005E3211" w:rsidRDefault="005E3211" w:rsidP="00992664">
            <w:pPr>
              <w:pStyle w:val="libFootnote0"/>
              <w:rPr>
                <w:rtl/>
              </w:rPr>
            </w:pPr>
            <w:r>
              <w:rPr>
                <w:rtl/>
              </w:rPr>
              <w:t xml:space="preserve">(4). </w:t>
            </w:r>
            <w:r w:rsidRPr="00020424">
              <w:rPr>
                <w:rtl/>
              </w:rPr>
              <w:t xml:space="preserve">في </w:t>
            </w:r>
            <w:r w:rsidRPr="0012008A">
              <w:rPr>
                <w:rStyle w:val="libFootnoteBoldChar"/>
                <w:rtl/>
              </w:rPr>
              <w:t>الوسائل</w:t>
            </w:r>
            <w:r w:rsidRPr="00020424">
              <w:rPr>
                <w:rtl/>
              </w:rPr>
              <w:t xml:space="preserve"> : « مدّ</w:t>
            </w:r>
            <w:r>
              <w:rPr>
                <w:rtl/>
              </w:rPr>
              <w:t xml:space="preserve"> ».</w:t>
            </w:r>
          </w:p>
        </w:tc>
      </w:tr>
      <w:tr w:rsidR="005E3211" w:rsidTr="005E3211">
        <w:tc>
          <w:tcPr>
            <w:tcW w:w="4006" w:type="dxa"/>
          </w:tcPr>
          <w:p w:rsidR="005E3211" w:rsidRDefault="005E3211" w:rsidP="00992664">
            <w:pPr>
              <w:pStyle w:val="libFootnote0"/>
              <w:rPr>
                <w:rtl/>
              </w:rPr>
            </w:pPr>
            <w:r>
              <w:rPr>
                <w:rtl/>
              </w:rPr>
              <w:t xml:space="preserve">(5). </w:t>
            </w:r>
            <w:r w:rsidRPr="00020424">
              <w:rPr>
                <w:rtl/>
              </w:rPr>
              <w:t>في « ى » : + « كلّ</w:t>
            </w:r>
            <w:r>
              <w:rPr>
                <w:rtl/>
              </w:rPr>
              <w:t xml:space="preserve"> ».</w:t>
            </w:r>
          </w:p>
        </w:tc>
        <w:tc>
          <w:tcPr>
            <w:tcW w:w="4006" w:type="dxa"/>
          </w:tcPr>
          <w:p w:rsidR="005E3211" w:rsidRDefault="005E3211"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قضاء</w:t>
            </w:r>
            <w:r>
              <w:rPr>
                <w:rtl/>
              </w:rPr>
              <w:t xml:space="preserve"> ».</w:t>
            </w:r>
          </w:p>
        </w:tc>
      </w:tr>
    </w:tbl>
    <w:p w:rsidR="00992664" w:rsidRPr="00020424" w:rsidRDefault="00795177" w:rsidP="00080CC1">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350 ، ح 743 ؛ </w:t>
      </w:r>
      <w:r w:rsidR="00992664" w:rsidRPr="00FD6221">
        <w:rPr>
          <w:rStyle w:val="libFootnoteBoldChar"/>
          <w:rtl/>
        </w:rPr>
        <w:t>والاستبصار</w:t>
      </w:r>
      <w:r w:rsidR="00992664" w:rsidRPr="00020424">
        <w:rPr>
          <w:rtl/>
        </w:rPr>
        <w:t xml:space="preserve"> ، ج 2 ، ص 110 ، ح 361 ، معلّقاً عن الكليني. وفي </w:t>
      </w:r>
      <w:r w:rsidR="00992664" w:rsidRPr="0012008A">
        <w:rPr>
          <w:rStyle w:val="libFootnoteBoldChar"/>
          <w:rtl/>
        </w:rPr>
        <w:t>التهذيب</w:t>
      </w:r>
      <w:r w:rsidR="00992664" w:rsidRPr="00020424">
        <w:rPr>
          <w:rtl/>
        </w:rPr>
        <w:t xml:space="preserve"> ، ج 4 ، ص 251 ، ح 746 ؛ </w:t>
      </w:r>
      <w:r w:rsidR="00992664" w:rsidRPr="00FD6221">
        <w:rPr>
          <w:rStyle w:val="libFootnoteBoldChar"/>
          <w:rtl/>
        </w:rPr>
        <w:t>والاستبصار</w:t>
      </w:r>
      <w:r w:rsidR="00992664" w:rsidRPr="00020424">
        <w:rPr>
          <w:rtl/>
        </w:rPr>
        <w:t xml:space="preserve"> ، ج 2 ، ص 110 ، ح 361 ؛ وص 111 ، ح 364 ، بسند آخر عن أبي عبدالله </w:t>
      </w:r>
      <w:r w:rsidR="00992664" w:rsidRPr="00D64ADA">
        <w:rPr>
          <w:rStyle w:val="libFootnoteAlaemChar"/>
          <w:rtl/>
        </w:rPr>
        <w:t>عليه‌السلام</w:t>
      </w:r>
      <w:r w:rsidR="00992664" w:rsidRPr="00020424">
        <w:rPr>
          <w:rtl/>
        </w:rPr>
        <w:t xml:space="preserve"> ، مع اختلاف. </w:t>
      </w:r>
      <w:r w:rsidR="00992664" w:rsidRPr="00DE76B9">
        <w:rPr>
          <w:rStyle w:val="libFootnoteBoldChar"/>
          <w:rtl/>
        </w:rPr>
        <w:t>قرب الإسناد</w:t>
      </w:r>
      <w:r w:rsidR="00992664" w:rsidRPr="00020424">
        <w:rPr>
          <w:rtl/>
        </w:rPr>
        <w:t xml:space="preserve"> ، ص 232 ، ح 911 ، بسند آخر عن موسى بن جعفر </w:t>
      </w:r>
      <w:r w:rsidR="00992664" w:rsidRPr="00D64ADA">
        <w:rPr>
          <w:rStyle w:val="libFootnoteAlaemChar"/>
          <w:rtl/>
        </w:rPr>
        <w:t>عليه‌السلام</w:t>
      </w:r>
      <w:r w:rsidR="00992664" w:rsidRPr="00020424">
        <w:rPr>
          <w:rtl/>
        </w:rPr>
        <w:t xml:space="preserve"> ، من قوله : « وإن كان لم يزل مريضاً » مع اختلاف يسير </w:t>
      </w:r>
      <w:r w:rsidR="00992664" w:rsidRPr="0012008A">
        <w:rPr>
          <w:rStyle w:val="libFootnoteBoldChar"/>
          <w:rtl/>
        </w:rPr>
        <w:t>الوافي</w:t>
      </w:r>
      <w:r w:rsidR="00992664" w:rsidRPr="00020424">
        <w:rPr>
          <w:rtl/>
        </w:rPr>
        <w:t xml:space="preserve"> ، ج 11 ، ص 341 ، ح 10994 ؛ </w:t>
      </w:r>
      <w:r w:rsidR="00992664" w:rsidRPr="0012008A">
        <w:rPr>
          <w:rStyle w:val="libFootnoteBoldChar"/>
          <w:rtl/>
        </w:rPr>
        <w:t>الوسائل</w:t>
      </w:r>
      <w:r w:rsidR="00992664" w:rsidRPr="00020424">
        <w:rPr>
          <w:rtl/>
        </w:rPr>
        <w:t xml:space="preserve"> ، ج 10 ، ص 335 ، ح 13543.</w:t>
      </w:r>
      <w:r w:rsidR="00080CC1">
        <w:rPr>
          <w:rFonts w:hint="cs"/>
          <w:rtl/>
        </w:rPr>
        <w:t xml:space="preserve">     </w:t>
      </w:r>
      <w:r w:rsidR="00B04396">
        <w:rPr>
          <w:rFonts w:hint="cs"/>
          <w:rtl/>
        </w:rPr>
        <w:t xml:space="preserve">   </w:t>
      </w:r>
      <w:r w:rsidR="00080CC1">
        <w:rPr>
          <w:rFonts w:hint="cs"/>
          <w:rtl/>
        </w:rPr>
        <w:t xml:space="preserve">     </w:t>
      </w:r>
      <w:r>
        <w:rPr>
          <w:rtl/>
        </w:rPr>
        <w:t>(8).</w:t>
      </w:r>
      <w:r w:rsidR="0014403D">
        <w:rPr>
          <w:rtl/>
        </w:rPr>
        <w:t xml:space="preserve"> </w:t>
      </w:r>
      <w:r w:rsidR="00992664" w:rsidRPr="00020424">
        <w:rPr>
          <w:rtl/>
        </w:rPr>
        <w:t>في « جن » : « منه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80CC1" w:rsidTr="00080CC1">
        <w:tc>
          <w:tcPr>
            <w:tcW w:w="4006" w:type="dxa"/>
          </w:tcPr>
          <w:p w:rsidR="00080CC1" w:rsidRDefault="00080CC1"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ولا يصحّ</w:t>
            </w:r>
            <w:r>
              <w:rPr>
                <w:rtl/>
              </w:rPr>
              <w:t xml:space="preserve"> ».</w:t>
            </w:r>
          </w:p>
        </w:tc>
        <w:tc>
          <w:tcPr>
            <w:tcW w:w="4006" w:type="dxa"/>
          </w:tcPr>
          <w:p w:rsidR="00080CC1" w:rsidRDefault="00080CC1" w:rsidP="00992664">
            <w:pPr>
              <w:pStyle w:val="libFootnote0"/>
              <w:rPr>
                <w:rtl/>
              </w:rPr>
            </w:pPr>
            <w:r>
              <w:rPr>
                <w:rtl/>
              </w:rPr>
              <w:t xml:space="preserve">(10). </w:t>
            </w:r>
            <w:r w:rsidRPr="00020424">
              <w:rPr>
                <w:rtl/>
              </w:rPr>
              <w:t>في « بخ » :</w:t>
            </w:r>
            <w:r>
              <w:rPr>
                <w:rtl/>
              </w:rPr>
              <w:t xml:space="preserve"> - </w:t>
            </w:r>
            <w:r w:rsidRPr="00020424">
              <w:rPr>
                <w:rtl/>
              </w:rPr>
              <w:t>« كان</w:t>
            </w:r>
            <w:r>
              <w:rPr>
                <w:rtl/>
              </w:rPr>
              <w:t xml:space="preserve"> ».</w:t>
            </w:r>
          </w:p>
        </w:tc>
      </w:tr>
      <w:tr w:rsidR="00080CC1" w:rsidTr="00080CC1">
        <w:tc>
          <w:tcPr>
            <w:tcW w:w="4006" w:type="dxa"/>
          </w:tcPr>
          <w:p w:rsidR="00080CC1" w:rsidRDefault="00080CC1" w:rsidP="00992664">
            <w:pPr>
              <w:pStyle w:val="libFootnote0"/>
              <w:rPr>
                <w:rtl/>
              </w:rPr>
            </w:pPr>
            <w:r>
              <w:rPr>
                <w:rtl/>
              </w:rPr>
              <w:t xml:space="preserve">(11). </w:t>
            </w:r>
            <w:r w:rsidRPr="00020424">
              <w:rPr>
                <w:rtl/>
              </w:rPr>
              <w:t>في « ظ » :</w:t>
            </w:r>
            <w:r>
              <w:rPr>
                <w:rtl/>
              </w:rPr>
              <w:t xml:space="preserve"> - </w:t>
            </w:r>
            <w:r w:rsidRPr="00020424">
              <w:rPr>
                <w:rtl/>
              </w:rPr>
              <w:t>« فيما</w:t>
            </w:r>
            <w:r>
              <w:rPr>
                <w:rtl/>
              </w:rPr>
              <w:t xml:space="preserve"> ».</w:t>
            </w:r>
          </w:p>
        </w:tc>
        <w:tc>
          <w:tcPr>
            <w:tcW w:w="4006" w:type="dxa"/>
          </w:tcPr>
          <w:p w:rsidR="00080CC1" w:rsidRDefault="005D3278" w:rsidP="00992664">
            <w:pPr>
              <w:pStyle w:val="libFootnote0"/>
              <w:rPr>
                <w:rtl/>
              </w:rPr>
            </w:pPr>
            <w:r>
              <w:rPr>
                <w:rtl/>
              </w:rPr>
              <w:t xml:space="preserve">(12). </w:t>
            </w:r>
            <w:r w:rsidRPr="00020424">
              <w:rPr>
                <w:rtl/>
              </w:rPr>
              <w:t>في « ظ ، بث » : « حتّى يدركه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حاشية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وتصدّق</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التهذيب</w:t>
      </w:r>
      <w:r w:rsidR="00992664" w:rsidRPr="00020424">
        <w:rPr>
          <w:rtl/>
        </w:rPr>
        <w:t xml:space="preserve"> ، ج 4 ، ص 250 ، ح 744 ؛ </w:t>
      </w:r>
      <w:r w:rsidR="00992664" w:rsidRPr="00FD6221">
        <w:rPr>
          <w:rStyle w:val="libFootnoteBoldChar"/>
          <w:rtl/>
        </w:rPr>
        <w:t>والاستبصار</w:t>
      </w:r>
      <w:r w:rsidR="00992664" w:rsidRPr="00020424">
        <w:rPr>
          <w:rtl/>
        </w:rPr>
        <w:t xml:space="preserve"> ، ج 2 ، ص 111 ، ح 362 ، معلّقاً عن الكليني. </w:t>
      </w:r>
      <w:r w:rsidR="00992664" w:rsidRPr="0012008A">
        <w:rPr>
          <w:rStyle w:val="libFootnoteBoldChar"/>
          <w:rtl/>
        </w:rPr>
        <w:t>الفقيه</w:t>
      </w:r>
      <w:r w:rsidR="00992664" w:rsidRPr="00020424">
        <w:rPr>
          <w:rtl/>
        </w:rPr>
        <w:t xml:space="preserve"> ، ج 2 ، ص 148 ، ح 1999 ، معلّقاً عن جميل.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210 ، مع اختلاف يسير </w:t>
      </w:r>
      <w:r w:rsidR="00C34C57">
        <w:rPr>
          <w:rFonts w:hint="cs"/>
          <w:rtl/>
        </w:rPr>
        <w:t>.</w:t>
      </w:r>
      <w:r w:rsidR="00992664" w:rsidRPr="0012008A">
        <w:rPr>
          <w:rStyle w:val="libFootnoteBoldChar"/>
          <w:rtl/>
        </w:rPr>
        <w:t>الوافي</w:t>
      </w:r>
      <w:r w:rsidR="00992664" w:rsidRPr="00020424">
        <w:rPr>
          <w:rtl/>
        </w:rPr>
        <w:t xml:space="preserve"> ، ج 11 ، ص 342 ، ح 10995 ؛ </w:t>
      </w:r>
      <w:r w:rsidR="00992664" w:rsidRPr="0012008A">
        <w:rPr>
          <w:rStyle w:val="libFootnoteBoldChar"/>
          <w:rtl/>
        </w:rPr>
        <w:t>الوسائل</w:t>
      </w:r>
      <w:r w:rsidR="00992664" w:rsidRPr="00020424">
        <w:rPr>
          <w:rtl/>
        </w:rPr>
        <w:t xml:space="preserve"> ، ج 10 ، ص 335 ، ح 13544.</w:t>
      </w:r>
    </w:p>
    <w:p w:rsidR="00795177" w:rsidRDefault="00795177" w:rsidP="00795177">
      <w:pPr>
        <w:pStyle w:val="libNormal"/>
        <w:rPr>
          <w:rtl/>
          <w:lang w:bidi="fa-IR"/>
        </w:rPr>
      </w:pPr>
      <w:r>
        <w:rPr>
          <w:rtl/>
          <w:lang w:bidi="fa-IR"/>
        </w:rPr>
        <w:br w:type="page"/>
      </w:r>
    </w:p>
    <w:p w:rsidR="00992664" w:rsidRPr="00B66F8F" w:rsidRDefault="00992664" w:rsidP="00B04396">
      <w:pPr>
        <w:pStyle w:val="libNormal0"/>
        <w:rPr>
          <w:rtl/>
          <w:lang w:bidi="fa-IR"/>
        </w:rPr>
      </w:pPr>
      <w:r w:rsidRPr="00020424">
        <w:rPr>
          <w:rtl/>
          <w:lang w:bidi="fa-IR"/>
        </w:rPr>
        <w:t>مُحَم</w:t>
      </w:r>
      <w:r w:rsidRPr="00B66F8F">
        <w:rPr>
          <w:rtl/>
          <w:lang w:bidi="fa-IR"/>
        </w:rPr>
        <w:t xml:space="preserve">َّدِ بْنِ فُضَيْلٍ </w:t>
      </w:r>
      <w:r w:rsidRPr="00A91B96">
        <w:rPr>
          <w:rStyle w:val="libFootnotenumChar"/>
          <w:rtl/>
        </w:rPr>
        <w:t>(1)</w:t>
      </w:r>
      <w:r w:rsidRPr="00B66F8F">
        <w:rPr>
          <w:rtl/>
          <w:lang w:bidi="fa-IR"/>
        </w:rPr>
        <w:t xml:space="preserve"> ، عَنْ أَبِي الصَّبَّاحِ الْكِنَانِيِّ ، قَالَ :</w:t>
      </w:r>
    </w:p>
    <w:p w:rsidR="00992664" w:rsidRPr="00020424" w:rsidRDefault="00992664" w:rsidP="00992664">
      <w:pPr>
        <w:pStyle w:val="libNormal"/>
        <w:rPr>
          <w:rtl/>
          <w:lang w:bidi="fa-IR"/>
        </w:rPr>
      </w:pPr>
      <w:r w:rsidRPr="00B66F8F">
        <w:rPr>
          <w:rStyle w:val="PageNumber"/>
          <w:rtl/>
        </w:rPr>
        <w:t>سَأَلْتُ</w:t>
      </w:r>
      <w:r w:rsidRPr="00020424">
        <w:rPr>
          <w:rtl/>
          <w:lang w:bidi="fa-IR"/>
        </w:rPr>
        <w:t xml:space="preserve"> أَبَا عَبْدِ اللهِ </w:t>
      </w:r>
      <w:r w:rsidRPr="00005A81">
        <w:rPr>
          <w:rStyle w:val="libAlaemChar"/>
          <w:rtl/>
        </w:rPr>
        <w:t>عليه‌السلام</w:t>
      </w:r>
      <w:r w:rsidRPr="00020424">
        <w:rPr>
          <w:rtl/>
          <w:lang w:bidi="fa-IR"/>
        </w:rPr>
        <w:t xml:space="preserve"> عَنْ رَجُلٍ </w:t>
      </w:r>
      <w:r w:rsidRPr="00A91B96">
        <w:rPr>
          <w:rStyle w:val="libFootnotenumChar"/>
          <w:rtl/>
        </w:rPr>
        <w:t>(2)</w:t>
      </w:r>
      <w:r w:rsidRPr="00020424">
        <w:rPr>
          <w:rtl/>
          <w:lang w:bidi="fa-IR"/>
        </w:rPr>
        <w:t xml:space="preserve"> عَلَيْهِ مِنْ شَهْرِ رَمَضَانَ طَائِفَةٌ ، ثُمَّ أَدْرَكَهُ شَهْرُ رَمَضَانٍ قَابِلٌ</w:t>
      </w:r>
      <w:r>
        <w:rPr>
          <w:rtl/>
          <w:lang w:bidi="fa-IR"/>
        </w:rPr>
        <w:t>؟</w:t>
      </w:r>
    </w:p>
    <w:p w:rsidR="00992664" w:rsidRPr="00020424" w:rsidRDefault="00992664" w:rsidP="000B404B">
      <w:pPr>
        <w:pStyle w:val="libNormal"/>
        <w:rPr>
          <w:rtl/>
          <w:lang w:bidi="fa-IR"/>
        </w:rPr>
      </w:pPr>
      <w:r w:rsidRPr="00020424">
        <w:rPr>
          <w:rtl/>
          <w:lang w:bidi="fa-IR"/>
        </w:rPr>
        <w:t xml:space="preserve">قَالَ : « عَلَيْهِ أَنْ يَصُومَ </w:t>
      </w:r>
      <w:r w:rsidRPr="00A91B96">
        <w:rPr>
          <w:rStyle w:val="libFootnotenumChar"/>
          <w:rtl/>
        </w:rPr>
        <w:t>(3)</w:t>
      </w:r>
      <w:r w:rsidRPr="00020424">
        <w:rPr>
          <w:rtl/>
          <w:lang w:bidi="fa-IR"/>
        </w:rPr>
        <w:t xml:space="preserve"> ، وَأَنْ يُطْعِمَ كُلَّ </w:t>
      </w:r>
      <w:r w:rsidRPr="00A91B96">
        <w:rPr>
          <w:rStyle w:val="libFootnotenumChar"/>
          <w:rtl/>
        </w:rPr>
        <w:t>(4)</w:t>
      </w:r>
      <w:r w:rsidRPr="00020424">
        <w:rPr>
          <w:rtl/>
          <w:lang w:bidi="fa-IR"/>
        </w:rPr>
        <w:t xml:space="preserve"> يَوْمٍ مِسْكِيناً </w:t>
      </w:r>
      <w:r w:rsidRPr="00A91B96">
        <w:rPr>
          <w:rStyle w:val="libFootnotenumChar"/>
          <w:rtl/>
        </w:rPr>
        <w:t>(5)</w:t>
      </w:r>
      <w:r w:rsidRPr="00020424">
        <w:rPr>
          <w:rtl/>
          <w:lang w:bidi="fa-IR"/>
        </w:rPr>
        <w:t xml:space="preserve"> ، فَإِنْ </w:t>
      </w:r>
      <w:r w:rsidRPr="00A91B96">
        <w:rPr>
          <w:rStyle w:val="libFootnotenumChar"/>
          <w:rtl/>
        </w:rPr>
        <w:t>(6)</w:t>
      </w:r>
      <w:r w:rsidRPr="00020424">
        <w:rPr>
          <w:rtl/>
          <w:lang w:bidi="fa-IR"/>
        </w:rPr>
        <w:t xml:space="preserve"> كَانَ مَرِيضاً فِيمَا بَيْنَ ذلِكَ حَتّى أَدْرَكَهُ شَهْرُ رَمَضَانٍ قَ</w:t>
      </w:r>
      <w:r w:rsidR="00C34C57">
        <w:rPr>
          <w:rtl/>
          <w:lang w:bidi="fa-IR"/>
        </w:rPr>
        <w:t>ابِلٌ ، فَلَيْسَ عَلَيْهِ إِل</w:t>
      </w:r>
      <w:r w:rsidR="00C34C57">
        <w:rPr>
          <w:rFonts w:hint="cs"/>
          <w:rtl/>
          <w:lang w:bidi="fa-IR"/>
        </w:rPr>
        <w:t>َّ</w:t>
      </w:r>
      <w:r w:rsidR="00C34C57">
        <w:rPr>
          <w:rtl/>
          <w:lang w:bidi="fa-IR"/>
        </w:rPr>
        <w:t>ا</w:t>
      </w:r>
      <w:r w:rsidRPr="00020424">
        <w:rPr>
          <w:rtl/>
          <w:lang w:bidi="fa-IR"/>
        </w:rPr>
        <w:t xml:space="preserve"> الصِّيَامُ إِنْ صَحَّ ، وَإِنْ </w:t>
      </w:r>
      <w:r w:rsidRPr="00A91B96">
        <w:rPr>
          <w:rStyle w:val="libFootnotenumChar"/>
          <w:rtl/>
        </w:rPr>
        <w:t>(7)</w:t>
      </w:r>
      <w:r w:rsidRPr="00020424">
        <w:rPr>
          <w:rtl/>
          <w:lang w:bidi="fa-IR"/>
        </w:rPr>
        <w:t xml:space="preserve"> تَتَابَعَ الْمَرَضُ عَلَيْهِ ، فَلَمْ </w:t>
      </w:r>
      <w:r w:rsidRPr="00A91B96">
        <w:rPr>
          <w:rStyle w:val="libFootnotenumChar"/>
          <w:rtl/>
        </w:rPr>
        <w:t>(8)</w:t>
      </w:r>
      <w:r w:rsidRPr="00020424">
        <w:rPr>
          <w:rtl/>
          <w:lang w:bidi="fa-IR"/>
        </w:rPr>
        <w:t xml:space="preserve"> يَصِحَّ </w:t>
      </w:r>
      <w:r w:rsidRPr="00A91B96">
        <w:rPr>
          <w:rStyle w:val="libFootnotenumChar"/>
          <w:rtl/>
        </w:rPr>
        <w:t>(9)</w:t>
      </w:r>
      <w:r w:rsidRPr="00020424">
        <w:rPr>
          <w:rtl/>
          <w:lang w:bidi="fa-IR"/>
        </w:rPr>
        <w:t xml:space="preserve"> ، فَعَلَيْهِ أَنْ يُطْعِمَ لِكُلِّ </w:t>
      </w:r>
      <w:r w:rsidRPr="00A91B96">
        <w:rPr>
          <w:rStyle w:val="libFootnotenumChar"/>
          <w:rtl/>
        </w:rPr>
        <w:t>(10)</w:t>
      </w:r>
      <w:r w:rsidRPr="00020424">
        <w:rPr>
          <w:rtl/>
          <w:lang w:bidi="fa-IR"/>
        </w:rPr>
        <w:t xml:space="preserve"> يَوْمٍ مِسْكِيناً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بس ، جر » </w:t>
      </w:r>
      <w:r w:rsidR="00992664" w:rsidRPr="00EB1FD9">
        <w:rPr>
          <w:rStyle w:val="libFootnoteBoldChar"/>
          <w:rtl/>
        </w:rPr>
        <w:t>والوسائل</w:t>
      </w:r>
      <w:r w:rsidR="00992664" w:rsidRPr="00020424">
        <w:rPr>
          <w:rtl/>
        </w:rPr>
        <w:t xml:space="preserve"> </w:t>
      </w:r>
      <w:r w:rsidR="00992664" w:rsidRPr="00FD6221">
        <w:rPr>
          <w:rStyle w:val="libFootnoteBoldChar"/>
          <w:rtl/>
        </w:rPr>
        <w:t>والاستبصار</w:t>
      </w:r>
      <w:r w:rsidR="00992664" w:rsidRPr="00020424">
        <w:rPr>
          <w:rtl/>
        </w:rPr>
        <w:t xml:space="preserve"> : « الفضيل</w:t>
      </w:r>
      <w:r w:rsidR="00992664">
        <w:rPr>
          <w:rtl/>
        </w:rPr>
        <w:t xml:space="preserve"> ».</w:t>
      </w:r>
      <w:r w:rsidR="00992664" w:rsidRPr="00020424">
        <w:rPr>
          <w:rtl/>
        </w:rPr>
        <w:t xml:space="preserve"> وفي « ظ ، بث ، بخ ، بر ، بف ، جن » : « الفضل » ، وهو سهو ؛ فقد أكثر محمّد بن الفضيل الرواية عن أبي الصبّاح [ الكناني ] في الأسناد. راجع : </w:t>
      </w:r>
      <w:r w:rsidR="00992664" w:rsidRPr="00DE76B9">
        <w:rPr>
          <w:rStyle w:val="libFootnoteBoldChar"/>
          <w:rtl/>
        </w:rPr>
        <w:t>معجم رجال الحديث</w:t>
      </w:r>
      <w:r w:rsidR="00992664" w:rsidRPr="00020424">
        <w:rPr>
          <w:rtl/>
        </w:rPr>
        <w:t xml:space="preserve"> ، ج 17 ، ص 402</w:t>
      </w:r>
      <w:r w:rsidR="00992664">
        <w:rPr>
          <w:rtl/>
        </w:rPr>
        <w:t xml:space="preserve"> </w:t>
      </w:r>
      <w:r w:rsidR="009B673F">
        <w:rPr>
          <w:rtl/>
        </w:rPr>
        <w:t>-</w:t>
      </w:r>
      <w:r w:rsidR="00992664">
        <w:rPr>
          <w:rtl/>
        </w:rPr>
        <w:t xml:space="preserve"> </w:t>
      </w:r>
      <w:r w:rsidR="00992664" w:rsidRPr="00020424">
        <w:rPr>
          <w:rtl/>
        </w:rPr>
        <w:t>405.</w:t>
      </w:r>
    </w:p>
    <w:p w:rsidR="00992664" w:rsidRPr="00020424" w:rsidRDefault="00992664" w:rsidP="0044630C">
      <w:pPr>
        <w:pStyle w:val="libFootnote0"/>
        <w:rPr>
          <w:rtl/>
          <w:lang w:bidi="fa-IR"/>
        </w:rPr>
      </w:pPr>
      <w:r w:rsidRPr="00D82B22">
        <w:rPr>
          <w:rtl/>
        </w:rPr>
        <w:t>هذا ، وفي التهذيب : « محمّد بن إسماعيل ، عن محمّد بن الفضيل والحسين بن سعيد ، عن محمّد بن الفضيل » بدل « محمّد بن إسماعيل عن محمّد بن فضيل</w:t>
      </w:r>
      <w:r>
        <w:rPr>
          <w:rtl/>
        </w:rPr>
        <w:t xml:space="preserve"> ».</w:t>
      </w:r>
      <w:r w:rsidRPr="00D82B22">
        <w:rPr>
          <w:rtl/>
        </w:rPr>
        <w:t xml:space="preserve"> ومفاده وقوع التحويل في السند بعطف « الحسين بن سعيد ، عن محمّد بن الفضيل » على « محمّد بن إسماعيل ، عن محمّد بن الفضيل</w:t>
      </w:r>
      <w:r>
        <w:rPr>
          <w:rtl/>
        </w:rPr>
        <w:t xml:space="preserve"> ».</w:t>
      </w:r>
    </w:p>
    <w:p w:rsidR="00992664" w:rsidRPr="00020424" w:rsidRDefault="00795177" w:rsidP="0044630C">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 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فقال : إن كان صحّ فيما بين ذلك ، ثمّ لم يقضه حتّى أدركه رمضان قابل ، فإنّ عليه أن يصوم » بدل « قال : عليه أن يصوم</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فقال » بدل «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حاشية « بث » </w:t>
      </w:r>
      <w:r w:rsidR="00992664" w:rsidRPr="00515444">
        <w:rPr>
          <w:rStyle w:val="libFootnoteBoldChar"/>
          <w:rtl/>
        </w:rPr>
        <w:t>والوافي</w:t>
      </w:r>
      <w:r w:rsidR="00992664" w:rsidRPr="00020424">
        <w:rPr>
          <w:rtl/>
        </w:rPr>
        <w:t xml:space="preserve"> : « لكلّ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الاستبصار :</w:t>
      </w:r>
      <w:r w:rsidR="00992664">
        <w:rPr>
          <w:rtl/>
        </w:rPr>
        <w:t xml:space="preserve"> </w:t>
      </w:r>
      <w:r w:rsidR="009B673F">
        <w:rPr>
          <w:rtl/>
        </w:rPr>
        <w:t>-</w:t>
      </w:r>
      <w:r w:rsidR="00992664">
        <w:rPr>
          <w:rtl/>
        </w:rPr>
        <w:t xml:space="preserve"> </w:t>
      </w:r>
      <w:r w:rsidR="00992664" w:rsidRPr="00020424">
        <w:rPr>
          <w:rtl/>
        </w:rPr>
        <w:t>« عليه أن يصوم وأن يطعم كلّ يوم مسكيناً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4630C" w:rsidTr="0044630C">
        <w:tc>
          <w:tcPr>
            <w:tcW w:w="4006" w:type="dxa"/>
          </w:tcPr>
          <w:p w:rsidR="0044630C" w:rsidRDefault="0044630C"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 « وإن</w:t>
            </w:r>
            <w:r>
              <w:rPr>
                <w:rtl/>
              </w:rPr>
              <w:t xml:space="preserve"> ».</w:t>
            </w:r>
          </w:p>
        </w:tc>
        <w:tc>
          <w:tcPr>
            <w:tcW w:w="4006" w:type="dxa"/>
          </w:tcPr>
          <w:p w:rsidR="0044630C" w:rsidRDefault="0044630C" w:rsidP="00992664">
            <w:pPr>
              <w:pStyle w:val="libFootnote0"/>
              <w:rPr>
                <w:rtl/>
              </w:rPr>
            </w:pPr>
            <w:r>
              <w:rPr>
                <w:rtl/>
              </w:rPr>
              <w:t>(7). في«ظ،بخ،بر،بف</w:t>
            </w:r>
            <w:r w:rsidRPr="00020424">
              <w:rPr>
                <w:rtl/>
              </w:rPr>
              <w:t>»</w:t>
            </w:r>
            <w:r w:rsidRPr="00515444">
              <w:rPr>
                <w:rStyle w:val="libFootnoteBoldChar"/>
                <w:rtl/>
              </w:rPr>
              <w:t>والوافي</w:t>
            </w:r>
            <w:r w:rsidRPr="00020424">
              <w:rPr>
                <w:rtl/>
              </w:rPr>
              <w:t xml:space="preserve"> </w:t>
            </w:r>
            <w:r w:rsidRPr="00FD6221">
              <w:rPr>
                <w:rStyle w:val="libFootnoteBoldChar"/>
                <w:rtl/>
              </w:rPr>
              <w:t>والاستبصار</w:t>
            </w:r>
            <w:r>
              <w:rPr>
                <w:rtl/>
              </w:rPr>
              <w:t>:</w:t>
            </w:r>
            <w:r w:rsidRPr="00020424">
              <w:rPr>
                <w:rtl/>
              </w:rPr>
              <w:t>« فإن</w:t>
            </w:r>
            <w:r>
              <w:rPr>
                <w:rtl/>
              </w:rPr>
              <w:t xml:space="preserve"> ».</w:t>
            </w:r>
          </w:p>
        </w:tc>
      </w:tr>
      <w:tr w:rsidR="0044630C" w:rsidTr="0044630C">
        <w:tc>
          <w:tcPr>
            <w:tcW w:w="4006" w:type="dxa"/>
          </w:tcPr>
          <w:p w:rsidR="0044630C" w:rsidRDefault="0044630C" w:rsidP="00992664">
            <w:pPr>
              <w:pStyle w:val="libFootnote0"/>
              <w:rPr>
                <w:rtl/>
              </w:rPr>
            </w:pPr>
            <w:r>
              <w:rPr>
                <w:rtl/>
              </w:rPr>
              <w:t xml:space="preserve">(8). </w:t>
            </w:r>
            <w:r w:rsidRPr="00020424">
              <w:rPr>
                <w:rtl/>
              </w:rPr>
              <w:t>في حاشية « بث » : « ولم</w:t>
            </w:r>
            <w:r>
              <w:rPr>
                <w:rtl/>
              </w:rPr>
              <w:t xml:space="preserve"> ».</w:t>
            </w:r>
          </w:p>
        </w:tc>
        <w:tc>
          <w:tcPr>
            <w:tcW w:w="4006" w:type="dxa"/>
          </w:tcPr>
          <w:p w:rsidR="0044630C" w:rsidRDefault="0044630C"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w:t>
            </w:r>
            <w:r>
              <w:rPr>
                <w:rtl/>
              </w:rPr>
              <w:t xml:space="preserve"> - </w:t>
            </w:r>
            <w:r w:rsidRPr="00020424">
              <w:rPr>
                <w:rtl/>
              </w:rPr>
              <w:t>« فلم يصحّ</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كلّ</w:t>
      </w:r>
      <w:r w:rsidR="00992664">
        <w:rPr>
          <w:rtl/>
        </w:rPr>
        <w:t xml:space="preserve"> ».</w:t>
      </w:r>
      <w:r w:rsidR="00992664" w:rsidRPr="00020424">
        <w:rPr>
          <w:rtl/>
        </w:rPr>
        <w:t xml:space="preserve"> وفي الاستبصار : « عن كلّ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 مدّاً</w:t>
      </w:r>
      <w:r w:rsidR="00992664">
        <w:rPr>
          <w:rtl/>
        </w:rPr>
        <w:t xml:space="preserve"> ».</w:t>
      </w:r>
      <w:r w:rsidR="00992664" w:rsidRPr="00020424">
        <w:rPr>
          <w:rtl/>
        </w:rPr>
        <w:t xml:space="preserve"> وفي حاشية « بف » : + « لكلّ يوم مدّاً</w:t>
      </w:r>
      <w:r w:rsidR="00992664">
        <w:rPr>
          <w:rtl/>
        </w:rPr>
        <w:t xml:space="preserve"> ».</w:t>
      </w:r>
    </w:p>
    <w:p w:rsidR="00992664" w:rsidRPr="00020424" w:rsidRDefault="00992664" w:rsidP="00861DB5">
      <w:pPr>
        <w:pStyle w:val="libFootnote0"/>
        <w:rPr>
          <w:rtl/>
          <w:lang w:bidi="fa-IR"/>
        </w:rPr>
      </w:pPr>
      <w:r w:rsidRPr="00861DB5">
        <w:rPr>
          <w:rtl/>
        </w:rPr>
        <w:t xml:space="preserve">وقال في </w:t>
      </w:r>
      <w:r w:rsidRPr="0012008A">
        <w:rPr>
          <w:rStyle w:val="libFootnoteBoldChar"/>
          <w:rtl/>
        </w:rPr>
        <w:t>الوافي</w:t>
      </w:r>
      <w:r w:rsidRPr="00861DB5">
        <w:rPr>
          <w:rtl/>
        </w:rPr>
        <w:t xml:space="preserve"> : « والحاصل أنّ هاهنا ثلاثة احتمالات ، ولكلٍّ حكم غير حكم الآخر : أحدها عدم تمكّنه من الصيام أصلاً حتّى أدركه الشهر من قابل ، وحكمه التصدّق خاصّة دون القضاء. والثاني تمكّنه منه وتهاونه به إلى أن يفوت ، وحكمه القضاء والتصدّق معاً. والثالث تمكّنه منه وعزمه عليه مع سعة الوقت من غير تهاون حتّى أدركه مرض آخر حال بينه وبين القضاء حتّى أدركه الشهر من قابل وحكمه القضاء خاصّة دون التصدّق. وهذا الخبر مشتمل على الأحكام الثلاثة جميعاً ، وكذا الذي يتلوه </w:t>
      </w:r>
      <w:r w:rsidR="009B673F" w:rsidRPr="00861DB5">
        <w:rPr>
          <w:rtl/>
        </w:rPr>
        <w:t>-</w:t>
      </w:r>
      <w:r w:rsidRPr="00861DB5">
        <w:rPr>
          <w:rtl/>
        </w:rPr>
        <w:t xml:space="preserve"> وهو ما في </w:t>
      </w:r>
      <w:r w:rsidRPr="0012008A">
        <w:rPr>
          <w:rStyle w:val="libFootnoteBoldChar"/>
          <w:rtl/>
        </w:rPr>
        <w:t>التهذيب</w:t>
      </w:r>
      <w:r w:rsidRPr="00861DB5">
        <w:rPr>
          <w:rtl/>
        </w:rPr>
        <w:t xml:space="preserve"> ، ج 4 ، ص 251 ، ح 746 </w:t>
      </w:r>
      <w:r w:rsidR="009B673F" w:rsidRPr="00861DB5">
        <w:rPr>
          <w:rtl/>
        </w:rPr>
        <w:t>-</w:t>
      </w:r>
      <w:r w:rsidRPr="00861DB5">
        <w:rPr>
          <w:rtl/>
        </w:rPr>
        <w:t xml:space="preserve"> بخلاف سائر أخبار هذا الباب ؛ حيث اقتصر فيها على بعض دون بعض ».</w:t>
      </w:r>
    </w:p>
    <w:p w:rsidR="00992664" w:rsidRPr="00020424" w:rsidRDefault="00795177" w:rsidP="00861DB5">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4 ، ص 251 ، ح 745 ؛ </w:t>
      </w:r>
      <w:r w:rsidR="00992664" w:rsidRPr="00FD6221">
        <w:rPr>
          <w:rStyle w:val="libFootnoteBoldChar"/>
          <w:rtl/>
        </w:rPr>
        <w:t>والاستبصار</w:t>
      </w:r>
      <w:r w:rsidR="00992664" w:rsidRPr="00DE76B9">
        <w:rPr>
          <w:rStyle w:val="libFootnoteBoldChar"/>
          <w:rtl/>
        </w:rPr>
        <w:t xml:space="preserve"> </w:t>
      </w:r>
      <w:r w:rsidR="00861DB5">
        <w:rPr>
          <w:rtl/>
        </w:rPr>
        <w:t>، ج 2 ، ص 111 ، ح 363،</w:t>
      </w:r>
      <w:r w:rsidR="00992664" w:rsidRPr="00020424">
        <w:rPr>
          <w:rtl/>
        </w:rPr>
        <w:t xml:space="preserve">معلّقاً عن الكليني. </w:t>
      </w:r>
      <w:r w:rsidR="00861DB5">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21" w:name="_Toc345172856"/>
      <w:bookmarkStart w:id="422" w:name="_Toc464562673"/>
      <w:bookmarkStart w:id="423" w:name="_Toc44599977"/>
      <w:r w:rsidRPr="00020424">
        <w:rPr>
          <w:rtl/>
          <w:lang w:bidi="fa-IR"/>
        </w:rPr>
        <w:t>41</w:t>
      </w:r>
      <w:r>
        <w:rPr>
          <w:rtl/>
          <w:lang w:bidi="fa-IR"/>
        </w:rPr>
        <w:t xml:space="preserve"> </w:t>
      </w:r>
      <w:r w:rsidR="009B673F">
        <w:rPr>
          <w:rtl/>
          <w:lang w:bidi="fa-IR"/>
        </w:rPr>
        <w:t>-</w:t>
      </w:r>
      <w:r>
        <w:rPr>
          <w:rtl/>
          <w:lang w:bidi="fa-IR"/>
        </w:rPr>
        <w:t xml:space="preserve"> </w:t>
      </w:r>
      <w:r w:rsidRPr="00020424">
        <w:rPr>
          <w:rtl/>
          <w:lang w:bidi="fa-IR"/>
        </w:rPr>
        <w:t>بَابُ قَضَاءِ شَهْرِ رَمَضَانَ‌</w:t>
      </w:r>
      <w:bookmarkEnd w:id="421"/>
      <w:bookmarkEnd w:id="422"/>
      <w:bookmarkEnd w:id="423"/>
    </w:p>
    <w:p w:rsidR="00992664" w:rsidRPr="00020424" w:rsidRDefault="00992664" w:rsidP="00992664">
      <w:pPr>
        <w:pStyle w:val="libNormal"/>
        <w:rPr>
          <w:rtl/>
          <w:lang w:bidi="fa-IR"/>
        </w:rPr>
      </w:pPr>
      <w:r w:rsidRPr="00B66F8F">
        <w:rPr>
          <w:rtl/>
        </w:rPr>
        <w:t>6466</w:t>
      </w:r>
      <w:r w:rsidRPr="001155DE">
        <w:rPr>
          <w:rStyle w:val="libBold2Char"/>
          <w:rtl/>
        </w:rPr>
        <w:t xml:space="preserve"> / 1.</w:t>
      </w:r>
      <w:r w:rsidRPr="00020424">
        <w:rPr>
          <w:rtl/>
          <w:lang w:bidi="fa-IR"/>
        </w:rPr>
        <w:t xml:space="preserve"> عِدَّةٌ مِنْ أَصْحَابِنَا ، عَنْ أَحْمَدَ بْنِ مُحَمَّدٍ ، عَنْ عَلِيِّ بْنِ أَحْمَدَ بْنِ أَشْيَمَ ، عَنْ سُلَيْمَانَ بْنِ جَعْفَرٍ الْجَعْفَرِيِّ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الرَّجُلِ يَكُونُ عَلَيْهِ أَيَّامٌ مِنْ </w:t>
      </w:r>
      <w:r w:rsidRPr="00A91B96">
        <w:rPr>
          <w:rStyle w:val="libFootnotenumChar"/>
          <w:rtl/>
        </w:rPr>
        <w:t>(1)</w:t>
      </w:r>
      <w:r>
        <w:rPr>
          <w:rtl/>
          <w:lang w:bidi="fa-IR"/>
        </w:rPr>
        <w:t xml:space="preserve"> شَهْرِ رَمَضَانَ : أَ</w:t>
      </w:r>
      <w:r w:rsidRPr="00020424">
        <w:rPr>
          <w:rtl/>
          <w:lang w:bidi="fa-IR"/>
        </w:rPr>
        <w:t>يَقْضِيهَا مُتَفَرِّقَةً</w:t>
      </w:r>
      <w:r>
        <w:rPr>
          <w:rtl/>
          <w:lang w:bidi="fa-IR"/>
        </w:rPr>
        <w:t>؟</w:t>
      </w:r>
    </w:p>
    <w:p w:rsidR="00992664" w:rsidRPr="00020424" w:rsidRDefault="00992664" w:rsidP="00992664">
      <w:pPr>
        <w:pStyle w:val="libNormal"/>
        <w:rPr>
          <w:rtl/>
          <w:lang w:bidi="fa-IR"/>
        </w:rPr>
      </w:pPr>
      <w:r w:rsidRPr="00020424">
        <w:rPr>
          <w:rtl/>
          <w:lang w:bidi="fa-IR"/>
        </w:rPr>
        <w:t xml:space="preserve">قَالَ : « لَا بَأْسَ بِتَفْرِيقِ </w:t>
      </w:r>
      <w:r w:rsidRPr="00A91B96">
        <w:rPr>
          <w:rStyle w:val="libFootnotenumChar"/>
          <w:rtl/>
        </w:rPr>
        <w:t>(2)</w:t>
      </w:r>
      <w:r w:rsidRPr="00020424">
        <w:rPr>
          <w:rtl/>
          <w:lang w:bidi="fa-IR"/>
        </w:rPr>
        <w:t xml:space="preserve"> قَضَاءِ شَهْرِ رَمَضَانَ ، إِنَّمَا الصِّيَامُ الَّذِي لَايُفَرَّقُ : كَفَّارَةُ الظِّهَارِ ، وَكَفَّارَةُ الدَّمِ ، وَكَفَّارَةُ الْيَمِينِ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66F8F">
        <w:rPr>
          <w:rtl/>
        </w:rPr>
        <w:t>6467</w:t>
      </w:r>
      <w:r w:rsidRPr="001155DE">
        <w:rPr>
          <w:rStyle w:val="libBold2Char"/>
          <w:rtl/>
        </w:rPr>
        <w:t xml:space="preserve"> / 2.</w:t>
      </w:r>
      <w:r w:rsidRPr="00020424">
        <w:rPr>
          <w:rtl/>
          <w:lang w:bidi="fa-IR"/>
        </w:rPr>
        <w:t xml:space="preserve"> أَحْمَدُ بْنُ مُحَمَّدٍ </w:t>
      </w:r>
      <w:r w:rsidRPr="00A91B96">
        <w:rPr>
          <w:rStyle w:val="libFootnotenumChar"/>
          <w:rtl/>
        </w:rPr>
        <w:t>(4)</w:t>
      </w:r>
      <w:r w:rsidRPr="00020424">
        <w:rPr>
          <w:rtl/>
          <w:lang w:bidi="fa-IR"/>
        </w:rPr>
        <w:t xml:space="preserve"> ، عَنْ عُثْمَانَ بْنِ عِيسى ، عَنْ سَمَاعَةَ ، قَالَ :</w:t>
      </w:r>
    </w:p>
    <w:p w:rsidR="00992664" w:rsidRPr="00020424" w:rsidRDefault="00992664" w:rsidP="00992664">
      <w:pPr>
        <w:pStyle w:val="libNormal"/>
        <w:rPr>
          <w:rtl/>
          <w:lang w:bidi="fa-IR"/>
        </w:rPr>
      </w:pPr>
      <w:r w:rsidRPr="00020424">
        <w:rPr>
          <w:rtl/>
          <w:lang w:bidi="fa-IR"/>
        </w:rPr>
        <w:t xml:space="preserve">سَأَلْتُهُ عَمَّنْ يَقْضِي شَهْرَ رَمَضَانَ مُنْقَطِعاً </w:t>
      </w:r>
      <w:r w:rsidRPr="00A91B96">
        <w:rPr>
          <w:rStyle w:val="libFootnotenumChar"/>
          <w:rtl/>
        </w:rPr>
        <w:t>(5)</w:t>
      </w:r>
      <w:r>
        <w:rPr>
          <w:rtl/>
          <w:lang w:bidi="fa-IR"/>
        </w:rPr>
        <w:t>؟</w:t>
      </w:r>
    </w:p>
    <w:p w:rsidR="00992664" w:rsidRPr="00020424" w:rsidRDefault="00992664" w:rsidP="00992664">
      <w:pPr>
        <w:pStyle w:val="libNormal"/>
        <w:rPr>
          <w:rtl/>
          <w:lang w:bidi="fa-IR"/>
        </w:rPr>
      </w:pPr>
      <w:r w:rsidRPr="00020424">
        <w:rPr>
          <w:rtl/>
          <w:lang w:bidi="fa-IR"/>
        </w:rPr>
        <w:t>قَالَ : « إِذَا حَفِظَ أَيَّامَهُ ، فَلَا بَأْسَ</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66F8F">
        <w:rPr>
          <w:rtl/>
        </w:rPr>
        <w:t>6468</w:t>
      </w:r>
      <w:r w:rsidRPr="001155DE">
        <w:rPr>
          <w:rStyle w:val="libBold2Char"/>
          <w:rtl/>
        </w:rPr>
        <w:t xml:space="preserve"> / 3.</w:t>
      </w:r>
      <w:r w:rsidRPr="00020424">
        <w:rPr>
          <w:rtl/>
          <w:lang w:bidi="fa-IR"/>
        </w:rPr>
        <w:t xml:space="preserve"> عَلِيُّ بْنُ إِبْرَاهِيمَ ، عَنْ أَبِيهِ </w:t>
      </w:r>
      <w:r w:rsidRPr="00A91B96">
        <w:rPr>
          <w:rStyle w:val="libFootnotenumChar"/>
          <w:rtl/>
        </w:rPr>
        <w:t>(7)</w:t>
      </w:r>
      <w:r w:rsidRPr="00020424">
        <w:rPr>
          <w:rtl/>
          <w:lang w:bidi="fa-IR"/>
        </w:rPr>
        <w:t xml:space="preserve"> ، عَنْ عَبْدِ اللهِ بْنِ الْمُغِيرَةِ ،</w:t>
      </w:r>
      <w:r w:rsidR="00F139B4">
        <w:rPr>
          <w:rtl/>
          <w:lang w:bidi="fa-IR"/>
        </w:rPr>
        <w:t>عَنْ عَبْدِ اللهِ بْنِ سِنَانٍ</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AF692E" w:rsidP="00992664">
      <w:pPr>
        <w:pStyle w:val="libFootnote0"/>
        <w:rPr>
          <w:rtl/>
          <w:lang w:bidi="fa-IR"/>
        </w:rPr>
      </w:pPr>
      <w:r w:rsidRPr="00AF692E">
        <w:rPr>
          <w:rFonts w:hint="cs"/>
          <w:rtl/>
        </w:rPr>
        <w:t xml:space="preserve">= </w:t>
      </w:r>
      <w:r w:rsidR="00992664" w:rsidRPr="00DE76B9">
        <w:rPr>
          <w:rStyle w:val="libFootnoteBoldChar"/>
          <w:rtl/>
        </w:rPr>
        <w:t>تفسير العيّاشي</w:t>
      </w:r>
      <w:r w:rsidR="00992664" w:rsidRPr="00020424">
        <w:rPr>
          <w:rtl/>
        </w:rPr>
        <w:t xml:space="preserve"> ، ج 1 ، ص 79 ، ح 178 ، عن أبي بصير ، من دون الإسناد إلى المعصوم </w:t>
      </w:r>
      <w:r w:rsidR="00992664" w:rsidRPr="00D64ADA">
        <w:rPr>
          <w:rStyle w:val="libFootnoteAlaemChar"/>
          <w:rtl/>
        </w:rPr>
        <w:t>عليه‌السلام</w:t>
      </w:r>
      <w:r w:rsidR="00992664" w:rsidRPr="00020424">
        <w:rPr>
          <w:rtl/>
        </w:rPr>
        <w:t xml:space="preserve"> ، مع اختلاف وزيادة </w:t>
      </w:r>
      <w:r w:rsidR="000301F2">
        <w:rPr>
          <w:rFonts w:hint="cs"/>
          <w:rtl/>
        </w:rPr>
        <w:t>.</w:t>
      </w:r>
      <w:r w:rsidR="00992664" w:rsidRPr="0012008A">
        <w:rPr>
          <w:rStyle w:val="libFootnoteBoldChar"/>
          <w:rtl/>
        </w:rPr>
        <w:t>الوافي</w:t>
      </w:r>
      <w:r w:rsidR="00992664" w:rsidRPr="00020424">
        <w:rPr>
          <w:rtl/>
        </w:rPr>
        <w:t xml:space="preserve"> ، ج 11 ، ص 342 ، ح 10996 ؛ </w:t>
      </w:r>
      <w:r w:rsidR="00992664" w:rsidRPr="0012008A">
        <w:rPr>
          <w:rStyle w:val="libFootnoteBoldChar"/>
          <w:rtl/>
        </w:rPr>
        <w:t>الوسائل</w:t>
      </w:r>
      <w:r w:rsidR="00992664" w:rsidRPr="00020424">
        <w:rPr>
          <w:rtl/>
        </w:rPr>
        <w:t xml:space="preserve"> ، ج 10 ، ص 336 ، ح 13545.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FD6221">
        <w:rPr>
          <w:rStyle w:val="libFootnoteBoldChar"/>
          <w:rtl/>
        </w:rPr>
        <w:t>والاستبصار</w:t>
      </w:r>
      <w:r w:rsidR="00992664" w:rsidRPr="00020424">
        <w:rPr>
          <w:rtl/>
        </w:rPr>
        <w:t xml:space="preserve"> : « بتفريقه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بتفرقة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274 ، ح 830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117 ، ح 382 ، معلّقاً عن الكليني. </w:t>
      </w:r>
      <w:r w:rsidR="00992664" w:rsidRPr="0012008A">
        <w:rPr>
          <w:rStyle w:val="libFootnoteBoldChar"/>
          <w:rtl/>
        </w:rPr>
        <w:t>الفقيه</w:t>
      </w:r>
      <w:r w:rsidR="00992664" w:rsidRPr="00020424">
        <w:rPr>
          <w:rtl/>
        </w:rPr>
        <w:t xml:space="preserve"> ، ج 2 ، ص 148 ، ح 1998 ، معلّقاً عن سليمان بن جعفر الجعفري ، عن أبي الحسن الرضا </w:t>
      </w:r>
      <w:r w:rsidR="00992664" w:rsidRPr="00D64ADA">
        <w:rPr>
          <w:rStyle w:val="libFootnoteAlaemChar"/>
          <w:rtl/>
        </w:rPr>
        <w:t>عليه‌السلام</w:t>
      </w:r>
      <w:r w:rsidR="00992664" w:rsidRPr="00020424">
        <w:rPr>
          <w:rtl/>
        </w:rPr>
        <w:t xml:space="preserve"> ، مع اختلاف يسير </w:t>
      </w:r>
      <w:r w:rsidR="00992664" w:rsidRPr="0012008A">
        <w:rPr>
          <w:rStyle w:val="libFootnoteBoldChar"/>
          <w:rtl/>
        </w:rPr>
        <w:t>الوافي</w:t>
      </w:r>
      <w:r w:rsidR="00992664" w:rsidRPr="00020424">
        <w:rPr>
          <w:rtl/>
        </w:rPr>
        <w:t xml:space="preserve"> ، ج 11 ، ص 331 ، ح 10981 ؛ </w:t>
      </w:r>
      <w:r w:rsidR="00992664" w:rsidRPr="0012008A">
        <w:rPr>
          <w:rStyle w:val="libFootnoteBoldChar"/>
          <w:rtl/>
        </w:rPr>
        <w:t>الوسائل</w:t>
      </w:r>
      <w:r w:rsidR="00992664" w:rsidRPr="00020424">
        <w:rPr>
          <w:rtl/>
        </w:rPr>
        <w:t xml:space="preserve"> ، ج 10 ، ص 342 ، ذيل ح 13561 ؛ </w:t>
      </w:r>
      <w:r w:rsidR="00992664" w:rsidRPr="00DE76B9">
        <w:rPr>
          <w:rStyle w:val="libFootnoteBoldChar"/>
          <w:rtl/>
        </w:rPr>
        <w:t>وفيه</w:t>
      </w:r>
      <w:r w:rsidR="00992664" w:rsidRPr="00020424">
        <w:rPr>
          <w:rtl/>
        </w:rPr>
        <w:t xml:space="preserve"> ، ص 382 ، ح 13647 ، من قوله : « إنّما الصيام الذي لايفرّق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بح ، بر ، بف ، جن » </w:t>
      </w:r>
      <w:r w:rsidR="00992664" w:rsidRPr="00EB1FD9">
        <w:rPr>
          <w:rStyle w:val="libFootnoteBoldChar"/>
          <w:rtl/>
        </w:rPr>
        <w:t>والوسائل</w:t>
      </w:r>
      <w:r w:rsidR="00992664" w:rsidRPr="00020424">
        <w:rPr>
          <w:rtl/>
        </w:rPr>
        <w:t xml:space="preserve"> : « متقطّعاً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الجعفريّات</w:t>
      </w:r>
      <w:r w:rsidR="00992664" w:rsidRPr="00020424">
        <w:rPr>
          <w:rtl/>
        </w:rPr>
        <w:t xml:space="preserve"> ، ص 61 ، بسند آخر عن آبائه ، عن عليّ </w:t>
      </w:r>
      <w:r w:rsidR="00992664" w:rsidRPr="00D64ADA">
        <w:rPr>
          <w:rStyle w:val="libFootnoteAlaemChar"/>
          <w:rtl/>
        </w:rPr>
        <w:t>عليهم‌السلام</w:t>
      </w:r>
      <w:r w:rsidR="00992664" w:rsidRPr="00020424">
        <w:rPr>
          <w:rtl/>
        </w:rPr>
        <w:t xml:space="preserve"> ، مع اختلاف وزيادة في آخره </w:t>
      </w:r>
      <w:r w:rsidR="000301F2">
        <w:rPr>
          <w:rFonts w:hint="cs"/>
          <w:rtl/>
        </w:rPr>
        <w:t>.</w:t>
      </w:r>
      <w:r w:rsidR="00992664" w:rsidRPr="0012008A">
        <w:rPr>
          <w:rStyle w:val="libFootnoteBoldChar"/>
          <w:rtl/>
        </w:rPr>
        <w:t>الوافي</w:t>
      </w:r>
      <w:r w:rsidR="00992664" w:rsidRPr="00020424">
        <w:rPr>
          <w:rtl/>
        </w:rPr>
        <w:t xml:space="preserve"> ، ج 11 ، ص 331 ، ح 10982 ؛ </w:t>
      </w:r>
      <w:r w:rsidR="00992664" w:rsidRPr="0012008A">
        <w:rPr>
          <w:rStyle w:val="libFootnoteBoldChar"/>
          <w:rtl/>
        </w:rPr>
        <w:t>الوسائل</w:t>
      </w:r>
      <w:r w:rsidR="00992664" w:rsidRPr="00020424">
        <w:rPr>
          <w:rtl/>
        </w:rPr>
        <w:t xml:space="preserve"> ، ج 10 ، ص 340 ، ح 13555.</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ى ، بث ، بح ، بخ ، بر ، بس ، بف » والمطبوع </w:t>
      </w:r>
      <w:r w:rsidR="00992664" w:rsidRPr="00EB1FD9">
        <w:rPr>
          <w:rStyle w:val="libFootnoteBoldChar"/>
          <w:rtl/>
        </w:rPr>
        <w:t>والوسائل</w:t>
      </w:r>
      <w:r w:rsidR="00992664" w:rsidRPr="00020424">
        <w:rPr>
          <w:rtl/>
        </w:rPr>
        <w:t xml:space="preserve"> : + « عن ابن أبي عمير ، </w:t>
      </w:r>
      <w:r w:rsidR="000301F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أَفْطَرَ شَيْئاً مِنْ شَهْرِ رَمَضَانَ فِي عُذْرٍ ، فَإِنْ قَضَاهُ مُتَتَابِعاً </w:t>
      </w:r>
      <w:r w:rsidRPr="00A91B96">
        <w:rPr>
          <w:rStyle w:val="libFootnotenumChar"/>
          <w:rtl/>
        </w:rPr>
        <w:t>(1)</w:t>
      </w:r>
      <w:r w:rsidRPr="00020424">
        <w:rPr>
          <w:rtl/>
          <w:lang w:bidi="fa-IR"/>
        </w:rPr>
        <w:t xml:space="preserve"> أَفْضَلُ ، وَإِنْ قَضَاهُ مُتَفَرِّقاً فَحَسَنٌ لَابَأْسَ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66F8F">
        <w:rPr>
          <w:rtl/>
        </w:rPr>
        <w:t>6469</w:t>
      </w:r>
      <w:r w:rsidRPr="001155DE">
        <w:rPr>
          <w:rStyle w:val="libBold2Char"/>
          <w:rtl/>
        </w:rPr>
        <w:t xml:space="preserve"> / 4.</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كَانَ عَلَى الرَّجُلِ شَيْ‌ءٌ مِنْ صَوْمِ شَهْرِ رَمَضَانَ ، فَلْيَقْضِهِ فِي أَيِّ شَهْرٍ شَاءَ أَيَّاماً مُتَتَابِعَةً ، فَإِنْ لَمْ يَسْتَطِعْ ، فَلْيَقْضِهِ كَيْفَ شَاءَ ، وَلْيُحْصِ </w:t>
      </w:r>
      <w:r w:rsidRPr="00A91B96">
        <w:rPr>
          <w:rStyle w:val="libFootnotenumChar"/>
          <w:rtl/>
        </w:rPr>
        <w:t>(4)</w:t>
      </w:r>
      <w:r w:rsidRPr="00020424">
        <w:rPr>
          <w:rtl/>
          <w:lang w:bidi="fa-IR"/>
        </w:rPr>
        <w:t xml:space="preserve"> الْأَيَّامَ ، فَإِنْ فَرَّقَ فَحَسَنٌ ، وَإِنْ تَابَعَ فَحَسَنٌ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9F5D88" w:rsidP="00992664">
      <w:pPr>
        <w:pStyle w:val="libFootnote0"/>
        <w:rPr>
          <w:rtl/>
          <w:lang w:bidi="fa-IR"/>
        </w:rPr>
      </w:pPr>
      <w:r>
        <w:rPr>
          <w:rFonts w:hint="cs"/>
          <w:rtl/>
        </w:rPr>
        <w:t xml:space="preserve">= </w:t>
      </w:r>
      <w:r w:rsidR="00992664" w:rsidRPr="00020424">
        <w:rPr>
          <w:rtl/>
        </w:rPr>
        <w:t>عن حمّاد ، عن الحلبي</w:t>
      </w:r>
      <w:r w:rsidR="00992664">
        <w:rPr>
          <w:rtl/>
        </w:rPr>
        <w:t xml:space="preserve"> ».</w:t>
      </w:r>
    </w:p>
    <w:p w:rsidR="00992664" w:rsidRPr="00020424" w:rsidRDefault="00992664" w:rsidP="002E04ED">
      <w:pPr>
        <w:pStyle w:val="libFootnote0"/>
        <w:rPr>
          <w:rtl/>
          <w:lang w:bidi="fa-IR"/>
        </w:rPr>
      </w:pPr>
      <w:r w:rsidRPr="00D82B22">
        <w:rPr>
          <w:rtl/>
        </w:rPr>
        <w:t>وما أثبتناه هو الصواب ؛ فقد تكرّرت رواية عليّ بن إبراهيم ، عن أبيه ، عن عبد الله بن المغيرة ، عن عبد الله بن سنان. منها ما تقدّم في نفس المجلّد ، ح 6430 و6449.</w:t>
      </w:r>
    </w:p>
    <w:p w:rsidR="00992664" w:rsidRPr="00020424" w:rsidRDefault="00992664" w:rsidP="002E04ED">
      <w:pPr>
        <w:pStyle w:val="libFootnote0"/>
        <w:rPr>
          <w:rtl/>
          <w:lang w:bidi="fa-IR"/>
        </w:rPr>
      </w:pPr>
      <w:r w:rsidRPr="002E04ED">
        <w:rPr>
          <w:rtl/>
        </w:rPr>
        <w:t xml:space="preserve">وأمّا احتمال وقوع التحويل في السند بأن كان الأصل فيه مثلاً : « عليّ بن إبراهيم عن أبيه عن ابن أبي عمير عن حمّاد عن الحلبي ، وعبد الله بن المغيرة عن عبد الله بن سنان عن أبي عبد الله </w:t>
      </w:r>
      <w:r w:rsidRPr="00D64ADA">
        <w:rPr>
          <w:rStyle w:val="libFootnoteAlaemChar"/>
          <w:rtl/>
        </w:rPr>
        <w:t>عليه‌السلام</w:t>
      </w:r>
      <w:r w:rsidRPr="002E04ED">
        <w:rPr>
          <w:rtl/>
        </w:rPr>
        <w:t xml:space="preserve"> » ، فهو ضعيف ، بل لعلّه منفيّ رأساً ؛ فإنّه لم يعهد التحويل في أسناد عليّ بن إبراهيم عن أبيه عن عبد الله بن المغيرة في موردٍ.</w:t>
      </w:r>
    </w:p>
    <w:p w:rsidR="00992664" w:rsidRDefault="00992664" w:rsidP="002E04ED">
      <w:pPr>
        <w:pStyle w:val="libFootnote0"/>
        <w:rPr>
          <w:rtl/>
        </w:rPr>
      </w:pPr>
      <w:r w:rsidRPr="002E04ED">
        <w:rPr>
          <w:rtl/>
        </w:rPr>
        <w:t xml:space="preserve">ويؤيّد ذلك ما أفاده في </w:t>
      </w:r>
      <w:r w:rsidRPr="00DE76B9">
        <w:rPr>
          <w:rStyle w:val="libFootnoteBoldChar"/>
          <w:rtl/>
        </w:rPr>
        <w:t>منتقى الجمان</w:t>
      </w:r>
      <w:r w:rsidRPr="002E04ED">
        <w:rPr>
          <w:rtl/>
        </w:rPr>
        <w:t xml:space="preserve"> ، ج 2 ، ص 542 حول السند ؛ حيث قال : « اتّفق في الطريق غلط واضح في جميع ما عندي من نسخ </w:t>
      </w:r>
      <w:r w:rsidRPr="00DE76B9">
        <w:rPr>
          <w:rStyle w:val="libFootnoteBoldChar"/>
          <w:rtl/>
        </w:rPr>
        <w:t>الكافي</w:t>
      </w:r>
      <w:r w:rsidRPr="002E04ED">
        <w:rPr>
          <w:rtl/>
        </w:rPr>
        <w:t xml:space="preserve"> ، والذي يقوى في خاطري أنّ ما بين قوله : « عن أبيه » وقوله : « عن عبد الله بن المغيرة » مزيد سهواً من الطريق الآخر ». والظاهر أنّ المراد من قوله : « الطريق الآخر » ، هو سند الحديث الرابع.</w:t>
      </w:r>
    </w:p>
    <w:p w:rsidR="00992664" w:rsidRPr="00020424" w:rsidRDefault="00795177" w:rsidP="002E04ED">
      <w:pPr>
        <w:pStyle w:val="libFootnote0"/>
        <w:rPr>
          <w:rtl/>
          <w:lang w:bidi="fa-IR"/>
        </w:rPr>
      </w:pPr>
      <w:r>
        <w:rPr>
          <w:rtl/>
        </w:rPr>
        <w:t>(1).</w:t>
      </w:r>
      <w:r w:rsidR="0014403D">
        <w:rPr>
          <w:rtl/>
        </w:rPr>
        <w:t xml:space="preserve"> </w:t>
      </w:r>
      <w:r w:rsidR="00992664" w:rsidRPr="00020424">
        <w:rPr>
          <w:rtl/>
        </w:rPr>
        <w:t xml:space="preserve">في </w:t>
      </w:r>
      <w:r w:rsidR="00992664" w:rsidRPr="002E04ED">
        <w:rPr>
          <w:rtl/>
        </w:rPr>
        <w:t>الوافي والوسائل والتهذيب</w:t>
      </w:r>
      <w:r w:rsidR="00992664" w:rsidRPr="00020424">
        <w:rPr>
          <w:rtl/>
        </w:rPr>
        <w:t xml:space="preserve"> : + « فهو</w:t>
      </w:r>
      <w:r w:rsidR="00992664">
        <w:rPr>
          <w:rtl/>
        </w:rPr>
        <w:t xml:space="preserve"> ».</w:t>
      </w:r>
      <w:r w:rsidR="00992664" w:rsidRPr="00020424">
        <w:rPr>
          <w:rtl/>
        </w:rPr>
        <w:t xml:space="preserve"> وفي الاستبصار : + « كان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وحاشية « بح » : « فلا بأس</w:t>
      </w:r>
      <w:r w:rsidR="00992664">
        <w:rPr>
          <w:rtl/>
        </w:rPr>
        <w:t xml:space="preserve"> ».</w:t>
      </w:r>
      <w:r w:rsidR="00992664" w:rsidRPr="00020424">
        <w:rPr>
          <w:rtl/>
        </w:rPr>
        <w:t xml:space="preserve"> وفي « بس » : + «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274 ، ح 829 ؛ </w:t>
      </w:r>
      <w:r w:rsidR="00992664" w:rsidRPr="00FD6221">
        <w:rPr>
          <w:rStyle w:val="libFootnoteBoldChar"/>
          <w:rtl/>
        </w:rPr>
        <w:t>والاستبصار</w:t>
      </w:r>
      <w:r w:rsidR="00992664" w:rsidRPr="00020424">
        <w:rPr>
          <w:rtl/>
        </w:rPr>
        <w:t xml:space="preserve"> ، ج 2 ، ص 117 ، ح 381 ، بسندهما عن حمّاد ، عن عبدالله بن المغيرة ، عن ابن سنان ، عن أبي عبدالله </w:t>
      </w:r>
      <w:r w:rsidR="00992664" w:rsidRPr="00D64ADA">
        <w:rPr>
          <w:rStyle w:val="libFootnoteAlaemChar"/>
          <w:rtl/>
        </w:rPr>
        <w:t>عليه‌السلام</w:t>
      </w:r>
      <w:r w:rsidR="00992664" w:rsidRPr="00020424">
        <w:rPr>
          <w:rtl/>
        </w:rPr>
        <w:t xml:space="preserve">. </w:t>
      </w:r>
      <w:r w:rsidR="00992664" w:rsidRPr="00A722B1">
        <w:rPr>
          <w:rStyle w:val="libFootnoteBoldChar"/>
          <w:rtl/>
        </w:rPr>
        <w:t>الخصال</w:t>
      </w:r>
      <w:r w:rsidR="00992664" w:rsidRPr="00020424">
        <w:rPr>
          <w:rtl/>
        </w:rPr>
        <w:t xml:space="preserve"> ، ص 606 ، أبواب الثمانين ومافوقه ، ضمن الحديث الطويل 9 ، بسند آخر.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وفيهما مع اختلاف يسير </w:t>
      </w:r>
      <w:r w:rsidR="002E04ED">
        <w:rPr>
          <w:rFonts w:hint="cs"/>
          <w:rtl/>
        </w:rPr>
        <w:t>.</w:t>
      </w:r>
      <w:r w:rsidR="00992664" w:rsidRPr="0012008A">
        <w:rPr>
          <w:rStyle w:val="libFootnoteBoldChar"/>
          <w:rtl/>
        </w:rPr>
        <w:t>الوافي</w:t>
      </w:r>
      <w:r w:rsidR="00992664" w:rsidRPr="00020424">
        <w:rPr>
          <w:rtl/>
        </w:rPr>
        <w:t xml:space="preserve"> ، ج 11 ، ص 331 ، ح 10983 ؛ </w:t>
      </w:r>
      <w:r w:rsidR="00992664" w:rsidRPr="0012008A">
        <w:rPr>
          <w:rStyle w:val="libFootnoteBoldChar"/>
          <w:rtl/>
        </w:rPr>
        <w:t>الوسائل</w:t>
      </w:r>
      <w:r w:rsidR="00992664" w:rsidRPr="00020424">
        <w:rPr>
          <w:rtl/>
        </w:rPr>
        <w:t xml:space="preserve"> ، ج 10 ، ص 340 ، ح 13557.</w:t>
      </w:r>
    </w:p>
    <w:p w:rsidR="00992664" w:rsidRPr="00020424" w:rsidRDefault="00795177" w:rsidP="00710123">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FD6221">
        <w:rPr>
          <w:rStyle w:val="libFootnoteBoldChar"/>
          <w:rtl/>
        </w:rPr>
        <w:t>والاستبصار</w:t>
      </w:r>
      <w:r w:rsidR="00992664" w:rsidRPr="00020424">
        <w:rPr>
          <w:rtl/>
        </w:rPr>
        <w:t xml:space="preserve"> : « وليخصّ</w:t>
      </w:r>
      <w:r w:rsidR="00992664">
        <w:rPr>
          <w:rtl/>
        </w:rPr>
        <w:t xml:space="preserve"> ».</w:t>
      </w:r>
      <w:r w:rsidR="00992664" w:rsidRPr="00020424">
        <w:rPr>
          <w:rtl/>
        </w:rPr>
        <w:t xml:space="preserve"> وفي‌المطبوع : « وليمحّص</w:t>
      </w:r>
      <w:r w:rsidR="00992664">
        <w:rPr>
          <w:rtl/>
        </w:rPr>
        <w:t xml:space="preserve"> ».</w:t>
      </w:r>
      <w:r w:rsidR="00710123">
        <w:rPr>
          <w:rFonts w:hint="cs"/>
          <w:rtl/>
        </w:rPr>
        <w:t xml:space="preserve">                                        </w:t>
      </w:r>
      <w:r>
        <w:rPr>
          <w:rtl/>
        </w:rPr>
        <w:t>(5).</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وإن تابع فحسن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274 ، ح 828 ؛ </w:t>
      </w:r>
      <w:r w:rsidR="00992664" w:rsidRPr="00FD6221">
        <w:rPr>
          <w:rStyle w:val="libFootnoteBoldChar"/>
          <w:rtl/>
        </w:rPr>
        <w:t>والاستبصار</w:t>
      </w:r>
      <w:r w:rsidR="00992664" w:rsidRPr="00020424">
        <w:rPr>
          <w:rtl/>
        </w:rPr>
        <w:t xml:space="preserve"> ، ج 2 ، ص 117 ، ح 380 ، بسندهما عن محمّد بن أبي عمير ، مع زيادة في آخره. </w:t>
      </w:r>
      <w:r w:rsidR="00992664" w:rsidRPr="0012008A">
        <w:rPr>
          <w:rStyle w:val="libFootnoteBoldChar"/>
          <w:rtl/>
        </w:rPr>
        <w:t>الفقيه</w:t>
      </w:r>
      <w:r w:rsidR="00992664" w:rsidRPr="00020424">
        <w:rPr>
          <w:rtl/>
        </w:rPr>
        <w:t xml:space="preserve"> ، ج 2 ، ص 148 ، ح 1997 ، معلّقاً عن الحلبيّ </w:t>
      </w:r>
      <w:r w:rsidR="00B30B31">
        <w:rPr>
          <w:rFonts w:hint="cs"/>
          <w:rtl/>
        </w:rPr>
        <w:t>.</w:t>
      </w:r>
      <w:r w:rsidR="00992664" w:rsidRPr="0012008A">
        <w:rPr>
          <w:rStyle w:val="libFootnoteBoldChar"/>
          <w:rtl/>
        </w:rPr>
        <w:t>الوافي</w:t>
      </w:r>
      <w:r w:rsidR="00992664" w:rsidRPr="00020424">
        <w:rPr>
          <w:rtl/>
        </w:rPr>
        <w:t xml:space="preserve"> ، ج 11 ، ص 332 ، ح 10984 ؛ </w:t>
      </w:r>
      <w:r w:rsidR="00992664" w:rsidRPr="0012008A">
        <w:rPr>
          <w:rStyle w:val="libFootnoteBoldChar"/>
          <w:rtl/>
        </w:rPr>
        <w:t>الوسائل</w:t>
      </w:r>
      <w:r w:rsidR="00992664" w:rsidRPr="00020424">
        <w:rPr>
          <w:rtl/>
        </w:rPr>
        <w:t xml:space="preserve"> ، ج 10 ، ص 341 ، ذيل ح 13558.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40848">
        <w:rPr>
          <w:rtl/>
        </w:rPr>
        <w:t>6470</w:t>
      </w:r>
      <w:r w:rsidRPr="001155DE">
        <w:rPr>
          <w:rStyle w:val="libBold2Char"/>
          <w:rtl/>
        </w:rPr>
        <w:t xml:space="preserve"> / 5.</w:t>
      </w:r>
      <w:r w:rsidRPr="00020424">
        <w:rPr>
          <w:rtl/>
          <w:lang w:bidi="fa-IR"/>
        </w:rPr>
        <w:t xml:space="preserve"> حُمَيْدُ بْنُ زِيَادٍ ، عَنِ ابْنِ سَمَاعَةَ ، عَنْ غَيْرِ وَاحِدٍ </w:t>
      </w:r>
      <w:r w:rsidRPr="00A91B96">
        <w:rPr>
          <w:rStyle w:val="libFootnotenumChar"/>
          <w:rtl/>
        </w:rPr>
        <w:t>(1)</w:t>
      </w:r>
      <w:r w:rsidRPr="00020424">
        <w:rPr>
          <w:rtl/>
          <w:lang w:bidi="fa-IR"/>
        </w:rPr>
        <w:t xml:space="preserve"> ، عَنْ أَبَانٍ </w:t>
      </w:r>
      <w:r w:rsidRPr="00A91B96">
        <w:rPr>
          <w:rStyle w:val="libFootnotenumChar"/>
          <w:rtl/>
        </w:rPr>
        <w:t>(2)</w:t>
      </w:r>
      <w:r w:rsidRPr="00020424">
        <w:rPr>
          <w:rtl/>
          <w:lang w:bidi="fa-IR"/>
        </w:rPr>
        <w:t xml:space="preserve"> ، عَنْ عَبْدِ الرَّحْمنِ بْنِ أَبِي عَبْدِ اللهِ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قَضَاءِ شَهْرِ رَمَضَانَ فِي ذِي الْحِجَّةِ وَأَقْطَعُهُ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 xml:space="preserve">قَالَ : « اقْضِهِ فِي ذِي الْحِجَّةِ ، وَاقْطَعْهُ إِنْ شِئْتَ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D40848">
        <w:rPr>
          <w:rtl/>
        </w:rPr>
        <w:t>6471</w:t>
      </w:r>
      <w:r w:rsidRPr="001155DE">
        <w:rPr>
          <w:rStyle w:val="libBold2Char"/>
          <w:rtl/>
        </w:rPr>
        <w:t xml:space="preserve"> / 6.</w:t>
      </w:r>
      <w:r w:rsidRPr="00020424">
        <w:rPr>
          <w:rtl/>
          <w:lang w:bidi="fa-IR"/>
        </w:rPr>
        <w:t xml:space="preserve"> مُحَمَّدُ بْنُ يَحْيى ، عَنْ مُحَمَّدِ بْنِ الْحُسَيْنِ ، عَنْ مُحَمَّدِ بْنِ عَبْدِ اللهِ بْنِ هِلَالٍ ، عَنْ عُقْبَةَ بْنِ خَالِدٍ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مَرِضَ فِي شَهْرِ رَمَضَانَ ، فَلَمَّا بَرَأَ أَرَادَ الْحَجَّ ، كَيْفَ يَصْنَعُ بِقَضَاءِ الصَّوْمِ</w:t>
      </w:r>
      <w:r>
        <w:rPr>
          <w:rtl/>
          <w:lang w:bidi="fa-IR"/>
        </w:rPr>
        <w:t>؟</w:t>
      </w:r>
    </w:p>
    <w:p w:rsidR="00992664" w:rsidRPr="00020424" w:rsidRDefault="00992664" w:rsidP="00992664">
      <w:pPr>
        <w:pStyle w:val="libNormal"/>
        <w:rPr>
          <w:rtl/>
          <w:lang w:bidi="fa-IR"/>
        </w:rPr>
      </w:pPr>
      <w:r w:rsidRPr="00020424">
        <w:rPr>
          <w:rtl/>
          <w:lang w:bidi="fa-IR"/>
        </w:rPr>
        <w:t xml:space="preserve">قَالَ : « إِذَا رَجَعَ فَلْيَصُمْهُ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30B31" w:rsidTr="00B30B31">
        <w:tc>
          <w:tcPr>
            <w:tcW w:w="4006" w:type="dxa"/>
          </w:tcPr>
          <w:p w:rsidR="00B30B31" w:rsidRDefault="00B30B31" w:rsidP="00992664">
            <w:pPr>
              <w:pStyle w:val="libFootnote0"/>
              <w:rPr>
                <w:rtl/>
              </w:rPr>
            </w:pPr>
            <w:r>
              <w:rPr>
                <w:rtl/>
              </w:rPr>
              <w:t xml:space="preserve">(1). </w:t>
            </w:r>
            <w:r w:rsidRPr="00020424">
              <w:rPr>
                <w:rtl/>
              </w:rPr>
              <w:t>في « جر » : + « من أصحابه</w:t>
            </w:r>
            <w:r>
              <w:rPr>
                <w:rtl/>
              </w:rPr>
              <w:t xml:space="preserve"> ».</w:t>
            </w:r>
          </w:p>
        </w:tc>
        <w:tc>
          <w:tcPr>
            <w:tcW w:w="4006" w:type="dxa"/>
          </w:tcPr>
          <w:p w:rsidR="00B30B31" w:rsidRDefault="00B30B31" w:rsidP="00992664">
            <w:pPr>
              <w:pStyle w:val="libFootnote0"/>
              <w:rPr>
                <w:rtl/>
              </w:rPr>
            </w:pPr>
            <w:r>
              <w:rPr>
                <w:rtl/>
              </w:rPr>
              <w:t xml:space="preserve">(2). </w:t>
            </w:r>
            <w:r w:rsidRPr="00020424">
              <w:rPr>
                <w:rtl/>
              </w:rPr>
              <w:t>في « ظ » : + « بن عثمان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وفي المطبوع : « [ أ ] و [ أ ] قطعه » مع الهمزة للاستفهام. وفي </w:t>
      </w:r>
      <w:r w:rsidR="00992664" w:rsidRPr="0012008A">
        <w:rPr>
          <w:rStyle w:val="libFootnoteBoldChar"/>
          <w:rtl/>
        </w:rPr>
        <w:t>الوافي</w:t>
      </w:r>
      <w:r w:rsidR="00992664" w:rsidRPr="00020424">
        <w:rPr>
          <w:rtl/>
        </w:rPr>
        <w:t xml:space="preserve"> : « وقطعه</w:t>
      </w:r>
      <w:r w:rsidR="00992664">
        <w:rPr>
          <w:rtl/>
        </w:rPr>
        <w:t xml:space="preserve"> ».</w:t>
      </w:r>
      <w:r w:rsidR="00992664" w:rsidRPr="00020424">
        <w:rPr>
          <w:rtl/>
        </w:rPr>
        <w:t xml:space="preserve"> وقال فيه : « يعني بالقطع التفريق. وفي بعض النسخ : واقطعه ، مكان : وقطعه. وفي بعضها : أو أقطعه بفتح الواو بين الهمزتين ، وكأنّه أراد قطعه بالعيد وأيّام التشريق</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 « إن نسيت</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إن شئت ، الشرط متعلّق بالأمرين ، لا بخصوص القطع مع احتماله ، فيكون المراد القطع بغير العيد. ثمّ إنّ الخبر يدلّ على عدم مرجوحيّة القضاء في عشر ذي الحجّة ، كما هو المشهور بين الأصحاب ، وروى الشيخ في </w:t>
      </w:r>
      <w:r w:rsidR="00992664" w:rsidRPr="0012008A">
        <w:rPr>
          <w:rStyle w:val="libFootnoteBoldChar"/>
          <w:rtl/>
        </w:rPr>
        <w:t>التهذيب</w:t>
      </w:r>
      <w:r w:rsidR="00992664" w:rsidRPr="00020424">
        <w:rPr>
          <w:rtl/>
        </w:rPr>
        <w:t xml:space="preserve"> بسند موثّق عن غياث بن إبراهيم عن أبي عبد الله </w:t>
      </w:r>
      <w:r w:rsidR="00992664" w:rsidRPr="00D64ADA">
        <w:rPr>
          <w:rStyle w:val="libFootnoteAlaemChar"/>
          <w:rtl/>
        </w:rPr>
        <w:t>عليه‌السلام</w:t>
      </w:r>
      <w:r w:rsidR="00992664" w:rsidRPr="00020424">
        <w:rPr>
          <w:rtl/>
        </w:rPr>
        <w:t xml:space="preserve"> المنع منه ، وحمله الشيخ على ما إذا كان مسافراً ، ولعلّه محمول على التقيّة ؛ لأنّ بعض العامّة يمنعون من ذلك ؛ لفوات التتابع الذي يقولون بلزومه ، وقال الشهيد في </w:t>
      </w:r>
      <w:r w:rsidR="00992664" w:rsidRPr="00DE76B9">
        <w:rPr>
          <w:rStyle w:val="libFootnoteBoldChar"/>
          <w:rtl/>
        </w:rPr>
        <w:t>الدروس</w:t>
      </w:r>
      <w:r w:rsidR="00992664" w:rsidRPr="00020424">
        <w:rPr>
          <w:rtl/>
        </w:rPr>
        <w:t xml:space="preserve"> : لا يكره القضاء في عشر ذي الحجّة ، والرواية عن عليّ </w:t>
      </w:r>
      <w:r w:rsidR="00992664" w:rsidRPr="00D64ADA">
        <w:rPr>
          <w:rStyle w:val="libFootnoteAlaemChar"/>
          <w:rtl/>
        </w:rPr>
        <w:t>عليه‌السلام</w:t>
      </w:r>
      <w:r w:rsidR="00992664" w:rsidRPr="00020424">
        <w:rPr>
          <w:rtl/>
        </w:rPr>
        <w:t xml:space="preserve"> بالنهي عنه مدخولة</w:t>
      </w:r>
      <w:r w:rsidR="00992664">
        <w:rPr>
          <w:rtl/>
        </w:rPr>
        <w:t xml:space="preserve"> ».</w:t>
      </w:r>
      <w:r w:rsidR="00992664" w:rsidRPr="00020424">
        <w:rPr>
          <w:rtl/>
        </w:rPr>
        <w:t xml:space="preserve"> راجع : </w:t>
      </w:r>
      <w:r w:rsidR="00992664" w:rsidRPr="00DE76B9">
        <w:rPr>
          <w:rStyle w:val="libFootnoteBoldChar"/>
          <w:rtl/>
        </w:rPr>
        <w:t>الدروس الشرعيّة</w:t>
      </w:r>
      <w:r w:rsidR="00992664" w:rsidRPr="00020424">
        <w:rPr>
          <w:rtl/>
        </w:rPr>
        <w:t xml:space="preserve"> ، ج 1 ، ص 287 ، الدرس 76.</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275 ، ح 832 ؛ </w:t>
      </w:r>
      <w:r w:rsidR="00992664" w:rsidRPr="00FD6221">
        <w:rPr>
          <w:rStyle w:val="libFootnoteBoldChar"/>
          <w:rtl/>
        </w:rPr>
        <w:t>والاستبصار</w:t>
      </w:r>
      <w:r w:rsidR="00992664" w:rsidRPr="00020424">
        <w:rPr>
          <w:rtl/>
        </w:rPr>
        <w:t xml:space="preserve"> ، ج 2 ، ص 119 ، ح 386 ، بسندهما عن أبان بن عثمان ، عن عبدالرحمن بن أبي عبدالله. </w:t>
      </w:r>
      <w:r w:rsidR="00992664" w:rsidRPr="0012008A">
        <w:rPr>
          <w:rStyle w:val="libFootnoteBoldChar"/>
          <w:rtl/>
        </w:rPr>
        <w:t>الفقيه</w:t>
      </w:r>
      <w:r w:rsidR="00992664" w:rsidRPr="00020424">
        <w:rPr>
          <w:rtl/>
        </w:rPr>
        <w:t xml:space="preserve"> ، ج 2 ، ص 147 ، ح 1996 ، معلّقاً عن عبدالرحمن بن أبي عبدالله </w:t>
      </w:r>
      <w:r w:rsidR="00AB4D05">
        <w:rPr>
          <w:rFonts w:hint="cs"/>
          <w:rtl/>
        </w:rPr>
        <w:t>.</w:t>
      </w:r>
      <w:r w:rsidR="00992664" w:rsidRPr="0012008A">
        <w:rPr>
          <w:rStyle w:val="libFootnoteBoldChar"/>
          <w:rtl/>
        </w:rPr>
        <w:t>الوافي</w:t>
      </w:r>
      <w:r w:rsidR="00992664" w:rsidRPr="00020424">
        <w:rPr>
          <w:rtl/>
        </w:rPr>
        <w:t xml:space="preserve"> ، ج 11 ، ص 333 ، ح 10985 ؛ </w:t>
      </w:r>
      <w:r w:rsidR="00992664" w:rsidRPr="0012008A">
        <w:rPr>
          <w:rStyle w:val="libFootnoteBoldChar"/>
          <w:rtl/>
        </w:rPr>
        <w:t>الوسائل</w:t>
      </w:r>
      <w:r w:rsidR="00992664" w:rsidRPr="00020424">
        <w:rPr>
          <w:rtl/>
        </w:rPr>
        <w:t xml:space="preserve"> ، ج 10 ، ص 344 ، ذيل ح 13567.</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w:t>
      </w:r>
      <w:r w:rsidR="00992664" w:rsidRPr="00AB4D05">
        <w:rPr>
          <w:rtl/>
        </w:rPr>
        <w:t>والوافي والتهذيب والاستبصار : « فليق</w:t>
      </w:r>
      <w:r w:rsidR="00992664" w:rsidRPr="00020424">
        <w:rPr>
          <w:rtl/>
        </w:rPr>
        <w:t>ضه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276 ، ح 834 ؛ </w:t>
      </w:r>
      <w:r w:rsidR="00992664" w:rsidRPr="00FD6221">
        <w:rPr>
          <w:rStyle w:val="libFootnoteBoldChar"/>
          <w:rtl/>
        </w:rPr>
        <w:t>والاستبصار</w:t>
      </w:r>
      <w:r w:rsidR="00992664" w:rsidRPr="00020424">
        <w:rPr>
          <w:rtl/>
        </w:rPr>
        <w:t xml:space="preserve"> ، ج 2 ، ص 120 ، ح 388 ، معلّقاً عن الكليني. </w:t>
      </w:r>
      <w:r w:rsidR="00992664" w:rsidRPr="0012008A">
        <w:rPr>
          <w:rStyle w:val="libFootnoteBoldChar"/>
          <w:rtl/>
        </w:rPr>
        <w:t>الفقيه</w:t>
      </w:r>
      <w:r w:rsidR="00992664" w:rsidRPr="00020424">
        <w:rPr>
          <w:rtl/>
        </w:rPr>
        <w:t xml:space="preserve"> ، ج 2 ، ص 147 ، ح 1995 ، معلّقاً عن عقبة بن خالد </w:t>
      </w:r>
      <w:r w:rsidR="00FE5527">
        <w:rPr>
          <w:rFonts w:hint="cs"/>
          <w:rtl/>
        </w:rPr>
        <w:t>.</w:t>
      </w:r>
      <w:r w:rsidR="00992664" w:rsidRPr="0012008A">
        <w:rPr>
          <w:rStyle w:val="libFootnoteBoldChar"/>
          <w:rtl/>
        </w:rPr>
        <w:t>الوافي</w:t>
      </w:r>
      <w:r w:rsidR="00992664" w:rsidRPr="00020424">
        <w:rPr>
          <w:rtl/>
        </w:rPr>
        <w:t xml:space="preserve"> ، ج 11 ، ص 333 ، ح 10986 ؛ </w:t>
      </w:r>
      <w:r w:rsidR="00992664" w:rsidRPr="0012008A">
        <w:rPr>
          <w:rStyle w:val="libFootnoteBoldChar"/>
          <w:rtl/>
        </w:rPr>
        <w:t>الوسائل</w:t>
      </w:r>
      <w:r w:rsidR="00992664" w:rsidRPr="00020424">
        <w:rPr>
          <w:rtl/>
        </w:rPr>
        <w:t xml:space="preserve"> ، ج 10 ، ص 194 ، ح 13200.</w:t>
      </w:r>
    </w:p>
    <w:p w:rsidR="00795177" w:rsidRDefault="00795177" w:rsidP="00795177">
      <w:pPr>
        <w:pStyle w:val="libNormal"/>
        <w:rPr>
          <w:rtl/>
          <w:lang w:bidi="fa-IR"/>
        </w:rPr>
      </w:pPr>
      <w:r>
        <w:rPr>
          <w:rtl/>
          <w:lang w:bidi="fa-IR"/>
        </w:rPr>
        <w:br w:type="page"/>
      </w:r>
    </w:p>
    <w:p w:rsidR="00F33A52" w:rsidRDefault="00992664" w:rsidP="00992664">
      <w:pPr>
        <w:pStyle w:val="Heading2Center"/>
        <w:rPr>
          <w:rtl/>
          <w:lang w:bidi="fa-IR"/>
        </w:rPr>
      </w:pPr>
      <w:bookmarkStart w:id="424" w:name="_Toc345172857"/>
      <w:bookmarkStart w:id="425" w:name="_Toc44599978"/>
      <w:bookmarkStart w:id="426" w:name="_Toc464562674"/>
      <w:r w:rsidRPr="00020424">
        <w:rPr>
          <w:rtl/>
          <w:lang w:bidi="fa-IR"/>
        </w:rPr>
        <w:t>42</w:t>
      </w:r>
      <w:r>
        <w:rPr>
          <w:rtl/>
          <w:lang w:bidi="fa-IR"/>
        </w:rPr>
        <w:t xml:space="preserve"> </w:t>
      </w:r>
      <w:r w:rsidR="009B673F">
        <w:rPr>
          <w:rtl/>
          <w:lang w:bidi="fa-IR"/>
        </w:rPr>
        <w:t>-</w:t>
      </w:r>
      <w:r>
        <w:rPr>
          <w:rtl/>
          <w:lang w:bidi="fa-IR"/>
        </w:rPr>
        <w:t xml:space="preserve"> </w:t>
      </w:r>
      <w:r w:rsidRPr="00020424">
        <w:rPr>
          <w:rtl/>
          <w:lang w:bidi="fa-IR"/>
        </w:rPr>
        <w:t>بَابُ الرَّجُلِ يُصْبِحُ وَهُوَ يُرِيدُ الصِّيَامَ فَيُفْطِرُ وَيُصْبِحُ وَهُوَ لَايُرِيدُ الصَّوْمَ</w:t>
      </w:r>
      <w:bookmarkStart w:id="427" w:name="_Toc345172858"/>
      <w:bookmarkEnd w:id="424"/>
      <w:bookmarkEnd w:id="425"/>
      <w:r>
        <w:rPr>
          <w:rFonts w:hint="cs"/>
          <w:rtl/>
          <w:lang w:bidi="fa-IR"/>
        </w:rPr>
        <w:t xml:space="preserve"> </w:t>
      </w:r>
    </w:p>
    <w:p w:rsidR="00992664" w:rsidRPr="00020424" w:rsidRDefault="00992664" w:rsidP="00992664">
      <w:pPr>
        <w:pStyle w:val="Heading2Center"/>
        <w:rPr>
          <w:rtl/>
          <w:lang w:bidi="fa-IR"/>
        </w:rPr>
      </w:pPr>
      <w:bookmarkStart w:id="428" w:name="_Toc44599979"/>
      <w:r w:rsidRPr="00020424">
        <w:rPr>
          <w:rtl/>
          <w:lang w:bidi="fa-IR"/>
        </w:rPr>
        <w:t>فَيَصُومُ فِي قَضَاءِ شَهْرِ رَمَضَانَ وَغَيْرِهِ‌</w:t>
      </w:r>
      <w:bookmarkEnd w:id="426"/>
      <w:bookmarkEnd w:id="427"/>
      <w:bookmarkEnd w:id="428"/>
    </w:p>
    <w:p w:rsidR="00992664" w:rsidRPr="00020424" w:rsidRDefault="00992664" w:rsidP="00992664">
      <w:pPr>
        <w:pStyle w:val="libNormal"/>
        <w:rPr>
          <w:rtl/>
          <w:lang w:bidi="fa-IR"/>
        </w:rPr>
      </w:pPr>
      <w:r w:rsidRPr="00D40848">
        <w:rPr>
          <w:rtl/>
        </w:rPr>
        <w:t>6472</w:t>
      </w:r>
      <w:r w:rsidRPr="001155DE">
        <w:rPr>
          <w:rStyle w:val="libBold2Char"/>
          <w:rtl/>
        </w:rPr>
        <w:t xml:space="preserve"> / 1.</w:t>
      </w:r>
      <w:r w:rsidRPr="00020424">
        <w:rPr>
          <w:rtl/>
          <w:lang w:bidi="fa-IR"/>
        </w:rPr>
        <w:t xml:space="preserve"> عَلِيُّ بْنُ إِبْرَاهِيمَ ، عَنْ أَبِيهِ ، عَنِ ابْنِ أَبِي عُمَيْرٍ ، عَنْ حَمَّادِ بْنِ عُثْمَانَ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يُصْبِحُ وَهُوَ يُرِيدُ الصِّيَامَ </w:t>
      </w:r>
      <w:r w:rsidRPr="00A91B96">
        <w:rPr>
          <w:rStyle w:val="libFootnotenumChar"/>
          <w:rtl/>
        </w:rPr>
        <w:t>(1)</w:t>
      </w:r>
      <w:r w:rsidRPr="00020424">
        <w:rPr>
          <w:rtl/>
          <w:lang w:bidi="fa-IR"/>
        </w:rPr>
        <w:t xml:space="preserve"> ، ثُمَّ يَبْدُو </w:t>
      </w:r>
      <w:r w:rsidRPr="00A91B96">
        <w:rPr>
          <w:rStyle w:val="libFootnotenumChar"/>
          <w:rtl/>
        </w:rPr>
        <w:t>(2)</w:t>
      </w:r>
      <w:r w:rsidRPr="00020424">
        <w:rPr>
          <w:rtl/>
          <w:lang w:bidi="fa-IR"/>
        </w:rPr>
        <w:t xml:space="preserve"> لَهُ ، فَيُفْطِرُ</w:t>
      </w:r>
      <w:r>
        <w:rPr>
          <w:rtl/>
          <w:lang w:bidi="fa-IR"/>
        </w:rPr>
        <w:t>؟</w:t>
      </w:r>
    </w:p>
    <w:p w:rsidR="00992664" w:rsidRPr="00020424" w:rsidRDefault="00992664" w:rsidP="00992664">
      <w:pPr>
        <w:pStyle w:val="libNormal"/>
        <w:rPr>
          <w:rtl/>
          <w:lang w:bidi="fa-IR"/>
        </w:rPr>
      </w:pPr>
      <w:r w:rsidRPr="00020424">
        <w:rPr>
          <w:rtl/>
          <w:lang w:bidi="fa-IR"/>
        </w:rPr>
        <w:t>قَالَ : « هُوَ بِالْخِيَارِ مَا بَيْنَهُ وَبَيْنَ نِصْفِ النَّهَارِ</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هَلْ يَقْضِيهِ إِذَا أَفْطَرَ </w:t>
      </w:r>
      <w:r w:rsidRPr="00A91B96">
        <w:rPr>
          <w:rStyle w:val="libFootnotenumChar"/>
          <w:rtl/>
        </w:rPr>
        <w:t>(3)</w:t>
      </w:r>
      <w:r>
        <w:rPr>
          <w:rtl/>
          <w:lang w:bidi="fa-IR"/>
        </w:rPr>
        <w:t>؟</w:t>
      </w:r>
    </w:p>
    <w:p w:rsidR="00992664" w:rsidRPr="00020424" w:rsidRDefault="00992664" w:rsidP="00992664">
      <w:pPr>
        <w:pStyle w:val="libNormal"/>
        <w:rPr>
          <w:rtl/>
          <w:lang w:bidi="fa-IR"/>
        </w:rPr>
      </w:pPr>
      <w:r w:rsidRPr="00020424">
        <w:rPr>
          <w:rtl/>
          <w:lang w:bidi="fa-IR"/>
        </w:rPr>
        <w:t>قَالَ : « نَعَمْ ؛ لِأَنَّهَا حَسَنَةٌ أَرَادَ أَنْ يَعْمَلَهَا ، فَلْيُتِمَّهَا</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w:t>
      </w:r>
      <w:r w:rsidRPr="00A91B96">
        <w:rPr>
          <w:rStyle w:val="libFootnotenumChar"/>
          <w:rtl/>
        </w:rPr>
        <w:t>(4)</w:t>
      </w:r>
      <w:r w:rsidRPr="00020424">
        <w:rPr>
          <w:rtl/>
          <w:lang w:bidi="fa-IR"/>
        </w:rPr>
        <w:t xml:space="preserve"> رَجُلاً أَرَادَ أَنْ يَص</w:t>
      </w:r>
      <w:r>
        <w:rPr>
          <w:rtl/>
          <w:lang w:bidi="fa-IR"/>
        </w:rPr>
        <w:t>ُومَ ارْتِفَاعَ النَّهَارِ : أَ</w:t>
      </w:r>
      <w:r w:rsidRPr="00020424">
        <w:rPr>
          <w:rtl/>
          <w:lang w:bidi="fa-IR"/>
        </w:rPr>
        <w:t>يَصُومُ</w:t>
      </w:r>
      <w:r>
        <w:rPr>
          <w:rtl/>
          <w:lang w:bidi="fa-IR"/>
        </w:rPr>
        <w:t>؟</w:t>
      </w:r>
    </w:p>
    <w:p w:rsidR="00992664" w:rsidRPr="00020424" w:rsidRDefault="00992664" w:rsidP="00992664">
      <w:pPr>
        <w:pStyle w:val="libNormal"/>
        <w:rPr>
          <w:rtl/>
          <w:lang w:bidi="fa-IR"/>
        </w:rPr>
      </w:pPr>
      <w:r w:rsidRPr="00020424">
        <w:rPr>
          <w:rtl/>
          <w:lang w:bidi="fa-IR"/>
        </w:rPr>
        <w:t>قَالَ : « نَعَمْ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D40848">
        <w:rPr>
          <w:rtl/>
        </w:rPr>
        <w:t>6473</w:t>
      </w:r>
      <w:r w:rsidRPr="001155DE">
        <w:rPr>
          <w:rStyle w:val="libBold2Char"/>
          <w:rtl/>
        </w:rPr>
        <w:t xml:space="preserve"> / 2.</w:t>
      </w:r>
      <w:r w:rsidRPr="00020424">
        <w:rPr>
          <w:rtl/>
          <w:lang w:bidi="fa-IR"/>
        </w:rPr>
        <w:t xml:space="preserve"> عِدَّةٌ مِنْ أَصْحَابِنَا ، عَنْ أَحْمَدَ بْنِ مُحَمَّدٍ ، عَنِ الْحُسَيْنِ بْنِ سَعِيدٍ ، عَنْ فَضَالَةَ بْنِ أَيُّوبَ ، عَنْ حُسَيْنِ بْنِ عُثْمَانَ ، عَنْ سَمَاعَةَ بْنِ مِهْرَانَ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w:t>
      </w:r>
      <w:r w:rsidRPr="00A91B96">
        <w:rPr>
          <w:rStyle w:val="libFootnotenumChar"/>
          <w:rtl/>
        </w:rPr>
        <w:t>(6)</w:t>
      </w:r>
      <w:r w:rsidRPr="00020424">
        <w:rPr>
          <w:rtl/>
          <w:lang w:bidi="fa-IR"/>
        </w:rPr>
        <w:t xml:space="preserve"> عَنِ الصَّائِمِ الْمُتَطَوِّعِ تَعْرِضُ لَهُ الْحَاجَةُ</w:t>
      </w:r>
      <w:r>
        <w:rPr>
          <w:rtl/>
          <w:lang w:bidi="fa-IR"/>
        </w:rPr>
        <w:t>؟</w:t>
      </w:r>
    </w:p>
    <w:p w:rsidR="00992664" w:rsidRPr="00020424" w:rsidRDefault="00992664" w:rsidP="00992664">
      <w:pPr>
        <w:pStyle w:val="libNormal"/>
        <w:rPr>
          <w:rtl/>
          <w:lang w:bidi="fa-IR"/>
        </w:rPr>
      </w:pPr>
      <w:r w:rsidRPr="00020424">
        <w:rPr>
          <w:rtl/>
          <w:lang w:bidi="fa-IR"/>
        </w:rPr>
        <w:t>قَالَ : « هُوَ بِالْخِيَارِ مَا بَيْنَهُ وَبَيْنَ الْعَصْرِ ، وَإِنْ مَكَثَ حَتّى الْعَصْرِ ، ثُمَّ بَدَا لَهُ أَنْ‌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314 : « قوله </w:t>
      </w:r>
      <w:r w:rsidR="00992664" w:rsidRPr="00D64ADA">
        <w:rPr>
          <w:rStyle w:val="libFootnoteAlaemChar"/>
          <w:rtl/>
        </w:rPr>
        <w:t>عليه‌السلام</w:t>
      </w:r>
      <w:r w:rsidR="00992664" w:rsidRPr="00020424">
        <w:rPr>
          <w:rtl/>
        </w:rPr>
        <w:t xml:space="preserve"> : وهو يريد الصيام ، ظاهر الخبر أنّ السؤال عن صوم النافلة ، فيدلّ‌على كراهة الإفطار بعد الزوال ، كما ذكره الأصحاب في غير من دعي إلى الطعام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A646B" w:rsidTr="00AA646B">
        <w:tc>
          <w:tcPr>
            <w:tcW w:w="4006" w:type="dxa"/>
          </w:tcPr>
          <w:p w:rsidR="00AA646B" w:rsidRDefault="00AA646B" w:rsidP="00992664">
            <w:pPr>
              <w:pStyle w:val="libFootnote0"/>
              <w:rPr>
                <w:rtl/>
              </w:rPr>
            </w:pPr>
            <w:r>
              <w:rPr>
                <w:rtl/>
              </w:rPr>
              <w:t xml:space="preserve">(2). </w:t>
            </w:r>
            <w:r w:rsidRPr="00020424">
              <w:rPr>
                <w:rtl/>
              </w:rPr>
              <w:t>في « ظ » : « فيبدو</w:t>
            </w:r>
            <w:r>
              <w:rPr>
                <w:rtl/>
              </w:rPr>
              <w:t xml:space="preserve"> ».</w:t>
            </w:r>
          </w:p>
        </w:tc>
        <w:tc>
          <w:tcPr>
            <w:tcW w:w="4006" w:type="dxa"/>
          </w:tcPr>
          <w:p w:rsidR="00AA646B" w:rsidRDefault="00AA646B" w:rsidP="00992664">
            <w:pPr>
              <w:pStyle w:val="libFootnote0"/>
              <w:rPr>
                <w:rtl/>
              </w:rPr>
            </w:pPr>
            <w:r>
              <w:rPr>
                <w:rtl/>
              </w:rPr>
              <w:t xml:space="preserve">(3). </w:t>
            </w:r>
            <w:r w:rsidRPr="00020424">
              <w:rPr>
                <w:rtl/>
              </w:rPr>
              <w:t>في « ظ » :</w:t>
            </w:r>
            <w:r>
              <w:rPr>
                <w:rtl/>
              </w:rPr>
              <w:t xml:space="preserve"> - </w:t>
            </w:r>
            <w:r w:rsidRPr="00020424">
              <w:rPr>
                <w:rtl/>
              </w:rPr>
              <w:t>« إذا أفطر</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12702 : « قلت له : إنّ » بدل « قلت : فإنّ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الوافي</w:t>
      </w:r>
      <w:r w:rsidR="00992664" w:rsidRPr="00020424">
        <w:rPr>
          <w:rtl/>
        </w:rPr>
        <w:t xml:space="preserve"> ، ج 11 ، ص 233 ، ح 10754 ؛ </w:t>
      </w:r>
      <w:r w:rsidR="00992664" w:rsidRPr="0012008A">
        <w:rPr>
          <w:rStyle w:val="libFootnoteBoldChar"/>
          <w:rtl/>
        </w:rPr>
        <w:t>الوسائل</w:t>
      </w:r>
      <w:r w:rsidR="00992664" w:rsidRPr="00020424">
        <w:rPr>
          <w:rtl/>
        </w:rPr>
        <w:t xml:space="preserve"> ، ج 10 ، ص 19 ، ح 12728 ؛ </w:t>
      </w:r>
      <w:r w:rsidR="00992664" w:rsidRPr="00DE76B9">
        <w:rPr>
          <w:rStyle w:val="libFootnoteBoldChar"/>
          <w:rtl/>
        </w:rPr>
        <w:t>وفيه</w:t>
      </w:r>
      <w:r w:rsidR="00992664" w:rsidRPr="00020424">
        <w:rPr>
          <w:rtl/>
        </w:rPr>
        <w:t xml:space="preserve"> ، ص 10 ، ح 12702 ، من قوله : « قلت : فإنّ رجلاً أراد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جر » : « عن أبي عبد الله </w:t>
      </w:r>
      <w:r w:rsidR="00992664" w:rsidRPr="00D64ADA">
        <w:rPr>
          <w:rStyle w:val="libFootnoteAlaemChar"/>
          <w:rtl/>
        </w:rPr>
        <w:t>عليه‌السلام</w:t>
      </w:r>
      <w:r w:rsidR="00992664" w:rsidRPr="00020424">
        <w:rPr>
          <w:rtl/>
        </w:rPr>
        <w:t xml:space="preserve"> ، قال : سألته » بدل « قال : سألت أبا عبد الله </w:t>
      </w:r>
      <w:r w:rsidR="00992664" w:rsidRPr="00D64ADA">
        <w:rPr>
          <w:rStyle w:val="libFootnoteAlaemChar"/>
          <w:rtl/>
        </w:rPr>
        <w:t>عليه‌السلام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يَصُومَ ، فَإِنْ </w:t>
      </w:r>
      <w:r w:rsidRPr="00A91B96">
        <w:rPr>
          <w:rStyle w:val="libFootnotenumChar"/>
          <w:rtl/>
        </w:rPr>
        <w:t>(1)</w:t>
      </w:r>
      <w:r w:rsidRPr="00020424">
        <w:rPr>
          <w:rtl/>
          <w:lang w:bidi="fa-IR"/>
        </w:rPr>
        <w:t xml:space="preserve"> لَمْ يَكُنْ </w:t>
      </w:r>
      <w:r w:rsidRPr="00A91B96">
        <w:rPr>
          <w:rStyle w:val="libFootnotenumChar"/>
          <w:rtl/>
        </w:rPr>
        <w:t>(2)</w:t>
      </w:r>
      <w:r w:rsidRPr="00020424">
        <w:rPr>
          <w:rtl/>
          <w:lang w:bidi="fa-IR"/>
        </w:rPr>
        <w:t xml:space="preserve"> نَوى ذلِكَ ، فَلَهُ أَنْ يَصُومَ ذلِكَ الْيَوْمَ إِنْ شَاءَ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40848">
        <w:rPr>
          <w:rtl/>
        </w:rPr>
        <w:t>6474</w:t>
      </w:r>
      <w:r w:rsidRPr="001155DE">
        <w:rPr>
          <w:rStyle w:val="libBold2Char"/>
          <w:rtl/>
        </w:rPr>
        <w:t xml:space="preserve"> / 3.</w:t>
      </w:r>
      <w:r w:rsidRPr="00020424">
        <w:rPr>
          <w:rtl/>
          <w:lang w:bidi="fa-IR"/>
        </w:rPr>
        <w:t xml:space="preserve"> أَحْمَدُ بْنُ مُحَمَّدٍ </w:t>
      </w:r>
      <w:r w:rsidRPr="00A91B96">
        <w:rPr>
          <w:rStyle w:val="libFootnotenumChar"/>
          <w:rtl/>
        </w:rPr>
        <w:t>(5)</w:t>
      </w:r>
      <w:r w:rsidRPr="00020424">
        <w:rPr>
          <w:rtl/>
          <w:lang w:bidi="fa-IR"/>
        </w:rPr>
        <w:t xml:space="preserve"> ، عَنِ الْعَبَّاسِ بْنِ مَعْرُوفٍ ، عَنْ صَفْوَانَ بْنِ يَحْيى ، عَنِ ابْنِ سِنَانٍ </w:t>
      </w:r>
      <w:r w:rsidRPr="00A91B96">
        <w:rPr>
          <w:rStyle w:val="libFootnotenumChar"/>
          <w:rtl/>
        </w:rPr>
        <w:t>(6)</w:t>
      </w:r>
      <w:r w:rsidRPr="00020424">
        <w:rPr>
          <w:rtl/>
          <w:lang w:bidi="fa-IR"/>
        </w:rPr>
        <w:t xml:space="preserve"> ، عَنْ عَمَّارِ بْنِ مَرْوَانَ ، عَنْ سَمَاعَةَ بْنِ مِهْرَانَ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قَوْلِهِ : « الصَّائِمُ بِالْخِيَارِ </w:t>
      </w:r>
      <w:r w:rsidRPr="00A91B96">
        <w:rPr>
          <w:rStyle w:val="libFootnotenumChar"/>
          <w:rtl/>
        </w:rPr>
        <w:t>(7)</w:t>
      </w:r>
      <w:r w:rsidRPr="00020424">
        <w:rPr>
          <w:rtl/>
          <w:lang w:bidi="fa-IR"/>
        </w:rPr>
        <w:t xml:space="preserve"> إِلى زَوَالِ الشَّمْسِ » قَالَ : « ذلِكَ فِي‌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 « وإن</w:t>
      </w:r>
      <w:r w:rsidR="00992664">
        <w:rPr>
          <w:rtl/>
        </w:rPr>
        <w:t xml:space="preserve"> ».</w:t>
      </w:r>
    </w:p>
    <w:p w:rsidR="00992664" w:rsidRPr="00020424" w:rsidRDefault="00795177" w:rsidP="00AA646B">
      <w:pPr>
        <w:pStyle w:val="libFootnote0"/>
        <w:rPr>
          <w:rtl/>
          <w:lang w:bidi="fa-IR"/>
        </w:rPr>
      </w:pPr>
      <w:r>
        <w:rPr>
          <w:rtl/>
        </w:rPr>
        <w:t>(2).</w:t>
      </w:r>
      <w:r w:rsidR="0014403D">
        <w:rPr>
          <w:rtl/>
        </w:rPr>
        <w:t xml:space="preserve"> </w:t>
      </w:r>
      <w:r w:rsidR="00992664" w:rsidRPr="00020424">
        <w:rPr>
          <w:rtl/>
        </w:rPr>
        <w:t xml:space="preserve">في « بس » </w:t>
      </w:r>
      <w:r w:rsidR="00992664" w:rsidRPr="00FD6221">
        <w:rPr>
          <w:rStyle w:val="libFootnoteBoldChar"/>
          <w:rtl/>
        </w:rPr>
        <w:t>والفقيه</w:t>
      </w:r>
      <w:r w:rsidR="00992664" w:rsidRPr="00020424">
        <w:rPr>
          <w:rtl/>
        </w:rPr>
        <w:t xml:space="preserve"> ، ح 2004 </w:t>
      </w:r>
      <w:r w:rsidR="00992664" w:rsidRPr="00515444">
        <w:rPr>
          <w:rStyle w:val="libFootnoteBoldChar"/>
          <w:rtl/>
        </w:rPr>
        <w:t>والتهذيب</w:t>
      </w:r>
      <w:r w:rsidR="00992664" w:rsidRPr="00020424">
        <w:rPr>
          <w:rtl/>
        </w:rPr>
        <w:t xml:space="preserve"> : « ولم يكن » بدل « فإن لم يكن</w:t>
      </w:r>
      <w:r w:rsidR="00992664">
        <w:rPr>
          <w:rtl/>
        </w:rPr>
        <w:t xml:space="preserve"> ».</w:t>
      </w:r>
      <w:r w:rsidR="00992664" w:rsidRPr="00020424">
        <w:rPr>
          <w:rtl/>
        </w:rPr>
        <w:t xml:space="preserve"> وقال في </w:t>
      </w:r>
      <w:r w:rsidR="00992664" w:rsidRPr="00DE76B9">
        <w:rPr>
          <w:rStyle w:val="libFootnoteBoldChar"/>
          <w:rtl/>
        </w:rPr>
        <w:t>مرآة العقول</w:t>
      </w:r>
      <w:r w:rsidR="00992664" w:rsidRPr="00020424">
        <w:rPr>
          <w:rtl/>
        </w:rPr>
        <w:t xml:space="preserve"> : « في </w:t>
      </w:r>
      <w:r w:rsidR="00992664" w:rsidRPr="0012008A">
        <w:rPr>
          <w:rStyle w:val="libFootnoteBoldChar"/>
          <w:rtl/>
        </w:rPr>
        <w:t>التهذيب</w:t>
      </w:r>
      <w:r w:rsidR="00992664" w:rsidRPr="00020424">
        <w:rPr>
          <w:rtl/>
        </w:rPr>
        <w:t xml:space="preserve"> : ولم يكن ، وهو أصوب. والتفصيل المذكور في هذا الخبر في جواز الإفطار وتجديد النيّة إلى العصر وعدم جوازهما بعده لم يعمل به أحد ، ولعلّه مؤيّد للجواز إلى الغروب ، فيكون نفي الجواز بعد العصر فيهما محمولاً على الكراهة</w:t>
      </w:r>
      <w:r w:rsidR="00992664">
        <w:rPr>
          <w:rtl/>
        </w:rPr>
        <w:t xml:space="preserve"> ».</w:t>
      </w:r>
      <w:r w:rsidR="00AA646B">
        <w:rPr>
          <w:rFonts w:hint="cs"/>
          <w:rtl/>
        </w:rPr>
        <w:t xml:space="preserve">                                      </w:t>
      </w:r>
      <w:r>
        <w:rPr>
          <w:rtl/>
        </w:rPr>
        <w:t>(3).</w:t>
      </w:r>
      <w:r w:rsidR="0014403D">
        <w:rPr>
          <w:rtl/>
        </w:rPr>
        <w:t xml:space="preserve"> </w:t>
      </w:r>
      <w:r w:rsidR="00992664" w:rsidRPr="00020424">
        <w:rPr>
          <w:rtl/>
        </w:rPr>
        <w:t>في « بر » : + « الله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186 ، ح 521 ، معلّقاً عن الحسين ، عن فضالة ، على الحسين بن عثمان ، عن سماعة ، عن أبي بصير. </w:t>
      </w:r>
      <w:r w:rsidR="00992664" w:rsidRPr="0012008A">
        <w:rPr>
          <w:rStyle w:val="libFootnoteBoldChar"/>
          <w:rtl/>
        </w:rPr>
        <w:t>الفقيه</w:t>
      </w:r>
      <w:r w:rsidR="00992664" w:rsidRPr="00020424">
        <w:rPr>
          <w:rtl/>
        </w:rPr>
        <w:t xml:space="preserve"> ، ج 2 ، ص 91 ، ح 1819 ، معلّقاً عن أبي بصير. </w:t>
      </w:r>
      <w:r w:rsidR="00992664" w:rsidRPr="00DE76B9">
        <w:rPr>
          <w:rStyle w:val="libFootnoteBoldChar"/>
          <w:rtl/>
        </w:rPr>
        <w:t>وفيه</w:t>
      </w:r>
      <w:r w:rsidR="00992664" w:rsidRPr="00020424">
        <w:rPr>
          <w:rtl/>
        </w:rPr>
        <w:t xml:space="preserve"> ، ص 150 ، ح 2004 ، مرسلاً من دون التصريح باسم المعصوم </w:t>
      </w:r>
      <w:r w:rsidR="00992664" w:rsidRPr="00D64ADA">
        <w:rPr>
          <w:rStyle w:val="libFootnoteAlaemChar"/>
          <w:rtl/>
        </w:rPr>
        <w:t>عليه‌السلام</w:t>
      </w:r>
      <w:r w:rsidR="00992664" w:rsidRPr="00020424">
        <w:rPr>
          <w:rtl/>
        </w:rPr>
        <w:t xml:space="preserve"> </w:t>
      </w:r>
      <w:r w:rsidR="00026EF1">
        <w:rPr>
          <w:rFonts w:hint="cs"/>
          <w:rtl/>
        </w:rPr>
        <w:t>.</w:t>
      </w:r>
      <w:r w:rsidR="00992664" w:rsidRPr="0012008A">
        <w:rPr>
          <w:rStyle w:val="libFootnoteBoldChar"/>
          <w:rtl/>
        </w:rPr>
        <w:t>الوافي</w:t>
      </w:r>
      <w:r w:rsidR="00992664" w:rsidRPr="00020424">
        <w:rPr>
          <w:rtl/>
        </w:rPr>
        <w:t xml:space="preserve"> ، ج 11 ، ص 233 ، ح 10755 ؛ </w:t>
      </w:r>
      <w:r w:rsidR="00992664" w:rsidRPr="0012008A">
        <w:rPr>
          <w:rStyle w:val="libFootnoteBoldChar"/>
          <w:rtl/>
        </w:rPr>
        <w:t>الوسائل</w:t>
      </w:r>
      <w:r w:rsidR="00992664" w:rsidRPr="00020424">
        <w:rPr>
          <w:rtl/>
        </w:rPr>
        <w:t xml:space="preserve"> ، ج 10 ، ص 14 ، ح 12715.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ابن سنان الراوي عن عمّار بن مروان هو محمّد بن سنان ، وقد أكثر أحمد بن محمّد</w:t>
      </w:r>
      <w:r w:rsidR="00992664">
        <w:rPr>
          <w:rtl/>
        </w:rPr>
        <w:t xml:space="preserve"> </w:t>
      </w:r>
      <w:r w:rsidR="009B673F">
        <w:rPr>
          <w:rtl/>
        </w:rPr>
        <w:t>-</w:t>
      </w:r>
      <w:r w:rsidR="00992664">
        <w:rPr>
          <w:rtl/>
        </w:rPr>
        <w:t xml:space="preserve"> </w:t>
      </w:r>
      <w:r w:rsidR="00992664" w:rsidRPr="00020424">
        <w:rPr>
          <w:rtl/>
        </w:rPr>
        <w:t>وهو ابن عيسى بقرنية روايته عن الحسين بن سعيد في السند السابق ، وروايته عن العبّاس بن معروف في سندنا هذا</w:t>
      </w:r>
      <w:r w:rsidR="00992664">
        <w:rPr>
          <w:rtl/>
        </w:rPr>
        <w:t xml:space="preserve"> </w:t>
      </w:r>
      <w:r w:rsidR="009B673F">
        <w:rPr>
          <w:rtl/>
        </w:rPr>
        <w:t>-</w:t>
      </w:r>
      <w:r w:rsidR="00992664">
        <w:rPr>
          <w:rtl/>
        </w:rPr>
        <w:t xml:space="preserve"> </w:t>
      </w:r>
      <w:r w:rsidR="00992664" w:rsidRPr="00020424">
        <w:rPr>
          <w:rtl/>
        </w:rPr>
        <w:t xml:space="preserve">من الرواية عنه مباشرةً ، فوقوع الواسطتين بينهما ، كما هو ظاهر السند ، محلّ تأمّل. راجع : </w:t>
      </w:r>
      <w:r w:rsidR="00992664" w:rsidRPr="00DE76B9">
        <w:rPr>
          <w:rStyle w:val="libFootnoteBoldChar"/>
          <w:rtl/>
        </w:rPr>
        <w:t>معجم رجال الحديث</w:t>
      </w:r>
      <w:r w:rsidR="00992664" w:rsidRPr="00020424">
        <w:rPr>
          <w:rtl/>
        </w:rPr>
        <w:t xml:space="preserve"> ، ج 2 ، ص 695</w:t>
      </w:r>
      <w:r w:rsidR="00992664">
        <w:rPr>
          <w:rtl/>
        </w:rPr>
        <w:t xml:space="preserve"> </w:t>
      </w:r>
      <w:r w:rsidR="009B673F">
        <w:rPr>
          <w:rtl/>
        </w:rPr>
        <w:t>-</w:t>
      </w:r>
      <w:r w:rsidR="00992664">
        <w:rPr>
          <w:rtl/>
        </w:rPr>
        <w:t xml:space="preserve"> </w:t>
      </w:r>
      <w:r w:rsidR="00992664" w:rsidRPr="00020424">
        <w:rPr>
          <w:rtl/>
        </w:rPr>
        <w:t>696.</w:t>
      </w:r>
    </w:p>
    <w:p w:rsidR="00992664" w:rsidRPr="00020424" w:rsidRDefault="00992664" w:rsidP="00B41E11">
      <w:pPr>
        <w:pStyle w:val="libFootnote0"/>
        <w:rPr>
          <w:rtl/>
          <w:lang w:bidi="fa-IR"/>
        </w:rPr>
      </w:pPr>
      <w:r w:rsidRPr="00B41E11">
        <w:rPr>
          <w:rtl/>
        </w:rPr>
        <w:t xml:space="preserve">هذا ، وقد توسّطت في بعض الأسناد بين أحمد بن محمّد ومحمّد بن سنان واسطة واحدة ، ظاهرها الصحّة ، منها ما ورد في </w:t>
      </w:r>
      <w:r w:rsidRPr="0012008A">
        <w:rPr>
          <w:rStyle w:val="libFootnoteBoldChar"/>
          <w:rtl/>
        </w:rPr>
        <w:t>التهذيب</w:t>
      </w:r>
      <w:r w:rsidRPr="00B41E11">
        <w:rPr>
          <w:rtl/>
        </w:rPr>
        <w:t xml:space="preserve"> ، ج 3 ، ص 329 ، ح 1030 ؛ فقد روى فيه أحمد بن محمّد ، عن العبّاس بن معروف ، عن محمّد بن سنان. وخبرنا هذا ورد في </w:t>
      </w:r>
      <w:r w:rsidRPr="0012008A">
        <w:rPr>
          <w:rStyle w:val="libFootnoteBoldChar"/>
          <w:rtl/>
        </w:rPr>
        <w:t>التهذيب</w:t>
      </w:r>
      <w:r w:rsidRPr="00B41E11">
        <w:rPr>
          <w:rtl/>
        </w:rPr>
        <w:t xml:space="preserve"> ، ج 4 ، ص 187 ، ح 527 وسنده هكذا : « عنه </w:t>
      </w:r>
      <w:r w:rsidR="009B673F" w:rsidRPr="00B41E11">
        <w:rPr>
          <w:rtl/>
        </w:rPr>
        <w:t>-</w:t>
      </w:r>
      <w:r w:rsidRPr="00B41E11">
        <w:rPr>
          <w:rtl/>
        </w:rPr>
        <w:t xml:space="preserve"> والظاهر رجوع الضمير إلى محمّد بن عليّ بن محبوب </w:t>
      </w:r>
      <w:r w:rsidR="009B673F" w:rsidRPr="00B41E11">
        <w:rPr>
          <w:rtl/>
        </w:rPr>
        <w:t>-</w:t>
      </w:r>
      <w:r w:rsidRPr="00B41E11">
        <w:rPr>
          <w:rtl/>
        </w:rPr>
        <w:t xml:space="preserve"> عن العبّاس بن معروف ، عن محمّد بن سنان ، عن عمّار بن مروان ».</w:t>
      </w:r>
    </w:p>
    <w:p w:rsidR="00992664" w:rsidRPr="00020424" w:rsidRDefault="00992664" w:rsidP="00B41E11">
      <w:pPr>
        <w:pStyle w:val="libFootnote0"/>
        <w:rPr>
          <w:rtl/>
          <w:lang w:bidi="fa-IR"/>
        </w:rPr>
      </w:pPr>
      <w:r w:rsidRPr="00D82B22">
        <w:rPr>
          <w:rtl/>
        </w:rPr>
        <w:t>فعليه ، لا يبعد أنّ الأصل في ما نحن كان هكذا : « صفوان بن يحيى وابن سنان</w:t>
      </w:r>
      <w:r>
        <w:rPr>
          <w:rtl/>
        </w:rPr>
        <w:t xml:space="preserve"> ».</w:t>
      </w:r>
    </w:p>
    <w:p w:rsidR="00992664" w:rsidRPr="00020424" w:rsidRDefault="00992664" w:rsidP="00B41E11">
      <w:pPr>
        <w:pStyle w:val="libFootnote0"/>
        <w:rPr>
          <w:rtl/>
          <w:lang w:bidi="fa-IR"/>
        </w:rPr>
      </w:pPr>
      <w:r w:rsidRPr="00D82B22">
        <w:rPr>
          <w:rtl/>
        </w:rPr>
        <w:t>وأمّا احتمال عطف صفوان بن يحيى على العبّاس بن معروف ، فهو منتفٍ ؛ لأنّ لازمه توسّط صفوان بن يحيى بين أحمد بن محمّد ومحمّد بن سنان ، ولم نجده مع الفحص الأكيد في موضع.</w:t>
      </w:r>
    </w:p>
    <w:p w:rsidR="00992664" w:rsidRPr="00020424" w:rsidRDefault="00795177" w:rsidP="00B41E11">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الصائم بالخيار ، ظاهره جواز الإفطار في الفريضة قبل الزوال وعدمه بعده ، ولم أرقائلاً به ، ويمكن حمله على قضاء شهر رمضان ؛ فإنّ تحريم الإفطار فيه بعد الزوال مذهب الأصحاب ، لا أعلم </w:t>
      </w:r>
      <w:r w:rsidR="00B41E1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الْفَرِيضَةِ ، فَأَمَّا </w:t>
      </w:r>
      <w:r w:rsidRPr="00A91B96">
        <w:rPr>
          <w:rStyle w:val="libFootnotenumChar"/>
          <w:rtl/>
        </w:rPr>
        <w:t>(1)</w:t>
      </w:r>
      <w:r w:rsidRPr="00020424">
        <w:rPr>
          <w:rtl/>
          <w:lang w:bidi="fa-IR"/>
        </w:rPr>
        <w:t xml:space="preserve"> النَّافِلَةُ ، فَلَهُ </w:t>
      </w:r>
      <w:r w:rsidRPr="00A91B96">
        <w:rPr>
          <w:rStyle w:val="libFootnotenumChar"/>
          <w:rtl/>
        </w:rPr>
        <w:t>(2)</w:t>
      </w:r>
      <w:r w:rsidRPr="00020424">
        <w:rPr>
          <w:rtl/>
          <w:lang w:bidi="fa-IR"/>
        </w:rPr>
        <w:t xml:space="preserve"> أَنْ يُفْطِرَ أَيَّ سَاعَةٍ شَاءَ إِلى غُرُوبِ الشَّمْسِ</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3039FE" w:rsidRDefault="00992664" w:rsidP="003039FE">
      <w:pPr>
        <w:pStyle w:val="libNormal"/>
        <w:rPr>
          <w:rtl/>
          <w:lang w:bidi="fa-IR"/>
        </w:rPr>
      </w:pPr>
      <w:r w:rsidRPr="00D40848">
        <w:rPr>
          <w:rtl/>
        </w:rPr>
        <w:t>6475</w:t>
      </w:r>
      <w:r w:rsidRPr="001155DE">
        <w:rPr>
          <w:rStyle w:val="libBold2Char"/>
          <w:rtl/>
        </w:rPr>
        <w:t xml:space="preserve"> / 4.</w:t>
      </w:r>
      <w:r w:rsidRPr="00020424">
        <w:rPr>
          <w:rtl/>
          <w:lang w:bidi="fa-IR"/>
        </w:rPr>
        <w:t xml:space="preserve"> مُحَمَّدُ بْنُ يَحْيى ، عَنْ أَحْمَدَ بْنِ مُحَمَّدٍ ؛</w:t>
      </w:r>
    </w:p>
    <w:p w:rsidR="00992664" w:rsidRPr="00020424" w:rsidRDefault="003039FE" w:rsidP="003039FE">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عَبْدِ الرَّحْمنِ بْنِ الْحَجَّاجِ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فِي الرَّجُلِ يَبْدُو لَهُ بَعْدَ مَا يُصْبِحُ وَيَرْتَفِعُ النَّهَارُ فِي صَوْمِ ذلِكَ الْيَوْمِ لِيَقْضِيَهُ مِنْ شَهْرِ رَمَضَانَ ، وَلَمْ يَكُنْ نَوى ذلِكَ مِنَ اللَّيْلِ.</w:t>
      </w:r>
    </w:p>
    <w:p w:rsidR="00992664" w:rsidRPr="00020424" w:rsidRDefault="00992664" w:rsidP="00992664">
      <w:pPr>
        <w:pStyle w:val="libNormal"/>
        <w:rPr>
          <w:rtl/>
          <w:lang w:bidi="fa-IR"/>
        </w:rPr>
      </w:pPr>
      <w:r w:rsidRPr="00020424">
        <w:rPr>
          <w:rtl/>
          <w:lang w:bidi="fa-IR"/>
        </w:rPr>
        <w:t xml:space="preserve">قَالَ : « نَعَمْ ، لِيَصُمْهُ </w:t>
      </w:r>
      <w:r w:rsidRPr="00A91B96">
        <w:rPr>
          <w:rStyle w:val="libFootnotenumChar"/>
          <w:rtl/>
        </w:rPr>
        <w:t>(4)</w:t>
      </w:r>
      <w:r w:rsidRPr="00020424">
        <w:rPr>
          <w:rtl/>
          <w:lang w:bidi="fa-IR"/>
        </w:rPr>
        <w:t xml:space="preserve"> وَلْيَعْتَدَّ </w:t>
      </w:r>
      <w:r w:rsidRPr="00A91B96">
        <w:rPr>
          <w:rStyle w:val="libFootnotenumChar"/>
          <w:rtl/>
        </w:rPr>
        <w:t>(5)</w:t>
      </w:r>
      <w:r w:rsidRPr="00020424">
        <w:rPr>
          <w:rtl/>
          <w:lang w:bidi="fa-IR"/>
        </w:rPr>
        <w:t xml:space="preserve"> بِهِ إِذَا لَمْ يَكُنْ أَحْدَثَ شَيْئاً</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D40848">
        <w:rPr>
          <w:rtl/>
        </w:rPr>
        <w:t>6476</w:t>
      </w:r>
      <w:r w:rsidRPr="001155DE">
        <w:rPr>
          <w:rStyle w:val="libBold2Char"/>
          <w:rtl/>
        </w:rPr>
        <w:t xml:space="preserve"> / 5.</w:t>
      </w:r>
      <w:r w:rsidRPr="00020424">
        <w:rPr>
          <w:rtl/>
          <w:lang w:bidi="fa-IR"/>
        </w:rPr>
        <w:t xml:space="preserve"> عِدَّةٌ مِنْ أَصْحَابِنَا ، عَنْ أَحْمَدَ بْنِ مُحَمَّدٍ ، عَنِ الْحَسَنِ </w:t>
      </w:r>
      <w:r w:rsidRPr="00A91B96">
        <w:rPr>
          <w:rStyle w:val="libFootnotenumChar"/>
          <w:rtl/>
        </w:rPr>
        <w:t>(7)</w:t>
      </w:r>
      <w:r w:rsidRPr="00020424">
        <w:rPr>
          <w:rtl/>
          <w:lang w:bidi="fa-IR"/>
        </w:rPr>
        <w:t xml:space="preserve"> بْنِ مَحْبُوبٍ ، عَنِ الْحَارِثِ بْنِ مُحَمَّدٍ ، عَنْ بُرَيْدٍ الْعِجْلِيِّ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فِي رَجُلٍ أَتى أَهْلَهُ فِي يَوْمٍ يَقْضِيهِ مِنْ شَهْرِ رَمَضَانَ.</w:t>
      </w:r>
    </w:p>
    <w:p w:rsidR="00992664" w:rsidRPr="00020424" w:rsidRDefault="00992664" w:rsidP="00992664">
      <w:pPr>
        <w:pStyle w:val="libNormal"/>
        <w:rPr>
          <w:rtl/>
          <w:lang w:bidi="fa-IR"/>
        </w:rPr>
      </w:pPr>
      <w:r w:rsidRPr="00020424">
        <w:rPr>
          <w:rtl/>
          <w:lang w:bidi="fa-IR"/>
        </w:rPr>
        <w:t xml:space="preserve">قَالَ : « إِنْ كَانَ أَتى أَهْلَهُ قَبْلَ زَوَالِ الشَّمْسِ </w:t>
      </w:r>
      <w:r w:rsidRPr="00A91B96">
        <w:rPr>
          <w:rStyle w:val="libFootnotenumChar"/>
          <w:rtl/>
        </w:rPr>
        <w:t>(8)</w:t>
      </w:r>
      <w:r w:rsidR="00930278">
        <w:rPr>
          <w:rtl/>
          <w:lang w:bidi="fa-IR"/>
        </w:rPr>
        <w:t xml:space="preserve"> ، فَلَا شَيْ‌ءَ عَلَيْهِ إِل</w:t>
      </w:r>
      <w:r w:rsidR="00930278">
        <w:rPr>
          <w:rFonts w:hint="cs"/>
          <w:rtl/>
          <w:lang w:bidi="fa-IR"/>
        </w:rPr>
        <w:t>َّ</w:t>
      </w:r>
      <w:r w:rsidR="00930278">
        <w:rPr>
          <w:rtl/>
          <w:lang w:bidi="fa-IR"/>
        </w:rPr>
        <w:t>ا</w:t>
      </w:r>
      <w:r w:rsidRPr="00020424">
        <w:rPr>
          <w:rtl/>
          <w:lang w:bidi="fa-IR"/>
        </w:rPr>
        <w:t xml:space="preserve"> يَوْمٌ </w:t>
      </w:r>
      <w:r w:rsidRPr="00A91B96">
        <w:rPr>
          <w:rStyle w:val="libFootnotenumChar"/>
          <w:rtl/>
        </w:rPr>
        <w:t>(9)</w:t>
      </w:r>
      <w:r w:rsidRPr="00020424">
        <w:rPr>
          <w:rtl/>
          <w:lang w:bidi="fa-IR"/>
        </w:rPr>
        <w:t xml:space="preserve"> مَكَانَ يَوْمٍ ،</w:t>
      </w:r>
    </w:p>
    <w:p w:rsidR="00992664" w:rsidRPr="00020424" w:rsidRDefault="00992664" w:rsidP="00992664">
      <w:pPr>
        <w:pStyle w:val="libLine"/>
        <w:rPr>
          <w:rtl/>
          <w:lang w:bidi="fa-IR"/>
        </w:rPr>
      </w:pPr>
      <w:r w:rsidRPr="00020424">
        <w:rPr>
          <w:rtl/>
          <w:lang w:bidi="fa-IR"/>
        </w:rPr>
        <w:t>__________________</w:t>
      </w:r>
    </w:p>
    <w:p w:rsidR="005A1858" w:rsidRDefault="005A1858" w:rsidP="00992664">
      <w:pPr>
        <w:pStyle w:val="libFootnote0"/>
        <w:rPr>
          <w:rtl/>
        </w:rPr>
      </w:pPr>
      <w:r>
        <w:rPr>
          <w:rFonts w:hint="cs"/>
          <w:rtl/>
        </w:rPr>
        <w:t xml:space="preserve">= </w:t>
      </w:r>
      <w:r w:rsidRPr="00020424">
        <w:rPr>
          <w:rtl/>
        </w:rPr>
        <w:t>فيه مخالفاً ، وأمّا الجواز قبله فمذهب الأكثر ، بل لم ينقل بعضهم فيه خلافاً</w:t>
      </w:r>
      <w:r>
        <w:rPr>
          <w:rtl/>
        </w:rPr>
        <w:t xml:space="preserve"> ..</w:t>
      </w:r>
      <w:r w:rsidRPr="00020424">
        <w:rPr>
          <w:rtl/>
        </w:rPr>
        <w:t>. هذا كلّه مع اتّساع وقت القضاء ، وأمّا مع تضيّقه فيحرم الإفطار فيه قبل الزوال أيضاً</w:t>
      </w:r>
      <w:r>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w:t>
      </w:r>
      <w:r w:rsidR="00992664" w:rsidRPr="00FD6221">
        <w:rPr>
          <w:rStyle w:val="libFootnoteBoldChar"/>
          <w:rtl/>
        </w:rPr>
        <w:t>والفقيه</w:t>
      </w:r>
      <w:r w:rsidR="00992664" w:rsidRPr="00020424">
        <w:rPr>
          <w:rtl/>
        </w:rPr>
        <w:t xml:space="preserve"> : + « في</w:t>
      </w:r>
      <w:r w:rsidR="00992664">
        <w:rPr>
          <w:rtl/>
        </w:rPr>
        <w:t xml:space="preserve"> ».</w:t>
      </w:r>
      <w:r w:rsidR="00992664" w:rsidRPr="00020424">
        <w:rPr>
          <w:rtl/>
        </w:rPr>
        <w:t xml:space="preserve"> وفي « بس » </w:t>
      </w:r>
      <w:r w:rsidR="00992664" w:rsidRPr="00515444">
        <w:rPr>
          <w:rStyle w:val="libFootnoteBoldChar"/>
          <w:rtl/>
        </w:rPr>
        <w:t>والتهذيب</w:t>
      </w:r>
      <w:r w:rsidR="00992664" w:rsidRPr="00020424">
        <w:rPr>
          <w:rtl/>
        </w:rPr>
        <w:t xml:space="preserve"> ، ح 527 : « وأمّا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278 ، ح 843 ، معلّقاً عن أحمد بن محمّد بن عيسى ، عن العبّاس بن معروف. </w:t>
      </w:r>
      <w:r w:rsidR="00992664" w:rsidRPr="00DE76B9">
        <w:rPr>
          <w:rStyle w:val="libFootnoteBoldChar"/>
          <w:rtl/>
        </w:rPr>
        <w:t>وفيه</w:t>
      </w:r>
      <w:r w:rsidR="00992664" w:rsidRPr="00020424">
        <w:rPr>
          <w:rtl/>
        </w:rPr>
        <w:t xml:space="preserve"> ، ص 187 ، ح 527 ، بسنده عن العبّاس بن معروف ، عن محمّد بن سنان ، عن عمّار بن مروان ، عن سماعة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149 ، ح 2002 ، معلّقاً عن سماعة ، من دون التصريح باسم المعصوم </w:t>
      </w:r>
      <w:r w:rsidR="00992664" w:rsidRPr="00D64ADA">
        <w:rPr>
          <w:rStyle w:val="libFootnoteAlaemChar"/>
          <w:rtl/>
        </w:rPr>
        <w:t>عليه‌السلام</w:t>
      </w:r>
      <w:r w:rsidR="00992664" w:rsidRPr="00020424">
        <w:rPr>
          <w:rtl/>
        </w:rPr>
        <w:t xml:space="preserve"> </w:t>
      </w:r>
      <w:r w:rsidR="0009352B">
        <w:rPr>
          <w:rFonts w:hint="cs"/>
          <w:rtl/>
        </w:rPr>
        <w:t>.</w:t>
      </w:r>
      <w:r w:rsidR="00992664" w:rsidRPr="0012008A">
        <w:rPr>
          <w:rStyle w:val="libFootnoteBoldChar"/>
          <w:rtl/>
        </w:rPr>
        <w:t>الوافي</w:t>
      </w:r>
      <w:r w:rsidR="00992664" w:rsidRPr="00020424">
        <w:rPr>
          <w:rtl/>
        </w:rPr>
        <w:t xml:space="preserve"> ، ج 11 ، ص 234 ، ح 10756 ؛ </w:t>
      </w:r>
      <w:r w:rsidR="00992664" w:rsidRPr="0012008A">
        <w:rPr>
          <w:rStyle w:val="libFootnoteBoldChar"/>
          <w:rtl/>
        </w:rPr>
        <w:t>الوسائل</w:t>
      </w:r>
      <w:r w:rsidR="00992664" w:rsidRPr="00020424">
        <w:rPr>
          <w:rtl/>
        </w:rPr>
        <w:t xml:space="preserve"> ، ج 10 ، ص 17 ، ذيل ح 12723.</w:t>
      </w:r>
    </w:p>
    <w:tbl>
      <w:tblPr>
        <w:tblStyle w:val="TableGrid"/>
        <w:bidiVisual/>
        <w:tblW w:w="0" w:type="auto"/>
        <w:tblLook w:val="04A0" w:firstRow="1" w:lastRow="0" w:firstColumn="1" w:lastColumn="0" w:noHBand="0" w:noVBand="1"/>
      </w:tblPr>
      <w:tblGrid>
        <w:gridCol w:w="4006"/>
        <w:gridCol w:w="4006"/>
      </w:tblGrid>
      <w:tr w:rsidR="00CA5C16" w:rsidTr="00CA5C16">
        <w:tc>
          <w:tcPr>
            <w:tcW w:w="4006" w:type="dxa"/>
          </w:tcPr>
          <w:p w:rsidR="00CA5C16" w:rsidRDefault="00CA5C16" w:rsidP="00992664">
            <w:pPr>
              <w:pStyle w:val="libFootnote0"/>
              <w:rPr>
                <w:rtl/>
              </w:rPr>
            </w:pPr>
            <w:r>
              <w:rPr>
                <w:rtl/>
              </w:rPr>
              <w:t xml:space="preserve">(4). </w:t>
            </w:r>
            <w:r w:rsidRPr="00020424">
              <w:rPr>
                <w:rtl/>
              </w:rPr>
              <w:t>في « بح » : « فليصمه</w:t>
            </w:r>
            <w:r>
              <w:rPr>
                <w:rtl/>
              </w:rPr>
              <w:t xml:space="preserve"> ».</w:t>
            </w:r>
          </w:p>
        </w:tc>
        <w:tc>
          <w:tcPr>
            <w:tcW w:w="4006" w:type="dxa"/>
          </w:tcPr>
          <w:p w:rsidR="00CA5C16" w:rsidRDefault="00CA5C16" w:rsidP="00992664">
            <w:pPr>
              <w:pStyle w:val="libFootnote0"/>
              <w:rPr>
                <w:rtl/>
              </w:rPr>
            </w:pPr>
            <w:r>
              <w:rPr>
                <w:rtl/>
              </w:rPr>
              <w:t xml:space="preserve">(5). </w:t>
            </w:r>
            <w:r w:rsidRPr="00020424">
              <w:rPr>
                <w:rtl/>
              </w:rPr>
              <w:t xml:space="preserve">في « بر ، بف » </w:t>
            </w:r>
            <w:r w:rsidRPr="00515444">
              <w:rPr>
                <w:rStyle w:val="libFootnoteBoldChar"/>
                <w:rtl/>
              </w:rPr>
              <w:t>والوافي</w:t>
            </w:r>
            <w:r w:rsidRPr="00020424">
              <w:rPr>
                <w:rtl/>
              </w:rPr>
              <w:t xml:space="preserve"> </w:t>
            </w:r>
            <w:r w:rsidRPr="00515444">
              <w:rPr>
                <w:rStyle w:val="libFootnoteBoldChar"/>
                <w:rtl/>
              </w:rPr>
              <w:t>والتهذيب</w:t>
            </w:r>
            <w:r w:rsidRPr="00020424">
              <w:rPr>
                <w:rtl/>
              </w:rPr>
              <w:t xml:space="preserve"> : « ويعتدّ</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186 ، ذيل ح 522 ، بسنده عن عبدالرحمن بن الحجّاج ، من دون التصريح باسم المعصوم </w:t>
      </w:r>
      <w:r w:rsidR="00992664" w:rsidRPr="00D64ADA">
        <w:rPr>
          <w:rStyle w:val="libFootnoteAlaemChar"/>
          <w:rtl/>
        </w:rPr>
        <w:t>عليه‌السلام</w:t>
      </w:r>
      <w:r w:rsidR="00992664" w:rsidRPr="00020424">
        <w:rPr>
          <w:rtl/>
        </w:rPr>
        <w:t xml:space="preserve"> </w:t>
      </w:r>
      <w:r w:rsidR="0030460C">
        <w:rPr>
          <w:rFonts w:hint="cs"/>
          <w:rtl/>
        </w:rPr>
        <w:t>.</w:t>
      </w:r>
      <w:r w:rsidR="00992664" w:rsidRPr="0012008A">
        <w:rPr>
          <w:rStyle w:val="libFootnoteBoldChar"/>
          <w:rtl/>
        </w:rPr>
        <w:t>الوافي</w:t>
      </w:r>
      <w:r w:rsidR="00992664" w:rsidRPr="00020424">
        <w:rPr>
          <w:rtl/>
        </w:rPr>
        <w:t xml:space="preserve"> ، ج 11 ، ص 234 ، ح 10757 ؛ </w:t>
      </w:r>
      <w:r w:rsidR="00992664" w:rsidRPr="0012008A">
        <w:rPr>
          <w:rStyle w:val="libFootnoteBoldChar"/>
          <w:rtl/>
        </w:rPr>
        <w:t>الوسائل</w:t>
      </w:r>
      <w:r w:rsidR="00992664" w:rsidRPr="00020424">
        <w:rPr>
          <w:rtl/>
        </w:rPr>
        <w:t xml:space="preserve"> ، ج 10 ، ص 10 ، ح 12703.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884 </w:t>
      </w:r>
      <w:r w:rsidR="00992664" w:rsidRPr="00FD6221">
        <w:rPr>
          <w:rStyle w:val="libFootnoteBoldChar"/>
          <w:rtl/>
        </w:rPr>
        <w:t>والاستبصار</w:t>
      </w:r>
      <w:r w:rsidR="00992664" w:rsidRPr="00020424">
        <w:rPr>
          <w:rtl/>
        </w:rPr>
        <w:t xml:space="preserve"> ، ح 391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w:t>
      </w:r>
      <w:r w:rsidR="00992664" w:rsidRPr="0030460C">
        <w:rPr>
          <w:rtl/>
        </w:rPr>
        <w:t>والوافي والفقيه والتهذيب</w:t>
      </w:r>
      <w:r w:rsidR="00992664" w:rsidRPr="00020424">
        <w:rPr>
          <w:rtl/>
        </w:rPr>
        <w:t xml:space="preserve"> ، ح 884 </w:t>
      </w:r>
      <w:r w:rsidR="00992664" w:rsidRPr="00FD6221">
        <w:rPr>
          <w:rStyle w:val="libFootnoteBoldChar"/>
          <w:rtl/>
        </w:rPr>
        <w:t>والاستبصار</w:t>
      </w:r>
      <w:r w:rsidR="00992664" w:rsidRPr="00020424">
        <w:rPr>
          <w:rtl/>
        </w:rPr>
        <w:t xml:space="preserve"> ، ح 391 : « الزوال » بدل « زوال الشمس</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ح 884 </w:t>
      </w:r>
      <w:r w:rsidR="00992664" w:rsidRPr="00FD6221">
        <w:rPr>
          <w:rStyle w:val="libFootnoteBoldChar"/>
          <w:rtl/>
        </w:rPr>
        <w:t>والاستبصار</w:t>
      </w:r>
      <w:r w:rsidR="00992664" w:rsidRPr="00020424">
        <w:rPr>
          <w:rtl/>
        </w:rPr>
        <w:t xml:space="preserve"> ، ح 391 : « يوماً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وَإِنْ كَانَ أَتى أَهْلَهُ بَعْدَ زَوَالِ الشَّمْسِ </w:t>
      </w:r>
      <w:r w:rsidRPr="00A91B96">
        <w:rPr>
          <w:rStyle w:val="libFootnotenumChar"/>
          <w:rtl/>
        </w:rPr>
        <w:t>(1)</w:t>
      </w:r>
      <w:r w:rsidRPr="00020424">
        <w:rPr>
          <w:rtl/>
          <w:lang w:bidi="fa-IR"/>
        </w:rPr>
        <w:t xml:space="preserve"> ، فَإِنَّ عَلَيْهِ أَنْ يَتَصَدَّقَ عَلى عَشَرَةِ مَسَاكِينَ </w:t>
      </w:r>
      <w:r w:rsidRPr="00A91B96">
        <w:rPr>
          <w:rStyle w:val="libFootnotenumChar"/>
          <w:rtl/>
        </w:rPr>
        <w:t>(2)</w:t>
      </w:r>
      <w:r w:rsidRPr="00020424">
        <w:rPr>
          <w:rtl/>
          <w:lang w:bidi="fa-IR"/>
        </w:rPr>
        <w:t xml:space="preserve"> ، فَإِنْ لَمْ يَقْدِرْ </w:t>
      </w:r>
      <w:r w:rsidRPr="00A91B96">
        <w:rPr>
          <w:rStyle w:val="libFootnotenumChar"/>
          <w:rtl/>
        </w:rPr>
        <w:t>(3)</w:t>
      </w:r>
      <w:r w:rsidRPr="00020424">
        <w:rPr>
          <w:rtl/>
          <w:lang w:bidi="fa-IR"/>
        </w:rPr>
        <w:t xml:space="preserve"> ، صَامَ يَوْماً مَكَانَ يَوْمٍ ، وَصَامَ ثَلَاثَةَ أَيَّامٍ </w:t>
      </w:r>
      <w:r w:rsidRPr="00A91B96">
        <w:rPr>
          <w:rStyle w:val="libFootnotenumChar"/>
          <w:rtl/>
        </w:rPr>
        <w:t>(4)</w:t>
      </w:r>
      <w:r w:rsidRPr="00020424">
        <w:rPr>
          <w:rtl/>
          <w:lang w:bidi="fa-IR"/>
        </w:rPr>
        <w:t xml:space="preserve"> كَفَّارَةً لِمَا صَنَعَ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D40848">
        <w:rPr>
          <w:rtl/>
        </w:rPr>
        <w:t>6477</w:t>
      </w:r>
      <w:r w:rsidRPr="001155DE">
        <w:rPr>
          <w:rStyle w:val="libBold2Char"/>
          <w:rtl/>
        </w:rPr>
        <w:t xml:space="preserve"> / 6.</w:t>
      </w:r>
      <w:r w:rsidRPr="00020424">
        <w:rPr>
          <w:rtl/>
          <w:lang w:bidi="fa-IR"/>
        </w:rPr>
        <w:t xml:space="preserve"> أَحْمَدُ بْنُ مُحَمَّدٍ </w:t>
      </w:r>
      <w:r w:rsidRPr="00A91B96">
        <w:rPr>
          <w:rStyle w:val="libFootnotenumChar"/>
          <w:rtl/>
        </w:rPr>
        <w:t>(7)</w:t>
      </w:r>
      <w:r w:rsidRPr="00020424">
        <w:rPr>
          <w:rtl/>
          <w:lang w:bidi="fa-IR"/>
        </w:rPr>
        <w:t xml:space="preserve"> ، عَنِ الْحُسَيْنِ بْنِ سَعِيدٍ ، عَنْ فَضَالَةَ بْنِ أَيُّوبَ ، عَنِ الْحُسَيْنِ بْنِ عُثْمَانَ ، عَنْ سَمَاعَةَ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الْمَرْأَةِ تَقْضِي شَهْرَ رَمَضَانَ ، فَيُكْرِهُهَا زَوْجُهَا عَلَى الْإفْطَارِ</w:t>
      </w:r>
      <w:r>
        <w:rPr>
          <w:rtl/>
          <w:lang w:bidi="fa-IR"/>
        </w:rPr>
        <w:t>؟</w:t>
      </w:r>
    </w:p>
    <w:p w:rsidR="00992664" w:rsidRPr="00020424" w:rsidRDefault="00992664" w:rsidP="00992664">
      <w:pPr>
        <w:pStyle w:val="libNormal"/>
        <w:rPr>
          <w:rtl/>
          <w:lang w:bidi="fa-IR"/>
        </w:rPr>
      </w:pPr>
      <w:r w:rsidRPr="00020424">
        <w:rPr>
          <w:rtl/>
          <w:lang w:bidi="fa-IR"/>
        </w:rPr>
        <w:t xml:space="preserve">فَقَالَ : « لَا يَنْبَغِي </w:t>
      </w:r>
      <w:r w:rsidRPr="00A91B96">
        <w:rPr>
          <w:rStyle w:val="libFootnotenumChar"/>
          <w:rtl/>
        </w:rPr>
        <w:t>(8)</w:t>
      </w:r>
      <w:r w:rsidRPr="00020424">
        <w:rPr>
          <w:rtl/>
          <w:lang w:bidi="fa-IR"/>
        </w:rPr>
        <w:t xml:space="preserve"> لَهُ أَنْ يُكْرِهَهَا بَعْدَ الزَّوَالِ</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D40848">
        <w:rPr>
          <w:rtl/>
        </w:rPr>
        <w:t>6478</w:t>
      </w:r>
      <w:r w:rsidRPr="001155DE">
        <w:rPr>
          <w:rStyle w:val="libBold2Char"/>
          <w:rtl/>
        </w:rPr>
        <w:t xml:space="preserve"> / 7.</w:t>
      </w:r>
      <w:r w:rsidRPr="00020424">
        <w:rPr>
          <w:rtl/>
          <w:lang w:bidi="fa-IR"/>
        </w:rPr>
        <w:t xml:space="preserve"> أَحْمَدُ بْنُ مُحَمَّدٍ </w:t>
      </w:r>
      <w:r w:rsidRPr="00A91B96">
        <w:rPr>
          <w:rStyle w:val="libFootnotenumChar"/>
          <w:rtl/>
        </w:rPr>
        <w:t>(10)</w:t>
      </w:r>
      <w:r w:rsidRPr="00020424">
        <w:rPr>
          <w:rtl/>
          <w:lang w:bidi="fa-IR"/>
        </w:rPr>
        <w:t xml:space="preserve"> ، عَنِ ابْنِ فَضَّالٍ ، عَنْ صَالِحِ بْنِ عَبْدِ اللهِ الْخَثْعَمِيِّ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يَنْوِي الصَّوْمَ ، فَيَلْقَاهُ أَخُوهُ </w:t>
      </w:r>
      <w:r>
        <w:rPr>
          <w:rtl/>
          <w:lang w:bidi="fa-IR"/>
        </w:rPr>
        <w:t>الَّذِي هُوَ عَلى أَمْرِهِ ، أَ</w:t>
      </w:r>
      <w:r w:rsidRPr="00020424">
        <w:rPr>
          <w:rtl/>
          <w:lang w:bidi="fa-IR"/>
        </w:rPr>
        <w:t xml:space="preserve">يُفْطِرُ </w:t>
      </w:r>
      <w:r w:rsidRPr="00A91B96">
        <w:rPr>
          <w:rStyle w:val="libFootnotenumChar"/>
          <w:rtl/>
        </w:rPr>
        <w:t>(11)</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884 </w:t>
      </w:r>
      <w:r w:rsidR="00992664" w:rsidRPr="00FD6221">
        <w:rPr>
          <w:rStyle w:val="libFootnoteBoldChar"/>
          <w:rtl/>
        </w:rPr>
        <w:t>والاستبصار</w:t>
      </w:r>
      <w:r w:rsidR="00992664" w:rsidRPr="00020424">
        <w:rPr>
          <w:rtl/>
        </w:rPr>
        <w:t xml:space="preserve"> ، ح 391 : « في يوم بعد الزوال » بدل « بعد زوال الشمس</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8519F" w:rsidTr="0008519F">
        <w:tc>
          <w:tcPr>
            <w:tcW w:w="4006" w:type="dxa"/>
          </w:tcPr>
          <w:p w:rsidR="0008519F" w:rsidRDefault="0008519F" w:rsidP="00992664">
            <w:pPr>
              <w:pStyle w:val="libFootnote0"/>
              <w:rPr>
                <w:rtl/>
              </w:rPr>
            </w:pPr>
            <w:r>
              <w:rPr>
                <w:rtl/>
              </w:rPr>
              <w:t xml:space="preserve">(2). </w:t>
            </w:r>
            <w:r w:rsidRPr="00020424">
              <w:rPr>
                <w:rtl/>
              </w:rPr>
              <w:t xml:space="preserve">في </w:t>
            </w:r>
            <w:r w:rsidRPr="0012008A">
              <w:rPr>
                <w:rStyle w:val="libFootnoteBoldChar"/>
                <w:rtl/>
              </w:rPr>
              <w:t>الفقيه</w:t>
            </w:r>
            <w:r w:rsidRPr="00020424">
              <w:rPr>
                <w:rtl/>
              </w:rPr>
              <w:t xml:space="preserve"> : + « لكلّ مسكين مدّ</w:t>
            </w:r>
            <w:r>
              <w:rPr>
                <w:rtl/>
              </w:rPr>
              <w:t xml:space="preserve"> ».</w:t>
            </w:r>
          </w:p>
        </w:tc>
        <w:tc>
          <w:tcPr>
            <w:tcW w:w="4006" w:type="dxa"/>
          </w:tcPr>
          <w:p w:rsidR="0008519F" w:rsidRDefault="0008519F"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w:t>
            </w:r>
            <w:r w:rsidRPr="00EB1FD9">
              <w:rPr>
                <w:rStyle w:val="libFootnoteBoldChar"/>
                <w:rtl/>
              </w:rPr>
              <w:t>والوسائل</w:t>
            </w:r>
            <w:r>
              <w:rPr>
                <w:rtl/>
              </w:rPr>
              <w:t>،</w:t>
            </w:r>
            <w:r w:rsidRPr="00020424">
              <w:rPr>
                <w:rtl/>
              </w:rPr>
              <w:t>ح 13576</w:t>
            </w:r>
            <w:r w:rsidRPr="00FD6221">
              <w:rPr>
                <w:rStyle w:val="libFootnoteBoldChar"/>
                <w:rtl/>
              </w:rPr>
              <w:t>والفقيه</w:t>
            </w:r>
            <w:r>
              <w:rPr>
                <w:rtl/>
              </w:rPr>
              <w:t>:+«</w:t>
            </w:r>
            <w:r w:rsidRPr="00020424">
              <w:rPr>
                <w:rtl/>
              </w:rPr>
              <w:t>عليه</w:t>
            </w:r>
            <w:r>
              <w:rPr>
                <w:rtl/>
              </w:rPr>
              <w:t>».</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وصام ثلاثة أيّام ، لعلّه على المشهور محمول على ما إذا عجز عن الإطعام ؛ فإنّ الأكثر ذهبوا إلى أنّ كفّارة إفطار قضاء شهر رمضان بعد الزوال إطعام عشرة مساكين لكلّ مسكين مدّ</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الاستبصار ، ح 391 :</w:t>
      </w:r>
      <w:r w:rsidR="00992664">
        <w:rPr>
          <w:rtl/>
        </w:rPr>
        <w:t xml:space="preserve"> </w:t>
      </w:r>
      <w:r w:rsidR="009B673F">
        <w:rPr>
          <w:rtl/>
        </w:rPr>
        <w:t>-</w:t>
      </w:r>
      <w:r w:rsidR="00992664">
        <w:rPr>
          <w:rtl/>
        </w:rPr>
        <w:t xml:space="preserve"> </w:t>
      </w:r>
      <w:r w:rsidR="00992664" w:rsidRPr="00020424">
        <w:rPr>
          <w:rtl/>
        </w:rPr>
        <w:t>« فإن لم يقدر صام</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كفّارة لما صنع</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278 ، ح 884 ؛ </w:t>
      </w:r>
      <w:r w:rsidR="00992664" w:rsidRPr="00FD6221">
        <w:rPr>
          <w:rStyle w:val="libFootnoteBoldChar"/>
          <w:rtl/>
        </w:rPr>
        <w:t>والاستبصار</w:t>
      </w:r>
      <w:r w:rsidR="00992664" w:rsidRPr="00020424">
        <w:rPr>
          <w:rtl/>
        </w:rPr>
        <w:t xml:space="preserve"> ، ج 2 ، ص 120 ، ح 391 ، معلّقاً عن الكليني. </w:t>
      </w:r>
      <w:r w:rsidR="00992664" w:rsidRPr="0012008A">
        <w:rPr>
          <w:rStyle w:val="libFootnoteBoldChar"/>
          <w:rtl/>
        </w:rPr>
        <w:t>الفقيه</w:t>
      </w:r>
      <w:r w:rsidR="00992664" w:rsidRPr="00020424">
        <w:rPr>
          <w:rtl/>
        </w:rPr>
        <w:t xml:space="preserve"> ، ج 2 ، ص 149 ، ح 2000 ، معلّقاً عن ابن محبوب. وفي </w:t>
      </w:r>
      <w:r w:rsidR="00992664" w:rsidRPr="0012008A">
        <w:rPr>
          <w:rStyle w:val="libFootnoteBoldChar"/>
          <w:rtl/>
        </w:rPr>
        <w:t>التهذيب</w:t>
      </w:r>
      <w:r w:rsidR="00992664" w:rsidRPr="00020424">
        <w:rPr>
          <w:rtl/>
        </w:rPr>
        <w:t xml:space="preserve"> ، ج 4 ، ص 279 ، ح 845 ؛ </w:t>
      </w:r>
      <w:r w:rsidR="00992664" w:rsidRPr="00FD6221">
        <w:rPr>
          <w:rStyle w:val="libFootnoteBoldChar"/>
          <w:rtl/>
        </w:rPr>
        <w:t>والاستبصار</w:t>
      </w:r>
      <w:r w:rsidR="00992664" w:rsidRPr="00020424">
        <w:rPr>
          <w:rtl/>
        </w:rPr>
        <w:t xml:space="preserve"> ، ج 2 ، ص 120 ، ح 392 ، بسند آخر عن أبي عبدالله </w:t>
      </w:r>
      <w:r w:rsidR="00992664" w:rsidRPr="00D64ADA">
        <w:rPr>
          <w:rStyle w:val="libFootnoteAlaemChar"/>
          <w:rtl/>
        </w:rPr>
        <w:t>عليه‌السلام</w:t>
      </w:r>
      <w:r w:rsidR="00992664" w:rsidRPr="00020424">
        <w:rPr>
          <w:rtl/>
        </w:rPr>
        <w:t xml:space="preserve"> ، مع اختلاف </w:t>
      </w:r>
      <w:r w:rsidR="003B1162">
        <w:rPr>
          <w:rFonts w:hint="cs"/>
          <w:rtl/>
        </w:rPr>
        <w:t>.</w:t>
      </w:r>
      <w:r w:rsidR="00992664" w:rsidRPr="0012008A">
        <w:rPr>
          <w:rStyle w:val="libFootnoteBoldChar"/>
          <w:rtl/>
        </w:rPr>
        <w:t>الوافي</w:t>
      </w:r>
      <w:r w:rsidR="00992664" w:rsidRPr="00020424">
        <w:rPr>
          <w:rtl/>
        </w:rPr>
        <w:t xml:space="preserve"> ، ج 11 ، ص 337 ، ح 10989 ؛ </w:t>
      </w:r>
      <w:r w:rsidR="00992664" w:rsidRPr="0012008A">
        <w:rPr>
          <w:rStyle w:val="libFootnoteBoldChar"/>
          <w:rtl/>
        </w:rPr>
        <w:t>الوسائل</w:t>
      </w:r>
      <w:r w:rsidR="00992664" w:rsidRPr="00020424">
        <w:rPr>
          <w:rtl/>
        </w:rPr>
        <w:t xml:space="preserve"> ، ج 10 ، ص 15 ، ح 12716 ؛ وص 347 ، ح 13576.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ينبغي ، ظاهره الكراهة ، وحمل على الحرمة</w:t>
      </w:r>
      <w:r w:rsidR="00992664">
        <w:rPr>
          <w:rtl/>
        </w:rPr>
        <w:t xml:space="preserve"> ».</w:t>
      </w:r>
    </w:p>
    <w:p w:rsidR="00992664" w:rsidRPr="00020424" w:rsidRDefault="00795177" w:rsidP="003B1162">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278 ، ح 842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120 ، ح 390 ، معلّقاً عن الحسين بن سعيد. </w:t>
      </w:r>
      <w:r w:rsidR="00992664" w:rsidRPr="0012008A">
        <w:rPr>
          <w:rStyle w:val="libFootnoteBoldChar"/>
          <w:rtl/>
        </w:rPr>
        <w:t>الفقيه</w:t>
      </w:r>
      <w:r w:rsidR="00992664" w:rsidRPr="00020424">
        <w:rPr>
          <w:rtl/>
        </w:rPr>
        <w:t xml:space="preserve"> ، ج 2 ، ص 149 ، ح 2001 ، معلّقاً عن سماعة </w:t>
      </w:r>
      <w:r w:rsidR="003B1162">
        <w:rPr>
          <w:rFonts w:hint="cs"/>
          <w:rtl/>
        </w:rPr>
        <w:t>.</w:t>
      </w:r>
      <w:r w:rsidR="00992664" w:rsidRPr="0012008A">
        <w:rPr>
          <w:rStyle w:val="libFootnoteBoldChar"/>
          <w:rtl/>
        </w:rPr>
        <w:t>الوافي</w:t>
      </w:r>
      <w:r w:rsidR="00992664" w:rsidRPr="00020424">
        <w:rPr>
          <w:rtl/>
        </w:rPr>
        <w:t xml:space="preserve"> ، ج 11 ، ص 236 ، ح 10762 ؛ </w:t>
      </w:r>
      <w:r w:rsidR="00992664" w:rsidRPr="0012008A">
        <w:rPr>
          <w:rStyle w:val="libFootnoteBoldChar"/>
          <w:rtl/>
        </w:rPr>
        <w:t>الوسائل</w:t>
      </w:r>
      <w:r w:rsidR="00992664" w:rsidRPr="00020424">
        <w:rPr>
          <w:rtl/>
        </w:rPr>
        <w:t xml:space="preserve"> ، ج 10 ، ص 16 ، ح 12717.</w:t>
      </w:r>
      <w:r w:rsidR="003B1162">
        <w:rPr>
          <w:rFonts w:hint="cs"/>
          <w:rtl/>
        </w:rPr>
        <w:t xml:space="preserve">                                      </w:t>
      </w:r>
      <w:r>
        <w:rPr>
          <w:rtl/>
        </w:rPr>
        <w:t>(10).</w:t>
      </w:r>
      <w:r w:rsidR="0014403D">
        <w:rPr>
          <w:rtl/>
        </w:rPr>
        <w:t xml:space="preserve"> </w:t>
      </w:r>
      <w:r w:rsidR="00992664" w:rsidRPr="00020424">
        <w:rPr>
          <w:rtl/>
        </w:rPr>
        <w:t>السند معلّق ، كسابقه.</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 « يفطر » بدون همزة الاستفهام. وفي </w:t>
      </w:r>
      <w:r w:rsidR="00992664" w:rsidRPr="0012008A">
        <w:rPr>
          <w:rStyle w:val="libFootnoteBoldChar"/>
          <w:rtl/>
        </w:rPr>
        <w:t>الفقيه</w:t>
      </w:r>
      <w:r w:rsidR="00992664" w:rsidRPr="00020424">
        <w:rPr>
          <w:rtl/>
        </w:rPr>
        <w:t xml:space="preserve"> : « فيسأله أن يفطر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إِنْ كَانَ </w:t>
      </w:r>
      <w:r w:rsidRPr="00A91B96">
        <w:rPr>
          <w:rStyle w:val="libFootnotenumChar"/>
          <w:rtl/>
        </w:rPr>
        <w:t>(1)</w:t>
      </w:r>
      <w:r w:rsidRPr="00020424">
        <w:rPr>
          <w:rtl/>
          <w:lang w:bidi="fa-IR"/>
        </w:rPr>
        <w:t xml:space="preserve"> تَطَوُّعاً ، أَجْزَأَهُ وَحُسِبَ لَهُ ، وَإِنْ كَانَ قَضَاءَ فَرِيضَةٍ ، قَضَاهُ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429" w:name="_Toc345172859"/>
      <w:bookmarkStart w:id="430" w:name="_Toc464562675"/>
      <w:bookmarkStart w:id="431" w:name="_Toc44599980"/>
      <w:r w:rsidRPr="00020424">
        <w:rPr>
          <w:rtl/>
          <w:lang w:bidi="fa-IR"/>
        </w:rPr>
        <w:t>43</w:t>
      </w:r>
      <w:r>
        <w:rPr>
          <w:rtl/>
          <w:lang w:bidi="fa-IR"/>
        </w:rPr>
        <w:t xml:space="preserve"> </w:t>
      </w:r>
      <w:r w:rsidR="009B673F">
        <w:rPr>
          <w:rtl/>
          <w:lang w:bidi="fa-IR"/>
        </w:rPr>
        <w:t>-</w:t>
      </w:r>
      <w:r>
        <w:rPr>
          <w:rtl/>
          <w:lang w:bidi="fa-IR"/>
        </w:rPr>
        <w:t xml:space="preserve"> </w:t>
      </w:r>
      <w:r w:rsidRPr="00020424">
        <w:rPr>
          <w:rtl/>
          <w:lang w:bidi="fa-IR"/>
        </w:rPr>
        <w:t>بَابُ الرَّجُلِ يَتَطَوَّعُ بِالصِّيَامِ وَعَلَيْهِ مِنْ قَضَاءِ شَهْرِ رَمَضَانَ‌</w:t>
      </w:r>
      <w:bookmarkEnd w:id="429"/>
      <w:bookmarkEnd w:id="430"/>
      <w:bookmarkEnd w:id="431"/>
    </w:p>
    <w:p w:rsidR="00992664" w:rsidRPr="00020424" w:rsidRDefault="00992664" w:rsidP="00992664">
      <w:pPr>
        <w:pStyle w:val="libNormal"/>
        <w:rPr>
          <w:rtl/>
          <w:lang w:bidi="fa-IR"/>
        </w:rPr>
      </w:pPr>
      <w:r w:rsidRPr="00D40848">
        <w:rPr>
          <w:rtl/>
        </w:rPr>
        <w:t>6479</w:t>
      </w:r>
      <w:r w:rsidRPr="001155DE">
        <w:rPr>
          <w:rStyle w:val="libBold2Char"/>
          <w:rtl/>
        </w:rPr>
        <w:t xml:space="preserve"> / 1.</w:t>
      </w:r>
      <w:r w:rsidRPr="00020424">
        <w:rPr>
          <w:rtl/>
          <w:lang w:bidi="fa-IR"/>
        </w:rPr>
        <w:t xml:space="preserve"> مُحَمَّدُ بْنُ يَحْيى ، عَنْ أَحْمَدَ بْنِ مُحَمَّدٍ ، عَنْ مُحَمَّدِ بْنِ إِسْمَاعِيلَ ، عَنْ مُحَمَّدِ بْنِ الْفُضَيْلِ ، عَنْ أَبِي الصَّبَّاحِ الْكِنَانِيِّ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رَجُلٍ عَلَيْهِ مِنْ</w:t>
      </w:r>
      <w:r>
        <w:rPr>
          <w:rtl/>
          <w:lang w:bidi="fa-IR"/>
        </w:rPr>
        <w:t xml:space="preserve"> شَهْرِ رَمَضَانَ أَيَّامٌ : أَ</w:t>
      </w:r>
      <w:r w:rsidRPr="00020424">
        <w:rPr>
          <w:rtl/>
          <w:lang w:bidi="fa-IR"/>
        </w:rPr>
        <w:t>يَتَطَوَّعُ</w:t>
      </w:r>
      <w:r>
        <w:rPr>
          <w:rtl/>
          <w:lang w:bidi="fa-IR"/>
        </w:rPr>
        <w:t>؟</w:t>
      </w:r>
    </w:p>
    <w:p w:rsidR="00992664" w:rsidRPr="00020424" w:rsidRDefault="00992664" w:rsidP="00992664">
      <w:pPr>
        <w:pStyle w:val="libNormal"/>
        <w:rPr>
          <w:rtl/>
          <w:lang w:bidi="fa-IR"/>
        </w:rPr>
      </w:pPr>
      <w:r w:rsidRPr="00020424">
        <w:rPr>
          <w:rtl/>
          <w:lang w:bidi="fa-IR"/>
        </w:rPr>
        <w:t>فَقَالَ : « لَا ، حَتّى يَقْضِيَ مَا عَلَيْهِ مِنْ شَهْرِ رَمَضَانَ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r w:rsidRPr="00020424">
        <w:t>‌</w:t>
      </w:r>
    </w:p>
    <w:p w:rsidR="00992664" w:rsidRPr="00020424" w:rsidRDefault="00992664" w:rsidP="00992664">
      <w:pPr>
        <w:pStyle w:val="libNormal"/>
        <w:rPr>
          <w:rtl/>
          <w:lang w:bidi="fa-IR"/>
        </w:rPr>
      </w:pPr>
      <w:r w:rsidRPr="00D40848">
        <w:rPr>
          <w:rtl/>
        </w:rPr>
        <w:t>6480</w:t>
      </w:r>
      <w:r w:rsidRPr="001155DE">
        <w:rPr>
          <w:rStyle w:val="libBold2Char"/>
          <w:rtl/>
        </w:rPr>
        <w:t xml:space="preserve"> / 2.</w:t>
      </w:r>
      <w:r w:rsidRPr="00020424">
        <w:rPr>
          <w:rtl/>
          <w:lang w:bidi="fa-IR"/>
        </w:rPr>
        <w:t xml:space="preserve"> عَلِيُّ بْنُ إِبْرَاهِيمَ ، عَنْ أَبِيهِ ، عَنِ ابْنِ أَبِي عُمَيْرٍ ، عَنْ حَمَّادٍ ، عَنِ الْحَلَبِيِّ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عَلَيْهِ مِنْ </w:t>
      </w:r>
      <w:r>
        <w:rPr>
          <w:rtl/>
          <w:lang w:bidi="fa-IR"/>
        </w:rPr>
        <w:t>شَهْرِ رَمَضَانَ طَائِفَةٌ : أَ</w:t>
      </w:r>
      <w:r w:rsidRPr="00020424">
        <w:rPr>
          <w:rtl/>
          <w:lang w:bidi="fa-IR"/>
        </w:rPr>
        <w:t>يَتَطَوَّعُ</w:t>
      </w:r>
      <w:r>
        <w:rPr>
          <w:rtl/>
          <w:lang w:bidi="fa-IR"/>
        </w:rPr>
        <w:t>؟</w:t>
      </w:r>
    </w:p>
    <w:p w:rsidR="00992664" w:rsidRPr="00020424" w:rsidRDefault="00992664" w:rsidP="00992664">
      <w:pPr>
        <w:pStyle w:val="libNormal"/>
        <w:rPr>
          <w:rtl/>
          <w:lang w:bidi="fa-IR"/>
        </w:rPr>
      </w:pPr>
      <w:r w:rsidRPr="00020424">
        <w:rPr>
          <w:rtl/>
          <w:lang w:bidi="fa-IR"/>
        </w:rPr>
        <w:t>فَقَالَ : « لَا ، حَتّى يَقْضِيَ مَا عَلَيْهِ مِنْ شَهْرِ رَمَضَانَ</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r w:rsidRPr="00020424">
        <w:t>‌</w:t>
      </w:r>
    </w:p>
    <w:p w:rsidR="00992664" w:rsidRPr="00020424" w:rsidRDefault="00992664" w:rsidP="00992664">
      <w:pPr>
        <w:pStyle w:val="Heading2Center"/>
        <w:rPr>
          <w:rtl/>
          <w:lang w:bidi="fa-IR"/>
        </w:rPr>
      </w:pPr>
      <w:bookmarkStart w:id="432" w:name="_Toc345172860"/>
      <w:bookmarkStart w:id="433" w:name="_Toc464562676"/>
      <w:bookmarkStart w:id="434" w:name="_Toc44599981"/>
      <w:r w:rsidRPr="00020424">
        <w:rPr>
          <w:rtl/>
          <w:lang w:bidi="fa-IR"/>
        </w:rPr>
        <w:t>44</w:t>
      </w:r>
      <w:r>
        <w:rPr>
          <w:rtl/>
          <w:lang w:bidi="fa-IR"/>
        </w:rPr>
        <w:t xml:space="preserve"> </w:t>
      </w:r>
      <w:r w:rsidR="009B673F">
        <w:rPr>
          <w:rtl/>
          <w:lang w:bidi="fa-IR"/>
        </w:rPr>
        <w:t>-</w:t>
      </w:r>
      <w:r>
        <w:rPr>
          <w:rtl/>
          <w:lang w:bidi="fa-IR"/>
        </w:rPr>
        <w:t xml:space="preserve"> </w:t>
      </w:r>
      <w:r w:rsidRPr="00020424">
        <w:rPr>
          <w:rtl/>
          <w:lang w:bidi="fa-IR"/>
        </w:rPr>
        <w:t xml:space="preserve">بَابُ الرَّجُلِ يَمُوتُ وَعَلَيْهِ مِنْ صِيَامِ شَهْرِ رَمَضَانَ أَوْ غَيْرِهِ </w:t>
      </w:r>
      <w:r w:rsidRPr="00A91B96">
        <w:rPr>
          <w:rStyle w:val="libFootnotenumChar"/>
          <w:rtl/>
        </w:rPr>
        <w:t>(5)</w:t>
      </w:r>
      <w:r w:rsidRPr="00020424">
        <w:rPr>
          <w:rtl/>
          <w:lang w:bidi="fa-IR"/>
        </w:rPr>
        <w:t xml:space="preserve"> ‌</w:t>
      </w:r>
      <w:bookmarkEnd w:id="432"/>
      <w:bookmarkEnd w:id="433"/>
      <w:bookmarkEnd w:id="434"/>
    </w:p>
    <w:p w:rsidR="003B1162" w:rsidRDefault="00992664" w:rsidP="003B1162">
      <w:pPr>
        <w:pStyle w:val="libNormal"/>
        <w:rPr>
          <w:rtl/>
          <w:lang w:bidi="fa-IR"/>
        </w:rPr>
      </w:pPr>
      <w:r w:rsidRPr="00D40848">
        <w:rPr>
          <w:rtl/>
        </w:rPr>
        <w:t>6481</w:t>
      </w:r>
      <w:r w:rsidRPr="001155DE">
        <w:rPr>
          <w:rStyle w:val="libBold2Char"/>
          <w:rtl/>
        </w:rPr>
        <w:t xml:space="preserve"> / 1.</w:t>
      </w:r>
      <w:r w:rsidRPr="00020424">
        <w:rPr>
          <w:rtl/>
          <w:lang w:bidi="fa-IR"/>
        </w:rPr>
        <w:t xml:space="preserve"> عَلِيُّ بْنُ إِبْرَاهِيمَ ، عَنْ أَبِيهِ ؛</w:t>
      </w:r>
    </w:p>
    <w:p w:rsidR="00992664" w:rsidRPr="00020424" w:rsidRDefault="003B1162" w:rsidP="003B1162">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حَفْصِ بْنِ الْبَخْتَرِيِّ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الصوم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149 ، ح 2003 ، معلّقاً عن ابن فضّال </w:t>
      </w:r>
      <w:r w:rsidR="006D4760">
        <w:rPr>
          <w:rFonts w:hint="cs"/>
          <w:rtl/>
        </w:rPr>
        <w:t>.</w:t>
      </w:r>
      <w:r w:rsidR="00992664" w:rsidRPr="0012008A">
        <w:rPr>
          <w:rStyle w:val="libFootnoteBoldChar"/>
          <w:rtl/>
        </w:rPr>
        <w:t>الوافي</w:t>
      </w:r>
      <w:r w:rsidR="00992664" w:rsidRPr="00020424">
        <w:rPr>
          <w:rtl/>
        </w:rPr>
        <w:t xml:space="preserve"> ، ج 11 ، ص 235 ، ح 10761 ؛ </w:t>
      </w:r>
      <w:r w:rsidR="00992664" w:rsidRPr="0012008A">
        <w:rPr>
          <w:rStyle w:val="libFootnoteBoldChar"/>
          <w:rtl/>
        </w:rPr>
        <w:t>الوسائل</w:t>
      </w:r>
      <w:r w:rsidR="00992664" w:rsidRPr="00020424">
        <w:rPr>
          <w:rtl/>
        </w:rPr>
        <w:t xml:space="preserve"> ، ج 10 ، ص 16 ، ح 12718 ؛ وص 152 ، ح 13085.</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276 ، ح 836 ، معلّقاً عن الكليني </w:t>
      </w:r>
      <w:r w:rsidR="006D4760">
        <w:rPr>
          <w:rFonts w:hint="cs"/>
          <w:rtl/>
        </w:rPr>
        <w:t>.</w:t>
      </w:r>
      <w:r w:rsidR="00992664" w:rsidRPr="0012008A">
        <w:rPr>
          <w:rStyle w:val="libFootnoteBoldChar"/>
          <w:rtl/>
        </w:rPr>
        <w:t>الوافي</w:t>
      </w:r>
      <w:r w:rsidR="00992664" w:rsidRPr="00020424">
        <w:rPr>
          <w:rtl/>
        </w:rPr>
        <w:t xml:space="preserve"> ، ج 11 ، ص 89 ، ح 10470 ؛ </w:t>
      </w:r>
      <w:r w:rsidR="00992664" w:rsidRPr="0012008A">
        <w:rPr>
          <w:rStyle w:val="libFootnoteBoldChar"/>
          <w:rtl/>
        </w:rPr>
        <w:t>الوسائل</w:t>
      </w:r>
      <w:r w:rsidR="00992664" w:rsidRPr="00020424">
        <w:rPr>
          <w:rtl/>
        </w:rPr>
        <w:t xml:space="preserve"> ، ج 10 ، ص 346 ، ح 13575.</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276 ، ح 835 ، معلّقاً عن الكليني </w:t>
      </w:r>
      <w:r w:rsidR="006D4760">
        <w:rPr>
          <w:rFonts w:hint="cs"/>
          <w:rtl/>
        </w:rPr>
        <w:t>.</w:t>
      </w:r>
      <w:r w:rsidR="00992664" w:rsidRPr="0012008A">
        <w:rPr>
          <w:rStyle w:val="libFootnoteBoldChar"/>
          <w:rtl/>
        </w:rPr>
        <w:t>الوافي</w:t>
      </w:r>
      <w:r w:rsidR="00992664" w:rsidRPr="00020424">
        <w:rPr>
          <w:rtl/>
        </w:rPr>
        <w:t xml:space="preserve"> ، ج 11 ، ص 89 ، ح 10469 ؛ </w:t>
      </w:r>
      <w:r w:rsidR="00992664" w:rsidRPr="0012008A">
        <w:rPr>
          <w:rStyle w:val="libFootnoteBoldChar"/>
          <w:rtl/>
        </w:rPr>
        <w:t>الوسائل</w:t>
      </w:r>
      <w:r w:rsidR="00992664" w:rsidRPr="00020424">
        <w:rPr>
          <w:rtl/>
        </w:rPr>
        <w:t xml:space="preserve"> ، ج 10 ، ص 346 ، ح 13574.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بخ » : « وغيره</w:t>
      </w:r>
      <w:r w:rsidR="00992664">
        <w:rPr>
          <w:rtl/>
        </w:rPr>
        <w:t xml:space="preserve"> ».</w:t>
      </w:r>
      <w:r w:rsidR="00992664" w:rsidRPr="00020424">
        <w:rPr>
          <w:rtl/>
        </w:rPr>
        <w:t xml:space="preserve"> وفي « جن » :</w:t>
      </w:r>
      <w:r w:rsidR="00992664">
        <w:rPr>
          <w:rtl/>
        </w:rPr>
        <w:t xml:space="preserve"> </w:t>
      </w:r>
      <w:r w:rsidR="009B673F">
        <w:rPr>
          <w:rtl/>
        </w:rPr>
        <w:t>-</w:t>
      </w:r>
      <w:r w:rsidR="00992664">
        <w:rPr>
          <w:rtl/>
        </w:rPr>
        <w:t xml:space="preserve"> </w:t>
      </w:r>
      <w:r w:rsidR="00992664" w:rsidRPr="00020424">
        <w:rPr>
          <w:rtl/>
        </w:rPr>
        <w:t>« باب الرجل</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أو غيره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يَمُوتُ وَعَلَيْهِ صَلَاةٌ أَوْ صِيَامٌ ، قَالَ : « يَقْضِي عَنْهُ أَوْلَى النَّاسِ بِمِيرَاثِهِ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فَإِنْ </w:t>
      </w:r>
      <w:r w:rsidRPr="00A91B96">
        <w:rPr>
          <w:rStyle w:val="libFootnotenumChar"/>
          <w:rtl/>
        </w:rPr>
        <w:t>(1)</w:t>
      </w:r>
      <w:r w:rsidRPr="00020424">
        <w:rPr>
          <w:rtl/>
          <w:lang w:bidi="fa-IR"/>
        </w:rPr>
        <w:t xml:space="preserve"> كَانَ أَوْلَى النَّاسِ بِهِ امْرَأَةً</w:t>
      </w:r>
      <w:r>
        <w:rPr>
          <w:rtl/>
          <w:lang w:bidi="fa-IR"/>
        </w:rPr>
        <w:t>؟</w:t>
      </w:r>
    </w:p>
    <w:p w:rsidR="00992664" w:rsidRPr="00020424" w:rsidRDefault="00E27299" w:rsidP="00992664">
      <w:pPr>
        <w:pStyle w:val="libNormal"/>
        <w:rPr>
          <w:rtl/>
          <w:lang w:bidi="fa-IR"/>
        </w:rPr>
      </w:pPr>
      <w:r>
        <w:rPr>
          <w:rtl/>
          <w:lang w:bidi="fa-IR"/>
        </w:rPr>
        <w:t>فَقَالَ : « لَا ، إِل</w:t>
      </w:r>
      <w:r>
        <w:rPr>
          <w:rFonts w:hint="cs"/>
          <w:rtl/>
          <w:lang w:bidi="fa-IR"/>
        </w:rPr>
        <w:t>َّ</w:t>
      </w:r>
      <w:r>
        <w:rPr>
          <w:rtl/>
          <w:lang w:bidi="fa-IR"/>
        </w:rPr>
        <w:t>ا</w:t>
      </w:r>
      <w:r w:rsidR="00992664" w:rsidRPr="00020424">
        <w:rPr>
          <w:rtl/>
          <w:lang w:bidi="fa-IR"/>
        </w:rPr>
        <w:t xml:space="preserve"> الرِّجَالُ</w:t>
      </w:r>
      <w:r w:rsidR="00992664">
        <w:rPr>
          <w:rtl/>
          <w:lang w:bidi="fa-IR"/>
        </w:rPr>
        <w:t xml:space="preserve"> ».</w:t>
      </w:r>
      <w:r w:rsidR="00992664" w:rsidRPr="00020424">
        <w:rPr>
          <w:rtl/>
          <w:lang w:bidi="fa-IR"/>
        </w:rPr>
        <w:t xml:space="preserve"> </w:t>
      </w:r>
      <w:r w:rsidR="00992664" w:rsidRPr="00A91B96">
        <w:rPr>
          <w:rStyle w:val="libFootnotenumChar"/>
          <w:rtl/>
        </w:rPr>
        <w:t>(2)</w:t>
      </w:r>
      <w:r w:rsidR="00992664" w:rsidRPr="00020424">
        <w:rPr>
          <w:rtl/>
          <w:lang w:bidi="fa-IR"/>
        </w:rPr>
        <w:t xml:space="preserve"> ‌</w:t>
      </w:r>
    </w:p>
    <w:p w:rsidR="00992664" w:rsidRPr="00020424" w:rsidRDefault="00992664" w:rsidP="00992664">
      <w:pPr>
        <w:pStyle w:val="libNormal"/>
        <w:rPr>
          <w:rtl/>
          <w:lang w:bidi="fa-IR"/>
        </w:rPr>
      </w:pPr>
      <w:r w:rsidRPr="00D40848">
        <w:rPr>
          <w:rtl/>
        </w:rPr>
        <w:t>6482</w:t>
      </w:r>
      <w:r w:rsidRPr="001155DE">
        <w:rPr>
          <w:rStyle w:val="libBold2Char"/>
          <w:rtl/>
        </w:rPr>
        <w:t xml:space="preserve"> / 2.</w:t>
      </w:r>
      <w:r w:rsidRPr="00020424">
        <w:rPr>
          <w:rtl/>
          <w:lang w:bidi="fa-IR"/>
        </w:rPr>
        <w:t xml:space="preserve"> مُحَمَّدُ بْنُ يَحْيى ، عَنْ مُحَمَّدِ بْنِ الْحُسَيْنِ ، عَنْ عَلِيِّ بْنِ الْحَكَمِ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سَأَلْتُهُ عَنْ رَجُلٍ أَدْرَكَهُ شَهْرُ </w:t>
      </w:r>
      <w:r w:rsidRPr="00A91B96">
        <w:rPr>
          <w:rStyle w:val="libFootnotenumChar"/>
          <w:rtl/>
        </w:rPr>
        <w:t>(3)</w:t>
      </w:r>
      <w:r w:rsidRPr="00020424">
        <w:rPr>
          <w:rtl/>
          <w:lang w:bidi="fa-IR"/>
        </w:rPr>
        <w:t xml:space="preserve"> رَمَضَانَ وَهُوَ مَرِيضٌ ، فَتُوُفِّيَ قَبْلَ أَنْ يَبْرَأَ</w:t>
      </w:r>
      <w:r>
        <w:rPr>
          <w:rtl/>
          <w:lang w:bidi="fa-IR"/>
        </w:rPr>
        <w:t>؟</w:t>
      </w:r>
    </w:p>
    <w:p w:rsidR="00992664" w:rsidRPr="00020424" w:rsidRDefault="00992664" w:rsidP="00992664">
      <w:pPr>
        <w:pStyle w:val="libNormal"/>
        <w:rPr>
          <w:rtl/>
          <w:lang w:bidi="fa-IR"/>
        </w:rPr>
      </w:pPr>
      <w:r w:rsidRPr="00020424">
        <w:rPr>
          <w:rtl/>
          <w:lang w:bidi="fa-IR"/>
        </w:rPr>
        <w:t>قَالَ : « لَيْسَ عَلَيْهِ شَيْ‌ءٌ ، وَلكِنْ يُقْضى عَنِ الَّذِي يَبْرَأُ ، ثُمَّ يَمُوتُ قَبْلَ أَنْ يَقْضِيَ</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40848">
        <w:rPr>
          <w:rtl/>
        </w:rPr>
        <w:t>6483</w:t>
      </w:r>
      <w:r w:rsidRPr="001155DE">
        <w:rPr>
          <w:rStyle w:val="libBold2Char"/>
          <w:rtl/>
        </w:rPr>
        <w:t xml:space="preserve"> / 3.</w:t>
      </w:r>
      <w:r w:rsidRPr="00020424">
        <w:rPr>
          <w:rtl/>
          <w:lang w:bidi="fa-IR"/>
        </w:rPr>
        <w:t xml:space="preserve"> الْحُسَيْنُ بْنُ مُحَمَّدٍ ، عَنْ مُعَلَّى بْنِ مُحَمَّدٍ ، عَنِ الْحَسَنِ بْنِ عَلِيٍّ الْوَشَّاءِ ، عَنْ أَبَانِ بْنِ عُثْمَانَ ، عَنْ أَبِي مَرْيَمَ الْأَنْصَارِيِّ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صَامَ الرَّجُلُ شَيْئاً مِنْ شَهْرِ رَمَضَانَ ، ثُمَّ لَمْ يَزَلْ مَرِيضاً حَتّى مَاتَ ، فَلَيْسَ عَلَيْهِ شَيْ‌ءٌ ؛ وَإِنْ صَحَّ ، ثُمَّ مَرِضَ ، ثُمَّ مَاتَ ، وَكَانَ </w:t>
      </w:r>
      <w:r w:rsidRPr="00A91B96">
        <w:rPr>
          <w:rStyle w:val="libFootnotenumChar"/>
          <w:rtl/>
        </w:rPr>
        <w:t>(5)</w:t>
      </w:r>
      <w:r w:rsidRPr="00020424">
        <w:rPr>
          <w:rtl/>
          <w:lang w:bidi="fa-IR"/>
        </w:rPr>
        <w:t xml:space="preserve"> لَهُ مَالٌ ، تُصُدِّقَ عَنْهُ مَكَانَ كُلِّ يَوْمٍ بِمُدٍّ ، وَإِنْ لَمْ يَكُنْ لَهُ </w:t>
      </w:r>
      <w:r w:rsidRPr="00A91B96">
        <w:rPr>
          <w:rStyle w:val="libFootnotenumChar"/>
          <w:rtl/>
        </w:rPr>
        <w:t>(6)</w:t>
      </w:r>
      <w:r w:rsidRPr="00020424">
        <w:rPr>
          <w:rtl/>
          <w:lang w:bidi="fa-IR"/>
        </w:rPr>
        <w:t xml:space="preserve"> مَالٌ </w:t>
      </w:r>
      <w:r w:rsidRPr="00A91B96">
        <w:rPr>
          <w:rStyle w:val="libFootnotenumChar"/>
          <w:rtl/>
        </w:rPr>
        <w:t>(7)</w:t>
      </w:r>
      <w:r w:rsidRPr="00020424">
        <w:rPr>
          <w:rtl/>
          <w:lang w:bidi="fa-IR"/>
        </w:rPr>
        <w:t xml:space="preserve"> ، صَامَ </w:t>
      </w:r>
      <w:r w:rsidRPr="00A91B96">
        <w:rPr>
          <w:rStyle w:val="libFootnotenumChar"/>
          <w:rtl/>
        </w:rPr>
        <w:t>(8)</w:t>
      </w:r>
      <w:r w:rsidRPr="00020424">
        <w:rPr>
          <w:rtl/>
          <w:lang w:bidi="fa-IR"/>
        </w:rPr>
        <w:t xml:space="preserve"> عَنْهُ وَلِيُّهُ</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152 ، ح 2009 ، مرسلاً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وفيهما إلى قوله : « أولى الناس بميراثه » مع اختلاف </w:t>
      </w:r>
      <w:r w:rsidR="000E362A">
        <w:rPr>
          <w:rFonts w:hint="cs"/>
          <w:rtl/>
        </w:rPr>
        <w:t>.</w:t>
      </w:r>
      <w:r w:rsidR="00992664" w:rsidRPr="0012008A">
        <w:rPr>
          <w:rStyle w:val="libFootnoteBoldChar"/>
          <w:rtl/>
        </w:rPr>
        <w:t>الوافي</w:t>
      </w:r>
      <w:r w:rsidR="00992664" w:rsidRPr="00020424">
        <w:rPr>
          <w:rtl/>
        </w:rPr>
        <w:t xml:space="preserve"> ، ج 11 ، ص 347 ، ح 11002 ؛ </w:t>
      </w:r>
      <w:r w:rsidR="00992664" w:rsidRPr="0012008A">
        <w:rPr>
          <w:rStyle w:val="libFootnoteBoldChar"/>
          <w:rtl/>
        </w:rPr>
        <w:t>الوسائل</w:t>
      </w:r>
      <w:r w:rsidR="00992664" w:rsidRPr="00020424">
        <w:rPr>
          <w:rtl/>
        </w:rPr>
        <w:t xml:space="preserve"> ، ج 10 ، ص 330 ، ح 13530.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r w:rsidR="00992664" w:rsidRPr="00020424">
        <w:rPr>
          <w:rtl/>
        </w:rPr>
        <w:t xml:space="preserve"> وما أثبتناه موافق للمطبوع </w:t>
      </w:r>
      <w:r w:rsidR="00992664">
        <w:rPr>
          <w:rtl/>
        </w:rPr>
        <w:t>و «</w:t>
      </w:r>
      <w:r w:rsidR="00992664" w:rsidRPr="00020424">
        <w:rPr>
          <w:rtl/>
        </w:rPr>
        <w:t xml:space="preserve"> جن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248 ، ح 738 ؛ </w:t>
      </w:r>
      <w:r w:rsidR="00992664" w:rsidRPr="00FD6221">
        <w:rPr>
          <w:rStyle w:val="libFootnoteBoldChar"/>
          <w:rtl/>
        </w:rPr>
        <w:t>والاستبصار</w:t>
      </w:r>
      <w:r w:rsidR="00992664" w:rsidRPr="00020424">
        <w:rPr>
          <w:rtl/>
        </w:rPr>
        <w:t xml:space="preserve"> ، ج 2 ، ص 110 ، ح 359 ، معلّقاً عن الكليني </w:t>
      </w:r>
      <w:r w:rsidR="000E362A">
        <w:rPr>
          <w:rFonts w:hint="cs"/>
          <w:rtl/>
        </w:rPr>
        <w:t>.</w:t>
      </w:r>
      <w:r w:rsidR="00992664" w:rsidRPr="0012008A">
        <w:rPr>
          <w:rStyle w:val="libFootnoteBoldChar"/>
          <w:rtl/>
        </w:rPr>
        <w:t>الوافي</w:t>
      </w:r>
      <w:r w:rsidR="00992664" w:rsidRPr="00020424">
        <w:rPr>
          <w:rtl/>
        </w:rPr>
        <w:t xml:space="preserve"> ، ج 11 ، ص 349 ، ح 11007 ؛ </w:t>
      </w:r>
      <w:r w:rsidR="00992664" w:rsidRPr="0012008A">
        <w:rPr>
          <w:rStyle w:val="libFootnoteBoldChar"/>
          <w:rtl/>
        </w:rPr>
        <w:t>الوسائل</w:t>
      </w:r>
      <w:r w:rsidR="00992664" w:rsidRPr="00020424">
        <w:rPr>
          <w:rtl/>
        </w:rPr>
        <w:t xml:space="preserve"> ، ج 10 ، ص 329 ، ح 13527.</w:t>
      </w:r>
    </w:p>
    <w:tbl>
      <w:tblPr>
        <w:tblStyle w:val="TableGrid"/>
        <w:bidiVisual/>
        <w:tblW w:w="0" w:type="auto"/>
        <w:tblLook w:val="04A0" w:firstRow="1" w:lastRow="0" w:firstColumn="1" w:lastColumn="0" w:noHBand="0" w:noVBand="1"/>
      </w:tblPr>
      <w:tblGrid>
        <w:gridCol w:w="3891"/>
        <w:gridCol w:w="4121"/>
      </w:tblGrid>
      <w:tr w:rsidR="000E362A" w:rsidTr="000E362A">
        <w:tc>
          <w:tcPr>
            <w:tcW w:w="3891" w:type="dxa"/>
          </w:tcPr>
          <w:p w:rsidR="000E362A" w:rsidRDefault="000E362A" w:rsidP="00992664">
            <w:pPr>
              <w:pStyle w:val="libFootnote0"/>
              <w:rPr>
                <w:rtl/>
              </w:rPr>
            </w:pPr>
            <w:r>
              <w:rPr>
                <w:rtl/>
              </w:rPr>
              <w:t xml:space="preserve">(5). </w:t>
            </w:r>
            <w:r w:rsidRPr="00020424">
              <w:rPr>
                <w:rtl/>
              </w:rPr>
              <w:t>في « ظ » : « فكان</w:t>
            </w:r>
            <w:r>
              <w:rPr>
                <w:rtl/>
              </w:rPr>
              <w:t xml:space="preserve"> ».</w:t>
            </w:r>
          </w:p>
        </w:tc>
        <w:tc>
          <w:tcPr>
            <w:tcW w:w="4121" w:type="dxa"/>
          </w:tcPr>
          <w:p w:rsidR="000E362A" w:rsidRDefault="000E362A" w:rsidP="00992664">
            <w:pPr>
              <w:pStyle w:val="libFootnote0"/>
              <w:rPr>
                <w:rtl/>
              </w:rPr>
            </w:pPr>
            <w:r>
              <w:rPr>
                <w:rtl/>
              </w:rPr>
              <w:t xml:space="preserve">(6). </w:t>
            </w:r>
            <w:r w:rsidRPr="00020424">
              <w:rPr>
                <w:rtl/>
              </w:rPr>
              <w:t>في « بح ، بر ، بف » :</w:t>
            </w:r>
            <w:r>
              <w:rPr>
                <w:rtl/>
              </w:rPr>
              <w:t xml:space="preserve"> - </w:t>
            </w:r>
            <w:r w:rsidRPr="00020424">
              <w:rPr>
                <w:rtl/>
              </w:rPr>
              <w:t>« له</w:t>
            </w:r>
            <w:r>
              <w:rPr>
                <w:rtl/>
              </w:rPr>
              <w:t xml:space="preserve"> ».</w:t>
            </w:r>
          </w:p>
        </w:tc>
      </w:tr>
      <w:tr w:rsidR="000E362A" w:rsidTr="000E362A">
        <w:tc>
          <w:tcPr>
            <w:tcW w:w="3891" w:type="dxa"/>
          </w:tcPr>
          <w:p w:rsidR="000E362A" w:rsidRDefault="000E362A" w:rsidP="00992664">
            <w:pPr>
              <w:pStyle w:val="libFootnote0"/>
              <w:rPr>
                <w:rtl/>
              </w:rPr>
            </w:pPr>
            <w:r>
              <w:rPr>
                <w:rtl/>
              </w:rPr>
              <w:t xml:space="preserve">(7). </w:t>
            </w:r>
            <w:r w:rsidRPr="00020424">
              <w:rPr>
                <w:rtl/>
              </w:rPr>
              <w:t>في « ى » :</w:t>
            </w:r>
            <w:r>
              <w:rPr>
                <w:rtl/>
              </w:rPr>
              <w:t xml:space="preserve"> - </w:t>
            </w:r>
            <w:r w:rsidRPr="00020424">
              <w:rPr>
                <w:rtl/>
              </w:rPr>
              <w:t>« مال</w:t>
            </w:r>
            <w:r>
              <w:rPr>
                <w:rtl/>
              </w:rPr>
              <w:t xml:space="preserve"> ».</w:t>
            </w:r>
          </w:p>
        </w:tc>
        <w:tc>
          <w:tcPr>
            <w:tcW w:w="4121" w:type="dxa"/>
          </w:tcPr>
          <w:p w:rsidR="000E362A" w:rsidRDefault="000E362A" w:rsidP="00992664">
            <w:pPr>
              <w:pStyle w:val="libFootnote0"/>
              <w:rPr>
                <w:rtl/>
              </w:rPr>
            </w:pPr>
            <w:r>
              <w:rPr>
                <w:rtl/>
              </w:rPr>
              <w:t>(8).</w:t>
            </w:r>
            <w:r w:rsidRPr="00020424">
              <w:rPr>
                <w:rtl/>
              </w:rPr>
              <w:t xml:space="preserve">في </w:t>
            </w:r>
            <w:r w:rsidRPr="0012008A">
              <w:rPr>
                <w:rStyle w:val="libFootnoteBoldChar"/>
                <w:rtl/>
              </w:rPr>
              <w:t>التهذيب</w:t>
            </w:r>
            <w:r>
              <w:rPr>
                <w:rtl/>
              </w:rPr>
              <w:t>،ح</w:t>
            </w:r>
            <w:r w:rsidRPr="00020424">
              <w:rPr>
                <w:rtl/>
              </w:rPr>
              <w:t>735</w:t>
            </w:r>
            <w:r w:rsidRPr="00FD6221">
              <w:rPr>
                <w:rStyle w:val="libFootnoteBoldChar"/>
                <w:rtl/>
              </w:rPr>
              <w:t>والاستبصار</w:t>
            </w:r>
            <w:r>
              <w:rPr>
                <w:rtl/>
              </w:rPr>
              <w:t>،ح356:«</w:t>
            </w:r>
            <w:r w:rsidRPr="00020424">
              <w:rPr>
                <w:rtl/>
              </w:rPr>
              <w:t>تصدّق</w:t>
            </w:r>
            <w:r>
              <w:rPr>
                <w:rtl/>
              </w:rPr>
              <w:t>».</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248 ، ح 736 ؛ </w:t>
      </w:r>
      <w:r w:rsidR="00992664" w:rsidRPr="00FD6221">
        <w:rPr>
          <w:rStyle w:val="libFootnoteBoldChar"/>
          <w:rtl/>
        </w:rPr>
        <w:t>والاستبصار</w:t>
      </w:r>
      <w:r w:rsidR="00992664" w:rsidRPr="00020424">
        <w:rPr>
          <w:rtl/>
        </w:rPr>
        <w:t xml:space="preserve"> ، ج 2 ، ص 109 ، ح 357 ، معلّقاً عن الكليني. </w:t>
      </w:r>
      <w:r w:rsidR="00992664" w:rsidRPr="0012008A">
        <w:rPr>
          <w:rStyle w:val="libFootnoteBoldChar"/>
          <w:rtl/>
        </w:rPr>
        <w:t>الفقيه</w:t>
      </w:r>
      <w:r w:rsidR="00992664" w:rsidRPr="00020424">
        <w:rPr>
          <w:rtl/>
        </w:rPr>
        <w:t xml:space="preserve"> ، ج 2 ، </w:t>
      </w:r>
      <w:r w:rsidR="009501A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D40848">
        <w:rPr>
          <w:rtl/>
        </w:rPr>
        <w:t>6484</w:t>
      </w:r>
      <w:r w:rsidRPr="001155DE">
        <w:rPr>
          <w:rStyle w:val="libBold2Char"/>
          <w:rtl/>
        </w:rPr>
        <w:t xml:space="preserve"> / 4.</w:t>
      </w:r>
      <w:r w:rsidRPr="00020424">
        <w:rPr>
          <w:rtl/>
          <w:lang w:bidi="fa-IR"/>
        </w:rPr>
        <w:t xml:space="preserve"> الْحُسَيْنُ بْنُ مُحَمَّدٍ ، عَنْ مُعَلَّى بْنِ مُحَمَّدٍ ، عَنِ الْحَسَنِ بْنِ عَلِيٍّ </w:t>
      </w:r>
      <w:r w:rsidRPr="00A91B96">
        <w:rPr>
          <w:rStyle w:val="libFootnotenumChar"/>
          <w:rtl/>
        </w:rPr>
        <w:t>(1)</w:t>
      </w:r>
      <w:r w:rsidRPr="00020424">
        <w:rPr>
          <w:rtl/>
          <w:lang w:bidi="fa-IR"/>
        </w:rPr>
        <w:t xml:space="preserve"> الْوَشَّاءِ ، عَنْ حَمَّادِ بْنِ عُثْمَانَ ، عَمَّنْ ذَكَرَهُ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w:t>
      </w:r>
      <w:r w:rsidRPr="00A91B96">
        <w:rPr>
          <w:rStyle w:val="libFootnotenumChar"/>
          <w:rtl/>
        </w:rPr>
        <w:t>(2)</w:t>
      </w:r>
      <w:r w:rsidRPr="00020424">
        <w:rPr>
          <w:rtl/>
          <w:lang w:bidi="fa-IR"/>
        </w:rPr>
        <w:t xml:space="preserve"> عَنِ الرَّجُلِ يَمُوتُ وَعَلَيْهِ دَيْنٌ </w:t>
      </w:r>
      <w:r w:rsidRPr="00A91B96">
        <w:rPr>
          <w:rStyle w:val="libFootnotenumChar"/>
          <w:rtl/>
        </w:rPr>
        <w:t>(3)</w:t>
      </w:r>
      <w:r w:rsidRPr="00020424">
        <w:rPr>
          <w:rtl/>
          <w:lang w:bidi="fa-IR"/>
        </w:rPr>
        <w:t xml:space="preserve"> مِنْ شَهْرِ رَمَضَانَ : مَنْ يَقْضِي عَنْهُ</w:t>
      </w:r>
      <w:r>
        <w:rPr>
          <w:rtl/>
          <w:lang w:bidi="fa-IR"/>
        </w:rPr>
        <w:t>؟</w:t>
      </w:r>
    </w:p>
    <w:p w:rsidR="00992664" w:rsidRPr="00020424" w:rsidRDefault="00992664" w:rsidP="00992664">
      <w:pPr>
        <w:pStyle w:val="libNormal"/>
        <w:rPr>
          <w:rtl/>
          <w:lang w:bidi="fa-IR"/>
        </w:rPr>
      </w:pPr>
      <w:r w:rsidRPr="00020424">
        <w:rPr>
          <w:rtl/>
          <w:lang w:bidi="fa-IR"/>
        </w:rPr>
        <w:t>قَالَ : « أَوْلَى النَّاسِ بِهِ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وَإِنْ </w:t>
      </w:r>
      <w:r w:rsidRPr="00A91B96">
        <w:rPr>
          <w:rStyle w:val="libFootnotenumChar"/>
          <w:rtl/>
        </w:rPr>
        <w:t>(4)</w:t>
      </w:r>
      <w:r w:rsidRPr="00020424">
        <w:rPr>
          <w:rtl/>
          <w:lang w:bidi="fa-IR"/>
        </w:rPr>
        <w:t xml:space="preserve"> كَانَ أَوْلَى النَّاسِ بِهِ امْرَأَةً</w:t>
      </w:r>
      <w:r>
        <w:rPr>
          <w:rtl/>
          <w:lang w:bidi="fa-IR"/>
        </w:rPr>
        <w:t>؟</w:t>
      </w:r>
    </w:p>
    <w:p w:rsidR="00992664" w:rsidRPr="00020424" w:rsidRDefault="00602FD5" w:rsidP="00992664">
      <w:pPr>
        <w:pStyle w:val="libNormal"/>
        <w:rPr>
          <w:rtl/>
          <w:lang w:bidi="fa-IR"/>
        </w:rPr>
      </w:pPr>
      <w:r>
        <w:rPr>
          <w:rtl/>
          <w:lang w:bidi="fa-IR"/>
        </w:rPr>
        <w:t>قَالَ : « لَا ، إِل</w:t>
      </w:r>
      <w:r>
        <w:rPr>
          <w:rFonts w:hint="cs"/>
          <w:rtl/>
          <w:lang w:bidi="fa-IR"/>
        </w:rPr>
        <w:t>َّ</w:t>
      </w:r>
      <w:r>
        <w:rPr>
          <w:rtl/>
          <w:lang w:bidi="fa-IR"/>
        </w:rPr>
        <w:t>ا</w:t>
      </w:r>
      <w:r w:rsidR="00992664" w:rsidRPr="00020424">
        <w:rPr>
          <w:rtl/>
          <w:lang w:bidi="fa-IR"/>
        </w:rPr>
        <w:t xml:space="preserve"> الرِّجَالُ</w:t>
      </w:r>
      <w:r w:rsidR="00992664">
        <w:rPr>
          <w:rtl/>
          <w:lang w:bidi="fa-IR"/>
        </w:rPr>
        <w:t xml:space="preserve"> ».</w:t>
      </w:r>
      <w:r w:rsidR="00992664" w:rsidRPr="00020424">
        <w:rPr>
          <w:rtl/>
          <w:lang w:bidi="fa-IR"/>
        </w:rPr>
        <w:t xml:space="preserve"> </w:t>
      </w:r>
      <w:r w:rsidR="00992664" w:rsidRPr="00A91B96">
        <w:rPr>
          <w:rStyle w:val="libFootnotenumChar"/>
          <w:rtl/>
        </w:rPr>
        <w:t>(5)</w:t>
      </w:r>
      <w:r w:rsidR="00992664" w:rsidRPr="00020424">
        <w:rPr>
          <w:rtl/>
          <w:lang w:bidi="fa-IR"/>
        </w:rPr>
        <w:t xml:space="preserve"> ‌</w:t>
      </w:r>
    </w:p>
    <w:p w:rsidR="00992664" w:rsidRPr="00020424" w:rsidRDefault="00992664" w:rsidP="00992664">
      <w:pPr>
        <w:pStyle w:val="libNormal"/>
        <w:rPr>
          <w:rtl/>
          <w:lang w:bidi="fa-IR"/>
        </w:rPr>
      </w:pPr>
      <w:r w:rsidRPr="00D40848">
        <w:rPr>
          <w:rtl/>
        </w:rPr>
        <w:t>6485</w:t>
      </w:r>
      <w:r w:rsidRPr="001155DE">
        <w:rPr>
          <w:rStyle w:val="libBold2Char"/>
          <w:rtl/>
        </w:rPr>
        <w:t xml:space="preserve"> / 5.</w:t>
      </w:r>
      <w:r w:rsidRPr="00020424">
        <w:rPr>
          <w:rtl/>
          <w:lang w:bidi="fa-IR"/>
        </w:rPr>
        <w:t xml:space="preserve"> مُحَمَّدُ بْنُ يَحْيى ، عَنْ مُحَمَّدٍ ، قَالَ :</w:t>
      </w:r>
    </w:p>
    <w:p w:rsidR="00992664" w:rsidRPr="00020424" w:rsidRDefault="00992664" w:rsidP="00992664">
      <w:pPr>
        <w:pStyle w:val="libNormal"/>
        <w:rPr>
          <w:rtl/>
          <w:lang w:bidi="fa-IR"/>
        </w:rPr>
      </w:pPr>
      <w:r w:rsidRPr="00020424">
        <w:rPr>
          <w:rtl/>
          <w:lang w:bidi="fa-IR"/>
        </w:rPr>
        <w:t xml:space="preserve">كَتَبْتُ إِلَى الْأَخِيرِ </w:t>
      </w:r>
      <w:r w:rsidRPr="00005A81">
        <w:rPr>
          <w:rStyle w:val="libAlaemChar"/>
          <w:rtl/>
        </w:rPr>
        <w:t>عليه‌السلام</w:t>
      </w:r>
      <w:r w:rsidRPr="00020424">
        <w:rPr>
          <w:rtl/>
          <w:lang w:bidi="fa-IR"/>
        </w:rPr>
        <w:t xml:space="preserve"> </w:t>
      </w:r>
      <w:r w:rsidRPr="00A91B96">
        <w:rPr>
          <w:rStyle w:val="libFootnotenumChar"/>
          <w:rtl/>
        </w:rPr>
        <w:t>(6)</w:t>
      </w:r>
      <w:r w:rsidRPr="00020424">
        <w:rPr>
          <w:rtl/>
          <w:lang w:bidi="fa-IR"/>
        </w:rPr>
        <w:t xml:space="preserve"> : رَجُلٌ مَاتَ ، وَعَلَيْهِ قَضَاءٌ مِنْ شَهْرِ رَمَضَانَ عَشَرَةُ أَيَّامٍ ، وَلَهُ وَلِيَّانِ : هَلْ يَجُوزُ لَهُمَا أَنْ يَقْضِيَا عَنْهُ جَمِيعاً خَمْسَةَ أَيَّامٍ أَحَدُ الْوَلِيَّيْنِ ، وَخَمْسَةَ أَيَّامٍ </w:t>
      </w:r>
      <w:r w:rsidRPr="00A91B96">
        <w:rPr>
          <w:rStyle w:val="libFootnotenumChar"/>
          <w:rtl/>
        </w:rPr>
        <w:t>(7)</w:t>
      </w:r>
      <w:r w:rsidRPr="00020424">
        <w:rPr>
          <w:rtl/>
          <w:lang w:bidi="fa-IR"/>
        </w:rPr>
        <w:t xml:space="preserve"> الْآخَرُ</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9E14A4" w:rsidP="00992664">
      <w:pPr>
        <w:pStyle w:val="libFootnote0"/>
        <w:rPr>
          <w:rtl/>
          <w:lang w:bidi="fa-IR"/>
        </w:rPr>
      </w:pPr>
      <w:r>
        <w:rPr>
          <w:rFonts w:hint="cs"/>
          <w:rtl/>
        </w:rPr>
        <w:t xml:space="preserve">= </w:t>
      </w:r>
      <w:r w:rsidR="00992664" w:rsidRPr="00020424">
        <w:rPr>
          <w:rtl/>
        </w:rPr>
        <w:t xml:space="preserve">ص 152 ، ح 2008 ، معلّقاً عن أبان بن عثمان. وفي </w:t>
      </w:r>
      <w:r w:rsidR="00992664" w:rsidRPr="0012008A">
        <w:rPr>
          <w:rStyle w:val="libFootnoteBoldChar"/>
          <w:rtl/>
        </w:rPr>
        <w:t>التهذيب</w:t>
      </w:r>
      <w:r w:rsidR="00992664" w:rsidRPr="00020424">
        <w:rPr>
          <w:rtl/>
        </w:rPr>
        <w:t xml:space="preserve"> ، ج 4 ، ص 248 ، ح 735 ؛ </w:t>
      </w:r>
      <w:r w:rsidR="00992664" w:rsidRPr="00FD6221">
        <w:rPr>
          <w:rStyle w:val="libFootnoteBoldChar"/>
          <w:rtl/>
        </w:rPr>
        <w:t>والاستبصار</w:t>
      </w:r>
      <w:r w:rsidR="00992664" w:rsidRPr="00020424">
        <w:rPr>
          <w:rtl/>
        </w:rPr>
        <w:t xml:space="preserve"> ، ج 2 ، ص 109 ، ح 356 ، بسندهما عن أبي مريم ،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247 ، ح 733 و734 ؛ وص 248 ، ح 737 ؛ </w:t>
      </w:r>
      <w:r w:rsidR="00992664" w:rsidRPr="00FD6221">
        <w:rPr>
          <w:rStyle w:val="libFootnoteBoldChar"/>
          <w:rtl/>
        </w:rPr>
        <w:t>والاستبصار</w:t>
      </w:r>
      <w:r w:rsidR="00992664" w:rsidRPr="00020424">
        <w:rPr>
          <w:rtl/>
        </w:rPr>
        <w:t xml:space="preserve"> ، ج 2 ، ص 108 ، ح 352 و353 ؛ وص 109 ، ح 358 ، بسند آخر ، إلى قوله : « فليس عليه شي‌ء » مع اختلاف وزيادة في آخره. وفي </w:t>
      </w:r>
      <w:r w:rsidR="00992664" w:rsidRPr="0012008A">
        <w:rPr>
          <w:rStyle w:val="libFootnoteBoldChar"/>
          <w:rtl/>
        </w:rPr>
        <w:t>التهذيب</w:t>
      </w:r>
      <w:r w:rsidR="00992664" w:rsidRPr="00020424">
        <w:rPr>
          <w:rtl/>
        </w:rPr>
        <w:t xml:space="preserve"> ، ج 4 ، ص 249 ، ح 739 ؛ </w:t>
      </w:r>
      <w:r w:rsidR="00992664" w:rsidRPr="00FD6221">
        <w:rPr>
          <w:rStyle w:val="libFootnoteBoldChar"/>
          <w:rtl/>
        </w:rPr>
        <w:t>والاستبصار</w:t>
      </w:r>
      <w:r w:rsidR="00992664" w:rsidRPr="00020424">
        <w:rPr>
          <w:rtl/>
        </w:rPr>
        <w:t xml:space="preserve"> ، ج 2 ، ص 110 ، ح 360 ، بسند آخر ، مع اختلاف وزيادة </w:t>
      </w:r>
      <w:r w:rsidR="00914524">
        <w:rPr>
          <w:rFonts w:hint="cs"/>
          <w:rtl/>
        </w:rPr>
        <w:t>.</w:t>
      </w:r>
      <w:r w:rsidR="00992664" w:rsidRPr="0012008A">
        <w:rPr>
          <w:rStyle w:val="libFootnoteBoldChar"/>
          <w:rtl/>
        </w:rPr>
        <w:t>الوافي</w:t>
      </w:r>
      <w:r w:rsidR="00992664" w:rsidRPr="00020424">
        <w:rPr>
          <w:rtl/>
        </w:rPr>
        <w:t xml:space="preserve"> ، ج 11 ، ص 349 ، ح 11008 ؛ </w:t>
      </w:r>
      <w:r w:rsidR="00992664" w:rsidRPr="0012008A">
        <w:rPr>
          <w:rStyle w:val="libFootnoteBoldChar"/>
          <w:rtl/>
        </w:rPr>
        <w:t>الوسائل</w:t>
      </w:r>
      <w:r w:rsidR="00992664" w:rsidRPr="00020424">
        <w:rPr>
          <w:rtl/>
        </w:rPr>
        <w:t xml:space="preserve"> ، ج 10 ، ص 331 ، ح 13532.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جر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قال : سألته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بر ، بف » :</w:t>
      </w:r>
      <w:r w:rsidR="00992664">
        <w:rPr>
          <w:rtl/>
        </w:rPr>
        <w:t xml:space="preserve"> </w:t>
      </w:r>
      <w:r w:rsidR="009B673F">
        <w:rPr>
          <w:rtl/>
        </w:rPr>
        <w:t>-</w:t>
      </w:r>
      <w:r w:rsidR="00992664">
        <w:rPr>
          <w:rtl/>
        </w:rPr>
        <w:t xml:space="preserve"> </w:t>
      </w:r>
      <w:r w:rsidR="00992664" w:rsidRPr="00020424">
        <w:rPr>
          <w:rtl/>
        </w:rPr>
        <w:t>« دين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914524">
        <w:rPr>
          <w:rtl/>
        </w:rPr>
        <w:t>الوافي والتهذيب والاستبصار</w:t>
      </w:r>
      <w:r w:rsidR="00992664" w:rsidRPr="00020424">
        <w:rPr>
          <w:rtl/>
        </w:rPr>
        <w:t xml:space="preserve"> : « فإن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246 ، ح 731 ؛ </w:t>
      </w:r>
      <w:r w:rsidR="00992664" w:rsidRPr="00FD6221">
        <w:rPr>
          <w:rStyle w:val="libFootnoteBoldChar"/>
          <w:rtl/>
        </w:rPr>
        <w:t>والاستبصار</w:t>
      </w:r>
      <w:r w:rsidR="00992664" w:rsidRPr="00020424">
        <w:rPr>
          <w:rtl/>
        </w:rPr>
        <w:t xml:space="preserve"> ، ج 2 ، ص 108 ، ح 354 ، معلّقاً عن الكليني </w:t>
      </w:r>
      <w:r w:rsidR="00914524">
        <w:rPr>
          <w:rFonts w:hint="cs"/>
          <w:rtl/>
        </w:rPr>
        <w:t>.</w:t>
      </w:r>
      <w:r w:rsidR="00992664" w:rsidRPr="0012008A">
        <w:rPr>
          <w:rStyle w:val="libFootnoteBoldChar"/>
          <w:rtl/>
        </w:rPr>
        <w:t>الوافي</w:t>
      </w:r>
      <w:r w:rsidR="00992664" w:rsidRPr="00020424">
        <w:rPr>
          <w:rtl/>
        </w:rPr>
        <w:t xml:space="preserve"> ، ج 11 ، ص 347 ، ح 11001 ؛ </w:t>
      </w:r>
      <w:r w:rsidR="00992664" w:rsidRPr="0012008A">
        <w:rPr>
          <w:rStyle w:val="libFootnoteBoldChar"/>
          <w:rtl/>
        </w:rPr>
        <w:t>الوسائل</w:t>
      </w:r>
      <w:r w:rsidR="00992664" w:rsidRPr="00020424">
        <w:rPr>
          <w:rtl/>
        </w:rPr>
        <w:t xml:space="preserve"> ، ج 10 ، ص 331 ، ح 13531.</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 في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الاستبصار : + « الوليّ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فَوَقَّعَ </w:t>
      </w:r>
      <w:r w:rsidRPr="00005A81">
        <w:rPr>
          <w:rStyle w:val="libAlaemChar"/>
          <w:rtl/>
        </w:rPr>
        <w:t>عليه‌السلام</w:t>
      </w:r>
      <w:r w:rsidRPr="00020424">
        <w:rPr>
          <w:rtl/>
          <w:lang w:bidi="fa-IR"/>
        </w:rPr>
        <w:t xml:space="preserve"> : « يَقْضِي عَنْهُ أَكْبَرُ وَلِيَّيْهِ </w:t>
      </w:r>
      <w:r w:rsidRPr="00A91B96">
        <w:rPr>
          <w:rStyle w:val="libFootnotenumChar"/>
          <w:rtl/>
        </w:rPr>
        <w:t>(1)</w:t>
      </w:r>
      <w:r w:rsidRPr="00020424">
        <w:rPr>
          <w:rtl/>
          <w:lang w:bidi="fa-IR"/>
        </w:rPr>
        <w:t xml:space="preserve"> عَشَرَةَ أَيَّامٍ وِلَاءً إِنْ شَاءَ اللهُ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D40848">
        <w:rPr>
          <w:rtl/>
        </w:rPr>
        <w:t>6486</w:t>
      </w:r>
      <w:r w:rsidRPr="001155DE">
        <w:rPr>
          <w:rStyle w:val="libBold2Char"/>
          <w:rtl/>
        </w:rPr>
        <w:t xml:space="preserve"> / 6.</w:t>
      </w:r>
      <w:r w:rsidRPr="00020424">
        <w:rPr>
          <w:rtl/>
          <w:lang w:bidi="fa-IR"/>
        </w:rPr>
        <w:t xml:space="preserve"> عِدَّةٌ مِنْ أَصْحَابِنَا ، عَنْ سَهْلِ بْنِ زِيَادٍ ، عَنِ الْحَسَنِ بْنِ عَلِيٍّ الْوَشَّاءِ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سَمِعْتُهُ يَقُولُ : « إِذَا مَاتَ رَجُلٌ وَعَلَيْهِ صِيَامُ شَهْرَيْنِ مُتَتَابِعَيْنِ مِنْ عِلَّةٍ </w:t>
      </w:r>
      <w:r w:rsidRPr="00A91B96">
        <w:rPr>
          <w:rStyle w:val="libFootnotenumChar"/>
          <w:rtl/>
        </w:rPr>
        <w:t>(4)</w:t>
      </w:r>
      <w:r w:rsidRPr="00020424">
        <w:rPr>
          <w:rtl/>
          <w:lang w:bidi="fa-IR"/>
        </w:rPr>
        <w:t xml:space="preserve"> ، فَعَلَيْهِ أَنْ يَتَصَدَّقَ </w:t>
      </w:r>
      <w:r w:rsidRPr="00A91B96">
        <w:rPr>
          <w:rStyle w:val="libFootnotenumChar"/>
          <w:rtl/>
        </w:rPr>
        <w:t>(5)</w:t>
      </w:r>
      <w:r w:rsidRPr="00020424">
        <w:rPr>
          <w:rtl/>
          <w:lang w:bidi="fa-IR"/>
        </w:rPr>
        <w:t xml:space="preserve"> عَنِ الشَّهْرِ الْأَوَّلِ ، وَيَقْضِيَ الشَّهْرَ الثَّانِيَ</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435" w:name="_Toc345172861"/>
      <w:bookmarkStart w:id="436" w:name="_Toc464562677"/>
      <w:bookmarkStart w:id="437" w:name="_Toc44599982"/>
      <w:r w:rsidRPr="00020424">
        <w:rPr>
          <w:rtl/>
          <w:lang w:bidi="fa-IR"/>
        </w:rPr>
        <w:t>45</w:t>
      </w:r>
      <w:r>
        <w:rPr>
          <w:rtl/>
          <w:lang w:bidi="fa-IR"/>
        </w:rPr>
        <w:t xml:space="preserve"> </w:t>
      </w:r>
      <w:r w:rsidR="009B673F">
        <w:rPr>
          <w:rtl/>
          <w:lang w:bidi="fa-IR"/>
        </w:rPr>
        <w:t>-</w:t>
      </w:r>
      <w:r>
        <w:rPr>
          <w:rtl/>
          <w:lang w:bidi="fa-IR"/>
        </w:rPr>
        <w:t xml:space="preserve"> </w:t>
      </w:r>
      <w:r w:rsidRPr="00020424">
        <w:rPr>
          <w:rtl/>
          <w:lang w:bidi="fa-IR"/>
        </w:rPr>
        <w:t>بَابُ صَوْمِ الصِّبْيَانِ وَمَتى يُؤْخَذُونَ بِهِ‌</w:t>
      </w:r>
      <w:bookmarkEnd w:id="435"/>
      <w:bookmarkEnd w:id="436"/>
      <w:bookmarkEnd w:id="437"/>
    </w:p>
    <w:p w:rsidR="00992664" w:rsidRPr="00020424" w:rsidRDefault="00992664" w:rsidP="00992664">
      <w:pPr>
        <w:pStyle w:val="libNormal"/>
        <w:rPr>
          <w:rtl/>
          <w:lang w:bidi="fa-IR"/>
        </w:rPr>
      </w:pPr>
      <w:r w:rsidRPr="00D40848">
        <w:rPr>
          <w:rtl/>
        </w:rPr>
        <w:t>6487</w:t>
      </w:r>
      <w:r w:rsidRPr="001155DE">
        <w:rPr>
          <w:rStyle w:val="libBold2Char"/>
          <w:rtl/>
        </w:rPr>
        <w:t xml:space="preserve"> / 1.</w:t>
      </w:r>
      <w:r w:rsidRPr="00020424">
        <w:rPr>
          <w:rtl/>
          <w:lang w:bidi="fa-IR"/>
        </w:rPr>
        <w:t xml:space="preserve"> عَلِيُّ بْنُ إِبْرَاهِيمَ ، عَنْ أَبِيهِ ، عَنِ ابْنِ أَبِي عُمَيْرٍ </w:t>
      </w:r>
      <w:r w:rsidRPr="00A91B96">
        <w:rPr>
          <w:rStyle w:val="libFootnotenumChar"/>
          <w:rtl/>
        </w:rPr>
        <w:t>(7)</w:t>
      </w:r>
      <w:r w:rsidRPr="00020424">
        <w:rPr>
          <w:rtl/>
          <w:lang w:bidi="fa-IR"/>
        </w:rPr>
        <w:t xml:space="preserve"> ، عَنْ حَمَّادٍ ، عَنِ الْحَلَبِيِّ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ظ ، بح ، بخ ، بس ، جن </w:t>
      </w:r>
      <w:r w:rsidR="00992664" w:rsidRPr="009A0FBE">
        <w:rPr>
          <w:rtl/>
        </w:rPr>
        <w:t>» والوافي والوسائل والفقيه والتهذيب والاستبصار</w:t>
      </w:r>
      <w:r w:rsidR="00992664" w:rsidRPr="00020424">
        <w:rPr>
          <w:rtl/>
        </w:rPr>
        <w:t>. وفي سائر النسخ والمطبوع : « وليّه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الحكم بالتتابع محمول على الأفضل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247 ، ح 732 ؛ </w:t>
      </w:r>
      <w:r w:rsidR="00992664" w:rsidRPr="00FD6221">
        <w:rPr>
          <w:rStyle w:val="libFootnoteBoldChar"/>
          <w:rtl/>
        </w:rPr>
        <w:t>والاستبصار</w:t>
      </w:r>
      <w:r w:rsidR="00992664" w:rsidRPr="00020424">
        <w:rPr>
          <w:rtl/>
        </w:rPr>
        <w:t xml:space="preserve"> ، ج 2 ، ص 108 ، ح 355 ، معلّقاً عن الكليني. </w:t>
      </w:r>
      <w:r w:rsidR="00992664" w:rsidRPr="0012008A">
        <w:rPr>
          <w:rStyle w:val="libFootnoteBoldChar"/>
          <w:rtl/>
        </w:rPr>
        <w:t>الفقيه</w:t>
      </w:r>
      <w:r w:rsidR="00992664" w:rsidRPr="00020424">
        <w:rPr>
          <w:rtl/>
        </w:rPr>
        <w:t xml:space="preserve"> ، ج 2 ، ص 153 ، ح 2010 ، معلّقاً عن محمّد بن الحسن الصفّار ، عن أبي محمّد الحسن بن عليّ </w:t>
      </w:r>
      <w:r w:rsidR="009A0FBE">
        <w:rPr>
          <w:rFonts w:hint="cs"/>
          <w:rtl/>
        </w:rPr>
        <w:t>.</w:t>
      </w:r>
      <w:r w:rsidR="00992664" w:rsidRPr="0012008A">
        <w:rPr>
          <w:rStyle w:val="libFootnoteBoldChar"/>
          <w:rtl/>
        </w:rPr>
        <w:t>الوافي</w:t>
      </w:r>
      <w:r w:rsidR="00992664" w:rsidRPr="00020424">
        <w:rPr>
          <w:rtl/>
        </w:rPr>
        <w:t xml:space="preserve"> ، ج 11 ، ص 347 ، ح 11003 ؛ </w:t>
      </w:r>
      <w:r w:rsidR="00992664" w:rsidRPr="0012008A">
        <w:rPr>
          <w:rStyle w:val="libFootnoteBoldChar"/>
          <w:rtl/>
        </w:rPr>
        <w:t>الوسائل</w:t>
      </w:r>
      <w:r w:rsidR="00992664" w:rsidRPr="00020424">
        <w:rPr>
          <w:rtl/>
        </w:rPr>
        <w:t xml:space="preserve"> ، ج 10 ، ص 330 ، ح 13528 ؛ وص 340 ، ح 13554.</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بس » : « علّته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فعليه أن يتصدّق ، يعني على وليّه ، ولعلّ تخصيص الشهر الأوّل بالتصدّق لإسقاط التتابع عن الوليّ تسهيلاً للأمر عليه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249 ، ح 742 ، معلّقاً عن الكليني </w:t>
      </w:r>
      <w:r w:rsidR="00637F3D">
        <w:rPr>
          <w:rFonts w:hint="cs"/>
          <w:rtl/>
        </w:rPr>
        <w:t>.</w:t>
      </w:r>
      <w:r w:rsidR="00992664" w:rsidRPr="0012008A">
        <w:rPr>
          <w:rStyle w:val="libFootnoteBoldChar"/>
          <w:rtl/>
        </w:rPr>
        <w:t>الوافي</w:t>
      </w:r>
      <w:r w:rsidR="00992664" w:rsidRPr="00020424">
        <w:rPr>
          <w:rtl/>
        </w:rPr>
        <w:t xml:space="preserve"> ، ج 11 ، ص 350 ، ح 11011 ؛ </w:t>
      </w:r>
      <w:r w:rsidR="00992664" w:rsidRPr="0012008A">
        <w:rPr>
          <w:rStyle w:val="libFootnoteBoldChar"/>
          <w:rtl/>
        </w:rPr>
        <w:t>الوسائل</w:t>
      </w:r>
      <w:r w:rsidR="00992664" w:rsidRPr="00020424">
        <w:rPr>
          <w:rtl/>
        </w:rPr>
        <w:t xml:space="preserve"> ، ج 10 ، ص 334 ، ح 13542.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ى ، بث ، بح ، بخ ، بر ، بس ، بف ، جن » :</w:t>
      </w:r>
      <w:r w:rsidR="00992664">
        <w:rPr>
          <w:rtl/>
        </w:rPr>
        <w:t xml:space="preserve"> </w:t>
      </w:r>
      <w:r w:rsidR="009B673F">
        <w:rPr>
          <w:rtl/>
        </w:rPr>
        <w:t>-</w:t>
      </w:r>
      <w:r w:rsidR="00992664">
        <w:rPr>
          <w:rtl/>
        </w:rPr>
        <w:t xml:space="preserve"> </w:t>
      </w:r>
      <w:r w:rsidR="00992664" w:rsidRPr="00020424">
        <w:rPr>
          <w:rtl/>
        </w:rPr>
        <w:t>« عن ابن أبي عمير</w:t>
      </w:r>
      <w:r w:rsidR="00992664">
        <w:rPr>
          <w:rtl/>
        </w:rPr>
        <w:t xml:space="preserve"> ».</w:t>
      </w:r>
      <w:r w:rsidR="00992664" w:rsidRPr="00020424">
        <w:rPr>
          <w:rtl/>
        </w:rPr>
        <w:t xml:space="preserve"> وهو سهو كما يعلم من تكرّر الطريق‌في كثيرٍ من الأسناد جدّاً ، بحيث صار هذا الطريق من أشهر طرق الكليني. والمراد من حمّاد في هذا الطريق ، هو حمّاد بن عثمان الذي لم يثبت رواية إبراهيم بن هاشم عنه مباشرة. راجع : </w:t>
      </w:r>
      <w:r w:rsidR="00992664" w:rsidRPr="00D530ED">
        <w:rPr>
          <w:rStyle w:val="libFootnoteBoldChar"/>
          <w:rtl/>
        </w:rPr>
        <w:t>الفهرست للطوسي</w:t>
      </w:r>
      <w:r w:rsidR="00992664" w:rsidRPr="00020424">
        <w:rPr>
          <w:rtl/>
        </w:rPr>
        <w:t xml:space="preserve"> ، ص 305 ، الرقم 467.</w:t>
      </w:r>
    </w:p>
    <w:p w:rsidR="00992664" w:rsidRPr="00020424" w:rsidRDefault="00992664" w:rsidP="00637F3D">
      <w:pPr>
        <w:pStyle w:val="libFootnote0"/>
        <w:rPr>
          <w:rtl/>
          <w:lang w:bidi="fa-IR"/>
        </w:rPr>
      </w:pPr>
      <w:r w:rsidRPr="00637F3D">
        <w:rPr>
          <w:rtl/>
        </w:rPr>
        <w:t xml:space="preserve">ويؤيّد ذلك أنّ الخبر تقدّم في </w:t>
      </w:r>
      <w:r w:rsidRPr="00DE76B9">
        <w:rPr>
          <w:rStyle w:val="libFootnoteBoldChar"/>
          <w:rtl/>
        </w:rPr>
        <w:t>الكافي</w:t>
      </w:r>
      <w:r w:rsidRPr="00637F3D">
        <w:rPr>
          <w:rtl/>
        </w:rPr>
        <w:t xml:space="preserve"> ، ح 5408 ، وسنده هكذا : « عليّ ، عن أبيه ، عن ابن أبي عمير ، عن حمّاد ، عن الحلبي ، عن أبي عبد الله </w:t>
      </w:r>
      <w:r w:rsidRPr="00D64ADA">
        <w:rPr>
          <w:rStyle w:val="libFootnoteAlaemChar"/>
          <w:rtl/>
        </w:rPr>
        <w:t>عليه‌السلام</w:t>
      </w:r>
      <w:r w:rsidRPr="00637F3D">
        <w:rPr>
          <w:rtl/>
        </w:rPr>
        <w:t xml:space="preserve"> ، عن أبيه </w:t>
      </w:r>
      <w:r w:rsidRPr="00D64ADA">
        <w:rPr>
          <w:rStyle w:val="libFootnoteAlaemChar"/>
          <w:rtl/>
        </w:rPr>
        <w:t>عليه‌السلام</w:t>
      </w:r>
      <w:r w:rsidRPr="00637F3D">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(1)</w:t>
      </w:r>
      <w:r w:rsidRPr="00020424">
        <w:rPr>
          <w:rtl/>
          <w:lang w:bidi="fa-IR"/>
        </w:rPr>
        <w:t xml:space="preserve"> ، قَالَ : « إِنَّا </w:t>
      </w:r>
      <w:r w:rsidRPr="00A91B96">
        <w:rPr>
          <w:rStyle w:val="libFootnotenumChar"/>
          <w:rtl/>
        </w:rPr>
        <w:t>(2)</w:t>
      </w:r>
      <w:r w:rsidRPr="00020424">
        <w:rPr>
          <w:rtl/>
          <w:lang w:bidi="fa-IR"/>
        </w:rPr>
        <w:t xml:space="preserve"> نَأْمُرُ صِبْيَانَنَا بِالصِّيَامِ </w:t>
      </w:r>
      <w:r w:rsidRPr="00A91B96">
        <w:rPr>
          <w:rStyle w:val="libFootnotenumChar"/>
          <w:rtl/>
        </w:rPr>
        <w:t>(3)</w:t>
      </w:r>
      <w:r w:rsidRPr="00020424">
        <w:rPr>
          <w:rtl/>
          <w:lang w:bidi="fa-IR"/>
        </w:rPr>
        <w:t xml:space="preserve"> إِذَا كَانُوا بَنِي </w:t>
      </w:r>
      <w:r w:rsidRPr="00A91B96">
        <w:rPr>
          <w:rStyle w:val="libFootnotenumChar"/>
          <w:rtl/>
        </w:rPr>
        <w:t>(4)</w:t>
      </w:r>
      <w:r w:rsidRPr="00020424">
        <w:rPr>
          <w:rtl/>
          <w:lang w:bidi="fa-IR"/>
        </w:rPr>
        <w:t xml:space="preserve"> سَبْعِ سِنِينَ بِمَا أَطَاقُوا مِنْ صِيَامِ الْيَوْمِ ، فَإِنْ </w:t>
      </w:r>
      <w:r w:rsidRPr="00A91B96">
        <w:rPr>
          <w:rStyle w:val="libFootnotenumChar"/>
          <w:rtl/>
        </w:rPr>
        <w:t>(5)</w:t>
      </w:r>
      <w:r w:rsidRPr="00020424">
        <w:rPr>
          <w:rtl/>
          <w:lang w:bidi="fa-IR"/>
        </w:rPr>
        <w:t xml:space="preserve"> كَانَ إِلى نِصْفِ النَّهَارِ وَأَكْثَرَ </w:t>
      </w:r>
      <w:r w:rsidRPr="00A91B96">
        <w:rPr>
          <w:rStyle w:val="libFootnotenumChar"/>
          <w:rtl/>
        </w:rPr>
        <w:t>(6)</w:t>
      </w:r>
      <w:r w:rsidRPr="00020424">
        <w:rPr>
          <w:rtl/>
          <w:lang w:bidi="fa-IR"/>
        </w:rPr>
        <w:t xml:space="preserve"> مِنْ ذلِكَ أَوْ أَقَلَّ ، فَإِذَا غَلَبَهُمُ الْعَطَشُ وَالْغَرَثُ </w:t>
      </w:r>
      <w:r w:rsidRPr="00A91B96">
        <w:rPr>
          <w:rStyle w:val="libFootnotenumChar"/>
          <w:rtl/>
        </w:rPr>
        <w:t>(7)</w:t>
      </w:r>
      <w:r w:rsidRPr="00020424">
        <w:rPr>
          <w:rtl/>
          <w:lang w:bidi="fa-IR"/>
        </w:rPr>
        <w:t xml:space="preserve"> ، أَفْطَرُوا حَتّى يَتَعَوَّدُوا الصَّوْمَ </w:t>
      </w:r>
      <w:r w:rsidRPr="00A91B96">
        <w:rPr>
          <w:rStyle w:val="libFootnotenumChar"/>
          <w:rtl/>
        </w:rPr>
        <w:t>(8)</w:t>
      </w:r>
      <w:r w:rsidRPr="00020424">
        <w:rPr>
          <w:rtl/>
          <w:lang w:bidi="fa-IR"/>
        </w:rPr>
        <w:t xml:space="preserve"> وَيُطِيقُوهُ ، فَمُرُوا صِبْيَانَكُمْ إِذَا كَانُوا أَبْنَاءَ </w:t>
      </w:r>
      <w:r w:rsidRPr="00A91B96">
        <w:rPr>
          <w:rStyle w:val="libFootnotenumChar"/>
          <w:rtl/>
        </w:rPr>
        <w:t>(9)</w:t>
      </w:r>
      <w:r w:rsidRPr="00020424">
        <w:rPr>
          <w:rtl/>
          <w:lang w:bidi="fa-IR"/>
        </w:rPr>
        <w:t xml:space="preserve"> تِسْعِ سِنِينَ بِمَا أَطَاقُوا مِنْ صِيَامٍ </w:t>
      </w:r>
      <w:r w:rsidRPr="00A91B96">
        <w:rPr>
          <w:rStyle w:val="libFootnotenumChar"/>
          <w:rtl/>
        </w:rPr>
        <w:t>(10)</w:t>
      </w:r>
      <w:r w:rsidRPr="00020424">
        <w:rPr>
          <w:rtl/>
          <w:lang w:bidi="fa-IR"/>
        </w:rPr>
        <w:t xml:space="preserve"> ، فَإِذَا غَلَبَهُمُ الْعَطَشُ أَفْطَرُوا</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D40848">
        <w:rPr>
          <w:rtl/>
        </w:rPr>
        <w:t>6488</w:t>
      </w:r>
      <w:r w:rsidRPr="001155DE">
        <w:rPr>
          <w:rStyle w:val="libBold2Char"/>
          <w:rtl/>
        </w:rPr>
        <w:t xml:space="preserve"> / 2.</w:t>
      </w:r>
      <w:r w:rsidRPr="00020424">
        <w:rPr>
          <w:rtl/>
          <w:lang w:bidi="fa-IR"/>
        </w:rPr>
        <w:t xml:space="preserve"> عِدَّةٌ مِنْ أَصْحَابِنَا ، عَنْ أَحْمَدَ بْنِ مُحَمَّدٍ ، عَنِ الْحُسَيْنِ بْنِ سَعِيدٍ </w:t>
      </w:r>
      <w:r w:rsidRPr="00A91B96">
        <w:rPr>
          <w:rStyle w:val="libFootnotenumChar"/>
          <w:rtl/>
        </w:rPr>
        <w:t>(12)</w:t>
      </w:r>
      <w:r w:rsidRPr="00020424">
        <w:rPr>
          <w:rtl/>
          <w:lang w:bidi="fa-IR"/>
        </w:rPr>
        <w:t xml:space="preserve"> ، عَنْ فَضَالَةَ بْنِ أَيُّوبَ ، عَنْ مُعَاوِيَةَ بْنِ وَهْبٍ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w:t>
      </w:r>
      <w:r w:rsidRPr="00A91B96">
        <w:rPr>
          <w:rStyle w:val="libFootnotenumChar"/>
          <w:rtl/>
        </w:rPr>
        <w:t>(13)</w:t>
      </w:r>
      <w:r w:rsidRPr="00020424">
        <w:rPr>
          <w:rtl/>
          <w:lang w:bidi="fa-IR"/>
        </w:rPr>
        <w:t xml:space="preserve"> فِي كَمْ يُؤْخَذُ الصَّبِيُّ بِالصِّيَامِ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الكافي ، ح 5408 </w:t>
      </w:r>
      <w:r w:rsidR="00992664" w:rsidRPr="00FD6221">
        <w:rPr>
          <w:rStyle w:val="libFootnoteBoldChar"/>
          <w:rtl/>
        </w:rPr>
        <w:t>والاستبصار</w:t>
      </w:r>
      <w:r w:rsidR="00992664" w:rsidRPr="00020424">
        <w:rPr>
          <w:rtl/>
        </w:rPr>
        <w:t xml:space="preserve"> ، ج 1 : + « أبيه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ج 2 : + « أنّه</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الكافي ، ح 5408 </w:t>
      </w:r>
      <w:r w:rsidR="00992664" w:rsidRPr="00FD6221">
        <w:rPr>
          <w:rStyle w:val="libFootnoteBoldChar"/>
          <w:rtl/>
        </w:rPr>
        <w:t>والفقيه</w:t>
      </w:r>
      <w:r w:rsidR="00992664" w:rsidRPr="00020424">
        <w:rPr>
          <w:rtl/>
        </w:rPr>
        <w:t xml:space="preserve"> </w:t>
      </w:r>
      <w:r w:rsidR="00992664" w:rsidRPr="00FD6221">
        <w:rPr>
          <w:rStyle w:val="libFootnoteBoldChar"/>
          <w:rtl/>
        </w:rPr>
        <w:t>والاستبصار</w:t>
      </w:r>
      <w:r w:rsidR="00992664" w:rsidRPr="00020424">
        <w:rPr>
          <w:rtl/>
        </w:rPr>
        <w:t xml:space="preserve"> ، ج 1 : + « نأمر صبياننا بالصلاة إذا كانوا بني خمس سنين ، فمروا صبيانكم بالصلاة إذا كانوا بني سبع سنين ونحن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الكافي ، ح 5408 </w:t>
      </w:r>
      <w:r w:rsidR="00992664" w:rsidRPr="00FD6221">
        <w:rPr>
          <w:rStyle w:val="libFootnoteBoldChar"/>
          <w:rtl/>
        </w:rPr>
        <w:t>والاستبصار</w:t>
      </w:r>
      <w:r w:rsidR="00992664" w:rsidRPr="00020424">
        <w:rPr>
          <w:rtl/>
        </w:rPr>
        <w:t xml:space="preserve"> ، ج 1 : « بالصوم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ى ، بر ، بس ، بف ، جن » </w:t>
      </w:r>
      <w:r w:rsidR="00992664" w:rsidRPr="00515444">
        <w:rPr>
          <w:rStyle w:val="libFootnoteBoldChar"/>
          <w:rtl/>
        </w:rPr>
        <w:t>والوافي</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حاشية « بح » : « وإن</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ما</w:t>
      </w:r>
      <w:r w:rsidR="00992664">
        <w:rPr>
          <w:rtl/>
        </w:rPr>
        <w:t xml:space="preserve"> ».</w:t>
      </w:r>
      <w:r w:rsidR="00992664" w:rsidRPr="00020424">
        <w:rPr>
          <w:rtl/>
        </w:rPr>
        <w:t xml:space="preserve"> وفي الكافي ، ح 5408 </w:t>
      </w:r>
      <w:r w:rsidR="00992664" w:rsidRPr="00FD6221">
        <w:rPr>
          <w:rStyle w:val="libFootnoteBoldChar"/>
          <w:rtl/>
        </w:rPr>
        <w:t>والفقيه</w:t>
      </w:r>
      <w:r w:rsidR="00992664" w:rsidRPr="00020424">
        <w:rPr>
          <w:rtl/>
        </w:rPr>
        <w:t xml:space="preserve"> </w:t>
      </w:r>
      <w:r w:rsidR="00992664" w:rsidRPr="00FD6221">
        <w:rPr>
          <w:rStyle w:val="libFootnoteBoldChar"/>
          <w:rtl/>
        </w:rPr>
        <w:t>والاستبصار</w:t>
      </w:r>
      <w:r w:rsidR="00992664" w:rsidRPr="00020424">
        <w:rPr>
          <w:rtl/>
        </w:rPr>
        <w:t xml:space="preserve"> ، ج 1 : « إن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جن » </w:t>
      </w:r>
      <w:r w:rsidR="00992664" w:rsidRPr="00EB1FD9">
        <w:rPr>
          <w:rStyle w:val="libFootnoteBoldChar"/>
          <w:rtl/>
        </w:rPr>
        <w:t>والوسائل</w:t>
      </w:r>
      <w:r w:rsidR="00992664" w:rsidRPr="00020424">
        <w:rPr>
          <w:rtl/>
        </w:rPr>
        <w:t xml:space="preserve"> ، والكافي ، ح 5408 </w:t>
      </w:r>
      <w:r w:rsidR="00992664" w:rsidRPr="00FD6221">
        <w:rPr>
          <w:rStyle w:val="libFootnoteBoldChar"/>
          <w:rtl/>
        </w:rPr>
        <w:t>والفقيه</w:t>
      </w:r>
      <w:r w:rsidR="00992664" w:rsidRPr="00020424">
        <w:rPr>
          <w:rtl/>
        </w:rPr>
        <w:t xml:space="preserve"> </w:t>
      </w:r>
      <w:r w:rsidR="00992664" w:rsidRPr="00FD6221">
        <w:rPr>
          <w:rStyle w:val="libFootnoteBoldChar"/>
          <w:rtl/>
        </w:rPr>
        <w:t>والاستبصار</w:t>
      </w:r>
      <w:r w:rsidR="00992664" w:rsidRPr="00020424">
        <w:rPr>
          <w:rtl/>
        </w:rPr>
        <w:t xml:space="preserve"> ، ج 1 : « أو أكثر</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وأكثر من ذلك ، في كتاب الصلاة : أو أكثر ، وهو أنسب</w:t>
      </w:r>
      <w:r w:rsidR="00992664">
        <w:rPr>
          <w:rtl/>
        </w:rPr>
        <w:t xml:space="preserve"> ».</w:t>
      </w:r>
    </w:p>
    <w:p w:rsidR="00992664" w:rsidRPr="00020424" w:rsidRDefault="00795177" w:rsidP="00637F3D">
      <w:pPr>
        <w:pStyle w:val="libFootnote0"/>
        <w:rPr>
          <w:rtl/>
          <w:lang w:bidi="fa-IR"/>
        </w:rPr>
      </w:pPr>
      <w:r>
        <w:rPr>
          <w:rtl/>
        </w:rPr>
        <w:t>(7).</w:t>
      </w:r>
      <w:r w:rsidR="0014403D">
        <w:rPr>
          <w:rtl/>
        </w:rPr>
        <w:t xml:space="preserve"> </w:t>
      </w:r>
      <w:r w:rsidR="00992664" w:rsidRPr="00020424">
        <w:rPr>
          <w:rtl/>
        </w:rPr>
        <w:t xml:space="preserve">« الغَرَث » : الجوع. وقيل : هو أيسر الجوع. وقيل : شدّته. راجع : </w:t>
      </w:r>
      <w:r w:rsidR="00992664" w:rsidRPr="0012008A">
        <w:rPr>
          <w:rStyle w:val="libFootnoteBoldChar"/>
          <w:rtl/>
        </w:rPr>
        <w:t>الصحاح</w:t>
      </w:r>
      <w:r w:rsidR="00992664" w:rsidRPr="00020424">
        <w:rPr>
          <w:rtl/>
        </w:rPr>
        <w:t xml:space="preserve"> ، ج 1 ، ص 288 ؛ </w:t>
      </w:r>
      <w:r w:rsidR="00992664" w:rsidRPr="00A722B1">
        <w:rPr>
          <w:rStyle w:val="libFootnoteBoldChar"/>
          <w:rtl/>
        </w:rPr>
        <w:t>لسان العرب</w:t>
      </w:r>
      <w:r w:rsidR="00992664" w:rsidRPr="00020424">
        <w:rPr>
          <w:rtl/>
        </w:rPr>
        <w:t xml:space="preserve"> ، ج 2 ، ص 172 ( غرث )</w:t>
      </w:r>
      <w:r w:rsidR="00992664">
        <w:rPr>
          <w:rtl/>
        </w:rPr>
        <w:t>.</w:t>
      </w:r>
      <w:r w:rsidR="00637F3D">
        <w:rPr>
          <w:rFonts w:hint="cs"/>
          <w:rtl/>
        </w:rPr>
        <w:t xml:space="preserve">           </w:t>
      </w: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ج 2 : « الصيام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الكافي ، ح 5408 </w:t>
      </w:r>
      <w:r w:rsidR="00992664" w:rsidRPr="00515444">
        <w:rPr>
          <w:rStyle w:val="libFootnoteBoldChar"/>
          <w:rtl/>
        </w:rPr>
        <w:t>والتهذيب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ج 1 : « بني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الكافي ، ح 5408 </w:t>
      </w:r>
      <w:r w:rsidR="00992664" w:rsidRPr="00FD6221">
        <w:rPr>
          <w:rStyle w:val="libFootnoteBoldChar"/>
          <w:rtl/>
        </w:rPr>
        <w:t>والاستبصار</w:t>
      </w:r>
      <w:r w:rsidR="00992664" w:rsidRPr="00020424">
        <w:rPr>
          <w:rtl/>
        </w:rPr>
        <w:t xml:space="preserve"> ، ج 1 : « بالصوم ما استطاعوا من صيام اليوم » بدل « بما أطاقوا من صيام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DE76B9">
        <w:rPr>
          <w:rStyle w:val="libFootnoteBoldChar"/>
          <w:rtl/>
        </w:rPr>
        <w:t>الكافي</w:t>
      </w:r>
      <w:r w:rsidR="00992664" w:rsidRPr="00020424">
        <w:rPr>
          <w:rtl/>
        </w:rPr>
        <w:t xml:space="preserve"> ، كتاب الصلاة ، باب صلاة الصبيان ومتى يؤخذون بها ، ح 5408. وفي </w:t>
      </w:r>
      <w:r w:rsidR="00992664" w:rsidRPr="0012008A">
        <w:rPr>
          <w:rStyle w:val="libFootnoteBoldChar"/>
          <w:rtl/>
        </w:rPr>
        <w:t>التهذيب</w:t>
      </w:r>
      <w:r w:rsidR="00992664" w:rsidRPr="00020424">
        <w:rPr>
          <w:rtl/>
        </w:rPr>
        <w:t xml:space="preserve"> ، ج 2 ، ص 380 ، ح 1584 ؛ وج 4 ، ص 282 ، ح 853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123 ، ح 400 ، معلّقاً عن الكليني. </w:t>
      </w:r>
      <w:r w:rsidR="00992664" w:rsidRPr="00DE76B9">
        <w:rPr>
          <w:rStyle w:val="libFootnoteBoldChar"/>
          <w:rtl/>
        </w:rPr>
        <w:t>وفيه</w:t>
      </w:r>
      <w:r w:rsidR="00992664" w:rsidRPr="00020424">
        <w:rPr>
          <w:rtl/>
        </w:rPr>
        <w:t xml:space="preserve"> ، ج 1 ، ص 409 ، ح 1564 ، عن عليّ بن إبراهيم. </w:t>
      </w:r>
      <w:r w:rsidR="00992664" w:rsidRPr="0012008A">
        <w:rPr>
          <w:rStyle w:val="libFootnoteBoldChar"/>
          <w:rtl/>
        </w:rPr>
        <w:t>الفقيه</w:t>
      </w:r>
      <w:r w:rsidR="00992664" w:rsidRPr="00020424">
        <w:rPr>
          <w:rtl/>
        </w:rPr>
        <w:t xml:space="preserve"> ، ج 1 ، ص 280 ، ح 861 ، مرسلاً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211 ، وفي الأخيرين مع اختلاف يسير </w:t>
      </w:r>
      <w:r w:rsidR="00170670">
        <w:rPr>
          <w:rFonts w:hint="cs"/>
          <w:rtl/>
        </w:rPr>
        <w:t>.</w:t>
      </w:r>
      <w:r w:rsidR="00992664" w:rsidRPr="0012008A">
        <w:rPr>
          <w:rStyle w:val="libFootnoteBoldChar"/>
          <w:rtl/>
        </w:rPr>
        <w:t>الوافي</w:t>
      </w:r>
      <w:r w:rsidR="00992664" w:rsidRPr="00020424">
        <w:rPr>
          <w:rtl/>
        </w:rPr>
        <w:t xml:space="preserve"> ، ج 11 ، ص 99 ، ح 10491 ؛ </w:t>
      </w:r>
      <w:r w:rsidR="00992664" w:rsidRPr="0012008A">
        <w:rPr>
          <w:rStyle w:val="libFootnoteBoldChar"/>
          <w:rtl/>
        </w:rPr>
        <w:t>الوسائل</w:t>
      </w:r>
      <w:r w:rsidR="00992664" w:rsidRPr="00020424">
        <w:rPr>
          <w:rtl/>
        </w:rPr>
        <w:t xml:space="preserve"> ، ج 10 ، ص 234 ، ح 13299.</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بن سعيد</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2 </w:t>
      </w:r>
      <w:r w:rsidR="00992664" w:rsidRPr="00FD6221">
        <w:rPr>
          <w:rStyle w:val="libFootnoteBoldChar"/>
          <w:rtl/>
        </w:rPr>
        <w:t>والاستبصار</w:t>
      </w:r>
      <w:r w:rsidR="00992664" w:rsidRPr="00020424">
        <w:rPr>
          <w:rtl/>
        </w:rPr>
        <w:t xml:space="preserve"> : + « في كم يؤخذ الصبيّ بالصلاة</w:t>
      </w:r>
      <w:r w:rsidR="00992664">
        <w:rPr>
          <w:rtl/>
        </w:rPr>
        <w:t>؟</w:t>
      </w:r>
      <w:r w:rsidR="00992664" w:rsidRPr="00020424">
        <w:rPr>
          <w:rtl/>
        </w:rPr>
        <w:t xml:space="preserve"> فقال : فيما بين سبع سنين وستّ سنين ، قلت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مَا بَيْنَهُ </w:t>
      </w:r>
      <w:r w:rsidRPr="00A91B96">
        <w:rPr>
          <w:rStyle w:val="libFootnotenumChar"/>
          <w:rtl/>
        </w:rPr>
        <w:t>(2)</w:t>
      </w:r>
      <w:r w:rsidRPr="00020424">
        <w:rPr>
          <w:rtl/>
          <w:lang w:bidi="fa-IR"/>
        </w:rPr>
        <w:t xml:space="preserve"> وَبَيْنَ خَمْسَ عَشْرَةَ </w:t>
      </w:r>
      <w:r w:rsidRPr="00A91B96">
        <w:rPr>
          <w:rStyle w:val="libFootnotenumChar"/>
          <w:rtl/>
        </w:rPr>
        <w:t>(3)</w:t>
      </w:r>
      <w:r w:rsidRPr="00020424">
        <w:rPr>
          <w:rtl/>
          <w:lang w:bidi="fa-IR"/>
        </w:rPr>
        <w:t xml:space="preserve"> سَنَةً </w:t>
      </w:r>
      <w:r w:rsidRPr="00A91B96">
        <w:rPr>
          <w:rStyle w:val="libFootnotenumChar"/>
          <w:rtl/>
        </w:rPr>
        <w:t>(4)</w:t>
      </w:r>
      <w:r w:rsidRPr="00020424">
        <w:rPr>
          <w:rtl/>
          <w:lang w:bidi="fa-IR"/>
        </w:rPr>
        <w:t xml:space="preserve"> وَأَرْبَعَ عَشْرَةَ </w:t>
      </w:r>
      <w:r w:rsidRPr="00A91B96">
        <w:rPr>
          <w:rStyle w:val="libFootnotenumChar"/>
          <w:rtl/>
        </w:rPr>
        <w:t>(5)</w:t>
      </w:r>
      <w:r w:rsidRPr="00020424">
        <w:rPr>
          <w:rtl/>
          <w:lang w:bidi="fa-IR"/>
        </w:rPr>
        <w:t xml:space="preserve"> سَنَةً ، فَإِنْ هُوَ صَامَ قَبْلَ ذلِكَ ، فَدَعْهُ </w:t>
      </w:r>
      <w:r w:rsidRPr="00A91B96">
        <w:rPr>
          <w:rStyle w:val="libFootnotenumChar"/>
          <w:rtl/>
        </w:rPr>
        <w:t>(6)</w:t>
      </w:r>
      <w:r w:rsidRPr="00020424">
        <w:rPr>
          <w:rtl/>
          <w:lang w:bidi="fa-IR"/>
        </w:rPr>
        <w:t xml:space="preserve"> ، وَلَقَدْ صَامَ ابْنِي فُلَانٌ قَبْلَ ذلِكَ ، فَتَرَكْتُهُ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C9465F">
        <w:rPr>
          <w:rtl/>
        </w:rPr>
        <w:t>6489</w:t>
      </w:r>
      <w:r w:rsidRPr="001155DE">
        <w:rPr>
          <w:rStyle w:val="libBold2Char"/>
          <w:rtl/>
        </w:rPr>
        <w:t xml:space="preserve"> / 3.</w:t>
      </w:r>
      <w:r w:rsidRPr="00020424">
        <w:rPr>
          <w:rtl/>
          <w:lang w:bidi="fa-IR"/>
        </w:rPr>
        <w:t xml:space="preserve"> أَحْمَدُ بْنُ مُحَمَّدٍ </w:t>
      </w:r>
      <w:r w:rsidRPr="00A91B96">
        <w:rPr>
          <w:rStyle w:val="libFootnotenumChar"/>
          <w:rtl/>
        </w:rPr>
        <w:t>(8)</w:t>
      </w:r>
      <w:r w:rsidRPr="00020424">
        <w:rPr>
          <w:rtl/>
          <w:lang w:bidi="fa-IR"/>
        </w:rPr>
        <w:t xml:space="preserve"> ، عَنْ عُثْمَانَ بْنِ عِيسى ، عَنْ سَمَاعَةَ ، قَالَ :</w:t>
      </w:r>
    </w:p>
    <w:p w:rsidR="00992664" w:rsidRPr="00020424" w:rsidRDefault="00992664" w:rsidP="00992664">
      <w:pPr>
        <w:pStyle w:val="libNormal"/>
        <w:rPr>
          <w:rtl/>
          <w:lang w:bidi="fa-IR"/>
        </w:rPr>
      </w:pPr>
      <w:r w:rsidRPr="00020424">
        <w:rPr>
          <w:rtl/>
          <w:lang w:bidi="fa-IR"/>
        </w:rPr>
        <w:t>سَأَلْتُهُ عَنِ الصَّبِيِّ : مَتى يَصُومُ</w:t>
      </w:r>
      <w:r>
        <w:rPr>
          <w:rtl/>
          <w:lang w:bidi="fa-IR"/>
        </w:rPr>
        <w:t>؟</w:t>
      </w:r>
    </w:p>
    <w:p w:rsidR="00992664" w:rsidRPr="00020424" w:rsidRDefault="00992664" w:rsidP="00992664">
      <w:pPr>
        <w:pStyle w:val="libNormal"/>
        <w:rPr>
          <w:rtl/>
          <w:lang w:bidi="fa-IR"/>
        </w:rPr>
      </w:pPr>
      <w:r w:rsidRPr="00020424">
        <w:rPr>
          <w:rtl/>
          <w:lang w:bidi="fa-IR"/>
        </w:rPr>
        <w:t>قَالَ : « إِذَا قَوِيَ عَلَى الصِّيَامِ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C9465F">
        <w:rPr>
          <w:rtl/>
        </w:rPr>
        <w:t>6490</w:t>
      </w:r>
      <w:r w:rsidRPr="001155DE">
        <w:rPr>
          <w:rStyle w:val="libBold2Char"/>
          <w:rtl/>
        </w:rPr>
        <w:t xml:space="preserve"> / 4.</w:t>
      </w:r>
      <w:r w:rsidRPr="00020424">
        <w:rPr>
          <w:rtl/>
          <w:lang w:bidi="fa-IR"/>
        </w:rPr>
        <w:t xml:space="preserve"> عَلِيُّ بْنُ إِبْرَاهِيمَ ، عَنْ أَبِيهِ ، عَنِ النَّوْفَلِيِّ ، عَنِ السَّكُونِيِّ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 ج 4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العائد في « بينه » يرجع إلى الصبيّ ، يعني وقت مؤاخذته بالصيام ووجوبه عليه بلوغه خمس عشرة سنة ، وإنّما لم يعيّن أحدهما لاختلاف الصبيان في الحلم والاحتلام ، وكان أحدهما أقلّه والآخر أكثره</w:t>
      </w:r>
      <w:r w:rsidR="00992664">
        <w:rPr>
          <w:rtl/>
        </w:rPr>
        <w:t xml:space="preserve"> ».</w:t>
      </w:r>
    </w:p>
    <w:p w:rsidR="00992664" w:rsidRPr="00020424" w:rsidRDefault="00992664" w:rsidP="00170670">
      <w:pPr>
        <w:pStyle w:val="libFootnote0"/>
        <w:rPr>
          <w:rtl/>
          <w:lang w:bidi="fa-IR"/>
        </w:rPr>
      </w:pPr>
      <w:r w:rsidRPr="00170670">
        <w:rPr>
          <w:rtl/>
        </w:rPr>
        <w:t xml:space="preserve">وفي </w:t>
      </w:r>
      <w:r w:rsidRPr="00DE76B9">
        <w:rPr>
          <w:rStyle w:val="libFootnoteBoldChar"/>
          <w:rtl/>
        </w:rPr>
        <w:t>مرآة العقول</w:t>
      </w:r>
      <w:r w:rsidRPr="00170670">
        <w:rPr>
          <w:rtl/>
        </w:rPr>
        <w:t xml:space="preserve"> : « قوله </w:t>
      </w:r>
      <w:r w:rsidRPr="00D64ADA">
        <w:rPr>
          <w:rStyle w:val="libFootnoteAlaemChar"/>
          <w:rtl/>
        </w:rPr>
        <w:t>عليه‌السلام</w:t>
      </w:r>
      <w:r w:rsidRPr="00170670">
        <w:rPr>
          <w:rtl/>
        </w:rPr>
        <w:t xml:space="preserve"> : وأربع عشرة ، في نسخ </w:t>
      </w:r>
      <w:r w:rsidRPr="0012008A">
        <w:rPr>
          <w:rStyle w:val="libFootnoteBoldChar"/>
          <w:rtl/>
        </w:rPr>
        <w:t>الفقيه</w:t>
      </w:r>
      <w:r w:rsidRPr="00170670">
        <w:rPr>
          <w:rtl/>
        </w:rPr>
        <w:t xml:space="preserve"> : أو أربعة عشر ، فيحتمل أن يكون الترديد من الراوي ، والأظهر أنّ ذكره لبيان أنّ البلوغ قد يحصل قبل الخمسة عشر بالاحتلام وسائر العلامات. والضمير في قوله : بينه ، لعلّه راجع إلى الصبيّ في حال طاقته ، فقوله : قبل ذلك ، أي صام قبل الطاقة بمشقّة أو بعض اليوم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بح ، بخ ، بر ، بس ، بف ، جن » : « خمسة عشر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بر ، بف » </w:t>
      </w:r>
      <w:r w:rsidR="00992664" w:rsidRPr="00515444">
        <w:rPr>
          <w:rStyle w:val="libFootnoteBoldChar"/>
          <w:rtl/>
        </w:rPr>
        <w:t>والتهذيب</w:t>
      </w:r>
      <w:r w:rsidR="00992664" w:rsidRPr="00020424">
        <w:rPr>
          <w:rtl/>
        </w:rPr>
        <w:t xml:space="preserve"> ، ج 2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سنة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بث ، بح ، بخ ، بر ، بس ، بف ، جن » : « وأربعة عشر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بف » : « فدع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122 ، ح 1906 ، معلّقاً عن معاوية بن وهب. وفي </w:t>
      </w:r>
      <w:r w:rsidR="00992664" w:rsidRPr="0012008A">
        <w:rPr>
          <w:rStyle w:val="libFootnoteBoldChar"/>
          <w:rtl/>
        </w:rPr>
        <w:t>التهذيب</w:t>
      </w:r>
      <w:r w:rsidR="00992664" w:rsidRPr="00020424">
        <w:rPr>
          <w:rtl/>
        </w:rPr>
        <w:t xml:space="preserve"> ، ج 2 ، ص 381 ، ح 1590 ؛ وج 4 ، ص 326 ، ح 1012 ، [ إلى قوله : « صام قبل ذلك فدعه » ] ؛ </w:t>
      </w:r>
      <w:r w:rsidR="00992664" w:rsidRPr="00FD6221">
        <w:rPr>
          <w:rStyle w:val="libFootnoteBoldChar"/>
          <w:rtl/>
        </w:rPr>
        <w:t>والاستبصار</w:t>
      </w:r>
      <w:r w:rsidR="00992664" w:rsidRPr="00020424">
        <w:rPr>
          <w:rtl/>
        </w:rPr>
        <w:t xml:space="preserve"> ، ج 1 ، ص 409 ، ح 1563 ، بسند آخر عن معاوية بن وهب </w:t>
      </w:r>
      <w:r w:rsidR="004F516D">
        <w:rPr>
          <w:rFonts w:hint="cs"/>
          <w:rtl/>
        </w:rPr>
        <w:t>.</w:t>
      </w:r>
      <w:r w:rsidR="00992664" w:rsidRPr="0012008A">
        <w:rPr>
          <w:rStyle w:val="libFootnoteBoldChar"/>
          <w:rtl/>
        </w:rPr>
        <w:t>الوافي</w:t>
      </w:r>
      <w:r w:rsidR="00992664" w:rsidRPr="00020424">
        <w:rPr>
          <w:rtl/>
        </w:rPr>
        <w:t xml:space="preserve"> ، ج 11 ، ص 100 ، ح 10493 ؛ </w:t>
      </w:r>
      <w:r w:rsidR="00992664" w:rsidRPr="0012008A">
        <w:rPr>
          <w:rStyle w:val="libFootnoteBoldChar"/>
          <w:rtl/>
        </w:rPr>
        <w:t>الوسائل</w:t>
      </w:r>
      <w:r w:rsidR="00992664" w:rsidRPr="00020424">
        <w:rPr>
          <w:rtl/>
        </w:rPr>
        <w:t xml:space="preserve"> ، ج 10 ، ص 233 ، ح 13297.</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ج 2 ، ص 122 ، ح 1905 ، معلّقاً عن سماعة. وفي </w:t>
      </w:r>
      <w:r w:rsidR="00992664" w:rsidRPr="00DE76B9">
        <w:rPr>
          <w:rStyle w:val="libFootnoteBoldChar"/>
          <w:rtl/>
        </w:rPr>
        <w:t>الكافي</w:t>
      </w:r>
      <w:r w:rsidR="00992664" w:rsidRPr="00020424">
        <w:rPr>
          <w:rtl/>
        </w:rPr>
        <w:t xml:space="preserve"> ، كتاب الجنائز ، باب غسل الأطفال والصبيان والصلاة عليهم ، ذيل ح 4600 ؛ </w:t>
      </w:r>
      <w:r w:rsidR="00992664" w:rsidRPr="00FD6221">
        <w:rPr>
          <w:rStyle w:val="libFootnoteBoldChar"/>
          <w:rtl/>
        </w:rPr>
        <w:t>والفقيه</w:t>
      </w:r>
      <w:r w:rsidR="00992664" w:rsidRPr="00020424">
        <w:rPr>
          <w:rtl/>
        </w:rPr>
        <w:t xml:space="preserve"> ، ج 1 ، ص 167 ، ذيل ح 486 ؛ </w:t>
      </w:r>
      <w:r w:rsidR="00992664" w:rsidRPr="00515444">
        <w:rPr>
          <w:rStyle w:val="libFootnoteBoldChar"/>
          <w:rtl/>
        </w:rPr>
        <w:t>والتهذيب</w:t>
      </w:r>
      <w:r w:rsidR="00992664" w:rsidRPr="00020424">
        <w:rPr>
          <w:rtl/>
        </w:rPr>
        <w:t xml:space="preserve"> ، ج 2 ، ص 381 ، ذيل ح 1591 ؛ وج 3 ، ص 198 ، ذيل ح 456 ؛ </w:t>
      </w:r>
      <w:r w:rsidR="00992664" w:rsidRPr="00FD6221">
        <w:rPr>
          <w:rStyle w:val="libFootnoteBoldChar"/>
          <w:rtl/>
        </w:rPr>
        <w:t>والاستبصار</w:t>
      </w:r>
      <w:r w:rsidR="00992664" w:rsidRPr="00020424">
        <w:rPr>
          <w:rtl/>
        </w:rPr>
        <w:t xml:space="preserve"> ، ج 1 ، ص 479 ، ذيل ح 1855 ، بسند آخر عن أبي عبدالله </w:t>
      </w:r>
      <w:r w:rsidR="00992664" w:rsidRPr="00D64ADA">
        <w:rPr>
          <w:rStyle w:val="libFootnoteAlaemChar"/>
          <w:rtl/>
        </w:rPr>
        <w:t>عليه‌السلام</w:t>
      </w:r>
      <w:r w:rsidR="00992664" w:rsidRPr="00020424">
        <w:rPr>
          <w:rtl/>
        </w:rPr>
        <w:t xml:space="preserve"> ، مع اختلاف يسير. وفي </w:t>
      </w:r>
      <w:r w:rsidR="00992664" w:rsidRPr="0012008A">
        <w:rPr>
          <w:rStyle w:val="libFootnoteBoldChar"/>
          <w:rtl/>
        </w:rPr>
        <w:t>التهذيب</w:t>
      </w:r>
      <w:r w:rsidR="00992664" w:rsidRPr="00020424">
        <w:rPr>
          <w:rtl/>
        </w:rPr>
        <w:t xml:space="preserve"> ، ج 4 ، ص 326 ، ح 1014 ، بسند آخر عن أبي جعفر </w:t>
      </w:r>
      <w:r w:rsidR="00992664" w:rsidRPr="00D64ADA">
        <w:rPr>
          <w:rStyle w:val="libFootnoteAlaemChar"/>
          <w:rtl/>
        </w:rPr>
        <w:t>عليه‌السلام</w:t>
      </w:r>
      <w:r w:rsidR="00992664" w:rsidRPr="00020424">
        <w:rPr>
          <w:rtl/>
        </w:rPr>
        <w:t xml:space="preserve"> </w:t>
      </w:r>
      <w:r w:rsidR="004F516D">
        <w:rPr>
          <w:rFonts w:hint="cs"/>
          <w:rtl/>
        </w:rPr>
        <w:t>.</w:t>
      </w:r>
      <w:r w:rsidR="00992664" w:rsidRPr="0012008A">
        <w:rPr>
          <w:rStyle w:val="libFootnoteBoldChar"/>
          <w:rtl/>
        </w:rPr>
        <w:t>الوافي</w:t>
      </w:r>
      <w:r w:rsidR="00992664" w:rsidRPr="00020424">
        <w:rPr>
          <w:rtl/>
        </w:rPr>
        <w:t xml:space="preserve"> ، ج 11 ، ص 102 ، ح 10497 ؛ </w:t>
      </w:r>
      <w:r w:rsidR="00992664" w:rsidRPr="0012008A">
        <w:rPr>
          <w:rStyle w:val="libFootnoteBoldChar"/>
          <w:rtl/>
        </w:rPr>
        <w:t>الوسائل</w:t>
      </w:r>
      <w:r w:rsidR="00992664" w:rsidRPr="00020424">
        <w:rPr>
          <w:rtl/>
        </w:rPr>
        <w:t xml:space="preserve"> ، ج 10 ، ص 234 ، ح 13298.</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أَطَاقَ الْغُلَامُ صَوْمَ </w:t>
      </w:r>
      <w:r w:rsidRPr="00A91B96">
        <w:rPr>
          <w:rStyle w:val="libFootnotenumChar"/>
          <w:rtl/>
        </w:rPr>
        <w:t>(1)</w:t>
      </w:r>
      <w:r w:rsidRPr="00020424">
        <w:rPr>
          <w:rtl/>
          <w:lang w:bidi="fa-IR"/>
        </w:rPr>
        <w:t xml:space="preserve"> ثَلَاثَةِ أَيَّامٍ مُتَتَابِعَةٍ ، فَقَدْ وَجَبَ عَلَيْهِ </w:t>
      </w:r>
      <w:r w:rsidRPr="00A91B96">
        <w:rPr>
          <w:rStyle w:val="libFootnotenumChar"/>
          <w:rtl/>
        </w:rPr>
        <w:t>(2)</w:t>
      </w:r>
      <w:r w:rsidRPr="00020424">
        <w:rPr>
          <w:rtl/>
          <w:lang w:bidi="fa-IR"/>
        </w:rPr>
        <w:t xml:space="preserve"> صِيَامُ </w:t>
      </w:r>
      <w:r w:rsidRPr="00A91B96">
        <w:rPr>
          <w:rStyle w:val="libFootnotenumChar"/>
          <w:rtl/>
        </w:rPr>
        <w:t>(3)</w:t>
      </w:r>
      <w:r w:rsidRPr="00020424">
        <w:rPr>
          <w:rtl/>
          <w:lang w:bidi="fa-IR"/>
        </w:rPr>
        <w:t xml:space="preserve"> شَهْرِ رَمَضَانَ</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438" w:name="_Toc345172862"/>
      <w:bookmarkStart w:id="439" w:name="_Toc464562678"/>
      <w:bookmarkStart w:id="440" w:name="_Toc44599983"/>
      <w:r w:rsidRPr="00020424">
        <w:rPr>
          <w:rtl/>
          <w:lang w:bidi="fa-IR"/>
        </w:rPr>
        <w:t>46</w:t>
      </w:r>
      <w:r>
        <w:rPr>
          <w:rtl/>
          <w:lang w:bidi="fa-IR"/>
        </w:rPr>
        <w:t xml:space="preserve"> </w:t>
      </w:r>
      <w:r w:rsidR="009B673F">
        <w:rPr>
          <w:rtl/>
          <w:lang w:bidi="fa-IR"/>
        </w:rPr>
        <w:t>-</w:t>
      </w:r>
      <w:r>
        <w:rPr>
          <w:rtl/>
          <w:lang w:bidi="fa-IR"/>
        </w:rPr>
        <w:t xml:space="preserve"> </w:t>
      </w:r>
      <w:r w:rsidRPr="00020424">
        <w:rPr>
          <w:rtl/>
          <w:lang w:bidi="fa-IR"/>
        </w:rPr>
        <w:t>بَابُ مَنْ أَسْلَمَ فِي شَهْرِ رَمَضَانَ‌</w:t>
      </w:r>
      <w:bookmarkEnd w:id="438"/>
      <w:bookmarkEnd w:id="439"/>
      <w:bookmarkEnd w:id="440"/>
    </w:p>
    <w:p w:rsidR="00992664" w:rsidRPr="00020424" w:rsidRDefault="00992664" w:rsidP="00992664">
      <w:pPr>
        <w:pStyle w:val="libNormal"/>
        <w:rPr>
          <w:rtl/>
          <w:lang w:bidi="fa-IR"/>
        </w:rPr>
      </w:pPr>
      <w:r w:rsidRPr="00C9465F">
        <w:rPr>
          <w:rtl/>
        </w:rPr>
        <w:t>6491</w:t>
      </w:r>
      <w:r w:rsidRPr="001155DE">
        <w:rPr>
          <w:rStyle w:val="libBold2Char"/>
          <w:rtl/>
        </w:rPr>
        <w:t xml:space="preserve"> / 1.</w:t>
      </w:r>
      <w:r w:rsidRPr="00020424">
        <w:rPr>
          <w:rtl/>
          <w:lang w:bidi="fa-IR"/>
        </w:rPr>
        <w:t xml:space="preserve"> عَلِيُّ بْنُ إِبْرَاهِيمَ ، عَنْ أَبِيهِ ، عَنِ ابْنِ أَبِي عُمَيْرٍ ، عَنْ حَمَّادِ بْنِ عُثْمَانَ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رَجُلٍ أَسْلَمَ فِي النِّصْفِ مِنْ شَهْرِ رَمَضَانَ : مَا عَلَيْهِ مِنْ صِيَامِهِ </w:t>
      </w:r>
      <w:r w:rsidRPr="00A91B96">
        <w:rPr>
          <w:rStyle w:val="libFootnotenumChar"/>
          <w:rtl/>
        </w:rPr>
        <w:t>(5)</w:t>
      </w:r>
      <w:r>
        <w:rPr>
          <w:rtl/>
          <w:lang w:bidi="fa-IR"/>
        </w:rPr>
        <w:t>؟</w:t>
      </w:r>
    </w:p>
    <w:p w:rsidR="00992664" w:rsidRPr="00020424" w:rsidRDefault="00394199" w:rsidP="00992664">
      <w:pPr>
        <w:pStyle w:val="libNormal"/>
        <w:rPr>
          <w:rtl/>
          <w:lang w:bidi="fa-IR"/>
        </w:rPr>
      </w:pPr>
      <w:r>
        <w:rPr>
          <w:rtl/>
          <w:lang w:bidi="fa-IR"/>
        </w:rPr>
        <w:t>قَالَ : « لَيْسَ عَلَيْهِ إِل</w:t>
      </w:r>
      <w:r>
        <w:rPr>
          <w:rFonts w:hint="cs"/>
          <w:rtl/>
          <w:lang w:bidi="fa-IR"/>
        </w:rPr>
        <w:t>َّ</w:t>
      </w:r>
      <w:r>
        <w:rPr>
          <w:rtl/>
          <w:lang w:bidi="fa-IR"/>
        </w:rPr>
        <w:t>ا</w:t>
      </w:r>
      <w:r w:rsidR="00992664" w:rsidRPr="00020424">
        <w:rPr>
          <w:rtl/>
          <w:lang w:bidi="fa-IR"/>
        </w:rPr>
        <w:t xml:space="preserve"> مَا أَسْلَمَ فِيهِ</w:t>
      </w:r>
      <w:r w:rsidR="00992664">
        <w:rPr>
          <w:rtl/>
          <w:lang w:bidi="fa-IR"/>
        </w:rPr>
        <w:t xml:space="preserve"> ».</w:t>
      </w:r>
      <w:r w:rsidR="00992664" w:rsidRPr="00020424">
        <w:rPr>
          <w:rtl/>
          <w:lang w:bidi="fa-IR"/>
        </w:rPr>
        <w:t xml:space="preserve"> </w:t>
      </w:r>
      <w:r w:rsidR="00992664" w:rsidRPr="00A91B96">
        <w:rPr>
          <w:rStyle w:val="libFootnotenumChar"/>
          <w:rtl/>
        </w:rPr>
        <w:t>(6)</w:t>
      </w:r>
      <w:r w:rsidR="00992664" w:rsidRPr="00020424">
        <w:rPr>
          <w:rtl/>
          <w:lang w:bidi="fa-IR"/>
        </w:rPr>
        <w:t xml:space="preserve"> ‌</w:t>
      </w:r>
    </w:p>
    <w:p w:rsidR="00992664" w:rsidRPr="00020424" w:rsidRDefault="00992664" w:rsidP="00992664">
      <w:pPr>
        <w:pStyle w:val="libNormal"/>
        <w:rPr>
          <w:rtl/>
          <w:lang w:bidi="fa-IR"/>
        </w:rPr>
      </w:pPr>
      <w:r w:rsidRPr="00C9465F">
        <w:rPr>
          <w:rtl/>
        </w:rPr>
        <w:t>6492</w:t>
      </w:r>
      <w:r w:rsidRPr="001155DE">
        <w:rPr>
          <w:rStyle w:val="libBold2Char"/>
          <w:rtl/>
        </w:rPr>
        <w:t xml:space="preserve"> / 2.</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 « أَنَّ عَلِيّاً </w:t>
      </w:r>
      <w:r w:rsidRPr="00005A81">
        <w:rPr>
          <w:rStyle w:val="libAlaemChar"/>
          <w:rtl/>
        </w:rPr>
        <w:t>عليه‌السلام</w:t>
      </w:r>
      <w:r w:rsidRPr="00020424">
        <w:rPr>
          <w:rtl/>
          <w:lang w:bidi="fa-IR"/>
        </w:rPr>
        <w:t xml:space="preserve"> كَانَ يَقُولُ فِي رَجُلٍ أَسْلَمَ فِي نِصْفِ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معظم النسخ التي قوبلت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وفي المطبوع : « صيام</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صوم</w:t>
      </w:r>
      <w:r w:rsidR="00992664">
        <w:rPr>
          <w:rtl/>
        </w:rPr>
        <w:t xml:space="preserve"> ».</w:t>
      </w:r>
      <w:r w:rsidR="00992664" w:rsidRPr="00020424">
        <w:rPr>
          <w:rtl/>
        </w:rPr>
        <w:t xml:space="preserve"> وفي‌</w:t>
      </w:r>
      <w:r w:rsidR="00992664" w:rsidRPr="0012008A">
        <w:rPr>
          <w:rStyle w:val="libFootnoteBoldChar"/>
          <w:rtl/>
        </w:rPr>
        <w:t>الوافي</w:t>
      </w:r>
      <w:r w:rsidR="00992664" w:rsidRPr="00020424">
        <w:rPr>
          <w:rtl/>
        </w:rPr>
        <w:t xml:space="preserve"> : « الصبيّ إذا أطاق أن يصوم » بدل « إذا أطاق الغلام صوم</w:t>
      </w:r>
      <w:r w:rsidR="00992664">
        <w:rPr>
          <w:rtl/>
        </w:rPr>
        <w:t xml:space="preserve"> ».</w:t>
      </w:r>
    </w:p>
    <w:p w:rsidR="00992664" w:rsidRPr="00020424" w:rsidRDefault="00795177" w:rsidP="00754262">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وجب عليه ، حمل على تأكّد الاستحباب ، ولعلّه مبنيّ على أنّ الغالب في من أطاق ثلاثة أيّام أنّه يطيق تمام الشهر</w:t>
      </w:r>
      <w:r w:rsidR="00992664">
        <w:rPr>
          <w:rtl/>
        </w:rPr>
        <w:t xml:space="preserve"> ».</w:t>
      </w:r>
      <w:r w:rsidR="00754262">
        <w:rPr>
          <w:rFonts w:hint="cs"/>
          <w:rtl/>
        </w:rPr>
        <w:t xml:space="preserve">          </w:t>
      </w:r>
      <w:r>
        <w:rPr>
          <w:rtl/>
        </w:rPr>
        <w:t>(3).</w:t>
      </w:r>
      <w:r w:rsidR="0014403D">
        <w:rPr>
          <w:rtl/>
        </w:rPr>
        <w:t xml:space="preserve"> </w:t>
      </w:r>
      <w:r w:rsidR="00992664" w:rsidRPr="00020424">
        <w:rPr>
          <w:rtl/>
        </w:rPr>
        <w:t xml:space="preserve">في « ظ » </w:t>
      </w:r>
      <w:r w:rsidR="00992664" w:rsidRPr="00EB1FD9">
        <w:rPr>
          <w:rStyle w:val="libFootnoteBoldChar"/>
          <w:rtl/>
        </w:rPr>
        <w:t>والوسائل</w:t>
      </w:r>
      <w:r w:rsidR="00992664" w:rsidRPr="00020424">
        <w:rPr>
          <w:rtl/>
        </w:rPr>
        <w:t xml:space="preserve"> : « صوم</w:t>
      </w:r>
      <w:r w:rsidR="00992664">
        <w:rPr>
          <w:rtl/>
        </w:rPr>
        <w:t xml:space="preserve"> ».</w:t>
      </w:r>
      <w:r w:rsidR="00992664" w:rsidRPr="00020424">
        <w:rPr>
          <w:rtl/>
        </w:rPr>
        <w:t xml:space="preserve"> وفي « ى » : « الصيام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122 ، ح 1904 ، معلّقاً عن إسماعيل بن مسلم ، عن أبي عبدالله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التهذيب</w:t>
      </w:r>
      <w:r w:rsidR="00992664" w:rsidRPr="00020424">
        <w:rPr>
          <w:rtl/>
        </w:rPr>
        <w:t xml:space="preserve"> ، ج 4 ، ص 326 ، ح 1013 ، معلّقاً عن السكوني ، عن أبي عبدالله ، عن أبيه </w:t>
      </w:r>
      <w:r w:rsidR="00D64ADA" w:rsidRPr="00D64ADA">
        <w:rPr>
          <w:rStyle w:val="libFootnoteAlaemChar"/>
          <w:rtl/>
        </w:rPr>
        <w:t>عليهما‌السلام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281 ، ح 852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123 ، ح 399 ، بسند آخر عن أبي عبدالله ، عن أبيه ، عن عليّ </w:t>
      </w:r>
      <w:r w:rsidR="00992664" w:rsidRPr="00D64ADA">
        <w:rPr>
          <w:rStyle w:val="libFootnoteAlaemChar"/>
          <w:rtl/>
        </w:rPr>
        <w:t>عليهم‌السلام</w:t>
      </w:r>
      <w:r w:rsidR="00992664" w:rsidRPr="00020424">
        <w:rPr>
          <w:rtl/>
        </w:rPr>
        <w:t xml:space="preserve"> </w:t>
      </w:r>
      <w:r w:rsidR="001034AF">
        <w:rPr>
          <w:rFonts w:hint="cs"/>
          <w:rtl/>
        </w:rPr>
        <w:t>.</w:t>
      </w:r>
      <w:r w:rsidR="00992664" w:rsidRPr="0012008A">
        <w:rPr>
          <w:rStyle w:val="libFootnoteBoldChar"/>
          <w:rtl/>
        </w:rPr>
        <w:t>الوافي</w:t>
      </w:r>
      <w:r w:rsidR="00992664" w:rsidRPr="00020424">
        <w:rPr>
          <w:rtl/>
        </w:rPr>
        <w:t xml:space="preserve"> ، ج 11 ، ص 102 ، ح 10496 ؛ </w:t>
      </w:r>
      <w:r w:rsidR="00992664" w:rsidRPr="0012008A">
        <w:rPr>
          <w:rStyle w:val="libFootnoteBoldChar"/>
          <w:rtl/>
        </w:rPr>
        <w:t>الوسائل</w:t>
      </w:r>
      <w:r w:rsidR="00992664" w:rsidRPr="00020424">
        <w:rPr>
          <w:rtl/>
        </w:rPr>
        <w:t xml:space="preserve"> ، ج 10 ، ص 235 ، ح 13301.</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w:t>
      </w:r>
      <w:r w:rsidR="00992664" w:rsidRPr="00FD6221">
        <w:rPr>
          <w:rStyle w:val="libFootnoteBoldChar"/>
          <w:rtl/>
        </w:rPr>
        <w:t>والاستبصار</w:t>
      </w:r>
      <w:r w:rsidR="00992664" w:rsidRPr="00020424">
        <w:rPr>
          <w:rtl/>
        </w:rPr>
        <w:t xml:space="preserve"> : « صيام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245 ، ح 727 ؛ </w:t>
      </w:r>
      <w:r w:rsidR="00992664" w:rsidRPr="00FD6221">
        <w:rPr>
          <w:rStyle w:val="libFootnoteBoldChar"/>
          <w:rtl/>
        </w:rPr>
        <w:t>والاستبصار</w:t>
      </w:r>
      <w:r w:rsidR="00992664" w:rsidRPr="00020424">
        <w:rPr>
          <w:rtl/>
        </w:rPr>
        <w:t xml:space="preserve"> ، ج 2 ، ص 107 ، ح 348 ، بسندهما عن محمّد بن أبي عمير ، عن حمّاد. </w:t>
      </w:r>
      <w:r w:rsidR="00992664" w:rsidRPr="0012008A">
        <w:rPr>
          <w:rStyle w:val="libFootnoteBoldChar"/>
          <w:rtl/>
        </w:rPr>
        <w:t>الفقيه</w:t>
      </w:r>
      <w:r w:rsidR="00992664" w:rsidRPr="00020424">
        <w:rPr>
          <w:rtl/>
        </w:rPr>
        <w:t xml:space="preserve"> ، ج 2 ، ص 128 ، ح 1930 ، مرسلاً ، وفي الأخيرين مع اختلاف يسير </w:t>
      </w:r>
      <w:r w:rsidR="00927354">
        <w:rPr>
          <w:rFonts w:hint="cs"/>
          <w:rtl/>
        </w:rPr>
        <w:t>.</w:t>
      </w:r>
      <w:r w:rsidR="00992664" w:rsidRPr="0012008A">
        <w:rPr>
          <w:rStyle w:val="libFootnoteBoldChar"/>
          <w:rtl/>
        </w:rPr>
        <w:t>الوافي</w:t>
      </w:r>
      <w:r w:rsidR="00992664" w:rsidRPr="00020424">
        <w:rPr>
          <w:rtl/>
        </w:rPr>
        <w:t xml:space="preserve"> ، ج 11 ، ص 329 ، ح 10976 ؛ </w:t>
      </w:r>
      <w:r w:rsidR="00992664" w:rsidRPr="0012008A">
        <w:rPr>
          <w:rStyle w:val="libFootnoteBoldChar"/>
          <w:rtl/>
        </w:rPr>
        <w:t>الوسائل</w:t>
      </w:r>
      <w:r w:rsidR="00992664" w:rsidRPr="00020424">
        <w:rPr>
          <w:rtl/>
        </w:rPr>
        <w:t xml:space="preserve"> ، ج 10 ، ص 328 ، ح 13522.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النصف من » بدل « نصف</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شَهْرِ رَمَضَانَ </w:t>
      </w:r>
      <w:r w:rsidR="004813C6">
        <w:rPr>
          <w:rtl/>
          <w:lang w:bidi="fa-IR"/>
        </w:rPr>
        <w:t>: إِنَّهُ لَيْسَ عَلَيْهِ إِل</w:t>
      </w:r>
      <w:r w:rsidR="004813C6">
        <w:rPr>
          <w:rFonts w:hint="cs"/>
          <w:rtl/>
          <w:lang w:bidi="fa-IR"/>
        </w:rPr>
        <w:t>َّ</w:t>
      </w:r>
      <w:r w:rsidR="004813C6">
        <w:rPr>
          <w:rtl/>
          <w:lang w:bidi="fa-IR"/>
        </w:rPr>
        <w:t>ا</w:t>
      </w:r>
      <w:r w:rsidRPr="00020424">
        <w:rPr>
          <w:rtl/>
          <w:lang w:bidi="fa-IR"/>
        </w:rPr>
        <w:t xml:space="preserve"> مَا يَسْتَقْبِلُ</w:t>
      </w:r>
      <w:r>
        <w:rPr>
          <w:rtl/>
          <w:lang w:bidi="fa-IR"/>
        </w:rPr>
        <w:t xml:space="preserve"> ».</w:t>
      </w:r>
      <w:r w:rsidRPr="00020424">
        <w:rPr>
          <w:rtl/>
          <w:lang w:bidi="fa-IR"/>
        </w:rPr>
        <w:t xml:space="preserve"> </w:t>
      </w:r>
      <w:r w:rsidRPr="00A91B96">
        <w:rPr>
          <w:rStyle w:val="libFootnotenumChar"/>
          <w:rtl/>
        </w:rPr>
        <w:t>(1)</w:t>
      </w:r>
    </w:p>
    <w:p w:rsidR="00992664" w:rsidRPr="00020424" w:rsidRDefault="00992664" w:rsidP="00992664">
      <w:pPr>
        <w:pStyle w:val="libNormal"/>
        <w:rPr>
          <w:rtl/>
          <w:lang w:bidi="fa-IR"/>
        </w:rPr>
      </w:pPr>
      <w:r w:rsidRPr="00C9465F">
        <w:rPr>
          <w:rtl/>
        </w:rPr>
        <w:t>6493</w:t>
      </w:r>
      <w:r w:rsidRPr="001155DE">
        <w:rPr>
          <w:rStyle w:val="libBold2Char"/>
          <w:rtl/>
        </w:rPr>
        <w:t xml:space="preserve"> / 3.</w:t>
      </w:r>
      <w:r w:rsidRPr="00020424">
        <w:rPr>
          <w:rtl/>
          <w:lang w:bidi="fa-IR"/>
        </w:rPr>
        <w:t xml:space="preserve"> أَبُو عَلِيٍّ الْأَشْعَرِيُّ ، عَنْ مُحَمَّدِ بْنِ عَبْدِ الْجَبَّارِ ، عَنْ صَفْوَانَ بْنِ يَحْيى ، عَنْ عِيصِ بْنِ الْقَاسِمِ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قَوْمٍ أَسْلَمُوا فِي شَهْرِ رَمَضَانَ وَقَدْ مَضى مِنْهُ </w:t>
      </w:r>
      <w:r w:rsidRPr="00A91B96">
        <w:rPr>
          <w:rStyle w:val="libFootnotenumChar"/>
          <w:rtl/>
        </w:rPr>
        <w:t>(2)</w:t>
      </w:r>
      <w:r w:rsidRPr="00020424">
        <w:rPr>
          <w:rtl/>
          <w:lang w:bidi="fa-IR"/>
        </w:rPr>
        <w:t xml:space="preserve"> أَيَّامٌ : هَلْ عَلَيْهِمْ أَنْ يَصُومُوا </w:t>
      </w:r>
      <w:r w:rsidRPr="00A91B96">
        <w:rPr>
          <w:rStyle w:val="libFootnotenumChar"/>
          <w:rtl/>
        </w:rPr>
        <w:t>(3)</w:t>
      </w:r>
      <w:r w:rsidRPr="00020424">
        <w:rPr>
          <w:rtl/>
          <w:lang w:bidi="fa-IR"/>
        </w:rPr>
        <w:t xml:space="preserve"> مَا مَضى مِنْهُ ، أَوْ يَوْمَهُمُ الَّذِي أَسْلَمُوا فِيهِ</w:t>
      </w:r>
      <w:r>
        <w:rPr>
          <w:rtl/>
          <w:lang w:bidi="fa-IR"/>
        </w:rPr>
        <w:t>؟</w:t>
      </w:r>
    </w:p>
    <w:p w:rsidR="00992664" w:rsidRPr="00020424" w:rsidRDefault="00992664" w:rsidP="00992664">
      <w:pPr>
        <w:pStyle w:val="libNormal"/>
        <w:rPr>
          <w:rtl/>
          <w:lang w:bidi="fa-IR"/>
        </w:rPr>
      </w:pPr>
      <w:r w:rsidRPr="00020424">
        <w:rPr>
          <w:rtl/>
          <w:lang w:bidi="fa-IR"/>
        </w:rPr>
        <w:t xml:space="preserve">فَقَالَ : « لَيْسَ عَلَيْهِمْ قَضَاءٌ </w:t>
      </w:r>
      <w:r w:rsidRPr="00A91B96">
        <w:rPr>
          <w:rStyle w:val="libFootnotenumChar"/>
          <w:rtl/>
        </w:rPr>
        <w:t>(4)</w:t>
      </w:r>
      <w:r w:rsidRPr="00020424">
        <w:rPr>
          <w:rtl/>
          <w:lang w:bidi="fa-IR"/>
        </w:rPr>
        <w:t xml:space="preserve"> ، وَلَايَوْمُهُمُ ا</w:t>
      </w:r>
      <w:r w:rsidR="00843337">
        <w:rPr>
          <w:rtl/>
          <w:lang w:bidi="fa-IR"/>
        </w:rPr>
        <w:t>لَّذِي أَسْلَمُوا فِيهِ ، إِل</w:t>
      </w:r>
      <w:r w:rsidR="00843337">
        <w:rPr>
          <w:rFonts w:hint="cs"/>
          <w:rtl/>
          <w:lang w:bidi="fa-IR"/>
        </w:rPr>
        <w:t>َّ</w:t>
      </w:r>
      <w:r w:rsidR="00843337">
        <w:rPr>
          <w:rtl/>
          <w:lang w:bidi="fa-IR"/>
        </w:rPr>
        <w:t>ا</w:t>
      </w:r>
      <w:r w:rsidRPr="00020424">
        <w:rPr>
          <w:rtl/>
          <w:lang w:bidi="fa-IR"/>
        </w:rPr>
        <w:t xml:space="preserve"> أَنْ يَكُونُوا أَسْلَمُوا قَبْلَ طُلُوعِ الْفَجْرِ</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246 ، ح 729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107 ، ح 350 ، معلّقاً عن الكليني </w:t>
      </w:r>
      <w:r w:rsidR="00CC3D3E">
        <w:rPr>
          <w:rFonts w:hint="cs"/>
          <w:rtl/>
        </w:rPr>
        <w:t>.</w:t>
      </w:r>
      <w:r w:rsidR="00992664" w:rsidRPr="0012008A">
        <w:rPr>
          <w:rStyle w:val="libFootnoteBoldChar"/>
          <w:rtl/>
        </w:rPr>
        <w:t>الوافي</w:t>
      </w:r>
      <w:r w:rsidR="00992664" w:rsidRPr="00020424">
        <w:rPr>
          <w:rtl/>
        </w:rPr>
        <w:t xml:space="preserve"> ، ج 11 ، ص 329 ، ح 10977 ؛ </w:t>
      </w:r>
      <w:r w:rsidR="00992664" w:rsidRPr="0012008A">
        <w:rPr>
          <w:rStyle w:val="libFootnoteBoldChar"/>
          <w:rtl/>
        </w:rPr>
        <w:t>الوسائل</w:t>
      </w:r>
      <w:r w:rsidR="00992664" w:rsidRPr="00020424">
        <w:rPr>
          <w:rtl/>
        </w:rPr>
        <w:t xml:space="preserve"> ، ج 10 ، ص 328 ، ح 13524.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ستّة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w:t>
      </w:r>
      <w:r w:rsidR="00992664" w:rsidRPr="00CC3D3E">
        <w:rPr>
          <w:rtl/>
        </w:rPr>
        <w:t xml:space="preserve">ي والبحار والتهذيب والاستبصار </w:t>
      </w:r>
      <w:r w:rsidR="00992664" w:rsidRPr="00020424">
        <w:rPr>
          <w:rtl/>
        </w:rPr>
        <w:t>: « أن يقضوا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 + « فيه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129 ، ح 1931 ، معلّقاً عن صفوان بن يحيى. وفي </w:t>
      </w:r>
      <w:r w:rsidR="00992664" w:rsidRPr="0012008A">
        <w:rPr>
          <w:rStyle w:val="libFootnoteBoldChar"/>
          <w:rtl/>
        </w:rPr>
        <w:t>التهذيب</w:t>
      </w:r>
      <w:r w:rsidR="00992664" w:rsidRPr="00020424">
        <w:rPr>
          <w:rtl/>
        </w:rPr>
        <w:t xml:space="preserve"> ، ج 4 ، ص 245 ، ح 728 ؛ </w:t>
      </w:r>
      <w:r w:rsidR="00992664" w:rsidRPr="00FD6221">
        <w:rPr>
          <w:rStyle w:val="libFootnoteBoldChar"/>
          <w:rtl/>
        </w:rPr>
        <w:t>والاستبصار</w:t>
      </w:r>
      <w:r w:rsidR="00992664" w:rsidRPr="00020424">
        <w:rPr>
          <w:rtl/>
        </w:rPr>
        <w:t xml:space="preserve"> ، ج 2 ، ص 107 ، ح 349 ، بسندهما عن صفوان بن يحيى </w:t>
      </w:r>
      <w:r w:rsidR="00CC3D3E">
        <w:rPr>
          <w:rFonts w:hint="cs"/>
          <w:rtl/>
        </w:rPr>
        <w:t>.</w:t>
      </w:r>
      <w:r w:rsidR="00992664" w:rsidRPr="0012008A">
        <w:rPr>
          <w:rStyle w:val="libFootnoteBoldChar"/>
          <w:rtl/>
        </w:rPr>
        <w:t>الوافي</w:t>
      </w:r>
      <w:r w:rsidR="00992664" w:rsidRPr="00020424">
        <w:rPr>
          <w:rtl/>
        </w:rPr>
        <w:t xml:space="preserve"> ، ج 11 ، ص 330 ، ح 10978 ؛ </w:t>
      </w:r>
      <w:r w:rsidR="00992664" w:rsidRPr="0012008A">
        <w:rPr>
          <w:rStyle w:val="libFootnoteBoldChar"/>
          <w:rtl/>
        </w:rPr>
        <w:t>الوسائل</w:t>
      </w:r>
      <w:r w:rsidR="00992664" w:rsidRPr="00020424">
        <w:rPr>
          <w:rtl/>
        </w:rPr>
        <w:t xml:space="preserve"> ، ج 10 ، ص 327 ، ح 13521 ؛ </w:t>
      </w:r>
      <w:r w:rsidR="00992664" w:rsidRPr="0012008A">
        <w:rPr>
          <w:rStyle w:val="libFootnoteBoldChar"/>
          <w:rtl/>
        </w:rPr>
        <w:t>البحار</w:t>
      </w:r>
      <w:r w:rsidR="00992664" w:rsidRPr="00020424">
        <w:rPr>
          <w:rtl/>
        </w:rPr>
        <w:t xml:space="preserve"> ، ج 83 ، ص 132 ، ح 100.</w:t>
      </w:r>
    </w:p>
    <w:p w:rsidR="00795177" w:rsidRDefault="00795177" w:rsidP="00795177">
      <w:pPr>
        <w:pStyle w:val="libNormal"/>
        <w:rPr>
          <w:rtl/>
          <w:lang w:bidi="fa-IR"/>
        </w:rPr>
      </w:pPr>
      <w:r>
        <w:rPr>
          <w:rtl/>
          <w:lang w:bidi="fa-IR"/>
        </w:rPr>
        <w:br w:type="page"/>
      </w:r>
    </w:p>
    <w:p w:rsidR="00992664" w:rsidRPr="00020424" w:rsidRDefault="00992664" w:rsidP="00992664">
      <w:pPr>
        <w:pStyle w:val="Heading1Center"/>
        <w:rPr>
          <w:rtl/>
          <w:lang w:bidi="fa-IR"/>
        </w:rPr>
      </w:pPr>
      <w:bookmarkStart w:id="441" w:name="_Toc345172863"/>
      <w:bookmarkStart w:id="442" w:name="_Toc464562679"/>
      <w:bookmarkStart w:id="443" w:name="_Toc44599984"/>
      <w:r w:rsidRPr="00020424">
        <w:rPr>
          <w:rtl/>
          <w:lang w:bidi="fa-IR"/>
        </w:rPr>
        <w:t>أَبْوَابُ السَّفَرِ‌</w:t>
      </w:r>
      <w:bookmarkEnd w:id="441"/>
      <w:bookmarkEnd w:id="442"/>
      <w:bookmarkEnd w:id="443"/>
    </w:p>
    <w:p w:rsidR="00992664" w:rsidRPr="00020424" w:rsidRDefault="00992664" w:rsidP="00992664">
      <w:pPr>
        <w:pStyle w:val="Heading2Center"/>
        <w:rPr>
          <w:rtl/>
          <w:lang w:bidi="fa-IR"/>
        </w:rPr>
      </w:pPr>
      <w:bookmarkStart w:id="444" w:name="_Toc345172864"/>
      <w:bookmarkStart w:id="445" w:name="_Toc464562680"/>
      <w:bookmarkStart w:id="446" w:name="_Toc44599985"/>
      <w:r w:rsidRPr="00020424">
        <w:rPr>
          <w:rtl/>
          <w:lang w:bidi="fa-IR"/>
        </w:rPr>
        <w:t>47</w:t>
      </w:r>
      <w:r>
        <w:rPr>
          <w:rtl/>
          <w:lang w:bidi="fa-IR"/>
        </w:rPr>
        <w:t xml:space="preserve"> </w:t>
      </w:r>
      <w:r w:rsidR="009B673F">
        <w:rPr>
          <w:rtl/>
          <w:lang w:bidi="fa-IR"/>
        </w:rPr>
        <w:t>-</w:t>
      </w:r>
      <w:r>
        <w:rPr>
          <w:rtl/>
          <w:lang w:bidi="fa-IR"/>
        </w:rPr>
        <w:t xml:space="preserve"> </w:t>
      </w:r>
      <w:r w:rsidRPr="00020424">
        <w:rPr>
          <w:rtl/>
          <w:lang w:bidi="fa-IR"/>
        </w:rPr>
        <w:t>بَابُ كَرَاهِيَةِ السَّفَرِ فِي شَهْرِ رَمَضَانَ‌</w:t>
      </w:r>
      <w:bookmarkEnd w:id="444"/>
      <w:bookmarkEnd w:id="445"/>
      <w:bookmarkEnd w:id="446"/>
    </w:p>
    <w:p w:rsidR="00992664" w:rsidRPr="00020424" w:rsidRDefault="00992664" w:rsidP="00992664">
      <w:pPr>
        <w:pStyle w:val="libNormal"/>
        <w:rPr>
          <w:rtl/>
          <w:lang w:bidi="fa-IR"/>
        </w:rPr>
      </w:pPr>
      <w:r w:rsidRPr="00C9465F">
        <w:rPr>
          <w:rtl/>
        </w:rPr>
        <w:t>6494</w:t>
      </w:r>
      <w:r w:rsidRPr="001155DE">
        <w:rPr>
          <w:rStyle w:val="libBold2Char"/>
          <w:rtl/>
        </w:rPr>
        <w:t xml:space="preserve"> / 1.</w:t>
      </w:r>
      <w:r w:rsidRPr="00020424">
        <w:rPr>
          <w:rtl/>
          <w:lang w:bidi="fa-IR"/>
        </w:rPr>
        <w:t xml:space="preserve"> عِدَّةٌ مِنْ أَصْحَابِنَا ، عَنْ أَحْمَدَ بْنِ مُحَمَّدٍ ، عَنِ الْحُسَيْنِ بْنِ سَعِيدٍ ، عَنِ الْقَاسِمِ بْنِ مُحَمَّدٍ ، عَنْ عَلِيِّ بْنِ أَبِي حَمْزَةَ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الْخُرُوجِ إِذَا دَخَلَ شَهْرُ رَمَضَانَ</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(1)</w:t>
      </w:r>
      <w:r w:rsidR="00163749">
        <w:rPr>
          <w:rtl/>
          <w:lang w:bidi="fa-IR"/>
        </w:rPr>
        <w:t xml:space="preserve"> : « لَا ، إِل</w:t>
      </w:r>
      <w:r w:rsidR="00163749">
        <w:rPr>
          <w:rFonts w:hint="cs"/>
          <w:rtl/>
          <w:lang w:bidi="fa-IR"/>
        </w:rPr>
        <w:t>َّ</w:t>
      </w:r>
      <w:r w:rsidR="00163749">
        <w:rPr>
          <w:rtl/>
          <w:lang w:bidi="fa-IR"/>
        </w:rPr>
        <w:t>ا</w:t>
      </w:r>
      <w:r w:rsidRPr="00020424">
        <w:rPr>
          <w:rtl/>
          <w:lang w:bidi="fa-IR"/>
        </w:rPr>
        <w:t xml:space="preserve"> فِيمَا أُخْبِرُكَ بِهِ </w:t>
      </w:r>
      <w:r w:rsidRPr="00A91B96">
        <w:rPr>
          <w:rStyle w:val="libFootnotenumChar"/>
          <w:rtl/>
        </w:rPr>
        <w:t>(2)</w:t>
      </w:r>
      <w:r w:rsidRPr="00020424">
        <w:rPr>
          <w:rtl/>
          <w:lang w:bidi="fa-IR"/>
        </w:rPr>
        <w:t xml:space="preserve"> : خُرُوجٌ إِلى مَكَّةَ ، أَوْ غَزْوٌ </w:t>
      </w:r>
      <w:r w:rsidRPr="00A91B96">
        <w:rPr>
          <w:rStyle w:val="libFootnotenumChar"/>
          <w:rtl/>
        </w:rPr>
        <w:t>(3)</w:t>
      </w:r>
      <w:r w:rsidRPr="00020424">
        <w:rPr>
          <w:rtl/>
          <w:lang w:bidi="fa-IR"/>
        </w:rPr>
        <w:t xml:space="preserve"> فِي سَبِيلِ اللهِ ، أَوْ مَالٌ تَخَافُ </w:t>
      </w:r>
      <w:r w:rsidRPr="00A91B96">
        <w:rPr>
          <w:rStyle w:val="libFootnotenumChar"/>
          <w:rtl/>
        </w:rPr>
        <w:t>(4)</w:t>
      </w:r>
      <w:r w:rsidRPr="00020424">
        <w:rPr>
          <w:rtl/>
          <w:lang w:bidi="fa-IR"/>
        </w:rPr>
        <w:t xml:space="preserve"> هَلَاكَهُ </w:t>
      </w:r>
      <w:r w:rsidRPr="00A91B96">
        <w:rPr>
          <w:rStyle w:val="libFootnotenumChar"/>
          <w:rtl/>
        </w:rPr>
        <w:t>(5)</w:t>
      </w:r>
      <w:r w:rsidRPr="00020424">
        <w:rPr>
          <w:rtl/>
          <w:lang w:bidi="fa-IR"/>
        </w:rPr>
        <w:t xml:space="preserve"> ، أَوْ أَخٌ تُرِيدُ </w:t>
      </w:r>
      <w:r w:rsidRPr="00A91B96">
        <w:rPr>
          <w:rStyle w:val="libFootnotenumChar"/>
          <w:rtl/>
        </w:rPr>
        <w:t>(6)</w:t>
      </w:r>
      <w:r w:rsidRPr="00020424">
        <w:rPr>
          <w:rtl/>
          <w:lang w:bidi="fa-IR"/>
        </w:rPr>
        <w:t xml:space="preserve"> وَدَاعَهَ </w:t>
      </w:r>
      <w:r w:rsidRPr="00A91B96">
        <w:rPr>
          <w:rStyle w:val="libFootnotenumChar"/>
          <w:rtl/>
        </w:rPr>
        <w:t>(7)</w:t>
      </w:r>
      <w:r w:rsidRPr="00020424">
        <w:rPr>
          <w:rtl/>
          <w:lang w:bidi="fa-IR"/>
        </w:rPr>
        <w:t xml:space="preserve"> ، وَإِنَّهُ لَيْسَ أَخاً </w:t>
      </w:r>
      <w:r w:rsidRPr="00A91B96">
        <w:rPr>
          <w:rStyle w:val="libFootnotenumChar"/>
          <w:rtl/>
        </w:rPr>
        <w:t>(8)</w:t>
      </w:r>
      <w:r w:rsidRPr="00020424">
        <w:rPr>
          <w:rtl/>
          <w:lang w:bidi="fa-IR"/>
        </w:rPr>
        <w:t xml:space="preserve"> مِنَ الْأَبِ وَالْأُمِّ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C9465F">
        <w:rPr>
          <w:rtl/>
        </w:rPr>
        <w:t>6495</w:t>
      </w:r>
      <w:r w:rsidRPr="001155DE">
        <w:rPr>
          <w:rStyle w:val="libBold2Char"/>
          <w:rtl/>
        </w:rPr>
        <w:t xml:space="preserve"> / 2.</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بث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ح 1018. وفي سائر النسخ والمطبوع : « قال</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325 : « قوله </w:t>
      </w:r>
      <w:r w:rsidR="00992664" w:rsidRPr="00D64ADA">
        <w:rPr>
          <w:rStyle w:val="libFootnoteAlaemChar"/>
          <w:rtl/>
        </w:rPr>
        <w:t>عليه‌السلام</w:t>
      </w:r>
      <w:r w:rsidR="008C5D01">
        <w:rPr>
          <w:rtl/>
        </w:rPr>
        <w:t xml:space="preserve"> : لا إل</w:t>
      </w:r>
      <w:r w:rsidR="008C5D01">
        <w:rPr>
          <w:rFonts w:hint="cs"/>
          <w:rtl/>
        </w:rPr>
        <w:t>ّ</w:t>
      </w:r>
      <w:r w:rsidR="008C5D01">
        <w:rPr>
          <w:rtl/>
        </w:rPr>
        <w:t>ا</w:t>
      </w:r>
      <w:r w:rsidR="00992664" w:rsidRPr="00020424">
        <w:rPr>
          <w:rtl/>
        </w:rPr>
        <w:t xml:space="preserve">في ما أخبرتك ، ظاهره </w:t>
      </w:r>
      <w:r w:rsidR="0088473D">
        <w:rPr>
          <w:rtl/>
        </w:rPr>
        <w:t>عدم جواز السفر في شهر رمضان إل</w:t>
      </w:r>
      <w:r w:rsidR="0088473D">
        <w:rPr>
          <w:rFonts w:hint="cs"/>
          <w:rtl/>
        </w:rPr>
        <w:t>ّ</w:t>
      </w:r>
      <w:r w:rsidR="0088473D">
        <w:rPr>
          <w:rtl/>
        </w:rPr>
        <w:t>ا</w:t>
      </w:r>
      <w:r w:rsidR="00A94949">
        <w:rPr>
          <w:rFonts w:hint="cs"/>
          <w:rtl/>
        </w:rPr>
        <w:t xml:space="preserve"> </w:t>
      </w:r>
      <w:r w:rsidR="00992664" w:rsidRPr="00020424">
        <w:rPr>
          <w:rtl/>
        </w:rPr>
        <w:t>لهذه الأسباب ، والمشهور بين الأصحاب جواز السفر المباح على كراهية إلى أن يمضي من الشهر ثلاثة وعشرون يوماً. وحملوا هذا الخبر وأمثاله على الكراهة ، وهو قويّ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بر ، بف » : « أو خروج</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أو غزو</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94949" w:rsidTr="00A94949">
        <w:tc>
          <w:tcPr>
            <w:tcW w:w="4006" w:type="dxa"/>
          </w:tcPr>
          <w:p w:rsidR="00A94949" w:rsidRDefault="00A94949" w:rsidP="00992664">
            <w:pPr>
              <w:pStyle w:val="libFootnote0"/>
              <w:rPr>
                <w:rtl/>
              </w:rPr>
            </w:pPr>
            <w:r>
              <w:rPr>
                <w:rtl/>
              </w:rPr>
              <w:t xml:space="preserve">(4). </w:t>
            </w:r>
            <w:r w:rsidRPr="00020424">
              <w:rPr>
                <w:rtl/>
              </w:rPr>
              <w:t>في « بخ ، بر ، جن » : « يخاف</w:t>
            </w:r>
            <w:r>
              <w:rPr>
                <w:rtl/>
              </w:rPr>
              <w:t xml:space="preserve"> ».</w:t>
            </w:r>
          </w:p>
        </w:tc>
        <w:tc>
          <w:tcPr>
            <w:tcW w:w="4006" w:type="dxa"/>
          </w:tcPr>
          <w:p w:rsidR="00A94949" w:rsidRDefault="00A94949" w:rsidP="00992664">
            <w:pPr>
              <w:pStyle w:val="libFootnote0"/>
              <w:rPr>
                <w:rtl/>
              </w:rPr>
            </w:pPr>
            <w:r>
              <w:rPr>
                <w:rtl/>
              </w:rPr>
              <w:t xml:space="preserve">(5). </w:t>
            </w:r>
            <w:r w:rsidRPr="00020424">
              <w:rPr>
                <w:rtl/>
              </w:rPr>
              <w:t xml:space="preserve">في </w:t>
            </w:r>
            <w:r w:rsidRPr="0012008A">
              <w:rPr>
                <w:rStyle w:val="libFootnoteBoldChar"/>
                <w:rtl/>
              </w:rPr>
              <w:t>الوافي</w:t>
            </w:r>
            <w:r w:rsidRPr="00020424">
              <w:rPr>
                <w:rtl/>
              </w:rPr>
              <w:t xml:space="preserve"> : + « أو أخ تخاف هلاكه</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بر ، بف » </w:t>
      </w:r>
      <w:r w:rsidR="00992664" w:rsidRPr="003D417B">
        <w:rPr>
          <w:rtl/>
        </w:rPr>
        <w:t>والفقيه والتهذيب</w:t>
      </w:r>
      <w:r w:rsidR="00992664" w:rsidRPr="00020424">
        <w:rPr>
          <w:rtl/>
        </w:rPr>
        <w:t xml:space="preserve"> ، ح 1018 : « يخاف</w:t>
      </w:r>
      <w:r w:rsidR="00992664">
        <w:rPr>
          <w:rtl/>
        </w:rPr>
        <w:t xml:space="preserve"> ».</w:t>
      </w:r>
      <w:r w:rsidR="00992664" w:rsidRPr="00020424">
        <w:rPr>
          <w:rtl/>
        </w:rPr>
        <w:t xml:space="preserve"> وفي « بخ » : « يريد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بف » </w:t>
      </w:r>
      <w:r w:rsidR="00992664" w:rsidRPr="003D417B">
        <w:rPr>
          <w:rtl/>
        </w:rPr>
        <w:t>والفقيه والتهذيب</w:t>
      </w:r>
      <w:r w:rsidR="00992664" w:rsidRPr="00020424">
        <w:rPr>
          <w:rtl/>
        </w:rPr>
        <w:t xml:space="preserve"> ، ح 1018 : « هلاكه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أخ</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327 ، ح 1018 ، معلّقاً عن الحسين بن سعيد ، عن القاسم ، عن عليّ ، عن أبي بصير. </w:t>
      </w:r>
      <w:r w:rsidR="00992664" w:rsidRPr="0012008A">
        <w:rPr>
          <w:rStyle w:val="libFootnoteBoldChar"/>
          <w:rtl/>
        </w:rPr>
        <w:t>الفقيه</w:t>
      </w:r>
      <w:r w:rsidR="00992664" w:rsidRPr="00020424">
        <w:rPr>
          <w:rtl/>
        </w:rPr>
        <w:t xml:space="preserve"> ، ج 2 ، ص 139 ، ح 1968 ، معلّقاً عن عليّ بن أبي حمزة. وفي </w:t>
      </w:r>
      <w:r w:rsidR="00992664" w:rsidRPr="0012008A">
        <w:rPr>
          <w:rStyle w:val="libFootnoteBoldChar"/>
          <w:rtl/>
        </w:rPr>
        <w:t>التهذيب</w:t>
      </w:r>
      <w:r w:rsidR="00992664" w:rsidRPr="00020424">
        <w:rPr>
          <w:rtl/>
        </w:rPr>
        <w:t xml:space="preserve"> ، ج 4 ، ص 327 ، ح 1017 ، بسند آخر ، إلى قوله : « أو مال تخاف هلاكه » مع اختلاف وزيادة في آخره </w:t>
      </w:r>
      <w:r w:rsidR="003D417B">
        <w:rPr>
          <w:rFonts w:hint="cs"/>
          <w:rtl/>
        </w:rPr>
        <w:t>.</w:t>
      </w:r>
      <w:r w:rsidR="00992664" w:rsidRPr="0012008A">
        <w:rPr>
          <w:rStyle w:val="libFootnoteBoldChar"/>
          <w:rtl/>
        </w:rPr>
        <w:t>الوافي</w:t>
      </w:r>
      <w:r w:rsidR="00992664" w:rsidRPr="00020424">
        <w:rPr>
          <w:rtl/>
        </w:rPr>
        <w:t xml:space="preserve"> ، ج 11 ، ص 303 ، ح 10914 ؛ </w:t>
      </w:r>
      <w:r w:rsidR="00992664" w:rsidRPr="0012008A">
        <w:rPr>
          <w:rStyle w:val="libFootnoteBoldChar"/>
          <w:rtl/>
        </w:rPr>
        <w:t>الوسائل</w:t>
      </w:r>
      <w:r w:rsidR="00992664" w:rsidRPr="00020424">
        <w:rPr>
          <w:rtl/>
        </w:rPr>
        <w:t xml:space="preserve"> ، ج 10 ، ص 181 ، ذيل ح 13164.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يَدْخُلُ شَهْرُ رَمَضَانَ وَهُوَ مُقِيمٌ لَا يُرِيدُ بَرَاحاً </w:t>
      </w:r>
      <w:r w:rsidRPr="00A91B96">
        <w:rPr>
          <w:rStyle w:val="libFootnotenumChar"/>
          <w:rtl/>
        </w:rPr>
        <w:t>(1)</w:t>
      </w:r>
      <w:r w:rsidRPr="00020424">
        <w:rPr>
          <w:rtl/>
          <w:lang w:bidi="fa-IR"/>
        </w:rPr>
        <w:t xml:space="preserve"> ، ثُمَّ يَبْدُو لَهُ بَعْدَ مَا يَدْخُلُ شَهْرُ </w:t>
      </w:r>
      <w:r w:rsidRPr="00A91B96">
        <w:rPr>
          <w:rStyle w:val="libFootnotenumChar"/>
          <w:rtl/>
        </w:rPr>
        <w:t>(2)</w:t>
      </w:r>
      <w:r w:rsidRPr="00020424">
        <w:rPr>
          <w:rtl/>
          <w:lang w:bidi="fa-IR"/>
        </w:rPr>
        <w:t xml:space="preserve"> رَمَضَانَ أَنْ يُسَافِرَ</w:t>
      </w:r>
      <w:r>
        <w:rPr>
          <w:rtl/>
          <w:lang w:bidi="fa-IR"/>
        </w:rPr>
        <w:t>؟</w:t>
      </w:r>
      <w:r w:rsidRPr="00020424">
        <w:rPr>
          <w:rtl/>
          <w:lang w:bidi="fa-IR"/>
        </w:rPr>
        <w:t xml:space="preserve"> فَسَكَتَ ، فَسَأَلْتُهُ غَيْرَ مَرَّةٍ ، فَ</w:t>
      </w:r>
      <w:r w:rsidR="003D417B">
        <w:rPr>
          <w:rtl/>
          <w:lang w:bidi="fa-IR"/>
        </w:rPr>
        <w:t>قَالَ : « يُقِيمُ أَفْضَلُ إِل</w:t>
      </w:r>
      <w:r w:rsidR="003D417B">
        <w:rPr>
          <w:rFonts w:hint="cs"/>
          <w:rtl/>
          <w:lang w:bidi="fa-IR"/>
        </w:rPr>
        <w:t>َّ</w:t>
      </w:r>
      <w:r w:rsidR="003D417B">
        <w:rPr>
          <w:rtl/>
          <w:lang w:bidi="fa-IR"/>
        </w:rPr>
        <w:t>ا</w:t>
      </w:r>
      <w:r w:rsidRPr="00020424">
        <w:rPr>
          <w:rtl/>
          <w:lang w:bidi="fa-IR"/>
        </w:rPr>
        <w:t xml:space="preserve"> أَنْ يَكُونَ لَهُ </w:t>
      </w:r>
      <w:r w:rsidRPr="00A91B96">
        <w:rPr>
          <w:rStyle w:val="libFootnotenumChar"/>
          <w:rtl/>
        </w:rPr>
        <w:t>(3)</w:t>
      </w:r>
      <w:r w:rsidRPr="00020424">
        <w:rPr>
          <w:rtl/>
          <w:lang w:bidi="fa-IR"/>
        </w:rPr>
        <w:t xml:space="preserve"> حَاجَةٌ لَابُدَّ مِنَ الْخُرُوجِ فِيهَا ، أَوْ يَتَخَوَّفَ </w:t>
      </w:r>
      <w:r w:rsidRPr="00A91B96">
        <w:rPr>
          <w:rStyle w:val="libFootnotenumChar"/>
          <w:rtl/>
        </w:rPr>
        <w:t>(4)</w:t>
      </w:r>
      <w:r w:rsidRPr="00020424">
        <w:rPr>
          <w:rtl/>
          <w:lang w:bidi="fa-IR"/>
        </w:rPr>
        <w:t xml:space="preserve"> عَلى مَالِهِ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447" w:name="_Toc345172865"/>
      <w:bookmarkStart w:id="448" w:name="_Toc464562681"/>
      <w:bookmarkStart w:id="449" w:name="_Toc44599986"/>
      <w:r w:rsidRPr="00020424">
        <w:rPr>
          <w:rtl/>
          <w:lang w:bidi="fa-IR"/>
        </w:rPr>
        <w:t>48</w:t>
      </w:r>
      <w:r>
        <w:rPr>
          <w:rtl/>
          <w:lang w:bidi="fa-IR"/>
        </w:rPr>
        <w:t xml:space="preserve"> </w:t>
      </w:r>
      <w:r w:rsidR="009B673F">
        <w:rPr>
          <w:rtl/>
          <w:lang w:bidi="fa-IR"/>
        </w:rPr>
        <w:t>-</w:t>
      </w:r>
      <w:r>
        <w:rPr>
          <w:rtl/>
          <w:lang w:bidi="fa-IR"/>
        </w:rPr>
        <w:t xml:space="preserve"> </w:t>
      </w:r>
      <w:r w:rsidRPr="00020424">
        <w:rPr>
          <w:rtl/>
          <w:lang w:bidi="fa-IR"/>
        </w:rPr>
        <w:t xml:space="preserve">بَابُ كَرَاهِيَةِ </w:t>
      </w:r>
      <w:r w:rsidRPr="00A91B96">
        <w:rPr>
          <w:rStyle w:val="libFootnotenumChar"/>
          <w:rtl/>
        </w:rPr>
        <w:t>(6)</w:t>
      </w:r>
      <w:r>
        <w:rPr>
          <w:rtl/>
        </w:rPr>
        <w:t xml:space="preserve"> </w:t>
      </w:r>
      <w:r w:rsidRPr="00020424">
        <w:rPr>
          <w:rtl/>
          <w:lang w:bidi="fa-IR"/>
        </w:rPr>
        <w:t>الصَّوْمِ فِي السَّفَرِ‌</w:t>
      </w:r>
      <w:bookmarkEnd w:id="447"/>
      <w:bookmarkEnd w:id="448"/>
      <w:bookmarkEnd w:id="449"/>
    </w:p>
    <w:p w:rsidR="00992664" w:rsidRPr="00020424" w:rsidRDefault="00992664" w:rsidP="00992664">
      <w:pPr>
        <w:pStyle w:val="libNormal"/>
        <w:rPr>
          <w:rtl/>
          <w:lang w:bidi="fa-IR"/>
        </w:rPr>
      </w:pPr>
      <w:r w:rsidRPr="00C9465F">
        <w:rPr>
          <w:rtl/>
        </w:rPr>
        <w:t>6496</w:t>
      </w:r>
      <w:r w:rsidRPr="001155DE">
        <w:rPr>
          <w:rStyle w:val="libBold2Char"/>
          <w:rtl/>
        </w:rPr>
        <w:t xml:space="preserve"> / 1.</w:t>
      </w:r>
      <w:r w:rsidRPr="00020424">
        <w:rPr>
          <w:rtl/>
          <w:lang w:bidi="fa-IR"/>
        </w:rPr>
        <w:t xml:space="preserve"> عِدَّةٌ مِنْ أَصْحَابِنَا ، عَنْ سَهْلِ بْنِ زِيَادٍ ، عَنِ الْحَسَنِ بْنِ مَحْبُوبٍ ، عَنْ عَبْدِ الْعَزِيزِ الْعَبْدِيِّ ، عَنْ عُبَيْدِ بْنِ زُرَارَةَ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قَوْلُهُ </w:t>
      </w:r>
      <w:r w:rsidRPr="00A91B96">
        <w:rPr>
          <w:rStyle w:val="libFootnotenumChar"/>
          <w:rtl/>
        </w:rPr>
        <w:t>(7)</w:t>
      </w:r>
      <w:r w:rsidRPr="00020424">
        <w:rPr>
          <w:rtl/>
          <w:lang w:bidi="fa-IR"/>
        </w:rPr>
        <w:t xml:space="preserve"> عَزَّ وَجَلَّ : </w:t>
      </w:r>
      <w:r w:rsidRPr="00005A81">
        <w:rPr>
          <w:rStyle w:val="libAlaemChar"/>
          <w:rtl/>
        </w:rPr>
        <w:t>(</w:t>
      </w:r>
      <w:r w:rsidRPr="004E5AB4">
        <w:rPr>
          <w:rStyle w:val="libAieChar"/>
          <w:rtl/>
        </w:rPr>
        <w:t xml:space="preserve"> فَمَنْ شَهِدَ مِنْكُمُ الشَّهْرَ فَلْيَصُمْهُ </w:t>
      </w:r>
      <w:r w:rsidRPr="00005A81">
        <w:rPr>
          <w:rStyle w:val="libAlaemChar"/>
          <w:rtl/>
        </w:rPr>
        <w:t>)</w:t>
      </w:r>
      <w:r w:rsidRPr="00020424">
        <w:rPr>
          <w:rtl/>
          <w:lang w:bidi="fa-IR"/>
        </w:rPr>
        <w:t xml:space="preserve">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 xml:space="preserve">قَالَ : « مَا أَبْيَنَهَا </w:t>
      </w:r>
      <w:r w:rsidRPr="00A91B96">
        <w:rPr>
          <w:rStyle w:val="libFootnotenumChar"/>
          <w:rtl/>
        </w:rPr>
        <w:t>(9)</w:t>
      </w:r>
      <w:r w:rsidRPr="00020424">
        <w:rPr>
          <w:rtl/>
          <w:lang w:bidi="fa-IR"/>
        </w:rPr>
        <w:t xml:space="preserve"> ، مَنْ شَهِدَ فَلْيَصُمْهُ ، وَمَنْ سَافَرَ فَلَا يَصُمْهُ</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البَراح : المتّسع من الأرض لا زرع فيه ولا شجر. والبراح أيضاً : مصدر قولك : برح مكانَه ، أي زا</w:t>
      </w:r>
      <w:r w:rsidR="00F41959">
        <w:rPr>
          <w:rtl/>
        </w:rPr>
        <w:t>ل عنه وصارفي البراح. وقال العل</w:t>
      </w:r>
      <w:r w:rsidR="00F41959">
        <w:rPr>
          <w:rFonts w:hint="cs"/>
          <w:rtl/>
        </w:rPr>
        <w:t>ّ</w:t>
      </w:r>
      <w:r w:rsidR="00F41959">
        <w:rPr>
          <w:rtl/>
        </w:rPr>
        <w:t>ا</w:t>
      </w:r>
      <w:r w:rsidR="00992664" w:rsidRPr="00020424">
        <w:rPr>
          <w:rtl/>
        </w:rPr>
        <w:t xml:space="preserve">مة المجلسي </w:t>
      </w:r>
      <w:r w:rsidR="00D64ADA" w:rsidRPr="00D64ADA">
        <w:rPr>
          <w:rStyle w:val="libFootnoteAlaemChar"/>
          <w:rtl/>
        </w:rPr>
        <w:t>رحمه‌الله</w:t>
      </w:r>
      <w:r w:rsidR="00992664" w:rsidRPr="00020424">
        <w:rPr>
          <w:rtl/>
        </w:rPr>
        <w:t xml:space="preserve"> : « في بعض النسخ : نزاحاً ، بالنون والزاي المعجمة ، من قولهم : نزح بفلان : إذا بعد عن دياره غيبة بعيدة. ويقال : نزح</w:t>
      </w:r>
      <w:r w:rsidR="00992664">
        <w:rPr>
          <w:rtl/>
        </w:rPr>
        <w:t xml:space="preserve"> </w:t>
      </w:r>
      <w:r w:rsidR="009B673F">
        <w:rPr>
          <w:rtl/>
        </w:rPr>
        <w:t>-</w:t>
      </w:r>
      <w:r w:rsidR="00992664">
        <w:rPr>
          <w:rtl/>
        </w:rPr>
        <w:t xml:space="preserve"> </w:t>
      </w:r>
      <w:r w:rsidR="00992664" w:rsidRPr="00020424">
        <w:rPr>
          <w:rtl/>
        </w:rPr>
        <w:t>كمنع وضرب</w:t>
      </w:r>
      <w:r w:rsidR="00992664">
        <w:rPr>
          <w:rtl/>
        </w:rPr>
        <w:t xml:space="preserve"> </w:t>
      </w:r>
      <w:r w:rsidR="009B673F">
        <w:rPr>
          <w:rtl/>
        </w:rPr>
        <w:t>-</w:t>
      </w:r>
      <w:r w:rsidR="00992664">
        <w:rPr>
          <w:rtl/>
        </w:rPr>
        <w:t xml:space="preserve"> </w:t>
      </w:r>
      <w:r w:rsidR="00992664" w:rsidRPr="00020424">
        <w:rPr>
          <w:rtl/>
        </w:rPr>
        <w:t>نزحاً ونزوحاً : بعد. والأوّل أظهر</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355 ؛ </w:t>
      </w:r>
      <w:r w:rsidR="00992664" w:rsidRPr="00A722B1">
        <w:rPr>
          <w:rStyle w:val="libFootnoteBoldChar"/>
          <w:rtl/>
        </w:rPr>
        <w:t>لسان العرب</w:t>
      </w:r>
      <w:r w:rsidR="00992664" w:rsidRPr="00020424">
        <w:rPr>
          <w:rtl/>
        </w:rPr>
        <w:t xml:space="preserve"> ، ج 2 ، ص 409 ( برح )</w:t>
      </w:r>
      <w:r w:rsidR="00992664">
        <w:rPr>
          <w:rtl/>
        </w:rPr>
        <w:t>.</w:t>
      </w:r>
    </w:p>
    <w:tbl>
      <w:tblPr>
        <w:tblStyle w:val="TableGrid"/>
        <w:bidiVisual/>
        <w:tblW w:w="0" w:type="auto"/>
        <w:tblLook w:val="04A0" w:firstRow="1" w:lastRow="0" w:firstColumn="1" w:lastColumn="0" w:noHBand="0" w:noVBand="1"/>
      </w:tblPr>
      <w:tblGrid>
        <w:gridCol w:w="4006"/>
        <w:gridCol w:w="4006"/>
      </w:tblGrid>
      <w:tr w:rsidR="009D425B" w:rsidTr="009D425B">
        <w:tc>
          <w:tcPr>
            <w:tcW w:w="4006" w:type="dxa"/>
          </w:tcPr>
          <w:p w:rsidR="009D425B" w:rsidRDefault="009D425B" w:rsidP="00992664">
            <w:pPr>
              <w:pStyle w:val="libFootnote0"/>
              <w:rPr>
                <w:rtl/>
              </w:rPr>
            </w:pPr>
            <w:r>
              <w:rPr>
                <w:rtl/>
              </w:rPr>
              <w:t xml:space="preserve">(2). </w:t>
            </w:r>
            <w:r w:rsidRPr="00020424">
              <w:rPr>
                <w:rtl/>
              </w:rPr>
              <w:t>في « بخ ، بف » :</w:t>
            </w:r>
            <w:r>
              <w:rPr>
                <w:rtl/>
              </w:rPr>
              <w:t xml:space="preserve"> - </w:t>
            </w:r>
            <w:r w:rsidRPr="00020424">
              <w:rPr>
                <w:rtl/>
              </w:rPr>
              <w:t>« شهر</w:t>
            </w:r>
            <w:r>
              <w:rPr>
                <w:rtl/>
              </w:rPr>
              <w:t xml:space="preserve"> ».</w:t>
            </w:r>
          </w:p>
        </w:tc>
        <w:tc>
          <w:tcPr>
            <w:tcW w:w="4006" w:type="dxa"/>
          </w:tcPr>
          <w:p w:rsidR="009D425B" w:rsidRDefault="009D425B" w:rsidP="00992664">
            <w:pPr>
              <w:pStyle w:val="libFootnote0"/>
              <w:rPr>
                <w:rtl/>
              </w:rPr>
            </w:pPr>
            <w:r>
              <w:rPr>
                <w:rtl/>
              </w:rPr>
              <w:t xml:space="preserve">(3). </w:t>
            </w:r>
            <w:r w:rsidRPr="00020424">
              <w:rPr>
                <w:rtl/>
              </w:rPr>
              <w:t>في معظم النسخ التي قوبلت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يخاف</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139 ، ح 1969 ، معلّقاً عن الحلبي </w:t>
      </w:r>
      <w:r w:rsidR="007475C1">
        <w:rPr>
          <w:rFonts w:hint="cs"/>
          <w:rtl/>
        </w:rPr>
        <w:t>.</w:t>
      </w:r>
      <w:r w:rsidR="00992664" w:rsidRPr="0012008A">
        <w:rPr>
          <w:rStyle w:val="libFootnoteBoldChar"/>
          <w:rtl/>
        </w:rPr>
        <w:t>الوافي</w:t>
      </w:r>
      <w:r w:rsidR="00992664" w:rsidRPr="00020424">
        <w:rPr>
          <w:rtl/>
        </w:rPr>
        <w:t xml:space="preserve"> ، ج 11 ، ص 303 ، ح 10915 ؛ </w:t>
      </w:r>
      <w:r w:rsidR="00992664" w:rsidRPr="0012008A">
        <w:rPr>
          <w:rStyle w:val="libFootnoteBoldChar"/>
          <w:rtl/>
        </w:rPr>
        <w:t>الوسائل</w:t>
      </w:r>
      <w:r w:rsidR="00992664" w:rsidRPr="00020424">
        <w:rPr>
          <w:rtl/>
        </w:rPr>
        <w:t xml:space="preserve"> ، ج 10 ، ص 181 ، ذيل ح 13162.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326 : « المراد بالكراهية الحرمة ، أو ما يشملها ، كما هو مصطلح القدماء ؛ فإنّه لاخلاف بين الأصحاب في عدم مشروعيّة صوم شهر رمضان في السفر. ونقل قول نادر بوجوب غير شهر رمضان من الصيام الواجب مطلقاً في السفر ، والمشهور العدم ، واستثني منها صوم ثلاثة أيّام بدل الهدي ، وثمانية عشر للمفيض من عرفات قبل الغروب ، والنذر المشروط سفراً وحضراً</w:t>
      </w:r>
      <w:r w:rsidR="00992664">
        <w:rPr>
          <w:rtl/>
        </w:rPr>
        <w:t xml:space="preserve"> ».</w:t>
      </w:r>
    </w:p>
    <w:p w:rsidR="00992664" w:rsidRPr="00020424" w:rsidRDefault="00795177" w:rsidP="007475C1">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w:t>
      </w:r>
      <w:r w:rsidR="00992664" w:rsidRPr="00515444">
        <w:rPr>
          <w:rStyle w:val="libFootnoteBoldChar"/>
          <w:rtl/>
        </w:rPr>
        <w:t>والتهذيب</w:t>
      </w:r>
      <w:r w:rsidR="00992664" w:rsidRPr="00020424">
        <w:rPr>
          <w:rtl/>
        </w:rPr>
        <w:t xml:space="preserve"> وتفسير العيّاشي. وفي المطبوع : « قول الله</w:t>
      </w:r>
      <w:r w:rsidR="00992664">
        <w:rPr>
          <w:rtl/>
        </w:rPr>
        <w:t xml:space="preserve"> ».</w:t>
      </w:r>
      <w:r w:rsidR="007475C1">
        <w:rPr>
          <w:rFonts w:hint="cs"/>
          <w:rtl/>
        </w:rPr>
        <w:t xml:space="preserve">                                                   </w:t>
      </w:r>
      <w:r>
        <w:rPr>
          <w:rtl/>
        </w:rPr>
        <w:t>(8).</w:t>
      </w:r>
      <w:r w:rsidR="0014403D">
        <w:rPr>
          <w:rtl/>
        </w:rPr>
        <w:t xml:space="preserve"> </w:t>
      </w:r>
      <w:r w:rsidR="00992664" w:rsidRPr="00020424">
        <w:rPr>
          <w:rtl/>
        </w:rPr>
        <w:t xml:space="preserve">البقرة </w:t>
      </w:r>
      <w:r w:rsidR="007475C1">
        <w:rPr>
          <w:rtl/>
        </w:rPr>
        <w:t>(2)</w:t>
      </w:r>
      <w:r w:rsidR="0014403D">
        <w:rPr>
          <w:rtl/>
        </w:rPr>
        <w:t xml:space="preserve"> </w:t>
      </w:r>
      <w:r w:rsidR="00992664" w:rsidRPr="00020424">
        <w:rPr>
          <w:rtl/>
        </w:rPr>
        <w:t>: 185.</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تفسير العيّاشي : + « لمن عقلها ، قال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216 ، ح 627 ، معلّقاً عن الكليني. </w:t>
      </w:r>
      <w:r w:rsidR="00992664" w:rsidRPr="0012008A">
        <w:rPr>
          <w:rStyle w:val="libFootnoteBoldChar"/>
          <w:rtl/>
        </w:rPr>
        <w:t>الفقيه</w:t>
      </w:r>
      <w:r w:rsidR="00992664" w:rsidRPr="00020424">
        <w:rPr>
          <w:rtl/>
        </w:rPr>
        <w:t xml:space="preserve"> ، ج 2 ، ص 141 ، ح 1976 ، معلّقاً عن عبيد بن </w:t>
      </w:r>
      <w:r w:rsidR="00967CE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9465F">
        <w:rPr>
          <w:rtl/>
        </w:rPr>
        <w:t>6497</w:t>
      </w:r>
      <w:r w:rsidRPr="001155DE">
        <w:rPr>
          <w:rStyle w:val="libBold2Char"/>
          <w:rtl/>
        </w:rPr>
        <w:t xml:space="preserve"> / 2.</w:t>
      </w:r>
      <w:r w:rsidRPr="00020424">
        <w:rPr>
          <w:rtl/>
          <w:lang w:bidi="fa-IR"/>
        </w:rPr>
        <w:t xml:space="preserve"> عِدَّةٌ مِنْ أَصْحَابِنَا ، عَنْ أَحْمَدَ بْنِ مُحَمَّدٍ ، عَنِ ابْنِ أَبِي نَجْرَانِ </w:t>
      </w:r>
      <w:r w:rsidRPr="00A91B96">
        <w:rPr>
          <w:rStyle w:val="libFootnotenumChar"/>
          <w:rtl/>
        </w:rPr>
        <w:t>(1)</w:t>
      </w:r>
      <w:r w:rsidRPr="00020424">
        <w:rPr>
          <w:rtl/>
          <w:lang w:bidi="fa-IR"/>
        </w:rPr>
        <w:t xml:space="preserve"> ، عَنْ بَعْضِ أَصْحَابِنَا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قَالَ رَسُولُ اللهِ </w:t>
      </w:r>
      <w:r w:rsidR="00B42914" w:rsidRPr="00B42914">
        <w:rPr>
          <w:rStyle w:val="libAlaemChar"/>
          <w:rtl/>
        </w:rPr>
        <w:t>صلى‌الله‌عليه‌وآله‌</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تَصَدَّقَ عَلى مَرْضى أُمَّتِي وَمُسَافِرِيهَا </w:t>
      </w:r>
      <w:r w:rsidRPr="00A91B96">
        <w:rPr>
          <w:rStyle w:val="libFootnotenumChar"/>
          <w:rtl/>
        </w:rPr>
        <w:t>(3)</w:t>
      </w:r>
      <w:r w:rsidRPr="00020424">
        <w:rPr>
          <w:rtl/>
          <w:lang w:bidi="fa-IR"/>
        </w:rPr>
        <w:t xml:space="preserve"> بِا</w:t>
      </w:r>
      <w:r>
        <w:rPr>
          <w:rtl/>
          <w:lang w:bidi="fa-IR"/>
        </w:rPr>
        <w:t>لتَّقْصِيرِ وَالْإِفْطَارِ : أَ</w:t>
      </w:r>
      <w:r w:rsidRPr="00020424">
        <w:rPr>
          <w:rtl/>
          <w:lang w:bidi="fa-IR"/>
        </w:rPr>
        <w:t>يَسُرُّ أَحَدَكُمْ إِذَا تَصَدَّقَ بِصَدَقَةٍ أَنْ تُرَدَّ عَلَيْهِ</w:t>
      </w:r>
      <w:r>
        <w:rPr>
          <w:rtl/>
          <w:lang w:bidi="fa-IR"/>
        </w:rPr>
        <w:t>؟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C9465F">
        <w:rPr>
          <w:rtl/>
        </w:rPr>
        <w:t>6498</w:t>
      </w:r>
      <w:r w:rsidRPr="001155DE">
        <w:rPr>
          <w:rStyle w:val="libBold2Char"/>
          <w:rtl/>
        </w:rPr>
        <w:t xml:space="preserve"> / 3.</w:t>
      </w:r>
      <w:r w:rsidRPr="00020424">
        <w:rPr>
          <w:rtl/>
          <w:lang w:bidi="fa-IR"/>
        </w:rPr>
        <w:t xml:space="preserve"> أَحْمَدُ بْنُ مُحَمَّدٍ </w:t>
      </w:r>
      <w:r w:rsidRPr="00A91B96">
        <w:rPr>
          <w:rStyle w:val="libFootnotenumChar"/>
          <w:rtl/>
        </w:rPr>
        <w:t>(5)</w:t>
      </w:r>
      <w:r w:rsidRPr="00020424">
        <w:rPr>
          <w:rtl/>
          <w:lang w:bidi="fa-IR"/>
        </w:rPr>
        <w:t xml:space="preserve"> ، عَنْ عَلِيِّ بْنِ الْحَكَمِ ، عَنْ عَبْدِ الْمَلِكِ بْنِ عُتْبَةَ ، عَنْ إِسْحَاقَ بْنِ عَمَّارٍ ، عَنْ يَحْيَى بْنِ أَبِي الْعَلَاءِ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الصَّائِمُ فِي السَّفَرِ فِي شَهْرِ رَمَضَانَ </w:t>
      </w:r>
      <w:r w:rsidRPr="00A91B96">
        <w:rPr>
          <w:rStyle w:val="libFootnotenumChar"/>
          <w:rtl/>
        </w:rPr>
        <w:t>(6)</w:t>
      </w:r>
      <w:r w:rsidRPr="00020424">
        <w:rPr>
          <w:rtl/>
          <w:lang w:bidi="fa-IR"/>
        </w:rPr>
        <w:t xml:space="preserve"> كَالْمُفْطِرِ فِيهِ فِي الْحَضَرِ</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57243" w:rsidP="00992664">
      <w:pPr>
        <w:pStyle w:val="libFootnote0"/>
        <w:rPr>
          <w:rtl/>
          <w:lang w:bidi="fa-IR"/>
        </w:rPr>
      </w:pPr>
      <w:r>
        <w:rPr>
          <w:rFonts w:hint="cs"/>
          <w:rtl/>
        </w:rPr>
        <w:t xml:space="preserve">= </w:t>
      </w:r>
      <w:r w:rsidR="00992664" w:rsidRPr="00020424">
        <w:rPr>
          <w:rtl/>
        </w:rPr>
        <w:t xml:space="preserve">زرارة. </w:t>
      </w:r>
      <w:r w:rsidR="00992664" w:rsidRPr="00DE76B9">
        <w:rPr>
          <w:rStyle w:val="libFootnoteBoldChar"/>
          <w:rtl/>
        </w:rPr>
        <w:t>تفسير العيّاشي</w:t>
      </w:r>
      <w:r w:rsidR="00992664" w:rsidRPr="00020424">
        <w:rPr>
          <w:rtl/>
        </w:rPr>
        <w:t xml:space="preserve"> ، ج 1 ، ص 81 ، ح 187 ، عن زرارة ، عن أبي جعفر </w:t>
      </w:r>
      <w:r w:rsidR="00992664" w:rsidRPr="00D64ADA">
        <w:rPr>
          <w:rStyle w:val="libFootnoteAlaemChar"/>
          <w:rtl/>
        </w:rPr>
        <w:t>عليه‌السلام</w:t>
      </w:r>
      <w:r w:rsidR="00992664" w:rsidRPr="00020424">
        <w:rPr>
          <w:rtl/>
        </w:rPr>
        <w:t xml:space="preserve"> ، مع اختلاف يسير </w:t>
      </w:r>
      <w:r w:rsidR="00CC0A11">
        <w:rPr>
          <w:rFonts w:hint="cs"/>
          <w:rtl/>
        </w:rPr>
        <w:t>.</w:t>
      </w:r>
      <w:r w:rsidR="00992664" w:rsidRPr="0012008A">
        <w:rPr>
          <w:rStyle w:val="libFootnoteBoldChar"/>
          <w:rtl/>
        </w:rPr>
        <w:t>الوافي</w:t>
      </w:r>
      <w:r w:rsidR="00992664" w:rsidRPr="00020424">
        <w:rPr>
          <w:rtl/>
        </w:rPr>
        <w:t xml:space="preserve"> ، ج 11 ، ص 91 ، ح 10471 ؛ </w:t>
      </w:r>
      <w:r w:rsidR="00992664" w:rsidRPr="0012008A">
        <w:rPr>
          <w:rStyle w:val="libFootnoteBoldChar"/>
          <w:rtl/>
        </w:rPr>
        <w:t>الوسائل</w:t>
      </w:r>
      <w:r w:rsidR="00992664" w:rsidRPr="00020424">
        <w:rPr>
          <w:rtl/>
        </w:rPr>
        <w:t xml:space="preserve"> ، ج 10 ، ص 176 ، ح 13148 ؛ </w:t>
      </w:r>
      <w:r w:rsidR="00992664" w:rsidRPr="0012008A">
        <w:rPr>
          <w:rStyle w:val="libFootnoteBoldChar"/>
          <w:rtl/>
        </w:rPr>
        <w:t>البحار</w:t>
      </w:r>
      <w:r w:rsidR="00992664" w:rsidRPr="00020424">
        <w:rPr>
          <w:rtl/>
        </w:rPr>
        <w:t xml:space="preserve"> ، ج 2 ، ص 274 ، ح 21.</w:t>
      </w:r>
    </w:p>
    <w:p w:rsidR="00992664" w:rsidRPr="00020424" w:rsidRDefault="00795177" w:rsidP="00CC0A11">
      <w:pPr>
        <w:pStyle w:val="libFootnote0"/>
        <w:rPr>
          <w:rtl/>
          <w:lang w:bidi="fa-IR"/>
        </w:rPr>
      </w:pPr>
      <w:r>
        <w:rPr>
          <w:rtl/>
        </w:rPr>
        <w:t>(1).</w:t>
      </w:r>
      <w:r w:rsidR="0014403D">
        <w:rPr>
          <w:rtl/>
        </w:rPr>
        <w:t xml:space="preserve"> </w:t>
      </w:r>
      <w:r w:rsidR="00992664" w:rsidRPr="00020424">
        <w:rPr>
          <w:rtl/>
        </w:rPr>
        <w:t xml:space="preserve">هكذا في « بخ ، بف ، جر » وحاشية « بث » </w:t>
      </w:r>
      <w:r w:rsidR="00992664" w:rsidRPr="00515444">
        <w:rPr>
          <w:rStyle w:val="libFootnoteBoldChar"/>
          <w:rtl/>
        </w:rPr>
        <w:t>والتهذيب</w:t>
      </w:r>
      <w:r w:rsidR="00992664" w:rsidRPr="00020424">
        <w:rPr>
          <w:rtl/>
        </w:rPr>
        <w:t>. وفي « بر » : « أبي نجران</w:t>
      </w:r>
      <w:r w:rsidR="00992664">
        <w:rPr>
          <w:rtl/>
        </w:rPr>
        <w:t xml:space="preserve"> ».</w:t>
      </w:r>
      <w:r w:rsidR="0079489C">
        <w:rPr>
          <w:rtl/>
        </w:rPr>
        <w:t xml:space="preserve"> وهو سهو واضح ، إل</w:t>
      </w:r>
      <w:r w:rsidR="0079489C">
        <w:rPr>
          <w:rFonts w:hint="cs"/>
          <w:rtl/>
        </w:rPr>
        <w:t>ّ</w:t>
      </w:r>
      <w:r w:rsidR="0079489C">
        <w:rPr>
          <w:rtl/>
        </w:rPr>
        <w:t>ا</w:t>
      </w:r>
      <w:r w:rsidR="00992664">
        <w:rPr>
          <w:rFonts w:hint="cs"/>
          <w:rtl/>
        </w:rPr>
        <w:t xml:space="preserve"> </w:t>
      </w:r>
      <w:r w:rsidR="00992664" w:rsidRPr="00020424">
        <w:rPr>
          <w:rtl/>
        </w:rPr>
        <w:t xml:space="preserve">أنّه مؤيّدلما أثبتناه. وفي « ظ ، ى ، بث ، بح ، بس ، بف » والمطبوع </w:t>
      </w:r>
      <w:r w:rsidR="00992664" w:rsidRPr="00EB1FD9">
        <w:rPr>
          <w:rStyle w:val="libFootnoteBoldChar"/>
          <w:rtl/>
        </w:rPr>
        <w:t>والوسائل</w:t>
      </w:r>
      <w:r w:rsidR="00992664" w:rsidRPr="00020424">
        <w:rPr>
          <w:rtl/>
        </w:rPr>
        <w:t xml:space="preserve"> : « ابن أبي عمير</w:t>
      </w:r>
      <w:r w:rsidR="00992664">
        <w:rPr>
          <w:rtl/>
        </w:rPr>
        <w:t xml:space="preserve"> ».</w:t>
      </w:r>
    </w:p>
    <w:p w:rsidR="00992664" w:rsidRPr="00020424" w:rsidRDefault="00992664" w:rsidP="00CC0A11">
      <w:pPr>
        <w:pStyle w:val="libFootnote0"/>
        <w:rPr>
          <w:rtl/>
          <w:lang w:bidi="fa-IR"/>
        </w:rPr>
      </w:pPr>
      <w:r w:rsidRPr="00CC0A11">
        <w:rPr>
          <w:rtl/>
        </w:rPr>
        <w:t>ولايخفى أنّ المقام من مظانّ تحريف « ابن أبي نجران » ب</w:t>
      </w:r>
      <w:r w:rsidR="009B673F" w:rsidRPr="00CC0A11">
        <w:rPr>
          <w:rtl/>
        </w:rPr>
        <w:t>-</w:t>
      </w:r>
      <w:r w:rsidRPr="00CC0A11">
        <w:rPr>
          <w:rtl/>
        </w:rPr>
        <w:t xml:space="preserve"> « ابن أبي عمير » دون العكس ؛ فإنّ نسبة تكرار عنوان « ابن أبي نجران » بتكرار عنوان « ابن أبي عمير » في أسناد </w:t>
      </w:r>
      <w:r w:rsidRPr="00DE76B9">
        <w:rPr>
          <w:rStyle w:val="libFootnoteBoldChar"/>
          <w:rtl/>
        </w:rPr>
        <w:t>الكافي</w:t>
      </w:r>
      <w:r w:rsidRPr="00CC0A11">
        <w:rPr>
          <w:rtl/>
        </w:rPr>
        <w:t xml:space="preserve"> ، نسبة السبعة بالمائة تقريباً ، وهذا يوجب سبق القلم إلى كتابة « ابن أبي عمير » سهواً. راجع : </w:t>
      </w:r>
      <w:r w:rsidRPr="00DE76B9">
        <w:rPr>
          <w:rStyle w:val="libFootnoteBoldChar"/>
          <w:rtl/>
        </w:rPr>
        <w:t>معجم رجال الحديث</w:t>
      </w:r>
      <w:r w:rsidRPr="00CC0A11">
        <w:rPr>
          <w:rtl/>
        </w:rPr>
        <w:t xml:space="preserve"> ، ج 22 ، ص 101 ، الرقم 14997 ؛ وص 141 ، الرقم 15002.</w:t>
      </w:r>
    </w:p>
    <w:p w:rsidR="00992664" w:rsidRPr="00020424" w:rsidRDefault="00795177" w:rsidP="00CC0A11">
      <w:pPr>
        <w:pStyle w:val="libFootnote0"/>
        <w:rPr>
          <w:rtl/>
          <w:lang w:bidi="fa-IR"/>
        </w:rPr>
      </w:pPr>
      <w:r>
        <w:rPr>
          <w:rtl/>
        </w:rPr>
        <w:t>(2).</w:t>
      </w:r>
      <w:r w:rsidR="0014403D">
        <w:rPr>
          <w:rtl/>
        </w:rPr>
        <w:t xml:space="preserve"> </w:t>
      </w:r>
      <w:r w:rsidR="00992664" w:rsidRPr="00020424">
        <w:rPr>
          <w:rtl/>
        </w:rPr>
        <w:t xml:space="preserve">هكذا في « ى ، بث ، بخ ، بر ، بس ، بف ، جن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وفي « ظ ، بح » والمطبوع : « بعض أصحابه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ومسافريها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216 ، ح 628 ، معلّقاً عن الكليني </w:t>
      </w:r>
      <w:r w:rsidR="001D13D6">
        <w:rPr>
          <w:rFonts w:hint="cs"/>
          <w:rtl/>
        </w:rPr>
        <w:t>.</w:t>
      </w:r>
      <w:r w:rsidR="00992664" w:rsidRPr="0012008A">
        <w:rPr>
          <w:rStyle w:val="libFootnoteBoldChar"/>
          <w:rtl/>
        </w:rPr>
        <w:t>الوافي</w:t>
      </w:r>
      <w:r w:rsidR="00992664" w:rsidRPr="00020424">
        <w:rPr>
          <w:rtl/>
        </w:rPr>
        <w:t xml:space="preserve"> ، ج 11 ، ص 91 ، ح 10472 ؛ </w:t>
      </w:r>
      <w:r w:rsidR="00992664" w:rsidRPr="0012008A">
        <w:rPr>
          <w:rStyle w:val="libFootnoteBoldChar"/>
          <w:rtl/>
        </w:rPr>
        <w:t>الوسائل</w:t>
      </w:r>
      <w:r w:rsidR="00992664" w:rsidRPr="00020424">
        <w:rPr>
          <w:rtl/>
        </w:rPr>
        <w:t xml:space="preserve"> ، ج 8 ، ص 519 ، ح 11332.</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بر » : « شهر رمضان في السفر » بدل « في السفر في شهر رمضان</w:t>
      </w:r>
      <w:r w:rsidR="00992664">
        <w:rPr>
          <w:rtl/>
        </w:rPr>
        <w:t xml:space="preserve"> ».</w:t>
      </w:r>
      <w:r w:rsidR="00992664" w:rsidRPr="00020424">
        <w:rPr>
          <w:rtl/>
        </w:rPr>
        <w:t xml:space="preserve"> وفي « بخ ، بف » </w:t>
      </w:r>
      <w:r w:rsidR="00992664" w:rsidRPr="001D13D6">
        <w:rPr>
          <w:rtl/>
        </w:rPr>
        <w:t>والوافي والفقيه والتهذيب وفضائل الأشهر الثلاثة</w:t>
      </w:r>
      <w:r w:rsidR="00992664" w:rsidRPr="00020424">
        <w:rPr>
          <w:rtl/>
        </w:rPr>
        <w:t xml:space="preserve"> : « في شهر رمضان في السفر » بدلها. وفي « ى » : + « كان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ثُمَّ قَالَ : « إِنَّ رَجُلاً أَتَى النَّبِيَّ </w:t>
      </w:r>
      <w:r w:rsidRPr="00A91B96">
        <w:rPr>
          <w:rStyle w:val="libFootnotenumChar"/>
          <w:rtl/>
        </w:rPr>
        <w:t>(1)</w:t>
      </w:r>
      <w:r w:rsidRPr="00020424">
        <w:rPr>
          <w:rtl/>
          <w:lang w:bidi="fa-IR"/>
        </w:rPr>
        <w:t xml:space="preserve"> </w:t>
      </w:r>
      <w:r w:rsidR="00B42914" w:rsidRPr="00B42914">
        <w:rPr>
          <w:rStyle w:val="libAlaemChar"/>
          <w:rtl/>
        </w:rPr>
        <w:t>صلى‌الله‌عليه‌وآله‌</w:t>
      </w:r>
      <w:r w:rsidRPr="00020424">
        <w:rPr>
          <w:rtl/>
          <w:lang w:bidi="fa-IR"/>
        </w:rPr>
        <w:t xml:space="preserve"> ، فَقَالَ : يَا رَسُولَ اللهِ ، أَصُومُ </w:t>
      </w:r>
      <w:r w:rsidRPr="00A91B96">
        <w:rPr>
          <w:rStyle w:val="libFootnotenumChar"/>
          <w:rtl/>
        </w:rPr>
        <w:t>(2)</w:t>
      </w:r>
      <w:r w:rsidRPr="00020424">
        <w:rPr>
          <w:rtl/>
          <w:lang w:bidi="fa-IR"/>
        </w:rPr>
        <w:t xml:space="preserve"> شَهْرَ رَمَضَانَ فِي السَّفَرِ </w:t>
      </w:r>
      <w:r w:rsidRPr="00A91B96">
        <w:rPr>
          <w:rStyle w:val="libFootnotenumChar"/>
          <w:rtl/>
        </w:rPr>
        <w:t>(3)</w:t>
      </w:r>
      <w:r>
        <w:rPr>
          <w:rtl/>
          <w:lang w:bidi="fa-IR"/>
        </w:rPr>
        <w:t>؟</w:t>
      </w:r>
      <w:r w:rsidRPr="00020424">
        <w:rPr>
          <w:rtl/>
          <w:lang w:bidi="fa-IR"/>
        </w:rPr>
        <w:t xml:space="preserve"> فَقَالَ : لَا ، فَقَالَ : يَا رَسُولَ اللهِ ، إِنَّهُ عَلَيَّ يَسِيرٌ ، فَقَالَ رَسُولُ اللهِ </w:t>
      </w:r>
      <w:r w:rsidR="00B42914" w:rsidRPr="00B42914">
        <w:rPr>
          <w:rStyle w:val="libAlaemChar"/>
          <w:rtl/>
        </w:rPr>
        <w:t>صلى‌الله‌عليه‌وآله‌</w:t>
      </w:r>
      <w:r w:rsidRPr="00020424">
        <w:rPr>
          <w:rtl/>
          <w:lang w:bidi="fa-IR"/>
        </w:rPr>
        <w:t xml:space="preserve">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تَصَدَّقَ عَلى مَرْضى أُمَّتِي وَمُسَافِرِيهَا بِالْإِفْ</w:t>
      </w:r>
      <w:r>
        <w:rPr>
          <w:rtl/>
          <w:lang w:bidi="fa-IR"/>
        </w:rPr>
        <w:t>طَارِ فِي شَهْرِ رَمَضَانَ : أَ</w:t>
      </w:r>
      <w:r w:rsidRPr="00020424">
        <w:rPr>
          <w:rtl/>
          <w:lang w:bidi="fa-IR"/>
        </w:rPr>
        <w:t xml:space="preserve">يُعْجِبُ </w:t>
      </w:r>
      <w:r w:rsidRPr="00A91B96">
        <w:rPr>
          <w:rStyle w:val="libFootnotenumChar"/>
          <w:rtl/>
        </w:rPr>
        <w:t>(4)</w:t>
      </w:r>
      <w:r w:rsidRPr="00020424">
        <w:rPr>
          <w:rtl/>
          <w:lang w:bidi="fa-IR"/>
        </w:rPr>
        <w:t xml:space="preserve"> أَحَدَكُمْ </w:t>
      </w:r>
      <w:r w:rsidRPr="00A91B96">
        <w:rPr>
          <w:rStyle w:val="libFootnotenumChar"/>
          <w:rtl/>
        </w:rPr>
        <w:t>(5)</w:t>
      </w:r>
      <w:r w:rsidRPr="00020424">
        <w:rPr>
          <w:rtl/>
          <w:lang w:bidi="fa-IR"/>
        </w:rPr>
        <w:t xml:space="preserve"> لَوْ تَصَدَّقَ بِصَدَقَةٍ أَنْ تُرَدَّ عَلَيْهِ </w:t>
      </w:r>
      <w:r w:rsidRPr="00A91B96">
        <w:rPr>
          <w:rStyle w:val="libFootnotenumChar"/>
          <w:rtl/>
        </w:rPr>
        <w:t>(6)</w:t>
      </w:r>
      <w:r>
        <w:rPr>
          <w:rtl/>
          <w:lang w:bidi="fa-IR"/>
        </w:rPr>
        <w:t>؟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C9465F">
        <w:rPr>
          <w:rtl/>
        </w:rPr>
        <w:t>6499</w:t>
      </w:r>
      <w:r w:rsidRPr="001155DE">
        <w:rPr>
          <w:rStyle w:val="libBold2Char"/>
          <w:rtl/>
        </w:rPr>
        <w:t xml:space="preserve"> / 4.</w:t>
      </w:r>
      <w:r w:rsidRPr="00020424">
        <w:rPr>
          <w:rtl/>
          <w:lang w:bidi="fa-IR"/>
        </w:rPr>
        <w:t xml:space="preserve"> أَحْمَدُ بْنُ مُحَمَّدٍ </w:t>
      </w:r>
      <w:r w:rsidRPr="00A91B96">
        <w:rPr>
          <w:rStyle w:val="libFootnotenumChar"/>
          <w:rtl/>
        </w:rPr>
        <w:t>(8)</w:t>
      </w:r>
      <w:r w:rsidRPr="00020424">
        <w:rPr>
          <w:rtl/>
          <w:lang w:bidi="fa-IR"/>
        </w:rPr>
        <w:t xml:space="preserve"> ، عَنْ صَالِحِ بْنِ سَعِيدٍ ، عَنْ أَبَانِ بْنِ تَغْلِبَ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خِيَارُ أُمَّتِي الَّذِينَ إِذَا سَافَرُوا أَفْطَرُوا وَقَصَّرُوا ، وَإِذَا أَحْسَنُوا اسْتَبْشَرُوا ، وَإِذَا أَسَاؤُوا اسْتَغْفَرُوا ؛ وَشِرَارُ أُمَّتِي الَّذِينَ وُلِدُوا‌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والعلل : « رسول 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جن » : + «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بح ، بس ، جن » : « سفر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عن بعض النسخ : « أيحبّ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50AAE" w:rsidTr="00450AAE">
        <w:tc>
          <w:tcPr>
            <w:tcW w:w="4006" w:type="dxa"/>
          </w:tcPr>
          <w:p w:rsidR="00450AAE" w:rsidRDefault="00450AAE" w:rsidP="00992664">
            <w:pPr>
              <w:pStyle w:val="libFootnote0"/>
              <w:rPr>
                <w:rtl/>
              </w:rPr>
            </w:pPr>
            <w:r>
              <w:rPr>
                <w:rtl/>
              </w:rPr>
              <w:t xml:space="preserve">(5). </w:t>
            </w:r>
            <w:r w:rsidRPr="00020424">
              <w:rPr>
                <w:rtl/>
              </w:rPr>
              <w:t xml:space="preserve">في « بخ » </w:t>
            </w:r>
            <w:r w:rsidRPr="00515444">
              <w:rPr>
                <w:rStyle w:val="libFootnoteBoldChar"/>
                <w:rtl/>
              </w:rPr>
              <w:t>والتهذيب</w:t>
            </w:r>
            <w:r w:rsidRPr="00020424">
              <w:rPr>
                <w:rtl/>
              </w:rPr>
              <w:t xml:space="preserve"> : + « أن</w:t>
            </w:r>
            <w:r>
              <w:rPr>
                <w:rtl/>
              </w:rPr>
              <w:t xml:space="preserve"> ».</w:t>
            </w:r>
          </w:p>
        </w:tc>
        <w:tc>
          <w:tcPr>
            <w:tcW w:w="4006" w:type="dxa"/>
          </w:tcPr>
          <w:p w:rsidR="00450AAE" w:rsidRDefault="00450AAE" w:rsidP="00992664">
            <w:pPr>
              <w:pStyle w:val="libFootnote0"/>
              <w:rPr>
                <w:rtl/>
              </w:rPr>
            </w:pPr>
            <w:r>
              <w:rPr>
                <w:rtl/>
              </w:rPr>
              <w:t>(6). في«ى»</w:t>
            </w:r>
            <w:r w:rsidRPr="00020424">
              <w:rPr>
                <w:rtl/>
              </w:rPr>
              <w:t>:</w:t>
            </w:r>
            <w:r>
              <w:rPr>
                <w:rtl/>
              </w:rPr>
              <w:t>-«مسافريها</w:t>
            </w:r>
            <w:r w:rsidRPr="00020424">
              <w:rPr>
                <w:rtl/>
              </w:rPr>
              <w:t>بالإفطار</w:t>
            </w:r>
            <w:r>
              <w:rPr>
                <w:rtl/>
              </w:rPr>
              <w:t>-</w:t>
            </w:r>
            <w:r w:rsidRPr="00020424">
              <w:rPr>
                <w:rtl/>
              </w:rPr>
              <w:t>إلى</w:t>
            </w:r>
            <w:r>
              <w:rPr>
                <w:rtl/>
              </w:rPr>
              <w:t>-</w:t>
            </w:r>
            <w:r w:rsidRPr="00020424">
              <w:rPr>
                <w:rtl/>
              </w:rPr>
              <w:t>أن تردّ عليه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علل الشرائع</w:t>
      </w:r>
      <w:r w:rsidR="00992664" w:rsidRPr="00020424">
        <w:rPr>
          <w:rtl/>
        </w:rPr>
        <w:t xml:space="preserve"> ، ص 382 ، ح 3 ، مع اختلاف يسير ؛ </w:t>
      </w:r>
      <w:r w:rsidR="00992664" w:rsidRPr="00D27EE2">
        <w:rPr>
          <w:rStyle w:val="libFootnoteBoldChar"/>
          <w:rtl/>
        </w:rPr>
        <w:t>وفضائل الأشهر الثلاثة</w:t>
      </w:r>
      <w:r w:rsidR="00992664" w:rsidRPr="00020424">
        <w:rPr>
          <w:rtl/>
        </w:rPr>
        <w:t xml:space="preserve"> ، ص 94 ، ح 77 ، بسندهما عن أحمد بن محمّد بن عيسى ، عن عليّ بن الحكم ، وفي الأخير إلى قوله : « كالمفطر فيه في الحضر</w:t>
      </w:r>
      <w:r w:rsidR="00992664">
        <w:rPr>
          <w:rtl/>
        </w:rPr>
        <w:t xml:space="preserve"> ».</w:t>
      </w:r>
      <w:r w:rsidR="00992664" w:rsidRPr="00020424">
        <w:rPr>
          <w:rtl/>
        </w:rPr>
        <w:t xml:space="preserve"> </w:t>
      </w:r>
      <w:r w:rsidR="00992664" w:rsidRPr="0012008A">
        <w:rPr>
          <w:rStyle w:val="libFootnoteBoldChar"/>
          <w:rtl/>
        </w:rPr>
        <w:t>التهذيب</w:t>
      </w:r>
      <w:r w:rsidR="00992664" w:rsidRPr="00020424">
        <w:rPr>
          <w:rtl/>
        </w:rPr>
        <w:t xml:space="preserve"> ، ج 4 ، ص 217 ، ح 630 ، معلّقاً عن أحمد بن محمّد بن عيسى ، عن عليّ بن الحكم. </w:t>
      </w:r>
      <w:r w:rsidR="00992664" w:rsidRPr="0012008A">
        <w:rPr>
          <w:rStyle w:val="libFootnoteBoldChar"/>
          <w:rtl/>
        </w:rPr>
        <w:t>الفقيه</w:t>
      </w:r>
      <w:r w:rsidR="00992664" w:rsidRPr="00020424">
        <w:rPr>
          <w:rtl/>
        </w:rPr>
        <w:t xml:space="preserve"> ، ج 2 ، ص 140 ، ح 1973 ، معلّقاً عن يحيى بن أبي العلاء </w:t>
      </w:r>
      <w:r w:rsidR="00B36948">
        <w:rPr>
          <w:rFonts w:hint="cs"/>
          <w:rtl/>
        </w:rPr>
        <w:t>.</w:t>
      </w:r>
      <w:r w:rsidR="00992664" w:rsidRPr="0012008A">
        <w:rPr>
          <w:rStyle w:val="libFootnoteBoldChar"/>
          <w:rtl/>
        </w:rPr>
        <w:t>الوافي</w:t>
      </w:r>
      <w:r w:rsidR="00992664" w:rsidRPr="00020424">
        <w:rPr>
          <w:rtl/>
        </w:rPr>
        <w:t xml:space="preserve"> ، ج 11 ، ص 92 ، ح 10473 ؛ </w:t>
      </w:r>
      <w:r w:rsidR="00992664" w:rsidRPr="0012008A">
        <w:rPr>
          <w:rStyle w:val="libFootnoteBoldChar"/>
          <w:rtl/>
        </w:rPr>
        <w:t>الوسائل</w:t>
      </w:r>
      <w:r w:rsidR="00992664" w:rsidRPr="00020424">
        <w:rPr>
          <w:rtl/>
        </w:rPr>
        <w:t xml:space="preserve"> ، ج 10 ، ص 175 ، ح 13145.</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السند معلّق ، كسابقه. ثمّ إنّ أحمد بن محمّد هذا ، مشترك بين أحمد بن محمّد بن عيسى وأحمد بن محمّد بن خالد ، ورواية هذين الراويين عن صالح بن سعيد</w:t>
      </w:r>
      <w:r w:rsidR="00992664">
        <w:rPr>
          <w:rtl/>
        </w:rPr>
        <w:t xml:space="preserve"> </w:t>
      </w:r>
      <w:r w:rsidR="009B673F">
        <w:rPr>
          <w:rtl/>
        </w:rPr>
        <w:t>-</w:t>
      </w:r>
      <w:r w:rsidR="00992664">
        <w:rPr>
          <w:rtl/>
        </w:rPr>
        <w:t xml:space="preserve"> </w:t>
      </w:r>
      <w:r w:rsidR="00992664" w:rsidRPr="00020424">
        <w:rPr>
          <w:rtl/>
        </w:rPr>
        <w:t>وهو أبو سعيد القمّاط بقرينة روايته عن أبان بن تغلب</w:t>
      </w:r>
      <w:r w:rsidR="00992664">
        <w:rPr>
          <w:rtl/>
        </w:rPr>
        <w:t xml:space="preserve"> </w:t>
      </w:r>
      <w:r w:rsidR="009B673F">
        <w:rPr>
          <w:rtl/>
        </w:rPr>
        <w:t>-</w:t>
      </w:r>
      <w:r w:rsidR="00992664">
        <w:rPr>
          <w:rtl/>
        </w:rPr>
        <w:t xml:space="preserve"> </w:t>
      </w:r>
      <w:r w:rsidR="00992664" w:rsidRPr="00020424">
        <w:rPr>
          <w:rtl/>
        </w:rPr>
        <w:t xml:space="preserve">بعيدة ؛ فإنّ صالح بن سعيد ، مذكور في أصحاب أبي عبد الله وأبي الحسن موسى بن جعفر </w:t>
      </w:r>
      <w:r w:rsidR="00D64ADA" w:rsidRPr="00D64ADA">
        <w:rPr>
          <w:rStyle w:val="libFootnoteAlaemChar"/>
          <w:rtl/>
        </w:rPr>
        <w:t>عليهما‌السلام</w:t>
      </w:r>
      <w:r w:rsidR="00992664" w:rsidRPr="00020424">
        <w:rPr>
          <w:rtl/>
        </w:rPr>
        <w:t xml:space="preserve">. راجع : </w:t>
      </w:r>
      <w:r w:rsidR="00992664" w:rsidRPr="00DE76B9">
        <w:rPr>
          <w:rStyle w:val="libFootnoteBoldChar"/>
          <w:rtl/>
        </w:rPr>
        <w:t>رجال البرقي</w:t>
      </w:r>
      <w:r w:rsidR="00992664" w:rsidRPr="00020424">
        <w:rPr>
          <w:rtl/>
        </w:rPr>
        <w:t xml:space="preserve"> ، ص 49 ؛ </w:t>
      </w:r>
      <w:r w:rsidR="00992664" w:rsidRPr="00DE76B9">
        <w:rPr>
          <w:rStyle w:val="libFootnoteBoldChar"/>
          <w:rtl/>
        </w:rPr>
        <w:t>رجال الطوسي</w:t>
      </w:r>
      <w:r w:rsidR="00992664" w:rsidRPr="00020424">
        <w:rPr>
          <w:rtl/>
        </w:rPr>
        <w:t xml:space="preserve"> ، ص 225 ، الرقم 3039.</w:t>
      </w:r>
    </w:p>
    <w:p w:rsidR="00992664" w:rsidRPr="00020424" w:rsidRDefault="00992664" w:rsidP="008A5E0B">
      <w:pPr>
        <w:pStyle w:val="libFootnote0"/>
        <w:rPr>
          <w:rtl/>
          <w:lang w:bidi="fa-IR"/>
        </w:rPr>
      </w:pPr>
      <w:r w:rsidRPr="008A5E0B">
        <w:rPr>
          <w:rtl/>
        </w:rPr>
        <w:t xml:space="preserve">فعليه ، الظاهر سقوط الواسطة بين أحمد بن محمّد وصالح بن سعيد. ويؤيّد ذلك ما ورد في </w:t>
      </w:r>
      <w:r w:rsidRPr="00DE76B9">
        <w:rPr>
          <w:rStyle w:val="libFootnoteBoldChar"/>
          <w:rtl/>
        </w:rPr>
        <w:t>الكافي</w:t>
      </w:r>
      <w:r w:rsidRPr="008A5E0B">
        <w:rPr>
          <w:rtl/>
        </w:rPr>
        <w:t xml:space="preserve"> ، ح 69 من رواية أحمد بن محمّد البرقي عن إسماعيل بن مهران عن أبي سعيد القمّاط ، وما ورد في ح 210 من رواية أحمد بن محمّد بن خالد عن إسماعيل بن مهران عن أبي سعيد القمّاط وصالح بن سعيد عن أبان بن تغلب </w:t>
      </w:r>
      <w:r w:rsidR="009B673F" w:rsidRPr="008A5E0B">
        <w:rPr>
          <w:rtl/>
        </w:rPr>
        <w:t>-</w:t>
      </w:r>
      <w:r w:rsidRPr="008A5E0B">
        <w:rPr>
          <w:rtl/>
        </w:rPr>
        <w:t xml:space="preserve"> وقد استظهرنا في ذيل السند صحّة « أبي سعيد القمّاط صالح بن سعيد » </w:t>
      </w:r>
      <w:r w:rsidR="009B673F" w:rsidRPr="008A5E0B">
        <w:rPr>
          <w:rtl/>
        </w:rPr>
        <w:t>-</w:t>
      </w:r>
      <w:r w:rsidRPr="008A5E0B">
        <w:rPr>
          <w:rtl/>
        </w:rPr>
        <w:t xml:space="preserve"> وما ورد في </w:t>
      </w:r>
      <w:r w:rsidRPr="00DE76B9">
        <w:rPr>
          <w:rStyle w:val="libFootnoteBoldChar"/>
          <w:rtl/>
        </w:rPr>
        <w:t>الكافي</w:t>
      </w:r>
      <w:r w:rsidRPr="008A5E0B">
        <w:rPr>
          <w:rtl/>
        </w:rPr>
        <w:t xml:space="preserve"> ، ح 2742 من رواية أحمد بن محمّد بن خالد عن إسماعيل بن مهران عن أبي سعيد القمّاط عن أبان بن تغلب. وكذا يؤيّده ما ورد في </w:t>
      </w:r>
      <w:r w:rsidRPr="00DE76B9">
        <w:rPr>
          <w:rStyle w:val="libFootnoteBoldChar"/>
          <w:rtl/>
        </w:rPr>
        <w:t>الكافي</w:t>
      </w:r>
      <w:r w:rsidRPr="008A5E0B">
        <w:rPr>
          <w:rtl/>
        </w:rPr>
        <w:t xml:space="preserve"> ، ح 2712 من رواية محمّد بن يحيى عن أحمد بن محمّد عن محمّد بن سنان عن أبي سعيد القمّاط.</w:t>
      </w:r>
    </w:p>
    <w:p w:rsidR="00795177" w:rsidRDefault="00795177" w:rsidP="00795177">
      <w:pPr>
        <w:pStyle w:val="libNormal"/>
        <w:rPr>
          <w:rtl/>
          <w:lang w:bidi="fa-IR"/>
        </w:rPr>
      </w:pPr>
      <w:r>
        <w:rPr>
          <w:rtl/>
          <w:lang w:bidi="fa-IR"/>
        </w:rPr>
        <w:br w:type="page"/>
      </w:r>
    </w:p>
    <w:p w:rsidR="00992664" w:rsidRPr="00020424" w:rsidRDefault="00992664" w:rsidP="00B04396">
      <w:pPr>
        <w:pStyle w:val="libNormal0"/>
        <w:rPr>
          <w:rtl/>
          <w:lang w:bidi="fa-IR"/>
        </w:rPr>
      </w:pPr>
      <w:r w:rsidRPr="00020424">
        <w:rPr>
          <w:rtl/>
          <w:lang w:bidi="fa-IR"/>
        </w:rPr>
        <w:t xml:space="preserve">فِي النِّعَمِ </w:t>
      </w:r>
      <w:r w:rsidRPr="00A91B96">
        <w:rPr>
          <w:rStyle w:val="libFootnotenumChar"/>
          <w:rtl/>
        </w:rPr>
        <w:t>(1)</w:t>
      </w:r>
      <w:r w:rsidRPr="00020424">
        <w:rPr>
          <w:rtl/>
          <w:lang w:bidi="fa-IR"/>
        </w:rPr>
        <w:t xml:space="preserve"> وَغُذُّوا بِهِ ، يَأْكُلُونَ طَيِّبَ الطَّعَامِ ، وَيَلْبَسُونَ لَيِّنَ الثِّيَابِ ، وَإِذَا تَكَلَّمُوا لَمْ يَصْدُقُوا</w:t>
      </w:r>
      <w:r>
        <w:rPr>
          <w:rtl/>
          <w:lang w:bidi="fa-IR"/>
        </w:rPr>
        <w:t xml:space="preserve"> ».</w:t>
      </w:r>
      <w:r w:rsidRPr="00020424">
        <w:rPr>
          <w:rtl/>
          <w:lang w:bidi="fa-IR"/>
        </w:rPr>
        <w:t xml:space="preserve"> </w:t>
      </w:r>
      <w:r w:rsidRPr="00A91B96">
        <w:rPr>
          <w:rStyle w:val="libFootnotenumChar"/>
          <w:rtl/>
        </w:rPr>
        <w:t>(2)</w:t>
      </w:r>
    </w:p>
    <w:p w:rsidR="00992664" w:rsidRPr="00020424" w:rsidRDefault="00992664" w:rsidP="00992664">
      <w:pPr>
        <w:pStyle w:val="libNormal"/>
        <w:rPr>
          <w:rtl/>
          <w:lang w:bidi="fa-IR"/>
        </w:rPr>
      </w:pPr>
      <w:r w:rsidRPr="00DA012C">
        <w:rPr>
          <w:rtl/>
        </w:rPr>
        <w:t>6500</w:t>
      </w:r>
      <w:r w:rsidRPr="001155DE">
        <w:rPr>
          <w:rStyle w:val="libBold2Char"/>
          <w:rtl/>
        </w:rPr>
        <w:t xml:space="preserve"> / 5.</w:t>
      </w:r>
      <w:r w:rsidRPr="00020424">
        <w:rPr>
          <w:rtl/>
          <w:lang w:bidi="fa-IR"/>
        </w:rPr>
        <w:t xml:space="preserve"> أَبُو عَلِيٍّ الْأَشْعَرِيُّ ، عَنْ مُحَمَّدِ بْنِ عَبْدِ الْجَبَّارِ ، عَنْ صَفْوَانَ بْنِ يَحْيى ، عَنْ عِيصِ بْنِ الْقَاسِمِ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خَرَجَ الرَّجُلُ فِي شَهْرِ رَمَضَانَ مُسَافِراً ، أَفْطَرَ</w:t>
      </w:r>
      <w:r>
        <w:rPr>
          <w:rtl/>
          <w:lang w:bidi="fa-IR"/>
        </w:rPr>
        <w:t xml:space="preserve"> ».</w:t>
      </w:r>
    </w:p>
    <w:p w:rsidR="00992664" w:rsidRPr="00020424" w:rsidRDefault="00992664" w:rsidP="00992664">
      <w:pPr>
        <w:pStyle w:val="libNormal"/>
        <w:rPr>
          <w:rtl/>
          <w:lang w:bidi="fa-IR"/>
        </w:rPr>
      </w:pPr>
      <w:r w:rsidRPr="00020424">
        <w:rPr>
          <w:rtl/>
          <w:lang w:bidi="fa-IR"/>
        </w:rPr>
        <w:t xml:space="preserve">وَقَالَ : « إِنَّ رَسُولَ اللهِ </w:t>
      </w:r>
      <w:r w:rsidR="00B42914" w:rsidRPr="00B42914">
        <w:rPr>
          <w:rStyle w:val="libAlaemChar"/>
          <w:rtl/>
        </w:rPr>
        <w:t>صلى‌الله‌عليه‌وآله‌</w:t>
      </w:r>
      <w:r w:rsidRPr="00020424">
        <w:rPr>
          <w:rtl/>
          <w:lang w:bidi="fa-IR"/>
        </w:rPr>
        <w:t xml:space="preserve"> خَرَجَ مِنَ الْمَدِينَةِ إِلى مَكَّةَ فِي شَهْرِ رَمَضَانَ ، وَمَعَهُ </w:t>
      </w:r>
      <w:r w:rsidRPr="00A91B96">
        <w:rPr>
          <w:rStyle w:val="libFootnotenumChar"/>
          <w:rtl/>
        </w:rPr>
        <w:t>(3)</w:t>
      </w:r>
      <w:r w:rsidRPr="00020424">
        <w:rPr>
          <w:rtl/>
          <w:lang w:bidi="fa-IR"/>
        </w:rPr>
        <w:t xml:space="preserve"> النَّاسُ ، وَفِيهِمُ الْمُشَاةُ ، فَلَمَّا انْتَهى إِلى كُرَاعِ الْغَمِيمِ </w:t>
      </w:r>
      <w:r w:rsidRPr="00A91B96">
        <w:rPr>
          <w:rStyle w:val="libFootnotenumChar"/>
          <w:rtl/>
        </w:rPr>
        <w:t>(4)</w:t>
      </w:r>
      <w:r w:rsidRPr="00020424">
        <w:rPr>
          <w:rtl/>
          <w:lang w:bidi="fa-IR"/>
        </w:rPr>
        <w:t xml:space="preserve"> ، دَعَا بِقَدَحٍ مِنْ مَاءٍ فِيمَا بَيْنَ الظُّهْرِ وَالْعَصْرِ ، فَشَرِبَ </w:t>
      </w:r>
      <w:r w:rsidRPr="00A91B96">
        <w:rPr>
          <w:rStyle w:val="libFootnotenumChar"/>
          <w:rtl/>
        </w:rPr>
        <w:t>(5)</w:t>
      </w:r>
      <w:r w:rsidRPr="00020424">
        <w:rPr>
          <w:rtl/>
          <w:lang w:bidi="fa-IR"/>
        </w:rPr>
        <w:t xml:space="preserve"> وَأَفْطَرَ ، ثُمَّ </w:t>
      </w:r>
      <w:r w:rsidRPr="00A91B96">
        <w:rPr>
          <w:rStyle w:val="libFootnotenumChar"/>
          <w:rtl/>
        </w:rPr>
        <w:t>(6)</w:t>
      </w:r>
      <w:r w:rsidRPr="00020424">
        <w:rPr>
          <w:rtl/>
          <w:lang w:bidi="fa-IR"/>
        </w:rPr>
        <w:t xml:space="preserve"> أَفْطَرَ </w:t>
      </w:r>
      <w:r w:rsidRPr="00A91B96">
        <w:rPr>
          <w:rStyle w:val="libFootnotenumChar"/>
          <w:rtl/>
        </w:rPr>
        <w:t>(7)</w:t>
      </w:r>
      <w:r w:rsidRPr="00020424">
        <w:rPr>
          <w:rtl/>
          <w:lang w:bidi="fa-IR"/>
        </w:rPr>
        <w:t xml:space="preserve"> النَّاسُ مَعَهُ ، وَثَمَّ </w:t>
      </w:r>
      <w:r w:rsidRPr="00A91B96">
        <w:rPr>
          <w:rStyle w:val="libFootnotenumChar"/>
          <w:rtl/>
        </w:rPr>
        <w:t>(8)</w:t>
      </w:r>
      <w:r w:rsidRPr="00020424">
        <w:rPr>
          <w:rtl/>
          <w:lang w:bidi="fa-IR"/>
        </w:rPr>
        <w:t xml:space="preserve"> أُنَاسٌ </w:t>
      </w:r>
      <w:r w:rsidRPr="00A91B96">
        <w:rPr>
          <w:rStyle w:val="libFootnotenumChar"/>
          <w:rtl/>
        </w:rPr>
        <w:t>(9)</w:t>
      </w:r>
      <w:r w:rsidRPr="00020424">
        <w:rPr>
          <w:rtl/>
          <w:lang w:bidi="fa-IR"/>
        </w:rPr>
        <w:t xml:space="preserve"> عَلى صَوْمِهِمْ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بس » وحاشية « بث ، بح » </w:t>
      </w:r>
      <w:r w:rsidR="00992664" w:rsidRPr="00EB1FD9">
        <w:rPr>
          <w:rStyle w:val="libFootnoteBoldChar"/>
          <w:rtl/>
        </w:rPr>
        <w:t>والوسائل</w:t>
      </w:r>
      <w:r w:rsidR="00992664" w:rsidRPr="00020424">
        <w:rPr>
          <w:rtl/>
        </w:rPr>
        <w:t xml:space="preserve"> ، ح 13146 </w:t>
      </w:r>
      <w:r w:rsidR="00992664" w:rsidRPr="00FD6221">
        <w:rPr>
          <w:rStyle w:val="libFootnoteBoldChar"/>
          <w:rtl/>
        </w:rPr>
        <w:t>والفقيه</w:t>
      </w:r>
      <w:r w:rsidR="00992664" w:rsidRPr="00020424">
        <w:rPr>
          <w:rtl/>
        </w:rPr>
        <w:t xml:space="preserve"> : « النعيم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141 ، ح 1978 ، معلّقاً عن أبان بن تغلب. وفي </w:t>
      </w:r>
      <w:r w:rsidR="00992664" w:rsidRPr="00DE76B9">
        <w:rPr>
          <w:rStyle w:val="libFootnoteBoldChar"/>
          <w:rtl/>
        </w:rPr>
        <w:t>الكافي</w:t>
      </w:r>
      <w:r w:rsidR="00992664" w:rsidRPr="00020424">
        <w:rPr>
          <w:rtl/>
        </w:rPr>
        <w:t xml:space="preserve"> ، كتاب الإيمان والكفر ، باب المؤمن وعلاماته وصفاته ، ح 2310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10 ، المجلس 3 ، ح 4 ؛ </w:t>
      </w:r>
      <w:r w:rsidR="00992664" w:rsidRPr="00FD6221">
        <w:rPr>
          <w:rStyle w:val="libFootnoteBoldChar"/>
          <w:rtl/>
        </w:rPr>
        <w:t>والخصال</w:t>
      </w:r>
      <w:r w:rsidR="00992664" w:rsidRPr="00020424">
        <w:rPr>
          <w:rtl/>
        </w:rPr>
        <w:t xml:space="preserve"> ، ص 317 ، باب الخمسة ، ح 99 ؛ و</w:t>
      </w:r>
      <w:r w:rsidR="00992664" w:rsidRPr="00DE76B9">
        <w:rPr>
          <w:rStyle w:val="libFootnoteBoldChar"/>
          <w:rtl/>
        </w:rPr>
        <w:t>صفات الشيعة</w:t>
      </w:r>
      <w:r w:rsidR="00992664" w:rsidRPr="00020424">
        <w:rPr>
          <w:rtl/>
        </w:rPr>
        <w:t xml:space="preserve"> ، ص 45 ، ح 64 ، بسند آخر ، إلى قوله : « وإذا أساءوا استغفروا » مع زيادة في آخره. </w:t>
      </w:r>
      <w:r w:rsidR="00992664" w:rsidRPr="0012008A">
        <w:rPr>
          <w:rStyle w:val="libFootnoteBoldChar"/>
          <w:rtl/>
        </w:rPr>
        <w:t>ثواب الأعمال</w:t>
      </w:r>
      <w:r w:rsidR="00992664" w:rsidRPr="00020424">
        <w:rPr>
          <w:rtl/>
        </w:rPr>
        <w:t xml:space="preserve"> ، ص 58 ، ح 1 ، بسند آخر عن عليّ بن أبي طالب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إلى قوله : « إذا سافروا أفطروا وقصّروا</w:t>
      </w:r>
      <w:r w:rsidR="00992664">
        <w:rPr>
          <w:rtl/>
        </w:rPr>
        <w:t xml:space="preserve"> ».</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354 ، إلى قوله : « إذا ساؤوا استغفروا » مع زيادة في آخره ، وفي كلّ المصادر</w:t>
      </w:r>
      <w:r w:rsidR="00992664">
        <w:rPr>
          <w:rtl/>
        </w:rPr>
        <w:t xml:space="preserve"> </w:t>
      </w:r>
      <w:r w:rsidR="009B673F">
        <w:rPr>
          <w:rtl/>
        </w:rPr>
        <w:t>-</w:t>
      </w:r>
      <w:r w:rsidR="00992664">
        <w:rPr>
          <w:rtl/>
        </w:rPr>
        <w:t xml:space="preserve"> </w:t>
      </w:r>
      <w:r w:rsidR="004A0BA3">
        <w:rPr>
          <w:rtl/>
        </w:rPr>
        <w:t>إل</w:t>
      </w:r>
      <w:r w:rsidR="004A0BA3">
        <w:rPr>
          <w:rFonts w:hint="cs"/>
          <w:rtl/>
        </w:rPr>
        <w:t>ّ</w:t>
      </w:r>
      <w:r w:rsidR="004A0BA3">
        <w:rPr>
          <w:rtl/>
        </w:rPr>
        <w:t>ا</w:t>
      </w:r>
      <w:r w:rsidR="00992664">
        <w:rPr>
          <w:rFonts w:hint="cs"/>
          <w:rtl/>
        </w:rPr>
        <w:t xml:space="preserve"> </w:t>
      </w:r>
      <w:r w:rsidR="00992664" w:rsidRPr="0012008A">
        <w:rPr>
          <w:rStyle w:val="libFootnoteBoldChar"/>
          <w:rtl/>
        </w:rPr>
        <w:t>الفقيه</w:t>
      </w:r>
      <w:r w:rsidR="00992664">
        <w:rPr>
          <w:rtl/>
        </w:rPr>
        <w:t xml:space="preserve"> </w:t>
      </w:r>
      <w:r w:rsidR="009B673F">
        <w:rPr>
          <w:rtl/>
        </w:rPr>
        <w:t>-</w:t>
      </w:r>
      <w:r w:rsidR="00992664">
        <w:rPr>
          <w:rtl/>
        </w:rPr>
        <w:t xml:space="preserve"> </w:t>
      </w:r>
      <w:r w:rsidR="00992664" w:rsidRPr="00020424">
        <w:rPr>
          <w:rtl/>
        </w:rPr>
        <w:t xml:space="preserve">مع اختلاف يسير </w:t>
      </w:r>
      <w:r w:rsidR="004A0BA3">
        <w:rPr>
          <w:rFonts w:hint="cs"/>
          <w:rtl/>
        </w:rPr>
        <w:t>.</w:t>
      </w:r>
      <w:r w:rsidR="00992664" w:rsidRPr="0012008A">
        <w:rPr>
          <w:rStyle w:val="libFootnoteBoldChar"/>
          <w:rtl/>
        </w:rPr>
        <w:t>الوافي</w:t>
      </w:r>
      <w:r w:rsidR="00992664" w:rsidRPr="00020424">
        <w:rPr>
          <w:rtl/>
        </w:rPr>
        <w:t xml:space="preserve"> ، ج 11 ، ص 92 ، ح 10474 ؛ </w:t>
      </w:r>
      <w:r w:rsidR="00992664" w:rsidRPr="0012008A">
        <w:rPr>
          <w:rStyle w:val="libFootnoteBoldChar"/>
          <w:rtl/>
        </w:rPr>
        <w:t>الوسائل</w:t>
      </w:r>
      <w:r w:rsidR="00992664" w:rsidRPr="00020424">
        <w:rPr>
          <w:rtl/>
        </w:rPr>
        <w:t xml:space="preserve"> ، ج 10 ، ص 175 ، ح 13146 ؛ </w:t>
      </w:r>
      <w:r w:rsidR="00992664" w:rsidRPr="00DE76B9">
        <w:rPr>
          <w:rStyle w:val="libFootnoteBoldChar"/>
          <w:rtl/>
        </w:rPr>
        <w:t>وفيه</w:t>
      </w:r>
      <w:r w:rsidR="00992664" w:rsidRPr="00020424">
        <w:rPr>
          <w:rtl/>
        </w:rPr>
        <w:t xml:space="preserve"> ، ج 8 ، ص 519 ، ح 11331 ، إلى قوله : « إذا سافروا أفطروا وقصّروا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 « ومنعه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قال الحموي : « كراع الغميم : موضع بناحية الحجاز بين مكّة والمدينة ، وهو واد أمام عسفان بثمانية أميال وهذا الكراع جبل أسود في طرف الحرّة يمتدّ إليه</w:t>
      </w:r>
      <w:r w:rsidR="00992664">
        <w:rPr>
          <w:rtl/>
        </w:rPr>
        <w:t xml:space="preserve"> ».</w:t>
      </w:r>
      <w:r w:rsidR="00992664" w:rsidRPr="00020424">
        <w:rPr>
          <w:rtl/>
        </w:rPr>
        <w:t xml:space="preserve"> وقال ابن الأثير : « هو اسم موضع بين مكّة والمدينة. والكراع : جانب مستطيل من الحرّة تشبيهاً بالكراع ، وهو مادون الركبة من الساق. والغميم بالفتح : واد بالحجاز</w:t>
      </w:r>
      <w:r w:rsidR="00992664">
        <w:rPr>
          <w:rtl/>
        </w:rPr>
        <w:t xml:space="preserve"> ».</w:t>
      </w:r>
      <w:r w:rsidR="00992664" w:rsidRPr="00020424">
        <w:rPr>
          <w:rtl/>
        </w:rPr>
        <w:t xml:space="preserve"> راجع : </w:t>
      </w:r>
      <w:r w:rsidR="00992664" w:rsidRPr="00DE76B9">
        <w:rPr>
          <w:rStyle w:val="libFootnoteBoldChar"/>
          <w:rtl/>
        </w:rPr>
        <w:t>معجم البلدان</w:t>
      </w:r>
      <w:r w:rsidR="00992664" w:rsidRPr="00020424">
        <w:rPr>
          <w:rtl/>
        </w:rPr>
        <w:t xml:space="preserve"> ، ج 4 ، ص 247 ؛ </w:t>
      </w:r>
      <w:r w:rsidR="00992664" w:rsidRPr="0012008A">
        <w:rPr>
          <w:rStyle w:val="libFootnoteBoldChar"/>
          <w:rtl/>
        </w:rPr>
        <w:t>النهاية</w:t>
      </w:r>
      <w:r w:rsidR="00992664" w:rsidRPr="00020424">
        <w:rPr>
          <w:rtl/>
        </w:rPr>
        <w:t xml:space="preserve"> ، ج 4 ، ص 165 ( كرع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بث ، بح ، بس ، جن » </w:t>
      </w:r>
      <w:r w:rsidR="00992664" w:rsidRPr="00EB1FD9">
        <w:rPr>
          <w:rStyle w:val="libFootnoteBoldChar"/>
          <w:rtl/>
        </w:rPr>
        <w:t>والوسائل</w:t>
      </w:r>
      <w:r w:rsidR="00992664" w:rsidRPr="00020424">
        <w:rPr>
          <w:rtl/>
        </w:rPr>
        <w:t xml:space="preserve"> : « فشربه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أفطر ثمّ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وأفطر » بدل « ثمّ أفطر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بح ، بس ، جت ، جن » </w:t>
      </w:r>
      <w:r w:rsidR="00992664" w:rsidRPr="00FD6221">
        <w:rPr>
          <w:rStyle w:val="libFootnoteBoldChar"/>
          <w:rtl/>
        </w:rPr>
        <w:t>والفقيه</w:t>
      </w:r>
      <w:r w:rsidR="00992664" w:rsidRPr="00020424">
        <w:rPr>
          <w:rtl/>
        </w:rPr>
        <w:t xml:space="preserve"> : « وتمّ</w:t>
      </w:r>
      <w:r w:rsidR="00992664">
        <w:rPr>
          <w:rtl/>
        </w:rPr>
        <w:t xml:space="preserve"> ».</w:t>
      </w:r>
      <w:r w:rsidR="00992664" w:rsidRPr="00020424">
        <w:rPr>
          <w:rtl/>
        </w:rPr>
        <w:t xml:space="preserve"> وفي « بث ، بخ ، بر ، بف » </w:t>
      </w:r>
      <w:r w:rsidR="00992664" w:rsidRPr="00515444">
        <w:rPr>
          <w:rStyle w:val="libFootnoteBoldChar"/>
          <w:rtl/>
        </w:rPr>
        <w:t>والوافي</w:t>
      </w:r>
      <w:r w:rsidR="00992664" w:rsidRPr="00020424">
        <w:rPr>
          <w:rtl/>
        </w:rPr>
        <w:t xml:space="preserve"> : « وأتمّ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بث ، بح ، بر ، بس ، بف ، جت ، جن » </w:t>
      </w:r>
      <w:r w:rsidR="00992664" w:rsidRPr="00515444">
        <w:rPr>
          <w:rStyle w:val="libFootnoteBoldChar"/>
          <w:rtl/>
        </w:rPr>
        <w:t>والوافي</w:t>
      </w:r>
      <w:r w:rsidR="00992664" w:rsidRPr="00020424">
        <w:rPr>
          <w:rtl/>
        </w:rPr>
        <w:t xml:space="preserve"> : « ناس</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فَسَمَّاهُمُ الْعُصَاةَ ، وَإِنَّمَا يُؤْخَذُ </w:t>
      </w:r>
      <w:r w:rsidRPr="00A91B96">
        <w:rPr>
          <w:rStyle w:val="libFootnotenumChar"/>
          <w:rtl/>
        </w:rPr>
        <w:t>(1)</w:t>
      </w:r>
      <w:r w:rsidRPr="00020424">
        <w:rPr>
          <w:rtl/>
          <w:lang w:bidi="fa-IR"/>
        </w:rPr>
        <w:t xml:space="preserve"> بِآخِرِ أَمْرِ رَسُولِ اللهِ </w:t>
      </w:r>
      <w:r w:rsidR="00B42914" w:rsidRPr="00B42914">
        <w:rPr>
          <w:rStyle w:val="libAlaemChar"/>
          <w:rtl/>
        </w:rPr>
        <w:t>صلى‌الله‌عليه‌وآله‌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DA012C">
        <w:rPr>
          <w:rtl/>
        </w:rPr>
        <w:t>6501</w:t>
      </w:r>
      <w:r w:rsidRPr="001155DE">
        <w:rPr>
          <w:rStyle w:val="libBold2Char"/>
          <w:rtl/>
        </w:rPr>
        <w:t xml:space="preserve"> / 6.</w:t>
      </w:r>
      <w:r w:rsidRPr="00020424">
        <w:rPr>
          <w:rtl/>
          <w:lang w:bidi="fa-IR"/>
        </w:rPr>
        <w:t xml:space="preserve"> عَلِيُّ بْنُ إِبْرَاهِيمَ ، عَنْ أَبِيهِ ، عَنْ حَمَّادٍ ، عَنْ حَرِيزٍ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سَمّى رَسُولُ اللهِ </w:t>
      </w:r>
      <w:r w:rsidR="00B42914" w:rsidRPr="00B42914">
        <w:rPr>
          <w:rStyle w:val="libAlaemChar"/>
          <w:rtl/>
        </w:rPr>
        <w:t>صلى‌الله‌عليه‌وآله‌</w:t>
      </w:r>
      <w:r w:rsidRPr="00020424">
        <w:rPr>
          <w:rtl/>
          <w:lang w:bidi="fa-IR"/>
        </w:rPr>
        <w:t xml:space="preserve"> قَوْماً صَامُوا حِينَ أَفْطَرَ وَقَصَّرَ عُصَاةً ، وَقَالَ : هُمُ الْعُصَاةُ إِلى يَوْمِ الْقِيَامَةِ ، وَإِنَّا لَنَعْرِفُ أَبْنَاءَهُمْ </w:t>
      </w:r>
      <w:r w:rsidRPr="00A91B96">
        <w:rPr>
          <w:rStyle w:val="libFootnotenumChar"/>
          <w:rtl/>
        </w:rPr>
        <w:t>(3)</w:t>
      </w:r>
      <w:r w:rsidRPr="00020424">
        <w:rPr>
          <w:rtl/>
          <w:lang w:bidi="fa-IR"/>
        </w:rPr>
        <w:t xml:space="preserve"> وَأَبْنَاءَ أَبْنَائِهِمْ إِلى يَوْمِنَا هذَا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DA012C">
        <w:rPr>
          <w:rtl/>
        </w:rPr>
        <w:t>6502</w:t>
      </w:r>
      <w:r w:rsidRPr="001155DE">
        <w:rPr>
          <w:rStyle w:val="libBold2Char"/>
          <w:rtl/>
        </w:rPr>
        <w:t xml:space="preserve"> / 7.</w:t>
      </w:r>
      <w:r w:rsidRPr="00020424">
        <w:rPr>
          <w:rtl/>
          <w:lang w:bidi="fa-IR"/>
        </w:rPr>
        <w:t xml:space="preserve"> مُحَمَّدُ بْنُ يَحْيى ، عَنْ سَلَمَةَ بْنِ الْخَطَّابِ ، عَنْ سُلَيْمَانَ بْنِ سَمَاعَةَ ، عَنْ عَلِيِّ بْنِ إِسْمَاعِيلَ ، عَنْ مُحَمَّدِ بْنِ حَكِيمٍ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لَوْ أَنَّ رَجُلاً مَاتَ صَائِماً فِي السَّفَرِ ، مَا صَلَّيْتُ عَلَيْهِ </w:t>
      </w:r>
      <w:r w:rsidRPr="00A91B96">
        <w:rPr>
          <w:rStyle w:val="libFootnotenumChar"/>
          <w:rtl/>
        </w:rPr>
        <w:t>(5)</w:t>
      </w:r>
      <w:r>
        <w:rPr>
          <w:rtl/>
          <w:lang w:bidi="fa-IR"/>
        </w:rPr>
        <w:t>».</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450" w:name="_Toc345172866"/>
      <w:bookmarkStart w:id="451" w:name="_Toc464562682"/>
      <w:bookmarkStart w:id="452" w:name="_Toc44599987"/>
      <w:r w:rsidRPr="00020424">
        <w:rPr>
          <w:rtl/>
          <w:lang w:bidi="fa-IR"/>
        </w:rPr>
        <w:t>49</w:t>
      </w:r>
      <w:r>
        <w:rPr>
          <w:rtl/>
          <w:lang w:bidi="fa-IR"/>
        </w:rPr>
        <w:t xml:space="preserve"> </w:t>
      </w:r>
      <w:r w:rsidR="009B673F">
        <w:rPr>
          <w:rtl/>
          <w:lang w:bidi="fa-IR"/>
        </w:rPr>
        <w:t>-</w:t>
      </w:r>
      <w:r>
        <w:rPr>
          <w:rtl/>
          <w:lang w:bidi="fa-IR"/>
        </w:rPr>
        <w:t xml:space="preserve"> </w:t>
      </w:r>
      <w:r w:rsidRPr="00020424">
        <w:rPr>
          <w:rtl/>
          <w:lang w:bidi="fa-IR"/>
        </w:rPr>
        <w:t>بَابُ مَنْ صَامَ فِي السَّفَرِ بِجَهَالَةٍ‌</w:t>
      </w:r>
      <w:bookmarkEnd w:id="450"/>
      <w:bookmarkEnd w:id="451"/>
      <w:bookmarkEnd w:id="452"/>
    </w:p>
    <w:p w:rsidR="00992664" w:rsidRPr="00020424" w:rsidRDefault="00992664" w:rsidP="00992664">
      <w:pPr>
        <w:pStyle w:val="libNormal"/>
        <w:rPr>
          <w:rtl/>
          <w:lang w:bidi="fa-IR"/>
        </w:rPr>
      </w:pPr>
      <w:r w:rsidRPr="00DA012C">
        <w:rPr>
          <w:rtl/>
        </w:rPr>
        <w:t>6503</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وإنّما يؤخذ ، لعلّه لرفع توهّم عدم كونهم عصاة ؛ لأنّهم إنّما صاموا بما أمر به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سابقاً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141 ، ح 1977 ، معلّقاً عن عيص بن القاسم </w:t>
      </w:r>
      <w:r w:rsidR="00C41567">
        <w:rPr>
          <w:rFonts w:hint="cs"/>
          <w:rtl/>
        </w:rPr>
        <w:t>.</w:t>
      </w:r>
      <w:r w:rsidR="00992664" w:rsidRPr="0012008A">
        <w:rPr>
          <w:rStyle w:val="libFootnoteBoldChar"/>
          <w:rtl/>
        </w:rPr>
        <w:t>الوافي</w:t>
      </w:r>
      <w:r w:rsidR="00992664" w:rsidRPr="00020424">
        <w:rPr>
          <w:rtl/>
        </w:rPr>
        <w:t xml:space="preserve"> ، ج 11 ، ص 93 ، ح 10475 ؛ </w:t>
      </w:r>
      <w:r w:rsidR="00992664" w:rsidRPr="0012008A">
        <w:rPr>
          <w:rStyle w:val="libFootnoteBoldChar"/>
          <w:rtl/>
        </w:rPr>
        <w:t>الوسائل</w:t>
      </w:r>
      <w:r w:rsidR="00992664" w:rsidRPr="00020424">
        <w:rPr>
          <w:rtl/>
        </w:rPr>
        <w:t xml:space="preserve"> ، ج 10 ، ص 176 ، ح 13147.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وإنّا لنعرف ، أي أبناؤهم أيضاً عصاة يتّبعون آباءهم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217 ، ح 631 ، معلّقاً عن الكليني. </w:t>
      </w:r>
      <w:r w:rsidR="00992664" w:rsidRPr="0012008A">
        <w:rPr>
          <w:rStyle w:val="libFootnoteBoldChar"/>
          <w:rtl/>
        </w:rPr>
        <w:t>الفقيه</w:t>
      </w:r>
      <w:r w:rsidR="00992664" w:rsidRPr="00020424">
        <w:rPr>
          <w:rtl/>
        </w:rPr>
        <w:t xml:space="preserve"> ، ج 2 ، ص 141 ، ح 1976 ، معلّقاً عن حريز. </w:t>
      </w:r>
      <w:r w:rsidR="00992664" w:rsidRPr="0012008A">
        <w:rPr>
          <w:rStyle w:val="libFootnoteBoldChar"/>
          <w:rtl/>
        </w:rPr>
        <w:t>الفقيه</w:t>
      </w:r>
      <w:r w:rsidR="00992664" w:rsidRPr="00020424">
        <w:rPr>
          <w:rtl/>
        </w:rPr>
        <w:t xml:space="preserve"> ، ج 1 ، ص 434 ، ذيل ح 1265 ، معلّقاً عن زرارة ومحمّد بن مسلم ،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الوافي</w:t>
      </w:r>
      <w:r w:rsidR="00992664" w:rsidRPr="00020424">
        <w:rPr>
          <w:rtl/>
        </w:rPr>
        <w:t xml:space="preserve"> ، ج 11 ، ص 93 ، ح 10476 ؛ </w:t>
      </w:r>
      <w:r w:rsidR="00992664" w:rsidRPr="0012008A">
        <w:rPr>
          <w:rStyle w:val="libFootnoteBoldChar"/>
          <w:rtl/>
        </w:rPr>
        <w:t>الوسائل</w:t>
      </w:r>
      <w:r w:rsidR="00992664" w:rsidRPr="00020424">
        <w:rPr>
          <w:rtl/>
        </w:rPr>
        <w:t xml:space="preserve"> ، ج 8 ، ص 518 ، ح 11330 ؛ وج 10 ، ص 174 ، ح 13143.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ما صلّيت عليه ، يمكن أن يكون من خصائصهم </w:t>
      </w:r>
      <w:r w:rsidR="00992664" w:rsidRPr="00D64ADA">
        <w:rPr>
          <w:rStyle w:val="libFootnoteAlaemChar"/>
          <w:rtl/>
        </w:rPr>
        <w:t>عليهم‌السلام</w:t>
      </w:r>
      <w:r w:rsidR="00992664" w:rsidRPr="00020424">
        <w:rPr>
          <w:rtl/>
        </w:rPr>
        <w:t xml:space="preserve"> عدم جواز الصلاة على بعض أصحاب الكبائر ، أو رجحان تركها للتأديب ، أو غيره ، أو يكون المراد من كان ناصباً أو مخالفاً يعتقد الجواز لذلك ، أو يكون محمولاً على عدم تأكّد الصلاة عليه إذا صلّى عليه غيرهم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217 ، ح 629 ، معلّقاً عن الكليني. </w:t>
      </w:r>
      <w:r w:rsidR="00992664" w:rsidRPr="0012008A">
        <w:rPr>
          <w:rStyle w:val="libFootnoteBoldChar"/>
          <w:rtl/>
        </w:rPr>
        <w:t>الفقيه</w:t>
      </w:r>
      <w:r w:rsidR="00992664" w:rsidRPr="00020424">
        <w:rPr>
          <w:rtl/>
        </w:rPr>
        <w:t xml:space="preserve"> ، ج 2 ، ص 141 ، ح 1975 ، معلّقاً عن محمّد بن حكيم </w:t>
      </w:r>
      <w:r w:rsidR="0056573C">
        <w:rPr>
          <w:rFonts w:hint="cs"/>
          <w:rtl/>
        </w:rPr>
        <w:t>.</w:t>
      </w:r>
      <w:r w:rsidR="00992664" w:rsidRPr="0012008A">
        <w:rPr>
          <w:rStyle w:val="libFootnoteBoldChar"/>
          <w:rtl/>
        </w:rPr>
        <w:t>الوافي</w:t>
      </w:r>
      <w:r w:rsidR="00992664" w:rsidRPr="00020424">
        <w:rPr>
          <w:rtl/>
        </w:rPr>
        <w:t xml:space="preserve"> ، ج 11 ، ص 94 ، ح 10477 ؛ </w:t>
      </w:r>
      <w:r w:rsidR="00992664" w:rsidRPr="0012008A">
        <w:rPr>
          <w:rStyle w:val="libFootnoteBoldChar"/>
          <w:rtl/>
        </w:rPr>
        <w:t>الوسائل</w:t>
      </w:r>
      <w:r w:rsidR="00992664" w:rsidRPr="00020424">
        <w:rPr>
          <w:rtl/>
        </w:rPr>
        <w:t xml:space="preserve"> ، ج 10 ، ص 177 ، ح 13149.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رَجُلٌ صَامَ فِي السَّفَرِ.</w:t>
      </w:r>
    </w:p>
    <w:p w:rsidR="00992664" w:rsidRPr="00020424" w:rsidRDefault="00992664" w:rsidP="00992664">
      <w:pPr>
        <w:pStyle w:val="libNormal"/>
        <w:rPr>
          <w:rtl/>
          <w:lang w:bidi="fa-IR"/>
        </w:rPr>
      </w:pPr>
      <w:r w:rsidRPr="00020424">
        <w:rPr>
          <w:rtl/>
          <w:lang w:bidi="fa-IR"/>
        </w:rPr>
        <w:t xml:space="preserve">فَقَالَ : « إِنْ كَانَ بَلَغَهُ أَنَّ رَسُولَ اللهِ </w:t>
      </w:r>
      <w:r w:rsidR="00B42914" w:rsidRPr="00B42914">
        <w:rPr>
          <w:rStyle w:val="libAlaemChar"/>
          <w:rtl/>
        </w:rPr>
        <w:t>صلى‌الله‌عليه‌وآله‌</w:t>
      </w:r>
      <w:r w:rsidRPr="00020424">
        <w:rPr>
          <w:rtl/>
          <w:lang w:bidi="fa-IR"/>
        </w:rPr>
        <w:t xml:space="preserve"> نَهى عَنْ ذلِكَ ، فَعَلَيْهِ الْقَضَاءُ ، وَإِنْ لَمْ يَكُنْ بَلَغَهُ ، فَلَا شَيْ‌ءَ عَلَيْهِ</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DA012C">
        <w:rPr>
          <w:rtl/>
        </w:rPr>
        <w:t>6504</w:t>
      </w:r>
      <w:r w:rsidRPr="001155DE">
        <w:rPr>
          <w:rStyle w:val="libBold2Char"/>
          <w:rtl/>
        </w:rPr>
        <w:t xml:space="preserve"> / 2.</w:t>
      </w:r>
      <w:r w:rsidRPr="00020424">
        <w:rPr>
          <w:rtl/>
          <w:lang w:bidi="fa-IR"/>
        </w:rPr>
        <w:t xml:space="preserve"> أَبُو عَلِيٍّ الْأَشْعَرِيُّ ، عَنْ مُحَمَّدِ بْنِ عَبْدِ الْجَبَّارِ ، عَنْ صَفْوَانَ بْنِ يَحْيى ، عَنْ عِيصِ بْنِ الْقَاسِمِ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مَنْ صَامَ فِي السَّفَرِ بِجَهَالَةٍ ، لَمْ يَقْضِهِ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DA012C">
        <w:rPr>
          <w:rtl/>
        </w:rPr>
        <w:t>6505</w:t>
      </w:r>
      <w:r w:rsidRPr="001155DE">
        <w:rPr>
          <w:rStyle w:val="libBold2Char"/>
          <w:rtl/>
        </w:rPr>
        <w:t xml:space="preserve"> / 3.</w:t>
      </w:r>
      <w:r w:rsidRPr="00020424">
        <w:rPr>
          <w:rtl/>
          <w:lang w:bidi="fa-IR"/>
        </w:rPr>
        <w:t xml:space="preserve"> صَفْوَانُ بْنُ يَحْيى </w:t>
      </w:r>
      <w:r w:rsidRPr="00A91B96">
        <w:rPr>
          <w:rStyle w:val="libFootnotenumChar"/>
          <w:rtl/>
        </w:rPr>
        <w:t>(3)</w:t>
      </w:r>
      <w:r w:rsidRPr="00020424">
        <w:rPr>
          <w:rtl/>
          <w:lang w:bidi="fa-IR"/>
        </w:rPr>
        <w:t xml:space="preserve"> ، عَنْ عَبْدِ اللهِ بْنِ مُسْكَانَ ، عَنْ لَيْثٍ الْمُرَادِيِّ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سَافَرَ الرَّجُلُ فِي شَهْرِ رَمَضَانَ أَفْطَرَ ، وَإِنْ صَامَهُ بِجَهَالَةٍ لَمْ يَقْضِهِ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453" w:name="_Toc345172867"/>
      <w:bookmarkStart w:id="454" w:name="_Toc464562683"/>
      <w:bookmarkStart w:id="455" w:name="_Toc44599988"/>
      <w:r w:rsidRPr="00020424">
        <w:rPr>
          <w:rtl/>
          <w:lang w:bidi="fa-IR"/>
        </w:rPr>
        <w:t>50</w:t>
      </w:r>
      <w:r>
        <w:rPr>
          <w:rtl/>
          <w:lang w:bidi="fa-IR"/>
        </w:rPr>
        <w:t xml:space="preserve"> </w:t>
      </w:r>
      <w:r w:rsidR="009B673F">
        <w:rPr>
          <w:rtl/>
          <w:lang w:bidi="fa-IR"/>
        </w:rPr>
        <w:t>-</w:t>
      </w:r>
      <w:r>
        <w:rPr>
          <w:rtl/>
          <w:lang w:bidi="fa-IR"/>
        </w:rPr>
        <w:t xml:space="preserve"> </w:t>
      </w:r>
      <w:r w:rsidRPr="00020424">
        <w:rPr>
          <w:rtl/>
          <w:lang w:bidi="fa-IR"/>
        </w:rPr>
        <w:t>بَابُ مَنْ لَايَجِبُ لَهُ الْإِفْطَارُ وَالتَّقْصِيرُ فِي السَّفَرِ وَمَنْ يَجِبُ لَهُ ذلِكَ‌</w:t>
      </w:r>
      <w:bookmarkEnd w:id="453"/>
      <w:bookmarkEnd w:id="454"/>
      <w:bookmarkEnd w:id="455"/>
    </w:p>
    <w:p w:rsidR="0056573C" w:rsidRDefault="00992664" w:rsidP="0056573C">
      <w:pPr>
        <w:pStyle w:val="libNormal"/>
        <w:rPr>
          <w:rtl/>
          <w:lang w:bidi="fa-IR"/>
        </w:rPr>
      </w:pPr>
      <w:r w:rsidRPr="00DA012C">
        <w:rPr>
          <w:rtl/>
        </w:rPr>
        <w:t>6506</w:t>
      </w:r>
      <w:r w:rsidRPr="001155DE">
        <w:rPr>
          <w:rStyle w:val="libBold2Char"/>
          <w:rtl/>
        </w:rPr>
        <w:t xml:space="preserve"> / 1.</w:t>
      </w:r>
      <w:r w:rsidRPr="00020424">
        <w:rPr>
          <w:rtl/>
          <w:lang w:bidi="fa-IR"/>
        </w:rPr>
        <w:t xml:space="preserve"> عَلِيُّ بْنُ إِبْرَاهِيمَ ، عَنْ أَبِيهِ ؛</w:t>
      </w:r>
    </w:p>
    <w:p w:rsidR="00992664" w:rsidRPr="00020424" w:rsidRDefault="0056573C" w:rsidP="0056573C">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هِشَامِ بْنِ الْحَكَمِ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(5)</w:t>
      </w:r>
      <w:r w:rsidRPr="00020424">
        <w:rPr>
          <w:rtl/>
          <w:lang w:bidi="fa-IR"/>
        </w:rPr>
        <w:t xml:space="preserve"> : « الْمُكَارِي وَالْجَمَّالُ الَّذِي يَخْتَلِفُ </w:t>
      </w:r>
      <w:r w:rsidRPr="00A91B96">
        <w:rPr>
          <w:rStyle w:val="libFootnotenumChar"/>
          <w:rtl/>
        </w:rPr>
        <w:t>(6)</w:t>
      </w:r>
      <w:r w:rsidRPr="00020424">
        <w:rPr>
          <w:rtl/>
          <w:lang w:bidi="fa-IR"/>
        </w:rPr>
        <w:t xml:space="preserve"> وَلَيْسَ لَهُ مُقَامٌ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220 ، ح 643 ، معلّقاً عن الكليني. </w:t>
      </w:r>
      <w:r w:rsidR="00992664" w:rsidRPr="0012008A">
        <w:rPr>
          <w:rStyle w:val="libFootnoteBoldChar"/>
          <w:rtl/>
        </w:rPr>
        <w:t>الفقيه</w:t>
      </w:r>
      <w:r w:rsidR="00992664" w:rsidRPr="00020424">
        <w:rPr>
          <w:rtl/>
        </w:rPr>
        <w:t xml:space="preserve"> ، ج 2 ، ص 144 ، ح 1987 ، معلّقاً عن الحلبي. وفي </w:t>
      </w:r>
      <w:r w:rsidR="00992664" w:rsidRPr="0012008A">
        <w:rPr>
          <w:rStyle w:val="libFootnoteBoldChar"/>
          <w:rtl/>
        </w:rPr>
        <w:t>التهذيب</w:t>
      </w:r>
      <w:r w:rsidR="00992664" w:rsidRPr="00020424">
        <w:rPr>
          <w:rtl/>
        </w:rPr>
        <w:t xml:space="preserve"> ، ج 4 ، ص 221 ، ح 644 و646 ؛ وص 328 ، ح 1023 ، بسند آخر ، وفي الأخيرين مع اختلاف يسير </w:t>
      </w:r>
      <w:r w:rsidR="00DD406F">
        <w:rPr>
          <w:rFonts w:hint="cs"/>
          <w:rtl/>
        </w:rPr>
        <w:t>.</w:t>
      </w:r>
      <w:r w:rsidR="00992664" w:rsidRPr="0012008A">
        <w:rPr>
          <w:rStyle w:val="libFootnoteBoldChar"/>
          <w:rtl/>
        </w:rPr>
        <w:t>الوافي</w:t>
      </w:r>
      <w:r w:rsidR="00992664" w:rsidRPr="00020424">
        <w:rPr>
          <w:rtl/>
        </w:rPr>
        <w:t xml:space="preserve"> ، ج 11 ، ص 96 ، ح 10485 ؛ </w:t>
      </w:r>
      <w:r w:rsidR="00992664" w:rsidRPr="0012008A">
        <w:rPr>
          <w:rStyle w:val="libFootnoteBoldChar"/>
          <w:rtl/>
        </w:rPr>
        <w:t>الوسائل</w:t>
      </w:r>
      <w:r w:rsidR="00992664" w:rsidRPr="00020424">
        <w:rPr>
          <w:rtl/>
        </w:rPr>
        <w:t xml:space="preserve"> ، ج 10 ، ص 179 ، ذيل ح 13158.</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97 ، ح 10486 ؛ </w:t>
      </w:r>
      <w:r w:rsidR="00992664" w:rsidRPr="0012008A">
        <w:rPr>
          <w:rStyle w:val="libFootnoteBoldChar"/>
          <w:rtl/>
        </w:rPr>
        <w:t>الوسائل</w:t>
      </w:r>
      <w:r w:rsidR="00992664" w:rsidRPr="00020424">
        <w:rPr>
          <w:rtl/>
        </w:rPr>
        <w:t xml:space="preserve"> ، ج 10 ، ص 180 ، ح 13160.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جر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r w:rsidR="00992664" w:rsidRPr="00020424">
        <w:rPr>
          <w:rtl/>
        </w:rPr>
        <w:t xml:space="preserve"> ثمّ إنّ السند معلّق على سابقه. ويروي عن صفوان بن يحيى ، أبو عليّ الأشعري عن محمّد بن عبد الجبّار.</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97 ، ح 10487 ؛ </w:t>
      </w:r>
      <w:r w:rsidR="00992664" w:rsidRPr="0012008A">
        <w:rPr>
          <w:rStyle w:val="libFootnoteBoldChar"/>
          <w:rtl/>
        </w:rPr>
        <w:t>الوسائل</w:t>
      </w:r>
      <w:r w:rsidR="00992664" w:rsidRPr="00020424">
        <w:rPr>
          <w:rtl/>
        </w:rPr>
        <w:t xml:space="preserve"> ، ج 10 ، ص 180 ، ح 13161.</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634 : + «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الاختلاف : التردّد ؛ يقال : اختلف إلى المكان ، أي تردّد ، أي جاء المرّة بعد الا</w:t>
      </w:r>
      <w:r w:rsidR="00DD406F">
        <w:rPr>
          <w:rFonts w:hint="cs"/>
          <w:rtl/>
        </w:rPr>
        <w:t>ُ</w:t>
      </w:r>
      <w:r w:rsidR="00992664" w:rsidRPr="00020424">
        <w:rPr>
          <w:rtl/>
        </w:rPr>
        <w:t xml:space="preserve">خرى. راجع : </w:t>
      </w:r>
      <w:r w:rsidR="00992664" w:rsidRPr="00DE76B9">
        <w:rPr>
          <w:rStyle w:val="libFootnoteBoldChar"/>
          <w:rtl/>
        </w:rPr>
        <w:t>القاموس</w:t>
      </w:r>
      <w:r w:rsidR="00992664" w:rsidRPr="00020424">
        <w:rPr>
          <w:rtl/>
        </w:rPr>
        <w:t xml:space="preserve"> </w:t>
      </w:r>
      <w:r w:rsidR="00DD406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يُتِمُّ الصَّلَاةَ ، وَيَصُومُ شَهْرَ رَمَضَانَ</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DA012C">
        <w:rPr>
          <w:rtl/>
        </w:rPr>
        <w:t>6507</w:t>
      </w:r>
      <w:r w:rsidRPr="001155DE">
        <w:rPr>
          <w:rStyle w:val="libBold2Char"/>
          <w:rtl/>
        </w:rPr>
        <w:t xml:space="preserve"> / 2.</w:t>
      </w:r>
      <w:r w:rsidRPr="00020424">
        <w:rPr>
          <w:rtl/>
          <w:lang w:bidi="fa-IR"/>
        </w:rPr>
        <w:t xml:space="preserve"> عَلِيُّ بْنُ إِبْرَاهِيمَ </w:t>
      </w:r>
      <w:r w:rsidRPr="00A91B96">
        <w:rPr>
          <w:rStyle w:val="libFootnotenumChar"/>
          <w:rtl/>
        </w:rPr>
        <w:t>(2)</w:t>
      </w:r>
      <w:r w:rsidRPr="00020424">
        <w:rPr>
          <w:rtl/>
          <w:lang w:bidi="fa-IR"/>
        </w:rPr>
        <w:t xml:space="preserve"> ، عَنْ أَبِيهِ ، عَنِ ابْنِ أَبِي عُمَيْرٍ ، عَنْ بَعْضِ أَصْحَابِهِ </w:t>
      </w:r>
      <w:r w:rsidRPr="00A91B96">
        <w:rPr>
          <w:rStyle w:val="libFootnotenumChar"/>
          <w:rtl/>
        </w:rPr>
        <w:t>(3)</w:t>
      </w:r>
      <w:r w:rsidRPr="00020424">
        <w:rPr>
          <w:rtl/>
          <w:lang w:bidi="fa-IR"/>
        </w:rPr>
        <w:t xml:space="preserve"> ، قَالَ :</w:t>
      </w:r>
    </w:p>
    <w:p w:rsidR="00992664" w:rsidRPr="00020424" w:rsidRDefault="00992664" w:rsidP="007339BB">
      <w:pPr>
        <w:pStyle w:val="libNormal"/>
        <w:rPr>
          <w:rtl/>
          <w:lang w:bidi="fa-IR"/>
        </w:rPr>
      </w:pPr>
      <w:r w:rsidRPr="00020424">
        <w:rPr>
          <w:rtl/>
          <w:lang w:bidi="fa-IR"/>
        </w:rPr>
        <w:t>لايُفْطِرُ الرَّ</w:t>
      </w:r>
      <w:r w:rsidR="008C313F">
        <w:rPr>
          <w:rtl/>
          <w:lang w:bidi="fa-IR"/>
        </w:rPr>
        <w:t>جُلُ فِي شَهْرِ رَمَضَانَ إِل</w:t>
      </w:r>
      <w:r w:rsidR="008C313F">
        <w:rPr>
          <w:rFonts w:hint="cs"/>
          <w:rtl/>
          <w:lang w:bidi="fa-IR"/>
        </w:rPr>
        <w:t>َّ</w:t>
      </w:r>
      <w:r w:rsidR="008C313F">
        <w:rPr>
          <w:rtl/>
          <w:lang w:bidi="fa-IR"/>
        </w:rPr>
        <w:t>ا</w:t>
      </w:r>
      <w:r w:rsidRPr="00020424">
        <w:rPr>
          <w:rtl/>
          <w:lang w:bidi="fa-IR"/>
        </w:rPr>
        <w:t xml:space="preserve"> فِي سَبِيلِ حَقٍّ </w:t>
      </w:r>
      <w:r w:rsidRPr="00A91B96">
        <w:rPr>
          <w:rStyle w:val="libFootnotenumChar"/>
          <w:rtl/>
        </w:rPr>
        <w:t>(4)</w:t>
      </w:r>
      <w:r w:rsidR="007339BB">
        <w:rPr>
          <w:rFonts w:hint="cs"/>
          <w:rtl/>
          <w:lang w:bidi="fa-IR"/>
        </w:rPr>
        <w:t>.</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DA012C">
        <w:rPr>
          <w:rtl/>
        </w:rPr>
        <w:t>6508</w:t>
      </w:r>
      <w:r w:rsidRPr="001155DE">
        <w:rPr>
          <w:rStyle w:val="libBold2Char"/>
          <w:rtl/>
        </w:rPr>
        <w:t xml:space="preserve"> / 3.</w:t>
      </w:r>
      <w:r w:rsidRPr="00020424">
        <w:rPr>
          <w:rtl/>
          <w:lang w:bidi="fa-IR"/>
        </w:rPr>
        <w:t xml:space="preserve"> عِدَّةٌ مِنْ أَصْحَابِنَا ، عَنْ سَهْلِ بْنِ زِيَادٍ ، عَنِ الْحَسَنِ </w:t>
      </w:r>
      <w:r w:rsidRPr="00A91B96">
        <w:rPr>
          <w:rStyle w:val="libFootnotenumChar"/>
          <w:rtl/>
        </w:rPr>
        <w:t>(6)</w:t>
      </w:r>
      <w:r w:rsidRPr="00020424">
        <w:rPr>
          <w:rtl/>
          <w:lang w:bidi="fa-IR"/>
        </w:rPr>
        <w:t xml:space="preserve"> بْنِ مَحْبُوبٍ ، عَنْ أَبِي أَيُّوبَ ، عَنْ عَمَّارِ بْنِ مَرْوَانَ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سَمِعْتُهُ يَقُولُ : « مَنْ سَافَرَ قَصَّرَ وَأَفْطَرَ ، إِل</w:t>
      </w:r>
      <w:r w:rsidR="007339BB">
        <w:rPr>
          <w:rFonts w:hint="cs"/>
          <w:rtl/>
          <w:lang w:bidi="fa-IR"/>
        </w:rPr>
        <w:t>َّ</w:t>
      </w:r>
      <w:r w:rsidRPr="00020424">
        <w:rPr>
          <w:rtl/>
          <w:lang w:bidi="fa-IR"/>
        </w:rPr>
        <w:t xml:space="preserve">ا أَنْ يَكُونَ رَجُلاً سَفَرُهُ إِلى صَيْدٍ </w:t>
      </w:r>
      <w:r w:rsidRPr="00A91B96">
        <w:rPr>
          <w:rStyle w:val="libFootnotenumChar"/>
          <w:rtl/>
        </w:rPr>
        <w:t>(8)</w:t>
      </w:r>
      <w:r w:rsidRPr="00020424">
        <w:rPr>
          <w:rtl/>
          <w:lang w:bidi="fa-IR"/>
        </w:rPr>
        <w:t xml:space="preserve"> ، أَوْ فِي مَعْصِيَةِ اللهِ ، أَوْ‌</w:t>
      </w:r>
    </w:p>
    <w:p w:rsidR="00992664" w:rsidRPr="00020424" w:rsidRDefault="00992664" w:rsidP="00992664">
      <w:pPr>
        <w:pStyle w:val="libLine"/>
        <w:rPr>
          <w:rtl/>
          <w:lang w:bidi="fa-IR"/>
        </w:rPr>
      </w:pPr>
      <w:r w:rsidRPr="00020424">
        <w:rPr>
          <w:rtl/>
          <w:lang w:bidi="fa-IR"/>
        </w:rPr>
        <w:t>__________________</w:t>
      </w:r>
    </w:p>
    <w:p w:rsidR="00992664" w:rsidRPr="00020424" w:rsidRDefault="00BA12BE" w:rsidP="00992664">
      <w:pPr>
        <w:pStyle w:val="libFootnote0"/>
        <w:rPr>
          <w:rtl/>
          <w:lang w:bidi="fa-IR"/>
        </w:rPr>
      </w:pPr>
      <w:r w:rsidRPr="00FE1F03">
        <w:rPr>
          <w:rFonts w:hint="cs"/>
          <w:rtl/>
        </w:rPr>
        <w:t xml:space="preserve">= </w:t>
      </w:r>
      <w:r w:rsidR="00992664" w:rsidRPr="00DE76B9">
        <w:rPr>
          <w:rStyle w:val="libFootnoteBoldChar"/>
          <w:rtl/>
        </w:rPr>
        <w:t>المحيط</w:t>
      </w:r>
      <w:r w:rsidR="00992664" w:rsidRPr="00020424">
        <w:rPr>
          <w:rtl/>
        </w:rPr>
        <w:t xml:space="preserve"> ، ج 2 ، ص 1076 ( خلف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218 ، ح 634 ، معلّقاً عن الكليني. وفي </w:t>
      </w:r>
      <w:r w:rsidR="00992664" w:rsidRPr="00DE76B9">
        <w:rPr>
          <w:rStyle w:val="libFootnoteBoldChar"/>
          <w:rtl/>
        </w:rPr>
        <w:t>الكافي</w:t>
      </w:r>
      <w:r w:rsidR="00992664" w:rsidRPr="00020424">
        <w:rPr>
          <w:rtl/>
        </w:rPr>
        <w:t xml:space="preserve"> ، كتاب الصلاة ، باب صلاة الملاّحين والمكارين</w:t>
      </w:r>
      <w:r w:rsidR="00992664">
        <w:rPr>
          <w:rtl/>
        </w:rPr>
        <w:t xml:space="preserve"> ....</w:t>
      </w:r>
      <w:r w:rsidR="00992664" w:rsidRPr="00020424">
        <w:rPr>
          <w:rtl/>
        </w:rPr>
        <w:t xml:space="preserve"> ، ح 5521 ؛ </w:t>
      </w:r>
      <w:r w:rsidR="00992664" w:rsidRPr="00FD6221">
        <w:rPr>
          <w:rStyle w:val="libFootnoteBoldChar"/>
          <w:rtl/>
        </w:rPr>
        <w:t>والفقيه</w:t>
      </w:r>
      <w:r w:rsidR="00992664" w:rsidRPr="00020424">
        <w:rPr>
          <w:rtl/>
        </w:rPr>
        <w:t xml:space="preserve"> ، ج 1 ، ص 439 ، ح 1276 ؛ </w:t>
      </w:r>
      <w:r w:rsidR="00992664" w:rsidRPr="00515444">
        <w:rPr>
          <w:rStyle w:val="libFootnoteBoldChar"/>
          <w:rtl/>
        </w:rPr>
        <w:t>والتهذيب</w:t>
      </w:r>
      <w:r w:rsidR="00992664" w:rsidRPr="00020424">
        <w:rPr>
          <w:rtl/>
        </w:rPr>
        <w:t xml:space="preserve"> ، ج 3 ، ص 214 ، ح 525 ؛ </w:t>
      </w:r>
      <w:r w:rsidR="00992664" w:rsidRPr="00FD6221">
        <w:rPr>
          <w:rStyle w:val="libFootnoteBoldChar"/>
          <w:rtl/>
        </w:rPr>
        <w:t>والاستبصار</w:t>
      </w:r>
      <w:r w:rsidR="00992664" w:rsidRPr="00020424">
        <w:rPr>
          <w:rtl/>
        </w:rPr>
        <w:t xml:space="preserve"> ، ج 1 ، ص 232 ، ح 827 ، بسند آخر عن أحدهما </w:t>
      </w:r>
      <w:r w:rsidR="00D64ADA" w:rsidRPr="00D64ADA">
        <w:rPr>
          <w:rStyle w:val="libFootnoteAlaemChar"/>
          <w:rtl/>
        </w:rPr>
        <w:t>عليهما‌السلام</w:t>
      </w:r>
      <w:r w:rsidR="00992664" w:rsidRPr="00020424">
        <w:rPr>
          <w:rtl/>
        </w:rPr>
        <w:t xml:space="preserve"> ، مع اختلاف. وفي </w:t>
      </w:r>
      <w:r w:rsidR="00992664" w:rsidRPr="0012008A">
        <w:rPr>
          <w:rStyle w:val="libFootnoteBoldChar"/>
          <w:rtl/>
        </w:rPr>
        <w:t>الفقيه</w:t>
      </w:r>
      <w:r w:rsidR="00992664" w:rsidRPr="00020424">
        <w:rPr>
          <w:rtl/>
        </w:rPr>
        <w:t xml:space="preserve"> ، ج 1 ، ص 439 ، ح 1275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3 ، ص 215 ، ح 526 ؛ </w:t>
      </w:r>
      <w:r w:rsidR="00992664" w:rsidRPr="00FD6221">
        <w:rPr>
          <w:rStyle w:val="libFootnoteBoldChar"/>
          <w:rtl/>
        </w:rPr>
        <w:t>والاستبصار</w:t>
      </w:r>
      <w:r w:rsidR="00992664" w:rsidRPr="00020424">
        <w:rPr>
          <w:rtl/>
        </w:rPr>
        <w:t xml:space="preserve"> ، ج 1 ، ص 232 ، ح 828 ، بسند آخر ، عن أبي جعفر </w:t>
      </w:r>
      <w:r w:rsidR="00992664" w:rsidRPr="00D64ADA">
        <w:rPr>
          <w:rStyle w:val="libFootnoteAlaemChar"/>
          <w:rtl/>
        </w:rPr>
        <w:t>عليه‌السلام</w:t>
      </w:r>
      <w:r w:rsidR="00992664" w:rsidRPr="00020424">
        <w:rPr>
          <w:rtl/>
        </w:rPr>
        <w:t xml:space="preserve"> ، مع اختلاف. وفي </w:t>
      </w:r>
      <w:r w:rsidR="00992664" w:rsidRPr="0012008A">
        <w:rPr>
          <w:rStyle w:val="libFootnoteBoldChar"/>
          <w:rtl/>
        </w:rPr>
        <w:t>التهذيب</w:t>
      </w:r>
      <w:r w:rsidR="00992664" w:rsidRPr="00020424">
        <w:rPr>
          <w:rtl/>
        </w:rPr>
        <w:t xml:space="preserve"> ، ج 4 ، ص 218 ، ح 636 ، بسند آخر ، من دون الإسناد إلى المعصوم </w:t>
      </w:r>
      <w:r w:rsidR="00992664" w:rsidRPr="00D64ADA">
        <w:rPr>
          <w:rStyle w:val="libFootnoteAlaemChar"/>
          <w:rtl/>
        </w:rPr>
        <w:t>عليه‌السلام</w:t>
      </w:r>
      <w:r w:rsidR="00992664" w:rsidRPr="00020424">
        <w:rPr>
          <w:rtl/>
        </w:rPr>
        <w:t xml:space="preserve">. راجع : </w:t>
      </w:r>
      <w:r w:rsidR="00992664" w:rsidRPr="0012008A">
        <w:rPr>
          <w:rStyle w:val="libFootnoteBoldChar"/>
          <w:rtl/>
        </w:rPr>
        <w:t>الفقيه</w:t>
      </w:r>
      <w:r w:rsidR="00992664" w:rsidRPr="00020424">
        <w:rPr>
          <w:rtl/>
        </w:rPr>
        <w:t xml:space="preserve"> ، ج 1 ، ص 440 ، ح 1278 ؛ </w:t>
      </w:r>
      <w:r w:rsidR="00992664" w:rsidRPr="00515444">
        <w:rPr>
          <w:rStyle w:val="libFootnoteBoldChar"/>
          <w:rtl/>
        </w:rPr>
        <w:t>والتهذيب</w:t>
      </w:r>
      <w:r w:rsidR="00992664" w:rsidRPr="00020424">
        <w:rPr>
          <w:rtl/>
        </w:rPr>
        <w:t xml:space="preserve"> ، ج 3 ، ص 215 ، ح 530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1 ، ص 233 ، ح 832 </w:t>
      </w:r>
      <w:r w:rsidR="00FE1F03">
        <w:rPr>
          <w:rFonts w:hint="cs"/>
          <w:rtl/>
        </w:rPr>
        <w:t>.</w:t>
      </w:r>
      <w:r w:rsidR="00992664" w:rsidRPr="0012008A">
        <w:rPr>
          <w:rStyle w:val="libFootnoteBoldChar"/>
          <w:rtl/>
        </w:rPr>
        <w:t>الوافي</w:t>
      </w:r>
      <w:r w:rsidR="00992664" w:rsidRPr="00020424">
        <w:rPr>
          <w:rtl/>
        </w:rPr>
        <w:t xml:space="preserve"> ، ج 7 ، ص 166 ، ح 5690 ؛ </w:t>
      </w:r>
      <w:r w:rsidR="00992664" w:rsidRPr="0012008A">
        <w:rPr>
          <w:rStyle w:val="libFootnoteBoldChar"/>
          <w:rtl/>
        </w:rPr>
        <w:t>الوسائل</w:t>
      </w:r>
      <w:r w:rsidR="00992664" w:rsidRPr="00020424">
        <w:rPr>
          <w:rtl/>
        </w:rPr>
        <w:t xml:space="preserve"> ، ج 8 ، ص 484 ، ح 11233.</w:t>
      </w:r>
    </w:p>
    <w:tbl>
      <w:tblPr>
        <w:tblStyle w:val="TableGrid"/>
        <w:bidiVisual/>
        <w:tblW w:w="0" w:type="auto"/>
        <w:tblLook w:val="04A0" w:firstRow="1" w:lastRow="0" w:firstColumn="1" w:lastColumn="0" w:noHBand="0" w:noVBand="1"/>
      </w:tblPr>
      <w:tblGrid>
        <w:gridCol w:w="4006"/>
        <w:gridCol w:w="4006"/>
      </w:tblGrid>
      <w:tr w:rsidR="00024778" w:rsidTr="00024778">
        <w:tc>
          <w:tcPr>
            <w:tcW w:w="4006" w:type="dxa"/>
          </w:tcPr>
          <w:p w:rsidR="00024778" w:rsidRDefault="00024778" w:rsidP="00992664">
            <w:pPr>
              <w:pStyle w:val="libFootnote0"/>
              <w:rPr>
                <w:rtl/>
              </w:rPr>
            </w:pPr>
            <w:r>
              <w:rPr>
                <w:rtl/>
              </w:rPr>
              <w:t xml:space="preserve">(2). </w:t>
            </w:r>
            <w:r w:rsidRPr="00020424">
              <w:rPr>
                <w:rtl/>
              </w:rPr>
              <w:t>في « جر » :</w:t>
            </w:r>
            <w:r>
              <w:rPr>
                <w:rtl/>
              </w:rPr>
              <w:t xml:space="preserve"> - </w:t>
            </w:r>
            <w:r w:rsidRPr="00020424">
              <w:rPr>
                <w:rtl/>
              </w:rPr>
              <w:t>« بن إبراهيم</w:t>
            </w:r>
            <w:r>
              <w:rPr>
                <w:rtl/>
              </w:rPr>
              <w:t xml:space="preserve"> ».</w:t>
            </w:r>
          </w:p>
        </w:tc>
        <w:tc>
          <w:tcPr>
            <w:tcW w:w="4006" w:type="dxa"/>
          </w:tcPr>
          <w:p w:rsidR="00024778" w:rsidRDefault="00024778"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 + « عن أبي عبد الله </w:t>
            </w:r>
            <w:r w:rsidRPr="00D64ADA">
              <w:rPr>
                <w:rStyle w:val="libFootnoteAlaemChar"/>
                <w:rtl/>
              </w:rPr>
              <w:t>عليه‌السلام</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330 : « قوله </w:t>
      </w:r>
      <w:r w:rsidR="00992664" w:rsidRPr="00D64ADA">
        <w:rPr>
          <w:rStyle w:val="libFootnoteAlaemChar"/>
          <w:rtl/>
        </w:rPr>
        <w:t>عليه‌السلام</w:t>
      </w:r>
      <w:r w:rsidR="00E70E63">
        <w:rPr>
          <w:rtl/>
        </w:rPr>
        <w:t xml:space="preserve"> : « إل</w:t>
      </w:r>
      <w:r w:rsidR="00E70E63">
        <w:rPr>
          <w:rFonts w:hint="cs"/>
          <w:rtl/>
        </w:rPr>
        <w:t>ّ</w:t>
      </w:r>
      <w:r w:rsidR="00E70E63">
        <w:rPr>
          <w:rtl/>
        </w:rPr>
        <w:t>ا</w:t>
      </w:r>
      <w:r w:rsidR="00992664" w:rsidRPr="00020424">
        <w:rPr>
          <w:rtl/>
        </w:rPr>
        <w:t xml:space="preserve"> في سبيل حقّ ، أي مباح كما هو المشهور ، أو راجح كما قيل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142 ، ح 1980 ، مرسلاً ، من دون التصريح باسم المعصوم </w:t>
      </w:r>
      <w:r w:rsidR="00992664" w:rsidRPr="00D64ADA">
        <w:rPr>
          <w:rStyle w:val="libFootnoteAlaemChar"/>
          <w:rtl/>
        </w:rPr>
        <w:t>عليه‌السلام</w:t>
      </w:r>
      <w:r w:rsidR="00992664" w:rsidRPr="00020424">
        <w:rPr>
          <w:rtl/>
        </w:rPr>
        <w:t xml:space="preserve"> </w:t>
      </w:r>
      <w:r w:rsidR="00E70E63">
        <w:rPr>
          <w:rFonts w:hint="cs"/>
          <w:rtl/>
        </w:rPr>
        <w:t>.</w:t>
      </w:r>
      <w:r w:rsidR="00992664" w:rsidRPr="0012008A">
        <w:rPr>
          <w:rStyle w:val="libFootnoteBoldChar"/>
          <w:rtl/>
        </w:rPr>
        <w:t>الوافي</w:t>
      </w:r>
      <w:r w:rsidR="00992664" w:rsidRPr="00020424">
        <w:rPr>
          <w:rtl/>
        </w:rPr>
        <w:t xml:space="preserve"> ، ج 11 ، ص 308 ، ح 10927 ؛ </w:t>
      </w:r>
      <w:r w:rsidR="00992664" w:rsidRPr="0012008A">
        <w:rPr>
          <w:rStyle w:val="libFootnoteBoldChar"/>
          <w:rtl/>
        </w:rPr>
        <w:t>الوسائل</w:t>
      </w:r>
      <w:r w:rsidR="00992664" w:rsidRPr="00020424">
        <w:rPr>
          <w:rtl/>
        </w:rPr>
        <w:t xml:space="preserve"> ، ج 8 ، ص 476 ، ح 11210.</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E70E63">
      <w:pPr>
        <w:pStyle w:val="libFootnote0"/>
        <w:rPr>
          <w:rtl/>
          <w:lang w:bidi="fa-IR"/>
        </w:rPr>
      </w:pPr>
      <w:r>
        <w:rPr>
          <w:rtl/>
        </w:rPr>
        <w:t>(7).</w:t>
      </w:r>
      <w:r w:rsidR="0014403D">
        <w:rPr>
          <w:rtl/>
        </w:rPr>
        <w:t xml:space="preserve"> </w:t>
      </w:r>
      <w:r w:rsidR="00992664" w:rsidRPr="00020424">
        <w:rPr>
          <w:rtl/>
        </w:rPr>
        <w:t xml:space="preserve">هكذا في حاشية « جر » </w:t>
      </w:r>
      <w:r w:rsidR="00992664" w:rsidRPr="00515444">
        <w:rPr>
          <w:rStyle w:val="libFootnoteBoldChar"/>
          <w:rtl/>
        </w:rPr>
        <w:t>والتهذيب</w:t>
      </w:r>
      <w:r w:rsidR="00992664" w:rsidRPr="00020424">
        <w:rPr>
          <w:rtl/>
        </w:rPr>
        <w:t xml:space="preserve"> وظاهر </w:t>
      </w:r>
      <w:r w:rsidR="00992664" w:rsidRPr="0012008A">
        <w:rPr>
          <w:rStyle w:val="libFootnoteBoldChar"/>
          <w:rtl/>
        </w:rPr>
        <w:t>الوسائل</w:t>
      </w:r>
      <w:r w:rsidR="00992664" w:rsidRPr="00020424">
        <w:rPr>
          <w:rtl/>
        </w:rPr>
        <w:t>. وفي « ظ ، ى ، بث ، بح ، بخ ، بر ، بس ، بف ، جن » والمطبوع : « محمّد بن مروان</w:t>
      </w:r>
      <w:r w:rsidR="00992664">
        <w:rPr>
          <w:rtl/>
        </w:rPr>
        <w:t xml:space="preserve"> ».</w:t>
      </w:r>
    </w:p>
    <w:p w:rsidR="00992664" w:rsidRPr="00020424" w:rsidRDefault="00992664" w:rsidP="00E70E63">
      <w:pPr>
        <w:pStyle w:val="libFootnote0"/>
        <w:rPr>
          <w:rtl/>
          <w:lang w:bidi="fa-IR"/>
        </w:rPr>
      </w:pPr>
      <w:r w:rsidRPr="00E70E63">
        <w:rPr>
          <w:rtl/>
        </w:rPr>
        <w:t xml:space="preserve">والظاهر صحّة ما أثبتناه ؛ فقد روى الصدوق الخبر في </w:t>
      </w:r>
      <w:r w:rsidRPr="0012008A">
        <w:rPr>
          <w:rStyle w:val="libFootnoteBoldChar"/>
          <w:rtl/>
        </w:rPr>
        <w:t>الفقيه</w:t>
      </w:r>
      <w:r w:rsidRPr="00E70E63">
        <w:rPr>
          <w:rtl/>
        </w:rPr>
        <w:t xml:space="preserve"> ، ج 2 ، ص 142 ، ح 197 ، قال : « روى ابن محبوب ، عن أبي أيّوب ، عن عمّار بن مروان ، عن أبي عبد الله </w:t>
      </w:r>
      <w:r w:rsidRPr="00D64ADA">
        <w:rPr>
          <w:rStyle w:val="libFootnoteAlaemChar"/>
          <w:rtl/>
        </w:rPr>
        <w:t>عليه‌السلام</w:t>
      </w:r>
      <w:r w:rsidRPr="00E70E63">
        <w:rPr>
          <w:rtl/>
        </w:rPr>
        <w:t xml:space="preserve"> ». وروى الحسن بن محبوب ، عن أبي أيّوب ، عن عمّار بن مروان في </w:t>
      </w:r>
      <w:r w:rsidRPr="00DE76B9">
        <w:rPr>
          <w:rStyle w:val="libFootnoteBoldChar"/>
          <w:rtl/>
        </w:rPr>
        <w:t>معاني الأخبار</w:t>
      </w:r>
      <w:r w:rsidRPr="00E70E63">
        <w:rPr>
          <w:rtl/>
        </w:rPr>
        <w:t xml:space="preserve"> ، ص 211 ، ح 1 ، </w:t>
      </w:r>
      <w:r w:rsidRPr="00FD6221">
        <w:rPr>
          <w:rStyle w:val="libFootnoteBoldChar"/>
          <w:rtl/>
        </w:rPr>
        <w:t>والخصال</w:t>
      </w:r>
      <w:r w:rsidRPr="00E70E63">
        <w:rPr>
          <w:rtl/>
        </w:rPr>
        <w:t xml:space="preserve"> ، ص 329 ، ح 26. ولم نجد رواية أبي أيّوب عن محمّد بن مروان في موضع.</w:t>
      </w:r>
    </w:p>
    <w:p w:rsidR="00992664" w:rsidRPr="00020424" w:rsidRDefault="00795177" w:rsidP="00E70E63">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في الصيد » بدل « إلى صيد</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إنّ المراد بالصيد صيد اللهو</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 xml:space="preserve">رَسُولاً </w:t>
      </w:r>
      <w:r w:rsidRPr="00A91B96">
        <w:rPr>
          <w:rStyle w:val="libFootnotenumChar"/>
          <w:rtl/>
        </w:rPr>
        <w:t>(1)</w:t>
      </w:r>
      <w:r w:rsidRPr="00020424">
        <w:rPr>
          <w:rtl/>
          <w:lang w:bidi="fa-IR"/>
        </w:rPr>
        <w:t xml:space="preserve"> لِمَنْ يَعْصِي اللهَ ، أَوْ فِي طَلَبِ شَحْنَاءَ </w:t>
      </w:r>
      <w:r w:rsidRPr="00A91B96">
        <w:rPr>
          <w:rStyle w:val="libFootnotenumChar"/>
          <w:rtl/>
        </w:rPr>
        <w:t>(2)</w:t>
      </w:r>
      <w:r w:rsidRPr="00020424">
        <w:rPr>
          <w:rtl/>
          <w:lang w:bidi="fa-IR"/>
        </w:rPr>
        <w:t xml:space="preserve"> ، أَوْ سِعَايَةِ ضَرَرٍ </w:t>
      </w:r>
      <w:r w:rsidRPr="00A91B96">
        <w:rPr>
          <w:rStyle w:val="libFootnotenumChar"/>
          <w:rtl/>
        </w:rPr>
        <w:t>(3)</w:t>
      </w:r>
      <w:r w:rsidRPr="00020424">
        <w:rPr>
          <w:rtl/>
          <w:lang w:bidi="fa-IR"/>
        </w:rPr>
        <w:t xml:space="preserve"> عَلى قَوْمٍ مُسْلِمِينَ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DA012C">
        <w:rPr>
          <w:rtl/>
        </w:rPr>
        <w:t>6509</w:t>
      </w:r>
      <w:r w:rsidRPr="001155DE">
        <w:rPr>
          <w:rStyle w:val="libBold2Char"/>
          <w:rtl/>
        </w:rPr>
        <w:t xml:space="preserve"> / 4.</w:t>
      </w:r>
      <w:r w:rsidRPr="00020424">
        <w:rPr>
          <w:rtl/>
          <w:lang w:bidi="fa-IR"/>
        </w:rPr>
        <w:t xml:space="preserve"> عِدَّةٌ مِنْ أَصْحَابِنَا ، عَنْ أَحْمَدَ بْنِ مُحَمَّدٍ ، عَنْ عَلِيِّ بْنِ الْحَكَمِ ، عَنْ عُمَرَ </w:t>
      </w:r>
      <w:r w:rsidRPr="00A91B96">
        <w:rPr>
          <w:rStyle w:val="libFootnotenumChar"/>
          <w:rtl/>
        </w:rPr>
        <w:t>(6)</w:t>
      </w:r>
      <w:r w:rsidRPr="00020424">
        <w:rPr>
          <w:rtl/>
          <w:lang w:bidi="fa-IR"/>
        </w:rPr>
        <w:t xml:space="preserve"> بْنِ حَفْصٍ ، عَنْ سَعِيدِ بْنِ يَسَارٍ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يُشَيِّعُ أَخَاهُ فِي شَهْرِ رَمَضَانَ ، فَيَبْلُغُ </w:t>
      </w:r>
      <w:r w:rsidRPr="00A91B96">
        <w:rPr>
          <w:rStyle w:val="libFootnotenumChar"/>
          <w:rtl/>
        </w:rPr>
        <w:t>(7)</w:t>
      </w:r>
      <w:r w:rsidRPr="00020424">
        <w:rPr>
          <w:rtl/>
          <w:lang w:bidi="fa-IR"/>
        </w:rPr>
        <w:t xml:space="preserve"> مَسِيرَةَ يَوْمٍ ، أَوْ مَعَ </w:t>
      </w:r>
      <w:r w:rsidRPr="00A91B96">
        <w:rPr>
          <w:rStyle w:val="libFootnotenumChar"/>
          <w:rtl/>
        </w:rPr>
        <w:t>(8)</w:t>
      </w:r>
      <w:r w:rsidRPr="00020424">
        <w:rPr>
          <w:rtl/>
          <w:lang w:bidi="fa-IR"/>
        </w:rPr>
        <w:t xml:space="preserve"> رَجُلٍ </w:t>
      </w:r>
      <w:r w:rsidRPr="00A91B96">
        <w:rPr>
          <w:rStyle w:val="libFootnotenumChar"/>
          <w:rtl/>
        </w:rPr>
        <w:t>(9)</w:t>
      </w:r>
      <w:r>
        <w:rPr>
          <w:rtl/>
          <w:lang w:bidi="fa-IR"/>
        </w:rPr>
        <w:t xml:space="preserve"> مِنْ إِخْوَانِهِ : أَ</w:t>
      </w:r>
      <w:r w:rsidRPr="00020424">
        <w:rPr>
          <w:rtl/>
          <w:lang w:bidi="fa-IR"/>
        </w:rPr>
        <w:t>يُفْطِرُ ، أَوْ يَصُومُ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 بعض النسخ : أو رسول ؛ يعنى رسالة ؛ فإنّه قد يجي‌ء بمعناها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الشحناء » : العداوة والبغضاء. راجع : </w:t>
      </w:r>
      <w:r w:rsidR="00992664" w:rsidRPr="0012008A">
        <w:rPr>
          <w:rStyle w:val="libFootnoteBoldChar"/>
          <w:rtl/>
        </w:rPr>
        <w:t>الصحاح</w:t>
      </w:r>
      <w:r w:rsidR="00992664" w:rsidRPr="00020424">
        <w:rPr>
          <w:rtl/>
        </w:rPr>
        <w:t xml:space="preserve"> ، ج 5 ، ص 2143 ( شحن )</w:t>
      </w:r>
      <w:r w:rsidR="00992664">
        <w:rPr>
          <w:rtl/>
        </w:rPr>
        <w:t>.</w:t>
      </w:r>
    </w:p>
    <w:p w:rsidR="00992664" w:rsidRPr="00020424" w:rsidRDefault="00795177" w:rsidP="00E70E63">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أو ضرر » ونقله في </w:t>
      </w:r>
      <w:r w:rsidR="00992664" w:rsidRPr="0012008A">
        <w:rPr>
          <w:rStyle w:val="libFootnoteBoldChar"/>
          <w:rtl/>
        </w:rPr>
        <w:t>الوافي</w:t>
      </w:r>
      <w:r w:rsidR="00992664" w:rsidRPr="00020424">
        <w:rPr>
          <w:rtl/>
        </w:rPr>
        <w:t xml:space="preserve"> عن </w:t>
      </w:r>
      <w:r w:rsidR="00992664" w:rsidRPr="0012008A">
        <w:rPr>
          <w:rStyle w:val="libFootnoteBoldChar"/>
          <w:rtl/>
        </w:rPr>
        <w:t>التهذيب</w:t>
      </w:r>
      <w:r w:rsidR="00992664" w:rsidRPr="00020424">
        <w:rPr>
          <w:rtl/>
        </w:rPr>
        <w:t xml:space="preserve"> وقال : « وهو أوضح</w:t>
      </w:r>
      <w:r w:rsidR="00992664">
        <w:rPr>
          <w:rtl/>
        </w:rPr>
        <w:t xml:space="preserve"> ».</w:t>
      </w:r>
      <w:r w:rsidR="00992664" w:rsidRPr="00020424">
        <w:rPr>
          <w:rtl/>
        </w:rPr>
        <w:t xml:space="preserve"> </w:t>
      </w:r>
      <w:r w:rsidR="00992664">
        <w:rPr>
          <w:rtl/>
        </w:rPr>
        <w:t>و «</w:t>
      </w:r>
      <w:r w:rsidR="00992664" w:rsidRPr="00020424">
        <w:rPr>
          <w:rtl/>
        </w:rPr>
        <w:t xml:space="preserve"> السعاية » : النميمة والوشاية ، وهو إظهار الشي‌ء ورفعه على وجه الإشاعة والفساد. والساعي هو الذي يسعى بصاحبه إلى سلطانه فيَحْمَل به ، أي يكيده ليؤذيه. يقال : سعى به إلى الوالي : وشى به ، أي ذمّه وافترى عليه. راجع : </w:t>
      </w:r>
      <w:r w:rsidR="00992664" w:rsidRPr="0012008A">
        <w:rPr>
          <w:rStyle w:val="libFootnoteBoldChar"/>
          <w:rtl/>
        </w:rPr>
        <w:t>النهاية</w:t>
      </w:r>
      <w:r w:rsidR="00992664" w:rsidRPr="00020424">
        <w:rPr>
          <w:rtl/>
        </w:rPr>
        <w:t xml:space="preserve"> ، ج 2 ، ص 370 ؛ </w:t>
      </w:r>
      <w:r w:rsidR="00992664" w:rsidRPr="00A722B1">
        <w:rPr>
          <w:rStyle w:val="libFootnoteBoldChar"/>
          <w:rtl/>
        </w:rPr>
        <w:t>لسان العرب</w:t>
      </w:r>
      <w:r w:rsidR="00992664" w:rsidRPr="00020424">
        <w:rPr>
          <w:rtl/>
        </w:rPr>
        <w:t xml:space="preserve"> ، ج 14 ، ص 386 ( سعا )</w:t>
      </w:r>
      <w:r w:rsidR="00992664">
        <w:rPr>
          <w:rtl/>
        </w:rPr>
        <w:t>.</w:t>
      </w:r>
      <w:r w:rsidR="00E70E63">
        <w:rPr>
          <w:rFonts w:hint="cs"/>
          <w:rtl/>
        </w:rPr>
        <w:t xml:space="preserve">    </w:t>
      </w:r>
      <w:r>
        <w:rPr>
          <w:rtl/>
        </w:rPr>
        <w:t>(4).</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من المسلمين » بدل « مسلمين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219 ، ح 640 ، معلّقاً عن الكليني. </w:t>
      </w:r>
      <w:r w:rsidR="00992664" w:rsidRPr="0012008A">
        <w:rPr>
          <w:rStyle w:val="libFootnoteBoldChar"/>
          <w:rtl/>
        </w:rPr>
        <w:t>الفقيه</w:t>
      </w:r>
      <w:r w:rsidR="00992664" w:rsidRPr="00020424">
        <w:rPr>
          <w:rtl/>
        </w:rPr>
        <w:t xml:space="preserve"> ، ج 2 ، ص 142 ، ح 1979 ، معلّقاً عن ابن محبوب. وفي </w:t>
      </w:r>
      <w:r w:rsidR="00992664" w:rsidRPr="0012008A">
        <w:rPr>
          <w:rStyle w:val="libFootnoteBoldChar"/>
          <w:rtl/>
        </w:rPr>
        <w:t>التهذيب</w:t>
      </w:r>
      <w:r w:rsidR="00992664" w:rsidRPr="00020424">
        <w:rPr>
          <w:rtl/>
        </w:rPr>
        <w:t xml:space="preserve"> ، ج 3 ، ص 207 ، ح 492 ؛ </w:t>
      </w:r>
      <w:r w:rsidR="00992664" w:rsidRPr="00FD6221">
        <w:rPr>
          <w:rStyle w:val="libFootnoteBoldChar"/>
          <w:rtl/>
        </w:rPr>
        <w:t>والاستبصار</w:t>
      </w:r>
      <w:r w:rsidR="00992664" w:rsidRPr="00020424">
        <w:rPr>
          <w:rtl/>
        </w:rPr>
        <w:t xml:space="preserve"> ، ج 1 ، ص 222 ، ح 786 ، بسند آخر من دون الإسناد إلى المعصوم </w:t>
      </w:r>
      <w:r w:rsidR="00992664" w:rsidRPr="00D64ADA">
        <w:rPr>
          <w:rStyle w:val="libFootnoteAlaemChar"/>
          <w:rtl/>
        </w:rPr>
        <w:t>عليه‌السلام</w:t>
      </w:r>
      <w:r w:rsidR="00992664" w:rsidRPr="00020424">
        <w:rPr>
          <w:rtl/>
        </w:rPr>
        <w:t xml:space="preserve"> ، وفي الأخيرين إلى قوله : « رسولاً لمن يعصي الله » مع اختلاف وزيادة. وراجع : </w:t>
      </w:r>
      <w:r w:rsidR="00992664" w:rsidRPr="0012008A">
        <w:rPr>
          <w:rStyle w:val="libFootnoteBoldChar"/>
          <w:rtl/>
        </w:rPr>
        <w:t>الفقيه</w:t>
      </w:r>
      <w:r w:rsidR="00992664" w:rsidRPr="00020424">
        <w:rPr>
          <w:rtl/>
        </w:rPr>
        <w:t xml:space="preserve"> ، ج 1 ، ص 452 ، ح 1310 و1311 و1312 </w:t>
      </w:r>
      <w:r w:rsidR="00B70309">
        <w:rPr>
          <w:rFonts w:hint="cs"/>
          <w:rtl/>
        </w:rPr>
        <w:t>.</w:t>
      </w:r>
      <w:r w:rsidR="00992664" w:rsidRPr="0012008A">
        <w:rPr>
          <w:rStyle w:val="libFootnoteBoldChar"/>
          <w:rtl/>
        </w:rPr>
        <w:t>الوافي</w:t>
      </w:r>
      <w:r w:rsidR="00992664" w:rsidRPr="00020424">
        <w:rPr>
          <w:rtl/>
        </w:rPr>
        <w:t xml:space="preserve"> ، ج 7 ، ص 173 ، ح 5706 ؛ </w:t>
      </w:r>
      <w:r w:rsidR="00992664" w:rsidRPr="0012008A">
        <w:rPr>
          <w:rStyle w:val="libFootnoteBoldChar"/>
          <w:rtl/>
        </w:rPr>
        <w:t>الوسائل</w:t>
      </w:r>
      <w:r w:rsidR="00992664" w:rsidRPr="00020424">
        <w:rPr>
          <w:rtl/>
        </w:rPr>
        <w:t xml:space="preserve"> ، ج 8 ، ص 476 ، ذيل ح 11212.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بخ » </w:t>
      </w:r>
      <w:r w:rsidR="00992664" w:rsidRPr="00EB1FD9">
        <w:rPr>
          <w:rStyle w:val="libFootnoteBoldChar"/>
          <w:rtl/>
        </w:rPr>
        <w:t>والوسائل</w:t>
      </w:r>
      <w:r w:rsidR="00992664" w:rsidRPr="00020424">
        <w:rPr>
          <w:rtl/>
        </w:rPr>
        <w:t xml:space="preserve"> : « عمرو</w:t>
      </w:r>
      <w:r w:rsidR="00992664">
        <w:rPr>
          <w:rtl/>
        </w:rPr>
        <w:t xml:space="preserve"> ».</w:t>
      </w:r>
      <w:r w:rsidR="00992664" w:rsidRPr="00020424">
        <w:rPr>
          <w:rtl/>
        </w:rPr>
        <w:t xml:space="preserve"> والمذكور في </w:t>
      </w:r>
      <w:r w:rsidR="00992664" w:rsidRPr="00DE76B9">
        <w:rPr>
          <w:rStyle w:val="libFootnoteBoldChar"/>
          <w:rtl/>
        </w:rPr>
        <w:t>رجال الطوسي</w:t>
      </w:r>
      <w:r w:rsidR="00992664" w:rsidRPr="00020424">
        <w:rPr>
          <w:rtl/>
        </w:rPr>
        <w:t xml:space="preserve"> ، ص 254 ، الرقم 3589 ، هو عمر بن حفص‌أبو حفص بيّاع اللؤلؤ.</w:t>
      </w:r>
    </w:p>
    <w:p w:rsidR="00992664" w:rsidRPr="00020424" w:rsidRDefault="00992664" w:rsidP="00B70309">
      <w:pPr>
        <w:pStyle w:val="libFootnote0"/>
        <w:rPr>
          <w:rtl/>
          <w:lang w:bidi="fa-IR"/>
        </w:rPr>
      </w:pPr>
      <w:r w:rsidRPr="00B70309">
        <w:rPr>
          <w:rtl/>
        </w:rPr>
        <w:t xml:space="preserve">هذا ، واحتمال كون الصواب في العنوان هو « عمر أبا حفص » ، فيكون المراد منه عمر بن أبان الكلبي غير منفيّ ؛ فقد روى عليّ بن الحكم عن عمر بن أبان [ الكلبي ] ، وهو المكنّى بأبي حفص في بعض الأسناد. راجع : </w:t>
      </w:r>
      <w:r w:rsidRPr="00DE76B9">
        <w:rPr>
          <w:rStyle w:val="libFootnoteBoldChar"/>
          <w:rtl/>
        </w:rPr>
        <w:t>رجال النجاشي</w:t>
      </w:r>
      <w:r w:rsidRPr="00B70309">
        <w:rPr>
          <w:rtl/>
        </w:rPr>
        <w:t xml:space="preserve"> ، ص 285 ، الرقم 759 ؛ </w:t>
      </w:r>
      <w:r w:rsidRPr="00DE76B9">
        <w:rPr>
          <w:rStyle w:val="libFootnoteBoldChar"/>
          <w:rtl/>
        </w:rPr>
        <w:t>رجال الطوسي</w:t>
      </w:r>
      <w:r w:rsidRPr="00B70309">
        <w:rPr>
          <w:rtl/>
        </w:rPr>
        <w:t xml:space="preserve"> ، ص 253 ، الرقم 3561 ؛ </w:t>
      </w:r>
      <w:r w:rsidRPr="00DE76B9">
        <w:rPr>
          <w:rStyle w:val="libFootnoteBoldChar"/>
          <w:rtl/>
        </w:rPr>
        <w:t>معجم رجال الحديث</w:t>
      </w:r>
      <w:r w:rsidRPr="00B70309">
        <w:rPr>
          <w:rtl/>
        </w:rPr>
        <w:t xml:space="preserve"> ، ج 11 ، ص 610.</w:t>
      </w:r>
    </w:p>
    <w:p w:rsidR="00992664" w:rsidRPr="00020424" w:rsidRDefault="00992664" w:rsidP="00B70309">
      <w:pPr>
        <w:pStyle w:val="libFootnote0"/>
        <w:rPr>
          <w:rtl/>
          <w:lang w:bidi="fa-IR"/>
        </w:rPr>
      </w:pPr>
      <w:r w:rsidRPr="00B70309">
        <w:rPr>
          <w:rtl/>
        </w:rPr>
        <w:t xml:space="preserve">ويؤيّد ما احتملناه ما ورد في </w:t>
      </w:r>
      <w:r w:rsidRPr="00DE76B9">
        <w:rPr>
          <w:rStyle w:val="libFootnoteBoldChar"/>
          <w:rtl/>
        </w:rPr>
        <w:t>تهذيب الأحكام</w:t>
      </w:r>
      <w:r w:rsidRPr="00B70309">
        <w:rPr>
          <w:rtl/>
        </w:rPr>
        <w:t xml:space="preserve"> ، ج 5 ، ص 218 ، ح 736 من رواية فضالة بن أيّوب عن عمر بن حفص الكلبي ؛ فإنّ هذا العنوان محرّف من « عمر أبي حفص الكلبي » والمراد منه هو عمر بن أبان ؛ فقد روى فضالة [ بن أيّوب ] عن عمر بن أبان [ الكلبي ] في أسنادٍ عديدة. راجع : </w:t>
      </w:r>
      <w:r w:rsidRPr="00DE76B9">
        <w:rPr>
          <w:rStyle w:val="libFootnoteBoldChar"/>
          <w:rtl/>
        </w:rPr>
        <w:t>معجم رجال الحديث</w:t>
      </w:r>
      <w:r w:rsidRPr="00B70309">
        <w:rPr>
          <w:rtl/>
        </w:rPr>
        <w:t xml:space="preserve"> ، ج 13 ، ص 361 </w:t>
      </w:r>
      <w:r w:rsidR="009B673F" w:rsidRPr="00B70309">
        <w:rPr>
          <w:rtl/>
        </w:rPr>
        <w:t>-</w:t>
      </w:r>
      <w:r w:rsidRPr="00B70309">
        <w:rPr>
          <w:rtl/>
        </w:rPr>
        <w:t xml:space="preserve"> 363.</w:t>
      </w:r>
    </w:p>
    <w:tbl>
      <w:tblPr>
        <w:tblStyle w:val="TableGrid"/>
        <w:bidiVisual/>
        <w:tblW w:w="0" w:type="auto"/>
        <w:tblLook w:val="04A0" w:firstRow="1" w:lastRow="0" w:firstColumn="1" w:lastColumn="0" w:noHBand="0" w:noVBand="1"/>
      </w:tblPr>
      <w:tblGrid>
        <w:gridCol w:w="4006"/>
        <w:gridCol w:w="4006"/>
      </w:tblGrid>
      <w:tr w:rsidR="000F7CC5" w:rsidTr="000F7CC5">
        <w:tc>
          <w:tcPr>
            <w:tcW w:w="4006" w:type="dxa"/>
          </w:tcPr>
          <w:p w:rsidR="000F7CC5" w:rsidRDefault="000F7CC5" w:rsidP="00B70309">
            <w:pPr>
              <w:pStyle w:val="libFootnote0"/>
              <w:rPr>
                <w:rtl/>
              </w:rPr>
            </w:pPr>
            <w:r>
              <w:rPr>
                <w:rtl/>
              </w:rPr>
              <w:t xml:space="preserve">(7). </w:t>
            </w:r>
            <w:r w:rsidRPr="00020424">
              <w:rPr>
                <w:rtl/>
              </w:rPr>
              <w:t xml:space="preserve">في « بخ » </w:t>
            </w:r>
            <w:r w:rsidRPr="00515444">
              <w:rPr>
                <w:rStyle w:val="libFootnoteBoldChar"/>
                <w:rtl/>
              </w:rPr>
              <w:t>والوافي</w:t>
            </w:r>
            <w:r w:rsidRPr="00020424">
              <w:rPr>
                <w:rtl/>
              </w:rPr>
              <w:t xml:space="preserve"> : « فبلغ</w:t>
            </w:r>
            <w:r>
              <w:rPr>
                <w:rtl/>
              </w:rPr>
              <w:t xml:space="preserve"> ».</w:t>
            </w:r>
          </w:p>
        </w:tc>
        <w:tc>
          <w:tcPr>
            <w:tcW w:w="4006" w:type="dxa"/>
          </w:tcPr>
          <w:p w:rsidR="000F7CC5" w:rsidRDefault="000F7CC5" w:rsidP="00B70309">
            <w:pPr>
              <w:pStyle w:val="libFootnote0"/>
              <w:rPr>
                <w:rtl/>
              </w:rPr>
            </w:pPr>
            <w:r>
              <w:rPr>
                <w:rtl/>
              </w:rPr>
              <w:t xml:space="preserve">(8). </w:t>
            </w:r>
            <w:r w:rsidRPr="00020424">
              <w:rPr>
                <w:rtl/>
              </w:rPr>
              <w:t>في « بح » : « ومع</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أو مع رجل ؛ يعني يرافق معه في السفر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 يُفْطِرُ</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63851">
        <w:rPr>
          <w:rtl/>
        </w:rPr>
        <w:t>6510</w:t>
      </w:r>
      <w:r w:rsidRPr="001155DE">
        <w:rPr>
          <w:rStyle w:val="libBold2Char"/>
          <w:rtl/>
        </w:rPr>
        <w:t xml:space="preserve"> / 5.</w:t>
      </w:r>
      <w:r w:rsidRPr="00020424">
        <w:rPr>
          <w:rtl/>
          <w:lang w:bidi="fa-IR"/>
        </w:rPr>
        <w:t xml:space="preserve"> مُحَمَّدُ بْنُ يَحْيى ، عَنْ مُحَمَّدِ بْنِ الْحُسَيْنِ ، عَنْ صَفْوَانَ بْنِ يَحْيى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فِي الرَّجُلِ يُشَيِّعُ أَخَاهُ </w:t>
      </w:r>
      <w:r w:rsidRPr="00A91B96">
        <w:rPr>
          <w:rStyle w:val="libFootnotenumChar"/>
          <w:rtl/>
        </w:rPr>
        <w:t>(2)</w:t>
      </w:r>
      <w:r w:rsidRPr="00020424">
        <w:rPr>
          <w:rtl/>
          <w:lang w:bidi="fa-IR"/>
        </w:rPr>
        <w:t xml:space="preserve"> مَسِيرَةَ يَوْمٍ ، أَوْ يَوْمَيْنِ </w:t>
      </w:r>
      <w:r w:rsidRPr="00A91B96">
        <w:rPr>
          <w:rStyle w:val="libFootnotenumChar"/>
          <w:rtl/>
        </w:rPr>
        <w:t>(3)</w:t>
      </w:r>
      <w:r w:rsidRPr="00020424">
        <w:rPr>
          <w:rtl/>
          <w:lang w:bidi="fa-IR"/>
        </w:rPr>
        <w:t xml:space="preserve"> ، أَوْ ثَلَاثَةٍ ، قَالَ :</w:t>
      </w:r>
      <w:r>
        <w:rPr>
          <w:rFonts w:hint="cs"/>
          <w:rtl/>
          <w:lang w:bidi="fa-IR"/>
        </w:rPr>
        <w:t xml:space="preserve"> </w:t>
      </w:r>
      <w:r w:rsidRPr="00020424">
        <w:rPr>
          <w:rtl/>
          <w:lang w:bidi="fa-IR"/>
        </w:rPr>
        <w:t xml:space="preserve">« إِنْ كَانَ فِي </w:t>
      </w:r>
      <w:r w:rsidRPr="00A91B96">
        <w:rPr>
          <w:rStyle w:val="libFootnotenumChar"/>
          <w:rtl/>
        </w:rPr>
        <w:t>(4)</w:t>
      </w:r>
      <w:r w:rsidRPr="00020424">
        <w:rPr>
          <w:rtl/>
          <w:lang w:bidi="fa-IR"/>
        </w:rPr>
        <w:t xml:space="preserve"> شَهْرِ رَمَضَانَ ، فَلْيُفْطِرْ </w:t>
      </w:r>
      <w:r w:rsidRPr="00A91B96">
        <w:rPr>
          <w:rStyle w:val="libFootnotenumChar"/>
          <w:rtl/>
        </w:rPr>
        <w:t>(5)</w:t>
      </w:r>
      <w:r>
        <w:rPr>
          <w:rtl/>
          <w:lang w:bidi="fa-IR"/>
        </w:rPr>
        <w:t xml:space="preserve"> ».</w:t>
      </w:r>
    </w:p>
    <w:p w:rsidR="00992664" w:rsidRPr="00020424" w:rsidRDefault="00992664" w:rsidP="00992664">
      <w:pPr>
        <w:pStyle w:val="libNormal"/>
        <w:rPr>
          <w:rtl/>
          <w:lang w:bidi="fa-IR"/>
        </w:rPr>
      </w:pPr>
      <w:r w:rsidRPr="00020424">
        <w:rPr>
          <w:rtl/>
          <w:lang w:bidi="fa-IR"/>
        </w:rPr>
        <w:t>قُلْتُ : أَيُّمَا أَفْضَلُ : يَصُومُ ، أَوْ يُشَيِّعُهُ</w:t>
      </w:r>
      <w:r>
        <w:rPr>
          <w:rtl/>
          <w:lang w:bidi="fa-IR"/>
        </w:rPr>
        <w:t>؟</w:t>
      </w:r>
    </w:p>
    <w:p w:rsidR="00992664" w:rsidRPr="00020424" w:rsidRDefault="00992664" w:rsidP="00992664">
      <w:pPr>
        <w:pStyle w:val="libNormal"/>
        <w:rPr>
          <w:rtl/>
          <w:lang w:bidi="fa-IR"/>
        </w:rPr>
      </w:pPr>
      <w:r w:rsidRPr="00020424">
        <w:rPr>
          <w:rtl/>
          <w:lang w:bidi="fa-IR"/>
        </w:rPr>
        <w:t>قَالَ : « يُشَيِّعُهُ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قَدْ وَضَعَهُ عَنْهُ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263851">
        <w:rPr>
          <w:rtl/>
        </w:rPr>
        <w:t>6511</w:t>
      </w:r>
      <w:r w:rsidRPr="001155DE">
        <w:rPr>
          <w:rStyle w:val="libBold2Char"/>
          <w:rtl/>
        </w:rPr>
        <w:t xml:space="preserve"> / 6.</w:t>
      </w:r>
      <w:r w:rsidRPr="00020424">
        <w:rPr>
          <w:rtl/>
          <w:lang w:bidi="fa-IR"/>
        </w:rPr>
        <w:t xml:space="preserve"> الْحُسَيْنُ بْنُ مُحَمَّدٍ ، عَنْ مُعَلَّى بْنِ مُحَمَّدٍ ، عَنِ الْحَسَنِ بْنِ عَلِيٍّ الْوَشَّاءِ ، عَنْ حَمَّادِ بْنِ عُثْمَانَ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رَجُلٌ مِنْ أَصْحَابِي </w:t>
      </w:r>
      <w:r w:rsidRPr="00A91B96">
        <w:rPr>
          <w:rStyle w:val="libFootnotenumChar"/>
          <w:rtl/>
        </w:rPr>
        <w:t>(7)</w:t>
      </w:r>
      <w:r w:rsidRPr="00020424">
        <w:rPr>
          <w:rtl/>
          <w:lang w:bidi="fa-IR"/>
        </w:rPr>
        <w:t xml:space="preserve"> قَدْ </w:t>
      </w:r>
      <w:r w:rsidRPr="00A91B96">
        <w:rPr>
          <w:rStyle w:val="libFootnotenumChar"/>
          <w:rtl/>
        </w:rPr>
        <w:t>(8)</w:t>
      </w:r>
      <w:r w:rsidRPr="00020424">
        <w:rPr>
          <w:rtl/>
          <w:lang w:bidi="fa-IR"/>
        </w:rPr>
        <w:t xml:space="preserve"> جَاءَنِي خَبَرُهُ </w:t>
      </w:r>
      <w:r w:rsidRPr="00A91B96">
        <w:rPr>
          <w:rStyle w:val="libFootnotenumChar"/>
          <w:rtl/>
        </w:rPr>
        <w:t>(9)</w:t>
      </w:r>
      <w:r w:rsidRPr="00020424">
        <w:rPr>
          <w:rtl/>
          <w:lang w:bidi="fa-IR"/>
        </w:rPr>
        <w:t xml:space="preserve"> مِنَ </w:t>
      </w:r>
      <w:r w:rsidRPr="00A91B96">
        <w:rPr>
          <w:rStyle w:val="libFootnotenumChar"/>
          <w:rtl/>
        </w:rPr>
        <w:t>(10)</w:t>
      </w:r>
      <w:r w:rsidRPr="00020424">
        <w:rPr>
          <w:rtl/>
          <w:lang w:bidi="fa-IR"/>
        </w:rPr>
        <w:t xml:space="preserve"> الْأَعْوَصِ </w:t>
      </w:r>
      <w:r w:rsidRPr="00A91B96">
        <w:rPr>
          <w:rStyle w:val="libFootnotenumChar"/>
          <w:rtl/>
        </w:rPr>
        <w:t>(11)</w:t>
      </w:r>
      <w:r w:rsidRPr="00020424">
        <w:rPr>
          <w:rtl/>
          <w:lang w:bidi="fa-IR"/>
        </w:rPr>
        <w:t xml:space="preserve"> ،</w:t>
      </w:r>
      <w:r w:rsidR="00BC01E7" w:rsidRPr="00BC01E7">
        <w:rPr>
          <w:rtl/>
          <w:lang w:bidi="fa-IR"/>
        </w:rPr>
        <w:t xml:space="preserve"> </w:t>
      </w:r>
      <w:r w:rsidR="00BC01E7" w:rsidRPr="00020424">
        <w:rPr>
          <w:rtl/>
          <w:lang w:bidi="fa-IR"/>
        </w:rPr>
        <w:t>وَذلِكَ فِي شَهْرِ رَمَضَانَ : أَتَلَقَّاهُ وَأُفْطِرُ</w:t>
      </w:r>
      <w:r w:rsidR="00BC01E7">
        <w:rPr>
          <w:rtl/>
          <w:lang w:bidi="fa-IR"/>
        </w:rPr>
        <w:t>؟</w:t>
      </w:r>
      <w:r w:rsidR="00BC01E7" w:rsidRPr="00020424">
        <w:rPr>
          <w:rtl/>
          <w:lang w:bidi="fa-IR"/>
        </w:rPr>
        <w:t xml:space="preserve"> قَالَ : « نَعَمْ</w:t>
      </w:r>
      <w:r w:rsidR="00BC01E7">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307 ، ح 10926 ؛ </w:t>
      </w:r>
      <w:r w:rsidR="00992664" w:rsidRPr="0012008A">
        <w:rPr>
          <w:rStyle w:val="libFootnoteBoldChar"/>
          <w:rtl/>
        </w:rPr>
        <w:t>الوسائل</w:t>
      </w:r>
      <w:r w:rsidR="00992664" w:rsidRPr="00020424">
        <w:rPr>
          <w:rtl/>
        </w:rPr>
        <w:t xml:space="preserve"> ، ج 8 ، ص 483 ، ح 11231.</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 + « في شهر رمضان فيبلغ</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 « ويومين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قال : إذا شيّع الرجل أخاه فليقصر » بدل « في الرجل يشيّع</w:t>
      </w:r>
      <w:r w:rsidR="00992664">
        <w:rPr>
          <w:rtl/>
        </w:rPr>
        <w:t xml:space="preserve"> </w:t>
      </w:r>
      <w:r w:rsidR="009B673F">
        <w:rPr>
          <w:rtl/>
        </w:rPr>
        <w:t>-</w:t>
      </w:r>
      <w:r w:rsidR="00992664">
        <w:rPr>
          <w:rtl/>
        </w:rPr>
        <w:t xml:space="preserve"> </w:t>
      </w:r>
      <w:r w:rsidR="00992664" w:rsidRPr="00020424">
        <w:rPr>
          <w:rtl/>
        </w:rPr>
        <w:t>إلى قوله</w:t>
      </w:r>
      <w:r w:rsidR="00992664">
        <w:rPr>
          <w:rtl/>
        </w:rPr>
        <w:t xml:space="preserve"> </w:t>
      </w:r>
      <w:r w:rsidR="009B673F">
        <w:rPr>
          <w:rtl/>
        </w:rPr>
        <w:t>-</w:t>
      </w:r>
      <w:r w:rsidR="00992664">
        <w:rPr>
          <w:rtl/>
        </w:rPr>
        <w:t xml:space="preserve"> </w:t>
      </w:r>
      <w:r w:rsidR="00992664" w:rsidRPr="00020424">
        <w:rPr>
          <w:rtl/>
        </w:rPr>
        <w:t>فليفطر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3 ، ص 219 ، ح 545 ، بسنده عن محمّد بن الحسين. </w:t>
      </w:r>
      <w:r w:rsidR="00992664" w:rsidRPr="0012008A">
        <w:rPr>
          <w:rStyle w:val="libFootnoteBoldChar"/>
          <w:rtl/>
        </w:rPr>
        <w:t>الفقيه</w:t>
      </w:r>
      <w:r w:rsidR="00992664" w:rsidRPr="00020424">
        <w:rPr>
          <w:rtl/>
        </w:rPr>
        <w:t xml:space="preserve"> ، ج 2 ، ص 140 ، ح 1971 ، مرسلاً من دون التصريح باسم المعصوم </w:t>
      </w:r>
      <w:r w:rsidR="00992664" w:rsidRPr="00D64ADA">
        <w:rPr>
          <w:rStyle w:val="libFootnoteAlaemChar"/>
          <w:rtl/>
        </w:rPr>
        <w:t>عليه‌السلام</w:t>
      </w:r>
      <w:r w:rsidR="00992664" w:rsidRPr="00020424">
        <w:rPr>
          <w:rtl/>
        </w:rPr>
        <w:t xml:space="preserve"> ، مع اختلاف يسير </w:t>
      </w:r>
      <w:r w:rsidR="00BC01E7">
        <w:rPr>
          <w:rFonts w:hint="cs"/>
          <w:rtl/>
        </w:rPr>
        <w:t>.</w:t>
      </w:r>
      <w:r w:rsidR="00992664" w:rsidRPr="0012008A">
        <w:rPr>
          <w:rStyle w:val="libFootnoteBoldChar"/>
          <w:rtl/>
        </w:rPr>
        <w:t>الوافي</w:t>
      </w:r>
      <w:r w:rsidR="00992664" w:rsidRPr="00020424">
        <w:rPr>
          <w:rtl/>
        </w:rPr>
        <w:t xml:space="preserve"> ، ج 11 ، ص 306 ، ح 10921 ؛ </w:t>
      </w:r>
      <w:r w:rsidR="00992664" w:rsidRPr="0012008A">
        <w:rPr>
          <w:rStyle w:val="libFootnoteBoldChar"/>
          <w:rtl/>
        </w:rPr>
        <w:t>الوسائل</w:t>
      </w:r>
      <w:r w:rsidR="00992664" w:rsidRPr="00020424">
        <w:rPr>
          <w:rtl/>
        </w:rPr>
        <w:t xml:space="preserve"> ، ج 8 ، ص 482 ، ح 11227.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أصحابنا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بح » : « وقد</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بف » : « خبر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 الأعوص » : موضع قريب من المدينة ، وواد بديار باهلة. راجع : </w:t>
      </w:r>
      <w:r w:rsidR="00992664" w:rsidRPr="00A722B1">
        <w:rPr>
          <w:rStyle w:val="libFootnoteBoldChar"/>
          <w:rtl/>
        </w:rPr>
        <w:t>لسان العرب</w:t>
      </w:r>
      <w:r w:rsidR="00992664" w:rsidRPr="00020424">
        <w:rPr>
          <w:rtl/>
        </w:rPr>
        <w:t xml:space="preserve"> ، ج 7 ، ص 59 ؛ </w:t>
      </w:r>
      <w:r w:rsidR="00992664" w:rsidRPr="00A722B1">
        <w:rPr>
          <w:rStyle w:val="libFootnoteBoldChar"/>
          <w:rtl/>
        </w:rPr>
        <w:t>القاموس المحيط</w:t>
      </w:r>
      <w:r w:rsidR="00992664" w:rsidRPr="00020424">
        <w:rPr>
          <w:rtl/>
        </w:rPr>
        <w:t xml:space="preserve"> ، ج 1 ، ص 848 ( عوص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قُلْتُ : أَتَلَقَّاهُ وَأُفْطِرُ ، أَوْ أُقِيمُ </w:t>
      </w:r>
      <w:r w:rsidRPr="00A91B96">
        <w:rPr>
          <w:rStyle w:val="libFootnotenumChar"/>
          <w:rtl/>
        </w:rPr>
        <w:t>(1)</w:t>
      </w:r>
      <w:r w:rsidRPr="00020424">
        <w:rPr>
          <w:rtl/>
          <w:lang w:bidi="fa-IR"/>
        </w:rPr>
        <w:t xml:space="preserve"> وَأَصُومُ</w:t>
      </w:r>
      <w:r>
        <w:rPr>
          <w:rtl/>
          <w:lang w:bidi="fa-IR"/>
        </w:rPr>
        <w:t>؟</w:t>
      </w:r>
      <w:r w:rsidRPr="00020424">
        <w:rPr>
          <w:rtl/>
          <w:lang w:bidi="fa-IR"/>
        </w:rPr>
        <w:t xml:space="preserve"> قَالَ : « تَلَقَّهُ </w:t>
      </w:r>
      <w:r w:rsidRPr="00A91B96">
        <w:rPr>
          <w:rStyle w:val="libFootnotenumChar"/>
          <w:rtl/>
        </w:rPr>
        <w:t>(2)</w:t>
      </w:r>
      <w:r w:rsidRPr="00020424">
        <w:rPr>
          <w:rtl/>
          <w:lang w:bidi="fa-IR"/>
        </w:rPr>
        <w:t xml:space="preserve"> وَأَفْطِرْ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263851">
        <w:rPr>
          <w:rtl/>
        </w:rPr>
        <w:t>6512</w:t>
      </w:r>
      <w:r w:rsidRPr="001155DE">
        <w:rPr>
          <w:rStyle w:val="libBold2Char"/>
          <w:rtl/>
        </w:rPr>
        <w:t xml:space="preserve"> / 7.</w:t>
      </w:r>
      <w:r w:rsidRPr="00020424">
        <w:rPr>
          <w:rtl/>
          <w:lang w:bidi="fa-IR"/>
        </w:rPr>
        <w:t xml:space="preserve"> حُمَيْدُ بْنُ زِيَادٍ ، عَنِ ابْنِ سَمَاعَةَ ، عَنْ عِدَّةٍ ، عَنْ أَبَانِ بْنِ عُثْمَانَ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قُلْتُ </w:t>
      </w:r>
      <w:r w:rsidRPr="00A91B96">
        <w:rPr>
          <w:rStyle w:val="libFootnotenumChar"/>
          <w:rtl/>
        </w:rPr>
        <w:t>(4)</w:t>
      </w:r>
      <w:r w:rsidRPr="00020424">
        <w:rPr>
          <w:rtl/>
          <w:lang w:bidi="fa-IR"/>
        </w:rPr>
        <w:t xml:space="preserve"> : الرَّجُلُ يُشَيِّعُ أَخَاهُ فِي شَهْرِ رَمَضَانَ الْيَوْمَ وَالْيَوْمَيْنِ</w:t>
      </w:r>
      <w:r>
        <w:rPr>
          <w:rtl/>
          <w:lang w:bidi="fa-IR"/>
        </w:rPr>
        <w:t>؟</w:t>
      </w:r>
    </w:p>
    <w:p w:rsidR="00992664" w:rsidRPr="00020424" w:rsidRDefault="00992664" w:rsidP="00992664">
      <w:pPr>
        <w:pStyle w:val="libNormal"/>
        <w:rPr>
          <w:rtl/>
          <w:lang w:bidi="fa-IR"/>
        </w:rPr>
      </w:pPr>
      <w:r w:rsidRPr="00020424">
        <w:rPr>
          <w:rtl/>
          <w:lang w:bidi="fa-IR"/>
        </w:rPr>
        <w:t>قَالَ : « يُفْطِرُ وَيَقْضِي</w:t>
      </w:r>
      <w:r>
        <w:rPr>
          <w:rtl/>
          <w:lang w:bidi="fa-IR"/>
        </w:rPr>
        <w:t xml:space="preserve"> ».</w:t>
      </w:r>
    </w:p>
    <w:p w:rsidR="00992664" w:rsidRPr="00020424" w:rsidRDefault="00992664" w:rsidP="00992664">
      <w:pPr>
        <w:pStyle w:val="libNormal"/>
        <w:rPr>
          <w:rtl/>
          <w:lang w:bidi="fa-IR"/>
        </w:rPr>
      </w:pPr>
      <w:r w:rsidRPr="00020424">
        <w:rPr>
          <w:rtl/>
          <w:lang w:bidi="fa-IR"/>
        </w:rPr>
        <w:t xml:space="preserve">قِيلَ لَهُ : فَذلِكَ أَفْضَلُ ، أَوْ يُقِيمُ </w:t>
      </w:r>
      <w:r w:rsidRPr="00A91B96">
        <w:rPr>
          <w:rStyle w:val="libFootnotenumChar"/>
          <w:rtl/>
        </w:rPr>
        <w:t>(5)</w:t>
      </w:r>
      <w:r w:rsidRPr="00020424">
        <w:rPr>
          <w:rtl/>
          <w:lang w:bidi="fa-IR"/>
        </w:rPr>
        <w:t xml:space="preserve"> وَلَايُشَيِّعُهُ</w:t>
      </w:r>
      <w:r>
        <w:rPr>
          <w:rtl/>
          <w:lang w:bidi="fa-IR"/>
        </w:rPr>
        <w:t>؟</w:t>
      </w:r>
    </w:p>
    <w:p w:rsidR="00992664" w:rsidRPr="00020424" w:rsidRDefault="00992664" w:rsidP="00E16505">
      <w:pPr>
        <w:pStyle w:val="libNormal"/>
        <w:rPr>
          <w:rtl/>
          <w:lang w:bidi="fa-IR"/>
        </w:rPr>
      </w:pPr>
      <w:r w:rsidRPr="00020424">
        <w:rPr>
          <w:rtl/>
          <w:lang w:bidi="fa-IR"/>
        </w:rPr>
        <w:t>قَالَ : « يُشَيِّعُهُ وَيُفْطِرُ ؛ فَإِنَّ ذلِكَ حَقٌّ عَلَيْهِ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456" w:name="_Toc345172868"/>
      <w:bookmarkStart w:id="457" w:name="_Toc464562684"/>
      <w:bookmarkStart w:id="458" w:name="_Toc44599989"/>
      <w:r w:rsidRPr="00020424">
        <w:rPr>
          <w:rtl/>
          <w:lang w:bidi="fa-IR"/>
        </w:rPr>
        <w:t>51</w:t>
      </w:r>
      <w:r>
        <w:rPr>
          <w:rtl/>
          <w:lang w:bidi="fa-IR"/>
        </w:rPr>
        <w:t xml:space="preserve"> </w:t>
      </w:r>
      <w:r w:rsidR="009B673F">
        <w:rPr>
          <w:rtl/>
          <w:lang w:bidi="fa-IR"/>
        </w:rPr>
        <w:t>-</w:t>
      </w:r>
      <w:r>
        <w:rPr>
          <w:rtl/>
          <w:lang w:bidi="fa-IR"/>
        </w:rPr>
        <w:t xml:space="preserve"> </w:t>
      </w:r>
      <w:r w:rsidRPr="00020424">
        <w:rPr>
          <w:rtl/>
          <w:lang w:bidi="fa-IR"/>
        </w:rPr>
        <w:t>بَابُ صَوْمِ التَّطَوُّعِ فِي السَّفَرِ وَتَقْدِيمِهِ وَقَضَائِهِ‌</w:t>
      </w:r>
      <w:bookmarkEnd w:id="456"/>
      <w:bookmarkEnd w:id="457"/>
      <w:bookmarkEnd w:id="458"/>
    </w:p>
    <w:p w:rsidR="00992664" w:rsidRPr="00020424" w:rsidRDefault="00992664" w:rsidP="00992664">
      <w:pPr>
        <w:pStyle w:val="libNormal"/>
        <w:rPr>
          <w:rtl/>
          <w:lang w:bidi="fa-IR"/>
        </w:rPr>
      </w:pPr>
      <w:r w:rsidRPr="00263851">
        <w:rPr>
          <w:rtl/>
        </w:rPr>
        <w:t>6513</w:t>
      </w:r>
      <w:r w:rsidRPr="001155DE">
        <w:rPr>
          <w:rStyle w:val="libBold2Char"/>
          <w:rtl/>
        </w:rPr>
        <w:t xml:space="preserve"> / 1.</w:t>
      </w:r>
      <w:r w:rsidRPr="00020424">
        <w:rPr>
          <w:rtl/>
          <w:lang w:bidi="fa-IR"/>
        </w:rPr>
        <w:t xml:space="preserve"> عِدَّةٌ مِنْ أَصْحَابِنَا ، عَنْ سَهْلِ بْنِ زِيَادٍ ، عَنْ مَنْصُورِ بْنِ الْعَبَّاسِ ، عَنْ مُحَمَّدِ بْنِ عَبْدِ اللهِ بْنِ وَاسِعٍ </w:t>
      </w:r>
      <w:r w:rsidRPr="00A91B96">
        <w:rPr>
          <w:rStyle w:val="libFootnotenumChar"/>
          <w:rtl/>
        </w:rPr>
        <w:t>(7)</w:t>
      </w:r>
      <w:r w:rsidRPr="00020424">
        <w:rPr>
          <w:rtl/>
          <w:lang w:bidi="fa-IR"/>
        </w:rPr>
        <w:t xml:space="preserve"> ، عَنْ إِسْمَاعِيلَ بْنِ سَهْلٍ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(8)</w:t>
      </w:r>
      <w:r w:rsidRPr="00020424">
        <w:rPr>
          <w:rtl/>
          <w:lang w:bidi="fa-IR"/>
        </w:rPr>
        <w:t xml:space="preserve"> ، قَالَ : خَرَجَ أَبُو عَبْدِ اللهِ </w:t>
      </w:r>
      <w:r w:rsidRPr="00005A81">
        <w:rPr>
          <w:rStyle w:val="libAlaemChar"/>
          <w:rtl/>
        </w:rPr>
        <w:t>عليه‌السلام</w:t>
      </w:r>
      <w:r w:rsidRPr="00020424">
        <w:rPr>
          <w:rtl/>
          <w:lang w:bidi="fa-IR"/>
        </w:rPr>
        <w:t xml:space="preserve"> مِنَ الْمَدِينَةِ فِي أَيَّامٍ بَقِينَ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بخ » : « وأُقيم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ى ، بس » </w:t>
      </w:r>
      <w:r w:rsidR="00992664" w:rsidRPr="00515444">
        <w:rPr>
          <w:rStyle w:val="libFootnoteBoldChar"/>
          <w:rtl/>
        </w:rPr>
        <w:t>والوافي</w:t>
      </w:r>
      <w:r w:rsidR="00992664" w:rsidRPr="00020424">
        <w:rPr>
          <w:rtl/>
        </w:rPr>
        <w:t xml:space="preserve"> ، وهو ما يقتضيه المقام من عطف الإنشاء على الإنشاء. وفي سائر النسخ والمطبوع : « تلقّاه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140 ، ح 1972 ، معلّقاً عن الوشّاء </w:t>
      </w:r>
      <w:r w:rsidR="00E16505">
        <w:rPr>
          <w:rFonts w:hint="cs"/>
          <w:rtl/>
        </w:rPr>
        <w:t>.</w:t>
      </w:r>
      <w:r w:rsidR="00992664" w:rsidRPr="0012008A">
        <w:rPr>
          <w:rStyle w:val="libFootnoteBoldChar"/>
          <w:rtl/>
        </w:rPr>
        <w:t>الوافي</w:t>
      </w:r>
      <w:r w:rsidR="00992664" w:rsidRPr="00020424">
        <w:rPr>
          <w:rtl/>
        </w:rPr>
        <w:t xml:space="preserve"> ، ج 11 ، ص 306 ، ح 10923 ؛ </w:t>
      </w:r>
      <w:r w:rsidR="00992664" w:rsidRPr="0012008A">
        <w:rPr>
          <w:rStyle w:val="libFootnoteBoldChar"/>
          <w:rtl/>
        </w:rPr>
        <w:t>الوسائل</w:t>
      </w:r>
      <w:r w:rsidR="00992664" w:rsidRPr="00020424">
        <w:rPr>
          <w:rtl/>
        </w:rPr>
        <w:t xml:space="preserve"> ، ج 8 ، ص 482 ، ذيل ح 11226.</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 + « له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بف » : « أو يصوم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3 ، ص 218 ، ذيل ح 540 ، بسنده عن أبان بن عثمان ، مع اختلاف يسير. راجع : </w:t>
      </w:r>
      <w:r w:rsidR="00992664" w:rsidRPr="00DE76B9">
        <w:rPr>
          <w:rStyle w:val="libFootnoteBoldChar"/>
          <w:rtl/>
        </w:rPr>
        <w:t>الكافي</w:t>
      </w:r>
      <w:r w:rsidR="00E16505">
        <w:rPr>
          <w:rtl/>
        </w:rPr>
        <w:t xml:space="preserve"> ، كتاب الصلاة ، باب صلاة المل</w:t>
      </w:r>
      <w:r w:rsidR="00E16505">
        <w:rPr>
          <w:rFonts w:hint="cs"/>
          <w:rtl/>
        </w:rPr>
        <w:t>ّ</w:t>
      </w:r>
      <w:r w:rsidR="00E16505">
        <w:rPr>
          <w:rtl/>
        </w:rPr>
        <w:t>ا</w:t>
      </w:r>
      <w:r w:rsidR="00992664" w:rsidRPr="00020424">
        <w:rPr>
          <w:rtl/>
        </w:rPr>
        <w:t>حين والمكارين</w:t>
      </w:r>
      <w:r w:rsidR="00992664">
        <w:rPr>
          <w:rtl/>
        </w:rPr>
        <w:t xml:space="preserve"> ..</w:t>
      </w:r>
      <w:r w:rsidR="00992664" w:rsidRPr="00020424">
        <w:rPr>
          <w:rtl/>
        </w:rPr>
        <w:t xml:space="preserve">. ، ح 5524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3 ، ص 217 ، ح 536 ؛ </w:t>
      </w:r>
      <w:r w:rsidR="00992664" w:rsidRPr="00FD6221">
        <w:rPr>
          <w:rStyle w:val="libFootnoteBoldChar"/>
          <w:rtl/>
        </w:rPr>
        <w:t>والاستبصار</w:t>
      </w:r>
      <w:r w:rsidR="00992664" w:rsidRPr="00020424">
        <w:rPr>
          <w:rtl/>
        </w:rPr>
        <w:t xml:space="preserve"> ، ج 1 ، ص 235 ، ح 840 </w:t>
      </w:r>
      <w:r w:rsidR="00E16505">
        <w:rPr>
          <w:rFonts w:hint="cs"/>
          <w:rtl/>
        </w:rPr>
        <w:t>.</w:t>
      </w:r>
      <w:r w:rsidR="00992664" w:rsidRPr="0012008A">
        <w:rPr>
          <w:rStyle w:val="libFootnoteBoldChar"/>
          <w:rtl/>
        </w:rPr>
        <w:t>الوافي</w:t>
      </w:r>
      <w:r w:rsidR="00992664" w:rsidRPr="00020424">
        <w:rPr>
          <w:rtl/>
        </w:rPr>
        <w:t xml:space="preserve"> ، ج 11 ، ص 307 ، ح 10925 ؛ </w:t>
      </w:r>
      <w:r w:rsidR="00992664" w:rsidRPr="0012008A">
        <w:rPr>
          <w:rStyle w:val="libFootnoteBoldChar"/>
          <w:rtl/>
        </w:rPr>
        <w:t>الوسائل</w:t>
      </w:r>
      <w:r w:rsidR="00992664" w:rsidRPr="00020424">
        <w:rPr>
          <w:rtl/>
        </w:rPr>
        <w:t xml:space="preserve"> ، ج 8 ، ص 484 ، ح 11232.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 رافع</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xml:space="preserve">« عن أبي عبد الله </w:t>
      </w:r>
      <w:r w:rsidR="00992664" w:rsidRPr="00D64ADA">
        <w:rPr>
          <w:rStyle w:val="libFootnoteAlaemChar"/>
          <w:rtl/>
        </w:rPr>
        <w:t>عليه‌السلام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 xml:space="preserve">شَعْبَانَ ، فَكَانَ </w:t>
      </w:r>
      <w:r w:rsidRPr="00A91B96">
        <w:rPr>
          <w:rStyle w:val="libFootnotenumChar"/>
          <w:rtl/>
        </w:rPr>
        <w:t>(1)</w:t>
      </w:r>
      <w:r w:rsidRPr="00020424">
        <w:rPr>
          <w:rtl/>
          <w:lang w:bidi="fa-IR"/>
        </w:rPr>
        <w:t xml:space="preserve"> يَصُومُ ، ثُمَّ </w:t>
      </w:r>
      <w:r w:rsidRPr="00A91B96">
        <w:rPr>
          <w:rStyle w:val="libFootnotenumChar"/>
          <w:rtl/>
        </w:rPr>
        <w:t>(2)</w:t>
      </w:r>
      <w:r w:rsidRPr="00020424">
        <w:rPr>
          <w:rtl/>
          <w:lang w:bidi="fa-IR"/>
        </w:rPr>
        <w:t xml:space="preserve"> دَخَلَ عَلَيْهِ </w:t>
      </w:r>
      <w:r w:rsidRPr="00A91B96">
        <w:rPr>
          <w:rStyle w:val="libFootnotenumChar"/>
          <w:rtl/>
        </w:rPr>
        <w:t>(3)</w:t>
      </w:r>
      <w:r w:rsidRPr="00020424">
        <w:rPr>
          <w:rtl/>
          <w:lang w:bidi="fa-IR"/>
        </w:rPr>
        <w:t xml:space="preserve"> شَهْرُ رَمَضَانَ وَهُوَ فِي السَّفَرِ ، فَأَفْطَرَ ، فَقِيلَ </w:t>
      </w:r>
      <w:r w:rsidRPr="00A91B96">
        <w:rPr>
          <w:rStyle w:val="libFootnotenumChar"/>
          <w:rtl/>
        </w:rPr>
        <w:t>(4)</w:t>
      </w:r>
      <w:r w:rsidRPr="00020424">
        <w:rPr>
          <w:rtl/>
          <w:lang w:bidi="fa-IR"/>
        </w:rPr>
        <w:t xml:space="preserve"> لَهُ : تَصُومُ </w:t>
      </w:r>
      <w:r w:rsidRPr="00A91B96">
        <w:rPr>
          <w:rStyle w:val="libFootnotenumChar"/>
          <w:rtl/>
        </w:rPr>
        <w:t>(5)</w:t>
      </w:r>
      <w:r w:rsidRPr="00020424">
        <w:rPr>
          <w:rtl/>
          <w:lang w:bidi="fa-IR"/>
        </w:rPr>
        <w:t xml:space="preserve"> شَعْبَانَ ، وَتُفْطِرُ شَهْرَ </w:t>
      </w:r>
      <w:r w:rsidRPr="00A91B96">
        <w:rPr>
          <w:rStyle w:val="libFootnotenumChar"/>
          <w:rtl/>
        </w:rPr>
        <w:t>(6)</w:t>
      </w:r>
      <w:r w:rsidRPr="00020424">
        <w:rPr>
          <w:rtl/>
          <w:lang w:bidi="fa-IR"/>
        </w:rPr>
        <w:t xml:space="preserve"> رَمَضَانَ</w:t>
      </w:r>
      <w:r>
        <w:rPr>
          <w:rtl/>
          <w:lang w:bidi="fa-IR"/>
        </w:rPr>
        <w:t>؟!</w:t>
      </w:r>
    </w:p>
    <w:p w:rsidR="00992664" w:rsidRPr="00020424" w:rsidRDefault="00992664" w:rsidP="00992664">
      <w:pPr>
        <w:pStyle w:val="libNormal"/>
        <w:rPr>
          <w:rtl/>
          <w:lang w:bidi="fa-IR"/>
        </w:rPr>
      </w:pPr>
      <w:r w:rsidRPr="00020424">
        <w:rPr>
          <w:rtl/>
          <w:lang w:bidi="fa-IR"/>
        </w:rPr>
        <w:t xml:space="preserve">فَقَالَ : « نَعَمْ ، شَعْبَانُ إِلَيَّ </w:t>
      </w:r>
      <w:r w:rsidRPr="00A91B96">
        <w:rPr>
          <w:rStyle w:val="libFootnotenumChar"/>
          <w:rtl/>
        </w:rPr>
        <w:t>(7)</w:t>
      </w:r>
      <w:r w:rsidRPr="00020424">
        <w:rPr>
          <w:rtl/>
          <w:lang w:bidi="fa-IR"/>
        </w:rPr>
        <w:t xml:space="preserve"> ، إِنْ شِئْتُ صُمْتُ </w:t>
      </w:r>
      <w:r w:rsidRPr="00A91B96">
        <w:rPr>
          <w:rStyle w:val="libFootnotenumChar"/>
          <w:rtl/>
        </w:rPr>
        <w:t>(8)</w:t>
      </w:r>
      <w:r w:rsidRPr="00020424">
        <w:rPr>
          <w:rtl/>
          <w:lang w:bidi="fa-IR"/>
        </w:rPr>
        <w:t xml:space="preserve"> ، وَإِنْ شِئْتُ لَا ، وَشَهْرُ رَمَضَانَ عَزْمٌ مِنَ اللهِ عَزَّ وَجَلَّ ؛ عَلَيَّ الْإفْطَارُ</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263851">
        <w:rPr>
          <w:rtl/>
        </w:rPr>
        <w:t>6514</w:t>
      </w:r>
      <w:r w:rsidRPr="001155DE">
        <w:rPr>
          <w:rStyle w:val="libBold2Char"/>
          <w:rtl/>
        </w:rPr>
        <w:t xml:space="preserve"> / 2.</w:t>
      </w:r>
      <w:r w:rsidRPr="00020424">
        <w:rPr>
          <w:rtl/>
          <w:lang w:bidi="fa-IR"/>
        </w:rPr>
        <w:t xml:space="preserve"> مُحَمَّدُ بْنُ يَحْيى ، عَنْ مُحَمَّدِ بْنِ أَحْمَدَ ، عَنْ أَحْمَدَ بْنِ هِلَالٍ ، عَنْ عَمْرِو بْنِ عُثْمَانَ ، عَنْ عُذَافِرٍ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أَصُومُ هذِهِ الثَّلَاثَةَ الْأَيَّامِ فِي الشَّهْرِ ، فَرُبَّمَا سَافَرْتُ ، وَرُبَّمَا أَصَابَتْنِي </w:t>
      </w:r>
      <w:r w:rsidRPr="00A91B96">
        <w:rPr>
          <w:rStyle w:val="libFootnotenumChar"/>
          <w:rtl/>
        </w:rPr>
        <w:t>(10)</w:t>
      </w:r>
      <w:r w:rsidRPr="00020424">
        <w:rPr>
          <w:rtl/>
          <w:lang w:bidi="fa-IR"/>
        </w:rPr>
        <w:t xml:space="preserve"> عِلَّةٌ ، فَيَجِبُ عَلَيَّ قَضَاؤُهَا </w:t>
      </w:r>
      <w:r w:rsidRPr="00A91B96">
        <w:rPr>
          <w:rStyle w:val="libFootnotenumChar"/>
          <w:rtl/>
        </w:rPr>
        <w:t>(11)</w:t>
      </w:r>
      <w:r>
        <w:rPr>
          <w:rtl/>
          <w:lang w:bidi="fa-IR"/>
        </w:rPr>
        <w:t>؟</w:t>
      </w:r>
    </w:p>
    <w:p w:rsidR="00992664" w:rsidRPr="00020424" w:rsidRDefault="00992664" w:rsidP="00992664">
      <w:pPr>
        <w:pStyle w:val="libNormal"/>
        <w:rPr>
          <w:rtl/>
          <w:lang w:bidi="fa-IR"/>
        </w:rPr>
      </w:pPr>
      <w:r w:rsidRPr="00020424">
        <w:rPr>
          <w:rtl/>
          <w:lang w:bidi="fa-IR"/>
        </w:rPr>
        <w:t xml:space="preserve">قَالَ : فَقَالَ لِي </w:t>
      </w:r>
      <w:r w:rsidRPr="00A91B96">
        <w:rPr>
          <w:rStyle w:val="libFootnotenumChar"/>
          <w:rtl/>
        </w:rPr>
        <w:t>(12)</w:t>
      </w:r>
      <w:r w:rsidRPr="00020424">
        <w:rPr>
          <w:rtl/>
          <w:lang w:bidi="fa-IR"/>
        </w:rPr>
        <w:t xml:space="preserve"> : « إِنَّمَا يَجِبُ الْفَرْضُ ، فَأَمَّا </w:t>
      </w:r>
      <w:r w:rsidRPr="00A91B96">
        <w:rPr>
          <w:rStyle w:val="libFootnotenumChar"/>
          <w:rtl/>
        </w:rPr>
        <w:t>(13)</w:t>
      </w:r>
      <w:r w:rsidRPr="00020424">
        <w:rPr>
          <w:rtl/>
          <w:lang w:bidi="fa-IR"/>
        </w:rPr>
        <w:t xml:space="preserve"> غَيْرُ الْفَرْضِ ، فَأَنْتَ فِيهِ بِالْخِيَارِ</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بِالْخِيَارِ </w:t>
      </w:r>
      <w:r w:rsidRPr="00A91B96">
        <w:rPr>
          <w:rStyle w:val="libFootnotenumChar"/>
          <w:rtl/>
        </w:rPr>
        <w:t>(14)</w:t>
      </w:r>
      <w:r w:rsidRPr="00020424">
        <w:rPr>
          <w:rtl/>
          <w:lang w:bidi="fa-IR"/>
        </w:rPr>
        <w:t xml:space="preserve"> فِي السَّفَرِ وَالْمَرَضِ</w:t>
      </w:r>
      <w:r>
        <w:rPr>
          <w:rtl/>
          <w:lang w:bidi="fa-IR"/>
        </w:rPr>
        <w:t>؟</w:t>
      </w:r>
    </w:p>
    <w:p w:rsidR="00992664" w:rsidRPr="00020424" w:rsidRDefault="00992664" w:rsidP="00992664">
      <w:pPr>
        <w:pStyle w:val="libNormal"/>
        <w:rPr>
          <w:rtl/>
          <w:lang w:bidi="fa-IR"/>
        </w:rPr>
      </w:pPr>
      <w:r w:rsidRPr="00020424">
        <w:rPr>
          <w:rtl/>
          <w:lang w:bidi="fa-IR"/>
        </w:rPr>
        <w:t>قَالَ : فَقَالَ : « الْمَرَضُ قَدْ وَضَعَهُ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عَنْكَ ، وَالسَّفَرُ إِنْ شِئْتَ فَاقْضِهِ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وكان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عن بعض النسخ : « حتّى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بح » : « قيل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2231A" w:rsidTr="0092231A">
        <w:tc>
          <w:tcPr>
            <w:tcW w:w="4006" w:type="dxa"/>
          </w:tcPr>
          <w:p w:rsidR="0092231A" w:rsidRDefault="0092231A" w:rsidP="00992664">
            <w:pPr>
              <w:pStyle w:val="libFootnote0"/>
              <w:rPr>
                <w:rtl/>
              </w:rPr>
            </w:pPr>
            <w:r>
              <w:rPr>
                <w:rtl/>
              </w:rPr>
              <w:t xml:space="preserve">(5). </w:t>
            </w:r>
            <w:r w:rsidRPr="00020424">
              <w:rPr>
                <w:rtl/>
              </w:rPr>
              <w:t xml:space="preserve">في </w:t>
            </w:r>
            <w:r w:rsidRPr="0012008A">
              <w:rPr>
                <w:rStyle w:val="libFootnoteBoldChar"/>
                <w:rtl/>
              </w:rPr>
              <w:t>التهذيب</w:t>
            </w:r>
            <w:r w:rsidRPr="00020424">
              <w:rPr>
                <w:rtl/>
              </w:rPr>
              <w:t xml:space="preserve"> : « أتصوم</w:t>
            </w:r>
            <w:r>
              <w:rPr>
                <w:rtl/>
              </w:rPr>
              <w:t xml:space="preserve"> ».</w:t>
            </w:r>
          </w:p>
        </w:tc>
        <w:tc>
          <w:tcPr>
            <w:tcW w:w="4006" w:type="dxa"/>
          </w:tcPr>
          <w:p w:rsidR="0092231A" w:rsidRDefault="0092231A"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شهر</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332 : « قوله </w:t>
      </w:r>
      <w:r w:rsidR="00992664" w:rsidRPr="00D64ADA">
        <w:rPr>
          <w:rStyle w:val="libFootnoteAlaemChar"/>
          <w:rtl/>
        </w:rPr>
        <w:t>عليه‌السلام</w:t>
      </w:r>
      <w:r w:rsidR="00992664" w:rsidRPr="00020424">
        <w:rPr>
          <w:rtl/>
        </w:rPr>
        <w:t xml:space="preserve"> : شعبان إليّ ، يدلّ على جواز النافلة في السفر ، واختلف‌الأصحاب فيه ؛ فقيل : لا يجوز. وقيل : يجوز على كراهية ، واستثني منها صوم ثلاثة أيّام للحاجة بالمدينة ، وأضاف في </w:t>
      </w:r>
      <w:r w:rsidR="00992664" w:rsidRPr="00DE76B9">
        <w:rPr>
          <w:rStyle w:val="libFootnoteBoldChar"/>
          <w:rtl/>
        </w:rPr>
        <w:t>المقنع</w:t>
      </w:r>
      <w:r w:rsidR="00992664" w:rsidRPr="00020424">
        <w:rPr>
          <w:rtl/>
        </w:rPr>
        <w:t xml:space="preserve"> على ما نقل صوم الاعتكاف في المساجد الأربعة</w:t>
      </w:r>
      <w:r w:rsidR="00992664">
        <w:rPr>
          <w:rtl/>
        </w:rPr>
        <w:t xml:space="preserve"> ».</w:t>
      </w:r>
      <w:r w:rsidR="00992664" w:rsidRPr="00020424">
        <w:rPr>
          <w:rtl/>
        </w:rPr>
        <w:t xml:space="preserve"> وراجع : </w:t>
      </w:r>
      <w:r w:rsidR="00992664" w:rsidRPr="00DE76B9">
        <w:rPr>
          <w:rStyle w:val="libFootnoteBoldChar"/>
          <w:rtl/>
        </w:rPr>
        <w:t>المقنع</w:t>
      </w:r>
      <w:r w:rsidR="00992664" w:rsidRPr="00020424">
        <w:rPr>
          <w:rtl/>
        </w:rPr>
        <w:t xml:space="preserve"> ، ص 199.</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صمته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236 ، ح 692 ؛ </w:t>
      </w:r>
      <w:r w:rsidR="00992664" w:rsidRPr="00FD6221">
        <w:rPr>
          <w:rStyle w:val="libFootnoteBoldChar"/>
          <w:rtl/>
        </w:rPr>
        <w:t>والاستبصار</w:t>
      </w:r>
      <w:r w:rsidR="00992664" w:rsidRPr="00020424">
        <w:rPr>
          <w:rtl/>
        </w:rPr>
        <w:t xml:space="preserve"> ، ج 2 ، ص 102 ، ح 334 ، معلّقاً عن الكليني </w:t>
      </w:r>
      <w:r w:rsidR="002A6401">
        <w:rPr>
          <w:rFonts w:hint="cs"/>
          <w:rtl/>
        </w:rPr>
        <w:t>.</w:t>
      </w:r>
      <w:r w:rsidR="00992664" w:rsidRPr="0012008A">
        <w:rPr>
          <w:rStyle w:val="libFootnoteBoldChar"/>
          <w:rtl/>
        </w:rPr>
        <w:t>الوافي</w:t>
      </w:r>
      <w:r w:rsidR="00992664" w:rsidRPr="00020424">
        <w:rPr>
          <w:rtl/>
        </w:rPr>
        <w:t xml:space="preserve"> ، ج 11 ، ص 95 ، ح 10483 ؛ </w:t>
      </w:r>
      <w:r w:rsidR="00992664" w:rsidRPr="0012008A">
        <w:rPr>
          <w:rStyle w:val="libFootnoteBoldChar"/>
          <w:rtl/>
        </w:rPr>
        <w:t>الوسائل</w:t>
      </w:r>
      <w:r w:rsidR="00992664" w:rsidRPr="00020424">
        <w:rPr>
          <w:rtl/>
        </w:rPr>
        <w:t xml:space="preserve"> ، ج 10 ، ص 203 ، ح 13221.</w:t>
      </w:r>
    </w:p>
    <w:tbl>
      <w:tblPr>
        <w:tblStyle w:val="TableGrid"/>
        <w:bidiVisual/>
        <w:tblW w:w="0" w:type="auto"/>
        <w:tblLook w:val="04A0" w:firstRow="1" w:lastRow="0" w:firstColumn="1" w:lastColumn="0" w:noHBand="0" w:noVBand="1"/>
      </w:tblPr>
      <w:tblGrid>
        <w:gridCol w:w="4006"/>
        <w:gridCol w:w="4006"/>
      </w:tblGrid>
      <w:tr w:rsidR="002A6401" w:rsidTr="002A6401">
        <w:tc>
          <w:tcPr>
            <w:tcW w:w="4006" w:type="dxa"/>
          </w:tcPr>
          <w:p w:rsidR="002A6401" w:rsidRDefault="002A6401" w:rsidP="00992664">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 « أصابني</w:t>
            </w:r>
            <w:r>
              <w:rPr>
                <w:rtl/>
              </w:rPr>
              <w:t xml:space="preserve"> ».</w:t>
            </w:r>
          </w:p>
        </w:tc>
        <w:tc>
          <w:tcPr>
            <w:tcW w:w="4006" w:type="dxa"/>
          </w:tcPr>
          <w:p w:rsidR="002A6401" w:rsidRDefault="002A6401" w:rsidP="00992664">
            <w:pPr>
              <w:pStyle w:val="libFootnote0"/>
              <w:rPr>
                <w:rtl/>
              </w:rPr>
            </w:pPr>
            <w:r>
              <w:rPr>
                <w:rtl/>
              </w:rPr>
              <w:t xml:space="preserve">(11). </w:t>
            </w:r>
            <w:r w:rsidRPr="00020424">
              <w:rPr>
                <w:rtl/>
              </w:rPr>
              <w:t>في « بس » : « قضاؤه</w:t>
            </w:r>
            <w:r>
              <w:rPr>
                <w:rtl/>
              </w:rPr>
              <w:t xml:space="preserve"> ».</w:t>
            </w:r>
          </w:p>
        </w:tc>
      </w:tr>
      <w:tr w:rsidR="002A6401" w:rsidTr="002A6401">
        <w:tc>
          <w:tcPr>
            <w:tcW w:w="4006" w:type="dxa"/>
          </w:tcPr>
          <w:p w:rsidR="002A6401" w:rsidRDefault="002A6401" w:rsidP="00992664">
            <w:pPr>
              <w:pStyle w:val="libFootnote0"/>
              <w:rPr>
                <w:rtl/>
              </w:rPr>
            </w:pPr>
            <w:r>
              <w:rPr>
                <w:rtl/>
              </w:rPr>
              <w:t xml:space="preserve">(12). </w:t>
            </w:r>
            <w:r w:rsidRPr="00020424">
              <w:rPr>
                <w:rtl/>
              </w:rPr>
              <w:t>في « ى » : « فقال » بدل « قال : فقال لي</w:t>
            </w:r>
            <w:r>
              <w:rPr>
                <w:rtl/>
              </w:rPr>
              <w:t xml:space="preserve"> ».</w:t>
            </w:r>
          </w:p>
        </w:tc>
        <w:tc>
          <w:tcPr>
            <w:tcW w:w="4006" w:type="dxa"/>
          </w:tcPr>
          <w:p w:rsidR="002A6401" w:rsidRDefault="002A6401" w:rsidP="00992664">
            <w:pPr>
              <w:pStyle w:val="libFootnote0"/>
              <w:rPr>
                <w:rtl/>
              </w:rPr>
            </w:pPr>
            <w:r>
              <w:rPr>
                <w:rtl/>
              </w:rPr>
              <w:t xml:space="preserve">(13). </w:t>
            </w:r>
            <w:r w:rsidRPr="00020424">
              <w:rPr>
                <w:rtl/>
              </w:rPr>
              <w:t>في « بح » : « وأمّا</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بف » : « الخيار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وَإِنْ لَمْ تَقْضِهِ فَلَا جُنَاحَ عَلَيْكَ</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63851">
        <w:rPr>
          <w:rtl/>
        </w:rPr>
        <w:t>6515</w:t>
      </w:r>
      <w:r w:rsidRPr="001155DE">
        <w:rPr>
          <w:rStyle w:val="libBold2Char"/>
          <w:rtl/>
        </w:rPr>
        <w:t xml:space="preserve"> / 3.</w:t>
      </w:r>
      <w:r w:rsidRPr="00020424">
        <w:rPr>
          <w:rtl/>
          <w:lang w:bidi="fa-IR"/>
        </w:rPr>
        <w:t xml:space="preserve"> عِدَّةٌ مِنْ أَصْحَابِنَا ، عَنْ أَحْمَدَ بْنِ مُحَمَّدٍ ، عَنْ مُحَمَّدِ بْنِ خَالِدٍ ، عَنْ سَعْدِ بْنِ سَعْدٍ الْأَشْعَرِيِّ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سَأَلْتُهُ عَنْ صَوْمِ ثَلَاثَةِ أَيَّامٍ فِي الشَّهْرِ : هَلْ فِيهِ قَضَاءٌ عَلَى الْمُسَافِرِ</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63851">
        <w:rPr>
          <w:rtl/>
        </w:rPr>
        <w:t>6516</w:t>
      </w:r>
      <w:r w:rsidRPr="001155DE">
        <w:rPr>
          <w:rStyle w:val="libBold2Char"/>
          <w:rtl/>
        </w:rPr>
        <w:t xml:space="preserve"> / 4.</w:t>
      </w:r>
      <w:r w:rsidRPr="00020424">
        <w:rPr>
          <w:rtl/>
          <w:lang w:bidi="fa-IR"/>
        </w:rPr>
        <w:t xml:space="preserve"> أَحْمَدُ بْنُ مُحَمَّدٍ </w:t>
      </w:r>
      <w:r w:rsidRPr="00A91B96">
        <w:rPr>
          <w:rStyle w:val="libFootnotenumChar"/>
          <w:rtl/>
        </w:rPr>
        <w:t>(3)</w:t>
      </w:r>
      <w:r w:rsidRPr="00020424">
        <w:rPr>
          <w:rtl/>
          <w:lang w:bidi="fa-IR"/>
        </w:rPr>
        <w:t xml:space="preserve"> ، عَنِ الْمَرْزُبَانِ بْنِ عِمْرَانَ ، قَالَ :</w:t>
      </w:r>
    </w:p>
    <w:p w:rsidR="00992664" w:rsidRPr="00020424" w:rsidRDefault="00992664" w:rsidP="00992664">
      <w:pPr>
        <w:pStyle w:val="libNormal"/>
        <w:rPr>
          <w:rtl/>
          <w:lang w:bidi="fa-IR"/>
        </w:rPr>
      </w:pPr>
      <w:r w:rsidRPr="00020424">
        <w:rPr>
          <w:rtl/>
          <w:lang w:bidi="fa-IR"/>
        </w:rPr>
        <w:t xml:space="preserve">قُلْتُ لِلرِّضَا </w:t>
      </w:r>
      <w:r w:rsidRPr="00005A81">
        <w:rPr>
          <w:rStyle w:val="libAlaemChar"/>
          <w:rtl/>
        </w:rPr>
        <w:t>عليه‌السلام</w:t>
      </w:r>
      <w:r w:rsidRPr="00020424">
        <w:rPr>
          <w:rtl/>
          <w:lang w:bidi="fa-IR"/>
        </w:rPr>
        <w:t xml:space="preserve"> : أُرِيدُ السَّفَرَ ، فَأَصُومُ </w:t>
      </w:r>
      <w:r w:rsidRPr="00A91B96">
        <w:rPr>
          <w:rStyle w:val="libFootnotenumChar"/>
          <w:rtl/>
        </w:rPr>
        <w:t>(4)</w:t>
      </w:r>
      <w:r w:rsidRPr="00020424">
        <w:rPr>
          <w:rtl/>
          <w:lang w:bidi="fa-IR"/>
        </w:rPr>
        <w:t xml:space="preserve"> لِشَهْرِيَ </w:t>
      </w:r>
      <w:r w:rsidRPr="00A91B96">
        <w:rPr>
          <w:rStyle w:val="libFootnotenumChar"/>
          <w:rtl/>
        </w:rPr>
        <w:t>(5)</w:t>
      </w:r>
      <w:r w:rsidRPr="00020424">
        <w:rPr>
          <w:rtl/>
          <w:lang w:bidi="fa-IR"/>
        </w:rPr>
        <w:t xml:space="preserve"> الَّذِي أُسَافِرُ فِيهِ</w:t>
      </w:r>
      <w:r>
        <w:rPr>
          <w:rtl/>
          <w:lang w:bidi="fa-IR"/>
        </w:rPr>
        <w:t>؟</w:t>
      </w:r>
      <w:r w:rsidRPr="00020424">
        <w:rPr>
          <w:rtl/>
          <w:lang w:bidi="fa-IR"/>
        </w:rPr>
        <w:t xml:space="preserve"> قَالَ : « لَا</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فَإِذَا قَدِمْتُ أَقْضِيهِ </w:t>
      </w:r>
      <w:r w:rsidRPr="00A91B96">
        <w:rPr>
          <w:rStyle w:val="libFootnotenumChar"/>
          <w:rtl/>
        </w:rPr>
        <w:t>(6)</w:t>
      </w:r>
      <w:r>
        <w:rPr>
          <w:rtl/>
          <w:lang w:bidi="fa-IR"/>
        </w:rPr>
        <w:t>؟</w:t>
      </w:r>
      <w:r w:rsidRPr="00020424">
        <w:rPr>
          <w:rtl/>
          <w:lang w:bidi="fa-IR"/>
        </w:rPr>
        <w:t xml:space="preserve"> قَالَ : « لَا ، كَمَا لَاتَصُومُ كَذلِكَ </w:t>
      </w:r>
      <w:r w:rsidRPr="00A91B96">
        <w:rPr>
          <w:rStyle w:val="libFootnotenumChar"/>
          <w:rtl/>
        </w:rPr>
        <w:t>(7)</w:t>
      </w:r>
      <w:r w:rsidRPr="00020424">
        <w:rPr>
          <w:rtl/>
          <w:lang w:bidi="fa-IR"/>
        </w:rPr>
        <w:t xml:space="preserve"> لَاتَقْضِي</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263851">
        <w:rPr>
          <w:rtl/>
        </w:rPr>
        <w:t>6517</w:t>
      </w:r>
      <w:r w:rsidRPr="001155DE">
        <w:rPr>
          <w:rStyle w:val="libBold2Char"/>
          <w:rtl/>
        </w:rPr>
        <w:t xml:space="preserve"> / 5.</w:t>
      </w:r>
      <w:r w:rsidRPr="00020424">
        <w:rPr>
          <w:rtl/>
          <w:lang w:bidi="fa-IR"/>
        </w:rPr>
        <w:t xml:space="preserve"> عِدَّةٌ مِنْ أَصْحَابِنَا ، عَنْ سَهْلِ بْنِ زِيَادٍ ، عَنْ عَلِيِّ بْنِ بِلَالٍ ، عَنِ الْحَسَنِ بْنِ بَسَّامٍ الْجَمَّالِ ، عَنْ رَجُلٍ ، قَالَ :</w:t>
      </w:r>
    </w:p>
    <w:p w:rsidR="00992664" w:rsidRPr="00020424" w:rsidRDefault="00992664" w:rsidP="00992664">
      <w:pPr>
        <w:pStyle w:val="libNormal"/>
        <w:rPr>
          <w:rtl/>
          <w:lang w:bidi="fa-IR"/>
        </w:rPr>
      </w:pPr>
      <w:r w:rsidRPr="00020424">
        <w:rPr>
          <w:rtl/>
          <w:lang w:bidi="fa-IR"/>
        </w:rPr>
        <w:t xml:space="preserve">كُنْتُ مَعَ أَبِي عَبْدِ اللهِ </w:t>
      </w:r>
      <w:r w:rsidRPr="00005A81">
        <w:rPr>
          <w:rStyle w:val="libAlaemChar"/>
          <w:rtl/>
        </w:rPr>
        <w:t>عليه‌السلام</w:t>
      </w:r>
      <w:r w:rsidRPr="00020424">
        <w:rPr>
          <w:rtl/>
          <w:lang w:bidi="fa-IR"/>
        </w:rPr>
        <w:t xml:space="preserve"> فِيمَا بَيْنَ مَكَّةَ وَالْمَدِينَةِ فِي شَعْبَانَ وَهُوَ صَائِمٌ ، ثُمَّ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353 ، ح 11020 ؛ </w:t>
      </w:r>
      <w:r w:rsidR="00992664" w:rsidRPr="0012008A">
        <w:rPr>
          <w:rStyle w:val="libFootnoteBoldChar"/>
          <w:rtl/>
        </w:rPr>
        <w:t>الوسائل</w:t>
      </w:r>
      <w:r w:rsidR="00992664" w:rsidRPr="00020424">
        <w:rPr>
          <w:rtl/>
        </w:rPr>
        <w:t xml:space="preserve"> ، ج 10 ، ص 223 ، ح 13274.</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353 ، ح 11021 ؛ </w:t>
      </w:r>
      <w:r w:rsidR="00992664" w:rsidRPr="0012008A">
        <w:rPr>
          <w:rStyle w:val="libFootnoteBoldChar"/>
          <w:rtl/>
        </w:rPr>
        <w:t>الوسائل</w:t>
      </w:r>
      <w:r w:rsidR="00992664" w:rsidRPr="00020424">
        <w:rPr>
          <w:rtl/>
        </w:rPr>
        <w:t xml:space="preserve"> ، ج 10 ، ص 223 ، ح 13272.</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992664" w:rsidP="00742F35">
      <w:pPr>
        <w:pStyle w:val="libFootnote0"/>
        <w:rPr>
          <w:rtl/>
          <w:lang w:bidi="fa-IR"/>
        </w:rPr>
      </w:pPr>
      <w:r w:rsidRPr="0074262D">
        <w:rPr>
          <w:rtl/>
        </w:rPr>
        <w:t>ثمّ إنّ المراد من أحمد بن محمّد هذا ، هو أحمد بن محمّد بن عيسى ، بقرينة روايته عن محمّد بن خالد في السند السابق ؛ فإنّ المعهود في ما روى أحمد بن محمّد بن خالد عن أبيه ، هو التعبير ب</w:t>
      </w:r>
      <w:r w:rsidR="0074262D">
        <w:rPr>
          <w:rFonts w:hint="cs"/>
          <w:rtl/>
        </w:rPr>
        <w:t>ـ</w:t>
      </w:r>
      <w:r w:rsidRPr="0074262D">
        <w:rPr>
          <w:rtl/>
        </w:rPr>
        <w:t xml:space="preserve"> « أبيه » أو « أبيه محمّد بن خالد » ، لا « محمّد بن خالد » مجرّداً ، وقد روى أحمد بن محمّد بن عيسى عن صفوان كتاب المرزبان كما في </w:t>
      </w:r>
      <w:r w:rsidRPr="00DE76B9">
        <w:rPr>
          <w:rStyle w:val="libFootnoteBoldChar"/>
          <w:rtl/>
        </w:rPr>
        <w:t>رجال النجاشي</w:t>
      </w:r>
      <w:r w:rsidRPr="0074262D">
        <w:rPr>
          <w:rtl/>
        </w:rPr>
        <w:t xml:space="preserve"> ، ص 423 ، الرقم 1134. والمعهود في الأسناد أيضاً وقوع الواسطة بينهما. فلا يبعد سقوط الواسطة في ما نحن فيه. راجع : </w:t>
      </w:r>
      <w:r w:rsidRPr="0012008A">
        <w:rPr>
          <w:rStyle w:val="libFootnoteBoldChar"/>
          <w:rtl/>
        </w:rPr>
        <w:t>التهذيب</w:t>
      </w:r>
      <w:r w:rsidRPr="0074262D">
        <w:rPr>
          <w:rtl/>
        </w:rPr>
        <w:t xml:space="preserve"> ، ج 2 ، ص 126 ، ح 477 ؛ وج 6 ، ص 161 ، ح 293 ؛ </w:t>
      </w:r>
      <w:r w:rsidRPr="00DE76B9">
        <w:rPr>
          <w:rStyle w:val="libFootnoteBoldChar"/>
          <w:rtl/>
        </w:rPr>
        <w:t>بصائر الدرجات</w:t>
      </w:r>
      <w:r w:rsidRPr="0074262D">
        <w:rPr>
          <w:rtl/>
        </w:rPr>
        <w:t xml:space="preserve"> ، ص 173 ، ح 8 ؛ وص 195 ، ح 5.</w:t>
      </w:r>
      <w:r w:rsidR="003C5AA3">
        <w:rPr>
          <w:rFonts w:hint="cs"/>
          <w:rtl/>
        </w:rPr>
        <w:t xml:space="preserve">                         </w:t>
      </w:r>
      <w:r w:rsidR="00742F35">
        <w:rPr>
          <w:rFonts w:hint="cs"/>
          <w:rtl/>
        </w:rPr>
        <w:t xml:space="preserve">               </w:t>
      </w:r>
      <w:r w:rsidR="00795177">
        <w:rPr>
          <w:rtl/>
        </w:rPr>
        <w:t>(4).</w:t>
      </w:r>
      <w:r w:rsidR="0014403D">
        <w:rPr>
          <w:rtl/>
        </w:rPr>
        <w:t xml:space="preserve"> </w:t>
      </w:r>
      <w:r w:rsidRPr="00020424">
        <w:rPr>
          <w:rtl/>
        </w:rPr>
        <w:t>في « بح ، بر » : « وأصوم</w:t>
      </w:r>
      <w:r>
        <w:rPr>
          <w:rtl/>
        </w:rPr>
        <w:t xml:space="preserve"> ».</w:t>
      </w:r>
    </w:p>
    <w:tbl>
      <w:tblPr>
        <w:tblStyle w:val="TableGrid"/>
        <w:bidiVisual/>
        <w:tblW w:w="0" w:type="auto"/>
        <w:tblLook w:val="04A0" w:firstRow="1" w:lastRow="0" w:firstColumn="1" w:lastColumn="0" w:noHBand="0" w:noVBand="1"/>
      </w:tblPr>
      <w:tblGrid>
        <w:gridCol w:w="4006"/>
        <w:gridCol w:w="4006"/>
      </w:tblGrid>
      <w:tr w:rsidR="00742F35" w:rsidTr="00742F35">
        <w:tc>
          <w:tcPr>
            <w:tcW w:w="4006" w:type="dxa"/>
          </w:tcPr>
          <w:p w:rsidR="00742F35" w:rsidRDefault="00742F35" w:rsidP="00992664">
            <w:pPr>
              <w:pStyle w:val="libFootnote0"/>
              <w:rPr>
                <w:rtl/>
              </w:rPr>
            </w:pPr>
            <w:r>
              <w:rPr>
                <w:rtl/>
              </w:rPr>
              <w:t xml:space="preserve">(5). </w:t>
            </w:r>
            <w:r w:rsidRPr="00020424">
              <w:rPr>
                <w:rtl/>
              </w:rPr>
              <w:t xml:space="preserve">في « بخ ، بر ، بف » </w:t>
            </w:r>
            <w:r w:rsidRPr="00515444">
              <w:rPr>
                <w:rStyle w:val="libFootnoteBoldChar"/>
                <w:rtl/>
              </w:rPr>
              <w:t>والوافي</w:t>
            </w:r>
            <w:r w:rsidRPr="00020424">
              <w:rPr>
                <w:rtl/>
              </w:rPr>
              <w:t xml:space="preserve"> : « الشهر</w:t>
            </w:r>
            <w:r>
              <w:rPr>
                <w:rtl/>
              </w:rPr>
              <w:t xml:space="preserve"> ».</w:t>
            </w:r>
          </w:p>
        </w:tc>
        <w:tc>
          <w:tcPr>
            <w:tcW w:w="4006" w:type="dxa"/>
          </w:tcPr>
          <w:p w:rsidR="00742F35" w:rsidRDefault="00742F35" w:rsidP="00992664">
            <w:pPr>
              <w:pStyle w:val="libFootnote0"/>
              <w:rPr>
                <w:rtl/>
              </w:rPr>
            </w:pPr>
            <w:r>
              <w:rPr>
                <w:rtl/>
              </w:rPr>
              <w:t xml:space="preserve">(6). </w:t>
            </w:r>
            <w:r w:rsidRPr="00020424">
              <w:rPr>
                <w:rtl/>
              </w:rPr>
              <w:t xml:space="preserve">في « بخ ، بر ، بف » </w:t>
            </w:r>
            <w:r w:rsidRPr="00515444">
              <w:rPr>
                <w:rStyle w:val="libFootnoteBoldChar"/>
                <w:rtl/>
              </w:rPr>
              <w:t>والوافي</w:t>
            </w:r>
            <w:r w:rsidRPr="00020424">
              <w:rPr>
                <w:rtl/>
              </w:rPr>
              <w:t xml:space="preserve"> : « أقضي</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كذلك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11 ، ص 353 ، ح 11022 ؛ </w:t>
      </w:r>
      <w:r w:rsidR="00992664" w:rsidRPr="0012008A">
        <w:rPr>
          <w:rStyle w:val="libFootnoteBoldChar"/>
          <w:rtl/>
        </w:rPr>
        <w:t>الوسائل</w:t>
      </w:r>
      <w:r w:rsidR="00992664" w:rsidRPr="00020424">
        <w:rPr>
          <w:rtl/>
        </w:rPr>
        <w:t xml:space="preserve"> ، ج 10 ، ص 223 ، ح 13273.</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ثمّ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 xml:space="preserve">رَأَيْنَا هِلَالَ شَهْرِ رَمَضَانَ ، فَأَفْطَرَ ، فَقُلْتُ </w:t>
      </w:r>
      <w:r w:rsidRPr="00A91B96">
        <w:rPr>
          <w:rStyle w:val="libFootnotenumChar"/>
          <w:rtl/>
        </w:rPr>
        <w:t>(1)</w:t>
      </w:r>
      <w:r w:rsidRPr="00020424">
        <w:rPr>
          <w:rtl/>
          <w:lang w:bidi="fa-IR"/>
        </w:rPr>
        <w:t xml:space="preserve"> لَهُ : جُعِلْتُ فِدَاكَ ، أَمْسِ كَانَ مِنْ </w:t>
      </w:r>
      <w:r w:rsidRPr="00A91B96">
        <w:rPr>
          <w:rStyle w:val="libFootnotenumChar"/>
          <w:rtl/>
        </w:rPr>
        <w:t>(2)</w:t>
      </w:r>
      <w:r w:rsidRPr="00020424">
        <w:rPr>
          <w:rtl/>
          <w:lang w:bidi="fa-IR"/>
        </w:rPr>
        <w:t xml:space="preserve"> شَعْبَانَ وَأَنْتَ صَائِمٌ ، وَالْيَوْمُ مِنْ شَهْرِ رَمَضَانَ وَأَنْتَ مُفْطِرٌ</w:t>
      </w:r>
      <w:r>
        <w:rPr>
          <w:rtl/>
          <w:lang w:bidi="fa-IR"/>
        </w:rPr>
        <w:t>؟!</w:t>
      </w:r>
    </w:p>
    <w:p w:rsidR="00992664" w:rsidRPr="00020424" w:rsidRDefault="00992664" w:rsidP="00992664">
      <w:pPr>
        <w:pStyle w:val="libNormal"/>
        <w:rPr>
          <w:rtl/>
          <w:lang w:bidi="fa-IR"/>
        </w:rPr>
      </w:pPr>
      <w:r w:rsidRPr="00020424">
        <w:rPr>
          <w:rtl/>
          <w:lang w:bidi="fa-IR"/>
        </w:rPr>
        <w:t xml:space="preserve">فَقَالَ : « إِنَّ ذَاكَ </w:t>
      </w:r>
      <w:r w:rsidRPr="00A91B96">
        <w:rPr>
          <w:rStyle w:val="libFootnotenumChar"/>
          <w:rtl/>
        </w:rPr>
        <w:t>(3)</w:t>
      </w:r>
      <w:r w:rsidRPr="00020424">
        <w:rPr>
          <w:rtl/>
          <w:lang w:bidi="fa-IR"/>
        </w:rPr>
        <w:t xml:space="preserve"> تَطَوُّعٌ ، وَلَنَا أَنْ نَفْعَلَ مَا شِئْنَا </w:t>
      </w:r>
      <w:r w:rsidRPr="00A91B96">
        <w:rPr>
          <w:rStyle w:val="libFootnotenumChar"/>
          <w:rtl/>
        </w:rPr>
        <w:t>(4)</w:t>
      </w:r>
      <w:r w:rsidRPr="00020424">
        <w:rPr>
          <w:rtl/>
          <w:lang w:bidi="fa-IR"/>
        </w:rPr>
        <w:t xml:space="preserve"> ، وَهذَا فَرْضٌ ، فَلَيْسَ </w:t>
      </w:r>
      <w:r w:rsidRPr="00A91B96">
        <w:rPr>
          <w:rStyle w:val="libFootnotenumChar"/>
          <w:rtl/>
        </w:rPr>
        <w:t>(5)</w:t>
      </w:r>
      <w:r w:rsidRPr="00020424">
        <w:rPr>
          <w:rtl/>
          <w:lang w:bidi="fa-IR"/>
        </w:rPr>
        <w:t xml:space="preserve"> لَنَا </w:t>
      </w:r>
      <w:r w:rsidRPr="00A91B96">
        <w:rPr>
          <w:rStyle w:val="libFootnotenumChar"/>
          <w:rtl/>
        </w:rPr>
        <w:t>(6)</w:t>
      </w:r>
      <w:r w:rsidR="00742F35">
        <w:rPr>
          <w:rtl/>
          <w:lang w:bidi="fa-IR"/>
        </w:rPr>
        <w:t xml:space="preserve"> أَنْ نَفْعَلَ إِل</w:t>
      </w:r>
      <w:r w:rsidR="00742F35">
        <w:rPr>
          <w:rFonts w:hint="cs"/>
          <w:rtl/>
          <w:lang w:bidi="fa-IR"/>
        </w:rPr>
        <w:t>َّ</w:t>
      </w:r>
      <w:r w:rsidR="00742F35">
        <w:rPr>
          <w:rtl/>
          <w:lang w:bidi="fa-IR"/>
        </w:rPr>
        <w:t>ا</w:t>
      </w:r>
      <w:r w:rsidRPr="00020424">
        <w:rPr>
          <w:rtl/>
          <w:lang w:bidi="fa-IR"/>
        </w:rPr>
        <w:t xml:space="preserve"> مَا أُمِرْنَا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459" w:name="_Toc345172869"/>
      <w:bookmarkStart w:id="460" w:name="_Toc464562685"/>
      <w:bookmarkStart w:id="461" w:name="_Toc44599990"/>
      <w:r w:rsidRPr="00020424">
        <w:rPr>
          <w:rtl/>
          <w:lang w:bidi="fa-IR"/>
        </w:rPr>
        <w:t>52</w:t>
      </w:r>
      <w:r>
        <w:rPr>
          <w:rtl/>
          <w:lang w:bidi="fa-IR"/>
        </w:rPr>
        <w:t xml:space="preserve"> </w:t>
      </w:r>
      <w:r w:rsidR="009B673F">
        <w:rPr>
          <w:rtl/>
          <w:lang w:bidi="fa-IR"/>
        </w:rPr>
        <w:t>-</w:t>
      </w:r>
      <w:r>
        <w:rPr>
          <w:rtl/>
          <w:lang w:bidi="fa-IR"/>
        </w:rPr>
        <w:t xml:space="preserve"> </w:t>
      </w:r>
      <w:r w:rsidRPr="00020424">
        <w:rPr>
          <w:rtl/>
          <w:lang w:bidi="fa-IR"/>
        </w:rPr>
        <w:t xml:space="preserve">بَابُ الرَّجُلِ يُرِيدُ السَّفَرَ </w:t>
      </w:r>
      <w:r w:rsidRPr="00A91B96">
        <w:rPr>
          <w:rStyle w:val="libFootnotenumChar"/>
          <w:rtl/>
        </w:rPr>
        <w:t>(9)</w:t>
      </w:r>
      <w:r>
        <w:rPr>
          <w:rtl/>
        </w:rPr>
        <w:t xml:space="preserve"> </w:t>
      </w:r>
      <w:r w:rsidRPr="00020424">
        <w:rPr>
          <w:rtl/>
          <w:lang w:bidi="fa-IR"/>
        </w:rPr>
        <w:t xml:space="preserve">أَوْ يَقْدَمُ </w:t>
      </w:r>
      <w:r w:rsidRPr="00A91B96">
        <w:rPr>
          <w:rStyle w:val="libFootnotenumChar"/>
          <w:rtl/>
        </w:rPr>
        <w:t>(10)</w:t>
      </w:r>
      <w:r>
        <w:rPr>
          <w:rtl/>
          <w:lang w:bidi="fa-IR"/>
        </w:rPr>
        <w:t xml:space="preserve"> </w:t>
      </w:r>
      <w:r w:rsidRPr="00020424">
        <w:rPr>
          <w:rtl/>
          <w:lang w:bidi="fa-IR"/>
        </w:rPr>
        <w:t>مِنْ سَفَرٍ فِي شَهْرِ رَمَضَانَ‌</w:t>
      </w:r>
      <w:bookmarkEnd w:id="459"/>
      <w:bookmarkEnd w:id="460"/>
      <w:bookmarkEnd w:id="461"/>
    </w:p>
    <w:p w:rsidR="00992664" w:rsidRPr="00020424" w:rsidRDefault="00992664" w:rsidP="00992664">
      <w:pPr>
        <w:pStyle w:val="libNormal"/>
        <w:rPr>
          <w:rtl/>
          <w:lang w:bidi="fa-IR"/>
        </w:rPr>
      </w:pPr>
      <w:r w:rsidRPr="00263851">
        <w:rPr>
          <w:rtl/>
        </w:rPr>
        <w:t>6518</w:t>
      </w:r>
      <w:r w:rsidRPr="001155DE">
        <w:rPr>
          <w:rStyle w:val="libBold2Char"/>
          <w:rtl/>
        </w:rPr>
        <w:t xml:space="preserve"> / 1.</w:t>
      </w:r>
      <w:r w:rsidRPr="00020424">
        <w:rPr>
          <w:rtl/>
          <w:lang w:bidi="fa-IR"/>
        </w:rPr>
        <w:t xml:space="preserve"> عَلِيُّ بْنُ إِبْرَاهِيمَ ، عَنْ أَبِيهِ ، عَنِ ابْنِ أَبِي عُمَيْرٍ ، عَنْ حَمَّادٍ </w:t>
      </w:r>
      <w:r w:rsidRPr="00A91B96">
        <w:rPr>
          <w:rStyle w:val="libFootnotenumChar"/>
          <w:rtl/>
        </w:rPr>
        <w:t>(11)</w:t>
      </w:r>
      <w:r w:rsidRPr="00020424">
        <w:rPr>
          <w:rtl/>
          <w:lang w:bidi="fa-IR"/>
        </w:rPr>
        <w:t xml:space="preserve">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الرَّجُلِ يَخْرُجُ مِنْ بَيْتِهِ </w:t>
      </w:r>
      <w:r w:rsidRPr="00A91B96">
        <w:rPr>
          <w:rStyle w:val="libFootnotenumChar"/>
          <w:rtl/>
        </w:rPr>
        <w:t>(12)</w:t>
      </w:r>
      <w:r w:rsidRPr="00020424">
        <w:rPr>
          <w:rtl/>
          <w:lang w:bidi="fa-IR"/>
        </w:rPr>
        <w:t xml:space="preserve"> يُرِيدُ السَّفَرَ وَهُوَ صَائِمٌ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قلت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3C5AA3">
        <w:rPr>
          <w:rtl/>
        </w:rPr>
        <w:t>والوافي والوسائل والتهذيب والاستبصار</w:t>
      </w:r>
      <w:r w:rsidR="00992664" w:rsidRPr="00020424">
        <w:rPr>
          <w:rtl/>
        </w:rPr>
        <w:t>. وفي المطبوع : « عن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بث ، بح بس » </w:t>
      </w:r>
      <w:r w:rsidR="00992664" w:rsidRPr="003C5AA3">
        <w:rPr>
          <w:rtl/>
        </w:rPr>
        <w:t>والوافي والوسائل والاستبصار :</w:t>
      </w:r>
      <w:r w:rsidR="00992664" w:rsidRPr="00020424">
        <w:rPr>
          <w:rtl/>
        </w:rPr>
        <w:t xml:space="preserve"> « ذلك</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جن » : « نشاء</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بس » </w:t>
      </w:r>
      <w:r w:rsidR="00992664" w:rsidRPr="00FD6221">
        <w:rPr>
          <w:rStyle w:val="libFootnoteBoldChar"/>
          <w:rtl/>
        </w:rPr>
        <w:t>والاستبصار</w:t>
      </w:r>
      <w:r w:rsidR="00992664" w:rsidRPr="00020424">
        <w:rPr>
          <w:rtl/>
        </w:rPr>
        <w:t xml:space="preserve"> : « وليس</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بث » : « علينا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الاستبصار</w:t>
      </w:r>
      <w:r w:rsidR="00992664" w:rsidRPr="00020424">
        <w:rPr>
          <w:rtl/>
        </w:rPr>
        <w:t xml:space="preserve"> ذيل هذا الحديث : « فالوجه في هذين الخبرين</w:t>
      </w:r>
      <w:r w:rsidR="00992664">
        <w:rPr>
          <w:rtl/>
        </w:rPr>
        <w:t xml:space="preserve"> </w:t>
      </w:r>
      <w:r w:rsidR="009B673F">
        <w:rPr>
          <w:rtl/>
        </w:rPr>
        <w:t>-</w:t>
      </w:r>
      <w:r w:rsidR="00992664">
        <w:rPr>
          <w:rtl/>
        </w:rPr>
        <w:t xml:space="preserve"> </w:t>
      </w:r>
      <w:r w:rsidR="00992664" w:rsidRPr="00020424">
        <w:rPr>
          <w:rtl/>
        </w:rPr>
        <w:t>وهما الأوّل والخامس هنا</w:t>
      </w:r>
      <w:r w:rsidR="00992664">
        <w:rPr>
          <w:rtl/>
        </w:rPr>
        <w:t xml:space="preserve"> </w:t>
      </w:r>
      <w:r w:rsidR="009B673F">
        <w:rPr>
          <w:rtl/>
        </w:rPr>
        <w:t>-</w:t>
      </w:r>
      <w:r w:rsidR="00992664">
        <w:rPr>
          <w:rtl/>
        </w:rPr>
        <w:t xml:space="preserve"> </w:t>
      </w:r>
      <w:r w:rsidR="00992664" w:rsidRPr="00020424">
        <w:rPr>
          <w:rtl/>
        </w:rPr>
        <w:t>أن نحملهما على ضرب من الرخصة ، وأنّ من صام مسافراً نافلة لم يكن مأثوماً ، وإن كان الأفضل الإفطار ، وإنّما قلنا ذلك لأنّ الخبرين جميعاً مرسلان غير مسندين ، والأخبار الأوّلة مسندة مطابقة لعموم الأخبار التي ذكرناها في كتابنا الكبير في النهي عن الصيام في السفر ، مثل قولهم : ليس من البرّ الصيام في السفر ، فكأنّما أفطر في الحضر ، وما جرى مجراهما ، وتلك عامّة في الفريضة والنافلة ، وقد طابقهما الخبران المتقدّمان ، والعمل بهما أولى وأحرى</w:t>
      </w:r>
      <w:r w:rsidR="00992664">
        <w:rPr>
          <w:rtl/>
        </w:rPr>
        <w:t xml:space="preserve"> ».</w:t>
      </w:r>
      <w:r w:rsidR="00992664" w:rsidRPr="00020424">
        <w:rPr>
          <w:rtl/>
        </w:rPr>
        <w:t xml:space="preserve"> ونحوه في </w:t>
      </w:r>
      <w:r w:rsidR="00992664" w:rsidRPr="0012008A">
        <w:rPr>
          <w:rStyle w:val="libFootnoteBoldChar"/>
          <w:rtl/>
        </w:rPr>
        <w:t>التهذيب</w:t>
      </w:r>
      <w:r w:rsidR="00992664" w:rsidRPr="00020424">
        <w:rPr>
          <w:rtl/>
        </w:rPr>
        <w:t xml:space="preserve"> ، ج 4 ، ص 235 ، ذيل الحديث 690.</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236 ، ح 693 ؛ </w:t>
      </w:r>
      <w:r w:rsidR="00992664" w:rsidRPr="00FD6221">
        <w:rPr>
          <w:rStyle w:val="libFootnoteBoldChar"/>
          <w:rtl/>
        </w:rPr>
        <w:t>والاستبصار</w:t>
      </w:r>
      <w:r w:rsidR="00992664" w:rsidRPr="00020424">
        <w:rPr>
          <w:rtl/>
        </w:rPr>
        <w:t xml:space="preserve"> ، ج 2 ، ص 103 ، ح 335 ، معلّقاً عن الكليني </w:t>
      </w:r>
      <w:r w:rsidR="00432549">
        <w:rPr>
          <w:rFonts w:hint="cs"/>
          <w:rtl/>
        </w:rPr>
        <w:t>.</w:t>
      </w:r>
      <w:r w:rsidR="00992664" w:rsidRPr="0012008A">
        <w:rPr>
          <w:rStyle w:val="libFootnoteBoldChar"/>
          <w:rtl/>
        </w:rPr>
        <w:t>الوافي</w:t>
      </w:r>
      <w:r w:rsidR="00992664" w:rsidRPr="00020424">
        <w:rPr>
          <w:rtl/>
        </w:rPr>
        <w:t xml:space="preserve"> ، ج 11 ، ص 96 ، ح 10484 ؛ </w:t>
      </w:r>
      <w:r w:rsidR="00992664" w:rsidRPr="0012008A">
        <w:rPr>
          <w:rStyle w:val="libFootnoteBoldChar"/>
          <w:rtl/>
        </w:rPr>
        <w:t>الوسائل</w:t>
      </w:r>
      <w:r w:rsidR="00992664" w:rsidRPr="00020424">
        <w:rPr>
          <w:rtl/>
        </w:rPr>
        <w:t xml:space="preserve"> ، ج 10 ، ص 203 ، ح 13222.</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بح » : + « وهو صائم</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ويقدم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32549" w:rsidTr="00432549">
        <w:tc>
          <w:tcPr>
            <w:tcW w:w="4006" w:type="dxa"/>
          </w:tcPr>
          <w:p w:rsidR="00432549" w:rsidRDefault="00432549" w:rsidP="00992664">
            <w:pPr>
              <w:pStyle w:val="libFootnote0"/>
              <w:rPr>
                <w:rtl/>
              </w:rPr>
            </w:pPr>
            <w:r>
              <w:rPr>
                <w:rtl/>
              </w:rPr>
              <w:t xml:space="preserve">(11). </w:t>
            </w:r>
            <w:r w:rsidRPr="00020424">
              <w:rPr>
                <w:rtl/>
              </w:rPr>
              <w:t xml:space="preserve">في </w:t>
            </w:r>
            <w:r w:rsidRPr="0012008A">
              <w:rPr>
                <w:rStyle w:val="libFootnoteBoldChar"/>
                <w:rtl/>
              </w:rPr>
              <w:t>التهذيب</w:t>
            </w:r>
            <w:r w:rsidRPr="00020424">
              <w:rPr>
                <w:rtl/>
              </w:rPr>
              <w:t xml:space="preserve"> : + « بن عثمان</w:t>
            </w:r>
            <w:r>
              <w:rPr>
                <w:rtl/>
              </w:rPr>
              <w:t xml:space="preserve"> ».</w:t>
            </w:r>
          </w:p>
        </w:tc>
        <w:tc>
          <w:tcPr>
            <w:tcW w:w="4006" w:type="dxa"/>
          </w:tcPr>
          <w:p w:rsidR="00432549" w:rsidRDefault="00432549" w:rsidP="00992664">
            <w:pPr>
              <w:pStyle w:val="libFootnote0"/>
              <w:rPr>
                <w:rtl/>
              </w:rPr>
            </w:pPr>
            <w:r>
              <w:rPr>
                <w:rtl/>
              </w:rPr>
              <w:t>(12). في حاشية«بث</w:t>
            </w:r>
            <w:r w:rsidRPr="00020424">
              <w:rPr>
                <w:rtl/>
              </w:rPr>
              <w:t>»</w:t>
            </w:r>
            <w:r w:rsidRPr="00FD6221">
              <w:rPr>
                <w:rStyle w:val="libFootnoteBoldChar"/>
                <w:rtl/>
              </w:rPr>
              <w:t>والفقيه</w:t>
            </w:r>
            <w:r w:rsidRPr="00020424">
              <w:rPr>
                <w:rtl/>
              </w:rPr>
              <w:t xml:space="preserve"> </w:t>
            </w:r>
            <w:r w:rsidRPr="00515444">
              <w:rPr>
                <w:rStyle w:val="libFootnoteBoldChar"/>
                <w:rtl/>
              </w:rPr>
              <w:t>والتهذيب</w:t>
            </w:r>
            <w:r>
              <w:rPr>
                <w:rtl/>
              </w:rPr>
              <w:t>: +«</w:t>
            </w:r>
            <w:r w:rsidRPr="00020424">
              <w:rPr>
                <w:rtl/>
              </w:rPr>
              <w:t>وهو</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فَقَالَ </w:t>
      </w:r>
      <w:r w:rsidRPr="00A91B96">
        <w:rPr>
          <w:rStyle w:val="libFootnotenumChar"/>
          <w:rtl/>
        </w:rPr>
        <w:t>(2)</w:t>
      </w:r>
      <w:r w:rsidRPr="00020424">
        <w:rPr>
          <w:rtl/>
          <w:lang w:bidi="fa-IR"/>
        </w:rPr>
        <w:t xml:space="preserve"> : « إِنْ خَرَجَ مِنْ </w:t>
      </w:r>
      <w:r w:rsidRPr="00A91B96">
        <w:rPr>
          <w:rStyle w:val="libFootnotenumChar"/>
          <w:rtl/>
        </w:rPr>
        <w:t>(3)</w:t>
      </w:r>
      <w:r w:rsidRPr="00020424">
        <w:rPr>
          <w:rtl/>
          <w:lang w:bidi="fa-IR"/>
        </w:rPr>
        <w:t xml:space="preserve"> قَبْلِ أَنْ يَنْتَصِفَ النَّهَارُ </w:t>
      </w:r>
      <w:r w:rsidRPr="00A91B96">
        <w:rPr>
          <w:rStyle w:val="libFootnotenumChar"/>
          <w:rtl/>
        </w:rPr>
        <w:t>(4)</w:t>
      </w:r>
      <w:r w:rsidRPr="00020424">
        <w:rPr>
          <w:rtl/>
          <w:lang w:bidi="fa-IR"/>
        </w:rPr>
        <w:t xml:space="preserve"> ، فَلْيُفْطِرْ وَلْيَقْضِ ذلِكَ الْيَوْمَ ، وَإِنْ </w:t>
      </w:r>
      <w:r w:rsidRPr="00A91B96">
        <w:rPr>
          <w:rStyle w:val="libFootnotenumChar"/>
          <w:rtl/>
        </w:rPr>
        <w:t>(5)</w:t>
      </w:r>
      <w:r w:rsidRPr="00020424">
        <w:rPr>
          <w:rtl/>
          <w:lang w:bidi="fa-IR"/>
        </w:rPr>
        <w:t xml:space="preserve"> خَرَجَ بَعْدَ الزَّوَالِ ، فَلْيُتِمَّ يَوْمَهُ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263851">
        <w:rPr>
          <w:rtl/>
        </w:rPr>
        <w:t>6519</w:t>
      </w:r>
      <w:r w:rsidRPr="001155DE">
        <w:rPr>
          <w:rStyle w:val="libBold2Char"/>
          <w:rtl/>
        </w:rPr>
        <w:t xml:space="preserve"> / 2.</w:t>
      </w:r>
      <w:r w:rsidRPr="00020424">
        <w:rPr>
          <w:rtl/>
          <w:lang w:bidi="fa-IR"/>
        </w:rPr>
        <w:t xml:space="preserve"> مُحَمَّدُ بْنُ يَحْيى ، عَنْ أَحْمَدَ بْنِ مُحَمَّدٍ ، عَنِ ابْنِ فَضَّالٍ ، عَنِ ابْنِ بُكَيْرٍ ، عَنْ عُبَيْدِ بْنِ زُرَارَةَ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خَرَجَ الرَّجُلُ فِي شَهْرِ رَمَضَانَ بَعْدَ الزَّوَالِ ، أَتَمَّ الصِّيَامَ ، وَإِذَا </w:t>
      </w:r>
      <w:r w:rsidRPr="00A91B96">
        <w:rPr>
          <w:rStyle w:val="libFootnotenumChar"/>
          <w:rtl/>
        </w:rPr>
        <w:t>(7)</w:t>
      </w:r>
      <w:r w:rsidRPr="00020424">
        <w:rPr>
          <w:rtl/>
          <w:lang w:bidi="fa-IR"/>
        </w:rPr>
        <w:t xml:space="preserve"> خَرَجَ </w:t>
      </w:r>
      <w:r w:rsidRPr="00A91B96">
        <w:rPr>
          <w:rStyle w:val="libFootnotenumChar"/>
          <w:rtl/>
        </w:rPr>
        <w:t>(8)</w:t>
      </w:r>
      <w:r w:rsidRPr="00020424">
        <w:rPr>
          <w:rtl/>
          <w:lang w:bidi="fa-IR"/>
        </w:rPr>
        <w:t xml:space="preserve"> قَبْلَ الزَّوَالِ ، أَفْطَرَ</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263851">
        <w:rPr>
          <w:rtl/>
        </w:rPr>
        <w:t>6520</w:t>
      </w:r>
      <w:r w:rsidRPr="001155DE">
        <w:rPr>
          <w:rStyle w:val="libBold2Char"/>
          <w:rtl/>
        </w:rPr>
        <w:t xml:space="preserve"> / 3.</w:t>
      </w:r>
      <w:r w:rsidRPr="00020424">
        <w:rPr>
          <w:rtl/>
          <w:lang w:bidi="fa-IR"/>
        </w:rPr>
        <w:t xml:space="preserve"> عَلِيُّ بْنُ إِبْرَاهِيمَ ، عَنْ أَبِيهِ ، عَنِ ابْنِ أَبِي عُمَيْرٍ ، عَنْ حَمَّادٍ ، </w:t>
      </w:r>
      <w:r w:rsidR="008C1ED3">
        <w:rPr>
          <w:rtl/>
          <w:lang w:bidi="fa-IR"/>
        </w:rPr>
        <w:t>عَنْ عُبَيْدِ بْنِ زُرَارَةَ</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يُسَافِرُ فِي شَهْرِ رَمَضَانَ : يَصُومُ </w:t>
      </w:r>
      <w:r w:rsidRPr="00A91B96">
        <w:rPr>
          <w:rStyle w:val="libFootnotenumChar"/>
          <w:rtl/>
        </w:rPr>
        <w:t>(10)</w:t>
      </w:r>
      <w:r w:rsidRPr="00020424">
        <w:rPr>
          <w:rtl/>
          <w:lang w:bidi="fa-IR"/>
        </w:rPr>
        <w:t xml:space="preserve"> ، أَوْ يُفْطِرُ</w:t>
      </w:r>
      <w:r>
        <w:rPr>
          <w:rtl/>
          <w:lang w:bidi="fa-IR"/>
        </w:rPr>
        <w:t>؟</w:t>
      </w:r>
    </w:p>
    <w:p w:rsidR="00992664" w:rsidRPr="00020424" w:rsidRDefault="00992664" w:rsidP="00992664">
      <w:pPr>
        <w:pStyle w:val="libNormal"/>
        <w:rPr>
          <w:rtl/>
          <w:lang w:bidi="fa-IR"/>
        </w:rPr>
      </w:pPr>
      <w:r w:rsidRPr="00020424">
        <w:rPr>
          <w:rtl/>
          <w:lang w:bidi="fa-IR"/>
        </w:rPr>
        <w:t xml:space="preserve">قَالَ : « إِنْ خَرَجَ قَبْلَ الزَّوَالِ ، فَلْيُفْطِرْ </w:t>
      </w:r>
      <w:r w:rsidRPr="00A91B96">
        <w:rPr>
          <w:rStyle w:val="libFootnotenumChar"/>
          <w:rtl/>
        </w:rPr>
        <w:t>(11)</w:t>
      </w:r>
      <w:r w:rsidRPr="00020424">
        <w:rPr>
          <w:rtl/>
          <w:lang w:bidi="fa-IR"/>
        </w:rPr>
        <w:t xml:space="preserve"> ، وَإِنْ خَرَجَ بَعْدَ الزَّوَالِ ، فَلْيَصُمْ </w:t>
      </w:r>
      <w:r w:rsidRPr="00A91B96">
        <w:rPr>
          <w:rStyle w:val="libFootnotenumChar"/>
          <w:rtl/>
        </w:rPr>
        <w:t>(12)</w:t>
      </w:r>
      <w:r w:rsidRPr="00020424">
        <w:rPr>
          <w:rtl/>
          <w:lang w:bidi="fa-IR"/>
        </w:rPr>
        <w:t xml:space="preserve"> » وَقَالَ :</w:t>
      </w:r>
      <w:r>
        <w:rPr>
          <w:rFonts w:hint="cs"/>
          <w:rtl/>
          <w:lang w:bidi="fa-IR"/>
        </w:rPr>
        <w:t xml:space="preserve"> </w:t>
      </w:r>
      <w:r w:rsidRPr="00020424">
        <w:rPr>
          <w:rtl/>
          <w:lang w:bidi="fa-IR"/>
        </w:rPr>
        <w:t xml:space="preserve">« يُعْرَفُ ذلِكَ بِقَوْلِ عَلِيٍّ </w:t>
      </w:r>
      <w:r w:rsidRPr="00005A81">
        <w:rPr>
          <w:rStyle w:val="libAlaemChar"/>
          <w:rtl/>
        </w:rPr>
        <w:t>عليه‌السلام</w:t>
      </w:r>
      <w:r w:rsidRPr="00020424">
        <w:rPr>
          <w:rtl/>
          <w:lang w:bidi="fa-IR"/>
        </w:rPr>
        <w:t xml:space="preserve"> : أَصُومُ وَأُفْطِرُ حَتّى إِذَا زَالَتِ الشَّمْسُ ، عُزِمَ عَلَيَّ ؛ يَعْنِي‌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بر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w:t>
      </w:r>
      <w:r w:rsidR="00992664" w:rsidRPr="008C1ED3">
        <w:rPr>
          <w:rtl/>
        </w:rPr>
        <w:t>» والفقيه والتهذيب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 « الزوال » بدل « أن ينتصف النهار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 « فإن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228 ، ح 671 ؛ </w:t>
      </w:r>
      <w:r w:rsidR="00992664" w:rsidRPr="00FD6221">
        <w:rPr>
          <w:rStyle w:val="libFootnoteBoldChar"/>
          <w:rtl/>
        </w:rPr>
        <w:t>والاستبصار</w:t>
      </w:r>
      <w:r w:rsidR="00992664" w:rsidRPr="00020424">
        <w:rPr>
          <w:rtl/>
        </w:rPr>
        <w:t xml:space="preserve"> ، ج 2 ، ص 99 ، ح 321 ، معلّقاً عن الكليني. </w:t>
      </w:r>
      <w:r w:rsidR="00992664" w:rsidRPr="0012008A">
        <w:rPr>
          <w:rStyle w:val="libFootnoteBoldChar"/>
          <w:rtl/>
        </w:rPr>
        <w:t>الفقيه</w:t>
      </w:r>
      <w:r w:rsidR="00992664" w:rsidRPr="00020424">
        <w:rPr>
          <w:rtl/>
        </w:rPr>
        <w:t xml:space="preserve"> ، ج 2 ، ص 142 ، ح 1982 ، معلّقاً عن الحلبي </w:t>
      </w:r>
      <w:r w:rsidR="008C1ED3">
        <w:rPr>
          <w:rFonts w:hint="cs"/>
          <w:rtl/>
        </w:rPr>
        <w:t>.</w:t>
      </w:r>
      <w:r w:rsidR="00992664" w:rsidRPr="0012008A">
        <w:rPr>
          <w:rStyle w:val="libFootnoteBoldChar"/>
          <w:rtl/>
        </w:rPr>
        <w:t>الوافي</w:t>
      </w:r>
      <w:r w:rsidR="00992664" w:rsidRPr="00020424">
        <w:rPr>
          <w:rtl/>
        </w:rPr>
        <w:t xml:space="preserve"> ، ج 11 ، ص 309 ، ح 10929 ؛ </w:t>
      </w:r>
      <w:r w:rsidR="00992664" w:rsidRPr="0012008A">
        <w:rPr>
          <w:rStyle w:val="libFootnoteBoldChar"/>
          <w:rtl/>
        </w:rPr>
        <w:t>الوسائل</w:t>
      </w:r>
      <w:r w:rsidR="00992664" w:rsidRPr="00020424">
        <w:rPr>
          <w:rtl/>
        </w:rPr>
        <w:t xml:space="preserve"> ، ج 10 ، ص 185 ، ح 13174 ؛ وص 209 ، ذيل ح 13239.</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 بث ، بر ، بف » </w:t>
      </w:r>
      <w:r w:rsidR="00992664" w:rsidRPr="00515444">
        <w:rPr>
          <w:rStyle w:val="libFootnoteBoldChar"/>
          <w:rtl/>
        </w:rPr>
        <w:t>والوافي</w:t>
      </w:r>
      <w:r w:rsidR="00992664" w:rsidRPr="00020424">
        <w:rPr>
          <w:rtl/>
        </w:rPr>
        <w:t>. وفي « ظ » : « وإن</w:t>
      </w:r>
      <w:r w:rsidR="00992664">
        <w:rPr>
          <w:rtl/>
        </w:rPr>
        <w:t xml:space="preserve"> ».</w:t>
      </w:r>
      <w:r w:rsidR="00992664" w:rsidRPr="00020424">
        <w:rPr>
          <w:rtl/>
        </w:rPr>
        <w:t xml:space="preserve"> وفي سائر النسخ والمطبوع </w:t>
      </w:r>
      <w:r w:rsidR="00992664" w:rsidRPr="00EB1FD9">
        <w:rPr>
          <w:rStyle w:val="libFootnoteBoldChar"/>
          <w:rtl/>
        </w:rPr>
        <w:t>والوسائل</w:t>
      </w:r>
      <w:r w:rsidR="00992664" w:rsidRPr="00020424">
        <w:rPr>
          <w:rtl/>
        </w:rPr>
        <w:t xml:space="preserve"> : « فإذا</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في شهر</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فإذا خرج</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11 ، ص 309 ، ح 10930 ؛ </w:t>
      </w:r>
      <w:r w:rsidR="00992664" w:rsidRPr="0012008A">
        <w:rPr>
          <w:rStyle w:val="libFootnoteBoldChar"/>
          <w:rtl/>
        </w:rPr>
        <w:t>الوسائل</w:t>
      </w:r>
      <w:r w:rsidR="00992664" w:rsidRPr="00020424">
        <w:rPr>
          <w:rtl/>
        </w:rPr>
        <w:t xml:space="preserve"> ، ج 10 ، ص 186 ، ح 13176.</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أيصوم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حاشية « بح » : « أفطر</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حاشية « بح » : « فليتمّ يومه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 xml:space="preserve">الصِّيَامَ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63851">
        <w:rPr>
          <w:rtl/>
        </w:rPr>
        <w:t>6521</w:t>
      </w:r>
      <w:r w:rsidRPr="001155DE">
        <w:rPr>
          <w:rStyle w:val="libBold2Char"/>
          <w:rtl/>
        </w:rPr>
        <w:t xml:space="preserve"> / 4.</w:t>
      </w:r>
      <w:r w:rsidRPr="00020424">
        <w:rPr>
          <w:rtl/>
          <w:lang w:bidi="fa-IR"/>
        </w:rPr>
        <w:t xml:space="preserve"> مُحَمَّدُ بْنُ يَحْيى ، عَنْ مُحَمَّدِ بْنِ الْحُسَيْنِ ، عَنْ صَفْوَانَ بْنِ يَحْيى ، عَنِ الْعَلَاءِ بْنِ رَزِينٍ </w:t>
      </w:r>
      <w:r w:rsidRPr="00A91B96">
        <w:rPr>
          <w:rStyle w:val="libFootnotenumChar"/>
          <w:rtl/>
        </w:rPr>
        <w:t>(3)</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سَافَرَ الرَّجُلُ فِي شَهْرِ رَمَضَانَ ، فَخَرَجَ بَعْدَ نِصْفِ النَّهَارِ ، فَعَلَيْهِ </w:t>
      </w:r>
      <w:r w:rsidRPr="00A91B96">
        <w:rPr>
          <w:rStyle w:val="libFootnotenumChar"/>
          <w:rtl/>
        </w:rPr>
        <w:t>(4)</w:t>
      </w:r>
      <w:r w:rsidRPr="00020424">
        <w:rPr>
          <w:rtl/>
          <w:lang w:bidi="fa-IR"/>
        </w:rPr>
        <w:t xml:space="preserve"> صِيَامُ ذلِكَ الْيَوْمِ ، وَيَعْتَدُّ بِهِ مِنْ شَهْرِ رَمَضَانَ ، فَإِذَا </w:t>
      </w:r>
      <w:r w:rsidRPr="00A91B96">
        <w:rPr>
          <w:rStyle w:val="libFootnotenumChar"/>
          <w:rtl/>
        </w:rPr>
        <w:t>(5)</w:t>
      </w:r>
      <w:r w:rsidRPr="00020424">
        <w:rPr>
          <w:rtl/>
          <w:lang w:bidi="fa-IR"/>
        </w:rPr>
        <w:t xml:space="preserve"> دَخَلَ أَرْضاً </w:t>
      </w:r>
      <w:r w:rsidRPr="00A91B96">
        <w:rPr>
          <w:rStyle w:val="libFootnotenumChar"/>
          <w:rtl/>
        </w:rPr>
        <w:t>(6)</w:t>
      </w:r>
      <w:r w:rsidRPr="00020424">
        <w:rPr>
          <w:rtl/>
          <w:lang w:bidi="fa-IR"/>
        </w:rPr>
        <w:t xml:space="preserve"> قَبْلَ طُلُوعِ الْفَجْرِ وَهُوَ يُرِيدُ الْإِقَامَةَ بِهَا ، فَعَلَيْهِ صَوْمُ </w:t>
      </w:r>
      <w:r w:rsidRPr="00A91B96">
        <w:rPr>
          <w:rStyle w:val="libFootnotenumChar"/>
          <w:rtl/>
        </w:rPr>
        <w:t>(7)</w:t>
      </w:r>
      <w:r w:rsidRPr="00020424">
        <w:rPr>
          <w:rtl/>
          <w:lang w:bidi="fa-IR"/>
        </w:rPr>
        <w:t xml:space="preserve"> ذلِكَ الْيَوْمِ </w:t>
      </w:r>
      <w:r w:rsidRPr="00A91B96">
        <w:rPr>
          <w:rStyle w:val="libFootnotenumChar"/>
          <w:rtl/>
        </w:rPr>
        <w:t>(8)</w:t>
      </w:r>
      <w:r w:rsidRPr="00020424">
        <w:rPr>
          <w:rtl/>
          <w:lang w:bidi="fa-IR"/>
        </w:rPr>
        <w:t xml:space="preserve"> ، وَإِنْ </w:t>
      </w:r>
      <w:r w:rsidRPr="00A91B96">
        <w:rPr>
          <w:rStyle w:val="libFootnotenumChar"/>
          <w:rtl/>
        </w:rPr>
        <w:t>(9)</w:t>
      </w:r>
      <w:r w:rsidRPr="00020424">
        <w:rPr>
          <w:rtl/>
          <w:lang w:bidi="fa-IR"/>
        </w:rPr>
        <w:t xml:space="preserve"> دَخَلَ بَعْدَ طُلُوعِ الْفَجْرِ ، فَلَا صِيَامَ عَلَيْهِ </w:t>
      </w:r>
      <w:r w:rsidRPr="00A91B96">
        <w:rPr>
          <w:rStyle w:val="libFootnotenumChar"/>
          <w:rtl/>
        </w:rPr>
        <w:t>(10)</w:t>
      </w:r>
      <w:r w:rsidRPr="00020424">
        <w:rPr>
          <w:rtl/>
          <w:lang w:bidi="fa-IR"/>
        </w:rPr>
        <w:t xml:space="preserve"> ؛ وَإِنْ شَاءَ صَامَ</w:t>
      </w:r>
      <w:r>
        <w:rPr>
          <w:rtl/>
          <w:lang w:bidi="fa-IR"/>
        </w:rPr>
        <w:t xml:space="preserve"> ».</w:t>
      </w:r>
      <w:r w:rsidRPr="00020424">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263851">
        <w:rPr>
          <w:rtl/>
        </w:rPr>
        <w:t>6522</w:t>
      </w:r>
      <w:r w:rsidRPr="001155DE">
        <w:rPr>
          <w:rStyle w:val="libBold2Char"/>
          <w:rtl/>
        </w:rPr>
        <w:t xml:space="preserve"> / 5.</w:t>
      </w:r>
      <w:r w:rsidRPr="00020424">
        <w:rPr>
          <w:rtl/>
          <w:lang w:bidi="fa-IR"/>
        </w:rPr>
        <w:t xml:space="preserve"> عَلِيُّ بْنُ إِبْرَاهِيمَ ، عَنْ أَبِيهِ ، عَنِ ابْنِ أَبِي عُمَيْرٍ ، عَنْ رِفَاعَةَ بْنِ مُوسى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يَقْدَمُ </w:t>
      </w:r>
      <w:r w:rsidRPr="00A91B96">
        <w:rPr>
          <w:rStyle w:val="libFootnotenumChar"/>
          <w:rtl/>
        </w:rPr>
        <w:t>(12)</w:t>
      </w:r>
      <w:r w:rsidRPr="00020424">
        <w:rPr>
          <w:rtl/>
          <w:lang w:bidi="fa-IR"/>
        </w:rPr>
        <w:t xml:space="preserve"> فِي شَهْرِ رَمَضَانَ مِنْ سَفَرٍ </w:t>
      </w:r>
      <w:r w:rsidRPr="00A91B96">
        <w:rPr>
          <w:rStyle w:val="libFootnotenumChar"/>
          <w:rtl/>
        </w:rPr>
        <w:t>(13)</w:t>
      </w:r>
      <w:r w:rsidRPr="00020424">
        <w:rPr>
          <w:rtl/>
          <w:lang w:bidi="fa-IR"/>
        </w:rPr>
        <w:t xml:space="preserve"> حَتّى يَرى أَنَّهُ‌</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بف » : « يعني على الصيام » بدل « عليّ يعني الصيام</w:t>
      </w:r>
      <w:r w:rsidR="00992664">
        <w:rPr>
          <w:rtl/>
        </w:rPr>
        <w:t xml:space="preserve"> ».</w:t>
      </w:r>
      <w:r w:rsidR="00992664" w:rsidRPr="00020424">
        <w:rPr>
          <w:rtl/>
        </w:rPr>
        <w:t xml:space="preserve"> وفي « بح » : « الصوم » بدل « الصيام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310 ، ح 10931 ؛ </w:t>
      </w:r>
      <w:r w:rsidR="00992664" w:rsidRPr="0012008A">
        <w:rPr>
          <w:rStyle w:val="libFootnoteBoldChar"/>
          <w:rtl/>
        </w:rPr>
        <w:t>الوسائل</w:t>
      </w:r>
      <w:r w:rsidR="00992664" w:rsidRPr="00020424">
        <w:rPr>
          <w:rtl/>
        </w:rPr>
        <w:t xml:space="preserve"> ، ج 10 ، ص 186 ، ح 13175.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بر ، بف ، جر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رزين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الاستبصار : « عليه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بث » </w:t>
      </w:r>
      <w:r w:rsidR="00992664" w:rsidRPr="00FD6221">
        <w:rPr>
          <w:rStyle w:val="libFootnoteBoldChar"/>
          <w:rtl/>
        </w:rPr>
        <w:t>والفقيه</w:t>
      </w:r>
      <w:r w:rsidR="00992664" w:rsidRPr="00020424">
        <w:rPr>
          <w:rtl/>
        </w:rPr>
        <w:t xml:space="preserve"> : « وإذا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إلى بلد » بدل « أرضاً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حاشية « بح » : « صيام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اليوم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جميع النسخ التي قوبلت </w:t>
      </w:r>
      <w:r w:rsidR="00992664" w:rsidRPr="00C11D34">
        <w:rPr>
          <w:rtl/>
        </w:rPr>
        <w:t>والوافي والوسائل والفقيه والاستبصار.</w:t>
      </w:r>
      <w:r w:rsidR="00992664" w:rsidRPr="00020424">
        <w:rPr>
          <w:rtl/>
        </w:rPr>
        <w:t xml:space="preserve"> وفي حاشية « بح » : « وإذا</w:t>
      </w:r>
      <w:r w:rsidR="00992664">
        <w:rPr>
          <w:rtl/>
        </w:rPr>
        <w:t xml:space="preserve"> ».</w:t>
      </w:r>
      <w:r w:rsidR="00992664" w:rsidRPr="00020424">
        <w:rPr>
          <w:rtl/>
        </w:rPr>
        <w:t xml:space="preserve"> وفي المطبوع : « فإن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335 : « قوله </w:t>
      </w:r>
      <w:r w:rsidR="00992664" w:rsidRPr="00D64ADA">
        <w:rPr>
          <w:rStyle w:val="libFootnoteAlaemChar"/>
          <w:rtl/>
        </w:rPr>
        <w:t>عليه‌السلام</w:t>
      </w:r>
      <w:r w:rsidR="00992664" w:rsidRPr="00020424">
        <w:rPr>
          <w:rtl/>
        </w:rPr>
        <w:t xml:space="preserve"> : فلا صيام عليه ، المشهور وجوب الصوم إذا دخل قبل الزوال ولم يفطر ، وحمل هذا الخبر وأمثاله على التخيير قبل الدخول ، ويؤيّده بعض الأخبار.</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229 ، ح 672 ؛ </w:t>
      </w:r>
      <w:r w:rsidR="00992664" w:rsidRPr="00FD6221">
        <w:rPr>
          <w:rStyle w:val="libFootnoteBoldChar"/>
          <w:rtl/>
        </w:rPr>
        <w:t>والاستبصار</w:t>
      </w:r>
      <w:r w:rsidR="00992664" w:rsidRPr="00020424">
        <w:rPr>
          <w:rtl/>
        </w:rPr>
        <w:t xml:space="preserve"> ، ج 2 ، ص 99 ، ح 322 ، معلّقاً عن الكليني. </w:t>
      </w:r>
      <w:r w:rsidR="00992664" w:rsidRPr="0012008A">
        <w:rPr>
          <w:rStyle w:val="libFootnoteBoldChar"/>
          <w:rtl/>
        </w:rPr>
        <w:t>الفقيه</w:t>
      </w:r>
      <w:r w:rsidR="00992664" w:rsidRPr="00020424">
        <w:rPr>
          <w:rtl/>
        </w:rPr>
        <w:t xml:space="preserve"> ، ج 2 ، ص 142 ، ح 1983 ، معلّقاً عن العلاء ، عن محمّد بن مسلم </w:t>
      </w:r>
      <w:r w:rsidR="00C11D34">
        <w:rPr>
          <w:rFonts w:hint="cs"/>
          <w:rtl/>
        </w:rPr>
        <w:t>.</w:t>
      </w:r>
      <w:r w:rsidR="00992664" w:rsidRPr="0012008A">
        <w:rPr>
          <w:rStyle w:val="libFootnoteBoldChar"/>
          <w:rtl/>
        </w:rPr>
        <w:t>الوافي</w:t>
      </w:r>
      <w:r w:rsidR="00992664" w:rsidRPr="00020424">
        <w:rPr>
          <w:rtl/>
        </w:rPr>
        <w:t xml:space="preserve"> ، ج 11 ، ص 310 ، ح 10932 ؛ </w:t>
      </w:r>
      <w:r w:rsidR="00992664" w:rsidRPr="0012008A">
        <w:rPr>
          <w:rStyle w:val="libFootnoteBoldChar"/>
          <w:rtl/>
        </w:rPr>
        <w:t>الوسائل</w:t>
      </w:r>
      <w:r w:rsidR="00992664" w:rsidRPr="00020424">
        <w:rPr>
          <w:rtl/>
        </w:rPr>
        <w:t xml:space="preserve"> ، ج 10 ، ص 189 ، ح 13188.</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بث ، بخ ، بف » </w:t>
      </w:r>
      <w:r w:rsidR="00992664" w:rsidRPr="00C11D34">
        <w:rPr>
          <w:rtl/>
        </w:rPr>
        <w:t>والوافي والفقيه والتهذيب</w:t>
      </w:r>
      <w:r w:rsidR="00992664" w:rsidRPr="00020424">
        <w:rPr>
          <w:rtl/>
        </w:rPr>
        <w:t xml:space="preserve"> ، ح 756 : « يقبل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 « سفره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 xml:space="preserve">سَيَدْخُلُ أَهْلَهُ ضَحْوَةً </w:t>
      </w:r>
      <w:r w:rsidRPr="00A91B96">
        <w:rPr>
          <w:rStyle w:val="libFootnotenumChar"/>
          <w:rtl/>
        </w:rPr>
        <w:t>(1)</w:t>
      </w:r>
      <w:r w:rsidRPr="00020424">
        <w:rPr>
          <w:rtl/>
          <w:lang w:bidi="fa-IR"/>
        </w:rPr>
        <w:t xml:space="preserve"> ، أَوِ ارْتِفَاعَ النَّهَارِ</w:t>
      </w:r>
      <w:r>
        <w:rPr>
          <w:rtl/>
          <w:lang w:bidi="fa-IR"/>
        </w:rPr>
        <w:t>؟</w:t>
      </w:r>
    </w:p>
    <w:p w:rsidR="00992664" w:rsidRPr="00020424" w:rsidRDefault="00992664" w:rsidP="00992664">
      <w:pPr>
        <w:pStyle w:val="libNormal"/>
        <w:rPr>
          <w:rtl/>
          <w:lang w:bidi="fa-IR"/>
        </w:rPr>
      </w:pPr>
      <w:r w:rsidRPr="00020424">
        <w:rPr>
          <w:rtl/>
          <w:lang w:bidi="fa-IR"/>
        </w:rPr>
        <w:t xml:space="preserve">فَقَالَ : « إِذَا طَلَعَ الْفَجْرُ وَهُوَ خَارِجٌ وَلَمْ </w:t>
      </w:r>
      <w:r w:rsidRPr="00A91B96">
        <w:rPr>
          <w:rStyle w:val="libFootnotenumChar"/>
          <w:rtl/>
        </w:rPr>
        <w:t>(2)</w:t>
      </w:r>
      <w:r w:rsidRPr="00020424">
        <w:rPr>
          <w:rtl/>
          <w:lang w:bidi="fa-IR"/>
        </w:rPr>
        <w:t xml:space="preserve"> يَدْخُلْ أَهْلَهُ </w:t>
      </w:r>
      <w:r w:rsidRPr="00A91B96">
        <w:rPr>
          <w:rStyle w:val="libFootnotenumChar"/>
          <w:rtl/>
        </w:rPr>
        <w:t>(3)</w:t>
      </w:r>
      <w:r w:rsidRPr="00020424">
        <w:rPr>
          <w:rtl/>
          <w:lang w:bidi="fa-IR"/>
        </w:rPr>
        <w:t xml:space="preserve"> ، فَهُوَ بِالْخِيَارِ ، إِنْ شَاءَ صَامَ ، وَإِنْ شَاءَ أَفْطَرَ</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263851">
        <w:rPr>
          <w:rtl/>
        </w:rPr>
        <w:t>6523</w:t>
      </w:r>
      <w:r w:rsidRPr="001155DE">
        <w:rPr>
          <w:rStyle w:val="libBold2Char"/>
          <w:rtl/>
        </w:rPr>
        <w:t xml:space="preserve"> / 6.</w:t>
      </w:r>
      <w:r w:rsidRPr="00020424">
        <w:rPr>
          <w:rtl/>
          <w:lang w:bidi="fa-IR"/>
        </w:rPr>
        <w:t xml:space="preserve"> عِدَّةٌ مِنْ أَصْحَابِنَا ، عَنْ أَحْمَدَ بْنِ مُحَمَّدٍ ، عَنِ الْحُسَيْنِ بْنِ سَعِيدٍ ، عَنِ النَّضْرِ بْنِ سُوَيْدٍ ، عَنْ عَاصِمِ بْنِ حُمَيْدٍ ، عَنْ مُحَمَّدِ بْنِ مُسْلِمٍ ، قَالَ :</w:t>
      </w:r>
    </w:p>
    <w:p w:rsidR="00992664" w:rsidRPr="00020424" w:rsidRDefault="00992664" w:rsidP="00992664">
      <w:pPr>
        <w:pStyle w:val="libNormal"/>
        <w:rPr>
          <w:rtl/>
          <w:lang w:bidi="fa-IR"/>
        </w:rPr>
      </w:pPr>
      <w:r w:rsidRPr="00020424">
        <w:rPr>
          <w:rtl/>
          <w:lang w:bidi="fa-IR"/>
        </w:rPr>
        <w:t xml:space="preserve">سَأَلْتُ أَبَا جَعْفَرٍ </w:t>
      </w:r>
      <w:r w:rsidRPr="00005A81">
        <w:rPr>
          <w:rStyle w:val="libAlaemChar"/>
          <w:rtl/>
        </w:rPr>
        <w:t>عليه‌السلام</w:t>
      </w:r>
      <w:r w:rsidRPr="00020424">
        <w:rPr>
          <w:rtl/>
          <w:lang w:bidi="fa-IR"/>
        </w:rPr>
        <w:t xml:space="preserve"> عَنِ الرَّجُلِ </w:t>
      </w:r>
      <w:r w:rsidRPr="00A91B96">
        <w:rPr>
          <w:rStyle w:val="libFootnotenumChar"/>
          <w:rtl/>
        </w:rPr>
        <w:t>(5)</w:t>
      </w:r>
      <w:r w:rsidRPr="00020424">
        <w:rPr>
          <w:rtl/>
          <w:lang w:bidi="fa-IR"/>
        </w:rPr>
        <w:t xml:space="preserve"> يَقْدَمُ مِنْ سَفَرٍ </w:t>
      </w:r>
      <w:r w:rsidRPr="00A91B96">
        <w:rPr>
          <w:rStyle w:val="libFootnotenumChar"/>
          <w:rtl/>
        </w:rPr>
        <w:t>(6)</w:t>
      </w:r>
      <w:r w:rsidRPr="00020424">
        <w:rPr>
          <w:rtl/>
          <w:lang w:bidi="fa-IR"/>
        </w:rPr>
        <w:t xml:space="preserve"> فِي شَهْرِ رَمَضَانَ ، فَيَدْخُلُ أَهْلَهُ حِينَ يُصْبِحُ ، أَوِ </w:t>
      </w:r>
      <w:r w:rsidRPr="00A91B96">
        <w:rPr>
          <w:rStyle w:val="libFootnotenumChar"/>
          <w:rtl/>
        </w:rPr>
        <w:t>(7)</w:t>
      </w:r>
      <w:r w:rsidRPr="00020424">
        <w:rPr>
          <w:rtl/>
          <w:lang w:bidi="fa-IR"/>
        </w:rPr>
        <w:t xml:space="preserve"> ارْتِفَاعَ النَّهَارِ</w:t>
      </w:r>
      <w:r>
        <w:rPr>
          <w:rtl/>
          <w:lang w:bidi="fa-IR"/>
        </w:rPr>
        <w:t>؟</w:t>
      </w:r>
    </w:p>
    <w:p w:rsidR="00992664" w:rsidRPr="00020424" w:rsidRDefault="00992664" w:rsidP="00992664">
      <w:pPr>
        <w:pStyle w:val="libNormal"/>
        <w:rPr>
          <w:rtl/>
          <w:lang w:bidi="fa-IR"/>
        </w:rPr>
      </w:pPr>
      <w:r w:rsidRPr="00020424">
        <w:rPr>
          <w:rtl/>
          <w:lang w:bidi="fa-IR"/>
        </w:rPr>
        <w:t>قَالَ : « إِذَا طَلَعَ الْفَجْرُ وَهُوَ خَارِجٌ وَلَمْ يَدْخُلْ أَهْلَهُ ، فَهُوَ بِالْخِيَارِ ، إِنْ شَاءَ صَامَ ، وَإِنْ شَاءَ أَفْطَرَ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263851">
        <w:rPr>
          <w:rtl/>
        </w:rPr>
        <w:t>6524</w:t>
      </w:r>
      <w:r w:rsidRPr="001155DE">
        <w:rPr>
          <w:rStyle w:val="libBold2Char"/>
          <w:rtl/>
        </w:rPr>
        <w:t xml:space="preserve"> / 7.</w:t>
      </w:r>
      <w:r w:rsidRPr="00020424">
        <w:rPr>
          <w:rtl/>
          <w:lang w:bidi="fa-IR"/>
        </w:rPr>
        <w:t xml:space="preserve"> عِدَّةٌ مِنْ أَصْحَابِنَا ، عَنْ سَهْلِ بْنِ زِيَادٍ ، عَنْ أَحْمَدَ بْنِ مُحَمَّدٍ </w:t>
      </w:r>
      <w:r w:rsidRPr="00A91B96">
        <w:rPr>
          <w:rStyle w:val="libFootnotenumChar"/>
          <w:rtl/>
        </w:rPr>
        <w:t>(9)</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الْحَسَنِ </w:t>
      </w:r>
      <w:r w:rsidRPr="00A91B96">
        <w:rPr>
          <w:rStyle w:val="libFootnotenumChar"/>
          <w:rtl/>
        </w:rPr>
        <w:t>(10)</w:t>
      </w:r>
      <w:r w:rsidRPr="00020424">
        <w:rPr>
          <w:rtl/>
          <w:lang w:bidi="fa-IR"/>
        </w:rPr>
        <w:t xml:space="preserve"> </w:t>
      </w:r>
      <w:r w:rsidRPr="00005A81">
        <w:rPr>
          <w:rStyle w:val="libAlaemChar"/>
          <w:rtl/>
        </w:rPr>
        <w:t>عليه‌السلام</w:t>
      </w:r>
      <w:r w:rsidRPr="00020424">
        <w:rPr>
          <w:rtl/>
          <w:lang w:bidi="fa-IR"/>
        </w:rPr>
        <w:t xml:space="preserve"> عَنْ رَجُلٍ قَدِمَ مِنْ سَفَرٍ </w:t>
      </w:r>
      <w:r w:rsidRPr="00A91B96">
        <w:rPr>
          <w:rStyle w:val="libFootnotenumChar"/>
          <w:rtl/>
        </w:rPr>
        <w:t>(11)</w:t>
      </w:r>
      <w:r w:rsidRPr="00020424">
        <w:rPr>
          <w:rtl/>
          <w:lang w:bidi="fa-IR"/>
        </w:rPr>
        <w:t xml:space="preserve"> فِي شَهْرِ رَمَضَانَ ، وَلَمْ يَطْعَمْ‌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 « سحوراً</w:t>
      </w:r>
      <w:r w:rsidR="00992664">
        <w:rPr>
          <w:rtl/>
        </w:rPr>
        <w:t xml:space="preserve"> ».</w:t>
      </w:r>
      <w:r w:rsidR="00992664" w:rsidRPr="00020424">
        <w:rPr>
          <w:rtl/>
        </w:rPr>
        <w:t xml:space="preserve"> وقال الجوهري : « ضحوة النهار : بعد طلوع الشمس</w:t>
      </w:r>
      <w:r w:rsidR="00992664">
        <w:rPr>
          <w:rtl/>
        </w:rPr>
        <w:t xml:space="preserve"> ».</w:t>
      </w:r>
      <w:r w:rsidR="00992664" w:rsidRPr="00020424">
        <w:rPr>
          <w:rtl/>
        </w:rPr>
        <w:t xml:space="preserve"> وقال ابن الأثير : « فأمّا الضحوة فهو ارتفاع أوّل النهار ، والضحى</w:t>
      </w:r>
      <w:r w:rsidR="00992664">
        <w:rPr>
          <w:rtl/>
        </w:rPr>
        <w:t xml:space="preserve"> </w:t>
      </w:r>
      <w:r w:rsidR="009B673F">
        <w:rPr>
          <w:rtl/>
        </w:rPr>
        <w:t>-</w:t>
      </w:r>
      <w:r w:rsidR="00992664">
        <w:rPr>
          <w:rtl/>
        </w:rPr>
        <w:t xml:space="preserve"> </w:t>
      </w:r>
      <w:r w:rsidR="00992664" w:rsidRPr="00020424">
        <w:rPr>
          <w:rtl/>
        </w:rPr>
        <w:t>بالضمّ والقصر</w:t>
      </w:r>
      <w:r w:rsidR="00992664">
        <w:rPr>
          <w:rtl/>
        </w:rPr>
        <w:t xml:space="preserve"> </w:t>
      </w:r>
      <w:r w:rsidR="009B673F">
        <w:rPr>
          <w:rtl/>
        </w:rPr>
        <w:t>-</w:t>
      </w:r>
      <w:r w:rsidR="00992664">
        <w:rPr>
          <w:rtl/>
        </w:rPr>
        <w:t xml:space="preserve"> </w:t>
      </w:r>
      <w:r w:rsidR="00992664" w:rsidRPr="00020424">
        <w:rPr>
          <w:rtl/>
        </w:rPr>
        <w:t>: فوقه ، وبه سمّيت صلاة الضحى</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2406 ؛ </w:t>
      </w:r>
      <w:r w:rsidR="00992664" w:rsidRPr="0012008A">
        <w:rPr>
          <w:rStyle w:val="libFootnoteBoldChar"/>
          <w:rtl/>
        </w:rPr>
        <w:t>النهاية</w:t>
      </w:r>
      <w:r w:rsidR="00992664" w:rsidRPr="00020424">
        <w:rPr>
          <w:rtl/>
        </w:rPr>
        <w:t xml:space="preserve"> ، ج 3 ، ص 76 ( ضحا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بث ، بخ ، بف » </w:t>
      </w:r>
      <w:r w:rsidR="00992664" w:rsidRPr="00A804ED">
        <w:rPr>
          <w:rtl/>
        </w:rPr>
        <w:t>والوافي والفقيه والتهذيب</w:t>
      </w:r>
      <w:r w:rsidR="00992664" w:rsidRPr="00020424">
        <w:rPr>
          <w:rtl/>
        </w:rPr>
        <w:t xml:space="preserve"> ، ح 756 : « لم » بدون الواو.</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ح 756 :</w:t>
      </w:r>
      <w:r w:rsidR="00992664">
        <w:rPr>
          <w:rtl/>
        </w:rPr>
        <w:t xml:space="preserve"> </w:t>
      </w:r>
      <w:r w:rsidR="009B673F">
        <w:rPr>
          <w:rtl/>
        </w:rPr>
        <w:t>-</w:t>
      </w:r>
      <w:r w:rsidR="00992664">
        <w:rPr>
          <w:rtl/>
        </w:rPr>
        <w:t xml:space="preserve"> </w:t>
      </w:r>
      <w:r w:rsidR="00992664" w:rsidRPr="00020424">
        <w:rPr>
          <w:rtl/>
        </w:rPr>
        <w:t>« أهله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255 ، ح 756 ، معلّقاً عن الكليني. </w:t>
      </w:r>
      <w:r w:rsidR="00992664" w:rsidRPr="0012008A">
        <w:rPr>
          <w:rStyle w:val="libFootnoteBoldChar"/>
          <w:rtl/>
        </w:rPr>
        <w:t>الفقيه</w:t>
      </w:r>
      <w:r w:rsidR="00992664" w:rsidRPr="00020424">
        <w:rPr>
          <w:rtl/>
        </w:rPr>
        <w:t xml:space="preserve"> ، ج 2 ، ص 143 ، ح 1984 ، معلّقاً عن رفاعة بن موسى. وفي </w:t>
      </w:r>
      <w:r w:rsidR="00992664" w:rsidRPr="0012008A">
        <w:rPr>
          <w:rStyle w:val="libFootnoteBoldChar"/>
          <w:rtl/>
        </w:rPr>
        <w:t>التهذيب</w:t>
      </w:r>
      <w:r w:rsidR="00992664" w:rsidRPr="00020424">
        <w:rPr>
          <w:rtl/>
        </w:rPr>
        <w:t xml:space="preserve"> ، ج 4 ، ص 228 ، ح 668 ؛ </w:t>
      </w:r>
      <w:r w:rsidR="00992664" w:rsidRPr="00FD6221">
        <w:rPr>
          <w:rStyle w:val="libFootnoteBoldChar"/>
          <w:rtl/>
        </w:rPr>
        <w:t>والاستبصار</w:t>
      </w:r>
      <w:r w:rsidR="00992664" w:rsidRPr="00020424">
        <w:rPr>
          <w:rtl/>
        </w:rPr>
        <w:t xml:space="preserve"> ، ج 2 ، ص 98 ، ح 318 ، بسندهما عن رفاعة ، عن أبي عبدالله </w:t>
      </w:r>
      <w:r w:rsidR="00992664" w:rsidRPr="00D64ADA">
        <w:rPr>
          <w:rStyle w:val="libFootnoteAlaemChar"/>
          <w:rtl/>
        </w:rPr>
        <w:t>عليه‌السلام</w:t>
      </w:r>
      <w:r w:rsidR="00992664" w:rsidRPr="00020424">
        <w:rPr>
          <w:rtl/>
        </w:rPr>
        <w:t xml:space="preserve"> ، مع اختلاف يسير وزيادة في أوّله </w:t>
      </w:r>
      <w:r w:rsidR="00A804ED">
        <w:rPr>
          <w:rFonts w:hint="cs"/>
          <w:rtl/>
        </w:rPr>
        <w:t>.</w:t>
      </w:r>
      <w:r w:rsidR="00992664" w:rsidRPr="0012008A">
        <w:rPr>
          <w:rStyle w:val="libFootnoteBoldChar"/>
          <w:rtl/>
        </w:rPr>
        <w:t>الوافي</w:t>
      </w:r>
      <w:r w:rsidR="00992664" w:rsidRPr="00020424">
        <w:rPr>
          <w:rtl/>
        </w:rPr>
        <w:t xml:space="preserve"> ، ج 11 ، ص 310 ، ح 10933 ؛ </w:t>
      </w:r>
      <w:r w:rsidR="00992664" w:rsidRPr="0012008A">
        <w:rPr>
          <w:rStyle w:val="libFootnoteBoldChar"/>
          <w:rtl/>
        </w:rPr>
        <w:t>الوسائل</w:t>
      </w:r>
      <w:r w:rsidR="00992664" w:rsidRPr="00020424">
        <w:rPr>
          <w:rtl/>
        </w:rPr>
        <w:t xml:space="preserve"> ، ج 10 ، ص 189 ، ذيل ح 13189.</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حاشية « بح » : « رجل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804ED" w:rsidTr="00A804ED">
        <w:tc>
          <w:tcPr>
            <w:tcW w:w="4006" w:type="dxa"/>
          </w:tcPr>
          <w:p w:rsidR="00A804ED" w:rsidRDefault="00A804ED" w:rsidP="00992664">
            <w:pPr>
              <w:pStyle w:val="libFootnote0"/>
              <w:rPr>
                <w:rtl/>
              </w:rPr>
            </w:pPr>
            <w:r>
              <w:rPr>
                <w:rtl/>
              </w:rPr>
              <w:t xml:space="preserve">(6). </w:t>
            </w:r>
            <w:r w:rsidRPr="00020424">
              <w:rPr>
                <w:rtl/>
              </w:rPr>
              <w:t>في « ظ ، بر ، بف » : « سفره</w:t>
            </w:r>
            <w:r>
              <w:rPr>
                <w:rtl/>
              </w:rPr>
              <w:t xml:space="preserve"> ».</w:t>
            </w:r>
          </w:p>
        </w:tc>
        <w:tc>
          <w:tcPr>
            <w:tcW w:w="4006" w:type="dxa"/>
          </w:tcPr>
          <w:p w:rsidR="00A804ED" w:rsidRDefault="00A804ED" w:rsidP="00992664">
            <w:pPr>
              <w:pStyle w:val="libFootnote0"/>
              <w:rPr>
                <w:rtl/>
              </w:rPr>
            </w:pPr>
            <w:r>
              <w:rPr>
                <w:rtl/>
              </w:rPr>
              <w:t xml:space="preserve">(7). </w:t>
            </w:r>
            <w:r w:rsidRPr="00020424">
              <w:rPr>
                <w:rtl/>
              </w:rPr>
              <w:t>في « بف » : « أوّل</w:t>
            </w:r>
            <w:r>
              <w:rPr>
                <w:rtl/>
              </w:rPr>
              <w:t xml:space="preserve"> ».</w:t>
            </w:r>
          </w:p>
        </w:tc>
      </w:tr>
    </w:tbl>
    <w:p w:rsidR="00992664" w:rsidRPr="00020424" w:rsidRDefault="00795177" w:rsidP="00827B01">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256 ، ح 757 ، معلّقاً عن الحسين بن سعيد </w:t>
      </w:r>
      <w:r w:rsidR="00827B01">
        <w:rPr>
          <w:rFonts w:hint="cs"/>
          <w:rtl/>
        </w:rPr>
        <w:t>.</w:t>
      </w:r>
      <w:r w:rsidR="00992664" w:rsidRPr="0012008A">
        <w:rPr>
          <w:rStyle w:val="libFootnoteBoldChar"/>
          <w:rtl/>
        </w:rPr>
        <w:t>الوافي</w:t>
      </w:r>
      <w:r w:rsidR="00992664" w:rsidRPr="00020424">
        <w:rPr>
          <w:rtl/>
        </w:rPr>
        <w:t xml:space="preserve"> ، ج 11 ، ص 311 ، ح 10934 ؛ </w:t>
      </w:r>
      <w:r w:rsidR="00992664" w:rsidRPr="0012008A">
        <w:rPr>
          <w:rStyle w:val="libFootnoteBoldChar"/>
          <w:rtl/>
        </w:rPr>
        <w:t>الوسائل</w:t>
      </w:r>
      <w:r w:rsidR="00992664" w:rsidRPr="00020424">
        <w:rPr>
          <w:rtl/>
        </w:rPr>
        <w:t xml:space="preserve"> ، ج 10 ، ص 190 ، ح 13190.</w:t>
      </w:r>
      <w:r w:rsidR="00827B01">
        <w:rPr>
          <w:rFonts w:hint="cs"/>
          <w:rtl/>
        </w:rPr>
        <w:t xml:space="preserve">  </w:t>
      </w:r>
      <w:r>
        <w:rPr>
          <w:rtl/>
        </w:rPr>
        <w:t>(9).</w:t>
      </w:r>
      <w:r w:rsidR="0014403D">
        <w:rPr>
          <w:rtl/>
        </w:rPr>
        <w:t xml:space="preserve"> </w:t>
      </w:r>
      <w:r w:rsidR="00992664" w:rsidRPr="00020424">
        <w:rPr>
          <w:rtl/>
        </w:rPr>
        <w:t>في « جر » : + « بن أبي نصر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27B01" w:rsidTr="00827B01">
        <w:tc>
          <w:tcPr>
            <w:tcW w:w="4006" w:type="dxa"/>
          </w:tcPr>
          <w:p w:rsidR="00827B01" w:rsidRDefault="00827B01" w:rsidP="00992664">
            <w:pPr>
              <w:pStyle w:val="libFootnote0"/>
              <w:rPr>
                <w:rtl/>
              </w:rPr>
            </w:pPr>
            <w:r>
              <w:rPr>
                <w:rtl/>
              </w:rPr>
              <w:t xml:space="preserve">(10). </w:t>
            </w:r>
            <w:r w:rsidRPr="00020424">
              <w:rPr>
                <w:rtl/>
              </w:rPr>
              <w:t>في « جر » : + « الرضا</w:t>
            </w:r>
            <w:r>
              <w:rPr>
                <w:rtl/>
              </w:rPr>
              <w:t xml:space="preserve"> ».</w:t>
            </w:r>
          </w:p>
        </w:tc>
        <w:tc>
          <w:tcPr>
            <w:tcW w:w="4006" w:type="dxa"/>
          </w:tcPr>
          <w:p w:rsidR="00827B01" w:rsidRDefault="00827B01" w:rsidP="00992664">
            <w:pPr>
              <w:pStyle w:val="libFootnote0"/>
              <w:rPr>
                <w:rtl/>
              </w:rPr>
            </w:pPr>
            <w:r>
              <w:rPr>
                <w:rtl/>
              </w:rPr>
              <w:t xml:space="preserve">(11). </w:t>
            </w:r>
            <w:r w:rsidRPr="00020424">
              <w:rPr>
                <w:rtl/>
              </w:rPr>
              <w:t xml:space="preserve">في « بر ، بف » </w:t>
            </w:r>
            <w:r w:rsidRPr="00515444">
              <w:rPr>
                <w:rStyle w:val="libFootnoteBoldChar"/>
                <w:rtl/>
              </w:rPr>
              <w:t>والوافي</w:t>
            </w:r>
            <w:r w:rsidRPr="00020424">
              <w:rPr>
                <w:rtl/>
              </w:rPr>
              <w:t xml:space="preserve"> : « سفره</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3C5AA3">
      <w:pPr>
        <w:pStyle w:val="libNormal0"/>
        <w:rPr>
          <w:rtl/>
          <w:lang w:bidi="fa-IR"/>
        </w:rPr>
      </w:pPr>
      <w:r w:rsidRPr="00020424">
        <w:rPr>
          <w:rtl/>
          <w:lang w:bidi="fa-IR"/>
        </w:rPr>
        <w:t>شَيْئاً قَبْلَ الزَّوَالِ</w:t>
      </w:r>
      <w:r>
        <w:rPr>
          <w:rtl/>
          <w:lang w:bidi="fa-IR"/>
        </w:rPr>
        <w:t>؟</w:t>
      </w:r>
    </w:p>
    <w:p w:rsidR="00992664" w:rsidRPr="00020424" w:rsidRDefault="00992664" w:rsidP="00992664">
      <w:pPr>
        <w:pStyle w:val="libNormal"/>
        <w:rPr>
          <w:rtl/>
          <w:lang w:bidi="fa-IR"/>
        </w:rPr>
      </w:pPr>
      <w:r w:rsidRPr="00020424">
        <w:rPr>
          <w:rtl/>
          <w:lang w:bidi="fa-IR"/>
        </w:rPr>
        <w:t>قَالَ : « يَصُومُ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63851">
        <w:rPr>
          <w:rtl/>
        </w:rPr>
        <w:t>6525</w:t>
      </w:r>
      <w:r w:rsidRPr="001155DE">
        <w:rPr>
          <w:rStyle w:val="libBold2Char"/>
          <w:rtl/>
        </w:rPr>
        <w:t xml:space="preserve"> / 8.</w:t>
      </w:r>
      <w:r w:rsidRPr="00020424">
        <w:rPr>
          <w:rtl/>
          <w:lang w:bidi="fa-IR"/>
        </w:rPr>
        <w:t xml:space="preserve"> مُحَمَّدُ بْنُ يَحْيى ، عَنْ أَحْمَدَ بْنِ مُحَمَّدٍ ، عَنْ عُثْمَانَ بْنِ</w:t>
      </w:r>
      <w:r w:rsidR="000354B6">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سَأَلْتُهُ عَنْ مُسَافِرٍ دَخَلَ أَهْلَهُ قَبْلَ زَوَالِ الشَّمْسِ وَقَدْ أَكَلَ</w:t>
      </w:r>
      <w:r>
        <w:rPr>
          <w:rtl/>
          <w:lang w:bidi="fa-IR"/>
        </w:rPr>
        <w:t>؟</w:t>
      </w:r>
    </w:p>
    <w:p w:rsidR="00992664" w:rsidRPr="00020424" w:rsidRDefault="00992664" w:rsidP="00992664">
      <w:pPr>
        <w:pStyle w:val="libNormal"/>
        <w:rPr>
          <w:rtl/>
          <w:lang w:bidi="fa-IR"/>
        </w:rPr>
      </w:pPr>
      <w:r w:rsidRPr="00020424">
        <w:rPr>
          <w:rtl/>
          <w:lang w:bidi="fa-IR"/>
        </w:rPr>
        <w:t xml:space="preserve">قَالَ : « لَا يَنْبَغِي لَهُ </w:t>
      </w:r>
      <w:r w:rsidRPr="00A91B96">
        <w:rPr>
          <w:rStyle w:val="libFootnotenumChar"/>
          <w:rtl/>
        </w:rPr>
        <w:t>(2)</w:t>
      </w:r>
      <w:r w:rsidRPr="00020424">
        <w:rPr>
          <w:rtl/>
          <w:lang w:bidi="fa-IR"/>
        </w:rPr>
        <w:t xml:space="preserve"> أَنْ يَأْكُلَ يَوْمَهُ ذلِكَ شَيْئاً ، وَلَايُوَاقِعُ </w:t>
      </w:r>
      <w:r w:rsidRPr="00A91B96">
        <w:rPr>
          <w:rStyle w:val="libFootnotenumChar"/>
          <w:rtl/>
        </w:rPr>
        <w:t>(3)</w:t>
      </w:r>
      <w:r w:rsidRPr="00020424">
        <w:rPr>
          <w:rtl/>
          <w:lang w:bidi="fa-IR"/>
        </w:rPr>
        <w:t xml:space="preserve"> فِي شَهْرِ رَمَضَانَ إِنْ كَانَ لَهُ أَهْلٌ</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263851">
        <w:rPr>
          <w:rtl/>
        </w:rPr>
        <w:t>6526</w:t>
      </w:r>
      <w:r w:rsidRPr="001155DE">
        <w:rPr>
          <w:rStyle w:val="libBold2Char"/>
          <w:rtl/>
        </w:rPr>
        <w:t xml:space="preserve"> / 9.</w:t>
      </w:r>
      <w:r w:rsidRPr="00020424">
        <w:rPr>
          <w:rtl/>
          <w:lang w:bidi="fa-IR"/>
        </w:rPr>
        <w:t xml:space="preserve"> عَلِيُّ بْنُ إِبْرَاهِيمَ ، عَنْ مُحَمَّدِ بْنِ عِيسَى بْنِ عُبَيْدٍ </w:t>
      </w:r>
      <w:r w:rsidRPr="00A91B96">
        <w:rPr>
          <w:rStyle w:val="libFootnotenumChar"/>
          <w:rtl/>
        </w:rPr>
        <w:t>(5)</w:t>
      </w:r>
      <w:r w:rsidRPr="00020424">
        <w:rPr>
          <w:rtl/>
          <w:lang w:bidi="fa-IR"/>
        </w:rPr>
        <w:t xml:space="preserve"> ، عَنْ يُونُسَ ، قَالَ :</w:t>
      </w:r>
    </w:p>
    <w:p w:rsidR="00992664" w:rsidRPr="00020424" w:rsidRDefault="00992664" w:rsidP="00992664">
      <w:pPr>
        <w:pStyle w:val="libNormal"/>
        <w:rPr>
          <w:rtl/>
          <w:lang w:bidi="fa-IR"/>
        </w:rPr>
      </w:pPr>
      <w:r w:rsidRPr="00020424">
        <w:rPr>
          <w:rtl/>
          <w:lang w:bidi="fa-IR"/>
        </w:rPr>
        <w:t>قَالَ فِي الْمُسَافِرِ الَّذِي يَدْخُلُ أَهْلَهُ فِي شَهْرِ رَمَضَانَ وَقَدْ أَكَلَ قَبْلَ دُخُولِهِ ، قَالَ :</w:t>
      </w:r>
      <w:r>
        <w:rPr>
          <w:rFonts w:hint="cs"/>
          <w:rtl/>
          <w:lang w:bidi="fa-IR"/>
        </w:rPr>
        <w:t xml:space="preserve"> </w:t>
      </w:r>
      <w:r w:rsidRPr="00020424">
        <w:rPr>
          <w:rtl/>
          <w:lang w:bidi="fa-IR"/>
        </w:rPr>
        <w:t xml:space="preserve">« يَكُفُّ عَنِ الْأَكْلِ بَقِيَّةَ يَوْمِهِ </w:t>
      </w:r>
      <w:r w:rsidRPr="00A91B96">
        <w:rPr>
          <w:rStyle w:val="libFootnotenumChar"/>
          <w:rtl/>
        </w:rPr>
        <w:t>(6)</w:t>
      </w:r>
      <w:r w:rsidRPr="00020424">
        <w:rPr>
          <w:rtl/>
          <w:lang w:bidi="fa-IR"/>
        </w:rPr>
        <w:t xml:space="preserve"> ، وَعَلَيْهِ الْقَضَاءُ</w:t>
      </w:r>
      <w:r>
        <w:rPr>
          <w:rtl/>
          <w:lang w:bidi="fa-IR"/>
        </w:rPr>
        <w:t xml:space="preserve"> ».</w:t>
      </w:r>
    </w:p>
    <w:p w:rsidR="00992664" w:rsidRPr="00020424" w:rsidRDefault="00992664" w:rsidP="000354B6">
      <w:pPr>
        <w:pStyle w:val="libNormal"/>
        <w:rPr>
          <w:rtl/>
          <w:lang w:bidi="fa-IR"/>
        </w:rPr>
      </w:pPr>
      <w:r w:rsidRPr="00020424">
        <w:rPr>
          <w:rtl/>
          <w:lang w:bidi="fa-IR"/>
        </w:rPr>
        <w:t xml:space="preserve">وَقَالَ فِي الْمُسَافِرِ </w:t>
      </w:r>
      <w:r w:rsidRPr="00A91B96">
        <w:rPr>
          <w:rStyle w:val="libFootnotenumChar"/>
          <w:rtl/>
        </w:rPr>
        <w:t>(7)</w:t>
      </w:r>
      <w:r w:rsidRPr="00020424">
        <w:rPr>
          <w:rtl/>
          <w:lang w:bidi="fa-IR"/>
        </w:rPr>
        <w:t xml:space="preserve"> يَدْخُلُ أَهْلَهُ وَهُوَ جُنُبٌ قَبْلَ الزَّوَالِ ، وَلَمْ يَكُنْ أَكَلَ : « فَعَلَيْهِ أَنْ يُتِمَّ صَوْمَهُ ، وَلَاقَضَاءَ عَلَيْهِ » يَعْنِي إِذَا كَانَتْ جَنَابَتُهُ مِنِ احْتِلَامٍ </w:t>
      </w:r>
      <w:r w:rsidRPr="00A91B96">
        <w:rPr>
          <w:rStyle w:val="libFootnotenumChar"/>
          <w:rtl/>
        </w:rPr>
        <w:t>(8)</w:t>
      </w:r>
      <w:r w:rsidR="000354B6">
        <w:rPr>
          <w:rFonts w:hint="cs"/>
          <w:rtl/>
          <w:lang w:bidi="fa-IR"/>
        </w:rPr>
        <w:t>.</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255 ، ح 755 ، معلّقاً عن الكليني </w:t>
      </w:r>
      <w:r w:rsidR="00E32D72">
        <w:rPr>
          <w:rFonts w:hint="cs"/>
          <w:rtl/>
        </w:rPr>
        <w:t>.</w:t>
      </w:r>
      <w:r w:rsidR="00992664" w:rsidRPr="0012008A">
        <w:rPr>
          <w:rStyle w:val="libFootnoteBoldChar"/>
          <w:rtl/>
        </w:rPr>
        <w:t>الوافي</w:t>
      </w:r>
      <w:r w:rsidR="00992664" w:rsidRPr="00020424">
        <w:rPr>
          <w:rtl/>
        </w:rPr>
        <w:t xml:space="preserve"> ، ج 11 ، ص 311 ، ح 10935 ؛ </w:t>
      </w:r>
      <w:r w:rsidR="00992664" w:rsidRPr="0012008A">
        <w:rPr>
          <w:rStyle w:val="libFootnoteBoldChar"/>
          <w:rtl/>
        </w:rPr>
        <w:t>الوسائل</w:t>
      </w:r>
      <w:r w:rsidR="00992664" w:rsidRPr="00020424">
        <w:rPr>
          <w:rtl/>
        </w:rPr>
        <w:t xml:space="preserve"> ، ج 10 ، ص 190 ، ح 13191.</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ينبغي ، يدلّ على استحباب الإمساك ، كما هو المقطوع به في كلام الأصحاب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ولا يواقع ، أي مطلقاً ، أو في خصوص تلك الواقعة ، والأوّل أظهر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253 ، ح 751 ؛ </w:t>
      </w:r>
      <w:r w:rsidR="00992664" w:rsidRPr="00FD6221">
        <w:rPr>
          <w:rStyle w:val="libFootnoteBoldChar"/>
          <w:rtl/>
        </w:rPr>
        <w:t>والاستبصار</w:t>
      </w:r>
      <w:r w:rsidR="00992664" w:rsidRPr="00020424">
        <w:rPr>
          <w:rtl/>
        </w:rPr>
        <w:t xml:space="preserve"> ، ج 2 ، ص 113 ، ح 368 ، معلّقاً عن الكليني </w:t>
      </w:r>
      <w:r w:rsidR="00E32D72">
        <w:rPr>
          <w:rFonts w:hint="cs"/>
          <w:rtl/>
        </w:rPr>
        <w:t>.</w:t>
      </w:r>
      <w:r w:rsidR="00992664" w:rsidRPr="0012008A">
        <w:rPr>
          <w:rStyle w:val="libFootnoteBoldChar"/>
          <w:rtl/>
        </w:rPr>
        <w:t>الوافي</w:t>
      </w:r>
      <w:r w:rsidR="00992664" w:rsidRPr="00020424">
        <w:rPr>
          <w:rtl/>
        </w:rPr>
        <w:t xml:space="preserve"> ، ج 11 ، ص 311 ، ح 10937 ؛ </w:t>
      </w:r>
      <w:r w:rsidR="00992664" w:rsidRPr="0012008A">
        <w:rPr>
          <w:rStyle w:val="libFootnoteBoldChar"/>
          <w:rtl/>
        </w:rPr>
        <w:t>الوسائل</w:t>
      </w:r>
      <w:r w:rsidR="00992664" w:rsidRPr="00020424">
        <w:rPr>
          <w:rtl/>
        </w:rPr>
        <w:t xml:space="preserve"> ، ج 10 ، ص 191 ، ح 13195.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عبيد</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الكفّ عن الأكل بقيّة اليوم</w:t>
      </w:r>
      <w:r w:rsidR="00992664">
        <w:rPr>
          <w:rtl/>
        </w:rPr>
        <w:t xml:space="preserve"> ..</w:t>
      </w:r>
      <w:r w:rsidR="00992664" w:rsidRPr="00020424">
        <w:rPr>
          <w:rtl/>
        </w:rPr>
        <w:t>. محمول على التأديب والترغيب دون الفرض والإيجاب</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 + « الذي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بس ، جن » : « الاحتلام</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أمّا كون الجنابة من احتلام</w:t>
      </w:r>
      <w:r w:rsidR="00992664">
        <w:rPr>
          <w:rtl/>
        </w:rPr>
        <w:t xml:space="preserve"> ..</w:t>
      </w:r>
      <w:r w:rsidR="00992664" w:rsidRPr="00020424">
        <w:rPr>
          <w:rtl/>
        </w:rPr>
        <w:t>. فينبغي تقييده بما إذا لم يصبح جنباً متعمّداً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 يعني إذا كانت ، لعلّه كلام يونس ، وحملها على الجنابة لم يخلّ بصحّة الصوم ، فالمراد الاحتلام في ال</w:t>
      </w:r>
      <w:r w:rsidR="00DC6191">
        <w:rPr>
          <w:rtl/>
        </w:rPr>
        <w:t>يوم ، أو في الليل ولم ينتبه إل</w:t>
      </w:r>
      <w:r w:rsidR="00DC6191">
        <w:rPr>
          <w:rFonts w:hint="cs"/>
          <w:rtl/>
        </w:rPr>
        <w:t>ّ</w:t>
      </w:r>
      <w:r w:rsidR="00DC6191">
        <w:rPr>
          <w:rtl/>
        </w:rPr>
        <w:t>ا</w:t>
      </w:r>
      <w:r w:rsidR="00992664" w:rsidRPr="00020424">
        <w:rPr>
          <w:rtl/>
        </w:rPr>
        <w:t>بعد طلوع الفجر ، أو انتبه ونام بقصد الغسل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254 ، ح 752 ؛ </w:t>
      </w:r>
      <w:r w:rsidR="00992664" w:rsidRPr="00FD6221">
        <w:rPr>
          <w:rStyle w:val="libFootnoteBoldChar"/>
          <w:rtl/>
        </w:rPr>
        <w:t>والاستبصار</w:t>
      </w:r>
      <w:r w:rsidR="00992664" w:rsidRPr="00020424">
        <w:rPr>
          <w:rtl/>
        </w:rPr>
        <w:t xml:space="preserve"> ، ج 2 ، ص 113 ، ح 369 ، معلّقاً عن الكليني. </w:t>
      </w:r>
      <w:r w:rsidR="00992664" w:rsidRPr="0012008A">
        <w:rPr>
          <w:rStyle w:val="libFootnoteBoldChar"/>
          <w:rtl/>
        </w:rPr>
        <w:t>الفقيه</w:t>
      </w:r>
      <w:r w:rsidR="00992664" w:rsidRPr="00020424">
        <w:rPr>
          <w:rtl/>
        </w:rPr>
        <w:t xml:space="preserve"> ، ج 2 ، </w:t>
      </w:r>
      <w:r w:rsidR="00AF04A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62" w:name="_Toc345172870"/>
      <w:bookmarkStart w:id="463" w:name="_Toc464562686"/>
      <w:bookmarkStart w:id="464" w:name="_Toc44599991"/>
      <w:r w:rsidRPr="00020424">
        <w:rPr>
          <w:rtl/>
          <w:lang w:bidi="fa-IR"/>
        </w:rPr>
        <w:t>53</w:t>
      </w:r>
      <w:r>
        <w:rPr>
          <w:rtl/>
          <w:lang w:bidi="fa-IR"/>
        </w:rPr>
        <w:t xml:space="preserve"> </w:t>
      </w:r>
      <w:r w:rsidR="009B673F">
        <w:rPr>
          <w:rtl/>
          <w:lang w:bidi="fa-IR"/>
        </w:rPr>
        <w:t>-</w:t>
      </w:r>
      <w:r>
        <w:rPr>
          <w:rtl/>
          <w:lang w:bidi="fa-IR"/>
        </w:rPr>
        <w:t xml:space="preserve"> </w:t>
      </w:r>
      <w:r w:rsidRPr="00020424">
        <w:rPr>
          <w:rtl/>
          <w:lang w:bidi="fa-IR"/>
        </w:rPr>
        <w:t xml:space="preserve">بَابُ مَنْ دَخَلَ بَلْدَةً فَأَرَادَ </w:t>
      </w:r>
      <w:r w:rsidRPr="00A91B96">
        <w:rPr>
          <w:rStyle w:val="libFootnotenumChar"/>
          <w:rtl/>
        </w:rPr>
        <w:t>(1)</w:t>
      </w:r>
      <w:r>
        <w:rPr>
          <w:rtl/>
        </w:rPr>
        <w:t xml:space="preserve"> </w:t>
      </w:r>
      <w:r w:rsidRPr="00020424">
        <w:rPr>
          <w:rtl/>
          <w:lang w:bidi="fa-IR"/>
        </w:rPr>
        <w:t>الْمُقَامَ بِهَا أَوْ لَمْ يُرِدْ‌</w:t>
      </w:r>
      <w:bookmarkEnd w:id="462"/>
      <w:bookmarkEnd w:id="463"/>
      <w:bookmarkEnd w:id="464"/>
    </w:p>
    <w:p w:rsidR="00992664" w:rsidRPr="00020424" w:rsidRDefault="00992664" w:rsidP="00992664">
      <w:pPr>
        <w:pStyle w:val="libNormal"/>
        <w:rPr>
          <w:rtl/>
          <w:lang w:bidi="fa-IR"/>
        </w:rPr>
      </w:pPr>
      <w:r w:rsidRPr="00F91214">
        <w:rPr>
          <w:rtl/>
        </w:rPr>
        <w:t>6527</w:t>
      </w:r>
      <w:r w:rsidRPr="001155DE">
        <w:rPr>
          <w:rStyle w:val="libBold2Char"/>
          <w:rtl/>
        </w:rPr>
        <w:t xml:space="preserve"> / 1.</w:t>
      </w:r>
      <w:r w:rsidRPr="00020424">
        <w:rPr>
          <w:rtl/>
          <w:lang w:bidi="fa-IR"/>
        </w:rPr>
        <w:t xml:space="preserve"> عِدَّةٌ مِنْ أَصْحَابِنَا ، عَنْ أَحْمَدَ بْنِ مُحَمَّدٍ ، عَنِ الْحُسَيْنِ بْنِ سَعِيدٍ ، عَنِ الْقَاسِمِ بْنِ مُحَمَّدٍ ، عَنْ عَلِيِّ بْنِ أَبِي حَمْزَةَ ، عَنْ أَبِي بَصِيرٍ ، قَالَ :</w:t>
      </w:r>
    </w:p>
    <w:p w:rsidR="00992664" w:rsidRPr="00020424" w:rsidRDefault="00992664" w:rsidP="00992664">
      <w:pPr>
        <w:pStyle w:val="libNormal"/>
        <w:rPr>
          <w:rtl/>
          <w:lang w:bidi="fa-IR"/>
        </w:rPr>
      </w:pPr>
      <w:r w:rsidRPr="00020424">
        <w:rPr>
          <w:rtl/>
          <w:lang w:bidi="fa-IR"/>
        </w:rPr>
        <w:t xml:space="preserve">إِذَا قَدِمْتَ أَرْضاً وَأَنْتَ تُرِيدُ أَنْ تُقِيمَ بِهَا </w:t>
      </w:r>
      <w:r w:rsidRPr="00A91B96">
        <w:rPr>
          <w:rStyle w:val="libFootnotenumChar"/>
          <w:rtl/>
        </w:rPr>
        <w:t>(2)</w:t>
      </w:r>
      <w:r w:rsidRPr="00020424">
        <w:rPr>
          <w:rtl/>
          <w:lang w:bidi="fa-IR"/>
        </w:rPr>
        <w:t xml:space="preserve"> عَشَرَةَ أَيَّامٍ ، فَصُمْ وَأَتِمَّ ، وَإِنْ كُنْتَ تُرِيدُ أَنْ تُقِيمَ أَقَلَّ مِنْ عَشَرَةِ أَيَّامٍ ، فَأَفْطِرْ مَا بَيْنَكَ وَبَيْنَ شَهْرٍ ، فَإِذَا بَلَغَ الشَّهْرُ ، فَأَتِمَّ الصَّلَاةَ وَالصِّيَامَ وَإِنْ قُلْتَ : أَرْتَحِلُ غُدْوَةً </w:t>
      </w:r>
      <w:r w:rsidRPr="00A91B96">
        <w:rPr>
          <w:rStyle w:val="libFootnotenumChar"/>
          <w:rtl/>
        </w:rPr>
        <w:t>(3)</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F91214">
        <w:rPr>
          <w:rtl/>
        </w:rPr>
        <w:t>6528</w:t>
      </w:r>
      <w:r w:rsidRPr="001155DE">
        <w:rPr>
          <w:rStyle w:val="libBold2Char"/>
          <w:rtl/>
        </w:rPr>
        <w:t xml:space="preserve"> / 2.</w:t>
      </w:r>
      <w:r w:rsidRPr="00020424">
        <w:rPr>
          <w:rtl/>
          <w:lang w:bidi="fa-IR"/>
        </w:rPr>
        <w:t xml:space="preserve"> مُحَمَّدُ بْنُ يَحْيى ، عَنِ الْعَمْرَكِيِّ بْنِ عَلِيٍّ </w:t>
      </w:r>
      <w:r w:rsidRPr="00A91B96">
        <w:rPr>
          <w:rStyle w:val="libFootnotenumChar"/>
          <w:rtl/>
        </w:rPr>
        <w:t>(5)</w:t>
      </w:r>
      <w:r w:rsidRPr="00020424">
        <w:rPr>
          <w:rtl/>
          <w:lang w:bidi="fa-IR"/>
        </w:rPr>
        <w:t xml:space="preserve"> ، عَنْ عَلِيِّ بْنِ جَعْفَرٍ :</w:t>
      </w:r>
    </w:p>
    <w:p w:rsidR="00992664" w:rsidRPr="00020424" w:rsidRDefault="00992664" w:rsidP="00992664">
      <w:pPr>
        <w:pStyle w:val="libNormal"/>
        <w:rPr>
          <w:rtl/>
          <w:lang w:bidi="fa-IR"/>
        </w:rPr>
      </w:pPr>
      <w:r w:rsidRPr="00020424">
        <w:rPr>
          <w:rtl/>
          <w:lang w:bidi="fa-IR"/>
        </w:rPr>
        <w:t xml:space="preserve">عَنْ أَخِيهِ </w:t>
      </w:r>
      <w:r w:rsidRPr="00A91B96">
        <w:rPr>
          <w:rStyle w:val="libFootnotenumChar"/>
          <w:rtl/>
        </w:rPr>
        <w:t>(6)</w:t>
      </w:r>
      <w:r w:rsidRPr="00020424">
        <w:rPr>
          <w:rtl/>
          <w:lang w:bidi="fa-IR"/>
        </w:rPr>
        <w:t xml:space="preserve"> أَبِي الْحَسَنِ </w:t>
      </w:r>
      <w:r w:rsidRPr="00005A81">
        <w:rPr>
          <w:rStyle w:val="libAlaemChar"/>
          <w:rtl/>
        </w:rPr>
        <w:t>عليه‌السلام</w:t>
      </w:r>
      <w:r w:rsidRPr="00020424">
        <w:rPr>
          <w:rtl/>
          <w:lang w:bidi="fa-IR"/>
        </w:rPr>
        <w:t xml:space="preserve"> ، قَالَ : سَأَلْتُهُ عَنِ الرَّجُلِ يُدْرِكُهُ شَهْرُ رَمَضَانَ فِي السَّفَرِ ، فَيُقِيمُ الْأَيَّامَ </w:t>
      </w:r>
      <w:r w:rsidRPr="00A91B96">
        <w:rPr>
          <w:rStyle w:val="libFootnotenumChar"/>
          <w:rtl/>
        </w:rPr>
        <w:t>(7)</w:t>
      </w:r>
      <w:r w:rsidRPr="00020424">
        <w:rPr>
          <w:rtl/>
          <w:lang w:bidi="fa-IR"/>
        </w:rPr>
        <w:t xml:space="preserve"> فِي الْمَكَانِ : عَلَيْهِ صَوْمٌ</w:t>
      </w:r>
      <w:r>
        <w:rPr>
          <w:rtl/>
          <w:lang w:bidi="fa-IR"/>
        </w:rPr>
        <w:t>؟</w:t>
      </w:r>
    </w:p>
    <w:p w:rsidR="00992664" w:rsidRPr="00020424" w:rsidRDefault="00992664" w:rsidP="00992664">
      <w:pPr>
        <w:pStyle w:val="libNormal"/>
        <w:rPr>
          <w:rtl/>
          <w:lang w:bidi="fa-IR"/>
        </w:rPr>
      </w:pPr>
      <w:r w:rsidRPr="00020424">
        <w:rPr>
          <w:rtl/>
          <w:lang w:bidi="fa-IR"/>
        </w:rPr>
        <w:t xml:space="preserve">قَالَ : « لَا ، حَتّى يُجْمِعَ </w:t>
      </w:r>
      <w:r w:rsidRPr="00A91B96">
        <w:rPr>
          <w:rStyle w:val="libFootnotenumChar"/>
          <w:rtl/>
        </w:rPr>
        <w:t>(8)</w:t>
      </w:r>
      <w:r w:rsidRPr="00020424">
        <w:rPr>
          <w:rtl/>
          <w:lang w:bidi="fa-IR"/>
        </w:rPr>
        <w:t xml:space="preserve"> عَلى مُقَامِ عَشَرَةِ أَيَّامٍ ، وَإِذَا </w:t>
      </w:r>
      <w:r w:rsidRPr="00A91B96">
        <w:rPr>
          <w:rStyle w:val="libFootnotenumChar"/>
          <w:rtl/>
        </w:rPr>
        <w:t>(9)</w:t>
      </w:r>
      <w:r w:rsidRPr="00020424">
        <w:rPr>
          <w:rtl/>
          <w:lang w:bidi="fa-IR"/>
        </w:rPr>
        <w:t xml:space="preserve"> أَجْمَعَ عَلى مُقَامِ عَشَرَةِ أَيَّامٍ </w:t>
      </w:r>
      <w:r w:rsidRPr="00A91B96">
        <w:rPr>
          <w:rStyle w:val="libFootnotenumChar"/>
          <w:rtl/>
        </w:rPr>
        <w:t>(10)</w:t>
      </w:r>
      <w:r w:rsidRPr="00020424">
        <w:rPr>
          <w:rtl/>
          <w:lang w:bidi="fa-IR"/>
        </w:rPr>
        <w:t xml:space="preserve"> ، صَامَ وَأَتَمَّ الصَّلَاةَ</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5B7C56" w:rsidP="00992664">
      <w:pPr>
        <w:pStyle w:val="libFootnote0"/>
        <w:rPr>
          <w:rtl/>
          <w:lang w:bidi="fa-IR"/>
        </w:rPr>
      </w:pPr>
      <w:r>
        <w:rPr>
          <w:rFonts w:hint="cs"/>
          <w:rtl/>
        </w:rPr>
        <w:t xml:space="preserve">= </w:t>
      </w:r>
      <w:r w:rsidR="00992664" w:rsidRPr="00020424">
        <w:rPr>
          <w:rtl/>
        </w:rPr>
        <w:t xml:space="preserve">ص 143 ، ح 1985 ، معلّقاً عن يونس بن عبدالرحمن ، عن موسى‌بن جعفر </w:t>
      </w:r>
      <w:r w:rsidR="00D64ADA" w:rsidRPr="00D64ADA">
        <w:rPr>
          <w:rStyle w:val="libFootnoteAlaemChar"/>
          <w:rtl/>
        </w:rPr>
        <w:t>عليهما‌السلام</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11 ، ص 312 ، ح 10938 ؛ </w:t>
      </w:r>
      <w:r w:rsidR="00992664" w:rsidRPr="0012008A">
        <w:rPr>
          <w:rStyle w:val="libFootnoteBoldChar"/>
          <w:rtl/>
        </w:rPr>
        <w:t>الوسائل</w:t>
      </w:r>
      <w:r w:rsidR="00992664" w:rsidRPr="00020424">
        <w:rPr>
          <w:rtl/>
        </w:rPr>
        <w:t xml:space="preserve"> ، ج 10 ، ص 190 ، ح 13192 ، من قوله : « وقال في المسافر يدخل أهله وهو جنب » ؛ </w:t>
      </w:r>
      <w:r w:rsidR="00992664" w:rsidRPr="00DE76B9">
        <w:rPr>
          <w:rStyle w:val="libFootnoteBoldChar"/>
          <w:rtl/>
        </w:rPr>
        <w:t>وفيه</w:t>
      </w:r>
      <w:r w:rsidR="00992664" w:rsidRPr="00020424">
        <w:rPr>
          <w:rtl/>
        </w:rPr>
        <w:t xml:space="preserve"> ، ص 192 ، ح 13196 ، إلى قوله : « وعليه القضاء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B7C56" w:rsidTr="005B7C56">
        <w:tc>
          <w:tcPr>
            <w:tcW w:w="4006" w:type="dxa"/>
          </w:tcPr>
          <w:p w:rsidR="005B7C56" w:rsidRDefault="005B7C56" w:rsidP="00992664">
            <w:pPr>
              <w:pStyle w:val="libFootnote0"/>
              <w:rPr>
                <w:rtl/>
              </w:rPr>
            </w:pPr>
            <w:r>
              <w:rPr>
                <w:rtl/>
              </w:rPr>
              <w:t xml:space="preserve">(1). </w:t>
            </w:r>
            <w:r w:rsidRPr="00020424">
              <w:rPr>
                <w:rtl/>
              </w:rPr>
              <w:t>في « ظ ، بث » : « وأراد</w:t>
            </w:r>
            <w:r>
              <w:rPr>
                <w:rtl/>
              </w:rPr>
              <w:t xml:space="preserve"> ».</w:t>
            </w:r>
          </w:p>
        </w:tc>
        <w:tc>
          <w:tcPr>
            <w:tcW w:w="4006" w:type="dxa"/>
          </w:tcPr>
          <w:p w:rsidR="005B7C56" w:rsidRDefault="005B7C56" w:rsidP="00992664">
            <w:pPr>
              <w:pStyle w:val="libFootnote0"/>
              <w:rPr>
                <w:rtl/>
              </w:rPr>
            </w:pPr>
            <w:r>
              <w:rPr>
                <w:rtl/>
              </w:rPr>
              <w:t xml:space="preserve">(2). </w:t>
            </w:r>
            <w:r w:rsidRPr="00020424">
              <w:rPr>
                <w:rtl/>
              </w:rPr>
              <w:t>في « بث ، جن » : « به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 الغدوة » : ما بين صلاة الغداة وطلوع الشمس. والغدوة أيضاً : المرّة من الغدوّ ، وهو سير أوّل النهار. راجع : </w:t>
      </w:r>
      <w:r w:rsidR="00992664" w:rsidRPr="0012008A">
        <w:rPr>
          <w:rStyle w:val="libFootnoteBoldChar"/>
          <w:rtl/>
        </w:rPr>
        <w:t>الصحاح</w:t>
      </w:r>
      <w:r w:rsidR="00992664" w:rsidRPr="00020424">
        <w:rPr>
          <w:rtl/>
        </w:rPr>
        <w:t xml:space="preserve"> ، ج 6 ، ص 2444 ؛ </w:t>
      </w:r>
      <w:r w:rsidR="00992664" w:rsidRPr="0012008A">
        <w:rPr>
          <w:rStyle w:val="libFootnoteBoldChar"/>
          <w:rtl/>
        </w:rPr>
        <w:t>النهاية</w:t>
      </w:r>
      <w:r w:rsidR="00992664" w:rsidRPr="00020424">
        <w:rPr>
          <w:rtl/>
        </w:rPr>
        <w:t xml:space="preserve"> ، ج 3 ، ص 346 ( غدا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7 ، ص 151 ، ح 5657 ؛ </w:t>
      </w:r>
      <w:r w:rsidR="00992664" w:rsidRPr="0012008A">
        <w:rPr>
          <w:rStyle w:val="libFootnoteBoldChar"/>
          <w:rtl/>
        </w:rPr>
        <w:t>الوسائل</w:t>
      </w:r>
      <w:r w:rsidR="00992664" w:rsidRPr="00020424">
        <w:rPr>
          <w:rtl/>
        </w:rPr>
        <w:t xml:space="preserve"> ، ج 8 ، ص 498 ، ح 11277.</w:t>
      </w:r>
    </w:p>
    <w:tbl>
      <w:tblPr>
        <w:tblStyle w:val="TableGrid"/>
        <w:bidiVisual/>
        <w:tblW w:w="0" w:type="auto"/>
        <w:tblLook w:val="04A0" w:firstRow="1" w:lastRow="0" w:firstColumn="1" w:lastColumn="0" w:noHBand="0" w:noVBand="1"/>
      </w:tblPr>
      <w:tblGrid>
        <w:gridCol w:w="4006"/>
        <w:gridCol w:w="4006"/>
      </w:tblGrid>
      <w:tr w:rsidR="00C64275" w:rsidTr="00C64275">
        <w:tc>
          <w:tcPr>
            <w:tcW w:w="4006" w:type="dxa"/>
          </w:tcPr>
          <w:p w:rsidR="00C64275" w:rsidRDefault="00C64275" w:rsidP="00992664">
            <w:pPr>
              <w:pStyle w:val="libFootnote0"/>
              <w:rPr>
                <w:rtl/>
              </w:rPr>
            </w:pPr>
            <w:r>
              <w:rPr>
                <w:rtl/>
              </w:rPr>
              <w:t xml:space="preserve">(5). </w:t>
            </w:r>
            <w:r w:rsidRPr="00020424">
              <w:rPr>
                <w:rtl/>
              </w:rPr>
              <w:t xml:space="preserve">في </w:t>
            </w:r>
            <w:r w:rsidRPr="0012008A">
              <w:rPr>
                <w:rStyle w:val="libFootnoteBoldChar"/>
                <w:rtl/>
              </w:rPr>
              <w:t>الوسائل</w:t>
            </w:r>
            <w:r w:rsidRPr="00020424">
              <w:rPr>
                <w:rtl/>
              </w:rPr>
              <w:t xml:space="preserve"> ، ح 11275 :</w:t>
            </w:r>
            <w:r>
              <w:rPr>
                <w:rtl/>
              </w:rPr>
              <w:t xml:space="preserve"> - </w:t>
            </w:r>
            <w:r w:rsidRPr="00020424">
              <w:rPr>
                <w:rtl/>
              </w:rPr>
              <w:t>« بن عليّ</w:t>
            </w:r>
            <w:r>
              <w:rPr>
                <w:rtl/>
              </w:rPr>
              <w:t xml:space="preserve"> ».</w:t>
            </w:r>
          </w:p>
        </w:tc>
        <w:tc>
          <w:tcPr>
            <w:tcW w:w="4006" w:type="dxa"/>
          </w:tcPr>
          <w:p w:rsidR="00C64275" w:rsidRDefault="00C64275" w:rsidP="00992664">
            <w:pPr>
              <w:pStyle w:val="libFootnote0"/>
              <w:rPr>
                <w:rtl/>
              </w:rPr>
            </w:pPr>
            <w:r>
              <w:rPr>
                <w:rtl/>
              </w:rPr>
              <w:t xml:space="preserve">(6). </w:t>
            </w:r>
            <w:r w:rsidRPr="00020424">
              <w:rPr>
                <w:rtl/>
              </w:rPr>
              <w:t xml:space="preserve">في </w:t>
            </w:r>
            <w:r w:rsidRPr="0012008A">
              <w:rPr>
                <w:rStyle w:val="libFootnoteBoldChar"/>
                <w:rtl/>
              </w:rPr>
              <w:t>الوسائل</w:t>
            </w:r>
            <w:r w:rsidRPr="00020424">
              <w:rPr>
                <w:rtl/>
              </w:rPr>
              <w:t xml:space="preserve"> ، ح 11275 :</w:t>
            </w:r>
            <w:r>
              <w:rPr>
                <w:rtl/>
              </w:rPr>
              <w:t xml:space="preserve"> - </w:t>
            </w:r>
            <w:r w:rsidRPr="00020424">
              <w:rPr>
                <w:rtl/>
              </w:rPr>
              <w:t>« أخيه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بس » : « أيّاماً</w:t>
      </w:r>
      <w:r w:rsidR="00992664">
        <w:rPr>
          <w:rtl/>
        </w:rPr>
        <w:t xml:space="preserve"> ».</w:t>
      </w:r>
    </w:p>
    <w:p w:rsidR="00992664" w:rsidRPr="00020424" w:rsidRDefault="00795177" w:rsidP="00B41BFB">
      <w:pPr>
        <w:pStyle w:val="libFootnote0"/>
        <w:rPr>
          <w:rtl/>
          <w:lang w:bidi="fa-IR"/>
        </w:rPr>
      </w:pPr>
      <w:r>
        <w:rPr>
          <w:rtl/>
        </w:rPr>
        <w:t>(8).</w:t>
      </w:r>
      <w:r w:rsidR="0014403D">
        <w:rPr>
          <w:rtl/>
        </w:rPr>
        <w:t xml:space="preserve"> </w:t>
      </w:r>
      <w:r w:rsidR="00992664" w:rsidRPr="00020424">
        <w:rPr>
          <w:rtl/>
        </w:rPr>
        <w:t>عن الكسائي : « يقال : أجمعت الأمر وعلى الأمر ، إذا عزمت عليه</w:t>
      </w:r>
      <w:r w:rsidR="00992664">
        <w:rPr>
          <w:rtl/>
        </w:rPr>
        <w:t xml:space="preserve"> ».</w:t>
      </w:r>
      <w:r w:rsidR="00992664" w:rsidRPr="00020424">
        <w:rPr>
          <w:rtl/>
        </w:rPr>
        <w:t xml:space="preserve"> وقال ابن الأثير « الإجماع : إحكام النيّةوالعزيمة. أجمعت الرأي وأزمعته وعزمت عليه بمعنى</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1199 ؛ </w:t>
      </w:r>
      <w:r w:rsidR="00992664" w:rsidRPr="0012008A">
        <w:rPr>
          <w:rStyle w:val="libFootnoteBoldChar"/>
          <w:rtl/>
        </w:rPr>
        <w:t>النهاية</w:t>
      </w:r>
      <w:r w:rsidR="00992664" w:rsidRPr="00020424">
        <w:rPr>
          <w:rtl/>
        </w:rPr>
        <w:t xml:space="preserve"> ، ج 1 ، ص 296 ( جمع )</w:t>
      </w:r>
      <w:r w:rsidR="00992664">
        <w:rPr>
          <w:rtl/>
        </w:rPr>
        <w:t>.</w:t>
      </w:r>
      <w:r w:rsidR="00B41BFB">
        <w:rPr>
          <w:rFonts w:hint="cs"/>
          <w:rtl/>
        </w:rPr>
        <w:t xml:space="preserve">                                          </w:t>
      </w:r>
      <w:r>
        <w:rPr>
          <w:rtl/>
        </w:rPr>
        <w:t>(9).</w:t>
      </w:r>
      <w:r w:rsidR="0014403D">
        <w:rPr>
          <w:rtl/>
        </w:rPr>
        <w:t xml:space="preserve"> </w:t>
      </w:r>
      <w:r w:rsidR="00992664" w:rsidRPr="00020424">
        <w:rPr>
          <w:rtl/>
        </w:rPr>
        <w:t xml:space="preserve">في « بس » </w:t>
      </w:r>
      <w:r w:rsidR="00992664" w:rsidRPr="00EE0C68">
        <w:rPr>
          <w:rStyle w:val="libFootnoteBoldChar"/>
          <w:rtl/>
        </w:rPr>
        <w:t>وقرب الإسناد</w:t>
      </w:r>
      <w:r w:rsidR="00992664" w:rsidRPr="00020424">
        <w:rPr>
          <w:rtl/>
        </w:rPr>
        <w:t xml:space="preserve"> : « فإذا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بح ، بف » :</w:t>
      </w:r>
      <w:r w:rsidR="00992664">
        <w:rPr>
          <w:rtl/>
        </w:rPr>
        <w:t xml:space="preserve"> </w:t>
      </w:r>
      <w:r w:rsidR="009B673F">
        <w:rPr>
          <w:rtl/>
        </w:rPr>
        <w:t>-</w:t>
      </w:r>
      <w:r w:rsidR="00992664">
        <w:rPr>
          <w:rtl/>
        </w:rPr>
        <w:t xml:space="preserve"> </w:t>
      </w:r>
      <w:r w:rsidR="00992664" w:rsidRPr="00020424">
        <w:rPr>
          <w:rtl/>
        </w:rPr>
        <w:t>« وإذا أجمع على مقام عشرة أيّام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وَسَأَلْتُهُ عَنِ الرَّجُلِ يَكُونُ عَلَيْهِ أَيَّامٌ مِنْ شَهْرِ رَمَضَانَ وَهُوَ مُسَافِرٌ : يَقْضِي إِذَا أَقَامَ </w:t>
      </w:r>
      <w:r w:rsidRPr="00A91B96">
        <w:rPr>
          <w:rStyle w:val="libFootnotenumChar"/>
          <w:rtl/>
        </w:rPr>
        <w:t>(1)</w:t>
      </w:r>
      <w:r w:rsidRPr="00020424">
        <w:rPr>
          <w:rtl/>
          <w:lang w:bidi="fa-IR"/>
        </w:rPr>
        <w:t xml:space="preserve"> فِي الْمَكَانِ</w:t>
      </w:r>
      <w:r>
        <w:rPr>
          <w:rtl/>
          <w:lang w:bidi="fa-IR"/>
        </w:rPr>
        <w:t>؟</w:t>
      </w:r>
    </w:p>
    <w:p w:rsidR="00992664" w:rsidRPr="00020424" w:rsidRDefault="00992664" w:rsidP="0059089F">
      <w:pPr>
        <w:pStyle w:val="libNormal"/>
        <w:rPr>
          <w:rtl/>
          <w:lang w:bidi="fa-IR"/>
        </w:rPr>
      </w:pPr>
      <w:r w:rsidRPr="00020424">
        <w:rPr>
          <w:rtl/>
          <w:lang w:bidi="fa-IR"/>
        </w:rPr>
        <w:t xml:space="preserve">قَالَ : « لَا ، حَتّى يُجْمِعَ </w:t>
      </w:r>
      <w:r w:rsidRPr="00A91B96">
        <w:rPr>
          <w:rStyle w:val="libFootnotenumChar"/>
          <w:rtl/>
        </w:rPr>
        <w:t>(2)</w:t>
      </w:r>
      <w:r w:rsidRPr="00020424">
        <w:rPr>
          <w:rtl/>
          <w:lang w:bidi="fa-IR"/>
        </w:rPr>
        <w:t xml:space="preserve"> عَلى مُقَامِ عَشَرَةِ أَيَّامٍ</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Heading2Center"/>
        <w:rPr>
          <w:rtl/>
          <w:lang w:bidi="fa-IR"/>
        </w:rPr>
      </w:pPr>
      <w:bookmarkStart w:id="465" w:name="_Toc345172871"/>
      <w:bookmarkStart w:id="466" w:name="_Toc464562687"/>
      <w:bookmarkStart w:id="467" w:name="_Toc44599992"/>
      <w:r w:rsidRPr="00020424">
        <w:rPr>
          <w:rtl/>
          <w:lang w:bidi="fa-IR"/>
        </w:rPr>
        <w:t>54</w:t>
      </w:r>
      <w:r>
        <w:rPr>
          <w:rtl/>
          <w:lang w:bidi="fa-IR"/>
        </w:rPr>
        <w:t xml:space="preserve"> </w:t>
      </w:r>
      <w:r w:rsidR="009B673F">
        <w:rPr>
          <w:rtl/>
          <w:lang w:bidi="fa-IR"/>
        </w:rPr>
        <w:t>-</w:t>
      </w:r>
      <w:r>
        <w:rPr>
          <w:rtl/>
          <w:lang w:bidi="fa-IR"/>
        </w:rPr>
        <w:t xml:space="preserve"> </w:t>
      </w:r>
      <w:r w:rsidRPr="00020424">
        <w:rPr>
          <w:rtl/>
          <w:lang w:bidi="fa-IR"/>
        </w:rPr>
        <w:t>بَابُ الرَّجُلِ يُجَامِعُ أَهْلَهُ فِي السَّفَرِ أَوْ يَقْدَمُ مِنْ سَفَرٍ فِي شَهْرِ رَمَضَانَ‌</w:t>
      </w:r>
      <w:bookmarkEnd w:id="465"/>
      <w:bookmarkEnd w:id="466"/>
      <w:bookmarkEnd w:id="467"/>
    </w:p>
    <w:p w:rsidR="00992664" w:rsidRPr="00020424" w:rsidRDefault="00992664" w:rsidP="00992664">
      <w:pPr>
        <w:pStyle w:val="libNormal"/>
        <w:rPr>
          <w:rtl/>
          <w:lang w:bidi="fa-IR"/>
        </w:rPr>
      </w:pPr>
      <w:r w:rsidRPr="00F91214">
        <w:rPr>
          <w:rtl/>
        </w:rPr>
        <w:t>6529</w:t>
      </w:r>
      <w:r w:rsidRPr="001155DE">
        <w:rPr>
          <w:rStyle w:val="libBold2Char"/>
          <w:rtl/>
        </w:rPr>
        <w:t xml:space="preserve"> / 1.</w:t>
      </w:r>
      <w:r w:rsidRPr="00020424">
        <w:rPr>
          <w:rtl/>
          <w:lang w:bidi="fa-IR"/>
        </w:rPr>
        <w:t xml:space="preserve"> عِدَّةٌ مِنْ أَصْحَابِنَا ، عَنْ أَحْمَدَ بْنِ مُحَمَّدٍ ، عَنِ ابْنِ أَبِي عُمَيْرٍ ، عَنْ حَمَّادِ بْنِ عُثْمَانَ ، عَنْ عُمَرَ بْنِ يَزِيدَ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يُسَ</w:t>
      </w:r>
      <w:r>
        <w:rPr>
          <w:rtl/>
          <w:lang w:bidi="fa-IR"/>
        </w:rPr>
        <w:t>افِرُ فِي شَهْرِ رَمَضَانَ : أَ</w:t>
      </w:r>
      <w:r w:rsidRPr="00020424">
        <w:rPr>
          <w:rtl/>
          <w:lang w:bidi="fa-IR"/>
        </w:rPr>
        <w:t>لَهُ أَنْ يُصِيبَ مِنَ النِّسَاءِ</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F91214">
        <w:rPr>
          <w:rtl/>
        </w:rPr>
        <w:t>6530</w:t>
      </w:r>
      <w:r w:rsidRPr="001155DE">
        <w:rPr>
          <w:rStyle w:val="libBold2Char"/>
          <w:rtl/>
        </w:rPr>
        <w:t xml:space="preserve"> / 2.</w:t>
      </w:r>
      <w:r w:rsidRPr="00020424">
        <w:rPr>
          <w:rtl/>
          <w:lang w:bidi="fa-IR"/>
        </w:rPr>
        <w:t xml:space="preserve"> أَحْمَدُ بْنُ مُحَمَّدٍ </w:t>
      </w:r>
      <w:r w:rsidRPr="00A91B96">
        <w:rPr>
          <w:rStyle w:val="libFootnotenumChar"/>
          <w:rtl/>
        </w:rPr>
        <w:t>(5)</w:t>
      </w:r>
      <w:r w:rsidRPr="00020424">
        <w:rPr>
          <w:rtl/>
          <w:lang w:bidi="fa-IR"/>
        </w:rPr>
        <w:t xml:space="preserve"> ، عَنْ مُحَمَّدِ بْنِ </w:t>
      </w:r>
      <w:r w:rsidRPr="00A91B96">
        <w:rPr>
          <w:rStyle w:val="libFootnotenumChar"/>
          <w:rtl/>
        </w:rPr>
        <w:t>(6)</w:t>
      </w:r>
      <w:r w:rsidRPr="00020424">
        <w:rPr>
          <w:rtl/>
          <w:lang w:bidi="fa-IR"/>
        </w:rPr>
        <w:t xml:space="preserve"> سَهْلٍ ، عَنْ أَبِيهِ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بر ، بف » </w:t>
      </w:r>
      <w:r w:rsidR="00992664" w:rsidRPr="00EB1FD9">
        <w:rPr>
          <w:rStyle w:val="libFootnoteBoldChar"/>
          <w:rtl/>
        </w:rPr>
        <w:t>والوسائل</w:t>
      </w:r>
      <w:r w:rsidR="00992664" w:rsidRPr="00020424">
        <w:rPr>
          <w:rtl/>
        </w:rPr>
        <w:t xml:space="preserve"> ، ح 13199 : « قام</w:t>
      </w:r>
      <w:r w:rsidR="00992664">
        <w:rPr>
          <w:rtl/>
        </w:rPr>
        <w:t xml:space="preserve"> ».</w:t>
      </w:r>
      <w:r w:rsidR="00992664" w:rsidRPr="00020424">
        <w:rPr>
          <w:rtl/>
        </w:rPr>
        <w:t xml:space="preserve"> وفي « بث ، بخ ، بف » </w:t>
      </w:r>
      <w:r w:rsidR="00992664" w:rsidRPr="00515444">
        <w:rPr>
          <w:rStyle w:val="libFootnoteBoldChar"/>
          <w:rtl/>
        </w:rPr>
        <w:t>والوافي</w:t>
      </w:r>
      <w:r w:rsidR="00992664" w:rsidRPr="00020424">
        <w:rPr>
          <w:rtl/>
        </w:rPr>
        <w:t xml:space="preserve"> : + « الأيّام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 « حتّى تجمع</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قرب الإسناد</w:t>
      </w:r>
      <w:r w:rsidR="00992664" w:rsidRPr="00020424">
        <w:rPr>
          <w:rtl/>
        </w:rPr>
        <w:t xml:space="preserve"> ، ص 230 ، ح 902 ، بسنده عن عليّ بن جعفر ، إلى قوله : « عشرة أيّام صام وأتمّ الصلاة » </w:t>
      </w:r>
      <w:r w:rsidR="0027718A">
        <w:rPr>
          <w:rFonts w:hint="cs"/>
          <w:rtl/>
        </w:rPr>
        <w:t>.</w:t>
      </w:r>
      <w:r w:rsidR="00992664" w:rsidRPr="0012008A">
        <w:rPr>
          <w:rStyle w:val="libFootnoteBoldChar"/>
          <w:rtl/>
        </w:rPr>
        <w:t>الوافي</w:t>
      </w:r>
      <w:r w:rsidR="00992664" w:rsidRPr="00020424">
        <w:rPr>
          <w:rtl/>
        </w:rPr>
        <w:t xml:space="preserve"> ، ج 7 ، ص 151 ، ح 5658 ؛ </w:t>
      </w:r>
      <w:r w:rsidR="00992664" w:rsidRPr="0012008A">
        <w:rPr>
          <w:rStyle w:val="libFootnoteBoldChar"/>
          <w:rtl/>
        </w:rPr>
        <w:t>الوسائل</w:t>
      </w:r>
      <w:r w:rsidR="00992664" w:rsidRPr="00020424">
        <w:rPr>
          <w:rtl/>
        </w:rPr>
        <w:t xml:space="preserve"> ، ج 8 ، ص 498 ، ح 11275 ؛ </w:t>
      </w:r>
      <w:r w:rsidR="00992664" w:rsidRPr="00DE76B9">
        <w:rPr>
          <w:rStyle w:val="libFootnoteBoldChar"/>
          <w:rtl/>
        </w:rPr>
        <w:t>وفيه</w:t>
      </w:r>
      <w:r w:rsidR="00992664" w:rsidRPr="00020424">
        <w:rPr>
          <w:rtl/>
        </w:rPr>
        <w:t xml:space="preserve"> ، ج 10 ، ص 193 ، ح 13199 ، من قوله : « قال : وسألته عن الرجل يكون عليه أيّام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241 ، ح 708 ؛ </w:t>
      </w:r>
      <w:r w:rsidR="00992664" w:rsidRPr="00FD6221">
        <w:rPr>
          <w:rStyle w:val="libFootnoteBoldChar"/>
          <w:rtl/>
        </w:rPr>
        <w:t>والاستبصار</w:t>
      </w:r>
      <w:r w:rsidR="00992664" w:rsidRPr="00020424">
        <w:rPr>
          <w:rtl/>
        </w:rPr>
        <w:t xml:space="preserve"> ، ج 2 ، ص 106 ، ح 345 ، معلّقاً عن أحمد بن محمّد بن عيسى ، عن ابن أبي عمير</w:t>
      </w:r>
      <w:r w:rsidR="00B25F99">
        <w:rPr>
          <w:rFonts w:hint="cs"/>
          <w:rtl/>
        </w:rPr>
        <w:t>.</w:t>
      </w:r>
      <w:r w:rsidR="00992664" w:rsidRPr="00020424">
        <w:rPr>
          <w:rtl/>
        </w:rPr>
        <w:t xml:space="preserve"> </w:t>
      </w:r>
      <w:r w:rsidR="00992664" w:rsidRPr="0012008A">
        <w:rPr>
          <w:rStyle w:val="libFootnoteBoldChar"/>
          <w:rtl/>
        </w:rPr>
        <w:t>الوافي</w:t>
      </w:r>
      <w:r w:rsidR="00992664" w:rsidRPr="00020424">
        <w:rPr>
          <w:rtl/>
        </w:rPr>
        <w:t xml:space="preserve"> ، ج 11 ، ص 317 ، ح 10949 ؛ </w:t>
      </w:r>
      <w:r w:rsidR="00992664" w:rsidRPr="0012008A">
        <w:rPr>
          <w:rStyle w:val="libFootnoteBoldChar"/>
          <w:rtl/>
        </w:rPr>
        <w:t>الوسائل</w:t>
      </w:r>
      <w:r w:rsidR="00992664" w:rsidRPr="00020424">
        <w:rPr>
          <w:rtl/>
        </w:rPr>
        <w:t xml:space="preserve"> ، ج 10 ، ص 205 ، ح 13227.</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BF455A">
      <w:pPr>
        <w:pStyle w:val="libFootnote0"/>
        <w:rPr>
          <w:rtl/>
          <w:lang w:bidi="fa-IR"/>
        </w:rPr>
      </w:pPr>
      <w:r>
        <w:rPr>
          <w:rtl/>
        </w:rPr>
        <w:t>(6).</w:t>
      </w:r>
      <w:r w:rsidR="0014403D">
        <w:rPr>
          <w:rtl/>
        </w:rPr>
        <w:t xml:space="preserve"> </w:t>
      </w:r>
      <w:r w:rsidR="00992664" w:rsidRPr="00020424">
        <w:rPr>
          <w:rtl/>
        </w:rPr>
        <w:t xml:space="preserve">في « ظ ، ى ، بخ ، بر ، بس ، بف ، جر » </w:t>
      </w:r>
      <w:r w:rsidR="00992664" w:rsidRPr="00515444">
        <w:rPr>
          <w:rStyle w:val="libFootnoteBoldChar"/>
          <w:rtl/>
        </w:rPr>
        <w:t>والوافي</w:t>
      </w:r>
      <w:r w:rsidR="00992664" w:rsidRPr="00020424">
        <w:rPr>
          <w:rtl/>
        </w:rPr>
        <w:t xml:space="preserve"> عن بعض النسخ :</w:t>
      </w:r>
      <w:r w:rsidR="00992664">
        <w:rPr>
          <w:rtl/>
        </w:rPr>
        <w:t xml:space="preserve"> </w:t>
      </w:r>
      <w:r w:rsidR="009B673F">
        <w:rPr>
          <w:rtl/>
        </w:rPr>
        <w:t>-</w:t>
      </w:r>
      <w:r w:rsidR="00992664">
        <w:rPr>
          <w:rtl/>
        </w:rPr>
        <w:t xml:space="preserve"> </w:t>
      </w:r>
      <w:r w:rsidR="00992664" w:rsidRPr="00020424">
        <w:rPr>
          <w:rtl/>
        </w:rPr>
        <w:t>« محمّد بن</w:t>
      </w:r>
      <w:r w:rsidR="00992664">
        <w:rPr>
          <w:rtl/>
        </w:rPr>
        <w:t xml:space="preserve"> ».</w:t>
      </w:r>
    </w:p>
    <w:p w:rsidR="00992664" w:rsidRPr="00020424" w:rsidRDefault="00992664" w:rsidP="00BF455A">
      <w:pPr>
        <w:pStyle w:val="libFootnote0"/>
        <w:rPr>
          <w:rtl/>
          <w:lang w:bidi="fa-IR"/>
        </w:rPr>
      </w:pPr>
      <w:r w:rsidRPr="00BF455A">
        <w:rPr>
          <w:rtl/>
        </w:rPr>
        <w:t xml:space="preserve">ومحمّد بن سهل هذا ، هو محمّد بن سهل بن اليسع ، روى أحمد بن محمّد بن عيسى عنه كتاب أبيه سهل بن اليسع بن عبد الله الأشعري ، ووردت رواية أحمد بن محمّد [ بن عيسى ] عن محمّد بن سهل [ بن اليسع ] عن أبيه ، في بعض الأسناد. راجع : </w:t>
      </w:r>
      <w:r w:rsidRPr="00DE76B9">
        <w:rPr>
          <w:rStyle w:val="libFootnoteBoldChar"/>
          <w:rtl/>
        </w:rPr>
        <w:t>معجم رجال الحديث</w:t>
      </w:r>
      <w:r w:rsidRPr="00BF455A">
        <w:rPr>
          <w:rtl/>
        </w:rPr>
        <w:t xml:space="preserve"> ، ج 16 ، ص 172 ، ص 412 ؛ </w:t>
      </w:r>
      <w:r w:rsidRPr="00DE76B9">
        <w:rPr>
          <w:rStyle w:val="libFootnoteBoldChar"/>
          <w:rtl/>
        </w:rPr>
        <w:t>رجال النجاشي</w:t>
      </w:r>
      <w:r w:rsidRPr="00BF455A">
        <w:rPr>
          <w:rtl/>
        </w:rPr>
        <w:t xml:space="preserve"> ، ص 186 ، الرقم 494.</w:t>
      </w:r>
    </w:p>
    <w:p w:rsidR="00992664" w:rsidRPr="00020424" w:rsidRDefault="00992664" w:rsidP="00BF455A">
      <w:pPr>
        <w:pStyle w:val="libFootnote0"/>
        <w:rPr>
          <w:rtl/>
          <w:lang w:bidi="fa-IR"/>
        </w:rPr>
      </w:pPr>
      <w:r w:rsidRPr="00BF455A">
        <w:rPr>
          <w:rtl/>
        </w:rPr>
        <w:t xml:space="preserve">والخبر رواه الشيخ الطوسي في </w:t>
      </w:r>
      <w:r w:rsidRPr="0012008A">
        <w:rPr>
          <w:rStyle w:val="libFootnoteBoldChar"/>
          <w:rtl/>
        </w:rPr>
        <w:t>التهذيب</w:t>
      </w:r>
      <w:r w:rsidRPr="00BF455A">
        <w:rPr>
          <w:rtl/>
        </w:rPr>
        <w:t xml:space="preserve"> ، ج 4 ، ص 241 ، ح 707 ؛ </w:t>
      </w:r>
      <w:r w:rsidRPr="00FD6221">
        <w:rPr>
          <w:rStyle w:val="libFootnoteBoldChar"/>
          <w:rtl/>
        </w:rPr>
        <w:t>والاستبصار</w:t>
      </w:r>
      <w:r w:rsidR="00BF455A">
        <w:rPr>
          <w:rtl/>
        </w:rPr>
        <w:t xml:space="preserve"> ، ج 2 ،ص 105،ح 344،</w:t>
      </w:r>
      <w:r w:rsidR="00BF455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رَجُلٍ أَتى أَهْلَهُ فِي شَهْرِ رَمَضَانَ وَهُوَ مُسَافِرٌ</w:t>
      </w:r>
      <w:r>
        <w:rPr>
          <w:rtl/>
          <w:lang w:bidi="fa-IR"/>
        </w:rPr>
        <w:t>؟</w:t>
      </w:r>
    </w:p>
    <w:p w:rsidR="00992664" w:rsidRPr="00020424" w:rsidRDefault="00992664" w:rsidP="00992664">
      <w:pPr>
        <w:pStyle w:val="libNormal"/>
        <w:rPr>
          <w:rtl/>
          <w:lang w:bidi="fa-IR"/>
        </w:rPr>
      </w:pPr>
      <w:r w:rsidRPr="00020424">
        <w:rPr>
          <w:rtl/>
          <w:lang w:bidi="fa-IR"/>
        </w:rPr>
        <w:t>قَالَ : « لَا بَأْسَ</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F91214">
        <w:rPr>
          <w:rtl/>
        </w:rPr>
        <w:t>6531</w:t>
      </w:r>
      <w:r w:rsidRPr="001155DE">
        <w:rPr>
          <w:rStyle w:val="libBold2Char"/>
          <w:rtl/>
        </w:rPr>
        <w:t xml:space="preserve"> / 3.</w:t>
      </w:r>
      <w:r w:rsidRPr="00020424">
        <w:rPr>
          <w:rtl/>
          <w:lang w:bidi="fa-IR"/>
        </w:rPr>
        <w:t xml:space="preserve"> أَحْمَدُ بْنُ مُحَمَّدٍ </w:t>
      </w:r>
      <w:r w:rsidRPr="00A91B96">
        <w:rPr>
          <w:rStyle w:val="libFootnotenumChar"/>
          <w:rtl/>
        </w:rPr>
        <w:t>(2)</w:t>
      </w:r>
      <w:r w:rsidRPr="00020424">
        <w:rPr>
          <w:rtl/>
          <w:lang w:bidi="fa-IR"/>
        </w:rPr>
        <w:t xml:space="preserve"> ، عَنْ عَلِيِّ بْنِ الْحَكَمِ ، عَنْ عَبْدِ الْمَلِكِ بْنِ عُتْبَةَ الْهَاشِمِيِّ ، قَالَ :</w:t>
      </w:r>
    </w:p>
    <w:p w:rsidR="00992664" w:rsidRPr="00020424" w:rsidRDefault="00992664" w:rsidP="00992664">
      <w:pPr>
        <w:pStyle w:val="libNormal"/>
        <w:rPr>
          <w:rtl/>
          <w:lang w:bidi="fa-IR"/>
        </w:rPr>
      </w:pPr>
      <w:r w:rsidRPr="00020424">
        <w:rPr>
          <w:rtl/>
          <w:lang w:bidi="fa-IR"/>
        </w:rPr>
        <w:t>سَأَلْتُ أَبَا الْحَسَنِ</w:t>
      </w:r>
      <w:r>
        <w:rPr>
          <w:rtl/>
          <w:lang w:bidi="fa-IR"/>
        </w:rPr>
        <w:t xml:space="preserve"> </w:t>
      </w:r>
      <w:r w:rsidR="009B673F">
        <w:rPr>
          <w:rtl/>
          <w:lang w:bidi="fa-IR"/>
        </w:rPr>
        <w:t>-</w:t>
      </w:r>
      <w:r>
        <w:rPr>
          <w:rtl/>
          <w:lang w:bidi="fa-IR"/>
        </w:rPr>
        <w:t xml:space="preserve"> </w:t>
      </w:r>
      <w:r w:rsidRPr="00020424">
        <w:rPr>
          <w:rtl/>
          <w:lang w:bidi="fa-IR"/>
        </w:rPr>
        <w:t xml:space="preserve">يَعْنِي مُوسىَ بْنَ جَعْفَرٍ </w:t>
      </w:r>
      <w:r w:rsidRPr="00A91B96">
        <w:rPr>
          <w:rStyle w:val="libFootnotenumChar"/>
          <w:rtl/>
        </w:rPr>
        <w:t>(3)</w:t>
      </w:r>
      <w:r w:rsidRPr="00020424">
        <w:rPr>
          <w:rtl/>
          <w:lang w:bidi="fa-IR"/>
        </w:rPr>
        <w:t xml:space="preserve"> </w:t>
      </w:r>
      <w:r w:rsidRPr="00005A81">
        <w:rPr>
          <w:rStyle w:val="libAlaemChar"/>
          <w:rtl/>
        </w:rPr>
        <w:t>عليه‌السلام</w:t>
      </w:r>
      <w:r>
        <w:rPr>
          <w:rtl/>
          <w:lang w:bidi="fa-IR"/>
        </w:rPr>
        <w:t xml:space="preserve"> </w:t>
      </w:r>
      <w:r w:rsidR="009B673F">
        <w:rPr>
          <w:rtl/>
          <w:lang w:bidi="fa-IR"/>
        </w:rPr>
        <w:t>-</w:t>
      </w:r>
      <w:r>
        <w:rPr>
          <w:rtl/>
          <w:lang w:bidi="fa-IR"/>
        </w:rPr>
        <w:t xml:space="preserve"> </w:t>
      </w:r>
      <w:r w:rsidRPr="00020424">
        <w:rPr>
          <w:rtl/>
          <w:lang w:bidi="fa-IR"/>
        </w:rPr>
        <w:t xml:space="preserve">عَنِ الرَّجُلِ يُجَامِعُ أَهْلَهُ فِي السَّفَرِ وَهُوَ </w:t>
      </w:r>
      <w:r w:rsidRPr="00A91B96">
        <w:rPr>
          <w:rStyle w:val="libFootnotenumChar"/>
          <w:rtl/>
        </w:rPr>
        <w:t>(4)</w:t>
      </w:r>
      <w:r w:rsidRPr="00020424">
        <w:rPr>
          <w:rtl/>
          <w:lang w:bidi="fa-IR"/>
        </w:rPr>
        <w:t xml:space="preserve"> فِي شَهْرِ رَمَضَانَ</w:t>
      </w:r>
      <w:r>
        <w:rPr>
          <w:rtl/>
          <w:lang w:bidi="fa-IR"/>
        </w:rPr>
        <w:t>؟</w:t>
      </w:r>
    </w:p>
    <w:p w:rsidR="00992664" w:rsidRPr="00020424" w:rsidRDefault="00992664" w:rsidP="00992664">
      <w:pPr>
        <w:pStyle w:val="libNormal"/>
        <w:rPr>
          <w:rtl/>
          <w:lang w:bidi="fa-IR"/>
        </w:rPr>
      </w:pPr>
      <w:r w:rsidRPr="00020424">
        <w:rPr>
          <w:rtl/>
          <w:lang w:bidi="fa-IR"/>
        </w:rPr>
        <w:t>قَالَ : « لَا بَأْسَ بِهِ</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F91214">
        <w:rPr>
          <w:rtl/>
        </w:rPr>
        <w:t>6532</w:t>
      </w:r>
      <w:r w:rsidRPr="001155DE">
        <w:rPr>
          <w:rStyle w:val="libBold2Char"/>
          <w:rtl/>
        </w:rPr>
        <w:t xml:space="preserve"> / 4.</w:t>
      </w:r>
      <w:r w:rsidRPr="00020424">
        <w:rPr>
          <w:rtl/>
          <w:lang w:bidi="fa-IR"/>
        </w:rPr>
        <w:t xml:space="preserve"> حُمَيْدُ بْنُ زِيَادٍ ، عَنِ الْحَسَنِ بْنِ مُحَمَّدِ بْنِ سَمَاعَةَ ، عَنْ غَيْرِ وَاحِدٍ ، عَنْ أَبَانِ بْنِ عُثْمَانَ ، عَنْ أَبِي الْعَبَّاسِ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يُسَافِرُ وَمَعَهُ جَارِيَةٌ </w:t>
      </w:r>
      <w:r w:rsidRPr="00A91B96">
        <w:rPr>
          <w:rStyle w:val="libFootnotenumChar"/>
          <w:rtl/>
        </w:rPr>
        <w:t>(6)</w:t>
      </w:r>
      <w:r w:rsidRPr="00020424">
        <w:rPr>
          <w:rtl/>
          <w:lang w:bidi="fa-IR"/>
        </w:rPr>
        <w:t xml:space="preserve"> فِي شَهْرِ رَمَضَانَ : هَلْ يَقَعُ عَلَيْهَا</w:t>
      </w:r>
      <w:r>
        <w:rPr>
          <w:rtl/>
          <w:lang w:bidi="fa-IR"/>
        </w:rPr>
        <w:t>؟</w:t>
      </w:r>
      <w:r w:rsidRPr="00020424">
        <w:rPr>
          <w:rtl/>
          <w:lang w:bidi="fa-IR"/>
        </w:rPr>
        <w:t xml:space="preserve"> قَالَ : « نَعَمْ</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417B8" w:rsidP="00E417B8">
      <w:pPr>
        <w:pStyle w:val="libFootnote0"/>
        <w:rPr>
          <w:rtl/>
          <w:lang w:bidi="fa-IR"/>
        </w:rPr>
      </w:pPr>
      <w:r>
        <w:rPr>
          <w:rFonts w:hint="cs"/>
          <w:rtl/>
        </w:rPr>
        <w:t xml:space="preserve">= </w:t>
      </w:r>
      <w:r w:rsidR="00992664" w:rsidRPr="00E417B8">
        <w:rPr>
          <w:rtl/>
        </w:rPr>
        <w:t xml:space="preserve">بإسناده عن أحمد بن محمّد بن عيسى عن محمّد بن سهل عن أبيه ، والحميري أيضاً رواه في </w:t>
      </w:r>
      <w:r w:rsidR="00992664" w:rsidRPr="00DE76B9">
        <w:rPr>
          <w:rStyle w:val="libFootnoteBoldChar"/>
          <w:rtl/>
        </w:rPr>
        <w:t>قرب الإسناد</w:t>
      </w:r>
      <w:r w:rsidR="00992664" w:rsidRPr="00E417B8">
        <w:rPr>
          <w:rtl/>
        </w:rPr>
        <w:t xml:space="preserve"> ، ص 340 ، ح 1247 ، عن أحمد بن محمّد بن عيسى عن محمّد بن عيسى عن محمّد بن سهل بن اليسع الأشعري عن أبيه. ولا يبعد زيادة « عن محمّد بن عيسى » في سند </w:t>
      </w:r>
      <w:r w:rsidR="00992664" w:rsidRPr="00DE76B9">
        <w:rPr>
          <w:rStyle w:val="libFootnoteBoldChar"/>
          <w:rtl/>
        </w:rPr>
        <w:t>قرب الإسناد</w:t>
      </w:r>
      <w:r w:rsidR="00992664" w:rsidRPr="00E417B8">
        <w:rPr>
          <w:rtl/>
        </w:rPr>
        <w:t>.</w:t>
      </w:r>
    </w:p>
    <w:p w:rsidR="00992664" w:rsidRPr="00020424" w:rsidRDefault="00795177" w:rsidP="00E417B8">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241 ، ح 707 ؛ </w:t>
      </w:r>
      <w:r w:rsidR="00992664" w:rsidRPr="00FD6221">
        <w:rPr>
          <w:rStyle w:val="libFootnoteBoldChar"/>
          <w:rtl/>
        </w:rPr>
        <w:t>والاستبصار</w:t>
      </w:r>
      <w:r w:rsidR="00992664" w:rsidRPr="00020424">
        <w:rPr>
          <w:rtl/>
        </w:rPr>
        <w:t xml:space="preserve"> ، ج 2 ، ص 105 ، ح 344 ، معلّقاً عن أحمد بن محمّد بن عيسى ، عن محمّد بن سهل. </w:t>
      </w:r>
      <w:r w:rsidR="00992664" w:rsidRPr="00DE76B9">
        <w:rPr>
          <w:rStyle w:val="libFootnoteBoldChar"/>
          <w:rtl/>
        </w:rPr>
        <w:t>قرب الإسناد</w:t>
      </w:r>
      <w:r w:rsidR="00992664" w:rsidRPr="00020424">
        <w:rPr>
          <w:rtl/>
        </w:rPr>
        <w:t xml:space="preserve"> ، ص 340 ، ح 1247 ، عن أحمد بن محمّد بن عيسى ، عن محمّد بن عيسى ، عن محمّد بن سهل بن اليسع الأشعري ، عن أبيه ، عن أبي الحسن الأوّل </w:t>
      </w:r>
      <w:r w:rsidR="00992664" w:rsidRPr="00D64ADA">
        <w:rPr>
          <w:rStyle w:val="libFootnoteAlaemChar"/>
          <w:rtl/>
        </w:rPr>
        <w:t>عليه‌السلام</w:t>
      </w:r>
      <w:r w:rsidR="00992664" w:rsidRPr="00020424">
        <w:rPr>
          <w:rtl/>
        </w:rPr>
        <w:t xml:space="preserve"> </w:t>
      </w:r>
      <w:r w:rsidR="00DC65D4">
        <w:rPr>
          <w:rFonts w:hint="cs"/>
          <w:rtl/>
        </w:rPr>
        <w:t>.</w:t>
      </w:r>
      <w:r w:rsidR="00992664" w:rsidRPr="0012008A">
        <w:rPr>
          <w:rStyle w:val="libFootnoteBoldChar"/>
          <w:rtl/>
        </w:rPr>
        <w:t>الوافي</w:t>
      </w:r>
      <w:r w:rsidR="00992664" w:rsidRPr="00020424">
        <w:rPr>
          <w:rtl/>
        </w:rPr>
        <w:t xml:space="preserve"> ، ج 11 ، ص 318 ، ح 10951 ؛ </w:t>
      </w:r>
      <w:r w:rsidR="00992664" w:rsidRPr="0012008A">
        <w:rPr>
          <w:rStyle w:val="libFootnoteBoldChar"/>
          <w:rtl/>
        </w:rPr>
        <w:t>الوسائل</w:t>
      </w:r>
      <w:r w:rsidR="00992664" w:rsidRPr="00020424">
        <w:rPr>
          <w:rtl/>
        </w:rPr>
        <w:t xml:space="preserve"> ، ج 10 ، ص 205 ، ح 13228.</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والسند معلّق ، كسابقه.</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ظ ، بث ، بخ ، بر ، بف ، جر » </w:t>
      </w:r>
      <w:r w:rsidR="00992664" w:rsidRPr="00515444">
        <w:rPr>
          <w:rStyle w:val="libFootnoteBoldChar"/>
          <w:rtl/>
        </w:rPr>
        <w:t>والوافي</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بن جعفر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وهو</w:t>
      </w:r>
      <w:r w:rsidR="00992664">
        <w:rPr>
          <w:rtl/>
        </w:rPr>
        <w:t xml:space="preserve"> ».</w:t>
      </w:r>
    </w:p>
    <w:p w:rsidR="00992664" w:rsidRPr="00020424" w:rsidRDefault="00795177" w:rsidP="00F846C5">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242 ، ح 709 ، بسنده عن أحمد بن محمّد ؛ </w:t>
      </w:r>
      <w:r w:rsidR="00992664" w:rsidRPr="00DE76B9">
        <w:rPr>
          <w:rStyle w:val="libFootnoteBoldChar"/>
          <w:rtl/>
        </w:rPr>
        <w:t>الاستبصار</w:t>
      </w:r>
      <w:r w:rsidR="00992664" w:rsidRPr="00020424">
        <w:rPr>
          <w:rtl/>
        </w:rPr>
        <w:t xml:space="preserve"> ، ج 2 ، ص 106 ، ح 346 ، بسنده عن أحمد بن محمّد ، عن عليّ بن الحكم ، عن أبي الحسن </w:t>
      </w:r>
      <w:r w:rsidR="00992664" w:rsidRPr="00D64ADA">
        <w:rPr>
          <w:rStyle w:val="libFootnoteAlaemChar"/>
          <w:rtl/>
        </w:rPr>
        <w:t>عليه‌السلام</w:t>
      </w:r>
      <w:r w:rsidR="00992664" w:rsidRPr="00020424">
        <w:rPr>
          <w:rtl/>
        </w:rPr>
        <w:t xml:space="preserve"> </w:t>
      </w:r>
      <w:r w:rsidR="00F846C5">
        <w:rPr>
          <w:rFonts w:hint="cs"/>
          <w:rtl/>
        </w:rPr>
        <w:t>.</w:t>
      </w:r>
      <w:r w:rsidR="00992664" w:rsidRPr="0012008A">
        <w:rPr>
          <w:rStyle w:val="libFootnoteBoldChar"/>
          <w:rtl/>
        </w:rPr>
        <w:t>الوافي</w:t>
      </w:r>
      <w:r w:rsidR="00992664" w:rsidRPr="00020424">
        <w:rPr>
          <w:rtl/>
        </w:rPr>
        <w:t xml:space="preserve"> ، ج 11 ، ص 317 ، ح 10950 ؛ </w:t>
      </w:r>
      <w:r w:rsidR="00992664" w:rsidRPr="0012008A">
        <w:rPr>
          <w:rStyle w:val="libFootnoteBoldChar"/>
          <w:rtl/>
        </w:rPr>
        <w:t>الوسائل</w:t>
      </w:r>
      <w:r w:rsidR="00992664" w:rsidRPr="00020424">
        <w:rPr>
          <w:rtl/>
        </w:rPr>
        <w:t xml:space="preserve"> ، ج 10 ، ص 205 ، ح 13229.</w:t>
      </w:r>
      <w:r w:rsidR="00F846C5">
        <w:rPr>
          <w:rFonts w:hint="cs"/>
          <w:rtl/>
        </w:rPr>
        <w:t xml:space="preserve">            </w:t>
      </w:r>
      <w:r>
        <w:rPr>
          <w:rtl/>
        </w:rPr>
        <w:t>(6).</w:t>
      </w:r>
      <w:r w:rsidR="0014403D">
        <w:rPr>
          <w:rtl/>
        </w:rPr>
        <w:t xml:space="preserve"> </w:t>
      </w:r>
      <w:r w:rsidR="00992664" w:rsidRPr="00020424">
        <w:rPr>
          <w:rtl/>
        </w:rPr>
        <w:t>في « بث ، بخ » : « جاريته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328 ، ح 1024 ، بسند آخر </w:t>
      </w:r>
      <w:r w:rsidR="00673BE1">
        <w:rPr>
          <w:rFonts w:hint="cs"/>
          <w:rtl/>
        </w:rPr>
        <w:t>.</w:t>
      </w:r>
      <w:r w:rsidR="00992664" w:rsidRPr="0012008A">
        <w:rPr>
          <w:rStyle w:val="libFootnoteBoldChar"/>
          <w:rtl/>
        </w:rPr>
        <w:t>الوافي</w:t>
      </w:r>
      <w:r w:rsidR="00992664" w:rsidRPr="00020424">
        <w:rPr>
          <w:rtl/>
        </w:rPr>
        <w:t xml:space="preserve"> ، ج 11 ، ص 318 ، ح 10952 ؛ </w:t>
      </w:r>
      <w:r w:rsidR="00992664" w:rsidRPr="0012008A">
        <w:rPr>
          <w:rStyle w:val="libFootnoteBoldChar"/>
          <w:rtl/>
        </w:rPr>
        <w:t>الوسائل</w:t>
      </w:r>
      <w:r w:rsidR="00992664" w:rsidRPr="00020424">
        <w:rPr>
          <w:rtl/>
        </w:rPr>
        <w:t xml:space="preserve"> ، ج 10 ، </w:t>
      </w:r>
      <w:r w:rsidR="00673BE1">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F91214">
        <w:rPr>
          <w:rtl/>
        </w:rPr>
        <w:t>6533</w:t>
      </w:r>
      <w:r w:rsidRPr="001155DE">
        <w:rPr>
          <w:rStyle w:val="libBold2Char"/>
          <w:rtl/>
        </w:rPr>
        <w:t xml:space="preserve"> / 5.</w:t>
      </w:r>
      <w:r w:rsidRPr="00020424">
        <w:rPr>
          <w:rtl/>
          <w:lang w:bidi="fa-IR"/>
        </w:rPr>
        <w:t xml:space="preserve"> مُحَمَّدُ بْنُ يَحْيى ، عَنْ أَحْمَدَ بْنِ مُحَمَّدٍ ، عَنِ الْحَسَنِ </w:t>
      </w:r>
      <w:r w:rsidRPr="00A91B96">
        <w:rPr>
          <w:rStyle w:val="libFootnotenumChar"/>
          <w:rtl/>
        </w:rPr>
        <w:t>(1)</w:t>
      </w:r>
      <w:r w:rsidRPr="00020424">
        <w:rPr>
          <w:rtl/>
          <w:lang w:bidi="fa-IR"/>
        </w:rPr>
        <w:t xml:space="preserve"> بْنِ مَحْبُوبٍ ، عَنِ ابْنِ سِنَانٍ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يُسَافِرُ فِي شَهْرِ رَمَضَانَ وَمَعَهُ جَارِيَةٌ لَهُ : فَلَهُ </w:t>
      </w:r>
      <w:r w:rsidRPr="00A91B96">
        <w:rPr>
          <w:rStyle w:val="libFootnotenumChar"/>
          <w:rtl/>
        </w:rPr>
        <w:t>(2)</w:t>
      </w:r>
      <w:r w:rsidRPr="00020424">
        <w:rPr>
          <w:rtl/>
          <w:lang w:bidi="fa-IR"/>
        </w:rPr>
        <w:t xml:space="preserve"> أَنْ يُصِيبَ مِنْهَا بِالنَّهَارِ</w:t>
      </w:r>
      <w:r>
        <w:rPr>
          <w:rtl/>
          <w:lang w:bidi="fa-IR"/>
        </w:rPr>
        <w:t>؟</w:t>
      </w:r>
    </w:p>
    <w:p w:rsidR="00992664" w:rsidRPr="00020424" w:rsidRDefault="00992664" w:rsidP="00992664">
      <w:pPr>
        <w:pStyle w:val="libNormal"/>
        <w:rPr>
          <w:rtl/>
          <w:lang w:bidi="fa-IR"/>
        </w:rPr>
      </w:pPr>
      <w:r w:rsidRPr="00020424">
        <w:rPr>
          <w:rtl/>
          <w:lang w:bidi="fa-IR"/>
        </w:rPr>
        <w:t>فَقَالَ : « سُبْحَانَ اللهِ</w:t>
      </w:r>
      <w:r>
        <w:rPr>
          <w:rtl/>
          <w:lang w:bidi="fa-IR"/>
        </w:rPr>
        <w:t>! أَ</w:t>
      </w:r>
      <w:r w:rsidRPr="00020424">
        <w:rPr>
          <w:rtl/>
          <w:lang w:bidi="fa-IR"/>
        </w:rPr>
        <w:t xml:space="preserve">مَا تَعْرِفُ </w:t>
      </w:r>
      <w:r w:rsidRPr="00A91B96">
        <w:rPr>
          <w:rStyle w:val="libFootnotenumChar"/>
          <w:rtl/>
        </w:rPr>
        <w:t>(3)</w:t>
      </w:r>
      <w:r w:rsidRPr="00020424">
        <w:rPr>
          <w:rtl/>
          <w:lang w:bidi="fa-IR"/>
        </w:rPr>
        <w:t xml:space="preserve"> حُرْمَةَ شَهْرِ </w:t>
      </w:r>
      <w:r w:rsidRPr="00A91B96">
        <w:rPr>
          <w:rStyle w:val="libFootnotenumChar"/>
          <w:rtl/>
        </w:rPr>
        <w:t>(4)</w:t>
      </w:r>
      <w:r w:rsidRPr="00020424">
        <w:rPr>
          <w:rtl/>
          <w:lang w:bidi="fa-IR"/>
        </w:rPr>
        <w:t xml:space="preserve"> رَمَضَانَ</w:t>
      </w:r>
      <w:r>
        <w:rPr>
          <w:rtl/>
          <w:lang w:bidi="fa-IR"/>
        </w:rPr>
        <w:t>؟</w:t>
      </w:r>
      <w:r w:rsidRPr="00020424">
        <w:rPr>
          <w:rtl/>
          <w:lang w:bidi="fa-IR"/>
        </w:rPr>
        <w:t xml:space="preserve"> إِنَّ لَهُ فِي اللَّيْلِ سَبْحاً </w:t>
      </w:r>
      <w:r w:rsidRPr="00A91B96">
        <w:rPr>
          <w:rStyle w:val="libFootnotenumChar"/>
          <w:rtl/>
        </w:rPr>
        <w:t>(5)</w:t>
      </w:r>
      <w:r w:rsidRPr="00020424">
        <w:rPr>
          <w:rtl/>
          <w:lang w:bidi="fa-IR"/>
        </w:rPr>
        <w:t xml:space="preserve"> طَوِيلاً</w:t>
      </w:r>
      <w:r>
        <w:rPr>
          <w:rtl/>
          <w:lang w:bidi="fa-IR"/>
        </w:rPr>
        <w:t>».</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(6)</w:t>
      </w:r>
      <w:r>
        <w:rPr>
          <w:rtl/>
          <w:lang w:bidi="fa-IR"/>
        </w:rPr>
        <w:t xml:space="preserve"> : أَ</w:t>
      </w:r>
      <w:r w:rsidRPr="00020424">
        <w:rPr>
          <w:rtl/>
          <w:lang w:bidi="fa-IR"/>
        </w:rPr>
        <w:t xml:space="preserve">لَيْسَ </w:t>
      </w:r>
      <w:r w:rsidRPr="00A91B96">
        <w:rPr>
          <w:rStyle w:val="libFootnotenumChar"/>
          <w:rtl/>
        </w:rPr>
        <w:t>(7)</w:t>
      </w:r>
      <w:r w:rsidRPr="00020424">
        <w:rPr>
          <w:rtl/>
          <w:lang w:bidi="fa-IR"/>
        </w:rPr>
        <w:t xml:space="preserve"> لَهُ أَنْ يَأْكُلَ وَيَشْرَبَ وَيُقَصِّرَ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فَقَالَ : « إِنَّ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قَدْ </w:t>
      </w:r>
      <w:r w:rsidRPr="00A91B96">
        <w:rPr>
          <w:rStyle w:val="libFootnotenumChar"/>
          <w:rtl/>
        </w:rPr>
        <w:t>(9)</w:t>
      </w:r>
      <w:r w:rsidRPr="00020424">
        <w:rPr>
          <w:rtl/>
          <w:lang w:bidi="fa-IR"/>
        </w:rPr>
        <w:t xml:space="preserve"> رَخَّصَ لِلْمُسَافِرِ فِي الْإِفْطَارِ وَالتَّقْصِيرِ رَحْمَةً وَتَخْفِيفاً لِمَوْضِعِ التَّعَبِ وَالنَّصَبِ وَوَعْثِ </w:t>
      </w:r>
      <w:r w:rsidRPr="00A91B96">
        <w:rPr>
          <w:rStyle w:val="libFootnotenumChar"/>
          <w:rtl/>
        </w:rPr>
        <w:t>(10)</w:t>
      </w:r>
      <w:r w:rsidRPr="00020424">
        <w:rPr>
          <w:rtl/>
          <w:lang w:bidi="fa-IR"/>
        </w:rPr>
        <w:t xml:space="preserve"> السَّفَرِ ، وَلَمْ يُرَخِّصْ لَهُ </w:t>
      </w:r>
      <w:r w:rsidRPr="00A91B96">
        <w:rPr>
          <w:rStyle w:val="libFootnotenumChar"/>
          <w:rtl/>
        </w:rPr>
        <w:t>(11)</w:t>
      </w:r>
      <w:r w:rsidRPr="00020424">
        <w:rPr>
          <w:rtl/>
          <w:lang w:bidi="fa-IR"/>
        </w:rPr>
        <w:t xml:space="preserve"> فِي مُجَامَعَةِ النِّسَاءِ فِي السَّفَرِ بِالنَّهَارِ فِي شَهْرِ رَمَضَانَ ، وَأَوْجَبَ عَلَيْهِ قَضَاءَ الصِّيَامِ </w:t>
      </w:r>
      <w:r w:rsidRPr="00A91B96">
        <w:rPr>
          <w:rStyle w:val="libFootnotenumChar"/>
          <w:rtl/>
        </w:rPr>
        <w:t>(12)</w:t>
      </w:r>
      <w:r w:rsidRPr="00020424">
        <w:rPr>
          <w:rtl/>
          <w:lang w:bidi="fa-IR"/>
        </w:rPr>
        <w:t xml:space="preserve"> ، وَلَمْ يُوجِبْ‌</w:t>
      </w:r>
    </w:p>
    <w:p w:rsidR="00992664" w:rsidRPr="00020424" w:rsidRDefault="00992664" w:rsidP="00992664">
      <w:pPr>
        <w:pStyle w:val="libLine"/>
        <w:rPr>
          <w:rtl/>
          <w:lang w:bidi="fa-IR"/>
        </w:rPr>
      </w:pPr>
      <w:r w:rsidRPr="00020424">
        <w:rPr>
          <w:rtl/>
          <w:lang w:bidi="fa-IR"/>
        </w:rPr>
        <w:t>__________________</w:t>
      </w:r>
    </w:p>
    <w:p w:rsidR="00992664" w:rsidRPr="00020424" w:rsidRDefault="005E36D1" w:rsidP="0025058F">
      <w:pPr>
        <w:pStyle w:val="libFootnote0"/>
        <w:rPr>
          <w:rtl/>
          <w:lang w:bidi="fa-IR"/>
        </w:rPr>
      </w:pPr>
      <w:r>
        <w:rPr>
          <w:rFonts w:hint="cs"/>
          <w:rtl/>
        </w:rPr>
        <w:t xml:space="preserve">= </w:t>
      </w:r>
      <w:r w:rsidR="00992664" w:rsidRPr="00020424">
        <w:rPr>
          <w:rtl/>
        </w:rPr>
        <w:t>ص 206 ، ح 13230.</w:t>
      </w:r>
      <w:r w:rsidR="0025058F">
        <w:rPr>
          <w:rFonts w:hint="cs"/>
          <w:rtl/>
        </w:rPr>
        <w:t xml:space="preserve">                       </w:t>
      </w:r>
      <w:r w:rsidR="00795177">
        <w:rPr>
          <w:rtl/>
        </w:rPr>
        <w:t>(1).</w:t>
      </w:r>
      <w:r w:rsidR="0014403D">
        <w:rPr>
          <w:rtl/>
        </w:rPr>
        <w:t xml:space="preserve"> </w:t>
      </w:r>
      <w:r w:rsidR="00992664" w:rsidRPr="00020424">
        <w:rPr>
          <w:rtl/>
        </w:rPr>
        <w:t xml:space="preserve">في « بخ ، جر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FD6221">
        <w:rPr>
          <w:rStyle w:val="libFootnoteBoldChar"/>
          <w:rtl/>
        </w:rPr>
        <w:t>والاستبصار</w:t>
      </w:r>
      <w:r w:rsidR="00992664" w:rsidRPr="00020424">
        <w:rPr>
          <w:rtl/>
        </w:rPr>
        <w:t xml:space="preserve"> : « أفله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بح » </w:t>
      </w:r>
      <w:r w:rsidR="00992664" w:rsidRPr="00FD6221">
        <w:rPr>
          <w:rStyle w:val="libFootnoteBoldChar"/>
          <w:rtl/>
        </w:rPr>
        <w:t>والاستبصار</w:t>
      </w:r>
      <w:r w:rsidR="00992664" w:rsidRPr="00020424">
        <w:rPr>
          <w:rtl/>
        </w:rPr>
        <w:t xml:space="preserve"> : « أما يعرف</w:t>
      </w:r>
      <w:r w:rsidR="00992664">
        <w:rPr>
          <w:rtl/>
        </w:rPr>
        <w:t xml:space="preserve"> ».</w:t>
      </w:r>
      <w:r w:rsidR="00992664" w:rsidRPr="00020424">
        <w:rPr>
          <w:rtl/>
        </w:rPr>
        <w:t xml:space="preserve"> وفي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 أما يعرف هذا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25058F">
      <w:pPr>
        <w:pStyle w:val="libFootnote0"/>
        <w:rPr>
          <w:rtl/>
          <w:lang w:bidi="fa-IR"/>
        </w:rPr>
      </w:pPr>
      <w:r>
        <w:rPr>
          <w:rtl/>
        </w:rPr>
        <w:t>(5).</w:t>
      </w:r>
      <w:r w:rsidR="0014403D">
        <w:rPr>
          <w:rtl/>
        </w:rPr>
        <w:t xml:space="preserve"> </w:t>
      </w:r>
      <w:r w:rsidR="00992664" w:rsidRPr="00020424">
        <w:rPr>
          <w:rtl/>
        </w:rPr>
        <w:t xml:space="preserve">السَّبح : الفراغ ، والتصرّف في المعاش. راجع : </w:t>
      </w:r>
      <w:r w:rsidR="00992664" w:rsidRPr="0012008A">
        <w:rPr>
          <w:rStyle w:val="libFootnoteBoldChar"/>
          <w:rtl/>
        </w:rPr>
        <w:t>الصحاح</w:t>
      </w:r>
      <w:r w:rsidR="00992664" w:rsidRPr="00020424">
        <w:rPr>
          <w:rtl/>
        </w:rPr>
        <w:t xml:space="preserve"> ، ج 1 ، ص 372 ؛ </w:t>
      </w:r>
      <w:r w:rsidR="00992664" w:rsidRPr="00A722B1">
        <w:rPr>
          <w:rStyle w:val="libFootnoteBoldChar"/>
          <w:rtl/>
        </w:rPr>
        <w:t>القاموس المحيط</w:t>
      </w:r>
      <w:r w:rsidR="00992664" w:rsidRPr="00020424">
        <w:rPr>
          <w:rtl/>
        </w:rPr>
        <w:t xml:space="preserve"> ، ج 2 ، ص 338 ( سبح )</w:t>
      </w:r>
      <w:r w:rsidR="00992664">
        <w:rPr>
          <w:rtl/>
        </w:rPr>
        <w:t>.</w:t>
      </w:r>
      <w:r w:rsidR="0025058F">
        <w:rPr>
          <w:rFonts w:hint="cs"/>
          <w:rtl/>
        </w:rPr>
        <w:t xml:space="preserve">                                   </w:t>
      </w:r>
      <w:r>
        <w:rPr>
          <w:rtl/>
        </w:rPr>
        <w:t>(6).</w:t>
      </w:r>
      <w:r w:rsidR="0014403D">
        <w:rPr>
          <w:rtl/>
        </w:rPr>
        <w:t xml:space="preserve"> </w:t>
      </w:r>
      <w:r w:rsidR="00992664" w:rsidRPr="00020424">
        <w:rPr>
          <w:rtl/>
        </w:rPr>
        <w:t xml:space="preserve">في « بث » </w:t>
      </w:r>
      <w:r w:rsidR="00992664" w:rsidRPr="00FD6221">
        <w:rPr>
          <w:rStyle w:val="libFootnoteBoldChar"/>
          <w:rtl/>
        </w:rPr>
        <w:t>والفقيه</w:t>
      </w:r>
      <w:r w:rsidR="00992664" w:rsidRPr="00020424">
        <w:rPr>
          <w:rtl/>
        </w:rPr>
        <w:t xml:space="preserve"> : + « 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ليس</w:t>
      </w:r>
      <w:r w:rsidR="00992664">
        <w:rPr>
          <w:rtl/>
        </w:rPr>
        <w:t xml:space="preserve"> ».</w:t>
      </w:r>
    </w:p>
    <w:p w:rsidR="00992664" w:rsidRPr="00020424" w:rsidRDefault="00795177" w:rsidP="0025058F">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ويقصّر</w:t>
      </w:r>
      <w:r w:rsidR="00992664">
        <w:rPr>
          <w:rtl/>
        </w:rPr>
        <w:t xml:space="preserve"> ».</w:t>
      </w:r>
      <w:r w:rsidR="00992664" w:rsidRPr="00020424">
        <w:rPr>
          <w:rtl/>
        </w:rPr>
        <w:t xml:space="preserve"> وفي « بر » : + « فقال : سبحان الله أما تعرف حرمة رمضان أنّ له في الليل سبحاً طويلاً</w:t>
      </w:r>
      <w:r w:rsidR="00992664">
        <w:rPr>
          <w:rtl/>
        </w:rPr>
        <w:t>؟</w:t>
      </w:r>
      <w:r w:rsidR="00992664" w:rsidRPr="00020424">
        <w:rPr>
          <w:rtl/>
        </w:rPr>
        <w:t xml:space="preserve"> قلت : أليس أن يأكل ويشرب</w:t>
      </w:r>
      <w:r w:rsidR="00992664">
        <w:rPr>
          <w:rtl/>
        </w:rPr>
        <w:t>؟ ».</w:t>
      </w:r>
      <w:r w:rsidR="0025058F">
        <w:rPr>
          <w:rFonts w:hint="cs"/>
          <w:rtl/>
        </w:rPr>
        <w:t xml:space="preserve">        </w:t>
      </w:r>
      <w:r>
        <w:rPr>
          <w:rtl/>
        </w:rPr>
        <w:t>(9).</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قال الجوهري : « الوَعْث : المكان السهل الكثير الدَهَس ، تغيب فيه الأقدام ويشقّ على من يمشي فيه</w:t>
      </w:r>
      <w:r w:rsidR="00992664">
        <w:rPr>
          <w:rtl/>
        </w:rPr>
        <w:t xml:space="preserve"> ».</w:t>
      </w:r>
      <w:r w:rsidR="00992664" w:rsidRPr="00020424">
        <w:rPr>
          <w:rtl/>
        </w:rPr>
        <w:t xml:space="preserve"> وقال‌الفيّومي : « الوعث ، بالثاء المثلّثة : الطريق الشاقّ المسلك. ويقال : الوعث : رمل رقيق تغيب فيه الأقدام فهو شاقّ ، ثمّ استعير لكلّ أمر شاقّ من تعب وإثم وغير ذلك ، ومنه وعثاء وكآبة المنقلب ، أي شدّة التعب والنصب وسوء الانقلاب</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296 ؛ </w:t>
      </w:r>
      <w:r w:rsidR="00992664" w:rsidRPr="00A722B1">
        <w:rPr>
          <w:rStyle w:val="libFootnoteBoldChar"/>
          <w:rtl/>
        </w:rPr>
        <w:t>المصباح المنير</w:t>
      </w:r>
      <w:r w:rsidR="00992664" w:rsidRPr="00020424">
        <w:rPr>
          <w:rtl/>
        </w:rPr>
        <w:t xml:space="preserve"> ، ص 664 ( وعث )</w:t>
      </w:r>
      <w:r w:rsidR="00992664">
        <w:rPr>
          <w:rtl/>
        </w:rPr>
        <w:t>.</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جن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338 : « قوله </w:t>
      </w:r>
      <w:r w:rsidR="00992664" w:rsidRPr="00D64ADA">
        <w:rPr>
          <w:rStyle w:val="libFootnoteAlaemChar"/>
          <w:rtl/>
        </w:rPr>
        <w:t>عليه‌السلام</w:t>
      </w:r>
      <w:r w:rsidR="00992664" w:rsidRPr="00020424">
        <w:rPr>
          <w:rtl/>
        </w:rPr>
        <w:t xml:space="preserve"> : وأوجب عليه قضاء الصيام ، ذكر هذه الجملة هنا كأنّه لبيان</w:t>
      </w:r>
      <w:r w:rsidR="00992664">
        <w:rPr>
          <w:rFonts w:hint="cs"/>
          <w:rtl/>
        </w:rPr>
        <w:t xml:space="preserve"> </w:t>
      </w:r>
      <w:r w:rsidR="00AD7A8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A54C4E">
      <w:pPr>
        <w:pStyle w:val="libNormal0"/>
        <w:rPr>
          <w:rtl/>
          <w:lang w:bidi="fa-IR"/>
        </w:rPr>
      </w:pPr>
      <w:r w:rsidRPr="00020424">
        <w:rPr>
          <w:rtl/>
          <w:lang w:bidi="fa-IR"/>
        </w:rPr>
        <w:t xml:space="preserve">عَلَيْهِ قَضَاءَ </w:t>
      </w:r>
      <w:r w:rsidRPr="00A91B96">
        <w:rPr>
          <w:rStyle w:val="libFootnotenumChar"/>
          <w:rtl/>
        </w:rPr>
        <w:t>(1)</w:t>
      </w:r>
      <w:r w:rsidRPr="00020424">
        <w:rPr>
          <w:rtl/>
          <w:lang w:bidi="fa-IR"/>
        </w:rPr>
        <w:t xml:space="preserve"> تَمَامِ </w:t>
      </w:r>
      <w:r w:rsidRPr="00A91B96">
        <w:rPr>
          <w:rStyle w:val="libFootnotenumChar"/>
          <w:rtl/>
        </w:rPr>
        <w:t>(2)</w:t>
      </w:r>
      <w:r w:rsidRPr="00020424">
        <w:rPr>
          <w:rtl/>
          <w:lang w:bidi="fa-IR"/>
        </w:rPr>
        <w:t xml:space="preserve"> الصَّلَاةِ إِذَا آبَ مِنْ سَفَرِهِ</w:t>
      </w:r>
      <w:r>
        <w:rPr>
          <w:rtl/>
          <w:lang w:bidi="fa-IR"/>
        </w:rPr>
        <w:t xml:space="preserve"> ».</w:t>
      </w:r>
    </w:p>
    <w:p w:rsidR="00992664" w:rsidRPr="00020424" w:rsidRDefault="00992664" w:rsidP="00992664">
      <w:pPr>
        <w:pStyle w:val="libNormal"/>
        <w:rPr>
          <w:rtl/>
          <w:lang w:bidi="fa-IR"/>
        </w:rPr>
      </w:pPr>
      <w:r w:rsidRPr="00020424">
        <w:rPr>
          <w:rtl/>
          <w:lang w:bidi="fa-IR"/>
        </w:rPr>
        <w:t>ثُمَّ قَالَ : « وَالسُّنَّةُ لَاتُقَاسُ ، وَإِنِّي إِذَا سَافَرْتُ فِي شَه</w:t>
      </w:r>
      <w:r w:rsidR="00367403">
        <w:rPr>
          <w:rtl/>
          <w:lang w:bidi="fa-IR"/>
        </w:rPr>
        <w:t>ْرِ رَمَضَانَ ، مَا آكُلُ إِل</w:t>
      </w:r>
      <w:r w:rsidR="00367403">
        <w:rPr>
          <w:rFonts w:hint="cs"/>
          <w:rtl/>
          <w:lang w:bidi="fa-IR"/>
        </w:rPr>
        <w:t>َّ</w:t>
      </w:r>
      <w:r w:rsidR="00367403">
        <w:rPr>
          <w:rtl/>
          <w:lang w:bidi="fa-IR"/>
        </w:rPr>
        <w:t>ا</w:t>
      </w:r>
      <w:r w:rsidRPr="00020424">
        <w:rPr>
          <w:rtl/>
          <w:lang w:bidi="fa-IR"/>
        </w:rPr>
        <w:t xml:space="preserve"> </w:t>
      </w:r>
      <w:r w:rsidRPr="00A91B96">
        <w:rPr>
          <w:rStyle w:val="libFootnotenumChar"/>
          <w:rtl/>
        </w:rPr>
        <w:t>(3)</w:t>
      </w:r>
      <w:r w:rsidRPr="00020424">
        <w:rPr>
          <w:rtl/>
          <w:lang w:bidi="fa-IR"/>
        </w:rPr>
        <w:t xml:space="preserve"> الْقُوتَ </w:t>
      </w:r>
      <w:r w:rsidRPr="00A91B96">
        <w:rPr>
          <w:rStyle w:val="libFootnotenumChar"/>
          <w:rtl/>
        </w:rPr>
        <w:t>(4)</w:t>
      </w:r>
      <w:r w:rsidRPr="00020424">
        <w:rPr>
          <w:rtl/>
          <w:lang w:bidi="fa-IR"/>
        </w:rPr>
        <w:t xml:space="preserve"> ، وَمَا أَشْرَبُ </w:t>
      </w:r>
      <w:r w:rsidRPr="00A91B96">
        <w:rPr>
          <w:rStyle w:val="libFootnotenumChar"/>
          <w:rtl/>
        </w:rPr>
        <w:t>(5)</w:t>
      </w:r>
      <w:r w:rsidRPr="00020424">
        <w:rPr>
          <w:rtl/>
          <w:lang w:bidi="fa-IR"/>
        </w:rPr>
        <w:t xml:space="preserve"> كُلَّ الرِّيِّ</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F91214">
        <w:rPr>
          <w:rtl/>
        </w:rPr>
        <w:t>6534</w:t>
      </w:r>
      <w:r w:rsidRPr="001155DE">
        <w:rPr>
          <w:rStyle w:val="libBold2Char"/>
          <w:rtl/>
        </w:rPr>
        <w:t xml:space="preserve"> / 6.</w:t>
      </w:r>
      <w:r w:rsidRPr="00020424">
        <w:rPr>
          <w:rtl/>
          <w:lang w:bidi="fa-IR"/>
        </w:rPr>
        <w:t xml:space="preserve"> عَلِيُّ بْنُ مُحَمَّدٍ ، عَنْ إِبْرَاهِيمَ بْنِ إِسْحَاقَ الْأَحْمَرِ </w:t>
      </w:r>
      <w:r w:rsidRPr="00A91B96">
        <w:rPr>
          <w:rStyle w:val="libFootnotenumChar"/>
          <w:rtl/>
        </w:rPr>
        <w:t>(7)</w:t>
      </w:r>
      <w:r w:rsidRPr="00020424">
        <w:rPr>
          <w:rtl/>
          <w:lang w:bidi="fa-IR"/>
        </w:rPr>
        <w:t xml:space="preserve"> ، عَنْ عَبْدِ اللهِ بْنِ حَمَّادٍ ، عَنْ عَبْدِ اللهِ بْنِ سِنَانٍ ، قَالَ :</w:t>
      </w:r>
    </w:p>
    <w:tbl>
      <w:tblPr>
        <w:bidiVisual/>
        <w:tblW w:w="0" w:type="auto"/>
        <w:tblLook w:val="01E0" w:firstRow="1" w:lastRow="1" w:firstColumn="1" w:lastColumn="1" w:noHBand="0" w:noVBand="0"/>
      </w:tblPr>
      <w:tblGrid>
        <w:gridCol w:w="639"/>
        <w:gridCol w:w="6948"/>
      </w:tblGrid>
      <w:tr w:rsidR="00992664" w:rsidTr="006B0729">
        <w:tc>
          <w:tcPr>
            <w:tcW w:w="639" w:type="dxa"/>
            <w:shd w:val="clear" w:color="auto" w:fill="auto"/>
          </w:tcPr>
          <w:p w:rsidR="00992664" w:rsidRDefault="00992664" w:rsidP="006B0729">
            <w:pPr>
              <w:rPr>
                <w:rtl/>
                <w:lang w:bidi="fa-IR"/>
              </w:rPr>
            </w:pPr>
          </w:p>
        </w:tc>
        <w:tc>
          <w:tcPr>
            <w:tcW w:w="6948" w:type="dxa"/>
            <w:shd w:val="clear" w:color="auto" w:fill="auto"/>
          </w:tcPr>
          <w:p w:rsidR="00992664" w:rsidRPr="00020424" w:rsidRDefault="00992664" w:rsidP="006B0729">
            <w:pPr>
              <w:pStyle w:val="libNormal"/>
              <w:rPr>
                <w:rtl/>
                <w:lang w:bidi="fa-IR"/>
              </w:rPr>
            </w:pPr>
            <w:r w:rsidRPr="00020424">
              <w:rPr>
                <w:rtl/>
                <w:lang w:bidi="fa-IR"/>
              </w:rPr>
              <w:t>سَأَلْتُهُ عَنِ الرَّجُلِ يَأْتِي جَارِيَتَهُ فِي شَهْرِ رَمَضَانَ بِالنَّهَارِ فِي السَّفَرِ</w:t>
            </w:r>
            <w:r>
              <w:rPr>
                <w:rtl/>
                <w:lang w:bidi="fa-IR"/>
              </w:rPr>
              <w:t>؟</w:t>
            </w:r>
          </w:p>
          <w:p w:rsidR="00992664" w:rsidRPr="00020424" w:rsidRDefault="00A54C4E" w:rsidP="006B0729">
            <w:pPr>
              <w:pStyle w:val="libNormal"/>
              <w:rPr>
                <w:rtl/>
                <w:lang w:bidi="fa-IR"/>
              </w:rPr>
            </w:pPr>
            <w:r>
              <w:rPr>
                <w:rtl/>
                <w:lang w:bidi="fa-IR"/>
              </w:rPr>
              <w:t>فَقَالَ:«</w:t>
            </w:r>
            <w:r w:rsidR="00992664" w:rsidRPr="00020424">
              <w:rPr>
                <w:rtl/>
                <w:lang w:bidi="fa-IR"/>
              </w:rPr>
              <w:t xml:space="preserve">مَا عَرَفَ </w:t>
            </w:r>
            <w:r w:rsidR="00992664" w:rsidRPr="00A91B96">
              <w:rPr>
                <w:rStyle w:val="libFootnotenumChar"/>
                <w:rtl/>
              </w:rPr>
              <w:t>(8)</w:t>
            </w:r>
            <w:r>
              <w:rPr>
                <w:rtl/>
                <w:lang w:bidi="fa-IR"/>
              </w:rPr>
              <w:t>هذَا حَقَّ شَهْرِ رَمَضَانَ؛</w:t>
            </w:r>
            <w:r w:rsidR="00992664" w:rsidRPr="00020424">
              <w:rPr>
                <w:rtl/>
                <w:lang w:bidi="fa-IR"/>
              </w:rPr>
              <w:t xml:space="preserve">إِنَّ </w:t>
            </w:r>
            <w:r w:rsidR="00992664" w:rsidRPr="00A91B96">
              <w:rPr>
                <w:rStyle w:val="libFootnotenumChar"/>
                <w:rtl/>
              </w:rPr>
              <w:t>(9)</w:t>
            </w:r>
            <w:r>
              <w:rPr>
                <w:rtl/>
                <w:lang w:bidi="fa-IR"/>
              </w:rPr>
              <w:t xml:space="preserve"> لَهُ فِي اللَّيْلِ سَبْحاً</w:t>
            </w:r>
            <w:r>
              <w:rPr>
                <w:rFonts w:hint="cs"/>
                <w:rtl/>
                <w:lang w:bidi="fa-IR"/>
              </w:rPr>
              <w:t xml:space="preserve"> </w:t>
            </w:r>
            <w:r w:rsidR="00992664" w:rsidRPr="00020424">
              <w:rPr>
                <w:rtl/>
                <w:lang w:bidi="fa-IR"/>
              </w:rPr>
              <w:t>طَوِيلاً</w:t>
            </w:r>
            <w:r w:rsidR="00992664">
              <w:rPr>
                <w:rtl/>
                <w:lang w:bidi="fa-IR"/>
              </w:rPr>
              <w:t>».</w:t>
            </w:r>
            <w:r w:rsidR="00992664" w:rsidRPr="00A91B96">
              <w:rPr>
                <w:rStyle w:val="libFootnotenumChar"/>
                <w:rtl/>
              </w:rPr>
              <w:t>(10)</w:t>
            </w:r>
          </w:p>
          <w:p w:rsidR="00992664" w:rsidRDefault="00992664" w:rsidP="006B0729">
            <w:pPr>
              <w:pStyle w:val="libNormal"/>
              <w:rPr>
                <w:rtl/>
                <w:lang w:bidi="fa-IR"/>
              </w:rPr>
            </w:pPr>
            <w:r w:rsidRPr="00020424">
              <w:rPr>
                <w:rtl/>
                <w:lang w:bidi="fa-IR"/>
              </w:rPr>
              <w:t xml:space="preserve">قَالَ الْكُلَيْنِيُّ </w:t>
            </w:r>
            <w:r w:rsidRPr="00A91B96">
              <w:rPr>
                <w:rStyle w:val="libFootnotenumChar"/>
                <w:rtl/>
              </w:rPr>
              <w:t>(11)</w:t>
            </w:r>
            <w:r>
              <w:rPr>
                <w:rtl/>
                <w:lang w:bidi="fa-IR"/>
              </w:rPr>
              <w:t xml:space="preserve"> :</w:t>
            </w:r>
          </w:p>
        </w:tc>
      </w:tr>
    </w:tbl>
    <w:p w:rsidR="00992664" w:rsidRPr="00020424" w:rsidRDefault="00992664" w:rsidP="00992664">
      <w:pPr>
        <w:pStyle w:val="libLine"/>
        <w:rPr>
          <w:rtl/>
          <w:lang w:bidi="fa-IR"/>
        </w:rPr>
      </w:pPr>
      <w:r w:rsidRPr="00020424">
        <w:rPr>
          <w:rtl/>
          <w:lang w:bidi="fa-IR"/>
        </w:rPr>
        <w:t>__________________</w:t>
      </w:r>
    </w:p>
    <w:p w:rsidR="00992664" w:rsidRPr="00020424" w:rsidRDefault="00992664" w:rsidP="00992664">
      <w:pPr>
        <w:pStyle w:val="libFootnote0"/>
        <w:rPr>
          <w:rtl/>
          <w:lang w:bidi="fa-IR"/>
        </w:rPr>
      </w:pPr>
      <w:r w:rsidRPr="00020424">
        <w:rPr>
          <w:rtl/>
        </w:rPr>
        <w:t>‌</w:t>
      </w:r>
      <w:r w:rsidR="0075543A">
        <w:rPr>
          <w:rFonts w:hint="cs"/>
          <w:rtl/>
        </w:rPr>
        <w:t xml:space="preserve">= </w:t>
      </w:r>
      <w:r w:rsidRPr="00020424">
        <w:rPr>
          <w:rtl/>
        </w:rPr>
        <w:t>عدم صحّة القياس حتّى يقاس جواز الجماع بجواز الأكل والشرب. ثمّ الظاهر من الخبر حرمة الجماع بالنهار في السفر ، وحمله الأكثر على الكراهة جمعاً ، كما هو ظاهر الكليني ، وقد عرفت أنّ الشيخ عمل بظاهره ، وحمل ما يدلّ على الجواز على من غلبته الشهوة ، وخاف وقوعه في المحظور ، أو على الوطي في الليل. ولا يخفى بعدهما</w:t>
      </w:r>
      <w:r>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قضاء</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الاستبصار : « إتمام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 « أكل</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FD6221">
        <w:rPr>
          <w:rStyle w:val="libFootnoteBoldChar"/>
          <w:rtl/>
        </w:rPr>
        <w:t>والاستبصار</w:t>
      </w:r>
      <w:r w:rsidR="00716FF5">
        <w:rPr>
          <w:rtl/>
        </w:rPr>
        <w:t xml:space="preserve"> : « كل » بدل « إل</w:t>
      </w:r>
      <w:r w:rsidR="00716FF5">
        <w:rPr>
          <w:rFonts w:hint="cs"/>
          <w:rtl/>
        </w:rPr>
        <w:t>ّ</w:t>
      </w:r>
      <w:r w:rsidR="00716FF5">
        <w:rPr>
          <w:rtl/>
        </w:rPr>
        <w:t>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B91AAE">
        <w:rPr>
          <w:rtl/>
        </w:rPr>
        <w:t xml:space="preserve"> : إل</w:t>
      </w:r>
      <w:r w:rsidR="00B91AAE">
        <w:rPr>
          <w:rFonts w:hint="cs"/>
          <w:rtl/>
        </w:rPr>
        <w:t>ّ</w:t>
      </w:r>
      <w:r w:rsidR="00B91AAE">
        <w:rPr>
          <w:rtl/>
        </w:rPr>
        <w:t>ا</w:t>
      </w:r>
      <w:r w:rsidR="00992664">
        <w:rPr>
          <w:rFonts w:hint="cs"/>
          <w:rtl/>
        </w:rPr>
        <w:t xml:space="preserve"> </w:t>
      </w:r>
      <w:r w:rsidR="00992664" w:rsidRPr="00020424">
        <w:rPr>
          <w:rtl/>
        </w:rPr>
        <w:t xml:space="preserve">القوت ، أي الضروري ، وفي </w:t>
      </w:r>
      <w:r w:rsidR="00992664" w:rsidRPr="0012008A">
        <w:rPr>
          <w:rStyle w:val="libFootnoteBoldChar"/>
          <w:rtl/>
        </w:rPr>
        <w:t>الفقيه</w:t>
      </w:r>
      <w:r w:rsidR="00992664" w:rsidRPr="00020424">
        <w:rPr>
          <w:rtl/>
        </w:rPr>
        <w:t xml:space="preserve"> : كلّ القوت. وهو أظهر ، ويدلّ على كراهة التملّي من الطعام والشراب للمسافر ، كما هو مذهب الأصحاب فيه وفي سائر ذوي الأعذار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w:t>
      </w:r>
      <w:r w:rsidR="00992664" w:rsidRPr="00FD6221">
        <w:rPr>
          <w:rStyle w:val="libFootnoteBoldChar"/>
          <w:rtl/>
        </w:rPr>
        <w:t>والاستبصار</w:t>
      </w:r>
      <w:r w:rsidR="00992664" w:rsidRPr="00020424">
        <w:rPr>
          <w:rtl/>
        </w:rPr>
        <w:t xml:space="preserve"> : « ولا أشرب</w:t>
      </w:r>
      <w:r w:rsidR="00992664">
        <w:rPr>
          <w:rtl/>
        </w:rPr>
        <w:t xml:space="preserve"> ».</w:t>
      </w:r>
    </w:p>
    <w:p w:rsidR="00992664" w:rsidRPr="00020424" w:rsidRDefault="00795177" w:rsidP="00AB0690">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240 ، ح 705 ؛ </w:t>
      </w:r>
      <w:r w:rsidR="00992664" w:rsidRPr="00FD6221">
        <w:rPr>
          <w:rStyle w:val="libFootnoteBoldChar"/>
          <w:rtl/>
        </w:rPr>
        <w:t>والاستبصار</w:t>
      </w:r>
      <w:r w:rsidR="00992664" w:rsidRPr="00020424">
        <w:rPr>
          <w:rtl/>
        </w:rPr>
        <w:t xml:space="preserve"> ، ج 2 ، ص 105 ، ح 342 ، معلّقاً عن الكليني. </w:t>
      </w:r>
      <w:r w:rsidR="00992664" w:rsidRPr="0012008A">
        <w:rPr>
          <w:rStyle w:val="libFootnoteBoldChar"/>
          <w:rtl/>
        </w:rPr>
        <w:t>الفقيه</w:t>
      </w:r>
      <w:r w:rsidR="00992664" w:rsidRPr="00020424">
        <w:rPr>
          <w:rtl/>
        </w:rPr>
        <w:t xml:space="preserve"> ، ج 2 ، ص 143 ، ح 1986 ، معلّقاً عن عبدالله بن سنان ، عن أبي عبدالله </w:t>
      </w:r>
      <w:r w:rsidR="00992664" w:rsidRPr="00D64ADA">
        <w:rPr>
          <w:rStyle w:val="libFootnoteAlaemChar"/>
          <w:rtl/>
        </w:rPr>
        <w:t>عليه‌السلام</w:t>
      </w:r>
      <w:r w:rsidR="00992664" w:rsidRPr="00020424">
        <w:rPr>
          <w:rtl/>
        </w:rPr>
        <w:t xml:space="preserve"> </w:t>
      </w:r>
      <w:r w:rsidR="004B1A7A">
        <w:rPr>
          <w:rFonts w:hint="cs"/>
          <w:rtl/>
        </w:rPr>
        <w:t>.</w:t>
      </w:r>
      <w:r w:rsidR="00992664" w:rsidRPr="0012008A">
        <w:rPr>
          <w:rStyle w:val="libFootnoteBoldChar"/>
          <w:rtl/>
        </w:rPr>
        <w:t>الوافي</w:t>
      </w:r>
      <w:r w:rsidR="00992664" w:rsidRPr="00020424">
        <w:rPr>
          <w:rtl/>
        </w:rPr>
        <w:t xml:space="preserve"> ، ج 11 ، ص 318 ، ح 10955 ؛ </w:t>
      </w:r>
      <w:r w:rsidR="00992664" w:rsidRPr="0012008A">
        <w:rPr>
          <w:rStyle w:val="libFootnoteBoldChar"/>
          <w:rtl/>
        </w:rPr>
        <w:t>الوسائل</w:t>
      </w:r>
      <w:r w:rsidR="00992664" w:rsidRPr="00020424">
        <w:rPr>
          <w:rtl/>
        </w:rPr>
        <w:t xml:space="preserve"> ، ج 10 ، ص 206 ، ح 13231.</w:t>
      </w:r>
      <w:r w:rsidR="00A54C4E">
        <w:rPr>
          <w:rFonts w:hint="cs"/>
          <w:rtl/>
        </w:rPr>
        <w:t xml:space="preserve">   </w:t>
      </w:r>
      <w:r w:rsidR="00AB0690">
        <w:rPr>
          <w:rFonts w:hint="cs"/>
          <w:rtl/>
        </w:rPr>
        <w:t xml:space="preserve"> </w:t>
      </w:r>
      <w:r>
        <w:rPr>
          <w:rtl/>
        </w:rPr>
        <w:t>(7).</w:t>
      </w:r>
      <w:r w:rsidR="0014403D">
        <w:rPr>
          <w:rtl/>
        </w:rPr>
        <w:t xml:space="preserve"> </w:t>
      </w:r>
      <w:r w:rsidR="00992664" w:rsidRPr="00020424">
        <w:rPr>
          <w:rtl/>
        </w:rPr>
        <w:t>في الاستبصار : « الأحمري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أما عرف</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أما يعرف</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 « أنّه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241 ، ح 706 ؛ </w:t>
      </w:r>
      <w:r w:rsidR="00992664" w:rsidRPr="00FD6221">
        <w:rPr>
          <w:rStyle w:val="libFootnoteBoldChar"/>
          <w:rtl/>
        </w:rPr>
        <w:t>والاستبصار</w:t>
      </w:r>
      <w:r w:rsidR="00992664" w:rsidRPr="00020424">
        <w:rPr>
          <w:rtl/>
        </w:rPr>
        <w:t xml:space="preserve"> ، ج 2 ، ص 1</w:t>
      </w:r>
      <w:r w:rsidR="00A54C4E">
        <w:rPr>
          <w:rtl/>
        </w:rPr>
        <w:t>05 ، ح 343 ، معلّقاً عن الكليني</w:t>
      </w:r>
      <w:r w:rsidR="006E6182">
        <w:rPr>
          <w:rFonts w:hint="cs"/>
          <w:rtl/>
        </w:rPr>
        <w:t>.</w:t>
      </w:r>
      <w:r w:rsidR="00992664" w:rsidRPr="0012008A">
        <w:rPr>
          <w:rStyle w:val="libFootnoteBoldChar"/>
          <w:rtl/>
        </w:rPr>
        <w:t>الوافي</w:t>
      </w:r>
      <w:r w:rsidR="00992664" w:rsidRPr="00020424">
        <w:rPr>
          <w:rtl/>
        </w:rPr>
        <w:t xml:space="preserve"> ، ج 11 ، ص 319 ، ح 10956 ؛ </w:t>
      </w:r>
      <w:r w:rsidR="00992664" w:rsidRPr="0012008A">
        <w:rPr>
          <w:rStyle w:val="libFootnoteBoldChar"/>
          <w:rtl/>
        </w:rPr>
        <w:t>الوسائل</w:t>
      </w:r>
      <w:r w:rsidR="00992664" w:rsidRPr="00020424">
        <w:rPr>
          <w:rtl/>
        </w:rPr>
        <w:t xml:space="preserve"> ، ج 10 ، ص 206 ، ح 13232.</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قال الكليني</w:t>
      </w:r>
      <w:r w:rsidR="00992664">
        <w:rPr>
          <w:rtl/>
        </w:rPr>
        <w:t xml:space="preserve"> ».</w:t>
      </w:r>
    </w:p>
    <w:p w:rsidR="00795177" w:rsidRDefault="00795177" w:rsidP="00795177">
      <w:pPr>
        <w:pStyle w:val="libNormal"/>
        <w:rPr>
          <w:rtl/>
          <w:lang w:bidi="fa-IR"/>
        </w:rPr>
      </w:pPr>
      <w:r>
        <w:rPr>
          <w:rtl/>
          <w:lang w:bidi="fa-IR"/>
        </w:rPr>
        <w:br w:type="page"/>
      </w:r>
    </w:p>
    <w:tbl>
      <w:tblPr>
        <w:bidiVisual/>
        <w:tblW w:w="0" w:type="auto"/>
        <w:tblLook w:val="01E0" w:firstRow="1" w:lastRow="1" w:firstColumn="1" w:lastColumn="1" w:noHBand="0" w:noVBand="0"/>
      </w:tblPr>
      <w:tblGrid>
        <w:gridCol w:w="639"/>
        <w:gridCol w:w="6948"/>
      </w:tblGrid>
      <w:tr w:rsidR="00992664" w:rsidTr="006B0729">
        <w:tc>
          <w:tcPr>
            <w:tcW w:w="639" w:type="dxa"/>
            <w:shd w:val="clear" w:color="auto" w:fill="auto"/>
          </w:tcPr>
          <w:p w:rsidR="00992664" w:rsidRDefault="00992664" w:rsidP="006B0729">
            <w:pPr>
              <w:rPr>
                <w:rtl/>
                <w:lang w:bidi="fa-IR"/>
              </w:rPr>
            </w:pPr>
          </w:p>
        </w:tc>
        <w:tc>
          <w:tcPr>
            <w:tcW w:w="6948" w:type="dxa"/>
            <w:shd w:val="clear" w:color="auto" w:fill="auto"/>
          </w:tcPr>
          <w:p w:rsidR="00992664" w:rsidRDefault="00992664" w:rsidP="00F57D17">
            <w:pPr>
              <w:pStyle w:val="libNormal0"/>
              <w:rPr>
                <w:rtl/>
                <w:lang w:bidi="fa-IR"/>
              </w:rPr>
            </w:pPr>
            <w:r w:rsidRPr="00020424">
              <w:rPr>
                <w:rtl/>
                <w:lang w:bidi="fa-IR"/>
              </w:rPr>
              <w:t>الْفَضْلُ عِنْدِي أَنْ يُوَقِّرَ الرَّجُلُ شَهْرَ رَمَضَانَ ، وَيُمْسِكَ عَنِ النِّسَاءِ ف</w:t>
            </w:r>
            <w:r w:rsidR="006E6182">
              <w:rPr>
                <w:rtl/>
                <w:lang w:bidi="fa-IR"/>
              </w:rPr>
              <w:t>ِي السَّفَرِ بِالنَّهَارِ إِل</w:t>
            </w:r>
            <w:r w:rsidR="006E6182">
              <w:rPr>
                <w:rFonts w:hint="cs"/>
                <w:rtl/>
                <w:lang w:bidi="fa-IR"/>
              </w:rPr>
              <w:t>َّ</w:t>
            </w:r>
            <w:r w:rsidR="006E6182">
              <w:rPr>
                <w:rtl/>
                <w:lang w:bidi="fa-IR"/>
              </w:rPr>
              <w:t>ا</w:t>
            </w:r>
            <w:r w:rsidRPr="00020424">
              <w:rPr>
                <w:rtl/>
                <w:lang w:bidi="fa-IR"/>
              </w:rPr>
              <w:t xml:space="preserve"> أَنْ يَكُونَ تَغْلِبُهُ </w:t>
            </w:r>
            <w:r w:rsidRPr="00A91B96">
              <w:rPr>
                <w:rStyle w:val="libFootnotenumChar"/>
                <w:rtl/>
              </w:rPr>
              <w:t>(1)</w:t>
            </w:r>
            <w:r w:rsidRPr="00020424">
              <w:rPr>
                <w:rtl/>
                <w:lang w:bidi="fa-IR"/>
              </w:rPr>
              <w:t xml:space="preserve"> الشَّهْوَةُ </w:t>
            </w:r>
            <w:r w:rsidRPr="00A91B96">
              <w:rPr>
                <w:rStyle w:val="libFootnotenumChar"/>
                <w:rtl/>
              </w:rPr>
              <w:t>(2)</w:t>
            </w:r>
            <w:r w:rsidRPr="00020424">
              <w:rPr>
                <w:rtl/>
                <w:lang w:bidi="fa-IR"/>
              </w:rPr>
              <w:t xml:space="preserve"> ، وَيَخَافُ عَلى نَفْسِهِ ، فَقَدْ </w:t>
            </w:r>
            <w:r w:rsidRPr="00A91B96">
              <w:rPr>
                <w:rStyle w:val="libFootnotenumChar"/>
                <w:rtl/>
              </w:rPr>
              <w:t>(3)</w:t>
            </w:r>
            <w:r w:rsidRPr="00020424">
              <w:rPr>
                <w:rtl/>
                <w:lang w:bidi="fa-IR"/>
              </w:rPr>
              <w:t xml:space="preserve"> رُخِّصَ لَهُ أَنْ يَأْتِيَ الْحَلَالَ </w:t>
            </w:r>
            <w:r w:rsidRPr="00A91B96">
              <w:rPr>
                <w:rStyle w:val="libFootnotenumChar"/>
                <w:rtl/>
              </w:rPr>
              <w:t>(4)</w:t>
            </w:r>
            <w:r w:rsidRPr="00020424">
              <w:rPr>
                <w:rtl/>
                <w:lang w:bidi="fa-IR"/>
              </w:rPr>
              <w:t xml:space="preserve"> كَمَا رُخِّصَ لِلْمُسَافِرِ الَّذِي </w:t>
            </w:r>
            <w:r w:rsidRPr="00A91B96">
              <w:rPr>
                <w:rStyle w:val="libFootnotenumChar"/>
                <w:rtl/>
              </w:rPr>
              <w:t>(5)</w:t>
            </w:r>
            <w:r w:rsidRPr="00020424">
              <w:rPr>
                <w:rtl/>
                <w:lang w:bidi="fa-IR"/>
              </w:rPr>
              <w:t xml:space="preserve"> لَايَجِدُ الْمَاءَ إِذَا غَلَبَهُ الشَّبَقُ </w:t>
            </w:r>
            <w:r w:rsidRPr="00A91B96">
              <w:rPr>
                <w:rStyle w:val="libFootnotenumChar"/>
                <w:rtl/>
              </w:rPr>
              <w:t>(6)</w:t>
            </w:r>
            <w:r w:rsidRPr="00020424">
              <w:rPr>
                <w:rtl/>
                <w:lang w:bidi="fa-IR"/>
              </w:rPr>
              <w:t xml:space="preserve"> أَنْ يَأْتِيَ الْحَلَالَ ، قَالَ : وَيُؤْجَرُ فِي ذلِكَ كَمَا أَنَّهُ</w:t>
            </w:r>
            <w:r>
              <w:rPr>
                <w:rtl/>
                <w:lang w:bidi="fa-IR"/>
              </w:rPr>
              <w:t xml:space="preserve"> إِذَا أَتَى الْحَرَامَ أَثِمَ.</w:t>
            </w:r>
          </w:p>
        </w:tc>
      </w:tr>
    </w:tbl>
    <w:p w:rsidR="00992664" w:rsidRPr="00020424" w:rsidRDefault="00992664" w:rsidP="00992664">
      <w:pPr>
        <w:pStyle w:val="Heading2Center"/>
        <w:rPr>
          <w:rtl/>
          <w:lang w:bidi="fa-IR"/>
        </w:rPr>
      </w:pPr>
      <w:bookmarkStart w:id="468" w:name="_Toc345172872"/>
      <w:bookmarkStart w:id="469" w:name="_Toc464562688"/>
      <w:bookmarkStart w:id="470" w:name="_Toc44599993"/>
      <w:r w:rsidRPr="00020424">
        <w:rPr>
          <w:rtl/>
          <w:lang w:bidi="fa-IR"/>
        </w:rPr>
        <w:t>55</w:t>
      </w:r>
      <w:r>
        <w:rPr>
          <w:rtl/>
          <w:lang w:bidi="fa-IR"/>
        </w:rPr>
        <w:t xml:space="preserve"> </w:t>
      </w:r>
      <w:r w:rsidR="009B673F">
        <w:rPr>
          <w:rtl/>
          <w:lang w:bidi="fa-IR"/>
        </w:rPr>
        <w:t>-</w:t>
      </w:r>
      <w:r>
        <w:rPr>
          <w:rtl/>
          <w:lang w:bidi="fa-IR"/>
        </w:rPr>
        <w:t xml:space="preserve"> </w:t>
      </w:r>
      <w:r w:rsidRPr="00020424">
        <w:rPr>
          <w:rtl/>
          <w:lang w:bidi="fa-IR"/>
        </w:rPr>
        <w:t xml:space="preserve">بَابُ صَوْمِ الْحَائِضِ وَالْمُسْتَحَاضَةِ </w:t>
      </w:r>
      <w:r w:rsidRPr="00A91B96">
        <w:rPr>
          <w:rStyle w:val="libFootnotenumChar"/>
          <w:rtl/>
        </w:rPr>
        <w:t>(7)</w:t>
      </w:r>
      <w:r w:rsidRPr="00020424">
        <w:rPr>
          <w:rtl/>
          <w:lang w:bidi="fa-IR"/>
        </w:rPr>
        <w:t xml:space="preserve"> ‌</w:t>
      </w:r>
      <w:bookmarkEnd w:id="468"/>
      <w:bookmarkEnd w:id="469"/>
      <w:bookmarkEnd w:id="470"/>
    </w:p>
    <w:p w:rsidR="00992664" w:rsidRPr="00020424" w:rsidRDefault="00992664" w:rsidP="00992664">
      <w:pPr>
        <w:pStyle w:val="libNormal"/>
        <w:rPr>
          <w:rtl/>
          <w:lang w:bidi="fa-IR"/>
        </w:rPr>
      </w:pPr>
      <w:r w:rsidRPr="00F91214">
        <w:rPr>
          <w:rtl/>
        </w:rPr>
        <w:t>6535</w:t>
      </w:r>
      <w:r w:rsidRPr="001155DE">
        <w:rPr>
          <w:rStyle w:val="libBold2Char"/>
          <w:rtl/>
        </w:rPr>
        <w:t xml:space="preserve"> / 1.</w:t>
      </w:r>
      <w:r w:rsidRPr="00020424">
        <w:rPr>
          <w:rtl/>
          <w:lang w:bidi="fa-IR"/>
        </w:rPr>
        <w:t xml:space="preserve"> عَلِيُّ بْنُ إِبْرَاهِيمَ ، عَنْ أَبِيهِ </w:t>
      </w:r>
      <w:r w:rsidRPr="00A91B96">
        <w:rPr>
          <w:rStyle w:val="libFootnotenumChar"/>
          <w:rtl/>
        </w:rPr>
        <w:t>(8)</w:t>
      </w:r>
      <w:r w:rsidRPr="00020424">
        <w:rPr>
          <w:rtl/>
          <w:lang w:bidi="fa-IR"/>
        </w:rPr>
        <w:t xml:space="preserve"> ، عَنِ الْحَسَنِ بْنِ رَاشِدٍ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الْحَائِضُ تَقْضِي الصَّوْمَ</w:t>
      </w:r>
      <w:r>
        <w:rPr>
          <w:rtl/>
          <w:lang w:bidi="fa-IR"/>
        </w:rPr>
        <w:t>؟</w:t>
      </w:r>
      <w:r w:rsidRPr="00020424">
        <w:rPr>
          <w:rtl/>
          <w:lang w:bidi="fa-IR"/>
        </w:rPr>
        <w:t xml:space="preserve"> قَالَ : « نَعَمْ</w:t>
      </w:r>
      <w:r>
        <w:rPr>
          <w:rtl/>
          <w:lang w:bidi="fa-IR"/>
        </w:rPr>
        <w:t xml:space="preserve"> ».</w:t>
      </w:r>
    </w:p>
    <w:p w:rsidR="00992664" w:rsidRPr="00020424" w:rsidRDefault="00992664" w:rsidP="00992664">
      <w:pPr>
        <w:pStyle w:val="libNormal"/>
        <w:rPr>
          <w:rtl/>
          <w:lang w:bidi="fa-IR"/>
        </w:rPr>
      </w:pPr>
      <w:r w:rsidRPr="00020424">
        <w:rPr>
          <w:rtl/>
          <w:lang w:bidi="fa-IR"/>
        </w:rPr>
        <w:t>قُلْتُ : تَقْضِي الصَّلَاةَ</w:t>
      </w:r>
      <w:r>
        <w:rPr>
          <w:rtl/>
          <w:lang w:bidi="fa-IR"/>
        </w:rPr>
        <w:t>؟</w:t>
      </w:r>
      <w:r w:rsidRPr="00020424">
        <w:rPr>
          <w:rtl/>
          <w:lang w:bidi="fa-IR"/>
        </w:rPr>
        <w:t xml:space="preserve"> قَالَ : « لَا » </w:t>
      </w:r>
      <w:r w:rsidRPr="00A91B96">
        <w:rPr>
          <w:rStyle w:val="libFootnotenumChar"/>
          <w:rtl/>
        </w:rPr>
        <w:t>(9)</w:t>
      </w:r>
    </w:p>
    <w:p w:rsidR="00992664" w:rsidRPr="00020424" w:rsidRDefault="00992664" w:rsidP="00992664">
      <w:pPr>
        <w:pStyle w:val="libNormal"/>
        <w:rPr>
          <w:rtl/>
          <w:lang w:bidi="fa-IR"/>
        </w:rPr>
      </w:pPr>
      <w:r w:rsidRPr="00020424">
        <w:rPr>
          <w:rtl/>
          <w:lang w:bidi="fa-IR"/>
        </w:rPr>
        <w:t xml:space="preserve">قُلْتُ : مِنْ أَيْنَ جَاءَ هذَا </w:t>
      </w:r>
      <w:r w:rsidRPr="00A91B96">
        <w:rPr>
          <w:rStyle w:val="libFootnotenumChar"/>
          <w:rtl/>
        </w:rPr>
        <w:t>(10)</w:t>
      </w:r>
      <w:r>
        <w:rPr>
          <w:rtl/>
          <w:lang w:bidi="fa-IR"/>
        </w:rPr>
        <w:t>؟</w:t>
      </w:r>
      <w:r w:rsidRPr="00020424">
        <w:rPr>
          <w:rtl/>
          <w:lang w:bidi="fa-IR"/>
        </w:rPr>
        <w:t xml:space="preserve"> قَالَ </w:t>
      </w:r>
      <w:r w:rsidRPr="00A91B96">
        <w:rPr>
          <w:rStyle w:val="libFootnotenumChar"/>
          <w:rtl/>
        </w:rPr>
        <w:t>(11)</w:t>
      </w:r>
      <w:r w:rsidRPr="00020424">
        <w:rPr>
          <w:rtl/>
          <w:lang w:bidi="fa-IR"/>
        </w:rPr>
        <w:t xml:space="preserve"> : « أَوَّلُ مَنْ قَاسَ إِبْلِيسُ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95CF2" w:rsidTr="00595CF2">
        <w:tc>
          <w:tcPr>
            <w:tcW w:w="4006" w:type="dxa"/>
          </w:tcPr>
          <w:p w:rsidR="00595CF2" w:rsidRDefault="00595CF2" w:rsidP="00992664">
            <w:pPr>
              <w:pStyle w:val="libFootnote0"/>
              <w:rPr>
                <w:rtl/>
              </w:rPr>
            </w:pPr>
            <w:r>
              <w:rPr>
                <w:rtl/>
              </w:rPr>
              <w:t xml:space="preserve">(1). </w:t>
            </w:r>
            <w:r w:rsidRPr="00020424">
              <w:rPr>
                <w:rtl/>
              </w:rPr>
              <w:t xml:space="preserve">في « ظ ، بخ » </w:t>
            </w:r>
            <w:r w:rsidRPr="00515444">
              <w:rPr>
                <w:rStyle w:val="libFootnoteBoldChar"/>
                <w:rtl/>
              </w:rPr>
              <w:t>والوافي</w:t>
            </w:r>
            <w:r w:rsidRPr="00020424">
              <w:rPr>
                <w:rtl/>
              </w:rPr>
              <w:t xml:space="preserve"> : « يغلبه</w:t>
            </w:r>
            <w:r>
              <w:rPr>
                <w:rtl/>
              </w:rPr>
              <w:t xml:space="preserve"> ».</w:t>
            </w:r>
          </w:p>
        </w:tc>
        <w:tc>
          <w:tcPr>
            <w:tcW w:w="4006" w:type="dxa"/>
          </w:tcPr>
          <w:p w:rsidR="00595CF2" w:rsidRDefault="00595CF2" w:rsidP="00992664">
            <w:pPr>
              <w:pStyle w:val="libFootnote0"/>
              <w:rPr>
                <w:rtl/>
              </w:rPr>
            </w:pPr>
            <w:r>
              <w:rPr>
                <w:rtl/>
              </w:rPr>
              <w:t xml:space="preserve">(2). </w:t>
            </w:r>
            <w:r w:rsidRPr="00020424">
              <w:rPr>
                <w:rtl/>
              </w:rPr>
              <w:t xml:space="preserve">في « بث ، بخ ، بف » </w:t>
            </w:r>
            <w:r w:rsidRPr="00515444">
              <w:rPr>
                <w:rStyle w:val="libFootnoteBoldChar"/>
                <w:rtl/>
              </w:rPr>
              <w:t>والوافي</w:t>
            </w:r>
            <w:r w:rsidRPr="00020424">
              <w:rPr>
                <w:rtl/>
              </w:rPr>
              <w:t xml:space="preserve"> : « الشبق</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w:t>
      </w:r>
      <w:r w:rsidR="00992664" w:rsidRPr="00515444">
        <w:rPr>
          <w:rStyle w:val="libFootnoteBoldChar"/>
          <w:rtl/>
        </w:rPr>
        <w:t>والوافي</w:t>
      </w:r>
      <w:r w:rsidR="00992664" w:rsidRPr="00020424">
        <w:rPr>
          <w:rtl/>
        </w:rPr>
        <w:t xml:space="preserve"> : « وقد</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أقول : ويشبه أن يكون الحكم بالجواز ورد مورد التقيّة ، والاحتياط هنا ممّا لا ينبغي تركه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والذي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 الشَّبَقُ » : الغُلْمة وطلب النكاح. والغُلْمة : هيجان شهوة النكاح من المرأة والرجل وغيرهما. راجع : </w:t>
      </w:r>
      <w:r w:rsidR="00992664" w:rsidRPr="0012008A">
        <w:rPr>
          <w:rStyle w:val="libFootnoteBoldChar"/>
          <w:rtl/>
        </w:rPr>
        <w:t>الصحاح</w:t>
      </w:r>
      <w:r w:rsidR="00992664" w:rsidRPr="00020424">
        <w:rPr>
          <w:rtl/>
        </w:rPr>
        <w:t xml:space="preserve"> ، ج 4 ، ص 1500 ؛ </w:t>
      </w:r>
      <w:r w:rsidR="00992664" w:rsidRPr="0012008A">
        <w:rPr>
          <w:rStyle w:val="libFootnoteBoldChar"/>
          <w:rtl/>
        </w:rPr>
        <w:t>النهاية</w:t>
      </w:r>
      <w:r w:rsidR="00992664" w:rsidRPr="00020424">
        <w:rPr>
          <w:rtl/>
        </w:rPr>
        <w:t xml:space="preserve"> ، ج 2 ، ص 441 ( شبق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أقول : كان الأحسن أن يضيف إليهما النفساء ، وكأنّه أدخلها في الحائض</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تقدّم الخبر في </w:t>
      </w:r>
      <w:r w:rsidR="00992664" w:rsidRPr="00DE76B9">
        <w:rPr>
          <w:rStyle w:val="libFootnoteBoldChar"/>
          <w:rtl/>
        </w:rPr>
        <w:t>الكافي</w:t>
      </w:r>
      <w:r w:rsidR="00992664" w:rsidRPr="00020424">
        <w:rPr>
          <w:rtl/>
        </w:rPr>
        <w:t xml:space="preserve"> ، ح 4219 ، وكذا تقدّم مع زيادةٍ في </w:t>
      </w:r>
      <w:r w:rsidR="00992664" w:rsidRPr="00DE76B9">
        <w:rPr>
          <w:rStyle w:val="libFootnoteBoldChar"/>
          <w:rtl/>
        </w:rPr>
        <w:t>الكافي</w:t>
      </w:r>
      <w:r w:rsidR="0024771C">
        <w:rPr>
          <w:rtl/>
        </w:rPr>
        <w:t xml:space="preserve"> ، ح 6436 بنفس السند ، إل</w:t>
      </w:r>
      <w:r w:rsidR="0024771C">
        <w:rPr>
          <w:rFonts w:hint="cs"/>
          <w:rtl/>
        </w:rPr>
        <w:t>ّ</w:t>
      </w:r>
      <w:r w:rsidR="0024771C">
        <w:rPr>
          <w:rtl/>
        </w:rPr>
        <w:t>ا</w:t>
      </w:r>
      <w:r w:rsidR="00992664">
        <w:rPr>
          <w:rFonts w:hint="cs"/>
          <w:rtl/>
        </w:rPr>
        <w:t xml:space="preserve"> </w:t>
      </w:r>
      <w:r w:rsidR="00992664" w:rsidRPr="00020424">
        <w:rPr>
          <w:rtl/>
        </w:rPr>
        <w:t>أنّه توسّط في الموضعين ابن أبي عمير بين إبراهيم بن هاشم</w:t>
      </w:r>
      <w:r w:rsidR="00992664">
        <w:rPr>
          <w:rtl/>
        </w:rPr>
        <w:t xml:space="preserve"> </w:t>
      </w:r>
      <w:r w:rsidR="009B673F">
        <w:rPr>
          <w:rtl/>
        </w:rPr>
        <w:t>-</w:t>
      </w:r>
      <w:r w:rsidR="00992664">
        <w:rPr>
          <w:rtl/>
        </w:rPr>
        <w:t xml:space="preserve"> </w:t>
      </w:r>
      <w:r w:rsidR="00992664" w:rsidRPr="00020424">
        <w:rPr>
          <w:rtl/>
        </w:rPr>
        <w:t>والد عليّ</w:t>
      </w:r>
      <w:r w:rsidR="00992664">
        <w:rPr>
          <w:rtl/>
        </w:rPr>
        <w:t xml:space="preserve"> </w:t>
      </w:r>
      <w:r w:rsidR="009B673F">
        <w:rPr>
          <w:rtl/>
        </w:rPr>
        <w:t>-</w:t>
      </w:r>
      <w:r w:rsidR="00992664">
        <w:rPr>
          <w:rtl/>
        </w:rPr>
        <w:t xml:space="preserve"> </w:t>
      </w:r>
      <w:r w:rsidR="00992664" w:rsidRPr="00020424">
        <w:rPr>
          <w:rtl/>
        </w:rPr>
        <w:t>وبين الحسن بن راشد. وتأتي أيضاً في نفس المجلّد ، ح 6575 ، رواية عليّ بن إبراهيم ، عن أبيه ، عن ابن أبي عمير ، عن الحسن بن راشد.</w:t>
      </w:r>
    </w:p>
    <w:p w:rsidR="00992664" w:rsidRPr="00020424" w:rsidRDefault="00992664" w:rsidP="00B30830">
      <w:pPr>
        <w:pStyle w:val="libFootnote0"/>
        <w:rPr>
          <w:rtl/>
          <w:lang w:bidi="fa-IR"/>
        </w:rPr>
      </w:pPr>
      <w:r w:rsidRPr="00D82B22">
        <w:rPr>
          <w:rtl/>
        </w:rPr>
        <w:t>فعليه الظاهر وقوع السقط في سندنا هذا ، وأنّ الساقط هو « عن ابن أبي عمير</w:t>
      </w:r>
      <w:r>
        <w:rPr>
          <w:rtl/>
        </w:rPr>
        <w:t xml:space="preserve"> ».</w:t>
      </w:r>
    </w:p>
    <w:p w:rsidR="00992664" w:rsidRPr="00020424" w:rsidRDefault="00795177" w:rsidP="00B30830">
      <w:pPr>
        <w:pStyle w:val="libFootnote0"/>
        <w:rPr>
          <w:rtl/>
          <w:lang w:bidi="fa-IR"/>
        </w:rPr>
      </w:pPr>
      <w:r>
        <w:rPr>
          <w:rtl/>
        </w:rPr>
        <w:t>(9).</w:t>
      </w:r>
      <w:r w:rsidR="0014403D">
        <w:rPr>
          <w:rtl/>
        </w:rPr>
        <w:t xml:space="preserve"> </w:t>
      </w:r>
      <w:r w:rsidR="00992664" w:rsidRPr="00020424">
        <w:rPr>
          <w:rtl/>
        </w:rPr>
        <w:t xml:space="preserve">في الكافي ، ح 4219 و6436 </w:t>
      </w:r>
      <w:r w:rsidR="00992664" w:rsidRPr="00515444">
        <w:rPr>
          <w:rStyle w:val="libFootnoteBoldChar"/>
          <w:rtl/>
        </w:rPr>
        <w:t>والتهذيب</w:t>
      </w:r>
      <w:r w:rsidR="00992664" w:rsidRPr="00020424">
        <w:rPr>
          <w:rtl/>
        </w:rPr>
        <w:t xml:space="preserve"> ، ج 1 : « تقضي الصلاة</w:t>
      </w:r>
      <w:r w:rsidR="00992664">
        <w:rPr>
          <w:rtl/>
        </w:rPr>
        <w:t>؟</w:t>
      </w:r>
      <w:r w:rsidR="00992664" w:rsidRPr="00020424">
        <w:rPr>
          <w:rtl/>
        </w:rPr>
        <w:t xml:space="preserve"> قال : قال : لا ، تقضي الصوم</w:t>
      </w:r>
      <w:r w:rsidR="00992664">
        <w:rPr>
          <w:rtl/>
        </w:rPr>
        <w:t>؟</w:t>
      </w:r>
      <w:r w:rsidR="00992664" w:rsidRPr="00020424">
        <w:rPr>
          <w:rtl/>
        </w:rPr>
        <w:t xml:space="preserve"> قال : نعم » بدل « تقضي الصوم</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قال : لا</w:t>
      </w:r>
      <w:r w:rsidR="00992664">
        <w:rPr>
          <w:rtl/>
        </w:rPr>
        <w:t xml:space="preserve"> ».</w:t>
      </w:r>
      <w:r w:rsidR="00A54C4E">
        <w:rPr>
          <w:rFonts w:hint="cs"/>
          <w:rtl/>
        </w:rPr>
        <w:t xml:space="preserve">           </w:t>
      </w:r>
      <w:r w:rsidR="00B30830">
        <w:rPr>
          <w:rFonts w:hint="cs"/>
          <w:rtl/>
        </w:rPr>
        <w:t xml:space="preserve"> </w:t>
      </w:r>
      <w:r w:rsidR="00261210">
        <w:rPr>
          <w:rFonts w:hint="cs"/>
          <w:rtl/>
        </w:rPr>
        <w:t xml:space="preserve"> </w:t>
      </w:r>
      <w:r>
        <w:rPr>
          <w:rtl/>
        </w:rPr>
        <w:t>(10).</w:t>
      </w:r>
      <w:r w:rsidR="0014403D">
        <w:rPr>
          <w:rtl/>
        </w:rPr>
        <w:t xml:space="preserve"> </w:t>
      </w:r>
      <w:r w:rsidR="00992664" w:rsidRPr="00020424">
        <w:rPr>
          <w:rtl/>
        </w:rPr>
        <w:t>في « بث » والكافي ، ح 6436 : « ذا</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والكافي ، ح 4219 و6436 </w:t>
      </w:r>
      <w:r w:rsidR="00992664" w:rsidRPr="00515444">
        <w:rPr>
          <w:rStyle w:val="libFootnoteBoldChar"/>
          <w:rtl/>
        </w:rPr>
        <w:t>والتهذيب</w:t>
      </w:r>
      <w:r w:rsidR="00992664" w:rsidRPr="00020424">
        <w:rPr>
          <w:rtl/>
        </w:rPr>
        <w:t xml:space="preserve"> ، ج 1 : + « إنّ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بر » : + « لعنه الله</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الحيض ، باب الحائض تقضي الصوم ولاتقضي الصلاة ، ح 4219 ؛ وكتاب الصيام ، باب </w:t>
      </w:r>
      <w:r w:rsidR="0026121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F91214">
        <w:rPr>
          <w:rtl/>
        </w:rPr>
        <w:t>6536</w:t>
      </w:r>
      <w:r w:rsidRPr="001155DE">
        <w:rPr>
          <w:rStyle w:val="libBold2Char"/>
          <w:rtl/>
        </w:rPr>
        <w:t xml:space="preserve"> / 2.</w:t>
      </w:r>
      <w:r w:rsidRPr="00020424">
        <w:rPr>
          <w:rtl/>
          <w:lang w:bidi="fa-IR"/>
        </w:rPr>
        <w:t xml:space="preserve"> عَلِيُّ بْنُ إِبْرَاهِيمَ </w:t>
      </w:r>
      <w:r w:rsidRPr="00A91B96">
        <w:rPr>
          <w:rStyle w:val="libFootnotenumChar"/>
          <w:rtl/>
        </w:rPr>
        <w:t>(1)</w:t>
      </w:r>
      <w:r w:rsidRPr="00020424">
        <w:rPr>
          <w:rtl/>
          <w:lang w:bidi="fa-IR"/>
        </w:rPr>
        <w:t xml:space="preserve">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امْرَأَةٍ أَصْبَحَتْ </w:t>
      </w:r>
      <w:r w:rsidRPr="00A91B96">
        <w:rPr>
          <w:rStyle w:val="libFootnotenumChar"/>
          <w:rtl/>
        </w:rPr>
        <w:t>(2)</w:t>
      </w:r>
      <w:r w:rsidRPr="00020424">
        <w:rPr>
          <w:rtl/>
          <w:lang w:bidi="fa-IR"/>
        </w:rPr>
        <w:t xml:space="preserve"> صَائِمَةً ، فَلَمَّا ارْتَفَعَ النَّهَارُ أَوْ كَانَ الْعَشِيُّ </w:t>
      </w:r>
      <w:r w:rsidRPr="00A91B96">
        <w:rPr>
          <w:rStyle w:val="libFootnotenumChar"/>
          <w:rtl/>
        </w:rPr>
        <w:t>(3)</w:t>
      </w:r>
      <w:r>
        <w:rPr>
          <w:rtl/>
          <w:lang w:bidi="fa-IR"/>
        </w:rPr>
        <w:t xml:space="preserve"> حَاضَتْ : أَ</w:t>
      </w:r>
      <w:r w:rsidRPr="00020424">
        <w:rPr>
          <w:rtl/>
          <w:lang w:bidi="fa-IR"/>
        </w:rPr>
        <w:t>تُفْطِرُ</w:t>
      </w:r>
      <w:r>
        <w:rPr>
          <w:rtl/>
          <w:lang w:bidi="fa-IR"/>
        </w:rPr>
        <w:t>؟</w:t>
      </w:r>
    </w:p>
    <w:p w:rsidR="00992664" w:rsidRPr="00020424" w:rsidRDefault="00992664" w:rsidP="00992664">
      <w:pPr>
        <w:pStyle w:val="libNormal"/>
        <w:rPr>
          <w:rtl/>
          <w:lang w:bidi="fa-IR"/>
        </w:rPr>
      </w:pPr>
      <w:r w:rsidRPr="00020424">
        <w:rPr>
          <w:rtl/>
          <w:lang w:bidi="fa-IR"/>
        </w:rPr>
        <w:t>قَالَ : « نَعَمْ ، وَإِنْ كَانَ وَقْتُ الْمَغْرِبِ فَلْتُفْطِرْ</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وَسَأَلْتُهُ عَنِ امْرَأَةٍ رَأَتِ الطُّهْرَ فِي أَوَّلِ النَّهَارِ مِنْ </w:t>
      </w:r>
      <w:r w:rsidRPr="00A91B96">
        <w:rPr>
          <w:rStyle w:val="libFootnotenumChar"/>
          <w:rtl/>
        </w:rPr>
        <w:t>(4)</w:t>
      </w:r>
      <w:r w:rsidRPr="00020424">
        <w:rPr>
          <w:rtl/>
          <w:lang w:bidi="fa-IR"/>
        </w:rPr>
        <w:t xml:space="preserve"> شَهْرِ رَمَضَانَ ، فَتَغْتَسِلُ </w:t>
      </w:r>
      <w:r w:rsidRPr="00A91B96">
        <w:rPr>
          <w:rStyle w:val="libFootnotenumChar"/>
          <w:rtl/>
        </w:rPr>
        <w:t>(5)</w:t>
      </w:r>
      <w:r w:rsidRPr="00020424">
        <w:rPr>
          <w:rtl/>
          <w:lang w:bidi="fa-IR"/>
        </w:rPr>
        <w:t xml:space="preserve"> ، وَلَمْ تَطْعَمْ ، فَمَا تَصْنَعُ </w:t>
      </w:r>
      <w:r w:rsidRPr="00A91B96">
        <w:rPr>
          <w:rStyle w:val="libFootnotenumChar"/>
          <w:rtl/>
        </w:rPr>
        <w:t>(6)</w:t>
      </w:r>
      <w:r w:rsidRPr="00020424">
        <w:rPr>
          <w:rtl/>
          <w:lang w:bidi="fa-IR"/>
        </w:rPr>
        <w:t xml:space="preserve"> فِي </w:t>
      </w:r>
      <w:r w:rsidRPr="00A91B96">
        <w:rPr>
          <w:rStyle w:val="libFootnotenumChar"/>
          <w:rtl/>
        </w:rPr>
        <w:t>(7)</w:t>
      </w:r>
      <w:r w:rsidRPr="00020424">
        <w:rPr>
          <w:rtl/>
          <w:lang w:bidi="fa-IR"/>
        </w:rPr>
        <w:t xml:space="preserve"> ذلِكَ الْيَوْمِ</w:t>
      </w:r>
      <w:r>
        <w:rPr>
          <w:rtl/>
          <w:lang w:bidi="fa-IR"/>
        </w:rPr>
        <w:t>؟</w:t>
      </w:r>
    </w:p>
    <w:p w:rsidR="00992664" w:rsidRPr="00020424" w:rsidRDefault="00992664" w:rsidP="00992664">
      <w:pPr>
        <w:pStyle w:val="libNormal"/>
        <w:rPr>
          <w:rtl/>
          <w:lang w:bidi="fa-IR"/>
        </w:rPr>
      </w:pPr>
      <w:r w:rsidRPr="00020424">
        <w:rPr>
          <w:rtl/>
          <w:lang w:bidi="fa-IR"/>
        </w:rPr>
        <w:t xml:space="preserve">قَالَ : « تُفْطِرُ </w:t>
      </w:r>
      <w:r w:rsidRPr="00A91B96">
        <w:rPr>
          <w:rStyle w:val="libFootnotenumChar"/>
          <w:rtl/>
        </w:rPr>
        <w:t>(8)</w:t>
      </w:r>
      <w:r w:rsidRPr="00020424">
        <w:rPr>
          <w:rtl/>
          <w:lang w:bidi="fa-IR"/>
        </w:rPr>
        <w:t xml:space="preserve"> ذلِكَ الْيَوْمَ ، فَإِنَّمَا فِطْرُهَا مِنَ الدَّمِ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F91214">
        <w:rPr>
          <w:rtl/>
        </w:rPr>
        <w:t>6537</w:t>
      </w:r>
      <w:r w:rsidRPr="001155DE">
        <w:rPr>
          <w:rStyle w:val="libBold2Char"/>
          <w:rtl/>
        </w:rPr>
        <w:t xml:space="preserve"> / 3.</w:t>
      </w:r>
      <w:r w:rsidRPr="00020424">
        <w:rPr>
          <w:rtl/>
          <w:lang w:bidi="fa-IR"/>
        </w:rPr>
        <w:t xml:space="preserve"> أَبُو عَلِيٍّ الْأَشْعَرِيُّ ، عَنْ مُحَمَّدِ بْنِ عَبْدِ الْجَبَّارِ ، عَنْ صَفْوَانَ بْنِ يَحْيى ، عَنْ عِيصِ بْنِ الْقَاسِمِ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C502B" w:rsidP="00992664">
      <w:pPr>
        <w:pStyle w:val="libFootnote0"/>
        <w:rPr>
          <w:rtl/>
          <w:lang w:bidi="fa-IR"/>
        </w:rPr>
      </w:pPr>
      <w:r>
        <w:rPr>
          <w:rFonts w:hint="cs"/>
          <w:rtl/>
        </w:rPr>
        <w:t xml:space="preserve">= </w:t>
      </w:r>
      <w:r w:rsidR="00992664" w:rsidRPr="00020424">
        <w:rPr>
          <w:rtl/>
        </w:rPr>
        <w:t xml:space="preserve">الطيب والريحان للصائم ، صدر ح 6436. وفي </w:t>
      </w:r>
      <w:r w:rsidR="00992664" w:rsidRPr="0012008A">
        <w:rPr>
          <w:rStyle w:val="libFootnoteBoldChar"/>
          <w:rtl/>
        </w:rPr>
        <w:t>التهذيب</w:t>
      </w:r>
      <w:r w:rsidR="00992664" w:rsidRPr="00020424">
        <w:rPr>
          <w:rtl/>
        </w:rPr>
        <w:t xml:space="preserve"> ، ج 1 ، ص 160 ، ح 458 ، بسنده عن الكليني. </w:t>
      </w:r>
      <w:r w:rsidR="00992664" w:rsidRPr="00DE76B9">
        <w:rPr>
          <w:rStyle w:val="libFootnoteBoldChar"/>
          <w:rtl/>
        </w:rPr>
        <w:t>وفيه</w:t>
      </w:r>
      <w:r w:rsidR="00992664" w:rsidRPr="00020424">
        <w:rPr>
          <w:rtl/>
        </w:rPr>
        <w:t xml:space="preserve"> ، ج 4 ، ص 267 ، صدر ح 807 ؛ </w:t>
      </w:r>
      <w:r w:rsidR="00992664" w:rsidRPr="00FD6221">
        <w:rPr>
          <w:rStyle w:val="libFootnoteBoldChar"/>
          <w:rtl/>
        </w:rPr>
        <w:t>والاستبصار</w:t>
      </w:r>
      <w:r w:rsidR="00992664" w:rsidRPr="00020424">
        <w:rPr>
          <w:rtl/>
        </w:rPr>
        <w:t xml:space="preserve"> ، ج 2 ، ص 93 ، صدر ح 301 ، معلّقاً عن الكليني. وفي </w:t>
      </w:r>
      <w:r w:rsidR="00D64ADA" w:rsidRPr="00D64ADA">
        <w:rPr>
          <w:rStyle w:val="libFootnoteBoldChar"/>
          <w:rtl/>
        </w:rPr>
        <w:t>المحاسن</w:t>
      </w:r>
      <w:r w:rsidR="00992664" w:rsidRPr="00020424">
        <w:rPr>
          <w:rtl/>
        </w:rPr>
        <w:t xml:space="preserve"> ، ص 214 ، كتاب مصابيح الظلم ، ذيل ح 97 ؛ </w:t>
      </w:r>
      <w:r w:rsidR="00992664" w:rsidRPr="00515444">
        <w:rPr>
          <w:rStyle w:val="libFootnoteBoldChar"/>
          <w:rtl/>
        </w:rPr>
        <w:t>وعلل الشرائع</w:t>
      </w:r>
      <w:r w:rsidR="00992664" w:rsidRPr="00DE76B9">
        <w:rPr>
          <w:rStyle w:val="libFootnoteBoldChar"/>
          <w:rtl/>
        </w:rPr>
        <w:t xml:space="preserve"> </w:t>
      </w:r>
      <w:r w:rsidR="00992664" w:rsidRPr="00020424">
        <w:rPr>
          <w:rtl/>
        </w:rPr>
        <w:t xml:space="preserve">، ص 86 ، ذيل ح 2 ، بسند آخر. وفي </w:t>
      </w:r>
      <w:r w:rsidR="00992664" w:rsidRPr="00DE76B9">
        <w:rPr>
          <w:rStyle w:val="libFootnoteBoldChar"/>
          <w:rtl/>
        </w:rPr>
        <w:t>الكافي</w:t>
      </w:r>
      <w:r w:rsidR="00992664" w:rsidRPr="00020424">
        <w:rPr>
          <w:rtl/>
        </w:rPr>
        <w:t xml:space="preserve"> ، كتاب فضل العلم ، باب البدع والرأي والمقاييس ، ح 175 ؛ و</w:t>
      </w:r>
      <w:r w:rsidR="00D64ADA" w:rsidRPr="00D64ADA">
        <w:rPr>
          <w:rStyle w:val="libFootnoteBoldChar"/>
          <w:rtl/>
        </w:rPr>
        <w:t>المحاسن</w:t>
      </w:r>
      <w:r w:rsidR="00992664" w:rsidRPr="00020424">
        <w:rPr>
          <w:rtl/>
        </w:rPr>
        <w:t xml:space="preserve"> ، ص 214 ، كتاب مصابيح الظلم ، ح 96 ، بسند آخر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1 ، ص 91 ، ذيل ح 197 ، وفي الخمسة الأخيرة إلى قوله : « قلت تقضي الصلاة قال : لا » مع اختلاف </w:t>
      </w:r>
      <w:r w:rsidR="00184D2A">
        <w:rPr>
          <w:rFonts w:hint="cs"/>
          <w:rtl/>
        </w:rPr>
        <w:t>.</w:t>
      </w:r>
      <w:r w:rsidR="00992664" w:rsidRPr="0012008A">
        <w:rPr>
          <w:rStyle w:val="libFootnoteBoldChar"/>
          <w:rtl/>
        </w:rPr>
        <w:t>الوافي</w:t>
      </w:r>
      <w:r w:rsidR="00992664" w:rsidRPr="00020424">
        <w:rPr>
          <w:rtl/>
        </w:rPr>
        <w:t xml:space="preserve"> ، ج 8 ، ص 1007 ، ح 7610.</w:t>
      </w:r>
    </w:p>
    <w:tbl>
      <w:tblPr>
        <w:tblStyle w:val="TableGrid"/>
        <w:bidiVisual/>
        <w:tblW w:w="0" w:type="auto"/>
        <w:tblLook w:val="04A0" w:firstRow="1" w:lastRow="0" w:firstColumn="1" w:lastColumn="0" w:noHBand="0" w:noVBand="1"/>
      </w:tblPr>
      <w:tblGrid>
        <w:gridCol w:w="4006"/>
        <w:gridCol w:w="4006"/>
      </w:tblGrid>
      <w:tr w:rsidR="00184D2A" w:rsidTr="00184D2A">
        <w:tc>
          <w:tcPr>
            <w:tcW w:w="4006" w:type="dxa"/>
          </w:tcPr>
          <w:p w:rsidR="00184D2A" w:rsidRDefault="00184D2A" w:rsidP="00992664">
            <w:pPr>
              <w:pStyle w:val="libFootnote0"/>
              <w:rPr>
                <w:rtl/>
              </w:rPr>
            </w:pPr>
            <w:r>
              <w:rPr>
                <w:rtl/>
              </w:rPr>
              <w:t xml:space="preserve">(1). </w:t>
            </w:r>
            <w:r w:rsidRPr="00020424">
              <w:rPr>
                <w:rtl/>
              </w:rPr>
              <w:t>في « بخ ، بف » :</w:t>
            </w:r>
            <w:r>
              <w:rPr>
                <w:rtl/>
              </w:rPr>
              <w:t xml:space="preserve"> - </w:t>
            </w:r>
            <w:r w:rsidRPr="00020424">
              <w:rPr>
                <w:rtl/>
              </w:rPr>
              <w:t>« بن إبراهيم</w:t>
            </w:r>
            <w:r>
              <w:rPr>
                <w:rtl/>
              </w:rPr>
              <w:t xml:space="preserve"> ».</w:t>
            </w:r>
          </w:p>
        </w:tc>
        <w:tc>
          <w:tcPr>
            <w:tcW w:w="4006" w:type="dxa"/>
          </w:tcPr>
          <w:p w:rsidR="00184D2A" w:rsidRDefault="00184D2A" w:rsidP="00992664">
            <w:pPr>
              <w:pStyle w:val="libFootnote0"/>
              <w:rPr>
                <w:rtl/>
              </w:rPr>
            </w:pPr>
            <w:r>
              <w:rPr>
                <w:rtl/>
              </w:rPr>
              <w:t xml:space="preserve">(2). </w:t>
            </w:r>
            <w:r w:rsidRPr="00020424">
              <w:rPr>
                <w:rtl/>
              </w:rPr>
              <w:t>في « بح » : + « وهي</w:t>
            </w:r>
            <w:r>
              <w:rPr>
                <w:rtl/>
              </w:rPr>
              <w:t xml:space="preserve"> ».</w:t>
            </w:r>
          </w:p>
        </w:tc>
      </w:tr>
    </w:tbl>
    <w:p w:rsidR="00992664" w:rsidRPr="00020424" w:rsidRDefault="00795177" w:rsidP="00580BF9">
      <w:pPr>
        <w:pStyle w:val="libFootnote0"/>
        <w:rPr>
          <w:rtl/>
          <w:lang w:bidi="fa-IR"/>
        </w:rPr>
      </w:pPr>
      <w:r>
        <w:rPr>
          <w:rtl/>
        </w:rPr>
        <w:t>(3).</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 ح 939 : « العشاء</w:t>
      </w:r>
      <w:r w:rsidR="00992664">
        <w:rPr>
          <w:rtl/>
        </w:rPr>
        <w:t xml:space="preserve"> ».</w:t>
      </w:r>
      <w:r w:rsidR="00992664" w:rsidRPr="00020424">
        <w:rPr>
          <w:rtl/>
        </w:rPr>
        <w:t xml:space="preserve"> </w:t>
      </w:r>
      <w:r w:rsidR="00992664">
        <w:rPr>
          <w:rtl/>
        </w:rPr>
        <w:t>و «</w:t>
      </w:r>
      <w:r w:rsidR="00992664" w:rsidRPr="00020424">
        <w:rPr>
          <w:rtl/>
        </w:rPr>
        <w:t xml:space="preserve"> العَشِيُّ » : ما بعد الزوال إلى المغرب. وقيل : العشيّ : من زوال الشمس إلى الصباح. وقيل : العشيّ : من صلاة المغرب إلى العتمة. وفي </w:t>
      </w:r>
      <w:r w:rsidR="00992664" w:rsidRPr="0012008A">
        <w:rPr>
          <w:rStyle w:val="libFootnoteBoldChar"/>
          <w:rtl/>
        </w:rPr>
        <w:t>الوافي</w:t>
      </w:r>
      <w:r w:rsidR="00992664" w:rsidRPr="00020424">
        <w:rPr>
          <w:rtl/>
        </w:rPr>
        <w:t xml:space="preserve"> : « العشيّ والعشيّة : آخر النهار</w:t>
      </w:r>
      <w:r w:rsidR="00992664">
        <w:rPr>
          <w:rtl/>
        </w:rPr>
        <w:t xml:space="preserve"> ».</w:t>
      </w:r>
      <w:r w:rsidR="00992664" w:rsidRPr="00020424">
        <w:rPr>
          <w:rtl/>
        </w:rPr>
        <w:t xml:space="preserve"> وفي المرآة : « المراد بالعشيّ : ما بعد الزوال</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2426 ؛ </w:t>
      </w:r>
      <w:r w:rsidR="00992664" w:rsidRPr="0012008A">
        <w:rPr>
          <w:rStyle w:val="libFootnoteBoldChar"/>
          <w:rtl/>
        </w:rPr>
        <w:t>النهاية</w:t>
      </w:r>
      <w:r w:rsidR="00992664" w:rsidRPr="00020424">
        <w:rPr>
          <w:rtl/>
        </w:rPr>
        <w:t xml:space="preserve"> ، ج 3 ، ص 242 ( عشا ) ؛ </w:t>
      </w:r>
      <w:r w:rsidR="00992664" w:rsidRPr="00DE76B9">
        <w:rPr>
          <w:rStyle w:val="libFootnoteBoldChar"/>
          <w:rtl/>
        </w:rPr>
        <w:t>مرآة العقول</w:t>
      </w:r>
      <w:r w:rsidR="00992664" w:rsidRPr="00020424">
        <w:rPr>
          <w:rtl/>
        </w:rPr>
        <w:t xml:space="preserve"> ، ج 16 ، ص 340.</w:t>
      </w:r>
      <w:r w:rsidR="00580BF9">
        <w:rPr>
          <w:rFonts w:hint="cs"/>
          <w:rtl/>
        </w:rPr>
        <w:t xml:space="preserve">   </w:t>
      </w:r>
      <w:r>
        <w:rPr>
          <w:rtl/>
        </w:rPr>
        <w:t>(4).</w:t>
      </w:r>
      <w:r w:rsidR="0014403D">
        <w:rPr>
          <w:rtl/>
        </w:rPr>
        <w:t xml:space="preserve"> </w:t>
      </w:r>
      <w:r w:rsidR="00580BF9">
        <w:rPr>
          <w:rtl/>
        </w:rPr>
        <w:t>في«ى،بخ،بف</w:t>
      </w:r>
      <w:r w:rsidR="00992664" w:rsidRPr="00020424">
        <w:rPr>
          <w:rtl/>
        </w:rPr>
        <w:t>»</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580BF9">
        <w:rPr>
          <w:rtl/>
        </w:rPr>
        <w:t>،ح939:«</w:t>
      </w:r>
      <w:r w:rsidR="00992664" w:rsidRPr="00020424">
        <w:rPr>
          <w:rtl/>
        </w:rPr>
        <w:t>في</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جن » : « فتغسل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بث ، بخ ، بف » : « كيف أصنع</w:t>
      </w:r>
      <w:r w:rsidR="00992664">
        <w:rPr>
          <w:rtl/>
        </w:rPr>
        <w:t xml:space="preserve"> ».</w:t>
      </w:r>
      <w:r w:rsidR="00992664" w:rsidRPr="00020424">
        <w:rPr>
          <w:rtl/>
        </w:rPr>
        <w:t xml:space="preserve"> وفي حاشية « ظ » : « ما أصنع</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كيف تصنع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قال : وسألته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فما تصنع في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 + « في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311 ، ح 939 ، معلّقاً عن الكليني. </w:t>
      </w:r>
      <w:r w:rsidR="00992664" w:rsidRPr="00DE76B9">
        <w:rPr>
          <w:rStyle w:val="libFootnoteBoldChar"/>
          <w:rtl/>
        </w:rPr>
        <w:t>وفيه</w:t>
      </w:r>
      <w:r w:rsidR="00992664" w:rsidRPr="00020424">
        <w:rPr>
          <w:rtl/>
        </w:rPr>
        <w:t xml:space="preserve"> ، ص 253 ، ح 750 ؛ وج 1 ، ص 153 ، ح 434 ، بسند آخر ، مع اختلاف </w:t>
      </w:r>
      <w:r w:rsidR="00067020">
        <w:rPr>
          <w:rFonts w:hint="cs"/>
          <w:rtl/>
        </w:rPr>
        <w:t>.</w:t>
      </w:r>
      <w:r w:rsidR="00992664" w:rsidRPr="0012008A">
        <w:rPr>
          <w:rStyle w:val="libFootnoteBoldChar"/>
          <w:rtl/>
        </w:rPr>
        <w:t>الوافي</w:t>
      </w:r>
      <w:r w:rsidR="00992664" w:rsidRPr="00020424">
        <w:rPr>
          <w:rtl/>
        </w:rPr>
        <w:t xml:space="preserve"> ، ج 11 ، ص 321 ، ح 10958 ؛ </w:t>
      </w:r>
      <w:r w:rsidR="00992664" w:rsidRPr="0012008A">
        <w:rPr>
          <w:rStyle w:val="libFootnoteBoldChar"/>
          <w:rtl/>
        </w:rPr>
        <w:t>الوسائل</w:t>
      </w:r>
      <w:r w:rsidR="00992664" w:rsidRPr="00020424">
        <w:rPr>
          <w:rtl/>
        </w:rPr>
        <w:t xml:space="preserve"> ، ج 10 ، ص 227 ، ح 13284.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امْرَأَةٍ </w:t>
      </w:r>
      <w:r w:rsidRPr="00A91B96">
        <w:rPr>
          <w:rStyle w:val="libFootnotenumChar"/>
          <w:rtl/>
        </w:rPr>
        <w:t>(1)</w:t>
      </w:r>
      <w:r w:rsidRPr="00020424">
        <w:rPr>
          <w:rtl/>
          <w:lang w:bidi="fa-IR"/>
        </w:rPr>
        <w:t xml:space="preserve"> تَطْمَثُ فِي شَهْرِ رَمَضَانَ قَبْلَ أَنْ تَغِيبَ الشَّمْسُ</w:t>
      </w:r>
      <w:r>
        <w:rPr>
          <w:rtl/>
          <w:lang w:bidi="fa-IR"/>
        </w:rPr>
        <w:t>؟</w:t>
      </w:r>
    </w:p>
    <w:p w:rsidR="00992664" w:rsidRPr="00020424" w:rsidRDefault="00992664" w:rsidP="00992664">
      <w:pPr>
        <w:pStyle w:val="libNormal"/>
        <w:rPr>
          <w:rtl/>
          <w:lang w:bidi="fa-IR"/>
        </w:rPr>
      </w:pPr>
      <w:r w:rsidRPr="00020424">
        <w:rPr>
          <w:rtl/>
          <w:lang w:bidi="fa-IR"/>
        </w:rPr>
        <w:t>قَالَ : « تُفْطِرُ حِينَ تَطْمَثُ</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F91214">
        <w:rPr>
          <w:rtl/>
        </w:rPr>
        <w:t>6538</w:t>
      </w:r>
      <w:r w:rsidRPr="001155DE">
        <w:rPr>
          <w:rStyle w:val="libBold2Char"/>
          <w:rtl/>
        </w:rPr>
        <w:t xml:space="preserve"> / 4.</w:t>
      </w:r>
      <w:r w:rsidRPr="00020424">
        <w:rPr>
          <w:rtl/>
          <w:lang w:bidi="fa-IR"/>
        </w:rPr>
        <w:t xml:space="preserve"> صَفْوَانُ بْنُ يَحْيى </w:t>
      </w:r>
      <w:r w:rsidRPr="00A91B96">
        <w:rPr>
          <w:rStyle w:val="libFootnotenumChar"/>
          <w:rtl/>
        </w:rPr>
        <w:t>(3)</w:t>
      </w:r>
      <w:r w:rsidRPr="00020424">
        <w:rPr>
          <w:rtl/>
          <w:lang w:bidi="fa-IR"/>
        </w:rPr>
        <w:t xml:space="preserve"> ،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w:t>
      </w:r>
      <w:r w:rsidRPr="00005A81">
        <w:rPr>
          <w:rStyle w:val="libAlaemChar"/>
          <w:rtl/>
        </w:rPr>
        <w:t>عليه‌السلام</w:t>
      </w:r>
      <w:r w:rsidRPr="00020424">
        <w:rPr>
          <w:rtl/>
          <w:lang w:bidi="fa-IR"/>
        </w:rPr>
        <w:t xml:space="preserve"> عَنِ الْمَرْأَ</w:t>
      </w:r>
      <w:r>
        <w:rPr>
          <w:rtl/>
          <w:lang w:bidi="fa-IR"/>
        </w:rPr>
        <w:t>ةِ تَلِدُ بَعْدَ الْعَصْرِ : أَ</w:t>
      </w:r>
      <w:r w:rsidRPr="00020424">
        <w:rPr>
          <w:rtl/>
          <w:lang w:bidi="fa-IR"/>
        </w:rPr>
        <w:t>تُتِمُّ ذلِكَ الْيَوْمَ ، أَمْ تُفْطِرُ</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تُفْطِرُ ، وَتَقْضِي </w:t>
      </w:r>
      <w:r w:rsidRPr="00A91B96">
        <w:rPr>
          <w:rStyle w:val="libFootnotenumChar"/>
          <w:rtl/>
        </w:rPr>
        <w:t>(5)</w:t>
      </w:r>
      <w:r w:rsidRPr="00020424">
        <w:rPr>
          <w:rtl/>
          <w:lang w:bidi="fa-IR"/>
        </w:rPr>
        <w:t xml:space="preserve"> ذلِكَ الْيَوْمَ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F91214">
        <w:rPr>
          <w:rtl/>
        </w:rPr>
        <w:t>6539</w:t>
      </w:r>
      <w:r w:rsidRPr="001155DE">
        <w:rPr>
          <w:rStyle w:val="libBold2Char"/>
          <w:rtl/>
        </w:rPr>
        <w:t xml:space="preserve"> / 5.</w:t>
      </w:r>
      <w:r w:rsidRPr="00020424">
        <w:rPr>
          <w:rtl/>
          <w:lang w:bidi="fa-IR"/>
        </w:rPr>
        <w:t xml:space="preserve"> عِدَّةٌ مِنْ أَصْحَابِنَا ، عَنْ سَهْلِ بْنِ زِيَادٍ ، عَنِ الْحَسَنِ بْنِ مَحْبُوبٍ ، عَنْ عَلِيِّ بْنِ رِئَابٍ ، عَنْ سَمَاعَةَ بْنِ مِهْرَانَ </w:t>
      </w:r>
      <w:r w:rsidRPr="00A91B96">
        <w:rPr>
          <w:rStyle w:val="libFootnotenumChar"/>
          <w:rtl/>
        </w:rPr>
        <w:t>(7)</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الْمُسْتَحَاضَةِ</w:t>
      </w:r>
      <w:r>
        <w:rPr>
          <w:rtl/>
          <w:lang w:bidi="fa-IR"/>
        </w:rPr>
        <w:t>؟</w:t>
      </w:r>
    </w:p>
    <w:p w:rsidR="00992664" w:rsidRPr="00020424" w:rsidRDefault="00A54C4E" w:rsidP="00067020">
      <w:pPr>
        <w:pStyle w:val="libNormal"/>
        <w:rPr>
          <w:rtl/>
          <w:lang w:bidi="fa-IR"/>
        </w:rPr>
      </w:pPr>
      <w:r>
        <w:rPr>
          <w:rtl/>
          <w:lang w:bidi="fa-IR"/>
        </w:rPr>
        <w:t>قَالَ:فَقَالَ :«</w:t>
      </w:r>
      <w:r w:rsidR="00992664" w:rsidRPr="00020424">
        <w:rPr>
          <w:rtl/>
          <w:lang w:bidi="fa-IR"/>
        </w:rPr>
        <w:t>تَصُومُ شَهْر</w:t>
      </w:r>
      <w:r w:rsidR="00067020">
        <w:rPr>
          <w:rtl/>
          <w:lang w:bidi="fa-IR"/>
        </w:rPr>
        <w:t>َ رَمَضَانَ إِل</w:t>
      </w:r>
      <w:r w:rsidR="00067020">
        <w:rPr>
          <w:rFonts w:hint="cs"/>
          <w:rtl/>
          <w:lang w:bidi="fa-IR"/>
        </w:rPr>
        <w:t>َّ</w:t>
      </w:r>
      <w:r w:rsidR="00067020">
        <w:rPr>
          <w:rtl/>
          <w:lang w:bidi="fa-IR"/>
        </w:rPr>
        <w:t>ا</w:t>
      </w:r>
      <w:r w:rsidR="00992664" w:rsidRPr="00020424">
        <w:rPr>
          <w:rtl/>
          <w:lang w:bidi="fa-IR"/>
        </w:rPr>
        <w:t xml:space="preserve">الْأَيَّامَ الَّتِي كَانَتْ تَحِيضُ فِيهِنَّ </w:t>
      </w:r>
      <w:r w:rsidR="00992664" w:rsidRPr="00A91B96">
        <w:rPr>
          <w:rStyle w:val="libFootnotenumChar"/>
          <w:rtl/>
        </w:rPr>
        <w:t>(8)</w:t>
      </w:r>
      <w:r>
        <w:rPr>
          <w:rtl/>
          <w:lang w:bidi="fa-IR"/>
        </w:rPr>
        <w:t>،</w:t>
      </w:r>
      <w:r w:rsidR="00992664" w:rsidRPr="00020424">
        <w:rPr>
          <w:rtl/>
          <w:lang w:bidi="fa-IR"/>
        </w:rPr>
        <w:t xml:space="preserve">ثُمَّ تَقْضِيهَا بَعْدَهُ </w:t>
      </w:r>
      <w:r w:rsidR="00992664" w:rsidRPr="00A91B96">
        <w:rPr>
          <w:rStyle w:val="libFootnotenumChar"/>
          <w:rtl/>
        </w:rPr>
        <w:t>(9)</w:t>
      </w:r>
      <w:r w:rsidR="00992664">
        <w:rPr>
          <w:rtl/>
          <w:lang w:bidi="fa-IR"/>
        </w:rPr>
        <w:t>».</w:t>
      </w:r>
      <w:r w:rsidR="00992664" w:rsidRPr="00A91B96">
        <w:rPr>
          <w:rStyle w:val="libFootnotenumChar"/>
          <w:rtl/>
        </w:rPr>
        <w:t>(10)</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المرأة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1 ، ص 152 ، ح 433 ؛ وص 393 ، ح 1215 ؛ </w:t>
      </w:r>
      <w:r w:rsidR="00992664" w:rsidRPr="00FD6221">
        <w:rPr>
          <w:rStyle w:val="libFootnoteBoldChar"/>
          <w:rtl/>
        </w:rPr>
        <w:t>والاستبصار</w:t>
      </w:r>
      <w:r w:rsidR="00992664" w:rsidRPr="00020424">
        <w:rPr>
          <w:rtl/>
        </w:rPr>
        <w:t xml:space="preserve"> ، ج 1 ، ص 145 ، ح 498 ، بسند آخر عن صفوان بن يحيى. </w:t>
      </w:r>
      <w:r w:rsidR="00992664" w:rsidRPr="0012008A">
        <w:rPr>
          <w:rStyle w:val="libFootnoteBoldChar"/>
          <w:rtl/>
        </w:rPr>
        <w:t>الفقيه</w:t>
      </w:r>
      <w:r w:rsidR="00992664" w:rsidRPr="00020424">
        <w:rPr>
          <w:rtl/>
        </w:rPr>
        <w:t xml:space="preserve"> ، ج 2 ، ص 145 ، ح 19</w:t>
      </w:r>
      <w:r w:rsidR="00A54C4E">
        <w:rPr>
          <w:rtl/>
        </w:rPr>
        <w:t>92 ، معلّقاً عن العيص بن القاسم</w:t>
      </w:r>
      <w:r w:rsidR="003619CB">
        <w:rPr>
          <w:rFonts w:hint="cs"/>
          <w:rtl/>
        </w:rPr>
        <w:t>.</w:t>
      </w:r>
      <w:r w:rsidR="00992664" w:rsidRPr="0012008A">
        <w:rPr>
          <w:rStyle w:val="libFootnoteBoldChar"/>
          <w:rtl/>
        </w:rPr>
        <w:t>الوافي</w:t>
      </w:r>
      <w:r w:rsidR="00992664" w:rsidRPr="00020424">
        <w:rPr>
          <w:rtl/>
        </w:rPr>
        <w:t xml:space="preserve"> ، ج 11 ، ص 322 ، ح 10960 ؛ </w:t>
      </w:r>
      <w:r w:rsidR="00992664" w:rsidRPr="0012008A">
        <w:rPr>
          <w:rStyle w:val="libFootnoteBoldChar"/>
          <w:rtl/>
        </w:rPr>
        <w:t>الوسائل</w:t>
      </w:r>
      <w:r w:rsidR="00992664" w:rsidRPr="00020424">
        <w:rPr>
          <w:rtl/>
        </w:rPr>
        <w:t xml:space="preserve"> ، ج 10 ، ص 228 ، ح 13285.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992664" w:rsidP="008639E3">
      <w:pPr>
        <w:pStyle w:val="libFootnote0"/>
        <w:rPr>
          <w:rtl/>
          <w:lang w:bidi="fa-IR"/>
        </w:rPr>
      </w:pPr>
      <w:r w:rsidRPr="00D82B22">
        <w:rPr>
          <w:rtl/>
        </w:rPr>
        <w:t>ثمّ إنّ السند معلّق على سابقه. ويروي عن صفوان بن يحيى ، أبو عليّ الأشعري ، عن محمّد بن عبد الجبّار.</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w:t>
      </w:r>
      <w:r w:rsidR="00992664" w:rsidRPr="008639E3">
        <w:rPr>
          <w:rtl/>
        </w:rPr>
        <w:t xml:space="preserve"> والوافي والفقيه </w:t>
      </w:r>
      <w:r w:rsidR="00992664" w:rsidRPr="00020424">
        <w:rPr>
          <w:rtl/>
        </w:rPr>
        <w:t>: « فقال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بخ ، بر ، بف » وحاشية « بث » </w:t>
      </w:r>
      <w:r w:rsidR="00992664" w:rsidRPr="008639E3">
        <w:rPr>
          <w:rtl/>
        </w:rPr>
        <w:t>والوافي والفقيه</w:t>
      </w:r>
      <w:r w:rsidR="00992664" w:rsidRPr="00020424">
        <w:rPr>
          <w:rtl/>
        </w:rPr>
        <w:t xml:space="preserve"> : « ثمّ تقضي » بدل « وتقضي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145 ، ح 1991 ، معلّقاً عن عبدالرحمن بن الحجّاج </w:t>
      </w:r>
      <w:r w:rsidR="008639E3">
        <w:rPr>
          <w:rFonts w:hint="cs"/>
          <w:rtl/>
        </w:rPr>
        <w:t>.</w:t>
      </w:r>
      <w:r w:rsidR="00992664" w:rsidRPr="0012008A">
        <w:rPr>
          <w:rStyle w:val="libFootnoteBoldChar"/>
          <w:rtl/>
        </w:rPr>
        <w:t>الوافي</w:t>
      </w:r>
      <w:r w:rsidR="00992664" w:rsidRPr="00020424">
        <w:rPr>
          <w:rtl/>
        </w:rPr>
        <w:t xml:space="preserve"> ، ج 11 ، ص 322 ، ح 10961 ؛ </w:t>
      </w:r>
      <w:r w:rsidR="00992664" w:rsidRPr="0012008A">
        <w:rPr>
          <w:rStyle w:val="libFootnoteBoldChar"/>
          <w:rtl/>
        </w:rPr>
        <w:t>الوسائل</w:t>
      </w:r>
      <w:r w:rsidR="00992664" w:rsidRPr="00020424">
        <w:rPr>
          <w:rtl/>
        </w:rPr>
        <w:t xml:space="preserve"> ، ج 10 ، ص 229 ، ح 13289.</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جر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مهران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فيهنّ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بعد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282 ، ح 854 ؛ وص 310 ، ح 936 ، معلّقاً عن الكليني. </w:t>
      </w:r>
      <w:r w:rsidR="00992664" w:rsidRPr="00DE76B9">
        <w:rPr>
          <w:rStyle w:val="libFootnoteBoldChar"/>
          <w:rtl/>
        </w:rPr>
        <w:t>وفيه</w:t>
      </w:r>
      <w:r w:rsidR="00992664" w:rsidRPr="00020424">
        <w:rPr>
          <w:rtl/>
        </w:rPr>
        <w:t xml:space="preserve"> ، ج 1 ، ص 401 ، ح 1255 ، </w:t>
      </w:r>
      <w:r w:rsidR="00374AA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F91214">
        <w:rPr>
          <w:rtl/>
        </w:rPr>
        <w:t>6540</w:t>
      </w:r>
      <w:r w:rsidRPr="001155DE">
        <w:rPr>
          <w:rStyle w:val="libBold2Char"/>
          <w:rtl/>
        </w:rPr>
        <w:t xml:space="preserve"> / 6.</w:t>
      </w:r>
      <w:r w:rsidRPr="00020424">
        <w:rPr>
          <w:rtl/>
          <w:lang w:bidi="fa-IR"/>
        </w:rPr>
        <w:t xml:space="preserve"> أَبُو عَلِيٍّ الْأَشْعَرِيُّ ، عَنْ مُحَمَّدِ بْنِ عَبْدِ الْجَبَّارِ ، عَنْ عَلِيِّ بْنِ مَهْزِيَارَ ، قَالَ :</w:t>
      </w:r>
    </w:p>
    <w:p w:rsidR="00992664" w:rsidRPr="00020424" w:rsidRDefault="00992664" w:rsidP="00992664">
      <w:pPr>
        <w:pStyle w:val="libNormal"/>
        <w:rPr>
          <w:rtl/>
          <w:lang w:bidi="fa-IR"/>
        </w:rPr>
      </w:pPr>
      <w:r w:rsidRPr="00020424">
        <w:rPr>
          <w:rtl/>
          <w:lang w:bidi="fa-IR"/>
        </w:rPr>
        <w:t xml:space="preserve">كَتَبْتُ إِلَيْهِ </w:t>
      </w:r>
      <w:r w:rsidRPr="00005A81">
        <w:rPr>
          <w:rStyle w:val="libAlaemChar"/>
          <w:rtl/>
        </w:rPr>
        <w:t>عليه‌السلام</w:t>
      </w:r>
      <w:r w:rsidRPr="00020424">
        <w:rPr>
          <w:rtl/>
          <w:lang w:bidi="fa-IR"/>
        </w:rPr>
        <w:t xml:space="preserve"> : امْرَأَةٌ طَهُرَتْ مِنْ حَيْضِهَا ، أَوْ مِنْ دَمِ نِفَاسِهَا فِي أَوَّ</w:t>
      </w:r>
      <w:r w:rsidR="00A54C4E">
        <w:rPr>
          <w:rtl/>
          <w:lang w:bidi="fa-IR"/>
        </w:rPr>
        <w:t>لِ يَوْمٍ مِنْ شَهْرِ رَمَضَانَ</w:t>
      </w:r>
      <w:r w:rsidRPr="00020424">
        <w:rPr>
          <w:rtl/>
          <w:lang w:bidi="fa-IR"/>
        </w:rPr>
        <w:t xml:space="preserve">، ثُمَّ اسْتَحَاضَتْ ، فَصَلَّتْ وَصَامَتْ شَهْرَ رَمَضَانَ كُلَّهُ مِنْ غَيْرِ أَنْ تَعْمَلَ مَا تَعْمَلُ </w:t>
      </w:r>
      <w:r w:rsidRPr="00A91B96">
        <w:rPr>
          <w:rStyle w:val="libFootnotenumChar"/>
          <w:rtl/>
        </w:rPr>
        <w:t>(1)</w:t>
      </w:r>
      <w:r w:rsidRPr="00020424">
        <w:rPr>
          <w:rtl/>
          <w:lang w:bidi="fa-IR"/>
        </w:rPr>
        <w:t xml:space="preserve"> الْمُسْتَحَاضَةُ مِنَ الْغُسْلِ لِكُلِّ صَلَاتَيْنِ ، فَهَلْ </w:t>
      </w:r>
      <w:r w:rsidRPr="00A91B96">
        <w:rPr>
          <w:rStyle w:val="libFootnotenumChar"/>
          <w:rtl/>
        </w:rPr>
        <w:t>(2)</w:t>
      </w:r>
      <w:r w:rsidRPr="00020424">
        <w:rPr>
          <w:rtl/>
          <w:lang w:bidi="fa-IR"/>
        </w:rPr>
        <w:t xml:space="preserve"> يَجُوزُ صَوْمُهَا وَصَلَاتُهَا ، أَمْ لَا</w:t>
      </w:r>
      <w:r>
        <w:rPr>
          <w:rtl/>
          <w:lang w:bidi="fa-IR"/>
        </w:rPr>
        <w:t>؟</w:t>
      </w:r>
    </w:p>
    <w:p w:rsidR="00992664" w:rsidRPr="00020424" w:rsidRDefault="00992664" w:rsidP="00992664">
      <w:pPr>
        <w:pStyle w:val="libNormal"/>
        <w:rPr>
          <w:rtl/>
          <w:lang w:bidi="fa-IR"/>
        </w:rPr>
      </w:pPr>
      <w:r w:rsidRPr="00020424">
        <w:rPr>
          <w:rtl/>
          <w:lang w:bidi="fa-IR"/>
        </w:rPr>
        <w:t xml:space="preserve">فَكَتَبَ </w:t>
      </w:r>
      <w:r w:rsidRPr="00005A81">
        <w:rPr>
          <w:rStyle w:val="libAlaemChar"/>
          <w:rtl/>
        </w:rPr>
        <w:t>عليه‌السلام</w:t>
      </w:r>
      <w:r w:rsidRPr="00020424">
        <w:rPr>
          <w:rtl/>
          <w:lang w:bidi="fa-IR"/>
        </w:rPr>
        <w:t xml:space="preserve"> : « تَقْضِي صَوْمَهَا ، وَلَاتَقْضِي صَلَاتَهَا ؛ إِنَّ </w:t>
      </w:r>
      <w:r w:rsidRPr="00A91B96">
        <w:rPr>
          <w:rStyle w:val="libFootnotenumChar"/>
          <w:rtl/>
        </w:rPr>
        <w:t>(3)</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كَانَ يَأْمُرُ فَاطِمَةَ</w:t>
      </w:r>
      <w:r>
        <w:rPr>
          <w:rtl/>
          <w:lang w:bidi="fa-IR"/>
        </w:rPr>
        <w:t xml:space="preserve"> </w:t>
      </w:r>
      <w:r w:rsidR="009B673F">
        <w:rPr>
          <w:rtl/>
          <w:lang w:bidi="fa-IR"/>
        </w:rPr>
        <w:t>-</w:t>
      </w:r>
      <w:r>
        <w:rPr>
          <w:rtl/>
          <w:lang w:bidi="fa-IR"/>
        </w:rPr>
        <w:t xml:space="preserve"> </w:t>
      </w:r>
      <w:r w:rsidRPr="00020424">
        <w:rPr>
          <w:rtl/>
          <w:lang w:bidi="fa-IR"/>
        </w:rPr>
        <w:t>صَلَوَاتُ اللهِ عَلَيْهَا</w:t>
      </w:r>
      <w:r>
        <w:rPr>
          <w:rtl/>
          <w:lang w:bidi="fa-IR"/>
        </w:rPr>
        <w:t xml:space="preserve"> </w:t>
      </w:r>
      <w:r w:rsidR="009B673F">
        <w:rPr>
          <w:rtl/>
          <w:lang w:bidi="fa-IR"/>
        </w:rPr>
        <w:t>-</w:t>
      </w:r>
      <w:r>
        <w:rPr>
          <w:rtl/>
          <w:lang w:bidi="fa-IR"/>
        </w:rPr>
        <w:t xml:space="preserve"> </w:t>
      </w:r>
      <w:r w:rsidRPr="00020424">
        <w:rPr>
          <w:rtl/>
          <w:lang w:bidi="fa-IR"/>
        </w:rPr>
        <w:t>وَ</w:t>
      </w:r>
      <w:r>
        <w:rPr>
          <w:rFonts w:hint="cs"/>
          <w:rtl/>
          <w:lang w:bidi="fa-IR"/>
        </w:rPr>
        <w:t xml:space="preserve"> </w:t>
      </w:r>
      <w:r w:rsidRPr="00A91B96">
        <w:rPr>
          <w:rStyle w:val="libFootnotenumChar"/>
          <w:rtl/>
        </w:rPr>
        <w:t>(4)</w:t>
      </w:r>
      <w:r w:rsidRPr="00020424">
        <w:rPr>
          <w:rtl/>
          <w:lang w:bidi="fa-IR"/>
        </w:rPr>
        <w:t xml:space="preserve"> الْمُؤْمِنَاتِ مِنْ نِسَائِهِ بِذلِكَ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6609D3" w:rsidP="00992664">
      <w:pPr>
        <w:pStyle w:val="libFootnote0"/>
        <w:rPr>
          <w:rtl/>
          <w:lang w:bidi="fa-IR"/>
        </w:rPr>
      </w:pPr>
      <w:r>
        <w:rPr>
          <w:rFonts w:hint="cs"/>
          <w:rtl/>
        </w:rPr>
        <w:t xml:space="preserve">= </w:t>
      </w:r>
      <w:r w:rsidR="00992664" w:rsidRPr="00020424">
        <w:rPr>
          <w:rtl/>
        </w:rPr>
        <w:t xml:space="preserve">بسنده عن الحسن بن محبوب. </w:t>
      </w:r>
      <w:r w:rsidR="00992664" w:rsidRPr="0012008A">
        <w:rPr>
          <w:rStyle w:val="libFootnoteBoldChar"/>
          <w:rtl/>
        </w:rPr>
        <w:t>الفقيه</w:t>
      </w:r>
      <w:r w:rsidR="00992664" w:rsidRPr="00020424">
        <w:rPr>
          <w:rtl/>
        </w:rPr>
        <w:t xml:space="preserve"> ، ج 2 ، ص 145 ، ح 1990 ، معلّقاً عن سماعة ، عن أبي عبدالله </w:t>
      </w:r>
      <w:r w:rsidR="00992664" w:rsidRPr="00D64ADA">
        <w:rPr>
          <w:rStyle w:val="libFootnoteAlaemChar"/>
          <w:rtl/>
        </w:rPr>
        <w:t>عليه‌السلام</w:t>
      </w:r>
      <w:r w:rsidR="00AA1E0B">
        <w:rPr>
          <w:rFonts w:hint="cs"/>
          <w:rtl/>
        </w:rPr>
        <w:t>.</w:t>
      </w:r>
      <w:r w:rsidR="00992664" w:rsidRPr="0012008A">
        <w:rPr>
          <w:rStyle w:val="libFootnoteBoldChar"/>
          <w:rtl/>
        </w:rPr>
        <w:t>الوافي</w:t>
      </w:r>
      <w:r w:rsidR="00992664" w:rsidRPr="00020424">
        <w:rPr>
          <w:rtl/>
        </w:rPr>
        <w:t xml:space="preserve"> ، ج 11 ، ص 326 ، ح 10971 ؛ </w:t>
      </w:r>
      <w:r w:rsidR="00992664" w:rsidRPr="0012008A">
        <w:rPr>
          <w:rStyle w:val="libFootnoteBoldChar"/>
          <w:rtl/>
        </w:rPr>
        <w:t>الوسائل</w:t>
      </w:r>
      <w:r w:rsidR="00992664" w:rsidRPr="00020424">
        <w:rPr>
          <w:rtl/>
        </w:rPr>
        <w:t xml:space="preserve"> ، ج 2 ، ص 344 ، ذيل ح 2330 ؛ وص 378 ، ذيل ح 2405 ؛ وج 10 ، ص 230 ، ح 13290.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بث ، بر » </w:t>
      </w:r>
      <w:r w:rsidR="00992664" w:rsidRPr="00FD6221">
        <w:rPr>
          <w:rStyle w:val="libFootnoteBoldChar"/>
          <w:rtl/>
        </w:rPr>
        <w:t>والفقيه</w:t>
      </w:r>
      <w:r w:rsidR="00992664" w:rsidRPr="00020424">
        <w:rPr>
          <w:rtl/>
        </w:rPr>
        <w:t xml:space="preserve"> : « ما تعمله</w:t>
      </w:r>
      <w:r w:rsidR="00992664">
        <w:rPr>
          <w:rtl/>
        </w:rPr>
        <w:t xml:space="preserve"> ».</w:t>
      </w:r>
      <w:r w:rsidR="00992664" w:rsidRPr="00020424">
        <w:rPr>
          <w:rtl/>
        </w:rPr>
        <w:t xml:space="preserve"> وفي « بخ ، بف » : « بما تعمل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w:t>
      </w:r>
      <w:r w:rsidR="00992664" w:rsidRPr="00645803">
        <w:rPr>
          <w:rtl/>
        </w:rPr>
        <w:t>» والوافي والفقيه والتهذيب</w:t>
      </w:r>
      <w:r w:rsidR="00992664" w:rsidRPr="00020424">
        <w:rPr>
          <w:rtl/>
        </w:rPr>
        <w:t xml:space="preserve"> والعلل : « هل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بف ، جن » </w:t>
      </w:r>
      <w:r w:rsidR="00992664" w:rsidRPr="00515444">
        <w:rPr>
          <w:rStyle w:val="libFootnoteBoldChar"/>
          <w:rtl/>
        </w:rPr>
        <w:t>والتهذيب</w:t>
      </w:r>
      <w:r w:rsidR="00992664" w:rsidRPr="00020424">
        <w:rPr>
          <w:rtl/>
        </w:rPr>
        <w:t xml:space="preserve"> والعلل : « لأنّ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xml:space="preserve">« فاطمة صلوات الله عليها </w:t>
      </w:r>
      <w:r w:rsidR="00992664">
        <w:rPr>
          <w:rtl/>
        </w:rPr>
        <w:t>و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اعلم أنّ هذا الخبر من مشكلات الأخبار ومعضلات الآثار وقد تحيّر في حلّه العلماء الأخيار ، وذلك من وجهين : أحدهما : ما يشعر به من أنّ فاطمة </w:t>
      </w:r>
      <w:r w:rsidR="00D64ADA" w:rsidRPr="00D64ADA">
        <w:rPr>
          <w:rStyle w:val="libFootnoteAlaemChar"/>
          <w:rtl/>
        </w:rPr>
        <w:t>عليها‌السلام</w:t>
      </w:r>
      <w:r w:rsidR="00992664" w:rsidRPr="00020424">
        <w:rPr>
          <w:rtl/>
        </w:rPr>
        <w:t xml:space="preserve"> كانت‌ترى الدم ، مع ما تكاثرت به الأخبار من أنّها لم‌تر حمرة قطّ ، لا حيضاً ولا استحاضة. وثانيهما : ما اشتمل عليه من الحكم بعدم قضاء الصلاة</w:t>
      </w:r>
      <w:r w:rsidR="00992664">
        <w:rPr>
          <w:rtl/>
        </w:rPr>
        <w:t xml:space="preserve"> </w:t>
      </w:r>
      <w:r w:rsidR="009B673F">
        <w:rPr>
          <w:rtl/>
        </w:rPr>
        <w:t>-</w:t>
      </w:r>
      <w:r w:rsidR="00992664">
        <w:rPr>
          <w:rtl/>
        </w:rPr>
        <w:t xml:space="preserve"> </w:t>
      </w:r>
      <w:r w:rsidR="00992664" w:rsidRPr="00020424">
        <w:rPr>
          <w:rtl/>
        </w:rPr>
        <w:t>ولم يقل به أحد</w:t>
      </w:r>
      <w:r w:rsidR="00992664">
        <w:rPr>
          <w:rtl/>
        </w:rPr>
        <w:t xml:space="preserve"> </w:t>
      </w:r>
      <w:r w:rsidR="009B673F">
        <w:rPr>
          <w:rtl/>
        </w:rPr>
        <w:t>-</w:t>
      </w:r>
      <w:r w:rsidR="00992664">
        <w:rPr>
          <w:rtl/>
        </w:rPr>
        <w:t xml:space="preserve"> </w:t>
      </w:r>
      <w:r w:rsidR="00992664" w:rsidRPr="00020424">
        <w:rPr>
          <w:rtl/>
        </w:rPr>
        <w:t>مع الحكم بقضاء الصوم ، مع أنّ العكس كان أقرب ، وبالانطباق على الاصول أنسب ؛ إذ الصلاة مشروطة بالطهارة بخلاف الصوم ؛ فإنّه ربما اتّفق مع الحدث ، وهو مخالف لسائر الأخبار.</w:t>
      </w:r>
    </w:p>
    <w:p w:rsidR="00992664" w:rsidRPr="00020424" w:rsidRDefault="00992664" w:rsidP="00645803">
      <w:pPr>
        <w:pStyle w:val="libFootnote0"/>
        <w:rPr>
          <w:rtl/>
          <w:lang w:bidi="fa-IR"/>
        </w:rPr>
      </w:pPr>
      <w:r w:rsidRPr="00645803">
        <w:rPr>
          <w:rtl/>
        </w:rPr>
        <w:t xml:space="preserve">وقد أجاب الشيخ البهائي عن الأوّل في </w:t>
      </w:r>
      <w:r w:rsidRPr="00DE76B9">
        <w:rPr>
          <w:rStyle w:val="libFootnoteBoldChar"/>
          <w:rtl/>
        </w:rPr>
        <w:t>مشرق الشمسين</w:t>
      </w:r>
      <w:r w:rsidRPr="00645803">
        <w:rPr>
          <w:rtl/>
        </w:rPr>
        <w:t xml:space="preserve"> ، ص 276 بقوله : « فهذا الحديث إمّا أن يطرح رأساً ، أو يؤوّل بأنّه </w:t>
      </w:r>
      <w:r w:rsidR="00D64ADA" w:rsidRPr="00D64ADA">
        <w:rPr>
          <w:rStyle w:val="libFootnoteAlaemChar"/>
          <w:rtl/>
        </w:rPr>
        <w:t>صلى‌الله‌عليه‌وآله</w:t>
      </w:r>
      <w:r w:rsidR="00B42914" w:rsidRPr="00B42914">
        <w:rPr>
          <w:rStyle w:val="libAlaemChar"/>
          <w:rtl/>
        </w:rPr>
        <w:t>‌</w:t>
      </w:r>
      <w:r w:rsidRPr="00645803">
        <w:rPr>
          <w:rtl/>
        </w:rPr>
        <w:t xml:space="preserve"> كان يأمر فاطمة </w:t>
      </w:r>
      <w:r w:rsidR="00D64ADA" w:rsidRPr="00D64ADA">
        <w:rPr>
          <w:rStyle w:val="libFootnoteAlaemChar"/>
          <w:rtl/>
        </w:rPr>
        <w:t>عليها‌السلام</w:t>
      </w:r>
      <w:r w:rsidRPr="00645803">
        <w:rPr>
          <w:rtl/>
        </w:rPr>
        <w:t xml:space="preserve"> بتعليم ذلك ، ويحتمل أن يكون آخر الحديث : وكانت تأمر بذلك المؤمنات ، فسقطت التاء من قلم الناسخ ».</w:t>
      </w:r>
    </w:p>
    <w:p w:rsidR="00992664" w:rsidRPr="00020424" w:rsidRDefault="00FF6B6F" w:rsidP="00645803">
      <w:pPr>
        <w:pStyle w:val="libFootnote0"/>
        <w:rPr>
          <w:rtl/>
          <w:lang w:bidi="fa-IR"/>
        </w:rPr>
      </w:pPr>
      <w:r>
        <w:rPr>
          <w:rtl/>
        </w:rPr>
        <w:t>وأجاب العل</w:t>
      </w:r>
      <w:r>
        <w:rPr>
          <w:rFonts w:hint="cs"/>
          <w:rtl/>
        </w:rPr>
        <w:t>ّ</w:t>
      </w:r>
      <w:r>
        <w:rPr>
          <w:rtl/>
        </w:rPr>
        <w:t>ا</w:t>
      </w:r>
      <w:r w:rsidR="00992664" w:rsidRPr="00645803">
        <w:rPr>
          <w:rtl/>
        </w:rPr>
        <w:t xml:space="preserve">مة الفيض في </w:t>
      </w:r>
      <w:r w:rsidR="00992664" w:rsidRPr="0012008A">
        <w:rPr>
          <w:rStyle w:val="libFootnoteBoldChar"/>
          <w:rtl/>
        </w:rPr>
        <w:t>الوافي</w:t>
      </w:r>
      <w:r w:rsidR="00992664" w:rsidRPr="00645803">
        <w:rPr>
          <w:rtl/>
        </w:rPr>
        <w:t xml:space="preserve"> بقوله : « الل</w:t>
      </w:r>
      <w:r w:rsidR="00947E4E">
        <w:rPr>
          <w:rFonts w:hint="cs"/>
          <w:rtl/>
        </w:rPr>
        <w:t>ّ</w:t>
      </w:r>
      <w:r w:rsidR="00947E4E">
        <w:rPr>
          <w:rtl/>
        </w:rPr>
        <w:t>همّ إل</w:t>
      </w:r>
      <w:r w:rsidR="00947E4E">
        <w:rPr>
          <w:rFonts w:hint="cs"/>
          <w:rtl/>
        </w:rPr>
        <w:t>ّ</w:t>
      </w:r>
      <w:r w:rsidR="00947E4E">
        <w:rPr>
          <w:rtl/>
        </w:rPr>
        <w:t>ا</w:t>
      </w:r>
      <w:r w:rsidR="00992664" w:rsidRPr="00645803">
        <w:rPr>
          <w:rFonts w:hint="cs"/>
          <w:rtl/>
        </w:rPr>
        <w:t xml:space="preserve"> </w:t>
      </w:r>
      <w:r w:rsidR="00992664" w:rsidRPr="00645803">
        <w:rPr>
          <w:rtl/>
        </w:rPr>
        <w:t>أن يقال : إنّ المراد بفاطمة فاطمة بنت أبي حبيش ؛ فإنّها كانت مشتهرة بكثرة الاستحاضة والسؤال عن مسائلها في ذلك الزمان ».</w:t>
      </w:r>
    </w:p>
    <w:p w:rsidR="00992664" w:rsidRPr="00020424" w:rsidRDefault="000865A5" w:rsidP="00645803">
      <w:pPr>
        <w:pStyle w:val="libFootnote0"/>
        <w:rPr>
          <w:rtl/>
          <w:lang w:bidi="fa-IR"/>
        </w:rPr>
      </w:pPr>
      <w:r>
        <w:rPr>
          <w:rtl/>
        </w:rPr>
        <w:t>وأجاب العل</w:t>
      </w:r>
      <w:r>
        <w:rPr>
          <w:rFonts w:hint="cs"/>
          <w:rtl/>
        </w:rPr>
        <w:t>ّ</w:t>
      </w:r>
      <w:r>
        <w:rPr>
          <w:rtl/>
        </w:rPr>
        <w:t>ا</w:t>
      </w:r>
      <w:r w:rsidR="00992664" w:rsidRPr="00645803">
        <w:rPr>
          <w:rtl/>
        </w:rPr>
        <w:t xml:space="preserve">مة المجلسي بقوله : « كأنّ المراد أنّه </w:t>
      </w:r>
      <w:r w:rsidR="00D64ADA" w:rsidRPr="00D64ADA">
        <w:rPr>
          <w:rStyle w:val="libFootnoteAlaemChar"/>
          <w:rtl/>
        </w:rPr>
        <w:t>صلى‌الله‌عليه‌وآله</w:t>
      </w:r>
      <w:r w:rsidR="00B42914" w:rsidRPr="00B42914">
        <w:rPr>
          <w:rStyle w:val="libAlaemChar"/>
          <w:rtl/>
        </w:rPr>
        <w:t>‌</w:t>
      </w:r>
      <w:r w:rsidR="00992664" w:rsidRPr="00645803">
        <w:rPr>
          <w:rtl/>
        </w:rPr>
        <w:t xml:space="preserve"> كان يأمرها أن تأمر النساء المؤمنات بذلك ؛ لأنّها </w:t>
      </w:r>
      <w:r w:rsidR="00D64ADA" w:rsidRPr="00D64ADA">
        <w:rPr>
          <w:rStyle w:val="libFootnoteAlaemChar"/>
          <w:rtl/>
        </w:rPr>
        <w:t>عليها‌السلام</w:t>
      </w:r>
      <w:r w:rsidR="00992664" w:rsidRPr="00645803">
        <w:rPr>
          <w:rtl/>
        </w:rPr>
        <w:t xml:space="preserve"> كانت متبرّأة من الحيض ، كما ورد في الأخبار أنّها كانت الحوريّة لا ترى الدم ».</w:t>
      </w:r>
    </w:p>
    <w:p w:rsidR="00992664" w:rsidRPr="00020424" w:rsidRDefault="00992664" w:rsidP="00645803">
      <w:pPr>
        <w:pStyle w:val="libFootnote0"/>
        <w:rPr>
          <w:rtl/>
          <w:lang w:bidi="fa-IR"/>
        </w:rPr>
      </w:pPr>
      <w:r w:rsidRPr="00D82B22">
        <w:rPr>
          <w:rtl/>
        </w:rPr>
        <w:t>وأمّا الوجه الثاني فقد أجابوا عنه بوجوه شتّى ، ومنها ما أجاب به</w:t>
      </w:r>
      <w:r w:rsidR="00C569E4">
        <w:rPr>
          <w:rtl/>
        </w:rPr>
        <w:t xml:space="preserve"> العل</w:t>
      </w:r>
      <w:r w:rsidR="00C569E4">
        <w:rPr>
          <w:rFonts w:hint="cs"/>
          <w:rtl/>
        </w:rPr>
        <w:t>ّ</w:t>
      </w:r>
      <w:r w:rsidR="00C569E4">
        <w:rPr>
          <w:rtl/>
        </w:rPr>
        <w:t>ا</w:t>
      </w:r>
      <w:r w:rsidRPr="00D82B22">
        <w:rPr>
          <w:rtl/>
        </w:rPr>
        <w:t xml:space="preserve">مة الفيض بقوله : « يحمل قضاء الصوم </w:t>
      </w:r>
      <w:r w:rsidR="00C569E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B1D94">
        <w:rPr>
          <w:rtl/>
        </w:rPr>
        <w:t>6541</w:t>
      </w:r>
      <w:r w:rsidRPr="001155DE">
        <w:rPr>
          <w:rStyle w:val="libBold2Char"/>
          <w:rtl/>
        </w:rPr>
        <w:t xml:space="preserve"> / 7.</w:t>
      </w:r>
      <w:r w:rsidRPr="00020424">
        <w:rPr>
          <w:rtl/>
          <w:lang w:bidi="fa-IR"/>
        </w:rPr>
        <w:t xml:space="preserve"> مُحَمَّدُ بْنُ يَحْيى ، عَنْ أَحْمَدَ بْنِ مُحَمَّدٍ ، عَنْ مُحَمَّدِ بْنِ إِسْمَاعِيلَ ، عَنْ مُحَمَّدِ بْنِ الْفُضَيْلِ ، عَنْ أَبِي الصَّبَّاحِ الْكِنَانِيِّ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امْرَأَةٍ أَصْبَحَتْ صَائِمَةً ، فَلَمَّا ارْتَفَعَ النَّهَارُ ، أَوْ كَانَ </w:t>
      </w:r>
      <w:r w:rsidRPr="00A91B96">
        <w:rPr>
          <w:rStyle w:val="libFootnotenumChar"/>
          <w:rtl/>
        </w:rPr>
        <w:t>(1)</w:t>
      </w:r>
      <w:r w:rsidRPr="00020424">
        <w:rPr>
          <w:rtl/>
          <w:lang w:bidi="fa-IR"/>
        </w:rPr>
        <w:t xml:space="preserve"> الْعَشِيُّ </w:t>
      </w:r>
      <w:r w:rsidRPr="00A91B96">
        <w:rPr>
          <w:rStyle w:val="libFootnotenumChar"/>
          <w:rtl/>
        </w:rPr>
        <w:t>(2)</w:t>
      </w:r>
      <w:r>
        <w:rPr>
          <w:rtl/>
          <w:lang w:bidi="fa-IR"/>
        </w:rPr>
        <w:t xml:space="preserve"> ، حَاضَتْ : أَ</w:t>
      </w:r>
      <w:r w:rsidRPr="00020424">
        <w:rPr>
          <w:rtl/>
          <w:lang w:bidi="fa-IR"/>
        </w:rPr>
        <w:t>تُفْطِرُ</w:t>
      </w:r>
      <w:r>
        <w:rPr>
          <w:rtl/>
          <w:lang w:bidi="fa-IR"/>
        </w:rPr>
        <w:t>؟</w:t>
      </w:r>
    </w:p>
    <w:p w:rsidR="00992664" w:rsidRPr="00020424" w:rsidRDefault="00992664" w:rsidP="00992664">
      <w:pPr>
        <w:pStyle w:val="libNormal"/>
        <w:rPr>
          <w:rtl/>
          <w:lang w:bidi="fa-IR"/>
        </w:rPr>
      </w:pPr>
      <w:r w:rsidRPr="00020424">
        <w:rPr>
          <w:rtl/>
          <w:lang w:bidi="fa-IR"/>
        </w:rPr>
        <w:t>قَالَ : « نَعَمْ ، وَإِنْ كَانَ قَبْلَ الْمَغْرِبِ فَلْتُفْطِرْ</w:t>
      </w:r>
      <w:r>
        <w:rPr>
          <w:rtl/>
          <w:lang w:bidi="fa-IR"/>
        </w:rPr>
        <w:t xml:space="preserve"> ».</w:t>
      </w:r>
    </w:p>
    <w:p w:rsidR="00992664" w:rsidRPr="00020424" w:rsidRDefault="00992664" w:rsidP="00992664">
      <w:pPr>
        <w:pStyle w:val="libNormal"/>
        <w:rPr>
          <w:rtl/>
          <w:lang w:bidi="fa-IR"/>
        </w:rPr>
      </w:pPr>
      <w:r w:rsidRPr="00020424">
        <w:rPr>
          <w:rtl/>
          <w:lang w:bidi="fa-IR"/>
        </w:rPr>
        <w:t xml:space="preserve">وَعَنِ امْرَأَةٍ تَرَى الطُّهْرَ مِنْ </w:t>
      </w:r>
      <w:r w:rsidRPr="00A91B96">
        <w:rPr>
          <w:rStyle w:val="libFootnotenumChar"/>
          <w:rtl/>
        </w:rPr>
        <w:t>(3)</w:t>
      </w:r>
      <w:r w:rsidRPr="00020424">
        <w:rPr>
          <w:rtl/>
          <w:lang w:bidi="fa-IR"/>
        </w:rPr>
        <w:t xml:space="preserve"> أَوَّلِ النَّهَارِ فِي شَهْرِ رَمَضَانَ لَمْ تَغْتَسِلْ </w:t>
      </w:r>
      <w:r w:rsidRPr="00A91B96">
        <w:rPr>
          <w:rStyle w:val="libFootnotenumChar"/>
          <w:rtl/>
        </w:rPr>
        <w:t>(4)</w:t>
      </w:r>
      <w:r w:rsidRPr="00020424">
        <w:rPr>
          <w:rtl/>
          <w:lang w:bidi="fa-IR"/>
        </w:rPr>
        <w:t xml:space="preserve"> وَلَمْ تَطْعَمْ :</w:t>
      </w:r>
      <w:r>
        <w:rPr>
          <w:rFonts w:hint="cs"/>
          <w:rtl/>
          <w:lang w:bidi="fa-IR"/>
        </w:rPr>
        <w:t xml:space="preserve"> </w:t>
      </w:r>
      <w:r w:rsidRPr="00020424">
        <w:rPr>
          <w:rtl/>
          <w:lang w:bidi="fa-IR"/>
        </w:rPr>
        <w:t>كَيْفَ تَصْنَعُ بِذلِكَ الْيَوْمِ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58416A" w:rsidP="0058416A">
      <w:pPr>
        <w:pStyle w:val="libFootnote0"/>
        <w:rPr>
          <w:rtl/>
          <w:lang w:bidi="fa-IR"/>
        </w:rPr>
      </w:pPr>
      <w:r>
        <w:rPr>
          <w:rFonts w:hint="cs"/>
          <w:rtl/>
        </w:rPr>
        <w:t xml:space="preserve">= </w:t>
      </w:r>
      <w:r w:rsidR="00992664" w:rsidRPr="00D82B22">
        <w:rPr>
          <w:rtl/>
        </w:rPr>
        <w:t>على قضاء صوم أيّام حيضها خاصّة دون سائر الأيّام ، وكذا نفي قضاء الصلاة</w:t>
      </w:r>
      <w:r w:rsidR="00992664">
        <w:rPr>
          <w:rtl/>
        </w:rPr>
        <w:t xml:space="preserve"> ».</w:t>
      </w:r>
    </w:p>
    <w:p w:rsidR="00992664" w:rsidRPr="00020424" w:rsidRDefault="00992664" w:rsidP="000F7C1C">
      <w:pPr>
        <w:pStyle w:val="libFootnote0"/>
        <w:rPr>
          <w:rtl/>
          <w:lang w:bidi="fa-IR"/>
        </w:rPr>
      </w:pPr>
      <w:r w:rsidRPr="0058416A">
        <w:rPr>
          <w:rtl/>
        </w:rPr>
        <w:t xml:space="preserve">ومنها ما أجاب به بعض مشايخ والد </w:t>
      </w:r>
      <w:r w:rsidR="000F7C1C">
        <w:rPr>
          <w:rtl/>
        </w:rPr>
        <w:t>العل</w:t>
      </w:r>
      <w:r w:rsidR="000F7C1C">
        <w:rPr>
          <w:rFonts w:hint="cs"/>
          <w:rtl/>
        </w:rPr>
        <w:t>ّ</w:t>
      </w:r>
      <w:r w:rsidR="000F7C1C">
        <w:rPr>
          <w:rtl/>
        </w:rPr>
        <w:t>ا</w:t>
      </w:r>
      <w:r w:rsidR="000F7C1C" w:rsidRPr="0058416A">
        <w:rPr>
          <w:rtl/>
        </w:rPr>
        <w:t xml:space="preserve">مة </w:t>
      </w:r>
      <w:r w:rsidRPr="0058416A">
        <w:rPr>
          <w:rtl/>
        </w:rPr>
        <w:t>المجلسي ، وما أجاب به هو نفسه ، نقل</w:t>
      </w:r>
      <w:r w:rsidR="000F7C1C">
        <w:rPr>
          <w:rtl/>
        </w:rPr>
        <w:t>هما العل</w:t>
      </w:r>
      <w:r w:rsidR="000F7C1C">
        <w:rPr>
          <w:rFonts w:hint="cs"/>
          <w:rtl/>
        </w:rPr>
        <w:t>ّ</w:t>
      </w:r>
      <w:r w:rsidR="000F7C1C">
        <w:rPr>
          <w:rtl/>
        </w:rPr>
        <w:t>ا</w:t>
      </w:r>
      <w:r w:rsidRPr="0058416A">
        <w:rPr>
          <w:rtl/>
        </w:rPr>
        <w:t>مة المجلسي بقوله :</w:t>
      </w:r>
      <w:r w:rsidR="000F7C1C">
        <w:rPr>
          <w:rtl/>
        </w:rPr>
        <w:t xml:space="preserve"> « السادس : ما رواه والدي العل</w:t>
      </w:r>
      <w:r w:rsidR="000F7C1C">
        <w:rPr>
          <w:rFonts w:hint="cs"/>
          <w:rtl/>
        </w:rPr>
        <w:t>ّ</w:t>
      </w:r>
      <w:r w:rsidR="000F7C1C">
        <w:rPr>
          <w:rtl/>
        </w:rPr>
        <w:t>ا</w:t>
      </w:r>
      <w:r w:rsidRPr="0058416A">
        <w:rPr>
          <w:rtl/>
        </w:rPr>
        <w:t xml:space="preserve">مة </w:t>
      </w:r>
      <w:r w:rsidR="00D64ADA" w:rsidRPr="00D64ADA">
        <w:rPr>
          <w:rStyle w:val="libFootnoteAlaemChar"/>
          <w:rtl/>
        </w:rPr>
        <w:t>رحمه‌الله</w:t>
      </w:r>
      <w:r w:rsidRPr="0058416A">
        <w:rPr>
          <w:rtl/>
        </w:rPr>
        <w:t xml:space="preserve"> عن بعض مشايخه أنّه قرأ بتشديد الضاد ، أي انقضى حكم صومها ، وليس عليها القضاء بجهلها ، ولم ينقض حكم صلاتها ، بل يجب عليها قضاؤها ؛ لا شتراطها بالطهارة. السابع : ما ذكره </w:t>
      </w:r>
      <w:r w:rsidR="00D64ADA" w:rsidRPr="00D64ADA">
        <w:rPr>
          <w:rStyle w:val="libFootnoteAlaemChar"/>
          <w:rtl/>
        </w:rPr>
        <w:t>رحمه‌الله</w:t>
      </w:r>
      <w:r w:rsidRPr="0058416A">
        <w:rPr>
          <w:rtl/>
        </w:rPr>
        <w:t xml:space="preserve"> ، وهو أن يكون الجواب لحكم الحيض الواقع في الخبر بقرينة قوله : إنّ رسول الله </w:t>
      </w:r>
      <w:r w:rsidR="00D64ADA" w:rsidRPr="000830D9">
        <w:rPr>
          <w:rStyle w:val="libFootnoteAlaemChar"/>
          <w:rtl/>
        </w:rPr>
        <w:t>صلى‌الله‌عليه‌وآله</w:t>
      </w:r>
      <w:r w:rsidR="00B42914" w:rsidRPr="000830D9">
        <w:rPr>
          <w:rStyle w:val="libFootnoteAlaemChar"/>
          <w:rtl/>
        </w:rPr>
        <w:t>‌</w:t>
      </w:r>
      <w:r w:rsidRPr="0058416A">
        <w:rPr>
          <w:rtl/>
        </w:rPr>
        <w:t xml:space="preserve"> كان يأمر ؛ لأنّه قد ورد في غيره : ذلك في حكم الحيض ، وكان الوجه في السكوت عن حكم الاستحاضة ، والجواب عن حكم الحيض النّقيّة ، كما تقع كثيراً في المكاتيب ». وراجع : </w:t>
      </w:r>
      <w:r w:rsidRPr="00DE76B9">
        <w:rPr>
          <w:rStyle w:val="libFootnoteBoldChar"/>
          <w:rtl/>
        </w:rPr>
        <w:t>مجمع الفائدة والبرهان</w:t>
      </w:r>
      <w:r w:rsidRPr="0058416A">
        <w:rPr>
          <w:rtl/>
        </w:rPr>
        <w:t xml:space="preserve"> ، ج 5 ، ص 48 ؛ </w:t>
      </w:r>
      <w:r w:rsidRPr="00E57D58">
        <w:rPr>
          <w:rStyle w:val="libFootnoteBoldChar"/>
          <w:rtl/>
        </w:rPr>
        <w:t>مدارك الأحكام</w:t>
      </w:r>
      <w:r w:rsidRPr="0058416A">
        <w:rPr>
          <w:rtl/>
        </w:rPr>
        <w:t xml:space="preserve"> ، ج 1 ، ص 20 ؛ وج 2 ، ص 39 ؛ وج 6 ، ص 58 ؛ </w:t>
      </w:r>
      <w:r w:rsidRPr="00DE76B9">
        <w:rPr>
          <w:rStyle w:val="libFootnoteBoldChar"/>
          <w:rtl/>
        </w:rPr>
        <w:t>منتقى الجمان</w:t>
      </w:r>
      <w:r w:rsidRPr="0058416A">
        <w:rPr>
          <w:rtl/>
        </w:rPr>
        <w:t xml:space="preserve"> ، ج 2 ، ص 501 </w:t>
      </w:r>
      <w:r w:rsidR="009B673F" w:rsidRPr="0058416A">
        <w:rPr>
          <w:rtl/>
        </w:rPr>
        <w:t>-</w:t>
      </w:r>
      <w:r w:rsidRPr="0058416A">
        <w:rPr>
          <w:rtl/>
        </w:rPr>
        <w:t xml:space="preserve"> 502 ؛ </w:t>
      </w:r>
      <w:r w:rsidRPr="00DE76B9">
        <w:rPr>
          <w:rStyle w:val="libFootnoteBoldChar"/>
          <w:rtl/>
        </w:rPr>
        <w:t>الحبل المتين</w:t>
      </w:r>
      <w:r w:rsidRPr="0058416A">
        <w:rPr>
          <w:rtl/>
        </w:rPr>
        <w:t xml:space="preserve"> ، ص 190 ؛ </w:t>
      </w:r>
      <w:r w:rsidRPr="00DE76B9">
        <w:rPr>
          <w:rStyle w:val="libFootnoteBoldChar"/>
          <w:rtl/>
        </w:rPr>
        <w:t>مرآة العقول</w:t>
      </w:r>
      <w:r w:rsidRPr="0058416A">
        <w:rPr>
          <w:rtl/>
        </w:rPr>
        <w:t xml:space="preserve"> ، ج 13 ، ص 248 ؛ وج 16 ، ص 241 </w:t>
      </w:r>
      <w:r w:rsidR="009B673F" w:rsidRPr="0058416A">
        <w:rPr>
          <w:rtl/>
        </w:rPr>
        <w:t>-</w:t>
      </w:r>
      <w:r w:rsidRPr="0058416A">
        <w:rPr>
          <w:rtl/>
        </w:rPr>
        <w:t xml:space="preserve"> 243 ؛ </w:t>
      </w:r>
      <w:r w:rsidRPr="0012008A">
        <w:rPr>
          <w:rStyle w:val="libFootnoteBoldChar"/>
          <w:rtl/>
        </w:rPr>
        <w:t>البحار</w:t>
      </w:r>
      <w:r w:rsidRPr="0058416A">
        <w:rPr>
          <w:rtl/>
        </w:rPr>
        <w:t xml:space="preserve"> ، ج 78 ، ص 113 </w:t>
      </w:r>
      <w:r w:rsidR="009B673F" w:rsidRPr="0058416A">
        <w:rPr>
          <w:rtl/>
        </w:rPr>
        <w:t>-</w:t>
      </w:r>
      <w:r w:rsidRPr="0058416A">
        <w:rPr>
          <w:rtl/>
        </w:rPr>
        <w:t xml:space="preserve"> 116 ؛ </w:t>
      </w:r>
      <w:r w:rsidRPr="00DE76B9">
        <w:rPr>
          <w:rStyle w:val="libFootnoteBoldChar"/>
          <w:rtl/>
        </w:rPr>
        <w:t>الحدائق الناضرة</w:t>
      </w:r>
      <w:r w:rsidRPr="0058416A">
        <w:rPr>
          <w:rtl/>
        </w:rPr>
        <w:t xml:space="preserve"> ، ج 3 ، ص 296 </w:t>
      </w:r>
      <w:r w:rsidR="009B673F" w:rsidRPr="0058416A">
        <w:rPr>
          <w:rtl/>
        </w:rPr>
        <w:t>-</w:t>
      </w:r>
      <w:r w:rsidRPr="0058416A">
        <w:rPr>
          <w:rtl/>
        </w:rPr>
        <w:t xml:space="preserve"> 300 ؛ وج 13 ، ص 135 </w:t>
      </w:r>
      <w:r w:rsidR="009B673F" w:rsidRPr="0058416A">
        <w:rPr>
          <w:rtl/>
        </w:rPr>
        <w:t>-</w:t>
      </w:r>
      <w:r w:rsidRPr="0058416A">
        <w:rPr>
          <w:rtl/>
        </w:rPr>
        <w:t xml:space="preserve"> 136.</w:t>
      </w:r>
    </w:p>
    <w:p w:rsidR="00992664" w:rsidRPr="00020424" w:rsidRDefault="00992664" w:rsidP="0058416A">
      <w:pPr>
        <w:pStyle w:val="libFootnote0"/>
        <w:rPr>
          <w:rtl/>
          <w:lang w:bidi="fa-IR"/>
        </w:rPr>
      </w:pPr>
      <w:r w:rsidRPr="0058416A">
        <w:rPr>
          <w:rtl/>
        </w:rPr>
        <w:t xml:space="preserve">هذا ، وفي هامش </w:t>
      </w:r>
      <w:r w:rsidRPr="00DE76B9">
        <w:rPr>
          <w:rStyle w:val="libFootnoteBoldChar"/>
          <w:rtl/>
        </w:rPr>
        <w:t>الكافي</w:t>
      </w:r>
      <w:r w:rsidRPr="0058416A">
        <w:rPr>
          <w:rtl/>
        </w:rPr>
        <w:t xml:space="preserve"> المطبوع : « في هامش </w:t>
      </w:r>
      <w:r w:rsidRPr="0012008A">
        <w:rPr>
          <w:rStyle w:val="libFootnoteBoldChar"/>
          <w:rtl/>
        </w:rPr>
        <w:t>التهذيب</w:t>
      </w:r>
      <w:r w:rsidRPr="0058416A">
        <w:rPr>
          <w:rtl/>
        </w:rPr>
        <w:t xml:space="preserve"> عن بعض الشرّاح قال : السائل سأل عن حكم المستحاضة التي صلّت وصامت في شهر رمضان ، ولم تعمل أعمال المستحاضة ، والإمام </w:t>
      </w:r>
      <w:r w:rsidRPr="00D64ADA">
        <w:rPr>
          <w:rStyle w:val="libFootnoteAlaemChar"/>
          <w:rtl/>
        </w:rPr>
        <w:t>عليه‌السلام</w:t>
      </w:r>
      <w:r w:rsidRPr="0058416A">
        <w:rPr>
          <w:rtl/>
        </w:rPr>
        <w:t xml:space="preserve"> ذكر حكم الحائض ، وعدل عن جواب السائل من باب التقيّة ؛ لأنّ الاستحاضة من باب الحدث الأصغر عند العامّة ، فلا توجب غسلاً عندهم. انتهى ».</w:t>
      </w:r>
    </w:p>
    <w:p w:rsidR="00992664" w:rsidRDefault="00795177" w:rsidP="0058416A">
      <w:pPr>
        <w:pStyle w:val="libFootnote0"/>
        <w:rPr>
          <w:rtl/>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310 ، ح 937 ؛ </w:t>
      </w:r>
      <w:r w:rsidR="00992664" w:rsidRPr="00515444">
        <w:rPr>
          <w:rStyle w:val="libFootnoteBoldChar"/>
          <w:rtl/>
        </w:rPr>
        <w:t>وعلل الشرائع</w:t>
      </w:r>
      <w:r w:rsidR="00992664" w:rsidRPr="00020424">
        <w:rPr>
          <w:rtl/>
        </w:rPr>
        <w:t xml:space="preserve"> ، ص 293 ، ح 1 ، بسندهما عن محمّد بن عبدالجبّار. </w:t>
      </w:r>
      <w:r w:rsidR="00992664" w:rsidRPr="0012008A">
        <w:rPr>
          <w:rStyle w:val="libFootnoteBoldChar"/>
          <w:rtl/>
        </w:rPr>
        <w:t>الفقيه</w:t>
      </w:r>
      <w:r w:rsidR="00992664" w:rsidRPr="00020424">
        <w:rPr>
          <w:rtl/>
        </w:rPr>
        <w:t xml:space="preserve"> ، ج 2 ، ص 144 ، ح 1989 ، معلّقاً عن عليّ بن مهزيار </w:t>
      </w:r>
      <w:r w:rsidR="000830D9">
        <w:rPr>
          <w:rFonts w:hint="cs"/>
          <w:rtl/>
        </w:rPr>
        <w:t>.</w:t>
      </w:r>
      <w:r w:rsidR="00992664" w:rsidRPr="0012008A">
        <w:rPr>
          <w:rStyle w:val="libFootnoteBoldChar"/>
          <w:rtl/>
        </w:rPr>
        <w:t>الوافي</w:t>
      </w:r>
      <w:r w:rsidR="00992664" w:rsidRPr="00020424">
        <w:rPr>
          <w:rtl/>
        </w:rPr>
        <w:t xml:space="preserve"> ، ج 11 ، ص 326 ، ح 10972 ؛ </w:t>
      </w:r>
      <w:r w:rsidR="00992664" w:rsidRPr="0012008A">
        <w:rPr>
          <w:rStyle w:val="libFootnoteBoldChar"/>
          <w:rtl/>
        </w:rPr>
        <w:t>الوسائل</w:t>
      </w:r>
      <w:r w:rsidR="00992664" w:rsidRPr="00020424">
        <w:rPr>
          <w:rtl/>
        </w:rPr>
        <w:t xml:space="preserve"> ، ج 2 ، ص 349 ، ذيل ح 2333 ؛ وج 10 ، ص 66 ، ذيل ح 12842.</w:t>
      </w:r>
    </w:p>
    <w:tbl>
      <w:tblPr>
        <w:tblStyle w:val="TableGrid"/>
        <w:bidiVisual/>
        <w:tblW w:w="0" w:type="auto"/>
        <w:tblLook w:val="04A0" w:firstRow="1" w:lastRow="0" w:firstColumn="1" w:lastColumn="0" w:noHBand="0" w:noVBand="1"/>
      </w:tblPr>
      <w:tblGrid>
        <w:gridCol w:w="4006"/>
        <w:gridCol w:w="4006"/>
      </w:tblGrid>
      <w:tr w:rsidR="000830D9" w:rsidTr="000830D9">
        <w:tc>
          <w:tcPr>
            <w:tcW w:w="4006" w:type="dxa"/>
          </w:tcPr>
          <w:p w:rsidR="000830D9" w:rsidRDefault="000830D9" w:rsidP="00992664">
            <w:pPr>
              <w:pStyle w:val="libFootnote0"/>
              <w:rPr>
                <w:rtl/>
              </w:rPr>
            </w:pPr>
            <w:r>
              <w:rPr>
                <w:rtl/>
              </w:rPr>
              <w:t xml:space="preserve">(1). </w:t>
            </w:r>
            <w:r w:rsidRPr="00020424">
              <w:rPr>
                <w:rtl/>
              </w:rPr>
              <w:t>في « بر » : « وكان</w:t>
            </w:r>
            <w:r>
              <w:rPr>
                <w:rtl/>
              </w:rPr>
              <w:t xml:space="preserve"> ».</w:t>
            </w:r>
          </w:p>
        </w:tc>
        <w:tc>
          <w:tcPr>
            <w:tcW w:w="4006" w:type="dxa"/>
          </w:tcPr>
          <w:p w:rsidR="000830D9" w:rsidRDefault="00965E87" w:rsidP="00992664">
            <w:pPr>
              <w:pStyle w:val="libFootnote0"/>
              <w:rPr>
                <w:rtl/>
              </w:rPr>
            </w:pPr>
            <w:r>
              <w:rPr>
                <w:rtl/>
              </w:rPr>
              <w:t xml:space="preserve">(2). </w:t>
            </w:r>
            <w:r w:rsidRPr="00020424">
              <w:rPr>
                <w:rtl/>
              </w:rPr>
              <w:t xml:space="preserve">في « بخ » </w:t>
            </w:r>
            <w:r w:rsidRPr="00FD6221">
              <w:rPr>
                <w:rStyle w:val="libFootnoteBoldChar"/>
                <w:rtl/>
              </w:rPr>
              <w:t>والفقيه</w:t>
            </w:r>
            <w:r w:rsidRPr="00020424">
              <w:rPr>
                <w:rtl/>
              </w:rPr>
              <w:t xml:space="preserve"> : « العشاء</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بخ ، بر ، بف » : « في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 « ثمّ تغتسل » بدل « لم تغتسل</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ولم تغتسل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 إِنَّمَا فِطْرُهَا مِنَ الدَّمِ</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4B1D94">
        <w:rPr>
          <w:rtl/>
        </w:rPr>
        <w:t>6542</w:t>
      </w:r>
      <w:r w:rsidRPr="001155DE">
        <w:rPr>
          <w:rStyle w:val="libBold2Char"/>
          <w:rtl/>
        </w:rPr>
        <w:t xml:space="preserve"> / 8.</w:t>
      </w:r>
      <w:r w:rsidRPr="00020424">
        <w:rPr>
          <w:rtl/>
          <w:lang w:bidi="fa-IR"/>
        </w:rPr>
        <w:t xml:space="preserve"> عِدَّةٌ مِنْ أَصْحَابِنَا ، عَنْ أَحْمَدَ بْنِ مُحَمَّدٍ ، عَنْ عَلِيِّ بْنِ الْحَكَمِ ، عَنْ مُحَمَّدِ بْنِ يَحْيى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امْرَأَةٍ مَرِضَتْ فِي شَهْرِ رَمَضَانَ ، وَمَاتَتْ فِي شَوَّالٍ ، فَأَوْصَتْنِي أَنْ أَقْضِيَ عَنْهَا</w:t>
      </w:r>
      <w:r>
        <w:rPr>
          <w:rtl/>
          <w:lang w:bidi="fa-IR"/>
        </w:rPr>
        <w:t>؟</w:t>
      </w:r>
    </w:p>
    <w:p w:rsidR="00992664" w:rsidRPr="00020424" w:rsidRDefault="00992664" w:rsidP="00992664">
      <w:pPr>
        <w:pStyle w:val="libNormal"/>
        <w:rPr>
          <w:rtl/>
          <w:lang w:bidi="fa-IR"/>
        </w:rPr>
      </w:pPr>
      <w:r w:rsidRPr="00020424">
        <w:rPr>
          <w:rtl/>
          <w:lang w:bidi="fa-IR"/>
        </w:rPr>
        <w:t>قَالَ : « هَلْ بَرَأَتْ مِنْ مَرَضِهَا</w:t>
      </w:r>
      <w:r>
        <w:rPr>
          <w:rtl/>
          <w:lang w:bidi="fa-IR"/>
        </w:rPr>
        <w:t>؟</w:t>
      </w:r>
      <w:r w:rsidRPr="00020424">
        <w:rPr>
          <w:rtl/>
          <w:lang w:bidi="fa-IR"/>
        </w:rPr>
        <w:t xml:space="preserve"> » قُلْتُ : لَا ، مَاتَتْ فِيهِ ، فَقَالَ </w:t>
      </w:r>
      <w:r w:rsidRPr="00A91B96">
        <w:rPr>
          <w:rStyle w:val="libFootnotenumChar"/>
          <w:rtl/>
        </w:rPr>
        <w:t>(2)</w:t>
      </w:r>
      <w:r w:rsidRPr="00020424">
        <w:rPr>
          <w:rtl/>
          <w:lang w:bidi="fa-IR"/>
        </w:rPr>
        <w:t xml:space="preserve"> : « لَا تَقْضِ </w:t>
      </w:r>
      <w:r w:rsidRPr="00A91B96">
        <w:rPr>
          <w:rStyle w:val="libFootnotenumChar"/>
          <w:rtl/>
        </w:rPr>
        <w:t>(3)</w:t>
      </w:r>
      <w:r w:rsidRPr="00020424">
        <w:rPr>
          <w:rtl/>
          <w:lang w:bidi="fa-IR"/>
        </w:rPr>
        <w:t xml:space="preserve"> عَنْهَا ؛ فَإِنَّ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لَمْ يَجْعَلْهُ عَلَيْهَا</w:t>
      </w:r>
      <w:r>
        <w:rPr>
          <w:rtl/>
          <w:lang w:bidi="fa-IR"/>
        </w:rPr>
        <w:t xml:space="preserve"> ».</w:t>
      </w:r>
    </w:p>
    <w:p w:rsidR="00992664" w:rsidRPr="00020424" w:rsidRDefault="00992664" w:rsidP="00992664">
      <w:pPr>
        <w:pStyle w:val="libNormal"/>
        <w:rPr>
          <w:rtl/>
          <w:lang w:bidi="fa-IR"/>
        </w:rPr>
      </w:pPr>
      <w:r w:rsidRPr="00020424">
        <w:rPr>
          <w:rtl/>
          <w:lang w:bidi="fa-IR"/>
        </w:rPr>
        <w:t>قُلْتُ : فَإِنِّي أَشْتَهِي أَنْ أَقْضِيَ عَنْهَا ، وَقَدْ أَوْصَتْنِي بِذلِكَ.</w:t>
      </w:r>
    </w:p>
    <w:p w:rsidR="00992664" w:rsidRPr="00020424" w:rsidRDefault="00992664" w:rsidP="00992664">
      <w:pPr>
        <w:pStyle w:val="libNormal"/>
        <w:rPr>
          <w:rtl/>
          <w:lang w:bidi="fa-IR"/>
        </w:rPr>
      </w:pPr>
      <w:r w:rsidRPr="00020424">
        <w:rPr>
          <w:rtl/>
          <w:lang w:bidi="fa-IR"/>
        </w:rPr>
        <w:t xml:space="preserve">قَالَ : « كَيْفَ </w:t>
      </w:r>
      <w:r w:rsidRPr="00A91B96">
        <w:rPr>
          <w:rStyle w:val="libFootnotenumChar"/>
          <w:rtl/>
        </w:rPr>
        <w:t>(4)</w:t>
      </w:r>
      <w:r w:rsidRPr="00020424">
        <w:rPr>
          <w:rtl/>
          <w:lang w:bidi="fa-IR"/>
        </w:rPr>
        <w:t xml:space="preserve"> تَقْضِي عَنْهَا </w:t>
      </w:r>
      <w:r w:rsidRPr="00A91B96">
        <w:rPr>
          <w:rStyle w:val="libFootnotenumChar"/>
          <w:rtl/>
        </w:rPr>
        <w:t>(5)</w:t>
      </w:r>
      <w:r w:rsidRPr="00020424">
        <w:rPr>
          <w:rtl/>
          <w:lang w:bidi="fa-IR"/>
        </w:rPr>
        <w:t xml:space="preserve"> شَيْئاً لَمْ يَجْعَلْهُ </w:t>
      </w:r>
      <w:r w:rsidRPr="00A91B96">
        <w:rPr>
          <w:rStyle w:val="libFootnotenumChar"/>
          <w:rtl/>
        </w:rPr>
        <w:t>(6)</w:t>
      </w:r>
      <w:r w:rsidRPr="00020424">
        <w:rPr>
          <w:rtl/>
          <w:lang w:bidi="fa-IR"/>
        </w:rPr>
        <w:t xml:space="preserve"> اللهُ عَلَيْهَا</w:t>
      </w:r>
      <w:r>
        <w:rPr>
          <w:rtl/>
          <w:lang w:bidi="fa-IR"/>
        </w:rPr>
        <w:t>؟</w:t>
      </w:r>
      <w:r w:rsidRPr="00020424">
        <w:rPr>
          <w:rtl/>
          <w:lang w:bidi="fa-IR"/>
        </w:rPr>
        <w:t xml:space="preserve"> فَإِنِ اشْتَهَيْتَ أَنْ تَصُومَ لِنَفْسِكَ ، فَصُمْ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4B1D94">
        <w:rPr>
          <w:rtl/>
        </w:rPr>
        <w:t>6543</w:t>
      </w:r>
      <w:r w:rsidRPr="001155DE">
        <w:rPr>
          <w:rStyle w:val="libBold2Char"/>
          <w:rtl/>
        </w:rPr>
        <w:t xml:space="preserve"> / 9.</w:t>
      </w:r>
      <w:r w:rsidRPr="00020424">
        <w:rPr>
          <w:rtl/>
          <w:lang w:bidi="fa-IR"/>
        </w:rPr>
        <w:t xml:space="preserve"> أَحْمَدُ بْنُ مُحَمَّدٍ </w:t>
      </w:r>
      <w:r w:rsidRPr="00A91B96">
        <w:rPr>
          <w:rStyle w:val="libFootnotenumChar"/>
          <w:rtl/>
        </w:rPr>
        <w:t>(9)</w:t>
      </w:r>
      <w:r w:rsidRPr="00020424">
        <w:rPr>
          <w:rtl/>
          <w:lang w:bidi="fa-IR"/>
        </w:rPr>
        <w:t xml:space="preserve"> ، عَنْ عَلِيِّ بْنِ الْحَكَمِ ، عَنْ أَبِي حَمْزَةَ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سَأَلْتُهُ عَنِ امْرَأَةٍ </w:t>
      </w:r>
      <w:r w:rsidRPr="00A91B96">
        <w:rPr>
          <w:rStyle w:val="libFootnotenumChar"/>
          <w:rtl/>
        </w:rPr>
        <w:t>(10)</w:t>
      </w:r>
      <w:r w:rsidRPr="00020424">
        <w:rPr>
          <w:rtl/>
          <w:lang w:bidi="fa-IR"/>
        </w:rPr>
        <w:t xml:space="preserve"> مَرِضَتْ فِي شَهْرِ رَمَضَانَ ، أَوْ طَمِثَتْ ، أَوْ سَافَرَتْ ، فَمَاتَتْ قَبْلَ خُرُوجِ شَهْرِ </w:t>
      </w:r>
      <w:r w:rsidRPr="00A91B96">
        <w:rPr>
          <w:rStyle w:val="libFootnotenumChar"/>
          <w:rtl/>
        </w:rPr>
        <w:t>(11)</w:t>
      </w:r>
      <w:r w:rsidRPr="00020424">
        <w:rPr>
          <w:rtl/>
          <w:lang w:bidi="fa-IR"/>
        </w:rPr>
        <w:t xml:space="preserve"> رَمَضَانَ : هَلْ يُقْضى عَنْهَا</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BB37E5">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144 ، ح 1988 ، معلّقاً عن أبي الصبّاح الكناني </w:t>
      </w:r>
      <w:r w:rsidR="00992664" w:rsidRPr="0012008A">
        <w:rPr>
          <w:rStyle w:val="libFootnoteBoldChar"/>
          <w:rtl/>
        </w:rPr>
        <w:t>الوافي</w:t>
      </w:r>
      <w:r w:rsidR="00CA2CCF">
        <w:rPr>
          <w:rtl/>
        </w:rPr>
        <w:t xml:space="preserve"> ، ج 11 ، ص 321 ، ح 10959</w:t>
      </w:r>
      <w:r w:rsidR="00992664" w:rsidRPr="00020424">
        <w:rPr>
          <w:rtl/>
        </w:rPr>
        <w:t>؛</w:t>
      </w:r>
      <w:r w:rsidR="00992664" w:rsidRPr="0012008A">
        <w:rPr>
          <w:rStyle w:val="libFootnoteBoldChar"/>
          <w:rtl/>
        </w:rPr>
        <w:t>الوسائل</w:t>
      </w:r>
      <w:r w:rsidR="00CA2CCF">
        <w:rPr>
          <w:rtl/>
        </w:rPr>
        <w:t>،ج 10،ص 227،</w:t>
      </w:r>
      <w:r w:rsidR="00992664" w:rsidRPr="00020424">
        <w:rPr>
          <w:rtl/>
        </w:rPr>
        <w:t>ذيل ح 13284.</w:t>
      </w:r>
      <w:r w:rsidR="00BB37E5">
        <w:rPr>
          <w:rFonts w:hint="cs"/>
          <w:rtl/>
        </w:rPr>
        <w:t xml:space="preserve">     </w:t>
      </w:r>
      <w:r>
        <w:rPr>
          <w:rtl/>
        </w:rPr>
        <w:t>(2).</w:t>
      </w:r>
      <w:r w:rsidR="0014403D">
        <w:rPr>
          <w:rtl/>
        </w:rPr>
        <w:t xml:space="preserve"> </w:t>
      </w:r>
      <w:r w:rsidR="00992664" w:rsidRPr="00020424">
        <w:rPr>
          <w:rtl/>
        </w:rPr>
        <w:t xml:space="preserve">في « ظ » </w:t>
      </w:r>
      <w:r w:rsidR="00992664" w:rsidRPr="00515444">
        <w:rPr>
          <w:rStyle w:val="libFootnoteBoldChar"/>
          <w:rtl/>
        </w:rPr>
        <w:t>والوافي</w:t>
      </w:r>
      <w:r w:rsidR="00992664" w:rsidRPr="00020424">
        <w:rPr>
          <w:rtl/>
        </w:rPr>
        <w:t xml:space="preserve">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A2CCF" w:rsidTr="00CA2CCF">
        <w:tc>
          <w:tcPr>
            <w:tcW w:w="4006" w:type="dxa"/>
          </w:tcPr>
          <w:p w:rsidR="00CA2CCF" w:rsidRDefault="00CA2CCF"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لا يقضي ( لا يقض</w:t>
            </w:r>
            <w:r>
              <w:rPr>
                <w:rtl/>
              </w:rPr>
              <w:t xml:space="preserve"> - </w:t>
            </w:r>
            <w:r w:rsidRPr="00020424">
              <w:rPr>
                <w:rtl/>
              </w:rPr>
              <w:t>خ ل )</w:t>
            </w:r>
            <w:r>
              <w:rPr>
                <w:rtl/>
              </w:rPr>
              <w:t xml:space="preserve"> ».</w:t>
            </w:r>
          </w:p>
        </w:tc>
        <w:tc>
          <w:tcPr>
            <w:tcW w:w="4006" w:type="dxa"/>
          </w:tcPr>
          <w:p w:rsidR="00CA2CCF" w:rsidRDefault="00CA2CCF"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 « فكيف</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بخ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عنها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 « لم يجعل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 « صم</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الحديث الثامن</w:t>
      </w:r>
      <w:r w:rsidR="00992664">
        <w:rPr>
          <w:rtl/>
        </w:rPr>
        <w:t xml:space="preserve"> ..</w:t>
      </w:r>
      <w:r w:rsidR="00992664" w:rsidRPr="00020424">
        <w:rPr>
          <w:rtl/>
        </w:rPr>
        <w:t>. لا مناسبة له بهذا الباب وقد مرّ الكلام فيه في بابه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248 ، ح 737 ؛ </w:t>
      </w:r>
      <w:r w:rsidR="00992664" w:rsidRPr="00FD6221">
        <w:rPr>
          <w:rStyle w:val="libFootnoteBoldChar"/>
          <w:rtl/>
        </w:rPr>
        <w:t>والاستبصار</w:t>
      </w:r>
      <w:r w:rsidR="00992664" w:rsidRPr="00020424">
        <w:rPr>
          <w:rtl/>
        </w:rPr>
        <w:t xml:space="preserve"> ، ج 2 ، ص 109 ، ح 358 ، بسندهما عن أحمد بن محمّد. </w:t>
      </w:r>
      <w:r w:rsidR="00992664" w:rsidRPr="00DE76B9">
        <w:rPr>
          <w:rStyle w:val="libFootnoteBoldChar"/>
          <w:rtl/>
        </w:rPr>
        <w:t>علل الشرائع</w:t>
      </w:r>
      <w:r w:rsidR="00992664" w:rsidRPr="00020424">
        <w:rPr>
          <w:rtl/>
        </w:rPr>
        <w:t xml:space="preserve"> ، ص 382 ، ح 3 ، بسنده عن أحمد بن محمّد بن عيسى ، عن عليّ بن الحكم ، مع اختلاف يسير </w:t>
      </w:r>
      <w:r w:rsidR="00BF29FA">
        <w:rPr>
          <w:rFonts w:hint="cs"/>
          <w:rtl/>
        </w:rPr>
        <w:t>.</w:t>
      </w:r>
      <w:r w:rsidR="00992664" w:rsidRPr="0012008A">
        <w:rPr>
          <w:rStyle w:val="libFootnoteBoldChar"/>
          <w:rtl/>
        </w:rPr>
        <w:t>الوافي</w:t>
      </w:r>
      <w:r w:rsidR="00992664" w:rsidRPr="00020424">
        <w:rPr>
          <w:rtl/>
        </w:rPr>
        <w:t xml:space="preserve"> ، ج 11 ، ص 350 ، ح 11013 ؛ </w:t>
      </w:r>
      <w:r w:rsidR="00992664" w:rsidRPr="0012008A">
        <w:rPr>
          <w:rStyle w:val="libFootnoteBoldChar"/>
          <w:rtl/>
        </w:rPr>
        <w:t>الوسائل</w:t>
      </w:r>
      <w:r w:rsidR="00992664" w:rsidRPr="00020424">
        <w:rPr>
          <w:rtl/>
        </w:rPr>
        <w:t xml:space="preserve"> ، ج 10 ، ص 332 ، ذيل ح 13537.</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السند معلّق على سابقه. ويروي عن أحمد بن محمّد ، عدّة من أصحابنا.</w:t>
      </w:r>
    </w:p>
    <w:tbl>
      <w:tblPr>
        <w:tblStyle w:val="TableGrid"/>
        <w:bidiVisual/>
        <w:tblW w:w="0" w:type="auto"/>
        <w:tblLook w:val="04A0" w:firstRow="1" w:lastRow="0" w:firstColumn="1" w:lastColumn="0" w:noHBand="0" w:noVBand="1"/>
      </w:tblPr>
      <w:tblGrid>
        <w:gridCol w:w="4006"/>
        <w:gridCol w:w="4006"/>
      </w:tblGrid>
      <w:tr w:rsidR="00390B59" w:rsidTr="00390B59">
        <w:tc>
          <w:tcPr>
            <w:tcW w:w="4006" w:type="dxa"/>
          </w:tcPr>
          <w:p w:rsidR="00390B59" w:rsidRDefault="00390B59" w:rsidP="00992664">
            <w:pPr>
              <w:pStyle w:val="libFootnote0"/>
              <w:rPr>
                <w:rtl/>
              </w:rPr>
            </w:pPr>
            <w:r>
              <w:rPr>
                <w:rtl/>
              </w:rPr>
              <w:t xml:space="preserve">(10). </w:t>
            </w:r>
            <w:r w:rsidRPr="00020424">
              <w:rPr>
                <w:rtl/>
              </w:rPr>
              <w:t>في « ى » : + « قد</w:t>
            </w:r>
            <w:r>
              <w:rPr>
                <w:rtl/>
              </w:rPr>
              <w:t xml:space="preserve"> ».</w:t>
            </w:r>
          </w:p>
        </w:tc>
        <w:tc>
          <w:tcPr>
            <w:tcW w:w="4006" w:type="dxa"/>
          </w:tcPr>
          <w:p w:rsidR="00390B59" w:rsidRDefault="00390B59" w:rsidP="00992664">
            <w:pPr>
              <w:pStyle w:val="libFootnote0"/>
              <w:rPr>
                <w:rtl/>
              </w:rPr>
            </w:pPr>
            <w:r>
              <w:rPr>
                <w:rtl/>
              </w:rPr>
              <w:t xml:space="preserve">(11). </w:t>
            </w:r>
            <w:r w:rsidRPr="00020424">
              <w:rPr>
                <w:rtl/>
              </w:rPr>
              <w:t xml:space="preserve">في </w:t>
            </w:r>
            <w:r w:rsidRPr="0012008A">
              <w:rPr>
                <w:rStyle w:val="libFootnoteBoldChar"/>
                <w:rtl/>
              </w:rPr>
              <w:t>التهذيب</w:t>
            </w:r>
            <w:r w:rsidR="00C530BB">
              <w:rPr>
                <w:rtl/>
              </w:rPr>
              <w:t xml:space="preserve"> :«أن يخرج</w:t>
            </w:r>
            <w:r w:rsidRPr="00020424">
              <w:rPr>
                <w:rtl/>
              </w:rPr>
              <w:t>» بدل « خروج شهر</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 أَمَّا الطَّمْثُ وَالْمَرَضُ ، فَلَا ؛ وَأَمَّا السَّفَرُ ، فَنَعَمْ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B1D94">
        <w:rPr>
          <w:rtl/>
        </w:rPr>
        <w:t>6544</w:t>
      </w:r>
      <w:r w:rsidRPr="001155DE">
        <w:rPr>
          <w:rStyle w:val="libBold2Char"/>
          <w:rtl/>
        </w:rPr>
        <w:t xml:space="preserve"> / 10.</w:t>
      </w:r>
      <w:r w:rsidRPr="00020424">
        <w:rPr>
          <w:rtl/>
          <w:lang w:bidi="fa-IR"/>
        </w:rPr>
        <w:t xml:space="preserve"> عِدَّةٌ مِنْ أَصْحَابِنَا ، عَنْ أَحْمَدَ بْنِ مُحَمَّدٍ ، عَنِ الْحَسَنِ بْنِ عَلِيٍّ ، عَنْ رِفَاعَةَ بْنِ مُوسى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الْمَرْأَةِ تَنْذِرُ عَلَيْهَا صَوْمَ شَهْرَيْنِ مُتَتَابِعَيْنِ</w:t>
      </w:r>
      <w:r>
        <w:rPr>
          <w:rtl/>
          <w:lang w:bidi="fa-IR"/>
        </w:rPr>
        <w:t>؟</w:t>
      </w:r>
    </w:p>
    <w:p w:rsidR="00992664" w:rsidRPr="00020424" w:rsidRDefault="00992664" w:rsidP="00992664">
      <w:pPr>
        <w:pStyle w:val="libNormal"/>
        <w:rPr>
          <w:rtl/>
          <w:lang w:bidi="fa-IR"/>
        </w:rPr>
      </w:pPr>
      <w:r w:rsidRPr="00020424">
        <w:rPr>
          <w:rtl/>
          <w:lang w:bidi="fa-IR"/>
        </w:rPr>
        <w:t xml:space="preserve">قَالَ : « تَصُومُ وَتَسْتَأْنِفُ أَيَّامَهَا الَّتِي قَعَدَتْ حَتّى تُتِمَّ الشَّهْرَيْنِ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Pr>
          <w:rtl/>
          <w:lang w:bidi="fa-IR"/>
        </w:rPr>
        <w:t>قُلْتُ : أَ</w:t>
      </w:r>
      <w:r w:rsidRPr="00020424">
        <w:rPr>
          <w:rtl/>
          <w:lang w:bidi="fa-IR"/>
        </w:rPr>
        <w:t xml:space="preserve">رَأَيْتَ إِنْ هِيَ </w:t>
      </w:r>
      <w:r w:rsidRPr="00A91B96">
        <w:rPr>
          <w:rStyle w:val="libFootnotenumChar"/>
          <w:rtl/>
        </w:rPr>
        <w:t>(4)</w:t>
      </w:r>
      <w:r w:rsidRPr="00020424">
        <w:rPr>
          <w:rtl/>
          <w:lang w:bidi="fa-IR"/>
        </w:rPr>
        <w:t xml:space="preserve"> يَئِسَتْ مِنَ الْمَحِيضِ </w:t>
      </w:r>
      <w:r w:rsidRPr="00A91B96">
        <w:rPr>
          <w:rStyle w:val="libFootnotenumChar"/>
          <w:rtl/>
        </w:rPr>
        <w:t>(5)</w:t>
      </w:r>
      <w:r>
        <w:rPr>
          <w:rtl/>
          <w:lang w:bidi="fa-IR"/>
        </w:rPr>
        <w:t xml:space="preserve"> ، أَ</w:t>
      </w:r>
      <w:r w:rsidRPr="00020424">
        <w:rPr>
          <w:rtl/>
          <w:lang w:bidi="fa-IR"/>
        </w:rPr>
        <w:t xml:space="preserve">تَقْضِيهِ </w:t>
      </w:r>
      <w:r w:rsidRPr="00A91B96">
        <w:rPr>
          <w:rStyle w:val="libFootnotenumChar"/>
          <w:rtl/>
        </w:rPr>
        <w:t>(6)</w:t>
      </w:r>
      <w:r>
        <w:rPr>
          <w:rtl/>
          <w:lang w:bidi="fa-IR"/>
        </w:rPr>
        <w:t>؟</w:t>
      </w:r>
    </w:p>
    <w:p w:rsidR="00992664" w:rsidRPr="00020424" w:rsidRDefault="00992664" w:rsidP="00992664">
      <w:pPr>
        <w:pStyle w:val="libNormal"/>
        <w:rPr>
          <w:rtl/>
          <w:lang w:bidi="fa-IR"/>
        </w:rPr>
      </w:pPr>
      <w:r w:rsidRPr="00020424">
        <w:rPr>
          <w:rtl/>
          <w:lang w:bidi="fa-IR"/>
        </w:rPr>
        <w:t>قَالَ : « لَا تَقْضِي ، يُجْزِئُهَا الْأَوَّلُ</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B1D94">
        <w:rPr>
          <w:rtl/>
        </w:rPr>
        <w:t>6545</w:t>
      </w:r>
      <w:r w:rsidRPr="001155DE">
        <w:rPr>
          <w:rStyle w:val="libBold2Char"/>
          <w:rtl/>
        </w:rPr>
        <w:t xml:space="preserve"> / 11.</w:t>
      </w:r>
      <w:r w:rsidRPr="00020424">
        <w:rPr>
          <w:rtl/>
          <w:lang w:bidi="fa-IR"/>
        </w:rPr>
        <w:t xml:space="preserve"> أَحْمَدُ بْنُ مُحَمَّدٍ </w:t>
      </w:r>
      <w:r w:rsidRPr="00A91B96">
        <w:rPr>
          <w:rStyle w:val="libFootnotenumChar"/>
          <w:rtl/>
        </w:rPr>
        <w:t>(8)</w:t>
      </w:r>
      <w:r w:rsidRPr="00020424">
        <w:rPr>
          <w:rtl/>
          <w:lang w:bidi="fa-IR"/>
        </w:rPr>
        <w:t xml:space="preserve"> ، عَنِ الْحُسَيْنِ بْنِ سَعِيدٍ ، عَنْ فَضَالَةَ بْنِ أَيُّوبَ ، عَنِ الْحُسَيْنِ بْنِ عُثْمَانَ ، عَنِ ابْنِ مُسْكَانَ ، عَنْ مُحَمَّدِ بْنِ جَعْفَرٍ ، قَالَ :</w:t>
      </w:r>
    </w:p>
    <w:p w:rsidR="00992664" w:rsidRPr="00020424" w:rsidRDefault="00992664" w:rsidP="00992664">
      <w:pPr>
        <w:pStyle w:val="libNormal"/>
        <w:rPr>
          <w:rtl/>
          <w:lang w:bidi="fa-IR"/>
        </w:rPr>
      </w:pPr>
      <w:r w:rsidRPr="00020424">
        <w:rPr>
          <w:rtl/>
          <w:lang w:bidi="fa-IR"/>
        </w:rPr>
        <w:t xml:space="preserve">قُلْتُ لِأَبِي الْحَسَنِ </w:t>
      </w:r>
      <w:r w:rsidRPr="00A91B96">
        <w:rPr>
          <w:rStyle w:val="libFootnotenumChar"/>
          <w:rtl/>
        </w:rPr>
        <w:t>(9)</w:t>
      </w:r>
      <w:r w:rsidRPr="00020424">
        <w:rPr>
          <w:rtl/>
          <w:lang w:bidi="fa-IR"/>
        </w:rPr>
        <w:t xml:space="preserve"> </w:t>
      </w:r>
      <w:r w:rsidRPr="00005A81">
        <w:rPr>
          <w:rStyle w:val="libAlaemChar"/>
          <w:rtl/>
        </w:rPr>
        <w:t>عليه‌السلام</w:t>
      </w:r>
      <w:r w:rsidRPr="00020424">
        <w:rPr>
          <w:rtl/>
          <w:lang w:bidi="fa-IR"/>
        </w:rPr>
        <w:t xml:space="preserve"> : إِنَّ امْرَأَتِي جَعَلَتْ عَلى نَفْسِهَا صَوْمَ شَهْرَيْنِ </w:t>
      </w:r>
      <w:r w:rsidRPr="00A91B96">
        <w:rPr>
          <w:rStyle w:val="libFootnotenumChar"/>
          <w:rtl/>
        </w:rPr>
        <w:t>(10)</w:t>
      </w:r>
      <w:r w:rsidRPr="00020424">
        <w:rPr>
          <w:rtl/>
          <w:lang w:bidi="fa-IR"/>
        </w:rPr>
        <w:t xml:space="preserve"> ، فَوَضَعَتْ‌</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وأمّا السفر فنعم ، ما دلّ عليه هذه الرواية من الفرق بين السفر وغيره مذهب جماعة من الأصحاب ، واختاره بعض المحقّقين من المتأخّرين. وذهب جماعة إلى عدم الفرق بين السفر وغيره من الأعذار في اشتراط التمكّن من القضاء. وأجابوا عن هذه الروايات تارة بحملها على الاستحباب ، وا</w:t>
      </w:r>
      <w:r w:rsidR="00740E2E">
        <w:rPr>
          <w:rFonts w:hint="cs"/>
          <w:rtl/>
        </w:rPr>
        <w:t>ُ</w:t>
      </w:r>
      <w:r w:rsidR="00992664" w:rsidRPr="00020424">
        <w:rPr>
          <w:rtl/>
        </w:rPr>
        <w:t>خرى على السفر معصية ، ولا يخفى بعدهما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146 ، ح 1993 ، معلّقاً عن عليّ بن الحكم. </w:t>
      </w:r>
      <w:r w:rsidR="00992664" w:rsidRPr="0012008A">
        <w:rPr>
          <w:rStyle w:val="libFootnoteBoldChar"/>
          <w:rtl/>
        </w:rPr>
        <w:t>التهذيب</w:t>
      </w:r>
      <w:r w:rsidR="00A54C4E">
        <w:rPr>
          <w:rtl/>
        </w:rPr>
        <w:t xml:space="preserve"> ، ج 4 ، ص 249 ، ح 741</w:t>
      </w:r>
      <w:r w:rsidR="00992664" w:rsidRPr="00020424">
        <w:rPr>
          <w:rtl/>
        </w:rPr>
        <w:t xml:space="preserve">، بسند آخر عن أبي عبدالله </w:t>
      </w:r>
      <w:r w:rsidR="00992664" w:rsidRPr="00D64ADA">
        <w:rPr>
          <w:rStyle w:val="libFootnoteAlaemChar"/>
          <w:rtl/>
        </w:rPr>
        <w:t>عليه‌السلام</w:t>
      </w:r>
      <w:r w:rsidR="00992664" w:rsidRPr="00020424">
        <w:rPr>
          <w:rtl/>
        </w:rPr>
        <w:t xml:space="preserve"> </w:t>
      </w:r>
      <w:r w:rsidR="00740E2E">
        <w:rPr>
          <w:rFonts w:hint="cs"/>
          <w:rtl/>
        </w:rPr>
        <w:t>.</w:t>
      </w:r>
      <w:r w:rsidR="00992664" w:rsidRPr="0012008A">
        <w:rPr>
          <w:rStyle w:val="libFootnoteBoldChar"/>
          <w:rtl/>
        </w:rPr>
        <w:t>الوافي</w:t>
      </w:r>
      <w:r w:rsidR="00992664" w:rsidRPr="00020424">
        <w:rPr>
          <w:rtl/>
        </w:rPr>
        <w:t xml:space="preserve"> ، ج 11 ، ص 351 ، ح 11016 ؛ </w:t>
      </w:r>
      <w:r w:rsidR="00992664" w:rsidRPr="0012008A">
        <w:rPr>
          <w:rStyle w:val="libFootnoteBoldChar"/>
          <w:rtl/>
        </w:rPr>
        <w:t>الوسائل</w:t>
      </w:r>
      <w:r w:rsidR="00992664" w:rsidRPr="00020424">
        <w:rPr>
          <w:rtl/>
        </w:rPr>
        <w:t xml:space="preserve"> ، ج 10 ، ص 330 ، ح 13529.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شهرين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هي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بث ، بح » وحاشية « جن » : « الحيض</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أتقضيه</w:t>
      </w:r>
      <w:r w:rsidR="00992664">
        <w:rPr>
          <w:rtl/>
        </w:rPr>
        <w:t xml:space="preserve"> ».</w:t>
      </w:r>
      <w:r w:rsidR="00992664" w:rsidRPr="00020424">
        <w:rPr>
          <w:rtl/>
        </w:rPr>
        <w:t xml:space="preserve"> وفي « بخ » : « أتقضي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8 ، ص 315 ، ذيل ح 1172 ، بسنده عن رفاعة ؛ </w:t>
      </w:r>
      <w:r w:rsidR="00992664" w:rsidRPr="00E82BAA">
        <w:rPr>
          <w:rStyle w:val="libFootnoteBoldChar"/>
          <w:rtl/>
        </w:rPr>
        <w:t>النوادر للأشعري</w:t>
      </w:r>
      <w:r w:rsidR="00A54C4E">
        <w:rPr>
          <w:rtl/>
        </w:rPr>
        <w:t xml:space="preserve"> ، ص 48 ، ذيل ح 83</w:t>
      </w:r>
      <w:r w:rsidR="00992664" w:rsidRPr="00020424">
        <w:rPr>
          <w:rtl/>
        </w:rPr>
        <w:t xml:space="preserve">، عن رفاعة بن موسى وفيهما مع زيادة في أوّله </w:t>
      </w:r>
      <w:r w:rsidR="00740E2E">
        <w:rPr>
          <w:rFonts w:hint="cs"/>
          <w:rtl/>
        </w:rPr>
        <w:t>.</w:t>
      </w:r>
      <w:r w:rsidR="00992664" w:rsidRPr="0012008A">
        <w:rPr>
          <w:rStyle w:val="libFootnoteBoldChar"/>
          <w:rtl/>
        </w:rPr>
        <w:t>الوافي</w:t>
      </w:r>
      <w:r w:rsidR="00992664" w:rsidRPr="00020424">
        <w:rPr>
          <w:rtl/>
        </w:rPr>
        <w:t xml:space="preserve"> ، ج 11 ، ص 516 ، ح 11228 ؛ </w:t>
      </w:r>
      <w:r w:rsidR="00992664" w:rsidRPr="0012008A">
        <w:rPr>
          <w:rStyle w:val="libFootnoteBoldChar"/>
          <w:rtl/>
        </w:rPr>
        <w:t>الوسائل</w:t>
      </w:r>
      <w:r w:rsidR="00A54C4E">
        <w:rPr>
          <w:rtl/>
        </w:rPr>
        <w:t xml:space="preserve"> ، ج 10</w:t>
      </w:r>
      <w:r w:rsidR="00992664" w:rsidRPr="00020424">
        <w:rPr>
          <w:rtl/>
        </w:rPr>
        <w:t>، ص 371 ، ح 13620.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السند معلّق على سابقه. والمحذوف هو المحذوف من سند الحديث التاسع.</w:t>
      </w:r>
    </w:p>
    <w:tbl>
      <w:tblPr>
        <w:tblStyle w:val="TableGrid"/>
        <w:bidiVisual/>
        <w:tblW w:w="0" w:type="auto"/>
        <w:tblLook w:val="04A0" w:firstRow="1" w:lastRow="0" w:firstColumn="1" w:lastColumn="0" w:noHBand="0" w:noVBand="1"/>
      </w:tblPr>
      <w:tblGrid>
        <w:gridCol w:w="4006"/>
        <w:gridCol w:w="4006"/>
      </w:tblGrid>
      <w:tr w:rsidR="00740E2E" w:rsidTr="00740E2E">
        <w:tc>
          <w:tcPr>
            <w:tcW w:w="4006" w:type="dxa"/>
          </w:tcPr>
          <w:p w:rsidR="00740E2E" w:rsidRDefault="00740E2E" w:rsidP="00992664">
            <w:pPr>
              <w:pStyle w:val="libFootnote0"/>
              <w:rPr>
                <w:rtl/>
              </w:rPr>
            </w:pPr>
            <w:r>
              <w:rPr>
                <w:rtl/>
              </w:rPr>
              <w:t xml:space="preserve">(9). </w:t>
            </w:r>
            <w:r w:rsidRPr="00020424">
              <w:rPr>
                <w:rtl/>
              </w:rPr>
              <w:t xml:space="preserve">في </w:t>
            </w:r>
            <w:r w:rsidRPr="0012008A">
              <w:rPr>
                <w:rStyle w:val="libFootnoteBoldChar"/>
                <w:rtl/>
              </w:rPr>
              <w:t>الوافي</w:t>
            </w:r>
            <w:r w:rsidRPr="00020424">
              <w:rPr>
                <w:rtl/>
              </w:rPr>
              <w:t xml:space="preserve"> : + « الرضا</w:t>
            </w:r>
            <w:r>
              <w:rPr>
                <w:rtl/>
              </w:rPr>
              <w:t xml:space="preserve"> ».</w:t>
            </w:r>
          </w:p>
        </w:tc>
        <w:tc>
          <w:tcPr>
            <w:tcW w:w="4006" w:type="dxa"/>
          </w:tcPr>
          <w:p w:rsidR="00740E2E" w:rsidRDefault="00740E2E" w:rsidP="00992664">
            <w:pPr>
              <w:pStyle w:val="libFootnote0"/>
              <w:rPr>
                <w:rtl/>
              </w:rPr>
            </w:pPr>
            <w:r>
              <w:rPr>
                <w:rtl/>
              </w:rPr>
              <w:t xml:space="preserve">(10). </w:t>
            </w:r>
            <w:r w:rsidRPr="00020424">
              <w:rPr>
                <w:rtl/>
              </w:rPr>
              <w:t xml:space="preserve">في </w:t>
            </w:r>
            <w:r w:rsidRPr="0012008A">
              <w:rPr>
                <w:rStyle w:val="libFootnoteBoldChar"/>
                <w:rtl/>
              </w:rPr>
              <w:t>الوافي</w:t>
            </w:r>
            <w:r w:rsidRPr="00020424">
              <w:rPr>
                <w:rtl/>
              </w:rPr>
              <w:t xml:space="preserve"> : + « متتابعين</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وَلَدَهَا وَأَدْرَكَهَا الْحَبَلُ ، فَلَمْ تَقْوَ </w:t>
      </w:r>
      <w:r w:rsidRPr="00A91B96">
        <w:rPr>
          <w:rStyle w:val="libFootnotenumChar"/>
          <w:rtl/>
        </w:rPr>
        <w:t>(1)</w:t>
      </w:r>
      <w:r w:rsidRPr="00020424">
        <w:rPr>
          <w:rtl/>
          <w:lang w:bidi="fa-IR"/>
        </w:rPr>
        <w:t xml:space="preserve"> عَلَى الصَّوْمِ</w:t>
      </w:r>
      <w:r>
        <w:rPr>
          <w:rtl/>
          <w:lang w:bidi="fa-IR"/>
        </w:rPr>
        <w:t>؟</w:t>
      </w:r>
    </w:p>
    <w:p w:rsidR="00992664" w:rsidRPr="00020424" w:rsidRDefault="00992664" w:rsidP="00992664">
      <w:pPr>
        <w:pStyle w:val="libNormal"/>
        <w:rPr>
          <w:rtl/>
          <w:lang w:bidi="fa-IR"/>
        </w:rPr>
      </w:pPr>
      <w:r w:rsidRPr="00020424">
        <w:rPr>
          <w:rtl/>
          <w:lang w:bidi="fa-IR"/>
        </w:rPr>
        <w:t xml:space="preserve">قَالَ : « فَلْتَصَدَّقْ </w:t>
      </w:r>
      <w:r w:rsidRPr="00A91B96">
        <w:rPr>
          <w:rStyle w:val="libFootnotenumChar"/>
          <w:rtl/>
        </w:rPr>
        <w:t>(2)</w:t>
      </w:r>
      <w:r w:rsidRPr="00020424">
        <w:rPr>
          <w:rtl/>
          <w:lang w:bidi="fa-IR"/>
        </w:rPr>
        <w:t xml:space="preserve"> مَكَانَ كُلِّ يَوْمٍ بِمُدٍّ عَلى مِسْكِينٍ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740E2E" w:rsidRDefault="00992664" w:rsidP="00740E2E">
      <w:pPr>
        <w:pStyle w:val="Heading2Center"/>
        <w:rPr>
          <w:rtl/>
          <w:lang w:bidi="fa-IR"/>
        </w:rPr>
      </w:pPr>
      <w:bookmarkStart w:id="471" w:name="_Toc345172873"/>
      <w:bookmarkStart w:id="472" w:name="_Toc44599994"/>
      <w:bookmarkStart w:id="473" w:name="_Toc464562689"/>
      <w:r w:rsidRPr="00020424">
        <w:rPr>
          <w:rtl/>
          <w:lang w:bidi="fa-IR"/>
        </w:rPr>
        <w:t>56</w:t>
      </w:r>
      <w:r>
        <w:rPr>
          <w:rtl/>
          <w:lang w:bidi="fa-IR"/>
        </w:rPr>
        <w:t xml:space="preserve"> </w:t>
      </w:r>
      <w:r w:rsidR="009B673F">
        <w:rPr>
          <w:rtl/>
          <w:lang w:bidi="fa-IR"/>
        </w:rPr>
        <w:t>-</w:t>
      </w:r>
      <w:r>
        <w:rPr>
          <w:rtl/>
          <w:lang w:bidi="fa-IR"/>
        </w:rPr>
        <w:t xml:space="preserve"> </w:t>
      </w:r>
      <w:r w:rsidRPr="00020424">
        <w:rPr>
          <w:rtl/>
          <w:lang w:bidi="fa-IR"/>
        </w:rPr>
        <w:t>بَابُ مَنْ وَجَبَ عَلَيْهِ صَوْمُ شَهْرَيْنِ مُتَتَابِعَيْنِ</w:t>
      </w:r>
      <w:bookmarkStart w:id="474" w:name="_Toc345172874"/>
      <w:bookmarkEnd w:id="471"/>
      <w:bookmarkEnd w:id="472"/>
    </w:p>
    <w:p w:rsidR="00992664" w:rsidRPr="00020424" w:rsidRDefault="00992664" w:rsidP="00740E2E">
      <w:pPr>
        <w:pStyle w:val="Heading2Center"/>
        <w:rPr>
          <w:rtl/>
          <w:lang w:bidi="fa-IR"/>
        </w:rPr>
      </w:pPr>
      <w:bookmarkStart w:id="475" w:name="_Toc44599995"/>
      <w:r w:rsidRPr="00020424">
        <w:rPr>
          <w:rtl/>
          <w:lang w:bidi="fa-IR"/>
        </w:rPr>
        <w:t>فَعَرَضَ لَهُ أَمْرٌ يَمْنَعُهُ عَنْ إِتْمَامِهِ‌</w:t>
      </w:r>
      <w:bookmarkEnd w:id="473"/>
      <w:bookmarkEnd w:id="474"/>
      <w:bookmarkEnd w:id="475"/>
    </w:p>
    <w:p w:rsidR="00740E2E" w:rsidRDefault="00992664" w:rsidP="00740E2E">
      <w:pPr>
        <w:pStyle w:val="libNormal"/>
        <w:rPr>
          <w:rtl/>
          <w:lang w:bidi="fa-IR"/>
        </w:rPr>
      </w:pPr>
      <w:r w:rsidRPr="004B1D94">
        <w:rPr>
          <w:rtl/>
        </w:rPr>
        <w:t>6546</w:t>
      </w:r>
      <w:r w:rsidRPr="001155DE">
        <w:rPr>
          <w:rStyle w:val="libBold2Char"/>
          <w:rtl/>
        </w:rPr>
        <w:t xml:space="preserve"> / 1.</w:t>
      </w:r>
      <w:r w:rsidRPr="00020424">
        <w:rPr>
          <w:rtl/>
          <w:lang w:bidi="fa-IR"/>
        </w:rPr>
        <w:t xml:space="preserve"> عَلِيُّ بْنُ إِبْرَاهِيمَ ، عَنْ أَبِيهِ ؛</w:t>
      </w:r>
    </w:p>
    <w:p w:rsidR="00992664" w:rsidRPr="00020424" w:rsidRDefault="00740E2E" w:rsidP="00740E2E">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جَمِيلٍ وَمُحَمَّدِ بْنِ حُمْرَانَ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الرَّجُلِ الْحُرِّ يَلْزَمُهُ صَوْمُ شَهْرَيْنِ مُتَتَابِعَيْنِ فِي ظِهَارٍ ، فَيَصُومُ شَهْراً ، ثُمَّ يَمْرَضُ </w:t>
      </w:r>
      <w:r w:rsidRPr="00A91B96">
        <w:rPr>
          <w:rStyle w:val="libFootnotenumChar"/>
          <w:rtl/>
        </w:rPr>
        <w:t>(4)</w:t>
      </w:r>
      <w:r w:rsidRPr="00020424">
        <w:rPr>
          <w:rtl/>
          <w:lang w:bidi="fa-IR"/>
        </w:rPr>
        <w:t xml:space="preserve"> ، قَالَ : « يَسْتَقْبِلُ </w:t>
      </w:r>
      <w:r w:rsidRPr="00A91B96">
        <w:rPr>
          <w:rStyle w:val="libFootnotenumChar"/>
          <w:rtl/>
        </w:rPr>
        <w:t>(5)</w:t>
      </w:r>
      <w:r w:rsidRPr="00020424">
        <w:rPr>
          <w:rtl/>
          <w:lang w:bidi="fa-IR"/>
        </w:rPr>
        <w:t xml:space="preserve"> ، وَإِنْ </w:t>
      </w:r>
      <w:r w:rsidRPr="00A91B96">
        <w:rPr>
          <w:rStyle w:val="libFootnotenumChar"/>
          <w:rtl/>
        </w:rPr>
        <w:t>(6)</w:t>
      </w:r>
      <w:r w:rsidRPr="00020424">
        <w:rPr>
          <w:rtl/>
          <w:lang w:bidi="fa-IR"/>
        </w:rPr>
        <w:t xml:space="preserve"> زَادَ عَلَى الشَّهْرِ الْآخَرِ يَوْماً أَوْ يَوْمَيْنِ ، بَنَى عَلى </w:t>
      </w:r>
      <w:r w:rsidRPr="00A91B96">
        <w:rPr>
          <w:rStyle w:val="libFootnotenumChar"/>
          <w:rtl/>
        </w:rPr>
        <w:t>(7)</w:t>
      </w:r>
      <w:r w:rsidRPr="00020424">
        <w:rPr>
          <w:rtl/>
          <w:lang w:bidi="fa-IR"/>
        </w:rPr>
        <w:t xml:space="preserve"> مَا بَقِيَ</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جن » </w:t>
      </w:r>
      <w:r w:rsidR="00992664" w:rsidRPr="00FD6221">
        <w:rPr>
          <w:rStyle w:val="libFootnoteBoldChar"/>
          <w:rtl/>
        </w:rPr>
        <w:t>والفقيه</w:t>
      </w:r>
      <w:r w:rsidR="00992664" w:rsidRPr="00020424">
        <w:rPr>
          <w:rtl/>
        </w:rPr>
        <w:t xml:space="preserve"> : « فلم تقدر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w:t>
      </w:r>
      <w:r w:rsidR="00992664" w:rsidRPr="00FD6221">
        <w:rPr>
          <w:rStyle w:val="libFootnoteBoldChar"/>
          <w:rtl/>
        </w:rPr>
        <w:t>والفقيه</w:t>
      </w:r>
      <w:r w:rsidR="00992664" w:rsidRPr="00020424">
        <w:rPr>
          <w:rtl/>
        </w:rPr>
        <w:t>. وفي المطبوع : « فلتتصدّق</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345 : « قوله </w:t>
      </w:r>
      <w:r w:rsidR="00992664" w:rsidRPr="00D64ADA">
        <w:rPr>
          <w:rStyle w:val="libFootnoteAlaemChar"/>
          <w:rtl/>
        </w:rPr>
        <w:t>عليه‌السلام</w:t>
      </w:r>
      <w:r w:rsidR="00992664" w:rsidRPr="00020424">
        <w:rPr>
          <w:rtl/>
        </w:rPr>
        <w:t xml:space="preserve"> : فلتصدّق ، المشهور بين الأصحاب أنّ مع العجز عن الصوم ، المنذور يسقط الصوم ، ولا يلزمه شي‌ء ، وذهب جماعة إلى لزوم الكفّارة عن كلّ يوم بمدّ ، وجماعة بمدّين لرواية ا</w:t>
      </w:r>
      <w:r w:rsidR="00740E2E">
        <w:rPr>
          <w:rFonts w:hint="cs"/>
          <w:rtl/>
        </w:rPr>
        <w:t>ُ</w:t>
      </w:r>
      <w:r w:rsidR="00992664" w:rsidRPr="00020424">
        <w:rPr>
          <w:rtl/>
        </w:rPr>
        <w:t>خرى ، والقائلون بالمشهور حملوا تلك الأخبار على الاستحباب ، لكنّ العج</w:t>
      </w:r>
      <w:r w:rsidR="00740E2E">
        <w:rPr>
          <w:rtl/>
        </w:rPr>
        <w:t>ز لا يتحقّق في النذر المطلق إل</w:t>
      </w:r>
      <w:r w:rsidR="00740E2E">
        <w:rPr>
          <w:rFonts w:hint="cs"/>
          <w:rtl/>
        </w:rPr>
        <w:t>ّ</w:t>
      </w:r>
      <w:r w:rsidR="00740E2E">
        <w:rPr>
          <w:rtl/>
        </w:rPr>
        <w:t>ا</w:t>
      </w:r>
      <w:r w:rsidR="00992664" w:rsidRPr="00020424">
        <w:rPr>
          <w:rtl/>
        </w:rPr>
        <w:t>باليأس منه في جميع العصر. فهذا الخبر إمّا محمول على شهرين معيّنين ، أو على اليأس بأن يكون ظنّها أنّها تكون دائماً إمّا في الحمل أو الرضاع ، مع أنّه يحتمل أن تكون الكفّارة في الخبر للتأخير مع عدم سقوط المنذور</w:t>
      </w:r>
      <w:r w:rsidR="00992664">
        <w:rPr>
          <w:rtl/>
        </w:rPr>
        <w:t xml:space="preserve"> ».</w:t>
      </w:r>
      <w:r w:rsidR="00992664" w:rsidRPr="00020424">
        <w:rPr>
          <w:rtl/>
        </w:rPr>
        <w:t xml:space="preserve"> وفيه أيضاً : « ولا يخفى عدم مناسبته</w:t>
      </w:r>
      <w:r w:rsidR="00992664">
        <w:rPr>
          <w:rtl/>
        </w:rPr>
        <w:t xml:space="preserve"> </w:t>
      </w:r>
      <w:r w:rsidR="009B673F">
        <w:rPr>
          <w:rtl/>
        </w:rPr>
        <w:t>-</w:t>
      </w:r>
      <w:r w:rsidR="00992664">
        <w:rPr>
          <w:rtl/>
        </w:rPr>
        <w:t xml:space="preserve"> </w:t>
      </w:r>
      <w:r w:rsidR="00992664" w:rsidRPr="00020424">
        <w:rPr>
          <w:rtl/>
        </w:rPr>
        <w:t>أي هذا الخبر</w:t>
      </w:r>
      <w:r w:rsidR="00992664">
        <w:rPr>
          <w:rtl/>
        </w:rPr>
        <w:t xml:space="preserve"> </w:t>
      </w:r>
      <w:r w:rsidR="009B673F">
        <w:rPr>
          <w:rtl/>
        </w:rPr>
        <w:t>-</w:t>
      </w:r>
      <w:r w:rsidR="00992664">
        <w:rPr>
          <w:rtl/>
        </w:rPr>
        <w:t xml:space="preserve"> </w:t>
      </w:r>
      <w:r w:rsidR="00992664" w:rsidRPr="00020424">
        <w:rPr>
          <w:rtl/>
        </w:rPr>
        <w:t>لهذا الباب ، وبالباب التالي أنسب</w:t>
      </w:r>
      <w:r w:rsidR="00992664">
        <w:rPr>
          <w:rtl/>
        </w:rPr>
        <w:t xml:space="preserve"> ».</w:t>
      </w:r>
    </w:p>
    <w:p w:rsidR="00992664" w:rsidRPr="00020424" w:rsidRDefault="00795177" w:rsidP="00AA3876">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147 ، ح 1994 ، معلّقاً عن ابن مسكان </w:t>
      </w:r>
      <w:r w:rsidR="00AA3876">
        <w:rPr>
          <w:rFonts w:hint="cs"/>
          <w:rtl/>
        </w:rPr>
        <w:t>.</w:t>
      </w:r>
      <w:r w:rsidR="00992664" w:rsidRPr="0012008A">
        <w:rPr>
          <w:rStyle w:val="libFootnoteBoldChar"/>
          <w:rtl/>
        </w:rPr>
        <w:t>الوافي</w:t>
      </w:r>
      <w:r w:rsidR="00A54C4E">
        <w:rPr>
          <w:rtl/>
        </w:rPr>
        <w:t xml:space="preserve"> ، ج 11 ، ص 520 ، ح 11237</w:t>
      </w:r>
      <w:r w:rsidR="00992664" w:rsidRPr="00020424">
        <w:rPr>
          <w:rtl/>
        </w:rPr>
        <w:t xml:space="preserve">؛ </w:t>
      </w:r>
      <w:r w:rsidR="00992664" w:rsidRPr="0012008A">
        <w:rPr>
          <w:rStyle w:val="libFootnoteBoldChar"/>
          <w:rtl/>
        </w:rPr>
        <w:t>الوسائل</w:t>
      </w:r>
      <w:r w:rsidR="00AA3876">
        <w:rPr>
          <w:rtl/>
        </w:rPr>
        <w:t>،ج 10،ص 216،ح 13255؛</w:t>
      </w:r>
      <w:r w:rsidR="00992664" w:rsidRPr="00020424">
        <w:rPr>
          <w:rtl/>
        </w:rPr>
        <w:t>وص 390</w:t>
      </w:r>
      <w:r w:rsidR="00AA3876">
        <w:rPr>
          <w:rtl/>
        </w:rPr>
        <w:t>،</w:t>
      </w:r>
      <w:r w:rsidR="00992664" w:rsidRPr="00020424">
        <w:rPr>
          <w:rtl/>
        </w:rPr>
        <w:t>ح 13665.</w:t>
      </w:r>
      <w:r w:rsidR="00AA3876">
        <w:rPr>
          <w:rFonts w:hint="cs"/>
          <w:rtl/>
        </w:rPr>
        <w:t xml:space="preserve">     </w:t>
      </w:r>
      <w:r>
        <w:rPr>
          <w:rtl/>
        </w:rPr>
        <w:t>(4).</w:t>
      </w:r>
      <w:r w:rsidR="0014403D">
        <w:rPr>
          <w:rtl/>
        </w:rPr>
        <w:t xml:space="preserve"> </w:t>
      </w:r>
      <w:r w:rsidR="00992664" w:rsidRPr="00020424">
        <w:rPr>
          <w:rtl/>
        </w:rPr>
        <w:t>في « بر » : « ثمّ مرض</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يستقبل ، حمله الشيخ على مرض لا يمنعه من الصيام وإن كان يشقّ عليه ، ولعلّ حمله على الاستحباب أظهر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 فإن</w:t>
      </w:r>
      <w:r w:rsidR="00992664">
        <w:rPr>
          <w:rtl/>
        </w:rPr>
        <w:t xml:space="preserve"> ».</w:t>
      </w:r>
      <w:r w:rsidR="00992664" w:rsidRPr="00020424">
        <w:rPr>
          <w:rtl/>
        </w:rPr>
        <w:t xml:space="preserve"> وفي الاستبصار : « فإذا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بح ، بخ ، بف » : « عليه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الطلاق ، باب الظهار ، ضمن ح 11049 ، عن عليّ بن إبراهيم ، عن أبيه ، عن ابن أبي عمير ، </w:t>
      </w:r>
      <w:r w:rsidR="001575D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B1D94">
        <w:rPr>
          <w:rtl/>
        </w:rPr>
        <w:t>6547</w:t>
      </w:r>
      <w:r w:rsidRPr="001155DE">
        <w:rPr>
          <w:rStyle w:val="libBold2Char"/>
          <w:rtl/>
        </w:rPr>
        <w:t xml:space="preserve"> / 2.</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صِيَامُ كَفَّارَةِ الْيَمِينِ فِي الظِّهَارِ شَهْرَانِ مُتَتَابِعَانِ </w:t>
      </w:r>
      <w:r w:rsidRPr="00A91B96">
        <w:rPr>
          <w:rStyle w:val="libFootnotenumChar"/>
          <w:rtl/>
        </w:rPr>
        <w:t>(1)</w:t>
      </w:r>
      <w:r w:rsidRPr="00020424">
        <w:rPr>
          <w:rtl/>
          <w:lang w:bidi="fa-IR"/>
        </w:rPr>
        <w:t xml:space="preserve"> ، وَالتَّتَابُعُ </w:t>
      </w:r>
      <w:r w:rsidRPr="00A91B96">
        <w:rPr>
          <w:rStyle w:val="libFootnotenumChar"/>
          <w:rtl/>
        </w:rPr>
        <w:t>(2)</w:t>
      </w:r>
      <w:r w:rsidRPr="00020424">
        <w:rPr>
          <w:rtl/>
          <w:lang w:bidi="fa-IR"/>
        </w:rPr>
        <w:t xml:space="preserve"> أَنْ يَصُومَ </w:t>
      </w:r>
      <w:r w:rsidRPr="00A91B96">
        <w:rPr>
          <w:rStyle w:val="libFootnotenumChar"/>
          <w:rtl/>
        </w:rPr>
        <w:t>(3)</w:t>
      </w:r>
      <w:r w:rsidRPr="00020424">
        <w:rPr>
          <w:rtl/>
          <w:lang w:bidi="fa-IR"/>
        </w:rPr>
        <w:t xml:space="preserve"> شَهْراً ، وَيَصُومَ </w:t>
      </w:r>
      <w:r w:rsidRPr="00A91B96">
        <w:rPr>
          <w:rStyle w:val="libFootnotenumChar"/>
          <w:rtl/>
        </w:rPr>
        <w:t>(4)</w:t>
      </w:r>
      <w:r w:rsidRPr="00020424">
        <w:rPr>
          <w:rtl/>
          <w:lang w:bidi="fa-IR"/>
        </w:rPr>
        <w:t xml:space="preserve"> مِنَ الشَّهْرِ الْآخَرِ </w:t>
      </w:r>
      <w:r w:rsidRPr="00A91B96">
        <w:rPr>
          <w:rStyle w:val="libFootnotenumChar"/>
          <w:rtl/>
        </w:rPr>
        <w:t>(5)</w:t>
      </w:r>
      <w:r w:rsidRPr="00020424">
        <w:rPr>
          <w:rtl/>
          <w:lang w:bidi="fa-IR"/>
        </w:rPr>
        <w:t xml:space="preserve"> أَيَّاماً ، أَوْ شَيْئاً مِنْهُ ، فَإِنْ عَرَضَ لَهُ </w:t>
      </w:r>
      <w:r w:rsidRPr="00A91B96">
        <w:rPr>
          <w:rStyle w:val="libFootnotenumChar"/>
          <w:rtl/>
        </w:rPr>
        <w:t>(6)</w:t>
      </w:r>
      <w:r w:rsidRPr="00020424">
        <w:rPr>
          <w:rtl/>
          <w:lang w:bidi="fa-IR"/>
        </w:rPr>
        <w:t xml:space="preserve"> شَيْ‌ءٌ يُفْطَرُ فِيهِ </w:t>
      </w:r>
      <w:r w:rsidRPr="00A91B96">
        <w:rPr>
          <w:rStyle w:val="libFootnotenumChar"/>
          <w:rtl/>
        </w:rPr>
        <w:t>(7)</w:t>
      </w:r>
      <w:r w:rsidRPr="00020424">
        <w:rPr>
          <w:rtl/>
          <w:lang w:bidi="fa-IR"/>
        </w:rPr>
        <w:t xml:space="preserve"> ، أَفْطَرَ ، ثُمَّ قَضى مَا بَقِيَ عَلَيْهِ ؛ وَإِنْ صَامَ شَهْراً ، ثُمَّ عَرَضَ لَهُ شَيْ‌ءٌ </w:t>
      </w:r>
      <w:r w:rsidRPr="00A91B96">
        <w:rPr>
          <w:rStyle w:val="libFootnotenumChar"/>
          <w:rtl/>
        </w:rPr>
        <w:t>(8)</w:t>
      </w:r>
      <w:r w:rsidRPr="00020424">
        <w:rPr>
          <w:rtl/>
          <w:lang w:bidi="fa-IR"/>
        </w:rPr>
        <w:t xml:space="preserve"> ، فَأَفْطَرَ قَبْلَ أَنْ يَصُومَ مِنَ الْآخَرِ شَيْئاً ، فَلَمْ يُتَابِعْ </w:t>
      </w:r>
      <w:r w:rsidRPr="00A91B96">
        <w:rPr>
          <w:rStyle w:val="libFootnotenumChar"/>
          <w:rtl/>
        </w:rPr>
        <w:t>(9)</w:t>
      </w:r>
      <w:r w:rsidRPr="00020424">
        <w:rPr>
          <w:rtl/>
          <w:lang w:bidi="fa-IR"/>
        </w:rPr>
        <w:t xml:space="preserve"> ، أَعَادَ الصِّيَامَ </w:t>
      </w:r>
      <w:r w:rsidRPr="00A91B96">
        <w:rPr>
          <w:rStyle w:val="libFootnotenumChar"/>
          <w:rtl/>
        </w:rPr>
        <w:t>(10)</w:t>
      </w:r>
      <w:r w:rsidRPr="00020424">
        <w:rPr>
          <w:rtl/>
          <w:lang w:bidi="fa-IR"/>
        </w:rPr>
        <w:t xml:space="preserve"> كُلَّهُ</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4B1D94">
        <w:rPr>
          <w:rtl/>
        </w:rPr>
        <w:t>6548</w:t>
      </w:r>
      <w:r w:rsidRPr="001155DE">
        <w:rPr>
          <w:rStyle w:val="libBold2Char"/>
          <w:rtl/>
        </w:rPr>
        <w:t xml:space="preserve"> / 3.</w:t>
      </w:r>
      <w:r w:rsidRPr="00020424">
        <w:rPr>
          <w:rtl/>
          <w:lang w:bidi="fa-IR"/>
        </w:rPr>
        <w:t xml:space="preserve"> مُحَمَّدُ بْنُ يَحْيى ، عَنْ أَحْمَدَ بْنِ مُحَمَّدٍ ، عَنْ عُثْمَانَ بْنِ عِيسى ، عَنْ سَمَاعَةَ بْنِ مِهْرَانَ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2B3D8A" w:rsidP="00992664">
      <w:pPr>
        <w:pStyle w:val="libFootnote0"/>
        <w:rPr>
          <w:rtl/>
          <w:lang w:bidi="fa-IR"/>
        </w:rPr>
      </w:pPr>
      <w:r>
        <w:rPr>
          <w:rFonts w:hint="cs"/>
          <w:rtl/>
        </w:rPr>
        <w:t xml:space="preserve">= </w:t>
      </w:r>
      <w:r w:rsidR="00992664" w:rsidRPr="00020424">
        <w:rPr>
          <w:rtl/>
        </w:rPr>
        <w:t xml:space="preserve">عن جميل بن درّاج ، عن أبي عبدالله </w:t>
      </w:r>
      <w:r w:rsidR="00992664" w:rsidRPr="00D64ADA">
        <w:rPr>
          <w:rStyle w:val="libFootnoteAlaemChar"/>
          <w:rtl/>
        </w:rPr>
        <w:t>عليه‌السلام</w:t>
      </w:r>
      <w:r w:rsidR="00992664" w:rsidRPr="00020424">
        <w:rPr>
          <w:rtl/>
        </w:rPr>
        <w:t xml:space="preserve"> ، مع اختلاف يسير. وفي </w:t>
      </w:r>
      <w:r w:rsidR="00992664" w:rsidRPr="0012008A">
        <w:rPr>
          <w:rStyle w:val="libFootnoteBoldChar"/>
          <w:rtl/>
        </w:rPr>
        <w:t>التهذيب</w:t>
      </w:r>
      <w:r w:rsidR="00992664" w:rsidRPr="00020424">
        <w:rPr>
          <w:rtl/>
        </w:rPr>
        <w:t xml:space="preserve"> ، ج 4 ، ص 284 ، ح 861 ؛ </w:t>
      </w:r>
      <w:r w:rsidR="00992664" w:rsidRPr="00FD6221">
        <w:rPr>
          <w:rStyle w:val="libFootnoteBoldChar"/>
          <w:rtl/>
        </w:rPr>
        <w:t>والاستبصار</w:t>
      </w:r>
      <w:r w:rsidR="00992664" w:rsidRPr="00020424">
        <w:rPr>
          <w:rtl/>
        </w:rPr>
        <w:t xml:space="preserve"> ، ج 2 ، ص 124 ، ح 404 ، معلّقاً عن الكليني. </w:t>
      </w:r>
      <w:r w:rsidR="00992664" w:rsidRPr="0012008A">
        <w:rPr>
          <w:rStyle w:val="libFootnoteBoldChar"/>
          <w:rtl/>
        </w:rPr>
        <w:t>التهذيب</w:t>
      </w:r>
      <w:r w:rsidR="00992664" w:rsidRPr="00020424">
        <w:rPr>
          <w:rtl/>
        </w:rPr>
        <w:t xml:space="preserve"> ، ج 8 ، ص 9 ، ضمن ح 28 ، معلّقاً عن الكليني في </w:t>
      </w:r>
      <w:r w:rsidR="00992664" w:rsidRPr="00DE76B9">
        <w:rPr>
          <w:rStyle w:val="libFootnoteBoldChar"/>
          <w:rtl/>
        </w:rPr>
        <w:t>الكافي</w:t>
      </w:r>
      <w:r w:rsidR="00992664" w:rsidRPr="00020424">
        <w:rPr>
          <w:rtl/>
        </w:rPr>
        <w:t xml:space="preserve"> ، ح 11049. </w:t>
      </w:r>
      <w:r w:rsidR="00992664" w:rsidRPr="0012008A">
        <w:rPr>
          <w:rStyle w:val="libFootnoteBoldChar"/>
          <w:rtl/>
        </w:rPr>
        <w:t>الفقيه</w:t>
      </w:r>
      <w:r w:rsidR="00992664" w:rsidRPr="00020424">
        <w:rPr>
          <w:rtl/>
        </w:rPr>
        <w:t xml:space="preserve"> ، ج 3 ، ص 531 ، ضمن ح 4835 ، معلّقاً عن جميل بن درّاج ، وفيهما مع اختلاف يسير </w:t>
      </w:r>
      <w:r w:rsidR="0012100B">
        <w:rPr>
          <w:rFonts w:hint="cs"/>
          <w:rtl/>
        </w:rPr>
        <w:t>.</w:t>
      </w:r>
      <w:r w:rsidR="00992664" w:rsidRPr="0012008A">
        <w:rPr>
          <w:rStyle w:val="libFootnoteBoldChar"/>
          <w:rtl/>
        </w:rPr>
        <w:t>الوافي</w:t>
      </w:r>
      <w:r w:rsidR="00992664" w:rsidRPr="00020424">
        <w:rPr>
          <w:rtl/>
        </w:rPr>
        <w:t xml:space="preserve"> ، ج 22 ، ص 937 ، ح 22496 ؛ </w:t>
      </w:r>
      <w:r w:rsidR="00992664" w:rsidRPr="0012008A">
        <w:rPr>
          <w:rStyle w:val="libFootnoteBoldChar"/>
          <w:rtl/>
        </w:rPr>
        <w:t>الوسائل</w:t>
      </w:r>
      <w:r w:rsidR="00992664" w:rsidRPr="00020424">
        <w:rPr>
          <w:rtl/>
        </w:rPr>
        <w:t xml:space="preserve"> ، ج 10 ، ص 371 ، ح 13622.</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حاشية « جت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جميع النسخ التي قوبلت والمطبوع : « شهرين متتابعين</w:t>
      </w:r>
      <w:r w:rsidR="00992664">
        <w:rPr>
          <w:rtl/>
        </w:rPr>
        <w:t xml:space="preserve"> ».</w:t>
      </w:r>
      <w:r w:rsidR="00992664" w:rsidRPr="00020424">
        <w:rPr>
          <w:rtl/>
        </w:rPr>
        <w:t xml:space="preserve"> وقال 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شهرين متتابعين ، لعلّه على الحكاية. وفي بعض النسخ : شهران متتابعان</w:t>
      </w:r>
      <w:r w:rsidR="00992664">
        <w:rPr>
          <w:rtl/>
        </w:rPr>
        <w:t xml:space="preserve"> </w:t>
      </w:r>
      <w:r w:rsidR="009B673F">
        <w:rPr>
          <w:rtl/>
        </w:rPr>
        <w:t>-</w:t>
      </w:r>
      <w:r w:rsidR="00992664">
        <w:rPr>
          <w:rtl/>
        </w:rPr>
        <w:t xml:space="preserve"> </w:t>
      </w:r>
      <w:r w:rsidR="00992664" w:rsidRPr="00020424">
        <w:rPr>
          <w:rtl/>
        </w:rPr>
        <w:t xml:space="preserve">كما في </w:t>
      </w:r>
      <w:r w:rsidR="00992664" w:rsidRPr="0012008A">
        <w:rPr>
          <w:rStyle w:val="libFootnoteBoldChar"/>
          <w:rtl/>
        </w:rPr>
        <w:t>التهذيب</w:t>
      </w:r>
      <w:r w:rsidR="00992664">
        <w:rPr>
          <w:rtl/>
        </w:rPr>
        <w:t xml:space="preserve"> </w:t>
      </w:r>
      <w:r w:rsidR="009B673F">
        <w:rPr>
          <w:rtl/>
        </w:rPr>
        <w:t>-</w:t>
      </w:r>
      <w:r w:rsidR="00992664">
        <w:rPr>
          <w:rtl/>
        </w:rPr>
        <w:t xml:space="preserve"> </w:t>
      </w:r>
      <w:r w:rsidR="00992664" w:rsidRPr="00020424">
        <w:rPr>
          <w:rtl/>
        </w:rPr>
        <w:t>وهو أصوب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 « والمتتابع</w:t>
      </w:r>
      <w:r w:rsidR="00992664">
        <w:rPr>
          <w:rtl/>
        </w:rPr>
        <w:t xml:space="preserve"> ».</w:t>
      </w:r>
      <w:r w:rsidR="00992664" w:rsidRPr="00020424">
        <w:rPr>
          <w:rtl/>
        </w:rPr>
        <w:t xml:space="preserve"> وفي « بخ ، بر ، بف » وحاشية « بح » : « والمتتابعان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بر ، بف » : « أن تصوم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بف » : « وتصوم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آخر » بدل « الشهر الآخر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فإن عرض ، ظاهره أنّ المراد به غير الأعذار الشرعيّة بقرينة مقابله ، فيدلّ ظاهراً على جواز الإفطار بعد أن يصوم من الشهر الثاني يوماً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 + « يفطرفيه</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يفطر فيه أفطر</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عرض له شي‌ء</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بح ، بس » : « فلم تتابع</w:t>
      </w:r>
      <w:r w:rsidR="00992664">
        <w:rPr>
          <w:rtl/>
        </w:rPr>
        <w:t xml:space="preserve"> ».</w:t>
      </w:r>
      <w:r w:rsidR="00992664" w:rsidRPr="00020424">
        <w:rPr>
          <w:rtl/>
        </w:rPr>
        <w:t xml:space="preserve"> وفي « بخ » : « ولم يتابع</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فليعد الصوم</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283 ، ح 856 ، بسنده عن محمّد بن أبي عمير ، مع زيادة في آخره </w:t>
      </w:r>
      <w:r w:rsidR="0012100B">
        <w:rPr>
          <w:rFonts w:hint="cs"/>
          <w:rtl/>
        </w:rPr>
        <w:t>.</w:t>
      </w:r>
      <w:r w:rsidR="00992664" w:rsidRPr="0012008A">
        <w:rPr>
          <w:rStyle w:val="libFootnoteBoldChar"/>
          <w:rtl/>
        </w:rPr>
        <w:t>الوافي</w:t>
      </w:r>
      <w:r w:rsidR="00992664" w:rsidRPr="00020424">
        <w:rPr>
          <w:rtl/>
        </w:rPr>
        <w:t xml:space="preserve"> ، ج 11 ، ص 281 ، ح 10860 ؛ وج 22 ، ح 937 ، ح 22495 ؛ </w:t>
      </w:r>
      <w:r w:rsidR="00992664" w:rsidRPr="0012008A">
        <w:rPr>
          <w:rStyle w:val="libFootnoteBoldChar"/>
          <w:rtl/>
        </w:rPr>
        <w:t>الوسائل</w:t>
      </w:r>
      <w:r w:rsidR="00992664" w:rsidRPr="00020424">
        <w:rPr>
          <w:rtl/>
        </w:rPr>
        <w:t xml:space="preserve"> ، ج 10 ، ص 373 ، ذيل ح 13628.</w:t>
      </w:r>
    </w:p>
    <w:p w:rsidR="00795177" w:rsidRDefault="00795177" w:rsidP="00795177">
      <w:pPr>
        <w:pStyle w:val="libNormal"/>
        <w:rPr>
          <w:rtl/>
          <w:lang w:bidi="fa-IR"/>
        </w:rPr>
      </w:pPr>
      <w:r>
        <w:rPr>
          <w:rtl/>
          <w:lang w:bidi="fa-IR"/>
        </w:rPr>
        <w:br w:type="page"/>
      </w:r>
    </w:p>
    <w:p w:rsidR="00992664" w:rsidRPr="00020424" w:rsidRDefault="00992664" w:rsidP="00DD11C8">
      <w:pPr>
        <w:pStyle w:val="libNormal0"/>
        <w:rPr>
          <w:rtl/>
          <w:lang w:bidi="fa-IR"/>
        </w:rPr>
      </w:pPr>
      <w:r w:rsidRPr="00020424">
        <w:rPr>
          <w:rtl/>
          <w:lang w:bidi="fa-IR"/>
        </w:rPr>
        <w:t xml:space="preserve">سَأَلْتُهُ </w:t>
      </w:r>
      <w:r w:rsidRPr="00A91B96">
        <w:rPr>
          <w:rStyle w:val="libFootnotenumChar"/>
          <w:rtl/>
        </w:rPr>
        <w:t>(1)</w:t>
      </w:r>
      <w:r w:rsidRPr="00020424">
        <w:rPr>
          <w:rtl/>
          <w:lang w:bidi="fa-IR"/>
        </w:rPr>
        <w:t xml:space="preserve"> عَنِ الرَّجُلِ يَكُونُ </w:t>
      </w:r>
      <w:r w:rsidRPr="00A91B96">
        <w:rPr>
          <w:rStyle w:val="libFootnotenumChar"/>
          <w:rtl/>
        </w:rPr>
        <w:t>(2)</w:t>
      </w:r>
      <w:r w:rsidRPr="00020424">
        <w:rPr>
          <w:rtl/>
          <w:lang w:bidi="fa-IR"/>
        </w:rPr>
        <w:t xml:space="preserve"> عَلَيْهِ صَوْمُ </w:t>
      </w:r>
      <w:r>
        <w:rPr>
          <w:rtl/>
          <w:lang w:bidi="fa-IR"/>
        </w:rPr>
        <w:t>شَهْرَيْنِ مُتَتَابِعَيْنِ : أَ</w:t>
      </w:r>
      <w:r w:rsidRPr="00020424">
        <w:rPr>
          <w:rtl/>
          <w:lang w:bidi="fa-IR"/>
        </w:rPr>
        <w:t>يُفَرِّقُ بَيْنَ الْأَيَّامِ</w:t>
      </w:r>
      <w:r>
        <w:rPr>
          <w:rtl/>
          <w:lang w:bidi="fa-IR"/>
        </w:rPr>
        <w:t>؟</w:t>
      </w:r>
    </w:p>
    <w:p w:rsidR="00992664" w:rsidRPr="00020424" w:rsidRDefault="00992664" w:rsidP="00992664">
      <w:pPr>
        <w:pStyle w:val="libNormal"/>
        <w:rPr>
          <w:rtl/>
          <w:lang w:bidi="fa-IR"/>
        </w:rPr>
      </w:pPr>
      <w:r w:rsidRPr="00020424">
        <w:rPr>
          <w:rtl/>
          <w:lang w:bidi="fa-IR"/>
        </w:rPr>
        <w:t xml:space="preserve">فَقَالَ : « إِذَا صَامَ أَكْثَرَ مِنْ شَهْرٍ ، فَوَصَلَهُ ، ثُمَّ عَرَضَ لَهُ أَمْرٌ ، فَأَفْطَرَ </w:t>
      </w:r>
      <w:r w:rsidRPr="00A91B96">
        <w:rPr>
          <w:rStyle w:val="libFootnotenumChar"/>
          <w:rtl/>
        </w:rPr>
        <w:t>(3)</w:t>
      </w:r>
      <w:r w:rsidRPr="00020424">
        <w:rPr>
          <w:rtl/>
          <w:lang w:bidi="fa-IR"/>
        </w:rPr>
        <w:t xml:space="preserve"> ، فَلَا بَأْسَ ، فَإِنْ </w:t>
      </w:r>
      <w:r w:rsidRPr="00A91B96">
        <w:rPr>
          <w:rStyle w:val="libFootnotenumChar"/>
          <w:rtl/>
        </w:rPr>
        <w:t>(4)</w:t>
      </w:r>
      <w:r w:rsidRPr="00020424">
        <w:rPr>
          <w:rtl/>
          <w:lang w:bidi="fa-IR"/>
        </w:rPr>
        <w:t xml:space="preserve"> كَانَ أَقَلَّ مِنْ شَهْرٍ ، أَوْ شَهْراً </w:t>
      </w:r>
      <w:r w:rsidRPr="00A91B96">
        <w:rPr>
          <w:rStyle w:val="libFootnotenumChar"/>
          <w:rtl/>
        </w:rPr>
        <w:t>(5)</w:t>
      </w:r>
      <w:r w:rsidRPr="00020424">
        <w:rPr>
          <w:rtl/>
          <w:lang w:bidi="fa-IR"/>
        </w:rPr>
        <w:t xml:space="preserve"> ، فَعَلَيْهِ أَنْ يُعِيدَ الصِّيَامَ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B1D94">
        <w:rPr>
          <w:rtl/>
        </w:rPr>
        <w:t>6549</w:t>
      </w:r>
      <w:r w:rsidRPr="001155DE">
        <w:rPr>
          <w:rStyle w:val="libBold2Char"/>
          <w:rtl/>
        </w:rPr>
        <w:t xml:space="preserve"> / 4.</w:t>
      </w:r>
      <w:r w:rsidRPr="00020424">
        <w:rPr>
          <w:rtl/>
          <w:lang w:bidi="fa-IR"/>
        </w:rPr>
        <w:t xml:space="preserve"> عِدَّةٌ مِنْ أَصْحَابِنَا ، عَنْ سَهْلِ بْنِ زِيَادٍ ، عَنِ الْحَسَنِ بْنِ </w:t>
      </w:r>
      <w:r w:rsidR="0012100B">
        <w:rPr>
          <w:rtl/>
          <w:lang w:bidi="fa-IR"/>
        </w:rPr>
        <w:t>مَحْبُوبٍ ، عَنْ أَبِي أَيُّوبَ</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رَجُلٍ </w:t>
      </w:r>
      <w:r w:rsidRPr="00A91B96">
        <w:rPr>
          <w:rStyle w:val="libFootnotenumChar"/>
          <w:rtl/>
        </w:rPr>
        <w:t>(7)</w:t>
      </w:r>
      <w:r w:rsidRPr="00020424">
        <w:rPr>
          <w:rtl/>
          <w:lang w:bidi="fa-IR"/>
        </w:rPr>
        <w:t xml:space="preserve"> كَانَ عَلَيْهِ صَوْمُ شَهْرَيْنِ مُتَتَابِعَيْنِ فِي ظِهَارٍ </w:t>
      </w:r>
      <w:r w:rsidRPr="00A91B96">
        <w:rPr>
          <w:rStyle w:val="libFootnotenumChar"/>
          <w:rtl/>
        </w:rPr>
        <w:t>(8)</w:t>
      </w:r>
      <w:r w:rsidRPr="00020424">
        <w:rPr>
          <w:rtl/>
          <w:lang w:bidi="fa-IR"/>
        </w:rPr>
        <w:t xml:space="preserve"> ، فَصَامَ ذَا الْقَعْدَةِ ، ثُمَّ دَخَلَ عَلَيْهِ ذُو الْحِجَّةِ ، قَالَ : « يَصُو</w:t>
      </w:r>
      <w:r w:rsidR="0012100B">
        <w:rPr>
          <w:rtl/>
          <w:lang w:bidi="fa-IR"/>
        </w:rPr>
        <w:t>مُ ذَا الْحِجَّةِ كُلَّهُ إِل</w:t>
      </w:r>
      <w:r w:rsidR="0012100B">
        <w:rPr>
          <w:rFonts w:hint="cs"/>
          <w:rtl/>
          <w:lang w:bidi="fa-IR"/>
        </w:rPr>
        <w:t>َّ</w:t>
      </w:r>
      <w:r w:rsidR="0012100B">
        <w:rPr>
          <w:rtl/>
          <w:lang w:bidi="fa-IR"/>
        </w:rPr>
        <w:t>ا</w:t>
      </w:r>
      <w:r w:rsidRPr="00020424">
        <w:rPr>
          <w:rtl/>
          <w:lang w:bidi="fa-IR"/>
        </w:rPr>
        <w:t xml:space="preserve"> أَيَّامَ التَّشْرِيقِ </w:t>
      </w:r>
      <w:r w:rsidRPr="00A91B96">
        <w:rPr>
          <w:rStyle w:val="libFootnotenumChar"/>
          <w:rtl/>
        </w:rPr>
        <w:t>(9)</w:t>
      </w:r>
      <w:r w:rsidRPr="00020424">
        <w:rPr>
          <w:rtl/>
          <w:lang w:bidi="fa-IR"/>
        </w:rPr>
        <w:t xml:space="preserve"> ، يَقْضِيهَا فِي أَوَّلِ يَوْمٍ مِنَ الْمُحَرَّمِ حَتّى يُتِمَّ ثَلَاثَةَ أَيَّامٍ ، فَيَكُونُ قَدْ صَامَ شَهْرَيْنِ مُتَتَابِعَيْنِ</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وَلَايَنْبَغِي لَهُ أَنْ يَقْرَبَ أَهْلَهُ حَتّى يَقْضِيَ ثَلَاثَةَ أَيَّامِ التَّشْرِيقِ الَّتِي لَمْ يَصُمْهَا ، وَلَابَأْسَ إِنْ صَامَ شَهْراً ، ثُمَّ صَامَ مِنَ الشَّهْرِ الْآخَرِ </w:t>
      </w:r>
      <w:r w:rsidRPr="00A91B96">
        <w:rPr>
          <w:rStyle w:val="libFootnotenumChar"/>
          <w:rtl/>
        </w:rPr>
        <w:t>(10)</w:t>
      </w:r>
      <w:r w:rsidRPr="00020424">
        <w:rPr>
          <w:rtl/>
          <w:lang w:bidi="fa-IR"/>
        </w:rPr>
        <w:t xml:space="preserve"> الَّذِي يَلِيهِ أَيَّاماً </w:t>
      </w:r>
      <w:r w:rsidRPr="00A91B96">
        <w:rPr>
          <w:rStyle w:val="libFootnotenumChar"/>
          <w:rtl/>
        </w:rPr>
        <w:t>(11)</w:t>
      </w:r>
      <w:r w:rsidRPr="00020424">
        <w:rPr>
          <w:rtl/>
          <w:lang w:bidi="fa-IR"/>
        </w:rPr>
        <w:t xml:space="preserve"> ، ثُمَّ عَرَضَ لَهُ </w:t>
      </w:r>
      <w:r w:rsidRPr="00A91B96">
        <w:rPr>
          <w:rStyle w:val="libFootnotenumChar"/>
          <w:rtl/>
        </w:rPr>
        <w:t>(12)</w:t>
      </w:r>
      <w:r w:rsidRPr="00020424">
        <w:rPr>
          <w:rtl/>
          <w:lang w:bidi="fa-IR"/>
        </w:rPr>
        <w:t xml:space="preserve"> عِلَّةٌ أَنْ يَقْطَعَهَا ، ثُمَّ يَقْضِيَ مِنْ بَعْدِ تَمَامِ الشَّهْرَيْنِ </w:t>
      </w:r>
      <w:r w:rsidRPr="00A91B96">
        <w:rPr>
          <w:rStyle w:val="libFootnotenumChar"/>
          <w:rtl/>
        </w:rPr>
        <w:t>(13)</w:t>
      </w:r>
      <w:r>
        <w:rPr>
          <w:rtl/>
          <w:lang w:bidi="fa-IR"/>
        </w:rPr>
        <w:t xml:space="preserve"> ».</w:t>
      </w:r>
      <w:r w:rsidRPr="00020424">
        <w:rPr>
          <w:rtl/>
          <w:lang w:bidi="fa-IR"/>
        </w:rPr>
        <w:t xml:space="preserve"> </w:t>
      </w:r>
      <w:r w:rsidRPr="00A91B96">
        <w:rPr>
          <w:rStyle w:val="libFootnotenumChar"/>
          <w:rtl/>
        </w:rPr>
        <w:t>(14)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سألت أبا عبد الله </w:t>
      </w:r>
      <w:r w:rsidR="00992664" w:rsidRPr="00D64ADA">
        <w:rPr>
          <w:rStyle w:val="libFootnoteAlaemChar"/>
          <w:rtl/>
        </w:rPr>
        <w:t>عليه‌السلام</w:t>
      </w:r>
      <w:r w:rsidR="00992664">
        <w:rPr>
          <w:rtl/>
        </w:rPr>
        <w:t xml:space="preserve"> ».</w:t>
      </w:r>
      <w:r w:rsidR="00992664" w:rsidRPr="00020424">
        <w:rPr>
          <w:rtl/>
        </w:rPr>
        <w:t xml:space="preserve"> لكن في بعض نسخه المعتبرة : « سألته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24E6D" w:rsidTr="00F24E6D">
        <w:tc>
          <w:tcPr>
            <w:tcW w:w="4006" w:type="dxa"/>
          </w:tcPr>
          <w:p w:rsidR="00F24E6D" w:rsidRDefault="00F24E6D" w:rsidP="00992664">
            <w:pPr>
              <w:pStyle w:val="libFootnote0"/>
              <w:rPr>
                <w:rtl/>
              </w:rPr>
            </w:pPr>
            <w:r>
              <w:rPr>
                <w:rtl/>
              </w:rPr>
              <w:t xml:space="preserve">(2). </w:t>
            </w:r>
            <w:r w:rsidRPr="00020424">
              <w:rPr>
                <w:rtl/>
              </w:rPr>
              <w:t>في « بف » :</w:t>
            </w:r>
            <w:r>
              <w:rPr>
                <w:rtl/>
              </w:rPr>
              <w:t xml:space="preserve"> - </w:t>
            </w:r>
            <w:r w:rsidRPr="00020424">
              <w:rPr>
                <w:rtl/>
              </w:rPr>
              <w:t>« يكون</w:t>
            </w:r>
            <w:r>
              <w:rPr>
                <w:rtl/>
              </w:rPr>
              <w:t xml:space="preserve"> ».</w:t>
            </w:r>
          </w:p>
        </w:tc>
        <w:tc>
          <w:tcPr>
            <w:tcW w:w="4006" w:type="dxa"/>
          </w:tcPr>
          <w:p w:rsidR="00F24E6D" w:rsidRDefault="00F24E6D" w:rsidP="00992664">
            <w:pPr>
              <w:pStyle w:val="libFootnote0"/>
              <w:rPr>
                <w:rtl/>
              </w:rPr>
            </w:pPr>
            <w:r>
              <w:rPr>
                <w:rtl/>
              </w:rPr>
              <w:t xml:space="preserve">(3). </w:t>
            </w:r>
            <w:r w:rsidRPr="00020424">
              <w:rPr>
                <w:rtl/>
              </w:rPr>
              <w:t>في « بر ، بف » : « وأفطر</w:t>
            </w:r>
            <w:r>
              <w:rPr>
                <w:rtl/>
              </w:rPr>
              <w:t xml:space="preserve"> ».</w:t>
            </w:r>
          </w:p>
        </w:tc>
      </w:tr>
      <w:tr w:rsidR="00F24E6D" w:rsidTr="00F24E6D">
        <w:tc>
          <w:tcPr>
            <w:tcW w:w="4006" w:type="dxa"/>
          </w:tcPr>
          <w:p w:rsidR="00F24E6D" w:rsidRDefault="00F24E6D" w:rsidP="00992664">
            <w:pPr>
              <w:pStyle w:val="libFootnote0"/>
              <w:rPr>
                <w:rtl/>
              </w:rPr>
            </w:pPr>
            <w:r>
              <w:rPr>
                <w:rtl/>
              </w:rPr>
              <w:t xml:space="preserve">(4). </w:t>
            </w:r>
            <w:r w:rsidRPr="00020424">
              <w:rPr>
                <w:rtl/>
              </w:rPr>
              <w:t>في « ظ » : « وإن</w:t>
            </w:r>
            <w:r>
              <w:rPr>
                <w:rtl/>
              </w:rPr>
              <w:t xml:space="preserve"> ».</w:t>
            </w:r>
          </w:p>
        </w:tc>
        <w:tc>
          <w:tcPr>
            <w:tcW w:w="4006" w:type="dxa"/>
          </w:tcPr>
          <w:p w:rsidR="00F24E6D" w:rsidRDefault="00F24E6D" w:rsidP="00992664">
            <w:pPr>
              <w:pStyle w:val="libFootnote0"/>
              <w:rPr>
                <w:rtl/>
              </w:rPr>
            </w:pPr>
            <w:r>
              <w:rPr>
                <w:rtl/>
              </w:rPr>
              <w:t xml:space="preserve">(5). </w:t>
            </w:r>
            <w:r w:rsidR="00097CD3">
              <w:rPr>
                <w:rtl/>
              </w:rPr>
              <w:t>في «ى،بث،بخ،</w:t>
            </w:r>
            <w:r w:rsidRPr="00020424">
              <w:rPr>
                <w:rtl/>
              </w:rPr>
              <w:t>بس ، بف ، جن » : « شهر</w:t>
            </w:r>
            <w:r>
              <w:rPr>
                <w:rtl/>
              </w:rPr>
              <w:t xml:space="preserve"> ».</w:t>
            </w:r>
          </w:p>
        </w:tc>
      </w:tr>
    </w:tbl>
    <w:p w:rsidR="00992664" w:rsidRPr="00020424" w:rsidRDefault="00795177" w:rsidP="006A3395">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282 ، ح 855 ، معلّقاً عن الكليني </w:t>
      </w:r>
      <w:r w:rsidR="00097CD3">
        <w:rPr>
          <w:rFonts w:hint="cs"/>
          <w:rtl/>
        </w:rPr>
        <w:t>.</w:t>
      </w:r>
      <w:r w:rsidR="00992664" w:rsidRPr="0012008A">
        <w:rPr>
          <w:rStyle w:val="libFootnoteBoldChar"/>
          <w:rtl/>
        </w:rPr>
        <w:t>الوافي</w:t>
      </w:r>
      <w:r w:rsidR="00992664" w:rsidRPr="00020424">
        <w:rPr>
          <w:rtl/>
        </w:rPr>
        <w:t xml:space="preserve"> ، ج 11 ، ص 281 ، ح 10859 ؛ </w:t>
      </w:r>
      <w:r w:rsidR="00992664" w:rsidRPr="0012008A">
        <w:rPr>
          <w:rStyle w:val="libFootnoteBoldChar"/>
          <w:rtl/>
        </w:rPr>
        <w:t>الوسائل</w:t>
      </w:r>
      <w:r w:rsidR="00992664" w:rsidRPr="00020424">
        <w:rPr>
          <w:rtl/>
        </w:rPr>
        <w:t xml:space="preserve"> ، ج 10 ، ص 372 ، ح 13624.</w:t>
      </w:r>
      <w:r w:rsidR="00A16BF8">
        <w:rPr>
          <w:rFonts w:hint="cs"/>
          <w:rtl/>
        </w:rPr>
        <w:t xml:space="preserve">             </w:t>
      </w:r>
      <w:r>
        <w:rPr>
          <w:rtl/>
        </w:rPr>
        <w:t>(7).</w:t>
      </w:r>
      <w:r w:rsidR="0014403D">
        <w:rPr>
          <w:rtl/>
        </w:rPr>
        <w:t xml:space="preserve"> </w:t>
      </w:r>
      <w:r w:rsidR="00992664" w:rsidRPr="00020424">
        <w:rPr>
          <w:rtl/>
        </w:rPr>
        <w:t>في « ى » : « الرجل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A3395" w:rsidTr="006A3395">
        <w:tc>
          <w:tcPr>
            <w:tcW w:w="4006" w:type="dxa"/>
          </w:tcPr>
          <w:p w:rsidR="006A3395" w:rsidRDefault="006A3395" w:rsidP="00992664">
            <w:pPr>
              <w:pStyle w:val="libFootnote0"/>
              <w:rPr>
                <w:rtl/>
              </w:rPr>
            </w:pPr>
            <w:r>
              <w:rPr>
                <w:rtl/>
              </w:rPr>
              <w:t xml:space="preserve">(8). </w:t>
            </w:r>
            <w:r w:rsidRPr="00020424">
              <w:rPr>
                <w:rtl/>
              </w:rPr>
              <w:t>في « بر » :</w:t>
            </w:r>
            <w:r>
              <w:rPr>
                <w:rtl/>
              </w:rPr>
              <w:t xml:space="preserve"> - </w:t>
            </w:r>
            <w:r w:rsidRPr="00020424">
              <w:rPr>
                <w:rtl/>
              </w:rPr>
              <w:t>« في ظهار</w:t>
            </w:r>
            <w:r>
              <w:rPr>
                <w:rtl/>
              </w:rPr>
              <w:t xml:space="preserve"> ».</w:t>
            </w:r>
          </w:p>
        </w:tc>
        <w:tc>
          <w:tcPr>
            <w:tcW w:w="4006" w:type="dxa"/>
          </w:tcPr>
          <w:p w:rsidR="006A3395" w:rsidRDefault="006A3395" w:rsidP="00992664">
            <w:pPr>
              <w:pStyle w:val="libFootnote0"/>
              <w:rPr>
                <w:rtl/>
              </w:rPr>
            </w:pPr>
            <w:r>
              <w:rPr>
                <w:rtl/>
              </w:rPr>
              <w:t xml:space="preserve">(9). </w:t>
            </w:r>
            <w:r w:rsidRPr="00020424">
              <w:rPr>
                <w:rtl/>
              </w:rPr>
              <w:t xml:space="preserve">في </w:t>
            </w:r>
            <w:r w:rsidRPr="0012008A">
              <w:rPr>
                <w:rStyle w:val="libFootnoteBoldChar"/>
                <w:rtl/>
              </w:rPr>
              <w:t>الفقيه</w:t>
            </w:r>
            <w:r w:rsidRPr="00020424">
              <w:rPr>
                <w:rtl/>
              </w:rPr>
              <w:t xml:space="preserve"> </w:t>
            </w:r>
            <w:r w:rsidRPr="00515444">
              <w:rPr>
                <w:rStyle w:val="libFootnoteBoldChar"/>
                <w:rtl/>
              </w:rPr>
              <w:t>والتهذيب</w:t>
            </w:r>
            <w:r w:rsidRPr="00020424">
              <w:rPr>
                <w:rtl/>
              </w:rPr>
              <w:t xml:space="preserve"> : + « ثمّ</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ى ، بث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الآخر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بث ، بخ » : « ثلاثة أيّام</w:t>
      </w:r>
      <w:r w:rsidR="00992664">
        <w:rPr>
          <w:rtl/>
        </w:rPr>
        <w:t xml:space="preserve"> ».</w:t>
      </w:r>
    </w:p>
    <w:p w:rsidR="00992664" w:rsidRPr="00020424" w:rsidRDefault="00795177" w:rsidP="000B0E1B">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ثمّ عرض له ، ظاهره عدم جواز الإفطار بدون العذر وإن كان العذر خفيفاً ، ولعلّه محمول على الأفضليّة بقرينة لا ينبغي</w:t>
      </w:r>
      <w:r w:rsidR="00992664">
        <w:rPr>
          <w:rtl/>
        </w:rPr>
        <w:t xml:space="preserve"> ».</w:t>
      </w:r>
      <w:r w:rsidR="00A16BF8">
        <w:rPr>
          <w:rFonts w:hint="cs"/>
          <w:rtl/>
        </w:rPr>
        <w:t xml:space="preserve">               </w:t>
      </w:r>
      <w:r>
        <w:rPr>
          <w:rtl/>
        </w:rPr>
        <w:t>(13).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الشهر</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الفقيه</w:t>
      </w:r>
      <w:r w:rsidR="00992664" w:rsidRPr="00020424">
        <w:rPr>
          <w:rtl/>
        </w:rPr>
        <w:t xml:space="preserve"> ، ج 2 ، ص 152 ، ح 2007 ؛ </w:t>
      </w:r>
      <w:r w:rsidR="00992664" w:rsidRPr="00515444">
        <w:rPr>
          <w:rStyle w:val="libFootnoteBoldChar"/>
          <w:rtl/>
        </w:rPr>
        <w:t>والتهذيب</w:t>
      </w:r>
      <w:r w:rsidR="00992664" w:rsidRPr="00020424">
        <w:rPr>
          <w:rtl/>
        </w:rPr>
        <w:t xml:space="preserve"> ، ج 4 ، ص 329 ، ح 1027 ، معلّقاً عن الحسن بن محبوب </w:t>
      </w:r>
      <w:r w:rsidR="000B0E1B">
        <w:rPr>
          <w:rFonts w:hint="cs"/>
          <w:rtl/>
        </w:rPr>
        <w:t>.</w:t>
      </w:r>
      <w:r w:rsidR="00992664" w:rsidRPr="0012008A">
        <w:rPr>
          <w:rStyle w:val="libFootnoteBoldChar"/>
          <w:rtl/>
        </w:rPr>
        <w:t>الوافي</w:t>
      </w:r>
      <w:r w:rsidR="00992664" w:rsidRPr="00020424">
        <w:rPr>
          <w:rtl/>
        </w:rPr>
        <w:t xml:space="preserve"> ، ج 22 ، ص 939 ، ح 22504 ؛ </w:t>
      </w:r>
      <w:r w:rsidR="00992664" w:rsidRPr="0012008A">
        <w:rPr>
          <w:rStyle w:val="libFootnoteBoldChar"/>
          <w:rtl/>
        </w:rPr>
        <w:t>الوسائل</w:t>
      </w:r>
      <w:r w:rsidR="00992664" w:rsidRPr="00020424">
        <w:rPr>
          <w:rtl/>
        </w:rPr>
        <w:t xml:space="preserve"> ، ج 10 ، ص 373 ، ذيل ح 13627.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B1D94">
        <w:rPr>
          <w:rtl/>
        </w:rPr>
        <w:t>6550</w:t>
      </w:r>
      <w:r w:rsidRPr="001155DE">
        <w:rPr>
          <w:rStyle w:val="libBold2Char"/>
          <w:rtl/>
        </w:rPr>
        <w:t xml:space="preserve"> / 5.</w:t>
      </w:r>
      <w:r w:rsidRPr="00020424">
        <w:rPr>
          <w:rtl/>
          <w:lang w:bidi="fa-IR"/>
        </w:rPr>
        <w:t xml:space="preserve"> مُحَمَّدُ بْنُ إِسْمَاعِيلَ ، عَنِ الْفَضْلِ بْنِ شَاذَانَ ، عَنْ صَفْوَانَ بْنِ يَحْيى ، عَنْ مَنْصُورِ بْنِ حَازِمٍ :</w:t>
      </w:r>
    </w:p>
    <w:p w:rsidR="00992664" w:rsidRPr="00020424" w:rsidRDefault="00992664" w:rsidP="00BA3F5E">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w:t>
      </w:r>
      <w:r w:rsidRPr="00A91B96">
        <w:rPr>
          <w:rStyle w:val="libFootnotenumChar"/>
          <w:rtl/>
        </w:rPr>
        <w:t>(1)</w:t>
      </w:r>
      <w:r w:rsidRPr="00020424">
        <w:rPr>
          <w:rtl/>
          <w:lang w:bidi="fa-IR"/>
        </w:rPr>
        <w:t xml:space="preserve"> قَالَ فِي رَجُلٍ صَامَ فِي ظِهَارٍ شَعْبَانَ ، ثُمَّ أَدْرَكَهُ شَهْرُ </w:t>
      </w:r>
      <w:r w:rsidRPr="00A91B96">
        <w:rPr>
          <w:rStyle w:val="libFootnotenumChar"/>
          <w:rtl/>
        </w:rPr>
        <w:t>(2)</w:t>
      </w:r>
      <w:r w:rsidRPr="00020424">
        <w:rPr>
          <w:rtl/>
          <w:lang w:bidi="fa-IR"/>
        </w:rPr>
        <w:t xml:space="preserve"> رَمَضَا</w:t>
      </w:r>
      <w:r w:rsidR="00DD11C8">
        <w:rPr>
          <w:rtl/>
          <w:lang w:bidi="fa-IR"/>
        </w:rPr>
        <w:t>نَ</w:t>
      </w:r>
      <w:r w:rsidRPr="00020424">
        <w:rPr>
          <w:rtl/>
          <w:lang w:bidi="fa-IR"/>
        </w:rPr>
        <w:t xml:space="preserve">، قَالَ </w:t>
      </w:r>
      <w:r w:rsidRPr="00A91B96">
        <w:rPr>
          <w:rStyle w:val="libFootnotenumChar"/>
          <w:rtl/>
        </w:rPr>
        <w:t>(3)</w:t>
      </w:r>
      <w:r w:rsidRPr="00020424">
        <w:rPr>
          <w:rtl/>
          <w:lang w:bidi="fa-IR"/>
        </w:rPr>
        <w:t xml:space="preserve"> : « يَصُومُ </w:t>
      </w:r>
      <w:r w:rsidRPr="00A91B96">
        <w:rPr>
          <w:rStyle w:val="libFootnotenumChar"/>
          <w:rtl/>
        </w:rPr>
        <w:t>(4)</w:t>
      </w:r>
      <w:r w:rsidRPr="00020424">
        <w:rPr>
          <w:rtl/>
          <w:lang w:bidi="fa-IR"/>
        </w:rPr>
        <w:t xml:space="preserve"> رَمَضَانَ ، وَيَسْتَأْنِفُ الصَّوْمَ ، فَإِنْ هُوَ </w:t>
      </w:r>
      <w:r w:rsidRPr="00A91B96">
        <w:rPr>
          <w:rStyle w:val="libFootnotenumChar"/>
          <w:rtl/>
        </w:rPr>
        <w:t>(5)</w:t>
      </w:r>
      <w:r w:rsidRPr="00020424">
        <w:rPr>
          <w:rtl/>
          <w:lang w:bidi="fa-IR"/>
        </w:rPr>
        <w:t xml:space="preserve"> صَامَ فِي الظِّهَارِ ، فَزَادَ فِي النِّصْفِ يَوْماً ، قَضى </w:t>
      </w:r>
      <w:r w:rsidRPr="00A91B96">
        <w:rPr>
          <w:rStyle w:val="libFootnotenumChar"/>
          <w:rtl/>
        </w:rPr>
        <w:t>(6)</w:t>
      </w:r>
      <w:r w:rsidRPr="00020424">
        <w:rPr>
          <w:rtl/>
          <w:lang w:bidi="fa-IR"/>
        </w:rPr>
        <w:t xml:space="preserve"> بَقِيَّتَهُ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4B1D94">
        <w:rPr>
          <w:rtl/>
        </w:rPr>
        <w:t>6551</w:t>
      </w:r>
      <w:r w:rsidRPr="001155DE">
        <w:rPr>
          <w:rStyle w:val="libBold2Char"/>
          <w:rtl/>
        </w:rPr>
        <w:t xml:space="preserve"> / 6.</w:t>
      </w:r>
      <w:r w:rsidRPr="00020424">
        <w:rPr>
          <w:rtl/>
          <w:lang w:bidi="fa-IR"/>
        </w:rPr>
        <w:t xml:space="preserve"> عِدَّةٌ مِنْ أَصْحَابِنَا ، عَنْ أَحْمَدَ بْنِ مُحَمَّدٍ ، عَنْ عَلِيِّ بْنِ الْحَكَمِ ، عَنْ مُوسَى بْنِ بَكْرٍ ، عَنِ الْفُضَيْلِ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(9)</w:t>
      </w:r>
      <w:r w:rsidRPr="00020424">
        <w:rPr>
          <w:rtl/>
          <w:lang w:bidi="fa-IR"/>
        </w:rPr>
        <w:t xml:space="preserve"> : فِي رَجُلٍ جَعَلَ </w:t>
      </w:r>
      <w:r w:rsidRPr="00A91B96">
        <w:rPr>
          <w:rStyle w:val="libFootnotenumChar"/>
          <w:rtl/>
        </w:rPr>
        <w:t>(10)</w:t>
      </w:r>
      <w:r w:rsidRPr="00020424">
        <w:rPr>
          <w:rtl/>
          <w:lang w:bidi="fa-IR"/>
        </w:rPr>
        <w:t xml:space="preserve"> عَلَيْهِ صَوْمَ شَهْرٍ ، فَصَامَ مِنْهُ خَمْسَةَ عَشَرَ يَوْماً ، ثُمَّ عَرَضَ لَهُ أَمْرٌ ، فَقَالَ </w:t>
      </w:r>
      <w:r w:rsidRPr="00A91B96">
        <w:rPr>
          <w:rStyle w:val="libFootnotenumChar"/>
          <w:rtl/>
        </w:rPr>
        <w:t>(11)</w:t>
      </w:r>
      <w:r w:rsidRPr="00020424">
        <w:rPr>
          <w:rtl/>
          <w:lang w:bidi="fa-IR"/>
        </w:rPr>
        <w:t xml:space="preserve"> : « إِنْ كَانَ صَامَ خَمْسَةَ عَشَرَ يَوْماً ، فَلَهُ أَنْ يَقْضِيَ مَا بَقِيَ </w:t>
      </w:r>
      <w:r w:rsidRPr="00A91B96">
        <w:rPr>
          <w:rStyle w:val="libFootnotenumChar"/>
          <w:rtl/>
        </w:rPr>
        <w:t>(12)</w:t>
      </w:r>
      <w:r w:rsidRPr="00020424">
        <w:rPr>
          <w:rtl/>
          <w:lang w:bidi="fa-IR"/>
        </w:rPr>
        <w:t xml:space="preserve"> ، وَإِنْ كَانَ </w:t>
      </w:r>
      <w:r w:rsidRPr="00A91B96">
        <w:rPr>
          <w:rStyle w:val="libFootnotenumChar"/>
          <w:rtl/>
        </w:rPr>
        <w:t>(13)</w:t>
      </w:r>
      <w:r w:rsidRPr="00020424">
        <w:rPr>
          <w:rtl/>
          <w:lang w:bidi="fa-IR"/>
        </w:rPr>
        <w:t xml:space="preserve"> أَقَلَّ مِنْ خَمْسَةَ عَشَرَ يَوْماً ، لَمْ يُجْزِئْهُ </w:t>
      </w:r>
      <w:r w:rsidRPr="00A91B96">
        <w:rPr>
          <w:rStyle w:val="libFootnotenumChar"/>
          <w:rtl/>
        </w:rPr>
        <w:t>(14)</w:t>
      </w:r>
      <w:r w:rsidRPr="00020424">
        <w:rPr>
          <w:rtl/>
          <w:lang w:bidi="fa-IR"/>
        </w:rPr>
        <w:t xml:space="preserve"> حَتّى‌</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أنّه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42D4D" w:rsidTr="00642D4D">
        <w:tc>
          <w:tcPr>
            <w:tcW w:w="4006" w:type="dxa"/>
          </w:tcPr>
          <w:p w:rsidR="00642D4D" w:rsidRDefault="00642D4D" w:rsidP="00992664">
            <w:pPr>
              <w:pStyle w:val="libFootnote0"/>
              <w:rPr>
                <w:rtl/>
              </w:rPr>
            </w:pPr>
            <w:r>
              <w:rPr>
                <w:rtl/>
              </w:rPr>
              <w:t xml:space="preserve">(3). </w:t>
            </w:r>
            <w:r w:rsidRPr="00020424">
              <w:rPr>
                <w:rtl/>
              </w:rPr>
              <w:t>في « بح » : « فقال</w:t>
            </w:r>
            <w:r>
              <w:rPr>
                <w:rtl/>
              </w:rPr>
              <w:t xml:space="preserve"> ».</w:t>
            </w:r>
          </w:p>
        </w:tc>
        <w:tc>
          <w:tcPr>
            <w:tcW w:w="4006" w:type="dxa"/>
          </w:tcPr>
          <w:p w:rsidR="00642D4D" w:rsidRDefault="00642D4D" w:rsidP="00992664">
            <w:pPr>
              <w:pStyle w:val="libFootnote0"/>
              <w:rPr>
                <w:rtl/>
              </w:rPr>
            </w:pPr>
            <w:r>
              <w:rPr>
                <w:rtl/>
              </w:rPr>
              <w:t xml:space="preserve">(4). </w:t>
            </w:r>
            <w:r w:rsidRPr="00020424">
              <w:rPr>
                <w:rtl/>
              </w:rPr>
              <w:t xml:space="preserve">في « ظ ، بس » </w:t>
            </w:r>
            <w:r w:rsidRPr="00515444">
              <w:rPr>
                <w:rStyle w:val="libFootnoteBoldChar"/>
                <w:rtl/>
              </w:rPr>
              <w:t>والتهذيب</w:t>
            </w:r>
            <w:r w:rsidRPr="00020424">
              <w:rPr>
                <w:rtl/>
              </w:rPr>
              <w:t xml:space="preserve"> : + « شهر</w:t>
            </w:r>
            <w:r>
              <w:rPr>
                <w:rtl/>
              </w:rPr>
              <w:t xml:space="preserve"> ».</w:t>
            </w:r>
          </w:p>
        </w:tc>
      </w:tr>
      <w:tr w:rsidR="00642D4D" w:rsidTr="00642D4D">
        <w:tc>
          <w:tcPr>
            <w:tcW w:w="4006" w:type="dxa"/>
          </w:tcPr>
          <w:p w:rsidR="00642D4D" w:rsidRDefault="00642D4D" w:rsidP="00992664">
            <w:pPr>
              <w:pStyle w:val="libFootnote0"/>
              <w:rPr>
                <w:rtl/>
              </w:rPr>
            </w:pPr>
            <w:r>
              <w:rPr>
                <w:rtl/>
              </w:rPr>
              <w:t xml:space="preserve">(5).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هو</w:t>
            </w:r>
            <w:r>
              <w:rPr>
                <w:rtl/>
              </w:rPr>
              <w:t xml:space="preserve"> ».</w:t>
            </w:r>
          </w:p>
        </w:tc>
        <w:tc>
          <w:tcPr>
            <w:tcW w:w="4006" w:type="dxa"/>
          </w:tcPr>
          <w:p w:rsidR="00642D4D" w:rsidRDefault="00642D4D" w:rsidP="00992664">
            <w:pPr>
              <w:pStyle w:val="libFootnote0"/>
              <w:rPr>
                <w:rtl/>
              </w:rPr>
            </w:pPr>
            <w:r>
              <w:rPr>
                <w:rtl/>
              </w:rPr>
              <w:t xml:space="preserve">(6). </w:t>
            </w:r>
            <w:r w:rsidR="00817F2B">
              <w:rPr>
                <w:rtl/>
              </w:rPr>
              <w:t>في «بح» :«</w:t>
            </w:r>
            <w:r w:rsidRPr="00020424">
              <w:rPr>
                <w:rtl/>
              </w:rPr>
              <w:t>فقضى</w:t>
            </w:r>
            <w:r>
              <w:rPr>
                <w:rtl/>
              </w:rPr>
              <w:t>».</w:t>
            </w:r>
            <w:r w:rsidRPr="00020424">
              <w:rPr>
                <w:rtl/>
              </w:rPr>
              <w:t xml:space="preserve"> وفي </w:t>
            </w:r>
            <w:r w:rsidRPr="0012008A">
              <w:rPr>
                <w:rStyle w:val="libFootnoteBoldChar"/>
                <w:rtl/>
              </w:rPr>
              <w:t>التهذيب</w:t>
            </w:r>
            <w:r w:rsidR="00817F2B">
              <w:rPr>
                <w:rtl/>
              </w:rPr>
              <w:t>:«</w:t>
            </w:r>
            <w:r w:rsidRPr="00020424">
              <w:rPr>
                <w:rtl/>
              </w:rPr>
              <w:t>بنى وقضى</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283 ، ح 857 ، معلّقاً عن الكليني. </w:t>
      </w:r>
      <w:r w:rsidR="00992664" w:rsidRPr="0012008A">
        <w:rPr>
          <w:rStyle w:val="libFootnoteBoldChar"/>
          <w:rtl/>
        </w:rPr>
        <w:t>الفقيه</w:t>
      </w:r>
      <w:r w:rsidR="00992664" w:rsidRPr="00020424">
        <w:rPr>
          <w:rtl/>
        </w:rPr>
        <w:t xml:space="preserve"> ، ج 2 ، ص 152 ، ح 2006 ، معلّقاً عن منصور بن حازم </w:t>
      </w:r>
      <w:r w:rsidR="00BF3AC4">
        <w:rPr>
          <w:rFonts w:hint="cs"/>
          <w:rtl/>
        </w:rPr>
        <w:t>.</w:t>
      </w:r>
      <w:r w:rsidR="00992664" w:rsidRPr="0012008A">
        <w:rPr>
          <w:rStyle w:val="libFootnoteBoldChar"/>
          <w:rtl/>
        </w:rPr>
        <w:t>الوافي</w:t>
      </w:r>
      <w:r w:rsidR="00992664" w:rsidRPr="00020424">
        <w:rPr>
          <w:rtl/>
        </w:rPr>
        <w:t xml:space="preserve"> ، ج 22 ، ص 940 ، ح 22505 ؛ </w:t>
      </w:r>
      <w:r w:rsidR="00992664" w:rsidRPr="0012008A">
        <w:rPr>
          <w:rStyle w:val="libFootnoteBoldChar"/>
          <w:rtl/>
        </w:rPr>
        <w:t>الوسائل</w:t>
      </w:r>
      <w:r w:rsidR="00992664" w:rsidRPr="00020424">
        <w:rPr>
          <w:rtl/>
        </w:rPr>
        <w:t xml:space="preserve"> ، ج 10 ، ص 372 ، ذيل ح 13623 ؛ وص 375 ، ح 13633.</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863 :</w:t>
      </w:r>
      <w:r w:rsidR="00992664">
        <w:rPr>
          <w:rtl/>
        </w:rPr>
        <w:t xml:space="preserve"> </w:t>
      </w:r>
      <w:r w:rsidR="009B673F">
        <w:rPr>
          <w:rtl/>
        </w:rPr>
        <w:t>-</w:t>
      </w:r>
      <w:r w:rsidR="00992664">
        <w:rPr>
          <w:rtl/>
        </w:rPr>
        <w:t xml:space="preserve"> </w:t>
      </w:r>
      <w:r w:rsidR="00992664" w:rsidRPr="00020424">
        <w:rPr>
          <w:rtl/>
        </w:rPr>
        <w:t>« عن الفضيل</w:t>
      </w:r>
      <w:r w:rsidR="00992664">
        <w:rPr>
          <w:rtl/>
        </w:rPr>
        <w:t xml:space="preserve"> ».</w:t>
      </w:r>
      <w:r w:rsidR="00992664" w:rsidRPr="00020424">
        <w:rPr>
          <w:rtl/>
        </w:rPr>
        <w:t xml:space="preserve"> والظاهر ثبوته ؛ فقد روى الشيخ الصدوق الخبر في </w:t>
      </w:r>
      <w:r w:rsidR="00992664" w:rsidRPr="0012008A">
        <w:rPr>
          <w:rStyle w:val="libFootnoteBoldChar"/>
          <w:rtl/>
        </w:rPr>
        <w:t>الفقيه</w:t>
      </w:r>
      <w:r w:rsidR="00DD11C8">
        <w:rPr>
          <w:rtl/>
        </w:rPr>
        <w:t xml:space="preserve"> ، ج 2</w:t>
      </w:r>
      <w:r w:rsidR="00992664" w:rsidRPr="00020424">
        <w:rPr>
          <w:rtl/>
        </w:rPr>
        <w:t xml:space="preserve">، ص 152 ، ح 2005 ، قال : « روى موسى بن بكر ، عن الفضيل ، عن أبي عبد الله </w:t>
      </w:r>
      <w:r w:rsidR="00992664" w:rsidRPr="00D64ADA">
        <w:rPr>
          <w:rStyle w:val="libFootnoteAlaemChar"/>
          <w:rtl/>
        </w:rPr>
        <w:t>عليه‌السلام</w:t>
      </w:r>
      <w:r w:rsidR="00992664">
        <w:rPr>
          <w:rtl/>
        </w:rPr>
        <w:t xml:space="preserve"> ».</w:t>
      </w:r>
      <w:r w:rsidR="00992664" w:rsidRPr="00020424">
        <w:rPr>
          <w:rtl/>
        </w:rPr>
        <w:t xml:space="preserve"> ورواية موسى بن بكر عن الفضيل [ بن يسار ] متكرّرة. راجع : </w:t>
      </w:r>
      <w:r w:rsidR="00992664" w:rsidRPr="00DE76B9">
        <w:rPr>
          <w:rStyle w:val="libFootnoteBoldChar"/>
          <w:rtl/>
        </w:rPr>
        <w:t>معجم رجال الحديث</w:t>
      </w:r>
      <w:r w:rsidR="00992664" w:rsidRPr="00020424">
        <w:rPr>
          <w:rtl/>
        </w:rPr>
        <w:t xml:space="preserve"> ، ج 19 ، ص 345</w:t>
      </w:r>
      <w:r w:rsidR="00992664">
        <w:rPr>
          <w:rtl/>
        </w:rPr>
        <w:t xml:space="preserve"> </w:t>
      </w:r>
      <w:r w:rsidR="009B673F">
        <w:rPr>
          <w:rtl/>
        </w:rPr>
        <w:t>-</w:t>
      </w:r>
      <w:r w:rsidR="00992664">
        <w:rPr>
          <w:rtl/>
        </w:rPr>
        <w:t xml:space="preserve"> </w:t>
      </w:r>
      <w:r w:rsidR="00992664" w:rsidRPr="00020424">
        <w:rPr>
          <w:rtl/>
        </w:rPr>
        <w:t>346.</w:t>
      </w:r>
    </w:p>
    <w:p w:rsidR="00992664" w:rsidRPr="00020424" w:rsidRDefault="00992664" w:rsidP="007F156B">
      <w:pPr>
        <w:pStyle w:val="libFootnote0"/>
        <w:rPr>
          <w:rtl/>
          <w:lang w:bidi="fa-IR"/>
        </w:rPr>
      </w:pPr>
      <w:r w:rsidRPr="007F156B">
        <w:rPr>
          <w:rtl/>
        </w:rPr>
        <w:t xml:space="preserve">هذا ، وموسى بن بكر وإن عُدَّ من رواة أبي عبدالله </w:t>
      </w:r>
      <w:r w:rsidRPr="00D64ADA">
        <w:rPr>
          <w:rStyle w:val="libFootnoteAlaemChar"/>
          <w:rtl/>
        </w:rPr>
        <w:t>عليه‌السلام</w:t>
      </w:r>
      <w:r w:rsidRPr="007F156B">
        <w:rPr>
          <w:rtl/>
        </w:rPr>
        <w:t xml:space="preserve"> ، ورو</w:t>
      </w:r>
      <w:r w:rsidR="007F156B">
        <w:rPr>
          <w:rtl/>
        </w:rPr>
        <w:t>ى عنه في قليلٍ من الأسناد ، إل</w:t>
      </w:r>
      <w:r w:rsidR="007F156B">
        <w:rPr>
          <w:rFonts w:hint="cs"/>
          <w:rtl/>
        </w:rPr>
        <w:t>ّ</w:t>
      </w:r>
      <w:r w:rsidR="007F156B">
        <w:rPr>
          <w:rtl/>
        </w:rPr>
        <w:t>ا</w:t>
      </w:r>
      <w:r w:rsidRPr="007F156B">
        <w:rPr>
          <w:rtl/>
        </w:rPr>
        <w:t xml:space="preserve"> أن أكثر رواياته عنه</w:t>
      </w:r>
      <w:r w:rsidRPr="00D64ADA">
        <w:rPr>
          <w:rStyle w:val="libFootnoteAlaemChar"/>
          <w:rtl/>
        </w:rPr>
        <w:t>عليه‌السلام</w:t>
      </w:r>
      <w:r w:rsidRPr="007F156B">
        <w:rPr>
          <w:rtl/>
        </w:rPr>
        <w:t xml:space="preserve"> بالتوسّط.</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863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3362C" w:rsidTr="0003362C">
        <w:tc>
          <w:tcPr>
            <w:tcW w:w="4006" w:type="dxa"/>
          </w:tcPr>
          <w:p w:rsidR="0003362C" w:rsidRDefault="0003362C" w:rsidP="00992664">
            <w:pPr>
              <w:pStyle w:val="libFootnote0"/>
              <w:rPr>
                <w:rtl/>
              </w:rPr>
            </w:pPr>
            <w:r>
              <w:rPr>
                <w:rtl/>
              </w:rPr>
              <w:t xml:space="preserve">(10). </w:t>
            </w:r>
            <w:r w:rsidRPr="00020424">
              <w:rPr>
                <w:rtl/>
              </w:rPr>
              <w:t xml:space="preserve">في « بح » </w:t>
            </w:r>
            <w:r w:rsidRPr="00515444">
              <w:rPr>
                <w:rStyle w:val="libFootnoteBoldChar"/>
                <w:rtl/>
              </w:rPr>
              <w:t>والوافي</w:t>
            </w:r>
            <w:r w:rsidRPr="00020424">
              <w:rPr>
                <w:rtl/>
              </w:rPr>
              <w:t xml:space="preserve"> :</w:t>
            </w:r>
            <w:r>
              <w:rPr>
                <w:rtl/>
              </w:rPr>
              <w:t xml:space="preserve"> - </w:t>
            </w:r>
            <w:r w:rsidRPr="00020424">
              <w:rPr>
                <w:rtl/>
              </w:rPr>
              <w:t>« جعل</w:t>
            </w:r>
            <w:r>
              <w:rPr>
                <w:rtl/>
              </w:rPr>
              <w:t xml:space="preserve"> ».</w:t>
            </w:r>
          </w:p>
        </w:tc>
        <w:tc>
          <w:tcPr>
            <w:tcW w:w="4006" w:type="dxa"/>
          </w:tcPr>
          <w:p w:rsidR="0003362C" w:rsidRDefault="0003362C" w:rsidP="00992664">
            <w:pPr>
              <w:pStyle w:val="libFootnote0"/>
              <w:rPr>
                <w:rtl/>
              </w:rPr>
            </w:pPr>
            <w:r>
              <w:rPr>
                <w:rtl/>
              </w:rPr>
              <w:t xml:space="preserve">(11). </w:t>
            </w:r>
            <w:r w:rsidRPr="00020424">
              <w:rPr>
                <w:rtl/>
              </w:rPr>
              <w:t xml:space="preserve">في </w:t>
            </w:r>
            <w:r w:rsidRPr="0012008A">
              <w:rPr>
                <w:rStyle w:val="libFootnoteBoldChar"/>
                <w:rtl/>
              </w:rPr>
              <w:t>التهذيب</w:t>
            </w:r>
            <w:r w:rsidRPr="00020424">
              <w:rPr>
                <w:rtl/>
              </w:rPr>
              <w:t xml:space="preserve"> ، ح 863 : « قال</w:t>
            </w:r>
            <w:r>
              <w:rPr>
                <w:rtl/>
              </w:rPr>
              <w:t xml:space="preserve"> ».</w:t>
            </w:r>
          </w:p>
        </w:tc>
      </w:tr>
      <w:tr w:rsidR="0003362C" w:rsidTr="0003362C">
        <w:tc>
          <w:tcPr>
            <w:tcW w:w="4006" w:type="dxa"/>
          </w:tcPr>
          <w:p w:rsidR="0003362C" w:rsidRDefault="0051480E" w:rsidP="00992664">
            <w:pPr>
              <w:pStyle w:val="libFootnote0"/>
              <w:rPr>
                <w:rtl/>
              </w:rPr>
            </w:pPr>
            <w:r>
              <w:rPr>
                <w:rtl/>
              </w:rPr>
              <w:t xml:space="preserve">(12). </w:t>
            </w:r>
            <w:r w:rsidRPr="00020424">
              <w:rPr>
                <w:rtl/>
              </w:rPr>
              <w:t xml:space="preserve">في </w:t>
            </w:r>
            <w:r w:rsidRPr="0012008A">
              <w:rPr>
                <w:rStyle w:val="libFootnoteBoldChar"/>
                <w:rtl/>
              </w:rPr>
              <w:t>التهذيب</w:t>
            </w:r>
            <w:r w:rsidRPr="00020424">
              <w:rPr>
                <w:rtl/>
              </w:rPr>
              <w:t xml:space="preserve"> : + « عليه</w:t>
            </w:r>
            <w:r>
              <w:rPr>
                <w:rtl/>
              </w:rPr>
              <w:t xml:space="preserve"> ».</w:t>
            </w:r>
          </w:p>
        </w:tc>
        <w:tc>
          <w:tcPr>
            <w:tcW w:w="4006" w:type="dxa"/>
          </w:tcPr>
          <w:p w:rsidR="0003362C" w:rsidRDefault="0051480E" w:rsidP="00992664">
            <w:pPr>
              <w:pStyle w:val="libFootnote0"/>
              <w:rPr>
                <w:rtl/>
              </w:rPr>
            </w:pPr>
            <w:r>
              <w:rPr>
                <w:rtl/>
              </w:rPr>
              <w:t xml:space="preserve">(13). </w:t>
            </w:r>
            <w:r w:rsidRPr="00020424">
              <w:rPr>
                <w:rtl/>
              </w:rPr>
              <w:t xml:space="preserve">في </w:t>
            </w:r>
            <w:r w:rsidRPr="0012008A">
              <w:rPr>
                <w:rStyle w:val="libFootnoteBoldChar"/>
                <w:rtl/>
              </w:rPr>
              <w:t>الوافي</w:t>
            </w:r>
            <w:r w:rsidRPr="00020424">
              <w:rPr>
                <w:rtl/>
              </w:rPr>
              <w:t xml:space="preserve"> : + « صام</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5B68A6">
        <w:rPr>
          <w:rtl/>
        </w:rPr>
        <w:t>الوافي والوسائل والتهذيب ، ح 863 : « لم يجز</w:t>
      </w:r>
      <w:r w:rsidR="00992664" w:rsidRPr="00020424">
        <w:rPr>
          <w:rtl/>
        </w:rPr>
        <w:t>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DD11C8">
      <w:pPr>
        <w:pStyle w:val="libNormal0"/>
        <w:rPr>
          <w:rtl/>
          <w:lang w:bidi="fa-IR"/>
        </w:rPr>
      </w:pPr>
      <w:r w:rsidRPr="00020424">
        <w:rPr>
          <w:rtl/>
          <w:lang w:bidi="fa-IR"/>
        </w:rPr>
        <w:t xml:space="preserve">يَصُومَ شَهْراً تَامّاً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B1D94">
        <w:rPr>
          <w:rtl/>
        </w:rPr>
        <w:t>6552</w:t>
      </w:r>
      <w:r w:rsidRPr="001155DE">
        <w:rPr>
          <w:rStyle w:val="libBold2Char"/>
          <w:rtl/>
        </w:rPr>
        <w:t xml:space="preserve"> / 7.</w:t>
      </w:r>
      <w:r w:rsidRPr="00020424">
        <w:rPr>
          <w:rtl/>
          <w:lang w:bidi="fa-IR"/>
        </w:rPr>
        <w:t xml:space="preserve"> عِدَّةٌ مِنْ أَصْحَابِنَا ، عَنْ أَحْمَدَ بْنِ مُحَمَّدٍ ، عَنِ الْحُسَيْنِ بْنِ سَعِيدٍ ، عَنِ الْقَاسِمِ بْنِ مُحَمَّدٍ ، عَنْ عَلِيِّ بْنِ أَبِي حَمْزَةَ ، عَنْ أَبِي بَصِيرٍ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قَطْعِ صَوْمِ كَفَّارَةِ الْيَمِينِ ، وَكَفَّارَةِ الظِّهَارِ ، وَكَفَّارَةِ الْقَتْلِ</w:t>
      </w:r>
      <w:r>
        <w:rPr>
          <w:rtl/>
          <w:lang w:bidi="fa-IR"/>
        </w:rPr>
        <w:t>؟</w:t>
      </w:r>
    </w:p>
    <w:p w:rsidR="00992664" w:rsidRPr="00020424" w:rsidRDefault="00992664" w:rsidP="00992664">
      <w:pPr>
        <w:pStyle w:val="libNormal"/>
        <w:rPr>
          <w:rtl/>
          <w:lang w:bidi="fa-IR"/>
        </w:rPr>
      </w:pPr>
      <w:r w:rsidRPr="00020424">
        <w:rPr>
          <w:rtl/>
          <w:lang w:bidi="fa-IR"/>
        </w:rPr>
        <w:t xml:space="preserve">فَقَالَ : « إِنْ كَانَ عَلى رَجُلٍ صِيَامُ شَهْرَيْنِ مُتَتَابِعَيْنِ ، فَأَفْطَرَ </w:t>
      </w:r>
      <w:r w:rsidRPr="00A91B96">
        <w:rPr>
          <w:rStyle w:val="libFootnotenumChar"/>
          <w:rtl/>
        </w:rPr>
        <w:t>(3)</w:t>
      </w:r>
      <w:r w:rsidRPr="00020424">
        <w:rPr>
          <w:rtl/>
          <w:lang w:bidi="fa-IR"/>
        </w:rPr>
        <w:t xml:space="preserve"> ، أَوْ مَرِضَ فِي الشَّهْرِ الْأَوَّلِ ، فَإِنَّ عَلَيْهِ أَنْ يُعِيدَ الصِّيَامَ ؛ وَإِنْ صَامَ الشَّهْرَ الْأَوَّلَ ، وَصَامَ مِنَ الشَّهْرِ الثَّانِي شَيْئاً ، ثُمَّ عَرَضَ لَهُ </w:t>
      </w:r>
      <w:r w:rsidRPr="00A91B96">
        <w:rPr>
          <w:rStyle w:val="libFootnotenumChar"/>
          <w:rtl/>
        </w:rPr>
        <w:t>(4)</w:t>
      </w:r>
      <w:r w:rsidRPr="00020424">
        <w:rPr>
          <w:rtl/>
          <w:lang w:bidi="fa-IR"/>
        </w:rPr>
        <w:t xml:space="preserve"> مَا لَهُ فِيهِ عُذْرٌ ، فَإِنَّ عَلَيْهِ أَنْ يَقْضِيَ</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4B1D94">
        <w:rPr>
          <w:rtl/>
        </w:rPr>
        <w:t>6553</w:t>
      </w:r>
      <w:r w:rsidRPr="001155DE">
        <w:rPr>
          <w:rStyle w:val="libBold2Char"/>
          <w:rtl/>
        </w:rPr>
        <w:t xml:space="preserve"> / 8.</w:t>
      </w:r>
      <w:r w:rsidRPr="00020424">
        <w:rPr>
          <w:rtl/>
          <w:lang w:bidi="fa-IR"/>
        </w:rPr>
        <w:t xml:space="preserve"> عِدَّةٌ مِنْ أَصْحَابِنَا ، عَنْ سَهْلِ بْنِ زِيَادٍ ، عَنِ الْحَسَنِ </w:t>
      </w:r>
      <w:r w:rsidRPr="00A91B96">
        <w:rPr>
          <w:rStyle w:val="libFootnotenumChar"/>
          <w:rtl/>
        </w:rPr>
        <w:t>(6)</w:t>
      </w:r>
      <w:r w:rsidRPr="00020424">
        <w:rPr>
          <w:rtl/>
          <w:lang w:bidi="fa-IR"/>
        </w:rPr>
        <w:t xml:space="preserve"> بْنِ مَحْبُوبٍ ، عَنْ عَلِيِّ </w:t>
      </w:r>
      <w:r w:rsidRPr="00A91B96">
        <w:rPr>
          <w:rStyle w:val="libFootnotenumChar"/>
          <w:rtl/>
        </w:rPr>
        <w:t>(7)</w:t>
      </w:r>
      <w:r w:rsidRPr="00020424">
        <w:rPr>
          <w:rtl/>
          <w:lang w:bidi="fa-IR"/>
        </w:rPr>
        <w:t xml:space="preserve"> بْنِ رِئَابٍ ، عَنْ زُرَارَةَ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سَأَلْتُهُ عَنْ رَجُلٍ قَتَلَ رَجُلاً خَطَأً فِي الشَّهْرِ الْحَرَامِ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 xml:space="preserve">قَالَ : « تُغَلَّظُ عَلَيْهِ الدِّيَةُ </w:t>
      </w:r>
      <w:r w:rsidRPr="00A91B96">
        <w:rPr>
          <w:rStyle w:val="libFootnotenumChar"/>
          <w:rtl/>
        </w:rPr>
        <w:t>(9)</w:t>
      </w:r>
      <w:r w:rsidRPr="00020424">
        <w:rPr>
          <w:rtl/>
          <w:lang w:bidi="fa-IR"/>
        </w:rPr>
        <w:t xml:space="preserve"> ، وَعَلَيْهِ عِتْقُ رَقَبَةٍ ، أَوْ صِيَامُ </w:t>
      </w:r>
      <w:r w:rsidRPr="00A91B96">
        <w:rPr>
          <w:rStyle w:val="libFootnotenumChar"/>
          <w:rtl/>
        </w:rPr>
        <w:t>(10)</w:t>
      </w:r>
      <w:r w:rsidRPr="00020424">
        <w:rPr>
          <w:rtl/>
          <w:lang w:bidi="fa-IR"/>
        </w:rPr>
        <w:t xml:space="preserve"> شَهْرَيْنِ مُتَتَابِعَيْنِ مِنْ‌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ذلك لأنّ الشهر قد يكون تسعة وعشرين ، فإذا صام خمسة عشر فقد تجاوز النصف</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وهو</w:t>
      </w:r>
      <w:r w:rsidR="00992664">
        <w:rPr>
          <w:rtl/>
        </w:rPr>
        <w:t xml:space="preserve"> </w:t>
      </w:r>
      <w:r w:rsidR="009B673F">
        <w:rPr>
          <w:rtl/>
        </w:rPr>
        <w:t>-</w:t>
      </w:r>
      <w:r w:rsidR="00992664">
        <w:rPr>
          <w:rtl/>
        </w:rPr>
        <w:t xml:space="preserve"> </w:t>
      </w:r>
      <w:r w:rsidR="00992664" w:rsidRPr="00020424">
        <w:rPr>
          <w:rtl/>
        </w:rPr>
        <w:t>أي هذا الحديث</w:t>
      </w:r>
      <w:r w:rsidR="00992664">
        <w:rPr>
          <w:rtl/>
        </w:rPr>
        <w:t xml:space="preserve"> </w:t>
      </w:r>
      <w:r w:rsidR="009B673F">
        <w:rPr>
          <w:rtl/>
        </w:rPr>
        <w:t>-</w:t>
      </w:r>
      <w:r w:rsidR="00992664">
        <w:rPr>
          <w:rtl/>
        </w:rPr>
        <w:t xml:space="preserve"> </w:t>
      </w:r>
      <w:r w:rsidR="00992664" w:rsidRPr="00020424">
        <w:rPr>
          <w:rtl/>
        </w:rPr>
        <w:t>غير مناسب للباب ومضمونه مشهور بين الأصحاب ، ومنهم من ردّه لضعف سنده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285 ، ح 863 ، معلّقاً عن الكليني. </w:t>
      </w:r>
      <w:r w:rsidR="00992664" w:rsidRPr="0012008A">
        <w:rPr>
          <w:rStyle w:val="libFootnoteBoldChar"/>
          <w:rtl/>
        </w:rPr>
        <w:t>الفقيه</w:t>
      </w:r>
      <w:r w:rsidR="00992664" w:rsidRPr="00020424">
        <w:rPr>
          <w:rtl/>
        </w:rPr>
        <w:t xml:space="preserve"> ، ج 2 ، ص 152 ، ح 2005 ، معلّقاً عن موسى بن بكر ؛ </w:t>
      </w:r>
      <w:r w:rsidR="00992664" w:rsidRPr="0012008A">
        <w:rPr>
          <w:rStyle w:val="libFootnoteBoldChar"/>
          <w:rtl/>
        </w:rPr>
        <w:t>التهذيب</w:t>
      </w:r>
      <w:r w:rsidR="00992664" w:rsidRPr="00020424">
        <w:rPr>
          <w:rtl/>
        </w:rPr>
        <w:t xml:space="preserve"> ، ج 4 ، ص 285 ، ح 864 ، بسنده عن موسى بن بكر ، عن الفضيل بن يسار ، عن أبي جعفر </w:t>
      </w:r>
      <w:r w:rsidR="00992664" w:rsidRPr="00D64ADA">
        <w:rPr>
          <w:rStyle w:val="libFootnoteAlaemChar"/>
          <w:rtl/>
        </w:rPr>
        <w:t>عليه‌السلام</w:t>
      </w:r>
      <w:r w:rsidR="00992664" w:rsidRPr="00020424">
        <w:rPr>
          <w:rtl/>
        </w:rPr>
        <w:t xml:space="preserve"> ، وفي الأخيرين مع اختلاف يسير </w:t>
      </w:r>
      <w:r w:rsidR="005B68A6">
        <w:rPr>
          <w:rFonts w:hint="cs"/>
          <w:rtl/>
        </w:rPr>
        <w:t>.</w:t>
      </w:r>
      <w:r w:rsidR="00992664" w:rsidRPr="0012008A">
        <w:rPr>
          <w:rStyle w:val="libFootnoteBoldChar"/>
          <w:rtl/>
        </w:rPr>
        <w:t>الوافي</w:t>
      </w:r>
      <w:r w:rsidR="00992664" w:rsidRPr="00020424">
        <w:rPr>
          <w:rtl/>
        </w:rPr>
        <w:t xml:space="preserve"> ، ج 11 ، ص 282 ، ح 10864 ؛ </w:t>
      </w:r>
      <w:r w:rsidR="00992664" w:rsidRPr="0012008A">
        <w:rPr>
          <w:rStyle w:val="libFootnoteBoldChar"/>
          <w:rtl/>
        </w:rPr>
        <w:t>الوسائل</w:t>
      </w:r>
      <w:r w:rsidR="00992664" w:rsidRPr="00020424">
        <w:rPr>
          <w:rtl/>
        </w:rPr>
        <w:t xml:space="preserve"> ، ج 10 ، ص 376 ، ح 13635.</w:t>
      </w:r>
    </w:p>
    <w:tbl>
      <w:tblPr>
        <w:tblStyle w:val="TableGrid"/>
        <w:bidiVisual/>
        <w:tblW w:w="0" w:type="auto"/>
        <w:tblLook w:val="04A0" w:firstRow="1" w:lastRow="0" w:firstColumn="1" w:lastColumn="0" w:noHBand="0" w:noVBand="1"/>
      </w:tblPr>
      <w:tblGrid>
        <w:gridCol w:w="4006"/>
        <w:gridCol w:w="4006"/>
      </w:tblGrid>
      <w:tr w:rsidR="005B68A6" w:rsidTr="005B68A6">
        <w:tc>
          <w:tcPr>
            <w:tcW w:w="4006" w:type="dxa"/>
          </w:tcPr>
          <w:p w:rsidR="005B68A6" w:rsidRDefault="005B68A6" w:rsidP="00992664">
            <w:pPr>
              <w:pStyle w:val="libFootnote0"/>
              <w:rPr>
                <w:rtl/>
              </w:rPr>
            </w:pPr>
            <w:r>
              <w:rPr>
                <w:rtl/>
              </w:rPr>
              <w:t xml:space="preserve">(3). </w:t>
            </w:r>
            <w:r w:rsidRPr="00020424">
              <w:rPr>
                <w:rtl/>
              </w:rPr>
              <w:t>في « بخ ، بر ، بف » : « وأفطر</w:t>
            </w:r>
            <w:r>
              <w:rPr>
                <w:rtl/>
              </w:rPr>
              <w:t xml:space="preserve"> ».</w:t>
            </w:r>
          </w:p>
        </w:tc>
        <w:tc>
          <w:tcPr>
            <w:tcW w:w="4006" w:type="dxa"/>
          </w:tcPr>
          <w:p w:rsidR="005B68A6" w:rsidRDefault="005B68A6" w:rsidP="00992664">
            <w:pPr>
              <w:pStyle w:val="libFootnote0"/>
              <w:rPr>
                <w:rtl/>
              </w:rPr>
            </w:pPr>
            <w:r>
              <w:rPr>
                <w:rtl/>
              </w:rPr>
              <w:t xml:space="preserve">(4). </w:t>
            </w:r>
            <w:r w:rsidRPr="00020424">
              <w:rPr>
                <w:rtl/>
              </w:rPr>
              <w:t>في « بخ ، بر »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285 ، ح 862 ؛ </w:t>
      </w:r>
      <w:r w:rsidR="00992664" w:rsidRPr="00FD6221">
        <w:rPr>
          <w:rStyle w:val="libFootnoteBoldChar"/>
          <w:rtl/>
        </w:rPr>
        <w:t>والاستبصار</w:t>
      </w:r>
      <w:r w:rsidR="00992664" w:rsidRPr="00020424">
        <w:rPr>
          <w:rtl/>
        </w:rPr>
        <w:t xml:space="preserve"> ، ج 2 ، ص 125 ، ح 405 ، معلّقاً عن الحسين بن سعيد </w:t>
      </w:r>
      <w:r w:rsidR="00A73242">
        <w:rPr>
          <w:rFonts w:hint="cs"/>
          <w:rtl/>
        </w:rPr>
        <w:t>.</w:t>
      </w:r>
      <w:r w:rsidR="00992664" w:rsidRPr="0012008A">
        <w:rPr>
          <w:rStyle w:val="libFootnoteBoldChar"/>
          <w:rtl/>
        </w:rPr>
        <w:t>الوافي</w:t>
      </w:r>
      <w:r w:rsidR="00992664" w:rsidRPr="00020424">
        <w:rPr>
          <w:rtl/>
        </w:rPr>
        <w:t xml:space="preserve"> ، ج 22 ، ص 940 ، ح 22506 ؛ </w:t>
      </w:r>
      <w:r w:rsidR="00992664" w:rsidRPr="0012008A">
        <w:rPr>
          <w:rStyle w:val="libFootnoteBoldChar"/>
          <w:rtl/>
        </w:rPr>
        <w:t>الوسائل</w:t>
      </w:r>
      <w:r w:rsidR="00992664" w:rsidRPr="00020424">
        <w:rPr>
          <w:rtl/>
        </w:rPr>
        <w:t xml:space="preserve"> ، ج 10 ، ص 372 ، ح 13625.</w:t>
      </w:r>
    </w:p>
    <w:tbl>
      <w:tblPr>
        <w:tblStyle w:val="TableGrid"/>
        <w:bidiVisual/>
        <w:tblW w:w="0" w:type="auto"/>
        <w:tblLook w:val="04A0" w:firstRow="1" w:lastRow="0" w:firstColumn="1" w:lastColumn="0" w:noHBand="0" w:noVBand="1"/>
      </w:tblPr>
      <w:tblGrid>
        <w:gridCol w:w="4006"/>
        <w:gridCol w:w="4006"/>
      </w:tblGrid>
      <w:tr w:rsidR="00FE37C1" w:rsidTr="00FE37C1">
        <w:tc>
          <w:tcPr>
            <w:tcW w:w="4006" w:type="dxa"/>
          </w:tcPr>
          <w:p w:rsidR="00FE37C1" w:rsidRDefault="00FE37C1"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 ج 4 </w:t>
            </w:r>
            <w:r w:rsidRPr="00FD6221">
              <w:rPr>
                <w:rStyle w:val="libFootnoteBoldChar"/>
                <w:rtl/>
              </w:rPr>
              <w:t>والاستبصار</w:t>
            </w:r>
            <w:r w:rsidRPr="00020424">
              <w:rPr>
                <w:rtl/>
              </w:rPr>
              <w:t xml:space="preserve"> :</w:t>
            </w:r>
            <w:r>
              <w:rPr>
                <w:rtl/>
              </w:rPr>
              <w:t xml:space="preserve"> - </w:t>
            </w:r>
            <w:r w:rsidRPr="00020424">
              <w:rPr>
                <w:rtl/>
              </w:rPr>
              <w:t>« الحسن</w:t>
            </w:r>
            <w:r>
              <w:rPr>
                <w:rtl/>
              </w:rPr>
              <w:t xml:space="preserve"> ».</w:t>
            </w:r>
          </w:p>
        </w:tc>
        <w:tc>
          <w:tcPr>
            <w:tcW w:w="4006" w:type="dxa"/>
          </w:tcPr>
          <w:p w:rsidR="00FE37C1" w:rsidRDefault="00FE37C1"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 ج 4 </w:t>
            </w:r>
            <w:r w:rsidRPr="00FD6221">
              <w:rPr>
                <w:rStyle w:val="libFootnoteBoldChar"/>
                <w:rtl/>
              </w:rPr>
              <w:t>والاستبصار</w:t>
            </w:r>
            <w:r w:rsidRPr="00020424">
              <w:rPr>
                <w:rtl/>
              </w:rPr>
              <w:t xml:space="preserve"> :</w:t>
            </w:r>
            <w:r>
              <w:rPr>
                <w:rtl/>
              </w:rPr>
              <w:t xml:space="preserve"> - </w:t>
            </w:r>
            <w:r w:rsidRPr="00020424">
              <w:rPr>
                <w:rtl/>
              </w:rPr>
              <w:t>« عليّ</w:t>
            </w:r>
            <w:r>
              <w:rPr>
                <w:rtl/>
              </w:rPr>
              <w:t xml:space="preserve"> ».</w:t>
            </w:r>
          </w:p>
        </w:tc>
      </w:tr>
      <w:tr w:rsidR="00FE37C1" w:rsidTr="00FE37C1">
        <w:tc>
          <w:tcPr>
            <w:tcW w:w="4006" w:type="dxa"/>
          </w:tcPr>
          <w:p w:rsidR="00FE37C1" w:rsidRDefault="00FE37C1" w:rsidP="00992664">
            <w:pPr>
              <w:pStyle w:val="libFootnote0"/>
              <w:rPr>
                <w:rtl/>
              </w:rPr>
            </w:pPr>
            <w:r>
              <w:rPr>
                <w:rtl/>
              </w:rPr>
              <w:t xml:space="preserve">(8). </w:t>
            </w:r>
            <w:r w:rsidRPr="00020424">
              <w:rPr>
                <w:rtl/>
              </w:rPr>
              <w:t xml:space="preserve">في </w:t>
            </w:r>
            <w:r w:rsidRPr="0012008A">
              <w:rPr>
                <w:rStyle w:val="libFootnoteBoldChar"/>
                <w:rtl/>
              </w:rPr>
              <w:t>الوافي</w:t>
            </w:r>
            <w:r w:rsidRPr="00020424">
              <w:rPr>
                <w:rtl/>
              </w:rPr>
              <w:t xml:space="preserve"> : « في أشهر الحرم</w:t>
            </w:r>
            <w:r>
              <w:rPr>
                <w:rtl/>
              </w:rPr>
              <w:t xml:space="preserve"> ».</w:t>
            </w:r>
          </w:p>
        </w:tc>
        <w:tc>
          <w:tcPr>
            <w:tcW w:w="4006" w:type="dxa"/>
          </w:tcPr>
          <w:p w:rsidR="00FE37C1" w:rsidRDefault="00FE37C1"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 ج 4 : « العقوبة</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بر » </w:t>
      </w:r>
      <w:r w:rsidR="00992664" w:rsidRPr="00515444">
        <w:rPr>
          <w:rStyle w:val="libFootnoteBoldChar"/>
          <w:rtl/>
        </w:rPr>
        <w:t>والوافي</w:t>
      </w:r>
      <w:r w:rsidR="00992664" w:rsidRPr="00020424">
        <w:rPr>
          <w:rtl/>
        </w:rPr>
        <w:t xml:space="preserve"> : « وصيام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F752F">
      <w:pPr>
        <w:pStyle w:val="libNormal0"/>
        <w:rPr>
          <w:rtl/>
          <w:lang w:bidi="fa-IR"/>
        </w:rPr>
      </w:pPr>
      <w:r w:rsidRPr="00020424">
        <w:rPr>
          <w:rtl/>
          <w:lang w:bidi="fa-IR"/>
        </w:rPr>
        <w:t xml:space="preserve">أَشْهُرِ الْحُرُمِ </w:t>
      </w:r>
      <w:r w:rsidRPr="00A91B96">
        <w:rPr>
          <w:rStyle w:val="libFootnotenumChar"/>
          <w:rtl/>
        </w:rPr>
        <w:t>(1)</w:t>
      </w:r>
      <w:r>
        <w:rPr>
          <w:rtl/>
          <w:lang w:bidi="fa-IR"/>
        </w:rPr>
        <w:t xml:space="preserve"> ».</w:t>
      </w:r>
    </w:p>
    <w:p w:rsidR="00992664" w:rsidRPr="00020424" w:rsidRDefault="00992664" w:rsidP="00992664">
      <w:pPr>
        <w:pStyle w:val="libNormal"/>
        <w:rPr>
          <w:rtl/>
          <w:lang w:bidi="fa-IR"/>
        </w:rPr>
      </w:pPr>
      <w:r w:rsidRPr="00020424">
        <w:rPr>
          <w:rtl/>
          <w:lang w:bidi="fa-IR"/>
        </w:rPr>
        <w:t>قُلْتُ : فَإِنَّهُ يَدْخُلُ فِي هذَا شَيْ‌ءٌ.</w:t>
      </w:r>
    </w:p>
    <w:p w:rsidR="00992664" w:rsidRPr="00020424" w:rsidRDefault="00992664" w:rsidP="00992664">
      <w:pPr>
        <w:pStyle w:val="libNormal"/>
        <w:rPr>
          <w:rtl/>
          <w:lang w:bidi="fa-IR"/>
        </w:rPr>
      </w:pPr>
      <w:r w:rsidRPr="00020424">
        <w:rPr>
          <w:rtl/>
          <w:lang w:bidi="fa-IR"/>
        </w:rPr>
        <w:t xml:space="preserve">فَقَالَ : « مَا </w:t>
      </w:r>
      <w:r w:rsidRPr="00A91B96">
        <w:rPr>
          <w:rStyle w:val="libFootnotenumChar"/>
          <w:rtl/>
        </w:rPr>
        <w:t>(2)</w:t>
      </w:r>
      <w:r w:rsidRPr="00020424">
        <w:rPr>
          <w:rtl/>
          <w:lang w:bidi="fa-IR"/>
        </w:rPr>
        <w:t xml:space="preserve"> هُوَ</w:t>
      </w:r>
      <w:r>
        <w:rPr>
          <w:rtl/>
          <w:lang w:bidi="fa-IR"/>
        </w:rPr>
        <w:t>؟ ».</w:t>
      </w:r>
    </w:p>
    <w:p w:rsidR="00992664" w:rsidRPr="00020424" w:rsidRDefault="00992664" w:rsidP="00992664">
      <w:pPr>
        <w:pStyle w:val="libNormal"/>
        <w:rPr>
          <w:rtl/>
          <w:lang w:bidi="fa-IR"/>
        </w:rPr>
      </w:pPr>
      <w:r w:rsidRPr="00020424">
        <w:rPr>
          <w:rtl/>
          <w:lang w:bidi="fa-IR"/>
        </w:rPr>
        <w:t xml:space="preserve">قُلْتُ : يَوْمُ الْعِيدِ </w:t>
      </w:r>
      <w:r w:rsidRPr="00A91B96">
        <w:rPr>
          <w:rStyle w:val="libFootnotenumChar"/>
          <w:rtl/>
        </w:rPr>
        <w:t>(3)</w:t>
      </w:r>
      <w:r w:rsidRPr="00020424">
        <w:rPr>
          <w:rtl/>
          <w:lang w:bidi="fa-IR"/>
        </w:rPr>
        <w:t xml:space="preserve"> وَأَيَّامُ التَّشْرِيقِ.</w:t>
      </w:r>
    </w:p>
    <w:p w:rsidR="00992664" w:rsidRPr="00020424" w:rsidRDefault="00992664" w:rsidP="00992664">
      <w:pPr>
        <w:pStyle w:val="libNormal"/>
        <w:rPr>
          <w:rtl/>
          <w:lang w:bidi="fa-IR"/>
        </w:rPr>
      </w:pPr>
      <w:r w:rsidRPr="00020424">
        <w:rPr>
          <w:rtl/>
          <w:lang w:bidi="fa-IR"/>
        </w:rPr>
        <w:t xml:space="preserve">قَالَ : « يَصُومُهُ </w:t>
      </w:r>
      <w:r w:rsidRPr="00A91B96">
        <w:rPr>
          <w:rStyle w:val="libFootnotenumChar"/>
          <w:rtl/>
        </w:rPr>
        <w:t>(4)</w:t>
      </w:r>
      <w:r w:rsidRPr="00020424">
        <w:rPr>
          <w:rtl/>
          <w:lang w:bidi="fa-IR"/>
        </w:rPr>
        <w:t xml:space="preserve"> ؛ فَإِنَّهُ حَقٌّ يَلْزَمُهُ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B1D94">
        <w:rPr>
          <w:rtl/>
        </w:rPr>
        <w:t>6554</w:t>
      </w:r>
      <w:r w:rsidRPr="001155DE">
        <w:rPr>
          <w:rStyle w:val="libBold2Char"/>
          <w:rtl/>
        </w:rPr>
        <w:t xml:space="preserve"> / 9.</w:t>
      </w:r>
      <w:r w:rsidRPr="00020424">
        <w:rPr>
          <w:rtl/>
          <w:lang w:bidi="fa-IR"/>
        </w:rPr>
        <w:t xml:space="preserve"> عَلِيُّ بْنُ إِبْرَاهِيمَ ، عَنْ أَبِيهِ ، عَنِ ابْنِ أَبِي عُمَيْرٍ ، عَنْ أَبَانِ بْنِ تَغْلِبَ </w:t>
      </w:r>
      <w:r w:rsidRPr="00A91B96">
        <w:rPr>
          <w:rStyle w:val="libFootnotenumChar"/>
          <w:rtl/>
        </w:rPr>
        <w:t>(7)</w:t>
      </w:r>
      <w:r w:rsidRPr="00020424">
        <w:rPr>
          <w:rtl/>
          <w:lang w:bidi="fa-IR"/>
        </w:rPr>
        <w:t xml:space="preserve">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الحرام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 وما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قلت : إنّ هذا يدخل فيه العيد</w:t>
      </w:r>
      <w:r w:rsidR="00992664">
        <w:rPr>
          <w:rtl/>
        </w:rPr>
        <w:t xml:space="preserve"> ».</w:t>
      </w:r>
    </w:p>
    <w:p w:rsidR="00992664" w:rsidRPr="00020424" w:rsidRDefault="00795177" w:rsidP="00AF752F">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ج 4 </w:t>
      </w:r>
      <w:r w:rsidR="00992664" w:rsidRPr="00FD6221">
        <w:rPr>
          <w:rStyle w:val="libFootnoteBoldChar"/>
          <w:rtl/>
        </w:rPr>
        <w:t>والاستبصار</w:t>
      </w:r>
      <w:r w:rsidR="00992664" w:rsidRPr="00020424">
        <w:rPr>
          <w:rtl/>
        </w:rPr>
        <w:t xml:space="preserve"> : « يصوم</w:t>
      </w:r>
      <w:r w:rsidR="00992664">
        <w:rPr>
          <w:rtl/>
        </w:rPr>
        <w:t xml:space="preserve"> ».</w:t>
      </w:r>
    </w:p>
    <w:p w:rsidR="00992664" w:rsidRPr="00020424" w:rsidRDefault="00992664" w:rsidP="00AF752F">
      <w:pPr>
        <w:pStyle w:val="libFootnote0"/>
        <w:rPr>
          <w:rtl/>
          <w:lang w:bidi="fa-IR"/>
        </w:rPr>
      </w:pPr>
      <w:r w:rsidRPr="00AF752F">
        <w:rPr>
          <w:rtl/>
        </w:rPr>
        <w:t xml:space="preserve">وفي </w:t>
      </w:r>
      <w:r w:rsidRPr="0012008A">
        <w:rPr>
          <w:rStyle w:val="libFootnoteBoldChar"/>
          <w:rtl/>
        </w:rPr>
        <w:t>التهذيب</w:t>
      </w:r>
      <w:r w:rsidRPr="00AF752F">
        <w:rPr>
          <w:rtl/>
        </w:rPr>
        <w:t xml:space="preserve"> : « وأمّا الخبر ... فليس بمناقض لما تضمّنه الخبر الأوّل من تحريم صيام العيدين ؛ لأنّ التحريم إنّما وقع على من يصومها مختاراً مبتدءاً ، فأمّا إذا لزمه شهران متتابعان على حسب ما تضمّنه الخبر ، فيلزمه صوم هذه الأيّام ؛ لإدخاله نفسه في ذلك ، فأمّا صيام أيّام التشريق خاصّة فقد روي أنّ التحريم فيها يختصّ بمن كان بمنى ، فأمّا من كان في غير منى من البلدان ، فلا بأس أن يصومها ».</w:t>
      </w:r>
    </w:p>
    <w:p w:rsidR="00992664" w:rsidRPr="00020424" w:rsidRDefault="00992664" w:rsidP="00AF752F">
      <w:pPr>
        <w:pStyle w:val="libFootnote0"/>
        <w:rPr>
          <w:rtl/>
          <w:lang w:bidi="fa-IR"/>
        </w:rPr>
      </w:pPr>
      <w:r w:rsidRPr="00AF752F">
        <w:rPr>
          <w:rtl/>
        </w:rPr>
        <w:t xml:space="preserve">وفي </w:t>
      </w:r>
      <w:r w:rsidRPr="00DE76B9">
        <w:rPr>
          <w:rStyle w:val="libFootnoteBoldChar"/>
          <w:rtl/>
        </w:rPr>
        <w:t>مرآة العقول</w:t>
      </w:r>
      <w:r w:rsidRPr="00AF752F">
        <w:rPr>
          <w:rtl/>
        </w:rPr>
        <w:t xml:space="preserve"> : « قوله </w:t>
      </w:r>
      <w:r w:rsidRPr="00D64ADA">
        <w:rPr>
          <w:rStyle w:val="libFootnoteAlaemChar"/>
          <w:rtl/>
        </w:rPr>
        <w:t>عليه‌السلام</w:t>
      </w:r>
      <w:r w:rsidRPr="00AF752F">
        <w:rPr>
          <w:rtl/>
        </w:rPr>
        <w:t xml:space="preserve"> : يصومه ، أي العيد وأيّام التشريق أو سواهما ، والأوّل أظهر كما فهمه الشيخ وقال به. وردّ الأكثر الخبر بضعف السند ومخالفة الا</w:t>
      </w:r>
      <w:r w:rsidR="00AF752F">
        <w:rPr>
          <w:rFonts w:hint="cs"/>
          <w:rtl/>
        </w:rPr>
        <w:t>ُ</w:t>
      </w:r>
      <w:r w:rsidRPr="00AF752F">
        <w:rPr>
          <w:rtl/>
        </w:rPr>
        <w:t xml:space="preserve">صول ، مع أنّه ليس بصريح في صوم الأيّام المحرّمة كما عرفت. وقال المحقّق في </w:t>
      </w:r>
      <w:r w:rsidRPr="00DE76B9">
        <w:rPr>
          <w:rStyle w:val="libFootnoteBoldChar"/>
          <w:rtl/>
        </w:rPr>
        <w:t>المعتبر</w:t>
      </w:r>
      <w:r w:rsidRPr="00AF752F">
        <w:rPr>
          <w:rtl/>
        </w:rPr>
        <w:t xml:space="preserve"> : الرواية مخالفة لعموم الأحاديث المجمع عليها على أنّه ليس بصريح في صوم العيد ، انتهى. أمّا مخالفته لسائر الأخبار فظاهر ، وأمّا ضعف السند فليس كذلك ؛ لما سيأتي بسند حسن ، ورواه الشيخ بسند صحيح وسند موثّق عن زرارة ، والمسألة محلّ إشكال وإن كان التحريم أقوى ». وراجع : </w:t>
      </w:r>
      <w:r w:rsidRPr="00DE76B9">
        <w:rPr>
          <w:rStyle w:val="libFootnoteBoldChar"/>
          <w:rtl/>
        </w:rPr>
        <w:t>المعتبر</w:t>
      </w:r>
      <w:r w:rsidRPr="00AF752F">
        <w:rPr>
          <w:rtl/>
        </w:rPr>
        <w:t xml:space="preserve"> ، ج 2 ، ص 713 </w:t>
      </w:r>
      <w:r w:rsidR="009B673F" w:rsidRPr="00AF752F">
        <w:rPr>
          <w:rtl/>
        </w:rPr>
        <w:t>-</w:t>
      </w:r>
      <w:r w:rsidRPr="00AF752F">
        <w:rPr>
          <w:rtl/>
        </w:rPr>
        <w:t xml:space="preserve"> 714.</w:t>
      </w:r>
    </w:p>
    <w:p w:rsidR="00992664" w:rsidRPr="00020424" w:rsidRDefault="00795177" w:rsidP="00AF752F">
      <w:pPr>
        <w:pStyle w:val="libFootnote0"/>
        <w:rPr>
          <w:rtl/>
          <w:lang w:bidi="fa-IR"/>
        </w:rPr>
      </w:pPr>
      <w:r>
        <w:rPr>
          <w:rtl/>
        </w:rPr>
        <w:t>(5).</w:t>
      </w:r>
      <w:r w:rsidR="0014403D">
        <w:rPr>
          <w:rtl/>
        </w:rPr>
        <w:t xml:space="preserve"> </w:t>
      </w:r>
      <w:r w:rsidR="00992664" w:rsidRPr="00020424">
        <w:rPr>
          <w:rtl/>
        </w:rPr>
        <w:t xml:space="preserve">في </w:t>
      </w:r>
      <w:r w:rsidR="00992664" w:rsidRPr="00AF752F">
        <w:rPr>
          <w:rtl/>
        </w:rPr>
        <w:t>الفقيه والتهذيب والاستبصار</w:t>
      </w:r>
      <w:r w:rsidR="00992664" w:rsidRPr="00020424">
        <w:rPr>
          <w:rtl/>
        </w:rPr>
        <w:t xml:space="preserve"> : « لزمه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297 ، ح 896 ؛ </w:t>
      </w:r>
      <w:r w:rsidR="00992664" w:rsidRPr="00FD6221">
        <w:rPr>
          <w:rStyle w:val="libFootnoteBoldChar"/>
          <w:rtl/>
        </w:rPr>
        <w:t>والاستبصار</w:t>
      </w:r>
      <w:r w:rsidR="00992664" w:rsidRPr="00020424">
        <w:rPr>
          <w:rtl/>
        </w:rPr>
        <w:t xml:space="preserve"> ، ج 2 ، ص 131 ، ح 428 ، معلّقاً عن الكليني. وفي </w:t>
      </w:r>
      <w:r w:rsidR="00992664" w:rsidRPr="0012008A">
        <w:rPr>
          <w:rStyle w:val="libFootnoteBoldChar"/>
          <w:rtl/>
        </w:rPr>
        <w:t>الفقيه</w:t>
      </w:r>
      <w:r w:rsidR="00992664" w:rsidRPr="00020424">
        <w:rPr>
          <w:rtl/>
        </w:rPr>
        <w:t xml:space="preserve"> ، ج 4 ، ص 110 ، ح 5212 ، </w:t>
      </w:r>
      <w:r w:rsidR="00992664" w:rsidRPr="00515444">
        <w:rPr>
          <w:rStyle w:val="libFootnoteBoldChar"/>
          <w:rtl/>
        </w:rPr>
        <w:t>والتهذيب</w:t>
      </w:r>
      <w:r w:rsidR="00992664" w:rsidRPr="00020424">
        <w:rPr>
          <w:rtl/>
        </w:rPr>
        <w:t xml:space="preserve"> ، ج 10 ، ص 215 ، ح 850 ، معلّقاً عن الحسن بن محبوب ، مع اختلاف يسير </w:t>
      </w:r>
      <w:r w:rsidR="00084726">
        <w:rPr>
          <w:rFonts w:hint="cs"/>
          <w:rtl/>
        </w:rPr>
        <w:t>.</w:t>
      </w:r>
      <w:r w:rsidR="00992664" w:rsidRPr="0012008A">
        <w:rPr>
          <w:rStyle w:val="libFootnoteBoldChar"/>
          <w:rtl/>
        </w:rPr>
        <w:t>الوافي</w:t>
      </w:r>
      <w:r w:rsidR="00992664" w:rsidRPr="00020424">
        <w:rPr>
          <w:rtl/>
        </w:rPr>
        <w:t xml:space="preserve"> ، ج 16 ، ص 582 ، ح 15729 ؛ </w:t>
      </w:r>
      <w:r w:rsidR="00992664" w:rsidRPr="0012008A">
        <w:rPr>
          <w:rStyle w:val="libFootnoteBoldChar"/>
          <w:rtl/>
        </w:rPr>
        <w:t>الوسائل</w:t>
      </w:r>
      <w:r w:rsidR="00992664" w:rsidRPr="00020424">
        <w:rPr>
          <w:rtl/>
        </w:rPr>
        <w:t xml:space="preserve"> ، ج 10 ، ص 380 ، ح 13642.</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مات أبان بن تغلب في حياة أبي عبد الله </w:t>
      </w:r>
      <w:r w:rsidR="00992664" w:rsidRPr="00D64ADA">
        <w:rPr>
          <w:rStyle w:val="libFootnoteAlaemChar"/>
          <w:rtl/>
        </w:rPr>
        <w:t>عليه‌السلام</w:t>
      </w:r>
      <w:r w:rsidR="00992664" w:rsidRPr="00020424">
        <w:rPr>
          <w:rtl/>
        </w:rPr>
        <w:t xml:space="preserve"> سنة 141 ، وابن أبي عمير توفّي سنة 217 ، ويستبعد جدّاً روايةابن أبي عمير عن أبان هذا. راجع : </w:t>
      </w:r>
      <w:r w:rsidR="00992664" w:rsidRPr="00DE76B9">
        <w:rPr>
          <w:rStyle w:val="libFootnoteBoldChar"/>
          <w:rtl/>
        </w:rPr>
        <w:t>رجال النجاشي</w:t>
      </w:r>
      <w:r w:rsidR="00992664" w:rsidRPr="00020424">
        <w:rPr>
          <w:rtl/>
        </w:rPr>
        <w:t xml:space="preserve"> ، ص 10 ، الرقم 7 ؛ وص 326 ، الرقم 887.</w:t>
      </w:r>
    </w:p>
    <w:p w:rsidR="00992664" w:rsidRPr="00020424" w:rsidRDefault="00992664" w:rsidP="00AF752F">
      <w:pPr>
        <w:pStyle w:val="libFootnote0"/>
        <w:rPr>
          <w:rtl/>
          <w:lang w:bidi="fa-IR"/>
        </w:rPr>
      </w:pPr>
      <w:r w:rsidRPr="00D82B22">
        <w:rPr>
          <w:rtl/>
        </w:rPr>
        <w:t>فعليه الظاهر وقوع خلل في السند. ولا يبعد أن يكون الأصل في السند هكذا : « ابن أبي عمير ، عن أبان ، عن زرارة »</w:t>
      </w:r>
      <w:r>
        <w:rPr>
          <w:rtl/>
        </w:rPr>
        <w:t xml:space="preserve"> </w:t>
      </w:r>
      <w:r w:rsidR="009B673F">
        <w:rPr>
          <w:rtl/>
        </w:rPr>
        <w:t>-</w:t>
      </w:r>
      <w:r>
        <w:rPr>
          <w:rtl/>
        </w:rPr>
        <w:t xml:space="preserve"> </w:t>
      </w:r>
      <w:r w:rsidRPr="00D82B22">
        <w:rPr>
          <w:rtl/>
        </w:rPr>
        <w:t>والمراد من أبان هو أبان بن عثمان</w:t>
      </w:r>
      <w:r>
        <w:rPr>
          <w:rtl/>
        </w:rPr>
        <w:t xml:space="preserve"> </w:t>
      </w:r>
      <w:r w:rsidR="009B673F">
        <w:rPr>
          <w:rtl/>
        </w:rPr>
        <w:t>-</w:t>
      </w:r>
      <w:r>
        <w:rPr>
          <w:rtl/>
        </w:rPr>
        <w:t xml:space="preserve"> </w:t>
      </w:r>
      <w:r w:rsidRPr="00D82B22">
        <w:rPr>
          <w:rtl/>
        </w:rPr>
        <w:t>وقد فسّر أبان في بعض النسخ</w:t>
      </w:r>
      <w:r>
        <w:rPr>
          <w:rtl/>
        </w:rPr>
        <w:t xml:space="preserve"> ب</w:t>
      </w:r>
      <w:r w:rsidR="00084726">
        <w:rPr>
          <w:rFonts w:hint="cs"/>
          <w:rtl/>
        </w:rPr>
        <w:t>ـ</w:t>
      </w:r>
      <w:r>
        <w:rPr>
          <w:rtl/>
        </w:rPr>
        <w:t xml:space="preserve"> </w:t>
      </w:r>
      <w:r w:rsidRPr="00D82B22">
        <w:rPr>
          <w:rtl/>
        </w:rPr>
        <w:t>« ابن تغلب » سهواً ، ثمّ ا</w:t>
      </w:r>
      <w:r w:rsidR="00084726">
        <w:rPr>
          <w:rFonts w:hint="cs"/>
          <w:rtl/>
        </w:rPr>
        <w:t>ُ</w:t>
      </w:r>
      <w:r w:rsidRPr="00D82B22">
        <w:rPr>
          <w:rtl/>
        </w:rPr>
        <w:t xml:space="preserve">درجت في </w:t>
      </w:r>
      <w:r w:rsidR="0008472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0A8C">
      <w:pPr>
        <w:pStyle w:val="libNormal0"/>
        <w:rPr>
          <w:rtl/>
          <w:lang w:bidi="fa-IR"/>
        </w:rPr>
      </w:pPr>
      <w:r w:rsidRPr="00020424">
        <w:rPr>
          <w:rtl/>
          <w:lang w:bidi="fa-IR"/>
        </w:rPr>
        <w:t>زُرَارَةَ ، قَالَ :</w:t>
      </w:r>
    </w:p>
    <w:p w:rsidR="00992664" w:rsidRPr="00020424" w:rsidRDefault="00992664" w:rsidP="00992664">
      <w:pPr>
        <w:pStyle w:val="libNormal"/>
        <w:rPr>
          <w:rtl/>
          <w:lang w:bidi="fa-IR"/>
        </w:rPr>
      </w:pPr>
      <w:r w:rsidRPr="00020424">
        <w:rPr>
          <w:rtl/>
          <w:lang w:bidi="fa-IR"/>
        </w:rPr>
        <w:t xml:space="preserve">قُلْتُ لِأَبِي جَعْفَرٍ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رَجُلٌ قَتَلَ رَجُلاً فِي الْحَرَمِ </w:t>
      </w:r>
      <w:r w:rsidRPr="00A91B96">
        <w:rPr>
          <w:rStyle w:val="libFootnotenumChar"/>
          <w:rtl/>
        </w:rPr>
        <w:t>(2)</w:t>
      </w:r>
      <w:r>
        <w:rPr>
          <w:rtl/>
          <w:lang w:bidi="fa-IR"/>
        </w:rPr>
        <w:t>؟</w:t>
      </w:r>
    </w:p>
    <w:p w:rsidR="00992664" w:rsidRPr="00020424" w:rsidRDefault="00992664" w:rsidP="00992664">
      <w:pPr>
        <w:pStyle w:val="libNormal"/>
        <w:rPr>
          <w:rtl/>
          <w:lang w:bidi="fa-IR"/>
        </w:rPr>
      </w:pPr>
      <w:r w:rsidRPr="00020424">
        <w:rPr>
          <w:rtl/>
          <w:lang w:bidi="fa-IR"/>
        </w:rPr>
        <w:t xml:space="preserve">قَالَ : « عَلَيْهِ دِيَةٌ وَثُلُثٌ ، وَيَصُومُ شَهْرَيْنِ مُتَتَابِعَيْنِ مِنْ أَشْهُرِ الْحُرُمِ ، وَيُعْتِقُ رَقَبَةً ، وَيُطْعِمُ سِتِّينَ مِسْكِيناً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sidRPr="00020424">
        <w:rPr>
          <w:rtl/>
          <w:lang w:bidi="fa-IR"/>
        </w:rPr>
        <w:t>قَالَ : قُلْتُ : يَدْخُلُ فِي هذَا شَيْ‌ءٌ ، قَالَ : « وَمَا يَدْخُلُ</w:t>
      </w:r>
      <w:r>
        <w:rPr>
          <w:rtl/>
          <w:lang w:bidi="fa-IR"/>
        </w:rPr>
        <w:t>؟</w:t>
      </w:r>
      <w:r w:rsidRPr="00020424">
        <w:rPr>
          <w:rtl/>
          <w:lang w:bidi="fa-IR"/>
        </w:rPr>
        <w:t xml:space="preserve"> » قُلْتُ : الْعِيدَانِ وَأَيَّامُ التَّشْرِيقِ ، قَالَ : « يَصُومُهُ ؛ فَإِنَّهُ حَقٌّ لَزِمَهُ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476" w:name="_Toc345172875"/>
      <w:bookmarkStart w:id="477" w:name="_Toc464562690"/>
      <w:bookmarkStart w:id="478" w:name="_Toc44599996"/>
      <w:r w:rsidRPr="00020424">
        <w:rPr>
          <w:rtl/>
          <w:lang w:bidi="fa-IR"/>
        </w:rPr>
        <w:t>57</w:t>
      </w:r>
      <w:r>
        <w:rPr>
          <w:rtl/>
          <w:lang w:bidi="fa-IR"/>
        </w:rPr>
        <w:t xml:space="preserve"> </w:t>
      </w:r>
      <w:r w:rsidR="009B673F">
        <w:rPr>
          <w:rtl/>
          <w:lang w:bidi="fa-IR"/>
        </w:rPr>
        <w:t>-</w:t>
      </w:r>
      <w:r>
        <w:rPr>
          <w:rtl/>
          <w:lang w:bidi="fa-IR"/>
        </w:rPr>
        <w:t xml:space="preserve"> </w:t>
      </w:r>
      <w:r w:rsidRPr="00020424">
        <w:rPr>
          <w:rtl/>
          <w:lang w:bidi="fa-IR"/>
        </w:rPr>
        <w:t>بَابُ صَوْمِ كَفَّارَةِ الْيَمِينِ‌</w:t>
      </w:r>
      <w:bookmarkEnd w:id="476"/>
      <w:bookmarkEnd w:id="477"/>
      <w:bookmarkEnd w:id="478"/>
    </w:p>
    <w:p w:rsidR="00992664" w:rsidRPr="00020424" w:rsidRDefault="00992664" w:rsidP="00992664">
      <w:pPr>
        <w:pStyle w:val="libNormal"/>
        <w:rPr>
          <w:rtl/>
          <w:lang w:bidi="fa-IR"/>
        </w:rPr>
      </w:pPr>
      <w:r w:rsidRPr="00800E0D">
        <w:rPr>
          <w:rtl/>
        </w:rPr>
        <w:t>6555</w:t>
      </w:r>
      <w:r w:rsidRPr="001155DE">
        <w:rPr>
          <w:rStyle w:val="libBold2Char"/>
          <w:rtl/>
        </w:rPr>
        <w:t xml:space="preserve"> / 1.</w:t>
      </w:r>
      <w:r w:rsidRPr="00020424">
        <w:rPr>
          <w:rtl/>
          <w:lang w:bidi="fa-IR"/>
        </w:rPr>
        <w:t xml:space="preserve"> عَلِيُّ بْنُ إِبْرَاهِيمَ ، عَنْ أَبِيهِ ، عَنِ ابْنِ أَبِي عُمَيْرٍ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كُلُّ صَوْمٍ </w:t>
      </w:r>
      <w:r w:rsidRPr="00A91B96">
        <w:rPr>
          <w:rStyle w:val="libFootnotenumChar"/>
          <w:rtl/>
        </w:rPr>
        <w:t>(6)</w:t>
      </w:r>
      <w:r w:rsidRPr="00020424">
        <w:rPr>
          <w:rtl/>
          <w:lang w:bidi="fa-IR"/>
        </w:rPr>
        <w:t xml:space="preserve"> يُفَرَّقُ </w:t>
      </w:r>
      <w:r w:rsidRPr="00A91B96">
        <w:rPr>
          <w:rStyle w:val="libFootnotenumChar"/>
          <w:rtl/>
        </w:rPr>
        <w:t>(7)</w:t>
      </w:r>
      <w:r w:rsidR="00DF36F8">
        <w:rPr>
          <w:rtl/>
          <w:lang w:bidi="fa-IR"/>
        </w:rPr>
        <w:t xml:space="preserve"> إِل</w:t>
      </w:r>
      <w:r w:rsidR="00DF36F8">
        <w:rPr>
          <w:rFonts w:hint="cs"/>
          <w:rtl/>
          <w:lang w:bidi="fa-IR"/>
        </w:rPr>
        <w:t>َّ</w:t>
      </w:r>
      <w:r w:rsidR="00DF36F8">
        <w:rPr>
          <w:rtl/>
          <w:lang w:bidi="fa-IR"/>
        </w:rPr>
        <w:t>ا</w:t>
      </w:r>
      <w:r w:rsidRPr="00020424">
        <w:rPr>
          <w:rtl/>
          <w:lang w:bidi="fa-IR"/>
        </w:rPr>
        <w:t xml:space="preserve"> ثَلَاثَةَ أَيَّامٍ فِي كَفَّارَةِ‌</w:t>
      </w:r>
    </w:p>
    <w:p w:rsidR="00992664" w:rsidRPr="00020424" w:rsidRDefault="00992664" w:rsidP="00992664">
      <w:pPr>
        <w:pStyle w:val="libLine"/>
        <w:rPr>
          <w:rtl/>
          <w:lang w:bidi="fa-IR"/>
        </w:rPr>
      </w:pPr>
      <w:r w:rsidRPr="00020424">
        <w:rPr>
          <w:rtl/>
          <w:lang w:bidi="fa-IR"/>
        </w:rPr>
        <w:t>__________________</w:t>
      </w:r>
    </w:p>
    <w:p w:rsidR="00992664" w:rsidRPr="00020424" w:rsidRDefault="002F3F62" w:rsidP="002F3F62">
      <w:pPr>
        <w:pStyle w:val="libFootnote0"/>
        <w:rPr>
          <w:rtl/>
          <w:lang w:bidi="fa-IR"/>
        </w:rPr>
      </w:pPr>
      <w:r>
        <w:rPr>
          <w:rFonts w:hint="cs"/>
          <w:rtl/>
        </w:rPr>
        <w:t xml:space="preserve">= </w:t>
      </w:r>
      <w:r w:rsidR="00992664" w:rsidRPr="00D82B22">
        <w:rPr>
          <w:rtl/>
        </w:rPr>
        <w:t>المتن بتخيّل سقوطها منه.</w:t>
      </w:r>
    </w:p>
    <w:p w:rsidR="00992664" w:rsidRDefault="00992664" w:rsidP="002F3F62">
      <w:pPr>
        <w:pStyle w:val="libFootnote0"/>
        <w:rPr>
          <w:rtl/>
        </w:rPr>
      </w:pPr>
      <w:r w:rsidRPr="002F3F62">
        <w:rPr>
          <w:rtl/>
        </w:rPr>
        <w:t xml:space="preserve">ويؤيّد ذلك أنّ الشيخ الطوسي روى مثل الخبر في </w:t>
      </w:r>
      <w:r w:rsidRPr="0012008A">
        <w:rPr>
          <w:rStyle w:val="libFootnoteBoldChar"/>
          <w:rtl/>
        </w:rPr>
        <w:t>التهذيب</w:t>
      </w:r>
      <w:r w:rsidRPr="002F3F62">
        <w:rPr>
          <w:rtl/>
        </w:rPr>
        <w:t xml:space="preserve"> ، ج 10 ، ص 216 ، ح 851. بإسناده عن ابن أبي عمير عن أبان بن عثمان عن زرارة عن أبي عبد الله </w:t>
      </w:r>
      <w:r w:rsidRPr="00D64ADA">
        <w:rPr>
          <w:rStyle w:val="libFootnoteAlaemChar"/>
          <w:rtl/>
        </w:rPr>
        <w:t>عليه‌السلام</w:t>
      </w:r>
      <w:r w:rsidRPr="002F3F62">
        <w:rPr>
          <w:rtl/>
        </w:rPr>
        <w:t xml:space="preserve"> ، وقد تكرّرت رواية محمّد بن أبي عمير عن أبان بن عثمان </w:t>
      </w:r>
      <w:r w:rsidR="009B673F" w:rsidRPr="002F3F62">
        <w:rPr>
          <w:rtl/>
        </w:rPr>
        <w:t>-</w:t>
      </w:r>
      <w:r w:rsidRPr="002F3F62">
        <w:rPr>
          <w:rtl/>
        </w:rPr>
        <w:t xml:space="preserve"> بعناوينه المختلفة </w:t>
      </w:r>
      <w:r w:rsidR="009B673F" w:rsidRPr="002F3F62">
        <w:rPr>
          <w:rtl/>
        </w:rPr>
        <w:t>-</w:t>
      </w:r>
      <w:r w:rsidRPr="002F3F62">
        <w:rPr>
          <w:rtl/>
        </w:rPr>
        <w:t xml:space="preserve"> في الأسناد. راجع : </w:t>
      </w:r>
      <w:r w:rsidRPr="00DE76B9">
        <w:rPr>
          <w:rStyle w:val="libFootnoteBoldChar"/>
          <w:rtl/>
        </w:rPr>
        <w:t>معجم رجال الحديث</w:t>
      </w:r>
      <w:r w:rsidRPr="002F3F62">
        <w:rPr>
          <w:rtl/>
        </w:rPr>
        <w:t xml:space="preserve"> ، ج 14 ، ص 416 </w:t>
      </w:r>
      <w:r w:rsidR="009B673F" w:rsidRPr="002F3F62">
        <w:rPr>
          <w:rtl/>
        </w:rPr>
        <w:t>-</w:t>
      </w:r>
      <w:r w:rsidR="00990A8C">
        <w:rPr>
          <w:rtl/>
        </w:rPr>
        <w:t xml:space="preserve"> 417 ؛ وج 22 ، ص 240</w:t>
      </w:r>
      <w:r w:rsidR="009B673F" w:rsidRPr="002F3F62">
        <w:rPr>
          <w:rtl/>
        </w:rPr>
        <w:t>-</w:t>
      </w:r>
      <w:r w:rsidRPr="002F3F62">
        <w:rPr>
          <w:rtl/>
        </w:rPr>
        <w:t xml:space="preserve"> 241. وقال في </w:t>
      </w:r>
      <w:r w:rsidRPr="00DE76B9">
        <w:rPr>
          <w:rStyle w:val="libFootnoteBoldChar"/>
          <w:rtl/>
        </w:rPr>
        <w:t>منتقى الجمان</w:t>
      </w:r>
      <w:r w:rsidRPr="002F3F62">
        <w:rPr>
          <w:rtl/>
        </w:rPr>
        <w:t xml:space="preserve"> ، ج 2 ، ص 568 : « ثمّ إنّه يستفاد من الطريق الواضح وممّا في متون الروايات كلّها أنّ في إسناد الحديث ومتنه غلطاً ، وهو في المتن واضح ؛ إذ لا معنى لدخول العيدين وإنّما حقّه العيد ، وقد اتّفقت فيه نسخ </w:t>
      </w:r>
      <w:r w:rsidRPr="00DE76B9">
        <w:rPr>
          <w:rStyle w:val="libFootnoteBoldChar"/>
          <w:rtl/>
        </w:rPr>
        <w:t>الكافي</w:t>
      </w:r>
      <w:r w:rsidRPr="002F3F62">
        <w:rPr>
          <w:rtl/>
        </w:rPr>
        <w:t xml:space="preserve"> ، وأمّا الإسناد فالصواب فيه : عن أبان بن عثمان ، لا ابن تغلب ، ووجهه ظاهر أيضاً عند الممارس باعتبار الطبقات ».</w:t>
      </w:r>
    </w:p>
    <w:p w:rsidR="00992664" w:rsidRPr="00020424" w:rsidRDefault="00795177" w:rsidP="002F3F62">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لأبي عبد الله » بدل « لأبي جعفر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F3F62" w:rsidTr="002F3F62">
        <w:tc>
          <w:tcPr>
            <w:tcW w:w="4006" w:type="dxa"/>
          </w:tcPr>
          <w:p w:rsidR="002F3F62" w:rsidRDefault="002F3F62" w:rsidP="00992664">
            <w:pPr>
              <w:pStyle w:val="libFootnote0"/>
              <w:rPr>
                <w:rtl/>
              </w:rPr>
            </w:pPr>
            <w:r>
              <w:rPr>
                <w:rtl/>
              </w:rPr>
              <w:t xml:space="preserve">(2). </w:t>
            </w:r>
            <w:r w:rsidRPr="00020424">
              <w:rPr>
                <w:rtl/>
              </w:rPr>
              <w:t>في « ظ » : « الحرام</w:t>
            </w:r>
            <w:r>
              <w:rPr>
                <w:rtl/>
              </w:rPr>
              <w:t xml:space="preserve"> ».</w:t>
            </w:r>
          </w:p>
        </w:tc>
        <w:tc>
          <w:tcPr>
            <w:tcW w:w="4006" w:type="dxa"/>
          </w:tcPr>
          <w:p w:rsidR="002F3F62" w:rsidRDefault="002F3F62" w:rsidP="00992664">
            <w:pPr>
              <w:pStyle w:val="libFootnote0"/>
              <w:rPr>
                <w:rtl/>
              </w:rPr>
            </w:pPr>
            <w:r>
              <w:rPr>
                <w:rtl/>
              </w:rPr>
              <w:t>(3).</w:t>
            </w:r>
            <w:r w:rsidRPr="00020424">
              <w:rPr>
                <w:rtl/>
              </w:rPr>
              <w:t xml:space="preserve">في </w:t>
            </w:r>
            <w:r w:rsidRPr="0012008A">
              <w:rPr>
                <w:rStyle w:val="libFootnoteBoldChar"/>
                <w:rtl/>
              </w:rPr>
              <w:t>التهذيب</w:t>
            </w:r>
            <w:r w:rsidRPr="00020424">
              <w:rPr>
                <w:rtl/>
              </w:rPr>
              <w:t>:</w:t>
            </w:r>
            <w:r>
              <w:rPr>
                <w:rtl/>
              </w:rPr>
              <w:t>-«</w:t>
            </w:r>
            <w:r w:rsidRPr="00020424">
              <w:rPr>
                <w:rtl/>
              </w:rPr>
              <w:t>ويعتق رقبة ويطعم ستّين مسكيناً</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يلزمه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10 ، ص 216 ، ح 851 ، معلّقاً عن ابن أبي عمير ، عن أبان بن عثمان ، عن زرارة ؛ </w:t>
      </w:r>
      <w:r w:rsidR="00992664" w:rsidRPr="00E82BAA">
        <w:rPr>
          <w:rStyle w:val="libFootnoteBoldChar"/>
          <w:rtl/>
        </w:rPr>
        <w:t>النوادر للأشعري</w:t>
      </w:r>
      <w:r w:rsidR="00992664" w:rsidRPr="00020424">
        <w:rPr>
          <w:rtl/>
        </w:rPr>
        <w:t xml:space="preserve"> ، ص 62 ، ح 125 ، بسنده عن أبان بن عثمان ، عن زرارة ، وبسند آخر أيضاً عن أبان ، عن زرارة ، مع اختلاف يسير وزيادة في آخره </w:t>
      </w:r>
      <w:r w:rsidR="006F7094">
        <w:rPr>
          <w:rFonts w:hint="cs"/>
          <w:rtl/>
        </w:rPr>
        <w:t>.</w:t>
      </w:r>
      <w:r w:rsidR="00992664" w:rsidRPr="0012008A">
        <w:rPr>
          <w:rStyle w:val="libFootnoteBoldChar"/>
          <w:rtl/>
        </w:rPr>
        <w:t>الوافي</w:t>
      </w:r>
      <w:r w:rsidR="00992664" w:rsidRPr="00020424">
        <w:rPr>
          <w:rtl/>
        </w:rPr>
        <w:t xml:space="preserve"> ، ج 16 ، ص 581 ، ح 15726 ؛ </w:t>
      </w:r>
      <w:r w:rsidR="00992664" w:rsidRPr="0012008A">
        <w:rPr>
          <w:rStyle w:val="libFootnoteBoldChar"/>
          <w:rtl/>
        </w:rPr>
        <w:t>الوسائل</w:t>
      </w:r>
      <w:r w:rsidR="00992664" w:rsidRPr="00020424">
        <w:rPr>
          <w:rtl/>
        </w:rPr>
        <w:t xml:space="preserve"> ، ج 10 ، ص 380 ، ح 13643.</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كلّ صوم ، الحصر إضافيّ ، أو مع العذر كما قيل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مفرّق</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0A8C">
      <w:pPr>
        <w:pStyle w:val="libNormal0"/>
        <w:rPr>
          <w:rtl/>
          <w:lang w:bidi="fa-IR"/>
        </w:rPr>
      </w:pPr>
      <w:r w:rsidRPr="00020424">
        <w:rPr>
          <w:rtl/>
          <w:lang w:bidi="fa-IR"/>
        </w:rPr>
        <w:t>الْيَمِينِ</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800E0D">
        <w:rPr>
          <w:rtl/>
        </w:rPr>
        <w:t>6556</w:t>
      </w:r>
      <w:r w:rsidRPr="001155DE">
        <w:rPr>
          <w:rStyle w:val="libBold2Char"/>
          <w:rtl/>
        </w:rPr>
        <w:t xml:space="preserve"> / 2.</w:t>
      </w:r>
      <w:r w:rsidRPr="00020424">
        <w:rPr>
          <w:rtl/>
          <w:lang w:bidi="fa-IR"/>
        </w:rPr>
        <w:t xml:space="preserve"> وَعَنْهُ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صِيَامُ ثَلَاثَةِ أَيَّامٍ فِي </w:t>
      </w:r>
      <w:r w:rsidRPr="00A91B96">
        <w:rPr>
          <w:rStyle w:val="libFootnotenumChar"/>
          <w:rtl/>
        </w:rPr>
        <w:t>(2)</w:t>
      </w:r>
      <w:r w:rsidRPr="00020424">
        <w:rPr>
          <w:rtl/>
          <w:lang w:bidi="fa-IR"/>
        </w:rPr>
        <w:t xml:space="preserve"> كَفَّارَةِ الْيَمِينِ مُتَتَابِعَاتٍ لَايُفْصَلُ بَيْنَهُنَّ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00E0D">
        <w:rPr>
          <w:rtl/>
        </w:rPr>
        <w:t>6557</w:t>
      </w:r>
      <w:r w:rsidRPr="001155DE">
        <w:rPr>
          <w:rStyle w:val="libBold2Char"/>
          <w:rtl/>
        </w:rPr>
        <w:t xml:space="preserve"> / 3.</w:t>
      </w:r>
      <w:r w:rsidRPr="00020424">
        <w:rPr>
          <w:rtl/>
          <w:lang w:bidi="fa-IR"/>
        </w:rPr>
        <w:t xml:space="preserve"> عِدَّةٌ مِنْ أَصْحَابِنَا ، عَنْ أَحْمَدَ بْنِ مُحَمَّدٍ ، عَنِ الْحَسَنِ بْنِ عَل</w:t>
      </w:r>
      <w:r w:rsidR="00990A8C">
        <w:rPr>
          <w:rtl/>
          <w:lang w:bidi="fa-IR"/>
        </w:rPr>
        <w:t>ِيٍّ الْوَشَّاءِ ، عَنْ أَبَانٍ</w:t>
      </w:r>
      <w:r w:rsidRPr="00020424">
        <w:rPr>
          <w:rtl/>
          <w:lang w:bidi="fa-IR"/>
        </w:rPr>
        <w:t xml:space="preserve">، عَنِ الْحَسَنِ بْنِ زِيَادٍ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السَّبْعَةُ الْأَيَّامِ وَالثَّلَاثَةُ الْأَيَّامِ </w:t>
      </w:r>
      <w:r w:rsidRPr="00A91B96">
        <w:rPr>
          <w:rStyle w:val="libFootnotenumChar"/>
          <w:rtl/>
        </w:rPr>
        <w:t>(5)</w:t>
      </w:r>
      <w:r w:rsidRPr="00020424">
        <w:rPr>
          <w:rtl/>
          <w:lang w:bidi="fa-IR"/>
        </w:rPr>
        <w:t xml:space="preserve"> فِي الْحَجِّ لَاتُفَرَّقُ </w:t>
      </w:r>
      <w:r w:rsidRPr="00A91B96">
        <w:rPr>
          <w:rStyle w:val="libFootnotenumChar"/>
          <w:rtl/>
        </w:rPr>
        <w:t>(6)</w:t>
      </w:r>
      <w:r w:rsidRPr="00020424">
        <w:rPr>
          <w:rtl/>
          <w:lang w:bidi="fa-IR"/>
        </w:rPr>
        <w:t xml:space="preserve"> ، إِنَّمَا هِيَ بِمَنْزِلَةِ الثَّلَاثَةِ الْأَيَّامِ فِي الْيَمِينِ</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596 ، ح 11427 ؛ </w:t>
      </w:r>
      <w:r w:rsidR="00992664" w:rsidRPr="0012008A">
        <w:rPr>
          <w:rStyle w:val="libFootnoteBoldChar"/>
          <w:rtl/>
        </w:rPr>
        <w:t>الوسائل</w:t>
      </w:r>
      <w:r w:rsidR="00992664" w:rsidRPr="00020424">
        <w:rPr>
          <w:rtl/>
        </w:rPr>
        <w:t xml:space="preserve"> ، ج 10 ، ص 340 ، ح 13556 ؛ وص 382 ، ح 13645.</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283 ، ذيل ح 856 ، بسنده عن محمّد بن أبي عمير. </w:t>
      </w:r>
      <w:r w:rsidR="00992664" w:rsidRPr="00DE76B9">
        <w:rPr>
          <w:rStyle w:val="libFootnoteBoldChar"/>
          <w:rtl/>
        </w:rPr>
        <w:t>تفسير العيّاشي</w:t>
      </w:r>
      <w:r w:rsidR="00992664" w:rsidRPr="00020424">
        <w:rPr>
          <w:rtl/>
        </w:rPr>
        <w:t xml:space="preserve"> ، ج 1 ، ص 339 ، صدر ح 180 ، عن الحلبي </w:t>
      </w:r>
      <w:r w:rsidR="008A62A2">
        <w:rPr>
          <w:rFonts w:hint="cs"/>
          <w:rtl/>
        </w:rPr>
        <w:t>.</w:t>
      </w:r>
      <w:r w:rsidR="00992664" w:rsidRPr="0012008A">
        <w:rPr>
          <w:rStyle w:val="libFootnoteBoldChar"/>
          <w:rtl/>
        </w:rPr>
        <w:t>الوافي</w:t>
      </w:r>
      <w:r w:rsidR="00992664" w:rsidRPr="00020424">
        <w:rPr>
          <w:rtl/>
        </w:rPr>
        <w:t xml:space="preserve"> ، ج 11 ، ص 596 ، ح 11428 ؛ </w:t>
      </w:r>
      <w:r w:rsidR="00992664" w:rsidRPr="0012008A">
        <w:rPr>
          <w:rStyle w:val="libFootnoteBoldChar"/>
          <w:rtl/>
        </w:rPr>
        <w:t>الوسائل</w:t>
      </w:r>
      <w:r w:rsidR="00992664" w:rsidRPr="00020424">
        <w:rPr>
          <w:rtl/>
        </w:rPr>
        <w:t xml:space="preserve"> ، ج 10 ، ص 383 ، ذيل ح 13648.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بر ، بف » : « الحسن بن زيد</w:t>
      </w:r>
      <w:r w:rsidR="00992664">
        <w:rPr>
          <w:rtl/>
        </w:rPr>
        <w:t xml:space="preserve"> ».</w:t>
      </w:r>
      <w:r w:rsidR="00992664" w:rsidRPr="00020424">
        <w:rPr>
          <w:rtl/>
        </w:rPr>
        <w:t xml:space="preserve"> وفي « ى ، بح ، بخ ، بس ، جن » والمطبوع </w:t>
      </w:r>
      <w:r w:rsidR="00992664" w:rsidRPr="00EB1FD9">
        <w:rPr>
          <w:rStyle w:val="libFootnoteBoldChar"/>
          <w:rtl/>
        </w:rPr>
        <w:t>والوسائل</w:t>
      </w:r>
      <w:r w:rsidR="00992664" w:rsidRPr="00020424">
        <w:rPr>
          <w:rtl/>
        </w:rPr>
        <w:t xml:space="preserve"> : « الحسين بن زيد</w:t>
      </w:r>
      <w:r w:rsidR="00992664">
        <w:rPr>
          <w:rtl/>
        </w:rPr>
        <w:t xml:space="preserve"> ».</w:t>
      </w:r>
    </w:p>
    <w:p w:rsidR="00992664" w:rsidRPr="00020424" w:rsidRDefault="00992664" w:rsidP="008A62A2">
      <w:pPr>
        <w:pStyle w:val="libFootnote0"/>
        <w:rPr>
          <w:rtl/>
          <w:lang w:bidi="fa-IR"/>
        </w:rPr>
      </w:pPr>
      <w:r w:rsidRPr="008A62A2">
        <w:rPr>
          <w:rtl/>
        </w:rPr>
        <w:t xml:space="preserve">والظاهر أنّ الصواب ما أثبتناه ؛ فقد روى أبان [ بن عثمان ] عن الحسن بن زياد في الأسناد ، وقد توسّط في بعضها أبان ، بين الحسن بن عليّ [ الوشّاء ] وبين الحسن بن زياد. وأمّا رواية أبان عن الحسين بن زيد أو الحسن بن زيد فغير معهودة. راجع : </w:t>
      </w:r>
      <w:r w:rsidRPr="00DE76B9">
        <w:rPr>
          <w:rStyle w:val="libFootnoteBoldChar"/>
          <w:rtl/>
        </w:rPr>
        <w:t>معجم رجال الحديث</w:t>
      </w:r>
      <w:r w:rsidRPr="008A62A2">
        <w:rPr>
          <w:rtl/>
        </w:rPr>
        <w:t xml:space="preserve"> ، ج 1 ، ص 382 ، وص 417. لاحظ أيضاً ؛ </w:t>
      </w:r>
      <w:r w:rsidRPr="00DE76B9">
        <w:rPr>
          <w:rStyle w:val="libFootnoteBoldChar"/>
          <w:rtl/>
        </w:rPr>
        <w:t>الكافي</w:t>
      </w:r>
      <w:r w:rsidRPr="008A62A2">
        <w:rPr>
          <w:rtl/>
        </w:rPr>
        <w:t xml:space="preserve"> ، ح 6440 </w:t>
      </w:r>
      <w:r w:rsidR="009B673F" w:rsidRPr="008A62A2">
        <w:rPr>
          <w:rtl/>
        </w:rPr>
        <w:t>-</w:t>
      </w:r>
      <w:r w:rsidRPr="008A62A2">
        <w:rPr>
          <w:rtl/>
        </w:rPr>
        <w:t xml:space="preserve"> وقد قدّمنا الكلام ذيله </w:t>
      </w:r>
      <w:r w:rsidR="009B673F" w:rsidRPr="008A62A2">
        <w:rPr>
          <w:rtl/>
        </w:rPr>
        <w:t>-</w:t>
      </w:r>
      <w:r w:rsidRPr="008A62A2">
        <w:rPr>
          <w:rtl/>
        </w:rPr>
        <w:t xml:space="preserve"> وح 7276.</w:t>
      </w:r>
    </w:p>
    <w:p w:rsidR="00992664" w:rsidRPr="00020424" w:rsidRDefault="00795177" w:rsidP="008A62A2">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350 : « قوله </w:t>
      </w:r>
      <w:r w:rsidR="00992664" w:rsidRPr="00D64ADA">
        <w:rPr>
          <w:rStyle w:val="libFootnoteAlaemChar"/>
          <w:rtl/>
        </w:rPr>
        <w:t>عليه‌السلام</w:t>
      </w:r>
      <w:r w:rsidR="00992664" w:rsidRPr="00020424">
        <w:rPr>
          <w:rtl/>
        </w:rPr>
        <w:t xml:space="preserve"> : السبعة الأيّام ، لا خلاف ب</w:t>
      </w:r>
      <w:r w:rsidR="008A62A2">
        <w:rPr>
          <w:rtl/>
        </w:rPr>
        <w:t>ين الأصحاب في وجوب المتابعة إل</w:t>
      </w:r>
      <w:r w:rsidR="008A62A2">
        <w:rPr>
          <w:rFonts w:hint="cs"/>
          <w:rtl/>
        </w:rPr>
        <w:t>ّ</w:t>
      </w:r>
      <w:r w:rsidR="008A62A2">
        <w:rPr>
          <w:rtl/>
        </w:rPr>
        <w:t>ا</w:t>
      </w:r>
      <w:r w:rsidR="00992664" w:rsidRPr="00020424">
        <w:rPr>
          <w:rtl/>
        </w:rPr>
        <w:t>في‌الصورة التي ذكرنا سابقاً ، وإنّما الخلاف في السبعة ، فذهب الأكثر إلى عدم وجوب متابعته كما دلّت عليه الروايات ، وذهب أبو الصلاح وابن أبي عقيل إلى وجوب المتابعة فيها أيضاً ، كما هو ظاهر هذا الخبر ، وحمله الأوّلون على الاستحباب</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بث ، بخ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سائر النسخ التي قوبلت والمطبوع : « لا يفرّق</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315 ، ح 957 ؛ </w:t>
      </w:r>
      <w:r w:rsidR="00992664" w:rsidRPr="00FD6221">
        <w:rPr>
          <w:rStyle w:val="libFootnoteBoldChar"/>
          <w:rtl/>
        </w:rPr>
        <w:t>والاستبصار</w:t>
      </w:r>
      <w:r w:rsidR="00992664" w:rsidRPr="00020424">
        <w:rPr>
          <w:rtl/>
        </w:rPr>
        <w:t xml:space="preserve"> ، ج 2 ، ص 281 ، ح 999 ، بسند آخر عن موسى بن جعفر </w:t>
      </w:r>
      <w:r w:rsidR="00992664" w:rsidRPr="00D64ADA">
        <w:rPr>
          <w:rStyle w:val="libFootnoteAlaemChar"/>
          <w:rtl/>
        </w:rPr>
        <w:t>عليه‌السلام</w:t>
      </w:r>
      <w:r w:rsidR="00992664" w:rsidRPr="00020424">
        <w:rPr>
          <w:rtl/>
        </w:rPr>
        <w:t xml:space="preserve">. وفي </w:t>
      </w:r>
      <w:r w:rsidR="00992664" w:rsidRPr="00DE76B9">
        <w:rPr>
          <w:rStyle w:val="libFootnoteBoldChar"/>
          <w:rtl/>
        </w:rPr>
        <w:t>مسائل عليّ بن جعفر</w:t>
      </w:r>
      <w:r w:rsidR="00992664" w:rsidRPr="00020424">
        <w:rPr>
          <w:rtl/>
        </w:rPr>
        <w:t xml:space="preserve"> ، ص 175 ؛ و</w:t>
      </w:r>
      <w:r w:rsidR="00992664" w:rsidRPr="00DE76B9">
        <w:rPr>
          <w:rStyle w:val="libFootnoteBoldChar"/>
          <w:rtl/>
        </w:rPr>
        <w:t xml:space="preserve">تفسير العيّاشي </w:t>
      </w:r>
      <w:r w:rsidR="00992664" w:rsidRPr="00020424">
        <w:rPr>
          <w:rtl/>
        </w:rPr>
        <w:t xml:space="preserve">، ج 1 ، ص 93 ، ح 241 و242 ، عن عليّ بن جعفر ، </w:t>
      </w:r>
      <w:r w:rsidR="00E36D26">
        <w:rPr>
          <w:rFonts w:hint="cs"/>
          <w:rtl/>
        </w:rPr>
        <w:t xml:space="preserve">عن </w:t>
      </w:r>
      <w:r w:rsidR="00D9571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479" w:name="_Toc345172876"/>
      <w:bookmarkStart w:id="480" w:name="_Toc464562691"/>
      <w:bookmarkStart w:id="481" w:name="_Toc44599997"/>
      <w:r w:rsidRPr="00020424">
        <w:rPr>
          <w:rtl/>
          <w:lang w:bidi="fa-IR"/>
        </w:rPr>
        <w:t>58</w:t>
      </w:r>
      <w:r>
        <w:rPr>
          <w:rtl/>
          <w:lang w:bidi="fa-IR"/>
        </w:rPr>
        <w:t xml:space="preserve"> </w:t>
      </w:r>
      <w:r w:rsidR="009B673F">
        <w:rPr>
          <w:rtl/>
          <w:lang w:bidi="fa-IR"/>
        </w:rPr>
        <w:t>-</w:t>
      </w:r>
      <w:r>
        <w:rPr>
          <w:rtl/>
          <w:lang w:bidi="fa-IR"/>
        </w:rPr>
        <w:t xml:space="preserve"> </w:t>
      </w:r>
      <w:r w:rsidRPr="00020424">
        <w:rPr>
          <w:rtl/>
          <w:lang w:bidi="fa-IR"/>
        </w:rPr>
        <w:t xml:space="preserve">بَابُ مَنْ جَعَلَ عَلى نَفْسِهِ صَوْماً مَعْلُوماً وَمَنْ نَذَرَ أَنْ يَصُومَ فِي شُكْرٍ </w:t>
      </w:r>
      <w:r w:rsidRPr="00A91B96">
        <w:rPr>
          <w:rStyle w:val="libFootnotenumChar"/>
          <w:rtl/>
        </w:rPr>
        <w:t>(1)</w:t>
      </w:r>
      <w:r w:rsidRPr="00020424">
        <w:rPr>
          <w:rtl/>
          <w:lang w:bidi="fa-IR"/>
        </w:rPr>
        <w:t xml:space="preserve"> ‌</w:t>
      </w:r>
      <w:bookmarkEnd w:id="479"/>
      <w:bookmarkEnd w:id="480"/>
      <w:bookmarkEnd w:id="481"/>
    </w:p>
    <w:p w:rsidR="00992664" w:rsidRPr="00020424" w:rsidRDefault="00992664" w:rsidP="00992664">
      <w:pPr>
        <w:pStyle w:val="libNormal"/>
        <w:rPr>
          <w:rtl/>
          <w:lang w:bidi="fa-IR"/>
        </w:rPr>
      </w:pPr>
      <w:r w:rsidRPr="00800E0D">
        <w:rPr>
          <w:rtl/>
        </w:rPr>
        <w:t>6558</w:t>
      </w:r>
      <w:r w:rsidRPr="001155DE">
        <w:rPr>
          <w:rStyle w:val="libBold2Char"/>
          <w:rtl/>
        </w:rPr>
        <w:t xml:space="preserve"> / 1.</w:t>
      </w:r>
      <w:r w:rsidRPr="00020424">
        <w:rPr>
          <w:rtl/>
          <w:lang w:bidi="fa-IR"/>
        </w:rPr>
        <w:t xml:space="preserve"> عَلِيُّ بْنِ إِبْرَاهِيمَ ، عَنْ أَبِيهِ ، عَنِ ابْنِ أَبِي عُمَيْرٍ ، عَنْ كَرَّامٍ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إِنِّي جَعَلْتُ عَلى نَفْسِي أَنْ أَصُومَ حَتّى يَقُومَ الْقَائِمُ </w:t>
      </w:r>
      <w:r w:rsidRPr="00005A81">
        <w:rPr>
          <w:rStyle w:val="libAlaemChar"/>
          <w:rtl/>
        </w:rPr>
        <w:t>عليه‌السلام</w:t>
      </w:r>
      <w:r w:rsidRPr="00020424">
        <w:rPr>
          <w:rtl/>
          <w:lang w:bidi="fa-IR"/>
        </w:rPr>
        <w:t>.</w:t>
      </w:r>
    </w:p>
    <w:p w:rsidR="00992664" w:rsidRPr="00020424" w:rsidRDefault="00992664" w:rsidP="00992664">
      <w:pPr>
        <w:pStyle w:val="libNormal"/>
        <w:rPr>
          <w:rtl/>
          <w:lang w:bidi="fa-IR"/>
        </w:rPr>
      </w:pPr>
      <w:r w:rsidRPr="00020424">
        <w:rPr>
          <w:rtl/>
          <w:lang w:bidi="fa-IR"/>
        </w:rPr>
        <w:t>فَقَالَ : « صُمْ ، وَلَاتَصُمْ فِي السَّفَرِ ، وَلَا</w:t>
      </w:r>
      <w:r>
        <w:rPr>
          <w:rFonts w:hint="cs"/>
          <w:rtl/>
          <w:lang w:bidi="fa-IR"/>
        </w:rPr>
        <w:t xml:space="preserve"> </w:t>
      </w:r>
      <w:r w:rsidRPr="00020424">
        <w:rPr>
          <w:rtl/>
          <w:lang w:bidi="fa-IR"/>
        </w:rPr>
        <w:t xml:space="preserve">الْعِيدَيْنِ </w:t>
      </w:r>
      <w:r w:rsidRPr="00A91B96">
        <w:rPr>
          <w:rStyle w:val="libFootnotenumChar"/>
          <w:rtl/>
        </w:rPr>
        <w:t>(2)</w:t>
      </w:r>
      <w:r w:rsidRPr="00020424">
        <w:rPr>
          <w:rtl/>
          <w:lang w:bidi="fa-IR"/>
        </w:rPr>
        <w:t xml:space="preserve"> ، وَلَا</w:t>
      </w:r>
      <w:r>
        <w:rPr>
          <w:rFonts w:hint="cs"/>
          <w:rtl/>
          <w:lang w:bidi="fa-IR"/>
        </w:rPr>
        <w:t xml:space="preserve"> </w:t>
      </w:r>
      <w:r w:rsidRPr="00020424">
        <w:rPr>
          <w:rtl/>
          <w:lang w:bidi="fa-IR"/>
        </w:rPr>
        <w:t xml:space="preserve">أَيَّامَ </w:t>
      </w:r>
      <w:r w:rsidRPr="00A91B96">
        <w:rPr>
          <w:rStyle w:val="libFootnotenumChar"/>
          <w:rtl/>
        </w:rPr>
        <w:t>(3)</w:t>
      </w:r>
      <w:r w:rsidRPr="00020424">
        <w:rPr>
          <w:rtl/>
          <w:lang w:bidi="fa-IR"/>
        </w:rPr>
        <w:t xml:space="preserve"> التَّشْرِيقِ </w:t>
      </w:r>
      <w:r w:rsidRPr="00A91B96">
        <w:rPr>
          <w:rStyle w:val="libFootnotenumChar"/>
          <w:rtl/>
        </w:rPr>
        <w:t>(4)</w:t>
      </w:r>
      <w:r w:rsidRPr="00020424">
        <w:rPr>
          <w:rtl/>
          <w:lang w:bidi="fa-IR"/>
        </w:rPr>
        <w:t xml:space="preserve"> ، وَلَا</w:t>
      </w:r>
      <w:r>
        <w:rPr>
          <w:rFonts w:hint="cs"/>
          <w:rtl/>
          <w:lang w:bidi="fa-IR"/>
        </w:rPr>
        <w:t xml:space="preserve"> </w:t>
      </w:r>
      <w:r w:rsidRPr="00020424">
        <w:rPr>
          <w:rtl/>
          <w:lang w:bidi="fa-IR"/>
        </w:rPr>
        <w:t xml:space="preserve">الْيَوْمَ الَّذِي يُشَكُّ </w:t>
      </w:r>
      <w:r w:rsidRPr="00A91B96">
        <w:rPr>
          <w:rStyle w:val="libFootnotenumChar"/>
          <w:rtl/>
        </w:rPr>
        <w:t>(5)</w:t>
      </w:r>
      <w:r w:rsidRPr="00020424">
        <w:rPr>
          <w:rtl/>
          <w:lang w:bidi="fa-IR"/>
        </w:rPr>
        <w:t xml:space="preserve"> فِيهِ مِنْ شَهْرِ رَمَضَانَ</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800E0D">
        <w:rPr>
          <w:rtl/>
        </w:rPr>
        <w:t>6559</w:t>
      </w:r>
      <w:r w:rsidRPr="001155DE">
        <w:rPr>
          <w:rStyle w:val="libBold2Char"/>
          <w:rtl/>
        </w:rPr>
        <w:t xml:space="preserve"> / 2.</w:t>
      </w:r>
      <w:r w:rsidRPr="00020424">
        <w:rPr>
          <w:rtl/>
          <w:lang w:bidi="fa-IR"/>
        </w:rPr>
        <w:t xml:space="preserve"> عِدَّةٌ مِنْ أَصْحَابِنَا ، عَنْ أَحْمَدَ بْنِ مُحَمَّدٍ ، عَنْ عَلِيِّ بْنِ أَحْمَدَ بْنِ أَشْيَمَ ، قَالَ :</w:t>
      </w:r>
    </w:p>
    <w:p w:rsidR="00992664" w:rsidRPr="00020424" w:rsidRDefault="00992664" w:rsidP="00992664">
      <w:pPr>
        <w:pStyle w:val="libNormal"/>
        <w:rPr>
          <w:rtl/>
          <w:lang w:bidi="fa-IR"/>
        </w:rPr>
      </w:pPr>
      <w:r w:rsidRPr="00020424">
        <w:rPr>
          <w:rtl/>
          <w:lang w:bidi="fa-IR"/>
        </w:rPr>
        <w:t xml:space="preserve">كَتَبَ الْحُسَيْنُ إِلَى الرِّضَا </w:t>
      </w:r>
      <w:r w:rsidRPr="00005A81">
        <w:rPr>
          <w:rStyle w:val="libAlaemChar"/>
          <w:rtl/>
        </w:rPr>
        <w:t>عليه‌السلام</w:t>
      </w:r>
      <w:r w:rsidRPr="00020424">
        <w:rPr>
          <w:rtl/>
          <w:lang w:bidi="fa-IR"/>
        </w:rPr>
        <w:t xml:space="preserve"> : جُعِلْتُ فِدَاكَ ، رَجُلٌ نَذَرَ أَنْ يَصُومَ أَيَّاماً مَعْلُومَةً ، فَصَامَ بَعْضَهَا ، ث</w:t>
      </w:r>
      <w:r>
        <w:rPr>
          <w:rtl/>
          <w:lang w:bidi="fa-IR"/>
        </w:rPr>
        <w:t>ُمَّ اعْتَلَّ ، فَأَفْطَرَ : أَ</w:t>
      </w:r>
      <w:r w:rsidRPr="00020424">
        <w:rPr>
          <w:rtl/>
          <w:lang w:bidi="fa-IR"/>
        </w:rPr>
        <w:t xml:space="preserve">يَبْتَدِئُ فِي صَوْمِهِ </w:t>
      </w:r>
      <w:r w:rsidRPr="00A91B96">
        <w:rPr>
          <w:rStyle w:val="libFootnotenumChar"/>
          <w:rtl/>
        </w:rPr>
        <w:t>(7)</w:t>
      </w:r>
      <w:r w:rsidRPr="00020424">
        <w:rPr>
          <w:rtl/>
          <w:lang w:bidi="fa-IR"/>
        </w:rPr>
        <w:t xml:space="preserve"> ، أَمْ يَحْتَسِبُ بِمَا مَضى</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E36D26" w:rsidP="00992664">
      <w:pPr>
        <w:pStyle w:val="libFootnote0"/>
        <w:rPr>
          <w:rtl/>
          <w:lang w:bidi="fa-IR"/>
        </w:rPr>
      </w:pPr>
      <w:r>
        <w:rPr>
          <w:rFonts w:hint="cs"/>
          <w:rtl/>
        </w:rPr>
        <w:t xml:space="preserve">= </w:t>
      </w:r>
      <w:r w:rsidR="00992664" w:rsidRPr="00020424">
        <w:rPr>
          <w:rtl/>
        </w:rPr>
        <w:t xml:space="preserve">عن موسى بن جعفر </w:t>
      </w:r>
      <w:r w:rsidR="00992664" w:rsidRPr="00D64ADA">
        <w:rPr>
          <w:rStyle w:val="libFootnoteAlaemChar"/>
          <w:rtl/>
        </w:rPr>
        <w:t>عليه‌السلام</w:t>
      </w:r>
      <w:r w:rsidR="00992664" w:rsidRPr="00020424">
        <w:rPr>
          <w:rtl/>
        </w:rPr>
        <w:t xml:space="preserve"> ، وفي كلّ المصادر مع اختلاف </w:t>
      </w:r>
      <w:r w:rsidR="00992664" w:rsidRPr="0012008A">
        <w:rPr>
          <w:rStyle w:val="libFootnoteBoldChar"/>
          <w:rtl/>
        </w:rPr>
        <w:t>الوافي</w:t>
      </w:r>
      <w:r w:rsidR="00992664" w:rsidRPr="00020424">
        <w:rPr>
          <w:rtl/>
        </w:rPr>
        <w:t xml:space="preserve"> ، ج 11 ، ص 597 ، ح 11429 ؛ </w:t>
      </w:r>
      <w:r w:rsidR="00992664" w:rsidRPr="0012008A">
        <w:rPr>
          <w:rStyle w:val="libFootnoteBoldChar"/>
          <w:rtl/>
        </w:rPr>
        <w:t>الوسائل</w:t>
      </w:r>
      <w:r w:rsidR="00992664" w:rsidRPr="00020424">
        <w:rPr>
          <w:rtl/>
        </w:rPr>
        <w:t xml:space="preserve"> ، ج 10 ، ص 382 ، ح 13646.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هامش المطبوع عن بعض النسخ : « شكّ</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بس » </w:t>
      </w:r>
      <w:r w:rsidR="00992664" w:rsidRPr="00FD6221">
        <w:rPr>
          <w:rStyle w:val="libFootnoteBoldChar"/>
          <w:rtl/>
        </w:rPr>
        <w:t>والفقيه</w:t>
      </w:r>
      <w:r w:rsidR="00992664" w:rsidRPr="00020424">
        <w:rPr>
          <w:rtl/>
        </w:rPr>
        <w:t xml:space="preserve"> : « ولا في العيدين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w:t>
      </w:r>
      <w:r w:rsidR="00992664" w:rsidRPr="00FD6221">
        <w:rPr>
          <w:rStyle w:val="libFootnoteBoldChar"/>
          <w:rtl/>
        </w:rPr>
        <w:t>والفقيه</w:t>
      </w:r>
      <w:r w:rsidR="00992664" w:rsidRPr="00020424">
        <w:rPr>
          <w:rtl/>
        </w:rPr>
        <w:t xml:space="preserve"> : « ولا في أيّام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لا يصوم يوم الشكّ إذا اعتقد كونه من شهر رمضان ، وذلك لأنّه حينئذٍ لا يتأتّى له أن ينوي من نذره وإن قال بلسانه : إنّه من نذره</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أيّام التشريق ، محمول على ما إذا كان بمنى كما سيأتي ، وأمّا يوم الشكّ فمحمول على التقيّة</w:t>
      </w:r>
      <w:r w:rsidR="00992664">
        <w:rPr>
          <w:rtl/>
        </w:rPr>
        <w:t xml:space="preserve"> ».</w:t>
      </w:r>
    </w:p>
    <w:p w:rsidR="00992664" w:rsidRPr="00020424" w:rsidRDefault="00992664" w:rsidP="00E36D26">
      <w:pPr>
        <w:pStyle w:val="libFootnote0"/>
        <w:rPr>
          <w:rtl/>
          <w:lang w:bidi="fa-IR"/>
        </w:rPr>
      </w:pPr>
      <w:r w:rsidRPr="00D82B22">
        <w:rPr>
          <w:rtl/>
        </w:rPr>
        <w:t>أقول : قد مضى تحقيق صيام يوم الشكّ في هامش ح 6310 نقلاً عن الوافي.</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13994 : « تشكّ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233 ، ح 683 ؛ </w:t>
      </w:r>
      <w:r w:rsidR="00992664" w:rsidRPr="00FD6221">
        <w:rPr>
          <w:rStyle w:val="libFootnoteBoldChar"/>
          <w:rtl/>
        </w:rPr>
        <w:t>والاستبصار</w:t>
      </w:r>
      <w:r w:rsidR="00992664" w:rsidRPr="00020424">
        <w:rPr>
          <w:rtl/>
        </w:rPr>
        <w:t xml:space="preserve"> ، ج 2 ، ص 100 ، ح 325 ، معلّقاً عن الكليني. وفي </w:t>
      </w:r>
      <w:r w:rsidR="00992664" w:rsidRPr="00DE76B9">
        <w:rPr>
          <w:rStyle w:val="libFootnoteBoldChar"/>
          <w:rtl/>
        </w:rPr>
        <w:t>الكافي</w:t>
      </w:r>
      <w:r w:rsidR="00992664" w:rsidRPr="00020424">
        <w:rPr>
          <w:rtl/>
        </w:rPr>
        <w:t xml:space="preserve"> ، كتاب الحجّة ، باب ما جاء في الاثني عشر والنصّ عليهم </w:t>
      </w:r>
      <w:r w:rsidR="00992664" w:rsidRPr="00D64ADA">
        <w:rPr>
          <w:rStyle w:val="libFootnoteAlaemChar"/>
          <w:rtl/>
        </w:rPr>
        <w:t>عليهم‌السلام</w:t>
      </w:r>
      <w:r w:rsidR="00992664" w:rsidRPr="00020424">
        <w:rPr>
          <w:rtl/>
        </w:rPr>
        <w:t xml:space="preserve"> ، ضمن ح 1406 ؛ و</w:t>
      </w:r>
      <w:r w:rsidR="00992664" w:rsidRPr="00DE76B9">
        <w:rPr>
          <w:rStyle w:val="libFootnoteBoldChar"/>
          <w:rtl/>
        </w:rPr>
        <w:t>الغيبة</w:t>
      </w:r>
      <w:r w:rsidR="00992664" w:rsidRPr="00020424">
        <w:rPr>
          <w:rtl/>
        </w:rPr>
        <w:t xml:space="preserve"> للنعماني ، ص 94 ، ضمن ح 26 ، بسندهما عن كرّام ، عن أبي عبدالله </w:t>
      </w:r>
      <w:r w:rsidR="00992664" w:rsidRPr="00D64ADA">
        <w:rPr>
          <w:rStyle w:val="libFootnoteAlaemChar"/>
          <w:rtl/>
        </w:rPr>
        <w:t>عليه‌السلام</w:t>
      </w:r>
      <w:r w:rsidR="00992664" w:rsidRPr="00020424">
        <w:rPr>
          <w:rtl/>
        </w:rPr>
        <w:t xml:space="preserve"> ، مع اختلاف يسير. وفي </w:t>
      </w:r>
      <w:r w:rsidR="00992664" w:rsidRPr="0012008A">
        <w:rPr>
          <w:rStyle w:val="libFootnoteBoldChar"/>
          <w:rtl/>
        </w:rPr>
        <w:t>الفقيه</w:t>
      </w:r>
      <w:r w:rsidR="00992664" w:rsidRPr="00020424">
        <w:rPr>
          <w:rtl/>
        </w:rPr>
        <w:t xml:space="preserve"> ، ج 2 ، ص 127 ، ح 1925 ؛ </w:t>
      </w:r>
      <w:r w:rsidR="00992664" w:rsidRPr="00515444">
        <w:rPr>
          <w:rStyle w:val="libFootnoteBoldChar"/>
          <w:rtl/>
        </w:rPr>
        <w:t>والتهذيب</w:t>
      </w:r>
      <w:r w:rsidR="00992664" w:rsidRPr="00020424">
        <w:rPr>
          <w:rtl/>
        </w:rPr>
        <w:t xml:space="preserve"> ، ج 4 ، ص 183 ، ح 510 ؛ </w:t>
      </w:r>
      <w:r w:rsidR="00992664" w:rsidRPr="00FD6221">
        <w:rPr>
          <w:rStyle w:val="libFootnoteBoldChar"/>
          <w:rtl/>
        </w:rPr>
        <w:t>والاستبصار</w:t>
      </w:r>
      <w:r w:rsidR="00992664" w:rsidRPr="00020424">
        <w:rPr>
          <w:rtl/>
        </w:rPr>
        <w:t xml:space="preserve"> ، ج 2 ، ص 79 ، ح 242 ، بسند آخر </w:t>
      </w:r>
      <w:r w:rsidR="00E36D26">
        <w:rPr>
          <w:rFonts w:hint="cs"/>
          <w:rtl/>
        </w:rPr>
        <w:t>.</w:t>
      </w:r>
      <w:r w:rsidR="00992664" w:rsidRPr="0012008A">
        <w:rPr>
          <w:rStyle w:val="libFootnoteBoldChar"/>
          <w:rtl/>
        </w:rPr>
        <w:t>الوافي</w:t>
      </w:r>
      <w:r w:rsidR="00992664" w:rsidRPr="00020424">
        <w:rPr>
          <w:rtl/>
        </w:rPr>
        <w:t xml:space="preserve"> ، ج 11 ، ص 84 ، ح 10456 ؛ وج 11 ، ص 509 ، ح 11210 ؛ </w:t>
      </w:r>
      <w:r w:rsidR="00992664" w:rsidRPr="0012008A">
        <w:rPr>
          <w:rStyle w:val="libFootnoteBoldChar"/>
          <w:rtl/>
        </w:rPr>
        <w:t>الوسائل</w:t>
      </w:r>
      <w:r w:rsidR="00B72AFB">
        <w:rPr>
          <w:rtl/>
        </w:rPr>
        <w:t xml:space="preserve"> ، ج 10 ، ص 26</w:t>
      </w:r>
      <w:r w:rsidR="00992664" w:rsidRPr="00020424">
        <w:rPr>
          <w:rtl/>
        </w:rPr>
        <w:t xml:space="preserve">، ذيل ح 12745 ؛ وص 384 ، ح 13651 ؛ وص 515 ، ح 13994 ؛ </w:t>
      </w:r>
      <w:r w:rsidR="00992664" w:rsidRPr="00DE76B9">
        <w:rPr>
          <w:rStyle w:val="libFootnoteBoldChar"/>
          <w:rtl/>
        </w:rPr>
        <w:t>وفيه</w:t>
      </w:r>
      <w:r w:rsidR="00992664" w:rsidRPr="00020424">
        <w:rPr>
          <w:rtl/>
        </w:rPr>
        <w:t xml:space="preserve"> ، ص 199 ، ح 13212 ، إلى قوله : « لاتصم في السفر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 « بصومه » بدل « في صومه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فَكَتَبَ إِلَيْهِ </w:t>
      </w:r>
      <w:r w:rsidRPr="00A91B96">
        <w:rPr>
          <w:rStyle w:val="libFootnotenumChar"/>
          <w:rtl/>
        </w:rPr>
        <w:t>(1)</w:t>
      </w:r>
      <w:r w:rsidRPr="00020424">
        <w:rPr>
          <w:rtl/>
          <w:lang w:bidi="fa-IR"/>
        </w:rPr>
        <w:t xml:space="preserve"> : « يَحْتَسِبُ بِمَا </w:t>
      </w:r>
      <w:r w:rsidRPr="00A91B96">
        <w:rPr>
          <w:rStyle w:val="libFootnotenumChar"/>
          <w:rtl/>
        </w:rPr>
        <w:t>(2)</w:t>
      </w:r>
      <w:r w:rsidRPr="00020424">
        <w:rPr>
          <w:rtl/>
          <w:lang w:bidi="fa-IR"/>
        </w:rPr>
        <w:t xml:space="preserve"> مَضى</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800E0D">
        <w:rPr>
          <w:rtl/>
        </w:rPr>
        <w:t>6560</w:t>
      </w:r>
      <w:r w:rsidRPr="001155DE">
        <w:rPr>
          <w:rStyle w:val="libBold2Char"/>
          <w:rtl/>
        </w:rPr>
        <w:t xml:space="preserve"> / 3.</w:t>
      </w:r>
      <w:r w:rsidRPr="00020424">
        <w:rPr>
          <w:rtl/>
          <w:lang w:bidi="fa-IR"/>
        </w:rPr>
        <w:t xml:space="preserve"> عَلِيُّ بْنُ إِبْرَاهِيمَ ، عَنْ صَالِحِ بْنِ عَبْدِ اللهِ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قُلْتُ لَهُ </w:t>
      </w:r>
      <w:r w:rsidRPr="00A91B96">
        <w:rPr>
          <w:rStyle w:val="libFootnotenumChar"/>
          <w:rtl/>
        </w:rPr>
        <w:t>(5)</w:t>
      </w:r>
      <w:r w:rsidRPr="00020424">
        <w:rPr>
          <w:rtl/>
          <w:lang w:bidi="fa-IR"/>
        </w:rPr>
        <w:t xml:space="preserve"> : جُعِلْتُ فِدَاكَ ، جَعَلْتُ </w:t>
      </w:r>
      <w:r w:rsidRPr="00A91B96">
        <w:rPr>
          <w:rStyle w:val="libFootnotenumChar"/>
          <w:rtl/>
        </w:rPr>
        <w:t>(6)</w:t>
      </w:r>
      <w:r w:rsidRPr="00020424">
        <w:rPr>
          <w:rtl/>
          <w:lang w:bidi="fa-IR"/>
        </w:rPr>
        <w:t xml:space="preserve"> عَلَيَّ صِيَامَ شَهْرٍ إِنْ خَرَجَ عَمِّي مِنَ الْحَبْسِ ، فَخَرَجَ ، فَأُصْبِحُ وَأَنَا أُرِيدُ الصِّيَامَ ، فَيَجِيئُنِي بَعْضُ أَصْحَابِنَا ، فَأَدْعُو بِالْغَدَاءِ ، وَأَتَغَدّى مَعَهُ </w:t>
      </w:r>
      <w:r w:rsidRPr="00A91B96">
        <w:rPr>
          <w:rStyle w:val="libFootnotenumChar"/>
          <w:rtl/>
        </w:rPr>
        <w:t>(7)</w:t>
      </w:r>
      <w:r>
        <w:rPr>
          <w:rtl/>
          <w:lang w:bidi="fa-IR"/>
        </w:rPr>
        <w:t>؟</w:t>
      </w:r>
    </w:p>
    <w:p w:rsidR="00992664" w:rsidRPr="00020424" w:rsidRDefault="00992664" w:rsidP="00EC1F3A">
      <w:pPr>
        <w:pStyle w:val="libNormal"/>
        <w:rPr>
          <w:rtl/>
          <w:lang w:bidi="fa-IR"/>
        </w:rPr>
      </w:pPr>
      <w:r w:rsidRPr="00020424">
        <w:rPr>
          <w:rtl/>
          <w:lang w:bidi="fa-IR"/>
        </w:rPr>
        <w:t xml:space="preserve">قَالَ : « لَا بَأْسَ » </w:t>
      </w:r>
      <w:r w:rsidRPr="00A91B96">
        <w:rPr>
          <w:rStyle w:val="libFootnotenumChar"/>
          <w:rtl/>
        </w:rPr>
        <w:t>(8)</w:t>
      </w:r>
      <w:r w:rsidR="00EC1F3A">
        <w:rPr>
          <w:rFonts w:hint="cs"/>
          <w:rtl/>
          <w:lang w:bidi="fa-IR"/>
        </w:rPr>
        <w:t>.</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800E0D">
        <w:rPr>
          <w:rtl/>
        </w:rPr>
        <w:t>6561</w:t>
      </w:r>
      <w:r w:rsidRPr="001155DE">
        <w:rPr>
          <w:rStyle w:val="libBold2Char"/>
          <w:rtl/>
        </w:rPr>
        <w:t xml:space="preserve"> / 4.</w:t>
      </w:r>
      <w:r w:rsidRPr="00020424">
        <w:rPr>
          <w:rtl/>
          <w:lang w:bidi="fa-IR"/>
        </w:rPr>
        <w:t xml:space="preserve"> عِدَّةٌ مِنْ أَصْحَابِنَا ، عَنْ أَحْمَدَ بْنِ مُحَمَّدٍ ، عَنِ الْحُسَيْنِ بْنِ سَعِيدٍ ، عَنِ الْقَاسِمِ بْنِ مُحَمَّدٍ ، عَنْ عَلِيِّ بْنِ أَبِي حَمْزَةَ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سَأَلْتُهُ عَنْ رَجُلٍ جَعَلَ عَلى نَفْسِهِ صَوْمَ شَهْرٍ بِالْكُوفَةِ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w:t>
      </w:r>
      <w:r w:rsidR="00992664" w:rsidRPr="001518DB">
        <w:rPr>
          <w:rtl/>
        </w:rPr>
        <w:t>عليه‌</w:t>
      </w:r>
      <w:r w:rsidR="001518DB">
        <w:rPr>
          <w:rFonts w:hint="cs"/>
          <w:rtl/>
        </w:rPr>
        <w:t xml:space="preserve"> </w:t>
      </w:r>
      <w:r w:rsidR="00992664" w:rsidRPr="001518DB">
        <w:rPr>
          <w:rtl/>
        </w:rPr>
        <w:t>السلام</w:t>
      </w:r>
      <w:r w:rsidR="00992664" w:rsidRPr="00020424">
        <w:rPr>
          <w:rtl/>
        </w:rPr>
        <w:t xml:space="preserve"> » بدل « إليه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ح 13654 </w:t>
      </w:r>
      <w:r w:rsidR="00992664" w:rsidRPr="00515444">
        <w:rPr>
          <w:rStyle w:val="libFootnoteBoldChar"/>
          <w:rtl/>
        </w:rPr>
        <w:t>والتهذيب</w:t>
      </w:r>
      <w:r w:rsidR="00992664" w:rsidRPr="00020424">
        <w:rPr>
          <w:rtl/>
        </w:rPr>
        <w:t>. وفي المطبوع : « ما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287 ، ح 868 ، معلّقاً عن الكليني </w:t>
      </w:r>
      <w:r w:rsidR="001518DB">
        <w:rPr>
          <w:rFonts w:hint="cs"/>
          <w:rtl/>
        </w:rPr>
        <w:t>.</w:t>
      </w:r>
      <w:r w:rsidR="00992664" w:rsidRPr="0012008A">
        <w:rPr>
          <w:rStyle w:val="libFootnoteBoldChar"/>
          <w:rtl/>
        </w:rPr>
        <w:t>الوافي</w:t>
      </w:r>
      <w:r w:rsidR="00992664" w:rsidRPr="00020424">
        <w:rPr>
          <w:rtl/>
        </w:rPr>
        <w:t xml:space="preserve"> ، ج 11 ، ص 509 ، ح 11211 ؛ </w:t>
      </w:r>
      <w:r w:rsidR="00992664" w:rsidRPr="0012008A">
        <w:rPr>
          <w:rStyle w:val="libFootnoteBoldChar"/>
          <w:rtl/>
        </w:rPr>
        <w:t>الوسائل</w:t>
      </w:r>
      <w:r w:rsidR="00992664" w:rsidRPr="00020424">
        <w:rPr>
          <w:rtl/>
        </w:rPr>
        <w:t xml:space="preserve"> ، ج 10 ، ص 371 ، ح 13621 ؛ وص 385 ، ح 13654.</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ورد مضمون الخبر في </w:t>
      </w:r>
      <w:r w:rsidR="00992664" w:rsidRPr="0012008A">
        <w:rPr>
          <w:rStyle w:val="libFootnoteBoldChar"/>
          <w:rtl/>
        </w:rPr>
        <w:t>التهذيب</w:t>
      </w:r>
      <w:r w:rsidR="00992664" w:rsidRPr="00020424">
        <w:rPr>
          <w:rtl/>
        </w:rPr>
        <w:t xml:space="preserve"> ، ج 4 ، ص 330 ، ح 1030 ، وسنده هكذا : « هارون بن مسلم ، عن ابن أبي عمير ، عن صالح بن عبد الله ، قلت لأبي الحسن موسى </w:t>
      </w:r>
      <w:r w:rsidR="00992664" w:rsidRPr="00D64ADA">
        <w:rPr>
          <w:rStyle w:val="libFootnoteAlaemChar"/>
          <w:rtl/>
        </w:rPr>
        <w:t>عليه‌السلام</w:t>
      </w:r>
      <w:r w:rsidR="00992664">
        <w:rPr>
          <w:rtl/>
        </w:rPr>
        <w:t xml:space="preserve"> ».</w:t>
      </w:r>
    </w:p>
    <w:p w:rsidR="00992664" w:rsidRPr="00020424" w:rsidRDefault="00992664" w:rsidP="00244DFD">
      <w:pPr>
        <w:pStyle w:val="libFootnote0"/>
        <w:rPr>
          <w:rtl/>
          <w:lang w:bidi="fa-IR"/>
        </w:rPr>
      </w:pPr>
      <w:r w:rsidRPr="00244DFD">
        <w:rPr>
          <w:rtl/>
        </w:rPr>
        <w:t xml:space="preserve">وصالح بن عبد الله الراوي عن أبي الحسن موسى </w:t>
      </w:r>
      <w:r w:rsidRPr="00D64ADA">
        <w:rPr>
          <w:rStyle w:val="libFootnoteAlaemChar"/>
          <w:rtl/>
        </w:rPr>
        <w:t>عليه‌السلام</w:t>
      </w:r>
      <w:r w:rsidRPr="00244DFD">
        <w:rPr>
          <w:rtl/>
        </w:rPr>
        <w:t xml:space="preserve"> ، هو صالح بن عبد الله الخثعمي </w:t>
      </w:r>
      <w:r w:rsidR="009B673F" w:rsidRPr="00244DFD">
        <w:rPr>
          <w:rtl/>
        </w:rPr>
        <w:t>-</w:t>
      </w:r>
      <w:r w:rsidRPr="00244DFD">
        <w:rPr>
          <w:rtl/>
        </w:rPr>
        <w:t xml:space="preserve"> كما في </w:t>
      </w:r>
      <w:r w:rsidRPr="00DE76B9">
        <w:rPr>
          <w:rStyle w:val="libFootnoteBoldChar"/>
          <w:rtl/>
        </w:rPr>
        <w:t>رجال البرقي</w:t>
      </w:r>
      <w:r w:rsidRPr="00244DFD">
        <w:rPr>
          <w:rtl/>
        </w:rPr>
        <w:t xml:space="preserve"> ، ص 52 ، و</w:t>
      </w:r>
      <w:r w:rsidRPr="00DE76B9">
        <w:rPr>
          <w:rStyle w:val="libFootnoteBoldChar"/>
          <w:rtl/>
        </w:rPr>
        <w:t>رجال الطوسي</w:t>
      </w:r>
      <w:r w:rsidRPr="00244DFD">
        <w:rPr>
          <w:rtl/>
        </w:rPr>
        <w:t xml:space="preserve"> ، ص 359 ، الرقم 5310 </w:t>
      </w:r>
      <w:r w:rsidR="009B673F" w:rsidRPr="00244DFD">
        <w:rPr>
          <w:rtl/>
        </w:rPr>
        <w:t>-</w:t>
      </w:r>
      <w:r w:rsidRPr="00244DFD">
        <w:rPr>
          <w:rtl/>
        </w:rPr>
        <w:t xml:space="preserve"> وهو متّحد مع صالح بن عبد الله في ما نحن فيه ، ورواية عليّ بن إبراهيم عن صالح بن عبد الله هذا ، في غاية البعد. والظاهر وقوع خلل في السند.</w:t>
      </w:r>
    </w:p>
    <w:p w:rsidR="00992664" w:rsidRPr="00020424" w:rsidRDefault="00795177" w:rsidP="00244DFD">
      <w:pPr>
        <w:pStyle w:val="libFootnote0"/>
        <w:rPr>
          <w:rtl/>
          <w:lang w:bidi="fa-IR"/>
        </w:rPr>
      </w:pPr>
      <w:r>
        <w:rPr>
          <w:rtl/>
        </w:rPr>
        <w:t>(5).</w:t>
      </w:r>
      <w:r w:rsidR="0014403D">
        <w:rPr>
          <w:rtl/>
        </w:rPr>
        <w:t xml:space="preserve"> </w:t>
      </w:r>
      <w:r w:rsidR="00992664" w:rsidRPr="00020424">
        <w:rPr>
          <w:rtl/>
        </w:rPr>
        <w:t>في « بخ ، جن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بس » </w:t>
      </w:r>
      <w:r w:rsidR="00992664" w:rsidRPr="00EB1FD9">
        <w:rPr>
          <w:rStyle w:val="libFootnoteBoldChar"/>
          <w:rtl/>
        </w:rPr>
        <w:t>والوسائل</w:t>
      </w:r>
      <w:r w:rsidR="00992664" w:rsidRPr="00020424">
        <w:rPr>
          <w:rtl/>
        </w:rPr>
        <w:t xml:space="preserve">. وفي سائر النسخ التي قوبلت والمطبوع </w:t>
      </w:r>
      <w:r w:rsidR="00992664" w:rsidRPr="00515444">
        <w:rPr>
          <w:rStyle w:val="libFootnoteBoldChar"/>
          <w:rtl/>
        </w:rPr>
        <w:t>والوافي</w:t>
      </w:r>
      <w:r w:rsidR="00992664" w:rsidRPr="00020424">
        <w:rPr>
          <w:rtl/>
        </w:rPr>
        <w:t xml:space="preserve"> ومرآة العقول :</w:t>
      </w:r>
      <w:r w:rsidR="00992664">
        <w:rPr>
          <w:rtl/>
        </w:rPr>
        <w:t xml:space="preserve"> </w:t>
      </w:r>
      <w:r w:rsidR="009B673F">
        <w:rPr>
          <w:rtl/>
        </w:rPr>
        <w:t>-</w:t>
      </w:r>
      <w:r w:rsidR="00992664">
        <w:rPr>
          <w:rtl/>
        </w:rPr>
        <w:t xml:space="preserve"> </w:t>
      </w:r>
      <w:r w:rsidR="00992664" w:rsidRPr="00020424">
        <w:rPr>
          <w:rtl/>
        </w:rPr>
        <w:t>« جعلت</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الظاهر أنّ لفظة فداك زيادة من سهو النسّاخ</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 « معهم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نفى البأس عنه ؛ لأنّه لم يكن عيّن شهراً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330 ، ح 1030 ، بسند آخر عن صالح بن عبدالله ، مع اختلاف يسير </w:t>
      </w:r>
      <w:r w:rsidR="00244DFD">
        <w:rPr>
          <w:rFonts w:hint="cs"/>
          <w:rtl/>
        </w:rPr>
        <w:t>.</w:t>
      </w:r>
      <w:r w:rsidR="00992664" w:rsidRPr="0012008A">
        <w:rPr>
          <w:rStyle w:val="libFootnoteBoldChar"/>
          <w:rtl/>
        </w:rPr>
        <w:t>الوافي</w:t>
      </w:r>
      <w:r w:rsidR="00992664" w:rsidRPr="00020424">
        <w:rPr>
          <w:rtl/>
        </w:rPr>
        <w:t xml:space="preserve"> ، ج 11 ، ص 510 ، ح 11212 ؛ </w:t>
      </w:r>
      <w:r w:rsidR="00992664" w:rsidRPr="0012008A">
        <w:rPr>
          <w:rStyle w:val="libFootnoteBoldChar"/>
          <w:rtl/>
        </w:rPr>
        <w:t>الوسائل</w:t>
      </w:r>
      <w:r w:rsidR="00992664" w:rsidRPr="00020424">
        <w:rPr>
          <w:rtl/>
        </w:rPr>
        <w:t xml:space="preserve"> ، ج 10 ، ص 20 ، ح 12729.</w:t>
      </w:r>
    </w:p>
    <w:p w:rsidR="00795177" w:rsidRDefault="00795177" w:rsidP="00795177">
      <w:pPr>
        <w:pStyle w:val="libNormal"/>
        <w:rPr>
          <w:rtl/>
          <w:lang w:bidi="fa-IR"/>
        </w:rPr>
      </w:pPr>
      <w:r>
        <w:rPr>
          <w:rtl/>
          <w:lang w:bidi="fa-IR"/>
        </w:rPr>
        <w:br w:type="page"/>
      </w:r>
    </w:p>
    <w:p w:rsidR="00992664" w:rsidRPr="00020424" w:rsidRDefault="00992664" w:rsidP="00B72AFB">
      <w:pPr>
        <w:pStyle w:val="libNormal0"/>
        <w:rPr>
          <w:rtl/>
          <w:lang w:bidi="fa-IR"/>
        </w:rPr>
      </w:pPr>
      <w:r w:rsidRPr="00020424">
        <w:rPr>
          <w:rtl/>
          <w:lang w:bidi="fa-IR"/>
        </w:rPr>
        <w:t xml:space="preserve">وَشَهْرٍ </w:t>
      </w:r>
      <w:r w:rsidRPr="00A91B96">
        <w:rPr>
          <w:rStyle w:val="libFootnotenumChar"/>
          <w:rtl/>
        </w:rPr>
        <w:t>(1)</w:t>
      </w:r>
      <w:r w:rsidRPr="00020424">
        <w:rPr>
          <w:rtl/>
          <w:lang w:bidi="fa-IR"/>
        </w:rPr>
        <w:t xml:space="preserve"> بِالْمَدِينَةِ ، وَشَهْرٍ </w:t>
      </w:r>
      <w:r w:rsidRPr="00A91B96">
        <w:rPr>
          <w:rStyle w:val="libFootnotenumChar"/>
          <w:rtl/>
        </w:rPr>
        <w:t>(2)</w:t>
      </w:r>
      <w:r w:rsidRPr="00020424">
        <w:rPr>
          <w:rtl/>
          <w:lang w:bidi="fa-IR"/>
        </w:rPr>
        <w:t xml:space="preserve"> بِمَكَّةَ مِنْ </w:t>
      </w:r>
      <w:r w:rsidRPr="00A91B96">
        <w:rPr>
          <w:rStyle w:val="libFootnotenumChar"/>
          <w:rtl/>
        </w:rPr>
        <w:t>(3)</w:t>
      </w:r>
      <w:r w:rsidRPr="00020424">
        <w:rPr>
          <w:rtl/>
          <w:lang w:bidi="fa-IR"/>
        </w:rPr>
        <w:t xml:space="preserve"> بَلَاءٍ ابْتُلِيَ بِهِ ، فَقُضِيَ أَنَّهُ صَامَ بِالْكُوفَةِ شَهْراً ، وَدَخَلَ الْمَدِينَةَ ، فَصَامَ بِهَا ثَمَانِيَةَ عَشَرَ يَوْماً ، وَلَمْ يُقِمْ عَلَيْهِ الْجَمَّالُ </w:t>
      </w:r>
      <w:r w:rsidRPr="00A91B96">
        <w:rPr>
          <w:rStyle w:val="libFootnotenumChar"/>
          <w:rtl/>
        </w:rPr>
        <w:t>(4)</w:t>
      </w:r>
      <w:r>
        <w:rPr>
          <w:rtl/>
          <w:lang w:bidi="fa-IR"/>
        </w:rPr>
        <w:t>؟</w:t>
      </w:r>
    </w:p>
    <w:p w:rsidR="00992664" w:rsidRPr="00020424" w:rsidRDefault="00992664" w:rsidP="00992664">
      <w:pPr>
        <w:pStyle w:val="libNormal"/>
        <w:rPr>
          <w:rtl/>
          <w:lang w:bidi="fa-IR"/>
        </w:rPr>
      </w:pPr>
      <w:r w:rsidRPr="00020424">
        <w:rPr>
          <w:rtl/>
          <w:lang w:bidi="fa-IR"/>
        </w:rPr>
        <w:t xml:space="preserve">قَالَ : « يَصُومُ مَا بَقِيَ عَلَيْهِ إِذَا انْتَهى إِلى بَلَدِهِ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800E0D">
        <w:rPr>
          <w:rtl/>
        </w:rPr>
        <w:t>6562</w:t>
      </w:r>
      <w:r w:rsidRPr="001155DE">
        <w:rPr>
          <w:rStyle w:val="libBold2Char"/>
          <w:rtl/>
        </w:rPr>
        <w:t xml:space="preserve"> / 5.</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جَعْفَرٍ ، عَنْ آبَائِهِ </w:t>
      </w:r>
      <w:r w:rsidRPr="00005A81">
        <w:rPr>
          <w:rStyle w:val="libAlaemChar"/>
          <w:rtl/>
        </w:rPr>
        <w:t>عليهم‌السلام</w:t>
      </w:r>
      <w:r w:rsidRPr="00020424">
        <w:rPr>
          <w:rtl/>
          <w:lang w:bidi="fa-IR"/>
        </w:rPr>
        <w:t xml:space="preserve"> : « أَنَّ عَلِيّاً</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قَالَ فِي رَجُلٍ نَذَرَ أَنْ يَصُومَ زَمَاناً ، قَالَ : الزَّمَانُ خَمْسَةُ أَشْهُرٍ ، وَالْحِينُ سِتَّةُ أَشْهُرٍ ؛ لِأَنَّ </w:t>
      </w:r>
      <w:r w:rsidRPr="00A91B96">
        <w:rPr>
          <w:rStyle w:val="libFootnotenumChar"/>
          <w:rtl/>
        </w:rPr>
        <w:t>(7)</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يَقُولُ :</w:t>
      </w:r>
      <w:r>
        <w:rPr>
          <w:rFonts w:hint="cs"/>
          <w:rtl/>
          <w:lang w:bidi="fa-IR"/>
        </w:rPr>
        <w:t xml:space="preserve"> </w:t>
      </w:r>
      <w:r w:rsidRPr="00005A81">
        <w:rPr>
          <w:rStyle w:val="libAlaemChar"/>
          <w:rtl/>
        </w:rPr>
        <w:t>(</w:t>
      </w:r>
      <w:r w:rsidRPr="004E5AB4">
        <w:rPr>
          <w:rStyle w:val="libAieChar"/>
          <w:rtl/>
        </w:rPr>
        <w:t xml:space="preserve"> تُؤْتِي أُكُلَها كُلَّ حِينٍ بِإِذْنِ رَبِّها </w:t>
      </w:r>
      <w:r w:rsidRPr="00005A81">
        <w:rPr>
          <w:rStyle w:val="libAlaemChar"/>
          <w:rtl/>
        </w:rPr>
        <w:t>)</w:t>
      </w:r>
      <w:r w:rsidRPr="00020424">
        <w:rPr>
          <w:rtl/>
          <w:lang w:bidi="fa-IR"/>
        </w:rPr>
        <w:t xml:space="preserve">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800E0D">
        <w:rPr>
          <w:rtl/>
        </w:rPr>
        <w:t>6563</w:t>
      </w:r>
      <w:r w:rsidRPr="001155DE">
        <w:rPr>
          <w:rStyle w:val="libBold2Char"/>
          <w:rtl/>
        </w:rPr>
        <w:t xml:space="preserve"> / 6.</w:t>
      </w:r>
      <w:r w:rsidRPr="00020424">
        <w:rPr>
          <w:rtl/>
          <w:lang w:bidi="fa-IR"/>
        </w:rPr>
        <w:t xml:space="preserve"> عَلِيُّ بْنُ إِبْرَاهِيمَ ، عَنْ أَبِيهِ ، عَنِ الْحَسَنِ بْنِ مَحْبُوبٍ ، عَنْ خَالِدِ بْنِ جَرِيرٍ ، عَنْ أَبِي الرَّبِيعِ </w:t>
      </w:r>
      <w:r w:rsidRPr="00A91B96">
        <w:rPr>
          <w:rStyle w:val="libFootnotenumChar"/>
          <w:rtl/>
        </w:rPr>
        <w:t>(10)</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أَنَّهُ سُئِلَ عَنْ رَجُلٍ قَالَ : لِلّهِ عَلَيَّ أَنْ أَصُومَ حِيناً ، وَذلِكَ‌</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133B6" w:rsidTr="009133B6">
        <w:tc>
          <w:tcPr>
            <w:tcW w:w="4006" w:type="dxa"/>
          </w:tcPr>
          <w:p w:rsidR="009133B6" w:rsidRDefault="009133B6" w:rsidP="00992664">
            <w:pPr>
              <w:pStyle w:val="libFootnote0"/>
              <w:rPr>
                <w:rtl/>
                <w:lang w:bidi="fa-IR"/>
              </w:rPr>
            </w:pPr>
            <w:r>
              <w:rPr>
                <w:rtl/>
              </w:rPr>
              <w:t>(1</w:t>
            </w:r>
            <w:r>
              <w:rPr>
                <w:rFonts w:hint="cs"/>
                <w:rtl/>
              </w:rPr>
              <w:t>و2</w:t>
            </w:r>
            <w:r>
              <w:rPr>
                <w:rtl/>
              </w:rPr>
              <w:t xml:space="preserve">). </w:t>
            </w:r>
            <w:r w:rsidRPr="00020424">
              <w:rPr>
                <w:rtl/>
              </w:rPr>
              <w:t>في « ظ » : « وشهراً</w:t>
            </w:r>
            <w:r>
              <w:rPr>
                <w:rtl/>
              </w:rPr>
              <w:t xml:space="preserve"> ».</w:t>
            </w:r>
          </w:p>
        </w:tc>
        <w:tc>
          <w:tcPr>
            <w:tcW w:w="4006" w:type="dxa"/>
          </w:tcPr>
          <w:p w:rsidR="009133B6" w:rsidRDefault="009133B6" w:rsidP="00992664">
            <w:pPr>
              <w:pStyle w:val="libFootnote0"/>
              <w:rPr>
                <w:rtl/>
                <w:lang w:bidi="fa-IR"/>
              </w:rPr>
            </w:pPr>
            <w:r>
              <w:rPr>
                <w:rtl/>
              </w:rPr>
              <w:t xml:space="preserve">(3). </w:t>
            </w:r>
            <w:r w:rsidRPr="00020424">
              <w:rPr>
                <w:rtl/>
              </w:rPr>
              <w:t>في « بر ، بف » : « عن</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بر » : « الحمّال</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ح 945 : « الجمّال عليه » بدل « عليه الجمّال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الاستبصار : + « ولا يصومه في سفر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312 ، ح 945 ، معلّقاً عن الكليني. وفي </w:t>
      </w:r>
      <w:r w:rsidR="00992664" w:rsidRPr="0012008A">
        <w:rPr>
          <w:rStyle w:val="libFootnoteBoldChar"/>
          <w:rtl/>
        </w:rPr>
        <w:t>التهذيب</w:t>
      </w:r>
      <w:r w:rsidR="00992664" w:rsidRPr="00020424">
        <w:rPr>
          <w:rtl/>
        </w:rPr>
        <w:t xml:space="preserve"> ، ج 4 ، ص 233 ، ح 684 ؛ </w:t>
      </w:r>
      <w:r w:rsidR="00992664" w:rsidRPr="00FD6221">
        <w:rPr>
          <w:rStyle w:val="libFootnoteBoldChar"/>
          <w:rtl/>
        </w:rPr>
        <w:t>والاستبصار</w:t>
      </w:r>
      <w:r w:rsidR="00992664" w:rsidRPr="00020424">
        <w:rPr>
          <w:rtl/>
        </w:rPr>
        <w:t xml:space="preserve"> ، ج 2 ، ص 100 ، ح 326 ، معلّقاً عن الحسين بن سعيد ، عن القاسم بن محمّد الجوهري. </w:t>
      </w:r>
      <w:r w:rsidR="00992664" w:rsidRPr="0012008A">
        <w:rPr>
          <w:rStyle w:val="libFootnoteBoldChar"/>
          <w:rtl/>
        </w:rPr>
        <w:t>المقنعة</w:t>
      </w:r>
      <w:r w:rsidR="00992664" w:rsidRPr="00020424">
        <w:rPr>
          <w:rtl/>
        </w:rPr>
        <w:t xml:space="preserve"> ، ص 380 ، مرسلاً من دون التصريح باسم المعصوم </w:t>
      </w:r>
      <w:r w:rsidR="00992664" w:rsidRPr="00D64ADA">
        <w:rPr>
          <w:rStyle w:val="libFootnoteAlaemChar"/>
          <w:rtl/>
        </w:rPr>
        <w:t>عليه‌السلام</w:t>
      </w:r>
      <w:r w:rsidR="00992664" w:rsidRPr="00020424">
        <w:rPr>
          <w:rtl/>
        </w:rPr>
        <w:t xml:space="preserve"> </w:t>
      </w:r>
      <w:r w:rsidR="00697EFC">
        <w:rPr>
          <w:rFonts w:hint="cs"/>
          <w:rtl/>
        </w:rPr>
        <w:t>.</w:t>
      </w:r>
      <w:r w:rsidR="00992664" w:rsidRPr="0012008A">
        <w:rPr>
          <w:rStyle w:val="libFootnoteBoldChar"/>
          <w:rtl/>
        </w:rPr>
        <w:t>الوافي</w:t>
      </w:r>
      <w:r w:rsidR="00992664" w:rsidRPr="00020424">
        <w:rPr>
          <w:rtl/>
        </w:rPr>
        <w:t xml:space="preserve"> ، ج 11 ، ص 510 ، ح 11213 ؛ </w:t>
      </w:r>
      <w:r w:rsidR="00992664" w:rsidRPr="0012008A">
        <w:rPr>
          <w:rStyle w:val="libFootnoteBoldChar"/>
          <w:rtl/>
        </w:rPr>
        <w:t>الوسائل</w:t>
      </w:r>
      <w:r w:rsidR="00992664" w:rsidRPr="00020424">
        <w:rPr>
          <w:rtl/>
        </w:rPr>
        <w:t xml:space="preserve"> ، ج 10 ، ص 197 ، ذيل ح 13207 ؛ وص 387 ، ح 13657.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بس » : « إنّ » بدون اللام.</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إبراهيم </w:t>
      </w:r>
      <w:r w:rsidR="00697EFC">
        <w:rPr>
          <w:rtl/>
        </w:rPr>
        <w:t>(14)</w:t>
      </w:r>
      <w:r w:rsidR="0014403D">
        <w:rPr>
          <w:rtl/>
        </w:rPr>
        <w:t xml:space="preserve"> </w:t>
      </w:r>
      <w:r w:rsidR="00992664" w:rsidRPr="00020424">
        <w:rPr>
          <w:rtl/>
        </w:rPr>
        <w:t xml:space="preserve">: 25. وفي </w:t>
      </w:r>
      <w:r w:rsidR="00992664" w:rsidRPr="0012008A">
        <w:rPr>
          <w:rStyle w:val="libFootnoteBoldChar"/>
          <w:rtl/>
        </w:rPr>
        <w:t>الوافي</w:t>
      </w:r>
      <w:r w:rsidR="00992664" w:rsidRPr="00020424">
        <w:rPr>
          <w:rtl/>
        </w:rPr>
        <w:t xml:space="preserve"> : « وذلك لأنّ الله سبحانه إنّما شبّه الكلمة الطيّبة بشجرة طيّبة تثمر في كلّ سنة مرّتين</w:t>
      </w:r>
      <w:r w:rsidR="00992664">
        <w:rPr>
          <w:rtl/>
        </w:rPr>
        <w:t xml:space="preserve"> ».</w:t>
      </w:r>
    </w:p>
    <w:p w:rsidR="00992664" w:rsidRPr="00020424" w:rsidRDefault="00795177" w:rsidP="00697EFC">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309 ، ح 933 ، معلّقاً عن الكليني. </w:t>
      </w:r>
      <w:r w:rsidR="00992664" w:rsidRPr="00DE76B9">
        <w:rPr>
          <w:rStyle w:val="libFootnoteBoldChar"/>
          <w:rtl/>
        </w:rPr>
        <w:t>علل الشرائع</w:t>
      </w:r>
      <w:r w:rsidR="00992664" w:rsidRPr="00020424">
        <w:rPr>
          <w:rtl/>
        </w:rPr>
        <w:t xml:space="preserve"> ، ص 387 ، ح 1 ، بسنده عن إبراهيم بن هاشم ، عن النوفلي. </w:t>
      </w:r>
      <w:r w:rsidR="00992664" w:rsidRPr="00DE76B9">
        <w:rPr>
          <w:rStyle w:val="libFootnoteBoldChar"/>
          <w:rtl/>
        </w:rPr>
        <w:t>الجعفريّات</w:t>
      </w:r>
      <w:r w:rsidR="00992664" w:rsidRPr="00020424">
        <w:rPr>
          <w:rtl/>
        </w:rPr>
        <w:t xml:space="preserve"> ، ص 62 ، بسند آخر ، إلى قوله : « الزمان خمسة أشهر</w:t>
      </w:r>
      <w:r w:rsidR="00992664">
        <w:rPr>
          <w:rtl/>
        </w:rPr>
        <w:t xml:space="preserve"> ».</w:t>
      </w:r>
      <w:r w:rsidR="00992664" w:rsidRPr="00020424">
        <w:rPr>
          <w:rtl/>
        </w:rPr>
        <w:t xml:space="preserve"> </w:t>
      </w:r>
      <w:r w:rsidR="00992664" w:rsidRPr="00DE76B9">
        <w:rPr>
          <w:rStyle w:val="libFootnoteBoldChar"/>
          <w:rtl/>
        </w:rPr>
        <w:t>تفسير العيّاشي</w:t>
      </w:r>
      <w:r w:rsidR="00992664" w:rsidRPr="00020424">
        <w:rPr>
          <w:rtl/>
        </w:rPr>
        <w:t xml:space="preserve"> ، ج 2 ، ص 224 ، ح 12 ، عن إسماعيل بن أبي زياد السكوني. </w:t>
      </w:r>
      <w:r w:rsidR="00992664" w:rsidRPr="0012008A">
        <w:rPr>
          <w:rStyle w:val="libFootnoteBoldChar"/>
          <w:rtl/>
        </w:rPr>
        <w:t>المقنعة</w:t>
      </w:r>
      <w:r w:rsidR="00992664" w:rsidRPr="00020424">
        <w:rPr>
          <w:rtl/>
        </w:rPr>
        <w:t xml:space="preserve"> ، ص 387 ، مرسلاً عن الصادق </w:t>
      </w:r>
      <w:r w:rsidR="00992664" w:rsidRPr="00D64ADA">
        <w:rPr>
          <w:rStyle w:val="libFootnoteAlaemChar"/>
          <w:rtl/>
        </w:rPr>
        <w:t>عليه‌السلام</w:t>
      </w:r>
      <w:r w:rsidR="00992664" w:rsidRPr="00020424">
        <w:rPr>
          <w:rtl/>
        </w:rPr>
        <w:t xml:space="preserve"> ، من دون الإسناد إلى آبائه </w:t>
      </w:r>
      <w:r w:rsidR="00992664" w:rsidRPr="00D64ADA">
        <w:rPr>
          <w:rStyle w:val="libFootnoteAlaemChar"/>
          <w:rtl/>
        </w:rPr>
        <w:t>عليهم‌السلام</w:t>
      </w:r>
      <w:r w:rsidR="00992664" w:rsidRPr="00020424">
        <w:rPr>
          <w:rtl/>
        </w:rPr>
        <w:t xml:space="preserve"> ، مع اختلاف يسير </w:t>
      </w:r>
      <w:r w:rsidR="00697EFC">
        <w:rPr>
          <w:rFonts w:hint="cs"/>
          <w:rtl/>
        </w:rPr>
        <w:t>.</w:t>
      </w:r>
      <w:r w:rsidR="00992664" w:rsidRPr="0012008A">
        <w:rPr>
          <w:rStyle w:val="libFootnoteBoldChar"/>
          <w:rtl/>
        </w:rPr>
        <w:t>الوافي</w:t>
      </w:r>
      <w:r w:rsidR="00992664" w:rsidRPr="00020424">
        <w:rPr>
          <w:rtl/>
        </w:rPr>
        <w:t xml:space="preserve"> ، ج 11 ، ص 510 ، ح 11214 ؛ </w:t>
      </w:r>
      <w:r w:rsidR="00992664" w:rsidRPr="0012008A">
        <w:rPr>
          <w:rStyle w:val="libFootnoteBoldChar"/>
          <w:rtl/>
        </w:rPr>
        <w:t>الوسائل</w:t>
      </w:r>
      <w:r w:rsidR="00992664" w:rsidRPr="00020424">
        <w:rPr>
          <w:rtl/>
        </w:rPr>
        <w:t>، ج 10 ، ص 388 ، ح 13659.</w:t>
      </w:r>
      <w:r w:rsidR="00697EFC">
        <w:rPr>
          <w:rFonts w:hint="cs"/>
          <w:rtl/>
        </w:rPr>
        <w:t xml:space="preserve"> </w:t>
      </w:r>
      <w:r w:rsidR="00B72AFB">
        <w:rPr>
          <w:rFonts w:hint="cs"/>
          <w:rtl/>
        </w:rPr>
        <w:t xml:space="preserve">                      </w:t>
      </w:r>
      <w:r w:rsidR="00697EFC">
        <w:rPr>
          <w:rFonts w:hint="cs"/>
          <w:rtl/>
        </w:rPr>
        <w:t xml:space="preserve">   </w:t>
      </w: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الشامي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97D09">
      <w:pPr>
        <w:pStyle w:val="libNormal0"/>
        <w:rPr>
          <w:rtl/>
          <w:lang w:bidi="fa-IR"/>
        </w:rPr>
      </w:pPr>
      <w:r w:rsidRPr="00020424">
        <w:rPr>
          <w:rtl/>
          <w:lang w:bidi="fa-IR"/>
        </w:rPr>
        <w:t xml:space="preserve">فِي شُكْرٍ </w:t>
      </w:r>
      <w:r w:rsidRPr="00A91B96">
        <w:rPr>
          <w:rStyle w:val="libFootnotenumChar"/>
          <w:rtl/>
        </w:rPr>
        <w:t>(1)</w:t>
      </w:r>
      <w:r>
        <w:rPr>
          <w:rtl/>
          <w:lang w:bidi="fa-IR"/>
        </w:rPr>
        <w:t>؟</w:t>
      </w:r>
    </w:p>
    <w:p w:rsidR="00992664" w:rsidRPr="00020424" w:rsidRDefault="00992664" w:rsidP="00992664">
      <w:pPr>
        <w:pStyle w:val="libNormal"/>
        <w:rPr>
          <w:rtl/>
          <w:lang w:bidi="fa-IR"/>
        </w:rPr>
      </w:pPr>
      <w:r w:rsidRPr="00020424">
        <w:rPr>
          <w:rtl/>
          <w:lang w:bidi="fa-IR"/>
        </w:rPr>
        <w:t xml:space="preserve">فَقَالَ أَبُو عَبْدِ اللهِ </w:t>
      </w:r>
      <w:r w:rsidRPr="00005A81">
        <w:rPr>
          <w:rStyle w:val="libAlaemChar"/>
          <w:rtl/>
        </w:rPr>
        <w:t>عليه‌السلام</w:t>
      </w:r>
      <w:r w:rsidRPr="00020424">
        <w:rPr>
          <w:rtl/>
          <w:lang w:bidi="fa-IR"/>
        </w:rPr>
        <w:t xml:space="preserve"> : « قَدْ أُتِيَ عَلِيٌّ </w:t>
      </w:r>
      <w:r w:rsidRPr="00A91B96">
        <w:rPr>
          <w:rStyle w:val="libFootnotenumChar"/>
          <w:rtl/>
        </w:rPr>
        <w:t>(2)</w:t>
      </w:r>
      <w:r w:rsidRPr="00020424">
        <w:rPr>
          <w:rtl/>
          <w:lang w:bidi="fa-IR"/>
        </w:rPr>
        <w:t xml:space="preserve"> </w:t>
      </w:r>
      <w:r w:rsidRPr="00005A81">
        <w:rPr>
          <w:rStyle w:val="libAlaemChar"/>
          <w:rtl/>
        </w:rPr>
        <w:t>عليه‌السلام</w:t>
      </w:r>
      <w:r w:rsidRPr="00020424">
        <w:rPr>
          <w:rtl/>
          <w:lang w:bidi="fa-IR"/>
        </w:rPr>
        <w:t xml:space="preserve"> فِي </w:t>
      </w:r>
      <w:r w:rsidRPr="00A91B96">
        <w:rPr>
          <w:rStyle w:val="libFootnotenumChar"/>
          <w:rtl/>
        </w:rPr>
        <w:t>(3)</w:t>
      </w:r>
      <w:r w:rsidRPr="00020424">
        <w:rPr>
          <w:rtl/>
          <w:lang w:bidi="fa-IR"/>
        </w:rPr>
        <w:t xml:space="preserve"> مِثْلِ هذَا </w:t>
      </w:r>
      <w:r w:rsidRPr="00A91B96">
        <w:rPr>
          <w:rStyle w:val="libFootnotenumChar"/>
          <w:rtl/>
        </w:rPr>
        <w:t>(4)</w:t>
      </w:r>
      <w:r w:rsidRPr="00020424">
        <w:rPr>
          <w:rtl/>
          <w:lang w:bidi="fa-IR"/>
        </w:rPr>
        <w:t xml:space="preserve"> ، فَقَالَ : صُمْ سِتَّةَ أَشْه</w:t>
      </w:r>
      <w:r w:rsidR="00697D09">
        <w:rPr>
          <w:rtl/>
          <w:lang w:bidi="fa-IR"/>
        </w:rPr>
        <w:t>ُرٍ</w:t>
      </w:r>
      <w:r w:rsidRPr="00020424">
        <w:rPr>
          <w:rtl/>
          <w:lang w:bidi="fa-IR"/>
        </w:rPr>
        <w:t>؛ فَإِنَّ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تُؤْتِي أُكُلَها كُلَّ حِينٍ بِإِذْنِ رَبِّها </w:t>
      </w:r>
      <w:r w:rsidRPr="00005A81">
        <w:rPr>
          <w:rStyle w:val="libAlaemChar"/>
          <w:rtl/>
        </w:rPr>
        <w:t>)</w:t>
      </w:r>
      <w:r w:rsidRPr="00020424">
        <w:rPr>
          <w:rtl/>
          <w:lang w:bidi="fa-IR"/>
        </w:rPr>
        <w:t xml:space="preserve"> يَعْنِي سِتَّةَ أَشْهُرٍ</w:t>
      </w:r>
      <w:r>
        <w:rPr>
          <w:rtl/>
          <w:lang w:bidi="fa-IR"/>
        </w:rPr>
        <w:t xml:space="preserve"> ».</w:t>
      </w:r>
      <w:r w:rsidRPr="00A91B96">
        <w:rPr>
          <w:rStyle w:val="libFootnotenumChar"/>
          <w:rtl/>
        </w:rPr>
        <w:t>(5)</w:t>
      </w:r>
      <w:r w:rsidRPr="00020424">
        <w:rPr>
          <w:rtl/>
          <w:lang w:bidi="fa-IR"/>
        </w:rPr>
        <w:t>‌</w:t>
      </w:r>
    </w:p>
    <w:p w:rsidR="00992664" w:rsidRPr="00020424" w:rsidRDefault="00992664" w:rsidP="00992664">
      <w:pPr>
        <w:pStyle w:val="libNormal"/>
        <w:rPr>
          <w:rtl/>
          <w:lang w:bidi="fa-IR"/>
        </w:rPr>
      </w:pPr>
      <w:r w:rsidRPr="00800E0D">
        <w:rPr>
          <w:rtl/>
        </w:rPr>
        <w:t>6564</w:t>
      </w:r>
      <w:r w:rsidRPr="001155DE">
        <w:rPr>
          <w:rStyle w:val="libBold2Char"/>
          <w:rtl/>
        </w:rPr>
        <w:t xml:space="preserve"> / 7.</w:t>
      </w:r>
      <w:r w:rsidRPr="00020424">
        <w:rPr>
          <w:rtl/>
          <w:lang w:bidi="fa-IR"/>
        </w:rPr>
        <w:t xml:space="preserve"> عَلِيُّ بْنُ إِبْرَاهِيمَ ، عَنْ هَارُونَ بْنِ مُسْلِمٍ ، عَنْ مَسْعَدَةَ بْنِ صَدَقَةَ :</w:t>
      </w:r>
    </w:p>
    <w:p w:rsidR="00992664" w:rsidRPr="00020424" w:rsidRDefault="00992664" w:rsidP="00992664">
      <w:pPr>
        <w:pStyle w:val="libNormal"/>
        <w:rPr>
          <w:rtl/>
          <w:lang w:bidi="fa-IR"/>
        </w:rPr>
      </w:pPr>
      <w:r w:rsidRPr="00020424">
        <w:rPr>
          <w:rtl/>
          <w:lang w:bidi="fa-IR"/>
        </w:rPr>
        <w:t xml:space="preserve">عَنْ أَبِي عَبْدِ اللهِ ، عَنْ آبَائِهِ </w:t>
      </w:r>
      <w:r w:rsidRPr="00005A81">
        <w:rPr>
          <w:rStyle w:val="libAlaemChar"/>
          <w:rtl/>
        </w:rPr>
        <w:t>عليهم‌السلام</w:t>
      </w:r>
      <w:r w:rsidRPr="00020424">
        <w:rPr>
          <w:rtl/>
          <w:lang w:bidi="fa-IR"/>
        </w:rPr>
        <w:t xml:space="preserve"> فِي الرَّجُلِ يَجْعَلُ عَلى نَفْسِهِ أَيَّاماً مَعْدُودَةً </w:t>
      </w:r>
      <w:r w:rsidRPr="00A91B96">
        <w:rPr>
          <w:rStyle w:val="libFootnotenumChar"/>
          <w:rtl/>
        </w:rPr>
        <w:t>(6)</w:t>
      </w:r>
      <w:r w:rsidRPr="00020424">
        <w:rPr>
          <w:rtl/>
          <w:lang w:bidi="fa-IR"/>
        </w:rPr>
        <w:t xml:space="preserve"> مُسَمَّاةً فِي كُلِّ شَهْرٍ ، ثُمَّ يُسَافِرُ ، فَتَمُرُّ </w:t>
      </w:r>
      <w:r w:rsidRPr="00A91B96">
        <w:rPr>
          <w:rStyle w:val="libFootnotenumChar"/>
          <w:rtl/>
        </w:rPr>
        <w:t>(7)</w:t>
      </w:r>
      <w:r w:rsidRPr="00020424">
        <w:rPr>
          <w:rtl/>
          <w:lang w:bidi="fa-IR"/>
        </w:rPr>
        <w:t xml:space="preserve"> بِهِ الشُّهُورُ أَنَّهُ </w:t>
      </w:r>
      <w:r w:rsidRPr="00A91B96">
        <w:rPr>
          <w:rStyle w:val="libFootnotenumChar"/>
          <w:rtl/>
        </w:rPr>
        <w:t>(8)</w:t>
      </w:r>
      <w:r w:rsidRPr="00020424">
        <w:rPr>
          <w:rtl/>
          <w:lang w:bidi="fa-IR"/>
        </w:rPr>
        <w:t xml:space="preserve"> « لَا يَصُومُ فِي السَّفَرِ </w:t>
      </w:r>
      <w:r w:rsidRPr="00A91B96">
        <w:rPr>
          <w:rStyle w:val="libFootnotenumChar"/>
          <w:rtl/>
        </w:rPr>
        <w:t>(9)</w:t>
      </w:r>
      <w:r w:rsidRPr="00020424">
        <w:rPr>
          <w:rtl/>
          <w:lang w:bidi="fa-IR"/>
        </w:rPr>
        <w:t xml:space="preserve"> ، وَلَايَقْضِيهَا </w:t>
      </w:r>
      <w:r w:rsidRPr="00A91B96">
        <w:rPr>
          <w:rStyle w:val="libFootnotenumChar"/>
          <w:rtl/>
        </w:rPr>
        <w:t>(10)</w:t>
      </w:r>
      <w:r w:rsidRPr="00020424">
        <w:rPr>
          <w:rtl/>
          <w:lang w:bidi="fa-IR"/>
        </w:rPr>
        <w:t xml:space="preserve"> إِذَا شَهِدَ</w:t>
      </w:r>
      <w:r>
        <w:rPr>
          <w:rtl/>
          <w:lang w:bidi="fa-IR"/>
        </w:rPr>
        <w:t>».</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800E0D">
        <w:rPr>
          <w:rtl/>
        </w:rPr>
        <w:t>6565</w:t>
      </w:r>
      <w:r w:rsidRPr="001155DE">
        <w:rPr>
          <w:rStyle w:val="libBold2Char"/>
          <w:rtl/>
        </w:rPr>
        <w:t xml:space="preserve"> / 8.</w:t>
      </w:r>
      <w:r w:rsidRPr="00020424">
        <w:rPr>
          <w:rtl/>
          <w:lang w:bidi="fa-IR"/>
        </w:rPr>
        <w:t xml:space="preserve"> عِدَّةٌ مِنْ أَصْحَابِنَا ، عَنْ سَهْلِ بْنِ زِيَادٍ ، عَنِ الْحَسَنِ بْنِ مَحْبُوبٍ ، عَنْ عَبْدِ اللهِ بْنِ سِنَانٍ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97EFC" w:rsidTr="00697EFC">
        <w:tc>
          <w:tcPr>
            <w:tcW w:w="4006" w:type="dxa"/>
          </w:tcPr>
          <w:p w:rsidR="00697EFC" w:rsidRDefault="00697EFC"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 ج 4 : « شكّي</w:t>
            </w:r>
            <w:r>
              <w:rPr>
                <w:rtl/>
              </w:rPr>
              <w:t xml:space="preserve"> ».</w:t>
            </w:r>
          </w:p>
        </w:tc>
        <w:tc>
          <w:tcPr>
            <w:tcW w:w="4006" w:type="dxa"/>
          </w:tcPr>
          <w:p w:rsidR="00697EFC" w:rsidRDefault="00697EFC" w:rsidP="00992664">
            <w:pPr>
              <w:pStyle w:val="libFootnote0"/>
              <w:rPr>
                <w:rtl/>
              </w:rPr>
            </w:pPr>
            <w:r>
              <w:rPr>
                <w:rtl/>
              </w:rPr>
              <w:t xml:space="preserve">(2). </w:t>
            </w:r>
            <w:r w:rsidRPr="00020424">
              <w:rPr>
                <w:rtl/>
              </w:rPr>
              <w:t xml:space="preserve">في </w:t>
            </w:r>
            <w:r w:rsidRPr="0012008A">
              <w:rPr>
                <w:rStyle w:val="libFootnoteBoldChar"/>
                <w:rtl/>
              </w:rPr>
              <w:t>التهذيب</w:t>
            </w:r>
            <w:r w:rsidRPr="00020424">
              <w:rPr>
                <w:rtl/>
              </w:rPr>
              <w:t xml:space="preserve"> ، ج 4 : « أبي</w:t>
            </w:r>
            <w:r>
              <w:rPr>
                <w:rtl/>
              </w:rPr>
              <w:t xml:space="preserve"> ».</w:t>
            </w:r>
          </w:p>
        </w:tc>
      </w:tr>
      <w:tr w:rsidR="00697EFC" w:rsidTr="00697EFC">
        <w:tc>
          <w:tcPr>
            <w:tcW w:w="4006" w:type="dxa"/>
          </w:tcPr>
          <w:p w:rsidR="00697EFC" w:rsidRDefault="00697EFC"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في</w:t>
            </w:r>
            <w:r>
              <w:rPr>
                <w:rtl/>
              </w:rPr>
              <w:t xml:space="preserve"> ».</w:t>
            </w:r>
          </w:p>
        </w:tc>
        <w:tc>
          <w:tcPr>
            <w:tcW w:w="4006" w:type="dxa"/>
          </w:tcPr>
          <w:p w:rsidR="00697EFC" w:rsidRDefault="00697EFC"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 ج 4 : « ذلك</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309 ، ح 934 ، معلّقا عن الكليني. </w:t>
      </w:r>
      <w:r w:rsidR="00992664" w:rsidRPr="0012008A">
        <w:rPr>
          <w:rStyle w:val="libFootnoteBoldChar"/>
          <w:rtl/>
        </w:rPr>
        <w:t>التهذيب</w:t>
      </w:r>
      <w:r w:rsidR="00992664" w:rsidRPr="00020424">
        <w:rPr>
          <w:rtl/>
        </w:rPr>
        <w:t xml:space="preserve"> ، ج 8 ، ص 314 ، ح 1168 ، معلّقاً عن الحسن بن محبوب. </w:t>
      </w:r>
      <w:r w:rsidR="00992664" w:rsidRPr="00DE76B9">
        <w:rPr>
          <w:rStyle w:val="libFootnoteBoldChar"/>
          <w:rtl/>
        </w:rPr>
        <w:t>تفسيرالعيّاشي</w:t>
      </w:r>
      <w:r w:rsidR="00992664" w:rsidRPr="00020424">
        <w:rPr>
          <w:rtl/>
        </w:rPr>
        <w:t xml:space="preserve"> ، ج 2 ، ص 224 ، ح 14 ، عن خالد بن جرير ، عن أبي عبدالله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وفيه</w:t>
      </w:r>
      <w:r w:rsidR="00992664" w:rsidRPr="00020424">
        <w:rPr>
          <w:rtl/>
        </w:rPr>
        <w:t xml:space="preserve"> ، ح 13 ، عن الحلبي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378 ، مرسلاً عن الصادق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المقنعة</w:t>
      </w:r>
      <w:r w:rsidR="00992664" w:rsidRPr="00020424">
        <w:rPr>
          <w:rtl/>
        </w:rPr>
        <w:t xml:space="preserve"> ، ص 546 ؛ و</w:t>
      </w:r>
      <w:r w:rsidR="00992664" w:rsidRPr="00DE76B9">
        <w:rPr>
          <w:rStyle w:val="libFootnoteBoldChar"/>
          <w:rtl/>
        </w:rPr>
        <w:t xml:space="preserve">الإرشاد </w:t>
      </w:r>
      <w:r w:rsidR="00992664" w:rsidRPr="00020424">
        <w:rPr>
          <w:rtl/>
        </w:rPr>
        <w:t xml:space="preserve">، ج 1 ، ص 222 ، مرسلاً عن أميرالمؤمنين </w:t>
      </w:r>
      <w:r w:rsidR="00992664" w:rsidRPr="00D64ADA">
        <w:rPr>
          <w:rStyle w:val="libFootnoteAlaemChar"/>
          <w:rtl/>
        </w:rPr>
        <w:t>عليه‌السلام</w:t>
      </w:r>
      <w:r w:rsidR="00992664" w:rsidRPr="00020424">
        <w:rPr>
          <w:rtl/>
        </w:rPr>
        <w:t xml:space="preserve"> ، وفي الأربعة الأخيرة مع اختلاف يسير </w:t>
      </w:r>
      <w:r w:rsidR="00697EFC">
        <w:rPr>
          <w:rFonts w:hint="cs"/>
          <w:rtl/>
        </w:rPr>
        <w:t>.</w:t>
      </w:r>
      <w:r w:rsidR="00992664" w:rsidRPr="0012008A">
        <w:rPr>
          <w:rStyle w:val="libFootnoteBoldChar"/>
          <w:rtl/>
        </w:rPr>
        <w:t>الوافي</w:t>
      </w:r>
      <w:r w:rsidR="00992664" w:rsidRPr="00020424">
        <w:rPr>
          <w:rtl/>
        </w:rPr>
        <w:t xml:space="preserve"> ، ج 11 ، ص 511 ، ح 11215 ؛ </w:t>
      </w:r>
      <w:r w:rsidR="00992664" w:rsidRPr="0012008A">
        <w:rPr>
          <w:rStyle w:val="libFootnoteBoldChar"/>
          <w:rtl/>
        </w:rPr>
        <w:t>الوسائل</w:t>
      </w:r>
      <w:r w:rsidR="00992664" w:rsidRPr="00020424">
        <w:rPr>
          <w:rtl/>
        </w:rPr>
        <w:t xml:space="preserve"> ، ج 10 ، ص 387 ، ح 13658.</w:t>
      </w:r>
    </w:p>
    <w:tbl>
      <w:tblPr>
        <w:tblStyle w:val="TableGrid"/>
        <w:bidiVisual/>
        <w:tblW w:w="0" w:type="auto"/>
        <w:tblLook w:val="04A0" w:firstRow="1" w:lastRow="0" w:firstColumn="1" w:lastColumn="0" w:noHBand="0" w:noVBand="1"/>
      </w:tblPr>
      <w:tblGrid>
        <w:gridCol w:w="4006"/>
        <w:gridCol w:w="4006"/>
      </w:tblGrid>
      <w:tr w:rsidR="00697EFC" w:rsidTr="00697EFC">
        <w:tc>
          <w:tcPr>
            <w:tcW w:w="4006" w:type="dxa"/>
          </w:tcPr>
          <w:p w:rsidR="00697EFC" w:rsidRDefault="00697EFC"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 « معروفة</w:t>
            </w:r>
            <w:r>
              <w:rPr>
                <w:rtl/>
              </w:rPr>
              <w:t xml:space="preserve"> ».</w:t>
            </w:r>
          </w:p>
        </w:tc>
        <w:tc>
          <w:tcPr>
            <w:tcW w:w="4006" w:type="dxa"/>
          </w:tcPr>
          <w:p w:rsidR="00697EFC" w:rsidRDefault="00697EFC" w:rsidP="00992664">
            <w:pPr>
              <w:pStyle w:val="libFootnote0"/>
              <w:rPr>
                <w:rtl/>
              </w:rPr>
            </w:pPr>
            <w:r>
              <w:rPr>
                <w:rtl/>
              </w:rPr>
              <w:t xml:space="preserve">(7). </w:t>
            </w:r>
            <w:r w:rsidRPr="00020424">
              <w:rPr>
                <w:rtl/>
              </w:rPr>
              <w:t>في « ى » : « وتمرّ</w:t>
            </w:r>
            <w:r>
              <w:rPr>
                <w:rtl/>
              </w:rPr>
              <w:t xml:space="preserve"> ».</w:t>
            </w:r>
            <w:r w:rsidRPr="00020424">
              <w:rPr>
                <w:rtl/>
              </w:rPr>
              <w:t xml:space="preserve"> وفي « بر » : « فيمرّ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قال في الرجل يجعل على نفسه لله‌الصيام : إنّه لا يصوم في السفر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353 : « قوله </w:t>
      </w:r>
      <w:r w:rsidR="00992664" w:rsidRPr="00D64ADA">
        <w:rPr>
          <w:rStyle w:val="libFootnoteAlaemChar"/>
          <w:rtl/>
        </w:rPr>
        <w:t>عليه‌السلام</w:t>
      </w:r>
      <w:r w:rsidR="00992664" w:rsidRPr="00020424">
        <w:rPr>
          <w:rtl/>
        </w:rPr>
        <w:t xml:space="preserve"> : لا يقضيها ، المقطوع به في كلام الأصحاب وجوب قضاء ما فات على الناذر بسفر ، أو مرض ، أو حيض ، أو نفاس وأشباه ذلك ، وهذا الخبر يدلّ على عدمه. ويمكن حمله على ما إذا وقّت على نفسه من غير نذر. وقال سيّد المحقّقين في شرح النافع : والمتّجه عدم وجوب القضاء إن لم يكن الوجوب إجماعيّاً</w:t>
      </w:r>
      <w:r w:rsidR="00992664">
        <w:rPr>
          <w:rtl/>
        </w:rPr>
        <w:t xml:space="preserve"> ».</w:t>
      </w:r>
      <w:r w:rsidR="00992664" w:rsidRPr="00020424">
        <w:rPr>
          <w:rtl/>
        </w:rPr>
        <w:t xml:space="preserve"> وراجع أيضاً : </w:t>
      </w:r>
      <w:r w:rsidR="00992664" w:rsidRPr="00DE76B9">
        <w:rPr>
          <w:rStyle w:val="libFootnoteBoldChar"/>
          <w:rtl/>
        </w:rPr>
        <w:t>نهاية المرام</w:t>
      </w:r>
      <w:r w:rsidR="00992664" w:rsidRPr="00020424">
        <w:rPr>
          <w:rtl/>
        </w:rPr>
        <w:t xml:space="preserve"> ، ج 2 ، ص 358.</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329 ، ح 1028 ، معلّقاً عن هارون بن مسلم ، مع اختلاف يسير </w:t>
      </w:r>
      <w:r w:rsidR="00697EFC">
        <w:rPr>
          <w:rFonts w:hint="cs"/>
          <w:rtl/>
        </w:rPr>
        <w:t>.</w:t>
      </w:r>
      <w:r w:rsidR="00992664" w:rsidRPr="0012008A">
        <w:rPr>
          <w:rStyle w:val="libFootnoteBoldChar"/>
          <w:rtl/>
        </w:rPr>
        <w:t>الوافي</w:t>
      </w:r>
      <w:r w:rsidR="00992664" w:rsidRPr="00020424">
        <w:rPr>
          <w:rtl/>
        </w:rPr>
        <w:t xml:space="preserve"> ، ج 11 ، ص 512 ، ح 11217 ؛ </w:t>
      </w:r>
      <w:r w:rsidR="00992664" w:rsidRPr="0012008A">
        <w:rPr>
          <w:rStyle w:val="libFootnoteBoldChar"/>
          <w:rtl/>
        </w:rPr>
        <w:t>الوسائل</w:t>
      </w:r>
      <w:r w:rsidR="00992664" w:rsidRPr="00020424">
        <w:rPr>
          <w:rtl/>
        </w:rPr>
        <w:t xml:space="preserve"> ، ج 10 ، ص 199 ، ح 13213 ؛ وص 392 ، ح 13671.</w:t>
      </w:r>
    </w:p>
    <w:p w:rsidR="00795177" w:rsidRDefault="00795177" w:rsidP="00795177">
      <w:pPr>
        <w:pStyle w:val="libNormal"/>
        <w:rPr>
          <w:rtl/>
          <w:lang w:bidi="fa-IR"/>
        </w:rPr>
      </w:pPr>
      <w:r>
        <w:rPr>
          <w:rtl/>
          <w:lang w:bidi="fa-IR"/>
        </w:rPr>
        <w:br w:type="page"/>
      </w:r>
    </w:p>
    <w:p w:rsidR="00992664" w:rsidRPr="00020424" w:rsidRDefault="00992664" w:rsidP="00697D09">
      <w:pPr>
        <w:pStyle w:val="libNormal0"/>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يَصُومُ صَوْماً قَدْ وَقَّتَهُ عَلى نَفْسِهِ </w:t>
      </w:r>
      <w:r w:rsidRPr="00A91B96">
        <w:rPr>
          <w:rStyle w:val="libFootnotenumChar"/>
          <w:rtl/>
        </w:rPr>
        <w:t>(1)</w:t>
      </w:r>
      <w:r w:rsidRPr="00020424">
        <w:rPr>
          <w:rtl/>
          <w:lang w:bidi="fa-IR"/>
        </w:rPr>
        <w:t xml:space="preserve"> ، أَوْ يَصُومُ مِنْ أَشْهُرِ الْحُرُمِ ، فَيَمُرُّ بِهِ الشَّهْرُ وَالشَّهْرَانِ لَايَقْضِيهِ</w:t>
      </w:r>
      <w:r>
        <w:rPr>
          <w:rtl/>
          <w:lang w:bidi="fa-IR"/>
        </w:rPr>
        <w:t>؟</w:t>
      </w:r>
    </w:p>
    <w:p w:rsidR="00992664" w:rsidRPr="00020424" w:rsidRDefault="00992664" w:rsidP="002D1C6F">
      <w:pPr>
        <w:pStyle w:val="libNormal"/>
        <w:rPr>
          <w:rtl/>
          <w:lang w:bidi="fa-IR"/>
        </w:rPr>
      </w:pPr>
      <w:r w:rsidRPr="00020424">
        <w:rPr>
          <w:rtl/>
          <w:lang w:bidi="fa-IR"/>
        </w:rPr>
        <w:t xml:space="preserve">فَقَالَ : « لَا يَصُومُ فِي السَّفَرِ ، وَلَايَقْضِي شَيْئاً مِنْ صَوْمِ التَّطَوُّعِ </w:t>
      </w:r>
      <w:r w:rsidR="002D1C6F">
        <w:rPr>
          <w:rtl/>
          <w:lang w:bidi="fa-IR"/>
        </w:rPr>
        <w:t>إِل</w:t>
      </w:r>
      <w:r w:rsidR="002D1C6F">
        <w:rPr>
          <w:rFonts w:hint="cs"/>
          <w:rtl/>
          <w:lang w:bidi="fa-IR"/>
        </w:rPr>
        <w:t>َّ</w:t>
      </w:r>
      <w:r w:rsidR="002D1C6F">
        <w:rPr>
          <w:rtl/>
          <w:lang w:bidi="fa-IR"/>
        </w:rPr>
        <w:t xml:space="preserve">ا </w:t>
      </w:r>
      <w:r w:rsidRPr="00020424">
        <w:rPr>
          <w:rtl/>
          <w:lang w:bidi="fa-IR"/>
        </w:rPr>
        <w:t xml:space="preserve">الثَّلَاثَةَ الْأَيَّامِ الَّتِي كَانَ يَصُومُهَا مِنْ كُلِّ شَهْرٍ ، وَلَايَجْعَلُهَا بِمَنْزِلَةِ الْوَاجِبِ </w:t>
      </w:r>
      <w:r w:rsidRPr="00A91B96">
        <w:rPr>
          <w:rStyle w:val="libFootnotenumChar"/>
          <w:rtl/>
        </w:rPr>
        <w:t>(2)</w:t>
      </w:r>
      <w:r w:rsidR="000F3A3E">
        <w:rPr>
          <w:rtl/>
          <w:lang w:bidi="fa-IR"/>
        </w:rPr>
        <w:t xml:space="preserve"> إِل</w:t>
      </w:r>
      <w:r w:rsidR="000F3A3E">
        <w:rPr>
          <w:rFonts w:hint="cs"/>
          <w:rtl/>
          <w:lang w:bidi="fa-IR"/>
        </w:rPr>
        <w:t>َّ</w:t>
      </w:r>
      <w:r w:rsidR="000F3A3E">
        <w:rPr>
          <w:rtl/>
          <w:lang w:bidi="fa-IR"/>
        </w:rPr>
        <w:t>ا</w:t>
      </w:r>
      <w:r>
        <w:rPr>
          <w:rtl/>
          <w:lang w:bidi="fa-IR"/>
        </w:rPr>
        <w:t xml:space="preserve"> أَ</w:t>
      </w:r>
      <w:r w:rsidRPr="00020424">
        <w:rPr>
          <w:rtl/>
          <w:lang w:bidi="fa-IR"/>
        </w:rPr>
        <w:t xml:space="preserve">نِّي أُحِبُّ </w:t>
      </w:r>
      <w:r w:rsidRPr="00A91B96">
        <w:rPr>
          <w:rStyle w:val="libFootnotenumChar"/>
          <w:rtl/>
        </w:rPr>
        <w:t>(3)</w:t>
      </w:r>
      <w:r w:rsidRPr="00020424">
        <w:rPr>
          <w:rtl/>
          <w:lang w:bidi="fa-IR"/>
        </w:rPr>
        <w:t xml:space="preserve"> لَكَ أَنْ تَدُومَ عَلَى الْعَمَلِ الصَّالِحِ</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وَصَاحِبُ الْحُرُمِ الَّذِي كَانَ يَصُومُهَا ، يُجْزِئُهُ </w:t>
      </w:r>
      <w:r w:rsidRPr="00A91B96">
        <w:rPr>
          <w:rStyle w:val="libFootnotenumChar"/>
          <w:rtl/>
        </w:rPr>
        <w:t>(4)</w:t>
      </w:r>
      <w:r w:rsidRPr="00020424">
        <w:rPr>
          <w:rtl/>
          <w:lang w:bidi="fa-IR"/>
        </w:rPr>
        <w:t xml:space="preserve"> أَنْ يَصُومَ مَكَانَ كُلِّ شَهْرٍ مِنْ أَشْهُرِ الْحُرُمِ ثَلَاثَةَ أَيَّامٍ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800E0D">
        <w:rPr>
          <w:rtl/>
        </w:rPr>
        <w:t>6566</w:t>
      </w:r>
      <w:r w:rsidRPr="001155DE">
        <w:rPr>
          <w:rStyle w:val="libBold2Char"/>
          <w:rtl/>
        </w:rPr>
        <w:t xml:space="preserve"> / 9.</w:t>
      </w:r>
      <w:r w:rsidRPr="00020424">
        <w:rPr>
          <w:rtl/>
          <w:lang w:bidi="fa-IR"/>
        </w:rPr>
        <w:t xml:space="preserve"> مُحَمَّدُ بْنُ إِسْمَاعِيلَ ، عَنِ الْفَضْلِ بْنِ شَاذَانَ ، عَنِ ابْنِ أَبِي عُمَيْرٍ ، عَنْ إِبْرَاهِيمَ بْنِ عَبْدِ الْحَمِيدِ :</w:t>
      </w:r>
    </w:p>
    <w:p w:rsidR="00992664" w:rsidRPr="00020424" w:rsidRDefault="00992664" w:rsidP="00992664">
      <w:pPr>
        <w:pStyle w:val="libNormal"/>
        <w:rPr>
          <w:rtl/>
          <w:lang w:bidi="fa-IR"/>
        </w:rPr>
      </w:pPr>
      <w:r w:rsidRPr="00020424">
        <w:rPr>
          <w:rtl/>
          <w:lang w:bidi="fa-IR"/>
        </w:rPr>
        <w:t xml:space="preserve">عَنْ أَبِي الْحَسَنِ </w:t>
      </w:r>
      <w:r w:rsidRPr="00A91B96">
        <w:rPr>
          <w:rStyle w:val="libFootnotenumChar"/>
          <w:rtl/>
        </w:rPr>
        <w:t>(6)</w:t>
      </w:r>
      <w:r w:rsidRPr="00020424">
        <w:rPr>
          <w:rtl/>
          <w:lang w:bidi="fa-IR"/>
        </w:rPr>
        <w:t xml:space="preserve"> </w:t>
      </w:r>
      <w:r w:rsidRPr="00005A81">
        <w:rPr>
          <w:rStyle w:val="libAlaemChar"/>
          <w:rtl/>
        </w:rPr>
        <w:t>عليه‌السلام</w:t>
      </w:r>
      <w:r w:rsidRPr="00020424">
        <w:rPr>
          <w:rtl/>
          <w:lang w:bidi="fa-IR"/>
        </w:rPr>
        <w:t xml:space="preserve"> ، قَالَ : سَأَلْتُهُ </w:t>
      </w:r>
      <w:r w:rsidRPr="00A91B96">
        <w:rPr>
          <w:rStyle w:val="libFootnotenumChar"/>
          <w:rtl/>
        </w:rPr>
        <w:t>(7)</w:t>
      </w:r>
      <w:r w:rsidRPr="00020424">
        <w:rPr>
          <w:rtl/>
          <w:lang w:bidi="fa-IR"/>
        </w:rPr>
        <w:t xml:space="preserve"> عَنِ الرَّجُلِ يَجْعَلُ 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عَلَيْهِ صَوْمَ يَوْمٍ مُسَمًّى</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قد وقّته على نفسه ؛ يعني من غير نذر ولا يمين ، ولهذا نفى عنه القضاء وعدّه من التطوّع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ولا يجعلها بمنزلة الواجب ، يعني لا يعتقد في صيام الثلاثة الأيّام أنّه واجب أو مثل الواجب في‌عدم جواز تركه وإن كان يقضيه مع الفوات ، وإنّما أمرتك بقضائه لأنّي احبّ لك المداومة على العمل الصالح وإن لم يكن واجباً عليك ، وإنّما يجزيه ثلاثة أيّام بدل كلّ شهر من الحرم ؛ لأنّ من جاء بالحسنة فله عشر أمثالها ، فالثلاثة بمنزلة الثلاثين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أحببت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بخ ، بر ، جت » وحاشية « جش »</w:t>
      </w:r>
      <w:r w:rsidR="00992664" w:rsidRPr="00697D09">
        <w:rPr>
          <w:rtl/>
        </w:rPr>
        <w:t xml:space="preserve"> والوافي والتهذيب والاستبصار. </w:t>
      </w:r>
      <w:r w:rsidR="00992664" w:rsidRPr="00020424">
        <w:rPr>
          <w:rtl/>
        </w:rPr>
        <w:t xml:space="preserve">وفي سائر النسخ والمطبوع </w:t>
      </w:r>
      <w:r w:rsidR="00992664" w:rsidRPr="00EB1FD9">
        <w:rPr>
          <w:rStyle w:val="libFootnoteBoldChar"/>
          <w:rtl/>
        </w:rPr>
        <w:t>والوسائل</w:t>
      </w:r>
      <w:r w:rsidR="00992664" w:rsidRPr="00020424">
        <w:rPr>
          <w:rtl/>
        </w:rPr>
        <w:t xml:space="preserve"> : « ويجزئه</w:t>
      </w:r>
      <w:r w:rsidR="00992664">
        <w:rPr>
          <w:rtl/>
        </w:rPr>
        <w:t xml:space="preserve"> ».</w:t>
      </w:r>
      <w:r w:rsidR="00992664" w:rsidRPr="00020424">
        <w:rPr>
          <w:rtl/>
        </w:rPr>
        <w:t xml:space="preserve"> وما أثبتناه هو الظاهر من متن الخبر.</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233 ، ح 658 ؛ </w:t>
      </w:r>
      <w:r w:rsidR="00992664" w:rsidRPr="00FD6221">
        <w:rPr>
          <w:rStyle w:val="libFootnoteBoldChar"/>
          <w:rtl/>
        </w:rPr>
        <w:t>والاستبصار</w:t>
      </w:r>
      <w:r w:rsidR="00992664" w:rsidRPr="00020424">
        <w:rPr>
          <w:rtl/>
        </w:rPr>
        <w:t xml:space="preserve"> ، ج 2 ، ص 100 ، ح 327 ، بسندهما عن الحسن بن محبوب </w:t>
      </w:r>
      <w:r w:rsidR="002D1C6F">
        <w:rPr>
          <w:rFonts w:hint="cs"/>
          <w:rtl/>
        </w:rPr>
        <w:t>.</w:t>
      </w:r>
      <w:r w:rsidR="00992664" w:rsidRPr="0012008A">
        <w:rPr>
          <w:rStyle w:val="libFootnoteBoldChar"/>
          <w:rtl/>
        </w:rPr>
        <w:t>الوافي</w:t>
      </w:r>
      <w:r w:rsidR="00992664" w:rsidRPr="00020424">
        <w:rPr>
          <w:rtl/>
        </w:rPr>
        <w:t xml:space="preserve"> ، ج 11 ، ص 512 ، ح 11218 ؛ </w:t>
      </w:r>
      <w:r w:rsidR="00992664" w:rsidRPr="0012008A">
        <w:rPr>
          <w:rStyle w:val="libFootnoteBoldChar"/>
          <w:rtl/>
        </w:rPr>
        <w:t>الوسائل</w:t>
      </w:r>
      <w:r w:rsidR="00992664" w:rsidRPr="00020424">
        <w:rPr>
          <w:rtl/>
        </w:rPr>
        <w:t xml:space="preserve"> ، ج 10 ، ص 198 ، ح 13209 ؛ </w:t>
      </w:r>
      <w:r w:rsidR="00992664" w:rsidRPr="00DE76B9">
        <w:rPr>
          <w:rStyle w:val="libFootnoteBoldChar"/>
          <w:rtl/>
        </w:rPr>
        <w:t>وفيه</w:t>
      </w:r>
      <w:r w:rsidR="00992664" w:rsidRPr="00020424">
        <w:rPr>
          <w:rtl/>
        </w:rPr>
        <w:t xml:space="preserve"> ، ص 222 ، ذيل ح 13271 ، إلى قوله : « تدوم على العمل الصالح</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ى ، بث ، بح ، بخ ، بر ، بس ، بف ، جر » </w:t>
      </w:r>
      <w:r w:rsidR="00992664" w:rsidRPr="00515444">
        <w:rPr>
          <w:rStyle w:val="libFootnoteBoldChar"/>
          <w:rtl/>
        </w:rPr>
        <w:t>والوافي</w:t>
      </w:r>
      <w:r w:rsidR="00992664" w:rsidRPr="00020424">
        <w:rPr>
          <w:rtl/>
        </w:rPr>
        <w:t>. وفي « ظ ، جن » والمطبوع : + « الرضا</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سألت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D20B2E">
      <w:pPr>
        <w:pStyle w:val="libNormal"/>
        <w:rPr>
          <w:rtl/>
          <w:lang w:bidi="fa-IR"/>
        </w:rPr>
      </w:pPr>
      <w:r w:rsidRPr="00020424">
        <w:rPr>
          <w:rtl/>
          <w:lang w:bidi="fa-IR"/>
        </w:rPr>
        <w:t xml:space="preserve">قَالَ : « يَصُومُهُ أَبَداً فِي السَّفَرِ </w:t>
      </w:r>
      <w:r w:rsidRPr="00A91B96">
        <w:rPr>
          <w:rStyle w:val="libFootnotenumChar"/>
          <w:rtl/>
        </w:rPr>
        <w:t>(1)</w:t>
      </w:r>
      <w:r w:rsidRPr="00020424">
        <w:rPr>
          <w:rtl/>
          <w:lang w:bidi="fa-IR"/>
        </w:rPr>
        <w:t xml:space="preserve"> وَالْحَضَرِ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800E0D">
        <w:rPr>
          <w:rtl/>
        </w:rPr>
        <w:t>6567</w:t>
      </w:r>
      <w:r w:rsidRPr="001155DE">
        <w:rPr>
          <w:rStyle w:val="libBold2Char"/>
          <w:rtl/>
        </w:rPr>
        <w:t xml:space="preserve"> / 10.</w:t>
      </w:r>
      <w:r w:rsidRPr="00020424">
        <w:rPr>
          <w:rtl/>
          <w:lang w:bidi="fa-IR"/>
        </w:rPr>
        <w:t xml:space="preserve"> مُحَمَّدُ بْنُ يَحْيى ، عَنْ أَحْمَدَ بْنِ مُحَمَّدٍ ، عَنِ ابْنِ فَضَّالٍ ، عَنِ ابْنِ بُكَيْرٍ ، عَنْ زُرَارَةَ ، قَالَ :</w:t>
      </w:r>
    </w:p>
    <w:p w:rsidR="00992664" w:rsidRPr="00020424" w:rsidRDefault="00992664" w:rsidP="00992664">
      <w:pPr>
        <w:pStyle w:val="libNormal"/>
        <w:rPr>
          <w:rtl/>
          <w:lang w:bidi="fa-IR"/>
        </w:rPr>
      </w:pPr>
      <w:r w:rsidRPr="00020424">
        <w:rPr>
          <w:rtl/>
          <w:lang w:bidi="fa-IR"/>
        </w:rPr>
        <w:t xml:space="preserve">إِنَّ أُمِّي كَانَتْ جَعَلَتْ عَلى نَفْسِهَا لِلّهِ عَلَيْهَا نَذْراً إِنِ </w:t>
      </w:r>
      <w:r w:rsidRPr="00A91B96">
        <w:rPr>
          <w:rStyle w:val="libFootnotenumChar"/>
          <w:rtl/>
        </w:rPr>
        <w:t>(4)</w:t>
      </w:r>
      <w:r w:rsidRPr="00020424">
        <w:rPr>
          <w:rtl/>
          <w:lang w:bidi="fa-IR"/>
        </w:rPr>
        <w:t xml:space="preserve"> اللهُ رَدَّ عَلَيْهَا بَعْضَ وُلْدِهَا مِنْ شَيْ‌ءٍ كَانَتْ تَخَافُ عَلَيْهِ فِيهِ ، </w:t>
      </w:r>
      <w:r w:rsidRPr="00A91B96">
        <w:rPr>
          <w:rStyle w:val="libFootnotenumChar"/>
          <w:rtl/>
        </w:rPr>
        <w:t>(5)</w:t>
      </w:r>
      <w:r w:rsidRPr="00020424">
        <w:rPr>
          <w:rtl/>
          <w:lang w:bidi="fa-IR"/>
        </w:rPr>
        <w:t xml:space="preserve"> أَنْ تَصُومَ ذلِكَ الْيَوْمَ </w:t>
      </w:r>
      <w:r w:rsidRPr="00A91B96">
        <w:rPr>
          <w:rStyle w:val="libFootnotenumChar"/>
          <w:rtl/>
        </w:rPr>
        <w:t>(6)</w:t>
      </w:r>
      <w:r w:rsidRPr="00020424">
        <w:rPr>
          <w:rtl/>
          <w:lang w:bidi="fa-IR"/>
        </w:rPr>
        <w:t xml:space="preserve"> الَّذِي يَقْدَمُ فِيهِ مَا بَقِيَتْ ، فَخَرَجَتْ مَعَنَا مُسَافِرَةً إِلى مَكَّةَ ، فَأَشْكَلَ عَلَيْنَا لَمْ نَدْرِ </w:t>
      </w:r>
      <w:r w:rsidRPr="00A91B96">
        <w:rPr>
          <w:rStyle w:val="libFootnotenumChar"/>
          <w:rtl/>
        </w:rPr>
        <w:t>(7)</w:t>
      </w:r>
      <w:r>
        <w:rPr>
          <w:rtl/>
          <w:lang w:bidi="fa-IR"/>
        </w:rPr>
        <w:t xml:space="preserve"> أَ</w:t>
      </w:r>
      <w:r w:rsidRPr="00020424">
        <w:rPr>
          <w:rtl/>
          <w:lang w:bidi="fa-IR"/>
        </w:rPr>
        <w:t xml:space="preserve">تَصُومُ </w:t>
      </w:r>
      <w:r w:rsidRPr="00A91B96">
        <w:rPr>
          <w:rStyle w:val="libFootnotenumChar"/>
          <w:rtl/>
        </w:rPr>
        <w:t>(8)</w:t>
      </w:r>
      <w:r w:rsidRPr="00020424">
        <w:rPr>
          <w:rtl/>
          <w:lang w:bidi="fa-IR"/>
        </w:rPr>
        <w:t xml:space="preserve"> ، أَمْ تُفْطِرُ</w:t>
      </w:r>
      <w:r>
        <w:rPr>
          <w:rtl/>
          <w:lang w:bidi="fa-IR"/>
        </w:rPr>
        <w:t>؟</w:t>
      </w:r>
      <w:r w:rsidRPr="00020424">
        <w:rPr>
          <w:rtl/>
          <w:lang w:bidi="fa-IR"/>
        </w:rPr>
        <w:t xml:space="preserve"> فَسَأَلْتُ أَبَا عَبْدِ اللهِ </w:t>
      </w:r>
      <w:r w:rsidRPr="00005A81">
        <w:rPr>
          <w:rStyle w:val="libAlaemChar"/>
          <w:rtl/>
        </w:rPr>
        <w:t>عليه‌السلام</w:t>
      </w:r>
      <w:r w:rsidRPr="00020424">
        <w:rPr>
          <w:rtl/>
          <w:lang w:bidi="fa-IR"/>
        </w:rPr>
        <w:t xml:space="preserve"> عَنْ ذلِكَ ، وَأَخْبَرْتُهُ بِمَا جَعَلَتْ عَلى نَفْسِهَا.</w:t>
      </w:r>
    </w:p>
    <w:p w:rsidR="00992664" w:rsidRPr="00020424" w:rsidRDefault="00992664" w:rsidP="00992664">
      <w:pPr>
        <w:pStyle w:val="libNormal"/>
        <w:rPr>
          <w:rtl/>
          <w:lang w:bidi="fa-IR"/>
        </w:rPr>
      </w:pPr>
      <w:r w:rsidRPr="00020424">
        <w:rPr>
          <w:rtl/>
          <w:lang w:bidi="fa-IR"/>
        </w:rPr>
        <w:t xml:space="preserve">فَقَالَ : « لَا تَصُومُ فِي السَّفَرِ ، قَدْ وَضَعَ اللهُ عَنْهَا حَقَّهُ ، وَتَصُومُ هِيَ </w:t>
      </w:r>
      <w:r w:rsidRPr="00A91B96">
        <w:rPr>
          <w:rStyle w:val="libFootnotenumChar"/>
          <w:rtl/>
        </w:rPr>
        <w:t>(9)</w:t>
      </w:r>
      <w:r w:rsidRPr="00020424">
        <w:rPr>
          <w:rtl/>
          <w:lang w:bidi="fa-IR"/>
        </w:rPr>
        <w:t xml:space="preserve"> مَا جَعَلَتْ عَلى نَفْسِهَا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مَا تَرى إِذَا هِيَ </w:t>
      </w:r>
      <w:r w:rsidRPr="00A91B96">
        <w:rPr>
          <w:rStyle w:val="libFootnotenumChar"/>
          <w:rtl/>
        </w:rPr>
        <w:t>(10)</w:t>
      </w:r>
      <w:r w:rsidRPr="00020424">
        <w:rPr>
          <w:rtl/>
          <w:lang w:bidi="fa-IR"/>
        </w:rPr>
        <w:t xml:space="preserve"> قَدِمَتْ ، وَتَرَكَتْ ذلِكَ </w:t>
      </w:r>
      <w:r w:rsidRPr="00A91B96">
        <w:rPr>
          <w:rStyle w:val="libFootnotenumChar"/>
          <w:rtl/>
        </w:rPr>
        <w:t>(11)</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بس » : « بالسفر</w:t>
      </w:r>
      <w:r w:rsidR="00992664">
        <w:rPr>
          <w:rtl/>
        </w:rPr>
        <w:t xml:space="preserve"> ».</w:t>
      </w:r>
    </w:p>
    <w:p w:rsidR="00992664" w:rsidRPr="00020424" w:rsidRDefault="00795177" w:rsidP="002D1C6F">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فالوجه فيه أنّه إذا شرط على نفسه أن يصومه في السفر والحضر</w:t>
      </w:r>
      <w:r w:rsidR="00992664">
        <w:rPr>
          <w:rtl/>
        </w:rPr>
        <w:t xml:space="preserve"> ».</w:t>
      </w:r>
    </w:p>
    <w:p w:rsidR="00992664" w:rsidRPr="00020424" w:rsidRDefault="00992664" w:rsidP="002D1C6F">
      <w:pPr>
        <w:pStyle w:val="libFootnote0"/>
        <w:rPr>
          <w:rtl/>
          <w:lang w:bidi="fa-IR"/>
        </w:rPr>
      </w:pPr>
      <w:r w:rsidRPr="002D1C6F">
        <w:rPr>
          <w:rtl/>
        </w:rPr>
        <w:t xml:space="preserve">وفي </w:t>
      </w:r>
      <w:r w:rsidRPr="00DE76B9">
        <w:rPr>
          <w:rStyle w:val="libFootnoteBoldChar"/>
          <w:rtl/>
        </w:rPr>
        <w:t>مرآة العقول</w:t>
      </w:r>
      <w:r w:rsidRPr="002D1C6F">
        <w:rPr>
          <w:rtl/>
        </w:rPr>
        <w:t xml:space="preserve"> : « قوله </w:t>
      </w:r>
      <w:r w:rsidRPr="00D64ADA">
        <w:rPr>
          <w:rStyle w:val="libFootnoteAlaemChar"/>
          <w:rtl/>
        </w:rPr>
        <w:t>عليه‌السلام</w:t>
      </w:r>
      <w:r w:rsidRPr="002D1C6F">
        <w:rPr>
          <w:rtl/>
        </w:rPr>
        <w:t xml:space="preserve"> : في السفر ، يدلّ على أنّه إذا نذر صوم يوم وأطلق يجب إيقاعه في السفر ، والمشهور بين الأصحاب أنّه إنّما يجب الصوم في السفر إذا شرط في النذر إيقاعه سفراً وحضراً ، كما يدلّ عليه صحيحة عليّ بن مهزيار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235 ، ح 688 ؛ </w:t>
      </w:r>
      <w:r w:rsidR="00992664" w:rsidRPr="00FD6221">
        <w:rPr>
          <w:rStyle w:val="libFootnoteBoldChar"/>
          <w:rtl/>
        </w:rPr>
        <w:t>والاستبصار</w:t>
      </w:r>
      <w:r w:rsidR="00992664" w:rsidRPr="00020424">
        <w:rPr>
          <w:rtl/>
        </w:rPr>
        <w:t xml:space="preserve"> ، ج 2 ، ص 101 ، ح 330 ، بسندهما عن إبراهيم بن عبدالحميد </w:t>
      </w:r>
      <w:r w:rsidR="002D1C6F">
        <w:rPr>
          <w:rFonts w:hint="cs"/>
          <w:rtl/>
        </w:rPr>
        <w:t>.</w:t>
      </w:r>
      <w:r w:rsidR="00992664" w:rsidRPr="0012008A">
        <w:rPr>
          <w:rStyle w:val="libFootnoteBoldChar"/>
          <w:rtl/>
        </w:rPr>
        <w:t>الوافي</w:t>
      </w:r>
      <w:r w:rsidR="00992664" w:rsidRPr="00020424">
        <w:rPr>
          <w:rtl/>
        </w:rPr>
        <w:t xml:space="preserve"> ، ج 11 ، ص 513 ، ح 11219 ؛ </w:t>
      </w:r>
      <w:r w:rsidR="00992664" w:rsidRPr="0012008A">
        <w:rPr>
          <w:rStyle w:val="libFootnoteBoldChar"/>
          <w:rtl/>
        </w:rPr>
        <w:t>الوسائل</w:t>
      </w:r>
      <w:r w:rsidR="00992664" w:rsidRPr="00020424">
        <w:rPr>
          <w:rtl/>
        </w:rPr>
        <w:t xml:space="preserve"> ، ج 10 ، ص 198 ، ذيل ح 13210.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جميع النسخ التي قوبلت. وفي المطبوع : « إن كان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هكذا في جميع النسخ التي قوبلت. وفي المطبوع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D1C6F" w:rsidTr="002D1C6F">
        <w:tc>
          <w:tcPr>
            <w:tcW w:w="4006" w:type="dxa"/>
          </w:tcPr>
          <w:p w:rsidR="002D1C6F" w:rsidRDefault="002D1C6F" w:rsidP="00992664">
            <w:pPr>
              <w:pStyle w:val="libFootnote0"/>
              <w:rPr>
                <w:rtl/>
              </w:rPr>
            </w:pPr>
            <w:r>
              <w:rPr>
                <w:rtl/>
              </w:rPr>
              <w:t xml:space="preserve">(6). </w:t>
            </w:r>
            <w:r w:rsidRPr="00020424">
              <w:rPr>
                <w:rtl/>
              </w:rPr>
              <w:t>في « ظ » :</w:t>
            </w:r>
            <w:r>
              <w:rPr>
                <w:rtl/>
              </w:rPr>
              <w:t xml:space="preserve"> - </w:t>
            </w:r>
            <w:r w:rsidRPr="00020424">
              <w:rPr>
                <w:rtl/>
              </w:rPr>
              <w:t>« اليوم</w:t>
            </w:r>
            <w:r>
              <w:rPr>
                <w:rtl/>
              </w:rPr>
              <w:t xml:space="preserve"> ».</w:t>
            </w:r>
          </w:p>
        </w:tc>
        <w:tc>
          <w:tcPr>
            <w:tcW w:w="4006" w:type="dxa"/>
          </w:tcPr>
          <w:p w:rsidR="002D1C6F" w:rsidRDefault="002D1C6F" w:rsidP="00992664">
            <w:pPr>
              <w:pStyle w:val="libFootnote0"/>
              <w:rPr>
                <w:rtl/>
              </w:rPr>
            </w:pPr>
            <w:r>
              <w:rPr>
                <w:rtl/>
              </w:rPr>
              <w:t xml:space="preserve">(7). </w:t>
            </w:r>
            <w:r w:rsidRPr="00020424">
              <w:rPr>
                <w:rtl/>
              </w:rPr>
              <w:t>في « بح » : « لم تدر</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 « أن تصوم</w:t>
      </w:r>
      <w:r w:rsidR="00992664">
        <w:rPr>
          <w:rtl/>
        </w:rPr>
        <w:t xml:space="preserve"> ».</w:t>
      </w:r>
      <w:r w:rsidR="00992664" w:rsidRPr="00020424">
        <w:rPr>
          <w:rtl/>
        </w:rPr>
        <w:t xml:space="preserve"> وفي « بر ، بف » : « تصوم » بدون همزة الاستفهام.</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وتصوم هي ، قال الفاضل التستري </w:t>
      </w:r>
      <w:r w:rsidR="00D64ADA" w:rsidRPr="00D64ADA">
        <w:rPr>
          <w:rStyle w:val="libFootnoteAlaemChar"/>
          <w:rtl/>
        </w:rPr>
        <w:t>رحمه‌الله</w:t>
      </w:r>
      <w:r w:rsidR="00992664" w:rsidRPr="00020424">
        <w:rPr>
          <w:rtl/>
        </w:rPr>
        <w:t xml:space="preserve"> : كأنّ المعنى أنّها كيف تصوم يوماً قد جعلت‌على نفسها مع أنّ الله تعالى وضع عنها الأيّام التي جعلها</w:t>
      </w:r>
      <w:r w:rsidR="00992664">
        <w:rPr>
          <w:rtl/>
        </w:rPr>
        <w:t xml:space="preserve"> </w:t>
      </w:r>
      <w:r w:rsidR="009B673F">
        <w:rPr>
          <w:rtl/>
        </w:rPr>
        <w:t>-</w:t>
      </w:r>
      <w:r w:rsidR="00992664">
        <w:rPr>
          <w:rtl/>
        </w:rPr>
        <w:t xml:space="preserve"> </w:t>
      </w:r>
      <w:r w:rsidR="00992664" w:rsidRPr="00020424">
        <w:rPr>
          <w:rtl/>
        </w:rPr>
        <w:t>عزّوجلّ</w:t>
      </w:r>
      <w:r w:rsidR="00992664">
        <w:rPr>
          <w:rtl/>
        </w:rPr>
        <w:t xml:space="preserve"> </w:t>
      </w:r>
      <w:r w:rsidR="009B673F">
        <w:rPr>
          <w:rtl/>
        </w:rPr>
        <w:t>-</w:t>
      </w:r>
      <w:r w:rsidR="00992664">
        <w:rPr>
          <w:rtl/>
        </w:rPr>
        <w:t xml:space="preserve"> </w:t>
      </w:r>
      <w:r w:rsidR="00992664" w:rsidRPr="00020424">
        <w:rPr>
          <w:rtl/>
        </w:rPr>
        <w:t>عليها ، والحاصل أنّ ما أوجبه الله تعالى أضيق فسقوطه يوجب سقوط غيره من باب الأولى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93F3D" w:rsidTr="00D93F3D">
        <w:tc>
          <w:tcPr>
            <w:tcW w:w="4006" w:type="dxa"/>
          </w:tcPr>
          <w:p w:rsidR="00D93F3D" w:rsidRDefault="00D93F3D" w:rsidP="00992664">
            <w:pPr>
              <w:pStyle w:val="libFootnote0"/>
              <w:rPr>
                <w:rtl/>
              </w:rPr>
            </w:pPr>
            <w:r>
              <w:rPr>
                <w:rtl/>
              </w:rPr>
              <w:t xml:space="preserve">(10). </w:t>
            </w:r>
            <w:r w:rsidRPr="00020424">
              <w:rPr>
                <w:rtl/>
              </w:rPr>
              <w:t>في « ظ » :</w:t>
            </w:r>
            <w:r>
              <w:rPr>
                <w:rtl/>
              </w:rPr>
              <w:t xml:space="preserve"> - </w:t>
            </w:r>
            <w:r w:rsidRPr="00020424">
              <w:rPr>
                <w:rtl/>
              </w:rPr>
              <w:t>« هي</w:t>
            </w:r>
            <w:r>
              <w:rPr>
                <w:rtl/>
              </w:rPr>
              <w:t xml:space="preserve"> ».</w:t>
            </w:r>
          </w:p>
        </w:tc>
        <w:tc>
          <w:tcPr>
            <w:tcW w:w="4006" w:type="dxa"/>
          </w:tcPr>
          <w:p w:rsidR="00D93F3D" w:rsidRDefault="00D93F3D" w:rsidP="00992664">
            <w:pPr>
              <w:pStyle w:val="libFootnote0"/>
              <w:rPr>
                <w:rtl/>
              </w:rPr>
            </w:pPr>
            <w:r>
              <w:rPr>
                <w:rtl/>
              </w:rPr>
              <w:t xml:space="preserve">(11). </w:t>
            </w:r>
            <w:r w:rsidRPr="00020424">
              <w:rPr>
                <w:rtl/>
              </w:rPr>
              <w:t>في « ظ » :</w:t>
            </w:r>
            <w:r>
              <w:rPr>
                <w:rtl/>
              </w:rPr>
              <w:t xml:space="preserve"> - </w:t>
            </w:r>
            <w:r w:rsidRPr="00020424">
              <w:rPr>
                <w:rtl/>
              </w:rPr>
              <w:t>« ذلك</w:t>
            </w:r>
            <w:r>
              <w:rPr>
                <w:rtl/>
              </w:rPr>
              <w:t xml:space="preserve"> ». وفي « ى » :«</w:t>
            </w:r>
            <w:r w:rsidRPr="00020424">
              <w:rPr>
                <w:rtl/>
              </w:rPr>
              <w:t>ذاك</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إِنِّي أَخَافُ أَنْ تَرى فِي الَّذِي نَذَرَتْ مَا تَكْرَهُ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482" w:name="_Toc345172877"/>
      <w:bookmarkStart w:id="483" w:name="_Toc464562692"/>
      <w:bookmarkStart w:id="484" w:name="_Toc44599998"/>
      <w:r w:rsidRPr="00020424">
        <w:rPr>
          <w:rtl/>
          <w:lang w:bidi="fa-IR"/>
        </w:rPr>
        <w:t>59</w:t>
      </w:r>
      <w:r>
        <w:rPr>
          <w:rtl/>
          <w:lang w:bidi="fa-IR"/>
        </w:rPr>
        <w:t xml:space="preserve"> </w:t>
      </w:r>
      <w:r w:rsidR="009B673F">
        <w:rPr>
          <w:rtl/>
          <w:lang w:bidi="fa-IR"/>
        </w:rPr>
        <w:t>-</w:t>
      </w:r>
      <w:r>
        <w:rPr>
          <w:rtl/>
          <w:lang w:bidi="fa-IR"/>
        </w:rPr>
        <w:t xml:space="preserve"> </w:t>
      </w:r>
      <w:r w:rsidRPr="00020424">
        <w:rPr>
          <w:rtl/>
          <w:lang w:bidi="fa-IR"/>
        </w:rPr>
        <w:t>بَابُ كَفَّارَةِ الصَّوْمِ وَفِدْيَتِهِ‌</w:t>
      </w:r>
      <w:bookmarkEnd w:id="482"/>
      <w:bookmarkEnd w:id="483"/>
      <w:bookmarkEnd w:id="484"/>
    </w:p>
    <w:p w:rsidR="00992664" w:rsidRPr="00020424" w:rsidRDefault="00992664" w:rsidP="00992664">
      <w:pPr>
        <w:pStyle w:val="libNormal"/>
        <w:rPr>
          <w:rtl/>
          <w:lang w:bidi="fa-IR"/>
        </w:rPr>
      </w:pPr>
      <w:r w:rsidRPr="00800E0D">
        <w:rPr>
          <w:rtl/>
        </w:rPr>
        <w:t>6568</w:t>
      </w:r>
      <w:r w:rsidRPr="001155DE">
        <w:rPr>
          <w:rStyle w:val="libBold2Char"/>
          <w:rtl/>
        </w:rPr>
        <w:t xml:space="preserve"> / 1.</w:t>
      </w:r>
      <w:r w:rsidRPr="00020424">
        <w:rPr>
          <w:rtl/>
          <w:lang w:bidi="fa-IR"/>
        </w:rPr>
        <w:t xml:space="preserve"> عِدَّةٌ مِنْ أَصْحَابِنَا ، عَنْ أَحْمَدَ بْنِ مُحَمَّدٍ ، عَنْ مُحَمَّدِ بْنِ سَهْلٍ ، عَنْ إِدْرِيسَ بْنِ زَيْدٍ وَعَلِيِّ بْنِ إِدْرِيسَ ، قَالَا :</w:t>
      </w:r>
    </w:p>
    <w:p w:rsidR="00992664" w:rsidRPr="00020424" w:rsidRDefault="00992664" w:rsidP="00992664">
      <w:pPr>
        <w:pStyle w:val="libNormal"/>
        <w:rPr>
          <w:rtl/>
          <w:lang w:bidi="fa-IR"/>
        </w:rPr>
      </w:pPr>
      <w:r w:rsidRPr="00020424">
        <w:rPr>
          <w:rtl/>
          <w:lang w:bidi="fa-IR"/>
        </w:rPr>
        <w:t xml:space="preserve">سَأَلْنَا الرِّضَا </w:t>
      </w:r>
      <w:r w:rsidRPr="00005A81">
        <w:rPr>
          <w:rStyle w:val="libAlaemChar"/>
          <w:rtl/>
        </w:rPr>
        <w:t>عليه‌السلام</w:t>
      </w:r>
      <w:r w:rsidRPr="00020424">
        <w:rPr>
          <w:rtl/>
          <w:lang w:bidi="fa-IR"/>
        </w:rPr>
        <w:t xml:space="preserve"> عَنْ رَجُلٍ نَذَرَ </w:t>
      </w:r>
      <w:r w:rsidRPr="00A91B96">
        <w:rPr>
          <w:rStyle w:val="libFootnotenumChar"/>
          <w:rtl/>
        </w:rPr>
        <w:t>(3)</w:t>
      </w:r>
      <w:r w:rsidRPr="00020424">
        <w:rPr>
          <w:rtl/>
          <w:lang w:bidi="fa-IR"/>
        </w:rPr>
        <w:t xml:space="preserve"> نَذْراً </w:t>
      </w:r>
      <w:r w:rsidRPr="00A91B96">
        <w:rPr>
          <w:rStyle w:val="libFootnotenumChar"/>
          <w:rtl/>
        </w:rPr>
        <w:t>(4)</w:t>
      </w:r>
      <w:r w:rsidRPr="00020424">
        <w:rPr>
          <w:rtl/>
          <w:lang w:bidi="fa-IR"/>
        </w:rPr>
        <w:t xml:space="preserve"> : إِنْ هُوَ تَخَلَّصَ </w:t>
      </w:r>
      <w:r w:rsidRPr="00A91B96">
        <w:rPr>
          <w:rStyle w:val="libFootnotenumChar"/>
          <w:rtl/>
        </w:rPr>
        <w:t>(5)</w:t>
      </w:r>
      <w:r w:rsidRPr="00020424">
        <w:rPr>
          <w:rtl/>
          <w:lang w:bidi="fa-IR"/>
        </w:rPr>
        <w:t xml:space="preserve"> مِنَ الْحَبْسِ ، أَنْ يَصُومَ ذلِكَ الْيَوْمَ الَّذِي </w:t>
      </w:r>
      <w:r w:rsidRPr="00A91B96">
        <w:rPr>
          <w:rStyle w:val="libFootnotenumChar"/>
          <w:rtl/>
        </w:rPr>
        <w:t>(6)</w:t>
      </w:r>
      <w:r w:rsidRPr="00020424">
        <w:rPr>
          <w:rtl/>
          <w:lang w:bidi="fa-IR"/>
        </w:rPr>
        <w:t xml:space="preserve"> تَخَلَّصَ </w:t>
      </w:r>
      <w:r w:rsidRPr="00A91B96">
        <w:rPr>
          <w:rStyle w:val="libFootnotenumChar"/>
          <w:rtl/>
        </w:rPr>
        <w:t>(7)</w:t>
      </w:r>
      <w:r w:rsidRPr="00020424">
        <w:rPr>
          <w:rtl/>
          <w:lang w:bidi="fa-IR"/>
        </w:rPr>
        <w:t xml:space="preserve"> فِيهِ ، فَعَجَزَ </w:t>
      </w:r>
      <w:r w:rsidRPr="00A91B96">
        <w:rPr>
          <w:rStyle w:val="libFootnotenumChar"/>
          <w:rtl/>
        </w:rPr>
        <w:t>(8)</w:t>
      </w:r>
      <w:r w:rsidRPr="00020424">
        <w:rPr>
          <w:rtl/>
          <w:lang w:bidi="fa-IR"/>
        </w:rPr>
        <w:t xml:space="preserve"> عَنِ الصَّوْمِ لِعِلَّةٍ أَصَابَتْهُ </w:t>
      </w:r>
      <w:r w:rsidRPr="00A91B96">
        <w:rPr>
          <w:rStyle w:val="libFootnotenumChar"/>
          <w:rtl/>
        </w:rPr>
        <w:t>(9)</w:t>
      </w:r>
      <w:r w:rsidRPr="00020424">
        <w:rPr>
          <w:rtl/>
          <w:lang w:bidi="fa-IR"/>
        </w:rPr>
        <w:t xml:space="preserve"> ، أَوْ غَيْرِ ذلِكَ ، فَمُدَّ لِلرَّجُلِ</w:t>
      </w:r>
      <w:r w:rsidRPr="00A91B96">
        <w:rPr>
          <w:rStyle w:val="libFootnotenumChar"/>
          <w:rtl/>
        </w:rPr>
        <w:t>(10)</w:t>
      </w:r>
      <w:r w:rsidRPr="00020424">
        <w:rPr>
          <w:rtl/>
          <w:lang w:bidi="fa-IR"/>
        </w:rPr>
        <w:t xml:space="preserve"> فِي عُمُرِهِ وَقَدِ اجْتَمَعَ عَلَيْهِ </w:t>
      </w:r>
      <w:r w:rsidRPr="00A91B96">
        <w:rPr>
          <w:rStyle w:val="libFootnotenumChar"/>
          <w:rtl/>
        </w:rPr>
        <w:t>(11)</w:t>
      </w:r>
      <w:r w:rsidRPr="00020424">
        <w:rPr>
          <w:rtl/>
          <w:lang w:bidi="fa-IR"/>
        </w:rPr>
        <w:t xml:space="preserve"> صَوْمٌ كَثِيرٌ ، مَا كَفَّارَةُ ذلِكَ الصَّوْمِ</w:t>
      </w:r>
      <w:r>
        <w:rPr>
          <w:rtl/>
          <w:lang w:bidi="fa-IR"/>
        </w:rPr>
        <w:t>؟</w:t>
      </w:r>
    </w:p>
    <w:p w:rsidR="00992664" w:rsidRPr="00020424" w:rsidRDefault="00992664" w:rsidP="00992664">
      <w:pPr>
        <w:pStyle w:val="libNormal"/>
        <w:rPr>
          <w:rtl/>
          <w:lang w:bidi="fa-IR"/>
        </w:rPr>
      </w:pPr>
      <w:r w:rsidRPr="00020424">
        <w:rPr>
          <w:rtl/>
          <w:lang w:bidi="fa-IR"/>
        </w:rPr>
        <w:t xml:space="preserve">قَالَ : « يُكَفِّرُ </w:t>
      </w:r>
      <w:r w:rsidRPr="00A91B96">
        <w:rPr>
          <w:rStyle w:val="libFootnotenumChar"/>
          <w:rtl/>
        </w:rPr>
        <w:t>(12)</w:t>
      </w:r>
      <w:r w:rsidRPr="00020424">
        <w:rPr>
          <w:rtl/>
          <w:lang w:bidi="fa-IR"/>
        </w:rPr>
        <w:t xml:space="preserve"> عَنْ كُلِّ يَوْمٍ بِمُدِّ حِنْطَةٍ أَوْ شَعِيرٍ</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Normal"/>
        <w:rPr>
          <w:rtl/>
          <w:lang w:bidi="fa-IR"/>
        </w:rPr>
      </w:pPr>
      <w:r w:rsidRPr="00800E0D">
        <w:rPr>
          <w:rtl/>
        </w:rPr>
        <w:t>6569</w:t>
      </w:r>
      <w:r w:rsidRPr="001155DE">
        <w:rPr>
          <w:rStyle w:val="libBold2Char"/>
          <w:rtl/>
        </w:rPr>
        <w:t xml:space="preserve"> / 2.</w:t>
      </w:r>
      <w:r w:rsidRPr="00020424">
        <w:rPr>
          <w:rtl/>
          <w:lang w:bidi="fa-IR"/>
        </w:rPr>
        <w:t xml:space="preserve"> أَحْمَدُ بْنُ مُحَمَّدٍ </w:t>
      </w:r>
      <w:r w:rsidRPr="00A91B96">
        <w:rPr>
          <w:rStyle w:val="libFootnotenumChar"/>
          <w:rtl/>
        </w:rPr>
        <w:t>(14)</w:t>
      </w:r>
      <w:r w:rsidRPr="00020424">
        <w:rPr>
          <w:rtl/>
          <w:lang w:bidi="fa-IR"/>
        </w:rPr>
        <w:t xml:space="preserve"> ، عَنْ عَلِيِّ بْنِ أَحْمَدَ ، عَنْ مُوسَى بْنِ‌</w:t>
      </w:r>
      <w:r w:rsidR="008974C1">
        <w:rPr>
          <w:rFonts w:hint="cs"/>
          <w:rtl/>
          <w:lang w:bidi="fa-IR"/>
        </w:rPr>
        <w:t>.........</w:t>
      </w:r>
      <w:r w:rsidR="008974C1">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هكذا في جميع النسخ التي قوبلت. وفي المطبوع : « فقال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قال : لا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234 ، ح 687 ؛ </w:t>
      </w:r>
      <w:r w:rsidR="00992664" w:rsidRPr="00FD6221">
        <w:rPr>
          <w:rStyle w:val="libFootnoteBoldChar"/>
          <w:rtl/>
        </w:rPr>
        <w:t>والاستبصار</w:t>
      </w:r>
      <w:r w:rsidR="00992664" w:rsidRPr="00020424">
        <w:rPr>
          <w:rtl/>
        </w:rPr>
        <w:t xml:space="preserve"> ، ج 2 ، ص 101 ، ح 329 ، بسندهما عن الحسن بن عليّ بن فضّال. </w:t>
      </w:r>
      <w:r w:rsidR="00992664" w:rsidRPr="00DE76B9">
        <w:rPr>
          <w:rStyle w:val="libFootnoteBoldChar"/>
          <w:rtl/>
        </w:rPr>
        <w:t>الكافي</w:t>
      </w:r>
      <w:r w:rsidR="00992664" w:rsidRPr="00020424">
        <w:rPr>
          <w:rtl/>
        </w:rPr>
        <w:t xml:space="preserve"> ، كتاب الأيمان والنذور والكفّارات ، باب النذور ، ح 14793 ، بسنده عن زرارة ، وفي كلّها مع اختلاف يسير </w:t>
      </w:r>
      <w:r w:rsidR="00630001">
        <w:rPr>
          <w:rFonts w:hint="cs"/>
          <w:rtl/>
        </w:rPr>
        <w:t>.</w:t>
      </w:r>
      <w:r w:rsidR="00992664" w:rsidRPr="0012008A">
        <w:rPr>
          <w:rStyle w:val="libFootnoteBoldChar"/>
          <w:rtl/>
        </w:rPr>
        <w:t>الوافي</w:t>
      </w:r>
      <w:r w:rsidR="00992664" w:rsidRPr="00020424">
        <w:rPr>
          <w:rtl/>
        </w:rPr>
        <w:t xml:space="preserve"> ، ج 11 ، ص 514 ، ح 11221 ؛ </w:t>
      </w:r>
      <w:r w:rsidR="00992664" w:rsidRPr="0012008A">
        <w:rPr>
          <w:rStyle w:val="libFootnoteBoldChar"/>
          <w:rtl/>
        </w:rPr>
        <w:t>الوسائل</w:t>
      </w:r>
      <w:r w:rsidR="00992664" w:rsidRPr="00020424">
        <w:rPr>
          <w:rtl/>
        </w:rPr>
        <w:t xml:space="preserve"> ، ج 10 ، ص 196 ، ذيل ح 13206.</w:t>
      </w:r>
    </w:p>
    <w:tbl>
      <w:tblPr>
        <w:tblStyle w:val="TableGrid"/>
        <w:bidiVisual/>
        <w:tblW w:w="0" w:type="auto"/>
        <w:tblLook w:val="04A0" w:firstRow="1" w:lastRow="0" w:firstColumn="1" w:lastColumn="0" w:noHBand="0" w:noVBand="1"/>
      </w:tblPr>
      <w:tblGrid>
        <w:gridCol w:w="4006"/>
        <w:gridCol w:w="4006"/>
      </w:tblGrid>
      <w:tr w:rsidR="00630001" w:rsidTr="00630001">
        <w:tc>
          <w:tcPr>
            <w:tcW w:w="4006" w:type="dxa"/>
          </w:tcPr>
          <w:p w:rsidR="00630001" w:rsidRDefault="00630001" w:rsidP="00992664">
            <w:pPr>
              <w:pStyle w:val="libFootnote0"/>
              <w:rPr>
                <w:rtl/>
              </w:rPr>
            </w:pPr>
            <w:r>
              <w:rPr>
                <w:rtl/>
              </w:rPr>
              <w:t xml:space="preserve">(3). </w:t>
            </w:r>
            <w:r w:rsidRPr="00020424">
              <w:rPr>
                <w:rtl/>
              </w:rPr>
              <w:t>في « بر ، بف » : « قد نذر</w:t>
            </w:r>
            <w:r>
              <w:rPr>
                <w:rtl/>
              </w:rPr>
              <w:t xml:space="preserve"> ».</w:t>
            </w:r>
          </w:p>
        </w:tc>
        <w:tc>
          <w:tcPr>
            <w:tcW w:w="4006" w:type="dxa"/>
          </w:tcPr>
          <w:p w:rsidR="00630001" w:rsidRDefault="00630001" w:rsidP="00992664">
            <w:pPr>
              <w:pStyle w:val="libFootnote0"/>
              <w:rPr>
                <w:rtl/>
              </w:rPr>
            </w:pPr>
            <w:r>
              <w:rPr>
                <w:rtl/>
              </w:rPr>
              <w:t xml:space="preserve">(4). </w:t>
            </w:r>
            <w:r w:rsidRPr="00020424">
              <w:rPr>
                <w:rtl/>
              </w:rPr>
              <w:t>في « بر » :</w:t>
            </w:r>
            <w:r>
              <w:rPr>
                <w:rtl/>
              </w:rPr>
              <w:t xml:space="preserve"> - </w:t>
            </w:r>
            <w:r w:rsidRPr="00020424">
              <w:rPr>
                <w:rtl/>
              </w:rPr>
              <w:t>« نذراً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بر » : « يخلص</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بث ، بخ ، بر » </w:t>
      </w:r>
      <w:r w:rsidR="00992664" w:rsidRPr="00515444">
        <w:rPr>
          <w:rStyle w:val="libFootnoteBoldChar"/>
          <w:rtl/>
        </w:rPr>
        <w:t>والوافي</w:t>
      </w:r>
      <w:r w:rsidR="00992664" w:rsidRPr="00020424">
        <w:rPr>
          <w:rtl/>
        </w:rPr>
        <w:t xml:space="preserve"> : « كلّ يوم » بدل « ذلك اليوم الذي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بر » </w:t>
      </w:r>
      <w:r w:rsidR="00992664" w:rsidRPr="00EB1FD9">
        <w:rPr>
          <w:rStyle w:val="libFootnoteBoldChar"/>
          <w:rtl/>
        </w:rPr>
        <w:t>والوسائل</w:t>
      </w:r>
      <w:r w:rsidR="00992664" w:rsidRPr="00020424">
        <w:rPr>
          <w:rtl/>
        </w:rPr>
        <w:t xml:space="preserve"> : « يخلص</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فيعجز</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F54AA" w:rsidTr="00FF54AA">
        <w:tc>
          <w:tcPr>
            <w:tcW w:w="4006" w:type="dxa"/>
          </w:tcPr>
          <w:p w:rsidR="00FF54AA" w:rsidRDefault="00FF54AA" w:rsidP="00992664">
            <w:pPr>
              <w:pStyle w:val="libFootnote0"/>
              <w:rPr>
                <w:rtl/>
              </w:rPr>
            </w:pPr>
            <w:r>
              <w:rPr>
                <w:rtl/>
              </w:rPr>
              <w:t xml:space="preserve">(9). </w:t>
            </w:r>
            <w:r w:rsidRPr="00020424">
              <w:rPr>
                <w:rtl/>
              </w:rPr>
              <w:t xml:space="preserve">في أكثر النسخ </w:t>
            </w:r>
            <w:r w:rsidRPr="00EB1FD9">
              <w:rPr>
                <w:rStyle w:val="libFootnoteBoldChar"/>
                <w:rtl/>
              </w:rPr>
              <w:t>والوسائل</w:t>
            </w:r>
            <w:r w:rsidRPr="00020424">
              <w:rPr>
                <w:rtl/>
              </w:rPr>
              <w:t xml:space="preserve"> :</w:t>
            </w:r>
            <w:r>
              <w:rPr>
                <w:rtl/>
              </w:rPr>
              <w:t xml:space="preserve"> - </w:t>
            </w:r>
            <w:r w:rsidRPr="00020424">
              <w:rPr>
                <w:rtl/>
              </w:rPr>
              <w:t>« لعلّة أصابته</w:t>
            </w:r>
            <w:r>
              <w:rPr>
                <w:rtl/>
              </w:rPr>
              <w:t xml:space="preserve"> ».</w:t>
            </w:r>
          </w:p>
        </w:tc>
        <w:tc>
          <w:tcPr>
            <w:tcW w:w="4006" w:type="dxa"/>
          </w:tcPr>
          <w:p w:rsidR="00FF54AA" w:rsidRDefault="00FF54AA" w:rsidP="00992664">
            <w:pPr>
              <w:pStyle w:val="libFootnote0"/>
              <w:rPr>
                <w:rtl/>
              </w:rPr>
            </w:pPr>
            <w:r>
              <w:rPr>
                <w:rtl/>
              </w:rPr>
              <w:t xml:space="preserve">(10). </w:t>
            </w:r>
            <w:r w:rsidRPr="00020424">
              <w:rPr>
                <w:rtl/>
              </w:rPr>
              <w:t xml:space="preserve">في « بر ، بس ، بف » </w:t>
            </w:r>
            <w:r w:rsidRPr="00515444">
              <w:rPr>
                <w:rStyle w:val="libFootnoteBoldChar"/>
                <w:rtl/>
              </w:rPr>
              <w:t>والوافي</w:t>
            </w:r>
            <w:r w:rsidRPr="00020424">
              <w:rPr>
                <w:rtl/>
              </w:rPr>
              <w:t xml:space="preserve"> : « الرجل</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بر ، بف » : « على الرجل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بخ ، بر ، بف » وحاشية « بث » </w:t>
      </w:r>
      <w:r w:rsidR="00992664" w:rsidRPr="00515444">
        <w:rPr>
          <w:rStyle w:val="libFootnoteBoldChar"/>
          <w:rtl/>
        </w:rPr>
        <w:t>والوافي</w:t>
      </w:r>
      <w:r w:rsidR="00992664" w:rsidRPr="00020424">
        <w:rPr>
          <w:rtl/>
        </w:rPr>
        <w:t xml:space="preserve"> : « تصدّق</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الوافي</w:t>
      </w:r>
      <w:r w:rsidR="00992664" w:rsidRPr="00020424">
        <w:rPr>
          <w:rtl/>
        </w:rPr>
        <w:t xml:space="preserve"> ، ج 11 ، ص 519 ، ح 11233 ؛ </w:t>
      </w:r>
      <w:r w:rsidR="00992664" w:rsidRPr="0012008A">
        <w:rPr>
          <w:rStyle w:val="libFootnoteBoldChar"/>
          <w:rtl/>
        </w:rPr>
        <w:t>الوسائل</w:t>
      </w:r>
      <w:r w:rsidR="00992664" w:rsidRPr="00020424">
        <w:rPr>
          <w:rtl/>
        </w:rPr>
        <w:t xml:space="preserve"> ، ج 10 ، ص 389 ، ح 13662.</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يأتي في </w:t>
      </w:r>
      <w:r w:rsidR="00992664" w:rsidRPr="00DE76B9">
        <w:rPr>
          <w:rStyle w:val="libFootnoteBoldChar"/>
          <w:rtl/>
        </w:rPr>
        <w:t>الكافي</w:t>
      </w:r>
      <w:r w:rsidR="00992664" w:rsidRPr="00020424">
        <w:rPr>
          <w:rtl/>
        </w:rPr>
        <w:t xml:space="preserve"> ، ح 7262 ، رواية عليّ بن أحمد بن أشيم ، عن موسى بن عمر ، عن محمّد بن منصور. والمراد من أحمد بن محمّد الراوي عن عليّ بن أحمد ، هو أحمد بن محمّد بن عيسى المعبّر عنه في سندنا </w:t>
      </w:r>
      <w:r w:rsidR="00922D8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D20B2E">
      <w:pPr>
        <w:pStyle w:val="libNormal0"/>
        <w:rPr>
          <w:rtl/>
          <w:lang w:bidi="fa-IR"/>
        </w:rPr>
      </w:pPr>
      <w:r w:rsidRPr="00020424">
        <w:rPr>
          <w:rtl/>
          <w:lang w:bidi="fa-IR"/>
        </w:rPr>
        <w:t xml:space="preserve">عُمَرَ </w:t>
      </w:r>
      <w:r w:rsidRPr="00A91B96">
        <w:rPr>
          <w:rStyle w:val="libFootnotenumChar"/>
          <w:rtl/>
        </w:rPr>
        <w:t>(1)</w:t>
      </w:r>
      <w:r w:rsidRPr="00020424">
        <w:rPr>
          <w:rtl/>
          <w:lang w:bidi="fa-IR"/>
        </w:rPr>
        <w:t xml:space="preserve"> ، عَنْ مُحَمَّدِ بْنِ مَنْصُورٍ ، قَالَ :</w:t>
      </w:r>
    </w:p>
    <w:p w:rsidR="00992664" w:rsidRPr="00020424" w:rsidRDefault="00992664" w:rsidP="00992664">
      <w:pPr>
        <w:pStyle w:val="libNormal"/>
        <w:rPr>
          <w:rtl/>
          <w:lang w:bidi="fa-IR"/>
        </w:rPr>
      </w:pPr>
      <w:r w:rsidRPr="00020424">
        <w:rPr>
          <w:rtl/>
          <w:lang w:bidi="fa-IR"/>
        </w:rPr>
        <w:t xml:space="preserve">سَأَلْتُ الرِّضَا </w:t>
      </w:r>
      <w:r w:rsidRPr="00005A81">
        <w:rPr>
          <w:rStyle w:val="libAlaemChar"/>
          <w:rtl/>
        </w:rPr>
        <w:t>عليه‌السلام</w:t>
      </w:r>
      <w:r w:rsidRPr="00020424">
        <w:rPr>
          <w:rtl/>
          <w:lang w:bidi="fa-IR"/>
        </w:rPr>
        <w:t xml:space="preserve"> عَنْ رَجُلٍ نَذَرَ نَذْراً </w:t>
      </w:r>
      <w:r w:rsidRPr="00A91B96">
        <w:rPr>
          <w:rStyle w:val="libFootnotenumChar"/>
          <w:rtl/>
        </w:rPr>
        <w:t>(2)</w:t>
      </w:r>
      <w:r w:rsidRPr="00020424">
        <w:rPr>
          <w:rtl/>
          <w:lang w:bidi="fa-IR"/>
        </w:rPr>
        <w:t xml:space="preserve"> فِي صِيَامٍ </w:t>
      </w:r>
      <w:r w:rsidRPr="00A91B96">
        <w:rPr>
          <w:rStyle w:val="libFootnotenumChar"/>
          <w:rtl/>
        </w:rPr>
        <w:t>(3)</w:t>
      </w:r>
      <w:r w:rsidRPr="00020424">
        <w:rPr>
          <w:rtl/>
          <w:lang w:bidi="fa-IR"/>
        </w:rPr>
        <w:t xml:space="preserve"> ، فَعَجَزَ</w:t>
      </w:r>
      <w:r>
        <w:rPr>
          <w:rtl/>
          <w:lang w:bidi="fa-IR"/>
        </w:rPr>
        <w:t>؟</w:t>
      </w:r>
    </w:p>
    <w:p w:rsidR="00992664" w:rsidRPr="00020424" w:rsidRDefault="00992664" w:rsidP="00992664">
      <w:pPr>
        <w:pStyle w:val="libNormal"/>
        <w:rPr>
          <w:rtl/>
          <w:lang w:bidi="fa-IR"/>
        </w:rPr>
      </w:pPr>
      <w:r w:rsidRPr="00020424">
        <w:rPr>
          <w:rtl/>
          <w:lang w:bidi="fa-IR"/>
        </w:rPr>
        <w:t>فَقَالَ : « كَانَ أَبِي يَقُولُ : عَلَيْهِ مَكَانَ كُلِّ يَوْمٍ مُدٌّ</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800E0D">
        <w:rPr>
          <w:rtl/>
        </w:rPr>
        <w:t>6570</w:t>
      </w:r>
      <w:r w:rsidRPr="001155DE">
        <w:rPr>
          <w:rStyle w:val="libBold2Char"/>
          <w:rtl/>
        </w:rPr>
        <w:t xml:space="preserve"> / 3.</w:t>
      </w:r>
      <w:r w:rsidRPr="00020424">
        <w:rPr>
          <w:rtl/>
          <w:lang w:bidi="fa-IR"/>
        </w:rPr>
        <w:t xml:space="preserve"> عِدَّةٌ مِنْ أَصْحَابِنَا ، عَنْ سَهْلِ بْنِ زِيَادٍ ، عَنْ أَحْمَدَ بْنِ مُحَمَّدِ بْنِ أَبِي نَصْرٍ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فِي رَجُلٍ نَذَرَ عَلى نَفْسِهِ : إِنْ هُوَ سَلِمَ مِنْ مَرَضٍ ، أَوْ تَخَلَّصَ </w:t>
      </w:r>
      <w:r w:rsidRPr="00A91B96">
        <w:rPr>
          <w:rStyle w:val="libFootnotenumChar"/>
          <w:rtl/>
        </w:rPr>
        <w:t>(5)</w:t>
      </w:r>
      <w:r w:rsidRPr="00020424">
        <w:rPr>
          <w:rtl/>
          <w:lang w:bidi="fa-IR"/>
        </w:rPr>
        <w:t xml:space="preserve"> مِنْ حَبْسٍ ، أَنْ يَصُومَ كُلَّ يَوْمِ أَرْبِعَاءَ ، وَهُوَ الْيَوْمُ الَّذِي تَخَلَّصَ </w:t>
      </w:r>
      <w:r w:rsidRPr="00A91B96">
        <w:rPr>
          <w:rStyle w:val="libFootnotenumChar"/>
          <w:rtl/>
        </w:rPr>
        <w:t>(6)</w:t>
      </w:r>
      <w:r w:rsidRPr="00020424">
        <w:rPr>
          <w:rtl/>
          <w:lang w:bidi="fa-IR"/>
        </w:rPr>
        <w:t xml:space="preserve"> فِيهِ ، فَعَجَزَ عَنِ الصَّوْمِ لِعِلَّةٍ أَصَابَتْهُ ، أَوْ غَيْرِ ذلِكَ ، فَمُدَّ لِلرَّجُلِ فِي عُمُرِهِ ، وَاجْتَمَعَ عَلَيْهِ صَوْمٌ كَثِيرٌ ، مَا كَفَّارَةُ ذلِكَ</w:t>
      </w:r>
      <w:r>
        <w:rPr>
          <w:rtl/>
          <w:lang w:bidi="fa-IR"/>
        </w:rPr>
        <w:t>؟</w:t>
      </w:r>
    </w:p>
    <w:p w:rsidR="00992664" w:rsidRPr="00020424" w:rsidRDefault="00992664" w:rsidP="00992664">
      <w:pPr>
        <w:pStyle w:val="libNormal"/>
        <w:rPr>
          <w:rtl/>
          <w:lang w:bidi="fa-IR"/>
        </w:rPr>
      </w:pPr>
      <w:r w:rsidRPr="00020424">
        <w:rPr>
          <w:rtl/>
          <w:lang w:bidi="fa-IR"/>
        </w:rPr>
        <w:t xml:space="preserve">قَالَ : « تَصَدَّقَ </w:t>
      </w:r>
      <w:r w:rsidRPr="00A91B96">
        <w:rPr>
          <w:rStyle w:val="libFootnotenumChar"/>
          <w:rtl/>
        </w:rPr>
        <w:t>(7)</w:t>
      </w:r>
      <w:r w:rsidRPr="00020424">
        <w:rPr>
          <w:rtl/>
          <w:lang w:bidi="fa-IR"/>
        </w:rPr>
        <w:t xml:space="preserve"> لِكُلِّ يَوْمٍ بِمُدٍّ مِنْ حِنْطَةٍ ، أَوْ ثَمَنِ مُدٍّ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800E0D">
        <w:rPr>
          <w:rtl/>
        </w:rPr>
        <w:t>6571</w:t>
      </w:r>
      <w:r w:rsidRPr="001155DE">
        <w:rPr>
          <w:rStyle w:val="libBold2Char"/>
          <w:rtl/>
        </w:rPr>
        <w:t xml:space="preserve"> / 4.</w:t>
      </w:r>
      <w:r w:rsidRPr="00020424">
        <w:rPr>
          <w:rtl/>
          <w:lang w:bidi="fa-IR"/>
        </w:rPr>
        <w:t xml:space="preserve"> أَبُو عَلِيٍّ الْأَشْعَرِيُّ ، عَنْ مُحَمَّدِ بْنِ عَبْدِ الْجَبَّارِ ، عَنْ صَفْوَانَ بْنِ يَحْيى ، عَنْ عِيصِ بْنِ الْقَاسِمِ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D210A9" w:rsidP="00992664">
      <w:pPr>
        <w:pStyle w:val="libFootnote0"/>
        <w:rPr>
          <w:rtl/>
          <w:lang w:bidi="fa-IR"/>
        </w:rPr>
      </w:pPr>
      <w:r>
        <w:rPr>
          <w:rFonts w:hint="cs"/>
          <w:rtl/>
        </w:rPr>
        <w:t xml:space="preserve">= </w:t>
      </w:r>
      <w:r w:rsidR="00992664" w:rsidRPr="00020424">
        <w:rPr>
          <w:rtl/>
        </w:rPr>
        <w:t>هذا والسند المتقدّم عليه</w:t>
      </w:r>
      <w:r w:rsidR="00992664">
        <w:rPr>
          <w:rtl/>
        </w:rPr>
        <w:t xml:space="preserve"> ب</w:t>
      </w:r>
      <w:r w:rsidR="00C73322">
        <w:rPr>
          <w:rFonts w:hint="cs"/>
          <w:rtl/>
        </w:rPr>
        <w:t>ـ</w:t>
      </w:r>
      <w:r w:rsidR="00992664">
        <w:rPr>
          <w:rtl/>
        </w:rPr>
        <w:t xml:space="preserve"> </w:t>
      </w:r>
      <w:r w:rsidR="00992664" w:rsidRPr="00020424">
        <w:rPr>
          <w:rtl/>
        </w:rPr>
        <w:t>« أحمد بن محمّد</w:t>
      </w:r>
      <w:r w:rsidR="00992664">
        <w:rPr>
          <w:rtl/>
        </w:rPr>
        <w:t xml:space="preserve"> ».</w:t>
      </w:r>
      <w:r w:rsidR="00992664" w:rsidRPr="00020424">
        <w:rPr>
          <w:rtl/>
        </w:rPr>
        <w:t xml:space="preserve"> راجع : </w:t>
      </w:r>
      <w:r w:rsidR="00992664" w:rsidRPr="00DE76B9">
        <w:rPr>
          <w:rStyle w:val="libFootnoteBoldChar"/>
          <w:rtl/>
        </w:rPr>
        <w:t>معجم رجال الحديث</w:t>
      </w:r>
      <w:r w:rsidR="00992664" w:rsidRPr="00020424">
        <w:rPr>
          <w:rtl/>
        </w:rPr>
        <w:t xml:space="preserve"> ، ج 11 ، ص 500</w:t>
      </w:r>
      <w:r w:rsidR="00992664">
        <w:rPr>
          <w:rtl/>
        </w:rPr>
        <w:t xml:space="preserve"> </w:t>
      </w:r>
      <w:r w:rsidR="009B673F">
        <w:rPr>
          <w:rtl/>
        </w:rPr>
        <w:t>-</w:t>
      </w:r>
      <w:r w:rsidR="00992664">
        <w:rPr>
          <w:rtl/>
        </w:rPr>
        <w:t xml:space="preserve"> </w:t>
      </w:r>
      <w:r w:rsidR="00992664" w:rsidRPr="00020424">
        <w:rPr>
          <w:rtl/>
        </w:rPr>
        <w:t>503.</w:t>
      </w:r>
    </w:p>
    <w:p w:rsidR="00992664" w:rsidRDefault="00992664" w:rsidP="002A1769">
      <w:pPr>
        <w:pStyle w:val="libFootnote0"/>
        <w:rPr>
          <w:rtl/>
        </w:rPr>
      </w:pPr>
      <w:r w:rsidRPr="002A1769">
        <w:rPr>
          <w:rtl/>
        </w:rPr>
        <w:t xml:space="preserve">فعليه ، يكون السند معلّقاً على سابقه. ويروي عن أحمد بن محمّد ، عدّة من أصحابنا. وكأنّ الشيخ الطوسي </w:t>
      </w:r>
      <w:r w:rsidR="00D64ADA" w:rsidRPr="00D64ADA">
        <w:rPr>
          <w:rStyle w:val="libFootnoteAlaemChar"/>
          <w:rtl/>
        </w:rPr>
        <w:t>قدس‌سره</w:t>
      </w:r>
      <w:r w:rsidRPr="002A1769">
        <w:rPr>
          <w:rtl/>
        </w:rPr>
        <w:t xml:space="preserve"> لم يلتفت إلى وقوع التعليق في السند ، وأتى بالخبر في </w:t>
      </w:r>
      <w:r w:rsidRPr="0012008A">
        <w:rPr>
          <w:rStyle w:val="libFootnoteBoldChar"/>
          <w:rtl/>
        </w:rPr>
        <w:t>التهذيب</w:t>
      </w:r>
      <w:r w:rsidRPr="002A1769">
        <w:rPr>
          <w:rtl/>
        </w:rPr>
        <w:t xml:space="preserve"> ، ج 4 ، ص 313 ، ح 946 هكذا : « محمّد بن يعقوب ، عن أحمد بن محمّد ، عن عليّ بن أحمد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ظ ، ى ، بث ، بح ، بس ، بف ، جن ، جر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وفي « بخ ، بر » والمطبوع : « موسى بن بكر</w:t>
      </w:r>
      <w:r w:rsidR="00992664">
        <w:rPr>
          <w:rtl/>
        </w:rPr>
        <w:t xml:space="preserve"> ».</w:t>
      </w:r>
    </w:p>
    <w:p w:rsidR="00992664" w:rsidRPr="00020424" w:rsidRDefault="00992664" w:rsidP="002A1769">
      <w:pPr>
        <w:pStyle w:val="libFootnote0"/>
        <w:rPr>
          <w:rtl/>
          <w:lang w:bidi="fa-IR"/>
        </w:rPr>
      </w:pPr>
      <w:r w:rsidRPr="00D82B22">
        <w:rPr>
          <w:rtl/>
        </w:rPr>
        <w:t>وما أثبتناه هو الظاهر ، كما يعلم ممّا تقدّم آنفاً.</w:t>
      </w:r>
      <w:r w:rsidR="002A1769">
        <w:rPr>
          <w:rFonts w:hint="cs"/>
          <w:rtl/>
        </w:rPr>
        <w:t xml:space="preserve">      </w:t>
      </w:r>
      <w:r w:rsidR="00D20B2E">
        <w:rPr>
          <w:rFonts w:hint="cs"/>
          <w:rtl/>
        </w:rPr>
        <w:t xml:space="preserve">     </w:t>
      </w:r>
      <w:r w:rsidR="002A1769">
        <w:rPr>
          <w:rFonts w:hint="cs"/>
          <w:rtl/>
        </w:rPr>
        <w:t xml:space="preserve"> </w:t>
      </w:r>
      <w:r w:rsidR="00795177">
        <w:rPr>
          <w:rtl/>
        </w:rPr>
        <w:t>(2).</w:t>
      </w:r>
      <w:r w:rsidR="0014403D">
        <w:rPr>
          <w:rtl/>
        </w:rPr>
        <w:t xml:space="preserve"> </w:t>
      </w:r>
      <w:r w:rsidRPr="00020424">
        <w:rPr>
          <w:rtl/>
        </w:rPr>
        <w:t>في « بث » :</w:t>
      </w:r>
      <w:r>
        <w:rPr>
          <w:rtl/>
        </w:rPr>
        <w:t xml:space="preserve"> </w:t>
      </w:r>
      <w:r w:rsidR="009B673F">
        <w:rPr>
          <w:rtl/>
        </w:rPr>
        <w:t>-</w:t>
      </w:r>
      <w:r>
        <w:rPr>
          <w:rtl/>
        </w:rPr>
        <w:t xml:space="preserve"> </w:t>
      </w:r>
      <w:r w:rsidRPr="00020424">
        <w:rPr>
          <w:rtl/>
        </w:rPr>
        <w:t>« نذراً</w:t>
      </w:r>
      <w:r>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 « الصيام</w:t>
      </w:r>
      <w:r w:rsidR="00992664">
        <w:rPr>
          <w:rtl/>
        </w:rPr>
        <w:t xml:space="preserve"> ».</w:t>
      </w:r>
    </w:p>
    <w:p w:rsidR="00992664" w:rsidRPr="00020424" w:rsidRDefault="00795177" w:rsidP="002A1769">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313 ، ح 496 ، معلّقاً عن الكليني </w:t>
      </w:r>
      <w:r w:rsidR="002A1769">
        <w:rPr>
          <w:rFonts w:hint="cs"/>
          <w:rtl/>
        </w:rPr>
        <w:t>.</w:t>
      </w:r>
      <w:r w:rsidR="00992664" w:rsidRPr="0012008A">
        <w:rPr>
          <w:rStyle w:val="libFootnoteBoldChar"/>
          <w:rtl/>
        </w:rPr>
        <w:t>الوافي</w:t>
      </w:r>
      <w:r w:rsidR="00992664" w:rsidRPr="00020424">
        <w:rPr>
          <w:rtl/>
        </w:rPr>
        <w:t xml:space="preserve"> ، ج 11 ، ص 520 ، ح 11235 ؛ </w:t>
      </w:r>
      <w:r w:rsidR="00992664" w:rsidRPr="0012008A">
        <w:rPr>
          <w:rStyle w:val="libFootnoteBoldChar"/>
          <w:rtl/>
        </w:rPr>
        <w:t>الوسائل</w:t>
      </w:r>
      <w:r w:rsidR="00992664" w:rsidRPr="00020424">
        <w:rPr>
          <w:rtl/>
        </w:rPr>
        <w:t xml:space="preserve"> ، ج 10 ، ص 390 ، ح 13663.</w:t>
      </w:r>
      <w:r w:rsidR="00D20B2E">
        <w:rPr>
          <w:rFonts w:hint="cs"/>
          <w:rtl/>
        </w:rPr>
        <w:t xml:space="preserve">            </w:t>
      </w:r>
      <w:r w:rsidR="002A1769">
        <w:rPr>
          <w:rFonts w:hint="cs"/>
          <w:rtl/>
        </w:rPr>
        <w:t xml:space="preserve"> </w:t>
      </w:r>
      <w:r>
        <w:rPr>
          <w:rtl/>
        </w:rPr>
        <w:t>(5).</w:t>
      </w:r>
      <w:r w:rsidR="0014403D">
        <w:rPr>
          <w:rtl/>
        </w:rPr>
        <w:t xml:space="preserve"> </w:t>
      </w:r>
      <w:r w:rsidR="00992664" w:rsidRPr="00020424">
        <w:rPr>
          <w:rtl/>
        </w:rPr>
        <w:t>في « بر » : « يخلص</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A1769" w:rsidTr="002A1769">
        <w:tc>
          <w:tcPr>
            <w:tcW w:w="4006" w:type="dxa"/>
          </w:tcPr>
          <w:p w:rsidR="002A1769" w:rsidRDefault="002A1769" w:rsidP="00992664">
            <w:pPr>
              <w:pStyle w:val="libFootnote0"/>
              <w:rPr>
                <w:rtl/>
              </w:rPr>
            </w:pPr>
            <w:r>
              <w:rPr>
                <w:rtl/>
              </w:rPr>
              <w:t xml:space="preserve">(6). </w:t>
            </w:r>
            <w:r w:rsidRPr="00020424">
              <w:rPr>
                <w:rtl/>
              </w:rPr>
              <w:t>في « بح ، بر » : « يخلص</w:t>
            </w:r>
            <w:r>
              <w:rPr>
                <w:rtl/>
              </w:rPr>
              <w:t xml:space="preserve"> ».</w:t>
            </w:r>
          </w:p>
        </w:tc>
        <w:tc>
          <w:tcPr>
            <w:tcW w:w="4006" w:type="dxa"/>
          </w:tcPr>
          <w:p w:rsidR="002A1769" w:rsidRDefault="002A1769" w:rsidP="00992664">
            <w:pPr>
              <w:pStyle w:val="libFootnote0"/>
              <w:rPr>
                <w:rtl/>
              </w:rPr>
            </w:pPr>
            <w:r>
              <w:rPr>
                <w:rtl/>
              </w:rPr>
              <w:t xml:space="preserve">(7). </w:t>
            </w:r>
            <w:r w:rsidRPr="00020424">
              <w:rPr>
                <w:rtl/>
              </w:rPr>
              <w:t>في « ظ ، جن » : « يصدّق</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حاشية « بث » : « أو مدّ من تمر</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أو بمدّ تمر » كلاهما بدل « أو ثمن مدّ</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154 ، ح 2011 ، معلّقاً عن أحمد بن محمّد بن أبي نصر البزنطي </w:t>
      </w:r>
      <w:r w:rsidR="008611D2">
        <w:rPr>
          <w:rFonts w:hint="cs"/>
          <w:rtl/>
        </w:rPr>
        <w:t>.</w:t>
      </w:r>
      <w:r w:rsidR="00992664" w:rsidRPr="0012008A">
        <w:rPr>
          <w:rStyle w:val="libFootnoteBoldChar"/>
          <w:rtl/>
        </w:rPr>
        <w:t>الوافي</w:t>
      </w:r>
      <w:r w:rsidR="00992664" w:rsidRPr="00020424">
        <w:rPr>
          <w:rtl/>
        </w:rPr>
        <w:t xml:space="preserve"> ، ج 11 ، ص 519 ، ح 11234 ؛ </w:t>
      </w:r>
      <w:r w:rsidR="00992664" w:rsidRPr="0012008A">
        <w:rPr>
          <w:rStyle w:val="libFootnoteBoldChar"/>
          <w:rtl/>
        </w:rPr>
        <w:t>الوسائل</w:t>
      </w:r>
      <w:r w:rsidR="00992664" w:rsidRPr="00020424">
        <w:rPr>
          <w:rtl/>
        </w:rPr>
        <w:t xml:space="preserve"> ، ج 10 ، ص 390 ، ح 13664.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سَأَلْتُهُ عَمَّنْ لَمْ يَصُمِ الثَّلَاثَةَ الْأَيَّامِ مِنْ كُلِّ شَهْرٍ </w:t>
      </w:r>
      <w:r w:rsidRPr="00A91B96">
        <w:rPr>
          <w:rStyle w:val="libFootnotenumChar"/>
          <w:rtl/>
        </w:rPr>
        <w:t>(1)</w:t>
      </w:r>
      <w:r w:rsidRPr="00020424">
        <w:rPr>
          <w:rtl/>
          <w:lang w:bidi="fa-IR"/>
        </w:rPr>
        <w:t xml:space="preserve"> ، وَهُوَ يَشُدُّ </w:t>
      </w:r>
      <w:r w:rsidRPr="00A91B96">
        <w:rPr>
          <w:rStyle w:val="libFootnotenumChar"/>
          <w:rtl/>
        </w:rPr>
        <w:t>(2)</w:t>
      </w:r>
      <w:r w:rsidRPr="00020424">
        <w:rPr>
          <w:rtl/>
          <w:lang w:bidi="fa-IR"/>
        </w:rPr>
        <w:t xml:space="preserve"> عَلَيْهِ الصِّيَامُ ، هَلْ فِيهِ فِدَاءٌ</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مُدٌّ مِنْ طَعَامٍ فِي كُلِّ </w:t>
      </w:r>
      <w:r w:rsidRPr="00A91B96">
        <w:rPr>
          <w:rStyle w:val="libFootnotenumChar"/>
          <w:rtl/>
        </w:rPr>
        <w:t>(4)</w:t>
      </w:r>
      <w:r w:rsidRPr="00020424">
        <w:rPr>
          <w:rtl/>
          <w:lang w:bidi="fa-IR"/>
        </w:rPr>
        <w:t xml:space="preserve"> يَوْمٍ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62025F">
        <w:rPr>
          <w:rtl/>
        </w:rPr>
        <w:t>6572</w:t>
      </w:r>
      <w:r w:rsidRPr="001155DE">
        <w:rPr>
          <w:rStyle w:val="libBold2Char"/>
          <w:rtl/>
        </w:rPr>
        <w:t xml:space="preserve"> / 5.</w:t>
      </w:r>
      <w:r w:rsidRPr="00020424">
        <w:rPr>
          <w:rtl/>
          <w:lang w:bidi="fa-IR"/>
        </w:rPr>
        <w:t xml:space="preserve"> الْحُسَيْنُ بْنُ مُحَمَّدٍ ، عَنْ مُعَلَّى بْنِ مُحَمَّدٍ ، عَنِ الْحَسَنِ بْنِ عَلِيٍّ </w:t>
      </w:r>
      <w:r w:rsidRPr="00A91B96">
        <w:rPr>
          <w:rStyle w:val="libFootnotenumChar"/>
          <w:rtl/>
        </w:rPr>
        <w:t>(6)</w:t>
      </w:r>
      <w:r w:rsidRPr="00020424">
        <w:rPr>
          <w:rtl/>
          <w:lang w:bidi="fa-IR"/>
        </w:rPr>
        <w:t xml:space="preserve"> الْوَشَّاءِ ، عَنْ حَمَّادِ بْنِ عُثْمَانَ ، عَنْ عُمَرَ بْنِ يَزِيدَ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إِنَّ الصَّوْمَ يَشْتَدُّ </w:t>
      </w:r>
      <w:r w:rsidRPr="00A91B96">
        <w:rPr>
          <w:rStyle w:val="libFootnotenumChar"/>
          <w:rtl/>
        </w:rPr>
        <w:t>(7)</w:t>
      </w:r>
      <w:r w:rsidRPr="00020424">
        <w:rPr>
          <w:rtl/>
          <w:lang w:bidi="fa-IR"/>
        </w:rPr>
        <w:t xml:space="preserve"> عَلَيَّ.</w:t>
      </w:r>
    </w:p>
    <w:p w:rsidR="00992664" w:rsidRPr="00020424" w:rsidRDefault="00992664" w:rsidP="00992664">
      <w:pPr>
        <w:pStyle w:val="libNormal"/>
        <w:rPr>
          <w:rtl/>
          <w:lang w:bidi="fa-IR"/>
        </w:rPr>
      </w:pPr>
      <w:r w:rsidRPr="00020424">
        <w:rPr>
          <w:rtl/>
          <w:lang w:bidi="fa-IR"/>
        </w:rPr>
        <w:t xml:space="preserve">فَقَالَ لِي : « لَدِرْهَمٌ تَصَدَّقُ بِهِ أَفْضَلُ مِنْ صِيَامِ يَوْمٍ » ثُمَّ قَالَ : « وَمَا أُحِبُّ أَنْ تَدَعَهُ </w:t>
      </w:r>
      <w:r w:rsidRPr="00A91B96">
        <w:rPr>
          <w:rStyle w:val="libFootnotenumChar"/>
          <w:rtl/>
        </w:rPr>
        <w:t>(8)</w:t>
      </w:r>
      <w:r>
        <w:rPr>
          <w:rtl/>
          <w:lang w:bidi="fa-IR"/>
        </w:rPr>
        <w:t>».</w:t>
      </w:r>
      <w:r w:rsidRPr="00A91B96">
        <w:rPr>
          <w:rStyle w:val="libFootnotenumChar"/>
          <w:rtl/>
        </w:rPr>
        <w:t>(9)</w:t>
      </w:r>
      <w:r w:rsidRPr="00020424">
        <w:rPr>
          <w:rtl/>
          <w:lang w:bidi="fa-IR"/>
        </w:rPr>
        <w:t>‌</w:t>
      </w:r>
    </w:p>
    <w:p w:rsidR="00992664" w:rsidRPr="00020424" w:rsidRDefault="00992664" w:rsidP="00992664">
      <w:pPr>
        <w:pStyle w:val="libNormal"/>
        <w:rPr>
          <w:rtl/>
          <w:lang w:bidi="fa-IR"/>
        </w:rPr>
      </w:pPr>
      <w:r w:rsidRPr="0062025F">
        <w:rPr>
          <w:rtl/>
        </w:rPr>
        <w:t>6573</w:t>
      </w:r>
      <w:r w:rsidRPr="001155DE">
        <w:rPr>
          <w:rStyle w:val="libBold2Char"/>
          <w:rtl/>
        </w:rPr>
        <w:t xml:space="preserve"> / 6.</w:t>
      </w:r>
      <w:r w:rsidRPr="00020424">
        <w:rPr>
          <w:rtl/>
          <w:lang w:bidi="fa-IR"/>
        </w:rPr>
        <w:t xml:space="preserve"> أَبُو عَلِيٍّ الْأَشْعَرِيُّ ، عَنْ مُحَمَّدِ بْنِ عَبْدِ الْجَبَّارِ ، عَنْ صَفْوَانَ بْنِ يَحْيى ، عَنْ يَزِيدَ بْنِ خَلِيفَةَ ، قَالَ :</w:t>
      </w:r>
    </w:p>
    <w:p w:rsidR="00992664" w:rsidRPr="00020424" w:rsidRDefault="00992664" w:rsidP="00992664">
      <w:pPr>
        <w:pStyle w:val="libNormal"/>
        <w:rPr>
          <w:rtl/>
          <w:lang w:bidi="fa-IR"/>
        </w:rPr>
      </w:pPr>
      <w:r w:rsidRPr="00020424">
        <w:rPr>
          <w:rtl/>
          <w:lang w:bidi="fa-IR"/>
        </w:rPr>
        <w:t xml:space="preserve">شَكَوْتُ إِلى أَبِي عَبْدِ اللهِ </w:t>
      </w:r>
      <w:r w:rsidRPr="00005A81">
        <w:rPr>
          <w:rStyle w:val="libAlaemChar"/>
          <w:rtl/>
        </w:rPr>
        <w:t>عليه‌السلام</w:t>
      </w:r>
      <w:r w:rsidRPr="00020424">
        <w:rPr>
          <w:rtl/>
          <w:lang w:bidi="fa-IR"/>
        </w:rPr>
        <w:t xml:space="preserve"> ، فَقُلْتُ : إِنِّي أُصَدَّعُ </w:t>
      </w:r>
      <w:r w:rsidRPr="00A91B96">
        <w:rPr>
          <w:rStyle w:val="libFootnotenumChar"/>
          <w:rtl/>
        </w:rPr>
        <w:t>(10)</w:t>
      </w:r>
      <w:r w:rsidRPr="00020424">
        <w:rPr>
          <w:rtl/>
          <w:lang w:bidi="fa-IR"/>
        </w:rPr>
        <w:t xml:space="preserve"> إِذَا صُمْتُ هذِهِ الثَّلَاثَةَ الْأَيَّامِ ، وَيَشُقُّ عَلَيَّ.</w:t>
      </w:r>
    </w:p>
    <w:p w:rsidR="00992664" w:rsidRPr="00020424" w:rsidRDefault="00992664" w:rsidP="00992664">
      <w:pPr>
        <w:pStyle w:val="libNormal"/>
        <w:rPr>
          <w:rtl/>
          <w:lang w:bidi="fa-IR"/>
        </w:rPr>
      </w:pPr>
      <w:r w:rsidRPr="00020424">
        <w:rPr>
          <w:rtl/>
          <w:lang w:bidi="fa-IR"/>
        </w:rPr>
        <w:t xml:space="preserve">قَالَ : « فَاصْنَعْ كَمَا أَصْنَعُ إِذَا سَافَرْتُ </w:t>
      </w:r>
      <w:r w:rsidRPr="00A91B96">
        <w:rPr>
          <w:rStyle w:val="libFootnotenumChar"/>
          <w:rtl/>
        </w:rPr>
        <w:t>(11)</w:t>
      </w:r>
      <w:r w:rsidRPr="00020424">
        <w:rPr>
          <w:rtl/>
          <w:lang w:bidi="fa-IR"/>
        </w:rPr>
        <w:t xml:space="preserve"> ؛ فَإِنِّي إِذَا سَافَرْتُ تَصَدَّقْتُ </w:t>
      </w:r>
      <w:r w:rsidRPr="00A91B96">
        <w:rPr>
          <w:rStyle w:val="libFootnotenumChar"/>
          <w:rtl/>
        </w:rPr>
        <w:t>(12)</w:t>
      </w:r>
      <w:r w:rsidRPr="00020424">
        <w:rPr>
          <w:rtl/>
          <w:lang w:bidi="fa-IR"/>
        </w:rPr>
        <w:t xml:space="preserve"> عَنْ كُلِّ يَوْمٍ بِمُدٍّ‌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من كلّ شهر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بث ، بخ ، بر ، بس ، جن » </w:t>
      </w:r>
      <w:r w:rsidR="00992664" w:rsidRPr="008611D2">
        <w:rPr>
          <w:rtl/>
        </w:rPr>
        <w:t>والوافي والفقيه والتهذيب</w:t>
      </w:r>
      <w:r w:rsidR="00992664" w:rsidRPr="00020424">
        <w:rPr>
          <w:rtl/>
        </w:rPr>
        <w:t xml:space="preserve"> : « يشتدّ</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611D2" w:rsidTr="008611D2">
        <w:tc>
          <w:tcPr>
            <w:tcW w:w="4006" w:type="dxa"/>
          </w:tcPr>
          <w:p w:rsidR="008611D2" w:rsidRDefault="008611D2" w:rsidP="00992664">
            <w:pPr>
              <w:pStyle w:val="libFootnote0"/>
              <w:rPr>
                <w:rtl/>
              </w:rPr>
            </w:pPr>
            <w:r>
              <w:rPr>
                <w:rtl/>
              </w:rPr>
              <w:t xml:space="preserve">(3). </w:t>
            </w:r>
            <w:r w:rsidRPr="00020424">
              <w:rPr>
                <w:rtl/>
              </w:rPr>
              <w:t xml:space="preserve">في « بح » </w:t>
            </w:r>
            <w:r w:rsidRPr="00FD6221">
              <w:rPr>
                <w:rStyle w:val="libFootnoteBoldChar"/>
                <w:rtl/>
              </w:rPr>
              <w:t>والفقيه</w:t>
            </w:r>
            <w:r w:rsidRPr="00020424">
              <w:rPr>
                <w:rtl/>
              </w:rPr>
              <w:t xml:space="preserve"> : « فقال</w:t>
            </w:r>
            <w:r>
              <w:rPr>
                <w:rtl/>
              </w:rPr>
              <w:t xml:space="preserve"> ».</w:t>
            </w:r>
          </w:p>
        </w:tc>
        <w:tc>
          <w:tcPr>
            <w:tcW w:w="4006" w:type="dxa"/>
          </w:tcPr>
          <w:p w:rsidR="008611D2" w:rsidRDefault="008611D2" w:rsidP="00992664">
            <w:pPr>
              <w:pStyle w:val="libFootnote0"/>
              <w:rPr>
                <w:rtl/>
              </w:rPr>
            </w:pPr>
            <w:r>
              <w:rPr>
                <w:rtl/>
              </w:rPr>
              <w:t xml:space="preserve">(4). </w:t>
            </w:r>
            <w:r w:rsidRPr="00020424">
              <w:rPr>
                <w:rtl/>
              </w:rPr>
              <w:t xml:space="preserve">في « بث ، بخ ، بر ، بف » </w:t>
            </w:r>
            <w:r w:rsidRPr="00515444">
              <w:rPr>
                <w:rStyle w:val="libFootnoteBoldChar"/>
                <w:rtl/>
              </w:rPr>
              <w:t>والوافي</w:t>
            </w:r>
            <w:r w:rsidRPr="00020424">
              <w:rPr>
                <w:rtl/>
              </w:rPr>
              <w:t xml:space="preserve"> : « لكلّ</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313 ، ح 947 ، معلّقاً عن الكليني. </w:t>
      </w:r>
      <w:r w:rsidR="00992664" w:rsidRPr="0012008A">
        <w:rPr>
          <w:rStyle w:val="libFootnoteBoldChar"/>
          <w:rtl/>
        </w:rPr>
        <w:t>الفقيه</w:t>
      </w:r>
      <w:r w:rsidR="00992664" w:rsidRPr="00020424">
        <w:rPr>
          <w:rtl/>
        </w:rPr>
        <w:t xml:space="preserve"> ، ج 2 ، ص 83 ، ح 1793 ، معلّقاً عن عيص بن القاسم ، عن أبي عبدالله </w:t>
      </w:r>
      <w:r w:rsidR="00992664" w:rsidRPr="00D64ADA">
        <w:rPr>
          <w:rStyle w:val="libFootnoteAlaemChar"/>
          <w:rtl/>
        </w:rPr>
        <w:t>عليه‌السلام</w:t>
      </w:r>
      <w:r w:rsidR="00992664" w:rsidRPr="00020424">
        <w:rPr>
          <w:rtl/>
        </w:rPr>
        <w:t xml:space="preserve"> </w:t>
      </w:r>
      <w:r w:rsidR="0026025F">
        <w:rPr>
          <w:rFonts w:hint="cs"/>
          <w:rtl/>
        </w:rPr>
        <w:t>.</w:t>
      </w:r>
      <w:r w:rsidR="00992664" w:rsidRPr="0012008A">
        <w:rPr>
          <w:rStyle w:val="libFootnoteBoldChar"/>
          <w:rtl/>
        </w:rPr>
        <w:t>الوافي</w:t>
      </w:r>
      <w:r w:rsidR="00992664" w:rsidRPr="00020424">
        <w:rPr>
          <w:rtl/>
        </w:rPr>
        <w:t xml:space="preserve"> ، ج 11 ، ص 354 ، ح 11023 ؛ </w:t>
      </w:r>
      <w:r w:rsidR="00992664" w:rsidRPr="0012008A">
        <w:rPr>
          <w:rStyle w:val="libFootnoteBoldChar"/>
          <w:rtl/>
        </w:rPr>
        <w:t>الوسائل</w:t>
      </w:r>
      <w:r w:rsidR="00992664" w:rsidRPr="00020424">
        <w:rPr>
          <w:rtl/>
        </w:rPr>
        <w:t xml:space="preserve"> ، ج 10 ، ص 433 ، ح 13779.</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الحسن بن عليّ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يشدّ</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لا تأتي بصيام ولا تصدّق</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11 ، ص 354 ، ح 11025 ؛ </w:t>
      </w:r>
      <w:r w:rsidR="00992664" w:rsidRPr="0012008A">
        <w:rPr>
          <w:rStyle w:val="libFootnoteBoldChar"/>
          <w:rtl/>
        </w:rPr>
        <w:t>الوسائل</w:t>
      </w:r>
      <w:r w:rsidR="00992664" w:rsidRPr="00020424">
        <w:rPr>
          <w:rtl/>
        </w:rPr>
        <w:t xml:space="preserve"> ، ج 10 ، ص 433 ، ح 13781.</w:t>
      </w:r>
    </w:p>
    <w:p w:rsidR="00992664" w:rsidRPr="00020424" w:rsidRDefault="00795177" w:rsidP="0026025F">
      <w:pPr>
        <w:pStyle w:val="libFootnote0"/>
        <w:rPr>
          <w:rtl/>
          <w:lang w:bidi="fa-IR"/>
        </w:rPr>
      </w:pPr>
      <w:r>
        <w:rPr>
          <w:rtl/>
        </w:rPr>
        <w:t>(10).</w:t>
      </w:r>
      <w:r w:rsidR="0014403D">
        <w:rPr>
          <w:rtl/>
        </w:rPr>
        <w:t xml:space="preserve"> </w:t>
      </w:r>
      <w:r w:rsidR="00992664" w:rsidRPr="00020424">
        <w:rPr>
          <w:rtl/>
        </w:rPr>
        <w:t>« ا</w:t>
      </w:r>
      <w:r w:rsidR="0026025F">
        <w:rPr>
          <w:rFonts w:hint="cs"/>
          <w:rtl/>
        </w:rPr>
        <w:t>ُ</w:t>
      </w:r>
      <w:r w:rsidR="00992664" w:rsidRPr="00020424">
        <w:rPr>
          <w:rtl/>
        </w:rPr>
        <w:t xml:space="preserve">صدّع » ، من الصُّداع ، وهو وجع الرأس ، يقال : صُدِّعَ الرجل تصديعاً. راجع : </w:t>
      </w:r>
      <w:r w:rsidR="00992664" w:rsidRPr="0012008A">
        <w:rPr>
          <w:rStyle w:val="libFootnoteBoldChar"/>
          <w:rtl/>
        </w:rPr>
        <w:t>الصحاح</w:t>
      </w:r>
      <w:r w:rsidR="00D10C5F">
        <w:rPr>
          <w:rtl/>
        </w:rPr>
        <w:t xml:space="preserve"> ، ج 3 ، ص 1242</w:t>
      </w:r>
      <w:r w:rsidR="00992664" w:rsidRPr="00020424">
        <w:rPr>
          <w:rtl/>
        </w:rPr>
        <w:t xml:space="preserve">؛ </w:t>
      </w:r>
      <w:r w:rsidR="00992664" w:rsidRPr="00A722B1">
        <w:rPr>
          <w:rStyle w:val="libFootnoteBoldChar"/>
          <w:rtl/>
        </w:rPr>
        <w:t>لسان العرب</w:t>
      </w:r>
      <w:r w:rsidR="00992664" w:rsidRPr="00020424">
        <w:rPr>
          <w:rtl/>
        </w:rPr>
        <w:t xml:space="preserve"> ، ج 8 ، ص 196 ( صدع )</w:t>
      </w:r>
      <w:r w:rsidR="00992664">
        <w:rPr>
          <w:rtl/>
        </w:rPr>
        <w:t>.</w:t>
      </w:r>
      <w:r w:rsidR="0026025F">
        <w:rPr>
          <w:rFonts w:hint="cs"/>
          <w:rtl/>
        </w:rPr>
        <w:t xml:space="preserve"> </w:t>
      </w:r>
      <w:r w:rsidR="00D10C5F">
        <w:rPr>
          <w:rFonts w:hint="cs"/>
          <w:rtl/>
        </w:rPr>
        <w:t xml:space="preserve"> </w:t>
      </w:r>
      <w:r w:rsidR="00F0622D">
        <w:rPr>
          <w:rFonts w:hint="cs"/>
          <w:rtl/>
        </w:rPr>
        <w:t xml:space="preserve">  </w:t>
      </w:r>
      <w:r w:rsidR="00D10C5F">
        <w:rPr>
          <w:rFonts w:hint="cs"/>
          <w:rtl/>
        </w:rPr>
        <w:t xml:space="preserve">  </w:t>
      </w:r>
      <w:r>
        <w:rPr>
          <w:rtl/>
        </w:rPr>
        <w:t>(11).</w:t>
      </w:r>
      <w:r w:rsidR="0014403D">
        <w:rPr>
          <w:rtl/>
        </w:rPr>
        <w:t xml:space="preserve"> </w:t>
      </w:r>
      <w:r w:rsidR="00D10C5F">
        <w:rPr>
          <w:rtl/>
        </w:rPr>
        <w:t>في«ظ،ى،بح،بس</w:t>
      </w:r>
      <w:r w:rsidR="00992664" w:rsidRPr="00020424">
        <w:rPr>
          <w:rtl/>
        </w:rPr>
        <w:t>»</w:t>
      </w:r>
      <w:r w:rsidR="00992664" w:rsidRPr="00EB1FD9">
        <w:rPr>
          <w:rStyle w:val="libFootnoteBoldChar"/>
          <w:rtl/>
        </w:rPr>
        <w:t>والوسائل</w:t>
      </w:r>
      <w:r w:rsidR="00992664" w:rsidRPr="00020424">
        <w:rPr>
          <w:rtl/>
        </w:rPr>
        <w:t>:</w:t>
      </w:r>
      <w:r w:rsidR="00992664">
        <w:rPr>
          <w:rtl/>
        </w:rPr>
        <w:t xml:space="preserve"> </w:t>
      </w:r>
      <w:r w:rsidR="009B673F">
        <w:rPr>
          <w:rtl/>
        </w:rPr>
        <w:t>-</w:t>
      </w:r>
      <w:r w:rsidR="00F0622D">
        <w:rPr>
          <w:rtl/>
        </w:rPr>
        <w:t>«</w:t>
      </w:r>
      <w:r w:rsidR="00992664" w:rsidRPr="00020424">
        <w:rPr>
          <w:rtl/>
        </w:rPr>
        <w:t>إذا سافرت</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بث ، بخ ، بر ، بس ، بف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 « صدقت</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561E7">
      <w:pPr>
        <w:pStyle w:val="libNormal0"/>
        <w:rPr>
          <w:rtl/>
          <w:lang w:bidi="fa-IR"/>
        </w:rPr>
      </w:pPr>
      <w:r w:rsidRPr="00020424">
        <w:rPr>
          <w:rtl/>
          <w:lang w:bidi="fa-IR"/>
        </w:rPr>
        <w:t>مِنْ قُوتِ أَهْلِي الَّذِي أَقُوتُهُمْ بِهِ</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62025F">
        <w:rPr>
          <w:rtl/>
        </w:rPr>
        <w:t>6574</w:t>
      </w:r>
      <w:r w:rsidRPr="001155DE">
        <w:rPr>
          <w:rStyle w:val="libBold2Char"/>
          <w:rtl/>
        </w:rPr>
        <w:t xml:space="preserve"> / 7.</w:t>
      </w:r>
      <w:r w:rsidRPr="00020424">
        <w:rPr>
          <w:rtl/>
          <w:lang w:bidi="fa-IR"/>
        </w:rPr>
        <w:t xml:space="preserve"> مُحَمَّدُ بْنُ يَحْيى ، عَنْ مُحَمَّدِ بْنِ الْحُسَيْنِ ، عَنْ مُحَمَّدِ بْنِ إِسْمَاعِيلَ بْنِ بَزِيعٍ ، عَنْ صَالِحِ بْنِ عُقْبَةَ ، عَنْ عُقْبَةَ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جُعِلْتُ فِدَاكَ ، إِنِّي قَدْ كَبِرْتُ وَضَعُفْتُ عَنِ الصِّيَامِ ، فَكَيْفَ أَصْنَعُ بِهذِهِ الثَّلَاثَةِ الْأَيَّامِ فِي كُلِّ شَهْرٍ</w:t>
      </w:r>
      <w:r>
        <w:rPr>
          <w:rtl/>
          <w:lang w:bidi="fa-IR"/>
        </w:rPr>
        <w:t>؟</w:t>
      </w:r>
    </w:p>
    <w:p w:rsidR="00992664" w:rsidRPr="00020424" w:rsidRDefault="00992664" w:rsidP="00992664">
      <w:pPr>
        <w:pStyle w:val="libNormal"/>
        <w:rPr>
          <w:rtl/>
          <w:lang w:bidi="fa-IR"/>
        </w:rPr>
      </w:pPr>
      <w:r w:rsidRPr="00020424">
        <w:rPr>
          <w:rtl/>
          <w:lang w:bidi="fa-IR"/>
        </w:rPr>
        <w:t>فَقَالَ : « يَا عُقْبَةُ ، تَصَدَّقْ بِدِرْهَمٍ عَنْ كُلِّ يَوْمٍ</w:t>
      </w:r>
      <w:r>
        <w:rPr>
          <w:rtl/>
          <w:lang w:bidi="fa-IR"/>
        </w:rPr>
        <w:t xml:space="preserve"> ».</w:t>
      </w:r>
    </w:p>
    <w:p w:rsidR="00992664" w:rsidRPr="00020424" w:rsidRDefault="00992664" w:rsidP="00992664">
      <w:pPr>
        <w:pStyle w:val="libNormal"/>
        <w:rPr>
          <w:rtl/>
          <w:lang w:bidi="fa-IR"/>
        </w:rPr>
      </w:pPr>
      <w:r w:rsidRPr="00020424">
        <w:rPr>
          <w:rtl/>
          <w:lang w:bidi="fa-IR"/>
        </w:rPr>
        <w:t>قَالَ : قُلْتُ : دِرْهَمٌ وَاحِدٌ</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 لَعَلَّهَا </w:t>
      </w:r>
      <w:r w:rsidRPr="00A91B96">
        <w:rPr>
          <w:rStyle w:val="libFootnotenumChar"/>
          <w:rtl/>
        </w:rPr>
        <w:t>(3)</w:t>
      </w:r>
      <w:r w:rsidRPr="00020424">
        <w:rPr>
          <w:rtl/>
          <w:lang w:bidi="fa-IR"/>
        </w:rPr>
        <w:t xml:space="preserve"> كَثُرَتْ </w:t>
      </w:r>
      <w:r w:rsidRPr="00A91B96">
        <w:rPr>
          <w:rStyle w:val="libFootnotenumChar"/>
          <w:rtl/>
        </w:rPr>
        <w:t>(4)</w:t>
      </w:r>
      <w:r w:rsidRPr="00020424">
        <w:rPr>
          <w:rtl/>
          <w:lang w:bidi="fa-IR"/>
        </w:rPr>
        <w:t xml:space="preserve"> عِنْدَكَ ، وَأَنْتَ </w:t>
      </w:r>
      <w:r w:rsidRPr="00A91B96">
        <w:rPr>
          <w:rStyle w:val="libFootnotenumChar"/>
          <w:rtl/>
        </w:rPr>
        <w:t>(5)</w:t>
      </w:r>
      <w:r w:rsidRPr="00020424">
        <w:rPr>
          <w:rtl/>
          <w:lang w:bidi="fa-IR"/>
        </w:rPr>
        <w:t xml:space="preserve"> تَسْتَقِلُّ الدِّرْهَمَ</w:t>
      </w:r>
      <w:r>
        <w:rPr>
          <w:rtl/>
          <w:lang w:bidi="fa-IR"/>
        </w:rPr>
        <w:t>؟ ».</w:t>
      </w:r>
    </w:p>
    <w:p w:rsidR="00992664" w:rsidRPr="00020424" w:rsidRDefault="00992664" w:rsidP="00992664">
      <w:pPr>
        <w:pStyle w:val="libNormal"/>
        <w:rPr>
          <w:rtl/>
          <w:lang w:bidi="fa-IR"/>
        </w:rPr>
      </w:pPr>
      <w:r w:rsidRPr="00020424">
        <w:rPr>
          <w:rtl/>
          <w:lang w:bidi="fa-IR"/>
        </w:rPr>
        <w:t xml:space="preserve">قَالَ : قُلْتُ </w:t>
      </w:r>
      <w:r w:rsidRPr="00A91B96">
        <w:rPr>
          <w:rStyle w:val="libFootnotenumChar"/>
          <w:rtl/>
        </w:rPr>
        <w:t>(6)</w:t>
      </w:r>
      <w:r w:rsidRPr="00020424">
        <w:rPr>
          <w:rtl/>
          <w:lang w:bidi="fa-IR"/>
        </w:rPr>
        <w:t xml:space="preserve"> : إِنَّ نِعَمَ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عَلَيَّ لَسَابِغَةٌ </w:t>
      </w:r>
      <w:r w:rsidRPr="00A91B96">
        <w:rPr>
          <w:rStyle w:val="libFootnotenumChar"/>
          <w:rtl/>
        </w:rPr>
        <w:t>(7)</w:t>
      </w:r>
    </w:p>
    <w:p w:rsidR="00992664" w:rsidRPr="00020424" w:rsidRDefault="00992664" w:rsidP="00992664">
      <w:pPr>
        <w:pStyle w:val="libNormal"/>
        <w:rPr>
          <w:rtl/>
          <w:lang w:bidi="fa-IR"/>
        </w:rPr>
      </w:pPr>
      <w:r w:rsidRPr="00020424">
        <w:rPr>
          <w:rtl/>
          <w:lang w:bidi="fa-IR"/>
        </w:rPr>
        <w:t>فَقَالَ : « يَا عُقْبَةُ ، لَإِطْعَامُ مُسْلِمٍ خَيْرٌ مِنْ صِيَامِ شَهْرٍ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Heading2Center"/>
        <w:rPr>
          <w:rtl/>
          <w:lang w:bidi="fa-IR"/>
        </w:rPr>
      </w:pPr>
      <w:bookmarkStart w:id="485" w:name="_Toc345172878"/>
      <w:bookmarkStart w:id="486" w:name="_Toc464562693"/>
      <w:bookmarkStart w:id="487" w:name="_Toc44599999"/>
      <w:r w:rsidRPr="00020424">
        <w:rPr>
          <w:rtl/>
          <w:lang w:bidi="fa-IR"/>
        </w:rPr>
        <w:t>60</w:t>
      </w:r>
      <w:r>
        <w:rPr>
          <w:rtl/>
          <w:lang w:bidi="fa-IR"/>
        </w:rPr>
        <w:t xml:space="preserve"> </w:t>
      </w:r>
      <w:r w:rsidR="009B673F">
        <w:rPr>
          <w:rtl/>
          <w:lang w:bidi="fa-IR"/>
        </w:rPr>
        <w:t>-</w:t>
      </w:r>
      <w:r>
        <w:rPr>
          <w:rtl/>
          <w:lang w:bidi="fa-IR"/>
        </w:rPr>
        <w:t xml:space="preserve"> </w:t>
      </w:r>
      <w:r w:rsidRPr="00020424">
        <w:rPr>
          <w:rtl/>
          <w:lang w:bidi="fa-IR"/>
        </w:rPr>
        <w:t xml:space="preserve">بَابُ تَأْخِيرِ صِيَامِ الثَّلَاثَةِ الْأَيَّامِ </w:t>
      </w:r>
      <w:r w:rsidRPr="00A91B96">
        <w:rPr>
          <w:rStyle w:val="libFootnotenumChar"/>
          <w:rtl/>
        </w:rPr>
        <w:t>(9)</w:t>
      </w:r>
      <w:r>
        <w:rPr>
          <w:rtl/>
        </w:rPr>
        <w:t xml:space="preserve"> </w:t>
      </w:r>
      <w:r w:rsidRPr="00020424">
        <w:rPr>
          <w:rtl/>
          <w:lang w:bidi="fa-IR"/>
        </w:rPr>
        <w:t>مِنَ الشَّهْرِ إِلَى الشِّتَاءِ‌</w:t>
      </w:r>
      <w:bookmarkEnd w:id="485"/>
      <w:bookmarkEnd w:id="486"/>
      <w:bookmarkEnd w:id="487"/>
    </w:p>
    <w:p w:rsidR="00992664" w:rsidRPr="00020424" w:rsidRDefault="00992664" w:rsidP="00992664">
      <w:pPr>
        <w:pStyle w:val="libNormal"/>
        <w:rPr>
          <w:rtl/>
          <w:lang w:bidi="fa-IR"/>
        </w:rPr>
      </w:pPr>
      <w:r w:rsidRPr="0062025F">
        <w:rPr>
          <w:rtl/>
        </w:rPr>
        <w:t>6575</w:t>
      </w:r>
      <w:r w:rsidRPr="001155DE">
        <w:rPr>
          <w:rStyle w:val="libBold2Char"/>
          <w:rtl/>
        </w:rPr>
        <w:t xml:space="preserve"> / 1.</w:t>
      </w:r>
      <w:r w:rsidRPr="00020424">
        <w:rPr>
          <w:rtl/>
          <w:lang w:bidi="fa-IR"/>
        </w:rPr>
        <w:t xml:space="preserve"> عَلِيُّ بْنُ إِبْرَاهِيمَ ، عَنْ أَبِيهِ ، عَنِ ابْنِ أَبِي عُمَيْرٍ ، عَنِ الْحَسَنِ بْنِ رَاشِدٍ ، قَالَ :</w:t>
      </w:r>
    </w:p>
    <w:p w:rsidR="00992664" w:rsidRPr="00020424" w:rsidRDefault="00992664" w:rsidP="00992664">
      <w:pPr>
        <w:pStyle w:val="libNormal"/>
        <w:rPr>
          <w:rtl/>
          <w:lang w:bidi="fa-IR"/>
        </w:rPr>
      </w:pPr>
      <w:r w:rsidRPr="00020424">
        <w:rPr>
          <w:rtl/>
          <w:lang w:bidi="fa-IR"/>
        </w:rPr>
        <w:t xml:space="preserve">قُلْتُ لِأَبِي عَبْدِ اللهِ أَوْ لِأَبِي الْحَسَنِ </w:t>
      </w:r>
      <w:r w:rsidRPr="00005A81">
        <w:rPr>
          <w:rStyle w:val="libAlaemChar"/>
          <w:rtl/>
        </w:rPr>
        <w:t>عليهما‌السلام</w:t>
      </w:r>
      <w:r w:rsidRPr="00020424">
        <w:rPr>
          <w:rtl/>
          <w:lang w:bidi="fa-IR"/>
        </w:rPr>
        <w:t xml:space="preserve"> : الرَّجُلُ يَتَعَمَّدُ الشَّهْرَ فِي الْأَيَّامِ الْقِصَارِ‌</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355 ، ح 11027 ؛ </w:t>
      </w:r>
      <w:r w:rsidR="00992664" w:rsidRPr="0012008A">
        <w:rPr>
          <w:rStyle w:val="libFootnoteBoldChar"/>
          <w:rtl/>
        </w:rPr>
        <w:t>الوسائل</w:t>
      </w:r>
      <w:r w:rsidR="00992664" w:rsidRPr="00020424">
        <w:rPr>
          <w:rtl/>
        </w:rPr>
        <w:t xml:space="preserve"> ، ج 10 ، ص 433 ، ح 13780.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w:t>
      </w:r>
      <w:r w:rsidR="00992664" w:rsidRPr="00515444">
        <w:rPr>
          <w:rStyle w:val="libFootnoteBoldChar"/>
          <w:rtl/>
        </w:rPr>
        <w:t>والتهذيب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العائد في لعلّها للدراهم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بخ ، بر ، بس ، جت » </w:t>
      </w:r>
      <w:r w:rsidR="00992664" w:rsidRPr="004E73F5">
        <w:rPr>
          <w:rtl/>
        </w:rPr>
        <w:t>والوافي والوسائل والتهذيب</w:t>
      </w:r>
      <w:r w:rsidR="00992664" w:rsidRPr="00020424">
        <w:rPr>
          <w:rtl/>
        </w:rPr>
        <w:t xml:space="preserve"> </w:t>
      </w:r>
      <w:r w:rsidR="004E73F5">
        <w:rPr>
          <w:rtl/>
        </w:rPr>
        <w:t>، واستصوبه العل</w:t>
      </w:r>
      <w:r w:rsidR="004E73F5">
        <w:rPr>
          <w:rFonts w:hint="cs"/>
          <w:rtl/>
        </w:rPr>
        <w:t>ّ</w:t>
      </w:r>
      <w:r w:rsidR="004E73F5">
        <w:rPr>
          <w:rtl/>
        </w:rPr>
        <w:t>ا</w:t>
      </w:r>
      <w:r w:rsidR="00992664" w:rsidRPr="00020424">
        <w:rPr>
          <w:rtl/>
        </w:rPr>
        <w:t xml:space="preserve">مة المجلسي في </w:t>
      </w:r>
      <w:r w:rsidR="00992664" w:rsidRPr="00DE76B9">
        <w:rPr>
          <w:rStyle w:val="libFootnoteBoldChar"/>
          <w:rtl/>
        </w:rPr>
        <w:t>مرآة العقول</w:t>
      </w:r>
      <w:r w:rsidR="00992664" w:rsidRPr="00020424">
        <w:rPr>
          <w:rtl/>
        </w:rPr>
        <w:t>. وفي سائر النسخ والمطبوع : « كبرت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84B35" w:rsidTr="00284B35">
        <w:tc>
          <w:tcPr>
            <w:tcW w:w="4006" w:type="dxa"/>
          </w:tcPr>
          <w:p w:rsidR="00284B35" w:rsidRDefault="00284B35" w:rsidP="00992664">
            <w:pPr>
              <w:pStyle w:val="libFootnote0"/>
              <w:rPr>
                <w:rtl/>
                <w:lang w:bidi="fa-IR"/>
              </w:rPr>
            </w:pPr>
            <w:r>
              <w:rPr>
                <w:rtl/>
              </w:rPr>
              <w:t xml:space="preserve">(5). </w:t>
            </w:r>
            <w:r w:rsidRPr="00020424">
              <w:rPr>
                <w:rtl/>
              </w:rPr>
              <w:t xml:space="preserve">في « بث ، بخ ، بف » </w:t>
            </w:r>
            <w:r w:rsidRPr="00515444">
              <w:rPr>
                <w:rStyle w:val="libFootnoteBoldChar"/>
                <w:rtl/>
              </w:rPr>
              <w:t>والوافي</w:t>
            </w:r>
            <w:r w:rsidRPr="00020424">
              <w:rPr>
                <w:rtl/>
              </w:rPr>
              <w:t xml:space="preserve"> : « فأنت</w:t>
            </w:r>
            <w:r>
              <w:rPr>
                <w:rtl/>
              </w:rPr>
              <w:t xml:space="preserve"> ».</w:t>
            </w:r>
          </w:p>
        </w:tc>
        <w:tc>
          <w:tcPr>
            <w:tcW w:w="4006" w:type="dxa"/>
          </w:tcPr>
          <w:p w:rsidR="00284B35" w:rsidRDefault="00284B35" w:rsidP="00992664">
            <w:pPr>
              <w:pStyle w:val="libFootnote0"/>
              <w:rPr>
                <w:rtl/>
                <w:lang w:bidi="fa-IR"/>
              </w:rPr>
            </w:pPr>
            <w:r>
              <w:rPr>
                <w:rtl/>
              </w:rPr>
              <w:t xml:space="preserve">(6). </w:t>
            </w:r>
            <w:r w:rsidRPr="00020424">
              <w:rPr>
                <w:rtl/>
              </w:rPr>
              <w:t xml:space="preserve">في </w:t>
            </w:r>
            <w:r w:rsidRPr="0012008A">
              <w:rPr>
                <w:rStyle w:val="libFootnoteBoldChar"/>
                <w:rtl/>
              </w:rPr>
              <w:t>التهذيب</w:t>
            </w:r>
            <w:r w:rsidRPr="00020424">
              <w:rPr>
                <w:rtl/>
              </w:rPr>
              <w:t xml:space="preserve"> : + « نعم</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سابغة</w:t>
      </w:r>
      <w:r w:rsidR="00992664">
        <w:rPr>
          <w:rtl/>
        </w:rPr>
        <w:t xml:space="preserve"> ».</w:t>
      </w:r>
    </w:p>
    <w:p w:rsidR="00992664" w:rsidRPr="00020424" w:rsidRDefault="00795177" w:rsidP="00F9605C">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313 ، ح 948 ، معلّقاً عن الكليني </w:t>
      </w:r>
      <w:r w:rsidR="00992664" w:rsidRPr="0012008A">
        <w:rPr>
          <w:rStyle w:val="libFootnoteBoldChar"/>
          <w:rtl/>
        </w:rPr>
        <w:t>الوافي</w:t>
      </w:r>
      <w:r w:rsidR="00992664" w:rsidRPr="00020424">
        <w:rPr>
          <w:rtl/>
        </w:rPr>
        <w:t xml:space="preserve"> ، ج 11 ، ص 355 ، ح 11028 ؛ </w:t>
      </w:r>
      <w:r w:rsidR="00992664" w:rsidRPr="0012008A">
        <w:rPr>
          <w:rStyle w:val="libFootnoteBoldChar"/>
          <w:rtl/>
        </w:rPr>
        <w:t>الوسائل</w:t>
      </w:r>
      <w:r w:rsidR="00992664" w:rsidRPr="00020424">
        <w:rPr>
          <w:rtl/>
        </w:rPr>
        <w:t xml:space="preserve"> ، ج 10 ، ص 434 ، ح 13782.</w:t>
      </w:r>
      <w:r w:rsidR="00F9605C">
        <w:rPr>
          <w:rFonts w:hint="cs"/>
          <w:rtl/>
        </w:rPr>
        <w:t xml:space="preserve">              </w:t>
      </w:r>
      <w:r>
        <w:rPr>
          <w:rtl/>
        </w:rPr>
        <w:t>(9).</w:t>
      </w:r>
      <w:r w:rsidR="0014403D">
        <w:rPr>
          <w:rtl/>
        </w:rPr>
        <w:t xml:space="preserve"> </w:t>
      </w:r>
      <w:r w:rsidR="00992664" w:rsidRPr="00020424">
        <w:rPr>
          <w:rtl/>
        </w:rPr>
        <w:t>في « ى » : « أيّام</w:t>
      </w:r>
      <w:r w:rsidR="00992664">
        <w:rPr>
          <w:rtl/>
        </w:rPr>
        <w:t xml:space="preserve"> ».</w:t>
      </w:r>
      <w:r w:rsidR="00992664" w:rsidRPr="00020424">
        <w:rPr>
          <w:rtl/>
        </w:rPr>
        <w:t xml:space="preserve"> وفي « بخ » : + « التي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D341C0">
      <w:pPr>
        <w:pStyle w:val="libNormal0"/>
        <w:rPr>
          <w:rtl/>
          <w:lang w:bidi="fa-IR"/>
        </w:rPr>
      </w:pPr>
      <w:r w:rsidRPr="00020424">
        <w:rPr>
          <w:rtl/>
          <w:lang w:bidi="fa-IR"/>
        </w:rPr>
        <w:t xml:space="preserve">يَصُومُهُ </w:t>
      </w:r>
      <w:r w:rsidRPr="00A91B96">
        <w:rPr>
          <w:rStyle w:val="libFootnotenumChar"/>
          <w:rtl/>
        </w:rPr>
        <w:t>(1)</w:t>
      </w:r>
      <w:r w:rsidRPr="00020424">
        <w:rPr>
          <w:rtl/>
          <w:lang w:bidi="fa-IR"/>
        </w:rPr>
        <w:t xml:space="preserve"> لِسَنَتِهِ </w:t>
      </w:r>
      <w:r w:rsidRPr="00A91B96">
        <w:rPr>
          <w:rStyle w:val="libFootnotenumChar"/>
          <w:rtl/>
        </w:rPr>
        <w:t>(2)</w:t>
      </w:r>
      <w:r>
        <w:rPr>
          <w:rtl/>
          <w:lang w:bidi="fa-IR"/>
        </w:rPr>
        <w:t>؟</w:t>
      </w:r>
    </w:p>
    <w:p w:rsidR="00992664" w:rsidRPr="00020424" w:rsidRDefault="00992664" w:rsidP="00992664">
      <w:pPr>
        <w:pStyle w:val="libNormal"/>
        <w:rPr>
          <w:rtl/>
          <w:lang w:bidi="fa-IR"/>
        </w:rPr>
      </w:pPr>
      <w:r w:rsidRPr="00020424">
        <w:rPr>
          <w:rtl/>
          <w:lang w:bidi="fa-IR"/>
        </w:rPr>
        <w:t>قَالَ : « لَا بَأْسَ</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62025F">
        <w:rPr>
          <w:rtl/>
        </w:rPr>
        <w:t>6576</w:t>
      </w:r>
      <w:r w:rsidRPr="001155DE">
        <w:rPr>
          <w:rStyle w:val="libBold2Char"/>
          <w:rtl/>
        </w:rPr>
        <w:t xml:space="preserve"> / 2.</w:t>
      </w:r>
      <w:r w:rsidRPr="00020424">
        <w:rPr>
          <w:rtl/>
          <w:lang w:bidi="fa-IR"/>
        </w:rPr>
        <w:t xml:space="preserve"> عِدَّةٌ مِنْ أَصْحَابِنَا ، عَنْ سَهْلِ بْنِ زِيَادٍ </w:t>
      </w:r>
      <w:r w:rsidRPr="00A91B96">
        <w:rPr>
          <w:rStyle w:val="libFootnotenumChar"/>
          <w:rtl/>
        </w:rPr>
        <w:t>(4)</w:t>
      </w:r>
      <w:r w:rsidRPr="00020424">
        <w:rPr>
          <w:rtl/>
          <w:lang w:bidi="fa-IR"/>
        </w:rPr>
        <w:t xml:space="preserve"> ، عَنِ الْحَسَنِ </w:t>
      </w:r>
      <w:r w:rsidRPr="00A91B96">
        <w:rPr>
          <w:rStyle w:val="libFootnotenumChar"/>
          <w:rtl/>
        </w:rPr>
        <w:t>(5)</w:t>
      </w:r>
      <w:r w:rsidRPr="00020424">
        <w:rPr>
          <w:rtl/>
          <w:lang w:bidi="fa-IR"/>
        </w:rPr>
        <w:t xml:space="preserve"> بْنِ مَحْبُوبٍ ، عَنْ إِبْرَاهِيمَ بْنِ مِهْزَمٍ ، عَنْ حُسَيْنِ بْنِ أَبِي حَمْزَةَ ، عَنْ أَبِي حَمْزَةَ </w:t>
      </w:r>
      <w:r w:rsidRPr="00A91B96">
        <w:rPr>
          <w:rStyle w:val="libFootnotenumChar"/>
          <w:rtl/>
        </w:rPr>
        <w:t>(6)</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جَعْفَرٍ </w:t>
      </w:r>
      <w:r w:rsidRPr="00005A81">
        <w:rPr>
          <w:rStyle w:val="libAlaemChar"/>
          <w:rtl/>
        </w:rPr>
        <w:t>عليه‌السلام</w:t>
      </w:r>
      <w:r w:rsidRPr="00020424">
        <w:rPr>
          <w:rtl/>
          <w:lang w:bidi="fa-IR"/>
        </w:rPr>
        <w:t xml:space="preserve"> : صَوْمُ ثَلَاثَةِ أَيَّامٍ مِنْ كُلِّ شَهْرٍ أُؤَخِّرُهُ </w:t>
      </w:r>
      <w:r w:rsidRPr="00A91B96">
        <w:rPr>
          <w:rStyle w:val="libFootnotenumChar"/>
          <w:rtl/>
        </w:rPr>
        <w:t>(7)</w:t>
      </w:r>
      <w:r w:rsidRPr="00020424">
        <w:rPr>
          <w:rtl/>
          <w:lang w:bidi="fa-IR"/>
        </w:rPr>
        <w:t xml:space="preserve"> إِلَى الشِّتَاءِ ، ثُمَّ أَصُومُهَا </w:t>
      </w:r>
      <w:r w:rsidRPr="00A91B96">
        <w:rPr>
          <w:rStyle w:val="libFootnotenumChar"/>
          <w:rtl/>
        </w:rPr>
        <w:t>(8)</w:t>
      </w:r>
      <w:r>
        <w:rPr>
          <w:rtl/>
          <w:lang w:bidi="fa-IR"/>
        </w:rPr>
        <w:t>؟</w:t>
      </w:r>
    </w:p>
    <w:p w:rsidR="00992664" w:rsidRPr="00020424" w:rsidRDefault="00992664" w:rsidP="00992664">
      <w:pPr>
        <w:pStyle w:val="libNormal"/>
        <w:rPr>
          <w:rtl/>
          <w:lang w:bidi="fa-IR"/>
        </w:rPr>
      </w:pPr>
      <w:r w:rsidRPr="00020424">
        <w:rPr>
          <w:rtl/>
          <w:lang w:bidi="fa-IR"/>
        </w:rPr>
        <w:t xml:space="preserve">قَالَ : « لَا بَأْسَ بِذلِكَ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بر ، بف » : « يصوم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ظ ، ى ، بث ، بف ، بخ ، بر ، بس ، جت ، جش ، جن » </w:t>
      </w:r>
      <w:r w:rsidR="00992664" w:rsidRPr="00515444">
        <w:rPr>
          <w:rStyle w:val="libFootnoteBoldChar"/>
          <w:rtl/>
        </w:rPr>
        <w:t>والوافي</w:t>
      </w:r>
      <w:r w:rsidR="00992664" w:rsidRPr="00020424">
        <w:rPr>
          <w:rtl/>
        </w:rPr>
        <w:t xml:space="preserve">. وما ورد في « بح » مبهم. وفي </w:t>
      </w:r>
      <w:r w:rsidR="00992664" w:rsidRPr="0012008A">
        <w:rPr>
          <w:rStyle w:val="libFootnoteBoldChar"/>
          <w:rtl/>
        </w:rPr>
        <w:t>التهذيب</w:t>
      </w:r>
      <w:r w:rsidR="00992664" w:rsidRPr="00020424">
        <w:rPr>
          <w:rtl/>
        </w:rPr>
        <w:t xml:space="preserve"> : « للسنة</w:t>
      </w:r>
      <w:r w:rsidR="00992664">
        <w:rPr>
          <w:rtl/>
        </w:rPr>
        <w:t xml:space="preserve"> ».</w:t>
      </w:r>
      <w:r w:rsidR="00992664" w:rsidRPr="00020424">
        <w:rPr>
          <w:rtl/>
        </w:rPr>
        <w:t xml:space="preserve"> وفي المطبوع </w:t>
      </w:r>
      <w:r w:rsidR="00992664" w:rsidRPr="00EB1FD9">
        <w:rPr>
          <w:rStyle w:val="libFootnoteBoldChar"/>
          <w:rtl/>
        </w:rPr>
        <w:t>والوسائل</w:t>
      </w:r>
      <w:r w:rsidR="00992664" w:rsidRPr="00020424">
        <w:rPr>
          <w:rtl/>
        </w:rPr>
        <w:t xml:space="preserve"> : « لسنة</w:t>
      </w:r>
      <w:r w:rsidR="00992664">
        <w:rPr>
          <w:rtl/>
        </w:rPr>
        <w:t xml:space="preserve"> ».</w:t>
      </w:r>
      <w:r w:rsidR="00992664" w:rsidRPr="00020424">
        <w:rPr>
          <w:rtl/>
        </w:rPr>
        <w:t xml:space="preserve"> في </w:t>
      </w:r>
      <w:r w:rsidR="00992664" w:rsidRPr="0012008A">
        <w:rPr>
          <w:rStyle w:val="libFootnoteBoldChar"/>
          <w:rtl/>
        </w:rPr>
        <w:t>الوافي</w:t>
      </w:r>
      <w:r w:rsidR="00992664" w:rsidRPr="00020424">
        <w:rPr>
          <w:rtl/>
        </w:rPr>
        <w:t xml:space="preserve"> : « يحتمل الضمّ مع التشديد ، والفتحُ مع التخفيف</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ذهب الأصحاب إلى استحباب قضاء صوم الثلاثة الأيّام في الشتاء لما فات منه في الصيف بسبب المشقّة. بل قيل : باستحباب قضائها مطلقاً ، والخبر يدلّ على جواز التقديم دون القضاء</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313 ، ح 949 ، معلّقاً عن الكليني </w:t>
      </w:r>
      <w:r w:rsidR="00D341C0">
        <w:rPr>
          <w:rFonts w:hint="cs"/>
          <w:rtl/>
        </w:rPr>
        <w:t>.</w:t>
      </w:r>
      <w:r w:rsidR="00992664" w:rsidRPr="0012008A">
        <w:rPr>
          <w:rStyle w:val="libFootnoteBoldChar"/>
          <w:rtl/>
        </w:rPr>
        <w:t>الوافي</w:t>
      </w:r>
      <w:r w:rsidR="00992664" w:rsidRPr="00020424">
        <w:rPr>
          <w:rtl/>
        </w:rPr>
        <w:t xml:space="preserve"> ، ج 11 ، ص 49 ، ح 10389 ؛ </w:t>
      </w:r>
      <w:r w:rsidR="00992664" w:rsidRPr="0012008A">
        <w:rPr>
          <w:rStyle w:val="libFootnoteBoldChar"/>
          <w:rtl/>
        </w:rPr>
        <w:t>الوسائل</w:t>
      </w:r>
      <w:r w:rsidR="00992664" w:rsidRPr="00020424">
        <w:rPr>
          <w:rtl/>
        </w:rPr>
        <w:t xml:space="preserve"> ، ج 10 ، ص 430 ، ح 13771.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بث ، بخ ، بر ، بس ، بف ، جر » وحاشية « جن » وظاهر مرآة العقول </w:t>
      </w:r>
      <w:r w:rsidR="00992664" w:rsidRPr="00515444">
        <w:rPr>
          <w:rStyle w:val="libFootnoteBoldChar"/>
          <w:rtl/>
        </w:rPr>
        <w:t>والتهذيب</w:t>
      </w:r>
      <w:r w:rsidR="00992664" w:rsidRPr="00020424">
        <w:rPr>
          <w:rtl/>
        </w:rPr>
        <w:t>. وفي « ظ ، بث » :</w:t>
      </w:r>
      <w:r w:rsidR="00992664">
        <w:rPr>
          <w:rtl/>
        </w:rPr>
        <w:t xml:space="preserve"> </w:t>
      </w:r>
      <w:r w:rsidR="009B673F">
        <w:rPr>
          <w:rtl/>
        </w:rPr>
        <w:t>-</w:t>
      </w:r>
      <w:r w:rsidR="00992664">
        <w:rPr>
          <w:rtl/>
        </w:rPr>
        <w:t xml:space="preserve"> </w:t>
      </w:r>
      <w:r w:rsidR="00992664" w:rsidRPr="00020424">
        <w:rPr>
          <w:rtl/>
        </w:rPr>
        <w:t>« عن سهل بن زياد</w:t>
      </w:r>
      <w:r w:rsidR="00992664">
        <w:rPr>
          <w:rtl/>
        </w:rPr>
        <w:t xml:space="preserve"> ».</w:t>
      </w:r>
      <w:r w:rsidR="00992664" w:rsidRPr="00020424">
        <w:rPr>
          <w:rtl/>
        </w:rPr>
        <w:t xml:space="preserve"> وفي « ى ، جن » والمطبوع </w:t>
      </w:r>
      <w:r w:rsidR="00992664" w:rsidRPr="00EB1FD9">
        <w:rPr>
          <w:rStyle w:val="libFootnoteBoldChar"/>
          <w:rtl/>
        </w:rPr>
        <w:t>والوسائل</w:t>
      </w:r>
      <w:r w:rsidR="00992664" w:rsidRPr="00020424">
        <w:rPr>
          <w:rtl/>
        </w:rPr>
        <w:t xml:space="preserve"> : « أحمد بن محمّد » بدل « سهل بن زياد</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بر ، بف ، جر » وحاشية « جن » :</w:t>
      </w:r>
      <w:r w:rsidR="00992664">
        <w:rPr>
          <w:rtl/>
        </w:rPr>
        <w:t xml:space="preserve"> </w:t>
      </w:r>
      <w:r w:rsidR="009B673F">
        <w:rPr>
          <w:rtl/>
        </w:rPr>
        <w:t>-</w:t>
      </w:r>
      <w:r w:rsidR="00992664">
        <w:rPr>
          <w:rtl/>
        </w:rPr>
        <w:t xml:space="preserve"> </w:t>
      </w:r>
      <w:r w:rsidR="00992664" w:rsidRPr="00020424">
        <w:rPr>
          <w:rtl/>
        </w:rPr>
        <w:t>« عن أبي حمزة</w:t>
      </w:r>
      <w:r w:rsidR="00992664">
        <w:rPr>
          <w:rtl/>
        </w:rPr>
        <w:t xml:space="preserve"> ».</w:t>
      </w:r>
      <w:r w:rsidR="00992664" w:rsidRPr="00020424">
        <w:rPr>
          <w:rtl/>
        </w:rPr>
        <w:t xml:space="preserve"> واحتمال جواز النظر من « أبي حمزة » في « حسين بن أبي حمزة » إلى « أبي حمزة » قبل « قال » في هذه النسخ قويّ.</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ا</w:t>
      </w:r>
      <w:r w:rsidR="00E07F60">
        <w:rPr>
          <w:rFonts w:hint="cs"/>
          <w:rtl/>
        </w:rPr>
        <w:t>ُ</w:t>
      </w:r>
      <w:r w:rsidR="00992664" w:rsidRPr="00020424">
        <w:rPr>
          <w:rtl/>
        </w:rPr>
        <w:t>ؤخّرها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ثمّ أصومها ، أي قضاءً ، كما فهمه الأكثر. وقيل : أداءً. والأوّل أظهر</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بذلك</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313 ، ح 95 ، معلّقاً عن الكليني. </w:t>
      </w:r>
      <w:r w:rsidR="00992664" w:rsidRPr="0012008A">
        <w:rPr>
          <w:rStyle w:val="libFootnoteBoldChar"/>
          <w:rtl/>
        </w:rPr>
        <w:t>الفقيه</w:t>
      </w:r>
      <w:r w:rsidR="00992664" w:rsidRPr="00020424">
        <w:rPr>
          <w:rtl/>
        </w:rPr>
        <w:t xml:space="preserve"> ، ج 2 ، ص 84 ، ح 1795 ، معلّقاً عن الحسن بن محبوب ، عن الحسن بن أبي حمزة ، عن أبي جعفر أو أبي عبدالله </w:t>
      </w:r>
      <w:r w:rsidR="00D64ADA" w:rsidRPr="00D64ADA">
        <w:rPr>
          <w:rStyle w:val="libFootnoteAlaemChar"/>
          <w:rtl/>
        </w:rPr>
        <w:t>عليهما‌السلام</w:t>
      </w:r>
      <w:r w:rsidR="00992664" w:rsidRPr="00020424">
        <w:rPr>
          <w:rtl/>
        </w:rPr>
        <w:t xml:space="preserve"> ؛ </w:t>
      </w:r>
      <w:r w:rsidR="00992664" w:rsidRPr="0012008A">
        <w:rPr>
          <w:rStyle w:val="libFootnoteBoldChar"/>
          <w:rtl/>
        </w:rPr>
        <w:t>ثواب الأعمال</w:t>
      </w:r>
      <w:r w:rsidR="00992664" w:rsidRPr="00020424">
        <w:rPr>
          <w:rtl/>
        </w:rPr>
        <w:t xml:space="preserve"> ، ص 106 ، ح 9 ، بسنده عن أحمد بن محمّد بن عيسى ، عن الحسن بن محبوب ، عن الحسين بن أبي حمزة ، عن أبي جعفر أو أبي عبدالله </w:t>
      </w:r>
      <w:r w:rsidR="00D64ADA" w:rsidRPr="00D64ADA">
        <w:rPr>
          <w:rStyle w:val="libFootnoteAlaemChar"/>
          <w:rtl/>
        </w:rPr>
        <w:t>عليهما‌السلام</w:t>
      </w:r>
      <w:r w:rsidR="00992664" w:rsidRPr="00020424">
        <w:rPr>
          <w:rtl/>
        </w:rPr>
        <w:t xml:space="preserve"> ، وفي الأخيرين مع اختلاف يسير. </w:t>
      </w:r>
      <w:r w:rsidR="00992664" w:rsidRPr="0012008A">
        <w:rPr>
          <w:rStyle w:val="libFootnoteBoldChar"/>
          <w:rtl/>
        </w:rPr>
        <w:t>المقنعة</w:t>
      </w:r>
      <w:r w:rsidR="00992664" w:rsidRPr="00020424">
        <w:rPr>
          <w:rtl/>
        </w:rPr>
        <w:t xml:space="preserve"> ، ص 381 ، مرسلاً من دون التصريح باسم المعصوم </w:t>
      </w:r>
      <w:r w:rsidR="00992664" w:rsidRPr="00D64ADA">
        <w:rPr>
          <w:rStyle w:val="libFootnoteAlaemChar"/>
          <w:rtl/>
        </w:rPr>
        <w:t>عليه‌السلام</w:t>
      </w:r>
      <w:r w:rsidR="00992664" w:rsidRPr="00020424">
        <w:rPr>
          <w:rtl/>
        </w:rPr>
        <w:t xml:space="preserve">، مع اختلاف </w:t>
      </w:r>
      <w:r w:rsidR="00E07F60">
        <w:rPr>
          <w:rFonts w:hint="cs"/>
          <w:rtl/>
        </w:rPr>
        <w:t>.</w:t>
      </w:r>
      <w:r w:rsidR="00992664" w:rsidRPr="0012008A">
        <w:rPr>
          <w:rStyle w:val="libFootnoteBoldChar"/>
          <w:rtl/>
        </w:rPr>
        <w:t>الوافي</w:t>
      </w:r>
      <w:r w:rsidR="00992664" w:rsidRPr="00020424">
        <w:rPr>
          <w:rtl/>
        </w:rPr>
        <w:t xml:space="preserve"> ، ج 11 ، ص 48 ، ح 10387 ؛ </w:t>
      </w:r>
      <w:r w:rsidR="00992664" w:rsidRPr="0012008A">
        <w:rPr>
          <w:rStyle w:val="libFootnoteBoldChar"/>
          <w:rtl/>
        </w:rPr>
        <w:t>الوسائل</w:t>
      </w:r>
      <w:r w:rsidR="00992664" w:rsidRPr="00020424">
        <w:rPr>
          <w:rtl/>
        </w:rPr>
        <w:t xml:space="preserve"> ، ج 10 ، ص 430 ، ح 13772.</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13D06">
        <w:rPr>
          <w:rtl/>
        </w:rPr>
        <w:t>6577</w:t>
      </w:r>
      <w:r w:rsidRPr="001155DE">
        <w:rPr>
          <w:rStyle w:val="libBold2Char"/>
          <w:rtl/>
        </w:rPr>
        <w:t xml:space="preserve"> / 3.</w:t>
      </w:r>
      <w:r w:rsidRPr="00020424">
        <w:rPr>
          <w:rtl/>
          <w:lang w:bidi="fa-IR"/>
        </w:rPr>
        <w:t xml:space="preserve"> أَحْمَدُ بْنُ إِدْرِيسَ وَمُحَمَّدُ بْنُ يَحْيى ، عَنْ مُحَمَّدِ بْنِ أَحْمَدَ </w:t>
      </w:r>
      <w:r w:rsidRPr="00A91B96">
        <w:rPr>
          <w:rStyle w:val="libFootnotenumChar"/>
          <w:rtl/>
        </w:rPr>
        <w:t>(1)</w:t>
      </w:r>
      <w:r w:rsidRPr="00020424">
        <w:rPr>
          <w:rtl/>
          <w:lang w:bidi="fa-IR"/>
        </w:rPr>
        <w:t xml:space="preserve"> ، عَنْ أَحْمَدَ بْنِ الْحَسَنِ ، عَنْ عَمْرِو بْنِ سَعِيدٍ ، عَنْ مُصَدِّقِ بْنِ صَدَقَةَ ، عَنْ عَمَّارِ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الرَّجُلِ يَكُونُ </w:t>
      </w:r>
      <w:r w:rsidRPr="00A91B96">
        <w:rPr>
          <w:rStyle w:val="libFootnotenumChar"/>
          <w:rtl/>
        </w:rPr>
        <w:t>(2)</w:t>
      </w:r>
      <w:r w:rsidRPr="00020424">
        <w:rPr>
          <w:rtl/>
          <w:lang w:bidi="fa-IR"/>
        </w:rPr>
        <w:t xml:space="preserve"> عَلَيْهِ مِنَ الثَّلَاثَةِ أَيَّامِ الشَّهْرِ :</w:t>
      </w:r>
      <w:r>
        <w:rPr>
          <w:rFonts w:hint="cs"/>
          <w:rtl/>
          <w:lang w:bidi="fa-IR"/>
        </w:rPr>
        <w:t xml:space="preserve"> </w:t>
      </w:r>
      <w:r w:rsidRPr="00020424">
        <w:rPr>
          <w:rtl/>
          <w:lang w:bidi="fa-IR"/>
        </w:rPr>
        <w:t xml:space="preserve">هَلْ يَصْلُحُ لَهُ أَنْ يُؤَخِّرَهَا ، أَوْ يَصُومُهَا </w:t>
      </w:r>
      <w:r w:rsidRPr="00A91B96">
        <w:rPr>
          <w:rStyle w:val="libFootnotenumChar"/>
          <w:rtl/>
        </w:rPr>
        <w:t>(3)</w:t>
      </w:r>
      <w:r w:rsidRPr="00020424">
        <w:rPr>
          <w:rtl/>
          <w:lang w:bidi="fa-IR"/>
        </w:rPr>
        <w:t xml:space="preserve"> فِي آخِرِ الشَّهْرِ</w:t>
      </w:r>
      <w:r>
        <w:rPr>
          <w:rtl/>
          <w:lang w:bidi="fa-IR"/>
        </w:rPr>
        <w:t>؟</w:t>
      </w:r>
    </w:p>
    <w:p w:rsidR="00992664" w:rsidRPr="00020424" w:rsidRDefault="00992664" w:rsidP="00992664">
      <w:pPr>
        <w:pStyle w:val="libNormal"/>
        <w:rPr>
          <w:rtl/>
          <w:lang w:bidi="fa-IR"/>
        </w:rPr>
      </w:pPr>
      <w:r w:rsidRPr="00020424">
        <w:rPr>
          <w:rtl/>
          <w:lang w:bidi="fa-IR"/>
        </w:rPr>
        <w:t>قَالَ : « لَا بَأْسَ</w:t>
      </w:r>
      <w:r>
        <w:rPr>
          <w:rtl/>
          <w:lang w:bidi="fa-IR"/>
        </w:rPr>
        <w:t xml:space="preserve"> ».</w:t>
      </w:r>
    </w:p>
    <w:p w:rsidR="00992664" w:rsidRPr="00020424" w:rsidRDefault="00992664" w:rsidP="00992664">
      <w:pPr>
        <w:pStyle w:val="libNormal"/>
        <w:rPr>
          <w:rtl/>
          <w:lang w:bidi="fa-IR"/>
        </w:rPr>
      </w:pPr>
      <w:r w:rsidRPr="00020424">
        <w:rPr>
          <w:rtl/>
          <w:lang w:bidi="fa-IR"/>
        </w:rPr>
        <w:t>قُلْتُ : يَصُومُهَا مُتَوَالِيَةً ، أَوْ يُفَرِّقُ بَيْنَهَا</w:t>
      </w:r>
      <w:r>
        <w:rPr>
          <w:rtl/>
          <w:lang w:bidi="fa-IR"/>
        </w:rPr>
        <w:t>؟</w:t>
      </w:r>
    </w:p>
    <w:p w:rsidR="00992664" w:rsidRPr="00020424" w:rsidRDefault="00992664" w:rsidP="00992664">
      <w:pPr>
        <w:pStyle w:val="libNormal"/>
        <w:rPr>
          <w:rtl/>
          <w:lang w:bidi="fa-IR"/>
        </w:rPr>
      </w:pPr>
      <w:r w:rsidRPr="00020424">
        <w:rPr>
          <w:rtl/>
          <w:lang w:bidi="fa-IR"/>
        </w:rPr>
        <w:t>قَالَ : « مَا أَحَبَّ : إِنْ شَاءَ مُتَوَالِيَةً ، وَإِنْ شَاءَ فَرَّقَ بَيْنَهَا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Heading2Center"/>
        <w:rPr>
          <w:rtl/>
          <w:lang w:bidi="fa-IR"/>
        </w:rPr>
      </w:pPr>
      <w:bookmarkStart w:id="488" w:name="_Toc345172879"/>
      <w:bookmarkStart w:id="489" w:name="_Toc464562694"/>
      <w:bookmarkStart w:id="490" w:name="_Toc44600000"/>
      <w:r w:rsidRPr="00020424">
        <w:rPr>
          <w:rtl/>
          <w:lang w:bidi="fa-IR"/>
        </w:rPr>
        <w:t>61</w:t>
      </w:r>
      <w:r>
        <w:rPr>
          <w:rtl/>
          <w:lang w:bidi="fa-IR"/>
        </w:rPr>
        <w:t xml:space="preserve"> </w:t>
      </w:r>
      <w:r w:rsidR="009B673F">
        <w:rPr>
          <w:rtl/>
          <w:lang w:bidi="fa-IR"/>
        </w:rPr>
        <w:t>-</w:t>
      </w:r>
      <w:r>
        <w:rPr>
          <w:rtl/>
          <w:lang w:bidi="fa-IR"/>
        </w:rPr>
        <w:t xml:space="preserve"> </w:t>
      </w:r>
      <w:r w:rsidRPr="00020424">
        <w:rPr>
          <w:rtl/>
          <w:lang w:bidi="fa-IR"/>
        </w:rPr>
        <w:t>بَابُ صَوْمِ عَرَفَةَ وَعَاشُورَاءَ‌</w:t>
      </w:r>
      <w:bookmarkEnd w:id="488"/>
      <w:bookmarkEnd w:id="489"/>
      <w:bookmarkEnd w:id="490"/>
    </w:p>
    <w:p w:rsidR="00992664" w:rsidRPr="00020424" w:rsidRDefault="00992664" w:rsidP="00992664">
      <w:pPr>
        <w:pStyle w:val="libNormal"/>
        <w:rPr>
          <w:rtl/>
          <w:lang w:bidi="fa-IR"/>
        </w:rPr>
      </w:pPr>
      <w:r w:rsidRPr="00213D06">
        <w:rPr>
          <w:rtl/>
        </w:rPr>
        <w:t>6578</w:t>
      </w:r>
      <w:r w:rsidRPr="001155DE">
        <w:rPr>
          <w:rStyle w:val="libBold2Char"/>
          <w:rtl/>
        </w:rPr>
        <w:t xml:space="preserve"> / 1.</w:t>
      </w:r>
      <w:r w:rsidRPr="00020424">
        <w:rPr>
          <w:rtl/>
          <w:lang w:bidi="fa-IR"/>
        </w:rPr>
        <w:t xml:space="preserve"> مُحَمَّدُ بْنُ يَحْيى ، عَنْ مُحَمَّدِ بْنِ الْحُسَيْنِ ، عَنْ صَفْوَانَ بْنِ يَحْيى </w:t>
      </w:r>
      <w:r w:rsidRPr="00A91B96">
        <w:rPr>
          <w:rStyle w:val="libFootnotenumChar"/>
          <w:rtl/>
        </w:rPr>
        <w:t>(5)</w:t>
      </w:r>
      <w:r w:rsidR="006561E7">
        <w:rPr>
          <w:rtl/>
          <w:lang w:bidi="fa-IR"/>
        </w:rPr>
        <w:t xml:space="preserve"> وَعَلِيِّ بْنِ الْحَكَمِ</w:t>
      </w:r>
      <w:r w:rsidRPr="00020424">
        <w:rPr>
          <w:rtl/>
          <w:lang w:bidi="fa-IR"/>
        </w:rPr>
        <w:t xml:space="preserve">، عَنِ الْعَلَاءِ بْنِ رَزِينٍ </w:t>
      </w:r>
      <w:r w:rsidRPr="00A91B96">
        <w:rPr>
          <w:rStyle w:val="libFootnotenumChar"/>
          <w:rtl/>
        </w:rPr>
        <w:t>(6)</w:t>
      </w:r>
      <w:r w:rsidRPr="00020424">
        <w:rPr>
          <w:rtl/>
          <w:lang w:bidi="fa-IR"/>
        </w:rPr>
        <w:t xml:space="preserve">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أَنَّهُ سُئِلَ عَنْ صَوْمِ يَوْمِ </w:t>
      </w:r>
      <w:r w:rsidRPr="00A91B96">
        <w:rPr>
          <w:rStyle w:val="libFootnotenumChar"/>
          <w:rtl/>
        </w:rPr>
        <w:t>(7)</w:t>
      </w:r>
      <w:r w:rsidRPr="00020424">
        <w:rPr>
          <w:rtl/>
          <w:lang w:bidi="fa-IR"/>
        </w:rPr>
        <w:t xml:space="preserve"> عَرَفَةَ</w:t>
      </w:r>
      <w:r>
        <w:rPr>
          <w:rtl/>
          <w:lang w:bidi="fa-IR"/>
        </w:rPr>
        <w:t>؟</w:t>
      </w:r>
    </w:p>
    <w:p w:rsidR="00992664" w:rsidRPr="00020424" w:rsidRDefault="00992664" w:rsidP="00992664">
      <w:pPr>
        <w:pStyle w:val="libNormal"/>
        <w:rPr>
          <w:rtl/>
          <w:lang w:bidi="fa-IR"/>
        </w:rPr>
      </w:pPr>
      <w:r w:rsidRPr="00020424">
        <w:rPr>
          <w:rtl/>
          <w:lang w:bidi="fa-IR"/>
        </w:rPr>
        <w:t xml:space="preserve">فَقَالَ : « مَا </w:t>
      </w:r>
      <w:r w:rsidRPr="00A91B96">
        <w:rPr>
          <w:rStyle w:val="libFootnotenumChar"/>
          <w:rtl/>
        </w:rPr>
        <w:t>(8)</w:t>
      </w:r>
      <w:r w:rsidRPr="00020424">
        <w:rPr>
          <w:rtl/>
          <w:lang w:bidi="fa-IR"/>
        </w:rPr>
        <w:t xml:space="preserve"> أَصُومُهُ الْيَوْمَ ، وَهُوَ يَوْمُ دُعَاءٍ وَمَسْأَلَةٍ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07F60" w:rsidTr="00E07F60">
        <w:tc>
          <w:tcPr>
            <w:tcW w:w="4006" w:type="dxa"/>
          </w:tcPr>
          <w:p w:rsidR="00E07F60" w:rsidRDefault="00E07F60"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 + « بن يحيى</w:t>
            </w:r>
            <w:r>
              <w:rPr>
                <w:rtl/>
              </w:rPr>
              <w:t xml:space="preserve"> ».</w:t>
            </w:r>
          </w:p>
        </w:tc>
        <w:tc>
          <w:tcPr>
            <w:tcW w:w="4006" w:type="dxa"/>
          </w:tcPr>
          <w:p w:rsidR="00E07F60" w:rsidRDefault="00E07F60" w:rsidP="00992664">
            <w:pPr>
              <w:pStyle w:val="libFootnote0"/>
              <w:rPr>
                <w:rtl/>
              </w:rPr>
            </w:pPr>
            <w:r>
              <w:rPr>
                <w:rtl/>
              </w:rPr>
              <w:t xml:space="preserve">(2). </w:t>
            </w:r>
            <w:r w:rsidRPr="00020424">
              <w:rPr>
                <w:rtl/>
              </w:rPr>
              <w:t xml:space="preserve">في </w:t>
            </w:r>
            <w:r w:rsidRPr="0012008A">
              <w:rPr>
                <w:rStyle w:val="libFootnoteBoldChar"/>
                <w:rtl/>
              </w:rPr>
              <w:t>الوسائل</w:t>
            </w:r>
            <w:r w:rsidRPr="00020424">
              <w:rPr>
                <w:rtl/>
              </w:rPr>
              <w:t xml:space="preserve"> : « تكون</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ويصومها</w:t>
      </w:r>
      <w:r w:rsidR="00992664">
        <w:rPr>
          <w:rtl/>
        </w:rPr>
        <w:t xml:space="preserve"> ».</w:t>
      </w:r>
    </w:p>
    <w:p w:rsidR="00992664" w:rsidRPr="00020424" w:rsidRDefault="00795177" w:rsidP="003C42ED">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314 ، ح 951 ، معلّقاً عن الكليني. </w:t>
      </w:r>
      <w:r w:rsidR="00992664" w:rsidRPr="00DE76B9">
        <w:rPr>
          <w:rStyle w:val="libFootnoteBoldChar"/>
          <w:rtl/>
        </w:rPr>
        <w:t>قرب الإسناد</w:t>
      </w:r>
      <w:r w:rsidR="00992664" w:rsidRPr="00020424">
        <w:rPr>
          <w:rtl/>
        </w:rPr>
        <w:t xml:space="preserve"> ، ص 230 ، ح 901 ، بسند آخر عن موسى بن جعفر </w:t>
      </w:r>
      <w:r w:rsidR="00992664" w:rsidRPr="00D64ADA">
        <w:rPr>
          <w:rStyle w:val="libFootnoteAlaemChar"/>
          <w:rtl/>
        </w:rPr>
        <w:t>عليه‌السلام</w:t>
      </w:r>
      <w:r w:rsidR="00992664" w:rsidRPr="00020424">
        <w:rPr>
          <w:rtl/>
        </w:rPr>
        <w:t xml:space="preserve"> ، من قوله : « قلت : يصومها متوالية » مع اختلاف يسير </w:t>
      </w:r>
      <w:r w:rsidR="00E07F60">
        <w:rPr>
          <w:rFonts w:hint="cs"/>
          <w:rtl/>
        </w:rPr>
        <w:t>.</w:t>
      </w:r>
      <w:r w:rsidR="00992664" w:rsidRPr="0012008A">
        <w:rPr>
          <w:rStyle w:val="libFootnoteBoldChar"/>
          <w:rtl/>
        </w:rPr>
        <w:t>الوافي</w:t>
      </w:r>
      <w:r w:rsidR="00E07F60">
        <w:rPr>
          <w:rtl/>
        </w:rPr>
        <w:t xml:space="preserve"> ، ج 11 ، ص 49،ح 10390</w:t>
      </w:r>
      <w:r w:rsidR="00992664" w:rsidRPr="00020424">
        <w:rPr>
          <w:rtl/>
        </w:rPr>
        <w:t>؛</w:t>
      </w:r>
      <w:r w:rsidR="00992664" w:rsidRPr="0012008A">
        <w:rPr>
          <w:rStyle w:val="libFootnoteBoldChar"/>
          <w:rtl/>
        </w:rPr>
        <w:t>الوسائل</w:t>
      </w:r>
      <w:r w:rsidR="00E07F60">
        <w:rPr>
          <w:rtl/>
        </w:rPr>
        <w:t>،ج10،ص431،</w:t>
      </w:r>
      <w:r w:rsidR="00992664" w:rsidRPr="00020424">
        <w:rPr>
          <w:rtl/>
        </w:rPr>
        <w:t>ح13773.</w:t>
      </w:r>
      <w:r w:rsidR="006561E7">
        <w:rPr>
          <w:rFonts w:hint="cs"/>
          <w:rtl/>
        </w:rPr>
        <w:t xml:space="preserve">    </w:t>
      </w:r>
      <w:r>
        <w:rPr>
          <w:rtl/>
        </w:rPr>
        <w:t>(5).</w:t>
      </w:r>
      <w:r w:rsidR="0014403D">
        <w:rPr>
          <w:rtl/>
        </w:rPr>
        <w:t xml:space="preserve"> </w:t>
      </w:r>
      <w:r w:rsidR="00E07F60">
        <w:rPr>
          <w:rtl/>
        </w:rPr>
        <w:t>في «بر،بف،جر»</w:t>
      </w:r>
      <w:r w:rsidR="00992664" w:rsidRPr="00020424">
        <w:rPr>
          <w:rtl/>
        </w:rPr>
        <w:t>:</w:t>
      </w:r>
      <w:r w:rsidR="00992664">
        <w:rPr>
          <w:rtl/>
        </w:rPr>
        <w:t xml:space="preserve"> </w:t>
      </w:r>
      <w:r w:rsidR="009B673F">
        <w:rPr>
          <w:rtl/>
        </w:rPr>
        <w:t>-</w:t>
      </w:r>
      <w:r w:rsidR="00992664">
        <w:rPr>
          <w:rtl/>
        </w:rPr>
        <w:t xml:space="preserve"> </w:t>
      </w:r>
      <w:r w:rsidR="00E07F60">
        <w:rPr>
          <w:rtl/>
        </w:rPr>
        <w:t>«</w:t>
      </w:r>
      <w:r w:rsidR="00992664" w:rsidRPr="00020424">
        <w:rPr>
          <w:rtl/>
        </w:rPr>
        <w:t>بن يحيى</w:t>
      </w:r>
      <w:r w:rsidR="00992664">
        <w:rPr>
          <w:rtl/>
        </w:rPr>
        <w:t>».</w:t>
      </w:r>
    </w:p>
    <w:tbl>
      <w:tblPr>
        <w:tblStyle w:val="TableGrid"/>
        <w:bidiVisual/>
        <w:tblW w:w="0" w:type="auto"/>
        <w:tblLook w:val="04A0" w:firstRow="1" w:lastRow="0" w:firstColumn="1" w:lastColumn="0" w:noHBand="0" w:noVBand="1"/>
      </w:tblPr>
      <w:tblGrid>
        <w:gridCol w:w="4006"/>
        <w:gridCol w:w="4006"/>
      </w:tblGrid>
      <w:tr w:rsidR="00E07F60" w:rsidTr="00E07F60">
        <w:tc>
          <w:tcPr>
            <w:tcW w:w="4006" w:type="dxa"/>
          </w:tcPr>
          <w:p w:rsidR="00E07F60" w:rsidRDefault="00E07F60" w:rsidP="00992664">
            <w:pPr>
              <w:pStyle w:val="libFootnote0"/>
              <w:rPr>
                <w:rtl/>
              </w:rPr>
            </w:pPr>
            <w:r>
              <w:rPr>
                <w:rtl/>
              </w:rPr>
              <w:t xml:space="preserve">(6). </w:t>
            </w:r>
            <w:r w:rsidRPr="00020424">
              <w:rPr>
                <w:rtl/>
              </w:rPr>
              <w:t>في « بر ، بف ، جر » :</w:t>
            </w:r>
            <w:r>
              <w:rPr>
                <w:rtl/>
              </w:rPr>
              <w:t xml:space="preserve"> - </w:t>
            </w:r>
            <w:r w:rsidRPr="00020424">
              <w:rPr>
                <w:rtl/>
              </w:rPr>
              <w:t>« بن رزين</w:t>
            </w:r>
            <w:r>
              <w:rPr>
                <w:rtl/>
              </w:rPr>
              <w:t xml:space="preserve"> ».</w:t>
            </w:r>
          </w:p>
        </w:tc>
        <w:tc>
          <w:tcPr>
            <w:tcW w:w="4006" w:type="dxa"/>
          </w:tcPr>
          <w:p w:rsidR="00E07F60" w:rsidRDefault="00E07F60" w:rsidP="00992664">
            <w:pPr>
              <w:pStyle w:val="libFootnote0"/>
              <w:rPr>
                <w:rtl/>
              </w:rPr>
            </w:pPr>
            <w:r>
              <w:rPr>
                <w:rtl/>
              </w:rPr>
              <w:t xml:space="preserve">(7). </w:t>
            </w:r>
            <w:r w:rsidRPr="00020424">
              <w:rPr>
                <w:rtl/>
              </w:rPr>
              <w:t>في « بس » :</w:t>
            </w:r>
            <w:r>
              <w:rPr>
                <w:rtl/>
              </w:rPr>
              <w:t xml:space="preserve"> - </w:t>
            </w:r>
            <w:r w:rsidRPr="00020424">
              <w:rPr>
                <w:rtl/>
              </w:rPr>
              <w:t>« يوم</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بخ ، بر » وحاشية « بث ، جث » </w:t>
      </w:r>
      <w:r w:rsidR="00992664" w:rsidRPr="00515444">
        <w:rPr>
          <w:rStyle w:val="libFootnoteBoldChar"/>
          <w:rtl/>
        </w:rPr>
        <w:t>والوافي</w:t>
      </w:r>
      <w:r w:rsidR="00992664" w:rsidRPr="00020424">
        <w:rPr>
          <w:rtl/>
        </w:rPr>
        <w:t>. وما ورد في « ظ</w:t>
      </w:r>
      <w:r w:rsidR="006561E7">
        <w:rPr>
          <w:rtl/>
        </w:rPr>
        <w:t xml:space="preserve"> » مبهم غير معلوم. وفي « ى ، بث</w:t>
      </w:r>
      <w:r w:rsidR="00992664" w:rsidRPr="00020424">
        <w:rPr>
          <w:rtl/>
        </w:rPr>
        <w:t xml:space="preserve">، بح ، بس ، بف ، جت ، جن » </w:t>
      </w:r>
      <w:r w:rsidR="00992664" w:rsidRPr="00EB1FD9">
        <w:rPr>
          <w:rStyle w:val="libFootnoteBoldChar"/>
          <w:rtl/>
        </w:rPr>
        <w:t>والوسائل</w:t>
      </w:r>
      <w:r w:rsidR="00992664" w:rsidRPr="00020424">
        <w:rPr>
          <w:rtl/>
        </w:rPr>
        <w:t xml:space="preserve"> : « أنا</w:t>
      </w:r>
      <w:r w:rsidR="00992664">
        <w:rPr>
          <w:rtl/>
        </w:rPr>
        <w:t xml:space="preserve"> ».</w:t>
      </w:r>
      <w:r w:rsidR="00992664" w:rsidRPr="00020424">
        <w:rPr>
          <w:rtl/>
        </w:rPr>
        <w:t xml:space="preserve"> وفي المطبوع : « [ أ ] ما</w:t>
      </w:r>
      <w:r w:rsidR="00992664">
        <w:rPr>
          <w:rtl/>
        </w:rPr>
        <w:t xml:space="preserve"> ».</w:t>
      </w:r>
      <w:r w:rsidR="00992664" w:rsidRPr="00020424">
        <w:rPr>
          <w:rtl/>
        </w:rPr>
        <w:t xml:space="preserve"> وما أثبتناه هو الظاهر ، كما يعلم من ملاحظة متن الخبر في سائر مواضع وروده.</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299 ، ح 904 ؛ </w:t>
      </w:r>
      <w:r w:rsidR="00992664" w:rsidRPr="00FD6221">
        <w:rPr>
          <w:rStyle w:val="libFootnoteBoldChar"/>
          <w:rtl/>
        </w:rPr>
        <w:t>والاستبصار</w:t>
      </w:r>
      <w:r w:rsidR="00992664" w:rsidRPr="00020424">
        <w:rPr>
          <w:rtl/>
        </w:rPr>
        <w:t xml:space="preserve"> ، ج 2 ، ص 134 ، ح 436 ، بسند آخر عن محمّد بن مسلم ، </w:t>
      </w:r>
      <w:r w:rsidR="00B81C1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93B0F">
        <w:rPr>
          <w:rtl/>
        </w:rPr>
        <w:t>6579</w:t>
      </w:r>
      <w:r w:rsidRPr="001155DE">
        <w:rPr>
          <w:rStyle w:val="libBold2Char"/>
          <w:rtl/>
        </w:rPr>
        <w:t xml:space="preserve"> / 2.</w:t>
      </w:r>
      <w:r w:rsidRPr="00020424">
        <w:rPr>
          <w:rtl/>
          <w:lang w:bidi="fa-IR"/>
        </w:rPr>
        <w:t xml:space="preserve"> مُحَمَّدُ بْنُ يَحْيى ، عَنْ أَحْمَدَ بْنِ مُحَمَّدٍ ، عَنِ ابْنِ فَضَّالٍ ، عَنْ ثَعْلَبَةَ بْنِ مَيْمُونٍ ، عَنْ مُحَمَّدِ بْنِ قَيْسٍ </w:t>
      </w:r>
      <w:r w:rsidRPr="00A91B96">
        <w:rPr>
          <w:rStyle w:val="libFootnotenumChar"/>
          <w:rtl/>
        </w:rPr>
        <w:t>(1)</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سَمِعْتُ أَبَا جَعْفَرٍ </w:t>
      </w:r>
      <w:r w:rsidRPr="00005A81">
        <w:rPr>
          <w:rStyle w:val="libAlaemChar"/>
          <w:rtl/>
        </w:rPr>
        <w:t>عليه‌السلام</w:t>
      </w:r>
      <w:r w:rsidRPr="00020424">
        <w:rPr>
          <w:rtl/>
          <w:lang w:bidi="fa-IR"/>
        </w:rPr>
        <w:t xml:space="preserve"> يَقُولُ : « إِنَّ رَسُولَ اللهِ </w:t>
      </w:r>
      <w:r w:rsidR="00B42914" w:rsidRPr="00B42914">
        <w:rPr>
          <w:rStyle w:val="libAlaemChar"/>
          <w:rtl/>
        </w:rPr>
        <w:t>صلى‌الله‌عليه‌وآله‌</w:t>
      </w:r>
      <w:r w:rsidRPr="00020424">
        <w:rPr>
          <w:rtl/>
          <w:lang w:bidi="fa-IR"/>
        </w:rPr>
        <w:t xml:space="preserve"> لَمْ يَصُمْ يَوْمَ عَرَفَةَ مُنْذُ نَزَلَ صِيَامُ شَهْرِ رَمَضَانَ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A93B0F">
        <w:rPr>
          <w:rtl/>
        </w:rPr>
        <w:t>6580</w:t>
      </w:r>
      <w:r w:rsidRPr="001155DE">
        <w:rPr>
          <w:rStyle w:val="libBold2Char"/>
          <w:rtl/>
        </w:rPr>
        <w:t xml:space="preserve"> / 3.</w:t>
      </w:r>
      <w:r w:rsidRPr="00020424">
        <w:rPr>
          <w:rtl/>
          <w:lang w:bidi="fa-IR"/>
        </w:rPr>
        <w:t xml:space="preserve"> عَلِيُّ بْنُ إِبْرَاهِيمَ ، عَنْ أَبِيهِ ، عَنْ نُوحِ بْنِ شُعَيْبٍ النَّيْسَابُورِيِّ </w:t>
      </w:r>
      <w:r w:rsidRPr="00A91B96">
        <w:rPr>
          <w:rStyle w:val="libFootnotenumChar"/>
          <w:rtl/>
        </w:rPr>
        <w:t>(3)</w:t>
      </w:r>
      <w:r w:rsidRPr="00020424">
        <w:rPr>
          <w:rtl/>
          <w:lang w:bidi="fa-IR"/>
        </w:rPr>
        <w:t xml:space="preserve"> ، عَنْ يَاسِينَ الضَّرِيرِ ، عَنْ حَرِيزٍ ، عَنْ زُرَارَةَ :</w:t>
      </w:r>
    </w:p>
    <w:p w:rsidR="00992664" w:rsidRPr="00020424" w:rsidRDefault="00992664" w:rsidP="00992664">
      <w:pPr>
        <w:pStyle w:val="libNormal"/>
        <w:rPr>
          <w:rtl/>
          <w:lang w:bidi="fa-IR"/>
        </w:rPr>
      </w:pPr>
      <w:r w:rsidRPr="00020424">
        <w:rPr>
          <w:rtl/>
          <w:lang w:bidi="fa-IR"/>
        </w:rPr>
        <w:t xml:space="preserve">عَنْ أَبِي جَعْفَرٍ وَأَبِي عَبْدِ اللهِ </w:t>
      </w:r>
      <w:r w:rsidRPr="00005A81">
        <w:rPr>
          <w:rStyle w:val="libAlaemChar"/>
          <w:rtl/>
        </w:rPr>
        <w:t>عليهما‌السلام</w:t>
      </w:r>
      <w:r w:rsidRPr="00020424">
        <w:rPr>
          <w:rtl/>
          <w:lang w:bidi="fa-IR"/>
        </w:rPr>
        <w:t xml:space="preserve"> ، قَالَا : « لَا تَصُمْ </w:t>
      </w:r>
      <w:r w:rsidRPr="00A91B96">
        <w:rPr>
          <w:rStyle w:val="libFootnotenumChar"/>
          <w:rtl/>
        </w:rPr>
        <w:t>(4)</w:t>
      </w:r>
      <w:r w:rsidRPr="00020424">
        <w:rPr>
          <w:rtl/>
          <w:lang w:bidi="fa-IR"/>
        </w:rPr>
        <w:t xml:space="preserve"> فِي </w:t>
      </w:r>
      <w:r w:rsidRPr="00A91B96">
        <w:rPr>
          <w:rStyle w:val="libFootnotenumChar"/>
          <w:rtl/>
        </w:rPr>
        <w:t>(5)</w:t>
      </w:r>
      <w:r w:rsidRPr="00020424">
        <w:rPr>
          <w:rtl/>
          <w:lang w:bidi="fa-IR"/>
        </w:rPr>
        <w:t xml:space="preserve"> يَوْمِ عَاشُورَاءَ وَلَا </w:t>
      </w:r>
      <w:r w:rsidRPr="00A91B96">
        <w:rPr>
          <w:rStyle w:val="libFootnotenumChar"/>
          <w:rtl/>
        </w:rPr>
        <w:t>(6)</w:t>
      </w:r>
      <w:r w:rsidRPr="00020424">
        <w:rPr>
          <w:rtl/>
          <w:lang w:bidi="fa-IR"/>
        </w:rPr>
        <w:t xml:space="preserve"> عَرَفَةَ‌</w:t>
      </w:r>
    </w:p>
    <w:p w:rsidR="00992664" w:rsidRPr="00020424" w:rsidRDefault="00992664" w:rsidP="00992664">
      <w:pPr>
        <w:pStyle w:val="libLine"/>
        <w:rPr>
          <w:rtl/>
          <w:lang w:bidi="fa-IR"/>
        </w:rPr>
      </w:pPr>
      <w:r w:rsidRPr="00020424">
        <w:rPr>
          <w:rtl/>
          <w:lang w:bidi="fa-IR"/>
        </w:rPr>
        <w:t>__________________</w:t>
      </w:r>
    </w:p>
    <w:p w:rsidR="00992664" w:rsidRPr="00020424" w:rsidRDefault="00D32E51" w:rsidP="00992664">
      <w:pPr>
        <w:pStyle w:val="libFootnote0"/>
        <w:rPr>
          <w:rtl/>
          <w:lang w:bidi="fa-IR"/>
        </w:rPr>
      </w:pPr>
      <w:r>
        <w:rPr>
          <w:rFonts w:hint="cs"/>
          <w:rtl/>
        </w:rPr>
        <w:t xml:space="preserve">= </w:t>
      </w:r>
      <w:r w:rsidR="00992664" w:rsidRPr="00020424">
        <w:rPr>
          <w:rtl/>
        </w:rPr>
        <w:t xml:space="preserve">عن أبي جعفر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299 ، ح 903 ؛ </w:t>
      </w:r>
      <w:r w:rsidR="00992664" w:rsidRPr="00FD6221">
        <w:rPr>
          <w:rStyle w:val="libFootnoteBoldChar"/>
          <w:rtl/>
        </w:rPr>
        <w:t>والاستبصار</w:t>
      </w:r>
      <w:r w:rsidR="00FC18C2">
        <w:rPr>
          <w:rtl/>
        </w:rPr>
        <w:t xml:space="preserve"> ، ج 2 ، ص 133 ، ح 435</w:t>
      </w:r>
      <w:r w:rsidR="00992664" w:rsidRPr="00020424">
        <w:rPr>
          <w:rtl/>
        </w:rPr>
        <w:t xml:space="preserve">، بسند آخر عن أبي جعفر ، عن أبيه </w:t>
      </w:r>
      <w:r w:rsidR="00D64ADA" w:rsidRPr="00D64ADA">
        <w:rPr>
          <w:rStyle w:val="libFootnoteAlaemChar"/>
          <w:rtl/>
        </w:rPr>
        <w:t>عليهما‌السلام</w:t>
      </w:r>
      <w:r w:rsidR="00992664" w:rsidRPr="00020424">
        <w:rPr>
          <w:rtl/>
        </w:rPr>
        <w:t xml:space="preserve">. وفي </w:t>
      </w:r>
      <w:r w:rsidR="00992664" w:rsidRPr="0012008A">
        <w:rPr>
          <w:rStyle w:val="libFootnoteBoldChar"/>
          <w:rtl/>
        </w:rPr>
        <w:t>الفقيه</w:t>
      </w:r>
      <w:r w:rsidR="00992664" w:rsidRPr="00020424">
        <w:rPr>
          <w:rtl/>
        </w:rPr>
        <w:t xml:space="preserve"> ، ج 2 ، ص 88 ، ح 1811 ؛ </w:t>
      </w:r>
      <w:r w:rsidR="00992664" w:rsidRPr="00515444">
        <w:rPr>
          <w:rStyle w:val="libFootnoteBoldChar"/>
          <w:rtl/>
        </w:rPr>
        <w:t>وعلل الشرائع</w:t>
      </w:r>
      <w:r w:rsidR="00992664" w:rsidRPr="00DE76B9">
        <w:rPr>
          <w:rStyle w:val="libFootnoteBoldChar"/>
          <w:rtl/>
        </w:rPr>
        <w:t xml:space="preserve"> </w:t>
      </w:r>
      <w:r w:rsidR="00FC18C2">
        <w:rPr>
          <w:rtl/>
        </w:rPr>
        <w:t>، ص 385</w:t>
      </w:r>
      <w:r w:rsidR="00992664" w:rsidRPr="00020424">
        <w:rPr>
          <w:rtl/>
        </w:rPr>
        <w:t xml:space="preserve">، ح 1 ، بسند آخر. </w:t>
      </w:r>
      <w:r w:rsidR="00992664" w:rsidRPr="00757F3F">
        <w:rPr>
          <w:rStyle w:val="libFootnoteBoldChar"/>
          <w:rtl/>
        </w:rPr>
        <w:t>الأمالي للطوسي</w:t>
      </w:r>
      <w:r w:rsidR="00992664" w:rsidRPr="00020424">
        <w:rPr>
          <w:rtl/>
        </w:rPr>
        <w:t xml:space="preserve"> ، ص 667 ، المجلس 36 ، صدر ح 4 ، بسند آخر عن أبي عبدالله </w:t>
      </w:r>
      <w:r w:rsidR="00992664" w:rsidRPr="00D64ADA">
        <w:rPr>
          <w:rStyle w:val="libFootnoteAlaemChar"/>
          <w:rtl/>
        </w:rPr>
        <w:t>عليه‌السلام</w:t>
      </w:r>
      <w:r w:rsidR="00992664" w:rsidRPr="00020424">
        <w:rPr>
          <w:rtl/>
        </w:rPr>
        <w:t xml:space="preserve"> ، وفي كلّ المصادر مع اختلاف يسير وزيادة </w:t>
      </w:r>
      <w:r w:rsidR="00724819">
        <w:rPr>
          <w:rFonts w:hint="cs"/>
          <w:rtl/>
        </w:rPr>
        <w:t>.</w:t>
      </w:r>
      <w:r w:rsidR="00992664" w:rsidRPr="0012008A">
        <w:rPr>
          <w:rStyle w:val="libFootnoteBoldChar"/>
          <w:rtl/>
        </w:rPr>
        <w:t>الوافي</w:t>
      </w:r>
      <w:r w:rsidR="00992664" w:rsidRPr="00020424">
        <w:rPr>
          <w:rtl/>
        </w:rPr>
        <w:t xml:space="preserve"> ، ج 11 ، ص 79 ، ح 10444 ؛ </w:t>
      </w:r>
      <w:r w:rsidR="00992664" w:rsidRPr="0012008A">
        <w:rPr>
          <w:rStyle w:val="libFootnoteBoldChar"/>
          <w:rtl/>
        </w:rPr>
        <w:t>الوسائل</w:t>
      </w:r>
      <w:r w:rsidR="00992664" w:rsidRPr="00020424">
        <w:rPr>
          <w:rtl/>
        </w:rPr>
        <w:t xml:space="preserve"> ، ج 10 ، ص 464 ، ح 13855.</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بخ ، بر ، بف ، جر » </w:t>
      </w:r>
      <w:r w:rsidR="00992664" w:rsidRPr="00515444">
        <w:rPr>
          <w:rStyle w:val="libFootnoteBoldChar"/>
          <w:rtl/>
        </w:rPr>
        <w:t>والوافي</w:t>
      </w:r>
      <w:r w:rsidR="00992664" w:rsidRPr="00020424">
        <w:rPr>
          <w:rtl/>
        </w:rPr>
        <w:t xml:space="preserve">. وفي « ظ ، ى ، بث ، بح ، بس ، بف ، جن » والمطبوع </w:t>
      </w:r>
      <w:r w:rsidR="00992664" w:rsidRPr="00EB1FD9">
        <w:rPr>
          <w:rStyle w:val="libFootnoteBoldChar"/>
          <w:rtl/>
        </w:rPr>
        <w:t>والوسائل</w:t>
      </w:r>
      <w:r w:rsidR="00992664" w:rsidRPr="00020424">
        <w:rPr>
          <w:rtl/>
        </w:rPr>
        <w:t xml:space="preserve"> : « محمّد بن مسلم</w:t>
      </w:r>
      <w:r w:rsidR="00992664">
        <w:rPr>
          <w:rtl/>
        </w:rPr>
        <w:t xml:space="preserve"> ».</w:t>
      </w:r>
    </w:p>
    <w:p w:rsidR="00992664" w:rsidRPr="00020424" w:rsidRDefault="00992664" w:rsidP="00724819">
      <w:pPr>
        <w:pStyle w:val="libFootnote0"/>
        <w:rPr>
          <w:rtl/>
          <w:lang w:bidi="fa-IR"/>
        </w:rPr>
      </w:pPr>
      <w:r w:rsidRPr="00724819">
        <w:rPr>
          <w:rtl/>
        </w:rPr>
        <w:t xml:space="preserve">والظاهر أنّ الصواب ما أثبتناه ؛ فإنّ الخبر رواه الشيخ الطوسي في </w:t>
      </w:r>
      <w:r w:rsidRPr="0012008A">
        <w:rPr>
          <w:rStyle w:val="libFootnoteBoldChar"/>
          <w:rtl/>
        </w:rPr>
        <w:t>التهذيب</w:t>
      </w:r>
      <w:r w:rsidRPr="00724819">
        <w:rPr>
          <w:rtl/>
        </w:rPr>
        <w:t xml:space="preserve"> ، ج 4 ، ص 298 ، ح 902 ؛ </w:t>
      </w:r>
      <w:r w:rsidRPr="00FD6221">
        <w:rPr>
          <w:rStyle w:val="libFootnoteBoldChar"/>
          <w:rtl/>
        </w:rPr>
        <w:t>والاستبصار</w:t>
      </w:r>
      <w:r w:rsidRPr="00724819">
        <w:rPr>
          <w:rtl/>
        </w:rPr>
        <w:t xml:space="preserve"> ، ج 2 ، ص 133 ، ح 434 ، بسنده عن ثعلبة بن ميمون عن محمّد بن قيس.</w:t>
      </w:r>
    </w:p>
    <w:p w:rsidR="00992664" w:rsidRPr="00020424" w:rsidRDefault="00992664" w:rsidP="00724819">
      <w:pPr>
        <w:pStyle w:val="libFootnote0"/>
        <w:rPr>
          <w:rtl/>
          <w:lang w:bidi="fa-IR"/>
        </w:rPr>
      </w:pPr>
      <w:r w:rsidRPr="00724819">
        <w:rPr>
          <w:rtl/>
        </w:rPr>
        <w:t xml:space="preserve">ويؤيّد ذلك ندرة رواية ثعلبة بن ميمون عن محمّد بن مسلم ؛ فإنّا لم </w:t>
      </w:r>
      <w:r w:rsidR="00724819">
        <w:rPr>
          <w:rtl/>
        </w:rPr>
        <w:t>نجد روايته عن محمّد بن مسلم إل</w:t>
      </w:r>
      <w:r w:rsidR="00724819">
        <w:rPr>
          <w:rFonts w:hint="cs"/>
          <w:rtl/>
        </w:rPr>
        <w:t>ّ</w:t>
      </w:r>
      <w:r w:rsidR="00724819">
        <w:rPr>
          <w:rtl/>
        </w:rPr>
        <w:t>ا</w:t>
      </w:r>
      <w:r w:rsidRPr="00724819">
        <w:rPr>
          <w:rtl/>
        </w:rPr>
        <w:t xml:space="preserve">في </w:t>
      </w:r>
      <w:r w:rsidRPr="00DE76B9">
        <w:rPr>
          <w:rStyle w:val="libFootnoteBoldChar"/>
          <w:rtl/>
        </w:rPr>
        <w:t>الكافي</w:t>
      </w:r>
      <w:r w:rsidRPr="00724819">
        <w:rPr>
          <w:rtl/>
        </w:rPr>
        <w:t xml:space="preserve"> ، ح 12671. أمّا محمّد بن قيس ، فقد روى عنه ثعلبة [ بن ميمون ] في بعض الأسناد. راجع : معجم </w:t>
      </w:r>
      <w:r w:rsidRPr="00DE76B9">
        <w:rPr>
          <w:rStyle w:val="libFootnoteBoldChar"/>
          <w:rtl/>
        </w:rPr>
        <w:t>رجال الحديث</w:t>
      </w:r>
      <w:r w:rsidRPr="00724819">
        <w:rPr>
          <w:rtl/>
        </w:rPr>
        <w:t xml:space="preserve"> ، ج 3 ، ص 531 ؛ وص 537 </w:t>
      </w:r>
      <w:r w:rsidR="009B673F" w:rsidRPr="00724819">
        <w:rPr>
          <w:rtl/>
        </w:rPr>
        <w:t>-</w:t>
      </w:r>
      <w:r w:rsidRPr="00724819">
        <w:rPr>
          <w:rtl/>
        </w:rPr>
        <w:t xml:space="preserve"> 538.</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298 ، ح 902 ؛ </w:t>
      </w:r>
      <w:r w:rsidR="00992664" w:rsidRPr="00FD6221">
        <w:rPr>
          <w:rStyle w:val="libFootnoteBoldChar"/>
          <w:rtl/>
        </w:rPr>
        <w:t>والاستبصار</w:t>
      </w:r>
      <w:r w:rsidR="00992664" w:rsidRPr="00020424">
        <w:rPr>
          <w:rtl/>
        </w:rPr>
        <w:t xml:space="preserve"> ، ج 2 ، ص 133 ، ح 434 ، معلّقاً عن عليّ بن الحسن بن فضّال ، عن محمّد وأحمد ابني الحسن ، عن أبيهما ، عن ثعلبة بن ميمون </w:t>
      </w:r>
      <w:r w:rsidR="00286502">
        <w:rPr>
          <w:rFonts w:hint="cs"/>
          <w:rtl/>
        </w:rPr>
        <w:t>.</w:t>
      </w:r>
      <w:r w:rsidR="00992664" w:rsidRPr="0012008A">
        <w:rPr>
          <w:rStyle w:val="libFootnoteBoldChar"/>
          <w:rtl/>
        </w:rPr>
        <w:t>الوافي</w:t>
      </w:r>
      <w:r w:rsidR="00992664" w:rsidRPr="00020424">
        <w:rPr>
          <w:rtl/>
        </w:rPr>
        <w:t xml:space="preserve"> ، ج 11 ، ص 79 ، ح 10445 ؛ </w:t>
      </w:r>
      <w:r w:rsidR="00992664" w:rsidRPr="0012008A">
        <w:rPr>
          <w:rStyle w:val="libFootnoteBoldChar"/>
          <w:rtl/>
        </w:rPr>
        <w:t>الوسائل</w:t>
      </w:r>
      <w:r w:rsidR="00992664" w:rsidRPr="00020424">
        <w:rPr>
          <w:rtl/>
        </w:rPr>
        <w:t xml:space="preserve"> ، ج 10 ، ص 464 ، ح 13856.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بح ، بر » </w:t>
      </w:r>
      <w:r w:rsidR="00992664" w:rsidRPr="00515444">
        <w:rPr>
          <w:rStyle w:val="libFootnoteBoldChar"/>
          <w:rtl/>
        </w:rPr>
        <w:t>والتهذيب</w:t>
      </w:r>
      <w:r w:rsidR="00992664" w:rsidRPr="00020424">
        <w:rPr>
          <w:rtl/>
        </w:rPr>
        <w:t xml:space="preserve"> : « النيشابوري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لا تصومنّ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ى ، بخ ، بف » </w:t>
      </w:r>
      <w:r w:rsidR="00992664" w:rsidRPr="006561E7">
        <w:rPr>
          <w:rtl/>
        </w:rPr>
        <w:t>والوافي والتهذيب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يوم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C18C2">
      <w:pPr>
        <w:pStyle w:val="libNormal0"/>
        <w:rPr>
          <w:rtl/>
          <w:lang w:bidi="fa-IR"/>
        </w:rPr>
      </w:pPr>
      <w:r w:rsidRPr="00020424">
        <w:rPr>
          <w:rtl/>
          <w:lang w:bidi="fa-IR"/>
        </w:rPr>
        <w:t xml:space="preserve">بِمَكَّةَ </w:t>
      </w:r>
      <w:r w:rsidRPr="00A91B96">
        <w:rPr>
          <w:rStyle w:val="libFootnotenumChar"/>
          <w:rtl/>
        </w:rPr>
        <w:t>(1)</w:t>
      </w:r>
      <w:r w:rsidRPr="00020424">
        <w:rPr>
          <w:rtl/>
          <w:lang w:bidi="fa-IR"/>
        </w:rPr>
        <w:t xml:space="preserve"> ، وَلَافِي الْمَدِينَةِ </w:t>
      </w:r>
      <w:r w:rsidRPr="00A91B96">
        <w:rPr>
          <w:rStyle w:val="libFootnotenumChar"/>
          <w:rtl/>
        </w:rPr>
        <w:t>(2)</w:t>
      </w:r>
      <w:r w:rsidRPr="00020424">
        <w:rPr>
          <w:rtl/>
          <w:lang w:bidi="fa-IR"/>
        </w:rPr>
        <w:t xml:space="preserve"> ، وَلَافِي وَطَنِكَ ، وَلَافِي مِصْرٍ مِنَ الْأَمْصَارِ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93B0F">
        <w:rPr>
          <w:rtl/>
        </w:rPr>
        <w:t>6581</w:t>
      </w:r>
      <w:r w:rsidRPr="001155DE">
        <w:rPr>
          <w:rStyle w:val="libBold2Char"/>
          <w:rtl/>
        </w:rPr>
        <w:t xml:space="preserve"> / 4.</w:t>
      </w:r>
      <w:r w:rsidRPr="00020424">
        <w:rPr>
          <w:rtl/>
          <w:lang w:bidi="fa-IR"/>
        </w:rPr>
        <w:t xml:space="preserve"> الْحَسَنُ </w:t>
      </w:r>
      <w:r w:rsidRPr="00A91B96">
        <w:rPr>
          <w:rStyle w:val="libFootnotenumChar"/>
          <w:rtl/>
        </w:rPr>
        <w:t>(4)</w:t>
      </w:r>
      <w:r w:rsidRPr="00020424">
        <w:rPr>
          <w:rtl/>
          <w:lang w:bidi="fa-IR"/>
        </w:rPr>
        <w:t xml:space="preserve"> بْنُ عَلِيٍّ الْهَاشِمِيُّ ، عَنْ مُحَمَّدِ بْنِ مُوسى ، عَنْ يَعْقُوبَ بْنِ يَزِيدَ ، عَنِ الْحَسَنِ بْنِ عَلِيٍّ </w:t>
      </w:r>
      <w:r w:rsidRPr="00A91B96">
        <w:rPr>
          <w:rStyle w:val="libFootnotenumChar"/>
          <w:rtl/>
        </w:rPr>
        <w:t>(5)</w:t>
      </w:r>
      <w:r w:rsidRPr="00020424">
        <w:rPr>
          <w:rtl/>
          <w:lang w:bidi="fa-IR"/>
        </w:rPr>
        <w:t xml:space="preserve"> الْوَشَّاءِ ، قَالَ : حَدَّثَنِي نَجِيَّةُ </w:t>
      </w:r>
      <w:r w:rsidRPr="00A91B96">
        <w:rPr>
          <w:rStyle w:val="libFootnotenumChar"/>
          <w:rtl/>
        </w:rPr>
        <w:t>(6)</w:t>
      </w:r>
      <w:r w:rsidRPr="00020424">
        <w:rPr>
          <w:rtl/>
          <w:lang w:bidi="fa-IR"/>
        </w:rPr>
        <w:t xml:space="preserve"> بْنُ الْحَارِثِ الْعَطَّارُ ، قَالَ :</w:t>
      </w:r>
    </w:p>
    <w:p w:rsidR="00992664" w:rsidRPr="00020424" w:rsidRDefault="00992664" w:rsidP="00992664">
      <w:pPr>
        <w:pStyle w:val="libNormal"/>
        <w:rPr>
          <w:rtl/>
          <w:lang w:bidi="fa-IR"/>
        </w:rPr>
      </w:pPr>
      <w:r w:rsidRPr="00020424">
        <w:rPr>
          <w:rtl/>
          <w:lang w:bidi="fa-IR"/>
        </w:rPr>
        <w:t xml:space="preserve">سَأَلْتُ أَبَا جَعْفَرٍ </w:t>
      </w:r>
      <w:r w:rsidRPr="00A91B96">
        <w:rPr>
          <w:rStyle w:val="libFootnotenumChar"/>
          <w:rtl/>
        </w:rPr>
        <w:t>(7)</w:t>
      </w:r>
      <w:r w:rsidRPr="00020424">
        <w:rPr>
          <w:rtl/>
          <w:lang w:bidi="fa-IR"/>
        </w:rPr>
        <w:t xml:space="preserve"> </w:t>
      </w:r>
      <w:r w:rsidRPr="00005A81">
        <w:rPr>
          <w:rStyle w:val="libAlaemChar"/>
          <w:rtl/>
        </w:rPr>
        <w:t>عليه‌السلام</w:t>
      </w:r>
      <w:r w:rsidRPr="00020424">
        <w:rPr>
          <w:rtl/>
          <w:lang w:bidi="fa-IR"/>
        </w:rPr>
        <w:t xml:space="preserve"> عَنْ صَوْمِ يَوْمِ عَاشُورَاءَ</w:t>
      </w:r>
      <w:r>
        <w:rPr>
          <w:rtl/>
          <w:lang w:bidi="fa-IR"/>
        </w:rPr>
        <w:t>؟</w:t>
      </w:r>
    </w:p>
    <w:p w:rsidR="00992664" w:rsidRPr="00020424" w:rsidRDefault="00992664" w:rsidP="00992664">
      <w:pPr>
        <w:pStyle w:val="libNormal"/>
        <w:rPr>
          <w:rtl/>
          <w:lang w:bidi="fa-IR"/>
        </w:rPr>
      </w:pPr>
      <w:r w:rsidRPr="00020424">
        <w:rPr>
          <w:rtl/>
          <w:lang w:bidi="fa-IR"/>
        </w:rPr>
        <w:t>فَقَالَ : « صَوْمٌ مَتْرُوكٌ بِنُزُولِ شَهْرِ رَمَضَانَ ، وَالْمَتْرُوكُ بِدْعَةٌ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نَجِيَّةُ </w:t>
      </w:r>
      <w:r w:rsidRPr="00A91B96">
        <w:rPr>
          <w:rStyle w:val="libFootnotenumChar"/>
          <w:rtl/>
        </w:rPr>
        <w:t>(8)</w:t>
      </w:r>
      <w:r w:rsidRPr="00020424">
        <w:rPr>
          <w:rtl/>
          <w:lang w:bidi="fa-IR"/>
        </w:rPr>
        <w:t xml:space="preserve"> : فَسَأَلْتُ أَبَا عَبْدِ اللهِ </w:t>
      </w:r>
      <w:r w:rsidRPr="00005A81">
        <w:rPr>
          <w:rStyle w:val="libAlaemChar"/>
          <w:rtl/>
        </w:rPr>
        <w:t>عليه‌السلام</w:t>
      </w:r>
      <w:r w:rsidRPr="00020424">
        <w:rPr>
          <w:rtl/>
          <w:lang w:bidi="fa-IR"/>
        </w:rPr>
        <w:t xml:space="preserve"> مِنْ بَعْدِ أَبِيهِ </w:t>
      </w:r>
      <w:r w:rsidRPr="00005A81">
        <w:rPr>
          <w:rStyle w:val="libAlaemChar"/>
          <w:rtl/>
        </w:rPr>
        <w:t>عليه‌السلام</w:t>
      </w:r>
      <w:r w:rsidRPr="00020424">
        <w:rPr>
          <w:rtl/>
          <w:lang w:bidi="fa-IR"/>
        </w:rPr>
        <w:t xml:space="preserve"> عَنْ ذلِكَ </w:t>
      </w:r>
      <w:r w:rsidRPr="00A91B96">
        <w:rPr>
          <w:rStyle w:val="libFootnotenumChar"/>
          <w:rtl/>
        </w:rPr>
        <w:t>(9)</w:t>
      </w:r>
      <w:r w:rsidRPr="00020424">
        <w:rPr>
          <w:rtl/>
          <w:lang w:bidi="fa-IR"/>
        </w:rPr>
        <w:t xml:space="preserve"> ، فَأَجَابَنِي </w:t>
      </w:r>
      <w:r w:rsidRPr="00A91B96">
        <w:rPr>
          <w:rStyle w:val="libFootnotenumChar"/>
          <w:rtl/>
        </w:rPr>
        <w:t>(10)</w:t>
      </w:r>
      <w:r w:rsidRPr="00020424">
        <w:rPr>
          <w:rtl/>
          <w:lang w:bidi="fa-IR"/>
        </w:rPr>
        <w:t xml:space="preserve"> بِمِثْلِ جَوَابِ أَبِيهِ ، ثُمَّ قَالَ </w:t>
      </w:r>
      <w:r w:rsidRPr="00A91B96">
        <w:rPr>
          <w:rStyle w:val="libFootnotenumChar"/>
          <w:rtl/>
        </w:rPr>
        <w:t>(11)</w:t>
      </w:r>
      <w:r w:rsidRPr="00020424">
        <w:rPr>
          <w:rtl/>
          <w:lang w:bidi="fa-IR"/>
        </w:rPr>
        <w:t xml:space="preserve"> : « أَمَا إِنَّهُ صَوْمُ </w:t>
      </w:r>
      <w:r w:rsidRPr="00A91B96">
        <w:rPr>
          <w:rStyle w:val="libFootnotenumChar"/>
          <w:rtl/>
        </w:rPr>
        <w:t>(12)</w:t>
      </w:r>
      <w:r w:rsidRPr="00020424">
        <w:rPr>
          <w:rtl/>
          <w:lang w:bidi="fa-IR"/>
        </w:rPr>
        <w:t xml:space="preserve"> يَوْمٍ </w:t>
      </w:r>
      <w:r w:rsidRPr="00A91B96">
        <w:rPr>
          <w:rStyle w:val="libFootnotenumChar"/>
          <w:rtl/>
        </w:rPr>
        <w:t>(13)</w:t>
      </w:r>
      <w:r w:rsidRPr="00020424">
        <w:rPr>
          <w:rtl/>
          <w:lang w:bidi="fa-IR"/>
        </w:rPr>
        <w:t xml:space="preserve"> مَا نَزَلَ بِهِ كِتَابٌ ، وَلَاجَرَتْ </w:t>
      </w:r>
      <w:r w:rsidRPr="00A91B96">
        <w:rPr>
          <w:rStyle w:val="libFootnotenumChar"/>
          <w:rtl/>
        </w:rPr>
        <w:t>(14)</w:t>
      </w:r>
      <w:r w:rsidRPr="00020424">
        <w:rPr>
          <w:rtl/>
          <w:lang w:bidi="fa-IR"/>
        </w:rPr>
        <w:t xml:space="preserve"> بِ</w:t>
      </w:r>
      <w:r w:rsidR="00A31258">
        <w:rPr>
          <w:rtl/>
          <w:lang w:bidi="fa-IR"/>
        </w:rPr>
        <w:t>هِ سُنَّةٌ إِل</w:t>
      </w:r>
      <w:r w:rsidR="00A31258">
        <w:rPr>
          <w:rFonts w:hint="cs"/>
          <w:rtl/>
          <w:lang w:bidi="fa-IR"/>
        </w:rPr>
        <w:t>َّ</w:t>
      </w:r>
      <w:r w:rsidR="00A31258">
        <w:rPr>
          <w:rtl/>
          <w:lang w:bidi="fa-IR"/>
        </w:rPr>
        <w:t>ا</w:t>
      </w:r>
      <w:r w:rsidRPr="00020424">
        <w:rPr>
          <w:rtl/>
          <w:lang w:bidi="fa-IR"/>
        </w:rPr>
        <w:t xml:space="preserve"> سُنَّةُ آلِ زِيَادٍ </w:t>
      </w:r>
      <w:r w:rsidRPr="00A91B96">
        <w:rPr>
          <w:rStyle w:val="libFootnotenumChar"/>
          <w:rtl/>
        </w:rPr>
        <w:t>(15)</w:t>
      </w:r>
      <w:r w:rsidRPr="00020424">
        <w:rPr>
          <w:rtl/>
          <w:lang w:bidi="fa-IR"/>
        </w:rPr>
        <w:t xml:space="preserve"> بِقَتْلِ الْحُسَيْنِ بْنِ عَلِيٍّ صَلَوَاتُ اللهِ عَلَيْهِمَا</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قوله </w:t>
      </w:r>
      <w:r w:rsidR="00992664" w:rsidRPr="00D64ADA">
        <w:rPr>
          <w:rStyle w:val="libFootnoteAlaemChar"/>
          <w:rtl/>
        </w:rPr>
        <w:t>عليه‌السلام</w:t>
      </w:r>
      <w:r w:rsidR="00992664" w:rsidRPr="00020424">
        <w:rPr>
          <w:rtl/>
        </w:rPr>
        <w:t xml:space="preserve"> : بمكّة إلى آخر الحديث متعلّق بعرفة ، وهو ردّ على من خصّ استحبابه ببعض هذه المواضع</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بح » : « ولا المدينة</w:t>
      </w:r>
      <w:r w:rsidR="00992664">
        <w:rPr>
          <w:rtl/>
        </w:rPr>
        <w:t xml:space="preserve"> ».</w:t>
      </w:r>
      <w:r w:rsidR="00992664" w:rsidRPr="00020424">
        <w:rPr>
          <w:rtl/>
        </w:rPr>
        <w:t xml:space="preserve"> وفي « بث ، بخ ، بر ، بف » </w:t>
      </w:r>
      <w:r w:rsidR="00992664" w:rsidRPr="00FC18C2">
        <w:rPr>
          <w:rtl/>
        </w:rPr>
        <w:t xml:space="preserve">والوافي والتهذيب والاستبصار </w:t>
      </w:r>
      <w:r w:rsidR="00992664" w:rsidRPr="00020424">
        <w:rPr>
          <w:rtl/>
        </w:rPr>
        <w:t>: « ولا بالمدينة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300 ، ح 909 ؛ </w:t>
      </w:r>
      <w:r w:rsidR="00992664" w:rsidRPr="00FD6221">
        <w:rPr>
          <w:rStyle w:val="libFootnoteBoldChar"/>
          <w:rtl/>
        </w:rPr>
        <w:t>والاستبصار</w:t>
      </w:r>
      <w:r w:rsidR="00992664" w:rsidRPr="00020424">
        <w:rPr>
          <w:rtl/>
        </w:rPr>
        <w:t xml:space="preserve"> ، ج 2 ، ص 134 ، ح 440 ، معلّقاً عن الكليني. وراجع : </w:t>
      </w:r>
      <w:r w:rsidR="00992664" w:rsidRPr="00DE76B9">
        <w:rPr>
          <w:rStyle w:val="libFootnoteBoldChar"/>
          <w:rtl/>
        </w:rPr>
        <w:t>الكافي</w:t>
      </w:r>
      <w:r w:rsidR="00992664" w:rsidRPr="00020424">
        <w:rPr>
          <w:rtl/>
        </w:rPr>
        <w:t xml:space="preserve"> ، كتاب الحجّ ، باب النوادر ، ح 8088 </w:t>
      </w:r>
      <w:r w:rsidR="00B4394B">
        <w:rPr>
          <w:rFonts w:hint="cs"/>
          <w:rtl/>
        </w:rPr>
        <w:t>.</w:t>
      </w:r>
      <w:r w:rsidR="00992664" w:rsidRPr="0012008A">
        <w:rPr>
          <w:rStyle w:val="libFootnoteBoldChar"/>
          <w:rtl/>
        </w:rPr>
        <w:t>الوافي</w:t>
      </w:r>
      <w:r w:rsidR="00992664" w:rsidRPr="00020424">
        <w:rPr>
          <w:rtl/>
        </w:rPr>
        <w:t xml:space="preserve"> ، ج 11 ، ص 71 ، ح 10433 ؛ </w:t>
      </w:r>
      <w:r w:rsidR="00992664" w:rsidRPr="0012008A">
        <w:rPr>
          <w:rStyle w:val="libFootnoteBoldChar"/>
          <w:rtl/>
        </w:rPr>
        <w:t>الوسائل</w:t>
      </w:r>
      <w:r w:rsidR="00992664" w:rsidRPr="00020424">
        <w:rPr>
          <w:rtl/>
        </w:rPr>
        <w:t xml:space="preserve"> ، ج 10 ، ص 462 ، ح 13851.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جن » وحاشية « بث ، بف » : « الحسين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الحسن به عليّ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ى ، بث ، بح ، بخ ، بس ، جن </w:t>
      </w:r>
      <w:r w:rsidR="00992664" w:rsidRPr="00FC18C2">
        <w:rPr>
          <w:rtl/>
        </w:rPr>
        <w:t>» والوسائل والتهذيب والاستبصار.</w:t>
      </w:r>
      <w:r w:rsidR="00992664" w:rsidRPr="00020424">
        <w:rPr>
          <w:rtl/>
        </w:rPr>
        <w:t xml:space="preserve"> وفي « بر » : « نجيد</w:t>
      </w:r>
      <w:r w:rsidR="00992664">
        <w:rPr>
          <w:rtl/>
        </w:rPr>
        <w:t xml:space="preserve"> ».</w:t>
      </w:r>
      <w:r w:rsidR="00992664" w:rsidRPr="00020424">
        <w:rPr>
          <w:rtl/>
        </w:rPr>
        <w:t xml:space="preserve"> وفي « ظ ، بف » والمطبوع : « نجبة</w:t>
      </w:r>
      <w:r w:rsidR="00992664">
        <w:rPr>
          <w:rtl/>
        </w:rPr>
        <w:t xml:space="preserve"> ».</w:t>
      </w:r>
      <w:r w:rsidR="00992664" w:rsidRPr="00020424">
        <w:rPr>
          <w:rtl/>
        </w:rPr>
        <w:t xml:space="preserve"> والصواب ما أثبتناه ، كما تقدّم تفصيل الكلام في </w:t>
      </w:r>
      <w:r w:rsidR="00992664" w:rsidRPr="00DE76B9">
        <w:rPr>
          <w:rStyle w:val="libFootnoteBoldChar"/>
          <w:rtl/>
        </w:rPr>
        <w:t>الكافي</w:t>
      </w:r>
      <w:r w:rsidR="00992664" w:rsidRPr="00020424">
        <w:rPr>
          <w:rtl/>
        </w:rPr>
        <w:t xml:space="preserve"> ذيل ح 1664 ، فلاحظ.</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بح » : « أبا عبد الله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ى ، بث ، بح ، بخ ، بس ، جن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وفي « بر » : « نجيد</w:t>
      </w:r>
      <w:r w:rsidR="00992664">
        <w:rPr>
          <w:rtl/>
        </w:rPr>
        <w:t xml:space="preserve"> ».</w:t>
      </w:r>
      <w:r w:rsidR="00992664" w:rsidRPr="00020424">
        <w:rPr>
          <w:rtl/>
        </w:rPr>
        <w:t xml:space="preserve"> وفي « ظ ، بف » والمطبوع : « نجبة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عن ذلك من بعد أبيه » بدل « من بعد أبيه </w:t>
      </w:r>
      <w:r w:rsidR="00992664" w:rsidRPr="00D64ADA">
        <w:rPr>
          <w:rStyle w:val="libFootnoteAlaemChar"/>
          <w:rtl/>
        </w:rPr>
        <w:t>عليه‌السلام</w:t>
      </w:r>
      <w:r w:rsidR="00992664" w:rsidRPr="00020424">
        <w:rPr>
          <w:rtl/>
        </w:rPr>
        <w:t xml:space="preserve"> عن ذلك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4394B" w:rsidTr="00B4394B">
        <w:tc>
          <w:tcPr>
            <w:tcW w:w="4006" w:type="dxa"/>
          </w:tcPr>
          <w:p w:rsidR="00B4394B" w:rsidRDefault="00B4394B" w:rsidP="00992664">
            <w:pPr>
              <w:pStyle w:val="libFootnote0"/>
              <w:rPr>
                <w:rtl/>
              </w:rPr>
            </w:pPr>
            <w:r>
              <w:rPr>
                <w:rtl/>
              </w:rPr>
              <w:t xml:space="preserve">(10). </w:t>
            </w:r>
            <w:r w:rsidRPr="00020424">
              <w:rPr>
                <w:rtl/>
              </w:rPr>
              <w:t xml:space="preserve">في </w:t>
            </w:r>
            <w:r w:rsidRPr="0012008A">
              <w:rPr>
                <w:rStyle w:val="libFootnoteBoldChar"/>
                <w:rtl/>
              </w:rPr>
              <w:t>التهذيب</w:t>
            </w:r>
            <w:r w:rsidRPr="00020424">
              <w:rPr>
                <w:rtl/>
              </w:rPr>
              <w:t xml:space="preserve"> : « فأجاب</w:t>
            </w:r>
            <w:r>
              <w:rPr>
                <w:rtl/>
              </w:rPr>
              <w:t xml:space="preserve"> ».</w:t>
            </w:r>
          </w:p>
        </w:tc>
        <w:tc>
          <w:tcPr>
            <w:tcW w:w="4006" w:type="dxa"/>
          </w:tcPr>
          <w:p w:rsidR="00B4394B" w:rsidRDefault="00B4394B" w:rsidP="00992664">
            <w:pPr>
              <w:pStyle w:val="libFootnote0"/>
              <w:rPr>
                <w:rtl/>
              </w:rPr>
            </w:pPr>
            <w:r>
              <w:rPr>
                <w:rtl/>
              </w:rPr>
              <w:t xml:space="preserve">(11). </w:t>
            </w:r>
            <w:r w:rsidRPr="00020424">
              <w:rPr>
                <w:rtl/>
              </w:rPr>
              <w:t xml:space="preserve">في </w:t>
            </w:r>
            <w:r w:rsidRPr="0012008A">
              <w:rPr>
                <w:rStyle w:val="libFootnoteBoldChar"/>
                <w:rtl/>
              </w:rPr>
              <w:t>التهذيب</w:t>
            </w:r>
            <w:r w:rsidRPr="00020424">
              <w:rPr>
                <w:rtl/>
              </w:rPr>
              <w:t xml:space="preserve"> : + « لي</w:t>
            </w:r>
            <w:r>
              <w:rPr>
                <w:rtl/>
              </w:rPr>
              <w:t xml:space="preserve"> ».</w:t>
            </w:r>
          </w:p>
        </w:tc>
      </w:tr>
      <w:tr w:rsidR="00B4394B" w:rsidTr="00B4394B">
        <w:tc>
          <w:tcPr>
            <w:tcW w:w="4006" w:type="dxa"/>
          </w:tcPr>
          <w:p w:rsidR="00B4394B" w:rsidRDefault="00B4394B" w:rsidP="00992664">
            <w:pPr>
              <w:pStyle w:val="libFootnote0"/>
              <w:rPr>
                <w:rtl/>
              </w:rPr>
            </w:pPr>
            <w:r>
              <w:rPr>
                <w:rtl/>
              </w:rPr>
              <w:t xml:space="preserve">(12).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صيام</w:t>
            </w:r>
            <w:r>
              <w:rPr>
                <w:rtl/>
              </w:rPr>
              <w:t xml:space="preserve"> ».</w:t>
            </w:r>
          </w:p>
        </w:tc>
        <w:tc>
          <w:tcPr>
            <w:tcW w:w="4006" w:type="dxa"/>
          </w:tcPr>
          <w:p w:rsidR="00B4394B" w:rsidRDefault="00B4394B" w:rsidP="00992664">
            <w:pPr>
              <w:pStyle w:val="libFootnote0"/>
              <w:rPr>
                <w:rtl/>
              </w:rPr>
            </w:pPr>
            <w:r>
              <w:rPr>
                <w:rtl/>
              </w:rPr>
              <w:t xml:space="preserve">(13). </w:t>
            </w:r>
            <w:r w:rsidRPr="00020424">
              <w:rPr>
                <w:rtl/>
              </w:rPr>
              <w:t xml:space="preserve">في « بخ ، بر ، بف » </w:t>
            </w:r>
            <w:r w:rsidRPr="00515444">
              <w:rPr>
                <w:rStyle w:val="libFootnoteBoldChar"/>
                <w:rtl/>
              </w:rPr>
              <w:t>والوافي</w:t>
            </w:r>
            <w:r w:rsidRPr="00020424">
              <w:rPr>
                <w:rtl/>
              </w:rPr>
              <w:t xml:space="preserve"> :</w:t>
            </w:r>
            <w:r>
              <w:rPr>
                <w:rtl/>
              </w:rPr>
              <w:t xml:space="preserve"> - </w:t>
            </w:r>
            <w:r w:rsidRPr="00020424">
              <w:rPr>
                <w:rtl/>
              </w:rPr>
              <w:t>« يوم</w:t>
            </w:r>
            <w:r>
              <w:rPr>
                <w:rtl/>
              </w:rPr>
              <w:t xml:space="preserve"> ».</w:t>
            </w:r>
          </w:p>
        </w:tc>
      </w:tr>
      <w:tr w:rsidR="00B4394B" w:rsidTr="00B4394B">
        <w:tc>
          <w:tcPr>
            <w:tcW w:w="4006" w:type="dxa"/>
          </w:tcPr>
          <w:p w:rsidR="00B4394B" w:rsidRDefault="00B4394B" w:rsidP="00992664">
            <w:pPr>
              <w:pStyle w:val="libFootnote0"/>
              <w:rPr>
                <w:rtl/>
              </w:rPr>
            </w:pPr>
            <w:r>
              <w:rPr>
                <w:rtl/>
              </w:rPr>
              <w:t xml:space="preserve">(14). </w:t>
            </w:r>
            <w:r w:rsidRPr="00020424">
              <w:rPr>
                <w:rtl/>
              </w:rPr>
              <w:t xml:space="preserve">في « بر ، بف » </w:t>
            </w:r>
            <w:r w:rsidRPr="00515444">
              <w:rPr>
                <w:rStyle w:val="libFootnoteBoldChar"/>
                <w:rtl/>
              </w:rPr>
              <w:t>والوافي</w:t>
            </w:r>
            <w:r w:rsidRPr="00020424">
              <w:rPr>
                <w:rtl/>
              </w:rPr>
              <w:t xml:space="preserve"> : « ولا جرى</w:t>
            </w:r>
            <w:r>
              <w:rPr>
                <w:rtl/>
              </w:rPr>
              <w:t xml:space="preserve"> ».</w:t>
            </w:r>
          </w:p>
        </w:tc>
        <w:tc>
          <w:tcPr>
            <w:tcW w:w="4006" w:type="dxa"/>
          </w:tcPr>
          <w:p w:rsidR="00B4394B" w:rsidRDefault="00B4394B" w:rsidP="00992664">
            <w:pPr>
              <w:pStyle w:val="libFootnote0"/>
              <w:rPr>
                <w:rtl/>
              </w:rPr>
            </w:pPr>
            <w:r>
              <w:rPr>
                <w:rtl/>
              </w:rPr>
              <w:t xml:space="preserve">(15).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 لعنهم الله</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301 ، ح 910 ؛ </w:t>
      </w:r>
      <w:r w:rsidR="00992664" w:rsidRPr="00FD6221">
        <w:rPr>
          <w:rStyle w:val="libFootnoteBoldChar"/>
          <w:rtl/>
        </w:rPr>
        <w:t>والاستبصار</w:t>
      </w:r>
      <w:r w:rsidR="00992664" w:rsidRPr="00020424">
        <w:rPr>
          <w:rtl/>
        </w:rPr>
        <w:t xml:space="preserve"> ، ج 2 ، ص 134 ، ح 441 ، معلّقاً عن الكليني. </w:t>
      </w:r>
      <w:r w:rsidR="00992664" w:rsidRPr="0012008A">
        <w:rPr>
          <w:rStyle w:val="libFootnoteBoldChar"/>
          <w:rtl/>
        </w:rPr>
        <w:t>الفقيه</w:t>
      </w:r>
      <w:r w:rsidR="00992664" w:rsidRPr="00020424">
        <w:rPr>
          <w:rtl/>
        </w:rPr>
        <w:t xml:space="preserve"> ، ج 2 ، </w:t>
      </w:r>
      <w:r w:rsidR="00323A0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93B0F">
        <w:rPr>
          <w:rtl/>
        </w:rPr>
        <w:t>6582</w:t>
      </w:r>
      <w:r w:rsidRPr="001155DE">
        <w:rPr>
          <w:rStyle w:val="libBold2Char"/>
          <w:rtl/>
        </w:rPr>
        <w:t xml:space="preserve"> / 5.</w:t>
      </w:r>
      <w:r w:rsidRPr="00020424">
        <w:rPr>
          <w:rtl/>
          <w:lang w:bidi="fa-IR"/>
        </w:rPr>
        <w:t xml:space="preserve"> عَنْهُ ، عَنْ مُحَمَّدِ بْنِ عِيسَى بْنِ عُبَيْدٍ ، قَالَ : حَدَّثَنَا </w:t>
      </w:r>
      <w:r w:rsidRPr="00A91B96">
        <w:rPr>
          <w:rStyle w:val="libFootnotenumChar"/>
          <w:rtl/>
        </w:rPr>
        <w:t>(1)</w:t>
      </w:r>
      <w:r w:rsidRPr="00020424">
        <w:rPr>
          <w:rtl/>
          <w:lang w:bidi="fa-IR"/>
        </w:rPr>
        <w:t xml:space="preserve"> جَعْفَرُ بْنُ عِيسى أَخِي</w:t>
      </w:r>
      <w:r w:rsidRPr="00A91B96">
        <w:rPr>
          <w:rStyle w:val="libFootnotenumChar"/>
          <w:rtl/>
        </w:rPr>
        <w:t>(2)</w:t>
      </w:r>
      <w:r w:rsidRPr="00020424">
        <w:rPr>
          <w:rtl/>
          <w:lang w:bidi="fa-IR"/>
        </w:rPr>
        <w:t>، قَالَ :</w:t>
      </w:r>
    </w:p>
    <w:p w:rsidR="00992664" w:rsidRPr="00020424" w:rsidRDefault="00992664" w:rsidP="00992664">
      <w:pPr>
        <w:pStyle w:val="libNormal"/>
        <w:rPr>
          <w:rtl/>
          <w:lang w:bidi="fa-IR"/>
        </w:rPr>
      </w:pPr>
      <w:r w:rsidRPr="00020424">
        <w:rPr>
          <w:rtl/>
          <w:lang w:bidi="fa-IR"/>
        </w:rPr>
        <w:t xml:space="preserve">سَأَلْتُ الرِّضَا </w:t>
      </w:r>
      <w:r w:rsidRPr="00005A81">
        <w:rPr>
          <w:rStyle w:val="libAlaemChar"/>
          <w:rtl/>
        </w:rPr>
        <w:t>عليه‌السلام</w:t>
      </w:r>
      <w:r w:rsidRPr="00020424">
        <w:rPr>
          <w:rtl/>
          <w:lang w:bidi="fa-IR"/>
        </w:rPr>
        <w:t xml:space="preserve"> عَنْ صَوْمِ </w:t>
      </w:r>
      <w:r w:rsidRPr="00A91B96">
        <w:rPr>
          <w:rStyle w:val="libFootnotenumChar"/>
          <w:rtl/>
        </w:rPr>
        <w:t>(3)</w:t>
      </w:r>
      <w:r w:rsidRPr="00020424">
        <w:rPr>
          <w:rtl/>
          <w:lang w:bidi="fa-IR"/>
        </w:rPr>
        <w:t xml:space="preserve"> عَاشُورَاءَ وَمَا يَقُولُ النَّاسُ فِيهِ</w:t>
      </w:r>
      <w:r>
        <w:rPr>
          <w:rtl/>
          <w:lang w:bidi="fa-IR"/>
        </w:rPr>
        <w:t>؟</w:t>
      </w:r>
    </w:p>
    <w:p w:rsidR="00992664" w:rsidRPr="00020424" w:rsidRDefault="00992664" w:rsidP="00FC18C2">
      <w:pPr>
        <w:pStyle w:val="libNormal"/>
        <w:rPr>
          <w:rtl/>
          <w:lang w:bidi="fa-IR"/>
        </w:rPr>
      </w:pPr>
      <w:r w:rsidRPr="00020424">
        <w:rPr>
          <w:rtl/>
          <w:lang w:bidi="fa-IR"/>
        </w:rPr>
        <w:t>فَقَالَ : « عَنْ صَوْمِ ابْنِ مَرْجَانَةَ تَسْأَ لُنِي</w:t>
      </w:r>
      <w:r>
        <w:rPr>
          <w:rtl/>
          <w:lang w:bidi="fa-IR"/>
        </w:rPr>
        <w:t>؟</w:t>
      </w:r>
      <w:r w:rsidRPr="00020424">
        <w:rPr>
          <w:rtl/>
          <w:lang w:bidi="fa-IR"/>
        </w:rPr>
        <w:t xml:space="preserve"> ذلِكَ يَوْمٌ صَامَهُ </w:t>
      </w:r>
      <w:r w:rsidRPr="00A91B96">
        <w:rPr>
          <w:rStyle w:val="libFootnotenumChar"/>
          <w:rtl/>
        </w:rPr>
        <w:t>(4)</w:t>
      </w:r>
      <w:r w:rsidRPr="00020424">
        <w:rPr>
          <w:rtl/>
          <w:lang w:bidi="fa-IR"/>
        </w:rPr>
        <w:t xml:space="preserve"> الْأَدْعِيَاءُ </w:t>
      </w:r>
      <w:r w:rsidRPr="00A91B96">
        <w:rPr>
          <w:rStyle w:val="libFootnotenumChar"/>
          <w:rtl/>
        </w:rPr>
        <w:t>(5)</w:t>
      </w:r>
      <w:r w:rsidRPr="00020424">
        <w:rPr>
          <w:rtl/>
          <w:lang w:bidi="fa-IR"/>
        </w:rPr>
        <w:t xml:space="preserve"> مِنْ آلِ زِيَادٍ لِقَتْلِ </w:t>
      </w:r>
      <w:r w:rsidRPr="00A91B96">
        <w:rPr>
          <w:rStyle w:val="libFootnotenumChar"/>
          <w:rtl/>
        </w:rPr>
        <w:t>(6)</w:t>
      </w:r>
      <w:r w:rsidRPr="00020424">
        <w:rPr>
          <w:rtl/>
          <w:lang w:bidi="fa-IR"/>
        </w:rPr>
        <w:t xml:space="preserve"> الْحُسَيْنِ </w:t>
      </w:r>
      <w:r w:rsidRPr="00005A81">
        <w:rPr>
          <w:rStyle w:val="libAlaemChar"/>
          <w:rtl/>
        </w:rPr>
        <w:t>عليه‌السلام</w:t>
      </w:r>
      <w:r w:rsidRPr="00020424">
        <w:rPr>
          <w:rtl/>
          <w:lang w:bidi="fa-IR"/>
        </w:rPr>
        <w:t xml:space="preserve"> ، وَهُوَ يَوْمٌ يَتَشَأَّمُ </w:t>
      </w:r>
      <w:r w:rsidRPr="00A91B96">
        <w:rPr>
          <w:rStyle w:val="libFootnotenumChar"/>
          <w:rtl/>
        </w:rPr>
        <w:t>(7)</w:t>
      </w:r>
      <w:r w:rsidRPr="00020424">
        <w:rPr>
          <w:rtl/>
          <w:lang w:bidi="fa-IR"/>
        </w:rPr>
        <w:t xml:space="preserve"> بِهِ آلُ مُحَمَّدٍ </w:t>
      </w:r>
      <w:r w:rsidR="00B42914" w:rsidRPr="00B42914">
        <w:rPr>
          <w:rStyle w:val="libAlaemChar"/>
          <w:rtl/>
        </w:rPr>
        <w:t>صلى‌الله‌عليه‌وآله‌</w:t>
      </w:r>
      <w:r w:rsidRPr="00020424">
        <w:rPr>
          <w:rtl/>
          <w:lang w:bidi="fa-IR"/>
        </w:rPr>
        <w:t xml:space="preserve"> ، وَيَتَشَأَّمُ بِهِ أَهْلُ الْإِسْلَامِ ، وَالْيَوْمُ الَّذِي يَتَشَأَّمُ </w:t>
      </w:r>
      <w:r w:rsidRPr="00A91B96">
        <w:rPr>
          <w:rStyle w:val="libFootnotenumChar"/>
          <w:rtl/>
        </w:rPr>
        <w:t>(8)</w:t>
      </w:r>
      <w:r w:rsidRPr="00020424">
        <w:rPr>
          <w:rtl/>
          <w:lang w:bidi="fa-IR"/>
        </w:rPr>
        <w:t xml:space="preserve"> بِهِ أَهْلُ الْإسْلَامِ </w:t>
      </w:r>
      <w:r w:rsidRPr="00A91B96">
        <w:rPr>
          <w:rStyle w:val="libFootnotenumChar"/>
          <w:rtl/>
        </w:rPr>
        <w:t>(9)</w:t>
      </w:r>
      <w:r w:rsidRPr="00020424">
        <w:rPr>
          <w:rtl/>
          <w:lang w:bidi="fa-IR"/>
        </w:rPr>
        <w:t xml:space="preserve"> لَايُصَامُ </w:t>
      </w:r>
      <w:r w:rsidRPr="00A91B96">
        <w:rPr>
          <w:rStyle w:val="libFootnotenumChar"/>
          <w:rtl/>
        </w:rPr>
        <w:t>(10)</w:t>
      </w:r>
      <w:r w:rsidRPr="00020424">
        <w:rPr>
          <w:rtl/>
          <w:lang w:bidi="fa-IR"/>
        </w:rPr>
        <w:t xml:space="preserve"> وَلَايُتَبَرَّكُ بِهِ ، وَيَوْمُ الْإِثْنَيْنِ يَوْمٌ نَحْسٌ </w:t>
      </w:r>
      <w:r w:rsidRPr="00A91B96">
        <w:rPr>
          <w:rStyle w:val="libFootnotenumChar"/>
          <w:rtl/>
        </w:rPr>
        <w:t>(11)</w:t>
      </w:r>
      <w:r w:rsidRPr="00020424">
        <w:rPr>
          <w:rtl/>
          <w:lang w:bidi="fa-IR"/>
        </w:rPr>
        <w:t xml:space="preserve"> قَبَضَ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فِيهِ نَبِيَّهُ ، وَ</w:t>
      </w:r>
      <w:r w:rsidR="009F1DD2">
        <w:rPr>
          <w:rtl/>
          <w:lang w:bidi="fa-IR"/>
        </w:rPr>
        <w:t>مَا أُصِيبَ آلُ مُحَمَّدٍ إِل</w:t>
      </w:r>
      <w:r w:rsidR="009F1DD2">
        <w:rPr>
          <w:rFonts w:hint="cs"/>
          <w:rtl/>
          <w:lang w:bidi="fa-IR"/>
        </w:rPr>
        <w:t>َّ</w:t>
      </w:r>
      <w:r w:rsidR="009F1DD2">
        <w:rPr>
          <w:rtl/>
          <w:lang w:bidi="fa-IR"/>
        </w:rPr>
        <w:t>ا</w:t>
      </w:r>
      <w:r w:rsidRPr="00020424">
        <w:rPr>
          <w:rtl/>
          <w:lang w:bidi="fa-IR"/>
        </w:rPr>
        <w:t xml:space="preserve"> فِي يَوْمِ الْإِثْنَيْنِ ، فَتَشَأَّمْنَا بِهِ ، وَتَبَرَّكَ </w:t>
      </w:r>
      <w:r w:rsidRPr="00A91B96">
        <w:rPr>
          <w:rStyle w:val="libFootnotenumChar"/>
          <w:rtl/>
        </w:rPr>
        <w:t>(12)</w:t>
      </w:r>
      <w:r w:rsidRPr="00020424">
        <w:rPr>
          <w:rtl/>
          <w:lang w:bidi="fa-IR"/>
        </w:rPr>
        <w:t xml:space="preserve"> بِهِ </w:t>
      </w:r>
      <w:r w:rsidRPr="00A91B96">
        <w:rPr>
          <w:rStyle w:val="libFootnotenumChar"/>
          <w:rtl/>
        </w:rPr>
        <w:t>(13)</w:t>
      </w:r>
      <w:r w:rsidRPr="00020424">
        <w:rPr>
          <w:rtl/>
          <w:lang w:bidi="fa-IR"/>
        </w:rPr>
        <w:t xml:space="preserve"> عَدُوُّنَا </w:t>
      </w:r>
      <w:r w:rsidRPr="00A91B96">
        <w:rPr>
          <w:rStyle w:val="libFootnotenumChar"/>
          <w:rtl/>
        </w:rPr>
        <w:t>(14)</w:t>
      </w:r>
      <w:r w:rsidRPr="00020424">
        <w:rPr>
          <w:rtl/>
          <w:lang w:bidi="fa-IR"/>
        </w:rPr>
        <w:t xml:space="preserve"> ، وَيَوْمُ عَاشُورَاءَ قُتِلَ </w:t>
      </w:r>
      <w:r w:rsidRPr="00A91B96">
        <w:rPr>
          <w:rStyle w:val="libFootnotenumChar"/>
          <w:rtl/>
        </w:rPr>
        <w:t>(15)</w:t>
      </w:r>
      <w:r w:rsidRPr="00020424">
        <w:rPr>
          <w:rtl/>
          <w:lang w:bidi="fa-IR"/>
        </w:rPr>
        <w:t xml:space="preserve"> الْحُسَيْنُ </w:t>
      </w:r>
      <w:r w:rsidR="00FC18C2" w:rsidRPr="00005A81">
        <w:rPr>
          <w:rStyle w:val="libAlaemChar"/>
          <w:rtl/>
        </w:rPr>
        <w:t>عليه‌السلام</w:t>
      </w:r>
      <w:r w:rsidR="00FC18C2" w:rsidRPr="00020424">
        <w:rPr>
          <w:rtl/>
          <w:lang w:bidi="fa-IR"/>
        </w:rPr>
        <w:t xml:space="preserve"> </w:t>
      </w:r>
      <w:r w:rsidRPr="00020424">
        <w:rPr>
          <w:rtl/>
          <w:lang w:bidi="fa-IR"/>
        </w:rPr>
        <w:t>،</w:t>
      </w:r>
      <w:r>
        <w:rPr>
          <w:rFonts w:hint="cs"/>
          <w:rtl/>
          <w:lang w:bidi="fa-IR"/>
        </w:rPr>
        <w:t xml:space="preserve"> </w:t>
      </w:r>
      <w:r w:rsidRPr="00020424">
        <w:rPr>
          <w:rtl/>
          <w:lang w:bidi="fa-IR"/>
        </w:rPr>
        <w:t xml:space="preserve">وَتَبَرَّكَ بِهِ ابْنُ مَرْجَانَةَ </w:t>
      </w:r>
      <w:r w:rsidRPr="00A91B96">
        <w:rPr>
          <w:rStyle w:val="libFootnotenumChar"/>
          <w:rtl/>
        </w:rPr>
        <w:t>(</w:t>
      </w:r>
      <w:r w:rsidRPr="00A91B96">
        <w:rPr>
          <w:rStyle w:val="libFootnotenumChar"/>
          <w:rFonts w:hint="cs"/>
          <w:rtl/>
        </w:rPr>
        <w:t>16</w:t>
      </w:r>
      <w:r w:rsidRPr="00A91B96">
        <w:rPr>
          <w:rStyle w:val="libFootnotenumChar"/>
          <w:rtl/>
        </w:rPr>
        <w:t>)</w:t>
      </w:r>
      <w:r w:rsidRPr="00020424">
        <w:rPr>
          <w:rtl/>
          <w:lang w:bidi="fa-IR"/>
        </w:rPr>
        <w:t xml:space="preserve"> ، وَتَشَأَّمَ </w:t>
      </w:r>
      <w:r w:rsidRPr="00A91B96">
        <w:rPr>
          <w:rStyle w:val="libFootnotenumChar"/>
          <w:rtl/>
        </w:rPr>
        <w:t>(</w:t>
      </w:r>
      <w:r w:rsidRPr="00A91B96">
        <w:rPr>
          <w:rStyle w:val="libFootnotenumChar"/>
          <w:rFonts w:hint="cs"/>
          <w:rtl/>
        </w:rPr>
        <w:t>17</w:t>
      </w:r>
      <w:r w:rsidRPr="00A91B96">
        <w:rPr>
          <w:rStyle w:val="libFootnotenumChar"/>
          <w:rtl/>
        </w:rPr>
        <w:t>)</w:t>
      </w:r>
      <w:r w:rsidRPr="00020424">
        <w:rPr>
          <w:rtl/>
          <w:lang w:bidi="fa-IR"/>
        </w:rPr>
        <w:t xml:space="preserve"> بِهِ آلُ مُحَمَّدٍ صَلَّى اللهُ عَلَيْهِمْ ، فَمَنْ صَامَهُمَا </w:t>
      </w:r>
      <w:r w:rsidRPr="00A91B96">
        <w:rPr>
          <w:rStyle w:val="libFootnotenumChar"/>
          <w:rtl/>
        </w:rPr>
        <w:t>(</w:t>
      </w:r>
      <w:r w:rsidRPr="00A91B96">
        <w:rPr>
          <w:rStyle w:val="libFootnotenumChar"/>
          <w:rFonts w:hint="cs"/>
          <w:rtl/>
        </w:rPr>
        <w:t>18</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0B3DDF" w:rsidP="00992664">
      <w:pPr>
        <w:pStyle w:val="libFootnote0"/>
        <w:rPr>
          <w:rtl/>
          <w:lang w:bidi="fa-IR"/>
        </w:rPr>
      </w:pPr>
      <w:r>
        <w:rPr>
          <w:rFonts w:hint="cs"/>
          <w:rtl/>
        </w:rPr>
        <w:t xml:space="preserve">= </w:t>
      </w:r>
      <w:r w:rsidR="00992664" w:rsidRPr="00020424">
        <w:rPr>
          <w:rtl/>
        </w:rPr>
        <w:t xml:space="preserve">ص 85 ، ح 1800 ، بسند آخر ، إلى قوله : « بنزول شهر رمضان » مع اختلاف يسير </w:t>
      </w:r>
      <w:r w:rsidR="003838A8">
        <w:rPr>
          <w:rFonts w:hint="cs"/>
          <w:rtl/>
        </w:rPr>
        <w:t>.</w:t>
      </w:r>
      <w:r w:rsidR="00992664" w:rsidRPr="0012008A">
        <w:rPr>
          <w:rStyle w:val="libFootnoteBoldChar"/>
          <w:rtl/>
        </w:rPr>
        <w:t>الوافي</w:t>
      </w:r>
      <w:r w:rsidR="00992664" w:rsidRPr="00020424">
        <w:rPr>
          <w:rtl/>
        </w:rPr>
        <w:t xml:space="preserve"> ، ج 11 ، ص 71 ، ح 10434 ؛ </w:t>
      </w:r>
      <w:r w:rsidR="00992664" w:rsidRPr="0012008A">
        <w:rPr>
          <w:rStyle w:val="libFootnoteBoldChar"/>
          <w:rtl/>
        </w:rPr>
        <w:t>الوسائل</w:t>
      </w:r>
      <w:r w:rsidR="00992664" w:rsidRPr="00020424">
        <w:rPr>
          <w:rtl/>
        </w:rPr>
        <w:t xml:space="preserve"> ، ج 10 ، ص 461 ، ح 13850.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النسخ التي قوبلت </w:t>
      </w:r>
      <w:r w:rsidR="00992664" w:rsidRPr="00F713BB">
        <w:rPr>
          <w:rtl/>
        </w:rPr>
        <w:t>والبحار والتهذيب والاستبصار</w:t>
      </w:r>
      <w:r w:rsidR="00992664" w:rsidRPr="00020424">
        <w:rPr>
          <w:rtl/>
        </w:rPr>
        <w:t>. وفي المطبوع : « حدّثني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ى ، بث ، بخ ، بر ، بس ، بف ، جر ، جن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وفي « ظ ، بح » و</w:t>
      </w:r>
      <w:r w:rsidR="00992664" w:rsidRPr="0012008A">
        <w:rPr>
          <w:rStyle w:val="libFootnoteBoldChar"/>
          <w:rtl/>
        </w:rPr>
        <w:t>البحار</w:t>
      </w:r>
      <w:r w:rsidR="00992664" w:rsidRPr="00020424">
        <w:rPr>
          <w:rtl/>
        </w:rPr>
        <w:t xml:space="preserve"> والمطبوع : « أخوه</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أخي</w:t>
      </w:r>
      <w:r w:rsidR="00992664">
        <w:rPr>
          <w:rtl/>
        </w:rPr>
        <w:t xml:space="preserve"> ».</w:t>
      </w:r>
      <w:r w:rsidR="00992664">
        <w:rPr>
          <w:rFonts w:hint="cs"/>
          <w:rtl/>
          <w:lang w:bidi="fa-IR"/>
        </w:rPr>
        <w:t xml:space="preserve"> </w:t>
      </w:r>
      <w:r>
        <w:rPr>
          <w:rtl/>
        </w:rPr>
        <w:t>(3).</w:t>
      </w:r>
      <w:r w:rsidR="0014403D">
        <w:rPr>
          <w:rtl/>
        </w:rPr>
        <w:t xml:space="preserve"> </w:t>
      </w:r>
      <w:r w:rsidR="00992664" w:rsidRPr="00020424">
        <w:rPr>
          <w:rtl/>
        </w:rPr>
        <w:t xml:space="preserve">في « ظ ، ى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 يوم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F713BB">
        <w:rPr>
          <w:rtl/>
        </w:rPr>
        <w:t xml:space="preserve"> : « يوم ما صامه إل</w:t>
      </w:r>
      <w:r w:rsidR="00F713BB">
        <w:rPr>
          <w:rFonts w:hint="cs"/>
          <w:rtl/>
        </w:rPr>
        <w:t>ّ</w:t>
      </w:r>
      <w:r w:rsidR="00F713BB">
        <w:rPr>
          <w:rtl/>
        </w:rPr>
        <w:t>ا</w:t>
      </w:r>
      <w:r w:rsidR="00992664" w:rsidRPr="00020424">
        <w:rPr>
          <w:rtl/>
        </w:rPr>
        <w:t xml:space="preserve"> » بدل « يوم صامه</w:t>
      </w:r>
      <w:r w:rsidR="00992664">
        <w:rPr>
          <w:rtl/>
        </w:rPr>
        <w:t xml:space="preserve"> ».</w:t>
      </w:r>
    </w:p>
    <w:p w:rsidR="00992664" w:rsidRPr="00020424" w:rsidRDefault="00795177" w:rsidP="00B565F6">
      <w:pPr>
        <w:pStyle w:val="libFootnote0"/>
        <w:rPr>
          <w:rtl/>
          <w:lang w:bidi="fa-IR"/>
        </w:rPr>
      </w:pPr>
      <w:r>
        <w:rPr>
          <w:rtl/>
        </w:rPr>
        <w:t>(5).</w:t>
      </w:r>
      <w:r w:rsidR="0014403D">
        <w:rPr>
          <w:rtl/>
        </w:rPr>
        <w:t xml:space="preserve"> </w:t>
      </w:r>
      <w:r w:rsidR="00992664" w:rsidRPr="00020424">
        <w:rPr>
          <w:rtl/>
        </w:rPr>
        <w:t xml:space="preserve">« الأدعياء » : جمع الدعيّ ، كغنيّ ، وهو المتّهم في نسبه. وقيل : هو المنسوب إلى غير أبيه ؛ من الدِعْوة ، بكسر الدال ، وهو أن ينتسب الإنسان إلى غير أبيه وعشيرته. راجع : </w:t>
      </w:r>
      <w:r w:rsidR="00992664" w:rsidRPr="0012008A">
        <w:rPr>
          <w:rStyle w:val="libFootnoteBoldChar"/>
          <w:rtl/>
        </w:rPr>
        <w:t>النهاية</w:t>
      </w:r>
      <w:r w:rsidR="00992664" w:rsidRPr="00020424">
        <w:rPr>
          <w:rtl/>
        </w:rPr>
        <w:t xml:space="preserve"> ، ج 2 ، ص 121 ؛ </w:t>
      </w:r>
      <w:r w:rsidR="00992664" w:rsidRPr="00A722B1">
        <w:rPr>
          <w:rStyle w:val="libFootnoteBoldChar"/>
          <w:rtl/>
        </w:rPr>
        <w:t>لسان العرب</w:t>
      </w:r>
      <w:r w:rsidR="00992664" w:rsidRPr="00020424">
        <w:rPr>
          <w:rtl/>
        </w:rPr>
        <w:t xml:space="preserve"> ، ج 14 ، ص 261 ( دعا )</w:t>
      </w:r>
      <w:r w:rsidR="00992664">
        <w:rPr>
          <w:rtl/>
        </w:rPr>
        <w:t>.</w:t>
      </w:r>
      <w:r w:rsidR="00B565F6">
        <w:rPr>
          <w:rFonts w:hint="cs"/>
          <w:rtl/>
        </w:rPr>
        <w:t xml:space="preserve">        </w:t>
      </w:r>
      <w:r w:rsidR="00FC18C2">
        <w:rPr>
          <w:rFonts w:hint="cs"/>
          <w:rtl/>
        </w:rPr>
        <w:t xml:space="preserve">                               </w:t>
      </w:r>
      <w:r w:rsidR="00B565F6">
        <w:rPr>
          <w:rFonts w:hint="cs"/>
          <w:rtl/>
        </w:rPr>
        <w:t xml:space="preserve"> </w:t>
      </w:r>
      <w:r>
        <w:rPr>
          <w:rtl/>
        </w:rPr>
        <w:t>(6).</w:t>
      </w:r>
      <w:r w:rsidR="0014403D">
        <w:rPr>
          <w:rtl/>
        </w:rPr>
        <w:t xml:space="preserve"> </w:t>
      </w:r>
      <w:r w:rsidR="00992664" w:rsidRPr="00020424">
        <w:rPr>
          <w:rtl/>
        </w:rPr>
        <w:t xml:space="preserve">في « بس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بقتل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565F6" w:rsidTr="00B565F6">
        <w:tc>
          <w:tcPr>
            <w:tcW w:w="4006" w:type="dxa"/>
          </w:tcPr>
          <w:p w:rsidR="00B565F6" w:rsidRDefault="00B565F6"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 « تشاءهم</w:t>
            </w:r>
            <w:r>
              <w:rPr>
                <w:rtl/>
              </w:rPr>
              <w:t xml:space="preserve"> ».</w:t>
            </w:r>
          </w:p>
        </w:tc>
        <w:tc>
          <w:tcPr>
            <w:tcW w:w="4006" w:type="dxa"/>
          </w:tcPr>
          <w:p w:rsidR="00B565F6" w:rsidRDefault="00B565F6"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المتشائم » بدل « الّذي يتشأم</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الإسلام وأهله » بدل « أهل الإسلام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E4154" w:rsidTr="00AE4154">
        <w:tc>
          <w:tcPr>
            <w:tcW w:w="4006" w:type="dxa"/>
          </w:tcPr>
          <w:p w:rsidR="00AE4154" w:rsidRDefault="00AE4154" w:rsidP="00992664">
            <w:pPr>
              <w:pStyle w:val="libFootnote0"/>
              <w:rPr>
                <w:rtl/>
                <w:lang w:bidi="fa-IR"/>
              </w:rPr>
            </w:pPr>
            <w:r>
              <w:rPr>
                <w:rtl/>
              </w:rPr>
              <w:t xml:space="preserve">(10). </w:t>
            </w:r>
            <w:r w:rsidRPr="00020424">
              <w:rPr>
                <w:rtl/>
              </w:rPr>
              <w:t>في الاستبصار : + « فيه</w:t>
            </w:r>
            <w:r>
              <w:rPr>
                <w:rtl/>
              </w:rPr>
              <w:t xml:space="preserve"> ».</w:t>
            </w:r>
          </w:p>
        </w:tc>
        <w:tc>
          <w:tcPr>
            <w:tcW w:w="4006" w:type="dxa"/>
          </w:tcPr>
          <w:p w:rsidR="00AE4154" w:rsidRDefault="00AE4154" w:rsidP="00992664">
            <w:pPr>
              <w:pStyle w:val="libFootnote0"/>
              <w:rPr>
                <w:rtl/>
                <w:lang w:bidi="fa-IR"/>
              </w:rPr>
            </w:pPr>
            <w:r>
              <w:rPr>
                <w:rtl/>
              </w:rPr>
              <w:t xml:space="preserve">(11). </w:t>
            </w:r>
            <w:r w:rsidRPr="00020424">
              <w:rPr>
                <w:rtl/>
              </w:rPr>
              <w:t>في الاستبصار :</w:t>
            </w:r>
            <w:r>
              <w:rPr>
                <w:rtl/>
              </w:rPr>
              <w:t xml:space="preserve"> - </w:t>
            </w:r>
            <w:r w:rsidRPr="00020424">
              <w:rPr>
                <w:rtl/>
              </w:rPr>
              <w:t>« نحس</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ى » : « ويتبرّك</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 ولا تتبرّك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F25C9" w:rsidTr="007F25C9">
        <w:tc>
          <w:tcPr>
            <w:tcW w:w="4006" w:type="dxa"/>
          </w:tcPr>
          <w:p w:rsidR="007F25C9" w:rsidRDefault="007F25C9" w:rsidP="00992664">
            <w:pPr>
              <w:pStyle w:val="libFootnote0"/>
              <w:rPr>
                <w:rtl/>
                <w:lang w:bidi="fa-IR"/>
              </w:rPr>
            </w:pPr>
            <w:r>
              <w:rPr>
                <w:rtl/>
              </w:rPr>
              <w:t xml:space="preserve">(13). </w:t>
            </w:r>
            <w:r w:rsidRPr="00020424">
              <w:rPr>
                <w:rtl/>
              </w:rPr>
              <w:t>في « بح » :</w:t>
            </w:r>
            <w:r>
              <w:rPr>
                <w:rtl/>
              </w:rPr>
              <w:t xml:space="preserve"> - </w:t>
            </w:r>
            <w:r w:rsidRPr="00020424">
              <w:rPr>
                <w:rtl/>
              </w:rPr>
              <w:t>« به</w:t>
            </w:r>
            <w:r>
              <w:rPr>
                <w:rtl/>
              </w:rPr>
              <w:t xml:space="preserve"> ».</w:t>
            </w:r>
          </w:p>
        </w:tc>
        <w:tc>
          <w:tcPr>
            <w:tcW w:w="4006" w:type="dxa"/>
          </w:tcPr>
          <w:p w:rsidR="007F25C9" w:rsidRDefault="007F25C9" w:rsidP="00992664">
            <w:pPr>
              <w:pStyle w:val="libFootnote0"/>
              <w:rPr>
                <w:rtl/>
                <w:lang w:bidi="fa-IR"/>
              </w:rPr>
            </w:pPr>
            <w:r>
              <w:rPr>
                <w:rtl/>
              </w:rPr>
              <w:t xml:space="preserve">(14). </w:t>
            </w:r>
            <w:r w:rsidRPr="00020424">
              <w:rPr>
                <w:rtl/>
              </w:rPr>
              <w:t xml:space="preserve">في </w:t>
            </w:r>
            <w:r w:rsidRPr="007F25C9">
              <w:rPr>
                <w:rtl/>
              </w:rPr>
              <w:t>الوافي والتهذيب والاستبصار</w:t>
            </w:r>
            <w:r w:rsidRPr="00020424">
              <w:rPr>
                <w:rtl/>
              </w:rPr>
              <w:t xml:space="preserve"> : « أعداؤنا</w:t>
            </w:r>
            <w:r>
              <w:rPr>
                <w:rtl/>
              </w:rPr>
              <w:t xml:space="preserve"> ».</w:t>
            </w:r>
          </w:p>
        </w:tc>
      </w:tr>
      <w:tr w:rsidR="007F25C9" w:rsidTr="007F25C9">
        <w:tc>
          <w:tcPr>
            <w:tcW w:w="4006" w:type="dxa"/>
          </w:tcPr>
          <w:p w:rsidR="007F25C9" w:rsidRDefault="007F25C9" w:rsidP="00992664">
            <w:pPr>
              <w:pStyle w:val="libFootnote0"/>
              <w:rPr>
                <w:rtl/>
                <w:lang w:bidi="fa-IR"/>
              </w:rPr>
            </w:pPr>
            <w:r>
              <w:rPr>
                <w:rtl/>
              </w:rPr>
              <w:t xml:space="preserve">(15). </w:t>
            </w:r>
            <w:r w:rsidRPr="00020424">
              <w:rPr>
                <w:rtl/>
              </w:rPr>
              <w:t>في الاستبصار : + « فيه</w:t>
            </w:r>
            <w:r>
              <w:rPr>
                <w:rtl/>
              </w:rPr>
              <w:t xml:space="preserve"> ».</w:t>
            </w:r>
          </w:p>
        </w:tc>
        <w:tc>
          <w:tcPr>
            <w:tcW w:w="4006" w:type="dxa"/>
          </w:tcPr>
          <w:p w:rsidR="007F25C9" w:rsidRDefault="007F25C9" w:rsidP="00992664">
            <w:pPr>
              <w:pStyle w:val="libFootnote0"/>
              <w:rPr>
                <w:rtl/>
                <w:lang w:bidi="fa-IR"/>
              </w:rPr>
            </w:pPr>
            <w:r>
              <w:rPr>
                <w:rtl/>
              </w:rPr>
              <w:t xml:space="preserve">(16). </w:t>
            </w:r>
            <w:r w:rsidRPr="00020424">
              <w:rPr>
                <w:rtl/>
              </w:rPr>
              <w:t>في « ظ » : + « لعنه الله</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الاستبصار : « ويتشأّم</w:t>
      </w:r>
      <w:r w:rsidR="00992664">
        <w:rPr>
          <w:rtl/>
        </w:rPr>
        <w:t xml:space="preserve"> ».</w:t>
      </w:r>
    </w:p>
    <w:p w:rsidR="00992664" w:rsidRDefault="00795177" w:rsidP="00992664">
      <w:pPr>
        <w:pStyle w:val="libFootnote0"/>
        <w:rPr>
          <w:rtl/>
        </w:rPr>
      </w:pPr>
      <w:r>
        <w:rPr>
          <w:rtl/>
        </w:rPr>
        <w:t>(18).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361 : « قوله </w:t>
      </w:r>
      <w:r w:rsidR="00992664" w:rsidRPr="00D64ADA">
        <w:rPr>
          <w:rStyle w:val="libFootnoteAlaemChar"/>
          <w:rtl/>
        </w:rPr>
        <w:t>عليه‌السلام</w:t>
      </w:r>
      <w:r w:rsidR="00992664" w:rsidRPr="00020424">
        <w:rPr>
          <w:rtl/>
        </w:rPr>
        <w:t xml:space="preserve"> : فمن صامهما ، يدلّ ظاهراً على حرمة صوم يوم </w:t>
      </w:r>
      <w:r w:rsidR="00A23F7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أَوْ تَبَرَّكَ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بِهِمَا لَقِيَ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مَمْسُوخَ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الْقَلْبِ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 وَكَانَ مَحْشَرُهُ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مَعَ الَّذِينَ سَنُّوا صَوْمَهُمَا ، وَالتَّبَرُّكَ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بِهِمَا</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6</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A93B0F">
        <w:rPr>
          <w:rtl/>
        </w:rPr>
        <w:t>6583</w:t>
      </w:r>
      <w:r w:rsidRPr="001155DE">
        <w:rPr>
          <w:rStyle w:val="libBold2Char"/>
          <w:rtl/>
        </w:rPr>
        <w:t xml:space="preserve"> / 6.</w:t>
      </w:r>
      <w:r w:rsidRPr="00020424">
        <w:rPr>
          <w:rtl/>
          <w:lang w:bidi="fa-IR"/>
        </w:rPr>
        <w:t xml:space="preserve"> وَعَنْهُ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 عَنْ مُحَمَّدِ بْنِ عِيسى ، قَالَ : حَدَّثَنَا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مُحَمَّدُ بْنُ أَبِي عُمَيْرٍ ، عَنْ زَيْدٍ النَّرْسِيِّ ، قَالَ :</w:t>
      </w:r>
    </w:p>
    <w:p w:rsidR="00992664" w:rsidRPr="00020424" w:rsidRDefault="00992664" w:rsidP="00992664">
      <w:pPr>
        <w:pStyle w:val="libNormal"/>
        <w:rPr>
          <w:rtl/>
          <w:lang w:bidi="fa-IR"/>
        </w:rPr>
      </w:pPr>
      <w:r w:rsidRPr="00020424">
        <w:rPr>
          <w:rtl/>
          <w:lang w:bidi="fa-IR"/>
        </w:rPr>
        <w:t xml:space="preserve">سَمِعْتُ عُبَيْدَ بْنَ زُرَارَةَ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يَسْأَلُ أَبَا عَبْدِ اللهِ </w:t>
      </w:r>
      <w:r w:rsidRPr="00005A81">
        <w:rPr>
          <w:rStyle w:val="libAlaemChar"/>
          <w:rtl/>
        </w:rPr>
        <w:t>عليه‌السلام</w:t>
      </w:r>
      <w:r w:rsidRPr="00020424">
        <w:rPr>
          <w:rtl/>
          <w:lang w:bidi="fa-IR"/>
        </w:rPr>
        <w:t xml:space="preserve"> عَنْ صَوْمِ يَوْمِ عَاشُورَاءَ</w:t>
      </w:r>
      <w:r>
        <w:rPr>
          <w:rtl/>
          <w:lang w:bidi="fa-IR"/>
        </w:rPr>
        <w:t>؟</w:t>
      </w:r>
    </w:p>
    <w:p w:rsidR="00992664" w:rsidRPr="00020424" w:rsidRDefault="00992664" w:rsidP="00992664">
      <w:pPr>
        <w:pStyle w:val="libNormal"/>
        <w:rPr>
          <w:rtl/>
          <w:lang w:bidi="fa-IR"/>
        </w:rPr>
      </w:pPr>
      <w:r w:rsidRPr="00020424">
        <w:rPr>
          <w:rtl/>
          <w:lang w:bidi="fa-IR"/>
        </w:rPr>
        <w:t>فَقَالَ : « مَنْ صَامَهُ كَانَ حَظُّهُ مِنْ صِيَامِ ذلِكَ الْيَوْمِ حَظَّ ابْنِ مَرْجَانَةَ وَآلِ زِيَادٍ</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 قُلْتُ : وَمَا كَانَ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حَظُّهُمْ مِنْ ذلِكَ الْيَوْمِ</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 « النَّارُ ، أَعَاذَنَا اللهُ مِنَ النَّارِ ، وَمِنْ عَمَلٍ يُقَرِّبُ مِنَ النَّارِ </w:t>
      </w:r>
      <w:r w:rsidRPr="00A91B96">
        <w:rPr>
          <w:rStyle w:val="libFootnotenumChar"/>
          <w:rtl/>
        </w:rPr>
        <w:t>(</w:t>
      </w:r>
      <w:r w:rsidRPr="00A91B96">
        <w:rPr>
          <w:rStyle w:val="libFootnotenumChar"/>
          <w:rFonts w:hint="cs"/>
          <w:rtl/>
        </w:rPr>
        <w:t>13</w:t>
      </w:r>
      <w:r w:rsidRPr="00A91B96">
        <w:rPr>
          <w:rStyle w:val="libFootnotenumChar"/>
          <w:rtl/>
        </w:rPr>
        <w:t>)</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A93B0F">
        <w:rPr>
          <w:rtl/>
        </w:rPr>
        <w:t>6584</w:t>
      </w:r>
      <w:r w:rsidRPr="001155DE">
        <w:rPr>
          <w:rStyle w:val="libBold2Char"/>
          <w:rtl/>
        </w:rPr>
        <w:t xml:space="preserve"> / 7.</w:t>
      </w:r>
      <w:r w:rsidRPr="00020424">
        <w:rPr>
          <w:rtl/>
          <w:lang w:bidi="fa-IR"/>
        </w:rPr>
        <w:t xml:space="preserve"> وَعَنْهُ </w:t>
      </w:r>
      <w:r w:rsidRPr="00A91B96">
        <w:rPr>
          <w:rStyle w:val="libFootnotenumChar"/>
          <w:rtl/>
        </w:rPr>
        <w:t>(</w:t>
      </w:r>
      <w:r w:rsidRPr="00A91B96">
        <w:rPr>
          <w:rStyle w:val="libFootnotenumChar"/>
          <w:rFonts w:hint="cs"/>
          <w:rtl/>
        </w:rPr>
        <w:t>15</w:t>
      </w:r>
      <w:r w:rsidRPr="00A91B96">
        <w:rPr>
          <w:rStyle w:val="libFootnotenumChar"/>
          <w:rtl/>
        </w:rPr>
        <w:t>)</w:t>
      </w:r>
      <w:r w:rsidRPr="00020424">
        <w:rPr>
          <w:rtl/>
          <w:lang w:bidi="fa-IR"/>
        </w:rPr>
        <w:t xml:space="preserve"> ، عَنْ مُحَمَّدِ بْنِ الْحُسَيْنِ ، عَنْ مُحَمَّدِ بْنِ سِنَانٍ ، عَنْ أَبَانٍ ، عَنْ </w:t>
      </w:r>
      <w:r w:rsidRPr="00A91B96">
        <w:rPr>
          <w:rStyle w:val="libFootnotenumChar"/>
          <w:rtl/>
        </w:rPr>
        <w:t>(</w:t>
      </w:r>
      <w:r w:rsidRPr="00A91B96">
        <w:rPr>
          <w:rStyle w:val="libFootnotenumChar"/>
          <w:rFonts w:hint="cs"/>
          <w:rtl/>
        </w:rPr>
        <w:t>16</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BB3F1A" w:rsidP="00992664">
      <w:pPr>
        <w:pStyle w:val="libFootnote0"/>
        <w:rPr>
          <w:rtl/>
          <w:lang w:bidi="fa-IR"/>
        </w:rPr>
      </w:pPr>
      <w:r>
        <w:rPr>
          <w:rFonts w:hint="cs"/>
          <w:rtl/>
        </w:rPr>
        <w:t xml:space="preserve">= </w:t>
      </w:r>
      <w:r w:rsidR="00992664" w:rsidRPr="00020424">
        <w:rPr>
          <w:rtl/>
        </w:rPr>
        <w:t>الإثنين ويوم عاشوراء ، فأمّا الأوّل فالمشهور عدم كراهته أيضاً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B3F1A" w:rsidTr="00BB3F1A">
        <w:tc>
          <w:tcPr>
            <w:tcW w:w="4006" w:type="dxa"/>
          </w:tcPr>
          <w:p w:rsidR="00BB3F1A" w:rsidRDefault="00BB3F1A"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 « وتبرّك</w:t>
            </w:r>
            <w:r>
              <w:rPr>
                <w:rtl/>
              </w:rPr>
              <w:t xml:space="preserve"> ».</w:t>
            </w:r>
          </w:p>
        </w:tc>
        <w:tc>
          <w:tcPr>
            <w:tcW w:w="4006" w:type="dxa"/>
          </w:tcPr>
          <w:p w:rsidR="00BB3F1A" w:rsidRDefault="00BB3F1A" w:rsidP="00992664">
            <w:pPr>
              <w:pStyle w:val="libFootnote0"/>
              <w:rPr>
                <w:rtl/>
              </w:rPr>
            </w:pPr>
            <w:r>
              <w:rPr>
                <w:rtl/>
              </w:rPr>
              <w:t xml:space="preserve">(2). </w:t>
            </w:r>
            <w:r w:rsidRPr="00020424">
              <w:rPr>
                <w:rtl/>
              </w:rPr>
              <w:t xml:space="preserve">في </w:t>
            </w:r>
            <w:r w:rsidRPr="0012008A">
              <w:rPr>
                <w:rStyle w:val="libFootnoteBoldChar"/>
                <w:rtl/>
              </w:rPr>
              <w:t>التهذيب</w:t>
            </w:r>
            <w:r w:rsidRPr="00020424">
              <w:rPr>
                <w:rtl/>
              </w:rPr>
              <w:t xml:space="preserve"> : « ممسوح</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مسخ القلب عبارة عن تغيّر صورته في الباطن إلى صورة بعض الحيوانات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BB3F1A">
        <w:rPr>
          <w:rtl/>
        </w:rPr>
        <w:t>والوسائل والبحار والتهذيب والاستبصار</w:t>
      </w:r>
      <w:r w:rsidR="00992664" w:rsidRPr="00020424">
        <w:rPr>
          <w:rtl/>
        </w:rPr>
        <w:t>. وفي المطبوع : « حشره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BB3F1A">
        <w:rPr>
          <w:rtl/>
        </w:rPr>
        <w:t>في الوافي والتهذيب والاستبصار :</w:t>
      </w:r>
      <w:r w:rsidR="00992664" w:rsidRPr="00020424">
        <w:rPr>
          <w:rtl/>
        </w:rPr>
        <w:t xml:space="preserve"> « وتبرّكوا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301 ، ح 911 ؛ </w:t>
      </w:r>
      <w:r w:rsidR="00992664" w:rsidRPr="00FD6221">
        <w:rPr>
          <w:rStyle w:val="libFootnoteBoldChar"/>
          <w:rtl/>
        </w:rPr>
        <w:t>والاستبصار</w:t>
      </w:r>
      <w:r w:rsidR="00992664" w:rsidRPr="00020424">
        <w:rPr>
          <w:rtl/>
        </w:rPr>
        <w:t xml:space="preserve"> ، ج 2 ، ص 135 ، ح 442 ، معلّقاً عن الكليني. كتاب المزار ، ص 59 ، وتمام الرواية فيه : « واتّق الخروج في يوم الإثنين ، فإنّه اليوم الذي قبض فيه رسول الله </w:t>
      </w:r>
      <w:r w:rsidR="00D64ADA" w:rsidRPr="00D64ADA">
        <w:rPr>
          <w:rStyle w:val="libFootnoteAlaemChar"/>
          <w:rtl/>
        </w:rPr>
        <w:t>صلى‌الله‌عليه‌وآله</w:t>
      </w:r>
      <w:r w:rsidR="00B42914" w:rsidRPr="00B42914">
        <w:rPr>
          <w:rStyle w:val="libAlaemChar"/>
          <w:rtl/>
        </w:rPr>
        <w:t>‌</w:t>
      </w:r>
      <w:r w:rsidR="00992664">
        <w:rPr>
          <w:rtl/>
        </w:rPr>
        <w:t xml:space="preserve"> ..</w:t>
      </w:r>
      <w:r w:rsidR="00992664" w:rsidRPr="00020424">
        <w:rPr>
          <w:rtl/>
        </w:rPr>
        <w:t xml:space="preserve">. وقتل فيه الحسين </w:t>
      </w:r>
      <w:r w:rsidR="00992664" w:rsidRPr="00D64ADA">
        <w:rPr>
          <w:rStyle w:val="libFootnoteAlaemChar"/>
          <w:rtl/>
        </w:rPr>
        <w:t>عليه‌السلام</w:t>
      </w:r>
      <w:r w:rsidR="00992664" w:rsidRPr="00020424">
        <w:rPr>
          <w:rtl/>
        </w:rPr>
        <w:t xml:space="preserve"> وهو يوم نحس » </w:t>
      </w:r>
      <w:r w:rsidR="00BB3F1A">
        <w:rPr>
          <w:rFonts w:hint="cs"/>
          <w:rtl/>
        </w:rPr>
        <w:t>.</w:t>
      </w:r>
      <w:r w:rsidR="00992664" w:rsidRPr="0012008A">
        <w:rPr>
          <w:rStyle w:val="libFootnoteBoldChar"/>
          <w:rtl/>
        </w:rPr>
        <w:t>الوافي</w:t>
      </w:r>
      <w:r w:rsidR="00992664" w:rsidRPr="00020424">
        <w:rPr>
          <w:rtl/>
        </w:rPr>
        <w:t xml:space="preserve"> ، ج 11 ، ص 72 ، ح 10435 ؛ </w:t>
      </w:r>
      <w:r w:rsidR="00992664" w:rsidRPr="0012008A">
        <w:rPr>
          <w:rStyle w:val="libFootnoteBoldChar"/>
          <w:rtl/>
        </w:rPr>
        <w:t>الوسائل</w:t>
      </w:r>
      <w:r w:rsidR="00992664" w:rsidRPr="00020424">
        <w:rPr>
          <w:rtl/>
        </w:rPr>
        <w:t xml:space="preserve"> ، ج 10 ، ص 460 ، ح 13848.</w:t>
      </w:r>
    </w:p>
    <w:tbl>
      <w:tblPr>
        <w:tblStyle w:val="TableGrid"/>
        <w:bidiVisual/>
        <w:tblW w:w="0" w:type="auto"/>
        <w:tblLook w:val="04A0" w:firstRow="1" w:lastRow="0" w:firstColumn="1" w:lastColumn="0" w:noHBand="0" w:noVBand="1"/>
      </w:tblPr>
      <w:tblGrid>
        <w:gridCol w:w="4006"/>
        <w:gridCol w:w="4006"/>
      </w:tblGrid>
      <w:tr w:rsidR="00BB3F1A" w:rsidTr="00BB3F1A">
        <w:tc>
          <w:tcPr>
            <w:tcW w:w="4006" w:type="dxa"/>
          </w:tcPr>
          <w:p w:rsidR="00BB3F1A" w:rsidRDefault="00BB3F1A" w:rsidP="00992664">
            <w:pPr>
              <w:pStyle w:val="libFootnote0"/>
              <w:rPr>
                <w:rtl/>
              </w:rPr>
            </w:pPr>
            <w:r>
              <w:rPr>
                <w:rtl/>
              </w:rPr>
              <w:t xml:space="preserve">(7). </w:t>
            </w:r>
            <w:r w:rsidRPr="00020424">
              <w:rPr>
                <w:rtl/>
              </w:rPr>
              <w:t>في « بخ ، بر ، جر » : « عنه » بدون الواو.</w:t>
            </w:r>
          </w:p>
        </w:tc>
        <w:tc>
          <w:tcPr>
            <w:tcW w:w="4006" w:type="dxa"/>
          </w:tcPr>
          <w:p w:rsidR="00BB3F1A" w:rsidRDefault="00BB3F1A"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w:t>
            </w:r>
            <w:r w:rsidRPr="00FD6221">
              <w:rPr>
                <w:rStyle w:val="libFootnoteBoldChar"/>
                <w:rtl/>
              </w:rPr>
              <w:t>والاستبصار</w:t>
            </w:r>
            <w:r w:rsidRPr="00020424">
              <w:rPr>
                <w:rtl/>
              </w:rPr>
              <w:t xml:space="preserve"> : « حدّثني</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حدّثنا عبيد بن زرارة ، قال : سمعت زرارة » بدل « سمعت عبيد بن زرارة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B3F1A" w:rsidTr="00BB3F1A">
        <w:tc>
          <w:tcPr>
            <w:tcW w:w="4006" w:type="dxa"/>
          </w:tcPr>
          <w:p w:rsidR="00BB3F1A" w:rsidRDefault="00BB3F1A" w:rsidP="00992664">
            <w:pPr>
              <w:pStyle w:val="libFootnote0"/>
              <w:rPr>
                <w:rtl/>
              </w:rPr>
            </w:pPr>
            <w:r>
              <w:rPr>
                <w:rtl/>
              </w:rPr>
              <w:t xml:space="preserve">(10). </w:t>
            </w:r>
            <w:r w:rsidRPr="00020424">
              <w:rPr>
                <w:rtl/>
              </w:rPr>
              <w:t xml:space="preserve">في « بخ ، بر ، بف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c>
          <w:tcPr>
            <w:tcW w:w="4006" w:type="dxa"/>
          </w:tcPr>
          <w:p w:rsidR="00BB3F1A" w:rsidRDefault="00BB3F1A" w:rsidP="00992664">
            <w:pPr>
              <w:pStyle w:val="libFootnote0"/>
              <w:rPr>
                <w:rtl/>
              </w:rPr>
            </w:pPr>
            <w:r>
              <w:rPr>
                <w:rtl/>
              </w:rPr>
              <w:t xml:space="preserve">(11). </w:t>
            </w:r>
            <w:r w:rsidRPr="00020424">
              <w:rPr>
                <w:rtl/>
              </w:rPr>
              <w:t xml:space="preserve">في </w:t>
            </w:r>
            <w:r w:rsidRPr="00BB3F1A">
              <w:rPr>
                <w:rtl/>
              </w:rPr>
              <w:t>التهذيب والاستبصار والمقنعة</w:t>
            </w:r>
            <w:r w:rsidRPr="00020424">
              <w:rPr>
                <w:rtl/>
              </w:rPr>
              <w:t xml:space="preserve"> :</w:t>
            </w:r>
            <w:r>
              <w:rPr>
                <w:rtl/>
              </w:rPr>
              <w:t xml:space="preserve"> - </w:t>
            </w:r>
            <w:r w:rsidRPr="00020424">
              <w:rPr>
                <w:rtl/>
              </w:rPr>
              <w:t>« كان</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BD66F8">
        <w:rPr>
          <w:rtl/>
        </w:rPr>
        <w:t xml:space="preserve">التهذيب والاستبصار والمقنعة : </w:t>
      </w:r>
      <w:r w:rsidR="009B673F" w:rsidRPr="00BD66F8">
        <w:rPr>
          <w:rtl/>
        </w:rPr>
        <w:t>-</w:t>
      </w:r>
      <w:r w:rsidR="00992664" w:rsidRPr="00BD66F8">
        <w:rPr>
          <w:rtl/>
        </w:rPr>
        <w:t xml:space="preserve"> « أعاذنا الله من النّار ومن عمل يقرّب من النّار </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12008A">
        <w:rPr>
          <w:rStyle w:val="libFootnoteBoldChar"/>
          <w:rtl/>
        </w:rPr>
        <w:t>التهذيب</w:t>
      </w:r>
      <w:r w:rsidR="00992664" w:rsidRPr="00020424">
        <w:rPr>
          <w:rtl/>
        </w:rPr>
        <w:t xml:space="preserve"> ، ج 4 ، ص 301 ، ح 912 ؛ </w:t>
      </w:r>
      <w:r w:rsidR="00992664" w:rsidRPr="00FD6221">
        <w:rPr>
          <w:rStyle w:val="libFootnoteBoldChar"/>
          <w:rtl/>
        </w:rPr>
        <w:t>والاستبصار</w:t>
      </w:r>
      <w:r w:rsidR="00992664" w:rsidRPr="00020424">
        <w:rPr>
          <w:rtl/>
        </w:rPr>
        <w:t xml:space="preserve"> ، ج 2 ، ص 135 ، ح 443 ، معلّقاً عن الكليني. </w:t>
      </w:r>
      <w:r w:rsidR="00992664" w:rsidRPr="0012008A">
        <w:rPr>
          <w:rStyle w:val="libFootnoteBoldChar"/>
          <w:rtl/>
        </w:rPr>
        <w:t>المقنعة</w:t>
      </w:r>
      <w:r w:rsidR="00992664" w:rsidRPr="00020424">
        <w:rPr>
          <w:rtl/>
        </w:rPr>
        <w:t xml:space="preserve"> ، ص 377 ، مع اختلاف يسير </w:t>
      </w:r>
      <w:r w:rsidR="00BD66F8">
        <w:rPr>
          <w:rFonts w:hint="cs"/>
          <w:rtl/>
        </w:rPr>
        <w:t>.</w:t>
      </w:r>
      <w:r w:rsidR="00992664" w:rsidRPr="0012008A">
        <w:rPr>
          <w:rStyle w:val="libFootnoteBoldChar"/>
          <w:rtl/>
        </w:rPr>
        <w:t>الوافي</w:t>
      </w:r>
      <w:r w:rsidR="00992664" w:rsidRPr="00020424">
        <w:rPr>
          <w:rtl/>
        </w:rPr>
        <w:t xml:space="preserve"> ، ج 11 ، ص 73 ، ح 10436 ؛ </w:t>
      </w:r>
      <w:r w:rsidR="00992664" w:rsidRPr="0012008A">
        <w:rPr>
          <w:rStyle w:val="libFootnoteBoldChar"/>
          <w:rtl/>
        </w:rPr>
        <w:t>الوسائل</w:t>
      </w:r>
      <w:r w:rsidR="00992664" w:rsidRPr="00020424">
        <w:rPr>
          <w:rtl/>
        </w:rPr>
        <w:t xml:space="preserve"> ، ج 10 ، ص 461 ، ح 13849.</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بخ ، بر ، بف ، جر » : « عنه » بدون الواو.</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بث ، بخ ، بر ، جن » : « بن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C6F3B">
      <w:pPr>
        <w:pStyle w:val="libNormal0"/>
        <w:rPr>
          <w:rtl/>
          <w:lang w:bidi="fa-IR"/>
        </w:rPr>
      </w:pPr>
      <w:r w:rsidRPr="00020424">
        <w:rPr>
          <w:rtl/>
          <w:lang w:bidi="fa-IR"/>
        </w:rPr>
        <w:t>عَبْدِ الْمَلِكِ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صَوْمِ تَاسُوعَاءَ وَعَاشُورَاءَ مِنْ شَهْرِ الْمُحَرَّمِ</w:t>
      </w:r>
      <w:r>
        <w:rPr>
          <w:rtl/>
          <w:lang w:bidi="fa-IR"/>
        </w:rPr>
        <w:t>؟</w:t>
      </w:r>
    </w:p>
    <w:p w:rsidR="00992664" w:rsidRPr="00020424" w:rsidRDefault="00992664" w:rsidP="00992664">
      <w:pPr>
        <w:pStyle w:val="libNormal"/>
        <w:rPr>
          <w:rtl/>
          <w:lang w:bidi="fa-IR"/>
        </w:rPr>
      </w:pPr>
      <w:r w:rsidRPr="00020424">
        <w:rPr>
          <w:rtl/>
          <w:lang w:bidi="fa-IR"/>
        </w:rPr>
        <w:t xml:space="preserve">فَقَالَ : « تَاسُوعَاءُ يَوْمٌ حُوصِرَ فِيهِ الْحُسَيْنُ </w:t>
      </w:r>
      <w:r w:rsidRPr="00005A81">
        <w:rPr>
          <w:rStyle w:val="libAlaemChar"/>
          <w:rtl/>
        </w:rPr>
        <w:t>عليه‌السلام</w:t>
      </w:r>
      <w:r w:rsidRPr="00020424">
        <w:rPr>
          <w:rtl/>
          <w:lang w:bidi="fa-IR"/>
        </w:rPr>
        <w:t xml:space="preserve"> وَأَصْحَابُهُ</w:t>
      </w:r>
      <w:r>
        <w:rPr>
          <w:rtl/>
          <w:lang w:bidi="fa-IR"/>
        </w:rPr>
        <w:t xml:space="preserve"> </w:t>
      </w:r>
      <w:r w:rsidR="009B673F">
        <w:rPr>
          <w:rtl/>
          <w:lang w:bidi="fa-IR"/>
        </w:rPr>
        <w:t>-</w:t>
      </w:r>
      <w:r>
        <w:rPr>
          <w:rtl/>
          <w:lang w:bidi="fa-IR"/>
        </w:rPr>
        <w:t xml:space="preserve"> </w:t>
      </w:r>
      <w:r w:rsidRPr="00020424">
        <w:rPr>
          <w:rtl/>
          <w:lang w:bidi="fa-IR"/>
        </w:rPr>
        <w:t>رَضِيَ اللهُ عَنْهُمْ</w:t>
      </w:r>
      <w:r>
        <w:rPr>
          <w:rtl/>
          <w:lang w:bidi="fa-IR"/>
        </w:rPr>
        <w:t xml:space="preserve"> </w:t>
      </w:r>
      <w:r w:rsidR="009B673F">
        <w:rPr>
          <w:rtl/>
          <w:lang w:bidi="fa-IR"/>
        </w:rPr>
        <w:t>-</w:t>
      </w:r>
      <w:r>
        <w:rPr>
          <w:rtl/>
          <w:lang w:bidi="fa-IR"/>
        </w:rPr>
        <w:t xml:space="preserve"> </w:t>
      </w:r>
      <w:r w:rsidRPr="00020424">
        <w:rPr>
          <w:rtl/>
          <w:lang w:bidi="fa-IR"/>
        </w:rPr>
        <w:t xml:space="preserve">بِكَرْبَلَاءَ ، وَاجْتَمَعَ عَلَيْهِ خَيْلُ أَهْلِ الشَّامِ ، وَأَنَاخُوا </w:t>
      </w:r>
      <w:r w:rsidRPr="00A91B96">
        <w:rPr>
          <w:rStyle w:val="libFootnotenumChar"/>
          <w:rtl/>
        </w:rPr>
        <w:t>(1)</w:t>
      </w:r>
      <w:r w:rsidRPr="00020424">
        <w:rPr>
          <w:rtl/>
          <w:lang w:bidi="fa-IR"/>
        </w:rPr>
        <w:t xml:space="preserve"> عَلَيْهِ ، وَفَرِحَ ابْنُ مَرْجَانَةَ وَعُمَرُ بْنُ سَعْدٍ </w:t>
      </w:r>
      <w:r w:rsidRPr="00A91B96">
        <w:rPr>
          <w:rStyle w:val="libFootnotenumChar"/>
          <w:rtl/>
        </w:rPr>
        <w:t>(2)</w:t>
      </w:r>
      <w:r w:rsidRPr="00020424">
        <w:rPr>
          <w:rtl/>
          <w:lang w:bidi="fa-IR"/>
        </w:rPr>
        <w:t xml:space="preserve"> بِتَوَافُرِ </w:t>
      </w:r>
      <w:r w:rsidRPr="00A91B96">
        <w:rPr>
          <w:rStyle w:val="libFootnotenumChar"/>
          <w:rtl/>
        </w:rPr>
        <w:t>(3)</w:t>
      </w:r>
      <w:r w:rsidRPr="00020424">
        <w:rPr>
          <w:rtl/>
          <w:lang w:bidi="fa-IR"/>
        </w:rPr>
        <w:t xml:space="preserve"> الْخَيْلِ وَكَثْرَتِهَا ، وَاسْتَضْعَفُوا فِيهِ الْحُسَيْنَ صَلَوَاتُ اللهِ عَلَيْهِ وَأَصْحَابَهُ كَرَّمَ اللهُ وُجُوهَهُمْ </w:t>
      </w:r>
      <w:r w:rsidRPr="00A91B96">
        <w:rPr>
          <w:rStyle w:val="libFootnotenumChar"/>
          <w:rtl/>
        </w:rPr>
        <w:t>(4)</w:t>
      </w:r>
      <w:r w:rsidRPr="00020424">
        <w:rPr>
          <w:rtl/>
          <w:lang w:bidi="fa-IR"/>
        </w:rPr>
        <w:t xml:space="preserve"> ، وَأَيْقَنُوا أَنْ </w:t>
      </w:r>
      <w:r w:rsidRPr="00A91B96">
        <w:rPr>
          <w:rStyle w:val="libFootnotenumChar"/>
          <w:rtl/>
        </w:rPr>
        <w:t>(5)</w:t>
      </w:r>
      <w:r w:rsidRPr="00020424">
        <w:rPr>
          <w:rtl/>
          <w:lang w:bidi="fa-IR"/>
        </w:rPr>
        <w:t xml:space="preserve"> لَايَأْتِيَ الْحُسَيْنَ </w:t>
      </w:r>
      <w:r w:rsidRPr="00005A81">
        <w:rPr>
          <w:rStyle w:val="libAlaemChar"/>
          <w:rtl/>
        </w:rPr>
        <w:t>عليه‌السلام</w:t>
      </w:r>
      <w:r w:rsidRPr="00020424">
        <w:rPr>
          <w:rtl/>
          <w:lang w:bidi="fa-IR"/>
        </w:rPr>
        <w:t xml:space="preserve"> نَاصِرٌ ، وَلَايُمِدَّهُ </w:t>
      </w:r>
      <w:r w:rsidRPr="00A91B96">
        <w:rPr>
          <w:rStyle w:val="libFootnotenumChar"/>
          <w:rtl/>
        </w:rPr>
        <w:t>(6)</w:t>
      </w:r>
      <w:r w:rsidRPr="00020424">
        <w:rPr>
          <w:rtl/>
          <w:lang w:bidi="fa-IR"/>
        </w:rPr>
        <w:t xml:space="preserve"> أَهْلُ الْعِرَاقِ ؛ بِأَبِي الْمُسْتَضْعَفُ الْغَرِيبُ</w:t>
      </w:r>
      <w:r>
        <w:rPr>
          <w:rtl/>
          <w:lang w:bidi="fa-IR"/>
        </w:rPr>
        <w:t xml:space="preserve"> ».</w:t>
      </w:r>
    </w:p>
    <w:p w:rsidR="00992664" w:rsidRPr="00020424" w:rsidRDefault="00992664" w:rsidP="00992664">
      <w:pPr>
        <w:pStyle w:val="libNormal"/>
        <w:rPr>
          <w:rtl/>
          <w:lang w:bidi="fa-IR"/>
        </w:rPr>
      </w:pPr>
      <w:r w:rsidRPr="00020424">
        <w:rPr>
          <w:rtl/>
          <w:lang w:bidi="fa-IR"/>
        </w:rPr>
        <w:t xml:space="preserve">ثُمَّ قَالَ : « وَأَمَّا يَوْمُ </w:t>
      </w:r>
      <w:r w:rsidRPr="00A91B96">
        <w:rPr>
          <w:rStyle w:val="libFootnotenumChar"/>
          <w:rtl/>
        </w:rPr>
        <w:t>(7)</w:t>
      </w:r>
      <w:r w:rsidRPr="00020424">
        <w:rPr>
          <w:rtl/>
          <w:lang w:bidi="fa-IR"/>
        </w:rPr>
        <w:t xml:space="preserve"> عَاشُورَاءَ فَيَوْمٌ أُصِيبَ فِيهِ الْحُسَيْنُ </w:t>
      </w:r>
      <w:r w:rsidRPr="00005A81">
        <w:rPr>
          <w:rStyle w:val="libAlaemChar"/>
          <w:rtl/>
        </w:rPr>
        <w:t>عليه‌السلام</w:t>
      </w:r>
      <w:r w:rsidRPr="00020424">
        <w:rPr>
          <w:rtl/>
          <w:lang w:bidi="fa-IR"/>
        </w:rPr>
        <w:t xml:space="preserve"> صَرِيعاً </w:t>
      </w:r>
      <w:r w:rsidRPr="00A91B96">
        <w:rPr>
          <w:rStyle w:val="libFootnotenumChar"/>
          <w:rtl/>
        </w:rPr>
        <w:t>(8)</w:t>
      </w:r>
      <w:r w:rsidRPr="00020424">
        <w:rPr>
          <w:rtl/>
          <w:lang w:bidi="fa-IR"/>
        </w:rPr>
        <w:t xml:space="preserve"> بَيْنَ أَصْحَابِهِ ، وَأَصْحَابُهُ صَرْعى حَوْلَهُ </w:t>
      </w:r>
      <w:r w:rsidRPr="00A91B96">
        <w:rPr>
          <w:rStyle w:val="libFootnotenumChar"/>
          <w:rtl/>
        </w:rPr>
        <w:t>(9)</w:t>
      </w:r>
      <w:r w:rsidRPr="00020424">
        <w:rPr>
          <w:rtl/>
          <w:lang w:bidi="fa-IR"/>
        </w:rPr>
        <w:t xml:space="preserve"> عُرَاةً </w:t>
      </w:r>
      <w:r w:rsidRPr="00A91B96">
        <w:rPr>
          <w:rStyle w:val="libFootnotenumChar"/>
          <w:rtl/>
        </w:rPr>
        <w:t>(10)</w:t>
      </w:r>
      <w:r>
        <w:rPr>
          <w:rtl/>
          <w:lang w:bidi="fa-IR"/>
        </w:rPr>
        <w:t xml:space="preserve"> ، أَ</w:t>
      </w:r>
      <w:r w:rsidRPr="00020424">
        <w:rPr>
          <w:rtl/>
          <w:lang w:bidi="fa-IR"/>
        </w:rPr>
        <w:t xml:space="preserve">فَصَوْمٌ يَكُونُ فِي </w:t>
      </w:r>
      <w:r w:rsidRPr="00A91B96">
        <w:rPr>
          <w:rStyle w:val="libFootnotenumChar"/>
          <w:rtl/>
        </w:rPr>
        <w:t>(11)</w:t>
      </w:r>
      <w:r w:rsidRPr="00020424">
        <w:rPr>
          <w:rtl/>
          <w:lang w:bidi="fa-IR"/>
        </w:rPr>
        <w:t xml:space="preserve"> ذلِكَ الْيَوْمِ</w:t>
      </w:r>
      <w:r>
        <w:rPr>
          <w:rtl/>
          <w:lang w:bidi="fa-IR"/>
        </w:rPr>
        <w:t>؟</w:t>
      </w:r>
      <w:r w:rsidRPr="00020424">
        <w:rPr>
          <w:rtl/>
          <w:lang w:bidi="fa-IR"/>
        </w:rPr>
        <w:t xml:space="preserve"> كَلاَّ ، وَرَبِّ الْبَيْتِ الْحَرَامِ ، مَا هُوَ ي</w:t>
      </w:r>
      <w:r w:rsidR="008742DF">
        <w:rPr>
          <w:rtl/>
          <w:lang w:bidi="fa-IR"/>
        </w:rPr>
        <w:t>َوْمَ صَوْمٍ ، وَمَا هُوَ إِل</w:t>
      </w:r>
      <w:r w:rsidR="008742DF">
        <w:rPr>
          <w:rFonts w:hint="cs"/>
          <w:rtl/>
          <w:lang w:bidi="fa-IR"/>
        </w:rPr>
        <w:t>َّ</w:t>
      </w:r>
      <w:r w:rsidR="008742DF">
        <w:rPr>
          <w:rtl/>
          <w:lang w:bidi="fa-IR"/>
        </w:rPr>
        <w:t>ا</w:t>
      </w:r>
      <w:r w:rsidRPr="00020424">
        <w:rPr>
          <w:rtl/>
          <w:lang w:bidi="fa-IR"/>
        </w:rPr>
        <w:t xml:space="preserve"> يَوْمُ حُزْنٍ وَمُصِيبَةٍ دَخَلَتْ عَلى أَهْلِ السَّمَاءِ وَأَهْلِ الْأَرْضِ وَجَمِيعِ الْمُؤْمِنِينَ ، وَيَوْمُ فَرَحٍ وَسُرُورٍ لِابْنِ مَرْجَانَةَ وَآلِ زِيَادٍ وَأَهْلِ الشَّامِ ، غَضِبَ اللهُ عَلَيْهِمْ وَعَلى ذُرِّيَّاتِهِمْ </w:t>
      </w:r>
      <w:r w:rsidRPr="00A91B96">
        <w:rPr>
          <w:rStyle w:val="libFootnotenumChar"/>
          <w:rtl/>
        </w:rPr>
        <w:t>(12)</w:t>
      </w:r>
      <w:r w:rsidRPr="00020424">
        <w:rPr>
          <w:rtl/>
          <w:lang w:bidi="fa-IR"/>
        </w:rPr>
        <w:t xml:space="preserve"> ، وَذلِكَ </w:t>
      </w:r>
      <w:r w:rsidRPr="00A91B96">
        <w:rPr>
          <w:rStyle w:val="libFootnotenumChar"/>
          <w:rtl/>
        </w:rPr>
        <w:t>(13)</w:t>
      </w:r>
      <w:r w:rsidRPr="00020424">
        <w:rPr>
          <w:rtl/>
          <w:lang w:bidi="fa-IR"/>
        </w:rPr>
        <w:t xml:space="preserve"> يَوْمٌ بَكَتْ عَلَيْهِ </w:t>
      </w:r>
      <w:r w:rsidRPr="00A91B96">
        <w:rPr>
          <w:rStyle w:val="libFootnotenumChar"/>
          <w:rtl/>
        </w:rPr>
        <w:t>(14)</w:t>
      </w:r>
      <w:r w:rsidRPr="00020424">
        <w:rPr>
          <w:rtl/>
          <w:lang w:bidi="fa-IR"/>
        </w:rPr>
        <w:t xml:space="preserve"> جَمِيعُ بِقَاعِ‌</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201D2C">
      <w:pPr>
        <w:pStyle w:val="libFootnote0"/>
        <w:rPr>
          <w:rtl/>
          <w:lang w:bidi="fa-IR"/>
        </w:rPr>
      </w:pPr>
      <w:r>
        <w:rPr>
          <w:rtl/>
        </w:rPr>
        <w:t>(1).</w:t>
      </w:r>
      <w:r w:rsidR="0014403D">
        <w:rPr>
          <w:rtl/>
        </w:rPr>
        <w:t xml:space="preserve"> </w:t>
      </w:r>
      <w:r w:rsidR="00992664" w:rsidRPr="00020424">
        <w:rPr>
          <w:rtl/>
        </w:rPr>
        <w:t xml:space="preserve">« أَناخُوا » أي أبركوا إبلهم ، أي ألصقوا صدورها بالأرض ، أي أقاموها فيها. راجع : </w:t>
      </w:r>
      <w:r w:rsidR="00992664" w:rsidRPr="0012008A">
        <w:rPr>
          <w:rStyle w:val="libFootnoteBoldChar"/>
          <w:rtl/>
        </w:rPr>
        <w:t>الصحاح</w:t>
      </w:r>
      <w:r w:rsidR="00992664" w:rsidRPr="00020424">
        <w:rPr>
          <w:rtl/>
        </w:rPr>
        <w:t xml:space="preserve"> ، ج 1 ، ص 434 ؛ </w:t>
      </w:r>
      <w:r w:rsidR="00992664" w:rsidRPr="00A722B1">
        <w:rPr>
          <w:rStyle w:val="libFootnoteBoldChar"/>
          <w:rtl/>
        </w:rPr>
        <w:t>لسان العرب</w:t>
      </w:r>
      <w:r w:rsidR="00992664" w:rsidRPr="00020424">
        <w:rPr>
          <w:rtl/>
        </w:rPr>
        <w:t xml:space="preserve"> ، ج 3 ، ص 65 ( نوخ )</w:t>
      </w:r>
      <w:r w:rsidR="00992664">
        <w:rPr>
          <w:rtl/>
        </w:rPr>
        <w:t>.</w:t>
      </w:r>
      <w:r w:rsidR="003C719B">
        <w:rPr>
          <w:rFonts w:hint="cs"/>
          <w:rtl/>
        </w:rPr>
        <w:t xml:space="preserve">          </w:t>
      </w:r>
      <w:r>
        <w:rPr>
          <w:rtl/>
        </w:rPr>
        <w:t>(2).</w:t>
      </w:r>
      <w:r w:rsidR="0014403D">
        <w:rPr>
          <w:rtl/>
        </w:rPr>
        <w:t xml:space="preserve"> </w:t>
      </w:r>
      <w:r w:rsidR="00992664" w:rsidRPr="00020424">
        <w:rPr>
          <w:rtl/>
        </w:rPr>
        <w:t>في « ظ » : + « عليهما اللعنة والعذاب</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بنوافل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وفي المطبوع : « رضي الله عنهم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306FC" w:rsidTr="007306FC">
        <w:tc>
          <w:tcPr>
            <w:tcW w:w="4006" w:type="dxa"/>
          </w:tcPr>
          <w:p w:rsidR="007306FC" w:rsidRDefault="007306FC" w:rsidP="00992664">
            <w:pPr>
              <w:pStyle w:val="libFootnote0"/>
              <w:rPr>
                <w:rtl/>
              </w:rPr>
            </w:pPr>
            <w:r>
              <w:rPr>
                <w:rtl/>
              </w:rPr>
              <w:t xml:space="preserve">(5). </w:t>
            </w:r>
            <w:r w:rsidRPr="00020424">
              <w:rPr>
                <w:rtl/>
              </w:rPr>
              <w:t xml:space="preserve">في </w:t>
            </w:r>
            <w:r w:rsidRPr="0012008A">
              <w:rPr>
                <w:rStyle w:val="libFootnoteBoldChar"/>
                <w:rtl/>
              </w:rPr>
              <w:t>البحار</w:t>
            </w:r>
            <w:r w:rsidRPr="00020424">
              <w:rPr>
                <w:rtl/>
              </w:rPr>
              <w:t xml:space="preserve"> : « أنّه</w:t>
            </w:r>
            <w:r>
              <w:rPr>
                <w:rtl/>
              </w:rPr>
              <w:t xml:space="preserve"> ».</w:t>
            </w:r>
          </w:p>
        </w:tc>
        <w:tc>
          <w:tcPr>
            <w:tcW w:w="4006" w:type="dxa"/>
          </w:tcPr>
          <w:p w:rsidR="007306FC" w:rsidRDefault="007306FC" w:rsidP="00992664">
            <w:pPr>
              <w:pStyle w:val="libFootnote0"/>
              <w:rPr>
                <w:rtl/>
              </w:rPr>
            </w:pPr>
            <w:r>
              <w:rPr>
                <w:rtl/>
              </w:rPr>
              <w:t xml:space="preserve">(6). </w:t>
            </w:r>
            <w:r w:rsidRPr="00020424">
              <w:rPr>
                <w:rtl/>
              </w:rPr>
              <w:t>في « ى » : « ولم يمدّه</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يوم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 صَرِيعاً » أي مطروحاً بالأرض ؛ من الصَرْع ، وهو الطرح بالأرض. وخصّه بعضهم بالإنسان. راجع : </w:t>
      </w:r>
      <w:r w:rsidR="00992664" w:rsidRPr="00A722B1">
        <w:rPr>
          <w:rStyle w:val="libFootnoteBoldChar"/>
          <w:rtl/>
        </w:rPr>
        <w:t>لسان العرب</w:t>
      </w:r>
      <w:r w:rsidR="00992664" w:rsidRPr="00020424">
        <w:rPr>
          <w:rtl/>
        </w:rPr>
        <w:t xml:space="preserve"> ، ج 8 ، ص 197 ؛ </w:t>
      </w:r>
      <w:r w:rsidR="00992664" w:rsidRPr="00A722B1">
        <w:rPr>
          <w:rStyle w:val="libFootnoteBoldChar"/>
          <w:rtl/>
        </w:rPr>
        <w:t>القاموس المحيط</w:t>
      </w:r>
      <w:r w:rsidR="00992664" w:rsidRPr="00020424">
        <w:rPr>
          <w:rtl/>
        </w:rPr>
        <w:t xml:space="preserve"> ، ج 2 ، ص 988 ( صرع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حوله صرعى</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بح ، بخ ، بس ، جن »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عراة</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عرى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15D29" w:rsidTr="00B15D29">
        <w:tc>
          <w:tcPr>
            <w:tcW w:w="4006" w:type="dxa"/>
          </w:tcPr>
          <w:p w:rsidR="00B15D29" w:rsidRDefault="00B15D29" w:rsidP="00992664">
            <w:pPr>
              <w:pStyle w:val="libFootnote0"/>
              <w:rPr>
                <w:rtl/>
              </w:rPr>
            </w:pPr>
            <w:r>
              <w:rPr>
                <w:rtl/>
              </w:rPr>
              <w:t xml:space="preserve">(11). </w:t>
            </w:r>
            <w:r w:rsidRPr="00020424">
              <w:rPr>
                <w:rtl/>
              </w:rPr>
              <w:t>في « بخ » :</w:t>
            </w:r>
            <w:r>
              <w:rPr>
                <w:rtl/>
              </w:rPr>
              <w:t xml:space="preserve"> - </w:t>
            </w:r>
            <w:r w:rsidRPr="00020424">
              <w:rPr>
                <w:rtl/>
              </w:rPr>
              <w:t>« في</w:t>
            </w:r>
            <w:r>
              <w:rPr>
                <w:rtl/>
              </w:rPr>
              <w:t xml:space="preserve"> ».</w:t>
            </w:r>
          </w:p>
        </w:tc>
        <w:tc>
          <w:tcPr>
            <w:tcW w:w="4006" w:type="dxa"/>
          </w:tcPr>
          <w:p w:rsidR="00B15D29" w:rsidRDefault="00B15D29" w:rsidP="00992664">
            <w:pPr>
              <w:pStyle w:val="libFootnote0"/>
              <w:rPr>
                <w:rtl/>
              </w:rPr>
            </w:pPr>
            <w:r>
              <w:rPr>
                <w:rtl/>
              </w:rPr>
              <w:t xml:space="preserve">(12). </w:t>
            </w:r>
            <w:r w:rsidRPr="00020424">
              <w:rPr>
                <w:rtl/>
              </w:rPr>
              <w:t xml:space="preserve">في « بخ ، بر ، بف » </w:t>
            </w:r>
            <w:r w:rsidRPr="00515444">
              <w:rPr>
                <w:rStyle w:val="libFootnoteBoldChar"/>
                <w:rtl/>
              </w:rPr>
              <w:t>والوافي</w:t>
            </w:r>
            <w:r w:rsidRPr="00020424">
              <w:rPr>
                <w:rtl/>
              </w:rPr>
              <w:t xml:space="preserve"> : « ذراريهم</w:t>
            </w:r>
            <w:r>
              <w:rPr>
                <w:rtl/>
              </w:rPr>
              <w:t xml:space="preserve"> ».</w:t>
            </w:r>
          </w:p>
        </w:tc>
      </w:tr>
      <w:tr w:rsidR="00B15D29" w:rsidTr="00B15D29">
        <w:tc>
          <w:tcPr>
            <w:tcW w:w="4006" w:type="dxa"/>
          </w:tcPr>
          <w:p w:rsidR="00B15D29" w:rsidRDefault="00B15D29" w:rsidP="00992664">
            <w:pPr>
              <w:pStyle w:val="libFootnote0"/>
              <w:rPr>
                <w:rtl/>
              </w:rPr>
            </w:pPr>
            <w:r>
              <w:rPr>
                <w:rtl/>
              </w:rPr>
              <w:t xml:space="preserve">(13). </w:t>
            </w:r>
            <w:r w:rsidRPr="00020424">
              <w:rPr>
                <w:rtl/>
              </w:rPr>
              <w:t>في « ظ » : « ذلك » بدون الواو.</w:t>
            </w:r>
          </w:p>
        </w:tc>
        <w:tc>
          <w:tcPr>
            <w:tcW w:w="4006" w:type="dxa"/>
          </w:tcPr>
          <w:p w:rsidR="00B15D29" w:rsidRDefault="00B15D29" w:rsidP="00992664">
            <w:pPr>
              <w:pStyle w:val="libFootnote0"/>
              <w:rPr>
                <w:rtl/>
              </w:rPr>
            </w:pPr>
            <w:r>
              <w:rPr>
                <w:rtl/>
              </w:rPr>
              <w:t>(14). في«بث</w:t>
            </w:r>
            <w:r w:rsidRPr="00020424">
              <w:rPr>
                <w:rtl/>
              </w:rPr>
              <w:t>،</w:t>
            </w:r>
            <w:r>
              <w:rPr>
                <w:rtl/>
              </w:rPr>
              <w:t>بخ،جن</w:t>
            </w:r>
            <w:r w:rsidRPr="00020424">
              <w:rPr>
                <w:rtl/>
              </w:rPr>
              <w:t>»</w:t>
            </w:r>
            <w:r w:rsidRPr="00515444">
              <w:rPr>
                <w:rStyle w:val="libFootnoteBoldChar"/>
                <w:rtl/>
              </w:rPr>
              <w:t>والوافي</w:t>
            </w:r>
            <w:r w:rsidRPr="00020424">
              <w:rPr>
                <w:rtl/>
              </w:rPr>
              <w:t>و</w:t>
            </w:r>
            <w:r w:rsidRPr="0012008A">
              <w:rPr>
                <w:rStyle w:val="libFootnoteBoldChar"/>
                <w:rtl/>
              </w:rPr>
              <w:t>البحار</w:t>
            </w:r>
            <w:r w:rsidRPr="00020424">
              <w:rPr>
                <w:rtl/>
              </w:rPr>
              <w:t>:</w:t>
            </w:r>
            <w:r>
              <w:rPr>
                <w:rtl/>
              </w:rPr>
              <w:t>-«</w:t>
            </w:r>
            <w:r w:rsidRPr="00020424">
              <w:rPr>
                <w:rtl/>
              </w:rPr>
              <w:t>عليه</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3C719B">
      <w:pPr>
        <w:pStyle w:val="libNormal0"/>
        <w:rPr>
          <w:rtl/>
          <w:lang w:bidi="fa-IR"/>
        </w:rPr>
      </w:pPr>
      <w:r w:rsidRPr="00020424">
        <w:rPr>
          <w:rtl/>
          <w:lang w:bidi="fa-IR"/>
        </w:rPr>
        <w:t xml:space="preserve">الْأَرْضِ خَلَا بُقْعَةِ الشَّامِ ، فَمَنْ صَامَهُ </w:t>
      </w:r>
      <w:r w:rsidRPr="00A91B96">
        <w:rPr>
          <w:rStyle w:val="libFootnotenumChar"/>
          <w:rtl/>
        </w:rPr>
        <w:t>(1)</w:t>
      </w:r>
      <w:r w:rsidRPr="00020424">
        <w:rPr>
          <w:rtl/>
          <w:lang w:bidi="fa-IR"/>
        </w:rPr>
        <w:t xml:space="preserve"> أَوْ تَبَرَّكَ بِهِ </w:t>
      </w:r>
      <w:r w:rsidRPr="00A91B96">
        <w:rPr>
          <w:rStyle w:val="libFootnotenumChar"/>
          <w:rtl/>
        </w:rPr>
        <w:t>(2)</w:t>
      </w:r>
      <w:r w:rsidRPr="00020424">
        <w:rPr>
          <w:rtl/>
          <w:lang w:bidi="fa-IR"/>
        </w:rPr>
        <w:t xml:space="preserve"> ، حَشَرَهُ اللهُ مَعَ آلِ زِيَادٍ مَمْسُوخَ الْقَلْبِ مَسْخُوطَاً </w:t>
      </w:r>
      <w:r w:rsidRPr="00A91B96">
        <w:rPr>
          <w:rStyle w:val="libFootnotenumChar"/>
          <w:rtl/>
        </w:rPr>
        <w:t>(3)</w:t>
      </w:r>
      <w:r w:rsidRPr="00020424">
        <w:rPr>
          <w:rtl/>
          <w:lang w:bidi="fa-IR"/>
        </w:rPr>
        <w:t xml:space="preserve"> عَلَيْهِ ، وَمَنِ ادَّخَرَ إِلى مَنْزِلِهِ </w:t>
      </w:r>
      <w:r w:rsidRPr="00A91B96">
        <w:rPr>
          <w:rStyle w:val="libFootnotenumChar"/>
          <w:rtl/>
        </w:rPr>
        <w:t>(4)</w:t>
      </w:r>
      <w:r w:rsidRPr="00020424">
        <w:rPr>
          <w:rtl/>
          <w:lang w:bidi="fa-IR"/>
        </w:rPr>
        <w:t xml:space="preserve"> ذَخِيرَةً </w:t>
      </w:r>
      <w:r w:rsidRPr="00A91B96">
        <w:rPr>
          <w:rStyle w:val="libFootnotenumChar"/>
          <w:rtl/>
        </w:rPr>
        <w:t>(5)</w:t>
      </w:r>
      <w:r w:rsidRPr="00020424">
        <w:rPr>
          <w:rtl/>
          <w:lang w:bidi="fa-IR"/>
        </w:rPr>
        <w:t xml:space="preserve"> ، أَعْقَبَهُ اللهُ تَعَالى نِفَاقاً فِي قَلْبِهِ إِلى يَوْمِ يَلْقَاهُ ، وَانْتَزَعَ </w:t>
      </w:r>
      <w:r w:rsidRPr="00A91B96">
        <w:rPr>
          <w:rStyle w:val="libFootnotenumChar"/>
          <w:rtl/>
        </w:rPr>
        <w:t>(6)</w:t>
      </w:r>
      <w:r w:rsidRPr="00020424">
        <w:rPr>
          <w:rtl/>
          <w:lang w:bidi="fa-IR"/>
        </w:rPr>
        <w:t xml:space="preserve"> الْبَرَكَةَ عَنْهُ وَعَنْ أَهْلِ بَيْتِهِ وَ</w:t>
      </w:r>
      <w:r w:rsidR="003C719B">
        <w:rPr>
          <w:rFonts w:hint="cs"/>
          <w:rtl/>
          <w:lang w:bidi="fa-IR"/>
        </w:rPr>
        <w:t xml:space="preserve"> </w:t>
      </w:r>
      <w:r w:rsidRPr="00020424">
        <w:rPr>
          <w:rtl/>
          <w:lang w:bidi="fa-IR"/>
        </w:rPr>
        <w:t>وُلْدِهِ ، وَشَارَكَهُ الشَّيْطَانُ فِي جَمِيعِ ذلِكَ</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Heading2Center"/>
        <w:rPr>
          <w:rtl/>
          <w:lang w:bidi="fa-IR"/>
        </w:rPr>
      </w:pPr>
      <w:bookmarkStart w:id="491" w:name="_Toc345172880"/>
      <w:bookmarkStart w:id="492" w:name="_Toc464562695"/>
      <w:bookmarkStart w:id="493" w:name="_Toc44600001"/>
      <w:r w:rsidRPr="00020424">
        <w:rPr>
          <w:rtl/>
          <w:lang w:bidi="fa-IR"/>
        </w:rPr>
        <w:t>62</w:t>
      </w:r>
      <w:r>
        <w:rPr>
          <w:rtl/>
          <w:lang w:bidi="fa-IR"/>
        </w:rPr>
        <w:t xml:space="preserve"> </w:t>
      </w:r>
      <w:r w:rsidR="009B673F">
        <w:rPr>
          <w:rtl/>
          <w:lang w:bidi="fa-IR"/>
        </w:rPr>
        <w:t>-</w:t>
      </w:r>
      <w:r>
        <w:rPr>
          <w:rtl/>
          <w:lang w:bidi="fa-IR"/>
        </w:rPr>
        <w:t xml:space="preserve"> </w:t>
      </w:r>
      <w:r w:rsidRPr="00020424">
        <w:rPr>
          <w:rtl/>
          <w:lang w:bidi="fa-IR"/>
        </w:rPr>
        <w:t xml:space="preserve">بَابُ صَوْمِ </w:t>
      </w:r>
      <w:r w:rsidRPr="00A91B96">
        <w:rPr>
          <w:rStyle w:val="libFootnotenumChar"/>
          <w:rtl/>
        </w:rPr>
        <w:t>(8)</w:t>
      </w:r>
      <w:r>
        <w:rPr>
          <w:rtl/>
        </w:rPr>
        <w:t xml:space="preserve"> </w:t>
      </w:r>
      <w:r w:rsidRPr="00020424">
        <w:rPr>
          <w:rtl/>
          <w:lang w:bidi="fa-IR"/>
        </w:rPr>
        <w:t>الْعِيدَيْنِ وَأَيَّامِ التَّشْرِيقِ‌</w:t>
      </w:r>
      <w:bookmarkEnd w:id="491"/>
      <w:bookmarkEnd w:id="492"/>
      <w:bookmarkEnd w:id="493"/>
    </w:p>
    <w:p w:rsidR="00992664" w:rsidRPr="00020424" w:rsidRDefault="00992664" w:rsidP="00992664">
      <w:pPr>
        <w:pStyle w:val="libNormal"/>
        <w:rPr>
          <w:rtl/>
          <w:lang w:bidi="fa-IR"/>
        </w:rPr>
      </w:pPr>
      <w:r w:rsidRPr="00A93B0F">
        <w:rPr>
          <w:rtl/>
        </w:rPr>
        <w:t>6585</w:t>
      </w:r>
      <w:r w:rsidRPr="001155DE">
        <w:rPr>
          <w:rStyle w:val="libBold2Char"/>
          <w:rtl/>
        </w:rPr>
        <w:t xml:space="preserve"> / 1.</w:t>
      </w:r>
      <w:r w:rsidRPr="00020424">
        <w:rPr>
          <w:rtl/>
          <w:lang w:bidi="fa-IR"/>
        </w:rPr>
        <w:t xml:space="preserve"> مُحَمَّدُ بْنُ يَحْيى ، عَنْ أَحْمَدَ بْنِ مُحَمَّدٍ ، عَنْ عُثْمَانَ بْنِ</w:t>
      </w:r>
      <w:r w:rsidR="001C58E0">
        <w:rPr>
          <w:rtl/>
          <w:lang w:bidi="fa-IR"/>
        </w:rPr>
        <w:t xml:space="preserve"> عِيسى ، عَنْ سَمَاعَةَ ، قَالَ</w:t>
      </w:r>
      <w:r w:rsidRPr="00020424">
        <w:rPr>
          <w:rtl/>
          <w:lang w:bidi="fa-IR"/>
        </w:rPr>
        <w:t>:</w:t>
      </w:r>
    </w:p>
    <w:p w:rsidR="00992664" w:rsidRPr="00020424" w:rsidRDefault="00992664" w:rsidP="00992664">
      <w:pPr>
        <w:pStyle w:val="libNormal"/>
        <w:rPr>
          <w:rtl/>
          <w:lang w:bidi="fa-IR"/>
        </w:rPr>
      </w:pPr>
      <w:r w:rsidRPr="00020424">
        <w:rPr>
          <w:rtl/>
          <w:lang w:bidi="fa-IR"/>
        </w:rPr>
        <w:t>سَأَلْتُهُ عَنْ صِيَامِ يَوْمِ الْفِطْرِ</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بس ، بف » : « صام</w:t>
      </w:r>
      <w:r w:rsidR="00992664">
        <w:rPr>
          <w:rtl/>
        </w:rPr>
        <w:t xml:space="preserve"> ».</w:t>
      </w:r>
      <w:r w:rsidR="00992664" w:rsidRPr="00020424">
        <w:rPr>
          <w:rtl/>
        </w:rPr>
        <w:t xml:space="preserve"> واختلفت الروايات في صوم يوم عاشوراء ، وجمع الشيخ بينها في </w:t>
      </w:r>
      <w:r w:rsidR="00992664" w:rsidRPr="0012008A">
        <w:rPr>
          <w:rStyle w:val="libFootnoteBoldChar"/>
          <w:rtl/>
        </w:rPr>
        <w:t>التهذيب</w:t>
      </w:r>
      <w:r w:rsidR="00992664" w:rsidRPr="00DE76B9">
        <w:rPr>
          <w:rStyle w:val="libFootnoteBoldChar"/>
          <w:rFonts w:hint="cs"/>
          <w:rtl/>
        </w:rPr>
        <w:t xml:space="preserve"> </w:t>
      </w:r>
      <w:r w:rsidR="00992664" w:rsidRPr="00AC5D15">
        <w:rPr>
          <w:rtl/>
        </w:rPr>
        <w:t>‌بقوله</w:t>
      </w:r>
      <w:r w:rsidR="00992664" w:rsidRPr="00020424">
        <w:rPr>
          <w:rtl/>
        </w:rPr>
        <w:t xml:space="preserve"> : « فالوجه في هذه الأحاديث أنّ من صام يوم عاشوراء على طريق الحزن بمصاب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والجزع لما حلّ بعترته فقد أصاب ، ومن صامه على ما يعتقد فيه مخالفونا من الفضل في صومه والتبرّك به والاعتقاد لبركته وسعادته فقد أثم وأخطأ</w:t>
      </w:r>
      <w:r w:rsidR="00992664">
        <w:rPr>
          <w:rtl/>
        </w:rPr>
        <w:t xml:space="preserve"> ».</w:t>
      </w:r>
      <w:r w:rsidR="00992664" w:rsidRPr="00020424">
        <w:rPr>
          <w:rtl/>
        </w:rPr>
        <w:t xml:space="preserve"> ونقل هذا الجمع أيضاً عن الشيخ المفيد واختاره في </w:t>
      </w:r>
      <w:r w:rsidR="00992664" w:rsidRPr="00DE76B9">
        <w:rPr>
          <w:rStyle w:val="libFootnoteBoldChar"/>
          <w:rtl/>
        </w:rPr>
        <w:t>الاستبصار</w:t>
      </w:r>
      <w:r w:rsidR="00BF61F5">
        <w:rPr>
          <w:rtl/>
        </w:rPr>
        <w:t>. وقال العل</w:t>
      </w:r>
      <w:r w:rsidR="00BF61F5">
        <w:rPr>
          <w:rFonts w:hint="cs"/>
          <w:rtl/>
        </w:rPr>
        <w:t>ّ</w:t>
      </w:r>
      <w:r w:rsidR="00BF61F5">
        <w:rPr>
          <w:rtl/>
        </w:rPr>
        <w:t>ا</w:t>
      </w:r>
      <w:r w:rsidR="00992664" w:rsidRPr="00020424">
        <w:rPr>
          <w:rtl/>
        </w:rPr>
        <w:t xml:space="preserve">مة الفيض : « أقول : بل الأولى ترك صيامه على كلّ حال ؛ لأنّ الترغيب في صيامه موافق للعامّة مسنداً إلى آبائهم </w:t>
      </w:r>
      <w:r w:rsidR="00992664" w:rsidRPr="00D64ADA">
        <w:rPr>
          <w:rStyle w:val="libFootnoteAlaemChar"/>
          <w:rtl/>
        </w:rPr>
        <w:t>عليهم‌السلام</w:t>
      </w:r>
      <w:r w:rsidR="00992664" w:rsidRPr="00020424">
        <w:rPr>
          <w:rtl/>
        </w:rPr>
        <w:t xml:space="preserve"> ، وهذا من أمارات التقيّة فينبغي ترك العمل به ، ولأنّ صيامه متروك بصيام شهر رمضان ، والمتروك بدعة</w:t>
      </w:r>
      <w:r w:rsidR="00992664">
        <w:rPr>
          <w:rtl/>
        </w:rPr>
        <w:t xml:space="preserve"> ».</w:t>
      </w:r>
      <w:r w:rsidR="008D7839">
        <w:rPr>
          <w:rtl/>
        </w:rPr>
        <w:t xml:space="preserve"> وقال العل</w:t>
      </w:r>
      <w:r w:rsidR="008D7839">
        <w:rPr>
          <w:rFonts w:hint="cs"/>
          <w:rtl/>
        </w:rPr>
        <w:t>ّ</w:t>
      </w:r>
      <w:r w:rsidR="008D7839">
        <w:rPr>
          <w:rtl/>
        </w:rPr>
        <w:t>ا</w:t>
      </w:r>
      <w:r w:rsidR="00992664" w:rsidRPr="00020424">
        <w:rPr>
          <w:rtl/>
        </w:rPr>
        <w:t>مة المجلسي : « والأظهر عندي أنّ الأخبار الواردة بفضل صومه محمولة على التقيّة و</w:t>
      </w:r>
      <w:r w:rsidR="00992664">
        <w:rPr>
          <w:rtl/>
        </w:rPr>
        <w:t xml:space="preserve"> ..</w:t>
      </w:r>
      <w:r w:rsidR="00992664" w:rsidRPr="00020424">
        <w:rPr>
          <w:rtl/>
        </w:rPr>
        <w:t>. الأحوط ترك صيامه مطلقاً</w:t>
      </w:r>
      <w:r w:rsidR="00992664">
        <w:rPr>
          <w:rtl/>
        </w:rPr>
        <w:t xml:space="preserve"> ».</w:t>
      </w:r>
      <w:r w:rsidR="00992664" w:rsidRPr="00020424">
        <w:rPr>
          <w:rtl/>
        </w:rPr>
        <w:t xml:space="preserve"> راجع : </w:t>
      </w:r>
      <w:r w:rsidR="00992664" w:rsidRPr="0012008A">
        <w:rPr>
          <w:rStyle w:val="libFootnoteBoldChar"/>
          <w:rtl/>
        </w:rPr>
        <w:t>التهذيب</w:t>
      </w:r>
      <w:r w:rsidR="00992664" w:rsidRPr="00020424">
        <w:rPr>
          <w:rtl/>
        </w:rPr>
        <w:t xml:space="preserve"> ، ج 4 ، ص 302 ، ذيل الحديث 912 ؛ </w:t>
      </w:r>
      <w:r w:rsidR="00992664" w:rsidRPr="00DE76B9">
        <w:rPr>
          <w:rStyle w:val="libFootnoteBoldChar"/>
          <w:rtl/>
        </w:rPr>
        <w:t>الاستبصار</w:t>
      </w:r>
      <w:r w:rsidR="00992664" w:rsidRPr="00020424">
        <w:rPr>
          <w:rtl/>
        </w:rPr>
        <w:t xml:space="preserve"> ، ج 2 ، ص 135 ، ذيل الحديث 443 ؛ </w:t>
      </w:r>
      <w:r w:rsidR="00992664" w:rsidRPr="0012008A">
        <w:rPr>
          <w:rStyle w:val="libFootnoteBoldChar"/>
          <w:rtl/>
        </w:rPr>
        <w:t>الوافي</w:t>
      </w:r>
      <w:r w:rsidR="00992664" w:rsidRPr="00020424">
        <w:rPr>
          <w:rtl/>
        </w:rPr>
        <w:t xml:space="preserve">، ج 11 ، ص 76 ؛ </w:t>
      </w:r>
      <w:r w:rsidR="00992664" w:rsidRPr="00DE76B9">
        <w:rPr>
          <w:rStyle w:val="libFootnoteBoldChar"/>
          <w:rtl/>
        </w:rPr>
        <w:t>مرآة العقول</w:t>
      </w:r>
      <w:r w:rsidR="00992664" w:rsidRPr="00020424">
        <w:rPr>
          <w:rtl/>
        </w:rPr>
        <w:t xml:space="preserve"> ، ج 16 ، ص 361.</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به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 ظ ، بح ، بخ » وحاشية « بث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وفي باقي النسخ التي قوبلت والمطبوع : « مسخوط</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 فيه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ومن ادّخر إلى منزله ذخيرة ، أشار به إلى ما كان المتبرّكون بهذا اليوم يفعلونه ؛ فإنّهم كانوا يدّخرون قوت سنتهم في هذا اليوم تبرّكاً وتيمّناً ، ويجعلونه أعظم أعيادهم لعنهم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 « وينزع</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73 ، ح 10437 ؛ </w:t>
      </w:r>
      <w:r w:rsidR="00992664" w:rsidRPr="0012008A">
        <w:rPr>
          <w:rStyle w:val="libFootnoteBoldChar"/>
          <w:rtl/>
        </w:rPr>
        <w:t>الوسائل</w:t>
      </w:r>
      <w:r w:rsidR="00992664" w:rsidRPr="00020424">
        <w:rPr>
          <w:rtl/>
        </w:rPr>
        <w:t xml:space="preserve"> ، ج 10 ، ص 459 ، ح 13847 ؛ </w:t>
      </w:r>
      <w:r w:rsidR="00992664" w:rsidRPr="0012008A">
        <w:rPr>
          <w:rStyle w:val="libFootnoteBoldChar"/>
          <w:rtl/>
        </w:rPr>
        <w:t>البحار</w:t>
      </w:r>
      <w:r w:rsidR="00992664" w:rsidRPr="00020424">
        <w:rPr>
          <w:rtl/>
        </w:rPr>
        <w:t xml:space="preserve"> ، ج 45 ، ص 95 ، ح 40.</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 « صيام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 « لَا يَنْبَغِي صِيَامُهُ </w:t>
      </w:r>
      <w:r w:rsidRPr="00A91B96">
        <w:rPr>
          <w:rStyle w:val="libFootnotenumChar"/>
          <w:rtl/>
        </w:rPr>
        <w:t>(1)</w:t>
      </w:r>
      <w:r w:rsidRPr="00020424">
        <w:rPr>
          <w:rtl/>
          <w:lang w:bidi="fa-IR"/>
        </w:rPr>
        <w:t xml:space="preserve"> ، وَلَاصِيَامُ أَيَّامِ التَّشْرِيقِ</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A93B0F">
        <w:rPr>
          <w:rtl/>
        </w:rPr>
        <w:t>6586</w:t>
      </w:r>
      <w:r w:rsidRPr="001155DE">
        <w:rPr>
          <w:rStyle w:val="libBold2Char"/>
          <w:rtl/>
        </w:rPr>
        <w:t xml:space="preserve"> / 2.</w:t>
      </w:r>
      <w:r w:rsidRPr="00020424">
        <w:rPr>
          <w:rtl/>
          <w:lang w:bidi="fa-IR"/>
        </w:rPr>
        <w:t xml:space="preserve"> عِدَّةٌ مِنْ أَصْحَابِنَا ، عَنْ أَحْمَدَ بْنِ مُحَمَّدٍ ، عَنْ أَحْمَدَ بْنِ مُحَمَّدِ بْنِ أَبِي نَصْرٍ </w:t>
      </w:r>
      <w:r w:rsidRPr="00A91B96">
        <w:rPr>
          <w:rStyle w:val="libFootnotenumChar"/>
          <w:rtl/>
        </w:rPr>
        <w:t>(3)</w:t>
      </w:r>
      <w:r w:rsidRPr="00020424">
        <w:rPr>
          <w:rtl/>
          <w:lang w:bidi="fa-IR"/>
        </w:rPr>
        <w:t xml:space="preserve"> ، عَنْ أَبِي سَعِيدٍ الْمُكَارِي ، عَنْ زِيَادِ بْنِ أَبِي الْحَلاَّلِ ، قَالَ :</w:t>
      </w:r>
    </w:p>
    <w:p w:rsidR="00992664" w:rsidRPr="00020424" w:rsidRDefault="00992664" w:rsidP="00992664">
      <w:pPr>
        <w:pStyle w:val="libNormal"/>
        <w:rPr>
          <w:rtl/>
          <w:lang w:bidi="fa-IR"/>
        </w:rPr>
      </w:pPr>
      <w:r w:rsidRPr="00020424">
        <w:rPr>
          <w:rtl/>
          <w:lang w:bidi="fa-IR"/>
        </w:rPr>
        <w:t xml:space="preserve">قَالَ لَنَا </w:t>
      </w:r>
      <w:r w:rsidRPr="00A91B96">
        <w:rPr>
          <w:rStyle w:val="libFootnotenumChar"/>
          <w:rtl/>
        </w:rPr>
        <w:t>(4)</w:t>
      </w:r>
      <w:r w:rsidRPr="00020424">
        <w:rPr>
          <w:rtl/>
          <w:lang w:bidi="fa-IR"/>
        </w:rPr>
        <w:t xml:space="preserve"> أَبُو عَبْدِ اللهِ </w:t>
      </w:r>
      <w:r w:rsidRPr="00005A81">
        <w:rPr>
          <w:rStyle w:val="libAlaemChar"/>
          <w:rtl/>
        </w:rPr>
        <w:t>عليه‌السلام</w:t>
      </w:r>
      <w:r w:rsidRPr="00020424">
        <w:rPr>
          <w:rtl/>
          <w:lang w:bidi="fa-IR"/>
        </w:rPr>
        <w:t xml:space="preserve"> : « لَا صِيَامَ </w:t>
      </w:r>
      <w:r w:rsidRPr="00A91B96">
        <w:rPr>
          <w:rStyle w:val="libFootnotenumChar"/>
          <w:rtl/>
        </w:rPr>
        <w:t>(5)</w:t>
      </w:r>
      <w:r w:rsidRPr="00020424">
        <w:rPr>
          <w:rtl/>
          <w:lang w:bidi="fa-IR"/>
        </w:rPr>
        <w:t xml:space="preserve"> بَعْدَ الْأَضْحى ثَلَاثَةَ أَيَّامٍ ، وَلَابَعْدَ الْفِطْرِ ثَلَاثَةَ </w:t>
      </w:r>
      <w:r w:rsidRPr="00A91B96">
        <w:rPr>
          <w:rStyle w:val="libFootnotenumChar"/>
          <w:rtl/>
        </w:rPr>
        <w:t>(6)</w:t>
      </w:r>
      <w:r w:rsidRPr="00020424">
        <w:rPr>
          <w:rtl/>
          <w:lang w:bidi="fa-IR"/>
        </w:rPr>
        <w:t xml:space="preserve"> أَيَّامٍ ؛ إِنَّهَا أَيَّامُ أَكْلٍ وَشُرْبٍ</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 ،</w:t>
      </w:r>
      <w:r w:rsidR="00992664" w:rsidRPr="00020424">
        <w:rPr>
          <w:rtl/>
        </w:rPr>
        <w:t xml:space="preserve"> ج 16 ، ص 363 : « قوله </w:t>
      </w:r>
      <w:r w:rsidR="00992664" w:rsidRPr="00D64ADA">
        <w:rPr>
          <w:rStyle w:val="libFootnoteAlaemChar"/>
          <w:rtl/>
        </w:rPr>
        <w:t>عليه‌السلام</w:t>
      </w:r>
      <w:r w:rsidR="00992664" w:rsidRPr="00020424">
        <w:rPr>
          <w:rtl/>
        </w:rPr>
        <w:t xml:space="preserve"> : لا ينبغي صيامه ، محمول على الحرمة إجماعاً ، وإن كان ظاهره الكراهة ، وأمّا أيّام التشريق فلا خلاف في تحريمه لمن كان بمنى ناسكاً ، والمشهور التحريم لمن كان فيها وإن لم يكن ناسكاً</w:t>
      </w:r>
      <w:r w:rsidR="00992664">
        <w:rPr>
          <w:rtl/>
        </w:rPr>
        <w:t xml:space="preserve"> ..</w:t>
      </w:r>
      <w:r w:rsidR="00992664" w:rsidRPr="00020424">
        <w:rPr>
          <w:rtl/>
        </w:rPr>
        <w:t>. والأظهر الكراهة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4 ، ص 10 ، ضمن الحديث الطويل 4968 ، مع اختلاف يسير وزيادة ؛ </w:t>
      </w:r>
      <w:r w:rsidR="00992664" w:rsidRPr="0012008A">
        <w:rPr>
          <w:rStyle w:val="libFootnoteBoldChar"/>
          <w:rtl/>
        </w:rPr>
        <w:t>الفقيه</w:t>
      </w:r>
      <w:r w:rsidR="00992664" w:rsidRPr="00020424">
        <w:rPr>
          <w:rtl/>
        </w:rPr>
        <w:t xml:space="preserve"> ، ج 4 ، ص 367 ، ضمن الحديث الطويل 5762 ، وتمام الرواية فيه : « يا عليّ صوم يوم الفطر حرام » ؛ </w:t>
      </w:r>
      <w:r w:rsidR="00992664" w:rsidRPr="00587829">
        <w:rPr>
          <w:rStyle w:val="libFootnoteBoldChar"/>
          <w:rtl/>
        </w:rPr>
        <w:t>الأمالي للصدوق</w:t>
      </w:r>
      <w:r w:rsidR="00992664" w:rsidRPr="00020424">
        <w:rPr>
          <w:rtl/>
        </w:rPr>
        <w:t xml:space="preserve"> ، ص 426 ، المجلس 66 ، ضمن الحديث الطويل 1 ، وفي كلّها بسند آخر عن جعفر بن محمّد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DE76B9">
        <w:rPr>
          <w:rStyle w:val="libFootnoteBoldChar"/>
          <w:rtl/>
        </w:rPr>
        <w:t>الكافي</w:t>
      </w:r>
      <w:r w:rsidR="00992664" w:rsidRPr="00020424">
        <w:rPr>
          <w:rtl/>
        </w:rPr>
        <w:t xml:space="preserve"> ، كتاب الصيام ، باب وجوه الصوم ، ضمن الحديث الطويل 6319 ؛ </w:t>
      </w:r>
      <w:r w:rsidR="00992664" w:rsidRPr="00FD6221">
        <w:rPr>
          <w:rStyle w:val="libFootnoteBoldChar"/>
          <w:rtl/>
        </w:rPr>
        <w:t>والفقيه</w:t>
      </w:r>
      <w:r w:rsidR="00992664" w:rsidRPr="00020424">
        <w:rPr>
          <w:rtl/>
        </w:rPr>
        <w:t xml:space="preserve"> ، ج 2 ، ص 77 ، ضمن الحديث الطويل 1784 ؛ </w:t>
      </w:r>
      <w:r w:rsidR="00992664" w:rsidRPr="00515444">
        <w:rPr>
          <w:rStyle w:val="libFootnoteBoldChar"/>
          <w:rtl/>
        </w:rPr>
        <w:t>والتهذيب</w:t>
      </w:r>
      <w:r w:rsidR="00992664" w:rsidRPr="00020424">
        <w:rPr>
          <w:rtl/>
        </w:rPr>
        <w:t xml:space="preserve"> ، ج 4 ، ص 296 ، ضمن الحديث الطويل 895 ؛ </w:t>
      </w:r>
      <w:r w:rsidR="00992664" w:rsidRPr="00FD6221">
        <w:rPr>
          <w:rStyle w:val="libFootnoteBoldChar"/>
          <w:rtl/>
        </w:rPr>
        <w:t>والاستبصار</w:t>
      </w:r>
      <w:r w:rsidR="00992664" w:rsidRPr="00020424">
        <w:rPr>
          <w:rtl/>
        </w:rPr>
        <w:t xml:space="preserve"> ، ج 2 ، ص 131 ، ضمن الحديث الطويل 427 ؛ </w:t>
      </w:r>
      <w:r w:rsidR="00992664" w:rsidRPr="00EB1FD9">
        <w:rPr>
          <w:rStyle w:val="libFootnoteBoldChar"/>
          <w:rtl/>
        </w:rPr>
        <w:t>وتفسير القمّي</w:t>
      </w:r>
      <w:r w:rsidR="00992664" w:rsidRPr="00020424">
        <w:rPr>
          <w:rtl/>
        </w:rPr>
        <w:t xml:space="preserve"> ، ج 1 ، ص 185 ، ضمن الحديث الطويل ؛ </w:t>
      </w:r>
      <w:r w:rsidR="00992664" w:rsidRPr="00FD6221">
        <w:rPr>
          <w:rStyle w:val="libFootnoteBoldChar"/>
          <w:rtl/>
        </w:rPr>
        <w:t>والخصال</w:t>
      </w:r>
      <w:r w:rsidR="00992664" w:rsidRPr="00020424">
        <w:rPr>
          <w:rtl/>
        </w:rPr>
        <w:t xml:space="preserve"> ، ص 534 ، أبواب الأربعين ومافوقه ، ضمن الحديث الطويل 2 ، بسند آخر عن عليّ بن الحسين </w:t>
      </w:r>
      <w:r w:rsidR="00992664" w:rsidRPr="00D64ADA">
        <w:rPr>
          <w:rStyle w:val="libFootnoteAlaemChar"/>
          <w:rtl/>
        </w:rPr>
        <w:t>عليه‌السلام</w:t>
      </w:r>
      <w:r w:rsidR="00992664" w:rsidRPr="00020424">
        <w:rPr>
          <w:rtl/>
        </w:rPr>
        <w:t xml:space="preserve"> ، مع اختلاف يسير وزيادة.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201 ، مع اختلاف يسير وزيادة </w:t>
      </w:r>
      <w:r w:rsidR="00E404B8">
        <w:rPr>
          <w:rFonts w:hint="cs"/>
          <w:rtl/>
        </w:rPr>
        <w:t>.</w:t>
      </w:r>
      <w:r w:rsidR="00992664" w:rsidRPr="0012008A">
        <w:rPr>
          <w:rStyle w:val="libFootnoteBoldChar"/>
          <w:rtl/>
        </w:rPr>
        <w:t>الوافي</w:t>
      </w:r>
      <w:r w:rsidR="00992664" w:rsidRPr="00020424">
        <w:rPr>
          <w:rtl/>
        </w:rPr>
        <w:t xml:space="preserve"> ، ج 11 ، ص 83 ، ح 10453 ؛ </w:t>
      </w:r>
      <w:r w:rsidR="00992664" w:rsidRPr="0012008A">
        <w:rPr>
          <w:rStyle w:val="libFootnoteBoldChar"/>
          <w:rtl/>
        </w:rPr>
        <w:t>الوسائل</w:t>
      </w:r>
      <w:r w:rsidR="00992664" w:rsidRPr="00020424">
        <w:rPr>
          <w:rtl/>
        </w:rPr>
        <w:t xml:space="preserve"> ، ج 10 ، ص 514 ، ح 13991.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جر</w:t>
      </w:r>
      <w:r w:rsidR="00992664">
        <w:rPr>
          <w:rtl/>
        </w:rPr>
        <w:t xml:space="preserve"> ».</w:t>
      </w:r>
      <w:r w:rsidR="00992664" w:rsidRPr="00020424">
        <w:rPr>
          <w:rtl/>
        </w:rPr>
        <w:t xml:space="preserve"> وفي « ظ ، ى ، بث ، بح ، بخ ، بر ، بس ، بف ، جن » والمطبوع </w:t>
      </w:r>
      <w:r w:rsidR="00992664" w:rsidRPr="00EB1FD9">
        <w:rPr>
          <w:rStyle w:val="libFootnoteBoldCha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أحمد بن‌محمّد بن أبي نصر</w:t>
      </w:r>
      <w:r w:rsidR="00992664">
        <w:rPr>
          <w:rtl/>
        </w:rPr>
        <w:t xml:space="preserve"> ».</w:t>
      </w:r>
    </w:p>
    <w:p w:rsidR="00992664" w:rsidRPr="00020424" w:rsidRDefault="00992664" w:rsidP="00E404B8">
      <w:pPr>
        <w:pStyle w:val="libFootnote0"/>
        <w:rPr>
          <w:rtl/>
          <w:lang w:bidi="fa-IR"/>
        </w:rPr>
      </w:pPr>
      <w:r w:rsidRPr="00E404B8">
        <w:rPr>
          <w:rtl/>
        </w:rPr>
        <w:t xml:space="preserve">وما أثبتناه هو الظاهر ؛ فإنّ أبا سعيد المكاري ، هو هاشم بن حيّان وهو من أصحاب أبي عبد الله </w:t>
      </w:r>
      <w:r w:rsidRPr="00D64ADA">
        <w:rPr>
          <w:rStyle w:val="libFootnoteAlaemChar"/>
          <w:rtl/>
        </w:rPr>
        <w:t>عليه‌السلام</w:t>
      </w:r>
      <w:r w:rsidRPr="00E404B8">
        <w:rPr>
          <w:rtl/>
        </w:rPr>
        <w:t xml:space="preserve"> الذين بقوا بعده وتوقّفوا في إمامة موسى بن جعفر </w:t>
      </w:r>
      <w:r w:rsidRPr="00D64ADA">
        <w:rPr>
          <w:rStyle w:val="libFootnoteAlaemChar"/>
          <w:rtl/>
        </w:rPr>
        <w:t>عليه‌السلام</w:t>
      </w:r>
      <w:r w:rsidRPr="00E404B8">
        <w:rPr>
          <w:rtl/>
        </w:rPr>
        <w:t xml:space="preserve"> ورواته متقدّمون على أحمد بن محمّد </w:t>
      </w:r>
      <w:r w:rsidR="009B673F" w:rsidRPr="00E404B8">
        <w:rPr>
          <w:rtl/>
        </w:rPr>
        <w:t>-</w:t>
      </w:r>
      <w:r w:rsidR="003C719B">
        <w:rPr>
          <w:rtl/>
        </w:rPr>
        <w:t xml:space="preserve"> وهو مشترك بين ابن عيسى والبرقي</w:t>
      </w:r>
      <w:r w:rsidR="009B673F" w:rsidRPr="00E404B8">
        <w:rPr>
          <w:rtl/>
        </w:rPr>
        <w:t>-</w:t>
      </w:r>
      <w:r w:rsidRPr="00E404B8">
        <w:rPr>
          <w:rtl/>
        </w:rPr>
        <w:t xml:space="preserve"> بطبقةٍ كصفوان بن يحيى ، أو بطبقتين كنضر بن سويد. راجع : </w:t>
      </w:r>
      <w:r w:rsidRPr="00DE76B9">
        <w:rPr>
          <w:rStyle w:val="libFootnoteBoldChar"/>
          <w:rtl/>
        </w:rPr>
        <w:t>رجال النجاشي</w:t>
      </w:r>
      <w:r w:rsidRPr="00E404B8">
        <w:rPr>
          <w:rtl/>
        </w:rPr>
        <w:t xml:space="preserve"> ، ص 38 ، الرقم 78 ؛ وص 436 ، الرقم 1169 ؛ </w:t>
      </w:r>
      <w:r w:rsidRPr="00DE76B9">
        <w:rPr>
          <w:rStyle w:val="libFootnoteBoldChar"/>
          <w:rtl/>
        </w:rPr>
        <w:t>معجم رجال الحديث</w:t>
      </w:r>
      <w:r w:rsidRPr="00E404B8">
        <w:rPr>
          <w:rtl/>
        </w:rPr>
        <w:t xml:space="preserve"> ، ص 393 </w:t>
      </w:r>
      <w:r w:rsidR="009B673F" w:rsidRPr="00E404B8">
        <w:rPr>
          <w:rtl/>
        </w:rPr>
        <w:t>-</w:t>
      </w:r>
      <w:r w:rsidRPr="00E404B8">
        <w:rPr>
          <w:rtl/>
        </w:rPr>
        <w:t xml:space="preserve"> 394.</w:t>
      </w:r>
    </w:p>
    <w:p w:rsidR="00992664" w:rsidRPr="00020424" w:rsidRDefault="00795177" w:rsidP="00E404B8">
      <w:pPr>
        <w:pStyle w:val="libFootnote0"/>
        <w:rPr>
          <w:rtl/>
          <w:lang w:bidi="fa-IR"/>
        </w:rPr>
      </w:pPr>
      <w:r>
        <w:rPr>
          <w:rtl/>
        </w:rPr>
        <w:t>(4).</w:t>
      </w:r>
      <w:r w:rsidR="0014403D">
        <w:rPr>
          <w:rtl/>
        </w:rPr>
        <w:t xml:space="preserve"> </w:t>
      </w:r>
      <w:r w:rsidR="00992664" w:rsidRPr="00020424">
        <w:rPr>
          <w:rtl/>
        </w:rPr>
        <w:t xml:space="preserve">في « ى » </w:t>
      </w:r>
      <w:r w:rsidR="00992664" w:rsidRPr="00515444">
        <w:rPr>
          <w:rStyle w:val="libFootnoteBoldChar"/>
          <w:rtl/>
        </w:rPr>
        <w:t>والتهذيب</w:t>
      </w:r>
      <w:r w:rsidR="00992664" w:rsidRPr="00020424">
        <w:rPr>
          <w:rtl/>
        </w:rPr>
        <w:t xml:space="preserve"> ، ج 4 :</w:t>
      </w:r>
      <w:r w:rsidR="00992664">
        <w:rPr>
          <w:rtl/>
        </w:rPr>
        <w:t xml:space="preserve"> </w:t>
      </w:r>
      <w:r w:rsidR="009B673F">
        <w:rPr>
          <w:rtl/>
        </w:rPr>
        <w:t>-</w:t>
      </w:r>
      <w:r w:rsidR="00992664">
        <w:rPr>
          <w:rtl/>
        </w:rPr>
        <w:t xml:space="preserve"> </w:t>
      </w:r>
      <w:r w:rsidR="00992664" w:rsidRPr="00020424">
        <w:rPr>
          <w:rtl/>
        </w:rPr>
        <w:t>« لنا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النفي أعمّ من الكراهة والحرمة على المشهور ، وربما يستدلّ به على القول بالتحريم مطلقاً ، ويؤيّد الأوّل أنّ الثاني محمول على الكراهة إجماعاً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بف » : « بثلاثة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330 ، ح 1031 ، بسنده عن زياد بن أبي الحلاّل. </w:t>
      </w:r>
      <w:r w:rsidR="00992664" w:rsidRPr="00DE76B9">
        <w:rPr>
          <w:rStyle w:val="libFootnoteBoldChar"/>
          <w:rtl/>
        </w:rPr>
        <w:t>قرب الإسناد</w:t>
      </w:r>
      <w:r w:rsidR="00992664" w:rsidRPr="00020424">
        <w:rPr>
          <w:rtl/>
        </w:rPr>
        <w:t xml:space="preserve"> ، ص 19 ، ذيل ح 65 ، </w:t>
      </w:r>
      <w:r w:rsidR="00E404B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33730">
        <w:rPr>
          <w:rtl/>
        </w:rPr>
        <w:t>6587</w:t>
      </w:r>
      <w:r w:rsidRPr="001155DE">
        <w:rPr>
          <w:rStyle w:val="libBold2Char"/>
          <w:rtl/>
        </w:rPr>
        <w:t xml:space="preserve"> / 3.</w:t>
      </w:r>
      <w:r w:rsidRPr="00020424">
        <w:rPr>
          <w:rtl/>
          <w:lang w:bidi="fa-IR"/>
        </w:rPr>
        <w:t xml:space="preserve"> مُحَمَّدُ بْنُ إِسْمَاعِيلَ ، عَنِ الْفَضْلِ بْنِ شَاذَانَ ، عَنْ صَفْوَانَ بْن</w:t>
      </w:r>
      <w:r w:rsidR="003C719B">
        <w:rPr>
          <w:rtl/>
          <w:lang w:bidi="fa-IR"/>
        </w:rPr>
        <w:t>ِ يَحْيى وَابْنِ أَبِي عُمَيْرٍ</w:t>
      </w:r>
      <w:r w:rsidRPr="00020424">
        <w:rPr>
          <w:rtl/>
          <w:lang w:bidi="fa-IR"/>
        </w:rPr>
        <w:t>، عَنْ عَبْدِ الرَّحْمنِ بْنِ الْحَجَّاجِ ، قَالَ :</w:t>
      </w:r>
    </w:p>
    <w:p w:rsidR="00992664" w:rsidRPr="00020424" w:rsidRDefault="00992664" w:rsidP="00992664">
      <w:pPr>
        <w:pStyle w:val="libNormal"/>
        <w:rPr>
          <w:rtl/>
          <w:lang w:bidi="fa-IR"/>
        </w:rPr>
      </w:pPr>
      <w:r w:rsidRPr="00020424">
        <w:rPr>
          <w:rtl/>
          <w:lang w:bidi="fa-IR"/>
        </w:rPr>
        <w:t xml:space="preserve">سَأَلْتُ أَبَا الْحَسَنِ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عَنِ الْيَوْمَيْنِ ال</w:t>
      </w:r>
      <w:r>
        <w:rPr>
          <w:rtl/>
          <w:lang w:bidi="fa-IR"/>
        </w:rPr>
        <w:t>لَّذَيْنِ بَعْدَ الْفِطْرِ : أَ</w:t>
      </w:r>
      <w:r w:rsidRPr="00020424">
        <w:rPr>
          <w:rtl/>
          <w:lang w:bidi="fa-IR"/>
        </w:rPr>
        <w:t>يُصَامَانِ ، أَمْ لَا</w:t>
      </w:r>
      <w:r>
        <w:rPr>
          <w:rtl/>
          <w:lang w:bidi="fa-IR"/>
        </w:rPr>
        <w:t>؟</w:t>
      </w:r>
    </w:p>
    <w:p w:rsidR="00992664" w:rsidRPr="00020424" w:rsidRDefault="00992664" w:rsidP="00992664">
      <w:pPr>
        <w:pStyle w:val="libNormal"/>
        <w:rPr>
          <w:rtl/>
          <w:lang w:bidi="fa-IR"/>
        </w:rPr>
      </w:pPr>
      <w:r w:rsidRPr="00020424">
        <w:rPr>
          <w:rtl/>
          <w:lang w:bidi="fa-IR"/>
        </w:rPr>
        <w:t xml:space="preserve">فَقَالَ : « أَكْرَهُ لَكَ أَنْ تَصُومَهُمَا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494" w:name="_Toc345172881"/>
      <w:bookmarkStart w:id="495" w:name="_Toc464562696"/>
      <w:bookmarkStart w:id="496" w:name="_Toc44600002"/>
      <w:r w:rsidRPr="00020424">
        <w:rPr>
          <w:rtl/>
          <w:lang w:bidi="fa-IR"/>
        </w:rPr>
        <w:t>63</w:t>
      </w:r>
      <w:r>
        <w:rPr>
          <w:rtl/>
          <w:lang w:bidi="fa-IR"/>
        </w:rPr>
        <w:t xml:space="preserve"> </w:t>
      </w:r>
      <w:r w:rsidR="009B673F">
        <w:rPr>
          <w:rtl/>
          <w:lang w:bidi="fa-IR"/>
        </w:rPr>
        <w:t>-</w:t>
      </w:r>
      <w:r>
        <w:rPr>
          <w:rtl/>
          <w:lang w:bidi="fa-IR"/>
        </w:rPr>
        <w:t xml:space="preserve"> </w:t>
      </w:r>
      <w:r w:rsidRPr="00020424">
        <w:rPr>
          <w:rtl/>
          <w:lang w:bidi="fa-IR"/>
        </w:rPr>
        <w:t xml:space="preserve">بَابُ صِيَامِ التَّرْغِيبِ </w:t>
      </w:r>
      <w:r w:rsidRPr="00A91B96">
        <w:rPr>
          <w:rStyle w:val="libFootnotenumChar"/>
          <w:rtl/>
        </w:rPr>
        <w:t>(4)</w:t>
      </w:r>
      <w:r w:rsidRPr="00020424">
        <w:rPr>
          <w:rtl/>
          <w:lang w:bidi="fa-IR"/>
        </w:rPr>
        <w:t xml:space="preserve"> ‌</w:t>
      </w:r>
      <w:bookmarkEnd w:id="494"/>
      <w:bookmarkEnd w:id="495"/>
      <w:bookmarkEnd w:id="496"/>
    </w:p>
    <w:p w:rsidR="00992664" w:rsidRPr="00020424" w:rsidRDefault="00992664" w:rsidP="00992664">
      <w:pPr>
        <w:pStyle w:val="libNormal"/>
        <w:rPr>
          <w:rtl/>
          <w:lang w:bidi="fa-IR"/>
        </w:rPr>
      </w:pPr>
      <w:r w:rsidRPr="00E33730">
        <w:rPr>
          <w:rtl/>
        </w:rPr>
        <w:t>6588</w:t>
      </w:r>
      <w:r w:rsidRPr="001155DE">
        <w:rPr>
          <w:rStyle w:val="libBold2Char"/>
          <w:rtl/>
        </w:rPr>
        <w:t xml:space="preserve"> / 1.</w:t>
      </w:r>
      <w:r w:rsidRPr="00020424">
        <w:rPr>
          <w:rtl/>
          <w:lang w:bidi="fa-IR"/>
        </w:rPr>
        <w:t xml:space="preserve"> عَلِيُّ بْنُ إِبْرَاهِيمَ ، عَنْ أَبِيهِ ، عَنِ الْقَاسِمِ بْنِ يَحْيى ، عَنْ جَدِّهِ الْحَسَنِ بْنِ رَاشِدٍ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w:t>
      </w:r>
      <w:r w:rsidRPr="00A91B96">
        <w:rPr>
          <w:rStyle w:val="libFootnotenumChar"/>
          <w:rtl/>
        </w:rPr>
        <w:t>(5)</w:t>
      </w:r>
      <w:r w:rsidRPr="00020424">
        <w:rPr>
          <w:rtl/>
          <w:lang w:bidi="fa-IR"/>
        </w:rPr>
        <w:t xml:space="preserve"> : جُعِلْتُ فِدَاكَ </w:t>
      </w:r>
      <w:r w:rsidRPr="00A91B96">
        <w:rPr>
          <w:rStyle w:val="libFootnotenumChar"/>
          <w:rtl/>
        </w:rPr>
        <w:t>(6)</w:t>
      </w:r>
      <w:r w:rsidRPr="00020424">
        <w:rPr>
          <w:rtl/>
          <w:lang w:bidi="fa-IR"/>
        </w:rPr>
        <w:t xml:space="preserve"> ، لِلْمُسْلِمِينَ عِيدٌ غَيْرَ الْعِيدَيْنِ</w:t>
      </w:r>
      <w:r>
        <w:rPr>
          <w:rtl/>
          <w:lang w:bidi="fa-IR"/>
        </w:rPr>
        <w:t>؟</w:t>
      </w:r>
    </w:p>
    <w:p w:rsidR="00992664" w:rsidRPr="00020424" w:rsidRDefault="00992664" w:rsidP="00992664">
      <w:pPr>
        <w:pStyle w:val="libNormal"/>
        <w:rPr>
          <w:rtl/>
          <w:lang w:bidi="fa-IR"/>
        </w:rPr>
      </w:pPr>
      <w:r w:rsidRPr="00020424">
        <w:rPr>
          <w:rtl/>
          <w:lang w:bidi="fa-IR"/>
        </w:rPr>
        <w:t xml:space="preserve">قَالَ : « نَعَمْ يَا حَسَنُ ، أَعْظَمُهُمَا وَأَشْرَفُهُمَا </w:t>
      </w:r>
      <w:r w:rsidRPr="00A91B96">
        <w:rPr>
          <w:rStyle w:val="libFootnotenumChar"/>
          <w:rtl/>
        </w:rPr>
        <w:t>(7)</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D70F5C" w:rsidP="00992664">
      <w:pPr>
        <w:pStyle w:val="libFootnote0"/>
        <w:rPr>
          <w:rtl/>
          <w:lang w:bidi="fa-IR"/>
        </w:rPr>
      </w:pPr>
      <w:r>
        <w:rPr>
          <w:rFonts w:hint="cs"/>
          <w:rtl/>
        </w:rPr>
        <w:t xml:space="preserve">= </w:t>
      </w:r>
      <w:r w:rsidR="00992664" w:rsidRPr="00020424">
        <w:rPr>
          <w:rtl/>
        </w:rPr>
        <w:t xml:space="preserve">بسند آخر عن أبي عبدالله ، عن آبائه </w:t>
      </w:r>
      <w:r w:rsidR="00992664" w:rsidRPr="00D64ADA">
        <w:rPr>
          <w:rStyle w:val="libFootnoteAlaemChar"/>
          <w:rtl/>
        </w:rPr>
        <w:t>عليهم‌السلام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معاني الأخبار</w:t>
      </w:r>
      <w:r w:rsidR="00992664" w:rsidRPr="00020424">
        <w:rPr>
          <w:rtl/>
        </w:rPr>
        <w:t xml:space="preserve"> ، ص 300 ، ضمن ح 1 ، بسند آخر عن أبي عبدالله ، عن أبيه ،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وفي </w:t>
      </w:r>
      <w:r w:rsidR="00992664" w:rsidRPr="0012008A">
        <w:rPr>
          <w:rStyle w:val="libFootnoteBoldChar"/>
          <w:rtl/>
        </w:rPr>
        <w:t>التهذيب</w:t>
      </w:r>
      <w:r w:rsidR="00992664" w:rsidRPr="00020424">
        <w:rPr>
          <w:rtl/>
        </w:rPr>
        <w:t xml:space="preserve"> ، ج 5 ، ص 229 ، ضمن ح 776 ؛ </w:t>
      </w:r>
      <w:r w:rsidR="00992664" w:rsidRPr="00FD6221">
        <w:rPr>
          <w:rStyle w:val="libFootnoteBoldChar"/>
          <w:rtl/>
        </w:rPr>
        <w:t>والاستبصار</w:t>
      </w:r>
      <w:r w:rsidR="00992664" w:rsidRPr="00020424">
        <w:rPr>
          <w:rtl/>
        </w:rPr>
        <w:t xml:space="preserve"> ، ج 2 ، ص 277 ، ضمن ح 985 ، بسند آخر عن أبي الحسن </w:t>
      </w:r>
      <w:r w:rsidR="00992664" w:rsidRPr="00D64ADA">
        <w:rPr>
          <w:rStyle w:val="libFootnoteAlaemChar"/>
          <w:rtl/>
        </w:rPr>
        <w:t>عليه‌السلام</w:t>
      </w:r>
      <w:r w:rsidR="00992664" w:rsidRPr="00020424">
        <w:rPr>
          <w:rtl/>
        </w:rPr>
        <w:t xml:space="preserve"> ؛ وفي </w:t>
      </w:r>
      <w:r w:rsidR="00992664" w:rsidRPr="0012008A">
        <w:rPr>
          <w:rStyle w:val="libFootnoteBoldChar"/>
          <w:rtl/>
        </w:rPr>
        <w:t>التهذيب</w:t>
      </w:r>
      <w:r w:rsidR="00992664" w:rsidRPr="00020424">
        <w:rPr>
          <w:rtl/>
        </w:rPr>
        <w:t xml:space="preserve"> ، ج 5 ، ص 230 ، ضمن ح 779 ؛ </w:t>
      </w:r>
      <w:r w:rsidR="00992664" w:rsidRPr="00FD6221">
        <w:rPr>
          <w:rStyle w:val="libFootnoteBoldChar"/>
          <w:rtl/>
        </w:rPr>
        <w:t>والاستبصار</w:t>
      </w:r>
      <w:r w:rsidR="00992664" w:rsidRPr="00020424">
        <w:rPr>
          <w:rtl/>
        </w:rPr>
        <w:t xml:space="preserve"> ، ج 2 ، ص 278 ، ضمن ح 988 ، بسند آخر عن أبي الحسن ، عن أبي جعفر </w:t>
      </w:r>
      <w:r w:rsidR="00D64ADA" w:rsidRPr="00D64ADA">
        <w:rPr>
          <w:rStyle w:val="libFootnoteAlaemChar"/>
          <w:rtl/>
        </w:rPr>
        <w:t>عليهما‌السلام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DE76B9">
        <w:rPr>
          <w:rStyle w:val="libFootnoteBoldChar"/>
          <w:rtl/>
        </w:rPr>
        <w:t>تفسير العيّاشي</w:t>
      </w:r>
      <w:r w:rsidR="00992664" w:rsidRPr="00020424">
        <w:rPr>
          <w:rtl/>
        </w:rPr>
        <w:t xml:space="preserve"> ، ج 1 ، ص 91 ، ضمن ح 236 ، عن عبدالرحمن بن الحجّاج ، عن موسى بن جعفر ، عن جعفر </w:t>
      </w:r>
      <w:r w:rsidR="00D64ADA" w:rsidRPr="00D64ADA">
        <w:rPr>
          <w:rStyle w:val="libFootnoteAlaemChar"/>
          <w:rtl/>
        </w:rPr>
        <w:t>عليهما‌السلام</w:t>
      </w:r>
      <w:r w:rsidR="00992664" w:rsidRPr="00020424">
        <w:rPr>
          <w:rtl/>
        </w:rPr>
        <w:t xml:space="preserve"> عن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12008A">
        <w:rPr>
          <w:rStyle w:val="libFootnoteBoldChar"/>
          <w:rtl/>
        </w:rPr>
        <w:t>الفقيه</w:t>
      </w:r>
      <w:r w:rsidR="00992664" w:rsidRPr="00020424">
        <w:rPr>
          <w:rtl/>
        </w:rPr>
        <w:t xml:space="preserve"> ، ج 2 ، ص 508 ، ضمن ح 3097 ، مرسلاً عن الأئمّة </w:t>
      </w:r>
      <w:r w:rsidR="00992664" w:rsidRPr="00D64ADA">
        <w:rPr>
          <w:rStyle w:val="libFootnoteAlaemChar"/>
          <w:rtl/>
        </w:rPr>
        <w:t>عليهم‌السلام</w:t>
      </w:r>
      <w:r w:rsidR="00992664" w:rsidRPr="00020424">
        <w:rPr>
          <w:rtl/>
        </w:rPr>
        <w:t xml:space="preserve"> عن النبيّ</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587829">
        <w:rPr>
          <w:rStyle w:val="libFootnoteBoldChar"/>
          <w:rtl/>
        </w:rPr>
        <w:t>الأمالي للصدوق</w:t>
      </w:r>
      <w:r w:rsidR="00992664" w:rsidRPr="00020424">
        <w:rPr>
          <w:rtl/>
        </w:rPr>
        <w:t xml:space="preserve"> ، ص 651 ، المجلس 93 ، ضمن وصف دين الإماميّة على الإيجاز والاختصار ، وفي كلّ المصادر</w:t>
      </w:r>
      <w:r w:rsidR="00992664">
        <w:rPr>
          <w:rtl/>
        </w:rPr>
        <w:t xml:space="preserve"> </w:t>
      </w:r>
      <w:r w:rsidR="009B673F">
        <w:rPr>
          <w:rtl/>
        </w:rPr>
        <w:t>-</w:t>
      </w:r>
      <w:r w:rsidR="00992664">
        <w:rPr>
          <w:rtl/>
        </w:rPr>
        <w:t xml:space="preserve"> </w:t>
      </w:r>
      <w:r w:rsidR="0046101B">
        <w:rPr>
          <w:rtl/>
        </w:rPr>
        <w:t>إل</w:t>
      </w:r>
      <w:r w:rsidR="0046101B">
        <w:rPr>
          <w:rFonts w:hint="cs"/>
          <w:rtl/>
        </w:rPr>
        <w:t>ّ</w:t>
      </w:r>
      <w:r w:rsidR="0046101B">
        <w:rPr>
          <w:rtl/>
        </w:rPr>
        <w:t>ا</w:t>
      </w:r>
      <w:r w:rsidR="00992664">
        <w:rPr>
          <w:rFonts w:hint="cs"/>
          <w:rtl/>
        </w:rPr>
        <w:t xml:space="preserve"> </w:t>
      </w:r>
      <w:r w:rsidR="00992664" w:rsidRPr="0012008A">
        <w:rPr>
          <w:rStyle w:val="libFootnoteBoldChar"/>
          <w:rtl/>
        </w:rPr>
        <w:t>التهذيب</w:t>
      </w:r>
      <w:r w:rsidR="00992664" w:rsidRPr="00020424">
        <w:rPr>
          <w:rtl/>
        </w:rPr>
        <w:t xml:space="preserve"> ، ج 4</w:t>
      </w:r>
      <w:r w:rsidR="00992664">
        <w:rPr>
          <w:rtl/>
        </w:rPr>
        <w:t xml:space="preserve"> </w:t>
      </w:r>
      <w:r w:rsidR="009B673F">
        <w:rPr>
          <w:rtl/>
        </w:rPr>
        <w:t>-</w:t>
      </w:r>
      <w:r w:rsidR="00992664">
        <w:rPr>
          <w:rtl/>
        </w:rPr>
        <w:t xml:space="preserve"> </w:t>
      </w:r>
      <w:r w:rsidR="00992664" w:rsidRPr="00020424">
        <w:rPr>
          <w:rtl/>
        </w:rPr>
        <w:t xml:space="preserve">مع اختلاف يسير </w:t>
      </w:r>
      <w:r w:rsidR="007E14B4">
        <w:rPr>
          <w:rFonts w:hint="cs"/>
          <w:rtl/>
        </w:rPr>
        <w:t>.</w:t>
      </w:r>
      <w:r w:rsidR="00992664" w:rsidRPr="0012008A">
        <w:rPr>
          <w:rStyle w:val="libFootnoteBoldChar"/>
          <w:rtl/>
        </w:rPr>
        <w:t>الوافي</w:t>
      </w:r>
      <w:r w:rsidR="00992664" w:rsidRPr="00020424">
        <w:rPr>
          <w:rtl/>
        </w:rPr>
        <w:t xml:space="preserve"> ، ج 11 ، ص 84 ، ح 10457 ؛ </w:t>
      </w:r>
      <w:r w:rsidR="00992664" w:rsidRPr="0012008A">
        <w:rPr>
          <w:rStyle w:val="libFootnoteBoldChar"/>
          <w:rtl/>
        </w:rPr>
        <w:t>الوسائل</w:t>
      </w:r>
      <w:r w:rsidR="00992664" w:rsidRPr="00020424">
        <w:rPr>
          <w:rtl/>
        </w:rPr>
        <w:t xml:space="preserve"> ، ج 8 ، ص 519 ، ذيل ح 14007.</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أبا عبدالله » بدل « أبا الحسن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يدلّ كالخبر السابق على أنّ الأخبار الدالّة على استحباب الصوم السنّة بعد العيد محمولة على التقيّة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11 ، ص 84 ، ح 10458 ؛ </w:t>
      </w:r>
      <w:r w:rsidR="00992664" w:rsidRPr="0012008A">
        <w:rPr>
          <w:rStyle w:val="libFootnoteBoldChar"/>
          <w:rtl/>
        </w:rPr>
        <w:t>الوسائل</w:t>
      </w:r>
      <w:r w:rsidR="00992664" w:rsidRPr="00020424">
        <w:rPr>
          <w:rtl/>
        </w:rPr>
        <w:t xml:space="preserve"> ، ج 10 ، ص 519 ، ح 14008.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364 : « أي صيام الأيّام التي رغّب الشارع في صومها وليست من السنن ، كما عبّر غيره عنها بصوم التطوّع</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هل</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13795 </w:t>
      </w:r>
      <w:r w:rsidR="00992664" w:rsidRPr="003C719B">
        <w:rPr>
          <w:rtl/>
        </w:rPr>
        <w:t>والفقيه والتهذيب وثواب الأعمال</w:t>
      </w:r>
      <w:r w:rsidR="00992664" w:rsidRPr="00020424">
        <w:rPr>
          <w:rtl/>
        </w:rPr>
        <w:t xml:space="preserve"> : + « قال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قُلْتُ : وَأَيُّ يَوْمٍ هُوَ</w:t>
      </w:r>
      <w:r>
        <w:rPr>
          <w:rtl/>
          <w:lang w:bidi="fa-IR"/>
        </w:rPr>
        <w:t>؟</w:t>
      </w:r>
    </w:p>
    <w:p w:rsidR="00992664" w:rsidRPr="00020424" w:rsidRDefault="00992664" w:rsidP="00992664">
      <w:pPr>
        <w:pStyle w:val="libNormal"/>
        <w:rPr>
          <w:rtl/>
          <w:lang w:bidi="fa-IR"/>
        </w:rPr>
      </w:pPr>
      <w:r w:rsidRPr="00020424">
        <w:rPr>
          <w:rtl/>
          <w:lang w:bidi="fa-IR"/>
        </w:rPr>
        <w:t xml:space="preserve">قَالَ : « هُوَ </w:t>
      </w:r>
      <w:r w:rsidRPr="00A91B96">
        <w:rPr>
          <w:rStyle w:val="libFootnotenumChar"/>
          <w:rtl/>
        </w:rPr>
        <w:t>(1)</w:t>
      </w:r>
      <w:r w:rsidRPr="00020424">
        <w:rPr>
          <w:rtl/>
          <w:lang w:bidi="fa-IR"/>
        </w:rPr>
        <w:t xml:space="preserve"> يَوْمٌ نُصِبَ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وَسَلَامُهُ عَلَيْهِ</w:t>
      </w:r>
      <w:r w:rsidR="009B673F">
        <w:rPr>
          <w:rtl/>
          <w:lang w:bidi="fa-IR"/>
        </w:rPr>
        <w:t>-</w:t>
      </w:r>
      <w:r>
        <w:rPr>
          <w:rtl/>
          <w:lang w:bidi="fa-IR"/>
        </w:rPr>
        <w:t xml:space="preserve"> </w:t>
      </w:r>
      <w:r w:rsidRPr="00020424">
        <w:rPr>
          <w:rtl/>
          <w:lang w:bidi="fa-IR"/>
        </w:rPr>
        <w:t xml:space="preserve">فِيهِ </w:t>
      </w:r>
      <w:r w:rsidRPr="00A91B96">
        <w:rPr>
          <w:rStyle w:val="libFootnotenumChar"/>
          <w:rtl/>
        </w:rPr>
        <w:t>(2)</w:t>
      </w:r>
      <w:r w:rsidRPr="00020424">
        <w:rPr>
          <w:rtl/>
          <w:lang w:bidi="fa-IR"/>
        </w:rPr>
        <w:t xml:space="preserve"> عَلَماً</w:t>
      </w:r>
      <w:r w:rsidRPr="00A91B96">
        <w:rPr>
          <w:rStyle w:val="libFootnotenumChar"/>
          <w:rtl/>
        </w:rPr>
        <w:t>(3)</w:t>
      </w:r>
      <w:r w:rsidRPr="00020424">
        <w:rPr>
          <w:rtl/>
          <w:lang w:bidi="fa-IR"/>
        </w:rPr>
        <w:t>لِلنَّاسِ</w:t>
      </w:r>
      <w:r>
        <w:rPr>
          <w:rtl/>
          <w:lang w:bidi="fa-IR"/>
        </w:rPr>
        <w:t>».</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(4)</w:t>
      </w:r>
      <w:r w:rsidRPr="00020424">
        <w:rPr>
          <w:rtl/>
          <w:lang w:bidi="fa-IR"/>
        </w:rPr>
        <w:t xml:space="preserve"> : جُعِلْتُ فِدَاكَ </w:t>
      </w:r>
      <w:r w:rsidRPr="00A91B96">
        <w:rPr>
          <w:rStyle w:val="libFootnotenumChar"/>
          <w:rtl/>
        </w:rPr>
        <w:t>(5)</w:t>
      </w:r>
      <w:r w:rsidRPr="00020424">
        <w:rPr>
          <w:rtl/>
          <w:lang w:bidi="fa-IR"/>
        </w:rPr>
        <w:t xml:space="preserve"> ، وَمَا يَنْبَغِي </w:t>
      </w:r>
      <w:r w:rsidRPr="00A91B96">
        <w:rPr>
          <w:rStyle w:val="libFootnotenumChar"/>
          <w:rtl/>
        </w:rPr>
        <w:t>(6)</w:t>
      </w:r>
      <w:r w:rsidRPr="00020424">
        <w:rPr>
          <w:rtl/>
          <w:lang w:bidi="fa-IR"/>
        </w:rPr>
        <w:t xml:space="preserve"> لَنَا أَنْ نَصْنَعَ فِيهِ</w:t>
      </w:r>
      <w:r>
        <w:rPr>
          <w:rtl/>
          <w:lang w:bidi="fa-IR"/>
        </w:rPr>
        <w:t>؟</w:t>
      </w:r>
    </w:p>
    <w:p w:rsidR="00992664" w:rsidRPr="00020424" w:rsidRDefault="00992664" w:rsidP="00992664">
      <w:pPr>
        <w:pStyle w:val="libNormal"/>
        <w:rPr>
          <w:rtl/>
          <w:lang w:bidi="fa-IR"/>
        </w:rPr>
      </w:pPr>
      <w:r w:rsidRPr="00020424">
        <w:rPr>
          <w:rtl/>
          <w:lang w:bidi="fa-IR"/>
        </w:rPr>
        <w:t xml:space="preserve">قَالَ : « تَصُومُهُ يَا حَسَنُ ، وَتُكْثِرُ الصَّلَاةَ عَلى مُحَمَّدٍ وَآلِهِ </w:t>
      </w:r>
      <w:r w:rsidRPr="00A91B96">
        <w:rPr>
          <w:rStyle w:val="libFootnotenumChar"/>
          <w:rtl/>
        </w:rPr>
        <w:t>(7)</w:t>
      </w:r>
      <w:r w:rsidRPr="00020424">
        <w:rPr>
          <w:rtl/>
          <w:lang w:bidi="fa-IR"/>
        </w:rPr>
        <w:t xml:space="preserve"> ، وَتَبَرَّأُ </w:t>
      </w:r>
      <w:r w:rsidRPr="00A91B96">
        <w:rPr>
          <w:rStyle w:val="libFootnotenumChar"/>
          <w:rtl/>
        </w:rPr>
        <w:t>(8)</w:t>
      </w:r>
      <w:r w:rsidRPr="00020424">
        <w:rPr>
          <w:rtl/>
          <w:lang w:bidi="fa-IR"/>
        </w:rPr>
        <w:t xml:space="preserve"> إِلَى اللهِ مِمَّنْ ظَلَمَهُمْ ، فَإِنَّ الْأَنْبِيَاءَ</w:t>
      </w:r>
      <w:r>
        <w:rPr>
          <w:rtl/>
          <w:lang w:bidi="fa-IR"/>
        </w:rPr>
        <w:t xml:space="preserve"> </w:t>
      </w:r>
      <w:r w:rsidR="009B673F">
        <w:rPr>
          <w:rtl/>
          <w:lang w:bidi="fa-IR"/>
        </w:rPr>
        <w:t>-</w:t>
      </w:r>
      <w:r>
        <w:rPr>
          <w:rtl/>
          <w:lang w:bidi="fa-IR"/>
        </w:rPr>
        <w:t xml:space="preserve"> </w:t>
      </w:r>
      <w:r w:rsidRPr="00020424">
        <w:rPr>
          <w:rtl/>
          <w:lang w:bidi="fa-IR"/>
        </w:rPr>
        <w:t>صَلَوَاتُ اللهِ عَلَيْهِمْ</w:t>
      </w:r>
      <w:r>
        <w:rPr>
          <w:rtl/>
          <w:lang w:bidi="fa-IR"/>
        </w:rPr>
        <w:t xml:space="preserve"> </w:t>
      </w:r>
      <w:r w:rsidR="009B673F">
        <w:rPr>
          <w:rtl/>
          <w:lang w:bidi="fa-IR"/>
        </w:rPr>
        <w:t>-</w:t>
      </w:r>
      <w:r>
        <w:rPr>
          <w:rtl/>
          <w:lang w:bidi="fa-IR"/>
        </w:rPr>
        <w:t xml:space="preserve"> </w:t>
      </w:r>
      <w:r w:rsidRPr="00020424">
        <w:rPr>
          <w:rtl/>
          <w:lang w:bidi="fa-IR"/>
        </w:rPr>
        <w:t xml:space="preserve">كَانَتْ تَأْمُرُ الْأَوْصِيَاءَ بِالْيَوْمِ </w:t>
      </w:r>
      <w:r w:rsidRPr="00A91B96">
        <w:rPr>
          <w:rStyle w:val="libFootnotenumChar"/>
          <w:rtl/>
        </w:rPr>
        <w:t>(9)</w:t>
      </w:r>
      <w:r w:rsidRPr="00020424">
        <w:rPr>
          <w:rtl/>
          <w:lang w:bidi="fa-IR"/>
        </w:rPr>
        <w:t xml:space="preserve"> الَّذِي كَانَ </w:t>
      </w:r>
      <w:r w:rsidRPr="00A91B96">
        <w:rPr>
          <w:rStyle w:val="libFootnotenumChar"/>
          <w:rtl/>
        </w:rPr>
        <w:t>(10)</w:t>
      </w:r>
      <w:r w:rsidRPr="00020424">
        <w:rPr>
          <w:rtl/>
          <w:lang w:bidi="fa-IR"/>
        </w:rPr>
        <w:t xml:space="preserve"> يُقَامُ </w:t>
      </w:r>
      <w:r w:rsidRPr="00A91B96">
        <w:rPr>
          <w:rStyle w:val="libFootnotenumChar"/>
          <w:rtl/>
        </w:rPr>
        <w:t>(11)</w:t>
      </w:r>
      <w:r w:rsidRPr="00020424">
        <w:rPr>
          <w:rtl/>
          <w:lang w:bidi="fa-IR"/>
        </w:rPr>
        <w:t xml:space="preserve"> فِيهِ الْوَصِيُّ أَنْ يُتَّخَذَ عِيداً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فَمَا لِمَنْ صَامَهُ </w:t>
      </w:r>
      <w:r w:rsidRPr="00A91B96">
        <w:rPr>
          <w:rStyle w:val="libFootnotenumChar"/>
          <w:rtl/>
        </w:rPr>
        <w:t>(12)</w:t>
      </w:r>
      <w:r>
        <w:rPr>
          <w:rtl/>
          <w:lang w:bidi="fa-IR"/>
        </w:rPr>
        <w:t>؟</w:t>
      </w:r>
    </w:p>
    <w:p w:rsidR="00992664" w:rsidRPr="00020424" w:rsidRDefault="00992664" w:rsidP="00992664">
      <w:pPr>
        <w:pStyle w:val="libNormal"/>
        <w:rPr>
          <w:rtl/>
          <w:lang w:bidi="fa-IR"/>
        </w:rPr>
      </w:pPr>
      <w:r w:rsidRPr="00020424">
        <w:rPr>
          <w:rtl/>
          <w:lang w:bidi="fa-IR"/>
        </w:rPr>
        <w:t xml:space="preserve">قَالَ : « صِيَامُ سِتِّينَ شَهْراً ، وَلَاتَدَعْ صِيَامَ يَوْمِ </w:t>
      </w:r>
      <w:r w:rsidRPr="00A91B96">
        <w:rPr>
          <w:rStyle w:val="libFootnotenumChar"/>
          <w:rtl/>
        </w:rPr>
        <w:t>(13)</w:t>
      </w:r>
      <w:r w:rsidRPr="00020424">
        <w:rPr>
          <w:rtl/>
          <w:lang w:bidi="fa-IR"/>
        </w:rPr>
        <w:t xml:space="preserve"> سَبْعٍ </w:t>
      </w:r>
      <w:r w:rsidRPr="00A91B96">
        <w:rPr>
          <w:rStyle w:val="libFootnotenumChar"/>
          <w:rtl/>
        </w:rPr>
        <w:t>(14)</w:t>
      </w:r>
      <w:r w:rsidRPr="00020424">
        <w:rPr>
          <w:rtl/>
          <w:lang w:bidi="fa-IR"/>
        </w:rPr>
        <w:t xml:space="preserve"> وَعِشْرِينَ </w:t>
      </w:r>
      <w:r w:rsidRPr="00A91B96">
        <w:rPr>
          <w:rStyle w:val="libFootnotenumChar"/>
          <w:rtl/>
        </w:rPr>
        <w:t>(15)</w:t>
      </w:r>
      <w:r w:rsidRPr="00020424">
        <w:rPr>
          <w:rtl/>
          <w:lang w:bidi="fa-IR"/>
        </w:rPr>
        <w:t xml:space="preserve"> مِنْ رَجَبٍ ؛ فَإِنَّهُ هُوَ </w:t>
      </w:r>
      <w:r w:rsidRPr="00A91B96">
        <w:rPr>
          <w:rStyle w:val="libFootnotenumChar"/>
          <w:rtl/>
        </w:rPr>
        <w:t>(16)</w:t>
      </w:r>
      <w:r w:rsidRPr="00020424">
        <w:rPr>
          <w:rtl/>
          <w:lang w:bidi="fa-IR"/>
        </w:rPr>
        <w:t xml:space="preserve"> الْيَوْمُ الَّذِي نَزَلَتْ فِيهِ النُّبُوَّةُ عَلى مُحَمَّدٍ </w:t>
      </w:r>
      <w:r w:rsidR="00B42914" w:rsidRPr="00B42914">
        <w:rPr>
          <w:rStyle w:val="libAlaemChar"/>
          <w:rtl/>
        </w:rPr>
        <w:t>صلى‌الله‌عليه‌وآله‌</w:t>
      </w:r>
      <w:r w:rsidRPr="00020424">
        <w:rPr>
          <w:rtl/>
          <w:lang w:bidi="fa-IR"/>
        </w:rPr>
        <w:t xml:space="preserve"> ، وَثَوَابُهُ مِثْلُ سِتِّينَ شَهْراً لَكُمْ </w:t>
      </w:r>
      <w:r w:rsidRPr="00A91B96">
        <w:rPr>
          <w:rStyle w:val="libFootnotenumChar"/>
          <w:rtl/>
        </w:rPr>
        <w:t>(17)</w:t>
      </w:r>
      <w:r>
        <w:rPr>
          <w:rtl/>
          <w:lang w:bidi="fa-IR"/>
        </w:rPr>
        <w:t xml:space="preserve"> ».</w:t>
      </w:r>
      <w:r w:rsidRPr="00020424">
        <w:rPr>
          <w:rtl/>
          <w:lang w:bidi="fa-IR"/>
        </w:rPr>
        <w:t xml:space="preserve"> </w:t>
      </w:r>
      <w:r w:rsidRPr="00A91B96">
        <w:rPr>
          <w:rStyle w:val="libFootnotenumChar"/>
          <w:rtl/>
        </w:rPr>
        <w:t>(18)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بح ، جن » </w:t>
      </w:r>
      <w:r w:rsidR="00992664" w:rsidRPr="00EB1FD9">
        <w:rPr>
          <w:rStyle w:val="libFootnoteBoldChar"/>
          <w:rtl/>
        </w:rPr>
        <w:t>والوسائل</w:t>
      </w:r>
      <w:r w:rsidR="00992664" w:rsidRPr="00020424">
        <w:rPr>
          <w:rtl/>
        </w:rPr>
        <w:t xml:space="preserve"> ، ح 13795 و</w:t>
      </w:r>
      <w:r w:rsidR="00992664" w:rsidRPr="0012008A">
        <w:rPr>
          <w:rStyle w:val="libFootnoteBoldChar"/>
          <w:rtl/>
        </w:rPr>
        <w:t>البحار</w:t>
      </w:r>
      <w:r w:rsidR="00992664" w:rsidRPr="00020424">
        <w:rPr>
          <w:rtl/>
        </w:rPr>
        <w:t xml:space="preserve"> ، ج 37 </w:t>
      </w:r>
      <w:r w:rsidR="00992664" w:rsidRPr="006C7A1F">
        <w:rPr>
          <w:rStyle w:val="libFootnoteBoldChar"/>
          <w:rtl/>
        </w:rPr>
        <w:t>وثواب الأعمال</w:t>
      </w:r>
      <w:r w:rsidR="00992664" w:rsidRPr="00020424">
        <w:rPr>
          <w:rtl/>
        </w:rPr>
        <w:t xml:space="preserve"> ، ص 99 ، ح 1 :</w:t>
      </w:r>
      <w:r w:rsidR="00992664">
        <w:rPr>
          <w:rtl/>
        </w:rPr>
        <w:t xml:space="preserve"> </w:t>
      </w:r>
      <w:r w:rsidR="009B673F">
        <w:rPr>
          <w:rtl/>
        </w:rPr>
        <w:t>-</w:t>
      </w:r>
      <w:r w:rsidR="00992664">
        <w:rPr>
          <w:rtl/>
        </w:rPr>
        <w:t xml:space="preserve"> </w:t>
      </w:r>
      <w:r w:rsidR="00992664" w:rsidRPr="00020424">
        <w:rPr>
          <w:rtl/>
        </w:rPr>
        <w:t>« هو</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بح ، بر ، بف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ج 37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3878" w:rsidTr="00723878">
        <w:tc>
          <w:tcPr>
            <w:tcW w:w="4006" w:type="dxa"/>
          </w:tcPr>
          <w:p w:rsidR="00723878" w:rsidRDefault="00723878" w:rsidP="00992664">
            <w:pPr>
              <w:pStyle w:val="libFootnote0"/>
              <w:rPr>
                <w:rtl/>
              </w:rPr>
            </w:pPr>
            <w:r>
              <w:rPr>
                <w:rtl/>
              </w:rPr>
              <w:t xml:space="preserve">(3). </w:t>
            </w:r>
            <w:r w:rsidRPr="00020424">
              <w:rPr>
                <w:rtl/>
              </w:rPr>
              <w:t>في « بف » : + « فيه</w:t>
            </w:r>
            <w:r>
              <w:rPr>
                <w:rtl/>
              </w:rPr>
              <w:t xml:space="preserve"> ».</w:t>
            </w:r>
          </w:p>
        </w:tc>
        <w:tc>
          <w:tcPr>
            <w:tcW w:w="4006" w:type="dxa"/>
          </w:tcPr>
          <w:p w:rsidR="00723878" w:rsidRDefault="00723878" w:rsidP="00992664">
            <w:pPr>
              <w:pStyle w:val="libFootnote0"/>
              <w:rPr>
                <w:rtl/>
              </w:rPr>
            </w:pPr>
            <w:r>
              <w:rPr>
                <w:rtl/>
              </w:rPr>
              <w:t xml:space="preserve">(4). </w:t>
            </w:r>
            <w:r w:rsidRPr="00020424">
              <w:rPr>
                <w:rtl/>
              </w:rPr>
              <w:t xml:space="preserve">في « بف » </w:t>
            </w:r>
            <w:r w:rsidRPr="00515444">
              <w:rPr>
                <w:rStyle w:val="libFootnoteBoldChar"/>
                <w:rtl/>
              </w:rPr>
              <w:t>والتهذيب</w:t>
            </w:r>
            <w:r w:rsidRPr="00020424">
              <w:rPr>
                <w:rtl/>
              </w:rPr>
              <w:t xml:space="preserve"> : « فقلت</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13795 </w:t>
      </w:r>
      <w:r w:rsidR="00992664" w:rsidRPr="003C719B">
        <w:rPr>
          <w:rtl/>
        </w:rPr>
        <w:t>والفقيه وثواب الأعمال</w:t>
      </w:r>
      <w:r w:rsidR="00992664" w:rsidRPr="00020424">
        <w:rPr>
          <w:rtl/>
        </w:rPr>
        <w:t xml:space="preserve"> ، ص 99 ، ح 1 : + « وأيّ يوم هو</w:t>
      </w:r>
      <w:r w:rsidR="00992664">
        <w:rPr>
          <w:rtl/>
        </w:rPr>
        <w:t>؟</w:t>
      </w:r>
      <w:r w:rsidR="00992664" w:rsidRPr="00020424">
        <w:rPr>
          <w:rtl/>
        </w:rPr>
        <w:t xml:space="preserve"> قال : إنّ الأيّام تدور وهو يوم ثمانية عشر من ذي الحجّة ، قال : قلت</w:t>
      </w:r>
      <w:r w:rsidR="00992664">
        <w:rPr>
          <w:rtl/>
        </w:rPr>
        <w:t xml:space="preserve"> ».</w:t>
      </w:r>
      <w:r w:rsidR="00992664">
        <w:rPr>
          <w:rFonts w:hint="cs"/>
          <w:rtl/>
          <w:lang w:bidi="fa-IR"/>
        </w:rPr>
        <w:t xml:space="preserve"> </w:t>
      </w:r>
      <w:r w:rsidR="001A23D6">
        <w:rPr>
          <w:rFonts w:hint="cs"/>
          <w:rtl/>
          <w:lang w:bidi="fa-IR"/>
        </w:rPr>
        <w:t xml:space="preserve">  </w:t>
      </w:r>
      <w:r w:rsidR="003C719B">
        <w:rPr>
          <w:rFonts w:hint="cs"/>
          <w:rtl/>
          <w:lang w:bidi="fa-IR"/>
        </w:rPr>
        <w:t xml:space="preserve">    </w:t>
      </w:r>
      <w:r w:rsidR="001A23D6">
        <w:rPr>
          <w:rFonts w:hint="cs"/>
          <w:rtl/>
          <w:lang w:bidi="fa-IR"/>
        </w:rPr>
        <w:t xml:space="preserve"> </w:t>
      </w:r>
      <w:r>
        <w:rPr>
          <w:rtl/>
        </w:rPr>
        <w:t>(6).</w:t>
      </w:r>
      <w:r w:rsidR="0014403D">
        <w:rPr>
          <w:rtl/>
        </w:rPr>
        <w:t xml:space="preserve"> </w:t>
      </w:r>
      <w:r w:rsidR="00992664" w:rsidRPr="00020424">
        <w:rPr>
          <w:rtl/>
        </w:rPr>
        <w:t>في « ى » : « فما ينبغي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A23D6" w:rsidTr="001A23D6">
        <w:tc>
          <w:tcPr>
            <w:tcW w:w="4006" w:type="dxa"/>
          </w:tcPr>
          <w:p w:rsidR="001A23D6" w:rsidRDefault="001A23D6" w:rsidP="00992664">
            <w:pPr>
              <w:pStyle w:val="libFootnote0"/>
              <w:rPr>
                <w:rtl/>
              </w:rPr>
            </w:pPr>
            <w:r>
              <w:rPr>
                <w:rtl/>
              </w:rPr>
              <w:t xml:space="preserve">(7). </w:t>
            </w:r>
            <w:r w:rsidRPr="00020424">
              <w:rPr>
                <w:rtl/>
              </w:rPr>
              <w:t>في « جن » : « وآل محمّد</w:t>
            </w:r>
            <w:r>
              <w:rPr>
                <w:rtl/>
              </w:rPr>
              <w:t xml:space="preserve"> ».</w:t>
            </w:r>
          </w:p>
        </w:tc>
        <w:tc>
          <w:tcPr>
            <w:tcW w:w="4006" w:type="dxa"/>
          </w:tcPr>
          <w:p w:rsidR="001A23D6" w:rsidRDefault="001A23D6" w:rsidP="00992664">
            <w:pPr>
              <w:pStyle w:val="libFootnote0"/>
              <w:rPr>
                <w:rtl/>
              </w:rPr>
            </w:pPr>
            <w:r>
              <w:rPr>
                <w:rtl/>
              </w:rPr>
              <w:t xml:space="preserve">(8). </w:t>
            </w:r>
            <w:r w:rsidRPr="00020424">
              <w:rPr>
                <w:rtl/>
              </w:rPr>
              <w:t xml:space="preserve">في </w:t>
            </w:r>
            <w:r w:rsidRPr="0012008A">
              <w:rPr>
                <w:rStyle w:val="libFootnoteBoldChar"/>
                <w:rtl/>
              </w:rPr>
              <w:t>الوافي</w:t>
            </w:r>
            <w:r w:rsidRPr="00020424">
              <w:rPr>
                <w:rtl/>
              </w:rPr>
              <w:t xml:space="preserve"> : « وتتبرّأ</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ى ، بث ، بح ، بس ، بف » </w:t>
      </w:r>
      <w:r w:rsidR="00992664" w:rsidRPr="00EB1FD9">
        <w:rPr>
          <w:rStyle w:val="libFootnoteBoldChar"/>
          <w:rtl/>
        </w:rPr>
        <w:t>والوسائل</w:t>
      </w:r>
      <w:r w:rsidR="00992664" w:rsidRPr="00020424">
        <w:rPr>
          <w:rtl/>
        </w:rPr>
        <w:t xml:space="preserve"> ، ح 13795 و</w:t>
      </w:r>
      <w:r w:rsidR="00992664" w:rsidRPr="0012008A">
        <w:rPr>
          <w:rStyle w:val="libFootnoteBoldChar"/>
          <w:rtl/>
        </w:rPr>
        <w:t>البحار</w:t>
      </w:r>
      <w:r w:rsidR="00992664" w:rsidRPr="00020424">
        <w:rPr>
          <w:rtl/>
        </w:rPr>
        <w:t xml:space="preserve"> ، ج 37 : « اليوم</w:t>
      </w:r>
      <w:r w:rsidR="00992664">
        <w:rPr>
          <w:rtl/>
        </w:rPr>
        <w:t xml:space="preserve"> ».</w:t>
      </w:r>
      <w:r w:rsidR="00071962">
        <w:rPr>
          <w:rtl/>
        </w:rPr>
        <w:t xml:space="preserve"> وفي « بر »:</w:t>
      </w:r>
      <w:r w:rsidR="00992664" w:rsidRPr="00020424">
        <w:rPr>
          <w:rtl/>
        </w:rPr>
        <w:t>« في اليوم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71962" w:rsidTr="00071962">
        <w:tc>
          <w:tcPr>
            <w:tcW w:w="4006" w:type="dxa"/>
          </w:tcPr>
          <w:p w:rsidR="00071962" w:rsidRDefault="00F11939" w:rsidP="00992664">
            <w:pPr>
              <w:pStyle w:val="libFootnote0"/>
              <w:rPr>
                <w:rtl/>
                <w:lang w:bidi="fa-IR"/>
              </w:rPr>
            </w:pPr>
            <w:r>
              <w:rPr>
                <w:rtl/>
              </w:rPr>
              <w:t xml:space="preserve">(10).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كان</w:t>
            </w:r>
            <w:r>
              <w:rPr>
                <w:rtl/>
              </w:rPr>
              <w:t xml:space="preserve"> ».</w:t>
            </w:r>
          </w:p>
        </w:tc>
        <w:tc>
          <w:tcPr>
            <w:tcW w:w="4006" w:type="dxa"/>
          </w:tcPr>
          <w:p w:rsidR="00071962" w:rsidRDefault="00F11939" w:rsidP="00992664">
            <w:pPr>
              <w:pStyle w:val="libFootnote0"/>
              <w:rPr>
                <w:rtl/>
                <w:lang w:bidi="fa-IR"/>
              </w:rPr>
            </w:pPr>
            <w:r>
              <w:rPr>
                <w:rtl/>
              </w:rPr>
              <w:t xml:space="preserve">(11). </w:t>
            </w:r>
            <w:r w:rsidRPr="00020424">
              <w:rPr>
                <w:rtl/>
              </w:rPr>
              <w:t>في « بر » : « يناب</w:t>
            </w:r>
            <w:r>
              <w:rPr>
                <w:rtl/>
              </w:rPr>
              <w:t xml:space="preserve"> ».</w:t>
            </w:r>
          </w:p>
        </w:tc>
      </w:tr>
      <w:tr w:rsidR="00071962" w:rsidTr="00071962">
        <w:tc>
          <w:tcPr>
            <w:tcW w:w="4006" w:type="dxa"/>
          </w:tcPr>
          <w:p w:rsidR="00071962" w:rsidRDefault="00F11939" w:rsidP="00992664">
            <w:pPr>
              <w:pStyle w:val="libFootnote0"/>
              <w:rPr>
                <w:rtl/>
                <w:lang w:bidi="fa-IR"/>
              </w:rPr>
            </w:pPr>
            <w:r>
              <w:rPr>
                <w:rtl/>
              </w:rPr>
              <w:t xml:space="preserve">(12). </w:t>
            </w:r>
            <w:r w:rsidRPr="00020424">
              <w:rPr>
                <w:rtl/>
              </w:rPr>
              <w:t xml:space="preserve">في </w:t>
            </w:r>
            <w:r w:rsidRPr="0012008A">
              <w:rPr>
                <w:rStyle w:val="libFootnoteBoldChar"/>
                <w:rtl/>
              </w:rPr>
              <w:t>الوافي</w:t>
            </w:r>
            <w:r w:rsidRPr="00020424">
              <w:rPr>
                <w:rtl/>
              </w:rPr>
              <w:t xml:space="preserve"> : + « منّا</w:t>
            </w:r>
            <w:r>
              <w:rPr>
                <w:rtl/>
              </w:rPr>
              <w:t xml:space="preserve"> ».</w:t>
            </w:r>
          </w:p>
        </w:tc>
        <w:tc>
          <w:tcPr>
            <w:tcW w:w="4006" w:type="dxa"/>
          </w:tcPr>
          <w:p w:rsidR="00071962" w:rsidRDefault="00F11939" w:rsidP="00992664">
            <w:pPr>
              <w:pStyle w:val="libFootnote0"/>
              <w:rPr>
                <w:rtl/>
                <w:lang w:bidi="fa-IR"/>
              </w:rPr>
            </w:pPr>
            <w:r>
              <w:rPr>
                <w:rtl/>
              </w:rPr>
              <w:t xml:space="preserve">(13). </w:t>
            </w:r>
            <w:r w:rsidRPr="00020424">
              <w:rPr>
                <w:rtl/>
              </w:rPr>
              <w:t xml:space="preserve">في « ظ ، ى » </w:t>
            </w:r>
            <w:r w:rsidRPr="00515444">
              <w:rPr>
                <w:rStyle w:val="libFootnoteBoldChar"/>
                <w:rtl/>
              </w:rPr>
              <w:t>والتهذيب</w:t>
            </w:r>
            <w:r w:rsidRPr="00020424">
              <w:rPr>
                <w:rtl/>
              </w:rPr>
              <w:t xml:space="preserve"> :</w:t>
            </w:r>
            <w:r>
              <w:rPr>
                <w:rtl/>
              </w:rPr>
              <w:t xml:space="preserve"> - </w:t>
            </w:r>
            <w:r w:rsidRPr="00020424">
              <w:rPr>
                <w:rtl/>
              </w:rPr>
              <w:t>« يوم</w:t>
            </w:r>
            <w:r>
              <w:rPr>
                <w:rtl/>
              </w:rPr>
              <w:t xml:space="preserve"> ».</w:t>
            </w:r>
          </w:p>
        </w:tc>
      </w:tr>
    </w:tbl>
    <w:p w:rsidR="00992664" w:rsidRPr="00020424" w:rsidRDefault="00795177" w:rsidP="00992664">
      <w:pPr>
        <w:pStyle w:val="libFootnote0"/>
        <w:rPr>
          <w:rtl/>
          <w:lang w:bidi="fa-IR"/>
        </w:rPr>
      </w:pPr>
      <w:r>
        <w:rPr>
          <w:rtl/>
        </w:rPr>
        <w:t>(14).</w:t>
      </w:r>
      <w:r w:rsidR="0014403D">
        <w:rPr>
          <w:rtl/>
        </w:rPr>
        <w:t xml:space="preserve"> </w:t>
      </w:r>
      <w:r w:rsidR="00992664" w:rsidRPr="00BE0C2A">
        <w:rPr>
          <w:rtl/>
        </w:rPr>
        <w:t>في التهذيب وثواب الأعمال ، ص 99 ، ح 1 وفضائل الأشهر الثلاثة : «</w:t>
      </w:r>
      <w:r w:rsidR="00992664" w:rsidRPr="00020424">
        <w:rPr>
          <w:rtl/>
        </w:rPr>
        <w:t xml:space="preserve"> سبعة</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EC277B" w:rsidTr="00EC277B">
        <w:tc>
          <w:tcPr>
            <w:tcW w:w="4006" w:type="dxa"/>
          </w:tcPr>
          <w:p w:rsidR="00EC277B" w:rsidRDefault="00EC277B" w:rsidP="00992664">
            <w:pPr>
              <w:pStyle w:val="libFootnote0"/>
              <w:rPr>
                <w:rtl/>
              </w:rPr>
            </w:pPr>
            <w:r>
              <w:rPr>
                <w:rtl/>
              </w:rPr>
              <w:t xml:space="preserve">(15). </w:t>
            </w:r>
            <w:r w:rsidRPr="00020424">
              <w:rPr>
                <w:rtl/>
              </w:rPr>
              <w:t>في « بس » : « السابع والعشرين</w:t>
            </w:r>
            <w:r>
              <w:rPr>
                <w:rtl/>
              </w:rPr>
              <w:t xml:space="preserve"> ».</w:t>
            </w:r>
          </w:p>
        </w:tc>
        <w:tc>
          <w:tcPr>
            <w:tcW w:w="4006" w:type="dxa"/>
          </w:tcPr>
          <w:p w:rsidR="00EC277B" w:rsidRDefault="00EC277B" w:rsidP="00992664">
            <w:pPr>
              <w:pStyle w:val="libFootnote0"/>
              <w:rPr>
                <w:rtl/>
              </w:rPr>
            </w:pPr>
            <w:r>
              <w:rPr>
                <w:rtl/>
              </w:rPr>
              <w:t xml:space="preserve">(16). </w:t>
            </w:r>
            <w:r w:rsidRPr="00020424">
              <w:rPr>
                <w:rtl/>
              </w:rPr>
              <w:t>في « بر » :</w:t>
            </w:r>
            <w:r>
              <w:rPr>
                <w:rtl/>
              </w:rPr>
              <w:t xml:space="preserve"> - </w:t>
            </w:r>
            <w:r w:rsidRPr="00020424">
              <w:rPr>
                <w:rtl/>
              </w:rPr>
              <w:t>« هو</w:t>
            </w:r>
            <w:r>
              <w:rPr>
                <w:rtl/>
              </w:rPr>
              <w:t xml:space="preserve"> ».</w:t>
            </w:r>
          </w:p>
        </w:tc>
      </w:tr>
    </w:tbl>
    <w:p w:rsidR="00992664" w:rsidRPr="00020424" w:rsidRDefault="00795177" w:rsidP="00992664">
      <w:pPr>
        <w:pStyle w:val="libFootnote0"/>
        <w:rPr>
          <w:rtl/>
          <w:lang w:bidi="fa-IR"/>
        </w:rPr>
      </w:pPr>
      <w:r>
        <w:rPr>
          <w:rtl/>
        </w:rPr>
        <w:t>(17).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قوله : لكم ؛ يعني به أنّ هذا الثواب مختصّ بشيعة أهل البيت ومحبّيهم ومواليهم ، ليس لغيرهم ذلك</w:t>
      </w:r>
      <w:r w:rsidR="00992664">
        <w:rPr>
          <w:rtl/>
        </w:rPr>
        <w:t xml:space="preserve"> ».</w:t>
      </w:r>
    </w:p>
    <w:p w:rsidR="00992664" w:rsidRPr="00020424" w:rsidRDefault="00795177" w:rsidP="00992664">
      <w:pPr>
        <w:pStyle w:val="libFootnote0"/>
        <w:rPr>
          <w:rtl/>
          <w:lang w:bidi="fa-IR"/>
        </w:rPr>
      </w:pPr>
      <w:r>
        <w:rPr>
          <w:rtl/>
        </w:rPr>
        <w:t>(18).</w:t>
      </w:r>
      <w:r w:rsidR="0014403D">
        <w:rPr>
          <w:rtl/>
        </w:rPr>
        <w:t xml:space="preserve"> </w:t>
      </w:r>
      <w:r w:rsidR="00992664" w:rsidRPr="0012008A">
        <w:rPr>
          <w:rStyle w:val="libFootnoteBoldChar"/>
          <w:rtl/>
        </w:rPr>
        <w:t>التهذيب</w:t>
      </w:r>
      <w:r w:rsidR="00992664" w:rsidRPr="00020424">
        <w:rPr>
          <w:rtl/>
        </w:rPr>
        <w:t xml:space="preserve"> ، ج 4 ، ص 305 ، ح 921 ، معلّقاً عن الكليني. </w:t>
      </w:r>
      <w:r w:rsidR="00992664" w:rsidRPr="0012008A">
        <w:rPr>
          <w:rStyle w:val="libFootnoteBoldChar"/>
          <w:rtl/>
        </w:rPr>
        <w:t>ثواب الأعمال</w:t>
      </w:r>
      <w:r w:rsidR="00992664" w:rsidRPr="00020424">
        <w:rPr>
          <w:rtl/>
        </w:rPr>
        <w:t xml:space="preserve"> ، ص 99 ، ح 1 ، بسنده عن إبراهيم بن </w:t>
      </w:r>
      <w:r w:rsidR="00965BF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33730">
        <w:rPr>
          <w:rtl/>
        </w:rPr>
        <w:t>6589</w:t>
      </w:r>
      <w:r w:rsidRPr="001155DE">
        <w:rPr>
          <w:rStyle w:val="libBold2Char"/>
          <w:rtl/>
        </w:rPr>
        <w:t xml:space="preserve"> / 2.</w:t>
      </w:r>
      <w:r w:rsidRPr="00020424">
        <w:rPr>
          <w:rtl/>
          <w:lang w:bidi="fa-IR"/>
        </w:rPr>
        <w:t xml:space="preserve"> عِدَّةٌ مِنْ أَصْحَابِنَا ، عَنْ سَهْلِ بْنِ زِيَادٍ ، عَنْ بَعْضِ أَصْحَابِنَا :</w:t>
      </w:r>
    </w:p>
    <w:p w:rsidR="00992664" w:rsidRPr="00020424" w:rsidRDefault="00992664" w:rsidP="00992664">
      <w:pPr>
        <w:pStyle w:val="libNormal"/>
        <w:rPr>
          <w:rtl/>
          <w:lang w:bidi="fa-IR"/>
        </w:rPr>
      </w:pPr>
      <w:r w:rsidRPr="00020424">
        <w:rPr>
          <w:rtl/>
          <w:lang w:bidi="fa-IR"/>
        </w:rPr>
        <w:t xml:space="preserve">عَنْ أَبِي الْحَسَنِ الْأَوَّلِ </w:t>
      </w:r>
      <w:r w:rsidRPr="00A91B96">
        <w:rPr>
          <w:rStyle w:val="libFootnotenumChar"/>
          <w:rtl/>
        </w:rPr>
        <w:t>(1)</w:t>
      </w:r>
      <w:r w:rsidRPr="00020424">
        <w:rPr>
          <w:rtl/>
          <w:lang w:bidi="fa-IR"/>
        </w:rPr>
        <w:t xml:space="preserve"> </w:t>
      </w:r>
      <w:r w:rsidRPr="00005A81">
        <w:rPr>
          <w:rStyle w:val="libAlaemChar"/>
          <w:rtl/>
        </w:rPr>
        <w:t>عليه‌السلام</w:t>
      </w:r>
      <w:r w:rsidRPr="00020424">
        <w:rPr>
          <w:rtl/>
          <w:lang w:bidi="fa-IR"/>
        </w:rPr>
        <w:t xml:space="preserve"> ، قَالَ : « بَعَثَ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مُحَمَّداً </w:t>
      </w:r>
      <w:r w:rsidR="00B42914" w:rsidRPr="00B42914">
        <w:rPr>
          <w:rStyle w:val="libAlaemChar"/>
          <w:rtl/>
        </w:rPr>
        <w:t>صلى‌الله‌عليه‌وآله‌</w:t>
      </w:r>
      <w:r w:rsidRPr="00020424">
        <w:rPr>
          <w:rtl/>
          <w:lang w:bidi="fa-IR"/>
        </w:rPr>
        <w:t xml:space="preserve"> رَحْمَةً لِلْعَالَمِينَ فِي سَبْعٍ </w:t>
      </w:r>
      <w:r w:rsidRPr="00A91B96">
        <w:rPr>
          <w:rStyle w:val="libFootnotenumChar"/>
          <w:rtl/>
        </w:rPr>
        <w:t>(2)</w:t>
      </w:r>
      <w:r w:rsidRPr="00020424">
        <w:rPr>
          <w:rtl/>
          <w:lang w:bidi="fa-IR"/>
        </w:rPr>
        <w:t xml:space="preserve"> وَعِشْرِينَ مِنْ رَجَبٍ ، فَمَنْ صَامَ ذلِكَ الْيَوْمَ ، كَتَبَ اللهُ لَهُ </w:t>
      </w:r>
      <w:r w:rsidRPr="00A91B96">
        <w:rPr>
          <w:rStyle w:val="libFootnotenumChar"/>
          <w:rtl/>
        </w:rPr>
        <w:t>(3)</w:t>
      </w:r>
      <w:r w:rsidRPr="00020424">
        <w:rPr>
          <w:rtl/>
          <w:lang w:bidi="fa-IR"/>
        </w:rPr>
        <w:t xml:space="preserve"> صِيَامَ سِتِّينَ شَهْراً ؛ وَفِي خَمْسَةٍ </w:t>
      </w:r>
      <w:r w:rsidRPr="00A91B96">
        <w:rPr>
          <w:rStyle w:val="libFootnotenumChar"/>
          <w:rtl/>
        </w:rPr>
        <w:t>(4)</w:t>
      </w:r>
      <w:r w:rsidRPr="00020424">
        <w:rPr>
          <w:rtl/>
          <w:lang w:bidi="fa-IR"/>
        </w:rPr>
        <w:t xml:space="preserve"> وَعِشْرِينَ مِنْ ذِي الْقَعْدَةِ وُضِعَ </w:t>
      </w:r>
      <w:r w:rsidRPr="00A91B96">
        <w:rPr>
          <w:rStyle w:val="libFootnotenumChar"/>
          <w:rtl/>
        </w:rPr>
        <w:t>(5)</w:t>
      </w:r>
      <w:r w:rsidRPr="00020424">
        <w:rPr>
          <w:rtl/>
          <w:lang w:bidi="fa-IR"/>
        </w:rPr>
        <w:t xml:space="preserve"> الْبَيْتُ ، وَهُوَ أَوَّلُ رَحْمَةٍ وُضِعَتْ عَلى وَجْهِ الْأَرْضِ </w:t>
      </w:r>
      <w:r w:rsidRPr="00A91B96">
        <w:rPr>
          <w:rStyle w:val="libFootnotenumChar"/>
          <w:rtl/>
        </w:rPr>
        <w:t>(6)</w:t>
      </w:r>
      <w:r w:rsidRPr="00020424">
        <w:rPr>
          <w:rtl/>
          <w:lang w:bidi="fa-IR"/>
        </w:rPr>
        <w:t xml:space="preserve"> ، فَجَعَلَهُ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مَثَابَةً لِلنَّاسِ وَأَمْناً </w:t>
      </w:r>
      <w:r w:rsidRPr="00A91B96">
        <w:rPr>
          <w:rStyle w:val="libFootnotenumChar"/>
          <w:rtl/>
        </w:rPr>
        <w:t>(7)</w:t>
      </w:r>
      <w:r w:rsidRPr="00020424">
        <w:rPr>
          <w:rtl/>
          <w:lang w:bidi="fa-IR"/>
        </w:rPr>
        <w:t xml:space="preserve"> ، فَمَنْ صَامَ ذلِكَ الْيَوْمَ ، كَتَبَ اللهُ لَهُ صِيَامَ سِتِّينَ شَهْراً ؛ وَفِي أَوَّلِ يَوْمٍ مِنْ ذِي الْحِجَّةِ وُلِدَ إِبْرَاهِيمُ خَلِيلُ الرَّحْمنِ </w:t>
      </w:r>
      <w:r w:rsidRPr="00005A81">
        <w:rPr>
          <w:rStyle w:val="libAlaemChar"/>
          <w:rtl/>
        </w:rPr>
        <w:t>عليه‌السلام</w:t>
      </w:r>
      <w:r w:rsidRPr="00020424">
        <w:rPr>
          <w:rtl/>
          <w:lang w:bidi="fa-IR"/>
        </w:rPr>
        <w:t xml:space="preserve"> ، فَمَنْ صَامَ ذلِكَ الْيَوْمَ ، كَتَبَ اللهُ لَهُ صِيَامَ سِتِّينَ شَهْراً</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965BF9" w:rsidP="009B5C86">
      <w:pPr>
        <w:pStyle w:val="libFootnote0"/>
        <w:rPr>
          <w:rtl/>
          <w:lang w:bidi="fa-IR"/>
        </w:rPr>
      </w:pPr>
      <w:r>
        <w:rPr>
          <w:rFonts w:hint="cs"/>
          <w:rtl/>
        </w:rPr>
        <w:t xml:space="preserve">= </w:t>
      </w:r>
      <w:r w:rsidR="00992664" w:rsidRPr="00020424">
        <w:rPr>
          <w:rtl/>
        </w:rPr>
        <w:t xml:space="preserve">هاشم ، عن القاسم بن يحيى. </w:t>
      </w:r>
      <w:r w:rsidR="00992664" w:rsidRPr="00DE76B9">
        <w:rPr>
          <w:rStyle w:val="libFootnoteBoldChar"/>
          <w:rtl/>
        </w:rPr>
        <w:t>وفيه</w:t>
      </w:r>
      <w:r w:rsidR="00992664" w:rsidRPr="00020424">
        <w:rPr>
          <w:rtl/>
        </w:rPr>
        <w:t xml:space="preserve"> ، ح 2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ص 20 ، ح 6 ، بسندهما عن القاسم بن يحيى ، وفي الأخير من قوله : « ولاتدع صيام يوم سبع وعشرين</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90 ، ح 1816 ، معلّقاً عن الحسن بن راشد. </w:t>
      </w:r>
      <w:r w:rsidR="00992664" w:rsidRPr="00757F3F">
        <w:rPr>
          <w:rStyle w:val="libFootnoteBoldChar"/>
          <w:rtl/>
        </w:rPr>
        <w:t>الأمالي للطوسي</w:t>
      </w:r>
      <w:r w:rsidR="00992664" w:rsidRPr="00020424">
        <w:rPr>
          <w:rtl/>
        </w:rPr>
        <w:t xml:space="preserve"> ، ص 500 ، المجلس 2 ، ذيل ح 21 ، بسند آخر ؛ </w:t>
      </w:r>
      <w:r w:rsidR="00992664" w:rsidRPr="00DE76B9">
        <w:rPr>
          <w:rStyle w:val="libFootnoteBoldChar"/>
          <w:rtl/>
        </w:rPr>
        <w:t>فضائل شهر رجب</w:t>
      </w:r>
      <w:r w:rsidR="00992664" w:rsidRPr="00020424">
        <w:rPr>
          <w:rtl/>
        </w:rPr>
        <w:t xml:space="preserve"> ، ص 500 ، ح 11 ، بسند آخر عن أبي هريرة ، من دون الإسناد إلى المعصوم </w:t>
      </w:r>
      <w:r w:rsidR="00992664" w:rsidRPr="00D64ADA">
        <w:rPr>
          <w:rStyle w:val="libFootnoteAlaemChar"/>
          <w:rtl/>
        </w:rPr>
        <w:t>عليه‌السلام</w:t>
      </w:r>
      <w:r w:rsidR="00992664" w:rsidRPr="00020424">
        <w:rPr>
          <w:rtl/>
        </w:rPr>
        <w:t xml:space="preserve"> ، وفي الأخيرين من قوله : « ولا تدع صيام يوم سبع وعشرين » مع اختلاف يسير </w:t>
      </w:r>
      <w:r w:rsidR="009B5C86">
        <w:rPr>
          <w:rFonts w:hint="cs"/>
          <w:rtl/>
        </w:rPr>
        <w:t>.</w:t>
      </w:r>
      <w:r w:rsidR="00992664" w:rsidRPr="0012008A">
        <w:rPr>
          <w:rStyle w:val="libFootnoteBoldChar"/>
          <w:rtl/>
        </w:rPr>
        <w:t>الوافي</w:t>
      </w:r>
      <w:r w:rsidR="00992664" w:rsidRPr="00020424">
        <w:rPr>
          <w:rtl/>
        </w:rPr>
        <w:t xml:space="preserve"> ، ج 11 ، ص 51 ، ح 10394 ؛ </w:t>
      </w:r>
      <w:r w:rsidR="00992664" w:rsidRPr="0012008A">
        <w:rPr>
          <w:rStyle w:val="libFootnoteBoldChar"/>
          <w:rtl/>
        </w:rPr>
        <w:t>الوسائل</w:t>
      </w:r>
      <w:r w:rsidR="00992664" w:rsidRPr="00020424">
        <w:rPr>
          <w:rtl/>
        </w:rPr>
        <w:t xml:space="preserve"> ، ج 10 ، ص 440 ، ح 13795 ، إلى قوله : « صيام ستّين شهراً » ؛ </w:t>
      </w:r>
      <w:r w:rsidR="00992664" w:rsidRPr="00DE76B9">
        <w:rPr>
          <w:rStyle w:val="libFootnoteBoldChar"/>
          <w:rtl/>
        </w:rPr>
        <w:t>وفيه</w:t>
      </w:r>
      <w:r w:rsidR="00992664" w:rsidRPr="00020424">
        <w:rPr>
          <w:rtl/>
        </w:rPr>
        <w:t xml:space="preserve"> ، ص 447 ، ذيل ح 13808 ، من قوله : « ولا تدع صيام يوم سبع وعشرين » ؛ </w:t>
      </w:r>
      <w:r w:rsidR="00992664" w:rsidRPr="0012008A">
        <w:rPr>
          <w:rStyle w:val="libFootnoteBoldChar"/>
          <w:rtl/>
        </w:rPr>
        <w:t>البحار</w:t>
      </w:r>
      <w:r w:rsidR="00992664" w:rsidRPr="00020424">
        <w:rPr>
          <w:rtl/>
        </w:rPr>
        <w:t xml:space="preserve"> ، ج 18 ، ص 189 ، ح 21 ، من قوله : « ولاتدع صيام يوم سبع وعشرين » إلى قوله : « نزلت فيه النبوّة على محمّد </w:t>
      </w:r>
      <w:r w:rsidR="009B5C86" w:rsidRPr="009B5C86">
        <w:rPr>
          <w:rStyle w:val="libFootnoteAlaemChar"/>
          <w:rtl/>
        </w:rPr>
        <w:t>صلى‌الله‌عليه‌وآله‌</w:t>
      </w:r>
      <w:r w:rsidR="009B5C86" w:rsidRPr="00020424">
        <w:rPr>
          <w:rtl/>
          <w:lang w:bidi="fa-IR"/>
        </w:rPr>
        <w:t xml:space="preserve"> </w:t>
      </w:r>
      <w:r w:rsidR="00992664" w:rsidRPr="00020424">
        <w:rPr>
          <w:rtl/>
        </w:rPr>
        <w:t xml:space="preserve">» ؛ </w:t>
      </w:r>
      <w:r w:rsidR="00992664" w:rsidRPr="00DE76B9">
        <w:rPr>
          <w:rStyle w:val="libFootnoteBoldChar"/>
          <w:rtl/>
        </w:rPr>
        <w:t>وفيه</w:t>
      </w:r>
      <w:r w:rsidR="00992664" w:rsidRPr="00020424">
        <w:rPr>
          <w:rtl/>
        </w:rPr>
        <w:t xml:space="preserve"> ، ج 37 ، ص 171 ، ح 53 ، إلى قوله : « صيام ستّين شهرا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B5C86" w:rsidTr="009B5C86">
        <w:tc>
          <w:tcPr>
            <w:tcW w:w="4006" w:type="dxa"/>
          </w:tcPr>
          <w:p w:rsidR="009B5C86" w:rsidRDefault="009B5C86" w:rsidP="00992664">
            <w:pPr>
              <w:pStyle w:val="libFootnote0"/>
              <w:rPr>
                <w:rtl/>
              </w:rPr>
            </w:pPr>
            <w:r>
              <w:rPr>
                <w:rtl/>
              </w:rPr>
              <w:t xml:space="preserve">(1). </w:t>
            </w:r>
            <w:r w:rsidRPr="00020424">
              <w:rPr>
                <w:rtl/>
              </w:rPr>
              <w:t xml:space="preserve">في </w:t>
            </w:r>
            <w:r w:rsidRPr="0012008A">
              <w:rPr>
                <w:rStyle w:val="libFootnoteBoldChar"/>
                <w:rtl/>
              </w:rPr>
              <w:t>التهذيب</w:t>
            </w:r>
            <w:r w:rsidRPr="00020424">
              <w:rPr>
                <w:rtl/>
              </w:rPr>
              <w:t xml:space="preserve"> : « أبي الحسن الرضا</w:t>
            </w:r>
            <w:r>
              <w:rPr>
                <w:rtl/>
              </w:rPr>
              <w:t xml:space="preserve"> ».</w:t>
            </w:r>
          </w:p>
        </w:tc>
        <w:tc>
          <w:tcPr>
            <w:tcW w:w="4006" w:type="dxa"/>
          </w:tcPr>
          <w:p w:rsidR="009B5C86" w:rsidRDefault="009B5C86" w:rsidP="00992664">
            <w:pPr>
              <w:pStyle w:val="libFootnote0"/>
              <w:rPr>
                <w:rtl/>
              </w:rPr>
            </w:pPr>
            <w:r>
              <w:rPr>
                <w:rtl/>
              </w:rPr>
              <w:t xml:space="preserve">(2). </w:t>
            </w:r>
            <w:r w:rsidR="003D1DDE">
              <w:rPr>
                <w:rtl/>
              </w:rPr>
              <w:t>في «بر،بس،بف</w:t>
            </w:r>
            <w:r w:rsidRPr="00020424">
              <w:rPr>
                <w:rtl/>
              </w:rPr>
              <w:t>»</w:t>
            </w:r>
            <w:r w:rsidRPr="00515444">
              <w:rPr>
                <w:rStyle w:val="libFootnoteBoldChar"/>
                <w:rtl/>
              </w:rPr>
              <w:t>والتهذيب</w:t>
            </w:r>
            <w:r w:rsidR="003D1DDE">
              <w:rPr>
                <w:rtl/>
              </w:rPr>
              <w:t>،ح 919 :</w:t>
            </w:r>
            <w:r w:rsidRPr="00020424">
              <w:rPr>
                <w:rtl/>
              </w:rPr>
              <w:t>« سبعة</w:t>
            </w:r>
            <w:r>
              <w:rPr>
                <w:rtl/>
              </w:rPr>
              <w:t>».</w:t>
            </w:r>
          </w:p>
        </w:tc>
      </w:tr>
      <w:tr w:rsidR="009B5C86" w:rsidTr="009B5C86">
        <w:tc>
          <w:tcPr>
            <w:tcW w:w="4006" w:type="dxa"/>
          </w:tcPr>
          <w:p w:rsidR="009B5C86" w:rsidRDefault="00CA6A19" w:rsidP="00992664">
            <w:pPr>
              <w:pStyle w:val="libFootnote0"/>
              <w:rPr>
                <w:rtl/>
              </w:rPr>
            </w:pPr>
            <w:r>
              <w:rPr>
                <w:rtl/>
              </w:rPr>
              <w:t xml:space="preserve">(3). </w:t>
            </w:r>
            <w:r w:rsidRPr="00020424">
              <w:rPr>
                <w:rtl/>
              </w:rPr>
              <w:t>في « جن » :</w:t>
            </w:r>
            <w:r>
              <w:rPr>
                <w:rtl/>
              </w:rPr>
              <w:t xml:space="preserve"> - </w:t>
            </w:r>
            <w:r w:rsidRPr="00020424">
              <w:rPr>
                <w:rtl/>
              </w:rPr>
              <w:t>« له</w:t>
            </w:r>
            <w:r>
              <w:rPr>
                <w:rtl/>
              </w:rPr>
              <w:t xml:space="preserve"> ».</w:t>
            </w:r>
          </w:p>
        </w:tc>
        <w:tc>
          <w:tcPr>
            <w:tcW w:w="4006" w:type="dxa"/>
          </w:tcPr>
          <w:p w:rsidR="009B5C86" w:rsidRDefault="00CA6A19" w:rsidP="00992664">
            <w:pPr>
              <w:pStyle w:val="libFootnote0"/>
              <w:rPr>
                <w:rtl/>
              </w:rPr>
            </w:pPr>
            <w:r>
              <w:rPr>
                <w:rtl/>
              </w:rPr>
              <w:t xml:space="preserve">(4). </w:t>
            </w:r>
            <w:r w:rsidRPr="00020424">
              <w:rPr>
                <w:rtl/>
              </w:rPr>
              <w:t>في « بث ، بح ، جن » : « خمس</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919 : + «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أمّا وضع البيت فيحتمل أن يكون المراد به خلق مكانه بأن يكون دحو الأرض من تحته في‌ذلك اليوم أيضاً ، ويحتمل أن يكون دحوالأرض في ذلك اليوم ووضع بيت المعمور أيضاً في ذلك اليوم في سنة ا</w:t>
      </w:r>
      <w:r w:rsidR="00A4385D">
        <w:rPr>
          <w:rFonts w:hint="cs"/>
          <w:rtl/>
        </w:rPr>
        <w:t>ُ</w:t>
      </w:r>
      <w:r w:rsidR="00992664" w:rsidRPr="00020424">
        <w:rPr>
          <w:rtl/>
        </w:rPr>
        <w:t>خرى ، والأوّل أظهر بالنظر إلى بقيّة الخبر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إشارة إلى الآية 125 من سورة البقرة </w:t>
      </w:r>
      <w:r>
        <w:rPr>
          <w:rtl/>
        </w:rPr>
        <w:t>(2).</w:t>
      </w:r>
      <w:r w:rsidR="0014403D">
        <w:rPr>
          <w:rtl/>
        </w:rPr>
        <w:t xml:space="preserve"> </w:t>
      </w:r>
      <w:r w:rsidR="00992664">
        <w:rPr>
          <w:rtl/>
        </w:rPr>
        <w:t>:</w:t>
      </w:r>
      <w:r w:rsidR="00992664" w:rsidRPr="00020424">
        <w:rPr>
          <w:rtl/>
        </w:rPr>
        <w:t xml:space="preserve"> </w:t>
      </w:r>
      <w:r w:rsidR="00992664" w:rsidRPr="00A4385D">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وَإِذْ جَعَلْنَا الْبَيْتَ مَثابَةً لِلنّاسِ وَأَمْناً </w:t>
      </w:r>
      <w:r w:rsidR="00992664" w:rsidRPr="00A4385D">
        <w:rPr>
          <w:rStyle w:val="libFootnoteAlaemChar"/>
          <w:rtl/>
        </w:rPr>
        <w:t>)</w:t>
      </w:r>
      <w:r w:rsidR="00992664" w:rsidRPr="00020424">
        <w:rPr>
          <w:rtl/>
        </w:rPr>
        <w:t xml:space="preserve">. </w:t>
      </w:r>
      <w:r w:rsidR="00992664">
        <w:rPr>
          <w:rtl/>
        </w:rPr>
        <w:t>و «</w:t>
      </w:r>
      <w:r w:rsidR="00992664" w:rsidRPr="00020424">
        <w:rPr>
          <w:rtl/>
        </w:rPr>
        <w:t xml:space="preserve"> مثابة » أي مجتمعاً ومرجعاً ؛</w:t>
      </w:r>
      <w:r w:rsidR="00A4385D">
        <w:rPr>
          <w:rtl/>
        </w:rPr>
        <w:t xml:space="preserve"> من ثاب بمعنى رجع ، وأضاف العل</w:t>
      </w:r>
      <w:r w:rsidR="00A4385D">
        <w:rPr>
          <w:rFonts w:hint="cs"/>
          <w:rtl/>
        </w:rPr>
        <w:t>ّ</w:t>
      </w:r>
      <w:r w:rsidR="00A4385D">
        <w:rPr>
          <w:rtl/>
        </w:rPr>
        <w:t>ا</w:t>
      </w:r>
      <w:r w:rsidR="00992664" w:rsidRPr="00020424">
        <w:rPr>
          <w:rtl/>
        </w:rPr>
        <w:t>مة المجلسي : « ومحلّ ثواب وأجر</w:t>
      </w:r>
      <w:r w:rsidR="00992664">
        <w:rPr>
          <w:rtl/>
        </w:rPr>
        <w:t xml:space="preserve"> ».</w:t>
      </w:r>
      <w:r w:rsidR="00992664" w:rsidRPr="00020424">
        <w:rPr>
          <w:rtl/>
        </w:rPr>
        <w:t xml:space="preserve"> راجع : </w:t>
      </w:r>
      <w:r w:rsidR="00992664" w:rsidRPr="0012008A">
        <w:rPr>
          <w:rStyle w:val="libFootnoteBoldChar"/>
          <w:rtl/>
        </w:rPr>
        <w:t>النهاية</w:t>
      </w:r>
      <w:r w:rsidR="00ED2CE9">
        <w:rPr>
          <w:rtl/>
        </w:rPr>
        <w:t xml:space="preserve"> ، ج 1 ، ص 227</w:t>
      </w:r>
      <w:r w:rsidR="00992664" w:rsidRPr="00020424">
        <w:rPr>
          <w:rtl/>
        </w:rPr>
        <w:t xml:space="preserve">؛ </w:t>
      </w:r>
      <w:r w:rsidR="00992664" w:rsidRPr="00A722B1">
        <w:rPr>
          <w:rStyle w:val="libFootnoteBoldChar"/>
          <w:rtl/>
        </w:rPr>
        <w:t>لسان العرب</w:t>
      </w:r>
      <w:r w:rsidR="00992664" w:rsidRPr="00020424">
        <w:rPr>
          <w:rtl/>
        </w:rPr>
        <w:t xml:space="preserve"> ، ج 1 ، ص 244 ( ثوب ) ؛ </w:t>
      </w:r>
      <w:r w:rsidR="00992664" w:rsidRPr="00DE76B9">
        <w:rPr>
          <w:rStyle w:val="libFootnoteBoldChar"/>
          <w:rtl/>
        </w:rPr>
        <w:t>مرآة العقول</w:t>
      </w:r>
      <w:r w:rsidR="00992664" w:rsidRPr="00020424">
        <w:rPr>
          <w:rtl/>
        </w:rPr>
        <w:t xml:space="preserve"> ، ج 16 ، ص 365.</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304 ، ح 919 ، معلّقاً عن الكليني. </w:t>
      </w:r>
      <w:r w:rsidR="00992664" w:rsidRPr="0012008A">
        <w:rPr>
          <w:rStyle w:val="libFootnoteBoldChar"/>
          <w:rtl/>
        </w:rPr>
        <w:t>ثواب الأعمال</w:t>
      </w:r>
      <w:r w:rsidR="00992664" w:rsidRPr="00020424">
        <w:rPr>
          <w:rtl/>
        </w:rPr>
        <w:t xml:space="preserve"> ، ص 98 ، ح 2 ، بسند آخر عن موسى بن جعفر </w:t>
      </w:r>
      <w:r w:rsidR="00992664" w:rsidRPr="00D64ADA">
        <w:rPr>
          <w:rStyle w:val="libFootnoteAlaemChar"/>
          <w:rtl/>
        </w:rPr>
        <w:t>عليه‌السلام</w:t>
      </w:r>
      <w:r w:rsidR="00992664" w:rsidRPr="00020424">
        <w:rPr>
          <w:rtl/>
        </w:rPr>
        <w:t xml:space="preserve"> ، من قوله : « وفي أوّل يومٍ من ذي الحجّة » مع اختلاف. </w:t>
      </w:r>
      <w:r w:rsidR="00992664" w:rsidRPr="0012008A">
        <w:rPr>
          <w:rStyle w:val="libFootnoteBoldChar"/>
          <w:rtl/>
        </w:rPr>
        <w:t>الفقيه</w:t>
      </w:r>
      <w:r w:rsidR="00992664" w:rsidRPr="00020424">
        <w:rPr>
          <w:rtl/>
        </w:rPr>
        <w:t xml:space="preserve"> ، ج 2 ، ص 89 ، ح 1814 ، بسند آخر عن </w:t>
      </w:r>
      <w:r w:rsidR="002E101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E33730">
        <w:rPr>
          <w:rtl/>
        </w:rPr>
        <w:t>6590</w:t>
      </w:r>
      <w:r w:rsidRPr="001155DE">
        <w:rPr>
          <w:rStyle w:val="libBold2Char"/>
          <w:rtl/>
        </w:rPr>
        <w:t xml:space="preserve"> / 3.</w:t>
      </w:r>
      <w:r w:rsidRPr="00020424">
        <w:rPr>
          <w:rtl/>
          <w:lang w:bidi="fa-IR"/>
        </w:rPr>
        <w:t xml:space="preserve"> سَهْلُ بْنُ زِيَادٍ </w:t>
      </w:r>
      <w:r w:rsidRPr="00A91B96">
        <w:rPr>
          <w:rStyle w:val="libFootnotenumChar"/>
          <w:rtl/>
        </w:rPr>
        <w:t>(1)</w:t>
      </w:r>
      <w:r w:rsidRPr="00020424">
        <w:rPr>
          <w:rtl/>
          <w:lang w:bidi="fa-IR"/>
        </w:rPr>
        <w:t xml:space="preserve"> ، عَنْ عَبْدِ الرَّحْمنِ بْنِ سَالِمٍ ، عَنْ أَبِيهِ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هَلْ لِلْمُسْلِمِينَ عِيدٌ غَيْرَ يَوْمِ الْجُمُعَةِ وَالْأَضْحى وَالْفِطْرِ</w:t>
      </w:r>
      <w:r>
        <w:rPr>
          <w:rtl/>
          <w:lang w:bidi="fa-IR"/>
        </w:rPr>
        <w:t>؟</w:t>
      </w:r>
    </w:p>
    <w:p w:rsidR="00992664" w:rsidRPr="00020424" w:rsidRDefault="00992664" w:rsidP="00992664">
      <w:pPr>
        <w:pStyle w:val="libNormal"/>
        <w:rPr>
          <w:rtl/>
          <w:lang w:bidi="fa-IR"/>
        </w:rPr>
      </w:pPr>
      <w:r w:rsidRPr="00020424">
        <w:rPr>
          <w:rtl/>
          <w:lang w:bidi="fa-IR"/>
        </w:rPr>
        <w:t>قَالَ : « نَعَمْ ، أَعْظَمُهَا حُرْمَةً</w:t>
      </w:r>
      <w:r>
        <w:rPr>
          <w:rtl/>
          <w:lang w:bidi="fa-IR"/>
        </w:rPr>
        <w:t xml:space="preserve"> ».</w:t>
      </w:r>
    </w:p>
    <w:p w:rsidR="00992664" w:rsidRPr="00020424" w:rsidRDefault="00992664" w:rsidP="00992664">
      <w:pPr>
        <w:pStyle w:val="libNormal"/>
        <w:rPr>
          <w:rtl/>
          <w:lang w:bidi="fa-IR"/>
        </w:rPr>
      </w:pPr>
      <w:r w:rsidRPr="00020424">
        <w:rPr>
          <w:rtl/>
          <w:lang w:bidi="fa-IR"/>
        </w:rPr>
        <w:t>قُلْتُ : وَأَيُّ عِيدٍ هُوَ جُعِلْتُ فِدَاكَ</w:t>
      </w:r>
      <w:r>
        <w:rPr>
          <w:rtl/>
          <w:lang w:bidi="fa-IR"/>
        </w:rPr>
        <w:t>؟</w:t>
      </w:r>
    </w:p>
    <w:p w:rsidR="00992664" w:rsidRPr="00020424" w:rsidRDefault="00992664" w:rsidP="00992664">
      <w:pPr>
        <w:pStyle w:val="libNormal"/>
        <w:rPr>
          <w:rtl/>
          <w:lang w:bidi="fa-IR"/>
        </w:rPr>
      </w:pPr>
      <w:r w:rsidRPr="00020424">
        <w:rPr>
          <w:rtl/>
          <w:lang w:bidi="fa-IR"/>
        </w:rPr>
        <w:t xml:space="preserve">قَالَ : « الْيَوْمُ الَّذِي نَصَبَ فِيهِ رَسُولُ اللهِ </w:t>
      </w:r>
      <w:r w:rsidR="00B42914" w:rsidRPr="00B42914">
        <w:rPr>
          <w:rStyle w:val="libAlaemChar"/>
          <w:rtl/>
        </w:rPr>
        <w:t>صلى‌الله‌عليه‌وآله‌</w:t>
      </w:r>
      <w:r w:rsidRPr="00020424">
        <w:rPr>
          <w:rtl/>
          <w:lang w:bidi="fa-IR"/>
        </w:rPr>
        <w:t xml:space="preserve"> أَمِيرَ الْمُؤْمِنِينَ </w:t>
      </w:r>
      <w:r w:rsidRPr="00005A81">
        <w:rPr>
          <w:rStyle w:val="libAlaemChar"/>
          <w:rtl/>
        </w:rPr>
        <w:t>عليه‌السلام</w:t>
      </w:r>
      <w:r w:rsidRPr="00020424">
        <w:rPr>
          <w:rtl/>
          <w:lang w:bidi="fa-IR"/>
        </w:rPr>
        <w:t xml:space="preserve"> ، </w:t>
      </w:r>
      <w:r w:rsidR="00ED2CE9">
        <w:rPr>
          <w:rtl/>
          <w:lang w:bidi="fa-IR"/>
        </w:rPr>
        <w:t>وَقَالَ : مَنْ كُنْتُ مَوْلَاهُ</w:t>
      </w:r>
      <w:r w:rsidRPr="00020424">
        <w:rPr>
          <w:rtl/>
          <w:lang w:bidi="fa-IR"/>
        </w:rPr>
        <w:t>، فَعَلِيٌّ مَوْلَاهُ</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وَأَيُّ </w:t>
      </w:r>
      <w:r w:rsidRPr="00A91B96">
        <w:rPr>
          <w:rStyle w:val="libFootnotenumChar"/>
          <w:rtl/>
        </w:rPr>
        <w:t>(2)</w:t>
      </w:r>
      <w:r w:rsidRPr="00020424">
        <w:rPr>
          <w:rtl/>
          <w:lang w:bidi="fa-IR"/>
        </w:rPr>
        <w:t xml:space="preserve"> يَوْمٍ هُوَ</w:t>
      </w:r>
      <w:r>
        <w:rPr>
          <w:rtl/>
          <w:lang w:bidi="fa-IR"/>
        </w:rPr>
        <w:t>؟</w:t>
      </w:r>
    </w:p>
    <w:p w:rsidR="00992664" w:rsidRPr="00020424" w:rsidRDefault="00992664" w:rsidP="00992664">
      <w:pPr>
        <w:pStyle w:val="libNormal"/>
        <w:rPr>
          <w:rtl/>
          <w:lang w:bidi="fa-IR"/>
        </w:rPr>
      </w:pPr>
      <w:r w:rsidRPr="00020424">
        <w:rPr>
          <w:rtl/>
          <w:lang w:bidi="fa-IR"/>
        </w:rPr>
        <w:t xml:space="preserve">قَالَ : « وَمَا تَصْنَعُ بِالْيَوْمِ </w:t>
      </w:r>
      <w:r w:rsidRPr="00A91B96">
        <w:rPr>
          <w:rStyle w:val="libFootnotenumChar"/>
          <w:rtl/>
        </w:rPr>
        <w:t>(3)</w:t>
      </w:r>
      <w:r w:rsidRPr="00020424">
        <w:rPr>
          <w:rtl/>
          <w:lang w:bidi="fa-IR"/>
        </w:rPr>
        <w:t xml:space="preserve"> ؛ إِنَّ السَّنَةَ تَدُورُ ، وَلكِنَّهُ يَوْمُ ثَمَانِيَةَ عَشَرَ مِنْ ذِي الْحِجَّةِ</w:t>
      </w:r>
      <w:r>
        <w:rPr>
          <w:rtl/>
          <w:lang w:bidi="fa-IR"/>
        </w:rPr>
        <w:t xml:space="preserve"> ».</w:t>
      </w:r>
    </w:p>
    <w:p w:rsidR="00992664" w:rsidRPr="00020424" w:rsidRDefault="00992664" w:rsidP="00992664">
      <w:pPr>
        <w:pStyle w:val="libNormal"/>
        <w:rPr>
          <w:rtl/>
          <w:lang w:bidi="fa-IR"/>
        </w:rPr>
      </w:pPr>
      <w:r w:rsidRPr="00020424">
        <w:rPr>
          <w:rtl/>
          <w:lang w:bidi="fa-IR"/>
        </w:rPr>
        <w:t>فَقُلْتُ : وَمَا يَنْبَغِي لَنَا أَنْ نَفْعَلَ فِي ذلِكَ الْيَوْمِ</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F37BF7" w:rsidP="00992664">
      <w:pPr>
        <w:pStyle w:val="libFootnote0"/>
        <w:rPr>
          <w:rtl/>
          <w:lang w:bidi="fa-IR"/>
        </w:rPr>
      </w:pPr>
      <w:r>
        <w:rPr>
          <w:rFonts w:hint="cs"/>
          <w:rtl/>
        </w:rPr>
        <w:t xml:space="preserve">= </w:t>
      </w:r>
      <w:r w:rsidR="00992664" w:rsidRPr="00020424">
        <w:rPr>
          <w:rtl/>
        </w:rPr>
        <w:t xml:space="preserve">الرضا </w:t>
      </w:r>
      <w:r w:rsidR="00992664" w:rsidRPr="00D64ADA">
        <w:rPr>
          <w:rStyle w:val="libFootnoteAlaemChar"/>
          <w:rtl/>
        </w:rPr>
        <w:t>عليه‌السلام</w:t>
      </w:r>
      <w:r w:rsidR="00992664" w:rsidRPr="00020424">
        <w:rPr>
          <w:rtl/>
        </w:rPr>
        <w:t xml:space="preserve"> ، من قوله : « وفي خمسة وعشرين من ذي القعدة » ؛ </w:t>
      </w:r>
      <w:r w:rsidR="00992664" w:rsidRPr="0012008A">
        <w:rPr>
          <w:rStyle w:val="libFootnoteBoldChar"/>
          <w:rtl/>
        </w:rPr>
        <w:t>التهذيب</w:t>
      </w:r>
      <w:r w:rsidR="00DF1B7B">
        <w:rPr>
          <w:rtl/>
        </w:rPr>
        <w:t xml:space="preserve"> ، ج 4 ، ص 305 ، ضمن ح 922</w:t>
      </w:r>
      <w:r w:rsidR="00992664" w:rsidRPr="00020424">
        <w:rPr>
          <w:rtl/>
        </w:rPr>
        <w:t xml:space="preserve">، بسند آخر عن أبي الحسن عليّ بن محمّد </w:t>
      </w:r>
      <w:r w:rsidR="00992664" w:rsidRPr="00D64ADA">
        <w:rPr>
          <w:rStyle w:val="libFootnoteAlaemChar"/>
          <w:rtl/>
        </w:rPr>
        <w:t>عليه‌السلام</w:t>
      </w:r>
      <w:r w:rsidR="00992664" w:rsidRPr="00020424">
        <w:rPr>
          <w:rtl/>
        </w:rPr>
        <w:t xml:space="preserve"> ، وفي الأخيرين إلى قوله : « مثابة للناس وأمناً فمن صام ذلك اليوم كتب الله له صيام ستّين شهراً » مع اختلاف يسير وزيادة. وفي </w:t>
      </w:r>
      <w:r w:rsidR="00992664" w:rsidRPr="0012008A">
        <w:rPr>
          <w:rStyle w:val="libFootnoteBoldChar"/>
          <w:rtl/>
        </w:rPr>
        <w:t>ثواب الأعمال</w:t>
      </w:r>
      <w:r w:rsidR="00992664" w:rsidRPr="00020424">
        <w:rPr>
          <w:rtl/>
        </w:rPr>
        <w:t xml:space="preserve"> ، ص 83 ، ح 5 ؛ </w:t>
      </w:r>
      <w:r w:rsidR="00992664" w:rsidRPr="00D27EE2">
        <w:rPr>
          <w:rStyle w:val="libFootnoteBoldChar"/>
          <w:rtl/>
        </w:rPr>
        <w:t>وفضائل الأشهر الثلاثة</w:t>
      </w:r>
      <w:r w:rsidR="00992664" w:rsidRPr="00020424">
        <w:rPr>
          <w:rtl/>
        </w:rPr>
        <w:t xml:space="preserve">، ص 20 ، ح 7 ، بسند آخر عن أبي الحسن الرضا </w:t>
      </w:r>
      <w:r w:rsidR="00992664" w:rsidRPr="00D64ADA">
        <w:rPr>
          <w:rStyle w:val="libFootnoteAlaemChar"/>
          <w:rtl/>
        </w:rPr>
        <w:t>عليه‌السلام</w:t>
      </w:r>
      <w:r w:rsidR="00992664" w:rsidRPr="00020424">
        <w:rPr>
          <w:rtl/>
        </w:rPr>
        <w:t xml:space="preserve"> ، إلى قوله : « من رجب فمن صام ذلك اليوم كتب الله له صيام ستّين شهراً » مع اختلاف. </w:t>
      </w:r>
      <w:r w:rsidR="00992664" w:rsidRPr="0012008A">
        <w:rPr>
          <w:rStyle w:val="libFootnoteBoldChar"/>
          <w:rtl/>
        </w:rPr>
        <w:t>الفقيه</w:t>
      </w:r>
      <w:r w:rsidR="00992664" w:rsidRPr="00020424">
        <w:rPr>
          <w:rtl/>
        </w:rPr>
        <w:t xml:space="preserve"> ، ج 2 ، ص 86 ، ح 1806 ، مرسلاً عن موسى بن جعفر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وفيه</w:t>
      </w:r>
      <w:r w:rsidR="00992664" w:rsidRPr="00020424">
        <w:rPr>
          <w:rtl/>
        </w:rPr>
        <w:t xml:space="preserve"> ، ح 1808 ، مرسلاً من دون الإسناد إلى المعصوم </w:t>
      </w:r>
      <w:r w:rsidR="00992664" w:rsidRPr="00D64ADA">
        <w:rPr>
          <w:rStyle w:val="libFootnoteAlaemChar"/>
          <w:rtl/>
        </w:rPr>
        <w:t>عليه‌السلام</w:t>
      </w:r>
      <w:r w:rsidR="00992664" w:rsidRPr="00020424">
        <w:rPr>
          <w:rtl/>
        </w:rPr>
        <w:t xml:space="preserve"> ، وفي الأخيرين من قوله : « وفي أوّل يومٍ من ذي الحجّة » مع اختلاف وزيادة. </w:t>
      </w:r>
      <w:r w:rsidR="00992664" w:rsidRPr="0012008A">
        <w:rPr>
          <w:rStyle w:val="libFootnoteBoldChar"/>
          <w:rtl/>
        </w:rPr>
        <w:t>الفقيه</w:t>
      </w:r>
      <w:r w:rsidR="00992664" w:rsidRPr="00020424">
        <w:rPr>
          <w:rtl/>
        </w:rPr>
        <w:t xml:space="preserve"> ، ج 2 ، ص 241 ، ح 2299 ، مرسلاً عن موسى بن جعفر </w:t>
      </w:r>
      <w:r w:rsidR="00992664" w:rsidRPr="00D64ADA">
        <w:rPr>
          <w:rStyle w:val="libFootnoteAlaemChar"/>
          <w:rtl/>
        </w:rPr>
        <w:t>عليه‌السلام</w:t>
      </w:r>
      <w:r w:rsidR="00992664" w:rsidRPr="00020424">
        <w:rPr>
          <w:rtl/>
        </w:rPr>
        <w:t xml:space="preserve"> ، مع اختلاف وزيادة ؛ </w:t>
      </w:r>
      <w:r w:rsidR="00992664" w:rsidRPr="00DE76B9">
        <w:rPr>
          <w:rStyle w:val="libFootnoteBoldChar"/>
          <w:rtl/>
        </w:rPr>
        <w:t>وفيه</w:t>
      </w:r>
      <w:r w:rsidR="00992664" w:rsidRPr="00020424">
        <w:rPr>
          <w:rtl/>
        </w:rPr>
        <w:t xml:space="preserve"> ، ح 2300 ، مرسلاً عن الرضا </w:t>
      </w:r>
      <w:r w:rsidR="00992664" w:rsidRPr="00D64ADA">
        <w:rPr>
          <w:rStyle w:val="libFootnoteAlaemChar"/>
          <w:rtl/>
        </w:rPr>
        <w:t>عليه‌السلام</w:t>
      </w:r>
      <w:r w:rsidR="00992664" w:rsidRPr="00020424">
        <w:rPr>
          <w:rtl/>
        </w:rPr>
        <w:t xml:space="preserve"> ، مع اختلاف يسير ، وفي الأخيرين من قوله : « وفي خمسة وعشرين من ذي القعدة » إلى قوله : « مثابة للناس وأمناً فمن صام ذلك اليوم كتب الله له صيام ستّين شهراً » </w:t>
      </w:r>
      <w:r w:rsidR="005A7824">
        <w:rPr>
          <w:rFonts w:hint="cs"/>
          <w:rtl/>
        </w:rPr>
        <w:t>.</w:t>
      </w:r>
      <w:r w:rsidR="00992664" w:rsidRPr="0012008A">
        <w:rPr>
          <w:rStyle w:val="libFootnoteBoldChar"/>
          <w:rtl/>
        </w:rPr>
        <w:t>الوافي</w:t>
      </w:r>
      <w:r w:rsidR="00992664" w:rsidRPr="00020424">
        <w:rPr>
          <w:rtl/>
        </w:rPr>
        <w:t xml:space="preserve"> ، ج 11 ، ص 54 ، ح 10399 ؛ </w:t>
      </w:r>
      <w:r w:rsidR="00992664" w:rsidRPr="0012008A">
        <w:rPr>
          <w:rStyle w:val="libFootnoteBoldChar"/>
          <w:rtl/>
        </w:rPr>
        <w:t>الوسائل</w:t>
      </w:r>
      <w:r w:rsidR="00992664" w:rsidRPr="00020424">
        <w:rPr>
          <w:rtl/>
        </w:rPr>
        <w:t xml:space="preserve"> ، ج 10 ، ص 448 ، ح 13812 ، إلى قوله : « من رجب فمن صام ذلك اليوم كتب الله له صيام ستّين شهراً » ؛ </w:t>
      </w:r>
      <w:r w:rsidR="00992664" w:rsidRPr="0012008A">
        <w:rPr>
          <w:rStyle w:val="libFootnoteBoldChar"/>
          <w:rtl/>
        </w:rPr>
        <w:t>البحار</w:t>
      </w:r>
      <w:r w:rsidR="00992664" w:rsidRPr="00020424">
        <w:rPr>
          <w:rtl/>
        </w:rPr>
        <w:t xml:space="preserve"> ، ج 12 ، ص 31 ، ح 7 ، وتمام الرواية فيه : « في أوّل يوم من ذي الحجّة ولد إبراهيم خليل الرحمن </w:t>
      </w:r>
      <w:r w:rsidR="00992664" w:rsidRPr="00D64ADA">
        <w:rPr>
          <w:rStyle w:val="libFootnoteAlaemChar"/>
          <w:rtl/>
        </w:rPr>
        <w:t>عليه‌السلام</w:t>
      </w:r>
      <w:r w:rsidR="00992664">
        <w:rPr>
          <w:rtl/>
        </w:rPr>
        <w:t xml:space="preserve"> ».</w:t>
      </w:r>
    </w:p>
    <w:p w:rsidR="00992664" w:rsidRPr="00020424" w:rsidRDefault="00795177" w:rsidP="005A7824">
      <w:pPr>
        <w:pStyle w:val="libFootnote0"/>
        <w:rPr>
          <w:rtl/>
          <w:lang w:bidi="fa-IR"/>
        </w:rPr>
      </w:pPr>
      <w:r>
        <w:rPr>
          <w:rtl/>
        </w:rPr>
        <w:t>(1).</w:t>
      </w:r>
      <w:r w:rsidR="0014403D">
        <w:rPr>
          <w:rtl/>
        </w:rPr>
        <w:t xml:space="preserve"> </w:t>
      </w:r>
      <w:r w:rsidR="00992664" w:rsidRPr="00020424">
        <w:rPr>
          <w:rtl/>
        </w:rPr>
        <w:t>في حاشية « جر » : + « عن عبد الوهّاب</w:t>
      </w:r>
      <w:r w:rsidR="00992664">
        <w:rPr>
          <w:rtl/>
        </w:rPr>
        <w:t xml:space="preserve"> ».</w:t>
      </w:r>
      <w:r w:rsidR="00992664" w:rsidRPr="00020424">
        <w:rPr>
          <w:rtl/>
        </w:rPr>
        <w:t xml:space="preserve"> هذا ، والسند معلّق على سابقه. ويروي عن سهل بن زياد ، عدّة من أصحابنا.</w:t>
      </w:r>
      <w:r w:rsidR="005A7824">
        <w:rPr>
          <w:rFonts w:hint="cs"/>
          <w:rtl/>
        </w:rPr>
        <w:t xml:space="preserve">                                    </w:t>
      </w:r>
      <w:r w:rsidR="00ED2CE9">
        <w:rPr>
          <w:rFonts w:hint="cs"/>
          <w:rtl/>
        </w:rPr>
        <w:t xml:space="preserve">     </w:t>
      </w:r>
      <w:r w:rsidR="005A7824">
        <w:rPr>
          <w:rFonts w:hint="cs"/>
          <w:rtl/>
        </w:rPr>
        <w:t xml:space="preserve">  </w:t>
      </w: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فقلت : أيّ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استفرس </w:t>
      </w:r>
      <w:r w:rsidR="00992664" w:rsidRPr="00D64ADA">
        <w:rPr>
          <w:rStyle w:val="libFootnoteAlaemChar"/>
          <w:rtl/>
        </w:rPr>
        <w:t>عليه‌السلام</w:t>
      </w:r>
      <w:r w:rsidR="00992664" w:rsidRPr="00020424">
        <w:rPr>
          <w:rtl/>
        </w:rPr>
        <w:t xml:space="preserve"> من قول السائل : أيّ يوم هو</w:t>
      </w:r>
      <w:r w:rsidR="00992664">
        <w:rPr>
          <w:rtl/>
        </w:rPr>
        <w:t>؟</w:t>
      </w:r>
      <w:r w:rsidR="00992664" w:rsidRPr="00020424">
        <w:rPr>
          <w:rtl/>
        </w:rPr>
        <w:t xml:space="preserve"> أنّه يريد أنّه أيّ يوم هو من الأسابيع ، ولهذا أجابه من أنّ‌السنة تدور وأشهرها تدور بالأسابيع وأنّ المعتبر في ذلك تعيينه بالشهر لا بالا</w:t>
      </w:r>
      <w:r w:rsidR="00A940F0">
        <w:rPr>
          <w:rFonts w:hint="cs"/>
          <w:rtl/>
        </w:rPr>
        <w:t>ُ</w:t>
      </w:r>
      <w:r w:rsidR="00992664" w:rsidRPr="00020424">
        <w:rPr>
          <w:rtl/>
        </w:rPr>
        <w:t>سبوع</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 تَذْكُرُونَ اللهَ</w:t>
      </w:r>
      <w:r>
        <w:rPr>
          <w:rtl/>
          <w:lang w:bidi="fa-IR"/>
        </w:rPr>
        <w:t xml:space="preserve"> </w:t>
      </w:r>
      <w:r w:rsidR="009B673F">
        <w:rPr>
          <w:rtl/>
          <w:lang w:bidi="fa-IR"/>
        </w:rPr>
        <w:t>-</w:t>
      </w:r>
      <w:r>
        <w:rPr>
          <w:rtl/>
          <w:lang w:bidi="fa-IR"/>
        </w:rPr>
        <w:t xml:space="preserve"> </w:t>
      </w:r>
      <w:r w:rsidRPr="00020424">
        <w:rPr>
          <w:rtl/>
          <w:lang w:bidi="fa-IR"/>
        </w:rPr>
        <w:t>عَزَّ ذِكْرُهُ</w:t>
      </w:r>
      <w:r>
        <w:rPr>
          <w:rtl/>
          <w:lang w:bidi="fa-IR"/>
        </w:rPr>
        <w:t xml:space="preserve"> </w:t>
      </w:r>
      <w:r w:rsidR="009B673F">
        <w:rPr>
          <w:rtl/>
          <w:lang w:bidi="fa-IR"/>
        </w:rPr>
        <w:t>-</w:t>
      </w:r>
      <w:r>
        <w:rPr>
          <w:rtl/>
          <w:lang w:bidi="fa-IR"/>
        </w:rPr>
        <w:t xml:space="preserve"> </w:t>
      </w:r>
      <w:r w:rsidRPr="00020424">
        <w:rPr>
          <w:rtl/>
          <w:lang w:bidi="fa-IR"/>
        </w:rPr>
        <w:t xml:space="preserve">فِيهِ بِالصِّيَامِ وَالْعِبَادَةِ وَالذِّكْرِ لِمُحَمَّدٍ وَآلِ مُحَمَّدٍ ؛ فَإِنَّ رَسُولَ اللهِ </w:t>
      </w:r>
      <w:r w:rsidR="00B42914" w:rsidRPr="00B42914">
        <w:rPr>
          <w:rStyle w:val="libAlaemChar"/>
          <w:rtl/>
        </w:rPr>
        <w:t>صلى‌الله‌عليه‌وآله‌</w:t>
      </w:r>
      <w:r w:rsidRPr="00020424">
        <w:rPr>
          <w:rtl/>
          <w:lang w:bidi="fa-IR"/>
        </w:rPr>
        <w:t xml:space="preserve"> أَوْصى أَمِيرَ الْمُؤْمِنِينَ </w:t>
      </w:r>
      <w:r w:rsidRPr="00005A81">
        <w:rPr>
          <w:rStyle w:val="libAlaemChar"/>
          <w:rtl/>
        </w:rPr>
        <w:t>عليه‌السلام</w:t>
      </w:r>
      <w:r w:rsidRPr="00020424">
        <w:rPr>
          <w:rtl/>
          <w:lang w:bidi="fa-IR"/>
        </w:rPr>
        <w:t xml:space="preserve"> أَنْ يَتَّخِذَ ذلِكَ الْيَوْمَ عِيداً ، وَكَذلِكَ كَانَتِ الْأَنْبِيَاءُ </w:t>
      </w:r>
      <w:r w:rsidRPr="00005A81">
        <w:rPr>
          <w:rStyle w:val="libAlaemChar"/>
          <w:rtl/>
        </w:rPr>
        <w:t>عليهم‌السلام</w:t>
      </w:r>
      <w:r w:rsidRPr="00020424">
        <w:rPr>
          <w:rtl/>
          <w:lang w:bidi="fa-IR"/>
        </w:rPr>
        <w:t xml:space="preserve"> تَفْعَلُ ، كَانُوا يُوصُونَ أَوْصِيَاءَهُمْ بِذلِكَ ، فَيَتَّخِذُونَهُ عِيداً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E33730">
        <w:rPr>
          <w:rtl/>
        </w:rPr>
        <w:t>6591</w:t>
      </w:r>
      <w:r w:rsidRPr="001155DE">
        <w:rPr>
          <w:rStyle w:val="libBold2Char"/>
          <w:rtl/>
        </w:rPr>
        <w:t xml:space="preserve"> / 4.</w:t>
      </w:r>
      <w:r w:rsidRPr="00020424">
        <w:rPr>
          <w:rtl/>
          <w:lang w:bidi="fa-IR"/>
        </w:rPr>
        <w:t xml:space="preserve"> عِدَّةٌ مِنْ أَصْحَابِنَا ، عَنْ سَهْلِ بْنِ زِيَادٍ ، عَنْ يُوسُفَ بْنِ السُّخْتِ ، عَنْ حَمْدَانَ بْنِ النَّضْرِ ، عَنْ مُحَمَّدِ بْنِ عَبْدِ اللهِ </w:t>
      </w:r>
      <w:r w:rsidRPr="00A91B96">
        <w:rPr>
          <w:rStyle w:val="libFootnotenumChar"/>
          <w:rtl/>
        </w:rPr>
        <w:t>(2)</w:t>
      </w:r>
      <w:r w:rsidRPr="00020424">
        <w:rPr>
          <w:rtl/>
          <w:lang w:bidi="fa-IR"/>
        </w:rPr>
        <w:t xml:space="preserve"> الصَّيْقَلِ ، قَالَ :</w:t>
      </w:r>
    </w:p>
    <w:p w:rsidR="00992664" w:rsidRPr="00020424" w:rsidRDefault="00992664" w:rsidP="00992664">
      <w:pPr>
        <w:pStyle w:val="libNormal"/>
        <w:rPr>
          <w:rtl/>
          <w:lang w:bidi="fa-IR"/>
        </w:rPr>
      </w:pPr>
      <w:r w:rsidRPr="00020424">
        <w:rPr>
          <w:rtl/>
          <w:lang w:bidi="fa-IR"/>
        </w:rPr>
        <w:t xml:space="preserve">خَرَجَ عَلَيْنَا أَبُو الْحَسَنِ يَعْنِي الرِّضَا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فِي </w:t>
      </w:r>
      <w:r w:rsidRPr="00A91B96">
        <w:rPr>
          <w:rStyle w:val="libFootnotenumChar"/>
          <w:rtl/>
        </w:rPr>
        <w:t>(4)</w:t>
      </w:r>
      <w:r w:rsidRPr="00020424">
        <w:rPr>
          <w:rtl/>
          <w:lang w:bidi="fa-IR"/>
        </w:rPr>
        <w:t xml:space="preserve"> يَوْمِ خَمْسَةٍ وَعِشْرِينَ مِنْ ذِي الْقَعْدَةِ ، فَقَالَ : « صُومُوا ؛ فَإِنِّي أَصْبَحْتُ صَائِماً</w:t>
      </w:r>
      <w:r>
        <w:rPr>
          <w:rtl/>
          <w:lang w:bidi="fa-IR"/>
        </w:rPr>
        <w:t xml:space="preserve"> ».</w:t>
      </w:r>
    </w:p>
    <w:p w:rsidR="00992664" w:rsidRPr="00020424" w:rsidRDefault="00992664" w:rsidP="00A11F1A">
      <w:pPr>
        <w:pStyle w:val="libNormal"/>
        <w:rPr>
          <w:rtl/>
          <w:lang w:bidi="fa-IR"/>
        </w:rPr>
      </w:pPr>
      <w:r w:rsidRPr="00020424">
        <w:rPr>
          <w:rtl/>
          <w:lang w:bidi="fa-IR"/>
        </w:rPr>
        <w:t xml:space="preserve">قُلْنَا : جُعِلْنَا </w:t>
      </w:r>
      <w:r w:rsidRPr="00A91B96">
        <w:rPr>
          <w:rStyle w:val="libFootnotenumChar"/>
          <w:rtl/>
        </w:rPr>
        <w:t>(5)</w:t>
      </w:r>
      <w:r w:rsidRPr="00020424">
        <w:rPr>
          <w:rtl/>
          <w:lang w:bidi="fa-IR"/>
        </w:rPr>
        <w:t xml:space="preserve"> فِدَاكَ ، أَيُّ يَوْمٍ هُوَ</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يَوْمٌ نُشِرَتْ فِيهِ الرَّحْمَةُ ، وَدُحِيَتْ </w:t>
      </w:r>
      <w:r w:rsidRPr="00A91B96">
        <w:rPr>
          <w:rStyle w:val="libFootnotenumChar"/>
          <w:rtl/>
        </w:rPr>
        <w:t>(7)</w:t>
      </w:r>
      <w:r w:rsidRPr="00020424">
        <w:rPr>
          <w:rtl/>
          <w:lang w:bidi="fa-IR"/>
        </w:rPr>
        <w:t xml:space="preserve"> فِيهِ الْأَرْضُ ، وَنُصِبَتْ </w:t>
      </w:r>
      <w:r w:rsidRPr="00A91B96">
        <w:rPr>
          <w:rStyle w:val="libFootnotenumChar"/>
          <w:rtl/>
        </w:rPr>
        <w:t>(8)</w:t>
      </w:r>
      <w:r w:rsidRPr="00020424">
        <w:rPr>
          <w:rtl/>
          <w:lang w:bidi="fa-IR"/>
        </w:rPr>
        <w:t xml:space="preserve"> فِيهِ الْكَعْبَةُ ، وَهَبَطَ فِيهِ آدَمُ </w:t>
      </w:r>
      <w:r w:rsidRPr="00005A81">
        <w:rPr>
          <w:rStyle w:val="libAlaemChar"/>
          <w:rtl/>
        </w:rPr>
        <w:t>عليه‌السلام</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Heading2Center"/>
        <w:rPr>
          <w:rtl/>
          <w:lang w:bidi="fa-IR"/>
        </w:rPr>
      </w:pPr>
      <w:bookmarkStart w:id="497" w:name="_Toc345172882"/>
      <w:bookmarkStart w:id="498" w:name="_Toc464562697"/>
      <w:bookmarkStart w:id="499" w:name="_Toc44600003"/>
      <w:r w:rsidRPr="00020424">
        <w:rPr>
          <w:rtl/>
          <w:lang w:bidi="fa-IR"/>
        </w:rPr>
        <w:t>64</w:t>
      </w:r>
      <w:r>
        <w:rPr>
          <w:rtl/>
          <w:lang w:bidi="fa-IR"/>
        </w:rPr>
        <w:t xml:space="preserve"> </w:t>
      </w:r>
      <w:r w:rsidR="009B673F">
        <w:rPr>
          <w:rtl/>
          <w:lang w:bidi="fa-IR"/>
        </w:rPr>
        <w:t>-</w:t>
      </w:r>
      <w:r>
        <w:rPr>
          <w:rtl/>
          <w:lang w:bidi="fa-IR"/>
        </w:rPr>
        <w:t xml:space="preserve"> </w:t>
      </w:r>
      <w:r w:rsidRPr="00020424">
        <w:rPr>
          <w:rtl/>
          <w:lang w:bidi="fa-IR"/>
        </w:rPr>
        <w:t xml:space="preserve">بَابُ فَضْلِ </w:t>
      </w:r>
      <w:r w:rsidRPr="00E33730">
        <w:rPr>
          <w:rtl/>
        </w:rPr>
        <w:t>إِفْطَارِ</w:t>
      </w:r>
      <w:r w:rsidRPr="00020424">
        <w:rPr>
          <w:rtl/>
          <w:lang w:bidi="fa-IR"/>
        </w:rPr>
        <w:t xml:space="preserve"> الرَّجُلِ عِنْدَ أَخِيهِ إِذَا سَأَلَهُ‌</w:t>
      </w:r>
      <w:bookmarkEnd w:id="497"/>
      <w:bookmarkEnd w:id="498"/>
      <w:bookmarkEnd w:id="499"/>
    </w:p>
    <w:p w:rsidR="00992664" w:rsidRPr="00020424" w:rsidRDefault="00992664" w:rsidP="00992664">
      <w:pPr>
        <w:pStyle w:val="libNormal"/>
        <w:rPr>
          <w:rtl/>
          <w:lang w:bidi="fa-IR"/>
        </w:rPr>
      </w:pPr>
      <w:r w:rsidRPr="00E33730">
        <w:rPr>
          <w:rtl/>
        </w:rPr>
        <w:t>6592</w:t>
      </w:r>
      <w:r w:rsidRPr="001155DE">
        <w:rPr>
          <w:rStyle w:val="libBold2Char"/>
          <w:rtl/>
        </w:rPr>
        <w:t xml:space="preserve"> / 1.</w:t>
      </w:r>
      <w:r w:rsidRPr="00020424">
        <w:rPr>
          <w:rtl/>
          <w:lang w:bidi="fa-IR"/>
        </w:rPr>
        <w:t xml:space="preserve"> عِدَّةٌ مِنْ أَصْحَابِنَا ، عَنْ سَهْلِ بْنِ زِيَادٍ ، عَنِ الْحَسَنِ بْنِ مَحْبُوبٍ ، عَنْ إِسْحَاقَ بْنِ عَمَّارٍ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52 ، ح 10395 ؛ </w:t>
      </w:r>
      <w:r w:rsidR="00992664" w:rsidRPr="0012008A">
        <w:rPr>
          <w:rStyle w:val="libFootnoteBoldChar"/>
          <w:rtl/>
        </w:rPr>
        <w:t>الوسائل</w:t>
      </w:r>
      <w:r w:rsidR="00992664" w:rsidRPr="00020424">
        <w:rPr>
          <w:rtl/>
        </w:rPr>
        <w:t xml:space="preserve"> ، ج 10 ، ص 440 ، ح 13794 ؛ </w:t>
      </w:r>
      <w:r w:rsidR="00992664" w:rsidRPr="0012008A">
        <w:rPr>
          <w:rStyle w:val="libFootnoteBoldChar"/>
          <w:rtl/>
        </w:rPr>
        <w:t>البحار</w:t>
      </w:r>
      <w:r w:rsidR="00992664" w:rsidRPr="00020424">
        <w:rPr>
          <w:rtl/>
        </w:rPr>
        <w:t xml:space="preserve"> ، ج 37 ، ص 172 ، ح 54.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بن</w:t>
      </w:r>
      <w:r w:rsidR="00992664">
        <w:rPr>
          <w:rtl/>
        </w:rPr>
        <w:t xml:space="preserve"> ».</w:t>
      </w:r>
      <w:r w:rsidR="00992664" w:rsidRPr="00020424">
        <w:rPr>
          <w:rtl/>
        </w:rPr>
        <w:t xml:space="preserve"> لكنّه غير مذكور في بعض نسخه المعتبرة.</w:t>
      </w:r>
    </w:p>
    <w:tbl>
      <w:tblPr>
        <w:tblStyle w:val="TableGrid"/>
        <w:bidiVisual/>
        <w:tblW w:w="0" w:type="auto"/>
        <w:tblLook w:val="04A0" w:firstRow="1" w:lastRow="0" w:firstColumn="1" w:lastColumn="0" w:noHBand="0" w:noVBand="1"/>
      </w:tblPr>
      <w:tblGrid>
        <w:gridCol w:w="4006"/>
        <w:gridCol w:w="4006"/>
      </w:tblGrid>
      <w:tr w:rsidR="00A11F1A" w:rsidTr="00A11F1A">
        <w:tc>
          <w:tcPr>
            <w:tcW w:w="4006" w:type="dxa"/>
          </w:tcPr>
          <w:p w:rsidR="00A11F1A" w:rsidRDefault="00A11F1A" w:rsidP="00992664">
            <w:pPr>
              <w:pStyle w:val="libFootnote0"/>
              <w:rPr>
                <w:rtl/>
              </w:rPr>
            </w:pPr>
            <w:r>
              <w:rPr>
                <w:rtl/>
              </w:rPr>
              <w:t xml:space="preserve">(3). </w:t>
            </w:r>
            <w:r w:rsidRPr="00020424">
              <w:rPr>
                <w:rtl/>
              </w:rPr>
              <w:t xml:space="preserve">في </w:t>
            </w:r>
            <w:r w:rsidRPr="00A11F1A">
              <w:rPr>
                <w:rtl/>
              </w:rPr>
              <w:t>الوافي والتهذيب</w:t>
            </w:r>
            <w:r w:rsidRPr="00020424">
              <w:rPr>
                <w:rtl/>
              </w:rPr>
              <w:t xml:space="preserve"> : + « بمرو</w:t>
            </w:r>
            <w:r>
              <w:rPr>
                <w:rtl/>
              </w:rPr>
              <w:t xml:space="preserve"> ».</w:t>
            </w:r>
          </w:p>
        </w:tc>
        <w:tc>
          <w:tcPr>
            <w:tcW w:w="4006" w:type="dxa"/>
          </w:tcPr>
          <w:p w:rsidR="00A11F1A" w:rsidRDefault="00A11F1A" w:rsidP="00992664">
            <w:pPr>
              <w:pStyle w:val="libFootnote0"/>
              <w:rPr>
                <w:rtl/>
              </w:rPr>
            </w:pPr>
            <w:r>
              <w:rPr>
                <w:rtl/>
              </w:rPr>
              <w:t xml:space="preserve">(4). </w:t>
            </w:r>
            <w:r w:rsidRPr="00020424">
              <w:rPr>
                <w:rtl/>
              </w:rPr>
              <w:t>في « بر ، بث » :</w:t>
            </w:r>
            <w:r>
              <w:rPr>
                <w:rtl/>
              </w:rPr>
              <w:t xml:space="preserve"> - </w:t>
            </w:r>
            <w:r w:rsidRPr="00020424">
              <w:rPr>
                <w:rtl/>
              </w:rPr>
              <w:t>« في</w:t>
            </w:r>
            <w:r>
              <w:rPr>
                <w:rtl/>
              </w:rPr>
              <w:t xml:space="preserve"> ».</w:t>
            </w:r>
          </w:p>
        </w:tc>
      </w:tr>
      <w:tr w:rsidR="00A11F1A" w:rsidTr="00A11F1A">
        <w:tc>
          <w:tcPr>
            <w:tcW w:w="4006" w:type="dxa"/>
          </w:tcPr>
          <w:p w:rsidR="00A11F1A" w:rsidRDefault="00A11F1A" w:rsidP="00992664">
            <w:pPr>
              <w:pStyle w:val="libFootnote0"/>
              <w:rPr>
                <w:rtl/>
              </w:rPr>
            </w:pPr>
            <w:r>
              <w:rPr>
                <w:rtl/>
              </w:rPr>
              <w:t xml:space="preserve">(5). </w:t>
            </w:r>
            <w:r w:rsidRPr="00020424">
              <w:rPr>
                <w:rtl/>
              </w:rPr>
              <w:t xml:space="preserve">في </w:t>
            </w:r>
            <w:r w:rsidRPr="00A11F1A">
              <w:rPr>
                <w:rtl/>
              </w:rPr>
              <w:t>التهذيب</w:t>
            </w:r>
            <w:r w:rsidRPr="00020424">
              <w:rPr>
                <w:rtl/>
              </w:rPr>
              <w:t xml:space="preserve"> : + « الله</w:t>
            </w:r>
            <w:r>
              <w:rPr>
                <w:rtl/>
              </w:rPr>
              <w:t xml:space="preserve"> ».</w:t>
            </w:r>
          </w:p>
        </w:tc>
        <w:tc>
          <w:tcPr>
            <w:tcW w:w="4006" w:type="dxa"/>
          </w:tcPr>
          <w:p w:rsidR="00A11F1A" w:rsidRDefault="00A11F1A" w:rsidP="00992664">
            <w:pPr>
              <w:pStyle w:val="libFootnote0"/>
              <w:rPr>
                <w:rtl/>
              </w:rPr>
            </w:pPr>
            <w:r>
              <w:rPr>
                <w:rtl/>
              </w:rPr>
              <w:t xml:space="preserve">(6). </w:t>
            </w:r>
            <w:r w:rsidRPr="00020424">
              <w:rPr>
                <w:rtl/>
              </w:rPr>
              <w:t xml:space="preserve">في </w:t>
            </w:r>
            <w:r w:rsidRPr="00A11F1A">
              <w:rPr>
                <w:rtl/>
              </w:rPr>
              <w:t>الوسائل والتهذيب</w:t>
            </w:r>
            <w:r w:rsidRPr="00020424">
              <w:rPr>
                <w:rtl/>
              </w:rPr>
              <w:t xml:space="preserve"> : « قال</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دَحْوُ الأرض : بسطها. راجع : </w:t>
      </w:r>
      <w:r w:rsidR="00992664" w:rsidRPr="0012008A">
        <w:rPr>
          <w:rStyle w:val="libFootnoteBoldChar"/>
          <w:rtl/>
        </w:rPr>
        <w:t>الصحاح</w:t>
      </w:r>
      <w:r w:rsidR="00992664" w:rsidRPr="00020424">
        <w:rPr>
          <w:rtl/>
        </w:rPr>
        <w:t xml:space="preserve"> ، ج 6 ، ص 2334 ؛ </w:t>
      </w:r>
      <w:r w:rsidR="00992664" w:rsidRPr="0012008A">
        <w:rPr>
          <w:rStyle w:val="libFootnoteBoldChar"/>
          <w:rtl/>
        </w:rPr>
        <w:t>النهاية</w:t>
      </w:r>
      <w:r w:rsidR="00992664" w:rsidRPr="00020424">
        <w:rPr>
          <w:rtl/>
        </w:rPr>
        <w:t xml:space="preserve"> ، ج 2 ، ص 106 ( دحا )</w:t>
      </w:r>
      <w:r w:rsidR="00992664">
        <w:rPr>
          <w:rtl/>
        </w:rPr>
        <w:t>.</w:t>
      </w:r>
    </w:p>
    <w:p w:rsidR="00992664" w:rsidRPr="00020424" w:rsidRDefault="00992664" w:rsidP="00A11F1A">
      <w:pPr>
        <w:pStyle w:val="libFootnote0"/>
        <w:rPr>
          <w:rtl/>
          <w:lang w:bidi="fa-IR"/>
        </w:rPr>
      </w:pPr>
      <w:r w:rsidRPr="00A11F1A">
        <w:rPr>
          <w:rtl/>
        </w:rPr>
        <w:t xml:space="preserve">هذا ، وعلى ظاهر هذا الخبر إشكال أورده بعض المتأخّرين من الأصحاب على يوم الدحو ، ذكره وأجاب عنه في </w:t>
      </w:r>
      <w:r w:rsidRPr="00DE76B9">
        <w:rPr>
          <w:rStyle w:val="libFootnoteBoldChar"/>
          <w:rtl/>
        </w:rPr>
        <w:t>منتقى الجمان</w:t>
      </w:r>
      <w:r w:rsidRPr="00A11F1A">
        <w:rPr>
          <w:rtl/>
        </w:rPr>
        <w:t xml:space="preserve"> ، ج 2 ، ص 539.</w:t>
      </w:r>
      <w:r w:rsidR="00A11F1A">
        <w:rPr>
          <w:rFonts w:hint="cs"/>
          <w:rtl/>
        </w:rPr>
        <w:t xml:space="preserve"> </w:t>
      </w:r>
      <w:r w:rsidR="00DF1B7B">
        <w:rPr>
          <w:rFonts w:hint="cs"/>
          <w:rtl/>
        </w:rPr>
        <w:t xml:space="preserve">                               </w:t>
      </w:r>
      <w:r w:rsidR="00795177">
        <w:rPr>
          <w:rtl/>
        </w:rPr>
        <w:t>(8).</w:t>
      </w:r>
      <w:r w:rsidR="0014403D">
        <w:rPr>
          <w:rtl/>
        </w:rPr>
        <w:t xml:space="preserve"> </w:t>
      </w:r>
      <w:r w:rsidRPr="00020424">
        <w:rPr>
          <w:rtl/>
        </w:rPr>
        <w:t>في « بح » : « وفصّلت</w:t>
      </w:r>
      <w:r>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304 ، ح 920 ، معلّقاً عن الكليني </w:t>
      </w:r>
      <w:r w:rsidR="00A11F1A">
        <w:rPr>
          <w:rFonts w:hint="cs"/>
          <w:rtl/>
        </w:rPr>
        <w:t>.</w:t>
      </w:r>
      <w:r w:rsidR="00992664" w:rsidRPr="0012008A">
        <w:rPr>
          <w:rStyle w:val="libFootnoteBoldChar"/>
          <w:rtl/>
        </w:rPr>
        <w:t>الوافي</w:t>
      </w:r>
      <w:r w:rsidR="00992664" w:rsidRPr="00020424">
        <w:rPr>
          <w:rtl/>
        </w:rPr>
        <w:t xml:space="preserve"> ، ج 11 ، ص 54 ، ح 10400 ؛ </w:t>
      </w:r>
      <w:r w:rsidR="00992664" w:rsidRPr="0012008A">
        <w:rPr>
          <w:rStyle w:val="libFootnoteBoldChar"/>
          <w:rtl/>
        </w:rPr>
        <w:t>الوسائل</w:t>
      </w:r>
      <w:r w:rsidR="00992664" w:rsidRPr="00020424">
        <w:rPr>
          <w:rtl/>
        </w:rPr>
        <w:t xml:space="preserve"> ، ج 10 ، ص 450 ، ح 13819 ؛ وفي </w:t>
      </w:r>
      <w:r w:rsidR="00992664" w:rsidRPr="0012008A">
        <w:rPr>
          <w:rStyle w:val="libFootnoteBoldChar"/>
          <w:rtl/>
        </w:rPr>
        <w:t>البحار</w:t>
      </w:r>
      <w:r w:rsidR="00992664" w:rsidRPr="00020424">
        <w:rPr>
          <w:rtl/>
        </w:rPr>
        <w:t xml:space="preserve"> ، ج 11 ، ص 217 ، ح 29 ملخّصاً.</w:t>
      </w:r>
    </w:p>
    <w:p w:rsidR="00795177" w:rsidRDefault="00795177" w:rsidP="00795177">
      <w:pPr>
        <w:pStyle w:val="libNormal"/>
        <w:rPr>
          <w:rtl/>
          <w:lang w:bidi="fa-IR"/>
        </w:rPr>
      </w:pPr>
      <w:r>
        <w:rPr>
          <w:rtl/>
          <w:lang w:bidi="fa-IR"/>
        </w:rPr>
        <w:br w:type="page"/>
      </w:r>
    </w:p>
    <w:p w:rsidR="00992664" w:rsidRPr="00020424" w:rsidRDefault="00992664" w:rsidP="00DF1B7B">
      <w:pPr>
        <w:pStyle w:val="libNormal0"/>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إِفْطَارُكَ </w:t>
      </w:r>
      <w:r w:rsidRPr="00A91B96">
        <w:rPr>
          <w:rStyle w:val="libFootnotenumChar"/>
          <w:rtl/>
        </w:rPr>
        <w:t>(1)</w:t>
      </w:r>
      <w:r w:rsidRPr="00020424">
        <w:rPr>
          <w:rtl/>
          <w:lang w:bidi="fa-IR"/>
        </w:rPr>
        <w:t xml:space="preserve"> لِأَخِيكَ الْمُؤْمِنِ أَفْضَلُ مِنْ صِيَامِكَ تَطَوُّعاً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E33730">
        <w:rPr>
          <w:rtl/>
        </w:rPr>
        <w:t>6593</w:t>
      </w:r>
      <w:r w:rsidRPr="001155DE">
        <w:rPr>
          <w:rStyle w:val="libBold2Char"/>
          <w:rtl/>
        </w:rPr>
        <w:t xml:space="preserve"> / 2.</w:t>
      </w:r>
      <w:r w:rsidRPr="00020424">
        <w:rPr>
          <w:rtl/>
          <w:lang w:bidi="fa-IR"/>
        </w:rPr>
        <w:t xml:space="preserve"> عِدَّةٌ مِنْ أَصْحَابِنَا ، عَنْ أَحْمَدَ بْنِ مُحَمَّدٍ ، عَنِ الْبَرْقِيِّ ، عَنِ الْقَاسِمِ بْنِ مُحَمَّدٍ ، عَنِ الْعِيصِ ، عَنْ نَجْمِ بْنِ حُطَيْمٍ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مَنْ نَوَى الصَّوْمَ ، ثُمَّ دَخَلَ عَلى أَخِيهِ ، فَ</w:t>
      </w:r>
      <w:r w:rsidR="00DF1B7B">
        <w:rPr>
          <w:rtl/>
          <w:lang w:bidi="fa-IR"/>
        </w:rPr>
        <w:t>سَأَلَهُ أَنْ يُفْطِرَ عِنْدَهُ</w:t>
      </w:r>
      <w:r w:rsidRPr="00020424">
        <w:rPr>
          <w:rtl/>
          <w:lang w:bidi="fa-IR"/>
        </w:rPr>
        <w:t xml:space="preserve">، فَلْيُفْطِرْ ، وَلْيُدْخِلْ </w:t>
      </w:r>
      <w:r w:rsidRPr="00A91B96">
        <w:rPr>
          <w:rStyle w:val="libFootnotenumChar"/>
          <w:rtl/>
        </w:rPr>
        <w:t>(3)</w:t>
      </w:r>
      <w:r w:rsidRPr="00020424">
        <w:rPr>
          <w:rtl/>
          <w:lang w:bidi="fa-IR"/>
        </w:rPr>
        <w:t xml:space="preserve"> عَلَيْهِ السُّرُورَ ؛ فَإِنَّهُ يُحْتَسَبُ </w:t>
      </w:r>
      <w:r w:rsidRPr="00A91B96">
        <w:rPr>
          <w:rStyle w:val="libFootnotenumChar"/>
          <w:rtl/>
        </w:rPr>
        <w:t>(4)</w:t>
      </w:r>
      <w:r w:rsidRPr="00020424">
        <w:rPr>
          <w:rtl/>
          <w:lang w:bidi="fa-IR"/>
        </w:rPr>
        <w:t xml:space="preserve"> لَهُ </w:t>
      </w:r>
      <w:r w:rsidRPr="00A91B96">
        <w:rPr>
          <w:rStyle w:val="libFootnotenumChar"/>
          <w:rtl/>
        </w:rPr>
        <w:t>(5)</w:t>
      </w:r>
      <w:r w:rsidRPr="00020424">
        <w:rPr>
          <w:rtl/>
          <w:lang w:bidi="fa-IR"/>
        </w:rPr>
        <w:t xml:space="preserve"> بِذلِكَ الْيَوْمِ عَشَرَةُ أَيَّامٍ ، وَهُوَ قَوْلُ اللهِ عَزَّ وَجَلَّ : </w:t>
      </w:r>
      <w:r w:rsidRPr="00005A81">
        <w:rPr>
          <w:rStyle w:val="libAlaemChar"/>
          <w:rtl/>
        </w:rPr>
        <w:t>(</w:t>
      </w:r>
      <w:r w:rsidRPr="004E5AB4">
        <w:rPr>
          <w:rStyle w:val="libAieChar"/>
          <w:rtl/>
        </w:rPr>
        <w:t xml:space="preserve"> مَنْ جاءَ بِالْحَسَنَةِ فَلَهُ عَشْرُ أَمْثالِها </w:t>
      </w:r>
      <w:r w:rsidRPr="00005A81">
        <w:rPr>
          <w:rStyle w:val="libAlaemChar"/>
          <w:rtl/>
        </w:rPr>
        <w:t>)</w:t>
      </w:r>
      <w:r w:rsidRPr="00020424">
        <w:rPr>
          <w:rtl/>
          <w:lang w:bidi="fa-IR"/>
        </w:rPr>
        <w:t xml:space="preserve">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E33730">
        <w:rPr>
          <w:rtl/>
        </w:rPr>
        <w:t>6594</w:t>
      </w:r>
      <w:r w:rsidRPr="001155DE">
        <w:rPr>
          <w:rStyle w:val="libBold2Char"/>
          <w:rtl/>
        </w:rPr>
        <w:t xml:space="preserve"> / 3.</w:t>
      </w:r>
      <w:r w:rsidRPr="00020424">
        <w:rPr>
          <w:rtl/>
          <w:lang w:bidi="fa-IR"/>
        </w:rPr>
        <w:t xml:space="preserve"> مُحَمَّدُ بْنُ يَحْيى ، عَنْ مُحَمَّدِ بْنِ الْحُسَيْنِ ، عَنْ مُحَمَّدِ بْنِ إِسْمَاعِيلَ ، عَنْ صَالِحِ بْنِ عُقْبَةَ ، عَنْ جَمِيلِ بْنِ دَرَّاجٍ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مَنْ دَخَلَ عَلى أَخِيهِ وَهُوَ صَائِمٌ ، فَأَفْطَرَ عِنْدَهُ ، وَلَمْ يُعْلِمْهُ بِصَوْمِهِ فَيَمُنَّ عَلَيْهِ ، كَتَبَ اللهُ لَهُ صَوْمَ سَنَةٍ</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E33730">
        <w:rPr>
          <w:rtl/>
        </w:rPr>
        <w:t>6595</w:t>
      </w:r>
      <w:r w:rsidRPr="001155DE">
        <w:rPr>
          <w:rStyle w:val="libBold2Char"/>
          <w:rtl/>
        </w:rPr>
        <w:t xml:space="preserve"> / 4.</w:t>
      </w:r>
      <w:r w:rsidRPr="00020424">
        <w:rPr>
          <w:rtl/>
          <w:lang w:bidi="fa-IR"/>
        </w:rPr>
        <w:t xml:space="preserve"> مُحَمَّدُ بْنُ يَحْيى ، عَنِ الْحَسَنِ بْنِ عَلِيٍّ الدِّينَوَرِيِّ ، عَنْ مُحَمَّدِ بْنِ عِيسى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w:t>
      </w:r>
      <w:r w:rsidR="00090E7A">
        <w:rPr>
          <w:rFonts w:hint="cs"/>
          <w:rtl/>
        </w:rPr>
        <w:t>ُ</w:t>
      </w:r>
      <w:r w:rsidR="00992664" w:rsidRPr="00020424">
        <w:rPr>
          <w:rtl/>
        </w:rPr>
        <w:t>ريد بالإفطار هنا نقض صيام نفسه قبل إتمامه ، كما يتبيّن من أكثر أخبار هذا الباب ويشعر به تفضيله على صيامه</w:t>
      </w:r>
      <w:r w:rsidR="00992664">
        <w:rPr>
          <w:rtl/>
        </w:rPr>
        <w:t xml:space="preserve"> ».</w:t>
      </w:r>
    </w:p>
    <w:p w:rsidR="00992664" w:rsidRPr="00020424" w:rsidRDefault="00992664" w:rsidP="00992664">
      <w:pPr>
        <w:pStyle w:val="libFootnote0"/>
        <w:rPr>
          <w:rtl/>
          <w:lang w:bidi="fa-IR"/>
        </w:rPr>
      </w:pPr>
      <w:r w:rsidRPr="00090E7A">
        <w:rPr>
          <w:rtl/>
        </w:rPr>
        <w:t xml:space="preserve">وفي </w:t>
      </w:r>
      <w:r w:rsidRPr="00DE76B9">
        <w:rPr>
          <w:rStyle w:val="libFootnoteBoldChar"/>
          <w:rtl/>
        </w:rPr>
        <w:t>مرآة العقول</w:t>
      </w:r>
      <w:r w:rsidRPr="00090E7A">
        <w:rPr>
          <w:rtl/>
        </w:rPr>
        <w:t xml:space="preserve"> ، ج 16 ، ص 372 : « قوله </w:t>
      </w:r>
      <w:r w:rsidRPr="00090E7A">
        <w:rPr>
          <w:rStyle w:val="libFootnoteAlaemChar"/>
          <w:rtl/>
        </w:rPr>
        <w:t>عليه‌السلام</w:t>
      </w:r>
      <w:r w:rsidRPr="00090E7A">
        <w:rPr>
          <w:rtl/>
        </w:rPr>
        <w:t xml:space="preserve"> : إفطارك لأخيك ، أي إفطارك صومك عند أخيك المؤمن لتسرّه. ويحتمل أن يكون المراد تفطيره أخاه المؤمن الصائم بأن تكون اللام زائدة ، لكنّه بعيد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255 ، ح 10804 ؛ </w:t>
      </w:r>
      <w:r w:rsidR="00992664" w:rsidRPr="0012008A">
        <w:rPr>
          <w:rStyle w:val="libFootnoteBoldChar"/>
          <w:rtl/>
        </w:rPr>
        <w:t>الوسائل</w:t>
      </w:r>
      <w:r w:rsidR="00992664" w:rsidRPr="00020424">
        <w:rPr>
          <w:rtl/>
        </w:rPr>
        <w:t xml:space="preserve"> ، ج 10 ، ص 152 ، ح 13086.</w:t>
      </w:r>
    </w:p>
    <w:tbl>
      <w:tblPr>
        <w:tblStyle w:val="TableGrid"/>
        <w:bidiVisual/>
        <w:tblW w:w="0" w:type="auto"/>
        <w:tblLook w:val="04A0" w:firstRow="1" w:lastRow="0" w:firstColumn="1" w:lastColumn="0" w:noHBand="0" w:noVBand="1"/>
      </w:tblPr>
      <w:tblGrid>
        <w:gridCol w:w="4006"/>
        <w:gridCol w:w="4006"/>
      </w:tblGrid>
      <w:tr w:rsidR="00090E7A" w:rsidTr="00090E7A">
        <w:tc>
          <w:tcPr>
            <w:tcW w:w="4006" w:type="dxa"/>
          </w:tcPr>
          <w:p w:rsidR="00090E7A" w:rsidRDefault="00090E7A" w:rsidP="00992664">
            <w:pPr>
              <w:pStyle w:val="libFootnote0"/>
              <w:rPr>
                <w:rtl/>
              </w:rPr>
            </w:pPr>
            <w:r>
              <w:rPr>
                <w:rtl/>
              </w:rPr>
              <w:t xml:space="preserve">(3). </w:t>
            </w:r>
            <w:r w:rsidRPr="00020424">
              <w:rPr>
                <w:rtl/>
              </w:rPr>
              <w:t xml:space="preserve">في </w:t>
            </w:r>
            <w:r w:rsidRPr="00090E7A">
              <w:rPr>
                <w:rtl/>
              </w:rPr>
              <w:t>الوسائل</w:t>
            </w:r>
            <w:r w:rsidRPr="00020424">
              <w:rPr>
                <w:rtl/>
              </w:rPr>
              <w:t xml:space="preserve"> : « فليدخل</w:t>
            </w:r>
            <w:r>
              <w:rPr>
                <w:rtl/>
              </w:rPr>
              <w:t xml:space="preserve"> ».</w:t>
            </w:r>
          </w:p>
        </w:tc>
        <w:tc>
          <w:tcPr>
            <w:tcW w:w="4006" w:type="dxa"/>
          </w:tcPr>
          <w:p w:rsidR="00090E7A" w:rsidRDefault="00090E7A" w:rsidP="00992664">
            <w:pPr>
              <w:pStyle w:val="libFootnote0"/>
              <w:rPr>
                <w:rtl/>
              </w:rPr>
            </w:pPr>
            <w:r>
              <w:rPr>
                <w:rtl/>
              </w:rPr>
              <w:t xml:space="preserve">(4). </w:t>
            </w:r>
            <w:r w:rsidRPr="00020424">
              <w:rPr>
                <w:rtl/>
              </w:rPr>
              <w:t>في « ظ ، ى ، بث » : « يحسب</w:t>
            </w:r>
            <w:r>
              <w:rPr>
                <w:rtl/>
              </w:rPr>
              <w:t xml:space="preserve"> ».</w:t>
            </w:r>
          </w:p>
        </w:tc>
      </w:tr>
      <w:tr w:rsidR="00090E7A" w:rsidTr="00090E7A">
        <w:tc>
          <w:tcPr>
            <w:tcW w:w="4006" w:type="dxa"/>
          </w:tcPr>
          <w:p w:rsidR="00090E7A" w:rsidRDefault="00090E7A" w:rsidP="00992664">
            <w:pPr>
              <w:pStyle w:val="libFootnote0"/>
              <w:rPr>
                <w:rtl/>
              </w:rPr>
            </w:pPr>
            <w:r>
              <w:rPr>
                <w:rtl/>
              </w:rPr>
              <w:t xml:space="preserve">(5). </w:t>
            </w:r>
            <w:r w:rsidRPr="00020424">
              <w:rPr>
                <w:rtl/>
              </w:rPr>
              <w:t>في « بر » :</w:t>
            </w:r>
            <w:r>
              <w:rPr>
                <w:rtl/>
              </w:rPr>
              <w:t xml:space="preserve"> - </w:t>
            </w:r>
            <w:r w:rsidRPr="00020424">
              <w:rPr>
                <w:rtl/>
              </w:rPr>
              <w:t>« له</w:t>
            </w:r>
            <w:r>
              <w:rPr>
                <w:rtl/>
              </w:rPr>
              <w:t xml:space="preserve"> ».</w:t>
            </w:r>
          </w:p>
        </w:tc>
        <w:tc>
          <w:tcPr>
            <w:tcW w:w="4006" w:type="dxa"/>
          </w:tcPr>
          <w:p w:rsidR="00090E7A" w:rsidRDefault="00090E7A" w:rsidP="00992664">
            <w:pPr>
              <w:pStyle w:val="libFootnote0"/>
              <w:rPr>
                <w:rtl/>
              </w:rPr>
            </w:pPr>
            <w:r>
              <w:rPr>
                <w:rtl/>
              </w:rPr>
              <w:t xml:space="preserve">(6). </w:t>
            </w:r>
            <w:r w:rsidRPr="00020424">
              <w:rPr>
                <w:rtl/>
              </w:rPr>
              <w:t xml:space="preserve">الأنعام </w:t>
            </w:r>
            <w:r>
              <w:rPr>
                <w:rtl/>
              </w:rPr>
              <w:t xml:space="preserve">(6) </w:t>
            </w:r>
            <w:r w:rsidRPr="00020424">
              <w:rPr>
                <w:rtl/>
              </w:rPr>
              <w:t>: 160.</w:t>
            </w:r>
          </w:p>
        </w:tc>
      </w:tr>
    </w:tbl>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علل الشرائع</w:t>
      </w:r>
      <w:r w:rsidR="00992664" w:rsidRPr="00020424">
        <w:rPr>
          <w:rtl/>
        </w:rPr>
        <w:t xml:space="preserve"> ، ص 387 ، ح 1 ، بسند آخر عن بعض الصادقين </w:t>
      </w:r>
      <w:r w:rsidR="00992664" w:rsidRPr="00D64ADA">
        <w:rPr>
          <w:rStyle w:val="libFootnoteAlaemChar"/>
          <w:rtl/>
        </w:rPr>
        <w:t>عليهم‌السلام</w:t>
      </w:r>
      <w:r w:rsidR="00992664" w:rsidRPr="00020424">
        <w:rPr>
          <w:rtl/>
        </w:rPr>
        <w:t xml:space="preserve"> ، مع اختلاف. </w:t>
      </w:r>
      <w:r w:rsidR="00992664" w:rsidRPr="00DE76B9">
        <w:rPr>
          <w:rStyle w:val="libFootnoteBoldChar"/>
          <w:rtl/>
        </w:rPr>
        <w:t>تفسير العيّاشي</w:t>
      </w:r>
      <w:r w:rsidR="00992664" w:rsidRPr="00020424">
        <w:rPr>
          <w:rtl/>
        </w:rPr>
        <w:t xml:space="preserve"> ، ج 1 ، ص 386 ، ح 138 ، عن محمّد بن حكيم ، عن أبي جعفر </w:t>
      </w:r>
      <w:r w:rsidR="00992664" w:rsidRPr="00D64ADA">
        <w:rPr>
          <w:rStyle w:val="libFootnoteAlaemChar"/>
          <w:rtl/>
        </w:rPr>
        <w:t>عليه‌السلام</w:t>
      </w:r>
      <w:r w:rsidR="00992664" w:rsidRPr="00020424">
        <w:rPr>
          <w:rtl/>
        </w:rPr>
        <w:t xml:space="preserve"> </w:t>
      </w:r>
      <w:r w:rsidR="00090E7A">
        <w:rPr>
          <w:rFonts w:hint="cs"/>
          <w:rtl/>
        </w:rPr>
        <w:t>.</w:t>
      </w:r>
      <w:r w:rsidR="00992664" w:rsidRPr="0012008A">
        <w:rPr>
          <w:rStyle w:val="libFootnoteBoldChar"/>
          <w:rtl/>
        </w:rPr>
        <w:t>الوافي</w:t>
      </w:r>
      <w:r w:rsidR="00DF1B7B">
        <w:rPr>
          <w:rtl/>
        </w:rPr>
        <w:t xml:space="preserve"> ، ج 11 ، ص 256 ، ح 10806</w:t>
      </w:r>
      <w:r w:rsidR="00992664" w:rsidRPr="00020424">
        <w:rPr>
          <w:rtl/>
        </w:rPr>
        <w:t xml:space="preserve">؛ </w:t>
      </w:r>
      <w:r w:rsidR="00992664" w:rsidRPr="0012008A">
        <w:rPr>
          <w:rStyle w:val="libFootnoteBoldChar"/>
          <w:rtl/>
        </w:rPr>
        <w:t>الوسائل</w:t>
      </w:r>
      <w:r w:rsidR="00992664" w:rsidRPr="00020424">
        <w:rPr>
          <w:rtl/>
        </w:rPr>
        <w:t xml:space="preserve"> ، ج 10 ، ص 151 ، ح 13084.</w:t>
      </w:r>
    </w:p>
    <w:p w:rsidR="00992664" w:rsidRPr="00020424" w:rsidRDefault="00795177" w:rsidP="00992664">
      <w:pPr>
        <w:pStyle w:val="libFootnote0"/>
        <w:rPr>
          <w:rtl/>
          <w:lang w:bidi="fa-IR"/>
        </w:rPr>
      </w:pPr>
      <w:r>
        <w:rPr>
          <w:rtl/>
        </w:rPr>
        <w:t>(8).</w:t>
      </w:r>
      <w:r w:rsidR="0014403D">
        <w:rPr>
          <w:rtl/>
        </w:rPr>
        <w:t xml:space="preserve"> </w:t>
      </w:r>
      <w:r w:rsidR="00D64ADA" w:rsidRPr="00D64ADA">
        <w:rPr>
          <w:rStyle w:val="libFootnoteBoldChar"/>
          <w:rtl/>
        </w:rPr>
        <w:t>المحاسن</w:t>
      </w:r>
      <w:r w:rsidR="00992664" w:rsidRPr="00020424">
        <w:rPr>
          <w:rtl/>
        </w:rPr>
        <w:t xml:space="preserve"> ، ص 412 ، كتاب المآكل ، ح 153 ؛ </w:t>
      </w:r>
      <w:r w:rsidR="00992664" w:rsidRPr="0012008A">
        <w:rPr>
          <w:rStyle w:val="libFootnoteBoldChar"/>
          <w:rtl/>
        </w:rPr>
        <w:t>ثواب الأعمال</w:t>
      </w:r>
      <w:r w:rsidR="00992664" w:rsidRPr="00020424">
        <w:rPr>
          <w:rtl/>
        </w:rPr>
        <w:t xml:space="preserve"> ، ص 107 ، ح 2 ؛ </w:t>
      </w:r>
      <w:r w:rsidR="00992664" w:rsidRPr="00DE76B9">
        <w:rPr>
          <w:rStyle w:val="libFootnoteBoldChar"/>
          <w:rtl/>
        </w:rPr>
        <w:t>علل الشرائع</w:t>
      </w:r>
      <w:r w:rsidR="00992664" w:rsidRPr="00020424">
        <w:rPr>
          <w:rtl/>
        </w:rPr>
        <w:t xml:space="preserve"> ، ص 387 ، ح 3 ، وفي كلّها بسند آخر عن صالح بن عقبة. </w:t>
      </w:r>
      <w:r w:rsidR="00992664" w:rsidRPr="0012008A">
        <w:rPr>
          <w:rStyle w:val="libFootnoteBoldChar"/>
          <w:rtl/>
        </w:rPr>
        <w:t>الفقيه</w:t>
      </w:r>
      <w:r w:rsidR="00992664" w:rsidRPr="00020424">
        <w:rPr>
          <w:rtl/>
        </w:rPr>
        <w:t xml:space="preserve"> ، ج 2 ، ص 84 ، ح 1797 ، معلّقاً عن جميل بن درّاج ، من دون التصريح باسم المعصوم </w:t>
      </w:r>
      <w:r w:rsidR="00992664" w:rsidRPr="00D64ADA">
        <w:rPr>
          <w:rStyle w:val="libFootnoteAlaemChar"/>
          <w:rtl/>
        </w:rPr>
        <w:t>عليه‌السلام</w:t>
      </w:r>
      <w:r w:rsidR="00992664" w:rsidRPr="00020424">
        <w:rPr>
          <w:rtl/>
        </w:rPr>
        <w:t xml:space="preserve"> </w:t>
      </w:r>
      <w:r w:rsidR="00090E7A">
        <w:rPr>
          <w:rFonts w:hint="cs"/>
          <w:rtl/>
        </w:rPr>
        <w:t>.</w:t>
      </w:r>
      <w:r w:rsidR="00992664" w:rsidRPr="0012008A">
        <w:rPr>
          <w:rStyle w:val="libFootnoteBoldChar"/>
          <w:rtl/>
        </w:rPr>
        <w:t>الوافي</w:t>
      </w:r>
      <w:r w:rsidR="00992664" w:rsidRPr="00020424">
        <w:rPr>
          <w:rtl/>
        </w:rPr>
        <w:t xml:space="preserve"> ، ج 11 ، ص 256 ، ح 10807 ؛ </w:t>
      </w:r>
      <w:r w:rsidR="00992664" w:rsidRPr="0012008A">
        <w:rPr>
          <w:rStyle w:val="libFootnoteBoldChar"/>
          <w:rtl/>
        </w:rPr>
        <w:t>الوسائل</w:t>
      </w:r>
      <w:r w:rsidR="00992664" w:rsidRPr="00020424">
        <w:rPr>
          <w:rtl/>
        </w:rPr>
        <w:t xml:space="preserve"> ، ج 10 ، ص 152 ، ح 13087.</w:t>
      </w:r>
    </w:p>
    <w:p w:rsidR="00795177" w:rsidRDefault="00795177" w:rsidP="00795177">
      <w:pPr>
        <w:pStyle w:val="libNormal"/>
        <w:rPr>
          <w:rtl/>
          <w:lang w:bidi="fa-IR"/>
        </w:rPr>
      </w:pPr>
      <w:r>
        <w:rPr>
          <w:rtl/>
          <w:lang w:bidi="fa-IR"/>
        </w:rPr>
        <w:br w:type="page"/>
      </w:r>
    </w:p>
    <w:p w:rsidR="00992664" w:rsidRPr="00020424" w:rsidRDefault="00992664" w:rsidP="00090E7A">
      <w:pPr>
        <w:pStyle w:val="libNormal0"/>
        <w:rPr>
          <w:rtl/>
          <w:lang w:bidi="fa-IR"/>
        </w:rPr>
      </w:pPr>
      <w:r w:rsidRPr="00020424">
        <w:rPr>
          <w:rtl/>
          <w:lang w:bidi="fa-IR"/>
        </w:rPr>
        <w:t>صَالِحِ بْنِ عُقْبَةَ ، قَالَ :</w:t>
      </w:r>
    </w:p>
    <w:p w:rsidR="00992664" w:rsidRPr="00020424" w:rsidRDefault="00992664" w:rsidP="00992664">
      <w:pPr>
        <w:pStyle w:val="libNormal"/>
        <w:rPr>
          <w:rtl/>
          <w:lang w:bidi="fa-IR"/>
        </w:rPr>
      </w:pPr>
      <w:r w:rsidRPr="00020424">
        <w:rPr>
          <w:rtl/>
          <w:lang w:bidi="fa-IR"/>
        </w:rPr>
        <w:t xml:space="preserve">دَخَلْتُ عَلى </w:t>
      </w:r>
      <w:r w:rsidRPr="00A91B96">
        <w:rPr>
          <w:rStyle w:val="libFootnotenumChar"/>
          <w:rtl/>
        </w:rPr>
        <w:t>(1)</w:t>
      </w:r>
      <w:r w:rsidRPr="00020424">
        <w:rPr>
          <w:rtl/>
          <w:lang w:bidi="fa-IR"/>
        </w:rPr>
        <w:t xml:space="preserve"> جَمِيلِ بْنِ دَرَّاجٍ وَبَيْنَ يَدَيْهِ خِوَانٌ </w:t>
      </w:r>
      <w:r w:rsidRPr="00A91B96">
        <w:rPr>
          <w:rStyle w:val="libFootnotenumChar"/>
          <w:rtl/>
        </w:rPr>
        <w:t>(2)</w:t>
      </w:r>
      <w:r w:rsidRPr="00020424">
        <w:rPr>
          <w:rtl/>
          <w:lang w:bidi="fa-IR"/>
        </w:rPr>
        <w:t xml:space="preserve"> عَلَيْهِ غَسَّانِيَّةٌ </w:t>
      </w:r>
      <w:r w:rsidRPr="00A91B96">
        <w:rPr>
          <w:rStyle w:val="libFootnotenumChar"/>
          <w:rtl/>
        </w:rPr>
        <w:t>(3)</w:t>
      </w:r>
      <w:r w:rsidRPr="00020424">
        <w:rPr>
          <w:rtl/>
          <w:lang w:bidi="fa-IR"/>
        </w:rPr>
        <w:t xml:space="preserve"> يَأْكُلُ مِنْهَا ، فَقَالَ :</w:t>
      </w:r>
      <w:r>
        <w:rPr>
          <w:rFonts w:hint="cs"/>
          <w:rtl/>
          <w:lang w:bidi="fa-IR"/>
        </w:rPr>
        <w:t xml:space="preserve"> </w:t>
      </w:r>
      <w:r w:rsidR="00DF1B7B">
        <w:rPr>
          <w:rtl/>
          <w:lang w:bidi="fa-IR"/>
        </w:rPr>
        <w:t>ادْنُ</w:t>
      </w:r>
      <w:r w:rsidRPr="00020424">
        <w:rPr>
          <w:rtl/>
          <w:lang w:bidi="fa-IR"/>
        </w:rPr>
        <w:t>، فَكُلْ ، فَقُلْتُ : إِنِّي صَائِمٌ ، فَتَرَكَنِي حَتّى إِذَا أَكَلَهَا ، فَلَمْ يَ</w:t>
      </w:r>
      <w:r w:rsidR="00090E7A">
        <w:rPr>
          <w:rtl/>
          <w:lang w:bidi="fa-IR"/>
        </w:rPr>
        <w:t>بْقَ مِنْهَا إِل</w:t>
      </w:r>
      <w:r w:rsidR="00090E7A">
        <w:rPr>
          <w:rFonts w:hint="cs"/>
          <w:rtl/>
          <w:lang w:bidi="fa-IR"/>
        </w:rPr>
        <w:t>َّ</w:t>
      </w:r>
      <w:r w:rsidR="00090E7A">
        <w:rPr>
          <w:rtl/>
          <w:lang w:bidi="fa-IR"/>
        </w:rPr>
        <w:t>ا</w:t>
      </w:r>
      <w:r w:rsidRPr="00020424">
        <w:rPr>
          <w:rtl/>
          <w:lang w:bidi="fa-IR"/>
        </w:rPr>
        <w:t xml:space="preserve"> ال</w:t>
      </w:r>
      <w:r w:rsidR="00090E7A">
        <w:rPr>
          <w:rtl/>
          <w:lang w:bidi="fa-IR"/>
        </w:rPr>
        <w:t>ْيَسِيرُ ، عَزَمَ عَلَيَّ أَل</w:t>
      </w:r>
      <w:r w:rsidR="00090E7A">
        <w:rPr>
          <w:rFonts w:hint="cs"/>
          <w:rtl/>
          <w:lang w:bidi="fa-IR"/>
        </w:rPr>
        <w:t>َّ</w:t>
      </w:r>
      <w:r w:rsidR="00090E7A">
        <w:rPr>
          <w:rtl/>
          <w:lang w:bidi="fa-IR"/>
        </w:rPr>
        <w:t>ا</w:t>
      </w:r>
      <w:r w:rsidRPr="00020424">
        <w:rPr>
          <w:rtl/>
          <w:lang w:bidi="fa-IR"/>
        </w:rPr>
        <w:t xml:space="preserve"> أَفْطَرْتَ</w:t>
      </w:r>
      <w:r>
        <w:rPr>
          <w:rtl/>
          <w:lang w:bidi="fa-IR"/>
        </w:rPr>
        <w:t>؟</w:t>
      </w:r>
      <w:r w:rsidRPr="00020424">
        <w:rPr>
          <w:rtl/>
          <w:lang w:bidi="fa-IR"/>
        </w:rPr>
        <w:t xml:space="preserve"> فَقُلْتُ لَهُ </w:t>
      </w:r>
      <w:r w:rsidRPr="00A91B96">
        <w:rPr>
          <w:rStyle w:val="libFootnotenumChar"/>
          <w:rtl/>
        </w:rPr>
        <w:t>(4)</w:t>
      </w:r>
      <w:r w:rsidR="00090E7A">
        <w:rPr>
          <w:rtl/>
          <w:lang w:bidi="fa-IR"/>
        </w:rPr>
        <w:t xml:space="preserve"> : أَل</w:t>
      </w:r>
      <w:r w:rsidR="00090E7A">
        <w:rPr>
          <w:rFonts w:hint="cs"/>
          <w:rtl/>
          <w:lang w:bidi="fa-IR"/>
        </w:rPr>
        <w:t>َّ</w:t>
      </w:r>
      <w:r w:rsidR="00090E7A">
        <w:rPr>
          <w:rtl/>
          <w:lang w:bidi="fa-IR"/>
        </w:rPr>
        <w:t>ا</w:t>
      </w:r>
      <w:r w:rsidRPr="00020424">
        <w:rPr>
          <w:rtl/>
          <w:lang w:bidi="fa-IR"/>
        </w:rPr>
        <w:t xml:space="preserve"> كَانَ </w:t>
      </w:r>
      <w:r w:rsidRPr="00A91B96">
        <w:rPr>
          <w:rStyle w:val="libFootnotenumChar"/>
          <w:rtl/>
        </w:rPr>
        <w:t>(5)</w:t>
      </w:r>
      <w:r w:rsidRPr="00020424">
        <w:rPr>
          <w:rtl/>
          <w:lang w:bidi="fa-IR"/>
        </w:rPr>
        <w:t xml:space="preserve"> هذَا قَبْلَ السَّاعَةِ</w:t>
      </w:r>
      <w:r>
        <w:rPr>
          <w:rtl/>
          <w:lang w:bidi="fa-IR"/>
        </w:rPr>
        <w:t>؟</w:t>
      </w:r>
      <w:r w:rsidRPr="00020424">
        <w:rPr>
          <w:rtl/>
          <w:lang w:bidi="fa-IR"/>
        </w:rPr>
        <w:t xml:space="preserve"> فَقَالَ : أَرَدْتُ بِذلِكَ أَدَبَكَ ، ثُمَّ </w:t>
      </w:r>
      <w:r w:rsidRPr="00A91B96">
        <w:rPr>
          <w:rStyle w:val="libFootnotenumChar"/>
          <w:rtl/>
        </w:rPr>
        <w:t>(6)</w:t>
      </w:r>
      <w:r w:rsidRPr="00020424">
        <w:rPr>
          <w:rtl/>
          <w:lang w:bidi="fa-IR"/>
        </w:rPr>
        <w:t xml:space="preserve"> قَالَ : سَمِعْتُ أَبَا عَبْدِ اللهِ </w:t>
      </w:r>
      <w:r w:rsidRPr="00005A81">
        <w:rPr>
          <w:rStyle w:val="libAlaemChar"/>
          <w:rtl/>
        </w:rPr>
        <w:t>عليه‌السلام</w:t>
      </w:r>
      <w:r w:rsidRPr="00020424">
        <w:rPr>
          <w:rtl/>
          <w:lang w:bidi="fa-IR"/>
        </w:rPr>
        <w:t xml:space="preserve"> يَقُولُ : « أَيُّمَا رَجُلٍ مُؤْمِنٍ دَخَلَ عَلى أَخِيهِ وَهُوَ صَائِمٌ ، فَسَأَلَهُ الْأَكْلَ ، فَلَمْ يُخْبِرْهُ بِصِيَامِهِ لِيَمُنَّ </w:t>
      </w:r>
      <w:r w:rsidRPr="00A91B96">
        <w:rPr>
          <w:rStyle w:val="libFootnotenumChar"/>
          <w:rtl/>
        </w:rPr>
        <w:t>(7)</w:t>
      </w:r>
      <w:r w:rsidRPr="00020424">
        <w:rPr>
          <w:rtl/>
          <w:lang w:bidi="fa-IR"/>
        </w:rPr>
        <w:t xml:space="preserve"> عَلَيْهِ بِإِفْطَارِهِ ، كَتَبَ اللهُ</w:t>
      </w:r>
      <w:r>
        <w:rPr>
          <w:rtl/>
          <w:lang w:bidi="fa-IR"/>
        </w:rPr>
        <w:t xml:space="preserve"> </w:t>
      </w:r>
      <w:r w:rsidR="009B673F">
        <w:rPr>
          <w:rtl/>
          <w:lang w:bidi="fa-IR"/>
        </w:rPr>
        <w:t>-</w:t>
      </w:r>
      <w:r>
        <w:rPr>
          <w:rtl/>
          <w:lang w:bidi="fa-IR"/>
        </w:rPr>
        <w:t xml:space="preserve"> </w:t>
      </w:r>
      <w:r w:rsidRPr="00020424">
        <w:rPr>
          <w:rtl/>
          <w:lang w:bidi="fa-IR"/>
        </w:rPr>
        <w:t>جَلَّ ثَنَاؤُهُ</w:t>
      </w:r>
      <w:r>
        <w:rPr>
          <w:rtl/>
          <w:lang w:bidi="fa-IR"/>
        </w:rPr>
        <w:t xml:space="preserve"> </w:t>
      </w:r>
      <w:r w:rsidR="009B673F">
        <w:rPr>
          <w:rtl/>
          <w:lang w:bidi="fa-IR"/>
        </w:rPr>
        <w:t>-</w:t>
      </w:r>
      <w:r>
        <w:rPr>
          <w:rtl/>
          <w:lang w:bidi="fa-IR"/>
        </w:rPr>
        <w:t xml:space="preserve"> </w:t>
      </w:r>
      <w:r w:rsidRPr="00020424">
        <w:rPr>
          <w:rtl/>
          <w:lang w:bidi="fa-IR"/>
        </w:rPr>
        <w:t xml:space="preserve">لَهُ </w:t>
      </w:r>
      <w:r w:rsidRPr="00A91B96">
        <w:rPr>
          <w:rStyle w:val="libFootnotenumChar"/>
          <w:rtl/>
        </w:rPr>
        <w:t>(8)</w:t>
      </w:r>
      <w:r w:rsidRPr="00020424">
        <w:rPr>
          <w:rtl/>
          <w:lang w:bidi="fa-IR"/>
        </w:rPr>
        <w:t xml:space="preserve"> بِذلِكَ الْيَوْمِ صِيَامَ سَنَةٍ</w:t>
      </w:r>
      <w:r>
        <w:rPr>
          <w:rtl/>
          <w:lang w:bidi="fa-IR"/>
        </w:rPr>
        <w:t>».</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E33730">
        <w:rPr>
          <w:rtl/>
        </w:rPr>
        <w:t>6596</w:t>
      </w:r>
      <w:r w:rsidRPr="001155DE">
        <w:rPr>
          <w:rStyle w:val="libBold2Char"/>
          <w:rtl/>
        </w:rPr>
        <w:t xml:space="preserve"> / 5.</w:t>
      </w:r>
      <w:r w:rsidRPr="00020424">
        <w:rPr>
          <w:rtl/>
          <w:lang w:bidi="fa-IR"/>
        </w:rPr>
        <w:t xml:space="preserve"> عَلِيُّ بْنُ مُحَمَّدٍ ، عَنِ ابْنِ جُمْهُورٍ ، عَنْ بَعْضِ أَصْحَابِهِ ، عَنْ عَلِيِّ بْنِ حَدِيدٍ ، عَنْ عَبْدِ اللهِ بْنِ جُنْدَبٍ </w:t>
      </w:r>
      <w:r w:rsidRPr="00A91B96">
        <w:rPr>
          <w:rStyle w:val="libFootnotenumChar"/>
          <w:rtl/>
        </w:rPr>
        <w:t>(10)</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قُلْتُ لِأَبِي الْحَسَنِ الْمَاضِي </w:t>
      </w:r>
      <w:r w:rsidRPr="00005A81">
        <w:rPr>
          <w:rStyle w:val="libAlaemChar"/>
          <w:rtl/>
        </w:rPr>
        <w:t>عليه‌السلام</w:t>
      </w:r>
      <w:r w:rsidRPr="00020424">
        <w:rPr>
          <w:rtl/>
          <w:lang w:bidi="fa-IR"/>
        </w:rPr>
        <w:t xml:space="preserve"> : أَدْخُلُ عَلَى الْقَوْمِ وَهُمْ يَأْكُلُونَ ، وَقَدْ صَلَّيْتُ الْعَصْرَ وَأَنَا صَائِمٌ ، فَيَقُولُونَ : أَفْطِرْ</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090E7A">
        <w:rPr>
          <w:rtl/>
        </w:rPr>
        <w:t>الوسائل</w:t>
      </w:r>
      <w:r w:rsidR="00992664" w:rsidRPr="00020424">
        <w:rPr>
          <w:rtl/>
        </w:rPr>
        <w:t xml:space="preserve"> : « عن » بدل « قال : دخلت على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الخوان ، بكسر الخاء</w:t>
      </w:r>
      <w:r w:rsidR="00992664">
        <w:rPr>
          <w:rtl/>
        </w:rPr>
        <w:t xml:space="preserve"> </w:t>
      </w:r>
      <w:r w:rsidR="009B673F">
        <w:rPr>
          <w:rtl/>
        </w:rPr>
        <w:t>-</w:t>
      </w:r>
      <w:r w:rsidR="00992664">
        <w:rPr>
          <w:rtl/>
        </w:rPr>
        <w:t xml:space="preserve"> </w:t>
      </w:r>
      <w:r w:rsidR="00992664" w:rsidRPr="00020424">
        <w:rPr>
          <w:rtl/>
        </w:rPr>
        <w:t>وهو الأكثر</w:t>
      </w:r>
      <w:r w:rsidR="00992664">
        <w:rPr>
          <w:rtl/>
        </w:rPr>
        <w:t xml:space="preserve"> </w:t>
      </w:r>
      <w:r w:rsidR="009B673F">
        <w:rPr>
          <w:rtl/>
        </w:rPr>
        <w:t>-</w:t>
      </w:r>
      <w:r w:rsidR="00992664">
        <w:rPr>
          <w:rtl/>
        </w:rPr>
        <w:t xml:space="preserve"> </w:t>
      </w:r>
      <w:r w:rsidR="00992664" w:rsidRPr="00020424">
        <w:rPr>
          <w:rtl/>
        </w:rPr>
        <w:t xml:space="preserve">وضمّها : ما يؤكل عليه ، وما يوضع عليه الطعام عند الأكل. راجع : </w:t>
      </w:r>
      <w:r w:rsidR="00992664" w:rsidRPr="0012008A">
        <w:rPr>
          <w:rStyle w:val="libFootnoteBoldChar"/>
          <w:rtl/>
        </w:rPr>
        <w:t>النهاية</w:t>
      </w:r>
      <w:r w:rsidR="00992664" w:rsidRPr="00020424">
        <w:rPr>
          <w:rtl/>
        </w:rPr>
        <w:t xml:space="preserve"> ، ج 2 ، ص 89 ؛ </w:t>
      </w:r>
      <w:r w:rsidR="00992664" w:rsidRPr="00A722B1">
        <w:rPr>
          <w:rStyle w:val="libFootnoteBoldChar"/>
          <w:rtl/>
        </w:rPr>
        <w:t>المصباح المنير</w:t>
      </w:r>
      <w:r w:rsidR="00992664" w:rsidRPr="00020424">
        <w:rPr>
          <w:rtl/>
        </w:rPr>
        <w:t xml:space="preserve"> ، ص 184 ( خوف )</w:t>
      </w:r>
      <w:r w:rsidR="00992664">
        <w:rPr>
          <w:rtl/>
        </w:rPr>
        <w:t>.</w:t>
      </w:r>
    </w:p>
    <w:p w:rsidR="00992664" w:rsidRPr="00020424" w:rsidRDefault="00795177" w:rsidP="00090E7A">
      <w:pPr>
        <w:pStyle w:val="libFootnote0"/>
        <w:rPr>
          <w:rtl/>
          <w:lang w:bidi="fa-IR"/>
        </w:rPr>
      </w:pPr>
      <w:r>
        <w:rPr>
          <w:rtl/>
        </w:rPr>
        <w:t>(3).</w:t>
      </w:r>
      <w:r w:rsidR="0014403D">
        <w:rPr>
          <w:rtl/>
        </w:rPr>
        <w:t xml:space="preserve"> </w:t>
      </w:r>
      <w:r w:rsidR="00992664" w:rsidRPr="00020424">
        <w:rPr>
          <w:rtl/>
        </w:rPr>
        <w:t xml:space="preserve">في هامش </w:t>
      </w:r>
      <w:r w:rsidR="00992664" w:rsidRPr="0012008A">
        <w:rPr>
          <w:rStyle w:val="libFootnoteBoldChar"/>
          <w:rtl/>
        </w:rPr>
        <w:t>الوافي</w:t>
      </w:r>
      <w:r w:rsidR="00992664" w:rsidRPr="00020424">
        <w:rPr>
          <w:rtl/>
        </w:rPr>
        <w:t xml:space="preserve"> عن ابن المصنّف : « لعلّ الغسّانيّة طعام ينسب إلى غسّان بإع</w:t>
      </w:r>
      <w:r w:rsidR="00DF1B7B">
        <w:rPr>
          <w:rtl/>
        </w:rPr>
        <w:t>جام الغين وإهمال السين المشدّدة</w:t>
      </w:r>
      <w:r w:rsidR="00992664" w:rsidRPr="00020424">
        <w:rPr>
          <w:rtl/>
        </w:rPr>
        <w:t>: قبيلة من اليمن</w:t>
      </w:r>
      <w:r w:rsidR="00992664">
        <w:rPr>
          <w:rtl/>
        </w:rPr>
        <w:t xml:space="preserve"> ».</w:t>
      </w:r>
      <w:r w:rsidR="00992664" w:rsidRPr="00020424">
        <w:rPr>
          <w:rtl/>
        </w:rPr>
        <w:t xml:space="preserve"> وفي اللغة : غسّان : اسم قبيله من اليمن. ويقال : ماء ينسب إليه قوم. وهذا إن كان فَعْلان فهو من ( غسس ) ، وإن كان فعّالاً فهو من ( غسن )</w:t>
      </w:r>
      <w:r w:rsidR="00992664">
        <w:rPr>
          <w:rtl/>
        </w:rPr>
        <w:t>.</w:t>
      </w:r>
      <w:r w:rsidR="00992664" w:rsidRPr="00020424">
        <w:rPr>
          <w:rtl/>
        </w:rPr>
        <w:t xml:space="preserve"> راجع : </w:t>
      </w:r>
      <w:r w:rsidR="00992664" w:rsidRPr="0012008A">
        <w:rPr>
          <w:rStyle w:val="libFootnoteBoldChar"/>
          <w:rtl/>
        </w:rPr>
        <w:t>الصحاح</w:t>
      </w:r>
      <w:r w:rsidR="00992664" w:rsidRPr="00020424">
        <w:rPr>
          <w:rtl/>
        </w:rPr>
        <w:t xml:space="preserve"> ، ج 3 ، ص 956 ؛ </w:t>
      </w:r>
      <w:r w:rsidR="00992664" w:rsidRPr="00A722B1">
        <w:rPr>
          <w:rStyle w:val="libFootnoteBoldChar"/>
          <w:rtl/>
        </w:rPr>
        <w:t>لسان العرب</w:t>
      </w:r>
      <w:r w:rsidR="00992664" w:rsidRPr="00020424">
        <w:rPr>
          <w:rtl/>
        </w:rPr>
        <w:t xml:space="preserve"> ، ج 6 ، ص 155 ( غسس )</w:t>
      </w:r>
      <w:r w:rsidR="00992664">
        <w:rPr>
          <w:rtl/>
        </w:rPr>
        <w:t>.</w:t>
      </w:r>
      <w:r w:rsidR="00090E7A">
        <w:rPr>
          <w:rFonts w:hint="cs"/>
          <w:rtl/>
        </w:rPr>
        <w:t xml:space="preserve">                            </w:t>
      </w:r>
      <w:r w:rsidR="00DF1B7B">
        <w:rPr>
          <w:rFonts w:hint="cs"/>
          <w:rtl/>
        </w:rPr>
        <w:t xml:space="preserve">            </w:t>
      </w:r>
      <w:r w:rsidR="00090E7A">
        <w:rPr>
          <w:rFonts w:hint="cs"/>
          <w:rtl/>
        </w:rPr>
        <w:t xml:space="preserve"> </w:t>
      </w:r>
      <w:r>
        <w:rPr>
          <w:rtl/>
        </w:rPr>
        <w:t>(4).</w:t>
      </w:r>
      <w:r w:rsidR="0014403D">
        <w:rPr>
          <w:rtl/>
        </w:rPr>
        <w:t xml:space="preserve"> </w:t>
      </w:r>
      <w:r w:rsidR="00992664" w:rsidRPr="00020424">
        <w:rPr>
          <w:rtl/>
        </w:rPr>
        <w:t>في « ظ ، بخ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090E7A">
      <w:pPr>
        <w:pStyle w:val="libFootnote0"/>
        <w:rPr>
          <w:rtl/>
          <w:lang w:bidi="fa-IR"/>
        </w:rPr>
      </w:pPr>
      <w:r>
        <w:rPr>
          <w:rtl/>
        </w:rPr>
        <w:t>(5).</w:t>
      </w:r>
      <w:r w:rsidR="0014403D">
        <w:rPr>
          <w:rtl/>
        </w:rPr>
        <w:t xml:space="preserve"> </w:t>
      </w:r>
      <w:r w:rsidR="00992664" w:rsidRPr="00020424">
        <w:rPr>
          <w:rtl/>
        </w:rPr>
        <w:t xml:space="preserve">في </w:t>
      </w:r>
      <w:r w:rsidR="00992664" w:rsidRPr="00DE76B9">
        <w:rPr>
          <w:rStyle w:val="libFootnoteBoldChar"/>
          <w:rtl/>
        </w:rPr>
        <w:t>مرآة العقول</w:t>
      </w:r>
      <w:r w:rsidR="00090E7A">
        <w:rPr>
          <w:rtl/>
        </w:rPr>
        <w:t xml:space="preserve"> : « قوله : أل</w:t>
      </w:r>
      <w:r w:rsidR="00090E7A">
        <w:rPr>
          <w:rFonts w:hint="cs"/>
          <w:rtl/>
        </w:rPr>
        <w:t>ّ</w:t>
      </w:r>
      <w:r w:rsidR="00090E7A">
        <w:rPr>
          <w:rtl/>
        </w:rPr>
        <w:t>ا</w:t>
      </w:r>
      <w:r w:rsidR="00992664" w:rsidRPr="00020424">
        <w:rPr>
          <w:rtl/>
        </w:rPr>
        <w:t xml:space="preserve"> أفطر</w:t>
      </w:r>
      <w:r w:rsidR="00090E7A">
        <w:rPr>
          <w:rtl/>
        </w:rPr>
        <w:t>ت ، أي أقسم عليّ في كلّ حال إل</w:t>
      </w:r>
      <w:r w:rsidR="00090E7A">
        <w:rPr>
          <w:rFonts w:hint="cs"/>
          <w:rtl/>
        </w:rPr>
        <w:t>ّ</w:t>
      </w:r>
      <w:r w:rsidR="00090E7A">
        <w:rPr>
          <w:rtl/>
        </w:rPr>
        <w:t>احال الإفطار. قوله : أل</w:t>
      </w:r>
      <w:r w:rsidR="00090E7A">
        <w:rPr>
          <w:rFonts w:hint="cs"/>
          <w:rtl/>
        </w:rPr>
        <w:t>ّ</w:t>
      </w:r>
      <w:r w:rsidR="00090E7A">
        <w:rPr>
          <w:rtl/>
        </w:rPr>
        <w:t>ا</w:t>
      </w:r>
      <w:r w:rsidR="00992664" w:rsidRPr="00020424">
        <w:rPr>
          <w:rtl/>
        </w:rPr>
        <w:t xml:space="preserve"> كان ، بالتشديد للتحضيض</w:t>
      </w:r>
      <w:r w:rsidR="00992664">
        <w:rPr>
          <w:rtl/>
        </w:rPr>
        <w:t xml:space="preserve"> ».</w:t>
      </w:r>
      <w:r w:rsidR="00090E7A">
        <w:rPr>
          <w:rFonts w:hint="cs"/>
          <w:rtl/>
        </w:rPr>
        <w:t xml:space="preserve">              </w:t>
      </w:r>
      <w:r w:rsidR="00DF1B7B">
        <w:rPr>
          <w:rFonts w:hint="cs"/>
          <w:rtl/>
        </w:rPr>
        <w:t xml:space="preserve">                             </w:t>
      </w:r>
      <w:r w:rsidR="007B3A69">
        <w:rPr>
          <w:rFonts w:hint="cs"/>
          <w:rtl/>
        </w:rPr>
        <w:t xml:space="preserve"> </w:t>
      </w:r>
      <w:r w:rsidR="00090E7A">
        <w:rPr>
          <w:rFonts w:hint="cs"/>
          <w:rtl/>
        </w:rPr>
        <w:t xml:space="preserve"> </w:t>
      </w:r>
      <w:r>
        <w:rPr>
          <w:rtl/>
        </w:rPr>
        <w:t>(6).</w:t>
      </w:r>
      <w:r w:rsidR="00992664" w:rsidRPr="00020424">
        <w:rPr>
          <w:rtl/>
        </w:rPr>
        <w:t xml:space="preserve">في </w:t>
      </w:r>
      <w:r w:rsidR="00992664" w:rsidRPr="00090E7A">
        <w:rPr>
          <w:rtl/>
        </w:rPr>
        <w:t>الوسائل</w:t>
      </w:r>
      <w:r w:rsidR="00992664" w:rsidRPr="00020424">
        <w:rPr>
          <w:rtl/>
        </w:rPr>
        <w:t>:</w:t>
      </w:r>
      <w:r w:rsidR="009B673F">
        <w:rPr>
          <w:rtl/>
        </w:rPr>
        <w:t>-</w:t>
      </w:r>
      <w:r w:rsidR="007B3A69">
        <w:rPr>
          <w:rtl/>
        </w:rPr>
        <w:t>«</w:t>
      </w:r>
      <w:r w:rsidR="00992664" w:rsidRPr="00020424">
        <w:rPr>
          <w:rtl/>
        </w:rPr>
        <w:t>وبين يديه خوان</w:t>
      </w:r>
      <w:r w:rsidR="009B673F">
        <w:rPr>
          <w:rtl/>
        </w:rPr>
        <w:t>-</w:t>
      </w:r>
      <w:r w:rsidR="00992664" w:rsidRPr="00020424">
        <w:rPr>
          <w:rtl/>
        </w:rPr>
        <w:t>إلى</w:t>
      </w:r>
      <w:r w:rsidR="009B673F">
        <w:rPr>
          <w:rtl/>
        </w:rPr>
        <w:t>-</w:t>
      </w:r>
      <w:r w:rsidR="00992664" w:rsidRPr="00020424">
        <w:rPr>
          <w:rtl/>
        </w:rPr>
        <w:t>أدبك ، ثمّ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90E7A" w:rsidTr="00090E7A">
        <w:tc>
          <w:tcPr>
            <w:tcW w:w="4006" w:type="dxa"/>
          </w:tcPr>
          <w:p w:rsidR="00090E7A" w:rsidRDefault="00090E7A" w:rsidP="00992664">
            <w:pPr>
              <w:pStyle w:val="libFootnote0"/>
              <w:rPr>
                <w:rtl/>
              </w:rPr>
            </w:pPr>
            <w:r>
              <w:rPr>
                <w:rtl/>
              </w:rPr>
              <w:t xml:space="preserve">(7). </w:t>
            </w:r>
            <w:r w:rsidRPr="00020424">
              <w:rPr>
                <w:rtl/>
              </w:rPr>
              <w:t xml:space="preserve">في </w:t>
            </w:r>
            <w:r w:rsidRPr="00090E7A">
              <w:rPr>
                <w:rtl/>
              </w:rPr>
              <w:t>الوسائل</w:t>
            </w:r>
            <w:r w:rsidRPr="00020424">
              <w:rPr>
                <w:rtl/>
              </w:rPr>
              <w:t xml:space="preserve"> : « فيمنّ</w:t>
            </w:r>
            <w:r>
              <w:rPr>
                <w:rtl/>
              </w:rPr>
              <w:t xml:space="preserve"> ».</w:t>
            </w:r>
          </w:p>
        </w:tc>
        <w:tc>
          <w:tcPr>
            <w:tcW w:w="4006" w:type="dxa"/>
          </w:tcPr>
          <w:p w:rsidR="00090E7A" w:rsidRDefault="00090E7A" w:rsidP="00992664">
            <w:pPr>
              <w:pStyle w:val="libFootnote0"/>
              <w:rPr>
                <w:rtl/>
              </w:rPr>
            </w:pPr>
            <w:r>
              <w:rPr>
                <w:rtl/>
              </w:rPr>
              <w:t xml:space="preserve">(8). </w:t>
            </w:r>
            <w:r w:rsidRPr="00020424">
              <w:rPr>
                <w:rtl/>
              </w:rPr>
              <w:t>في « ظ ، ى »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11 ، ص 256 ، ح 10808 ؛ </w:t>
      </w:r>
      <w:r w:rsidR="00992664" w:rsidRPr="0012008A">
        <w:rPr>
          <w:rStyle w:val="libFootnoteBoldChar"/>
          <w:rtl/>
        </w:rPr>
        <w:t>الوسائل</w:t>
      </w:r>
      <w:r w:rsidR="00992664" w:rsidRPr="00020424">
        <w:rPr>
          <w:rtl/>
        </w:rPr>
        <w:t xml:space="preserve"> ، ج 10 ، ص 153 ، ح 13088.</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هكذا في « بث ، بح ، بخ ، بر ، جر » </w:t>
      </w:r>
      <w:r w:rsidR="00992664" w:rsidRPr="007B3A69">
        <w:rPr>
          <w:rtl/>
        </w:rPr>
        <w:t>والوافي</w:t>
      </w:r>
      <w:r w:rsidR="00992664" w:rsidRPr="00020424">
        <w:rPr>
          <w:rtl/>
        </w:rPr>
        <w:t xml:space="preserve">. وفي « ظ ، ى ، بس ، بف ، جن » والمطبوع </w:t>
      </w:r>
      <w:r w:rsidR="00992664" w:rsidRPr="007B3A69">
        <w:rP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عبدالله بن جندب</w:t>
      </w:r>
      <w:r w:rsidR="00992664">
        <w:rPr>
          <w:rtl/>
        </w:rPr>
        <w:t xml:space="preserve"> ».</w:t>
      </w:r>
      <w:r w:rsidR="00992664" w:rsidRPr="00020424">
        <w:rPr>
          <w:rtl/>
        </w:rPr>
        <w:t xml:space="preserve"> ولعلّ شباهة « حديد » </w:t>
      </w:r>
      <w:r w:rsidR="00992664">
        <w:rPr>
          <w:rtl/>
        </w:rPr>
        <w:t>و «</w:t>
      </w:r>
      <w:r w:rsidR="00992664" w:rsidRPr="00020424">
        <w:rPr>
          <w:rtl/>
        </w:rPr>
        <w:t xml:space="preserve"> جندب » في ب</w:t>
      </w:r>
      <w:r w:rsidR="007B3A69">
        <w:rPr>
          <w:rtl/>
        </w:rPr>
        <w:t>عض الخطوط أوجب جواز النظر إلى «جندب</w:t>
      </w:r>
      <w:r w:rsidR="00992664" w:rsidRPr="00020424">
        <w:rPr>
          <w:rtl/>
        </w:rPr>
        <w:t>» المشابه لحديد ، فوقع السقط في السند.</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فَقَالَ : « أَفْطِرْ ؛ فَإِنَّهُ أَفْضَلُ</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3C58A1">
        <w:rPr>
          <w:rtl/>
        </w:rPr>
        <w:t>6597</w:t>
      </w:r>
      <w:r w:rsidRPr="001155DE">
        <w:rPr>
          <w:rStyle w:val="libBold2Char"/>
          <w:rtl/>
        </w:rPr>
        <w:t xml:space="preserve"> / 6.</w:t>
      </w:r>
      <w:r w:rsidRPr="00020424">
        <w:rPr>
          <w:rtl/>
          <w:lang w:bidi="fa-IR"/>
        </w:rPr>
        <w:t xml:space="preserve"> مُحَمَّدُ بْنُ يَحْيى ، عَنْ مُحَمَّدِ بْنِ أَحْمَدَ ، عَنْ مُحَمَّدِ بْنِ عِيسى ، عَنِ الْحَسَنِ بْنِ إِبْرَاهِيمَ بْنِ سُفْيَانَ </w:t>
      </w:r>
      <w:r w:rsidRPr="00A91B96">
        <w:rPr>
          <w:rStyle w:val="libFootnotenumChar"/>
          <w:rtl/>
        </w:rPr>
        <w:t>(2)</w:t>
      </w:r>
      <w:r w:rsidRPr="00020424">
        <w:rPr>
          <w:rtl/>
          <w:lang w:bidi="fa-IR"/>
        </w:rPr>
        <w:t xml:space="preserve"> ، عَنْ دَاوُدَ الرَّقِّيِّ ، قَالَ :</w:t>
      </w:r>
    </w:p>
    <w:p w:rsidR="00992664" w:rsidRPr="00020424" w:rsidRDefault="00992664" w:rsidP="00992664">
      <w:pPr>
        <w:pStyle w:val="libNormal"/>
        <w:rPr>
          <w:rtl/>
          <w:lang w:bidi="fa-IR"/>
        </w:rPr>
      </w:pPr>
      <w:r w:rsidRPr="00020424">
        <w:rPr>
          <w:rtl/>
          <w:lang w:bidi="fa-IR"/>
        </w:rPr>
        <w:t xml:space="preserve">سَمِعْتُ أَبَا عَبْدِ اللهِ </w:t>
      </w:r>
      <w:r w:rsidRPr="00005A81">
        <w:rPr>
          <w:rStyle w:val="libAlaemChar"/>
          <w:rtl/>
        </w:rPr>
        <w:t>عليه‌السلام</w:t>
      </w:r>
      <w:r w:rsidRPr="00020424">
        <w:rPr>
          <w:rtl/>
          <w:lang w:bidi="fa-IR"/>
        </w:rPr>
        <w:t xml:space="preserve"> يَقُولُ : « لَإِفْطَارُكَ فِي مَنْزِلِ أَخِيكَ الْمُسْلِمِ </w:t>
      </w:r>
      <w:r w:rsidRPr="00A91B96">
        <w:rPr>
          <w:rStyle w:val="libFootnotenumChar"/>
          <w:rtl/>
        </w:rPr>
        <w:t>(3)</w:t>
      </w:r>
      <w:r w:rsidRPr="00020424">
        <w:rPr>
          <w:rtl/>
          <w:lang w:bidi="fa-IR"/>
        </w:rPr>
        <w:t xml:space="preserve"> أَفْضَلُ مِنْ صِيَامِكَ سَبْعِينَ ضِعْفاً ، أَوْ تِسْعِينَ ضِعْفاً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500" w:name="_Toc345172883"/>
      <w:bookmarkStart w:id="501" w:name="_Toc464562698"/>
      <w:bookmarkStart w:id="502" w:name="_Toc44600004"/>
      <w:r w:rsidRPr="00020424">
        <w:rPr>
          <w:rtl/>
          <w:lang w:bidi="fa-IR"/>
        </w:rPr>
        <w:t>65</w:t>
      </w:r>
      <w:r>
        <w:rPr>
          <w:rtl/>
          <w:lang w:bidi="fa-IR"/>
        </w:rPr>
        <w:t xml:space="preserve"> </w:t>
      </w:r>
      <w:r w:rsidR="009B673F">
        <w:rPr>
          <w:rtl/>
          <w:lang w:bidi="fa-IR"/>
        </w:rPr>
        <w:t>-</w:t>
      </w:r>
      <w:r>
        <w:rPr>
          <w:rtl/>
          <w:lang w:bidi="fa-IR"/>
        </w:rPr>
        <w:t xml:space="preserve"> </w:t>
      </w:r>
      <w:r w:rsidRPr="00020424">
        <w:rPr>
          <w:rtl/>
          <w:lang w:bidi="fa-IR"/>
        </w:rPr>
        <w:t xml:space="preserve">بَابُ مَنْ لَايَجُوزُ </w:t>
      </w:r>
      <w:r w:rsidR="007B3A69">
        <w:rPr>
          <w:rtl/>
          <w:lang w:bidi="fa-IR"/>
        </w:rPr>
        <w:t>لَهُ صِيَامُ التَّطَوُّعِ إِل</w:t>
      </w:r>
      <w:r w:rsidR="007B3A69">
        <w:rPr>
          <w:rFonts w:hint="cs"/>
          <w:rtl/>
          <w:lang w:bidi="fa-IR"/>
        </w:rPr>
        <w:t>َّ</w:t>
      </w:r>
      <w:r w:rsidR="007B3A69">
        <w:rPr>
          <w:rtl/>
          <w:lang w:bidi="fa-IR"/>
        </w:rPr>
        <w:t>ا</w:t>
      </w:r>
      <w:r w:rsidRPr="00020424">
        <w:rPr>
          <w:rtl/>
          <w:lang w:bidi="fa-IR"/>
        </w:rPr>
        <w:t xml:space="preserve"> بِإِذْنِ غَيْرِهِ‌</w:t>
      </w:r>
      <w:bookmarkEnd w:id="500"/>
      <w:bookmarkEnd w:id="501"/>
      <w:bookmarkEnd w:id="502"/>
    </w:p>
    <w:p w:rsidR="00992664" w:rsidRPr="00020424" w:rsidRDefault="00992664" w:rsidP="00992664">
      <w:pPr>
        <w:pStyle w:val="libNormal"/>
        <w:rPr>
          <w:rtl/>
          <w:lang w:bidi="fa-IR"/>
        </w:rPr>
      </w:pPr>
      <w:r w:rsidRPr="003C58A1">
        <w:rPr>
          <w:rtl/>
        </w:rPr>
        <w:t>6598</w:t>
      </w:r>
      <w:r w:rsidRPr="001155DE">
        <w:rPr>
          <w:rStyle w:val="libBold2Char"/>
          <w:rtl/>
        </w:rPr>
        <w:t xml:space="preserve"> / 1.</w:t>
      </w:r>
      <w:r w:rsidRPr="00020424">
        <w:rPr>
          <w:rtl/>
          <w:lang w:bidi="fa-IR"/>
        </w:rPr>
        <w:t xml:space="preserve"> مُحَمَّدُ بْنُ يَحْيى ، عَنْ أَحْمَدَ بْنِ مُحَمَّدٍ ، عَنْ مُحَمَّدِ بْنِ خَالِدٍ </w:t>
      </w:r>
      <w:r w:rsidRPr="00A91B96">
        <w:rPr>
          <w:rStyle w:val="libFootnotenumChar"/>
          <w:rtl/>
        </w:rPr>
        <w:t>(6)</w:t>
      </w:r>
      <w:r w:rsidRPr="00020424">
        <w:rPr>
          <w:rtl/>
          <w:lang w:bidi="fa-IR"/>
        </w:rPr>
        <w:t xml:space="preserve"> ، عَنِ الْقَاسِمِ بْنِ عُرْوَةَ ، عَنْ بَعْضِ أَصْحَابِهِ </w:t>
      </w:r>
      <w:r w:rsidRPr="00A91B96">
        <w:rPr>
          <w:rStyle w:val="libFootnotenumChar"/>
          <w:rtl/>
        </w:rPr>
        <w:t>(7)</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257 ، ح 108010 ؛ </w:t>
      </w:r>
      <w:r w:rsidR="00992664" w:rsidRPr="0012008A">
        <w:rPr>
          <w:rStyle w:val="libFootnoteBoldChar"/>
          <w:rtl/>
        </w:rPr>
        <w:t>الوسائل</w:t>
      </w:r>
      <w:r w:rsidR="00992664" w:rsidRPr="00020424">
        <w:rPr>
          <w:rtl/>
        </w:rPr>
        <w:t xml:space="preserve"> ، ج 10 ، ص 154 ، ح 13090.</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الخبر رواه البرقي في </w:t>
      </w:r>
      <w:r w:rsidR="00D64ADA" w:rsidRPr="00D64ADA">
        <w:rPr>
          <w:rStyle w:val="libFootnoteBoldChar"/>
          <w:rtl/>
        </w:rPr>
        <w:t>المحاسن</w:t>
      </w:r>
      <w:r w:rsidR="00992664" w:rsidRPr="00020424">
        <w:rPr>
          <w:rtl/>
        </w:rPr>
        <w:t xml:space="preserve"> ، ج 2 ، ص 411 ، ح 145 ، عن الحسن بن عليّ بن يقطين ، عن إبراهيم بن سفيان بن براز ، عن داود الرقّي ، قال : سمعت أبا عبد الله </w:t>
      </w:r>
      <w:r w:rsidR="00992664" w:rsidRPr="00D64ADA">
        <w:rPr>
          <w:rStyle w:val="libFootnoteAlaemChar"/>
          <w:rtl/>
        </w:rPr>
        <w:t>عليه‌السلام</w:t>
      </w:r>
      <w:r w:rsidR="00992664" w:rsidRPr="00020424">
        <w:rPr>
          <w:rtl/>
        </w:rPr>
        <w:t xml:space="preserve"> يقول.</w:t>
      </w:r>
    </w:p>
    <w:p w:rsidR="00992664" w:rsidRPr="00020424" w:rsidRDefault="00992664" w:rsidP="00992664">
      <w:pPr>
        <w:pStyle w:val="libFootnote0"/>
        <w:rPr>
          <w:rtl/>
          <w:lang w:bidi="fa-IR"/>
        </w:rPr>
      </w:pPr>
      <w:r w:rsidRPr="007B3A69">
        <w:rPr>
          <w:rtl/>
        </w:rPr>
        <w:t xml:space="preserve">والمظنون أنّ الأصل في ما نحن فيه كان هكذا : « الحسن ، عن إبراهيم بن سفيان » والمراد من الحسن هو الحسن بن عليّ بن يقطين الموجود في سند </w:t>
      </w:r>
      <w:r w:rsidR="00D64ADA" w:rsidRPr="00D64ADA">
        <w:rPr>
          <w:rStyle w:val="libFootnoteBoldChar"/>
          <w:rtl/>
        </w:rPr>
        <w:t>المحاسن</w:t>
      </w:r>
      <w:r w:rsidRPr="007B3A69">
        <w:rPr>
          <w:rtl/>
        </w:rPr>
        <w:t xml:space="preserve"> ؛ فقد روى محمّد بن عيسى [ بن عبيد ] عن الحسن بن عليّ بن يقطين في بعض الأسناد. راجع : </w:t>
      </w:r>
      <w:r w:rsidRPr="00DE76B9">
        <w:rPr>
          <w:rStyle w:val="libFootnoteBoldChar"/>
          <w:rtl/>
        </w:rPr>
        <w:t>معجم رجال الحديث</w:t>
      </w:r>
      <w:r w:rsidRPr="007B3A69">
        <w:rPr>
          <w:rtl/>
        </w:rPr>
        <w:t xml:space="preserve"> ، ج 5 ، ص 315 </w:t>
      </w:r>
      <w:r w:rsidR="009B673F" w:rsidRPr="007B3A69">
        <w:rPr>
          <w:rtl/>
        </w:rPr>
        <w:t>-</w:t>
      </w:r>
      <w:r w:rsidRPr="007B3A69">
        <w:rPr>
          <w:rtl/>
        </w:rPr>
        <w:t xml:space="preserve"> 318.</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 « المؤمن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ضعفاً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الترديد في آخره</w:t>
      </w:r>
      <w:r w:rsidR="00992664">
        <w:rPr>
          <w:rtl/>
        </w:rPr>
        <w:t xml:space="preserve"> </w:t>
      </w:r>
      <w:r w:rsidR="009B673F">
        <w:rPr>
          <w:rtl/>
        </w:rPr>
        <w:t>-</w:t>
      </w:r>
      <w:r w:rsidR="00992664">
        <w:rPr>
          <w:rtl/>
        </w:rPr>
        <w:t xml:space="preserve"> </w:t>
      </w:r>
      <w:r w:rsidR="00992664" w:rsidRPr="00020424">
        <w:rPr>
          <w:rtl/>
        </w:rPr>
        <w:t>أي آخر الحديث</w:t>
      </w:r>
      <w:r w:rsidR="00992664">
        <w:rPr>
          <w:rtl/>
        </w:rPr>
        <w:t xml:space="preserve"> </w:t>
      </w:r>
      <w:r w:rsidR="009B673F">
        <w:rPr>
          <w:rtl/>
        </w:rPr>
        <w:t>-</w:t>
      </w:r>
      <w:r w:rsidR="00992664">
        <w:rPr>
          <w:rtl/>
        </w:rPr>
        <w:t xml:space="preserve"> </w:t>
      </w:r>
      <w:r w:rsidR="00992664" w:rsidRPr="00020424">
        <w:rPr>
          <w:rtl/>
        </w:rPr>
        <w:t>من الراوي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D64ADA" w:rsidRPr="00D64ADA">
        <w:rPr>
          <w:rStyle w:val="libFootnoteBoldChar"/>
          <w:rtl/>
        </w:rPr>
        <w:t>المحاسن</w:t>
      </w:r>
      <w:r w:rsidR="00992664" w:rsidRPr="00020424">
        <w:rPr>
          <w:rtl/>
        </w:rPr>
        <w:t xml:space="preserve"> ، ص 411 ، كتاب المآكل ، ح 145 ، عن الحسن بن عليّ بن يقطين ، عن إبراهيم بن سفيان بن براز ، عن داود الرقّي. </w:t>
      </w:r>
      <w:r w:rsidR="00992664" w:rsidRPr="0012008A">
        <w:rPr>
          <w:rStyle w:val="libFootnoteBoldChar"/>
          <w:rtl/>
        </w:rPr>
        <w:t>ثواب الأعمال</w:t>
      </w:r>
      <w:r w:rsidR="00992664" w:rsidRPr="00020424">
        <w:rPr>
          <w:rtl/>
        </w:rPr>
        <w:t xml:space="preserve"> ، ص 107 ، ح 1 ، بسنده عن محمّد بن عيسى ، عن الحسين بن سفيان ، عن داود الرقّي ؛ </w:t>
      </w:r>
      <w:r w:rsidR="00992664" w:rsidRPr="00DE76B9">
        <w:rPr>
          <w:rStyle w:val="libFootnoteBoldChar"/>
          <w:rtl/>
        </w:rPr>
        <w:t>علل الشرائع</w:t>
      </w:r>
      <w:r w:rsidR="00992664" w:rsidRPr="00020424">
        <w:rPr>
          <w:rtl/>
        </w:rPr>
        <w:t xml:space="preserve"> ، ص 387 ، ح 2 ، بسنده عن محمّد بن عيسى ،</w:t>
      </w:r>
      <w:r w:rsidR="00DF1B7B">
        <w:rPr>
          <w:rtl/>
        </w:rPr>
        <w:t xml:space="preserve"> عن الحسن بن إبراهيم ، عن سفيان</w:t>
      </w:r>
      <w:r w:rsidR="00992664" w:rsidRPr="00020424">
        <w:rPr>
          <w:rtl/>
        </w:rPr>
        <w:t xml:space="preserve">، عن داود الرقّي. </w:t>
      </w:r>
      <w:r w:rsidR="00992664" w:rsidRPr="0012008A">
        <w:rPr>
          <w:rStyle w:val="libFootnoteBoldChar"/>
          <w:rtl/>
        </w:rPr>
        <w:t>الفقيه</w:t>
      </w:r>
      <w:r w:rsidR="00992664" w:rsidRPr="00020424">
        <w:rPr>
          <w:rtl/>
        </w:rPr>
        <w:t xml:space="preserve"> ، ج 2 ، ص 84 ، ح 1797 ، معلّقاً عن داود الرقّي. </w:t>
      </w:r>
      <w:r w:rsidR="00992664" w:rsidRPr="0012008A">
        <w:rPr>
          <w:rStyle w:val="libFootnoteBoldChar"/>
          <w:rtl/>
        </w:rPr>
        <w:t>المقنعة</w:t>
      </w:r>
      <w:r w:rsidR="00DF1B7B">
        <w:rPr>
          <w:rtl/>
        </w:rPr>
        <w:t xml:space="preserve"> ، ص 342 ، مرسلاً</w:t>
      </w:r>
      <w:r w:rsidR="007B3A69">
        <w:rPr>
          <w:rFonts w:hint="cs"/>
          <w:rtl/>
        </w:rPr>
        <w:t>.</w:t>
      </w:r>
      <w:r w:rsidR="00992664" w:rsidRPr="0012008A">
        <w:rPr>
          <w:rStyle w:val="libFootnoteBoldChar"/>
          <w:rtl/>
        </w:rPr>
        <w:t>الوافي</w:t>
      </w:r>
      <w:r w:rsidR="00992664" w:rsidRPr="00020424">
        <w:rPr>
          <w:rtl/>
        </w:rPr>
        <w:t xml:space="preserve"> ، ج 11 ، ص 255 ، ح 10805 ؛ </w:t>
      </w:r>
      <w:r w:rsidR="00992664" w:rsidRPr="0012008A">
        <w:rPr>
          <w:rStyle w:val="libFootnoteBoldChar"/>
          <w:rtl/>
        </w:rPr>
        <w:t>الوسائل</w:t>
      </w:r>
      <w:r w:rsidR="00992664" w:rsidRPr="00020424">
        <w:rPr>
          <w:rtl/>
        </w:rPr>
        <w:t xml:space="preserve"> ، ج 10 ، ص 153 ، ح 13089.</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عن أحمد بن محمّد بن خالد » بدل « عن أحمد بن محمّد ، عن محمّد بن خالد » ، وهو سهو ، كما</w:t>
      </w:r>
      <w:r w:rsidR="007B3A69">
        <w:rPr>
          <w:rFonts w:hint="cs"/>
          <w:rtl/>
        </w:rPr>
        <w:t xml:space="preserve"> </w:t>
      </w:r>
      <w:r w:rsidR="00992664" w:rsidRPr="00020424">
        <w:rPr>
          <w:rtl/>
        </w:rPr>
        <w:t xml:space="preserve">تقدّم في </w:t>
      </w:r>
      <w:r w:rsidR="00992664" w:rsidRPr="00DE76B9">
        <w:rPr>
          <w:rStyle w:val="libFootnoteBoldChar"/>
          <w:rtl/>
        </w:rPr>
        <w:t>الكافي</w:t>
      </w:r>
      <w:r w:rsidR="00992664" w:rsidRPr="00020424">
        <w:rPr>
          <w:rtl/>
        </w:rPr>
        <w:t xml:space="preserve"> ، ج 2 ، ص 509 ، ذيل ح 2 ، وص 562 ، ذيل ح 20.</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جر » : « أصحابنا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7B3A69">
      <w:pPr>
        <w:pStyle w:val="libNormal0"/>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 « لَا يَصْلُحُ </w:t>
      </w:r>
      <w:r w:rsidRPr="00A91B96">
        <w:rPr>
          <w:rStyle w:val="libFootnotenumChar"/>
          <w:rtl/>
        </w:rPr>
        <w:t>(1)</w:t>
      </w:r>
      <w:r w:rsidRPr="00020424">
        <w:rPr>
          <w:rtl/>
          <w:lang w:bidi="fa-IR"/>
        </w:rPr>
        <w:t xml:space="preserve"> لِلْمَرْأَة</w:t>
      </w:r>
      <w:r w:rsidR="007B3A69">
        <w:rPr>
          <w:rtl/>
          <w:lang w:bidi="fa-IR"/>
        </w:rPr>
        <w:t>ِ أَنْ تَصُومَ تَطَوُّعاً إِل</w:t>
      </w:r>
      <w:r w:rsidR="007B3A69">
        <w:rPr>
          <w:rFonts w:hint="cs"/>
          <w:rtl/>
          <w:lang w:bidi="fa-IR"/>
        </w:rPr>
        <w:t>َّ</w:t>
      </w:r>
      <w:r w:rsidR="007B3A69">
        <w:rPr>
          <w:rtl/>
          <w:lang w:bidi="fa-IR"/>
        </w:rPr>
        <w:t>ا</w:t>
      </w:r>
      <w:r w:rsidRPr="00020424">
        <w:rPr>
          <w:rtl/>
          <w:lang w:bidi="fa-IR"/>
        </w:rPr>
        <w:t xml:space="preserve"> بِإِذْنِ زَوْجِهَا</w:t>
      </w:r>
      <w:r>
        <w:rPr>
          <w:rtl/>
          <w:lang w:bidi="fa-IR"/>
        </w:rPr>
        <w:t>».</w:t>
      </w:r>
      <w:r w:rsidRPr="00A91B96">
        <w:rPr>
          <w:rStyle w:val="libFootnotenumChar"/>
          <w:rtl/>
        </w:rPr>
        <w:t>(2)</w:t>
      </w:r>
      <w:r w:rsidRPr="00020424">
        <w:rPr>
          <w:rtl/>
          <w:lang w:bidi="fa-IR"/>
        </w:rPr>
        <w:t>‌</w:t>
      </w:r>
    </w:p>
    <w:p w:rsidR="00992664" w:rsidRPr="00020424" w:rsidRDefault="00992664" w:rsidP="00992664">
      <w:pPr>
        <w:pStyle w:val="libNormal"/>
        <w:rPr>
          <w:rtl/>
          <w:lang w:bidi="fa-IR"/>
        </w:rPr>
      </w:pPr>
      <w:r w:rsidRPr="003C58A1">
        <w:rPr>
          <w:rtl/>
        </w:rPr>
        <w:t>6599</w:t>
      </w:r>
      <w:r w:rsidRPr="001155DE">
        <w:rPr>
          <w:rStyle w:val="libBold2Char"/>
          <w:rtl/>
        </w:rPr>
        <w:t xml:space="preserve"> / 2.</w:t>
      </w:r>
      <w:r w:rsidRPr="00020424">
        <w:rPr>
          <w:rtl/>
          <w:lang w:bidi="fa-IR"/>
        </w:rPr>
        <w:t xml:space="preserve"> مُحَمَّدُ بْنُ يَحْيى ، عَنْ مُحَمَّدِ بْنِ أَحْمَدَ ، عَنْ أَحْمَدَ بْنِ هِلَالٍ ، عَنْ مَرْوَكِ بْنِ عُبَيْدٍ </w:t>
      </w:r>
      <w:r w:rsidRPr="00A91B96">
        <w:rPr>
          <w:rStyle w:val="libFootnotenumChar"/>
          <w:rtl/>
        </w:rPr>
        <w:t>(3)</w:t>
      </w:r>
      <w:r w:rsidRPr="00020424">
        <w:rPr>
          <w:rtl/>
          <w:lang w:bidi="fa-IR"/>
        </w:rPr>
        <w:t xml:space="preserve"> ، عَنْ نَشِيطِ بْنِ صَالِحٍ ، عَنْ هِشَامِ بْنِ الْحَكَمِ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مِنْ فِقْهِ الضَّيْفِ أ</w:t>
      </w:r>
      <w:r w:rsidR="007B3A69">
        <w:rPr>
          <w:rtl/>
          <w:lang w:bidi="fa-IR"/>
        </w:rPr>
        <w:t>َنْ لَايَصُومَ تَطَوُّعاً إِل</w:t>
      </w:r>
      <w:r w:rsidR="007B3A69">
        <w:rPr>
          <w:rFonts w:hint="cs"/>
          <w:rtl/>
          <w:lang w:bidi="fa-IR"/>
        </w:rPr>
        <w:t>َّ</w:t>
      </w:r>
      <w:r w:rsidR="007B3A69">
        <w:rPr>
          <w:rtl/>
          <w:lang w:bidi="fa-IR"/>
        </w:rPr>
        <w:t>ا</w:t>
      </w:r>
      <w:r w:rsidRPr="00020424">
        <w:rPr>
          <w:rtl/>
          <w:lang w:bidi="fa-IR"/>
        </w:rPr>
        <w:t xml:space="preserve"> بِإِذْنِ صَاحِبِهِ ، وَمِنْ طَاعَةِ الْمَرْأَةِ لِزَوْجِهَا أ</w:t>
      </w:r>
      <w:r w:rsidR="00F41563">
        <w:rPr>
          <w:rtl/>
          <w:lang w:bidi="fa-IR"/>
        </w:rPr>
        <w:t>َنْ لَاتَصُومَ تَطَوُّعاً إِل</w:t>
      </w:r>
      <w:r w:rsidR="00F41563">
        <w:rPr>
          <w:rFonts w:hint="cs"/>
          <w:rtl/>
          <w:lang w:bidi="fa-IR"/>
        </w:rPr>
        <w:t>َّ</w:t>
      </w:r>
      <w:r w:rsidR="00F41563">
        <w:rPr>
          <w:rtl/>
          <w:lang w:bidi="fa-IR"/>
        </w:rPr>
        <w:t>ا</w:t>
      </w:r>
      <w:r w:rsidRPr="00020424">
        <w:rPr>
          <w:rtl/>
          <w:lang w:bidi="fa-IR"/>
        </w:rPr>
        <w:t xml:space="preserve"> بِإِذْنِهِ وَأَمْرِهِ </w:t>
      </w:r>
      <w:r w:rsidRPr="00A91B96">
        <w:rPr>
          <w:rStyle w:val="libFootnotenumChar"/>
          <w:rtl/>
        </w:rPr>
        <w:t>(4)</w:t>
      </w:r>
      <w:r w:rsidRPr="00020424">
        <w:rPr>
          <w:rtl/>
          <w:lang w:bidi="fa-IR"/>
        </w:rPr>
        <w:t xml:space="preserve"> ، وَمِنْ صَلَاحِ الْعَبْدِ وَطَاعَتِهِ وَنُصْحِهِ </w:t>
      </w:r>
      <w:r w:rsidRPr="00A91B96">
        <w:rPr>
          <w:rStyle w:val="libFootnotenumChar"/>
          <w:rtl/>
        </w:rPr>
        <w:t>(5)</w:t>
      </w:r>
      <w:r w:rsidRPr="00020424">
        <w:rPr>
          <w:rtl/>
          <w:lang w:bidi="fa-IR"/>
        </w:rPr>
        <w:t xml:space="preserve"> لِمَوْلَاهُ أ</w:t>
      </w:r>
      <w:r w:rsidR="00F41563">
        <w:rPr>
          <w:rtl/>
          <w:lang w:bidi="fa-IR"/>
        </w:rPr>
        <w:t>َنْ لَايَصُومَ تَطَوُّعاً إِل</w:t>
      </w:r>
      <w:r w:rsidR="00F41563">
        <w:rPr>
          <w:rFonts w:hint="cs"/>
          <w:rtl/>
          <w:lang w:bidi="fa-IR"/>
        </w:rPr>
        <w:t>َّ</w:t>
      </w:r>
      <w:r w:rsidR="00F41563">
        <w:rPr>
          <w:rtl/>
          <w:lang w:bidi="fa-IR"/>
        </w:rPr>
        <w:t>ا</w:t>
      </w:r>
      <w:r w:rsidRPr="00020424">
        <w:rPr>
          <w:rtl/>
          <w:lang w:bidi="fa-IR"/>
        </w:rPr>
        <w:t xml:space="preserve"> بِإِذْنِ مَوْلَاهُ وَأَمْرِهِ ، وَمِنْ بِرِّ الْوَلَدِ </w:t>
      </w:r>
      <w:r w:rsidRPr="00A91B96">
        <w:rPr>
          <w:rStyle w:val="libFootnotenumChar"/>
          <w:rtl/>
        </w:rPr>
        <w:t>(6)</w:t>
      </w:r>
      <w:r w:rsidRPr="00020424">
        <w:rPr>
          <w:rtl/>
          <w:lang w:bidi="fa-IR"/>
        </w:rPr>
        <w:t xml:space="preserve"> أَنْ لَايَصُومَ تَطَوُّعاً </w:t>
      </w:r>
      <w:r w:rsidRPr="00A91B96">
        <w:rPr>
          <w:rStyle w:val="libFootnotenumChar"/>
          <w:rtl/>
        </w:rPr>
        <w:t>(7)</w:t>
      </w:r>
      <w:r w:rsidR="00F41563">
        <w:rPr>
          <w:rtl/>
          <w:lang w:bidi="fa-IR"/>
        </w:rPr>
        <w:t xml:space="preserve"> إِل</w:t>
      </w:r>
      <w:r w:rsidR="00F41563">
        <w:rPr>
          <w:rFonts w:hint="cs"/>
          <w:rtl/>
          <w:lang w:bidi="fa-IR"/>
        </w:rPr>
        <w:t>َّ</w:t>
      </w:r>
      <w:r w:rsidR="00F41563">
        <w:rPr>
          <w:rtl/>
          <w:lang w:bidi="fa-IR"/>
        </w:rPr>
        <w:t>ا</w:t>
      </w:r>
      <w:r w:rsidRPr="00020424">
        <w:rPr>
          <w:rtl/>
          <w:lang w:bidi="fa-IR"/>
        </w:rPr>
        <w:t xml:space="preserve"> بِإِذْنِ أَب</w:t>
      </w:r>
      <w:r w:rsidR="00F41563">
        <w:rPr>
          <w:rtl/>
          <w:lang w:bidi="fa-IR"/>
        </w:rPr>
        <w:t>َوَيْهِ وَأَمْرِهِمَا ، وَإِل</w:t>
      </w:r>
      <w:r w:rsidR="00F41563">
        <w:rPr>
          <w:rFonts w:hint="cs"/>
          <w:rtl/>
          <w:lang w:bidi="fa-IR"/>
        </w:rPr>
        <w:t>َّ</w:t>
      </w:r>
      <w:r w:rsidR="00F41563">
        <w:rPr>
          <w:rtl/>
          <w:lang w:bidi="fa-IR"/>
        </w:rPr>
        <w:t>ا</w:t>
      </w:r>
      <w:r w:rsidRPr="00020424">
        <w:rPr>
          <w:rtl/>
          <w:lang w:bidi="fa-IR"/>
        </w:rPr>
        <w:t xml:space="preserve"> كَانَ الضَّيْفُ جَاهِلاً </w:t>
      </w:r>
      <w:r w:rsidRPr="00A91B96">
        <w:rPr>
          <w:rStyle w:val="libFootnotenumChar"/>
          <w:rtl/>
        </w:rPr>
        <w:t>(8)</w:t>
      </w:r>
      <w:r w:rsidRPr="00020424">
        <w:rPr>
          <w:rtl/>
          <w:lang w:bidi="fa-IR"/>
        </w:rPr>
        <w:t xml:space="preserve"> ، وَكَانَتِ الْمَرْأَةُ عَاصِيَةً ، وَكَانَ الْعَبْدُ فَاسِقاً </w:t>
      </w:r>
      <w:r w:rsidRPr="00A91B96">
        <w:rPr>
          <w:rStyle w:val="libFootnotenumChar"/>
          <w:rtl/>
        </w:rPr>
        <w:t>(9)</w:t>
      </w:r>
      <w:r w:rsidRPr="00020424">
        <w:rPr>
          <w:rtl/>
          <w:lang w:bidi="fa-IR"/>
        </w:rPr>
        <w:t xml:space="preserve"> عَاصِياً </w:t>
      </w:r>
      <w:r w:rsidRPr="00A91B96">
        <w:rPr>
          <w:rStyle w:val="libFootnotenumChar"/>
          <w:rtl/>
        </w:rPr>
        <w:t>(10)</w:t>
      </w:r>
      <w:r w:rsidRPr="00020424">
        <w:rPr>
          <w:rtl/>
          <w:lang w:bidi="fa-IR"/>
        </w:rPr>
        <w:t xml:space="preserve"> ، وَكَانَ الْوَلَدُ عَاقّاً </w:t>
      </w:r>
      <w:r w:rsidRPr="00A91B96">
        <w:rPr>
          <w:rStyle w:val="libFootnotenumChar"/>
          <w:rtl/>
        </w:rPr>
        <w:t>(11)</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371 : « قوله </w:t>
      </w:r>
      <w:r w:rsidR="00992664" w:rsidRPr="00D64ADA">
        <w:rPr>
          <w:rStyle w:val="libFootnoteAlaemChar"/>
          <w:rtl/>
        </w:rPr>
        <w:t>عليه‌السلام</w:t>
      </w:r>
      <w:r w:rsidR="00992664" w:rsidRPr="00020424">
        <w:rPr>
          <w:rtl/>
        </w:rPr>
        <w:t xml:space="preserve"> : لا تصلح ، ظاهره الكراهة ، والمشهور بين الأصحاب ، بل المتّفق</w:t>
      </w:r>
      <w:r w:rsidR="00F41563">
        <w:rPr>
          <w:rFonts w:hint="cs"/>
          <w:rtl/>
        </w:rPr>
        <w:t xml:space="preserve"> </w:t>
      </w:r>
      <w:r w:rsidR="00992664" w:rsidRPr="00020424">
        <w:rPr>
          <w:rtl/>
        </w:rPr>
        <w:t>‌عليه بينهم أنّه لا يجوز صوم المرأة ندباً مع نهي زوجها عنه ، والمشهور عدم الجواز مع عدم الإذن أيضاً وإن لم ينه. وذهب جماعة إلى الجواز مع عدم النهي ، وظاهر الخبر اشتراط الإذن لكن ليس بصريح في الحرمة كما عرفت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A722B1">
        <w:rPr>
          <w:rStyle w:val="libFootnoteBoldChar"/>
          <w:rtl/>
        </w:rPr>
        <w:t>الخصال</w:t>
      </w:r>
      <w:r w:rsidR="00992664" w:rsidRPr="00020424">
        <w:rPr>
          <w:rtl/>
        </w:rPr>
        <w:t xml:space="preserve"> ، ص 585 ، أبواب السبعين ومافوقه ، ضمن الحديث الطويل 12 ، بسند آخر عن أبي جعفر الباقر</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الوافي</w:t>
      </w:r>
      <w:r w:rsidR="00992664" w:rsidRPr="00020424">
        <w:rPr>
          <w:rtl/>
        </w:rPr>
        <w:t xml:space="preserve"> ، ج 11 ، ص 87 ، ح 10464 ؛ </w:t>
      </w:r>
      <w:r w:rsidR="00992664" w:rsidRPr="0012008A">
        <w:rPr>
          <w:rStyle w:val="libFootnoteBoldChar"/>
          <w:rtl/>
        </w:rPr>
        <w:t>الوسائل</w:t>
      </w:r>
      <w:r w:rsidR="00992664" w:rsidRPr="00020424">
        <w:rPr>
          <w:rtl/>
        </w:rPr>
        <w:t xml:space="preserve"> ، ج 10 ، ص 527 ، ح 14037.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ورد الخبر في </w:t>
      </w:r>
      <w:r w:rsidR="00992664" w:rsidRPr="00DE76B9">
        <w:rPr>
          <w:rStyle w:val="libFootnoteBoldChar"/>
          <w:rtl/>
        </w:rPr>
        <w:t>علل الشرائع</w:t>
      </w:r>
      <w:r w:rsidR="00992664" w:rsidRPr="00020424">
        <w:rPr>
          <w:rtl/>
        </w:rPr>
        <w:t xml:space="preserve"> ، ص 385 ، ح 4 ، بسنده عن أحمد بن هلال ، عن متروك بن عبيد ، والمذكور في </w:t>
      </w:r>
      <w:r w:rsidR="00992664" w:rsidRPr="00DE76B9">
        <w:rPr>
          <w:rStyle w:val="libFootnoteBoldChar"/>
          <w:rtl/>
        </w:rPr>
        <w:t>بحار الأنوار</w:t>
      </w:r>
      <w:r w:rsidR="00992664" w:rsidRPr="00020424">
        <w:rPr>
          <w:rtl/>
        </w:rPr>
        <w:t xml:space="preserve"> ، ج 96 ، ص 265 ، ح 11</w:t>
      </w:r>
      <w:r w:rsidR="00992664">
        <w:rPr>
          <w:rtl/>
        </w:rPr>
        <w:t xml:space="preserve"> </w:t>
      </w:r>
      <w:r w:rsidR="009B673F">
        <w:rPr>
          <w:rtl/>
        </w:rPr>
        <w:t>-</w:t>
      </w:r>
      <w:r w:rsidR="00992664">
        <w:rPr>
          <w:rtl/>
        </w:rPr>
        <w:t xml:space="preserve"> </w:t>
      </w:r>
      <w:r w:rsidR="00992664" w:rsidRPr="00020424">
        <w:rPr>
          <w:rtl/>
        </w:rPr>
        <w:t>نقلاً من العلل</w:t>
      </w:r>
      <w:r w:rsidR="00992664">
        <w:rPr>
          <w:rtl/>
        </w:rPr>
        <w:t xml:space="preserve"> </w:t>
      </w:r>
      <w:r w:rsidR="009B673F">
        <w:rPr>
          <w:rtl/>
        </w:rPr>
        <w:t>-</w:t>
      </w:r>
      <w:r w:rsidR="00992664">
        <w:rPr>
          <w:rtl/>
        </w:rPr>
        <w:t xml:space="preserve"> </w:t>
      </w:r>
      <w:r w:rsidR="00992664" w:rsidRPr="00020424">
        <w:rPr>
          <w:rtl/>
        </w:rPr>
        <w:t xml:space="preserve">مروك بن عبيد ، وهو الصواب. راجع : </w:t>
      </w:r>
      <w:r w:rsidR="00992664" w:rsidRPr="00DE76B9">
        <w:rPr>
          <w:rStyle w:val="libFootnoteBoldChar"/>
          <w:rtl/>
        </w:rPr>
        <w:t>رجال النجاشي</w:t>
      </w:r>
      <w:r w:rsidR="00992664" w:rsidRPr="00020424">
        <w:rPr>
          <w:rtl/>
        </w:rPr>
        <w:t xml:space="preserve"> ، ص 425 ، الرقم 1142 ؛ </w:t>
      </w:r>
      <w:r w:rsidR="00992664" w:rsidRPr="00D530ED">
        <w:rPr>
          <w:rStyle w:val="libFootnoteBoldChar"/>
          <w:rtl/>
        </w:rPr>
        <w:t>الفهرست للطوسي</w:t>
      </w:r>
      <w:r w:rsidR="00992664" w:rsidRPr="00020424">
        <w:rPr>
          <w:rtl/>
        </w:rPr>
        <w:t xml:space="preserve"> ، ص 471 ، الرقم 755.</w:t>
      </w:r>
    </w:p>
    <w:tbl>
      <w:tblPr>
        <w:tblStyle w:val="TableGrid"/>
        <w:bidiVisual/>
        <w:tblW w:w="0" w:type="auto"/>
        <w:tblLook w:val="04A0" w:firstRow="1" w:lastRow="0" w:firstColumn="1" w:lastColumn="0" w:noHBand="0" w:noVBand="1"/>
      </w:tblPr>
      <w:tblGrid>
        <w:gridCol w:w="4006"/>
        <w:gridCol w:w="4006"/>
      </w:tblGrid>
      <w:tr w:rsidR="00F41563" w:rsidTr="00F41563">
        <w:tc>
          <w:tcPr>
            <w:tcW w:w="4006" w:type="dxa"/>
          </w:tcPr>
          <w:p w:rsidR="00F41563" w:rsidRDefault="00F41563" w:rsidP="00992664">
            <w:pPr>
              <w:pStyle w:val="libFootnote0"/>
              <w:rPr>
                <w:rtl/>
              </w:rPr>
            </w:pPr>
            <w:r>
              <w:rPr>
                <w:rtl/>
              </w:rPr>
              <w:t xml:space="preserve">(4). </w:t>
            </w:r>
            <w:r w:rsidRPr="00020424">
              <w:rPr>
                <w:rtl/>
              </w:rPr>
              <w:t xml:space="preserve">في </w:t>
            </w:r>
            <w:r w:rsidRPr="00F41563">
              <w:rPr>
                <w:rtl/>
              </w:rPr>
              <w:t>الوافي</w:t>
            </w:r>
            <w:r w:rsidRPr="00020424">
              <w:rPr>
                <w:rtl/>
              </w:rPr>
              <w:t xml:space="preserve"> : « بإذن زوجها » بدل « بإذنه وأمره</w:t>
            </w:r>
            <w:r>
              <w:rPr>
                <w:rtl/>
              </w:rPr>
              <w:t xml:space="preserve"> ».</w:t>
            </w:r>
          </w:p>
        </w:tc>
        <w:tc>
          <w:tcPr>
            <w:tcW w:w="4006" w:type="dxa"/>
          </w:tcPr>
          <w:p w:rsidR="00F41563" w:rsidRDefault="00F41563" w:rsidP="00992664">
            <w:pPr>
              <w:pStyle w:val="libFootnote0"/>
              <w:rPr>
                <w:rtl/>
              </w:rPr>
            </w:pPr>
            <w:r>
              <w:rPr>
                <w:rtl/>
              </w:rPr>
              <w:t xml:space="preserve">(5). </w:t>
            </w:r>
            <w:r w:rsidRPr="00020424">
              <w:rPr>
                <w:rtl/>
              </w:rPr>
              <w:t xml:space="preserve">في حاشية « بث » </w:t>
            </w:r>
            <w:r w:rsidRPr="00F41563">
              <w:rPr>
                <w:rtl/>
              </w:rPr>
              <w:t>والفقيه</w:t>
            </w:r>
            <w:r w:rsidRPr="00020424">
              <w:rPr>
                <w:rtl/>
              </w:rPr>
              <w:t xml:space="preserve"> : « ونصيحته</w:t>
            </w:r>
            <w:r>
              <w:rPr>
                <w:rtl/>
              </w:rPr>
              <w:t xml:space="preserve"> ».</w:t>
            </w:r>
          </w:p>
        </w:tc>
      </w:tr>
      <w:tr w:rsidR="00F41563" w:rsidTr="00F41563">
        <w:tc>
          <w:tcPr>
            <w:tcW w:w="4006" w:type="dxa"/>
          </w:tcPr>
          <w:p w:rsidR="00F41563" w:rsidRDefault="00F41563" w:rsidP="00992664">
            <w:pPr>
              <w:pStyle w:val="libFootnote0"/>
              <w:rPr>
                <w:rtl/>
              </w:rPr>
            </w:pPr>
            <w:r>
              <w:rPr>
                <w:rtl/>
              </w:rPr>
              <w:t xml:space="preserve">(6). </w:t>
            </w:r>
            <w:r w:rsidRPr="00020424">
              <w:rPr>
                <w:rtl/>
              </w:rPr>
              <w:t xml:space="preserve">في </w:t>
            </w:r>
            <w:r w:rsidRPr="00F41563">
              <w:rPr>
                <w:rtl/>
              </w:rPr>
              <w:t>الوافي</w:t>
            </w:r>
            <w:r w:rsidRPr="00020424">
              <w:rPr>
                <w:rtl/>
              </w:rPr>
              <w:t xml:space="preserve"> : + « بأبويه</w:t>
            </w:r>
            <w:r>
              <w:rPr>
                <w:rtl/>
              </w:rPr>
              <w:t xml:space="preserve"> ».</w:t>
            </w:r>
          </w:p>
        </w:tc>
        <w:tc>
          <w:tcPr>
            <w:tcW w:w="4006" w:type="dxa"/>
          </w:tcPr>
          <w:p w:rsidR="00F41563" w:rsidRDefault="00F41563" w:rsidP="00992664">
            <w:pPr>
              <w:pStyle w:val="libFootnote0"/>
              <w:rPr>
                <w:rtl/>
              </w:rPr>
            </w:pPr>
            <w:r>
              <w:rPr>
                <w:rtl/>
              </w:rPr>
              <w:t>(7). في العلل:+ «</w:t>
            </w:r>
            <w:r w:rsidRPr="00020424">
              <w:rPr>
                <w:rtl/>
              </w:rPr>
              <w:t>ولا يحجّ تطوّعاً ولا يصلّي تطوّعاً</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عن المحقّق الشعراني في هامش </w:t>
      </w:r>
      <w:r w:rsidR="00992664" w:rsidRPr="0012008A">
        <w:rPr>
          <w:rStyle w:val="libFootnoteBoldChar"/>
          <w:rtl/>
        </w:rPr>
        <w:t>الوافي</w:t>
      </w:r>
      <w:r w:rsidR="00F41563">
        <w:rPr>
          <w:rtl/>
        </w:rPr>
        <w:t xml:space="preserve"> : « قوله : وإل</w:t>
      </w:r>
      <w:r w:rsidR="00F41563">
        <w:rPr>
          <w:rFonts w:hint="cs"/>
          <w:rtl/>
        </w:rPr>
        <w:t>ّ</w:t>
      </w:r>
      <w:r w:rsidR="00F41563">
        <w:rPr>
          <w:rtl/>
        </w:rPr>
        <w:t>ا</w:t>
      </w:r>
      <w:r w:rsidR="00992664" w:rsidRPr="00020424">
        <w:rPr>
          <w:rtl/>
        </w:rPr>
        <w:t xml:space="preserve"> كان الضيف جاهلاً ، هذا يدلّ على أنّ نهي الضيف عن الصوم نهي تنزيهيّ ؛ لأنّه مخالف لآداب المعاشرة ، فيصحّ صومه إن خالف قطعاً ، وتحريميّ بالنسبة إلى الولد والوالدين ؛ لأنّه عقوق ، وبالنسبة إلى الزوجة كذلك ؛ لأنّه نشوز ، وبالنسبة إلى العبد عصيان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41563" w:rsidTr="00F41563">
        <w:tc>
          <w:tcPr>
            <w:tcW w:w="4006" w:type="dxa"/>
          </w:tcPr>
          <w:p w:rsidR="00F41563" w:rsidRDefault="00F41563" w:rsidP="00992664">
            <w:pPr>
              <w:pStyle w:val="libFootnote0"/>
              <w:rPr>
                <w:rtl/>
              </w:rPr>
            </w:pPr>
            <w:r>
              <w:rPr>
                <w:rtl/>
              </w:rPr>
              <w:t xml:space="preserve">(9). </w:t>
            </w:r>
            <w:r w:rsidRPr="00020424">
              <w:rPr>
                <w:rtl/>
              </w:rPr>
              <w:t xml:space="preserve">في </w:t>
            </w:r>
            <w:r w:rsidRPr="0012008A">
              <w:rPr>
                <w:rStyle w:val="libFootnoteBoldChar"/>
                <w:rtl/>
              </w:rPr>
              <w:t>الفقيه</w:t>
            </w:r>
            <w:r w:rsidRPr="00020424">
              <w:rPr>
                <w:rtl/>
              </w:rPr>
              <w:t xml:space="preserve"> والعلل : « فاسداً</w:t>
            </w:r>
            <w:r>
              <w:rPr>
                <w:rtl/>
              </w:rPr>
              <w:t xml:space="preserve"> ».</w:t>
            </w:r>
          </w:p>
        </w:tc>
        <w:tc>
          <w:tcPr>
            <w:tcW w:w="4006" w:type="dxa"/>
          </w:tcPr>
          <w:p w:rsidR="00F41563" w:rsidRDefault="00F41563" w:rsidP="00992664">
            <w:pPr>
              <w:pStyle w:val="libFootnote0"/>
              <w:rPr>
                <w:rtl/>
              </w:rPr>
            </w:pPr>
            <w:r>
              <w:rPr>
                <w:rtl/>
              </w:rPr>
              <w:t xml:space="preserve">(10). </w:t>
            </w:r>
            <w:r w:rsidRPr="00020424">
              <w:rPr>
                <w:rtl/>
              </w:rPr>
              <w:t>في العلل : + « غاشّاً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العلل : + « قاطعاً للرحم</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DE76B9">
        <w:rPr>
          <w:rStyle w:val="libFootnoteBoldChar"/>
          <w:rtl/>
        </w:rPr>
        <w:t>علل الشرائع</w:t>
      </w:r>
      <w:r w:rsidR="00992664" w:rsidRPr="00020424">
        <w:rPr>
          <w:rtl/>
        </w:rPr>
        <w:t xml:space="preserve"> ، ص 385 ، ح 4 ، بسنده عن محمّد بن أحمد ، عن أحمد بن هلال ، عن متروك بن عبيد ، عن </w:t>
      </w:r>
      <w:r w:rsidR="00F4156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905FF">
        <w:rPr>
          <w:rtl/>
        </w:rPr>
        <w:t>6600</w:t>
      </w:r>
      <w:r w:rsidRPr="001155DE">
        <w:rPr>
          <w:rStyle w:val="libBold2Char"/>
          <w:rtl/>
        </w:rPr>
        <w:t xml:space="preserve"> / 3.</w:t>
      </w:r>
      <w:r w:rsidRPr="00020424">
        <w:rPr>
          <w:rtl/>
          <w:lang w:bidi="fa-IR"/>
        </w:rPr>
        <w:t xml:space="preserve"> عَلِيُّ بْنُ مُحَمَّدِ بْنِ بُنْدَارَ وَغَيْرُهُ </w:t>
      </w:r>
      <w:r w:rsidRPr="00A91B96">
        <w:rPr>
          <w:rStyle w:val="libFootnotenumChar"/>
          <w:rtl/>
        </w:rPr>
        <w:t>(1)</w:t>
      </w:r>
      <w:r w:rsidRPr="00020424">
        <w:rPr>
          <w:rtl/>
          <w:lang w:bidi="fa-IR"/>
        </w:rPr>
        <w:t xml:space="preserve"> ، عَنْ إِبْرَاهِيمَ بْنِ إِسْحَاقَ بِإِسْنَادٍ ذَكَرَهُ ، عَنِ الْفُضَيْلِ بْنِ يَسَارٍ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إِذَا دَخَلَ رَجُلٌ </w:t>
      </w:r>
      <w:r w:rsidRPr="00A91B96">
        <w:rPr>
          <w:rStyle w:val="libFootnotenumChar"/>
          <w:rtl/>
        </w:rPr>
        <w:t>(2)</w:t>
      </w:r>
      <w:r w:rsidRPr="00020424">
        <w:rPr>
          <w:rtl/>
          <w:lang w:bidi="fa-IR"/>
        </w:rPr>
        <w:t xml:space="preserve"> بَلْدَةً ، فَهُوَ ضَيْفٌ عَلى مَنْ بِهَا مِنْ </w:t>
      </w:r>
      <w:r w:rsidRPr="00A91B96">
        <w:rPr>
          <w:rStyle w:val="libFootnotenumChar"/>
          <w:rtl/>
        </w:rPr>
        <w:t>(3)</w:t>
      </w:r>
      <w:r w:rsidRPr="00020424">
        <w:rPr>
          <w:rtl/>
          <w:lang w:bidi="fa-IR"/>
        </w:rPr>
        <w:t xml:space="preserve"> أَهْلِ دِينِهِ حَتّى يَرْحَلَ عَنْهُمْ ، وَلَايَنْبَغِ</w:t>
      </w:r>
      <w:r w:rsidR="00F41563">
        <w:rPr>
          <w:rtl/>
          <w:lang w:bidi="fa-IR"/>
        </w:rPr>
        <w:t>ي لِلضَّيْفِ أَنْ يَصُومَ إِل</w:t>
      </w:r>
      <w:r w:rsidR="00F41563">
        <w:rPr>
          <w:rFonts w:hint="cs"/>
          <w:rtl/>
          <w:lang w:bidi="fa-IR"/>
        </w:rPr>
        <w:t>َّ</w:t>
      </w:r>
      <w:r w:rsidR="00F41563">
        <w:rPr>
          <w:rtl/>
          <w:lang w:bidi="fa-IR"/>
        </w:rPr>
        <w:t>ا</w:t>
      </w:r>
      <w:r w:rsidR="004F15C3">
        <w:rPr>
          <w:rtl/>
          <w:lang w:bidi="fa-IR"/>
        </w:rPr>
        <w:t xml:space="preserve"> بِإِذْنِهِمْ لِئَل</w:t>
      </w:r>
      <w:r w:rsidR="004F15C3">
        <w:rPr>
          <w:rFonts w:hint="cs"/>
          <w:rtl/>
          <w:lang w:bidi="fa-IR"/>
        </w:rPr>
        <w:t>َّ</w:t>
      </w:r>
      <w:r w:rsidR="004F15C3">
        <w:rPr>
          <w:rtl/>
          <w:lang w:bidi="fa-IR"/>
        </w:rPr>
        <w:t>ا</w:t>
      </w:r>
      <w:r w:rsidRPr="00020424">
        <w:rPr>
          <w:rtl/>
          <w:lang w:bidi="fa-IR"/>
        </w:rPr>
        <w:t xml:space="preserve"> يَعْمَلُوا الشَّيْ‌ءَ ، فَيَفْسُدَ عَلَيْهِمْ ، وَلَايَنْبَ</w:t>
      </w:r>
      <w:r w:rsidR="004F15C3">
        <w:rPr>
          <w:rtl/>
          <w:lang w:bidi="fa-IR"/>
        </w:rPr>
        <w:t>غِي لَهُمْ أَنْ يَصُومُوا إِل</w:t>
      </w:r>
      <w:r w:rsidR="004F15C3">
        <w:rPr>
          <w:rFonts w:hint="cs"/>
          <w:rtl/>
          <w:lang w:bidi="fa-IR"/>
        </w:rPr>
        <w:t>َّ</w:t>
      </w:r>
      <w:r w:rsidR="004F15C3">
        <w:rPr>
          <w:rtl/>
          <w:lang w:bidi="fa-IR"/>
        </w:rPr>
        <w:t>ا</w:t>
      </w:r>
      <w:r w:rsidRPr="00020424">
        <w:rPr>
          <w:rtl/>
          <w:lang w:bidi="fa-IR"/>
        </w:rPr>
        <w:t xml:space="preserve"> بِإِذْنِ الضَّيْف</w:t>
      </w:r>
      <w:r w:rsidR="004F15C3">
        <w:rPr>
          <w:rtl/>
          <w:lang w:bidi="fa-IR"/>
        </w:rPr>
        <w:t>ِ لِئَل</w:t>
      </w:r>
      <w:r w:rsidR="004F15C3">
        <w:rPr>
          <w:rFonts w:hint="cs"/>
          <w:rtl/>
          <w:lang w:bidi="fa-IR"/>
        </w:rPr>
        <w:t>َّ</w:t>
      </w:r>
      <w:r w:rsidR="004F15C3">
        <w:rPr>
          <w:rtl/>
          <w:lang w:bidi="fa-IR"/>
        </w:rPr>
        <w:t>ا</w:t>
      </w:r>
      <w:r w:rsidRPr="00020424">
        <w:rPr>
          <w:rtl/>
          <w:lang w:bidi="fa-IR"/>
        </w:rPr>
        <w:t xml:space="preserve"> يَحْتَشِمَهُمْ </w:t>
      </w:r>
      <w:r w:rsidRPr="00A91B96">
        <w:rPr>
          <w:rStyle w:val="libFootnotenumChar"/>
          <w:rtl/>
        </w:rPr>
        <w:t>(4)</w:t>
      </w:r>
      <w:r w:rsidRPr="00020424">
        <w:rPr>
          <w:rtl/>
          <w:lang w:bidi="fa-IR"/>
        </w:rPr>
        <w:t xml:space="preserve"> ، فَيَشْتَهِيَ الطَّعَامَ ، فَيَتْرُكَهُ لَهُمْ</w:t>
      </w:r>
      <w:r>
        <w:rPr>
          <w:rtl/>
          <w:lang w:bidi="fa-IR"/>
        </w:rPr>
        <w:t xml:space="preserve"> ».</w:t>
      </w:r>
      <w:r w:rsidRPr="00020424">
        <w:rPr>
          <w:rtl/>
          <w:lang w:bidi="fa-IR"/>
        </w:rPr>
        <w:t xml:space="preserve"> </w:t>
      </w:r>
      <w:r w:rsidRPr="00A91B96">
        <w:rPr>
          <w:rStyle w:val="libFootnotenumChar"/>
          <w:rtl/>
        </w:rPr>
        <w:t>(5)</w:t>
      </w:r>
    </w:p>
    <w:p w:rsidR="00992664" w:rsidRPr="00020424" w:rsidRDefault="00992664" w:rsidP="00992664">
      <w:pPr>
        <w:pStyle w:val="libLine"/>
        <w:rPr>
          <w:rtl/>
          <w:lang w:bidi="fa-IR"/>
        </w:rPr>
      </w:pPr>
      <w:r w:rsidRPr="00020424">
        <w:rPr>
          <w:rtl/>
          <w:lang w:bidi="fa-IR"/>
        </w:rPr>
        <w:t>__________________</w:t>
      </w:r>
    </w:p>
    <w:p w:rsidR="00992664" w:rsidRPr="00020424" w:rsidRDefault="004F15C3" w:rsidP="00DF1B7B">
      <w:pPr>
        <w:pStyle w:val="libFootnote0"/>
        <w:rPr>
          <w:rtl/>
          <w:lang w:bidi="fa-IR"/>
        </w:rPr>
      </w:pPr>
      <w:r>
        <w:rPr>
          <w:rFonts w:hint="cs"/>
          <w:rtl/>
        </w:rPr>
        <w:t xml:space="preserve">= </w:t>
      </w:r>
      <w:r w:rsidR="00992664" w:rsidRPr="00020424">
        <w:rPr>
          <w:rtl/>
        </w:rPr>
        <w:t xml:space="preserve">نشيط بن صالح ، عن الحكم بيّاع الكرابيس ، عن أبي عبدالله ، عن أبيه </w:t>
      </w:r>
      <w:r w:rsidR="00D64ADA" w:rsidRPr="00D64ADA">
        <w:rPr>
          <w:rStyle w:val="libFootnoteAlaemChar"/>
          <w:rtl/>
        </w:rPr>
        <w:t>عليهما‌السلام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992664" w:rsidRPr="0012008A">
        <w:rPr>
          <w:rStyle w:val="libFootnoteBoldChar"/>
          <w:rtl/>
        </w:rPr>
        <w:t>الفقيه</w:t>
      </w:r>
      <w:r w:rsidR="00992664" w:rsidRPr="00020424">
        <w:rPr>
          <w:rtl/>
        </w:rPr>
        <w:t xml:space="preserve"> ، ج 2 ، ص 155 ، ح 2014 ، معلّقاً عن نشيط بن صالح. </w:t>
      </w:r>
      <w:r w:rsidR="00992664" w:rsidRPr="0012008A">
        <w:rPr>
          <w:rStyle w:val="libFootnoteBoldChar"/>
          <w:rtl/>
        </w:rPr>
        <w:t>الفقيه</w:t>
      </w:r>
      <w:r w:rsidR="00992664" w:rsidRPr="00020424">
        <w:rPr>
          <w:rtl/>
        </w:rPr>
        <w:t xml:space="preserve"> ، ج 4 ، ص 365 ، ضمن الحديث الطويل 5762 ، بسند آخر عن جعفر بن محمّد ، عن آبائه </w:t>
      </w:r>
      <w:r w:rsidR="00DF1B7B" w:rsidRPr="00DF1B7B">
        <w:rPr>
          <w:rStyle w:val="libFootnoteAlaemChar"/>
          <w:rFonts w:eastAsiaTheme="minorHAnsi"/>
          <w:rtl/>
        </w:rPr>
        <w:t>عليهم‌السلام</w:t>
      </w:r>
      <w:r w:rsidR="00DF1B7B" w:rsidRPr="00926E49">
        <w:rPr>
          <w:rFonts w:eastAsiaTheme="minorHAnsi"/>
          <w:rtl/>
        </w:rPr>
        <w:t xml:space="preserve"> </w:t>
      </w:r>
      <w:r w:rsidR="00992664" w:rsidRPr="00020424">
        <w:rPr>
          <w:rtl/>
        </w:rPr>
        <w:t xml:space="preserve">عن النبيّ </w:t>
      </w:r>
      <w:r w:rsidR="00D64ADA" w:rsidRPr="00D64ADA">
        <w:rPr>
          <w:rStyle w:val="libFootnoteAlaemChar"/>
          <w:rtl/>
        </w:rPr>
        <w:t>صلى‌الله‌عليه‌وآله</w:t>
      </w:r>
      <w:r w:rsidR="00B42914" w:rsidRPr="00B42914">
        <w:rPr>
          <w:rStyle w:val="libAlaemChar"/>
          <w:rtl/>
        </w:rPr>
        <w:t>‌</w:t>
      </w:r>
      <w:r>
        <w:rPr>
          <w:rtl/>
        </w:rPr>
        <w:t xml:space="preserve"> ، إلى قوله : « إل</w:t>
      </w:r>
      <w:r>
        <w:rPr>
          <w:rFonts w:hint="cs"/>
          <w:rtl/>
        </w:rPr>
        <w:t>ّ</w:t>
      </w:r>
      <w:r>
        <w:rPr>
          <w:rtl/>
        </w:rPr>
        <w:t>ا</w:t>
      </w:r>
      <w:r w:rsidR="00992664" w:rsidRPr="00020424">
        <w:rPr>
          <w:rtl/>
        </w:rPr>
        <w:t xml:space="preserve"> بإذن مولاه وأمره » مع اختلاف يسير. وفي </w:t>
      </w:r>
      <w:r w:rsidR="00992664" w:rsidRPr="00DE76B9">
        <w:rPr>
          <w:rStyle w:val="libFootnoteBoldChar"/>
          <w:rtl/>
        </w:rPr>
        <w:t>الكافي</w:t>
      </w:r>
      <w:r w:rsidR="00992664" w:rsidRPr="00020424">
        <w:rPr>
          <w:rtl/>
        </w:rPr>
        <w:t xml:space="preserve"> ، كتاب الصيام ، باب وجوه الصوم ، ضمن الحديث الطويل 6319 ؛ </w:t>
      </w:r>
      <w:r w:rsidR="00992664" w:rsidRPr="00FD6221">
        <w:rPr>
          <w:rStyle w:val="libFootnoteBoldChar"/>
          <w:rtl/>
        </w:rPr>
        <w:t>والفقيه</w:t>
      </w:r>
      <w:r w:rsidR="00992664" w:rsidRPr="00020424">
        <w:rPr>
          <w:rtl/>
        </w:rPr>
        <w:t xml:space="preserve"> ، ج 2 ، ص 80 ، ضمن الحديث الطويل 1784 ؛ </w:t>
      </w:r>
      <w:r w:rsidR="00992664" w:rsidRPr="00515444">
        <w:rPr>
          <w:rStyle w:val="libFootnoteBoldChar"/>
          <w:rtl/>
        </w:rPr>
        <w:t>والتهذيب</w:t>
      </w:r>
      <w:r w:rsidR="00992664" w:rsidRPr="00020424">
        <w:rPr>
          <w:rtl/>
        </w:rPr>
        <w:t xml:space="preserve"> ، ج 4 ، ص 296 ، ح 895 ؛ </w:t>
      </w:r>
      <w:r w:rsidR="00992664" w:rsidRPr="00EB1FD9">
        <w:rPr>
          <w:rStyle w:val="libFootnoteBoldChar"/>
          <w:rtl/>
        </w:rPr>
        <w:t>وتفسير القمّي</w:t>
      </w:r>
      <w:r w:rsidR="00992664" w:rsidRPr="00020424">
        <w:rPr>
          <w:rtl/>
        </w:rPr>
        <w:t xml:space="preserve"> ، ج 1 ، ص 187 ، ضمن الحديث الطويل ؛ </w:t>
      </w:r>
      <w:r w:rsidR="00992664" w:rsidRPr="00FD6221">
        <w:rPr>
          <w:rStyle w:val="libFootnoteBoldChar"/>
          <w:rtl/>
        </w:rPr>
        <w:t>والخصال</w:t>
      </w:r>
      <w:r w:rsidR="00992664" w:rsidRPr="00DE76B9">
        <w:rPr>
          <w:rStyle w:val="libFootnoteBoldChar"/>
          <w:rtl/>
        </w:rPr>
        <w:t xml:space="preserve"> </w:t>
      </w:r>
      <w:r w:rsidR="00992664" w:rsidRPr="00020424">
        <w:rPr>
          <w:rtl/>
        </w:rPr>
        <w:t xml:space="preserve">، ص 537 ، أبواب الأربعين ومافوقه ، ضمن الحديث الطويل 2 ، بسند آخر عن عليّ بن الحسين </w:t>
      </w:r>
      <w:r w:rsidR="00D64ADA" w:rsidRPr="00D64ADA">
        <w:rPr>
          <w:rStyle w:val="libFootnoteAlaemChar"/>
          <w:rtl/>
        </w:rPr>
        <w:t>عليهما‌السلام</w:t>
      </w:r>
      <w:r w:rsidR="00992664" w:rsidRPr="00020424">
        <w:rPr>
          <w:rtl/>
        </w:rPr>
        <w:t xml:space="preserve"> ، </w:t>
      </w:r>
      <w:r w:rsidR="007B726F">
        <w:rPr>
          <w:rtl/>
        </w:rPr>
        <w:t>إلى قوله : « إل</w:t>
      </w:r>
      <w:r w:rsidR="007B726F">
        <w:rPr>
          <w:rFonts w:hint="cs"/>
          <w:rtl/>
        </w:rPr>
        <w:t>ّ</w:t>
      </w:r>
      <w:r w:rsidR="007B726F">
        <w:rPr>
          <w:rtl/>
        </w:rPr>
        <w:t>ا</w:t>
      </w:r>
      <w:r w:rsidR="00992664" w:rsidRPr="00020424">
        <w:rPr>
          <w:rtl/>
        </w:rPr>
        <w:t xml:space="preserve"> بإذن مولاه وأمره » مع اختلاف يسير.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7B726F">
        <w:rPr>
          <w:rtl/>
        </w:rPr>
        <w:t xml:space="preserve"> ، ص 201 إلى قوله : « إل</w:t>
      </w:r>
      <w:r w:rsidR="007B726F">
        <w:rPr>
          <w:rFonts w:hint="cs"/>
          <w:rtl/>
        </w:rPr>
        <w:t>ّ</w:t>
      </w:r>
      <w:r w:rsidR="007B726F">
        <w:rPr>
          <w:rtl/>
        </w:rPr>
        <w:t>ا</w:t>
      </w:r>
      <w:r w:rsidR="00992664" w:rsidRPr="00020424">
        <w:rPr>
          <w:rtl/>
        </w:rPr>
        <w:t xml:space="preserve"> بإذن مولاه وأمره » مع اختلاف يسير </w:t>
      </w:r>
      <w:r w:rsidR="007B726F">
        <w:rPr>
          <w:rFonts w:hint="cs"/>
          <w:rtl/>
        </w:rPr>
        <w:t>.</w:t>
      </w:r>
      <w:r w:rsidR="00992664" w:rsidRPr="0012008A">
        <w:rPr>
          <w:rStyle w:val="libFootnoteBoldChar"/>
          <w:rtl/>
        </w:rPr>
        <w:t>الوافي</w:t>
      </w:r>
      <w:r w:rsidR="00992664" w:rsidRPr="00020424">
        <w:rPr>
          <w:rtl/>
        </w:rPr>
        <w:t xml:space="preserve"> ، ج 11 ، ص 88 ، ح 10467 ؛ </w:t>
      </w:r>
      <w:r w:rsidR="00992664" w:rsidRPr="0012008A">
        <w:rPr>
          <w:rStyle w:val="libFootnoteBoldChar"/>
          <w:rtl/>
        </w:rPr>
        <w:t>الوسائل</w:t>
      </w:r>
      <w:r w:rsidR="00992664" w:rsidRPr="00020424">
        <w:rPr>
          <w:rtl/>
        </w:rPr>
        <w:t xml:space="preserve"> ، ج 10 ، ص 530 ، ذيل ح 14044.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بخ ، بر ، بف ، جن » </w:t>
      </w:r>
      <w:r w:rsidR="00992664" w:rsidRPr="007B726F">
        <w:rPr>
          <w:rtl/>
        </w:rPr>
        <w:t>والوسائل</w:t>
      </w:r>
      <w:r w:rsidR="00992664" w:rsidRPr="00020424">
        <w:rPr>
          <w:rtl/>
        </w:rPr>
        <w:t xml:space="preserve"> ، ح 30634 :</w:t>
      </w:r>
      <w:r w:rsidR="00992664">
        <w:rPr>
          <w:rtl/>
        </w:rPr>
        <w:t xml:space="preserve"> </w:t>
      </w:r>
      <w:r w:rsidR="009B673F">
        <w:rPr>
          <w:rtl/>
        </w:rPr>
        <w:t>-</w:t>
      </w:r>
      <w:r w:rsidR="00992664">
        <w:rPr>
          <w:rtl/>
        </w:rPr>
        <w:t xml:space="preserve"> </w:t>
      </w:r>
      <w:r w:rsidR="00992664" w:rsidRPr="00020424">
        <w:rPr>
          <w:rtl/>
        </w:rPr>
        <w:t>« وغيره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والعلل ، ح 1 : « الرجل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ح 30634 والكافي ، ح 11619 : + « إخوانه </w:t>
      </w:r>
      <w:r w:rsidR="00992664">
        <w:rPr>
          <w:rtl/>
        </w:rPr>
        <w:t>و ».</w:t>
      </w:r>
    </w:p>
    <w:p w:rsidR="00992664" w:rsidRPr="00020424" w:rsidRDefault="00795177" w:rsidP="00992664">
      <w:pPr>
        <w:pStyle w:val="libFootnote0"/>
        <w:rPr>
          <w:rtl/>
          <w:lang w:bidi="fa-IR"/>
        </w:rPr>
      </w:pPr>
      <w:r>
        <w:rPr>
          <w:rtl/>
        </w:rPr>
        <w:t>(4).</w:t>
      </w:r>
      <w:r w:rsidR="0014403D">
        <w:rPr>
          <w:rtl/>
        </w:rPr>
        <w:t xml:space="preserve"> </w:t>
      </w:r>
      <w:r w:rsidR="007B726F">
        <w:rPr>
          <w:rtl/>
        </w:rPr>
        <w:t>« لئل</w:t>
      </w:r>
      <w:r w:rsidR="007B726F">
        <w:rPr>
          <w:rFonts w:hint="cs"/>
          <w:rtl/>
        </w:rPr>
        <w:t>ّ</w:t>
      </w:r>
      <w:r w:rsidR="007B726F">
        <w:rPr>
          <w:rtl/>
        </w:rPr>
        <w:t>ا</w:t>
      </w:r>
      <w:r w:rsidR="00992664" w:rsidRPr="00020424">
        <w:rPr>
          <w:rtl/>
        </w:rPr>
        <w:t xml:space="preserve"> يحتشمهم » أي يخجل منهم ويستحيي ؛ من الحِشْمة بمعنى الاستحياء ، أو ينقبض عنهم ؛ من الحِشْمة ، وهو الانقباض عن أخيك في المطعم وطلب الحاجة. راجع : </w:t>
      </w:r>
      <w:r w:rsidR="00992664" w:rsidRPr="0012008A">
        <w:rPr>
          <w:rStyle w:val="libFootnoteBoldChar"/>
          <w:rtl/>
        </w:rPr>
        <w:t>النهاية</w:t>
      </w:r>
      <w:r w:rsidR="00992664" w:rsidRPr="00020424">
        <w:rPr>
          <w:rtl/>
        </w:rPr>
        <w:t xml:space="preserve"> ، ج 1 ، ص 391 ؛ </w:t>
      </w:r>
      <w:r w:rsidR="00992664" w:rsidRPr="00A722B1">
        <w:rPr>
          <w:rStyle w:val="libFootnoteBoldChar"/>
          <w:rtl/>
        </w:rPr>
        <w:t>لسان العرب</w:t>
      </w:r>
      <w:r w:rsidR="00992664" w:rsidRPr="00020424">
        <w:rPr>
          <w:rtl/>
        </w:rPr>
        <w:t xml:space="preserve"> ، ج 12 ، ص 135 ( حشم )</w:t>
      </w:r>
      <w:r w:rsidR="00992664">
        <w:rPr>
          <w:rtl/>
        </w:rPr>
        <w:t>.</w:t>
      </w:r>
    </w:p>
    <w:p w:rsidR="00992664" w:rsidRPr="00020424" w:rsidRDefault="00795177" w:rsidP="007B726F">
      <w:pPr>
        <w:pStyle w:val="libFootnote0"/>
        <w:rPr>
          <w:rtl/>
          <w:lang w:bidi="fa-IR"/>
        </w:rPr>
      </w:pPr>
      <w:r>
        <w:rPr>
          <w:rtl/>
        </w:rPr>
        <w:t>(5).</w:t>
      </w:r>
      <w:r w:rsidR="0014403D">
        <w:rPr>
          <w:rtl/>
        </w:rPr>
        <w:t xml:space="preserve"> </w:t>
      </w:r>
      <w:r w:rsidR="00992664" w:rsidRPr="00DE76B9">
        <w:rPr>
          <w:rStyle w:val="libFootnoteBoldChar"/>
          <w:rtl/>
        </w:rPr>
        <w:t>علل الشرائع</w:t>
      </w:r>
      <w:r w:rsidR="00992664" w:rsidRPr="00020424">
        <w:rPr>
          <w:rtl/>
        </w:rPr>
        <w:t xml:space="preserve"> ، ص 384 ، ح 2 ، عن عليّ بن بندار ، عن إبراهيم بن إسحاق ، بإسناده عمّن ذكره ، عن الفضل بن يسار. </w:t>
      </w:r>
      <w:r w:rsidR="00992664" w:rsidRPr="00DE76B9">
        <w:rPr>
          <w:rStyle w:val="libFootnoteBoldChar"/>
          <w:rtl/>
        </w:rPr>
        <w:t>الكافي</w:t>
      </w:r>
      <w:r w:rsidR="00992664" w:rsidRPr="00020424">
        <w:rPr>
          <w:rtl/>
        </w:rPr>
        <w:t xml:space="preserve"> ، كتاب الأطعمة ، باب أنّ الرجل إذا دخل بلدة فهو ضيف على من بها من إخوانه ، ح 11619 ، بسنده عن إبراهيم بن إسحاق ، إلى قوله : « حتّى يرحل عنهم</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154 ، ح 2013 ، معلّقاً عن الفضيل بن يسار. وفي </w:t>
      </w:r>
      <w:r w:rsidR="00992664" w:rsidRPr="00DE76B9">
        <w:rPr>
          <w:rStyle w:val="libFootnoteBoldChar"/>
          <w:rtl/>
        </w:rPr>
        <w:t>علل الشرائع</w:t>
      </w:r>
      <w:r w:rsidR="00992664" w:rsidRPr="00020424">
        <w:rPr>
          <w:rtl/>
        </w:rPr>
        <w:t xml:space="preserve"> ، ص 384 ، ح 1 ؛ وضمن ح 3 ، بسند آخر عن أبي جعفر ، عن أبيه </w:t>
      </w:r>
      <w:r w:rsidR="00D64ADA" w:rsidRPr="00D64ADA">
        <w:rPr>
          <w:rStyle w:val="libFootnoteAlaemChar"/>
          <w:rtl/>
        </w:rPr>
        <w:t>عليهما‌السلام</w:t>
      </w:r>
      <w:r w:rsidR="00992664" w:rsidRPr="00020424">
        <w:rPr>
          <w:rtl/>
        </w:rPr>
        <w:t xml:space="preserve"> عن رسول الله </w:t>
      </w:r>
      <w:r w:rsidR="007B726F" w:rsidRPr="00D64ADA">
        <w:rPr>
          <w:rStyle w:val="libFootnoteAlaemChar"/>
          <w:rtl/>
        </w:rPr>
        <w:t>صلى‌الله‌عليه‌وآله</w:t>
      </w:r>
      <w:r w:rsidR="007B726F" w:rsidRPr="00B42914">
        <w:rPr>
          <w:rStyle w:val="libAlaemChar"/>
          <w:rtl/>
        </w:rPr>
        <w:t>‌</w:t>
      </w:r>
      <w:r w:rsidR="00992664" w:rsidRPr="00020424">
        <w:rPr>
          <w:rtl/>
        </w:rPr>
        <w:t xml:space="preserve">. </w:t>
      </w:r>
      <w:r w:rsidR="00992664" w:rsidRPr="00DE76B9">
        <w:rPr>
          <w:rStyle w:val="libFootnoteBoldChar"/>
          <w:rtl/>
        </w:rPr>
        <w:t>الكافي</w:t>
      </w:r>
      <w:r w:rsidR="00992664" w:rsidRPr="00020424">
        <w:rPr>
          <w:rtl/>
        </w:rPr>
        <w:t xml:space="preserve"> ، كتاب الأطعمة ، باب أنّ الرجل إذا دخل بلدة فهو ضيف على من بها من إخوانه ، ح 11620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إلى قوله : « حتّى يرحل عنهم » </w:t>
      </w:r>
      <w:r w:rsidR="007B726F">
        <w:rPr>
          <w:rFonts w:hint="cs"/>
          <w:rtl/>
        </w:rPr>
        <w:t>.</w:t>
      </w:r>
      <w:r w:rsidR="00992664" w:rsidRPr="0012008A">
        <w:rPr>
          <w:rStyle w:val="libFootnoteBoldChar"/>
          <w:rtl/>
        </w:rPr>
        <w:t>الوافي</w:t>
      </w:r>
      <w:r w:rsidR="00992664" w:rsidRPr="00020424">
        <w:rPr>
          <w:rtl/>
        </w:rPr>
        <w:t xml:space="preserve"> ، ج 11 ، ص 88 ، ح 10468 ؛ </w:t>
      </w:r>
      <w:r w:rsidR="00992664" w:rsidRPr="0012008A">
        <w:rPr>
          <w:rStyle w:val="libFootnoteBoldChar"/>
          <w:rtl/>
        </w:rPr>
        <w:t>الوسائل</w:t>
      </w:r>
      <w:r w:rsidR="00992664" w:rsidRPr="00020424">
        <w:rPr>
          <w:rtl/>
        </w:rPr>
        <w:t xml:space="preserve"> ، ج 10 ، ص 528 ، ذيل ح 14041 ؛ </w:t>
      </w:r>
      <w:r w:rsidR="00992664" w:rsidRPr="00DE76B9">
        <w:rPr>
          <w:rStyle w:val="libFootnoteBoldChar"/>
          <w:rtl/>
        </w:rPr>
        <w:t>وفيه</w:t>
      </w:r>
      <w:r w:rsidR="00992664" w:rsidRPr="00020424">
        <w:rPr>
          <w:rtl/>
        </w:rPr>
        <w:t xml:space="preserve"> ، ج 24 ، ص 313 ، ح 30634 ، إلى قوله : « حتّى يرحل عنهم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905FF">
        <w:rPr>
          <w:rtl/>
        </w:rPr>
        <w:t>6601</w:t>
      </w:r>
      <w:r w:rsidRPr="001155DE">
        <w:rPr>
          <w:rStyle w:val="libBold2Char"/>
          <w:rtl/>
        </w:rPr>
        <w:t xml:space="preserve"> / 4.</w:t>
      </w:r>
      <w:r w:rsidRPr="00020424">
        <w:rPr>
          <w:rtl/>
          <w:lang w:bidi="fa-IR"/>
        </w:rPr>
        <w:t xml:space="preserve"> عِدَّةٌ مِنْ أَصْحَابِنَا ، عَنْ أَحْمَدَ بْنِ مُحَمَّدٍ ، عَنِ الْحَسَنِ بْنِ مَحْبُوبٍ ، عَنْ مَالِكِ بْنِ عَطِيَّةَ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النَّبِيُّ </w:t>
      </w:r>
      <w:r w:rsidR="00B42914" w:rsidRPr="00B42914">
        <w:rPr>
          <w:rStyle w:val="libAlaemChar"/>
          <w:rtl/>
        </w:rPr>
        <w:t>صلى‌الله‌عليه‌وآله‌</w:t>
      </w:r>
      <w:r w:rsidRPr="00020424">
        <w:rPr>
          <w:rtl/>
          <w:lang w:bidi="fa-IR"/>
        </w:rPr>
        <w:t xml:space="preserve"> : لَيْسَ لِلْمَرْأَة</w:t>
      </w:r>
      <w:r w:rsidR="007B726F">
        <w:rPr>
          <w:rtl/>
          <w:lang w:bidi="fa-IR"/>
        </w:rPr>
        <w:t>ِ أَنْ تَصُومَ تَطَوُّعاً إِل</w:t>
      </w:r>
      <w:r w:rsidR="007B726F">
        <w:rPr>
          <w:rFonts w:hint="cs"/>
          <w:rtl/>
          <w:lang w:bidi="fa-IR"/>
        </w:rPr>
        <w:t>َّ</w:t>
      </w:r>
      <w:r w:rsidR="007B726F">
        <w:rPr>
          <w:rtl/>
          <w:lang w:bidi="fa-IR"/>
        </w:rPr>
        <w:t>ا</w:t>
      </w:r>
      <w:r w:rsidRPr="00020424">
        <w:rPr>
          <w:rtl/>
          <w:lang w:bidi="fa-IR"/>
        </w:rPr>
        <w:t xml:space="preserve"> بِإِذْنِ زَوْجِهَا</w:t>
      </w:r>
      <w:r>
        <w:rPr>
          <w:rtl/>
          <w:lang w:bidi="fa-IR"/>
        </w:rPr>
        <w:t>».</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905FF">
        <w:rPr>
          <w:rtl/>
        </w:rPr>
        <w:t>6602</w:t>
      </w:r>
      <w:r w:rsidRPr="001155DE">
        <w:rPr>
          <w:rStyle w:val="libBold2Char"/>
          <w:rtl/>
        </w:rPr>
        <w:t xml:space="preserve"> / 5.</w:t>
      </w:r>
      <w:r w:rsidRPr="00020424">
        <w:rPr>
          <w:rtl/>
          <w:lang w:bidi="fa-IR"/>
        </w:rPr>
        <w:t xml:space="preserve"> عَلِيُّ بْنُ مُحَمَّدِ بْنِ بُنْدَارَ </w:t>
      </w:r>
      <w:r w:rsidRPr="00A91B96">
        <w:rPr>
          <w:rStyle w:val="libFootnotenumChar"/>
          <w:rtl/>
        </w:rPr>
        <w:t>(2)</w:t>
      </w:r>
      <w:r w:rsidRPr="00020424">
        <w:rPr>
          <w:rtl/>
          <w:lang w:bidi="fa-IR"/>
        </w:rPr>
        <w:t xml:space="preserve"> ، عَنْ أَحْمَدَ بْنِ أَبِي عَبْدِ اللهِ ، عَنِ الْجَامُورَانِيِّ ، عَنِ الْحَسَنِ بْنِ عَلِيِّ بْنِ أَبِي حَمْزَةَ ، عَنْ عَمْرِو </w:t>
      </w:r>
      <w:r w:rsidRPr="00A91B96">
        <w:rPr>
          <w:rStyle w:val="libFootnotenumChar"/>
          <w:rtl/>
        </w:rPr>
        <w:t>(3)</w:t>
      </w:r>
      <w:r w:rsidRPr="00020424">
        <w:rPr>
          <w:rtl/>
          <w:lang w:bidi="fa-IR"/>
        </w:rPr>
        <w:t xml:space="preserve"> بْنِ جُبَيْرٍ الْعَرْزَمِيِّ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جَاءَتِ امْرَأَةٌ إِلَى النَّبِيِّ </w:t>
      </w:r>
      <w:r w:rsidRPr="00A91B96">
        <w:rPr>
          <w:rStyle w:val="libFootnotenumChar"/>
          <w:rtl/>
        </w:rPr>
        <w:t>(5)</w:t>
      </w:r>
      <w:r w:rsidRPr="00020424">
        <w:rPr>
          <w:rtl/>
          <w:lang w:bidi="fa-IR"/>
        </w:rPr>
        <w:t xml:space="preserve"> </w:t>
      </w:r>
      <w:r w:rsidR="00B42914" w:rsidRPr="00B42914">
        <w:rPr>
          <w:rStyle w:val="libAlaemChar"/>
          <w:rtl/>
        </w:rPr>
        <w:t>صلى‌الله‌عليه‌وآله‌</w:t>
      </w:r>
      <w:r w:rsidRPr="00020424">
        <w:rPr>
          <w:rtl/>
          <w:lang w:bidi="fa-IR"/>
        </w:rPr>
        <w:t xml:space="preserve"> ، فَقَالَتْ : يَا رَسُولَ اللهِ ، مَا حَقُّ الزَّوْجِ عَلَى الْمَرْأَةِ</w:t>
      </w:r>
      <w:r>
        <w:rPr>
          <w:rtl/>
          <w:lang w:bidi="fa-IR"/>
        </w:rPr>
        <w:t>؟</w:t>
      </w:r>
      <w:r w:rsidRPr="00020424">
        <w:rPr>
          <w:rtl/>
          <w:lang w:bidi="fa-IR"/>
        </w:rPr>
        <w:t xml:space="preserve"> فَقَالَ : هُوَ </w:t>
      </w:r>
      <w:r w:rsidRPr="00A91B96">
        <w:rPr>
          <w:rStyle w:val="libFootnotenumChar"/>
          <w:rtl/>
        </w:rPr>
        <w:t>(6)</w:t>
      </w:r>
      <w:r w:rsidRPr="00020424">
        <w:rPr>
          <w:rtl/>
          <w:lang w:bidi="fa-IR"/>
        </w:rPr>
        <w:t xml:space="preserve"> أَكْثَرُ مِنْ ذلِكَ </w:t>
      </w:r>
      <w:r w:rsidRPr="00A91B96">
        <w:rPr>
          <w:rStyle w:val="libFootnotenumChar"/>
          <w:rtl/>
        </w:rPr>
        <w:t>(7)</w:t>
      </w:r>
      <w:r w:rsidRPr="00020424">
        <w:rPr>
          <w:rtl/>
          <w:lang w:bidi="fa-IR"/>
        </w:rPr>
        <w:t xml:space="preserve"> فَقَالَتْ : أَخْبِرْنِي بِشَيْ‌ءٍ مِنْ ذلِكَ </w:t>
      </w:r>
      <w:r w:rsidRPr="00A91B96">
        <w:rPr>
          <w:rStyle w:val="libFootnotenumChar"/>
          <w:rtl/>
        </w:rPr>
        <w:t>(8)</w:t>
      </w:r>
      <w:r w:rsidRPr="00020424">
        <w:rPr>
          <w:rtl/>
          <w:lang w:bidi="fa-IR"/>
        </w:rPr>
        <w:t xml:space="preserve"> ، فَقَالَ : </w:t>
      </w:r>
      <w:r w:rsidR="007B726F">
        <w:rPr>
          <w:rtl/>
          <w:lang w:bidi="fa-IR"/>
        </w:rPr>
        <w:t>لَيْسَ لَهَا أَنْ تَصُومَ إِل</w:t>
      </w:r>
      <w:r w:rsidR="007B726F">
        <w:rPr>
          <w:rFonts w:hint="cs"/>
          <w:rtl/>
          <w:lang w:bidi="fa-IR"/>
        </w:rPr>
        <w:t>َّ</w:t>
      </w:r>
      <w:r w:rsidR="007B726F">
        <w:rPr>
          <w:rtl/>
          <w:lang w:bidi="fa-IR"/>
        </w:rPr>
        <w:t>ا</w:t>
      </w:r>
      <w:r w:rsidRPr="00020424">
        <w:rPr>
          <w:rtl/>
          <w:lang w:bidi="fa-IR"/>
        </w:rPr>
        <w:t xml:space="preserve"> بِإِذْنِهِ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الوافي</w:t>
      </w:r>
      <w:r w:rsidR="00992664" w:rsidRPr="00020424">
        <w:rPr>
          <w:rtl/>
        </w:rPr>
        <w:t xml:space="preserve"> ، ج 11 ، ص 87 ، ح 10465 ؛ </w:t>
      </w:r>
      <w:r w:rsidR="00992664" w:rsidRPr="0012008A">
        <w:rPr>
          <w:rStyle w:val="libFootnoteBoldChar"/>
          <w:rtl/>
        </w:rPr>
        <w:t>الوسائل</w:t>
      </w:r>
      <w:r w:rsidR="00992664" w:rsidRPr="00020424">
        <w:rPr>
          <w:rtl/>
        </w:rPr>
        <w:t xml:space="preserve"> ، ج 10 ، ص 527 ، ح 14036.</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الكافي ، ح 10171 : « عدّة من أصحابنا » بدل « عليّ بن محمّد بن بندار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 « عمره</w:t>
      </w:r>
      <w:r w:rsidR="00992664">
        <w:rPr>
          <w:rtl/>
        </w:rPr>
        <w:t xml:space="preserve"> ».</w:t>
      </w:r>
      <w:r w:rsidR="00992664" w:rsidRPr="00020424">
        <w:rPr>
          <w:rtl/>
        </w:rPr>
        <w:t xml:space="preserve"> وفي « جر » : « عمير</w:t>
      </w:r>
      <w:r w:rsidR="00992664">
        <w:rPr>
          <w:rtl/>
        </w:rPr>
        <w:t xml:space="preserve"> ».</w:t>
      </w:r>
    </w:p>
    <w:p w:rsidR="00992664" w:rsidRPr="00020424" w:rsidRDefault="00992664" w:rsidP="00992664">
      <w:pPr>
        <w:pStyle w:val="libFootnote0"/>
        <w:rPr>
          <w:rtl/>
          <w:lang w:bidi="fa-IR"/>
        </w:rPr>
      </w:pPr>
      <w:r w:rsidRPr="007B726F">
        <w:rPr>
          <w:rtl/>
        </w:rPr>
        <w:t xml:space="preserve">والمذكور في </w:t>
      </w:r>
      <w:r w:rsidRPr="00DE76B9">
        <w:rPr>
          <w:rStyle w:val="libFootnoteBoldChar"/>
          <w:rtl/>
        </w:rPr>
        <w:t>رجال البرقي</w:t>
      </w:r>
      <w:r w:rsidRPr="007B726F">
        <w:rPr>
          <w:rtl/>
        </w:rPr>
        <w:t xml:space="preserve"> ، ص 36 ، هو عمر بن جبير العرزمي.</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ى ، بث ، بخ ، بس ، بف ، جر</w:t>
      </w:r>
      <w:r w:rsidR="00992664">
        <w:rPr>
          <w:rtl/>
        </w:rPr>
        <w:t xml:space="preserve"> ».</w:t>
      </w:r>
      <w:r w:rsidR="00992664" w:rsidRPr="00020424">
        <w:rPr>
          <w:rtl/>
        </w:rPr>
        <w:t xml:space="preserve"> وفي « ظ ، بح ، بر ، جن » والمطبوع </w:t>
      </w:r>
      <w:r w:rsidR="00992664" w:rsidRPr="007B726F">
        <w:rPr>
          <w:rtl/>
        </w:rPr>
        <w:t>والوسائل</w:t>
      </w:r>
      <w:r w:rsidR="00992664" w:rsidRPr="00020424">
        <w:rPr>
          <w:rtl/>
        </w:rPr>
        <w:t xml:space="preserve"> </w:t>
      </w:r>
      <w:r w:rsidR="007B726F">
        <w:rPr>
          <w:rtl/>
        </w:rPr>
        <w:t>: «</w:t>
      </w:r>
      <w:r w:rsidR="00992664" w:rsidRPr="00020424">
        <w:rPr>
          <w:rtl/>
        </w:rPr>
        <w:t>العزرمي</w:t>
      </w:r>
      <w:r w:rsidR="00992664">
        <w:rPr>
          <w:rtl/>
        </w:rPr>
        <w:t>».</w:t>
      </w:r>
    </w:p>
    <w:p w:rsidR="00992664" w:rsidRPr="00020424" w:rsidRDefault="00992664" w:rsidP="00992664">
      <w:pPr>
        <w:pStyle w:val="libFootnote0"/>
        <w:rPr>
          <w:rtl/>
          <w:lang w:bidi="fa-IR"/>
        </w:rPr>
      </w:pPr>
      <w:r w:rsidRPr="007B726F">
        <w:rPr>
          <w:rtl/>
        </w:rPr>
        <w:t xml:space="preserve">والصواب ما أثبتناه ، كما تقدّم في </w:t>
      </w:r>
      <w:r w:rsidRPr="00DE76B9">
        <w:rPr>
          <w:rStyle w:val="libFootnoteBoldChar"/>
          <w:rtl/>
        </w:rPr>
        <w:t>الكافي</w:t>
      </w:r>
      <w:r w:rsidRPr="007B726F">
        <w:rPr>
          <w:rtl/>
        </w:rPr>
        <w:t xml:space="preserve"> ، ذيل ح 4265.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الكافي ، ح 10171 </w:t>
      </w:r>
      <w:r w:rsidR="00992664" w:rsidRPr="00FD6221">
        <w:rPr>
          <w:rStyle w:val="libFootnoteBoldChar"/>
          <w:rtl/>
        </w:rPr>
        <w:t>والفقيه</w:t>
      </w:r>
      <w:r w:rsidR="00992664" w:rsidRPr="00020424">
        <w:rPr>
          <w:rtl/>
        </w:rPr>
        <w:t xml:space="preserve"> : « رسول الله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الكافي ، ح 10171 : « قال » بدل « فقال : هو</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 « ذاك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الكافي ، ح 10171 : « فخبّرني عن شي‌ء منه » بدل « أخبرني بشي‌ء من ذلك</w:t>
      </w:r>
      <w:r w:rsidR="00992664">
        <w:rPr>
          <w:rtl/>
        </w:rPr>
        <w:t xml:space="preserve"> ».</w:t>
      </w:r>
    </w:p>
    <w:p w:rsidR="00992664" w:rsidRPr="00020424" w:rsidRDefault="00795177" w:rsidP="007B726F">
      <w:pPr>
        <w:pStyle w:val="libFootnote0"/>
        <w:rPr>
          <w:rtl/>
          <w:lang w:bidi="fa-IR"/>
        </w:rPr>
      </w:pPr>
      <w:r>
        <w:rPr>
          <w:rtl/>
        </w:rPr>
        <w:t>(9).</w:t>
      </w:r>
      <w:r w:rsidR="0014403D">
        <w:rPr>
          <w:rtl/>
        </w:rPr>
        <w:t xml:space="preserve"> </w:t>
      </w:r>
      <w:r w:rsidR="00992664" w:rsidRPr="00020424">
        <w:rPr>
          <w:rtl/>
        </w:rPr>
        <w:t xml:space="preserve">في الكافي ، ح 10171 : « لها أن تطيعه </w:t>
      </w:r>
      <w:r w:rsidR="007B726F">
        <w:rPr>
          <w:rtl/>
        </w:rPr>
        <w:t>ولا تعصيه ولا تصدّق من بيته إل</w:t>
      </w:r>
      <w:r w:rsidR="007B726F">
        <w:rPr>
          <w:rFonts w:hint="cs"/>
          <w:rtl/>
        </w:rPr>
        <w:t>ّ</w:t>
      </w:r>
      <w:r w:rsidR="007B726F">
        <w:rPr>
          <w:rtl/>
        </w:rPr>
        <w:t>ابإذنه ، ولا تصوم تطوّعاً إل</w:t>
      </w:r>
      <w:r w:rsidR="007B726F">
        <w:rPr>
          <w:rFonts w:hint="cs"/>
          <w:rtl/>
        </w:rPr>
        <w:t>ّ</w:t>
      </w:r>
      <w:r w:rsidR="007B726F">
        <w:rPr>
          <w:rtl/>
        </w:rPr>
        <w:t>ا</w:t>
      </w:r>
      <w:r w:rsidR="00992664" w:rsidRPr="00020424">
        <w:rPr>
          <w:rtl/>
        </w:rPr>
        <w:t>بإذنه » بدل « هو أكثر من ذلك</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7B726F">
        <w:rPr>
          <w:rtl/>
        </w:rPr>
        <w:t>أن تصوم إل</w:t>
      </w:r>
      <w:r w:rsidR="007B726F">
        <w:rPr>
          <w:rFonts w:hint="cs"/>
          <w:rtl/>
        </w:rPr>
        <w:t>ّ</w:t>
      </w:r>
      <w:r w:rsidR="007B726F">
        <w:rPr>
          <w:rtl/>
        </w:rPr>
        <w:t>ا</w:t>
      </w:r>
      <w:r w:rsidR="00992664" w:rsidRPr="00020424">
        <w:rPr>
          <w:rtl/>
        </w:rPr>
        <w:t>بإذنه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DE76B9">
        <w:rPr>
          <w:rStyle w:val="libFootnoteBoldChar"/>
          <w:rtl/>
        </w:rPr>
        <w:t>الكافي</w:t>
      </w:r>
      <w:r w:rsidR="00992664" w:rsidRPr="00020424">
        <w:rPr>
          <w:rtl/>
        </w:rPr>
        <w:t xml:space="preserve"> ، كتاب النكاح ، باب حقّ الزوج على المرأة ، صدر ح 10171. </w:t>
      </w:r>
      <w:r w:rsidR="00992664" w:rsidRPr="00DE76B9">
        <w:rPr>
          <w:rStyle w:val="libFootnoteBoldChar"/>
          <w:rtl/>
        </w:rPr>
        <w:t>وفيه</w:t>
      </w:r>
      <w:r w:rsidR="00992664" w:rsidRPr="00020424">
        <w:rPr>
          <w:rtl/>
        </w:rPr>
        <w:t xml:space="preserve"> ، نفس الباب ، صدر ح 10165 ؛ </w:t>
      </w:r>
      <w:r w:rsidR="00992664" w:rsidRPr="00FD6221">
        <w:rPr>
          <w:rStyle w:val="libFootnoteBoldChar"/>
          <w:rtl/>
        </w:rPr>
        <w:t>والفقيه</w:t>
      </w:r>
      <w:r w:rsidR="00992664" w:rsidRPr="00020424">
        <w:rPr>
          <w:rtl/>
        </w:rPr>
        <w:t xml:space="preserve"> ، ج 3 ، ص 438 ، صدر ح 4513 ، بسند آخر عن أبي جعفر </w:t>
      </w:r>
      <w:r w:rsidR="00992664" w:rsidRPr="00D64ADA">
        <w:rPr>
          <w:rStyle w:val="libFootnoteAlaemChar"/>
          <w:rtl/>
        </w:rPr>
        <w:t>عليه‌السلام</w:t>
      </w:r>
      <w:r w:rsidR="00992664" w:rsidRPr="00020424">
        <w:rPr>
          <w:rtl/>
        </w:rPr>
        <w:t xml:space="preserve"> </w:t>
      </w:r>
      <w:r w:rsidR="007B726F">
        <w:rPr>
          <w:rFonts w:hint="cs"/>
          <w:rtl/>
        </w:rPr>
        <w:t>.</w:t>
      </w:r>
      <w:r w:rsidR="00992664" w:rsidRPr="0012008A">
        <w:rPr>
          <w:rStyle w:val="libFootnoteBoldChar"/>
          <w:rtl/>
        </w:rPr>
        <w:t>الوافي</w:t>
      </w:r>
      <w:r w:rsidR="00992664" w:rsidRPr="00020424">
        <w:rPr>
          <w:rtl/>
        </w:rPr>
        <w:t xml:space="preserve"> ، ج 11 ، ص 87 ، ح 10466 ؛ </w:t>
      </w:r>
      <w:r w:rsidR="00992664" w:rsidRPr="0012008A">
        <w:rPr>
          <w:rStyle w:val="libFootnoteBoldChar"/>
          <w:rtl/>
        </w:rPr>
        <w:t>الوسائل</w:t>
      </w:r>
      <w:r w:rsidR="00992664" w:rsidRPr="00020424">
        <w:rPr>
          <w:rtl/>
        </w:rPr>
        <w:t xml:space="preserve"> ، ج 10 ، ص 527 ، ح 14039.</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503" w:name="_Toc345172884"/>
      <w:bookmarkStart w:id="504" w:name="_Toc464562699"/>
      <w:bookmarkStart w:id="505" w:name="_Toc44600005"/>
      <w:r w:rsidRPr="00020424">
        <w:rPr>
          <w:rtl/>
          <w:lang w:bidi="fa-IR"/>
        </w:rPr>
        <w:t>66</w:t>
      </w:r>
      <w:r>
        <w:rPr>
          <w:rtl/>
          <w:lang w:bidi="fa-IR"/>
        </w:rPr>
        <w:t xml:space="preserve"> </w:t>
      </w:r>
      <w:r w:rsidR="009B673F">
        <w:rPr>
          <w:rtl/>
          <w:lang w:bidi="fa-IR"/>
        </w:rPr>
        <w:t>-</w:t>
      </w:r>
      <w:r>
        <w:rPr>
          <w:rtl/>
          <w:lang w:bidi="fa-IR"/>
        </w:rPr>
        <w:t xml:space="preserve"> </w:t>
      </w:r>
      <w:r w:rsidRPr="00020424">
        <w:rPr>
          <w:rtl/>
          <w:lang w:bidi="fa-IR"/>
        </w:rPr>
        <w:t>بَابُ مَا يُسْتَحَبُّ أَنْ يُفْطَرَ عَلَيْهِ‌</w:t>
      </w:r>
      <w:bookmarkEnd w:id="503"/>
      <w:bookmarkEnd w:id="504"/>
      <w:bookmarkEnd w:id="505"/>
    </w:p>
    <w:p w:rsidR="00992664" w:rsidRPr="00020424" w:rsidRDefault="00992664" w:rsidP="00992664">
      <w:pPr>
        <w:pStyle w:val="libNormal"/>
        <w:rPr>
          <w:rtl/>
          <w:lang w:bidi="fa-IR"/>
        </w:rPr>
      </w:pPr>
      <w:r w:rsidRPr="002905FF">
        <w:rPr>
          <w:rtl/>
        </w:rPr>
        <w:t>6603</w:t>
      </w:r>
      <w:r w:rsidRPr="001155DE">
        <w:rPr>
          <w:rStyle w:val="libBold2Char"/>
          <w:rtl/>
        </w:rPr>
        <w:t xml:space="preserve"> / 1.</w:t>
      </w:r>
      <w:r w:rsidRPr="00020424">
        <w:rPr>
          <w:rtl/>
          <w:lang w:bidi="fa-IR"/>
        </w:rPr>
        <w:t xml:space="preserve"> عَلِيُّ بْنُ إِبْرَاهِيمَ ، عَنْ أَبِيهِ ، عَنِ النَّوْفَلِيِّ ، عَنِ السَّكُونِيِّ :</w:t>
      </w:r>
    </w:p>
    <w:p w:rsidR="00992664" w:rsidRPr="00020424" w:rsidRDefault="00992664" w:rsidP="00992664">
      <w:pPr>
        <w:pStyle w:val="libNormal"/>
        <w:rPr>
          <w:rtl/>
          <w:lang w:bidi="fa-IR"/>
        </w:rPr>
      </w:pPr>
      <w:r w:rsidRPr="00020424">
        <w:rPr>
          <w:rtl/>
          <w:lang w:bidi="fa-IR"/>
        </w:rPr>
        <w:t xml:space="preserve">عَنْ جَعْفَرٍ ، عَنْ أَبِيهِ </w:t>
      </w:r>
      <w:r w:rsidRPr="00005A81">
        <w:rPr>
          <w:rStyle w:val="libAlaemChar"/>
          <w:rtl/>
        </w:rPr>
        <w:t>عليهما‌السلام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إِذَا صَامَ ، فَلَمْ يَجِدِ </w:t>
      </w:r>
      <w:r w:rsidRPr="00A91B96">
        <w:rPr>
          <w:rStyle w:val="libFootnotenumChar"/>
          <w:rtl/>
        </w:rPr>
        <w:t>(1)</w:t>
      </w:r>
      <w:r w:rsidRPr="00020424">
        <w:rPr>
          <w:rtl/>
          <w:lang w:bidi="fa-IR"/>
        </w:rPr>
        <w:t xml:space="preserve"> الْحَلْوَاءَ</w:t>
      </w:r>
      <w:r w:rsidRPr="00A91B96">
        <w:rPr>
          <w:rStyle w:val="libFootnotenumChar"/>
          <w:rtl/>
        </w:rPr>
        <w:t>(2)</w:t>
      </w:r>
      <w:r w:rsidRPr="00020424">
        <w:rPr>
          <w:rtl/>
          <w:lang w:bidi="fa-IR"/>
        </w:rPr>
        <w:t>، أَفْطَرَ عَلَى الْمَاءِ</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2905FF">
        <w:rPr>
          <w:rtl/>
        </w:rPr>
        <w:t>6604</w:t>
      </w:r>
      <w:r w:rsidRPr="001155DE">
        <w:rPr>
          <w:rStyle w:val="libBold2Char"/>
          <w:rtl/>
        </w:rPr>
        <w:t xml:space="preserve"> / 2.</w:t>
      </w:r>
      <w:r w:rsidRPr="00020424">
        <w:rPr>
          <w:rtl/>
          <w:lang w:bidi="fa-IR"/>
        </w:rPr>
        <w:t xml:space="preserve"> عَلِيُّ بْنُ إِبْرَاهِيمَ ، عَنْ أَبِيهِ ، عَنِ ابْنِ أَبِي عُمَيْرٍ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أَفْطَرَ الرَّجُلُ عَلَى الْمَاءِ الْفَاتِرِ </w:t>
      </w:r>
      <w:r w:rsidRPr="00A91B96">
        <w:rPr>
          <w:rStyle w:val="libFootnotenumChar"/>
          <w:rtl/>
        </w:rPr>
        <w:t>(4)</w:t>
      </w:r>
      <w:r w:rsidRPr="00020424">
        <w:rPr>
          <w:rtl/>
          <w:lang w:bidi="fa-IR"/>
        </w:rPr>
        <w:t xml:space="preserve"> ، نَقّى كَبِدَهُ ، وَغَسَلَ الذُّنُوبَ مِنَ الْقَلْبِ ، وَقَوَّى الْبَصَرَ وَالْحَدَقَ</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2905FF">
        <w:rPr>
          <w:rtl/>
        </w:rPr>
        <w:t>6605</w:t>
      </w:r>
      <w:r w:rsidRPr="001155DE">
        <w:rPr>
          <w:rStyle w:val="libBold2Char"/>
          <w:rtl/>
        </w:rPr>
        <w:t xml:space="preserve"> / 3.</w:t>
      </w:r>
      <w:r w:rsidRPr="00020424">
        <w:rPr>
          <w:rtl/>
          <w:lang w:bidi="fa-IR"/>
        </w:rPr>
        <w:t xml:space="preserve"> عِدَّةٌ مِنْ أَصْحَابِنَا ، عَنْ أَحْمَدَ بْنِ مُحَمَّدٍ ، عَنْ صَالِحِ بْنِ السِّنْدِيِّ </w:t>
      </w:r>
      <w:r w:rsidRPr="00A91B96">
        <w:rPr>
          <w:rStyle w:val="libFootnotenumChar"/>
          <w:rtl/>
        </w:rPr>
        <w:t>(6)</w:t>
      </w:r>
      <w:r w:rsidRPr="00020424">
        <w:rPr>
          <w:rtl/>
          <w:lang w:bidi="fa-IR"/>
        </w:rPr>
        <w:t xml:space="preserve"> ، عَنِ ابْنِ سِنَانٍ ،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الْإفْطَارُ عَلَى الْمَاءِ يَغْسِلُ الذُّنُوبَ مِنَ الْقَلْبِ</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2905FF">
        <w:rPr>
          <w:rtl/>
        </w:rPr>
        <w:t>6606</w:t>
      </w:r>
      <w:r w:rsidRPr="001155DE">
        <w:rPr>
          <w:rStyle w:val="libBold2Char"/>
          <w:rtl/>
        </w:rPr>
        <w:t xml:space="preserve"> / 4.</w:t>
      </w:r>
      <w:r w:rsidRPr="00020424">
        <w:rPr>
          <w:rtl/>
          <w:lang w:bidi="fa-IR"/>
        </w:rPr>
        <w:t xml:space="preserve"> مُحَمَّدُ بْنُ يَحْيى ، عَنْ مُحَمَّدِ بْنِ أَحْمَدَ ، عَمَّنْ ذَكَرَهُ ، عَنْ مَنْصُورِ بْنِ الْعَبَّاسِ ، عَنْ صَفْوَانَ بْنِ يَحْيى ، عَنْ عَبْدِ اللهِ بْنِ مُسْكَانَ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B726F" w:rsidTr="007B726F">
        <w:tc>
          <w:tcPr>
            <w:tcW w:w="4006" w:type="dxa"/>
          </w:tcPr>
          <w:p w:rsidR="007B726F" w:rsidRDefault="007B726F" w:rsidP="00992664">
            <w:pPr>
              <w:pStyle w:val="libFootnote0"/>
              <w:rPr>
                <w:rtl/>
              </w:rPr>
            </w:pPr>
            <w:r>
              <w:rPr>
                <w:rtl/>
              </w:rPr>
              <w:t xml:space="preserve">(1). </w:t>
            </w:r>
            <w:r w:rsidRPr="00020424">
              <w:rPr>
                <w:rtl/>
              </w:rPr>
              <w:t xml:space="preserve">في </w:t>
            </w:r>
            <w:r w:rsidRPr="007B726F">
              <w:rPr>
                <w:rtl/>
              </w:rPr>
              <w:t>الوافي</w:t>
            </w:r>
            <w:r w:rsidRPr="00020424">
              <w:rPr>
                <w:rtl/>
              </w:rPr>
              <w:t xml:space="preserve"> : « ولم يجد</w:t>
            </w:r>
            <w:r>
              <w:rPr>
                <w:rtl/>
              </w:rPr>
              <w:t xml:space="preserve"> ».</w:t>
            </w:r>
          </w:p>
        </w:tc>
        <w:tc>
          <w:tcPr>
            <w:tcW w:w="4006" w:type="dxa"/>
          </w:tcPr>
          <w:p w:rsidR="007B726F" w:rsidRDefault="007B726F" w:rsidP="00992664">
            <w:pPr>
              <w:pStyle w:val="libFootnote0"/>
              <w:rPr>
                <w:rtl/>
              </w:rPr>
            </w:pPr>
            <w:r>
              <w:rPr>
                <w:rtl/>
              </w:rPr>
              <w:t>(2). في «بث،بر،بف</w:t>
            </w:r>
            <w:r w:rsidRPr="00020424">
              <w:rPr>
                <w:rtl/>
              </w:rPr>
              <w:t xml:space="preserve">، جن » </w:t>
            </w:r>
            <w:r w:rsidRPr="007B726F">
              <w:rPr>
                <w:rtl/>
              </w:rPr>
              <w:t>والوسائل</w:t>
            </w:r>
            <w:r w:rsidRPr="00020424">
              <w:rPr>
                <w:rtl/>
              </w:rPr>
              <w:t xml:space="preserve"> : « الحلو</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الوافي</w:t>
      </w:r>
      <w:r w:rsidR="00992664" w:rsidRPr="00020424">
        <w:rPr>
          <w:rtl/>
        </w:rPr>
        <w:t xml:space="preserve"> ، ج 11 ، ص 247 ، ح 10791 ؛ </w:t>
      </w:r>
      <w:r w:rsidR="00992664" w:rsidRPr="0012008A">
        <w:rPr>
          <w:rStyle w:val="libFootnoteBoldChar"/>
          <w:rtl/>
        </w:rPr>
        <w:t>الوسائل</w:t>
      </w:r>
      <w:r w:rsidR="00992664" w:rsidRPr="00020424">
        <w:rPr>
          <w:rtl/>
        </w:rPr>
        <w:t xml:space="preserve"> ، ج 10 ، ص 157 ، ح 13101.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الماء الفاتر » : الذي سكن حرّه. وقيل : هو بين الحارّ والبارد</w:t>
      </w:r>
      <w:r w:rsidR="007B726F">
        <w:rPr>
          <w:rtl/>
        </w:rPr>
        <w:t>. قال العل</w:t>
      </w:r>
      <w:r w:rsidR="007B726F">
        <w:rPr>
          <w:rFonts w:hint="cs"/>
          <w:rtl/>
        </w:rPr>
        <w:t>ّ</w:t>
      </w:r>
      <w:r w:rsidR="007B726F">
        <w:rPr>
          <w:rtl/>
        </w:rPr>
        <w:t>ا</w:t>
      </w:r>
      <w:r w:rsidR="00992664" w:rsidRPr="00020424">
        <w:rPr>
          <w:rtl/>
        </w:rPr>
        <w:t>مة الفيض : « الماء الفاتر : الذي لا يكون‌</w:t>
      </w:r>
      <w:r w:rsidR="007B726F">
        <w:rPr>
          <w:rFonts w:hint="cs"/>
          <w:rtl/>
        </w:rPr>
        <w:t xml:space="preserve"> </w:t>
      </w:r>
      <w:r w:rsidR="00992664" w:rsidRPr="00020424">
        <w:rPr>
          <w:rtl/>
        </w:rPr>
        <w:t>بارداً ولا حارّاً ، وإنّما يغسل الذنوب لأنّ أكثر الذنوب ينبعث عن الشهوة والغضب المنبعثين عن العروق الهائجة والمرّة الغالبة اللتين تسكنان به</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5 ، ص 43 ؛ </w:t>
      </w:r>
      <w:r w:rsidR="00992664" w:rsidRPr="00A722B1">
        <w:rPr>
          <w:rStyle w:val="libFootnoteBoldChar"/>
          <w:rtl/>
        </w:rPr>
        <w:t>القاموس المحيط</w:t>
      </w:r>
      <w:r w:rsidR="00992664" w:rsidRPr="00020424">
        <w:rPr>
          <w:rtl/>
        </w:rPr>
        <w:t xml:space="preserve"> ، ج 1 ، ص 63</w:t>
      </w:r>
      <w:r w:rsidR="007B726F">
        <w:rPr>
          <w:rtl/>
        </w:rPr>
        <w:t>3 (فتر</w:t>
      </w:r>
      <w:r w:rsidR="00992664" w:rsidRPr="00020424">
        <w:rPr>
          <w:rtl/>
        </w:rPr>
        <w:t>)</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راجع : </w:t>
      </w:r>
      <w:r w:rsidR="00992664" w:rsidRPr="00DE76B9">
        <w:rPr>
          <w:rStyle w:val="libFootnoteBoldChar"/>
          <w:rtl/>
        </w:rPr>
        <w:t>الكافي</w:t>
      </w:r>
      <w:r w:rsidR="00992664" w:rsidRPr="00020424">
        <w:rPr>
          <w:rtl/>
        </w:rPr>
        <w:t xml:space="preserve"> ، كتاب الأطعمة ، باب القديد ، ح 11801 </w:t>
      </w:r>
      <w:r w:rsidR="007B726F">
        <w:rPr>
          <w:rFonts w:hint="cs"/>
          <w:rtl/>
        </w:rPr>
        <w:t>.</w:t>
      </w:r>
      <w:r w:rsidR="00992664" w:rsidRPr="0012008A">
        <w:rPr>
          <w:rStyle w:val="libFootnoteBoldChar"/>
          <w:rtl/>
        </w:rPr>
        <w:t>الوافي</w:t>
      </w:r>
      <w:r w:rsidR="00992664" w:rsidRPr="00020424">
        <w:rPr>
          <w:rtl/>
        </w:rPr>
        <w:t xml:space="preserve"> ، ج 11 ، ص 247 ، ح 10790 ؛ </w:t>
      </w:r>
      <w:r w:rsidR="00992664" w:rsidRPr="0012008A">
        <w:rPr>
          <w:rStyle w:val="libFootnoteBoldChar"/>
          <w:rtl/>
        </w:rPr>
        <w:t>الوسائل</w:t>
      </w:r>
      <w:r w:rsidR="00992664" w:rsidRPr="00020424">
        <w:rPr>
          <w:rtl/>
        </w:rPr>
        <w:t xml:space="preserve"> ، ج 10 ، ص 157 ، ح 13102.</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ظ ، ى ، بث ، بح ، بخ ، بر ، بس ، بف ، جن » </w:t>
      </w:r>
      <w:r w:rsidR="00992664" w:rsidRPr="00EB1FD9">
        <w:rPr>
          <w:rStyle w:val="libFootnoteBoldChar"/>
          <w:rtl/>
        </w:rPr>
        <w:t>والوسائل</w:t>
      </w:r>
      <w:r w:rsidR="007B726F">
        <w:rPr>
          <w:rtl/>
        </w:rPr>
        <w:t>. وفي «جر» والمطبوع : «</w:t>
      </w:r>
      <w:r w:rsidR="00992664" w:rsidRPr="00020424">
        <w:rPr>
          <w:rtl/>
        </w:rPr>
        <w:t>سنديّ</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ثواب الأعمال</w:t>
      </w:r>
      <w:r w:rsidR="00992664" w:rsidRPr="00020424">
        <w:rPr>
          <w:rtl/>
        </w:rPr>
        <w:t xml:space="preserve"> ، ص 104 ، ح 1 ، بسنده عن محمّد بن أحمد ، عن أحمد بن محمّد. </w:t>
      </w:r>
      <w:r w:rsidR="00992664" w:rsidRPr="0012008A">
        <w:rPr>
          <w:rStyle w:val="libFootnoteBoldChar"/>
          <w:rtl/>
        </w:rPr>
        <w:t>التهذيب</w:t>
      </w:r>
      <w:r w:rsidR="00992664" w:rsidRPr="00020424">
        <w:rPr>
          <w:rtl/>
        </w:rPr>
        <w:t xml:space="preserve"> ، ج 4 ، ص 199 ، ح 527 ، بسنده عن ابن سنان </w:t>
      </w:r>
      <w:r w:rsidR="007B726F">
        <w:rPr>
          <w:rFonts w:hint="cs"/>
          <w:rtl/>
        </w:rPr>
        <w:t>.</w:t>
      </w:r>
      <w:r w:rsidR="00992664" w:rsidRPr="0012008A">
        <w:rPr>
          <w:rStyle w:val="libFootnoteBoldChar"/>
          <w:rtl/>
        </w:rPr>
        <w:t>الوافي</w:t>
      </w:r>
      <w:r w:rsidR="00992664" w:rsidRPr="00020424">
        <w:rPr>
          <w:rtl/>
        </w:rPr>
        <w:t xml:space="preserve"> ، ج 11 ، ص 246 ، ح 10788 ؛ </w:t>
      </w:r>
      <w:r w:rsidR="00992664" w:rsidRPr="0012008A">
        <w:rPr>
          <w:rStyle w:val="libFootnoteBoldChar"/>
          <w:rtl/>
        </w:rPr>
        <w:t>الوسائل</w:t>
      </w:r>
      <w:r w:rsidR="00992664" w:rsidRPr="00020424">
        <w:rPr>
          <w:rtl/>
        </w:rPr>
        <w:t xml:space="preserve"> ، ج 10 ، ص 157 ، ح 13104.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إِذَا أَفْطَرَ بَدَأَ بِحَلْوَاءَ يُفْطِرُ </w:t>
      </w:r>
      <w:r w:rsidRPr="00A91B96">
        <w:rPr>
          <w:rStyle w:val="libFootnotenumChar"/>
          <w:rtl/>
        </w:rPr>
        <w:t>(1)</w:t>
      </w:r>
      <w:r w:rsidRPr="00020424">
        <w:rPr>
          <w:rtl/>
          <w:lang w:bidi="fa-IR"/>
        </w:rPr>
        <w:t xml:space="preserve"> عَلَيْهَا ، فَإِنْ لَمْ يَجِدْ فَسُكَّرَةٍ أَوْ تَمَرَاتٍ </w:t>
      </w:r>
      <w:r w:rsidRPr="00A91B96">
        <w:rPr>
          <w:rStyle w:val="libFootnotenumChar"/>
          <w:rtl/>
        </w:rPr>
        <w:t>(2)</w:t>
      </w:r>
      <w:r w:rsidRPr="00020424">
        <w:rPr>
          <w:rtl/>
          <w:lang w:bidi="fa-IR"/>
        </w:rPr>
        <w:t xml:space="preserve"> ، فَإِذَا </w:t>
      </w:r>
      <w:r w:rsidRPr="00A91B96">
        <w:rPr>
          <w:rStyle w:val="libFootnotenumChar"/>
          <w:rtl/>
        </w:rPr>
        <w:t>(3)</w:t>
      </w:r>
      <w:r w:rsidRPr="00020424">
        <w:rPr>
          <w:rtl/>
          <w:lang w:bidi="fa-IR"/>
        </w:rPr>
        <w:t xml:space="preserve"> أَعْوَزَ </w:t>
      </w:r>
      <w:r w:rsidRPr="00A91B96">
        <w:rPr>
          <w:rStyle w:val="libFootnotenumChar"/>
          <w:rtl/>
        </w:rPr>
        <w:t>(4)</w:t>
      </w:r>
      <w:r w:rsidRPr="00020424">
        <w:rPr>
          <w:rtl/>
          <w:lang w:bidi="fa-IR"/>
        </w:rPr>
        <w:t xml:space="preserve"> ذلِكَ كُلُّهُ </w:t>
      </w:r>
      <w:r w:rsidRPr="00A91B96">
        <w:rPr>
          <w:rStyle w:val="libFootnotenumChar"/>
          <w:rtl/>
        </w:rPr>
        <w:t>(5)</w:t>
      </w:r>
      <w:r w:rsidRPr="00020424">
        <w:rPr>
          <w:rtl/>
          <w:lang w:bidi="fa-IR"/>
        </w:rPr>
        <w:t xml:space="preserve"> فَمَاءٍ فَاتِرٍ ، وَكَانَ يَقُولُ : يُنَقِّي </w:t>
      </w:r>
      <w:r w:rsidRPr="00A91B96">
        <w:rPr>
          <w:rStyle w:val="libFootnotenumChar"/>
          <w:rtl/>
        </w:rPr>
        <w:t>(6)</w:t>
      </w:r>
      <w:r w:rsidRPr="00020424">
        <w:rPr>
          <w:rtl/>
          <w:lang w:bidi="fa-IR"/>
        </w:rPr>
        <w:t xml:space="preserve"> الْمَعِدَةَ وَالْكَبِدَ ، وَيُطَيِّبُ النَّكْهَةَ </w:t>
      </w:r>
      <w:r w:rsidRPr="00A91B96">
        <w:rPr>
          <w:rStyle w:val="libFootnotenumChar"/>
          <w:rtl/>
        </w:rPr>
        <w:t>(7)</w:t>
      </w:r>
      <w:r w:rsidRPr="00020424">
        <w:rPr>
          <w:rtl/>
          <w:lang w:bidi="fa-IR"/>
        </w:rPr>
        <w:t xml:space="preserve"> وَالْفَمَ ، وَيُقَوِّي الْأَضْرَاسَ ، وَيُقَوِّي الْحَدَقَ </w:t>
      </w:r>
      <w:r w:rsidRPr="00A91B96">
        <w:rPr>
          <w:rStyle w:val="libFootnotenumChar"/>
          <w:rtl/>
        </w:rPr>
        <w:t>(8)</w:t>
      </w:r>
      <w:r w:rsidRPr="00020424">
        <w:rPr>
          <w:rtl/>
          <w:lang w:bidi="fa-IR"/>
        </w:rPr>
        <w:t xml:space="preserve"> ، وَيَجْلُو </w:t>
      </w:r>
      <w:r w:rsidRPr="00A91B96">
        <w:rPr>
          <w:rStyle w:val="libFootnotenumChar"/>
          <w:rtl/>
        </w:rPr>
        <w:t>(9)</w:t>
      </w:r>
      <w:r w:rsidRPr="00020424">
        <w:rPr>
          <w:rtl/>
          <w:lang w:bidi="fa-IR"/>
        </w:rPr>
        <w:t xml:space="preserve"> النَّاظِرَ ، وَيَغْسِلُ الذُّنُوبَ غَسْلاً </w:t>
      </w:r>
      <w:r w:rsidRPr="00A91B96">
        <w:rPr>
          <w:rStyle w:val="libFootnotenumChar"/>
          <w:rtl/>
        </w:rPr>
        <w:t>(10)</w:t>
      </w:r>
      <w:r w:rsidRPr="00020424">
        <w:rPr>
          <w:rtl/>
          <w:lang w:bidi="fa-IR"/>
        </w:rPr>
        <w:t xml:space="preserve"> ، وَيُسَكِّنُ الْعُرُوقَ الْهَائِجَةَ وَالْمِرَّةَ </w:t>
      </w:r>
      <w:r w:rsidRPr="00A91B96">
        <w:rPr>
          <w:rStyle w:val="libFootnotenumChar"/>
          <w:rtl/>
        </w:rPr>
        <w:t>(11)</w:t>
      </w:r>
      <w:r w:rsidRPr="00020424">
        <w:rPr>
          <w:rtl/>
          <w:lang w:bidi="fa-IR"/>
        </w:rPr>
        <w:t xml:space="preserve"> الْغَالِبَةَ ، وَيَقْطَعُ الْبَلْغَمَ ، وَيُطْفِئُ الْحَرَارَةَ عَنِ الْمَعِدَةِ ، وَيَذْهَبُ بِالصُّدَاعِ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Normal"/>
        <w:rPr>
          <w:rtl/>
          <w:lang w:bidi="fa-IR"/>
        </w:rPr>
      </w:pPr>
      <w:r w:rsidRPr="002905FF">
        <w:rPr>
          <w:rtl/>
        </w:rPr>
        <w:t>6607</w:t>
      </w:r>
      <w:r w:rsidRPr="001155DE">
        <w:rPr>
          <w:rStyle w:val="libBold2Char"/>
          <w:rtl/>
        </w:rPr>
        <w:t xml:space="preserve"> / 5.</w:t>
      </w:r>
      <w:r w:rsidRPr="00020424">
        <w:rPr>
          <w:rtl/>
          <w:lang w:bidi="fa-IR"/>
        </w:rPr>
        <w:t xml:space="preserve"> عَلِيُّ بْنُ إِبْرَاهِيمَ ، عَنْ أَبِيهِ ، عَنِ ابْنِ أَبِي عُمَيْرٍ ، عَنْ إِبْرَاهِيمَ بْنِ مِهْزَمٍ ، عَنْ طَلْحَةَ بْنِ زَيْدٍ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يُفْطِرُ عَلَى التَّمْرِ فِي زَمَنِ التَّمْرِ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فطر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 « تميرات</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 « فإن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 أعوز » أي قلّ ، أو لم يوجد ، يقال : أعوزه الشي‌ء ، إذا احتاج إليه فلم يقدر عليه ، وإذا قلّ عنده مع حاجته إليه. راجع : </w:t>
      </w:r>
      <w:r w:rsidR="00992664" w:rsidRPr="0012008A">
        <w:rPr>
          <w:rStyle w:val="libFootnoteBoldChar"/>
          <w:rtl/>
        </w:rPr>
        <w:t>الصحاح</w:t>
      </w:r>
      <w:r w:rsidR="00992664" w:rsidRPr="00020424">
        <w:rPr>
          <w:rtl/>
        </w:rPr>
        <w:t xml:space="preserve"> ، ج 3 ، ص 888 ؛ </w:t>
      </w:r>
      <w:r w:rsidR="00992664" w:rsidRPr="00A722B1">
        <w:rPr>
          <w:rStyle w:val="libFootnoteBoldChar"/>
          <w:rtl/>
        </w:rPr>
        <w:t>لسان العرب</w:t>
      </w:r>
      <w:r w:rsidR="00992664" w:rsidRPr="00020424">
        <w:rPr>
          <w:rtl/>
        </w:rPr>
        <w:t xml:space="preserve"> ، ج 5 ، ص 385 ( عوز )</w:t>
      </w:r>
      <w:r w:rsidR="00992664">
        <w:rPr>
          <w:rtl/>
        </w:rPr>
        <w:t>.</w:t>
      </w:r>
    </w:p>
    <w:tbl>
      <w:tblPr>
        <w:tblStyle w:val="TableGrid"/>
        <w:bidiVisual/>
        <w:tblW w:w="0" w:type="auto"/>
        <w:tblLook w:val="04A0" w:firstRow="1" w:lastRow="0" w:firstColumn="1" w:lastColumn="0" w:noHBand="0" w:noVBand="1"/>
      </w:tblPr>
      <w:tblGrid>
        <w:gridCol w:w="4006"/>
        <w:gridCol w:w="4006"/>
      </w:tblGrid>
      <w:tr w:rsidR="001D54A7" w:rsidTr="001D54A7">
        <w:tc>
          <w:tcPr>
            <w:tcW w:w="4006" w:type="dxa"/>
          </w:tcPr>
          <w:p w:rsidR="001D54A7" w:rsidRDefault="001D54A7" w:rsidP="00992664">
            <w:pPr>
              <w:pStyle w:val="libFootnote0"/>
              <w:rPr>
                <w:rtl/>
              </w:rPr>
            </w:pPr>
            <w:r>
              <w:rPr>
                <w:rtl/>
              </w:rPr>
              <w:t xml:space="preserve">(5). </w:t>
            </w:r>
            <w:r w:rsidRPr="00020424">
              <w:rPr>
                <w:rtl/>
              </w:rPr>
              <w:t>في « بح » :</w:t>
            </w:r>
            <w:r>
              <w:rPr>
                <w:rtl/>
              </w:rPr>
              <w:t xml:space="preserve"> - </w:t>
            </w:r>
            <w:r w:rsidRPr="00020424">
              <w:rPr>
                <w:rtl/>
              </w:rPr>
              <w:t>« كلّه</w:t>
            </w:r>
            <w:r>
              <w:rPr>
                <w:rtl/>
              </w:rPr>
              <w:t xml:space="preserve"> ».</w:t>
            </w:r>
          </w:p>
        </w:tc>
        <w:tc>
          <w:tcPr>
            <w:tcW w:w="4006" w:type="dxa"/>
          </w:tcPr>
          <w:p w:rsidR="001D54A7" w:rsidRDefault="001D54A7" w:rsidP="00992664">
            <w:pPr>
              <w:pStyle w:val="libFootnote0"/>
              <w:rPr>
                <w:rtl/>
              </w:rPr>
            </w:pPr>
            <w:r>
              <w:rPr>
                <w:rtl/>
              </w:rPr>
              <w:t>(6). التنقية:</w:t>
            </w:r>
            <w:r w:rsidRPr="00020424">
              <w:rPr>
                <w:rtl/>
              </w:rPr>
              <w:t xml:space="preserve">التنظيف. </w:t>
            </w:r>
            <w:r w:rsidRPr="0012008A">
              <w:rPr>
                <w:rStyle w:val="libFootnoteBoldChar"/>
                <w:rtl/>
              </w:rPr>
              <w:t>الصحاح</w:t>
            </w:r>
            <w:r>
              <w:rPr>
                <w:rtl/>
              </w:rPr>
              <w:t xml:space="preserve"> ،ج 6،ص 2515(نقا</w:t>
            </w:r>
            <w:r w:rsidRPr="00020424">
              <w:rPr>
                <w:rtl/>
              </w:rPr>
              <w:t>)</w:t>
            </w:r>
            <w:r>
              <w:rPr>
                <w:rtl/>
              </w:rPr>
              <w:t>.</w:t>
            </w:r>
          </w:p>
        </w:tc>
      </w:tr>
    </w:tbl>
    <w:p w:rsidR="00992664" w:rsidRPr="00020424" w:rsidRDefault="001D54A7" w:rsidP="00992664">
      <w:pPr>
        <w:pStyle w:val="libFootnote0"/>
        <w:rPr>
          <w:rtl/>
          <w:lang w:bidi="fa-IR"/>
        </w:rPr>
      </w:pPr>
      <w:r>
        <w:rPr>
          <w:rFonts w:hint="cs"/>
          <w:rtl/>
        </w:rPr>
        <w:t>(7</w:t>
      </w:r>
      <w:r w:rsidR="00795177">
        <w:rPr>
          <w:rtl/>
        </w:rPr>
        <w:t>).</w:t>
      </w:r>
      <w:r w:rsidR="0014403D">
        <w:rPr>
          <w:rtl/>
        </w:rPr>
        <w:t xml:space="preserve"> </w:t>
      </w:r>
      <w:r w:rsidR="00992664" w:rsidRPr="00020424">
        <w:rPr>
          <w:rtl/>
        </w:rPr>
        <w:t xml:space="preserve">« النكهة » : ريح الفم ، وهو أيضاً الاسم من نكهه نكهاً واستنكهه ، أي شمّ رائحة فمه. راجع : </w:t>
      </w:r>
      <w:r w:rsidR="00992664" w:rsidRPr="0012008A">
        <w:rPr>
          <w:rStyle w:val="libFootnoteBoldChar"/>
          <w:rtl/>
        </w:rPr>
        <w:t>الصحاح</w:t>
      </w:r>
      <w:r w:rsidR="00992664" w:rsidRPr="00020424">
        <w:rPr>
          <w:rtl/>
        </w:rPr>
        <w:t xml:space="preserve"> ، ج 6 ، ص 2253 ؛ </w:t>
      </w:r>
      <w:r w:rsidR="00992664" w:rsidRPr="00A722B1">
        <w:rPr>
          <w:rStyle w:val="libFootnoteBoldChar"/>
          <w:rtl/>
        </w:rPr>
        <w:t>لسان العرب</w:t>
      </w:r>
      <w:r w:rsidR="00992664" w:rsidRPr="00020424">
        <w:rPr>
          <w:rtl/>
        </w:rPr>
        <w:t xml:space="preserve"> ، ج 13 ، ص 550 ( نكه )</w:t>
      </w:r>
      <w:r w:rsidR="00992664">
        <w:rPr>
          <w:rtl/>
        </w:rPr>
        <w:t>.</w:t>
      </w:r>
    </w:p>
    <w:p w:rsidR="00992664" w:rsidRPr="00020424" w:rsidRDefault="00992664" w:rsidP="001D54A7">
      <w:pPr>
        <w:pStyle w:val="libFootnote0"/>
        <w:rPr>
          <w:rtl/>
          <w:lang w:bidi="fa-IR"/>
        </w:rPr>
      </w:pPr>
      <w:r w:rsidRPr="001D54A7">
        <w:rPr>
          <w:rtl/>
        </w:rPr>
        <w:t xml:space="preserve">هذا ، وفي </w:t>
      </w:r>
      <w:r w:rsidRPr="00DE76B9">
        <w:rPr>
          <w:rStyle w:val="libFootnoteBoldChar"/>
          <w:rtl/>
        </w:rPr>
        <w:t>مرآة العقول</w:t>
      </w:r>
      <w:r w:rsidRPr="001D54A7">
        <w:rPr>
          <w:rtl/>
        </w:rPr>
        <w:t xml:space="preserve"> : « قوله </w:t>
      </w:r>
      <w:r w:rsidRPr="00D64ADA">
        <w:rPr>
          <w:rStyle w:val="libFootnoteAlaemChar"/>
          <w:rtl/>
        </w:rPr>
        <w:t>عليه‌السلام</w:t>
      </w:r>
      <w:r w:rsidRPr="001D54A7">
        <w:rPr>
          <w:rtl/>
        </w:rPr>
        <w:t xml:space="preserve"> : ويطيّب النكهة ، عطف الفم عليها للتوضيح ، ويحتمل أن يكون المراد بتطيّب الفم إصلاحه لا تطييب نكهته ».</w:t>
      </w:r>
      <w:r w:rsidR="00926E49">
        <w:rPr>
          <w:rFonts w:hint="cs"/>
          <w:rtl/>
        </w:rPr>
        <w:t xml:space="preserve">                         </w:t>
      </w:r>
      <w:r w:rsidR="00795177">
        <w:rPr>
          <w:rtl/>
        </w:rPr>
        <w:t>(8).</w:t>
      </w:r>
      <w:r w:rsidR="0014403D">
        <w:rPr>
          <w:rtl/>
        </w:rPr>
        <w:t xml:space="preserve"> </w:t>
      </w:r>
      <w:r w:rsidRPr="00020424">
        <w:rPr>
          <w:rtl/>
        </w:rPr>
        <w:t>في « بث ، بخ ، بر ، بف » : « الأحداق</w:t>
      </w:r>
      <w:r>
        <w:rPr>
          <w:rtl/>
        </w:rPr>
        <w:t xml:space="preserve"> ».</w:t>
      </w:r>
    </w:p>
    <w:tbl>
      <w:tblPr>
        <w:tblStyle w:val="TableGrid"/>
        <w:bidiVisual/>
        <w:tblW w:w="0" w:type="auto"/>
        <w:tblLook w:val="04A0" w:firstRow="1" w:lastRow="0" w:firstColumn="1" w:lastColumn="0" w:noHBand="0" w:noVBand="1"/>
      </w:tblPr>
      <w:tblGrid>
        <w:gridCol w:w="4006"/>
        <w:gridCol w:w="4006"/>
      </w:tblGrid>
      <w:tr w:rsidR="001D54A7" w:rsidTr="001D54A7">
        <w:tc>
          <w:tcPr>
            <w:tcW w:w="4006" w:type="dxa"/>
          </w:tcPr>
          <w:p w:rsidR="001D54A7" w:rsidRDefault="001D54A7" w:rsidP="00992664">
            <w:pPr>
              <w:pStyle w:val="libFootnote0"/>
              <w:rPr>
                <w:rtl/>
              </w:rPr>
            </w:pPr>
            <w:r>
              <w:rPr>
                <w:rtl/>
              </w:rPr>
              <w:t>(9). في «بخ،بر،بف» وحاشية «بث » : «</w:t>
            </w:r>
            <w:r w:rsidRPr="00020424">
              <w:rPr>
                <w:rtl/>
              </w:rPr>
              <w:t>ويحدّ</w:t>
            </w:r>
            <w:r>
              <w:rPr>
                <w:rtl/>
              </w:rPr>
              <w:t xml:space="preserve"> ».</w:t>
            </w:r>
          </w:p>
        </w:tc>
        <w:tc>
          <w:tcPr>
            <w:tcW w:w="4006" w:type="dxa"/>
          </w:tcPr>
          <w:p w:rsidR="001D54A7" w:rsidRDefault="001D54A7" w:rsidP="00992664">
            <w:pPr>
              <w:pStyle w:val="libFootnote0"/>
              <w:rPr>
                <w:rtl/>
              </w:rPr>
            </w:pPr>
            <w:r>
              <w:rPr>
                <w:rtl/>
              </w:rPr>
              <w:t xml:space="preserve">(10). </w:t>
            </w:r>
            <w:r w:rsidRPr="00020424">
              <w:rPr>
                <w:rtl/>
              </w:rPr>
              <w:t>في « بر » :</w:t>
            </w:r>
            <w:r>
              <w:rPr>
                <w:rtl/>
              </w:rPr>
              <w:t xml:space="preserve"> - </w:t>
            </w:r>
            <w:r w:rsidRPr="00020424">
              <w:rPr>
                <w:rtl/>
              </w:rPr>
              <w:t>« غسلاً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المرّة »</w:t>
      </w:r>
      <w:r w:rsidR="00992664">
        <w:rPr>
          <w:rtl/>
        </w:rPr>
        <w:t xml:space="preserve"> </w:t>
      </w:r>
      <w:r w:rsidR="009B673F">
        <w:rPr>
          <w:rtl/>
        </w:rPr>
        <w:t>-</w:t>
      </w:r>
      <w:r w:rsidR="00992664">
        <w:rPr>
          <w:rtl/>
        </w:rPr>
        <w:t xml:space="preserve"> </w:t>
      </w:r>
      <w:r w:rsidR="00992664" w:rsidRPr="00020424">
        <w:rPr>
          <w:rtl/>
        </w:rPr>
        <w:t>بكسر الميم</w:t>
      </w:r>
      <w:r w:rsidR="00992664">
        <w:rPr>
          <w:rtl/>
        </w:rPr>
        <w:t xml:space="preserve"> </w:t>
      </w:r>
      <w:r w:rsidR="009B673F">
        <w:rPr>
          <w:rtl/>
        </w:rPr>
        <w:t>-</w:t>
      </w:r>
      <w:r w:rsidR="00992664">
        <w:rPr>
          <w:rtl/>
        </w:rPr>
        <w:t xml:space="preserve"> </w:t>
      </w:r>
      <w:r w:rsidR="00992664" w:rsidRPr="00020424">
        <w:rPr>
          <w:rtl/>
        </w:rPr>
        <w:t>: إحدى الطبائع الأربع ، ومزاج من أمزجة ا</w:t>
      </w:r>
      <w:r w:rsidR="001D54A7">
        <w:rPr>
          <w:rtl/>
        </w:rPr>
        <w:t>لبدن وخلط من أخلاطه. وقال العل</w:t>
      </w:r>
      <w:r w:rsidR="001D54A7">
        <w:rPr>
          <w:rFonts w:hint="cs"/>
          <w:rtl/>
        </w:rPr>
        <w:t>ّ</w:t>
      </w:r>
      <w:r w:rsidR="001D54A7">
        <w:rPr>
          <w:rtl/>
        </w:rPr>
        <w:t>ا</w:t>
      </w:r>
      <w:r w:rsidR="00992664" w:rsidRPr="00020424">
        <w:rPr>
          <w:rtl/>
        </w:rPr>
        <w:t>مة المجلسي : « هي بالكسر تطلق على الصفراء والسوداء</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5 ، ص 168 ؛ </w:t>
      </w:r>
      <w:r w:rsidR="00992664" w:rsidRPr="00A722B1">
        <w:rPr>
          <w:rStyle w:val="libFootnoteBoldChar"/>
          <w:rtl/>
        </w:rPr>
        <w:t>المصباح المنير</w:t>
      </w:r>
      <w:r w:rsidR="00992664" w:rsidRPr="00020424">
        <w:rPr>
          <w:rtl/>
        </w:rPr>
        <w:t xml:space="preserve">، ص 568 ( مرر ) ؛ </w:t>
      </w:r>
      <w:r w:rsidR="00992664" w:rsidRPr="00DE76B9">
        <w:rPr>
          <w:rStyle w:val="libFootnoteBoldChar"/>
          <w:rtl/>
        </w:rPr>
        <w:t>مرآة العقول</w:t>
      </w:r>
      <w:r w:rsidR="00992664" w:rsidRPr="00020424">
        <w:rPr>
          <w:rtl/>
        </w:rPr>
        <w:t xml:space="preserve"> ، ج 16 ، ص 287.</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الصُّداع » : وجع الرأس. </w:t>
      </w:r>
      <w:r w:rsidR="00992664" w:rsidRPr="0012008A">
        <w:rPr>
          <w:rStyle w:val="libFootnoteBoldChar"/>
          <w:rtl/>
        </w:rPr>
        <w:t>الصحاح</w:t>
      </w:r>
      <w:r w:rsidR="00992664" w:rsidRPr="00020424">
        <w:rPr>
          <w:rtl/>
        </w:rPr>
        <w:t xml:space="preserve"> ، ج 3 ، ص 1242 ( صدع )</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المقنعة</w:t>
      </w:r>
      <w:r w:rsidR="00992664" w:rsidRPr="00020424">
        <w:rPr>
          <w:rtl/>
        </w:rPr>
        <w:t xml:space="preserve"> ، ص 317 ، مرسلاً عن صفوان بن يحيى ، عن ابن مسكان. عن أبي عبدالله </w:t>
      </w:r>
      <w:r w:rsidR="00992664" w:rsidRPr="00D64ADA">
        <w:rPr>
          <w:rStyle w:val="libFootnoteAlaemChar"/>
          <w:rtl/>
        </w:rPr>
        <w:t>عليه‌السلام</w:t>
      </w:r>
      <w:r w:rsidR="00992664" w:rsidRPr="00020424">
        <w:rPr>
          <w:rtl/>
        </w:rPr>
        <w:t xml:space="preserve"> ، مع اختلاف يسير </w:t>
      </w:r>
      <w:r w:rsidR="001D54A7">
        <w:rPr>
          <w:rFonts w:hint="cs"/>
          <w:rtl/>
        </w:rPr>
        <w:t>.</w:t>
      </w:r>
      <w:r w:rsidR="00992664" w:rsidRPr="0012008A">
        <w:rPr>
          <w:rStyle w:val="libFootnoteBoldChar"/>
          <w:rtl/>
        </w:rPr>
        <w:t>الوافي</w:t>
      </w:r>
      <w:r w:rsidR="00992664" w:rsidRPr="00020424">
        <w:rPr>
          <w:rtl/>
        </w:rPr>
        <w:t xml:space="preserve"> ، ج 11 ، ص 246 ، ح 10789 ؛ </w:t>
      </w:r>
      <w:r w:rsidR="00992664" w:rsidRPr="0012008A">
        <w:rPr>
          <w:rStyle w:val="libFootnoteBoldChar"/>
          <w:rtl/>
        </w:rPr>
        <w:t>الوسائل</w:t>
      </w:r>
      <w:r w:rsidR="00992664" w:rsidRPr="00020424">
        <w:rPr>
          <w:rtl/>
        </w:rPr>
        <w:t xml:space="preserve"> ، ج 10 ، ص 158 ، ح 13105 ؛ </w:t>
      </w:r>
      <w:r w:rsidR="00992664" w:rsidRPr="0012008A">
        <w:rPr>
          <w:rStyle w:val="libFootnoteBoldChar"/>
          <w:rtl/>
        </w:rPr>
        <w:t>البحار</w:t>
      </w:r>
      <w:r w:rsidR="00992664" w:rsidRPr="00020424">
        <w:rPr>
          <w:rtl/>
        </w:rPr>
        <w:t xml:space="preserve"> ، ج 16 ، ص 273 ، ح 98 ، إلى قوله : « فماء فاتر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D54A7">
      <w:pPr>
        <w:pStyle w:val="libNormal0"/>
        <w:rPr>
          <w:rtl/>
          <w:lang w:bidi="fa-IR"/>
        </w:rPr>
      </w:pPr>
      <w:r w:rsidRPr="00020424">
        <w:rPr>
          <w:rtl/>
          <w:lang w:bidi="fa-IR"/>
        </w:rPr>
        <w:t>وَعَلَى الرُّطَبِ فِي زَمَنِ الرُّطَبِ</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905FF">
        <w:rPr>
          <w:rtl/>
        </w:rPr>
        <w:t>6608</w:t>
      </w:r>
      <w:r w:rsidRPr="001155DE">
        <w:rPr>
          <w:rStyle w:val="libBold2Char"/>
          <w:rtl/>
        </w:rPr>
        <w:t xml:space="preserve"> / 6.</w:t>
      </w:r>
      <w:r w:rsidRPr="00020424">
        <w:rPr>
          <w:rtl/>
          <w:lang w:bidi="fa-IR"/>
        </w:rPr>
        <w:t xml:space="preserve"> عَلِيُّ بْنُ إِبْرَاهِيمَ ، عَنْ أَبِيهِ ، عَنْ جَعْفَرِ بْنِ مُحَمَّدٍ الْأَشْعَرِيِّ </w:t>
      </w:r>
      <w:r w:rsidRPr="00A91B96">
        <w:rPr>
          <w:rStyle w:val="libFootnotenumChar"/>
          <w:rtl/>
        </w:rPr>
        <w:t>(2)</w:t>
      </w:r>
      <w:r w:rsidR="001D54A7">
        <w:rPr>
          <w:rtl/>
          <w:lang w:bidi="fa-IR"/>
        </w:rPr>
        <w:t xml:space="preserve"> ، عَنِ ابْنِ الْقَدَّاحِ</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أَوَّلُ مَا يُفْطِرُ عَلَيْهِ فِي زَمَنِ الرُّطَبِ الرُّطَبُ </w:t>
      </w:r>
      <w:r w:rsidRPr="00A91B96">
        <w:rPr>
          <w:rStyle w:val="libFootnotenumChar"/>
          <w:rtl/>
        </w:rPr>
        <w:t>(3)</w:t>
      </w:r>
      <w:r w:rsidRPr="00020424">
        <w:rPr>
          <w:rtl/>
          <w:lang w:bidi="fa-IR"/>
        </w:rPr>
        <w:t xml:space="preserve"> ، وَفِي زَمَنِ التَّمْرِ التَّمْرُ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506" w:name="_Toc345172885"/>
      <w:bookmarkStart w:id="507" w:name="_Toc464562700"/>
      <w:bookmarkStart w:id="508" w:name="_Toc44600006"/>
      <w:r w:rsidRPr="00020424">
        <w:rPr>
          <w:rtl/>
          <w:lang w:bidi="fa-IR"/>
        </w:rPr>
        <w:t>67</w:t>
      </w:r>
      <w:r>
        <w:rPr>
          <w:rtl/>
          <w:lang w:bidi="fa-IR"/>
        </w:rPr>
        <w:t xml:space="preserve"> </w:t>
      </w:r>
      <w:r w:rsidR="009B673F">
        <w:rPr>
          <w:rtl/>
          <w:lang w:bidi="fa-IR"/>
        </w:rPr>
        <w:t>-</w:t>
      </w:r>
      <w:r>
        <w:rPr>
          <w:rtl/>
          <w:lang w:bidi="fa-IR"/>
        </w:rPr>
        <w:t xml:space="preserve"> </w:t>
      </w:r>
      <w:r w:rsidRPr="00343309">
        <w:rPr>
          <w:rtl/>
        </w:rPr>
        <w:t>بَابُ</w:t>
      </w:r>
      <w:r w:rsidRPr="00020424">
        <w:rPr>
          <w:rtl/>
          <w:lang w:bidi="fa-IR"/>
        </w:rPr>
        <w:t xml:space="preserve"> الْغُسْلِ فِي شَهْرِ </w:t>
      </w:r>
      <w:r w:rsidRPr="00A91B96">
        <w:rPr>
          <w:rStyle w:val="libFootnotenumChar"/>
          <w:rtl/>
        </w:rPr>
        <w:t>(6)</w:t>
      </w:r>
      <w:r>
        <w:rPr>
          <w:rtl/>
        </w:rPr>
        <w:t xml:space="preserve"> </w:t>
      </w:r>
      <w:r w:rsidRPr="00020424">
        <w:rPr>
          <w:rtl/>
          <w:lang w:bidi="fa-IR"/>
        </w:rPr>
        <w:t>رَمَضَانَ‌</w:t>
      </w:r>
      <w:bookmarkEnd w:id="506"/>
      <w:bookmarkEnd w:id="507"/>
      <w:bookmarkEnd w:id="508"/>
    </w:p>
    <w:p w:rsidR="00992664" w:rsidRPr="00020424" w:rsidRDefault="00992664" w:rsidP="00992664">
      <w:pPr>
        <w:pStyle w:val="libNormal"/>
        <w:rPr>
          <w:rtl/>
          <w:lang w:bidi="fa-IR"/>
        </w:rPr>
      </w:pPr>
      <w:r w:rsidRPr="002905FF">
        <w:rPr>
          <w:rtl/>
        </w:rPr>
        <w:t>6609</w:t>
      </w:r>
      <w:r w:rsidRPr="001155DE">
        <w:rPr>
          <w:rStyle w:val="libBold2Char"/>
          <w:rtl/>
        </w:rPr>
        <w:t xml:space="preserve"> / 1.</w:t>
      </w:r>
      <w:r w:rsidRPr="00020424">
        <w:rPr>
          <w:rtl/>
          <w:lang w:bidi="fa-IR"/>
        </w:rPr>
        <w:t xml:space="preserve"> عَلِيُّ بْنُ إِبْرَاهِيمَ ، عَنْ أَبِيهِ ، عَنْ حَمَّادِ بْنِ عِيسى ، عَنْ حَرِ</w:t>
      </w:r>
      <w:r w:rsidR="001D54A7">
        <w:rPr>
          <w:rtl/>
          <w:lang w:bidi="fa-IR"/>
        </w:rPr>
        <w:t>يزٍ ، عَنْ زُرَارَةَ وَفُضَيْلٍ</w:t>
      </w:r>
      <w:r w:rsidRPr="00020424">
        <w:rPr>
          <w:rtl/>
          <w:lang w:bidi="fa-IR"/>
        </w:rPr>
        <w:t>:</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الْغُسْلُ فِي شَهْرِ رَمَضَانَ عِنْدَ وُجُوبِ الشَّمْسِ </w:t>
      </w:r>
      <w:r w:rsidRPr="00A91B96">
        <w:rPr>
          <w:rStyle w:val="libFootnotenumChar"/>
          <w:rtl/>
        </w:rPr>
        <w:t>(7)</w:t>
      </w:r>
      <w:r w:rsidRPr="00020424">
        <w:rPr>
          <w:rtl/>
          <w:lang w:bidi="fa-IR"/>
        </w:rPr>
        <w:t xml:space="preserve"> قُبَيْلَهُ ، ثُمَّ‌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D64ADA" w:rsidRPr="00D64ADA">
        <w:rPr>
          <w:rStyle w:val="libFootnoteBoldChar"/>
          <w:rtl/>
        </w:rPr>
        <w:t>المحاسن</w:t>
      </w:r>
      <w:r w:rsidR="00992664" w:rsidRPr="00020424">
        <w:rPr>
          <w:rtl/>
        </w:rPr>
        <w:t xml:space="preserve"> ، ص 531 ، كتاب المآكل ، ح 783 ، بسنده عن محمّد بن أبي عمير. </w:t>
      </w:r>
      <w:r w:rsidR="00992664" w:rsidRPr="0012008A">
        <w:rPr>
          <w:rStyle w:val="libFootnoteBoldChar"/>
          <w:rtl/>
        </w:rPr>
        <w:t>التهذيب</w:t>
      </w:r>
      <w:r w:rsidR="00992664" w:rsidRPr="00020424">
        <w:rPr>
          <w:rtl/>
        </w:rPr>
        <w:t xml:space="preserve"> ، ج 4 ، ص 198 ، ح 569 ، بسند آخر عن أبي جعفر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المقنعة</w:t>
      </w:r>
      <w:r w:rsidR="00992664" w:rsidRPr="00020424">
        <w:rPr>
          <w:rtl/>
        </w:rPr>
        <w:t xml:space="preserve"> ، ص 317 ، مرسلاً من دون الإسناد إلى المعصوم</w:t>
      </w:r>
      <w:r w:rsidR="00926E49">
        <w:rPr>
          <w:rFonts w:hint="cs"/>
          <w:rtl/>
        </w:rPr>
        <w:t xml:space="preserve"> </w:t>
      </w:r>
      <w:r w:rsidR="00992664" w:rsidRPr="00D64ADA">
        <w:rPr>
          <w:rStyle w:val="libFootnoteAlaemChar"/>
          <w:rtl/>
        </w:rPr>
        <w:t>عليه‌السلام</w:t>
      </w:r>
      <w:r w:rsidR="00992664" w:rsidRPr="00020424">
        <w:rPr>
          <w:rtl/>
        </w:rPr>
        <w:t xml:space="preserve"> ، وفي الأخيرين مع اختلاف </w:t>
      </w:r>
      <w:r w:rsidR="001D54A7">
        <w:rPr>
          <w:rFonts w:hint="cs"/>
          <w:rtl/>
        </w:rPr>
        <w:t>.</w:t>
      </w:r>
      <w:r w:rsidR="00992664" w:rsidRPr="0012008A">
        <w:rPr>
          <w:rStyle w:val="libFootnoteBoldChar"/>
          <w:rtl/>
        </w:rPr>
        <w:t>الوافي</w:t>
      </w:r>
      <w:r w:rsidR="00992664" w:rsidRPr="00020424">
        <w:rPr>
          <w:rtl/>
        </w:rPr>
        <w:t xml:space="preserve"> ، ج 11 ، ص 247 ، ح 10792 ؛ </w:t>
      </w:r>
      <w:r w:rsidR="00992664" w:rsidRPr="0012008A">
        <w:rPr>
          <w:rStyle w:val="libFootnoteBoldChar"/>
          <w:rtl/>
        </w:rPr>
        <w:t>الوسائل</w:t>
      </w:r>
      <w:r w:rsidR="00992664" w:rsidRPr="00020424">
        <w:rPr>
          <w:rtl/>
        </w:rPr>
        <w:t xml:space="preserve"> ، ج 10 ، ص 157 ، ح 13103 ؛ </w:t>
      </w:r>
      <w:r w:rsidR="00992664" w:rsidRPr="0012008A">
        <w:rPr>
          <w:rStyle w:val="libFootnoteBoldChar"/>
          <w:rtl/>
        </w:rPr>
        <w:t>البحار</w:t>
      </w:r>
      <w:r w:rsidR="00992664" w:rsidRPr="00020424">
        <w:rPr>
          <w:rtl/>
        </w:rPr>
        <w:t xml:space="preserve"> ، ج 16 ، ص 273 ، ح 99.</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هكذا في حاشية « جر</w:t>
      </w:r>
      <w:r w:rsidR="00992664">
        <w:rPr>
          <w:rtl/>
        </w:rPr>
        <w:t xml:space="preserve"> ».</w:t>
      </w:r>
      <w:r w:rsidR="00992664" w:rsidRPr="00020424">
        <w:rPr>
          <w:rtl/>
        </w:rPr>
        <w:t xml:space="preserve"> وفي « ظ ، ى ، بث ، بح ، بخ ، بر ، بس ، بف ، جر ، جن » والمطبوع </w:t>
      </w:r>
      <w:r w:rsidR="00992664" w:rsidRPr="001D54A7">
        <w:rPr>
          <w:rtl/>
        </w:rPr>
        <w:t>والوسائل</w:t>
      </w:r>
      <w:r w:rsidR="00992664" w:rsidRPr="00020424">
        <w:rPr>
          <w:rtl/>
        </w:rPr>
        <w:t xml:space="preserve"> </w:t>
      </w:r>
      <w:r w:rsidR="00992664" w:rsidRPr="001D54A7">
        <w:rPr>
          <w:rtl/>
        </w:rPr>
        <w:t>والبحار</w:t>
      </w:r>
      <w:r w:rsidR="00992664" w:rsidRPr="00020424">
        <w:rPr>
          <w:rtl/>
        </w:rPr>
        <w:t xml:space="preserve"> : « جعفر بن عبد الله الأشعري</w:t>
      </w:r>
      <w:r w:rsidR="00992664">
        <w:rPr>
          <w:rtl/>
        </w:rPr>
        <w:t xml:space="preserve"> ».</w:t>
      </w:r>
    </w:p>
    <w:p w:rsidR="00992664" w:rsidRPr="00020424" w:rsidRDefault="00992664" w:rsidP="00992664">
      <w:pPr>
        <w:pStyle w:val="libFootnote0"/>
        <w:rPr>
          <w:rtl/>
          <w:lang w:bidi="fa-IR"/>
        </w:rPr>
      </w:pPr>
      <w:r w:rsidRPr="001D54A7">
        <w:rPr>
          <w:rtl/>
        </w:rPr>
        <w:t xml:space="preserve">وابن القدّاح هو عبد الله بن ميمون القدّاح روى كتابه جعفر بن محمّد بن عبيد الله. وروى جعفر هذا عن ابن القدّاح وعبد الله بن القدّاح وعبد الله بن ميمون وعبد الله بن ميمون القدّاح والقدّاح ، بعنوان جعفر بن محمّد الأشعريّ في كثيرٍ من الأسناد. راجع : </w:t>
      </w:r>
      <w:r w:rsidRPr="00DE76B9">
        <w:rPr>
          <w:rStyle w:val="libFootnoteBoldChar"/>
          <w:rtl/>
        </w:rPr>
        <w:t>رجال النجاشي</w:t>
      </w:r>
      <w:r w:rsidRPr="001D54A7">
        <w:rPr>
          <w:rtl/>
        </w:rPr>
        <w:t xml:space="preserve"> ، ص 213 ، الرقم 557 ؛ </w:t>
      </w:r>
      <w:r w:rsidRPr="00D530ED">
        <w:rPr>
          <w:rStyle w:val="libFootnoteBoldChar"/>
          <w:rtl/>
        </w:rPr>
        <w:t>الفهرست للطوسي</w:t>
      </w:r>
      <w:r w:rsidRPr="001D54A7">
        <w:rPr>
          <w:rtl/>
        </w:rPr>
        <w:t xml:space="preserve"> ، ص 295 ، الرقم 443 ؛ </w:t>
      </w:r>
      <w:r w:rsidRPr="00DE76B9">
        <w:rPr>
          <w:rStyle w:val="libFootnoteBoldChar"/>
          <w:rtl/>
        </w:rPr>
        <w:t>معجم رجال الحديث</w:t>
      </w:r>
      <w:r w:rsidRPr="001D54A7">
        <w:rPr>
          <w:rtl/>
        </w:rPr>
        <w:t xml:space="preserve"> ، ج 4 ، ص 425 </w:t>
      </w:r>
      <w:r w:rsidR="009B673F" w:rsidRPr="001D54A7">
        <w:rPr>
          <w:rtl/>
        </w:rPr>
        <w:t>-</w:t>
      </w:r>
      <w:r w:rsidRPr="001D54A7">
        <w:rPr>
          <w:rtl/>
        </w:rPr>
        <w:t xml:space="preserve"> 427.</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 « رطب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بر » : « تمر</w:t>
      </w:r>
      <w:r w:rsidR="00992664">
        <w:rPr>
          <w:rtl/>
        </w:rPr>
        <w:t xml:space="preserve"> ».</w:t>
      </w:r>
    </w:p>
    <w:p w:rsidR="00992664" w:rsidRPr="00020424" w:rsidRDefault="00795177" w:rsidP="001D54A7">
      <w:pPr>
        <w:pStyle w:val="libFootnote0"/>
        <w:rPr>
          <w:rtl/>
          <w:lang w:bidi="fa-IR"/>
        </w:rPr>
      </w:pPr>
      <w:r>
        <w:rPr>
          <w:rtl/>
        </w:rPr>
        <w:t>(5).</w:t>
      </w:r>
      <w:r w:rsidR="0014403D">
        <w:rPr>
          <w:rtl/>
        </w:rPr>
        <w:t xml:space="preserve"> </w:t>
      </w:r>
      <w:r w:rsidR="00D64ADA" w:rsidRPr="00D64ADA">
        <w:rPr>
          <w:rStyle w:val="libFootnoteBoldChar"/>
          <w:rtl/>
        </w:rPr>
        <w:t>المحاسن</w:t>
      </w:r>
      <w:r w:rsidR="00992664" w:rsidRPr="00020424">
        <w:rPr>
          <w:rtl/>
        </w:rPr>
        <w:t xml:space="preserve"> ، ص 531 ، كتاب المآكل ، ح 782 ، عن جعفر بن محمّد الأشعري ، عن ابن القدّاح ، عن أبي عبدالله ، عن آبائه </w:t>
      </w:r>
      <w:r w:rsidR="00992664" w:rsidRPr="00D64ADA">
        <w:rPr>
          <w:rStyle w:val="libFootnoteAlaemChar"/>
          <w:rtl/>
        </w:rPr>
        <w:t>عليهم‌السلام</w:t>
      </w:r>
      <w:r w:rsidR="00992664" w:rsidRPr="00020424">
        <w:rPr>
          <w:rtl/>
        </w:rPr>
        <w:t xml:space="preserve"> </w:t>
      </w:r>
      <w:r w:rsidR="001D54A7">
        <w:rPr>
          <w:rFonts w:hint="cs"/>
          <w:rtl/>
        </w:rPr>
        <w:t>.</w:t>
      </w:r>
      <w:r w:rsidR="00992664" w:rsidRPr="0012008A">
        <w:rPr>
          <w:rStyle w:val="libFootnoteBoldChar"/>
          <w:rtl/>
        </w:rPr>
        <w:t>الوافي</w:t>
      </w:r>
      <w:r w:rsidR="00992664" w:rsidRPr="00020424">
        <w:rPr>
          <w:rtl/>
        </w:rPr>
        <w:t xml:space="preserve"> ، ج 11 ، ص 248 ، ح 10793 ؛ </w:t>
      </w:r>
      <w:r w:rsidR="00992664" w:rsidRPr="0012008A">
        <w:rPr>
          <w:rStyle w:val="libFootnoteBoldChar"/>
          <w:rtl/>
        </w:rPr>
        <w:t>الوسائل</w:t>
      </w:r>
      <w:r w:rsidR="00992664" w:rsidRPr="00020424">
        <w:rPr>
          <w:rtl/>
        </w:rPr>
        <w:t xml:space="preserve"> ، ج 10 ، ص 156 ، ح 13100 ؛ </w:t>
      </w:r>
      <w:r w:rsidR="00992664" w:rsidRPr="0012008A">
        <w:rPr>
          <w:rStyle w:val="libFootnoteBoldChar"/>
          <w:rtl/>
        </w:rPr>
        <w:t>البحار</w:t>
      </w:r>
      <w:r w:rsidR="00992664" w:rsidRPr="00020424">
        <w:rPr>
          <w:rtl/>
        </w:rPr>
        <w:t xml:space="preserve"> ، ج 16 ، ص 273 ، ح 100.</w:t>
      </w:r>
      <w:r w:rsidR="001D54A7">
        <w:rPr>
          <w:rFonts w:hint="cs"/>
          <w:rtl/>
        </w:rPr>
        <w:t xml:space="preserve">       </w:t>
      </w:r>
      <w:r>
        <w:rPr>
          <w:rtl/>
        </w:rPr>
        <w:t>(6).</w:t>
      </w:r>
      <w:r w:rsidR="0014403D">
        <w:rPr>
          <w:rtl/>
        </w:rPr>
        <w:t xml:space="preserve"> </w:t>
      </w:r>
      <w:r w:rsidR="00992664" w:rsidRPr="00020424">
        <w:rPr>
          <w:rtl/>
        </w:rPr>
        <w:t>في « بخ ، بف »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وجوب الشمس : غروبها. وأصل الوجوب : السقوط والوقوع. راجع : </w:t>
      </w:r>
      <w:r w:rsidR="00992664" w:rsidRPr="0012008A">
        <w:rPr>
          <w:rStyle w:val="libFootnoteBoldChar"/>
          <w:rtl/>
        </w:rPr>
        <w:t>الصحاح</w:t>
      </w:r>
      <w:r w:rsidR="00992664" w:rsidRPr="00020424">
        <w:rPr>
          <w:rtl/>
        </w:rPr>
        <w:t xml:space="preserve"> ، ج 1 ، ص 232 ؛ </w:t>
      </w:r>
      <w:r w:rsidR="00992664" w:rsidRPr="0012008A">
        <w:rPr>
          <w:rStyle w:val="libFootnoteBoldChar"/>
          <w:rtl/>
        </w:rPr>
        <w:t>النهاية</w:t>
      </w:r>
      <w:r w:rsidR="00992664" w:rsidRPr="00020424">
        <w:rPr>
          <w:rtl/>
        </w:rPr>
        <w:t xml:space="preserve"> ، ج 5 ، ص 154 ( وجب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1D54A7">
      <w:pPr>
        <w:pStyle w:val="libNormal0"/>
        <w:rPr>
          <w:rtl/>
          <w:lang w:bidi="fa-IR"/>
        </w:rPr>
      </w:pPr>
      <w:r w:rsidRPr="00020424">
        <w:rPr>
          <w:rtl/>
          <w:lang w:bidi="fa-IR"/>
        </w:rPr>
        <w:t>يُصَلِّي ، ثُمَّ يُفْطِرُ</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2905FF">
        <w:rPr>
          <w:rtl/>
        </w:rPr>
        <w:t>6610</w:t>
      </w:r>
      <w:r w:rsidRPr="001155DE">
        <w:rPr>
          <w:rStyle w:val="libBold2Char"/>
          <w:rtl/>
        </w:rPr>
        <w:t xml:space="preserve"> / 2.</w:t>
      </w:r>
      <w:r w:rsidRPr="00020424">
        <w:rPr>
          <w:rtl/>
          <w:lang w:bidi="fa-IR"/>
        </w:rPr>
        <w:t xml:space="preserve"> مُحَمَّدُ بْنُ إِسْمَاعِيلَ ، عَنِ الْفَضْلِ بْنِ شَاذَانَ ، عَنْ صَفْوَانَ بْنِ يَحْيَى ، عَنْ مَنْصُورِ بْنِ حَازِمٍ ، عَنْ سُلَيْمَانَ بْنِ خَالِدٍ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 كَمْ أَغْتَسِلُ فِي شَهْرِ رَمَضَانَ لَيْلَةً</w:t>
      </w:r>
      <w:r>
        <w:rPr>
          <w:rtl/>
          <w:lang w:bidi="fa-IR"/>
        </w:rPr>
        <w:t>؟</w:t>
      </w:r>
    </w:p>
    <w:p w:rsidR="00992664" w:rsidRPr="00020424" w:rsidRDefault="00992664" w:rsidP="00992664">
      <w:pPr>
        <w:pStyle w:val="libNormal"/>
        <w:rPr>
          <w:rtl/>
          <w:lang w:bidi="fa-IR"/>
        </w:rPr>
      </w:pPr>
      <w:r w:rsidRPr="00020424">
        <w:rPr>
          <w:rtl/>
          <w:lang w:bidi="fa-IR"/>
        </w:rPr>
        <w:t xml:space="preserve">قَالَ : « لَيْلَةَ تِسْعَ عَشْرَةَ ، وَلَيْلَةَ </w:t>
      </w:r>
      <w:r w:rsidRPr="00A91B96">
        <w:rPr>
          <w:rStyle w:val="libFootnotenumChar"/>
          <w:rtl/>
        </w:rPr>
        <w:t>(2)</w:t>
      </w:r>
      <w:r w:rsidRPr="00020424">
        <w:rPr>
          <w:rtl/>
          <w:lang w:bidi="fa-IR"/>
        </w:rPr>
        <w:t xml:space="preserve"> إِحْدى وَعِشْرِينَ ، وَثَلَاثٍ وَعِشْرِينَ</w:t>
      </w:r>
      <w:r>
        <w:rPr>
          <w:rtl/>
          <w:lang w:bidi="fa-IR"/>
        </w:rPr>
        <w:t xml:space="preserve"> ».</w:t>
      </w:r>
    </w:p>
    <w:p w:rsidR="00992664" w:rsidRPr="00020424" w:rsidRDefault="00992664" w:rsidP="00992664">
      <w:pPr>
        <w:pStyle w:val="libNormal"/>
        <w:rPr>
          <w:rtl/>
          <w:lang w:bidi="fa-IR"/>
        </w:rPr>
      </w:pPr>
      <w:r w:rsidRPr="00020424">
        <w:rPr>
          <w:rtl/>
          <w:lang w:bidi="fa-IR"/>
        </w:rPr>
        <w:t>قَالَ : قُلْتُ : فَإِنْ شَقَّ عَلَيَّ</w:t>
      </w:r>
      <w:r>
        <w:rPr>
          <w:rtl/>
          <w:lang w:bidi="fa-IR"/>
        </w:rPr>
        <w:t>؟</w:t>
      </w:r>
    </w:p>
    <w:p w:rsidR="00992664" w:rsidRPr="00020424" w:rsidRDefault="00992664" w:rsidP="00992664">
      <w:pPr>
        <w:pStyle w:val="libNormal"/>
        <w:rPr>
          <w:rtl/>
          <w:lang w:bidi="fa-IR"/>
        </w:rPr>
      </w:pPr>
      <w:r w:rsidRPr="00020424">
        <w:rPr>
          <w:rtl/>
          <w:lang w:bidi="fa-IR"/>
        </w:rPr>
        <w:t xml:space="preserve">قَالَ : « فِي إِحْدى وَعِشْرِينَ </w:t>
      </w:r>
      <w:r w:rsidRPr="00A91B96">
        <w:rPr>
          <w:rStyle w:val="libFootnotenumChar"/>
          <w:rtl/>
        </w:rPr>
        <w:t>(3)</w:t>
      </w:r>
      <w:r w:rsidRPr="00020424">
        <w:rPr>
          <w:rtl/>
          <w:lang w:bidi="fa-IR"/>
        </w:rPr>
        <w:t xml:space="preserve"> ، وَثَلَاثٍ وَعِشْرِينَ</w:t>
      </w:r>
      <w:r>
        <w:rPr>
          <w:rtl/>
          <w:lang w:bidi="fa-IR"/>
        </w:rPr>
        <w:t xml:space="preserve"> ».</w:t>
      </w:r>
    </w:p>
    <w:p w:rsidR="00992664" w:rsidRPr="00020424" w:rsidRDefault="00992664" w:rsidP="00992664">
      <w:pPr>
        <w:pStyle w:val="libNormal"/>
        <w:rPr>
          <w:rtl/>
          <w:lang w:bidi="fa-IR"/>
        </w:rPr>
      </w:pPr>
      <w:r w:rsidRPr="00020424">
        <w:rPr>
          <w:rtl/>
          <w:lang w:bidi="fa-IR"/>
        </w:rPr>
        <w:t>قُلْتُ : فَإِنْ شَقَّ عَلَيَّ</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حَسْبُكَ الْآنَ</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FA7912">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156 ، ح 2017 ، معلّقاً عن زرارة </w:t>
      </w:r>
      <w:r w:rsidR="00FA7912">
        <w:rPr>
          <w:rFonts w:hint="cs"/>
          <w:rtl/>
        </w:rPr>
        <w:t>.</w:t>
      </w:r>
      <w:r w:rsidR="00992664" w:rsidRPr="0012008A">
        <w:rPr>
          <w:rStyle w:val="libFootnoteBoldChar"/>
          <w:rtl/>
        </w:rPr>
        <w:t>الوافي</w:t>
      </w:r>
      <w:r w:rsidR="00992664" w:rsidRPr="00020424">
        <w:rPr>
          <w:rtl/>
        </w:rPr>
        <w:t xml:space="preserve"> ، ج 11 ، ص 391 ، ح 11075 ؛ </w:t>
      </w:r>
      <w:r w:rsidR="00992664" w:rsidRPr="0012008A">
        <w:rPr>
          <w:rStyle w:val="libFootnoteBoldChar"/>
          <w:rtl/>
        </w:rPr>
        <w:t>الوسائل</w:t>
      </w:r>
      <w:r w:rsidR="00992664" w:rsidRPr="00020424">
        <w:rPr>
          <w:rtl/>
        </w:rPr>
        <w:t xml:space="preserve"> ، ج 3 ، ص 324 ، ذيل ح 3768.</w:t>
      </w:r>
      <w:r w:rsidR="00FA7912">
        <w:rPr>
          <w:rFonts w:hint="cs"/>
          <w:rtl/>
        </w:rPr>
        <w:t xml:space="preserve">   </w:t>
      </w:r>
      <w:r>
        <w:rPr>
          <w:rtl/>
        </w:rPr>
        <w:t>(2).</w:t>
      </w:r>
      <w:r w:rsidR="0014403D">
        <w:rPr>
          <w:rtl/>
        </w:rPr>
        <w:t xml:space="preserve"> </w:t>
      </w:r>
      <w:r w:rsidR="00992664" w:rsidRPr="00020424">
        <w:rPr>
          <w:rtl/>
        </w:rPr>
        <w:t xml:space="preserve">في </w:t>
      </w:r>
      <w:r w:rsidR="00992664" w:rsidRPr="00FA7912">
        <w:rP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ليلة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 + « 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w:t>
      </w:r>
      <w:r w:rsidR="00992664">
        <w:rPr>
          <w:rtl/>
        </w:rPr>
        <w:t xml:space="preserve"> </w:t>
      </w:r>
      <w:r w:rsidR="009B673F">
        <w:rPr>
          <w:rtl/>
        </w:rPr>
        <w:t>-</w:t>
      </w:r>
      <w:r w:rsidR="00992664">
        <w:rPr>
          <w:rtl/>
        </w:rPr>
        <w:t xml:space="preserve"> </w:t>
      </w:r>
      <w:r w:rsidR="00992664" w:rsidRPr="00020424">
        <w:rPr>
          <w:rtl/>
        </w:rPr>
        <w:t>« في إحدى وعشرين</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شقّ عليّ 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A722B1">
        <w:rPr>
          <w:rStyle w:val="libFootnoteBoldChar"/>
          <w:rtl/>
        </w:rPr>
        <w:t>الخصال</w:t>
      </w:r>
      <w:r w:rsidR="00992664" w:rsidRPr="00020424">
        <w:rPr>
          <w:rtl/>
        </w:rPr>
        <w:t xml:space="preserve"> ، ص 498 ، أبواب الأربعة عشر ، ذيل ح 5 ؛ وص 603 ، أبواب الثمانين ومافوقه ، ضمن الحديث الطويل 9 ؛ </w:t>
      </w:r>
      <w:r w:rsidR="00992664" w:rsidRPr="00D27EE2">
        <w:rPr>
          <w:rStyle w:val="libFootnoteBoldChar"/>
          <w:rtl/>
        </w:rPr>
        <w:t>وفضائل الأشهر الثلاثة</w:t>
      </w:r>
      <w:r w:rsidR="00992664" w:rsidRPr="00020424">
        <w:rPr>
          <w:rtl/>
        </w:rPr>
        <w:t xml:space="preserve"> ، ص 137 ، ضمن ح 147 ، بسند آخر. </w:t>
      </w:r>
      <w:r w:rsidR="00992664" w:rsidRPr="00A722B1">
        <w:rPr>
          <w:rStyle w:val="libFootnoteBoldChar"/>
          <w:rtl/>
        </w:rPr>
        <w:t>الخصال</w:t>
      </w:r>
      <w:r w:rsidR="00992664" w:rsidRPr="00020424">
        <w:rPr>
          <w:rtl/>
        </w:rPr>
        <w:t xml:space="preserve"> ، ص 508 ، باب السبعة عشر ، صدر ح 1 ، بسند آخر عن أبي جعفر </w:t>
      </w:r>
      <w:r w:rsidR="00992664" w:rsidRPr="00D64ADA">
        <w:rPr>
          <w:rStyle w:val="libFootnoteAlaemChar"/>
          <w:rtl/>
        </w:rPr>
        <w:t>عليه‌السلام</w:t>
      </w:r>
      <w:r w:rsidR="00992664" w:rsidRPr="00020424">
        <w:rPr>
          <w:rtl/>
        </w:rPr>
        <w:t xml:space="preserve"> ، وفي الثلاثة الأخيرة مع زيادة غسل ليلة سبع عشرة. وفي </w:t>
      </w:r>
      <w:r w:rsidR="00992664" w:rsidRPr="0012008A">
        <w:rPr>
          <w:rStyle w:val="libFootnoteBoldChar"/>
          <w:rtl/>
        </w:rPr>
        <w:t>الفقيه</w:t>
      </w:r>
      <w:r w:rsidR="00992664" w:rsidRPr="00020424">
        <w:rPr>
          <w:rtl/>
        </w:rPr>
        <w:t xml:space="preserve"> ، ج 2 ، ص 160 ، صدر ح 2031 ؛ </w:t>
      </w:r>
      <w:r w:rsidR="00992664" w:rsidRPr="00515444">
        <w:rPr>
          <w:rStyle w:val="libFootnoteBoldChar"/>
          <w:rtl/>
        </w:rPr>
        <w:t>والتهذيب</w:t>
      </w:r>
      <w:r w:rsidR="00992664" w:rsidRPr="00020424">
        <w:rPr>
          <w:rtl/>
        </w:rPr>
        <w:t xml:space="preserve"> ، ج 4 ، ص 196 ، صدر ح 561 ؛ وج 1 ، ص 194 ، ح 301 بسند آخر عن أحدهما </w:t>
      </w:r>
      <w:r w:rsidR="00D64ADA" w:rsidRPr="00D64ADA">
        <w:rPr>
          <w:rStyle w:val="libFootnoteAlaemChar"/>
          <w:rtl/>
        </w:rPr>
        <w:t>عليهما‌السلام</w:t>
      </w:r>
      <w:r w:rsidR="00992664" w:rsidRPr="00020424">
        <w:rPr>
          <w:rtl/>
        </w:rPr>
        <w:t xml:space="preserve"> ، وفي الأخير مع زيادة غسل ليلة سبع عشرة. وفي </w:t>
      </w:r>
      <w:r w:rsidR="00992664" w:rsidRPr="00DE76B9">
        <w:rPr>
          <w:rStyle w:val="libFootnoteBoldChar"/>
          <w:rtl/>
        </w:rPr>
        <w:t>الكافي</w:t>
      </w:r>
      <w:r w:rsidR="00992664" w:rsidRPr="00020424">
        <w:rPr>
          <w:rtl/>
        </w:rPr>
        <w:t xml:space="preserve"> ، كتاب الصيام ، باب ما يزاد من الصلاة في شهر رمضان ، ضمن ح 6618 ؛ </w:t>
      </w:r>
      <w:r w:rsidR="00992664" w:rsidRPr="00515444">
        <w:rPr>
          <w:rStyle w:val="libFootnoteBoldChar"/>
          <w:rtl/>
        </w:rPr>
        <w:t>والتهذيب</w:t>
      </w:r>
      <w:r w:rsidR="00992664" w:rsidRPr="00020424">
        <w:rPr>
          <w:rtl/>
        </w:rPr>
        <w:t xml:space="preserve"> ، ج 3 ، ص 68 ، ضمن ح 222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1 ، ص 463 ، ضمن ح 7799 ، بسند آخر عن أبي محمّد العسكري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81 و205 ؛ </w:t>
      </w:r>
      <w:r w:rsidR="00992664" w:rsidRPr="00587829">
        <w:rPr>
          <w:rStyle w:val="libFootnoteBoldChar"/>
          <w:rtl/>
        </w:rPr>
        <w:t>الأمالي للصدوق</w:t>
      </w:r>
      <w:r w:rsidR="00992664" w:rsidRPr="00020424">
        <w:rPr>
          <w:rtl/>
        </w:rPr>
        <w:t xml:space="preserve"> ، ص 647 ، المجلس 93 ، في ضمن وصف دين الإماميّة على الإيجاز والاختصار ؛ </w:t>
      </w:r>
      <w:r w:rsidR="00992664" w:rsidRPr="00DE76B9">
        <w:rPr>
          <w:rStyle w:val="libFootnoteBoldChar"/>
          <w:rtl/>
        </w:rPr>
        <w:t>تحف العقول</w:t>
      </w:r>
      <w:r w:rsidR="00992664" w:rsidRPr="00020424">
        <w:rPr>
          <w:rtl/>
        </w:rPr>
        <w:t xml:space="preserve"> ، ص 417 ، ضمن الحديث الطويل ، عن الرضا </w:t>
      </w:r>
      <w:r w:rsidR="00992664" w:rsidRPr="00D64ADA">
        <w:rPr>
          <w:rStyle w:val="libFootnoteAlaemChar"/>
          <w:rtl/>
        </w:rPr>
        <w:t>عليه‌السلام</w:t>
      </w:r>
      <w:r w:rsidR="00992664" w:rsidRPr="00020424">
        <w:rPr>
          <w:rtl/>
        </w:rPr>
        <w:t xml:space="preserve">. وفي كلّ </w:t>
      </w:r>
      <w:r w:rsidR="00926E49">
        <w:rPr>
          <w:rtl/>
        </w:rPr>
        <w:t>المصادر إلى قوله : « وليلة إحدى</w:t>
      </w:r>
      <w:r w:rsidR="00992664" w:rsidRPr="00020424">
        <w:rPr>
          <w:rtl/>
        </w:rPr>
        <w:t xml:space="preserve">وعشرين وثلاث وعشرين » مع اختلاف يسير. راجع : </w:t>
      </w:r>
      <w:r w:rsidR="00992664" w:rsidRPr="0012008A">
        <w:rPr>
          <w:rStyle w:val="libFootnoteBoldChar"/>
          <w:rtl/>
        </w:rPr>
        <w:t>التهذيب</w:t>
      </w:r>
      <w:r w:rsidR="00992664" w:rsidRPr="00020424">
        <w:rPr>
          <w:rtl/>
        </w:rPr>
        <w:t xml:space="preserve"> ، ج 3 ، ص 64 ، ح 217 ؛ </w:t>
      </w:r>
      <w:r w:rsidR="00992664" w:rsidRPr="00FD6221">
        <w:rPr>
          <w:rStyle w:val="libFootnoteBoldChar"/>
          <w:rtl/>
        </w:rPr>
        <w:t>والاستبصار</w:t>
      </w:r>
      <w:r w:rsidR="00992664" w:rsidRPr="00020424">
        <w:rPr>
          <w:rtl/>
        </w:rPr>
        <w:t xml:space="preserve"> ، ج 1 ، ص 464 ، ح 1801 </w:t>
      </w:r>
      <w:r w:rsidR="00992664" w:rsidRPr="0012008A">
        <w:rPr>
          <w:rStyle w:val="libFootnoteBoldChar"/>
          <w:rtl/>
        </w:rPr>
        <w:t>الوافي</w:t>
      </w:r>
      <w:r w:rsidR="00992664" w:rsidRPr="00020424">
        <w:rPr>
          <w:rtl/>
        </w:rPr>
        <w:t xml:space="preserve"> ، ج 6 ، ص 380 ، ح 4492 ؛ وج 11 ، ص 390 ، ح 11071 ؛ </w:t>
      </w:r>
      <w:r w:rsidR="00992664" w:rsidRPr="0012008A">
        <w:rPr>
          <w:rStyle w:val="libFootnoteBoldChar"/>
          <w:rtl/>
        </w:rPr>
        <w:t>الوسائل</w:t>
      </w:r>
      <w:r w:rsidR="00992664" w:rsidRPr="00020424">
        <w:rPr>
          <w:rtl/>
        </w:rPr>
        <w:t xml:space="preserve"> ، ج 3 ، ص 303 ، ذيل ح 3709 ؛ </w:t>
      </w:r>
      <w:r w:rsidR="00992664" w:rsidRPr="00DE76B9">
        <w:rPr>
          <w:rStyle w:val="libFootnoteBoldChar"/>
          <w:rtl/>
        </w:rPr>
        <w:t>وفيه</w:t>
      </w:r>
      <w:r w:rsidR="00992664" w:rsidRPr="00020424">
        <w:rPr>
          <w:rtl/>
        </w:rPr>
        <w:t xml:space="preserve"> ، ص 310 ، ح 3726 ، إلى قوله : « وليلة إحدى وعشرين وثلاث وعشرين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2905FF">
        <w:rPr>
          <w:rtl/>
        </w:rPr>
        <w:t>6611</w:t>
      </w:r>
      <w:r w:rsidRPr="001155DE">
        <w:rPr>
          <w:rStyle w:val="libBold2Char"/>
          <w:rtl/>
        </w:rPr>
        <w:t xml:space="preserve"> / 3.</w:t>
      </w:r>
      <w:r w:rsidRPr="00020424">
        <w:rPr>
          <w:rtl/>
          <w:lang w:bidi="fa-IR"/>
        </w:rPr>
        <w:t xml:space="preserve"> صَفْوَانُ بْنُ يَحْيى </w:t>
      </w:r>
      <w:r w:rsidRPr="00A91B96">
        <w:rPr>
          <w:rStyle w:val="libFootnotenumChar"/>
          <w:rtl/>
        </w:rPr>
        <w:t>(1)</w:t>
      </w:r>
      <w:r w:rsidRPr="00020424">
        <w:rPr>
          <w:rtl/>
          <w:lang w:bidi="fa-IR"/>
        </w:rPr>
        <w:t xml:space="preserve"> ، عَنْ عِيصِ بْنِ الْقَاسِمِ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اللَّيْلَةِ الَّتِي يُطْلَبُ فِيهَا مَا يُطْلَبُ : مَتَى الْغُسْلُ</w:t>
      </w:r>
      <w:r>
        <w:rPr>
          <w:rtl/>
          <w:lang w:bidi="fa-IR"/>
        </w:rPr>
        <w:t>؟</w:t>
      </w:r>
    </w:p>
    <w:p w:rsidR="00992664" w:rsidRPr="00020424" w:rsidRDefault="00992664" w:rsidP="00992664">
      <w:pPr>
        <w:pStyle w:val="libNormal"/>
        <w:rPr>
          <w:rtl/>
          <w:lang w:bidi="fa-IR"/>
        </w:rPr>
      </w:pPr>
      <w:r w:rsidRPr="00020424">
        <w:rPr>
          <w:rtl/>
          <w:lang w:bidi="fa-IR"/>
        </w:rPr>
        <w:t>فَقَالَ : « مِنْ أَوَّلِ اللَّيْلِ ، وَإِنْ شِئْتَ حَيْثُ تَقُومُ مِنْ آخِرِهِ</w:t>
      </w:r>
      <w:r>
        <w:rPr>
          <w:rtl/>
          <w:lang w:bidi="fa-IR"/>
        </w:rPr>
        <w:t xml:space="preserve"> ».</w:t>
      </w:r>
    </w:p>
    <w:p w:rsidR="00992664" w:rsidRPr="00020424" w:rsidRDefault="00992664" w:rsidP="00992664">
      <w:pPr>
        <w:pStyle w:val="libNormal"/>
        <w:rPr>
          <w:rtl/>
          <w:lang w:bidi="fa-IR"/>
        </w:rPr>
      </w:pPr>
      <w:r w:rsidRPr="00020424">
        <w:rPr>
          <w:rtl/>
          <w:lang w:bidi="fa-IR"/>
        </w:rPr>
        <w:t>وَسَأَلْتُهُ عَنِ الْقِيَامِ</w:t>
      </w:r>
      <w:r>
        <w:rPr>
          <w:rtl/>
          <w:lang w:bidi="fa-IR"/>
        </w:rPr>
        <w:t>؟</w:t>
      </w:r>
    </w:p>
    <w:p w:rsidR="00992664" w:rsidRPr="00020424" w:rsidRDefault="00992664" w:rsidP="00992664">
      <w:pPr>
        <w:pStyle w:val="libNormal"/>
        <w:rPr>
          <w:rtl/>
          <w:lang w:bidi="fa-IR"/>
        </w:rPr>
      </w:pPr>
      <w:r w:rsidRPr="00020424">
        <w:rPr>
          <w:rtl/>
          <w:lang w:bidi="fa-IR"/>
        </w:rPr>
        <w:t xml:space="preserve">فَقَالَ : « تَقُومُ </w:t>
      </w:r>
      <w:r w:rsidRPr="00A91B96">
        <w:rPr>
          <w:rStyle w:val="libFootnotenumChar"/>
          <w:rtl/>
        </w:rPr>
        <w:t>(2)</w:t>
      </w:r>
      <w:r w:rsidRPr="00020424">
        <w:rPr>
          <w:rtl/>
          <w:lang w:bidi="fa-IR"/>
        </w:rPr>
        <w:t xml:space="preserve"> فِي </w:t>
      </w:r>
      <w:r w:rsidRPr="00A91B96">
        <w:rPr>
          <w:rStyle w:val="libFootnotenumChar"/>
          <w:rtl/>
        </w:rPr>
        <w:t>(3)</w:t>
      </w:r>
      <w:r w:rsidRPr="00020424">
        <w:rPr>
          <w:rtl/>
          <w:lang w:bidi="fa-IR"/>
        </w:rPr>
        <w:t xml:space="preserve"> أَوَّلِهِ وَآخِرِهِ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2905FF">
        <w:rPr>
          <w:rtl/>
        </w:rPr>
        <w:t>6612</w:t>
      </w:r>
      <w:r w:rsidRPr="001155DE">
        <w:rPr>
          <w:rStyle w:val="libBold2Char"/>
          <w:rtl/>
        </w:rPr>
        <w:t xml:space="preserve"> / 4.</w:t>
      </w:r>
      <w:r w:rsidRPr="00020424">
        <w:rPr>
          <w:rtl/>
          <w:lang w:bidi="fa-IR"/>
        </w:rPr>
        <w:t xml:space="preserve"> مُحَمَّدُ بْنُ يَحْيى ، عَنْ مُحَمَّدِ بْنِ الْحُسَيْنِ </w:t>
      </w:r>
      <w:r w:rsidRPr="00A91B96">
        <w:rPr>
          <w:rStyle w:val="libFootnotenumChar"/>
          <w:rtl/>
        </w:rPr>
        <w:t>(5)</w:t>
      </w:r>
      <w:r w:rsidRPr="00020424">
        <w:rPr>
          <w:rtl/>
          <w:lang w:bidi="fa-IR"/>
        </w:rPr>
        <w:t xml:space="preserve"> ، عَنْ </w:t>
      </w:r>
      <w:r w:rsidRPr="00A91B96">
        <w:rPr>
          <w:rStyle w:val="libFootnotenumChar"/>
          <w:rtl/>
        </w:rPr>
        <w:t>(6)</w:t>
      </w:r>
      <w:r w:rsidRPr="00020424">
        <w:rPr>
          <w:rtl/>
          <w:lang w:bidi="fa-IR"/>
        </w:rPr>
        <w:t xml:space="preserve"> صَفْوَانَ بْنِ يَحْيى وَعَلِيِّ بْنِ الْحَكَمِ ، عَنِ الْعَلَاءِ بْنِ رَزِينٍ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 الْغُسْلُ فِي ثَلَاثِ </w:t>
      </w:r>
      <w:r w:rsidRPr="00A91B96">
        <w:rPr>
          <w:rStyle w:val="libFootnotenumChar"/>
          <w:rtl/>
        </w:rPr>
        <w:t>(7)</w:t>
      </w:r>
      <w:r w:rsidRPr="00020424">
        <w:rPr>
          <w:rtl/>
          <w:lang w:bidi="fa-IR"/>
        </w:rPr>
        <w:t xml:space="preserve"> لَيَالٍ </w:t>
      </w:r>
      <w:r w:rsidRPr="00A91B96">
        <w:rPr>
          <w:rStyle w:val="libFootnotenumChar"/>
          <w:rtl/>
        </w:rPr>
        <w:t>(8)</w:t>
      </w:r>
      <w:r w:rsidRPr="00020424">
        <w:rPr>
          <w:rtl/>
          <w:lang w:bidi="fa-IR"/>
        </w:rPr>
        <w:t xml:space="preserve"> مِنْ شَهْرِ </w:t>
      </w:r>
      <w:r w:rsidR="00926E49">
        <w:rPr>
          <w:rtl/>
          <w:lang w:bidi="fa-IR"/>
        </w:rPr>
        <w:t>رَمَضَانَ : فِي تِسْعَ عَشْرَةَ</w:t>
      </w:r>
      <w:r w:rsidRPr="00020424">
        <w:rPr>
          <w:rtl/>
          <w:lang w:bidi="fa-IR"/>
        </w:rPr>
        <w:t xml:space="preserve">، وَإِحْدى وَعِشْرِينَ ، وَثَلَاثٍ وَعِشْرِينَ ، وَأُصِيبَ </w:t>
      </w:r>
      <w:r w:rsidRPr="00A91B96">
        <w:rPr>
          <w:rStyle w:val="libFootnotenumChar"/>
          <w:rtl/>
        </w:rPr>
        <w:t>(9)</w:t>
      </w:r>
      <w:r w:rsidRPr="00020424">
        <w:rPr>
          <w:rtl/>
          <w:lang w:bidi="fa-IR"/>
        </w:rPr>
        <w:t xml:space="preserve">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فِي لَيْلَةِ تِسْعَ عَشْرَةَ </w:t>
      </w:r>
      <w:r w:rsidRPr="00A91B96">
        <w:rPr>
          <w:rStyle w:val="libFootnotenumChar"/>
          <w:rtl/>
        </w:rPr>
        <w:t>(10)</w:t>
      </w:r>
      <w:r w:rsidRPr="00020424">
        <w:rPr>
          <w:rtl/>
          <w:lang w:bidi="fa-IR"/>
        </w:rPr>
        <w:t xml:space="preserve"> ، وَقُبِضَ فِي لَيْلَةِ إِحْدى وَعِشْرِينَ صَلَوَاتُ اللهِ عَلَيْهِ » قَالَ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السند معلّق على سابقه. ويروي عن صفوان بن يحيى ، محمّد بن إسماعيل ، عن الفضل بن شاذان.</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بث ، بر ، بس » : « يقوم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جن » : « من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390 ، ح 11072 ؛ </w:t>
      </w:r>
      <w:r w:rsidR="00992664" w:rsidRPr="0012008A">
        <w:rPr>
          <w:rStyle w:val="libFootnoteBoldChar"/>
          <w:rtl/>
        </w:rPr>
        <w:t>الوسائل</w:t>
      </w:r>
      <w:r w:rsidR="00992664" w:rsidRPr="00020424">
        <w:rPr>
          <w:rtl/>
        </w:rPr>
        <w:t xml:space="preserve"> ، ج 3 ، ص 324 ، ح 3769.</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بح ، بخ ، بر ، بف ، جن » وحاشية « ى » : « الحسن</w:t>
      </w:r>
      <w:r w:rsidR="00992664">
        <w:rPr>
          <w:rtl/>
        </w:rPr>
        <w:t xml:space="preserve"> ».</w:t>
      </w:r>
      <w:r w:rsidR="00992664" w:rsidRPr="00020424">
        <w:rPr>
          <w:rtl/>
        </w:rPr>
        <w:t xml:space="preserve"> وهو سهو ؛ فقد روى محمّد بن يحيى عن‌</w:t>
      </w:r>
      <w:r w:rsidR="00FA7912">
        <w:rPr>
          <w:rFonts w:hint="cs"/>
          <w:rtl/>
        </w:rPr>
        <w:t xml:space="preserve"> </w:t>
      </w:r>
      <w:r w:rsidR="00992664" w:rsidRPr="00020424">
        <w:rPr>
          <w:rtl/>
        </w:rPr>
        <w:t xml:space="preserve">محمّد بن الحسين عن صفوان بن يحيى وعن عليّ بن الحكم في أسنادٍ عديدة. راجع : </w:t>
      </w:r>
      <w:r w:rsidR="00992664" w:rsidRPr="00DE76B9">
        <w:rPr>
          <w:rStyle w:val="libFootnoteBoldChar"/>
          <w:rtl/>
        </w:rPr>
        <w:t>معجم رجال الحديث</w:t>
      </w:r>
      <w:r w:rsidR="00992664" w:rsidRPr="00020424">
        <w:rPr>
          <w:rtl/>
        </w:rPr>
        <w:t xml:space="preserve"> ، ج 15 ، ص 410</w:t>
      </w:r>
      <w:r w:rsidR="00992664">
        <w:rPr>
          <w:rtl/>
        </w:rPr>
        <w:t xml:space="preserve"> </w:t>
      </w:r>
      <w:r w:rsidR="009B673F">
        <w:rPr>
          <w:rtl/>
        </w:rPr>
        <w:t>-</w:t>
      </w:r>
      <w:r w:rsidR="00992664">
        <w:rPr>
          <w:rtl/>
        </w:rPr>
        <w:t xml:space="preserve"> </w:t>
      </w:r>
      <w:r w:rsidR="00992664" w:rsidRPr="00020424">
        <w:rPr>
          <w:rtl/>
        </w:rPr>
        <w:t>412 ؛ وص 415</w:t>
      </w:r>
      <w:r w:rsidR="00992664">
        <w:rPr>
          <w:rtl/>
        </w:rPr>
        <w:t xml:space="preserve"> </w:t>
      </w:r>
      <w:r w:rsidR="009B673F">
        <w:rPr>
          <w:rtl/>
        </w:rPr>
        <w:t>-</w:t>
      </w:r>
      <w:r w:rsidR="00992664">
        <w:rPr>
          <w:rtl/>
        </w:rPr>
        <w:t xml:space="preserve"> </w:t>
      </w:r>
      <w:r w:rsidR="00992664" w:rsidRPr="00020424">
        <w:rPr>
          <w:rtl/>
        </w:rPr>
        <w:t>416.</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 بخ ، بر ، بف ، جر » وحاشية « ى » </w:t>
      </w:r>
      <w:r w:rsidR="00992664" w:rsidRPr="00FA7912">
        <w:rPr>
          <w:rtl/>
        </w:rPr>
        <w:t>والوسائل</w:t>
      </w:r>
      <w:r w:rsidR="00992664" w:rsidRPr="00020424">
        <w:rPr>
          <w:rtl/>
        </w:rPr>
        <w:t xml:space="preserve">. وفي « ظ ، ى ، بح ، بس ، جن » والمطبوع : « </w:t>
      </w:r>
      <w:r w:rsidR="00992664">
        <w:rPr>
          <w:rtl/>
        </w:rPr>
        <w:t>و »</w:t>
      </w:r>
      <w:r w:rsidR="00992664" w:rsidRPr="00020424">
        <w:rPr>
          <w:rtl/>
        </w:rPr>
        <w:t xml:space="preserve"> بدل « عن</w:t>
      </w:r>
      <w:r w:rsidR="00992664">
        <w:rPr>
          <w:rtl/>
        </w:rPr>
        <w:t xml:space="preserve"> ».</w:t>
      </w:r>
      <w:r w:rsidR="00992664" w:rsidRPr="00020424">
        <w:rPr>
          <w:rtl/>
        </w:rPr>
        <w:t xml:space="preserve"> ولم يثبت رواية محمّد بن يحيى</w:t>
      </w:r>
      <w:r w:rsidR="00992664">
        <w:rPr>
          <w:rtl/>
        </w:rPr>
        <w:t xml:space="preserve"> </w:t>
      </w:r>
      <w:r w:rsidR="009B673F">
        <w:rPr>
          <w:rtl/>
        </w:rPr>
        <w:t>-</w:t>
      </w:r>
      <w:r w:rsidR="00992664">
        <w:rPr>
          <w:rtl/>
        </w:rPr>
        <w:t xml:space="preserve"> </w:t>
      </w:r>
      <w:r w:rsidR="00992664" w:rsidRPr="00020424">
        <w:rPr>
          <w:rtl/>
        </w:rPr>
        <w:t>شيخ الكليني</w:t>
      </w:r>
      <w:r w:rsidR="00992664">
        <w:rPr>
          <w:rtl/>
        </w:rPr>
        <w:t xml:space="preserve"> </w:t>
      </w:r>
      <w:r w:rsidR="009B673F">
        <w:rPr>
          <w:rtl/>
        </w:rPr>
        <w:t>-</w:t>
      </w:r>
      <w:r w:rsidR="00992664">
        <w:rPr>
          <w:rtl/>
        </w:rPr>
        <w:t xml:space="preserve"> </w:t>
      </w:r>
      <w:r w:rsidR="00992664" w:rsidRPr="00020424">
        <w:rPr>
          <w:rtl/>
        </w:rPr>
        <w:t xml:space="preserve">عن صفوان بن يحيى في موضع ، بل روى محمّد بن يحيى عن محمّد بن الحسين ويعقوب بن يزيد كتب صفوان بن يحيى. راجع : </w:t>
      </w:r>
      <w:r w:rsidR="00992664" w:rsidRPr="00D530ED">
        <w:rPr>
          <w:rStyle w:val="libFootnoteBoldChar"/>
          <w:rtl/>
        </w:rPr>
        <w:t>الفهرست للطوسي</w:t>
      </w:r>
      <w:r w:rsidR="00992664" w:rsidRPr="00020424">
        <w:rPr>
          <w:rtl/>
        </w:rPr>
        <w:t xml:space="preserve"> ، ص 241 ، الرقم 356.</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FA7912">
        <w:rPr>
          <w:rtl/>
        </w:rPr>
        <w:t>والوافي والوسائل</w:t>
      </w:r>
      <w:r w:rsidR="00992664" w:rsidRPr="00020424">
        <w:rPr>
          <w:rtl/>
        </w:rPr>
        <w:t>. وفي المطبوع :</w:t>
      </w:r>
      <w:r w:rsidR="00992664">
        <w:rPr>
          <w:rtl/>
        </w:rPr>
        <w:t xml:space="preserve"> </w:t>
      </w:r>
      <w:r w:rsidR="009B673F">
        <w:rPr>
          <w:rtl/>
        </w:rPr>
        <w:t>-</w:t>
      </w:r>
      <w:r w:rsidR="00992664">
        <w:rPr>
          <w:rtl/>
        </w:rPr>
        <w:t xml:space="preserve"> </w:t>
      </w:r>
      <w:r w:rsidR="00992664" w:rsidRPr="00020424">
        <w:rPr>
          <w:rtl/>
        </w:rPr>
        <w:t>« ثلاث</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بح ، جن » : « ليالي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 « ا</w:t>
      </w:r>
      <w:r w:rsidR="00FA7912">
        <w:rPr>
          <w:rFonts w:hint="cs"/>
          <w:rtl/>
        </w:rPr>
        <w:t>ُ</w:t>
      </w:r>
      <w:r w:rsidR="00992664" w:rsidRPr="00020424">
        <w:rPr>
          <w:rtl/>
        </w:rPr>
        <w:t>صيب » بدون الواو.</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بح » : « تسع وعشرة من شهر رمضان » بدل « تسع عشرة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A7912">
      <w:pPr>
        <w:pStyle w:val="libNormal0"/>
        <w:rPr>
          <w:rtl/>
          <w:lang w:bidi="fa-IR"/>
        </w:rPr>
      </w:pPr>
      <w:r w:rsidRPr="00020424">
        <w:rPr>
          <w:rtl/>
          <w:lang w:bidi="fa-IR"/>
        </w:rPr>
        <w:t xml:space="preserve">« وَالْغُسْلُ فِي </w:t>
      </w:r>
      <w:r w:rsidRPr="00A91B96">
        <w:rPr>
          <w:rStyle w:val="libFootnotenumChar"/>
          <w:rtl/>
        </w:rPr>
        <w:t>(1)</w:t>
      </w:r>
      <w:r w:rsidRPr="00020424">
        <w:rPr>
          <w:rtl/>
          <w:lang w:bidi="fa-IR"/>
        </w:rPr>
        <w:t xml:space="preserve"> أَوَّلِ اللَّيْلِ </w:t>
      </w:r>
      <w:r w:rsidRPr="00A91B96">
        <w:rPr>
          <w:rStyle w:val="libFootnotenumChar"/>
          <w:rtl/>
        </w:rPr>
        <w:t>(2)</w:t>
      </w:r>
      <w:r w:rsidRPr="00020424">
        <w:rPr>
          <w:rtl/>
          <w:lang w:bidi="fa-IR"/>
        </w:rPr>
        <w:t xml:space="preserve"> ، وَهُوَ يُجْزِئُ إِلى آخِرِهِ</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509" w:name="_Toc345172886"/>
      <w:bookmarkStart w:id="510" w:name="_Toc464562701"/>
      <w:bookmarkStart w:id="511" w:name="_Toc44600007"/>
      <w:r w:rsidRPr="00020424">
        <w:rPr>
          <w:rtl/>
          <w:lang w:bidi="fa-IR"/>
        </w:rPr>
        <w:t>68</w:t>
      </w:r>
      <w:r>
        <w:rPr>
          <w:rtl/>
          <w:lang w:bidi="fa-IR"/>
        </w:rPr>
        <w:t xml:space="preserve"> </w:t>
      </w:r>
      <w:r w:rsidR="009B673F">
        <w:rPr>
          <w:rtl/>
          <w:lang w:bidi="fa-IR"/>
        </w:rPr>
        <w:t>-</w:t>
      </w:r>
      <w:r>
        <w:rPr>
          <w:rtl/>
          <w:lang w:bidi="fa-IR"/>
        </w:rPr>
        <w:t xml:space="preserve"> </w:t>
      </w:r>
      <w:r w:rsidRPr="00020424">
        <w:rPr>
          <w:rtl/>
          <w:lang w:bidi="fa-IR"/>
        </w:rPr>
        <w:t>بَابُ مَا يُزَادُ مِنَ الصَّلَاةِ فِي شَهْرِ رَمَضَانَ‌</w:t>
      </w:r>
      <w:bookmarkEnd w:id="509"/>
      <w:bookmarkEnd w:id="510"/>
      <w:bookmarkEnd w:id="511"/>
    </w:p>
    <w:p w:rsidR="00992664" w:rsidRPr="00020424" w:rsidRDefault="00992664" w:rsidP="00992664">
      <w:pPr>
        <w:pStyle w:val="libNormal"/>
        <w:rPr>
          <w:rtl/>
          <w:lang w:bidi="fa-IR"/>
        </w:rPr>
      </w:pPr>
      <w:r w:rsidRPr="002905FF">
        <w:rPr>
          <w:rtl/>
        </w:rPr>
        <w:t>6613</w:t>
      </w:r>
      <w:r w:rsidRPr="001155DE">
        <w:rPr>
          <w:rStyle w:val="libBold2Char"/>
          <w:rtl/>
        </w:rPr>
        <w:t xml:space="preserve"> / 1.</w:t>
      </w:r>
      <w:r w:rsidRPr="00020424">
        <w:rPr>
          <w:rtl/>
          <w:lang w:bidi="fa-IR"/>
        </w:rPr>
        <w:t xml:space="preserve"> عِدَّةٌ مِنْ أَصْحَابِنَا ، عَنْ أَحْمَدَ بْنِ مُحَمَّدٍ ، عَنِ الْحُسَيْنِ بْنِ سَعِيدٍ ، عَنِ الْقَاسِمِ بْنِ مُحَمَّدٍ ، عَنْ عَلِيِّ بْنِ أَبِي حَمْزَةَ </w:t>
      </w:r>
      <w:r w:rsidRPr="00A91B96">
        <w:rPr>
          <w:rStyle w:val="libFootnotenumChar"/>
          <w:rtl/>
        </w:rPr>
        <w:t>(4)</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دَخَلْنَا </w:t>
      </w:r>
      <w:r w:rsidRPr="00A91B96">
        <w:rPr>
          <w:rStyle w:val="libFootnotenumChar"/>
          <w:rtl/>
        </w:rPr>
        <w:t>(5)</w:t>
      </w:r>
      <w:r w:rsidRPr="00020424">
        <w:rPr>
          <w:rtl/>
          <w:lang w:bidi="fa-IR"/>
        </w:rPr>
        <w:t xml:space="preserve"> عَلى أَبِي عَبْدِ اللهِ </w:t>
      </w:r>
      <w:r w:rsidRPr="00005A81">
        <w:rPr>
          <w:rStyle w:val="libAlaemChar"/>
          <w:rtl/>
        </w:rPr>
        <w:t>عليه‌السلام</w:t>
      </w:r>
      <w:r w:rsidRPr="00020424">
        <w:rPr>
          <w:rtl/>
          <w:lang w:bidi="fa-IR"/>
        </w:rPr>
        <w:t xml:space="preserve"> ، فَقَالَ لَهُ أَبُو بَصِيرٍ : مَا تَقُولُ فِي الصَّلَاةِ فِي شَهْرِ رَمَضَانَ</w:t>
      </w:r>
      <w:r>
        <w:rPr>
          <w:rtl/>
          <w:lang w:bidi="fa-IR"/>
        </w:rPr>
        <w:t>؟</w:t>
      </w:r>
    </w:p>
    <w:p w:rsidR="00992664" w:rsidRPr="00020424" w:rsidRDefault="00992664" w:rsidP="00B02C0B">
      <w:pPr>
        <w:pStyle w:val="libNormal"/>
        <w:rPr>
          <w:rtl/>
          <w:lang w:bidi="fa-IR"/>
        </w:rPr>
      </w:pPr>
      <w:r w:rsidRPr="00020424">
        <w:rPr>
          <w:rtl/>
          <w:lang w:bidi="fa-IR"/>
        </w:rPr>
        <w:t xml:space="preserve">فَقَالَ </w:t>
      </w:r>
      <w:r w:rsidRPr="00A91B96">
        <w:rPr>
          <w:rStyle w:val="libFootnotenumChar"/>
          <w:rtl/>
        </w:rPr>
        <w:t>(6)</w:t>
      </w:r>
      <w:r w:rsidRPr="00020424">
        <w:rPr>
          <w:rtl/>
          <w:lang w:bidi="fa-IR"/>
        </w:rPr>
        <w:t xml:space="preserve"> : « لِشَهْرِ رَمَضَانَ حُرْمَةٌ وَحَقٌّ لَايَشْبَهُهُ شَيْ‌ءٌ مِنَ الشُّهُورِ ، صَلِّ مَا اسْتَطَعْتَ فِي شَهْرِ </w:t>
      </w:r>
      <w:r w:rsidRPr="00A91B96">
        <w:rPr>
          <w:rStyle w:val="libFootnotenumChar"/>
          <w:rtl/>
        </w:rPr>
        <w:t>(7)</w:t>
      </w:r>
      <w:r w:rsidRPr="00020424">
        <w:rPr>
          <w:rtl/>
          <w:lang w:bidi="fa-IR"/>
        </w:rPr>
        <w:t xml:space="preserve"> رَمَضَانَ تَطَوُّعاً بِاللَّيْلِ وَالنَّهَارِ ، فَإِنِ اسْتَطَعْتَ أَنْ تُصَلِّيَ فِي كُلِّ يَوْمٍ وَلَيْلَةٍ‌</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هكذا في « ظ ، ى ، بث ، بخ ، بر ، بس ، بف » </w:t>
      </w:r>
      <w:r w:rsidR="00992664" w:rsidRPr="00B02C0B">
        <w:rPr>
          <w:rtl/>
        </w:rPr>
        <w:t>والوافي والوسائل والفقيه</w:t>
      </w:r>
      <w:r w:rsidR="00992664" w:rsidRPr="00020424">
        <w:rPr>
          <w:rtl/>
        </w:rPr>
        <w:t>. وفي « بح ، جن » والمطبوع : « ليلة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155 ، ح 2015 ، معلّقاً عن العلاء ، عن محمّد بن مسلم. </w:t>
      </w:r>
      <w:r w:rsidR="00992664" w:rsidRPr="00DE76B9">
        <w:rPr>
          <w:rStyle w:val="libFootnoteBoldChar"/>
          <w:rtl/>
        </w:rPr>
        <w:t>قرب الإسناد</w:t>
      </w:r>
      <w:r w:rsidR="00992664" w:rsidRPr="00020424">
        <w:rPr>
          <w:rtl/>
        </w:rPr>
        <w:t xml:space="preserve"> ، ص 167 ، ح 613 ، بسند آخر عن أبي عبدالله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82 ، إلى قوله : « وثلاث وعشرين » مع زيادة غسل ليلة الأولى وليلة سبع عشرة ؛ </w:t>
      </w:r>
      <w:r w:rsidR="00992664" w:rsidRPr="00DE76B9">
        <w:rPr>
          <w:rStyle w:val="libFootnoteBoldChar"/>
          <w:rtl/>
        </w:rPr>
        <w:t>وفيه</w:t>
      </w:r>
      <w:r w:rsidR="00992664" w:rsidRPr="00020424">
        <w:rPr>
          <w:rtl/>
        </w:rPr>
        <w:t xml:space="preserve"> ، ص 83 ، وفي الثلاثة الأخيرة مع اختلاف </w:t>
      </w:r>
      <w:r w:rsidR="00B02C0B">
        <w:rPr>
          <w:rFonts w:hint="cs"/>
          <w:rtl/>
        </w:rPr>
        <w:t>.</w:t>
      </w:r>
      <w:r w:rsidR="00992664" w:rsidRPr="0012008A">
        <w:rPr>
          <w:rStyle w:val="libFootnoteBoldChar"/>
          <w:rtl/>
        </w:rPr>
        <w:t>الوافي</w:t>
      </w:r>
      <w:r w:rsidR="00992664" w:rsidRPr="00020424">
        <w:rPr>
          <w:rtl/>
        </w:rPr>
        <w:t xml:space="preserve"> ، ج 11 ، ص 390 ، ح 11073 ؛ </w:t>
      </w:r>
      <w:r w:rsidR="00992664" w:rsidRPr="0012008A">
        <w:rPr>
          <w:rStyle w:val="libFootnoteBoldChar"/>
          <w:rtl/>
        </w:rPr>
        <w:t>الوسائل</w:t>
      </w:r>
      <w:r w:rsidR="00992664" w:rsidRPr="00020424">
        <w:rPr>
          <w:rtl/>
        </w:rPr>
        <w:t xml:space="preserve"> ، ج 3 ، ص 310 ، ح 3725.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بك » وحاشية « بر</w:t>
      </w:r>
      <w:r w:rsidR="00992664">
        <w:rPr>
          <w:rtl/>
        </w:rPr>
        <w:t xml:space="preserve"> ».</w:t>
      </w:r>
      <w:r w:rsidR="00992664" w:rsidRPr="00020424">
        <w:rPr>
          <w:rtl/>
        </w:rPr>
        <w:t xml:space="preserve"> وفي « ظ ، ى ، بث ، بح ، بخ ، بر</w:t>
      </w:r>
      <w:r w:rsidR="00B02C0B">
        <w:rPr>
          <w:rtl/>
        </w:rPr>
        <w:t xml:space="preserve"> ، بس ، بف ، جر ، جن » والمطبوع</w:t>
      </w:r>
      <w:r w:rsidR="00992664" w:rsidRPr="00020424">
        <w:rPr>
          <w:rtl/>
        </w:rPr>
        <w:t>: + « عن أبي بصير</w:t>
      </w:r>
      <w:r w:rsidR="00992664">
        <w:rPr>
          <w:rtl/>
        </w:rPr>
        <w:t xml:space="preserve"> ».</w:t>
      </w:r>
    </w:p>
    <w:p w:rsidR="00992664" w:rsidRPr="00020424" w:rsidRDefault="00992664" w:rsidP="00B02C0B">
      <w:pPr>
        <w:pStyle w:val="libFootnote0"/>
        <w:rPr>
          <w:rtl/>
          <w:lang w:bidi="fa-IR"/>
        </w:rPr>
      </w:pPr>
      <w:r w:rsidRPr="00D82B22">
        <w:rPr>
          <w:rtl/>
        </w:rPr>
        <w:t xml:space="preserve">والتأمّل في بعض ألفاظ الخبر مثل « فقال له أبو بصير » ، </w:t>
      </w:r>
      <w:r>
        <w:rPr>
          <w:rtl/>
        </w:rPr>
        <w:t>و «</w:t>
      </w:r>
      <w:r w:rsidRPr="00D82B22">
        <w:rPr>
          <w:rtl/>
        </w:rPr>
        <w:t xml:space="preserve"> فقال : كم جُعلتُ فداك » يقضي بصحّة ما أثبتناه.</w:t>
      </w:r>
    </w:p>
    <w:p w:rsidR="00992664" w:rsidRPr="00020424" w:rsidRDefault="00992664" w:rsidP="00B02C0B">
      <w:pPr>
        <w:pStyle w:val="libFootnote0"/>
        <w:rPr>
          <w:rtl/>
          <w:lang w:bidi="fa-IR"/>
        </w:rPr>
      </w:pPr>
      <w:r w:rsidRPr="00B02C0B">
        <w:rPr>
          <w:rtl/>
        </w:rPr>
        <w:t xml:space="preserve">والمقام من مظانّ زيادة « عن أبي بصير » ، لكثرة روايات عليّ بن أبي حمزة عن أبي بصير. راجع : </w:t>
      </w:r>
      <w:r w:rsidRPr="00DE76B9">
        <w:rPr>
          <w:rStyle w:val="libFootnoteBoldChar"/>
          <w:rtl/>
        </w:rPr>
        <w:t>معجم رجال الحديث</w:t>
      </w:r>
      <w:r w:rsidRPr="00B02C0B">
        <w:rPr>
          <w:rtl/>
        </w:rPr>
        <w:t xml:space="preserve"> ، ج 11 ، ص 493 </w:t>
      </w:r>
      <w:r w:rsidR="009B673F" w:rsidRPr="00B02C0B">
        <w:rPr>
          <w:rtl/>
        </w:rPr>
        <w:t>-</w:t>
      </w:r>
      <w:r w:rsidRPr="00B02C0B">
        <w:rPr>
          <w:rtl/>
        </w:rPr>
        <w:t xml:space="preserve"> 498.</w:t>
      </w:r>
    </w:p>
    <w:p w:rsidR="00992664" w:rsidRPr="00020424" w:rsidRDefault="00992664" w:rsidP="00992664">
      <w:pPr>
        <w:pStyle w:val="libFootnote0"/>
        <w:rPr>
          <w:rtl/>
          <w:lang w:bidi="fa-IR"/>
        </w:rPr>
      </w:pPr>
      <w:r w:rsidRPr="00B02C0B">
        <w:rPr>
          <w:rtl/>
        </w:rPr>
        <w:t xml:space="preserve">ويؤيّد ذلك أنّ الخبر رواه الشيخ الطوسي في </w:t>
      </w:r>
      <w:r w:rsidRPr="0012008A">
        <w:rPr>
          <w:rStyle w:val="libFootnoteBoldChar"/>
          <w:rtl/>
        </w:rPr>
        <w:t>التهذيب</w:t>
      </w:r>
      <w:r w:rsidRPr="00B02C0B">
        <w:rPr>
          <w:rtl/>
        </w:rPr>
        <w:t xml:space="preserve"> ، ج 3 ، ص 63 ، ح 215 ؛ </w:t>
      </w:r>
      <w:r w:rsidRPr="00FD6221">
        <w:rPr>
          <w:rStyle w:val="libFootnoteBoldChar"/>
          <w:rtl/>
        </w:rPr>
        <w:t>والاستبصار</w:t>
      </w:r>
      <w:r w:rsidRPr="00DE76B9">
        <w:rPr>
          <w:rStyle w:val="libFootnoteBoldChar"/>
          <w:rtl/>
        </w:rPr>
        <w:t xml:space="preserve"> </w:t>
      </w:r>
      <w:r w:rsidRPr="00B02C0B">
        <w:rPr>
          <w:rtl/>
        </w:rPr>
        <w:t>، ج 1 ، ص 463 ، ح 1798 ، بإسناده عن الحسين بن سعيد ، عن القاسم ، عن عليّ بن أبي حمزة ، قال : دخلنا على أبي عبد الله</w:t>
      </w:r>
      <w:r w:rsidRPr="00C8681E">
        <w:rPr>
          <w:rStyle w:val="libFootnoteAieChar"/>
          <w:rtl/>
        </w:rPr>
        <w:t xml:space="preserve"> </w:t>
      </w:r>
      <w:r w:rsidRPr="00D64ADA">
        <w:rPr>
          <w:rStyle w:val="libFootnoteAlaemChar"/>
          <w:rtl/>
        </w:rPr>
        <w:t>عليه‌السلام</w:t>
      </w:r>
      <w:r w:rsidRPr="00B02C0B">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بخ » : « دخلت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 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بر » </w:t>
      </w:r>
      <w:r w:rsidR="00992664" w:rsidRPr="00B02C0B">
        <w:rPr>
          <w:rtl/>
        </w:rPr>
        <w:t>والتهذيب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02C0B">
      <w:pPr>
        <w:pStyle w:val="libNormal0"/>
        <w:rPr>
          <w:rtl/>
          <w:lang w:bidi="fa-IR"/>
        </w:rPr>
      </w:pPr>
      <w:r w:rsidRPr="00020424">
        <w:rPr>
          <w:rtl/>
          <w:lang w:bidi="fa-IR"/>
        </w:rPr>
        <w:t xml:space="preserve">أَلْفَ رَكْعَةٍ ، فَصَلِّ </w:t>
      </w:r>
      <w:r w:rsidRPr="00A91B96">
        <w:rPr>
          <w:rStyle w:val="libFootnotenumChar"/>
          <w:rtl/>
        </w:rPr>
        <w:t>(1)</w:t>
      </w:r>
      <w:r w:rsidRPr="00020424">
        <w:rPr>
          <w:rtl/>
          <w:lang w:bidi="fa-IR"/>
        </w:rPr>
        <w:t xml:space="preserve"> ؛ إِنَّ </w:t>
      </w:r>
      <w:r w:rsidRPr="00A91B96">
        <w:rPr>
          <w:rStyle w:val="libFootnotenumChar"/>
          <w:rtl/>
        </w:rPr>
        <w:t>(2)</w:t>
      </w:r>
      <w:r w:rsidRPr="00020424">
        <w:rPr>
          <w:rtl/>
          <w:lang w:bidi="fa-IR"/>
        </w:rPr>
        <w:t xml:space="preserve"> عَلِيّاً </w:t>
      </w:r>
      <w:r w:rsidRPr="00005A81">
        <w:rPr>
          <w:rStyle w:val="libAlaemChar"/>
          <w:rtl/>
        </w:rPr>
        <w:t>عليه‌السلام</w:t>
      </w:r>
      <w:r w:rsidRPr="00020424">
        <w:rPr>
          <w:rtl/>
          <w:lang w:bidi="fa-IR"/>
        </w:rPr>
        <w:t xml:space="preserve"> </w:t>
      </w:r>
      <w:r w:rsidRPr="00A91B96">
        <w:rPr>
          <w:rStyle w:val="libFootnotenumChar"/>
          <w:rtl/>
        </w:rPr>
        <w:t>(3)</w:t>
      </w:r>
      <w:r w:rsidRPr="00020424">
        <w:rPr>
          <w:rtl/>
          <w:lang w:bidi="fa-IR"/>
        </w:rPr>
        <w:t xml:space="preserve"> فِي آخِرِ عُمُرِهِ كَانَ </w:t>
      </w:r>
      <w:r w:rsidRPr="00A91B96">
        <w:rPr>
          <w:rStyle w:val="libFootnotenumChar"/>
          <w:rtl/>
        </w:rPr>
        <w:t>(4)</w:t>
      </w:r>
      <w:r w:rsidRPr="00020424">
        <w:rPr>
          <w:rtl/>
          <w:lang w:bidi="fa-IR"/>
        </w:rPr>
        <w:t xml:space="preserve"> يُصَلِّي فِي كُلِّ يَوْمٍ وَلَيْلَةٍ </w:t>
      </w:r>
      <w:r w:rsidRPr="00A91B96">
        <w:rPr>
          <w:rStyle w:val="libFootnotenumChar"/>
          <w:rtl/>
        </w:rPr>
        <w:t>(5)</w:t>
      </w:r>
      <w:r w:rsidRPr="00020424">
        <w:rPr>
          <w:rtl/>
          <w:lang w:bidi="fa-IR"/>
        </w:rPr>
        <w:t xml:space="preserve"> أَلْفَ رَكْعَةٍ ، فَصَلِّ يَا أَبَا مُحَمَّدٍ زِيَادَةً فِي </w:t>
      </w:r>
      <w:r w:rsidRPr="00A91B96">
        <w:rPr>
          <w:rStyle w:val="libFootnotenumChar"/>
          <w:rtl/>
        </w:rPr>
        <w:t>(6)</w:t>
      </w:r>
      <w:r w:rsidRPr="00020424">
        <w:rPr>
          <w:rtl/>
          <w:lang w:bidi="fa-IR"/>
        </w:rPr>
        <w:t xml:space="preserve"> رَمَضَانَ</w:t>
      </w:r>
      <w:r>
        <w:rPr>
          <w:rtl/>
          <w:lang w:bidi="fa-IR"/>
        </w:rPr>
        <w:t xml:space="preserve"> ».</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 كَمْ ، جُعِلْتُ فِدَاكَ</w:t>
      </w:r>
      <w:r>
        <w:rPr>
          <w:rtl/>
          <w:lang w:bidi="fa-IR"/>
        </w:rPr>
        <w:t>؟</w:t>
      </w:r>
    </w:p>
    <w:p w:rsidR="00992664" w:rsidRPr="00020424" w:rsidRDefault="00992664" w:rsidP="00B02C0B">
      <w:pPr>
        <w:pStyle w:val="libNormal"/>
        <w:rPr>
          <w:rtl/>
          <w:lang w:bidi="fa-IR"/>
        </w:rPr>
      </w:pPr>
      <w:r w:rsidRPr="00020424">
        <w:rPr>
          <w:rtl/>
          <w:lang w:bidi="fa-IR"/>
        </w:rPr>
        <w:t xml:space="preserve">فَقَالَ : « فِي </w:t>
      </w:r>
      <w:r w:rsidRPr="00A91B96">
        <w:rPr>
          <w:rStyle w:val="libFootnotenumChar"/>
          <w:rtl/>
        </w:rPr>
        <w:t>(8)</w:t>
      </w:r>
      <w:r w:rsidRPr="00020424">
        <w:rPr>
          <w:rtl/>
          <w:lang w:bidi="fa-IR"/>
        </w:rPr>
        <w:t xml:space="preserve"> عِشْرِينَ لَيْلَةً تُصَلِّي </w:t>
      </w:r>
      <w:r w:rsidRPr="00A91B96">
        <w:rPr>
          <w:rStyle w:val="libFootnotenumChar"/>
          <w:rtl/>
        </w:rPr>
        <w:t>(9)</w:t>
      </w:r>
      <w:r w:rsidRPr="00020424">
        <w:rPr>
          <w:rtl/>
          <w:lang w:bidi="fa-IR"/>
        </w:rPr>
        <w:t xml:space="preserve"> فِي كُلِّ لَيْلَةٍ عِشْرِينَ رَكْعَةً : ثَمَانِيَ رَكَعَاتٍ قَبْلَ الْعَتَمَةِ </w:t>
      </w:r>
      <w:r w:rsidRPr="00A91B96">
        <w:rPr>
          <w:rStyle w:val="libFootnotenumChar"/>
          <w:rtl/>
        </w:rPr>
        <w:t>(10)</w:t>
      </w:r>
      <w:r w:rsidRPr="00020424">
        <w:rPr>
          <w:rtl/>
          <w:lang w:bidi="fa-IR"/>
        </w:rPr>
        <w:t xml:space="preserve"> ، وَاثْنَتَيْ </w:t>
      </w:r>
      <w:r w:rsidRPr="00A91B96">
        <w:rPr>
          <w:rStyle w:val="libFootnotenumChar"/>
          <w:rtl/>
        </w:rPr>
        <w:t>(11)</w:t>
      </w:r>
      <w:r w:rsidRPr="00020424">
        <w:rPr>
          <w:rtl/>
          <w:lang w:bidi="fa-IR"/>
        </w:rPr>
        <w:t xml:space="preserve"> عَشْرَةَ رَكْعَةً بَعْدَهَا ، سِوى مَا كُنْتَ تُصَلِّي قَبْلَ ذلِكَ ، فَإِذَا دَخَلَ الْعَشْرُ الْأَوَاخِرُ ، فَصَلِّ ثَلَاثِينَ رَكْعَةً : فِي كُلِّ لَيْلَةٍ ثَمَانِيَ رَكَعَاتٍ قَبْلَ الْعَتَمَةِ ، وَاثْنَتَيْنِ وَعِشْرِينَ رَكْعَةً </w:t>
      </w:r>
      <w:r w:rsidRPr="00A91B96">
        <w:rPr>
          <w:rStyle w:val="libFootnotenumChar"/>
          <w:rtl/>
        </w:rPr>
        <w:t>(12)</w:t>
      </w:r>
      <w:r w:rsidRPr="00020424">
        <w:rPr>
          <w:rtl/>
          <w:lang w:bidi="fa-IR"/>
        </w:rPr>
        <w:t xml:space="preserve"> بَعْدَهَا ، سِوى مَا كُنْتَ تَفْعَلُ قَبْلَ ذلِكَ</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Normal"/>
        <w:rPr>
          <w:rtl/>
          <w:lang w:bidi="fa-IR"/>
        </w:rPr>
      </w:pPr>
      <w:r w:rsidRPr="00B36F2D">
        <w:rPr>
          <w:rtl/>
        </w:rPr>
        <w:t>6614</w:t>
      </w:r>
      <w:r w:rsidRPr="001155DE">
        <w:rPr>
          <w:rStyle w:val="libBold2Char"/>
          <w:rtl/>
        </w:rPr>
        <w:t xml:space="preserve"> / 2.</w:t>
      </w:r>
      <w:r w:rsidRPr="00020424">
        <w:rPr>
          <w:rtl/>
          <w:lang w:bidi="fa-IR"/>
        </w:rPr>
        <w:t xml:space="preserve"> عَلِيُّ بْنُ إِبْرَاهِيمَ ، عَنْ مُحَمَّدِ بْنِ عِيسَى بْنِ عُبَيْدٍ ، عَنْ يُونُسَ </w:t>
      </w:r>
      <w:r w:rsidRPr="00A91B96">
        <w:rPr>
          <w:rStyle w:val="libFootnotenumChar"/>
          <w:rtl/>
        </w:rPr>
        <w:t>(14)</w:t>
      </w:r>
      <w:r w:rsidRPr="00020424">
        <w:rPr>
          <w:rtl/>
          <w:lang w:bidi="fa-IR"/>
        </w:rPr>
        <w:t xml:space="preserve"> ، عَنْ أَبِي الْعَبَّاسِ الْبَقْبَاقِ وَعُبَيْدِ بْنِ زُرَارَةَ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بر ، بف » </w:t>
      </w:r>
      <w:r w:rsidR="00992664" w:rsidRPr="00B02C0B">
        <w:rPr>
          <w:rtl/>
        </w:rPr>
        <w:t>والوافي والتهذيب والاستبصار</w:t>
      </w:r>
      <w:r w:rsidR="00992664" w:rsidRPr="00020424">
        <w:rPr>
          <w:rtl/>
        </w:rPr>
        <w:t>. وفي سائر النسخ :</w:t>
      </w:r>
      <w:r w:rsidR="00992664">
        <w:rPr>
          <w:rtl/>
        </w:rPr>
        <w:t xml:space="preserve"> </w:t>
      </w:r>
      <w:r w:rsidR="009B673F">
        <w:rPr>
          <w:rtl/>
        </w:rPr>
        <w:t>-</w:t>
      </w:r>
      <w:r w:rsidR="00992664">
        <w:rPr>
          <w:rtl/>
        </w:rPr>
        <w:t xml:space="preserve"> </w:t>
      </w:r>
      <w:r w:rsidR="00992664" w:rsidRPr="00020424">
        <w:rPr>
          <w:rtl/>
        </w:rPr>
        <w:t>« فصلّ</w:t>
      </w:r>
      <w:r w:rsidR="00992664">
        <w:rPr>
          <w:rtl/>
        </w:rPr>
        <w:t xml:space="preserve"> ».</w:t>
      </w:r>
      <w:r w:rsidR="00992664" w:rsidRPr="00020424">
        <w:rPr>
          <w:rtl/>
        </w:rPr>
        <w:t xml:space="preserve"> وفي المطبوع : « [ فافعل ]</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02C0B" w:rsidTr="00B02C0B">
        <w:tc>
          <w:tcPr>
            <w:tcW w:w="4006" w:type="dxa"/>
          </w:tcPr>
          <w:p w:rsidR="00B02C0B" w:rsidRDefault="00B02C0B" w:rsidP="00992664">
            <w:pPr>
              <w:pStyle w:val="libFootnote0"/>
              <w:rPr>
                <w:rtl/>
              </w:rPr>
            </w:pPr>
            <w:r>
              <w:rPr>
                <w:rtl/>
              </w:rPr>
              <w:t xml:space="preserve">(2). </w:t>
            </w:r>
            <w:r w:rsidRPr="00020424">
              <w:rPr>
                <w:rtl/>
              </w:rPr>
              <w:t xml:space="preserve">في </w:t>
            </w:r>
            <w:r w:rsidRPr="00440122">
              <w:rPr>
                <w:rtl/>
              </w:rPr>
              <w:t>الوافي</w:t>
            </w:r>
            <w:r w:rsidRPr="00020424">
              <w:rPr>
                <w:rtl/>
              </w:rPr>
              <w:t xml:space="preserve"> : « فإنّ</w:t>
            </w:r>
            <w:r>
              <w:rPr>
                <w:rtl/>
              </w:rPr>
              <w:t xml:space="preserve"> ».</w:t>
            </w:r>
          </w:p>
        </w:tc>
        <w:tc>
          <w:tcPr>
            <w:tcW w:w="4006" w:type="dxa"/>
          </w:tcPr>
          <w:p w:rsidR="00B02C0B" w:rsidRDefault="00B02C0B" w:rsidP="00992664">
            <w:pPr>
              <w:pStyle w:val="libFootnote0"/>
              <w:rPr>
                <w:rtl/>
              </w:rPr>
            </w:pPr>
            <w:r>
              <w:rPr>
                <w:rtl/>
              </w:rPr>
              <w:t xml:space="preserve">(3). </w:t>
            </w:r>
            <w:r w:rsidRPr="00020424">
              <w:rPr>
                <w:rtl/>
              </w:rPr>
              <w:t xml:space="preserve">في </w:t>
            </w:r>
            <w:r w:rsidRPr="00440122">
              <w:rPr>
                <w:rtl/>
              </w:rPr>
              <w:t>الوافي</w:t>
            </w:r>
            <w:r w:rsidRPr="00020424">
              <w:rPr>
                <w:rtl/>
              </w:rPr>
              <w:t xml:space="preserve"> : + « كان</w:t>
            </w:r>
            <w:r>
              <w:rPr>
                <w:rtl/>
              </w:rPr>
              <w:t xml:space="preserve"> ».</w:t>
            </w:r>
          </w:p>
        </w:tc>
      </w:tr>
      <w:tr w:rsidR="00B02C0B" w:rsidTr="00B02C0B">
        <w:tc>
          <w:tcPr>
            <w:tcW w:w="4006" w:type="dxa"/>
          </w:tcPr>
          <w:p w:rsidR="00B02C0B" w:rsidRDefault="00B02C0B" w:rsidP="00992664">
            <w:pPr>
              <w:pStyle w:val="libFootnote0"/>
              <w:rPr>
                <w:rtl/>
              </w:rPr>
            </w:pPr>
            <w:r>
              <w:rPr>
                <w:rtl/>
              </w:rPr>
              <w:t xml:space="preserve">(4). </w:t>
            </w:r>
            <w:r w:rsidRPr="00020424">
              <w:rPr>
                <w:rtl/>
              </w:rPr>
              <w:t xml:space="preserve">في </w:t>
            </w:r>
            <w:r w:rsidRPr="00440122">
              <w:rPr>
                <w:rtl/>
              </w:rPr>
              <w:t>الوافي</w:t>
            </w:r>
            <w:r w:rsidRPr="00020424">
              <w:rPr>
                <w:rtl/>
              </w:rPr>
              <w:t xml:space="preserve"> :</w:t>
            </w:r>
            <w:r>
              <w:rPr>
                <w:rtl/>
              </w:rPr>
              <w:t xml:space="preserve"> - </w:t>
            </w:r>
            <w:r w:rsidRPr="00020424">
              <w:rPr>
                <w:rtl/>
              </w:rPr>
              <w:t>« كان</w:t>
            </w:r>
            <w:r>
              <w:rPr>
                <w:rtl/>
              </w:rPr>
              <w:t xml:space="preserve"> ».</w:t>
            </w:r>
          </w:p>
        </w:tc>
        <w:tc>
          <w:tcPr>
            <w:tcW w:w="4006" w:type="dxa"/>
          </w:tcPr>
          <w:p w:rsidR="00B02C0B" w:rsidRDefault="00B02C0B" w:rsidP="00992664">
            <w:pPr>
              <w:pStyle w:val="libFootnote0"/>
              <w:rPr>
                <w:rtl/>
              </w:rPr>
            </w:pPr>
            <w:r>
              <w:rPr>
                <w:rtl/>
              </w:rPr>
              <w:t xml:space="preserve">(5). </w:t>
            </w:r>
            <w:r w:rsidRPr="00020424">
              <w:rPr>
                <w:rtl/>
              </w:rPr>
              <w:t>في « ى » :</w:t>
            </w:r>
            <w:r>
              <w:rPr>
                <w:rtl/>
              </w:rPr>
              <w:t xml:space="preserve"> - </w:t>
            </w:r>
            <w:r w:rsidRPr="00020424">
              <w:rPr>
                <w:rtl/>
              </w:rPr>
              <w:t>« وليلة</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جميع النسخ التي قوبلت</w:t>
      </w:r>
      <w:r w:rsidR="00992664">
        <w:rPr>
          <w:rtl/>
        </w:rPr>
        <w:t xml:space="preserve"> </w:t>
      </w:r>
      <w:r w:rsidR="009B673F">
        <w:rPr>
          <w:rtl/>
        </w:rPr>
        <w:t>-</w:t>
      </w:r>
      <w:r w:rsidR="00992664">
        <w:rPr>
          <w:rtl/>
        </w:rPr>
        <w:t xml:space="preserve"> </w:t>
      </w:r>
      <w:r w:rsidR="00440122">
        <w:rPr>
          <w:rtl/>
        </w:rPr>
        <w:t>إل</w:t>
      </w:r>
      <w:r w:rsidR="00440122">
        <w:rPr>
          <w:rFonts w:hint="cs"/>
          <w:rtl/>
        </w:rPr>
        <w:t>ّ</w:t>
      </w:r>
      <w:r w:rsidR="00440122">
        <w:rPr>
          <w:rtl/>
        </w:rPr>
        <w:t>ا</w:t>
      </w:r>
      <w:r w:rsidR="00992664" w:rsidRPr="00020424">
        <w:rPr>
          <w:rtl/>
        </w:rPr>
        <w:t xml:space="preserve"> « بث »</w:t>
      </w:r>
      <w:r w:rsidR="00992664">
        <w:rPr>
          <w:rtl/>
        </w:rPr>
        <w:t xml:space="preserve"> </w:t>
      </w:r>
      <w:r w:rsidR="009B673F">
        <w:rPr>
          <w:rtl/>
        </w:rPr>
        <w:t>-</w:t>
      </w:r>
      <w:r w:rsidR="00992664">
        <w:rPr>
          <w:rtl/>
        </w:rPr>
        <w:t xml:space="preserve"> </w:t>
      </w:r>
      <w:r w:rsidR="00992664" w:rsidRPr="00020424">
        <w:rPr>
          <w:rtl/>
        </w:rPr>
        <w:t>:</w:t>
      </w:r>
      <w:r w:rsidR="00992664">
        <w:rPr>
          <w:rtl/>
        </w:rPr>
        <w:t xml:space="preserve"> </w:t>
      </w:r>
      <w:r w:rsidR="009B673F">
        <w:rPr>
          <w:rtl/>
        </w:rPr>
        <w:t>-</w:t>
      </w:r>
      <w:r w:rsidR="00992664">
        <w:rPr>
          <w:rtl/>
        </w:rPr>
        <w:t xml:space="preserve"> </w:t>
      </w:r>
      <w:r w:rsidR="00992664" w:rsidRPr="00020424">
        <w:rPr>
          <w:rtl/>
        </w:rPr>
        <w:t>« في</w:t>
      </w:r>
      <w:r w:rsidR="00992664">
        <w:rPr>
          <w:rtl/>
        </w:rPr>
        <w:t xml:space="preserve"> ».</w:t>
      </w:r>
      <w:r w:rsidR="00992664" w:rsidRPr="00020424">
        <w:rPr>
          <w:rtl/>
        </w:rPr>
        <w:t xml:space="preserve"> وفي المطبوع : « [ في ]</w:t>
      </w:r>
      <w:r w:rsidR="00992664">
        <w:rPr>
          <w:rtl/>
        </w:rPr>
        <w:t xml:space="preserve"> ».</w:t>
      </w:r>
    </w:p>
    <w:p w:rsidR="00992664" w:rsidRPr="00020424" w:rsidRDefault="00795177" w:rsidP="00440122">
      <w:pPr>
        <w:pStyle w:val="libFootnote0"/>
        <w:rPr>
          <w:rtl/>
          <w:lang w:bidi="fa-IR"/>
        </w:rPr>
      </w:pPr>
      <w:r>
        <w:rPr>
          <w:rtl/>
        </w:rPr>
        <w:t>(7).</w:t>
      </w:r>
      <w:r w:rsidR="0014403D">
        <w:rPr>
          <w:rtl/>
        </w:rPr>
        <w:t xml:space="preserve"> </w:t>
      </w:r>
      <w:r w:rsidR="00992664" w:rsidRPr="00020424">
        <w:rPr>
          <w:rtl/>
        </w:rPr>
        <w:t xml:space="preserve">هكذا في « ى ، بث ، بح ، بخ ، بر ، بف </w:t>
      </w:r>
      <w:r w:rsidR="00992664" w:rsidRPr="00440122">
        <w:rPr>
          <w:rtl/>
        </w:rPr>
        <w:t>، بك » والوافي والتهذيب والاستبصار.</w:t>
      </w:r>
      <w:r w:rsidR="00992664" w:rsidRPr="00020424">
        <w:rPr>
          <w:rtl/>
        </w:rPr>
        <w:t xml:space="preserve"> وفي « ظ ، بس ، جر » والمطبوع : « فقلت</w:t>
      </w:r>
      <w:r w:rsidR="00992664">
        <w:rPr>
          <w:rtl/>
        </w:rPr>
        <w:t xml:space="preserve"> ».</w:t>
      </w:r>
      <w:r w:rsidR="00440122">
        <w:rPr>
          <w:rFonts w:hint="cs"/>
          <w:rtl/>
        </w:rPr>
        <w:t xml:space="preserve">                                       </w:t>
      </w:r>
      <w:r>
        <w:rPr>
          <w:rtl/>
        </w:rPr>
        <w:t>(8).</w:t>
      </w:r>
      <w:r w:rsidR="0014403D">
        <w:rPr>
          <w:rtl/>
        </w:rPr>
        <w:t xml:space="preserve"> </w:t>
      </w:r>
      <w:r w:rsidR="00992664" w:rsidRPr="00020424">
        <w:rPr>
          <w:rtl/>
        </w:rPr>
        <w:t>في « ظ » : « ففي</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440122">
        <w:rPr>
          <w:rtl/>
        </w:rPr>
        <w:t>الوافي</w:t>
      </w:r>
      <w:r w:rsidR="00992664" w:rsidRPr="00020424">
        <w:rPr>
          <w:rtl/>
        </w:rPr>
        <w:t xml:space="preserve"> : « تمضي</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قال الخليل : « العَتَمة : الثلث الأوّل من الليل بعد غيبوبة الشفق</w:t>
      </w:r>
      <w:r w:rsidR="00992664">
        <w:rPr>
          <w:rtl/>
        </w:rPr>
        <w:t xml:space="preserve"> ».</w:t>
      </w:r>
      <w:r w:rsidR="00992664" w:rsidRPr="00020424">
        <w:rPr>
          <w:rtl/>
        </w:rPr>
        <w:t xml:space="preserve"> وقال الجوهري : « العتمة : وقت صلاة</w:t>
      </w:r>
      <w:r w:rsidR="00440122">
        <w:rPr>
          <w:rFonts w:hint="cs"/>
          <w:rtl/>
        </w:rPr>
        <w:t xml:space="preserve"> </w:t>
      </w:r>
      <w:r w:rsidR="00992664" w:rsidRPr="00020424">
        <w:rPr>
          <w:rtl/>
        </w:rPr>
        <w:t>العشاء</w:t>
      </w:r>
      <w:r w:rsidR="00992664">
        <w:rPr>
          <w:rtl/>
        </w:rPr>
        <w:t xml:space="preserve"> ».</w:t>
      </w:r>
      <w:r w:rsidR="00992664" w:rsidRPr="00020424">
        <w:rPr>
          <w:rtl/>
        </w:rPr>
        <w:t xml:space="preserve"> وعن الأزهري : « أرباب النعم في البادية يريحون الإبل ، ثمّ ينيخونها في مراحها حتّى يعتمّوا ، أي يدخلوا في عتمة الليل وهي ظلمته ، وكانت الأعراب يسمّون صلاة العشاء صلاة العتمة تسمية بالوقت</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2 ، ص 1136 ؛ </w:t>
      </w:r>
      <w:r w:rsidR="00992664" w:rsidRPr="0012008A">
        <w:rPr>
          <w:rStyle w:val="libFootnoteBoldChar"/>
          <w:rtl/>
        </w:rPr>
        <w:t>الصحاح</w:t>
      </w:r>
      <w:r w:rsidR="00992664" w:rsidRPr="00020424">
        <w:rPr>
          <w:rtl/>
        </w:rPr>
        <w:t xml:space="preserve"> ، ج 5 ، ص 1979 ؛ </w:t>
      </w:r>
      <w:r w:rsidR="00992664" w:rsidRPr="0012008A">
        <w:rPr>
          <w:rStyle w:val="libFootnoteBoldChar"/>
          <w:rtl/>
        </w:rPr>
        <w:t>النهاية</w:t>
      </w:r>
      <w:r w:rsidR="00992664" w:rsidRPr="00020424">
        <w:rPr>
          <w:rtl/>
        </w:rPr>
        <w:t xml:space="preserve"> ، ج 3 ، ص 180 ( عتم )</w:t>
      </w:r>
      <w:r w:rsidR="00992664">
        <w:rPr>
          <w:rtl/>
        </w:rPr>
        <w:t>.</w:t>
      </w:r>
    </w:p>
    <w:p w:rsidR="00992664" w:rsidRPr="00020424" w:rsidRDefault="00795177" w:rsidP="00440122">
      <w:pPr>
        <w:pStyle w:val="libFootnote0"/>
        <w:rPr>
          <w:rtl/>
          <w:lang w:bidi="fa-IR"/>
        </w:rPr>
      </w:pPr>
      <w:r>
        <w:rPr>
          <w:rtl/>
        </w:rPr>
        <w:t>(11).</w:t>
      </w:r>
      <w:r w:rsidR="0014403D">
        <w:rPr>
          <w:rtl/>
        </w:rPr>
        <w:t xml:space="preserve"> </w:t>
      </w:r>
      <w:r w:rsidR="00992664" w:rsidRPr="00020424">
        <w:rPr>
          <w:rtl/>
        </w:rPr>
        <w:t xml:space="preserve">هكذا في « بث ، بخ ، بر ، بس » </w:t>
      </w:r>
      <w:r w:rsidR="00992664" w:rsidRPr="00440122">
        <w:rPr>
          <w:rtl/>
        </w:rPr>
        <w:t>والوافي والتهذيب والاستبصار</w:t>
      </w:r>
      <w:r w:rsidR="00992664" w:rsidRPr="00020424">
        <w:rPr>
          <w:rtl/>
        </w:rPr>
        <w:t xml:space="preserve"> ، وهو مقتضى السياق. وفي بعض النسخ والمطبوع : « واثنتا</w:t>
      </w:r>
      <w:r w:rsidR="00992664">
        <w:rPr>
          <w:rtl/>
        </w:rPr>
        <w:t xml:space="preserve"> ».</w:t>
      </w:r>
      <w:r w:rsidR="00440122">
        <w:rPr>
          <w:rFonts w:hint="cs"/>
          <w:rtl/>
        </w:rPr>
        <w:t xml:space="preserve">               </w:t>
      </w:r>
      <w:r w:rsidR="00926E49">
        <w:rPr>
          <w:rFonts w:hint="cs"/>
          <w:rtl/>
        </w:rPr>
        <w:t xml:space="preserve">            </w:t>
      </w:r>
      <w:r w:rsidR="00440122">
        <w:rPr>
          <w:rFonts w:hint="cs"/>
          <w:rtl/>
        </w:rPr>
        <w:t xml:space="preserve">  </w:t>
      </w:r>
      <w:r>
        <w:rPr>
          <w:rtl/>
        </w:rPr>
        <w:t>(12).</w:t>
      </w:r>
      <w:r w:rsidR="0014403D">
        <w:rPr>
          <w:rtl/>
        </w:rPr>
        <w:t xml:space="preserve"> </w:t>
      </w:r>
      <w:r w:rsidR="00992664" w:rsidRPr="00020424">
        <w:rPr>
          <w:rtl/>
        </w:rPr>
        <w:t xml:space="preserve">في « جن » </w:t>
      </w:r>
      <w:r w:rsidR="00992664" w:rsidRPr="00440122">
        <w:rPr>
          <w:rtl/>
        </w:rPr>
        <w:t>والتهذيب والاستبصار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ركعة</w:t>
      </w:r>
      <w:r w:rsidR="00992664">
        <w:rPr>
          <w:rtl/>
        </w:rPr>
        <w:t xml:space="preserve"> ».</w:t>
      </w:r>
    </w:p>
    <w:p w:rsidR="00992664" w:rsidRPr="00020424" w:rsidRDefault="00795177" w:rsidP="00440122">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3 ، ص 63 ، ح 215 ؛ </w:t>
      </w:r>
      <w:r w:rsidR="00992664" w:rsidRPr="00FD6221">
        <w:rPr>
          <w:rStyle w:val="libFootnoteBoldChar"/>
          <w:rtl/>
        </w:rPr>
        <w:t>والاستبصار</w:t>
      </w:r>
      <w:r w:rsidR="00992664" w:rsidRPr="00020424">
        <w:rPr>
          <w:rtl/>
        </w:rPr>
        <w:t xml:space="preserve"> ، ج 1 ، ص 463 ، ح 1798 ، معلّقاً عن الحسين بن سعيد. </w:t>
      </w:r>
      <w:r w:rsidR="00992664" w:rsidRPr="00DE76B9">
        <w:rPr>
          <w:rStyle w:val="libFootnoteBoldChar"/>
          <w:rtl/>
        </w:rPr>
        <w:t>الكافي</w:t>
      </w:r>
      <w:r w:rsidR="00992664" w:rsidRPr="00020424">
        <w:rPr>
          <w:rtl/>
        </w:rPr>
        <w:t xml:space="preserve"> ، كتاب فضل القرآن ، باب في كم يقرأ القرآن ويختم ، ذيل ح 3542 ، بسنده عن عليّ بن أبي حمزة ، إلى قوله : « صلّ ما استطعت في شهر رمضان » ، وفي كلّها مع اختلاف يسير </w:t>
      </w:r>
      <w:r w:rsidR="00440122">
        <w:rPr>
          <w:rFonts w:hint="cs"/>
          <w:rtl/>
        </w:rPr>
        <w:t>.</w:t>
      </w:r>
      <w:r w:rsidR="00992664" w:rsidRPr="0012008A">
        <w:rPr>
          <w:rStyle w:val="libFootnoteBoldChar"/>
          <w:rtl/>
        </w:rPr>
        <w:t>الوافي</w:t>
      </w:r>
      <w:r w:rsidR="00992664" w:rsidRPr="00020424">
        <w:rPr>
          <w:rtl/>
        </w:rPr>
        <w:t xml:space="preserve"> ، ج 11 ، ص 423 ، ح 11096 ؛ </w:t>
      </w:r>
      <w:r w:rsidR="00992664" w:rsidRPr="0012008A">
        <w:rPr>
          <w:rStyle w:val="libFootnoteBoldChar"/>
          <w:rtl/>
        </w:rPr>
        <w:t>الوسائل</w:t>
      </w:r>
      <w:r w:rsidR="00992664" w:rsidRPr="00020424">
        <w:rPr>
          <w:rtl/>
        </w:rPr>
        <w:t xml:space="preserve"> ، ج 8 ، ص 31 ، ذيل ح 10038.</w:t>
      </w:r>
      <w:r w:rsidR="00440122">
        <w:rPr>
          <w:rFonts w:hint="cs"/>
          <w:rtl/>
        </w:rPr>
        <w:t xml:space="preserve">  </w:t>
      </w:r>
      <w:r>
        <w:rPr>
          <w:rtl/>
        </w:rPr>
        <w:t>(14).</w:t>
      </w:r>
      <w:r w:rsidR="0014403D">
        <w:rPr>
          <w:rtl/>
        </w:rPr>
        <w:t xml:space="preserve"> </w:t>
      </w:r>
      <w:r w:rsidR="00992664" w:rsidRPr="00020424">
        <w:rPr>
          <w:rtl/>
        </w:rPr>
        <w:t>في ال</w:t>
      </w:r>
      <w:r w:rsidR="00440122">
        <w:rPr>
          <w:rtl/>
        </w:rPr>
        <w:t>استبصار : + «</w:t>
      </w:r>
      <w:r w:rsidR="00992664" w:rsidRPr="00020424">
        <w:rPr>
          <w:rtl/>
        </w:rPr>
        <w:t>بن عبد الرحمن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يَزِيدُ فِي صَلَاتِهِ فِي شَهْرِ رَمَضَانَ إِذَا صَلَّى الْعَتَمَةَ صَلّى بَعْدَهَا ، فَيَقُومُ </w:t>
      </w:r>
      <w:r w:rsidRPr="00A91B96">
        <w:rPr>
          <w:rStyle w:val="libFootnotenumChar"/>
          <w:rtl/>
        </w:rPr>
        <w:t>(1)</w:t>
      </w:r>
      <w:r w:rsidRPr="00020424">
        <w:rPr>
          <w:rtl/>
          <w:lang w:bidi="fa-IR"/>
        </w:rPr>
        <w:t xml:space="preserve"> النَّاسُ خَلْفَهُ ، فَيَدْخُلُ وَيَدَعُهُمْ ، ثُمَّ يَخْرُجُ أَيْضاً ، فَيَجِيئُونَ ، وَيَقُومُونَ </w:t>
      </w:r>
      <w:r w:rsidRPr="00A91B96">
        <w:rPr>
          <w:rStyle w:val="libFootnotenumChar"/>
          <w:rtl/>
        </w:rPr>
        <w:t>(2)</w:t>
      </w:r>
      <w:r w:rsidRPr="00020424">
        <w:rPr>
          <w:rtl/>
          <w:lang w:bidi="fa-IR"/>
        </w:rPr>
        <w:t xml:space="preserve"> خَلْفَهُ ، فَيَدَعُهُمْ ، وَيَدْخُلُ </w:t>
      </w:r>
      <w:r w:rsidRPr="00A91B96">
        <w:rPr>
          <w:rStyle w:val="libFootnotenumChar"/>
          <w:rtl/>
        </w:rPr>
        <w:t>(3)</w:t>
      </w:r>
      <w:r w:rsidRPr="00020424">
        <w:rPr>
          <w:rtl/>
          <w:lang w:bidi="fa-IR"/>
        </w:rPr>
        <w:t xml:space="preserve"> مِرَاراً </w:t>
      </w:r>
      <w:r w:rsidRPr="00A91B96">
        <w:rPr>
          <w:rStyle w:val="libFootnotenumChar"/>
          <w:rtl/>
        </w:rPr>
        <w:t>(4)</w:t>
      </w:r>
      <w:r w:rsidRPr="00020424">
        <w:rPr>
          <w:rtl/>
          <w:lang w:bidi="fa-IR"/>
        </w:rPr>
        <w:t xml:space="preserve"> » قَالَ : وَقَالَ : « لَا تُصَلِّ </w:t>
      </w:r>
      <w:r w:rsidRPr="00A91B96">
        <w:rPr>
          <w:rStyle w:val="libFootnotenumChar"/>
          <w:rtl/>
        </w:rPr>
        <w:t>(5)</w:t>
      </w:r>
      <w:r w:rsidRPr="00020424">
        <w:rPr>
          <w:rtl/>
          <w:lang w:bidi="fa-IR"/>
        </w:rPr>
        <w:t xml:space="preserve"> بَعْدَ الْعَتَمَةِ فِي غَيْرِ شَهْرِ رَمَضَانَ</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36F2D">
        <w:rPr>
          <w:rtl/>
        </w:rPr>
        <w:t>6615</w:t>
      </w:r>
      <w:r w:rsidRPr="001155DE">
        <w:rPr>
          <w:rStyle w:val="libBold2Char"/>
          <w:rtl/>
        </w:rPr>
        <w:t xml:space="preserve"> / 3.</w:t>
      </w:r>
      <w:r w:rsidRPr="00020424">
        <w:rPr>
          <w:rtl/>
          <w:lang w:bidi="fa-IR"/>
        </w:rPr>
        <w:t xml:space="preserve"> مُحَمَّدُ بْنُ يَحْيى ، عَنْ أَحْمَدَ بْنِ مُحَمَّدٍ ، عَنْ عُثْمَانَ بْنِ عِيسى ، عَنْ سَمَاعَةَ ، عَنْ أَبِي بَصِيرٍ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كَانَ رَسُولُ اللهِ </w:t>
      </w:r>
      <w:r w:rsidR="00B42914" w:rsidRPr="00B42914">
        <w:rPr>
          <w:rStyle w:val="libAlaemChar"/>
          <w:rtl/>
        </w:rPr>
        <w:t>صلى‌الله‌عليه‌وآله‌</w:t>
      </w:r>
      <w:r w:rsidRPr="00020424">
        <w:rPr>
          <w:rtl/>
          <w:lang w:bidi="fa-IR"/>
        </w:rPr>
        <w:t xml:space="preserve"> إِذَا دَخَلَ الْعَشْرُ الْأَوَاخِرُ ، شَدَّ الْمِئْزَرَ </w:t>
      </w:r>
      <w:r w:rsidRPr="00A91B96">
        <w:rPr>
          <w:rStyle w:val="libFootnotenumChar"/>
          <w:rtl/>
        </w:rPr>
        <w:t>(7)</w:t>
      </w:r>
      <w:r w:rsidRPr="00020424">
        <w:rPr>
          <w:rtl/>
          <w:lang w:bidi="fa-IR"/>
        </w:rPr>
        <w:t xml:space="preserve"> ، وَاجْتَنَبَ النِّسَاءَ ، وَأَحْيَا اللَّيْلَ ، وَتَفَرَّغَ </w:t>
      </w:r>
      <w:r w:rsidRPr="00A91B96">
        <w:rPr>
          <w:rStyle w:val="libFootnotenumChar"/>
          <w:rtl/>
        </w:rPr>
        <w:t>(8)</w:t>
      </w:r>
      <w:r w:rsidRPr="00020424">
        <w:rPr>
          <w:rtl/>
          <w:lang w:bidi="fa-IR"/>
        </w:rPr>
        <w:t xml:space="preserve"> لِلْعِبَادَةِ</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B36F2D">
        <w:rPr>
          <w:rtl/>
        </w:rPr>
        <w:t>6616</w:t>
      </w:r>
      <w:r w:rsidRPr="001155DE">
        <w:rPr>
          <w:rStyle w:val="libBold2Char"/>
          <w:rtl/>
        </w:rPr>
        <w:t xml:space="preserve"> / 4.</w:t>
      </w:r>
      <w:r w:rsidRPr="00020424">
        <w:rPr>
          <w:rtl/>
          <w:lang w:bidi="fa-IR"/>
        </w:rPr>
        <w:t xml:space="preserve"> أَحْمَدُ بْنُ مُحَمَّدٍ </w:t>
      </w:r>
      <w:r w:rsidRPr="00A91B96">
        <w:rPr>
          <w:rStyle w:val="libFootnotenumChar"/>
          <w:rtl/>
        </w:rPr>
        <w:t>(10)</w:t>
      </w:r>
      <w:r w:rsidRPr="00020424">
        <w:rPr>
          <w:rtl/>
          <w:lang w:bidi="fa-IR"/>
        </w:rPr>
        <w:t xml:space="preserve"> ، عَنِ الْحُسَيْنِ بْنِ سَعِيدٍ ، عَنِ الْحَسَنِ ، عَنْ </w:t>
      </w:r>
      <w:r w:rsidRPr="00A91B96">
        <w:rPr>
          <w:rStyle w:val="libFootnotenumChar"/>
          <w:rtl/>
        </w:rPr>
        <w:t>(11)</w:t>
      </w:r>
      <w:r w:rsidRPr="00020424">
        <w:rPr>
          <w:rtl/>
          <w:lang w:bidi="fa-IR"/>
        </w:rPr>
        <w:t xml:space="preserve"> سُلَيْمَانَ‌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40122" w:rsidTr="00440122">
        <w:tc>
          <w:tcPr>
            <w:tcW w:w="4006" w:type="dxa"/>
          </w:tcPr>
          <w:p w:rsidR="00440122" w:rsidRDefault="00440122" w:rsidP="00992664">
            <w:pPr>
              <w:pStyle w:val="libFootnote0"/>
              <w:rPr>
                <w:rtl/>
              </w:rPr>
            </w:pPr>
            <w:r>
              <w:rPr>
                <w:rtl/>
              </w:rPr>
              <w:t xml:space="preserve">(1). </w:t>
            </w:r>
            <w:r w:rsidRPr="00020424">
              <w:rPr>
                <w:rtl/>
              </w:rPr>
              <w:t xml:space="preserve">في </w:t>
            </w:r>
            <w:r w:rsidRPr="00440122">
              <w:rPr>
                <w:rtl/>
              </w:rPr>
              <w:t>التهذيب والاستبصار</w:t>
            </w:r>
            <w:r w:rsidRPr="00020424">
              <w:rPr>
                <w:rtl/>
              </w:rPr>
              <w:t xml:space="preserve"> : « يقوم</w:t>
            </w:r>
            <w:r>
              <w:rPr>
                <w:rtl/>
              </w:rPr>
              <w:t xml:space="preserve"> ».</w:t>
            </w:r>
          </w:p>
        </w:tc>
        <w:tc>
          <w:tcPr>
            <w:tcW w:w="4006" w:type="dxa"/>
          </w:tcPr>
          <w:p w:rsidR="00440122" w:rsidRDefault="00440122" w:rsidP="00992664">
            <w:pPr>
              <w:pStyle w:val="libFootnote0"/>
              <w:rPr>
                <w:rtl/>
              </w:rPr>
            </w:pPr>
            <w:r>
              <w:rPr>
                <w:rtl/>
              </w:rPr>
              <w:t xml:space="preserve">(2). </w:t>
            </w:r>
            <w:r w:rsidRPr="00020424">
              <w:rPr>
                <w:rtl/>
              </w:rPr>
              <w:t xml:space="preserve">في « بخ ، بر ، بف » </w:t>
            </w:r>
            <w:r w:rsidRPr="00440122">
              <w:rPr>
                <w:rtl/>
              </w:rPr>
              <w:t>والاستبصار</w:t>
            </w:r>
            <w:r w:rsidRPr="00020424">
              <w:rPr>
                <w:rtl/>
              </w:rPr>
              <w:t xml:space="preserve"> </w:t>
            </w:r>
            <w:r>
              <w:rPr>
                <w:rtl/>
              </w:rPr>
              <w:t>: «</w:t>
            </w:r>
            <w:r w:rsidRPr="00020424">
              <w:rPr>
                <w:rtl/>
              </w:rPr>
              <w:t>فيقومون</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بر ، بف » </w:t>
      </w:r>
      <w:r w:rsidR="00992664" w:rsidRPr="00440122">
        <w:rPr>
          <w:rtl/>
        </w:rPr>
        <w:t>والوافي والوسائل</w:t>
      </w:r>
      <w:r w:rsidR="00992664" w:rsidRPr="00020424">
        <w:rPr>
          <w:rtl/>
        </w:rPr>
        <w:t xml:space="preserve"> ، ح 10022 </w:t>
      </w:r>
      <w:r w:rsidR="00992664" w:rsidRPr="00440122">
        <w:rPr>
          <w:rtl/>
        </w:rPr>
        <w:t>والتهذيب والاستبصار</w:t>
      </w:r>
      <w:r w:rsidR="00992664" w:rsidRPr="00020424">
        <w:rPr>
          <w:rtl/>
        </w:rPr>
        <w:t xml:space="preserve"> : « فيدخل ويدعهم</w:t>
      </w:r>
      <w:r w:rsidR="00992664">
        <w:rPr>
          <w:rtl/>
        </w:rPr>
        <w:t xml:space="preserve"> ».</w:t>
      </w:r>
      <w:r w:rsidR="00992664" w:rsidRPr="00020424">
        <w:rPr>
          <w:rtl/>
        </w:rPr>
        <w:t xml:space="preserve"> وفي الاستبصار : + « ثمّ يخرج أيضاً فيجيئون ، فيقومون خلفه ، فيدخل ويدعهم</w:t>
      </w:r>
      <w:r w:rsidR="00992664">
        <w:rPr>
          <w:rtl/>
        </w:rPr>
        <w:t xml:space="preserve"> ».</w:t>
      </w:r>
    </w:p>
    <w:p w:rsidR="00992664" w:rsidRPr="00020424" w:rsidRDefault="00795177" w:rsidP="00440122">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يدلّ على عدم جواز الجماعة في نافلة شهر رمضان ، ولا خلاف فيه بين أصحابنا ، وقد اعترفت العامّة بأنّه من بدع عمر</w:t>
      </w:r>
      <w:r w:rsidR="00992664">
        <w:rPr>
          <w:rtl/>
        </w:rPr>
        <w:t xml:space="preserve"> ».</w:t>
      </w:r>
      <w:r w:rsidR="00440122">
        <w:rPr>
          <w:rFonts w:hint="cs"/>
          <w:rtl/>
        </w:rPr>
        <w:t xml:space="preserve">                      </w:t>
      </w:r>
      <w:r>
        <w:rPr>
          <w:rtl/>
        </w:rPr>
        <w:t>(5).</w:t>
      </w:r>
      <w:r w:rsidR="0014403D">
        <w:rPr>
          <w:rtl/>
        </w:rPr>
        <w:t xml:space="preserve"> </w:t>
      </w:r>
      <w:r w:rsidR="00992664" w:rsidRPr="00020424">
        <w:rPr>
          <w:rtl/>
        </w:rPr>
        <w:t xml:space="preserve">في </w:t>
      </w:r>
      <w:r w:rsidR="00992664" w:rsidRPr="00440122">
        <w:rPr>
          <w:rtl/>
        </w:rPr>
        <w:t>الوافي</w:t>
      </w:r>
      <w:r w:rsidR="00992664" w:rsidRPr="00020424">
        <w:rPr>
          <w:rtl/>
        </w:rPr>
        <w:t xml:space="preserve"> </w:t>
      </w:r>
      <w:r w:rsidR="00440122">
        <w:rPr>
          <w:rtl/>
        </w:rPr>
        <w:t>: «</w:t>
      </w:r>
      <w:r w:rsidR="00992664" w:rsidRPr="00020424">
        <w:rPr>
          <w:rtl/>
        </w:rPr>
        <w:t>لا تصلّى</w:t>
      </w:r>
      <w:r w:rsidR="00992664">
        <w:rPr>
          <w:rtl/>
        </w:rPr>
        <w:t>».</w:t>
      </w:r>
      <w:r w:rsidR="00440122">
        <w:rPr>
          <w:rtl/>
        </w:rPr>
        <w:t xml:space="preserve"> وفي الاستبصار : «لا</w:t>
      </w:r>
      <w:r w:rsidR="00992664" w:rsidRPr="00020424">
        <w:rPr>
          <w:rtl/>
        </w:rPr>
        <w:t>يصلّي</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3 ، ص 61 ، ح 208 ؛ </w:t>
      </w:r>
      <w:r w:rsidR="00992664" w:rsidRPr="00FD6221">
        <w:rPr>
          <w:rStyle w:val="libFootnoteBoldChar"/>
          <w:rtl/>
        </w:rPr>
        <w:t>والاستبصار</w:t>
      </w:r>
      <w:r w:rsidR="00992664" w:rsidRPr="00020424">
        <w:rPr>
          <w:rtl/>
        </w:rPr>
        <w:t xml:space="preserve"> ، ج 1 ، ص 461 ، ح 1792 ، معلّقاً عن الكليني </w:t>
      </w:r>
      <w:r w:rsidR="00440122">
        <w:rPr>
          <w:rFonts w:hint="cs"/>
          <w:rtl/>
        </w:rPr>
        <w:t>.</w:t>
      </w:r>
      <w:r w:rsidR="00992664" w:rsidRPr="0012008A">
        <w:rPr>
          <w:rStyle w:val="libFootnoteBoldChar"/>
          <w:rtl/>
        </w:rPr>
        <w:t>الوافي</w:t>
      </w:r>
      <w:r w:rsidR="00992664" w:rsidRPr="00020424">
        <w:rPr>
          <w:rtl/>
        </w:rPr>
        <w:t xml:space="preserve"> ، ج 11 ، ص 424 ، ح 11097 ؛ </w:t>
      </w:r>
      <w:r w:rsidR="00992664" w:rsidRPr="0012008A">
        <w:rPr>
          <w:rStyle w:val="libFootnoteBoldChar"/>
          <w:rtl/>
        </w:rPr>
        <w:t>الوسائل</w:t>
      </w:r>
      <w:r w:rsidR="00992664" w:rsidRPr="00020424">
        <w:rPr>
          <w:rtl/>
        </w:rPr>
        <w:t xml:space="preserve"> ، ج 8 ، ص 22 ، ح 10022 ؛ </w:t>
      </w:r>
      <w:r w:rsidR="00992664" w:rsidRPr="00DE76B9">
        <w:rPr>
          <w:rStyle w:val="libFootnoteBoldChar"/>
          <w:rtl/>
        </w:rPr>
        <w:t>وفيه</w:t>
      </w:r>
      <w:r w:rsidR="00992664" w:rsidRPr="00020424">
        <w:rPr>
          <w:rtl/>
        </w:rPr>
        <w:t xml:space="preserve"> ، ص 46 ، ح 10046 ، إلى قوله : « فيدعهم ويدخل مراراً</w:t>
      </w:r>
      <w:r w:rsidR="00992664">
        <w:rPr>
          <w:rtl/>
        </w:rPr>
        <w:t xml:space="preserve"> ».</w:t>
      </w:r>
    </w:p>
    <w:p w:rsidR="00992664" w:rsidRPr="00020424" w:rsidRDefault="00795177" w:rsidP="00440122">
      <w:pPr>
        <w:pStyle w:val="libFootnote0"/>
        <w:rPr>
          <w:rtl/>
          <w:lang w:bidi="fa-IR"/>
        </w:rPr>
      </w:pPr>
      <w:r>
        <w:rPr>
          <w:rtl/>
        </w:rPr>
        <w:t>(7).</w:t>
      </w:r>
      <w:r w:rsidR="0014403D">
        <w:rPr>
          <w:rtl/>
        </w:rPr>
        <w:t xml:space="preserve"> </w:t>
      </w:r>
      <w:r w:rsidR="00992664" w:rsidRPr="00020424">
        <w:rPr>
          <w:rtl/>
        </w:rPr>
        <w:t>« المئزر » : الإزار وهو معروف. قال ابن الأثير : « كنى بشدّه عن اعتزال النساء. وقيل : أراد تشميره للعبادة ، يقال : شددت لهذا الأمر مئزري ، أي تشمّرت له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578 ؛ </w:t>
      </w:r>
      <w:r w:rsidR="00992664" w:rsidRPr="0012008A">
        <w:rPr>
          <w:rStyle w:val="libFootnoteBoldChar"/>
          <w:rtl/>
        </w:rPr>
        <w:t>النهاية</w:t>
      </w:r>
      <w:r w:rsidR="00992664" w:rsidRPr="00020424">
        <w:rPr>
          <w:rtl/>
        </w:rPr>
        <w:t xml:space="preserve"> ، ج 1 ، ص 44 ( أزر )</w:t>
      </w:r>
      <w:r w:rsidR="00992664">
        <w:rPr>
          <w:rtl/>
        </w:rPr>
        <w:t>.</w:t>
      </w:r>
      <w:r w:rsidR="00440122">
        <w:rPr>
          <w:rFonts w:hint="cs"/>
          <w:rtl/>
        </w:rPr>
        <w:t xml:space="preserve">                          </w:t>
      </w:r>
      <w:r w:rsidR="00926E49">
        <w:rPr>
          <w:rFonts w:hint="cs"/>
          <w:rtl/>
        </w:rPr>
        <w:t xml:space="preserve">               </w:t>
      </w:r>
      <w:r w:rsidR="00440122">
        <w:rPr>
          <w:rFonts w:hint="cs"/>
          <w:rtl/>
        </w:rPr>
        <w:t xml:space="preserve">      </w:t>
      </w:r>
      <w:r>
        <w:rPr>
          <w:rtl/>
        </w:rPr>
        <w:t>(8).</w:t>
      </w:r>
      <w:r w:rsidR="0014403D">
        <w:rPr>
          <w:rtl/>
        </w:rPr>
        <w:t xml:space="preserve"> </w:t>
      </w:r>
      <w:r w:rsidR="00992664" w:rsidRPr="00020424">
        <w:rPr>
          <w:rtl/>
        </w:rPr>
        <w:t>في « بح » : « ويفرغ</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الفقيه</w:t>
      </w:r>
      <w:r w:rsidR="00992664" w:rsidRPr="00020424">
        <w:rPr>
          <w:rtl/>
        </w:rPr>
        <w:t xml:space="preserve"> ، ج 2 ، ص 156 ، ح 2018 ، معلّقاً عن سماعة. </w:t>
      </w:r>
      <w:r w:rsidR="00992664" w:rsidRPr="00DE76B9">
        <w:rPr>
          <w:rStyle w:val="libFootnoteBoldChar"/>
          <w:rtl/>
        </w:rPr>
        <w:t>الكافي</w:t>
      </w:r>
      <w:r w:rsidR="00992664" w:rsidRPr="00020424">
        <w:rPr>
          <w:rtl/>
        </w:rPr>
        <w:t xml:space="preserve"> ، كتاب الصيام ، باب الاعتكاف ، ح 6675 ، بسند آخر ، مع اختلاف </w:t>
      </w:r>
      <w:r w:rsidR="00440122">
        <w:rPr>
          <w:rFonts w:hint="cs"/>
          <w:rtl/>
        </w:rPr>
        <w:t>.</w:t>
      </w:r>
      <w:r w:rsidR="00992664" w:rsidRPr="0012008A">
        <w:rPr>
          <w:rStyle w:val="libFootnoteBoldChar"/>
          <w:rtl/>
        </w:rPr>
        <w:t>الوافي</w:t>
      </w:r>
      <w:r w:rsidR="00992664" w:rsidRPr="00020424">
        <w:rPr>
          <w:rtl/>
        </w:rPr>
        <w:t xml:space="preserve"> ، ج 11 ، ص 484 ، ح 11166 ؛ </w:t>
      </w:r>
      <w:r w:rsidR="00992664" w:rsidRPr="0012008A">
        <w:rPr>
          <w:rStyle w:val="libFootnoteBoldChar"/>
          <w:rtl/>
        </w:rPr>
        <w:t>الوسائل</w:t>
      </w:r>
      <w:r w:rsidR="00992664" w:rsidRPr="00020424">
        <w:rPr>
          <w:rtl/>
        </w:rPr>
        <w:t xml:space="preserve"> ، ج 10 ، ص 311 ، ذيل ح 13491 ؛ وص 352 ، ح 13586 ؛ </w:t>
      </w:r>
      <w:r w:rsidR="00992664" w:rsidRPr="0012008A">
        <w:rPr>
          <w:rStyle w:val="libFootnoteBoldChar"/>
          <w:rtl/>
        </w:rPr>
        <w:t>البحار</w:t>
      </w:r>
      <w:r w:rsidR="00992664" w:rsidRPr="00020424">
        <w:rPr>
          <w:rtl/>
        </w:rPr>
        <w:t xml:space="preserve"> ، ج 16 ، ح 101.</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محمّد بن يحيى.</w:t>
      </w:r>
    </w:p>
    <w:p w:rsidR="00992664" w:rsidRPr="00020424" w:rsidRDefault="00795177" w:rsidP="00992664">
      <w:pPr>
        <w:pStyle w:val="libFootnote0"/>
        <w:rPr>
          <w:rtl/>
          <w:lang w:bidi="fa-IR"/>
        </w:rPr>
      </w:pPr>
      <w:r>
        <w:rPr>
          <w:rtl/>
          <w:lang w:bidi="fa-IR"/>
        </w:rPr>
        <w:t>(11).</w:t>
      </w:r>
      <w:r w:rsidR="0014403D">
        <w:rPr>
          <w:rtl/>
          <w:lang w:bidi="fa-IR"/>
        </w:rPr>
        <w:t xml:space="preserve"> </w:t>
      </w:r>
      <w:r w:rsidR="00992664" w:rsidRPr="00020424">
        <w:rPr>
          <w:rtl/>
          <w:lang w:bidi="fa-IR"/>
        </w:rPr>
        <w:t>في « ظ ، ى ، بث ، بر ، بس ، بف ، جن » ومرآة العقول : « بن » بدل « عن</w:t>
      </w:r>
      <w:r w:rsidR="00992664">
        <w:rPr>
          <w:rtl/>
          <w:lang w:bidi="fa-IR"/>
        </w:rPr>
        <w:t xml:space="preserve"> ».</w:t>
      </w:r>
      <w:r w:rsidR="00992664" w:rsidRPr="00020424">
        <w:rPr>
          <w:rtl/>
          <w:lang w:bidi="fa-IR"/>
        </w:rPr>
        <w:t xml:space="preserve"> ولم نجد ذكراً لحسن بن سليمان </w:t>
      </w:r>
      <w:r w:rsidR="00440122">
        <w:rPr>
          <w:rFonts w:hint="cs"/>
          <w:rtl/>
          <w:lang w:bidi="fa-IR"/>
        </w:rPr>
        <w:t>=</w:t>
      </w:r>
    </w:p>
    <w:p w:rsidR="00795177" w:rsidRDefault="00795177" w:rsidP="00795177">
      <w:pPr>
        <w:pStyle w:val="libNormal"/>
        <w:rPr>
          <w:rtl/>
          <w:lang w:bidi="fa-IR"/>
        </w:rPr>
      </w:pPr>
      <w:r>
        <w:rPr>
          <w:rtl/>
          <w:lang w:bidi="fa-IR"/>
        </w:rPr>
        <w:br w:type="page"/>
      </w:r>
    </w:p>
    <w:p w:rsidR="00992664" w:rsidRPr="00020424" w:rsidRDefault="00992664" w:rsidP="00440122">
      <w:pPr>
        <w:pStyle w:val="libNormal0"/>
        <w:rPr>
          <w:rtl/>
          <w:lang w:bidi="fa-IR"/>
        </w:rPr>
      </w:pPr>
      <w:r w:rsidRPr="00020424">
        <w:rPr>
          <w:rtl/>
          <w:lang w:bidi="fa-IR"/>
        </w:rPr>
        <w:t>الْجَعْفَرِيِّ ، قَالَ :</w:t>
      </w:r>
    </w:p>
    <w:p w:rsidR="00992664" w:rsidRPr="00020424" w:rsidRDefault="00992664" w:rsidP="00440122">
      <w:pPr>
        <w:pStyle w:val="libNormal"/>
        <w:rPr>
          <w:rtl/>
          <w:lang w:bidi="fa-IR"/>
        </w:rPr>
      </w:pPr>
      <w:r w:rsidRPr="00020424">
        <w:rPr>
          <w:rtl/>
          <w:lang w:bidi="fa-IR"/>
        </w:rPr>
        <w:t xml:space="preserve">قَالَ أَبُو الْحَسَنِ </w:t>
      </w:r>
      <w:r w:rsidRPr="00005A81">
        <w:rPr>
          <w:rStyle w:val="libAlaemChar"/>
          <w:rtl/>
        </w:rPr>
        <w:t>عليه‌السلام</w:t>
      </w:r>
      <w:r w:rsidRPr="00020424">
        <w:rPr>
          <w:rtl/>
          <w:lang w:bidi="fa-IR"/>
        </w:rPr>
        <w:t xml:space="preserve"> : « صَلِّ لَيْلَةَ إِحْدى وَعِشْرِينَ وَلَيْلَةَ ثَلَاثٍ وَعِشْرِينَ مِائَةَ رَكْعَةٍ ، تَقْرَأُ </w:t>
      </w:r>
      <w:r w:rsidRPr="00A91B96">
        <w:rPr>
          <w:rStyle w:val="libFootnotenumChar"/>
          <w:rtl/>
        </w:rPr>
        <w:t>(1)</w:t>
      </w:r>
      <w:r w:rsidRPr="00020424">
        <w:rPr>
          <w:rtl/>
          <w:lang w:bidi="fa-IR"/>
        </w:rPr>
        <w:t xml:space="preserve"> فِي كُلِّ رَكْعَةٍ </w:t>
      </w:r>
      <w:r w:rsidRPr="00A91B96">
        <w:rPr>
          <w:rStyle w:val="libFootnotenumChar"/>
          <w:rtl/>
        </w:rPr>
        <w:t>(2)</w:t>
      </w:r>
      <w:r w:rsidRPr="00020424">
        <w:rPr>
          <w:rtl/>
          <w:lang w:bidi="fa-IR"/>
        </w:rPr>
        <w:t xml:space="preserve"> </w:t>
      </w:r>
      <w:r w:rsidR="00440122" w:rsidRPr="00440122">
        <w:rPr>
          <w:rStyle w:val="libAlaemChar"/>
          <w:rFonts w:hint="cs"/>
          <w:rtl/>
        </w:rPr>
        <w:t>(</w:t>
      </w:r>
      <w:r w:rsidRPr="00440122">
        <w:rPr>
          <w:rStyle w:val="libAieChar"/>
          <w:rtl/>
        </w:rPr>
        <w:t xml:space="preserve"> ق</w:t>
      </w:r>
      <w:r w:rsidR="00440122">
        <w:rPr>
          <w:rStyle w:val="libAieChar"/>
          <w:rFonts w:hint="cs"/>
          <w:rtl/>
        </w:rPr>
        <w:t>ُ</w:t>
      </w:r>
      <w:r w:rsidRPr="00440122">
        <w:rPr>
          <w:rStyle w:val="libAieChar"/>
          <w:rtl/>
        </w:rPr>
        <w:t>ل</w:t>
      </w:r>
      <w:r w:rsidR="00440122">
        <w:rPr>
          <w:rStyle w:val="libAieChar"/>
          <w:rFonts w:hint="cs"/>
          <w:rtl/>
        </w:rPr>
        <w:t>ْ</w:t>
      </w:r>
      <w:r w:rsidRPr="00440122">
        <w:rPr>
          <w:rStyle w:val="libAieChar"/>
          <w:rtl/>
        </w:rPr>
        <w:t xml:space="preserve"> ه</w:t>
      </w:r>
      <w:r w:rsidR="00440122">
        <w:rPr>
          <w:rStyle w:val="libAieChar"/>
          <w:rFonts w:hint="cs"/>
          <w:rtl/>
        </w:rPr>
        <w:t>ُ</w:t>
      </w:r>
      <w:r w:rsidRPr="00440122">
        <w:rPr>
          <w:rStyle w:val="libAieChar"/>
          <w:rtl/>
        </w:rPr>
        <w:t>و</w:t>
      </w:r>
      <w:r w:rsidR="00440122">
        <w:rPr>
          <w:rStyle w:val="libAieChar"/>
          <w:rFonts w:hint="cs"/>
          <w:rtl/>
        </w:rPr>
        <w:t>َ</w:t>
      </w:r>
      <w:r w:rsidRPr="00440122">
        <w:rPr>
          <w:rStyle w:val="libAieChar"/>
          <w:rtl/>
        </w:rPr>
        <w:t xml:space="preserve"> الله</w:t>
      </w:r>
      <w:r w:rsidR="00440122">
        <w:rPr>
          <w:rStyle w:val="libAieChar"/>
          <w:rFonts w:hint="cs"/>
          <w:rtl/>
        </w:rPr>
        <w:t>ُ</w:t>
      </w:r>
      <w:r w:rsidRPr="00440122">
        <w:rPr>
          <w:rStyle w:val="libAieChar"/>
          <w:rtl/>
        </w:rPr>
        <w:t xml:space="preserve"> أ</w:t>
      </w:r>
      <w:r w:rsidR="00440122">
        <w:rPr>
          <w:rStyle w:val="libAieChar"/>
          <w:rFonts w:hint="cs"/>
          <w:rtl/>
        </w:rPr>
        <w:t>َ</w:t>
      </w:r>
      <w:r w:rsidRPr="00440122">
        <w:rPr>
          <w:rStyle w:val="libAieChar"/>
          <w:rtl/>
        </w:rPr>
        <w:t>ح</w:t>
      </w:r>
      <w:r w:rsidR="00440122">
        <w:rPr>
          <w:rStyle w:val="libAieChar"/>
          <w:rFonts w:hint="cs"/>
          <w:rtl/>
        </w:rPr>
        <w:t>َ</w:t>
      </w:r>
      <w:r w:rsidRPr="00440122">
        <w:rPr>
          <w:rStyle w:val="libAieChar"/>
          <w:rtl/>
        </w:rPr>
        <w:t>د</w:t>
      </w:r>
      <w:r w:rsidR="00440122">
        <w:rPr>
          <w:rStyle w:val="libAieChar"/>
          <w:rFonts w:hint="cs"/>
          <w:rtl/>
        </w:rPr>
        <w:t>ٌ</w:t>
      </w:r>
      <w:r w:rsidRPr="00440122">
        <w:rPr>
          <w:rStyle w:val="libAieChar"/>
          <w:rtl/>
        </w:rPr>
        <w:t xml:space="preserve"> </w:t>
      </w:r>
      <w:r w:rsidR="00440122" w:rsidRPr="00440122">
        <w:rPr>
          <w:rStyle w:val="libAlaemChar"/>
          <w:rFonts w:hint="cs"/>
          <w:rtl/>
        </w:rPr>
        <w:t>)</w:t>
      </w:r>
      <w:r w:rsidRPr="00020424">
        <w:rPr>
          <w:rtl/>
          <w:lang w:bidi="fa-IR"/>
        </w:rPr>
        <w:t xml:space="preserve"> عَشْرَ مَرَّاتٍ</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1F6A6C">
        <w:rPr>
          <w:rtl/>
        </w:rPr>
        <w:t>6617</w:t>
      </w:r>
      <w:r w:rsidRPr="001155DE">
        <w:rPr>
          <w:rStyle w:val="libBold2Char"/>
          <w:rtl/>
        </w:rPr>
        <w:t xml:space="preserve"> / 5.</w:t>
      </w:r>
      <w:r w:rsidRPr="00020424">
        <w:rPr>
          <w:rtl/>
          <w:lang w:bidi="fa-IR"/>
        </w:rPr>
        <w:t xml:space="preserve"> عَلِيُّ بْنُ مُحَمَّدٍ ، عَنْ صَالِحِ بْنِ أَبِي حَمَّادٍ ، عَنِ الْحَسَنِ بْ</w:t>
      </w:r>
      <w:r w:rsidR="00926E49">
        <w:rPr>
          <w:rtl/>
          <w:lang w:bidi="fa-IR"/>
        </w:rPr>
        <w:t>نِ عَلِيٍّ ، عَنِ ابْنِ سِنَانٍ</w:t>
      </w:r>
      <w:r w:rsidRPr="00020424">
        <w:rPr>
          <w:rtl/>
          <w:lang w:bidi="fa-IR"/>
        </w:rPr>
        <w:t xml:space="preserve">، عَنْ أَبِي شُعَيْبٍ الْمَحَامَلِيِّ ، عَنْ حَمَّادِ بْنِ عُثْمَانَ ، عَنِ الْفُضَيْلِ </w:t>
      </w:r>
      <w:r w:rsidRPr="00A91B96">
        <w:rPr>
          <w:rStyle w:val="libFootnotenumChar"/>
          <w:rtl/>
        </w:rPr>
        <w:t>(4)</w:t>
      </w:r>
      <w:r w:rsidRPr="00020424">
        <w:rPr>
          <w:rtl/>
          <w:lang w:bidi="fa-IR"/>
        </w:rPr>
        <w:t xml:space="preserve"> بْنِ يَسَارٍ ، قَالَ :</w:t>
      </w:r>
    </w:p>
    <w:p w:rsidR="00992664" w:rsidRPr="00020424" w:rsidRDefault="00992664" w:rsidP="00992664">
      <w:pPr>
        <w:pStyle w:val="libNormal"/>
        <w:rPr>
          <w:rtl/>
          <w:lang w:bidi="fa-IR"/>
        </w:rPr>
      </w:pPr>
      <w:r w:rsidRPr="00020424">
        <w:rPr>
          <w:rtl/>
          <w:lang w:bidi="fa-IR"/>
        </w:rPr>
        <w:t xml:space="preserve">كَانَ أَبُو جَعْفَرٍ </w:t>
      </w:r>
      <w:r w:rsidRPr="00005A81">
        <w:rPr>
          <w:rStyle w:val="libAlaemChar"/>
          <w:rtl/>
        </w:rPr>
        <w:t>عليه‌السلام</w:t>
      </w:r>
      <w:r w:rsidRPr="00020424">
        <w:rPr>
          <w:rtl/>
          <w:lang w:bidi="fa-IR"/>
        </w:rPr>
        <w:t xml:space="preserve"> إِذَا كَانَ </w:t>
      </w:r>
      <w:r w:rsidRPr="00A91B96">
        <w:rPr>
          <w:rStyle w:val="libFootnotenumChar"/>
          <w:rtl/>
        </w:rPr>
        <w:t>(5)</w:t>
      </w:r>
      <w:r w:rsidRPr="00020424">
        <w:rPr>
          <w:rtl/>
          <w:lang w:bidi="fa-IR"/>
        </w:rPr>
        <w:t xml:space="preserve"> لَيْلَةُ إِحْدى وَعِشْرِينَ ، وَلَيْلَةُ </w:t>
      </w:r>
      <w:r w:rsidRPr="00A91B96">
        <w:rPr>
          <w:rStyle w:val="libFootnotenumChar"/>
          <w:rtl/>
        </w:rPr>
        <w:t>(6)</w:t>
      </w:r>
      <w:r w:rsidRPr="00020424">
        <w:rPr>
          <w:rtl/>
          <w:lang w:bidi="fa-IR"/>
        </w:rPr>
        <w:t xml:space="preserve"> ثَلَاثٍ وَعِشْرِينَ ، أَخَذَ فِي الدُّعَاءِ حَتّى يَزُولَ اللَّيْلُ ، فَإِذَا زَالَ اللَّيْلُ صَلّى.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1F6A6C">
        <w:rPr>
          <w:rtl/>
        </w:rPr>
        <w:t>6618</w:t>
      </w:r>
      <w:r w:rsidRPr="001155DE">
        <w:rPr>
          <w:rStyle w:val="libBold2Char"/>
          <w:rtl/>
        </w:rPr>
        <w:t xml:space="preserve"> / 6.</w:t>
      </w:r>
      <w:r w:rsidRPr="00020424">
        <w:rPr>
          <w:rtl/>
          <w:lang w:bidi="fa-IR"/>
        </w:rPr>
        <w:t xml:space="preserve"> عَلِيُّ بْنُ مُحَمَّدٍ ، عَنْ مُحَمَّدِ بْنِ أَحْمَدَ بْنِ مُطَهَّرٍ :</w:t>
      </w:r>
    </w:p>
    <w:p w:rsidR="00992664" w:rsidRPr="00020424" w:rsidRDefault="00992664" w:rsidP="00992664">
      <w:pPr>
        <w:pStyle w:val="libNormal"/>
        <w:rPr>
          <w:rtl/>
          <w:lang w:bidi="fa-IR"/>
        </w:rPr>
      </w:pPr>
      <w:r w:rsidRPr="00020424">
        <w:rPr>
          <w:rtl/>
          <w:lang w:bidi="fa-IR"/>
        </w:rPr>
        <w:t xml:space="preserve">أَنَّهُ كَتَبَ إِلى أَبِي مُحَمَّدٍ </w:t>
      </w:r>
      <w:r w:rsidRPr="00005A81">
        <w:rPr>
          <w:rStyle w:val="libAlaemChar"/>
          <w:rtl/>
        </w:rPr>
        <w:t>عليه‌السلام</w:t>
      </w:r>
      <w:r w:rsidRPr="00020424">
        <w:rPr>
          <w:rtl/>
          <w:lang w:bidi="fa-IR"/>
        </w:rPr>
        <w:t xml:space="preserve"> يُخْبِرُهُ بِمَا جَاءَتْ بِهِ الرِّوَايَةُ : أَنَّ النَّبِيَّ </w:t>
      </w:r>
      <w:r w:rsidR="00B42914" w:rsidRPr="00B42914">
        <w:rPr>
          <w:rStyle w:val="libAlaemChar"/>
          <w:rtl/>
        </w:rPr>
        <w:t>صلى‌الله‌عليه‌وآله‌</w:t>
      </w:r>
      <w:r w:rsidRPr="00020424">
        <w:rPr>
          <w:rtl/>
          <w:lang w:bidi="fa-IR"/>
        </w:rPr>
        <w:t xml:space="preserve"> كَانَ </w:t>
      </w:r>
      <w:r w:rsidRPr="00A91B96">
        <w:rPr>
          <w:rStyle w:val="libFootnotenumChar"/>
          <w:rtl/>
        </w:rPr>
        <w:t>(8)</w:t>
      </w:r>
      <w:r w:rsidRPr="00020424">
        <w:rPr>
          <w:rtl/>
          <w:lang w:bidi="fa-IR"/>
        </w:rPr>
        <w:t xml:space="preserve"> يُصَلِّي فِي شَهْرِ رَمَضَانَ وَغَيْرِهِ مِنَ اللَّيْلِ </w:t>
      </w:r>
      <w:r w:rsidRPr="00A91B96">
        <w:rPr>
          <w:rStyle w:val="libFootnotenumChar"/>
          <w:rtl/>
        </w:rPr>
        <w:t>(9)</w:t>
      </w:r>
      <w:r w:rsidRPr="00020424">
        <w:rPr>
          <w:rtl/>
          <w:lang w:bidi="fa-IR"/>
        </w:rPr>
        <w:t xml:space="preserve"> ثَلَاثَ عَشْرَةَ </w:t>
      </w:r>
      <w:r w:rsidRPr="00A91B96">
        <w:rPr>
          <w:rStyle w:val="libFootnotenumChar"/>
          <w:rtl/>
        </w:rPr>
        <w:t>(10)</w:t>
      </w:r>
      <w:r w:rsidRPr="00020424">
        <w:rPr>
          <w:rtl/>
          <w:lang w:bidi="fa-IR"/>
        </w:rPr>
        <w:t xml:space="preserve"> رَكْعَةً : مِنْهَا الْوَتْرُ ، وَرَكْعَتَا </w:t>
      </w:r>
      <w:r w:rsidRPr="00A91B96">
        <w:rPr>
          <w:rStyle w:val="libFootnotenumChar"/>
          <w:rtl/>
        </w:rPr>
        <w:t>(11)</w:t>
      </w:r>
      <w:r w:rsidRPr="00020424">
        <w:rPr>
          <w:rtl/>
          <w:lang w:bidi="fa-IR"/>
        </w:rPr>
        <w:t xml:space="preserve"> الْفَجْرِ.</w:t>
      </w:r>
    </w:p>
    <w:p w:rsidR="00992664" w:rsidRPr="00020424" w:rsidRDefault="00992664" w:rsidP="00992664">
      <w:pPr>
        <w:pStyle w:val="libLine"/>
        <w:rPr>
          <w:rtl/>
          <w:lang w:bidi="fa-IR"/>
        </w:rPr>
      </w:pPr>
      <w:r w:rsidRPr="00020424">
        <w:rPr>
          <w:rtl/>
          <w:lang w:bidi="fa-IR"/>
        </w:rPr>
        <w:t>__________________</w:t>
      </w:r>
    </w:p>
    <w:p w:rsidR="00992664" w:rsidRPr="00020424" w:rsidRDefault="00440122" w:rsidP="00992664">
      <w:pPr>
        <w:pStyle w:val="libFootnote0"/>
        <w:rPr>
          <w:rtl/>
          <w:lang w:bidi="fa-IR"/>
        </w:rPr>
      </w:pPr>
      <w:r>
        <w:rPr>
          <w:rFonts w:hint="cs"/>
          <w:rtl/>
          <w:lang w:bidi="fa-IR"/>
        </w:rPr>
        <w:t xml:space="preserve">= </w:t>
      </w:r>
      <w:r w:rsidR="00992664" w:rsidRPr="00020424">
        <w:rPr>
          <w:rtl/>
          <w:lang w:bidi="fa-IR"/>
        </w:rPr>
        <w:t xml:space="preserve">الجعفري في ما تتبّعناه. وأمّا سليمان الجعفري ، فهو سليمان بن جعفر بن إبراهيم الجعفري المترجم في كتب الرجال ، والمذكور في الأسناد بعناوين سليمان الجعفري ، وسليمان بن جعفر ، وسليمان بن جعفر الجعفري. راجع : </w:t>
      </w:r>
      <w:r w:rsidR="00992664" w:rsidRPr="00DE76B9">
        <w:rPr>
          <w:rStyle w:val="libFootnoteBoldChar"/>
          <w:rtl/>
        </w:rPr>
        <w:t>رجال النجاشي</w:t>
      </w:r>
      <w:r w:rsidR="00992664" w:rsidRPr="00020424">
        <w:rPr>
          <w:rtl/>
          <w:lang w:bidi="fa-IR"/>
        </w:rPr>
        <w:t xml:space="preserve"> ، ص 182 ، الرقم 483 ؛ </w:t>
      </w:r>
      <w:r w:rsidR="00992664" w:rsidRPr="00DE76B9">
        <w:rPr>
          <w:rStyle w:val="libFootnoteBoldChar"/>
          <w:rtl/>
        </w:rPr>
        <w:t>معجم رجال الحديث</w:t>
      </w:r>
      <w:r w:rsidR="00992664" w:rsidRPr="00020424">
        <w:rPr>
          <w:rtl/>
          <w:lang w:bidi="fa-IR"/>
        </w:rPr>
        <w:t xml:space="preserve"> ، ج 8 ، ص 236 ؛ و238 ؛ و285.</w:t>
      </w:r>
    </w:p>
    <w:tbl>
      <w:tblPr>
        <w:tblStyle w:val="TableGrid"/>
        <w:bidiVisual/>
        <w:tblW w:w="0" w:type="auto"/>
        <w:tblLook w:val="04A0" w:firstRow="1" w:lastRow="0" w:firstColumn="1" w:lastColumn="0" w:noHBand="0" w:noVBand="1"/>
      </w:tblPr>
      <w:tblGrid>
        <w:gridCol w:w="4006"/>
        <w:gridCol w:w="4006"/>
      </w:tblGrid>
      <w:tr w:rsidR="00440122" w:rsidTr="00440122">
        <w:tc>
          <w:tcPr>
            <w:tcW w:w="4006" w:type="dxa"/>
          </w:tcPr>
          <w:p w:rsidR="00440122" w:rsidRDefault="00440122" w:rsidP="00992664">
            <w:pPr>
              <w:pStyle w:val="libFootnote0"/>
              <w:rPr>
                <w:rtl/>
                <w:lang w:bidi="fa-IR"/>
              </w:rPr>
            </w:pPr>
            <w:r>
              <w:rPr>
                <w:rtl/>
              </w:rPr>
              <w:t xml:space="preserve">(1). </w:t>
            </w:r>
            <w:r w:rsidRPr="00020424">
              <w:rPr>
                <w:rtl/>
              </w:rPr>
              <w:t>في « بخ ، بر » : « يقرأ</w:t>
            </w:r>
            <w:r>
              <w:rPr>
                <w:rtl/>
              </w:rPr>
              <w:t xml:space="preserve"> ».</w:t>
            </w:r>
          </w:p>
        </w:tc>
        <w:tc>
          <w:tcPr>
            <w:tcW w:w="4006" w:type="dxa"/>
          </w:tcPr>
          <w:p w:rsidR="00440122" w:rsidRDefault="00440122" w:rsidP="00992664">
            <w:pPr>
              <w:pStyle w:val="libFootnote0"/>
              <w:rPr>
                <w:rtl/>
                <w:lang w:bidi="fa-IR"/>
              </w:rPr>
            </w:pPr>
            <w:r>
              <w:rPr>
                <w:rtl/>
              </w:rPr>
              <w:t xml:space="preserve">(2). </w:t>
            </w:r>
            <w:r w:rsidRPr="00020424">
              <w:rPr>
                <w:rtl/>
              </w:rPr>
              <w:t xml:space="preserve">في </w:t>
            </w:r>
            <w:r w:rsidRPr="00440122">
              <w:rPr>
                <w:rtl/>
              </w:rPr>
              <w:t>الفقيه والخصال</w:t>
            </w:r>
            <w:r w:rsidRPr="00020424">
              <w:rPr>
                <w:rtl/>
              </w:rPr>
              <w:t xml:space="preserve"> : + « الحمد مرّة </w:t>
            </w:r>
            <w:r>
              <w:rPr>
                <w:rtl/>
              </w:rPr>
              <w:t>و ».</w:t>
            </w:r>
          </w:p>
        </w:tc>
      </w:tr>
    </w:tbl>
    <w:p w:rsidR="00992664" w:rsidRPr="00020424" w:rsidRDefault="00795177" w:rsidP="00992664">
      <w:pPr>
        <w:pStyle w:val="libFootnote0"/>
        <w:rPr>
          <w:rtl/>
          <w:lang w:bidi="fa-IR"/>
        </w:rPr>
      </w:pPr>
      <w:r>
        <w:rPr>
          <w:rtl/>
        </w:rPr>
        <w:t>(3).</w:t>
      </w:r>
      <w:r w:rsidR="0014403D">
        <w:rPr>
          <w:rtl/>
        </w:rPr>
        <w:t xml:space="preserve"> </w:t>
      </w:r>
      <w:r w:rsidR="00992664" w:rsidRPr="00A722B1">
        <w:rPr>
          <w:rStyle w:val="libFootnoteBoldChar"/>
          <w:rtl/>
        </w:rPr>
        <w:t>الخصال</w:t>
      </w:r>
      <w:r w:rsidR="00992664" w:rsidRPr="00020424">
        <w:rPr>
          <w:rtl/>
        </w:rPr>
        <w:t xml:space="preserve"> ، ص 519 ، أبواب العشرين ، ح 6 ، بسنده عن الحسن بن سعيد ، عن سليمان الجعفري. </w:t>
      </w:r>
      <w:r w:rsidR="00992664" w:rsidRPr="0012008A">
        <w:rPr>
          <w:rStyle w:val="libFootnoteBoldChar"/>
          <w:rtl/>
        </w:rPr>
        <w:t>الفقيه</w:t>
      </w:r>
      <w:r w:rsidR="00992664" w:rsidRPr="00020424">
        <w:rPr>
          <w:rtl/>
        </w:rPr>
        <w:t xml:space="preserve"> ، ج 2 ، ص 156 ، ح 20019 ، معلّقاً عن سليمان الجعفري. وراجع : </w:t>
      </w:r>
      <w:r w:rsidR="00992664" w:rsidRPr="0012008A">
        <w:rPr>
          <w:rStyle w:val="libFootnoteBoldChar"/>
          <w:rtl/>
        </w:rPr>
        <w:t>التهذيب</w:t>
      </w:r>
      <w:r w:rsidR="00992664" w:rsidRPr="00020424">
        <w:rPr>
          <w:rtl/>
        </w:rPr>
        <w:t xml:space="preserve"> ، ج 3 ، ص 68 ، ح 221 </w:t>
      </w:r>
      <w:r w:rsidR="00440122">
        <w:rPr>
          <w:rFonts w:hint="cs"/>
          <w:rtl/>
        </w:rPr>
        <w:t>.</w:t>
      </w:r>
      <w:r w:rsidR="00992664" w:rsidRPr="0012008A">
        <w:rPr>
          <w:rStyle w:val="libFootnoteBoldChar"/>
          <w:rtl/>
        </w:rPr>
        <w:t>الوافي</w:t>
      </w:r>
      <w:r w:rsidR="00992664" w:rsidRPr="00020424">
        <w:rPr>
          <w:rtl/>
        </w:rPr>
        <w:t xml:space="preserve"> ، ج 11 ، ص 424 ، ح 11098 ؛ </w:t>
      </w:r>
      <w:r w:rsidR="00992664" w:rsidRPr="0012008A">
        <w:rPr>
          <w:rStyle w:val="libFootnoteBoldChar"/>
          <w:rtl/>
        </w:rPr>
        <w:t>الوسائل</w:t>
      </w:r>
      <w:r w:rsidR="00992664" w:rsidRPr="00020424">
        <w:rPr>
          <w:rtl/>
        </w:rPr>
        <w:t xml:space="preserve"> ، ج 8 ، ص 17 ، ح 10012.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بخ ، بر ، بف ، جر » : « فضيل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جميع النسخ التي قوبلت </w:t>
      </w:r>
      <w:r w:rsidR="00992664" w:rsidRPr="00720FB2">
        <w:rPr>
          <w:rtl/>
        </w:rPr>
        <w:t>والوافي والوسائل</w:t>
      </w:r>
      <w:r w:rsidR="00992664" w:rsidRPr="00020424">
        <w:rPr>
          <w:rtl/>
        </w:rPr>
        <w:t>. وفي المطبوع : « كانت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w:t>
      </w:r>
      <w:r w:rsidR="00992664" w:rsidRPr="00720FB2">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وليلة</w:t>
      </w:r>
      <w:r w:rsidR="00992664">
        <w:rPr>
          <w:rtl/>
        </w:rPr>
        <w:t xml:space="preserve"> ».</w:t>
      </w:r>
    </w:p>
    <w:p w:rsidR="00992664" w:rsidRPr="00020424" w:rsidRDefault="00795177" w:rsidP="00720FB2">
      <w:pPr>
        <w:pStyle w:val="libFootnote0"/>
        <w:rPr>
          <w:rtl/>
          <w:lang w:bidi="fa-IR"/>
        </w:rPr>
      </w:pPr>
      <w:r>
        <w:rPr>
          <w:rtl/>
        </w:rPr>
        <w:t>(7).</w:t>
      </w:r>
      <w:r w:rsidR="0014403D">
        <w:rPr>
          <w:rtl/>
        </w:rPr>
        <w:t xml:space="preserve"> </w:t>
      </w:r>
      <w:r w:rsidR="00992664" w:rsidRPr="00A722B1">
        <w:rPr>
          <w:rStyle w:val="libFootnoteBoldChar"/>
          <w:rtl/>
        </w:rPr>
        <w:t>الخصال</w:t>
      </w:r>
      <w:r w:rsidR="00992664" w:rsidRPr="00020424">
        <w:rPr>
          <w:rtl/>
        </w:rPr>
        <w:t xml:space="preserve"> ، ص 519 ، أبواب العشرين ، ح 5 ، بسنده عن حمّاد بن عثمان </w:t>
      </w:r>
      <w:r w:rsidR="00720FB2">
        <w:rPr>
          <w:rFonts w:hint="cs"/>
          <w:rtl/>
        </w:rPr>
        <w:t>.</w:t>
      </w:r>
      <w:r w:rsidR="00992664" w:rsidRPr="0012008A">
        <w:rPr>
          <w:rStyle w:val="libFootnoteBoldChar"/>
          <w:rtl/>
        </w:rPr>
        <w:t>الوافي</w:t>
      </w:r>
      <w:r w:rsidR="00992664" w:rsidRPr="00020424">
        <w:rPr>
          <w:rtl/>
        </w:rPr>
        <w:t xml:space="preserve"> ، ج 11 ، ص 425 ، ح 11100 ؛ </w:t>
      </w:r>
      <w:r w:rsidR="00992664" w:rsidRPr="0012008A">
        <w:rPr>
          <w:rStyle w:val="libFootnoteBoldChar"/>
          <w:rtl/>
        </w:rPr>
        <w:t>الوسائل</w:t>
      </w:r>
      <w:r w:rsidR="00992664" w:rsidRPr="00020424">
        <w:rPr>
          <w:rtl/>
        </w:rPr>
        <w:t xml:space="preserve"> ، ج 10 ، ص 356 ، ح 13593.</w:t>
      </w:r>
      <w:r w:rsidR="00720FB2">
        <w:rPr>
          <w:rFonts w:hint="cs"/>
          <w:rtl/>
        </w:rPr>
        <w:t xml:space="preserve">  </w:t>
      </w:r>
      <w:r>
        <w:rPr>
          <w:rtl/>
        </w:rPr>
        <w:t>(8).</w:t>
      </w:r>
      <w:r w:rsidR="0014403D">
        <w:rPr>
          <w:rtl/>
        </w:rPr>
        <w:t xml:space="preserve"> </w:t>
      </w:r>
      <w:r w:rsidR="00992664" w:rsidRPr="00020424">
        <w:rPr>
          <w:rtl/>
        </w:rPr>
        <w:t xml:space="preserve">في </w:t>
      </w:r>
      <w:r w:rsidR="00992664" w:rsidRPr="00720FB2">
        <w:rPr>
          <w:rtl/>
        </w:rPr>
        <w:t xml:space="preserve">الوافي والتهذيب والاستبصار </w:t>
      </w:r>
      <w:r w:rsidR="00992664" w:rsidRPr="00020424">
        <w:rPr>
          <w:rtl/>
        </w:rPr>
        <w:t>: « ما كان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720FB2">
        <w:rPr>
          <w:rtl/>
        </w:rPr>
        <w:t>الوافي والوسائل والتهذيب</w:t>
      </w:r>
      <w:r w:rsidR="00992664" w:rsidRPr="00020424">
        <w:rPr>
          <w:rtl/>
        </w:rPr>
        <w:t xml:space="preserve"> : + « سوى</w:t>
      </w:r>
      <w:r w:rsidR="00992664">
        <w:rPr>
          <w:rtl/>
        </w:rPr>
        <w:t xml:space="preserve"> ».</w:t>
      </w:r>
      <w:r w:rsidR="00992664" w:rsidRPr="00020424">
        <w:rPr>
          <w:rtl/>
        </w:rPr>
        <w:t xml:space="preserve"> وفي الاستبصار : « الليالي سوى</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0FB2" w:rsidTr="00720FB2">
        <w:tc>
          <w:tcPr>
            <w:tcW w:w="4006" w:type="dxa"/>
          </w:tcPr>
          <w:p w:rsidR="00720FB2" w:rsidRDefault="00720FB2" w:rsidP="00992664">
            <w:pPr>
              <w:pStyle w:val="libFootnote0"/>
              <w:rPr>
                <w:rtl/>
              </w:rPr>
            </w:pPr>
            <w:r>
              <w:rPr>
                <w:rtl/>
              </w:rPr>
              <w:t xml:space="preserve">(10). </w:t>
            </w:r>
            <w:r w:rsidRPr="00020424">
              <w:rPr>
                <w:rtl/>
              </w:rPr>
              <w:t xml:space="preserve">في </w:t>
            </w:r>
            <w:r w:rsidRPr="00720FB2">
              <w:rPr>
                <w:rtl/>
              </w:rPr>
              <w:t>الوسائل</w:t>
            </w:r>
            <w:r w:rsidRPr="00020424">
              <w:rPr>
                <w:rtl/>
              </w:rPr>
              <w:t xml:space="preserve"> : « ثلاث عشر</w:t>
            </w:r>
            <w:r>
              <w:rPr>
                <w:rtl/>
              </w:rPr>
              <w:t xml:space="preserve"> ».</w:t>
            </w:r>
          </w:p>
        </w:tc>
        <w:tc>
          <w:tcPr>
            <w:tcW w:w="4006" w:type="dxa"/>
          </w:tcPr>
          <w:p w:rsidR="00720FB2" w:rsidRDefault="00720FB2" w:rsidP="00992664">
            <w:pPr>
              <w:pStyle w:val="libFootnote0"/>
              <w:rPr>
                <w:rtl/>
              </w:rPr>
            </w:pPr>
            <w:r>
              <w:rPr>
                <w:rtl/>
              </w:rPr>
              <w:t xml:space="preserve">(11). </w:t>
            </w:r>
            <w:r w:rsidRPr="00020424">
              <w:rPr>
                <w:rtl/>
              </w:rPr>
              <w:t>في الاستبصار : « وركعتي</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720FB2">
      <w:pPr>
        <w:pStyle w:val="libNormal"/>
        <w:rPr>
          <w:rtl/>
          <w:lang w:bidi="fa-IR"/>
        </w:rPr>
      </w:pPr>
      <w:r w:rsidRPr="00020424">
        <w:rPr>
          <w:rtl/>
          <w:lang w:bidi="fa-IR"/>
        </w:rPr>
        <w:t xml:space="preserve">فَكَتَبَ </w:t>
      </w:r>
      <w:r w:rsidRPr="00005A81">
        <w:rPr>
          <w:rStyle w:val="libAlaemChar"/>
          <w:rtl/>
        </w:rPr>
        <w:t>عليه‌السلام</w:t>
      </w:r>
      <w:r w:rsidRPr="00020424">
        <w:rPr>
          <w:rtl/>
          <w:lang w:bidi="fa-IR"/>
        </w:rPr>
        <w:t xml:space="preserve"> : « فَضَّ </w:t>
      </w:r>
      <w:r w:rsidRPr="00A91B96">
        <w:rPr>
          <w:rStyle w:val="libFootnotenumChar"/>
          <w:rtl/>
        </w:rPr>
        <w:t>(1)</w:t>
      </w:r>
      <w:r w:rsidRPr="00020424">
        <w:rPr>
          <w:rtl/>
          <w:lang w:bidi="fa-IR"/>
        </w:rPr>
        <w:t xml:space="preserve"> اللهُ فَاهُ ، صَلّى </w:t>
      </w:r>
      <w:r w:rsidRPr="00A91B96">
        <w:rPr>
          <w:rStyle w:val="libFootnotenumChar"/>
          <w:rtl/>
        </w:rPr>
        <w:t>(2)</w:t>
      </w:r>
      <w:r w:rsidRPr="00020424">
        <w:rPr>
          <w:rtl/>
          <w:lang w:bidi="fa-IR"/>
        </w:rPr>
        <w:t xml:space="preserve"> مِنْ </w:t>
      </w:r>
      <w:r w:rsidRPr="00A91B96">
        <w:rPr>
          <w:rStyle w:val="libFootnotenumChar"/>
          <w:rtl/>
        </w:rPr>
        <w:t>(3)</w:t>
      </w:r>
      <w:r w:rsidRPr="00020424">
        <w:rPr>
          <w:rtl/>
          <w:lang w:bidi="fa-IR"/>
        </w:rPr>
        <w:t xml:space="preserve"> شَهْرِ رَمَضَانَ فِي عِشْرِينَ لَيْلَةً كُلَّ لَيْلَةٍ عِشْرِينَ رَكْعَةً :</w:t>
      </w:r>
      <w:r>
        <w:rPr>
          <w:rFonts w:hint="cs"/>
          <w:rtl/>
          <w:lang w:bidi="fa-IR"/>
        </w:rPr>
        <w:t xml:space="preserve"> </w:t>
      </w:r>
      <w:r w:rsidRPr="00020424">
        <w:rPr>
          <w:rtl/>
          <w:lang w:bidi="fa-IR"/>
        </w:rPr>
        <w:t xml:space="preserve">ثَمَانِيَ </w:t>
      </w:r>
      <w:r w:rsidRPr="00A91B96">
        <w:rPr>
          <w:rStyle w:val="libFootnotenumChar"/>
          <w:rtl/>
        </w:rPr>
        <w:t>(4)</w:t>
      </w:r>
      <w:r w:rsidRPr="00020424">
        <w:rPr>
          <w:rtl/>
          <w:lang w:bidi="fa-IR"/>
        </w:rPr>
        <w:t xml:space="preserve"> بَعْدَ الْمَغْرِبِ ، وَاثْنَتَيْ </w:t>
      </w:r>
      <w:r w:rsidRPr="00A91B96">
        <w:rPr>
          <w:rStyle w:val="libFootnotenumChar"/>
          <w:rtl/>
        </w:rPr>
        <w:t>(5)</w:t>
      </w:r>
      <w:r w:rsidRPr="00020424">
        <w:rPr>
          <w:rtl/>
          <w:lang w:bidi="fa-IR"/>
        </w:rPr>
        <w:t xml:space="preserve"> عَشْرَةَ بَعْدَ الْعِشَاءِ الْآخِرَةِ ، وَاغْتَسَلَ </w:t>
      </w:r>
      <w:r w:rsidRPr="00A91B96">
        <w:rPr>
          <w:rStyle w:val="libFootnotenumChar"/>
          <w:rtl/>
        </w:rPr>
        <w:t>(6)</w:t>
      </w:r>
      <w:r w:rsidRPr="00020424">
        <w:rPr>
          <w:rtl/>
          <w:lang w:bidi="fa-IR"/>
        </w:rPr>
        <w:t xml:space="preserve"> لَيْلَةَ تِسْعَ </w:t>
      </w:r>
      <w:r w:rsidRPr="00A91B96">
        <w:rPr>
          <w:rStyle w:val="libFootnotenumChar"/>
          <w:rtl/>
        </w:rPr>
        <w:t>(7)</w:t>
      </w:r>
      <w:r w:rsidRPr="00020424">
        <w:rPr>
          <w:rtl/>
          <w:lang w:bidi="fa-IR"/>
        </w:rPr>
        <w:t xml:space="preserve"> عَشْرَةَ </w:t>
      </w:r>
      <w:r w:rsidRPr="00A91B96">
        <w:rPr>
          <w:rStyle w:val="libFootnotenumChar"/>
          <w:rtl/>
        </w:rPr>
        <w:t>(8)</w:t>
      </w:r>
      <w:r w:rsidRPr="00020424">
        <w:rPr>
          <w:rtl/>
          <w:lang w:bidi="fa-IR"/>
        </w:rPr>
        <w:t xml:space="preserve"> ، وَلَيْلَةَ إِحْدى وَعِشْرِينَ ، وَلَيْلَةَ ثَلَاثٍ وَعِشْرِينَ ، وَصَلّى </w:t>
      </w:r>
      <w:r w:rsidRPr="00A91B96">
        <w:rPr>
          <w:rStyle w:val="libFootnotenumChar"/>
          <w:rtl/>
        </w:rPr>
        <w:t>(9)</w:t>
      </w:r>
      <w:r w:rsidRPr="00020424">
        <w:rPr>
          <w:rtl/>
          <w:lang w:bidi="fa-IR"/>
        </w:rPr>
        <w:t xml:space="preserve"> فِيهِمَا ثَلَاثِينَ رَكْعَةً : اثْنَتَيْ </w:t>
      </w:r>
      <w:r w:rsidRPr="00A91B96">
        <w:rPr>
          <w:rStyle w:val="libFootnotenumChar"/>
          <w:rtl/>
        </w:rPr>
        <w:t>(10)</w:t>
      </w:r>
      <w:r w:rsidRPr="00020424">
        <w:rPr>
          <w:rtl/>
          <w:lang w:bidi="fa-IR"/>
        </w:rPr>
        <w:t xml:space="preserve"> عَشْرَةَ </w:t>
      </w:r>
      <w:r w:rsidRPr="00A91B96">
        <w:rPr>
          <w:rStyle w:val="libFootnotenumChar"/>
          <w:rtl/>
        </w:rPr>
        <w:t>(11)</w:t>
      </w:r>
      <w:r w:rsidRPr="00020424">
        <w:rPr>
          <w:rtl/>
          <w:lang w:bidi="fa-IR"/>
        </w:rPr>
        <w:t xml:space="preserve"> بَعْدَ الْمَغْرِبِ ، وَثَمَانِيَةَ </w:t>
      </w:r>
      <w:r w:rsidRPr="00A91B96">
        <w:rPr>
          <w:rStyle w:val="libFootnotenumChar"/>
          <w:rtl/>
        </w:rPr>
        <w:t>(12)</w:t>
      </w:r>
      <w:r w:rsidRPr="00020424">
        <w:rPr>
          <w:rtl/>
          <w:lang w:bidi="fa-IR"/>
        </w:rPr>
        <w:t xml:space="preserve"> عَشْرَةَ </w:t>
      </w:r>
      <w:r w:rsidRPr="00A91B96">
        <w:rPr>
          <w:rStyle w:val="libFootnotenumChar"/>
          <w:rtl/>
        </w:rPr>
        <w:t>(13)</w:t>
      </w:r>
      <w:r w:rsidRPr="00020424">
        <w:rPr>
          <w:rtl/>
          <w:lang w:bidi="fa-IR"/>
        </w:rPr>
        <w:t xml:space="preserve"> بَعْدَ العِشَاءِ </w:t>
      </w:r>
      <w:r w:rsidRPr="00A91B96">
        <w:rPr>
          <w:rStyle w:val="libFootnotenumChar"/>
          <w:rtl/>
        </w:rPr>
        <w:t>(14)</w:t>
      </w:r>
      <w:r w:rsidRPr="00020424">
        <w:rPr>
          <w:rtl/>
          <w:lang w:bidi="fa-IR"/>
        </w:rPr>
        <w:t xml:space="preserve"> الْآخِرَةِ ، وَصَلّى </w:t>
      </w:r>
      <w:r w:rsidRPr="00A91B96">
        <w:rPr>
          <w:rStyle w:val="libFootnotenumChar"/>
          <w:rtl/>
        </w:rPr>
        <w:t>(15)</w:t>
      </w:r>
      <w:r w:rsidRPr="00020424">
        <w:rPr>
          <w:rtl/>
          <w:lang w:bidi="fa-IR"/>
        </w:rPr>
        <w:t xml:space="preserve"> فِيهِمَا </w:t>
      </w:r>
      <w:r w:rsidRPr="00A91B96">
        <w:rPr>
          <w:rStyle w:val="libFootnotenumChar"/>
          <w:rtl/>
        </w:rPr>
        <w:t>(16)</w:t>
      </w:r>
      <w:r w:rsidRPr="00020424">
        <w:rPr>
          <w:rtl/>
          <w:lang w:bidi="fa-IR"/>
        </w:rPr>
        <w:t xml:space="preserve"> مِائَةَ رَكْعَةٍ ، يَقْرَأُ </w:t>
      </w:r>
      <w:r w:rsidRPr="00A91B96">
        <w:rPr>
          <w:rStyle w:val="libFootnotenumChar"/>
          <w:rtl/>
        </w:rPr>
        <w:t>(17)</w:t>
      </w:r>
      <w:r w:rsidRPr="00020424">
        <w:rPr>
          <w:rtl/>
          <w:lang w:bidi="fa-IR"/>
        </w:rPr>
        <w:t xml:space="preserve"> فِي كُلِّ رَكْعَةٍ فَاتِحَةَ </w:t>
      </w:r>
      <w:r w:rsidRPr="00A91B96">
        <w:rPr>
          <w:rStyle w:val="libFootnotenumChar"/>
          <w:rtl/>
        </w:rPr>
        <w:t>(18)</w:t>
      </w:r>
      <w:r w:rsidRPr="00020424">
        <w:rPr>
          <w:rtl/>
          <w:lang w:bidi="fa-IR"/>
        </w:rPr>
        <w:t xml:space="preserve"> الْكِتَابِ </w:t>
      </w:r>
      <w:r w:rsidRPr="00A91B96">
        <w:rPr>
          <w:rStyle w:val="libFootnotenumChar"/>
          <w:rtl/>
        </w:rPr>
        <w:t>(19)</w:t>
      </w:r>
      <w:r w:rsidRPr="00020424">
        <w:rPr>
          <w:rtl/>
          <w:lang w:bidi="fa-IR"/>
        </w:rPr>
        <w:t xml:space="preserve"> </w:t>
      </w:r>
      <w:r>
        <w:rPr>
          <w:rtl/>
          <w:lang w:bidi="fa-IR"/>
        </w:rPr>
        <w:t xml:space="preserve">و </w:t>
      </w:r>
      <w:r w:rsidR="00720FB2" w:rsidRPr="00720FB2">
        <w:rPr>
          <w:rStyle w:val="libAlaemChar"/>
          <w:rFonts w:hint="cs"/>
          <w:rtl/>
        </w:rPr>
        <w:t>(</w:t>
      </w:r>
      <w:r w:rsidRPr="00720FB2">
        <w:rPr>
          <w:rStyle w:val="libAieChar"/>
          <w:rtl/>
        </w:rPr>
        <w:t xml:space="preserve"> ق</w:t>
      </w:r>
      <w:r w:rsidR="00720FB2">
        <w:rPr>
          <w:rStyle w:val="libAieChar"/>
          <w:rFonts w:hint="cs"/>
          <w:rtl/>
        </w:rPr>
        <w:t>ُ</w:t>
      </w:r>
      <w:r w:rsidRPr="00720FB2">
        <w:rPr>
          <w:rStyle w:val="libAieChar"/>
          <w:rtl/>
        </w:rPr>
        <w:t>ل</w:t>
      </w:r>
      <w:r w:rsidR="00720FB2">
        <w:rPr>
          <w:rStyle w:val="libAieChar"/>
          <w:rFonts w:hint="cs"/>
          <w:rtl/>
        </w:rPr>
        <w:t>ْ</w:t>
      </w:r>
      <w:r w:rsidRPr="00720FB2">
        <w:rPr>
          <w:rStyle w:val="libAieChar"/>
          <w:rtl/>
        </w:rPr>
        <w:t xml:space="preserve"> ه</w:t>
      </w:r>
      <w:r w:rsidR="00720FB2">
        <w:rPr>
          <w:rStyle w:val="libAieChar"/>
          <w:rFonts w:hint="cs"/>
          <w:rtl/>
        </w:rPr>
        <w:t>ُ</w:t>
      </w:r>
      <w:r w:rsidRPr="00720FB2">
        <w:rPr>
          <w:rStyle w:val="libAieChar"/>
          <w:rtl/>
        </w:rPr>
        <w:t>و</w:t>
      </w:r>
      <w:r w:rsidR="00720FB2">
        <w:rPr>
          <w:rStyle w:val="libAieChar"/>
          <w:rFonts w:hint="cs"/>
          <w:rtl/>
        </w:rPr>
        <w:t>َ</w:t>
      </w:r>
      <w:r w:rsidRPr="00720FB2">
        <w:rPr>
          <w:rStyle w:val="libAieChar"/>
          <w:rtl/>
        </w:rPr>
        <w:t xml:space="preserve"> الله</w:t>
      </w:r>
      <w:r w:rsidR="00720FB2">
        <w:rPr>
          <w:rStyle w:val="libAieChar"/>
          <w:rFonts w:hint="cs"/>
          <w:rtl/>
        </w:rPr>
        <w:t>ُ</w:t>
      </w:r>
      <w:r w:rsidRPr="00720FB2">
        <w:rPr>
          <w:rStyle w:val="libAieChar"/>
          <w:rtl/>
        </w:rPr>
        <w:t xml:space="preserve"> أ</w:t>
      </w:r>
      <w:r w:rsidR="00720FB2">
        <w:rPr>
          <w:rStyle w:val="libAieChar"/>
          <w:rFonts w:hint="cs"/>
          <w:rtl/>
        </w:rPr>
        <w:t>َ</w:t>
      </w:r>
      <w:r w:rsidRPr="00720FB2">
        <w:rPr>
          <w:rStyle w:val="libAieChar"/>
          <w:rtl/>
        </w:rPr>
        <w:t>ح</w:t>
      </w:r>
      <w:r w:rsidR="00720FB2">
        <w:rPr>
          <w:rStyle w:val="libAieChar"/>
          <w:rFonts w:hint="cs"/>
          <w:rtl/>
        </w:rPr>
        <w:t>َ</w:t>
      </w:r>
      <w:r w:rsidRPr="00720FB2">
        <w:rPr>
          <w:rStyle w:val="libAieChar"/>
          <w:rtl/>
        </w:rPr>
        <w:t>د</w:t>
      </w:r>
      <w:r w:rsidR="00720FB2">
        <w:rPr>
          <w:rStyle w:val="libAieChar"/>
          <w:rFonts w:hint="cs"/>
          <w:rtl/>
        </w:rPr>
        <w:t>ٌ</w:t>
      </w:r>
      <w:r w:rsidRPr="00720FB2">
        <w:rPr>
          <w:rStyle w:val="libAieChar"/>
          <w:rtl/>
        </w:rPr>
        <w:t xml:space="preserve"> </w:t>
      </w:r>
      <w:r w:rsidR="00720FB2" w:rsidRPr="00720FB2">
        <w:rPr>
          <w:rStyle w:val="libAlaemChar"/>
          <w:rFonts w:hint="cs"/>
          <w:rtl/>
        </w:rPr>
        <w:t>)</w:t>
      </w:r>
      <w:r w:rsidRPr="00020424">
        <w:rPr>
          <w:rtl/>
          <w:lang w:bidi="fa-IR"/>
        </w:rPr>
        <w:t xml:space="preserve"> عَشْرَ مَرَّاتٍ </w:t>
      </w:r>
      <w:r w:rsidRPr="00A91B96">
        <w:rPr>
          <w:rStyle w:val="libFootnotenumChar"/>
          <w:rtl/>
        </w:rPr>
        <w:t>(20)</w:t>
      </w:r>
      <w:r w:rsidRPr="00020424">
        <w:rPr>
          <w:rtl/>
          <w:lang w:bidi="fa-IR"/>
        </w:rPr>
        <w:t xml:space="preserve"> ، وَصَلّى </w:t>
      </w:r>
      <w:r w:rsidRPr="00A91B96">
        <w:rPr>
          <w:rStyle w:val="libFootnotenumChar"/>
          <w:rtl/>
        </w:rPr>
        <w:t>(21)</w:t>
      </w:r>
      <w:r w:rsidRPr="00020424">
        <w:rPr>
          <w:rtl/>
          <w:lang w:bidi="fa-IR"/>
        </w:rPr>
        <w:t xml:space="preserve"> إِلى آخِرِ الشَّهْرِ كُلَّ لَيْلَةٍ ثَلَاثِينَ رَكْعَةً كَمَا </w:t>
      </w:r>
      <w:r w:rsidRPr="00A91B96">
        <w:rPr>
          <w:rStyle w:val="libFootnotenumChar"/>
          <w:rtl/>
        </w:rPr>
        <w:t>(22)</w:t>
      </w:r>
      <w:r w:rsidRPr="00020424">
        <w:rPr>
          <w:rtl/>
          <w:lang w:bidi="fa-IR"/>
        </w:rPr>
        <w:t xml:space="preserve"> فَسَّرْتُ لَكَ </w:t>
      </w:r>
      <w:r w:rsidRPr="00A91B96">
        <w:rPr>
          <w:rStyle w:val="libFootnotenumChar"/>
          <w:rtl/>
        </w:rPr>
        <w:t>(23)</w:t>
      </w:r>
      <w:r>
        <w:rPr>
          <w:rtl/>
          <w:lang w:bidi="fa-IR"/>
        </w:rPr>
        <w:t xml:space="preserve"> ».</w:t>
      </w:r>
      <w:r w:rsidRPr="00020424">
        <w:rPr>
          <w:rtl/>
          <w:lang w:bidi="fa-IR"/>
        </w:rPr>
        <w:t xml:space="preserve"> </w:t>
      </w:r>
      <w:r w:rsidRPr="00A91B96">
        <w:rPr>
          <w:rStyle w:val="libFootnotenumChar"/>
          <w:rtl/>
        </w:rPr>
        <w:t>(24)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الفَضّ : الكسر بالتفرقة. </w:t>
      </w:r>
      <w:r w:rsidR="00992664" w:rsidRPr="00A722B1">
        <w:rPr>
          <w:rStyle w:val="libFootnoteBoldChar"/>
          <w:rtl/>
        </w:rPr>
        <w:t>لسان العرب</w:t>
      </w:r>
      <w:r w:rsidR="00992664" w:rsidRPr="00020424">
        <w:rPr>
          <w:rtl/>
        </w:rPr>
        <w:t xml:space="preserve"> ، ج 7 ، ص 207 ( فضض )</w:t>
      </w:r>
      <w:r w:rsidR="00992664">
        <w:rPr>
          <w:rtl/>
        </w:rPr>
        <w:t>.</w:t>
      </w:r>
    </w:p>
    <w:tbl>
      <w:tblPr>
        <w:tblStyle w:val="TableGrid"/>
        <w:bidiVisual/>
        <w:tblW w:w="0" w:type="auto"/>
        <w:tblLook w:val="04A0" w:firstRow="1" w:lastRow="0" w:firstColumn="1" w:lastColumn="0" w:noHBand="0" w:noVBand="1"/>
      </w:tblPr>
      <w:tblGrid>
        <w:gridCol w:w="4006"/>
        <w:gridCol w:w="4006"/>
      </w:tblGrid>
      <w:tr w:rsidR="00720FB2" w:rsidTr="00720FB2">
        <w:tc>
          <w:tcPr>
            <w:tcW w:w="4006" w:type="dxa"/>
          </w:tcPr>
          <w:p w:rsidR="00720FB2" w:rsidRDefault="00720FB2" w:rsidP="00992664">
            <w:pPr>
              <w:pStyle w:val="libFootnote0"/>
              <w:rPr>
                <w:rtl/>
              </w:rPr>
            </w:pPr>
            <w:r>
              <w:rPr>
                <w:rtl/>
              </w:rPr>
              <w:t xml:space="preserve">(2). </w:t>
            </w:r>
            <w:r w:rsidRPr="00020424">
              <w:rPr>
                <w:rtl/>
              </w:rPr>
              <w:t xml:space="preserve">في « بث ، بخ » </w:t>
            </w:r>
            <w:r w:rsidRPr="00720FB2">
              <w:rPr>
                <w:rtl/>
              </w:rPr>
              <w:t>والوافي والاستبصار</w:t>
            </w:r>
            <w:r w:rsidRPr="00020424">
              <w:rPr>
                <w:rtl/>
              </w:rPr>
              <w:t xml:space="preserve"> : « صلّ</w:t>
            </w:r>
            <w:r>
              <w:rPr>
                <w:rtl/>
              </w:rPr>
              <w:t xml:space="preserve"> ».</w:t>
            </w:r>
          </w:p>
        </w:tc>
        <w:tc>
          <w:tcPr>
            <w:tcW w:w="4006" w:type="dxa"/>
          </w:tcPr>
          <w:p w:rsidR="00720FB2" w:rsidRDefault="00720FB2" w:rsidP="00992664">
            <w:pPr>
              <w:pStyle w:val="libFootnote0"/>
              <w:rPr>
                <w:rtl/>
              </w:rPr>
            </w:pPr>
            <w:r>
              <w:rPr>
                <w:rtl/>
              </w:rPr>
              <w:t xml:space="preserve">(3). </w:t>
            </w:r>
            <w:r w:rsidRPr="00020424">
              <w:rPr>
                <w:rtl/>
              </w:rPr>
              <w:t xml:space="preserve">في « بخ ، بس » </w:t>
            </w:r>
            <w:r w:rsidRPr="00720FB2">
              <w:rPr>
                <w:rtl/>
              </w:rPr>
              <w:t>والوافي والاستبصار</w:t>
            </w:r>
            <w:r w:rsidRPr="00020424">
              <w:rPr>
                <w:rtl/>
              </w:rPr>
              <w:t xml:space="preserve"> : « في</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ى ، بر ، بف » </w:t>
      </w:r>
      <w:r w:rsidR="00992664" w:rsidRPr="00720FB2">
        <w:rPr>
          <w:rtl/>
        </w:rPr>
        <w:t>والوافي والتهذيب</w:t>
      </w:r>
      <w:r w:rsidR="00992664" w:rsidRPr="00020424">
        <w:rPr>
          <w:rtl/>
        </w:rPr>
        <w:t xml:space="preserve"> : « ثمان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0FB2" w:rsidTr="00720FB2">
        <w:tc>
          <w:tcPr>
            <w:tcW w:w="4006" w:type="dxa"/>
          </w:tcPr>
          <w:p w:rsidR="00720FB2" w:rsidRDefault="00720FB2" w:rsidP="00992664">
            <w:pPr>
              <w:pStyle w:val="libFootnote0"/>
              <w:rPr>
                <w:rtl/>
              </w:rPr>
            </w:pPr>
            <w:r>
              <w:rPr>
                <w:rtl/>
              </w:rPr>
              <w:t xml:space="preserve">(5). </w:t>
            </w:r>
            <w:r w:rsidRPr="00020424">
              <w:rPr>
                <w:rtl/>
              </w:rPr>
              <w:t>في « بث ، جن » : « واثنتا</w:t>
            </w:r>
            <w:r>
              <w:rPr>
                <w:rtl/>
              </w:rPr>
              <w:t xml:space="preserve"> ».</w:t>
            </w:r>
          </w:p>
        </w:tc>
        <w:tc>
          <w:tcPr>
            <w:tcW w:w="4006" w:type="dxa"/>
          </w:tcPr>
          <w:p w:rsidR="00720FB2" w:rsidRDefault="00720FB2" w:rsidP="00992664">
            <w:pPr>
              <w:pStyle w:val="libFootnote0"/>
              <w:rPr>
                <w:rtl/>
              </w:rPr>
            </w:pPr>
            <w:r>
              <w:rPr>
                <w:rtl/>
              </w:rPr>
              <w:t xml:space="preserve">(6). </w:t>
            </w:r>
            <w:r w:rsidRPr="00020424">
              <w:rPr>
                <w:rtl/>
              </w:rPr>
              <w:t xml:space="preserve">في الاستبصار : + « ليلة سبع عشرة </w:t>
            </w:r>
            <w:r>
              <w:rPr>
                <w:rtl/>
              </w:rPr>
              <w:t>و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بث ، بح » : « تسعة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جن » : « عشر</w:t>
      </w:r>
      <w:r w:rsidR="00992664">
        <w:rPr>
          <w:rtl/>
        </w:rPr>
        <w:t xml:space="preserve"> ».</w:t>
      </w:r>
      <w:r w:rsidR="00992664" w:rsidRPr="00020424">
        <w:rPr>
          <w:rtl/>
        </w:rPr>
        <w:t xml:space="preserve"> وفي </w:t>
      </w:r>
      <w:r w:rsidR="00992664" w:rsidRPr="00720FB2">
        <w:rPr>
          <w:rtl/>
        </w:rPr>
        <w:t>الوافي</w:t>
      </w:r>
      <w:r w:rsidR="00992664" w:rsidRPr="00020424">
        <w:rPr>
          <w:rtl/>
        </w:rPr>
        <w:t xml:space="preserve"> : + « بعد المغرب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0FB2" w:rsidTr="00720FB2">
        <w:tc>
          <w:tcPr>
            <w:tcW w:w="4006" w:type="dxa"/>
          </w:tcPr>
          <w:p w:rsidR="00720FB2" w:rsidRDefault="00720FB2" w:rsidP="00992664">
            <w:pPr>
              <w:pStyle w:val="libFootnote0"/>
              <w:rPr>
                <w:rtl/>
              </w:rPr>
            </w:pPr>
            <w:r>
              <w:rPr>
                <w:rtl/>
              </w:rPr>
              <w:t xml:space="preserve">(9). </w:t>
            </w:r>
            <w:r w:rsidRPr="00020424">
              <w:rPr>
                <w:rtl/>
              </w:rPr>
              <w:t xml:space="preserve">في </w:t>
            </w:r>
            <w:r w:rsidRPr="00720FB2">
              <w:rPr>
                <w:rtl/>
              </w:rPr>
              <w:t>الوافي والتهذيب والاستبصار</w:t>
            </w:r>
            <w:r w:rsidRPr="00020424">
              <w:rPr>
                <w:rtl/>
              </w:rPr>
              <w:t xml:space="preserve"> : « وصلّ</w:t>
            </w:r>
            <w:r>
              <w:rPr>
                <w:rtl/>
              </w:rPr>
              <w:t xml:space="preserve"> ».</w:t>
            </w:r>
          </w:p>
        </w:tc>
        <w:tc>
          <w:tcPr>
            <w:tcW w:w="4006" w:type="dxa"/>
          </w:tcPr>
          <w:p w:rsidR="00720FB2" w:rsidRDefault="00720FB2" w:rsidP="00992664">
            <w:pPr>
              <w:pStyle w:val="libFootnote0"/>
              <w:rPr>
                <w:rtl/>
              </w:rPr>
            </w:pPr>
            <w:r>
              <w:rPr>
                <w:rtl/>
              </w:rPr>
              <w:t xml:space="preserve">(10). </w:t>
            </w:r>
            <w:r w:rsidRPr="00020424">
              <w:rPr>
                <w:rtl/>
              </w:rPr>
              <w:t>في « بث ، بح ، بر ، بف ، جن » : « اثنتا</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720FB2">
        <w:rPr>
          <w:rtl/>
        </w:rPr>
        <w:t>الوسائل والتهذيب</w:t>
      </w:r>
      <w:r w:rsidR="00992664" w:rsidRPr="00020424">
        <w:rPr>
          <w:rtl/>
        </w:rPr>
        <w:t xml:space="preserve"> : + « ركعة</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هكذا في جميع النسخ التي قوبلت. وفي المطبوع </w:t>
      </w:r>
      <w:r w:rsidR="00992664" w:rsidRPr="00720FB2">
        <w:rPr>
          <w:rtl/>
        </w:rPr>
        <w:t>والوافي</w:t>
      </w:r>
      <w:r w:rsidR="00992664" w:rsidRPr="00020424">
        <w:rPr>
          <w:rtl/>
        </w:rPr>
        <w:t xml:space="preserve"> : « وثماني</w:t>
      </w:r>
      <w:r w:rsidR="00992664">
        <w:rPr>
          <w:rtl/>
        </w:rPr>
        <w:t xml:space="preserve"> ».</w:t>
      </w:r>
      <w:r w:rsidR="00992664" w:rsidRPr="00020424">
        <w:rPr>
          <w:rtl/>
        </w:rPr>
        <w:t xml:space="preserve"> وفي </w:t>
      </w:r>
      <w:r w:rsidR="00992664" w:rsidRPr="00720FB2">
        <w:rPr>
          <w:rtl/>
        </w:rPr>
        <w:t>التهذيب</w:t>
      </w:r>
      <w:r w:rsidR="00992664" w:rsidRPr="00020424">
        <w:rPr>
          <w:rtl/>
        </w:rPr>
        <w:t xml:space="preserve"> : « وثمان</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بح ، بس ، بف » : « عشر</w:t>
      </w:r>
      <w:r w:rsidR="00992664">
        <w:rPr>
          <w:rtl/>
        </w:rPr>
        <w:t xml:space="preserve"> ».</w:t>
      </w:r>
      <w:r w:rsidR="00992664" w:rsidRPr="00020424">
        <w:rPr>
          <w:rtl/>
        </w:rPr>
        <w:t xml:space="preserve"> وفي </w:t>
      </w:r>
      <w:r w:rsidR="00992664" w:rsidRPr="00720FB2">
        <w:rPr>
          <w:rtl/>
        </w:rPr>
        <w:t>التهذيب والاستبصار</w:t>
      </w:r>
      <w:r w:rsidR="00992664" w:rsidRPr="00020424">
        <w:rPr>
          <w:rtl/>
        </w:rPr>
        <w:t xml:space="preserve"> : + « ركعة</w:t>
      </w:r>
      <w:r w:rsidR="00992664">
        <w:rPr>
          <w:rtl/>
        </w:rPr>
        <w:t xml:space="preserve"> ».</w:t>
      </w:r>
    </w:p>
    <w:p w:rsidR="00992664" w:rsidRPr="00020424" w:rsidRDefault="00795177" w:rsidP="00720FB2">
      <w:pPr>
        <w:pStyle w:val="libFootnote0"/>
        <w:rPr>
          <w:rtl/>
          <w:lang w:bidi="fa-IR"/>
        </w:rPr>
      </w:pPr>
      <w:r>
        <w:rPr>
          <w:rtl/>
        </w:rPr>
        <w:t>(14).</w:t>
      </w:r>
      <w:r w:rsidR="0014403D">
        <w:rPr>
          <w:rtl/>
        </w:rPr>
        <w:t xml:space="preserve"> </w:t>
      </w:r>
      <w:r w:rsidR="00992664" w:rsidRPr="00020424">
        <w:rPr>
          <w:rtl/>
        </w:rPr>
        <w:t xml:space="preserve">هكذا في « ظ ، بح ، بر ، بس » </w:t>
      </w:r>
      <w:r w:rsidR="00992664" w:rsidRPr="00720FB2">
        <w:rPr>
          <w:rtl/>
        </w:rPr>
        <w:t>والوافي والوسائل والتهذيب</w:t>
      </w:r>
      <w:r w:rsidR="00992664" w:rsidRPr="00020424">
        <w:rPr>
          <w:rtl/>
        </w:rPr>
        <w:t xml:space="preserve"> </w:t>
      </w:r>
      <w:r w:rsidR="00992664" w:rsidRPr="00720FB2">
        <w:rPr>
          <w:rtl/>
        </w:rPr>
        <w:t>والاستبصار</w:t>
      </w:r>
      <w:r w:rsidR="00992664" w:rsidRPr="00020424">
        <w:rPr>
          <w:rtl/>
        </w:rPr>
        <w:t xml:space="preserve"> ويقتضيه التوصيف. وفي بعض النسخ والمطبوع : « عشاء</w:t>
      </w:r>
      <w:r w:rsidR="00992664">
        <w:rPr>
          <w:rtl/>
        </w:rPr>
        <w:t xml:space="preserve"> ».</w:t>
      </w:r>
      <w:r w:rsidR="00720FB2">
        <w:rPr>
          <w:rFonts w:hint="cs"/>
          <w:rtl/>
        </w:rPr>
        <w:t xml:space="preserve">            </w:t>
      </w:r>
      <w:r w:rsidR="00523A60">
        <w:rPr>
          <w:rFonts w:hint="cs"/>
          <w:rtl/>
        </w:rPr>
        <w:t xml:space="preserve">         </w:t>
      </w:r>
      <w:r w:rsidR="00720FB2">
        <w:rPr>
          <w:rFonts w:hint="cs"/>
          <w:rtl/>
        </w:rPr>
        <w:t xml:space="preserve">   </w:t>
      </w:r>
      <w:r>
        <w:rPr>
          <w:rtl/>
        </w:rPr>
        <w:t>(15).</w:t>
      </w:r>
      <w:r w:rsidR="0014403D">
        <w:rPr>
          <w:rtl/>
        </w:rPr>
        <w:t xml:space="preserve"> </w:t>
      </w:r>
      <w:r w:rsidR="00992664" w:rsidRPr="00020424">
        <w:rPr>
          <w:rtl/>
        </w:rPr>
        <w:t xml:space="preserve">في « بث ، بخ ، بس » </w:t>
      </w:r>
      <w:r w:rsidR="00992664" w:rsidRPr="00720FB2">
        <w:rPr>
          <w:rtl/>
        </w:rPr>
        <w:t>والوافي والاستبصار</w:t>
      </w:r>
      <w:r w:rsidR="00992664" w:rsidRPr="00020424">
        <w:rPr>
          <w:rtl/>
        </w:rPr>
        <w:t xml:space="preserve"> : « وصلّ</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فيهما</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ظ » : « فقرأ</w:t>
      </w:r>
      <w:r w:rsidR="00992664">
        <w:rPr>
          <w:rtl/>
        </w:rPr>
        <w:t xml:space="preserve"> ».</w:t>
      </w:r>
      <w:r w:rsidR="00992664" w:rsidRPr="00020424">
        <w:rPr>
          <w:rtl/>
        </w:rPr>
        <w:t xml:space="preserve"> وفي « بث ، بح ، بس ، جن » </w:t>
      </w:r>
      <w:r w:rsidR="00992664" w:rsidRPr="00720FB2">
        <w:rPr>
          <w:rtl/>
        </w:rPr>
        <w:t>والوافي والتهذيب</w:t>
      </w:r>
      <w:r w:rsidR="00992664" w:rsidRPr="00020424">
        <w:rPr>
          <w:rtl/>
        </w:rPr>
        <w:t xml:space="preserve"> : « تقرأ</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20FB2" w:rsidTr="00720FB2">
        <w:tc>
          <w:tcPr>
            <w:tcW w:w="4006" w:type="dxa"/>
          </w:tcPr>
          <w:p w:rsidR="00720FB2" w:rsidRDefault="00720FB2" w:rsidP="00992664">
            <w:pPr>
              <w:pStyle w:val="libFootnote0"/>
              <w:rPr>
                <w:rtl/>
              </w:rPr>
            </w:pPr>
            <w:r>
              <w:rPr>
                <w:rtl/>
              </w:rPr>
              <w:t xml:space="preserve">(18). </w:t>
            </w:r>
            <w:r w:rsidRPr="00020424">
              <w:rPr>
                <w:rtl/>
              </w:rPr>
              <w:t>في « ظ » : « بفاتحة</w:t>
            </w:r>
            <w:r>
              <w:rPr>
                <w:rtl/>
              </w:rPr>
              <w:t xml:space="preserve"> ».</w:t>
            </w:r>
          </w:p>
        </w:tc>
        <w:tc>
          <w:tcPr>
            <w:tcW w:w="4006" w:type="dxa"/>
          </w:tcPr>
          <w:p w:rsidR="00720FB2" w:rsidRDefault="00720FB2" w:rsidP="00992664">
            <w:pPr>
              <w:pStyle w:val="libFootnote0"/>
              <w:rPr>
                <w:rtl/>
              </w:rPr>
            </w:pPr>
            <w:r>
              <w:rPr>
                <w:rtl/>
              </w:rPr>
              <w:t xml:space="preserve">(19). </w:t>
            </w:r>
            <w:r w:rsidRPr="00020424">
              <w:rPr>
                <w:rtl/>
              </w:rPr>
              <w:t>في الاستبصار : + « مرّة</w:t>
            </w:r>
            <w:r>
              <w:rPr>
                <w:rtl/>
              </w:rPr>
              <w:t xml:space="preserve"> ».</w:t>
            </w:r>
          </w:p>
        </w:tc>
      </w:tr>
    </w:tbl>
    <w:p w:rsidR="00992664" w:rsidRPr="00020424" w:rsidRDefault="00992664" w:rsidP="00992664">
      <w:pPr>
        <w:pStyle w:val="libFootnote0"/>
        <w:rPr>
          <w:rtl/>
          <w:lang w:bidi="fa-IR"/>
        </w:rPr>
      </w:pPr>
      <w:r w:rsidRPr="00020424">
        <w:rPr>
          <w:rtl/>
        </w:rPr>
        <w:t>(</w:t>
      </w:r>
      <w:r>
        <w:rPr>
          <w:rtl/>
        </w:rPr>
        <w:t>20)</w:t>
      </w:r>
      <w:r w:rsidRPr="00020424">
        <w:rPr>
          <w:rtl/>
        </w:rPr>
        <w:t xml:space="preserve"> في « بخ ، بر ، بف » </w:t>
      </w:r>
      <w:r w:rsidRPr="000646F4">
        <w:rPr>
          <w:rtl/>
        </w:rPr>
        <w:t>والوافي</w:t>
      </w:r>
      <w:r w:rsidRPr="00020424">
        <w:rPr>
          <w:rtl/>
        </w:rPr>
        <w:t xml:space="preserve"> : « عشر مرّات </w:t>
      </w:r>
      <w:r w:rsidRPr="00523A60">
        <w:rPr>
          <w:rStyle w:val="libFootnoteAlaemChar"/>
          <w:rtl/>
        </w:rPr>
        <w:t>(</w:t>
      </w:r>
      <w:r w:rsidRPr="006B2AC6">
        <w:rPr>
          <w:rStyle w:val="libFootnoteAieChar"/>
          <w:rtl/>
        </w:rPr>
        <w:t xml:space="preserve"> قُلْ هُوَ اللهُ أَحَدٌ </w:t>
      </w:r>
      <w:r w:rsidRPr="00523A60">
        <w:rPr>
          <w:rStyle w:val="libFootnoteAlaemChar"/>
          <w:rtl/>
        </w:rPr>
        <w:t>)</w:t>
      </w:r>
      <w:r w:rsidRPr="00020424">
        <w:rPr>
          <w:rtl/>
        </w:rPr>
        <w:t xml:space="preserve"> » بدل « </w:t>
      </w:r>
      <w:r w:rsidRPr="00523A60">
        <w:rPr>
          <w:rStyle w:val="libFootnoteAlaemChar"/>
          <w:rtl/>
        </w:rPr>
        <w:t>(</w:t>
      </w:r>
      <w:r w:rsidRPr="006B2AC6">
        <w:rPr>
          <w:rStyle w:val="libFootnoteAieChar"/>
          <w:rtl/>
        </w:rPr>
        <w:t xml:space="preserve"> قُلْ هُوَ اللهُ أَحَدٌ </w:t>
      </w:r>
      <w:r w:rsidRPr="00523A60">
        <w:rPr>
          <w:rStyle w:val="libFootnoteAlaemChar"/>
          <w:rtl/>
        </w:rPr>
        <w:t>)</w:t>
      </w:r>
      <w:r w:rsidRPr="00020424">
        <w:rPr>
          <w:rtl/>
        </w:rPr>
        <w:t xml:space="preserve"> عشر مرّات</w:t>
      </w:r>
      <w:r>
        <w:rPr>
          <w:rtl/>
        </w:rPr>
        <w:t>».</w:t>
      </w:r>
    </w:p>
    <w:p w:rsidR="00992664" w:rsidRPr="00020424" w:rsidRDefault="00992664" w:rsidP="00992664">
      <w:pPr>
        <w:pStyle w:val="libFootnote0"/>
        <w:rPr>
          <w:rtl/>
          <w:lang w:bidi="fa-IR"/>
        </w:rPr>
      </w:pPr>
      <w:r w:rsidRPr="00020424">
        <w:rPr>
          <w:rtl/>
        </w:rPr>
        <w:t>(2</w:t>
      </w:r>
      <w:r>
        <w:rPr>
          <w:rtl/>
        </w:rPr>
        <w:t>1)</w:t>
      </w:r>
      <w:r w:rsidRPr="00020424">
        <w:rPr>
          <w:rtl/>
        </w:rPr>
        <w:t xml:space="preserve"> في « ى ، بث ، بخ ، بس ، جن » </w:t>
      </w:r>
      <w:r w:rsidRPr="000646F4">
        <w:rPr>
          <w:rtl/>
        </w:rPr>
        <w:t>والوافي والتهذيب والاستبصار</w:t>
      </w:r>
      <w:r w:rsidRPr="00020424">
        <w:rPr>
          <w:rtl/>
        </w:rPr>
        <w:t xml:space="preserve"> : « وصلّ</w:t>
      </w:r>
      <w:r>
        <w:rPr>
          <w:rtl/>
        </w:rPr>
        <w:t xml:space="preserve"> ».</w:t>
      </w:r>
      <w:r w:rsidR="000646F4">
        <w:rPr>
          <w:rtl/>
        </w:rPr>
        <w:t xml:space="preserve"> وفي حاشية « جن » : «</w:t>
      </w:r>
      <w:r w:rsidRPr="00020424">
        <w:rPr>
          <w:rtl/>
        </w:rPr>
        <w:t>ويصلّي</w:t>
      </w:r>
      <w:r>
        <w:rPr>
          <w:rtl/>
        </w:rPr>
        <w:t xml:space="preserve"> ».</w:t>
      </w:r>
    </w:p>
    <w:p w:rsidR="00992664" w:rsidRPr="00020424" w:rsidRDefault="00992664" w:rsidP="00992664">
      <w:pPr>
        <w:pStyle w:val="libFootnote0"/>
        <w:rPr>
          <w:rtl/>
          <w:lang w:bidi="fa-IR"/>
        </w:rPr>
      </w:pPr>
      <w:r w:rsidRPr="00020424">
        <w:rPr>
          <w:rtl/>
        </w:rPr>
        <w:t>(2</w:t>
      </w:r>
      <w:r>
        <w:rPr>
          <w:rtl/>
        </w:rPr>
        <w:t>2)</w:t>
      </w:r>
      <w:r w:rsidRPr="00020424">
        <w:rPr>
          <w:rtl/>
        </w:rPr>
        <w:t xml:space="preserve"> في</w:t>
      </w:r>
      <w:r w:rsidRPr="000646F4">
        <w:rPr>
          <w:rtl/>
        </w:rPr>
        <w:t xml:space="preserve"> التهذيب والاستبصار</w:t>
      </w:r>
      <w:r w:rsidRPr="00020424">
        <w:rPr>
          <w:rtl/>
        </w:rPr>
        <w:t xml:space="preserve"> : « على ما » بدل « كما</w:t>
      </w:r>
      <w:r>
        <w:rPr>
          <w:rtl/>
        </w:rPr>
        <w:t xml:space="preserve"> ».</w:t>
      </w:r>
    </w:p>
    <w:p w:rsidR="00992664" w:rsidRPr="00020424" w:rsidRDefault="00992664" w:rsidP="00992664">
      <w:pPr>
        <w:pStyle w:val="libFootnote0"/>
        <w:rPr>
          <w:rtl/>
          <w:lang w:bidi="fa-IR"/>
        </w:rPr>
      </w:pPr>
      <w:r w:rsidRPr="00020424">
        <w:rPr>
          <w:rtl/>
        </w:rPr>
        <w:t>(2</w:t>
      </w:r>
      <w:r>
        <w:rPr>
          <w:rtl/>
        </w:rPr>
        <w:t>3)</w:t>
      </w:r>
      <w:r w:rsidRPr="00020424">
        <w:rPr>
          <w:rtl/>
        </w:rPr>
        <w:t xml:space="preserve"> في </w:t>
      </w:r>
      <w:r w:rsidRPr="000646F4">
        <w:rPr>
          <w:rtl/>
        </w:rPr>
        <w:t>التهذيب والاستبصار</w:t>
      </w:r>
      <w:r w:rsidRPr="00020424">
        <w:rPr>
          <w:rtl/>
        </w:rPr>
        <w:t xml:space="preserve"> :</w:t>
      </w:r>
      <w:r>
        <w:rPr>
          <w:rtl/>
        </w:rPr>
        <w:t xml:space="preserve"> </w:t>
      </w:r>
      <w:r w:rsidR="009B673F">
        <w:rPr>
          <w:rtl/>
        </w:rPr>
        <w:t>-</w:t>
      </w:r>
      <w:r>
        <w:rPr>
          <w:rtl/>
        </w:rPr>
        <w:t xml:space="preserve"> </w:t>
      </w:r>
      <w:r w:rsidRPr="00020424">
        <w:rPr>
          <w:rtl/>
        </w:rPr>
        <w:t>« لك</w:t>
      </w:r>
      <w:r>
        <w:rPr>
          <w:rtl/>
        </w:rPr>
        <w:t xml:space="preserve"> ».</w:t>
      </w:r>
    </w:p>
    <w:p w:rsidR="00992664" w:rsidRPr="00020424" w:rsidRDefault="00992664" w:rsidP="00992664">
      <w:pPr>
        <w:pStyle w:val="libFootnote0"/>
        <w:rPr>
          <w:rtl/>
          <w:lang w:bidi="fa-IR"/>
        </w:rPr>
      </w:pPr>
      <w:r w:rsidRPr="00020424">
        <w:rPr>
          <w:rtl/>
        </w:rPr>
        <w:t>(2</w:t>
      </w:r>
      <w:r>
        <w:rPr>
          <w:rtl/>
        </w:rPr>
        <w:t>4)</w:t>
      </w:r>
      <w:r w:rsidRPr="00020424">
        <w:rPr>
          <w:rtl/>
        </w:rPr>
        <w:t xml:space="preserve"> </w:t>
      </w:r>
      <w:r w:rsidRPr="0012008A">
        <w:rPr>
          <w:rStyle w:val="libFootnoteBoldChar"/>
          <w:rtl/>
        </w:rPr>
        <w:t>التهذيب</w:t>
      </w:r>
      <w:r w:rsidRPr="00020424">
        <w:rPr>
          <w:rtl/>
        </w:rPr>
        <w:t xml:space="preserve"> ، ج 3 ، ص 68 ، ح 222 ؛ </w:t>
      </w:r>
      <w:r w:rsidRPr="00FD6221">
        <w:rPr>
          <w:rStyle w:val="libFootnoteBoldChar"/>
          <w:rtl/>
        </w:rPr>
        <w:t>والاستبصار</w:t>
      </w:r>
      <w:r w:rsidRPr="00020424">
        <w:rPr>
          <w:rtl/>
        </w:rPr>
        <w:t xml:space="preserve"> ، ج 1 ، ص 463 ، ح 1799 ، معلّقاً عن الكليني. راجع : </w:t>
      </w:r>
      <w:r w:rsidRPr="00DE76B9">
        <w:rPr>
          <w:rStyle w:val="libFootnoteBoldChar"/>
          <w:rtl/>
        </w:rPr>
        <w:t>الكافي</w:t>
      </w:r>
      <w:r w:rsidRPr="00020424">
        <w:rPr>
          <w:rtl/>
        </w:rPr>
        <w:t xml:space="preserve"> ، </w:t>
      </w:r>
      <w:r w:rsidR="000646F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512" w:name="_Toc345172887"/>
      <w:bookmarkStart w:id="513" w:name="_Toc464562702"/>
      <w:bookmarkStart w:id="514" w:name="_Toc44600008"/>
      <w:r w:rsidRPr="00020424">
        <w:rPr>
          <w:rtl/>
          <w:lang w:bidi="fa-IR"/>
        </w:rPr>
        <w:t>69</w:t>
      </w:r>
      <w:r>
        <w:rPr>
          <w:rtl/>
          <w:lang w:bidi="fa-IR"/>
        </w:rPr>
        <w:t xml:space="preserve"> </w:t>
      </w:r>
      <w:r w:rsidR="009B673F">
        <w:rPr>
          <w:rtl/>
          <w:lang w:bidi="fa-IR"/>
        </w:rPr>
        <w:t>-</w:t>
      </w:r>
      <w:r>
        <w:rPr>
          <w:rtl/>
          <w:lang w:bidi="fa-IR"/>
        </w:rPr>
        <w:t xml:space="preserve"> </w:t>
      </w:r>
      <w:r w:rsidRPr="00020424">
        <w:rPr>
          <w:rtl/>
          <w:lang w:bidi="fa-IR"/>
        </w:rPr>
        <w:t>بَابٌ فِي لَيْلَةِ الْقَدْرِ‌</w:t>
      </w:r>
      <w:bookmarkEnd w:id="512"/>
      <w:bookmarkEnd w:id="513"/>
      <w:bookmarkEnd w:id="514"/>
    </w:p>
    <w:p w:rsidR="00992664" w:rsidRPr="00020424" w:rsidRDefault="00992664" w:rsidP="00992664">
      <w:pPr>
        <w:pStyle w:val="libNormal"/>
        <w:rPr>
          <w:rtl/>
          <w:lang w:bidi="fa-IR"/>
        </w:rPr>
      </w:pPr>
      <w:r w:rsidRPr="004C302E">
        <w:rPr>
          <w:rtl/>
        </w:rPr>
        <w:t>6619</w:t>
      </w:r>
      <w:r w:rsidRPr="001155DE">
        <w:rPr>
          <w:rStyle w:val="libBold2Char"/>
          <w:rtl/>
        </w:rPr>
        <w:t xml:space="preserve"> / 1.</w:t>
      </w:r>
      <w:r w:rsidRPr="00020424">
        <w:rPr>
          <w:rtl/>
          <w:lang w:bidi="fa-IR"/>
        </w:rPr>
        <w:t xml:space="preserve"> عِدَّةٌ مِنْ أَصْحَابِنَا ، عَنْ أَحْمَدَ بْنِ مُحَمَّدٍ ، عَنْ عَلِيِّ بْنِ الْحَكَمِ ، عَنْ سَيْفِ بْنِ عَمِيرَةَ ، عَنْ حَسَّانَ بْنِ مِهْرَانَ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سَأَلْتُهُ عَنْ لَيْلَةِ الْقَدْرِ</w:t>
      </w:r>
      <w:r>
        <w:rPr>
          <w:rtl/>
          <w:lang w:bidi="fa-IR"/>
        </w:rPr>
        <w:t>؟</w:t>
      </w:r>
    </w:p>
    <w:p w:rsidR="00992664" w:rsidRPr="00020424" w:rsidRDefault="00992664" w:rsidP="00992664">
      <w:pPr>
        <w:pStyle w:val="libNormal"/>
        <w:rPr>
          <w:rtl/>
          <w:lang w:bidi="fa-IR"/>
        </w:rPr>
      </w:pPr>
      <w:r w:rsidRPr="00020424">
        <w:rPr>
          <w:rtl/>
          <w:lang w:bidi="fa-IR"/>
        </w:rPr>
        <w:t xml:space="preserve">فَقَالَ : « الْتَمِسْهَا </w:t>
      </w:r>
      <w:r w:rsidRPr="00A91B96">
        <w:rPr>
          <w:rStyle w:val="libFootnotenumChar"/>
          <w:rtl/>
        </w:rPr>
        <w:t>(1)</w:t>
      </w:r>
      <w:r w:rsidRPr="00020424">
        <w:rPr>
          <w:rtl/>
          <w:lang w:bidi="fa-IR"/>
        </w:rPr>
        <w:t xml:space="preserve"> لَيْلَةَ إِحْدى وَعِشْرِينَ ، أَوْ لَيْلَةَ ثَلَاثٍ وَعِشْرِينَ</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4C302E">
        <w:rPr>
          <w:rtl/>
        </w:rPr>
        <w:t>6620</w:t>
      </w:r>
      <w:r w:rsidRPr="001155DE">
        <w:rPr>
          <w:rStyle w:val="libBold2Char"/>
          <w:rtl/>
        </w:rPr>
        <w:t xml:space="preserve"> / 2.</w:t>
      </w:r>
      <w:r w:rsidRPr="00020424">
        <w:rPr>
          <w:rtl/>
          <w:lang w:bidi="fa-IR"/>
        </w:rPr>
        <w:t xml:space="preserve"> أَحْمَدُ بْنُ مُحَمَّدٍ </w:t>
      </w:r>
      <w:r w:rsidRPr="00A91B96">
        <w:rPr>
          <w:rStyle w:val="libFootnotenumChar"/>
          <w:rtl/>
        </w:rPr>
        <w:t>(3)</w:t>
      </w:r>
      <w:r w:rsidRPr="00020424">
        <w:rPr>
          <w:rtl/>
          <w:lang w:bidi="fa-IR"/>
        </w:rPr>
        <w:t xml:space="preserve"> ، عَنِ الْحُسَيْنِ بْنِ سَعِيدٍ ، عَنِ الْقَاسِمِ بْنِ مُحَمَّدٍ الْجَوْهَرِيِّ ، عَنِ ابْنِ أَبِي حَمْزَةَ </w:t>
      </w:r>
      <w:r w:rsidRPr="00A91B96">
        <w:rPr>
          <w:rStyle w:val="libFootnotenumChar"/>
          <w:rtl/>
        </w:rPr>
        <w:t>(4)</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كُنْتُ عِنْدَ أَبِي عَبْدِ اللهِ </w:t>
      </w:r>
      <w:r w:rsidRPr="00005A81">
        <w:rPr>
          <w:rStyle w:val="libAlaemChar"/>
          <w:rtl/>
        </w:rPr>
        <w:t>عليه‌السلام</w:t>
      </w:r>
      <w:r w:rsidRPr="00020424">
        <w:rPr>
          <w:rtl/>
          <w:lang w:bidi="fa-IR"/>
        </w:rPr>
        <w:t xml:space="preserve"> ، فَقَالَ لَهُ أَبُو بَصِيرٍ : جُعِلْتُ فِدَاكَ </w:t>
      </w:r>
      <w:r w:rsidRPr="00A91B96">
        <w:rPr>
          <w:rStyle w:val="libFootnotenumChar"/>
          <w:rtl/>
        </w:rPr>
        <w:t>(5)</w:t>
      </w:r>
      <w:r w:rsidRPr="00020424">
        <w:rPr>
          <w:rtl/>
          <w:lang w:bidi="fa-IR"/>
        </w:rPr>
        <w:t xml:space="preserve"> ، اللَّيْلَةُ الَّتِي يُرْجى فِيهَا مَا يُرْجى </w:t>
      </w:r>
      <w:r w:rsidRPr="00A91B96">
        <w:rPr>
          <w:rStyle w:val="libFootnotenumChar"/>
          <w:rtl/>
        </w:rPr>
        <w:t>(6)</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0646F4" w:rsidP="00992664">
      <w:pPr>
        <w:pStyle w:val="libFootnote0"/>
        <w:rPr>
          <w:rtl/>
          <w:lang w:bidi="fa-IR"/>
        </w:rPr>
      </w:pPr>
      <w:r>
        <w:rPr>
          <w:rFonts w:hint="cs"/>
          <w:rtl/>
        </w:rPr>
        <w:t xml:space="preserve">= </w:t>
      </w:r>
      <w:r w:rsidR="00992664" w:rsidRPr="00020424">
        <w:rPr>
          <w:rtl/>
        </w:rPr>
        <w:t xml:space="preserve">كتاب الصلاة ، باب صلاة النوافل ، ح 5564 ؛ وكتاب الصيام ، باب الغسل في شهر رمضان ، ح 6610 ؛ </w:t>
      </w:r>
      <w:r w:rsidR="00992664" w:rsidRPr="00FD6221">
        <w:rPr>
          <w:rStyle w:val="libFootnoteBoldChar"/>
          <w:rtl/>
        </w:rPr>
        <w:t>والفقيه</w:t>
      </w:r>
      <w:r w:rsidR="00992664" w:rsidRPr="00020424">
        <w:rPr>
          <w:rtl/>
        </w:rPr>
        <w:t xml:space="preserve"> ، ج 2 ، ص 160 ، ح 2031 ؛ </w:t>
      </w:r>
      <w:r w:rsidR="00992664" w:rsidRPr="00515444">
        <w:rPr>
          <w:rStyle w:val="libFootnoteBoldChar"/>
          <w:rtl/>
        </w:rPr>
        <w:t>والتهذيب</w:t>
      </w:r>
      <w:r w:rsidR="00992664" w:rsidRPr="00020424">
        <w:rPr>
          <w:rtl/>
        </w:rPr>
        <w:t xml:space="preserve"> ، ج 1 ، ص 114 ، ح 301 ؛ وج 4 ، ص 196 ، ح 561 ؛ </w:t>
      </w:r>
      <w:r w:rsidR="00992664" w:rsidRPr="000646F4">
        <w:rPr>
          <w:rStyle w:val="libFootnoteBoldChar"/>
          <w:rtl/>
        </w:rPr>
        <w:t xml:space="preserve">وفقه </w:t>
      </w:r>
      <w:r w:rsidR="00992664" w:rsidRPr="00DE76B9">
        <w:rPr>
          <w:rStyle w:val="libFootnoteBoldChar"/>
          <w:rtl/>
        </w:rPr>
        <w:t>الرضا</w:t>
      </w:r>
      <w:r w:rsidR="00992664" w:rsidRPr="00020424">
        <w:rPr>
          <w:rtl/>
        </w:rPr>
        <w:t xml:space="preserve"> </w:t>
      </w:r>
      <w:r w:rsidR="00992664" w:rsidRPr="00D64ADA">
        <w:rPr>
          <w:rStyle w:val="libFootnoteAlaemChar"/>
          <w:rtl/>
        </w:rPr>
        <w:t>عليه‌السلام</w:t>
      </w:r>
      <w:r w:rsidR="00992664" w:rsidRPr="00020424">
        <w:rPr>
          <w:rtl/>
        </w:rPr>
        <w:t xml:space="preserve"> ، ص 81 و205 </w:t>
      </w:r>
      <w:r>
        <w:rPr>
          <w:rFonts w:hint="cs"/>
          <w:rtl/>
        </w:rPr>
        <w:t>.</w:t>
      </w:r>
      <w:r w:rsidR="00992664" w:rsidRPr="0012008A">
        <w:rPr>
          <w:rStyle w:val="libFootnoteBoldChar"/>
          <w:rtl/>
        </w:rPr>
        <w:t>الوافي</w:t>
      </w:r>
      <w:r w:rsidR="00992664" w:rsidRPr="00020424">
        <w:rPr>
          <w:rtl/>
        </w:rPr>
        <w:t xml:space="preserve"> ، ج 11 ، ص 425 ، ح 11101 ؛ </w:t>
      </w:r>
      <w:r w:rsidR="00992664" w:rsidRPr="0012008A">
        <w:rPr>
          <w:rStyle w:val="libFootnoteBoldChar"/>
          <w:rtl/>
        </w:rPr>
        <w:t>الوسائل</w:t>
      </w:r>
      <w:r w:rsidR="00992664" w:rsidRPr="00020424">
        <w:rPr>
          <w:rtl/>
        </w:rPr>
        <w:t xml:space="preserve"> ، ج 8 ، ص 35 ، ح 10044.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معظم النسخ التي قوبلت </w:t>
      </w:r>
      <w:r w:rsidR="00992664" w:rsidRPr="000646F4">
        <w:rPr>
          <w:rtl/>
        </w:rPr>
        <w:t>والوافي والخصال</w:t>
      </w:r>
      <w:r w:rsidR="00992664" w:rsidRPr="00020424">
        <w:rPr>
          <w:rtl/>
        </w:rPr>
        <w:t>. وفي « ظ » والمطبوع : + « في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A722B1">
        <w:rPr>
          <w:rStyle w:val="libFootnoteBoldChar"/>
          <w:rtl/>
        </w:rPr>
        <w:t>الخصال</w:t>
      </w:r>
      <w:r w:rsidR="00992664" w:rsidRPr="00020424">
        <w:rPr>
          <w:rtl/>
        </w:rPr>
        <w:t xml:space="preserve"> ، ص 519 ، أبواب العشرين ، ح 8 ، بسنده عن أحمد بن محمّد بن عيسى ، عن عليّ بن الحكم. </w:t>
      </w:r>
      <w:r w:rsidR="00992664" w:rsidRPr="00757F3F">
        <w:rPr>
          <w:rStyle w:val="libFootnoteBoldChar"/>
          <w:rtl/>
        </w:rPr>
        <w:t>الأمالي للطوسي</w:t>
      </w:r>
      <w:r w:rsidR="00992664" w:rsidRPr="00020424">
        <w:rPr>
          <w:rtl/>
        </w:rPr>
        <w:t xml:space="preserve"> ، ص 689 ، المجلس 39 ، ح 9 ، بسند آخر عن أبي جعفر </w:t>
      </w:r>
      <w:r w:rsidR="00992664" w:rsidRPr="00D64ADA">
        <w:rPr>
          <w:rStyle w:val="libFootnoteAlaemChar"/>
          <w:rtl/>
        </w:rPr>
        <w:t>عليه‌السلام</w:t>
      </w:r>
      <w:r w:rsidR="00992664" w:rsidRPr="00020424">
        <w:rPr>
          <w:rtl/>
        </w:rPr>
        <w:t xml:space="preserve"> ، مع اختلاف يسير وزيادة في آخره </w:t>
      </w:r>
      <w:r w:rsidR="000646F4">
        <w:rPr>
          <w:rFonts w:hint="cs"/>
          <w:rtl/>
        </w:rPr>
        <w:t>.</w:t>
      </w:r>
      <w:r w:rsidR="00992664" w:rsidRPr="0012008A">
        <w:rPr>
          <w:rStyle w:val="libFootnoteBoldChar"/>
          <w:rtl/>
        </w:rPr>
        <w:t>الوافي</w:t>
      </w:r>
      <w:r w:rsidR="00992664" w:rsidRPr="00020424">
        <w:rPr>
          <w:rtl/>
        </w:rPr>
        <w:t xml:space="preserve"> ، ج 11 ، ص 384 ، ح 11062 ؛ </w:t>
      </w:r>
      <w:r w:rsidR="00992664" w:rsidRPr="0012008A">
        <w:rPr>
          <w:rStyle w:val="libFootnoteBoldChar"/>
          <w:rtl/>
        </w:rPr>
        <w:t>الوسائل</w:t>
      </w:r>
      <w:r w:rsidR="00992664" w:rsidRPr="00020424">
        <w:rPr>
          <w:rtl/>
        </w:rPr>
        <w:t xml:space="preserve"> ، ج 10 ، ص 354 ، ح 13590.</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جر » :</w:t>
      </w:r>
      <w:r w:rsidR="00992664">
        <w:rPr>
          <w:rtl/>
        </w:rPr>
        <w:t xml:space="preserve"> </w:t>
      </w:r>
      <w:r w:rsidR="009B673F">
        <w:rPr>
          <w:rtl/>
        </w:rPr>
        <w:t>-</w:t>
      </w:r>
      <w:r w:rsidR="00992664">
        <w:rPr>
          <w:rtl/>
        </w:rPr>
        <w:t xml:space="preserve"> </w:t>
      </w:r>
      <w:r w:rsidR="00992664" w:rsidRPr="00020424">
        <w:rPr>
          <w:rtl/>
        </w:rPr>
        <w:t>« بن محمّد</w:t>
      </w:r>
      <w:r w:rsidR="00992664">
        <w:rPr>
          <w:rtl/>
        </w:rPr>
        <w:t xml:space="preserve"> ».</w:t>
      </w:r>
      <w:r w:rsidR="00992664" w:rsidRPr="00020424">
        <w:rPr>
          <w:rtl/>
        </w:rPr>
        <w:t xml:space="preserve"> ثمّ إنّ السند معلّق على سابقه. ويروي عن أحمد بن محمّد ، عدّة من أصحابنا.</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هكذا في « بخ ، بر ، بف</w:t>
      </w:r>
      <w:r w:rsidR="00992664">
        <w:rPr>
          <w:rtl/>
        </w:rPr>
        <w:t xml:space="preserve"> ».</w:t>
      </w:r>
      <w:r w:rsidR="00992664" w:rsidRPr="00020424">
        <w:rPr>
          <w:rtl/>
        </w:rPr>
        <w:t xml:space="preserve"> وفي « جر » : « عليّ بن أبي حمزة</w:t>
      </w:r>
      <w:r w:rsidR="00992664">
        <w:rPr>
          <w:rtl/>
        </w:rPr>
        <w:t xml:space="preserve"> ».</w:t>
      </w:r>
      <w:r w:rsidR="00992664" w:rsidRPr="00020424">
        <w:rPr>
          <w:rtl/>
        </w:rPr>
        <w:t xml:space="preserve"> وفي « ظ ، ى ، بح ، بس ، جن » </w:t>
      </w:r>
      <w:r w:rsidR="00992664" w:rsidRPr="000646F4">
        <w:rPr>
          <w:rtl/>
        </w:rPr>
        <w:t>والوسائل</w:t>
      </w:r>
      <w:r w:rsidR="00992664" w:rsidRPr="00020424">
        <w:rPr>
          <w:rtl/>
        </w:rPr>
        <w:t xml:space="preserve"> : « أبي حمزة الثمالي</w:t>
      </w:r>
      <w:r w:rsidR="00992664">
        <w:rPr>
          <w:rtl/>
        </w:rPr>
        <w:t xml:space="preserve"> ».</w:t>
      </w:r>
      <w:r w:rsidR="00992664" w:rsidRPr="00020424">
        <w:rPr>
          <w:rtl/>
        </w:rPr>
        <w:t xml:space="preserve"> وفي المطبوع : « عليّ بن أبي حمزة الثمالي</w:t>
      </w:r>
      <w:r w:rsidR="00992664">
        <w:rPr>
          <w:rtl/>
        </w:rPr>
        <w:t xml:space="preserve"> ».</w:t>
      </w:r>
    </w:p>
    <w:p w:rsidR="00992664" w:rsidRPr="000646F4" w:rsidRDefault="00992664" w:rsidP="00992664">
      <w:pPr>
        <w:pStyle w:val="libFootnote0"/>
        <w:rPr>
          <w:rtl/>
        </w:rPr>
      </w:pPr>
      <w:r w:rsidRPr="000646F4">
        <w:rPr>
          <w:rtl/>
        </w:rPr>
        <w:t xml:space="preserve">هذا ، وقد أكثر القاسم بن محمّد [ الجوهري ] من الرواية عن عليّ [ بن أبي حمزة ]. وابن أبي حمزة هو البطائني بقرينة رواياته المتكررة عن أبي بصير. راجع : </w:t>
      </w:r>
      <w:r w:rsidRPr="00DE76B9">
        <w:rPr>
          <w:rStyle w:val="libFootnoteBoldChar"/>
          <w:rtl/>
        </w:rPr>
        <w:t>معجم رجال الحديث</w:t>
      </w:r>
      <w:r w:rsidRPr="000646F4">
        <w:rPr>
          <w:rtl/>
        </w:rPr>
        <w:t xml:space="preserve"> ، ج 14 ، ص 362 </w:t>
      </w:r>
      <w:r w:rsidR="009B673F" w:rsidRPr="000646F4">
        <w:rPr>
          <w:rtl/>
        </w:rPr>
        <w:t>-</w:t>
      </w:r>
      <w:r w:rsidRPr="000646F4">
        <w:rPr>
          <w:rtl/>
        </w:rPr>
        <w:t xml:space="preserve"> 364 ، و366 ، و368. وأمّا رواية القاسم بن محمّد هذا ، عن عليّ بن أبي حمزة الثمالي أو أبي حمزة الثمالي ، فغير معهودة.</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757F3F">
        <w:rPr>
          <w:rStyle w:val="libFootnoteBoldChar"/>
          <w:rtl/>
        </w:rPr>
        <w:t>الأمالي للطوسي</w:t>
      </w:r>
      <w:r w:rsidR="00992664" w:rsidRPr="00020424">
        <w:rPr>
          <w:rtl/>
        </w:rPr>
        <w:t xml:space="preserve"> : « ما » بدل « جعلت فداك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أي ليلة هي</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يرجى فيها ما يرجى ؛ يعني من الرحمة والمغفرة وتضاعف الحسنات وقبول الطاعات ؛ يعني بها ليلة القدر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 « فِي </w:t>
      </w:r>
      <w:r w:rsidRPr="00A91B96">
        <w:rPr>
          <w:rStyle w:val="libFootnotenumChar"/>
          <w:rtl/>
        </w:rPr>
        <w:t>(1)</w:t>
      </w:r>
      <w:r w:rsidRPr="00020424">
        <w:rPr>
          <w:rtl/>
          <w:lang w:bidi="fa-IR"/>
        </w:rPr>
        <w:t xml:space="preserve"> إِحْدى وَعِشْرِينَ ، أَوْ ثَلَاثٍ وَعِشْرِينَ</w:t>
      </w:r>
      <w:r>
        <w:rPr>
          <w:rtl/>
          <w:lang w:bidi="fa-IR"/>
        </w:rPr>
        <w:t xml:space="preserve"> ».</w:t>
      </w:r>
    </w:p>
    <w:p w:rsidR="00992664" w:rsidRPr="00020424" w:rsidRDefault="00992664" w:rsidP="00992664">
      <w:pPr>
        <w:pStyle w:val="libNormal"/>
        <w:rPr>
          <w:rtl/>
          <w:lang w:bidi="fa-IR"/>
        </w:rPr>
      </w:pPr>
      <w:r w:rsidRPr="00020424">
        <w:rPr>
          <w:rtl/>
          <w:lang w:bidi="fa-IR"/>
        </w:rPr>
        <w:t>قَالَ : فَإِنْ لَمْ أَقْوَ عَلى كِلْتَيْهِمَا</w:t>
      </w:r>
      <w:r>
        <w:rPr>
          <w:rtl/>
          <w:lang w:bidi="fa-IR"/>
        </w:rPr>
        <w:t>؟</w:t>
      </w:r>
    </w:p>
    <w:p w:rsidR="00992664" w:rsidRPr="00020424" w:rsidRDefault="00992664" w:rsidP="00992664">
      <w:pPr>
        <w:pStyle w:val="libNormal"/>
        <w:rPr>
          <w:rtl/>
          <w:lang w:bidi="fa-IR"/>
        </w:rPr>
      </w:pPr>
      <w:r w:rsidRPr="00020424">
        <w:rPr>
          <w:rtl/>
          <w:lang w:bidi="fa-IR"/>
        </w:rPr>
        <w:t xml:space="preserve">فَقَالَ : « مَا أَيْسَرَ لَيْلَتَيْنِ فِيمَا تَطْلُبُ </w:t>
      </w:r>
      <w:r w:rsidRPr="00A91B96">
        <w:rPr>
          <w:rStyle w:val="libFootnotenumChar"/>
          <w:rtl/>
        </w:rPr>
        <w:t>(2)</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فَرُبَّمَا رَأَيْنَا </w:t>
      </w:r>
      <w:r w:rsidRPr="00A91B96">
        <w:rPr>
          <w:rStyle w:val="libFootnotenumChar"/>
          <w:rtl/>
        </w:rPr>
        <w:t>(3)</w:t>
      </w:r>
      <w:r w:rsidRPr="00020424">
        <w:rPr>
          <w:rtl/>
          <w:lang w:bidi="fa-IR"/>
        </w:rPr>
        <w:t xml:space="preserve"> الْهِلَالَ عِنْدَنَا ، وَجَاءَنَا مَنْ يُخْبِرُنَا بِخِلَافِ ذلِكَ مِنْ </w:t>
      </w:r>
      <w:r w:rsidRPr="00A91B96">
        <w:rPr>
          <w:rStyle w:val="libFootnotenumChar"/>
          <w:rtl/>
        </w:rPr>
        <w:t>(4)</w:t>
      </w:r>
      <w:r w:rsidRPr="00020424">
        <w:rPr>
          <w:rtl/>
          <w:lang w:bidi="fa-IR"/>
        </w:rPr>
        <w:t xml:space="preserve"> أَرْضٍ أُخْرى</w:t>
      </w:r>
      <w:r>
        <w:rPr>
          <w:rtl/>
          <w:lang w:bidi="fa-IR"/>
        </w:rPr>
        <w:t>؟</w:t>
      </w:r>
    </w:p>
    <w:p w:rsidR="00992664" w:rsidRPr="00020424" w:rsidRDefault="00992664" w:rsidP="00992664">
      <w:pPr>
        <w:pStyle w:val="libNormal"/>
        <w:rPr>
          <w:rtl/>
          <w:lang w:bidi="fa-IR"/>
        </w:rPr>
      </w:pPr>
      <w:r w:rsidRPr="00020424">
        <w:rPr>
          <w:rtl/>
          <w:lang w:bidi="fa-IR"/>
        </w:rPr>
        <w:t xml:space="preserve">فَقَالَ : « مَا أَيْسَرَ أَرْبَعَ لَيَالٍ تَطْلُبُهَا </w:t>
      </w:r>
      <w:r w:rsidRPr="00A91B96">
        <w:rPr>
          <w:rStyle w:val="libFootnotenumChar"/>
          <w:rtl/>
        </w:rPr>
        <w:t>(5)</w:t>
      </w:r>
      <w:r w:rsidRPr="00020424">
        <w:rPr>
          <w:rtl/>
          <w:lang w:bidi="fa-IR"/>
        </w:rPr>
        <w:t xml:space="preserve"> فِيهَا </w:t>
      </w:r>
      <w:r w:rsidRPr="00A91B96">
        <w:rPr>
          <w:rStyle w:val="libFootnotenumChar"/>
          <w:rtl/>
        </w:rPr>
        <w:t>(6)</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جُعِلْتُ فِدَاكَ ، لَيْلَةُ ثَلَاثٍ وَعِشْرِينَ لَيْلَةُ الْجُهَنِيِّ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(8)</w:t>
      </w:r>
      <w:r w:rsidRPr="00020424">
        <w:rPr>
          <w:rtl/>
          <w:lang w:bidi="fa-IR"/>
        </w:rPr>
        <w:t xml:space="preserve"> : « إِنَّ ذلِكَ لَيُقَالُ</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(9)</w:t>
      </w:r>
      <w:r w:rsidRPr="00020424">
        <w:rPr>
          <w:rtl/>
          <w:lang w:bidi="fa-IR"/>
        </w:rPr>
        <w:t xml:space="preserve"> : جُعِلْتُ فِدَاكَ ، إِنَّ سُلَيْمَانَ بْنَ خَالِدٍ رَوى </w:t>
      </w:r>
      <w:r w:rsidRPr="00A91B96">
        <w:rPr>
          <w:rStyle w:val="libFootnotenumChar"/>
          <w:rtl/>
        </w:rPr>
        <w:t>(10)</w:t>
      </w:r>
      <w:r w:rsidRPr="00020424">
        <w:rPr>
          <w:rtl/>
          <w:lang w:bidi="fa-IR"/>
        </w:rPr>
        <w:t xml:space="preserve"> : فِي تِسْعَ عَشْرَةَ </w:t>
      </w:r>
      <w:r w:rsidRPr="00A91B96">
        <w:rPr>
          <w:rStyle w:val="libFootnotenumChar"/>
          <w:rtl/>
        </w:rPr>
        <w:t>(11)</w:t>
      </w:r>
      <w:r w:rsidRPr="00020424">
        <w:rPr>
          <w:rtl/>
          <w:lang w:bidi="fa-IR"/>
        </w:rPr>
        <w:t xml:space="preserve"> يُكْتَبُ وَفْدُ الْحَاجِّ </w:t>
      </w:r>
      <w:r w:rsidRPr="00A91B96">
        <w:rPr>
          <w:rStyle w:val="libFootnotenumChar"/>
          <w:rtl/>
        </w:rPr>
        <w:t>(12)</w:t>
      </w:r>
      <w:r w:rsidR="00175ABD" w:rsidRPr="00175ABD">
        <w:rPr>
          <w:rFonts w:hint="cs"/>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بس » وحاشية « بث » </w:t>
      </w:r>
      <w:r w:rsidR="00992664" w:rsidRPr="00175ABD">
        <w:rPr>
          <w:rtl/>
        </w:rPr>
        <w:t>والوسائل والفقيه</w:t>
      </w:r>
      <w:r w:rsidR="00992664" w:rsidRPr="00020424">
        <w:rPr>
          <w:rtl/>
        </w:rPr>
        <w:t xml:space="preserve"> : + « ليلة</w:t>
      </w:r>
      <w:r w:rsidR="00992664">
        <w:rPr>
          <w:rtl/>
        </w:rPr>
        <w:t xml:space="preserve"> ».</w:t>
      </w:r>
    </w:p>
    <w:p w:rsidR="00992664" w:rsidRPr="00020424" w:rsidRDefault="00795177" w:rsidP="00175ABD">
      <w:pPr>
        <w:pStyle w:val="libFootnote0"/>
        <w:rPr>
          <w:rtl/>
          <w:lang w:bidi="fa-IR"/>
        </w:rPr>
      </w:pPr>
      <w:r>
        <w:rPr>
          <w:rtl/>
        </w:rPr>
        <w:t>(2).</w:t>
      </w:r>
      <w:r w:rsidR="0014403D">
        <w:rPr>
          <w:rtl/>
        </w:rPr>
        <w:t xml:space="preserve"> </w:t>
      </w:r>
      <w:r w:rsidR="00992664" w:rsidRPr="00020424">
        <w:rPr>
          <w:rtl/>
        </w:rPr>
        <w:t>في « بخ ، بر ، بف » : « يطلب</w:t>
      </w:r>
      <w:r w:rsidR="00992664">
        <w:rPr>
          <w:rtl/>
        </w:rPr>
        <w:t xml:space="preserve"> ».</w:t>
      </w:r>
      <w:r w:rsidR="00992664" w:rsidRPr="00020424">
        <w:rPr>
          <w:rtl/>
        </w:rPr>
        <w:t xml:space="preserve"> وفي « بث ، بخ ، بر ، بف » </w:t>
      </w:r>
      <w:r w:rsidR="00992664" w:rsidRPr="00175ABD">
        <w:rPr>
          <w:rtl/>
        </w:rPr>
        <w:t>والوسائل والفقيه والتهذيب والأمالي للطوسي</w:t>
      </w:r>
      <w:r w:rsidR="00992664" w:rsidRPr="00020424">
        <w:rPr>
          <w:rtl/>
        </w:rPr>
        <w:t xml:space="preserve"> : + « قال</w:t>
      </w:r>
      <w:r w:rsidR="00992664">
        <w:rPr>
          <w:rtl/>
        </w:rPr>
        <w:t xml:space="preserve"> ».</w:t>
      </w:r>
      <w:r w:rsidR="00175ABD">
        <w:rPr>
          <w:rFonts w:hint="cs"/>
          <w:rtl/>
        </w:rPr>
        <w:t xml:space="preserve">                     </w:t>
      </w:r>
      <w:r w:rsidR="00523A60">
        <w:rPr>
          <w:rFonts w:hint="cs"/>
          <w:rtl/>
        </w:rPr>
        <w:t xml:space="preserve">           </w:t>
      </w:r>
      <w:r w:rsidR="00175ABD">
        <w:rPr>
          <w:rFonts w:hint="cs"/>
          <w:rtl/>
        </w:rPr>
        <w:t xml:space="preserve">    </w:t>
      </w:r>
      <w:r>
        <w:rPr>
          <w:rtl/>
        </w:rPr>
        <w:t>(3).</w:t>
      </w:r>
      <w:r w:rsidR="0014403D">
        <w:rPr>
          <w:rtl/>
        </w:rPr>
        <w:t xml:space="preserve"> </w:t>
      </w:r>
      <w:r w:rsidR="00992664" w:rsidRPr="00020424">
        <w:rPr>
          <w:rtl/>
        </w:rPr>
        <w:t>في « بح » : « رأيت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بر ، بف » </w:t>
      </w:r>
      <w:r w:rsidR="00992664" w:rsidRPr="00175ABD">
        <w:rPr>
          <w:rtl/>
        </w:rPr>
        <w:t>والفقيه والتهذيب والأمالي للطوسي</w:t>
      </w:r>
      <w:r w:rsidR="00992664" w:rsidRPr="00020424">
        <w:rPr>
          <w:rtl/>
        </w:rPr>
        <w:t xml:space="preserve"> : « في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75ABD">
        <w:rPr>
          <w:rtl/>
        </w:rPr>
        <w:t>الوافي</w:t>
      </w:r>
      <w:r w:rsidR="00992664" w:rsidRPr="00020424">
        <w:rPr>
          <w:rtl/>
        </w:rPr>
        <w:t xml:space="preserve"> عن بعض النسخ : « في ما تطلب » بدل « تطلبها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فيها</w:t>
      </w:r>
      <w:r w:rsidR="00992664">
        <w:rPr>
          <w:rtl/>
        </w:rPr>
        <w:t xml:space="preserve"> ».</w:t>
      </w:r>
    </w:p>
    <w:p w:rsidR="00992664" w:rsidRPr="00020424" w:rsidRDefault="00795177" w:rsidP="00175ABD">
      <w:pPr>
        <w:pStyle w:val="libFootnote0"/>
        <w:rPr>
          <w:rtl/>
          <w:lang w:bidi="fa-IR"/>
        </w:rPr>
      </w:pPr>
      <w:r>
        <w:rPr>
          <w:rtl/>
        </w:rPr>
        <w:t>(7).</w:t>
      </w:r>
      <w:r w:rsidR="0014403D">
        <w:rPr>
          <w:rtl/>
        </w:rPr>
        <w:t xml:space="preserve"> </w:t>
      </w:r>
      <w:r w:rsidR="00992664" w:rsidRPr="00020424">
        <w:rPr>
          <w:rtl/>
        </w:rPr>
        <w:t xml:space="preserve">قوله </w:t>
      </w:r>
      <w:r w:rsidR="00992664" w:rsidRPr="00D64ADA">
        <w:rPr>
          <w:rStyle w:val="libFootnoteAlaemChar"/>
          <w:rtl/>
        </w:rPr>
        <w:t>عليه‌السلام</w:t>
      </w:r>
      <w:r w:rsidR="00992664" w:rsidRPr="00020424">
        <w:rPr>
          <w:rtl/>
        </w:rPr>
        <w:t xml:space="preserve"> : « ليلة الجهنيّ » إشارة إلى ما رواه الشيخ الصدوق في </w:t>
      </w:r>
      <w:r w:rsidR="00992664" w:rsidRPr="0012008A">
        <w:rPr>
          <w:rStyle w:val="libFootnoteBoldChar"/>
          <w:rtl/>
        </w:rPr>
        <w:t>الفقيه</w:t>
      </w:r>
      <w:r w:rsidR="00992664" w:rsidRPr="00020424">
        <w:rPr>
          <w:rtl/>
        </w:rPr>
        <w:t xml:space="preserve"> ، ج 2 ، ص 160 ، ح 2031 ، عن زرارة ، عن أحدهما </w:t>
      </w:r>
      <w:r w:rsidR="00D64ADA" w:rsidRPr="00D64ADA">
        <w:rPr>
          <w:rStyle w:val="libFootnoteAlaemChar"/>
          <w:rtl/>
        </w:rPr>
        <w:t>عليهما‌السلام</w:t>
      </w:r>
      <w:r w:rsidR="00992664" w:rsidRPr="00020424">
        <w:rPr>
          <w:rtl/>
        </w:rPr>
        <w:t xml:space="preserve"> قال : سألته عن الليالي التي يستحبّ فيها الغسل في شهر رمضان ، فقال : « ليلة تسع عشرة وليلة إحدى وعشرين وليلة ثلاث وعشرين</w:t>
      </w:r>
      <w:r w:rsidR="00992664">
        <w:rPr>
          <w:rtl/>
        </w:rPr>
        <w:t xml:space="preserve"> </w:t>
      </w:r>
      <w:r w:rsidR="009B673F">
        <w:rPr>
          <w:rtl/>
        </w:rPr>
        <w:t>-</w:t>
      </w:r>
      <w:r w:rsidR="00992664">
        <w:rPr>
          <w:rtl/>
        </w:rPr>
        <w:t xml:space="preserve"> </w:t>
      </w:r>
      <w:r w:rsidR="00992664" w:rsidRPr="00020424">
        <w:rPr>
          <w:rtl/>
        </w:rPr>
        <w:t>وقال</w:t>
      </w:r>
      <w:r w:rsidR="00992664">
        <w:rPr>
          <w:rtl/>
        </w:rPr>
        <w:t xml:space="preserve"> </w:t>
      </w:r>
      <w:r w:rsidR="009B673F">
        <w:rPr>
          <w:rtl/>
        </w:rPr>
        <w:t>-</w:t>
      </w:r>
      <w:r w:rsidR="00992664">
        <w:rPr>
          <w:rtl/>
        </w:rPr>
        <w:t xml:space="preserve"> </w:t>
      </w:r>
      <w:r w:rsidR="00992664" w:rsidRPr="00020424">
        <w:rPr>
          <w:rtl/>
        </w:rPr>
        <w:t xml:space="preserve">: ليلة ثلاث وعشرين هي ليلة الجهنيّ ، وحديثه أنّه قال لرسول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إنّ منزلي ناء عن المدينة فمرني بليلة أدخل فيها ، فأمره بليلة ثلاث وعشرين » ، ثمّ قال الشيخ الصدوق : « واسم الجهنيّ عبد الله بن أُنيس الأنصاريّ</w:t>
      </w:r>
      <w:r w:rsidR="00992664">
        <w:rPr>
          <w:rtl/>
        </w:rPr>
        <w:t xml:space="preserve"> ».</w:t>
      </w:r>
      <w:r w:rsidR="00992664" w:rsidRPr="00020424">
        <w:rPr>
          <w:rtl/>
        </w:rPr>
        <w:t xml:space="preserve"> وللمزيد راجع : </w:t>
      </w:r>
      <w:r w:rsidR="00992664" w:rsidRPr="0012008A">
        <w:rPr>
          <w:rStyle w:val="libFootnoteBoldChar"/>
          <w:rtl/>
        </w:rPr>
        <w:t>الوافي</w:t>
      </w:r>
      <w:r w:rsidR="00992664" w:rsidRPr="00020424">
        <w:rPr>
          <w:rtl/>
        </w:rPr>
        <w:t xml:space="preserve"> ، ج 11 ، ص 384 ؛ </w:t>
      </w:r>
      <w:r w:rsidR="00992664" w:rsidRPr="00DE76B9">
        <w:rPr>
          <w:rStyle w:val="libFootnoteBoldChar"/>
          <w:rtl/>
        </w:rPr>
        <w:t>مرآة العقول</w:t>
      </w:r>
      <w:r w:rsidR="00992664" w:rsidRPr="00020424">
        <w:rPr>
          <w:rtl/>
        </w:rPr>
        <w:t xml:space="preserve"> ، ج 16 ، ص 382.</w:t>
      </w:r>
      <w:r w:rsidR="00175ABD">
        <w:rPr>
          <w:rFonts w:hint="cs"/>
          <w:rtl/>
        </w:rPr>
        <w:t xml:space="preserve">           </w:t>
      </w:r>
      <w:r w:rsidR="00523A60">
        <w:rPr>
          <w:rFonts w:hint="cs"/>
          <w:rtl/>
        </w:rPr>
        <w:t xml:space="preserve">                </w:t>
      </w:r>
      <w:r w:rsidR="00175ABD">
        <w:rPr>
          <w:rFonts w:hint="cs"/>
          <w:rtl/>
        </w:rPr>
        <w:t xml:space="preserve"> </w:t>
      </w:r>
      <w:r>
        <w:rPr>
          <w:rtl/>
        </w:rPr>
        <w:t>(8).</w:t>
      </w:r>
      <w:r w:rsidR="0014403D">
        <w:rPr>
          <w:rtl/>
        </w:rPr>
        <w:t xml:space="preserve"> </w:t>
      </w:r>
      <w:r w:rsidR="00992664" w:rsidRPr="00020424">
        <w:rPr>
          <w:rtl/>
        </w:rPr>
        <w:t xml:space="preserve">في « بخ ، بر ، بف » </w:t>
      </w:r>
      <w:r w:rsidR="00992664" w:rsidRPr="00175ABD">
        <w:rPr>
          <w:rtl/>
        </w:rPr>
        <w:t>والوافي والفقيه</w:t>
      </w:r>
      <w:r w:rsidR="00992664" w:rsidRPr="00020424">
        <w:rPr>
          <w:rtl/>
        </w:rPr>
        <w:t xml:space="preserve">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75ABD" w:rsidTr="00175ABD">
        <w:tc>
          <w:tcPr>
            <w:tcW w:w="4006" w:type="dxa"/>
          </w:tcPr>
          <w:p w:rsidR="00175ABD" w:rsidRDefault="00175ABD" w:rsidP="00992664">
            <w:pPr>
              <w:pStyle w:val="libFootnote0"/>
              <w:rPr>
                <w:rtl/>
              </w:rPr>
            </w:pPr>
            <w:r>
              <w:rPr>
                <w:rtl/>
              </w:rPr>
              <w:t>(9). في «ى،بس» : «</w:t>
            </w:r>
            <w:r w:rsidRPr="00020424">
              <w:rPr>
                <w:rtl/>
              </w:rPr>
              <w:t>فقلت</w:t>
            </w:r>
            <w:r>
              <w:rPr>
                <w:rtl/>
              </w:rPr>
              <w:t>».</w:t>
            </w:r>
            <w:r w:rsidRPr="00020424">
              <w:rPr>
                <w:rtl/>
              </w:rPr>
              <w:t>وفي «</w:t>
            </w:r>
            <w:r>
              <w:rPr>
                <w:rtl/>
              </w:rPr>
              <w:t>بخ» : «</w:t>
            </w:r>
            <w:r w:rsidRPr="00020424">
              <w:rPr>
                <w:rtl/>
              </w:rPr>
              <w:t>قال</w:t>
            </w:r>
            <w:r>
              <w:rPr>
                <w:rtl/>
              </w:rPr>
              <w:t>».</w:t>
            </w:r>
          </w:p>
        </w:tc>
        <w:tc>
          <w:tcPr>
            <w:tcW w:w="4006" w:type="dxa"/>
          </w:tcPr>
          <w:p w:rsidR="00175ABD" w:rsidRDefault="00175ABD" w:rsidP="00992664">
            <w:pPr>
              <w:pStyle w:val="libFootnote0"/>
              <w:rPr>
                <w:rtl/>
              </w:rPr>
            </w:pPr>
            <w:r>
              <w:rPr>
                <w:rtl/>
              </w:rPr>
              <w:t xml:space="preserve">(10). </w:t>
            </w:r>
            <w:r w:rsidRPr="00020424">
              <w:rPr>
                <w:rtl/>
              </w:rPr>
              <w:t xml:space="preserve">في </w:t>
            </w:r>
            <w:r w:rsidRPr="00175ABD">
              <w:rPr>
                <w:rtl/>
              </w:rPr>
              <w:t>الوافي</w:t>
            </w:r>
            <w:r w:rsidRPr="00020424">
              <w:rPr>
                <w:rtl/>
              </w:rPr>
              <w:t xml:space="preserve"> : + « أنّ</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بر ، بف » : « عشر</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اللغة : الوَفْدُ : هم القوم يجتمعون ويردون البلاد ، واحدهم : وافد ، وكذلك الذين يقصدون الا</w:t>
      </w:r>
      <w:r w:rsidR="00175ABD">
        <w:rPr>
          <w:rFonts w:hint="cs"/>
          <w:rtl/>
        </w:rPr>
        <w:t>ُ</w:t>
      </w:r>
      <w:r w:rsidR="00992664" w:rsidRPr="00020424">
        <w:rPr>
          <w:rtl/>
        </w:rPr>
        <w:t xml:space="preserve">مراء لزيارة </w:t>
      </w:r>
      <w:r w:rsidR="00175ABD">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فَقَالَ لِي </w:t>
      </w:r>
      <w:r w:rsidRPr="00A91B96">
        <w:rPr>
          <w:rStyle w:val="libFootnotenumChar"/>
          <w:rtl/>
        </w:rPr>
        <w:t>(1)</w:t>
      </w:r>
      <w:r w:rsidRPr="00020424">
        <w:rPr>
          <w:rtl/>
          <w:lang w:bidi="fa-IR"/>
        </w:rPr>
        <w:t xml:space="preserve"> : « يَا أَبَا مُحَمَّدٍ ، وَفْدُ الْحَاجِّ يُكْتَبُ فِي لَيْلَةِ الْقَدْرِ ، وَالْمَنَايَا </w:t>
      </w:r>
      <w:r w:rsidRPr="00A91B96">
        <w:rPr>
          <w:rStyle w:val="libFootnotenumChar"/>
          <w:rtl/>
        </w:rPr>
        <w:t>(2)</w:t>
      </w:r>
      <w:r w:rsidRPr="00020424">
        <w:rPr>
          <w:rtl/>
          <w:lang w:bidi="fa-IR"/>
        </w:rPr>
        <w:t xml:space="preserve"> وَالْبَلَايَا </w:t>
      </w:r>
      <w:r w:rsidRPr="00A91B96">
        <w:rPr>
          <w:rStyle w:val="libFootnotenumChar"/>
          <w:rtl/>
        </w:rPr>
        <w:t>(3)</w:t>
      </w:r>
      <w:r w:rsidRPr="00020424">
        <w:rPr>
          <w:rtl/>
          <w:lang w:bidi="fa-IR"/>
        </w:rPr>
        <w:t xml:space="preserve"> وَالْأَرْزَاقُ وَمَا يَكُونُ إِلى مِثْلِهَا </w:t>
      </w:r>
      <w:r w:rsidRPr="00A91B96">
        <w:rPr>
          <w:rStyle w:val="libFootnotenumChar"/>
          <w:rtl/>
        </w:rPr>
        <w:t>(4)</w:t>
      </w:r>
      <w:r w:rsidRPr="00020424">
        <w:rPr>
          <w:rtl/>
          <w:lang w:bidi="fa-IR"/>
        </w:rPr>
        <w:t xml:space="preserve"> فِي قَابِلٍ </w:t>
      </w:r>
      <w:r w:rsidRPr="00A91B96">
        <w:rPr>
          <w:rStyle w:val="libFootnotenumChar"/>
          <w:rtl/>
        </w:rPr>
        <w:t>(5)</w:t>
      </w:r>
      <w:r w:rsidRPr="00020424">
        <w:rPr>
          <w:rtl/>
          <w:lang w:bidi="fa-IR"/>
        </w:rPr>
        <w:t xml:space="preserve"> ، فَاطْلُبْهَا فِي لَيْلَةِ إِحْدى وَعِشْرِينَ </w:t>
      </w:r>
      <w:r w:rsidRPr="00A91B96">
        <w:rPr>
          <w:rStyle w:val="libFootnotenumChar"/>
          <w:rtl/>
        </w:rPr>
        <w:t>(6)</w:t>
      </w:r>
      <w:r w:rsidRPr="00020424">
        <w:rPr>
          <w:rtl/>
          <w:lang w:bidi="fa-IR"/>
        </w:rPr>
        <w:t xml:space="preserve"> ، وَثَلَاثٍ وَعِشْرِينَ </w:t>
      </w:r>
      <w:r w:rsidRPr="00A91B96">
        <w:rPr>
          <w:rStyle w:val="libFootnotenumChar"/>
          <w:rtl/>
        </w:rPr>
        <w:t>(7)</w:t>
      </w:r>
      <w:r w:rsidRPr="00020424">
        <w:rPr>
          <w:rtl/>
          <w:lang w:bidi="fa-IR"/>
        </w:rPr>
        <w:t xml:space="preserve"> ، وَصَلِّ فِي كُلِّ وَاحِدَةٍ </w:t>
      </w:r>
      <w:r w:rsidRPr="00A91B96">
        <w:rPr>
          <w:rStyle w:val="libFootnotenumChar"/>
          <w:rtl/>
        </w:rPr>
        <w:t>(8)</w:t>
      </w:r>
      <w:r w:rsidRPr="00020424">
        <w:rPr>
          <w:rtl/>
          <w:lang w:bidi="fa-IR"/>
        </w:rPr>
        <w:t xml:space="preserve"> مِنْهُمَا مِائَةَ رَكْعَةٍ ، وَأَحْيِهِمَا </w:t>
      </w:r>
      <w:r w:rsidRPr="00A91B96">
        <w:rPr>
          <w:rStyle w:val="libFootnotenumChar"/>
          <w:rtl/>
        </w:rPr>
        <w:t>(9)</w:t>
      </w:r>
      <w:r w:rsidRPr="00020424">
        <w:rPr>
          <w:rtl/>
          <w:lang w:bidi="fa-IR"/>
        </w:rPr>
        <w:t xml:space="preserve"> إِنِ اسْتَطَعْتَ إِلَى النُّورِ </w:t>
      </w:r>
      <w:r w:rsidRPr="00A91B96">
        <w:rPr>
          <w:rStyle w:val="libFootnotenumChar"/>
          <w:rtl/>
        </w:rPr>
        <w:t>(10)</w:t>
      </w:r>
      <w:r w:rsidRPr="00020424">
        <w:rPr>
          <w:rtl/>
          <w:lang w:bidi="fa-IR"/>
        </w:rPr>
        <w:t xml:space="preserve"> ، وَاغْتَسِلْ فِيهِمَا</w:t>
      </w:r>
      <w:r>
        <w:rPr>
          <w:rtl/>
          <w:lang w:bidi="fa-IR"/>
        </w:rPr>
        <w:t>».</w:t>
      </w:r>
    </w:p>
    <w:p w:rsidR="00992664" w:rsidRPr="00020424" w:rsidRDefault="00992664" w:rsidP="00992664">
      <w:pPr>
        <w:pStyle w:val="libNormal"/>
        <w:rPr>
          <w:rtl/>
          <w:lang w:bidi="fa-IR"/>
        </w:rPr>
      </w:pPr>
      <w:r w:rsidRPr="00020424">
        <w:rPr>
          <w:rtl/>
          <w:lang w:bidi="fa-IR"/>
        </w:rPr>
        <w:t>قَالَ : قُلْتُ : فَإِنْ لَمْ أَقْدِرْ عَلى ذلِكَ وَأَنَا قَائِمٌ</w:t>
      </w:r>
      <w:r>
        <w:rPr>
          <w:rtl/>
          <w:lang w:bidi="fa-IR"/>
        </w:rPr>
        <w:t>؟</w:t>
      </w:r>
    </w:p>
    <w:p w:rsidR="00992664" w:rsidRPr="00020424" w:rsidRDefault="00992664" w:rsidP="00992664">
      <w:pPr>
        <w:pStyle w:val="libNormal"/>
        <w:rPr>
          <w:rtl/>
          <w:lang w:bidi="fa-IR"/>
        </w:rPr>
      </w:pPr>
      <w:r w:rsidRPr="00020424">
        <w:rPr>
          <w:rtl/>
          <w:lang w:bidi="fa-IR"/>
        </w:rPr>
        <w:t xml:space="preserve">قَالَ : « فَصَلِّ </w:t>
      </w:r>
      <w:r w:rsidRPr="00A91B96">
        <w:rPr>
          <w:rStyle w:val="libFootnotenumChar"/>
          <w:rtl/>
        </w:rPr>
        <w:t>(11)</w:t>
      </w:r>
      <w:r w:rsidRPr="00020424">
        <w:rPr>
          <w:rtl/>
          <w:lang w:bidi="fa-IR"/>
        </w:rPr>
        <w:t xml:space="preserve"> وَأَنْتَ جَالِسٌ </w:t>
      </w:r>
      <w:r w:rsidRPr="00A91B96">
        <w:rPr>
          <w:rStyle w:val="libFootnotenumChar"/>
          <w:rtl/>
        </w:rPr>
        <w:t>(12)</w:t>
      </w:r>
      <w:r>
        <w:rPr>
          <w:rtl/>
          <w:lang w:bidi="fa-IR"/>
        </w:rPr>
        <w:t xml:space="preserve"> ».</w:t>
      </w:r>
    </w:p>
    <w:p w:rsidR="00992664" w:rsidRPr="00020424" w:rsidRDefault="00992664" w:rsidP="00992664">
      <w:pPr>
        <w:pStyle w:val="libNormal"/>
        <w:rPr>
          <w:rtl/>
          <w:lang w:bidi="fa-IR"/>
        </w:rPr>
      </w:pPr>
      <w:r w:rsidRPr="00020424">
        <w:rPr>
          <w:rtl/>
          <w:lang w:bidi="fa-IR"/>
        </w:rPr>
        <w:t>قُلْتُ : فَإِنْ لَمْ أَسْتَطِعْ</w:t>
      </w:r>
      <w:r>
        <w:rPr>
          <w:rtl/>
          <w:lang w:bidi="fa-IR"/>
        </w:rPr>
        <w:t>؟</w:t>
      </w:r>
    </w:p>
    <w:p w:rsidR="00992664" w:rsidRPr="00020424" w:rsidRDefault="00992664" w:rsidP="00992664">
      <w:pPr>
        <w:pStyle w:val="libNormal"/>
        <w:rPr>
          <w:rtl/>
          <w:lang w:bidi="fa-IR"/>
        </w:rPr>
      </w:pPr>
      <w:r w:rsidRPr="00020424">
        <w:rPr>
          <w:rtl/>
          <w:lang w:bidi="fa-IR"/>
        </w:rPr>
        <w:t xml:space="preserve">قَالَ : « فَعَلى فِرَاشِكَ </w:t>
      </w:r>
      <w:r w:rsidRPr="00A91B96">
        <w:rPr>
          <w:rStyle w:val="libFootnotenumChar"/>
          <w:rtl/>
        </w:rPr>
        <w:t>(13)</w:t>
      </w:r>
      <w:r w:rsidRPr="00020424">
        <w:rPr>
          <w:rtl/>
          <w:lang w:bidi="fa-IR"/>
        </w:rPr>
        <w:t xml:space="preserve"> ، لَاعَلَيْكَ أَنْ تَكْتَحِلَ </w:t>
      </w:r>
      <w:r w:rsidRPr="00A91B96">
        <w:rPr>
          <w:rStyle w:val="libFootnotenumChar"/>
          <w:rtl/>
        </w:rPr>
        <w:t>(14)</w:t>
      </w:r>
      <w:r w:rsidRPr="00020424">
        <w:rPr>
          <w:rtl/>
          <w:lang w:bidi="fa-IR"/>
        </w:rPr>
        <w:t xml:space="preserve"> أَوَّلَ اللَّيْلِ بِشَيْ‌ءٍ مِنَ النَّوْمِ ؛ إِنَّ أَبْوَابَ السَّمَاءِ تُفَتَّحُ فِي رَمَضَانَ ، وَتُصَفَّدُ الشَّيَاطِينُ </w:t>
      </w:r>
      <w:r w:rsidRPr="00A91B96">
        <w:rPr>
          <w:rStyle w:val="libFootnotenumChar"/>
          <w:rtl/>
        </w:rPr>
        <w:t>(15)</w:t>
      </w:r>
      <w:r w:rsidRPr="00020424">
        <w:rPr>
          <w:rtl/>
          <w:lang w:bidi="fa-IR"/>
        </w:rPr>
        <w:t xml:space="preserve"> ،</w:t>
      </w:r>
      <w:r w:rsidR="00175ABD">
        <w:rPr>
          <w:rFonts w:hint="cs"/>
          <w:rtl/>
          <w:lang w:bidi="fa-IR"/>
        </w:rPr>
        <w:t>................................</w:t>
      </w:r>
      <w:r w:rsidR="00175ABD">
        <w:rPr>
          <w:rFonts w:hint="cs"/>
          <w:rtl/>
          <w:lang w:bidi="fa-IR"/>
        </w:rPr>
        <w:tab/>
      </w:r>
    </w:p>
    <w:p w:rsidR="00992664" w:rsidRPr="00020424" w:rsidRDefault="00992664" w:rsidP="00992664">
      <w:pPr>
        <w:pStyle w:val="libLine"/>
        <w:rPr>
          <w:rtl/>
          <w:lang w:bidi="fa-IR"/>
        </w:rPr>
      </w:pPr>
      <w:r w:rsidRPr="00020424">
        <w:rPr>
          <w:rtl/>
          <w:lang w:bidi="fa-IR"/>
        </w:rPr>
        <w:t>__________________</w:t>
      </w:r>
    </w:p>
    <w:p w:rsidR="00992664" w:rsidRPr="00020424" w:rsidRDefault="00175ABD" w:rsidP="00992664">
      <w:pPr>
        <w:pStyle w:val="libFootnote0"/>
        <w:rPr>
          <w:rtl/>
          <w:lang w:bidi="fa-IR"/>
        </w:rPr>
      </w:pPr>
      <w:r>
        <w:rPr>
          <w:rFonts w:hint="cs"/>
          <w:rtl/>
        </w:rPr>
        <w:t xml:space="preserve">= </w:t>
      </w:r>
      <w:r w:rsidR="00992664" w:rsidRPr="00020424">
        <w:rPr>
          <w:rtl/>
        </w:rPr>
        <w:t>واسترفاد وانتجاع وغير ذلك. ووفد الحاجّ</w:t>
      </w:r>
      <w:r w:rsidR="00992664">
        <w:rPr>
          <w:rtl/>
        </w:rPr>
        <w:t xml:space="preserve"> </w:t>
      </w:r>
      <w:r w:rsidR="009B673F">
        <w:rPr>
          <w:rtl/>
        </w:rPr>
        <w:t>-</w:t>
      </w:r>
      <w:r w:rsidR="00992664">
        <w:rPr>
          <w:rtl/>
        </w:rPr>
        <w:t xml:space="preserve"> </w:t>
      </w:r>
      <w:r>
        <w:rPr>
          <w:rtl/>
        </w:rPr>
        <w:t>كما قال العل</w:t>
      </w:r>
      <w:r>
        <w:rPr>
          <w:rFonts w:hint="cs"/>
          <w:rtl/>
        </w:rPr>
        <w:t>ّ</w:t>
      </w:r>
      <w:r>
        <w:rPr>
          <w:rtl/>
        </w:rPr>
        <w:t>ا</w:t>
      </w:r>
      <w:r w:rsidR="00992664" w:rsidRPr="00020424">
        <w:rPr>
          <w:rtl/>
        </w:rPr>
        <w:t>مة الفيض</w:t>
      </w:r>
      <w:r w:rsidR="00992664">
        <w:rPr>
          <w:rtl/>
        </w:rPr>
        <w:t xml:space="preserve"> </w:t>
      </w:r>
      <w:r w:rsidR="009B673F">
        <w:rPr>
          <w:rtl/>
        </w:rPr>
        <w:t>-</w:t>
      </w:r>
      <w:r w:rsidR="00992664">
        <w:rPr>
          <w:rtl/>
        </w:rPr>
        <w:t xml:space="preserve"> </w:t>
      </w:r>
      <w:r w:rsidR="00992664" w:rsidRPr="00020424">
        <w:rPr>
          <w:rtl/>
        </w:rPr>
        <w:t>هم القادمون إلى مكّة للحجّ ؛ فإنّ تلك الليلة تكتب أسماء من قدّر أن يحجّ في تلك الليلة</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5 ، ص 209 ( وفد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175ABD">
        <w:rPr>
          <w:rtl/>
        </w:rPr>
        <w:t>والوافي والفقيه 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175ABD">
        <w:rPr>
          <w:rtl/>
        </w:rPr>
        <w:t>« الم</w:t>
      </w:r>
      <w:r w:rsidR="00175ABD">
        <w:rPr>
          <w:rFonts w:hint="cs"/>
          <w:rtl/>
        </w:rPr>
        <w:t>ـَ</w:t>
      </w:r>
      <w:r w:rsidR="00175ABD">
        <w:rPr>
          <w:rtl/>
        </w:rPr>
        <w:t>نايا » : جمع الم</w:t>
      </w:r>
      <w:r w:rsidR="00175ABD">
        <w:rPr>
          <w:rFonts w:hint="cs"/>
          <w:rtl/>
        </w:rPr>
        <w:t>ـَ</w:t>
      </w:r>
      <w:r w:rsidR="00175ABD">
        <w:rPr>
          <w:rtl/>
        </w:rPr>
        <w:t>نَّية ، وهي الموت ؛ من الم</w:t>
      </w:r>
      <w:r w:rsidR="00175ABD">
        <w:rPr>
          <w:rFonts w:hint="cs"/>
          <w:rtl/>
        </w:rPr>
        <w:t>ـَ</w:t>
      </w:r>
      <w:r w:rsidR="00992664" w:rsidRPr="00020424">
        <w:rPr>
          <w:rtl/>
        </w:rPr>
        <w:t xml:space="preserve">نْي بمعنى التقدير ؛ لأنّها مقدّرة بوقت مخصوص. راجع : </w:t>
      </w:r>
      <w:r w:rsidR="00992664" w:rsidRPr="0012008A">
        <w:rPr>
          <w:rStyle w:val="libFootnoteBoldChar"/>
          <w:rtl/>
        </w:rPr>
        <w:t>النهاية</w:t>
      </w:r>
      <w:r w:rsidR="00992664" w:rsidRPr="00020424">
        <w:rPr>
          <w:rtl/>
        </w:rPr>
        <w:t xml:space="preserve"> ، ج 4 ، ص 368 ؛ </w:t>
      </w:r>
      <w:r w:rsidR="00992664" w:rsidRPr="00A722B1">
        <w:rPr>
          <w:rStyle w:val="libFootnoteBoldChar"/>
          <w:rtl/>
        </w:rPr>
        <w:t>لسان العرب</w:t>
      </w:r>
      <w:r w:rsidR="00992664" w:rsidRPr="00020424">
        <w:rPr>
          <w:rtl/>
        </w:rPr>
        <w:t xml:space="preserve"> ، ج 15 ، ص 292 ( منا )</w:t>
      </w:r>
      <w:r w:rsidR="00992664">
        <w:rPr>
          <w:rtl/>
        </w:rPr>
        <w:t>.</w:t>
      </w:r>
    </w:p>
    <w:tbl>
      <w:tblPr>
        <w:tblStyle w:val="TableGrid"/>
        <w:bidiVisual/>
        <w:tblW w:w="0" w:type="auto"/>
        <w:tblLook w:val="04A0" w:firstRow="1" w:lastRow="0" w:firstColumn="1" w:lastColumn="0" w:noHBand="0" w:noVBand="1"/>
      </w:tblPr>
      <w:tblGrid>
        <w:gridCol w:w="4006"/>
        <w:gridCol w:w="4006"/>
      </w:tblGrid>
      <w:tr w:rsidR="00175ABD" w:rsidTr="00175ABD">
        <w:tc>
          <w:tcPr>
            <w:tcW w:w="4006" w:type="dxa"/>
          </w:tcPr>
          <w:p w:rsidR="00175ABD" w:rsidRDefault="00175ABD" w:rsidP="00992664">
            <w:pPr>
              <w:pStyle w:val="libFootnote0"/>
              <w:rPr>
                <w:rtl/>
              </w:rPr>
            </w:pPr>
            <w:r>
              <w:rPr>
                <w:rtl/>
              </w:rPr>
              <w:t xml:space="preserve">(3). </w:t>
            </w:r>
            <w:r w:rsidRPr="00020424">
              <w:rPr>
                <w:rtl/>
              </w:rPr>
              <w:t>في « بح » : « البلايا والمنايا</w:t>
            </w:r>
            <w:r>
              <w:rPr>
                <w:rtl/>
              </w:rPr>
              <w:t xml:space="preserve"> ».</w:t>
            </w:r>
          </w:p>
        </w:tc>
        <w:tc>
          <w:tcPr>
            <w:tcW w:w="4006" w:type="dxa"/>
          </w:tcPr>
          <w:p w:rsidR="00175ABD" w:rsidRDefault="00175ABD" w:rsidP="00992664">
            <w:pPr>
              <w:pStyle w:val="libFootnote0"/>
              <w:rPr>
                <w:rtl/>
              </w:rPr>
            </w:pPr>
            <w:r>
              <w:rPr>
                <w:rtl/>
              </w:rPr>
              <w:t xml:space="preserve">(4). </w:t>
            </w:r>
            <w:r w:rsidRPr="00020424">
              <w:rPr>
                <w:rtl/>
              </w:rPr>
              <w:t>في « ظ » : « مثله</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ى » : « القابل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جميع النسخ التي قوبلت</w:t>
      </w:r>
      <w:r w:rsidR="00992664">
        <w:rPr>
          <w:rtl/>
        </w:rPr>
        <w:t xml:space="preserve"> </w:t>
      </w:r>
      <w:r w:rsidR="009B673F">
        <w:rPr>
          <w:rtl/>
        </w:rPr>
        <w:t>-</w:t>
      </w:r>
      <w:r w:rsidR="00992664">
        <w:rPr>
          <w:rtl/>
        </w:rPr>
        <w:t xml:space="preserve"> </w:t>
      </w:r>
      <w:r w:rsidR="00175ABD">
        <w:rPr>
          <w:rtl/>
        </w:rPr>
        <w:t>إل</w:t>
      </w:r>
      <w:r w:rsidR="00175ABD">
        <w:rPr>
          <w:rFonts w:hint="cs"/>
          <w:rtl/>
        </w:rPr>
        <w:t>ّ</w:t>
      </w:r>
      <w:r w:rsidR="00175ABD">
        <w:rPr>
          <w:rtl/>
        </w:rPr>
        <w:t>ا</w:t>
      </w:r>
      <w:r w:rsidR="00992664" w:rsidRPr="00020424">
        <w:rPr>
          <w:rtl/>
        </w:rPr>
        <w:t xml:space="preserve"> « ى »</w:t>
      </w:r>
      <w:r w:rsidR="00992664">
        <w:rPr>
          <w:rtl/>
        </w:rPr>
        <w:t xml:space="preserve"> </w:t>
      </w:r>
      <w:r w:rsidR="009B673F">
        <w:rPr>
          <w:rtl/>
        </w:rPr>
        <w:t>-</w:t>
      </w:r>
      <w:r w:rsidR="00992664">
        <w:rPr>
          <w:rtl/>
        </w:rPr>
        <w:t xml:space="preserve"> </w:t>
      </w:r>
      <w:r w:rsidR="00992664" w:rsidRPr="00175ABD">
        <w:rPr>
          <w:rtl/>
        </w:rPr>
        <w:t>والتهذيب والأمالي للطوسي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وعشرين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جميع النسخ التي قوبلت </w:t>
      </w:r>
      <w:r w:rsidR="00992664" w:rsidRPr="00175ABD">
        <w:rPr>
          <w:rtl/>
        </w:rPr>
        <w:t>والتهذيب والأمالي للطوسي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وعشرين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75ABD" w:rsidTr="00175ABD">
        <w:tc>
          <w:tcPr>
            <w:tcW w:w="4006" w:type="dxa"/>
          </w:tcPr>
          <w:p w:rsidR="00175ABD" w:rsidRDefault="00175ABD" w:rsidP="00992664">
            <w:pPr>
              <w:pStyle w:val="libFootnote0"/>
              <w:rPr>
                <w:rtl/>
              </w:rPr>
            </w:pPr>
            <w:r>
              <w:rPr>
                <w:rtl/>
              </w:rPr>
              <w:t xml:space="preserve">(8). </w:t>
            </w:r>
            <w:r w:rsidRPr="00020424">
              <w:rPr>
                <w:rtl/>
              </w:rPr>
              <w:t>في « ظ » : « واحد</w:t>
            </w:r>
            <w:r>
              <w:rPr>
                <w:rtl/>
              </w:rPr>
              <w:t xml:space="preserve"> ».</w:t>
            </w:r>
          </w:p>
        </w:tc>
        <w:tc>
          <w:tcPr>
            <w:tcW w:w="4006" w:type="dxa"/>
          </w:tcPr>
          <w:p w:rsidR="00175ABD" w:rsidRDefault="00175ABD" w:rsidP="00992664">
            <w:pPr>
              <w:pStyle w:val="libFootnote0"/>
              <w:rPr>
                <w:rtl/>
              </w:rPr>
            </w:pPr>
            <w:r>
              <w:rPr>
                <w:rtl/>
              </w:rPr>
              <w:t>(9). في «بخ،بر،</w:t>
            </w:r>
            <w:r w:rsidRPr="00020424">
              <w:rPr>
                <w:rtl/>
              </w:rPr>
              <w:t>ب</w:t>
            </w:r>
            <w:r>
              <w:rPr>
                <w:rtl/>
              </w:rPr>
              <w:t>ف» وحاشية «ى،بث» : «</w:t>
            </w:r>
            <w:r w:rsidRPr="00020424">
              <w:rPr>
                <w:rtl/>
              </w:rPr>
              <w:t>وأحيها</w:t>
            </w:r>
            <w:r>
              <w:rPr>
                <w:rtl/>
              </w:rPr>
              <w:t>».</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75ABD">
        <w:rPr>
          <w:rtl/>
        </w:rPr>
        <w:t>الوافي</w:t>
      </w:r>
      <w:r w:rsidR="00992664" w:rsidRPr="00020424">
        <w:rPr>
          <w:rtl/>
        </w:rPr>
        <w:t xml:space="preserve"> : « النور ، كناية عن انفجار الصبح بالفلق</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جن » : « وصلّ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75ABD">
        <w:rP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إلى النور واغتسل</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أنت جالس</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75ABD">
        <w:rPr>
          <w:rtl/>
        </w:rPr>
        <w:t>الوسائل والفقيه</w:t>
      </w:r>
      <w:r w:rsidR="00992664" w:rsidRPr="00020424">
        <w:rPr>
          <w:rtl/>
        </w:rPr>
        <w:t xml:space="preserve"> : + « قلت : فإن لم أستطع</w:t>
      </w:r>
      <w:r w:rsidR="00992664">
        <w:rPr>
          <w:rtl/>
        </w:rPr>
        <w:t>؟</w:t>
      </w:r>
      <w:r w:rsidR="00992664" w:rsidRPr="00020424">
        <w:rPr>
          <w:rtl/>
        </w:rPr>
        <w:t xml:space="preserve"> فقال</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ظ » </w:t>
      </w:r>
      <w:r w:rsidR="00992664" w:rsidRPr="00175ABD">
        <w:rPr>
          <w:rtl/>
        </w:rPr>
        <w:t>والتهذيب</w:t>
      </w:r>
      <w:r w:rsidR="00992664" w:rsidRPr="00020424">
        <w:rPr>
          <w:rtl/>
        </w:rPr>
        <w:t xml:space="preserve"> : + « في</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عليك ، أي لا بأس. والاكتحال بالنوم كناية عن القليل منه</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175ABD">
        <w:rPr>
          <w:rtl/>
        </w:rPr>
        <w:t>«تصفّد الشياطين</w:t>
      </w:r>
      <w:r w:rsidR="00992664" w:rsidRPr="00020424">
        <w:rPr>
          <w:rtl/>
        </w:rPr>
        <w:t xml:space="preserve">» أي تشدّ وتوثق بالأغلال ، يقال : صَفَدَه وصفّده. راجع : </w:t>
      </w:r>
      <w:r w:rsidR="00992664" w:rsidRPr="0012008A">
        <w:rPr>
          <w:rStyle w:val="libFootnoteBoldChar"/>
          <w:rtl/>
        </w:rPr>
        <w:t>الصحاح</w:t>
      </w:r>
      <w:r w:rsidR="00175ABD">
        <w:rPr>
          <w:rtl/>
        </w:rPr>
        <w:t xml:space="preserve"> ،ج 2 ،ص 498؛</w:t>
      </w:r>
      <w:r w:rsidR="00175ABD">
        <w:rPr>
          <w:rFonts w:hint="cs"/>
          <w:rtl/>
        </w:rPr>
        <w:t xml:space="preserve"> =</w:t>
      </w:r>
    </w:p>
    <w:p w:rsidR="00795177" w:rsidRDefault="00795177" w:rsidP="00795177">
      <w:pPr>
        <w:pStyle w:val="libNormal"/>
        <w:rPr>
          <w:rtl/>
          <w:lang w:bidi="fa-IR"/>
        </w:rPr>
      </w:pPr>
      <w:r>
        <w:rPr>
          <w:rtl/>
          <w:lang w:bidi="fa-IR"/>
        </w:rPr>
        <w:br w:type="page"/>
      </w:r>
    </w:p>
    <w:p w:rsidR="00992664" w:rsidRPr="00020424" w:rsidRDefault="00992664" w:rsidP="009821FF">
      <w:pPr>
        <w:pStyle w:val="libNormal0"/>
        <w:rPr>
          <w:rtl/>
          <w:lang w:bidi="fa-IR"/>
        </w:rPr>
      </w:pPr>
      <w:r w:rsidRPr="00020424">
        <w:rPr>
          <w:rtl/>
          <w:lang w:bidi="fa-IR"/>
        </w:rPr>
        <w:t xml:space="preserve">وَتُقْبَلُ </w:t>
      </w:r>
      <w:r w:rsidRPr="00A91B96">
        <w:rPr>
          <w:rStyle w:val="libFootnotenumChar"/>
          <w:rtl/>
        </w:rPr>
        <w:t>(1)</w:t>
      </w:r>
      <w:r w:rsidRPr="00020424">
        <w:rPr>
          <w:rtl/>
          <w:lang w:bidi="fa-IR"/>
        </w:rPr>
        <w:t xml:space="preserve"> أَعْمَالُ الْمُؤْمِنِينَ ، نِعْمَ الشَّهْرُ رَمَضَانُ ، كَانَ </w:t>
      </w:r>
      <w:r w:rsidRPr="00A91B96">
        <w:rPr>
          <w:rStyle w:val="libFootnotenumChar"/>
          <w:rtl/>
        </w:rPr>
        <w:t>(2)</w:t>
      </w:r>
      <w:r w:rsidRPr="00020424">
        <w:rPr>
          <w:rtl/>
          <w:lang w:bidi="fa-IR"/>
        </w:rPr>
        <w:t xml:space="preserve"> يُسَمّى عَلى عَهْدِ رَسُولِ اللهِ </w:t>
      </w:r>
      <w:r w:rsidR="00B42914" w:rsidRPr="00B42914">
        <w:rPr>
          <w:rStyle w:val="libAlaemChar"/>
          <w:rtl/>
        </w:rPr>
        <w:t>صلى‌الله‌عليه‌وآله‌</w:t>
      </w:r>
      <w:r w:rsidRPr="00020424">
        <w:rPr>
          <w:rtl/>
          <w:lang w:bidi="fa-IR"/>
        </w:rPr>
        <w:t xml:space="preserve"> الْمَرْزُوقَ</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4C302E">
        <w:rPr>
          <w:rtl/>
        </w:rPr>
        <w:t>6621</w:t>
      </w:r>
      <w:r w:rsidRPr="001155DE">
        <w:rPr>
          <w:rStyle w:val="libBold2Char"/>
          <w:rtl/>
        </w:rPr>
        <w:t xml:space="preserve"> / 3.</w:t>
      </w:r>
      <w:r w:rsidRPr="00020424">
        <w:rPr>
          <w:rtl/>
          <w:lang w:bidi="fa-IR"/>
        </w:rPr>
        <w:t xml:space="preserve"> أَحْمَدُ بْنُ مُحَمَّدٍ </w:t>
      </w:r>
      <w:r w:rsidRPr="00A91B96">
        <w:rPr>
          <w:rStyle w:val="libFootnotenumChar"/>
          <w:rtl/>
        </w:rPr>
        <w:t>(4)</w:t>
      </w:r>
      <w:r w:rsidRPr="00020424">
        <w:rPr>
          <w:rtl/>
          <w:lang w:bidi="fa-IR"/>
        </w:rPr>
        <w:t xml:space="preserve"> ، عَنِ الْحُسَيْنِ بْنِ سَعِيدٍ ، عَنْ فَضَالَةَ بْنِ أَيُّوبَ ، عَنِ الْعَلَاءِ </w:t>
      </w:r>
      <w:r w:rsidRPr="00A91B96">
        <w:rPr>
          <w:rStyle w:val="libFootnotenumChar"/>
          <w:rtl/>
        </w:rPr>
        <w:t>(5)</w:t>
      </w:r>
      <w:r w:rsidRPr="00020424">
        <w:rPr>
          <w:rtl/>
          <w:lang w:bidi="fa-IR"/>
        </w:rPr>
        <w:t xml:space="preserve"> بْنِ رَزِينٍ ، عَنْ مُحَمَّدِ بْنِ مُسْلِمٍ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سأَلْتُهُ عَنْ عَلَامَةِ لَيْلَةِ الْقَدْرِ</w:t>
      </w:r>
      <w:r>
        <w:rPr>
          <w:rtl/>
          <w:lang w:bidi="fa-IR"/>
        </w:rPr>
        <w:t>؟</w:t>
      </w:r>
    </w:p>
    <w:p w:rsidR="00992664" w:rsidRPr="00020424" w:rsidRDefault="00992664" w:rsidP="00992664">
      <w:pPr>
        <w:pStyle w:val="libNormal"/>
        <w:rPr>
          <w:rtl/>
          <w:lang w:bidi="fa-IR"/>
        </w:rPr>
      </w:pPr>
      <w:r w:rsidRPr="00020424">
        <w:rPr>
          <w:rtl/>
          <w:lang w:bidi="fa-IR"/>
        </w:rPr>
        <w:t xml:space="preserve">فَقَالَ : « عَلَامَتُهَا أَنْ تَطِيبَ </w:t>
      </w:r>
      <w:r w:rsidRPr="00A91B96">
        <w:rPr>
          <w:rStyle w:val="libFootnotenumChar"/>
          <w:rtl/>
        </w:rPr>
        <w:t>(6)</w:t>
      </w:r>
      <w:r w:rsidRPr="00020424">
        <w:rPr>
          <w:rtl/>
          <w:lang w:bidi="fa-IR"/>
        </w:rPr>
        <w:t xml:space="preserve"> رِيحُهَا ، وَإِنْ </w:t>
      </w:r>
      <w:r w:rsidRPr="00A91B96">
        <w:rPr>
          <w:rStyle w:val="libFootnotenumChar"/>
          <w:rtl/>
        </w:rPr>
        <w:t>(7)</w:t>
      </w:r>
      <w:r w:rsidRPr="00020424">
        <w:rPr>
          <w:rtl/>
          <w:lang w:bidi="fa-IR"/>
        </w:rPr>
        <w:t xml:space="preserve"> كَانَتْ </w:t>
      </w:r>
      <w:r w:rsidRPr="00A91B96">
        <w:rPr>
          <w:rStyle w:val="libFootnotenumChar"/>
          <w:rtl/>
        </w:rPr>
        <w:t>(8)</w:t>
      </w:r>
      <w:r w:rsidRPr="00020424">
        <w:rPr>
          <w:rtl/>
          <w:lang w:bidi="fa-IR"/>
        </w:rPr>
        <w:t xml:space="preserve"> فِي بَرْدٍ دَفِئَتْ </w:t>
      </w:r>
      <w:r w:rsidRPr="00A91B96">
        <w:rPr>
          <w:rStyle w:val="libFootnotenumChar"/>
          <w:rtl/>
        </w:rPr>
        <w:t>(9)</w:t>
      </w:r>
      <w:r w:rsidRPr="00020424">
        <w:rPr>
          <w:rtl/>
          <w:lang w:bidi="fa-IR"/>
        </w:rPr>
        <w:t xml:space="preserve"> ، وَإِنْ </w:t>
      </w:r>
      <w:r w:rsidRPr="00A91B96">
        <w:rPr>
          <w:rStyle w:val="libFootnotenumChar"/>
          <w:rtl/>
        </w:rPr>
        <w:t>(10)</w:t>
      </w:r>
      <w:r w:rsidRPr="00020424">
        <w:rPr>
          <w:rtl/>
          <w:lang w:bidi="fa-IR"/>
        </w:rPr>
        <w:t xml:space="preserve"> كَانَتْ </w:t>
      </w:r>
      <w:r w:rsidRPr="00A91B96">
        <w:rPr>
          <w:rStyle w:val="libFootnotenumChar"/>
          <w:rtl/>
        </w:rPr>
        <w:t>(11)</w:t>
      </w:r>
      <w:r w:rsidRPr="00020424">
        <w:rPr>
          <w:rtl/>
          <w:lang w:bidi="fa-IR"/>
        </w:rPr>
        <w:t xml:space="preserve"> فِي حَرٍّ بَرَدَتْ ، فَطَابَتْ </w:t>
      </w:r>
      <w:r w:rsidRPr="00A91B96">
        <w:rPr>
          <w:rStyle w:val="libFootnotenumChar"/>
          <w:rtl/>
        </w:rPr>
        <w:t>(12)</w:t>
      </w:r>
      <w:r>
        <w:rPr>
          <w:rtl/>
          <w:lang w:bidi="fa-IR"/>
        </w:rPr>
        <w:t xml:space="preserve"> ».</w:t>
      </w:r>
    </w:p>
    <w:p w:rsidR="00992664" w:rsidRDefault="00992664" w:rsidP="00992664">
      <w:pPr>
        <w:pStyle w:val="libNormal"/>
        <w:rPr>
          <w:rtl/>
          <w:lang w:bidi="fa-IR"/>
        </w:rPr>
      </w:pPr>
      <w:r w:rsidRPr="00020424">
        <w:rPr>
          <w:rtl/>
          <w:lang w:bidi="fa-IR"/>
        </w:rPr>
        <w:t>قَالَ : وَسُئِلَ عَنْ لَيْلَةِ الْقَدْرِ</w:t>
      </w:r>
      <w:r>
        <w:rPr>
          <w:rtl/>
          <w:lang w:bidi="fa-IR"/>
        </w:rPr>
        <w:t>؟</w:t>
      </w:r>
    </w:p>
    <w:p w:rsidR="00992664" w:rsidRPr="00020424" w:rsidRDefault="00992664" w:rsidP="00992664">
      <w:pPr>
        <w:pStyle w:val="libNormal"/>
        <w:rPr>
          <w:rtl/>
          <w:lang w:bidi="fa-IR"/>
        </w:rPr>
      </w:pPr>
      <w:r w:rsidRPr="00020424">
        <w:rPr>
          <w:rtl/>
          <w:lang w:bidi="fa-IR"/>
        </w:rPr>
        <w:t xml:space="preserve">فَقَالَ : « تَنْزِلُ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فِيهَا الْمَلَائِكَةُ وَالْكَتَبَةُ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إِلَى السَّمَاءِ الدُّنْيَا ، فَيَكْتُبُونَ مَا يَكُونُ فِي</w:t>
      </w:r>
    </w:p>
    <w:p w:rsidR="00992664" w:rsidRPr="00020424" w:rsidRDefault="00992664" w:rsidP="00992664">
      <w:pPr>
        <w:pStyle w:val="libLine"/>
        <w:rPr>
          <w:rtl/>
          <w:lang w:bidi="fa-IR"/>
        </w:rPr>
      </w:pPr>
      <w:r w:rsidRPr="00020424">
        <w:rPr>
          <w:rtl/>
          <w:lang w:bidi="fa-IR"/>
        </w:rPr>
        <w:t>__________________</w:t>
      </w:r>
    </w:p>
    <w:p w:rsidR="00992664" w:rsidRPr="00020424" w:rsidRDefault="00F37A93" w:rsidP="00992664">
      <w:pPr>
        <w:pStyle w:val="libFootnote0"/>
        <w:rPr>
          <w:rtl/>
          <w:lang w:bidi="fa-IR"/>
        </w:rPr>
      </w:pPr>
      <w:r w:rsidRPr="00F37A93">
        <w:rPr>
          <w:rFonts w:hint="cs"/>
          <w:rtl/>
        </w:rPr>
        <w:t xml:space="preserve">= </w:t>
      </w:r>
      <w:r w:rsidR="00992664" w:rsidRPr="0012008A">
        <w:rPr>
          <w:rStyle w:val="libFootnoteBoldChar"/>
          <w:rtl/>
        </w:rPr>
        <w:t>النهاية</w:t>
      </w:r>
      <w:r w:rsidR="00992664" w:rsidRPr="00020424">
        <w:rPr>
          <w:rtl/>
        </w:rPr>
        <w:t xml:space="preserve"> ، ج 3 ، ص 35 ( صفد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ويقبل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F37A93">
        <w:rPr>
          <w:rtl/>
        </w:rPr>
        <w:t>الوافي</w:t>
      </w:r>
      <w:r w:rsidR="00992664" w:rsidRPr="00020424">
        <w:rPr>
          <w:rtl/>
        </w:rPr>
        <w:t xml:space="preserve"> : « وكان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757F3F">
        <w:rPr>
          <w:rStyle w:val="libFootnoteBoldChar"/>
          <w:rtl/>
        </w:rPr>
        <w:t>الأمالي للطوسي</w:t>
      </w:r>
      <w:r w:rsidR="00992664" w:rsidRPr="00020424">
        <w:rPr>
          <w:rtl/>
        </w:rPr>
        <w:t xml:space="preserve"> ، ص 690 ، المجلس 39 ، ح 10 ، بسنده عن محمّد بن </w:t>
      </w:r>
      <w:r w:rsidR="00523A60">
        <w:rPr>
          <w:rtl/>
        </w:rPr>
        <w:t>يحيى ، عن أحمد بن محمّد بن عيسى</w:t>
      </w:r>
      <w:r w:rsidR="00992664" w:rsidRPr="00020424">
        <w:rPr>
          <w:rtl/>
        </w:rPr>
        <w:t xml:space="preserve">، عن الحسين بن سعيد ، عن القاسم بن محمّد ، عن عليّ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3 ، ص 58 ، ح 201 ، معلّقاً عن الحسين بن سعيد ؛ </w:t>
      </w:r>
      <w:r w:rsidR="00992664" w:rsidRPr="0012008A">
        <w:rPr>
          <w:rStyle w:val="libFootnoteBoldChar"/>
          <w:rtl/>
        </w:rPr>
        <w:t>ثواب الأعمال</w:t>
      </w:r>
      <w:r w:rsidR="00992664" w:rsidRPr="00020424">
        <w:rPr>
          <w:rtl/>
        </w:rPr>
        <w:t xml:space="preserve"> ، ص 92 ، ح 9 ، بسنده عن الحسين بن سعيد ، من قوله : « إنّ أبواب السماء</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159 ، ح 2029 ، معلّقاً عن عليّ بن أبي حمزة. </w:t>
      </w:r>
      <w:r w:rsidR="00992664" w:rsidRPr="0012008A">
        <w:rPr>
          <w:rStyle w:val="libFootnoteBoldChar"/>
          <w:rtl/>
        </w:rPr>
        <w:t>المقنعة</w:t>
      </w:r>
      <w:r w:rsidR="00992664" w:rsidRPr="00020424">
        <w:rPr>
          <w:rtl/>
        </w:rPr>
        <w:t xml:space="preserve"> ، ص 309 ، مرسلاً من دون التصريح باسم المعصوم </w:t>
      </w:r>
      <w:r w:rsidR="00992664" w:rsidRPr="00D64ADA">
        <w:rPr>
          <w:rStyle w:val="libFootnoteAlaemChar"/>
          <w:rtl/>
        </w:rPr>
        <w:t>عليه‌السلام</w:t>
      </w:r>
      <w:r w:rsidR="00992664" w:rsidRPr="00020424">
        <w:rPr>
          <w:rtl/>
        </w:rPr>
        <w:t xml:space="preserve"> ، من قوله : « إنّ أبواب السماء » </w:t>
      </w:r>
      <w:r w:rsidR="00F37A93">
        <w:rPr>
          <w:rFonts w:hint="cs"/>
          <w:rtl/>
        </w:rPr>
        <w:t>.</w:t>
      </w:r>
      <w:r w:rsidR="00992664" w:rsidRPr="0012008A">
        <w:rPr>
          <w:rStyle w:val="libFootnoteBoldChar"/>
          <w:rtl/>
        </w:rPr>
        <w:t>الوافي</w:t>
      </w:r>
      <w:r w:rsidR="00992664" w:rsidRPr="00020424">
        <w:rPr>
          <w:rtl/>
        </w:rPr>
        <w:t xml:space="preserve"> ، ج 11 ، ص 382 ، ح 11061 ؛ </w:t>
      </w:r>
      <w:r w:rsidR="00992664" w:rsidRPr="0012008A">
        <w:rPr>
          <w:rStyle w:val="libFootnoteBoldChar"/>
          <w:rtl/>
        </w:rPr>
        <w:t>الوسائل</w:t>
      </w:r>
      <w:r w:rsidR="00992664" w:rsidRPr="00020424">
        <w:rPr>
          <w:rtl/>
        </w:rPr>
        <w:t xml:space="preserve"> ، ج 10 ، ص 354 ، ح 13592.</w:t>
      </w:r>
    </w:p>
    <w:tbl>
      <w:tblPr>
        <w:tblStyle w:val="TableGrid"/>
        <w:bidiVisual/>
        <w:tblW w:w="0" w:type="auto"/>
        <w:tblLook w:val="04A0" w:firstRow="1" w:lastRow="0" w:firstColumn="1" w:lastColumn="0" w:noHBand="0" w:noVBand="1"/>
      </w:tblPr>
      <w:tblGrid>
        <w:gridCol w:w="4006"/>
        <w:gridCol w:w="4006"/>
      </w:tblGrid>
      <w:tr w:rsidR="00F37A93" w:rsidTr="00F37A93">
        <w:tc>
          <w:tcPr>
            <w:tcW w:w="4006" w:type="dxa"/>
          </w:tcPr>
          <w:p w:rsidR="00F37A93" w:rsidRDefault="00F37A93" w:rsidP="00992664">
            <w:pPr>
              <w:pStyle w:val="libFootnote0"/>
              <w:rPr>
                <w:rtl/>
              </w:rPr>
            </w:pPr>
            <w:r>
              <w:rPr>
                <w:rtl/>
              </w:rPr>
              <w:t xml:space="preserve">(4). </w:t>
            </w:r>
            <w:r w:rsidRPr="00020424">
              <w:rPr>
                <w:rtl/>
              </w:rPr>
              <w:t>السند معلّق ، كسابقه.</w:t>
            </w:r>
          </w:p>
        </w:tc>
        <w:tc>
          <w:tcPr>
            <w:tcW w:w="4006" w:type="dxa"/>
          </w:tcPr>
          <w:p w:rsidR="00F37A93" w:rsidRDefault="00F37A93" w:rsidP="00992664">
            <w:pPr>
              <w:pStyle w:val="libFootnote0"/>
              <w:rPr>
                <w:rtl/>
              </w:rPr>
            </w:pPr>
            <w:r>
              <w:rPr>
                <w:rtl/>
              </w:rPr>
              <w:t xml:space="preserve">(5). </w:t>
            </w:r>
            <w:r w:rsidRPr="00020424">
              <w:rPr>
                <w:rtl/>
              </w:rPr>
              <w:t>في « بخ ، بر ، بس » : « علا</w:t>
            </w:r>
            <w:r>
              <w:rPr>
                <w:rtl/>
              </w:rPr>
              <w:t xml:space="preserve"> ».</w:t>
            </w:r>
          </w:p>
        </w:tc>
      </w:tr>
      <w:tr w:rsidR="00F37A93" w:rsidTr="00F37A93">
        <w:tc>
          <w:tcPr>
            <w:tcW w:w="4006" w:type="dxa"/>
          </w:tcPr>
          <w:p w:rsidR="00F37A93" w:rsidRDefault="00F37A93" w:rsidP="00992664">
            <w:pPr>
              <w:pStyle w:val="libFootnote0"/>
              <w:rPr>
                <w:rtl/>
              </w:rPr>
            </w:pPr>
            <w:r>
              <w:rPr>
                <w:rtl/>
              </w:rPr>
              <w:t xml:space="preserve">(6). </w:t>
            </w:r>
            <w:r w:rsidRPr="00020424">
              <w:rPr>
                <w:rtl/>
              </w:rPr>
              <w:t xml:space="preserve">في « بخ » </w:t>
            </w:r>
            <w:r w:rsidRPr="00F37A93">
              <w:rPr>
                <w:rtl/>
              </w:rPr>
              <w:t>والوسائل</w:t>
            </w:r>
            <w:r w:rsidRPr="00020424">
              <w:rPr>
                <w:rtl/>
              </w:rPr>
              <w:t xml:space="preserve"> : « أن يطيب</w:t>
            </w:r>
            <w:r>
              <w:rPr>
                <w:rtl/>
              </w:rPr>
              <w:t xml:space="preserve"> ».</w:t>
            </w:r>
          </w:p>
        </w:tc>
        <w:tc>
          <w:tcPr>
            <w:tcW w:w="4006" w:type="dxa"/>
          </w:tcPr>
          <w:p w:rsidR="00F37A93" w:rsidRDefault="00F37A93" w:rsidP="00992664">
            <w:pPr>
              <w:pStyle w:val="libFootnote0"/>
              <w:rPr>
                <w:rtl/>
              </w:rPr>
            </w:pPr>
            <w:r>
              <w:rPr>
                <w:rtl/>
              </w:rPr>
              <w:t xml:space="preserve">(7). </w:t>
            </w:r>
            <w:r w:rsidRPr="00020424">
              <w:rPr>
                <w:rtl/>
              </w:rPr>
              <w:t>في « بخ ، بر ، بف » : « فإن</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ظ » : « كان</w:t>
      </w:r>
      <w:r w:rsidR="00992664">
        <w:rPr>
          <w:rtl/>
        </w:rPr>
        <w:t xml:space="preserve"> ».</w:t>
      </w:r>
    </w:p>
    <w:p w:rsidR="00992664" w:rsidRPr="00020424" w:rsidRDefault="00795177" w:rsidP="00F37A93">
      <w:pPr>
        <w:pStyle w:val="libFootnote0"/>
        <w:rPr>
          <w:rtl/>
          <w:lang w:bidi="fa-IR"/>
        </w:rPr>
      </w:pPr>
      <w:r>
        <w:rPr>
          <w:rtl/>
        </w:rPr>
        <w:t>(9).</w:t>
      </w:r>
      <w:r w:rsidR="0014403D">
        <w:rPr>
          <w:rtl/>
        </w:rPr>
        <w:t xml:space="preserve"> </w:t>
      </w:r>
      <w:r w:rsidR="00992664" w:rsidRPr="00020424">
        <w:rPr>
          <w:rtl/>
        </w:rPr>
        <w:t xml:space="preserve">« دفئت » أي سخنت ؛ من الدِّف‌ء بمعنى السخونة. والدِّف‌ء ، أيضاً : نقيض حدّة البرد. راجع : </w:t>
      </w:r>
      <w:r w:rsidR="00992664" w:rsidRPr="0012008A">
        <w:rPr>
          <w:rStyle w:val="libFootnoteBoldChar"/>
          <w:rtl/>
        </w:rPr>
        <w:t>الصحاح</w:t>
      </w:r>
      <w:r w:rsidR="00992664" w:rsidRPr="00020424">
        <w:rPr>
          <w:rtl/>
        </w:rPr>
        <w:t xml:space="preserve"> ، ج 1 ، ص 50 ؛ </w:t>
      </w:r>
      <w:r w:rsidR="00992664" w:rsidRPr="00A722B1">
        <w:rPr>
          <w:rStyle w:val="libFootnoteBoldChar"/>
          <w:rtl/>
        </w:rPr>
        <w:t>لسان العرب</w:t>
      </w:r>
      <w:r w:rsidR="00992664" w:rsidRPr="00020424">
        <w:rPr>
          <w:rtl/>
        </w:rPr>
        <w:t xml:space="preserve"> ، ج 1 ، ص 75 ( دفأ )</w:t>
      </w:r>
      <w:r w:rsidR="00992664">
        <w:rPr>
          <w:rtl/>
        </w:rPr>
        <w:t>.</w:t>
      </w:r>
      <w:r w:rsidR="00F37A93">
        <w:rPr>
          <w:rFonts w:hint="cs"/>
          <w:rtl/>
        </w:rPr>
        <w:t xml:space="preserve">  </w:t>
      </w:r>
      <w:r>
        <w:rPr>
          <w:rtl/>
        </w:rPr>
        <w:t>(10).</w:t>
      </w:r>
      <w:r w:rsidR="0014403D">
        <w:rPr>
          <w:rtl/>
        </w:rPr>
        <w:t xml:space="preserve"> </w:t>
      </w:r>
      <w:r w:rsidR="00992664" w:rsidRPr="00020424">
        <w:rPr>
          <w:rtl/>
        </w:rPr>
        <w:t xml:space="preserve">في </w:t>
      </w:r>
      <w:r w:rsidR="00992664" w:rsidRPr="00F37A93">
        <w:rPr>
          <w:rtl/>
        </w:rPr>
        <w:t>الوافي</w:t>
      </w:r>
      <w:r w:rsidR="00992664" w:rsidRPr="00020424">
        <w:rPr>
          <w:rtl/>
        </w:rPr>
        <w:t xml:space="preserve"> : « فإن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 « كان</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بث ، بخ ، بر ، بف ، جن » </w:t>
      </w:r>
      <w:r w:rsidR="00992664" w:rsidRPr="00F37A93">
        <w:rPr>
          <w:rtl/>
        </w:rPr>
        <w:t>والوافي والفقيه</w:t>
      </w:r>
      <w:r w:rsidR="00992664" w:rsidRPr="00020424">
        <w:rPr>
          <w:rtl/>
        </w:rPr>
        <w:t xml:space="preserve"> : « وطابت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F37A93" w:rsidTr="00F37A93">
        <w:tc>
          <w:tcPr>
            <w:tcW w:w="4006" w:type="dxa"/>
          </w:tcPr>
          <w:p w:rsidR="00F37A93" w:rsidRDefault="00F37A93" w:rsidP="00992664">
            <w:pPr>
              <w:pStyle w:val="libFootnote0"/>
              <w:rPr>
                <w:rtl/>
              </w:rPr>
            </w:pPr>
            <w:r>
              <w:rPr>
                <w:rtl/>
              </w:rPr>
              <w:t xml:space="preserve">(13). </w:t>
            </w:r>
            <w:r w:rsidRPr="00020424">
              <w:rPr>
                <w:rtl/>
              </w:rPr>
              <w:t>في « بث » وتفسير العيّاشي : « ينزل</w:t>
            </w:r>
            <w:r>
              <w:rPr>
                <w:rtl/>
              </w:rPr>
              <w:t xml:space="preserve"> ».</w:t>
            </w:r>
          </w:p>
        </w:tc>
        <w:tc>
          <w:tcPr>
            <w:tcW w:w="4006" w:type="dxa"/>
          </w:tcPr>
          <w:p w:rsidR="00F37A93" w:rsidRDefault="00F37A93" w:rsidP="00992664">
            <w:pPr>
              <w:pStyle w:val="libFootnote0"/>
              <w:rPr>
                <w:rtl/>
              </w:rPr>
            </w:pPr>
            <w:r>
              <w:rPr>
                <w:rtl/>
              </w:rPr>
              <w:t xml:space="preserve">(14). </w:t>
            </w:r>
            <w:r w:rsidRPr="00020424">
              <w:rPr>
                <w:rtl/>
              </w:rPr>
              <w:t>في « بر ، بف » : « والكتب</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F37A93">
      <w:pPr>
        <w:pStyle w:val="libNormal0"/>
        <w:rPr>
          <w:rtl/>
          <w:lang w:bidi="fa-IR"/>
        </w:rPr>
      </w:pPr>
      <w:r w:rsidRPr="00020424">
        <w:rPr>
          <w:rtl/>
          <w:lang w:bidi="fa-IR"/>
        </w:rPr>
        <w:t xml:space="preserve">أَمْرِ السَّنَةِ وَمَا يُصِيبُ الْعِبَادَ ، وَأَمْرُهُ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عِنْدَهُ مَوْقُوفٌ لَهُ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 وَفِيهِ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الْمَشِيئَةُ ، فَيُقَدِّمُ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مَا يَشَاءُ ، وَيُؤَخِّرُ مِنْهُ مَا يَشَاءُ ، وَيَمْحُو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وَيُثْبِتُ ، وَعِنْدَهُ أُمُّ الْكِتَابِ </w:t>
      </w:r>
      <w:r w:rsidRPr="00A91B96">
        <w:rPr>
          <w:rStyle w:val="libFootnotenumChar"/>
          <w:rtl/>
        </w:rPr>
        <w:t>(</w:t>
      </w:r>
      <w:r w:rsidRPr="00A91B96">
        <w:rPr>
          <w:rStyle w:val="libFootnotenumChar"/>
          <w:rFonts w:hint="cs"/>
          <w:rtl/>
        </w:rPr>
        <w:t>6</w:t>
      </w:r>
      <w:r w:rsidRPr="00A91B96">
        <w:rPr>
          <w:rStyle w:val="libFootnotenumChar"/>
          <w:rtl/>
        </w:rPr>
        <w:t>)</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4C302E">
        <w:rPr>
          <w:rtl/>
        </w:rPr>
        <w:t>6622</w:t>
      </w:r>
      <w:r w:rsidRPr="001155DE">
        <w:rPr>
          <w:rStyle w:val="libBold2Char"/>
          <w:rtl/>
        </w:rPr>
        <w:t xml:space="preserve"> / 4.</w:t>
      </w:r>
      <w:r w:rsidRPr="00020424">
        <w:rPr>
          <w:rtl/>
          <w:lang w:bidi="fa-IR"/>
        </w:rPr>
        <w:t xml:space="preserve"> عَلِيُّ بْنُ إِبْرَاهِيمَ ، عَنْ أَبِيهِ ، عَنِ ابْنِ أَبِي عُمَيْرٍ ، عَنْ غَيْرِ وَاحِدٍ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قَالُوا : قَالَ لَهُ بَعْضُ أَصْحَابِنَا </w:t>
      </w:r>
      <w:r w:rsidRPr="00A91B96">
        <w:rPr>
          <w:rStyle w:val="libFootnotenumChar"/>
          <w:rtl/>
        </w:rPr>
        <w:t>(</w:t>
      </w:r>
      <w:r w:rsidRPr="00A91B96">
        <w:rPr>
          <w:rStyle w:val="libFootnotenumChar"/>
          <w:rFonts w:hint="cs"/>
          <w:rtl/>
        </w:rPr>
        <w:t>8</w:t>
      </w:r>
      <w:r w:rsidRPr="00A91B96">
        <w:rPr>
          <w:rStyle w:val="libFootnotenumChar"/>
          <w:rtl/>
        </w:rPr>
        <w:t>)</w:t>
      </w:r>
      <w:r>
        <w:rPr>
          <w:rtl/>
          <w:lang w:bidi="fa-IR"/>
        </w:rPr>
        <w:t xml:space="preserve"> </w:t>
      </w:r>
      <w:r w:rsidR="009B673F">
        <w:rPr>
          <w:rtl/>
          <w:lang w:bidi="fa-IR"/>
        </w:rPr>
        <w:t>-</w:t>
      </w:r>
      <w:r>
        <w:rPr>
          <w:rtl/>
          <w:lang w:bidi="fa-IR"/>
        </w:rPr>
        <w:t xml:space="preserve"> </w:t>
      </w:r>
      <w:r w:rsidRPr="00020424">
        <w:rPr>
          <w:rtl/>
          <w:lang w:bidi="fa-IR"/>
        </w:rPr>
        <w:t>قَالَ : وَلَا</w:t>
      </w:r>
      <w:r>
        <w:rPr>
          <w:rFonts w:hint="cs"/>
          <w:rtl/>
          <w:lang w:bidi="fa-IR"/>
        </w:rPr>
        <w:t xml:space="preserve"> </w:t>
      </w:r>
      <w:r w:rsidR="00F37A93">
        <w:rPr>
          <w:rtl/>
          <w:lang w:bidi="fa-IR"/>
        </w:rPr>
        <w:t>أَعْلَمُهُ إِل</w:t>
      </w:r>
      <w:r w:rsidR="00F37A93">
        <w:rPr>
          <w:rFonts w:hint="cs"/>
          <w:rtl/>
          <w:lang w:bidi="fa-IR"/>
        </w:rPr>
        <w:t>َّ</w:t>
      </w:r>
      <w:r w:rsidR="00F37A93">
        <w:rPr>
          <w:rtl/>
          <w:lang w:bidi="fa-IR"/>
        </w:rPr>
        <w:t>ا</w:t>
      </w:r>
      <w:r w:rsidRPr="00020424">
        <w:rPr>
          <w:rtl/>
          <w:lang w:bidi="fa-IR"/>
        </w:rPr>
        <w:t xml:space="preserve"> سَعِيداً السَّمَّانَ</w:t>
      </w:r>
      <w:r>
        <w:rPr>
          <w:rtl/>
          <w:lang w:bidi="fa-IR"/>
        </w:rPr>
        <w:t xml:space="preserve"> </w:t>
      </w:r>
      <w:r w:rsidR="009B673F">
        <w:rPr>
          <w:rtl/>
          <w:lang w:bidi="fa-IR"/>
        </w:rPr>
        <w:t>-</w:t>
      </w:r>
      <w:r>
        <w:rPr>
          <w:rtl/>
          <w:lang w:bidi="fa-IR"/>
        </w:rPr>
        <w:t xml:space="preserve"> </w:t>
      </w:r>
      <w:r w:rsidRPr="00020424">
        <w:rPr>
          <w:rtl/>
          <w:lang w:bidi="fa-IR"/>
        </w:rPr>
        <w:t xml:space="preserve">: كَيْفَ يَكُونُ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لَيْلَةُ الْقَدْرِ خَيْراً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مِنْ أَلْفِ شَهْرٍ</w:t>
      </w:r>
      <w:r>
        <w:rPr>
          <w:rtl/>
          <w:lang w:bidi="fa-IR"/>
        </w:rPr>
        <w:t>؟!</w:t>
      </w:r>
    </w:p>
    <w:p w:rsidR="00992664" w:rsidRPr="00020424" w:rsidRDefault="00992664" w:rsidP="00992664">
      <w:pPr>
        <w:pStyle w:val="libNormal"/>
        <w:rPr>
          <w:rtl/>
          <w:lang w:bidi="fa-IR"/>
        </w:rPr>
      </w:pPr>
      <w:r w:rsidRPr="00020424">
        <w:rPr>
          <w:rtl/>
          <w:lang w:bidi="fa-IR"/>
        </w:rPr>
        <w:t xml:space="preserve">قَالَ : « الْعَمَلُ فِيهَا خَيْرٌ مِنَ الْعَمَلِ فِي أَلْفِ شَهْرٍ لَيْسَ فِيهَا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لَيْلَةُ الْقَدْرِ </w:t>
      </w:r>
      <w:r w:rsidRPr="00A91B96">
        <w:rPr>
          <w:rStyle w:val="libFootnotenumChar"/>
          <w:rtl/>
        </w:rPr>
        <w:t>(</w:t>
      </w:r>
      <w:r w:rsidRPr="00A91B96">
        <w:rPr>
          <w:rStyle w:val="libFootnotenumChar"/>
          <w:rFonts w:hint="cs"/>
          <w:rtl/>
        </w:rPr>
        <w:t>12</w:t>
      </w:r>
      <w:r w:rsidRPr="00A91B96">
        <w:rPr>
          <w:rStyle w:val="libFootnotenumChar"/>
          <w:rtl/>
        </w:rPr>
        <w:t>)</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ى ، بث ، بح ، بف ، جن » وتفسير العيّاشي </w:t>
      </w:r>
      <w:r w:rsidR="00992664" w:rsidRPr="00F37A93">
        <w:rPr>
          <w:rtl/>
        </w:rPr>
        <w:t>والأمالي للطوسي</w:t>
      </w:r>
      <w:r w:rsidR="00992664" w:rsidRPr="00020424">
        <w:rPr>
          <w:rtl/>
        </w:rPr>
        <w:t xml:space="preserve"> : « وأمر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بح ، بس ، بف ، جن » </w:t>
      </w:r>
      <w:r w:rsidR="00992664" w:rsidRPr="00F37A93">
        <w:rPr>
          <w:rtl/>
        </w:rPr>
        <w:t>والوسائل</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r w:rsidR="00992664" w:rsidRPr="00020424">
        <w:rPr>
          <w:rtl/>
        </w:rPr>
        <w:t xml:space="preserve"> وفي </w:t>
      </w:r>
      <w:r w:rsidR="00992664" w:rsidRPr="00F37A93">
        <w:rPr>
          <w:rtl/>
        </w:rPr>
        <w:t>الأمالي للطوسي</w:t>
      </w:r>
      <w:r w:rsidR="00992664" w:rsidRPr="00020424">
        <w:rPr>
          <w:rtl/>
        </w:rPr>
        <w:t xml:space="preserve"> : « لله تعالى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بر » </w:t>
      </w:r>
      <w:r w:rsidR="00992664" w:rsidRPr="00F37A93">
        <w:rPr>
          <w:rtl/>
        </w:rPr>
        <w:t>والوافي</w:t>
      </w:r>
      <w:r w:rsidR="00992664" w:rsidRPr="00020424">
        <w:rPr>
          <w:rtl/>
        </w:rPr>
        <w:t xml:space="preserve"> وتفسير العيّاشي : « فيه » بدون الواو.</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F37A93">
        <w:rPr>
          <w:rtl/>
        </w:rPr>
        <w:t>والوسائل</w:t>
      </w:r>
      <w:r w:rsidR="00992664" w:rsidRPr="00020424">
        <w:rPr>
          <w:rtl/>
        </w:rPr>
        <w:t xml:space="preserve">. وفي المطبوع </w:t>
      </w:r>
      <w:r w:rsidR="00992664" w:rsidRPr="00F37A93">
        <w:rPr>
          <w:rtl/>
        </w:rPr>
        <w:t>والوافي</w:t>
      </w:r>
      <w:r w:rsidR="00992664" w:rsidRPr="00020424">
        <w:rPr>
          <w:rtl/>
        </w:rPr>
        <w:t xml:space="preserve"> : + « منه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757F3F">
        <w:rPr>
          <w:rStyle w:val="libFootnoteBoldChar"/>
          <w:rtl/>
        </w:rPr>
        <w:t>الأمالي للطوسي</w:t>
      </w:r>
      <w:r w:rsidR="00992664" w:rsidRPr="00020424">
        <w:rPr>
          <w:rtl/>
        </w:rPr>
        <w:t xml:space="preserve"> : « وهو قوله تعالى : </w:t>
      </w:r>
      <w:r w:rsidR="00992664" w:rsidRPr="00005A81">
        <w:rPr>
          <w:rStyle w:val="libAlaemChar"/>
          <w:rtl/>
        </w:rPr>
        <w:t>(</w:t>
      </w:r>
      <w:r w:rsidR="00992664" w:rsidRPr="006B2AC6">
        <w:rPr>
          <w:rStyle w:val="libFootnoteAieChar"/>
          <w:rFonts w:hint="cs"/>
          <w:rtl/>
        </w:rPr>
        <w:t xml:space="preserve"> </w:t>
      </w:r>
      <w:r w:rsidR="00992664" w:rsidRPr="006B2AC6">
        <w:rPr>
          <w:rStyle w:val="libFootnoteAieChar"/>
          <w:rtl/>
        </w:rPr>
        <w:t>يَمْحُوا اللهُ م</w:t>
      </w:r>
      <w:r w:rsidR="00F37A93">
        <w:rPr>
          <w:rStyle w:val="libFootnoteAieChar"/>
          <w:rFonts w:hint="cs"/>
          <w:rtl/>
        </w:rPr>
        <w:t>َ</w:t>
      </w:r>
      <w:r w:rsidR="00F37A93">
        <w:rPr>
          <w:rStyle w:val="libFootnoteAieChar"/>
          <w:rtl/>
        </w:rPr>
        <w:t>ا يَش</w:t>
      </w:r>
      <w:r w:rsidR="00F37A93">
        <w:rPr>
          <w:rStyle w:val="libFootnoteAieChar"/>
          <w:rFonts w:hint="cs"/>
          <w:rtl/>
        </w:rPr>
        <w:t>َآ</w:t>
      </w:r>
      <w:r w:rsidR="00992664" w:rsidRPr="006B2AC6">
        <w:rPr>
          <w:rStyle w:val="libFootnoteAieChar"/>
          <w:rtl/>
        </w:rPr>
        <w:t xml:space="preserve">ءُ </w:t>
      </w:r>
      <w:r w:rsidR="00992664" w:rsidRPr="00005A81">
        <w:rPr>
          <w:rStyle w:val="libAlaemChar"/>
          <w:rtl/>
        </w:rPr>
        <w:t>)</w:t>
      </w:r>
      <w:r w:rsidR="00992664" w:rsidRPr="00020424">
        <w:rPr>
          <w:rtl/>
        </w:rPr>
        <w:t xml:space="preserve"> » بدل « ويمحو</w:t>
      </w:r>
      <w:r w:rsidR="00992664">
        <w:rPr>
          <w:rtl/>
        </w:rPr>
        <w:t xml:space="preserve"> ».</w:t>
      </w:r>
    </w:p>
    <w:p w:rsidR="00992664" w:rsidRPr="00020424" w:rsidRDefault="00795177" w:rsidP="00F37A93">
      <w:pPr>
        <w:pStyle w:val="libFootnote0"/>
        <w:rPr>
          <w:rtl/>
          <w:lang w:bidi="fa-IR"/>
        </w:rPr>
      </w:pPr>
      <w:r>
        <w:rPr>
          <w:rtl/>
        </w:rPr>
        <w:t>(6).</w:t>
      </w:r>
      <w:r w:rsidR="0014403D">
        <w:rPr>
          <w:rtl/>
        </w:rPr>
        <w:t xml:space="preserve"> </w:t>
      </w:r>
      <w:r w:rsidR="00992664" w:rsidRPr="00020424">
        <w:rPr>
          <w:rtl/>
        </w:rPr>
        <w:t xml:space="preserve">إشارة إلى الآية 39 من سورة الرعد </w:t>
      </w:r>
      <w:r>
        <w:rPr>
          <w:rtl/>
        </w:rPr>
        <w:t>(13).</w:t>
      </w:r>
      <w:r w:rsidR="0014403D">
        <w:rPr>
          <w:rtl/>
        </w:rPr>
        <w:t xml:space="preserve"> </w:t>
      </w:r>
      <w:r w:rsidR="00992664">
        <w:rPr>
          <w:rtl/>
        </w:rPr>
        <w:t>:</w:t>
      </w:r>
      <w:r w:rsidR="00992664" w:rsidRPr="00020424">
        <w:rPr>
          <w:rtl/>
        </w:rPr>
        <w:t xml:space="preserve"> </w:t>
      </w:r>
      <w:r w:rsidR="00992664" w:rsidRPr="00005A81">
        <w:rPr>
          <w:rStyle w:val="libAlaemChar"/>
          <w:rtl/>
        </w:rPr>
        <w:t>(</w:t>
      </w:r>
      <w:r w:rsidR="00992664" w:rsidRPr="006B2AC6">
        <w:rPr>
          <w:rStyle w:val="libFootnoteAieChar"/>
          <w:rFonts w:hint="cs"/>
          <w:rtl/>
        </w:rPr>
        <w:t xml:space="preserve"> </w:t>
      </w:r>
      <w:r w:rsidR="00992664" w:rsidRPr="006B2AC6">
        <w:rPr>
          <w:rStyle w:val="libFootnoteAieChar"/>
          <w:rtl/>
        </w:rPr>
        <w:t>يَمْحُوا اللهُ م</w:t>
      </w:r>
      <w:r w:rsidR="00F37A93">
        <w:rPr>
          <w:rStyle w:val="libFootnoteAieChar"/>
          <w:rFonts w:hint="cs"/>
          <w:rtl/>
        </w:rPr>
        <w:t>َ</w:t>
      </w:r>
      <w:r w:rsidR="00992664" w:rsidRPr="006B2AC6">
        <w:rPr>
          <w:rStyle w:val="libFootnoteAieChar"/>
          <w:rtl/>
        </w:rPr>
        <w:t>ا يَش</w:t>
      </w:r>
      <w:r w:rsidR="00F37A93">
        <w:rPr>
          <w:rStyle w:val="libFootnoteAieChar"/>
          <w:rFonts w:hint="cs"/>
          <w:rtl/>
        </w:rPr>
        <w:t>َآ</w:t>
      </w:r>
      <w:r w:rsidR="00992664" w:rsidRPr="006B2AC6">
        <w:rPr>
          <w:rStyle w:val="libFootnoteAieChar"/>
          <w:rtl/>
        </w:rPr>
        <w:t xml:space="preserve">ءُ وَيُثْبِتُ وَعِنْدَهُ أُمُّ الْكِتابِ </w:t>
      </w:r>
      <w:r w:rsidR="00992664" w:rsidRPr="00005A81">
        <w:rPr>
          <w:rStyle w:val="libAlaemChar"/>
          <w:rtl/>
        </w:rPr>
        <w:t>)</w:t>
      </w:r>
      <w:r w:rsidR="00992664" w:rsidRPr="0002042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159 ، ح 2027 ، معلّقاً عن العلاء ، عن محمّد بن مسلم ، إلى قوله : « فطابت</w:t>
      </w:r>
      <w:r w:rsidR="00992664">
        <w:rPr>
          <w:rtl/>
        </w:rPr>
        <w:t xml:space="preserve"> ».</w:t>
      </w:r>
      <w:r w:rsidR="00992664" w:rsidRPr="00020424">
        <w:rPr>
          <w:rtl/>
        </w:rPr>
        <w:t xml:space="preserve"> </w:t>
      </w:r>
      <w:r w:rsidR="00992664" w:rsidRPr="00757F3F">
        <w:rPr>
          <w:rStyle w:val="libFootnoteBoldChar"/>
          <w:rtl/>
        </w:rPr>
        <w:t>الأمالي للطوسي</w:t>
      </w:r>
      <w:r w:rsidR="00992664" w:rsidRPr="00020424">
        <w:rPr>
          <w:rtl/>
        </w:rPr>
        <w:t xml:space="preserve"> ، ص 60 ، المجلس 2 ، ح 58 ، بسنده عن العلاء بن رزين ، عن محمّد بن مسلم ، عن أبي جعفر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تفسير القمّي</w:t>
      </w:r>
      <w:r w:rsidR="00992664" w:rsidRPr="00020424">
        <w:rPr>
          <w:rtl/>
        </w:rPr>
        <w:t xml:space="preserve"> ، ج 1 ، ص 366 ، بسند آخر عن أبي عبدالله </w:t>
      </w:r>
      <w:r w:rsidR="00992664" w:rsidRPr="00D64ADA">
        <w:rPr>
          <w:rStyle w:val="libFootnoteAlaemChar"/>
          <w:rtl/>
        </w:rPr>
        <w:t>عليه‌السلام</w:t>
      </w:r>
      <w:r w:rsidR="00992664" w:rsidRPr="00020424">
        <w:rPr>
          <w:rtl/>
        </w:rPr>
        <w:t xml:space="preserve"> ، من قوله : « وسئل عن ليلة القدر » مع اختلاف وزيادة في آخره. </w:t>
      </w:r>
      <w:r w:rsidR="00992664" w:rsidRPr="00DE76B9">
        <w:rPr>
          <w:rStyle w:val="libFootnoteBoldChar"/>
          <w:rtl/>
        </w:rPr>
        <w:t>تفسير العيّاشي</w:t>
      </w:r>
      <w:r w:rsidR="00992664" w:rsidRPr="00020424">
        <w:rPr>
          <w:rtl/>
        </w:rPr>
        <w:t xml:space="preserve"> ، ج 2 ، ص 215 ، ح 58 ، عن محمّد بن مسلم ، عن أبي جعفر </w:t>
      </w:r>
      <w:r w:rsidR="00992664" w:rsidRPr="00D64ADA">
        <w:rPr>
          <w:rStyle w:val="libFootnoteAlaemChar"/>
          <w:rtl/>
        </w:rPr>
        <w:t>عليه‌السلام</w:t>
      </w:r>
      <w:r w:rsidR="00992664" w:rsidRPr="00020424">
        <w:rPr>
          <w:rtl/>
        </w:rPr>
        <w:t xml:space="preserve"> ؛ </w:t>
      </w:r>
      <w:r w:rsidR="00992664" w:rsidRPr="00DE76B9">
        <w:rPr>
          <w:rStyle w:val="libFootnoteBoldChar"/>
          <w:rtl/>
        </w:rPr>
        <w:t>وفيه</w:t>
      </w:r>
      <w:r w:rsidR="00992664" w:rsidRPr="00020424">
        <w:rPr>
          <w:rtl/>
        </w:rPr>
        <w:t xml:space="preserve"> ، ص 216 ، ح 22 ، عن حمران ، عن أبي عبدالله </w:t>
      </w:r>
      <w:r w:rsidR="00992664" w:rsidRPr="00D64ADA">
        <w:rPr>
          <w:rStyle w:val="libFootnoteAlaemChar"/>
          <w:rtl/>
        </w:rPr>
        <w:t>عليه‌السلام</w:t>
      </w:r>
      <w:r w:rsidR="00992664" w:rsidRPr="00020424">
        <w:rPr>
          <w:rtl/>
        </w:rPr>
        <w:t xml:space="preserve"> ، من قوله : « وسئل عن ليلة القدر » مع اختلاف وزيادة في أوّله وآخره </w:t>
      </w:r>
      <w:r w:rsidR="00715D0E">
        <w:rPr>
          <w:rFonts w:hint="cs"/>
          <w:rtl/>
        </w:rPr>
        <w:t>.</w:t>
      </w:r>
      <w:r w:rsidR="00992664" w:rsidRPr="0012008A">
        <w:rPr>
          <w:rStyle w:val="libFootnoteBoldChar"/>
          <w:rtl/>
        </w:rPr>
        <w:t>الوافي</w:t>
      </w:r>
      <w:r w:rsidR="00992664" w:rsidRPr="00020424">
        <w:rPr>
          <w:rtl/>
        </w:rPr>
        <w:t xml:space="preserve"> ، ج 11 ، ص 382 ، ح 11060 ؛ </w:t>
      </w:r>
      <w:r w:rsidR="00992664" w:rsidRPr="0012008A">
        <w:rPr>
          <w:rStyle w:val="libFootnoteBoldChar"/>
          <w:rtl/>
        </w:rPr>
        <w:t>الوسائل</w:t>
      </w:r>
      <w:r w:rsidR="00992664" w:rsidRPr="00020424">
        <w:rPr>
          <w:rtl/>
        </w:rPr>
        <w:t xml:space="preserve"> ، ج 10 ، ص 350 ، ح 13582.</w:t>
      </w:r>
    </w:p>
    <w:tbl>
      <w:tblPr>
        <w:tblStyle w:val="TableGrid"/>
        <w:bidiVisual/>
        <w:tblW w:w="0" w:type="auto"/>
        <w:tblLook w:val="04A0" w:firstRow="1" w:lastRow="0" w:firstColumn="1" w:lastColumn="0" w:noHBand="0" w:noVBand="1"/>
      </w:tblPr>
      <w:tblGrid>
        <w:gridCol w:w="4006"/>
        <w:gridCol w:w="4006"/>
      </w:tblGrid>
      <w:tr w:rsidR="00715D0E" w:rsidTr="00715D0E">
        <w:tc>
          <w:tcPr>
            <w:tcW w:w="4006" w:type="dxa"/>
          </w:tcPr>
          <w:p w:rsidR="00715D0E" w:rsidRDefault="00715D0E" w:rsidP="00992664">
            <w:pPr>
              <w:pStyle w:val="libFootnote0"/>
              <w:rPr>
                <w:rtl/>
              </w:rPr>
            </w:pPr>
            <w:r>
              <w:rPr>
                <w:rtl/>
              </w:rPr>
              <w:t xml:space="preserve">(8). </w:t>
            </w:r>
            <w:r w:rsidRPr="00020424">
              <w:rPr>
                <w:rtl/>
              </w:rPr>
              <w:t>في « بح » : « أصحابه</w:t>
            </w:r>
            <w:r>
              <w:rPr>
                <w:rtl/>
              </w:rPr>
              <w:t xml:space="preserve"> ».</w:t>
            </w:r>
          </w:p>
        </w:tc>
        <w:tc>
          <w:tcPr>
            <w:tcW w:w="4006" w:type="dxa"/>
          </w:tcPr>
          <w:p w:rsidR="00715D0E" w:rsidRDefault="00715D0E" w:rsidP="00992664">
            <w:pPr>
              <w:pStyle w:val="libFootnote0"/>
              <w:rPr>
                <w:rtl/>
              </w:rPr>
            </w:pPr>
            <w:r>
              <w:rPr>
                <w:rtl/>
              </w:rPr>
              <w:t xml:space="preserve">(9). </w:t>
            </w:r>
            <w:r w:rsidRPr="00020424">
              <w:rPr>
                <w:rtl/>
              </w:rPr>
              <w:t xml:space="preserve">في </w:t>
            </w:r>
            <w:r w:rsidRPr="00715D0E">
              <w:rPr>
                <w:rtl/>
              </w:rPr>
              <w:t>الوافي</w:t>
            </w:r>
            <w:r w:rsidRPr="00020424">
              <w:rPr>
                <w:rtl/>
              </w:rPr>
              <w:t xml:space="preserve"> : « تكون</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ى ، بث ، بح ، بخ ، بر ، بف ، جن » : « خير</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 « فيه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ليس فيها ليلة القدر » أي سلب فيها فضل ليلة القدر بسوء أعمال بني ا</w:t>
      </w:r>
      <w:r w:rsidR="00715D0E">
        <w:rPr>
          <w:rFonts w:hint="cs"/>
          <w:rtl/>
        </w:rPr>
        <w:t>ُ</w:t>
      </w:r>
      <w:r w:rsidR="00992664" w:rsidRPr="00020424">
        <w:rPr>
          <w:rtl/>
        </w:rPr>
        <w:t>ميّة ، أو مع قطع النظر عن ليلة القدر وإن كانت فيها ، لا أنّ الله سلبها في تلك المدّة. أو المراد أنّ الثواب الذي يمنحه الله على العمل فيها خير من سلطنة بني ا</w:t>
      </w:r>
      <w:r w:rsidR="00715D0E">
        <w:rPr>
          <w:rFonts w:hint="cs"/>
          <w:rtl/>
        </w:rPr>
        <w:t>ُ</w:t>
      </w:r>
      <w:r w:rsidR="00992664" w:rsidRPr="00020424">
        <w:rPr>
          <w:rtl/>
        </w:rPr>
        <w:t>ميّة وشوكتهم واقتدارهم في تلك المدّة ، ولكن يأبى عن هذا الم</w:t>
      </w:r>
      <w:r w:rsidR="00715D0E">
        <w:rPr>
          <w:rtl/>
        </w:rPr>
        <w:t>عنى كثير من الأخبار. قاله العل</w:t>
      </w:r>
      <w:r w:rsidR="00715D0E">
        <w:rPr>
          <w:rFonts w:hint="cs"/>
          <w:rtl/>
        </w:rPr>
        <w:t>ّ</w:t>
      </w:r>
      <w:r w:rsidR="00715D0E">
        <w:rPr>
          <w:rtl/>
        </w:rPr>
        <w:t>ا</w:t>
      </w:r>
      <w:r w:rsidR="00992664" w:rsidRPr="00020424">
        <w:rPr>
          <w:rtl/>
        </w:rPr>
        <w:t xml:space="preserve">مة المجلسي في </w:t>
      </w:r>
      <w:r w:rsidR="00992664" w:rsidRPr="00DE76B9">
        <w:rPr>
          <w:rStyle w:val="libFootnoteBoldChar"/>
          <w:rtl/>
        </w:rPr>
        <w:t>مرآة العقول</w:t>
      </w:r>
      <w:r w:rsidR="00992664" w:rsidRPr="00020424">
        <w:rPr>
          <w:rtl/>
        </w:rPr>
        <w:t xml:space="preserve"> ، ج 16 ، ص 384.</w:t>
      </w:r>
    </w:p>
    <w:p w:rsidR="00992664" w:rsidRPr="00020424" w:rsidRDefault="00795177" w:rsidP="00992664">
      <w:pPr>
        <w:pStyle w:val="libFootnote0"/>
        <w:rPr>
          <w:rtl/>
          <w:lang w:bidi="fa-IR"/>
        </w:rPr>
      </w:pPr>
      <w:r>
        <w:rPr>
          <w:rtl/>
        </w:rPr>
        <w:t>(13).</w:t>
      </w:r>
      <w:r w:rsidR="0014403D">
        <w:rPr>
          <w:rtl/>
        </w:rPr>
        <w:t xml:space="preserve"> </w:t>
      </w:r>
      <w:r w:rsidR="00992664" w:rsidRPr="00DE76B9">
        <w:rPr>
          <w:rStyle w:val="libFootnoteBoldChar"/>
          <w:rtl/>
        </w:rPr>
        <w:t>الكافي</w:t>
      </w:r>
      <w:r w:rsidR="00992664" w:rsidRPr="00020424">
        <w:rPr>
          <w:rtl/>
        </w:rPr>
        <w:t xml:space="preserve"> ، كتاب الصيام ، باب فضل شهر رمضان ، ذيل ح 6270 ؛ </w:t>
      </w:r>
      <w:r w:rsidR="00992664" w:rsidRPr="00515444">
        <w:rPr>
          <w:rStyle w:val="libFootnoteBoldChar"/>
          <w:rtl/>
        </w:rPr>
        <w:t>والتهذيب</w:t>
      </w:r>
      <w:r w:rsidR="00992664" w:rsidRPr="00020424">
        <w:rPr>
          <w:rtl/>
        </w:rPr>
        <w:t xml:space="preserve"> ، ج 4 ، ص 192 ، ذيل ح 547 ؛ </w:t>
      </w:r>
      <w:r w:rsidR="00715D0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C302E">
        <w:rPr>
          <w:rtl/>
        </w:rPr>
        <w:t>6623</w:t>
      </w:r>
      <w:r w:rsidRPr="001155DE">
        <w:rPr>
          <w:rStyle w:val="libBold2Char"/>
          <w:rtl/>
        </w:rPr>
        <w:t xml:space="preserve"> / 5.</w:t>
      </w:r>
      <w:r w:rsidRPr="00020424">
        <w:rPr>
          <w:rtl/>
          <w:lang w:bidi="fa-IR"/>
        </w:rPr>
        <w:t xml:space="preserve"> مُحَمَّدُ بْنُ يَحْيى ، عَنْ أَحْمَدَ بْنِ مُحَمَّدٍ ، عَنِ الْحُسَيْنِ بْنِ سَعِيدٍ ، عَنِ الْقَاسِمِ بْنِ مُحَمَّدٍ ، عَنْ عَلِيِّ بْنِ أَبِي حَمْزَةَ </w:t>
      </w:r>
      <w:r w:rsidRPr="00A91B96">
        <w:rPr>
          <w:rStyle w:val="libFootnotenumChar"/>
          <w:rtl/>
        </w:rPr>
        <w:t>(1)</w:t>
      </w:r>
      <w:r w:rsidRPr="00020424">
        <w:rPr>
          <w:rtl/>
          <w:lang w:bidi="fa-IR"/>
        </w:rPr>
        <w:t xml:space="preserve">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نَزَلَتِ التَّوْرَاةُ فِي سِتٍّ مَضَتْ </w:t>
      </w:r>
      <w:r w:rsidRPr="00A91B96">
        <w:rPr>
          <w:rStyle w:val="libFootnotenumChar"/>
          <w:rtl/>
        </w:rPr>
        <w:t>(2)</w:t>
      </w:r>
      <w:r w:rsidRPr="00020424">
        <w:rPr>
          <w:rtl/>
          <w:lang w:bidi="fa-IR"/>
        </w:rPr>
        <w:t xml:space="preserve"> مِنْ شَهْرِ رَمَضَانَ </w:t>
      </w:r>
      <w:r w:rsidRPr="00A91B96">
        <w:rPr>
          <w:rStyle w:val="libFootnotenumChar"/>
          <w:rtl/>
        </w:rPr>
        <w:t>(3)</w:t>
      </w:r>
      <w:r w:rsidRPr="00020424">
        <w:rPr>
          <w:rtl/>
          <w:lang w:bidi="fa-IR"/>
        </w:rPr>
        <w:t xml:space="preserve"> ، وَنَزَلَ الْإِنْجِيلُ فِي اثْنَتَيْ </w:t>
      </w:r>
      <w:r w:rsidRPr="00A91B96">
        <w:rPr>
          <w:rStyle w:val="libFootnotenumChar"/>
          <w:rtl/>
        </w:rPr>
        <w:t>(4)</w:t>
      </w:r>
      <w:r w:rsidRPr="00020424">
        <w:rPr>
          <w:rtl/>
          <w:lang w:bidi="fa-IR"/>
        </w:rPr>
        <w:t xml:space="preserve"> عَشْرَةَ لَيْلَةً مَضَتْ مِنْ شَهْرِ رَمَضَانَ ، وَنَزَلَ الزَّبُورُ فِي لَيْلَةِ ثَمَانِيَ </w:t>
      </w:r>
      <w:r w:rsidRPr="00A91B96">
        <w:rPr>
          <w:rStyle w:val="libFootnotenumChar"/>
          <w:rtl/>
        </w:rPr>
        <w:t>(5)</w:t>
      </w:r>
      <w:r w:rsidRPr="00020424">
        <w:rPr>
          <w:rtl/>
          <w:lang w:bidi="fa-IR"/>
        </w:rPr>
        <w:t xml:space="preserve"> عَشْرَةَ </w:t>
      </w:r>
      <w:r w:rsidRPr="00A91B96">
        <w:rPr>
          <w:rStyle w:val="libFootnotenumChar"/>
          <w:rtl/>
        </w:rPr>
        <w:t>(6)</w:t>
      </w:r>
      <w:r w:rsidRPr="00020424">
        <w:rPr>
          <w:rtl/>
          <w:lang w:bidi="fa-IR"/>
        </w:rPr>
        <w:t xml:space="preserve"> مَضَتْ </w:t>
      </w:r>
      <w:r w:rsidRPr="00A91B96">
        <w:rPr>
          <w:rStyle w:val="libFootnotenumChar"/>
          <w:rtl/>
        </w:rPr>
        <w:t>(7)</w:t>
      </w:r>
      <w:r w:rsidRPr="00020424">
        <w:rPr>
          <w:rtl/>
          <w:lang w:bidi="fa-IR"/>
        </w:rPr>
        <w:t xml:space="preserve"> مِنْ شَهْرِ رَمَضَانَ </w:t>
      </w:r>
      <w:r w:rsidRPr="00A91B96">
        <w:rPr>
          <w:rStyle w:val="libFootnotenumChar"/>
          <w:rtl/>
        </w:rPr>
        <w:t>(8)</w:t>
      </w:r>
      <w:r w:rsidRPr="00020424">
        <w:rPr>
          <w:rtl/>
          <w:lang w:bidi="fa-IR"/>
        </w:rPr>
        <w:t xml:space="preserve"> ، وَنَزَلَ الْقُرْآنُ </w:t>
      </w:r>
      <w:r w:rsidRPr="00A91B96">
        <w:rPr>
          <w:rStyle w:val="libFootnotenumChar"/>
          <w:rtl/>
        </w:rPr>
        <w:t>(9)</w:t>
      </w:r>
      <w:r w:rsidRPr="00020424">
        <w:rPr>
          <w:rtl/>
          <w:lang w:bidi="fa-IR"/>
        </w:rPr>
        <w:t xml:space="preserve"> فِي لَيْلَةِ الْقَدْرِ</w:t>
      </w:r>
      <w:r>
        <w:rPr>
          <w:rtl/>
          <w:lang w:bidi="fa-IR"/>
        </w:rPr>
        <w:t xml:space="preserve"> ».</w:t>
      </w:r>
      <w:r w:rsidRPr="00020424">
        <w:rPr>
          <w:rtl/>
          <w:lang w:bidi="fa-IR"/>
        </w:rPr>
        <w:t xml:space="preserve"> </w:t>
      </w:r>
      <w:r w:rsidRPr="00A91B96">
        <w:rPr>
          <w:rStyle w:val="libFootnotenumChar"/>
          <w:rtl/>
        </w:rPr>
        <w:t>(10)</w:t>
      </w:r>
      <w:r>
        <w:rPr>
          <w:rtl/>
          <w:lang w:bidi="fa-IR"/>
        </w:rPr>
        <w:t xml:space="preserve"> </w:t>
      </w:r>
    </w:p>
    <w:p w:rsidR="00992664" w:rsidRPr="00020424" w:rsidRDefault="00992664" w:rsidP="00992664">
      <w:pPr>
        <w:pStyle w:val="libNormal"/>
        <w:rPr>
          <w:rtl/>
          <w:lang w:bidi="fa-IR"/>
        </w:rPr>
      </w:pPr>
      <w:r w:rsidRPr="004C302E">
        <w:rPr>
          <w:rtl/>
        </w:rPr>
        <w:t>6624</w:t>
      </w:r>
      <w:r w:rsidRPr="001155DE">
        <w:rPr>
          <w:rStyle w:val="libBold2Char"/>
          <w:rtl/>
        </w:rPr>
        <w:t xml:space="preserve"> / 6.</w:t>
      </w:r>
      <w:r w:rsidRPr="00020424">
        <w:rPr>
          <w:rtl/>
          <w:lang w:bidi="fa-IR"/>
        </w:rPr>
        <w:t xml:space="preserve"> عَلِيُّ بْنُ إِبْرَاهِيمَ ، عَنْ أَبِيهِ ، عَنِ ابْنِ أَبِي عُمَيْرٍ ، عَنْ عُمَرَ </w:t>
      </w:r>
      <w:r w:rsidRPr="00A91B96">
        <w:rPr>
          <w:rStyle w:val="libFootnotenumChar"/>
          <w:rtl/>
        </w:rPr>
        <w:t>(11)</w:t>
      </w:r>
      <w:r w:rsidRPr="00020424">
        <w:rPr>
          <w:rtl/>
          <w:lang w:bidi="fa-IR"/>
        </w:rPr>
        <w:t xml:space="preserve"> بْنِ أُذَيْنَةَ ، عَنِ الْفُضَيْلِ وَزُرَارَةَ وَمُحَمَّدِ بْنِ مُسْلِمٍ </w:t>
      </w:r>
      <w:r w:rsidRPr="00A91B96">
        <w:rPr>
          <w:rStyle w:val="libFootnotenumChar"/>
          <w:rtl/>
        </w:rPr>
        <w:t>(12)</w:t>
      </w:r>
      <w:r w:rsidRPr="00020424">
        <w:rPr>
          <w:rtl/>
          <w:lang w:bidi="fa-IR"/>
        </w:rPr>
        <w:t xml:space="preserve"> ، عَنْ حُمْرَانَ :</w:t>
      </w:r>
    </w:p>
    <w:p w:rsidR="00992664" w:rsidRPr="00020424" w:rsidRDefault="00992664" w:rsidP="00992664">
      <w:pPr>
        <w:pStyle w:val="libLine"/>
        <w:rPr>
          <w:rtl/>
          <w:lang w:bidi="fa-IR"/>
        </w:rPr>
      </w:pPr>
      <w:r w:rsidRPr="00020424">
        <w:rPr>
          <w:rtl/>
          <w:lang w:bidi="fa-IR"/>
        </w:rPr>
        <w:t>__________________</w:t>
      </w:r>
    </w:p>
    <w:p w:rsidR="00992664" w:rsidRPr="00020424" w:rsidRDefault="00715D0E" w:rsidP="00992664">
      <w:pPr>
        <w:pStyle w:val="libFootnote0"/>
        <w:rPr>
          <w:rtl/>
          <w:lang w:bidi="fa-IR"/>
        </w:rPr>
      </w:pPr>
      <w:r w:rsidRPr="00715D0E">
        <w:rPr>
          <w:rFonts w:hint="cs"/>
          <w:rtl/>
        </w:rPr>
        <w:t xml:space="preserve">= </w:t>
      </w:r>
      <w:r w:rsidR="00992664" w:rsidRPr="00D27EE2">
        <w:rPr>
          <w:rStyle w:val="libFootnoteBoldChar"/>
          <w:rtl/>
        </w:rPr>
        <w:t>وفضائل الأشهر الثلاثة</w:t>
      </w:r>
      <w:r w:rsidR="00992664" w:rsidRPr="00020424">
        <w:rPr>
          <w:rtl/>
        </w:rPr>
        <w:t xml:space="preserve"> ، ص 103 ، ذيل ح 90 ؛ وص 123 ، ذيل ح 129 ، بسند آخر ، إلى قوله : « من العمل في ألف شهر</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ج 3 ، ص 58 ، ضمن ح 199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689 ، المجلس 39 ، ضمن ح 8 ، بسند آخر من دون الإسناد إلى المعصوم </w:t>
      </w:r>
      <w:r w:rsidR="00992664" w:rsidRPr="00D64ADA">
        <w:rPr>
          <w:rStyle w:val="libFootnoteAlaemChar"/>
          <w:rtl/>
        </w:rPr>
        <w:t>عليه‌السلام</w:t>
      </w:r>
      <w:r w:rsidR="00992664" w:rsidRPr="00020424">
        <w:rPr>
          <w:rtl/>
        </w:rPr>
        <w:t xml:space="preserve"> ، مع اختلاف يسير.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204 ؛ </w:t>
      </w:r>
      <w:r w:rsidR="00992664" w:rsidRPr="0012008A">
        <w:rPr>
          <w:rStyle w:val="libFootnoteBoldChar"/>
          <w:rtl/>
        </w:rPr>
        <w:t>الفقيه</w:t>
      </w:r>
      <w:r w:rsidR="00992664" w:rsidRPr="00020424">
        <w:rPr>
          <w:rtl/>
        </w:rPr>
        <w:t xml:space="preserve"> ، ج 2 ، ص 99 ، ذيل ح 1842 ، مرسلاً ، إلى قوله : « من العمل في ألف شهر » ، وفي كلّ المصادر من قوله : « العمل فيها خير</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158 ، ح 2025 ، مرسلاً ، </w:t>
      </w:r>
      <w:r>
        <w:rPr>
          <w:rtl/>
        </w:rPr>
        <w:t>من قوله : « كيف يكون ليلة القدر</w:t>
      </w:r>
      <w:r w:rsidR="00992664" w:rsidRPr="00020424">
        <w:rPr>
          <w:rtl/>
        </w:rPr>
        <w:t xml:space="preserve">» </w:t>
      </w:r>
      <w:r>
        <w:rPr>
          <w:rFonts w:hint="cs"/>
          <w:rtl/>
        </w:rPr>
        <w:t>.</w:t>
      </w:r>
      <w:r w:rsidR="00992664" w:rsidRPr="0012008A">
        <w:rPr>
          <w:rStyle w:val="libFootnoteBoldChar"/>
          <w:rtl/>
        </w:rPr>
        <w:t>الوافي</w:t>
      </w:r>
      <w:r w:rsidR="00992664" w:rsidRPr="00020424">
        <w:rPr>
          <w:rtl/>
        </w:rPr>
        <w:t xml:space="preserve"> ، ج 11 ، ص 380 ، ح 11055 ؛ </w:t>
      </w:r>
      <w:r w:rsidR="00992664" w:rsidRPr="0012008A">
        <w:rPr>
          <w:rStyle w:val="libFootnoteBoldChar"/>
          <w:rtl/>
        </w:rPr>
        <w:t>الوسائل</w:t>
      </w:r>
      <w:r w:rsidR="00992664" w:rsidRPr="00020424">
        <w:rPr>
          <w:rtl/>
        </w:rPr>
        <w:t xml:space="preserve"> ، ج 10 ، ص 350 ، ح 13583.</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715D0E">
        <w:rP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بن أبي حمزة</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بخ ، بر ، بف » وحاشية « ى ، بث » </w:t>
      </w:r>
      <w:r w:rsidR="00992664" w:rsidRPr="00715D0E">
        <w:rPr>
          <w:rtl/>
        </w:rPr>
        <w:t>والفقيه والتهذيب والمقنعة</w:t>
      </w:r>
      <w:r w:rsidR="00992664" w:rsidRPr="00020424">
        <w:rPr>
          <w:rtl/>
        </w:rPr>
        <w:t xml:space="preserve"> : « مضين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بس » : « ونزلت</w:t>
      </w:r>
      <w:r w:rsidR="00992664">
        <w:rPr>
          <w:rtl/>
        </w:rPr>
        <w:t xml:space="preserve"> ».</w:t>
      </w:r>
      <w:r w:rsidR="00992664" w:rsidRPr="00020424">
        <w:rPr>
          <w:rtl/>
        </w:rPr>
        <w:t xml:space="preserve"> وفي « بر » : + « ونزل الزبور في ليلة ثمانية عشر مضت من شهر رمضان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 ظ ، بخ ، بر » </w:t>
      </w:r>
      <w:r w:rsidR="00992664" w:rsidRPr="00831A1B">
        <w:rPr>
          <w:rtl/>
        </w:rPr>
        <w:t>والوافي</w:t>
      </w:r>
      <w:r w:rsidR="00992664" w:rsidRPr="00020424">
        <w:rPr>
          <w:rtl/>
        </w:rPr>
        <w:t xml:space="preserve">. وفي المطبوع </w:t>
      </w:r>
      <w:r w:rsidR="00992664" w:rsidRPr="00831A1B">
        <w:rPr>
          <w:rtl/>
        </w:rPr>
        <w:t>والفقيه</w:t>
      </w:r>
      <w:r w:rsidR="00992664" w:rsidRPr="00020424">
        <w:rPr>
          <w:rtl/>
        </w:rPr>
        <w:t xml:space="preserve"> : « اثني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1A1B" w:rsidTr="00831A1B">
        <w:tc>
          <w:tcPr>
            <w:tcW w:w="4006" w:type="dxa"/>
          </w:tcPr>
          <w:p w:rsidR="00831A1B" w:rsidRDefault="00831A1B" w:rsidP="00992664">
            <w:pPr>
              <w:pStyle w:val="libFootnote0"/>
              <w:rPr>
                <w:rtl/>
              </w:rPr>
            </w:pPr>
            <w:r>
              <w:rPr>
                <w:rtl/>
              </w:rPr>
              <w:t xml:space="preserve">(5). </w:t>
            </w:r>
            <w:r w:rsidRPr="00020424">
              <w:rPr>
                <w:rtl/>
              </w:rPr>
              <w:t>في « بث » : « ثمانية</w:t>
            </w:r>
            <w:r>
              <w:rPr>
                <w:rtl/>
              </w:rPr>
              <w:t xml:space="preserve"> ».</w:t>
            </w:r>
            <w:r w:rsidRPr="00020424">
              <w:rPr>
                <w:rtl/>
              </w:rPr>
              <w:t xml:space="preserve"> وفي </w:t>
            </w:r>
            <w:r w:rsidRPr="00831A1B">
              <w:rPr>
                <w:rtl/>
              </w:rPr>
              <w:t>الوافي</w:t>
            </w:r>
            <w:r w:rsidRPr="00020424">
              <w:rPr>
                <w:rtl/>
              </w:rPr>
              <w:t xml:space="preserve"> : « ثمان</w:t>
            </w:r>
            <w:r>
              <w:rPr>
                <w:rtl/>
              </w:rPr>
              <w:t xml:space="preserve"> ».</w:t>
            </w:r>
          </w:p>
        </w:tc>
        <w:tc>
          <w:tcPr>
            <w:tcW w:w="4006" w:type="dxa"/>
          </w:tcPr>
          <w:p w:rsidR="00831A1B" w:rsidRDefault="00831A1B" w:rsidP="00992664">
            <w:pPr>
              <w:pStyle w:val="libFootnote0"/>
              <w:rPr>
                <w:rtl/>
              </w:rPr>
            </w:pPr>
            <w:r>
              <w:rPr>
                <w:rtl/>
              </w:rPr>
              <w:t xml:space="preserve">(6). </w:t>
            </w:r>
            <w:r w:rsidRPr="00020424">
              <w:rPr>
                <w:rtl/>
              </w:rPr>
              <w:t>في « بف » : « عشر</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حاشية « بث » : « مضين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بر » </w:t>
      </w:r>
      <w:r w:rsidR="00992664" w:rsidRPr="00DE3E80">
        <w:rPr>
          <w:rStyle w:val="libFootnoteBoldChar"/>
          <w:rtl/>
        </w:rPr>
        <w:t>والمقنعة</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ونزل الزبور</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شهر رمضان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831A1B">
        <w:rPr>
          <w:rtl/>
        </w:rPr>
        <w:t>التهذيب</w:t>
      </w:r>
      <w:r w:rsidR="00992664" w:rsidRPr="00020424">
        <w:rPr>
          <w:rtl/>
        </w:rPr>
        <w:t xml:space="preserve"> : « الفرقان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193 ، ح 552 ، معلّقاً عن الحسين بن سعيد. </w:t>
      </w:r>
      <w:r w:rsidR="00992664" w:rsidRPr="0012008A">
        <w:rPr>
          <w:rStyle w:val="libFootnoteBoldChar"/>
          <w:rtl/>
        </w:rPr>
        <w:t>الفقيه</w:t>
      </w:r>
      <w:r w:rsidR="00992664" w:rsidRPr="00020424">
        <w:rPr>
          <w:rtl/>
        </w:rPr>
        <w:t xml:space="preserve"> ، ج 2 ، ص 159 ، ح 2026 ، معلّقاً عن عليّ بن أبي حمزة. </w:t>
      </w:r>
      <w:r w:rsidR="00992664" w:rsidRPr="00DE76B9">
        <w:rPr>
          <w:rStyle w:val="libFootnoteBoldChar"/>
          <w:rtl/>
        </w:rPr>
        <w:t>الكافي</w:t>
      </w:r>
      <w:r w:rsidR="00992664" w:rsidRPr="00020424">
        <w:rPr>
          <w:rtl/>
        </w:rPr>
        <w:t xml:space="preserve"> ، كتاب فضل القرآن ، باب النوادر ، ذيل ح 3574 ، بسند آخر. </w:t>
      </w:r>
      <w:r w:rsidR="00992664" w:rsidRPr="00DE76B9">
        <w:rPr>
          <w:rStyle w:val="libFootnoteBoldChar"/>
          <w:rtl/>
        </w:rPr>
        <w:t>تفسير العيّاشي</w:t>
      </w:r>
      <w:r w:rsidR="00992664" w:rsidRPr="00020424">
        <w:rPr>
          <w:rtl/>
        </w:rPr>
        <w:t xml:space="preserve"> ، ج 1 ، ص 80 ، ذيل ح 184 ، عن إبراهيم ، عن أبي عبدالله </w:t>
      </w:r>
      <w:r w:rsidR="00992664" w:rsidRPr="00D64ADA">
        <w:rPr>
          <w:rStyle w:val="libFootnoteAlaemChar"/>
          <w:rtl/>
        </w:rPr>
        <w:t>عليه‌السلام</w:t>
      </w:r>
      <w:r w:rsidR="00992664" w:rsidRPr="00020424">
        <w:rPr>
          <w:rtl/>
        </w:rPr>
        <w:t xml:space="preserve"> ، وفي الأخيرين مع اختلاف. </w:t>
      </w:r>
      <w:r w:rsidR="00992664" w:rsidRPr="0012008A">
        <w:rPr>
          <w:rStyle w:val="libFootnoteBoldChar"/>
          <w:rtl/>
        </w:rPr>
        <w:t>المقنعة</w:t>
      </w:r>
      <w:r w:rsidR="00992664" w:rsidRPr="00020424">
        <w:rPr>
          <w:rtl/>
        </w:rPr>
        <w:t xml:space="preserve"> ، ص 309 ، مرسلاً </w:t>
      </w:r>
      <w:r w:rsidR="00831A1B">
        <w:rPr>
          <w:rFonts w:hint="cs"/>
          <w:rtl/>
        </w:rPr>
        <w:t>.</w:t>
      </w:r>
      <w:r w:rsidR="00992664" w:rsidRPr="0012008A">
        <w:rPr>
          <w:rStyle w:val="libFootnoteBoldChar"/>
          <w:rtl/>
        </w:rPr>
        <w:t>الوافي</w:t>
      </w:r>
      <w:r w:rsidR="00992664" w:rsidRPr="00020424">
        <w:rPr>
          <w:rtl/>
        </w:rPr>
        <w:t xml:space="preserve"> ، ج 11 ، ص 377 ، ح 11052 ؛ </w:t>
      </w:r>
      <w:r w:rsidR="00992664" w:rsidRPr="0012008A">
        <w:rPr>
          <w:rStyle w:val="libFootnoteBoldChar"/>
          <w:rtl/>
        </w:rPr>
        <w:t>الوسائل</w:t>
      </w:r>
      <w:r w:rsidR="00992664" w:rsidRPr="00020424">
        <w:rPr>
          <w:rtl/>
        </w:rPr>
        <w:t xml:space="preserve"> ، ج 10 ، ص 311 ، ذيل ح 13490.</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بخ ، بر ، جر » :</w:t>
      </w:r>
      <w:r w:rsidR="00992664">
        <w:rPr>
          <w:rtl/>
        </w:rPr>
        <w:t xml:space="preserve"> </w:t>
      </w:r>
      <w:r w:rsidR="009B673F">
        <w:rPr>
          <w:rtl/>
        </w:rPr>
        <w:t>-</w:t>
      </w:r>
      <w:r w:rsidR="00992664">
        <w:rPr>
          <w:rtl/>
        </w:rPr>
        <w:t xml:space="preserve"> </w:t>
      </w:r>
      <w:r w:rsidR="00992664" w:rsidRPr="00020424">
        <w:rPr>
          <w:rtl/>
        </w:rPr>
        <w:t>« عمر</w:t>
      </w:r>
      <w:r w:rsidR="00992664">
        <w:rPr>
          <w:rtl/>
        </w:rPr>
        <w:t xml:space="preserve"> ».</w:t>
      </w:r>
    </w:p>
    <w:p w:rsidR="00992664" w:rsidRPr="00020424" w:rsidRDefault="00795177" w:rsidP="00992664">
      <w:pPr>
        <w:pStyle w:val="libFootnote0"/>
        <w:rPr>
          <w:rtl/>
          <w:lang w:bidi="fa-IR"/>
        </w:rPr>
      </w:pPr>
      <w:r>
        <w:rPr>
          <w:rtl/>
        </w:rPr>
        <w:t>(12).</w:t>
      </w:r>
      <w:r w:rsidR="00992664" w:rsidRPr="00020424">
        <w:rPr>
          <w:rtl/>
        </w:rPr>
        <w:t xml:space="preserve">ورد الخبر في </w:t>
      </w:r>
      <w:r w:rsidR="00992664" w:rsidRPr="0012008A">
        <w:rPr>
          <w:rStyle w:val="libFootnoteBoldChar"/>
          <w:rtl/>
        </w:rPr>
        <w:t>ثواب الأعمال</w:t>
      </w:r>
      <w:r w:rsidR="00992664" w:rsidRPr="00020424">
        <w:rPr>
          <w:rtl/>
        </w:rPr>
        <w:t xml:space="preserve"> ، ص 92 ، ح 11 ، بسنده عن اب</w:t>
      </w:r>
      <w:r w:rsidR="00831A1B">
        <w:rPr>
          <w:rtl/>
        </w:rPr>
        <w:t>ن أبي عمير،</w:t>
      </w:r>
      <w:r w:rsidR="00992664" w:rsidRPr="00020424">
        <w:rPr>
          <w:rtl/>
        </w:rPr>
        <w:t>عن عمر بن ا</w:t>
      </w:r>
      <w:r w:rsidR="00831A1B">
        <w:rPr>
          <w:rFonts w:hint="cs"/>
          <w:rtl/>
        </w:rPr>
        <w:t>ُ</w:t>
      </w:r>
      <w:r w:rsidR="00831A1B">
        <w:rPr>
          <w:rtl/>
        </w:rPr>
        <w:t>ذينة ، عن الفضيل</w:t>
      </w:r>
      <w:r w:rsidR="00831A1B">
        <w:rPr>
          <w:rFonts w:hint="cs"/>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أَنَّهُ سَأَلَ أَبَا جَعْفَرٍ </w:t>
      </w:r>
      <w:r w:rsidRPr="00005A81">
        <w:rPr>
          <w:rStyle w:val="libAlaemChar"/>
          <w:rtl/>
        </w:rPr>
        <w:t>عليه‌السلام</w:t>
      </w:r>
      <w:r w:rsidRPr="00020424">
        <w:rPr>
          <w:rtl/>
          <w:lang w:bidi="fa-IR"/>
        </w:rPr>
        <w:t xml:space="preserve"> عَنْ قَوْلِ اللهِ عَزَّ وَجَلَّ : </w:t>
      </w:r>
      <w:r w:rsidRPr="00005A81">
        <w:rPr>
          <w:rStyle w:val="libAlaemChar"/>
          <w:rtl/>
        </w:rPr>
        <w:t>(</w:t>
      </w:r>
      <w:r w:rsidRPr="004E5AB4">
        <w:rPr>
          <w:rStyle w:val="libAieChar"/>
          <w:rtl/>
        </w:rPr>
        <w:t xml:space="preserve"> إِنّا أَنْزَلْناهُ فِي لَيْلَةٍ مُبارَكَةٍ </w:t>
      </w:r>
      <w:r w:rsidRPr="00005A81">
        <w:rPr>
          <w:rStyle w:val="libAlaemChar"/>
          <w:rtl/>
        </w:rPr>
        <w:t>)</w:t>
      </w:r>
      <w:r>
        <w:rPr>
          <w:rtl/>
          <w:lang w:bidi="fa-IR"/>
        </w:rPr>
        <w:t>؟</w:t>
      </w:r>
    </w:p>
    <w:p w:rsidR="00992664" w:rsidRPr="00020424" w:rsidRDefault="00992664" w:rsidP="00992664">
      <w:pPr>
        <w:pStyle w:val="libNormal"/>
        <w:rPr>
          <w:rtl/>
          <w:lang w:bidi="fa-IR"/>
        </w:rPr>
      </w:pPr>
      <w:r w:rsidRPr="00020424">
        <w:rPr>
          <w:rtl/>
          <w:lang w:bidi="fa-IR"/>
        </w:rPr>
        <w:t xml:space="preserve">قَالَ : « نَعَمْ </w:t>
      </w:r>
      <w:r w:rsidRPr="00A91B96">
        <w:rPr>
          <w:rStyle w:val="libFootnotenumChar"/>
          <w:rtl/>
        </w:rPr>
        <w:t>(1)</w:t>
      </w:r>
      <w:r w:rsidRPr="00020424">
        <w:rPr>
          <w:rtl/>
          <w:lang w:bidi="fa-IR"/>
        </w:rPr>
        <w:t xml:space="preserve"> ، لَيْلَةُ الْقَدْرِ ، وَهِيَ فِي كُلِّ سَنَةٍ فِي </w:t>
      </w:r>
      <w:r w:rsidRPr="00A91B96">
        <w:rPr>
          <w:rStyle w:val="libFootnotenumChar"/>
          <w:rtl/>
        </w:rPr>
        <w:t>(2)</w:t>
      </w:r>
      <w:r w:rsidRPr="00020424">
        <w:rPr>
          <w:rtl/>
          <w:lang w:bidi="fa-IR"/>
        </w:rPr>
        <w:t xml:space="preserve"> شَهْرِ رَمَضَانَ فِي الْعَشْرِ الْأَوَاخِرِ ، فَلَمْ يُنْزَلِ </w:t>
      </w:r>
      <w:r w:rsidRPr="00A91B96">
        <w:rPr>
          <w:rStyle w:val="libFootnotenumChar"/>
          <w:rtl/>
        </w:rPr>
        <w:t>(3)</w:t>
      </w:r>
      <w:r w:rsidR="00831A1B">
        <w:rPr>
          <w:rtl/>
          <w:lang w:bidi="fa-IR"/>
        </w:rPr>
        <w:t xml:space="preserve"> الْقُرْآنُ إِل</w:t>
      </w:r>
      <w:r w:rsidR="00831A1B">
        <w:rPr>
          <w:rFonts w:hint="cs"/>
          <w:rtl/>
          <w:lang w:bidi="fa-IR"/>
        </w:rPr>
        <w:t>َّ</w:t>
      </w:r>
      <w:r w:rsidR="00831A1B">
        <w:rPr>
          <w:rtl/>
          <w:lang w:bidi="fa-IR"/>
        </w:rPr>
        <w:t>ا</w:t>
      </w:r>
      <w:r w:rsidRPr="00020424">
        <w:rPr>
          <w:rtl/>
          <w:lang w:bidi="fa-IR"/>
        </w:rPr>
        <w:t xml:space="preserve"> فِي لَيْلَةِ الْقَدْرِ ، قَالَ اللهُ عَزَّ وَجَلَّ : </w:t>
      </w:r>
      <w:r w:rsidRPr="00005A81">
        <w:rPr>
          <w:rStyle w:val="libAlaemChar"/>
          <w:rtl/>
        </w:rPr>
        <w:t>(</w:t>
      </w:r>
      <w:r w:rsidRPr="004E5AB4">
        <w:rPr>
          <w:rStyle w:val="libAieChar"/>
          <w:rtl/>
        </w:rPr>
        <w:t xml:space="preserve"> فِيها يُفْرَقُ كُلُّ أَمْرٍ حَكِيمٍ </w:t>
      </w:r>
      <w:r w:rsidRPr="00005A81">
        <w:rPr>
          <w:rStyle w:val="libAlaemChar"/>
          <w:rtl/>
        </w:rPr>
        <w:t>)</w:t>
      </w:r>
      <w:r w:rsidRPr="00020424">
        <w:rPr>
          <w:rtl/>
          <w:lang w:bidi="fa-IR"/>
        </w:rPr>
        <w:t xml:space="preserve"> </w:t>
      </w:r>
      <w:r w:rsidRPr="00A91B96">
        <w:rPr>
          <w:rStyle w:val="libFootnotenumChar"/>
          <w:rtl/>
        </w:rPr>
        <w:t>(4)</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يُقَدَّرُ فِي لَيْلَةِ الْقَدْرِ كُلُّ شَيْ‌ءٍ يَكُونُ فِي تِلْكَ السَّنَةِ إِلى مِثْلِهَا مِنْ قَابِلٍ </w:t>
      </w:r>
      <w:r w:rsidRPr="00A91B96">
        <w:rPr>
          <w:rStyle w:val="libFootnotenumChar"/>
          <w:rtl/>
        </w:rPr>
        <w:t>(5)</w:t>
      </w:r>
      <w:r w:rsidRPr="00020424">
        <w:rPr>
          <w:rtl/>
          <w:lang w:bidi="fa-IR"/>
        </w:rPr>
        <w:t xml:space="preserve"> :</w:t>
      </w:r>
      <w:r>
        <w:rPr>
          <w:rFonts w:hint="cs"/>
          <w:rtl/>
          <w:lang w:bidi="fa-IR"/>
        </w:rPr>
        <w:t xml:space="preserve"> </w:t>
      </w:r>
      <w:r w:rsidRPr="00020424">
        <w:rPr>
          <w:rtl/>
          <w:lang w:bidi="fa-IR"/>
        </w:rPr>
        <w:t xml:space="preserve">خَيْرٍ وَشَرٍّ </w:t>
      </w:r>
      <w:r w:rsidRPr="00A91B96">
        <w:rPr>
          <w:rStyle w:val="libFootnotenumChar"/>
          <w:rtl/>
        </w:rPr>
        <w:t>(6)</w:t>
      </w:r>
      <w:r w:rsidRPr="00020424">
        <w:rPr>
          <w:rtl/>
          <w:lang w:bidi="fa-IR"/>
        </w:rPr>
        <w:t xml:space="preserve"> ، وَطَاعَةٍ </w:t>
      </w:r>
      <w:r w:rsidRPr="00A91B96">
        <w:rPr>
          <w:rStyle w:val="libFootnotenumChar"/>
          <w:rtl/>
        </w:rPr>
        <w:t>(7)</w:t>
      </w:r>
      <w:r w:rsidRPr="00020424">
        <w:rPr>
          <w:rtl/>
          <w:lang w:bidi="fa-IR"/>
        </w:rPr>
        <w:t xml:space="preserve"> وَمَعْصِيَةٍ </w:t>
      </w:r>
      <w:r w:rsidRPr="00A91B96">
        <w:rPr>
          <w:rStyle w:val="libFootnotenumChar"/>
          <w:rtl/>
        </w:rPr>
        <w:t>(8)</w:t>
      </w:r>
      <w:r w:rsidRPr="00020424">
        <w:rPr>
          <w:rtl/>
          <w:lang w:bidi="fa-IR"/>
        </w:rPr>
        <w:t xml:space="preserve"> ، وَمَوْلُودٍ </w:t>
      </w:r>
      <w:r w:rsidRPr="00A91B96">
        <w:rPr>
          <w:rStyle w:val="libFootnotenumChar"/>
          <w:rtl/>
        </w:rPr>
        <w:t>(9)</w:t>
      </w:r>
      <w:r w:rsidRPr="00020424">
        <w:rPr>
          <w:rtl/>
          <w:lang w:bidi="fa-IR"/>
        </w:rPr>
        <w:t xml:space="preserve"> وَأَجَلٍ </w:t>
      </w:r>
      <w:r w:rsidRPr="00A91B96">
        <w:rPr>
          <w:rStyle w:val="libFootnotenumChar"/>
          <w:rtl/>
        </w:rPr>
        <w:t>(10)</w:t>
      </w:r>
      <w:r w:rsidRPr="00020424">
        <w:rPr>
          <w:rtl/>
          <w:lang w:bidi="fa-IR"/>
        </w:rPr>
        <w:t xml:space="preserve"> ، أَوْ رِزْقٍ </w:t>
      </w:r>
      <w:r w:rsidRPr="00A91B96">
        <w:rPr>
          <w:rStyle w:val="libFootnotenumChar"/>
          <w:rtl/>
        </w:rPr>
        <w:t>(11)</w:t>
      </w:r>
      <w:r w:rsidRPr="00020424">
        <w:rPr>
          <w:rtl/>
          <w:lang w:bidi="fa-IR"/>
        </w:rPr>
        <w:t xml:space="preserve"> ، فَمَا قُدِّرَ </w:t>
      </w:r>
      <w:r w:rsidRPr="00A91B96">
        <w:rPr>
          <w:rStyle w:val="libFootnotenumChar"/>
          <w:rtl/>
        </w:rPr>
        <w:t>(12)</w:t>
      </w:r>
      <w:r w:rsidRPr="00020424">
        <w:rPr>
          <w:rtl/>
          <w:lang w:bidi="fa-IR"/>
        </w:rPr>
        <w:t xml:space="preserve"> فِي تِلْكَ السَّنَةِ </w:t>
      </w:r>
      <w:r w:rsidRPr="00A91B96">
        <w:rPr>
          <w:rStyle w:val="libFootnotenumChar"/>
          <w:rtl/>
        </w:rPr>
        <w:t>(13)</w:t>
      </w:r>
      <w:r w:rsidRPr="00020424">
        <w:rPr>
          <w:rtl/>
          <w:lang w:bidi="fa-IR"/>
        </w:rPr>
        <w:t xml:space="preserve"> وَقُضِيَ ، فَهُوَ الْمَحْتُومُ </w:t>
      </w:r>
      <w:r w:rsidRPr="00A91B96">
        <w:rPr>
          <w:rStyle w:val="libFootnotenumChar"/>
          <w:rtl/>
        </w:rPr>
        <w:t>(14)</w:t>
      </w:r>
      <w:r w:rsidRPr="00020424">
        <w:rPr>
          <w:rtl/>
          <w:lang w:bidi="fa-IR"/>
        </w:rPr>
        <w:t xml:space="preserve"> ، وَلِلّهِ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فِيهِ الْمَشِيئَةُ </w:t>
      </w:r>
      <w:r w:rsidRPr="00A91B96">
        <w:rPr>
          <w:rStyle w:val="libFootnotenumChar"/>
          <w:rtl/>
        </w:rPr>
        <w:t>(15)</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831A1B" w:rsidP="00831A1B">
      <w:pPr>
        <w:pStyle w:val="libFootnote0"/>
        <w:rPr>
          <w:rtl/>
          <w:lang w:bidi="fa-IR"/>
        </w:rPr>
      </w:pPr>
      <w:r>
        <w:rPr>
          <w:rFonts w:hint="cs"/>
          <w:rtl/>
        </w:rPr>
        <w:t xml:space="preserve">= </w:t>
      </w:r>
      <w:r w:rsidR="00992664" w:rsidRPr="00020424">
        <w:rPr>
          <w:rtl/>
        </w:rPr>
        <w:t xml:space="preserve">وزرارة ، عن محمّد بن مسلم ، عن حمران ، والمذكور في </w:t>
      </w:r>
      <w:r w:rsidR="00992664" w:rsidRPr="0012008A">
        <w:rPr>
          <w:rStyle w:val="libFootnoteBoldChar"/>
          <w:rtl/>
        </w:rPr>
        <w:t>البحار</w:t>
      </w:r>
      <w:r w:rsidR="00992664" w:rsidRPr="00020424">
        <w:rPr>
          <w:rtl/>
        </w:rPr>
        <w:t xml:space="preserve"> ، ج 97 ، ص 19 ، ح 41 نقلاً من </w:t>
      </w:r>
      <w:r w:rsidR="00992664" w:rsidRPr="0012008A">
        <w:rPr>
          <w:rStyle w:val="libFootnoteBoldChar"/>
          <w:rtl/>
        </w:rPr>
        <w:t>ثواب الأعمال</w:t>
      </w:r>
      <w:r w:rsidR="00992664" w:rsidRPr="00020424">
        <w:rPr>
          <w:rtl/>
        </w:rPr>
        <w:t xml:space="preserve"> : « الفضيل وزرارة ومحمّد بن مسلم » ، وهو الظاهر ؛ فإنّه لم يثبت وقوع واسطة بين زرارة وبين أخيه حمران بن أعين.</w:t>
      </w:r>
      <w:r>
        <w:rPr>
          <w:rFonts w:hint="cs"/>
          <w:rtl/>
        </w:rPr>
        <w:t xml:space="preserve">                                   </w:t>
      </w:r>
      <w:r w:rsidR="00523A60">
        <w:rPr>
          <w:rFonts w:hint="cs"/>
          <w:rtl/>
        </w:rPr>
        <w:t xml:space="preserve">              </w:t>
      </w:r>
      <w:r>
        <w:rPr>
          <w:rFonts w:hint="cs"/>
          <w:rtl/>
        </w:rPr>
        <w:t xml:space="preserve"> </w:t>
      </w:r>
      <w:r w:rsidR="00795177">
        <w:rPr>
          <w:rtl/>
        </w:rPr>
        <w:t>(1).</w:t>
      </w:r>
      <w:r w:rsidR="0014403D">
        <w:rPr>
          <w:rtl/>
        </w:rPr>
        <w:t xml:space="preserve"> </w:t>
      </w:r>
      <w:r w:rsidR="00992664" w:rsidRPr="00020424">
        <w:rPr>
          <w:rtl/>
        </w:rPr>
        <w:t xml:space="preserve">في </w:t>
      </w:r>
      <w:r w:rsidR="00992664" w:rsidRPr="00831A1B">
        <w:rPr>
          <w:rtl/>
        </w:rPr>
        <w:t>الوافي</w:t>
      </w:r>
      <w:r w:rsidR="00992664" w:rsidRPr="00020424">
        <w:rPr>
          <w:rtl/>
        </w:rPr>
        <w:t xml:space="preserve"> : « هي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1A1B" w:rsidTr="00831A1B">
        <w:tc>
          <w:tcPr>
            <w:tcW w:w="4006" w:type="dxa"/>
          </w:tcPr>
          <w:p w:rsidR="00831A1B" w:rsidRDefault="00831A1B" w:rsidP="00992664">
            <w:pPr>
              <w:pStyle w:val="libFootnote0"/>
              <w:rPr>
                <w:rtl/>
              </w:rPr>
            </w:pPr>
            <w:r>
              <w:rPr>
                <w:rtl/>
              </w:rPr>
              <w:t xml:space="preserve">(2). </w:t>
            </w:r>
            <w:r w:rsidRPr="00020424">
              <w:rPr>
                <w:rtl/>
              </w:rPr>
              <w:t>في « بف » : « من</w:t>
            </w:r>
            <w:r>
              <w:rPr>
                <w:rtl/>
              </w:rPr>
              <w:t xml:space="preserve"> ».</w:t>
            </w:r>
          </w:p>
        </w:tc>
        <w:tc>
          <w:tcPr>
            <w:tcW w:w="4006" w:type="dxa"/>
          </w:tcPr>
          <w:p w:rsidR="00831A1B" w:rsidRDefault="00831A1B" w:rsidP="00992664">
            <w:pPr>
              <w:pStyle w:val="libFootnote0"/>
              <w:rPr>
                <w:rtl/>
              </w:rPr>
            </w:pPr>
            <w:r>
              <w:rPr>
                <w:rtl/>
              </w:rPr>
              <w:t xml:space="preserve">(3). </w:t>
            </w:r>
            <w:r w:rsidRPr="00020424">
              <w:rPr>
                <w:rtl/>
              </w:rPr>
              <w:t xml:space="preserve">في « بخ ، بف » </w:t>
            </w:r>
            <w:r w:rsidRPr="00831A1B">
              <w:rPr>
                <w:rtl/>
              </w:rPr>
              <w:t>والوافي والفقيه :</w:t>
            </w:r>
            <w:r w:rsidRPr="00020424">
              <w:rPr>
                <w:rtl/>
              </w:rPr>
              <w:t xml:space="preserve"> « ولم ينزل</w:t>
            </w:r>
            <w:r>
              <w:rPr>
                <w:rtl/>
              </w:rPr>
              <w:t xml:space="preserve"> ».</w:t>
            </w:r>
          </w:p>
        </w:tc>
      </w:tr>
      <w:tr w:rsidR="00831A1B" w:rsidTr="00831A1B">
        <w:tc>
          <w:tcPr>
            <w:tcW w:w="4006" w:type="dxa"/>
          </w:tcPr>
          <w:p w:rsidR="00831A1B" w:rsidRDefault="00831A1B" w:rsidP="00992664">
            <w:pPr>
              <w:pStyle w:val="libFootnote0"/>
              <w:rPr>
                <w:rtl/>
              </w:rPr>
            </w:pPr>
            <w:r>
              <w:rPr>
                <w:rtl/>
              </w:rPr>
              <w:t xml:space="preserve">(4). </w:t>
            </w:r>
            <w:r w:rsidRPr="00020424">
              <w:rPr>
                <w:rtl/>
              </w:rPr>
              <w:t>الدخان (44) : 3</w:t>
            </w:r>
            <w:r>
              <w:rPr>
                <w:rtl/>
              </w:rPr>
              <w:t xml:space="preserve"> - </w:t>
            </w:r>
            <w:r w:rsidRPr="00020424">
              <w:rPr>
                <w:rtl/>
              </w:rPr>
              <w:t>4.</w:t>
            </w:r>
          </w:p>
        </w:tc>
        <w:tc>
          <w:tcPr>
            <w:tcW w:w="4006" w:type="dxa"/>
          </w:tcPr>
          <w:p w:rsidR="00831A1B" w:rsidRDefault="00831A1B" w:rsidP="00992664">
            <w:pPr>
              <w:pStyle w:val="libFootnote0"/>
              <w:rPr>
                <w:rtl/>
              </w:rPr>
            </w:pPr>
            <w:r>
              <w:rPr>
                <w:rtl/>
              </w:rPr>
              <w:t xml:space="preserve">(5). </w:t>
            </w:r>
            <w:r w:rsidRPr="00020424">
              <w:rPr>
                <w:rtl/>
              </w:rPr>
              <w:t xml:space="preserve">في </w:t>
            </w:r>
            <w:r w:rsidRPr="00831A1B">
              <w:rPr>
                <w:rtl/>
              </w:rPr>
              <w:t>الوافي</w:t>
            </w:r>
            <w:r w:rsidRPr="00020424">
              <w:rPr>
                <w:rtl/>
              </w:rPr>
              <w:t xml:space="preserve"> </w:t>
            </w:r>
            <w:r w:rsidRPr="00831A1B">
              <w:rPr>
                <w:rtl/>
              </w:rPr>
              <w:t>والوسائل والفقيه</w:t>
            </w:r>
            <w:r w:rsidRPr="00020424">
              <w:rPr>
                <w:rtl/>
              </w:rPr>
              <w:t xml:space="preserve"> والثواب : + « من</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بخ ، بف » </w:t>
      </w:r>
      <w:r w:rsidR="00992664" w:rsidRPr="00831A1B">
        <w:rPr>
          <w:rtl/>
        </w:rPr>
        <w:t>والوافي والفقيه</w:t>
      </w:r>
      <w:r w:rsidR="00992664" w:rsidRPr="00020424">
        <w:rPr>
          <w:rtl/>
        </w:rPr>
        <w:t xml:space="preserve"> والثواب : « أو شرّ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بف » </w:t>
      </w:r>
      <w:r w:rsidR="00992664" w:rsidRPr="00831A1B">
        <w:rPr>
          <w:rtl/>
        </w:rPr>
        <w:t>والوافي والفقيه</w:t>
      </w:r>
      <w:r w:rsidR="00992664" w:rsidRPr="00020424">
        <w:rPr>
          <w:rtl/>
        </w:rPr>
        <w:t xml:space="preserve"> والثواب : « أو طاعة</w:t>
      </w:r>
      <w:r w:rsidR="00992664">
        <w:rPr>
          <w:rtl/>
        </w:rPr>
        <w:t xml:space="preserve"> ».</w:t>
      </w:r>
    </w:p>
    <w:p w:rsidR="00992664" w:rsidRPr="00020424" w:rsidRDefault="00795177" w:rsidP="00831A1B">
      <w:pPr>
        <w:pStyle w:val="libFootnote0"/>
        <w:rPr>
          <w:rtl/>
          <w:lang w:bidi="fa-IR"/>
        </w:rPr>
      </w:pPr>
      <w:r>
        <w:rPr>
          <w:rtl/>
        </w:rPr>
        <w:t>(8).</w:t>
      </w:r>
      <w:r w:rsidR="0014403D">
        <w:rPr>
          <w:rtl/>
        </w:rPr>
        <w:t xml:space="preserve"> </w:t>
      </w:r>
      <w:r w:rsidR="00992664" w:rsidRPr="00020424">
        <w:rPr>
          <w:rtl/>
        </w:rPr>
        <w:t xml:space="preserve">في « بخ » </w:t>
      </w:r>
      <w:r w:rsidR="00992664" w:rsidRPr="00831A1B">
        <w:rPr>
          <w:rtl/>
        </w:rPr>
        <w:t>والوافي والفقيه</w:t>
      </w:r>
      <w:r w:rsidR="00992664" w:rsidRPr="00020424">
        <w:rPr>
          <w:rtl/>
        </w:rPr>
        <w:t xml:space="preserve"> والثواب : « أو معصية</w:t>
      </w:r>
      <w:r w:rsidR="00992664">
        <w:rPr>
          <w:rtl/>
        </w:rPr>
        <w:t xml:space="preserve"> ».</w:t>
      </w:r>
      <w:r w:rsidR="00831A1B">
        <w:rPr>
          <w:rFonts w:hint="cs"/>
          <w:rtl/>
        </w:rPr>
        <w:t xml:space="preserve">   </w:t>
      </w:r>
      <w:r>
        <w:rPr>
          <w:rtl/>
        </w:rPr>
        <w:t>(9).</w:t>
      </w:r>
      <w:r w:rsidR="0014403D">
        <w:rPr>
          <w:rtl/>
        </w:rPr>
        <w:t xml:space="preserve"> </w:t>
      </w:r>
      <w:r w:rsidR="00992664" w:rsidRPr="00020424">
        <w:rPr>
          <w:rtl/>
        </w:rPr>
        <w:t xml:space="preserve">في </w:t>
      </w:r>
      <w:r w:rsidR="00992664" w:rsidRPr="00831A1B">
        <w:rPr>
          <w:rtl/>
        </w:rPr>
        <w:t>الوافي</w:t>
      </w:r>
      <w:r w:rsidR="00992664" w:rsidRPr="00020424">
        <w:rPr>
          <w:rtl/>
        </w:rPr>
        <w:t xml:space="preserve"> : « أو مولود</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بث ، بخ ، بر » </w:t>
      </w:r>
      <w:r w:rsidR="00992664" w:rsidRPr="00831A1B">
        <w:rPr>
          <w:rtl/>
        </w:rPr>
        <w:t>والوافي والفقيه</w:t>
      </w:r>
      <w:r w:rsidR="00992664" w:rsidRPr="00020424">
        <w:rPr>
          <w:rtl/>
        </w:rPr>
        <w:t xml:space="preserve"> والثواب : « أو أجل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31A1B" w:rsidTr="00831A1B">
        <w:tc>
          <w:tcPr>
            <w:tcW w:w="4006" w:type="dxa"/>
          </w:tcPr>
          <w:p w:rsidR="00831A1B" w:rsidRDefault="00831A1B" w:rsidP="00992664">
            <w:pPr>
              <w:pStyle w:val="libFootnote0"/>
              <w:rPr>
                <w:rtl/>
              </w:rPr>
            </w:pPr>
            <w:r>
              <w:rPr>
                <w:rtl/>
              </w:rPr>
              <w:t xml:space="preserve">(11). </w:t>
            </w:r>
            <w:r w:rsidRPr="00020424">
              <w:rPr>
                <w:rtl/>
              </w:rPr>
              <w:t>في « ظ » : « ورزق</w:t>
            </w:r>
            <w:r>
              <w:rPr>
                <w:rtl/>
              </w:rPr>
              <w:t xml:space="preserve"> ».</w:t>
            </w:r>
          </w:p>
        </w:tc>
        <w:tc>
          <w:tcPr>
            <w:tcW w:w="4006" w:type="dxa"/>
          </w:tcPr>
          <w:p w:rsidR="00831A1B" w:rsidRDefault="00831A1B" w:rsidP="00992664">
            <w:pPr>
              <w:pStyle w:val="libFootnote0"/>
              <w:rPr>
                <w:rtl/>
              </w:rPr>
            </w:pPr>
            <w:r>
              <w:rPr>
                <w:rtl/>
              </w:rPr>
              <w:t xml:space="preserve">(12). </w:t>
            </w:r>
            <w:r w:rsidRPr="00020424">
              <w:rPr>
                <w:rtl/>
              </w:rPr>
              <w:t>في « بث » : « يقدّر</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بخ ، بف » وحاشية « بث » </w:t>
      </w:r>
      <w:r w:rsidR="00992664" w:rsidRPr="00831A1B">
        <w:rPr>
          <w:rtl/>
        </w:rPr>
        <w:t>والوافي والفقيه</w:t>
      </w:r>
      <w:r w:rsidR="00992664" w:rsidRPr="00020424">
        <w:rPr>
          <w:rtl/>
        </w:rPr>
        <w:t xml:space="preserve"> والثواب : « الليلة</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ى » : « المختوم</w:t>
      </w:r>
      <w:r w:rsidR="00992664">
        <w:rPr>
          <w:rtl/>
        </w:rPr>
        <w:t xml:space="preserve"> ».</w:t>
      </w:r>
      <w:r w:rsidR="00992664" w:rsidRPr="00020424">
        <w:rPr>
          <w:rtl/>
        </w:rPr>
        <w:t xml:space="preserve"> وفي « بر » : « المحترم</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يشبه أن يكون هذا الحديث قد سقط منه شي‌ء ؛ لأنّ المحتوم ما ليس لله‌</w:t>
      </w:r>
      <w:r w:rsidR="00831A1B">
        <w:rPr>
          <w:rFonts w:hint="cs"/>
          <w:rtl/>
        </w:rPr>
        <w:t xml:space="preserve"> </w:t>
      </w:r>
      <w:r w:rsidR="00992664" w:rsidRPr="00020424">
        <w:rPr>
          <w:rtl/>
        </w:rPr>
        <w:t>فيه المشيئة ولا يلحقه البداء ، وما لله‌</w:t>
      </w:r>
      <w:r w:rsidR="00831A1B">
        <w:rPr>
          <w:rFonts w:hint="cs"/>
          <w:rtl/>
        </w:rPr>
        <w:t xml:space="preserve"> </w:t>
      </w:r>
      <w:r w:rsidR="00992664" w:rsidRPr="00020424">
        <w:rPr>
          <w:rtl/>
        </w:rPr>
        <w:t>فيه المشيئة ويلحقه البداء فليس بمحتوم. ويؤيّد هذا ما يأتي في آخر حديث علامة ليلة القدر</w:t>
      </w:r>
      <w:r w:rsidR="00992664">
        <w:rPr>
          <w:rtl/>
        </w:rPr>
        <w:t xml:space="preserve"> </w:t>
      </w:r>
      <w:r w:rsidR="009B673F">
        <w:rPr>
          <w:rtl/>
        </w:rPr>
        <w:t>-</w:t>
      </w:r>
      <w:r w:rsidR="00992664">
        <w:rPr>
          <w:rtl/>
        </w:rPr>
        <w:t xml:space="preserve"> </w:t>
      </w:r>
      <w:r w:rsidR="00992664" w:rsidRPr="00020424">
        <w:rPr>
          <w:rtl/>
        </w:rPr>
        <w:t>وهو الحديث الثالث هنا</w:t>
      </w:r>
      <w:r w:rsidR="00992664">
        <w:rPr>
          <w:rtl/>
        </w:rPr>
        <w:t xml:space="preserve"> </w:t>
      </w:r>
      <w:r w:rsidR="009B673F">
        <w:rPr>
          <w:rtl/>
        </w:rPr>
        <w:t>-</w:t>
      </w:r>
      <w:r w:rsidR="00992664">
        <w:rPr>
          <w:rtl/>
        </w:rPr>
        <w:t xml:space="preserve"> </w:t>
      </w:r>
      <w:r w:rsidR="00992664" w:rsidRPr="00020424">
        <w:rPr>
          <w:rtl/>
        </w:rPr>
        <w:t>من قوله : وأمر موقوف له فيه المشيئة ، وما يأتي في آخر حديث إسحاق بن عمّار</w:t>
      </w:r>
      <w:r w:rsidR="00992664">
        <w:rPr>
          <w:rtl/>
        </w:rPr>
        <w:t xml:space="preserve"> </w:t>
      </w:r>
      <w:r w:rsidR="009B673F">
        <w:rPr>
          <w:rtl/>
        </w:rPr>
        <w:t>-</w:t>
      </w:r>
      <w:r w:rsidR="00992664">
        <w:rPr>
          <w:rtl/>
        </w:rPr>
        <w:t xml:space="preserve"> </w:t>
      </w:r>
      <w:r w:rsidR="00992664" w:rsidRPr="00020424">
        <w:rPr>
          <w:rtl/>
        </w:rPr>
        <w:t>وهو الحديث الثامن هنا</w:t>
      </w:r>
      <w:r w:rsidR="00992664">
        <w:rPr>
          <w:rtl/>
        </w:rPr>
        <w:t xml:space="preserve"> </w:t>
      </w:r>
      <w:r w:rsidR="009B673F">
        <w:rPr>
          <w:rtl/>
        </w:rPr>
        <w:t>-</w:t>
      </w:r>
      <w:r w:rsidR="00992664">
        <w:rPr>
          <w:rtl/>
        </w:rPr>
        <w:t xml:space="preserve"> </w:t>
      </w:r>
      <w:r w:rsidR="00992664" w:rsidRPr="00020424">
        <w:rPr>
          <w:rtl/>
        </w:rPr>
        <w:t>من هذا الباب</w:t>
      </w:r>
      <w:r w:rsidR="00992664">
        <w:rPr>
          <w:rtl/>
        </w:rPr>
        <w:t xml:space="preserve"> ».</w:t>
      </w:r>
    </w:p>
    <w:p w:rsidR="00992664" w:rsidRPr="00020424" w:rsidRDefault="00992664" w:rsidP="00992664">
      <w:pPr>
        <w:pStyle w:val="libFootnote0"/>
        <w:rPr>
          <w:rtl/>
          <w:lang w:bidi="fa-IR"/>
        </w:rPr>
      </w:pPr>
      <w:r w:rsidRPr="00831A1B">
        <w:rPr>
          <w:rtl/>
        </w:rPr>
        <w:t xml:space="preserve">وفي </w:t>
      </w:r>
      <w:r w:rsidRPr="00DE76B9">
        <w:rPr>
          <w:rStyle w:val="libFootnoteBoldChar"/>
          <w:rtl/>
        </w:rPr>
        <w:t>مرآة العقول</w:t>
      </w:r>
      <w:r w:rsidRPr="00831A1B">
        <w:rPr>
          <w:rtl/>
        </w:rPr>
        <w:t xml:space="preserve"> : « قوله </w:t>
      </w:r>
      <w:r w:rsidRPr="00D64ADA">
        <w:rPr>
          <w:rStyle w:val="libFootnoteAlaemChar"/>
          <w:rtl/>
        </w:rPr>
        <w:t>عليه‌السلام</w:t>
      </w:r>
      <w:r w:rsidRPr="00831A1B">
        <w:rPr>
          <w:rtl/>
        </w:rPr>
        <w:t xml:space="preserve"> : فهو المحتوم ، لعلّ المعنى أنّه محتوم بالنسبة إلى التقدير السابق بحيث يعسر تغييره ، لكن لله‌</w:t>
      </w:r>
      <w:r w:rsidR="00831A1B">
        <w:rPr>
          <w:rFonts w:hint="cs"/>
          <w:rtl/>
        </w:rPr>
        <w:t xml:space="preserve"> </w:t>
      </w:r>
      <w:r w:rsidRPr="00831A1B">
        <w:rPr>
          <w:rtl/>
        </w:rPr>
        <w:t xml:space="preserve">فيه المشيئة أيضاً. قوله </w:t>
      </w:r>
      <w:r w:rsidRPr="00D64ADA">
        <w:rPr>
          <w:rStyle w:val="libFootnoteAlaemChar"/>
          <w:rtl/>
        </w:rPr>
        <w:t>عليه‌السلام</w:t>
      </w:r>
      <w:r w:rsidRPr="00831A1B">
        <w:rPr>
          <w:rtl/>
        </w:rPr>
        <w:t xml:space="preserve"> : ولله عزّوجلّ فيه المشيئة ، قال الفاضل الإستر آبادي : مقتضى الحديث السابق ومقتضى الأحاديث الصريحة في أنّ الله تعالى لا يكذّب ملائكته ورسله أنّ الملائكة إنّما يكتبون ما تحتّم في تلك الليلة وهنا أمر آخر يعلمه الله لا يكتبونه ولله فيه المشيئة ، والظاهر أنّه سقط هنا شي‌ء والأصل : وأمر موقوف ولله عزّوجلّ فيه المشيّة ، انتهى. وبسطنا الكلام في </w:t>
      </w:r>
      <w:r w:rsidRPr="00DE76B9">
        <w:rPr>
          <w:rStyle w:val="libFootnoteBoldChar"/>
          <w:rtl/>
        </w:rPr>
        <w:t>الفرائد الطريقة</w:t>
      </w:r>
      <w:r w:rsidRPr="00831A1B">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 قُلْتُ : </w:t>
      </w:r>
      <w:r w:rsidRPr="00005A81">
        <w:rPr>
          <w:rStyle w:val="libAlaemChar"/>
          <w:rtl/>
        </w:rPr>
        <w:t>(</w:t>
      </w:r>
      <w:r w:rsidRPr="004E5AB4">
        <w:rPr>
          <w:rStyle w:val="libAieChar"/>
          <w:rtl/>
        </w:rPr>
        <w:t xml:space="preserve"> لَيْلَةُ الْقَدْرِ خَيْرٌ مِنْ أَلْفِ شَهْرٍ </w:t>
      </w:r>
      <w:r w:rsidRPr="00005A81">
        <w:rPr>
          <w:rStyle w:val="libAlaemChar"/>
          <w:rtl/>
        </w:rPr>
        <w:t>)</w:t>
      </w:r>
      <w:r w:rsidRPr="00020424">
        <w:rPr>
          <w:rtl/>
          <w:lang w:bidi="fa-IR"/>
        </w:rPr>
        <w:t xml:space="preserve"> </w:t>
      </w:r>
      <w:r w:rsidRPr="00A91B96">
        <w:rPr>
          <w:rStyle w:val="libFootnotenumChar"/>
          <w:rtl/>
        </w:rPr>
        <w:t>(1)</w:t>
      </w:r>
      <w:r w:rsidRPr="00020424">
        <w:rPr>
          <w:rtl/>
          <w:lang w:bidi="fa-IR"/>
        </w:rPr>
        <w:t xml:space="preserve"> : أَيُّ شَيْ‌ءٍ عُنِيَ بِذلِكَ</w:t>
      </w:r>
      <w:r>
        <w:rPr>
          <w:rtl/>
          <w:lang w:bidi="fa-IR"/>
        </w:rPr>
        <w:t>؟</w:t>
      </w:r>
    </w:p>
    <w:p w:rsidR="00992664" w:rsidRPr="00020424" w:rsidRDefault="00992664" w:rsidP="00992664">
      <w:pPr>
        <w:pStyle w:val="libNormal"/>
        <w:rPr>
          <w:rtl/>
          <w:lang w:bidi="fa-IR"/>
        </w:rPr>
      </w:pPr>
      <w:r w:rsidRPr="00020424">
        <w:rPr>
          <w:rtl/>
          <w:lang w:bidi="fa-IR"/>
        </w:rPr>
        <w:t xml:space="preserve">فَقَالَ : « الْعَمَلُ الصَّالِحُ فِيهَا مِنَ الصَّلَاةِ وَالزَّكَاةِ وَأَنْوَاعِ الْخَيْرِ خَيْرٌ مِنَ الْعَمَلِ فِي أَلْفِ شَهْرٍ لَيْسَ </w:t>
      </w:r>
      <w:r w:rsidRPr="00A91B96">
        <w:rPr>
          <w:rStyle w:val="libFootnotenumChar"/>
          <w:rtl/>
        </w:rPr>
        <w:t>(2)</w:t>
      </w:r>
      <w:r w:rsidRPr="00020424">
        <w:rPr>
          <w:rtl/>
          <w:lang w:bidi="fa-IR"/>
        </w:rPr>
        <w:t xml:space="preserve"> فِيهَا لَيْلَةُ الْقَدْرِ ، وَلَوْلَا مَا يُضَاعِفُ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لِلْمُؤْمِنِينَ ، مَا بَلَغُوا </w:t>
      </w:r>
      <w:r w:rsidRPr="00A91B96">
        <w:rPr>
          <w:rStyle w:val="libFootnotenumChar"/>
          <w:rtl/>
        </w:rPr>
        <w:t>(3)</w:t>
      </w:r>
      <w:r w:rsidRPr="00020424">
        <w:rPr>
          <w:rtl/>
          <w:lang w:bidi="fa-IR"/>
        </w:rPr>
        <w:t xml:space="preserve"> ، وَلكِنَّ اللهَ يُضَاعِفُ لَهُمُ الْحَسَنَاتِ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4C302E">
        <w:rPr>
          <w:rtl/>
        </w:rPr>
        <w:t>6625</w:t>
      </w:r>
      <w:r w:rsidRPr="001155DE">
        <w:rPr>
          <w:rStyle w:val="libBold2Char"/>
          <w:rtl/>
        </w:rPr>
        <w:t xml:space="preserve"> / 7.</w:t>
      </w:r>
      <w:r w:rsidRPr="00020424">
        <w:rPr>
          <w:rtl/>
          <w:lang w:bidi="fa-IR"/>
        </w:rPr>
        <w:t xml:space="preserve"> مُحَمَّدُ بْنُ يَحْيى ، عَنْ مُحَمَّدِ بْنِ أَحْمَدَ ، عَنِ السَّيَّارِيِّ </w:t>
      </w:r>
      <w:r w:rsidRPr="00A91B96">
        <w:rPr>
          <w:rStyle w:val="libFootnotenumChar"/>
          <w:rtl/>
        </w:rPr>
        <w:t>(6)</w:t>
      </w:r>
      <w:r w:rsidRPr="00020424">
        <w:rPr>
          <w:rtl/>
          <w:lang w:bidi="fa-IR"/>
        </w:rPr>
        <w:t xml:space="preserve"> ، عَنْ بَعْضِ أَصْحَابِنَا ، عَنْ دَاوُدَ بْنِ فَرْقَدٍ ، قَالَ : حَدَّثَنِي يَعْقُوبُ ، قَالَ :</w:t>
      </w:r>
    </w:p>
    <w:p w:rsidR="00992664" w:rsidRPr="00020424" w:rsidRDefault="00992664" w:rsidP="00992664">
      <w:pPr>
        <w:pStyle w:val="libNormal"/>
        <w:rPr>
          <w:rtl/>
          <w:lang w:bidi="fa-IR"/>
        </w:rPr>
      </w:pPr>
      <w:r w:rsidRPr="00020424">
        <w:rPr>
          <w:rtl/>
          <w:lang w:bidi="fa-IR"/>
        </w:rPr>
        <w:t xml:space="preserve">سَمِعْتُ رَجُلاً يَسْأَلُ أَبَا عَبْدِ اللهِ </w:t>
      </w:r>
      <w:r w:rsidRPr="00005A81">
        <w:rPr>
          <w:rStyle w:val="libAlaemChar"/>
          <w:rtl/>
        </w:rPr>
        <w:t>عليه‌السلام</w:t>
      </w:r>
      <w:r w:rsidRPr="00020424">
        <w:rPr>
          <w:rtl/>
          <w:lang w:bidi="fa-IR"/>
        </w:rPr>
        <w:t xml:space="preserve"> عَنْ لَيْلَةِ الْقَدْرِ ، فَقَالَ : أَخْبِرْنِي عَنْ لَيْلَةِ الْقَدْرِ ، كَانَتْ ، أَوْ تَكُونُ فِي كُلِّ عَامٍ</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(7)</w:t>
      </w:r>
      <w:r w:rsidRPr="00020424">
        <w:rPr>
          <w:rtl/>
          <w:lang w:bidi="fa-IR"/>
        </w:rPr>
        <w:t xml:space="preserve"> أَبُو عَبْدِ اللهِ </w:t>
      </w:r>
      <w:r w:rsidRPr="00005A81">
        <w:rPr>
          <w:rStyle w:val="libAlaemChar"/>
          <w:rtl/>
        </w:rPr>
        <w:t>عليه‌السلام</w:t>
      </w:r>
      <w:r w:rsidRPr="00020424">
        <w:rPr>
          <w:rtl/>
          <w:lang w:bidi="fa-IR"/>
        </w:rPr>
        <w:t xml:space="preserve"> : « لَوْ رُفِعَتْ لَيْلَةُ الْقَدْرِ ، لَرُفِعَ الْقُرْآنُ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47CDB" w:rsidTr="00D47CDB">
        <w:tc>
          <w:tcPr>
            <w:tcW w:w="4006" w:type="dxa"/>
          </w:tcPr>
          <w:p w:rsidR="00D47CDB" w:rsidRDefault="00D47CDB" w:rsidP="00992664">
            <w:pPr>
              <w:pStyle w:val="libFootnote0"/>
              <w:rPr>
                <w:rtl/>
              </w:rPr>
            </w:pPr>
            <w:r>
              <w:rPr>
                <w:rtl/>
              </w:rPr>
              <w:t xml:space="preserve">(1). </w:t>
            </w:r>
            <w:r w:rsidRPr="00020424">
              <w:rPr>
                <w:rtl/>
              </w:rPr>
              <w:t>القدر (97) : 3.</w:t>
            </w:r>
          </w:p>
        </w:tc>
        <w:tc>
          <w:tcPr>
            <w:tcW w:w="4006" w:type="dxa"/>
          </w:tcPr>
          <w:p w:rsidR="00D47CDB" w:rsidRDefault="00D47CDB" w:rsidP="00992664">
            <w:pPr>
              <w:pStyle w:val="libFootnote0"/>
              <w:rPr>
                <w:rtl/>
              </w:rPr>
            </w:pPr>
            <w:r>
              <w:rPr>
                <w:rtl/>
              </w:rPr>
              <w:t xml:space="preserve">(2). </w:t>
            </w:r>
            <w:r w:rsidRPr="00020424">
              <w:rPr>
                <w:rtl/>
              </w:rPr>
              <w:t xml:space="preserve">في </w:t>
            </w:r>
            <w:r w:rsidRPr="0012008A">
              <w:rPr>
                <w:rStyle w:val="libFootnoteBoldChar"/>
                <w:rtl/>
              </w:rPr>
              <w:t>الفقيه</w:t>
            </w:r>
            <w:r w:rsidRPr="00020424">
              <w:rPr>
                <w:rtl/>
              </w:rPr>
              <w:t>:</w:t>
            </w:r>
            <w:r>
              <w:rPr>
                <w:rtl/>
              </w:rPr>
              <w:t>-«</w:t>
            </w:r>
            <w:r w:rsidRPr="00020424">
              <w:rPr>
                <w:rtl/>
              </w:rPr>
              <w:t>فيها من الصلاة</w:t>
            </w:r>
            <w:r>
              <w:rPr>
                <w:rtl/>
              </w:rPr>
              <w:t>-</w:t>
            </w:r>
            <w:r w:rsidRPr="00020424">
              <w:rPr>
                <w:rtl/>
              </w:rPr>
              <w:t>إلى</w:t>
            </w:r>
            <w:r>
              <w:rPr>
                <w:rtl/>
              </w:rPr>
              <w:t xml:space="preserve">- </w:t>
            </w:r>
            <w:r w:rsidRPr="00020424">
              <w:rPr>
                <w:rtl/>
              </w:rPr>
              <w:t>شهر ليس</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ما بلغوا ، أي غاية الفضل والثواب</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w:t>
      </w:r>
      <w:r w:rsidR="00992664" w:rsidRPr="00D47CDB">
        <w:rPr>
          <w:rtl/>
        </w:rPr>
        <w:t>قوبلت والوافي والوسائل والفقيه</w:t>
      </w:r>
      <w:r w:rsidR="00992664" w:rsidRPr="00020424">
        <w:rPr>
          <w:rtl/>
        </w:rPr>
        <w:t xml:space="preserve"> والثواب. وفي حاشية « بث » والمطبوع : + « بحبّنا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ثواب الأعمال</w:t>
      </w:r>
      <w:r w:rsidR="00992664" w:rsidRPr="00020424">
        <w:rPr>
          <w:rtl/>
        </w:rPr>
        <w:t xml:space="preserve"> ، ص 92 ، ح 11 ، بسنده عن ابن أبي عمير. </w:t>
      </w:r>
      <w:r w:rsidR="00992664" w:rsidRPr="0012008A">
        <w:rPr>
          <w:rStyle w:val="libFootnoteBoldChar"/>
          <w:rtl/>
        </w:rPr>
        <w:t>الفقيه</w:t>
      </w:r>
      <w:r w:rsidR="00992664" w:rsidRPr="00020424">
        <w:rPr>
          <w:rtl/>
        </w:rPr>
        <w:t xml:space="preserve"> ، ج 2 ، ص 158 ، ح 2024 ، معلّقاً عن حمران </w:t>
      </w:r>
      <w:r w:rsidR="00D47CDB">
        <w:rPr>
          <w:rFonts w:hint="cs"/>
          <w:rtl/>
        </w:rPr>
        <w:t>.</w:t>
      </w:r>
      <w:r w:rsidR="00992664" w:rsidRPr="0012008A">
        <w:rPr>
          <w:rStyle w:val="libFootnoteBoldChar"/>
          <w:rtl/>
        </w:rPr>
        <w:t>الوافي</w:t>
      </w:r>
      <w:r w:rsidR="00992664" w:rsidRPr="00020424">
        <w:rPr>
          <w:rtl/>
        </w:rPr>
        <w:t xml:space="preserve"> ، ج 11 ، ص 379 ، ح 11054 ؛ </w:t>
      </w:r>
      <w:r w:rsidR="00992664" w:rsidRPr="0012008A">
        <w:rPr>
          <w:rStyle w:val="libFootnoteBoldChar"/>
          <w:rtl/>
        </w:rPr>
        <w:t>الوسائل</w:t>
      </w:r>
      <w:r w:rsidR="00992664" w:rsidRPr="00020424">
        <w:rPr>
          <w:rtl/>
        </w:rPr>
        <w:t xml:space="preserve"> ، ج 10 ، ص 351 ، ح 13584.</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محمّد ، عن السياري » ، ولازمه عدم توسّط « محمّد بن أحمد » في البين. ولم يثبت رواية محمّدبن يحيى عن السياري</w:t>
      </w:r>
      <w:r w:rsidR="00992664">
        <w:rPr>
          <w:rtl/>
        </w:rPr>
        <w:t xml:space="preserve"> </w:t>
      </w:r>
      <w:r w:rsidR="009B673F">
        <w:rPr>
          <w:rtl/>
        </w:rPr>
        <w:t>-</w:t>
      </w:r>
      <w:r w:rsidR="00992664">
        <w:rPr>
          <w:rtl/>
        </w:rPr>
        <w:t xml:space="preserve"> </w:t>
      </w:r>
      <w:r w:rsidR="00992664" w:rsidRPr="00020424">
        <w:rPr>
          <w:rtl/>
        </w:rPr>
        <w:t>وهو أحمد بن محمّد السياري</w:t>
      </w:r>
      <w:r w:rsidR="00992664">
        <w:rPr>
          <w:rtl/>
        </w:rPr>
        <w:t xml:space="preserve"> </w:t>
      </w:r>
      <w:r w:rsidR="009B673F">
        <w:rPr>
          <w:rtl/>
        </w:rPr>
        <w:t>-</w:t>
      </w:r>
      <w:r w:rsidR="00992664">
        <w:rPr>
          <w:rtl/>
        </w:rPr>
        <w:t xml:space="preserve"> </w:t>
      </w:r>
      <w:r w:rsidR="00992664" w:rsidRPr="00020424">
        <w:rPr>
          <w:rtl/>
        </w:rPr>
        <w:t xml:space="preserve">في أسناد </w:t>
      </w:r>
      <w:r w:rsidR="00992664" w:rsidRPr="00DE76B9">
        <w:rPr>
          <w:rStyle w:val="libFootnoteBoldChar"/>
          <w:rtl/>
        </w:rPr>
        <w:t>الكافي</w:t>
      </w:r>
      <w:r w:rsidR="00992664" w:rsidRPr="00020424">
        <w:rPr>
          <w:rtl/>
        </w:rPr>
        <w:t xml:space="preserve"> مباشرة.</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ى ، بخ ، بر ، بس ، بف » </w:t>
      </w:r>
      <w:r w:rsidR="00992664" w:rsidRPr="00D47CDB">
        <w:rPr>
          <w:rtl/>
        </w:rPr>
        <w:t>والوافي</w:t>
      </w:r>
      <w:r w:rsidR="00992664" w:rsidRPr="00020424">
        <w:rPr>
          <w:rtl/>
        </w:rPr>
        <w:t xml:space="preserve"> : + « 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وذلك لأنّ في ليلة القدر ينزل كلّ سنة من تبيين القرآن وتفسيره ما يتعلّق با</w:t>
      </w:r>
      <w:r w:rsidR="00D47CDB">
        <w:rPr>
          <w:rFonts w:hint="cs"/>
          <w:rtl/>
        </w:rPr>
        <w:t>ُ</w:t>
      </w:r>
      <w:r w:rsidR="00992664" w:rsidRPr="00020424">
        <w:rPr>
          <w:rtl/>
        </w:rPr>
        <w:t xml:space="preserve">مور تلك السنة إلى صاحب الأمر ، فلو لم تكن ليلة القدر لم ينزل من أحكام القرآن ما لابدّ منه في القضايا المتجدّدة ، وإنّما لم ينزل ذلك إذا لم يكن من ينزل عليه لم يكن قرآن ؛ لأنّهما متصاحبان لن يفترقا حتّى يردا على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حوضه ، كما ورد في الحديث المتّفق عليه</w:t>
      </w:r>
      <w:r w:rsidR="00992664">
        <w:rPr>
          <w:rtl/>
        </w:rPr>
        <w:t xml:space="preserve"> ».</w:t>
      </w:r>
    </w:p>
    <w:p w:rsidR="00992664" w:rsidRPr="00020424" w:rsidRDefault="00D47CDB" w:rsidP="00992664">
      <w:pPr>
        <w:pStyle w:val="libFootnote0"/>
        <w:rPr>
          <w:rtl/>
          <w:lang w:bidi="fa-IR"/>
        </w:rPr>
      </w:pPr>
      <w:r>
        <w:rPr>
          <w:rtl/>
        </w:rPr>
        <w:t>وذكر العل</w:t>
      </w:r>
      <w:r>
        <w:rPr>
          <w:rFonts w:hint="cs"/>
          <w:rtl/>
        </w:rPr>
        <w:t>ّ</w:t>
      </w:r>
      <w:r>
        <w:rPr>
          <w:rtl/>
        </w:rPr>
        <w:t>ا</w:t>
      </w:r>
      <w:r w:rsidR="00992664" w:rsidRPr="00D47CDB">
        <w:rPr>
          <w:rtl/>
        </w:rPr>
        <w:t>مة المجلسي وجوهاً ا</w:t>
      </w:r>
      <w:r>
        <w:rPr>
          <w:rFonts w:hint="cs"/>
          <w:rtl/>
        </w:rPr>
        <w:t>ُ</w:t>
      </w:r>
      <w:r w:rsidR="00992664" w:rsidRPr="00D47CDB">
        <w:rPr>
          <w:rtl/>
        </w:rPr>
        <w:t xml:space="preserve">خر في مرآة العقول ثمّ قال : « ثمّ اعلم أنّه لا خلاف بين الإماميّة في استمرار ليلة القدر وبقائها ، وإليه ذهب أكثر العامّة ، وذهب شاذّ منهم إلى أنّها كانت مختصّة بزمن الرسول </w:t>
      </w:r>
      <w:r w:rsidR="00D64ADA" w:rsidRPr="00D64ADA">
        <w:rPr>
          <w:rStyle w:val="libFootnoteAlaemChar"/>
          <w:rtl/>
        </w:rPr>
        <w:t>صلى‌الله‌عليه‌وآله</w:t>
      </w:r>
      <w:r w:rsidR="00B42914" w:rsidRPr="00B42914">
        <w:rPr>
          <w:rStyle w:val="libAlaemChar"/>
          <w:rtl/>
        </w:rPr>
        <w:t>‌</w:t>
      </w:r>
      <w:r w:rsidR="00992664" w:rsidRPr="00D47CDB">
        <w:rPr>
          <w:rtl/>
        </w:rPr>
        <w:t xml:space="preserve"> ، وبعد وفاته رفعت ».</w:t>
      </w:r>
    </w:p>
    <w:p w:rsidR="00992664" w:rsidRPr="00020424" w:rsidRDefault="00795177" w:rsidP="00992664">
      <w:pPr>
        <w:pStyle w:val="libFootnote0"/>
        <w:rPr>
          <w:rtl/>
          <w:lang w:bidi="fa-IR"/>
        </w:rPr>
      </w:pPr>
      <w:r>
        <w:rPr>
          <w:rtl/>
        </w:rPr>
        <w:t>(9).</w:t>
      </w:r>
      <w:r w:rsidR="0014403D">
        <w:rPr>
          <w:rtl/>
        </w:rPr>
        <w:t xml:space="preserve"> </w:t>
      </w:r>
      <w:r w:rsidR="00992664" w:rsidRPr="00DE76B9">
        <w:rPr>
          <w:rStyle w:val="libFootnoteBoldChar"/>
          <w:rtl/>
        </w:rPr>
        <w:t>علل الشرائع</w:t>
      </w:r>
      <w:r w:rsidR="00992664" w:rsidRPr="00020424">
        <w:rPr>
          <w:rtl/>
        </w:rPr>
        <w:t xml:space="preserve"> ، ص 388 ، ح 1 ، بسنده عن أحمد بن محمّد السيّاري ، ع</w:t>
      </w:r>
      <w:r w:rsidR="00D47CDB">
        <w:rPr>
          <w:rtl/>
        </w:rPr>
        <w:t>ن بعض أصحابنا ، عن داود بن فرقد</w:t>
      </w:r>
      <w:r w:rsidR="00992664" w:rsidRPr="00020424">
        <w:rPr>
          <w:rtl/>
        </w:rPr>
        <w:t xml:space="preserve">، </w:t>
      </w:r>
      <w:r w:rsidR="00D47CDB">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4C302E">
        <w:rPr>
          <w:rtl/>
        </w:rPr>
        <w:t>6626</w:t>
      </w:r>
      <w:r w:rsidRPr="001155DE">
        <w:rPr>
          <w:rStyle w:val="libBold2Char"/>
          <w:rtl/>
        </w:rPr>
        <w:t xml:space="preserve"> / 8.</w:t>
      </w:r>
      <w:r w:rsidRPr="00020424">
        <w:rPr>
          <w:rtl/>
          <w:lang w:bidi="fa-IR"/>
        </w:rPr>
        <w:t xml:space="preserve"> مُحَمَّدُ بْنُ يَحْيى ، عَنْ مُحَمَّدِ بْنِ أَحْمَدَ ، عَنْ مُحَمَّدِ بْنِ عِيسى ، عَنْ أَبِي عَبْدِ اللهِ الْمُؤْمِنِ ، عَنْ إِسْحَاقَ بْنِ عَمَّارٍ ، قَالَ :</w:t>
      </w:r>
    </w:p>
    <w:p w:rsidR="00992664" w:rsidRPr="00020424" w:rsidRDefault="00992664" w:rsidP="00992664">
      <w:pPr>
        <w:pStyle w:val="libNormal"/>
        <w:rPr>
          <w:rtl/>
          <w:lang w:bidi="fa-IR"/>
        </w:rPr>
      </w:pPr>
      <w:r w:rsidRPr="00020424">
        <w:rPr>
          <w:rtl/>
          <w:lang w:bidi="fa-IR"/>
        </w:rPr>
        <w:t xml:space="preserve">سَمِعْتُهُ يَقُولُ ، وَنَاسٌ يَسْأَلُونَهُ يَقُولُونَ : الْأَرْزَاقُ تُقَسَّمُ </w:t>
      </w:r>
      <w:r w:rsidRPr="00A91B96">
        <w:rPr>
          <w:rStyle w:val="libFootnotenumChar"/>
          <w:rtl/>
        </w:rPr>
        <w:t>(1)</w:t>
      </w:r>
      <w:r w:rsidRPr="00020424">
        <w:rPr>
          <w:rtl/>
          <w:lang w:bidi="fa-IR"/>
        </w:rPr>
        <w:t xml:space="preserve"> لَيْلَةَ النِّصْفِ مِنْ شَعْبَانَ</w:t>
      </w:r>
      <w:r>
        <w:rPr>
          <w:rtl/>
          <w:lang w:bidi="fa-IR"/>
        </w:rPr>
        <w:t>؟</w:t>
      </w:r>
    </w:p>
    <w:p w:rsidR="00992664" w:rsidRPr="00020424" w:rsidRDefault="00992664" w:rsidP="00992664">
      <w:pPr>
        <w:pStyle w:val="libNormal"/>
        <w:rPr>
          <w:rtl/>
          <w:lang w:bidi="fa-IR"/>
        </w:rPr>
      </w:pPr>
      <w:r w:rsidRPr="00020424">
        <w:rPr>
          <w:rtl/>
          <w:lang w:bidi="fa-IR"/>
        </w:rPr>
        <w:t xml:space="preserve">قَالَ : فَقَالَ : « لَا وَاللهِ ، مَا ذَاكَ </w:t>
      </w:r>
      <w:r w:rsidRPr="00A91B96">
        <w:rPr>
          <w:rStyle w:val="libFootnotenumChar"/>
          <w:rtl/>
        </w:rPr>
        <w:t>(2)</w:t>
      </w:r>
      <w:r w:rsidR="00D47CDB">
        <w:rPr>
          <w:rtl/>
          <w:lang w:bidi="fa-IR"/>
        </w:rPr>
        <w:t xml:space="preserve"> إِل</w:t>
      </w:r>
      <w:r w:rsidR="00D47CDB">
        <w:rPr>
          <w:rFonts w:hint="cs"/>
          <w:rtl/>
          <w:lang w:bidi="fa-IR"/>
        </w:rPr>
        <w:t>َّ</w:t>
      </w:r>
      <w:r w:rsidR="00D47CDB">
        <w:rPr>
          <w:rtl/>
          <w:lang w:bidi="fa-IR"/>
        </w:rPr>
        <w:t>ا</w:t>
      </w:r>
      <w:r w:rsidRPr="00020424">
        <w:rPr>
          <w:rtl/>
          <w:lang w:bidi="fa-IR"/>
        </w:rPr>
        <w:t xml:space="preserve"> فِي لَيْلَةِ تِسْعَ </w:t>
      </w:r>
      <w:r w:rsidRPr="00A91B96">
        <w:rPr>
          <w:rStyle w:val="libFootnotenumChar"/>
          <w:rtl/>
        </w:rPr>
        <w:t>(3)</w:t>
      </w:r>
      <w:r w:rsidRPr="00020424">
        <w:rPr>
          <w:rtl/>
          <w:lang w:bidi="fa-IR"/>
        </w:rPr>
        <w:t xml:space="preserve"> عَشْرَةَ </w:t>
      </w:r>
      <w:r w:rsidRPr="00A91B96">
        <w:rPr>
          <w:rStyle w:val="libFootnotenumChar"/>
          <w:rtl/>
        </w:rPr>
        <w:t>(4)</w:t>
      </w:r>
      <w:r w:rsidRPr="00020424">
        <w:rPr>
          <w:rtl/>
          <w:lang w:bidi="fa-IR"/>
        </w:rPr>
        <w:t xml:space="preserve"> مِنْ شَهْرِ رَمَضَانَ ، وَإِحْدى وَعِشْرِينَ وَثَلَاثٍ وَعِشْرِينَ ، فَإِنَّ فِي لَيْلَةِ </w:t>
      </w:r>
      <w:r w:rsidRPr="00A91B96">
        <w:rPr>
          <w:rStyle w:val="libFootnotenumChar"/>
          <w:rtl/>
        </w:rPr>
        <w:t>(5)</w:t>
      </w:r>
      <w:r w:rsidRPr="00020424">
        <w:rPr>
          <w:rtl/>
          <w:lang w:bidi="fa-IR"/>
        </w:rPr>
        <w:t xml:space="preserve"> تِسْعَ </w:t>
      </w:r>
      <w:r w:rsidRPr="00A91B96">
        <w:rPr>
          <w:rStyle w:val="libFootnotenumChar"/>
          <w:rtl/>
        </w:rPr>
        <w:t>(6)</w:t>
      </w:r>
      <w:r w:rsidRPr="00020424">
        <w:rPr>
          <w:rtl/>
          <w:lang w:bidi="fa-IR"/>
        </w:rPr>
        <w:t xml:space="preserve"> عَشْرَةَ </w:t>
      </w:r>
      <w:r w:rsidRPr="00A91B96">
        <w:rPr>
          <w:rStyle w:val="libFootnotenumChar"/>
          <w:rtl/>
        </w:rPr>
        <w:t>(7)</w:t>
      </w:r>
      <w:r w:rsidRPr="00020424">
        <w:rPr>
          <w:rtl/>
          <w:lang w:bidi="fa-IR"/>
        </w:rPr>
        <w:t xml:space="preserve"> يَلْتَقِي الْجَمْعَانِ ، وَفِي لَيْلَةِ إِحْدى وَعِشْرِينَ</w:t>
      </w:r>
      <w:r w:rsidRPr="00005A81">
        <w:rPr>
          <w:rStyle w:val="libAlaemChar"/>
          <w:rtl/>
        </w:rPr>
        <w:t>(</w:t>
      </w:r>
      <w:r w:rsidRPr="004E5AB4">
        <w:rPr>
          <w:rStyle w:val="libAieChar"/>
          <w:rtl/>
        </w:rPr>
        <w:t xml:space="preserve"> يُفْرَقُ كُلُّ أَمْرٍ حَكِيمٍ </w:t>
      </w:r>
      <w:r w:rsidRPr="00005A81">
        <w:rPr>
          <w:rStyle w:val="libAlaemChar"/>
          <w:rtl/>
        </w:rPr>
        <w:t>)</w:t>
      </w:r>
      <w:r w:rsidRPr="00020424">
        <w:rPr>
          <w:rtl/>
          <w:lang w:bidi="fa-IR"/>
        </w:rPr>
        <w:t xml:space="preserve"> </w:t>
      </w:r>
      <w:r w:rsidRPr="00A91B96">
        <w:rPr>
          <w:rStyle w:val="libFootnotenumChar"/>
          <w:rtl/>
        </w:rPr>
        <w:t>(8)</w:t>
      </w:r>
      <w:r w:rsidRPr="00020424">
        <w:rPr>
          <w:rtl/>
          <w:lang w:bidi="fa-IR"/>
        </w:rPr>
        <w:t xml:space="preserve"> وَفِي لَيْلَةِ ثَلَاثٍ وَعِشْرِينَ يُمْضى مَا أَرَادَ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مِنْ ذلِكَ ، وَهِيَ</w:t>
      </w:r>
      <w:r w:rsidRPr="00005A81">
        <w:rPr>
          <w:rStyle w:val="libAlaemChar"/>
          <w:rtl/>
        </w:rPr>
        <w:t>(</w:t>
      </w:r>
      <w:r w:rsidRPr="004E5AB4">
        <w:rPr>
          <w:rStyle w:val="libAieChar"/>
          <w:rtl/>
        </w:rPr>
        <w:t xml:space="preserve"> لَيْلَةُ الْقَدْرِ </w:t>
      </w:r>
      <w:r w:rsidRPr="00005A81">
        <w:rPr>
          <w:rStyle w:val="libAlaemChar"/>
          <w:rtl/>
        </w:rPr>
        <w:t>)</w:t>
      </w:r>
      <w:r w:rsidRPr="00020424">
        <w:rPr>
          <w:rtl/>
          <w:lang w:bidi="fa-IR"/>
        </w:rPr>
        <w:t xml:space="preserve"> الَّتِي قَالَ اللهُ عَزَّ وَجَلَّ : </w:t>
      </w:r>
      <w:r w:rsidRPr="00005A81">
        <w:rPr>
          <w:rStyle w:val="libAlaemChar"/>
          <w:rtl/>
        </w:rPr>
        <w:t>(</w:t>
      </w:r>
      <w:r w:rsidRPr="004E5AB4">
        <w:rPr>
          <w:rStyle w:val="libAieChar"/>
          <w:rtl/>
        </w:rPr>
        <w:t xml:space="preserve"> خَيْرٌ مِنْ أَلْفِ شَهْرٍ </w:t>
      </w:r>
      <w:r w:rsidRPr="00005A81">
        <w:rPr>
          <w:rStyle w:val="libAlaemChar"/>
          <w:rtl/>
        </w:rPr>
        <w:t>)</w:t>
      </w:r>
      <w:r w:rsidRPr="00020424">
        <w:rPr>
          <w:rtl/>
          <w:lang w:bidi="fa-IR"/>
        </w:rPr>
        <w:t xml:space="preserve"> </w:t>
      </w:r>
      <w:r w:rsidRPr="00A91B96">
        <w:rPr>
          <w:rStyle w:val="libFootnotenumChar"/>
          <w:rtl/>
        </w:rPr>
        <w:t>(9)</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مَا </w:t>
      </w:r>
      <w:r w:rsidRPr="00A91B96">
        <w:rPr>
          <w:rStyle w:val="libFootnotenumChar"/>
          <w:rtl/>
        </w:rPr>
        <w:t>(10)</w:t>
      </w:r>
      <w:r w:rsidRPr="00020424">
        <w:rPr>
          <w:rtl/>
          <w:lang w:bidi="fa-IR"/>
        </w:rPr>
        <w:t xml:space="preserve"> مَعْنى قَوْلِهِ : « يَلْتَقِي الْجَمْعَانِ »</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(11)</w:t>
      </w:r>
      <w:r w:rsidRPr="00020424">
        <w:rPr>
          <w:rtl/>
          <w:lang w:bidi="fa-IR"/>
        </w:rPr>
        <w:t xml:space="preserve"> : يَجْمَعُ اللهُ فِيهَا مَا أَرَادَ مِنْ </w:t>
      </w:r>
      <w:r w:rsidRPr="00A91B96">
        <w:rPr>
          <w:rStyle w:val="libFootnotenumChar"/>
          <w:rtl/>
        </w:rPr>
        <w:t>(12)</w:t>
      </w:r>
      <w:r w:rsidRPr="00020424">
        <w:rPr>
          <w:rtl/>
          <w:lang w:bidi="fa-IR"/>
        </w:rPr>
        <w:t xml:space="preserve"> تَقْدِيمِهِ وَتَأْخِيرِهِ </w:t>
      </w:r>
      <w:r w:rsidRPr="00A91B96">
        <w:rPr>
          <w:rStyle w:val="libFootnotenumChar"/>
          <w:rtl/>
        </w:rPr>
        <w:t>(13)</w:t>
      </w:r>
      <w:r w:rsidRPr="00020424">
        <w:rPr>
          <w:rtl/>
          <w:lang w:bidi="fa-IR"/>
        </w:rPr>
        <w:t xml:space="preserve"> وَإِرَادَتِهِ وَقَضَائِهِ.</w:t>
      </w:r>
    </w:p>
    <w:p w:rsidR="00992664" w:rsidRPr="00020424" w:rsidRDefault="00992664" w:rsidP="00992664">
      <w:pPr>
        <w:pStyle w:val="libLine"/>
        <w:rPr>
          <w:rtl/>
          <w:lang w:bidi="fa-IR"/>
        </w:rPr>
      </w:pPr>
      <w:r w:rsidRPr="00020424">
        <w:rPr>
          <w:rtl/>
          <w:lang w:bidi="fa-IR"/>
        </w:rPr>
        <w:t>__________________</w:t>
      </w:r>
    </w:p>
    <w:p w:rsidR="00992664" w:rsidRPr="00020424" w:rsidRDefault="00162032" w:rsidP="00992664">
      <w:pPr>
        <w:pStyle w:val="libFootnote0"/>
        <w:rPr>
          <w:rtl/>
          <w:lang w:bidi="fa-IR"/>
        </w:rPr>
      </w:pPr>
      <w:r>
        <w:rPr>
          <w:rFonts w:hint="cs"/>
          <w:rtl/>
        </w:rPr>
        <w:t xml:space="preserve">= </w:t>
      </w:r>
      <w:r w:rsidR="00992664" w:rsidRPr="00020424">
        <w:rPr>
          <w:rtl/>
        </w:rPr>
        <w:t xml:space="preserve">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158 ، ح 2023 ، مرسلاً </w:t>
      </w:r>
      <w:r>
        <w:rPr>
          <w:rFonts w:hint="cs"/>
          <w:rtl/>
        </w:rPr>
        <w:t>.</w:t>
      </w:r>
      <w:r w:rsidR="00992664" w:rsidRPr="0012008A">
        <w:rPr>
          <w:rStyle w:val="libFootnoteBoldChar"/>
          <w:rtl/>
        </w:rPr>
        <w:t>الوافي</w:t>
      </w:r>
      <w:r w:rsidR="00992664" w:rsidRPr="00020424">
        <w:rPr>
          <w:rtl/>
        </w:rPr>
        <w:t xml:space="preserve"> ، ج 11 ، ص 380 ، ح 11057 ؛ </w:t>
      </w:r>
      <w:r w:rsidR="00992664" w:rsidRPr="0012008A">
        <w:rPr>
          <w:rStyle w:val="libFootnoteBoldChar"/>
          <w:rtl/>
        </w:rPr>
        <w:t>الوسائل</w:t>
      </w:r>
      <w:r w:rsidR="00992664" w:rsidRPr="00020424">
        <w:rPr>
          <w:rtl/>
        </w:rPr>
        <w:t xml:space="preserve"> ، ج 10 ، ص 356 ، ح 13594.</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 « تقتسم</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ى ، بث ، بح ، بس ، جن » : « ذلك</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بث ، جن » : « تسعة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بث ، بف ، جن » : « عشر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بث ، بح ، بخ ، بر ، بف ، جن » </w:t>
      </w:r>
      <w:r w:rsidR="00992664" w:rsidRPr="00162032">
        <w:rP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ليلة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بر ، بف ، جن » : « تسعة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ى ، بخ ، بر ، بف ، جن » وحاشية « بث » : « عشر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الدخان (44) : 4.</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القدر (97) : 3.</w:t>
      </w:r>
    </w:p>
    <w:tbl>
      <w:tblPr>
        <w:tblStyle w:val="TableGrid"/>
        <w:bidiVisual/>
        <w:tblW w:w="0" w:type="auto"/>
        <w:tblLook w:val="04A0" w:firstRow="1" w:lastRow="0" w:firstColumn="1" w:lastColumn="0" w:noHBand="0" w:noVBand="1"/>
      </w:tblPr>
      <w:tblGrid>
        <w:gridCol w:w="4006"/>
        <w:gridCol w:w="4006"/>
      </w:tblGrid>
      <w:tr w:rsidR="00162032" w:rsidTr="00162032">
        <w:tc>
          <w:tcPr>
            <w:tcW w:w="4006" w:type="dxa"/>
          </w:tcPr>
          <w:p w:rsidR="00162032" w:rsidRDefault="00162032" w:rsidP="00992664">
            <w:pPr>
              <w:pStyle w:val="libFootnote0"/>
              <w:rPr>
                <w:rtl/>
              </w:rPr>
            </w:pPr>
            <w:r>
              <w:rPr>
                <w:rtl/>
              </w:rPr>
              <w:t xml:space="preserve">(10). </w:t>
            </w:r>
            <w:r w:rsidRPr="00020424">
              <w:rPr>
                <w:rtl/>
              </w:rPr>
              <w:t xml:space="preserve">في </w:t>
            </w:r>
            <w:r w:rsidRPr="00162032">
              <w:rPr>
                <w:rtl/>
              </w:rPr>
              <w:t>الوافي</w:t>
            </w:r>
            <w:r w:rsidRPr="00020424">
              <w:rPr>
                <w:rtl/>
              </w:rPr>
              <w:t xml:space="preserve"> : « وما</w:t>
            </w:r>
            <w:r>
              <w:rPr>
                <w:rtl/>
              </w:rPr>
              <w:t xml:space="preserve"> ».</w:t>
            </w:r>
          </w:p>
        </w:tc>
        <w:tc>
          <w:tcPr>
            <w:tcW w:w="4006" w:type="dxa"/>
          </w:tcPr>
          <w:p w:rsidR="00162032" w:rsidRDefault="00162032" w:rsidP="00992664">
            <w:pPr>
              <w:pStyle w:val="libFootnote0"/>
              <w:rPr>
                <w:rtl/>
              </w:rPr>
            </w:pPr>
            <w:r>
              <w:rPr>
                <w:rtl/>
              </w:rPr>
              <w:t xml:space="preserve">(11). </w:t>
            </w:r>
            <w:r w:rsidRPr="00020424">
              <w:rPr>
                <w:rtl/>
              </w:rPr>
              <w:t>في « بف » : « فقال</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بث » :</w:t>
      </w:r>
      <w:r w:rsidR="00992664">
        <w:rPr>
          <w:rtl/>
        </w:rPr>
        <w:t xml:space="preserve"> </w:t>
      </w:r>
      <w:r w:rsidR="009B673F">
        <w:rPr>
          <w:rtl/>
        </w:rPr>
        <w:t>-</w:t>
      </w:r>
      <w:r w:rsidR="00992664">
        <w:rPr>
          <w:rtl/>
        </w:rPr>
        <w:t xml:space="preserve"> </w:t>
      </w:r>
      <w:r w:rsidR="00992664" w:rsidRPr="00020424">
        <w:rPr>
          <w:rtl/>
        </w:rPr>
        <w:t>« من</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من تقديمه ، الظاهر أنّ كلمة « من » تعليليّة ، أي إنّما يجمعها لتقديمه وتأخيره ، ويحتمل أن تكون بيانيّة وزائدة</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بح » : « أو تأخيره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قَالَ : قُلْتُ : فَمَا مَعْنى : يُمْضِيهِ فِي ثَلَاثٍ وَعِشْرِينَ</w:t>
      </w:r>
      <w:r>
        <w:rPr>
          <w:rtl/>
          <w:lang w:bidi="fa-IR"/>
        </w:rPr>
        <w:t>؟</w:t>
      </w:r>
    </w:p>
    <w:p w:rsidR="00992664" w:rsidRPr="00020424" w:rsidRDefault="00992664" w:rsidP="00992664">
      <w:pPr>
        <w:pStyle w:val="libNormal"/>
        <w:rPr>
          <w:rtl/>
          <w:lang w:bidi="fa-IR"/>
        </w:rPr>
      </w:pPr>
      <w:r w:rsidRPr="00020424">
        <w:rPr>
          <w:rtl/>
          <w:lang w:bidi="fa-IR"/>
        </w:rPr>
        <w:t xml:space="preserve">قَالَ : إِنَّهُ يَفْرُقُهُ </w:t>
      </w:r>
      <w:r w:rsidRPr="00A91B96">
        <w:rPr>
          <w:rStyle w:val="libFootnotenumChar"/>
          <w:rtl/>
        </w:rPr>
        <w:t>(1)</w:t>
      </w:r>
      <w:r w:rsidRPr="00020424">
        <w:rPr>
          <w:rtl/>
          <w:lang w:bidi="fa-IR"/>
        </w:rPr>
        <w:t xml:space="preserve"> فِي لَيْلَةِ إِحْدى وَعِشْرِينَ </w:t>
      </w:r>
      <w:r w:rsidRPr="00A91B96">
        <w:rPr>
          <w:rStyle w:val="libFootnotenumChar"/>
          <w:rtl/>
        </w:rPr>
        <w:t>(2)</w:t>
      </w:r>
      <w:r w:rsidRPr="00020424">
        <w:rPr>
          <w:rtl/>
          <w:lang w:bidi="fa-IR"/>
        </w:rPr>
        <w:t xml:space="preserve"> ، وَيَكُونُ لَهُ </w:t>
      </w:r>
      <w:r w:rsidRPr="00A91B96">
        <w:rPr>
          <w:rStyle w:val="libFootnotenumChar"/>
          <w:rtl/>
        </w:rPr>
        <w:t>(3)</w:t>
      </w:r>
      <w:r w:rsidRPr="00020424">
        <w:rPr>
          <w:rtl/>
          <w:lang w:bidi="fa-IR"/>
        </w:rPr>
        <w:t xml:space="preserve"> فِيهِ الْبَدَاءُ ، فَإِذَا </w:t>
      </w:r>
      <w:r w:rsidRPr="00A91B96">
        <w:rPr>
          <w:rStyle w:val="libFootnotenumChar"/>
          <w:rtl/>
        </w:rPr>
        <w:t>(4)</w:t>
      </w:r>
      <w:r w:rsidRPr="00020424">
        <w:rPr>
          <w:rtl/>
          <w:lang w:bidi="fa-IR"/>
        </w:rPr>
        <w:t xml:space="preserve"> كَانَتْ لَيْلَةُ ثَلَاثٍ وَعِشْرِينَ أَمْضَاهُ ، فَيَكُونُ مِنَ‌الْمَحْتُومِ الَّذِي لَايَبْدُو لَهُ فِيهِ </w:t>
      </w:r>
      <w:r w:rsidRPr="00A91B96">
        <w:rPr>
          <w:rStyle w:val="libFootnotenumChar"/>
          <w:rtl/>
        </w:rPr>
        <w:t>(5)</w:t>
      </w:r>
      <w:r w:rsidRPr="00020424">
        <w:rPr>
          <w:rtl/>
          <w:lang w:bidi="fa-IR"/>
        </w:rPr>
        <w:t xml:space="preserve"> تَبَارَكَ وَتَعَالى.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4C302E">
        <w:rPr>
          <w:rtl/>
        </w:rPr>
        <w:t>6627</w:t>
      </w:r>
      <w:r w:rsidRPr="001155DE">
        <w:rPr>
          <w:rStyle w:val="libBold2Char"/>
          <w:rtl/>
        </w:rPr>
        <w:t xml:space="preserve"> / 9.</w:t>
      </w:r>
      <w:r w:rsidRPr="00020424">
        <w:rPr>
          <w:rtl/>
          <w:lang w:bidi="fa-IR"/>
        </w:rPr>
        <w:t xml:space="preserve"> عِدَّةٌ مِنْ أَصْحَابِنَا ، عَنْ أَحْمَدَ بْنِ مُحَمَّدٍ ، عَنْ عَلِيِّ بْنِ الْحَكَمِ ، عَنِ ابْنِ بُكَيْرٍ ، عَنْ زُرَارَةَ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التَّقْدِيرُ </w:t>
      </w:r>
      <w:r w:rsidRPr="00A91B96">
        <w:rPr>
          <w:rStyle w:val="libFootnotenumChar"/>
          <w:rtl/>
        </w:rPr>
        <w:t>(7)</w:t>
      </w:r>
      <w:r w:rsidRPr="00020424">
        <w:rPr>
          <w:rtl/>
          <w:lang w:bidi="fa-IR"/>
        </w:rPr>
        <w:t xml:space="preserve"> فِي لَيْلَةِ تِسْعَ </w:t>
      </w:r>
      <w:r w:rsidRPr="00A91B96">
        <w:rPr>
          <w:rStyle w:val="libFootnotenumChar"/>
          <w:rtl/>
        </w:rPr>
        <w:t>(8)</w:t>
      </w:r>
      <w:r w:rsidRPr="00020424">
        <w:rPr>
          <w:rtl/>
          <w:lang w:bidi="fa-IR"/>
        </w:rPr>
        <w:t xml:space="preserve"> عَشْرَةَ </w:t>
      </w:r>
      <w:r w:rsidRPr="00A91B96">
        <w:rPr>
          <w:rStyle w:val="libFootnotenumChar"/>
          <w:rtl/>
        </w:rPr>
        <w:t>(9)</w:t>
      </w:r>
      <w:r w:rsidRPr="00020424">
        <w:rPr>
          <w:rtl/>
          <w:lang w:bidi="fa-IR"/>
        </w:rPr>
        <w:t xml:space="preserve"> ، وَالْإِبْرَامُ فِي لَيْلَةِ إِحْدى وَعِشْرِينَ ، وَالْإمْضَاءُ فِي لَيْلَةِ ثَلَاثٍ </w:t>
      </w:r>
      <w:r w:rsidRPr="00A91B96">
        <w:rPr>
          <w:rStyle w:val="libFootnotenumChar"/>
          <w:rtl/>
        </w:rPr>
        <w:t>(10)</w:t>
      </w:r>
      <w:r w:rsidRPr="00020424">
        <w:rPr>
          <w:rtl/>
          <w:lang w:bidi="fa-IR"/>
        </w:rPr>
        <w:t xml:space="preserve"> وَعِشْرِينَ</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4C302E">
        <w:rPr>
          <w:rtl/>
        </w:rPr>
        <w:t>6628</w:t>
      </w:r>
      <w:r w:rsidRPr="001155DE">
        <w:rPr>
          <w:rStyle w:val="libBold2Char"/>
          <w:rtl/>
        </w:rPr>
        <w:t xml:space="preserve"> / 10.</w:t>
      </w:r>
      <w:r w:rsidRPr="00020424">
        <w:rPr>
          <w:rtl/>
          <w:lang w:bidi="fa-IR"/>
        </w:rPr>
        <w:t xml:space="preserve"> أَحْمَدُ بْنُ مُحَمَّدٍ </w:t>
      </w:r>
      <w:r w:rsidRPr="00A91B96">
        <w:rPr>
          <w:rStyle w:val="libFootnotenumChar"/>
          <w:rtl/>
        </w:rPr>
        <w:t>(12)</w:t>
      </w:r>
      <w:r w:rsidRPr="00020424">
        <w:rPr>
          <w:rtl/>
          <w:lang w:bidi="fa-IR"/>
        </w:rPr>
        <w:t xml:space="preserve"> ، عَنْ عَلِيِّ بْنِ الْحَسَنِ </w:t>
      </w:r>
      <w:r w:rsidRPr="00A91B96">
        <w:rPr>
          <w:rStyle w:val="libFootnotenumChar"/>
          <w:rtl/>
        </w:rPr>
        <w:t>(13)</w:t>
      </w:r>
      <w:r w:rsidRPr="00020424">
        <w:rPr>
          <w:rtl/>
          <w:lang w:bidi="fa-IR"/>
        </w:rPr>
        <w:t xml:space="preserve"> ، عَنْ مُحَمَّدِ بْنِ الْوَلِيدِ‌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 « لا يفرقه</w:t>
      </w:r>
      <w:r w:rsidR="00992664">
        <w:rPr>
          <w:rtl/>
        </w:rPr>
        <w:t xml:space="preserve"> ».</w:t>
      </w:r>
      <w:r w:rsidR="00992664" w:rsidRPr="00020424">
        <w:rPr>
          <w:rtl/>
        </w:rPr>
        <w:t xml:space="preserve"> وفي « بف » : « ما يفرقه</w:t>
      </w:r>
      <w:r w:rsidR="00992664">
        <w:rPr>
          <w:rtl/>
        </w:rPr>
        <w:t xml:space="preserve"> ».</w:t>
      </w:r>
      <w:r w:rsidR="00992664" w:rsidRPr="00020424">
        <w:rPr>
          <w:rtl/>
        </w:rPr>
        <w:t xml:space="preserve"> وفي « بث ، بس » : « يفرق</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بر ، بس ، جن » والمطبوع </w:t>
      </w:r>
      <w:r w:rsidR="00992664" w:rsidRPr="00162032">
        <w:rPr>
          <w:rtl/>
        </w:rPr>
        <w:t>والوسائل</w:t>
      </w:r>
      <w:r w:rsidR="00992664" w:rsidRPr="00020424">
        <w:rPr>
          <w:rtl/>
        </w:rPr>
        <w:t xml:space="preserve"> : + « إمضاؤه</w:t>
      </w:r>
      <w:r w:rsidR="00992664">
        <w:rPr>
          <w:rtl/>
        </w:rPr>
        <w:t xml:space="preserve"> ».</w:t>
      </w:r>
      <w:r w:rsidR="00992664" w:rsidRPr="00020424">
        <w:rPr>
          <w:rtl/>
        </w:rPr>
        <w:t xml:space="preserve"> وفي « بف » : + « له إمضاؤه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62032" w:rsidTr="00162032">
        <w:tc>
          <w:tcPr>
            <w:tcW w:w="4006" w:type="dxa"/>
          </w:tcPr>
          <w:p w:rsidR="00162032" w:rsidRDefault="00162032" w:rsidP="00992664">
            <w:pPr>
              <w:pStyle w:val="libFootnote0"/>
              <w:rPr>
                <w:rtl/>
              </w:rPr>
            </w:pPr>
            <w:r>
              <w:rPr>
                <w:rtl/>
              </w:rPr>
              <w:t xml:space="preserve">(3). </w:t>
            </w:r>
            <w:r w:rsidRPr="00020424">
              <w:rPr>
                <w:rtl/>
              </w:rPr>
              <w:t>في « ى ، بح » :</w:t>
            </w:r>
            <w:r>
              <w:rPr>
                <w:rtl/>
              </w:rPr>
              <w:t xml:space="preserve"> - </w:t>
            </w:r>
            <w:r w:rsidRPr="00020424">
              <w:rPr>
                <w:rtl/>
              </w:rPr>
              <w:t>« له</w:t>
            </w:r>
            <w:r>
              <w:rPr>
                <w:rtl/>
              </w:rPr>
              <w:t xml:space="preserve"> ».</w:t>
            </w:r>
          </w:p>
        </w:tc>
        <w:tc>
          <w:tcPr>
            <w:tcW w:w="4006" w:type="dxa"/>
          </w:tcPr>
          <w:p w:rsidR="00162032" w:rsidRDefault="00162032" w:rsidP="00992664">
            <w:pPr>
              <w:pStyle w:val="libFootnote0"/>
              <w:rPr>
                <w:rtl/>
              </w:rPr>
            </w:pPr>
            <w:r>
              <w:rPr>
                <w:rtl/>
              </w:rPr>
              <w:t xml:space="preserve">(4). </w:t>
            </w:r>
            <w:r w:rsidRPr="00020424">
              <w:rPr>
                <w:rtl/>
              </w:rPr>
              <w:t xml:space="preserve">في </w:t>
            </w:r>
            <w:r w:rsidRPr="00162032">
              <w:rPr>
                <w:rtl/>
              </w:rPr>
              <w:t>الوافي</w:t>
            </w:r>
            <w:r w:rsidRPr="00020424">
              <w:rPr>
                <w:rtl/>
              </w:rPr>
              <w:t xml:space="preserve"> : « وإذا</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62032">
        <w:rPr>
          <w:rtl/>
        </w:rPr>
        <w:t>الوافي</w:t>
      </w:r>
      <w:r w:rsidR="00992664" w:rsidRPr="00020424">
        <w:rPr>
          <w:rtl/>
        </w:rPr>
        <w:t xml:space="preserve"> : « كأنّ في ا</w:t>
      </w:r>
      <w:r w:rsidR="00162032">
        <w:rPr>
          <w:rFonts w:hint="cs"/>
          <w:rtl/>
        </w:rPr>
        <w:t>ُ</w:t>
      </w:r>
      <w:r w:rsidR="00992664" w:rsidRPr="00020424">
        <w:rPr>
          <w:rtl/>
        </w:rPr>
        <w:t>ولى الثلاث يجمع بين طرفي كلّ حكم ، وفي الثانية يحكم مشروطاً ، وفي الثالثة يحكم‌</w:t>
      </w:r>
      <w:r w:rsidR="00162032">
        <w:rPr>
          <w:rFonts w:hint="cs"/>
          <w:rtl/>
        </w:rPr>
        <w:t xml:space="preserve"> </w:t>
      </w:r>
      <w:r w:rsidR="00992664" w:rsidRPr="00020424">
        <w:rPr>
          <w:rtl/>
        </w:rPr>
        <w:t>حتماً</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DE76B9">
        <w:rPr>
          <w:rStyle w:val="libFootnoteBoldChar"/>
          <w:rtl/>
        </w:rPr>
        <w:t>تفسير العيّاشي</w:t>
      </w:r>
      <w:r w:rsidR="00992664" w:rsidRPr="00020424">
        <w:rPr>
          <w:rtl/>
        </w:rPr>
        <w:t xml:space="preserve"> ، ج 2 ، ص 64 ، ح 67 ، عن إسحاق بن عمّار ، عن أبي عبدالله </w:t>
      </w:r>
      <w:r w:rsidR="00992664" w:rsidRPr="00D64ADA">
        <w:rPr>
          <w:rStyle w:val="libFootnoteAlaemChar"/>
          <w:rtl/>
        </w:rPr>
        <w:t>عليه‌السلام</w:t>
      </w:r>
      <w:r w:rsidR="00992664" w:rsidRPr="00020424">
        <w:rPr>
          <w:rtl/>
        </w:rPr>
        <w:t xml:space="preserve"> ، قطعة منه ، مع اختلاف يسير </w:t>
      </w:r>
      <w:r w:rsidR="00162032">
        <w:rPr>
          <w:rFonts w:hint="cs"/>
          <w:rtl/>
        </w:rPr>
        <w:t>.</w:t>
      </w:r>
      <w:r w:rsidR="00992664" w:rsidRPr="0012008A">
        <w:rPr>
          <w:rStyle w:val="libFootnoteBoldChar"/>
          <w:rtl/>
        </w:rPr>
        <w:t>الوافي</w:t>
      </w:r>
      <w:r w:rsidR="00992664" w:rsidRPr="00020424">
        <w:rPr>
          <w:rtl/>
        </w:rPr>
        <w:t xml:space="preserve"> ، ج 11 ، ص 384 ، ح 11063 ؛ </w:t>
      </w:r>
      <w:r w:rsidR="00992664" w:rsidRPr="0012008A">
        <w:rPr>
          <w:rStyle w:val="libFootnoteBoldChar"/>
          <w:rtl/>
        </w:rPr>
        <w:t>الوسائل</w:t>
      </w:r>
      <w:r w:rsidR="00992664" w:rsidRPr="00020424">
        <w:rPr>
          <w:rtl/>
        </w:rPr>
        <w:t xml:space="preserve"> ، ج 10 ، ص 357 ، ح 13595.</w:t>
      </w:r>
    </w:p>
    <w:tbl>
      <w:tblPr>
        <w:tblStyle w:val="TableGrid"/>
        <w:bidiVisual/>
        <w:tblW w:w="0" w:type="auto"/>
        <w:tblLook w:val="04A0" w:firstRow="1" w:lastRow="0" w:firstColumn="1" w:lastColumn="0" w:noHBand="0" w:noVBand="1"/>
      </w:tblPr>
      <w:tblGrid>
        <w:gridCol w:w="4006"/>
        <w:gridCol w:w="4006"/>
      </w:tblGrid>
      <w:tr w:rsidR="00162032" w:rsidTr="00162032">
        <w:tc>
          <w:tcPr>
            <w:tcW w:w="4006" w:type="dxa"/>
          </w:tcPr>
          <w:p w:rsidR="00162032" w:rsidRDefault="00162032" w:rsidP="00992664">
            <w:pPr>
              <w:pStyle w:val="libFootnote0"/>
              <w:rPr>
                <w:rtl/>
              </w:rPr>
            </w:pPr>
            <w:r>
              <w:rPr>
                <w:rtl/>
              </w:rPr>
              <w:t xml:space="preserve">(7). </w:t>
            </w:r>
            <w:r w:rsidRPr="00020424">
              <w:rPr>
                <w:rtl/>
              </w:rPr>
              <w:t>في « بر » : + « والابرام</w:t>
            </w:r>
            <w:r>
              <w:rPr>
                <w:rtl/>
              </w:rPr>
              <w:t xml:space="preserve"> ».</w:t>
            </w:r>
          </w:p>
        </w:tc>
        <w:tc>
          <w:tcPr>
            <w:tcW w:w="4006" w:type="dxa"/>
          </w:tcPr>
          <w:p w:rsidR="00162032" w:rsidRDefault="00162032" w:rsidP="00992664">
            <w:pPr>
              <w:pStyle w:val="libFootnote0"/>
              <w:rPr>
                <w:rtl/>
              </w:rPr>
            </w:pPr>
            <w:r>
              <w:rPr>
                <w:rtl/>
              </w:rPr>
              <w:t xml:space="preserve">(8). </w:t>
            </w:r>
            <w:r w:rsidRPr="00020424">
              <w:rPr>
                <w:rtl/>
              </w:rPr>
              <w:t xml:space="preserve">في « بر ، بف ، جن » </w:t>
            </w:r>
            <w:r w:rsidRPr="00162032">
              <w:rPr>
                <w:rtl/>
              </w:rPr>
              <w:t>والوسائل</w:t>
            </w:r>
            <w:r w:rsidRPr="00020424">
              <w:rPr>
                <w:rtl/>
              </w:rPr>
              <w:t xml:space="preserve"> : « تسعة</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ى ، بخ ، بر ، بف ، جن » </w:t>
      </w:r>
      <w:r w:rsidR="00992664" w:rsidRPr="00162032">
        <w:rPr>
          <w:rtl/>
        </w:rPr>
        <w:t>والوسائل</w:t>
      </w:r>
      <w:r w:rsidR="00992664" w:rsidRPr="00020424">
        <w:rPr>
          <w:rtl/>
        </w:rPr>
        <w:t xml:space="preserve"> : « عشر</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جن » : « ثلاثة</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الوافي</w:t>
      </w:r>
      <w:r w:rsidR="00992664" w:rsidRPr="00020424">
        <w:rPr>
          <w:rtl/>
        </w:rPr>
        <w:t xml:space="preserve"> ، ج 11 ، ص 385 ، ح 11064 ؛ </w:t>
      </w:r>
      <w:r w:rsidR="00992664" w:rsidRPr="0012008A">
        <w:rPr>
          <w:rStyle w:val="libFootnoteBoldChar"/>
          <w:rtl/>
        </w:rPr>
        <w:t>الوسائل</w:t>
      </w:r>
      <w:r w:rsidR="00992664" w:rsidRPr="00020424">
        <w:rPr>
          <w:rtl/>
        </w:rPr>
        <w:t xml:space="preserve"> ، ج 10 ، ص 354 ، ح 13591.</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تقدّم في </w:t>
      </w:r>
      <w:r w:rsidR="00992664" w:rsidRPr="00DE76B9">
        <w:rPr>
          <w:rStyle w:val="libFootnoteBoldChar"/>
          <w:rtl/>
        </w:rPr>
        <w:t>الكافي</w:t>
      </w:r>
      <w:r w:rsidR="00992664" w:rsidRPr="00020424">
        <w:rPr>
          <w:rtl/>
        </w:rPr>
        <w:t xml:space="preserve"> ، ذيل 6446 ، أنّ أحمد بن محمّد هذا ، هو أحمد بن محمّد العاصمي</w:t>
      </w:r>
      <w:r w:rsidR="00992664">
        <w:rPr>
          <w:rtl/>
        </w:rPr>
        <w:t xml:space="preserve"> </w:t>
      </w:r>
      <w:r w:rsidR="009B673F">
        <w:rPr>
          <w:rtl/>
        </w:rPr>
        <w:t>-</w:t>
      </w:r>
      <w:r w:rsidR="00992664">
        <w:rPr>
          <w:rtl/>
        </w:rPr>
        <w:t xml:space="preserve"> </w:t>
      </w:r>
      <w:r w:rsidR="00992664" w:rsidRPr="00020424">
        <w:rPr>
          <w:rtl/>
        </w:rPr>
        <w:t>شيخ الكليني</w:t>
      </w:r>
      <w:r w:rsidR="00992664">
        <w:rPr>
          <w:rtl/>
        </w:rPr>
        <w:t xml:space="preserve"> </w:t>
      </w:r>
      <w:r w:rsidR="009B673F">
        <w:rPr>
          <w:rtl/>
        </w:rPr>
        <w:t>-</w:t>
      </w:r>
      <w:r w:rsidR="00992664">
        <w:rPr>
          <w:rtl/>
        </w:rPr>
        <w:t xml:space="preserve"> </w:t>
      </w:r>
      <w:r w:rsidR="00992664" w:rsidRPr="00020424">
        <w:rPr>
          <w:rtl/>
        </w:rPr>
        <w:t>فليس في</w:t>
      </w:r>
      <w:r w:rsidR="00162032">
        <w:rPr>
          <w:rFonts w:hint="cs"/>
          <w:rtl/>
        </w:rPr>
        <w:t xml:space="preserve"> </w:t>
      </w:r>
      <w:r w:rsidR="00992664" w:rsidRPr="00020424">
        <w:rPr>
          <w:rtl/>
        </w:rPr>
        <w:t>‌السند تعليق.</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هكذا في « جر » وحاشية « بث » </w:t>
      </w:r>
      <w:r w:rsidR="00992664" w:rsidRPr="00162032">
        <w:rPr>
          <w:rtl/>
        </w:rPr>
        <w:t>والتهذيب</w:t>
      </w:r>
      <w:r w:rsidR="00992664" w:rsidRPr="00020424">
        <w:rPr>
          <w:rtl/>
        </w:rPr>
        <w:t xml:space="preserve">. وفي « ظ ، ى ، بث ، بح ، بخ ، بر ، بس ، بف ، جن » والمطبوع </w:t>
      </w:r>
      <w:r w:rsidR="00992664" w:rsidRPr="00162032">
        <w:rPr>
          <w:rtl/>
        </w:rPr>
        <w:t>والوسائل</w:t>
      </w:r>
      <w:r w:rsidR="00992664" w:rsidRPr="00020424">
        <w:rPr>
          <w:rtl/>
        </w:rPr>
        <w:t xml:space="preserve"> : « الحسين</w:t>
      </w:r>
      <w:r w:rsidR="00992664">
        <w:rPr>
          <w:rtl/>
        </w:rPr>
        <w:t xml:space="preserve"> ».</w:t>
      </w:r>
    </w:p>
    <w:p w:rsidR="00992664" w:rsidRPr="00162032" w:rsidRDefault="00992664" w:rsidP="00A86F8A">
      <w:pPr>
        <w:pStyle w:val="libFootnote0"/>
        <w:rPr>
          <w:rtl/>
        </w:rPr>
      </w:pPr>
      <w:r w:rsidRPr="00162032">
        <w:rPr>
          <w:rtl/>
        </w:rPr>
        <w:t xml:space="preserve">وعليّ بن الحسن هو عليّ بن الحسن بن عليّ بن فضّال. روى بعنوان عليّ بن الحسن وعليّ بن الحسن بن </w:t>
      </w:r>
      <w:r w:rsidR="00162032" w:rsidRPr="00162032">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A86F8A">
      <w:pPr>
        <w:pStyle w:val="libNormal0"/>
        <w:rPr>
          <w:rtl/>
          <w:lang w:bidi="fa-IR"/>
        </w:rPr>
      </w:pPr>
      <w:r w:rsidRPr="00020424">
        <w:rPr>
          <w:rtl/>
          <w:lang w:bidi="fa-IR"/>
        </w:rPr>
        <w:t xml:space="preserve">وَمُحَسِّنِ </w:t>
      </w:r>
      <w:r w:rsidRPr="00A91B96">
        <w:rPr>
          <w:rStyle w:val="libFootnotenumChar"/>
          <w:rtl/>
        </w:rPr>
        <w:t>(1)</w:t>
      </w:r>
      <w:r w:rsidRPr="00020424">
        <w:rPr>
          <w:rtl/>
          <w:lang w:bidi="fa-IR"/>
        </w:rPr>
        <w:t xml:space="preserve"> بْنِ أَحْمَدَ ، عَنْ يُونُسَ بْنِ يَعْقُوبَ ، عَنْ عَلِيِّ بْنِ عِيسَى الْقَمَّاطِ ، عَنْ عَمِّهِ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رَأَى </w:t>
      </w:r>
      <w:r w:rsidRPr="00A91B96">
        <w:rPr>
          <w:rStyle w:val="libFootnotenumChar"/>
          <w:rtl/>
        </w:rPr>
        <w:t>(2)</w:t>
      </w:r>
      <w:r w:rsidRPr="00020424">
        <w:rPr>
          <w:rtl/>
          <w:lang w:bidi="fa-IR"/>
        </w:rPr>
        <w:t xml:space="preserve"> رَسُولُ اللهِ </w:t>
      </w:r>
      <w:r w:rsidR="00B42914" w:rsidRPr="00B42914">
        <w:rPr>
          <w:rStyle w:val="libAlaemChar"/>
          <w:rtl/>
        </w:rPr>
        <w:t>صلى‌الله‌عليه‌وآله‌</w:t>
      </w:r>
      <w:r w:rsidRPr="00020424">
        <w:rPr>
          <w:rtl/>
          <w:lang w:bidi="fa-IR"/>
        </w:rPr>
        <w:t xml:space="preserve"> فِي مَنَامِهِ </w:t>
      </w:r>
      <w:r w:rsidRPr="00A91B96">
        <w:rPr>
          <w:rStyle w:val="libFootnotenumChar"/>
          <w:rtl/>
        </w:rPr>
        <w:t>(3)</w:t>
      </w:r>
      <w:r w:rsidRPr="00020424">
        <w:rPr>
          <w:rtl/>
          <w:lang w:bidi="fa-IR"/>
        </w:rPr>
        <w:t xml:space="preserve"> بَنِي أُمَيَّةَ يَصْعَدُونَ عَلى </w:t>
      </w:r>
      <w:r w:rsidRPr="00A91B96">
        <w:rPr>
          <w:rStyle w:val="libFootnotenumChar"/>
          <w:rtl/>
        </w:rPr>
        <w:t>(4)</w:t>
      </w:r>
      <w:r w:rsidRPr="00020424">
        <w:rPr>
          <w:rtl/>
          <w:lang w:bidi="fa-IR"/>
        </w:rPr>
        <w:t xml:space="preserve"> مِنْبَرِهِ مِنْ بَعْدِهِ ، وَيُضِلُّونَ </w:t>
      </w:r>
      <w:r w:rsidRPr="00A91B96">
        <w:rPr>
          <w:rStyle w:val="libFootnotenumChar"/>
          <w:rtl/>
        </w:rPr>
        <w:t>(5)</w:t>
      </w:r>
      <w:r w:rsidRPr="00020424">
        <w:rPr>
          <w:rtl/>
          <w:lang w:bidi="fa-IR"/>
        </w:rPr>
        <w:t xml:space="preserve"> النَّاسَ عَنِ الصِّرَاطِ الْقَهْقَرى ، فَأَصْبَحَ كَئِيباً </w:t>
      </w:r>
      <w:r w:rsidRPr="00A91B96">
        <w:rPr>
          <w:rStyle w:val="libFootnotenumChar"/>
          <w:rtl/>
        </w:rPr>
        <w:t>(6)</w:t>
      </w:r>
      <w:r w:rsidRPr="00020424">
        <w:rPr>
          <w:rtl/>
          <w:lang w:bidi="fa-IR"/>
        </w:rPr>
        <w:t xml:space="preserve"> حَزِيناً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فَهَبَطَ عَلَيْهِ </w:t>
      </w:r>
      <w:r w:rsidRPr="00A91B96">
        <w:rPr>
          <w:rStyle w:val="libFootnotenumChar"/>
          <w:rtl/>
        </w:rPr>
        <w:t>(7)</w:t>
      </w:r>
      <w:r w:rsidRPr="00020424">
        <w:rPr>
          <w:rtl/>
          <w:lang w:bidi="fa-IR"/>
        </w:rPr>
        <w:t xml:space="preserve"> جَبْرَئِيلُ </w:t>
      </w:r>
      <w:r w:rsidRPr="00005A81">
        <w:rPr>
          <w:rStyle w:val="libAlaemChar"/>
          <w:rtl/>
        </w:rPr>
        <w:t>عليه‌السلام</w:t>
      </w:r>
      <w:r w:rsidRPr="00020424">
        <w:rPr>
          <w:rtl/>
          <w:lang w:bidi="fa-IR"/>
        </w:rPr>
        <w:t xml:space="preserve"> ، فَقَالَ : يَا رَسُولَ اللهِ ، مَا لِي أَرَاكَ كَئِيباً حَزِيناً</w:t>
      </w:r>
      <w:r>
        <w:rPr>
          <w:rtl/>
          <w:lang w:bidi="fa-IR"/>
        </w:rPr>
        <w:t>؟</w:t>
      </w:r>
      <w:r w:rsidRPr="00020424">
        <w:rPr>
          <w:rtl/>
          <w:lang w:bidi="fa-IR"/>
        </w:rPr>
        <w:t xml:space="preserve"> قَالَ : يَا جَبْرَئِيلُ ، إِنِّي رَأَيْتُ بَنِي أُمَيَّةَ فِي لَيْلَتِي هذِهِ يَصْعَدُونَ مِنْبَرِي مِنْ بَعْدِي ، وَيُضِلُّونَ </w:t>
      </w:r>
      <w:r w:rsidRPr="00A91B96">
        <w:rPr>
          <w:rStyle w:val="libFootnotenumChar"/>
          <w:rtl/>
        </w:rPr>
        <w:t>(8)</w:t>
      </w:r>
      <w:r w:rsidRPr="00020424">
        <w:rPr>
          <w:rtl/>
          <w:lang w:bidi="fa-IR"/>
        </w:rPr>
        <w:t xml:space="preserve"> النَّاسَ عَنِ الصِّرَاطِ الْقَهْقَرى ، فَقَالَ : وَالَّذِي بَعَثَكَ بِالْحَقِّ نَبِيّاً </w:t>
      </w:r>
      <w:r w:rsidRPr="00A91B96">
        <w:rPr>
          <w:rStyle w:val="libFootnotenumChar"/>
          <w:rtl/>
        </w:rPr>
        <w:t>(9)</w:t>
      </w:r>
      <w:r w:rsidRPr="00020424">
        <w:rPr>
          <w:rtl/>
          <w:lang w:bidi="fa-IR"/>
        </w:rPr>
        <w:t xml:space="preserve"> ، إِنَّ هذَا شَيْ‌ءٌ </w:t>
      </w:r>
      <w:r w:rsidRPr="00A91B96">
        <w:rPr>
          <w:rStyle w:val="libFootnotenumChar"/>
          <w:rtl/>
        </w:rPr>
        <w:t>(10)</w:t>
      </w:r>
      <w:r w:rsidRPr="00020424">
        <w:rPr>
          <w:rtl/>
          <w:lang w:bidi="fa-IR"/>
        </w:rPr>
        <w:t xml:space="preserve"> مَا اطَّلَعْتُ عَلَيْهِ ، فَعَرَجَ </w:t>
      </w:r>
      <w:r w:rsidRPr="00A91B96">
        <w:rPr>
          <w:rStyle w:val="libFootnotenumChar"/>
          <w:rtl/>
        </w:rPr>
        <w:t>(11)</w:t>
      </w:r>
      <w:r w:rsidRPr="00020424">
        <w:rPr>
          <w:rtl/>
          <w:lang w:bidi="fa-IR"/>
        </w:rPr>
        <w:t xml:space="preserve"> إِلَى السَّمَاءِ ، فَلَمْ يَلْبَثْ أَنْ نَزَلَ‌</w:t>
      </w:r>
    </w:p>
    <w:p w:rsidR="00992664" w:rsidRPr="00020424" w:rsidRDefault="00992664" w:rsidP="00992664">
      <w:pPr>
        <w:pStyle w:val="libLine"/>
        <w:rPr>
          <w:rtl/>
          <w:lang w:bidi="fa-IR"/>
        </w:rPr>
      </w:pPr>
      <w:r w:rsidRPr="00020424">
        <w:rPr>
          <w:rtl/>
          <w:lang w:bidi="fa-IR"/>
        </w:rPr>
        <w:t>__________________</w:t>
      </w:r>
    </w:p>
    <w:p w:rsidR="00992664" w:rsidRPr="00020424" w:rsidRDefault="00A86F8A" w:rsidP="00992664">
      <w:pPr>
        <w:pStyle w:val="libFootnote0"/>
        <w:rPr>
          <w:rtl/>
          <w:lang w:bidi="fa-IR"/>
        </w:rPr>
      </w:pPr>
      <w:r>
        <w:rPr>
          <w:rFonts w:hint="cs"/>
          <w:rtl/>
        </w:rPr>
        <w:t xml:space="preserve">= </w:t>
      </w:r>
      <w:r w:rsidR="00992664" w:rsidRPr="00A86F8A">
        <w:rPr>
          <w:rtl/>
        </w:rPr>
        <w:t xml:space="preserve">فضّال وعليّ بن الحسن التيمي عن محمّد بن الوليد في بعض الأسناد. راجع : </w:t>
      </w:r>
      <w:r w:rsidR="00992664" w:rsidRPr="00A86F8A">
        <w:rPr>
          <w:rStyle w:val="libFootnoteBoldChar"/>
          <w:rtl/>
        </w:rPr>
        <w:t>معجم رجال الحديث</w:t>
      </w:r>
      <w:r w:rsidR="00992664" w:rsidRPr="00A86F8A">
        <w:rPr>
          <w:rtl/>
        </w:rPr>
        <w:t xml:space="preserve"> ، ج 11 ، ص 552 </w:t>
      </w:r>
      <w:r w:rsidR="009B673F" w:rsidRPr="00A86F8A">
        <w:rPr>
          <w:rtl/>
        </w:rPr>
        <w:t>-</w:t>
      </w:r>
      <w:r w:rsidR="00992664" w:rsidRPr="00A86F8A">
        <w:rPr>
          <w:rtl/>
        </w:rPr>
        <w:t xml:space="preserve"> 553 ، ص 567 وص 570.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بخ ، بر ، بف ، جر » </w:t>
      </w:r>
      <w:r w:rsidR="00992664" w:rsidRPr="00A86F8A">
        <w:rPr>
          <w:rtl/>
        </w:rPr>
        <w:t>والتهذيب</w:t>
      </w:r>
      <w:r w:rsidR="00992664" w:rsidRPr="00020424">
        <w:rPr>
          <w:rtl/>
        </w:rPr>
        <w:t xml:space="preserve">. وفي « ظ ، ى ، بث ، بح ، بس ، بف ، جن » والمطبوع </w:t>
      </w:r>
      <w:r w:rsidR="00992664" w:rsidRPr="00A86F8A">
        <w:rPr>
          <w:rtl/>
        </w:rPr>
        <w:t>والوسائل</w:t>
      </w:r>
      <w:r w:rsidR="00992664" w:rsidRPr="00020424">
        <w:rPr>
          <w:rtl/>
        </w:rPr>
        <w:t xml:space="preserve"> : « محمّد</w:t>
      </w:r>
      <w:r w:rsidR="00992664">
        <w:rPr>
          <w:rtl/>
        </w:rPr>
        <w:t xml:space="preserve"> ».</w:t>
      </w:r>
    </w:p>
    <w:p w:rsidR="00992664" w:rsidRPr="00020424" w:rsidRDefault="00992664" w:rsidP="00992664">
      <w:pPr>
        <w:pStyle w:val="libFootnote0"/>
        <w:rPr>
          <w:rtl/>
          <w:lang w:bidi="fa-IR"/>
        </w:rPr>
      </w:pPr>
      <w:r w:rsidRPr="00A86F8A">
        <w:rPr>
          <w:rtl/>
        </w:rPr>
        <w:t xml:space="preserve">والصواب ما أثبتناه ؛ فقد روى محسّن بن أحمد عن يونس بن يعقوب في عدّة من الأسناد ، توسّط في بعضها بين عليّ بن الحسن [ بن فضّال ] ويونس بن يعقوب. راجع : </w:t>
      </w:r>
      <w:r w:rsidRPr="00A86F8A">
        <w:rPr>
          <w:rStyle w:val="libFootnoteBoldChar"/>
          <w:rtl/>
        </w:rPr>
        <w:t>معجم رجال الحديث</w:t>
      </w:r>
      <w:r w:rsidRPr="00A86F8A">
        <w:rPr>
          <w:rtl/>
        </w:rPr>
        <w:t xml:space="preserve"> ، ج 14 ، ص 387. فعليه ما ورد في </w:t>
      </w:r>
      <w:r w:rsidRPr="00A86F8A">
        <w:rPr>
          <w:rStyle w:val="libFootnoteBoldChar"/>
          <w:rtl/>
        </w:rPr>
        <w:t>التهذيب</w:t>
      </w:r>
      <w:r w:rsidRPr="00A86F8A">
        <w:rPr>
          <w:rtl/>
        </w:rPr>
        <w:t xml:space="preserve"> ، من « عن محسّن بن أحمد » ، سهو.</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ظ ، ى ، بح ، بس ، بف » </w:t>
      </w:r>
      <w:r w:rsidR="00992664" w:rsidRPr="00A86F8A">
        <w:rPr>
          <w:rtl/>
        </w:rPr>
        <w:t>والوافي والوسائل والبحار</w:t>
      </w:r>
      <w:r w:rsidR="00992664" w:rsidRPr="00020424">
        <w:rPr>
          <w:rtl/>
        </w:rPr>
        <w:t xml:space="preserve"> ، ج 28 ، ص 77 </w:t>
      </w:r>
      <w:r w:rsidR="00992664" w:rsidRPr="00A86F8A">
        <w:rPr>
          <w:rtl/>
        </w:rPr>
        <w:t>والتهذيب والأمالي للطوسي</w:t>
      </w:r>
      <w:r w:rsidR="00992664" w:rsidRPr="00020424">
        <w:rPr>
          <w:rtl/>
        </w:rPr>
        <w:t xml:space="preserve"> : « أرى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 + « أنّ</w:t>
      </w:r>
      <w:r w:rsidR="00992664">
        <w:rPr>
          <w:rtl/>
        </w:rPr>
        <w:t xml:space="preserve"> ».</w:t>
      </w:r>
      <w:r w:rsidR="00992664" w:rsidRPr="00020424">
        <w:rPr>
          <w:rtl/>
        </w:rPr>
        <w:t xml:space="preserve"> وفي </w:t>
      </w:r>
      <w:r w:rsidR="00992664" w:rsidRPr="00A86F8A">
        <w:rPr>
          <w:rtl/>
        </w:rPr>
        <w:t>الأمالي للطوسي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 منامه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w:t>
      </w:r>
      <w:r w:rsidR="00992664" w:rsidRPr="00A86F8A">
        <w:rPr>
          <w:rtl/>
        </w:rPr>
        <w:t>والفقيه 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بف » : « ويصدّون</w:t>
      </w:r>
      <w:r w:rsidR="00992664">
        <w:rPr>
          <w:rtl/>
        </w:rPr>
        <w:t xml:space="preserve"> ».</w:t>
      </w:r>
      <w:r w:rsidR="00992664" w:rsidRPr="00020424">
        <w:rPr>
          <w:rtl/>
        </w:rPr>
        <w:t xml:space="preserve"> وفي </w:t>
      </w:r>
      <w:r w:rsidR="00992664" w:rsidRPr="00A86F8A">
        <w:rPr>
          <w:rtl/>
        </w:rPr>
        <w:t>الوافي</w:t>
      </w:r>
      <w:r w:rsidR="00992664" w:rsidRPr="00020424">
        <w:rPr>
          <w:rtl/>
        </w:rPr>
        <w:t xml:space="preserve"> : « يضلّون » بدون الواو.</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الكئيب ، من الكأبة. قال الخليل : « الكأبة : سوء الهيئة والانكسار من الحزن في الوجه خاصّة</w:t>
      </w:r>
      <w:r w:rsidR="00992664">
        <w:rPr>
          <w:rtl/>
        </w:rPr>
        <w:t xml:space="preserve"> ».</w:t>
      </w:r>
      <w:r w:rsidR="00992664" w:rsidRPr="00020424">
        <w:rPr>
          <w:rtl/>
        </w:rPr>
        <w:t xml:space="preserve"> وكذا قال الجوهري بدون قيد « في الوجه خاصّة</w:t>
      </w:r>
      <w:r w:rsidR="00992664">
        <w:rPr>
          <w:rtl/>
        </w:rPr>
        <w:t xml:space="preserve"> ».</w:t>
      </w:r>
      <w:r w:rsidR="00992664" w:rsidRPr="00020424">
        <w:rPr>
          <w:rtl/>
        </w:rPr>
        <w:t xml:space="preserve"> راجع : </w:t>
      </w:r>
      <w:r w:rsidR="00992664" w:rsidRPr="00DE76B9">
        <w:rPr>
          <w:rStyle w:val="libFootnoteBoldChar"/>
          <w:rtl/>
        </w:rPr>
        <w:t>ترتيب كتاب العين</w:t>
      </w:r>
      <w:r w:rsidR="00992664" w:rsidRPr="00020424">
        <w:rPr>
          <w:rtl/>
        </w:rPr>
        <w:t xml:space="preserve"> ، ج 3 ، ص 1547 ؛ </w:t>
      </w:r>
      <w:r w:rsidR="00992664" w:rsidRPr="0012008A">
        <w:rPr>
          <w:rStyle w:val="libFootnoteBoldChar"/>
          <w:rtl/>
        </w:rPr>
        <w:t>الصحاح</w:t>
      </w:r>
      <w:r w:rsidR="00992664" w:rsidRPr="00020424">
        <w:rPr>
          <w:rtl/>
        </w:rPr>
        <w:t xml:space="preserve"> ، ج 1 ، ص 207 ( كأب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w:t>
      </w:r>
      <w:r w:rsidR="00992664" w:rsidRPr="00A86F8A">
        <w:rPr>
          <w:rtl/>
        </w:rPr>
        <w:t>والوافي والبحار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بح ، بخ ، بر ، بس ، جن » </w:t>
      </w:r>
      <w:r w:rsidR="00992664" w:rsidRPr="00A86F8A">
        <w:rPr>
          <w:rtl/>
        </w:rPr>
        <w:t>والوافي</w:t>
      </w:r>
      <w:r w:rsidR="00992664" w:rsidRPr="00020424">
        <w:rPr>
          <w:rtl/>
        </w:rPr>
        <w:t xml:space="preserve"> : « يضلّون » بدون الواو. وفي « بف » : « ويصدّون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بر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نبيّاً</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ظ ، ى ، بث ، بس » : « إننّي » وفي </w:t>
      </w:r>
      <w:r w:rsidR="00992664" w:rsidRPr="00757F3F">
        <w:rPr>
          <w:rStyle w:val="libFootnoteBoldChar"/>
          <w:rtl/>
        </w:rPr>
        <w:t>الأمالي للطوسي</w:t>
      </w:r>
      <w:r w:rsidR="00992664" w:rsidRPr="00020424">
        <w:rPr>
          <w:rtl/>
        </w:rPr>
        <w:t xml:space="preserve"> : « إنّي » بدل « إنّ هذا شي‌ء</w:t>
      </w:r>
      <w:r w:rsidR="00992664">
        <w:rPr>
          <w:rtl/>
        </w:rPr>
        <w:t xml:space="preserve"> ».</w:t>
      </w:r>
      <w:r w:rsidR="00A86F8A">
        <w:rPr>
          <w:rtl/>
        </w:rPr>
        <w:t xml:space="preserve"> وفي «بف</w:t>
      </w:r>
      <w:r w:rsidR="00992664" w:rsidRPr="00020424">
        <w:rPr>
          <w:rtl/>
        </w:rPr>
        <w:t>» :</w:t>
      </w:r>
      <w:r w:rsidR="00992664">
        <w:rPr>
          <w:rtl/>
        </w:rPr>
        <w:t xml:space="preserve"> </w:t>
      </w:r>
      <w:r w:rsidR="009B673F">
        <w:rPr>
          <w:rtl/>
        </w:rPr>
        <w:t>-</w:t>
      </w:r>
      <w:r w:rsidR="00992664">
        <w:rPr>
          <w:rtl/>
        </w:rPr>
        <w:t xml:space="preserve"> </w:t>
      </w:r>
      <w:r w:rsidR="00992664" w:rsidRPr="00020424">
        <w:rPr>
          <w:rtl/>
        </w:rPr>
        <w:t>« شي‌ء</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بخ ، بر ، بف » </w:t>
      </w:r>
      <w:r w:rsidR="00992664" w:rsidRPr="00A86F8A">
        <w:rPr>
          <w:rtl/>
        </w:rPr>
        <w:t>والوافي والفقيه والتهذيب</w:t>
      </w:r>
      <w:r w:rsidR="00992664" w:rsidRPr="00020424">
        <w:rPr>
          <w:rtl/>
        </w:rPr>
        <w:t xml:space="preserve"> : « ثمّ عرج</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A86F8A">
      <w:pPr>
        <w:pStyle w:val="libNormal0"/>
        <w:rPr>
          <w:rtl/>
          <w:lang w:bidi="fa-IR"/>
        </w:rPr>
      </w:pPr>
      <w:r w:rsidRPr="00020424">
        <w:rPr>
          <w:rtl/>
          <w:lang w:bidi="fa-IR"/>
        </w:rPr>
        <w:t xml:space="preserve">عَلَيْهِ </w:t>
      </w:r>
      <w:r w:rsidRPr="00A91B96">
        <w:rPr>
          <w:rStyle w:val="libFootnotenumChar"/>
          <w:rtl/>
        </w:rPr>
        <w:t>(1)</w:t>
      </w:r>
      <w:r w:rsidRPr="00020424">
        <w:rPr>
          <w:rtl/>
          <w:lang w:bidi="fa-IR"/>
        </w:rPr>
        <w:t xml:space="preserve"> بِآيٍ مِنَ الْقُرْآنِ يُؤْنِسُهُ بِهَا ، قَالَ : </w:t>
      </w:r>
      <w:r w:rsidRPr="00005A81">
        <w:rPr>
          <w:rStyle w:val="libAlaemChar"/>
          <w:rtl/>
        </w:rPr>
        <w:t>(</w:t>
      </w:r>
      <w:r w:rsidRPr="004E5AB4">
        <w:rPr>
          <w:rStyle w:val="libAieChar"/>
          <w:rtl/>
        </w:rPr>
        <w:t xml:space="preserve"> أَفَرَأَيْتَ إِنْ مَتَّعْناهُمْ سِنِينَ </w:t>
      </w:r>
      <w:r w:rsidR="00A86F8A">
        <w:rPr>
          <w:rStyle w:val="libAieChar"/>
          <w:rFonts w:hint="cs"/>
          <w:rtl/>
        </w:rPr>
        <w:t xml:space="preserve">* </w:t>
      </w:r>
      <w:r w:rsidRPr="004E5AB4">
        <w:rPr>
          <w:rStyle w:val="libAieChar"/>
          <w:rtl/>
        </w:rPr>
        <w:t xml:space="preserve">ثُمَّ جاءَهُمْ ما كانُوا يُوعَدُونَ </w:t>
      </w:r>
      <w:r w:rsidR="00A86F8A">
        <w:rPr>
          <w:rStyle w:val="libAieChar"/>
          <w:rFonts w:hint="cs"/>
          <w:rtl/>
        </w:rPr>
        <w:t xml:space="preserve">* </w:t>
      </w:r>
      <w:r w:rsidRPr="004E5AB4">
        <w:rPr>
          <w:rStyle w:val="libAieChar"/>
          <w:rtl/>
        </w:rPr>
        <w:t xml:space="preserve">ما أَغْنى عَنْهُمْ ما كانُوا يُمَتَّعُونَ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وَأَنْزَلَ </w:t>
      </w:r>
      <w:r w:rsidRPr="00A91B96">
        <w:rPr>
          <w:rStyle w:val="libFootnotenumChar"/>
          <w:rtl/>
        </w:rPr>
        <w:t>(3)</w:t>
      </w:r>
      <w:r w:rsidRPr="00020424">
        <w:rPr>
          <w:rtl/>
          <w:lang w:bidi="fa-IR"/>
        </w:rPr>
        <w:t xml:space="preserve"> عَلَيْهِ : </w:t>
      </w:r>
      <w:r w:rsidRPr="00005A81">
        <w:rPr>
          <w:rStyle w:val="libAlaemChar"/>
          <w:rtl/>
        </w:rPr>
        <w:t>(</w:t>
      </w:r>
      <w:r w:rsidRPr="004E5AB4">
        <w:rPr>
          <w:rStyle w:val="libAieChar"/>
          <w:rtl/>
        </w:rPr>
        <w:t xml:space="preserve"> إِنّا أَنْزَلْناهُ فِي لَيْلَةِ الْقَدْرِ </w:t>
      </w:r>
      <w:r w:rsidR="00A86F8A">
        <w:rPr>
          <w:rStyle w:val="libAieChar"/>
          <w:rFonts w:hint="cs"/>
          <w:rtl/>
        </w:rPr>
        <w:t xml:space="preserve">* </w:t>
      </w:r>
      <w:r w:rsidRPr="004E5AB4">
        <w:rPr>
          <w:rStyle w:val="libAieChar"/>
          <w:rtl/>
        </w:rPr>
        <w:t xml:space="preserve">وَما أَدْراكَ ما لَيْلَةُ الْقَدْرِ لَيْلَةُ الْقَدْرِ خَيْرٌ مِنْ أَلْفِ شَهْرٍ </w:t>
      </w:r>
      <w:r w:rsidRPr="00005A81">
        <w:rPr>
          <w:rStyle w:val="libAlaemChar"/>
          <w:rtl/>
        </w:rPr>
        <w:t>)</w:t>
      </w:r>
      <w:r w:rsidRPr="00020424">
        <w:rPr>
          <w:rtl/>
          <w:lang w:bidi="fa-IR"/>
        </w:rPr>
        <w:t xml:space="preserve"> </w:t>
      </w:r>
      <w:r w:rsidRPr="00A91B96">
        <w:rPr>
          <w:rStyle w:val="libFootnotenumChar"/>
          <w:rtl/>
        </w:rPr>
        <w:t>(4)</w:t>
      </w:r>
      <w:r w:rsidRPr="00020424">
        <w:rPr>
          <w:rtl/>
          <w:lang w:bidi="fa-IR"/>
        </w:rPr>
        <w:t xml:space="preserve"> جَعَلَ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لَيْلَةَ الْقَدْرِ لِنَبِيِّهِ </w:t>
      </w:r>
      <w:r w:rsidR="00B42914" w:rsidRPr="00B42914">
        <w:rPr>
          <w:rStyle w:val="libAlaemChar"/>
          <w:rtl/>
        </w:rPr>
        <w:t>صلى‌الله‌عليه‌وآله‌</w:t>
      </w:r>
      <w:r w:rsidRPr="00020424">
        <w:rPr>
          <w:rtl/>
          <w:lang w:bidi="fa-IR"/>
        </w:rPr>
        <w:t xml:space="preserve"> خَيْراً </w:t>
      </w:r>
      <w:r w:rsidRPr="00A91B96">
        <w:rPr>
          <w:rStyle w:val="libFootnotenumChar"/>
          <w:rtl/>
        </w:rPr>
        <w:t>(5)</w:t>
      </w:r>
      <w:r w:rsidRPr="00020424">
        <w:rPr>
          <w:rtl/>
          <w:lang w:bidi="fa-IR"/>
        </w:rPr>
        <w:t xml:space="preserve"> مِنْ أَلْفِ شَهْرِ </w:t>
      </w:r>
      <w:r w:rsidRPr="00A91B96">
        <w:rPr>
          <w:rStyle w:val="libFootnotenumChar"/>
          <w:rtl/>
        </w:rPr>
        <w:t>(6)</w:t>
      </w:r>
      <w:r w:rsidRPr="00020424">
        <w:rPr>
          <w:rtl/>
          <w:lang w:bidi="fa-IR"/>
        </w:rPr>
        <w:t xml:space="preserve"> مُلْكِ بَنِي أُمَيَّةَ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246805">
        <w:rPr>
          <w:rtl/>
        </w:rPr>
        <w:t>6629</w:t>
      </w:r>
      <w:r w:rsidRPr="001155DE">
        <w:rPr>
          <w:rStyle w:val="libBold2Char"/>
          <w:rtl/>
        </w:rPr>
        <w:t xml:space="preserve"> / 11.</w:t>
      </w:r>
      <w:r w:rsidRPr="00020424">
        <w:rPr>
          <w:rtl/>
          <w:lang w:bidi="fa-IR"/>
        </w:rPr>
        <w:t xml:space="preserve"> مُحَمَّدُ بْنُ يَحْيى ، عَنْ مُحَمَّدِ بْنِ الْحُسَيْنِ ، عَنِ ابْنِ فَضَّالٍ ، عَنْ أَبِي جَمِيلَةَ ، عَنْ رِفَاعَةَ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عليه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الشعراء (26) : 205</w:t>
      </w:r>
      <w:r w:rsidR="00992664">
        <w:rPr>
          <w:rtl/>
        </w:rPr>
        <w:t xml:space="preserve"> </w:t>
      </w:r>
      <w:r w:rsidR="009B673F">
        <w:rPr>
          <w:rtl/>
        </w:rPr>
        <w:t>-</w:t>
      </w:r>
      <w:r w:rsidR="00992664">
        <w:rPr>
          <w:rtl/>
        </w:rPr>
        <w:t xml:space="preserve"> </w:t>
      </w:r>
      <w:r w:rsidR="00992664" w:rsidRPr="00020424">
        <w:rPr>
          <w:rtl/>
        </w:rPr>
        <w:t xml:space="preserve">207. وقال الشيخ الطبرسي في </w:t>
      </w:r>
      <w:r w:rsidR="00992664" w:rsidRPr="00DE76B9">
        <w:rPr>
          <w:rStyle w:val="libFootnoteBoldChar"/>
          <w:rtl/>
        </w:rPr>
        <w:t>مجمع البيان</w:t>
      </w:r>
      <w:r w:rsidR="00992664">
        <w:rPr>
          <w:rtl/>
        </w:rPr>
        <w:t xml:space="preserve"> ، ج 7 ، ص 354 : « أي : أ</w:t>
      </w:r>
      <w:r w:rsidR="00992664" w:rsidRPr="00020424">
        <w:rPr>
          <w:rtl/>
        </w:rPr>
        <w:t>رأيت إن أنظرناهم‌</w:t>
      </w:r>
      <w:r w:rsidR="00A86F8A">
        <w:rPr>
          <w:rFonts w:hint="cs"/>
          <w:rtl/>
        </w:rPr>
        <w:t xml:space="preserve"> </w:t>
      </w:r>
      <w:r w:rsidR="00992664" w:rsidRPr="00020424">
        <w:rPr>
          <w:rtl/>
        </w:rPr>
        <w:t>و أخرّناهم سنين ، ومتّعناهم بشي‌ء من الدنيا ، ثمّ أتاهم العذاب ، لم يغن عنهم ما متعّوا في تلك السنين من النعيم ؛ لازديادهم في الآثام ، واكتسابهم من الأجرام. وهو استفهام في معنى التقدير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A86F8A">
        <w:rPr>
          <w:rtl/>
        </w:rPr>
        <w:t>الوافي والتهذيب</w:t>
      </w:r>
      <w:r w:rsidR="00992664" w:rsidRPr="00020424">
        <w:rPr>
          <w:rtl/>
        </w:rPr>
        <w:t xml:space="preserve"> : + « الله</w:t>
      </w:r>
      <w:r w:rsidR="00992664">
        <w:rPr>
          <w:rtl/>
        </w:rPr>
        <w:t xml:space="preserve"> ».</w:t>
      </w:r>
      <w:r w:rsidR="00992664" w:rsidRPr="00020424">
        <w:rPr>
          <w:rtl/>
        </w:rPr>
        <w:t xml:space="preserve"> وفي </w:t>
      </w:r>
      <w:r w:rsidR="00992664" w:rsidRPr="00A86F8A">
        <w:rPr>
          <w:rtl/>
        </w:rPr>
        <w:t>الوسائل</w:t>
      </w:r>
      <w:r w:rsidR="00992664" w:rsidRPr="00020424">
        <w:rPr>
          <w:rtl/>
        </w:rPr>
        <w:t xml:space="preserve"> : « فأنزل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القدر (97) : 1</w:t>
      </w:r>
      <w:r w:rsidR="00992664">
        <w:rPr>
          <w:rtl/>
        </w:rPr>
        <w:t xml:space="preserve"> </w:t>
      </w:r>
      <w:r w:rsidR="009B673F">
        <w:rPr>
          <w:rtl/>
        </w:rPr>
        <w:t>-</w:t>
      </w:r>
      <w:r w:rsidR="00992664">
        <w:rPr>
          <w:rtl/>
        </w:rPr>
        <w:t xml:space="preserve"> </w:t>
      </w:r>
      <w:r w:rsidR="00992664" w:rsidRPr="00020424">
        <w:rPr>
          <w:rtl/>
        </w:rPr>
        <w:t>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بح ، بر ، بف ، جن » : « خير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من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قد حوسب مدّة ملك بني ا</w:t>
      </w:r>
      <w:r w:rsidR="00A86F8A">
        <w:rPr>
          <w:rFonts w:hint="cs"/>
          <w:rtl/>
        </w:rPr>
        <w:t>ُ</w:t>
      </w:r>
      <w:r w:rsidR="00992664" w:rsidRPr="00020424">
        <w:rPr>
          <w:rtl/>
        </w:rPr>
        <w:t>ميّة ، فكان ألف شهر من دون زيادة يوم ولا نقصان يوم ، وإنّما ا</w:t>
      </w:r>
      <w:r w:rsidR="00A86F8A">
        <w:rPr>
          <w:rFonts w:hint="cs"/>
          <w:rtl/>
        </w:rPr>
        <w:t>ُ</w:t>
      </w:r>
      <w:r w:rsidR="00992664" w:rsidRPr="00020424">
        <w:rPr>
          <w:rtl/>
        </w:rPr>
        <w:t>ري إضلالهم للناس عن الدين القهقرى ؛ لأنّ الناس كانوا يظهرون الإسلام ، وكانوا يصلّون إلى القبلة ، ومع هذا كانوا يخرجون من الدين شيئاً فشيئاً ، كالذي يرتدّ عن الصراط السويّ القهقرى ، ويكون وجهه إلى الحقّ حتّى إذا بلغ غاية سعيه رأى نفسه في جهنّم</w:t>
      </w:r>
      <w:r w:rsidR="00992664">
        <w:rPr>
          <w:rtl/>
        </w:rPr>
        <w:t xml:space="preserve"> ».</w:t>
      </w:r>
      <w:r w:rsidR="00992664" w:rsidRPr="00020424">
        <w:rPr>
          <w:rtl/>
        </w:rPr>
        <w:t xml:space="preserve"> وفي هامش المطبوع : « أقول : في هامش الطبع الأوّل من </w:t>
      </w:r>
      <w:r w:rsidR="00992664" w:rsidRPr="0012008A">
        <w:rPr>
          <w:rStyle w:val="libFootnoteBoldChar"/>
          <w:rtl/>
        </w:rPr>
        <w:t>الوافي</w:t>
      </w:r>
      <w:r w:rsidR="00992664" w:rsidRPr="00020424">
        <w:rPr>
          <w:rtl/>
        </w:rPr>
        <w:t xml:space="preserve"> ، قال : المستفاد من كتب السير أنّ أوّل انفراد بني ا</w:t>
      </w:r>
      <w:r w:rsidR="00A86F8A">
        <w:rPr>
          <w:rFonts w:hint="cs"/>
          <w:rtl/>
        </w:rPr>
        <w:t>ُ</w:t>
      </w:r>
      <w:r w:rsidR="00992664" w:rsidRPr="00020424">
        <w:rPr>
          <w:rtl/>
        </w:rPr>
        <w:t xml:space="preserve">ميّة بالأمر وكان عندما صالح الحسن بن عليّ </w:t>
      </w:r>
      <w:r w:rsidR="00D64ADA" w:rsidRPr="00D64ADA">
        <w:rPr>
          <w:rStyle w:val="libFootnoteAlaemChar"/>
          <w:rtl/>
        </w:rPr>
        <w:t>عليهما‌السلام</w:t>
      </w:r>
      <w:r w:rsidR="00992664" w:rsidRPr="00020424">
        <w:rPr>
          <w:rtl/>
        </w:rPr>
        <w:t xml:space="preserve"> معاوية سنة أربعين من الهجرة ، وكان انقضاء ملكهم على يدي أبي مسلم المروزي سنة اثنتين وثلاثين ومائة منها ، فكانت تمام دولتهم اثنتان وتسعون سنة ، حذفت منها خلافة عبد الله بن الزبير</w:t>
      </w:r>
      <w:r w:rsidR="00992664">
        <w:rPr>
          <w:rtl/>
        </w:rPr>
        <w:t xml:space="preserve"> </w:t>
      </w:r>
      <w:r w:rsidR="009B673F">
        <w:rPr>
          <w:rtl/>
        </w:rPr>
        <w:t>-</w:t>
      </w:r>
      <w:r w:rsidR="00992664">
        <w:rPr>
          <w:rtl/>
        </w:rPr>
        <w:t xml:space="preserve"> </w:t>
      </w:r>
      <w:r w:rsidR="00992664" w:rsidRPr="00020424">
        <w:rPr>
          <w:rtl/>
        </w:rPr>
        <w:t>وهي ثمان سنين وثمانية أشهر</w:t>
      </w:r>
      <w:r w:rsidR="00992664">
        <w:rPr>
          <w:rtl/>
        </w:rPr>
        <w:t xml:space="preserve"> </w:t>
      </w:r>
      <w:r w:rsidR="009B673F">
        <w:rPr>
          <w:rtl/>
        </w:rPr>
        <w:t>-</w:t>
      </w:r>
      <w:r w:rsidR="00992664">
        <w:rPr>
          <w:rtl/>
        </w:rPr>
        <w:t xml:space="preserve"> </w:t>
      </w:r>
      <w:r w:rsidR="00992664" w:rsidRPr="00020424">
        <w:rPr>
          <w:rtl/>
        </w:rPr>
        <w:t>بقي ثلاث وثمانون سنة وأربعة أشهر بلا زيادة يوم ولا نقصان ، وهي ألف شهر</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3 ، ص 59 ، ح 202 ، معلّقاً عن الكليني. وفي </w:t>
      </w:r>
      <w:r w:rsidR="00992664" w:rsidRPr="00DE76B9">
        <w:rPr>
          <w:rStyle w:val="libFootnoteBoldChar"/>
          <w:rtl/>
        </w:rPr>
        <w:t>الكافي</w:t>
      </w:r>
      <w:r w:rsidR="00992664" w:rsidRPr="00020424">
        <w:rPr>
          <w:rtl/>
        </w:rPr>
        <w:t xml:space="preserve"> ، كتاب الروضة ، ح 15096 ؛ </w:t>
      </w:r>
      <w:r w:rsidR="00992664" w:rsidRPr="00216E45">
        <w:rPr>
          <w:rStyle w:val="libFootnoteBoldChar"/>
          <w:rtl/>
        </w:rPr>
        <w:t>و</w:t>
      </w:r>
      <w:r w:rsidR="00992664" w:rsidRPr="00757F3F">
        <w:rPr>
          <w:rStyle w:val="libFootnoteBoldChar"/>
          <w:rtl/>
        </w:rPr>
        <w:t>الأمالي للطوسي</w:t>
      </w:r>
      <w:r w:rsidR="00992664" w:rsidRPr="00020424">
        <w:rPr>
          <w:rtl/>
        </w:rPr>
        <w:t xml:space="preserve"> ، ص 688 ، المجلس 39 ، ح 7 ، بسندهما عن يونس ، عن عليّ بن عيسى القمّاط. </w:t>
      </w:r>
      <w:r w:rsidR="00992664" w:rsidRPr="0012008A">
        <w:rPr>
          <w:rStyle w:val="libFootnoteBoldChar"/>
          <w:rtl/>
        </w:rPr>
        <w:t>الفقيه</w:t>
      </w:r>
      <w:r w:rsidR="00992664" w:rsidRPr="00020424">
        <w:rPr>
          <w:rtl/>
        </w:rPr>
        <w:t xml:space="preserve"> ، ج 2 ، ص 157 ، ح 2022 ، من دون الإسناد إلى المعصوم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الكافي</w:t>
      </w:r>
      <w:r w:rsidR="00992664" w:rsidRPr="00020424">
        <w:rPr>
          <w:rtl/>
        </w:rPr>
        <w:t xml:space="preserve"> ، كتاب الروضة ، ح 15358 ؛ </w:t>
      </w:r>
      <w:r w:rsidR="00992664" w:rsidRPr="00A86F8A">
        <w:rPr>
          <w:rStyle w:val="libFootnoteBoldChar"/>
          <w:rtl/>
        </w:rPr>
        <w:t>وت</w:t>
      </w:r>
      <w:r w:rsidR="00992664" w:rsidRPr="00DE76B9">
        <w:rPr>
          <w:rStyle w:val="libFootnoteBoldChar"/>
          <w:rtl/>
        </w:rPr>
        <w:t>فسير العيّاشي</w:t>
      </w:r>
      <w:r w:rsidR="00992664" w:rsidRPr="00020424">
        <w:rPr>
          <w:rtl/>
        </w:rPr>
        <w:t xml:space="preserve"> ، ج 2 ، ص 298 ، ح 96 و97 و101 </w:t>
      </w:r>
      <w:r w:rsidR="00A86F8A">
        <w:rPr>
          <w:rFonts w:hint="cs"/>
          <w:rtl/>
        </w:rPr>
        <w:t>.</w:t>
      </w:r>
      <w:r w:rsidR="00992664" w:rsidRPr="0012008A">
        <w:rPr>
          <w:rStyle w:val="libFootnoteBoldChar"/>
          <w:rtl/>
        </w:rPr>
        <w:t>الوافي</w:t>
      </w:r>
      <w:r w:rsidR="00992664" w:rsidRPr="00020424">
        <w:rPr>
          <w:rtl/>
        </w:rPr>
        <w:t xml:space="preserve"> ، ج 11 ، ص 378 ، ح 11053 ؛ </w:t>
      </w:r>
      <w:r w:rsidR="00992664" w:rsidRPr="0012008A">
        <w:rPr>
          <w:rStyle w:val="libFootnoteBoldChar"/>
          <w:rtl/>
        </w:rPr>
        <w:t>الوسائل</w:t>
      </w:r>
      <w:r w:rsidR="00992664" w:rsidRPr="00020424">
        <w:rPr>
          <w:rtl/>
        </w:rPr>
        <w:t xml:space="preserve"> ، ج 10 ، ص 352 ، ح 13585 ؛ </w:t>
      </w:r>
      <w:r w:rsidR="00992664" w:rsidRPr="0012008A">
        <w:rPr>
          <w:rStyle w:val="libFootnoteBoldChar"/>
          <w:rtl/>
        </w:rPr>
        <w:t>البحار</w:t>
      </w:r>
      <w:r w:rsidR="00992664" w:rsidRPr="00020424">
        <w:rPr>
          <w:rtl/>
        </w:rPr>
        <w:t xml:space="preserve"> ، ج 28 ، ص 77 ، ح 36.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لَيْلَةُ الْقَدْرِ هِيَ أَوَّلُ السَّنَةِ ، وَهِيَ آخِرُهَا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246805">
        <w:rPr>
          <w:rtl/>
        </w:rPr>
        <w:t>6630</w:t>
      </w:r>
      <w:r w:rsidRPr="001155DE">
        <w:rPr>
          <w:rStyle w:val="libBold2Char"/>
          <w:rtl/>
        </w:rPr>
        <w:t xml:space="preserve"> / 12.</w:t>
      </w:r>
      <w:r w:rsidRPr="00020424">
        <w:rPr>
          <w:rtl/>
          <w:lang w:bidi="fa-IR"/>
        </w:rPr>
        <w:t xml:space="preserve"> عِدَّةٌ مِنْ أَصْحَابِنَا ، عَنْ سَهْلِ بْنِ زِيَادٍ ، عَنْ عَلِيِّ بْنِ الْحَكَمِ ، عَنْ رَبِيعٍ الْمُسْلِيِّ وَزِيَادِ بْنِ أَبِي الْحَلاَّلِ ، ذَكَرَاهُ عَنْ رَجُلٍ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فِي لَيْلَةِ تِسْعَ </w:t>
      </w:r>
      <w:r w:rsidRPr="00A91B96">
        <w:rPr>
          <w:rStyle w:val="libFootnotenumChar"/>
          <w:rtl/>
        </w:rPr>
        <w:t>(3)</w:t>
      </w:r>
      <w:r w:rsidRPr="00020424">
        <w:rPr>
          <w:rtl/>
          <w:lang w:bidi="fa-IR"/>
        </w:rPr>
        <w:t xml:space="preserve"> عَشْرَةَ </w:t>
      </w:r>
      <w:r w:rsidRPr="00A91B96">
        <w:rPr>
          <w:rStyle w:val="libFootnotenumChar"/>
          <w:rtl/>
        </w:rPr>
        <w:t>(4)</w:t>
      </w:r>
      <w:r w:rsidRPr="00020424">
        <w:rPr>
          <w:rtl/>
          <w:lang w:bidi="fa-IR"/>
        </w:rPr>
        <w:t xml:space="preserve"> مِنْ شَهْرِ رَمَضَانَ التَّقْدِيرُ ، وَفِي لَيْلَةِ إِحْدى وَعِشْرِينَ الْقَضَاءُ ، وَفِي لَيْلَةِ ثَلَاثٍ وَعِشْرِينَ إِبْرَامُ مَا يَكُونُ فِي السَّنَةِ إِلى مِثْلِهَا ؛ لِلّهِ جَلَّ ثَنَاؤُهُ أَنْ </w:t>
      </w:r>
      <w:r w:rsidRPr="00A91B96">
        <w:rPr>
          <w:rStyle w:val="libFootnotenumChar"/>
          <w:rtl/>
        </w:rPr>
        <w:t>(5)</w:t>
      </w:r>
      <w:r w:rsidRPr="00020424">
        <w:rPr>
          <w:rtl/>
          <w:lang w:bidi="fa-IR"/>
        </w:rPr>
        <w:t xml:space="preserve"> يَفْعَلَ مَا يَشَاءُ فِي خَلْقِهِ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515" w:name="_Toc345172888"/>
      <w:bookmarkStart w:id="516" w:name="_Toc464562703"/>
      <w:bookmarkStart w:id="517" w:name="_Toc44600009"/>
      <w:r w:rsidRPr="00020424">
        <w:rPr>
          <w:rtl/>
          <w:lang w:bidi="fa-IR"/>
        </w:rPr>
        <w:t>70</w:t>
      </w:r>
      <w:r>
        <w:rPr>
          <w:rtl/>
          <w:lang w:bidi="fa-IR"/>
        </w:rPr>
        <w:t xml:space="preserve"> </w:t>
      </w:r>
      <w:r w:rsidR="009B673F">
        <w:rPr>
          <w:rtl/>
          <w:lang w:bidi="fa-IR"/>
        </w:rPr>
        <w:t>-</w:t>
      </w:r>
      <w:r>
        <w:rPr>
          <w:rtl/>
          <w:lang w:bidi="fa-IR"/>
        </w:rPr>
        <w:t xml:space="preserve"> </w:t>
      </w:r>
      <w:r w:rsidRPr="00020424">
        <w:rPr>
          <w:rtl/>
          <w:lang w:bidi="fa-IR"/>
        </w:rPr>
        <w:t>بَابُ الدُّعَاءِ فِي الْعَشْرِ الْأَوَاخِرِ مِنْ شَهْرِ رَمَضَانَ‌</w:t>
      </w:r>
      <w:bookmarkEnd w:id="515"/>
      <w:bookmarkEnd w:id="516"/>
      <w:bookmarkEnd w:id="517"/>
    </w:p>
    <w:p w:rsidR="00992664" w:rsidRPr="00020424" w:rsidRDefault="00992664" w:rsidP="00992664">
      <w:pPr>
        <w:pStyle w:val="libNormal"/>
        <w:rPr>
          <w:rtl/>
          <w:lang w:bidi="fa-IR"/>
        </w:rPr>
      </w:pPr>
      <w:r w:rsidRPr="00246805">
        <w:rPr>
          <w:rtl/>
        </w:rPr>
        <w:t>6631</w:t>
      </w:r>
      <w:r w:rsidRPr="001155DE">
        <w:rPr>
          <w:rStyle w:val="libBold2Char"/>
          <w:rtl/>
        </w:rPr>
        <w:t xml:space="preserve"> / 1.</w:t>
      </w:r>
      <w:r w:rsidRPr="00020424">
        <w:rPr>
          <w:rtl/>
          <w:lang w:bidi="fa-IR"/>
        </w:rPr>
        <w:t xml:space="preserve"> عَلِيُّ بْنُ إِبْرَاهِيمَ ، عَنْ أَبِيهِ ، عَنِ ابْنِ أَبِي عُمَيْرٍ ، عَنْ بَعْضِ أَصْحَابِنَا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وذلك لأنّ بإقبال تلك الليلة يتحقّق الأمران معاً</w:t>
      </w:r>
      <w:r w:rsidR="00992664">
        <w:rPr>
          <w:rtl/>
        </w:rPr>
        <w:t xml:space="preserve"> ».</w:t>
      </w:r>
      <w:r w:rsidR="00992664" w:rsidRPr="00020424">
        <w:rPr>
          <w:rtl/>
        </w:rPr>
        <w:t xml:space="preserve"> وفي م</w:t>
      </w:r>
      <w:r w:rsidR="00A86F8A">
        <w:rPr>
          <w:rtl/>
        </w:rPr>
        <w:t>رآة العقول : « قال الوالد العل</w:t>
      </w:r>
      <w:r w:rsidR="00A86F8A">
        <w:rPr>
          <w:rFonts w:hint="cs"/>
          <w:rtl/>
        </w:rPr>
        <w:t>ّ</w:t>
      </w:r>
      <w:r w:rsidR="00A86F8A">
        <w:rPr>
          <w:rtl/>
        </w:rPr>
        <w:t>ا</w:t>
      </w:r>
      <w:r w:rsidR="00992664" w:rsidRPr="00020424">
        <w:rPr>
          <w:rtl/>
        </w:rPr>
        <w:t xml:space="preserve">مة </w:t>
      </w:r>
      <w:r w:rsidR="00D64ADA" w:rsidRPr="00D64ADA">
        <w:rPr>
          <w:rStyle w:val="libFootnoteAlaemChar"/>
          <w:rtl/>
        </w:rPr>
        <w:t>قدس‌سره</w:t>
      </w:r>
      <w:r w:rsidR="00992664" w:rsidRPr="00020424">
        <w:rPr>
          <w:rtl/>
        </w:rPr>
        <w:t xml:space="preserve"> : الظاهر أنّ الأوّليّة باعتبار التقدير ، أي أوّل السنة التي يقدّر فيها الا</w:t>
      </w:r>
      <w:r w:rsidR="00A86F8A">
        <w:rPr>
          <w:rFonts w:hint="cs"/>
          <w:rtl/>
        </w:rPr>
        <w:t>ُ</w:t>
      </w:r>
      <w:r w:rsidR="00992664" w:rsidRPr="00020424">
        <w:rPr>
          <w:rtl/>
        </w:rPr>
        <w:t>مور ليلة القدر ، والآخريّة باعتبار المجاورة ؛ فإنّ ما قدّر في السنة الماضية انتهى إليها ، كما ورد أنّ أوّل السنة الا</w:t>
      </w:r>
      <w:r w:rsidR="00A86F8A">
        <w:rPr>
          <w:rFonts w:hint="cs"/>
          <w:rtl/>
        </w:rPr>
        <w:t>ُ</w:t>
      </w:r>
      <w:r w:rsidR="00992664" w:rsidRPr="00020424">
        <w:rPr>
          <w:rtl/>
        </w:rPr>
        <w:t>ولى وأوّل السنة الثانية ، كصلاة الصبح في أوّل الوقت ، أو يكون أوّل السنة باعتبار تقدير ما يكون في السنة الآتية وهو آخر السنة المقدّر فيها الا</w:t>
      </w:r>
      <w:r w:rsidR="00A86F8A">
        <w:rPr>
          <w:rFonts w:hint="cs"/>
          <w:rtl/>
        </w:rPr>
        <w:t>ُ</w:t>
      </w:r>
      <w:r w:rsidR="00992664" w:rsidRPr="00020424">
        <w:rPr>
          <w:rtl/>
        </w:rPr>
        <w:t>مور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A722B1">
        <w:rPr>
          <w:rStyle w:val="libFootnoteBoldChar"/>
          <w:rtl/>
        </w:rPr>
        <w:t>الخصال</w:t>
      </w:r>
      <w:r w:rsidR="00992664" w:rsidRPr="00020424">
        <w:rPr>
          <w:rtl/>
        </w:rPr>
        <w:t xml:space="preserve"> ، ص 519 ، أبواب العشرين ، ح 7 ، عن أبيه ، عن محمّد بن يحيى العطّار ، عن محمّد بن الحسين بن أبي الخطّاب ، عن ابن فضّال. </w:t>
      </w:r>
      <w:r w:rsidR="00992664" w:rsidRPr="0012008A">
        <w:rPr>
          <w:rStyle w:val="libFootnoteBoldChar"/>
          <w:rtl/>
        </w:rPr>
        <w:t>الفقيه</w:t>
      </w:r>
      <w:r w:rsidR="00992664" w:rsidRPr="00020424">
        <w:rPr>
          <w:rtl/>
        </w:rPr>
        <w:t xml:space="preserve"> ، ج 2 ، ص 156 ، ح 2021 ، معلّقاً عن رفاعة ؛ </w:t>
      </w:r>
      <w:r w:rsidR="00992664" w:rsidRPr="0012008A">
        <w:rPr>
          <w:rStyle w:val="libFootnoteBoldChar"/>
          <w:rtl/>
        </w:rPr>
        <w:t>التهذيب</w:t>
      </w:r>
      <w:r w:rsidR="00992664" w:rsidRPr="00020424">
        <w:rPr>
          <w:rtl/>
        </w:rPr>
        <w:t xml:space="preserve"> ، ج 4 ، ص 332 ، ح 1042 ، بسنده عن رفاعة ، وتمام الرواية فيه : « رأس السنة ليلة القدر يكتب فيها ما يكون من السنة إلى السنة</w:t>
      </w:r>
      <w:r w:rsidR="00992664">
        <w:rPr>
          <w:rtl/>
        </w:rPr>
        <w:t xml:space="preserve"> ».</w:t>
      </w:r>
      <w:r w:rsidR="00992664" w:rsidRPr="00020424">
        <w:rPr>
          <w:rtl/>
        </w:rPr>
        <w:t xml:space="preserve"> وراجع : </w:t>
      </w:r>
      <w:r w:rsidR="00992664" w:rsidRPr="0012008A">
        <w:rPr>
          <w:rStyle w:val="libFootnoteBoldChar"/>
          <w:rtl/>
        </w:rPr>
        <w:t>التهذيب</w:t>
      </w:r>
      <w:r w:rsidR="00992664" w:rsidRPr="00020424">
        <w:rPr>
          <w:rtl/>
        </w:rPr>
        <w:t xml:space="preserve"> ، ج 4 ، ص 333 ، ح 1046 </w:t>
      </w:r>
      <w:r w:rsidR="00A86F8A">
        <w:rPr>
          <w:rFonts w:hint="cs"/>
          <w:rtl/>
        </w:rPr>
        <w:t>.</w:t>
      </w:r>
      <w:r w:rsidR="00992664" w:rsidRPr="0012008A">
        <w:rPr>
          <w:rStyle w:val="libFootnoteBoldChar"/>
          <w:rtl/>
        </w:rPr>
        <w:t>الوافي</w:t>
      </w:r>
      <w:r w:rsidR="00992664" w:rsidRPr="00020424">
        <w:rPr>
          <w:rtl/>
        </w:rPr>
        <w:t xml:space="preserve"> ، ج 11 ، ص 381 ، ح 11058 ؛ </w:t>
      </w:r>
      <w:r w:rsidR="00992664" w:rsidRPr="0012008A">
        <w:rPr>
          <w:rStyle w:val="libFootnoteBoldChar"/>
          <w:rtl/>
        </w:rPr>
        <w:t>الوسائل</w:t>
      </w:r>
      <w:r w:rsidR="00992664" w:rsidRPr="00020424">
        <w:rPr>
          <w:rtl/>
        </w:rPr>
        <w:t xml:space="preserve"> ، ج 10 ، ص 353 ، ذيل ح 13587 ؛ </w:t>
      </w:r>
      <w:r w:rsidR="00992664" w:rsidRPr="0012008A">
        <w:rPr>
          <w:rStyle w:val="libFootnoteBoldChar"/>
          <w:rtl/>
        </w:rPr>
        <w:t>البحار</w:t>
      </w:r>
      <w:r w:rsidR="00992664" w:rsidRPr="00020424">
        <w:rPr>
          <w:rtl/>
        </w:rPr>
        <w:t xml:space="preserve"> ، ج 58 ، ص 378 ، ذيل ح 9.</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بف ، جن » : « تسعة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بف ، جن » : « عشر</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ظ ، ى ، بخ ، بر ، بس ، بف » </w:t>
      </w:r>
      <w:r w:rsidR="00992664" w:rsidRPr="00A86F8A">
        <w:rPr>
          <w:rtl/>
        </w:rPr>
        <w:t>والوافي والوسائل</w:t>
      </w:r>
      <w:r w:rsidR="00992664" w:rsidRPr="00020424">
        <w:rPr>
          <w:rtl/>
        </w:rPr>
        <w:t>. وفي سائر النسخ والمطبوع :</w:t>
      </w:r>
      <w:r w:rsidR="00992664">
        <w:rPr>
          <w:rtl/>
        </w:rPr>
        <w:t xml:space="preserve"> </w:t>
      </w:r>
      <w:r w:rsidR="009B673F">
        <w:rPr>
          <w:rtl/>
        </w:rPr>
        <w:t>-</w:t>
      </w:r>
      <w:r w:rsidR="00992664">
        <w:rPr>
          <w:rtl/>
        </w:rPr>
        <w:t xml:space="preserve"> </w:t>
      </w:r>
      <w:r w:rsidR="00992664" w:rsidRPr="00020424">
        <w:rPr>
          <w:rtl/>
        </w:rPr>
        <w:t>« أن</w:t>
      </w:r>
      <w:r w:rsidR="00992664">
        <w:rPr>
          <w:rtl/>
        </w:rPr>
        <w:t xml:space="preserve"> ».</w:t>
      </w:r>
    </w:p>
    <w:p w:rsidR="00992664" w:rsidRPr="00020424" w:rsidRDefault="00992664" w:rsidP="00992664">
      <w:pPr>
        <w:pStyle w:val="libFootnote0"/>
        <w:rPr>
          <w:rtl/>
          <w:lang w:bidi="fa-IR"/>
        </w:rPr>
      </w:pPr>
      <w:r w:rsidRPr="00A86F8A">
        <w:rPr>
          <w:rtl/>
        </w:rPr>
        <w:t xml:space="preserve">وفي </w:t>
      </w:r>
      <w:r w:rsidRPr="00DE76B9">
        <w:rPr>
          <w:rStyle w:val="libFootnoteBoldChar"/>
          <w:rtl/>
        </w:rPr>
        <w:t>مرآة العقول</w:t>
      </w:r>
      <w:r w:rsidRPr="00A86F8A">
        <w:rPr>
          <w:rtl/>
        </w:rPr>
        <w:t xml:space="preserve"> : « قوله </w:t>
      </w:r>
      <w:r w:rsidRPr="00D64ADA">
        <w:rPr>
          <w:rStyle w:val="libFootnoteAlaemChar"/>
          <w:rtl/>
        </w:rPr>
        <w:t>عليه‌السلام</w:t>
      </w:r>
      <w:r w:rsidRPr="00A86F8A">
        <w:rPr>
          <w:rtl/>
        </w:rPr>
        <w:t xml:space="preserve"> ولله جلّ ثناؤه إشارة إلى احتمال البداء بعده أيضاً كما مرّ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الفقيه</w:t>
      </w:r>
      <w:r w:rsidR="00992664" w:rsidRPr="00020424">
        <w:rPr>
          <w:rtl/>
        </w:rPr>
        <w:t xml:space="preserve"> ، ج 2 ، ص 156 ، ح 2020 ، مرسلاً </w:t>
      </w:r>
      <w:r w:rsidR="00A86F8A">
        <w:rPr>
          <w:rFonts w:hint="cs"/>
          <w:rtl/>
        </w:rPr>
        <w:t>.</w:t>
      </w:r>
      <w:r w:rsidR="00992664" w:rsidRPr="0012008A">
        <w:rPr>
          <w:rStyle w:val="libFootnoteBoldChar"/>
          <w:rtl/>
        </w:rPr>
        <w:t>الوافي</w:t>
      </w:r>
      <w:r w:rsidR="00992664" w:rsidRPr="00020424">
        <w:rPr>
          <w:rtl/>
        </w:rPr>
        <w:t xml:space="preserve"> ، ج 11 ، ص 385 ، ح 11065 ؛ </w:t>
      </w:r>
      <w:r w:rsidR="00992664" w:rsidRPr="0012008A">
        <w:rPr>
          <w:rStyle w:val="libFootnoteBoldChar"/>
          <w:rtl/>
        </w:rPr>
        <w:t>الوسائل</w:t>
      </w:r>
      <w:r w:rsidR="00992664" w:rsidRPr="00020424">
        <w:rPr>
          <w:rtl/>
        </w:rPr>
        <w:t xml:space="preserve"> ، ج 10 ، ص 357 ، ح 13596.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تَقُولُ فِي الْعَشْرِ الْأَوَاخِرِ مِنْ شَهْرِ رَمَضَانَ كُلَّ </w:t>
      </w:r>
      <w:r w:rsidRPr="00A91B96">
        <w:rPr>
          <w:rStyle w:val="libFootnotenumChar"/>
          <w:rtl/>
        </w:rPr>
        <w:t>(1)</w:t>
      </w:r>
      <w:r w:rsidRPr="00020424">
        <w:rPr>
          <w:rtl/>
          <w:lang w:bidi="fa-IR"/>
        </w:rPr>
        <w:t xml:space="preserve"> لَيْلَةٍ :</w:t>
      </w:r>
      <w:r>
        <w:rPr>
          <w:rFonts w:hint="cs"/>
          <w:rtl/>
          <w:lang w:bidi="fa-IR"/>
        </w:rPr>
        <w:t xml:space="preserve"> </w:t>
      </w:r>
      <w:r w:rsidRPr="00020424">
        <w:rPr>
          <w:rtl/>
          <w:lang w:bidi="fa-IR"/>
        </w:rPr>
        <w:t xml:space="preserve">أَعُوذُ بِجَلَالِ وَجْهِكَ الْكَرِيمِ أَنْ يَنْقَضِيَ عَنِّي شَهْرُ رَمَضَانَ ، أَوْ يَطْلُعَ الْفَجْرُ مِنْ لَيْلَتِي هذِهِ ، وَلَكَ </w:t>
      </w:r>
      <w:r w:rsidRPr="00A91B96">
        <w:rPr>
          <w:rStyle w:val="libFootnotenumChar"/>
          <w:rtl/>
        </w:rPr>
        <w:t>(2)</w:t>
      </w:r>
      <w:r w:rsidRPr="00020424">
        <w:rPr>
          <w:rtl/>
          <w:lang w:bidi="fa-IR"/>
        </w:rPr>
        <w:t xml:space="preserve"> قِبَلِي ذَنْبٌ أَوْ تَبِعَةٌ </w:t>
      </w:r>
      <w:r w:rsidRPr="00A91B96">
        <w:rPr>
          <w:rStyle w:val="libFootnotenumChar"/>
          <w:rtl/>
        </w:rPr>
        <w:t>(3)</w:t>
      </w:r>
      <w:r w:rsidRPr="00020424">
        <w:rPr>
          <w:rtl/>
          <w:lang w:bidi="fa-IR"/>
        </w:rPr>
        <w:t xml:space="preserve"> تُعَذِّبُنِي عَلَيْهِ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246805">
        <w:rPr>
          <w:rtl/>
        </w:rPr>
        <w:t>6632</w:t>
      </w:r>
      <w:r w:rsidRPr="001155DE">
        <w:rPr>
          <w:rStyle w:val="libBold2Char"/>
          <w:rtl/>
        </w:rPr>
        <w:t xml:space="preserve"> / 2.</w:t>
      </w:r>
      <w:r w:rsidRPr="00020424">
        <w:rPr>
          <w:rtl/>
          <w:lang w:bidi="fa-IR"/>
        </w:rPr>
        <w:t xml:space="preserve"> أَحْمَدُ بْنُ مُحَمَّدٍ ، عَنْ عَلِيِّ بْنِ الْحَسَنِ </w:t>
      </w:r>
      <w:r w:rsidRPr="00A91B96">
        <w:rPr>
          <w:rStyle w:val="libFootnotenumChar"/>
          <w:rtl/>
        </w:rPr>
        <w:t>(5)</w:t>
      </w:r>
      <w:r w:rsidRPr="00020424">
        <w:rPr>
          <w:rtl/>
          <w:lang w:bidi="fa-IR"/>
        </w:rPr>
        <w:t xml:space="preserve"> ، عَنْ مُحَمَّدِ بْنِ عِيسى ، عَنْ أَيُّوبَ بْنِ يَقْطِينٍ أَوْ غَيْرِهِ :</w:t>
      </w:r>
    </w:p>
    <w:p w:rsidR="00992664" w:rsidRPr="00020424" w:rsidRDefault="00992664" w:rsidP="00992664">
      <w:pPr>
        <w:pStyle w:val="libNormal"/>
        <w:rPr>
          <w:rtl/>
          <w:lang w:bidi="fa-IR"/>
        </w:rPr>
      </w:pPr>
      <w:r w:rsidRPr="00020424">
        <w:rPr>
          <w:rtl/>
          <w:lang w:bidi="fa-IR"/>
        </w:rPr>
        <w:t xml:space="preserve">عَنْهُمْ </w:t>
      </w:r>
      <w:r w:rsidRPr="00005A81">
        <w:rPr>
          <w:rStyle w:val="libAlaemChar"/>
          <w:rtl/>
        </w:rPr>
        <w:t>عليهم‌السلام</w:t>
      </w:r>
      <w:r w:rsidRPr="00020424">
        <w:rPr>
          <w:rtl/>
          <w:lang w:bidi="fa-IR"/>
        </w:rPr>
        <w:t xml:space="preserve"> : دُعَاءُ الْعَشْرِ الْأَوَاخِرِ ؛ تَقُولُ فِي اللَّيْلَةِ الْأُولى </w:t>
      </w:r>
      <w:r w:rsidRPr="00A91B96">
        <w:rPr>
          <w:rStyle w:val="libFootnotenumChar"/>
          <w:rtl/>
        </w:rPr>
        <w:t>(6)</w:t>
      </w:r>
      <w:r w:rsidRPr="00020424">
        <w:rPr>
          <w:rtl/>
          <w:lang w:bidi="fa-IR"/>
        </w:rPr>
        <w:t xml:space="preserve"> : « يَا مُولِجَ اللَّيْلِ فِي النَّهَارِ ، وَمُولِجَ </w:t>
      </w:r>
      <w:r w:rsidRPr="00A91B96">
        <w:rPr>
          <w:rStyle w:val="libFootnotenumChar"/>
          <w:rtl/>
        </w:rPr>
        <w:t>(7)</w:t>
      </w:r>
      <w:r w:rsidRPr="00020424">
        <w:rPr>
          <w:rtl/>
          <w:lang w:bidi="fa-IR"/>
        </w:rPr>
        <w:t xml:space="preserve"> النَّهَارِ فِي اللَّيْلِ ، وَمُخْرِجَ الْحَيِّ مِنَ الْمَيِّتِ ، وَمُخْرِجَ الْمَيِّتِ مِنَ الْحَيِّ ، يَا رَازِقَ مَنْ يَشَاءُ </w:t>
      </w:r>
      <w:r w:rsidRPr="00A91B96">
        <w:rPr>
          <w:rStyle w:val="libFootnotenumChar"/>
          <w:rtl/>
        </w:rPr>
        <w:t>(8)</w:t>
      </w:r>
      <w:r w:rsidRPr="00020424">
        <w:rPr>
          <w:rtl/>
          <w:lang w:bidi="fa-IR"/>
        </w:rPr>
        <w:t xml:space="preserve"> بِغَيْرِ حِسَابٍ ، يَا اللهُ يَا رَحْمَانُ ، يَا اللهُ يَا رَحِيمُ ، يَا اللهُ يَا اللهُ يَا اللهُ ، لَكَ الْأَسْمَاءُ الْحُسْنى ، وَالْأَمْثَالُ الْعُلْيَا ، وَالْكِبْرِيَاءُ وَالْآلَاءُ ، أَسْأَلُكَ أَنْ تُصَلِّيَ عَلى مُحَمَّدٍ ، وَعَلى </w:t>
      </w:r>
      <w:r w:rsidRPr="00A91B96">
        <w:rPr>
          <w:rStyle w:val="libFootnotenumChar"/>
          <w:rtl/>
        </w:rPr>
        <w:t>(9)</w:t>
      </w:r>
      <w:r w:rsidRPr="00020424">
        <w:rPr>
          <w:rtl/>
          <w:lang w:bidi="fa-IR"/>
        </w:rPr>
        <w:t xml:space="preserve"> أَهْلِ بَيْتِهِ </w:t>
      </w:r>
      <w:r w:rsidRPr="00A91B96">
        <w:rPr>
          <w:rStyle w:val="libFootnotenumChar"/>
          <w:rtl/>
        </w:rPr>
        <w:t>(10)</w:t>
      </w:r>
      <w:r w:rsidRPr="00020424">
        <w:rPr>
          <w:rtl/>
          <w:lang w:bidi="fa-IR"/>
        </w:rPr>
        <w:t xml:space="preserve"> ، وَأَنْ تَجْعَلَ اسْمِي فِي هذِهِ اللَّيْلَةِ فِي السُّعَدَاءِ ، وَرُوحِي مَعَ الشُّهَدَاءِ ، وَإِحْسَانِي فِي عِلِّيِّينَ ، وَإِسَاءَتِي مَغْفُورَةً ، وَأَنْ تَهَبَ‌</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ظ ، ى ، بح ، بخ ، بر ، بس ، بف ، جن » </w:t>
      </w:r>
      <w:r w:rsidR="00992664" w:rsidRPr="00515444">
        <w:rPr>
          <w:rStyle w:val="libFootnoteBoldChar"/>
          <w:rtl/>
        </w:rPr>
        <w:t>والوافي</w:t>
      </w:r>
      <w:r w:rsidR="00992664" w:rsidRPr="00020424">
        <w:rPr>
          <w:rtl/>
        </w:rPr>
        <w:t>. وفي « بث » : « من كلّ</w:t>
      </w:r>
      <w:r w:rsidR="00992664">
        <w:rPr>
          <w:rtl/>
        </w:rPr>
        <w:t xml:space="preserve"> ».</w:t>
      </w:r>
      <w:r w:rsidR="00992664" w:rsidRPr="00020424">
        <w:rPr>
          <w:rtl/>
        </w:rPr>
        <w:t xml:space="preserve"> وفي المطبوع : « في كلّ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 من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 « تبعة أو ذنب » بدل « ذنب أو تبعه</w:t>
      </w:r>
      <w:r w:rsidR="00992664">
        <w:rPr>
          <w:rtl/>
        </w:rPr>
        <w:t xml:space="preserve"> ».</w:t>
      </w:r>
      <w:r w:rsidR="00992664" w:rsidRPr="00020424">
        <w:rPr>
          <w:rtl/>
        </w:rPr>
        <w:t xml:space="preserve"> والتبعة وزان كلمة : الشي‌ء الذي لك فيه بغية ، وطلب شِبْهُ ظلامة ونحوها. راجع : </w:t>
      </w:r>
      <w:r w:rsidR="00992664" w:rsidRPr="00A722B1">
        <w:rPr>
          <w:rStyle w:val="libFootnoteBoldChar"/>
          <w:rtl/>
        </w:rPr>
        <w:t>المصباح المنير</w:t>
      </w:r>
      <w:r w:rsidR="00992664" w:rsidRPr="00020424">
        <w:rPr>
          <w:rtl/>
        </w:rPr>
        <w:t xml:space="preserve"> ، ص 72 ؛ </w:t>
      </w:r>
      <w:r w:rsidR="00992664" w:rsidRPr="00A722B1">
        <w:rPr>
          <w:rStyle w:val="libFootnoteBoldChar"/>
          <w:rtl/>
        </w:rPr>
        <w:t>القاموس المحيط</w:t>
      </w:r>
      <w:r w:rsidR="00992664" w:rsidRPr="00020424">
        <w:rPr>
          <w:rtl/>
        </w:rPr>
        <w:t xml:space="preserve"> ، ج 2 ، ص 949 ( تبع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161 ، صدر ح 2032 ، وفيه : « في نوادر محمّد بن أبي عمير أنّ الصادق </w:t>
      </w:r>
      <w:r w:rsidR="00992664" w:rsidRPr="00D64ADA">
        <w:rPr>
          <w:rStyle w:val="libFootnoteAlaemChar"/>
          <w:rtl/>
        </w:rPr>
        <w:t>عليه‌السلام</w:t>
      </w:r>
      <w:r w:rsidR="00992664" w:rsidRPr="00020424">
        <w:rPr>
          <w:rtl/>
        </w:rPr>
        <w:t xml:space="preserve"> قال : تقول في العشر الأواخر</w:t>
      </w:r>
      <w:r w:rsidR="00992664">
        <w:rPr>
          <w:rtl/>
        </w:rPr>
        <w:t xml:space="preserve"> ..</w:t>
      </w:r>
      <w:r w:rsidR="00992664" w:rsidRPr="00020424">
        <w:rPr>
          <w:rtl/>
        </w:rPr>
        <w:t xml:space="preserve">. » </w:t>
      </w:r>
      <w:r w:rsidR="00D8620F">
        <w:rPr>
          <w:rFonts w:hint="cs"/>
          <w:rtl/>
        </w:rPr>
        <w:t>.</w:t>
      </w:r>
      <w:r w:rsidR="00992664" w:rsidRPr="0012008A">
        <w:rPr>
          <w:rStyle w:val="libFootnoteBoldChar"/>
          <w:rtl/>
        </w:rPr>
        <w:t>الوافي</w:t>
      </w:r>
      <w:r w:rsidR="00992664" w:rsidRPr="00020424">
        <w:rPr>
          <w:rtl/>
        </w:rPr>
        <w:t xml:space="preserve"> ، ج 11 ، ص 471 ، ح 11154.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 بخ ، بر ، بف ، جر » وحاشية « بث » </w:t>
      </w:r>
      <w:r w:rsidR="00992664" w:rsidRPr="00515444">
        <w:rPr>
          <w:rStyle w:val="libFootnoteBoldChar"/>
          <w:rtl/>
        </w:rPr>
        <w:t>والتهذيب</w:t>
      </w:r>
      <w:r w:rsidR="00992664" w:rsidRPr="00020424">
        <w:rPr>
          <w:rtl/>
        </w:rPr>
        <w:t>. وفي « ظ ، ى ، بث ، بح ، بس ، جن » والمطبوع : « الحسين</w:t>
      </w:r>
      <w:r w:rsidR="00992664">
        <w:rPr>
          <w:rtl/>
        </w:rPr>
        <w:t xml:space="preserve"> ».</w:t>
      </w:r>
      <w:r w:rsidR="00992664" w:rsidRPr="00020424">
        <w:rPr>
          <w:rtl/>
        </w:rPr>
        <w:t xml:space="preserve"> وقد تكرّرت رواية الكليني عن أحمد بن محمّد ، أو أحمد بن محمّد العاصمي ، أو أحمد بن محمّد الكوفي عن عليّ بن الحسن بن فضّال بعناوينه المختلفة في الأسناد. راجع ؛ </w:t>
      </w:r>
      <w:r w:rsidR="00992664" w:rsidRPr="00DE76B9">
        <w:rPr>
          <w:rStyle w:val="libFootnoteBoldChar"/>
          <w:rtl/>
        </w:rPr>
        <w:t>معجم رجال الحديث</w:t>
      </w:r>
      <w:r w:rsidR="00992664" w:rsidRPr="00020424">
        <w:rPr>
          <w:rtl/>
        </w:rPr>
        <w:t xml:space="preserve"> ، ج 2 ، ص 535</w:t>
      </w:r>
      <w:r w:rsidR="00992664">
        <w:rPr>
          <w:rtl/>
        </w:rPr>
        <w:t xml:space="preserve"> </w:t>
      </w:r>
      <w:r w:rsidR="009B673F">
        <w:rPr>
          <w:rtl/>
        </w:rPr>
        <w:t>-</w:t>
      </w:r>
      <w:r w:rsidR="00992664">
        <w:rPr>
          <w:rtl/>
        </w:rPr>
        <w:t xml:space="preserve"> </w:t>
      </w:r>
      <w:r w:rsidR="00992664" w:rsidRPr="00020424">
        <w:rPr>
          <w:rtl/>
        </w:rPr>
        <w:t>536 ؛ وص 707</w:t>
      </w:r>
      <w:r w:rsidR="00992664">
        <w:rPr>
          <w:rtl/>
        </w:rPr>
        <w:t xml:space="preserve"> </w:t>
      </w:r>
      <w:r w:rsidR="009B673F">
        <w:rPr>
          <w:rtl/>
        </w:rPr>
        <w:t>-</w:t>
      </w:r>
      <w:r w:rsidR="00992664">
        <w:rPr>
          <w:rtl/>
        </w:rPr>
        <w:t xml:space="preserve"> </w:t>
      </w:r>
      <w:r w:rsidR="00992664" w:rsidRPr="00020424">
        <w:rPr>
          <w:rtl/>
        </w:rPr>
        <w:t>708. وأمّا رواية أحمد بن محمّد هذا ، عن عليّ بن الحسين ، أو رواية عليّ بن الحسين عن محمّد بن عيسى ، فلم تثبت.</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دعاء الليلة الا</w:t>
      </w:r>
      <w:r w:rsidR="00B64B31">
        <w:rPr>
          <w:rFonts w:hint="cs"/>
          <w:rtl/>
        </w:rPr>
        <w:t>ُ</w:t>
      </w:r>
      <w:r w:rsidR="00992664" w:rsidRPr="00020424">
        <w:rPr>
          <w:rtl/>
        </w:rPr>
        <w:t>ولي</w:t>
      </w:r>
      <w:r w:rsidR="00992664">
        <w:rPr>
          <w:rtl/>
        </w:rPr>
        <w:t xml:space="preserve"> ».</w:t>
      </w:r>
    </w:p>
    <w:tbl>
      <w:tblPr>
        <w:tblStyle w:val="TableGrid"/>
        <w:bidiVisual/>
        <w:tblW w:w="0" w:type="auto"/>
        <w:tblLook w:val="04A0" w:firstRow="1" w:lastRow="0" w:firstColumn="1" w:lastColumn="0" w:noHBand="0" w:noVBand="1"/>
      </w:tblPr>
      <w:tblGrid>
        <w:gridCol w:w="3891"/>
        <w:gridCol w:w="4121"/>
      </w:tblGrid>
      <w:tr w:rsidR="00B64B31" w:rsidTr="00B64B31">
        <w:tc>
          <w:tcPr>
            <w:tcW w:w="3891" w:type="dxa"/>
          </w:tcPr>
          <w:p w:rsidR="00B64B31" w:rsidRDefault="00B64B31" w:rsidP="00992664">
            <w:pPr>
              <w:pStyle w:val="libFootnote0"/>
              <w:rPr>
                <w:rtl/>
                <w:lang w:bidi="fa-IR"/>
              </w:rPr>
            </w:pPr>
            <w:r>
              <w:rPr>
                <w:rtl/>
              </w:rPr>
              <w:t xml:space="preserve">(7). </w:t>
            </w:r>
            <w:r w:rsidRPr="00020424">
              <w:rPr>
                <w:rtl/>
              </w:rPr>
              <w:t>في « ى ، بس » : « ويا مولج</w:t>
            </w:r>
            <w:r>
              <w:rPr>
                <w:rtl/>
              </w:rPr>
              <w:t xml:space="preserve"> ».</w:t>
            </w:r>
          </w:p>
        </w:tc>
        <w:tc>
          <w:tcPr>
            <w:tcW w:w="4121" w:type="dxa"/>
          </w:tcPr>
          <w:p w:rsidR="00B64B31" w:rsidRDefault="00B64B31" w:rsidP="00992664">
            <w:pPr>
              <w:pStyle w:val="libFootnote0"/>
              <w:rPr>
                <w:rtl/>
                <w:lang w:bidi="fa-IR"/>
              </w:rPr>
            </w:pPr>
            <w:r>
              <w:rPr>
                <w:rtl/>
              </w:rPr>
              <w:t xml:space="preserve">(8). </w:t>
            </w:r>
            <w:r w:rsidRPr="00020424">
              <w:rPr>
                <w:rtl/>
              </w:rPr>
              <w:t>في « بخ ، بر » : « تشاء</w:t>
            </w:r>
            <w:r>
              <w:rPr>
                <w:rtl/>
              </w:rPr>
              <w:t xml:space="preserve"> ».</w:t>
            </w:r>
          </w:p>
        </w:tc>
      </w:tr>
      <w:tr w:rsidR="00B64B31" w:rsidTr="00B64B31">
        <w:tc>
          <w:tcPr>
            <w:tcW w:w="3891" w:type="dxa"/>
          </w:tcPr>
          <w:p w:rsidR="00B64B31" w:rsidRDefault="00B64B31" w:rsidP="00992664">
            <w:pPr>
              <w:pStyle w:val="libFootnote0"/>
              <w:rPr>
                <w:rtl/>
                <w:lang w:bidi="fa-IR"/>
              </w:rPr>
            </w:pPr>
            <w:r>
              <w:rPr>
                <w:rtl/>
              </w:rPr>
              <w:t xml:space="preserve">(9). </w:t>
            </w:r>
            <w:r w:rsidRPr="00020424">
              <w:rPr>
                <w:rtl/>
              </w:rPr>
              <w:t xml:space="preserve">في « بس » </w:t>
            </w:r>
            <w:r w:rsidRPr="00515444">
              <w:rPr>
                <w:rStyle w:val="libFootnoteBoldChar"/>
                <w:rtl/>
              </w:rPr>
              <w:t>والوافي</w:t>
            </w:r>
            <w:r w:rsidRPr="00020424">
              <w:rPr>
                <w:rtl/>
              </w:rPr>
              <w:t xml:space="preserve"> </w:t>
            </w:r>
            <w:r w:rsidRPr="00FD6221">
              <w:rPr>
                <w:rStyle w:val="libFootnoteBoldChar"/>
                <w:rtl/>
              </w:rPr>
              <w:t>والفقيه</w:t>
            </w:r>
            <w:r w:rsidRPr="00020424">
              <w:rPr>
                <w:rtl/>
              </w:rPr>
              <w:t xml:space="preserve"> :</w:t>
            </w:r>
            <w:r>
              <w:rPr>
                <w:rtl/>
              </w:rPr>
              <w:t xml:space="preserve"> - </w:t>
            </w:r>
            <w:r w:rsidRPr="00020424">
              <w:rPr>
                <w:rtl/>
              </w:rPr>
              <w:t>« على</w:t>
            </w:r>
            <w:r>
              <w:rPr>
                <w:rtl/>
              </w:rPr>
              <w:t xml:space="preserve"> ».</w:t>
            </w:r>
          </w:p>
        </w:tc>
        <w:tc>
          <w:tcPr>
            <w:tcW w:w="4121" w:type="dxa"/>
          </w:tcPr>
          <w:p w:rsidR="00B64B31" w:rsidRDefault="00B64B31" w:rsidP="00B64B31">
            <w:pPr>
              <w:pStyle w:val="libFootnote0"/>
              <w:rPr>
                <w:rtl/>
                <w:lang w:bidi="fa-IR"/>
              </w:rPr>
            </w:pPr>
            <w:r>
              <w:rPr>
                <w:rtl/>
              </w:rPr>
              <w:t>(10).في«بس</w:t>
            </w:r>
            <w:r w:rsidRPr="00020424">
              <w:rPr>
                <w:rtl/>
              </w:rPr>
              <w:t>»</w:t>
            </w:r>
            <w:r>
              <w:rPr>
                <w:rtl/>
              </w:rPr>
              <w:t>وحاشية«بر»:«آل محمّد»بدل«</w:t>
            </w:r>
            <w:r w:rsidRPr="00020424">
              <w:rPr>
                <w:rtl/>
              </w:rPr>
              <w:t>أهل بيته</w:t>
            </w:r>
            <w:r>
              <w:rPr>
                <w:rtl/>
              </w:rPr>
              <w:t>».</w:t>
            </w:r>
          </w:p>
        </w:tc>
      </w:tr>
    </w:tbl>
    <w:p w:rsidR="00795177" w:rsidRDefault="00795177" w:rsidP="00795177">
      <w:pPr>
        <w:pStyle w:val="libNormal"/>
        <w:rPr>
          <w:rtl/>
          <w:lang w:bidi="fa-IR"/>
        </w:rPr>
      </w:pPr>
      <w:r>
        <w:rPr>
          <w:rtl/>
          <w:lang w:bidi="fa-IR"/>
        </w:rPr>
        <w:br w:type="page"/>
      </w:r>
    </w:p>
    <w:p w:rsidR="00992664" w:rsidRPr="00020424" w:rsidRDefault="00992664" w:rsidP="00B035EC">
      <w:pPr>
        <w:pStyle w:val="libNormal0"/>
        <w:rPr>
          <w:rtl/>
          <w:lang w:bidi="fa-IR"/>
        </w:rPr>
      </w:pPr>
      <w:r w:rsidRPr="00020424">
        <w:rPr>
          <w:rtl/>
          <w:lang w:bidi="fa-IR"/>
        </w:rPr>
        <w:t xml:space="preserve">لِي يَقِيناً تُبَاشِرُ بِهِ قَلْبِي ، وَإِيمَاناً يَذْهَبُ بِالشَّكِّ </w:t>
      </w:r>
      <w:r w:rsidRPr="00A91B96">
        <w:rPr>
          <w:rStyle w:val="libFootnotenumChar"/>
          <w:rtl/>
        </w:rPr>
        <w:t>(1)</w:t>
      </w:r>
      <w:r w:rsidRPr="00020424">
        <w:rPr>
          <w:rtl/>
          <w:lang w:bidi="fa-IR"/>
        </w:rPr>
        <w:t xml:space="preserve"> عَنِّي ، وَتُرْضِيَنِي بِمَا قَسَمْتَ لِي ، وَ</w:t>
      </w:r>
      <w:r w:rsidRPr="00246805">
        <w:rPr>
          <w:rtl/>
        </w:rPr>
        <w:t>آتِنا فِي الدُّنْيا حَسَنَةً ، وَفِي الْآخِرَةِ حَسَنَةً ، وَقِنا عَذابَ</w:t>
      </w:r>
      <w:r w:rsidRPr="00020424">
        <w:rPr>
          <w:rtl/>
          <w:lang w:bidi="fa-IR"/>
        </w:rPr>
        <w:t xml:space="preserve"> </w:t>
      </w:r>
      <w:r w:rsidRPr="00A91B96">
        <w:rPr>
          <w:rStyle w:val="libFootnotenumChar"/>
          <w:rtl/>
        </w:rPr>
        <w:t>(2)</w:t>
      </w:r>
      <w:r w:rsidRPr="00020424">
        <w:rPr>
          <w:rtl/>
          <w:lang w:bidi="fa-IR"/>
        </w:rPr>
        <w:t xml:space="preserve"> الْحَرِيقِ </w:t>
      </w:r>
      <w:r w:rsidRPr="00A91B96">
        <w:rPr>
          <w:rStyle w:val="libFootnotenumChar"/>
          <w:rtl/>
        </w:rPr>
        <w:t>(3)</w:t>
      </w:r>
      <w:r w:rsidRPr="00020424">
        <w:rPr>
          <w:rtl/>
          <w:lang w:bidi="fa-IR"/>
        </w:rPr>
        <w:t xml:space="preserve"> ، وَارْزُقْنَا </w:t>
      </w:r>
      <w:r w:rsidRPr="00A91B96">
        <w:rPr>
          <w:rStyle w:val="libFootnotenumChar"/>
          <w:rtl/>
        </w:rPr>
        <w:t>(4)</w:t>
      </w:r>
      <w:r w:rsidRPr="00020424">
        <w:rPr>
          <w:rtl/>
          <w:lang w:bidi="fa-IR"/>
        </w:rPr>
        <w:t xml:space="preserve"> فِيهَا ذِكْرَكَ وَشُكْرَكَ وَالرَّغْبَةَ إِلَيْكَ وَالْإِنَابَةَ </w:t>
      </w:r>
      <w:r w:rsidRPr="00A91B96">
        <w:rPr>
          <w:rStyle w:val="libFootnotenumChar"/>
          <w:rtl/>
        </w:rPr>
        <w:t>(5)</w:t>
      </w:r>
      <w:r w:rsidRPr="00020424">
        <w:rPr>
          <w:rtl/>
          <w:lang w:bidi="fa-IR"/>
        </w:rPr>
        <w:t xml:space="preserve"> وَالتَّوْفِيقَ لِمَا وَفَّقْتَ لَهُ مُحَمَّداً وَآلَ مُحَمَّدٍ عَلَيْهِمُ السَّلَامُ</w:t>
      </w:r>
      <w:r>
        <w:rPr>
          <w:rtl/>
          <w:lang w:bidi="fa-IR"/>
        </w:rPr>
        <w:t xml:space="preserve"> ».</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(6)</w:t>
      </w:r>
      <w:r w:rsidRPr="00020424">
        <w:rPr>
          <w:rtl/>
          <w:lang w:bidi="fa-IR"/>
        </w:rPr>
        <w:t xml:space="preserve"> فِي </w:t>
      </w:r>
      <w:r w:rsidRPr="00A91B96">
        <w:rPr>
          <w:rStyle w:val="libFootnotenumChar"/>
          <w:rtl/>
        </w:rPr>
        <w:t>(7)</w:t>
      </w:r>
      <w:r w:rsidRPr="00020424">
        <w:rPr>
          <w:rtl/>
          <w:lang w:bidi="fa-IR"/>
        </w:rPr>
        <w:t xml:space="preserve"> اللَّيْلَةِ الثَّانِيَةِ : « يَا سَالِخَ النَّهَارِ مِنَ اللَّيْلِ ، فَإِذَا نَحْنُ مُظْلِمُونَ ، وَمُجْرِيَ الشَّمْسِ لِمُسْتَقَرِّهَا </w:t>
      </w:r>
      <w:r w:rsidRPr="00A91B96">
        <w:rPr>
          <w:rStyle w:val="libFootnotenumChar"/>
          <w:rtl/>
        </w:rPr>
        <w:t>(8)</w:t>
      </w:r>
      <w:r w:rsidRPr="00020424">
        <w:rPr>
          <w:rtl/>
          <w:lang w:bidi="fa-IR"/>
        </w:rPr>
        <w:t xml:space="preserve"> بِتَقْدِيرِكَ ، يَا عَزِيزُ يَا عَلِيمُ ، وَمُقَدِّرَ الْقَمَرِ مَنَازِلَ حَتّى عَادَ كَالْعُرْجُونِ </w:t>
      </w:r>
      <w:r w:rsidRPr="00A91B96">
        <w:rPr>
          <w:rStyle w:val="libFootnotenumChar"/>
          <w:rtl/>
        </w:rPr>
        <w:t>(9)</w:t>
      </w:r>
      <w:r w:rsidRPr="00020424">
        <w:rPr>
          <w:rtl/>
          <w:lang w:bidi="fa-IR"/>
        </w:rPr>
        <w:t xml:space="preserve"> الْقَدِيمِ ، يَا نُورَ كُلِّ نُورٍ ، وَمُنْتَهى كُلِّ رَغْبَةٍ ، وَوَلِيَّ كُلِّ نِعْمَةٍ ، يَا اللهُ يَا رَحْمَانُ ، يَا اللهُ يَا قُدُّوسُ </w:t>
      </w:r>
      <w:r w:rsidRPr="00A91B96">
        <w:rPr>
          <w:rStyle w:val="libFootnotenumChar"/>
          <w:rtl/>
        </w:rPr>
        <w:t>(10)</w:t>
      </w:r>
      <w:r w:rsidRPr="00020424">
        <w:rPr>
          <w:rtl/>
          <w:lang w:bidi="fa-IR"/>
        </w:rPr>
        <w:t xml:space="preserve"> ، يَا أَحَدُ </w:t>
      </w:r>
      <w:r w:rsidRPr="00A91B96">
        <w:rPr>
          <w:rStyle w:val="libFootnotenumChar"/>
          <w:rtl/>
        </w:rPr>
        <w:t>(11)</w:t>
      </w:r>
      <w:r w:rsidRPr="00020424">
        <w:rPr>
          <w:rtl/>
          <w:lang w:bidi="fa-IR"/>
        </w:rPr>
        <w:t xml:space="preserve"> يَا وَاحِدُ يَا فَرْدُ </w:t>
      </w:r>
      <w:r w:rsidRPr="00A91B96">
        <w:rPr>
          <w:rStyle w:val="libFootnotenumChar"/>
          <w:rtl/>
        </w:rPr>
        <w:t>(12)</w:t>
      </w:r>
      <w:r w:rsidRPr="00020424">
        <w:rPr>
          <w:rtl/>
          <w:lang w:bidi="fa-IR"/>
        </w:rPr>
        <w:t xml:space="preserve"> ، يَا اللهُ يَا اللهُ يَا اللهُ </w:t>
      </w:r>
      <w:r w:rsidRPr="00A91B96">
        <w:rPr>
          <w:rStyle w:val="libFootnotenumChar"/>
          <w:rtl/>
        </w:rPr>
        <w:t>(13)</w:t>
      </w:r>
      <w:r w:rsidRPr="00020424">
        <w:rPr>
          <w:rtl/>
          <w:lang w:bidi="fa-IR"/>
        </w:rPr>
        <w:t xml:space="preserve"> ، لَكَ الْأَسْمَاءُ الْحُسْنى وَالْأَمْثَالُ الْعُلْيَا </w:t>
      </w:r>
      <w:r w:rsidRPr="00A91B96">
        <w:rPr>
          <w:rStyle w:val="libFootnotenumChar"/>
          <w:rtl/>
        </w:rPr>
        <w:t>(14)</w:t>
      </w:r>
      <w:r>
        <w:rPr>
          <w:rtl/>
          <w:lang w:bidi="fa-IR"/>
        </w:rPr>
        <w:t xml:space="preserve"> ».</w:t>
      </w:r>
    </w:p>
    <w:p w:rsidR="00992664" w:rsidRPr="00020424" w:rsidRDefault="00992664" w:rsidP="00992664">
      <w:pPr>
        <w:pStyle w:val="libNormal"/>
        <w:rPr>
          <w:rtl/>
          <w:lang w:bidi="fa-IR"/>
        </w:rPr>
      </w:pPr>
      <w:r w:rsidRPr="00020424">
        <w:rPr>
          <w:rtl/>
          <w:lang w:bidi="fa-IR"/>
        </w:rPr>
        <w:t xml:space="preserve">ثُمَّ تَعُودُ إِلَى الدُّعَاءِ الْأَوَّلِ إِلى </w:t>
      </w:r>
      <w:r w:rsidRPr="00A91B96">
        <w:rPr>
          <w:rStyle w:val="libFootnotenumChar"/>
          <w:rtl/>
        </w:rPr>
        <w:t>(15)</w:t>
      </w:r>
      <w:r w:rsidRPr="00020424">
        <w:rPr>
          <w:rtl/>
          <w:lang w:bidi="fa-IR"/>
        </w:rPr>
        <w:t xml:space="preserve"> قَوْلِهِ : « أَسْأَلُكَ أَنْ تُصَلِّيَ عَلى مُحَمَّدٍ وَأَهْلِ بَيْتِهِ </w:t>
      </w:r>
      <w:r w:rsidRPr="00A91B96">
        <w:rPr>
          <w:rStyle w:val="libFootnotenumChar"/>
          <w:rtl/>
        </w:rPr>
        <w:t>(16)</w:t>
      </w:r>
      <w:r w:rsidRPr="00020424">
        <w:rPr>
          <w:rtl/>
          <w:lang w:bidi="fa-IR"/>
        </w:rPr>
        <w:t xml:space="preserve"> »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F666E" w:rsidTr="005F666E">
        <w:tc>
          <w:tcPr>
            <w:tcW w:w="4006" w:type="dxa"/>
          </w:tcPr>
          <w:p w:rsidR="005F666E" w:rsidRDefault="005F666E" w:rsidP="00992664">
            <w:pPr>
              <w:pStyle w:val="libFootnote0"/>
              <w:rPr>
                <w:rtl/>
              </w:rPr>
            </w:pPr>
            <w:r>
              <w:rPr>
                <w:rtl/>
              </w:rPr>
              <w:t xml:space="preserve">(1). </w:t>
            </w:r>
            <w:r w:rsidRPr="00020424">
              <w:rPr>
                <w:rtl/>
              </w:rPr>
              <w:t xml:space="preserve">في « بث ، بخ ، بر » </w:t>
            </w:r>
            <w:r w:rsidRPr="00515444">
              <w:rPr>
                <w:rStyle w:val="libFootnoteBoldChar"/>
                <w:rtl/>
              </w:rPr>
              <w:t>والتهذيب</w:t>
            </w:r>
            <w:r w:rsidRPr="00020424">
              <w:rPr>
                <w:rtl/>
              </w:rPr>
              <w:t xml:space="preserve"> : « الشكّ</w:t>
            </w:r>
            <w:r>
              <w:rPr>
                <w:rtl/>
              </w:rPr>
              <w:t xml:space="preserve"> ».</w:t>
            </w:r>
          </w:p>
        </w:tc>
        <w:tc>
          <w:tcPr>
            <w:tcW w:w="4006" w:type="dxa"/>
          </w:tcPr>
          <w:p w:rsidR="005F666E" w:rsidRDefault="005F666E" w:rsidP="00992664">
            <w:pPr>
              <w:pStyle w:val="libFootnote0"/>
              <w:rPr>
                <w:rtl/>
              </w:rPr>
            </w:pPr>
            <w:r>
              <w:rPr>
                <w:rtl/>
              </w:rPr>
              <w:t xml:space="preserve">(2). </w:t>
            </w:r>
            <w:r w:rsidRPr="00020424">
              <w:rPr>
                <w:rtl/>
              </w:rPr>
              <w:t xml:space="preserve">في « بث » </w:t>
            </w:r>
            <w:r w:rsidRPr="00515444">
              <w:rPr>
                <w:rStyle w:val="libFootnoteBoldChar"/>
                <w:rtl/>
              </w:rPr>
              <w:t>والتهذيب</w:t>
            </w:r>
            <w:r w:rsidRPr="00020424">
              <w:rPr>
                <w:rtl/>
              </w:rPr>
              <w:t xml:space="preserve"> : + « النار</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بس ، جن » </w:t>
      </w:r>
      <w:r w:rsidR="00992664" w:rsidRPr="00FD6221">
        <w:rPr>
          <w:rStyle w:val="libFootnoteBoldChar"/>
          <w:rtl/>
        </w:rPr>
        <w:t>والفقيه</w:t>
      </w:r>
      <w:r w:rsidR="00992664" w:rsidRPr="00020424">
        <w:rPr>
          <w:rtl/>
        </w:rPr>
        <w:t xml:space="preserve"> : « النار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بر ، بف » </w:t>
      </w:r>
      <w:r w:rsidR="00992664" w:rsidRPr="0007059D">
        <w:rPr>
          <w:rtl/>
        </w:rPr>
        <w:t>والوافي والفقيه والتهذيب</w:t>
      </w:r>
      <w:r w:rsidR="00992664" w:rsidRPr="00020424">
        <w:rPr>
          <w:rtl/>
        </w:rPr>
        <w:t xml:space="preserve"> : « وارزقني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بر » وحاشية « بث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 والتوبة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بخ » : « ويقول</w:t>
      </w:r>
      <w:r w:rsidR="00992664">
        <w:rPr>
          <w:rtl/>
        </w:rPr>
        <w:t xml:space="preserve"> ».</w:t>
      </w:r>
      <w:r w:rsidR="00992664" w:rsidRPr="00020424">
        <w:rPr>
          <w:rtl/>
        </w:rPr>
        <w:t xml:space="preserve"> وفي « بف » :</w:t>
      </w:r>
      <w:r w:rsidR="00992664">
        <w:rPr>
          <w:rtl/>
        </w:rPr>
        <w:t xml:space="preserve"> </w:t>
      </w:r>
      <w:r w:rsidR="009B673F">
        <w:rPr>
          <w:rtl/>
        </w:rPr>
        <w:t>-</w:t>
      </w:r>
      <w:r w:rsidR="00992664">
        <w:rPr>
          <w:rtl/>
        </w:rPr>
        <w:t xml:space="preserve"> </w:t>
      </w:r>
      <w:r w:rsidR="00992664" w:rsidRPr="00020424">
        <w:rPr>
          <w:rtl/>
        </w:rPr>
        <w:t>« وتقول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7059D" w:rsidTr="0007059D">
        <w:tc>
          <w:tcPr>
            <w:tcW w:w="4006" w:type="dxa"/>
          </w:tcPr>
          <w:p w:rsidR="0007059D" w:rsidRDefault="0007059D" w:rsidP="00992664">
            <w:pPr>
              <w:pStyle w:val="libFootnote0"/>
              <w:rPr>
                <w:rtl/>
              </w:rPr>
            </w:pPr>
            <w:r>
              <w:rPr>
                <w:rtl/>
              </w:rPr>
              <w:t xml:space="preserve">(7). </w:t>
            </w:r>
            <w:r w:rsidRPr="00020424">
              <w:rPr>
                <w:rtl/>
              </w:rPr>
              <w:t>في « بف » : + « دعاء</w:t>
            </w:r>
            <w:r>
              <w:rPr>
                <w:rtl/>
              </w:rPr>
              <w:t xml:space="preserve"> ».</w:t>
            </w:r>
          </w:p>
        </w:tc>
        <w:tc>
          <w:tcPr>
            <w:tcW w:w="4006" w:type="dxa"/>
          </w:tcPr>
          <w:p w:rsidR="0007059D" w:rsidRDefault="0007059D"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لمستقرّ لها</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قال الخليل : « العُرْجون : أصل العِذْق</w:t>
      </w:r>
      <w:r w:rsidR="00992664">
        <w:rPr>
          <w:rtl/>
        </w:rPr>
        <w:t xml:space="preserve"> </w:t>
      </w:r>
      <w:r w:rsidR="009B673F">
        <w:rPr>
          <w:rtl/>
        </w:rPr>
        <w:t>-</w:t>
      </w:r>
      <w:r w:rsidR="00992664">
        <w:rPr>
          <w:rtl/>
        </w:rPr>
        <w:t xml:space="preserve"> </w:t>
      </w:r>
      <w:r w:rsidR="00992664" w:rsidRPr="00020424">
        <w:rPr>
          <w:rtl/>
        </w:rPr>
        <w:t>وهو كلّ غصْن له شعب</w:t>
      </w:r>
      <w:r w:rsidR="00992664">
        <w:rPr>
          <w:rtl/>
        </w:rPr>
        <w:t xml:space="preserve"> </w:t>
      </w:r>
      <w:r w:rsidR="009B673F">
        <w:rPr>
          <w:rtl/>
        </w:rPr>
        <w:t>-</w:t>
      </w:r>
      <w:r w:rsidR="00992664">
        <w:rPr>
          <w:rtl/>
        </w:rPr>
        <w:t xml:space="preserve"> </w:t>
      </w:r>
      <w:r w:rsidR="00992664" w:rsidRPr="00020424">
        <w:rPr>
          <w:rtl/>
        </w:rPr>
        <w:t>وهو أصفر عريض يشبه الهلال إذا انمحق</w:t>
      </w:r>
      <w:r w:rsidR="00992664">
        <w:rPr>
          <w:rtl/>
        </w:rPr>
        <w:t xml:space="preserve"> ».</w:t>
      </w:r>
      <w:r w:rsidR="00992664" w:rsidRPr="00020424">
        <w:rPr>
          <w:rtl/>
        </w:rPr>
        <w:t xml:space="preserve"> وقال ابن الأثير : « العُرجون هو العود الأصفر الذي فيه شما ريخ العِذْق</w:t>
      </w:r>
      <w:r w:rsidR="00992664">
        <w:rPr>
          <w:rtl/>
        </w:rPr>
        <w:t xml:space="preserve"> ».</w:t>
      </w:r>
      <w:r w:rsidR="00992664" w:rsidRPr="00020424">
        <w:rPr>
          <w:rtl/>
        </w:rPr>
        <w:t xml:space="preserve"> وكلّ غصن من أغصان العذق شمراخ وهو الذي فيه البُسْر. راجع : </w:t>
      </w:r>
      <w:r w:rsidR="00992664" w:rsidRPr="00DE76B9">
        <w:rPr>
          <w:rStyle w:val="libFootnoteBoldChar"/>
          <w:rtl/>
        </w:rPr>
        <w:t>ترتيب كتاب العين</w:t>
      </w:r>
      <w:r w:rsidR="00992664" w:rsidRPr="00020424">
        <w:rPr>
          <w:rtl/>
        </w:rPr>
        <w:t xml:space="preserve"> ، ج 2 ، ص 1167 ؛ </w:t>
      </w:r>
      <w:r w:rsidR="00992664" w:rsidRPr="0012008A">
        <w:rPr>
          <w:rStyle w:val="libFootnoteBoldChar"/>
          <w:rtl/>
        </w:rPr>
        <w:t>النهاية</w:t>
      </w:r>
      <w:r w:rsidR="00992664" w:rsidRPr="00020424">
        <w:rPr>
          <w:rtl/>
        </w:rPr>
        <w:t xml:space="preserve"> ، ج 3 ، ص 203 ( عرج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 + « يا ماجد</w:t>
      </w:r>
      <w:r w:rsidR="00992664">
        <w:rPr>
          <w:rtl/>
        </w:rPr>
        <w:t xml:space="preserve"> ».</w:t>
      </w:r>
      <w:r w:rsidR="00992664" w:rsidRPr="00020424">
        <w:rPr>
          <w:rtl/>
        </w:rPr>
        <w:t xml:space="preserve"> وفي « بف » : + « يا ألله ، يا ماجد</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 يا ألله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90F39" w:rsidTr="00890F39">
        <w:tc>
          <w:tcPr>
            <w:tcW w:w="4006" w:type="dxa"/>
          </w:tcPr>
          <w:p w:rsidR="00890F39" w:rsidRDefault="00890F39" w:rsidP="00992664">
            <w:pPr>
              <w:pStyle w:val="libFootnote0"/>
              <w:rPr>
                <w:rtl/>
              </w:rPr>
            </w:pPr>
            <w:r>
              <w:rPr>
                <w:rtl/>
              </w:rPr>
              <w:t xml:space="preserve">(11). </w:t>
            </w:r>
            <w:r w:rsidRPr="00020424">
              <w:rPr>
                <w:rtl/>
              </w:rPr>
              <w:t>في « بر ، بف » :</w:t>
            </w:r>
            <w:r>
              <w:rPr>
                <w:rtl/>
              </w:rPr>
              <w:t xml:space="preserve"> - </w:t>
            </w:r>
            <w:r w:rsidRPr="00020424">
              <w:rPr>
                <w:rtl/>
              </w:rPr>
              <w:t>« يا أحد</w:t>
            </w:r>
            <w:r>
              <w:rPr>
                <w:rtl/>
              </w:rPr>
              <w:t xml:space="preserve"> ».</w:t>
            </w:r>
          </w:p>
        </w:tc>
        <w:tc>
          <w:tcPr>
            <w:tcW w:w="4006" w:type="dxa"/>
          </w:tcPr>
          <w:p w:rsidR="00890F39" w:rsidRDefault="00890F39" w:rsidP="00992664">
            <w:pPr>
              <w:pStyle w:val="libFootnote0"/>
              <w:rPr>
                <w:rtl/>
              </w:rPr>
            </w:pPr>
            <w:r>
              <w:rPr>
                <w:rtl/>
              </w:rPr>
              <w:t xml:space="preserve">(12). </w:t>
            </w:r>
            <w:r w:rsidRPr="00020424">
              <w:rPr>
                <w:rtl/>
              </w:rPr>
              <w:t xml:space="preserve">في </w:t>
            </w:r>
            <w:r w:rsidRPr="0012008A">
              <w:rPr>
                <w:rStyle w:val="libFootnoteBoldChar"/>
                <w:rtl/>
              </w:rPr>
              <w:t>الفقيه</w:t>
            </w:r>
            <w:r w:rsidRPr="00020424">
              <w:rPr>
                <w:rtl/>
              </w:rPr>
              <w:t xml:space="preserve"> : + « يا صمد</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بح ، جن » :</w:t>
      </w:r>
      <w:r w:rsidR="00992664">
        <w:rPr>
          <w:rtl/>
        </w:rPr>
        <w:t xml:space="preserve"> </w:t>
      </w:r>
      <w:r w:rsidR="009B673F">
        <w:rPr>
          <w:rtl/>
        </w:rPr>
        <w:t>-</w:t>
      </w:r>
      <w:r w:rsidR="00992664">
        <w:rPr>
          <w:rtl/>
        </w:rPr>
        <w:t xml:space="preserve"> </w:t>
      </w:r>
      <w:r w:rsidR="00992664" w:rsidRPr="00020424">
        <w:rPr>
          <w:rtl/>
        </w:rPr>
        <w:t>« يا ألله</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بر » </w:t>
      </w:r>
      <w:r w:rsidR="00992664" w:rsidRPr="00FD6221">
        <w:rPr>
          <w:rStyle w:val="libFootnoteBoldChar"/>
          <w:rtl/>
        </w:rPr>
        <w:t>والفقيه</w:t>
      </w:r>
      <w:r w:rsidR="00992664" w:rsidRPr="00020424">
        <w:rPr>
          <w:rtl/>
        </w:rPr>
        <w:t xml:space="preserve"> : + « والكبرياء والآلاء</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 والكبرياء</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بر » : « من</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بث ، بخ ، بر ، بف » </w:t>
      </w:r>
      <w:r w:rsidR="00992664" w:rsidRPr="00515444">
        <w:rPr>
          <w:rStyle w:val="libFootnoteBoldChar"/>
          <w:rtl/>
        </w:rPr>
        <w:t>والتهذيب</w:t>
      </w:r>
      <w:r w:rsidR="00992664" w:rsidRPr="00020424">
        <w:rPr>
          <w:rtl/>
        </w:rPr>
        <w:t xml:space="preserve"> : « وآل محمّد » بدل « وأهل بيته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وآل محمّد وأن تجعل اسمي في هذه الليلة في السعداء » بدل « أهل بيته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06717A">
      <w:pPr>
        <w:pStyle w:val="libNormal0"/>
        <w:rPr>
          <w:rtl/>
          <w:lang w:bidi="fa-IR"/>
        </w:rPr>
      </w:pPr>
      <w:r w:rsidRPr="00020424">
        <w:rPr>
          <w:rtl/>
          <w:lang w:bidi="fa-IR"/>
        </w:rPr>
        <w:t>إِلى آخِرِ الدُّعَاءِ.</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(1)</w:t>
      </w:r>
      <w:r w:rsidRPr="00020424">
        <w:rPr>
          <w:rtl/>
          <w:lang w:bidi="fa-IR"/>
        </w:rPr>
        <w:t xml:space="preserve"> فِي اللَّيْلَةِ الثَّالِثَةِ </w:t>
      </w:r>
      <w:r w:rsidRPr="00A91B96">
        <w:rPr>
          <w:rStyle w:val="libFootnotenumChar"/>
          <w:rtl/>
        </w:rPr>
        <w:t>(2)</w:t>
      </w:r>
      <w:r w:rsidRPr="00020424">
        <w:rPr>
          <w:rtl/>
          <w:lang w:bidi="fa-IR"/>
        </w:rPr>
        <w:t xml:space="preserve"> : « يَا رَبَّ لَيْلَةِ الْقَدْرِ وَجَاعِلَهَا خَيْراً مِنْ أَلْفِ شَهْرٍ ، وَرَبَّ اللَّيْلِ وَالنَّهَارِ ، وَالْجِبَالِ وَالْبِحَارِ ، وَالظُّلَمِ وَالْأَنْوَارِ ، وَالْأَرْضِ وَالسَّمَاءِ ، يَا بَارِئُ يَا مُصَوِّرُ ، يَا حَنَّانُ يَا مَنَّانُ ، يَا اللهُ يَا رَحْمَانُ ، يَا اللهُ يَا قَيُّومُ ، يَا اللهُ يَا بَدِيعُ </w:t>
      </w:r>
      <w:r w:rsidRPr="00A91B96">
        <w:rPr>
          <w:rStyle w:val="libFootnotenumChar"/>
          <w:rtl/>
        </w:rPr>
        <w:t>(3)</w:t>
      </w:r>
      <w:r w:rsidRPr="00020424">
        <w:rPr>
          <w:rtl/>
          <w:lang w:bidi="fa-IR"/>
        </w:rPr>
        <w:t xml:space="preserve"> ، يَا اللهُ يَا اللهُ يَا اللهُ ، لَكَ الْأَسْمَاءُ الْحُسْنى ، وَالْأَمْثَالُ الْعُلْيَا ، وَالْكِبْرِيَاءُ وَالْآلَاءُ </w:t>
      </w:r>
      <w:r w:rsidRPr="00A91B96">
        <w:rPr>
          <w:rStyle w:val="libFootnotenumChar"/>
          <w:rtl/>
        </w:rPr>
        <w:t>(4)</w:t>
      </w:r>
      <w:r w:rsidRPr="00020424">
        <w:rPr>
          <w:rtl/>
          <w:lang w:bidi="fa-IR"/>
        </w:rPr>
        <w:t xml:space="preserve"> ، أَسْأَلُكَ أَنْ تُصَلِّيَ عَلى مُحَمَّدٍ وَآلِ مُحَمَّدٍ </w:t>
      </w:r>
      <w:r w:rsidRPr="00A91B96">
        <w:rPr>
          <w:rStyle w:val="libFootnotenumChar"/>
          <w:rtl/>
        </w:rPr>
        <w:t>(5)</w:t>
      </w:r>
      <w:r w:rsidRPr="00020424">
        <w:rPr>
          <w:rtl/>
          <w:lang w:bidi="fa-IR"/>
        </w:rPr>
        <w:t xml:space="preserve"> ، وَأَنْ تَجْعَلَ اسْمِي فِي هذِهِ اللَّيْلَةِ فِي السُّعَدَاءِ ، وَرُوحِي مَعَ الشُّهَدَاءِ ، وَإِحْسَانِي فِي عِلِّيِّينَ ، وَإِسَاءَتِي مَغْفُورَةً ، وَأَنْ تَهَبَ لِي يَقِيناً تُبَاشِرُ بِهِ قَلْبِي ، وَإِيمَاناً يُذْهِبُ الشَّكَّ </w:t>
      </w:r>
      <w:r w:rsidRPr="00A91B96">
        <w:rPr>
          <w:rStyle w:val="libFootnotenumChar"/>
          <w:rtl/>
        </w:rPr>
        <w:t>(6)</w:t>
      </w:r>
      <w:r w:rsidRPr="00020424">
        <w:rPr>
          <w:rtl/>
          <w:lang w:bidi="fa-IR"/>
        </w:rPr>
        <w:t xml:space="preserve"> عَنِّي ، وَتُرْضِيَنِي بِمَا قَسَمْتَ لِي ، </w:t>
      </w:r>
      <w:r w:rsidRPr="000837B8">
        <w:rPr>
          <w:rtl/>
        </w:rPr>
        <w:t>وَآتِنا فِي الدُّنْيا حَسَنَةً ، وَفِي الْآخِرَةِ حَسَنَةً ، وَقِنا عَذابَ</w:t>
      </w:r>
      <w:r w:rsidRPr="00020424">
        <w:rPr>
          <w:rtl/>
          <w:lang w:bidi="fa-IR"/>
        </w:rPr>
        <w:t xml:space="preserve"> </w:t>
      </w:r>
      <w:r w:rsidRPr="00A91B96">
        <w:rPr>
          <w:rStyle w:val="libFootnotenumChar"/>
          <w:rtl/>
        </w:rPr>
        <w:t>(7)</w:t>
      </w:r>
      <w:r w:rsidRPr="00020424">
        <w:rPr>
          <w:rtl/>
          <w:lang w:bidi="fa-IR"/>
        </w:rPr>
        <w:t xml:space="preserve"> الْحَرِيقِ ، وَارْزُقْنِي </w:t>
      </w:r>
      <w:r w:rsidRPr="00A91B96">
        <w:rPr>
          <w:rStyle w:val="libFootnotenumChar"/>
          <w:rtl/>
        </w:rPr>
        <w:t>(8)</w:t>
      </w:r>
      <w:r w:rsidRPr="00020424">
        <w:rPr>
          <w:rtl/>
          <w:lang w:bidi="fa-IR"/>
        </w:rPr>
        <w:t xml:space="preserve"> فِيهَا ذِكْرَكَ وَشُكْرَكَ </w:t>
      </w:r>
      <w:r w:rsidRPr="00A91B96">
        <w:rPr>
          <w:rStyle w:val="libFootnotenumChar"/>
          <w:rtl/>
        </w:rPr>
        <w:t>(9)</w:t>
      </w:r>
      <w:r w:rsidRPr="00020424">
        <w:rPr>
          <w:rtl/>
          <w:lang w:bidi="fa-IR"/>
        </w:rPr>
        <w:t xml:space="preserve"> ، وَالرَّغْبَةَ إِلَيْكَ ، وَالْإنَابَةَ وَالتَّوْبَةَ وَالتَّوْفِيقَ لِمَا وَفَّقْتَ لَهُ مُحَمَّداً وَآلَ مُحَمَّدٍ </w:t>
      </w:r>
      <w:r w:rsidRPr="00005A81">
        <w:rPr>
          <w:rStyle w:val="libAlaemChar"/>
          <w:rtl/>
        </w:rPr>
        <w:t>عليهم‌السلام</w:t>
      </w:r>
      <w:r w:rsidRPr="00020424">
        <w:rPr>
          <w:rtl/>
          <w:lang w:bidi="fa-IR"/>
        </w:rPr>
        <w:t xml:space="preserve"> </w:t>
      </w:r>
      <w:r w:rsidRPr="00A91B96">
        <w:rPr>
          <w:rStyle w:val="libFootnotenumChar"/>
          <w:rtl/>
        </w:rPr>
        <w:t>(10)</w:t>
      </w:r>
      <w:r>
        <w:rPr>
          <w:rtl/>
          <w:lang w:bidi="fa-IR"/>
        </w:rPr>
        <w:t xml:space="preserve"> ».</w:t>
      </w:r>
      <w:r w:rsidRPr="00A91B96">
        <w:rPr>
          <w:rStyle w:val="libFootnotenumChar"/>
          <w:rtl/>
        </w:rPr>
        <w:t>(11)</w:t>
      </w:r>
    </w:p>
    <w:p w:rsidR="00992664" w:rsidRPr="00020424" w:rsidRDefault="00992664" w:rsidP="00992664">
      <w:pPr>
        <w:pStyle w:val="libNormal"/>
        <w:rPr>
          <w:rtl/>
          <w:lang w:bidi="fa-IR"/>
        </w:rPr>
      </w:pPr>
      <w:r w:rsidRPr="000837B8">
        <w:rPr>
          <w:rtl/>
        </w:rPr>
        <w:t>6633</w:t>
      </w:r>
      <w:r w:rsidRPr="001155DE">
        <w:rPr>
          <w:rStyle w:val="libBold2Char"/>
          <w:rtl/>
        </w:rPr>
        <w:t xml:space="preserve"> / 3.</w:t>
      </w:r>
      <w:r w:rsidRPr="00020424">
        <w:rPr>
          <w:rtl/>
          <w:lang w:bidi="fa-IR"/>
        </w:rPr>
        <w:t xml:space="preserve"> ابْنُ أَبِي عُمَيْرٍ </w:t>
      </w:r>
      <w:r w:rsidRPr="00A91B96">
        <w:rPr>
          <w:rStyle w:val="libFootnotenumChar"/>
          <w:rtl/>
        </w:rPr>
        <w:t>(12)</w:t>
      </w:r>
      <w:r w:rsidRPr="00020424">
        <w:rPr>
          <w:rtl/>
          <w:lang w:bidi="fa-IR"/>
        </w:rPr>
        <w:t xml:space="preserve"> ، عَنْ مُحَمَّدِ بْنِ عَطِيَّةَ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 « ويقول</w:t>
      </w:r>
      <w:r w:rsidR="00992664">
        <w:rPr>
          <w:rtl/>
        </w:rPr>
        <w:t xml:space="preserve"> ».</w:t>
      </w:r>
      <w:r w:rsidR="00992664" w:rsidRPr="00020424">
        <w:rPr>
          <w:rtl/>
        </w:rPr>
        <w:t xml:space="preserve"> وفي « بر ، بف »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وتقول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6717A" w:rsidTr="0006717A">
        <w:tc>
          <w:tcPr>
            <w:tcW w:w="4006" w:type="dxa"/>
          </w:tcPr>
          <w:p w:rsidR="0006717A" w:rsidRDefault="0006717A" w:rsidP="00992664">
            <w:pPr>
              <w:pStyle w:val="libFootnote0"/>
              <w:rPr>
                <w:rtl/>
              </w:rPr>
            </w:pPr>
            <w:r>
              <w:rPr>
                <w:rtl/>
              </w:rPr>
              <w:t xml:space="preserve">(2). </w:t>
            </w:r>
            <w:r w:rsidRPr="00020424">
              <w:rPr>
                <w:rtl/>
              </w:rPr>
              <w:t xml:space="preserve">في </w:t>
            </w:r>
            <w:r w:rsidRPr="0012008A">
              <w:rPr>
                <w:rStyle w:val="libFootnoteBoldChar"/>
                <w:rtl/>
              </w:rPr>
              <w:t>الفقيه</w:t>
            </w:r>
            <w:r w:rsidRPr="00020424">
              <w:rPr>
                <w:rtl/>
              </w:rPr>
              <w:t xml:space="preserve"> : + « وهي ليلة القدر</w:t>
            </w:r>
            <w:r>
              <w:rPr>
                <w:rtl/>
              </w:rPr>
              <w:t xml:space="preserve"> ».</w:t>
            </w:r>
          </w:p>
        </w:tc>
        <w:tc>
          <w:tcPr>
            <w:tcW w:w="4006" w:type="dxa"/>
          </w:tcPr>
          <w:p w:rsidR="0006717A" w:rsidRDefault="0006717A" w:rsidP="00992664">
            <w:pPr>
              <w:pStyle w:val="libFootnote0"/>
              <w:rPr>
                <w:rtl/>
              </w:rPr>
            </w:pPr>
            <w:r>
              <w:rPr>
                <w:rtl/>
              </w:rPr>
              <w:t xml:space="preserve">(3). </w:t>
            </w:r>
            <w:r w:rsidRPr="00020424">
              <w:rPr>
                <w:rtl/>
              </w:rPr>
              <w:t xml:space="preserve">في </w:t>
            </w:r>
            <w:r w:rsidRPr="0012008A">
              <w:rPr>
                <w:rStyle w:val="libFootnoteBoldChar"/>
                <w:rtl/>
              </w:rPr>
              <w:t>التهذيب</w:t>
            </w:r>
            <w:r w:rsidRPr="00020424">
              <w:rPr>
                <w:rtl/>
              </w:rPr>
              <w:t xml:space="preserve"> : + « السماوات والأرض</w:t>
            </w:r>
            <w:r>
              <w:rPr>
                <w:rtl/>
              </w:rPr>
              <w:t xml:space="preserve"> ».</w:t>
            </w:r>
          </w:p>
        </w:tc>
      </w:tr>
    </w:tbl>
    <w:p w:rsidR="00992664" w:rsidRPr="00020424" w:rsidRDefault="00795177" w:rsidP="0006717A">
      <w:pPr>
        <w:pStyle w:val="libFootnote0"/>
        <w:rPr>
          <w:rtl/>
          <w:lang w:bidi="fa-IR"/>
        </w:rPr>
      </w:pPr>
      <w:r>
        <w:rPr>
          <w:rtl/>
        </w:rPr>
        <w:t>(4).</w:t>
      </w:r>
      <w:r w:rsidR="0014403D">
        <w:rPr>
          <w:rtl/>
        </w:rPr>
        <w:t xml:space="preserve"> </w:t>
      </w:r>
      <w:r w:rsidR="00992664" w:rsidRPr="00020424">
        <w:rPr>
          <w:rtl/>
        </w:rPr>
        <w:t>في « بف ، جن » :</w:t>
      </w:r>
      <w:r w:rsidR="00992664">
        <w:rPr>
          <w:rtl/>
        </w:rPr>
        <w:t xml:space="preserve"> </w:t>
      </w:r>
      <w:r w:rsidR="009B673F">
        <w:rPr>
          <w:rtl/>
        </w:rPr>
        <w:t>-</w:t>
      </w:r>
      <w:r w:rsidR="00992664">
        <w:rPr>
          <w:rtl/>
        </w:rPr>
        <w:t xml:space="preserve"> </w:t>
      </w:r>
      <w:r w:rsidR="00992664" w:rsidRPr="00020424">
        <w:rPr>
          <w:rtl/>
        </w:rPr>
        <w:t>« والآلاء</w:t>
      </w:r>
      <w:r w:rsidR="00992664">
        <w:rPr>
          <w:rtl/>
        </w:rPr>
        <w:t xml:space="preserve"> ».</w:t>
      </w:r>
      <w:r w:rsidR="00992664" w:rsidRPr="00020424">
        <w:rPr>
          <w:rtl/>
        </w:rPr>
        <w:t xml:space="preserve"> وفي « بر » : + « ثمّ إلى الدعاء من قوله</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الآلاء والكبرياء » بدل « الكبرياء والآلاء</w:t>
      </w:r>
      <w:r w:rsidR="00992664">
        <w:rPr>
          <w:rtl/>
        </w:rPr>
        <w:t xml:space="preserve"> ».</w:t>
      </w:r>
      <w:r w:rsidR="0006717A">
        <w:rPr>
          <w:rFonts w:hint="cs"/>
          <w:rtl/>
        </w:rPr>
        <w:t xml:space="preserve">   </w:t>
      </w:r>
      <w:r w:rsidR="00523A60">
        <w:rPr>
          <w:rFonts w:hint="cs"/>
          <w:rtl/>
        </w:rPr>
        <w:t xml:space="preserve">                  </w:t>
      </w:r>
      <w:r>
        <w:rPr>
          <w:rtl/>
        </w:rPr>
        <w:t>(5).</w:t>
      </w:r>
      <w:r w:rsidR="0014403D">
        <w:rPr>
          <w:rtl/>
        </w:rPr>
        <w:t xml:space="preserve"> </w:t>
      </w:r>
      <w:r w:rsidR="00992664" w:rsidRPr="00020424">
        <w:rPr>
          <w:rtl/>
        </w:rPr>
        <w:t>في « بر » : + « إلى آخر الدعاء</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6717A" w:rsidTr="0006717A">
        <w:tc>
          <w:tcPr>
            <w:tcW w:w="4006" w:type="dxa"/>
          </w:tcPr>
          <w:p w:rsidR="0006717A" w:rsidRDefault="0006717A" w:rsidP="00992664">
            <w:pPr>
              <w:pStyle w:val="libFootnote0"/>
              <w:rPr>
                <w:rtl/>
              </w:rPr>
            </w:pPr>
            <w:r>
              <w:rPr>
                <w:rtl/>
              </w:rPr>
              <w:t xml:space="preserve">(6). </w:t>
            </w:r>
            <w:r w:rsidRPr="00020424">
              <w:rPr>
                <w:rtl/>
              </w:rPr>
              <w:t>في « بس » : « بالشكّ</w:t>
            </w:r>
            <w:r>
              <w:rPr>
                <w:rtl/>
              </w:rPr>
              <w:t xml:space="preserve"> ».</w:t>
            </w:r>
          </w:p>
        </w:tc>
        <w:tc>
          <w:tcPr>
            <w:tcW w:w="4006" w:type="dxa"/>
          </w:tcPr>
          <w:p w:rsidR="0006717A" w:rsidRDefault="0006717A"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 + « النار</w:t>
            </w:r>
            <w:r>
              <w:rPr>
                <w:rtl/>
              </w:rPr>
              <w:t xml:space="preserve"> ».</w:t>
            </w:r>
          </w:p>
        </w:tc>
      </w:tr>
      <w:tr w:rsidR="0006717A" w:rsidTr="0006717A">
        <w:tc>
          <w:tcPr>
            <w:tcW w:w="4006" w:type="dxa"/>
          </w:tcPr>
          <w:p w:rsidR="0006717A" w:rsidRDefault="0006717A" w:rsidP="00992664">
            <w:pPr>
              <w:pStyle w:val="libFootnote0"/>
              <w:rPr>
                <w:rtl/>
              </w:rPr>
            </w:pPr>
            <w:r>
              <w:rPr>
                <w:rtl/>
              </w:rPr>
              <w:t xml:space="preserve">(8). </w:t>
            </w:r>
            <w:r w:rsidRPr="00020424">
              <w:rPr>
                <w:rtl/>
              </w:rPr>
              <w:t>في « ظ ، بس » : « وارزقنا</w:t>
            </w:r>
            <w:r>
              <w:rPr>
                <w:rtl/>
              </w:rPr>
              <w:t xml:space="preserve"> ».</w:t>
            </w:r>
          </w:p>
        </w:tc>
        <w:tc>
          <w:tcPr>
            <w:tcW w:w="4006" w:type="dxa"/>
          </w:tcPr>
          <w:p w:rsidR="0006717A" w:rsidRDefault="0006717A" w:rsidP="00992664">
            <w:pPr>
              <w:pStyle w:val="libFootnote0"/>
              <w:rPr>
                <w:rtl/>
              </w:rPr>
            </w:pPr>
            <w:r>
              <w:rPr>
                <w:rtl/>
              </w:rPr>
              <w:t xml:space="preserve">(9). </w:t>
            </w:r>
            <w:r w:rsidRPr="00020424">
              <w:rPr>
                <w:rtl/>
              </w:rPr>
              <w:t>في « ظ » : « شكرك وذكرك</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وأن تجعل اسمي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 xml:space="preserve">وآل محمّد </w:t>
      </w:r>
      <w:r w:rsidR="00992664" w:rsidRPr="00D64ADA">
        <w:rPr>
          <w:rStyle w:val="libFootnoteAlaemChar"/>
          <w:rtl/>
        </w:rPr>
        <w:t>عليهم‌السلام</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تتمّة طويلة للحديث ، وهي تتمّة الحديث الرابع هنا.</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3 ، ص 101 ، ح 263 ، معلّقاً عن الكليني. </w:t>
      </w:r>
      <w:r w:rsidR="00992664" w:rsidRPr="0012008A">
        <w:rPr>
          <w:rStyle w:val="libFootnoteBoldChar"/>
          <w:rtl/>
        </w:rPr>
        <w:t>الفقيه</w:t>
      </w:r>
      <w:r w:rsidR="00992664" w:rsidRPr="00020424">
        <w:rPr>
          <w:rtl/>
        </w:rPr>
        <w:t xml:space="preserve"> ، ج 2 ، ص 161 ، ضمن ح 2032 ، وفيه : « في نوادر محمّد بن أبي عمير أنّ الصادق </w:t>
      </w:r>
      <w:r w:rsidR="00992664" w:rsidRPr="00D64ADA">
        <w:rPr>
          <w:rStyle w:val="libFootnoteAlaemChar"/>
          <w:rtl/>
        </w:rPr>
        <w:t>عليه‌السلام</w:t>
      </w:r>
      <w:r w:rsidR="00992664" w:rsidRPr="00020424">
        <w:rPr>
          <w:rtl/>
        </w:rPr>
        <w:t xml:space="preserve"> قال</w:t>
      </w:r>
      <w:r w:rsidR="00992664">
        <w:rPr>
          <w:rtl/>
        </w:rPr>
        <w:t xml:space="preserve"> ..</w:t>
      </w:r>
      <w:r w:rsidR="00992664" w:rsidRPr="00020424">
        <w:rPr>
          <w:rtl/>
        </w:rPr>
        <w:t xml:space="preserve">. » مع اختلاف يسير </w:t>
      </w:r>
      <w:r w:rsidR="0006717A">
        <w:rPr>
          <w:rFonts w:hint="cs"/>
          <w:rtl/>
        </w:rPr>
        <w:t>.</w:t>
      </w:r>
      <w:r w:rsidR="00992664" w:rsidRPr="0012008A">
        <w:rPr>
          <w:rStyle w:val="libFootnoteBoldChar"/>
          <w:rtl/>
        </w:rPr>
        <w:t>الوافي</w:t>
      </w:r>
      <w:r w:rsidR="00992664" w:rsidRPr="00020424">
        <w:rPr>
          <w:rtl/>
        </w:rPr>
        <w:t xml:space="preserve"> ، ج 11 ، ص 471 ، ح 11156.</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بر » : « محمّد بن أبي عمير</w:t>
      </w:r>
      <w:r w:rsidR="00992664">
        <w:rPr>
          <w:rtl/>
        </w:rPr>
        <w:t xml:space="preserve"> ».</w:t>
      </w:r>
    </w:p>
    <w:p w:rsidR="00992664" w:rsidRPr="00020424" w:rsidRDefault="00992664" w:rsidP="0006717A">
      <w:pPr>
        <w:pStyle w:val="libFootnote0"/>
        <w:rPr>
          <w:rtl/>
          <w:lang w:bidi="fa-IR"/>
        </w:rPr>
      </w:pPr>
      <w:r w:rsidRPr="00D82B22">
        <w:rPr>
          <w:rtl/>
        </w:rPr>
        <w:t>ثمّ إنّ الظاهر كون السند معلّقاً على سند الحديث الأوّل. ويروي عن ابن أبي عمير ، عليّ بن إبراهيم عن أبيه.</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الدُّعَاءِ فِي شَهْرِ رَمَضَانَ فِي كُلِّ لَيْلَةٍ تَقُولُ </w:t>
      </w:r>
      <w:r w:rsidRPr="00A91B96">
        <w:rPr>
          <w:rStyle w:val="libFootnotenumChar"/>
          <w:rtl/>
        </w:rPr>
        <w:t>(1)</w:t>
      </w:r>
      <w:r w:rsidRPr="00020424">
        <w:rPr>
          <w:rtl/>
          <w:lang w:bidi="fa-IR"/>
        </w:rPr>
        <w:t xml:space="preserve"> : « الل</w:t>
      </w:r>
      <w:r w:rsidR="00707556">
        <w:rPr>
          <w:rFonts w:hint="cs"/>
          <w:rtl/>
          <w:lang w:bidi="fa-IR"/>
        </w:rPr>
        <w:t>ّ</w:t>
      </w:r>
      <w:r w:rsidR="00707556">
        <w:rPr>
          <w:rtl/>
          <w:lang w:bidi="fa-IR"/>
        </w:rPr>
        <w:t>هُمَّ إِنِّي أَسْأَ</w:t>
      </w:r>
      <w:r w:rsidRPr="00020424">
        <w:rPr>
          <w:rtl/>
          <w:lang w:bidi="fa-IR"/>
        </w:rPr>
        <w:t xml:space="preserve">لُكَ فِيمَا تَقْضِي وَتُقَدِّرُ مِنَ الْأَمْرِ الْمَحْتُومِ فِي الْأَمْرِ الْحَكِيمِ مِنَ الْقَضَاءِ الَّذِي لَايُرَدُّ وَلَايُبَدَّلُ أَنْ تَكْتُبَنِي مِنْ حُجَّاجِ بَيْتِكَ الْحَرَامِ ، الْمَبْرُورِ حَجُّهُمْ </w:t>
      </w:r>
      <w:r w:rsidRPr="00A91B96">
        <w:rPr>
          <w:rStyle w:val="libFootnotenumChar"/>
          <w:rtl/>
        </w:rPr>
        <w:t>(2)</w:t>
      </w:r>
      <w:r w:rsidRPr="00020424">
        <w:rPr>
          <w:rtl/>
          <w:lang w:bidi="fa-IR"/>
        </w:rPr>
        <w:t xml:space="preserve"> ، الْمُكَفَّرِ </w:t>
      </w:r>
      <w:r w:rsidRPr="00A91B96">
        <w:rPr>
          <w:rStyle w:val="libFootnotenumChar"/>
          <w:rtl/>
        </w:rPr>
        <w:t>(3)</w:t>
      </w:r>
      <w:r w:rsidRPr="00020424">
        <w:rPr>
          <w:rtl/>
          <w:lang w:bidi="fa-IR"/>
        </w:rPr>
        <w:t xml:space="preserve"> عَنْهُمْ </w:t>
      </w:r>
      <w:r w:rsidRPr="00A91B96">
        <w:rPr>
          <w:rStyle w:val="libFootnotenumChar"/>
          <w:rtl/>
        </w:rPr>
        <w:t>(4)</w:t>
      </w:r>
      <w:r w:rsidRPr="00020424">
        <w:rPr>
          <w:rtl/>
          <w:lang w:bidi="fa-IR"/>
        </w:rPr>
        <w:t xml:space="preserve"> سَيِّئَاتُهُمْ ، الْمَغْفُورِ ذُنُوبُهُمْ ، الْمَشْكُورِ </w:t>
      </w:r>
      <w:r w:rsidRPr="00A91B96">
        <w:rPr>
          <w:rStyle w:val="libFootnotenumChar"/>
          <w:rtl/>
        </w:rPr>
        <w:t>(5)</w:t>
      </w:r>
      <w:r w:rsidRPr="00020424">
        <w:rPr>
          <w:rtl/>
          <w:lang w:bidi="fa-IR"/>
        </w:rPr>
        <w:t xml:space="preserve"> سَعْيُهُمْ </w:t>
      </w:r>
      <w:r w:rsidRPr="00A91B96">
        <w:rPr>
          <w:rStyle w:val="libFootnotenumChar"/>
          <w:rtl/>
        </w:rPr>
        <w:t>(6)</w:t>
      </w:r>
      <w:r w:rsidRPr="00020424">
        <w:rPr>
          <w:rtl/>
          <w:lang w:bidi="fa-IR"/>
        </w:rPr>
        <w:t xml:space="preserve"> ، وَأَنْ تَجْعَلَ </w:t>
      </w:r>
      <w:r w:rsidRPr="00A91B96">
        <w:rPr>
          <w:rStyle w:val="libFootnotenumChar"/>
          <w:rtl/>
        </w:rPr>
        <w:t>(7)</w:t>
      </w:r>
      <w:r w:rsidRPr="00020424">
        <w:rPr>
          <w:rtl/>
          <w:lang w:bidi="fa-IR"/>
        </w:rPr>
        <w:t xml:space="preserve"> فِيمَا تَقْضِي وَتُقَدِّرُ مِنَ الْأَمْرِ الْمَحْتُومِ فِي </w:t>
      </w:r>
      <w:r w:rsidRPr="00A91B96">
        <w:rPr>
          <w:rStyle w:val="libFootnotenumChar"/>
          <w:rtl/>
        </w:rPr>
        <w:t>(8)</w:t>
      </w:r>
      <w:r w:rsidRPr="00020424">
        <w:rPr>
          <w:rtl/>
          <w:lang w:bidi="fa-IR"/>
        </w:rPr>
        <w:t xml:space="preserve"> الْأَمْرِ الْحَكِيمِ فِي لَيْلَةِ الْقَدْرِ مِنَ </w:t>
      </w:r>
      <w:r w:rsidRPr="00A91B96">
        <w:rPr>
          <w:rStyle w:val="libFootnotenumChar"/>
          <w:rtl/>
        </w:rPr>
        <w:t>(9)</w:t>
      </w:r>
      <w:r w:rsidRPr="00020424">
        <w:rPr>
          <w:rtl/>
          <w:lang w:bidi="fa-IR"/>
        </w:rPr>
        <w:t xml:space="preserve"> الْقَضَاءِ الَّذِي لَايُرَدُّ وَلَايُبَدَّلُ أَنْ تُطِيلَ عُمُرِي ، وَأَنْ </w:t>
      </w:r>
      <w:r w:rsidRPr="00A91B96">
        <w:rPr>
          <w:rStyle w:val="libFootnotenumChar"/>
          <w:rtl/>
        </w:rPr>
        <w:t>(10)</w:t>
      </w:r>
      <w:r w:rsidR="00707556">
        <w:rPr>
          <w:rtl/>
          <w:lang w:bidi="fa-IR"/>
        </w:rPr>
        <w:t xml:space="preserve"> تُوَسِّعَ عَلَيَّ فِي رِزْقِي</w:t>
      </w:r>
      <w:r w:rsidRPr="00020424">
        <w:rPr>
          <w:rtl/>
          <w:lang w:bidi="fa-IR"/>
        </w:rPr>
        <w:t xml:space="preserve">، وَأَنْ تَجْعَلَنِي مِمَّنْ تَنْتَصِرُ بِهِ </w:t>
      </w:r>
      <w:r w:rsidRPr="00A91B96">
        <w:rPr>
          <w:rStyle w:val="libFootnotenumChar"/>
          <w:rtl/>
        </w:rPr>
        <w:t>(11)</w:t>
      </w:r>
      <w:r w:rsidRPr="00020424">
        <w:rPr>
          <w:rtl/>
          <w:lang w:bidi="fa-IR"/>
        </w:rPr>
        <w:t xml:space="preserve"> ، وَلَا تَسْتَبْدِلَ بِي غَيْرِي</w:t>
      </w:r>
      <w:r>
        <w:rPr>
          <w:rtl/>
          <w:lang w:bidi="fa-IR"/>
        </w:rPr>
        <w:t xml:space="preserve"> ».</w:t>
      </w:r>
      <w:r w:rsidRPr="00020424">
        <w:rPr>
          <w:rtl/>
          <w:lang w:bidi="fa-IR"/>
        </w:rPr>
        <w:t xml:space="preserve"> </w:t>
      </w:r>
      <w:r w:rsidRPr="00A91B96">
        <w:rPr>
          <w:rStyle w:val="libFootnotenumChar"/>
          <w:rtl/>
        </w:rPr>
        <w:t>(12)</w:t>
      </w:r>
      <w:r w:rsidRPr="00020424">
        <w:rPr>
          <w:rtl/>
          <w:lang w:bidi="fa-IR"/>
        </w:rPr>
        <w:t xml:space="preserve"> ‌</w:t>
      </w:r>
    </w:p>
    <w:p w:rsidR="00992664" w:rsidRPr="00020424" w:rsidRDefault="00992664" w:rsidP="00992664">
      <w:pPr>
        <w:pStyle w:val="libNormal"/>
        <w:rPr>
          <w:rtl/>
          <w:lang w:bidi="fa-IR"/>
        </w:rPr>
      </w:pPr>
      <w:r w:rsidRPr="000837B8">
        <w:rPr>
          <w:rtl/>
        </w:rPr>
        <w:t>6634</w:t>
      </w:r>
      <w:r w:rsidRPr="001155DE">
        <w:rPr>
          <w:rStyle w:val="libBold2Char"/>
          <w:rtl/>
        </w:rPr>
        <w:t xml:space="preserve"> / 4.</w:t>
      </w:r>
      <w:r w:rsidRPr="00020424">
        <w:rPr>
          <w:rtl/>
          <w:lang w:bidi="fa-IR"/>
        </w:rPr>
        <w:t xml:space="preserve"> مُحَمَّدُ بْنُ عِيسى </w:t>
      </w:r>
      <w:r w:rsidRPr="00A91B96">
        <w:rPr>
          <w:rStyle w:val="libFootnotenumChar"/>
          <w:rtl/>
        </w:rPr>
        <w:t>(13)</w:t>
      </w:r>
      <w:r w:rsidRPr="00020424">
        <w:rPr>
          <w:rtl/>
          <w:lang w:bidi="fa-IR"/>
        </w:rPr>
        <w:t xml:space="preserve"> بِإِسْنَادِهِ :</w:t>
      </w:r>
    </w:p>
    <w:p w:rsidR="00992664" w:rsidRPr="00020424" w:rsidRDefault="00992664" w:rsidP="00992664">
      <w:pPr>
        <w:pStyle w:val="libNormal"/>
        <w:rPr>
          <w:rtl/>
          <w:lang w:bidi="fa-IR"/>
        </w:rPr>
      </w:pPr>
      <w:r w:rsidRPr="00020424">
        <w:rPr>
          <w:rtl/>
          <w:lang w:bidi="fa-IR"/>
        </w:rPr>
        <w:t xml:space="preserve">عَنِ الصَّالِحِينَ </w:t>
      </w:r>
      <w:r w:rsidRPr="00A91B96">
        <w:rPr>
          <w:rStyle w:val="libFootnotenumChar"/>
          <w:rtl/>
        </w:rPr>
        <w:t>(14)</w:t>
      </w:r>
      <w:r w:rsidRPr="00020424">
        <w:rPr>
          <w:rtl/>
          <w:lang w:bidi="fa-IR"/>
        </w:rPr>
        <w:t xml:space="preserve"> </w:t>
      </w:r>
      <w:r w:rsidRPr="00005A81">
        <w:rPr>
          <w:rStyle w:val="libAlaemChar"/>
          <w:rtl/>
        </w:rPr>
        <w:t>عليهم‌السلام</w:t>
      </w:r>
      <w:r w:rsidRPr="00020424">
        <w:rPr>
          <w:rtl/>
          <w:lang w:bidi="fa-IR"/>
        </w:rPr>
        <w:t xml:space="preserve"> ، قَالَ : « تُكَرِّرُ </w:t>
      </w:r>
      <w:r w:rsidRPr="00A91B96">
        <w:rPr>
          <w:rStyle w:val="libFootnotenumChar"/>
          <w:rtl/>
        </w:rPr>
        <w:t>(15)</w:t>
      </w:r>
      <w:r w:rsidRPr="00020424">
        <w:rPr>
          <w:rtl/>
          <w:lang w:bidi="fa-IR"/>
        </w:rPr>
        <w:t xml:space="preserve"> فِي </w:t>
      </w:r>
      <w:r w:rsidRPr="00A91B96">
        <w:rPr>
          <w:rStyle w:val="libFootnotenumChar"/>
          <w:rtl/>
        </w:rPr>
        <w:t>(16)</w:t>
      </w:r>
      <w:r w:rsidRPr="00020424">
        <w:rPr>
          <w:rtl/>
          <w:lang w:bidi="fa-IR"/>
        </w:rPr>
        <w:t xml:space="preserve"> لَيْلَةِ ثَلَاثٍ وَعِشْرِينَ مِنْ شَهْرِ رَمَضَانَ هذَا الدُّعَاءَ سَاجِداً وَقَائِماً وَقَاعِداً وَعَلى كُلِّ حَالٍ ، وَفِي الشَّهْرِ كُلِّهِ ، وَكَيْفَ أَمْكَنَكَ ، وَمَتى حَضَرَكَ مِنْ دَهْرِكَ ، تَقُولُ بَعْدَ </w:t>
      </w:r>
      <w:r w:rsidRPr="00A91B96">
        <w:rPr>
          <w:rStyle w:val="libFootnotenumChar"/>
          <w:rtl/>
        </w:rPr>
        <w:t>(17)</w:t>
      </w:r>
      <w:r w:rsidRPr="00020424">
        <w:rPr>
          <w:rtl/>
          <w:lang w:bidi="fa-IR"/>
        </w:rPr>
        <w:t xml:space="preserve"> تَحْمِيدِ </w:t>
      </w:r>
      <w:r w:rsidRPr="00A91B96">
        <w:rPr>
          <w:rStyle w:val="libFootnotenumChar"/>
          <w:rtl/>
        </w:rPr>
        <w:t>(18)</w:t>
      </w:r>
      <w:r w:rsidRPr="00020424">
        <w:rPr>
          <w:rtl/>
          <w:lang w:bidi="fa-IR"/>
        </w:rPr>
        <w:t xml:space="preserve">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وَالصَّلَاةِ عَلَى‌</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07556" w:rsidTr="00707556">
        <w:tc>
          <w:tcPr>
            <w:tcW w:w="4006" w:type="dxa"/>
          </w:tcPr>
          <w:p w:rsidR="00707556" w:rsidRDefault="00707556" w:rsidP="00992664">
            <w:pPr>
              <w:pStyle w:val="libFootnote0"/>
              <w:rPr>
                <w:rtl/>
              </w:rPr>
            </w:pPr>
            <w:r>
              <w:rPr>
                <w:rtl/>
              </w:rPr>
              <w:t xml:space="preserve">(1). </w:t>
            </w:r>
            <w:r w:rsidRPr="00020424">
              <w:rPr>
                <w:rtl/>
              </w:rPr>
              <w:t>في « ظ ، ى » : « يقول</w:t>
            </w:r>
            <w:r>
              <w:rPr>
                <w:rtl/>
              </w:rPr>
              <w:t xml:space="preserve"> ».</w:t>
            </w:r>
          </w:p>
        </w:tc>
        <w:tc>
          <w:tcPr>
            <w:tcW w:w="4006" w:type="dxa"/>
          </w:tcPr>
          <w:p w:rsidR="00707556" w:rsidRDefault="00707556" w:rsidP="00992664">
            <w:pPr>
              <w:pStyle w:val="libFootnote0"/>
              <w:rPr>
                <w:rtl/>
              </w:rPr>
            </w:pPr>
            <w:r>
              <w:rPr>
                <w:rtl/>
              </w:rPr>
              <w:t xml:space="preserve">(2). </w:t>
            </w:r>
            <w:r w:rsidRPr="00020424">
              <w:rPr>
                <w:rtl/>
              </w:rPr>
              <w:t>في « بخ » : + « المشكور سعيهم</w:t>
            </w:r>
            <w:r>
              <w:rPr>
                <w:rtl/>
              </w:rPr>
              <w:t xml:space="preserve"> ».</w:t>
            </w:r>
          </w:p>
        </w:tc>
      </w:tr>
      <w:tr w:rsidR="00707556" w:rsidTr="00707556">
        <w:tc>
          <w:tcPr>
            <w:tcW w:w="4006" w:type="dxa"/>
          </w:tcPr>
          <w:p w:rsidR="00707556" w:rsidRDefault="00707556" w:rsidP="00992664">
            <w:pPr>
              <w:pStyle w:val="libFootnote0"/>
              <w:rPr>
                <w:rtl/>
              </w:rPr>
            </w:pPr>
            <w:r>
              <w:rPr>
                <w:rtl/>
              </w:rPr>
              <w:t xml:space="preserve">(3). </w:t>
            </w:r>
            <w:r w:rsidRPr="00020424">
              <w:rPr>
                <w:rtl/>
              </w:rPr>
              <w:t>في « ظ » : « والمكفّر</w:t>
            </w:r>
            <w:r>
              <w:rPr>
                <w:rtl/>
              </w:rPr>
              <w:t xml:space="preserve"> ».</w:t>
            </w:r>
          </w:p>
        </w:tc>
        <w:tc>
          <w:tcPr>
            <w:tcW w:w="4006" w:type="dxa"/>
          </w:tcPr>
          <w:p w:rsidR="00707556" w:rsidRDefault="00707556" w:rsidP="00992664">
            <w:pPr>
              <w:pStyle w:val="libFootnote0"/>
              <w:rPr>
                <w:rtl/>
              </w:rPr>
            </w:pPr>
            <w:r>
              <w:rPr>
                <w:rtl/>
              </w:rPr>
              <w:t>(4). في «ظ،بح،بخ،</w:t>
            </w:r>
            <w:r w:rsidRPr="00020424">
              <w:rPr>
                <w:rtl/>
              </w:rPr>
              <w:t>بر ، بف ، جن » :</w:t>
            </w:r>
            <w:r>
              <w:rPr>
                <w:rtl/>
              </w:rPr>
              <w:t xml:space="preserve"> - </w:t>
            </w:r>
            <w:r w:rsidRPr="00020424">
              <w:rPr>
                <w:rtl/>
              </w:rPr>
              <w:t>« عنهم</w:t>
            </w:r>
            <w:r>
              <w:rPr>
                <w:rtl/>
              </w:rPr>
              <w:t xml:space="preserve"> ».</w:t>
            </w:r>
          </w:p>
        </w:tc>
      </w:tr>
      <w:tr w:rsidR="00707556" w:rsidTr="00707556">
        <w:tc>
          <w:tcPr>
            <w:tcW w:w="4006" w:type="dxa"/>
          </w:tcPr>
          <w:p w:rsidR="00707556" w:rsidRDefault="00707556" w:rsidP="00992664">
            <w:pPr>
              <w:pStyle w:val="libFootnote0"/>
              <w:rPr>
                <w:rtl/>
              </w:rPr>
            </w:pPr>
            <w:r>
              <w:rPr>
                <w:rtl/>
              </w:rPr>
              <w:t xml:space="preserve">(5). </w:t>
            </w:r>
            <w:r w:rsidRPr="00020424">
              <w:rPr>
                <w:rtl/>
              </w:rPr>
              <w:t>في « ظ » : « والمشكور</w:t>
            </w:r>
            <w:r>
              <w:rPr>
                <w:rtl/>
              </w:rPr>
              <w:t xml:space="preserve"> ».</w:t>
            </w:r>
          </w:p>
        </w:tc>
        <w:tc>
          <w:tcPr>
            <w:tcW w:w="4006" w:type="dxa"/>
          </w:tcPr>
          <w:p w:rsidR="00707556" w:rsidRDefault="00707556" w:rsidP="00992664">
            <w:pPr>
              <w:pStyle w:val="libFootnote0"/>
              <w:rPr>
                <w:rtl/>
              </w:rPr>
            </w:pPr>
            <w:r>
              <w:rPr>
                <w:rtl/>
              </w:rPr>
              <w:t xml:space="preserve">(6). </w:t>
            </w:r>
            <w:r w:rsidRPr="00020424">
              <w:rPr>
                <w:rtl/>
              </w:rPr>
              <w:t>في « بخ » :</w:t>
            </w:r>
            <w:r>
              <w:rPr>
                <w:rtl/>
              </w:rPr>
              <w:t xml:space="preserve"> - </w:t>
            </w:r>
            <w:r w:rsidRPr="00020424">
              <w:rPr>
                <w:rtl/>
              </w:rPr>
              <w:t>« المشكور سعيهم</w:t>
            </w:r>
            <w:r>
              <w:rPr>
                <w:rtl/>
              </w:rPr>
              <w:t xml:space="preserve"> ».</w:t>
            </w:r>
          </w:p>
        </w:tc>
      </w:tr>
      <w:tr w:rsidR="00707556" w:rsidTr="00707556">
        <w:tc>
          <w:tcPr>
            <w:tcW w:w="4006" w:type="dxa"/>
          </w:tcPr>
          <w:p w:rsidR="00707556" w:rsidRDefault="00707556"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 « واجعل</w:t>
            </w:r>
            <w:r>
              <w:rPr>
                <w:rtl/>
              </w:rPr>
              <w:t xml:space="preserve"> ».</w:t>
            </w:r>
          </w:p>
        </w:tc>
        <w:tc>
          <w:tcPr>
            <w:tcW w:w="4006" w:type="dxa"/>
          </w:tcPr>
          <w:p w:rsidR="00707556" w:rsidRDefault="00707556" w:rsidP="00992664">
            <w:pPr>
              <w:pStyle w:val="libFootnote0"/>
              <w:rPr>
                <w:rtl/>
              </w:rPr>
            </w:pPr>
            <w:r>
              <w:rPr>
                <w:rtl/>
              </w:rPr>
              <w:t xml:space="preserve">(8). </w:t>
            </w:r>
            <w:r w:rsidRPr="00020424">
              <w:rPr>
                <w:rtl/>
              </w:rPr>
              <w:t>في « بح » : « من</w:t>
            </w:r>
            <w:r>
              <w:rPr>
                <w:rtl/>
              </w:rPr>
              <w:t xml:space="preserve"> ».</w:t>
            </w:r>
          </w:p>
        </w:tc>
      </w:tr>
      <w:tr w:rsidR="00707556" w:rsidTr="00707556">
        <w:tc>
          <w:tcPr>
            <w:tcW w:w="4006" w:type="dxa"/>
          </w:tcPr>
          <w:p w:rsidR="00707556" w:rsidRDefault="00707556" w:rsidP="00992664">
            <w:pPr>
              <w:pStyle w:val="libFootnote0"/>
              <w:rPr>
                <w:rtl/>
              </w:rPr>
            </w:pPr>
            <w:r>
              <w:rPr>
                <w:rtl/>
              </w:rPr>
              <w:t xml:space="preserve">(9). </w:t>
            </w:r>
            <w:r w:rsidRPr="00020424">
              <w:rPr>
                <w:rtl/>
              </w:rPr>
              <w:t>في « بر » : « في</w:t>
            </w:r>
            <w:r>
              <w:rPr>
                <w:rtl/>
              </w:rPr>
              <w:t xml:space="preserve"> ».</w:t>
            </w:r>
          </w:p>
        </w:tc>
        <w:tc>
          <w:tcPr>
            <w:tcW w:w="4006" w:type="dxa"/>
          </w:tcPr>
          <w:p w:rsidR="00707556" w:rsidRDefault="00707556" w:rsidP="00992664">
            <w:pPr>
              <w:pStyle w:val="libFootnote0"/>
              <w:rPr>
                <w:rtl/>
              </w:rPr>
            </w:pPr>
            <w:r>
              <w:rPr>
                <w:rtl/>
              </w:rPr>
              <w:t xml:space="preserve">(10). </w:t>
            </w:r>
            <w:r w:rsidRPr="00020424">
              <w:rPr>
                <w:rtl/>
              </w:rPr>
              <w:t>في « بح » :</w:t>
            </w:r>
            <w:r>
              <w:rPr>
                <w:rtl/>
              </w:rPr>
              <w:t xml:space="preserve"> - </w:t>
            </w:r>
            <w:r w:rsidRPr="00020424">
              <w:rPr>
                <w:rtl/>
              </w:rPr>
              <w:t>« أن</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وفي المطبوع : + « [ لدينك ]</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12008A">
        <w:rPr>
          <w:rStyle w:val="libFootnoteBoldChar"/>
          <w:rtl/>
        </w:rPr>
        <w:t>التهذيب</w:t>
      </w:r>
      <w:r w:rsidR="00992664" w:rsidRPr="00020424">
        <w:rPr>
          <w:rtl/>
        </w:rPr>
        <w:t xml:space="preserve"> ، ج 3 ، ص 102 ، ح 264 ، معلّقاً عن ابن أبي عمير. راجع : </w:t>
      </w:r>
      <w:r w:rsidR="00992664" w:rsidRPr="00DE76B9">
        <w:rPr>
          <w:rStyle w:val="libFootnoteBoldChar"/>
          <w:rtl/>
        </w:rPr>
        <w:t>الكافي</w:t>
      </w:r>
      <w:r w:rsidR="00992664" w:rsidRPr="00020424">
        <w:rPr>
          <w:rtl/>
        </w:rPr>
        <w:t xml:space="preserve"> ، كتاب الدعاء ، باب الدعاء للرزق ، ح 3371 ؛ وباب دعوات موجزات لجميع الحوائج للدنيا والآخرة ، ح 3464 ؛ وكتاب الصيام ، باب ما يقال في مستقبل شهر رمضان ، ح 6283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1 ، ص 336 ، ح 982 ؛ </w:t>
      </w:r>
      <w:r w:rsidR="00992664" w:rsidRPr="00515444">
        <w:rPr>
          <w:rStyle w:val="libFootnoteBoldChar"/>
          <w:rtl/>
        </w:rPr>
        <w:t>والتهذيب</w:t>
      </w:r>
      <w:r w:rsidR="00992664" w:rsidRPr="00020424">
        <w:rPr>
          <w:rtl/>
        </w:rPr>
        <w:t xml:space="preserve"> ، ج 3 ، ص 92 ، ح 252 </w:t>
      </w:r>
      <w:r w:rsidR="00931D7C">
        <w:rPr>
          <w:rFonts w:hint="cs"/>
          <w:rtl/>
        </w:rPr>
        <w:t>.</w:t>
      </w:r>
      <w:r w:rsidR="00992664" w:rsidRPr="0012008A">
        <w:rPr>
          <w:rStyle w:val="libFootnoteBoldChar"/>
          <w:rtl/>
        </w:rPr>
        <w:t>الوافي</w:t>
      </w:r>
      <w:r w:rsidR="00992664" w:rsidRPr="00020424">
        <w:rPr>
          <w:rtl/>
        </w:rPr>
        <w:t xml:space="preserve"> ، ج 11 ، ص 404 ، ح 11088.</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السند معلّق على سند الحديث الثاني. ويروي عن محمّد بن عيسى ، أحمد بن محمّد ، عن عليّ بن الحسن.</w:t>
      </w:r>
    </w:p>
    <w:tbl>
      <w:tblPr>
        <w:tblStyle w:val="TableGrid"/>
        <w:bidiVisual/>
        <w:tblW w:w="0" w:type="auto"/>
        <w:tblLook w:val="04A0" w:firstRow="1" w:lastRow="0" w:firstColumn="1" w:lastColumn="0" w:noHBand="0" w:noVBand="1"/>
      </w:tblPr>
      <w:tblGrid>
        <w:gridCol w:w="4006"/>
        <w:gridCol w:w="4006"/>
      </w:tblGrid>
      <w:tr w:rsidR="00931D7C" w:rsidTr="00931D7C">
        <w:tc>
          <w:tcPr>
            <w:tcW w:w="4006" w:type="dxa"/>
          </w:tcPr>
          <w:p w:rsidR="00931D7C" w:rsidRDefault="00931D7C" w:rsidP="00992664">
            <w:pPr>
              <w:pStyle w:val="libFootnote0"/>
              <w:rPr>
                <w:rtl/>
              </w:rPr>
            </w:pPr>
            <w:r>
              <w:rPr>
                <w:rtl/>
              </w:rPr>
              <w:t xml:space="preserve">(14). </w:t>
            </w:r>
            <w:r w:rsidRPr="00020424">
              <w:rPr>
                <w:rtl/>
              </w:rPr>
              <w:t xml:space="preserve">في </w:t>
            </w:r>
            <w:r w:rsidRPr="0012008A">
              <w:rPr>
                <w:rStyle w:val="libFootnoteBoldChar"/>
                <w:rtl/>
              </w:rPr>
              <w:t>الوافي</w:t>
            </w:r>
            <w:r w:rsidRPr="00020424">
              <w:rPr>
                <w:rtl/>
              </w:rPr>
              <w:t xml:space="preserve"> : « الصادقين</w:t>
            </w:r>
            <w:r>
              <w:rPr>
                <w:rtl/>
              </w:rPr>
              <w:t xml:space="preserve"> ».</w:t>
            </w:r>
          </w:p>
        </w:tc>
        <w:tc>
          <w:tcPr>
            <w:tcW w:w="4006" w:type="dxa"/>
          </w:tcPr>
          <w:p w:rsidR="00931D7C" w:rsidRDefault="00931D7C" w:rsidP="00992664">
            <w:pPr>
              <w:pStyle w:val="libFootnote0"/>
              <w:rPr>
                <w:rtl/>
              </w:rPr>
            </w:pPr>
            <w:r>
              <w:rPr>
                <w:rtl/>
              </w:rPr>
              <w:t xml:space="preserve">(15). </w:t>
            </w:r>
            <w:r w:rsidRPr="00020424">
              <w:rPr>
                <w:rtl/>
              </w:rPr>
              <w:t xml:space="preserve">في « بخ ، بر ، بف » </w:t>
            </w:r>
            <w:r w:rsidRPr="00515444">
              <w:rPr>
                <w:rStyle w:val="libFootnoteBoldChar"/>
                <w:rtl/>
              </w:rPr>
              <w:t>والوافي</w:t>
            </w:r>
            <w:r w:rsidRPr="00020424">
              <w:rPr>
                <w:rtl/>
              </w:rPr>
              <w:t xml:space="preserve"> : « وكرّر</w:t>
            </w:r>
            <w:r>
              <w:rPr>
                <w:rtl/>
              </w:rPr>
              <w:t xml:space="preserve"> ».</w:t>
            </w:r>
          </w:p>
        </w:tc>
      </w:tr>
      <w:tr w:rsidR="00931D7C" w:rsidTr="00931D7C">
        <w:tc>
          <w:tcPr>
            <w:tcW w:w="4006" w:type="dxa"/>
          </w:tcPr>
          <w:p w:rsidR="00931D7C" w:rsidRDefault="00931D7C" w:rsidP="00992664">
            <w:pPr>
              <w:pStyle w:val="libFootnote0"/>
              <w:rPr>
                <w:rtl/>
              </w:rPr>
            </w:pPr>
            <w:r>
              <w:rPr>
                <w:rtl/>
              </w:rPr>
              <w:t xml:space="preserve">(16). </w:t>
            </w:r>
            <w:r w:rsidRPr="00020424">
              <w:rPr>
                <w:rtl/>
              </w:rPr>
              <w:t>في « بف » : + « كلّ</w:t>
            </w:r>
            <w:r>
              <w:rPr>
                <w:rtl/>
              </w:rPr>
              <w:t xml:space="preserve"> ».</w:t>
            </w:r>
          </w:p>
        </w:tc>
        <w:tc>
          <w:tcPr>
            <w:tcW w:w="4006" w:type="dxa"/>
          </w:tcPr>
          <w:p w:rsidR="00931D7C" w:rsidRDefault="00931D7C" w:rsidP="00992664">
            <w:pPr>
              <w:pStyle w:val="libFootnote0"/>
              <w:rPr>
                <w:rtl/>
              </w:rPr>
            </w:pPr>
            <w:r>
              <w:rPr>
                <w:rtl/>
              </w:rPr>
              <w:t xml:space="preserve">(17). </w:t>
            </w:r>
            <w:r w:rsidRPr="00020424">
              <w:rPr>
                <w:rtl/>
              </w:rPr>
              <w:t>في حاشية « بخ ، بر » : « عند</w:t>
            </w:r>
            <w:r>
              <w:rPr>
                <w:rtl/>
              </w:rPr>
              <w:t xml:space="preserve"> ».</w:t>
            </w:r>
          </w:p>
        </w:tc>
      </w:tr>
    </w:tbl>
    <w:p w:rsidR="00992664" w:rsidRPr="00020424" w:rsidRDefault="00795177" w:rsidP="00992664">
      <w:pPr>
        <w:pStyle w:val="libFootnote0"/>
        <w:rPr>
          <w:rtl/>
          <w:lang w:bidi="fa-IR"/>
        </w:rPr>
      </w:pPr>
      <w:r>
        <w:rPr>
          <w:rtl/>
        </w:rPr>
        <w:t>(18).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تمجيد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1581A">
      <w:pPr>
        <w:rPr>
          <w:rtl/>
          <w:lang w:bidi="fa-IR"/>
        </w:rPr>
      </w:pPr>
      <w:r w:rsidRPr="00020424">
        <w:rPr>
          <w:rtl/>
          <w:lang w:bidi="fa-IR"/>
        </w:rPr>
        <w:t xml:space="preserve">النَّبِيِّ </w:t>
      </w:r>
      <w:r w:rsidR="0061581A" w:rsidRPr="00B42914">
        <w:rPr>
          <w:rStyle w:val="libAlaemChar"/>
          <w:rtl/>
        </w:rPr>
        <w:t>صلى‌الله‌عليه‌وآله‌</w:t>
      </w:r>
      <w:r w:rsidRPr="00020424">
        <w:rPr>
          <w:rtl/>
          <w:lang w:bidi="fa-IR"/>
        </w:rPr>
        <w:t>: الل</w:t>
      </w:r>
      <w:r w:rsidR="00410202">
        <w:rPr>
          <w:rFonts w:hint="cs"/>
          <w:rtl/>
          <w:lang w:bidi="fa-IR"/>
        </w:rPr>
        <w:t>ّ</w:t>
      </w:r>
      <w:r w:rsidRPr="00020424">
        <w:rPr>
          <w:rtl/>
          <w:lang w:bidi="fa-IR"/>
        </w:rPr>
        <w:t xml:space="preserve">هُمَّ كُنْ لِوَلِيِّكَ فُلَانِ بْنِ فُلَانٍ فِي هذِهِ السَّاعَةِ ، وَفِي كُلِّ سَاعَةٍ وَلِيّاً وَحَافِظاً وَنَاصِراً وَدَلِيلاً وَقَائِداً وَعَوْناً </w:t>
      </w:r>
      <w:r w:rsidRPr="00A91B96">
        <w:rPr>
          <w:rStyle w:val="libFootnotenumChar"/>
          <w:rtl/>
        </w:rPr>
        <w:t>(1)</w:t>
      </w:r>
      <w:r w:rsidRPr="00020424">
        <w:rPr>
          <w:rtl/>
          <w:lang w:bidi="fa-IR"/>
        </w:rPr>
        <w:t xml:space="preserve"> وَعَيْناً ، حَتّى تُسْكِنَهُ أَرْضَكَ طَوْعاً ، وَتُمَتِّعَهُ فِيهَا طَوِيلاً.</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(2)</w:t>
      </w:r>
      <w:r w:rsidRPr="00020424">
        <w:rPr>
          <w:rtl/>
          <w:lang w:bidi="fa-IR"/>
        </w:rPr>
        <w:t xml:space="preserve"> فِي اللَّيْلَةِ الرَّابِعَةِ : يَا فَالِقَ الْإِصْبَاحِ ، وَجَاعِلَ اللَّيْلِ سَكَناً ، وَالشَّمْسِ وَالْقَمَرِ حُسْبَاناً ، يَا عَزِيزُ يَا عَلِيمُ ، يَا ذَا الْمَنِّ وَالطَّوْلِ ، وَالْقُوَّةِ وَالْحَوْلِ ، وَالْفَضْلِ </w:t>
      </w:r>
      <w:r w:rsidRPr="00A91B96">
        <w:rPr>
          <w:rStyle w:val="libFootnotenumChar"/>
          <w:rtl/>
        </w:rPr>
        <w:t>(3)</w:t>
      </w:r>
      <w:r w:rsidRPr="00020424">
        <w:rPr>
          <w:rtl/>
          <w:lang w:bidi="fa-IR"/>
        </w:rPr>
        <w:t xml:space="preserve"> وَالْإِنْعَامِ </w:t>
      </w:r>
      <w:r w:rsidRPr="00A91B96">
        <w:rPr>
          <w:rStyle w:val="libFootnotenumChar"/>
          <w:rtl/>
        </w:rPr>
        <w:t>(4)</w:t>
      </w:r>
      <w:r w:rsidRPr="00020424">
        <w:rPr>
          <w:rtl/>
          <w:lang w:bidi="fa-IR"/>
        </w:rPr>
        <w:t xml:space="preserve"> ، وَالْمُلْكِ وَالْإِكْرَامِ </w:t>
      </w:r>
      <w:r w:rsidRPr="00A91B96">
        <w:rPr>
          <w:rStyle w:val="libFootnotenumChar"/>
          <w:rtl/>
        </w:rPr>
        <w:t>(5)</w:t>
      </w:r>
      <w:r w:rsidRPr="00020424">
        <w:rPr>
          <w:rtl/>
          <w:lang w:bidi="fa-IR"/>
        </w:rPr>
        <w:t xml:space="preserve"> ، يَا </w:t>
      </w:r>
      <w:r w:rsidRPr="00A91B96">
        <w:rPr>
          <w:rStyle w:val="libFootnotenumChar"/>
          <w:rtl/>
        </w:rPr>
        <w:t>(6)</w:t>
      </w:r>
      <w:r w:rsidRPr="00020424">
        <w:rPr>
          <w:rtl/>
          <w:lang w:bidi="fa-IR"/>
        </w:rPr>
        <w:t xml:space="preserve"> ذَا الْجَلَالِ وَالْإِكْرَامِ </w:t>
      </w:r>
      <w:r w:rsidRPr="00A91B96">
        <w:rPr>
          <w:rStyle w:val="libFootnotenumChar"/>
          <w:rtl/>
        </w:rPr>
        <w:t>(7)</w:t>
      </w:r>
      <w:r w:rsidRPr="00020424">
        <w:rPr>
          <w:rtl/>
          <w:lang w:bidi="fa-IR"/>
        </w:rPr>
        <w:t xml:space="preserve"> ، يَا اللهُ يَا رَحْمَانُ يَا اللهُ ، يَا فَرْدُ </w:t>
      </w:r>
      <w:r w:rsidRPr="00A91B96">
        <w:rPr>
          <w:rStyle w:val="libFootnotenumChar"/>
          <w:rtl/>
        </w:rPr>
        <w:t>(8)</w:t>
      </w:r>
      <w:r w:rsidRPr="00020424">
        <w:rPr>
          <w:rtl/>
          <w:lang w:bidi="fa-IR"/>
        </w:rPr>
        <w:t xml:space="preserve"> يَا وَتْرُ </w:t>
      </w:r>
      <w:r w:rsidRPr="00A91B96">
        <w:rPr>
          <w:rStyle w:val="libFootnotenumChar"/>
          <w:rtl/>
        </w:rPr>
        <w:t>(9)</w:t>
      </w:r>
      <w:r w:rsidRPr="00020424">
        <w:rPr>
          <w:rtl/>
          <w:lang w:bidi="fa-IR"/>
        </w:rPr>
        <w:t xml:space="preserve"> يَا اللهُ </w:t>
      </w:r>
      <w:r w:rsidRPr="00A91B96">
        <w:rPr>
          <w:rStyle w:val="libFootnotenumChar"/>
          <w:rtl/>
        </w:rPr>
        <w:t>(10)</w:t>
      </w:r>
      <w:r w:rsidRPr="00020424">
        <w:rPr>
          <w:rtl/>
          <w:lang w:bidi="fa-IR"/>
        </w:rPr>
        <w:t xml:space="preserve"> ، يَا ظَاهِرُ يَا بَاطِنُ ، يَا حَيُّ ، يَا </w:t>
      </w:r>
      <w:r w:rsidRPr="00A91B96">
        <w:rPr>
          <w:rStyle w:val="libFootnotenumChar"/>
          <w:rtl/>
        </w:rPr>
        <w:t>(11)</w:t>
      </w:r>
      <w:r w:rsidRPr="00020424">
        <w:rPr>
          <w:rtl/>
          <w:lang w:bidi="fa-IR"/>
        </w:rPr>
        <w:t xml:space="preserve"> لَا</w:t>
      </w:r>
      <w:r>
        <w:rPr>
          <w:rFonts w:hint="cs"/>
          <w:rtl/>
          <w:lang w:bidi="fa-IR"/>
        </w:rPr>
        <w:t xml:space="preserve"> </w:t>
      </w:r>
      <w:r w:rsidR="00F11E89">
        <w:rPr>
          <w:rtl/>
          <w:lang w:bidi="fa-IR"/>
        </w:rPr>
        <w:t>إِلهَ إِل</w:t>
      </w:r>
      <w:r w:rsidR="00F11E89">
        <w:rPr>
          <w:rFonts w:hint="cs"/>
          <w:rtl/>
          <w:lang w:bidi="fa-IR"/>
        </w:rPr>
        <w:t>َّ</w:t>
      </w:r>
      <w:r w:rsidR="00F11E89">
        <w:rPr>
          <w:rtl/>
          <w:lang w:bidi="fa-IR"/>
        </w:rPr>
        <w:t>ا</w:t>
      </w:r>
      <w:r w:rsidRPr="00020424">
        <w:rPr>
          <w:rtl/>
          <w:lang w:bidi="fa-IR"/>
        </w:rPr>
        <w:t xml:space="preserve"> أَنْتَ ، لَكَ الْأَسْمَاءُ الْحُسْنى ، وَالْأَمْثَالُ الْعُلْيَا وَالْكِبْرِيَاءُ </w:t>
      </w:r>
      <w:r w:rsidRPr="00A91B96">
        <w:rPr>
          <w:rStyle w:val="libFootnotenumChar"/>
          <w:rtl/>
        </w:rPr>
        <w:t>(12)</w:t>
      </w:r>
      <w:r w:rsidRPr="00020424">
        <w:rPr>
          <w:rtl/>
          <w:lang w:bidi="fa-IR"/>
        </w:rPr>
        <w:t xml:space="preserve"> ، أَسْأَلُكَ أَنْ تُصَلِّيَ عَلى مُحَمَّدٍ وَعَلى </w:t>
      </w:r>
      <w:r w:rsidRPr="00A91B96">
        <w:rPr>
          <w:rStyle w:val="libFootnotenumChar"/>
          <w:rtl/>
        </w:rPr>
        <w:t>(13)</w:t>
      </w:r>
      <w:r w:rsidRPr="00020424">
        <w:rPr>
          <w:rtl/>
          <w:lang w:bidi="fa-IR"/>
        </w:rPr>
        <w:t xml:space="preserve"> أَهْلِ بَيْتِهِ </w:t>
      </w:r>
      <w:r w:rsidRPr="00A91B96">
        <w:rPr>
          <w:rStyle w:val="libFootnotenumChar"/>
          <w:rtl/>
        </w:rPr>
        <w:t>(14)</w:t>
      </w:r>
      <w:r w:rsidRPr="00020424">
        <w:rPr>
          <w:rtl/>
          <w:lang w:bidi="fa-IR"/>
        </w:rPr>
        <w:t xml:space="preserve"> ، وَأَنْ تَجْعَلَ اسْمِي فِي هذِهِ اللَّيْلَةِ فِي السُّعَدَاءِ ، وَرُوحِي مَعَ الشُّهَدَاءِ ، وَإِحْسَانِي فِي عِلِّيِّينَ ، وَإِسَاءَتِي مَغْفُورَةً ، وَأَنْ تَهَبَ لِي يَقِيناً تُبَاشِرُ بِهِ قَلْبِي ، وَإِيمَاناً‌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بث ، بح ، بخ ، بر ، بف » :</w:t>
      </w:r>
      <w:r w:rsidR="00992664">
        <w:rPr>
          <w:rtl/>
        </w:rPr>
        <w:t xml:space="preserve"> </w:t>
      </w:r>
      <w:r w:rsidR="009B673F">
        <w:rPr>
          <w:rtl/>
        </w:rPr>
        <w:t>-</w:t>
      </w:r>
      <w:r w:rsidR="00992664">
        <w:rPr>
          <w:rtl/>
        </w:rPr>
        <w:t xml:space="preserve"> </w:t>
      </w:r>
      <w:r w:rsidR="00992664" w:rsidRPr="00020424">
        <w:rPr>
          <w:rtl/>
        </w:rPr>
        <w:t>« وعوناً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بف »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وتقول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والفضل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 + « ويا ذا الجلال والإكرام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والملك والإكرام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E7C6C" w:rsidTr="003E7C6C">
        <w:tc>
          <w:tcPr>
            <w:tcW w:w="4006" w:type="dxa"/>
          </w:tcPr>
          <w:p w:rsidR="003E7C6C" w:rsidRDefault="003E7C6C" w:rsidP="00992664">
            <w:pPr>
              <w:pStyle w:val="libFootnote0"/>
              <w:rPr>
                <w:rtl/>
              </w:rPr>
            </w:pPr>
            <w:r>
              <w:rPr>
                <w:rtl/>
              </w:rPr>
              <w:t xml:space="preserve">(6). </w:t>
            </w:r>
            <w:r w:rsidRPr="00020424">
              <w:rPr>
                <w:rtl/>
              </w:rPr>
              <w:t>في « بف ، جن » :</w:t>
            </w:r>
            <w:r>
              <w:rPr>
                <w:rtl/>
              </w:rPr>
              <w:t xml:space="preserve"> - </w:t>
            </w:r>
            <w:r w:rsidRPr="00020424">
              <w:rPr>
                <w:rtl/>
              </w:rPr>
              <w:t>« يا</w:t>
            </w:r>
            <w:r>
              <w:rPr>
                <w:rtl/>
              </w:rPr>
              <w:t xml:space="preserve"> ».</w:t>
            </w:r>
          </w:p>
        </w:tc>
        <w:tc>
          <w:tcPr>
            <w:tcW w:w="4006" w:type="dxa"/>
          </w:tcPr>
          <w:p w:rsidR="003E7C6C" w:rsidRDefault="003E7C6C" w:rsidP="00992664">
            <w:pPr>
              <w:pStyle w:val="libFootnote0"/>
              <w:rPr>
                <w:rtl/>
              </w:rPr>
            </w:pPr>
            <w:r>
              <w:rPr>
                <w:rtl/>
              </w:rPr>
              <w:t>(7). في«ظ،ى،بث،بح،بس»</w:t>
            </w:r>
            <w:r w:rsidRPr="00020424">
              <w:rPr>
                <w:rtl/>
              </w:rPr>
              <w:t>:</w:t>
            </w:r>
            <w:r>
              <w:rPr>
                <w:rtl/>
              </w:rPr>
              <w:t>-«</w:t>
            </w:r>
            <w:r w:rsidRPr="00020424">
              <w:rPr>
                <w:rtl/>
              </w:rPr>
              <w:t>يا ذا الجلال والإكرام</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يا الله</w:t>
      </w:r>
      <w:r w:rsidR="00992664">
        <w:rPr>
          <w:rtl/>
        </w:rPr>
        <w:t xml:space="preserve"> ».</w:t>
      </w:r>
      <w:r w:rsidR="00992664" w:rsidRPr="00020424">
        <w:rPr>
          <w:rtl/>
        </w:rPr>
        <w:t xml:space="preserve"> والفرد في صفات الله تعالى : هو الواحد الأحد الذي لا نظير له ولا مثل ولا ثاني. </w:t>
      </w:r>
      <w:r w:rsidR="00992664" w:rsidRPr="00DE76B9">
        <w:rPr>
          <w:rStyle w:val="libFootnoteBoldChar"/>
          <w:rtl/>
        </w:rPr>
        <w:t>لسان‌العرب</w:t>
      </w:r>
      <w:r w:rsidR="00992664" w:rsidRPr="00020424">
        <w:rPr>
          <w:rtl/>
        </w:rPr>
        <w:t xml:space="preserve"> ، ج 3 ، ص 331 ( فرد )</w:t>
      </w:r>
      <w:r w:rsidR="00992664">
        <w:rPr>
          <w:rtl/>
        </w:rPr>
        <w:t>.</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قال ابن الأثير : « الوِتْر : الفرد ، وتكسر واوه وتفتح ، فالله واحد في ذاته ، لا يقبل الانقسام والتجزئة ، واحد في صفاته ، فلا شبه له ولا مثل ، واحد في أفعاله فلا شريك له ولا معين</w:t>
      </w:r>
      <w:r w:rsidR="00992664">
        <w:rPr>
          <w:rtl/>
        </w:rPr>
        <w:t xml:space="preserve"> ».</w:t>
      </w:r>
      <w:r w:rsidR="00992664" w:rsidRPr="00020424">
        <w:rPr>
          <w:rtl/>
        </w:rPr>
        <w:t xml:space="preserve"> وقال الطريحي : « قيل : قوله : الله وتر ؛ لأنّه البائن من خلقه الموصوف بالوحدانيّة من كلّ وجه ولا نظير له في ذاته ، ولا سميّ له في صفاته ، ولا شريك له في ملكه ، فتعالى الله الملك الحقّ</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5 ، ص 147 ؛ </w:t>
      </w:r>
      <w:r w:rsidR="00992664" w:rsidRPr="00DE76B9">
        <w:rPr>
          <w:rStyle w:val="libFootnoteBoldChar"/>
          <w:rtl/>
        </w:rPr>
        <w:t>مجمع البحرين</w:t>
      </w:r>
      <w:r w:rsidR="00992664" w:rsidRPr="00020424">
        <w:rPr>
          <w:rtl/>
        </w:rPr>
        <w:t xml:space="preserve"> ، ج 3 ، ص 509 ( وتر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 يا الله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بس ، بف ، جن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بث ، بر » وحاشية « بح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 والآلاء</w:t>
      </w:r>
      <w:r w:rsidR="00992664">
        <w:rPr>
          <w:rtl/>
        </w:rPr>
        <w:t xml:space="preserve"> ».</w:t>
      </w:r>
      <w:r w:rsidR="00992664" w:rsidRPr="00020424">
        <w:rPr>
          <w:rtl/>
        </w:rPr>
        <w:t xml:space="preserve"> وفي « بر » : + « ثمّ تعود إلى قوله</w:t>
      </w:r>
      <w:r w:rsidR="00992664">
        <w:rPr>
          <w:rtl/>
        </w:rPr>
        <w:t>».</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 + « إلى آخر الدعا</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وآل محمّد » بدل « وعلى أهل بيته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23A60">
      <w:pPr>
        <w:pStyle w:val="libNormal0"/>
        <w:rPr>
          <w:rtl/>
          <w:lang w:bidi="fa-IR"/>
        </w:rPr>
      </w:pPr>
      <w:r w:rsidRPr="00020424">
        <w:rPr>
          <w:rtl/>
          <w:lang w:bidi="fa-IR"/>
        </w:rPr>
        <w:t xml:space="preserve">يَذْهَبُ </w:t>
      </w:r>
      <w:r w:rsidRPr="00A91B96">
        <w:rPr>
          <w:rStyle w:val="libFootnotenumChar"/>
          <w:rtl/>
        </w:rPr>
        <w:t>(1)</w:t>
      </w:r>
      <w:r w:rsidRPr="00020424">
        <w:rPr>
          <w:rtl/>
          <w:lang w:bidi="fa-IR"/>
        </w:rPr>
        <w:t xml:space="preserve"> بِالشَّكِّ </w:t>
      </w:r>
      <w:r w:rsidRPr="00A91B96">
        <w:rPr>
          <w:rStyle w:val="libFootnotenumChar"/>
          <w:rtl/>
        </w:rPr>
        <w:t>(2)</w:t>
      </w:r>
      <w:r w:rsidRPr="00020424">
        <w:rPr>
          <w:rtl/>
          <w:lang w:bidi="fa-IR"/>
        </w:rPr>
        <w:t xml:space="preserve"> عَنِّي ، وَرِضًا </w:t>
      </w:r>
      <w:r w:rsidRPr="00A91B96">
        <w:rPr>
          <w:rStyle w:val="libFootnotenumChar"/>
          <w:rtl/>
        </w:rPr>
        <w:t>(3)</w:t>
      </w:r>
      <w:r w:rsidRPr="00020424">
        <w:rPr>
          <w:rtl/>
          <w:lang w:bidi="fa-IR"/>
        </w:rPr>
        <w:t xml:space="preserve"> بِمَا قَسَمْتَ لِي ، </w:t>
      </w:r>
      <w:r w:rsidRPr="000837B8">
        <w:rPr>
          <w:rtl/>
        </w:rPr>
        <w:t>وَآتِنا فِي الدُّنْيا حَسَنَةً ، وَفِي الْآخِرَةِ حَسَنَةً ، وَقِنا عَذابَ</w:t>
      </w:r>
      <w:r w:rsidRPr="00020424">
        <w:rPr>
          <w:rtl/>
          <w:lang w:bidi="fa-IR"/>
        </w:rPr>
        <w:t xml:space="preserve"> الْحَرِيقِ ، وَارْزُقْنِي </w:t>
      </w:r>
      <w:r w:rsidRPr="00A91B96">
        <w:rPr>
          <w:rStyle w:val="libFootnotenumChar"/>
          <w:rtl/>
        </w:rPr>
        <w:t>(4)</w:t>
      </w:r>
      <w:r w:rsidRPr="00020424">
        <w:rPr>
          <w:rtl/>
          <w:lang w:bidi="fa-IR"/>
        </w:rPr>
        <w:t xml:space="preserve"> فِيهَا ذِكْرَكَ وَشُكْرَكَ وَالرَّغْبَةَ إِلَيْكَ وَالْإِنَابَةَ وَ</w:t>
      </w:r>
      <w:r>
        <w:rPr>
          <w:rFonts w:hint="cs"/>
          <w:rtl/>
          <w:lang w:bidi="fa-IR"/>
        </w:rPr>
        <w:t xml:space="preserve"> </w:t>
      </w:r>
      <w:r w:rsidRPr="00A91B96">
        <w:rPr>
          <w:rStyle w:val="libFootnotenumChar"/>
          <w:rtl/>
        </w:rPr>
        <w:t>(5)</w:t>
      </w:r>
      <w:r w:rsidRPr="00020424">
        <w:rPr>
          <w:rtl/>
          <w:lang w:bidi="fa-IR"/>
        </w:rPr>
        <w:t xml:space="preserve"> التَّوْبَةَ وَالتَّوْفِيقَ لِمَا وَفَّقْتَ لَهُ مُحَمَّداً وَآلَ مُحَمَّدٍ عَلَيْهِمُ السَّلَامُ.</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(6)</w:t>
      </w:r>
      <w:r w:rsidRPr="00020424">
        <w:rPr>
          <w:rtl/>
          <w:lang w:bidi="fa-IR"/>
        </w:rPr>
        <w:t xml:space="preserve"> فِي اللَّيْلَةِ الْخَامِسَةِ : يَا جَاعِلَ اللَّيْلِ لِبَاساً ، وَالنَّهَارِ مَعَاشاً ، وَالْأَرْضِ مِهَاداً ، وَالْجِبَالِ أَوْتَاداً ، يَا اللهُ </w:t>
      </w:r>
      <w:r w:rsidRPr="00A91B96">
        <w:rPr>
          <w:rStyle w:val="libFootnotenumChar"/>
          <w:rtl/>
        </w:rPr>
        <w:t>(7)</w:t>
      </w:r>
      <w:r w:rsidRPr="00020424">
        <w:rPr>
          <w:rtl/>
          <w:lang w:bidi="fa-IR"/>
        </w:rPr>
        <w:t xml:space="preserve"> يَا قَاهِرُ ، يَا اللهُ </w:t>
      </w:r>
      <w:r w:rsidRPr="00A91B96">
        <w:rPr>
          <w:rStyle w:val="libFootnotenumChar"/>
          <w:rtl/>
        </w:rPr>
        <w:t>(8)</w:t>
      </w:r>
      <w:r w:rsidRPr="00020424">
        <w:rPr>
          <w:rtl/>
          <w:lang w:bidi="fa-IR"/>
        </w:rPr>
        <w:t xml:space="preserve"> يَا جَبَّارُ </w:t>
      </w:r>
      <w:r w:rsidRPr="00A91B96">
        <w:rPr>
          <w:rStyle w:val="libFootnotenumChar"/>
          <w:rtl/>
        </w:rPr>
        <w:t>(9)</w:t>
      </w:r>
      <w:r w:rsidRPr="00020424">
        <w:rPr>
          <w:rtl/>
          <w:lang w:bidi="fa-IR"/>
        </w:rPr>
        <w:t xml:space="preserve"> ، يَا اللهُ يَا سَمِيعُ ، يَا اللهُ يَا قَرِيبُ ، يَا اللهُ </w:t>
      </w:r>
      <w:r w:rsidRPr="00A91B96">
        <w:rPr>
          <w:rStyle w:val="libFootnotenumChar"/>
          <w:rtl/>
        </w:rPr>
        <w:t>(10)</w:t>
      </w:r>
      <w:r w:rsidRPr="00020424">
        <w:rPr>
          <w:rtl/>
          <w:lang w:bidi="fa-IR"/>
        </w:rPr>
        <w:t xml:space="preserve"> يَا مُجِيبُ ، يَا اللهُ يَا اللهُ يَا اللهُ ، لَكَ الْأَسْمَاءُ الْحُسْنى ، وَالْأَمْثَالُ الْعُلْيَا ، وَالْكِبْرِيَاءُ وَالْآلَاءُ </w:t>
      </w:r>
      <w:r w:rsidRPr="00A91B96">
        <w:rPr>
          <w:rStyle w:val="libFootnotenumChar"/>
          <w:rtl/>
        </w:rPr>
        <w:t>(11)</w:t>
      </w:r>
      <w:r w:rsidRPr="00020424">
        <w:rPr>
          <w:rtl/>
          <w:lang w:bidi="fa-IR"/>
        </w:rPr>
        <w:t xml:space="preserve"> ، أَسْأَلُكَ أَنْ تُصَلِّيَ عَلى مُحَمَّدٍ وَعَلى </w:t>
      </w:r>
      <w:r w:rsidRPr="00A91B96">
        <w:rPr>
          <w:rStyle w:val="libFootnotenumChar"/>
          <w:rtl/>
        </w:rPr>
        <w:t>(12)</w:t>
      </w:r>
      <w:r w:rsidRPr="00020424">
        <w:rPr>
          <w:rtl/>
          <w:lang w:bidi="fa-IR"/>
        </w:rPr>
        <w:t xml:space="preserve"> أَهْلِ بَيْتِهِ </w:t>
      </w:r>
      <w:r w:rsidRPr="00A91B96">
        <w:rPr>
          <w:rStyle w:val="libFootnotenumChar"/>
          <w:rtl/>
        </w:rPr>
        <w:t>(13)</w:t>
      </w:r>
      <w:r w:rsidRPr="00020424">
        <w:rPr>
          <w:rtl/>
          <w:lang w:bidi="fa-IR"/>
        </w:rPr>
        <w:t xml:space="preserve"> ، وَأَنْ تَجْعَلَ اسْمِي فِي هذِ</w:t>
      </w:r>
      <w:r w:rsidR="00BF1B3B">
        <w:rPr>
          <w:rtl/>
          <w:lang w:bidi="fa-IR"/>
        </w:rPr>
        <w:t>هِ اللَّيْلَةِ فِي السُّعَدَاءِ</w:t>
      </w:r>
      <w:r w:rsidRPr="00020424">
        <w:rPr>
          <w:rtl/>
          <w:lang w:bidi="fa-IR"/>
        </w:rPr>
        <w:t xml:space="preserve">، وَرُوحِي مَعَ الشُّهَدَاءِ ، وَإِحْسَانِي فِي عِلِّيِّينَ ، وَإِسَاءَتِي مَغْفُورَةً ، وَأَنْ تَهَبَ لِي يَقِيناً تُبَاشِرُ بِهِ قَلْبِي ، وَإِيمَاناً يُذْهِبُ الشَّكَّ </w:t>
      </w:r>
      <w:r w:rsidRPr="00A91B96">
        <w:rPr>
          <w:rStyle w:val="libFootnotenumChar"/>
          <w:rtl/>
        </w:rPr>
        <w:t>(14)</w:t>
      </w:r>
      <w:r w:rsidRPr="00020424">
        <w:rPr>
          <w:rtl/>
          <w:lang w:bidi="fa-IR"/>
        </w:rPr>
        <w:t xml:space="preserve"> عَنِّي ، وَرِضًا </w:t>
      </w:r>
      <w:r w:rsidRPr="00A91B96">
        <w:rPr>
          <w:rStyle w:val="libFootnotenumChar"/>
          <w:rtl/>
        </w:rPr>
        <w:t>(15)</w:t>
      </w:r>
      <w:r w:rsidRPr="00020424">
        <w:rPr>
          <w:rtl/>
          <w:lang w:bidi="fa-IR"/>
        </w:rPr>
        <w:t xml:space="preserve"> بِمَا قَسَمْتَ لِي ، وَ</w:t>
      </w:r>
      <w:r w:rsidRPr="000837B8">
        <w:rPr>
          <w:rtl/>
        </w:rPr>
        <w:t xml:space="preserve">آتِنا فِي الدُّنْيا حَسَنَةً ، وَ </w:t>
      </w:r>
      <w:r w:rsidRPr="00A91B96">
        <w:rPr>
          <w:rStyle w:val="libFootnotenumChar"/>
          <w:rtl/>
        </w:rPr>
        <w:t>(16)</w:t>
      </w:r>
      <w:r w:rsidRPr="000837B8">
        <w:rPr>
          <w:rtl/>
        </w:rPr>
        <w:t xml:space="preserve"> فِي الْآخِرَةِ حَسَنَةً ، وَقِنا عَذابَ </w:t>
      </w:r>
      <w:r w:rsidRPr="00020424">
        <w:rPr>
          <w:rtl/>
          <w:lang w:bidi="fa-IR"/>
        </w:rPr>
        <w:t>الْحَرِيقِ ، وَارْزُقْنِي فِيهَا ذِكْرَكَ وَشُكْرَكَ وَالرَّغْبَةَ إِلَيْكَ وَالْإِنَابَةَ وَالتَّوْبَةَ وَالتَّوْفِيقَ لِمَا وَفَّقْتَ لَهُ مُحَمَّداً وَآلَ مُحَمَّدٍ عَلَيْهِمُ السَّلَامُ.</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 « تذهب</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الشكّ</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وترضيني</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55765" w:rsidTr="00555765">
        <w:tc>
          <w:tcPr>
            <w:tcW w:w="4006" w:type="dxa"/>
          </w:tcPr>
          <w:p w:rsidR="00555765" w:rsidRDefault="00555765" w:rsidP="00992664">
            <w:pPr>
              <w:pStyle w:val="libFootnote0"/>
              <w:rPr>
                <w:rtl/>
              </w:rPr>
            </w:pPr>
            <w:r>
              <w:rPr>
                <w:rtl/>
              </w:rPr>
              <w:t xml:space="preserve">(4). </w:t>
            </w:r>
            <w:r w:rsidRPr="00020424">
              <w:rPr>
                <w:rtl/>
              </w:rPr>
              <w:t>في « ظ ، بس » : « وارزقنا</w:t>
            </w:r>
            <w:r>
              <w:rPr>
                <w:rtl/>
              </w:rPr>
              <w:t xml:space="preserve"> ».</w:t>
            </w:r>
          </w:p>
        </w:tc>
        <w:tc>
          <w:tcPr>
            <w:tcW w:w="4006" w:type="dxa"/>
          </w:tcPr>
          <w:p w:rsidR="00555765" w:rsidRDefault="00555765" w:rsidP="00992664">
            <w:pPr>
              <w:pStyle w:val="libFootnote0"/>
              <w:rPr>
                <w:rtl/>
              </w:rPr>
            </w:pPr>
            <w:r>
              <w:rPr>
                <w:rtl/>
              </w:rPr>
              <w:t>(5). في«بر</w:t>
            </w:r>
            <w:r w:rsidRPr="00020424">
              <w:rPr>
                <w:rtl/>
              </w:rPr>
              <w:t>» :</w:t>
            </w:r>
            <w:r>
              <w:rPr>
                <w:rtl/>
              </w:rPr>
              <w:t xml:space="preserve"> -«</w:t>
            </w:r>
            <w:r w:rsidRPr="00020424">
              <w:rPr>
                <w:rtl/>
              </w:rPr>
              <w:t>وأن تجعل اسمي</w:t>
            </w:r>
            <w:r>
              <w:rPr>
                <w:rtl/>
              </w:rPr>
              <w:t xml:space="preserve"> - </w:t>
            </w:r>
            <w:r w:rsidRPr="00020424">
              <w:rPr>
                <w:rtl/>
              </w:rPr>
              <w:t>إلى</w:t>
            </w:r>
            <w:r>
              <w:rPr>
                <w:rtl/>
              </w:rPr>
              <w:t xml:space="preserve"> - </w:t>
            </w:r>
            <w:r w:rsidRPr="00020424">
              <w:rPr>
                <w:rtl/>
              </w:rPr>
              <w:t xml:space="preserve">والإنابة </w:t>
            </w:r>
            <w:r>
              <w:rPr>
                <w:rtl/>
              </w:rPr>
              <w:t>و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ى » : « ويقول</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التوبة والتوفيق</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وتقول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463BE" w:rsidTr="002463BE">
        <w:tc>
          <w:tcPr>
            <w:tcW w:w="4006" w:type="dxa"/>
          </w:tcPr>
          <w:p w:rsidR="002463BE" w:rsidRDefault="002463BE" w:rsidP="00992664">
            <w:pPr>
              <w:pStyle w:val="libFootnote0"/>
              <w:rPr>
                <w:rtl/>
              </w:rPr>
            </w:pPr>
            <w:r>
              <w:rPr>
                <w:rtl/>
              </w:rPr>
              <w:t xml:space="preserve">(7). </w:t>
            </w:r>
            <w:r w:rsidRPr="00020424">
              <w:rPr>
                <w:rtl/>
              </w:rPr>
              <w:t>في « بس » : + « يا الله</w:t>
            </w:r>
            <w:r>
              <w:rPr>
                <w:rtl/>
              </w:rPr>
              <w:t xml:space="preserve"> ».</w:t>
            </w:r>
          </w:p>
        </w:tc>
        <w:tc>
          <w:tcPr>
            <w:tcW w:w="4006" w:type="dxa"/>
          </w:tcPr>
          <w:p w:rsidR="002463BE" w:rsidRDefault="002463BE" w:rsidP="00992664">
            <w:pPr>
              <w:pStyle w:val="libFootnote0"/>
              <w:rPr>
                <w:rtl/>
              </w:rPr>
            </w:pPr>
            <w:r>
              <w:rPr>
                <w:rtl/>
              </w:rPr>
              <w:t xml:space="preserve">(8). </w:t>
            </w:r>
            <w:r w:rsidRPr="00020424">
              <w:rPr>
                <w:rtl/>
              </w:rPr>
              <w:t xml:space="preserve">في « بث » </w:t>
            </w:r>
            <w:r w:rsidRPr="00FD6221">
              <w:rPr>
                <w:rStyle w:val="libFootnoteBoldChar"/>
                <w:rtl/>
              </w:rPr>
              <w:t>والفقيه</w:t>
            </w:r>
            <w:r w:rsidRPr="00020424">
              <w:rPr>
                <w:rtl/>
              </w:rPr>
              <w:t xml:space="preserve"> :</w:t>
            </w:r>
            <w:r>
              <w:rPr>
                <w:rtl/>
              </w:rPr>
              <w:t xml:space="preserve"> - </w:t>
            </w:r>
            <w:r w:rsidRPr="00020424">
              <w:rPr>
                <w:rtl/>
              </w:rPr>
              <w:t>« يا الله</w:t>
            </w:r>
            <w:r>
              <w:rPr>
                <w:rtl/>
              </w:rPr>
              <w:t xml:space="preserve"> ».</w:t>
            </w:r>
          </w:p>
        </w:tc>
      </w:tr>
      <w:tr w:rsidR="002463BE" w:rsidTr="002463BE">
        <w:tc>
          <w:tcPr>
            <w:tcW w:w="4006" w:type="dxa"/>
          </w:tcPr>
          <w:p w:rsidR="002463BE" w:rsidRDefault="002463BE" w:rsidP="002463BE">
            <w:pPr>
              <w:pStyle w:val="libFootnote0"/>
              <w:rPr>
                <w:rtl/>
              </w:rPr>
            </w:pPr>
            <w:r>
              <w:rPr>
                <w:rtl/>
              </w:rPr>
              <w:t xml:space="preserve">(9). </w:t>
            </w:r>
            <w:r w:rsidRPr="00020424">
              <w:rPr>
                <w:rtl/>
              </w:rPr>
              <w:t>في حاشية « بث » : « حنّان</w:t>
            </w:r>
            <w:r>
              <w:rPr>
                <w:rtl/>
              </w:rPr>
              <w:t xml:space="preserve"> ».</w:t>
            </w:r>
          </w:p>
        </w:tc>
        <w:tc>
          <w:tcPr>
            <w:tcW w:w="4006" w:type="dxa"/>
          </w:tcPr>
          <w:p w:rsidR="002463BE" w:rsidRDefault="002463BE" w:rsidP="00992664">
            <w:pPr>
              <w:pStyle w:val="libFootnote0"/>
              <w:rPr>
                <w:rtl/>
              </w:rPr>
            </w:pPr>
            <w:r>
              <w:rPr>
                <w:rtl/>
              </w:rPr>
              <w:t xml:space="preserve">(10). </w:t>
            </w:r>
            <w:r w:rsidRPr="00020424">
              <w:rPr>
                <w:rtl/>
              </w:rPr>
              <w:t>في « بر » :</w:t>
            </w:r>
            <w:r>
              <w:rPr>
                <w:rtl/>
              </w:rPr>
              <w:t xml:space="preserve"> - </w:t>
            </w:r>
            <w:r w:rsidRPr="00020424">
              <w:rPr>
                <w:rtl/>
              </w:rPr>
              <w:t>« يا ألله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بر » : + « ثمّ تعود من قوله</w:t>
      </w:r>
      <w:r w:rsidR="00992664">
        <w:rPr>
          <w:rtl/>
        </w:rPr>
        <w:t xml:space="preserve"> ».</w:t>
      </w:r>
      <w:r w:rsidR="00992664" w:rsidRPr="00020424">
        <w:rPr>
          <w:rtl/>
        </w:rPr>
        <w:t xml:space="preserve"> وفي سائر النسخ التي قوبلت : « والآلاء والكبرياء</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ظ ، ى ، بح ، بس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بر » : + « إلى آخر الدعاء</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آل محمّد » بدل « على أهل بيته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D550A" w:rsidTr="009D550A">
        <w:tc>
          <w:tcPr>
            <w:tcW w:w="4006" w:type="dxa"/>
          </w:tcPr>
          <w:p w:rsidR="009D550A" w:rsidRDefault="009D550A" w:rsidP="00992664">
            <w:pPr>
              <w:pStyle w:val="libFootnote0"/>
              <w:rPr>
                <w:rtl/>
              </w:rPr>
            </w:pPr>
            <w:r>
              <w:rPr>
                <w:rtl/>
              </w:rPr>
              <w:t xml:space="preserve">(14). </w:t>
            </w:r>
            <w:r w:rsidRPr="00020424">
              <w:rPr>
                <w:rtl/>
              </w:rPr>
              <w:t>في « بس » : « بالشكّ</w:t>
            </w:r>
            <w:r>
              <w:rPr>
                <w:rtl/>
              </w:rPr>
              <w:t xml:space="preserve"> ».</w:t>
            </w:r>
          </w:p>
        </w:tc>
        <w:tc>
          <w:tcPr>
            <w:tcW w:w="4006" w:type="dxa"/>
          </w:tcPr>
          <w:p w:rsidR="009D550A" w:rsidRDefault="009D550A" w:rsidP="00992664">
            <w:pPr>
              <w:pStyle w:val="libFootnote0"/>
              <w:rPr>
                <w:rtl/>
              </w:rPr>
            </w:pPr>
            <w:r>
              <w:rPr>
                <w:rtl/>
              </w:rPr>
              <w:t xml:space="preserve">(15). </w:t>
            </w:r>
            <w:r w:rsidRPr="00020424">
              <w:rPr>
                <w:rtl/>
              </w:rPr>
              <w:t xml:space="preserve">في </w:t>
            </w:r>
            <w:r w:rsidRPr="0012008A">
              <w:rPr>
                <w:rStyle w:val="libFootnoteBoldChar"/>
                <w:rtl/>
              </w:rPr>
              <w:t>الوافي</w:t>
            </w:r>
            <w:r w:rsidRPr="00020424">
              <w:rPr>
                <w:rtl/>
              </w:rPr>
              <w:t xml:space="preserve"> : « وترضيني</w:t>
            </w:r>
            <w:r>
              <w:rPr>
                <w:rtl/>
              </w:rPr>
              <w:t xml:space="preserve"> ».</w:t>
            </w:r>
          </w:p>
        </w:tc>
      </w:tr>
    </w:tbl>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وأن تجعل اسمي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 xml:space="preserve">في الدنيا حسنة </w:t>
      </w:r>
      <w:r w:rsidR="00992664">
        <w:rPr>
          <w:rtl/>
        </w:rPr>
        <w:t>و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(1)</w:t>
      </w:r>
      <w:r w:rsidRPr="00020424">
        <w:rPr>
          <w:rtl/>
          <w:lang w:bidi="fa-IR"/>
        </w:rPr>
        <w:t xml:space="preserve"> فِي اللَّيْلَةِ السَّادِسَةِ : يَا جَاعِلَ اللَّيْلِ وَالنَّهَارِ آيَتَيْنِ ، يَا مَنْ مَحَا آيَةَ اللَّيْلِ ، وَجَعَلَ آيَةَ النَّهَارِ مُبْصِرَةً لِيَبْتَغُوا </w:t>
      </w:r>
      <w:r w:rsidRPr="00A91B96">
        <w:rPr>
          <w:rStyle w:val="libFootnotenumChar"/>
          <w:rtl/>
        </w:rPr>
        <w:t>(2)</w:t>
      </w:r>
      <w:r w:rsidRPr="00020424">
        <w:rPr>
          <w:rtl/>
          <w:lang w:bidi="fa-IR"/>
        </w:rPr>
        <w:t xml:space="preserve"> فَضْلاً مِنْهُ وَرِضْوَاناً ، يَا مُفَصِّلَ كُلِّ شَيْ‌ءٍ تَفْصِيلاً </w:t>
      </w:r>
      <w:r w:rsidRPr="00A91B96">
        <w:rPr>
          <w:rStyle w:val="libFootnotenumChar"/>
          <w:rtl/>
        </w:rPr>
        <w:t>(3)</w:t>
      </w:r>
      <w:r w:rsidRPr="00020424">
        <w:rPr>
          <w:rtl/>
          <w:lang w:bidi="fa-IR"/>
        </w:rPr>
        <w:t xml:space="preserve"> ، يَا مَاجِدُ </w:t>
      </w:r>
      <w:r w:rsidRPr="00A91B96">
        <w:rPr>
          <w:rStyle w:val="libFootnotenumChar"/>
          <w:rtl/>
        </w:rPr>
        <w:t>(4)</w:t>
      </w:r>
      <w:r w:rsidRPr="00020424">
        <w:rPr>
          <w:rtl/>
          <w:lang w:bidi="fa-IR"/>
        </w:rPr>
        <w:t xml:space="preserve"> يَا وَهَّابُ ، يَا اللهُ يَا جَوَادُ ، يَا اللهُ يَا اللهُ يَا اللهُ ، لَكَ الْأَسْمَاءُ الْحُسْنى ، وَالْأَمْثَالُ الْعُلْيَا ، وَالْكِبْرِيَاءُ وَالْآلَاءُ </w:t>
      </w:r>
      <w:r w:rsidRPr="00A91B96">
        <w:rPr>
          <w:rStyle w:val="libFootnotenumChar"/>
          <w:rtl/>
        </w:rPr>
        <w:t>(5)</w:t>
      </w:r>
      <w:r w:rsidRPr="00020424">
        <w:rPr>
          <w:rtl/>
          <w:lang w:bidi="fa-IR"/>
        </w:rPr>
        <w:t xml:space="preserve"> ، أَسْأَلُكَ أَنْ تُصَلِّيَ عَلى مُحَمَّدٍ </w:t>
      </w:r>
      <w:r w:rsidRPr="00A91B96">
        <w:rPr>
          <w:rStyle w:val="libFootnotenumChar"/>
          <w:rtl/>
        </w:rPr>
        <w:t>(6)</w:t>
      </w:r>
      <w:r w:rsidRPr="00020424">
        <w:rPr>
          <w:rtl/>
          <w:lang w:bidi="fa-IR"/>
        </w:rPr>
        <w:t xml:space="preserve"> ، وَعَلى </w:t>
      </w:r>
      <w:r w:rsidRPr="00A91B96">
        <w:rPr>
          <w:rStyle w:val="libFootnotenumChar"/>
          <w:rtl/>
        </w:rPr>
        <w:t>(7)</w:t>
      </w:r>
      <w:r w:rsidRPr="00020424">
        <w:rPr>
          <w:rtl/>
          <w:lang w:bidi="fa-IR"/>
        </w:rPr>
        <w:t xml:space="preserve"> أَهْلِ بَيْتِهِ </w:t>
      </w:r>
      <w:r w:rsidRPr="00A91B96">
        <w:rPr>
          <w:rStyle w:val="libFootnotenumChar"/>
          <w:rtl/>
        </w:rPr>
        <w:t>(8)</w:t>
      </w:r>
      <w:r w:rsidRPr="00020424">
        <w:rPr>
          <w:rtl/>
          <w:lang w:bidi="fa-IR"/>
        </w:rPr>
        <w:t xml:space="preserve"> ، وَأَنْ تَجْعَلَ اسْمِي فِي هذِهِ اللَّيْلَةِ فِي السُّعَدَاءِ ، وَرُوحِي مَعَ الشُّهَدَاءِ ، وَإِحْسَانِي فِي عِلِّيِّينَ ، وَإِسَاءَتِي مَغْفُورَةً ، وَأَنْ تَهَبَ لِي يَقِيناً تُبَاشِرُ بِهِ قَلْبِي ، وَإِيمَاناً يُذْهِبُ الشَّكَّ </w:t>
      </w:r>
      <w:r w:rsidRPr="00A91B96">
        <w:rPr>
          <w:rStyle w:val="libFootnotenumChar"/>
          <w:rtl/>
        </w:rPr>
        <w:t>(9)</w:t>
      </w:r>
      <w:r w:rsidRPr="00020424">
        <w:rPr>
          <w:rtl/>
          <w:lang w:bidi="fa-IR"/>
        </w:rPr>
        <w:t xml:space="preserve"> عَنِّي ، وَتُرْضِيَنِي بِمَا قَسَمْتَ لِي ، </w:t>
      </w:r>
      <w:r w:rsidRPr="000837B8">
        <w:rPr>
          <w:rtl/>
        </w:rPr>
        <w:t>وَآتِنا فِي الدُّنْيا حَسَنَةً ، وَفِي الْآخِرَةِ حَسَنَةً ، وَقِنا عَذابَ</w:t>
      </w:r>
      <w:r w:rsidRPr="00020424">
        <w:rPr>
          <w:rtl/>
          <w:lang w:bidi="fa-IR"/>
        </w:rPr>
        <w:t xml:space="preserve"> الْحَرِيقِ ، وَارْزُقْنِي </w:t>
      </w:r>
      <w:r w:rsidRPr="00A91B96">
        <w:rPr>
          <w:rStyle w:val="libFootnotenumChar"/>
          <w:rtl/>
        </w:rPr>
        <w:t>(10)</w:t>
      </w:r>
      <w:r w:rsidRPr="00020424">
        <w:rPr>
          <w:rtl/>
          <w:lang w:bidi="fa-IR"/>
        </w:rPr>
        <w:t xml:space="preserve"> فِيهَا </w:t>
      </w:r>
      <w:r w:rsidRPr="00A91B96">
        <w:rPr>
          <w:rStyle w:val="libFootnotenumChar"/>
          <w:rtl/>
        </w:rPr>
        <w:t>(11)</w:t>
      </w:r>
      <w:r w:rsidRPr="00020424">
        <w:rPr>
          <w:rtl/>
          <w:lang w:bidi="fa-IR"/>
        </w:rPr>
        <w:t xml:space="preserve"> ذِكْرَكَ وَشُكْرَكَ ، وَالرَّغْبَةَ إِلَيْكَ ، وَالْإِنَابَةَ وَالتَّوْبَةَ وَالتَّوْفِيقَ لِمَا وَفَّقْتَ لَهُ </w:t>
      </w:r>
      <w:r w:rsidRPr="00A91B96">
        <w:rPr>
          <w:rStyle w:val="libFootnotenumChar"/>
          <w:rtl/>
        </w:rPr>
        <w:t>(12)</w:t>
      </w:r>
      <w:r w:rsidRPr="00020424">
        <w:rPr>
          <w:rtl/>
          <w:lang w:bidi="fa-IR"/>
        </w:rPr>
        <w:t xml:space="preserve"> مُحَمَّداً وَآلَ مُحَمَّدٍ </w:t>
      </w:r>
      <w:r w:rsidRPr="00005A81">
        <w:rPr>
          <w:rStyle w:val="libAlaemChar"/>
          <w:rtl/>
        </w:rPr>
        <w:t>عليهم‌السلام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(13)</w:t>
      </w:r>
      <w:r w:rsidRPr="00020424">
        <w:rPr>
          <w:rtl/>
          <w:lang w:bidi="fa-IR"/>
        </w:rPr>
        <w:t xml:space="preserve"> فِي اللَّيْلَةِ السَّابِعَةِ : يَا مَادَّ الظِّلِّ ، وَلَوْ شِئْتَ لَجَعَلْتَهُ سَاكِناً ، وَجَعَلْتَ الشَّمْسَ عَلَيْهِ دَلِيلاً ، ثُمَّ قَبَضْتَهُ إِلَيْكَ </w:t>
      </w:r>
      <w:r w:rsidRPr="00A91B96">
        <w:rPr>
          <w:rStyle w:val="libFootnotenumChar"/>
          <w:rtl/>
        </w:rPr>
        <w:t>(14)</w:t>
      </w:r>
      <w:r w:rsidRPr="00020424">
        <w:rPr>
          <w:rtl/>
          <w:lang w:bidi="fa-IR"/>
        </w:rPr>
        <w:t xml:space="preserve"> قَبْضاً يَسِيراً ، يَا ذَا الْجُودِ وَالطَّوْلِ ، وَالْكِبْرِيَاءِ‌</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 الآخرة حسنة</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وتقول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هكذا في « ى ، بر</w:t>
      </w:r>
      <w:r w:rsidR="00992664">
        <w:rPr>
          <w:rtl/>
        </w:rPr>
        <w:t xml:space="preserve"> ».</w:t>
      </w:r>
      <w:r w:rsidR="00992664" w:rsidRPr="00020424">
        <w:rPr>
          <w:rtl/>
        </w:rPr>
        <w:t xml:space="preserve"> وفي سائر النسخ والمطبوع : « لتبتغوا</w:t>
      </w:r>
      <w:r w:rsidR="00992664">
        <w:rPr>
          <w:rtl/>
        </w:rPr>
        <w:t xml:space="preserve"> ».</w:t>
      </w:r>
      <w:r w:rsidR="00992664" w:rsidRPr="00020424">
        <w:rPr>
          <w:rtl/>
        </w:rPr>
        <w:t xml:space="preserve"> ومقتضي السياق ما أثبتناه. وفي </w:t>
      </w:r>
      <w:r w:rsidR="00992664" w:rsidRPr="0012008A">
        <w:rPr>
          <w:rStyle w:val="libFootnoteBoldChar"/>
          <w:rtl/>
        </w:rPr>
        <w:t>الفقيه</w:t>
      </w:r>
      <w:r w:rsidR="00992664" w:rsidRPr="00020424">
        <w:rPr>
          <w:rtl/>
        </w:rPr>
        <w:t xml:space="preserve"> : « لنبتغي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بح ، بخ ، بف » : « يا مفضَّل كلّ شي‌ء تفضيلاً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قال ابن الأثير : « المجد في كلام العرب : الشرف الواسع ، ورجل ماجد : مفضال كثير الخير شريف ، والمجيد : فعيل منه للمبالغة. وقيل : هو الكريم الفعال. وقيل : إذا قارن شرف الذات حسن الفعال سمّي مجداً ، وفعيل أبلغ من فاعل ، فكأنّه يجمع معنى الجليل والوهّاب والكريم</w:t>
      </w:r>
      <w:r w:rsidR="00992664">
        <w:rPr>
          <w:rtl/>
        </w:rPr>
        <w:t xml:space="preserve"> ».</w:t>
      </w:r>
      <w:r w:rsidR="00992664" w:rsidRPr="00020424">
        <w:rPr>
          <w:rtl/>
        </w:rPr>
        <w:t xml:space="preserve"> </w:t>
      </w:r>
      <w:r w:rsidR="00992664" w:rsidRPr="0012008A">
        <w:rPr>
          <w:rStyle w:val="libFootnoteBoldChar"/>
          <w:rtl/>
        </w:rPr>
        <w:t>النهاية</w:t>
      </w:r>
      <w:r w:rsidR="00992664" w:rsidRPr="00020424">
        <w:rPr>
          <w:rtl/>
        </w:rPr>
        <w:t xml:space="preserve"> ، ج 4 ، ص 298 ( مجد )</w:t>
      </w:r>
      <w:r w:rsidR="00992664">
        <w:rPr>
          <w:rtl/>
        </w:rPr>
        <w:t>.</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 ثمّ تعود من قوله</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w:t>
      </w:r>
      <w:r w:rsidR="00992664" w:rsidRPr="001D55E5">
        <w:rPr>
          <w:rtl/>
        </w:rPr>
        <w:t xml:space="preserve"> </w:t>
      </w:r>
      <w:r w:rsidR="00D64ADA" w:rsidRPr="001D55E5">
        <w:rPr>
          <w:rtl/>
        </w:rPr>
        <w:t>صلى‌</w:t>
      </w:r>
      <w:r w:rsidR="001D55E5">
        <w:rPr>
          <w:rFonts w:hint="cs"/>
          <w:rtl/>
        </w:rPr>
        <w:t xml:space="preserve"> </w:t>
      </w:r>
      <w:r w:rsidR="00D64ADA" w:rsidRPr="001D55E5">
        <w:rPr>
          <w:rtl/>
        </w:rPr>
        <w:t>الله</w:t>
      </w:r>
      <w:r w:rsidR="001D55E5">
        <w:rPr>
          <w:rFonts w:hint="cs"/>
          <w:rtl/>
        </w:rPr>
        <w:t xml:space="preserve"> </w:t>
      </w:r>
      <w:r w:rsidR="00D64ADA" w:rsidRPr="001D55E5">
        <w:rPr>
          <w:rtl/>
        </w:rPr>
        <w:t>‌عليه</w:t>
      </w:r>
      <w:r w:rsidR="001D55E5">
        <w:rPr>
          <w:rFonts w:hint="cs"/>
          <w:rtl/>
        </w:rPr>
        <w:t xml:space="preserve"> </w:t>
      </w:r>
      <w:r w:rsidR="00D64ADA" w:rsidRPr="001D55E5">
        <w:rPr>
          <w:rtl/>
        </w:rPr>
        <w:t>‌و</w:t>
      </w:r>
      <w:r w:rsidR="001D55E5">
        <w:rPr>
          <w:rFonts w:hint="cs"/>
          <w:rtl/>
        </w:rPr>
        <w:t xml:space="preserve"> </w:t>
      </w:r>
      <w:r w:rsidR="00D64ADA" w:rsidRPr="001D55E5">
        <w:rPr>
          <w:rtl/>
        </w:rPr>
        <w:t>آله</w:t>
      </w:r>
      <w:r w:rsidR="00B42914" w:rsidRPr="001D55E5">
        <w:rPr>
          <w:rtl/>
        </w:rPr>
        <w:t>‌</w:t>
      </w:r>
      <w:r w:rsidR="00992664" w:rsidRPr="001D55E5">
        <w:rPr>
          <w:rtl/>
        </w:rPr>
        <w:t xml:space="preserve"> </w:t>
      </w:r>
      <w:r w:rsidR="00992664">
        <w:rPr>
          <w:rtl/>
        </w:rPr>
        <w:t>».</w:t>
      </w:r>
      <w:r w:rsidR="00992664" w:rsidRPr="00020424">
        <w:rPr>
          <w:rtl/>
        </w:rPr>
        <w:t xml:space="preserve"> وفي « جن » : + « وآل محمّد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بح ، بر ، بس ، بف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 + « إلى آخر الدعاء</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آل محمّد » بدل « على أهل بيته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D55E5" w:rsidTr="001D55E5">
        <w:tc>
          <w:tcPr>
            <w:tcW w:w="4006" w:type="dxa"/>
          </w:tcPr>
          <w:p w:rsidR="001D55E5" w:rsidRDefault="001D55E5" w:rsidP="00992664">
            <w:pPr>
              <w:pStyle w:val="libFootnote0"/>
              <w:rPr>
                <w:rtl/>
              </w:rPr>
            </w:pPr>
            <w:r>
              <w:rPr>
                <w:rtl/>
              </w:rPr>
              <w:t>(9). في«ظ، ى ، بث ، بس،بف،جن</w:t>
            </w:r>
            <w:r w:rsidRPr="00020424">
              <w:rPr>
                <w:rtl/>
              </w:rPr>
              <w:t>» : « بالشكّ</w:t>
            </w:r>
            <w:r>
              <w:rPr>
                <w:rtl/>
              </w:rPr>
              <w:t xml:space="preserve"> ».</w:t>
            </w:r>
          </w:p>
        </w:tc>
        <w:tc>
          <w:tcPr>
            <w:tcW w:w="4006" w:type="dxa"/>
          </w:tcPr>
          <w:p w:rsidR="001D55E5" w:rsidRDefault="001D55E5" w:rsidP="00992664">
            <w:pPr>
              <w:pStyle w:val="libFootnote0"/>
              <w:rPr>
                <w:rtl/>
              </w:rPr>
            </w:pPr>
            <w:r>
              <w:rPr>
                <w:rtl/>
              </w:rPr>
              <w:t xml:space="preserve">(10). </w:t>
            </w:r>
            <w:r w:rsidRPr="00020424">
              <w:rPr>
                <w:rtl/>
              </w:rPr>
              <w:t>في « بح » : « وارزقنا</w:t>
            </w:r>
            <w:r>
              <w:rPr>
                <w:rtl/>
              </w:rPr>
              <w:t xml:space="preserve"> ».</w:t>
            </w:r>
          </w:p>
        </w:tc>
      </w:tr>
      <w:tr w:rsidR="001D55E5" w:rsidTr="001D55E5">
        <w:tc>
          <w:tcPr>
            <w:tcW w:w="4006" w:type="dxa"/>
          </w:tcPr>
          <w:p w:rsidR="001D55E5" w:rsidRDefault="001D55E5" w:rsidP="00992664">
            <w:pPr>
              <w:pStyle w:val="libFootnote0"/>
              <w:rPr>
                <w:rtl/>
              </w:rPr>
            </w:pPr>
            <w:r>
              <w:rPr>
                <w:rtl/>
              </w:rPr>
              <w:t>(11). في«ظ،ى،بح</w:t>
            </w:r>
            <w:r w:rsidRPr="00020424">
              <w:rPr>
                <w:rtl/>
              </w:rPr>
              <w:t>، بخ ، بس ، بف » :</w:t>
            </w:r>
            <w:r>
              <w:rPr>
                <w:rtl/>
              </w:rPr>
              <w:t xml:space="preserve"> - </w:t>
            </w:r>
            <w:r w:rsidRPr="00020424">
              <w:rPr>
                <w:rtl/>
              </w:rPr>
              <w:t>« فيها</w:t>
            </w:r>
            <w:r>
              <w:rPr>
                <w:rtl/>
              </w:rPr>
              <w:t xml:space="preserve"> ».</w:t>
            </w:r>
          </w:p>
        </w:tc>
        <w:tc>
          <w:tcPr>
            <w:tcW w:w="4006" w:type="dxa"/>
          </w:tcPr>
          <w:p w:rsidR="001D55E5" w:rsidRDefault="001D55E5" w:rsidP="00992664">
            <w:pPr>
              <w:pStyle w:val="libFootnote0"/>
              <w:rPr>
                <w:rtl/>
              </w:rPr>
            </w:pPr>
            <w:r>
              <w:rPr>
                <w:rtl/>
              </w:rPr>
              <w:t xml:space="preserve">(12). </w:t>
            </w:r>
            <w:r w:rsidRPr="00020424">
              <w:rPr>
                <w:rtl/>
              </w:rPr>
              <w:t>في « ظ » :</w:t>
            </w:r>
            <w:r>
              <w:rPr>
                <w:rtl/>
              </w:rPr>
              <w:t xml:space="preserve"> - </w:t>
            </w:r>
            <w:r w:rsidRPr="00020424">
              <w:rPr>
                <w:rtl/>
              </w:rPr>
              <w:t>« له</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وأن تجعل اسمي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وتقول</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إليك</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855FB9">
      <w:pPr>
        <w:pStyle w:val="libNormal0"/>
        <w:rPr>
          <w:rtl/>
          <w:lang w:bidi="fa-IR"/>
        </w:rPr>
      </w:pPr>
      <w:r w:rsidRPr="00020424">
        <w:rPr>
          <w:rtl/>
          <w:lang w:bidi="fa-IR"/>
        </w:rPr>
        <w:t>وَالْآلَاءِ ، لَا</w:t>
      </w:r>
      <w:r>
        <w:rPr>
          <w:rFonts w:hint="cs"/>
          <w:rtl/>
          <w:lang w:bidi="fa-IR"/>
        </w:rPr>
        <w:t xml:space="preserve"> </w:t>
      </w:r>
      <w:r w:rsidR="00500418">
        <w:rPr>
          <w:rtl/>
          <w:lang w:bidi="fa-IR"/>
        </w:rPr>
        <w:t>إِلهَ إِل</w:t>
      </w:r>
      <w:r w:rsidR="00500418">
        <w:rPr>
          <w:rFonts w:hint="cs"/>
          <w:rtl/>
          <w:lang w:bidi="fa-IR"/>
        </w:rPr>
        <w:t>َّ</w:t>
      </w:r>
      <w:r w:rsidR="00500418">
        <w:rPr>
          <w:rtl/>
          <w:lang w:bidi="fa-IR"/>
        </w:rPr>
        <w:t>ا</w:t>
      </w:r>
      <w:r w:rsidRPr="00020424">
        <w:rPr>
          <w:rtl/>
          <w:lang w:bidi="fa-IR"/>
        </w:rPr>
        <w:t xml:space="preserve"> أَنْتَ ، عَالِمُ الْغَيْبِ وَالشَّهَادَةِ ، الرَّحْمنُ الرَّحِيمُ ، لَا</w:t>
      </w:r>
      <w:r>
        <w:rPr>
          <w:rFonts w:hint="cs"/>
          <w:rtl/>
          <w:lang w:bidi="fa-IR"/>
        </w:rPr>
        <w:t xml:space="preserve"> </w:t>
      </w:r>
      <w:r w:rsidRPr="00020424">
        <w:rPr>
          <w:rtl/>
          <w:lang w:bidi="fa-IR"/>
        </w:rPr>
        <w:t xml:space="preserve">إِلهَ </w:t>
      </w:r>
      <w:r w:rsidR="00855FB9">
        <w:rPr>
          <w:rtl/>
          <w:lang w:bidi="fa-IR"/>
        </w:rPr>
        <w:t>إِل</w:t>
      </w:r>
      <w:r w:rsidR="00855FB9">
        <w:rPr>
          <w:rFonts w:hint="cs"/>
          <w:rtl/>
          <w:lang w:bidi="fa-IR"/>
        </w:rPr>
        <w:t>َّ</w:t>
      </w:r>
      <w:r w:rsidR="00855FB9">
        <w:rPr>
          <w:rtl/>
          <w:lang w:bidi="fa-IR"/>
        </w:rPr>
        <w:t>ا</w:t>
      </w:r>
      <w:r w:rsidR="00855FB9" w:rsidRPr="00020424">
        <w:rPr>
          <w:rtl/>
          <w:lang w:bidi="fa-IR"/>
        </w:rPr>
        <w:t xml:space="preserve"> </w:t>
      </w:r>
      <w:r w:rsidRPr="00020424">
        <w:rPr>
          <w:rtl/>
          <w:lang w:bidi="fa-IR"/>
        </w:rPr>
        <w:t xml:space="preserve">أَنْتَ ، يَا قُدُّوسُ يَا سَلَامُ ، يَا مُؤْمِنُ يَا مُهَيْمِنُ ، يَا عَزِيزُ يَا جَبَّارُ يَا مُتَكَبِّرُ ، يَا اللهُ يَا خَالِقُ ، يَا بَارِئُ يَا مُصَوِّرُ ، يَا اللهُ يَا اللهُ يَا اللهُ ، لَكَ الْأَسْمَاءُ الْحُسْنى ، وَالْأَمْثَالُ الْعُلْيَا ، وَالْكِبْرِيَاءُ وَالْآلَاءُ </w:t>
      </w:r>
      <w:r w:rsidRPr="00A91B96">
        <w:rPr>
          <w:rStyle w:val="libFootnotenumChar"/>
          <w:rtl/>
        </w:rPr>
        <w:t>(1)</w:t>
      </w:r>
      <w:r w:rsidRPr="00020424">
        <w:rPr>
          <w:rtl/>
          <w:lang w:bidi="fa-IR"/>
        </w:rPr>
        <w:t xml:space="preserve"> ، أَسْأَلُكَ أَنْ تُصَلِّيَ عَلى مُحَمَّدٍ ، وَعَلى </w:t>
      </w:r>
      <w:r w:rsidRPr="00A91B96">
        <w:rPr>
          <w:rStyle w:val="libFootnotenumChar"/>
          <w:rtl/>
        </w:rPr>
        <w:t>(2)</w:t>
      </w:r>
      <w:r w:rsidRPr="00020424">
        <w:rPr>
          <w:rtl/>
          <w:lang w:bidi="fa-IR"/>
        </w:rPr>
        <w:t xml:space="preserve"> أَهْلِ بَيْتِهِ </w:t>
      </w:r>
      <w:r w:rsidRPr="00A91B96">
        <w:rPr>
          <w:rStyle w:val="libFootnotenumChar"/>
          <w:rtl/>
        </w:rPr>
        <w:t>(3)</w:t>
      </w:r>
      <w:r w:rsidRPr="00020424">
        <w:rPr>
          <w:rtl/>
          <w:lang w:bidi="fa-IR"/>
        </w:rPr>
        <w:t xml:space="preserve"> ، وَأَنْ تَجْعَلَ اسْمِي فِي هذِهِ اللَّيْلَةِ فِي السُّعَدَاءِ ، وَ</w:t>
      </w:r>
      <w:r w:rsidR="00641947">
        <w:rPr>
          <w:rFonts w:hint="cs"/>
          <w:rtl/>
          <w:lang w:bidi="fa-IR"/>
        </w:rPr>
        <w:t xml:space="preserve"> </w:t>
      </w:r>
      <w:r w:rsidRPr="00020424">
        <w:rPr>
          <w:rtl/>
          <w:lang w:bidi="fa-IR"/>
        </w:rPr>
        <w:t xml:space="preserve">رُوحِي مَعَ الشُّهَدَاءِ ، وَإِحْسَانِي فِي عِلِّيِّينَ ، وَإِسَاءَتِي مَغْفُورَةً ، وَأَنْ تَهَبَ لِي يَقِيناً تُبَاشِرُ بِهِ قَلْبِي ، وَإِيمَاناً يُذْهِبُ </w:t>
      </w:r>
      <w:r w:rsidRPr="00A91B96">
        <w:rPr>
          <w:rStyle w:val="libFootnotenumChar"/>
          <w:rtl/>
        </w:rPr>
        <w:t>(4)</w:t>
      </w:r>
      <w:r w:rsidRPr="00020424">
        <w:rPr>
          <w:rtl/>
          <w:lang w:bidi="fa-IR"/>
        </w:rPr>
        <w:t xml:space="preserve"> الشَّكَّ </w:t>
      </w:r>
      <w:r w:rsidRPr="00A91B96">
        <w:rPr>
          <w:rStyle w:val="libFootnotenumChar"/>
          <w:rtl/>
        </w:rPr>
        <w:t>(5)</w:t>
      </w:r>
      <w:r w:rsidRPr="00020424">
        <w:rPr>
          <w:rtl/>
          <w:lang w:bidi="fa-IR"/>
        </w:rPr>
        <w:t xml:space="preserve"> عَنِّي ، وَتُرْضِيَنِي بِمَا قَسَمْتَ لِي ، </w:t>
      </w:r>
      <w:r w:rsidRPr="000837B8">
        <w:rPr>
          <w:rtl/>
        </w:rPr>
        <w:t>وَآتِنا فِي الدُّنْيا حَسَنَةً ، وَفِي الْآخِرَةِ حَسَنَةً ، وَقِنا عَذابَ</w:t>
      </w:r>
      <w:r w:rsidRPr="00020424">
        <w:rPr>
          <w:rtl/>
          <w:lang w:bidi="fa-IR"/>
        </w:rPr>
        <w:t xml:space="preserve"> الْحَرِيقِ </w:t>
      </w:r>
      <w:r w:rsidRPr="00A91B96">
        <w:rPr>
          <w:rStyle w:val="libFootnotenumChar"/>
          <w:rtl/>
        </w:rPr>
        <w:t>(6)</w:t>
      </w:r>
      <w:r w:rsidRPr="00020424">
        <w:rPr>
          <w:rtl/>
          <w:lang w:bidi="fa-IR"/>
        </w:rPr>
        <w:t xml:space="preserve"> ، وَارْزُقْنِي فِيهَا ذِكْرَكَ وَشُكْرَكَ وَالرَّغْبَةَ إِلَيْكَ وَالْإِنَابَةَ وَ</w:t>
      </w:r>
      <w:r>
        <w:rPr>
          <w:rFonts w:hint="cs"/>
          <w:rtl/>
          <w:lang w:bidi="fa-IR"/>
        </w:rPr>
        <w:t xml:space="preserve"> </w:t>
      </w:r>
      <w:r w:rsidRPr="00A91B96">
        <w:rPr>
          <w:rStyle w:val="libFootnotenumChar"/>
          <w:rtl/>
        </w:rPr>
        <w:t>(7)</w:t>
      </w:r>
      <w:r w:rsidRPr="00020424">
        <w:rPr>
          <w:rtl/>
          <w:lang w:bidi="fa-IR"/>
        </w:rPr>
        <w:t xml:space="preserve"> التَّوْبَةَ وَالتَّوْفِيقَ لِمَا وَفَّقْتَ لَهُ مُحَمَّداً وَآلَ مُحَمَّدٍ </w:t>
      </w:r>
      <w:r w:rsidRPr="00005A81">
        <w:rPr>
          <w:rStyle w:val="libAlaemChar"/>
          <w:rtl/>
        </w:rPr>
        <w:t>عليهم‌السلام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(8)</w:t>
      </w:r>
      <w:r w:rsidRPr="00020424">
        <w:rPr>
          <w:rtl/>
          <w:lang w:bidi="fa-IR"/>
        </w:rPr>
        <w:t xml:space="preserve"> فِي اللَّيْلَةِ الثَّامِنَةِ : يَا خَازِنَ اللَّيْلِ فِي الْهَوَاءِ ، وَخَازِنَ النُّورِ فِي السَّمَاءِ ، وَمَانِعَ السَّمَاءِ أَ</w:t>
      </w:r>
      <w:r w:rsidR="00641947">
        <w:rPr>
          <w:rtl/>
          <w:lang w:bidi="fa-IR"/>
        </w:rPr>
        <w:t>نْ تَقَعَ عَلَى الْأَرْضِ إِل</w:t>
      </w:r>
      <w:r w:rsidR="00641947">
        <w:rPr>
          <w:rFonts w:hint="cs"/>
          <w:rtl/>
          <w:lang w:bidi="fa-IR"/>
        </w:rPr>
        <w:t>َّ</w:t>
      </w:r>
      <w:r w:rsidR="00641947">
        <w:rPr>
          <w:rtl/>
          <w:lang w:bidi="fa-IR"/>
        </w:rPr>
        <w:t>ا</w:t>
      </w:r>
      <w:r w:rsidRPr="00020424">
        <w:rPr>
          <w:rtl/>
          <w:lang w:bidi="fa-IR"/>
        </w:rPr>
        <w:t xml:space="preserve"> بِإِذْنِهِ ، وَحَابِسَهُمَا أَنْ تَزُولَا ، يَا عَلِيمُ </w:t>
      </w:r>
      <w:r w:rsidRPr="00A91B96">
        <w:rPr>
          <w:rStyle w:val="libFootnotenumChar"/>
          <w:rtl/>
        </w:rPr>
        <w:t>(9)</w:t>
      </w:r>
      <w:r w:rsidRPr="00020424">
        <w:rPr>
          <w:rtl/>
          <w:lang w:bidi="fa-IR"/>
        </w:rPr>
        <w:t xml:space="preserve"> يَا غَفُورُ ، يَا دَائِمُ يَا اللهُ ، يَا وَارِثُ يَا بَاعِثَ مَنْ فِي الْقُبُورِ ، يَا اللهُ يَا اللهُ يَا اللهُ ، لَكَ الْأَسْمَاءُ الْحُسْنى ، وَالْأَمْثَالُ الْعُلْيَا وَالْكِبْرِيَاءُ وَالْآلَاءُ </w:t>
      </w:r>
      <w:r w:rsidRPr="00A91B96">
        <w:rPr>
          <w:rStyle w:val="libFootnotenumChar"/>
          <w:rtl/>
        </w:rPr>
        <w:t>(10)</w:t>
      </w:r>
      <w:r w:rsidRPr="00020424">
        <w:rPr>
          <w:rtl/>
          <w:lang w:bidi="fa-IR"/>
        </w:rPr>
        <w:t xml:space="preserve"> ، أَسْأَلُكَ أَنْ تُصَلِّيَ عَلى مُحَمَّدٍ ، وَعَلى </w:t>
      </w:r>
      <w:r w:rsidRPr="00A91B96">
        <w:rPr>
          <w:rStyle w:val="libFootnotenumChar"/>
          <w:rtl/>
        </w:rPr>
        <w:t>(11)</w:t>
      </w:r>
      <w:r w:rsidRPr="00020424">
        <w:rPr>
          <w:rtl/>
          <w:lang w:bidi="fa-IR"/>
        </w:rPr>
        <w:t xml:space="preserve"> أَهْلِ بَيْتِهِ </w:t>
      </w:r>
      <w:r w:rsidRPr="00A91B96">
        <w:rPr>
          <w:rStyle w:val="libFootnotenumChar"/>
          <w:rtl/>
        </w:rPr>
        <w:t>(12)</w:t>
      </w:r>
      <w:r w:rsidRPr="00020424">
        <w:rPr>
          <w:rtl/>
          <w:lang w:bidi="fa-IR"/>
        </w:rPr>
        <w:t xml:space="preserve"> ، وَأَنْ تَجْعَلَ اسْمِي فِي هذِهِ اللَّيْلَةِ فِي السُّعَدَاءِ ، وَرُوحِي مَعَ الشُّهَدَاءِ ،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561EE" w:rsidTr="00A561EE">
        <w:tc>
          <w:tcPr>
            <w:tcW w:w="4006" w:type="dxa"/>
          </w:tcPr>
          <w:p w:rsidR="00A561EE" w:rsidRDefault="00A561EE" w:rsidP="00992664">
            <w:pPr>
              <w:pStyle w:val="libFootnote0"/>
              <w:rPr>
                <w:rtl/>
              </w:rPr>
            </w:pPr>
            <w:r>
              <w:rPr>
                <w:rtl/>
              </w:rPr>
              <w:t xml:space="preserve">(1). </w:t>
            </w:r>
            <w:r w:rsidRPr="00020424">
              <w:rPr>
                <w:rtl/>
              </w:rPr>
              <w:t>في « بر » : + « ثمّ تقرأ من قوله</w:t>
            </w:r>
            <w:r>
              <w:rPr>
                <w:rtl/>
              </w:rPr>
              <w:t xml:space="preserve"> ».</w:t>
            </w:r>
          </w:p>
        </w:tc>
        <w:tc>
          <w:tcPr>
            <w:tcW w:w="4006" w:type="dxa"/>
          </w:tcPr>
          <w:p w:rsidR="00A561EE" w:rsidRDefault="00A561EE" w:rsidP="00992664">
            <w:pPr>
              <w:pStyle w:val="libFootnote0"/>
              <w:rPr>
                <w:rtl/>
              </w:rPr>
            </w:pPr>
            <w:r>
              <w:rPr>
                <w:rtl/>
              </w:rPr>
              <w:t>(2). في «ظ، ى، بث، بح، بس</w:t>
            </w:r>
            <w:r w:rsidRPr="00020424">
              <w:rPr>
                <w:rtl/>
              </w:rPr>
              <w:t>»</w:t>
            </w:r>
            <w:r w:rsidRPr="00515444">
              <w:rPr>
                <w:rStyle w:val="libFootnoteBoldChar"/>
                <w:rtl/>
              </w:rPr>
              <w:t>والوافي</w:t>
            </w:r>
            <w:r w:rsidRPr="00020424">
              <w:rPr>
                <w:rtl/>
              </w:rPr>
              <w:t xml:space="preserve"> :</w:t>
            </w:r>
            <w:r>
              <w:rPr>
                <w:rtl/>
              </w:rPr>
              <w:t xml:space="preserve"> - «</w:t>
            </w:r>
            <w:r w:rsidRPr="00020424">
              <w:rPr>
                <w:rtl/>
              </w:rPr>
              <w:t>على</w:t>
            </w:r>
            <w:r>
              <w:rPr>
                <w:rtl/>
              </w:rPr>
              <w:t>».</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 + « إلى آخر الدعاء</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آل محمّد » بدل « على أهل بيته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75469" w:rsidTr="00775469">
        <w:tc>
          <w:tcPr>
            <w:tcW w:w="4006" w:type="dxa"/>
          </w:tcPr>
          <w:p w:rsidR="00775469" w:rsidRDefault="00775469" w:rsidP="00992664">
            <w:pPr>
              <w:pStyle w:val="libFootnote0"/>
              <w:rPr>
                <w:rtl/>
                <w:lang w:bidi="fa-IR"/>
              </w:rPr>
            </w:pPr>
            <w:r>
              <w:rPr>
                <w:rtl/>
              </w:rPr>
              <w:t xml:space="preserve">(4). </w:t>
            </w:r>
            <w:r w:rsidRPr="00020424">
              <w:rPr>
                <w:rtl/>
              </w:rPr>
              <w:t>في « جن » : « تذهب</w:t>
            </w:r>
            <w:r>
              <w:rPr>
                <w:rtl/>
              </w:rPr>
              <w:t xml:space="preserve"> ».</w:t>
            </w:r>
          </w:p>
        </w:tc>
        <w:tc>
          <w:tcPr>
            <w:tcW w:w="4006" w:type="dxa"/>
          </w:tcPr>
          <w:p w:rsidR="00775469" w:rsidRDefault="00775469" w:rsidP="00992664">
            <w:pPr>
              <w:pStyle w:val="libFootnote0"/>
              <w:rPr>
                <w:rtl/>
                <w:lang w:bidi="fa-IR"/>
              </w:rPr>
            </w:pPr>
            <w:r>
              <w:rPr>
                <w:rtl/>
              </w:rPr>
              <w:t xml:space="preserve">(5). </w:t>
            </w:r>
            <w:r w:rsidRPr="00020424">
              <w:rPr>
                <w:rtl/>
              </w:rPr>
              <w:t>في « بس » : « بالشكّ</w:t>
            </w:r>
            <w:r>
              <w:rPr>
                <w:rtl/>
              </w:rPr>
              <w:t xml:space="preserve"> ».</w:t>
            </w:r>
          </w:p>
        </w:tc>
      </w:tr>
      <w:tr w:rsidR="00775469" w:rsidTr="00775469">
        <w:tc>
          <w:tcPr>
            <w:tcW w:w="4006" w:type="dxa"/>
          </w:tcPr>
          <w:p w:rsidR="00775469" w:rsidRDefault="00775469" w:rsidP="00992664">
            <w:pPr>
              <w:pStyle w:val="libFootnote0"/>
              <w:rPr>
                <w:rtl/>
                <w:lang w:bidi="fa-IR"/>
              </w:rPr>
            </w:pPr>
            <w:r>
              <w:rPr>
                <w:rtl/>
              </w:rPr>
              <w:t xml:space="preserve">(6). </w:t>
            </w:r>
            <w:r w:rsidRPr="00020424">
              <w:rPr>
                <w:rtl/>
              </w:rPr>
              <w:t>في « جن » : « النار</w:t>
            </w:r>
            <w:r>
              <w:rPr>
                <w:rtl/>
              </w:rPr>
              <w:t xml:space="preserve"> ».</w:t>
            </w:r>
          </w:p>
        </w:tc>
        <w:tc>
          <w:tcPr>
            <w:tcW w:w="4006" w:type="dxa"/>
          </w:tcPr>
          <w:p w:rsidR="00775469" w:rsidRDefault="00775469" w:rsidP="00992664">
            <w:pPr>
              <w:pStyle w:val="libFootnote0"/>
              <w:rPr>
                <w:rtl/>
                <w:lang w:bidi="fa-IR"/>
              </w:rPr>
            </w:pPr>
            <w:r>
              <w:rPr>
                <w:rtl/>
              </w:rPr>
              <w:t xml:space="preserve">(7). </w:t>
            </w:r>
            <w:r w:rsidR="001959EC">
              <w:rPr>
                <w:rtl/>
              </w:rPr>
              <w:t>في«بر»</w:t>
            </w:r>
            <w:r w:rsidRPr="00020424">
              <w:rPr>
                <w:rtl/>
              </w:rPr>
              <w:t>:</w:t>
            </w:r>
            <w:r>
              <w:rPr>
                <w:rtl/>
              </w:rPr>
              <w:t>-</w:t>
            </w:r>
            <w:r w:rsidR="001959EC">
              <w:rPr>
                <w:rtl/>
              </w:rPr>
              <w:t>«</w:t>
            </w:r>
            <w:r w:rsidRPr="00020424">
              <w:rPr>
                <w:rtl/>
              </w:rPr>
              <w:t>وأن تجعل اسمي</w:t>
            </w:r>
            <w:r>
              <w:rPr>
                <w:rtl/>
              </w:rPr>
              <w:t>-</w:t>
            </w:r>
            <w:r w:rsidRPr="00020424">
              <w:rPr>
                <w:rtl/>
              </w:rPr>
              <w:t>إلى</w:t>
            </w:r>
            <w:r>
              <w:rPr>
                <w:rtl/>
              </w:rPr>
              <w:t xml:space="preserve">- </w:t>
            </w:r>
            <w:r w:rsidRPr="00020424">
              <w:rPr>
                <w:rtl/>
              </w:rPr>
              <w:t xml:space="preserve">إليك والإنابة </w:t>
            </w:r>
            <w:r w:rsidR="001959EC">
              <w:rPr>
                <w:rtl/>
              </w:rPr>
              <w:t>و</w:t>
            </w:r>
            <w:r>
              <w:rPr>
                <w:rtl/>
              </w:rPr>
              <w:t>».</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 « ويقول</w:t>
      </w:r>
      <w:r w:rsidR="00992664">
        <w:rPr>
          <w:rtl/>
        </w:rPr>
        <w:t xml:space="preserve"> ».</w:t>
      </w:r>
      <w:r w:rsidR="00992664" w:rsidRPr="00020424">
        <w:rPr>
          <w:rtl/>
        </w:rPr>
        <w:t xml:space="preserve"> وفي « بر » :</w:t>
      </w:r>
      <w:r w:rsidR="00992664">
        <w:rPr>
          <w:rtl/>
        </w:rPr>
        <w:t xml:space="preserve"> </w:t>
      </w:r>
      <w:r w:rsidR="009B673F">
        <w:rPr>
          <w:rtl/>
        </w:rPr>
        <w:t>-</w:t>
      </w:r>
      <w:r w:rsidR="00992664">
        <w:rPr>
          <w:rtl/>
        </w:rPr>
        <w:t xml:space="preserve"> </w:t>
      </w:r>
      <w:r w:rsidR="00992664" w:rsidRPr="00020424">
        <w:rPr>
          <w:rtl/>
        </w:rPr>
        <w:t>« التوبة والتوفيق</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وتقول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C5E56" w:rsidTr="009C5E56">
        <w:tc>
          <w:tcPr>
            <w:tcW w:w="4006" w:type="dxa"/>
          </w:tcPr>
          <w:p w:rsidR="009C5E56" w:rsidRDefault="009C5E56" w:rsidP="00992664">
            <w:pPr>
              <w:pStyle w:val="libFootnote0"/>
              <w:rPr>
                <w:rtl/>
                <w:lang w:bidi="fa-IR"/>
              </w:rPr>
            </w:pPr>
            <w:r>
              <w:rPr>
                <w:rtl/>
              </w:rPr>
              <w:t xml:space="preserve">(9). </w:t>
            </w:r>
            <w:r w:rsidRPr="00020424">
              <w:rPr>
                <w:rtl/>
              </w:rPr>
              <w:t xml:space="preserve">في </w:t>
            </w:r>
            <w:r w:rsidRPr="0012008A">
              <w:rPr>
                <w:rStyle w:val="libFootnoteBoldChar"/>
                <w:rtl/>
              </w:rPr>
              <w:t>الفقيه</w:t>
            </w:r>
            <w:r w:rsidRPr="00020424">
              <w:rPr>
                <w:rtl/>
              </w:rPr>
              <w:t xml:space="preserve"> : « عظيم</w:t>
            </w:r>
            <w:r>
              <w:rPr>
                <w:rtl/>
              </w:rPr>
              <w:t xml:space="preserve"> ».</w:t>
            </w:r>
          </w:p>
        </w:tc>
        <w:tc>
          <w:tcPr>
            <w:tcW w:w="4006" w:type="dxa"/>
          </w:tcPr>
          <w:p w:rsidR="009C5E56" w:rsidRDefault="009C5E56" w:rsidP="00992664">
            <w:pPr>
              <w:pStyle w:val="libFootnote0"/>
              <w:rPr>
                <w:rtl/>
                <w:lang w:bidi="fa-IR"/>
              </w:rPr>
            </w:pPr>
            <w:r>
              <w:rPr>
                <w:rtl/>
              </w:rPr>
              <w:t xml:space="preserve">(10). </w:t>
            </w:r>
            <w:r w:rsidRPr="00020424">
              <w:rPr>
                <w:rtl/>
              </w:rPr>
              <w:t>في « بر » : + « ثمّ تعود الدعاء من قوله</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ى ، بح ، جن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على</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بخ ، بس ، بف » وحاشية « بث » </w:t>
      </w:r>
      <w:r w:rsidR="00992664" w:rsidRPr="00FD6221">
        <w:rPr>
          <w:rStyle w:val="libFootnoteBoldChar"/>
          <w:rtl/>
        </w:rPr>
        <w:t>والفقيه</w:t>
      </w:r>
      <w:r w:rsidR="00992664" w:rsidRPr="00020424">
        <w:rPr>
          <w:rtl/>
        </w:rPr>
        <w:t xml:space="preserve"> : « وآل محمّد » بدل « وعلى أهل بيته</w:t>
      </w:r>
      <w:r w:rsidR="00992664">
        <w:rPr>
          <w:rtl/>
        </w:rPr>
        <w:t xml:space="preserve"> ».</w:t>
      </w:r>
      <w:r w:rsidR="00992664" w:rsidRPr="00020424">
        <w:rPr>
          <w:rtl/>
        </w:rPr>
        <w:t xml:space="preserve"> وفي « بر » : « وآل محمّد إلى‌آخره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0E05C5">
      <w:pPr>
        <w:pStyle w:val="libNormal0"/>
        <w:rPr>
          <w:rtl/>
          <w:lang w:bidi="fa-IR"/>
        </w:rPr>
      </w:pPr>
      <w:r w:rsidRPr="00020424">
        <w:rPr>
          <w:rtl/>
          <w:lang w:bidi="fa-IR"/>
        </w:rPr>
        <w:t xml:space="preserve">وَإِحْسَانِي فِي عِلِّيِّينَ ، وَإِسَاءَتِي مَغْفُورَةً ، وَأَنْ </w:t>
      </w:r>
      <w:r w:rsidRPr="00A91B96">
        <w:rPr>
          <w:rStyle w:val="libFootnotenumChar"/>
          <w:rtl/>
        </w:rPr>
        <w:t>(1)</w:t>
      </w:r>
      <w:r w:rsidRPr="00020424">
        <w:rPr>
          <w:rtl/>
          <w:lang w:bidi="fa-IR"/>
        </w:rPr>
        <w:t xml:space="preserve"> تَهَبَ لِي يَقِيناً تُبَاشِرُ بِهِ قَلْبِي ، وَإِيمَاناً يُذْهِبُ </w:t>
      </w:r>
      <w:r w:rsidRPr="00A91B96">
        <w:rPr>
          <w:rStyle w:val="libFootnotenumChar"/>
          <w:rtl/>
        </w:rPr>
        <w:t>(2)</w:t>
      </w:r>
      <w:r w:rsidRPr="00020424">
        <w:rPr>
          <w:rtl/>
          <w:lang w:bidi="fa-IR"/>
        </w:rPr>
        <w:t xml:space="preserve"> الشَّكَّ </w:t>
      </w:r>
      <w:r w:rsidRPr="00A91B96">
        <w:rPr>
          <w:rStyle w:val="libFootnotenumChar"/>
          <w:rtl/>
        </w:rPr>
        <w:t>(3)</w:t>
      </w:r>
      <w:r w:rsidRPr="00020424">
        <w:rPr>
          <w:rtl/>
          <w:lang w:bidi="fa-IR"/>
        </w:rPr>
        <w:t xml:space="preserve"> عَنِّي ، وَتُرْضِيَنِي بِمَا قَسَمْتَ لِي ، وَ</w:t>
      </w:r>
      <w:r w:rsidRPr="009E7592">
        <w:rPr>
          <w:rtl/>
        </w:rPr>
        <w:t>آتِنا فِي الدُّنْيا حَسَنَةً ، وَفِي الْآخِرَةِ حَسَنَةً ، وَقِنا</w:t>
      </w:r>
      <w:r w:rsidRPr="00020424">
        <w:rPr>
          <w:rtl/>
          <w:lang w:bidi="fa-IR"/>
        </w:rPr>
        <w:t xml:space="preserve"> </w:t>
      </w:r>
      <w:r w:rsidRPr="00A91B96">
        <w:rPr>
          <w:rStyle w:val="libFootnotenumChar"/>
          <w:rtl/>
        </w:rPr>
        <w:t>(4)</w:t>
      </w:r>
      <w:r w:rsidRPr="00020424">
        <w:rPr>
          <w:rtl/>
          <w:lang w:bidi="fa-IR"/>
        </w:rPr>
        <w:t xml:space="preserve"> </w:t>
      </w:r>
      <w:r w:rsidRPr="009E7592">
        <w:rPr>
          <w:rtl/>
        </w:rPr>
        <w:t>عَذابَ</w:t>
      </w:r>
      <w:r w:rsidRPr="00020424">
        <w:rPr>
          <w:rtl/>
          <w:lang w:bidi="fa-IR"/>
        </w:rPr>
        <w:t xml:space="preserve"> الْحَرِيقِ ، وَارْزُقْنِي </w:t>
      </w:r>
      <w:r w:rsidRPr="00A91B96">
        <w:rPr>
          <w:rStyle w:val="libFootnotenumChar"/>
          <w:rtl/>
        </w:rPr>
        <w:t>(5)</w:t>
      </w:r>
      <w:r w:rsidRPr="00020424">
        <w:rPr>
          <w:rtl/>
          <w:lang w:bidi="fa-IR"/>
        </w:rPr>
        <w:t xml:space="preserve"> فِيهَا ذِكْرَكَ وَشُكْرَكَ ، وَالرَّغْبَةَ إِلَيْكَ ، وَالْإِنَابَةَ وَالتَّوْبَةَ وَالتَّوْفِيقَ لِمَا وَفَّقْتَ لَهُ مُحَمَّداً وَآلَ مُحَمَّدٍ </w:t>
      </w:r>
      <w:r w:rsidRPr="00005A81">
        <w:rPr>
          <w:rStyle w:val="libAlaemChar"/>
          <w:rtl/>
        </w:rPr>
        <w:t>عليهم‌السلام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(6)</w:t>
      </w:r>
      <w:r w:rsidRPr="00020424">
        <w:rPr>
          <w:rtl/>
          <w:lang w:bidi="fa-IR"/>
        </w:rPr>
        <w:t xml:space="preserve"> فِي اللَّيْلَةِ التَّاسِعَةِ : يَا مُكَوِّرَ اللَّيْلِ عَلَى النَّهَارِ </w:t>
      </w:r>
      <w:r w:rsidRPr="00A91B96">
        <w:rPr>
          <w:rStyle w:val="libFootnotenumChar"/>
          <w:rtl/>
        </w:rPr>
        <w:t>(7)</w:t>
      </w:r>
      <w:r w:rsidRPr="00020424">
        <w:rPr>
          <w:rtl/>
          <w:lang w:bidi="fa-IR"/>
        </w:rPr>
        <w:t xml:space="preserve"> ، وَمُكَوِّرَ النَّهَارِ عَلَى اللَّيْلِ ، يَا عَلِيمُ </w:t>
      </w:r>
      <w:r w:rsidRPr="00A91B96">
        <w:rPr>
          <w:rStyle w:val="libFootnotenumChar"/>
          <w:rtl/>
        </w:rPr>
        <w:t>(8)</w:t>
      </w:r>
      <w:r w:rsidRPr="00020424">
        <w:rPr>
          <w:rtl/>
          <w:lang w:bidi="fa-IR"/>
        </w:rPr>
        <w:t xml:space="preserve"> يَا حَكِيمُ ، يَا اللهُ ، يَا رَبَّ الْأَرْبَابِ ، وَسَيِّدَ السَّادَاتِ </w:t>
      </w:r>
      <w:r w:rsidRPr="00A91B96">
        <w:rPr>
          <w:rStyle w:val="libFootnotenumChar"/>
          <w:rtl/>
        </w:rPr>
        <w:t>(9)</w:t>
      </w:r>
      <w:r w:rsidRPr="00020424">
        <w:rPr>
          <w:rtl/>
          <w:lang w:bidi="fa-IR"/>
        </w:rPr>
        <w:t xml:space="preserve"> ، لَا</w:t>
      </w:r>
      <w:r>
        <w:rPr>
          <w:rFonts w:hint="cs"/>
          <w:rtl/>
          <w:lang w:bidi="fa-IR"/>
        </w:rPr>
        <w:t xml:space="preserve"> </w:t>
      </w:r>
      <w:r w:rsidR="000E05C5">
        <w:rPr>
          <w:rtl/>
          <w:lang w:bidi="fa-IR"/>
        </w:rPr>
        <w:t>إِلهَ إِل</w:t>
      </w:r>
      <w:r w:rsidR="000E05C5">
        <w:rPr>
          <w:rFonts w:hint="cs"/>
          <w:rtl/>
          <w:lang w:bidi="fa-IR"/>
        </w:rPr>
        <w:t>َّ</w:t>
      </w:r>
      <w:r w:rsidR="000E05C5">
        <w:rPr>
          <w:rtl/>
          <w:lang w:bidi="fa-IR"/>
        </w:rPr>
        <w:t>ا</w:t>
      </w:r>
      <w:r w:rsidRPr="00020424">
        <w:rPr>
          <w:rtl/>
          <w:lang w:bidi="fa-IR"/>
        </w:rPr>
        <w:t xml:space="preserve"> أَنْتَ ، يَا أَقْرَبَ </w:t>
      </w:r>
      <w:r w:rsidRPr="00A91B96">
        <w:rPr>
          <w:rStyle w:val="libFootnotenumChar"/>
          <w:rtl/>
        </w:rPr>
        <w:t>(10)</w:t>
      </w:r>
      <w:r w:rsidRPr="00020424">
        <w:rPr>
          <w:rtl/>
          <w:lang w:bidi="fa-IR"/>
        </w:rPr>
        <w:t xml:space="preserve"> إِلَيَّ مِنْ حَبْلِ الْوَرِيدِ ، يَا اللهُ يَا اللهُ يَا اللهُ ، لَكَ الْأَسْمَاءُ الْحُسْنى ، وَالْأَمْثَالُ الْعُلْيَا ، وَالْكِبْرِيَاءُ وَالْآلَاءُ </w:t>
      </w:r>
      <w:r w:rsidRPr="00A91B96">
        <w:rPr>
          <w:rStyle w:val="libFootnotenumChar"/>
          <w:rtl/>
        </w:rPr>
        <w:t>(11)</w:t>
      </w:r>
      <w:r w:rsidRPr="00020424">
        <w:rPr>
          <w:rtl/>
          <w:lang w:bidi="fa-IR"/>
        </w:rPr>
        <w:t xml:space="preserve"> ، أَسْأَلُكَ أَنْ تُصَلِّيَ عَلى مُحَمَّدٍ ، وَعَلى </w:t>
      </w:r>
      <w:r w:rsidRPr="00A91B96">
        <w:rPr>
          <w:rStyle w:val="libFootnotenumChar"/>
          <w:rtl/>
        </w:rPr>
        <w:t>(12)</w:t>
      </w:r>
      <w:r w:rsidRPr="00020424">
        <w:rPr>
          <w:rtl/>
          <w:lang w:bidi="fa-IR"/>
        </w:rPr>
        <w:t xml:space="preserve"> أَهْلِ بَيْتِهِ </w:t>
      </w:r>
      <w:r w:rsidRPr="00A91B96">
        <w:rPr>
          <w:rStyle w:val="libFootnotenumChar"/>
          <w:rtl/>
        </w:rPr>
        <w:t>(13)</w:t>
      </w:r>
      <w:r w:rsidRPr="00020424">
        <w:rPr>
          <w:rtl/>
          <w:lang w:bidi="fa-IR"/>
        </w:rPr>
        <w:t xml:space="preserve"> ، وَأَنْ تَجْعَلَ اسْمِي فِي هذِهِ اللَّيْلَةِ فِي السُّعَدَاءِ ، وَرُوحِي مَعَ الشُّهَدَاءِ ، وَإِحْسَانِي فِي عِلِّيِّينَ ، وَإِسَاءَتِي مَغْفُورَةً ، وَأَنْ تَهَبَ لِي يَقِيناً تُبَاشِرُ بِهِ قَلْبِي ، وَإِيمَاناً يُذْهِبُ الشَّكَّ </w:t>
      </w:r>
      <w:r w:rsidRPr="00A91B96">
        <w:rPr>
          <w:rStyle w:val="libFootnotenumChar"/>
          <w:rtl/>
        </w:rPr>
        <w:t>(14)</w:t>
      </w:r>
      <w:r w:rsidRPr="00020424">
        <w:rPr>
          <w:rtl/>
          <w:lang w:bidi="fa-IR"/>
        </w:rPr>
        <w:t xml:space="preserve"> عَنِّي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وأن تجعل اسمي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مغفورة وأن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057D4" w:rsidTr="001057D4">
        <w:tc>
          <w:tcPr>
            <w:tcW w:w="4006" w:type="dxa"/>
          </w:tcPr>
          <w:p w:rsidR="001057D4" w:rsidRDefault="001057D4" w:rsidP="00992664">
            <w:pPr>
              <w:pStyle w:val="libFootnote0"/>
              <w:rPr>
                <w:rtl/>
              </w:rPr>
            </w:pPr>
            <w:r>
              <w:rPr>
                <w:rtl/>
              </w:rPr>
              <w:t xml:space="preserve">(2). </w:t>
            </w:r>
            <w:r w:rsidRPr="00020424">
              <w:rPr>
                <w:rtl/>
              </w:rPr>
              <w:t>في « بح ، بخ » : « تذهب</w:t>
            </w:r>
            <w:r>
              <w:rPr>
                <w:rtl/>
              </w:rPr>
              <w:t xml:space="preserve"> ».</w:t>
            </w:r>
          </w:p>
        </w:tc>
        <w:tc>
          <w:tcPr>
            <w:tcW w:w="4006" w:type="dxa"/>
          </w:tcPr>
          <w:p w:rsidR="001057D4" w:rsidRDefault="001057D4" w:rsidP="00992664">
            <w:pPr>
              <w:pStyle w:val="libFootnote0"/>
              <w:rPr>
                <w:rtl/>
              </w:rPr>
            </w:pPr>
            <w:r>
              <w:rPr>
                <w:rtl/>
              </w:rPr>
              <w:t xml:space="preserve">(3). </w:t>
            </w:r>
            <w:r w:rsidRPr="00020424">
              <w:rPr>
                <w:rtl/>
              </w:rPr>
              <w:t>في « بس ، بف » : « بالشكّ</w:t>
            </w:r>
            <w:r>
              <w:rPr>
                <w:rtl/>
              </w:rPr>
              <w:t xml:space="preserve"> ».</w:t>
            </w:r>
          </w:p>
        </w:tc>
      </w:tr>
      <w:tr w:rsidR="001057D4" w:rsidTr="001057D4">
        <w:tc>
          <w:tcPr>
            <w:tcW w:w="4006" w:type="dxa"/>
          </w:tcPr>
          <w:p w:rsidR="001057D4" w:rsidRDefault="001057D4" w:rsidP="00992664">
            <w:pPr>
              <w:pStyle w:val="libFootnote0"/>
              <w:rPr>
                <w:rtl/>
              </w:rPr>
            </w:pPr>
            <w:r>
              <w:rPr>
                <w:rtl/>
              </w:rPr>
              <w:t xml:space="preserve">(4). </w:t>
            </w:r>
            <w:r w:rsidRPr="00020424">
              <w:rPr>
                <w:rtl/>
              </w:rPr>
              <w:t>في « بخ ، بف » : « وقني</w:t>
            </w:r>
            <w:r>
              <w:rPr>
                <w:rtl/>
              </w:rPr>
              <w:t xml:space="preserve"> ».</w:t>
            </w:r>
          </w:p>
        </w:tc>
        <w:tc>
          <w:tcPr>
            <w:tcW w:w="4006" w:type="dxa"/>
          </w:tcPr>
          <w:p w:rsidR="001057D4" w:rsidRDefault="001057D4" w:rsidP="00992664">
            <w:pPr>
              <w:pStyle w:val="libFootnote0"/>
              <w:rPr>
                <w:rtl/>
              </w:rPr>
            </w:pPr>
            <w:r>
              <w:rPr>
                <w:rtl/>
              </w:rPr>
              <w:t xml:space="preserve">(5). </w:t>
            </w:r>
            <w:r w:rsidRPr="00020424">
              <w:rPr>
                <w:rtl/>
              </w:rPr>
              <w:t>في « بس ، بس » : « وارزقنا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تهب لي يقيناً</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وتقول</w:t>
      </w:r>
      <w:r w:rsidR="00992664">
        <w:rPr>
          <w:rtl/>
        </w:rPr>
        <w:t xml:space="preserve"> ».</w:t>
      </w:r>
    </w:p>
    <w:p w:rsidR="00992664" w:rsidRPr="00020424" w:rsidRDefault="00795177" w:rsidP="00343C90">
      <w:pPr>
        <w:pStyle w:val="libFootnote0"/>
        <w:rPr>
          <w:rtl/>
          <w:lang w:bidi="fa-IR"/>
        </w:rPr>
      </w:pPr>
      <w:r>
        <w:rPr>
          <w:rtl/>
        </w:rPr>
        <w:t>(7).</w:t>
      </w:r>
      <w:r w:rsidR="0014403D">
        <w:rPr>
          <w:rtl/>
        </w:rPr>
        <w:t xml:space="preserve"> </w:t>
      </w:r>
      <w:r w:rsidR="00992664" w:rsidRPr="00020424">
        <w:rPr>
          <w:rtl/>
        </w:rPr>
        <w:t>التكوير : لفّ الشي‌ء على جهة الاستدارة. وقال الجوهري : « تكوير الليل على النهار : تغشيته إيّاه ، ويقال : زيادة هذا من ذاك</w:t>
      </w:r>
      <w:r w:rsidR="00992664">
        <w:rPr>
          <w:rtl/>
        </w:rPr>
        <w:t xml:space="preserve"> ».</w:t>
      </w:r>
      <w:r w:rsidR="00992664" w:rsidRPr="00020424">
        <w:rPr>
          <w:rtl/>
        </w:rPr>
        <w:t xml:space="preserve"> وقال ابن منظور : « في التنزيل العزيز : </w:t>
      </w:r>
      <w:r w:rsidR="00992664" w:rsidRPr="007214A5">
        <w:rPr>
          <w:rStyle w:val="libFootnoteAlaemChar"/>
          <w:rtl/>
        </w:rPr>
        <w:t>(</w:t>
      </w:r>
      <w:r w:rsidR="00992664" w:rsidRPr="006B2AC6">
        <w:rPr>
          <w:rStyle w:val="libFootnoteAieChar"/>
          <w:rFonts w:hint="cs"/>
          <w:rtl/>
        </w:rPr>
        <w:t xml:space="preserve"> </w:t>
      </w:r>
      <w:r w:rsidR="00992664" w:rsidRPr="006B2AC6">
        <w:rPr>
          <w:rStyle w:val="libFootnoteAieChar"/>
          <w:rtl/>
        </w:rPr>
        <w:t xml:space="preserve">يُكَوِّرُ اللَّيْلَ عَلَى النَّهارِ وَيُكَوِّرُ النَّهارَ عَلَى اللَّيْلِ </w:t>
      </w:r>
      <w:r w:rsidR="00992664" w:rsidRPr="007214A5">
        <w:rPr>
          <w:rStyle w:val="libFootnoteAlaemChar"/>
          <w:rtl/>
        </w:rPr>
        <w:t>)</w:t>
      </w:r>
      <w:r w:rsidR="00992664" w:rsidRPr="00020424">
        <w:rPr>
          <w:rtl/>
        </w:rPr>
        <w:t xml:space="preserve"> [ الزمر (39) : 5 ] أي يدخل هذا على هذا ، وأصله من تكوير العمامة ، وهو لفّها وجمعها</w:t>
      </w:r>
      <w:r w:rsidR="00992664">
        <w:rPr>
          <w:rtl/>
        </w:rPr>
        <w:t xml:space="preserve"> ».</w:t>
      </w:r>
      <w:r w:rsidR="007214A5">
        <w:rPr>
          <w:rtl/>
        </w:rPr>
        <w:t xml:space="preserve"> وقال العل</w:t>
      </w:r>
      <w:r w:rsidR="007214A5">
        <w:rPr>
          <w:rFonts w:hint="cs"/>
          <w:rtl/>
        </w:rPr>
        <w:t>ّ</w:t>
      </w:r>
      <w:r w:rsidR="007214A5">
        <w:rPr>
          <w:rtl/>
        </w:rPr>
        <w:t>ا</w:t>
      </w:r>
      <w:r w:rsidR="00992664" w:rsidRPr="00020424">
        <w:rPr>
          <w:rtl/>
        </w:rPr>
        <w:t>مة المجلسي : « أي يغشى كلّ واحد منهما الآخر ، كأنّه يلفّ عليها لفّ اللباس باللابس ، أو يغيبه به كما يغيب الملفوف باللفافة ، أو يجعله كارّاً عليه كروراً متتابعاً تتابع أكوار العمامة</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810 ؛ </w:t>
      </w:r>
      <w:r w:rsidR="00992664" w:rsidRPr="00A722B1">
        <w:rPr>
          <w:rStyle w:val="libFootnoteBoldChar"/>
          <w:rtl/>
        </w:rPr>
        <w:t>لسان العرب</w:t>
      </w:r>
      <w:r w:rsidR="00992664" w:rsidRPr="00020424">
        <w:rPr>
          <w:rtl/>
        </w:rPr>
        <w:t xml:space="preserve"> ، ج 5 ، ص 156 ( كور )</w:t>
      </w:r>
      <w:r w:rsidR="00992664">
        <w:rPr>
          <w:rtl/>
        </w:rPr>
        <w:t>.</w:t>
      </w:r>
      <w:r w:rsidR="00343C90">
        <w:rPr>
          <w:rFonts w:hint="cs"/>
          <w:rtl/>
        </w:rPr>
        <w:t xml:space="preserve">                           </w:t>
      </w:r>
      <w:r w:rsidR="00BF1B3B">
        <w:rPr>
          <w:rFonts w:hint="cs"/>
          <w:rtl/>
        </w:rPr>
        <w:t xml:space="preserve">             </w:t>
      </w:r>
      <w:r>
        <w:rPr>
          <w:rtl/>
        </w:rPr>
        <w:t>(8).</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يا حليم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بخ » : « السادة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 « يا من أقرب</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يا من هو أقرب</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50CC0" w:rsidTr="00950CC0">
        <w:tc>
          <w:tcPr>
            <w:tcW w:w="4006" w:type="dxa"/>
          </w:tcPr>
          <w:p w:rsidR="00950CC0" w:rsidRDefault="00950CC0" w:rsidP="00992664">
            <w:pPr>
              <w:pStyle w:val="libFootnote0"/>
              <w:rPr>
                <w:rtl/>
              </w:rPr>
            </w:pPr>
            <w:r>
              <w:rPr>
                <w:rtl/>
              </w:rPr>
              <w:t xml:space="preserve">(11). </w:t>
            </w:r>
            <w:r w:rsidRPr="00020424">
              <w:rPr>
                <w:rtl/>
              </w:rPr>
              <w:t>في « بر » : + « ثمّ تعود من قوله</w:t>
            </w:r>
            <w:r>
              <w:rPr>
                <w:rtl/>
              </w:rPr>
              <w:t xml:space="preserve"> ».</w:t>
            </w:r>
          </w:p>
        </w:tc>
        <w:tc>
          <w:tcPr>
            <w:tcW w:w="4006" w:type="dxa"/>
          </w:tcPr>
          <w:p w:rsidR="00950CC0" w:rsidRDefault="00950CC0" w:rsidP="00992664">
            <w:pPr>
              <w:pStyle w:val="libFootnote0"/>
              <w:rPr>
                <w:rtl/>
              </w:rPr>
            </w:pPr>
            <w:r>
              <w:rPr>
                <w:rtl/>
              </w:rPr>
              <w:t xml:space="preserve">(12). </w:t>
            </w:r>
            <w:r w:rsidRPr="00020424">
              <w:rPr>
                <w:rtl/>
              </w:rPr>
              <w:t xml:space="preserve">في « ظ ، جن » </w:t>
            </w:r>
            <w:r w:rsidRPr="00515444">
              <w:rPr>
                <w:rStyle w:val="libFootnoteBoldChar"/>
                <w:rtl/>
              </w:rPr>
              <w:t>والوافي</w:t>
            </w:r>
            <w:r w:rsidRPr="00020424">
              <w:rPr>
                <w:rtl/>
              </w:rPr>
              <w:t xml:space="preserve"> :</w:t>
            </w:r>
            <w:r>
              <w:rPr>
                <w:rtl/>
              </w:rPr>
              <w:t xml:space="preserve"> - </w:t>
            </w:r>
            <w:r w:rsidRPr="00020424">
              <w:rPr>
                <w:rtl/>
              </w:rPr>
              <w:t>« على</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 بس » </w:t>
      </w:r>
      <w:r w:rsidR="00992664" w:rsidRPr="00FD6221">
        <w:rPr>
          <w:rStyle w:val="libFootnoteBoldChar"/>
          <w:rtl/>
        </w:rPr>
        <w:t>والفقيه</w:t>
      </w:r>
      <w:r w:rsidR="00992664" w:rsidRPr="00020424">
        <w:rPr>
          <w:rtl/>
        </w:rPr>
        <w:t xml:space="preserve"> : « وآل محمّد » بدل « وعلى أهل بيته</w:t>
      </w:r>
      <w:r w:rsidR="00992664">
        <w:rPr>
          <w:rtl/>
        </w:rPr>
        <w:t xml:space="preserve"> ».</w:t>
      </w:r>
      <w:r w:rsidR="00992664" w:rsidRPr="00020424">
        <w:rPr>
          <w:rtl/>
        </w:rPr>
        <w:t xml:space="preserve"> وفي « بر » : + « إلى آخر الدعاء</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ظ ، بث ، بخ ، بس ، بف » : « بالشكّ</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وَتُرْضِيَنِي بِمَا قَسَمْتَ لِي ، وَ</w:t>
      </w:r>
      <w:r w:rsidRPr="009E7592">
        <w:rPr>
          <w:rtl/>
        </w:rPr>
        <w:t xml:space="preserve">آتِنا فِي الدُّنْيا حَسَنَةً ، وَفِي الْآخِرَةِ حَسَنَةً ، وَقِنا عَذابَ </w:t>
      </w:r>
      <w:r w:rsidRPr="00020424">
        <w:rPr>
          <w:rtl/>
          <w:lang w:bidi="fa-IR"/>
        </w:rPr>
        <w:t xml:space="preserve">الْحَرِيقِ ، وَارْزُقْنِي </w:t>
      </w:r>
      <w:r w:rsidRPr="00A91B96">
        <w:rPr>
          <w:rStyle w:val="libFootnotenumChar"/>
          <w:rtl/>
        </w:rPr>
        <w:t>(1)</w:t>
      </w:r>
      <w:r w:rsidRPr="00020424">
        <w:rPr>
          <w:rtl/>
          <w:lang w:bidi="fa-IR"/>
        </w:rPr>
        <w:t xml:space="preserve"> فِيهَا ذِكْرَكَ وَشُكْرَكَ ، وَالرَّغْبَةَ إِلَيْكَ ، وَالْإِنَابَةَ وَالتَّوْبَةَ </w:t>
      </w:r>
      <w:r w:rsidRPr="00A91B96">
        <w:rPr>
          <w:rStyle w:val="libFootnotenumChar"/>
          <w:rtl/>
        </w:rPr>
        <w:t>(2)</w:t>
      </w:r>
      <w:r w:rsidRPr="00020424">
        <w:rPr>
          <w:rtl/>
          <w:lang w:bidi="fa-IR"/>
        </w:rPr>
        <w:t xml:space="preserve"> وَالتَّوْفِيقَ لِمَا وَفَّقْتَ لَهُ مُحَمَّداً وَآلَ مُحَمَّدٍ </w:t>
      </w:r>
      <w:r w:rsidRPr="00005A81">
        <w:rPr>
          <w:rStyle w:val="libAlaemChar"/>
          <w:rtl/>
        </w:rPr>
        <w:t>عليهم‌السلام</w:t>
      </w:r>
      <w:r w:rsidRPr="00020424">
        <w:rPr>
          <w:rtl/>
          <w:lang w:bidi="fa-IR"/>
        </w:rPr>
        <w:t>.</w:t>
      </w:r>
    </w:p>
    <w:p w:rsidR="00992664" w:rsidRPr="00020424" w:rsidRDefault="00992664" w:rsidP="00992664">
      <w:pPr>
        <w:pStyle w:val="libNormal"/>
        <w:rPr>
          <w:rtl/>
          <w:lang w:bidi="fa-IR"/>
        </w:rPr>
      </w:pPr>
      <w:r w:rsidRPr="00020424">
        <w:rPr>
          <w:rtl/>
          <w:lang w:bidi="fa-IR"/>
        </w:rPr>
        <w:t xml:space="preserve">وَتَقُولُ </w:t>
      </w:r>
      <w:r w:rsidRPr="00A91B96">
        <w:rPr>
          <w:rStyle w:val="libFootnotenumChar"/>
          <w:rtl/>
        </w:rPr>
        <w:t>(3)</w:t>
      </w:r>
      <w:r w:rsidRPr="00020424">
        <w:rPr>
          <w:rtl/>
          <w:lang w:bidi="fa-IR"/>
        </w:rPr>
        <w:t xml:space="preserve"> فِي اللَّيْلَةِ الْعَاشِرَةِ : الْحَمْدُ لِلّهِ </w:t>
      </w:r>
      <w:r w:rsidRPr="00A91B96">
        <w:rPr>
          <w:rStyle w:val="libFootnotenumChar"/>
          <w:rtl/>
        </w:rPr>
        <w:t>(4)</w:t>
      </w:r>
      <w:r w:rsidRPr="00020424">
        <w:rPr>
          <w:rtl/>
          <w:lang w:bidi="fa-IR"/>
        </w:rPr>
        <w:t xml:space="preserve"> لَاشَرِيكَ لَهُ ، الْحَمْدُ لِلّهِ كَمَا يَنْبَغِي لِكَرَمِ وَجْهِهِ وَعِزِّ جَلَالِهِ ، وَكَمَا هُوَ أَهْلُهُ ، يَا قُدُّوسُ </w:t>
      </w:r>
      <w:r w:rsidRPr="00A91B96">
        <w:rPr>
          <w:rStyle w:val="libFootnotenumChar"/>
          <w:rtl/>
        </w:rPr>
        <w:t>(5)</w:t>
      </w:r>
      <w:r w:rsidRPr="00020424">
        <w:rPr>
          <w:rtl/>
          <w:lang w:bidi="fa-IR"/>
        </w:rPr>
        <w:t xml:space="preserve"> يَا نُورَ الْقُدْسِ </w:t>
      </w:r>
      <w:r w:rsidRPr="00A91B96">
        <w:rPr>
          <w:rStyle w:val="libFootnotenumChar"/>
          <w:rtl/>
        </w:rPr>
        <w:t>(6)</w:t>
      </w:r>
      <w:r w:rsidRPr="00020424">
        <w:rPr>
          <w:rtl/>
          <w:lang w:bidi="fa-IR"/>
        </w:rPr>
        <w:t xml:space="preserve"> ، يَا سُبُّوحُ يَا مُنْتَهَى التَّسْبِيحِ ، يَا رَحْمَانُ يَا فَاعِلَ الرَّحْمَةِ ، يا اللهُ </w:t>
      </w:r>
      <w:r w:rsidRPr="00A91B96">
        <w:rPr>
          <w:rStyle w:val="libFootnotenumChar"/>
          <w:rtl/>
        </w:rPr>
        <w:t>(7)</w:t>
      </w:r>
      <w:r w:rsidRPr="00020424">
        <w:rPr>
          <w:rtl/>
          <w:lang w:bidi="fa-IR"/>
        </w:rPr>
        <w:t xml:space="preserve"> يَا عَلِيمُ ، يَا كَبِيرُ يَا اللهُ ، يَا لَطِيفُ يَا جَلِيلُ يَا اللهُ ، يَا سَمِيعُ يَا بَصِيرُ ، يَا اللهُ يَا اللهُ يَا اللهُ ، لَكَ الْأَسْمَاءُ الْحُسْنى ، وَالْأَمْثَالُ الْعُلْيَا ، وَالْكِبْرِيَاءُ وَالْآلَاءُ ، أَسْأَ لُكَ أَنْ تُصَلِّيَ عَلى مُحَمَّدٍ ، وَعَلى </w:t>
      </w:r>
      <w:r w:rsidRPr="00A91B96">
        <w:rPr>
          <w:rStyle w:val="libFootnotenumChar"/>
          <w:rtl/>
        </w:rPr>
        <w:t>(8)</w:t>
      </w:r>
      <w:r w:rsidRPr="00020424">
        <w:rPr>
          <w:rtl/>
          <w:lang w:bidi="fa-IR"/>
        </w:rPr>
        <w:t xml:space="preserve"> أَهْلِ بَيْتِهِ </w:t>
      </w:r>
      <w:r w:rsidRPr="00A91B96">
        <w:rPr>
          <w:rStyle w:val="libFootnotenumChar"/>
          <w:rtl/>
        </w:rPr>
        <w:t>(9)</w:t>
      </w:r>
      <w:r w:rsidRPr="00020424">
        <w:rPr>
          <w:rtl/>
          <w:lang w:bidi="fa-IR"/>
        </w:rPr>
        <w:t xml:space="preserve"> ، وَأَنْ تَجْعَلَ اسْمِي فِي هذِهِ اللَّيْلَةِ فِي السُّعَدَاءِ ، وَرُوحِي مَعَ الشُّهَدَاءِ ، وَإِحْسَانِي فِي عِلِّيِّينَ ، وَإِسَاءَتِي مَغْفُورَةً ، وَأَنْ تَهَبَ لِي يَقِيناً تُبَاشِرُ بِهِ قَلْبِي ، وَإِيمَاناً يُذْهِبُ الشَّكَّ </w:t>
      </w:r>
      <w:r w:rsidRPr="00A91B96">
        <w:rPr>
          <w:rStyle w:val="libFootnotenumChar"/>
          <w:rtl/>
        </w:rPr>
        <w:t>(10)</w:t>
      </w:r>
      <w:r w:rsidRPr="00020424">
        <w:rPr>
          <w:rtl/>
          <w:lang w:bidi="fa-IR"/>
        </w:rPr>
        <w:t xml:space="preserve"> عَنِّي ، وَتُرْضِيَنِي بِمَا قَسَمْتَ لِي ، </w:t>
      </w:r>
      <w:r w:rsidRPr="009E7592">
        <w:rPr>
          <w:rtl/>
        </w:rPr>
        <w:t>وَآتِنا</w:t>
      </w:r>
      <w:r w:rsidRPr="00020424">
        <w:rPr>
          <w:rtl/>
          <w:lang w:bidi="fa-IR"/>
        </w:rPr>
        <w:t xml:space="preserve"> </w:t>
      </w:r>
      <w:r w:rsidRPr="00A91B96">
        <w:rPr>
          <w:rStyle w:val="libFootnotenumChar"/>
          <w:rtl/>
        </w:rPr>
        <w:t>(11)</w:t>
      </w:r>
      <w:r w:rsidRPr="00020424">
        <w:rPr>
          <w:rtl/>
          <w:lang w:bidi="fa-IR"/>
        </w:rPr>
        <w:t xml:space="preserve"> </w:t>
      </w:r>
      <w:r w:rsidRPr="009E7592">
        <w:rPr>
          <w:rtl/>
        </w:rPr>
        <w:t xml:space="preserve">فِي الدُّنْيا حَسَنَةً ، وَفِي الْآخِرَةِ حَسَنَةً </w:t>
      </w:r>
      <w:r w:rsidRPr="00A91B96">
        <w:rPr>
          <w:rStyle w:val="libFootnotenumChar"/>
          <w:rtl/>
        </w:rPr>
        <w:t>(12)</w:t>
      </w:r>
      <w:r w:rsidRPr="00020424">
        <w:rPr>
          <w:rtl/>
          <w:lang w:bidi="fa-IR"/>
        </w:rPr>
        <w:t xml:space="preserve"> </w:t>
      </w:r>
      <w:r w:rsidRPr="009E7592">
        <w:rPr>
          <w:rtl/>
        </w:rPr>
        <w:t>، وَقِنا</w:t>
      </w:r>
      <w:r w:rsidRPr="00020424">
        <w:rPr>
          <w:rtl/>
          <w:lang w:bidi="fa-IR"/>
        </w:rPr>
        <w:t xml:space="preserve"> </w:t>
      </w:r>
      <w:r w:rsidRPr="00A91B96">
        <w:rPr>
          <w:rStyle w:val="libFootnotenumChar"/>
          <w:rtl/>
        </w:rPr>
        <w:t>(13)</w:t>
      </w:r>
      <w:r w:rsidRPr="00020424">
        <w:rPr>
          <w:rtl/>
          <w:lang w:bidi="fa-IR"/>
        </w:rPr>
        <w:t xml:space="preserve"> </w:t>
      </w:r>
      <w:r w:rsidRPr="009E7592">
        <w:rPr>
          <w:rtl/>
        </w:rPr>
        <w:t>عَذابَ</w:t>
      </w:r>
      <w:r w:rsidRPr="00020424">
        <w:rPr>
          <w:rtl/>
          <w:lang w:bidi="fa-IR"/>
        </w:rPr>
        <w:t xml:space="preserve"> الْحَرِيقِ ، وَارْزُقْنِي </w:t>
      </w:r>
      <w:r w:rsidRPr="00A91B96">
        <w:rPr>
          <w:rStyle w:val="libFootnotenumChar"/>
          <w:rtl/>
        </w:rPr>
        <w:t>(14)</w:t>
      </w:r>
      <w:r w:rsidRPr="00020424">
        <w:rPr>
          <w:rtl/>
          <w:lang w:bidi="fa-IR"/>
        </w:rPr>
        <w:t xml:space="preserve"> فِيهَا ذِكْرَكَ وَشُكْرَكَ ، وَالرَّغْبَةَ إِلَيْكَ ، وَالْإِنَابَةَ وَالتَّوْبَةَ وَالتَّوْفِيقَ لِمَا وَفَّقْتَ لَهُ مُحَمَّداً وَآلَ مُحَمَّدٍ </w:t>
      </w:r>
      <w:r w:rsidRPr="00005A81">
        <w:rPr>
          <w:rStyle w:val="libAlaemChar"/>
          <w:rtl/>
        </w:rPr>
        <w:t>عليهم‌السلام</w:t>
      </w:r>
      <w:r>
        <w:rPr>
          <w:rtl/>
          <w:lang w:bidi="fa-IR"/>
        </w:rPr>
        <w:t xml:space="preserve"> ».</w:t>
      </w:r>
      <w:r w:rsidRPr="00020424">
        <w:rPr>
          <w:rtl/>
          <w:lang w:bidi="fa-IR"/>
        </w:rPr>
        <w:t xml:space="preserve">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F7F0B" w:rsidTr="001F7F0B">
        <w:tc>
          <w:tcPr>
            <w:tcW w:w="4006" w:type="dxa"/>
          </w:tcPr>
          <w:p w:rsidR="001F7F0B" w:rsidRDefault="001F7F0B" w:rsidP="00992664">
            <w:pPr>
              <w:pStyle w:val="libFootnote0"/>
              <w:rPr>
                <w:rtl/>
              </w:rPr>
            </w:pPr>
            <w:r>
              <w:rPr>
                <w:rtl/>
              </w:rPr>
              <w:t xml:space="preserve">(1). </w:t>
            </w:r>
            <w:r w:rsidRPr="00020424">
              <w:rPr>
                <w:rtl/>
              </w:rPr>
              <w:t>في « ى ، بس » : « وارزقنا</w:t>
            </w:r>
            <w:r>
              <w:rPr>
                <w:rtl/>
              </w:rPr>
              <w:t xml:space="preserve"> ».</w:t>
            </w:r>
          </w:p>
        </w:tc>
        <w:tc>
          <w:tcPr>
            <w:tcW w:w="4006" w:type="dxa"/>
          </w:tcPr>
          <w:p w:rsidR="001F7F0B" w:rsidRDefault="001F7F0B" w:rsidP="00992664">
            <w:pPr>
              <w:pStyle w:val="libFootnote0"/>
              <w:rPr>
                <w:rtl/>
              </w:rPr>
            </w:pPr>
            <w:r>
              <w:rPr>
                <w:rtl/>
              </w:rPr>
              <w:t xml:space="preserve">(2). </w:t>
            </w:r>
            <w:r w:rsidRPr="00020424">
              <w:rPr>
                <w:rtl/>
              </w:rPr>
              <w:t>في « بف » :</w:t>
            </w:r>
            <w:r>
              <w:rPr>
                <w:rtl/>
              </w:rPr>
              <w:t xml:space="preserve"> - </w:t>
            </w:r>
            <w:r w:rsidRPr="00020424">
              <w:rPr>
                <w:rtl/>
              </w:rPr>
              <w:t>« والتوبة</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تجعل اسمي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السلام وتقول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w:t>
      </w:r>
      <w:r w:rsidR="00992664">
        <w:rPr>
          <w:rtl/>
        </w:rPr>
        <w:t xml:space="preserve"> </w:t>
      </w:r>
      <w:r w:rsidR="009B673F">
        <w:rPr>
          <w:rtl/>
        </w:rPr>
        <w:t>-</w:t>
      </w:r>
      <w:r w:rsidR="00992664">
        <w:rPr>
          <w:rtl/>
        </w:rPr>
        <w:t xml:space="preserve"> </w:t>
      </w:r>
      <w:r w:rsidR="00992664" w:rsidRPr="00020424">
        <w:rPr>
          <w:rtl/>
        </w:rPr>
        <w:t>« الحمد لله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 الذي</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بر » : + « يا قدّوس</w:t>
      </w:r>
      <w:r w:rsidR="00992664">
        <w:rPr>
          <w:rtl/>
        </w:rPr>
        <w:t xml:space="preserve"> ».</w:t>
      </w:r>
      <w:r w:rsidR="00992664" w:rsidRPr="00020424">
        <w:rPr>
          <w:rtl/>
        </w:rPr>
        <w:t xml:space="preserve"> وفي « بخ ، بف » : + « يا نور</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يا نور يا قدّوس ، يا نور يا قدّوس » بدل « يا قدّوس ، يا نور القدس</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هكذا في جميع النسخ التي قوبلت. وفي المطبوع :</w:t>
      </w:r>
      <w:r w:rsidR="00992664">
        <w:rPr>
          <w:rtl/>
        </w:rPr>
        <w:t xml:space="preserve"> </w:t>
      </w:r>
      <w:r w:rsidR="009B673F">
        <w:rPr>
          <w:rtl/>
        </w:rPr>
        <w:t>-</w:t>
      </w:r>
      <w:r w:rsidR="00992664">
        <w:rPr>
          <w:rtl/>
        </w:rPr>
        <w:t xml:space="preserve"> </w:t>
      </w:r>
      <w:r w:rsidR="00992664" w:rsidRPr="00020424">
        <w:rPr>
          <w:rtl/>
        </w:rPr>
        <w:t>« يا الله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07147" w:rsidTr="00807147">
        <w:tc>
          <w:tcPr>
            <w:tcW w:w="4006" w:type="dxa"/>
          </w:tcPr>
          <w:p w:rsidR="00807147" w:rsidRDefault="00807147" w:rsidP="00992664">
            <w:pPr>
              <w:pStyle w:val="libFootnote0"/>
              <w:rPr>
                <w:rtl/>
              </w:rPr>
            </w:pPr>
            <w:r>
              <w:rPr>
                <w:rtl/>
              </w:rPr>
              <w:t xml:space="preserve">(8). </w:t>
            </w:r>
            <w:r w:rsidRPr="00020424">
              <w:rPr>
                <w:rtl/>
              </w:rPr>
              <w:t xml:space="preserve">في « جن » </w:t>
            </w:r>
            <w:r w:rsidRPr="00515444">
              <w:rPr>
                <w:rStyle w:val="libFootnoteBoldChar"/>
                <w:rtl/>
              </w:rPr>
              <w:t>والوافي</w:t>
            </w:r>
            <w:r w:rsidRPr="00020424">
              <w:rPr>
                <w:rtl/>
              </w:rPr>
              <w:t xml:space="preserve"> :</w:t>
            </w:r>
            <w:r>
              <w:rPr>
                <w:rtl/>
              </w:rPr>
              <w:t xml:space="preserve"> - </w:t>
            </w:r>
            <w:r w:rsidRPr="00020424">
              <w:rPr>
                <w:rtl/>
              </w:rPr>
              <w:t>« على</w:t>
            </w:r>
            <w:r>
              <w:rPr>
                <w:rtl/>
              </w:rPr>
              <w:t xml:space="preserve"> ».</w:t>
            </w:r>
          </w:p>
        </w:tc>
        <w:tc>
          <w:tcPr>
            <w:tcW w:w="4006" w:type="dxa"/>
          </w:tcPr>
          <w:p w:rsidR="00807147" w:rsidRDefault="00807147" w:rsidP="00992664">
            <w:pPr>
              <w:pStyle w:val="libFootnote0"/>
              <w:rPr>
                <w:rtl/>
              </w:rPr>
            </w:pPr>
            <w:r>
              <w:rPr>
                <w:rtl/>
              </w:rPr>
              <w:t xml:space="preserve">(9). </w:t>
            </w:r>
            <w:r w:rsidRPr="00020424">
              <w:rPr>
                <w:rtl/>
              </w:rPr>
              <w:t xml:space="preserve">في </w:t>
            </w:r>
            <w:r w:rsidRPr="0012008A">
              <w:rPr>
                <w:rStyle w:val="libFootnoteBoldChar"/>
                <w:rtl/>
              </w:rPr>
              <w:t>الفقيه</w:t>
            </w:r>
            <w:r w:rsidRPr="00020424">
              <w:rPr>
                <w:rtl/>
              </w:rPr>
              <w:t xml:space="preserve"> : « آل محمّد » بدل « على أهل بيته</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ظ ، بث ، بح ، بخ ، بر ، بس ، بف » : « بالشكّ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8A3609" w:rsidTr="008A3609">
        <w:tc>
          <w:tcPr>
            <w:tcW w:w="4006" w:type="dxa"/>
          </w:tcPr>
          <w:p w:rsidR="008A3609" w:rsidRDefault="008A3609" w:rsidP="00992664">
            <w:pPr>
              <w:pStyle w:val="libFootnote0"/>
              <w:rPr>
                <w:rtl/>
                <w:lang w:bidi="fa-IR"/>
              </w:rPr>
            </w:pPr>
            <w:r>
              <w:rPr>
                <w:rtl/>
              </w:rPr>
              <w:t xml:space="preserve">(11). </w:t>
            </w:r>
            <w:r w:rsidRPr="00020424">
              <w:rPr>
                <w:rtl/>
              </w:rPr>
              <w:t>في « ظ ، بث ، بخ ، بر ، بف » : « وآتني</w:t>
            </w:r>
            <w:r>
              <w:rPr>
                <w:rtl/>
              </w:rPr>
              <w:t xml:space="preserve"> ».</w:t>
            </w:r>
          </w:p>
        </w:tc>
        <w:tc>
          <w:tcPr>
            <w:tcW w:w="4006" w:type="dxa"/>
          </w:tcPr>
          <w:p w:rsidR="008A3609" w:rsidRDefault="008A3609" w:rsidP="00992664">
            <w:pPr>
              <w:pStyle w:val="libFootnote0"/>
              <w:rPr>
                <w:rtl/>
                <w:lang w:bidi="fa-IR"/>
              </w:rPr>
            </w:pPr>
            <w:r>
              <w:rPr>
                <w:rtl/>
              </w:rPr>
              <w:t xml:space="preserve">(12). </w:t>
            </w:r>
            <w:r w:rsidRPr="00020424">
              <w:rPr>
                <w:rtl/>
              </w:rPr>
              <w:t>في « جن » :</w:t>
            </w:r>
            <w:r>
              <w:rPr>
                <w:rtl/>
              </w:rPr>
              <w:t xml:space="preserve"> - </w:t>
            </w:r>
            <w:r w:rsidRPr="009E7592">
              <w:rPr>
                <w:rtl/>
              </w:rPr>
              <w:t>« وَفِي الْآخِرَةِ حَسَنَةً ».</w:t>
            </w:r>
          </w:p>
        </w:tc>
      </w:tr>
      <w:tr w:rsidR="008A3609" w:rsidTr="008A3609">
        <w:tc>
          <w:tcPr>
            <w:tcW w:w="4006" w:type="dxa"/>
          </w:tcPr>
          <w:p w:rsidR="008A3609" w:rsidRDefault="008A3609" w:rsidP="00992664">
            <w:pPr>
              <w:pStyle w:val="libFootnote0"/>
              <w:rPr>
                <w:rtl/>
                <w:lang w:bidi="fa-IR"/>
              </w:rPr>
            </w:pPr>
            <w:r>
              <w:rPr>
                <w:rtl/>
              </w:rPr>
              <w:t xml:space="preserve">(13). </w:t>
            </w:r>
            <w:r w:rsidRPr="00020424">
              <w:rPr>
                <w:rtl/>
              </w:rPr>
              <w:t>في « ظ ، بخ ، بر ، بف » : « وقني</w:t>
            </w:r>
            <w:r>
              <w:rPr>
                <w:rtl/>
              </w:rPr>
              <w:t xml:space="preserve"> ».</w:t>
            </w:r>
          </w:p>
        </w:tc>
        <w:tc>
          <w:tcPr>
            <w:tcW w:w="4006" w:type="dxa"/>
          </w:tcPr>
          <w:p w:rsidR="008A3609" w:rsidRDefault="008A3609" w:rsidP="00992664">
            <w:pPr>
              <w:pStyle w:val="libFootnote0"/>
              <w:rPr>
                <w:rtl/>
                <w:lang w:bidi="fa-IR"/>
              </w:rPr>
            </w:pPr>
            <w:r>
              <w:rPr>
                <w:rtl/>
              </w:rPr>
              <w:t xml:space="preserve">(14). </w:t>
            </w:r>
            <w:r w:rsidRPr="00020424">
              <w:rPr>
                <w:rtl/>
              </w:rPr>
              <w:t>في « بس ، جن » : « وارزقنا</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12008A">
        <w:rPr>
          <w:rStyle w:val="libFootnoteBoldChar"/>
          <w:rtl/>
        </w:rPr>
        <w:t>الفقيه</w:t>
      </w:r>
      <w:r w:rsidR="00992664" w:rsidRPr="00020424">
        <w:rPr>
          <w:rtl/>
        </w:rPr>
        <w:t xml:space="preserve"> ، ج 2 ، ص 163 ، ذيل ح 2032 ، عن نوادر محمّد بن أبي عمير ، عن الصادق </w:t>
      </w:r>
      <w:r w:rsidR="00992664" w:rsidRPr="00D64ADA">
        <w:rPr>
          <w:rStyle w:val="libFootnoteAlaemChar"/>
          <w:rtl/>
        </w:rPr>
        <w:t>عليه‌السلام</w:t>
      </w:r>
      <w:r w:rsidR="00992664" w:rsidRPr="00020424">
        <w:rPr>
          <w:rtl/>
        </w:rPr>
        <w:t xml:space="preserve"> ، من قوله : « وتقول </w:t>
      </w:r>
      <w:r w:rsidR="00EC245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9E7592">
        <w:rPr>
          <w:rtl/>
        </w:rPr>
        <w:t>6635</w:t>
      </w:r>
      <w:r w:rsidRPr="001155DE">
        <w:rPr>
          <w:rStyle w:val="libBold2Char"/>
          <w:rtl/>
        </w:rPr>
        <w:t xml:space="preserve"> / 5.</w:t>
      </w:r>
      <w:r w:rsidRPr="00020424">
        <w:rPr>
          <w:rtl/>
          <w:lang w:bidi="fa-IR"/>
        </w:rPr>
        <w:t xml:space="preserve"> مُحَمَّدُ بْنُ يَحْيى ، عَنْ مُحَمَّدِ بْنِ أَحْمَدَ ، عَنْ أَحْمَدَ بْنِ الْحَسَنِ </w:t>
      </w:r>
      <w:r w:rsidRPr="00A91B96">
        <w:rPr>
          <w:rStyle w:val="libFootnotenumChar"/>
          <w:rtl/>
        </w:rPr>
        <w:t>(1)</w:t>
      </w:r>
      <w:r w:rsidRPr="00020424">
        <w:rPr>
          <w:rtl/>
          <w:lang w:bidi="fa-IR"/>
        </w:rPr>
        <w:t xml:space="preserve"> ، عَنْ عَمْرِو بْنِ سَعِيدٍ ، عَنْ مُصَدِّقِ بْنِ صَدَقَةَ ، عَنْ عَمَّارِ بْنِ مُوسى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كَانَتْ </w:t>
      </w:r>
      <w:r w:rsidRPr="00A91B96">
        <w:rPr>
          <w:rStyle w:val="libFootnotenumChar"/>
          <w:rtl/>
        </w:rPr>
        <w:t>(2)</w:t>
      </w:r>
      <w:r w:rsidRPr="00020424">
        <w:rPr>
          <w:rtl/>
          <w:lang w:bidi="fa-IR"/>
        </w:rPr>
        <w:t xml:space="preserve"> آخِرُ لَيْلَةٍ مِنْ شَهْرِ رَمَضَانَ ، فَقُلِ : الل</w:t>
      </w:r>
      <w:r w:rsidR="007C176A">
        <w:rPr>
          <w:rFonts w:hint="cs"/>
          <w:rtl/>
          <w:lang w:bidi="fa-IR"/>
        </w:rPr>
        <w:t>ّ</w:t>
      </w:r>
      <w:r w:rsidRPr="00020424">
        <w:rPr>
          <w:rtl/>
          <w:lang w:bidi="fa-IR"/>
        </w:rPr>
        <w:t xml:space="preserve">هُمَّ هذَا شَهْرُ رَمَضَانَ الَّذِي أَنْزَلْتَ فِيهِ الْقُرْآنَ وَقَدْ تَصَرَّمَ </w:t>
      </w:r>
      <w:r w:rsidRPr="00A91B96">
        <w:rPr>
          <w:rStyle w:val="libFootnotenumChar"/>
          <w:rtl/>
        </w:rPr>
        <w:t>(3)</w:t>
      </w:r>
      <w:r w:rsidRPr="00020424">
        <w:rPr>
          <w:rtl/>
          <w:lang w:bidi="fa-IR"/>
        </w:rPr>
        <w:t xml:space="preserve"> ، وَأَعُوذُ بِوَجْهِكَ الْكَرِيمِ يَا رَبِّ </w:t>
      </w:r>
      <w:r w:rsidRPr="00A91B96">
        <w:rPr>
          <w:rStyle w:val="libFootnotenumChar"/>
          <w:rtl/>
        </w:rPr>
        <w:t>(4)</w:t>
      </w:r>
      <w:r w:rsidRPr="00020424">
        <w:rPr>
          <w:rtl/>
          <w:lang w:bidi="fa-IR"/>
        </w:rPr>
        <w:t xml:space="preserve"> أَنْ يَطْلُعَ </w:t>
      </w:r>
      <w:r w:rsidRPr="00A91B96">
        <w:rPr>
          <w:rStyle w:val="libFootnotenumChar"/>
          <w:rtl/>
        </w:rPr>
        <w:t>(5)</w:t>
      </w:r>
      <w:r w:rsidRPr="00020424">
        <w:rPr>
          <w:rtl/>
          <w:lang w:bidi="fa-IR"/>
        </w:rPr>
        <w:t xml:space="preserve"> الْفَجْرُ مِنْ لَيْلَتِي هذِهِ </w:t>
      </w:r>
      <w:r w:rsidRPr="00A91B96">
        <w:rPr>
          <w:rStyle w:val="libFootnotenumChar"/>
          <w:rtl/>
        </w:rPr>
        <w:t>(6)</w:t>
      </w:r>
      <w:r w:rsidRPr="00020424">
        <w:rPr>
          <w:rtl/>
          <w:lang w:bidi="fa-IR"/>
        </w:rPr>
        <w:t xml:space="preserve"> ، أَوْ يَتَصَرَّمَ </w:t>
      </w:r>
      <w:r w:rsidRPr="00A91B96">
        <w:rPr>
          <w:rStyle w:val="libFootnotenumChar"/>
          <w:rtl/>
        </w:rPr>
        <w:t>(7)</w:t>
      </w:r>
      <w:r w:rsidRPr="00020424">
        <w:rPr>
          <w:rtl/>
          <w:lang w:bidi="fa-IR"/>
        </w:rPr>
        <w:t xml:space="preserve"> شَهْرُ رَمَضَانَ ، وَلَكَ قِبَلِي </w:t>
      </w:r>
      <w:r w:rsidRPr="00A91B96">
        <w:rPr>
          <w:rStyle w:val="libFootnotenumChar"/>
          <w:rtl/>
        </w:rPr>
        <w:t>(8)</w:t>
      </w:r>
      <w:r w:rsidRPr="00020424">
        <w:rPr>
          <w:rtl/>
          <w:lang w:bidi="fa-IR"/>
        </w:rPr>
        <w:t xml:space="preserve"> تَبِعَةٌ أَوْ ذَنْبٌ تُرِيدُ أَنْ تُعَذِّبَنِي بِهِ يَوْمَ أَلْقَاكَ</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9E7592">
        <w:rPr>
          <w:rtl/>
        </w:rPr>
        <w:t>6636</w:t>
      </w:r>
      <w:r w:rsidRPr="001155DE">
        <w:rPr>
          <w:rStyle w:val="libBold2Char"/>
          <w:rtl/>
        </w:rPr>
        <w:t xml:space="preserve"> / 6.</w:t>
      </w:r>
      <w:r w:rsidRPr="00020424">
        <w:rPr>
          <w:rtl/>
          <w:lang w:bidi="fa-IR"/>
        </w:rPr>
        <w:t xml:space="preserve"> الْحُسَيْنُ بْنُ مُحَمَّدٍ ، عَنْ أَحْمَدَ بْنِ إِسْحَاقَ </w:t>
      </w:r>
      <w:r w:rsidRPr="00A91B96">
        <w:rPr>
          <w:rStyle w:val="libFootnotenumChar"/>
          <w:rtl/>
        </w:rPr>
        <w:t>(10)</w:t>
      </w:r>
      <w:r w:rsidRPr="00020424">
        <w:rPr>
          <w:rtl/>
          <w:lang w:bidi="fa-IR"/>
        </w:rPr>
        <w:t xml:space="preserve"> ، عَنْ سَعْدَانَ بْنِ مُسْلِمٍ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Pr="00A91B96">
        <w:rPr>
          <w:rStyle w:val="libFootnotenumChar"/>
          <w:rtl/>
        </w:rPr>
        <w:t>(11)</w:t>
      </w:r>
      <w:r w:rsidRPr="00020424">
        <w:rPr>
          <w:rtl/>
          <w:lang w:bidi="fa-IR"/>
        </w:rPr>
        <w:t xml:space="preserve"> فِي وَدَاعِ شَهْرِ رَمَضَانَ : « الل</w:t>
      </w:r>
      <w:r w:rsidR="00A71AB4">
        <w:rPr>
          <w:rFonts w:hint="cs"/>
          <w:rtl/>
          <w:lang w:bidi="fa-IR"/>
        </w:rPr>
        <w:t>ّ</w:t>
      </w:r>
      <w:r w:rsidRPr="00020424">
        <w:rPr>
          <w:rtl/>
          <w:lang w:bidi="fa-IR"/>
        </w:rPr>
        <w:t xml:space="preserve">هُمَّ إِنَّكَ قُلْتَ فِي كِتَابِكَ الْمُنْزَلِ : </w:t>
      </w:r>
      <w:r w:rsidRPr="00A91B96">
        <w:rPr>
          <w:rStyle w:val="libFootnotenumChar"/>
          <w:rtl/>
        </w:rPr>
        <w:t>(12)</w:t>
      </w:r>
      <w:r w:rsidRPr="00020424">
        <w:rPr>
          <w:rtl/>
          <w:lang w:bidi="fa-IR"/>
        </w:rPr>
        <w:t xml:space="preserve"> </w:t>
      </w:r>
      <w:r w:rsidRPr="00005A81">
        <w:rPr>
          <w:rStyle w:val="libAlaemChar"/>
          <w:rtl/>
        </w:rPr>
        <w:t>(</w:t>
      </w:r>
      <w:r w:rsidRPr="004E5AB4">
        <w:rPr>
          <w:rStyle w:val="libAieChar"/>
          <w:rtl/>
        </w:rPr>
        <w:t xml:space="preserve"> شَهْرُ رَمَضانَ الَّذِي أُنْزِلَ فِيهِ الْقُرْآنُ </w:t>
      </w:r>
      <w:r w:rsidRPr="00005A81">
        <w:rPr>
          <w:rStyle w:val="libAlaemChar"/>
          <w:rtl/>
        </w:rPr>
        <w:t>)</w:t>
      </w:r>
      <w:r w:rsidRPr="00020424">
        <w:rPr>
          <w:rtl/>
          <w:lang w:bidi="fa-IR"/>
        </w:rPr>
        <w:t xml:space="preserve"> </w:t>
      </w:r>
      <w:r w:rsidRPr="00A91B96">
        <w:rPr>
          <w:rStyle w:val="libFootnotenumChar"/>
          <w:rtl/>
        </w:rPr>
        <w:t>(13)</w:t>
      </w:r>
      <w:r w:rsidRPr="00020424">
        <w:rPr>
          <w:rtl/>
          <w:lang w:bidi="fa-IR"/>
        </w:rPr>
        <w:t xml:space="preserve"> وَهذَا </w:t>
      </w:r>
      <w:r w:rsidRPr="00A91B96">
        <w:rPr>
          <w:rStyle w:val="libFootnotenumChar"/>
          <w:rtl/>
        </w:rPr>
        <w:t>(14)</w:t>
      </w:r>
      <w:r w:rsidRPr="00020424">
        <w:rPr>
          <w:rtl/>
          <w:lang w:bidi="fa-IR"/>
        </w:rPr>
        <w:t xml:space="preserve"> شَهْرُ رَمَضَانَ وَقَدْ </w:t>
      </w:r>
      <w:r w:rsidRPr="00A91B96">
        <w:rPr>
          <w:rStyle w:val="libFootnotenumChar"/>
          <w:rtl/>
        </w:rPr>
        <w:t>(15)</w:t>
      </w:r>
      <w:r w:rsidRPr="00020424">
        <w:rPr>
          <w:rtl/>
          <w:lang w:bidi="fa-IR"/>
        </w:rPr>
        <w:t xml:space="preserve"> تَصَرَّمَ ، فَأَسْأَلُكَ‌</w:t>
      </w:r>
    </w:p>
    <w:p w:rsidR="00992664" w:rsidRPr="00020424" w:rsidRDefault="00992664" w:rsidP="00992664">
      <w:pPr>
        <w:pStyle w:val="libLine"/>
        <w:rPr>
          <w:rtl/>
          <w:lang w:bidi="fa-IR"/>
        </w:rPr>
      </w:pPr>
      <w:r w:rsidRPr="00020424">
        <w:rPr>
          <w:rtl/>
          <w:lang w:bidi="fa-IR"/>
        </w:rPr>
        <w:t>__________________</w:t>
      </w:r>
    </w:p>
    <w:p w:rsidR="00992664" w:rsidRPr="00020424" w:rsidRDefault="00087A65" w:rsidP="00992664">
      <w:pPr>
        <w:pStyle w:val="libFootnote0"/>
        <w:rPr>
          <w:rtl/>
          <w:lang w:bidi="fa-IR"/>
        </w:rPr>
      </w:pPr>
      <w:r>
        <w:rPr>
          <w:rFonts w:hint="cs"/>
          <w:rtl/>
        </w:rPr>
        <w:t xml:space="preserve">= </w:t>
      </w:r>
      <w:r w:rsidR="00992664" w:rsidRPr="00020424">
        <w:rPr>
          <w:rtl/>
        </w:rPr>
        <w:t xml:space="preserve">في الليلة الرابعة » إلى قوله : « والأمثال العليا والكبرياء والآلاء أسألك أن تصلّي على محمّد وعلى أهل بيته » مع اختلاف يسير </w:t>
      </w:r>
      <w:r w:rsidR="00A45CC3">
        <w:rPr>
          <w:rFonts w:hint="cs"/>
          <w:rtl/>
        </w:rPr>
        <w:t>.</w:t>
      </w:r>
      <w:r w:rsidR="00992664" w:rsidRPr="0012008A">
        <w:rPr>
          <w:rStyle w:val="libFootnoteBoldChar"/>
          <w:rtl/>
        </w:rPr>
        <w:t>الوافي</w:t>
      </w:r>
      <w:r w:rsidR="00992664" w:rsidRPr="00020424">
        <w:rPr>
          <w:rtl/>
        </w:rPr>
        <w:t xml:space="preserve"> ، ج 11 ، ص 405 ، ح 11089. إلى قوله : « وتمتّعه فيها طويلاً » ؛ وص 471 ، ح 11156.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بث ، بخ ، جر ، جن » : + « بن عليّ</w:t>
      </w:r>
      <w:r w:rsidR="00992664">
        <w:rPr>
          <w:rtl/>
        </w:rPr>
        <w:t xml:space="preserve"> ».</w:t>
      </w:r>
      <w:r w:rsidR="00992664" w:rsidRPr="00020424">
        <w:rPr>
          <w:rtl/>
        </w:rPr>
        <w:t xml:space="preserve"> وأحمد بن الحسن هذا ، هو أحمد بن الحسن بن عليّ بن فضّال.</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كان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التصرّم : الانقضاء ، والتقطّع ، والذهاب. راجع : </w:t>
      </w:r>
      <w:r w:rsidR="00992664" w:rsidRPr="0012008A">
        <w:rPr>
          <w:rStyle w:val="libFootnoteBoldChar"/>
          <w:rtl/>
        </w:rPr>
        <w:t>الصحاح</w:t>
      </w:r>
      <w:r w:rsidR="00992664" w:rsidRPr="00020424">
        <w:rPr>
          <w:rtl/>
        </w:rPr>
        <w:t xml:space="preserve"> ، ج 5 ، ص 1965 ؛ </w:t>
      </w:r>
      <w:r w:rsidR="00992664" w:rsidRPr="00A722B1">
        <w:rPr>
          <w:rStyle w:val="libFootnoteBoldChar"/>
          <w:rtl/>
        </w:rPr>
        <w:t>المصباح المنير</w:t>
      </w:r>
      <w:r w:rsidR="00992664" w:rsidRPr="00020424">
        <w:rPr>
          <w:rtl/>
        </w:rPr>
        <w:t xml:space="preserve"> ، ص 339 ( صرم )</w:t>
      </w:r>
      <w:r w:rsidR="00992664">
        <w:rPr>
          <w:rtl/>
        </w:rPr>
        <w:t>.</w:t>
      </w:r>
    </w:p>
    <w:tbl>
      <w:tblPr>
        <w:tblStyle w:val="TableGrid"/>
        <w:bidiVisual/>
        <w:tblW w:w="0" w:type="auto"/>
        <w:tblLook w:val="04A0" w:firstRow="1" w:lastRow="0" w:firstColumn="1" w:lastColumn="0" w:noHBand="0" w:noVBand="1"/>
      </w:tblPr>
      <w:tblGrid>
        <w:gridCol w:w="4006"/>
        <w:gridCol w:w="4006"/>
      </w:tblGrid>
      <w:tr w:rsidR="00A45CC3" w:rsidTr="00A45CC3">
        <w:tc>
          <w:tcPr>
            <w:tcW w:w="4006" w:type="dxa"/>
          </w:tcPr>
          <w:p w:rsidR="00A45CC3" w:rsidRDefault="00A45CC3" w:rsidP="00992664">
            <w:pPr>
              <w:pStyle w:val="libFootnote0"/>
              <w:rPr>
                <w:rtl/>
              </w:rPr>
            </w:pPr>
            <w:r>
              <w:rPr>
                <w:rtl/>
              </w:rPr>
              <w:t xml:space="preserve">(4). </w:t>
            </w:r>
            <w:r w:rsidRPr="00020424">
              <w:rPr>
                <w:rtl/>
              </w:rPr>
              <w:t xml:space="preserve">في « بخ ، بر ، بف » </w:t>
            </w:r>
            <w:r w:rsidRPr="00515444">
              <w:rPr>
                <w:rStyle w:val="libFootnoteBoldChar"/>
                <w:rtl/>
              </w:rPr>
              <w:t>والوافي</w:t>
            </w:r>
            <w:r w:rsidRPr="00020424">
              <w:rPr>
                <w:rtl/>
              </w:rPr>
              <w:t xml:space="preserve"> : « أي ربّ</w:t>
            </w:r>
            <w:r>
              <w:rPr>
                <w:rtl/>
              </w:rPr>
              <w:t xml:space="preserve"> ».</w:t>
            </w:r>
          </w:p>
        </w:tc>
        <w:tc>
          <w:tcPr>
            <w:tcW w:w="4006" w:type="dxa"/>
          </w:tcPr>
          <w:p w:rsidR="00A45CC3" w:rsidRDefault="00A45CC3" w:rsidP="00992664">
            <w:pPr>
              <w:pStyle w:val="libFootnote0"/>
              <w:rPr>
                <w:rtl/>
              </w:rPr>
            </w:pPr>
            <w:r>
              <w:rPr>
                <w:rtl/>
              </w:rPr>
              <w:t xml:space="preserve">(5). </w:t>
            </w:r>
            <w:r w:rsidRPr="00020424">
              <w:rPr>
                <w:rtl/>
              </w:rPr>
              <w:t>في « بخ ، بر ، بف » : « أن تطلع</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ظ » : « فجر هذه الليلة » بدل « الفجر من ليلتي هذه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41B5A" w:rsidTr="00D41B5A">
        <w:tc>
          <w:tcPr>
            <w:tcW w:w="4006" w:type="dxa"/>
          </w:tcPr>
          <w:p w:rsidR="00D41B5A" w:rsidRDefault="00D41B5A" w:rsidP="00992664">
            <w:pPr>
              <w:pStyle w:val="libFootnote0"/>
              <w:rPr>
                <w:rtl/>
              </w:rPr>
            </w:pPr>
            <w:r>
              <w:rPr>
                <w:rtl/>
              </w:rPr>
              <w:t xml:space="preserve">(7). </w:t>
            </w:r>
            <w:r w:rsidRPr="00020424">
              <w:rPr>
                <w:rtl/>
              </w:rPr>
              <w:t>في « بر » : « ينصرم</w:t>
            </w:r>
            <w:r>
              <w:rPr>
                <w:rtl/>
              </w:rPr>
              <w:t xml:space="preserve"> ».</w:t>
            </w:r>
          </w:p>
        </w:tc>
        <w:tc>
          <w:tcPr>
            <w:tcW w:w="4006" w:type="dxa"/>
          </w:tcPr>
          <w:p w:rsidR="00D41B5A" w:rsidRDefault="00D41B5A" w:rsidP="00992664">
            <w:pPr>
              <w:pStyle w:val="libFootnote0"/>
              <w:rPr>
                <w:rtl/>
              </w:rPr>
            </w:pPr>
            <w:r>
              <w:rPr>
                <w:rtl/>
              </w:rPr>
              <w:t xml:space="preserve">(8). </w:t>
            </w:r>
            <w:r w:rsidRPr="00020424">
              <w:rPr>
                <w:rtl/>
              </w:rPr>
              <w:t xml:space="preserve">في « بخ » </w:t>
            </w:r>
            <w:r w:rsidRPr="00515444">
              <w:rPr>
                <w:rStyle w:val="libFootnoteBoldChar"/>
                <w:rtl/>
              </w:rPr>
              <w:t>والوافي</w:t>
            </w:r>
            <w:r w:rsidRPr="00020424">
              <w:rPr>
                <w:rtl/>
              </w:rPr>
              <w:t xml:space="preserve"> : « عندي</w:t>
            </w:r>
            <w:r>
              <w:rPr>
                <w:rtl/>
              </w:rPr>
              <w:t xml:space="preserve"> ».</w:t>
            </w:r>
          </w:p>
        </w:tc>
      </w:tr>
      <w:tr w:rsidR="00D41B5A" w:rsidTr="00D41B5A">
        <w:tc>
          <w:tcPr>
            <w:tcW w:w="4006" w:type="dxa"/>
          </w:tcPr>
          <w:p w:rsidR="00D41B5A" w:rsidRDefault="005A4B1F" w:rsidP="00992664">
            <w:pPr>
              <w:pStyle w:val="libFootnote0"/>
              <w:rPr>
                <w:rtl/>
              </w:rPr>
            </w:pPr>
            <w:r>
              <w:rPr>
                <w:rtl/>
              </w:rPr>
              <w:t xml:space="preserve">(9). </w:t>
            </w:r>
            <w:r w:rsidRPr="0012008A">
              <w:rPr>
                <w:rStyle w:val="libFootnoteBoldChar"/>
                <w:rtl/>
              </w:rPr>
              <w:t>الوافي</w:t>
            </w:r>
            <w:r w:rsidRPr="00020424">
              <w:rPr>
                <w:rtl/>
              </w:rPr>
              <w:t xml:space="preserve"> ، ج 11 ، ص 475 ، ح 11160.</w:t>
            </w:r>
          </w:p>
        </w:tc>
        <w:tc>
          <w:tcPr>
            <w:tcW w:w="4006" w:type="dxa"/>
          </w:tcPr>
          <w:p w:rsidR="00D41B5A" w:rsidRDefault="005A4B1F" w:rsidP="00992664">
            <w:pPr>
              <w:pStyle w:val="libFootnote0"/>
              <w:rPr>
                <w:rtl/>
              </w:rPr>
            </w:pPr>
            <w:r>
              <w:rPr>
                <w:rtl/>
              </w:rPr>
              <w:t xml:space="preserve">(10). </w:t>
            </w:r>
            <w:r w:rsidRPr="00020424">
              <w:rPr>
                <w:rtl/>
              </w:rPr>
              <w:t xml:space="preserve">في </w:t>
            </w:r>
            <w:r w:rsidRPr="0012008A">
              <w:rPr>
                <w:rStyle w:val="libFootnoteBoldChar"/>
                <w:rtl/>
              </w:rPr>
              <w:t>التهذيب</w:t>
            </w:r>
            <w:r w:rsidRPr="00020424">
              <w:rPr>
                <w:rtl/>
              </w:rPr>
              <w:t xml:space="preserve"> : + « القمّي</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قال : تقول</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على نبيّك المرسل وقولك الحقّ</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على لسان نبيّك المرسل صلواتك عليه وآله قولك حقّ</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البقرة </w:t>
      </w:r>
      <w:r w:rsidR="0058185B">
        <w:rPr>
          <w:rtl/>
        </w:rPr>
        <w:t>(2)</w:t>
      </w:r>
      <w:r w:rsidR="0014403D">
        <w:rPr>
          <w:rtl/>
        </w:rPr>
        <w:t xml:space="preserve"> </w:t>
      </w:r>
      <w:r w:rsidR="00992664" w:rsidRPr="00020424">
        <w:rPr>
          <w:rtl/>
        </w:rPr>
        <w:t xml:space="preserve">: 185. وفي </w:t>
      </w:r>
      <w:r w:rsidR="00992664" w:rsidRPr="0012008A">
        <w:rPr>
          <w:rStyle w:val="libFootnoteBoldChar"/>
          <w:rtl/>
        </w:rPr>
        <w:t>الوافي</w:t>
      </w:r>
      <w:r w:rsidR="00992664" w:rsidRPr="00020424">
        <w:rPr>
          <w:rtl/>
        </w:rPr>
        <w:t xml:space="preserve"> : + </w:t>
      </w:r>
      <w:r w:rsidR="00992664" w:rsidRPr="0058185B">
        <w:rPr>
          <w:rStyle w:val="libFootnoteAlaemChar"/>
          <w:rtl/>
        </w:rPr>
        <w:t>(</w:t>
      </w:r>
      <w:r w:rsidR="00992664" w:rsidRPr="006B2AC6">
        <w:rPr>
          <w:rStyle w:val="libFootnoteAieChar"/>
          <w:rtl/>
        </w:rPr>
        <w:t xml:space="preserve"> هُدًى لّلنَّاسِ وَبَيّنتٍ مّنَ الْهُدَى وَالْفُرْقَانِ </w:t>
      </w:r>
      <w:r w:rsidR="00992664" w:rsidRPr="0058185B">
        <w:rPr>
          <w:rStyle w:val="libFootnoteAlaemChar"/>
          <w:rtl/>
        </w:rPr>
        <w:t>)</w:t>
      </w:r>
      <w:r w:rsidR="00992664">
        <w:rPr>
          <w:rtl/>
        </w:rPr>
        <w:t>.</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ى » : « فهذا</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 ظ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قد » بدون الواو. وفي « ى ، بس » : « فقد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8185B">
      <w:pPr>
        <w:pStyle w:val="libNormal0"/>
        <w:rPr>
          <w:rtl/>
          <w:lang w:bidi="fa-IR"/>
        </w:rPr>
      </w:pPr>
      <w:r w:rsidRPr="00020424">
        <w:rPr>
          <w:rtl/>
          <w:lang w:bidi="fa-IR"/>
        </w:rPr>
        <w:t xml:space="preserve">بِوَجْهِكَ الْكَرِيمِ ، وَكَلِمَاتِكَ التَّامَّةِ ، إِنْ كَانَ بَقِيَ عَلَيَّ ذَنْبٌ لَمْ تَغْفِرْهُ لِي ، أَوْ تُرِيدُ </w:t>
      </w:r>
      <w:r w:rsidRPr="00A91B96">
        <w:rPr>
          <w:rStyle w:val="libFootnotenumChar"/>
          <w:rtl/>
        </w:rPr>
        <w:t>(1)</w:t>
      </w:r>
      <w:r w:rsidRPr="00020424">
        <w:rPr>
          <w:rtl/>
          <w:lang w:bidi="fa-IR"/>
        </w:rPr>
        <w:t xml:space="preserve"> أَنْ </w:t>
      </w:r>
      <w:r w:rsidRPr="00A91B96">
        <w:rPr>
          <w:rStyle w:val="libFootnotenumChar"/>
          <w:rtl/>
        </w:rPr>
        <w:t>(2)</w:t>
      </w:r>
      <w:r w:rsidRPr="00020424">
        <w:rPr>
          <w:rtl/>
          <w:lang w:bidi="fa-IR"/>
        </w:rPr>
        <w:t xml:space="preserve"> تُعَذِّبَنِي عَلَيْهِ ، أَوْ تُقَايِسَنِي بِهِ ، أَنْ يَطْلُعَ </w:t>
      </w:r>
      <w:r w:rsidRPr="00A91B96">
        <w:rPr>
          <w:rStyle w:val="libFootnotenumChar"/>
          <w:rtl/>
        </w:rPr>
        <w:t>(3)</w:t>
      </w:r>
      <w:r w:rsidRPr="00020424">
        <w:rPr>
          <w:rtl/>
          <w:lang w:bidi="fa-IR"/>
        </w:rPr>
        <w:t xml:space="preserve"> فَجْرُ هذِهِ اللَّيْلَةِ ، أَوْ ي</w:t>
      </w:r>
      <w:r w:rsidR="0058185B">
        <w:rPr>
          <w:rtl/>
          <w:lang w:bidi="fa-IR"/>
        </w:rPr>
        <w:t>َتَصَرَّمَ هذَا الشَّهْرُ إِل</w:t>
      </w:r>
      <w:r w:rsidR="0058185B">
        <w:rPr>
          <w:rFonts w:hint="cs"/>
          <w:rtl/>
          <w:lang w:bidi="fa-IR"/>
        </w:rPr>
        <w:t>َّ</w:t>
      </w:r>
      <w:r w:rsidR="0058185B">
        <w:rPr>
          <w:rtl/>
          <w:lang w:bidi="fa-IR"/>
        </w:rPr>
        <w:t>ا</w:t>
      </w:r>
      <w:r w:rsidRPr="00020424">
        <w:rPr>
          <w:rtl/>
          <w:lang w:bidi="fa-IR"/>
        </w:rPr>
        <w:t xml:space="preserve"> وَقَدْ غَفَرْتَهُ لِي ، يَا أَرْحَمَ الرَّاحِمِينَ.</w:t>
      </w:r>
    </w:p>
    <w:p w:rsidR="00992664" w:rsidRPr="00020424" w:rsidRDefault="00992664" w:rsidP="00992664">
      <w:pPr>
        <w:pStyle w:val="libNormal"/>
        <w:rPr>
          <w:rtl/>
          <w:lang w:bidi="fa-IR"/>
        </w:rPr>
      </w:pPr>
      <w:r w:rsidRPr="00020424">
        <w:rPr>
          <w:rtl/>
          <w:lang w:bidi="fa-IR"/>
        </w:rPr>
        <w:t>الل</w:t>
      </w:r>
      <w:r w:rsidR="00F55899">
        <w:rPr>
          <w:rFonts w:hint="cs"/>
          <w:rtl/>
          <w:lang w:bidi="fa-IR"/>
        </w:rPr>
        <w:t>ّ</w:t>
      </w:r>
      <w:r w:rsidRPr="00020424">
        <w:rPr>
          <w:rtl/>
          <w:lang w:bidi="fa-IR"/>
        </w:rPr>
        <w:t xml:space="preserve">هُمَّ لَكَ الْحَمْدُ بِمَحَامِدِكَ كُلِّهَا </w:t>
      </w:r>
      <w:r w:rsidRPr="00A91B96">
        <w:rPr>
          <w:rStyle w:val="libFootnotenumChar"/>
          <w:rtl/>
        </w:rPr>
        <w:t>(4)</w:t>
      </w:r>
      <w:r w:rsidRPr="00020424">
        <w:rPr>
          <w:rtl/>
          <w:lang w:bidi="fa-IR"/>
        </w:rPr>
        <w:t xml:space="preserve"> ، أَوَّلِهَا وَآخِرِهَا ، مَا قُلْتَ لِنَفْسِكَ مِنْهَا ، وَمَا قَالَ </w:t>
      </w:r>
      <w:r w:rsidRPr="00A91B96">
        <w:rPr>
          <w:rStyle w:val="libFootnotenumChar"/>
          <w:rtl/>
        </w:rPr>
        <w:t>(5)</w:t>
      </w:r>
      <w:r w:rsidRPr="00020424">
        <w:rPr>
          <w:rtl/>
          <w:lang w:bidi="fa-IR"/>
        </w:rPr>
        <w:t xml:space="preserve"> الْخَلَائِقُ الْحَامِدُونَ الْمُجْتَهِدُونَ الْمَعْدُودُونَ </w:t>
      </w:r>
      <w:r w:rsidRPr="00A91B96">
        <w:rPr>
          <w:rStyle w:val="libFootnotenumChar"/>
          <w:rtl/>
        </w:rPr>
        <w:t>(6)</w:t>
      </w:r>
      <w:r w:rsidRPr="00020424">
        <w:rPr>
          <w:rtl/>
          <w:lang w:bidi="fa-IR"/>
        </w:rPr>
        <w:t xml:space="preserve"> الْمُوَقِّرُونَ </w:t>
      </w:r>
      <w:r w:rsidRPr="00A91B96">
        <w:rPr>
          <w:rStyle w:val="libFootnotenumChar"/>
          <w:rtl/>
        </w:rPr>
        <w:t>(7)</w:t>
      </w:r>
      <w:r w:rsidRPr="00020424">
        <w:rPr>
          <w:rtl/>
          <w:lang w:bidi="fa-IR"/>
        </w:rPr>
        <w:t xml:space="preserve"> ذِكْرَكَ وَالشُّكْرَ لَكَ </w:t>
      </w:r>
      <w:r w:rsidRPr="00A91B96">
        <w:rPr>
          <w:rStyle w:val="libFootnotenumChar"/>
          <w:rtl/>
        </w:rPr>
        <w:t>(8)</w:t>
      </w:r>
      <w:r w:rsidRPr="00020424">
        <w:rPr>
          <w:rtl/>
          <w:lang w:bidi="fa-IR"/>
        </w:rPr>
        <w:t xml:space="preserve"> ، الَّذِينَ أَعَنْتَهُمْ عَلى أَدَاءِ حَقِّكَ مِنْ أَصْنَافِ خَلْقِكَ مِنَ الْمَلَائِكَةِ الْمُقَرَّبِينَ وَالنَّبِيِّينَ وَالْمُرْسَلِينَ وَأَصْنَافِ النَّاطِقِينَ </w:t>
      </w:r>
      <w:r w:rsidRPr="00A91B96">
        <w:rPr>
          <w:rStyle w:val="libFootnotenumChar"/>
          <w:rtl/>
        </w:rPr>
        <w:t>(9)</w:t>
      </w:r>
      <w:r w:rsidRPr="00020424">
        <w:rPr>
          <w:rtl/>
          <w:lang w:bidi="fa-IR"/>
        </w:rPr>
        <w:t xml:space="preserve"> وَالْمُسَبِّحِينَ </w:t>
      </w:r>
      <w:r w:rsidRPr="00A91B96">
        <w:rPr>
          <w:rStyle w:val="libFootnotenumChar"/>
          <w:rtl/>
        </w:rPr>
        <w:t>(10)</w:t>
      </w:r>
      <w:r w:rsidRPr="00020424">
        <w:rPr>
          <w:rtl/>
          <w:lang w:bidi="fa-IR"/>
        </w:rPr>
        <w:t xml:space="preserve"> لَكَ مِنْ جَمِيعِ الْعَالَمِينَ ، عَلى أَنَّكَ بَلَّغْتَنَا شَهْرَ رَمَضَانَ ، وَعَلَيْنَا مِنْ نِعَمِكَ ، وَعِنْدَنَا مِنْ قَسْمِكَ وَإِحْسَانِكَ وَتَظَاهُرِ امْتِنَانِكَ </w:t>
      </w:r>
      <w:r w:rsidRPr="00A91B96">
        <w:rPr>
          <w:rStyle w:val="libFootnotenumChar"/>
          <w:rtl/>
        </w:rPr>
        <w:t>(11)</w:t>
      </w:r>
      <w:r w:rsidRPr="00020424">
        <w:rPr>
          <w:rtl/>
          <w:lang w:bidi="fa-IR"/>
        </w:rPr>
        <w:t xml:space="preserve"> ، فَبِذلِكَ </w:t>
      </w:r>
      <w:r w:rsidRPr="00A91B96">
        <w:rPr>
          <w:rStyle w:val="libFootnotenumChar"/>
          <w:rtl/>
        </w:rPr>
        <w:t>(12)</w:t>
      </w:r>
      <w:r w:rsidRPr="00020424">
        <w:rPr>
          <w:rtl/>
          <w:lang w:bidi="fa-IR"/>
        </w:rPr>
        <w:t xml:space="preserve"> لَكَ مُنْتَهَى </w:t>
      </w:r>
      <w:r w:rsidRPr="00A91B96">
        <w:rPr>
          <w:rStyle w:val="libFootnotenumChar"/>
          <w:rtl/>
        </w:rPr>
        <w:t>(13)</w:t>
      </w:r>
      <w:r w:rsidRPr="00020424">
        <w:rPr>
          <w:rtl/>
          <w:lang w:bidi="fa-IR"/>
        </w:rPr>
        <w:t xml:space="preserve"> الْحَمْدِ الْخَالِدِ الدَّائِمِ الرَّاكِدِ </w:t>
      </w:r>
      <w:r w:rsidRPr="00A91B96">
        <w:rPr>
          <w:rStyle w:val="libFootnotenumChar"/>
          <w:rtl/>
        </w:rPr>
        <w:t>(14)</w:t>
      </w:r>
      <w:r w:rsidRPr="00020424">
        <w:rPr>
          <w:rtl/>
          <w:lang w:bidi="fa-IR"/>
        </w:rPr>
        <w:t xml:space="preserve"> الْمُخَلَّدِ السَّرْمَدِ ، الَّذِي لَايَنْفَدُ‌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أو</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أو تريد ، قيل : كلمة أو بمعنى إلى ، مثل ألزمتك وأن تعطيني‌حقّي ، وتريد منصوب بتقدير أن ، ويحتمل أن يكون أو بمعنى الواو</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تحاسبني به أو تريد أن</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 « تحاسبني به أو</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بس ، جن » : « أن لا يطلع</w:t>
      </w:r>
      <w:r w:rsidR="00992664">
        <w:rPr>
          <w:rtl/>
        </w:rPr>
        <w:t xml:space="preserve"> ».</w:t>
      </w:r>
      <w:r w:rsidR="00992664" w:rsidRPr="00020424">
        <w:rPr>
          <w:rtl/>
        </w:rPr>
        <w:t xml:space="preserve"> وفي « بف » : « أن تطلع</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أن يطلع ، في </w:t>
      </w:r>
      <w:r w:rsidR="00992664" w:rsidRPr="00DE76B9">
        <w:rPr>
          <w:rStyle w:val="libFootnoteBoldChar"/>
          <w:rtl/>
        </w:rPr>
        <w:t>المصباح</w:t>
      </w:r>
      <w:r w:rsidR="00992664" w:rsidRPr="00020424">
        <w:rPr>
          <w:rtl/>
        </w:rPr>
        <w:t xml:space="preserve"> : أن لا يطلع ، وهو الظاهر ، وعلى ما في الأصل يمكن أن يق</w:t>
      </w:r>
      <w:r w:rsidR="00BF1B3B">
        <w:rPr>
          <w:rtl/>
        </w:rPr>
        <w:t>رأ إن بكسر الهمزة ؛ لتكون نافية</w:t>
      </w:r>
      <w:r w:rsidR="00992664" w:rsidRPr="00020424">
        <w:rPr>
          <w:rtl/>
        </w:rPr>
        <w:t>، ويحتمل أن يكون النفي في الكلام مقدّراً</w:t>
      </w:r>
      <w:r w:rsidR="00992664">
        <w:rPr>
          <w:rtl/>
        </w:rPr>
        <w:t xml:space="preserve"> ».</w:t>
      </w:r>
      <w:r w:rsidR="00992664" w:rsidRPr="00020424">
        <w:rPr>
          <w:rtl/>
        </w:rPr>
        <w:t xml:space="preserve"> وراجع أيضاً : </w:t>
      </w:r>
      <w:r w:rsidR="00992664" w:rsidRPr="00DE76B9">
        <w:rPr>
          <w:rStyle w:val="libFootnoteBoldChar"/>
          <w:rtl/>
        </w:rPr>
        <w:t>مصباح المتهجّد</w:t>
      </w:r>
      <w:r w:rsidR="00992664" w:rsidRPr="00020424">
        <w:rPr>
          <w:rtl/>
        </w:rPr>
        <w:t xml:space="preserve"> ، ص 636 ؛ </w:t>
      </w:r>
      <w:r w:rsidR="00992664" w:rsidRPr="00DE76B9">
        <w:rPr>
          <w:rStyle w:val="libFootnoteBoldChar"/>
          <w:rtl/>
        </w:rPr>
        <w:t>إقبال الأعمال</w:t>
      </w:r>
      <w:r w:rsidR="00992664" w:rsidRPr="00020424">
        <w:rPr>
          <w:rtl/>
        </w:rPr>
        <w:t xml:space="preserve"> ، ص 239 و252.</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على نعمائك كلّها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لك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ومرآة العقول : « المعدّون</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المعدودون</w:t>
      </w:r>
      <w:r w:rsidR="00992664">
        <w:rPr>
          <w:rtl/>
        </w:rPr>
        <w:t xml:space="preserve"> ».</w:t>
      </w:r>
      <w:r w:rsidR="00992664" w:rsidRPr="00020424">
        <w:rPr>
          <w:rtl/>
        </w:rPr>
        <w:t xml:space="preserve"> وقال في </w:t>
      </w:r>
      <w:r w:rsidR="00992664" w:rsidRPr="00DE76B9">
        <w:rPr>
          <w:rStyle w:val="libFootnoteBoldChar"/>
          <w:rtl/>
        </w:rPr>
        <w:t>مرآة العقول</w:t>
      </w:r>
      <w:r w:rsidR="00992664" w:rsidRPr="00020424">
        <w:rPr>
          <w:rtl/>
        </w:rPr>
        <w:t xml:space="preserve"> : « أي الذين‌عددتهم في أوليائك ، أو أحصيت أسماءهم في شيعة الأئمّة </w:t>
      </w:r>
      <w:r w:rsidR="00992664" w:rsidRPr="00D64ADA">
        <w:rPr>
          <w:rStyle w:val="libFootnoteAlaemChar"/>
          <w:rtl/>
        </w:rPr>
        <w:t>عليهم‌السلام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في</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المؤثرون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بس » : « وشكرك</w:t>
      </w:r>
      <w:r w:rsidR="00992664">
        <w:rPr>
          <w:rtl/>
        </w:rPr>
        <w:t xml:space="preserve"> ».</w:t>
      </w:r>
    </w:p>
    <w:p w:rsidR="00992664" w:rsidRPr="00020424" w:rsidRDefault="00795177" w:rsidP="001248DA">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وأصناف الناطقين ، يحتمل الرفع عطفاً على فاعل قال ، والجرّ عطفاً على‌الملائكة</w:t>
      </w:r>
      <w:r w:rsidR="00992664">
        <w:rPr>
          <w:rtl/>
        </w:rPr>
        <w:t xml:space="preserve"> ».</w:t>
      </w:r>
      <w:r w:rsidR="001248DA">
        <w:rPr>
          <w:rFonts w:hint="cs"/>
          <w:rtl/>
        </w:rPr>
        <w:t xml:space="preserve">                                     </w:t>
      </w:r>
      <w:r>
        <w:rPr>
          <w:rtl/>
        </w:rPr>
        <w:t>(10).</w:t>
      </w:r>
      <w:r w:rsidR="0014403D">
        <w:rPr>
          <w:rtl/>
        </w:rPr>
        <w:t xml:space="preserve"> </w:t>
      </w:r>
      <w:r w:rsidR="00992664" w:rsidRPr="00020424">
        <w:rPr>
          <w:rtl/>
        </w:rPr>
        <w:t>في « بث ، بخ ، بر ، بف » : « المسبّحين » بدون الواو.</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FD6221">
        <w:rPr>
          <w:rStyle w:val="libFootnoteBoldChar"/>
          <w:rtl/>
        </w:rPr>
        <w:t>والفقيه</w:t>
      </w:r>
      <w:r w:rsidR="00992664" w:rsidRPr="00020424">
        <w:rPr>
          <w:rtl/>
        </w:rPr>
        <w:t xml:space="preserve"> : + « ما لا نحصيه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بر ، بف ، جن » وحاشية « بث » : « فذلك</w:t>
      </w:r>
      <w:r w:rsidR="00992664">
        <w:rPr>
          <w:rtl/>
        </w:rPr>
        <w:t xml:space="preserve"> ».</w:t>
      </w:r>
      <w:r w:rsidR="00992664" w:rsidRPr="00020424">
        <w:rPr>
          <w:rtl/>
        </w:rPr>
        <w:t xml:space="preserve"> وفي « بس » </w:t>
      </w:r>
      <w:r w:rsidR="00992664" w:rsidRPr="00515444">
        <w:rPr>
          <w:rStyle w:val="libFootnoteBoldChar"/>
          <w:rtl/>
        </w:rPr>
        <w:t>والتهذيب</w:t>
      </w:r>
      <w:r w:rsidR="00992664" w:rsidRPr="00020424">
        <w:rPr>
          <w:rtl/>
        </w:rPr>
        <w:t xml:space="preserve"> : « بذلك</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426C8" w:rsidTr="003426C8">
        <w:tc>
          <w:tcPr>
            <w:tcW w:w="4006" w:type="dxa"/>
          </w:tcPr>
          <w:p w:rsidR="003426C8" w:rsidRDefault="003426C8" w:rsidP="00992664">
            <w:pPr>
              <w:pStyle w:val="libFootnote0"/>
              <w:rPr>
                <w:rtl/>
              </w:rPr>
            </w:pPr>
            <w:r>
              <w:rPr>
                <w:rtl/>
              </w:rPr>
              <w:t xml:space="preserve">(13). </w:t>
            </w:r>
            <w:r w:rsidRPr="00020424">
              <w:rPr>
                <w:rtl/>
              </w:rPr>
              <w:t xml:space="preserve">في </w:t>
            </w:r>
            <w:r w:rsidRPr="0012008A">
              <w:rPr>
                <w:rStyle w:val="libFootnoteBoldChar"/>
                <w:rtl/>
              </w:rPr>
              <w:t>الفقيه</w:t>
            </w:r>
            <w:r>
              <w:rPr>
                <w:rtl/>
              </w:rPr>
              <w:t xml:space="preserve"> :«فلك</w:t>
            </w:r>
            <w:r w:rsidRPr="00020424">
              <w:rPr>
                <w:rtl/>
              </w:rPr>
              <w:t>» بدل « فبذلك لك منتهى</w:t>
            </w:r>
            <w:r>
              <w:rPr>
                <w:rtl/>
              </w:rPr>
              <w:t xml:space="preserve"> ».</w:t>
            </w:r>
          </w:p>
        </w:tc>
        <w:tc>
          <w:tcPr>
            <w:tcW w:w="4006" w:type="dxa"/>
          </w:tcPr>
          <w:p w:rsidR="003426C8" w:rsidRDefault="003426C8" w:rsidP="00992664">
            <w:pPr>
              <w:pStyle w:val="libFootnote0"/>
              <w:rPr>
                <w:rtl/>
              </w:rPr>
            </w:pPr>
            <w:r>
              <w:rPr>
                <w:rtl/>
              </w:rPr>
              <w:t xml:space="preserve">(14). </w:t>
            </w:r>
            <w:r w:rsidRPr="00020424">
              <w:rPr>
                <w:rtl/>
              </w:rPr>
              <w:t xml:space="preserve">في </w:t>
            </w:r>
            <w:r w:rsidRPr="0012008A">
              <w:rPr>
                <w:rStyle w:val="libFootnoteBoldChar"/>
                <w:rtl/>
              </w:rPr>
              <w:t>الفقيه</w:t>
            </w:r>
            <w:r w:rsidRPr="00020424">
              <w:rPr>
                <w:rtl/>
              </w:rPr>
              <w:t xml:space="preserve"> : « الزائد</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110A4">
      <w:pPr>
        <w:pStyle w:val="libNormal0"/>
        <w:rPr>
          <w:rtl/>
          <w:lang w:bidi="fa-IR"/>
        </w:rPr>
      </w:pPr>
      <w:r w:rsidRPr="00020424">
        <w:rPr>
          <w:rtl/>
          <w:lang w:bidi="fa-IR"/>
        </w:rPr>
        <w:t xml:space="preserve">طُولَ الْأَبَدِ ، جَلَّ ثَنَاؤُكَ ، أَعَنْتَنَا عَلَيْهِ حَتّى قَضَيْتَ عَنَّا </w:t>
      </w:r>
      <w:r w:rsidRPr="00A91B96">
        <w:rPr>
          <w:rStyle w:val="libFootnotenumChar"/>
          <w:rtl/>
        </w:rPr>
        <w:t>(1)</w:t>
      </w:r>
      <w:r w:rsidRPr="00020424">
        <w:rPr>
          <w:rtl/>
          <w:lang w:bidi="fa-IR"/>
        </w:rPr>
        <w:t xml:space="preserve"> صِيَامَهُ وَقِيَامَهُ مِنْ صَلَاةٍ ، وَمَا كَانَ مِنَّا فِيهِ مِنْ بِرٍّ ، أَوْ شُكْرٍ ، أَوْ ذِكْرٍ.</w:t>
      </w:r>
    </w:p>
    <w:p w:rsidR="00992664" w:rsidRPr="00020424" w:rsidRDefault="00992664" w:rsidP="00992664">
      <w:pPr>
        <w:pStyle w:val="libNormal"/>
        <w:rPr>
          <w:rtl/>
          <w:lang w:bidi="fa-IR"/>
        </w:rPr>
      </w:pPr>
      <w:r w:rsidRPr="00020424">
        <w:rPr>
          <w:rtl/>
          <w:lang w:bidi="fa-IR"/>
        </w:rPr>
        <w:t>الل</w:t>
      </w:r>
      <w:r w:rsidR="00B110A4">
        <w:rPr>
          <w:rFonts w:hint="cs"/>
          <w:rtl/>
          <w:lang w:bidi="fa-IR"/>
        </w:rPr>
        <w:t>ّ</w:t>
      </w:r>
      <w:r w:rsidRPr="00020424">
        <w:rPr>
          <w:rtl/>
          <w:lang w:bidi="fa-IR"/>
        </w:rPr>
        <w:t xml:space="preserve">هُمَّ فَتَقَبَّلْهُ مِنَّا بِأَحْسَنِ قَبُولِكَ ، وَتَجَاوُزِكَ وَعَفْوِكَ وَصَفْحِكَ </w:t>
      </w:r>
      <w:r w:rsidRPr="00A91B96">
        <w:rPr>
          <w:rStyle w:val="libFootnotenumChar"/>
          <w:rtl/>
        </w:rPr>
        <w:t>(2)</w:t>
      </w:r>
      <w:r w:rsidRPr="00020424">
        <w:rPr>
          <w:rtl/>
          <w:lang w:bidi="fa-IR"/>
        </w:rPr>
        <w:t xml:space="preserve"> وَغُفْرَانِكَ وَحَقِيقَةِ رِضْوَانِكَ ، حَتّى تُظْفِرَنَا فِيهِ بِكُلِّ خَيْرٍ مَطْلُوبٍ ، وَجَزِيلِ عَطَاءٍ مَوْهُوبٍ ، وَتُوَقِّيَنَا </w:t>
      </w:r>
      <w:r w:rsidRPr="00A91B96">
        <w:rPr>
          <w:rStyle w:val="libFootnotenumChar"/>
          <w:rtl/>
        </w:rPr>
        <w:t>(3)</w:t>
      </w:r>
      <w:r w:rsidRPr="00020424">
        <w:rPr>
          <w:rtl/>
          <w:lang w:bidi="fa-IR"/>
        </w:rPr>
        <w:t xml:space="preserve"> فِيهِ مِنْ كُلِّ </w:t>
      </w:r>
      <w:r w:rsidRPr="00A91B96">
        <w:rPr>
          <w:rStyle w:val="libFootnotenumChar"/>
          <w:rtl/>
        </w:rPr>
        <w:t>(4)</w:t>
      </w:r>
      <w:r w:rsidRPr="00020424">
        <w:rPr>
          <w:rtl/>
          <w:lang w:bidi="fa-IR"/>
        </w:rPr>
        <w:t xml:space="preserve"> مَرْهُوبٍ ، أَوْ بَلَاءٍ مَجْلُوبٍ </w:t>
      </w:r>
      <w:r w:rsidRPr="00A91B96">
        <w:rPr>
          <w:rStyle w:val="libFootnotenumChar"/>
          <w:rtl/>
        </w:rPr>
        <w:t>(5)</w:t>
      </w:r>
      <w:r w:rsidRPr="00020424">
        <w:rPr>
          <w:rtl/>
          <w:lang w:bidi="fa-IR"/>
        </w:rPr>
        <w:t xml:space="preserve"> ، أَوْ ذَنْبٍ </w:t>
      </w:r>
      <w:r w:rsidRPr="00A91B96">
        <w:rPr>
          <w:rStyle w:val="libFootnotenumChar"/>
          <w:rtl/>
        </w:rPr>
        <w:t>(6)</w:t>
      </w:r>
      <w:r w:rsidRPr="00020424">
        <w:rPr>
          <w:rtl/>
          <w:lang w:bidi="fa-IR"/>
        </w:rPr>
        <w:t xml:space="preserve"> مَكْسُوبٍ.</w:t>
      </w:r>
    </w:p>
    <w:p w:rsidR="00992664" w:rsidRPr="00020424" w:rsidRDefault="00992664" w:rsidP="00992664">
      <w:pPr>
        <w:pStyle w:val="libNormal"/>
        <w:rPr>
          <w:rtl/>
          <w:lang w:bidi="fa-IR"/>
        </w:rPr>
      </w:pPr>
      <w:r w:rsidRPr="00020424">
        <w:rPr>
          <w:rtl/>
          <w:lang w:bidi="fa-IR"/>
        </w:rPr>
        <w:t>الل</w:t>
      </w:r>
      <w:r w:rsidR="00442EF1">
        <w:rPr>
          <w:rFonts w:hint="cs"/>
          <w:rtl/>
          <w:lang w:bidi="fa-IR"/>
        </w:rPr>
        <w:t>ّ</w:t>
      </w:r>
      <w:r w:rsidR="0074305D">
        <w:rPr>
          <w:rtl/>
          <w:lang w:bidi="fa-IR"/>
        </w:rPr>
        <w:t>هُمَّ إِنِّي أَسْأَ</w:t>
      </w:r>
      <w:r w:rsidRPr="00020424">
        <w:rPr>
          <w:rtl/>
          <w:lang w:bidi="fa-IR"/>
        </w:rPr>
        <w:t xml:space="preserve">لُكَ بِعَظِيمِ مَا سَأَلَكَ بِهِ </w:t>
      </w:r>
      <w:r w:rsidRPr="00A91B96">
        <w:rPr>
          <w:rStyle w:val="libFootnotenumChar"/>
          <w:rtl/>
        </w:rPr>
        <w:t>(7)</w:t>
      </w:r>
      <w:r w:rsidRPr="00020424">
        <w:rPr>
          <w:rtl/>
          <w:lang w:bidi="fa-IR"/>
        </w:rPr>
        <w:t xml:space="preserve"> أَحَدٌ مِنْ خَلْقِكَ مِنْ كَرِيمِ أَسْمَائِكَ وَجَمِيلِ </w:t>
      </w:r>
      <w:r w:rsidRPr="00A91B96">
        <w:rPr>
          <w:rStyle w:val="libFootnotenumChar"/>
          <w:rtl/>
        </w:rPr>
        <w:t>(8)</w:t>
      </w:r>
      <w:r w:rsidRPr="00020424">
        <w:rPr>
          <w:rtl/>
          <w:lang w:bidi="fa-IR"/>
        </w:rPr>
        <w:t xml:space="preserve"> ثَنَائِكَ وَخَاصَّةِ دُعَائِكَ ، أَنْ تُصَلِّي عَلى مُحَمَّدٍ وَآلِ </w:t>
      </w:r>
      <w:r w:rsidRPr="00A91B96">
        <w:rPr>
          <w:rStyle w:val="libFootnotenumChar"/>
          <w:rtl/>
        </w:rPr>
        <w:t>(9)</w:t>
      </w:r>
      <w:r w:rsidRPr="00020424">
        <w:rPr>
          <w:rtl/>
          <w:lang w:bidi="fa-IR"/>
        </w:rPr>
        <w:t xml:space="preserve"> مُحَمَّدٍ ، وَأَنْ تَجْعَلَ شَهْرَنَا هذَا أَعْظَمَ شَهْرِ رَمَضَانَ مَرَّ عَلَيْنَا مُنْذُ </w:t>
      </w:r>
      <w:r w:rsidRPr="00A91B96">
        <w:rPr>
          <w:rStyle w:val="libFootnotenumChar"/>
          <w:rtl/>
        </w:rPr>
        <w:t>(10)</w:t>
      </w:r>
      <w:r w:rsidRPr="00020424">
        <w:rPr>
          <w:rtl/>
          <w:lang w:bidi="fa-IR"/>
        </w:rPr>
        <w:t xml:space="preserve"> أَنْزَلْتَنَا إِلَى </w:t>
      </w:r>
      <w:r w:rsidRPr="00A91B96">
        <w:rPr>
          <w:rStyle w:val="libFootnotenumChar"/>
          <w:rtl/>
        </w:rPr>
        <w:t>(11)</w:t>
      </w:r>
      <w:r w:rsidRPr="00020424">
        <w:rPr>
          <w:rtl/>
          <w:lang w:bidi="fa-IR"/>
        </w:rPr>
        <w:t xml:space="preserve"> الدُّنْيَا بَرَكَةً فِي عِصْمَةِ دِينِي ، وَخَلَاصِ نَفْسِي ، وَقَضَاءِ حَوَائِجِي </w:t>
      </w:r>
      <w:r w:rsidRPr="00A91B96">
        <w:rPr>
          <w:rStyle w:val="libFootnotenumChar"/>
          <w:rtl/>
        </w:rPr>
        <w:t>(12)</w:t>
      </w:r>
      <w:r w:rsidRPr="00020424">
        <w:rPr>
          <w:rtl/>
          <w:lang w:bidi="fa-IR"/>
        </w:rPr>
        <w:t xml:space="preserve"> ، وَتُشَفِّعَنِي </w:t>
      </w:r>
      <w:r w:rsidRPr="00A91B96">
        <w:rPr>
          <w:rStyle w:val="libFootnotenumChar"/>
          <w:rtl/>
        </w:rPr>
        <w:t>(13)</w:t>
      </w:r>
      <w:r w:rsidRPr="00020424">
        <w:rPr>
          <w:rtl/>
          <w:lang w:bidi="fa-IR"/>
        </w:rPr>
        <w:t xml:space="preserve"> فِي مَسَائِلِي </w:t>
      </w:r>
      <w:r w:rsidRPr="00A91B96">
        <w:rPr>
          <w:rStyle w:val="libFootnotenumChar"/>
          <w:rtl/>
        </w:rPr>
        <w:t>(14)</w:t>
      </w:r>
      <w:r w:rsidRPr="00020424">
        <w:rPr>
          <w:rtl/>
          <w:lang w:bidi="fa-IR"/>
        </w:rPr>
        <w:t xml:space="preserve"> ، وَتَمَامِ النِّعْمَةِ عَلَيَّ ، وَصَرْفِ السُّوءِ عَنِّي ، وَلِبَاسِ الْعَافِيَةِ لِي فِيهِ </w:t>
      </w:r>
      <w:r w:rsidRPr="00A91B96">
        <w:rPr>
          <w:rStyle w:val="libFootnotenumChar"/>
          <w:rtl/>
        </w:rPr>
        <w:t>(15)</w:t>
      </w:r>
      <w:r w:rsidRPr="00020424">
        <w:rPr>
          <w:rtl/>
          <w:lang w:bidi="fa-IR"/>
        </w:rPr>
        <w:t xml:space="preserve"> ، وَأَنْ تَجْعَلَنِي بِرَحْمَتِكَ مِمَّنْ خِرْتَ </w:t>
      </w:r>
      <w:r w:rsidRPr="00A91B96">
        <w:rPr>
          <w:rStyle w:val="libFootnotenumChar"/>
          <w:rtl/>
        </w:rPr>
        <w:t>(16)</w:t>
      </w:r>
      <w:r w:rsidRPr="00020424">
        <w:rPr>
          <w:rtl/>
          <w:lang w:bidi="fa-IR"/>
        </w:rPr>
        <w:t xml:space="preserve"> لَهُ لَيْلَةَ الْقَدْرِ ، وَجَعَلْتَهَا لَهُ خَيْراً مِنْ أَلْفِ شَهْرٍ ، فِي أَعْظَمِ </w:t>
      </w:r>
      <w:r w:rsidRPr="00A91B96">
        <w:rPr>
          <w:rStyle w:val="libFootnotenumChar"/>
          <w:rtl/>
        </w:rPr>
        <w:t>(17)</w:t>
      </w:r>
      <w:r w:rsidRPr="00020424">
        <w:rPr>
          <w:rtl/>
          <w:lang w:bidi="fa-IR"/>
        </w:rPr>
        <w:t xml:space="preserve"> الْأَجْرِ ، وَكَرَائِمِ الذُّخْرِ ، وَحُسْنِ‌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جميع النسخ التي قوبلت </w:t>
      </w:r>
      <w:r w:rsidR="00992664" w:rsidRPr="00BF1B3B">
        <w:rPr>
          <w:rtl/>
        </w:rPr>
        <w:t>والوافي والفقيه والتهذيب.</w:t>
      </w:r>
      <w:r w:rsidR="00992664" w:rsidRPr="00020424">
        <w:rPr>
          <w:rtl/>
        </w:rPr>
        <w:t xml:space="preserve"> وفي المطبوع : « حتّى قضينا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الصَّفْح : الإعراض ، والعفو ، والتجاوز عن الذنب. قال ابن الأثير : « وأصله من الإعراض بصفحة الوجه ، كأنّه‌أعرض بوجهه عن ذنبه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383 ؛ </w:t>
      </w:r>
      <w:r w:rsidR="00992664" w:rsidRPr="0012008A">
        <w:rPr>
          <w:rStyle w:val="libFootnoteBoldChar"/>
          <w:rtl/>
        </w:rPr>
        <w:t>النهاية</w:t>
      </w:r>
      <w:r w:rsidR="00992664" w:rsidRPr="00020424">
        <w:rPr>
          <w:rtl/>
        </w:rPr>
        <w:t xml:space="preserve"> ، ج 3 ، ص 34 ( صفح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ى ، بح » : « وتوفّينا</w:t>
      </w:r>
      <w:r w:rsidR="00992664">
        <w:rPr>
          <w:rtl/>
        </w:rPr>
        <w:t xml:space="preserve"> ».</w:t>
      </w:r>
      <w:r w:rsidR="00992664" w:rsidRPr="00020424">
        <w:rPr>
          <w:rtl/>
        </w:rPr>
        <w:t xml:space="preserve"> وفي </w:t>
      </w:r>
      <w:r w:rsidR="00992664" w:rsidRPr="0012008A">
        <w:rPr>
          <w:rStyle w:val="libFootnoteBoldChar"/>
          <w:rtl/>
        </w:rPr>
        <w:t>ا</w:t>
      </w:r>
      <w:r w:rsidR="00992664" w:rsidRPr="00BF1B3B">
        <w:rPr>
          <w:rtl/>
        </w:rPr>
        <w:t>لوافي والفقيه والتهذيب</w:t>
      </w:r>
      <w:r w:rsidR="00992664" w:rsidRPr="00020424">
        <w:rPr>
          <w:rtl/>
        </w:rPr>
        <w:t xml:space="preserve"> : « وتؤمننا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4305D" w:rsidTr="0074305D">
        <w:tc>
          <w:tcPr>
            <w:tcW w:w="4006" w:type="dxa"/>
          </w:tcPr>
          <w:p w:rsidR="0074305D" w:rsidRDefault="0074305D" w:rsidP="00992664">
            <w:pPr>
              <w:pStyle w:val="libFootnote0"/>
              <w:rPr>
                <w:rtl/>
              </w:rPr>
            </w:pPr>
            <w:r>
              <w:rPr>
                <w:rtl/>
              </w:rPr>
              <w:t xml:space="preserve">(4).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 أمر</w:t>
            </w:r>
            <w:r>
              <w:rPr>
                <w:rtl/>
              </w:rPr>
              <w:t xml:space="preserve"> ».</w:t>
            </w:r>
          </w:p>
        </w:tc>
        <w:tc>
          <w:tcPr>
            <w:tcW w:w="4006" w:type="dxa"/>
          </w:tcPr>
          <w:p w:rsidR="0074305D" w:rsidRDefault="0074305D" w:rsidP="00992664">
            <w:pPr>
              <w:pStyle w:val="libFootnote0"/>
              <w:rPr>
                <w:rtl/>
              </w:rPr>
            </w:pPr>
            <w:r>
              <w:rPr>
                <w:rtl/>
              </w:rPr>
              <w:t xml:space="preserve">(5).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أو بلاء مجلوب</w:t>
            </w:r>
            <w:r>
              <w:rPr>
                <w:rtl/>
              </w:rPr>
              <w:t xml:space="preserve"> ».</w:t>
            </w:r>
          </w:p>
        </w:tc>
      </w:tr>
      <w:tr w:rsidR="0074305D" w:rsidTr="0074305D">
        <w:tc>
          <w:tcPr>
            <w:tcW w:w="4006" w:type="dxa"/>
          </w:tcPr>
          <w:p w:rsidR="0074305D" w:rsidRDefault="0074305D" w:rsidP="00992664">
            <w:pPr>
              <w:pStyle w:val="libFootnote0"/>
              <w:rPr>
                <w:rtl/>
              </w:rPr>
            </w:pPr>
            <w:r>
              <w:rPr>
                <w:rtl/>
              </w:rPr>
              <w:t xml:space="preserve">(6).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أو ذنب</w:t>
            </w:r>
            <w:r>
              <w:rPr>
                <w:rtl/>
              </w:rPr>
              <w:t xml:space="preserve"> ».</w:t>
            </w:r>
          </w:p>
        </w:tc>
        <w:tc>
          <w:tcPr>
            <w:tcW w:w="4006" w:type="dxa"/>
          </w:tcPr>
          <w:p w:rsidR="0074305D" w:rsidRDefault="0074305D" w:rsidP="00992664">
            <w:pPr>
              <w:pStyle w:val="libFootnote0"/>
              <w:rPr>
                <w:rtl/>
              </w:rPr>
            </w:pPr>
            <w:r>
              <w:rPr>
                <w:rtl/>
              </w:rPr>
              <w:t xml:space="preserve">(7).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به</w:t>
            </w:r>
            <w:r>
              <w:rPr>
                <w:rtl/>
              </w:rPr>
              <w:t xml:space="preserve"> ».</w:t>
            </w:r>
          </w:p>
        </w:tc>
      </w:tr>
      <w:tr w:rsidR="0074305D" w:rsidTr="0074305D">
        <w:tc>
          <w:tcPr>
            <w:tcW w:w="4006" w:type="dxa"/>
          </w:tcPr>
          <w:p w:rsidR="0074305D" w:rsidRDefault="00905E95" w:rsidP="00992664">
            <w:pPr>
              <w:pStyle w:val="libFootnote0"/>
              <w:rPr>
                <w:rtl/>
              </w:rPr>
            </w:pPr>
            <w:r>
              <w:rPr>
                <w:rtl/>
              </w:rPr>
              <w:t xml:space="preserve">(8). </w:t>
            </w:r>
            <w:r w:rsidRPr="00020424">
              <w:rPr>
                <w:rtl/>
              </w:rPr>
              <w:t xml:space="preserve">في </w:t>
            </w:r>
            <w:r w:rsidRPr="0012008A">
              <w:rPr>
                <w:rStyle w:val="libFootnoteBoldChar"/>
                <w:rtl/>
              </w:rPr>
              <w:t>التهذيب</w:t>
            </w:r>
            <w:r w:rsidRPr="00020424">
              <w:rPr>
                <w:rtl/>
              </w:rPr>
              <w:t xml:space="preserve"> : « وجزيل</w:t>
            </w:r>
            <w:r>
              <w:rPr>
                <w:rtl/>
              </w:rPr>
              <w:t xml:space="preserve"> ».</w:t>
            </w:r>
          </w:p>
        </w:tc>
        <w:tc>
          <w:tcPr>
            <w:tcW w:w="4006" w:type="dxa"/>
          </w:tcPr>
          <w:p w:rsidR="0074305D" w:rsidRDefault="00905E95" w:rsidP="00992664">
            <w:pPr>
              <w:pStyle w:val="libFootnote0"/>
              <w:rPr>
                <w:rtl/>
              </w:rPr>
            </w:pPr>
            <w:r>
              <w:rPr>
                <w:rtl/>
              </w:rPr>
              <w:t>(9). في« ى، بث، بخ، بف</w:t>
            </w:r>
            <w:r w:rsidRPr="00020424">
              <w:rPr>
                <w:rtl/>
              </w:rPr>
              <w:t>، جن » : « وعلى آل</w:t>
            </w:r>
            <w:r>
              <w:rPr>
                <w:rtl/>
              </w:rPr>
              <w:t xml:space="preserve"> ».</w:t>
            </w:r>
          </w:p>
        </w:tc>
      </w:tr>
      <w:tr w:rsidR="0074305D" w:rsidTr="0074305D">
        <w:tc>
          <w:tcPr>
            <w:tcW w:w="4006" w:type="dxa"/>
          </w:tcPr>
          <w:p w:rsidR="0074305D" w:rsidRDefault="00905E95" w:rsidP="00992664">
            <w:pPr>
              <w:pStyle w:val="libFootnote0"/>
              <w:rPr>
                <w:rtl/>
              </w:rPr>
            </w:pPr>
            <w:r>
              <w:rPr>
                <w:rtl/>
              </w:rPr>
              <w:t xml:space="preserve">(10). </w:t>
            </w:r>
            <w:r w:rsidRPr="00020424">
              <w:rPr>
                <w:rtl/>
              </w:rPr>
              <w:t>في « ى » : « مذ</w:t>
            </w:r>
            <w:r>
              <w:rPr>
                <w:rtl/>
              </w:rPr>
              <w:t xml:space="preserve"> ».</w:t>
            </w:r>
          </w:p>
        </w:tc>
        <w:tc>
          <w:tcPr>
            <w:tcW w:w="4006" w:type="dxa"/>
          </w:tcPr>
          <w:p w:rsidR="0074305D" w:rsidRDefault="00905E95" w:rsidP="00992664">
            <w:pPr>
              <w:pStyle w:val="libFootnote0"/>
              <w:rPr>
                <w:rtl/>
              </w:rPr>
            </w:pPr>
            <w:r>
              <w:rPr>
                <w:rtl/>
              </w:rPr>
              <w:t xml:space="preserve">(11). </w:t>
            </w:r>
            <w:r w:rsidRPr="00020424">
              <w:rPr>
                <w:rtl/>
              </w:rPr>
              <w:t>في « بس » : + « دار</w:t>
            </w:r>
            <w:r>
              <w:rPr>
                <w:rtl/>
              </w:rPr>
              <w:t xml:space="preserve"> ».</w:t>
            </w:r>
          </w:p>
        </w:tc>
      </w:tr>
    </w:tbl>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 حاجتي</w:t>
      </w:r>
      <w:r w:rsidR="00992664">
        <w:rPr>
          <w:rtl/>
        </w:rPr>
        <w:t xml:space="preserve"> ».</w:t>
      </w:r>
    </w:p>
    <w:p w:rsidR="00992664" w:rsidRPr="00020424" w:rsidRDefault="00795177" w:rsidP="00056477">
      <w:pPr>
        <w:pStyle w:val="libFootnote0"/>
        <w:rPr>
          <w:rtl/>
          <w:lang w:bidi="fa-IR"/>
        </w:rPr>
      </w:pPr>
      <w:r>
        <w:rPr>
          <w:rtl/>
        </w:rPr>
        <w:t>(13).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في </w:t>
      </w:r>
      <w:r w:rsidR="00992664" w:rsidRPr="0012008A">
        <w:rPr>
          <w:rStyle w:val="libFootnoteBoldChar"/>
          <w:rtl/>
        </w:rPr>
        <w:t>التهذيب</w:t>
      </w:r>
      <w:r w:rsidR="00992664" w:rsidRPr="00020424">
        <w:rPr>
          <w:rtl/>
        </w:rPr>
        <w:t xml:space="preserve"> مكان « وتشفّعني » : وتشفيعي ، وهو أظهر ، وربّما يقرأ : وتشفعتي ، مصدراً على وزن تفعلة</w:t>
      </w:r>
      <w:r w:rsidR="00992664">
        <w:rPr>
          <w:rtl/>
        </w:rPr>
        <w:t xml:space="preserve"> ».</w:t>
      </w:r>
      <w:r w:rsidR="00056477">
        <w:rPr>
          <w:rFonts w:hint="cs"/>
          <w:rtl/>
        </w:rPr>
        <w:t xml:space="preserve">                            </w:t>
      </w:r>
      <w:r w:rsidR="00802665">
        <w:rPr>
          <w:rFonts w:hint="cs"/>
          <w:rtl/>
        </w:rPr>
        <w:t xml:space="preserve">       </w:t>
      </w:r>
      <w:r>
        <w:rPr>
          <w:rtl/>
        </w:rPr>
        <w:t>(14).</w:t>
      </w:r>
      <w:r w:rsidR="0014403D">
        <w:rPr>
          <w:rtl/>
        </w:rPr>
        <w:t xml:space="preserve"> </w:t>
      </w:r>
      <w:r w:rsidR="00992664" w:rsidRPr="00020424">
        <w:rPr>
          <w:rtl/>
        </w:rPr>
        <w:t>في « بخ ، بس » وحاشة « بث » : « مسألتي</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فيه</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FD6221">
        <w:rPr>
          <w:rStyle w:val="libFootnoteBoldChar"/>
          <w:rtl/>
        </w:rPr>
        <w:t>والفقيه</w:t>
      </w:r>
      <w:r w:rsidR="00992664" w:rsidRPr="00020424">
        <w:rPr>
          <w:rtl/>
        </w:rPr>
        <w:t xml:space="preserve"> : « ادّخرت</w:t>
      </w:r>
      <w:r w:rsidR="00992664">
        <w:rPr>
          <w:rtl/>
        </w:rPr>
        <w:t xml:space="preserve"> ».</w:t>
      </w:r>
      <w:r w:rsidR="00992664" w:rsidRPr="00020424">
        <w:rPr>
          <w:rtl/>
        </w:rPr>
        <w:t xml:space="preserve"> وفي مرآة العقول عن بعض النسخ : « ذخرت</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حزت</w:t>
      </w:r>
      <w:r w:rsidR="00992664">
        <w:rPr>
          <w:rtl/>
        </w:rPr>
        <w:t>».</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بس » :</w:t>
      </w:r>
      <w:r w:rsidR="00992664">
        <w:rPr>
          <w:rtl/>
        </w:rPr>
        <w:t xml:space="preserve"> </w:t>
      </w:r>
      <w:r w:rsidR="009B673F">
        <w:rPr>
          <w:rtl/>
        </w:rPr>
        <w:t>-</w:t>
      </w:r>
      <w:r w:rsidR="00992664">
        <w:rPr>
          <w:rtl/>
        </w:rPr>
        <w:t xml:space="preserve"> </w:t>
      </w:r>
      <w:r w:rsidR="00992664" w:rsidRPr="00020424">
        <w:rPr>
          <w:rtl/>
        </w:rPr>
        <w:t>« السوء عنّي</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في أعظم</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802665">
      <w:pPr>
        <w:pStyle w:val="libNormal0"/>
        <w:rPr>
          <w:rtl/>
          <w:lang w:bidi="fa-IR"/>
        </w:rPr>
      </w:pPr>
      <w:r w:rsidRPr="00020424">
        <w:rPr>
          <w:rtl/>
          <w:lang w:bidi="fa-IR"/>
        </w:rPr>
        <w:t xml:space="preserve">الشُّكْرِ ، وَطُولِ الْعُمُرِ </w:t>
      </w:r>
      <w:r w:rsidRPr="00A91B96">
        <w:rPr>
          <w:rStyle w:val="libFootnotenumChar"/>
          <w:rtl/>
        </w:rPr>
        <w:t>(1)</w:t>
      </w:r>
      <w:r w:rsidRPr="00020424">
        <w:rPr>
          <w:rtl/>
          <w:lang w:bidi="fa-IR"/>
        </w:rPr>
        <w:t xml:space="preserve"> ، وَدَوَامِ الْيُسْرِ.</w:t>
      </w:r>
    </w:p>
    <w:p w:rsidR="00992664" w:rsidRPr="00020424" w:rsidRDefault="00992664" w:rsidP="00992664">
      <w:pPr>
        <w:pStyle w:val="libNormal"/>
        <w:rPr>
          <w:rtl/>
          <w:lang w:bidi="fa-IR"/>
        </w:rPr>
      </w:pPr>
      <w:r w:rsidRPr="00020424">
        <w:rPr>
          <w:rtl/>
          <w:lang w:bidi="fa-IR"/>
        </w:rPr>
        <w:t>الل</w:t>
      </w:r>
      <w:r w:rsidR="00802665">
        <w:rPr>
          <w:rFonts w:hint="cs"/>
          <w:rtl/>
          <w:lang w:bidi="fa-IR"/>
        </w:rPr>
        <w:t>ّ</w:t>
      </w:r>
      <w:r w:rsidRPr="00020424">
        <w:rPr>
          <w:rtl/>
          <w:lang w:bidi="fa-IR"/>
        </w:rPr>
        <w:t xml:space="preserve">هُمَّ </w:t>
      </w:r>
      <w:r w:rsidRPr="00A91B96">
        <w:rPr>
          <w:rStyle w:val="libFootnotenumChar"/>
          <w:rtl/>
        </w:rPr>
        <w:t>(2)</w:t>
      </w:r>
      <w:r w:rsidRPr="00020424">
        <w:rPr>
          <w:rtl/>
          <w:lang w:bidi="fa-IR"/>
        </w:rPr>
        <w:t xml:space="preserve"> وَأَسْأَ لُكَ بِرَحْمَتِكَ </w:t>
      </w:r>
      <w:r w:rsidRPr="00A91B96">
        <w:rPr>
          <w:rStyle w:val="libFootnotenumChar"/>
          <w:rtl/>
        </w:rPr>
        <w:t>(3)</w:t>
      </w:r>
      <w:r w:rsidRPr="00020424">
        <w:rPr>
          <w:rtl/>
          <w:lang w:bidi="fa-IR"/>
        </w:rPr>
        <w:t xml:space="preserve"> وَطَوْلِكَ وَعَفْوِكَ وَنَعْمَائِكَ وَجَلَالِكَ وَقَدِيمِ إِحْسَانِكَ وَامْتِنَانِكَ </w:t>
      </w:r>
      <w:r w:rsidRPr="00A91B96">
        <w:rPr>
          <w:rStyle w:val="libFootnotenumChar"/>
          <w:rtl/>
        </w:rPr>
        <w:t>(4)</w:t>
      </w:r>
      <w:r w:rsidRPr="00020424">
        <w:rPr>
          <w:rtl/>
          <w:lang w:bidi="fa-IR"/>
        </w:rPr>
        <w:t xml:space="preserve"> ، أَنْ لَاتَجْعَلَهُ آخِرَ الْعَهْدِ مِنَّا لِشَهْرِ رَمَضَانَ حَتّى تُبَلِّغَنَاهُ مِنْ قَابِلٍ عَلى أَحْسَنِ حَالٍ ، وَتُعَرِّفَنِي </w:t>
      </w:r>
      <w:r w:rsidRPr="00A91B96">
        <w:rPr>
          <w:rStyle w:val="libFootnotenumChar"/>
          <w:rtl/>
        </w:rPr>
        <w:t>(5)</w:t>
      </w:r>
      <w:r w:rsidRPr="00020424">
        <w:rPr>
          <w:rtl/>
          <w:lang w:bidi="fa-IR"/>
        </w:rPr>
        <w:t xml:space="preserve"> هِلَالَهُ مَعَ النَّاظِرِينَ إِلَيْهِ ، وَالْمُعْتَرِفِينَ </w:t>
      </w:r>
      <w:r w:rsidRPr="00A91B96">
        <w:rPr>
          <w:rStyle w:val="libFootnotenumChar"/>
          <w:rtl/>
        </w:rPr>
        <w:t>(6)</w:t>
      </w:r>
      <w:r w:rsidRPr="00020424">
        <w:rPr>
          <w:rtl/>
          <w:lang w:bidi="fa-IR"/>
        </w:rPr>
        <w:t xml:space="preserve"> لَهُ فِي أَعْفى عَافِيَتِكَ ، وَأَنْعَمِ </w:t>
      </w:r>
      <w:r w:rsidRPr="00A91B96">
        <w:rPr>
          <w:rStyle w:val="libFootnotenumChar"/>
          <w:rtl/>
        </w:rPr>
        <w:t>(7)</w:t>
      </w:r>
      <w:r w:rsidRPr="00020424">
        <w:rPr>
          <w:rtl/>
          <w:lang w:bidi="fa-IR"/>
        </w:rPr>
        <w:t xml:space="preserve"> نِعْمَتِكَ ، وَأَوْسَعِ رَحْمَتِكَ ، وَأَجْزَلِ قَسْمِكَ </w:t>
      </w:r>
      <w:r w:rsidRPr="00A91B96">
        <w:rPr>
          <w:rStyle w:val="libFootnotenumChar"/>
          <w:rtl/>
        </w:rPr>
        <w:t>(8)</w:t>
      </w:r>
      <w:r w:rsidRPr="00020424">
        <w:rPr>
          <w:rtl/>
          <w:lang w:bidi="fa-IR"/>
        </w:rPr>
        <w:t xml:space="preserve"> ، يَا رَبِّيَ </w:t>
      </w:r>
      <w:r w:rsidRPr="00A91B96">
        <w:rPr>
          <w:rStyle w:val="libFootnotenumChar"/>
          <w:rtl/>
        </w:rPr>
        <w:t>(9)</w:t>
      </w:r>
      <w:r w:rsidRPr="00020424">
        <w:rPr>
          <w:rtl/>
          <w:lang w:bidi="fa-IR"/>
        </w:rPr>
        <w:t xml:space="preserve"> الَّذِي لَيْسَ لِي </w:t>
      </w:r>
      <w:r w:rsidRPr="00A91B96">
        <w:rPr>
          <w:rStyle w:val="libFootnotenumChar"/>
          <w:rtl/>
        </w:rPr>
        <w:t>(10)</w:t>
      </w:r>
      <w:r w:rsidRPr="00020424">
        <w:rPr>
          <w:rtl/>
          <w:lang w:bidi="fa-IR"/>
        </w:rPr>
        <w:t xml:space="preserve"> رَبٌّ غَيْرُهُ ، لَايَكُونُ </w:t>
      </w:r>
      <w:r w:rsidRPr="00A91B96">
        <w:rPr>
          <w:rStyle w:val="libFootnotenumChar"/>
          <w:rtl/>
        </w:rPr>
        <w:t>(11)</w:t>
      </w:r>
      <w:r w:rsidRPr="00020424">
        <w:rPr>
          <w:rtl/>
          <w:lang w:bidi="fa-IR"/>
        </w:rPr>
        <w:t xml:space="preserve"> هذَا الْوَدَاعُ مِنِّي لَهُ </w:t>
      </w:r>
      <w:r w:rsidRPr="00A91B96">
        <w:rPr>
          <w:rStyle w:val="libFootnotenumChar"/>
          <w:rtl/>
        </w:rPr>
        <w:t>(12)</w:t>
      </w:r>
      <w:r w:rsidRPr="00020424">
        <w:rPr>
          <w:rtl/>
          <w:lang w:bidi="fa-IR"/>
        </w:rPr>
        <w:t xml:space="preserve"> وَدَاعَ فَنَاءٍ ، وَلَا</w:t>
      </w:r>
      <w:r>
        <w:rPr>
          <w:rFonts w:hint="cs"/>
          <w:rtl/>
          <w:lang w:bidi="fa-IR"/>
        </w:rPr>
        <w:t xml:space="preserve"> </w:t>
      </w:r>
      <w:r w:rsidRPr="00020424">
        <w:rPr>
          <w:rtl/>
          <w:lang w:bidi="fa-IR"/>
        </w:rPr>
        <w:t xml:space="preserve">آخِرَ الْعَهْدِ </w:t>
      </w:r>
      <w:r w:rsidRPr="00A91B96">
        <w:rPr>
          <w:rStyle w:val="libFootnotenumChar"/>
          <w:rtl/>
        </w:rPr>
        <w:t>(13)</w:t>
      </w:r>
      <w:r w:rsidRPr="00020424">
        <w:rPr>
          <w:rtl/>
          <w:lang w:bidi="fa-IR"/>
        </w:rPr>
        <w:t xml:space="preserve"> مِنِّي </w:t>
      </w:r>
      <w:r w:rsidRPr="00A91B96">
        <w:rPr>
          <w:rStyle w:val="libFootnotenumChar"/>
          <w:rtl/>
        </w:rPr>
        <w:t>(14)</w:t>
      </w:r>
      <w:r w:rsidRPr="00020424">
        <w:rPr>
          <w:rtl/>
          <w:lang w:bidi="fa-IR"/>
        </w:rPr>
        <w:t xml:space="preserve"> لِلِّقَاءِ </w:t>
      </w:r>
      <w:r w:rsidRPr="00A91B96">
        <w:rPr>
          <w:rStyle w:val="libFootnotenumChar"/>
          <w:rtl/>
        </w:rPr>
        <w:t>(15)</w:t>
      </w:r>
      <w:r w:rsidRPr="00020424">
        <w:rPr>
          <w:rtl/>
          <w:lang w:bidi="fa-IR"/>
        </w:rPr>
        <w:t xml:space="preserve"> حَتّى تُرِيَنِيهِ مِنْ قَابِلٍ فِي أَوْسَعِ </w:t>
      </w:r>
      <w:r w:rsidRPr="00A91B96">
        <w:rPr>
          <w:rStyle w:val="libFootnotenumChar"/>
          <w:rtl/>
        </w:rPr>
        <w:t>(16)</w:t>
      </w:r>
      <w:r w:rsidRPr="00020424">
        <w:rPr>
          <w:rtl/>
          <w:lang w:bidi="fa-IR"/>
        </w:rPr>
        <w:t xml:space="preserve"> النِّعَمِ ، وَأَفْضَلِ الرَّجَاءِ ، وَأَنَا لَكَ عَلى أَحْسَنِ الْوَفَاءِ ، إِنَّكَ سَمِيعُ </w:t>
      </w:r>
      <w:r w:rsidRPr="00A91B96">
        <w:rPr>
          <w:rStyle w:val="libFootnotenumChar"/>
          <w:rtl/>
        </w:rPr>
        <w:t>(17)</w:t>
      </w:r>
      <w:r w:rsidRPr="00020424">
        <w:rPr>
          <w:rtl/>
          <w:lang w:bidi="fa-IR"/>
        </w:rPr>
        <w:t xml:space="preserve"> الدُّعَاءِ.</w:t>
      </w:r>
    </w:p>
    <w:p w:rsidR="00992664" w:rsidRPr="00020424" w:rsidRDefault="00992664" w:rsidP="00992664">
      <w:pPr>
        <w:pStyle w:val="libNormal"/>
        <w:rPr>
          <w:rtl/>
          <w:lang w:bidi="fa-IR"/>
        </w:rPr>
      </w:pPr>
      <w:r w:rsidRPr="00020424">
        <w:rPr>
          <w:rtl/>
          <w:lang w:bidi="fa-IR"/>
        </w:rPr>
        <w:t>الل</w:t>
      </w:r>
      <w:r w:rsidR="00653AA7">
        <w:rPr>
          <w:rFonts w:hint="cs"/>
          <w:rtl/>
          <w:lang w:bidi="fa-IR"/>
        </w:rPr>
        <w:t>ّ</w:t>
      </w:r>
      <w:r w:rsidRPr="00020424">
        <w:rPr>
          <w:rtl/>
          <w:lang w:bidi="fa-IR"/>
        </w:rPr>
        <w:t xml:space="preserve">هُمَّ اسْمَعْ دُعَائِي ، وَارْحَمْ </w:t>
      </w:r>
      <w:r w:rsidRPr="00A91B96">
        <w:rPr>
          <w:rStyle w:val="libFootnotenumChar"/>
          <w:rtl/>
        </w:rPr>
        <w:t>(18)</w:t>
      </w:r>
      <w:r w:rsidRPr="00020424">
        <w:rPr>
          <w:rtl/>
          <w:lang w:bidi="fa-IR"/>
        </w:rPr>
        <w:t xml:space="preserve"> تَضَرُّعِي وَتَذَلُّلِي لَكَ ، وَاسْتِكَانَتِي </w:t>
      </w:r>
      <w:r w:rsidRPr="00A91B96">
        <w:rPr>
          <w:rStyle w:val="libFootnotenumChar"/>
          <w:rtl/>
        </w:rPr>
        <w:t>(19)</w:t>
      </w:r>
      <w:r w:rsidRPr="00020424">
        <w:rPr>
          <w:rtl/>
          <w:lang w:bidi="fa-IR"/>
        </w:rPr>
        <w:t xml:space="preserve"> وَتَوَكُّلِي عَلَيْكَ ، وَأَنَا </w:t>
      </w:r>
      <w:r w:rsidRPr="00A91B96">
        <w:rPr>
          <w:rStyle w:val="libFootnotenumChar"/>
          <w:rtl/>
        </w:rPr>
        <w:t>(20)</w:t>
      </w:r>
      <w:r w:rsidRPr="00020424">
        <w:rPr>
          <w:rtl/>
          <w:lang w:bidi="fa-IR"/>
        </w:rPr>
        <w:t xml:space="preserve"> لَكَ مُسَلِّمٌ </w:t>
      </w:r>
      <w:r w:rsidRPr="00A91B96">
        <w:rPr>
          <w:rStyle w:val="libFootnotenumChar"/>
          <w:rtl/>
        </w:rPr>
        <w:t>(21)</w:t>
      </w:r>
      <w:r w:rsidRPr="00020424">
        <w:rPr>
          <w:rtl/>
          <w:lang w:bidi="fa-IR"/>
        </w:rPr>
        <w:t xml:space="preserve"> ، لَا</w:t>
      </w:r>
      <w:r>
        <w:rPr>
          <w:rFonts w:hint="cs"/>
          <w:rtl/>
          <w:lang w:bidi="fa-IR"/>
        </w:rPr>
        <w:t xml:space="preserve"> </w:t>
      </w:r>
      <w:r w:rsidRPr="00020424">
        <w:rPr>
          <w:rtl/>
          <w:lang w:bidi="fa-IR"/>
        </w:rPr>
        <w:t xml:space="preserve">أَرْجُو نَجَاحاً وَلَامُعَافَاةً </w:t>
      </w:r>
      <w:r w:rsidRPr="00A91B96">
        <w:rPr>
          <w:rStyle w:val="libFootnotenumChar"/>
          <w:rtl/>
        </w:rPr>
        <w:t>(22)</w:t>
      </w:r>
      <w:r w:rsidRPr="00020424">
        <w:rPr>
          <w:rtl/>
          <w:lang w:bidi="fa-IR"/>
        </w:rPr>
        <w:t xml:space="preserve"> وَلَات</w:t>
      </w:r>
      <w:r w:rsidR="00DA36B5">
        <w:rPr>
          <w:rtl/>
          <w:lang w:bidi="fa-IR"/>
        </w:rPr>
        <w:t>َشْرِيفاً وَلَاتَبْلِيغاً إِل</w:t>
      </w:r>
      <w:r w:rsidR="00DA36B5">
        <w:rPr>
          <w:rFonts w:hint="cs"/>
          <w:rtl/>
          <w:lang w:bidi="fa-IR"/>
        </w:rPr>
        <w:t>َّ</w:t>
      </w:r>
      <w:r w:rsidR="00DA36B5">
        <w:rPr>
          <w:rtl/>
          <w:lang w:bidi="fa-IR"/>
        </w:rPr>
        <w:t>ا</w:t>
      </w:r>
      <w:r w:rsidRPr="00020424">
        <w:rPr>
          <w:rtl/>
          <w:lang w:bidi="fa-IR"/>
        </w:rPr>
        <w:t xml:space="preserve"> بِكَ‌</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515444">
        <w:rPr>
          <w:rStyle w:val="libFootnoteBoldChar"/>
          <w:rtl/>
        </w:rPr>
        <w:t>والتهذيب</w:t>
      </w:r>
      <w:r w:rsidR="00992664" w:rsidRPr="00020424">
        <w:rPr>
          <w:rtl/>
        </w:rPr>
        <w:t xml:space="preserve"> : + « وحسن الشكر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إليهم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B2A00" w:rsidTr="001B2A00">
        <w:tc>
          <w:tcPr>
            <w:tcW w:w="4006" w:type="dxa"/>
          </w:tcPr>
          <w:p w:rsidR="001B2A00" w:rsidRDefault="001B2A00" w:rsidP="00992664">
            <w:pPr>
              <w:pStyle w:val="libFootnote0"/>
              <w:rPr>
                <w:rtl/>
              </w:rPr>
            </w:pPr>
            <w:r>
              <w:rPr>
                <w:rtl/>
              </w:rPr>
              <w:t xml:space="preserve">(3). </w:t>
            </w:r>
            <w:r w:rsidRPr="00020424">
              <w:rPr>
                <w:rtl/>
              </w:rPr>
              <w:t xml:space="preserve">في </w:t>
            </w:r>
            <w:r w:rsidRPr="0012008A">
              <w:rPr>
                <w:rStyle w:val="libFootnoteBoldChar"/>
                <w:rtl/>
              </w:rPr>
              <w:t>الفقيه</w:t>
            </w:r>
            <w:r w:rsidRPr="00020424">
              <w:rPr>
                <w:rtl/>
              </w:rPr>
              <w:t xml:space="preserve"> : + « وعزّتك</w:t>
            </w:r>
            <w:r>
              <w:rPr>
                <w:rtl/>
              </w:rPr>
              <w:t xml:space="preserve"> ».</w:t>
            </w:r>
          </w:p>
        </w:tc>
        <w:tc>
          <w:tcPr>
            <w:tcW w:w="4006" w:type="dxa"/>
          </w:tcPr>
          <w:p w:rsidR="001B2A00" w:rsidRDefault="001B2A00" w:rsidP="00992664">
            <w:pPr>
              <w:pStyle w:val="libFootnote0"/>
              <w:rPr>
                <w:rtl/>
              </w:rPr>
            </w:pPr>
            <w:r>
              <w:rPr>
                <w:rtl/>
              </w:rPr>
              <w:t xml:space="preserve">(4). </w:t>
            </w:r>
            <w:r w:rsidRPr="00020424">
              <w:rPr>
                <w:rtl/>
              </w:rPr>
              <w:t>في « ظ » :</w:t>
            </w:r>
            <w:r>
              <w:rPr>
                <w:rtl/>
              </w:rPr>
              <w:t xml:space="preserve"> - </w:t>
            </w:r>
            <w:r w:rsidRPr="00020424">
              <w:rPr>
                <w:rtl/>
              </w:rPr>
              <w:t>« وامتنانك</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وتعرفنا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والمتعرّفين</w:t>
      </w:r>
      <w:r w:rsidR="00992664">
        <w:rPr>
          <w:rtl/>
        </w:rPr>
        <w:t xml:space="preserve"> ».</w:t>
      </w:r>
      <w:r w:rsidR="00992664" w:rsidRPr="00020424">
        <w:rPr>
          <w:rtl/>
        </w:rPr>
        <w:t xml:space="preserve"> واستظهره في </w:t>
      </w:r>
      <w:r w:rsidR="00992664" w:rsidRPr="00DE76B9">
        <w:rPr>
          <w:rStyle w:val="libFootnoteBoldChar"/>
          <w:rtl/>
        </w:rPr>
        <w:t>مرآة العقول</w:t>
      </w:r>
      <w:r w:rsidR="00992664" w:rsidRPr="00020424">
        <w:rPr>
          <w:rtl/>
        </w:rPr>
        <w:t xml:space="preserve"> بعد ما نقله عن </w:t>
      </w:r>
      <w:r w:rsidR="00992664" w:rsidRPr="0012008A">
        <w:rPr>
          <w:rStyle w:val="libFootnoteBoldChar"/>
          <w:rtl/>
        </w:rPr>
        <w:t>التهذيب</w:t>
      </w:r>
      <w:r w:rsidR="00992664" w:rsidRPr="00020424">
        <w:rPr>
          <w:rtl/>
        </w:rPr>
        <w:t xml:space="preserve"> و</w:t>
      </w:r>
      <w:r w:rsidR="00992664" w:rsidRPr="00DE76B9">
        <w:rPr>
          <w:rStyle w:val="libFootnoteBoldChar"/>
          <w:rtl/>
        </w:rPr>
        <w:t>المصباح</w:t>
      </w:r>
      <w:r w:rsidR="00992664" w:rsidRPr="00020424">
        <w:rPr>
          <w:rtl/>
        </w:rPr>
        <w:t>.</w:t>
      </w:r>
    </w:p>
    <w:tbl>
      <w:tblPr>
        <w:tblStyle w:val="TableGrid"/>
        <w:bidiVisual/>
        <w:tblW w:w="0" w:type="auto"/>
        <w:tblLook w:val="04A0" w:firstRow="1" w:lastRow="0" w:firstColumn="1" w:lastColumn="0" w:noHBand="0" w:noVBand="1"/>
      </w:tblPr>
      <w:tblGrid>
        <w:gridCol w:w="4006"/>
        <w:gridCol w:w="4006"/>
      </w:tblGrid>
      <w:tr w:rsidR="00BB6A0C" w:rsidTr="00BB6A0C">
        <w:tc>
          <w:tcPr>
            <w:tcW w:w="4006" w:type="dxa"/>
          </w:tcPr>
          <w:p w:rsidR="00BB6A0C" w:rsidRDefault="00BB6A0C"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w:t>
            </w:r>
            <w:r w:rsidRPr="00FD6221">
              <w:rPr>
                <w:rStyle w:val="libFootnoteBoldChar"/>
                <w:rtl/>
              </w:rPr>
              <w:t>والفقيه</w:t>
            </w:r>
            <w:r w:rsidRPr="00020424">
              <w:rPr>
                <w:rtl/>
              </w:rPr>
              <w:t xml:space="preserve"> : « وأتمّ</w:t>
            </w:r>
            <w:r>
              <w:rPr>
                <w:rtl/>
              </w:rPr>
              <w:t xml:space="preserve"> ».</w:t>
            </w:r>
          </w:p>
        </w:tc>
        <w:tc>
          <w:tcPr>
            <w:tcW w:w="4006" w:type="dxa"/>
          </w:tcPr>
          <w:p w:rsidR="00BB6A0C" w:rsidRDefault="00BB6A0C" w:rsidP="00992664">
            <w:pPr>
              <w:pStyle w:val="libFootnote0"/>
              <w:rPr>
                <w:rtl/>
              </w:rPr>
            </w:pPr>
            <w:r>
              <w:rPr>
                <w:rtl/>
              </w:rPr>
              <w:t xml:space="preserve">(8). </w:t>
            </w:r>
            <w:r w:rsidRPr="00020424">
              <w:rPr>
                <w:rtl/>
              </w:rPr>
              <w:t xml:space="preserve">في </w:t>
            </w:r>
            <w:r w:rsidRPr="00BB6A0C">
              <w:rPr>
                <w:rtl/>
              </w:rPr>
              <w:t>الوافي والفقيه والتهذيب</w:t>
            </w:r>
            <w:r w:rsidRPr="00020424">
              <w:rPr>
                <w:rtl/>
              </w:rPr>
              <w:t xml:space="preserve"> : + « اللمم</w:t>
            </w:r>
            <w:r>
              <w:rPr>
                <w:rtl/>
              </w:rPr>
              <w:t xml:space="preserve"> ».</w:t>
            </w:r>
          </w:p>
        </w:tc>
      </w:tr>
      <w:tr w:rsidR="00BB6A0C" w:rsidTr="00BB6A0C">
        <w:tc>
          <w:tcPr>
            <w:tcW w:w="4006" w:type="dxa"/>
          </w:tcPr>
          <w:p w:rsidR="00BB6A0C" w:rsidRDefault="00BB6A0C" w:rsidP="00992664">
            <w:pPr>
              <w:pStyle w:val="libFootnote0"/>
              <w:rPr>
                <w:rtl/>
              </w:rPr>
            </w:pPr>
            <w:r>
              <w:rPr>
                <w:rtl/>
              </w:rPr>
              <w:t xml:space="preserve">(9). </w:t>
            </w:r>
            <w:r w:rsidRPr="00020424">
              <w:rPr>
                <w:rtl/>
              </w:rPr>
              <w:t>في « بث ، بخ ، بر » : « يا ربّ</w:t>
            </w:r>
            <w:r>
              <w:rPr>
                <w:rtl/>
              </w:rPr>
              <w:t xml:space="preserve"> ».</w:t>
            </w:r>
          </w:p>
        </w:tc>
        <w:tc>
          <w:tcPr>
            <w:tcW w:w="4006" w:type="dxa"/>
          </w:tcPr>
          <w:p w:rsidR="00BB6A0C" w:rsidRDefault="00BB6A0C" w:rsidP="00992664">
            <w:pPr>
              <w:pStyle w:val="libFootnote0"/>
              <w:rPr>
                <w:rtl/>
              </w:rPr>
            </w:pPr>
            <w:r>
              <w:rPr>
                <w:rtl/>
              </w:rPr>
              <w:t xml:space="preserve">(10). </w:t>
            </w:r>
            <w:r w:rsidRPr="00020424">
              <w:rPr>
                <w:rtl/>
              </w:rPr>
              <w:t>في « ى ، بف » :</w:t>
            </w:r>
            <w:r>
              <w:rPr>
                <w:rtl/>
              </w:rPr>
              <w:t xml:space="preserve"> - </w:t>
            </w:r>
            <w:r w:rsidRPr="00020424">
              <w:rPr>
                <w:rtl/>
              </w:rPr>
              <w:t>« لي</w:t>
            </w:r>
            <w:r>
              <w:rPr>
                <w:rtl/>
              </w:rPr>
              <w:t xml:space="preserve"> ».</w:t>
            </w:r>
          </w:p>
        </w:tc>
      </w:tr>
      <w:tr w:rsidR="00BB6A0C" w:rsidTr="00BB6A0C">
        <w:tc>
          <w:tcPr>
            <w:tcW w:w="4006" w:type="dxa"/>
          </w:tcPr>
          <w:p w:rsidR="00BB6A0C" w:rsidRDefault="00BB6A0C" w:rsidP="00992664">
            <w:pPr>
              <w:pStyle w:val="libFootnote0"/>
              <w:rPr>
                <w:rtl/>
              </w:rPr>
            </w:pPr>
            <w:r>
              <w:rPr>
                <w:rtl/>
              </w:rPr>
              <w:t xml:space="preserve">(11). </w:t>
            </w:r>
            <w:r w:rsidRPr="00020424">
              <w:rPr>
                <w:rtl/>
              </w:rPr>
              <w:t xml:space="preserve">في </w:t>
            </w:r>
            <w:r w:rsidRPr="0012008A">
              <w:rPr>
                <w:rStyle w:val="libFootnoteBoldChar"/>
                <w:rtl/>
              </w:rPr>
              <w:t>الفقيه</w:t>
            </w:r>
            <w:r w:rsidRPr="00020424">
              <w:rPr>
                <w:rtl/>
              </w:rPr>
              <w:t xml:space="preserve"> : « لا تجعل</w:t>
            </w:r>
            <w:r>
              <w:rPr>
                <w:rtl/>
              </w:rPr>
              <w:t xml:space="preserve"> ».</w:t>
            </w:r>
          </w:p>
        </w:tc>
        <w:tc>
          <w:tcPr>
            <w:tcW w:w="4006" w:type="dxa"/>
          </w:tcPr>
          <w:p w:rsidR="00BB6A0C" w:rsidRDefault="00BB6A0C" w:rsidP="00992664">
            <w:pPr>
              <w:pStyle w:val="libFootnote0"/>
              <w:rPr>
                <w:rtl/>
              </w:rPr>
            </w:pPr>
            <w:r>
              <w:rPr>
                <w:rtl/>
              </w:rPr>
              <w:t xml:space="preserve">(12).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w:t>
            </w:r>
            <w:r>
              <w:rPr>
                <w:rtl/>
              </w:rPr>
              <w:t xml:space="preserve"> - </w:t>
            </w:r>
            <w:r w:rsidRPr="00020424">
              <w:rPr>
                <w:rtl/>
              </w:rPr>
              <w:t>« له</w:t>
            </w:r>
            <w:r>
              <w:rPr>
                <w:rtl/>
              </w:rPr>
              <w:t xml:space="preserve"> ».</w:t>
            </w:r>
          </w:p>
        </w:tc>
      </w:tr>
      <w:tr w:rsidR="00BB6A0C" w:rsidTr="00BB6A0C">
        <w:tc>
          <w:tcPr>
            <w:tcW w:w="4006" w:type="dxa"/>
          </w:tcPr>
          <w:p w:rsidR="00BB6A0C" w:rsidRDefault="00BB6A0C" w:rsidP="00992664">
            <w:pPr>
              <w:pStyle w:val="libFootnote0"/>
              <w:rPr>
                <w:rtl/>
              </w:rPr>
            </w:pPr>
            <w:r>
              <w:rPr>
                <w:rtl/>
              </w:rPr>
              <w:t xml:space="preserve">(13). </w:t>
            </w:r>
            <w:r w:rsidRPr="00020424">
              <w:rPr>
                <w:rtl/>
              </w:rPr>
              <w:t>في « بر » : « عهد</w:t>
            </w:r>
            <w:r>
              <w:rPr>
                <w:rtl/>
              </w:rPr>
              <w:t xml:space="preserve"> ».</w:t>
            </w:r>
          </w:p>
        </w:tc>
        <w:tc>
          <w:tcPr>
            <w:tcW w:w="4006" w:type="dxa"/>
          </w:tcPr>
          <w:p w:rsidR="00BB6A0C" w:rsidRDefault="00BB6A0C" w:rsidP="00992664">
            <w:pPr>
              <w:pStyle w:val="libFootnote0"/>
              <w:rPr>
                <w:rtl/>
              </w:rPr>
            </w:pPr>
            <w:r>
              <w:rPr>
                <w:rtl/>
              </w:rPr>
              <w:t xml:space="preserve">(14). </w:t>
            </w:r>
            <w:r w:rsidRPr="00020424">
              <w:rPr>
                <w:rtl/>
              </w:rPr>
              <w:t>في « بر ، بف » :</w:t>
            </w:r>
            <w:r>
              <w:rPr>
                <w:rtl/>
              </w:rPr>
              <w:t xml:space="preserve"> - </w:t>
            </w:r>
            <w:r w:rsidRPr="00020424">
              <w:rPr>
                <w:rtl/>
              </w:rPr>
              <w:t>« منّي</w:t>
            </w:r>
            <w:r>
              <w:rPr>
                <w:rtl/>
              </w:rPr>
              <w:t xml:space="preserve"> ».</w:t>
            </w:r>
          </w:p>
        </w:tc>
      </w:tr>
    </w:tbl>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من اللقاء</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 xml:space="preserve">في « ى ، بث ، بخ ، بر ، بف ، جن » </w:t>
      </w:r>
      <w:r w:rsidR="00992664" w:rsidRPr="00FD6221">
        <w:rPr>
          <w:rStyle w:val="libFootnoteBoldChar"/>
          <w:rtl/>
        </w:rPr>
        <w:t>والفقيه</w:t>
      </w:r>
      <w:r w:rsidR="00992664" w:rsidRPr="00020424">
        <w:rPr>
          <w:rtl/>
        </w:rPr>
        <w:t xml:space="preserve"> </w:t>
      </w:r>
      <w:r w:rsidR="00992664" w:rsidRPr="00515444">
        <w:rPr>
          <w:rStyle w:val="libFootnoteBoldChar"/>
          <w:rtl/>
        </w:rPr>
        <w:t>والتهذيب</w:t>
      </w:r>
      <w:r w:rsidR="00992664" w:rsidRPr="00020424">
        <w:rPr>
          <w:rtl/>
        </w:rPr>
        <w:t xml:space="preserve"> : « أسبغ</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5679A" w:rsidTr="0095679A">
        <w:tc>
          <w:tcPr>
            <w:tcW w:w="4006" w:type="dxa"/>
          </w:tcPr>
          <w:p w:rsidR="0095679A" w:rsidRDefault="0095679A" w:rsidP="00992664">
            <w:pPr>
              <w:pStyle w:val="libFootnote0"/>
              <w:rPr>
                <w:rtl/>
              </w:rPr>
            </w:pPr>
            <w:r>
              <w:rPr>
                <w:rtl/>
              </w:rPr>
              <w:t xml:space="preserve">(17). </w:t>
            </w:r>
            <w:r w:rsidRPr="00020424">
              <w:rPr>
                <w:rtl/>
              </w:rPr>
              <w:t>في « بر ، بف » : « تسمع</w:t>
            </w:r>
            <w:r>
              <w:rPr>
                <w:rtl/>
              </w:rPr>
              <w:t xml:space="preserve"> ».</w:t>
            </w:r>
          </w:p>
        </w:tc>
        <w:tc>
          <w:tcPr>
            <w:tcW w:w="4006" w:type="dxa"/>
          </w:tcPr>
          <w:p w:rsidR="0095679A" w:rsidRDefault="0095679A" w:rsidP="00992664">
            <w:pPr>
              <w:pStyle w:val="libFootnote0"/>
              <w:rPr>
                <w:rtl/>
              </w:rPr>
            </w:pPr>
            <w:r>
              <w:rPr>
                <w:rtl/>
              </w:rPr>
              <w:t xml:space="preserve">(18).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ارحم</w:t>
            </w:r>
            <w:r>
              <w:rPr>
                <w:rtl/>
              </w:rPr>
              <w:t xml:space="preserve"> ».</w:t>
            </w:r>
          </w:p>
        </w:tc>
      </w:tr>
    </w:tbl>
    <w:p w:rsidR="00992664" w:rsidRPr="00020424" w:rsidRDefault="00795177" w:rsidP="00992664">
      <w:pPr>
        <w:pStyle w:val="libFootnote0"/>
        <w:rPr>
          <w:rtl/>
          <w:lang w:bidi="fa-IR"/>
        </w:rPr>
      </w:pPr>
      <w:r>
        <w:rPr>
          <w:rtl/>
        </w:rPr>
        <w:t>(19).</w:t>
      </w:r>
      <w:r w:rsidR="0014403D">
        <w:rPr>
          <w:rtl/>
        </w:rPr>
        <w:t xml:space="preserve"> </w:t>
      </w:r>
      <w:r w:rsidR="00992664" w:rsidRPr="00020424">
        <w:rPr>
          <w:rtl/>
        </w:rPr>
        <w:t xml:space="preserve">الاستكانة : الخضوع والذلّ. راجع : </w:t>
      </w:r>
      <w:r w:rsidR="00992664" w:rsidRPr="0012008A">
        <w:rPr>
          <w:rStyle w:val="libFootnoteBoldChar"/>
          <w:rtl/>
        </w:rPr>
        <w:t>النهاية</w:t>
      </w:r>
      <w:r w:rsidR="00992664" w:rsidRPr="00020424">
        <w:rPr>
          <w:rtl/>
        </w:rPr>
        <w:t xml:space="preserve"> ، ج 2 ، ص 386 ؛ </w:t>
      </w:r>
      <w:r w:rsidR="00992664" w:rsidRPr="00A722B1">
        <w:rPr>
          <w:rStyle w:val="libFootnoteBoldChar"/>
          <w:rtl/>
        </w:rPr>
        <w:t>المصباح المنير</w:t>
      </w:r>
      <w:r w:rsidR="00992664" w:rsidRPr="00020424">
        <w:rPr>
          <w:rtl/>
        </w:rPr>
        <w:t xml:space="preserve"> ، ص 283 ( سكن )</w:t>
      </w:r>
      <w:r w:rsidR="00992664">
        <w:rPr>
          <w:rtl/>
        </w:rPr>
        <w:t>.</w:t>
      </w:r>
    </w:p>
    <w:tbl>
      <w:tblPr>
        <w:tblStyle w:val="TableGrid"/>
        <w:bidiVisual/>
        <w:tblW w:w="0" w:type="auto"/>
        <w:tblLook w:val="04A0" w:firstRow="1" w:lastRow="0" w:firstColumn="1" w:lastColumn="0" w:noHBand="0" w:noVBand="1"/>
      </w:tblPr>
      <w:tblGrid>
        <w:gridCol w:w="4006"/>
        <w:gridCol w:w="4006"/>
      </w:tblGrid>
      <w:tr w:rsidR="00DE5E79" w:rsidTr="00DE5E79">
        <w:tc>
          <w:tcPr>
            <w:tcW w:w="4006" w:type="dxa"/>
          </w:tcPr>
          <w:p w:rsidR="00DE5E79" w:rsidRDefault="00DE5E79" w:rsidP="00992664">
            <w:pPr>
              <w:pStyle w:val="libFootnote0"/>
              <w:rPr>
                <w:rtl/>
                <w:lang w:bidi="fa-IR"/>
              </w:rPr>
            </w:pPr>
            <w:r w:rsidRPr="00020424">
              <w:rPr>
                <w:rtl/>
              </w:rPr>
              <w:t>(</w:t>
            </w:r>
            <w:r>
              <w:rPr>
                <w:rtl/>
              </w:rPr>
              <w:t>20)</w:t>
            </w:r>
            <w:r w:rsidRPr="00020424">
              <w:rPr>
                <w:rtl/>
              </w:rPr>
              <w:t xml:space="preserve"> في « بس » </w:t>
            </w:r>
            <w:r w:rsidRPr="00515444">
              <w:rPr>
                <w:rStyle w:val="libFootnoteBoldChar"/>
                <w:rtl/>
              </w:rPr>
              <w:t>والوافي</w:t>
            </w:r>
            <w:r w:rsidRPr="00020424">
              <w:rPr>
                <w:rtl/>
              </w:rPr>
              <w:t xml:space="preserve"> </w:t>
            </w:r>
            <w:r w:rsidRPr="00FD6221">
              <w:rPr>
                <w:rStyle w:val="libFootnoteBoldChar"/>
                <w:rtl/>
              </w:rPr>
              <w:t>والفقيه</w:t>
            </w:r>
            <w:r w:rsidRPr="00020424">
              <w:rPr>
                <w:rtl/>
              </w:rPr>
              <w:t xml:space="preserve"> : « فأنا</w:t>
            </w:r>
            <w:r>
              <w:rPr>
                <w:rtl/>
              </w:rPr>
              <w:t xml:space="preserve"> ».</w:t>
            </w:r>
          </w:p>
        </w:tc>
        <w:tc>
          <w:tcPr>
            <w:tcW w:w="4006" w:type="dxa"/>
          </w:tcPr>
          <w:p w:rsidR="00DE5E79" w:rsidRDefault="00DE5E79" w:rsidP="00992664">
            <w:pPr>
              <w:pStyle w:val="libFootnote0"/>
              <w:rPr>
                <w:rtl/>
                <w:lang w:bidi="fa-IR"/>
              </w:rPr>
            </w:pPr>
            <w:r w:rsidRPr="00020424">
              <w:rPr>
                <w:rtl/>
              </w:rPr>
              <w:t>(2</w:t>
            </w:r>
            <w:r>
              <w:rPr>
                <w:rtl/>
              </w:rPr>
              <w:t>1)</w:t>
            </w:r>
            <w:r w:rsidRPr="00020424">
              <w:rPr>
                <w:rtl/>
              </w:rPr>
              <w:t xml:space="preserve"> في </w:t>
            </w:r>
            <w:r w:rsidRPr="0012008A">
              <w:rPr>
                <w:rStyle w:val="libFootnoteBoldChar"/>
                <w:rtl/>
              </w:rPr>
              <w:t>التهذيب</w:t>
            </w:r>
            <w:r w:rsidRPr="00020424">
              <w:rPr>
                <w:rtl/>
              </w:rPr>
              <w:t xml:space="preserve"> : « سلم</w:t>
            </w:r>
            <w:r>
              <w:rPr>
                <w:rtl/>
              </w:rPr>
              <w:t xml:space="preserve"> ».</w:t>
            </w:r>
          </w:p>
        </w:tc>
      </w:tr>
    </w:tbl>
    <w:p w:rsidR="00992664" w:rsidRPr="00020424" w:rsidRDefault="00992664" w:rsidP="00992664">
      <w:pPr>
        <w:pStyle w:val="libFootnote0"/>
        <w:rPr>
          <w:rtl/>
          <w:lang w:bidi="fa-IR"/>
        </w:rPr>
      </w:pPr>
      <w:r w:rsidRPr="00020424">
        <w:rPr>
          <w:rtl/>
        </w:rPr>
        <w:t>(2</w:t>
      </w:r>
      <w:r>
        <w:rPr>
          <w:rtl/>
        </w:rPr>
        <w:t>2)</w:t>
      </w:r>
      <w:r w:rsidRPr="00020424">
        <w:rPr>
          <w:rtl/>
        </w:rPr>
        <w:t xml:space="preserve"> في « بخ » : « ولا عافية معافاة</w:t>
      </w:r>
      <w:r>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وَمِنْكَ ، فَامْنُنْ </w:t>
      </w:r>
      <w:r w:rsidRPr="00A91B96">
        <w:rPr>
          <w:rStyle w:val="libFootnotenumChar"/>
          <w:rtl/>
        </w:rPr>
        <w:t>(1)</w:t>
      </w:r>
      <w:r w:rsidRPr="00020424">
        <w:rPr>
          <w:rtl/>
          <w:lang w:bidi="fa-IR"/>
        </w:rPr>
        <w:t xml:space="preserve"> عَلَيَّ</w:t>
      </w:r>
      <w:r>
        <w:rPr>
          <w:rtl/>
          <w:lang w:bidi="fa-IR"/>
        </w:rPr>
        <w:t xml:space="preserve"> </w:t>
      </w:r>
      <w:r w:rsidR="009B673F">
        <w:rPr>
          <w:rtl/>
          <w:lang w:bidi="fa-IR"/>
        </w:rPr>
        <w:t>-</w:t>
      </w:r>
      <w:r>
        <w:rPr>
          <w:rtl/>
          <w:lang w:bidi="fa-IR"/>
        </w:rPr>
        <w:t xml:space="preserve"> </w:t>
      </w:r>
      <w:r w:rsidRPr="00020424">
        <w:rPr>
          <w:rtl/>
          <w:lang w:bidi="fa-IR"/>
        </w:rPr>
        <w:t>جَلَّ ثَنَاؤُكَ ، وَتَقَدَّسَتْ أَسْمَاؤُكَ</w:t>
      </w:r>
      <w:r>
        <w:rPr>
          <w:rtl/>
          <w:lang w:bidi="fa-IR"/>
        </w:rPr>
        <w:t xml:space="preserve"> </w:t>
      </w:r>
      <w:r w:rsidR="009B673F">
        <w:rPr>
          <w:rtl/>
          <w:lang w:bidi="fa-IR"/>
        </w:rPr>
        <w:t>-</w:t>
      </w:r>
      <w:r>
        <w:rPr>
          <w:rtl/>
          <w:lang w:bidi="fa-IR"/>
        </w:rPr>
        <w:t xml:space="preserve"> </w:t>
      </w:r>
      <w:r w:rsidRPr="00020424">
        <w:rPr>
          <w:rtl/>
          <w:lang w:bidi="fa-IR"/>
        </w:rPr>
        <w:t xml:space="preserve">بِتَبْلِيغِي </w:t>
      </w:r>
      <w:r w:rsidRPr="00A91B96">
        <w:rPr>
          <w:rStyle w:val="libFootnotenumChar"/>
          <w:rtl/>
        </w:rPr>
        <w:t>(2)</w:t>
      </w:r>
      <w:r w:rsidRPr="00020424">
        <w:rPr>
          <w:rtl/>
          <w:lang w:bidi="fa-IR"/>
        </w:rPr>
        <w:t xml:space="preserve"> شَهْرَ رَمَضَانَ ، وَأَنَا مُعَافًى مِنْ كُلِّ مَكْرُوهٍ وَمَحْذُورٍ ، وَمِنْ </w:t>
      </w:r>
      <w:r w:rsidRPr="00A91B96">
        <w:rPr>
          <w:rStyle w:val="libFootnotenumChar"/>
          <w:rtl/>
        </w:rPr>
        <w:t>(3)</w:t>
      </w:r>
      <w:r w:rsidRPr="00020424">
        <w:rPr>
          <w:rtl/>
          <w:lang w:bidi="fa-IR"/>
        </w:rPr>
        <w:t xml:space="preserve"> جَمِيعِ الْبَوَائِقِ </w:t>
      </w:r>
      <w:r w:rsidRPr="00A91B96">
        <w:rPr>
          <w:rStyle w:val="libFootnotenumChar"/>
          <w:rtl/>
        </w:rPr>
        <w:t>(4)</w:t>
      </w:r>
      <w:r w:rsidRPr="00020424">
        <w:rPr>
          <w:rtl/>
          <w:lang w:bidi="fa-IR"/>
        </w:rPr>
        <w:t xml:space="preserve"> ، الْحَمْدُ لِلّهِ الَّذِي أَعَانَنَا عَلى صِيَامِ هذَا الشَّهْرِ وَقِيَامِهِ حَتّى بَلَّغَنِي </w:t>
      </w:r>
      <w:r w:rsidRPr="00A91B96">
        <w:rPr>
          <w:rStyle w:val="libFootnotenumChar"/>
          <w:rtl/>
        </w:rPr>
        <w:t>(5)</w:t>
      </w:r>
      <w:r w:rsidRPr="00020424">
        <w:rPr>
          <w:rtl/>
          <w:lang w:bidi="fa-IR"/>
        </w:rPr>
        <w:t xml:space="preserve"> آخِرَ لَيْلَةٍ مِنْهُ</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Heading2Center"/>
        <w:rPr>
          <w:rtl/>
          <w:lang w:bidi="fa-IR"/>
        </w:rPr>
      </w:pPr>
      <w:bookmarkStart w:id="518" w:name="_Toc345172889"/>
      <w:bookmarkStart w:id="519" w:name="_Toc464562704"/>
      <w:bookmarkStart w:id="520" w:name="_Toc44600010"/>
      <w:r w:rsidRPr="00020424">
        <w:rPr>
          <w:rtl/>
          <w:lang w:bidi="fa-IR"/>
        </w:rPr>
        <w:t>71</w:t>
      </w:r>
      <w:r>
        <w:rPr>
          <w:rtl/>
          <w:lang w:bidi="fa-IR"/>
        </w:rPr>
        <w:t xml:space="preserve"> </w:t>
      </w:r>
      <w:r w:rsidR="009B673F">
        <w:rPr>
          <w:rtl/>
          <w:lang w:bidi="fa-IR"/>
        </w:rPr>
        <w:t>-</w:t>
      </w:r>
      <w:r>
        <w:rPr>
          <w:rtl/>
          <w:lang w:bidi="fa-IR"/>
        </w:rPr>
        <w:t xml:space="preserve"> </w:t>
      </w:r>
      <w:r w:rsidRPr="00020424">
        <w:rPr>
          <w:rtl/>
          <w:lang w:bidi="fa-IR"/>
        </w:rPr>
        <w:t>بَابُ التَّكْبِيرِ لَيْلَةَ الْفِطْرِ وَيَوْمَهُ‌</w:t>
      </w:r>
      <w:bookmarkEnd w:id="518"/>
      <w:bookmarkEnd w:id="519"/>
      <w:bookmarkEnd w:id="520"/>
    </w:p>
    <w:p w:rsidR="00992664" w:rsidRPr="00020424" w:rsidRDefault="00992664" w:rsidP="00992664">
      <w:pPr>
        <w:pStyle w:val="libNormal"/>
        <w:rPr>
          <w:rtl/>
          <w:lang w:bidi="fa-IR"/>
        </w:rPr>
      </w:pPr>
      <w:r w:rsidRPr="006C4BC4">
        <w:rPr>
          <w:rtl/>
        </w:rPr>
        <w:t>6637</w:t>
      </w:r>
      <w:r w:rsidRPr="001155DE">
        <w:rPr>
          <w:rStyle w:val="libBold2Char"/>
          <w:rtl/>
        </w:rPr>
        <w:t xml:space="preserve"> / 1.</w:t>
      </w:r>
      <w:r w:rsidRPr="00020424">
        <w:rPr>
          <w:rtl/>
          <w:lang w:bidi="fa-IR"/>
        </w:rPr>
        <w:t xml:space="preserve"> عَلِيُّ بْنُ مُحَمَّدٍ ، عَنْ أَحْمَدَ بْنِ أَبِي عَبْدِ اللهِ ، عَنْ أَبِيهِ ، عَنْ خَلَفِ بْنِ حَمَّادٍ ، عَنْ سَعِيدٍ النَّقَّاشِ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لِي : « أَمَا إِنَّ فِي الْفِطْرِ تَكْبِيراً وَلكِنَّهُ مَسْتُورٌ </w:t>
      </w:r>
      <w:r w:rsidRPr="00A91B96">
        <w:rPr>
          <w:rStyle w:val="libFootnotenumChar"/>
          <w:rtl/>
        </w:rPr>
        <w:t>(7)</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 وَأَيْنَ </w:t>
      </w:r>
      <w:r w:rsidRPr="00A91B96">
        <w:rPr>
          <w:rStyle w:val="libFootnotenumChar"/>
          <w:rtl/>
        </w:rPr>
        <w:t>(8)</w:t>
      </w:r>
      <w:r w:rsidRPr="00020424">
        <w:rPr>
          <w:rtl/>
          <w:lang w:bidi="fa-IR"/>
        </w:rPr>
        <w:t xml:space="preserve"> هُوَ</w:t>
      </w:r>
      <w:r>
        <w:rPr>
          <w:rtl/>
          <w:lang w:bidi="fa-IR"/>
        </w:rPr>
        <w:t>؟</w:t>
      </w:r>
    </w:p>
    <w:p w:rsidR="00992664" w:rsidRPr="00020424" w:rsidRDefault="00992664" w:rsidP="00992664">
      <w:pPr>
        <w:pStyle w:val="libNormal"/>
        <w:rPr>
          <w:rtl/>
          <w:lang w:bidi="fa-IR"/>
        </w:rPr>
      </w:pPr>
      <w:r w:rsidRPr="00020424">
        <w:rPr>
          <w:rtl/>
          <w:lang w:bidi="fa-IR"/>
        </w:rPr>
        <w:t xml:space="preserve">قَالَ : « فِي لَيْلَةِ الْفِطْرِ فِي الْمَغْرِبِ وَالْعِشَاءِ الْآخِرَةِ ، وَفِي صَلَاةِ الْفَجْرِ ، وَفِي </w:t>
      </w:r>
      <w:r w:rsidRPr="00A91B96">
        <w:rPr>
          <w:rStyle w:val="libFootnotenumChar"/>
          <w:rtl/>
        </w:rPr>
        <w:t>(9)</w:t>
      </w:r>
      <w:r w:rsidRPr="00020424">
        <w:rPr>
          <w:rtl/>
          <w:lang w:bidi="fa-IR"/>
        </w:rPr>
        <w:t xml:space="preserve"> صَلَاةِ الْعِيدِ </w:t>
      </w:r>
      <w:r w:rsidRPr="00A91B96">
        <w:rPr>
          <w:rStyle w:val="libFootnotenumChar"/>
          <w:rtl/>
        </w:rPr>
        <w:t>(10)</w:t>
      </w:r>
      <w:r w:rsidRPr="00020424">
        <w:rPr>
          <w:rtl/>
          <w:lang w:bidi="fa-IR"/>
        </w:rPr>
        <w:t xml:space="preserve"> ، ثُمَّ يُقْطَعُ </w:t>
      </w:r>
      <w:r w:rsidRPr="00A91B96">
        <w:rPr>
          <w:rStyle w:val="libFootnotenumChar"/>
          <w:rtl/>
        </w:rPr>
        <w:t>(11)</w:t>
      </w:r>
      <w:r>
        <w:rPr>
          <w:rtl/>
          <w:lang w:bidi="fa-IR"/>
        </w:rPr>
        <w:t xml:space="preserve"> ».</w:t>
      </w:r>
    </w:p>
    <w:p w:rsidR="00992664" w:rsidRPr="00020424" w:rsidRDefault="00992664" w:rsidP="00992664">
      <w:pPr>
        <w:pStyle w:val="libNormal"/>
        <w:rPr>
          <w:rtl/>
          <w:lang w:bidi="fa-IR"/>
        </w:rPr>
      </w:pPr>
      <w:r w:rsidRPr="00020424">
        <w:rPr>
          <w:rtl/>
          <w:lang w:bidi="fa-IR"/>
        </w:rPr>
        <w:t>قَالَ : قُلْتُ : كَيْفَ أَقُولُ</w:t>
      </w:r>
      <w:r>
        <w:rPr>
          <w:rtl/>
          <w:lang w:bidi="fa-IR"/>
        </w:rPr>
        <w:t>؟</w:t>
      </w:r>
    </w:p>
    <w:p w:rsidR="00992664" w:rsidRPr="00020424" w:rsidRDefault="00992664" w:rsidP="00992664">
      <w:pPr>
        <w:pStyle w:val="libNormal"/>
        <w:rPr>
          <w:rtl/>
          <w:lang w:bidi="fa-IR"/>
        </w:rPr>
      </w:pPr>
      <w:r w:rsidRPr="00020424">
        <w:rPr>
          <w:rtl/>
          <w:lang w:bidi="fa-IR"/>
        </w:rPr>
        <w:t xml:space="preserve">قَالَ : « تَقُولُ : اللهُ أَكْبَرُ ، اللهُ أَكْبَرُ </w:t>
      </w:r>
      <w:r w:rsidRPr="00A91B96">
        <w:rPr>
          <w:rStyle w:val="libFootnotenumChar"/>
          <w:rtl/>
        </w:rPr>
        <w:t>(12)</w:t>
      </w:r>
      <w:r w:rsidRPr="00020424">
        <w:rPr>
          <w:rtl/>
          <w:lang w:bidi="fa-IR"/>
        </w:rPr>
        <w:t xml:space="preserve"> ، لَا</w:t>
      </w:r>
      <w:r>
        <w:rPr>
          <w:rFonts w:hint="cs"/>
          <w:rtl/>
          <w:lang w:bidi="fa-IR"/>
        </w:rPr>
        <w:t xml:space="preserve"> </w:t>
      </w:r>
      <w:r w:rsidR="00476C54">
        <w:rPr>
          <w:rtl/>
          <w:lang w:bidi="fa-IR"/>
        </w:rPr>
        <w:t>إِلهَ إِل</w:t>
      </w:r>
      <w:r w:rsidR="00476C54">
        <w:rPr>
          <w:rFonts w:hint="cs"/>
          <w:rtl/>
          <w:lang w:bidi="fa-IR"/>
        </w:rPr>
        <w:t>َّ</w:t>
      </w:r>
      <w:r w:rsidR="00476C54">
        <w:rPr>
          <w:rtl/>
          <w:lang w:bidi="fa-IR"/>
        </w:rPr>
        <w:t>ا</w:t>
      </w:r>
      <w:r w:rsidRPr="00020424">
        <w:rPr>
          <w:rtl/>
          <w:lang w:bidi="fa-IR"/>
        </w:rPr>
        <w:t xml:space="preserve"> اللهُ ، وَاللهُ أَكْبَرُ ، اللهُ أَكْبَرُ </w:t>
      </w:r>
      <w:r w:rsidRPr="00A91B96">
        <w:rPr>
          <w:rStyle w:val="libFootnotenumChar"/>
          <w:rtl/>
        </w:rPr>
        <w:t>(13)</w:t>
      </w:r>
      <w:r w:rsidRPr="00020424">
        <w:rPr>
          <w:rtl/>
          <w:lang w:bidi="fa-IR"/>
        </w:rPr>
        <w:t xml:space="preserve"> ، وَلِلّهِ‌</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24570" w:rsidTr="00C24570">
        <w:tc>
          <w:tcPr>
            <w:tcW w:w="4006" w:type="dxa"/>
          </w:tcPr>
          <w:p w:rsidR="00C24570" w:rsidRDefault="00C24570" w:rsidP="00992664">
            <w:pPr>
              <w:pStyle w:val="libFootnote0"/>
              <w:rPr>
                <w:rtl/>
              </w:rPr>
            </w:pPr>
            <w:r>
              <w:rPr>
                <w:rtl/>
              </w:rPr>
              <w:t xml:space="preserve">(1). </w:t>
            </w:r>
            <w:r w:rsidRPr="00020424">
              <w:rPr>
                <w:rtl/>
              </w:rPr>
              <w:t>في « ظ ، ى ، بح ، بس » : « وامنن</w:t>
            </w:r>
            <w:r>
              <w:rPr>
                <w:rtl/>
              </w:rPr>
              <w:t xml:space="preserve"> ».</w:t>
            </w:r>
          </w:p>
        </w:tc>
        <w:tc>
          <w:tcPr>
            <w:tcW w:w="4006" w:type="dxa"/>
          </w:tcPr>
          <w:p w:rsidR="00C24570" w:rsidRDefault="00C24570" w:rsidP="00992664">
            <w:pPr>
              <w:pStyle w:val="libFootnote0"/>
              <w:rPr>
                <w:rtl/>
              </w:rPr>
            </w:pPr>
            <w:r>
              <w:rPr>
                <w:rtl/>
              </w:rPr>
              <w:t xml:space="preserve">(2). </w:t>
            </w:r>
            <w:r w:rsidRPr="00020424">
              <w:rPr>
                <w:rtl/>
              </w:rPr>
              <w:t>في « جن » : « بتبليغ</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بف » </w:t>
      </w:r>
      <w:r w:rsidR="00992664" w:rsidRPr="00515444">
        <w:rPr>
          <w:rStyle w:val="libFootnoteBoldChar"/>
          <w:rtl/>
        </w:rPr>
        <w:t>والتهذيب</w:t>
      </w:r>
      <w:r w:rsidR="00992664" w:rsidRPr="00020424">
        <w:rPr>
          <w:rtl/>
        </w:rPr>
        <w:t xml:space="preserve"> : « من » بدون الواو. وفي </w:t>
      </w:r>
      <w:r w:rsidR="00992664" w:rsidRPr="0012008A">
        <w:rPr>
          <w:rStyle w:val="libFootnoteBoldChar"/>
          <w:rtl/>
        </w:rPr>
        <w:t>الوافي</w:t>
      </w:r>
      <w:r w:rsidR="00992664" w:rsidRPr="00020424">
        <w:rPr>
          <w:rtl/>
        </w:rPr>
        <w:t xml:space="preserve"> : « وجنّبني من</w:t>
      </w:r>
      <w:r w:rsidR="00992664">
        <w:rPr>
          <w:rtl/>
        </w:rPr>
        <w:t xml:space="preserve"> ».</w:t>
      </w:r>
    </w:p>
    <w:p w:rsidR="00992664" w:rsidRPr="00020424" w:rsidRDefault="00795177" w:rsidP="00C24570">
      <w:pPr>
        <w:pStyle w:val="libFootnote0"/>
        <w:rPr>
          <w:rtl/>
          <w:lang w:bidi="fa-IR"/>
        </w:rPr>
      </w:pPr>
      <w:r>
        <w:rPr>
          <w:rtl/>
        </w:rPr>
        <w:t>(4).</w:t>
      </w:r>
      <w:r w:rsidR="0014403D">
        <w:rPr>
          <w:rtl/>
        </w:rPr>
        <w:t xml:space="preserve"> </w:t>
      </w:r>
      <w:r w:rsidR="00992664" w:rsidRPr="00020424">
        <w:rPr>
          <w:rtl/>
        </w:rPr>
        <w:t>« البوائق » : جمع البائقة ، وهي الداهية</w:t>
      </w:r>
      <w:r w:rsidR="00992664">
        <w:rPr>
          <w:rtl/>
        </w:rPr>
        <w:t xml:space="preserve"> </w:t>
      </w:r>
      <w:r w:rsidR="009B673F">
        <w:rPr>
          <w:rtl/>
        </w:rPr>
        <w:t>-</w:t>
      </w:r>
      <w:r w:rsidR="00992664">
        <w:rPr>
          <w:rtl/>
        </w:rPr>
        <w:t xml:space="preserve"> </w:t>
      </w:r>
      <w:r w:rsidR="00992664" w:rsidRPr="00020424">
        <w:rPr>
          <w:rtl/>
        </w:rPr>
        <w:t>أي المصيبة</w:t>
      </w:r>
      <w:r w:rsidR="00992664">
        <w:rPr>
          <w:rtl/>
        </w:rPr>
        <w:t xml:space="preserve"> </w:t>
      </w:r>
      <w:r w:rsidR="009B673F">
        <w:rPr>
          <w:rtl/>
        </w:rPr>
        <w:t>-</w:t>
      </w:r>
      <w:r w:rsidR="00992664">
        <w:rPr>
          <w:rtl/>
        </w:rPr>
        <w:t xml:space="preserve"> </w:t>
      </w:r>
      <w:r w:rsidR="00992664" w:rsidRPr="00020424">
        <w:rPr>
          <w:rtl/>
        </w:rPr>
        <w:t xml:space="preserve">والشرّ الشديد. راجع : </w:t>
      </w:r>
      <w:r w:rsidR="00992664" w:rsidRPr="0012008A">
        <w:rPr>
          <w:rStyle w:val="libFootnoteBoldChar"/>
          <w:rtl/>
        </w:rPr>
        <w:t>الصحاح</w:t>
      </w:r>
      <w:r w:rsidR="00992664" w:rsidRPr="00020424">
        <w:rPr>
          <w:rtl/>
        </w:rPr>
        <w:t xml:space="preserve"> ، ج 4 ، ص 1452 ؛ </w:t>
      </w:r>
      <w:r w:rsidR="00992664" w:rsidRPr="00A722B1">
        <w:rPr>
          <w:rStyle w:val="libFootnoteBoldChar"/>
          <w:rtl/>
        </w:rPr>
        <w:t>المصباح المنير</w:t>
      </w:r>
      <w:r w:rsidR="00992664" w:rsidRPr="00020424">
        <w:rPr>
          <w:rtl/>
        </w:rPr>
        <w:t xml:space="preserve"> ، ص 66 ( بوق )</w:t>
      </w:r>
      <w:r w:rsidR="00992664">
        <w:rPr>
          <w:rtl/>
        </w:rPr>
        <w:t>.</w:t>
      </w:r>
      <w:r w:rsidR="00C24570">
        <w:rPr>
          <w:rFonts w:hint="cs"/>
          <w:rtl/>
        </w:rPr>
        <w:t xml:space="preserve">                      </w:t>
      </w:r>
      <w:r>
        <w:rPr>
          <w:rtl/>
        </w:rPr>
        <w:t>(5).</w:t>
      </w:r>
      <w:r w:rsidR="0014403D">
        <w:rPr>
          <w:rtl/>
        </w:rPr>
        <w:t xml:space="preserve"> </w:t>
      </w:r>
      <w:r w:rsidR="00992664" w:rsidRPr="00020424">
        <w:rPr>
          <w:rtl/>
        </w:rPr>
        <w:t xml:space="preserve">في </w:t>
      </w:r>
      <w:r w:rsidR="00992664" w:rsidRPr="00C24570">
        <w:rPr>
          <w:rtl/>
        </w:rPr>
        <w:t>الوافي والفقيه والتهذيب</w:t>
      </w:r>
      <w:r w:rsidR="00992664" w:rsidRPr="00020424">
        <w:rPr>
          <w:rtl/>
        </w:rPr>
        <w:t xml:space="preserve"> : « بلّغنا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3 ، ص 122 ، ح 367 ، معلّقاً عن الكليني. </w:t>
      </w:r>
      <w:r w:rsidR="00992664" w:rsidRPr="0012008A">
        <w:rPr>
          <w:rStyle w:val="libFootnoteBoldChar"/>
          <w:rtl/>
        </w:rPr>
        <w:t>الفقيه</w:t>
      </w:r>
      <w:r w:rsidR="00992664" w:rsidRPr="00020424">
        <w:rPr>
          <w:rtl/>
        </w:rPr>
        <w:t xml:space="preserve"> ، ج 2 ، ص 164 ، ح 2033 ، معلّقاً عن أبي بصير </w:t>
      </w:r>
      <w:r w:rsidR="00C24570">
        <w:rPr>
          <w:rFonts w:hint="cs"/>
          <w:rtl/>
        </w:rPr>
        <w:t>.</w:t>
      </w:r>
      <w:r w:rsidR="00992664" w:rsidRPr="0012008A">
        <w:rPr>
          <w:rStyle w:val="libFootnoteBoldChar"/>
          <w:rtl/>
        </w:rPr>
        <w:t>الوافي</w:t>
      </w:r>
      <w:r w:rsidR="00992664" w:rsidRPr="00020424">
        <w:rPr>
          <w:rtl/>
        </w:rPr>
        <w:t xml:space="preserve"> ، ج 11 ، ص 475 ، ح 11161.</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بر ، بف » وحاشية « ظ ، ى »</w:t>
      </w:r>
      <w:r w:rsidR="00992664" w:rsidRPr="00C24570">
        <w:rPr>
          <w:rtl/>
        </w:rPr>
        <w:t xml:space="preserve"> والوافي والوسائل والفقيه والتهذيب :</w:t>
      </w:r>
      <w:r w:rsidR="00992664" w:rsidRPr="00020424">
        <w:rPr>
          <w:rtl/>
        </w:rPr>
        <w:t xml:space="preserve"> « مسنون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C24570" w:rsidTr="00C24570">
        <w:tc>
          <w:tcPr>
            <w:tcW w:w="4006" w:type="dxa"/>
          </w:tcPr>
          <w:p w:rsidR="00C24570" w:rsidRDefault="00C24570" w:rsidP="00992664">
            <w:pPr>
              <w:pStyle w:val="libFootnote0"/>
              <w:rPr>
                <w:rtl/>
              </w:rPr>
            </w:pPr>
            <w:r>
              <w:rPr>
                <w:rtl/>
              </w:rPr>
              <w:t xml:space="preserve">(8). </w:t>
            </w:r>
            <w:r w:rsidRPr="00020424">
              <w:rPr>
                <w:rtl/>
              </w:rPr>
              <w:t xml:space="preserve">في « ى » </w:t>
            </w:r>
            <w:r w:rsidRPr="00FD6221">
              <w:rPr>
                <w:rStyle w:val="libFootnoteBoldChar"/>
                <w:rtl/>
              </w:rPr>
              <w:t>والفقيه</w:t>
            </w:r>
            <w:r w:rsidRPr="00020424">
              <w:rPr>
                <w:rtl/>
              </w:rPr>
              <w:t xml:space="preserve"> : « فأين</w:t>
            </w:r>
            <w:r>
              <w:rPr>
                <w:rtl/>
              </w:rPr>
              <w:t xml:space="preserve"> ».</w:t>
            </w:r>
          </w:p>
        </w:tc>
        <w:tc>
          <w:tcPr>
            <w:tcW w:w="4006" w:type="dxa"/>
          </w:tcPr>
          <w:p w:rsidR="00C24570" w:rsidRDefault="00C24570" w:rsidP="00992664">
            <w:pPr>
              <w:pStyle w:val="libFootnote0"/>
              <w:rPr>
                <w:rtl/>
              </w:rPr>
            </w:pPr>
            <w:r>
              <w:rPr>
                <w:rtl/>
              </w:rPr>
              <w:t xml:space="preserve">(9). </w:t>
            </w:r>
            <w:r w:rsidRPr="00020424">
              <w:rPr>
                <w:rtl/>
              </w:rPr>
              <w:t xml:space="preserve">في </w:t>
            </w:r>
            <w:r w:rsidRPr="0012008A">
              <w:rPr>
                <w:rStyle w:val="libFootnoteBoldChar"/>
                <w:rtl/>
              </w:rPr>
              <w:t>التهذيب</w:t>
            </w:r>
            <w:r w:rsidRPr="00020424">
              <w:rPr>
                <w:rtl/>
              </w:rPr>
              <w:t xml:space="preserve"> :</w:t>
            </w:r>
            <w:r>
              <w:rPr>
                <w:rtl/>
              </w:rPr>
              <w:t xml:space="preserve"> - </w:t>
            </w:r>
            <w:r w:rsidRPr="00020424">
              <w:rPr>
                <w:rtl/>
              </w:rPr>
              <w:t>« في</w:t>
            </w:r>
            <w:r>
              <w:rPr>
                <w:rtl/>
              </w:rPr>
              <w:t xml:space="preserve"> ».</w:t>
            </w:r>
          </w:p>
        </w:tc>
      </w:tr>
    </w:tbl>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وفي غير رواية سعيد وفي الظهر والعصر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6434AA" w:rsidTr="006434AA">
        <w:tc>
          <w:tcPr>
            <w:tcW w:w="4006" w:type="dxa"/>
          </w:tcPr>
          <w:p w:rsidR="006434AA" w:rsidRDefault="006434AA" w:rsidP="00992664">
            <w:pPr>
              <w:pStyle w:val="libFootnote0"/>
              <w:rPr>
                <w:rtl/>
              </w:rPr>
            </w:pPr>
            <w:r>
              <w:rPr>
                <w:rtl/>
              </w:rPr>
              <w:t xml:space="preserve">(11). </w:t>
            </w:r>
            <w:r w:rsidRPr="00020424">
              <w:rPr>
                <w:rtl/>
              </w:rPr>
              <w:t>في « ظ ، بر » : « تقطع</w:t>
            </w:r>
            <w:r>
              <w:rPr>
                <w:rtl/>
              </w:rPr>
              <w:t xml:space="preserve"> ».</w:t>
            </w:r>
          </w:p>
        </w:tc>
        <w:tc>
          <w:tcPr>
            <w:tcW w:w="4006" w:type="dxa"/>
          </w:tcPr>
          <w:p w:rsidR="006434AA" w:rsidRDefault="006434AA" w:rsidP="00992664">
            <w:pPr>
              <w:pStyle w:val="libFootnote0"/>
              <w:rPr>
                <w:rtl/>
              </w:rPr>
            </w:pPr>
            <w:r>
              <w:rPr>
                <w:rtl/>
              </w:rPr>
              <w:t xml:space="preserve">(12). </w:t>
            </w:r>
            <w:r w:rsidR="00246133">
              <w:rPr>
                <w:rtl/>
              </w:rPr>
              <w:t>في«بح»وحاشية«جن</w:t>
            </w:r>
            <w:r w:rsidRPr="00020424">
              <w:rPr>
                <w:rtl/>
              </w:rPr>
              <w:t>»</w:t>
            </w:r>
            <w:r w:rsidRPr="00515444">
              <w:rPr>
                <w:rStyle w:val="libFootnoteBoldChar"/>
                <w:rtl/>
              </w:rPr>
              <w:t>والتهذيب</w:t>
            </w:r>
            <w:r w:rsidR="00246133">
              <w:rPr>
                <w:rtl/>
              </w:rPr>
              <w:t>:+«</w:t>
            </w:r>
            <w:r w:rsidRPr="00020424">
              <w:rPr>
                <w:rtl/>
              </w:rPr>
              <w:t>الله أكبر</w:t>
            </w:r>
            <w:r>
              <w:rPr>
                <w:rtl/>
              </w:rPr>
              <w:t>».</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ظ ، ى » : « والله أكبر</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الله أكبر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الْحَمْدُ ، اللهُ أَكْبَرُ عَلى مَا هَدَانَا </w:t>
      </w:r>
      <w:r w:rsidRPr="00A91B96">
        <w:rPr>
          <w:rStyle w:val="libFootnotenumChar"/>
          <w:rtl/>
        </w:rPr>
        <w:t>(1)</w:t>
      </w:r>
      <w:r w:rsidRPr="00020424">
        <w:rPr>
          <w:rtl/>
          <w:lang w:bidi="fa-IR"/>
        </w:rPr>
        <w:t xml:space="preserve"> ، وَهُوَ قَوْلُ اللهِ عَزَّ وَجَلَّ : </w:t>
      </w:r>
      <w:r w:rsidRPr="00005A81">
        <w:rPr>
          <w:rStyle w:val="libAlaemChar"/>
          <w:rtl/>
        </w:rPr>
        <w:t>(</w:t>
      </w:r>
      <w:r w:rsidRPr="004E5AB4">
        <w:rPr>
          <w:rStyle w:val="libAieChar"/>
          <w:rtl/>
        </w:rPr>
        <w:t xml:space="preserve"> وَلِتُكْمِلُوا الْعِدَّةَ </w:t>
      </w:r>
      <w:r w:rsidRPr="00005A81">
        <w:rPr>
          <w:rStyle w:val="libAlaemChar"/>
          <w:rtl/>
        </w:rPr>
        <w:t>)</w:t>
      </w:r>
      <w:r w:rsidRPr="00020424">
        <w:rPr>
          <w:rtl/>
          <w:lang w:bidi="fa-IR"/>
        </w:rPr>
        <w:t xml:space="preserve"> يَعْنِي الصِّيَامَ </w:t>
      </w:r>
      <w:r w:rsidRPr="00A91B96">
        <w:rPr>
          <w:rStyle w:val="libFootnotenumChar"/>
          <w:rtl/>
        </w:rPr>
        <w:t>(2)</w:t>
      </w:r>
      <w:r w:rsidRPr="00020424">
        <w:rPr>
          <w:rtl/>
          <w:lang w:bidi="fa-IR"/>
        </w:rPr>
        <w:t xml:space="preserve"> </w:t>
      </w:r>
      <w:r w:rsidRPr="00005A81">
        <w:rPr>
          <w:rStyle w:val="libAlaemChar"/>
          <w:rtl/>
        </w:rPr>
        <w:t>(</w:t>
      </w:r>
      <w:r w:rsidRPr="004E5AB4">
        <w:rPr>
          <w:rStyle w:val="libAieChar"/>
          <w:rtl/>
        </w:rPr>
        <w:t xml:space="preserve"> وَلِتُكَبِّرُوا اللهَ عَلى ما هَداكُمْ </w:t>
      </w:r>
      <w:r w:rsidRPr="00005A81">
        <w:rPr>
          <w:rStyle w:val="libAlaemChar"/>
          <w:rtl/>
        </w:rPr>
        <w:t>)</w:t>
      </w:r>
      <w:r w:rsidRPr="00020424">
        <w:rPr>
          <w:rtl/>
          <w:lang w:bidi="fa-IR"/>
        </w:rPr>
        <w:t xml:space="preserve">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FF4312" w:rsidP="00992664">
      <w:pPr>
        <w:pStyle w:val="libNormal"/>
        <w:rPr>
          <w:rtl/>
          <w:lang w:bidi="fa-IR"/>
        </w:rPr>
      </w:pPr>
      <w:r>
        <w:rPr>
          <w:rFonts w:hint="cs"/>
          <w:rtl/>
          <w:lang w:bidi="fa-IR"/>
        </w:rPr>
        <w:t xml:space="preserve">* </w:t>
      </w:r>
      <w:r w:rsidR="00992664" w:rsidRPr="00020424">
        <w:rPr>
          <w:rtl/>
          <w:lang w:bidi="fa-IR"/>
        </w:rPr>
        <w:t xml:space="preserve">عِدَّةٌ مِنْ أَصْحَابِنَا ، عَنْ سَهْلِ بْنِ زِيَادٍ ، عَنْ عَلِيِّ </w:t>
      </w:r>
      <w:r w:rsidR="00992664" w:rsidRPr="00A91B96">
        <w:rPr>
          <w:rStyle w:val="libFootnotenumChar"/>
          <w:rtl/>
        </w:rPr>
        <w:t>(5)</w:t>
      </w:r>
      <w:r w:rsidR="00992664" w:rsidRPr="00020424">
        <w:rPr>
          <w:rtl/>
          <w:lang w:bidi="fa-IR"/>
        </w:rPr>
        <w:t xml:space="preserve"> بْنِ أَسْبَاطٍ ، عَنْ خَلَفِ بْنِ حَمَّادٍ مِثْلَهُ.</w:t>
      </w:r>
    </w:p>
    <w:p w:rsidR="00992664" w:rsidRPr="00020424" w:rsidRDefault="00992664" w:rsidP="00992664">
      <w:pPr>
        <w:pStyle w:val="libNormal"/>
        <w:rPr>
          <w:rtl/>
          <w:lang w:bidi="fa-IR"/>
        </w:rPr>
      </w:pPr>
      <w:r w:rsidRPr="006C4BC4">
        <w:rPr>
          <w:rtl/>
        </w:rPr>
        <w:t>6638</w:t>
      </w:r>
      <w:r w:rsidRPr="001155DE">
        <w:rPr>
          <w:rStyle w:val="libBold2Char"/>
          <w:rtl/>
        </w:rPr>
        <w:t xml:space="preserve"> / 2.</w:t>
      </w:r>
      <w:r w:rsidRPr="00020424">
        <w:rPr>
          <w:rtl/>
          <w:lang w:bidi="fa-IR"/>
        </w:rPr>
        <w:t xml:space="preserve"> عَلِيُّ بْنُ إِبْرَاهِيمَ ، عَنْ أَبِيهِ ، عَنِ ابْنِ أَبِي عُمَيْرٍ ، عَنْ مُحَمَّدِ بْنِ أَبِي حَمْزَةَ ، عَنْ مُعَاوِيَةَ بْنِ عَمَّارٍ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تُكَبِّرُ </w:t>
      </w:r>
      <w:r w:rsidRPr="00A91B96">
        <w:rPr>
          <w:rStyle w:val="libFootnotenumChar"/>
          <w:rtl/>
        </w:rPr>
        <w:t>(6)</w:t>
      </w:r>
      <w:r w:rsidRPr="00020424">
        <w:rPr>
          <w:rtl/>
          <w:lang w:bidi="fa-IR"/>
        </w:rPr>
        <w:t xml:space="preserve"> لَيْلَةَ الْفِطْرِ وَصَبِيحَةَ </w:t>
      </w:r>
      <w:r w:rsidRPr="00A91B96">
        <w:rPr>
          <w:rStyle w:val="libFootnotenumChar"/>
          <w:rtl/>
        </w:rPr>
        <w:t>(7)</w:t>
      </w:r>
      <w:r w:rsidRPr="00020424">
        <w:rPr>
          <w:rtl/>
          <w:lang w:bidi="fa-IR"/>
        </w:rPr>
        <w:t xml:space="preserve"> الْفِطْرِ كَمَا تُكَبِّرُ فِي الْعَشْرِ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Default="00992664" w:rsidP="00992664">
      <w:pPr>
        <w:pStyle w:val="libNormal"/>
        <w:rPr>
          <w:rtl/>
          <w:lang w:bidi="fa-IR"/>
        </w:rPr>
      </w:pPr>
      <w:r w:rsidRPr="006C4BC4">
        <w:rPr>
          <w:rtl/>
        </w:rPr>
        <w:t>6639</w:t>
      </w:r>
      <w:r w:rsidRPr="001155DE">
        <w:rPr>
          <w:rStyle w:val="libBold2Char"/>
          <w:rtl/>
        </w:rPr>
        <w:t xml:space="preserve"> / 3.</w:t>
      </w:r>
      <w:r w:rsidRPr="00020424">
        <w:rPr>
          <w:rtl/>
          <w:lang w:bidi="fa-IR"/>
        </w:rPr>
        <w:t xml:space="preserve"> مُحَمَّدُ بْنُ يَحْيى ، عَنْ أَحْمَدَ بْنِ مُحَمَّدٍ ، عَنِ الْقَاسِمِ بْنِ يَحْيى ، عَنْ جَدِّهِ الْحَسَنِ بْنِ رَاشِدٍ ، قَالَ :</w:t>
      </w:r>
    </w:p>
    <w:p w:rsidR="00992664" w:rsidRPr="00020424" w:rsidRDefault="00992664" w:rsidP="00992664">
      <w:pPr>
        <w:pStyle w:val="libNormal"/>
        <w:rPr>
          <w:rtl/>
          <w:lang w:bidi="fa-IR"/>
        </w:rPr>
      </w:pPr>
      <w:r w:rsidRPr="00020424">
        <w:rPr>
          <w:rtl/>
          <w:lang w:bidi="fa-IR"/>
        </w:rPr>
        <w:t xml:space="preserve">قُلْتُ لِأَبِي عَبْدِ اللهِ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w:t>
      </w:r>
      <w:r w:rsidRPr="00005A81">
        <w:rPr>
          <w:rStyle w:val="libAlaemChar"/>
          <w:rtl/>
        </w:rPr>
        <w:t>عليه‌السلام</w:t>
      </w:r>
      <w:r w:rsidRPr="00020424">
        <w:rPr>
          <w:rtl/>
          <w:lang w:bidi="fa-IR"/>
        </w:rPr>
        <w:t xml:space="preserve"> : إِنَّ النَّاسَ يَقُولُونَ : إِنَّ الْمَغْفِرَةَ تَنْزِلُ عَلى مَنْ صَامَ شَهْرَ</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 « والحمد لله‌على ما أبلانا</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يعني الصيام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البقرة </w:t>
      </w:r>
      <w:r w:rsidR="00FF4312">
        <w:rPr>
          <w:rtl/>
        </w:rPr>
        <w:t>(2)</w:t>
      </w:r>
      <w:r w:rsidR="0014403D">
        <w:rPr>
          <w:rtl/>
        </w:rPr>
        <w:t xml:space="preserve"> </w:t>
      </w:r>
      <w:r w:rsidR="00992664" w:rsidRPr="00020424">
        <w:rPr>
          <w:rtl/>
        </w:rPr>
        <w:t>: 185.</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3 ، ص 138 ، ح 311 ، معلّقاً عن الكليني. </w:t>
      </w:r>
      <w:r w:rsidR="00992664" w:rsidRPr="0012008A">
        <w:rPr>
          <w:rStyle w:val="libFootnoteBoldChar"/>
          <w:rtl/>
        </w:rPr>
        <w:t>الفقيه</w:t>
      </w:r>
      <w:r w:rsidR="00992664" w:rsidRPr="00020424">
        <w:rPr>
          <w:rtl/>
        </w:rPr>
        <w:t xml:space="preserve"> ، ج 2 ، ص 167 ، ح 2034 ، معلّقاً عن سعيد النقّاش. </w:t>
      </w:r>
      <w:r w:rsidR="00992664" w:rsidRPr="00A722B1">
        <w:rPr>
          <w:rStyle w:val="libFootnoteBoldChar"/>
          <w:rtl/>
        </w:rPr>
        <w:t>الخصال</w:t>
      </w:r>
      <w:r w:rsidR="00992664" w:rsidRPr="00020424">
        <w:rPr>
          <w:rtl/>
        </w:rPr>
        <w:t xml:space="preserve"> ، ص 609 ، أبواب الثمانين ومافوقه ، ضمن الحدي</w:t>
      </w:r>
      <w:r w:rsidR="00BF1B3B">
        <w:rPr>
          <w:rtl/>
        </w:rPr>
        <w:t>ث الطويل 9 ، بسند آخر ، من قوله</w:t>
      </w:r>
      <w:r w:rsidR="00992664" w:rsidRPr="00020424">
        <w:rPr>
          <w:rtl/>
        </w:rPr>
        <w:t xml:space="preserve">: « قال في ليلة الفطر في المغرب والعشاء الآخرة » ؛ </w:t>
      </w:r>
      <w:r w:rsidR="00992664" w:rsidRPr="00DE76B9">
        <w:rPr>
          <w:rStyle w:val="libFootnoteBoldChar"/>
          <w:rtl/>
        </w:rPr>
        <w:t>تفسير العيّاشي</w:t>
      </w:r>
      <w:r w:rsidR="00992664" w:rsidRPr="00020424">
        <w:rPr>
          <w:rtl/>
        </w:rPr>
        <w:t xml:space="preserve"> ، ج 1 ، ص 82 ، ح 193 ، عن سعيد النقّاش ، وفي الأخيرين مع اختلاف يسير </w:t>
      </w:r>
      <w:r w:rsidR="00035020">
        <w:rPr>
          <w:rFonts w:hint="cs"/>
          <w:rtl/>
        </w:rPr>
        <w:t>.</w:t>
      </w:r>
      <w:r w:rsidR="00992664" w:rsidRPr="0012008A">
        <w:rPr>
          <w:rStyle w:val="libFootnoteBoldChar"/>
          <w:rtl/>
        </w:rPr>
        <w:t>الوافي</w:t>
      </w:r>
      <w:r w:rsidR="00992664" w:rsidRPr="00020424">
        <w:rPr>
          <w:rtl/>
        </w:rPr>
        <w:t xml:space="preserve"> ، ج 9 ، ص 1341 ، ح 8344 ؛ </w:t>
      </w:r>
      <w:r w:rsidR="00992664" w:rsidRPr="0012008A">
        <w:rPr>
          <w:rStyle w:val="libFootnoteBoldChar"/>
          <w:rtl/>
        </w:rPr>
        <w:t>الوسائل</w:t>
      </w:r>
      <w:r w:rsidR="00992664" w:rsidRPr="00020424">
        <w:rPr>
          <w:rtl/>
        </w:rPr>
        <w:t xml:space="preserve"> ، ج 7 ، ص 455 ، ح 9847.</w:t>
      </w:r>
    </w:p>
    <w:tbl>
      <w:tblPr>
        <w:tblStyle w:val="TableGrid"/>
        <w:bidiVisual/>
        <w:tblW w:w="0" w:type="auto"/>
        <w:tblLook w:val="04A0" w:firstRow="1" w:lastRow="0" w:firstColumn="1" w:lastColumn="0" w:noHBand="0" w:noVBand="1"/>
      </w:tblPr>
      <w:tblGrid>
        <w:gridCol w:w="4006"/>
        <w:gridCol w:w="4006"/>
      </w:tblGrid>
      <w:tr w:rsidR="00035020" w:rsidTr="00035020">
        <w:tc>
          <w:tcPr>
            <w:tcW w:w="4006" w:type="dxa"/>
          </w:tcPr>
          <w:p w:rsidR="00035020" w:rsidRDefault="00035020" w:rsidP="00992664">
            <w:pPr>
              <w:pStyle w:val="libFootnote0"/>
              <w:rPr>
                <w:rtl/>
              </w:rPr>
            </w:pPr>
            <w:r>
              <w:rPr>
                <w:rtl/>
              </w:rPr>
              <w:t xml:space="preserve">(5). </w:t>
            </w:r>
            <w:r w:rsidRPr="00020424">
              <w:rPr>
                <w:rtl/>
              </w:rPr>
              <w:t>في « ى » :</w:t>
            </w:r>
            <w:r>
              <w:rPr>
                <w:rtl/>
              </w:rPr>
              <w:t xml:space="preserve"> - </w:t>
            </w:r>
            <w:r w:rsidRPr="00020424">
              <w:rPr>
                <w:rtl/>
              </w:rPr>
              <w:t>« عليّ</w:t>
            </w:r>
            <w:r>
              <w:rPr>
                <w:rtl/>
              </w:rPr>
              <w:t xml:space="preserve"> ».</w:t>
            </w:r>
          </w:p>
        </w:tc>
        <w:tc>
          <w:tcPr>
            <w:tcW w:w="4006" w:type="dxa"/>
          </w:tcPr>
          <w:p w:rsidR="00035020" w:rsidRDefault="00035020" w:rsidP="00992664">
            <w:pPr>
              <w:pStyle w:val="libFootnote0"/>
              <w:rPr>
                <w:rtl/>
              </w:rPr>
            </w:pPr>
            <w:r>
              <w:rPr>
                <w:rtl/>
              </w:rPr>
              <w:t>(6). في «ظ ،بث» : «</w:t>
            </w:r>
            <w:r w:rsidRPr="00020424">
              <w:rPr>
                <w:rtl/>
              </w:rPr>
              <w:t>يكبّر</w:t>
            </w:r>
            <w:r>
              <w:rPr>
                <w:rtl/>
              </w:rPr>
              <w:t>».</w:t>
            </w:r>
            <w:r w:rsidRPr="00020424">
              <w:rPr>
                <w:rtl/>
              </w:rPr>
              <w:t xml:space="preserve"> وفي </w:t>
            </w:r>
            <w:r w:rsidRPr="0012008A">
              <w:rPr>
                <w:rStyle w:val="libFootnoteBoldChar"/>
                <w:rtl/>
              </w:rPr>
              <w:t>الوافي</w:t>
            </w:r>
            <w:r>
              <w:rPr>
                <w:rtl/>
              </w:rPr>
              <w:t xml:space="preserve"> : «</w:t>
            </w:r>
            <w:r w:rsidRPr="00020424">
              <w:rPr>
                <w:rtl/>
              </w:rPr>
              <w:t>تكبير</w:t>
            </w:r>
            <w:r>
              <w:rPr>
                <w:rtl/>
              </w:rPr>
              <w:t>».</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بث » : « وتكبّر صبيحة</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يعني بالعشر العشر صلوات الفرائض في أيّام التشريق » ، وفي </w:t>
      </w:r>
      <w:r w:rsidR="00992664" w:rsidRPr="00DE76B9">
        <w:rPr>
          <w:rStyle w:val="libFootnoteBoldChar"/>
          <w:rtl/>
        </w:rPr>
        <w:t>مرآة العقول</w:t>
      </w:r>
      <w:r w:rsidR="00992664" w:rsidRPr="00020424">
        <w:rPr>
          <w:rtl/>
        </w:rPr>
        <w:t xml:space="preserve"> ، ج 16 ، </w:t>
      </w:r>
      <w:r w:rsidR="00BF1B3B">
        <w:rPr>
          <w:rtl/>
        </w:rPr>
        <w:t>ص 406</w:t>
      </w:r>
      <w:r w:rsidR="00992664" w:rsidRPr="00020424">
        <w:rPr>
          <w:rtl/>
        </w:rPr>
        <w:t xml:space="preserve">: « قوله </w:t>
      </w:r>
      <w:r w:rsidR="00992664" w:rsidRPr="00D64ADA">
        <w:rPr>
          <w:rStyle w:val="libFootnoteAlaemChar"/>
          <w:rtl/>
        </w:rPr>
        <w:t>عليه‌السلام</w:t>
      </w:r>
      <w:r w:rsidR="00992664" w:rsidRPr="00020424">
        <w:rPr>
          <w:rtl/>
        </w:rPr>
        <w:t xml:space="preserve"> : كما تكبّر ، التشبيه إمّا في أصل التكبير ، أو في كيفيّته ، وعلى الأخير لعلّه يسقط منه ما يناسب الأضحى</w:t>
      </w:r>
      <w:r w:rsidR="00992664">
        <w:rPr>
          <w:rtl/>
        </w:rPr>
        <w:t xml:space="preserve"> ».</w:t>
      </w:r>
    </w:p>
    <w:p w:rsidR="00992664" w:rsidRDefault="00795177" w:rsidP="00992664">
      <w:pPr>
        <w:pStyle w:val="libFootnote0"/>
        <w:rPr>
          <w:rtl/>
          <w:lang w:bidi="fa-IR"/>
        </w:rPr>
      </w:pPr>
      <w:r>
        <w:rPr>
          <w:rtl/>
        </w:rPr>
        <w:t>(9).</w:t>
      </w:r>
      <w:r w:rsidR="0014403D">
        <w:rPr>
          <w:rtl/>
        </w:rPr>
        <w:t xml:space="preserve"> </w:t>
      </w:r>
      <w:r w:rsidR="00992664" w:rsidRPr="0012008A">
        <w:rPr>
          <w:rStyle w:val="libFootnoteBoldChar"/>
          <w:rtl/>
        </w:rPr>
        <w:t>الوافي</w:t>
      </w:r>
      <w:r w:rsidR="00992664" w:rsidRPr="00020424">
        <w:rPr>
          <w:rtl/>
        </w:rPr>
        <w:t xml:space="preserve"> ، ج 9 ، ص 1342 ، ح 8346 ؛ </w:t>
      </w:r>
      <w:r w:rsidR="00992664" w:rsidRPr="0012008A">
        <w:rPr>
          <w:rStyle w:val="libFootnoteBoldChar"/>
          <w:rtl/>
        </w:rPr>
        <w:t>الوسائل</w:t>
      </w:r>
      <w:r w:rsidR="00992664" w:rsidRPr="00020424">
        <w:rPr>
          <w:rtl/>
        </w:rPr>
        <w:t xml:space="preserve"> ، ج 7 ، ص 455 ، ح 9846.</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ج 9 : « لأبي الحسن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رَمَضَانَ لَيْلَةَ الْقَدْرِ </w:t>
      </w:r>
      <w:r w:rsidRPr="00A91B96">
        <w:rPr>
          <w:rStyle w:val="libFootnotenumChar"/>
          <w:rtl/>
        </w:rPr>
        <w:t>(</w:t>
      </w:r>
      <w:r w:rsidRPr="00A91B96">
        <w:rPr>
          <w:rStyle w:val="libFootnotenumChar"/>
          <w:rFonts w:hint="cs"/>
          <w:rtl/>
        </w:rPr>
        <w:t>1</w:t>
      </w:r>
      <w:r w:rsidRPr="00A91B96">
        <w:rPr>
          <w:rStyle w:val="libFootnotenumChar"/>
          <w:rtl/>
        </w:rPr>
        <w:t>)</w:t>
      </w:r>
    </w:p>
    <w:p w:rsidR="00992664" w:rsidRPr="00020424" w:rsidRDefault="00992664" w:rsidP="00992664">
      <w:pPr>
        <w:pStyle w:val="libNormal"/>
        <w:rPr>
          <w:rtl/>
          <w:lang w:bidi="fa-IR"/>
        </w:rPr>
      </w:pPr>
      <w:r w:rsidRPr="00020424">
        <w:rPr>
          <w:rtl/>
          <w:lang w:bidi="fa-IR"/>
        </w:rPr>
        <w:t xml:space="preserve">فَقَالَ : « يَا حَسَنُ ، إِنَّ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الْقَارِيجَارَ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إِنَّمَا يُعْطى أُجْرَتَهُ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عِنْدَ فَرَاغِهِ ؛ ذلِكَ </w:t>
      </w:r>
      <w:r w:rsidRPr="00A91B96">
        <w:rPr>
          <w:rStyle w:val="libFootnotenumChar"/>
          <w:rtl/>
        </w:rPr>
        <w:t>(</w:t>
      </w:r>
      <w:r w:rsidRPr="00A91B96">
        <w:rPr>
          <w:rStyle w:val="libFootnotenumChar"/>
          <w:rFonts w:hint="cs"/>
          <w:rtl/>
        </w:rPr>
        <w:t>5</w:t>
      </w:r>
      <w:r w:rsidRPr="00A91B96">
        <w:rPr>
          <w:rStyle w:val="libFootnotenumChar"/>
          <w:rtl/>
        </w:rPr>
        <w:t>)</w:t>
      </w:r>
      <w:r w:rsidRPr="00020424">
        <w:rPr>
          <w:rtl/>
          <w:lang w:bidi="fa-IR"/>
        </w:rPr>
        <w:t xml:space="preserve"> لَيْلَةَ الْعِيدِ </w:t>
      </w:r>
      <w:r w:rsidRPr="00A91B96">
        <w:rPr>
          <w:rStyle w:val="libFootnotenumChar"/>
          <w:rtl/>
        </w:rPr>
        <w:t>(</w:t>
      </w:r>
      <w:r w:rsidRPr="00A91B96">
        <w:rPr>
          <w:rStyle w:val="libFootnotenumChar"/>
          <w:rFonts w:hint="cs"/>
          <w:rtl/>
        </w:rPr>
        <w:t>6</w:t>
      </w:r>
      <w:r w:rsidRPr="00A91B96">
        <w:rPr>
          <w:rStyle w:val="libFootnotenumChar"/>
          <w:rtl/>
        </w:rPr>
        <w:t>)</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جُعِلْتُ فِدَاكَ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 فَمَا يَنْبَغِي لَنَا أَنْ نَعْمَلَ فِيهَا</w:t>
      </w:r>
      <w:r>
        <w:rPr>
          <w:rtl/>
          <w:lang w:bidi="fa-IR"/>
        </w:rPr>
        <w:t>؟</w:t>
      </w:r>
    </w:p>
    <w:p w:rsidR="00992664" w:rsidRPr="00020424" w:rsidRDefault="00992664" w:rsidP="00992664">
      <w:pPr>
        <w:pStyle w:val="libNormal"/>
        <w:rPr>
          <w:rtl/>
          <w:lang w:bidi="fa-IR"/>
        </w:rPr>
      </w:pPr>
      <w:r w:rsidRPr="00020424">
        <w:rPr>
          <w:rtl/>
          <w:lang w:bidi="fa-IR"/>
        </w:rPr>
        <w:t xml:space="preserve">فَقَالَ : « إِذَا غَرَبَتِ الشَّمْسُ فَاغْتَسِلْ ، وَإِذَا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صَلَّيْتَ الثَّلَاثَ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الْمَغْرِبِ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فَارْفَعْ يَدَيْكَ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 وَقُلْ : " يَا ذَا الْمَنِّ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 يَا ذَا الطَّوْلِ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 يَا ذَا الْجُودِ </w:t>
      </w:r>
      <w:r w:rsidRPr="00A91B96">
        <w:rPr>
          <w:rStyle w:val="libFootnotenumChar"/>
          <w:rtl/>
        </w:rPr>
        <w:t>(</w:t>
      </w:r>
      <w:r w:rsidRPr="00A91B96">
        <w:rPr>
          <w:rStyle w:val="libFootnotenumChar"/>
          <w:rFonts w:hint="cs"/>
          <w:rtl/>
        </w:rPr>
        <w:t>14</w:t>
      </w:r>
      <w:r w:rsidRPr="00A91B96">
        <w:rPr>
          <w:rStyle w:val="libFootnotenumChar"/>
          <w:rtl/>
        </w:rPr>
        <w:t>)</w:t>
      </w:r>
      <w:r w:rsidRPr="00020424">
        <w:rPr>
          <w:rtl/>
          <w:lang w:bidi="fa-IR"/>
        </w:rPr>
        <w:t xml:space="preserve"> ، يَا مُصْطَفِياً مُحَمَّداً‌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بف » وحاشية « بث » : « الفطر</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إنّ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وحاشية « ظ » : « الفاريجان</w:t>
      </w:r>
      <w:r w:rsidR="00992664">
        <w:rPr>
          <w:rtl/>
        </w:rPr>
        <w:t xml:space="preserve"> ».</w:t>
      </w:r>
      <w:r w:rsidR="00992664" w:rsidRPr="00020424">
        <w:rPr>
          <w:rtl/>
        </w:rPr>
        <w:t xml:space="preserve"> وفي « بح ، بخ ، بر ، بس » وحاشية « ى » : « القاريجان</w:t>
      </w:r>
      <w:r w:rsidR="00992664">
        <w:rPr>
          <w:rtl/>
        </w:rPr>
        <w:t xml:space="preserve"> ».</w:t>
      </w:r>
      <w:r w:rsidR="00992664" w:rsidRPr="00020424">
        <w:rPr>
          <w:rtl/>
        </w:rPr>
        <w:t xml:space="preserve"> </w:t>
      </w:r>
      <w:r w:rsidR="00992664">
        <w:rPr>
          <w:rtl/>
        </w:rPr>
        <w:t>و «</w:t>
      </w:r>
      <w:r w:rsidR="00992664" w:rsidRPr="00020424">
        <w:rPr>
          <w:rtl/>
        </w:rPr>
        <w:t xml:space="preserve"> القاريجار » بالقاف والراء والياء التحتانيّة المثنّاة والجيم ، ثمّ الراء : معرّب كارى گر ، كما في </w:t>
      </w:r>
      <w:r w:rsidR="00992664" w:rsidRPr="0012008A">
        <w:rPr>
          <w:rStyle w:val="libFootnoteBoldChar"/>
          <w:rtl/>
        </w:rPr>
        <w:t>الوافي</w:t>
      </w:r>
      <w:r w:rsidR="00992664" w:rsidRPr="00020424">
        <w:rPr>
          <w:rtl/>
        </w:rPr>
        <w:t xml:space="preserve"> و</w:t>
      </w:r>
      <w:r w:rsidR="00992664" w:rsidRPr="00DE76B9">
        <w:rPr>
          <w:rStyle w:val="libFootnoteBoldChar"/>
          <w:rtl/>
        </w:rPr>
        <w:t>مرآة العقول</w:t>
      </w:r>
      <w:r w:rsidR="00992664" w:rsidRPr="00020424">
        <w:rPr>
          <w:rtl/>
        </w:rPr>
        <w:t xml:space="preserve">. وفي </w:t>
      </w:r>
      <w:r w:rsidR="00992664" w:rsidRPr="0012008A">
        <w:rPr>
          <w:rStyle w:val="libFootnoteBoldChar"/>
          <w:rtl/>
        </w:rPr>
        <w:t>الوافي</w:t>
      </w:r>
      <w:r w:rsidR="00992664" w:rsidRPr="00020424">
        <w:rPr>
          <w:rtl/>
        </w:rPr>
        <w:t xml:space="preserve"> : « القاريجار</w:t>
      </w:r>
      <w:r w:rsidR="00992664">
        <w:rPr>
          <w:rtl/>
        </w:rPr>
        <w:t xml:space="preserve"> ..</w:t>
      </w:r>
      <w:r w:rsidR="00992664" w:rsidRPr="00020424">
        <w:rPr>
          <w:rtl/>
        </w:rPr>
        <w:t>. معرّب كارى گر ، ومن الناس من يصحّفه بما يشتهي</w:t>
      </w:r>
      <w:r w:rsidR="00992664">
        <w:rPr>
          <w:rtl/>
        </w:rPr>
        <w:t xml:space="preserve"> ».</w:t>
      </w:r>
      <w:r w:rsidR="00992664" w:rsidRPr="00020424">
        <w:rPr>
          <w:rtl/>
        </w:rPr>
        <w:t xml:space="preserve"> و</w:t>
      </w:r>
      <w:r w:rsidR="00F6735E">
        <w:rPr>
          <w:rtl/>
        </w:rPr>
        <w:t>في هامش الطبعة الحجرية عن العل</w:t>
      </w:r>
      <w:r w:rsidR="00F6735E">
        <w:rPr>
          <w:rFonts w:hint="cs"/>
          <w:rtl/>
        </w:rPr>
        <w:t>ّ</w:t>
      </w:r>
      <w:r w:rsidR="00F6735E">
        <w:rPr>
          <w:rtl/>
        </w:rPr>
        <w:t>ا</w:t>
      </w:r>
      <w:r w:rsidR="00992664" w:rsidRPr="00020424">
        <w:rPr>
          <w:rtl/>
        </w:rPr>
        <w:t xml:space="preserve">مة المجلسي : « في أكثر النسخ التي وقعت إليّ من </w:t>
      </w:r>
      <w:r w:rsidR="00992664" w:rsidRPr="00DE76B9">
        <w:rPr>
          <w:rStyle w:val="libFootnoteBoldChar"/>
          <w:rtl/>
        </w:rPr>
        <w:t>الكافي</w:t>
      </w:r>
      <w:r w:rsidR="00992664" w:rsidRPr="00020424">
        <w:rPr>
          <w:rtl/>
        </w:rPr>
        <w:t xml:space="preserve"> </w:t>
      </w:r>
      <w:r w:rsidR="00992664" w:rsidRPr="00FD6221">
        <w:rPr>
          <w:rStyle w:val="libFootnoteBoldChar"/>
          <w:rtl/>
        </w:rPr>
        <w:t>والفقيه</w:t>
      </w:r>
      <w:r w:rsidR="00992664" w:rsidRPr="00020424">
        <w:rPr>
          <w:rtl/>
        </w:rPr>
        <w:t xml:space="preserve"> وغيرهما من الا</w:t>
      </w:r>
      <w:r w:rsidR="0030600C">
        <w:rPr>
          <w:rFonts w:hint="cs"/>
          <w:rtl/>
        </w:rPr>
        <w:t>ُ</w:t>
      </w:r>
      <w:r w:rsidR="00992664" w:rsidRPr="00020424">
        <w:rPr>
          <w:rtl/>
        </w:rPr>
        <w:t>صول : الفاريجان</w:t>
      </w:r>
      <w:r w:rsidR="00992664">
        <w:rPr>
          <w:rtl/>
        </w:rPr>
        <w:t xml:space="preserve"> </w:t>
      </w:r>
      <w:r w:rsidR="009B673F">
        <w:rPr>
          <w:rtl/>
        </w:rPr>
        <w:t>-</w:t>
      </w:r>
      <w:r w:rsidR="00992664">
        <w:rPr>
          <w:rtl/>
        </w:rPr>
        <w:t xml:space="preserve"> </w:t>
      </w:r>
      <w:r w:rsidR="00992664" w:rsidRPr="00020424">
        <w:rPr>
          <w:rtl/>
        </w:rPr>
        <w:t>بالفاء قبل الألف والمثنّاة من تحت بعد الراء المهملة وقبل الجيم والنون أخيراً بعد الألف</w:t>
      </w:r>
      <w:r w:rsidR="00992664">
        <w:rPr>
          <w:rtl/>
        </w:rPr>
        <w:t xml:space="preserve"> </w:t>
      </w:r>
      <w:r w:rsidR="009B673F">
        <w:rPr>
          <w:rtl/>
        </w:rPr>
        <w:t>-</w:t>
      </w:r>
      <w:r w:rsidR="00992664">
        <w:rPr>
          <w:rtl/>
        </w:rPr>
        <w:t xml:space="preserve"> </w:t>
      </w:r>
      <w:r w:rsidR="00992664" w:rsidRPr="00020424">
        <w:rPr>
          <w:rtl/>
        </w:rPr>
        <w:t xml:space="preserve">وهو الحصاد الذي يحصد بالفرجون كبرذون ، وهو المحشّة بكسر الميم وإهمال الحاء وإعجام الشين المشدّدة ، وهي آلة من حديد مستعملة في الحصاد ، وفي نسخة عندي مصحّحة معوّل عليها بخطّ شيخنا الشهيد السعيد رضيّ الدين عليّ المرندي </w:t>
      </w:r>
      <w:r w:rsidR="00D64ADA" w:rsidRPr="00D64ADA">
        <w:rPr>
          <w:rStyle w:val="libFootnoteAlaemChar"/>
          <w:rtl/>
        </w:rPr>
        <w:t>رحمه‌الله</w:t>
      </w:r>
      <w:r w:rsidR="00992664" w:rsidRPr="00020424">
        <w:rPr>
          <w:rtl/>
        </w:rPr>
        <w:t xml:space="preserve"> : الناريجان ، بالنون مكان الفاء ، وهو أيضاً بمعنى الحصاد ، والأصل : النورج ، أي الآلة التي تداس بها الأكداس من حديد أو خشب ، فالألف بعد النون منقلبة عن الواو ، والياء بعد الراء زائدة ، وكذلك الألف والنون بعد الجيم. ومن المصحّفين في عصرنا من صحّف النون الأخيرة بالراء وزعم أنّ الفاريجار معرّب كارى‌گر ، ولم يعلم أنّ التعريب موقوف على السماع ، ولم يذكر أحد من علماء العربيّة : الفاريجار. المجلسي على </w:t>
      </w:r>
      <w:r w:rsidR="00992664" w:rsidRPr="0012008A">
        <w:rPr>
          <w:rStyle w:val="libFootnoteBoldChar"/>
          <w:rtl/>
        </w:rPr>
        <w:t>الفقيه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أجره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30600C">
        <w:rPr>
          <w:rtl/>
        </w:rPr>
        <w:t>الوافي والوسائل والفقيه</w:t>
      </w:r>
      <w:r w:rsidR="00992664" w:rsidRPr="00020424">
        <w:rPr>
          <w:rtl/>
        </w:rPr>
        <w:t xml:space="preserve"> والعلل : « وذلك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وكذلك العبد » بدل « ذلك ليلة العيد</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جعلت فداك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ى ، بث ، بخ ، بر ، بف ، جن » </w:t>
      </w:r>
      <w:r w:rsidR="00992664" w:rsidRPr="00515444">
        <w:rPr>
          <w:rStyle w:val="libFootnoteBoldChar"/>
          <w:rtl/>
        </w:rPr>
        <w:t>والتهذيب</w:t>
      </w:r>
      <w:r w:rsidR="00992664" w:rsidRPr="00020424">
        <w:rPr>
          <w:rtl/>
        </w:rPr>
        <w:t xml:space="preserve"> : « فإذا</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فاغتسل وإذا</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من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ركعات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30600C" w:rsidTr="0030600C">
        <w:tc>
          <w:tcPr>
            <w:tcW w:w="4006" w:type="dxa"/>
          </w:tcPr>
          <w:p w:rsidR="0030600C" w:rsidRDefault="0030600C" w:rsidP="00992664">
            <w:pPr>
              <w:pStyle w:val="libFootnote0"/>
              <w:rPr>
                <w:rtl/>
              </w:rPr>
            </w:pPr>
            <w:r>
              <w:rPr>
                <w:rtl/>
              </w:rPr>
              <w:t xml:space="preserve">(11). </w:t>
            </w:r>
            <w:r w:rsidRPr="00020424">
              <w:rPr>
                <w:rtl/>
              </w:rPr>
              <w:t xml:space="preserve">في « بس » </w:t>
            </w:r>
            <w:r w:rsidRPr="00515444">
              <w:rPr>
                <w:rStyle w:val="libFootnoteBoldChar"/>
                <w:rtl/>
              </w:rPr>
              <w:t>والتهذيب</w:t>
            </w:r>
            <w:r w:rsidRPr="00020424">
              <w:rPr>
                <w:rtl/>
              </w:rPr>
              <w:t xml:space="preserve"> : « يدك</w:t>
            </w:r>
            <w:r>
              <w:rPr>
                <w:rtl/>
              </w:rPr>
              <w:t xml:space="preserve"> ».</w:t>
            </w:r>
          </w:p>
        </w:tc>
        <w:tc>
          <w:tcPr>
            <w:tcW w:w="4006" w:type="dxa"/>
          </w:tcPr>
          <w:p w:rsidR="0030600C" w:rsidRDefault="0030600C" w:rsidP="00992664">
            <w:pPr>
              <w:pStyle w:val="libFootnote0"/>
              <w:rPr>
                <w:rtl/>
              </w:rPr>
            </w:pPr>
            <w:r>
              <w:rPr>
                <w:rtl/>
              </w:rPr>
              <w:t xml:space="preserve">(12). </w:t>
            </w:r>
            <w:r w:rsidRPr="00020424">
              <w:rPr>
                <w:rtl/>
              </w:rPr>
              <w:t xml:space="preserve">في </w:t>
            </w:r>
            <w:r w:rsidRPr="0012008A">
              <w:rPr>
                <w:rStyle w:val="libFootnoteBoldChar"/>
                <w:rtl/>
              </w:rPr>
              <w:t>الفقيه</w:t>
            </w:r>
            <w:r w:rsidRPr="00020424">
              <w:rPr>
                <w:rtl/>
              </w:rPr>
              <w:t xml:space="preserve"> والعلل :</w:t>
            </w:r>
            <w:r>
              <w:rPr>
                <w:rtl/>
              </w:rPr>
              <w:t xml:space="preserve"> - </w:t>
            </w:r>
            <w:r w:rsidRPr="00020424">
              <w:rPr>
                <w:rtl/>
              </w:rPr>
              <w:t>« يا ذا المنّ</w:t>
            </w:r>
            <w:r>
              <w:rPr>
                <w:rtl/>
              </w:rPr>
              <w:t xml:space="preserve"> ».</w:t>
            </w:r>
          </w:p>
        </w:tc>
      </w:tr>
      <w:tr w:rsidR="0030600C" w:rsidTr="0030600C">
        <w:tc>
          <w:tcPr>
            <w:tcW w:w="4006" w:type="dxa"/>
          </w:tcPr>
          <w:p w:rsidR="0030600C" w:rsidRDefault="004B5573" w:rsidP="00992664">
            <w:pPr>
              <w:pStyle w:val="libFootnote0"/>
              <w:rPr>
                <w:rtl/>
              </w:rPr>
            </w:pPr>
            <w:r>
              <w:rPr>
                <w:rtl/>
              </w:rPr>
              <w:t xml:space="preserve">(13). </w:t>
            </w:r>
            <w:r w:rsidRPr="00020424">
              <w:rPr>
                <w:rtl/>
              </w:rPr>
              <w:t>في العلل : + « يا ذا الحول</w:t>
            </w:r>
            <w:r>
              <w:rPr>
                <w:rtl/>
              </w:rPr>
              <w:t xml:space="preserve"> ».</w:t>
            </w:r>
          </w:p>
        </w:tc>
        <w:tc>
          <w:tcPr>
            <w:tcW w:w="4006" w:type="dxa"/>
          </w:tcPr>
          <w:p w:rsidR="0030600C" w:rsidRDefault="004B5573" w:rsidP="00992664">
            <w:pPr>
              <w:pStyle w:val="libFootnote0"/>
              <w:rPr>
                <w:rtl/>
              </w:rPr>
            </w:pPr>
            <w:r>
              <w:rPr>
                <w:rtl/>
              </w:rPr>
              <w:t xml:space="preserve">(14). </w:t>
            </w:r>
            <w:r w:rsidRPr="00020424">
              <w:rPr>
                <w:rtl/>
              </w:rPr>
              <w:t xml:space="preserve">في </w:t>
            </w:r>
            <w:r w:rsidRPr="0012008A">
              <w:rPr>
                <w:rStyle w:val="libFootnoteBoldChar"/>
                <w:rtl/>
              </w:rPr>
              <w:t>الفقيه</w:t>
            </w:r>
            <w:r w:rsidRPr="00020424">
              <w:rPr>
                <w:rtl/>
              </w:rPr>
              <w:t xml:space="preserve"> : « الحول</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وَنَاصِرَهُ ، صَلِّ عَلى مُحَمَّدٍ وَآلِهِ </w:t>
      </w:r>
      <w:r w:rsidRPr="00A91B96">
        <w:rPr>
          <w:rStyle w:val="libFootnotenumChar"/>
          <w:rtl/>
        </w:rPr>
        <w:t>(1)</w:t>
      </w:r>
      <w:r w:rsidRPr="00020424">
        <w:rPr>
          <w:rtl/>
          <w:lang w:bidi="fa-IR"/>
        </w:rPr>
        <w:t xml:space="preserve"> ، وَاغْفِرْ لِي كُلَّ ذَنْبٍ أَذْنَبْتُهُ </w:t>
      </w:r>
      <w:r w:rsidRPr="00A91B96">
        <w:rPr>
          <w:rStyle w:val="libFootnotenumChar"/>
          <w:rtl/>
        </w:rPr>
        <w:t>(2)</w:t>
      </w:r>
      <w:r w:rsidRPr="00020424">
        <w:rPr>
          <w:rtl/>
          <w:lang w:bidi="fa-IR"/>
        </w:rPr>
        <w:t xml:space="preserve"> ، أَحْصَيْتَهُ عَلَيَّ وَنَسِيتُهُ ، وَهُوَ عِنْدَكَ فِي كِتَابِكَ" وَتَخِرُّ </w:t>
      </w:r>
      <w:r w:rsidRPr="00A91B96">
        <w:rPr>
          <w:rStyle w:val="libFootnotenumChar"/>
          <w:rtl/>
        </w:rPr>
        <w:t>(3)</w:t>
      </w:r>
      <w:r w:rsidRPr="00020424">
        <w:rPr>
          <w:rtl/>
          <w:lang w:bidi="fa-IR"/>
        </w:rPr>
        <w:t xml:space="preserve"> سَاجِداً ، وَتَقُولُ </w:t>
      </w:r>
      <w:r w:rsidRPr="00A91B96">
        <w:rPr>
          <w:rStyle w:val="libFootnotenumChar"/>
          <w:rtl/>
        </w:rPr>
        <w:t>(4)</w:t>
      </w:r>
      <w:r w:rsidRPr="00020424">
        <w:rPr>
          <w:rtl/>
          <w:lang w:bidi="fa-IR"/>
        </w:rPr>
        <w:t xml:space="preserve"> مِائَةَ مَرَّةٍ : " أَتُوبُ إِلَى اللهِ" وَأَنْتَ سَاجِدٌ ، وَتَسْأَلُ حَوَائِجَكَ</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654755" w:rsidP="00654755">
      <w:pPr>
        <w:pStyle w:val="libNormal"/>
        <w:rPr>
          <w:rtl/>
          <w:lang w:bidi="fa-IR"/>
        </w:rPr>
      </w:pPr>
      <w:r>
        <w:rPr>
          <w:rFonts w:hint="cs"/>
          <w:rtl/>
          <w:lang w:bidi="fa-IR"/>
        </w:rPr>
        <w:t xml:space="preserve">* </w:t>
      </w:r>
      <w:r w:rsidR="00992664" w:rsidRPr="00020424">
        <w:rPr>
          <w:rtl/>
          <w:lang w:bidi="fa-IR"/>
        </w:rPr>
        <w:t xml:space="preserve">وَرُوِيَ : أَنَّ أَمِيرَ الْمُؤْمِنِينَ </w:t>
      </w:r>
      <w:r w:rsidR="00992664" w:rsidRPr="00005A81">
        <w:rPr>
          <w:rStyle w:val="libAlaemChar"/>
          <w:rtl/>
        </w:rPr>
        <w:t>عليه‌السلام</w:t>
      </w:r>
      <w:r w:rsidR="00992664" w:rsidRPr="00020424">
        <w:rPr>
          <w:rtl/>
          <w:lang w:bidi="fa-IR"/>
        </w:rPr>
        <w:t xml:space="preserve"> كَانَ يُصَلِّي فِيهَا </w:t>
      </w:r>
      <w:r w:rsidR="00992664" w:rsidRPr="00A91B96">
        <w:rPr>
          <w:rStyle w:val="libFootnotenumChar"/>
          <w:rtl/>
        </w:rPr>
        <w:t>(6)</w:t>
      </w:r>
      <w:r w:rsidR="00992664" w:rsidRPr="00020424">
        <w:rPr>
          <w:rtl/>
          <w:lang w:bidi="fa-IR"/>
        </w:rPr>
        <w:t xml:space="preserve"> رَكْعَتَيْنِ يَقْرَأُ فِي الْأُولى الْحَمْدَ </w:t>
      </w:r>
      <w:r w:rsidR="00992664">
        <w:rPr>
          <w:rtl/>
          <w:lang w:bidi="fa-IR"/>
        </w:rPr>
        <w:t xml:space="preserve">و </w:t>
      </w:r>
      <w:r w:rsidRPr="00654755">
        <w:rPr>
          <w:rStyle w:val="libAlaemChar"/>
          <w:rFonts w:hint="cs"/>
          <w:rtl/>
        </w:rPr>
        <w:t>(</w:t>
      </w:r>
      <w:r w:rsidR="00992664" w:rsidRPr="00654755">
        <w:rPr>
          <w:rStyle w:val="libAieChar"/>
          <w:rtl/>
        </w:rPr>
        <w:t xml:space="preserve"> قل هو الله أحد </w:t>
      </w:r>
      <w:r w:rsidRPr="00654755">
        <w:rPr>
          <w:rStyle w:val="libAlaemChar"/>
          <w:rFonts w:hint="cs"/>
          <w:rtl/>
        </w:rPr>
        <w:t>)</w:t>
      </w:r>
      <w:r w:rsidR="00992664" w:rsidRPr="00020424">
        <w:rPr>
          <w:rtl/>
          <w:lang w:bidi="fa-IR"/>
        </w:rPr>
        <w:t xml:space="preserve"> أَلْفَ مَرَّةٍ ، وَفِي </w:t>
      </w:r>
      <w:r w:rsidR="00992664" w:rsidRPr="00A91B96">
        <w:rPr>
          <w:rStyle w:val="libFootnotenumChar"/>
          <w:rtl/>
        </w:rPr>
        <w:t>(7)</w:t>
      </w:r>
      <w:r w:rsidR="00992664" w:rsidRPr="00020424">
        <w:rPr>
          <w:rtl/>
          <w:lang w:bidi="fa-IR"/>
        </w:rPr>
        <w:t xml:space="preserve"> الثَّانِيَةِ الْحَمْدَ </w:t>
      </w:r>
      <w:r w:rsidR="00992664">
        <w:rPr>
          <w:rtl/>
          <w:lang w:bidi="fa-IR"/>
        </w:rPr>
        <w:t xml:space="preserve">و </w:t>
      </w:r>
      <w:r w:rsidRPr="00654755">
        <w:rPr>
          <w:rStyle w:val="libAlaemChar"/>
          <w:rFonts w:hint="cs"/>
          <w:rtl/>
        </w:rPr>
        <w:t>(</w:t>
      </w:r>
      <w:r w:rsidRPr="00654755">
        <w:rPr>
          <w:rStyle w:val="libAieChar"/>
          <w:rtl/>
        </w:rPr>
        <w:t xml:space="preserve"> قل هو الله أحد </w:t>
      </w:r>
      <w:r w:rsidRPr="00654755">
        <w:rPr>
          <w:rStyle w:val="libAlaemChar"/>
          <w:rFonts w:hint="cs"/>
          <w:rtl/>
        </w:rPr>
        <w:t>)</w:t>
      </w:r>
      <w:r w:rsidRPr="00020424">
        <w:rPr>
          <w:rtl/>
          <w:lang w:bidi="fa-IR"/>
        </w:rPr>
        <w:t xml:space="preserve"> </w:t>
      </w:r>
      <w:r w:rsidR="00992664" w:rsidRPr="00020424">
        <w:rPr>
          <w:rtl/>
          <w:lang w:bidi="fa-IR"/>
        </w:rPr>
        <w:t xml:space="preserve">مَرَّةً </w:t>
      </w:r>
      <w:r w:rsidR="00992664" w:rsidRPr="00A91B96">
        <w:rPr>
          <w:rStyle w:val="libFootnotenumChar"/>
          <w:rtl/>
        </w:rPr>
        <w:t>(8)</w:t>
      </w:r>
      <w:r w:rsidR="00992664" w:rsidRPr="00020424">
        <w:rPr>
          <w:rtl/>
          <w:lang w:bidi="fa-IR"/>
        </w:rPr>
        <w:t xml:space="preserve"> وَاحِدَةً. </w:t>
      </w:r>
      <w:r w:rsidR="00992664" w:rsidRPr="00A91B96">
        <w:rPr>
          <w:rStyle w:val="libFootnotenumChar"/>
          <w:rtl/>
        </w:rPr>
        <w:t>(9)</w:t>
      </w:r>
      <w:r w:rsidR="00992664" w:rsidRPr="00020424">
        <w:rPr>
          <w:rtl/>
          <w:lang w:bidi="fa-IR"/>
        </w:rPr>
        <w:t xml:space="preserve"> ‌</w:t>
      </w:r>
    </w:p>
    <w:p w:rsidR="00992664" w:rsidRPr="00020424" w:rsidRDefault="00992664" w:rsidP="00992664">
      <w:pPr>
        <w:pStyle w:val="Heading2Center"/>
        <w:rPr>
          <w:rtl/>
          <w:lang w:bidi="fa-IR"/>
        </w:rPr>
      </w:pPr>
      <w:bookmarkStart w:id="521" w:name="_Toc345172890"/>
      <w:bookmarkStart w:id="522" w:name="_Toc464562705"/>
      <w:bookmarkStart w:id="523" w:name="_Toc44600011"/>
      <w:r w:rsidRPr="00020424">
        <w:rPr>
          <w:rtl/>
          <w:lang w:bidi="fa-IR"/>
        </w:rPr>
        <w:t>72</w:t>
      </w:r>
      <w:r>
        <w:rPr>
          <w:rtl/>
          <w:lang w:bidi="fa-IR"/>
        </w:rPr>
        <w:t xml:space="preserve"> </w:t>
      </w:r>
      <w:r w:rsidR="009B673F">
        <w:rPr>
          <w:rtl/>
          <w:lang w:bidi="fa-IR"/>
        </w:rPr>
        <w:t>-</w:t>
      </w:r>
      <w:r>
        <w:rPr>
          <w:rtl/>
          <w:lang w:bidi="fa-IR"/>
        </w:rPr>
        <w:t xml:space="preserve"> </w:t>
      </w:r>
      <w:r w:rsidRPr="00020424">
        <w:rPr>
          <w:rtl/>
          <w:lang w:bidi="fa-IR"/>
        </w:rPr>
        <w:t>بَابُ يَوْمِ الْفِطْرِ‌</w:t>
      </w:r>
      <w:bookmarkEnd w:id="521"/>
      <w:bookmarkEnd w:id="522"/>
      <w:bookmarkEnd w:id="523"/>
    </w:p>
    <w:p w:rsidR="00992664" w:rsidRPr="00020424" w:rsidRDefault="00992664" w:rsidP="00992664">
      <w:pPr>
        <w:pStyle w:val="libNormal"/>
        <w:rPr>
          <w:rtl/>
          <w:lang w:bidi="fa-IR"/>
        </w:rPr>
      </w:pPr>
      <w:r w:rsidRPr="006C4BC4">
        <w:rPr>
          <w:rtl/>
        </w:rPr>
        <w:t>6640</w:t>
      </w:r>
      <w:r w:rsidRPr="001155DE">
        <w:rPr>
          <w:rStyle w:val="libBold2Char"/>
          <w:rtl/>
        </w:rPr>
        <w:t xml:space="preserve"> / 1.</w:t>
      </w:r>
      <w:r w:rsidRPr="00020424">
        <w:rPr>
          <w:rtl/>
          <w:lang w:bidi="fa-IR"/>
        </w:rPr>
        <w:t xml:space="preserve"> عَلِيُّ بْنُ إِبْرَاهِيمَ ، عَنْ أَبِيهِ ، عَنِ ابْنِ أَبِي عُمَيْرٍ ، عَنْ حَمَّادٍ ، عَنِ الْحَلَبِيِّ :</w:t>
      </w:r>
    </w:p>
    <w:p w:rsidR="0099266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Pr>
          <w:rtl/>
          <w:lang w:bidi="fa-IR"/>
        </w:rPr>
        <w:t xml:space="preserve"> ، قَالَ : «</w:t>
      </w:r>
      <w:r w:rsidRPr="00020424">
        <w:rPr>
          <w:rtl/>
          <w:lang w:bidi="fa-IR"/>
        </w:rPr>
        <w:t>اطْعَمْ يَوْمَ الْفِطْرِ قَبْلَ أَنْ تَخْرُجَ إِلَى الْمُصَلّى</w:t>
      </w:r>
      <w:r>
        <w:rPr>
          <w:rtl/>
          <w:lang w:bidi="fa-IR"/>
        </w:rPr>
        <w:t>».</w:t>
      </w:r>
      <w:r w:rsidRPr="00020424">
        <w:rPr>
          <w:rtl/>
          <w:lang w:bidi="fa-IR"/>
        </w:rPr>
        <w:t xml:space="preserve"> </w:t>
      </w:r>
      <w:r w:rsidRPr="00A91B96">
        <w:rPr>
          <w:rStyle w:val="libFootnotenumChar"/>
          <w:rtl/>
        </w:rPr>
        <w:t>(10)</w:t>
      </w:r>
    </w:p>
    <w:p w:rsidR="00992664" w:rsidRPr="00020424" w:rsidRDefault="00992664" w:rsidP="00992664">
      <w:pPr>
        <w:pStyle w:val="libNormal"/>
        <w:rPr>
          <w:rtl/>
          <w:lang w:bidi="fa-IR"/>
        </w:rPr>
      </w:pPr>
      <w:r w:rsidRPr="00020424">
        <w:rPr>
          <w:rtl/>
          <w:lang w:bidi="fa-IR"/>
        </w:rPr>
        <w:t>‌</w:t>
      </w:r>
      <w:r w:rsidRPr="000B3FF9">
        <w:rPr>
          <w:rtl/>
        </w:rPr>
        <w:t>6641</w:t>
      </w:r>
      <w:r w:rsidRPr="001155DE">
        <w:rPr>
          <w:rStyle w:val="libBold2Char"/>
          <w:rtl/>
        </w:rPr>
        <w:t xml:space="preserve"> / 2.</w:t>
      </w:r>
      <w:r w:rsidRPr="00020424">
        <w:rPr>
          <w:rtl/>
          <w:lang w:bidi="fa-IR"/>
        </w:rPr>
        <w:t xml:space="preserve"> عِدَّةٌ مِنْ أَصْحَابِنَا ، عَنْ أَحْمَدَ بْنِ مُحَمَّدٍ ، عَنِ الْحُسَيْنِ بْنِ سَعِيدٍ ، عَنِ</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B3997" w:rsidTr="001B3997">
        <w:tc>
          <w:tcPr>
            <w:tcW w:w="4006" w:type="dxa"/>
          </w:tcPr>
          <w:p w:rsidR="001B3997" w:rsidRDefault="001B3997"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 « وآل محمّد</w:t>
            </w:r>
            <w:r>
              <w:rPr>
                <w:rtl/>
              </w:rPr>
              <w:t xml:space="preserve"> ».</w:t>
            </w:r>
          </w:p>
        </w:tc>
        <w:tc>
          <w:tcPr>
            <w:tcW w:w="4006" w:type="dxa"/>
          </w:tcPr>
          <w:p w:rsidR="001B3997" w:rsidRDefault="001B3997" w:rsidP="00992664">
            <w:pPr>
              <w:pStyle w:val="libFootnote0"/>
              <w:rPr>
                <w:rtl/>
              </w:rPr>
            </w:pPr>
            <w:r>
              <w:rPr>
                <w:rtl/>
              </w:rPr>
              <w:t xml:space="preserve">(2). </w:t>
            </w:r>
            <w:r w:rsidRPr="00020424">
              <w:rPr>
                <w:rtl/>
              </w:rPr>
              <w:t>في « بر ، بف » :</w:t>
            </w:r>
            <w:r>
              <w:rPr>
                <w:rtl/>
              </w:rPr>
              <w:t xml:space="preserve"> - </w:t>
            </w:r>
            <w:r w:rsidRPr="00020424">
              <w:rPr>
                <w:rtl/>
              </w:rPr>
              <w:t>« أذنبته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Pr>
          <w:rtl/>
        </w:rPr>
        <w:t>«تخرّ</w:t>
      </w:r>
      <w:r w:rsidR="00992664" w:rsidRPr="00020424">
        <w:rPr>
          <w:rtl/>
        </w:rPr>
        <w:t xml:space="preserve">» أي تسقط ؛ يقال : خرّ يخرّ بالضمّ والكسر ، إذا سقط من عِلْوٍ. راجع : </w:t>
      </w:r>
      <w:r w:rsidR="00992664" w:rsidRPr="0012008A">
        <w:rPr>
          <w:rStyle w:val="libFootnoteBoldChar"/>
          <w:rtl/>
        </w:rPr>
        <w:t>النهاية</w:t>
      </w:r>
      <w:r w:rsidR="00992664">
        <w:rPr>
          <w:rtl/>
        </w:rPr>
        <w:t xml:space="preserve"> ، ج 2 ، ص 21 (خرر</w:t>
      </w:r>
      <w:r w:rsidR="00992664" w:rsidRPr="00020424">
        <w:rPr>
          <w:rtl/>
        </w:rPr>
        <w:t>)</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بح ، بر ، بس ، بف ، جن » : « فتقول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1 ، ص 115 ، ح 302 ، بسنده عن الكليني. </w:t>
      </w:r>
      <w:r w:rsidR="00992664" w:rsidRPr="00DE76B9">
        <w:rPr>
          <w:rStyle w:val="libFootnoteBoldChar"/>
          <w:rtl/>
        </w:rPr>
        <w:t>علل الشرائع</w:t>
      </w:r>
      <w:r w:rsidR="00992664" w:rsidRPr="00020424">
        <w:rPr>
          <w:rtl/>
        </w:rPr>
        <w:t xml:space="preserve"> ، ص 388 ، ح 1 ، عن أبيه ، عن محمّد بن يحيى العطّار ، عن محمّد بن أحمد ، عن أحمد بن محمّد السيّاري ، عن القاسم بن يحيى. </w:t>
      </w:r>
      <w:r w:rsidR="00992664" w:rsidRPr="0012008A">
        <w:rPr>
          <w:rStyle w:val="libFootnoteBoldChar"/>
          <w:rtl/>
        </w:rPr>
        <w:t>الفقيه</w:t>
      </w:r>
      <w:r w:rsidR="00992664" w:rsidRPr="00020424">
        <w:rPr>
          <w:rtl/>
        </w:rPr>
        <w:t xml:space="preserve"> ، ج 2 ، ص 167 ، ح 2036 ، معلّقاً عن القاسم بن يحيى.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208 ، من قوله : « وإذا صلّيت الثلاث » إلى قوله : « وتقول مائة مرّة : أتوب إلى الله » وفي كلّ المصادر</w:t>
      </w:r>
      <w:r w:rsidR="00992664">
        <w:rPr>
          <w:rtl/>
        </w:rPr>
        <w:t xml:space="preserve"> </w:t>
      </w:r>
      <w:r w:rsidR="009B673F">
        <w:rPr>
          <w:rtl/>
        </w:rPr>
        <w:t>-</w:t>
      </w:r>
      <w:r w:rsidR="00992664">
        <w:rPr>
          <w:rtl/>
        </w:rPr>
        <w:t xml:space="preserve"> </w:t>
      </w:r>
      <w:r w:rsidR="00536A15">
        <w:rPr>
          <w:rtl/>
        </w:rPr>
        <w:t>إل</w:t>
      </w:r>
      <w:r w:rsidR="00536A15">
        <w:rPr>
          <w:rFonts w:hint="cs"/>
          <w:rtl/>
        </w:rPr>
        <w:t>ّ</w:t>
      </w:r>
      <w:r w:rsidR="00536A15">
        <w:rPr>
          <w:rtl/>
        </w:rPr>
        <w:t>ا</w:t>
      </w:r>
      <w:r w:rsidR="00992664">
        <w:rPr>
          <w:rFonts w:hint="cs"/>
          <w:rtl/>
        </w:rPr>
        <w:t xml:space="preserve"> </w:t>
      </w:r>
      <w:r w:rsidR="00992664" w:rsidRPr="0012008A">
        <w:rPr>
          <w:rStyle w:val="libFootnoteBoldChar"/>
          <w:rtl/>
        </w:rPr>
        <w:t>التهذيب</w:t>
      </w:r>
      <w:r w:rsidR="00992664">
        <w:rPr>
          <w:rtl/>
        </w:rPr>
        <w:t xml:space="preserve"> </w:t>
      </w:r>
      <w:r w:rsidR="009B673F">
        <w:rPr>
          <w:rtl/>
        </w:rPr>
        <w:t>-</w:t>
      </w:r>
      <w:r w:rsidR="00992664">
        <w:rPr>
          <w:rtl/>
        </w:rPr>
        <w:t xml:space="preserve"> </w:t>
      </w:r>
      <w:r w:rsidR="00992664" w:rsidRPr="00020424">
        <w:rPr>
          <w:rtl/>
        </w:rPr>
        <w:t xml:space="preserve">مع اختلاف يسير </w:t>
      </w:r>
      <w:r w:rsidR="00536A15">
        <w:rPr>
          <w:rFonts w:hint="cs"/>
          <w:rtl/>
        </w:rPr>
        <w:t>.</w:t>
      </w:r>
      <w:r w:rsidR="00992664" w:rsidRPr="0012008A">
        <w:rPr>
          <w:rStyle w:val="libFootnoteBoldChar"/>
          <w:rtl/>
        </w:rPr>
        <w:t>الوافي</w:t>
      </w:r>
      <w:r w:rsidR="00BF1B3B">
        <w:rPr>
          <w:rtl/>
        </w:rPr>
        <w:t xml:space="preserve"> ، ج 9</w:t>
      </w:r>
      <w:r w:rsidR="00992664" w:rsidRPr="00020424">
        <w:rPr>
          <w:rtl/>
        </w:rPr>
        <w:t xml:space="preserve">، ص 1309 ، ح 8303 ؛ </w:t>
      </w:r>
      <w:r w:rsidR="00992664" w:rsidRPr="00DE76B9">
        <w:rPr>
          <w:rStyle w:val="libFootnoteBoldChar"/>
          <w:rtl/>
        </w:rPr>
        <w:t>وفيه</w:t>
      </w:r>
      <w:r w:rsidR="00992664" w:rsidRPr="00020424">
        <w:rPr>
          <w:rtl/>
        </w:rPr>
        <w:t xml:space="preserve"> ، ج 11 ، ص 372 ، ح 11038 ، إلى قوله : « ليلة العيد » ؛ </w:t>
      </w:r>
      <w:r w:rsidR="00992664" w:rsidRPr="0012008A">
        <w:rPr>
          <w:rStyle w:val="libFootnoteBoldChar"/>
          <w:rtl/>
        </w:rPr>
        <w:t>الوسائل</w:t>
      </w:r>
      <w:r w:rsidR="00992664" w:rsidRPr="00020424">
        <w:rPr>
          <w:rtl/>
        </w:rPr>
        <w:t xml:space="preserve"> ، ج 3 ، ص 328 ، ح 3785 ، إلى قوله : « إذا غربت الشمس فاغتسل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9C76B0" w:rsidTr="009C76B0">
        <w:tc>
          <w:tcPr>
            <w:tcW w:w="4006" w:type="dxa"/>
          </w:tcPr>
          <w:p w:rsidR="009C76B0" w:rsidRDefault="009C76B0" w:rsidP="00992664">
            <w:pPr>
              <w:pStyle w:val="libFootnote0"/>
              <w:rPr>
                <w:rtl/>
              </w:rPr>
            </w:pPr>
            <w:r>
              <w:rPr>
                <w:rtl/>
              </w:rPr>
              <w:t xml:space="preserve">(6). </w:t>
            </w:r>
            <w:r w:rsidRPr="00020424">
              <w:rPr>
                <w:rtl/>
              </w:rPr>
              <w:t xml:space="preserve">في </w:t>
            </w:r>
            <w:r w:rsidRPr="0012008A">
              <w:rPr>
                <w:rStyle w:val="libFootnoteBoldChar"/>
                <w:rtl/>
              </w:rPr>
              <w:t>الوسائل</w:t>
            </w:r>
            <w:r w:rsidRPr="00020424">
              <w:rPr>
                <w:rtl/>
              </w:rPr>
              <w:t xml:space="preserve"> : « ليلة الفطر » بدل « فيها</w:t>
            </w:r>
            <w:r>
              <w:rPr>
                <w:rtl/>
              </w:rPr>
              <w:t xml:space="preserve"> ».</w:t>
            </w:r>
          </w:p>
        </w:tc>
        <w:tc>
          <w:tcPr>
            <w:tcW w:w="4006" w:type="dxa"/>
          </w:tcPr>
          <w:p w:rsidR="009C76B0" w:rsidRDefault="009C76B0" w:rsidP="00992664">
            <w:pPr>
              <w:pStyle w:val="libFootnote0"/>
              <w:rPr>
                <w:rtl/>
              </w:rPr>
            </w:pPr>
            <w:r>
              <w:rPr>
                <w:rtl/>
              </w:rPr>
              <w:t>(7). في «بث، بخ ، بر ،بف</w:t>
            </w:r>
            <w:r w:rsidRPr="00020424">
              <w:rPr>
                <w:rtl/>
              </w:rPr>
              <w:t xml:space="preserve">» </w:t>
            </w:r>
            <w:r w:rsidRPr="00515444">
              <w:rPr>
                <w:rStyle w:val="libFootnoteBoldChar"/>
                <w:rtl/>
              </w:rPr>
              <w:t>والوافي</w:t>
            </w:r>
            <w:r w:rsidRPr="00020424">
              <w:rPr>
                <w:rtl/>
              </w:rPr>
              <w:t xml:space="preserve"> : + « الركعة</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مرّة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3 ، ص 71 ، ح 228 ، بسند آخر عن أميرالمؤمنين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مع اختلاف يسير وزيادة في آخره </w:t>
      </w:r>
      <w:r w:rsidR="009C76B0">
        <w:rPr>
          <w:rFonts w:hint="cs"/>
          <w:rtl/>
        </w:rPr>
        <w:t>.</w:t>
      </w:r>
      <w:r w:rsidR="00992664" w:rsidRPr="0012008A">
        <w:rPr>
          <w:rStyle w:val="libFootnoteBoldChar"/>
          <w:rtl/>
        </w:rPr>
        <w:t>الوافي</w:t>
      </w:r>
      <w:r w:rsidR="00992664" w:rsidRPr="00020424">
        <w:rPr>
          <w:rtl/>
        </w:rPr>
        <w:t xml:space="preserve"> ، ج 9 ، ص 1310 ، ح 8305 ؛ </w:t>
      </w:r>
      <w:r w:rsidR="00992664" w:rsidRPr="0012008A">
        <w:rPr>
          <w:rStyle w:val="libFootnoteBoldChar"/>
          <w:rtl/>
        </w:rPr>
        <w:t>الوسائل</w:t>
      </w:r>
      <w:r w:rsidR="00992664" w:rsidRPr="00020424">
        <w:rPr>
          <w:rtl/>
        </w:rPr>
        <w:t xml:space="preserve"> ، ج 8 ، ص 85 ، ح 10146.</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3 ، ص 138 ، ح 309 ، معلّقاً عن الكليني </w:t>
      </w:r>
      <w:r w:rsidR="009C76B0">
        <w:rPr>
          <w:rFonts w:hint="cs"/>
          <w:rtl/>
        </w:rPr>
        <w:t>.</w:t>
      </w:r>
      <w:r w:rsidR="00992664" w:rsidRPr="0012008A">
        <w:rPr>
          <w:rStyle w:val="libFootnoteBoldChar"/>
          <w:rtl/>
        </w:rPr>
        <w:t>الوافي</w:t>
      </w:r>
      <w:r w:rsidR="00992664" w:rsidRPr="00020424">
        <w:rPr>
          <w:rtl/>
        </w:rPr>
        <w:t xml:space="preserve"> ، ج 9 ، ص 1301 ، ح 8287 ؛ </w:t>
      </w:r>
      <w:r w:rsidR="00992664" w:rsidRPr="0012008A">
        <w:rPr>
          <w:rStyle w:val="libFootnoteBoldChar"/>
          <w:rtl/>
        </w:rPr>
        <w:t>الوسائل</w:t>
      </w:r>
      <w:r w:rsidR="00992664" w:rsidRPr="00020424">
        <w:rPr>
          <w:rtl/>
        </w:rPr>
        <w:t xml:space="preserve"> ، ج 7 ، ص 444 ، ح 9817.</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النَّضْرِ بْنِ سُوَيْدٍ ، عَنْ جَرَّاحٍ الْمَدَائِنِيِّ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لِيَطْعَمْ </w:t>
      </w:r>
      <w:r w:rsidRPr="00A91B96">
        <w:rPr>
          <w:rStyle w:val="libFootnotenumChar"/>
          <w:rtl/>
        </w:rPr>
        <w:t>(2)</w:t>
      </w:r>
      <w:r w:rsidRPr="00020424">
        <w:rPr>
          <w:rtl/>
          <w:lang w:bidi="fa-IR"/>
        </w:rPr>
        <w:t xml:space="preserve"> يَوْمَ الْفِطْرِ قَبْلَ أَنْ يُصَلِّيَ </w:t>
      </w:r>
      <w:r w:rsidRPr="00A91B96">
        <w:rPr>
          <w:rStyle w:val="libFootnotenumChar"/>
          <w:rtl/>
        </w:rPr>
        <w:t>(3)</w:t>
      </w:r>
      <w:r w:rsidRPr="00020424">
        <w:rPr>
          <w:rtl/>
          <w:lang w:bidi="fa-IR"/>
        </w:rPr>
        <w:t xml:space="preserve"> ، وَلَايَطْعَمْ </w:t>
      </w:r>
      <w:r w:rsidRPr="00A91B96">
        <w:rPr>
          <w:rStyle w:val="libFootnotenumChar"/>
          <w:rtl/>
        </w:rPr>
        <w:t>(4)</w:t>
      </w:r>
      <w:r w:rsidRPr="00020424">
        <w:rPr>
          <w:rtl/>
          <w:lang w:bidi="fa-IR"/>
        </w:rPr>
        <w:t xml:space="preserve"> يَوْمَ الْأَضْحَى </w:t>
      </w:r>
      <w:r w:rsidRPr="00A91B96">
        <w:rPr>
          <w:rStyle w:val="libFootnotenumChar"/>
          <w:rtl/>
        </w:rPr>
        <w:t>(5)</w:t>
      </w:r>
      <w:r w:rsidRPr="00020424">
        <w:rPr>
          <w:rtl/>
          <w:lang w:bidi="fa-IR"/>
        </w:rPr>
        <w:t xml:space="preserve"> حَتّى يَنْصَرِفَ الْإِمَامُ</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0B3FF9">
        <w:rPr>
          <w:rtl/>
        </w:rPr>
        <w:t>6642</w:t>
      </w:r>
      <w:r w:rsidRPr="001155DE">
        <w:rPr>
          <w:rStyle w:val="libBold2Char"/>
          <w:rtl/>
        </w:rPr>
        <w:t xml:space="preserve"> / 3.</w:t>
      </w:r>
      <w:r w:rsidRPr="00020424">
        <w:rPr>
          <w:rtl/>
          <w:lang w:bidi="fa-IR"/>
        </w:rPr>
        <w:t xml:space="preserve"> مُحَمَّدُ بْنُ إِسْمَاعِيلَ ، عَنِ الْفَضْلِ بْنِ شَاذَانَ ، عَنِ ابْنِ أَبِي عُمَيْرٍ ، عَنْ إِبْرَاهِيمَ بْنِ عُمَرَ ، عَنْ عَمْرِو بْنِ شِمْرٍ ، عَنْ جَابِرٍ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قَالَ النَّبِيُّ </w:t>
      </w:r>
      <w:r w:rsidR="00B42914" w:rsidRPr="00B42914">
        <w:rPr>
          <w:rStyle w:val="libAlaemChar"/>
          <w:rtl/>
        </w:rPr>
        <w:t>صلى‌الله‌عليه‌وآله‌</w:t>
      </w:r>
      <w:r w:rsidRPr="00020424">
        <w:rPr>
          <w:rtl/>
          <w:lang w:bidi="fa-IR"/>
        </w:rPr>
        <w:t xml:space="preserve"> : إِذَا كَانَ أَوَّلُ يَوْمٍ مِنْ شَوَّالٍ نَادى مُنَادٍ :</w:t>
      </w:r>
      <w:r>
        <w:rPr>
          <w:rFonts w:hint="cs"/>
          <w:rtl/>
          <w:lang w:bidi="fa-IR"/>
        </w:rPr>
        <w:t xml:space="preserve"> </w:t>
      </w:r>
      <w:r w:rsidRPr="00020424">
        <w:rPr>
          <w:rtl/>
          <w:lang w:bidi="fa-IR"/>
        </w:rPr>
        <w:t xml:space="preserve">أَيُّهَا </w:t>
      </w:r>
      <w:r w:rsidRPr="00A91B96">
        <w:rPr>
          <w:rStyle w:val="libFootnotenumChar"/>
          <w:rtl/>
        </w:rPr>
        <w:t>(7)</w:t>
      </w:r>
      <w:r w:rsidRPr="00020424">
        <w:rPr>
          <w:rtl/>
          <w:lang w:bidi="fa-IR"/>
        </w:rPr>
        <w:t xml:space="preserve"> الْمُؤْمِنُونَ </w:t>
      </w:r>
      <w:r w:rsidRPr="00A91B96">
        <w:rPr>
          <w:rStyle w:val="libFootnotenumChar"/>
          <w:rtl/>
        </w:rPr>
        <w:t>(8)</w:t>
      </w:r>
      <w:r w:rsidRPr="00020424">
        <w:rPr>
          <w:rtl/>
          <w:lang w:bidi="fa-IR"/>
        </w:rPr>
        <w:t xml:space="preserve"> ، اغْدُوا إِلى جَوَائِزِكُمْ </w:t>
      </w:r>
      <w:r w:rsidRPr="00A91B96">
        <w:rPr>
          <w:rStyle w:val="libFootnotenumChar"/>
          <w:rtl/>
        </w:rPr>
        <w:t>(9)</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ترجم النجاشي لِجرّاح المدائني في رجاله ، ص 130 ، الرقم 335 ، وقال : « له كتاب يرويه عنه جماعة منهم النضر بن سويد</w:t>
      </w:r>
      <w:r w:rsidR="00992664">
        <w:rPr>
          <w:rtl/>
        </w:rPr>
        <w:t xml:space="preserve"> ».</w:t>
      </w:r>
      <w:r w:rsidR="00992664" w:rsidRPr="00020424">
        <w:rPr>
          <w:rtl/>
        </w:rPr>
        <w:t xml:space="preserve"> لكن تكرّرت رواية النضر بن سويد عن القاسم بن سليمان عن جرّاح المدائني في الأسناد. والخبر أورده الصدوق في </w:t>
      </w:r>
      <w:r w:rsidR="00992664" w:rsidRPr="0012008A">
        <w:rPr>
          <w:rStyle w:val="libFootnoteBoldChar"/>
          <w:rtl/>
        </w:rPr>
        <w:t>الفقيه</w:t>
      </w:r>
      <w:r w:rsidR="00992664" w:rsidRPr="00020424">
        <w:rPr>
          <w:rtl/>
        </w:rPr>
        <w:t xml:space="preserve"> ، ج 2 ، ص 173 ، ح 2054 ، قال : « وروى جرّاح المدائني عن أبي عبد الله </w:t>
      </w:r>
      <w:r w:rsidR="00992664" w:rsidRPr="00D64ADA">
        <w:rPr>
          <w:rStyle w:val="libFootnoteAlaemChar"/>
          <w:rtl/>
        </w:rPr>
        <w:t>عليه‌السلام</w:t>
      </w:r>
      <w:r w:rsidR="00992664" w:rsidRPr="00020424">
        <w:rPr>
          <w:rtl/>
        </w:rPr>
        <w:t xml:space="preserve"> » ، وطريقه إلى جرّاح المدائني ينتهي إلى الحسين بن سعيد عن النضر بن سويد عن القاسم بن سليمان. راجع : </w:t>
      </w:r>
      <w:r w:rsidR="00992664" w:rsidRPr="0012008A">
        <w:rPr>
          <w:rStyle w:val="libFootnoteBoldChar"/>
          <w:rtl/>
        </w:rPr>
        <w:t>الفقيه</w:t>
      </w:r>
      <w:r w:rsidR="00992664" w:rsidRPr="00020424">
        <w:rPr>
          <w:rtl/>
        </w:rPr>
        <w:t xml:space="preserve"> ، ج 4 ، ص 437 ؛ </w:t>
      </w:r>
      <w:r w:rsidR="00992664" w:rsidRPr="00DE76B9">
        <w:rPr>
          <w:rStyle w:val="libFootnoteBoldChar"/>
          <w:rtl/>
        </w:rPr>
        <w:t>معجم رجال الحديث</w:t>
      </w:r>
      <w:r w:rsidR="00992664" w:rsidRPr="00020424">
        <w:rPr>
          <w:rtl/>
        </w:rPr>
        <w:t xml:space="preserve"> ، ج 14 ، ص 349</w:t>
      </w:r>
      <w:r w:rsidR="00992664">
        <w:rPr>
          <w:rtl/>
        </w:rPr>
        <w:t xml:space="preserve"> </w:t>
      </w:r>
      <w:r w:rsidR="009B673F">
        <w:rPr>
          <w:rtl/>
        </w:rPr>
        <w:t>-</w:t>
      </w:r>
      <w:r w:rsidR="00992664">
        <w:rPr>
          <w:rtl/>
        </w:rPr>
        <w:t xml:space="preserve"> </w:t>
      </w:r>
      <w:r w:rsidR="00992664" w:rsidRPr="00020424">
        <w:rPr>
          <w:rtl/>
        </w:rPr>
        <w:t>350.</w:t>
      </w:r>
    </w:p>
    <w:p w:rsidR="00992664" w:rsidRPr="00020424" w:rsidRDefault="00992664" w:rsidP="002F4FC0">
      <w:pPr>
        <w:pStyle w:val="libFootnote0"/>
        <w:rPr>
          <w:rtl/>
          <w:lang w:bidi="fa-IR"/>
        </w:rPr>
      </w:pPr>
      <w:r w:rsidRPr="00D82B22">
        <w:rPr>
          <w:rtl/>
        </w:rPr>
        <w:t>فعليه الظاهر سقوط الواسطة بين النضر وبين جرّاح في ما نحن فيه.</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بر ، بف » : « لتطعم</w:t>
      </w:r>
      <w:r w:rsidR="00992664">
        <w:rPr>
          <w:rtl/>
        </w:rPr>
        <w:t xml:space="preserve"> ».</w:t>
      </w:r>
      <w:r w:rsidR="00992664" w:rsidRPr="00020424">
        <w:rPr>
          <w:rtl/>
        </w:rPr>
        <w:t xml:space="preserve"> وفي « بخ </w:t>
      </w:r>
      <w:r w:rsidR="00992664" w:rsidRPr="002F4FC0">
        <w:rPr>
          <w:rtl/>
        </w:rPr>
        <w:t xml:space="preserve">» والوافي والفقيه والتهذيب : </w:t>
      </w:r>
      <w:r w:rsidR="00992664" w:rsidRPr="00020424">
        <w:rPr>
          <w:rtl/>
        </w:rPr>
        <w:t>« اطعم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بح ، بر ، بف » </w:t>
      </w:r>
      <w:r w:rsidR="00992664" w:rsidRPr="002F4FC0">
        <w:rPr>
          <w:rtl/>
        </w:rPr>
        <w:t xml:space="preserve">والوافي والفقيه والتهذيب </w:t>
      </w:r>
      <w:r w:rsidR="00992664" w:rsidRPr="00020424">
        <w:rPr>
          <w:rtl/>
        </w:rPr>
        <w:t>: « أن تصلّي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بر ، بس ، بف » </w:t>
      </w:r>
      <w:r w:rsidR="00992664" w:rsidRPr="002F4FC0">
        <w:rPr>
          <w:rtl/>
        </w:rPr>
        <w:t>والوافي والفقيه والتهذيب</w:t>
      </w:r>
      <w:r w:rsidR="00992664" w:rsidRPr="00020424">
        <w:rPr>
          <w:rtl/>
        </w:rPr>
        <w:t xml:space="preserve"> : « ولا تطعم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جميع النسخ التي قوبلت </w:t>
      </w:r>
      <w:r w:rsidR="00992664" w:rsidRPr="00BF1B3B">
        <w:rPr>
          <w:rtl/>
        </w:rPr>
        <w:t>والوافي والوسائل والتهذيب</w:t>
      </w:r>
      <w:r w:rsidR="00992664" w:rsidRPr="00020424">
        <w:rPr>
          <w:rtl/>
        </w:rPr>
        <w:t>. وفي المطبوع : « أضحى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3 ، ص 138 ، ح 310 ، معلّقاً عن الكليني. </w:t>
      </w:r>
      <w:r w:rsidR="00992664" w:rsidRPr="0012008A">
        <w:rPr>
          <w:rStyle w:val="libFootnoteBoldChar"/>
          <w:rtl/>
        </w:rPr>
        <w:t>الفقيه</w:t>
      </w:r>
      <w:r w:rsidR="00992664" w:rsidRPr="00020424">
        <w:rPr>
          <w:rtl/>
        </w:rPr>
        <w:t xml:space="preserve"> ، ج 2 ، ص 173 ، ح 2054 ، معلّقاً عن جرّاح المدائني </w:t>
      </w:r>
      <w:r w:rsidR="002F4FC0">
        <w:rPr>
          <w:rFonts w:hint="cs"/>
          <w:rtl/>
        </w:rPr>
        <w:t>.</w:t>
      </w:r>
      <w:r w:rsidR="00992664" w:rsidRPr="0012008A">
        <w:rPr>
          <w:rStyle w:val="libFootnoteBoldChar"/>
          <w:rtl/>
        </w:rPr>
        <w:t>الوافي</w:t>
      </w:r>
      <w:r w:rsidR="00992664" w:rsidRPr="00020424">
        <w:rPr>
          <w:rtl/>
        </w:rPr>
        <w:t xml:space="preserve"> ، ج 9 ، ص 1301 ، ح 8288 ؛ </w:t>
      </w:r>
      <w:r w:rsidR="00992664" w:rsidRPr="0012008A">
        <w:rPr>
          <w:rStyle w:val="libFootnoteBoldChar"/>
          <w:rtl/>
        </w:rPr>
        <w:t>الوسائل</w:t>
      </w:r>
      <w:r w:rsidR="00992664" w:rsidRPr="00020424">
        <w:rPr>
          <w:rtl/>
        </w:rPr>
        <w:t xml:space="preserve"> ، ج 7 ، ص 444 ، ح 9818.</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بح » </w:t>
      </w:r>
      <w:r w:rsidR="00992664" w:rsidRPr="00515444">
        <w:rPr>
          <w:rStyle w:val="libFootnoteBoldChar"/>
          <w:rtl/>
        </w:rPr>
        <w:t>والوافي</w:t>
      </w:r>
      <w:r w:rsidR="00992664" w:rsidRPr="00020424">
        <w:rPr>
          <w:rtl/>
        </w:rPr>
        <w:t xml:space="preserve"> : « يا أيّها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حاشية « بث » : « الناس</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اغدوا إلى جوائزكم : أقبلوا عليها بكنه هممكم ؛ لكي تفوزوا بها وتنالوها ، نظيره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إنّ لربّكم في أيّام دهركم نفحات ، ألا فتعرّضوا لها</w:t>
      </w:r>
      <w:r w:rsidR="00992664">
        <w:rPr>
          <w:rtl/>
        </w:rPr>
        <w:t>!</w:t>
      </w:r>
      <w:r w:rsidR="00992664" w:rsidRPr="00020424">
        <w:rPr>
          <w:rtl/>
        </w:rPr>
        <w:t xml:space="preserve"> وذلك لأنّ الصيام لحبسه النفس عن الشهوات يزكّيها ويطهّرها ويجعلها صالحة لأن يفيض عليها من الله سبحانه سجال الرحمة والبركة ، فإذا أقبلت عليها وتوجّهت إليها وتعرّضت لها قبل أن يفسد استعدادها لها بورود ما يضادّها ، نالتها وكانت بها من الفائزين</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اغدوا إلى جوائزكم ، أي باكروا إلى صلاة العيد ؛ لتأخذوا جوائزكم على صيام شهر رمضان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2F4FC0">
      <w:pPr>
        <w:pStyle w:val="libNormal"/>
        <w:rPr>
          <w:rtl/>
          <w:lang w:bidi="fa-IR"/>
        </w:rPr>
      </w:pPr>
      <w:r w:rsidRPr="00020424">
        <w:rPr>
          <w:rtl/>
          <w:lang w:bidi="fa-IR"/>
        </w:rPr>
        <w:t xml:space="preserve">ثُمَّ قَالَ : « يَا جَابِرُ ، جَوَائِزُ اللهِ </w:t>
      </w:r>
      <w:r w:rsidRPr="00A91B96">
        <w:rPr>
          <w:rStyle w:val="libFootnotenumChar"/>
          <w:rtl/>
        </w:rPr>
        <w:t>(1)</w:t>
      </w:r>
      <w:r w:rsidRPr="00020424">
        <w:rPr>
          <w:rtl/>
          <w:lang w:bidi="fa-IR"/>
        </w:rPr>
        <w:t xml:space="preserve"> لَيْسَتْ بِجَوَائِزِ </w:t>
      </w:r>
      <w:r w:rsidRPr="00A91B96">
        <w:rPr>
          <w:rStyle w:val="libFootnotenumChar"/>
          <w:rtl/>
        </w:rPr>
        <w:t>(2)</w:t>
      </w:r>
      <w:r w:rsidRPr="00020424">
        <w:rPr>
          <w:rtl/>
          <w:lang w:bidi="fa-IR"/>
        </w:rPr>
        <w:t xml:space="preserve"> هؤُلَاءِ الْمُلُوكِ » ثُمَّ قَالَ : « هُوَ يَوْمُ الْجَوَائِزِ</w:t>
      </w:r>
      <w:r>
        <w:rPr>
          <w:rtl/>
          <w:lang w:bidi="fa-IR"/>
        </w:rPr>
        <w:t xml:space="preserve"> ».</w:t>
      </w:r>
      <w:r w:rsidRPr="00020424">
        <w:rPr>
          <w:rtl/>
          <w:lang w:bidi="fa-IR"/>
        </w:rPr>
        <w:t xml:space="preserve"> </w:t>
      </w:r>
      <w:r w:rsidRPr="00A91B96">
        <w:rPr>
          <w:rStyle w:val="libFootnotenumChar"/>
          <w:rtl/>
        </w:rPr>
        <w:t>(3)</w:t>
      </w:r>
    </w:p>
    <w:p w:rsidR="00992664" w:rsidRPr="00020424" w:rsidRDefault="00992664" w:rsidP="00992664">
      <w:pPr>
        <w:pStyle w:val="libNormal"/>
        <w:rPr>
          <w:rtl/>
          <w:lang w:bidi="fa-IR"/>
        </w:rPr>
      </w:pPr>
      <w:r w:rsidRPr="000B3FF9">
        <w:rPr>
          <w:rtl/>
        </w:rPr>
        <w:t>6643</w:t>
      </w:r>
      <w:r w:rsidRPr="001155DE">
        <w:rPr>
          <w:rStyle w:val="libBold2Char"/>
          <w:rtl/>
        </w:rPr>
        <w:t xml:space="preserve"> / 4.</w:t>
      </w:r>
      <w:r w:rsidRPr="00020424">
        <w:rPr>
          <w:rtl/>
          <w:lang w:bidi="fa-IR"/>
        </w:rPr>
        <w:t xml:space="preserve"> عِدَّةٌ مِنْ أَصْحَابِنَا ، عَنْ سَهْلِ بْنِ زِيَادٍ ، عَنْ بَعْضِ أَصْحَابِنَا ، عَنْ جَمِيلِ بْنِ صَالِحٍ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كَانَ </w:t>
      </w:r>
      <w:r w:rsidRPr="00A91B96">
        <w:rPr>
          <w:rStyle w:val="libFootnotenumChar"/>
          <w:rtl/>
        </w:rPr>
        <w:t>(4)</w:t>
      </w:r>
      <w:r w:rsidRPr="00020424">
        <w:rPr>
          <w:rtl/>
          <w:lang w:bidi="fa-IR"/>
        </w:rPr>
        <w:t xml:space="preserve"> صَبِيحَةُ </w:t>
      </w:r>
      <w:r w:rsidRPr="00A91B96">
        <w:rPr>
          <w:rStyle w:val="libFootnotenumChar"/>
          <w:rtl/>
        </w:rPr>
        <w:t>(5)</w:t>
      </w:r>
      <w:r w:rsidRPr="00020424">
        <w:rPr>
          <w:rtl/>
          <w:lang w:bidi="fa-IR"/>
        </w:rPr>
        <w:t xml:space="preserve"> الْفِطْرِ نَادى مُنَادٍ : اغْدُوا إِلى جَوَائِزِكُمْ</w:t>
      </w:r>
      <w:r>
        <w:rPr>
          <w:rtl/>
          <w:lang w:bidi="fa-IR"/>
        </w:rPr>
        <w:t>».</w:t>
      </w:r>
      <w:r w:rsidRPr="00020424">
        <w:rPr>
          <w:rtl/>
          <w:lang w:bidi="fa-IR"/>
        </w:rPr>
        <w:t xml:space="preserve"> </w:t>
      </w:r>
      <w:r w:rsidRPr="00A91B96">
        <w:rPr>
          <w:rStyle w:val="libFootnotenumChar"/>
          <w:rtl/>
        </w:rPr>
        <w:t>(6)</w:t>
      </w:r>
      <w:r w:rsidRPr="00020424">
        <w:rPr>
          <w:rtl/>
          <w:lang w:bidi="fa-IR"/>
        </w:rPr>
        <w:t xml:space="preserve"> ‌</w:t>
      </w:r>
    </w:p>
    <w:p w:rsidR="002F4FC0" w:rsidRDefault="00992664" w:rsidP="002F4FC0">
      <w:pPr>
        <w:pStyle w:val="Heading2Center"/>
        <w:rPr>
          <w:rtl/>
          <w:lang w:bidi="fa-IR"/>
        </w:rPr>
      </w:pPr>
      <w:bookmarkStart w:id="524" w:name="_Toc345172891"/>
      <w:bookmarkStart w:id="525" w:name="_Toc44600012"/>
      <w:bookmarkStart w:id="526" w:name="_Toc464562706"/>
      <w:r w:rsidRPr="00020424">
        <w:rPr>
          <w:rtl/>
          <w:lang w:bidi="fa-IR"/>
        </w:rPr>
        <w:t>73</w:t>
      </w:r>
      <w:r>
        <w:rPr>
          <w:rtl/>
          <w:lang w:bidi="fa-IR"/>
        </w:rPr>
        <w:t xml:space="preserve"> </w:t>
      </w:r>
      <w:r w:rsidR="009B673F">
        <w:rPr>
          <w:rtl/>
          <w:lang w:bidi="fa-IR"/>
        </w:rPr>
        <w:t>-</w:t>
      </w:r>
      <w:r>
        <w:rPr>
          <w:rtl/>
          <w:lang w:bidi="fa-IR"/>
        </w:rPr>
        <w:t xml:space="preserve"> </w:t>
      </w:r>
      <w:r w:rsidRPr="00020424">
        <w:rPr>
          <w:rtl/>
          <w:lang w:bidi="fa-IR"/>
        </w:rPr>
        <w:t>بَابُ مَا يَجِبُ عَلَى النَّاسِ إِذَا صَحَّ عِنْدَهُمُ الرُّؤْيَةُ</w:t>
      </w:r>
      <w:bookmarkStart w:id="527" w:name="_Toc345172892"/>
      <w:bookmarkEnd w:id="524"/>
      <w:bookmarkEnd w:id="525"/>
    </w:p>
    <w:p w:rsidR="00992664" w:rsidRPr="00020424" w:rsidRDefault="00992664" w:rsidP="002F4FC0">
      <w:pPr>
        <w:pStyle w:val="Heading2Center"/>
        <w:rPr>
          <w:rtl/>
          <w:lang w:bidi="fa-IR"/>
        </w:rPr>
      </w:pPr>
      <w:bookmarkStart w:id="528" w:name="_Toc44600013"/>
      <w:r w:rsidRPr="00020424">
        <w:rPr>
          <w:rtl/>
          <w:lang w:bidi="fa-IR"/>
        </w:rPr>
        <w:t>يَوْمَ الْفِطْرِ بَعْدَ مَا أَصْبَحُوا صَائِمِينَ‌</w:t>
      </w:r>
      <w:bookmarkEnd w:id="526"/>
      <w:bookmarkEnd w:id="527"/>
      <w:bookmarkEnd w:id="528"/>
    </w:p>
    <w:p w:rsidR="00992664" w:rsidRPr="00020424" w:rsidRDefault="00992664" w:rsidP="00992664">
      <w:pPr>
        <w:pStyle w:val="libNormal"/>
        <w:rPr>
          <w:rtl/>
          <w:lang w:bidi="fa-IR"/>
        </w:rPr>
      </w:pPr>
      <w:r w:rsidRPr="000B3FF9">
        <w:rPr>
          <w:rtl/>
        </w:rPr>
        <w:t>6644</w:t>
      </w:r>
      <w:r w:rsidRPr="001155DE">
        <w:rPr>
          <w:rStyle w:val="libBold2Char"/>
          <w:rtl/>
        </w:rPr>
        <w:t xml:space="preserve"> / 1.</w:t>
      </w:r>
      <w:r w:rsidRPr="00020424">
        <w:rPr>
          <w:rtl/>
          <w:lang w:bidi="fa-IR"/>
        </w:rPr>
        <w:t xml:space="preserve"> مُحَمَّدُ بْنُ يَحْيى ، عَنْ مُحَمَّدِ بْنِ أَحْمَدَ </w:t>
      </w:r>
      <w:r w:rsidRPr="00A91B96">
        <w:rPr>
          <w:rStyle w:val="libFootnotenumChar"/>
          <w:rtl/>
        </w:rPr>
        <w:t>(7)</w:t>
      </w:r>
      <w:r w:rsidRPr="00020424">
        <w:rPr>
          <w:rtl/>
          <w:lang w:bidi="fa-IR"/>
        </w:rPr>
        <w:t xml:space="preserve"> ، عَنْ مُحَمَّدِ بْنِ عِيسى ، عَنْ يُوسُفَ بْنِ عَقِيلٍ ، عَنْ مُحَمَّدِ بْنِ قَيْسٍ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إِذَا شَهِدَ عِنْدَ الْإِمَامِ شَاهِدَانِ أَنَّهُمَا رَأَيَا الْهِلَالَ مُنْذُ‌</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بخ ، بر » : « والله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بر » : « جوائز</w:t>
      </w:r>
      <w:r w:rsidR="00992664">
        <w:rPr>
          <w:rtl/>
        </w:rPr>
        <w:t xml:space="preserve"> ».</w:t>
      </w:r>
      <w:r w:rsidR="00992664" w:rsidRPr="00020424">
        <w:rPr>
          <w:rtl/>
        </w:rPr>
        <w:t xml:space="preserve"> وفي حاشية « بث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كجوائز</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DE76B9">
        <w:rPr>
          <w:rStyle w:val="libFootnoteBoldChar"/>
          <w:rtl/>
        </w:rPr>
        <w:t>الكافي</w:t>
      </w:r>
      <w:r w:rsidR="00992664" w:rsidRPr="00020424">
        <w:rPr>
          <w:rtl/>
        </w:rPr>
        <w:t xml:space="preserve"> ، كتاب الصيام ، باب فضل شهر رمضان ، ذيل ح 6274 ؛ </w:t>
      </w:r>
      <w:r w:rsidR="00992664" w:rsidRPr="00515444">
        <w:rPr>
          <w:rStyle w:val="libFootnoteBoldChar"/>
          <w:rtl/>
        </w:rPr>
        <w:t>والتهذيب</w:t>
      </w:r>
      <w:r w:rsidR="00992664" w:rsidRPr="00DE76B9">
        <w:rPr>
          <w:rStyle w:val="libFootnoteBoldChar"/>
          <w:rtl/>
        </w:rPr>
        <w:t xml:space="preserve"> </w:t>
      </w:r>
      <w:r w:rsidR="00992664" w:rsidRPr="00020424">
        <w:rPr>
          <w:rtl/>
        </w:rPr>
        <w:t xml:space="preserve">، ج 4 ، ص 193 ، ذيل ح 550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47 ، المجلس 12 ، ذيل ح 1 ؛ </w:t>
      </w:r>
      <w:r w:rsidR="00992664" w:rsidRPr="006C7A1F">
        <w:rPr>
          <w:rStyle w:val="libFootnoteBoldChar"/>
          <w:rtl/>
        </w:rPr>
        <w:t>وثواب الأعمال</w:t>
      </w:r>
      <w:r w:rsidR="00992664" w:rsidRPr="00020424">
        <w:rPr>
          <w:rtl/>
        </w:rPr>
        <w:t xml:space="preserve"> ، ص 88 ، ذيل ح 2 ؛ </w:t>
      </w:r>
      <w:r w:rsidR="00992664" w:rsidRPr="00D27EE2">
        <w:rPr>
          <w:rStyle w:val="libFootnoteBoldChar"/>
          <w:rtl/>
        </w:rPr>
        <w:t>وفضائل الأشهر الثلاثة</w:t>
      </w:r>
      <w:r w:rsidR="00992664" w:rsidRPr="00020424">
        <w:rPr>
          <w:rtl/>
        </w:rPr>
        <w:t xml:space="preserve"> ، ص 80 ، ذيل ح 62 ، بسند آخر عن عمرو بن شمر ، مع اختلاف يسير. وفي </w:t>
      </w:r>
      <w:r w:rsidR="00992664" w:rsidRPr="0012008A">
        <w:rPr>
          <w:rStyle w:val="libFootnoteBoldChar"/>
          <w:rtl/>
        </w:rPr>
        <w:t>الفقيه</w:t>
      </w:r>
      <w:r w:rsidR="00992664" w:rsidRPr="00020424">
        <w:rPr>
          <w:rtl/>
        </w:rPr>
        <w:t xml:space="preserve"> ، ج 1 ، ص 511 ، ح 1478 ؛ وج 2 ، ص 96 ، ذيل ح 1833 ، معلّقاً عن جابر ، وفي الأخير مع اختلاف يسير. </w:t>
      </w:r>
      <w:r w:rsidR="00992664" w:rsidRPr="0012008A">
        <w:rPr>
          <w:rStyle w:val="libFootnoteBoldChar"/>
          <w:rtl/>
        </w:rPr>
        <w:t>الفقيه</w:t>
      </w:r>
      <w:r w:rsidR="00992664" w:rsidRPr="00020424">
        <w:rPr>
          <w:rtl/>
        </w:rPr>
        <w:t xml:space="preserve"> ، ج 2 ، ص 175 ، ح 2060 ، معلّقاً عن جابر ، عن أبي جعفر ، عن أبيه </w:t>
      </w:r>
      <w:r w:rsidR="00D64ADA" w:rsidRPr="00D64ADA">
        <w:rPr>
          <w:rStyle w:val="libFootnoteAlaemChar"/>
          <w:rtl/>
        </w:rPr>
        <w:t>عليهما‌السلام</w:t>
      </w:r>
      <w:r w:rsidR="00992664" w:rsidRPr="00020424">
        <w:rPr>
          <w:rtl/>
        </w:rPr>
        <w:t xml:space="preserve"> ، من دون الإسناد إلى النبيّ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w:t>
      </w:r>
      <w:r w:rsidR="002F4FC0">
        <w:rPr>
          <w:rFonts w:hint="cs"/>
          <w:rtl/>
        </w:rPr>
        <w:t>.</w:t>
      </w:r>
      <w:r w:rsidR="00992664" w:rsidRPr="0012008A">
        <w:rPr>
          <w:rStyle w:val="libFootnoteBoldChar"/>
          <w:rtl/>
        </w:rPr>
        <w:t>الوافي</w:t>
      </w:r>
      <w:r w:rsidR="00992664" w:rsidRPr="00020424">
        <w:rPr>
          <w:rtl/>
        </w:rPr>
        <w:t xml:space="preserve"> ، ج 9 ، ص 1310 ، ح 8306 ؛ وج 11 ، ص 371 ، ح 11036 ؛ </w:t>
      </w:r>
      <w:r w:rsidR="00992664" w:rsidRPr="0012008A">
        <w:rPr>
          <w:rStyle w:val="libFootnoteBoldChar"/>
          <w:rtl/>
        </w:rPr>
        <w:t>الوسائل</w:t>
      </w:r>
      <w:r w:rsidR="00992664" w:rsidRPr="00020424">
        <w:rPr>
          <w:rtl/>
        </w:rPr>
        <w:t xml:space="preserve"> ، ج 7 ، ص 480 ، ح 9908.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بس » : « كانت</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جميع النسخ التي قوبلت </w:t>
      </w:r>
      <w:r w:rsidR="00992664" w:rsidRPr="00EB1FD9">
        <w:rPr>
          <w:rStyle w:val="libFootnoteBoldChar"/>
          <w:rtl/>
        </w:rPr>
        <w:t>والوسائل</w:t>
      </w:r>
      <w:r w:rsidR="00992664" w:rsidRPr="00020424">
        <w:rPr>
          <w:rtl/>
        </w:rPr>
        <w:t xml:space="preserve">. وفي المطبوع </w:t>
      </w:r>
      <w:r w:rsidR="00992664" w:rsidRPr="00515444">
        <w:rPr>
          <w:rStyle w:val="libFootnoteBoldChar"/>
          <w:rtl/>
        </w:rPr>
        <w:t>والوافي</w:t>
      </w:r>
      <w:r w:rsidR="00992664" w:rsidRPr="00020424">
        <w:rPr>
          <w:rtl/>
        </w:rPr>
        <w:t xml:space="preserve"> : + « يوم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الوافي</w:t>
      </w:r>
      <w:r w:rsidR="00992664" w:rsidRPr="00020424">
        <w:rPr>
          <w:rtl/>
        </w:rPr>
        <w:t xml:space="preserve"> ، ج 11 ، ص 371 ، ح 11037 ؛ </w:t>
      </w:r>
      <w:r w:rsidR="00992664" w:rsidRPr="0012008A">
        <w:rPr>
          <w:rStyle w:val="libFootnoteBoldChar"/>
          <w:rtl/>
        </w:rPr>
        <w:t>الوسائل</w:t>
      </w:r>
      <w:r w:rsidR="00992664" w:rsidRPr="00020424">
        <w:rPr>
          <w:rtl/>
        </w:rPr>
        <w:t xml:space="preserve"> ، ج 7 ، ص 480 ، ح 9909.</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عن أحمد</w:t>
      </w:r>
      <w:r w:rsidR="00992664">
        <w:rPr>
          <w:rtl/>
        </w:rPr>
        <w:t xml:space="preserve"> ».</w:t>
      </w:r>
      <w:r w:rsidR="00992664" w:rsidRPr="00020424">
        <w:rPr>
          <w:rtl/>
        </w:rPr>
        <w:t xml:space="preserve"> وفي « جر » : « عن أحمد بن محمّد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ثَلَاثِينَ يَوْماً ، أَمَرَ الْإمَامُ بِالْإِفْطَارِ ، وَصَلّى </w:t>
      </w:r>
      <w:r w:rsidRPr="00A91B96">
        <w:rPr>
          <w:rStyle w:val="libFootnotenumChar"/>
          <w:rtl/>
        </w:rPr>
        <w:t>(1)</w:t>
      </w:r>
      <w:r w:rsidRPr="00020424">
        <w:rPr>
          <w:rtl/>
          <w:lang w:bidi="fa-IR"/>
        </w:rPr>
        <w:t xml:space="preserve"> فِي </w:t>
      </w:r>
      <w:r w:rsidRPr="00A91B96">
        <w:rPr>
          <w:rStyle w:val="libFootnotenumChar"/>
          <w:rtl/>
        </w:rPr>
        <w:t>(2)</w:t>
      </w:r>
      <w:r w:rsidRPr="00020424">
        <w:rPr>
          <w:rtl/>
          <w:lang w:bidi="fa-IR"/>
        </w:rPr>
        <w:t xml:space="preserve"> ذلِكَ الْيَوْمِ إِذَا كَانَا شَهِدَا </w:t>
      </w:r>
      <w:r w:rsidRPr="00A91B96">
        <w:rPr>
          <w:rStyle w:val="libFootnotenumChar"/>
          <w:rtl/>
        </w:rPr>
        <w:t>(3)</w:t>
      </w:r>
      <w:r w:rsidRPr="00020424">
        <w:rPr>
          <w:rtl/>
          <w:lang w:bidi="fa-IR"/>
        </w:rPr>
        <w:t xml:space="preserve"> قَبْلَ زَوَالِ الشَّمْسِ ، فَإِنْ شَهِدَا بَعْدَ زَوَالِ الشَّمْسِ ، أَمَرَ الْإِمَامُ بِإِفْطَارِ ذلِكَ الْيَوْمِ ، وَأَخَّرَ الصَّلَاةَ إِلَى الْغَدِ ، فَصَلّى بِهِمْ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B3FF9">
        <w:rPr>
          <w:rtl/>
        </w:rPr>
        <w:t>6645</w:t>
      </w:r>
      <w:r w:rsidRPr="001155DE">
        <w:rPr>
          <w:rStyle w:val="libBold2Char"/>
          <w:rtl/>
        </w:rPr>
        <w:t xml:space="preserve"> / 2.</w:t>
      </w:r>
      <w:r w:rsidRPr="00020424">
        <w:rPr>
          <w:rtl/>
          <w:lang w:bidi="fa-IR"/>
        </w:rPr>
        <w:t xml:space="preserve"> مُحَمَّدُ بْنُ يَحْيى ، عَنْ مُحَمَّدِ بْنِ أَحْمَدَ رَفَعَهُ ، قَالَ :</w:t>
      </w:r>
    </w:p>
    <w:p w:rsidR="00992664" w:rsidRPr="00020424" w:rsidRDefault="00992664" w:rsidP="00992664">
      <w:pPr>
        <w:pStyle w:val="libNormal"/>
        <w:rPr>
          <w:rtl/>
          <w:lang w:bidi="fa-IR"/>
        </w:rPr>
      </w:pPr>
      <w:r w:rsidRPr="00020424">
        <w:rPr>
          <w:rtl/>
          <w:lang w:bidi="fa-IR"/>
        </w:rPr>
        <w:t xml:space="preserve">إِذَا أَصْبَحَ النَّاسُ صِيَاماً ، وَلَمْ يَرَوُا الْهِلَالَ ، وَجَاءَ قَوْمٌ عُدُولٌ يَشْهَدُونَ عَلَى الرُّؤْيَةِ ، فَلْيُفْطِرُوا ، وَلْيَخْرُجُوا مِنَ الْغَدِ أَوَّلَ النَّهَارِ إِلى عِيدِهِمْ. </w:t>
      </w:r>
      <w:r w:rsidRPr="00A91B96">
        <w:rPr>
          <w:rStyle w:val="libFootnotenumChar"/>
          <w:rtl/>
        </w:rPr>
        <w:t>(5)</w:t>
      </w:r>
      <w:r w:rsidRPr="00020424">
        <w:rPr>
          <w:rtl/>
          <w:lang w:bidi="fa-IR"/>
        </w:rPr>
        <w:t xml:space="preserve"> ‌</w:t>
      </w:r>
    </w:p>
    <w:p w:rsidR="00992664" w:rsidRPr="00020424" w:rsidRDefault="00992664" w:rsidP="00992664">
      <w:pPr>
        <w:pStyle w:val="Heading2Center"/>
        <w:rPr>
          <w:rtl/>
          <w:lang w:bidi="fa-IR"/>
        </w:rPr>
      </w:pPr>
      <w:bookmarkStart w:id="529" w:name="_Toc345172893"/>
      <w:bookmarkStart w:id="530" w:name="_Toc464562707"/>
      <w:bookmarkStart w:id="531" w:name="_Toc44600014"/>
      <w:r w:rsidRPr="00020424">
        <w:rPr>
          <w:rtl/>
          <w:lang w:bidi="fa-IR"/>
        </w:rPr>
        <w:t>74</w:t>
      </w:r>
      <w:r>
        <w:rPr>
          <w:rtl/>
          <w:lang w:bidi="fa-IR"/>
        </w:rPr>
        <w:t xml:space="preserve"> </w:t>
      </w:r>
      <w:r w:rsidR="009B673F">
        <w:rPr>
          <w:rtl/>
          <w:lang w:bidi="fa-IR"/>
        </w:rPr>
        <w:t>-</w:t>
      </w:r>
      <w:r>
        <w:rPr>
          <w:rtl/>
          <w:lang w:bidi="fa-IR"/>
        </w:rPr>
        <w:t xml:space="preserve"> </w:t>
      </w:r>
      <w:r w:rsidRPr="00020424">
        <w:rPr>
          <w:rtl/>
          <w:lang w:bidi="fa-IR"/>
        </w:rPr>
        <w:t>بَابُ النَّوَادِرِ‌</w:t>
      </w:r>
      <w:bookmarkEnd w:id="529"/>
      <w:bookmarkEnd w:id="530"/>
      <w:bookmarkEnd w:id="531"/>
    </w:p>
    <w:p w:rsidR="00992664" w:rsidRPr="00020424" w:rsidRDefault="00992664" w:rsidP="00992664">
      <w:pPr>
        <w:pStyle w:val="libNormal"/>
        <w:rPr>
          <w:rtl/>
          <w:lang w:bidi="fa-IR"/>
        </w:rPr>
      </w:pPr>
      <w:r w:rsidRPr="000B3FF9">
        <w:rPr>
          <w:rtl/>
        </w:rPr>
        <w:t>6646</w:t>
      </w:r>
      <w:r w:rsidRPr="001155DE">
        <w:rPr>
          <w:rStyle w:val="libBold2Char"/>
          <w:rtl/>
        </w:rPr>
        <w:t xml:space="preserve"> / 1.</w:t>
      </w:r>
      <w:r w:rsidRPr="00020424">
        <w:rPr>
          <w:rtl/>
          <w:lang w:bidi="fa-IR"/>
        </w:rPr>
        <w:t xml:space="preserve"> مُحَمَّدُ بْنُ يَحْيى ، عَنْ مُحَمَّدِ بْنِ أَحْمَدَ ، عَنِ السَّيَّارِيِّ ، عَنْ مُحَمَّدِ بْنِ إِسْمَاعِيلَ الرَّازِيِّ :</w:t>
      </w:r>
    </w:p>
    <w:p w:rsidR="00992664" w:rsidRPr="00020424" w:rsidRDefault="00992664" w:rsidP="00992664">
      <w:pPr>
        <w:pStyle w:val="libNormal"/>
        <w:rPr>
          <w:rtl/>
          <w:lang w:bidi="fa-IR"/>
        </w:rPr>
      </w:pPr>
      <w:r w:rsidRPr="00020424">
        <w:rPr>
          <w:rtl/>
          <w:lang w:bidi="fa-IR"/>
        </w:rPr>
        <w:t xml:space="preserve">عَنْ أَبِي جَعْفَرٍ الثَّانِي </w:t>
      </w:r>
      <w:r w:rsidRPr="00005A81">
        <w:rPr>
          <w:rStyle w:val="libAlaemChar"/>
          <w:rtl/>
        </w:rPr>
        <w:t>عليه‌السلام</w:t>
      </w:r>
      <w:r w:rsidRPr="00020424">
        <w:rPr>
          <w:rtl/>
          <w:lang w:bidi="fa-IR"/>
        </w:rPr>
        <w:t xml:space="preserve"> ، قَالَ : قُلْتُ لَهُ </w:t>
      </w:r>
      <w:r w:rsidRPr="00A91B96">
        <w:rPr>
          <w:rStyle w:val="libFootnotenumChar"/>
          <w:rtl/>
        </w:rPr>
        <w:t>(6)</w:t>
      </w:r>
      <w:r w:rsidRPr="00020424">
        <w:rPr>
          <w:rtl/>
          <w:lang w:bidi="fa-IR"/>
        </w:rPr>
        <w:t xml:space="preserve"> : جُعِلْتُ فِدَاكَ </w:t>
      </w:r>
      <w:r w:rsidRPr="00A91B96">
        <w:rPr>
          <w:rStyle w:val="libFootnotenumChar"/>
          <w:rtl/>
        </w:rPr>
        <w:t>(7)</w:t>
      </w:r>
      <w:r w:rsidRPr="00020424">
        <w:rPr>
          <w:rtl/>
          <w:lang w:bidi="fa-IR"/>
        </w:rPr>
        <w:t xml:space="preserve"> ، مَا تَقُولُ فِي الصَّوْمِ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ى ، بث ، بح ، بخ ، بس ، بف ، جن »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وصلّى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EB1FD9">
        <w:rPr>
          <w:rStyle w:val="libFootnoteBoldChar"/>
          <w:rtl/>
        </w:rPr>
        <w:t>والوسائل</w:t>
      </w:r>
      <w:r w:rsidR="00992664" w:rsidRPr="00020424">
        <w:rPr>
          <w:rtl/>
        </w:rPr>
        <w:t xml:space="preserve"> ، ح 9779 </w:t>
      </w:r>
      <w:r w:rsidR="00992664" w:rsidRPr="00FD6221">
        <w:rPr>
          <w:rStyle w:val="libFootnoteBoldChar"/>
          <w:rtl/>
        </w:rPr>
        <w:t>والفقيه</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وصلّى في</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الظاهر أنّ قوله </w:t>
      </w:r>
      <w:r w:rsidR="00992664" w:rsidRPr="00D64ADA">
        <w:rPr>
          <w:rStyle w:val="libFootnoteAlaemChar"/>
          <w:rtl/>
        </w:rPr>
        <w:t>عليه‌السلام</w:t>
      </w:r>
      <w:r w:rsidR="00992664" w:rsidRPr="00020424">
        <w:rPr>
          <w:rtl/>
        </w:rPr>
        <w:t xml:space="preserve"> : « وصلّى » لي</w:t>
      </w:r>
      <w:r w:rsidR="002F4FC0">
        <w:rPr>
          <w:rtl/>
        </w:rPr>
        <w:t>ست في النسخ التي كانت عند العل</w:t>
      </w:r>
      <w:r w:rsidR="002F4FC0">
        <w:rPr>
          <w:rFonts w:hint="cs"/>
          <w:rtl/>
        </w:rPr>
        <w:t>ّ</w:t>
      </w:r>
      <w:r w:rsidR="002F4FC0">
        <w:rPr>
          <w:rtl/>
        </w:rPr>
        <w:t>ا</w:t>
      </w:r>
      <w:r w:rsidR="00992664" w:rsidRPr="00020424">
        <w:rPr>
          <w:rtl/>
        </w:rPr>
        <w:t xml:space="preserve">مة المجلسي ؛ حيث قال 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إذا كانا شهدا ، لم يتعرّض في صورة الرؤية قبل الزوال للصلاة ، ولعلّ ذلك لظهور حكمها لبقاء وقتها ، وأيضاً يظهر من تخصيص الشقّ الثاني ظاهراً بتأخير الصلاة إلى الغد أنّ حكم الأوّل ليس كذلك ، هذا بحسب ظاهر الكلام. ويحتمل أن يكون تأخير الصلاة إلى الغد في الشقّين بناء على ظاهر بعض الأخبار من أنّ وقتها حين طلوع الشمس ، لكنّه بعيد بحسب العبارة والفتوى ، وإن كان يؤيّده إطلاق الخبر الآخر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168 ، ح 2037 ، معلّقاً عن محمّد بن قيس </w:t>
      </w:r>
      <w:r w:rsidR="00AD3EF3">
        <w:rPr>
          <w:rFonts w:hint="cs"/>
          <w:rtl/>
        </w:rPr>
        <w:t>.</w:t>
      </w:r>
      <w:r w:rsidR="00992664" w:rsidRPr="0012008A">
        <w:rPr>
          <w:rStyle w:val="libFootnoteBoldChar"/>
          <w:rtl/>
        </w:rPr>
        <w:t>الوافي</w:t>
      </w:r>
      <w:r w:rsidR="00992664" w:rsidRPr="00020424">
        <w:rPr>
          <w:rtl/>
        </w:rPr>
        <w:t xml:space="preserve"> ، ج 9 ، ص 1307 ، ح 8300 ؛ </w:t>
      </w:r>
      <w:r w:rsidR="00992664" w:rsidRPr="0012008A">
        <w:rPr>
          <w:rStyle w:val="libFootnoteBoldChar"/>
          <w:rtl/>
        </w:rPr>
        <w:t>الوسائل</w:t>
      </w:r>
      <w:r w:rsidR="00992664" w:rsidRPr="00020424">
        <w:rPr>
          <w:rtl/>
        </w:rPr>
        <w:t xml:space="preserve"> ، ج 7 ، ص 432 ، ح 9779 ؛ وج 10 ، ص 275 ، ح 13406 ؛ </w:t>
      </w:r>
      <w:r w:rsidR="00992664" w:rsidRPr="0012008A">
        <w:rPr>
          <w:rStyle w:val="libFootnoteBoldChar"/>
          <w:rtl/>
        </w:rPr>
        <w:t>البحار</w:t>
      </w:r>
      <w:r w:rsidR="00992664" w:rsidRPr="00020424">
        <w:rPr>
          <w:rtl/>
        </w:rPr>
        <w:t xml:space="preserve"> ، ج 90 ، ص 357 ، ذيل ح 8.</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الفقيه</w:t>
      </w:r>
      <w:r w:rsidR="00992664" w:rsidRPr="00020424">
        <w:rPr>
          <w:rtl/>
        </w:rPr>
        <w:t xml:space="preserve"> ، ج 2 ، ص 168 ، ح 2038 ، مرسلاً من دون الإسناد إلى المعصوم </w:t>
      </w:r>
      <w:r w:rsidR="00992664" w:rsidRPr="00D64ADA">
        <w:rPr>
          <w:rStyle w:val="libFootnoteAlaemChar"/>
          <w:rtl/>
        </w:rPr>
        <w:t>عليه‌السلام</w:t>
      </w:r>
      <w:r w:rsidR="00992664" w:rsidRPr="00020424">
        <w:rPr>
          <w:rtl/>
        </w:rPr>
        <w:t xml:space="preserve"> </w:t>
      </w:r>
      <w:r w:rsidR="00AD3EF3">
        <w:rPr>
          <w:rFonts w:hint="cs"/>
          <w:rtl/>
        </w:rPr>
        <w:t>.</w:t>
      </w:r>
      <w:r w:rsidR="00992664" w:rsidRPr="0012008A">
        <w:rPr>
          <w:rStyle w:val="libFootnoteBoldChar"/>
          <w:rtl/>
        </w:rPr>
        <w:t>الوافي</w:t>
      </w:r>
      <w:r w:rsidR="00992664" w:rsidRPr="00020424">
        <w:rPr>
          <w:rtl/>
        </w:rPr>
        <w:t xml:space="preserve"> ، ج 9 ، ص 1307 ، ح 8301 ؛ </w:t>
      </w:r>
      <w:r w:rsidR="00992664" w:rsidRPr="0012008A">
        <w:rPr>
          <w:rStyle w:val="libFootnoteBoldChar"/>
          <w:rtl/>
        </w:rPr>
        <w:t>الوسائل</w:t>
      </w:r>
      <w:r w:rsidR="00992664" w:rsidRPr="00020424">
        <w:rPr>
          <w:rtl/>
        </w:rPr>
        <w:t xml:space="preserve"> ، ج 7 ، ص 433 ، ح 9780 ؛ وج 10 ، ص 276 ، ح 13407 ؛ </w:t>
      </w:r>
      <w:r w:rsidR="00992664" w:rsidRPr="0012008A">
        <w:rPr>
          <w:rStyle w:val="libFootnoteBoldChar"/>
          <w:rtl/>
        </w:rPr>
        <w:t>البحار</w:t>
      </w:r>
      <w:r w:rsidR="00992664" w:rsidRPr="00020424">
        <w:rPr>
          <w:rtl/>
        </w:rPr>
        <w:t xml:space="preserve"> ، ج 90 ، ص 357 ، ذيل ح 8.</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AD3EF3" w:rsidTr="00AD3EF3">
        <w:tc>
          <w:tcPr>
            <w:tcW w:w="4006" w:type="dxa"/>
          </w:tcPr>
          <w:p w:rsidR="00AD3EF3" w:rsidRDefault="00AD3EF3" w:rsidP="00992664">
            <w:pPr>
              <w:pStyle w:val="libFootnote0"/>
              <w:rPr>
                <w:rtl/>
              </w:rPr>
            </w:pPr>
            <w:r>
              <w:rPr>
                <w:rtl/>
              </w:rPr>
              <w:t xml:space="preserve">(7).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جعلت فداك</w:t>
            </w:r>
            <w:r>
              <w:rPr>
                <w:rtl/>
              </w:rPr>
              <w:t xml:space="preserve"> ».</w:t>
            </w:r>
          </w:p>
        </w:tc>
        <w:tc>
          <w:tcPr>
            <w:tcW w:w="4006" w:type="dxa"/>
          </w:tcPr>
          <w:p w:rsidR="00AD3EF3" w:rsidRDefault="00AD3EF3" w:rsidP="00992664">
            <w:pPr>
              <w:pStyle w:val="libFootnote0"/>
              <w:rPr>
                <w:rtl/>
              </w:rPr>
            </w:pPr>
            <w:r>
              <w:rPr>
                <w:rtl/>
              </w:rPr>
              <w:t xml:space="preserve">(8). </w:t>
            </w:r>
            <w:r w:rsidRPr="00020424">
              <w:rPr>
                <w:rtl/>
              </w:rPr>
              <w:t>في العلل : « العامة</w:t>
            </w:r>
            <w:r>
              <w:rPr>
                <w:rtl/>
              </w:rPr>
              <w:t xml:space="preserve"> ».</w:t>
            </w:r>
          </w:p>
        </w:tc>
      </w:tr>
    </w:tbl>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فَإِنَّهُ قَدْ </w:t>
      </w:r>
      <w:r w:rsidRPr="00A91B96">
        <w:rPr>
          <w:rStyle w:val="libFootnotenumChar"/>
          <w:rtl/>
        </w:rPr>
        <w:t>(1)</w:t>
      </w:r>
      <w:r w:rsidRPr="00020424">
        <w:rPr>
          <w:rtl/>
          <w:lang w:bidi="fa-IR"/>
        </w:rPr>
        <w:t xml:space="preserve"> رُوِيَ أَنَّهُمْ لَايُوَفَّقُونَ لِصَوْمٍ</w:t>
      </w:r>
      <w:r>
        <w:rPr>
          <w:rtl/>
          <w:lang w:bidi="fa-IR"/>
        </w:rPr>
        <w:t>؟</w:t>
      </w:r>
    </w:p>
    <w:p w:rsidR="00992664" w:rsidRPr="00020424" w:rsidRDefault="00992664" w:rsidP="00992664">
      <w:pPr>
        <w:pStyle w:val="libNormal"/>
        <w:rPr>
          <w:rtl/>
          <w:lang w:bidi="fa-IR"/>
        </w:rPr>
      </w:pPr>
      <w:r w:rsidRPr="00020424">
        <w:rPr>
          <w:rtl/>
          <w:lang w:bidi="fa-IR"/>
        </w:rPr>
        <w:t>فَقَالَ : « أَمَا إِنَّهُ قَدْ أُجِيبَتْ دَعْوَةُ الْمَلَكِ فِيهِمْ</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(2)</w:t>
      </w:r>
      <w:r w:rsidRPr="00020424">
        <w:rPr>
          <w:rtl/>
          <w:lang w:bidi="fa-IR"/>
        </w:rPr>
        <w:t xml:space="preserve"> : فَقُلْتُ </w:t>
      </w:r>
      <w:r w:rsidRPr="00A91B96">
        <w:rPr>
          <w:rStyle w:val="libFootnotenumChar"/>
          <w:rtl/>
        </w:rPr>
        <w:t>(3)</w:t>
      </w:r>
      <w:r w:rsidRPr="00020424">
        <w:rPr>
          <w:rtl/>
          <w:lang w:bidi="fa-IR"/>
        </w:rPr>
        <w:t xml:space="preserve"> : وَكَيْفَ </w:t>
      </w:r>
      <w:r w:rsidRPr="00A91B96">
        <w:rPr>
          <w:rStyle w:val="libFootnotenumChar"/>
          <w:rtl/>
        </w:rPr>
        <w:t>(4)</w:t>
      </w:r>
      <w:r w:rsidRPr="00020424">
        <w:rPr>
          <w:rtl/>
          <w:lang w:bidi="fa-IR"/>
        </w:rPr>
        <w:t xml:space="preserve"> ذلِكَ جُعِلْتُ فِدَاكَ</w:t>
      </w:r>
      <w:r>
        <w:rPr>
          <w:rtl/>
          <w:lang w:bidi="fa-IR"/>
        </w:rPr>
        <w:t>؟</w:t>
      </w:r>
    </w:p>
    <w:p w:rsidR="00992664" w:rsidRPr="00020424" w:rsidRDefault="00992664" w:rsidP="00992664">
      <w:pPr>
        <w:pStyle w:val="libNormal"/>
        <w:rPr>
          <w:rtl/>
          <w:lang w:bidi="fa-IR"/>
        </w:rPr>
      </w:pPr>
      <w:r w:rsidRPr="00020424">
        <w:rPr>
          <w:rtl/>
          <w:lang w:bidi="fa-IR"/>
        </w:rPr>
        <w:t>قَالَ : « إِنَّ النَّاسَ لَمَّا قَتَلُوا الْحُسَيْنَ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أَمَرَ اللهُ</w:t>
      </w:r>
      <w:r>
        <w:rPr>
          <w:rtl/>
          <w:lang w:bidi="fa-IR"/>
        </w:rPr>
        <w:t xml:space="preserve"> </w:t>
      </w:r>
      <w:r w:rsidR="009B673F">
        <w:rPr>
          <w:rtl/>
          <w:lang w:bidi="fa-IR"/>
        </w:rPr>
        <w:t>-</w:t>
      </w:r>
      <w:r>
        <w:rPr>
          <w:rtl/>
          <w:lang w:bidi="fa-IR"/>
        </w:rPr>
        <w:t xml:space="preserve"> </w:t>
      </w:r>
      <w:r w:rsidRPr="00020424">
        <w:rPr>
          <w:rtl/>
          <w:lang w:bidi="fa-IR"/>
        </w:rPr>
        <w:t>تَبَارَكَ وَتَعَالى</w:t>
      </w:r>
      <w:r>
        <w:rPr>
          <w:rtl/>
          <w:lang w:bidi="fa-IR"/>
        </w:rPr>
        <w:t xml:space="preserve"> </w:t>
      </w:r>
      <w:r w:rsidR="009B673F">
        <w:rPr>
          <w:rtl/>
          <w:lang w:bidi="fa-IR"/>
        </w:rPr>
        <w:t>-</w:t>
      </w:r>
      <w:r>
        <w:rPr>
          <w:rtl/>
          <w:lang w:bidi="fa-IR"/>
        </w:rPr>
        <w:t xml:space="preserve"> </w:t>
      </w:r>
      <w:r w:rsidRPr="00020424">
        <w:rPr>
          <w:rtl/>
          <w:lang w:bidi="fa-IR"/>
        </w:rPr>
        <w:t xml:space="preserve">مَلَكاً </w:t>
      </w:r>
      <w:r w:rsidRPr="00A91B96">
        <w:rPr>
          <w:rStyle w:val="libFootnotenumChar"/>
          <w:rtl/>
        </w:rPr>
        <w:t>(5)</w:t>
      </w:r>
      <w:r w:rsidRPr="00020424">
        <w:rPr>
          <w:rtl/>
          <w:lang w:bidi="fa-IR"/>
        </w:rPr>
        <w:t xml:space="preserve"> يُنَادِي : أَيَّتُهَا الْأُمَّةُ الظَّالِمَةُ ، الْقَاتِلَةُ عِتْرَةَ نَبِيِّهَا ، لَاوَفَّقَكُمُ اللهُ لِصَوْمٍ وَلَا لِفِطْرٍ </w:t>
      </w:r>
      <w:r w:rsidRPr="00A91B96">
        <w:rPr>
          <w:rStyle w:val="libFootnotenumChar"/>
          <w:rtl/>
        </w:rPr>
        <w:t>(6)</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rPr>
          <w:rtl/>
          <w:lang w:bidi="fa-IR"/>
        </w:rPr>
      </w:pPr>
      <w:r w:rsidRPr="00343032">
        <w:rPr>
          <w:rtl/>
        </w:rPr>
        <w:t>6647</w:t>
      </w:r>
      <w:r w:rsidRPr="001155DE">
        <w:rPr>
          <w:rStyle w:val="libBold2Char"/>
          <w:rtl/>
        </w:rPr>
        <w:t xml:space="preserve"> / 2.</w:t>
      </w:r>
      <w:r w:rsidRPr="00020424">
        <w:rPr>
          <w:rtl/>
          <w:lang w:bidi="fa-IR"/>
        </w:rPr>
        <w:t xml:space="preserve"> أَحْمَدُ بْنُ مُحَمَّدٍ ، عَنْ عَلِيِّ بْنِ الْحَسَنِ </w:t>
      </w:r>
      <w:r w:rsidRPr="00A91B96">
        <w:rPr>
          <w:rStyle w:val="libFootnotenumChar"/>
          <w:rtl/>
        </w:rPr>
        <w:t>(8)</w:t>
      </w:r>
      <w:r w:rsidRPr="00020424">
        <w:rPr>
          <w:rtl/>
          <w:lang w:bidi="fa-IR"/>
        </w:rPr>
        <w:t xml:space="preserve"> ، عَنْ عَمْرِو بْنِ عُثْمَانَ ، عَنْ حَنَانِ بْنِ سَدِيرٍ ، عَنْ عَبْدِ اللهِ بْنِ دِينَارٍ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A2299" w:rsidTr="00AA2299">
        <w:tc>
          <w:tcPr>
            <w:tcW w:w="4006" w:type="dxa"/>
          </w:tcPr>
          <w:p w:rsidR="00AA2299" w:rsidRDefault="00AA2299"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w:t>
            </w:r>
            <w:r>
              <w:rPr>
                <w:rtl/>
              </w:rPr>
              <w:t xml:space="preserve"> - </w:t>
            </w:r>
            <w:r w:rsidRPr="00020424">
              <w:rPr>
                <w:rtl/>
              </w:rPr>
              <w:t>« قد</w:t>
            </w:r>
            <w:r>
              <w:rPr>
                <w:rtl/>
              </w:rPr>
              <w:t xml:space="preserve"> ».</w:t>
            </w:r>
          </w:p>
        </w:tc>
        <w:tc>
          <w:tcPr>
            <w:tcW w:w="4006" w:type="dxa"/>
          </w:tcPr>
          <w:p w:rsidR="00AA2299" w:rsidRDefault="00AA2299" w:rsidP="00992664">
            <w:pPr>
              <w:pStyle w:val="libFootnote0"/>
              <w:rPr>
                <w:rtl/>
              </w:rPr>
            </w:pPr>
            <w:r>
              <w:rPr>
                <w:rtl/>
              </w:rPr>
              <w:t xml:space="preserve">(2). </w:t>
            </w:r>
            <w:r w:rsidRPr="00020424">
              <w:rPr>
                <w:rtl/>
              </w:rPr>
              <w:t xml:space="preserve">في « بر ، بف » </w:t>
            </w:r>
            <w:r w:rsidRPr="00515444">
              <w:rPr>
                <w:rStyle w:val="libFootnoteBoldChar"/>
                <w:rtl/>
              </w:rPr>
              <w:t>والوافي</w:t>
            </w:r>
            <w:r w:rsidRPr="00020424">
              <w:rPr>
                <w:rtl/>
              </w:rPr>
              <w:t xml:space="preserve"> :</w:t>
            </w:r>
            <w:r>
              <w:rPr>
                <w:rtl/>
              </w:rPr>
              <w:t xml:space="preserve"> - </w:t>
            </w:r>
            <w:r w:rsidRPr="00020424">
              <w:rPr>
                <w:rtl/>
              </w:rPr>
              <w:t>« قال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بخ ، بس ، بف ، جن » </w:t>
      </w:r>
      <w:r w:rsidR="00992664" w:rsidRPr="00515444">
        <w:rPr>
          <w:rStyle w:val="libFootnoteBoldChar"/>
          <w:rtl/>
        </w:rPr>
        <w:t>والوافي</w:t>
      </w:r>
      <w:r w:rsidR="00992664" w:rsidRPr="00020424">
        <w:rPr>
          <w:rtl/>
        </w:rPr>
        <w:t xml:space="preserve"> والعلل : « قلت</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 « فكيف</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ظ » : + « منادياً</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بف ، جن » </w:t>
      </w:r>
      <w:r w:rsidR="00992664" w:rsidRPr="00BF1B3B">
        <w:rPr>
          <w:rtl/>
        </w:rPr>
        <w:t>والوافي والوسائل والفقيه</w:t>
      </w:r>
      <w:r w:rsidR="00992664" w:rsidRPr="00020424">
        <w:rPr>
          <w:rtl/>
        </w:rPr>
        <w:t xml:space="preserve"> : « ولا فطر</w:t>
      </w:r>
      <w:r w:rsidR="00992664">
        <w:rPr>
          <w:rtl/>
        </w:rPr>
        <w:t xml:space="preserve"> ».</w:t>
      </w:r>
      <w:r w:rsidR="00992664" w:rsidRPr="00020424">
        <w:rPr>
          <w:rtl/>
        </w:rPr>
        <w:t xml:space="preserve"> وفي العلل : + « وفي حديث آخر لفطر ولا أضحى</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لا وفّقكم الله ، إمّا لاشتباه الهلال</w:t>
      </w:r>
      <w:r w:rsidR="00992664">
        <w:rPr>
          <w:rtl/>
        </w:rPr>
        <w:t xml:space="preserve"> </w:t>
      </w:r>
      <w:r w:rsidR="009B673F">
        <w:rPr>
          <w:rtl/>
        </w:rPr>
        <w:t>-</w:t>
      </w:r>
      <w:r w:rsidR="00992664">
        <w:rPr>
          <w:rtl/>
        </w:rPr>
        <w:t xml:space="preserve"> </w:t>
      </w:r>
      <w:r w:rsidR="00992664" w:rsidRPr="00020424">
        <w:rPr>
          <w:rtl/>
        </w:rPr>
        <w:t xml:space="preserve">كما فهمه الصدوق </w:t>
      </w:r>
      <w:r w:rsidR="00D64ADA" w:rsidRPr="00D64ADA">
        <w:rPr>
          <w:rStyle w:val="libFootnoteAlaemChar"/>
          <w:rtl/>
        </w:rPr>
        <w:t>رحمه‌الله</w:t>
      </w:r>
      <w:r w:rsidR="00992664" w:rsidRPr="00020424">
        <w:rPr>
          <w:rtl/>
        </w:rPr>
        <w:t xml:space="preserve"> وغيره</w:t>
      </w:r>
      <w:r w:rsidR="00992664">
        <w:rPr>
          <w:rtl/>
        </w:rPr>
        <w:t xml:space="preserve"> </w:t>
      </w:r>
      <w:r w:rsidR="009B673F">
        <w:rPr>
          <w:rtl/>
        </w:rPr>
        <w:t>-</w:t>
      </w:r>
      <w:r w:rsidR="00992664">
        <w:rPr>
          <w:rtl/>
        </w:rPr>
        <w:t xml:space="preserve"> </w:t>
      </w:r>
      <w:r w:rsidR="00992664" w:rsidRPr="00020424">
        <w:rPr>
          <w:rtl/>
        </w:rPr>
        <w:t>أو لعدم علمهم بمسائل الصوم والفطر وأحكامهما ، أو لعدم فوزهم بالصلاة مع الإمام في أيّام شهر رمضان في عيد الفطر ، بأن يكون المراد بالفطر الإفطار في أوّل شوّال ، ويويّده الحديث الثالث</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DE76B9">
        <w:rPr>
          <w:rStyle w:val="libFootnoteBoldChar"/>
          <w:rtl/>
        </w:rPr>
        <w:t>علل الشرائع</w:t>
      </w:r>
      <w:r w:rsidR="00992664" w:rsidRPr="00020424">
        <w:rPr>
          <w:rtl/>
        </w:rPr>
        <w:t xml:space="preserve"> ، ص 389 ، ح 1 ، عن محمّد بن الحسن ، عن محمّد بن يحيى. </w:t>
      </w:r>
      <w:r w:rsidR="00992664" w:rsidRPr="0012008A">
        <w:rPr>
          <w:rStyle w:val="libFootnoteBoldChar"/>
          <w:rtl/>
        </w:rPr>
        <w:t>الفقيه</w:t>
      </w:r>
      <w:r w:rsidR="00992664" w:rsidRPr="00020424">
        <w:rPr>
          <w:rtl/>
        </w:rPr>
        <w:t xml:space="preserve"> ، ج 2 ، ص 89 ، ح 1812 ، مرسلاً عن الصادق </w:t>
      </w:r>
      <w:r w:rsidR="00992664" w:rsidRPr="00D64ADA">
        <w:rPr>
          <w:rStyle w:val="libFootnoteAlaemChar"/>
          <w:rtl/>
        </w:rPr>
        <w:t>عليه‌السلام</w:t>
      </w:r>
      <w:r w:rsidR="00992664" w:rsidRPr="00020424">
        <w:rPr>
          <w:rtl/>
        </w:rPr>
        <w:t xml:space="preserve"> ، من قوله : « لمّا قتلوا الحسين » </w:t>
      </w:r>
      <w:r w:rsidR="00C900C9">
        <w:rPr>
          <w:rFonts w:hint="cs"/>
          <w:rtl/>
        </w:rPr>
        <w:t>.</w:t>
      </w:r>
      <w:r w:rsidR="00992664" w:rsidRPr="0012008A">
        <w:rPr>
          <w:rStyle w:val="libFootnoteBoldChar"/>
          <w:rtl/>
        </w:rPr>
        <w:t>الوافي</w:t>
      </w:r>
      <w:r w:rsidR="00992664" w:rsidRPr="00020424">
        <w:rPr>
          <w:rtl/>
        </w:rPr>
        <w:t xml:space="preserve"> ، ج 9 ، ص 1340 ، ح 8343 ؛ </w:t>
      </w:r>
      <w:r w:rsidR="00992664" w:rsidRPr="0012008A">
        <w:rPr>
          <w:rStyle w:val="libFootnoteBoldChar"/>
          <w:rtl/>
        </w:rPr>
        <w:t>الوسائل</w:t>
      </w:r>
      <w:r w:rsidR="00992664" w:rsidRPr="00020424">
        <w:rPr>
          <w:rtl/>
        </w:rPr>
        <w:t xml:space="preserve"> ، ج 10 ، ص 295 ، ح 13454.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 بخ ، بر ، بف ، جر ، جن » وحاشية « ى » </w:t>
      </w:r>
      <w:r w:rsidR="00992664" w:rsidRPr="00EB1FD9">
        <w:rPr>
          <w:rStyle w:val="libFootnoteBoldChar"/>
          <w:rtl/>
        </w:rPr>
        <w:t>والوسائل</w:t>
      </w:r>
      <w:r w:rsidR="00992664" w:rsidRPr="00020424">
        <w:rPr>
          <w:rtl/>
        </w:rPr>
        <w:t>. وفي « بث » : « محسن</w:t>
      </w:r>
      <w:r w:rsidR="00992664">
        <w:rPr>
          <w:rtl/>
        </w:rPr>
        <w:t xml:space="preserve"> ».</w:t>
      </w:r>
      <w:r w:rsidR="00992664" w:rsidRPr="00020424">
        <w:rPr>
          <w:rtl/>
        </w:rPr>
        <w:t xml:space="preserve"> وفي « ظ ، ى ، بح ، بس » والمطبوع : « الحسين</w:t>
      </w:r>
      <w:r w:rsidR="00992664">
        <w:rPr>
          <w:rtl/>
        </w:rPr>
        <w:t xml:space="preserve"> ».</w:t>
      </w:r>
      <w:r w:rsidR="00992664" w:rsidRPr="00020424">
        <w:rPr>
          <w:rtl/>
        </w:rPr>
        <w:t xml:space="preserve"> وعليّ بن الحسن هذا ، هو عليّ بن الحسن بن فضّال روى عن عمرو بن عثمان كتابه </w:t>
      </w:r>
      <w:r w:rsidR="00992664" w:rsidRPr="00BF1B3B">
        <w:rPr>
          <w:rtl/>
        </w:rPr>
        <w:t>الجامع في الحلال والحرام.</w:t>
      </w:r>
      <w:r w:rsidR="00992664" w:rsidRPr="00020424">
        <w:rPr>
          <w:rtl/>
        </w:rPr>
        <w:t xml:space="preserve"> راجع : </w:t>
      </w:r>
      <w:r w:rsidR="00992664" w:rsidRPr="00DE76B9">
        <w:rPr>
          <w:rStyle w:val="libFootnoteBoldChar"/>
          <w:rtl/>
        </w:rPr>
        <w:t>رجال النجاشي</w:t>
      </w:r>
      <w:r w:rsidR="00992664" w:rsidRPr="00020424">
        <w:rPr>
          <w:rtl/>
        </w:rPr>
        <w:t xml:space="preserve"> ، ص 287 ، الرقم 766.</w:t>
      </w:r>
    </w:p>
    <w:p w:rsidR="00992664" w:rsidRDefault="00992664" w:rsidP="00B11FD9">
      <w:pPr>
        <w:pStyle w:val="libFootnote0"/>
        <w:rPr>
          <w:rtl/>
          <w:lang w:bidi="fa-IR"/>
        </w:rPr>
      </w:pPr>
      <w:r w:rsidRPr="00B11FD9">
        <w:rPr>
          <w:rtl/>
        </w:rPr>
        <w:t xml:space="preserve">ثمّ إنّه تقدّم غير مرّة أنّ أحمد بن محمّد الراوي عن عليّ بن الحسن هذا ، هو شيخ الكليني ، فعليه ما ورد في </w:t>
      </w:r>
      <w:r w:rsidRPr="00DE76B9">
        <w:rPr>
          <w:rStyle w:val="libFootnoteBoldChar"/>
          <w:rtl/>
        </w:rPr>
        <w:t>علل الشرائع</w:t>
      </w:r>
      <w:r w:rsidRPr="00B11FD9">
        <w:rPr>
          <w:rtl/>
        </w:rPr>
        <w:t xml:space="preserve"> ، ص 389 ، ح 1 ، من نقل الخبر بسنده عن أحمد بن محمّد بن عيسى عن عليّ بن الحسن عن عمرو بن عثمان ، لا يخلو من خللٍ يظهر بالتأمّل.</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بخ » </w:t>
      </w:r>
      <w:r w:rsidR="00992664" w:rsidRPr="00515444">
        <w:rPr>
          <w:rStyle w:val="libFootnoteBoldChar"/>
          <w:rtl/>
        </w:rPr>
        <w:t>والتهذيب</w:t>
      </w:r>
      <w:r w:rsidR="00992664" w:rsidRPr="00020424">
        <w:rPr>
          <w:rtl/>
        </w:rPr>
        <w:t xml:space="preserve"> : « ذبيان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BF1B3B">
      <w:pPr>
        <w:pStyle w:val="libNormal0"/>
        <w:rPr>
          <w:rtl/>
          <w:lang w:bidi="fa-IR"/>
        </w:rPr>
      </w:pPr>
      <w:r w:rsidRPr="00020424">
        <w:rPr>
          <w:rtl/>
          <w:lang w:bidi="fa-IR"/>
        </w:rPr>
        <w:t xml:space="preserve">عَنْ أَبِي جَعْفَرٍ </w:t>
      </w:r>
      <w:r w:rsidRPr="00A91B96">
        <w:rPr>
          <w:rStyle w:val="libFootnotenumChar"/>
          <w:rtl/>
        </w:rPr>
        <w:t>(</w:t>
      </w:r>
      <w:r w:rsidRPr="00A91B96">
        <w:rPr>
          <w:rStyle w:val="libFootnotenumChar"/>
          <w:rFonts w:hint="cs"/>
          <w:rtl/>
        </w:rPr>
        <w:t>1</w:t>
      </w:r>
      <w:r w:rsidRPr="00A91B96">
        <w:rPr>
          <w:rStyle w:val="libFootnotenumChar"/>
          <w:rtl/>
        </w:rPr>
        <w:t>)</w:t>
      </w:r>
      <w:r w:rsidRPr="00020424">
        <w:rPr>
          <w:rtl/>
          <w:lang w:bidi="fa-IR"/>
        </w:rPr>
        <w:t xml:space="preserve"> </w:t>
      </w:r>
      <w:r w:rsidRPr="00005A81">
        <w:rPr>
          <w:rStyle w:val="libAlaemChar"/>
          <w:rtl/>
        </w:rPr>
        <w:t>عليه‌السلام</w:t>
      </w:r>
      <w:r w:rsidRPr="00020424">
        <w:rPr>
          <w:rtl/>
          <w:lang w:bidi="fa-IR"/>
        </w:rPr>
        <w:t xml:space="preserve"> ، قَالَ : قَالَ </w:t>
      </w:r>
      <w:r w:rsidRPr="00A91B96">
        <w:rPr>
          <w:rStyle w:val="libFootnotenumChar"/>
          <w:rtl/>
        </w:rPr>
        <w:t>(</w:t>
      </w:r>
      <w:r w:rsidRPr="00A91B96">
        <w:rPr>
          <w:rStyle w:val="libFootnotenumChar"/>
          <w:rFonts w:hint="cs"/>
          <w:rtl/>
        </w:rPr>
        <w:t>2</w:t>
      </w:r>
      <w:r w:rsidRPr="00A91B96">
        <w:rPr>
          <w:rStyle w:val="libFootnotenumChar"/>
          <w:rtl/>
        </w:rPr>
        <w:t>)</w:t>
      </w:r>
      <w:r w:rsidRPr="00020424">
        <w:rPr>
          <w:rtl/>
          <w:lang w:bidi="fa-IR"/>
        </w:rPr>
        <w:t xml:space="preserve"> : « يَا عَبْدَ اللهِ ، مَا مِنْ </w:t>
      </w:r>
      <w:r w:rsidRPr="00A91B96">
        <w:rPr>
          <w:rStyle w:val="libFootnotenumChar"/>
          <w:rtl/>
        </w:rPr>
        <w:t>(</w:t>
      </w:r>
      <w:r w:rsidRPr="00A91B96">
        <w:rPr>
          <w:rStyle w:val="libFootnotenumChar"/>
          <w:rFonts w:hint="cs"/>
          <w:rtl/>
        </w:rPr>
        <w:t>3</w:t>
      </w:r>
      <w:r w:rsidRPr="00A91B96">
        <w:rPr>
          <w:rStyle w:val="libFootnotenumChar"/>
          <w:rtl/>
        </w:rPr>
        <w:t>)</w:t>
      </w:r>
      <w:r w:rsidRPr="00020424">
        <w:rPr>
          <w:rtl/>
          <w:lang w:bidi="fa-IR"/>
        </w:rPr>
        <w:t xml:space="preserve"> عِيدٍ لِلْمُسْلِمِي</w:t>
      </w:r>
      <w:r w:rsidR="00B11FD9">
        <w:rPr>
          <w:rtl/>
          <w:lang w:bidi="fa-IR"/>
        </w:rPr>
        <w:t>نَ : أَضْحًى وَلَا فِطْرٍ إِل</w:t>
      </w:r>
      <w:r w:rsidR="00B11FD9">
        <w:rPr>
          <w:rFonts w:hint="cs"/>
          <w:rtl/>
          <w:lang w:bidi="fa-IR"/>
        </w:rPr>
        <w:t>َّ</w:t>
      </w:r>
      <w:r w:rsidR="00B11FD9">
        <w:rPr>
          <w:rtl/>
          <w:lang w:bidi="fa-IR"/>
        </w:rPr>
        <w:t>ا</w:t>
      </w:r>
      <w:r w:rsidRPr="00020424">
        <w:rPr>
          <w:rtl/>
          <w:lang w:bidi="fa-IR"/>
        </w:rPr>
        <w:t xml:space="preserve"> وَهُوَ يُجَدِّدُ </w:t>
      </w:r>
      <w:r w:rsidRPr="00A91B96">
        <w:rPr>
          <w:rStyle w:val="libFootnotenumChar"/>
          <w:rtl/>
        </w:rPr>
        <w:t>(</w:t>
      </w:r>
      <w:r w:rsidRPr="00A91B96">
        <w:rPr>
          <w:rStyle w:val="libFootnotenumChar"/>
          <w:rFonts w:hint="cs"/>
          <w:rtl/>
        </w:rPr>
        <w:t>4</w:t>
      </w:r>
      <w:r w:rsidRPr="00A91B96">
        <w:rPr>
          <w:rStyle w:val="libFootnotenumChar"/>
          <w:rtl/>
        </w:rPr>
        <w:t>)</w:t>
      </w:r>
      <w:r w:rsidRPr="00020424">
        <w:rPr>
          <w:rtl/>
          <w:lang w:bidi="fa-IR"/>
        </w:rPr>
        <w:t xml:space="preserve"> لآِلِ مُحَمَّدٍ فِيهِ حُزْناً </w:t>
      </w:r>
      <w:r w:rsidRPr="00A91B96">
        <w:rPr>
          <w:rStyle w:val="libFootnotenumChar"/>
          <w:rtl/>
        </w:rPr>
        <w:t>(</w:t>
      </w:r>
      <w:r w:rsidRPr="00A91B96">
        <w:rPr>
          <w:rStyle w:val="libFootnotenumChar"/>
          <w:rFonts w:hint="cs"/>
          <w:rtl/>
        </w:rPr>
        <w:t>5</w:t>
      </w:r>
      <w:r w:rsidRPr="00A91B96">
        <w:rPr>
          <w:rStyle w:val="libFootnotenumChar"/>
          <w:rtl/>
        </w:rPr>
        <w:t>)</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وَلِمَ ذَاكَ </w:t>
      </w:r>
      <w:r w:rsidRPr="00A91B96">
        <w:rPr>
          <w:rStyle w:val="libFootnotenumChar"/>
          <w:rtl/>
        </w:rPr>
        <w:t>(</w:t>
      </w:r>
      <w:r w:rsidRPr="00A91B96">
        <w:rPr>
          <w:rStyle w:val="libFootnotenumChar"/>
          <w:rFonts w:hint="cs"/>
          <w:rtl/>
        </w:rPr>
        <w:t>6</w:t>
      </w:r>
      <w:r w:rsidRPr="00A91B96">
        <w:rPr>
          <w:rStyle w:val="libFootnotenumChar"/>
          <w:rtl/>
        </w:rPr>
        <w:t>)</w:t>
      </w:r>
      <w:r>
        <w:rPr>
          <w:rtl/>
          <w:lang w:bidi="fa-IR"/>
        </w:rPr>
        <w:t>؟</w:t>
      </w:r>
    </w:p>
    <w:p w:rsidR="00992664" w:rsidRPr="00020424" w:rsidRDefault="00992664" w:rsidP="00992664">
      <w:pPr>
        <w:pStyle w:val="libNormal"/>
        <w:rPr>
          <w:rtl/>
          <w:lang w:bidi="fa-IR"/>
        </w:rPr>
      </w:pPr>
      <w:r w:rsidRPr="00020424">
        <w:rPr>
          <w:rtl/>
          <w:lang w:bidi="fa-IR"/>
        </w:rPr>
        <w:t>قَالَ : « لِأَنَّهُمْ يَرَوْنَ حَقَّهُمْ فِي يَدِ غَيْرِهِمْ</w:t>
      </w:r>
      <w:r>
        <w:rPr>
          <w:rtl/>
          <w:lang w:bidi="fa-IR"/>
        </w:rPr>
        <w:t xml:space="preserve"> ».</w:t>
      </w:r>
      <w:r w:rsidRPr="00020424">
        <w:rPr>
          <w:rtl/>
          <w:lang w:bidi="fa-IR"/>
        </w:rPr>
        <w:t xml:space="preserve"> </w:t>
      </w:r>
      <w:r w:rsidRPr="00A91B96">
        <w:rPr>
          <w:rStyle w:val="libFootnotenumChar"/>
          <w:rtl/>
        </w:rPr>
        <w:t>(</w:t>
      </w:r>
      <w:r w:rsidRPr="00A91B96">
        <w:rPr>
          <w:rStyle w:val="libFootnotenumChar"/>
          <w:rFonts w:hint="cs"/>
          <w:rtl/>
        </w:rPr>
        <w:t>7</w:t>
      </w:r>
      <w:r w:rsidRPr="00A91B96">
        <w:rPr>
          <w:rStyle w:val="libFootnotenumChar"/>
          <w:rtl/>
        </w:rPr>
        <w:t>)</w:t>
      </w:r>
      <w:r w:rsidRPr="00020424">
        <w:rPr>
          <w:rtl/>
          <w:lang w:bidi="fa-IR"/>
        </w:rPr>
        <w:t xml:space="preserve"> ‌</w:t>
      </w:r>
    </w:p>
    <w:p w:rsidR="00992664" w:rsidRPr="00020424" w:rsidRDefault="00992664" w:rsidP="00992664">
      <w:pPr>
        <w:pStyle w:val="libNormal"/>
        <w:rPr>
          <w:rtl/>
          <w:lang w:bidi="fa-IR"/>
        </w:rPr>
      </w:pPr>
      <w:r w:rsidRPr="00343032">
        <w:rPr>
          <w:rtl/>
        </w:rPr>
        <w:t>6648</w:t>
      </w:r>
      <w:r w:rsidRPr="001155DE">
        <w:rPr>
          <w:rStyle w:val="libBold2Char"/>
          <w:rtl/>
        </w:rPr>
        <w:t xml:space="preserve"> / 3.</w:t>
      </w:r>
      <w:r w:rsidRPr="00020424">
        <w:rPr>
          <w:rtl/>
          <w:lang w:bidi="fa-IR"/>
        </w:rPr>
        <w:t xml:space="preserve"> عَلِيُّ بْنُ مُحَمَّدٍ </w:t>
      </w:r>
      <w:r w:rsidRPr="00A91B96">
        <w:rPr>
          <w:rStyle w:val="libFootnotenumChar"/>
          <w:rtl/>
        </w:rPr>
        <w:t>(</w:t>
      </w:r>
      <w:r w:rsidRPr="00A91B96">
        <w:rPr>
          <w:rStyle w:val="libFootnotenumChar"/>
          <w:rFonts w:hint="cs"/>
          <w:rtl/>
        </w:rPr>
        <w:t>8</w:t>
      </w:r>
      <w:r w:rsidRPr="00A91B96">
        <w:rPr>
          <w:rStyle w:val="libFootnotenumChar"/>
          <w:rtl/>
        </w:rPr>
        <w:t>)</w:t>
      </w:r>
      <w:r w:rsidRPr="00020424">
        <w:rPr>
          <w:rtl/>
          <w:lang w:bidi="fa-IR"/>
        </w:rPr>
        <w:t xml:space="preserve"> ، عَمَّنْ ذَكَرَهُ ، عَنْ مُحَمَّدِ بْنِ سُلَيْمَانَ ، عَنْ عَبْدِ اللهِ بْنِ لَطِيفٍ </w:t>
      </w:r>
      <w:r w:rsidRPr="00A91B96">
        <w:rPr>
          <w:rStyle w:val="libFootnotenumChar"/>
          <w:rtl/>
        </w:rPr>
        <w:t>(</w:t>
      </w:r>
      <w:r w:rsidRPr="00A91B96">
        <w:rPr>
          <w:rStyle w:val="libFootnotenumChar"/>
          <w:rFonts w:hint="cs"/>
          <w:rtl/>
        </w:rPr>
        <w:t>9</w:t>
      </w:r>
      <w:r w:rsidRPr="00A91B96">
        <w:rPr>
          <w:rStyle w:val="libFootnotenumChar"/>
          <w:rtl/>
        </w:rPr>
        <w:t>)</w:t>
      </w:r>
      <w:r w:rsidRPr="00020424">
        <w:rPr>
          <w:rtl/>
          <w:lang w:bidi="fa-IR"/>
        </w:rPr>
        <w:t xml:space="preserve"> التَّفْلِيسِيِّ ، عَنْ رَزِينٍ </w:t>
      </w:r>
      <w:r w:rsidRPr="00A91B96">
        <w:rPr>
          <w:rStyle w:val="libFootnotenumChar"/>
          <w:rtl/>
        </w:rPr>
        <w:t>(</w:t>
      </w:r>
      <w:r w:rsidRPr="00A91B96">
        <w:rPr>
          <w:rStyle w:val="libFootnotenumChar"/>
          <w:rFonts w:hint="cs"/>
          <w:rtl/>
        </w:rPr>
        <w:t>10</w:t>
      </w:r>
      <w:r w:rsidRPr="00A91B96">
        <w:rPr>
          <w:rStyle w:val="libFootnotenumChar"/>
          <w:rtl/>
        </w:rPr>
        <w:t>)</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لَمَّا ضُرِبَ الْحُسَيْنُ بْنُ عَلِيٍّ </w:t>
      </w:r>
      <w:r w:rsidRPr="00005A81">
        <w:rPr>
          <w:rStyle w:val="libAlaemChar"/>
          <w:rtl/>
        </w:rPr>
        <w:t>عليه‌السلام</w:t>
      </w:r>
      <w:r w:rsidRPr="00020424">
        <w:rPr>
          <w:rtl/>
          <w:lang w:bidi="fa-IR"/>
        </w:rPr>
        <w:t xml:space="preserve"> بِالسَّيْفِ ، فَسَقَطَ رَأْسُهُ </w:t>
      </w:r>
      <w:r w:rsidRPr="00A91B96">
        <w:rPr>
          <w:rStyle w:val="libFootnotenumChar"/>
          <w:rtl/>
        </w:rPr>
        <w:t>(</w:t>
      </w:r>
      <w:r w:rsidRPr="00A91B96">
        <w:rPr>
          <w:rStyle w:val="libFootnotenumChar"/>
          <w:rFonts w:hint="cs"/>
          <w:rtl/>
        </w:rPr>
        <w:t>11</w:t>
      </w:r>
      <w:r w:rsidRPr="00A91B96">
        <w:rPr>
          <w:rStyle w:val="libFootnotenumChar"/>
          <w:rtl/>
        </w:rPr>
        <w:t>)</w:t>
      </w:r>
      <w:r w:rsidRPr="00020424">
        <w:rPr>
          <w:rtl/>
          <w:lang w:bidi="fa-IR"/>
        </w:rPr>
        <w:t xml:space="preserve"> ، ثُمَّ ابْتُدِرَ لِيُقْطَعَ رَأْسُهُ ، نَادى مُنَادٍ مِنْ بُطْنَانِ الْعَرْشِ : أَلَا أَيَّتُهَا الْأُمَّةُ الْمُتَحَيِّرَةُ </w:t>
      </w:r>
      <w:r w:rsidRPr="00A91B96">
        <w:rPr>
          <w:rStyle w:val="libFootnotenumChar"/>
          <w:rtl/>
        </w:rPr>
        <w:t>(</w:t>
      </w:r>
      <w:r w:rsidRPr="00A91B96">
        <w:rPr>
          <w:rStyle w:val="libFootnotenumChar"/>
          <w:rFonts w:hint="cs"/>
          <w:rtl/>
        </w:rPr>
        <w:t>12</w:t>
      </w:r>
      <w:r w:rsidRPr="00A91B96">
        <w:rPr>
          <w:rStyle w:val="libFootnotenumChar"/>
          <w:rtl/>
        </w:rPr>
        <w:t>)</w:t>
      </w:r>
      <w:r w:rsidRPr="00020424">
        <w:rPr>
          <w:rtl/>
          <w:lang w:bidi="fa-IR"/>
        </w:rPr>
        <w:t xml:space="preserve"> الضَّالَّةُ </w:t>
      </w:r>
      <w:r w:rsidRPr="00A91B96">
        <w:rPr>
          <w:rStyle w:val="libFootnotenumChar"/>
          <w:rtl/>
        </w:rPr>
        <w:t>(</w:t>
      </w:r>
      <w:r w:rsidRPr="00A91B96">
        <w:rPr>
          <w:rStyle w:val="libFootnotenumChar"/>
          <w:rFonts w:hint="cs"/>
          <w:rtl/>
        </w:rPr>
        <w:t>13</w:t>
      </w:r>
      <w:r w:rsidRPr="00A91B96">
        <w:rPr>
          <w:rStyle w:val="libFootnotenumChar"/>
          <w:rtl/>
        </w:rPr>
        <w:t>)</w:t>
      </w:r>
      <w:r w:rsidRPr="00020424">
        <w:rPr>
          <w:rtl/>
          <w:lang w:bidi="fa-IR"/>
        </w:rPr>
        <w:t xml:space="preserve"> بَعْدَ نَبِيِّهَا ، لَاوَفَّقَكُمُ اللهُ لِأَضْحًى وَلَالِفِطْرٍ </w:t>
      </w:r>
      <w:r w:rsidRPr="00A91B96">
        <w:rPr>
          <w:rStyle w:val="libFootnotenumChar"/>
          <w:rtl/>
        </w:rPr>
        <w:t>(</w:t>
      </w:r>
      <w:r w:rsidRPr="00A91B96">
        <w:rPr>
          <w:rStyle w:val="libFootnotenumChar"/>
          <w:rFonts w:hint="cs"/>
          <w:rtl/>
        </w:rPr>
        <w:t>14</w:t>
      </w:r>
      <w:r w:rsidRPr="00A91B96">
        <w:rPr>
          <w:rStyle w:val="libFootnotenumChar"/>
          <w:rtl/>
        </w:rPr>
        <w:t>)</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ثُمَّ قَالَ أَبُو عَبْدِ اللهِ </w:t>
      </w:r>
      <w:r w:rsidRPr="00005A81">
        <w:rPr>
          <w:rStyle w:val="libAlaemChar"/>
          <w:rtl/>
        </w:rPr>
        <w:t>عليه‌السلام</w:t>
      </w:r>
      <w:r w:rsidRPr="00020424">
        <w:rPr>
          <w:rtl/>
          <w:lang w:bidi="fa-IR"/>
        </w:rPr>
        <w:t xml:space="preserve"> : « فَلَا جَرَمَ وَاللهِ مَا وُفِّقُوا وَلَايُوَفَّقُونَ حَتّى يَثْأَرَ </w:t>
      </w:r>
      <w:r w:rsidRPr="00A91B96">
        <w:rPr>
          <w:rStyle w:val="libFootnotenumChar"/>
          <w:rtl/>
        </w:rPr>
        <w:t>(</w:t>
      </w:r>
      <w:r w:rsidRPr="00A91B96">
        <w:rPr>
          <w:rStyle w:val="libFootnotenumChar"/>
          <w:rFonts w:hint="cs"/>
          <w:rtl/>
        </w:rPr>
        <w:t>15</w:t>
      </w:r>
      <w:r w:rsidRPr="00A91B96">
        <w:rPr>
          <w:rStyle w:val="libFootnotenumChar"/>
          <w:rtl/>
        </w:rPr>
        <w:t>)</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5117FC">
      <w:pPr>
        <w:pStyle w:val="libFootnote0"/>
        <w:rPr>
          <w:rtl/>
          <w:lang w:bidi="fa-IR"/>
        </w:rPr>
      </w:pPr>
      <w:r>
        <w:rPr>
          <w:rtl/>
        </w:rPr>
        <w:t>(</w:t>
      </w:r>
      <w:r w:rsidR="005117FC">
        <w:rPr>
          <w:rFonts w:hint="cs"/>
          <w:rtl/>
        </w:rPr>
        <w:t>1</w:t>
      </w:r>
      <w:r>
        <w:rPr>
          <w:rtl/>
        </w:rPr>
        <w:t>).</w:t>
      </w:r>
      <w:r w:rsidR="0014403D">
        <w:rPr>
          <w:rtl/>
        </w:rPr>
        <w:t xml:space="preserve"> </w:t>
      </w:r>
      <w:r w:rsidR="00992664" w:rsidRPr="00020424">
        <w:rPr>
          <w:rtl/>
        </w:rPr>
        <w:t>في « ى » : « أبي عبد الله</w:t>
      </w:r>
      <w:r w:rsidR="00992664">
        <w:rPr>
          <w:rtl/>
        </w:rPr>
        <w:t xml:space="preserve"> ».</w:t>
      </w:r>
      <w:r w:rsidR="00992664" w:rsidRPr="00020424">
        <w:rPr>
          <w:rtl/>
        </w:rPr>
        <w:t xml:space="preserve"> وفي « بح » : « جعفر » بدل « أبي جعفر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117FC" w:rsidTr="005117FC">
        <w:tc>
          <w:tcPr>
            <w:tcW w:w="4006" w:type="dxa"/>
          </w:tcPr>
          <w:p w:rsidR="005117FC" w:rsidRDefault="005117FC" w:rsidP="005117FC">
            <w:pPr>
              <w:pStyle w:val="libFootnote0"/>
              <w:rPr>
                <w:rtl/>
                <w:lang w:bidi="fa-IR"/>
              </w:rPr>
            </w:pPr>
            <w:r>
              <w:rPr>
                <w:rtl/>
              </w:rPr>
              <w:t>(</w:t>
            </w:r>
            <w:r>
              <w:rPr>
                <w:rFonts w:hint="cs"/>
                <w:rtl/>
              </w:rPr>
              <w:t>2</w:t>
            </w:r>
            <w:r>
              <w:rPr>
                <w:rtl/>
              </w:rPr>
              <w:t xml:space="preserve">). </w:t>
            </w:r>
            <w:r w:rsidRPr="00020424">
              <w:rPr>
                <w:rtl/>
              </w:rPr>
              <w:t>في « ى » :</w:t>
            </w:r>
            <w:r>
              <w:rPr>
                <w:rtl/>
              </w:rPr>
              <w:t xml:space="preserve"> - </w:t>
            </w:r>
            <w:r w:rsidRPr="00020424">
              <w:rPr>
                <w:rtl/>
              </w:rPr>
              <w:t>« قال</w:t>
            </w:r>
            <w:r>
              <w:rPr>
                <w:rtl/>
              </w:rPr>
              <w:t xml:space="preserve"> ».</w:t>
            </w:r>
          </w:p>
        </w:tc>
        <w:tc>
          <w:tcPr>
            <w:tcW w:w="4006" w:type="dxa"/>
          </w:tcPr>
          <w:p w:rsidR="005117FC" w:rsidRDefault="005117FC" w:rsidP="005117FC">
            <w:pPr>
              <w:pStyle w:val="libFootnote0"/>
              <w:rPr>
                <w:rtl/>
                <w:lang w:bidi="fa-IR"/>
              </w:rPr>
            </w:pPr>
            <w:r>
              <w:rPr>
                <w:rtl/>
              </w:rPr>
              <w:t>(</w:t>
            </w:r>
            <w:r>
              <w:rPr>
                <w:rFonts w:hint="cs"/>
                <w:rtl/>
              </w:rPr>
              <w:t>3</w:t>
            </w:r>
            <w:r>
              <w:rPr>
                <w:rtl/>
              </w:rPr>
              <w:t xml:space="preserve">). </w:t>
            </w:r>
            <w:r w:rsidRPr="00020424">
              <w:rPr>
                <w:rtl/>
              </w:rPr>
              <w:t>في « بح ، بر » : « مرّ</w:t>
            </w:r>
            <w:r>
              <w:rPr>
                <w:rtl/>
              </w:rPr>
              <w:t xml:space="preserve"> ».</w:t>
            </w:r>
          </w:p>
        </w:tc>
      </w:tr>
      <w:tr w:rsidR="005117FC" w:rsidTr="005117FC">
        <w:tc>
          <w:tcPr>
            <w:tcW w:w="4006" w:type="dxa"/>
          </w:tcPr>
          <w:p w:rsidR="005117FC" w:rsidRDefault="005117FC" w:rsidP="005117FC">
            <w:pPr>
              <w:pStyle w:val="libFootnote0"/>
              <w:rPr>
                <w:rtl/>
                <w:lang w:bidi="fa-IR"/>
              </w:rPr>
            </w:pPr>
            <w:r>
              <w:rPr>
                <w:rtl/>
              </w:rPr>
              <w:t>(</w:t>
            </w:r>
            <w:r>
              <w:rPr>
                <w:rFonts w:hint="cs"/>
                <w:rtl/>
              </w:rPr>
              <w:t>4</w:t>
            </w:r>
            <w:r>
              <w:rPr>
                <w:rtl/>
              </w:rPr>
              <w:t xml:space="preserve">). </w:t>
            </w:r>
            <w:r w:rsidRPr="00020424">
              <w:rPr>
                <w:rtl/>
              </w:rPr>
              <w:t>في « بر » : « مجدّد</w:t>
            </w:r>
            <w:r>
              <w:rPr>
                <w:rtl/>
              </w:rPr>
              <w:t xml:space="preserve"> ».</w:t>
            </w:r>
          </w:p>
        </w:tc>
        <w:tc>
          <w:tcPr>
            <w:tcW w:w="4006" w:type="dxa"/>
          </w:tcPr>
          <w:p w:rsidR="005117FC" w:rsidRDefault="005117FC" w:rsidP="005117FC">
            <w:pPr>
              <w:pStyle w:val="libFootnote0"/>
              <w:rPr>
                <w:rtl/>
                <w:lang w:bidi="fa-IR"/>
              </w:rPr>
            </w:pPr>
            <w:r>
              <w:rPr>
                <w:rtl/>
              </w:rPr>
              <w:t>(</w:t>
            </w:r>
            <w:r>
              <w:rPr>
                <w:rFonts w:hint="cs"/>
                <w:rtl/>
              </w:rPr>
              <w:t>5</w:t>
            </w:r>
            <w:r>
              <w:rPr>
                <w:rtl/>
              </w:rPr>
              <w:t xml:space="preserve">). </w:t>
            </w:r>
            <w:r w:rsidRPr="00020424">
              <w:rPr>
                <w:rtl/>
              </w:rPr>
              <w:t xml:space="preserve">في </w:t>
            </w:r>
            <w:r w:rsidRPr="0012008A">
              <w:rPr>
                <w:rStyle w:val="libFootnoteBoldChar"/>
                <w:rtl/>
              </w:rPr>
              <w:t>الوافي</w:t>
            </w:r>
            <w:r w:rsidRPr="00020424">
              <w:rPr>
                <w:rtl/>
              </w:rPr>
              <w:t xml:space="preserve"> : « حزن</w:t>
            </w:r>
            <w:r>
              <w:rPr>
                <w:rtl/>
              </w:rPr>
              <w:t xml:space="preserve"> ».</w:t>
            </w:r>
          </w:p>
        </w:tc>
      </w:tr>
    </w:tbl>
    <w:p w:rsidR="00992664" w:rsidRPr="00020424" w:rsidRDefault="00795177" w:rsidP="005117FC">
      <w:pPr>
        <w:pStyle w:val="libFootnote0"/>
        <w:rPr>
          <w:rtl/>
          <w:lang w:bidi="fa-IR"/>
        </w:rPr>
      </w:pPr>
      <w:r>
        <w:rPr>
          <w:rtl/>
        </w:rPr>
        <w:t>(</w:t>
      </w:r>
      <w:r w:rsidR="005117FC">
        <w:rPr>
          <w:rFonts w:hint="cs"/>
          <w:rtl/>
        </w:rPr>
        <w:t>6</w:t>
      </w:r>
      <w:r>
        <w:rPr>
          <w:rtl/>
        </w:rPr>
        <w:t>).</w:t>
      </w:r>
      <w:r w:rsidR="0014403D">
        <w:rPr>
          <w:rtl/>
        </w:rPr>
        <w:t xml:space="preserve"> </w:t>
      </w:r>
      <w:r w:rsidR="00992664" w:rsidRPr="00020424">
        <w:rPr>
          <w:rtl/>
        </w:rPr>
        <w:t>في « ظ » : « ذلك</w:t>
      </w:r>
      <w:r w:rsidR="00992664">
        <w:rPr>
          <w:rtl/>
        </w:rPr>
        <w:t xml:space="preserve"> ».</w:t>
      </w:r>
    </w:p>
    <w:p w:rsidR="00992664" w:rsidRPr="00020424" w:rsidRDefault="00795177" w:rsidP="00202D00">
      <w:pPr>
        <w:pStyle w:val="libFootnote0"/>
        <w:rPr>
          <w:rtl/>
          <w:lang w:bidi="fa-IR"/>
        </w:rPr>
      </w:pPr>
      <w:r>
        <w:rPr>
          <w:rtl/>
        </w:rPr>
        <w:t>(</w:t>
      </w:r>
      <w:r w:rsidR="005117FC">
        <w:rPr>
          <w:rFonts w:hint="cs"/>
          <w:rtl/>
        </w:rPr>
        <w:t>7</w:t>
      </w:r>
      <w:r>
        <w:rPr>
          <w:rtl/>
        </w:rPr>
        <w:t>).</w:t>
      </w:r>
      <w:r w:rsidR="0014403D">
        <w:rPr>
          <w:rtl/>
        </w:rPr>
        <w:t xml:space="preserve"> </w:t>
      </w:r>
      <w:r w:rsidR="00992664" w:rsidRPr="00343032">
        <w:rPr>
          <w:rtl/>
        </w:rPr>
        <w:t>علل الشرائع</w:t>
      </w:r>
      <w:r w:rsidR="00992664" w:rsidRPr="00020424">
        <w:rPr>
          <w:rtl/>
        </w:rPr>
        <w:t xml:space="preserve"> ، ص 389 ، ح 1 ، بسنده عن أحمد بن محمّد بن عيسى ، عن عليّ بن الحسن ، عن عمرو بن عثمان. </w:t>
      </w:r>
      <w:r w:rsidR="00992664" w:rsidRPr="0012008A">
        <w:rPr>
          <w:rStyle w:val="libFootnoteBoldChar"/>
          <w:rtl/>
        </w:rPr>
        <w:t>الفقيه</w:t>
      </w:r>
      <w:r w:rsidR="00992664" w:rsidRPr="00020424">
        <w:rPr>
          <w:rtl/>
        </w:rPr>
        <w:t xml:space="preserve"> ، ج 2 ، ص 174 ، ح 2058 ، معلّقاً عن حنان بن سدير ؛ </w:t>
      </w:r>
      <w:r w:rsidR="00992664" w:rsidRPr="0012008A">
        <w:rPr>
          <w:rStyle w:val="libFootnoteBoldChar"/>
          <w:rtl/>
        </w:rPr>
        <w:t>التهذيب</w:t>
      </w:r>
      <w:r w:rsidR="00992664" w:rsidRPr="00020424">
        <w:rPr>
          <w:rtl/>
        </w:rPr>
        <w:t xml:space="preserve"> ، ج 3 ، ص 289 ، ح 870 ، بسنده عن حنان بن سدير. </w:t>
      </w:r>
      <w:r w:rsidR="00992664" w:rsidRPr="0012008A">
        <w:rPr>
          <w:rStyle w:val="libFootnoteBoldChar"/>
          <w:rtl/>
        </w:rPr>
        <w:t>الفقيه</w:t>
      </w:r>
      <w:r w:rsidR="00992664" w:rsidRPr="00020424">
        <w:rPr>
          <w:rtl/>
        </w:rPr>
        <w:t xml:space="preserve"> ، ج 1 ، ص 511 ، ح 1480 ، مرسلاً </w:t>
      </w:r>
      <w:r w:rsidR="00202D00">
        <w:rPr>
          <w:rFonts w:hint="cs"/>
          <w:rtl/>
        </w:rPr>
        <w:t>.</w:t>
      </w:r>
      <w:r w:rsidR="00992664" w:rsidRPr="0012008A">
        <w:rPr>
          <w:rStyle w:val="libFootnoteBoldChar"/>
          <w:rtl/>
        </w:rPr>
        <w:t>الوافي</w:t>
      </w:r>
      <w:r w:rsidR="00992664" w:rsidRPr="00020424">
        <w:rPr>
          <w:rtl/>
        </w:rPr>
        <w:t xml:space="preserve"> ، ج 9 ، ص 1337 ، ح 8337 ؛ </w:t>
      </w:r>
      <w:r w:rsidR="00992664" w:rsidRPr="0012008A">
        <w:rPr>
          <w:rStyle w:val="libFootnoteBoldChar"/>
          <w:rtl/>
        </w:rPr>
        <w:t>الوسائل</w:t>
      </w:r>
      <w:r w:rsidR="00992664" w:rsidRPr="00020424">
        <w:rPr>
          <w:rtl/>
        </w:rPr>
        <w:t xml:space="preserve"> ، ج 7 ، ص 475 ، ذيل ح 9898.</w:t>
      </w:r>
      <w:r>
        <w:rPr>
          <w:rtl/>
        </w:rPr>
        <w:t>(</w:t>
      </w:r>
      <w:r w:rsidR="00202D00">
        <w:rPr>
          <w:rFonts w:hint="cs"/>
          <w:rtl/>
        </w:rPr>
        <w:t>8</w:t>
      </w:r>
      <w:r>
        <w:rPr>
          <w:rtl/>
        </w:rPr>
        <w:t>).</w:t>
      </w:r>
      <w:r w:rsidR="0014403D">
        <w:rPr>
          <w:rtl/>
        </w:rPr>
        <w:t xml:space="preserve"> </w:t>
      </w:r>
      <w:r w:rsidR="00992664" w:rsidRPr="00020424">
        <w:rPr>
          <w:rtl/>
        </w:rPr>
        <w:t>في « بف ، جن » : « عليّ بن إبراهيم</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9</w:t>
      </w:r>
      <w:r>
        <w:rPr>
          <w:rtl/>
        </w:rPr>
        <w:t>).</w:t>
      </w:r>
      <w:r w:rsidR="0014403D">
        <w:rPr>
          <w:rtl/>
        </w:rPr>
        <w:t xml:space="preserve"> </w:t>
      </w:r>
      <w:r w:rsidR="00992664" w:rsidRPr="00020424">
        <w:rPr>
          <w:rtl/>
        </w:rPr>
        <w:t>في العلل : « الجنيد</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10</w:t>
      </w:r>
      <w:r>
        <w:rPr>
          <w:rtl/>
        </w:rPr>
        <w:t>).</w:t>
      </w:r>
      <w:r w:rsidR="0014403D">
        <w:rPr>
          <w:rtl/>
        </w:rPr>
        <w:t xml:space="preserve"> </w:t>
      </w:r>
      <w:r w:rsidR="00992664" w:rsidRPr="00020424">
        <w:rPr>
          <w:rtl/>
        </w:rPr>
        <w:t xml:space="preserve">في « بث ، بخ » </w:t>
      </w:r>
      <w:r w:rsidR="00992664" w:rsidRPr="00515444">
        <w:rPr>
          <w:rStyle w:val="libFootnoteBoldChar"/>
          <w:rtl/>
        </w:rPr>
        <w:t>والوافي</w:t>
      </w:r>
      <w:r w:rsidR="00992664" w:rsidRPr="00020424">
        <w:rPr>
          <w:rtl/>
        </w:rPr>
        <w:t xml:space="preserve"> : « زريق</w:t>
      </w:r>
      <w:r w:rsidR="00992664">
        <w:rPr>
          <w:rtl/>
        </w:rPr>
        <w:t xml:space="preserve"> ».</w:t>
      </w:r>
      <w:r w:rsidR="00992664" w:rsidRPr="00020424">
        <w:rPr>
          <w:rtl/>
        </w:rPr>
        <w:t xml:space="preserve"> وفي « بر ، بف » : « زرين</w:t>
      </w:r>
      <w:r w:rsidR="00992664">
        <w:rPr>
          <w:rtl/>
        </w:rPr>
        <w:t xml:space="preserve"> ».</w:t>
      </w:r>
      <w:r w:rsidR="00992664" w:rsidRPr="00020424">
        <w:rPr>
          <w:rtl/>
        </w:rPr>
        <w:t xml:space="preserve"> وفي « جر » : « رزيق</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11</w:t>
      </w:r>
      <w:r>
        <w:rPr>
          <w:rtl/>
        </w:rPr>
        <w:t>).</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رأسه</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12</w:t>
      </w:r>
      <w:r>
        <w:rPr>
          <w:rtl/>
        </w:rPr>
        <w:t>).</w:t>
      </w:r>
      <w:r w:rsidR="0014403D">
        <w:rPr>
          <w:rtl/>
        </w:rPr>
        <w:t xml:space="preserve"> </w:t>
      </w:r>
      <w:r w:rsidR="00992664" w:rsidRPr="00020424">
        <w:rPr>
          <w:rtl/>
        </w:rPr>
        <w:t>في « بخ » : « المتجريّة</w:t>
      </w:r>
      <w:r w:rsidR="00992664">
        <w:rPr>
          <w:rtl/>
        </w:rPr>
        <w:t xml:space="preserve"> ».</w:t>
      </w:r>
      <w:r w:rsidR="00992664" w:rsidRPr="00020424">
        <w:rPr>
          <w:rtl/>
        </w:rPr>
        <w:t xml:space="preserve"> وفي « بث » والعلل : « والمتجبّرة</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13</w:t>
      </w:r>
      <w:r>
        <w:rPr>
          <w:rtl/>
        </w:rPr>
        <w:t>).</w:t>
      </w:r>
      <w:r w:rsidR="0014403D">
        <w:rPr>
          <w:rtl/>
        </w:rPr>
        <w:t xml:space="preserve"> </w:t>
      </w:r>
      <w:r w:rsidR="00992664" w:rsidRPr="00020424">
        <w:rPr>
          <w:rtl/>
        </w:rPr>
        <w:t xml:space="preserve">في « بخ ، بر ، بف » وحاشية « بث ، جن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 الظالمة</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14</w:t>
      </w:r>
      <w:r>
        <w:rPr>
          <w:rtl/>
        </w:rPr>
        <w:t>).</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والعلل : « ولا فطر</w:t>
      </w:r>
      <w:r w:rsidR="00992664">
        <w:rPr>
          <w:rtl/>
        </w:rPr>
        <w:t xml:space="preserve"> ».</w:t>
      </w:r>
    </w:p>
    <w:p w:rsidR="00992664" w:rsidRPr="00020424" w:rsidRDefault="00795177" w:rsidP="00202D00">
      <w:pPr>
        <w:pStyle w:val="libFootnote0"/>
        <w:rPr>
          <w:rtl/>
          <w:lang w:bidi="fa-IR"/>
        </w:rPr>
      </w:pPr>
      <w:r>
        <w:rPr>
          <w:rtl/>
        </w:rPr>
        <w:t>(</w:t>
      </w:r>
      <w:r w:rsidR="00202D00">
        <w:rPr>
          <w:rFonts w:hint="cs"/>
          <w:rtl/>
        </w:rPr>
        <w:t>15</w:t>
      </w:r>
      <w:r>
        <w:rPr>
          <w:rtl/>
        </w:rPr>
        <w:t>).</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تبأر</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والعلل : « يثور</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64DE0">
      <w:pPr>
        <w:pStyle w:val="libNormal0"/>
        <w:rPr>
          <w:rtl/>
          <w:lang w:bidi="fa-IR"/>
        </w:rPr>
      </w:pPr>
      <w:r w:rsidRPr="00020424">
        <w:rPr>
          <w:rtl/>
          <w:lang w:bidi="fa-IR"/>
        </w:rPr>
        <w:t xml:space="preserve">ثَائِرُ </w:t>
      </w:r>
      <w:r w:rsidRPr="00A91B96">
        <w:rPr>
          <w:rStyle w:val="libFootnotenumChar"/>
          <w:rtl/>
        </w:rPr>
        <w:t>(1)</w:t>
      </w:r>
      <w:r w:rsidRPr="00020424">
        <w:rPr>
          <w:rtl/>
          <w:lang w:bidi="fa-IR"/>
        </w:rPr>
        <w:t xml:space="preserve"> الْحُسَيْنِ </w:t>
      </w:r>
      <w:r w:rsidRPr="00005A81">
        <w:rPr>
          <w:rStyle w:val="libAlaemChar"/>
          <w:rtl/>
        </w:rPr>
        <w:t>عليه‌السلام</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343032">
        <w:rPr>
          <w:rtl/>
        </w:rPr>
        <w:t>6649</w:t>
      </w:r>
      <w:r w:rsidRPr="001155DE">
        <w:rPr>
          <w:rStyle w:val="libBold2Char"/>
          <w:rtl/>
        </w:rPr>
        <w:t xml:space="preserve"> / 4.</w:t>
      </w:r>
      <w:r w:rsidRPr="00020424">
        <w:rPr>
          <w:rtl/>
          <w:lang w:bidi="fa-IR"/>
        </w:rPr>
        <w:t xml:space="preserve"> الْحُسَيْنُ بْنُ مُحَمَّدٍ ، عَنِ الْحَرَّانِيِّ </w:t>
      </w:r>
      <w:r w:rsidRPr="00A91B96">
        <w:rPr>
          <w:rStyle w:val="libFootnotenumChar"/>
          <w:rtl/>
        </w:rPr>
        <w:t>(3)</w:t>
      </w:r>
      <w:r w:rsidRPr="00020424">
        <w:rPr>
          <w:rtl/>
          <w:lang w:bidi="fa-IR"/>
        </w:rPr>
        <w:t xml:space="preserve"> ، عَنْ عَلِيِّ بْنِ مُحَمَّدٍ النَّوْفَلِيِّ ، قَالَ :</w:t>
      </w:r>
    </w:p>
    <w:p w:rsidR="00992664" w:rsidRPr="00020424" w:rsidRDefault="00992664" w:rsidP="00992664">
      <w:pPr>
        <w:pStyle w:val="libNormal"/>
        <w:rPr>
          <w:rtl/>
          <w:lang w:bidi="fa-IR"/>
        </w:rPr>
      </w:pPr>
      <w:r w:rsidRPr="00020424">
        <w:rPr>
          <w:rtl/>
          <w:lang w:bidi="fa-IR"/>
        </w:rPr>
        <w:t xml:space="preserve">قُلْتُ لِأَبِي الْحَسَنِ </w:t>
      </w:r>
      <w:r w:rsidRPr="00005A81">
        <w:rPr>
          <w:rStyle w:val="libAlaemChar"/>
          <w:rtl/>
        </w:rPr>
        <w:t>عليه‌السلام</w:t>
      </w:r>
      <w:r w:rsidRPr="00020424">
        <w:rPr>
          <w:rtl/>
          <w:lang w:bidi="fa-IR"/>
        </w:rPr>
        <w:t xml:space="preserve"> : إِنِّي أَفْطَرْتُ يَوْمَ الْفِطْرِ عَلى طِينٍ </w:t>
      </w:r>
      <w:r w:rsidRPr="00A91B96">
        <w:rPr>
          <w:rStyle w:val="libFootnotenumChar"/>
          <w:rtl/>
        </w:rPr>
        <w:t>(4)</w:t>
      </w:r>
      <w:r w:rsidRPr="00020424">
        <w:rPr>
          <w:rtl/>
          <w:lang w:bidi="fa-IR"/>
        </w:rPr>
        <w:t xml:space="preserve"> وَتَمْرٍ </w:t>
      </w:r>
      <w:r w:rsidRPr="00A91B96">
        <w:rPr>
          <w:rStyle w:val="libFootnotenumChar"/>
          <w:rtl/>
        </w:rPr>
        <w:t>(5)</w:t>
      </w:r>
    </w:p>
    <w:p w:rsidR="00992664" w:rsidRPr="00020424" w:rsidRDefault="00992664" w:rsidP="00992664">
      <w:pPr>
        <w:pStyle w:val="libNormal"/>
        <w:rPr>
          <w:rtl/>
          <w:lang w:bidi="fa-IR"/>
        </w:rPr>
      </w:pPr>
      <w:r w:rsidRPr="00020424">
        <w:rPr>
          <w:rtl/>
          <w:lang w:bidi="fa-IR"/>
        </w:rPr>
        <w:t xml:space="preserve">فَقَالَ لِي </w:t>
      </w:r>
      <w:r w:rsidRPr="00A91B96">
        <w:rPr>
          <w:rStyle w:val="libFootnotenumChar"/>
          <w:rtl/>
        </w:rPr>
        <w:t>(6)</w:t>
      </w:r>
      <w:r w:rsidRPr="00020424">
        <w:rPr>
          <w:rtl/>
          <w:lang w:bidi="fa-IR"/>
        </w:rPr>
        <w:t xml:space="preserve"> : « جَمَعْتَ بَرَكَةً وَسُنَّةً</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343032">
        <w:rPr>
          <w:rtl/>
        </w:rPr>
        <w:t>6650</w:t>
      </w:r>
      <w:r w:rsidRPr="001155DE">
        <w:rPr>
          <w:rStyle w:val="libBold2Char"/>
          <w:rtl/>
        </w:rPr>
        <w:t xml:space="preserve"> / 5.</w:t>
      </w:r>
      <w:r w:rsidRPr="00020424">
        <w:rPr>
          <w:rtl/>
          <w:lang w:bidi="fa-IR"/>
        </w:rPr>
        <w:t xml:space="preserve"> سَهْلُ بْنُ زِيَادٍ </w:t>
      </w:r>
      <w:r w:rsidRPr="00A91B96">
        <w:rPr>
          <w:rStyle w:val="libFootnotenumChar"/>
          <w:rtl/>
        </w:rPr>
        <w:t>(8)</w:t>
      </w:r>
      <w:r w:rsidRPr="00020424">
        <w:rPr>
          <w:rtl/>
          <w:lang w:bidi="fa-IR"/>
        </w:rPr>
        <w:t xml:space="preserve"> ، عَنْ يَعْقُوبَ بْنِ يَزِيدَ ، عَنْ يَحْيَى بْنِ الْمُبَارَكِ ، عَنْ‌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بس » </w:t>
      </w:r>
      <w:r w:rsidR="00992664" w:rsidRPr="00515444">
        <w:rPr>
          <w:rStyle w:val="libFootnoteBoldChar"/>
          <w:rtl/>
        </w:rPr>
        <w:t>والوافي</w:t>
      </w:r>
      <w:r w:rsidR="00992664" w:rsidRPr="00020424">
        <w:rPr>
          <w:rtl/>
        </w:rPr>
        <w:t xml:space="preserve"> : « بثأر</w:t>
      </w:r>
      <w:r w:rsidR="00992664">
        <w:rPr>
          <w:rtl/>
        </w:rPr>
        <w:t xml:space="preserve"> ».</w:t>
      </w:r>
      <w:r w:rsidR="00992664" w:rsidRPr="00020424">
        <w:rPr>
          <w:rtl/>
        </w:rPr>
        <w:t xml:space="preserve"> والثَّأْر : الطلب بالدم ، والدم نفسه ، وقاتل حميمك. </w:t>
      </w:r>
      <w:r w:rsidR="00992664">
        <w:rPr>
          <w:rtl/>
        </w:rPr>
        <w:t>و «</w:t>
      </w:r>
      <w:r w:rsidR="00992664" w:rsidRPr="00020424">
        <w:rPr>
          <w:rtl/>
        </w:rPr>
        <w:t xml:space="preserve"> الثائر » : الطالب ، والمطلوب ، والذي لا يبقى على شي‌ء حتّى يُدرِك ثَأْرَه. راجع : </w:t>
      </w:r>
      <w:r w:rsidR="00992664" w:rsidRPr="0012008A">
        <w:rPr>
          <w:rStyle w:val="libFootnoteBoldChar"/>
          <w:rtl/>
        </w:rPr>
        <w:t>الصحاح</w:t>
      </w:r>
      <w:r w:rsidR="00992664" w:rsidRPr="00020424">
        <w:rPr>
          <w:rtl/>
        </w:rPr>
        <w:t xml:space="preserve"> ، ج 2 ، ص 603 ؛ </w:t>
      </w:r>
      <w:r w:rsidR="00992664" w:rsidRPr="00A722B1">
        <w:rPr>
          <w:rStyle w:val="libFootnoteBoldChar"/>
          <w:rtl/>
        </w:rPr>
        <w:t>لسان العرب</w:t>
      </w:r>
      <w:r w:rsidR="00992664" w:rsidRPr="00020424">
        <w:rPr>
          <w:rtl/>
        </w:rPr>
        <w:t>، ج 4 ، ص 97 ( ثأر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DE76B9">
        <w:rPr>
          <w:rStyle w:val="libFootnoteBoldChar"/>
          <w:rtl/>
        </w:rPr>
        <w:t>علل الشرائع</w:t>
      </w:r>
      <w:r w:rsidR="00992664" w:rsidRPr="00020424">
        <w:rPr>
          <w:rtl/>
        </w:rPr>
        <w:t xml:space="preserve"> ، ص 389 ، ح 2 ، بسنده عن الكليني. </w:t>
      </w:r>
      <w:r w:rsidR="00992664" w:rsidRPr="0012008A">
        <w:rPr>
          <w:rStyle w:val="libFootnoteBoldChar"/>
          <w:rtl/>
        </w:rPr>
        <w:t>الفقيه</w:t>
      </w:r>
      <w:r w:rsidR="00992664" w:rsidRPr="00020424">
        <w:rPr>
          <w:rtl/>
        </w:rPr>
        <w:t xml:space="preserve"> ، ج 2 ، ص 175 ، ح 2059 ، معلّقاً عن عبدالله بن لطيف التفليسي. </w:t>
      </w:r>
      <w:r w:rsidR="00992664" w:rsidRPr="00587829">
        <w:rPr>
          <w:rStyle w:val="libFootnoteBoldChar"/>
          <w:rtl/>
        </w:rPr>
        <w:t>الأمالي للصدوق</w:t>
      </w:r>
      <w:r w:rsidR="00992664" w:rsidRPr="00020424">
        <w:rPr>
          <w:rtl/>
        </w:rPr>
        <w:t xml:space="preserve"> ، ص 168 ، المجلس 31 ، ح 5 ، بسنده عن عبدالله بن لطيف التفليسي </w:t>
      </w:r>
      <w:r w:rsidR="00B67D38">
        <w:rPr>
          <w:rFonts w:hint="cs"/>
          <w:rtl/>
        </w:rPr>
        <w:t>.</w:t>
      </w:r>
      <w:r w:rsidR="00992664" w:rsidRPr="0012008A">
        <w:rPr>
          <w:rStyle w:val="libFootnoteBoldChar"/>
          <w:rtl/>
        </w:rPr>
        <w:t>الوافي</w:t>
      </w:r>
      <w:r w:rsidR="00992664" w:rsidRPr="00020424">
        <w:rPr>
          <w:rtl/>
        </w:rPr>
        <w:t xml:space="preserve"> ، ج 9 ، ص 1339 ، ح 8341 ؛ </w:t>
      </w:r>
      <w:r w:rsidR="00992664" w:rsidRPr="0012008A">
        <w:rPr>
          <w:rStyle w:val="libFootnoteBoldChar"/>
          <w:rtl/>
        </w:rPr>
        <w:t>الوسائل</w:t>
      </w:r>
      <w:r w:rsidR="00992664" w:rsidRPr="00020424">
        <w:rPr>
          <w:rtl/>
        </w:rPr>
        <w:t xml:space="preserve"> ، ج 10 ، ص 295 ، ح 13455.</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بث ، جر » : « الجبراني</w:t>
      </w:r>
      <w:r w:rsidR="00992664">
        <w:rPr>
          <w:rtl/>
        </w:rPr>
        <w:t xml:space="preserve"> ».</w:t>
      </w:r>
      <w:r w:rsidR="00992664" w:rsidRPr="00020424">
        <w:rPr>
          <w:rtl/>
        </w:rPr>
        <w:t xml:space="preserve"> وفي « بخ » :</w:t>
      </w:r>
      <w:r w:rsidR="00992664">
        <w:rPr>
          <w:rtl/>
        </w:rPr>
        <w:t xml:space="preserve"> </w:t>
      </w:r>
      <w:r w:rsidR="009B673F">
        <w:rPr>
          <w:rtl/>
        </w:rPr>
        <w:t>-</w:t>
      </w:r>
      <w:r w:rsidR="00992664">
        <w:rPr>
          <w:rtl/>
        </w:rPr>
        <w:t xml:space="preserve"> </w:t>
      </w:r>
      <w:r w:rsidR="00992664" w:rsidRPr="00020424">
        <w:rPr>
          <w:rtl/>
        </w:rPr>
        <w:t>« عن الحرّاني</w:t>
      </w:r>
      <w:r w:rsidR="00992664">
        <w:rPr>
          <w:rtl/>
        </w:rPr>
        <w:t xml:space="preserve"> ».</w:t>
      </w:r>
      <w:r w:rsidR="00992664" w:rsidRPr="00020424">
        <w:rPr>
          <w:rtl/>
        </w:rPr>
        <w:t xml:space="preserve"> وفي « بر ، بف » : « الجبران</w:t>
      </w:r>
      <w:r w:rsidR="00992664">
        <w:rPr>
          <w:rtl/>
        </w:rPr>
        <w:t xml:space="preserve"> ».</w:t>
      </w:r>
    </w:p>
    <w:p w:rsidR="00992664" w:rsidRPr="00020424" w:rsidRDefault="00992664" w:rsidP="00B67D38">
      <w:pPr>
        <w:pStyle w:val="libFootnote0"/>
        <w:rPr>
          <w:rtl/>
          <w:lang w:bidi="fa-IR"/>
        </w:rPr>
      </w:pPr>
      <w:r w:rsidRPr="00B67D38">
        <w:rPr>
          <w:rtl/>
        </w:rPr>
        <w:t xml:space="preserve">هذا ، وتقدّمت في </w:t>
      </w:r>
      <w:r w:rsidRPr="00DE76B9">
        <w:rPr>
          <w:rStyle w:val="libFootnoteBoldChar"/>
          <w:rtl/>
        </w:rPr>
        <w:t>الكافي</w:t>
      </w:r>
      <w:r w:rsidRPr="00B67D38">
        <w:rPr>
          <w:rtl/>
        </w:rPr>
        <w:t xml:space="preserve"> ، ح 845 و848 و1000 رواية الحسين بن محمّد عن الخيراني.</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ومرآة العقول </w:t>
      </w:r>
      <w:r w:rsidR="00992664" w:rsidRPr="00EB1FD9">
        <w:rPr>
          <w:rStyle w:val="libFootnoteBoldChar"/>
          <w:rtl/>
        </w:rPr>
        <w:t>والوسائل</w:t>
      </w:r>
      <w:r w:rsidR="00992664" w:rsidRPr="00020424">
        <w:rPr>
          <w:rtl/>
        </w:rPr>
        <w:t>. وفي المطبوع : « تين</w:t>
      </w:r>
      <w:r w:rsidR="00992664">
        <w:rPr>
          <w:rtl/>
        </w:rPr>
        <w:t xml:space="preserve"> ».</w:t>
      </w:r>
      <w:r w:rsidR="00992664" w:rsidRPr="00020424">
        <w:rPr>
          <w:rtl/>
        </w:rPr>
        <w:t xml:space="preserve"> وقال في </w:t>
      </w:r>
      <w:r w:rsidR="00992664" w:rsidRPr="0012008A">
        <w:rPr>
          <w:rStyle w:val="libFootnoteBoldChar"/>
          <w:rtl/>
        </w:rPr>
        <w:t>الوافي</w:t>
      </w:r>
      <w:r w:rsidR="00992664" w:rsidRPr="00020424">
        <w:rPr>
          <w:rtl/>
        </w:rPr>
        <w:t xml:space="preserve"> : « ا</w:t>
      </w:r>
      <w:r w:rsidR="00B67D38">
        <w:rPr>
          <w:rFonts w:hint="cs"/>
          <w:rtl/>
        </w:rPr>
        <w:t>ُ</w:t>
      </w:r>
      <w:r w:rsidR="00992664" w:rsidRPr="00020424">
        <w:rPr>
          <w:rtl/>
        </w:rPr>
        <w:t xml:space="preserve">ريد بالطين طين الحسين </w:t>
      </w:r>
      <w:r w:rsidR="00992664" w:rsidRPr="00D64ADA">
        <w:rPr>
          <w:rStyle w:val="libFootnoteAlaemChar"/>
          <w:rtl/>
        </w:rPr>
        <w:t>عليه‌السلام</w:t>
      </w:r>
      <w:r w:rsidR="00992664" w:rsidRPr="00020424">
        <w:rPr>
          <w:rtl/>
        </w:rPr>
        <w:t xml:space="preserve"> » ، في </w:t>
      </w:r>
      <w:r w:rsidR="00992664" w:rsidRPr="00DE76B9">
        <w:rPr>
          <w:rStyle w:val="libFootnoteBoldChar"/>
          <w:rtl/>
        </w:rPr>
        <w:t>مرآة العقول</w:t>
      </w:r>
      <w:r w:rsidR="00992664" w:rsidRPr="00020424">
        <w:rPr>
          <w:rtl/>
        </w:rPr>
        <w:t xml:space="preserve"> : « يدلّ على استحباب الإفطار يوم الفطر بالتربة والتمر ، ولعلّ الأحوط أن ينوي في أكل الطين استشفاء داء ولو كان من الأدواء الباطنة</w:t>
      </w:r>
      <w:r w:rsidR="00992664">
        <w:rPr>
          <w:rtl/>
        </w:rPr>
        <w:t xml:space="preserve"> ».</w:t>
      </w:r>
      <w:r w:rsidR="00992664" w:rsidRPr="00020424">
        <w:rPr>
          <w:rtl/>
        </w:rPr>
        <w:t xml:space="preserve"> وفي هامش </w:t>
      </w:r>
      <w:r w:rsidR="00992664" w:rsidRPr="0012008A">
        <w:rPr>
          <w:rStyle w:val="libFootnoteBoldChar"/>
          <w:rtl/>
        </w:rPr>
        <w:t>الوافي</w:t>
      </w:r>
      <w:r w:rsidR="00992664" w:rsidRPr="00020424">
        <w:rPr>
          <w:rtl/>
        </w:rPr>
        <w:t xml:space="preserve"> عن ضياء الدين الحسيني : « تين مكان طين في المطبوع من </w:t>
      </w:r>
      <w:r w:rsidR="00992664" w:rsidRPr="00DE76B9">
        <w:rPr>
          <w:rStyle w:val="libFootnoteBoldChar"/>
          <w:rtl/>
        </w:rPr>
        <w:t>الكافي</w:t>
      </w:r>
      <w:r w:rsidR="00992664" w:rsidRPr="00020424">
        <w:rPr>
          <w:rtl/>
        </w:rPr>
        <w:t xml:space="preserve"> ، والظاهر أنّه من أغلاط الطبع ؛ لأنّه في غير واحد من نسخ المخطوطة بالطاء ، كما في الأصل ، ثمّ في المخطوطين من </w:t>
      </w:r>
      <w:r w:rsidR="00992664" w:rsidRPr="0012008A">
        <w:rPr>
          <w:rStyle w:val="libFootnoteBoldChar"/>
          <w:rtl/>
        </w:rPr>
        <w:t>الفقيه</w:t>
      </w:r>
      <w:r w:rsidR="00992664" w:rsidRPr="00020424">
        <w:rPr>
          <w:rtl/>
        </w:rPr>
        <w:t>. طين القبر ، ويحتمل أنّه من زيادات بعض الناقلين دفعاً لتوهّم مطلق الطين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هكذا في جميع النسخ التي </w:t>
      </w:r>
      <w:r w:rsidR="00992664" w:rsidRPr="00364DE0">
        <w:rPr>
          <w:rtl/>
        </w:rPr>
        <w:t>قوبلت والوافي والوسائل والفقيه.</w:t>
      </w:r>
      <w:r w:rsidR="00992664" w:rsidRPr="00020424">
        <w:rPr>
          <w:rtl/>
        </w:rPr>
        <w:t xml:space="preserve"> وفي المطبوع : « وتمر [ ة ]</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لي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الفقيه</w:t>
      </w:r>
      <w:r w:rsidR="00992664" w:rsidRPr="00020424">
        <w:rPr>
          <w:rtl/>
        </w:rPr>
        <w:t xml:space="preserve"> ، ج 2 ، ص 174 ، ح 2056 ، معلّقاً عن عليّ بن محمّد النوفلي. </w:t>
      </w:r>
      <w:r w:rsidR="00992664" w:rsidRPr="00DE76B9">
        <w:rPr>
          <w:rStyle w:val="libFootnoteBoldChar"/>
          <w:rtl/>
        </w:rPr>
        <w:t>تحف العقول</w:t>
      </w:r>
      <w:r w:rsidR="00992664" w:rsidRPr="00020424">
        <w:rPr>
          <w:rtl/>
        </w:rPr>
        <w:t xml:space="preserve"> ، ص 448 ، عن الرضا </w:t>
      </w:r>
      <w:r w:rsidR="00992664" w:rsidRPr="00D64ADA">
        <w:rPr>
          <w:rStyle w:val="libFootnoteAlaemChar"/>
          <w:rtl/>
        </w:rPr>
        <w:t>عليه‌السلام</w:t>
      </w:r>
      <w:r w:rsidR="00992664" w:rsidRPr="00020424">
        <w:rPr>
          <w:rtl/>
        </w:rPr>
        <w:t xml:space="preserve"> </w:t>
      </w:r>
      <w:r w:rsidR="00B67D38">
        <w:rPr>
          <w:rFonts w:hint="cs"/>
          <w:rtl/>
        </w:rPr>
        <w:t>.</w:t>
      </w:r>
      <w:r w:rsidR="00992664" w:rsidRPr="0012008A">
        <w:rPr>
          <w:rStyle w:val="libFootnoteBoldChar"/>
          <w:rtl/>
        </w:rPr>
        <w:t>الوافي</w:t>
      </w:r>
      <w:r w:rsidR="00992664" w:rsidRPr="00020424">
        <w:rPr>
          <w:rtl/>
        </w:rPr>
        <w:t xml:space="preserve"> ، ج 9 ، ص 1302 ، ح 8292 ؛ </w:t>
      </w:r>
      <w:r w:rsidR="00992664" w:rsidRPr="0012008A">
        <w:rPr>
          <w:rStyle w:val="libFootnoteBoldChar"/>
          <w:rtl/>
        </w:rPr>
        <w:t>الوسائل</w:t>
      </w:r>
      <w:r w:rsidR="00992664" w:rsidRPr="00020424">
        <w:rPr>
          <w:rtl/>
        </w:rPr>
        <w:t xml:space="preserve"> ، ج 7 ، ص 445 ، ح 9821.</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ى ، بث ، بح ، بس ، جن » ومرآة العقول </w:t>
      </w:r>
      <w:r w:rsidR="00992664" w:rsidRPr="00EB1FD9">
        <w:rPr>
          <w:rStyle w:val="libFootnoteBoldChar"/>
          <w:rtl/>
        </w:rPr>
        <w:t>والوسائل</w:t>
      </w:r>
      <w:r w:rsidR="00992664" w:rsidRPr="00020424">
        <w:rPr>
          <w:rtl/>
        </w:rPr>
        <w:t xml:space="preserve"> : « عليّ بن زياد</w:t>
      </w:r>
      <w:r w:rsidR="00992664">
        <w:rPr>
          <w:rtl/>
        </w:rPr>
        <w:t xml:space="preserve"> ».</w:t>
      </w:r>
      <w:r w:rsidR="00992664" w:rsidRPr="00020424">
        <w:rPr>
          <w:rtl/>
        </w:rPr>
        <w:t xml:space="preserve"> وعليّ بن زياد لم نعرفه. ويحتمل‌على بُعدٍ أن يكون الأصل في العنوان هو « عليّ عن ابن زياد » والمراد من عليّ ، هو عليّ بن محمّد المتقدّم في سند الحديث الثالث الراوي عن سهل بن زياد</w:t>
      </w:r>
      <w:r w:rsidR="00992664">
        <w:rPr>
          <w:rtl/>
        </w:rPr>
        <w:t xml:space="preserve"> </w:t>
      </w:r>
      <w:r w:rsidR="009B673F">
        <w:rPr>
          <w:rtl/>
        </w:rPr>
        <w:t>-</w:t>
      </w:r>
      <w:r w:rsidR="00992664">
        <w:rPr>
          <w:rtl/>
        </w:rPr>
        <w:t xml:space="preserve"> </w:t>
      </w:r>
      <w:r w:rsidR="00992664" w:rsidRPr="00020424">
        <w:rPr>
          <w:rtl/>
        </w:rPr>
        <w:t>وهو المراد من ابن زياد</w:t>
      </w:r>
      <w:r w:rsidR="00992664">
        <w:rPr>
          <w:rtl/>
        </w:rPr>
        <w:t xml:space="preserve"> </w:t>
      </w:r>
      <w:r w:rsidR="009B673F">
        <w:rPr>
          <w:rtl/>
        </w:rPr>
        <w:t>-</w:t>
      </w:r>
      <w:r w:rsidR="00992664">
        <w:rPr>
          <w:rtl/>
        </w:rPr>
        <w:t xml:space="preserve"> </w:t>
      </w:r>
      <w:r w:rsidR="00992664" w:rsidRPr="00020424">
        <w:rPr>
          <w:rtl/>
        </w:rPr>
        <w:t xml:space="preserve">في كثيرٍ من الأسناد ، والله هو العالم. راجع : </w:t>
      </w:r>
      <w:r w:rsidR="00992664" w:rsidRPr="00DE76B9">
        <w:rPr>
          <w:rStyle w:val="libFootnoteBoldChar"/>
          <w:rtl/>
        </w:rPr>
        <w:t>معجم رجال الحديث</w:t>
      </w:r>
      <w:r w:rsidR="00992664" w:rsidRPr="00020424">
        <w:rPr>
          <w:rtl/>
        </w:rPr>
        <w:t xml:space="preserve"> ، ج 12 ، ص 319</w:t>
      </w:r>
      <w:r w:rsidR="00992664">
        <w:rPr>
          <w:rtl/>
        </w:rPr>
        <w:t xml:space="preserve"> </w:t>
      </w:r>
      <w:r w:rsidR="009B673F">
        <w:rPr>
          <w:rtl/>
        </w:rPr>
        <w:t>-</w:t>
      </w:r>
      <w:r w:rsidR="00992664">
        <w:rPr>
          <w:rtl/>
        </w:rPr>
        <w:t xml:space="preserve"> </w:t>
      </w:r>
      <w:r w:rsidR="00992664" w:rsidRPr="00020424">
        <w:rPr>
          <w:rtl/>
        </w:rPr>
        <w:t>321.</w:t>
      </w:r>
      <w:r w:rsidR="00895157">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364DE0">
      <w:pPr>
        <w:pStyle w:val="libNormal0"/>
        <w:rPr>
          <w:rtl/>
          <w:lang w:bidi="fa-IR"/>
        </w:rPr>
      </w:pPr>
      <w:r w:rsidRPr="00020424">
        <w:rPr>
          <w:rtl/>
          <w:lang w:bidi="fa-IR"/>
        </w:rPr>
        <w:t xml:space="preserve">عَبْدِ اللهِ بْنِ جَبَلَةَ ، عَنْ إِسْحَاقَ بْنِ عَمَّارٍ أَوْ غَيْرِهِ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إِذَا أُتِيَ بِطِيبٍ يَوْمَ الْفِطْرِ ، بَدَأَ بِنِسَائِهِ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532" w:name="_Toc345172894"/>
      <w:bookmarkStart w:id="533" w:name="_Toc464562708"/>
      <w:bookmarkStart w:id="534" w:name="_Toc44600015"/>
      <w:r w:rsidRPr="00020424">
        <w:rPr>
          <w:rtl/>
          <w:lang w:bidi="fa-IR"/>
        </w:rPr>
        <w:t>75</w:t>
      </w:r>
      <w:r>
        <w:rPr>
          <w:rtl/>
          <w:lang w:bidi="fa-IR"/>
        </w:rPr>
        <w:t xml:space="preserve"> </w:t>
      </w:r>
      <w:r w:rsidR="009B673F">
        <w:rPr>
          <w:rtl/>
          <w:lang w:bidi="fa-IR"/>
        </w:rPr>
        <w:t>-</w:t>
      </w:r>
      <w:r>
        <w:rPr>
          <w:rtl/>
          <w:lang w:bidi="fa-IR"/>
        </w:rPr>
        <w:t xml:space="preserve"> </w:t>
      </w:r>
      <w:r w:rsidRPr="00020424">
        <w:rPr>
          <w:rtl/>
          <w:lang w:bidi="fa-IR"/>
        </w:rPr>
        <w:t xml:space="preserve">بَابُ الْفِطْرَةِ </w:t>
      </w:r>
      <w:r w:rsidRPr="00A91B96">
        <w:rPr>
          <w:rStyle w:val="libFootnotenumChar"/>
          <w:rtl/>
        </w:rPr>
        <w:t>(4)</w:t>
      </w:r>
      <w:r w:rsidRPr="00020424">
        <w:rPr>
          <w:rtl/>
          <w:lang w:bidi="fa-IR"/>
        </w:rPr>
        <w:t xml:space="preserve"> ‌</w:t>
      </w:r>
      <w:bookmarkEnd w:id="532"/>
      <w:bookmarkEnd w:id="533"/>
      <w:bookmarkEnd w:id="534"/>
    </w:p>
    <w:p w:rsidR="00992664" w:rsidRPr="00020424" w:rsidRDefault="00992664" w:rsidP="00992664">
      <w:pPr>
        <w:pStyle w:val="libNormal"/>
        <w:rPr>
          <w:rtl/>
          <w:lang w:bidi="fa-IR"/>
        </w:rPr>
      </w:pPr>
      <w:r w:rsidRPr="00343032">
        <w:rPr>
          <w:rtl/>
        </w:rPr>
        <w:t>6651</w:t>
      </w:r>
      <w:r w:rsidRPr="001155DE">
        <w:rPr>
          <w:rStyle w:val="libBold2Char"/>
          <w:rtl/>
        </w:rPr>
        <w:t xml:space="preserve"> / 1.</w:t>
      </w:r>
      <w:r w:rsidRPr="00020424">
        <w:rPr>
          <w:rtl/>
          <w:lang w:bidi="fa-IR"/>
        </w:rPr>
        <w:t xml:space="preserve"> عَلِيُّ بْنُ إِبْرَاهِيمَ ، عَنْ مُحَمَّدِ بْنِ عِيسَى بْنِ عُبَيْدٍ ، عَنْ يُونُسَ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كُلُّ </w:t>
      </w:r>
      <w:r w:rsidRPr="00A91B96">
        <w:rPr>
          <w:rStyle w:val="libFootnotenumChar"/>
          <w:rtl/>
        </w:rPr>
        <w:t>(5)</w:t>
      </w:r>
      <w:r w:rsidRPr="00020424">
        <w:rPr>
          <w:rtl/>
          <w:lang w:bidi="fa-IR"/>
        </w:rPr>
        <w:t xml:space="preserve"> مَنْ ضَمَمْتَ إِلى عِيَالِكَ مِنْ حُرٍّ أَوْ مَمْلُوكٍ ، فَعَلَيْكَ أَنْ تُؤَدِّيَ الْفِطْرَةَ </w:t>
      </w:r>
      <w:r w:rsidRPr="00A91B96">
        <w:rPr>
          <w:rStyle w:val="libFootnotenumChar"/>
          <w:rtl/>
        </w:rPr>
        <w:t>(6)</w:t>
      </w:r>
      <w:r w:rsidRPr="00020424">
        <w:rPr>
          <w:rtl/>
          <w:lang w:bidi="fa-IR"/>
        </w:rPr>
        <w:t xml:space="preserve"> عَنْهُ</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وَإِعْطَاءُ </w:t>
      </w:r>
      <w:r w:rsidRPr="00A91B96">
        <w:rPr>
          <w:rStyle w:val="libFootnotenumChar"/>
          <w:rtl/>
        </w:rPr>
        <w:t>(7)</w:t>
      </w:r>
      <w:r w:rsidRPr="00020424">
        <w:rPr>
          <w:rtl/>
          <w:lang w:bidi="fa-IR"/>
        </w:rPr>
        <w:t xml:space="preserve"> الْفِطْرَةِ قَبْلَ الصَّلَاةِ أَفْضَلُ ، وَبَعْدَ الصَّلَاةِ صَدَقَةٌ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A623C2" w:rsidRDefault="00541DD5" w:rsidP="003E60D0">
      <w:pPr>
        <w:pStyle w:val="libFootnote0"/>
        <w:rPr>
          <w:rtl/>
        </w:rPr>
      </w:pPr>
      <w:r>
        <w:rPr>
          <w:rFonts w:hint="cs"/>
          <w:rtl/>
        </w:rPr>
        <w:t xml:space="preserve">= </w:t>
      </w:r>
      <w:r w:rsidR="00992664" w:rsidRPr="00A623C2">
        <w:rPr>
          <w:rtl/>
        </w:rPr>
        <w:t xml:space="preserve">أمّا بناءً على صحّة ما في المطبوع وسائر النسخ ، كما لعلّه أقوى ، فلم يتقدّم سند يصلح أن </w:t>
      </w:r>
      <w:r w:rsidR="00714D7B">
        <w:rPr>
          <w:rtl/>
        </w:rPr>
        <w:t>يكون سندنا هذا معلّقاً عليه إل</w:t>
      </w:r>
      <w:r w:rsidR="00714D7B">
        <w:rPr>
          <w:rFonts w:hint="cs"/>
          <w:rtl/>
        </w:rPr>
        <w:t>ّ</w:t>
      </w:r>
      <w:r w:rsidR="00714D7B">
        <w:rPr>
          <w:rtl/>
        </w:rPr>
        <w:t>ا</w:t>
      </w:r>
      <w:r w:rsidR="00992664" w:rsidRPr="00A623C2">
        <w:rPr>
          <w:rtl/>
        </w:rPr>
        <w:t>سند الحديث الرابع من « باب يوم الفطر ».</w:t>
      </w:r>
    </w:p>
    <w:p w:rsidR="00992664" w:rsidRPr="00A623C2" w:rsidRDefault="00992664" w:rsidP="003E60D0">
      <w:pPr>
        <w:pStyle w:val="libFootnote0"/>
        <w:rPr>
          <w:rtl/>
        </w:rPr>
      </w:pPr>
      <w:r w:rsidRPr="00A623C2">
        <w:rPr>
          <w:rtl/>
        </w:rPr>
        <w:t>هذا ، وقد تكرّرت في الأسناد رواية سهل بن زياد ، عن يحيى بن المبارك ، عن عبد</w:t>
      </w:r>
      <w:r w:rsidR="00364DE0">
        <w:rPr>
          <w:rtl/>
        </w:rPr>
        <w:t>الله بن جبلة ، عن إسحاق بن عمار</w:t>
      </w:r>
      <w:r w:rsidRPr="00A623C2">
        <w:rPr>
          <w:rtl/>
        </w:rPr>
        <w:t>؛ ولم يتوسّط في موضع منها يعقوب بن يزيد بين سهل بن زياد وبين يحيى بن المبارك ، فلايبعد وقوع خللٍ في السند من هذه الجهة أيضاً.</w:t>
      </w:r>
    </w:p>
    <w:tbl>
      <w:tblPr>
        <w:tblStyle w:val="TableGrid"/>
        <w:bidiVisual/>
        <w:tblW w:w="0" w:type="auto"/>
        <w:tblLook w:val="04A0" w:firstRow="1" w:lastRow="0" w:firstColumn="1" w:lastColumn="0" w:noHBand="0" w:noVBand="1"/>
      </w:tblPr>
      <w:tblGrid>
        <w:gridCol w:w="4006"/>
        <w:gridCol w:w="4006"/>
      </w:tblGrid>
      <w:tr w:rsidR="00140596" w:rsidTr="00140596">
        <w:tc>
          <w:tcPr>
            <w:tcW w:w="4006" w:type="dxa"/>
          </w:tcPr>
          <w:p w:rsidR="00140596" w:rsidRDefault="00140596" w:rsidP="003E60D0">
            <w:pPr>
              <w:pStyle w:val="libFootnote0"/>
              <w:rPr>
                <w:rtl/>
              </w:rPr>
            </w:pPr>
            <w:r>
              <w:rPr>
                <w:rtl/>
              </w:rPr>
              <w:t xml:space="preserve">(1).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أو غيره</w:t>
            </w:r>
            <w:r>
              <w:rPr>
                <w:rtl/>
              </w:rPr>
              <w:t xml:space="preserve"> ».</w:t>
            </w:r>
          </w:p>
        </w:tc>
        <w:tc>
          <w:tcPr>
            <w:tcW w:w="4006" w:type="dxa"/>
          </w:tcPr>
          <w:p w:rsidR="00140596" w:rsidRDefault="00140596" w:rsidP="003E60D0">
            <w:pPr>
              <w:pStyle w:val="libFootnote0"/>
              <w:rPr>
                <w:rtl/>
              </w:rPr>
            </w:pPr>
            <w:r>
              <w:rPr>
                <w:rtl/>
              </w:rPr>
              <w:t xml:space="preserve">(2). </w:t>
            </w:r>
            <w:r w:rsidRPr="00020424">
              <w:rPr>
                <w:rtl/>
              </w:rPr>
              <w:t xml:space="preserve">في </w:t>
            </w:r>
            <w:r w:rsidRPr="0012008A">
              <w:rPr>
                <w:rStyle w:val="libFootnoteBoldChar"/>
                <w:rtl/>
              </w:rPr>
              <w:t>الفقيه</w:t>
            </w:r>
            <w:r w:rsidRPr="00020424">
              <w:rPr>
                <w:rtl/>
              </w:rPr>
              <w:t xml:space="preserve"> : « بلسانه</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174 ، ح 2055 ، من دون الإسناد إلى المعصوم </w:t>
      </w:r>
      <w:r w:rsidR="00992664" w:rsidRPr="00D64ADA">
        <w:rPr>
          <w:rStyle w:val="libFootnoteAlaemChar"/>
          <w:rtl/>
        </w:rPr>
        <w:t>عليه‌السلام</w:t>
      </w:r>
      <w:r w:rsidR="00992664" w:rsidRPr="00020424">
        <w:rPr>
          <w:rtl/>
        </w:rPr>
        <w:t xml:space="preserve"> </w:t>
      </w:r>
      <w:r w:rsidR="00E6512A">
        <w:rPr>
          <w:rFonts w:hint="cs"/>
          <w:rtl/>
        </w:rPr>
        <w:t>.</w:t>
      </w:r>
      <w:r w:rsidR="00992664" w:rsidRPr="0012008A">
        <w:rPr>
          <w:rStyle w:val="libFootnoteBoldChar"/>
          <w:rtl/>
        </w:rPr>
        <w:t>الوافي</w:t>
      </w:r>
      <w:r w:rsidR="00992664" w:rsidRPr="00020424">
        <w:rPr>
          <w:rtl/>
        </w:rPr>
        <w:t xml:space="preserve"> ، ج 6 ، ص 697 ، ح 5311 ؛ وج 9 ، ص 1302 ، ح 8293 ؛ </w:t>
      </w:r>
      <w:r w:rsidR="00992664" w:rsidRPr="0012008A">
        <w:rPr>
          <w:rStyle w:val="libFootnoteBoldChar"/>
          <w:rtl/>
        </w:rPr>
        <w:t>الوسائل</w:t>
      </w:r>
      <w:r w:rsidR="00992664" w:rsidRPr="00020424">
        <w:rPr>
          <w:rtl/>
        </w:rPr>
        <w:t xml:space="preserve"> ، ج 7 ، ص 446 ، ح 9824.</w:t>
      </w:r>
    </w:p>
    <w:tbl>
      <w:tblPr>
        <w:tblStyle w:val="TableGrid"/>
        <w:bidiVisual/>
        <w:tblW w:w="0" w:type="auto"/>
        <w:tblLook w:val="04A0" w:firstRow="1" w:lastRow="0" w:firstColumn="1" w:lastColumn="0" w:noHBand="0" w:noVBand="1"/>
      </w:tblPr>
      <w:tblGrid>
        <w:gridCol w:w="4006"/>
        <w:gridCol w:w="4006"/>
      </w:tblGrid>
      <w:tr w:rsidR="00852635" w:rsidTr="00852635">
        <w:tc>
          <w:tcPr>
            <w:tcW w:w="4006" w:type="dxa"/>
          </w:tcPr>
          <w:p w:rsidR="00852635" w:rsidRDefault="00852635" w:rsidP="00992664">
            <w:pPr>
              <w:pStyle w:val="libFootnote0"/>
              <w:rPr>
                <w:rtl/>
                <w:lang w:bidi="fa-IR"/>
              </w:rPr>
            </w:pPr>
            <w:r>
              <w:rPr>
                <w:rtl/>
              </w:rPr>
              <w:t xml:space="preserve">(4). </w:t>
            </w:r>
            <w:r w:rsidRPr="00020424">
              <w:rPr>
                <w:rtl/>
              </w:rPr>
              <w:t>في « جن » : « الفطر</w:t>
            </w:r>
            <w:r>
              <w:rPr>
                <w:rtl/>
              </w:rPr>
              <w:t xml:space="preserve"> ».</w:t>
            </w:r>
          </w:p>
        </w:tc>
        <w:tc>
          <w:tcPr>
            <w:tcW w:w="4006" w:type="dxa"/>
          </w:tcPr>
          <w:p w:rsidR="00852635" w:rsidRDefault="00852635" w:rsidP="00992664">
            <w:pPr>
              <w:pStyle w:val="libFootnote0"/>
              <w:rPr>
                <w:rtl/>
                <w:lang w:bidi="fa-IR"/>
              </w:rPr>
            </w:pPr>
            <w:r>
              <w:rPr>
                <w:rtl/>
              </w:rPr>
              <w:t xml:space="preserve">(5). </w:t>
            </w:r>
            <w:r w:rsidRPr="00020424">
              <w:rPr>
                <w:rtl/>
              </w:rPr>
              <w:t>في « بر » :</w:t>
            </w:r>
            <w:r>
              <w:rPr>
                <w:rtl/>
              </w:rPr>
              <w:t xml:space="preserve"> - </w:t>
            </w:r>
            <w:r w:rsidRPr="00020424">
              <w:rPr>
                <w:rtl/>
              </w:rPr>
              <w:t>« كلّ</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جن » : « الفطر</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ج 16 ، ص 413 : « قوله </w:t>
      </w:r>
      <w:r w:rsidR="00992664" w:rsidRPr="00D64ADA">
        <w:rPr>
          <w:rStyle w:val="libFootnoteAlaemChar"/>
          <w:rtl/>
        </w:rPr>
        <w:t>عليه‌السلام</w:t>
      </w:r>
      <w:r w:rsidR="00992664" w:rsidRPr="00020424">
        <w:rPr>
          <w:rtl/>
        </w:rPr>
        <w:t xml:space="preserve"> : فعليك أن تؤدّي الفطرة ، أي زكاة الفطرة ، والمراد بالفطرة إمّا الخلقة ، أو الدين ، أو الفطر من الصوم. والمعنى على الأوّل زكاة الخلقة ، أي البدن ، وعلى الثاني زكاة الدين والإسلام ؛ فإنّها أوّل زكاة وجبت في الإسلام. وعلى الثالث زكاة الفطرة من الصيام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فإعطاء</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بعد الصلاة صدقة ، ظاهره عدم جواز التأخير عن الصلاة وأنّه لو أخّرها لم تكن زكاة ، بل صدقة مستحبّة. وظاهر الأفضليّة المذكورة سابقاً الجواز ، فيمكن حمل هذا على أنّه ينقص ثوابها عن ثواب الفطرة ، وكان لها ثواب الصدقة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71 ، ح 193 ، معلّقاً عن الكليني. وفي </w:t>
      </w:r>
      <w:r w:rsidR="00992664" w:rsidRPr="0012008A">
        <w:rPr>
          <w:rStyle w:val="libFootnoteBoldChar"/>
          <w:rtl/>
        </w:rPr>
        <w:t>الفقيه</w:t>
      </w:r>
      <w:r w:rsidR="00EC23C4">
        <w:rPr>
          <w:rtl/>
        </w:rPr>
        <w:t xml:space="preserve"> ، ج 2 ، ص 182،ذيل ح 2081؛</w:t>
      </w:r>
      <w:r w:rsidR="00A74836">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43032">
        <w:rPr>
          <w:rtl/>
        </w:rPr>
        <w:t>6652</w:t>
      </w:r>
      <w:r w:rsidRPr="001155DE">
        <w:rPr>
          <w:rStyle w:val="libBold2Char"/>
          <w:rtl/>
        </w:rPr>
        <w:t xml:space="preserve"> / 2.</w:t>
      </w:r>
      <w:r w:rsidRPr="00020424">
        <w:rPr>
          <w:rtl/>
          <w:lang w:bidi="fa-IR"/>
        </w:rPr>
        <w:t xml:space="preserve"> عِدَّةٌ مِنْ أَصْحَابِنَا ، عَنْ أَحْمَدَ بْنِ مُحَمَّدٍ ، عَنِ ابْنِ أَبِي نَجْرَانَ وَعَلِيِّ بْنِ الْحَكَمِ ، عَنْ صَفْوَانَ الْجَمَّالِ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الْفِطْرَةِ</w:t>
      </w:r>
      <w:r>
        <w:rPr>
          <w:rtl/>
          <w:lang w:bidi="fa-IR"/>
        </w:rPr>
        <w:t>؟</w:t>
      </w:r>
    </w:p>
    <w:p w:rsidR="00992664" w:rsidRPr="00020424" w:rsidRDefault="00992664" w:rsidP="00992664">
      <w:pPr>
        <w:pStyle w:val="libNormal"/>
        <w:rPr>
          <w:rtl/>
          <w:lang w:bidi="fa-IR"/>
        </w:rPr>
      </w:pPr>
      <w:r w:rsidRPr="00020424">
        <w:rPr>
          <w:rtl/>
          <w:lang w:bidi="fa-IR"/>
        </w:rPr>
        <w:t xml:space="preserve">فَقَالَ : « عَلَى الصَّغِيرِ </w:t>
      </w:r>
      <w:r w:rsidRPr="00A91B96">
        <w:rPr>
          <w:rStyle w:val="libFootnotenumChar"/>
          <w:rtl/>
        </w:rPr>
        <w:t>(1)</w:t>
      </w:r>
      <w:r w:rsidRPr="00020424">
        <w:rPr>
          <w:rtl/>
          <w:lang w:bidi="fa-IR"/>
        </w:rPr>
        <w:t xml:space="preserve"> وَالْكَبِيرِ ، وَالْحُرِّ وَالْعَبْدِ ، عَنْ </w:t>
      </w:r>
      <w:r w:rsidRPr="00A91B96">
        <w:rPr>
          <w:rStyle w:val="libFootnotenumChar"/>
          <w:rtl/>
        </w:rPr>
        <w:t>(2)</w:t>
      </w:r>
      <w:r w:rsidRPr="00020424">
        <w:rPr>
          <w:rtl/>
          <w:lang w:bidi="fa-IR"/>
        </w:rPr>
        <w:t xml:space="preserve"> كُلِّ إِنْسَانٍ صَاعٌ مِنْ حِنْطَةٍ </w:t>
      </w:r>
      <w:r w:rsidRPr="00A91B96">
        <w:rPr>
          <w:rStyle w:val="libFootnotenumChar"/>
          <w:rtl/>
        </w:rPr>
        <w:t>(3)</w:t>
      </w:r>
      <w:r w:rsidRPr="00020424">
        <w:rPr>
          <w:rtl/>
          <w:lang w:bidi="fa-IR"/>
        </w:rPr>
        <w:t xml:space="preserve"> ، أَوْ صَاعٌ مِنْ تَمْرٍ ، أَوْ صَاعٌ مِنْ زَبِيبٍ</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623F45" w:rsidRDefault="00992664" w:rsidP="00623F45">
      <w:pPr>
        <w:pStyle w:val="libNormal"/>
        <w:rPr>
          <w:rtl/>
          <w:lang w:bidi="fa-IR"/>
        </w:rPr>
      </w:pPr>
      <w:r w:rsidRPr="00343032">
        <w:rPr>
          <w:rtl/>
        </w:rPr>
        <w:t>6653</w:t>
      </w:r>
      <w:r w:rsidRPr="001155DE">
        <w:rPr>
          <w:rStyle w:val="libBold2Char"/>
          <w:rtl/>
        </w:rPr>
        <w:t xml:space="preserve"> / 3.</w:t>
      </w:r>
      <w:r w:rsidRPr="00020424">
        <w:rPr>
          <w:rtl/>
          <w:lang w:bidi="fa-IR"/>
        </w:rPr>
        <w:t xml:space="preserve"> عَلِيُّ بْنُ إِبْرَاهِيمَ ، عَنْ أَبِيهِ ؛</w:t>
      </w:r>
    </w:p>
    <w:p w:rsidR="00992664" w:rsidRPr="00020424" w:rsidRDefault="00623F45" w:rsidP="00623F45">
      <w:pPr>
        <w:pStyle w:val="libNormal"/>
        <w:rPr>
          <w:rtl/>
          <w:lang w:bidi="fa-IR"/>
        </w:rPr>
      </w:pPr>
      <w:r>
        <w:rPr>
          <w:rFonts w:hint="cs"/>
          <w:rtl/>
          <w:lang w:bidi="fa-IR"/>
        </w:rPr>
        <w:t xml:space="preserve">              </w:t>
      </w:r>
      <w:r w:rsidR="00992664" w:rsidRPr="00020424">
        <w:rPr>
          <w:rtl/>
          <w:lang w:bidi="fa-IR"/>
        </w:rPr>
        <w:t>وَمُحَمَّدُ بْنُ إِسْمَاعِيلَ ، عَنِ الْفَضْلِ بْنِ شَاذَانَ جَمِيعاً ، عَنِ ابْنِ أَبِي عُمَيْرٍ ، عَنْ هِشَامِ بْنِ الْحَكَمِ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التَّمْرُ فِي الْفِطْرَةِ أَفْضَلُ مِنْ غَيْرِهِ ؛ لِأَنَّهُ أَسْرَعُ مَنْفَعَةً ، وَذلِكَ أَنَّهُ إِذَا وَقَعَ فِي يَدِ صَاحِبِهِ ، أَكَلَ مِنْهُ</w:t>
      </w:r>
      <w:r>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623F45" w:rsidP="00992664">
      <w:pPr>
        <w:pStyle w:val="libFootnote0"/>
        <w:rPr>
          <w:rtl/>
          <w:lang w:bidi="fa-IR"/>
        </w:rPr>
      </w:pPr>
      <w:r>
        <w:rPr>
          <w:rFonts w:hint="cs"/>
          <w:rtl/>
        </w:rPr>
        <w:t xml:space="preserve">= </w:t>
      </w:r>
      <w:r w:rsidR="00992664" w:rsidRPr="00020424">
        <w:rPr>
          <w:rtl/>
        </w:rPr>
        <w:t>و</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210 ؛ </w:t>
      </w:r>
      <w:r w:rsidR="00992664" w:rsidRPr="00666432">
        <w:rPr>
          <w:rStyle w:val="libFootnoteBoldChar"/>
          <w:rtl/>
        </w:rPr>
        <w:t>و</w:t>
      </w:r>
      <w:r w:rsidR="00992664" w:rsidRPr="00587829">
        <w:rPr>
          <w:rStyle w:val="libFootnoteBoldChar"/>
          <w:rtl/>
        </w:rPr>
        <w:t>الأمالي للصدوق</w:t>
      </w:r>
      <w:r w:rsidR="00992664" w:rsidRPr="00020424">
        <w:rPr>
          <w:rtl/>
        </w:rPr>
        <w:t xml:space="preserve"> ، ص 650 ، المجلس 93 ، ضمن وصف دين الإماميّة على الإيجاز والاختصار ، من قوله : « وإعطاء الفطرة قبل الصلاة » مع اختلاف يسير </w:t>
      </w:r>
      <w:r w:rsidR="00D62B18">
        <w:rPr>
          <w:rFonts w:hint="cs"/>
          <w:rtl/>
        </w:rPr>
        <w:t>.</w:t>
      </w:r>
      <w:r w:rsidR="00992664" w:rsidRPr="0012008A">
        <w:rPr>
          <w:rStyle w:val="libFootnoteBoldChar"/>
          <w:rtl/>
        </w:rPr>
        <w:t>الوافي</w:t>
      </w:r>
      <w:r w:rsidR="00992664" w:rsidRPr="00020424">
        <w:rPr>
          <w:rtl/>
        </w:rPr>
        <w:t xml:space="preserve"> ، ج 10 ، ص 233 ، ح 9490 ؛ </w:t>
      </w:r>
      <w:r w:rsidR="00992664" w:rsidRPr="0012008A">
        <w:rPr>
          <w:rStyle w:val="libFootnoteBoldChar"/>
          <w:rtl/>
        </w:rPr>
        <w:t>الوسائل</w:t>
      </w:r>
      <w:r w:rsidR="00992664" w:rsidRPr="00020424">
        <w:rPr>
          <w:rtl/>
        </w:rPr>
        <w:t xml:space="preserve"> ، ج 9 ، ص 329 ، ح 12146 ، إلى قوله : « تؤدّي الفطرة عنه</w:t>
      </w:r>
      <w:r w:rsidR="00992664">
        <w:rPr>
          <w:rtl/>
        </w:rPr>
        <w:t xml:space="preserve"> ».</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على الصغير ، لا خلاف بين الأصحاب في عدم وجوب الفطرة على الصغيروالمجنون والعبد ، فلفظة « على » هنا بمعنى « عن » ، كما يدلّ عليه قوله </w:t>
      </w:r>
      <w:r w:rsidR="00992664" w:rsidRPr="00D64ADA">
        <w:rPr>
          <w:rStyle w:val="libFootnoteAlaemChar"/>
          <w:rtl/>
        </w:rPr>
        <w:t>عليه‌السلام</w:t>
      </w:r>
      <w:r w:rsidR="00992664" w:rsidRPr="00020424">
        <w:rPr>
          <w:rtl/>
        </w:rPr>
        <w:t xml:space="preserve"> : عن كلّ إنسان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 « على</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228 : « برّ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71 ، ح 194 ؛ وص 80 ، ح 228 ؛ </w:t>
      </w:r>
      <w:r w:rsidR="00992664" w:rsidRPr="00FD6221">
        <w:rPr>
          <w:rStyle w:val="libFootnoteBoldChar"/>
          <w:rtl/>
        </w:rPr>
        <w:t>والاستبصار</w:t>
      </w:r>
      <w:r w:rsidR="00992664" w:rsidRPr="00020424">
        <w:rPr>
          <w:rtl/>
        </w:rPr>
        <w:t xml:space="preserve"> ، ج 2 ، ص 46 ، ح 149 ، معلّقاً عن الكليني. </w:t>
      </w:r>
      <w:r w:rsidR="00992664" w:rsidRPr="0012008A">
        <w:rPr>
          <w:rStyle w:val="libFootnoteBoldChar"/>
          <w:rtl/>
        </w:rPr>
        <w:t>الفقيه</w:t>
      </w:r>
      <w:r w:rsidR="00992664" w:rsidRPr="00020424">
        <w:rPr>
          <w:rtl/>
        </w:rPr>
        <w:t xml:space="preserve"> ، ج 2 ، ص 175 ، ح 2061 ، معلّقاً عن ابن أبي نجران. وفي </w:t>
      </w:r>
      <w:r w:rsidR="00992664" w:rsidRPr="0012008A">
        <w:rPr>
          <w:rStyle w:val="libFootnoteBoldChar"/>
          <w:rtl/>
        </w:rPr>
        <w:t>التهذيب</w:t>
      </w:r>
      <w:r w:rsidR="00992664" w:rsidRPr="00020424">
        <w:rPr>
          <w:rtl/>
        </w:rPr>
        <w:t xml:space="preserve"> ، ج 4 ، ص 82 ، ح 238 ؛ </w:t>
      </w:r>
      <w:r w:rsidR="00992664" w:rsidRPr="00FD6221">
        <w:rPr>
          <w:rStyle w:val="libFootnoteBoldChar"/>
          <w:rtl/>
        </w:rPr>
        <w:t>والاستبصار</w:t>
      </w:r>
      <w:r w:rsidR="00992664" w:rsidRPr="00020424">
        <w:rPr>
          <w:rtl/>
        </w:rPr>
        <w:t xml:space="preserve"> ، ج 2 ، ص 48 ، ح 158 و159 ؛ </w:t>
      </w:r>
      <w:r w:rsidR="00992664" w:rsidRPr="00515444">
        <w:rPr>
          <w:rStyle w:val="libFootnoteBoldChar"/>
          <w:rtl/>
        </w:rPr>
        <w:t>وعلل الشرائع</w:t>
      </w:r>
      <w:r w:rsidR="00992664" w:rsidRPr="00020424">
        <w:rPr>
          <w:rtl/>
        </w:rPr>
        <w:t xml:space="preserve"> ، ص 390 ، ح 1 و2 ، بسند آخر ، مع اختلاف يسير وزيادة في آخره. وفي </w:t>
      </w:r>
      <w:r w:rsidR="00992664" w:rsidRPr="0012008A">
        <w:rPr>
          <w:rStyle w:val="libFootnoteBoldChar"/>
          <w:rtl/>
        </w:rPr>
        <w:t>التهذيب</w:t>
      </w:r>
      <w:r w:rsidR="00992664" w:rsidRPr="00020424">
        <w:rPr>
          <w:rtl/>
        </w:rPr>
        <w:t xml:space="preserve"> ، ج 4 ، ص 75 ، ح 211 ؛ وص 81 ، ح 231 ؛ </w:t>
      </w:r>
      <w:r w:rsidR="00992664" w:rsidRPr="00FD6221">
        <w:rPr>
          <w:rStyle w:val="libFootnoteBoldChar"/>
          <w:rtl/>
        </w:rPr>
        <w:t>والاستبصار</w:t>
      </w:r>
      <w:r w:rsidR="00992664" w:rsidRPr="00020424">
        <w:rPr>
          <w:rtl/>
        </w:rPr>
        <w:t xml:space="preserve"> ، ج 2 ، ص 42 ، ح 135 ؛ وص 47 ، ح 152 ، بسند آخر عن أبي عبدالله ، عن أبيه </w:t>
      </w:r>
      <w:r w:rsidR="00D64ADA" w:rsidRPr="00D64ADA">
        <w:rPr>
          <w:rStyle w:val="libFootnoteAlaemChar"/>
          <w:rtl/>
        </w:rPr>
        <w:t>عليهما‌السلام</w:t>
      </w:r>
      <w:r w:rsidR="00992664" w:rsidRPr="00020424">
        <w:rPr>
          <w:rtl/>
        </w:rPr>
        <w:t xml:space="preserve"> ، مع اختلاف يسير وزيادة في آخره. وفي </w:t>
      </w:r>
      <w:r w:rsidR="00992664" w:rsidRPr="0012008A">
        <w:rPr>
          <w:rStyle w:val="libFootnoteBoldChar"/>
          <w:rtl/>
        </w:rPr>
        <w:t>التهذيب</w:t>
      </w:r>
      <w:r w:rsidR="00992664" w:rsidRPr="00020424">
        <w:rPr>
          <w:rtl/>
        </w:rPr>
        <w:t xml:space="preserve"> ، ج 4 ، ص 83 ، ح 241 ؛ </w:t>
      </w:r>
      <w:r w:rsidR="00992664" w:rsidRPr="00FD6221">
        <w:rPr>
          <w:rStyle w:val="libFootnoteBoldChar"/>
          <w:rtl/>
        </w:rPr>
        <w:t>والاستبصار</w:t>
      </w:r>
      <w:r w:rsidR="00992664" w:rsidRPr="00DE76B9">
        <w:rPr>
          <w:rStyle w:val="libFootnoteBoldChar"/>
          <w:rtl/>
        </w:rPr>
        <w:t xml:space="preserve"> </w:t>
      </w:r>
      <w:r w:rsidR="00992664" w:rsidRPr="00020424">
        <w:rPr>
          <w:rtl/>
        </w:rPr>
        <w:t xml:space="preserve">، ج 2 ، ص 49 ، ح 161 ؛ </w:t>
      </w:r>
      <w:r w:rsidR="00992664" w:rsidRPr="00515444">
        <w:rPr>
          <w:rStyle w:val="libFootnoteBoldChar"/>
          <w:rtl/>
        </w:rPr>
        <w:t>وعلل الشرائع</w:t>
      </w:r>
      <w:r w:rsidR="00992664" w:rsidRPr="00DE76B9">
        <w:rPr>
          <w:rStyle w:val="libFootnoteBoldChar"/>
          <w:rtl/>
        </w:rPr>
        <w:t xml:space="preserve"> </w:t>
      </w:r>
      <w:r w:rsidR="00992664" w:rsidRPr="00020424">
        <w:rPr>
          <w:rtl/>
        </w:rPr>
        <w:t xml:space="preserve">، ص 390 ، ح 4 ، بسند آخر عن الرضا </w:t>
      </w:r>
      <w:r w:rsidR="00992664" w:rsidRPr="00D64ADA">
        <w:rPr>
          <w:rStyle w:val="libFootnoteAlaemChar"/>
          <w:rtl/>
        </w:rPr>
        <w:t>عليه‌السلام</w:t>
      </w:r>
      <w:r w:rsidR="00992664" w:rsidRPr="00020424">
        <w:rPr>
          <w:rtl/>
        </w:rPr>
        <w:t xml:space="preserve"> ، من قوله : « عن كلّ انسان صاع من حنطة » مع اختلاف يسير وزيادة في آخره </w:t>
      </w:r>
      <w:r w:rsidR="00115143">
        <w:rPr>
          <w:rFonts w:hint="cs"/>
          <w:rtl/>
        </w:rPr>
        <w:t>.</w:t>
      </w:r>
      <w:r w:rsidR="00992664" w:rsidRPr="0012008A">
        <w:rPr>
          <w:rStyle w:val="libFootnoteBoldChar"/>
          <w:rtl/>
        </w:rPr>
        <w:t>الوافي</w:t>
      </w:r>
      <w:r w:rsidR="00992664" w:rsidRPr="00020424">
        <w:rPr>
          <w:rtl/>
        </w:rPr>
        <w:t xml:space="preserve"> ، ج 10 ، ص 234 ، ح 9491 ؛ </w:t>
      </w:r>
      <w:r w:rsidR="00992664" w:rsidRPr="0012008A">
        <w:rPr>
          <w:rStyle w:val="libFootnoteBoldChar"/>
          <w:rtl/>
        </w:rPr>
        <w:t>الوسائل</w:t>
      </w:r>
      <w:r w:rsidR="00992664" w:rsidRPr="00020424">
        <w:rPr>
          <w:rtl/>
        </w:rPr>
        <w:t xml:space="preserve"> ، ج 9 ، ص 327 ، ذيل ح 12139.</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وَقَالَ : « نَزَلَتِ الزَّكَاةُ وَلَيْسَ لِلنَّاسِ أَمْوَالٌ ، وَإِنَّمَا كَانَتِ الْفِطْرَةُ</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AC5D15">
        <w:rPr>
          <w:rtl/>
        </w:rPr>
        <w:t>6654</w:t>
      </w:r>
      <w:r w:rsidRPr="001155DE">
        <w:rPr>
          <w:rStyle w:val="libBold2Char"/>
          <w:rtl/>
        </w:rPr>
        <w:t xml:space="preserve"> / 4.</w:t>
      </w:r>
      <w:r w:rsidRPr="00020424">
        <w:rPr>
          <w:rtl/>
          <w:lang w:bidi="fa-IR"/>
        </w:rPr>
        <w:t xml:space="preserve"> عَلِيُّ بْنُ إِبْرَاهِيمَ ، عَنْ أَبِيهِ ، عَنِ ابْنِ أَبِي عُمَيْرٍ ، عَنْ مُعَاوِيَةَ بْنِ عَمَّارٍ ، عَنْ إِبْرَاهِيمَ بْنِ مَيْمُونٍ </w:t>
      </w:r>
      <w:r w:rsidRPr="00A91B96">
        <w:rPr>
          <w:rStyle w:val="libFootnotenumChar"/>
          <w:rtl/>
        </w:rPr>
        <w:t>(3)</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الْفِطْرَةُ إِنْ أَعْطَيْتَ قَبْلَ أَنْ تَخْرُجَ إِلَى الْعِيدِ ، فَهِيَ فِطْرَةٌ ، وَإِنْ كَانَتْ </w:t>
      </w:r>
      <w:r w:rsidRPr="00A91B96">
        <w:rPr>
          <w:rStyle w:val="libFootnotenumChar"/>
          <w:rtl/>
        </w:rPr>
        <w:t>(4)</w:t>
      </w:r>
      <w:r w:rsidRPr="00020424">
        <w:rPr>
          <w:rtl/>
          <w:lang w:bidi="fa-IR"/>
        </w:rPr>
        <w:t xml:space="preserve"> بَعْدَ مَا تَخْرُجُ </w:t>
      </w:r>
      <w:r w:rsidRPr="00A91B96">
        <w:rPr>
          <w:rStyle w:val="libFootnotenumChar"/>
          <w:rtl/>
        </w:rPr>
        <w:t>(5)</w:t>
      </w:r>
      <w:r w:rsidRPr="00020424">
        <w:rPr>
          <w:rtl/>
          <w:lang w:bidi="fa-IR"/>
        </w:rPr>
        <w:t xml:space="preserve"> إِلَى الْعِيدِ ، فَهِيَ صَدَقَةٌ</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C5D15">
        <w:rPr>
          <w:rtl/>
        </w:rPr>
        <w:t>6655</w:t>
      </w:r>
      <w:r w:rsidRPr="001155DE">
        <w:rPr>
          <w:rStyle w:val="libBold2Char"/>
          <w:rtl/>
        </w:rPr>
        <w:t xml:space="preserve"> / 5.</w:t>
      </w:r>
      <w:r w:rsidRPr="00020424">
        <w:rPr>
          <w:rtl/>
          <w:lang w:bidi="fa-IR"/>
        </w:rPr>
        <w:t xml:space="preserve"> مُحَمَّدُ بْنُ يَحْيى ، عَنْ أَحْمَدَ بْنِ مُحَمَّدٍ ، عَنْ مُحَمَّدِ بْنِ خَالِدٍ ، عَنْ سَعْدِ بْنِ سَعْدٍ الْأَشْعَرِيِّ :</w:t>
      </w:r>
    </w:p>
    <w:p w:rsidR="00992664" w:rsidRPr="00020424" w:rsidRDefault="00992664" w:rsidP="00992664">
      <w:pPr>
        <w:pStyle w:val="libNormal"/>
        <w:rPr>
          <w:rtl/>
          <w:lang w:bidi="fa-IR"/>
        </w:rPr>
      </w:pPr>
      <w:r w:rsidRPr="00020424">
        <w:rPr>
          <w:rtl/>
          <w:lang w:bidi="fa-IR"/>
        </w:rPr>
        <w:t xml:space="preserve">عَنْ أَبِي الْحَسَنِ الرِّضَا </w:t>
      </w:r>
      <w:r w:rsidRPr="00005A81">
        <w:rPr>
          <w:rStyle w:val="libAlaemChar"/>
          <w:rtl/>
        </w:rPr>
        <w:t>عليه‌السلام</w:t>
      </w:r>
      <w:r w:rsidRPr="00020424">
        <w:rPr>
          <w:rtl/>
          <w:lang w:bidi="fa-IR"/>
        </w:rPr>
        <w:t xml:space="preserve"> ، قَالَ : سَأَلْتُهُ </w:t>
      </w:r>
      <w:r w:rsidRPr="00A91B96">
        <w:rPr>
          <w:rStyle w:val="libFootnotenumChar"/>
          <w:rtl/>
        </w:rPr>
        <w:t>(7)</w:t>
      </w:r>
      <w:r w:rsidRPr="00020424">
        <w:rPr>
          <w:rtl/>
          <w:lang w:bidi="fa-IR"/>
        </w:rPr>
        <w:t xml:space="preserve"> عَنِ الْفِطْرَةِ : كَمْ تُدْفَعُ </w:t>
      </w:r>
      <w:r w:rsidRPr="00A91B96">
        <w:rPr>
          <w:rStyle w:val="libFootnotenumChar"/>
          <w:rtl/>
        </w:rPr>
        <w:t>(8)</w:t>
      </w:r>
      <w:r w:rsidRPr="00020424">
        <w:rPr>
          <w:rtl/>
          <w:lang w:bidi="fa-IR"/>
        </w:rPr>
        <w:t xml:space="preserve"> عَنْ كُلِّ رَأْسٍ مِنَ الْحِنْطَةِ وَالشَّعِيرِ وَالتَّمْرِ وَالزَّبِيبِ</w:t>
      </w:r>
      <w:r>
        <w:rPr>
          <w:rtl/>
          <w:lang w:bidi="fa-IR"/>
        </w:rPr>
        <w:t>؟</w:t>
      </w:r>
    </w:p>
    <w:p w:rsidR="00992664" w:rsidRPr="00020424" w:rsidRDefault="00992664" w:rsidP="00992664">
      <w:pPr>
        <w:pStyle w:val="libNormal"/>
        <w:rPr>
          <w:rtl/>
          <w:lang w:bidi="fa-IR"/>
        </w:rPr>
      </w:pPr>
      <w:r w:rsidRPr="00020424">
        <w:rPr>
          <w:rtl/>
          <w:lang w:bidi="fa-IR"/>
        </w:rPr>
        <w:t xml:space="preserve">قَالَ : « صَاعٌ بِصَاعِ النَّبِيِّ </w:t>
      </w:r>
      <w:r w:rsidR="00B42914" w:rsidRPr="00B42914">
        <w:rPr>
          <w:rStyle w:val="libAlaemChar"/>
          <w:rtl/>
        </w:rPr>
        <w:t>صلى‌الله‌عليه‌وآله‌</w:t>
      </w:r>
      <w:r w:rsidRPr="00020424">
        <w:rPr>
          <w:rtl/>
          <w:lang w:bidi="fa-IR"/>
        </w:rPr>
        <w:t xml:space="preserve"> </w:t>
      </w:r>
      <w:r w:rsidRPr="00A91B96">
        <w:rPr>
          <w:rStyle w:val="libFootnotenumChar"/>
          <w:rtl/>
        </w:rPr>
        <w:t>(9)</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بر ، بف » </w:t>
      </w:r>
      <w:r w:rsidR="00992664" w:rsidRPr="00515444">
        <w:rPr>
          <w:rStyle w:val="libFootnoteBoldChar"/>
          <w:rtl/>
        </w:rPr>
        <w:t>والتهذيب</w:t>
      </w:r>
      <w:r w:rsidR="00992664" w:rsidRPr="00020424">
        <w:rPr>
          <w:rtl/>
        </w:rPr>
        <w:t xml:space="preserve"> والعلل :</w:t>
      </w:r>
      <w:r w:rsidR="00992664">
        <w:rPr>
          <w:rtl/>
        </w:rPr>
        <w:t xml:space="preserve"> </w:t>
      </w:r>
      <w:r w:rsidR="009B673F">
        <w:rPr>
          <w:rtl/>
        </w:rPr>
        <w:t>-</w:t>
      </w:r>
      <w:r w:rsidR="00992664">
        <w:rPr>
          <w:rtl/>
        </w:rPr>
        <w:t xml:space="preserve"> </w:t>
      </w:r>
      <w:r w:rsidR="00992664" w:rsidRPr="00020424">
        <w:rPr>
          <w:rtl/>
        </w:rPr>
        <w:t>« 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85 ، ح 248 ، معلّقاً عن الكليني. </w:t>
      </w:r>
      <w:r w:rsidR="00992664" w:rsidRPr="00DE76B9">
        <w:rPr>
          <w:rStyle w:val="libFootnoteBoldChar"/>
          <w:rtl/>
        </w:rPr>
        <w:t>علل الشرائع</w:t>
      </w:r>
      <w:r w:rsidR="00992664" w:rsidRPr="00020424">
        <w:rPr>
          <w:rtl/>
        </w:rPr>
        <w:t xml:space="preserve"> ، ص 390 ، ح 1 ، بسنده عن محمّد بن أبي عمير. </w:t>
      </w:r>
      <w:r w:rsidR="00992664" w:rsidRPr="0012008A">
        <w:rPr>
          <w:rStyle w:val="libFootnoteBoldChar"/>
          <w:rtl/>
        </w:rPr>
        <w:t>الفقيه</w:t>
      </w:r>
      <w:r w:rsidR="00992664" w:rsidRPr="00020424">
        <w:rPr>
          <w:rtl/>
        </w:rPr>
        <w:t xml:space="preserve"> ، ج 2 ، ص 180 ، ح 2075 ، معلّقاً عن هشام بن الحكم </w:t>
      </w:r>
      <w:r w:rsidR="000947DB">
        <w:rPr>
          <w:rFonts w:hint="cs"/>
          <w:rtl/>
        </w:rPr>
        <w:t>.</w:t>
      </w:r>
      <w:r w:rsidR="00992664" w:rsidRPr="0012008A">
        <w:rPr>
          <w:rStyle w:val="libFootnoteBoldChar"/>
          <w:rtl/>
        </w:rPr>
        <w:t>الوافي</w:t>
      </w:r>
      <w:r w:rsidR="00992664" w:rsidRPr="00020424">
        <w:rPr>
          <w:rtl/>
        </w:rPr>
        <w:t xml:space="preserve"> ، ج 10 ، ص 259 ، ح 9550 ؛ </w:t>
      </w:r>
      <w:r w:rsidR="00992664" w:rsidRPr="0012008A">
        <w:rPr>
          <w:rStyle w:val="libFootnoteBoldChar"/>
          <w:rtl/>
        </w:rPr>
        <w:t>الوسائل</w:t>
      </w:r>
      <w:r w:rsidR="00992664" w:rsidRPr="00020424">
        <w:rPr>
          <w:rtl/>
        </w:rPr>
        <w:t xml:space="preserve"> ، ج 9 ، ص 351 ، ذيل ح 12211.</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ظ ، ى ، بح ، بس ، جن » </w:t>
      </w:r>
      <w:r w:rsidR="00992664" w:rsidRPr="00EB1FD9">
        <w:rPr>
          <w:rStyle w:val="libFootnoteBoldChar"/>
          <w:rtl/>
        </w:rPr>
        <w:t>والوسائل</w:t>
      </w:r>
      <w:r w:rsidR="00992664" w:rsidRPr="00020424">
        <w:rPr>
          <w:rtl/>
        </w:rPr>
        <w:t xml:space="preserve"> : « إبراهيم بن منصور</w:t>
      </w:r>
      <w:r w:rsidR="00992664">
        <w:rPr>
          <w:rtl/>
        </w:rPr>
        <w:t xml:space="preserve"> ».</w:t>
      </w:r>
      <w:r w:rsidR="00992664" w:rsidRPr="00020424">
        <w:rPr>
          <w:rtl/>
        </w:rPr>
        <w:t xml:space="preserve"> وفي « بر ، بف » : « إبراهيم بن ميمون بن منصور</w:t>
      </w:r>
      <w:r w:rsidR="00992664">
        <w:rPr>
          <w:rtl/>
        </w:rPr>
        <w:t xml:space="preserve"> ».</w:t>
      </w:r>
    </w:p>
    <w:p w:rsidR="00992664" w:rsidRPr="00020424" w:rsidRDefault="00992664" w:rsidP="000947DB">
      <w:pPr>
        <w:pStyle w:val="libFootnote0"/>
        <w:rPr>
          <w:rtl/>
          <w:lang w:bidi="fa-IR"/>
        </w:rPr>
      </w:pPr>
      <w:r w:rsidRPr="000947DB">
        <w:rPr>
          <w:rtl/>
        </w:rPr>
        <w:t xml:space="preserve">والمذكور في كتب الرجال هو إبراهيم بن ميمون بيّاع الهروي ، وإبراهيم بن ميمون الكوفي. راجع : </w:t>
      </w:r>
      <w:r w:rsidRPr="00DE76B9">
        <w:rPr>
          <w:rStyle w:val="libFootnoteBoldChar"/>
          <w:rtl/>
        </w:rPr>
        <w:t>رجال البرقي</w:t>
      </w:r>
      <w:r w:rsidRPr="000947DB">
        <w:rPr>
          <w:rtl/>
        </w:rPr>
        <w:t xml:space="preserve"> ، ص 27 ؛ </w:t>
      </w:r>
      <w:r w:rsidRPr="00DE76B9">
        <w:rPr>
          <w:rStyle w:val="libFootnoteBoldChar"/>
          <w:rtl/>
        </w:rPr>
        <w:t>رجال الطوسي</w:t>
      </w:r>
      <w:r w:rsidRPr="000947DB">
        <w:rPr>
          <w:rtl/>
        </w:rPr>
        <w:t xml:space="preserve"> ، ص 157 ، الرقم 1745 ؛ وص 167 ، الرقم 1931.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حاشية « بث » </w:t>
      </w:r>
      <w:r w:rsidR="00992664" w:rsidRPr="000947DB">
        <w:rPr>
          <w:rtl/>
        </w:rPr>
        <w:t>والوافي والتهذيب والاستبصار</w:t>
      </w:r>
      <w:r w:rsidR="00992664" w:rsidRPr="00020424">
        <w:rPr>
          <w:rtl/>
        </w:rPr>
        <w:t xml:space="preserve"> : « كان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بح ، بس ، بف » </w:t>
      </w:r>
      <w:r w:rsidR="00992664" w:rsidRPr="00EB1FD9">
        <w:rPr>
          <w:rStyle w:val="libFootnoteBoldChar"/>
          <w:rtl/>
        </w:rPr>
        <w:t>والوسائل</w:t>
      </w:r>
      <w:r w:rsidR="00992664" w:rsidRPr="00020424">
        <w:rPr>
          <w:rtl/>
        </w:rPr>
        <w:t xml:space="preserve"> : « يخرج</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76 ، ح 214 ؛ </w:t>
      </w:r>
      <w:r w:rsidR="00992664" w:rsidRPr="00FD6221">
        <w:rPr>
          <w:rStyle w:val="libFootnoteBoldChar"/>
          <w:rtl/>
        </w:rPr>
        <w:t>والاستبصار</w:t>
      </w:r>
      <w:r w:rsidR="00992664" w:rsidRPr="00020424">
        <w:rPr>
          <w:rtl/>
        </w:rPr>
        <w:t xml:space="preserve"> ، ج 2 ، ص 44 ، ح 143 ، بسندهما عن معاوية بن عمّار </w:t>
      </w:r>
      <w:r w:rsidR="000947DB">
        <w:rPr>
          <w:rFonts w:hint="cs"/>
          <w:rtl/>
        </w:rPr>
        <w:t>.</w:t>
      </w:r>
      <w:r w:rsidR="00992664" w:rsidRPr="0012008A">
        <w:rPr>
          <w:rStyle w:val="libFootnoteBoldChar"/>
          <w:rtl/>
        </w:rPr>
        <w:t>الوافي</w:t>
      </w:r>
      <w:r w:rsidR="00992664" w:rsidRPr="00020424">
        <w:rPr>
          <w:rtl/>
        </w:rPr>
        <w:t xml:space="preserve"> ، ج 10 ، ص 243 ، ح 9516 ؛ </w:t>
      </w:r>
      <w:r w:rsidR="00992664" w:rsidRPr="0012008A">
        <w:rPr>
          <w:rStyle w:val="libFootnoteBoldChar"/>
          <w:rtl/>
        </w:rPr>
        <w:t>الوسائل</w:t>
      </w:r>
      <w:r w:rsidR="00992664" w:rsidRPr="00020424">
        <w:rPr>
          <w:rtl/>
        </w:rPr>
        <w:t xml:space="preserve"> ، ج 9 ، ص 353 ، ح 12217.</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بف » : « سألت</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هكذا في « بخ ، بر ، بف</w:t>
      </w:r>
      <w:r w:rsidR="00992664" w:rsidRPr="00364DE0">
        <w:rPr>
          <w:rtl/>
        </w:rPr>
        <w:t xml:space="preserve"> » والوافي والفقيه والتهذيب والاستبصار. </w:t>
      </w:r>
      <w:r w:rsidR="00992664" w:rsidRPr="00020424">
        <w:rPr>
          <w:rtl/>
        </w:rPr>
        <w:t xml:space="preserve">وفي « ظ ، ى ، بح ، بس ، جن » </w:t>
      </w:r>
      <w:r w:rsidR="00992664" w:rsidRPr="00EB1FD9">
        <w:rPr>
          <w:rStyle w:val="libFootnoteBoldChar"/>
          <w:rtl/>
        </w:rPr>
        <w:t>والوسائل</w:t>
      </w:r>
      <w:r w:rsidR="00992664" w:rsidRPr="00020424">
        <w:rPr>
          <w:rtl/>
        </w:rPr>
        <w:t xml:space="preserve"> : « يدفع</w:t>
      </w:r>
      <w:r w:rsidR="00992664">
        <w:rPr>
          <w:rtl/>
        </w:rPr>
        <w:t xml:space="preserve"> ».</w:t>
      </w:r>
      <w:r w:rsidR="00992664" w:rsidRPr="00020424">
        <w:rPr>
          <w:rtl/>
        </w:rPr>
        <w:t xml:space="preserve"> وفي « بث » بالياء والتاء معاً. وفي المطبوع : « ندفع</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بصاع النبيّ ، قد ورد في بعض الأخبار أنّه كان خمسة أمداد ، والأحوط العمل به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التهذيب</w:t>
      </w:r>
      <w:r w:rsidR="00992664" w:rsidRPr="00020424">
        <w:rPr>
          <w:rtl/>
        </w:rPr>
        <w:t xml:space="preserve"> ، ج 4 ، ص 80 ، ح 227 ؛ </w:t>
      </w:r>
      <w:r w:rsidR="00992664" w:rsidRPr="00FD6221">
        <w:rPr>
          <w:rStyle w:val="libFootnoteBoldChar"/>
          <w:rtl/>
        </w:rPr>
        <w:t>والاستبصار</w:t>
      </w:r>
      <w:r w:rsidR="00992664" w:rsidRPr="00020424">
        <w:rPr>
          <w:rtl/>
        </w:rPr>
        <w:t xml:space="preserve"> ، ج 2 ، ص 46 ، ح 148 ، معلّقاً عن الكليني. </w:t>
      </w:r>
      <w:r w:rsidR="00992664" w:rsidRPr="0012008A">
        <w:rPr>
          <w:rStyle w:val="libFootnoteBoldChar"/>
          <w:rtl/>
        </w:rPr>
        <w:t>الفقيه</w:t>
      </w:r>
      <w:r w:rsidR="00992664" w:rsidRPr="00020424">
        <w:rPr>
          <w:rtl/>
        </w:rPr>
        <w:t xml:space="preserve"> ، ج 2 ، </w:t>
      </w:r>
      <w:r w:rsidR="007D0709">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C5D15">
        <w:rPr>
          <w:rtl/>
        </w:rPr>
        <w:t>6656</w:t>
      </w:r>
      <w:r w:rsidRPr="001155DE">
        <w:rPr>
          <w:rStyle w:val="libBold2Char"/>
          <w:rtl/>
        </w:rPr>
        <w:t xml:space="preserve"> / 6.</w:t>
      </w:r>
      <w:r w:rsidRPr="00020424">
        <w:rPr>
          <w:rtl/>
          <w:lang w:bidi="fa-IR"/>
        </w:rPr>
        <w:t xml:space="preserve"> مُحَمَّدُ بْنُ يَحْيى </w:t>
      </w:r>
      <w:r w:rsidRPr="00A91B96">
        <w:rPr>
          <w:rStyle w:val="libFootnotenumChar"/>
          <w:rtl/>
        </w:rPr>
        <w:t>(1)</w:t>
      </w:r>
      <w:r w:rsidRPr="00020424">
        <w:rPr>
          <w:rtl/>
          <w:lang w:bidi="fa-IR"/>
        </w:rPr>
        <w:t xml:space="preserve"> ، عَنْ أَحْمَدَ بْنِ مُحَمَّدٍ ، عَنْ عَلِيِّ بْنِ الْحَكَمِ ، عَنْ سَيْفِ بْنِ عَمِيرَةَ ، عَنْ إِسْحَاقَ بْنِ عَمَّارٍ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تَعْجِيلِ الْفِطْرَةِ بِيَوْمٍ</w:t>
      </w:r>
      <w:r>
        <w:rPr>
          <w:rtl/>
          <w:lang w:bidi="fa-IR"/>
        </w:rPr>
        <w:t>؟</w:t>
      </w:r>
    </w:p>
    <w:p w:rsidR="00992664" w:rsidRPr="00020424" w:rsidRDefault="00992664" w:rsidP="00992664">
      <w:pPr>
        <w:pStyle w:val="libNormal"/>
        <w:rPr>
          <w:rtl/>
          <w:lang w:bidi="fa-IR"/>
        </w:rPr>
      </w:pPr>
      <w:r w:rsidRPr="00020424">
        <w:rPr>
          <w:rtl/>
          <w:lang w:bidi="fa-IR"/>
        </w:rPr>
        <w:t xml:space="preserve">فَقَالَ : « لَا بَأْسَ بِهِ </w:t>
      </w:r>
      <w:r w:rsidRPr="00A91B96">
        <w:rPr>
          <w:rStyle w:val="libFootnotenumChar"/>
          <w:rtl/>
        </w:rPr>
        <w:t>(2)</w:t>
      </w:r>
      <w:r>
        <w:rPr>
          <w:rtl/>
          <w:lang w:bidi="fa-IR"/>
        </w:rPr>
        <w:t xml:space="preserve"> ».</w:t>
      </w:r>
    </w:p>
    <w:p w:rsidR="00992664" w:rsidRPr="00020424" w:rsidRDefault="00992664" w:rsidP="00992664">
      <w:pPr>
        <w:pStyle w:val="libNormal"/>
        <w:rPr>
          <w:rtl/>
          <w:lang w:bidi="fa-IR"/>
        </w:rPr>
      </w:pPr>
      <w:r w:rsidRPr="00020424">
        <w:rPr>
          <w:rtl/>
          <w:lang w:bidi="fa-IR"/>
        </w:rPr>
        <w:t xml:space="preserve">قُلْتُ : فَمَا تَرى بِأَنْ </w:t>
      </w:r>
      <w:r w:rsidRPr="00A91B96">
        <w:rPr>
          <w:rStyle w:val="libFootnotenumChar"/>
          <w:rtl/>
        </w:rPr>
        <w:t>(3)</w:t>
      </w:r>
      <w:r w:rsidRPr="00020424">
        <w:rPr>
          <w:rtl/>
          <w:lang w:bidi="fa-IR"/>
        </w:rPr>
        <w:t xml:space="preserve"> نَجْمَعَهَا </w:t>
      </w:r>
      <w:r w:rsidRPr="00A91B96">
        <w:rPr>
          <w:rStyle w:val="libFootnotenumChar"/>
          <w:rtl/>
        </w:rPr>
        <w:t>(4)</w:t>
      </w:r>
      <w:r w:rsidRPr="00020424">
        <w:rPr>
          <w:rtl/>
          <w:lang w:bidi="fa-IR"/>
        </w:rPr>
        <w:t xml:space="preserve"> ، وَنَجْعَلَ </w:t>
      </w:r>
      <w:r w:rsidRPr="00A91B96">
        <w:rPr>
          <w:rStyle w:val="libFootnotenumChar"/>
          <w:rtl/>
        </w:rPr>
        <w:t>(5)</w:t>
      </w:r>
      <w:r w:rsidRPr="00020424">
        <w:rPr>
          <w:rtl/>
          <w:lang w:bidi="fa-IR"/>
        </w:rPr>
        <w:t xml:space="preserve"> قِيمَتَهَا وَرِقاً </w:t>
      </w:r>
      <w:r w:rsidRPr="00A91B96">
        <w:rPr>
          <w:rStyle w:val="libFootnotenumChar"/>
          <w:rtl/>
        </w:rPr>
        <w:t>(6)</w:t>
      </w:r>
      <w:r w:rsidRPr="00020424">
        <w:rPr>
          <w:rtl/>
          <w:lang w:bidi="fa-IR"/>
        </w:rPr>
        <w:t xml:space="preserve"> ، وَنُعْطِيَهَا </w:t>
      </w:r>
      <w:r w:rsidRPr="00A91B96">
        <w:rPr>
          <w:rStyle w:val="libFootnotenumChar"/>
          <w:rtl/>
        </w:rPr>
        <w:t>(7)</w:t>
      </w:r>
      <w:r w:rsidRPr="00020424">
        <w:rPr>
          <w:rtl/>
          <w:lang w:bidi="fa-IR"/>
        </w:rPr>
        <w:t xml:space="preserve"> رَجُلاً وَاحِداً مُسْلِماً</w:t>
      </w:r>
      <w:r>
        <w:rPr>
          <w:rtl/>
          <w:lang w:bidi="fa-IR"/>
        </w:rPr>
        <w:t>؟</w:t>
      </w:r>
    </w:p>
    <w:p w:rsidR="00992664" w:rsidRPr="00020424" w:rsidRDefault="00992664" w:rsidP="00992664">
      <w:pPr>
        <w:pStyle w:val="libNormal"/>
        <w:rPr>
          <w:rtl/>
          <w:lang w:bidi="fa-IR"/>
        </w:rPr>
      </w:pPr>
      <w:r w:rsidRPr="00020424">
        <w:rPr>
          <w:rtl/>
          <w:lang w:bidi="fa-IR"/>
        </w:rPr>
        <w:t>قَالَ : « لَا بَأْسَ بِهِ</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AC5D15">
        <w:rPr>
          <w:rtl/>
        </w:rPr>
        <w:t>6657</w:t>
      </w:r>
      <w:r w:rsidRPr="001155DE">
        <w:rPr>
          <w:rStyle w:val="libBold2Char"/>
          <w:rtl/>
        </w:rPr>
        <w:t xml:space="preserve"> / 7.</w:t>
      </w:r>
      <w:r w:rsidRPr="00020424">
        <w:rPr>
          <w:rtl/>
          <w:lang w:bidi="fa-IR"/>
        </w:rPr>
        <w:t xml:space="preserve"> مُحَمَّدُ بْنُ إِسْمَاعِيلَ ، عَنِ الْفَضْلِ بْنِ شَاذَانَ ، عَنِ ابْنِ أَبِي عُمَيْرٍ ، عَنْ جَمِيلِ بْنِ دَرَّاجٍ :</w:t>
      </w:r>
    </w:p>
    <w:p w:rsidR="00992664" w:rsidRPr="00020424" w:rsidRDefault="00992664" w:rsidP="00992664">
      <w:pPr>
        <w:pStyle w:val="libLine"/>
        <w:rPr>
          <w:rtl/>
          <w:lang w:bidi="fa-IR"/>
        </w:rPr>
      </w:pPr>
      <w:r w:rsidRPr="00020424">
        <w:rPr>
          <w:rtl/>
          <w:lang w:bidi="fa-IR"/>
        </w:rPr>
        <w:t>__________________</w:t>
      </w:r>
    </w:p>
    <w:p w:rsidR="00992664" w:rsidRPr="00020424" w:rsidRDefault="00DF7F26" w:rsidP="00992664">
      <w:pPr>
        <w:pStyle w:val="libFootnote0"/>
        <w:rPr>
          <w:rtl/>
          <w:lang w:bidi="fa-IR"/>
        </w:rPr>
      </w:pPr>
      <w:r>
        <w:rPr>
          <w:rFonts w:hint="cs"/>
          <w:rtl/>
        </w:rPr>
        <w:t xml:space="preserve">= </w:t>
      </w:r>
      <w:r w:rsidR="00992664" w:rsidRPr="00020424">
        <w:rPr>
          <w:rtl/>
        </w:rPr>
        <w:t xml:space="preserve">ص 176 ، ح 2062 ، معلّقاً عن محمّد بن خالد. </w:t>
      </w:r>
      <w:r w:rsidR="00992664" w:rsidRPr="00A722B1">
        <w:rPr>
          <w:rStyle w:val="libFootnoteBoldChar"/>
          <w:rtl/>
        </w:rPr>
        <w:t>الخصال</w:t>
      </w:r>
      <w:r w:rsidR="00992664" w:rsidRPr="00020424">
        <w:rPr>
          <w:rtl/>
        </w:rPr>
        <w:t xml:space="preserve"> ، ص 605 ، أبواب الثمانين ومافوقه ، ضمن الحديث الطويل 9 ، بسند آخر عن جعفر بن محمّد </w:t>
      </w:r>
      <w:r w:rsidR="00992664" w:rsidRPr="00D64ADA">
        <w:rPr>
          <w:rStyle w:val="libFootnoteAlaemChar"/>
          <w:rtl/>
        </w:rPr>
        <w:t>عليه‌السلام</w:t>
      </w:r>
      <w:r w:rsidR="00992664" w:rsidRPr="00020424">
        <w:rPr>
          <w:rtl/>
        </w:rPr>
        <w:t xml:space="preserve"> ، مع اختلاف </w:t>
      </w:r>
      <w:r w:rsidR="007809AE">
        <w:rPr>
          <w:rFonts w:hint="cs"/>
          <w:rtl/>
        </w:rPr>
        <w:t>.</w:t>
      </w:r>
      <w:r w:rsidR="00992664" w:rsidRPr="0012008A">
        <w:rPr>
          <w:rStyle w:val="libFootnoteBoldChar"/>
          <w:rtl/>
        </w:rPr>
        <w:t>الوافي</w:t>
      </w:r>
      <w:r w:rsidR="00992664" w:rsidRPr="00020424">
        <w:rPr>
          <w:rtl/>
        </w:rPr>
        <w:t xml:space="preserve"> ، ج 10 ، ص 251 ، ح 9531 ؛ </w:t>
      </w:r>
      <w:r w:rsidR="00992664" w:rsidRPr="0012008A">
        <w:rPr>
          <w:rStyle w:val="libFootnoteBoldChar"/>
          <w:rtl/>
        </w:rPr>
        <w:t>الوسائل</w:t>
      </w:r>
      <w:r w:rsidR="00992664" w:rsidRPr="00020424">
        <w:rPr>
          <w:rtl/>
        </w:rPr>
        <w:t xml:space="preserve"> ، ج 9 ، ص 332 ، ح 12156.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بر ، جر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لعلّ المراد بجواز التعجيل</w:t>
      </w:r>
      <w:r w:rsidR="00992664">
        <w:rPr>
          <w:rtl/>
        </w:rPr>
        <w:t xml:space="preserve"> ..</w:t>
      </w:r>
      <w:r w:rsidR="00992664" w:rsidRPr="00020424">
        <w:rPr>
          <w:rtl/>
        </w:rPr>
        <w:t>. ما يكون على سبيل القرض ، ثمّ الاحتساب من الزكاة ، لما مضى من أنّ الزكاة كالصلاة والصوم في عدم جواز تقديمها على الوقت</w:t>
      </w:r>
      <w:r w:rsidR="00992664">
        <w:rPr>
          <w:rtl/>
        </w:rPr>
        <w:t xml:space="preserve"> ».</w:t>
      </w:r>
      <w:r w:rsidR="00992664" w:rsidRPr="00020424">
        <w:rPr>
          <w:rtl/>
        </w:rPr>
        <w:t xml:space="preserve"> وفي مرآة العقول : « قوله </w:t>
      </w:r>
      <w:r w:rsidR="00992664" w:rsidRPr="00D64ADA">
        <w:rPr>
          <w:rStyle w:val="libFootnoteAlaemChar"/>
          <w:rtl/>
        </w:rPr>
        <w:t>عليه‌السلام</w:t>
      </w:r>
      <w:r w:rsidR="00992664" w:rsidRPr="00020424">
        <w:rPr>
          <w:rtl/>
        </w:rPr>
        <w:t xml:space="preserve"> : لا بأس به ، يدلّ على جواز التعجيل بيوم ، والمشهور بين الأصحاب عدم </w:t>
      </w:r>
      <w:r w:rsidR="00895DCB">
        <w:rPr>
          <w:rtl/>
        </w:rPr>
        <w:t>جواز تقديمها قبل هلال شوّال إل</w:t>
      </w:r>
      <w:r w:rsidR="00895DCB">
        <w:rPr>
          <w:rFonts w:hint="cs"/>
          <w:rtl/>
        </w:rPr>
        <w:t>ّ</w:t>
      </w:r>
      <w:r w:rsidR="00895DCB">
        <w:rPr>
          <w:rtl/>
        </w:rPr>
        <w:t>ا</w:t>
      </w:r>
      <w:r w:rsidR="00992664" w:rsidRPr="00020424">
        <w:rPr>
          <w:rtl/>
        </w:rPr>
        <w:t>على سبيل القرض ، وعليه حملوا هذا الخبر وأمثاله</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بث ، بر » </w:t>
      </w:r>
      <w:r w:rsidR="00992664" w:rsidRPr="00515444">
        <w:rPr>
          <w:rStyle w:val="libFootnoteBoldChar"/>
          <w:rtl/>
        </w:rPr>
        <w:t>والوافي</w:t>
      </w:r>
      <w:r w:rsidR="00992664" w:rsidRPr="00020424">
        <w:rPr>
          <w:rtl/>
        </w:rPr>
        <w:t xml:space="preserve"> : « أن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بث ، بخ » : « بأن يجمعها</w:t>
      </w:r>
      <w:r w:rsidR="00992664">
        <w:rPr>
          <w:rtl/>
        </w:rPr>
        <w:t xml:space="preserve"> ».</w:t>
      </w:r>
      <w:r w:rsidR="00992664" w:rsidRPr="00020424">
        <w:rPr>
          <w:rtl/>
        </w:rPr>
        <w:t xml:space="preserve"> وفي « بر ، بف » : « بأن تجمعها</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بث ، بح ، بخ » : « ويجعل</w:t>
      </w:r>
      <w:r w:rsidR="00992664">
        <w:rPr>
          <w:rtl/>
        </w:rPr>
        <w:t xml:space="preserve"> ».</w:t>
      </w:r>
      <w:r w:rsidR="00992664" w:rsidRPr="00020424">
        <w:rPr>
          <w:rtl/>
        </w:rPr>
        <w:t xml:space="preserve"> وفي « بر ، بف » : « وتجعل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الورق ، كفلس وحبر وكتف وجبل : الدراهم المضروبة عند الجوهري ، والفضّة عند ابن الأثير ، والفضّة المضروبة عند آخر ، والدراهم عند بعض. راجع : </w:t>
      </w:r>
      <w:r w:rsidR="00992664" w:rsidRPr="0012008A">
        <w:rPr>
          <w:rStyle w:val="libFootnoteBoldChar"/>
          <w:rtl/>
        </w:rPr>
        <w:t>الصحاح</w:t>
      </w:r>
      <w:r w:rsidR="00992664" w:rsidRPr="00020424">
        <w:rPr>
          <w:rtl/>
        </w:rPr>
        <w:t xml:space="preserve"> ، ج 4 ، ص 1564 ؛ </w:t>
      </w:r>
      <w:r w:rsidR="00992664" w:rsidRPr="0012008A">
        <w:rPr>
          <w:rStyle w:val="libFootnoteBoldChar"/>
          <w:rtl/>
        </w:rPr>
        <w:t>النهاية</w:t>
      </w:r>
      <w:r w:rsidR="00992664" w:rsidRPr="00020424">
        <w:rPr>
          <w:rtl/>
        </w:rPr>
        <w:t xml:space="preserve"> ، ج 5 ، ص 175 ؛ </w:t>
      </w:r>
      <w:r w:rsidR="00992664" w:rsidRPr="00A722B1">
        <w:rPr>
          <w:rStyle w:val="libFootnoteBoldChar"/>
          <w:rtl/>
        </w:rPr>
        <w:t>لسان العرب</w:t>
      </w:r>
      <w:r w:rsidR="00992664" w:rsidRPr="00020424">
        <w:rPr>
          <w:rtl/>
        </w:rPr>
        <w:t xml:space="preserve"> ، ج 10 ، ص 375 ؛ </w:t>
      </w:r>
      <w:r w:rsidR="00992664" w:rsidRPr="00A722B1">
        <w:rPr>
          <w:rStyle w:val="libFootnoteBoldChar"/>
          <w:rtl/>
        </w:rPr>
        <w:t>المصباح المنير</w:t>
      </w:r>
      <w:r w:rsidR="00992664" w:rsidRPr="00020424">
        <w:rPr>
          <w:rtl/>
        </w:rPr>
        <w:t xml:space="preserve"> ، ص 655 ( ورق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ظ ، بث ، بخ ، بر » </w:t>
      </w:r>
      <w:r w:rsidR="00992664" w:rsidRPr="00EB1FD9">
        <w:rPr>
          <w:rStyle w:val="libFootnoteBoldChar"/>
          <w:rtl/>
        </w:rPr>
        <w:t>والوسائل</w:t>
      </w:r>
      <w:r w:rsidR="00992664" w:rsidRPr="00020424">
        <w:rPr>
          <w:rtl/>
        </w:rPr>
        <w:t xml:space="preserve"> ، ح 12246 : « ويعطيها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الوافي</w:t>
      </w:r>
      <w:r w:rsidR="00992664" w:rsidRPr="00020424">
        <w:rPr>
          <w:rtl/>
        </w:rPr>
        <w:t xml:space="preserve"> ، ج 10 ، ص 244 ، ح 9519 ؛ </w:t>
      </w:r>
      <w:r w:rsidR="00992664" w:rsidRPr="0012008A">
        <w:rPr>
          <w:rStyle w:val="libFootnoteBoldChar"/>
          <w:rtl/>
        </w:rPr>
        <w:t>الوسائل</w:t>
      </w:r>
      <w:r w:rsidR="00992664" w:rsidRPr="00020424">
        <w:rPr>
          <w:rtl/>
        </w:rPr>
        <w:t xml:space="preserve"> ، ج 9 ، ص 354 ، ح 12218 ، إلى قوله : « فقال : لابأس به » ؛ </w:t>
      </w:r>
      <w:r w:rsidR="00992664" w:rsidRPr="00DE76B9">
        <w:rPr>
          <w:rStyle w:val="libFootnoteBoldChar"/>
          <w:rtl/>
        </w:rPr>
        <w:t>وفيه</w:t>
      </w:r>
      <w:r w:rsidR="00992664" w:rsidRPr="00020424">
        <w:rPr>
          <w:rtl/>
        </w:rPr>
        <w:t xml:space="preserve"> ، ص 363 ، ح 12246 ، من قوله : « نعطيها رجلاً واحداً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64DE0">
      <w:pPr>
        <w:pStyle w:val="libNormal0"/>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بَأْسَ بِأَنْ </w:t>
      </w:r>
      <w:r w:rsidRPr="00A91B96">
        <w:rPr>
          <w:rStyle w:val="libFootnotenumChar"/>
          <w:rtl/>
        </w:rPr>
        <w:t>(1)</w:t>
      </w:r>
      <w:r w:rsidRPr="00020424">
        <w:rPr>
          <w:rtl/>
          <w:lang w:bidi="fa-IR"/>
        </w:rPr>
        <w:t xml:space="preserve"> يُعْطِيَ الرَّجُلُ عَنْ عِيَالِهِ وَهُمْ غُيَّبٌ عَنْهُ </w:t>
      </w:r>
      <w:r w:rsidRPr="00A91B96">
        <w:rPr>
          <w:rStyle w:val="libFootnotenumChar"/>
          <w:rtl/>
        </w:rPr>
        <w:t>(2)</w:t>
      </w:r>
      <w:r w:rsidRPr="00020424">
        <w:rPr>
          <w:rtl/>
          <w:lang w:bidi="fa-IR"/>
        </w:rPr>
        <w:t xml:space="preserve"> ، وَيَأْمُرَهُمْ </w:t>
      </w:r>
      <w:r w:rsidRPr="00A91B96">
        <w:rPr>
          <w:rStyle w:val="libFootnotenumChar"/>
          <w:rtl/>
        </w:rPr>
        <w:t>(3)</w:t>
      </w:r>
      <w:r w:rsidRPr="00020424">
        <w:rPr>
          <w:rtl/>
          <w:lang w:bidi="fa-IR"/>
        </w:rPr>
        <w:t xml:space="preserve"> ، فَيُعْطُونَ عَنْهُ وَهُوَ غَائِبٌ عَنْهُمْ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AC5D15">
        <w:rPr>
          <w:rtl/>
        </w:rPr>
        <w:t>6658</w:t>
      </w:r>
      <w:r w:rsidRPr="001155DE">
        <w:rPr>
          <w:rStyle w:val="libBold2Char"/>
          <w:rtl/>
        </w:rPr>
        <w:t xml:space="preserve"> / 8.</w:t>
      </w:r>
      <w:r w:rsidRPr="00020424">
        <w:rPr>
          <w:rtl/>
          <w:lang w:bidi="fa-IR"/>
        </w:rPr>
        <w:t xml:space="preserve"> بَعْضُ أَصْحَابِنَا </w:t>
      </w:r>
      <w:r w:rsidRPr="00A91B96">
        <w:rPr>
          <w:rStyle w:val="libFootnotenumChar"/>
          <w:rtl/>
        </w:rPr>
        <w:t>(6)</w:t>
      </w:r>
      <w:r w:rsidRPr="00020424">
        <w:rPr>
          <w:rtl/>
          <w:lang w:bidi="fa-IR"/>
        </w:rPr>
        <w:t xml:space="preserve"> ، عَنْ مُحَمَّدِ بْنِ عِيسى ، عَنْ عَلِيِّ بْنِ بِلَالٍ ، قَالَ :</w:t>
      </w:r>
    </w:p>
    <w:p w:rsidR="00992664" w:rsidRPr="00020424" w:rsidRDefault="00992664" w:rsidP="00992664">
      <w:pPr>
        <w:pStyle w:val="libNormal"/>
        <w:rPr>
          <w:rtl/>
          <w:lang w:bidi="fa-IR"/>
        </w:rPr>
      </w:pPr>
      <w:r w:rsidRPr="00020424">
        <w:rPr>
          <w:rtl/>
          <w:lang w:bidi="fa-IR"/>
        </w:rPr>
        <w:t xml:space="preserve">كَتَبْتُ إِلَى الرَّجُلِ </w:t>
      </w:r>
      <w:r w:rsidRPr="00005A81">
        <w:rPr>
          <w:rStyle w:val="libAlaemChar"/>
          <w:rtl/>
        </w:rPr>
        <w:t>عليه‌السلام</w:t>
      </w:r>
      <w:r w:rsidRPr="00020424">
        <w:rPr>
          <w:rtl/>
          <w:lang w:bidi="fa-IR"/>
        </w:rPr>
        <w:t xml:space="preserve"> ، أَسْأَلُهُ عَنِ الْفِطْرَةِ ، وَكَمْ تُدْفَعُ </w:t>
      </w:r>
      <w:r w:rsidRPr="00A91B96">
        <w:rPr>
          <w:rStyle w:val="libFootnotenumChar"/>
          <w:rtl/>
        </w:rPr>
        <w:t>(7)</w:t>
      </w:r>
      <w:r>
        <w:rPr>
          <w:rtl/>
          <w:lang w:bidi="fa-IR"/>
        </w:rPr>
        <w:t>؟</w:t>
      </w:r>
    </w:p>
    <w:p w:rsidR="00992664" w:rsidRPr="00020424" w:rsidRDefault="00992664" w:rsidP="00992664">
      <w:pPr>
        <w:pStyle w:val="libNormal"/>
        <w:rPr>
          <w:rtl/>
          <w:lang w:bidi="fa-IR"/>
        </w:rPr>
      </w:pPr>
      <w:r w:rsidRPr="00020424">
        <w:rPr>
          <w:rtl/>
          <w:lang w:bidi="fa-IR"/>
        </w:rPr>
        <w:t xml:space="preserve">قَالَ : فَكَتَبَ : « سِتَّةُ أَرْطَالٍ مِنْ تَمْرٍ بِالْمَدَنِيِّ </w:t>
      </w:r>
      <w:r w:rsidRPr="00A91B96">
        <w:rPr>
          <w:rStyle w:val="libFootnotenumChar"/>
          <w:rtl/>
        </w:rPr>
        <w:t>(8)</w:t>
      </w:r>
      <w:r w:rsidRPr="00020424">
        <w:rPr>
          <w:rtl/>
          <w:lang w:bidi="fa-IR"/>
        </w:rPr>
        <w:t xml:space="preserve"> ، وَذلِكَ تِسْعَةُ أَرْطَالٍ </w:t>
      </w:r>
      <w:r w:rsidRPr="00A91B96">
        <w:rPr>
          <w:rStyle w:val="libFootnotenumChar"/>
          <w:rtl/>
        </w:rPr>
        <w:t>(9)</w:t>
      </w:r>
      <w:r w:rsidRPr="00020424">
        <w:rPr>
          <w:rtl/>
          <w:lang w:bidi="fa-IR"/>
        </w:rPr>
        <w:t xml:space="preserve"> بِالْبَغْدَادِيِّ </w:t>
      </w:r>
      <w:r w:rsidRPr="00A91B96">
        <w:rPr>
          <w:rStyle w:val="libFootnotenumChar"/>
          <w:rtl/>
        </w:rPr>
        <w:t>(10)</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Normal"/>
        <w:rPr>
          <w:rtl/>
          <w:lang w:bidi="fa-IR"/>
        </w:rPr>
      </w:pPr>
      <w:r w:rsidRPr="00AC5D15">
        <w:rPr>
          <w:rtl/>
        </w:rPr>
        <w:t>6659</w:t>
      </w:r>
      <w:r w:rsidRPr="001155DE">
        <w:rPr>
          <w:rStyle w:val="libBold2Char"/>
          <w:rtl/>
        </w:rPr>
        <w:t xml:space="preserve"> / 9.</w:t>
      </w:r>
      <w:r w:rsidRPr="00020424">
        <w:rPr>
          <w:rtl/>
          <w:lang w:bidi="fa-IR"/>
        </w:rPr>
        <w:t xml:space="preserve"> مُحَمَّدُ بْنُ يَحْيى ، عَنْ مُحَمَّدِ بْنِ أَحْمَدَ </w:t>
      </w:r>
      <w:r w:rsidRPr="00A91B96">
        <w:rPr>
          <w:rStyle w:val="libFootnotenumChar"/>
          <w:rtl/>
        </w:rPr>
        <w:t>(12)</w:t>
      </w:r>
      <w:r w:rsidRPr="00020424">
        <w:rPr>
          <w:rtl/>
          <w:lang w:bidi="fa-IR"/>
        </w:rPr>
        <w:t xml:space="preserve"> ، عَنْ جَعْفَرِ بْنِ إِبْرَاهِيمَ بْنِ مُحَمَّدٍ الْهَمَذَانِيِّ </w:t>
      </w:r>
      <w:r w:rsidRPr="00A91B96">
        <w:rPr>
          <w:rStyle w:val="libFootnotenumChar"/>
          <w:rtl/>
        </w:rPr>
        <w:t>(13)</w:t>
      </w:r>
      <w:r>
        <w:rPr>
          <w:rtl/>
          <w:lang w:bidi="fa-IR"/>
        </w:rPr>
        <w:t xml:space="preserve"> </w:t>
      </w:r>
      <w:r w:rsidR="009B673F">
        <w:rPr>
          <w:rtl/>
          <w:lang w:bidi="fa-IR"/>
        </w:rPr>
        <w:t>-</w:t>
      </w:r>
      <w:r>
        <w:rPr>
          <w:rtl/>
          <w:lang w:bidi="fa-IR"/>
        </w:rPr>
        <w:t xml:space="preserve"> </w:t>
      </w:r>
      <w:r w:rsidRPr="00020424">
        <w:rPr>
          <w:rtl/>
          <w:lang w:bidi="fa-IR"/>
        </w:rPr>
        <w:t>وَكَانَ مَعَنَا حَاجّاً</w:t>
      </w:r>
      <w:r>
        <w:rPr>
          <w:rtl/>
          <w:lang w:bidi="fa-IR"/>
        </w:rPr>
        <w:t xml:space="preserve"> </w:t>
      </w:r>
      <w:r w:rsidR="009B673F">
        <w:rPr>
          <w:rtl/>
          <w:lang w:bidi="fa-IR"/>
        </w:rPr>
        <w:t>-</w:t>
      </w:r>
      <w:r>
        <w:rPr>
          <w:rtl/>
          <w:lang w:bidi="fa-IR"/>
        </w:rPr>
        <w:t xml:space="preserve"> </w:t>
      </w:r>
      <w:r w:rsidRPr="00020424">
        <w:rPr>
          <w:rtl/>
          <w:lang w:bidi="fa-IR"/>
        </w:rPr>
        <w:t>قَالَ :</w:t>
      </w:r>
    </w:p>
    <w:p w:rsidR="00992664" w:rsidRPr="00020424" w:rsidRDefault="00992664" w:rsidP="00992664">
      <w:pPr>
        <w:pStyle w:val="libNormal"/>
        <w:rPr>
          <w:rtl/>
          <w:lang w:bidi="fa-IR"/>
        </w:rPr>
      </w:pPr>
      <w:r w:rsidRPr="00020424">
        <w:rPr>
          <w:rtl/>
          <w:lang w:bidi="fa-IR"/>
        </w:rPr>
        <w:t xml:space="preserve">كَتَبْتُ إِلى أَبِي الْحَسَنِ </w:t>
      </w:r>
      <w:r w:rsidRPr="00005A81">
        <w:rPr>
          <w:rStyle w:val="libAlaemChar"/>
          <w:rtl/>
        </w:rPr>
        <w:t>عليه‌السلام</w:t>
      </w:r>
      <w:r w:rsidRPr="00020424">
        <w:rPr>
          <w:rtl/>
          <w:lang w:bidi="fa-IR"/>
        </w:rPr>
        <w:t xml:space="preserve"> عَلى يَدَيْ </w:t>
      </w:r>
      <w:r w:rsidRPr="00A91B96">
        <w:rPr>
          <w:rStyle w:val="libFootnotenumChar"/>
          <w:rtl/>
        </w:rPr>
        <w:t>(14)</w:t>
      </w:r>
      <w:r w:rsidRPr="00020424">
        <w:rPr>
          <w:rtl/>
          <w:lang w:bidi="fa-IR"/>
        </w:rPr>
        <w:t xml:space="preserve"> أَبِي : جُعِلْتُ فِدَاكَ ، إِنَّ أَصْحَابَنَا اخْتَلَفُوا فِي‌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أن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عنه</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E746C" w:rsidTr="000E746C">
        <w:tc>
          <w:tcPr>
            <w:tcW w:w="4006" w:type="dxa"/>
          </w:tcPr>
          <w:p w:rsidR="000E746C" w:rsidRDefault="000E746C" w:rsidP="00992664">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أو يأمرهم</w:t>
            </w:r>
            <w:r>
              <w:rPr>
                <w:rtl/>
              </w:rPr>
              <w:t xml:space="preserve"> ».</w:t>
            </w:r>
          </w:p>
        </w:tc>
        <w:tc>
          <w:tcPr>
            <w:tcW w:w="4006" w:type="dxa"/>
          </w:tcPr>
          <w:p w:rsidR="000E746C" w:rsidRDefault="000E746C" w:rsidP="00992664">
            <w:pPr>
              <w:pStyle w:val="libFootnote0"/>
              <w:rPr>
                <w:rtl/>
              </w:rPr>
            </w:pPr>
            <w:r>
              <w:rPr>
                <w:rtl/>
              </w:rPr>
              <w:t xml:space="preserve">(4). </w:t>
            </w:r>
            <w:r w:rsidRPr="00020424">
              <w:rPr>
                <w:rtl/>
              </w:rPr>
              <w:t xml:space="preserve">في </w:t>
            </w:r>
            <w:r w:rsidRPr="0012008A">
              <w:rPr>
                <w:rStyle w:val="libFootnoteBoldChar"/>
                <w:rtl/>
              </w:rPr>
              <w:t>التهذيب</w:t>
            </w:r>
            <w:r w:rsidRPr="00020424">
              <w:rPr>
                <w:rtl/>
              </w:rPr>
              <w:t xml:space="preserve"> : + « يعني الفطرة</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331 ، ح 1038 ، بسنده عن ابن أبي عمير </w:t>
      </w:r>
      <w:r w:rsidR="0068482C">
        <w:rPr>
          <w:rFonts w:hint="cs"/>
          <w:rtl/>
        </w:rPr>
        <w:t>.</w:t>
      </w:r>
      <w:r w:rsidR="00992664" w:rsidRPr="0012008A">
        <w:rPr>
          <w:rStyle w:val="libFootnoteBoldChar"/>
          <w:rtl/>
        </w:rPr>
        <w:t>الوافي</w:t>
      </w:r>
      <w:r w:rsidR="00992664" w:rsidRPr="00020424">
        <w:rPr>
          <w:rtl/>
        </w:rPr>
        <w:t xml:space="preserve"> ، ج 10 ، ص 271 ، ح 9577 ؛ </w:t>
      </w:r>
      <w:r w:rsidR="00992664" w:rsidRPr="0012008A">
        <w:rPr>
          <w:rStyle w:val="libFootnoteBoldChar"/>
          <w:rtl/>
        </w:rPr>
        <w:t>الوسائل</w:t>
      </w:r>
      <w:r w:rsidR="00992664" w:rsidRPr="00020424">
        <w:rPr>
          <w:rtl/>
        </w:rPr>
        <w:t xml:space="preserve"> ، ج 9 ، ص 366 ، ح 12251.</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النسخ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وفي المطبوع : « عدّة من أصحابنا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11AF6" w:rsidTr="00411AF6">
        <w:tc>
          <w:tcPr>
            <w:tcW w:w="4006" w:type="dxa"/>
          </w:tcPr>
          <w:p w:rsidR="00411AF6" w:rsidRDefault="00411AF6" w:rsidP="00992664">
            <w:pPr>
              <w:pStyle w:val="libFootnote0"/>
              <w:rPr>
                <w:rtl/>
              </w:rPr>
            </w:pPr>
            <w:r>
              <w:rPr>
                <w:rtl/>
              </w:rPr>
              <w:t xml:space="preserve">(7). </w:t>
            </w:r>
            <w:r w:rsidRPr="00020424">
              <w:rPr>
                <w:rtl/>
              </w:rPr>
              <w:t xml:space="preserve">في « بر ، بف » </w:t>
            </w:r>
            <w:r w:rsidRPr="00EB1FD9">
              <w:rPr>
                <w:rStyle w:val="libFootnoteBoldChar"/>
                <w:rtl/>
              </w:rPr>
              <w:t>والوسائل</w:t>
            </w:r>
            <w:r w:rsidRPr="00020424">
              <w:rPr>
                <w:rtl/>
              </w:rPr>
              <w:t xml:space="preserve"> : « يدفع</w:t>
            </w:r>
            <w:r>
              <w:rPr>
                <w:rtl/>
              </w:rPr>
              <w:t xml:space="preserve"> ».</w:t>
            </w:r>
          </w:p>
        </w:tc>
        <w:tc>
          <w:tcPr>
            <w:tcW w:w="4006" w:type="dxa"/>
          </w:tcPr>
          <w:p w:rsidR="00411AF6" w:rsidRDefault="00411AF6" w:rsidP="00992664">
            <w:pPr>
              <w:pStyle w:val="libFootnote0"/>
              <w:rPr>
                <w:rtl/>
              </w:rPr>
            </w:pPr>
            <w:r>
              <w:rPr>
                <w:rtl/>
              </w:rPr>
              <w:t xml:space="preserve">(8). </w:t>
            </w:r>
            <w:r w:rsidRPr="00020424">
              <w:rPr>
                <w:rtl/>
              </w:rPr>
              <w:t>في « ظ ، بث ، بح ، جن » : « بالمديني</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أرطال</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ى » : « بالعراقي</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التهذيب</w:t>
      </w:r>
      <w:r w:rsidR="00992664" w:rsidRPr="00020424">
        <w:rPr>
          <w:rtl/>
        </w:rPr>
        <w:t xml:space="preserve"> ، ج 4 ، ص 83 ، ح 242 ؛ </w:t>
      </w:r>
      <w:r w:rsidR="00992664" w:rsidRPr="00FD6221">
        <w:rPr>
          <w:rStyle w:val="libFootnoteBoldChar"/>
          <w:rtl/>
        </w:rPr>
        <w:t>والاستبصار</w:t>
      </w:r>
      <w:r w:rsidR="00992664" w:rsidRPr="00020424">
        <w:rPr>
          <w:rtl/>
        </w:rPr>
        <w:t xml:space="preserve"> ، ج 2 ، ص 49 ، ح 162 ، معلّقاً عن الكليني </w:t>
      </w:r>
      <w:r w:rsidR="004F1E43">
        <w:rPr>
          <w:rFonts w:hint="cs"/>
          <w:rtl/>
        </w:rPr>
        <w:t>.</w:t>
      </w:r>
      <w:r w:rsidR="00992664" w:rsidRPr="0012008A">
        <w:rPr>
          <w:rStyle w:val="libFootnoteBoldChar"/>
          <w:rtl/>
        </w:rPr>
        <w:t>الوافي</w:t>
      </w:r>
      <w:r w:rsidR="00992664" w:rsidRPr="00020424">
        <w:rPr>
          <w:rtl/>
        </w:rPr>
        <w:t xml:space="preserve"> ، ج 10 ، ص 257 ، ح 9547 ؛ </w:t>
      </w:r>
      <w:r w:rsidR="00992664" w:rsidRPr="0012008A">
        <w:rPr>
          <w:rStyle w:val="libFootnoteBoldChar"/>
          <w:rtl/>
        </w:rPr>
        <w:t>الوسائل</w:t>
      </w:r>
      <w:r w:rsidR="00992664" w:rsidRPr="00020424">
        <w:rPr>
          <w:rtl/>
        </w:rPr>
        <w:t xml:space="preserve"> ، ج 9 ، ص 341 ، ح 12180.</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4F1E43">
        <w:rPr>
          <w:rtl/>
        </w:rPr>
        <w:t>الوسائل والفقيه والاستبصار</w:t>
      </w:r>
      <w:r w:rsidR="00992664" w:rsidRPr="00020424">
        <w:rPr>
          <w:rtl/>
        </w:rPr>
        <w:t xml:space="preserve"> والعيون : + « بن يحيى</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هكذا 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ج 4 ، ص 83 </w:t>
      </w:r>
      <w:r w:rsidR="00992664" w:rsidRPr="00FD6221">
        <w:rPr>
          <w:rStyle w:val="libFootnoteBoldChar"/>
          <w:rtl/>
        </w:rPr>
        <w:t>والاستبصار</w:t>
      </w:r>
      <w:r w:rsidR="00992664" w:rsidRPr="00020424">
        <w:rPr>
          <w:rtl/>
        </w:rPr>
        <w:t>. وفي « ظ ، ى ، بث ، بح ، بخ ، بر ، بس ، بف ، جر ، جن » والمطبوع : « الهمداني</w:t>
      </w:r>
      <w:r w:rsidR="00992664">
        <w:rPr>
          <w:rtl/>
        </w:rPr>
        <w:t xml:space="preserve"> ».</w:t>
      </w:r>
      <w:r w:rsidR="00992664" w:rsidRPr="00020424">
        <w:rPr>
          <w:rtl/>
        </w:rPr>
        <w:t xml:space="preserve"> والظاهر أنّ جعفراً هذا ، هو ابن إبراهيم بن محمّد الهمذاني ، كان وكيلاً بهَمَذان ، الذي كان له مسائل عن أبي الحسن صاحب العسكر </w:t>
      </w:r>
      <w:r w:rsidR="00992664" w:rsidRPr="00D64ADA">
        <w:rPr>
          <w:rStyle w:val="libFootnoteAlaemChar"/>
          <w:rtl/>
        </w:rPr>
        <w:t>عليه‌السلام</w:t>
      </w:r>
      <w:r w:rsidR="00992664" w:rsidRPr="00020424">
        <w:rPr>
          <w:rtl/>
        </w:rPr>
        <w:t xml:space="preserve">. راجع : </w:t>
      </w:r>
      <w:r w:rsidR="00992664" w:rsidRPr="00DE76B9">
        <w:rPr>
          <w:rStyle w:val="libFootnoteBoldChar"/>
          <w:rtl/>
        </w:rPr>
        <w:t>رجال النجاشي</w:t>
      </w:r>
      <w:r w:rsidR="00992664" w:rsidRPr="00020424">
        <w:rPr>
          <w:rtl/>
        </w:rPr>
        <w:t xml:space="preserve"> ، ص 344 ، الرقم 928 ؛ </w:t>
      </w:r>
      <w:r w:rsidR="00992664" w:rsidRPr="00DE76B9">
        <w:rPr>
          <w:rStyle w:val="libFootnoteBoldChar"/>
          <w:rtl/>
        </w:rPr>
        <w:t>رجال الكشّي</w:t>
      </w:r>
      <w:r w:rsidR="00992664" w:rsidRPr="00020424">
        <w:rPr>
          <w:rtl/>
        </w:rPr>
        <w:t xml:space="preserve"> ، ص 608 ، الرقم 1131 ؛ </w:t>
      </w:r>
      <w:r w:rsidR="00992664" w:rsidRPr="00DE76B9">
        <w:rPr>
          <w:rStyle w:val="libFootnoteBoldChar"/>
          <w:rtl/>
        </w:rPr>
        <w:t>معجم رجال الحديث</w:t>
      </w:r>
      <w:r w:rsidR="00992664" w:rsidRPr="00020424">
        <w:rPr>
          <w:rtl/>
        </w:rPr>
        <w:t xml:space="preserve"> ، ج 1 ، ص 461</w:t>
      </w:r>
      <w:r w:rsidR="00992664">
        <w:rPr>
          <w:rtl/>
        </w:rPr>
        <w:t xml:space="preserve"> </w:t>
      </w:r>
      <w:r w:rsidR="009B673F">
        <w:rPr>
          <w:rtl/>
        </w:rPr>
        <w:t>-</w:t>
      </w:r>
      <w:r w:rsidR="00992664">
        <w:rPr>
          <w:rtl/>
        </w:rPr>
        <w:t xml:space="preserve"> </w:t>
      </w:r>
      <w:r w:rsidR="00992664" w:rsidRPr="00020424">
        <w:rPr>
          <w:rtl/>
        </w:rPr>
        <w:t>462.</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4F1E43">
        <w:rPr>
          <w:rtl/>
        </w:rPr>
        <w:t>الفقيه والتهذيب ومعاني الأخبار</w:t>
      </w:r>
      <w:r w:rsidR="00992664" w:rsidRPr="00020424">
        <w:rPr>
          <w:rtl/>
        </w:rPr>
        <w:t xml:space="preserve"> والعيون : « يد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64DE0">
      <w:pPr>
        <w:pStyle w:val="libNormal0"/>
        <w:rPr>
          <w:rtl/>
          <w:lang w:bidi="fa-IR"/>
        </w:rPr>
      </w:pPr>
      <w:r w:rsidRPr="00020424">
        <w:rPr>
          <w:rtl/>
          <w:lang w:bidi="fa-IR"/>
        </w:rPr>
        <w:t xml:space="preserve">الصَّاعِ ، بَعْضُهُمْ يَقُولُ : الْفِطْرَةُ بِصَاعِ الْمَدَنِيِّ </w:t>
      </w:r>
      <w:r w:rsidRPr="00A91B96">
        <w:rPr>
          <w:rStyle w:val="libFootnotenumChar"/>
          <w:rtl/>
        </w:rPr>
        <w:t>(1)</w:t>
      </w:r>
      <w:r w:rsidRPr="00020424">
        <w:rPr>
          <w:rtl/>
          <w:lang w:bidi="fa-IR"/>
        </w:rPr>
        <w:t xml:space="preserve"> ، وَبَعْضُهُمْ يَقُولُ : بِصَاعِ الْعِرَاقِيِّ </w:t>
      </w:r>
      <w:r w:rsidRPr="00A91B96">
        <w:rPr>
          <w:rStyle w:val="libFootnotenumChar"/>
          <w:rtl/>
        </w:rPr>
        <w:t>(2)</w:t>
      </w:r>
      <w:r>
        <w:rPr>
          <w:rtl/>
          <w:lang w:bidi="fa-IR"/>
        </w:rPr>
        <w:t>؟</w:t>
      </w:r>
    </w:p>
    <w:p w:rsidR="00992664" w:rsidRPr="00020424" w:rsidRDefault="00992664" w:rsidP="00992664">
      <w:pPr>
        <w:pStyle w:val="libNormal"/>
        <w:rPr>
          <w:rtl/>
          <w:lang w:bidi="fa-IR"/>
        </w:rPr>
      </w:pPr>
      <w:r w:rsidRPr="00020424">
        <w:rPr>
          <w:rtl/>
          <w:lang w:bidi="fa-IR"/>
        </w:rPr>
        <w:t xml:space="preserve">فَكَتَبَ إِلَيَّ : « الصَّاعُ سِتَّةُ </w:t>
      </w:r>
      <w:r w:rsidRPr="00A91B96">
        <w:rPr>
          <w:rStyle w:val="libFootnotenumChar"/>
          <w:rtl/>
        </w:rPr>
        <w:t>(3)</w:t>
      </w:r>
      <w:r w:rsidRPr="00020424">
        <w:rPr>
          <w:rtl/>
          <w:lang w:bidi="fa-IR"/>
        </w:rPr>
        <w:t xml:space="preserve"> أَرْطَالٍ بِالْمَدَنِيِّ </w:t>
      </w:r>
      <w:r w:rsidRPr="00A91B96">
        <w:rPr>
          <w:rStyle w:val="libFootnotenumChar"/>
          <w:rtl/>
        </w:rPr>
        <w:t>(4)</w:t>
      </w:r>
      <w:r w:rsidRPr="00020424">
        <w:rPr>
          <w:rtl/>
          <w:lang w:bidi="fa-IR"/>
        </w:rPr>
        <w:t xml:space="preserve"> ، وَتِسْعَةُ أَرْطَالٍ بِالْعِرَاقِيِّ » قَالَ : وَأَخْبَرَنِي : « أَنَّهُ يَكُونُ بِالْوَزْنِ أَلْفاً وَمِائَةً وَسَبْعِينَ وَزْنَةً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C5D15">
        <w:rPr>
          <w:rtl/>
        </w:rPr>
        <w:t>6660</w:t>
      </w:r>
      <w:r w:rsidRPr="001155DE">
        <w:rPr>
          <w:rStyle w:val="libBold2Char"/>
          <w:rtl/>
        </w:rPr>
        <w:t xml:space="preserve"> / 10.</w:t>
      </w:r>
      <w:r w:rsidRPr="00020424">
        <w:rPr>
          <w:rtl/>
          <w:lang w:bidi="fa-IR"/>
        </w:rPr>
        <w:t xml:space="preserve"> مُحَمَّدُ بْنُ يَحْيى ، عَنْ عَبْدِ اللهِ بْنِ مُحَمَّدٍ ، عَنْ عَلِيِّ بْنِ الْحَكَمِ ، عَنْ دَاوُدَ بْنِ النُّعْمَانِ وَسَيْفِ بْنِ عَمِيرَةَ ، عَنْ إِسْحَاقَ بْنِ عَمَّارٍ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الرَّجُلُ لَايَكُونُ عِنْدَهُ</w:t>
      </w:r>
      <w:r w:rsidR="00C219CE">
        <w:rPr>
          <w:rtl/>
          <w:lang w:bidi="fa-IR"/>
        </w:rPr>
        <w:t xml:space="preserve"> شَيْ‌ءٌ مِنَ الْفِطْرَةِ إِل</w:t>
      </w:r>
      <w:r w:rsidR="00C219CE">
        <w:rPr>
          <w:rFonts w:hint="cs"/>
          <w:rtl/>
          <w:lang w:bidi="fa-IR"/>
        </w:rPr>
        <w:t>َّ</w:t>
      </w:r>
      <w:r w:rsidR="00C219CE">
        <w:rPr>
          <w:rtl/>
          <w:lang w:bidi="fa-IR"/>
        </w:rPr>
        <w:t>ا</w:t>
      </w:r>
      <w:r w:rsidRPr="00020424">
        <w:rPr>
          <w:rtl/>
          <w:lang w:bidi="fa-IR"/>
        </w:rPr>
        <w:t xml:space="preserve"> مَا يُؤَدِّي عَنْ نَفْسِهِ </w:t>
      </w:r>
      <w:r w:rsidRPr="00A91B96">
        <w:rPr>
          <w:rStyle w:val="libFootnotenumChar"/>
          <w:rtl/>
        </w:rPr>
        <w:t>(7)</w:t>
      </w:r>
      <w:r w:rsidRPr="00020424">
        <w:rPr>
          <w:rtl/>
          <w:lang w:bidi="fa-IR"/>
        </w:rPr>
        <w:t xml:space="preserve"> وَحْدَهَا : يُعْطِيهِ غَرِيباً </w:t>
      </w:r>
      <w:r w:rsidRPr="00A91B96">
        <w:rPr>
          <w:rStyle w:val="libFootnotenumChar"/>
          <w:rtl/>
        </w:rPr>
        <w:t>(8)</w:t>
      </w:r>
      <w:r w:rsidRPr="00020424">
        <w:rPr>
          <w:rtl/>
          <w:lang w:bidi="fa-IR"/>
        </w:rPr>
        <w:t xml:space="preserve"> ، أَوْ يَأْكُلُ هُوَ وَعِيَالُهُ</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(9)</w:t>
      </w:r>
      <w:r w:rsidRPr="00020424">
        <w:rPr>
          <w:rtl/>
          <w:lang w:bidi="fa-IR"/>
        </w:rPr>
        <w:t xml:space="preserve"> : « يُعْطِي بَعْضَ عِيَالِهِ ، ثُمَّ يُعْطِي الْآخَرُ عَنْ نَفْسِهِ </w:t>
      </w:r>
      <w:r w:rsidRPr="00A91B96">
        <w:rPr>
          <w:rStyle w:val="libFootnotenumChar"/>
          <w:rtl/>
        </w:rPr>
        <w:t>(10)</w:t>
      </w:r>
      <w:r w:rsidRPr="00020424">
        <w:rPr>
          <w:rtl/>
          <w:lang w:bidi="fa-IR"/>
        </w:rPr>
        <w:t xml:space="preserve"> يُرَدِّدُونَهَا </w:t>
      </w:r>
      <w:r w:rsidRPr="00A91B96">
        <w:rPr>
          <w:rStyle w:val="libFootnotenumChar"/>
          <w:rtl/>
        </w:rPr>
        <w:t>(11)</w:t>
      </w:r>
      <w:r w:rsidRPr="00020424">
        <w:rPr>
          <w:rtl/>
          <w:lang w:bidi="fa-IR"/>
        </w:rPr>
        <w:t xml:space="preserve"> ، فَيَكُونُ </w:t>
      </w:r>
      <w:r w:rsidRPr="00A91B96">
        <w:rPr>
          <w:rStyle w:val="libFootnotenumChar"/>
          <w:rtl/>
        </w:rPr>
        <w:t>(12)</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بس ، جن » : « المديني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515444">
        <w:rPr>
          <w:rStyle w:val="libFootnoteBoldChar"/>
          <w:rtl/>
        </w:rPr>
        <w:t>والتهذيب</w:t>
      </w:r>
      <w:r w:rsidR="00992664" w:rsidRPr="00020424">
        <w:rPr>
          <w:rtl/>
        </w:rPr>
        <w:t xml:space="preserve"> ، ج 4 ، ص 83 </w:t>
      </w:r>
      <w:r w:rsidR="00992664" w:rsidRPr="00FD6221">
        <w:rPr>
          <w:rStyle w:val="libFootnoteBoldChar"/>
          <w:rtl/>
        </w:rPr>
        <w:t>والاستبصار</w:t>
      </w:r>
      <w:r w:rsidR="00992664" w:rsidRPr="00020424">
        <w:rPr>
          <w:rtl/>
        </w:rPr>
        <w:t xml:space="preserve"> : + « قال</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2B5B8D" w:rsidTr="002B5B8D">
        <w:tc>
          <w:tcPr>
            <w:tcW w:w="4006" w:type="dxa"/>
          </w:tcPr>
          <w:p w:rsidR="002B5B8D" w:rsidRDefault="002B5B8D"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 « بستّة</w:t>
            </w:r>
            <w:r>
              <w:rPr>
                <w:rtl/>
              </w:rPr>
              <w:t xml:space="preserve"> ».</w:t>
            </w:r>
          </w:p>
        </w:tc>
        <w:tc>
          <w:tcPr>
            <w:tcW w:w="4006" w:type="dxa"/>
          </w:tcPr>
          <w:p w:rsidR="002B5B8D" w:rsidRDefault="002B5B8D" w:rsidP="00992664">
            <w:pPr>
              <w:pStyle w:val="libFootnote0"/>
              <w:rPr>
                <w:rtl/>
              </w:rPr>
            </w:pPr>
            <w:r>
              <w:rPr>
                <w:rtl/>
              </w:rPr>
              <w:t xml:space="preserve">(4). </w:t>
            </w:r>
            <w:r w:rsidR="00EF44C3">
              <w:rPr>
                <w:rtl/>
              </w:rPr>
              <w:t>في «ظ، بث ، بح ،</w:t>
            </w:r>
            <w:r w:rsidRPr="00020424">
              <w:rPr>
                <w:rtl/>
              </w:rPr>
              <w:t>بس ، جن » : « بالمديني</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العيون : « درهماً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قيل : المراد بالوزنة الدرهم</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وزنة ، أي درهماً ؛ إذ روى الشيخ هذه الرواية عن إبراهيم بن محمّد الهمداني على وجه أبسط ، وقال في آخره : تدفعه وزناً ستّة أرطال برطل المدينة ، والرطل مائة وخمسة وتسعون درهماً ، فتكون الفطرة ألفاً وسبعين درهماً. وتفسير الوزنة بالمثقال</w:t>
      </w:r>
      <w:r w:rsidR="00992664">
        <w:rPr>
          <w:rtl/>
        </w:rPr>
        <w:t xml:space="preserve"> </w:t>
      </w:r>
      <w:r w:rsidR="009B673F">
        <w:rPr>
          <w:rtl/>
        </w:rPr>
        <w:t>-</w:t>
      </w:r>
      <w:r w:rsidR="00992664">
        <w:rPr>
          <w:rtl/>
        </w:rPr>
        <w:t xml:space="preserve"> </w:t>
      </w:r>
      <w:r w:rsidR="00992664" w:rsidRPr="00020424">
        <w:rPr>
          <w:rtl/>
        </w:rPr>
        <w:t>لقول الفيروز آبادي : الوزن : المثقال</w:t>
      </w:r>
      <w:r w:rsidR="00992664">
        <w:rPr>
          <w:rtl/>
        </w:rPr>
        <w:t xml:space="preserve"> </w:t>
      </w:r>
      <w:r w:rsidR="009B673F">
        <w:rPr>
          <w:rtl/>
        </w:rPr>
        <w:t>-</w:t>
      </w:r>
      <w:r w:rsidR="00992664">
        <w:rPr>
          <w:rtl/>
        </w:rPr>
        <w:t xml:space="preserve"> </w:t>
      </w:r>
      <w:r w:rsidR="00992664" w:rsidRPr="00020424">
        <w:rPr>
          <w:rtl/>
        </w:rPr>
        <w:t>غير مستقيم ومخالفة لسائر الأخبار وأقوال الأصحاب</w:t>
      </w:r>
      <w:r w:rsidR="00992664">
        <w:rPr>
          <w:rtl/>
        </w:rPr>
        <w:t xml:space="preserve"> ».</w:t>
      </w:r>
      <w:r w:rsidR="00992664" w:rsidRPr="00020424">
        <w:rPr>
          <w:rtl/>
        </w:rPr>
        <w:t xml:space="preserve"> وراجع أيضاً : </w:t>
      </w:r>
      <w:r w:rsidR="00992664" w:rsidRPr="0012008A">
        <w:rPr>
          <w:rStyle w:val="libFootnoteBoldChar"/>
          <w:rtl/>
        </w:rPr>
        <w:t>التهذيب</w:t>
      </w:r>
      <w:r w:rsidR="00992664" w:rsidRPr="00020424">
        <w:rPr>
          <w:rtl/>
        </w:rPr>
        <w:t xml:space="preserve"> ، ج 4 ، ص 79 ، ح 226 ؛ </w:t>
      </w:r>
      <w:r w:rsidR="00992664" w:rsidRPr="00DE76B9">
        <w:rPr>
          <w:rStyle w:val="libFootnoteBoldChar"/>
          <w:rtl/>
        </w:rPr>
        <w:t xml:space="preserve">الاستبصار </w:t>
      </w:r>
      <w:r w:rsidR="00992664" w:rsidRPr="00020424">
        <w:rPr>
          <w:rtl/>
        </w:rPr>
        <w:t xml:space="preserve">، ج 2 ، ص 44 ، ح 140 ؛ </w:t>
      </w:r>
      <w:r w:rsidR="00992664" w:rsidRPr="00A722B1">
        <w:rPr>
          <w:rStyle w:val="libFootnoteBoldChar"/>
          <w:rtl/>
        </w:rPr>
        <w:t>القاموس المحيط</w:t>
      </w:r>
      <w:r w:rsidR="00992664" w:rsidRPr="00020424">
        <w:rPr>
          <w:rtl/>
        </w:rPr>
        <w:t xml:space="preserve"> ، ج 2 ، ص 1625 ( وزن )</w:t>
      </w:r>
      <w:r w:rsidR="00992664">
        <w:rPr>
          <w:rtl/>
        </w:rPr>
        <w:t>.</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83 ، ح 243 ؛ </w:t>
      </w:r>
      <w:r w:rsidR="00992664" w:rsidRPr="00FD6221">
        <w:rPr>
          <w:rStyle w:val="libFootnoteBoldChar"/>
          <w:rtl/>
        </w:rPr>
        <w:t>والاستبصار</w:t>
      </w:r>
      <w:r w:rsidR="00992664" w:rsidRPr="00020424">
        <w:rPr>
          <w:rtl/>
        </w:rPr>
        <w:t xml:space="preserve"> ، ج 2 ، ص 49 ، ح 163 ، معلّقاً عن الكليني. وفي </w:t>
      </w:r>
      <w:r w:rsidR="00992664" w:rsidRPr="00DE76B9">
        <w:rPr>
          <w:rStyle w:val="libFootnoteBoldChar"/>
          <w:rtl/>
        </w:rPr>
        <w:t>عيون الأخبار</w:t>
      </w:r>
      <w:r w:rsidR="00992664" w:rsidRPr="00020424">
        <w:rPr>
          <w:rtl/>
        </w:rPr>
        <w:t xml:space="preserve"> ، ج 1 ، ص 309 ، ح 73 ؛ </w:t>
      </w:r>
      <w:r w:rsidR="00992664" w:rsidRPr="00216E45">
        <w:rPr>
          <w:rStyle w:val="libFootnoteBoldChar"/>
          <w:rtl/>
        </w:rPr>
        <w:t>ومعاني الأخبار</w:t>
      </w:r>
      <w:r w:rsidR="00992664" w:rsidRPr="00020424">
        <w:rPr>
          <w:rtl/>
        </w:rPr>
        <w:t xml:space="preserve"> ، ص 249 ، ح 2 ، بسندهما عن محمّد بن يحيى العطّار وأحمد بن إدريس جميعاً ، عن محمّد بن أحمد بن يحيى [ في العيون : + « بن عمران الأشعري » ]</w:t>
      </w:r>
      <w:r w:rsidR="00992664">
        <w:rPr>
          <w:rtl/>
        </w:rPr>
        <w:t>.</w:t>
      </w:r>
      <w:r w:rsidR="00992664" w:rsidRPr="00020424">
        <w:rPr>
          <w:rtl/>
        </w:rPr>
        <w:t xml:space="preserve"> وفي </w:t>
      </w:r>
      <w:r w:rsidR="00992664" w:rsidRPr="0012008A">
        <w:rPr>
          <w:rStyle w:val="libFootnoteBoldChar"/>
          <w:rtl/>
        </w:rPr>
        <w:t>الفقيه</w:t>
      </w:r>
      <w:r w:rsidR="00992664" w:rsidRPr="00020424">
        <w:rPr>
          <w:rtl/>
        </w:rPr>
        <w:t xml:space="preserve"> ، ج 2 ، ص 176 ، ح 2063 ؛ </w:t>
      </w:r>
      <w:r w:rsidR="00992664" w:rsidRPr="00515444">
        <w:rPr>
          <w:rStyle w:val="libFootnoteBoldChar"/>
          <w:rtl/>
        </w:rPr>
        <w:t>والتهذيب</w:t>
      </w:r>
      <w:r w:rsidR="00992664" w:rsidRPr="00020424">
        <w:rPr>
          <w:rtl/>
        </w:rPr>
        <w:t xml:space="preserve"> ، ج 4 ، ص 334 ، ح 1051 ، معلّقاً عن محمّد بن أحمد ، [ في </w:t>
      </w:r>
      <w:r w:rsidR="00992664" w:rsidRPr="0012008A">
        <w:rPr>
          <w:rStyle w:val="libFootnoteBoldChar"/>
          <w:rtl/>
        </w:rPr>
        <w:t>الفقيه</w:t>
      </w:r>
      <w:r w:rsidR="00992664" w:rsidRPr="00020424">
        <w:rPr>
          <w:rtl/>
        </w:rPr>
        <w:t xml:space="preserve"> : + « بن يحيى » ] </w:t>
      </w:r>
      <w:r w:rsidR="00AE1893">
        <w:rPr>
          <w:rFonts w:hint="cs"/>
          <w:rtl/>
        </w:rPr>
        <w:t>.</w:t>
      </w:r>
      <w:r w:rsidR="00992664" w:rsidRPr="0012008A">
        <w:rPr>
          <w:rStyle w:val="libFootnoteBoldChar"/>
          <w:rtl/>
        </w:rPr>
        <w:t>الوافي</w:t>
      </w:r>
      <w:r w:rsidR="00992664" w:rsidRPr="00020424">
        <w:rPr>
          <w:rtl/>
        </w:rPr>
        <w:t xml:space="preserve"> ، ج 10 ، ص 256 ، ح 9546 ؛ </w:t>
      </w:r>
      <w:r w:rsidR="00992664" w:rsidRPr="0012008A">
        <w:rPr>
          <w:rStyle w:val="libFootnoteBoldChar"/>
          <w:rtl/>
        </w:rPr>
        <w:t>الوسائل</w:t>
      </w:r>
      <w:r w:rsidR="00992664" w:rsidRPr="00020424">
        <w:rPr>
          <w:rtl/>
        </w:rPr>
        <w:t xml:space="preserve"> ، ج 9 ، ص 340 ، ح 12179.</w:t>
      </w:r>
    </w:p>
    <w:tbl>
      <w:tblPr>
        <w:tblStyle w:val="TableGrid"/>
        <w:bidiVisual/>
        <w:tblW w:w="0" w:type="auto"/>
        <w:tblLook w:val="04A0" w:firstRow="1" w:lastRow="0" w:firstColumn="1" w:lastColumn="0" w:noHBand="0" w:noVBand="1"/>
      </w:tblPr>
      <w:tblGrid>
        <w:gridCol w:w="4006"/>
        <w:gridCol w:w="4006"/>
      </w:tblGrid>
      <w:tr w:rsidR="00F75E84" w:rsidTr="00F75E84">
        <w:tc>
          <w:tcPr>
            <w:tcW w:w="4006" w:type="dxa"/>
          </w:tcPr>
          <w:p w:rsidR="00F75E84" w:rsidRDefault="00F75E84" w:rsidP="00992664">
            <w:pPr>
              <w:pStyle w:val="libFootnote0"/>
              <w:rPr>
                <w:rtl/>
              </w:rPr>
            </w:pPr>
            <w:r>
              <w:rPr>
                <w:rtl/>
              </w:rPr>
              <w:t xml:space="preserve">(7). </w:t>
            </w:r>
            <w:r w:rsidRPr="00020424">
              <w:rPr>
                <w:rtl/>
              </w:rPr>
              <w:t xml:space="preserve">في </w:t>
            </w:r>
            <w:r w:rsidRPr="0012008A">
              <w:rPr>
                <w:rStyle w:val="libFootnoteBoldChar"/>
                <w:rtl/>
              </w:rPr>
              <w:t>الوافي</w:t>
            </w:r>
            <w:r w:rsidRPr="00020424">
              <w:rPr>
                <w:rtl/>
              </w:rPr>
              <w:t xml:space="preserve"> : + « من الفطرة</w:t>
            </w:r>
            <w:r>
              <w:rPr>
                <w:rtl/>
              </w:rPr>
              <w:t xml:space="preserve"> ».</w:t>
            </w:r>
          </w:p>
        </w:tc>
        <w:tc>
          <w:tcPr>
            <w:tcW w:w="4006" w:type="dxa"/>
          </w:tcPr>
          <w:p w:rsidR="00F75E84" w:rsidRDefault="00F75E84" w:rsidP="00992664">
            <w:pPr>
              <w:pStyle w:val="libFootnote0"/>
              <w:rPr>
                <w:rtl/>
              </w:rPr>
            </w:pPr>
            <w:r>
              <w:rPr>
                <w:rtl/>
              </w:rPr>
              <w:t xml:space="preserve">(8). </w:t>
            </w:r>
            <w:r w:rsidRPr="00020424">
              <w:rPr>
                <w:rtl/>
              </w:rPr>
              <w:t xml:space="preserve">في </w:t>
            </w:r>
            <w:r w:rsidRPr="0012008A">
              <w:rPr>
                <w:rStyle w:val="libFootnoteBoldChar"/>
                <w:rtl/>
              </w:rPr>
              <w:t>الفقيه</w:t>
            </w:r>
            <w:r>
              <w:rPr>
                <w:rtl/>
              </w:rPr>
              <w:t xml:space="preserve"> :«أيعطيه عنها» بدل«</w:t>
            </w:r>
            <w:r w:rsidRPr="00020424">
              <w:rPr>
                <w:rtl/>
              </w:rPr>
              <w:t>يعطيه غريباً</w:t>
            </w:r>
            <w:r>
              <w:rPr>
                <w:rtl/>
              </w:rPr>
              <w:t xml:space="preserve"> ».</w:t>
            </w:r>
          </w:p>
        </w:tc>
      </w:tr>
      <w:tr w:rsidR="00F75E84" w:rsidTr="00F75E84">
        <w:tc>
          <w:tcPr>
            <w:tcW w:w="4006" w:type="dxa"/>
          </w:tcPr>
          <w:p w:rsidR="00F75E84" w:rsidRDefault="00F75E84" w:rsidP="00992664">
            <w:pPr>
              <w:pStyle w:val="libFootnote0"/>
              <w:rPr>
                <w:rtl/>
              </w:rPr>
            </w:pPr>
            <w:r>
              <w:rPr>
                <w:rtl/>
              </w:rPr>
              <w:t xml:space="preserve">(9). </w:t>
            </w:r>
            <w:r w:rsidRPr="00020424">
              <w:rPr>
                <w:rtl/>
              </w:rPr>
              <w:t xml:space="preserve">في </w:t>
            </w:r>
            <w:r w:rsidRPr="0012008A">
              <w:rPr>
                <w:rStyle w:val="libFootnoteBoldChar"/>
                <w:rtl/>
              </w:rPr>
              <w:t>الوافي</w:t>
            </w:r>
            <w:r w:rsidRPr="00020424">
              <w:rPr>
                <w:rtl/>
              </w:rPr>
              <w:t xml:space="preserve"> </w:t>
            </w:r>
            <w:r w:rsidRPr="00515444">
              <w:rPr>
                <w:rStyle w:val="libFootnoteBoldChar"/>
                <w:rtl/>
              </w:rPr>
              <w:t>والتهذيب</w:t>
            </w:r>
            <w:r w:rsidRPr="00020424">
              <w:rPr>
                <w:rtl/>
              </w:rPr>
              <w:t xml:space="preserve"> : « فقال</w:t>
            </w:r>
            <w:r>
              <w:rPr>
                <w:rtl/>
              </w:rPr>
              <w:t xml:space="preserve"> ».</w:t>
            </w:r>
          </w:p>
        </w:tc>
        <w:tc>
          <w:tcPr>
            <w:tcW w:w="4006" w:type="dxa"/>
          </w:tcPr>
          <w:p w:rsidR="00F75E84" w:rsidRDefault="00F75E84" w:rsidP="00992664">
            <w:pPr>
              <w:pStyle w:val="libFootnote0"/>
              <w:rPr>
                <w:rtl/>
              </w:rPr>
            </w:pPr>
            <w:r>
              <w:rPr>
                <w:rtl/>
              </w:rPr>
              <w:t xml:space="preserve">(10). </w:t>
            </w:r>
            <w:r w:rsidRPr="00020424">
              <w:rPr>
                <w:rtl/>
              </w:rPr>
              <w:t xml:space="preserve">في </w:t>
            </w:r>
            <w:r w:rsidRPr="0012008A">
              <w:rPr>
                <w:rStyle w:val="libFootnoteBoldChar"/>
                <w:rtl/>
              </w:rPr>
              <w:t>التهذيب</w:t>
            </w:r>
            <w:r w:rsidRPr="00020424">
              <w:rPr>
                <w:rtl/>
              </w:rPr>
              <w:t xml:space="preserve"> : + « من الفطرة</w:t>
            </w:r>
            <w:r>
              <w:rPr>
                <w:rtl/>
              </w:rPr>
              <w:t xml:space="preserve"> ».</w:t>
            </w:r>
          </w:p>
        </w:tc>
      </w:tr>
    </w:tbl>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ظ ، بث ، بح ، بخ ، بر ، بس ، بف ، جن » </w:t>
      </w:r>
      <w:r w:rsidR="00992664" w:rsidRPr="00EB1FD9">
        <w:rPr>
          <w:rStyle w:val="libFootnoteBoldChar"/>
          <w:rtl/>
        </w:rPr>
        <w:t>والوسائل</w:t>
      </w:r>
      <w:r w:rsidR="00992664" w:rsidRPr="00020424">
        <w:rPr>
          <w:rtl/>
        </w:rPr>
        <w:t xml:space="preserve"> : « يتردّدونها</w:t>
      </w:r>
      <w:r w:rsidR="00992664">
        <w:rPr>
          <w:rtl/>
        </w:rPr>
        <w:t xml:space="preserve"> ».</w:t>
      </w:r>
      <w:r w:rsidR="00992664" w:rsidRPr="00020424">
        <w:rPr>
          <w:rtl/>
        </w:rPr>
        <w:t xml:space="preserve"> وفي « ى » : « وتتردّدونها » بالتاء والياء معاً.</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بخ ، بس » : « فتكون</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64DE0">
      <w:pPr>
        <w:pStyle w:val="libNormal0"/>
        <w:rPr>
          <w:rtl/>
          <w:lang w:bidi="fa-IR"/>
        </w:rPr>
      </w:pPr>
      <w:r w:rsidRPr="00020424">
        <w:rPr>
          <w:rtl/>
          <w:lang w:bidi="fa-IR"/>
        </w:rPr>
        <w:t>عَنْهُمْ جَمِيعاً فِطْرَةٌ وَاحِدَةٌ</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AC5D15">
        <w:rPr>
          <w:rtl/>
        </w:rPr>
        <w:t>6661</w:t>
      </w:r>
      <w:r w:rsidRPr="001155DE">
        <w:rPr>
          <w:rStyle w:val="libBold2Char"/>
          <w:rtl/>
        </w:rPr>
        <w:t xml:space="preserve"> / 11.</w:t>
      </w:r>
      <w:r w:rsidRPr="00020424">
        <w:rPr>
          <w:rtl/>
          <w:lang w:bidi="fa-IR"/>
        </w:rPr>
        <w:t xml:space="preserve"> عَلِيُّ بْنُ إِبْرَاهِيمَ </w:t>
      </w:r>
      <w:r w:rsidRPr="00A91B96">
        <w:rPr>
          <w:rStyle w:val="libFootnotenumChar"/>
          <w:rtl/>
        </w:rPr>
        <w:t>(2)</w:t>
      </w:r>
      <w:r w:rsidRPr="00020424">
        <w:rPr>
          <w:rtl/>
          <w:lang w:bidi="fa-IR"/>
        </w:rPr>
        <w:t xml:space="preserve"> ، عَنْ مُحَمَّدِ بْنِ عِيسى ، عَنْ يُونُسَ ، عَنْ عُمَرَ بْنِ أُذَيْنَةَ ، عَنْ زُرَارَةَ ، قَالَ :</w:t>
      </w:r>
    </w:p>
    <w:p w:rsidR="00992664" w:rsidRPr="00020424" w:rsidRDefault="00992664" w:rsidP="00992664">
      <w:pPr>
        <w:pStyle w:val="libNormal"/>
        <w:rPr>
          <w:rtl/>
          <w:lang w:bidi="fa-IR"/>
        </w:rPr>
      </w:pPr>
      <w:r w:rsidRPr="00020424">
        <w:rPr>
          <w:rtl/>
          <w:lang w:bidi="fa-IR"/>
        </w:rPr>
        <w:t xml:space="preserve">قُلْتُ </w:t>
      </w:r>
      <w:r w:rsidRPr="00A91B96">
        <w:rPr>
          <w:rStyle w:val="libFootnotenumChar"/>
          <w:rtl/>
        </w:rPr>
        <w:t>(3)</w:t>
      </w:r>
      <w:r w:rsidRPr="00020424">
        <w:rPr>
          <w:rtl/>
          <w:lang w:bidi="fa-IR"/>
        </w:rPr>
        <w:t xml:space="preserve"> : الْفَقِيرُ الَّذِي يُتَصَدَّقُ عَلَيْهِ ، هَلْ </w:t>
      </w:r>
      <w:r w:rsidRPr="00A91B96">
        <w:rPr>
          <w:rStyle w:val="libFootnotenumChar"/>
          <w:rtl/>
        </w:rPr>
        <w:t>(4)</w:t>
      </w:r>
      <w:r w:rsidRPr="00020424">
        <w:rPr>
          <w:rtl/>
          <w:lang w:bidi="fa-IR"/>
        </w:rPr>
        <w:t xml:space="preserve"> عَلَيْهِ صَدَقَةُ الْفِطْرَةِ</w:t>
      </w:r>
      <w:r>
        <w:rPr>
          <w:rtl/>
          <w:lang w:bidi="fa-IR"/>
        </w:rPr>
        <w:t>؟</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(5)</w:t>
      </w:r>
      <w:r w:rsidRPr="00020424">
        <w:rPr>
          <w:rtl/>
          <w:lang w:bidi="fa-IR"/>
        </w:rPr>
        <w:t xml:space="preserve"> : « نَعَمْ ، يُعْطِي </w:t>
      </w:r>
      <w:r w:rsidRPr="00A91B96">
        <w:rPr>
          <w:rStyle w:val="libFootnotenumChar"/>
          <w:rtl/>
        </w:rPr>
        <w:t>(6)</w:t>
      </w:r>
      <w:r w:rsidRPr="00020424">
        <w:rPr>
          <w:rtl/>
          <w:lang w:bidi="fa-IR"/>
        </w:rPr>
        <w:t xml:space="preserve"> مِمَّا يُتَصَدَّقُ بِهِ عَلَيْهِ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p>
    <w:p w:rsidR="00992664" w:rsidRPr="00020424" w:rsidRDefault="00992664" w:rsidP="00992664">
      <w:pPr>
        <w:pStyle w:val="libNormal"/>
        <w:rPr>
          <w:rtl/>
          <w:lang w:bidi="fa-IR"/>
        </w:rPr>
      </w:pPr>
      <w:r w:rsidRPr="00AC5D15">
        <w:rPr>
          <w:rtl/>
        </w:rPr>
        <w:t>6662</w:t>
      </w:r>
      <w:r w:rsidRPr="001155DE">
        <w:rPr>
          <w:rStyle w:val="libBold2Char"/>
          <w:rtl/>
        </w:rPr>
        <w:t xml:space="preserve"> / 12.</w:t>
      </w:r>
      <w:r w:rsidRPr="00020424">
        <w:rPr>
          <w:rtl/>
          <w:lang w:bidi="fa-IR"/>
        </w:rPr>
        <w:t xml:space="preserve"> عَلِيُّ بْنُ إِبْرَاهِيمَ ، عَنْ أَبِيهِ ، عَنِ ابْنِ أَبِي عُمَيْرٍ ، عَنْ مُعَاوِيَةَ بْنِ عَمَّارٍ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مَوْلُودٍ وُلِدَ لَيْلَةَ الْفِطْرِ </w:t>
      </w:r>
      <w:r w:rsidRPr="00A91B96">
        <w:rPr>
          <w:rStyle w:val="libFootnotenumChar"/>
          <w:rtl/>
        </w:rPr>
        <w:t>(8)</w:t>
      </w:r>
      <w:r w:rsidRPr="00020424">
        <w:rPr>
          <w:rtl/>
          <w:lang w:bidi="fa-IR"/>
        </w:rPr>
        <w:t xml:space="preserve"> : عَلَيْهِ </w:t>
      </w:r>
      <w:r w:rsidRPr="00A91B96">
        <w:rPr>
          <w:rStyle w:val="libFootnotenumChar"/>
          <w:rtl/>
        </w:rPr>
        <w:t>(9)</w:t>
      </w:r>
      <w:r w:rsidRPr="00020424">
        <w:rPr>
          <w:rtl/>
          <w:lang w:bidi="fa-IR"/>
        </w:rPr>
        <w:t xml:space="preserve"> فِطْرَةٌ</w:t>
      </w:r>
      <w:r>
        <w:rPr>
          <w:rtl/>
          <w:lang w:bidi="fa-IR"/>
        </w:rPr>
        <w:t>؟</w:t>
      </w:r>
      <w:r w:rsidRPr="00020424">
        <w:rPr>
          <w:rtl/>
          <w:lang w:bidi="fa-IR"/>
        </w:rPr>
        <w:t xml:space="preserve"> قَالَ : « لَا ، قَدْ‌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74 ، ح 209 ؛ </w:t>
      </w:r>
      <w:r w:rsidR="00992664" w:rsidRPr="00FD6221">
        <w:rPr>
          <w:rStyle w:val="libFootnoteBoldChar"/>
          <w:rtl/>
        </w:rPr>
        <w:t>والاستبصار</w:t>
      </w:r>
      <w:r w:rsidR="00992664" w:rsidRPr="00020424">
        <w:rPr>
          <w:rtl/>
        </w:rPr>
        <w:t xml:space="preserve"> ، ج 2 ، ص 42 ، ح 133 ، معلّقاً عن الكليني. </w:t>
      </w:r>
      <w:r w:rsidR="00992664" w:rsidRPr="0012008A">
        <w:rPr>
          <w:rStyle w:val="libFootnoteBoldChar"/>
          <w:rtl/>
        </w:rPr>
        <w:t>الفقيه</w:t>
      </w:r>
      <w:r w:rsidR="00992664" w:rsidRPr="00020424">
        <w:rPr>
          <w:rtl/>
        </w:rPr>
        <w:t xml:space="preserve"> ، ج 2 ، ص 177 ، ح 2066 ، معلّقاً عن سيف بن عميرة </w:t>
      </w:r>
      <w:r w:rsidR="007F0BD6">
        <w:rPr>
          <w:rFonts w:hint="cs"/>
          <w:rtl/>
        </w:rPr>
        <w:t>.</w:t>
      </w:r>
      <w:r w:rsidR="00992664" w:rsidRPr="0012008A">
        <w:rPr>
          <w:rStyle w:val="libFootnoteBoldChar"/>
          <w:rtl/>
        </w:rPr>
        <w:t>الوافي</w:t>
      </w:r>
      <w:r w:rsidR="00992664" w:rsidRPr="00020424">
        <w:rPr>
          <w:rtl/>
        </w:rPr>
        <w:t xml:space="preserve"> ، ج 10 ، ص 239 ، ح 9513 ؛ </w:t>
      </w:r>
      <w:r w:rsidR="00992664" w:rsidRPr="0012008A">
        <w:rPr>
          <w:rStyle w:val="libFootnoteBoldChar"/>
          <w:rtl/>
        </w:rPr>
        <w:t>الوسائل</w:t>
      </w:r>
      <w:r w:rsidR="00992664" w:rsidRPr="00020424">
        <w:rPr>
          <w:rtl/>
        </w:rPr>
        <w:t xml:space="preserve"> ، ج 9 ، ص 325 ، ح 12135.</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لأبي عبد الله </w:t>
      </w:r>
      <w:r w:rsidR="00992664" w:rsidRPr="00D64ADA">
        <w:rPr>
          <w:rStyle w:val="libFootnoteAlaemChar"/>
          <w:rtl/>
        </w:rPr>
        <w:t>عليه‌السلام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يجب</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 تجب</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بر ، بف » </w:t>
      </w:r>
      <w:r w:rsidR="00992664" w:rsidRPr="00364DE0">
        <w:rPr>
          <w:rtl/>
        </w:rPr>
        <w:t>والوافي والتهذيب والاستبصار</w:t>
      </w:r>
      <w:r w:rsidR="00992664" w:rsidRPr="00020424">
        <w:rPr>
          <w:rtl/>
        </w:rPr>
        <w:t xml:space="preserve"> : « قال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قال الشيخ</w:t>
      </w:r>
      <w:r w:rsidR="00992664">
        <w:rPr>
          <w:rtl/>
        </w:rPr>
        <w:t xml:space="preserve"> </w:t>
      </w:r>
      <w:r w:rsidR="009B673F">
        <w:rPr>
          <w:rtl/>
        </w:rPr>
        <w:t>-</w:t>
      </w:r>
      <w:r w:rsidR="00992664">
        <w:rPr>
          <w:rtl/>
        </w:rPr>
        <w:t xml:space="preserve"> </w:t>
      </w:r>
      <w:r w:rsidR="00992664" w:rsidRPr="00020424">
        <w:rPr>
          <w:rtl/>
        </w:rPr>
        <w:t>بعد ما نقل أخباراً تدلّ على عدم وجوب زكاة الفطرة على الفقير</w:t>
      </w:r>
      <w:r w:rsidR="00992664">
        <w:rPr>
          <w:rtl/>
        </w:rPr>
        <w:t xml:space="preserve"> </w:t>
      </w:r>
      <w:r w:rsidR="009B673F">
        <w:rPr>
          <w:rtl/>
        </w:rPr>
        <w:t>-</w:t>
      </w:r>
      <w:r w:rsidR="00992664">
        <w:rPr>
          <w:rtl/>
        </w:rPr>
        <w:t xml:space="preserve"> </w:t>
      </w:r>
      <w:r w:rsidR="00992664" w:rsidRPr="00020424">
        <w:rPr>
          <w:rtl/>
        </w:rPr>
        <w:t xml:space="preserve">في </w:t>
      </w:r>
      <w:r w:rsidR="00992664" w:rsidRPr="0012008A">
        <w:rPr>
          <w:rStyle w:val="libFootnoteBoldChar"/>
          <w:rtl/>
        </w:rPr>
        <w:t>التهذيب</w:t>
      </w:r>
      <w:r w:rsidR="00364DE0">
        <w:rPr>
          <w:rtl/>
        </w:rPr>
        <w:t xml:space="preserve"> ، ج 4 ، ص 74</w:t>
      </w:r>
      <w:r w:rsidR="00992664" w:rsidRPr="00020424">
        <w:rPr>
          <w:rtl/>
        </w:rPr>
        <w:t>، ذيل الحديث 207 : « فهذه الأخبار كلّها دالّة على أنّ المحتاج ومن ليس بذي مال لا تجب عليه الفطرة ، وكلّ ما ورد في أنّه تجب عليه الفطرة فإنّما ورد على طريق الندب والاستحباب دون الفرض والإيجاب</w:t>
      </w:r>
      <w:r w:rsidR="00992664">
        <w:rPr>
          <w:rtl/>
        </w:rPr>
        <w:t xml:space="preserve"> ».</w:t>
      </w:r>
      <w:r w:rsidR="00992664" w:rsidRPr="00020424">
        <w:rPr>
          <w:rtl/>
        </w:rPr>
        <w:t xml:space="preserve"> ونحوه في </w:t>
      </w:r>
      <w:r w:rsidR="00992664" w:rsidRPr="00DE76B9">
        <w:rPr>
          <w:rStyle w:val="libFootnoteBoldChar"/>
          <w:rtl/>
        </w:rPr>
        <w:t>الاستبصار</w:t>
      </w:r>
      <w:r w:rsidR="00992664" w:rsidRPr="00020424">
        <w:rPr>
          <w:rtl/>
        </w:rPr>
        <w:t xml:space="preserve"> ، ج 2 ، ص 42 ، ذيل الحديث 134.</w:t>
      </w:r>
    </w:p>
    <w:p w:rsidR="00992664" w:rsidRPr="00020424" w:rsidRDefault="00992664" w:rsidP="007F0BD6">
      <w:pPr>
        <w:pStyle w:val="libFootnote0"/>
        <w:rPr>
          <w:rtl/>
          <w:lang w:bidi="fa-IR"/>
        </w:rPr>
      </w:pPr>
      <w:r w:rsidRPr="007F0BD6">
        <w:rPr>
          <w:rtl/>
        </w:rPr>
        <w:t xml:space="preserve">وفي </w:t>
      </w:r>
      <w:r w:rsidRPr="00DE76B9">
        <w:rPr>
          <w:rStyle w:val="libFootnoteBoldChar"/>
          <w:rtl/>
        </w:rPr>
        <w:t>مرآة العقول</w:t>
      </w:r>
      <w:r w:rsidRPr="007F0BD6">
        <w:rPr>
          <w:rtl/>
        </w:rPr>
        <w:t xml:space="preserve"> ، ج 16 ، ص 419 : « قوله </w:t>
      </w:r>
      <w:r w:rsidRPr="00D64ADA">
        <w:rPr>
          <w:rStyle w:val="libFootnoteAlaemChar"/>
          <w:rtl/>
        </w:rPr>
        <w:t>عليه‌السلام</w:t>
      </w:r>
      <w:r w:rsidRPr="007F0BD6">
        <w:rPr>
          <w:rtl/>
        </w:rPr>
        <w:t xml:space="preserve"> : نعم يعطي ، محمول على الاستحباب على المشهور ؛ إذ أكثر الأصحاب ذهبوا إلى اشتراط الغنى في من يجب عليه زكاة الفطرة ، بل قال في </w:t>
      </w:r>
      <w:r w:rsidRPr="00DE76B9">
        <w:rPr>
          <w:rStyle w:val="libFootnoteBoldChar"/>
          <w:rtl/>
        </w:rPr>
        <w:t>المنتهى</w:t>
      </w:r>
      <w:r w:rsidRPr="007F0BD6">
        <w:rPr>
          <w:rtl/>
        </w:rPr>
        <w:t xml:space="preserve"> : إنّه قول علمائنا أجمع ». وراجع أيضاً : </w:t>
      </w:r>
      <w:r w:rsidRPr="00DE76B9">
        <w:rPr>
          <w:rStyle w:val="libFootnoteBoldChar"/>
          <w:rtl/>
        </w:rPr>
        <w:t>منتهى المطلب</w:t>
      </w:r>
      <w:r w:rsidRPr="007F0BD6">
        <w:rPr>
          <w:rtl/>
        </w:rPr>
        <w:t xml:space="preserve"> ، ج 8 ، ص 425.</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74 ، ح 208 ؛ </w:t>
      </w:r>
      <w:r w:rsidR="00992664" w:rsidRPr="00FD6221">
        <w:rPr>
          <w:rStyle w:val="libFootnoteBoldChar"/>
          <w:rtl/>
        </w:rPr>
        <w:t>والاستبصار</w:t>
      </w:r>
      <w:r w:rsidR="00992664" w:rsidRPr="00020424">
        <w:rPr>
          <w:rtl/>
        </w:rPr>
        <w:t xml:space="preserve"> ، ج 2 ، ص 41 ، ح 132 ، معلّقاً عن الكليني. </w:t>
      </w:r>
      <w:r w:rsidR="00992664" w:rsidRPr="00DE76B9">
        <w:rPr>
          <w:rStyle w:val="libFootnoteBoldChar"/>
          <w:rtl/>
        </w:rPr>
        <w:t>تفسير العيّاشي</w:t>
      </w:r>
      <w:r w:rsidR="00992664" w:rsidRPr="00020424">
        <w:rPr>
          <w:rtl/>
        </w:rPr>
        <w:t xml:space="preserve"> ، ج 1 ، ص 42 ، ذيل ح 34 ، عن زرارة عن أبي جعفر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المقنعة</w:t>
      </w:r>
      <w:r w:rsidR="00992664" w:rsidRPr="00020424">
        <w:rPr>
          <w:rtl/>
        </w:rPr>
        <w:t xml:space="preserve"> ، ص 248 ، مرسلاً عن زرارة ، عن أبي جعفر </w:t>
      </w:r>
      <w:r w:rsidR="00992664" w:rsidRPr="00D64ADA">
        <w:rPr>
          <w:rStyle w:val="libFootnoteAlaemChar"/>
          <w:rtl/>
        </w:rPr>
        <w:t>عليه‌السلام</w:t>
      </w:r>
      <w:r w:rsidR="00992664" w:rsidRPr="00020424">
        <w:rPr>
          <w:rtl/>
        </w:rPr>
        <w:t xml:space="preserve"> ، وفي الأخيرين مع اختلاف يسير </w:t>
      </w:r>
      <w:r w:rsidR="007F0BD6">
        <w:rPr>
          <w:rFonts w:hint="cs"/>
          <w:rtl/>
        </w:rPr>
        <w:t>.</w:t>
      </w:r>
      <w:r w:rsidR="00992664" w:rsidRPr="0012008A">
        <w:rPr>
          <w:rStyle w:val="libFootnoteBoldChar"/>
          <w:rtl/>
        </w:rPr>
        <w:t>الوافي</w:t>
      </w:r>
      <w:r w:rsidR="00992664" w:rsidRPr="00020424">
        <w:rPr>
          <w:rtl/>
        </w:rPr>
        <w:t xml:space="preserve"> ، ج 10 ، ص 239 ، ح 9512 ؛ </w:t>
      </w:r>
      <w:r w:rsidR="00992664" w:rsidRPr="0012008A">
        <w:rPr>
          <w:rStyle w:val="libFootnoteBoldChar"/>
          <w:rtl/>
        </w:rPr>
        <w:t>الوسائل</w:t>
      </w:r>
      <w:r w:rsidR="00992664" w:rsidRPr="00020424">
        <w:rPr>
          <w:rtl/>
        </w:rPr>
        <w:t xml:space="preserve"> ، ج 9 ، ص 324 ، ح 12134.</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بف » : « الفطرة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 ظ » </w:t>
      </w:r>
      <w:r w:rsidR="00992664" w:rsidRPr="00515444">
        <w:rPr>
          <w:rStyle w:val="libFootnoteBoldChar"/>
          <w:rtl/>
        </w:rPr>
        <w:t>والتهذيب</w:t>
      </w:r>
      <w:r w:rsidR="00992664" w:rsidRPr="00020424">
        <w:rPr>
          <w:rtl/>
        </w:rPr>
        <w:t xml:space="preserve"> ج 4 ص 331 : « أعليه</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4B7CD2">
      <w:pPr>
        <w:pStyle w:val="libNormal0"/>
        <w:rPr>
          <w:rtl/>
          <w:lang w:bidi="fa-IR"/>
        </w:rPr>
      </w:pPr>
      <w:r w:rsidRPr="00020424">
        <w:rPr>
          <w:rtl/>
          <w:lang w:bidi="fa-IR"/>
        </w:rPr>
        <w:t xml:space="preserve">خَرَجَ </w:t>
      </w:r>
      <w:r w:rsidRPr="00A91B96">
        <w:rPr>
          <w:rStyle w:val="libFootnotenumChar"/>
          <w:rtl/>
        </w:rPr>
        <w:t>(1)</w:t>
      </w:r>
      <w:r w:rsidRPr="00020424">
        <w:rPr>
          <w:rtl/>
          <w:lang w:bidi="fa-IR"/>
        </w:rPr>
        <w:t xml:space="preserve"> الشَّهْرُ</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وَسَأَلْتُهُ عَنْ يَهُودِيٍّ أَسْلَمَ لَيْلَةَ الْفِطْرِ : </w:t>
      </w:r>
      <w:r w:rsidRPr="00A91B96">
        <w:rPr>
          <w:rStyle w:val="libFootnotenumChar"/>
          <w:rtl/>
        </w:rPr>
        <w:t>(2)</w:t>
      </w:r>
      <w:r w:rsidRPr="00020424">
        <w:rPr>
          <w:rtl/>
          <w:lang w:bidi="fa-IR"/>
        </w:rPr>
        <w:t xml:space="preserve"> عَلَيْهِ فِطْرَةٌ </w:t>
      </w:r>
      <w:r w:rsidRPr="00A91B96">
        <w:rPr>
          <w:rStyle w:val="libFootnotenumChar"/>
          <w:rtl/>
        </w:rPr>
        <w:t>(3)</w:t>
      </w:r>
      <w:r>
        <w:rPr>
          <w:rtl/>
          <w:lang w:bidi="fa-IR"/>
        </w:rPr>
        <w:t>؟</w:t>
      </w:r>
      <w:r w:rsidRPr="00020424">
        <w:rPr>
          <w:rtl/>
          <w:lang w:bidi="fa-IR"/>
        </w:rPr>
        <w:t xml:space="preserve"> قَالَ : « لَا</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C5D15">
        <w:rPr>
          <w:rtl/>
        </w:rPr>
        <w:t>6663</w:t>
      </w:r>
      <w:r w:rsidRPr="001155DE">
        <w:rPr>
          <w:rStyle w:val="libBold2Char"/>
          <w:rtl/>
        </w:rPr>
        <w:t xml:space="preserve"> / 13.</w:t>
      </w:r>
      <w:r w:rsidRPr="00020424">
        <w:rPr>
          <w:rtl/>
          <w:lang w:bidi="fa-IR"/>
        </w:rPr>
        <w:t xml:space="preserve"> مُحَمَّدُ بْنُ الْحُسَيْنِ </w:t>
      </w:r>
      <w:r w:rsidRPr="00A91B96">
        <w:rPr>
          <w:rStyle w:val="libFootnotenumChar"/>
          <w:rtl/>
        </w:rPr>
        <w:t>(5)</w:t>
      </w:r>
      <w:r w:rsidRPr="00020424">
        <w:rPr>
          <w:rtl/>
          <w:lang w:bidi="fa-IR"/>
        </w:rPr>
        <w:t xml:space="preserve"> ، عَنْ مُحَمَّدِ بْنِ الْقَاسِمِ بْنِ الْفُضَيْلِ الْبَصْرِيِّ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كَتَبْتُ إِلَيْهِ : الْوَصِيُّ يُزَكِّي عَنِ الْيَتَامى زَكَاةَ الْفِطْرَةِ </w:t>
      </w:r>
      <w:r w:rsidRPr="00A91B96">
        <w:rPr>
          <w:rStyle w:val="libFootnotenumChar"/>
          <w:rtl/>
        </w:rPr>
        <w:t>(6)</w:t>
      </w:r>
      <w:r w:rsidRPr="00020424">
        <w:rPr>
          <w:rtl/>
          <w:lang w:bidi="fa-IR"/>
        </w:rPr>
        <w:t xml:space="preserve"> إِذَا كَانَ لَهُمْ مَالٌ</w:t>
      </w:r>
      <w:r>
        <w:rPr>
          <w:rtl/>
          <w:lang w:bidi="fa-IR"/>
        </w:rPr>
        <w:t>؟</w:t>
      </w:r>
    </w:p>
    <w:p w:rsidR="00992664" w:rsidRPr="00020424" w:rsidRDefault="00992664" w:rsidP="00992664">
      <w:pPr>
        <w:pStyle w:val="libNormal"/>
        <w:rPr>
          <w:rtl/>
          <w:lang w:bidi="fa-IR"/>
        </w:rPr>
      </w:pPr>
      <w:r w:rsidRPr="00020424">
        <w:rPr>
          <w:rtl/>
          <w:lang w:bidi="fa-IR"/>
        </w:rPr>
        <w:t>فَكَتَبَ : « لَا زَكَاةَ عَلى يَتِيمٍ</w:t>
      </w:r>
      <w:r>
        <w:rPr>
          <w:rtl/>
          <w:lang w:bidi="fa-IR"/>
        </w:rPr>
        <w:t xml:space="preserve"> ».</w:t>
      </w:r>
    </w:p>
    <w:p w:rsidR="00992664" w:rsidRPr="00020424" w:rsidRDefault="00992664" w:rsidP="00992664">
      <w:pPr>
        <w:pStyle w:val="libNormal"/>
        <w:rPr>
          <w:rtl/>
          <w:lang w:bidi="fa-IR"/>
        </w:rPr>
      </w:pPr>
      <w:r w:rsidRPr="00020424">
        <w:rPr>
          <w:rtl/>
          <w:lang w:bidi="fa-IR"/>
        </w:rPr>
        <w:t>وَعَنْ ال</w:t>
      </w:r>
      <w:r w:rsidR="004B7CD2">
        <w:rPr>
          <w:rFonts w:hint="cs"/>
          <w:rtl/>
          <w:lang w:bidi="fa-IR"/>
        </w:rPr>
        <w:t>ـ</w:t>
      </w:r>
      <w:r w:rsidRPr="00020424">
        <w:rPr>
          <w:rtl/>
          <w:lang w:bidi="fa-IR"/>
        </w:rPr>
        <w:t xml:space="preserve">مَمْلُوكِ </w:t>
      </w:r>
      <w:r w:rsidRPr="00A91B96">
        <w:rPr>
          <w:rStyle w:val="libFootnotenumChar"/>
          <w:rtl/>
        </w:rPr>
        <w:t>(7)</w:t>
      </w:r>
      <w:r w:rsidRPr="00020424">
        <w:rPr>
          <w:rtl/>
          <w:lang w:bidi="fa-IR"/>
        </w:rPr>
        <w:t xml:space="preserve"> يَمُوتُ مَوْلَاهُ وَهُوَ عَنْهُ غَائِبٌ فِي بَلَدٍ آخَرَ ، وَفِي يَدِهِ مَالٌ لِمَوْلَاهُ ، وَيَحْضُرُ الْفِطْرُ </w:t>
      </w:r>
      <w:r w:rsidRPr="00A91B96">
        <w:rPr>
          <w:rStyle w:val="libFootnotenumChar"/>
          <w:rtl/>
        </w:rPr>
        <w:t>(8)</w:t>
      </w:r>
      <w:r>
        <w:rPr>
          <w:rtl/>
          <w:lang w:bidi="fa-IR"/>
        </w:rPr>
        <w:t xml:space="preserve"> : أَ</w:t>
      </w:r>
      <w:r w:rsidRPr="00020424">
        <w:rPr>
          <w:rtl/>
          <w:lang w:bidi="fa-IR"/>
        </w:rPr>
        <w:t xml:space="preserve">يُزَكِّي </w:t>
      </w:r>
      <w:r w:rsidRPr="00A91B96">
        <w:rPr>
          <w:rStyle w:val="libFootnotenumChar"/>
          <w:rtl/>
        </w:rPr>
        <w:t>(9)</w:t>
      </w:r>
      <w:r w:rsidRPr="00020424">
        <w:rPr>
          <w:rtl/>
          <w:lang w:bidi="fa-IR"/>
        </w:rPr>
        <w:t xml:space="preserve"> عَنْ نَفْسِهِ مِنْ مَالِ مَوْلَاهُ وَقَدْ صَارَ لِلْيَتَامى</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بث ، بح ، بس ، بف ، جن » : + « من</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بح » : + « فهل</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بح » : « الفطرة</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72 ، ح 197 ؛ وص 331 ، ح 1037 ، بسندهما عن ابن أبي عمير ، وفي الأخير إلى قوله : « قد خرج الشهر</w:t>
      </w:r>
      <w:r w:rsidR="00992664">
        <w:rPr>
          <w:rtl/>
        </w:rPr>
        <w:t xml:space="preserve"> ».</w:t>
      </w:r>
      <w:r w:rsidR="00992664" w:rsidRPr="00020424">
        <w:rPr>
          <w:rtl/>
        </w:rPr>
        <w:t xml:space="preserve"> </w:t>
      </w:r>
      <w:r w:rsidR="00992664" w:rsidRPr="0012008A">
        <w:rPr>
          <w:rStyle w:val="libFootnoteBoldChar"/>
          <w:rtl/>
        </w:rPr>
        <w:t>الفقيه</w:t>
      </w:r>
      <w:r w:rsidR="00992664" w:rsidRPr="00020424">
        <w:rPr>
          <w:rtl/>
        </w:rPr>
        <w:t xml:space="preserve"> ، ج 2 ، ص 178 ، ح 2070 ، بسنده عن معاوية بن عمّار ، مع اختلاف يسير </w:t>
      </w:r>
      <w:r w:rsidR="00FD368D">
        <w:rPr>
          <w:rFonts w:hint="cs"/>
          <w:rtl/>
        </w:rPr>
        <w:t>.</w:t>
      </w:r>
      <w:r w:rsidR="00992664" w:rsidRPr="0012008A">
        <w:rPr>
          <w:rStyle w:val="libFootnoteBoldChar"/>
          <w:rtl/>
        </w:rPr>
        <w:t>الوافي</w:t>
      </w:r>
      <w:r w:rsidR="00992664" w:rsidRPr="00020424">
        <w:rPr>
          <w:rtl/>
        </w:rPr>
        <w:t xml:space="preserve"> ، ج 10 ، ص 235 ، ح 9496 ؛ </w:t>
      </w:r>
      <w:r w:rsidR="00992664" w:rsidRPr="0012008A">
        <w:rPr>
          <w:rStyle w:val="libFootnoteBoldChar"/>
          <w:rtl/>
        </w:rPr>
        <w:t>الوسائل</w:t>
      </w:r>
      <w:r w:rsidR="00992664" w:rsidRPr="00020424">
        <w:rPr>
          <w:rtl/>
        </w:rPr>
        <w:t xml:space="preserve"> ، ج 9 ، ص 352 ، ذيل ح 12214.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تقدّم صدر الخبر في </w:t>
      </w:r>
      <w:r w:rsidR="00992664" w:rsidRPr="00DE76B9">
        <w:rPr>
          <w:rStyle w:val="libFootnoteBoldChar"/>
          <w:rtl/>
        </w:rPr>
        <w:t>الكافي</w:t>
      </w:r>
      <w:r w:rsidR="00992664" w:rsidRPr="00020424">
        <w:rPr>
          <w:rtl/>
        </w:rPr>
        <w:t xml:space="preserve"> ، ح 5881 ، عن محمّد بن يحيى ، عن محمّد بن الحسين ، عن محمّد بن القاسم بن الفضيل ، قال : كتبت إلى أبي الحسن الرضا </w:t>
      </w:r>
      <w:r w:rsidR="00992664" w:rsidRPr="00D64ADA">
        <w:rPr>
          <w:rStyle w:val="libFootnoteAlaemChar"/>
          <w:rtl/>
        </w:rPr>
        <w:t>عليه‌السلام</w:t>
      </w:r>
      <w:r w:rsidR="00992664" w:rsidRPr="00020424">
        <w:rPr>
          <w:rtl/>
        </w:rPr>
        <w:t>.</w:t>
      </w:r>
    </w:p>
    <w:p w:rsidR="00992664" w:rsidRPr="00020424" w:rsidRDefault="00992664" w:rsidP="00FD368D">
      <w:pPr>
        <w:pStyle w:val="libFootnote0"/>
        <w:rPr>
          <w:rtl/>
          <w:lang w:bidi="fa-IR"/>
        </w:rPr>
      </w:pPr>
      <w:r w:rsidRPr="00D82B22">
        <w:rPr>
          <w:rtl/>
        </w:rPr>
        <w:t>والظاهر في ما نحن فيه أيضاً أنّ الراوي عن محمّد بن الحسين هو محمّد بن يحيى ، لكنّه لم يرد له ذكر في السند.</w:t>
      </w:r>
    </w:p>
    <w:p w:rsidR="00992664" w:rsidRPr="00020424" w:rsidRDefault="00992664" w:rsidP="00FD368D">
      <w:pPr>
        <w:pStyle w:val="libFootnote0"/>
        <w:rPr>
          <w:rtl/>
          <w:lang w:bidi="fa-IR"/>
        </w:rPr>
      </w:pPr>
      <w:r w:rsidRPr="00D82B22">
        <w:rPr>
          <w:rtl/>
        </w:rPr>
        <w:t>والمحتمل قويّاً وقوع السقط في السند بجواز النظر من « محمّد » في « محمّد بن يحيى » إلى « محمّد » في « محمّد بن الحسين</w:t>
      </w:r>
      <w:r>
        <w:rPr>
          <w:rtl/>
        </w:rPr>
        <w:t xml:space="preserve"> ».</w:t>
      </w:r>
      <w:r w:rsidRPr="00D82B22">
        <w:rPr>
          <w:rtl/>
        </w:rPr>
        <w:t xml:space="preserve"> فيُتَخَيَّل كون محمّد بن يحيى ساقطاً.</w:t>
      </w:r>
    </w:p>
    <w:p w:rsidR="00992664" w:rsidRPr="00020424" w:rsidRDefault="00795177" w:rsidP="00FD368D">
      <w:pPr>
        <w:pStyle w:val="libFootnote0"/>
        <w:rPr>
          <w:rtl/>
          <w:lang w:bidi="fa-IR"/>
        </w:rPr>
      </w:pPr>
      <w:r>
        <w:rPr>
          <w:rtl/>
        </w:rPr>
        <w:t>(6).</w:t>
      </w:r>
      <w:r w:rsidR="0014403D">
        <w:rPr>
          <w:rtl/>
        </w:rPr>
        <w:t xml:space="preserve"> </w:t>
      </w:r>
      <w:r w:rsidR="00992664" w:rsidRPr="00020424">
        <w:rPr>
          <w:rtl/>
        </w:rPr>
        <w:t xml:space="preserve">في « بخ ، بر ، بف » : </w:t>
      </w:r>
      <w:r w:rsidR="00992664" w:rsidRPr="00515444">
        <w:rPr>
          <w:rStyle w:val="libFootnoteBoldChar"/>
          <w:rtl/>
        </w:rPr>
        <w:t>والوافي</w:t>
      </w:r>
      <w:r w:rsidR="00992664" w:rsidRPr="00020424">
        <w:rPr>
          <w:rtl/>
        </w:rPr>
        <w:t xml:space="preserve"> : « زكاة الفطرة عن اليتامى » بدل « عن اليتامى زكاة الفطرة</w:t>
      </w:r>
      <w:r w:rsidR="00992664">
        <w:rPr>
          <w:rtl/>
        </w:rPr>
        <w:t xml:space="preserve"> ».</w:t>
      </w:r>
      <w:r w:rsidR="00FD368D">
        <w:rPr>
          <w:rtl/>
        </w:rPr>
        <w:t xml:space="preserve"> وفي « جن »</w:t>
      </w:r>
      <w:r w:rsidR="00992664" w:rsidRPr="00020424">
        <w:rPr>
          <w:rtl/>
        </w:rPr>
        <w:t>: « الفطر » بدل « الفطرة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مملوك</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بخ » : « وتحضر الفطرة</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ى ، بث ، بخ ، بر ، بف » « يزكّي » من دون همزة الاستفهام.</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نَعَمْ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C5D15">
        <w:rPr>
          <w:rtl/>
        </w:rPr>
        <w:t>6664</w:t>
      </w:r>
      <w:r w:rsidRPr="001155DE">
        <w:rPr>
          <w:rStyle w:val="libBold2Char"/>
          <w:rtl/>
        </w:rPr>
        <w:t xml:space="preserve"> / 14.</w:t>
      </w:r>
      <w:r w:rsidRPr="00020424">
        <w:rPr>
          <w:rtl/>
          <w:lang w:bidi="fa-IR"/>
        </w:rPr>
        <w:t xml:space="preserve"> عَلِيُّ بْنُ إِبْرَاهِيمَ ، عَنْ مُحَمَّدِ بْنِ عِيسى ، عَنْ يُونُسَ ، عَمَّنْ ذَكَرَهُ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قُلْتُ لَهُ : جُعِلْتُ فِدَاكَ ، هَلْ عَلى أَهْلِ الْبَوَادِي الْفِطْرَةُ</w:t>
      </w:r>
      <w:r>
        <w:rPr>
          <w:rtl/>
          <w:lang w:bidi="fa-IR"/>
        </w:rPr>
        <w:t>؟</w:t>
      </w:r>
    </w:p>
    <w:p w:rsidR="00992664" w:rsidRPr="00020424" w:rsidRDefault="00992664" w:rsidP="00992664">
      <w:pPr>
        <w:pStyle w:val="libNormal"/>
        <w:rPr>
          <w:rtl/>
          <w:lang w:bidi="fa-IR"/>
        </w:rPr>
      </w:pPr>
      <w:r w:rsidRPr="00020424">
        <w:rPr>
          <w:rtl/>
          <w:lang w:bidi="fa-IR"/>
        </w:rPr>
        <w:t>قَالَ : فَقَالَ : « الْفِطْرَةُ عَلى كُلِّ مَنِ اقْتَاتَ قُوتاً ، فَعَلَيْهِ أَنْ يُؤَدِّيَ مِنْ ذلِكَ الْقُوتِ</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AC5D15">
        <w:rPr>
          <w:rtl/>
        </w:rPr>
        <w:t>6665</w:t>
      </w:r>
      <w:r w:rsidRPr="001155DE">
        <w:rPr>
          <w:rStyle w:val="libBold2Char"/>
          <w:rtl/>
        </w:rPr>
        <w:t xml:space="preserve"> / 15.</w:t>
      </w:r>
      <w:r w:rsidRPr="00020424">
        <w:rPr>
          <w:rtl/>
          <w:lang w:bidi="fa-IR"/>
        </w:rPr>
        <w:t xml:space="preserve"> عَلِيُّ بْنُ إِبْرَاهِيمَ </w:t>
      </w:r>
      <w:r w:rsidRPr="00A91B96">
        <w:rPr>
          <w:rStyle w:val="libFootnotenumChar"/>
          <w:rtl/>
        </w:rPr>
        <w:t>(6)</w:t>
      </w:r>
      <w:r w:rsidRPr="00020424">
        <w:rPr>
          <w:rtl/>
          <w:lang w:bidi="fa-IR"/>
        </w:rPr>
        <w:t xml:space="preserve"> ، عَنْ أَبِيهِ رَفَعَهُ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w:t>
      </w:r>
      <w:r w:rsidRPr="00A91B96">
        <w:rPr>
          <w:rStyle w:val="libFootnotenumChar"/>
          <w:rtl/>
        </w:rPr>
        <w:t>(7)</w:t>
      </w:r>
      <w:r w:rsidRPr="00020424">
        <w:rPr>
          <w:rtl/>
          <w:lang w:bidi="fa-IR"/>
        </w:rPr>
        <w:t xml:space="preserve"> : سُئِلَ عَنْ </w:t>
      </w:r>
      <w:r w:rsidRPr="00A91B96">
        <w:rPr>
          <w:rStyle w:val="libFootnotenumChar"/>
          <w:rtl/>
        </w:rPr>
        <w:t>(8)</w:t>
      </w:r>
      <w:r w:rsidRPr="00020424">
        <w:rPr>
          <w:rtl/>
          <w:lang w:bidi="fa-IR"/>
        </w:rPr>
        <w:t xml:space="preserve"> رَجُلٍ فِي الْبَادِيَةِ </w:t>
      </w:r>
      <w:r w:rsidRPr="00A91B96">
        <w:rPr>
          <w:rStyle w:val="libFootnotenumChar"/>
          <w:rtl/>
        </w:rPr>
        <w:t>(9)</w:t>
      </w:r>
      <w:r w:rsidRPr="00020424">
        <w:rPr>
          <w:rtl/>
          <w:lang w:bidi="fa-IR"/>
        </w:rPr>
        <w:t xml:space="preserve"> لَايُمْكِنُهُ الْفِطْرَةُ </w:t>
      </w:r>
      <w:r w:rsidRPr="00A91B96">
        <w:rPr>
          <w:rStyle w:val="libFootnotenumChar"/>
          <w:rtl/>
        </w:rPr>
        <w:t>(10)</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بث ، بخ ، بر ، بف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E57D58">
        <w:rPr>
          <w:rStyle w:val="libFootnoteBoldChar"/>
          <w:rtl/>
        </w:rPr>
        <w:t>مدارك الأحكام</w:t>
      </w:r>
      <w:r w:rsidR="00992664" w:rsidRPr="00020424">
        <w:rPr>
          <w:rtl/>
        </w:rPr>
        <w:t xml:space="preserve"> ، ج 5 ، ص 307 : « يستفاد من هذه الرواية أنّ الساقط عن اليتيم فطرته خاصّة ، لا فطرة غلامه ، وأنّ للمملوك التصرّف في مال اليتيم على هذا الوجه ، وكلا الحكمين مشكل</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ويمكن حمله [ على ] ما إذا حضر الفطر قبل وفاة مولاه ، وإن كان بعيداً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177 ، ح 2065 ، إلى قوله : « لا زكاة على يتيم » ؛ </w:t>
      </w:r>
      <w:r w:rsidR="00992664" w:rsidRPr="0012008A">
        <w:rPr>
          <w:rStyle w:val="libFootnoteBoldChar"/>
          <w:rtl/>
        </w:rPr>
        <w:t>الفقيه</w:t>
      </w:r>
      <w:r w:rsidR="00992664" w:rsidRPr="00020424">
        <w:rPr>
          <w:rtl/>
        </w:rPr>
        <w:t xml:space="preserve"> ، ج 2 ، ص 180 ، ح 2073 ، من قوله : « وعن مملوك يموت مولاه » وفيهما معلّقاً عن محمّد بن القاسم بن الفضيل البصري ، عن أبي الحسن الرضا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التهذيب</w:t>
      </w:r>
      <w:r w:rsidR="00992664" w:rsidRPr="00020424">
        <w:rPr>
          <w:rtl/>
        </w:rPr>
        <w:t xml:space="preserve"> ، ج 4 ، ص 30 ، ح 74 ، بسنده عن محمّد بن القاسم الفضيل البصري ، عن أبي الحسن الرضا </w:t>
      </w:r>
      <w:r w:rsidR="00992664" w:rsidRPr="00D64ADA">
        <w:rPr>
          <w:rStyle w:val="libFootnoteAlaemChar"/>
          <w:rtl/>
        </w:rPr>
        <w:t>عليه‌السلام</w:t>
      </w:r>
      <w:r w:rsidR="00992664" w:rsidRPr="00020424">
        <w:rPr>
          <w:rtl/>
        </w:rPr>
        <w:t xml:space="preserve">. وراجع : </w:t>
      </w:r>
      <w:r w:rsidR="00992664" w:rsidRPr="00DE76B9">
        <w:rPr>
          <w:rStyle w:val="libFootnoteBoldChar"/>
          <w:rtl/>
        </w:rPr>
        <w:t>الكافي</w:t>
      </w:r>
      <w:r w:rsidR="00992664" w:rsidRPr="00020424">
        <w:rPr>
          <w:rtl/>
        </w:rPr>
        <w:t xml:space="preserve"> ، كتاب الزكاة ، باب زكاة مال اليتيم ، ح 5876 و5877 و5879 ومصادره </w:t>
      </w:r>
      <w:r w:rsidR="008D269A">
        <w:rPr>
          <w:rFonts w:hint="cs"/>
          <w:rtl/>
        </w:rPr>
        <w:t>.</w:t>
      </w:r>
      <w:r w:rsidR="00992664" w:rsidRPr="0012008A">
        <w:rPr>
          <w:rStyle w:val="libFootnoteBoldChar"/>
          <w:rtl/>
        </w:rPr>
        <w:t>الوافي</w:t>
      </w:r>
      <w:r w:rsidR="00992664" w:rsidRPr="00020424">
        <w:rPr>
          <w:rtl/>
        </w:rPr>
        <w:t xml:space="preserve"> ، ج 10 ، ص 240 ، ح 9514 ؛ </w:t>
      </w:r>
      <w:r w:rsidR="00992664" w:rsidRPr="0012008A">
        <w:rPr>
          <w:rStyle w:val="libFootnoteBoldChar"/>
          <w:rtl/>
        </w:rPr>
        <w:t>الوسائل</w:t>
      </w:r>
      <w:r w:rsidR="00992664" w:rsidRPr="00020424">
        <w:rPr>
          <w:rtl/>
        </w:rPr>
        <w:t xml:space="preserve"> ، ج 9 ، ص 326 ، ذيل ح 12137 و12138.</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الاستبصار : « أخبره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78 ، ح 220 ، </w:t>
      </w:r>
      <w:r w:rsidR="00992664" w:rsidRPr="00FD6221">
        <w:rPr>
          <w:rStyle w:val="libFootnoteBoldChar"/>
          <w:rtl/>
        </w:rPr>
        <w:t>والاستبصار</w:t>
      </w:r>
      <w:r w:rsidR="00992664" w:rsidRPr="00020424">
        <w:rPr>
          <w:rtl/>
        </w:rPr>
        <w:t xml:space="preserve"> ، ج 2 ، ص 42 ، ح 136 ، معلّقاً عن الكليني. </w:t>
      </w:r>
      <w:r w:rsidR="00992664" w:rsidRPr="0012008A">
        <w:rPr>
          <w:rStyle w:val="libFootnoteBoldChar"/>
          <w:rtl/>
        </w:rPr>
        <w:t>الفقيه</w:t>
      </w:r>
      <w:r w:rsidR="00992664" w:rsidRPr="00020424">
        <w:rPr>
          <w:rtl/>
        </w:rPr>
        <w:t xml:space="preserve">، ج 2 ، ص 177 ، ذيل ح 2064 ، مع اختلاف يسير. راجع : </w:t>
      </w:r>
      <w:r w:rsidR="00992664" w:rsidRPr="0012008A">
        <w:rPr>
          <w:rStyle w:val="libFootnoteBoldChar"/>
          <w:rtl/>
        </w:rPr>
        <w:t>التهذيب</w:t>
      </w:r>
      <w:r w:rsidR="00992664" w:rsidRPr="00020424">
        <w:rPr>
          <w:rtl/>
        </w:rPr>
        <w:t xml:space="preserve"> ، ج 4 ، ص 78 ، ح 221 ؛ </w:t>
      </w:r>
      <w:r w:rsidR="00992664" w:rsidRPr="00FD6221">
        <w:rPr>
          <w:rStyle w:val="libFootnoteBoldChar"/>
          <w:rtl/>
        </w:rPr>
        <w:t>والاستبصار</w:t>
      </w:r>
      <w:r w:rsidR="00992664" w:rsidRPr="00020424">
        <w:rPr>
          <w:rtl/>
        </w:rPr>
        <w:t xml:space="preserve"> ، ج 2 ، ص 43 ، ح 137 </w:t>
      </w:r>
      <w:r w:rsidR="00355173">
        <w:rPr>
          <w:rFonts w:hint="cs"/>
          <w:rtl/>
        </w:rPr>
        <w:t>.</w:t>
      </w:r>
      <w:r w:rsidR="00992664" w:rsidRPr="0012008A">
        <w:rPr>
          <w:rStyle w:val="libFootnoteBoldChar"/>
          <w:rtl/>
        </w:rPr>
        <w:t>الوافي</w:t>
      </w:r>
      <w:r w:rsidR="00992664" w:rsidRPr="00020424">
        <w:rPr>
          <w:rtl/>
        </w:rPr>
        <w:t xml:space="preserve"> ، ج 10 ، ص 249 ، ح 9527 ؛ </w:t>
      </w:r>
      <w:r w:rsidR="00992664" w:rsidRPr="0012008A">
        <w:rPr>
          <w:rStyle w:val="libFootnoteBoldChar"/>
          <w:rtl/>
        </w:rPr>
        <w:t>الوسائل</w:t>
      </w:r>
      <w:r w:rsidR="00992664" w:rsidRPr="00020424">
        <w:rPr>
          <w:rtl/>
        </w:rPr>
        <w:t xml:space="preserve"> ، ج 9 ، ص 3</w:t>
      </w:r>
      <w:r w:rsidR="007B69FD">
        <w:rPr>
          <w:rtl/>
        </w:rPr>
        <w:t>44</w:t>
      </w:r>
      <w:r w:rsidR="00992664" w:rsidRPr="00020424">
        <w:rPr>
          <w:rtl/>
        </w:rPr>
        <w:t>، ح 12188.</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في « بخ ، بر ، بف ، جر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جن » : + « قال</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بالبادية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w:t>
      </w:r>
      <w:r w:rsidR="00355173">
        <w:rPr>
          <w:rtl/>
        </w:rPr>
        <w:t>لا يمكنه الفطرة ؛ يعني من الغل</w:t>
      </w:r>
      <w:r w:rsidR="00355173">
        <w:rPr>
          <w:rFonts w:hint="cs"/>
          <w:rtl/>
        </w:rPr>
        <w:t>ّ</w:t>
      </w:r>
      <w:r w:rsidR="00355173">
        <w:rPr>
          <w:rtl/>
        </w:rPr>
        <w:t>ا</w:t>
      </w:r>
      <w:r w:rsidR="00992664" w:rsidRPr="00020424">
        <w:rPr>
          <w:rtl/>
        </w:rPr>
        <w:t>ت</w:t>
      </w:r>
      <w:r w:rsidR="00992664">
        <w:rPr>
          <w:rtl/>
        </w:rPr>
        <w:t xml:space="preserve"> ».</w:t>
      </w:r>
      <w:r w:rsidR="00992664" w:rsidRPr="00020424">
        <w:rPr>
          <w:rtl/>
        </w:rPr>
        <w:t xml:space="preserve"> وفي هامشه عن ولد المصنّف : « ا</w:t>
      </w:r>
      <w:r w:rsidR="00BE3E70">
        <w:rPr>
          <w:rFonts w:hint="cs"/>
          <w:rtl/>
        </w:rPr>
        <w:t>ُ</w:t>
      </w:r>
      <w:r w:rsidR="00BE3E70">
        <w:rPr>
          <w:rtl/>
        </w:rPr>
        <w:t>ريد بالغل</w:t>
      </w:r>
      <w:r w:rsidR="00BE3E70">
        <w:rPr>
          <w:rFonts w:hint="cs"/>
          <w:rtl/>
        </w:rPr>
        <w:t>ّ</w:t>
      </w:r>
      <w:r w:rsidR="00BE3E70">
        <w:rPr>
          <w:rtl/>
        </w:rPr>
        <w:t>ات الغل</w:t>
      </w:r>
      <w:r w:rsidR="00BE3E70">
        <w:rPr>
          <w:rFonts w:hint="cs"/>
          <w:rtl/>
        </w:rPr>
        <w:t>ّ</w:t>
      </w:r>
      <w:r w:rsidR="00BE3E70">
        <w:rPr>
          <w:rtl/>
        </w:rPr>
        <w:t>ا</w:t>
      </w:r>
      <w:r w:rsidR="00992664" w:rsidRPr="00020424">
        <w:rPr>
          <w:rtl/>
        </w:rPr>
        <w:t>ت المعهود إعطاؤها</w:t>
      </w:r>
      <w:r w:rsidR="00992664">
        <w:rPr>
          <w:rtl/>
        </w:rPr>
        <w:t xml:space="preserve"> ».</w:t>
      </w:r>
      <w:r w:rsidR="00992664" w:rsidRPr="00020424">
        <w:rPr>
          <w:rtl/>
        </w:rPr>
        <w:t xml:space="preserve"> وفيه عنه أيضاً : « لو علّلنا عدم إمكانه الفطرة بالفقر وعدم المكنة ، كما هو الظاهر من اللفظ لاستقام من غير حمل على سهو أو تخصيص للسؤال أو الجواب ، وعلى هذا يكون أمره </w:t>
      </w:r>
      <w:r w:rsidR="00992664" w:rsidRPr="00D64ADA">
        <w:rPr>
          <w:rStyle w:val="libFootnoteAlaemChar"/>
          <w:rtl/>
        </w:rPr>
        <w:t>عليه‌السلام</w:t>
      </w:r>
      <w:r w:rsidR="00992664" w:rsidRPr="00020424">
        <w:rPr>
          <w:rtl/>
        </w:rPr>
        <w:t xml:space="preserve"> بالتصدّق بأربعة أرطال محمول على الاستحباب ، لا على الإيجاب</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يَتَصَدَّقُ بِأَرْبَعَةِ أَرْطَالٍ </w:t>
      </w:r>
      <w:r w:rsidRPr="00A91B96">
        <w:rPr>
          <w:rStyle w:val="libFootnotenumChar"/>
          <w:rtl/>
        </w:rPr>
        <w:t>(2)</w:t>
      </w:r>
      <w:r w:rsidRPr="00020424">
        <w:rPr>
          <w:rtl/>
          <w:lang w:bidi="fa-IR"/>
        </w:rPr>
        <w:t xml:space="preserve"> مِنْ لَبَنٍ</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AC5D15">
        <w:rPr>
          <w:rtl/>
        </w:rPr>
        <w:t>6666</w:t>
      </w:r>
      <w:r w:rsidRPr="001155DE">
        <w:rPr>
          <w:rStyle w:val="libBold2Char"/>
          <w:rtl/>
        </w:rPr>
        <w:t xml:space="preserve"> / 16.</w:t>
      </w:r>
      <w:r w:rsidRPr="00020424">
        <w:rPr>
          <w:rtl/>
          <w:lang w:bidi="fa-IR"/>
        </w:rPr>
        <w:t xml:space="preserve"> عِدَّةٌ مِنْ أَصْحَابِنَا ، عَنْ سَهْلِ بْنِ زِيَادٍ ، عَنِ الْحَسَنِ بْنِ مَحْبُوبٍ ، عَنْ عُمَرَ بْنِ يَزِيدَ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الرَّجُلِ يَكُونُ عِنْدَهُ الضَّيْفُ مِنْ إِخْوَانِهِ ، فَيَحْضُرُ يَوْمُ الْفِطْرِ : يُؤَدِّي عَنْهُ الْفِطْرَةَ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(4)</w:t>
      </w:r>
      <w:r w:rsidRPr="00020424">
        <w:rPr>
          <w:rtl/>
          <w:lang w:bidi="fa-IR"/>
        </w:rPr>
        <w:t xml:space="preserve"> : « نَعَمْ ، الْفِطْرَةُ وَاجِبَةٌ عَلى كُلِّ مَنْ يَعُولُ : مِنْ ذَكَرٍ أَوْ أُنْثى ، صَغِيرٍ أَوْ كَبِيرٍ ، حُرٍّ أَوْ مَمْلُوكٍ</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AC5D15">
        <w:rPr>
          <w:rtl/>
        </w:rPr>
        <w:t>6667</w:t>
      </w:r>
      <w:r w:rsidRPr="001155DE">
        <w:rPr>
          <w:rStyle w:val="libBold2Char"/>
          <w:rtl/>
        </w:rPr>
        <w:t xml:space="preserve"> / 17.</w:t>
      </w:r>
      <w:r w:rsidRPr="00020424">
        <w:rPr>
          <w:rtl/>
          <w:lang w:bidi="fa-IR"/>
        </w:rPr>
        <w:t xml:space="preserve"> عِدَّةٌ مِنْ أَصْحَابِنَا ، عَنْ أَحْمَدَ بْنِ مُحَمَّدٍ ، عَنِ ابْنِ أَبِي عُمَيْرٍ ، عَنْ بَعْضِ أَصْحَابِنَا ، عَنْ إِسْحَاقَ بْنِ عَمَّارٍ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قال بعض مشايخنا : لا يبعد أن يكون وضع الأرطال موضع الأمداد سهواً من الراوي</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بأربعة أرطال ، ظاهر الخبر أنّ هذا على الاستحباب ؛ لظهوره في كون المعطي فقيراً ، وقد عرفت أنّه مختار الشيخ وجماعة في الفطرة مطلقاً ، وحملوها على المدنيّ</w:t>
      </w:r>
      <w:r w:rsidR="00992664">
        <w:rPr>
          <w:rtl/>
        </w:rPr>
        <w:t xml:space="preserve"> ».</w:t>
      </w:r>
    </w:p>
    <w:p w:rsidR="00992664" w:rsidRPr="00020424" w:rsidRDefault="00795177" w:rsidP="003F3CC9">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78 ، ح 222 ؛ وص 84 ، ح 245 ؛ </w:t>
      </w:r>
      <w:r w:rsidR="00992664" w:rsidRPr="00FD6221">
        <w:rPr>
          <w:rStyle w:val="libFootnoteBoldChar"/>
          <w:rtl/>
        </w:rPr>
        <w:t>والاستبصار</w:t>
      </w:r>
      <w:r w:rsidR="00992664" w:rsidRPr="00020424">
        <w:rPr>
          <w:rtl/>
        </w:rPr>
        <w:t xml:space="preserve"> ، ج 2 ، ص 43 ، ح 138 ؛ وص 50 ، ح 165 ، بسند آخر عن إبراهيم بن هاشم ، عن أبي الحسن عليّ بن سليمان ، عن الحسن بن عليّ ، عن القاسم بن الحسن ، عمّن حدّثه [ في </w:t>
      </w:r>
      <w:r w:rsidR="00992664" w:rsidRPr="0012008A">
        <w:rPr>
          <w:rStyle w:val="libFootnoteBoldChar"/>
          <w:rtl/>
        </w:rPr>
        <w:t>التهذيب</w:t>
      </w:r>
      <w:r w:rsidR="00992664" w:rsidRPr="00020424">
        <w:rPr>
          <w:rtl/>
        </w:rPr>
        <w:t xml:space="preserve"> ، ص 84 : « رفعه » بدل « عمّن حدّثه » ] عن أبي عبدالله </w:t>
      </w:r>
      <w:r w:rsidR="00992664" w:rsidRPr="00D64ADA">
        <w:rPr>
          <w:rStyle w:val="libFootnoteAlaemChar"/>
          <w:rtl/>
        </w:rPr>
        <w:t>عليه‌السلام</w:t>
      </w:r>
      <w:r w:rsidR="00992664" w:rsidRPr="00020424">
        <w:rPr>
          <w:rtl/>
        </w:rPr>
        <w:t xml:space="preserve">. </w:t>
      </w:r>
      <w:r w:rsidR="00992664" w:rsidRPr="0012008A">
        <w:rPr>
          <w:rStyle w:val="libFootnoteBoldChar"/>
          <w:rtl/>
        </w:rPr>
        <w:t>الفقيه</w:t>
      </w:r>
      <w:r w:rsidR="00992664" w:rsidRPr="00020424">
        <w:rPr>
          <w:rtl/>
        </w:rPr>
        <w:t xml:space="preserve"> ، ج 2 ، ص 177 ، ذيل ح 2064 ، مع اختلاف يسير </w:t>
      </w:r>
      <w:r w:rsidR="009661B0">
        <w:rPr>
          <w:rFonts w:hint="cs"/>
          <w:rtl/>
        </w:rPr>
        <w:t>.</w:t>
      </w:r>
      <w:r w:rsidR="00992664" w:rsidRPr="0012008A">
        <w:rPr>
          <w:rStyle w:val="libFootnoteBoldChar"/>
          <w:rtl/>
        </w:rPr>
        <w:t>الوافي</w:t>
      </w:r>
      <w:r w:rsidR="00992664" w:rsidRPr="00020424">
        <w:rPr>
          <w:rtl/>
        </w:rPr>
        <w:t xml:space="preserve"> ، ج 10 ، ص 249 ، ح 9529 ؛ </w:t>
      </w:r>
      <w:r w:rsidR="00992664" w:rsidRPr="0012008A">
        <w:rPr>
          <w:rStyle w:val="libFootnoteBoldChar"/>
          <w:rtl/>
        </w:rPr>
        <w:t>الوسائل</w:t>
      </w:r>
      <w:r w:rsidR="00992664" w:rsidRPr="00020424">
        <w:rPr>
          <w:rtl/>
        </w:rPr>
        <w:t xml:space="preserve"> ، ج 9 ، ص 341 ، ح 12181.</w:t>
      </w:r>
      <w:r w:rsidR="003F3CC9">
        <w:rPr>
          <w:rFonts w:hint="cs"/>
          <w:rtl/>
        </w:rPr>
        <w:t xml:space="preserve">                      </w:t>
      </w:r>
      <w:r>
        <w:rPr>
          <w:rtl/>
        </w:rPr>
        <w:t>(4).</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72 ، ح 196 ، معلّقاً عن الكليني. وفي </w:t>
      </w:r>
      <w:r w:rsidR="00992664" w:rsidRPr="0012008A">
        <w:rPr>
          <w:rStyle w:val="libFootnoteBoldChar"/>
          <w:rtl/>
        </w:rPr>
        <w:t>الفقيه</w:t>
      </w:r>
      <w:r w:rsidR="00992664" w:rsidRPr="00020424">
        <w:rPr>
          <w:rtl/>
        </w:rPr>
        <w:t xml:space="preserve"> ، ج 2 ، ص 178 ، ح 2067 ؛ </w:t>
      </w:r>
      <w:r w:rsidR="00992664" w:rsidRPr="00515444">
        <w:rPr>
          <w:rStyle w:val="libFootnoteBoldChar"/>
          <w:rtl/>
        </w:rPr>
        <w:t>والتهذيب</w:t>
      </w:r>
      <w:r w:rsidR="00992664" w:rsidRPr="00020424">
        <w:rPr>
          <w:rtl/>
        </w:rPr>
        <w:t xml:space="preserve"> ، ج 4 ، ص 332 ، صدر ح 1041 ، معلّقاً عن الحسن بن محبوب. وفي </w:t>
      </w:r>
      <w:r w:rsidR="00992664" w:rsidRPr="0012008A">
        <w:rPr>
          <w:rStyle w:val="libFootnoteBoldChar"/>
          <w:rtl/>
        </w:rPr>
        <w:t>التهذيب</w:t>
      </w:r>
      <w:r w:rsidR="00992664" w:rsidRPr="00020424">
        <w:rPr>
          <w:rtl/>
        </w:rPr>
        <w:t xml:space="preserve"> ، ج 4 ، ص 82 ، ح 237 ؛ </w:t>
      </w:r>
      <w:r w:rsidR="00992664" w:rsidRPr="00FD6221">
        <w:rPr>
          <w:rStyle w:val="libFootnoteBoldChar"/>
          <w:rtl/>
        </w:rPr>
        <w:t>والاستبصار</w:t>
      </w:r>
      <w:r w:rsidR="00992664" w:rsidRPr="00020424">
        <w:rPr>
          <w:rtl/>
        </w:rPr>
        <w:t xml:space="preserve"> ، ج 2 ، ص 48 ، ح 157 ، بسند آخر عن أبي عبدالله ، عن أبيه </w:t>
      </w:r>
      <w:r w:rsidR="00D64ADA" w:rsidRPr="00D64ADA">
        <w:rPr>
          <w:rStyle w:val="libFootnoteAlaemChar"/>
          <w:rtl/>
        </w:rPr>
        <w:t>عليهما‌السلام</w:t>
      </w:r>
      <w:r w:rsidR="00992664" w:rsidRPr="00020424">
        <w:rPr>
          <w:rtl/>
        </w:rPr>
        <w:t xml:space="preserve"> ، مع زيادة في آخره. </w:t>
      </w:r>
      <w:r w:rsidR="00992664" w:rsidRPr="00DE76B9">
        <w:rPr>
          <w:rStyle w:val="libFootnoteBoldChar"/>
          <w:rtl/>
        </w:rPr>
        <w:t>الاستبصار</w:t>
      </w:r>
      <w:r w:rsidR="00992664" w:rsidRPr="00020424">
        <w:rPr>
          <w:rtl/>
        </w:rPr>
        <w:t xml:space="preserve"> ، ج 2 ، ص 44 ، ضمن ح 140 ، بسند آخر عن أبي الحسن صاحب العسكر </w:t>
      </w:r>
      <w:r w:rsidR="00992664" w:rsidRPr="00D64ADA">
        <w:rPr>
          <w:rStyle w:val="libFootnoteAlaemChar"/>
          <w:rtl/>
        </w:rPr>
        <w:t>عليه‌السلام</w:t>
      </w:r>
      <w:r w:rsidR="00992664" w:rsidRPr="00020424">
        <w:rPr>
          <w:rtl/>
        </w:rPr>
        <w:t xml:space="preserve">.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208 ؛ </w:t>
      </w:r>
      <w:r w:rsidR="00992664" w:rsidRPr="00587829">
        <w:rPr>
          <w:rStyle w:val="libFootnoteBoldChar"/>
          <w:rtl/>
        </w:rPr>
        <w:t>الأمالي للصدوق</w:t>
      </w:r>
      <w:r w:rsidR="00992664" w:rsidRPr="00020424">
        <w:rPr>
          <w:rtl/>
        </w:rPr>
        <w:t xml:space="preserve"> ، ص 649 ، المجلس 93 ، ضمن وصف دين الإماميّة على الإيجاز والاختصار ، وفي الخمسة الأخيرة من قوله : « الفطرة واجبة على كلّ من يعول » مع اختلاف يسير </w:t>
      </w:r>
      <w:r w:rsidR="00E108C8">
        <w:rPr>
          <w:rFonts w:hint="cs"/>
          <w:rtl/>
        </w:rPr>
        <w:t>.</w:t>
      </w:r>
      <w:r w:rsidR="00992664" w:rsidRPr="0012008A">
        <w:rPr>
          <w:rStyle w:val="libFootnoteBoldChar"/>
          <w:rtl/>
        </w:rPr>
        <w:t>الوافي</w:t>
      </w:r>
      <w:r w:rsidR="00992664" w:rsidRPr="00020424">
        <w:rPr>
          <w:rtl/>
        </w:rPr>
        <w:t xml:space="preserve"> ، ج 10 ، ص 233 ، ح 9489 ؛ </w:t>
      </w:r>
      <w:r w:rsidR="00992664" w:rsidRPr="0012008A">
        <w:rPr>
          <w:rStyle w:val="libFootnoteBoldChar"/>
          <w:rtl/>
        </w:rPr>
        <w:t>الوسائل</w:t>
      </w:r>
      <w:r w:rsidR="00992664" w:rsidRPr="00020424">
        <w:rPr>
          <w:rtl/>
        </w:rPr>
        <w:t xml:space="preserve"> ، ج 9 ، ص 327 ، ذيل ح 12140 ؛ </w:t>
      </w:r>
      <w:r w:rsidR="00992664" w:rsidRPr="00DE76B9">
        <w:rPr>
          <w:rStyle w:val="libFootnoteBoldChar"/>
          <w:rtl/>
        </w:rPr>
        <w:t>وفيه</w:t>
      </w:r>
      <w:r w:rsidR="00992664" w:rsidRPr="00020424">
        <w:rPr>
          <w:rtl/>
        </w:rPr>
        <w:t xml:space="preserve"> ، ص 317 ، ذيل ح 12111 ، وتمام الرواية فيه : « الفطرة واجبة على كلّ من يعول</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7B69FD">
      <w:pPr>
        <w:pStyle w:val="libNormal0"/>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بَأْسَ أَنْ </w:t>
      </w:r>
      <w:r w:rsidRPr="00A91B96">
        <w:rPr>
          <w:rStyle w:val="libFootnotenumChar"/>
          <w:rtl/>
        </w:rPr>
        <w:t>(1)</w:t>
      </w:r>
      <w:r w:rsidRPr="00020424">
        <w:rPr>
          <w:rtl/>
          <w:lang w:bidi="fa-IR"/>
        </w:rPr>
        <w:t xml:space="preserve"> يُعْطِيَ الرَّجُلُ الرَّجُلَ </w:t>
      </w:r>
      <w:r w:rsidRPr="00A91B96">
        <w:rPr>
          <w:rStyle w:val="libFootnotenumChar"/>
          <w:rtl/>
        </w:rPr>
        <w:t>(2)</w:t>
      </w:r>
      <w:r w:rsidRPr="00020424">
        <w:rPr>
          <w:rtl/>
          <w:lang w:bidi="fa-IR"/>
        </w:rPr>
        <w:t xml:space="preserve"> عَنْ </w:t>
      </w:r>
      <w:r w:rsidRPr="00A91B96">
        <w:rPr>
          <w:rStyle w:val="libFootnotenumChar"/>
          <w:rtl/>
        </w:rPr>
        <w:t>(3)</w:t>
      </w:r>
      <w:r w:rsidRPr="00020424">
        <w:rPr>
          <w:rtl/>
          <w:lang w:bidi="fa-IR"/>
        </w:rPr>
        <w:t xml:space="preserve"> رَأْسَيْنِ </w:t>
      </w:r>
      <w:r w:rsidRPr="00A91B96">
        <w:rPr>
          <w:rStyle w:val="libFootnotenumChar"/>
          <w:rtl/>
        </w:rPr>
        <w:t>(4)</w:t>
      </w:r>
      <w:r w:rsidRPr="00020424">
        <w:rPr>
          <w:rtl/>
          <w:lang w:bidi="fa-IR"/>
        </w:rPr>
        <w:t xml:space="preserve"> وَثَلَاثَةٍ وَأَرْبَعَةٍ » </w:t>
      </w:r>
      <w:r w:rsidRPr="00A91B96">
        <w:rPr>
          <w:rStyle w:val="libFootnotenumChar"/>
          <w:rtl/>
        </w:rPr>
        <w:t>(5)</w:t>
      </w:r>
      <w:r w:rsidRPr="00020424">
        <w:rPr>
          <w:rtl/>
          <w:lang w:bidi="fa-IR"/>
        </w:rPr>
        <w:t xml:space="preserve"> يَعْنِي الْفِطْرَةَ.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AC5D15">
        <w:rPr>
          <w:rtl/>
        </w:rPr>
        <w:t>6668</w:t>
      </w:r>
      <w:r w:rsidRPr="001155DE">
        <w:rPr>
          <w:rStyle w:val="libBold2Char"/>
          <w:rtl/>
        </w:rPr>
        <w:t xml:space="preserve"> / 18.</w:t>
      </w:r>
      <w:r w:rsidRPr="00020424">
        <w:rPr>
          <w:rtl/>
          <w:lang w:bidi="fa-IR"/>
        </w:rPr>
        <w:t xml:space="preserve"> أَحْمَدُ بْنُ مُحَمَّدٍ </w:t>
      </w:r>
      <w:r w:rsidRPr="00A91B96">
        <w:rPr>
          <w:rStyle w:val="libFootnotenumChar"/>
          <w:rtl/>
        </w:rPr>
        <w:t>(7)</w:t>
      </w:r>
      <w:r w:rsidRPr="00020424">
        <w:rPr>
          <w:rtl/>
          <w:lang w:bidi="fa-IR"/>
        </w:rPr>
        <w:t xml:space="preserve"> ، عَنِ الْحُسَيْنِ بْنِ سَعِيدٍ ، عَنْ فَضَالَةَ بْنِ أَيُّوبَ ، عَنِ الْقَاسِمِ بْنِ بُرَيْدٍ </w:t>
      </w:r>
      <w:r w:rsidRPr="00A91B96">
        <w:rPr>
          <w:rStyle w:val="libFootnotenumChar"/>
          <w:rtl/>
        </w:rPr>
        <w:t>(8)</w:t>
      </w:r>
      <w:r w:rsidRPr="00020424">
        <w:rPr>
          <w:rtl/>
          <w:lang w:bidi="fa-IR"/>
        </w:rPr>
        <w:t xml:space="preserve"> ، عَنْ مَالِكٍ الْجُهَنِيِّ ، قَالَ :</w:t>
      </w:r>
    </w:p>
    <w:p w:rsidR="00992664" w:rsidRPr="00020424" w:rsidRDefault="00992664" w:rsidP="00992664">
      <w:pPr>
        <w:pStyle w:val="libNormal"/>
        <w:rPr>
          <w:rtl/>
          <w:lang w:bidi="fa-IR"/>
        </w:rPr>
      </w:pPr>
      <w:r w:rsidRPr="00020424">
        <w:rPr>
          <w:rtl/>
          <w:lang w:bidi="fa-IR"/>
        </w:rPr>
        <w:t xml:space="preserve">سَأَلْتُ أَبَا جَعْفَرٍ </w:t>
      </w:r>
      <w:r w:rsidRPr="00A91B96">
        <w:rPr>
          <w:rStyle w:val="libFootnotenumChar"/>
          <w:rtl/>
        </w:rPr>
        <w:t>(9)</w:t>
      </w:r>
      <w:r w:rsidRPr="00020424">
        <w:rPr>
          <w:rtl/>
          <w:lang w:bidi="fa-IR"/>
        </w:rPr>
        <w:t xml:space="preserve"> </w:t>
      </w:r>
      <w:r w:rsidRPr="00005A81">
        <w:rPr>
          <w:rStyle w:val="libAlaemChar"/>
          <w:rtl/>
        </w:rPr>
        <w:t>عليه‌السلام</w:t>
      </w:r>
      <w:r w:rsidRPr="00020424">
        <w:rPr>
          <w:rtl/>
          <w:lang w:bidi="fa-IR"/>
        </w:rPr>
        <w:t xml:space="preserve"> عَنْ زَكَاةِ الْفِطْرَةِ</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(10)</w:t>
      </w:r>
      <w:r w:rsidRPr="00020424">
        <w:rPr>
          <w:rtl/>
          <w:lang w:bidi="fa-IR"/>
        </w:rPr>
        <w:t xml:space="preserve"> : « تُعْطِيهَا </w:t>
      </w:r>
      <w:r w:rsidRPr="00A91B96">
        <w:rPr>
          <w:rStyle w:val="libFootnotenumChar"/>
          <w:rtl/>
        </w:rPr>
        <w:t>(11)</w:t>
      </w:r>
      <w:r w:rsidRPr="00020424">
        <w:rPr>
          <w:rtl/>
          <w:lang w:bidi="fa-IR"/>
        </w:rPr>
        <w:t xml:space="preserve"> الْمُسْلِمِينَ ، فَإِنْ لَمْ تَجِدْ </w:t>
      </w:r>
      <w:r w:rsidRPr="00A91B96">
        <w:rPr>
          <w:rStyle w:val="libFootnotenumChar"/>
          <w:rtl/>
        </w:rPr>
        <w:t>(12)</w:t>
      </w:r>
      <w:r w:rsidRPr="00020424">
        <w:rPr>
          <w:rtl/>
          <w:lang w:bidi="fa-IR"/>
        </w:rPr>
        <w:t xml:space="preserve"> مُسْلِماً </w:t>
      </w:r>
      <w:r w:rsidRPr="00A91B96">
        <w:rPr>
          <w:rStyle w:val="libFootnotenumChar"/>
          <w:rtl/>
        </w:rPr>
        <w:t>(13)</w:t>
      </w:r>
      <w:r w:rsidRPr="00020424">
        <w:rPr>
          <w:rtl/>
          <w:lang w:bidi="fa-IR"/>
        </w:rPr>
        <w:t xml:space="preserve"> ، فَمُسْتَضْعَفاً </w:t>
      </w:r>
      <w:r w:rsidRPr="00A91B96">
        <w:rPr>
          <w:rStyle w:val="libFootnotenumChar"/>
          <w:rtl/>
        </w:rPr>
        <w:t>(14)</w:t>
      </w:r>
      <w:r w:rsidRPr="00020424">
        <w:rPr>
          <w:rtl/>
          <w:lang w:bidi="fa-IR"/>
        </w:rPr>
        <w:t xml:space="preserve"> ، وَأَعْطِ ذَا قَرَابَتِكَ </w:t>
      </w:r>
      <w:r w:rsidRPr="00A91B96">
        <w:rPr>
          <w:rStyle w:val="libFootnotenumChar"/>
          <w:rtl/>
        </w:rPr>
        <w:t>(15)</w:t>
      </w:r>
      <w:r w:rsidRPr="00020424">
        <w:rPr>
          <w:rtl/>
          <w:lang w:bidi="fa-IR"/>
        </w:rPr>
        <w:t xml:space="preserve"> مِنْهَا إِنْ شِئْتَ</w:t>
      </w:r>
      <w:r>
        <w:rPr>
          <w:rtl/>
          <w:lang w:bidi="fa-IR"/>
        </w:rPr>
        <w:t xml:space="preserve"> ».</w:t>
      </w:r>
      <w:r w:rsidRPr="00020424">
        <w:rPr>
          <w:rtl/>
          <w:lang w:bidi="fa-IR"/>
        </w:rPr>
        <w:t xml:space="preserve"> </w:t>
      </w:r>
      <w:r w:rsidRPr="00A91B96">
        <w:rPr>
          <w:rStyle w:val="libFootnotenumChar"/>
          <w:rtl/>
        </w:rPr>
        <w:t>(16)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230B6" w:rsidTr="001230B6">
        <w:tc>
          <w:tcPr>
            <w:tcW w:w="4006" w:type="dxa"/>
          </w:tcPr>
          <w:p w:rsidR="001230B6" w:rsidRDefault="001230B6" w:rsidP="00992664">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 « بأن</w:t>
            </w:r>
            <w:r>
              <w:rPr>
                <w:rtl/>
              </w:rPr>
              <w:t xml:space="preserve"> ».</w:t>
            </w:r>
          </w:p>
        </w:tc>
        <w:tc>
          <w:tcPr>
            <w:tcW w:w="4006" w:type="dxa"/>
          </w:tcPr>
          <w:p w:rsidR="001230B6" w:rsidRDefault="001230B6" w:rsidP="00992664">
            <w:pPr>
              <w:pStyle w:val="libFootnote0"/>
              <w:rPr>
                <w:rtl/>
              </w:rPr>
            </w:pPr>
            <w:r>
              <w:rPr>
                <w:rtl/>
              </w:rPr>
              <w:t>(2). في «ظ ، بث ، بح ، بس ،بف</w:t>
            </w:r>
            <w:r w:rsidRPr="00020424">
              <w:rPr>
                <w:rtl/>
              </w:rPr>
              <w:t>» :</w:t>
            </w:r>
            <w:r>
              <w:rPr>
                <w:rtl/>
              </w:rPr>
              <w:t xml:space="preserve"> - </w:t>
            </w:r>
            <w:r w:rsidRPr="00020424">
              <w:rPr>
                <w:rtl/>
              </w:rPr>
              <w:t>« الرجل</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 ى » </w:t>
      </w:r>
      <w:r w:rsidR="00992664" w:rsidRPr="00515444">
        <w:rPr>
          <w:rStyle w:val="libFootnoteBoldChar"/>
          <w:rtl/>
        </w:rPr>
        <w:t>والوافي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الرأسين</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الرأسين » بدل « الرجل عن رأسين</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والثلاثة والأربعة</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90 ، ح 263 ، معلّقاً عن الكليني. </w:t>
      </w:r>
      <w:r w:rsidR="00992664" w:rsidRPr="0012008A">
        <w:rPr>
          <w:rStyle w:val="libFootnoteBoldChar"/>
          <w:rtl/>
        </w:rPr>
        <w:t>الفقيه</w:t>
      </w:r>
      <w:r w:rsidR="00992664" w:rsidRPr="00020424">
        <w:rPr>
          <w:rtl/>
        </w:rPr>
        <w:t xml:space="preserve"> ، ج 2 ، ص 178 ، ح 2068 ، معلّقاً عن إسحاق بن عمّار </w:t>
      </w:r>
      <w:r w:rsidR="00DB4CC6">
        <w:rPr>
          <w:rFonts w:hint="cs"/>
          <w:rtl/>
        </w:rPr>
        <w:t>.</w:t>
      </w:r>
      <w:r w:rsidR="00992664" w:rsidRPr="0012008A">
        <w:rPr>
          <w:rStyle w:val="libFootnoteBoldChar"/>
          <w:rtl/>
        </w:rPr>
        <w:t>الوافي</w:t>
      </w:r>
      <w:r w:rsidR="00992664" w:rsidRPr="00020424">
        <w:rPr>
          <w:rtl/>
        </w:rPr>
        <w:t xml:space="preserve"> ، ج 10 ، ص 271 ، ح 9575 ؛ </w:t>
      </w:r>
      <w:r w:rsidR="00992664" w:rsidRPr="0012008A">
        <w:rPr>
          <w:rStyle w:val="libFootnoteBoldChar"/>
          <w:rtl/>
        </w:rPr>
        <w:t>الوسائل</w:t>
      </w:r>
      <w:r w:rsidR="00992664" w:rsidRPr="00020424">
        <w:rPr>
          <w:rtl/>
        </w:rPr>
        <w:t xml:space="preserve"> ، ج 9 ، ص 362 ، ذيل ح 12243.</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السند معلّق على سابقه. ويروي عن أحمد بن محمّد ، عدّة من أصحابنا.</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بث ، بخ ، بر ، بس » وحاشية « جر » : « يزيد</w:t>
      </w:r>
      <w:r w:rsidR="00992664">
        <w:rPr>
          <w:rtl/>
        </w:rPr>
        <w:t xml:space="preserve"> ».</w:t>
      </w:r>
      <w:r w:rsidR="00992664" w:rsidRPr="00020424">
        <w:rPr>
          <w:rtl/>
        </w:rPr>
        <w:t xml:space="preserve"> وفي « جر » : « زيد</w:t>
      </w:r>
      <w:r w:rsidR="00992664">
        <w:rPr>
          <w:rtl/>
        </w:rPr>
        <w:t xml:space="preserve"> ».</w:t>
      </w:r>
      <w:r w:rsidR="00992664" w:rsidRPr="00020424">
        <w:rPr>
          <w:rtl/>
        </w:rPr>
        <w:t xml:space="preserve"> والقاسم هذا ، هو القاسم بن بريد العجلي ، روى كتابه فضالة بن أيّوب. راجع : </w:t>
      </w:r>
      <w:r w:rsidR="00992664" w:rsidRPr="00DE76B9">
        <w:rPr>
          <w:rStyle w:val="libFootnoteBoldChar"/>
          <w:rtl/>
        </w:rPr>
        <w:t>رجال النجاشي</w:t>
      </w:r>
      <w:r w:rsidR="00992664" w:rsidRPr="00020424">
        <w:rPr>
          <w:rtl/>
        </w:rPr>
        <w:t xml:space="preserve"> ، ص 313 ، الرقم 857 ؛ </w:t>
      </w:r>
      <w:r w:rsidR="00992664" w:rsidRPr="00DE76B9">
        <w:rPr>
          <w:rStyle w:val="libFootnoteBoldChar"/>
          <w:rtl/>
        </w:rPr>
        <w:t>معجم رجال الحديث</w:t>
      </w:r>
      <w:r w:rsidR="00992664" w:rsidRPr="00020424">
        <w:rPr>
          <w:rtl/>
        </w:rPr>
        <w:t xml:space="preserve"> ، ج 14 ، ص 347</w:t>
      </w:r>
      <w:r w:rsidR="00992664">
        <w:rPr>
          <w:rtl/>
        </w:rPr>
        <w:t xml:space="preserve"> </w:t>
      </w:r>
      <w:r w:rsidR="009B673F">
        <w:rPr>
          <w:rtl/>
        </w:rPr>
        <w:t>-</w:t>
      </w:r>
      <w:r w:rsidR="00992664">
        <w:rPr>
          <w:rtl/>
        </w:rPr>
        <w:t xml:space="preserve"> </w:t>
      </w:r>
      <w:r w:rsidR="00992664" w:rsidRPr="00020424">
        <w:rPr>
          <w:rtl/>
        </w:rPr>
        <w:t>348.</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حاشية « ى » : « أبا عبد الله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w:t>
      </w:r>
      <w:r w:rsidR="00992664" w:rsidRPr="006B5249">
        <w:rPr>
          <w:rtl/>
        </w:rPr>
        <w:t>والوافي والوسائل والتهذيب</w:t>
      </w:r>
      <w:r w:rsidR="00992664" w:rsidRPr="00020424">
        <w:rPr>
          <w:rtl/>
        </w:rPr>
        <w:t xml:space="preserve"> : « فقال</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في « ظ ، ى ، بح ، بر » : « يعطيها</w:t>
      </w:r>
      <w:r w:rsidR="00992664">
        <w:rPr>
          <w:rtl/>
        </w:rPr>
        <w:t xml:space="preserve"> ».</w:t>
      </w:r>
      <w:r w:rsidR="00992664" w:rsidRPr="00020424">
        <w:rPr>
          <w:rtl/>
        </w:rPr>
        <w:t xml:space="preserve"> وفي « بخ » : « تعطها</w:t>
      </w:r>
      <w:r w:rsidR="00992664">
        <w:rPr>
          <w:rtl/>
        </w:rPr>
        <w:t xml:space="preserve"> ».</w:t>
      </w:r>
      <w:r w:rsidR="00992664" w:rsidRPr="00020424">
        <w:rPr>
          <w:rtl/>
        </w:rPr>
        <w:t xml:space="preserve"> وفي « بف » : « يعطها</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في « بح ، بر » : « لم يجد</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أراد </w:t>
      </w:r>
      <w:r w:rsidR="00992664" w:rsidRPr="00D64ADA">
        <w:rPr>
          <w:rStyle w:val="libFootnoteAlaemChar"/>
          <w:rtl/>
        </w:rPr>
        <w:t>عليه‌السلام</w:t>
      </w:r>
      <w:r w:rsidR="00992664" w:rsidRPr="00020424">
        <w:rPr>
          <w:rtl/>
        </w:rPr>
        <w:t xml:space="preserve"> بالمسلم العارفَ ، كأنّ غيره ليس بمسلم</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جميع النسخ التي قوبلت</w:t>
      </w:r>
      <w:r w:rsidR="00992664">
        <w:rPr>
          <w:rtl/>
        </w:rPr>
        <w:t xml:space="preserve"> </w:t>
      </w:r>
      <w:r w:rsidR="009B673F">
        <w:rPr>
          <w:rtl/>
        </w:rPr>
        <w:t>-</w:t>
      </w:r>
      <w:r w:rsidR="00992664">
        <w:rPr>
          <w:rtl/>
        </w:rPr>
        <w:t xml:space="preserve"> </w:t>
      </w:r>
      <w:r w:rsidR="007712EB">
        <w:rPr>
          <w:rtl/>
        </w:rPr>
        <w:t>إل</w:t>
      </w:r>
      <w:r w:rsidR="007712EB">
        <w:rPr>
          <w:rFonts w:hint="cs"/>
          <w:rtl/>
        </w:rPr>
        <w:t>ّ</w:t>
      </w:r>
      <w:r w:rsidR="007712EB">
        <w:rPr>
          <w:rtl/>
        </w:rPr>
        <w:t>ا</w:t>
      </w:r>
      <w:r w:rsidR="00992664" w:rsidRPr="00020424">
        <w:rPr>
          <w:rtl/>
        </w:rPr>
        <w:t xml:space="preserve"> « بس »</w:t>
      </w:r>
      <w:r w:rsidR="00992664">
        <w:rPr>
          <w:rtl/>
        </w:rPr>
        <w:t xml:space="preserve"> </w:t>
      </w:r>
      <w:r w:rsidR="009B673F">
        <w:rPr>
          <w:rtl/>
        </w:rPr>
        <w:t>-</w:t>
      </w:r>
      <w:r w:rsidR="00992664">
        <w:rPr>
          <w:rtl/>
        </w:rPr>
        <w:t xml:space="preserve"> </w:t>
      </w:r>
      <w:r w:rsidR="00992664" w:rsidRPr="00020424">
        <w:rPr>
          <w:rtl/>
        </w:rPr>
        <w:t>: « فمستضعف</w:t>
      </w:r>
      <w:r w:rsidR="00992664">
        <w:rPr>
          <w:rtl/>
        </w:rPr>
        <w:t xml:space="preserve"> ».</w:t>
      </w:r>
      <w:r w:rsidR="00992664" w:rsidRPr="00020424">
        <w:rPr>
          <w:rtl/>
        </w:rPr>
        <w:t xml:space="preserve"> وما أثبتناه مطابق للمطبوع </w:t>
      </w:r>
      <w:r w:rsidR="00992664" w:rsidRPr="00EE4DAF">
        <w:rPr>
          <w:rtl/>
        </w:rPr>
        <w:t>والتهذيب والوافي والوسائل.</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وأعط ذا قرابتك ، محمول على غير من يجب نفقته</w:t>
      </w:r>
      <w:r w:rsidR="00992664">
        <w:rPr>
          <w:rtl/>
        </w:rPr>
        <w:t xml:space="preserve"> ».</w:t>
      </w:r>
    </w:p>
    <w:p w:rsidR="00992664" w:rsidRPr="00020424" w:rsidRDefault="00795177" w:rsidP="00992664">
      <w:pPr>
        <w:pStyle w:val="libFootnote0"/>
        <w:rPr>
          <w:rtl/>
          <w:lang w:bidi="fa-IR"/>
        </w:rPr>
      </w:pPr>
      <w:r>
        <w:rPr>
          <w:rtl/>
        </w:rPr>
        <w:t>(16).</w:t>
      </w:r>
      <w:r w:rsidR="0014403D">
        <w:rPr>
          <w:rtl/>
        </w:rPr>
        <w:t xml:space="preserve"> </w:t>
      </w:r>
      <w:r w:rsidR="00992664" w:rsidRPr="0012008A">
        <w:rPr>
          <w:rStyle w:val="libFootnoteBoldChar"/>
          <w:rtl/>
        </w:rPr>
        <w:t>التهذيب</w:t>
      </w:r>
      <w:r w:rsidR="00992664" w:rsidRPr="00020424">
        <w:rPr>
          <w:rtl/>
        </w:rPr>
        <w:t xml:space="preserve"> ، ج 4 ، ص 87 ، ح 255 ، معلّقاً عن الكليني </w:t>
      </w:r>
      <w:r w:rsidR="00EE4DAF">
        <w:rPr>
          <w:rFonts w:hint="cs"/>
          <w:rtl/>
        </w:rPr>
        <w:t>.</w:t>
      </w:r>
      <w:r w:rsidR="00992664" w:rsidRPr="0012008A">
        <w:rPr>
          <w:rStyle w:val="libFootnoteBoldChar"/>
          <w:rtl/>
        </w:rPr>
        <w:t>الوافي</w:t>
      </w:r>
      <w:r w:rsidR="00992664" w:rsidRPr="00020424">
        <w:rPr>
          <w:rtl/>
        </w:rPr>
        <w:t xml:space="preserve"> ، ج 10 ، ص 267 ، ح 9564 ؛ </w:t>
      </w:r>
      <w:r w:rsidR="00992664" w:rsidRPr="0012008A">
        <w:rPr>
          <w:rStyle w:val="libFootnoteBoldChar"/>
          <w:rtl/>
        </w:rPr>
        <w:t>الوسائل</w:t>
      </w:r>
      <w:r w:rsidR="00992664" w:rsidRPr="00020424">
        <w:rPr>
          <w:rtl/>
        </w:rPr>
        <w:t xml:space="preserve"> ، ج 9 ، ص 359 ، ح 12234.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AC5D15">
        <w:rPr>
          <w:rtl/>
        </w:rPr>
        <w:t>6669</w:t>
      </w:r>
      <w:r w:rsidRPr="001155DE">
        <w:rPr>
          <w:rStyle w:val="libBold2Char"/>
          <w:rtl/>
        </w:rPr>
        <w:t xml:space="preserve"> / 19.</w:t>
      </w:r>
      <w:r w:rsidRPr="00020424">
        <w:rPr>
          <w:rtl/>
          <w:lang w:bidi="fa-IR"/>
        </w:rPr>
        <w:t xml:space="preserve"> عَلِيُّ بْنُ إِبْرَاهِيمَ </w:t>
      </w:r>
      <w:r w:rsidRPr="00A91B96">
        <w:rPr>
          <w:rStyle w:val="libFootnotenumChar"/>
          <w:rtl/>
        </w:rPr>
        <w:t>(1)</w:t>
      </w:r>
      <w:r w:rsidRPr="00020424">
        <w:rPr>
          <w:rtl/>
          <w:lang w:bidi="fa-IR"/>
        </w:rPr>
        <w:t xml:space="preserve"> ، عَنْ مُحَمَّدِ بْنِ عِيسى ، عَنْ يُونُسَ ، عَنْ إِسْحَاقَ بْنِ عَمَّارٍ :</w:t>
      </w:r>
    </w:p>
    <w:p w:rsidR="00992664" w:rsidRPr="00020424" w:rsidRDefault="00992664" w:rsidP="00992664">
      <w:pPr>
        <w:pStyle w:val="libNormal"/>
        <w:rPr>
          <w:rtl/>
          <w:lang w:bidi="fa-IR"/>
        </w:rPr>
      </w:pPr>
      <w:r w:rsidRPr="00020424">
        <w:rPr>
          <w:rtl/>
          <w:lang w:bidi="fa-IR"/>
        </w:rPr>
        <w:t xml:space="preserve">عَنْ أَبِي إِبْرَاهِيمَ </w:t>
      </w:r>
      <w:r w:rsidRPr="00005A81">
        <w:rPr>
          <w:rStyle w:val="libAlaemChar"/>
          <w:rtl/>
        </w:rPr>
        <w:t>عليه‌السلام</w:t>
      </w:r>
      <w:r w:rsidRPr="00020424">
        <w:rPr>
          <w:rtl/>
          <w:lang w:bidi="fa-IR"/>
        </w:rPr>
        <w:t xml:space="preserve"> ، قَالَ : سَأَلْتُهُ عَنْ صَدَقَةِ الْفِطْرَةِ </w:t>
      </w:r>
      <w:r w:rsidRPr="00A91B96">
        <w:rPr>
          <w:rStyle w:val="libFootnotenumChar"/>
          <w:rtl/>
        </w:rPr>
        <w:t>(2)</w:t>
      </w:r>
      <w:r w:rsidRPr="00020424">
        <w:rPr>
          <w:rtl/>
          <w:lang w:bidi="fa-IR"/>
        </w:rPr>
        <w:t xml:space="preserve"> : أُعْطِيهَا غَيْرَ أَهْلِ وَلَايَتِي مِنْ فُقَرَاءِ جِيرَانِي</w:t>
      </w:r>
      <w:r>
        <w:rPr>
          <w:rtl/>
          <w:lang w:bidi="fa-IR"/>
        </w:rPr>
        <w:t>؟</w:t>
      </w:r>
    </w:p>
    <w:p w:rsidR="00992664" w:rsidRPr="00020424" w:rsidRDefault="00992664" w:rsidP="00992664">
      <w:pPr>
        <w:pStyle w:val="libNormal"/>
        <w:rPr>
          <w:rtl/>
          <w:lang w:bidi="fa-IR"/>
        </w:rPr>
      </w:pPr>
      <w:r w:rsidRPr="00020424">
        <w:rPr>
          <w:rtl/>
          <w:lang w:bidi="fa-IR"/>
        </w:rPr>
        <w:t xml:space="preserve">قَالَ : « نَعَمْ ، الْجِيرَانُ أَحَقُّ بِهَا ؛ لِمَكَانِ الشُّهْرَةِ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AC5D15">
        <w:rPr>
          <w:rtl/>
        </w:rPr>
        <w:t>6670</w:t>
      </w:r>
      <w:r w:rsidRPr="001155DE">
        <w:rPr>
          <w:rStyle w:val="libBold2Char"/>
          <w:rtl/>
        </w:rPr>
        <w:t xml:space="preserve"> / 20.</w:t>
      </w:r>
      <w:r w:rsidRPr="00020424">
        <w:rPr>
          <w:rtl/>
          <w:lang w:bidi="fa-IR"/>
        </w:rPr>
        <w:t xml:space="preserve"> مُحَمَّدُ بْنُ يَحْيى ، عَنْ مُحَمَّدِ بْنِ أَحْمَدَ </w:t>
      </w:r>
      <w:r w:rsidRPr="00A91B96">
        <w:rPr>
          <w:rStyle w:val="libFootnotenumChar"/>
          <w:rtl/>
        </w:rPr>
        <w:t>(5)</w:t>
      </w:r>
      <w:r w:rsidRPr="00020424">
        <w:rPr>
          <w:rtl/>
          <w:lang w:bidi="fa-IR"/>
        </w:rPr>
        <w:t xml:space="preserve"> رَفَعَهُ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يُؤَدِّي الرَّجُلُ زَكَاةَ الْفِطْرَةِ </w:t>
      </w:r>
      <w:r w:rsidRPr="00A91B96">
        <w:rPr>
          <w:rStyle w:val="libFootnotenumChar"/>
          <w:rtl/>
        </w:rPr>
        <w:t>(6)</w:t>
      </w:r>
      <w:r w:rsidRPr="00020424">
        <w:rPr>
          <w:rtl/>
          <w:lang w:bidi="fa-IR"/>
        </w:rPr>
        <w:t xml:space="preserve"> عَنْ مُكَاتَبِهِ ، وَرَقِيقِ امْرَأَتِهِ ، وَعَبْدِهِ النَّصْرَانِيِّ وَالْمَجُوسِيِّ ، وَمَا أَغْلَقَ عَلَيْهِ بَابَهُ</w:t>
      </w:r>
      <w:r>
        <w:rPr>
          <w:rtl/>
          <w:lang w:bidi="fa-IR"/>
        </w:rPr>
        <w:t xml:space="preserve"> ».</w:t>
      </w:r>
      <w:r w:rsidRPr="00020424">
        <w:rPr>
          <w:rtl/>
          <w:lang w:bidi="fa-IR"/>
        </w:rPr>
        <w:t xml:space="preserve"> </w:t>
      </w:r>
      <w:r w:rsidRPr="00A91B96">
        <w:rPr>
          <w:rStyle w:val="libFootnotenumChar"/>
          <w:rtl/>
        </w:rPr>
        <w:t>(7)</w:t>
      </w:r>
      <w:r w:rsidRPr="00020424">
        <w:rPr>
          <w:rtl/>
          <w:lang w:bidi="fa-IR"/>
        </w:rPr>
        <w:t xml:space="preserve"> </w:t>
      </w:r>
      <w:r w:rsidRPr="00020424">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 عن أبيه » ، وهو سهو كما تقدّم غير مرّة. لا حظ ما قدّمناه ذيل ح 187.</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ى ، بث ، بس » : « الفطر</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بر ، بف » « الشبهة</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حملهما</w:t>
      </w:r>
      <w:r w:rsidR="00992664">
        <w:rPr>
          <w:rtl/>
        </w:rPr>
        <w:t xml:space="preserve"> </w:t>
      </w:r>
      <w:r w:rsidR="009B673F">
        <w:rPr>
          <w:rtl/>
        </w:rPr>
        <w:t>-</w:t>
      </w:r>
      <w:r w:rsidR="00992664">
        <w:rPr>
          <w:rtl/>
        </w:rPr>
        <w:t xml:space="preserve"> </w:t>
      </w:r>
      <w:r w:rsidR="00992664" w:rsidRPr="00020424">
        <w:rPr>
          <w:rtl/>
        </w:rPr>
        <w:t xml:space="preserve">أي هذا الخبر والذي قبله في </w:t>
      </w:r>
      <w:r w:rsidR="00992664" w:rsidRPr="0012008A">
        <w:rPr>
          <w:rStyle w:val="libFootnoteBoldChar"/>
          <w:rtl/>
        </w:rPr>
        <w:t>التهذيب</w:t>
      </w:r>
      <w:r w:rsidR="00992664">
        <w:rPr>
          <w:rtl/>
        </w:rPr>
        <w:t xml:space="preserve"> </w:t>
      </w:r>
      <w:r w:rsidR="009B673F">
        <w:rPr>
          <w:rtl/>
        </w:rPr>
        <w:t>-</w:t>
      </w:r>
      <w:r w:rsidR="00992664">
        <w:rPr>
          <w:rtl/>
        </w:rPr>
        <w:t xml:space="preserve"> </w:t>
      </w:r>
      <w:r w:rsidR="00992664" w:rsidRPr="00020424">
        <w:rPr>
          <w:rtl/>
        </w:rPr>
        <w:t xml:space="preserve">في </w:t>
      </w:r>
      <w:r w:rsidR="00992664" w:rsidRPr="0012008A">
        <w:rPr>
          <w:rStyle w:val="libFootnoteBoldChar"/>
          <w:rtl/>
        </w:rPr>
        <w:t>التهذيب</w:t>
      </w:r>
      <w:r w:rsidR="00992664" w:rsidRPr="00020424">
        <w:rPr>
          <w:rtl/>
        </w:rPr>
        <w:t>ين على غير الناصب منهم ، أو على وجه التقيّة ، كما يشعر به قوله : لمكان الشهرة ؛ فإنّ معناه أنّه إن لم يعط جيرانه شهروه بالرفض</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لمكان الشهرة ، أي تقيّة ؛ لئلاّ يشتهر بالتشيّع ، قال سيّد المحقّقين في المدارك عند قول المحقّق : ومع عدم المؤمن يجوز صرف الفطرة خاصّة إلى المستضعفين : يمكن حمل الأخبار التي تدلّ على الجواز على التقيّة ، كما يدلّ عليه خبر إسحاق بن عمّار : الجيران أحقّ بها لمكان الشهرة</w:t>
      </w:r>
      <w:r w:rsidR="00992664">
        <w:rPr>
          <w:rtl/>
        </w:rPr>
        <w:t xml:space="preserve"> ».</w:t>
      </w:r>
      <w:r w:rsidR="00992664" w:rsidRPr="00020424">
        <w:rPr>
          <w:rtl/>
        </w:rPr>
        <w:t xml:space="preserve"> وراجع أيضاً : </w:t>
      </w:r>
      <w:r w:rsidR="00992664" w:rsidRPr="00E57D58">
        <w:rPr>
          <w:rStyle w:val="libFootnoteBoldChar"/>
          <w:rtl/>
        </w:rPr>
        <w:t>مدارك الأحكام</w:t>
      </w:r>
      <w:r w:rsidR="00992664" w:rsidRPr="00020424">
        <w:rPr>
          <w:rtl/>
        </w:rPr>
        <w:t xml:space="preserve"> ، ج 5 ، ص 240.</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88 ، ح 259 ؛ </w:t>
      </w:r>
      <w:r w:rsidR="00992664" w:rsidRPr="00FD6221">
        <w:rPr>
          <w:rStyle w:val="libFootnoteBoldChar"/>
          <w:rtl/>
        </w:rPr>
        <w:t>والاستبصار</w:t>
      </w:r>
      <w:r w:rsidR="00992664" w:rsidRPr="00020424">
        <w:rPr>
          <w:rtl/>
        </w:rPr>
        <w:t xml:space="preserve"> ، ج 2 ، ص 51 ، ح 172 ، معلّقاً عن الكليني. </w:t>
      </w:r>
      <w:r w:rsidR="00992664" w:rsidRPr="00DE76B9">
        <w:rPr>
          <w:rStyle w:val="libFootnoteBoldChar"/>
          <w:rtl/>
        </w:rPr>
        <w:t>علل الشرائع</w:t>
      </w:r>
      <w:r w:rsidR="00992664" w:rsidRPr="00020424">
        <w:rPr>
          <w:rtl/>
        </w:rPr>
        <w:t xml:space="preserve"> ، ص 391 ، ح 1 ، عن أبيه ، عن عليّ بن إبراهيم ، عن محمّد بن عيسى ، عن يونس بن عبدالرحمن ، عن إسحاق بن عمّار. </w:t>
      </w:r>
      <w:r w:rsidR="00992664" w:rsidRPr="0012008A">
        <w:rPr>
          <w:rStyle w:val="libFootnoteBoldChar"/>
          <w:rtl/>
        </w:rPr>
        <w:t>الفقيه</w:t>
      </w:r>
      <w:r w:rsidR="00992664" w:rsidRPr="00020424">
        <w:rPr>
          <w:rtl/>
        </w:rPr>
        <w:t xml:space="preserve"> ، ج 2 ، ص 180 ، ح 2076 ، معلّقاً عن إسحاق بن عمّار ، عن أبي الحسن </w:t>
      </w:r>
      <w:r w:rsidR="00992664" w:rsidRPr="00D64ADA">
        <w:rPr>
          <w:rStyle w:val="libFootnoteAlaemChar"/>
          <w:rtl/>
        </w:rPr>
        <w:t>عليه‌السلام</w:t>
      </w:r>
      <w:r w:rsidR="00992664" w:rsidRPr="00020424">
        <w:rPr>
          <w:rtl/>
        </w:rPr>
        <w:t xml:space="preserve"> ؛ </w:t>
      </w:r>
      <w:r w:rsidR="00992664" w:rsidRPr="0012008A">
        <w:rPr>
          <w:rStyle w:val="libFootnoteBoldChar"/>
          <w:rtl/>
        </w:rPr>
        <w:t>التهذيب</w:t>
      </w:r>
      <w:r w:rsidR="00992664" w:rsidRPr="00020424">
        <w:rPr>
          <w:rtl/>
        </w:rPr>
        <w:t xml:space="preserve"> ، ج 4 ، ص 78 ، ح 224 ، بسنده عن إسحاق بن عمّار ، عن أبي الحسن </w:t>
      </w:r>
      <w:r w:rsidR="00992664" w:rsidRPr="00D64ADA">
        <w:rPr>
          <w:rStyle w:val="libFootnoteAlaemChar"/>
          <w:rtl/>
        </w:rPr>
        <w:t>عليه‌السلام</w:t>
      </w:r>
      <w:r w:rsidR="00992664" w:rsidRPr="00020424">
        <w:rPr>
          <w:rtl/>
        </w:rPr>
        <w:t xml:space="preserve"> ، وتمام الرواية فيهما : « سألت أبا الحسن </w:t>
      </w:r>
      <w:r w:rsidR="00992664" w:rsidRPr="00D64ADA">
        <w:rPr>
          <w:rStyle w:val="libFootnoteAlaemChar"/>
          <w:rtl/>
        </w:rPr>
        <w:t>عليه‌السلام</w:t>
      </w:r>
      <w:r w:rsidR="00992664" w:rsidRPr="00020424">
        <w:rPr>
          <w:rtl/>
        </w:rPr>
        <w:t xml:space="preserve"> عن الفطرة قال : الجيران أحقّ بها » مع زيادة في آخره. وفي </w:t>
      </w:r>
      <w:r w:rsidR="00992664" w:rsidRPr="0012008A">
        <w:rPr>
          <w:rStyle w:val="libFootnoteBoldChar"/>
          <w:rtl/>
        </w:rPr>
        <w:t>التهذيب</w:t>
      </w:r>
      <w:r w:rsidR="00992664" w:rsidRPr="00020424">
        <w:rPr>
          <w:rtl/>
        </w:rPr>
        <w:t xml:space="preserve"> ، ج 4 ، ص 89 ، ضمن ح 262 ؛ </w:t>
      </w:r>
      <w:r w:rsidR="00992664" w:rsidRPr="00FD6221">
        <w:rPr>
          <w:rStyle w:val="libFootnoteBoldChar"/>
          <w:rtl/>
        </w:rPr>
        <w:t>والاستبصار</w:t>
      </w:r>
      <w:r w:rsidR="00992664" w:rsidRPr="00020424">
        <w:rPr>
          <w:rtl/>
        </w:rPr>
        <w:t xml:space="preserve"> ، ج 2 ، ص 52 ، ضمن ح 175 ، بسندهما عن إسحاق بن المبارك ، عن أبي إبراهيم </w:t>
      </w:r>
      <w:r w:rsidR="00992664" w:rsidRPr="00D64ADA">
        <w:rPr>
          <w:rStyle w:val="libFootnoteAlaemChar"/>
          <w:rtl/>
        </w:rPr>
        <w:t>عليه‌السلام</w:t>
      </w:r>
      <w:r w:rsidR="00992664" w:rsidRPr="00020424">
        <w:rPr>
          <w:rtl/>
        </w:rPr>
        <w:t xml:space="preserve"> ، مع اختلاف يسير. وراجع : </w:t>
      </w:r>
      <w:r w:rsidR="00992664" w:rsidRPr="0012008A">
        <w:rPr>
          <w:rStyle w:val="libFootnoteBoldChar"/>
          <w:rtl/>
        </w:rPr>
        <w:t>الفقيه</w:t>
      </w:r>
      <w:r w:rsidR="00992664" w:rsidRPr="00020424">
        <w:rPr>
          <w:rtl/>
        </w:rPr>
        <w:t xml:space="preserve"> ، ج 2 ، ص 180 ، ح 2077 </w:t>
      </w:r>
      <w:r w:rsidR="00E07F2E">
        <w:rPr>
          <w:rFonts w:hint="cs"/>
          <w:rtl/>
        </w:rPr>
        <w:t>.</w:t>
      </w:r>
      <w:r w:rsidR="00992664" w:rsidRPr="0012008A">
        <w:rPr>
          <w:rStyle w:val="libFootnoteBoldChar"/>
          <w:rtl/>
        </w:rPr>
        <w:t>الوافي</w:t>
      </w:r>
      <w:r w:rsidR="00992664" w:rsidRPr="00020424">
        <w:rPr>
          <w:rtl/>
        </w:rPr>
        <w:t xml:space="preserve"> ، ج 10 ، ص 269 ، ح 9569 ؛ </w:t>
      </w:r>
      <w:r w:rsidR="00992664" w:rsidRPr="0012008A">
        <w:rPr>
          <w:rStyle w:val="libFootnoteBoldChar"/>
          <w:rtl/>
        </w:rPr>
        <w:t>الوسائل</w:t>
      </w:r>
      <w:r w:rsidR="00992664" w:rsidRPr="00020424">
        <w:rPr>
          <w:rtl/>
        </w:rPr>
        <w:t xml:space="preserve"> ، ج 9 ، ص 360 ، ح 12235.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195 : + « بن يحيى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بح » </w:t>
      </w:r>
      <w:r w:rsidR="00992664" w:rsidRPr="00515444">
        <w:rPr>
          <w:rStyle w:val="libFootnoteBoldChar"/>
          <w:rtl/>
        </w:rPr>
        <w:t>والتهذيب</w:t>
      </w:r>
      <w:r w:rsidR="00992664" w:rsidRPr="00020424">
        <w:rPr>
          <w:rtl/>
        </w:rPr>
        <w:t xml:space="preserve"> ، ح 195 : « زكاته » بدل « زكاة الفطرة</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التهذيب</w:t>
      </w:r>
      <w:r w:rsidR="00992664" w:rsidRPr="00020424">
        <w:rPr>
          <w:rtl/>
        </w:rPr>
        <w:t xml:space="preserve"> ، ج 4 ، ص 72 ، ح 195 ، معلّقاً عن الكليني. </w:t>
      </w:r>
      <w:r w:rsidR="00992664" w:rsidRPr="00DE76B9">
        <w:rPr>
          <w:rStyle w:val="libFootnoteBoldChar"/>
          <w:rtl/>
        </w:rPr>
        <w:t>وفيه</w:t>
      </w:r>
      <w:r w:rsidR="00992664" w:rsidRPr="00020424">
        <w:rPr>
          <w:rtl/>
        </w:rPr>
        <w:t xml:space="preserve"> ، ص 331 ، ح 1039 ، بسند آخر </w:t>
      </w:r>
      <w:r w:rsidR="00747BED">
        <w:rPr>
          <w:rFonts w:hint="cs"/>
          <w:rtl/>
        </w:rPr>
        <w:t>.</w:t>
      </w:r>
      <w:r w:rsidR="00992664" w:rsidRPr="0012008A">
        <w:rPr>
          <w:rStyle w:val="libFootnoteBoldChar"/>
          <w:rtl/>
        </w:rPr>
        <w:t>الوافي</w:t>
      </w:r>
      <w:r w:rsidR="00992664" w:rsidRPr="00020424">
        <w:rPr>
          <w:rtl/>
        </w:rPr>
        <w:t xml:space="preserve"> ، ج 10 ، ص 234 ، ح 9492 ؛ </w:t>
      </w:r>
      <w:r w:rsidR="00992664" w:rsidRPr="0012008A">
        <w:rPr>
          <w:rStyle w:val="libFootnoteBoldChar"/>
          <w:rtl/>
        </w:rPr>
        <w:t>الوسائل</w:t>
      </w:r>
      <w:r w:rsidR="00992664" w:rsidRPr="00020424">
        <w:rPr>
          <w:rtl/>
        </w:rPr>
        <w:t xml:space="preserve"> ، ج 9 ، ص 330 ، ح 12147.</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CD5E9B">
        <w:rPr>
          <w:rtl/>
        </w:rPr>
        <w:t>6671</w:t>
      </w:r>
      <w:r w:rsidRPr="001155DE">
        <w:rPr>
          <w:rStyle w:val="libBold2Char"/>
          <w:rtl/>
        </w:rPr>
        <w:t xml:space="preserve"> / 21.</w:t>
      </w:r>
      <w:r w:rsidRPr="00020424">
        <w:rPr>
          <w:rtl/>
          <w:lang w:bidi="fa-IR"/>
        </w:rPr>
        <w:t xml:space="preserve"> أَبُو عَلِيٍّ الْأَشْعَرِيُّ ، عَنْ مُحَمَّدِ بْنِ عَبْدِ الْجَبَّارِ ، عَنْ صَفْوَانَ بْنِ يَحْيى </w:t>
      </w:r>
      <w:r w:rsidRPr="00A91B96">
        <w:rPr>
          <w:rStyle w:val="libFootnotenumChar"/>
          <w:rtl/>
        </w:rPr>
        <w:t>(1)</w:t>
      </w:r>
      <w:r w:rsidRPr="00020424">
        <w:rPr>
          <w:rtl/>
          <w:lang w:bidi="fa-IR"/>
        </w:rPr>
        <w:t xml:space="preserve"> ، عَنْ إِسْحَاقَ بْنِ عَمَّارٍ ، عَنْ مُعَتِّبٍ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قَالَ : « اذْهَبْ ، فَأَعْطِ </w:t>
      </w:r>
      <w:r w:rsidRPr="00A91B96">
        <w:rPr>
          <w:rStyle w:val="libFootnotenumChar"/>
          <w:rtl/>
        </w:rPr>
        <w:t>(2)</w:t>
      </w:r>
      <w:r w:rsidRPr="00020424">
        <w:rPr>
          <w:rtl/>
          <w:lang w:bidi="fa-IR"/>
        </w:rPr>
        <w:t xml:space="preserve"> عَنْ عِيَالِنَا الْفِطْرَةَ ، وَأَعْطِ عَنِ الرَّقِيقِ ، وَاجْمَعْهُمْ ، وَلَاتَدَعْ مِنْهُمْ أَحَداً ؛ فَإِنَّكَ إِنْ تَرَكْتَ مِنْهُمْ إِنْسَاناً </w:t>
      </w:r>
      <w:r w:rsidRPr="00A91B96">
        <w:rPr>
          <w:rStyle w:val="libFootnotenumChar"/>
          <w:rtl/>
        </w:rPr>
        <w:t>(3)</w:t>
      </w:r>
      <w:r w:rsidRPr="00020424">
        <w:rPr>
          <w:rtl/>
          <w:lang w:bidi="fa-IR"/>
        </w:rPr>
        <w:t xml:space="preserve"> ، تَخَوَّفْتُ عَلَيْهِ الْفَوْتَ</w:t>
      </w:r>
      <w:r>
        <w:rPr>
          <w:rtl/>
          <w:lang w:bidi="fa-IR"/>
        </w:rPr>
        <w:t>».</w:t>
      </w:r>
    </w:p>
    <w:p w:rsidR="00992664" w:rsidRPr="00020424" w:rsidRDefault="00992664" w:rsidP="00992664">
      <w:pPr>
        <w:pStyle w:val="libNormal"/>
        <w:rPr>
          <w:rtl/>
          <w:lang w:bidi="fa-IR"/>
        </w:rPr>
      </w:pPr>
      <w:r w:rsidRPr="00020424">
        <w:rPr>
          <w:rtl/>
          <w:lang w:bidi="fa-IR"/>
        </w:rPr>
        <w:t>قُلْتُ : وَمَا الْفَوْتُ</w:t>
      </w:r>
      <w:r>
        <w:rPr>
          <w:rtl/>
          <w:lang w:bidi="fa-IR"/>
        </w:rPr>
        <w:t>؟</w:t>
      </w:r>
      <w:r w:rsidRPr="00020424">
        <w:rPr>
          <w:rtl/>
          <w:lang w:bidi="fa-IR"/>
        </w:rPr>
        <w:t xml:space="preserve"> قَالَ : « الْمَوْتُ</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CD5E9B">
        <w:rPr>
          <w:rtl/>
        </w:rPr>
        <w:t>6672</w:t>
      </w:r>
      <w:r w:rsidRPr="001155DE">
        <w:rPr>
          <w:rStyle w:val="libBold2Char"/>
          <w:rtl/>
        </w:rPr>
        <w:t xml:space="preserve"> / 22.</w:t>
      </w:r>
      <w:r w:rsidRPr="00020424">
        <w:rPr>
          <w:rtl/>
          <w:lang w:bidi="fa-IR"/>
        </w:rPr>
        <w:t xml:space="preserve"> مُحَمَّدُ بْنُ يَحْيى ، عَنْ بُنَانِ بْنِ مُحَمَّدٍ ، عَنْ أَخِيهِ عَبْدِ الرَّحْمنِ </w:t>
      </w:r>
      <w:r w:rsidRPr="00A91B96">
        <w:rPr>
          <w:rStyle w:val="libFootnotenumChar"/>
          <w:rtl/>
        </w:rPr>
        <w:t>(5)</w:t>
      </w:r>
      <w:r w:rsidRPr="00020424">
        <w:rPr>
          <w:rtl/>
          <w:lang w:bidi="fa-IR"/>
        </w:rPr>
        <w:t xml:space="preserve"> بْنِ مُحَمَّدٍ ، عَنْ مُحَمَّدِ بْنِ إِسْمَاعِيلَ ، قَالَ :</w:t>
      </w:r>
    </w:p>
    <w:p w:rsidR="00992664" w:rsidRPr="00020424" w:rsidRDefault="00992664" w:rsidP="00992664">
      <w:pPr>
        <w:pStyle w:val="libNormal"/>
        <w:rPr>
          <w:rtl/>
          <w:lang w:bidi="fa-IR"/>
        </w:rPr>
      </w:pPr>
      <w:r w:rsidRPr="00020424">
        <w:rPr>
          <w:rtl/>
          <w:lang w:bidi="fa-IR"/>
        </w:rPr>
        <w:t xml:space="preserve">بَعَثْتُ إِلى أَبِي الْحَسَنِ الرِّضَا </w:t>
      </w:r>
      <w:r w:rsidRPr="00005A81">
        <w:rPr>
          <w:rStyle w:val="libAlaemChar"/>
          <w:rtl/>
        </w:rPr>
        <w:t>عليه‌السلام</w:t>
      </w:r>
      <w:r w:rsidRPr="00020424">
        <w:rPr>
          <w:rtl/>
          <w:lang w:bidi="fa-IR"/>
        </w:rPr>
        <w:t xml:space="preserve"> بِدَرَاهِمَ </w:t>
      </w:r>
      <w:r w:rsidRPr="00A91B96">
        <w:rPr>
          <w:rStyle w:val="libFootnotenumChar"/>
          <w:rtl/>
        </w:rPr>
        <w:t>(6)</w:t>
      </w:r>
      <w:r w:rsidRPr="00020424">
        <w:rPr>
          <w:rtl/>
          <w:lang w:bidi="fa-IR"/>
        </w:rPr>
        <w:t xml:space="preserve"> لِي وَلِغَيْرِي </w:t>
      </w:r>
      <w:r w:rsidRPr="00A91B96">
        <w:rPr>
          <w:rStyle w:val="libFootnotenumChar"/>
          <w:rtl/>
        </w:rPr>
        <w:t>(7)</w:t>
      </w:r>
      <w:r w:rsidRPr="00020424">
        <w:rPr>
          <w:rtl/>
          <w:lang w:bidi="fa-IR"/>
        </w:rPr>
        <w:t xml:space="preserve"> ، وَكَتَبْتُ إِلَيْهِ أُخْبِرُهُ أَنَّهَا مِنْ فِطْرَةِ الْعِيَالِ ، فَكَتَبَ بِخَطِّهِ : « قَبَضْتُ ، وَقَبِلْتُ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Normal"/>
        <w:rPr>
          <w:rtl/>
          <w:lang w:bidi="fa-IR"/>
        </w:rPr>
      </w:pPr>
      <w:r w:rsidRPr="00CD5E9B">
        <w:rPr>
          <w:rtl/>
        </w:rPr>
        <w:t>6673</w:t>
      </w:r>
      <w:r w:rsidRPr="001155DE">
        <w:rPr>
          <w:rStyle w:val="libBold2Char"/>
          <w:rtl/>
        </w:rPr>
        <w:t xml:space="preserve"> / 23.</w:t>
      </w:r>
      <w:r w:rsidRPr="00020424">
        <w:rPr>
          <w:rtl/>
          <w:lang w:bidi="fa-IR"/>
        </w:rPr>
        <w:t xml:space="preserve"> أَبُو الْعَبَّاسِ الْكُوفِيُّ ، عَنْ مُحَمَّدِ بْنِ عِيسى ، عَنْ أَبِي عَلِيِّ بْنِ رَاشِدٍ ، قَالَ :</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47BED" w:rsidTr="00747BED">
        <w:tc>
          <w:tcPr>
            <w:tcW w:w="4006" w:type="dxa"/>
          </w:tcPr>
          <w:p w:rsidR="00747BED" w:rsidRDefault="00747BED" w:rsidP="00992664">
            <w:pPr>
              <w:pStyle w:val="libFootnote0"/>
              <w:rPr>
                <w:rtl/>
              </w:rPr>
            </w:pPr>
            <w:r>
              <w:rPr>
                <w:rtl/>
              </w:rPr>
              <w:t xml:space="preserve">(1). </w:t>
            </w:r>
            <w:r w:rsidRPr="00020424">
              <w:rPr>
                <w:rtl/>
              </w:rPr>
              <w:t>في « بر ، بف ، جر » :</w:t>
            </w:r>
            <w:r>
              <w:rPr>
                <w:rtl/>
              </w:rPr>
              <w:t xml:space="preserve"> - </w:t>
            </w:r>
            <w:r w:rsidRPr="00020424">
              <w:rPr>
                <w:rtl/>
              </w:rPr>
              <w:t>« بن يحيى</w:t>
            </w:r>
            <w:r>
              <w:rPr>
                <w:rtl/>
              </w:rPr>
              <w:t xml:space="preserve"> ».</w:t>
            </w:r>
          </w:p>
        </w:tc>
        <w:tc>
          <w:tcPr>
            <w:tcW w:w="4006" w:type="dxa"/>
          </w:tcPr>
          <w:p w:rsidR="00747BED" w:rsidRDefault="00747BED" w:rsidP="00992664">
            <w:pPr>
              <w:pStyle w:val="libFootnote0"/>
              <w:rPr>
                <w:rtl/>
              </w:rPr>
            </w:pPr>
            <w:r>
              <w:rPr>
                <w:rtl/>
              </w:rPr>
              <w:t xml:space="preserve">(2). </w:t>
            </w:r>
            <w:r w:rsidRPr="00020424">
              <w:rPr>
                <w:rtl/>
              </w:rPr>
              <w:t>في « ظ » : « وأعط</w:t>
            </w:r>
            <w:r>
              <w:rPr>
                <w:rtl/>
              </w:rPr>
              <w:t xml:space="preserve"> ».</w:t>
            </w:r>
          </w:p>
        </w:tc>
      </w:tr>
    </w:tbl>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إنساناً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DE76B9">
        <w:rPr>
          <w:rStyle w:val="libFootnoteBoldChar"/>
          <w:rtl/>
        </w:rPr>
        <w:t>علل الشرائع</w:t>
      </w:r>
      <w:r w:rsidR="00992664" w:rsidRPr="00020424">
        <w:rPr>
          <w:rtl/>
        </w:rPr>
        <w:t xml:space="preserve"> ، ص 389 ، ح 1 ، بسنده عن محمّد بن عبدالجبّار. </w:t>
      </w:r>
      <w:r w:rsidR="00992664" w:rsidRPr="0012008A">
        <w:rPr>
          <w:rStyle w:val="libFootnoteBoldChar"/>
          <w:rtl/>
        </w:rPr>
        <w:t>الفقيه</w:t>
      </w:r>
      <w:r w:rsidR="00992664" w:rsidRPr="00020424">
        <w:rPr>
          <w:rtl/>
        </w:rPr>
        <w:t xml:space="preserve"> ، ج 2 ، ص 181 ، ح 2078 ، معلّقاً عن إسحاق بن عمّار </w:t>
      </w:r>
      <w:r w:rsidR="002D334E">
        <w:rPr>
          <w:rFonts w:hint="cs"/>
          <w:rtl/>
        </w:rPr>
        <w:t>.</w:t>
      </w:r>
      <w:r w:rsidR="00992664" w:rsidRPr="0012008A">
        <w:rPr>
          <w:rStyle w:val="libFootnoteBoldChar"/>
          <w:rtl/>
        </w:rPr>
        <w:t>الوافي</w:t>
      </w:r>
      <w:r w:rsidR="00992664" w:rsidRPr="00020424">
        <w:rPr>
          <w:rtl/>
        </w:rPr>
        <w:t xml:space="preserve"> ، ج 10 ، ص 234 ، ح 9494 ؛ </w:t>
      </w:r>
      <w:r w:rsidR="00992664" w:rsidRPr="0012008A">
        <w:rPr>
          <w:rStyle w:val="libFootnoteBoldChar"/>
          <w:rtl/>
        </w:rPr>
        <w:t>الوسائل</w:t>
      </w:r>
      <w:r w:rsidR="00992664" w:rsidRPr="00020424">
        <w:rPr>
          <w:rtl/>
        </w:rPr>
        <w:t xml:space="preserve"> ، ج 9 ، ص 328 ، ذيل ح 12143 ؛ </w:t>
      </w:r>
      <w:r w:rsidR="00992664" w:rsidRPr="0012008A">
        <w:rPr>
          <w:rStyle w:val="libFootnoteBoldChar"/>
          <w:rtl/>
        </w:rPr>
        <w:t>البحار</w:t>
      </w:r>
      <w:r w:rsidR="00992664" w:rsidRPr="00020424">
        <w:rPr>
          <w:rtl/>
        </w:rPr>
        <w:t xml:space="preserve"> ، ج 47 ، ص 54 ، ح 90.</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266 : « عبد الله</w:t>
      </w:r>
      <w:r w:rsidR="00992664">
        <w:rPr>
          <w:rtl/>
        </w:rPr>
        <w:t xml:space="preserve"> ».</w:t>
      </w:r>
      <w:r w:rsidR="00992664" w:rsidRPr="00020424">
        <w:rPr>
          <w:rtl/>
        </w:rPr>
        <w:t xml:space="preserve"> وهو سهو ؛ فإنّ عبد الله بن محمّد هو بُنان نفسه. راجع : رجال الكشّي ، ص 512 ، الرقم 989.</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ح 1640 </w:t>
      </w:r>
      <w:r w:rsidR="00992664" w:rsidRPr="00FD6221">
        <w:rPr>
          <w:rStyle w:val="libFootnoteBoldChar"/>
          <w:rtl/>
        </w:rPr>
        <w:t>والاستبصار</w:t>
      </w:r>
      <w:r w:rsidR="00992664" w:rsidRPr="00020424">
        <w:rPr>
          <w:rtl/>
        </w:rPr>
        <w:t xml:space="preserve"> : « بدنانير</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ح 162 : « دنانير</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بر ، بف » : « وغيري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قبضت وقبلت ، أي من قبل مستحقّيه ، لا لنفسه </w:t>
      </w:r>
      <w:r w:rsidR="00992664" w:rsidRPr="00D64ADA">
        <w:rPr>
          <w:rStyle w:val="libFootnoteAlaemChar"/>
          <w:rtl/>
        </w:rPr>
        <w:t>عليه‌السلام</w:t>
      </w:r>
      <w:r w:rsidR="00992664" w:rsidRPr="00020424">
        <w:rPr>
          <w:rtl/>
        </w:rPr>
        <w:t xml:space="preserve"> ؛ فإنّها محرّمة عليه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91 ، ح 266 ، معلّقاً عن الكليني. وفي </w:t>
      </w:r>
      <w:r w:rsidR="00992664" w:rsidRPr="0012008A">
        <w:rPr>
          <w:rStyle w:val="libFootnoteBoldChar"/>
          <w:rtl/>
        </w:rPr>
        <w:t>الفقيه</w:t>
      </w:r>
      <w:r w:rsidR="00992664" w:rsidRPr="00020424">
        <w:rPr>
          <w:rtl/>
        </w:rPr>
        <w:t xml:space="preserve"> ، ج 2 ، ص 38 ، ح 1640 ؛ وص 183 ، ح 2083 ، معلّقاً عن محمّد بن إسماعيل بن بزيع. وفي </w:t>
      </w:r>
      <w:r w:rsidR="00992664" w:rsidRPr="0012008A">
        <w:rPr>
          <w:rStyle w:val="libFootnoteBoldChar"/>
          <w:rtl/>
        </w:rPr>
        <w:t>التهذيب</w:t>
      </w:r>
      <w:r w:rsidR="00992664" w:rsidRPr="00020424">
        <w:rPr>
          <w:rtl/>
        </w:rPr>
        <w:t xml:space="preserve"> ، ج 4 ، ص 60 ، ح 162 ؛ </w:t>
      </w:r>
      <w:r w:rsidR="00992664" w:rsidRPr="00FD6221">
        <w:rPr>
          <w:rStyle w:val="libFootnoteBoldChar"/>
          <w:rtl/>
        </w:rPr>
        <w:t>والاستبصار</w:t>
      </w:r>
      <w:r w:rsidR="00992664" w:rsidRPr="00020424">
        <w:rPr>
          <w:rtl/>
        </w:rPr>
        <w:t xml:space="preserve"> ، ج 2 ، ص 36 ، ح 112 ، بسندهما عن محمّد بن إسماعيل بن بزيع ، مع زيادة. </w:t>
      </w:r>
      <w:r w:rsidR="00992664" w:rsidRPr="0012008A">
        <w:rPr>
          <w:rStyle w:val="libFootnoteBoldChar"/>
          <w:rtl/>
        </w:rPr>
        <w:t>المقنعة</w:t>
      </w:r>
      <w:r w:rsidR="00992664" w:rsidRPr="00020424">
        <w:rPr>
          <w:rtl/>
        </w:rPr>
        <w:t xml:space="preserve"> ، ص 265 ، مرسلاً عن عبد الرحمن بن محمّد </w:t>
      </w:r>
      <w:r w:rsidR="002D334E">
        <w:rPr>
          <w:rFonts w:hint="cs"/>
          <w:rtl/>
        </w:rPr>
        <w:t>.</w:t>
      </w:r>
      <w:r w:rsidR="00992664" w:rsidRPr="0012008A">
        <w:rPr>
          <w:rStyle w:val="libFootnoteBoldChar"/>
          <w:rtl/>
        </w:rPr>
        <w:t>الوافي</w:t>
      </w:r>
      <w:r w:rsidR="00992664" w:rsidRPr="00020424">
        <w:rPr>
          <w:rtl/>
        </w:rPr>
        <w:t xml:space="preserve"> ، ج 10 ، ص 263 ، ح 9557 ؛ </w:t>
      </w:r>
      <w:r w:rsidR="00992664" w:rsidRPr="0012008A">
        <w:rPr>
          <w:rStyle w:val="libFootnoteBoldChar"/>
          <w:rtl/>
        </w:rPr>
        <w:t>الوسائل</w:t>
      </w:r>
      <w:r w:rsidR="00992664" w:rsidRPr="00020424">
        <w:rPr>
          <w:rtl/>
        </w:rPr>
        <w:t xml:space="preserve"> ، ج 9 ، ص 345 ، ذيل ح 12190.</w:t>
      </w:r>
    </w:p>
    <w:p w:rsidR="00795177" w:rsidRDefault="00795177" w:rsidP="00795177">
      <w:pPr>
        <w:pStyle w:val="libNormal"/>
        <w:rPr>
          <w:rtl/>
          <w:lang w:bidi="fa-IR"/>
        </w:rPr>
      </w:pPr>
      <w:r>
        <w:rPr>
          <w:rtl/>
          <w:lang w:bidi="fa-IR"/>
        </w:rPr>
        <w:br w:type="page"/>
      </w:r>
    </w:p>
    <w:p w:rsidR="00992664" w:rsidRPr="00020424" w:rsidRDefault="00992664" w:rsidP="006B5249">
      <w:pPr>
        <w:pStyle w:val="libNormal0"/>
        <w:rPr>
          <w:rtl/>
          <w:lang w:bidi="fa-IR"/>
        </w:rPr>
      </w:pPr>
      <w:r w:rsidRPr="00020424">
        <w:rPr>
          <w:rtl/>
          <w:lang w:bidi="fa-IR"/>
        </w:rPr>
        <w:t>سَأَلْتُهُ عَنِ الْفِطْرَةِ : لِمَنْ هِيَ</w:t>
      </w:r>
      <w:r>
        <w:rPr>
          <w:rtl/>
          <w:lang w:bidi="fa-IR"/>
        </w:rPr>
        <w:t>؟</w:t>
      </w:r>
      <w:r w:rsidRPr="00020424">
        <w:rPr>
          <w:rtl/>
          <w:lang w:bidi="fa-IR"/>
        </w:rPr>
        <w:t xml:space="preserve"> قَالَ : « لِلْإِمَامِ</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قُلْتُ </w:t>
      </w:r>
      <w:r w:rsidRPr="00A91B96">
        <w:rPr>
          <w:rStyle w:val="libFootnotenumChar"/>
          <w:rtl/>
        </w:rPr>
        <w:t>(1)</w:t>
      </w:r>
      <w:r w:rsidRPr="00020424">
        <w:rPr>
          <w:rtl/>
          <w:lang w:bidi="fa-IR"/>
        </w:rPr>
        <w:t xml:space="preserve"> لَهُ </w:t>
      </w:r>
      <w:r w:rsidRPr="00A91B96">
        <w:rPr>
          <w:rStyle w:val="libFootnotenumChar"/>
          <w:rtl/>
        </w:rPr>
        <w:t>(2)</w:t>
      </w:r>
      <w:r w:rsidRPr="00020424">
        <w:rPr>
          <w:rtl/>
          <w:lang w:bidi="fa-IR"/>
        </w:rPr>
        <w:t xml:space="preserve"> : فَأُخْبِرُ </w:t>
      </w:r>
      <w:r w:rsidRPr="00A91B96">
        <w:rPr>
          <w:rStyle w:val="libFootnotenumChar"/>
          <w:rtl/>
        </w:rPr>
        <w:t>(3)</w:t>
      </w:r>
      <w:r w:rsidRPr="00020424">
        <w:rPr>
          <w:rtl/>
          <w:lang w:bidi="fa-IR"/>
        </w:rPr>
        <w:t xml:space="preserve"> أَصْحَابِي</w:t>
      </w:r>
      <w:r>
        <w:rPr>
          <w:rtl/>
          <w:lang w:bidi="fa-IR"/>
        </w:rPr>
        <w:t>؟</w:t>
      </w:r>
      <w:r w:rsidRPr="00020424">
        <w:rPr>
          <w:rtl/>
          <w:lang w:bidi="fa-IR"/>
        </w:rPr>
        <w:t xml:space="preserve"> قَالَ : « نَعَمْ ، مَنْ أَرَدْتَ أَنْ تُطَهِّرَهُ </w:t>
      </w:r>
      <w:r w:rsidRPr="00A91B96">
        <w:rPr>
          <w:rStyle w:val="libFootnotenumChar"/>
          <w:rtl/>
        </w:rPr>
        <w:t>(4)</w:t>
      </w:r>
      <w:r w:rsidRPr="00020424">
        <w:rPr>
          <w:rtl/>
          <w:lang w:bidi="fa-IR"/>
        </w:rPr>
        <w:t xml:space="preserve"> مِنْهُمْ » وَقَالَ :</w:t>
      </w:r>
      <w:r>
        <w:rPr>
          <w:rFonts w:hint="cs"/>
          <w:rtl/>
          <w:lang w:bidi="fa-IR"/>
        </w:rPr>
        <w:t xml:space="preserve"> </w:t>
      </w:r>
      <w:r w:rsidRPr="00020424">
        <w:rPr>
          <w:rtl/>
          <w:lang w:bidi="fa-IR"/>
        </w:rPr>
        <w:t xml:space="preserve">« لَا بَأْسَ بِأَنْ تُعْطِيَ </w:t>
      </w:r>
      <w:r w:rsidRPr="00A91B96">
        <w:rPr>
          <w:rStyle w:val="libFootnotenumChar"/>
          <w:rtl/>
        </w:rPr>
        <w:t>(5)</w:t>
      </w:r>
      <w:r w:rsidRPr="00020424">
        <w:rPr>
          <w:rtl/>
          <w:lang w:bidi="fa-IR"/>
        </w:rPr>
        <w:t xml:space="preserve"> وَتَحْمِلَ </w:t>
      </w:r>
      <w:r w:rsidRPr="00A91B96">
        <w:rPr>
          <w:rStyle w:val="libFootnotenumChar"/>
          <w:rtl/>
        </w:rPr>
        <w:t>(6)</w:t>
      </w:r>
      <w:r w:rsidRPr="00020424">
        <w:rPr>
          <w:rtl/>
          <w:lang w:bidi="fa-IR"/>
        </w:rPr>
        <w:t xml:space="preserve"> ثَمَنَ ذلِكَ وَرِقاً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CD5E9B">
        <w:rPr>
          <w:rtl/>
        </w:rPr>
        <w:t>6674</w:t>
      </w:r>
      <w:r w:rsidRPr="001155DE">
        <w:rPr>
          <w:rStyle w:val="libBold2Char"/>
          <w:rtl/>
        </w:rPr>
        <w:t xml:space="preserve"> / 24.</w:t>
      </w:r>
      <w:r w:rsidRPr="00020424">
        <w:rPr>
          <w:rtl/>
          <w:lang w:bidi="fa-IR"/>
        </w:rPr>
        <w:t xml:space="preserve"> مُحَمَّدُ بْنُ يَحْيى وَ</w:t>
      </w:r>
      <w:r>
        <w:rPr>
          <w:rFonts w:hint="cs"/>
          <w:rtl/>
          <w:lang w:bidi="fa-IR"/>
        </w:rPr>
        <w:t xml:space="preserve"> </w:t>
      </w:r>
      <w:r w:rsidRPr="00A91B96">
        <w:rPr>
          <w:rStyle w:val="libFootnotenumChar"/>
          <w:rtl/>
        </w:rPr>
        <w:t>(9)</w:t>
      </w:r>
      <w:r w:rsidRPr="00020424">
        <w:rPr>
          <w:rtl/>
          <w:lang w:bidi="fa-IR"/>
        </w:rPr>
        <w:t xml:space="preserve"> مُحَمَّدُ بْنُ عَبْدِ اللهِ ، عَنْ عَبْدِ اللهِ بْنِ جَعْفَرٍ ، عَنْ أَيُّوبَ بْنِ نُوحٍ ، قَالَ :</w:t>
      </w:r>
    </w:p>
    <w:p w:rsidR="00992664" w:rsidRPr="00020424" w:rsidRDefault="00992664" w:rsidP="00992664">
      <w:pPr>
        <w:pStyle w:val="libNormal"/>
        <w:rPr>
          <w:rtl/>
          <w:lang w:bidi="fa-IR"/>
        </w:rPr>
      </w:pPr>
      <w:r w:rsidRPr="00020424">
        <w:rPr>
          <w:rtl/>
          <w:lang w:bidi="fa-IR"/>
        </w:rPr>
        <w:t xml:space="preserve">كَتَبْتُ إِلى أَبِي الْحَسَنِ </w:t>
      </w:r>
      <w:r w:rsidRPr="00A91B96">
        <w:rPr>
          <w:rStyle w:val="libFootnotenumChar"/>
          <w:rtl/>
        </w:rPr>
        <w:t>(10)</w:t>
      </w:r>
      <w:r w:rsidRPr="00020424">
        <w:rPr>
          <w:rtl/>
          <w:lang w:bidi="fa-IR"/>
        </w:rPr>
        <w:t xml:space="preserve"> </w:t>
      </w:r>
      <w:r w:rsidRPr="00005A81">
        <w:rPr>
          <w:rStyle w:val="libAlaemChar"/>
          <w:rtl/>
        </w:rPr>
        <w:t>عليه‌السلام</w:t>
      </w:r>
      <w:r w:rsidRPr="00020424">
        <w:rPr>
          <w:rtl/>
          <w:lang w:bidi="fa-IR"/>
        </w:rPr>
        <w:t xml:space="preserve"> : أَنَّ قَوْماً سَأَلُونِي </w:t>
      </w:r>
      <w:r w:rsidRPr="00A91B96">
        <w:rPr>
          <w:rStyle w:val="libFootnotenumChar"/>
          <w:rtl/>
        </w:rPr>
        <w:t>(11)</w:t>
      </w:r>
      <w:r w:rsidRPr="00020424">
        <w:rPr>
          <w:rtl/>
          <w:lang w:bidi="fa-IR"/>
        </w:rPr>
        <w:t xml:space="preserve"> عَنِ الْفِطْرَةِ ، وَيَسْأَلُونِّي أَنْ‌</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فقلت</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063616" w:rsidTr="00063616">
        <w:tc>
          <w:tcPr>
            <w:tcW w:w="4006" w:type="dxa"/>
          </w:tcPr>
          <w:p w:rsidR="00063616" w:rsidRDefault="00063616" w:rsidP="00992664">
            <w:pPr>
              <w:pStyle w:val="libFootnote0"/>
              <w:rPr>
                <w:rtl/>
              </w:rPr>
            </w:pPr>
            <w:r>
              <w:rPr>
                <w:rtl/>
              </w:rPr>
              <w:t xml:space="preserve">(2). </w:t>
            </w:r>
            <w:r w:rsidRPr="00020424">
              <w:rPr>
                <w:rtl/>
              </w:rPr>
              <w:t xml:space="preserve">في « بر ، بس » </w:t>
            </w:r>
            <w:r w:rsidRPr="00DE3E80">
              <w:rPr>
                <w:rStyle w:val="libFootnoteBoldChar"/>
                <w:rtl/>
              </w:rPr>
              <w:t>والمقنعة</w:t>
            </w:r>
            <w:r w:rsidRPr="00020424">
              <w:rPr>
                <w:rtl/>
              </w:rPr>
              <w:t xml:space="preserve"> :</w:t>
            </w:r>
            <w:r>
              <w:rPr>
                <w:rtl/>
              </w:rPr>
              <w:t xml:space="preserve"> - </w:t>
            </w:r>
            <w:r w:rsidRPr="00020424">
              <w:rPr>
                <w:rtl/>
              </w:rPr>
              <w:t>« له</w:t>
            </w:r>
            <w:r>
              <w:rPr>
                <w:rtl/>
              </w:rPr>
              <w:t xml:space="preserve"> ».</w:t>
            </w:r>
          </w:p>
        </w:tc>
        <w:tc>
          <w:tcPr>
            <w:tcW w:w="4006" w:type="dxa"/>
          </w:tcPr>
          <w:p w:rsidR="00063616" w:rsidRDefault="00063616" w:rsidP="00992664">
            <w:pPr>
              <w:pStyle w:val="libFootnote0"/>
              <w:rPr>
                <w:rtl/>
              </w:rPr>
            </w:pPr>
            <w:r>
              <w:rPr>
                <w:rtl/>
              </w:rPr>
              <w:t xml:space="preserve">(3). </w:t>
            </w:r>
            <w:r w:rsidRPr="00020424">
              <w:rPr>
                <w:rtl/>
              </w:rPr>
              <w:t>في « بث ، بخ ، بر ، بف » : « وأخبر</w:t>
            </w:r>
            <w:r>
              <w:rPr>
                <w:rtl/>
              </w:rPr>
              <w:t xml:space="preserve"> ».</w:t>
            </w:r>
          </w:p>
        </w:tc>
      </w:tr>
    </w:tbl>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ظ ، ى ، بث ، بح » : « أن تظهره</w:t>
      </w:r>
      <w:r w:rsidR="00992664">
        <w:rPr>
          <w:rtl/>
        </w:rPr>
        <w:t xml:space="preserve"> ».</w:t>
      </w:r>
      <w:r w:rsidR="00992664" w:rsidRPr="00020424">
        <w:rPr>
          <w:rtl/>
        </w:rPr>
        <w:t xml:space="preserve"> وفي « بر ، بف » : « أن يظهره</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ظ ، بخ ، بر » </w:t>
      </w:r>
      <w:r w:rsidR="00992664" w:rsidRPr="00515444">
        <w:rPr>
          <w:rStyle w:val="libFootnoteBoldChar"/>
          <w:rtl/>
        </w:rPr>
        <w:t>والتهذيب</w:t>
      </w:r>
      <w:r w:rsidR="00992664" w:rsidRPr="00020424">
        <w:rPr>
          <w:rtl/>
        </w:rPr>
        <w:t xml:space="preserve"> : « بأن يعطى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ظ ، بخ بر ، بف » </w:t>
      </w:r>
      <w:r w:rsidR="00992664" w:rsidRPr="00515444">
        <w:rPr>
          <w:rStyle w:val="libFootnoteBoldChar"/>
          <w:rtl/>
        </w:rPr>
        <w:t>والتهذيب</w:t>
      </w:r>
      <w:r w:rsidR="00992664" w:rsidRPr="00020424">
        <w:rPr>
          <w:rtl/>
        </w:rPr>
        <w:t xml:space="preserve"> : « ويحمل</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تعطى ، على صيغة المجهول ، وتحمل ، على المعلوم ؛ يعني إلى الإمام</w:t>
      </w:r>
      <w:r w:rsidR="00992664">
        <w:rPr>
          <w:rtl/>
        </w:rPr>
        <w:t xml:space="preserve"> ».</w:t>
      </w:r>
      <w:r w:rsidR="00965E2C">
        <w:rPr>
          <w:rtl/>
        </w:rPr>
        <w:t xml:space="preserve"> والعل</w:t>
      </w:r>
      <w:r w:rsidR="00965E2C">
        <w:rPr>
          <w:rFonts w:hint="cs"/>
          <w:rtl/>
        </w:rPr>
        <w:t>ّ</w:t>
      </w:r>
      <w:r w:rsidR="00965E2C">
        <w:rPr>
          <w:rtl/>
        </w:rPr>
        <w:t>ا</w:t>
      </w:r>
      <w:r w:rsidR="00992664" w:rsidRPr="00020424">
        <w:rPr>
          <w:rtl/>
        </w:rPr>
        <w:t xml:space="preserve">مة المجلسي قرأهما على صيغة المعلوم ، حيث قال 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للإمام ، أي يبعث إلى الإمام ؛ ليفرّقها ، وظاهره الوجوب وحمل على الاستحباب المؤكّد ، كما عرفت ، ويؤيّده قوله </w:t>
      </w:r>
      <w:r w:rsidR="00992664" w:rsidRPr="00D64ADA">
        <w:rPr>
          <w:rStyle w:val="libFootnoteAlaemChar"/>
          <w:rtl/>
        </w:rPr>
        <w:t>عليه‌السلام</w:t>
      </w:r>
      <w:r w:rsidR="00992664" w:rsidRPr="00020424">
        <w:rPr>
          <w:rtl/>
        </w:rPr>
        <w:t xml:space="preserve"> : لا بأس بأن تعطي ، بأن يكون المراد التخيير بين إعطائها وحمل ثمنها ورقاً ، ويحتمل أن يكون المراد التبعيض أيضاً. ويمكن أن يقال : لا ينافي هذا لزوم التسليم إلى الإمام أو نائبه ؛ فإنّ أبا عليّ كان وكيلاً له </w:t>
      </w:r>
      <w:r w:rsidR="00992664" w:rsidRPr="00D64ADA">
        <w:rPr>
          <w:rStyle w:val="libFootnoteAlaemChar"/>
          <w:rtl/>
        </w:rPr>
        <w:t>عليه‌السلام</w:t>
      </w:r>
      <w:r w:rsidR="00992664" w:rsidRPr="00020424">
        <w:rPr>
          <w:rtl/>
        </w:rPr>
        <w:t xml:space="preserve"> ، كما ذكر في كتب الرجال ، فيكون الحاصل أنّه لابدّ أن تأخذ ممّن أردت أن تطهّره منهم ، وبعد الأخذ أنت مخيّر بين أن تفرّقه بين فقراء الشيعة بوكالتي ، أو تحمله إليّ ورقاً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الورْق ، كفلس وحبر وكتف وجبل : الدراهم المضروبة ، أو الفضّة المضروبة ، أو الفضّة مضروبة كانت أو غير مضروبة ، أو الدراهم خاصّة. راجع : </w:t>
      </w:r>
      <w:r w:rsidR="00992664" w:rsidRPr="0012008A">
        <w:rPr>
          <w:rStyle w:val="libFootnoteBoldChar"/>
          <w:rtl/>
        </w:rPr>
        <w:t>الصحاح</w:t>
      </w:r>
      <w:r w:rsidR="00992664" w:rsidRPr="00020424">
        <w:rPr>
          <w:rtl/>
        </w:rPr>
        <w:t xml:space="preserve"> ، ج 4 ، ص 1564 ؛ </w:t>
      </w:r>
      <w:r w:rsidR="00992664" w:rsidRPr="0012008A">
        <w:rPr>
          <w:rStyle w:val="libFootnoteBoldChar"/>
          <w:rtl/>
        </w:rPr>
        <w:t>النهاية</w:t>
      </w:r>
      <w:r w:rsidR="00992664" w:rsidRPr="00020424">
        <w:rPr>
          <w:rtl/>
        </w:rPr>
        <w:t xml:space="preserve"> ، ج 5 ، ص 175 ؛ </w:t>
      </w:r>
      <w:r w:rsidR="00992664" w:rsidRPr="00A722B1">
        <w:rPr>
          <w:rStyle w:val="libFootnoteBoldChar"/>
          <w:rtl/>
        </w:rPr>
        <w:t>لسان العرب</w:t>
      </w:r>
      <w:r w:rsidR="00992664" w:rsidRPr="00020424">
        <w:rPr>
          <w:rtl/>
        </w:rPr>
        <w:t xml:space="preserve"> ، ج 10 ، ص 375 ؛ </w:t>
      </w:r>
      <w:r w:rsidR="00992664" w:rsidRPr="00A722B1">
        <w:rPr>
          <w:rStyle w:val="libFootnoteBoldChar"/>
          <w:rtl/>
        </w:rPr>
        <w:t>المصباح المنير</w:t>
      </w:r>
      <w:r w:rsidR="00992664" w:rsidRPr="00020424">
        <w:rPr>
          <w:rtl/>
        </w:rPr>
        <w:t xml:space="preserve"> ، ص 655 ( ورق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91 ، ح 264 ، معلّقاً عن الكليني. </w:t>
      </w:r>
      <w:r w:rsidR="00992664" w:rsidRPr="0012008A">
        <w:rPr>
          <w:rStyle w:val="libFootnoteBoldChar"/>
          <w:rtl/>
        </w:rPr>
        <w:t>المقنعة</w:t>
      </w:r>
      <w:r w:rsidR="00992664" w:rsidRPr="00020424">
        <w:rPr>
          <w:rtl/>
        </w:rPr>
        <w:t xml:space="preserve"> ، ص 265 ، مرسلاً عن عليّ بن راشد ، مع اختلاف يسير </w:t>
      </w:r>
      <w:r w:rsidR="00992664" w:rsidRPr="0012008A">
        <w:rPr>
          <w:rStyle w:val="libFootnoteBoldChar"/>
          <w:rtl/>
        </w:rPr>
        <w:t>الوافي</w:t>
      </w:r>
      <w:r w:rsidR="00992664" w:rsidRPr="00020424">
        <w:rPr>
          <w:rtl/>
        </w:rPr>
        <w:t xml:space="preserve"> ، ج 10 ، ص 263 ، ح 9556 ؛ </w:t>
      </w:r>
      <w:r w:rsidR="00992664" w:rsidRPr="0012008A">
        <w:rPr>
          <w:rStyle w:val="libFootnoteBoldChar"/>
          <w:rtl/>
        </w:rPr>
        <w:t>الوسائل</w:t>
      </w:r>
      <w:r w:rsidR="00992664" w:rsidRPr="00020424">
        <w:rPr>
          <w:rtl/>
        </w:rPr>
        <w:t xml:space="preserve"> ، ج 9 ، ص 346 ، ح 12191.</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هكذا في النسخ </w:t>
      </w:r>
      <w:r w:rsidR="00992664" w:rsidRPr="00F34B45">
        <w:rPr>
          <w:rtl/>
        </w:rPr>
        <w:t>والوافي والوسائل والتهذيب.</w:t>
      </w:r>
      <w:r w:rsidR="00992664" w:rsidRPr="00020424">
        <w:rPr>
          <w:rtl/>
        </w:rPr>
        <w:t xml:space="preserve"> وفي المطبوع : « عن » بدل « </w:t>
      </w:r>
      <w:r w:rsidR="00992664">
        <w:rPr>
          <w:rtl/>
        </w:rPr>
        <w:t>و ».</w:t>
      </w:r>
    </w:p>
    <w:p w:rsidR="00992664" w:rsidRPr="00020424" w:rsidRDefault="00992664" w:rsidP="00F34B45">
      <w:pPr>
        <w:pStyle w:val="libFootnote0"/>
        <w:rPr>
          <w:rtl/>
          <w:lang w:bidi="fa-IR"/>
        </w:rPr>
      </w:pPr>
      <w:r w:rsidRPr="00F34B45">
        <w:rPr>
          <w:rtl/>
        </w:rPr>
        <w:t xml:space="preserve">ومحمّد بن عبد الله هذا ، هو محمّد بن عبد الله بن جعفر الحميري ، روى عنه المصنّف بعنوان محمّد بن عبد الله بن جعفر عن أبيه في </w:t>
      </w:r>
      <w:r w:rsidRPr="00DE76B9">
        <w:rPr>
          <w:rStyle w:val="libFootnoteBoldChar"/>
          <w:rtl/>
        </w:rPr>
        <w:t>الكافي</w:t>
      </w:r>
      <w:r w:rsidRPr="00F34B45">
        <w:rPr>
          <w:rtl/>
        </w:rPr>
        <w:t xml:space="preserve"> ، ح 12042 ، كما وردت رواية محمّد بن عبد الله ورواية محمّد بن يحيى معطوفتين في </w:t>
      </w:r>
      <w:r w:rsidRPr="00DE76B9">
        <w:rPr>
          <w:rStyle w:val="libFootnoteBoldChar"/>
          <w:rtl/>
        </w:rPr>
        <w:t>الكافي</w:t>
      </w:r>
      <w:r w:rsidRPr="00F34B45">
        <w:rPr>
          <w:rtl/>
        </w:rPr>
        <w:t xml:space="preserve"> ، ح 869 و1390 و5929.</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هكذا في النسخ </w:t>
      </w:r>
      <w:r w:rsidR="00992664" w:rsidRPr="00F34B45">
        <w:rPr>
          <w:rtl/>
        </w:rPr>
        <w:t>والوافي والوسائل والتهذيب</w:t>
      </w:r>
      <w:r w:rsidR="00992664" w:rsidRPr="00020424">
        <w:rPr>
          <w:rtl/>
        </w:rPr>
        <w:t>. وفي المطبوع : + « الثالث</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 بث ، بخ ، بر ، بف » </w:t>
      </w:r>
      <w:r w:rsidR="00992664" w:rsidRPr="00EB1FD9">
        <w:rPr>
          <w:rStyle w:val="libFootnoteBoldChar"/>
          <w:rtl/>
        </w:rPr>
        <w:t>والوسائل</w:t>
      </w:r>
      <w:r w:rsidR="00992664" w:rsidRPr="00020424">
        <w:rPr>
          <w:rtl/>
        </w:rPr>
        <w:t xml:space="preserve"> : « يسألوني</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ليسألوني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34B45">
      <w:pPr>
        <w:pStyle w:val="libNormal0"/>
        <w:rPr>
          <w:rtl/>
          <w:lang w:bidi="fa-IR"/>
        </w:rPr>
      </w:pPr>
      <w:r w:rsidRPr="00020424">
        <w:rPr>
          <w:rtl/>
          <w:lang w:bidi="fa-IR"/>
        </w:rPr>
        <w:t xml:space="preserve">يَحْمِلُوا قِيمَتَهَا إِلَيْكَ ، وَقَدْ بَعَثَ </w:t>
      </w:r>
      <w:r w:rsidRPr="00A91B96">
        <w:rPr>
          <w:rStyle w:val="libFootnotenumChar"/>
          <w:rtl/>
        </w:rPr>
        <w:t>(1)</w:t>
      </w:r>
      <w:r w:rsidRPr="00020424">
        <w:rPr>
          <w:rtl/>
          <w:lang w:bidi="fa-IR"/>
        </w:rPr>
        <w:t xml:space="preserve"> إِلَيْكَ هذَا </w:t>
      </w:r>
      <w:r w:rsidRPr="00A91B96">
        <w:rPr>
          <w:rStyle w:val="libFootnotenumChar"/>
          <w:rtl/>
        </w:rPr>
        <w:t>(2)</w:t>
      </w:r>
      <w:r w:rsidRPr="00020424">
        <w:rPr>
          <w:rtl/>
          <w:lang w:bidi="fa-IR"/>
        </w:rPr>
        <w:t xml:space="preserve"> الرَّجُلُ عَامَ </w:t>
      </w:r>
      <w:r w:rsidRPr="00A91B96">
        <w:rPr>
          <w:rStyle w:val="libFootnotenumChar"/>
          <w:rtl/>
        </w:rPr>
        <w:t>(3)</w:t>
      </w:r>
      <w:r w:rsidRPr="00020424">
        <w:rPr>
          <w:rtl/>
          <w:lang w:bidi="fa-IR"/>
        </w:rPr>
        <w:t xml:space="preserve"> أَوَّلَ ، وَسَأَلَنِي أَنْ أَسْأَلَكَ ، فَانْسِيتُ </w:t>
      </w:r>
      <w:r w:rsidRPr="00A91B96">
        <w:rPr>
          <w:rStyle w:val="libFootnotenumChar"/>
          <w:rtl/>
        </w:rPr>
        <w:t>(4)</w:t>
      </w:r>
      <w:r w:rsidRPr="00020424">
        <w:rPr>
          <w:rtl/>
          <w:lang w:bidi="fa-IR"/>
        </w:rPr>
        <w:t xml:space="preserve"> ذلِكَ وَقَدْ بَعَثْتُ </w:t>
      </w:r>
      <w:r w:rsidRPr="00A91B96">
        <w:rPr>
          <w:rStyle w:val="libFootnotenumChar"/>
          <w:rtl/>
        </w:rPr>
        <w:t>(5)</w:t>
      </w:r>
      <w:r w:rsidRPr="00020424">
        <w:rPr>
          <w:rtl/>
          <w:lang w:bidi="fa-IR"/>
        </w:rPr>
        <w:t xml:space="preserve"> إِلَيْكَ الْعَامَ عَنْ كُلِّ رَأْسٍ مِنْ عِيَالِي </w:t>
      </w:r>
      <w:r w:rsidRPr="00A91B96">
        <w:rPr>
          <w:rStyle w:val="libFootnotenumChar"/>
          <w:rtl/>
        </w:rPr>
        <w:t>(6)</w:t>
      </w:r>
      <w:r w:rsidRPr="00020424">
        <w:rPr>
          <w:rtl/>
          <w:lang w:bidi="fa-IR"/>
        </w:rPr>
        <w:t xml:space="preserve"> بِدِرْهَمٍ </w:t>
      </w:r>
      <w:r w:rsidRPr="00A91B96">
        <w:rPr>
          <w:rStyle w:val="libFootnotenumChar"/>
          <w:rtl/>
        </w:rPr>
        <w:t>(7)</w:t>
      </w:r>
      <w:r w:rsidRPr="00020424">
        <w:rPr>
          <w:rtl/>
          <w:lang w:bidi="fa-IR"/>
        </w:rPr>
        <w:t xml:space="preserve"> ، عَلى قِيمَةِ تِسْعَةِ أَرْطَالٍ </w:t>
      </w:r>
      <w:r w:rsidRPr="00A91B96">
        <w:rPr>
          <w:rStyle w:val="libFootnotenumChar"/>
          <w:rtl/>
        </w:rPr>
        <w:t>(8)</w:t>
      </w:r>
      <w:r w:rsidRPr="00020424">
        <w:rPr>
          <w:rtl/>
          <w:lang w:bidi="fa-IR"/>
        </w:rPr>
        <w:t xml:space="preserve"> بدِرْهَمٍ ، فَرَأْيُكَ </w:t>
      </w:r>
      <w:r w:rsidRPr="00A91B96">
        <w:rPr>
          <w:rStyle w:val="libFootnotenumChar"/>
          <w:rtl/>
        </w:rPr>
        <w:t>(9)</w:t>
      </w:r>
      <w:r>
        <w:rPr>
          <w:rtl/>
          <w:lang w:bidi="fa-IR"/>
        </w:rPr>
        <w:t xml:space="preserve"> </w:t>
      </w:r>
      <w:r w:rsidR="009B673F">
        <w:rPr>
          <w:rtl/>
          <w:lang w:bidi="fa-IR"/>
        </w:rPr>
        <w:t>-</w:t>
      </w:r>
      <w:r>
        <w:rPr>
          <w:rtl/>
          <w:lang w:bidi="fa-IR"/>
        </w:rPr>
        <w:t xml:space="preserve"> </w:t>
      </w:r>
      <w:r w:rsidRPr="00020424">
        <w:rPr>
          <w:rtl/>
          <w:lang w:bidi="fa-IR"/>
        </w:rPr>
        <w:t>جَعَلَنِيَ اللهُ فِدَاكَ</w:t>
      </w:r>
      <w:r>
        <w:rPr>
          <w:rtl/>
          <w:lang w:bidi="fa-IR"/>
        </w:rPr>
        <w:t xml:space="preserve"> </w:t>
      </w:r>
      <w:r w:rsidR="009B673F">
        <w:rPr>
          <w:rtl/>
          <w:lang w:bidi="fa-IR"/>
        </w:rPr>
        <w:t>-</w:t>
      </w:r>
      <w:r>
        <w:rPr>
          <w:rtl/>
          <w:lang w:bidi="fa-IR"/>
        </w:rPr>
        <w:t xml:space="preserve"> </w:t>
      </w:r>
      <w:r w:rsidRPr="00020424">
        <w:rPr>
          <w:rtl/>
          <w:lang w:bidi="fa-IR"/>
        </w:rPr>
        <w:t xml:space="preserve">فِي ذلِكَ </w:t>
      </w:r>
      <w:r w:rsidRPr="00A91B96">
        <w:rPr>
          <w:rStyle w:val="libFootnotenumChar"/>
          <w:rtl/>
        </w:rPr>
        <w:t>(10)</w:t>
      </w:r>
      <w:r>
        <w:rPr>
          <w:rtl/>
          <w:lang w:bidi="fa-IR"/>
        </w:rPr>
        <w:t>؟</w:t>
      </w:r>
    </w:p>
    <w:p w:rsidR="00992664" w:rsidRPr="00020424" w:rsidRDefault="00992664" w:rsidP="00992664">
      <w:pPr>
        <w:pStyle w:val="libNormal"/>
        <w:rPr>
          <w:rtl/>
          <w:lang w:bidi="fa-IR"/>
        </w:rPr>
      </w:pPr>
      <w:r w:rsidRPr="00020424">
        <w:rPr>
          <w:rtl/>
          <w:lang w:bidi="fa-IR"/>
        </w:rPr>
        <w:t xml:space="preserve">فَكَتَبَ </w:t>
      </w:r>
      <w:r w:rsidRPr="00005A81">
        <w:rPr>
          <w:rStyle w:val="libAlaemChar"/>
          <w:rtl/>
        </w:rPr>
        <w:t>عليه‌السلام</w:t>
      </w:r>
      <w:r w:rsidRPr="00020424">
        <w:rPr>
          <w:rtl/>
          <w:lang w:bidi="fa-IR"/>
        </w:rPr>
        <w:t xml:space="preserve"> : « الْفِطْرَةُ قَدْ كَثُرَ السُّؤَالُ عَنْهَا ، وَأَنَا أَكْرَهُ كُلَّ مَا أَدّى إِلَى الشُّهْرَةِ ، فَاقْطَعُوا ذِكْرَ ذلِكَ ، وَاقْبِضْ </w:t>
      </w:r>
      <w:r w:rsidRPr="00A91B96">
        <w:rPr>
          <w:rStyle w:val="libFootnotenumChar"/>
          <w:rtl/>
        </w:rPr>
        <w:t>(11)</w:t>
      </w:r>
      <w:r w:rsidRPr="00020424">
        <w:rPr>
          <w:rtl/>
          <w:lang w:bidi="fa-IR"/>
        </w:rPr>
        <w:t xml:space="preserve"> مِمَّنْ دَفَعَ لَهَا ، وَأَمْسِكْ عَمَّنْ لَمْ يَدْفَعْ </w:t>
      </w:r>
      <w:r w:rsidRPr="00A91B96">
        <w:rPr>
          <w:rStyle w:val="libFootnotenumChar"/>
          <w:rtl/>
        </w:rPr>
        <w:t>(12)</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Heading2Center"/>
        <w:rPr>
          <w:rtl/>
          <w:lang w:bidi="fa-IR"/>
        </w:rPr>
      </w:pPr>
      <w:bookmarkStart w:id="535" w:name="_Toc345172895"/>
      <w:bookmarkStart w:id="536" w:name="_Toc464562709"/>
      <w:bookmarkStart w:id="537" w:name="_Toc44600016"/>
      <w:r w:rsidRPr="00020424">
        <w:rPr>
          <w:rtl/>
          <w:lang w:bidi="fa-IR"/>
        </w:rPr>
        <w:t>76</w:t>
      </w:r>
      <w:r>
        <w:rPr>
          <w:rtl/>
          <w:lang w:bidi="fa-IR"/>
        </w:rPr>
        <w:t xml:space="preserve"> </w:t>
      </w:r>
      <w:r w:rsidR="009B673F">
        <w:rPr>
          <w:rtl/>
          <w:lang w:bidi="fa-IR"/>
        </w:rPr>
        <w:t>-</w:t>
      </w:r>
      <w:r>
        <w:rPr>
          <w:rtl/>
          <w:lang w:bidi="fa-IR"/>
        </w:rPr>
        <w:t xml:space="preserve"> </w:t>
      </w:r>
      <w:r w:rsidRPr="00020424">
        <w:rPr>
          <w:rtl/>
          <w:lang w:bidi="fa-IR"/>
        </w:rPr>
        <w:t xml:space="preserve">بَابُ </w:t>
      </w:r>
      <w:r w:rsidRPr="00A91B96">
        <w:rPr>
          <w:rStyle w:val="libFootnotenumChar"/>
          <w:rtl/>
        </w:rPr>
        <w:t>(14)</w:t>
      </w:r>
      <w:r>
        <w:rPr>
          <w:rtl/>
        </w:rPr>
        <w:t xml:space="preserve"> </w:t>
      </w:r>
      <w:r w:rsidRPr="00020424">
        <w:rPr>
          <w:rtl/>
          <w:lang w:bidi="fa-IR"/>
        </w:rPr>
        <w:t>الِاعْتِكَافِ‌</w:t>
      </w:r>
      <w:bookmarkEnd w:id="535"/>
      <w:bookmarkEnd w:id="536"/>
      <w:bookmarkEnd w:id="537"/>
    </w:p>
    <w:p w:rsidR="00992664" w:rsidRPr="00020424" w:rsidRDefault="00992664" w:rsidP="00992664">
      <w:pPr>
        <w:pStyle w:val="libNormal"/>
        <w:rPr>
          <w:rtl/>
          <w:lang w:bidi="fa-IR"/>
        </w:rPr>
      </w:pPr>
      <w:r w:rsidRPr="00C83B91">
        <w:rPr>
          <w:rtl/>
        </w:rPr>
        <w:t>6675</w:t>
      </w:r>
      <w:r w:rsidRPr="001155DE">
        <w:rPr>
          <w:rStyle w:val="libBold2Char"/>
          <w:rtl/>
        </w:rPr>
        <w:t xml:space="preserve"> / 1.</w:t>
      </w:r>
      <w:r w:rsidRPr="00020424">
        <w:rPr>
          <w:rtl/>
          <w:lang w:bidi="fa-IR"/>
        </w:rPr>
        <w:t xml:space="preserve"> عَلِيُّ بْنُ إِبْرَاهِيمَ ، عَنْ أَبِيهِ ، عَنِ ابْنِ أَبِي عُمَيْرٍ ، عَنْ حَمَّادٍ ، عَنِ الْحَلَبِيِّ </w:t>
      </w:r>
      <w:r w:rsidRPr="00A91B96">
        <w:rPr>
          <w:rStyle w:val="libFootnotenumChar"/>
          <w:rtl/>
        </w:rPr>
        <w:t>(15)</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 رَسُولُ اللهِ </w:t>
      </w:r>
      <w:r w:rsidR="00B42914" w:rsidRPr="00B42914">
        <w:rPr>
          <w:rStyle w:val="libAlaemChar"/>
          <w:rtl/>
        </w:rPr>
        <w:t>صلى‌الله‌عليه‌وآله‌</w:t>
      </w:r>
      <w:r w:rsidRPr="00020424">
        <w:rPr>
          <w:rtl/>
          <w:lang w:bidi="fa-IR"/>
        </w:rPr>
        <w:t xml:space="preserve"> إِذَا كَانَ الْعَشْرُ الْأَوَاخِرُ ، اعْتَكَفَ فِي‌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بث ، بس ، جن » وحاشية « ى » </w:t>
      </w:r>
      <w:r w:rsidR="00992664" w:rsidRPr="00EB1FD9">
        <w:rPr>
          <w:rStyle w:val="libFootnoteBoldChar"/>
          <w:rtl/>
        </w:rPr>
        <w:t>والوسائل</w:t>
      </w:r>
      <w:r w:rsidR="00992664" w:rsidRPr="00020424">
        <w:rPr>
          <w:rtl/>
        </w:rPr>
        <w:t xml:space="preserve"> : « بعثت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بس » : « بهذا</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مبنيّ على الفتح لتضمّنه معنى « في</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هكذا في معظم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وفي المطبوع </w:t>
      </w:r>
      <w:r w:rsidR="00992664" w:rsidRPr="00515444">
        <w:rPr>
          <w:rStyle w:val="libFootnoteBoldChar"/>
          <w:rtl/>
        </w:rPr>
        <w:t>والتهذيب</w:t>
      </w:r>
      <w:r w:rsidR="00992664" w:rsidRPr="00020424">
        <w:rPr>
          <w:rtl/>
        </w:rPr>
        <w:t xml:space="preserve"> : « فنسيت</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ى ، بح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بعث</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بخ ، بر ، بس ، بف » وحاشية « بث » </w:t>
      </w:r>
      <w:r w:rsidR="00992664" w:rsidRPr="00EB1FD9">
        <w:rPr>
          <w:rStyle w:val="libFootnoteBoldChar"/>
          <w:rtl/>
        </w:rPr>
        <w:t>والوسائل</w:t>
      </w:r>
      <w:r w:rsidR="00992664" w:rsidRPr="00020424">
        <w:rPr>
          <w:rtl/>
        </w:rPr>
        <w:t xml:space="preserve"> </w:t>
      </w:r>
      <w:r w:rsidR="00992664" w:rsidRPr="00515444">
        <w:rPr>
          <w:rStyle w:val="libFootnoteBoldChar"/>
          <w:rtl/>
        </w:rPr>
        <w:t>والتهذيب</w:t>
      </w:r>
      <w:r w:rsidR="00992664" w:rsidRPr="00020424">
        <w:rPr>
          <w:rtl/>
        </w:rPr>
        <w:t xml:space="preserve"> : « عياله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بخ » : « بدراهم</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بث ، بخ ، بر ، بف » </w:t>
      </w:r>
      <w:r w:rsidR="00992664" w:rsidRPr="00515444">
        <w:rPr>
          <w:rStyle w:val="libFootnoteBoldChar"/>
          <w:rtl/>
        </w:rPr>
        <w:t>والوافي</w:t>
      </w:r>
      <w:r w:rsidR="00992664" w:rsidRPr="00020424">
        <w:rPr>
          <w:rtl/>
        </w:rPr>
        <w:t xml:space="preserve"> </w:t>
      </w:r>
      <w:r w:rsidR="00992664" w:rsidRPr="00515444">
        <w:rPr>
          <w:rStyle w:val="libFootnoteBoldChar"/>
          <w:rtl/>
        </w:rPr>
        <w:t>والتهذيب</w:t>
      </w:r>
      <w:r w:rsidR="00992664" w:rsidRPr="00020424">
        <w:rPr>
          <w:rtl/>
        </w:rPr>
        <w:t xml:space="preserve"> : + « تمر</w:t>
      </w:r>
      <w:r w:rsidR="00992664">
        <w:rPr>
          <w:rtl/>
        </w:rPr>
        <w:t xml:space="preserve"> ».</w:t>
      </w:r>
      <w:r w:rsidR="00992664" w:rsidRPr="00020424">
        <w:rPr>
          <w:rtl/>
        </w:rPr>
        <w:t xml:space="preserve"> وفي حاشية « ى » : + « ثمّ</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بف » : « فما رأيك</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في ذلك</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فاقبض</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هذا الخبر أيضاً يدلّ على لزوم البعث إلى الإمام ، وأنّ الإمساك وعدم الأخذ إنّما كان للتقيّة</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التهذيب</w:t>
      </w:r>
      <w:r w:rsidR="00992664" w:rsidRPr="00020424">
        <w:rPr>
          <w:rtl/>
        </w:rPr>
        <w:t xml:space="preserve"> ، ج 4 ، ص 91 ، ح 265 ، معلّقاً عن الكليني </w:t>
      </w:r>
      <w:r w:rsidR="00F34B45">
        <w:rPr>
          <w:rFonts w:hint="cs"/>
          <w:rtl/>
        </w:rPr>
        <w:t>.</w:t>
      </w:r>
      <w:r w:rsidR="00992664" w:rsidRPr="0012008A">
        <w:rPr>
          <w:rStyle w:val="libFootnoteBoldChar"/>
          <w:rtl/>
        </w:rPr>
        <w:t>الوافي</w:t>
      </w:r>
      <w:r w:rsidR="00992664" w:rsidRPr="00020424">
        <w:rPr>
          <w:rtl/>
        </w:rPr>
        <w:t xml:space="preserve"> ، ج 10 ، ص 264 ، ح 9558 ؛ </w:t>
      </w:r>
      <w:r w:rsidR="00992664" w:rsidRPr="0012008A">
        <w:rPr>
          <w:rStyle w:val="libFootnoteBoldChar"/>
          <w:rtl/>
        </w:rPr>
        <w:t>الوسائل</w:t>
      </w:r>
      <w:r w:rsidR="00992664" w:rsidRPr="00020424">
        <w:rPr>
          <w:rtl/>
        </w:rPr>
        <w:t xml:space="preserve"> ، ج 9 ، ص 346 ، ح 12192.</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في « بث ، بخ » وحاشية « بح » : « أبواب</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في « بث ، بخ ، بر ، بف ، جر »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عن الحلبي</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F34B45">
      <w:pPr>
        <w:pStyle w:val="libNormal0"/>
        <w:rPr>
          <w:rtl/>
          <w:lang w:bidi="fa-IR"/>
        </w:rPr>
      </w:pPr>
      <w:r w:rsidRPr="00020424">
        <w:rPr>
          <w:rtl/>
          <w:lang w:bidi="fa-IR"/>
        </w:rPr>
        <w:t xml:space="preserve">الْمَسْجِدِ ، وَضُرِبَتْ لَهُ قُبَّةٌ مِنْ شَعْرٍ ، وَشَمَّرَ الْمِئْزَرَ </w:t>
      </w:r>
      <w:r w:rsidRPr="00A91B96">
        <w:rPr>
          <w:rStyle w:val="libFootnotenumChar"/>
          <w:rtl/>
        </w:rPr>
        <w:t>(1)</w:t>
      </w:r>
      <w:r w:rsidRPr="00020424">
        <w:rPr>
          <w:rtl/>
          <w:lang w:bidi="fa-IR"/>
        </w:rPr>
        <w:t xml:space="preserve"> ، وَطَوى فِرَاشَهُ </w:t>
      </w:r>
      <w:r w:rsidRPr="00A91B96">
        <w:rPr>
          <w:rStyle w:val="libFootnotenumChar"/>
          <w:rtl/>
        </w:rPr>
        <w:t>(2)</w:t>
      </w:r>
      <w:r>
        <w:rPr>
          <w:rtl/>
          <w:lang w:bidi="fa-IR"/>
        </w:rPr>
        <w:t xml:space="preserve"> ».</w:t>
      </w:r>
    </w:p>
    <w:p w:rsidR="00992664" w:rsidRPr="00020424" w:rsidRDefault="00992664" w:rsidP="00992664">
      <w:pPr>
        <w:pStyle w:val="libNormal"/>
        <w:rPr>
          <w:rtl/>
          <w:lang w:bidi="fa-IR"/>
        </w:rPr>
      </w:pPr>
      <w:r w:rsidRPr="00020424">
        <w:rPr>
          <w:rtl/>
          <w:lang w:bidi="fa-IR"/>
        </w:rPr>
        <w:t xml:space="preserve">فَقَالَ </w:t>
      </w:r>
      <w:r w:rsidRPr="00A91B96">
        <w:rPr>
          <w:rStyle w:val="libFootnotenumChar"/>
          <w:rtl/>
        </w:rPr>
        <w:t>(3)</w:t>
      </w:r>
      <w:r w:rsidRPr="00020424">
        <w:rPr>
          <w:rtl/>
          <w:lang w:bidi="fa-IR"/>
        </w:rPr>
        <w:t xml:space="preserve"> بَعْضُهُمْ : وَاعْتَزَلَ النِّسَاءَ</w:t>
      </w:r>
      <w:r>
        <w:rPr>
          <w:rtl/>
          <w:lang w:bidi="fa-IR"/>
        </w:rPr>
        <w:t>؟</w:t>
      </w:r>
      <w:r w:rsidRPr="00020424">
        <w:rPr>
          <w:rtl/>
          <w:lang w:bidi="fa-IR"/>
        </w:rPr>
        <w:t xml:space="preserve"> فَقَالَ أَبُو عَبْدِ اللهِ </w:t>
      </w:r>
      <w:r w:rsidRPr="00005A81">
        <w:rPr>
          <w:rStyle w:val="libAlaemChar"/>
          <w:rtl/>
        </w:rPr>
        <w:t>عليه‌السلام</w:t>
      </w:r>
      <w:r w:rsidRPr="00020424">
        <w:rPr>
          <w:rtl/>
          <w:lang w:bidi="fa-IR"/>
        </w:rPr>
        <w:t xml:space="preserve"> : « أَمَّا اعْتِزَالُ النِّسَاءِ ، فَلَا</w:t>
      </w:r>
      <w:r w:rsidRPr="00A91B96">
        <w:rPr>
          <w:rStyle w:val="libFootnotenumChar"/>
          <w:rtl/>
        </w:rPr>
        <w:t>(4)</w:t>
      </w:r>
      <w:r>
        <w:rPr>
          <w:rtl/>
          <w:lang w:bidi="fa-IR"/>
        </w:rPr>
        <w:t>».</w:t>
      </w:r>
      <w:r w:rsidRPr="00A91B96">
        <w:rPr>
          <w:rStyle w:val="libFootnotenumChar"/>
          <w:rtl/>
        </w:rPr>
        <w:t>(5)</w:t>
      </w:r>
    </w:p>
    <w:p w:rsidR="00992664" w:rsidRPr="00020424" w:rsidRDefault="00992664" w:rsidP="00992664">
      <w:pPr>
        <w:pStyle w:val="libNormal"/>
        <w:rPr>
          <w:rtl/>
          <w:lang w:bidi="fa-IR"/>
        </w:rPr>
      </w:pPr>
      <w:r w:rsidRPr="00C83B91">
        <w:rPr>
          <w:rtl/>
        </w:rPr>
        <w:t>6676</w:t>
      </w:r>
      <w:r w:rsidRPr="001155DE">
        <w:rPr>
          <w:rStyle w:val="libBold2Char"/>
          <w:rtl/>
        </w:rPr>
        <w:t xml:space="preserve"> / 2.</w:t>
      </w:r>
      <w:r w:rsidRPr="00020424">
        <w:rPr>
          <w:rtl/>
          <w:lang w:bidi="fa-IR"/>
        </w:rPr>
        <w:t xml:space="preserve"> عَلِيُّ بْنُ إِبْرَاهِيمَ </w:t>
      </w:r>
      <w:r w:rsidRPr="00A91B96">
        <w:rPr>
          <w:rStyle w:val="libFootnotenumChar"/>
          <w:rtl/>
        </w:rPr>
        <w:t>(6)</w:t>
      </w:r>
      <w:r w:rsidRPr="00020424">
        <w:rPr>
          <w:rtl/>
          <w:lang w:bidi="fa-IR"/>
        </w:rPr>
        <w:t xml:space="preserve">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كَانَتْ </w:t>
      </w:r>
      <w:r w:rsidRPr="00A91B96">
        <w:rPr>
          <w:rStyle w:val="libFootnotenumChar"/>
          <w:rtl/>
        </w:rPr>
        <w:t>(7)</w:t>
      </w:r>
      <w:r w:rsidRPr="00020424">
        <w:rPr>
          <w:rtl/>
          <w:lang w:bidi="fa-IR"/>
        </w:rPr>
        <w:t xml:space="preserve"> بَدْرٌ فِي شَهْرِ </w:t>
      </w:r>
      <w:r w:rsidRPr="00A91B96">
        <w:rPr>
          <w:rStyle w:val="libFootnotenumChar"/>
          <w:rtl/>
        </w:rPr>
        <w:t>(8)</w:t>
      </w:r>
      <w:r w:rsidRPr="00020424">
        <w:rPr>
          <w:rtl/>
          <w:lang w:bidi="fa-IR"/>
        </w:rPr>
        <w:t xml:space="preserve"> رَمَضَانَ ، فَلَمْ يَعْتَكِفْ رَسُولُ اللهِ </w:t>
      </w:r>
      <w:r w:rsidR="00B42914" w:rsidRPr="00B42914">
        <w:rPr>
          <w:rStyle w:val="libAlaemChar"/>
          <w:rtl/>
        </w:rPr>
        <w:t>صلى‌الله‌عليه‌وآله‌</w:t>
      </w:r>
      <w:r w:rsidRPr="00020424">
        <w:rPr>
          <w:rtl/>
          <w:lang w:bidi="fa-IR"/>
        </w:rPr>
        <w:t xml:space="preserve"> ، فَلَمَّا أَنْ كَانَ مِنْ قَابِلٍ ، اعْتَكَفَ عَشْرَيْنِ </w:t>
      </w:r>
      <w:r w:rsidRPr="00A91B96">
        <w:rPr>
          <w:rStyle w:val="libFootnotenumChar"/>
          <w:rtl/>
        </w:rPr>
        <w:t>(9)</w:t>
      </w:r>
      <w:r w:rsidRPr="00020424">
        <w:rPr>
          <w:rtl/>
          <w:lang w:bidi="fa-IR"/>
        </w:rPr>
        <w:t xml:space="preserve"> : عَشْراً </w:t>
      </w:r>
      <w:r w:rsidRPr="00A91B96">
        <w:rPr>
          <w:rStyle w:val="libFootnotenumChar"/>
          <w:rtl/>
        </w:rPr>
        <w:t>(10)</w:t>
      </w:r>
      <w:r w:rsidRPr="00020424">
        <w:rPr>
          <w:rtl/>
          <w:lang w:bidi="fa-IR"/>
        </w:rPr>
        <w:t xml:space="preserve"> لِعَامِهِ ، وَعَشْراً </w:t>
      </w:r>
      <w:r w:rsidRPr="00A91B96">
        <w:rPr>
          <w:rStyle w:val="libFootnotenumChar"/>
          <w:rtl/>
        </w:rPr>
        <w:t>(11)</w:t>
      </w:r>
      <w:r w:rsidRPr="00020424">
        <w:rPr>
          <w:rtl/>
          <w:lang w:bidi="fa-IR"/>
        </w:rPr>
        <w:t xml:space="preserve"> قَضَاءً لِمَا </w:t>
      </w:r>
      <w:r w:rsidRPr="00A91B96">
        <w:rPr>
          <w:rStyle w:val="libFootnotenumChar"/>
          <w:rtl/>
        </w:rPr>
        <w:t>(12)</w:t>
      </w:r>
      <w:r w:rsidRPr="00020424">
        <w:rPr>
          <w:rtl/>
          <w:lang w:bidi="fa-IR"/>
        </w:rPr>
        <w:t xml:space="preserve"> فَاتَهُ</w:t>
      </w:r>
      <w:r>
        <w:rPr>
          <w:rtl/>
          <w:lang w:bidi="fa-IR"/>
        </w:rPr>
        <w:t xml:space="preserve"> ».</w:t>
      </w:r>
      <w:r w:rsidRPr="00020424">
        <w:rPr>
          <w:rtl/>
          <w:lang w:bidi="fa-IR"/>
        </w:rPr>
        <w:t xml:space="preserve"> </w:t>
      </w:r>
      <w:r w:rsidRPr="00A91B96">
        <w:rPr>
          <w:rStyle w:val="libFootnotenumChar"/>
          <w:rtl/>
        </w:rPr>
        <w:t>(13)</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تشمير المئزر : رفعه. قال الفيّومي : « ومنه قيل : شمّر في العبادة ، إذا اجتهد وبالغ</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2 ، ص 703 ؛ </w:t>
      </w:r>
      <w:r w:rsidR="00992664" w:rsidRPr="00A722B1">
        <w:rPr>
          <w:rStyle w:val="libFootnoteBoldChar"/>
          <w:rtl/>
        </w:rPr>
        <w:t>المصباح المنير</w:t>
      </w:r>
      <w:r w:rsidR="00992664" w:rsidRPr="00020424">
        <w:rPr>
          <w:rtl/>
        </w:rPr>
        <w:t xml:space="preserve"> ، ص 322 ( شمر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طوى فراشه » أي جمعه ؛ من الطَي</w:t>
      </w:r>
      <w:r w:rsidR="00F34B45">
        <w:rPr>
          <w:rtl/>
        </w:rPr>
        <w:t>ِّ ، وهو نقيض النشر. وقال العل</w:t>
      </w:r>
      <w:r w:rsidR="00F34B45">
        <w:rPr>
          <w:rFonts w:hint="cs"/>
          <w:rtl/>
        </w:rPr>
        <w:t>ّ</w:t>
      </w:r>
      <w:r w:rsidR="00F34B45">
        <w:rPr>
          <w:rtl/>
        </w:rPr>
        <w:t>ا</w:t>
      </w:r>
      <w:r w:rsidR="00992664" w:rsidRPr="00020424">
        <w:rPr>
          <w:rtl/>
        </w:rPr>
        <w:t xml:space="preserve">مة المجلسي : « قوله </w:t>
      </w:r>
      <w:r w:rsidR="00992664" w:rsidRPr="00D64ADA">
        <w:rPr>
          <w:rStyle w:val="libFootnoteAlaemChar"/>
          <w:rtl/>
        </w:rPr>
        <w:t>عليه‌السلام</w:t>
      </w:r>
      <w:r w:rsidR="00992664" w:rsidRPr="00020424">
        <w:rPr>
          <w:rtl/>
        </w:rPr>
        <w:t xml:space="preserve"> : وطوى فراشه ، كناية عن ترك الجماع والمضاجعة ، أو عن قلّة النوم. والأوّل أظهر ، ولا ينافيه قوله </w:t>
      </w:r>
      <w:r w:rsidR="00992664" w:rsidRPr="00D64ADA">
        <w:rPr>
          <w:rStyle w:val="libFootnoteAlaemChar"/>
          <w:rtl/>
        </w:rPr>
        <w:t>عليه‌السلام</w:t>
      </w:r>
      <w:r w:rsidR="00992664" w:rsidRPr="00020424">
        <w:rPr>
          <w:rtl/>
        </w:rPr>
        <w:t xml:space="preserve"> : أمّا اعتزال النساء فلا ؛ فإنّ المراد به الاعتزال بالكلّيّة بحيث يمنعهنّ عن الخدمة والمكالمة والجلوس معه</w:t>
      </w:r>
      <w:r w:rsidR="00992664">
        <w:rPr>
          <w:rtl/>
        </w:rPr>
        <w:t xml:space="preserve"> ».</w:t>
      </w:r>
      <w:r w:rsidR="00992664" w:rsidRPr="00020424">
        <w:rPr>
          <w:rtl/>
        </w:rPr>
        <w:t xml:space="preserve"> راجع : </w:t>
      </w:r>
      <w:r w:rsidR="00992664" w:rsidRPr="00A722B1">
        <w:rPr>
          <w:rStyle w:val="libFootnoteBoldChar"/>
          <w:rtl/>
        </w:rPr>
        <w:t>لسان العرب</w:t>
      </w:r>
      <w:r w:rsidR="00992664" w:rsidRPr="00020424">
        <w:rPr>
          <w:rtl/>
        </w:rPr>
        <w:t xml:space="preserve"> ، ج 15 ، ص 18 ( طوى ) ؛ </w:t>
      </w:r>
      <w:r w:rsidR="00992664" w:rsidRPr="00DE76B9">
        <w:rPr>
          <w:rStyle w:val="libFootnoteBoldChar"/>
          <w:rtl/>
        </w:rPr>
        <w:t>مرآة العقول</w:t>
      </w:r>
      <w:r w:rsidR="00992664" w:rsidRPr="00020424">
        <w:rPr>
          <w:rtl/>
        </w:rPr>
        <w:t xml:space="preserve"> ، ج 16 ، ص 426.</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هكذا في جميع النسخ التي </w:t>
      </w:r>
      <w:r w:rsidR="00992664" w:rsidRPr="006B5249">
        <w:rPr>
          <w:rtl/>
        </w:rPr>
        <w:t>قوبلت والوافي والبحار والتهذيب والاستبصار</w:t>
      </w:r>
      <w:r w:rsidR="00992664" w:rsidRPr="00020424">
        <w:rPr>
          <w:rtl/>
        </w:rPr>
        <w:t>. وفي المطبوع : « وقال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أراد بنفي الاعتزال إثبات مخالطتهنّ ومحادثتهنّ دون الجماع ؛ لتحريمه على المعتكف ، كما يأتي ، وفي طيّ الفراش إشارة إلى ذلك</w:t>
      </w:r>
      <w:r w:rsidR="00992664">
        <w:rPr>
          <w:rtl/>
        </w:rPr>
        <w:t xml:space="preserve"> ».</w:t>
      </w:r>
    </w:p>
    <w:p w:rsidR="00992664" w:rsidRPr="00020424" w:rsidRDefault="00795177" w:rsidP="0059516C">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287 ، ح 869 ؛ </w:t>
      </w:r>
      <w:r w:rsidR="00992664" w:rsidRPr="00FD6221">
        <w:rPr>
          <w:rStyle w:val="libFootnoteBoldChar"/>
          <w:rtl/>
        </w:rPr>
        <w:t>والاستبصار</w:t>
      </w:r>
      <w:r w:rsidR="00992664" w:rsidRPr="00020424">
        <w:rPr>
          <w:rtl/>
        </w:rPr>
        <w:t xml:space="preserve"> ، ج 2 ، ص 130 ، ح 426 ، معلّقاً عن الكليني. وفي </w:t>
      </w:r>
      <w:r w:rsidR="00992664" w:rsidRPr="00DE76B9">
        <w:rPr>
          <w:rStyle w:val="libFootnoteBoldChar"/>
          <w:rtl/>
        </w:rPr>
        <w:t>الكافي</w:t>
      </w:r>
      <w:r w:rsidR="00992664" w:rsidRPr="00020424">
        <w:rPr>
          <w:rtl/>
        </w:rPr>
        <w:t xml:space="preserve"> ، كتاب الصيام ، باب ما يزاد من الصلاة في شهر رمضان ، ح 6615 ؛ </w:t>
      </w:r>
      <w:r w:rsidR="00992664" w:rsidRPr="00FD6221">
        <w:rPr>
          <w:rStyle w:val="libFootnoteBoldChar"/>
          <w:rtl/>
        </w:rPr>
        <w:t>والفقيه</w:t>
      </w:r>
      <w:r w:rsidR="00992664" w:rsidRPr="00020424">
        <w:rPr>
          <w:rtl/>
        </w:rPr>
        <w:t xml:space="preserve"> ، ج 2 ، ص 156 ، ح 2018 ، بسند آخر مع اختلاف. </w:t>
      </w:r>
      <w:r w:rsidR="00992664" w:rsidRPr="0012008A">
        <w:rPr>
          <w:rStyle w:val="libFootnoteBoldChar"/>
          <w:rtl/>
        </w:rPr>
        <w:t>الفقيه</w:t>
      </w:r>
      <w:r w:rsidR="00992664" w:rsidRPr="00020424">
        <w:rPr>
          <w:rtl/>
        </w:rPr>
        <w:t xml:space="preserve"> ، ج 2 ، ص 184 ، ح 2087 ، مرسلاً </w:t>
      </w:r>
      <w:r w:rsidR="0059516C">
        <w:rPr>
          <w:rFonts w:hint="cs"/>
          <w:rtl/>
        </w:rPr>
        <w:t>.</w:t>
      </w:r>
      <w:r w:rsidR="00992664" w:rsidRPr="0012008A">
        <w:rPr>
          <w:rStyle w:val="libFootnoteBoldChar"/>
          <w:rtl/>
        </w:rPr>
        <w:t>الوافي</w:t>
      </w:r>
      <w:r w:rsidR="00992664" w:rsidRPr="00020424">
        <w:rPr>
          <w:rtl/>
        </w:rPr>
        <w:t xml:space="preserve"> ، ج 11 ، ص 483 ، ح 11163 ؛ </w:t>
      </w:r>
      <w:r w:rsidR="00992664" w:rsidRPr="0012008A">
        <w:rPr>
          <w:rStyle w:val="libFootnoteBoldChar"/>
          <w:rtl/>
        </w:rPr>
        <w:t>الوسائل</w:t>
      </w:r>
      <w:r w:rsidR="00992664" w:rsidRPr="00020424">
        <w:rPr>
          <w:rtl/>
        </w:rPr>
        <w:t xml:space="preserve"> ، ج 10 ، ص 533 ، ذيل ح 14046 ، إلى قوله : « وطوى فراشه » ؛ وص 545 ، ح 14082 ؛ </w:t>
      </w:r>
      <w:r w:rsidR="00992664" w:rsidRPr="0012008A">
        <w:rPr>
          <w:rStyle w:val="libFootnoteBoldChar"/>
          <w:rtl/>
        </w:rPr>
        <w:t>البحار</w:t>
      </w:r>
      <w:r w:rsidR="00992664" w:rsidRPr="00020424">
        <w:rPr>
          <w:rtl/>
        </w:rPr>
        <w:t xml:space="preserve"> ، ج 16 ، ص 273 ، ح 102.</w:t>
      </w:r>
      <w:r w:rsidR="0059516C">
        <w:rPr>
          <w:rFonts w:hint="cs"/>
          <w:rtl/>
        </w:rPr>
        <w:t xml:space="preserve">       </w:t>
      </w:r>
      <w:r>
        <w:rPr>
          <w:rtl/>
        </w:rPr>
        <w:t>(6).</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بن إبراهيم</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بر ، بف » وحاشية « ى ، بث » </w:t>
      </w:r>
      <w:r w:rsidR="00992664" w:rsidRPr="00515444">
        <w:rPr>
          <w:rStyle w:val="libFootnoteBoldChar"/>
          <w:rtl/>
        </w:rPr>
        <w:t>والوافي</w:t>
      </w:r>
      <w:r w:rsidR="00992664" w:rsidRPr="00020424">
        <w:rPr>
          <w:rtl/>
        </w:rPr>
        <w:t xml:space="preserve"> : « كان</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وفقه الرضا :</w:t>
      </w:r>
      <w:r w:rsidR="00992664">
        <w:rPr>
          <w:rtl/>
        </w:rPr>
        <w:t xml:space="preserve"> </w:t>
      </w:r>
      <w:r w:rsidR="009B673F">
        <w:rPr>
          <w:rtl/>
        </w:rPr>
        <w:t>-</w:t>
      </w:r>
      <w:r w:rsidR="00992664">
        <w:rPr>
          <w:rtl/>
        </w:rPr>
        <w:t xml:space="preserve"> </w:t>
      </w:r>
      <w:r w:rsidR="00992664" w:rsidRPr="00020424">
        <w:rPr>
          <w:rtl/>
        </w:rPr>
        <w:t>« شهر</w:t>
      </w:r>
      <w:r w:rsidR="00992664">
        <w:rPr>
          <w:rtl/>
        </w:rPr>
        <w:t xml:space="preserve"> ».</w:t>
      </w:r>
    </w:p>
    <w:p w:rsidR="00992664" w:rsidRPr="00020424" w:rsidRDefault="00795177" w:rsidP="0059516C">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عشرين ، بفتح العين بصيغة التثنية ، ولا ينافي وجوب كلّ ثالث ؛ لأنّ عشر الأداءوعشر القضاء كانا منفصلين في النيّة</w:t>
      </w:r>
      <w:r w:rsidR="00992664">
        <w:rPr>
          <w:rtl/>
        </w:rPr>
        <w:t xml:space="preserve"> ».</w:t>
      </w:r>
      <w:r w:rsidR="0059516C">
        <w:rPr>
          <w:rFonts w:hint="cs"/>
          <w:rtl/>
        </w:rPr>
        <w:t xml:space="preserve">                 </w:t>
      </w:r>
      <w:r>
        <w:rPr>
          <w:rtl/>
        </w:rPr>
        <w:t>(10).</w:t>
      </w:r>
      <w:r w:rsidR="0014403D">
        <w:rPr>
          <w:rtl/>
        </w:rPr>
        <w:t xml:space="preserve"> </w:t>
      </w:r>
      <w:r w:rsidR="00992664" w:rsidRPr="00020424">
        <w:rPr>
          <w:rtl/>
        </w:rPr>
        <w:t>في « بر ، بف » : « عشر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373B7" w:rsidTr="005373B7">
        <w:tc>
          <w:tcPr>
            <w:tcW w:w="4006" w:type="dxa"/>
          </w:tcPr>
          <w:p w:rsidR="005373B7" w:rsidRDefault="005373B7" w:rsidP="00992664">
            <w:pPr>
              <w:pStyle w:val="libFootnote0"/>
              <w:rPr>
                <w:rtl/>
              </w:rPr>
            </w:pPr>
            <w:r>
              <w:rPr>
                <w:rtl/>
              </w:rPr>
              <w:t xml:space="preserve">(11). </w:t>
            </w:r>
            <w:r w:rsidRPr="00020424">
              <w:rPr>
                <w:rtl/>
              </w:rPr>
              <w:t>في « بر ، بف » : « وعشر</w:t>
            </w:r>
            <w:r>
              <w:rPr>
                <w:rtl/>
              </w:rPr>
              <w:t xml:space="preserve"> ».</w:t>
            </w:r>
          </w:p>
        </w:tc>
        <w:tc>
          <w:tcPr>
            <w:tcW w:w="4006" w:type="dxa"/>
          </w:tcPr>
          <w:p w:rsidR="005373B7" w:rsidRDefault="005373B7" w:rsidP="00992664">
            <w:pPr>
              <w:pStyle w:val="libFootnote0"/>
              <w:rPr>
                <w:rtl/>
              </w:rPr>
            </w:pPr>
            <w:r>
              <w:rPr>
                <w:rtl/>
              </w:rPr>
              <w:t xml:space="preserve">(12). </w:t>
            </w:r>
            <w:r w:rsidRPr="00020424">
              <w:rPr>
                <w:rtl/>
              </w:rPr>
              <w:t>في « بر » : « ما</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12008A">
        <w:rPr>
          <w:rStyle w:val="libFootnoteBoldChar"/>
          <w:rtl/>
        </w:rPr>
        <w:t>الفقيه</w:t>
      </w:r>
      <w:r w:rsidR="00992664" w:rsidRPr="00020424">
        <w:rPr>
          <w:rtl/>
        </w:rPr>
        <w:t xml:space="preserve"> ، ج 2 ، ص 184 ، ح 2088 ، مرسلاً ؛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190 ، مع اختلاف يسير </w:t>
      </w:r>
      <w:r w:rsidR="003565AE">
        <w:rPr>
          <w:rFonts w:hint="cs"/>
          <w:rtl/>
        </w:rPr>
        <w:t>.</w:t>
      </w:r>
      <w:r w:rsidR="00992664" w:rsidRPr="0012008A">
        <w:rPr>
          <w:rStyle w:val="libFootnoteBoldChar"/>
          <w:rtl/>
        </w:rPr>
        <w:t>الوافي</w:t>
      </w:r>
      <w:r w:rsidR="00992664" w:rsidRPr="00020424">
        <w:rPr>
          <w:rtl/>
        </w:rPr>
        <w:t xml:space="preserve"> ، ج 11 ، ص 484 ، ح 11164 ؛ </w:t>
      </w:r>
      <w:r w:rsidR="00992664" w:rsidRPr="0012008A">
        <w:rPr>
          <w:rStyle w:val="libFootnoteBoldChar"/>
          <w:rtl/>
        </w:rPr>
        <w:t>الوسائل</w:t>
      </w:r>
      <w:r w:rsidR="00992664" w:rsidRPr="00020424">
        <w:rPr>
          <w:rtl/>
        </w:rPr>
        <w:t xml:space="preserve"> ، ج 10 ، ص 533 ، ذيل ح 14047 ؛ </w:t>
      </w:r>
      <w:r w:rsidR="00992664" w:rsidRPr="0012008A">
        <w:rPr>
          <w:rStyle w:val="libFootnoteBoldChar"/>
          <w:rtl/>
        </w:rPr>
        <w:t>البحار</w:t>
      </w:r>
      <w:r w:rsidR="00992664" w:rsidRPr="00020424">
        <w:rPr>
          <w:rtl/>
        </w:rPr>
        <w:t xml:space="preserve"> ، ج 16 ، ص 274 ، ح 103.</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43309">
        <w:rPr>
          <w:rtl/>
        </w:rPr>
        <w:t>6677</w:t>
      </w:r>
      <w:r w:rsidRPr="001155DE">
        <w:rPr>
          <w:rStyle w:val="libBold2Char"/>
          <w:rtl/>
        </w:rPr>
        <w:t xml:space="preserve"> / 3.</w:t>
      </w:r>
      <w:r w:rsidRPr="00020424">
        <w:rPr>
          <w:rtl/>
          <w:lang w:bidi="fa-IR"/>
        </w:rPr>
        <w:t xml:space="preserve"> عِدَّةٌ مِنْ أَصْحَابِنَا ، عَنْ سَهْلِ بْنِ زِيَادٍ ، عَنْ أَحْمَدَ بْنِ مُحَمَّدٍ ، عَنْ دَاوُدَ بْنِ الْحُصَيْنِ ، عَنْ أَبِي الْعَبَّاسِ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اعْتَكَفَ رَسُولُ اللهِ </w:t>
      </w:r>
      <w:r w:rsidR="00B42914" w:rsidRPr="00B42914">
        <w:rPr>
          <w:rStyle w:val="libAlaemChar"/>
          <w:rtl/>
        </w:rPr>
        <w:t>صلى‌الله‌عليه‌وآله‌</w:t>
      </w:r>
      <w:r w:rsidRPr="00020424">
        <w:rPr>
          <w:rtl/>
          <w:lang w:bidi="fa-IR"/>
        </w:rPr>
        <w:t xml:space="preserve"> فِي شَهْرِ رَمَضَانَ فِي الْعَشْرِ الْأَوَّلِ </w:t>
      </w:r>
      <w:r w:rsidRPr="00A91B96">
        <w:rPr>
          <w:rStyle w:val="libFootnotenumChar"/>
          <w:rtl/>
        </w:rPr>
        <w:t>(1)</w:t>
      </w:r>
      <w:r w:rsidRPr="00020424">
        <w:rPr>
          <w:rtl/>
          <w:lang w:bidi="fa-IR"/>
        </w:rPr>
        <w:t>، ثُمَّ اعْتَكَفَ فِي الثَّانِيَةِ فِي الْعَشْرِ الْوُسْطى ، ثُمَّ اعْتَكَفَ فِي الثَّالِثَةِ فِي الْعَشْرِ الْأَوَاخِرِ ، ثُمَّ لَمْ يَزَلْ يَعْتَكِفُ فِي الْعَشْرِ الْأَوَاخِرِ</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538" w:name="_Toc345172896"/>
      <w:bookmarkStart w:id="539" w:name="_Toc464562710"/>
      <w:bookmarkStart w:id="540" w:name="_Toc44600017"/>
      <w:r w:rsidRPr="00020424">
        <w:rPr>
          <w:rtl/>
          <w:lang w:bidi="fa-IR"/>
        </w:rPr>
        <w:t>77</w:t>
      </w:r>
      <w:r>
        <w:rPr>
          <w:rtl/>
          <w:lang w:bidi="fa-IR"/>
        </w:rPr>
        <w:t xml:space="preserve"> </w:t>
      </w:r>
      <w:r w:rsidR="009B673F">
        <w:rPr>
          <w:rtl/>
          <w:lang w:bidi="fa-IR"/>
        </w:rPr>
        <w:t>-</w:t>
      </w:r>
      <w:r>
        <w:rPr>
          <w:rtl/>
          <w:lang w:bidi="fa-IR"/>
        </w:rPr>
        <w:t xml:space="preserve"> </w:t>
      </w:r>
      <w:r w:rsidRPr="00020424">
        <w:rPr>
          <w:rtl/>
          <w:lang w:bidi="fa-IR"/>
        </w:rPr>
        <w:t xml:space="preserve">بَابُ أَنَّهُ لَايَكُونُ الِاعْتِكَافُ </w:t>
      </w:r>
      <w:r w:rsidRPr="00A91B96">
        <w:rPr>
          <w:rStyle w:val="libFootnotenumChar"/>
          <w:rtl/>
        </w:rPr>
        <w:t>(3)</w:t>
      </w:r>
      <w:r>
        <w:rPr>
          <w:rtl/>
        </w:rPr>
        <w:t xml:space="preserve"> </w:t>
      </w:r>
      <w:r w:rsidR="006537F0">
        <w:rPr>
          <w:rtl/>
          <w:lang w:bidi="fa-IR"/>
        </w:rPr>
        <w:t>إِل</w:t>
      </w:r>
      <w:r w:rsidR="006537F0">
        <w:rPr>
          <w:rFonts w:hint="cs"/>
          <w:rtl/>
          <w:lang w:bidi="fa-IR"/>
        </w:rPr>
        <w:t>َّ</w:t>
      </w:r>
      <w:r w:rsidR="006537F0">
        <w:rPr>
          <w:rtl/>
          <w:lang w:bidi="fa-IR"/>
        </w:rPr>
        <w:t>ا</w:t>
      </w:r>
      <w:r w:rsidRPr="00020424">
        <w:rPr>
          <w:rtl/>
          <w:lang w:bidi="fa-IR"/>
        </w:rPr>
        <w:t xml:space="preserve"> بِصَوْمٍ‌</w:t>
      </w:r>
      <w:bookmarkEnd w:id="538"/>
      <w:bookmarkEnd w:id="539"/>
      <w:bookmarkEnd w:id="540"/>
    </w:p>
    <w:p w:rsidR="00992664" w:rsidRPr="00020424" w:rsidRDefault="00992664" w:rsidP="00992664">
      <w:pPr>
        <w:pStyle w:val="libNormal"/>
        <w:rPr>
          <w:rtl/>
          <w:lang w:bidi="fa-IR"/>
        </w:rPr>
      </w:pPr>
      <w:r w:rsidRPr="00343309">
        <w:rPr>
          <w:rtl/>
        </w:rPr>
        <w:t>6678</w:t>
      </w:r>
      <w:r w:rsidRPr="001155DE">
        <w:rPr>
          <w:rStyle w:val="libBold2Char"/>
          <w:rtl/>
        </w:rPr>
        <w:t xml:space="preserve"> / 1.</w:t>
      </w:r>
      <w:r w:rsidRPr="00020424">
        <w:rPr>
          <w:rtl/>
          <w:lang w:bidi="fa-IR"/>
        </w:rPr>
        <w:t xml:space="preserve"> عِدَّةٌ مِنْ أَصْحَابِنَا ، عَنْ سَهْلِ بْنِ زِيَادٍ ، عَنْ أَحْمَدَ بْنِ مُحَمَّدٍ ، عَنْ دَاوُدَ بْنِ الْحُصَيْنِ ، عَنْ أَبِي الْعَبَّاسِ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00961E56">
        <w:rPr>
          <w:rtl/>
          <w:lang w:bidi="fa-IR"/>
        </w:rPr>
        <w:t xml:space="preserve"> قَالَ : « لَا اعْتِكَافَ إِل</w:t>
      </w:r>
      <w:r w:rsidR="00961E56">
        <w:rPr>
          <w:rFonts w:hint="cs"/>
          <w:rtl/>
          <w:lang w:bidi="fa-IR"/>
        </w:rPr>
        <w:t>َّ</w:t>
      </w:r>
      <w:r w:rsidR="00961E56">
        <w:rPr>
          <w:rtl/>
          <w:lang w:bidi="fa-IR"/>
        </w:rPr>
        <w:t>ا</w:t>
      </w:r>
      <w:r w:rsidRPr="00020424">
        <w:rPr>
          <w:rtl/>
          <w:lang w:bidi="fa-IR"/>
        </w:rPr>
        <w:t xml:space="preserve"> بِصَوْمٍ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343309">
        <w:rPr>
          <w:rtl/>
        </w:rPr>
        <w:t>6679</w:t>
      </w:r>
      <w:r w:rsidRPr="001155DE">
        <w:rPr>
          <w:rStyle w:val="libBold2Char"/>
          <w:rtl/>
        </w:rPr>
        <w:t xml:space="preserve"> / 2.</w:t>
      </w:r>
      <w:r w:rsidRPr="00020424">
        <w:rPr>
          <w:rtl/>
          <w:lang w:bidi="fa-IR"/>
        </w:rPr>
        <w:t xml:space="preserve"> مُحَمَّدُ بْنُ يَحْيى ، عَنْ مُحَمَّدِ بْنِ الْحُسَيْنِ ، عَنْ صَفْوَانَ بْنِ يَحْيى ، عَنِ الْعَلَاءِ بْنِ رَزِينٍ ، عَنْ مُحَمَّدِ بْنِ مُسْلِمٍ ، قَالَ :</w:t>
      </w:r>
    </w:p>
    <w:p w:rsidR="00992664" w:rsidRPr="00020424" w:rsidRDefault="00992664" w:rsidP="00992664">
      <w:pPr>
        <w:pStyle w:val="libNormal"/>
        <w:rPr>
          <w:rtl/>
          <w:lang w:bidi="fa-IR"/>
        </w:rPr>
      </w:pPr>
      <w:r w:rsidRPr="00020424">
        <w:rPr>
          <w:rtl/>
          <w:lang w:bidi="fa-IR"/>
        </w:rPr>
        <w:t xml:space="preserve">قَالَ أَبُو عَبْدِ اللهِ </w:t>
      </w:r>
      <w:r w:rsidRPr="00005A81">
        <w:rPr>
          <w:rStyle w:val="libAlaemChar"/>
          <w:rtl/>
        </w:rPr>
        <w:t>عليه‌السلام</w:t>
      </w:r>
      <w:r w:rsidRPr="00020424">
        <w:rPr>
          <w:rtl/>
          <w:lang w:bidi="fa-IR"/>
        </w:rPr>
        <w:t xml:space="preserve"> : « لَا</w:t>
      </w:r>
      <w:r>
        <w:rPr>
          <w:rFonts w:hint="cs"/>
          <w:rtl/>
          <w:lang w:bidi="fa-IR"/>
        </w:rPr>
        <w:t xml:space="preserve"> </w:t>
      </w:r>
      <w:r w:rsidR="00B01B98">
        <w:rPr>
          <w:rtl/>
          <w:lang w:bidi="fa-IR"/>
        </w:rPr>
        <w:t>اعْتِكَافَ إِل</w:t>
      </w:r>
      <w:r w:rsidR="00B01B98">
        <w:rPr>
          <w:rFonts w:hint="cs"/>
          <w:rtl/>
          <w:lang w:bidi="fa-IR"/>
        </w:rPr>
        <w:t>َّ</w:t>
      </w:r>
      <w:r w:rsidR="00B01B98">
        <w:rPr>
          <w:rtl/>
          <w:lang w:bidi="fa-IR"/>
        </w:rPr>
        <w:t>ا</w:t>
      </w:r>
      <w:r w:rsidRPr="00020424">
        <w:rPr>
          <w:rtl/>
          <w:lang w:bidi="fa-IR"/>
        </w:rPr>
        <w:t xml:space="preserve"> بِصَوْمٍ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بخ » </w:t>
      </w:r>
      <w:r w:rsidR="00992664" w:rsidRPr="00515444">
        <w:rPr>
          <w:rStyle w:val="libFootnoteBoldChar"/>
          <w:rtl/>
        </w:rPr>
        <w:t>والوافي</w:t>
      </w:r>
      <w:r w:rsidR="00992664" w:rsidRPr="00020424">
        <w:rPr>
          <w:rtl/>
        </w:rPr>
        <w:t xml:space="preserve"> </w:t>
      </w:r>
      <w:r w:rsidR="00992664" w:rsidRPr="00FD6221">
        <w:rPr>
          <w:rStyle w:val="libFootnoteBoldChar"/>
          <w:rtl/>
        </w:rPr>
        <w:t>والفقيه</w:t>
      </w:r>
      <w:r w:rsidR="00992664" w:rsidRPr="00020424">
        <w:rPr>
          <w:rtl/>
        </w:rPr>
        <w:t xml:space="preserve"> : « الا</w:t>
      </w:r>
      <w:r w:rsidR="0064544A">
        <w:rPr>
          <w:rFonts w:hint="cs"/>
          <w:rtl/>
        </w:rPr>
        <w:t>ُ</w:t>
      </w:r>
      <w:r w:rsidR="00992664" w:rsidRPr="00020424">
        <w:rPr>
          <w:rtl/>
        </w:rPr>
        <w:t>ولى</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189 ، ح 2105 ، معلّقاً عن داود بن الحصين. </w:t>
      </w:r>
      <w:r w:rsidR="00992664" w:rsidRPr="00DE76B9">
        <w:rPr>
          <w:rStyle w:val="libFootnoteBoldChar"/>
          <w:rtl/>
        </w:rPr>
        <w:t>الغارات</w:t>
      </w:r>
      <w:r w:rsidR="00992664" w:rsidRPr="00020424">
        <w:rPr>
          <w:rtl/>
        </w:rPr>
        <w:t xml:space="preserve"> ، ج 1 ، ص 158 ، بسند آخر عن أميرالمؤمنين </w:t>
      </w:r>
      <w:r w:rsidR="00992664" w:rsidRPr="00D64ADA">
        <w:rPr>
          <w:rStyle w:val="libFootnoteAlaemChar"/>
          <w:rtl/>
        </w:rPr>
        <w:t>عليه‌السلام</w:t>
      </w:r>
      <w:r w:rsidR="00992664" w:rsidRPr="00020424">
        <w:rPr>
          <w:rtl/>
        </w:rPr>
        <w:t xml:space="preserve"> ، مع اختلاف يسير </w:t>
      </w:r>
      <w:r w:rsidR="00B8026E">
        <w:rPr>
          <w:rFonts w:hint="cs"/>
          <w:rtl/>
        </w:rPr>
        <w:t>.</w:t>
      </w:r>
      <w:r w:rsidR="00992664" w:rsidRPr="0012008A">
        <w:rPr>
          <w:rStyle w:val="libFootnoteBoldChar"/>
          <w:rtl/>
        </w:rPr>
        <w:t>الوافي</w:t>
      </w:r>
      <w:r w:rsidR="00992664" w:rsidRPr="00020424">
        <w:rPr>
          <w:rtl/>
        </w:rPr>
        <w:t xml:space="preserve"> ، ج 11 ، ص 484 ، ح 11165 ؛ </w:t>
      </w:r>
      <w:r w:rsidR="00992664" w:rsidRPr="0012008A">
        <w:rPr>
          <w:rStyle w:val="libFootnoteBoldChar"/>
          <w:rtl/>
        </w:rPr>
        <w:t>الوسائل</w:t>
      </w:r>
      <w:r w:rsidR="00992664" w:rsidRPr="00020424">
        <w:rPr>
          <w:rtl/>
        </w:rPr>
        <w:t xml:space="preserve"> ، ج 10 ، ص 534 ، ذيل ح 14049 ؛ </w:t>
      </w:r>
      <w:r w:rsidR="00992664" w:rsidRPr="0012008A">
        <w:rPr>
          <w:rStyle w:val="libFootnoteBoldChar"/>
          <w:rtl/>
        </w:rPr>
        <w:t>البحار</w:t>
      </w:r>
      <w:r w:rsidR="00992664" w:rsidRPr="00020424">
        <w:rPr>
          <w:rtl/>
        </w:rPr>
        <w:t xml:space="preserve"> ، ج 16 ، ص 274 ، ح 104.</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بث ، بح ، بخ ، بس » : « اعتكاف</w:t>
      </w:r>
      <w:r w:rsidR="00992664">
        <w:rPr>
          <w:rtl/>
        </w:rPr>
        <w:t xml:space="preserve"> ».</w:t>
      </w:r>
      <w:r w:rsidR="00992664" w:rsidRPr="00020424">
        <w:rPr>
          <w:rtl/>
        </w:rPr>
        <w:t xml:space="preserve"> وفي هامش المطبوع عن بعض النسخ : « لا يجوز اعتكاف » بدل « لا يكون الاعتكاف</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288 ، ح 873 ، معلّقاً عن الكليني. </w:t>
      </w:r>
      <w:r w:rsidR="00992664" w:rsidRPr="00DE76B9">
        <w:rPr>
          <w:rStyle w:val="libFootnoteBoldChar"/>
          <w:rtl/>
        </w:rPr>
        <w:t>صحيفة الرضا</w:t>
      </w:r>
      <w:r w:rsidR="00992664" w:rsidRPr="00020424">
        <w:rPr>
          <w:rtl/>
        </w:rPr>
        <w:t xml:space="preserve"> </w:t>
      </w:r>
      <w:r w:rsidR="00992664" w:rsidRPr="00D64ADA">
        <w:rPr>
          <w:rStyle w:val="libFootnoteAlaemChar"/>
          <w:rtl/>
        </w:rPr>
        <w:t>عليه‌السلام</w:t>
      </w:r>
      <w:r w:rsidR="00992664" w:rsidRPr="00020424">
        <w:rPr>
          <w:rtl/>
        </w:rPr>
        <w:t xml:space="preserve"> ، ص 67 ، ح 120 ، بسند آخر عن الرضا ، عن آبائه </w:t>
      </w:r>
      <w:r w:rsidR="00992664" w:rsidRPr="00D64ADA">
        <w:rPr>
          <w:rStyle w:val="libFootnoteAlaemChar"/>
          <w:rtl/>
        </w:rPr>
        <w:t>عليهم‌السلام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w:t>
      </w:r>
      <w:r w:rsidR="00992664" w:rsidRPr="00DE76B9">
        <w:rPr>
          <w:rStyle w:val="libFootnoteBoldChar"/>
          <w:rtl/>
        </w:rPr>
        <w:t>عيون الأخبار</w:t>
      </w:r>
      <w:r w:rsidR="00992664" w:rsidRPr="00020424">
        <w:rPr>
          <w:rtl/>
        </w:rPr>
        <w:t xml:space="preserve"> ، ج 2 ، ص 38 ، ح 103 ، بسند آخر عن الرضا ، عن آبائه ، عن عليّ بن أبي طالب </w:t>
      </w:r>
      <w:r w:rsidR="00992664" w:rsidRPr="00D64ADA">
        <w:rPr>
          <w:rStyle w:val="libFootnoteAlaemChar"/>
          <w:rtl/>
        </w:rPr>
        <w:t>عليهم‌السلام</w:t>
      </w:r>
      <w:r w:rsidR="00992664" w:rsidRPr="00020424">
        <w:rPr>
          <w:rtl/>
        </w:rPr>
        <w:t xml:space="preserve"> </w:t>
      </w:r>
      <w:r w:rsidR="00B8026E">
        <w:rPr>
          <w:rFonts w:hint="cs"/>
          <w:rtl/>
        </w:rPr>
        <w:t>.</w:t>
      </w:r>
      <w:r w:rsidR="00992664" w:rsidRPr="0012008A">
        <w:rPr>
          <w:rStyle w:val="libFootnoteBoldChar"/>
          <w:rtl/>
        </w:rPr>
        <w:t>الوافي</w:t>
      </w:r>
      <w:r w:rsidR="00992664" w:rsidRPr="00020424">
        <w:rPr>
          <w:rtl/>
        </w:rPr>
        <w:t xml:space="preserve"> ، ج 11 ، ص 485 ، ح 11168 ؛ </w:t>
      </w:r>
      <w:r w:rsidR="00992664" w:rsidRPr="0012008A">
        <w:rPr>
          <w:rStyle w:val="libFootnoteBoldChar"/>
          <w:rtl/>
        </w:rPr>
        <w:t>الوسائل</w:t>
      </w:r>
      <w:r w:rsidR="00992664" w:rsidRPr="00020424">
        <w:rPr>
          <w:rtl/>
        </w:rPr>
        <w:t xml:space="preserve"> ، ج 10 ، ص 536 ، ذيل ح 14055.</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لم ترد هذه الرواية في « ى</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288 ، ح 874 ، بسنده عن علاء بن رزين </w:t>
      </w:r>
      <w:r w:rsidR="00B8026E">
        <w:rPr>
          <w:rFonts w:hint="cs"/>
          <w:rtl/>
        </w:rPr>
        <w:t>.</w:t>
      </w:r>
      <w:r w:rsidR="00992664" w:rsidRPr="0012008A">
        <w:rPr>
          <w:rStyle w:val="libFootnoteBoldChar"/>
          <w:rtl/>
        </w:rPr>
        <w:t>الوافي</w:t>
      </w:r>
      <w:r w:rsidR="00992664" w:rsidRPr="00020424">
        <w:rPr>
          <w:rtl/>
        </w:rPr>
        <w:t xml:space="preserve"> ، ج 11 ، ص 485 ، ح 11169 ؛ </w:t>
      </w:r>
      <w:r w:rsidR="00830D54">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43309">
        <w:rPr>
          <w:rtl/>
        </w:rPr>
        <w:t>6680</w:t>
      </w:r>
      <w:r w:rsidRPr="001155DE">
        <w:rPr>
          <w:rStyle w:val="libBold2Char"/>
          <w:rtl/>
        </w:rPr>
        <w:t xml:space="preserve"> / 3.</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w:t>
      </w:r>
      <w:r w:rsidR="00107070">
        <w:rPr>
          <w:rtl/>
          <w:lang w:bidi="fa-IR"/>
        </w:rPr>
        <w:t xml:space="preserve"> قَالَ : « لَا اعْتِكَافَ إِل</w:t>
      </w:r>
      <w:r w:rsidR="00107070">
        <w:rPr>
          <w:rFonts w:hint="cs"/>
          <w:rtl/>
          <w:lang w:bidi="fa-IR"/>
        </w:rPr>
        <w:t>َّ</w:t>
      </w:r>
      <w:r w:rsidR="00107070">
        <w:rPr>
          <w:rtl/>
          <w:lang w:bidi="fa-IR"/>
        </w:rPr>
        <w:t>ا</w:t>
      </w:r>
      <w:r w:rsidRPr="00020424">
        <w:rPr>
          <w:rtl/>
          <w:lang w:bidi="fa-IR"/>
        </w:rPr>
        <w:t xml:space="preserve"> بِصَوْمٍ فِي الْمَسْجِدِ </w:t>
      </w:r>
      <w:r w:rsidRPr="00A91B96">
        <w:rPr>
          <w:rStyle w:val="libFootnotenumChar"/>
          <w:rtl/>
        </w:rPr>
        <w:t>(1)</w:t>
      </w:r>
      <w:r w:rsidRPr="00020424">
        <w:rPr>
          <w:rtl/>
          <w:lang w:bidi="fa-IR"/>
        </w:rPr>
        <w:t xml:space="preserve"> الْجَامِعِ </w:t>
      </w:r>
      <w:r w:rsidRPr="00A91B96">
        <w:rPr>
          <w:rStyle w:val="libFootnotenumChar"/>
          <w:rtl/>
        </w:rPr>
        <w:t>(2)</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Heading2Center"/>
        <w:rPr>
          <w:rtl/>
          <w:lang w:bidi="fa-IR"/>
        </w:rPr>
      </w:pPr>
      <w:bookmarkStart w:id="541" w:name="_Toc345172897"/>
      <w:bookmarkStart w:id="542" w:name="_Toc464562711"/>
      <w:bookmarkStart w:id="543" w:name="_Toc44600018"/>
      <w:r w:rsidRPr="00020424">
        <w:rPr>
          <w:rtl/>
          <w:lang w:bidi="fa-IR"/>
        </w:rPr>
        <w:t>78</w:t>
      </w:r>
      <w:r>
        <w:rPr>
          <w:rtl/>
          <w:lang w:bidi="fa-IR"/>
        </w:rPr>
        <w:t xml:space="preserve"> </w:t>
      </w:r>
      <w:r w:rsidR="009B673F">
        <w:rPr>
          <w:rtl/>
          <w:lang w:bidi="fa-IR"/>
        </w:rPr>
        <w:t>-</w:t>
      </w:r>
      <w:r>
        <w:rPr>
          <w:rtl/>
          <w:lang w:bidi="fa-IR"/>
        </w:rPr>
        <w:t xml:space="preserve"> </w:t>
      </w:r>
      <w:r w:rsidRPr="00020424">
        <w:rPr>
          <w:rtl/>
          <w:lang w:bidi="fa-IR"/>
        </w:rPr>
        <w:t xml:space="preserve">بَابُ الْمَسَاجِدِ الَّتِي يَصْلُحُ </w:t>
      </w:r>
      <w:r w:rsidRPr="00A91B96">
        <w:rPr>
          <w:rStyle w:val="libFootnotenumChar"/>
          <w:rtl/>
        </w:rPr>
        <w:t>(4)</w:t>
      </w:r>
      <w:r>
        <w:rPr>
          <w:rtl/>
        </w:rPr>
        <w:t xml:space="preserve"> </w:t>
      </w:r>
      <w:r w:rsidRPr="00020424">
        <w:rPr>
          <w:rtl/>
          <w:lang w:bidi="fa-IR"/>
        </w:rPr>
        <w:t xml:space="preserve">الِاعْتِكَافُ فِيهَا </w:t>
      </w:r>
      <w:r w:rsidRPr="00A91B96">
        <w:rPr>
          <w:rStyle w:val="libFootnotenumChar"/>
          <w:rtl/>
        </w:rPr>
        <w:t>(5)</w:t>
      </w:r>
      <w:r w:rsidRPr="00020424">
        <w:rPr>
          <w:rtl/>
          <w:lang w:bidi="fa-IR"/>
        </w:rPr>
        <w:t xml:space="preserve"> ‌</w:t>
      </w:r>
      <w:bookmarkEnd w:id="541"/>
      <w:bookmarkEnd w:id="542"/>
      <w:bookmarkEnd w:id="543"/>
    </w:p>
    <w:p w:rsidR="00992664" w:rsidRPr="00020424" w:rsidRDefault="00992664" w:rsidP="00992664">
      <w:pPr>
        <w:pStyle w:val="libNormal"/>
        <w:rPr>
          <w:rtl/>
          <w:lang w:bidi="fa-IR"/>
        </w:rPr>
      </w:pPr>
      <w:r w:rsidRPr="00343309">
        <w:rPr>
          <w:rtl/>
        </w:rPr>
        <w:t>6681</w:t>
      </w:r>
      <w:r w:rsidRPr="001155DE">
        <w:rPr>
          <w:rStyle w:val="libBold2Char"/>
          <w:rtl/>
        </w:rPr>
        <w:t xml:space="preserve"> / 1.</w:t>
      </w:r>
      <w:r w:rsidRPr="00020424">
        <w:rPr>
          <w:rtl/>
          <w:lang w:bidi="fa-IR"/>
        </w:rPr>
        <w:t xml:space="preserve"> عِدَّةٌ مِنْ أَصْحَابِنَا ، عَنْ سَهْلِ بْنِ زِيَادٍ ، عَنِ الْحَسَنِ </w:t>
      </w:r>
      <w:r w:rsidRPr="00A91B96">
        <w:rPr>
          <w:rStyle w:val="libFootnotenumChar"/>
          <w:rtl/>
        </w:rPr>
        <w:t>(6)</w:t>
      </w:r>
      <w:r w:rsidRPr="00020424">
        <w:rPr>
          <w:rtl/>
          <w:lang w:bidi="fa-IR"/>
        </w:rPr>
        <w:t xml:space="preserve"> بْنِ مَحْبُوبٍ ، عَنْ عُمَرَ بْنِ يَزِيدَ ، قَالَ :</w:t>
      </w:r>
    </w:p>
    <w:p w:rsidR="00992664" w:rsidRPr="00020424" w:rsidRDefault="00992664" w:rsidP="00992664">
      <w:pPr>
        <w:pStyle w:val="libNormal"/>
        <w:rPr>
          <w:rtl/>
          <w:lang w:bidi="fa-IR"/>
        </w:rPr>
      </w:pPr>
      <w:r w:rsidRPr="00020424">
        <w:rPr>
          <w:rtl/>
          <w:lang w:bidi="fa-IR"/>
        </w:rPr>
        <w:t xml:space="preserve">قُلْتُ لِأَبِي عَبْدِ اللهِ </w:t>
      </w:r>
      <w:r w:rsidRPr="00005A81">
        <w:rPr>
          <w:rStyle w:val="libAlaemChar"/>
          <w:rtl/>
        </w:rPr>
        <w:t>عليه‌السلام</w:t>
      </w:r>
      <w:r w:rsidRPr="00020424">
        <w:rPr>
          <w:rtl/>
          <w:lang w:bidi="fa-IR"/>
        </w:rPr>
        <w:t xml:space="preserve"> : مَا تَقُولُ فِي الاعْتِكَافِ بِبَغْدَادَ فِي بَعْضِ مَسَاجِدِهَا</w:t>
      </w:r>
      <w:r>
        <w:rPr>
          <w:rtl/>
          <w:lang w:bidi="fa-IR"/>
        </w:rPr>
        <w:t>؟</w:t>
      </w:r>
    </w:p>
    <w:p w:rsidR="00992664" w:rsidRPr="00020424" w:rsidRDefault="00992664" w:rsidP="00992664">
      <w:pPr>
        <w:pStyle w:val="libNormal"/>
        <w:rPr>
          <w:rtl/>
          <w:lang w:bidi="fa-IR"/>
        </w:rPr>
      </w:pPr>
      <w:r w:rsidRPr="00020424">
        <w:rPr>
          <w:rtl/>
          <w:lang w:bidi="fa-IR"/>
        </w:rPr>
        <w:t>ف</w:t>
      </w:r>
      <w:r w:rsidR="005316E0">
        <w:rPr>
          <w:rtl/>
          <w:lang w:bidi="fa-IR"/>
        </w:rPr>
        <w:t>َقَالَ : « لَا اعْتِكَافَ إِل</w:t>
      </w:r>
      <w:r w:rsidR="005316E0">
        <w:rPr>
          <w:rFonts w:hint="cs"/>
          <w:rtl/>
          <w:lang w:bidi="fa-IR"/>
        </w:rPr>
        <w:t>َّ</w:t>
      </w:r>
      <w:r w:rsidR="005316E0">
        <w:rPr>
          <w:rtl/>
          <w:lang w:bidi="fa-IR"/>
        </w:rPr>
        <w:t>ا</w:t>
      </w:r>
      <w:r w:rsidRPr="00020424">
        <w:rPr>
          <w:rtl/>
          <w:lang w:bidi="fa-IR"/>
        </w:rPr>
        <w:t xml:space="preserve"> فِي مَسْجِدِ جَمَاعَةٍ قَدْ صَلّى فِيهِ </w:t>
      </w:r>
      <w:r w:rsidRPr="00A91B96">
        <w:rPr>
          <w:rStyle w:val="libFootnotenumChar"/>
          <w:rtl/>
        </w:rPr>
        <w:t>(7)</w:t>
      </w:r>
      <w:r w:rsidRPr="00020424">
        <w:rPr>
          <w:rtl/>
          <w:lang w:bidi="fa-IR"/>
        </w:rPr>
        <w:t xml:space="preserve"> إِمَامٌ عَدْلٌ </w:t>
      </w:r>
      <w:r w:rsidRPr="00A91B96">
        <w:rPr>
          <w:rStyle w:val="libFootnotenumChar"/>
          <w:rtl/>
        </w:rPr>
        <w:t>(8)</w:t>
      </w:r>
      <w:r w:rsidRPr="00020424">
        <w:rPr>
          <w:rtl/>
          <w:lang w:bidi="fa-IR"/>
        </w:rPr>
        <w:t xml:space="preserve"> بِصَلَاةِ </w:t>
      </w:r>
      <w:r w:rsidRPr="00A91B96">
        <w:rPr>
          <w:rStyle w:val="libFootnotenumChar"/>
          <w:rtl/>
        </w:rPr>
        <w:t>(9)</w:t>
      </w:r>
      <w:r w:rsidRPr="00020424">
        <w:rPr>
          <w:rtl/>
          <w:lang w:bidi="fa-IR"/>
        </w:rPr>
        <w:t xml:space="preserve"> جَمَاعَةٍ ، وَلَابَأْسَ أَنْ يُعْتَكَفَ </w:t>
      </w:r>
      <w:r w:rsidRPr="00A91B96">
        <w:rPr>
          <w:rStyle w:val="libFootnotenumChar"/>
          <w:rtl/>
        </w:rPr>
        <w:t>(10)</w:t>
      </w:r>
      <w:r w:rsidRPr="00020424">
        <w:rPr>
          <w:rtl/>
          <w:lang w:bidi="fa-IR"/>
        </w:rPr>
        <w:t xml:space="preserve"> فِي مَسْجِدِ الْكُوفَةِ ، وَالْبَصْرَةِ </w:t>
      </w:r>
      <w:r w:rsidRPr="00A91B96">
        <w:rPr>
          <w:rStyle w:val="libFootnotenumChar"/>
          <w:rtl/>
        </w:rPr>
        <w:t>(11)</w:t>
      </w:r>
      <w:r w:rsidRPr="00020424">
        <w:rPr>
          <w:rtl/>
          <w:lang w:bidi="fa-IR"/>
        </w:rPr>
        <w:t xml:space="preserve"> ، وَمَسْجِدِ الْمَدِينَةِ ،</w:t>
      </w:r>
    </w:p>
    <w:p w:rsidR="00992664" w:rsidRPr="00020424" w:rsidRDefault="00992664" w:rsidP="00992664">
      <w:pPr>
        <w:pStyle w:val="libLine"/>
        <w:rPr>
          <w:rtl/>
          <w:lang w:bidi="fa-IR"/>
        </w:rPr>
      </w:pPr>
      <w:r w:rsidRPr="00020424">
        <w:rPr>
          <w:rtl/>
          <w:lang w:bidi="fa-IR"/>
        </w:rPr>
        <w:t>__________________</w:t>
      </w:r>
    </w:p>
    <w:p w:rsidR="00992664" w:rsidRPr="00020424" w:rsidRDefault="00400014" w:rsidP="00992664">
      <w:pPr>
        <w:pStyle w:val="libFootnote0"/>
        <w:rPr>
          <w:rtl/>
          <w:lang w:bidi="fa-IR"/>
        </w:rPr>
      </w:pPr>
      <w:r w:rsidRPr="0077687E">
        <w:rPr>
          <w:rFonts w:hint="cs"/>
          <w:rtl/>
        </w:rPr>
        <w:t xml:space="preserve">= </w:t>
      </w:r>
      <w:r w:rsidR="00992664" w:rsidRPr="0012008A">
        <w:rPr>
          <w:rStyle w:val="libFootnoteBoldChar"/>
          <w:rtl/>
        </w:rPr>
        <w:t>الوسائل</w:t>
      </w:r>
      <w:r w:rsidR="00992664" w:rsidRPr="00020424">
        <w:rPr>
          <w:rtl/>
        </w:rPr>
        <w:t xml:space="preserve"> ، ج 10 ، ص 536 ، ذيل ح 14056.</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ى ، بح ، بس ، جن » </w:t>
      </w:r>
      <w:r w:rsidR="00992664" w:rsidRPr="00FD6221">
        <w:rPr>
          <w:rStyle w:val="libFootnoteBoldChar"/>
          <w:rtl/>
        </w:rPr>
        <w:t>والفقيه</w:t>
      </w:r>
      <w:r w:rsidR="00992664" w:rsidRPr="00020424">
        <w:rPr>
          <w:rtl/>
        </w:rPr>
        <w:t xml:space="preserve"> : « مسجد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في المسجد الجامع</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الفقيه</w:t>
      </w:r>
      <w:r w:rsidR="00992664" w:rsidRPr="00020424">
        <w:rPr>
          <w:rtl/>
        </w:rPr>
        <w:t xml:space="preserve"> ، ج 2 ، ص 184 ، ح 2086 ، معلّقاً عن الحلبي </w:t>
      </w:r>
      <w:r w:rsidR="0077687E">
        <w:rPr>
          <w:rFonts w:hint="cs"/>
          <w:rtl/>
        </w:rPr>
        <w:t>.</w:t>
      </w:r>
      <w:r w:rsidR="00992664" w:rsidRPr="0012008A">
        <w:rPr>
          <w:rStyle w:val="libFootnoteBoldChar"/>
          <w:rtl/>
        </w:rPr>
        <w:t>الوافي</w:t>
      </w:r>
      <w:r w:rsidR="00992664" w:rsidRPr="00020424">
        <w:rPr>
          <w:rtl/>
        </w:rPr>
        <w:t xml:space="preserve"> ، ج 11 ، ص 485 ، ح 11171 ؛ </w:t>
      </w:r>
      <w:r w:rsidR="00992664" w:rsidRPr="0012008A">
        <w:rPr>
          <w:rStyle w:val="libFootnoteBoldChar"/>
          <w:rtl/>
        </w:rPr>
        <w:t>الوسائل</w:t>
      </w:r>
      <w:r w:rsidR="00992664" w:rsidRPr="00020424">
        <w:rPr>
          <w:rtl/>
        </w:rPr>
        <w:t xml:space="preserve"> ، ج 10 ، ص 536 ، ذيل ح 14053 ؛ وص 538 ، ذيل ح 14062.</w:t>
      </w:r>
    </w:p>
    <w:tbl>
      <w:tblPr>
        <w:tblStyle w:val="TableGrid"/>
        <w:bidiVisual/>
        <w:tblW w:w="0" w:type="auto"/>
        <w:tblLook w:val="04A0" w:firstRow="1" w:lastRow="0" w:firstColumn="1" w:lastColumn="0" w:noHBand="0" w:noVBand="1"/>
      </w:tblPr>
      <w:tblGrid>
        <w:gridCol w:w="4006"/>
        <w:gridCol w:w="4006"/>
      </w:tblGrid>
      <w:tr w:rsidR="0077687E" w:rsidTr="0077687E">
        <w:tc>
          <w:tcPr>
            <w:tcW w:w="4006" w:type="dxa"/>
          </w:tcPr>
          <w:p w:rsidR="0077687E" w:rsidRDefault="0077687E" w:rsidP="00992664">
            <w:pPr>
              <w:pStyle w:val="libFootnote0"/>
              <w:rPr>
                <w:rtl/>
              </w:rPr>
            </w:pPr>
            <w:r>
              <w:rPr>
                <w:rtl/>
              </w:rPr>
              <w:t xml:space="preserve">(4). </w:t>
            </w:r>
            <w:r w:rsidRPr="00020424">
              <w:rPr>
                <w:rtl/>
              </w:rPr>
              <w:t>في « ظ ، بث » : « يصحّ</w:t>
            </w:r>
            <w:r>
              <w:rPr>
                <w:rtl/>
              </w:rPr>
              <w:t xml:space="preserve"> ».</w:t>
            </w:r>
          </w:p>
        </w:tc>
        <w:tc>
          <w:tcPr>
            <w:tcW w:w="4006" w:type="dxa"/>
          </w:tcPr>
          <w:p w:rsidR="0077687E" w:rsidRDefault="0077687E" w:rsidP="00992664">
            <w:pPr>
              <w:pStyle w:val="libFootnote0"/>
              <w:rPr>
                <w:rtl/>
              </w:rPr>
            </w:pPr>
            <w:r>
              <w:rPr>
                <w:rtl/>
              </w:rPr>
              <w:t xml:space="preserve">(5). </w:t>
            </w:r>
            <w:r w:rsidRPr="00020424">
              <w:rPr>
                <w:rtl/>
              </w:rPr>
              <w:t>في حاشية « بث » : « بها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882 </w:t>
      </w:r>
      <w:r w:rsidR="00992664" w:rsidRPr="00FD6221">
        <w:rPr>
          <w:rStyle w:val="libFootnoteBoldChar"/>
          <w:rtl/>
        </w:rPr>
        <w:t>والاستبصار</w:t>
      </w:r>
      <w:r w:rsidR="00992664" w:rsidRPr="00020424">
        <w:rPr>
          <w:rtl/>
        </w:rPr>
        <w:t xml:space="preserve"> ، ح 409 :</w:t>
      </w:r>
      <w:r w:rsidR="00992664">
        <w:rPr>
          <w:rtl/>
        </w:rPr>
        <w:t xml:space="preserve"> </w:t>
      </w:r>
      <w:r w:rsidR="009B673F">
        <w:rPr>
          <w:rtl/>
        </w:rPr>
        <w:t>-</w:t>
      </w:r>
      <w:r w:rsidR="00992664">
        <w:rPr>
          <w:rtl/>
        </w:rPr>
        <w:t xml:space="preserve"> </w:t>
      </w:r>
      <w:r w:rsidR="00992664" w:rsidRPr="00020424">
        <w:rPr>
          <w:rtl/>
        </w:rPr>
        <w:t>« الحسن</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و</w:t>
      </w:r>
      <w:r w:rsidR="00992664" w:rsidRPr="0012008A">
        <w:rPr>
          <w:rStyle w:val="libFootnoteBoldChar"/>
          <w:rtl/>
        </w:rPr>
        <w:t>البحار</w:t>
      </w:r>
      <w:r w:rsidR="00992664" w:rsidRPr="00020424">
        <w:rPr>
          <w:rtl/>
        </w:rPr>
        <w:t xml:space="preserve"> : « فيها</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كأنّ المراد بالعدل ما يقابل الجور ، فيشمل غير</w:t>
      </w:r>
      <w:r w:rsidR="0071682D">
        <w:rPr>
          <w:rtl/>
        </w:rPr>
        <w:t xml:space="preserve"> المعصوم ممّن يصلح للقدوة ، إل</w:t>
      </w:r>
      <w:r w:rsidR="0071682D">
        <w:rPr>
          <w:rFonts w:hint="cs"/>
          <w:rtl/>
        </w:rPr>
        <w:t>ّ</w:t>
      </w:r>
      <w:r w:rsidR="0071682D">
        <w:rPr>
          <w:rtl/>
        </w:rPr>
        <w:t>ا</w:t>
      </w:r>
      <w:r w:rsidR="00992664">
        <w:rPr>
          <w:rFonts w:hint="cs"/>
          <w:rtl/>
        </w:rPr>
        <w:t xml:space="preserve"> </w:t>
      </w:r>
      <w:r w:rsidR="00992664" w:rsidRPr="00020424">
        <w:rPr>
          <w:rtl/>
        </w:rPr>
        <w:t>أن يجعل تخصيص هذه المساجد بالذكر قرينة لإرادة المعصوم ؛ فإنّها ممّا صلّى فيه المعصوم</w:t>
      </w:r>
      <w:r w:rsidR="00992664">
        <w:rPr>
          <w:rtl/>
        </w:rPr>
        <w:t xml:space="preserve"> ».</w:t>
      </w:r>
    </w:p>
    <w:p w:rsidR="00992664" w:rsidRPr="00020424" w:rsidRDefault="00992664" w:rsidP="00381937">
      <w:pPr>
        <w:pStyle w:val="libFootnote0"/>
        <w:rPr>
          <w:rtl/>
          <w:lang w:bidi="fa-IR"/>
        </w:rPr>
      </w:pPr>
      <w:r w:rsidRPr="00381937">
        <w:rPr>
          <w:rtl/>
        </w:rPr>
        <w:t xml:space="preserve">وفي </w:t>
      </w:r>
      <w:r w:rsidRPr="00DE76B9">
        <w:rPr>
          <w:rStyle w:val="libFootnoteBoldChar"/>
          <w:rtl/>
        </w:rPr>
        <w:t>مرآة العقول</w:t>
      </w:r>
      <w:r w:rsidRPr="00381937">
        <w:rPr>
          <w:rtl/>
        </w:rPr>
        <w:t xml:space="preserve"> ، ج 16 ، ص 428 : « قوله </w:t>
      </w:r>
      <w:r w:rsidRPr="00D64ADA">
        <w:rPr>
          <w:rStyle w:val="libFootnoteAlaemChar"/>
          <w:rtl/>
        </w:rPr>
        <w:t>عليه‌السلام</w:t>
      </w:r>
      <w:r w:rsidRPr="00381937">
        <w:rPr>
          <w:rtl/>
        </w:rPr>
        <w:t xml:space="preserve"> : قد صلّى إمام عدل ، يحتمل التوصيف والإضافة ، وظاهره إمام الأصل ، واحتمل كلّ إمام عدل ، وعلى التقديرين ظاهره الاكتفاء بصلاة الجماعة وعدم لزوم وقوع الجمعة فيه. وقوله </w:t>
      </w:r>
      <w:r w:rsidRPr="00D64ADA">
        <w:rPr>
          <w:rStyle w:val="libFootnoteAlaemChar"/>
          <w:rtl/>
        </w:rPr>
        <w:t>عليه‌السلام</w:t>
      </w:r>
      <w:r w:rsidRPr="00381937">
        <w:rPr>
          <w:rtl/>
        </w:rPr>
        <w:t xml:space="preserve"> : ولا بأس ، يؤيّد الإمام الأصل. ويحتمل على بعد أن يكون ذكرها على المثال لبيان أنّ المساجد التي صلّى فيها أئمّة المخالفين لا يجوز الاعتكاف فيها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6B5249">
        <w:rPr>
          <w:rtl/>
        </w:rPr>
        <w:t>الوسائل والبحار والتهذيب</w:t>
      </w:r>
      <w:r w:rsidR="00992664" w:rsidRPr="00020424">
        <w:rPr>
          <w:rtl/>
        </w:rPr>
        <w:t xml:space="preserve"> ، ح 882 </w:t>
      </w:r>
      <w:r w:rsidR="00992664" w:rsidRPr="00FD6221">
        <w:rPr>
          <w:rStyle w:val="libFootnoteBoldChar"/>
          <w:rtl/>
        </w:rPr>
        <w:t>والاستبصار</w:t>
      </w:r>
      <w:r w:rsidR="00992664" w:rsidRPr="00020424">
        <w:rPr>
          <w:rtl/>
        </w:rPr>
        <w:t xml:space="preserve"> ، ح 409 : « صلاة</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 أن تعتكف</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882 </w:t>
      </w:r>
      <w:r w:rsidR="00992664" w:rsidRPr="00FD6221">
        <w:rPr>
          <w:rStyle w:val="libFootnoteBoldChar"/>
          <w:rtl/>
        </w:rPr>
        <w:t>والاستبصار</w:t>
      </w:r>
      <w:r w:rsidR="00992664" w:rsidRPr="00020424">
        <w:rPr>
          <w:rtl/>
        </w:rPr>
        <w:t xml:space="preserve"> ، ح 409 :</w:t>
      </w:r>
      <w:r w:rsidR="00992664">
        <w:rPr>
          <w:rtl/>
        </w:rPr>
        <w:t xml:space="preserve"> </w:t>
      </w:r>
      <w:r w:rsidR="009B673F">
        <w:rPr>
          <w:rtl/>
        </w:rPr>
        <w:t>-</w:t>
      </w:r>
      <w:r w:rsidR="00992664">
        <w:rPr>
          <w:rtl/>
        </w:rPr>
        <w:t xml:space="preserve"> </w:t>
      </w:r>
      <w:r w:rsidR="00992664" w:rsidRPr="00020424">
        <w:rPr>
          <w:rtl/>
        </w:rPr>
        <w:t>« والبصرة</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381937">
      <w:pPr>
        <w:pStyle w:val="libNormal0"/>
        <w:rPr>
          <w:rtl/>
          <w:lang w:bidi="fa-IR"/>
        </w:rPr>
      </w:pPr>
      <w:r w:rsidRPr="00020424">
        <w:rPr>
          <w:rtl/>
          <w:lang w:bidi="fa-IR"/>
        </w:rPr>
        <w:t>وَمَسْجِدِ مَكَّةَ</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libNormal"/>
        <w:rPr>
          <w:rtl/>
          <w:lang w:bidi="fa-IR"/>
        </w:rPr>
      </w:pPr>
      <w:r w:rsidRPr="00343309">
        <w:rPr>
          <w:rtl/>
        </w:rPr>
        <w:t>6682</w:t>
      </w:r>
      <w:r w:rsidRPr="001155DE">
        <w:rPr>
          <w:rStyle w:val="libBold2Char"/>
          <w:rtl/>
        </w:rPr>
        <w:t xml:space="preserve"> / 2.</w:t>
      </w:r>
      <w:r w:rsidRPr="00020424">
        <w:rPr>
          <w:rtl/>
          <w:lang w:bidi="fa-IR"/>
        </w:rPr>
        <w:t xml:space="preserve"> سَهْلُ بْنُ زِيَادٍ </w:t>
      </w:r>
      <w:r w:rsidRPr="00A91B96">
        <w:rPr>
          <w:rStyle w:val="libFootnotenumChar"/>
          <w:rtl/>
        </w:rPr>
        <w:t>(2)</w:t>
      </w:r>
      <w:r w:rsidRPr="00020424">
        <w:rPr>
          <w:rtl/>
          <w:lang w:bidi="fa-IR"/>
        </w:rPr>
        <w:t xml:space="preserve"> ، عَنْ أَحْمَدَ بْنِ مُحَمَّدٍ </w:t>
      </w:r>
      <w:r w:rsidRPr="00A91B96">
        <w:rPr>
          <w:rStyle w:val="libFootnotenumChar"/>
          <w:rtl/>
        </w:rPr>
        <w:t>(3)</w:t>
      </w:r>
      <w:r w:rsidRPr="00020424">
        <w:rPr>
          <w:rtl/>
          <w:lang w:bidi="fa-IR"/>
        </w:rPr>
        <w:t xml:space="preserve"> ، عَنْ دَاوُدَ بْنِ سِرْحَانَ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اعْتِكَافَ إِلاَّ فِي الْعِشْرِينَ </w:t>
      </w:r>
      <w:r w:rsidRPr="00A91B96">
        <w:rPr>
          <w:rStyle w:val="libFootnotenumChar"/>
          <w:rtl/>
        </w:rPr>
        <w:t>(4)</w:t>
      </w:r>
      <w:r w:rsidRPr="00020424">
        <w:rPr>
          <w:rtl/>
          <w:lang w:bidi="fa-IR"/>
        </w:rPr>
        <w:t xml:space="preserve"> مِنْ شَهْرِ رَمَضَانَ » وَقَالَ :</w:t>
      </w:r>
      <w:r>
        <w:rPr>
          <w:rFonts w:hint="cs"/>
          <w:rtl/>
          <w:lang w:bidi="fa-IR"/>
        </w:rPr>
        <w:t xml:space="preserve"> </w:t>
      </w:r>
      <w:r w:rsidRPr="00020424">
        <w:rPr>
          <w:rtl/>
          <w:lang w:bidi="fa-IR"/>
        </w:rPr>
        <w:t xml:space="preserve">« إِنَّ عَلِيّاً </w:t>
      </w:r>
      <w:r w:rsidRPr="00005A81">
        <w:rPr>
          <w:rStyle w:val="libAlaemChar"/>
          <w:rtl/>
        </w:rPr>
        <w:t>عليه‌السلام</w:t>
      </w:r>
      <w:r w:rsidRPr="00020424">
        <w:rPr>
          <w:rtl/>
          <w:lang w:bidi="fa-IR"/>
        </w:rPr>
        <w:t xml:space="preserve"> كَانَ يَقُولُ : لَا</w:t>
      </w:r>
      <w:r>
        <w:rPr>
          <w:rFonts w:hint="cs"/>
          <w:rtl/>
          <w:lang w:bidi="fa-IR"/>
        </w:rPr>
        <w:t xml:space="preserve"> </w:t>
      </w:r>
      <w:r w:rsidR="002D62E5">
        <w:rPr>
          <w:rtl/>
          <w:lang w:bidi="fa-IR"/>
        </w:rPr>
        <w:t>أَرَى الاعْتِكَافَ إِل</w:t>
      </w:r>
      <w:r w:rsidR="002D62E5">
        <w:rPr>
          <w:rFonts w:hint="cs"/>
          <w:rtl/>
          <w:lang w:bidi="fa-IR"/>
        </w:rPr>
        <w:t>َّ</w:t>
      </w:r>
      <w:r w:rsidR="002D62E5">
        <w:rPr>
          <w:rtl/>
          <w:lang w:bidi="fa-IR"/>
        </w:rPr>
        <w:t>ا</w:t>
      </w:r>
      <w:r w:rsidRPr="00020424">
        <w:rPr>
          <w:rtl/>
          <w:lang w:bidi="fa-IR"/>
        </w:rPr>
        <w:t xml:space="preserve"> فِي الْمَسْجِدِ الْحَرَامِ ، أَوْ مَسْجِدِ </w:t>
      </w:r>
      <w:r w:rsidRPr="00A91B96">
        <w:rPr>
          <w:rStyle w:val="libFootnotenumChar"/>
          <w:rtl/>
        </w:rPr>
        <w:t>(5)</w:t>
      </w:r>
      <w:r w:rsidRPr="00020424">
        <w:rPr>
          <w:rtl/>
          <w:lang w:bidi="fa-IR"/>
        </w:rPr>
        <w:t xml:space="preserve"> الرَّسُولِ </w:t>
      </w:r>
      <w:r w:rsidRPr="00A91B96">
        <w:rPr>
          <w:rStyle w:val="libFootnotenumChar"/>
          <w:rtl/>
        </w:rPr>
        <w:t>(6)</w:t>
      </w:r>
      <w:r w:rsidRPr="00020424">
        <w:rPr>
          <w:rtl/>
          <w:lang w:bidi="fa-IR"/>
        </w:rPr>
        <w:t xml:space="preserve"> ، أَوْ مَسْجِدٍ </w:t>
      </w:r>
      <w:r w:rsidRPr="00A91B96">
        <w:rPr>
          <w:rStyle w:val="libFootnotenumChar"/>
          <w:rtl/>
        </w:rPr>
        <w:t>(7)</w:t>
      </w:r>
      <w:r w:rsidRPr="00020424">
        <w:rPr>
          <w:rtl/>
          <w:lang w:bidi="fa-IR"/>
        </w:rPr>
        <w:t xml:space="preserve"> جَامِعٍ ، وَلَايَنْبَغِي لِلْمُعْتَكِفِ </w:t>
      </w:r>
      <w:r w:rsidRPr="00A91B96">
        <w:rPr>
          <w:rStyle w:val="libFootnotenumChar"/>
          <w:rtl/>
        </w:rPr>
        <w:t>(8)</w:t>
      </w:r>
      <w:r w:rsidRPr="00020424">
        <w:rPr>
          <w:rtl/>
          <w:lang w:bidi="fa-IR"/>
        </w:rPr>
        <w:t xml:space="preserve"> أَنْ </w:t>
      </w:r>
      <w:r w:rsidR="00B8338F">
        <w:rPr>
          <w:rtl/>
          <w:lang w:bidi="fa-IR"/>
        </w:rPr>
        <w:t>يَخْرُجَ مِنَ الْمَسْجِدِ إِل</w:t>
      </w:r>
      <w:r w:rsidR="00B8338F">
        <w:rPr>
          <w:rFonts w:hint="cs"/>
          <w:rtl/>
          <w:lang w:bidi="fa-IR"/>
        </w:rPr>
        <w:t>َّ</w:t>
      </w:r>
      <w:r w:rsidR="00B8338F">
        <w:rPr>
          <w:rtl/>
          <w:lang w:bidi="fa-IR"/>
        </w:rPr>
        <w:t>ا</w:t>
      </w:r>
      <w:r w:rsidRPr="00020424">
        <w:rPr>
          <w:rtl/>
          <w:lang w:bidi="fa-IR"/>
        </w:rPr>
        <w:t xml:space="preserve"> لِحَاجَةٍ لَابُدَّ مِنْهَا ، ثُمَّ لَايَجْلِسْ حَتّى يَرْجِعَ ، وَالْمَرْأَةُ مِثْلُ ذلِكَ</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التهذيب</w:t>
      </w:r>
      <w:r w:rsidR="00992664" w:rsidRPr="00020424">
        <w:rPr>
          <w:rtl/>
        </w:rPr>
        <w:t xml:space="preserve"> ، ج 4 ، ص 290 ، ح 882 ؛ </w:t>
      </w:r>
      <w:r w:rsidR="00992664" w:rsidRPr="00FD6221">
        <w:rPr>
          <w:rStyle w:val="libFootnoteBoldChar"/>
          <w:rtl/>
        </w:rPr>
        <w:t>والاستبصار</w:t>
      </w:r>
      <w:r w:rsidR="00992664" w:rsidRPr="00020424">
        <w:rPr>
          <w:rtl/>
        </w:rPr>
        <w:t xml:space="preserve"> ، ج 2 ، ص 126 ، ح 409 ، معلّقاً عن الكليني. </w:t>
      </w:r>
      <w:r w:rsidR="00992664" w:rsidRPr="0012008A">
        <w:rPr>
          <w:rStyle w:val="libFootnoteBoldChar"/>
          <w:rtl/>
        </w:rPr>
        <w:t>الفقيه</w:t>
      </w:r>
      <w:r w:rsidR="00992664" w:rsidRPr="00020424">
        <w:rPr>
          <w:rtl/>
        </w:rPr>
        <w:t xml:space="preserve"> ، ج 2 ، ص 184 ، ح 2089 ، معلّقاً عن الحسن بن محبوب. وفي </w:t>
      </w:r>
      <w:r w:rsidR="00992664" w:rsidRPr="0012008A">
        <w:rPr>
          <w:rStyle w:val="libFootnoteBoldChar"/>
          <w:rtl/>
        </w:rPr>
        <w:t>التهذيب</w:t>
      </w:r>
      <w:r w:rsidR="00992664" w:rsidRPr="00020424">
        <w:rPr>
          <w:rtl/>
        </w:rPr>
        <w:t xml:space="preserve"> ، ج 4 ، ص 290 ، ح 883 ؛ </w:t>
      </w:r>
      <w:r w:rsidR="00992664" w:rsidRPr="00FD6221">
        <w:rPr>
          <w:rStyle w:val="libFootnoteBoldChar"/>
          <w:rtl/>
        </w:rPr>
        <w:t>والاستبصار</w:t>
      </w:r>
      <w:r w:rsidR="00992664" w:rsidRPr="00020424">
        <w:rPr>
          <w:rtl/>
        </w:rPr>
        <w:t xml:space="preserve"> ، ج 2 ، ص 126 ، ح 410 ، بسندهما عن الحسن بن محبوب </w:t>
      </w:r>
      <w:r w:rsidR="009A2C37">
        <w:rPr>
          <w:rFonts w:hint="cs"/>
          <w:rtl/>
        </w:rPr>
        <w:t>.</w:t>
      </w:r>
      <w:r w:rsidR="00992664" w:rsidRPr="0012008A">
        <w:rPr>
          <w:rStyle w:val="libFootnoteBoldChar"/>
          <w:rtl/>
        </w:rPr>
        <w:t>الوافي</w:t>
      </w:r>
      <w:r w:rsidR="00992664" w:rsidRPr="00020424">
        <w:rPr>
          <w:rtl/>
        </w:rPr>
        <w:t xml:space="preserve"> ، ج 11 ، ص 486 ، ح 11172 ؛ </w:t>
      </w:r>
      <w:r w:rsidR="00992664" w:rsidRPr="0012008A">
        <w:rPr>
          <w:rStyle w:val="libFootnoteBoldChar"/>
          <w:rtl/>
        </w:rPr>
        <w:t>الوسائل</w:t>
      </w:r>
      <w:r w:rsidR="00992664" w:rsidRPr="00020424">
        <w:rPr>
          <w:rtl/>
        </w:rPr>
        <w:t xml:space="preserve"> ، ج 10 ، ص 540 ، ح 14069 ؛ </w:t>
      </w:r>
      <w:r w:rsidR="00992664" w:rsidRPr="0012008A">
        <w:rPr>
          <w:rStyle w:val="libFootnoteBoldChar"/>
          <w:rtl/>
        </w:rPr>
        <w:t>البحار</w:t>
      </w:r>
      <w:r w:rsidR="00992664" w:rsidRPr="00020424">
        <w:rPr>
          <w:rtl/>
        </w:rPr>
        <w:t xml:space="preserve"> ، ج 98 ، ص 150 ، ذيل ح 4.</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السند معلّق على سابقه. ويروي عن سهل بن زياد ، عدّة من أصحابنا.</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جر » : + « بن أبي نصر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ح 884 </w:t>
      </w:r>
      <w:r w:rsidR="00992664" w:rsidRPr="00FD6221">
        <w:rPr>
          <w:rStyle w:val="libFootnoteBoldChar"/>
          <w:rtl/>
        </w:rPr>
        <w:t>والاستبصار</w:t>
      </w:r>
      <w:r w:rsidR="00992664" w:rsidRPr="00020424">
        <w:rPr>
          <w:rtl/>
        </w:rPr>
        <w:t xml:space="preserve"> ، ح 411 : « العشر الأواخر » بدل « العشرين</w:t>
      </w:r>
      <w:r w:rsidR="00992664">
        <w:rPr>
          <w:rtl/>
        </w:rPr>
        <w:t xml:space="preserve"> ».</w:t>
      </w:r>
    </w:p>
    <w:p w:rsidR="00992664" w:rsidRPr="00020424" w:rsidRDefault="00992664" w:rsidP="00562D5B">
      <w:pPr>
        <w:pStyle w:val="libFootnote0"/>
        <w:rPr>
          <w:rtl/>
          <w:lang w:bidi="fa-IR"/>
        </w:rPr>
      </w:pPr>
      <w:r w:rsidRPr="00562D5B">
        <w:rPr>
          <w:rtl/>
        </w:rPr>
        <w:t xml:space="preserve">وفي </w:t>
      </w:r>
      <w:r w:rsidRPr="00DE76B9">
        <w:rPr>
          <w:rStyle w:val="libFootnoteBoldChar"/>
          <w:rtl/>
        </w:rPr>
        <w:t>مرآة العقول</w:t>
      </w:r>
      <w:r w:rsidRPr="00562D5B">
        <w:rPr>
          <w:rtl/>
        </w:rPr>
        <w:t xml:space="preserve"> : « قوله </w:t>
      </w:r>
      <w:r w:rsidRPr="00D64ADA">
        <w:rPr>
          <w:rStyle w:val="libFootnoteAlaemChar"/>
          <w:rtl/>
        </w:rPr>
        <w:t>عليه‌السلام</w:t>
      </w:r>
      <w:r w:rsidRPr="00562D5B">
        <w:rPr>
          <w:rtl/>
        </w:rPr>
        <w:t xml:space="preserve"> : في العشرين ، بفتح العين بصيغة التثنية ، أي العشر الثاني والثالث ، ولا ينافي كون الثالث آكد. ويمكن أن يقرأ بكسر العين بأن يكون افتتاحه في العشرين احتياطاً ؛ لاحتمال نقص الشهر ، أو يكون المراد الدخول في يوم العشرين للافتتاح في ليلة إحدى وعشرين وإدخال جزء من ذلك اليوم على سبيل المقدّمة. وفي </w:t>
      </w:r>
      <w:r w:rsidRPr="0012008A">
        <w:rPr>
          <w:rStyle w:val="libFootnoteBoldChar"/>
          <w:rtl/>
        </w:rPr>
        <w:t>التهذيب</w:t>
      </w:r>
      <w:r w:rsidRPr="00562D5B">
        <w:rPr>
          <w:rtl/>
        </w:rPr>
        <w:t xml:space="preserve"> ناقلاً عن هذا الكتاب : في العشر من شهر رمضان ، وهو أظهر وأوفق بسائر الأخبار ، وعلى التقادير محمول على الفضل ؛ إذ لم يقل بتعيينه أحد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بس » </w:t>
      </w:r>
      <w:r w:rsidR="00992664" w:rsidRPr="00EB1FD9">
        <w:rPr>
          <w:rStyle w:val="libFootnoteBoldChar"/>
          <w:rtl/>
        </w:rPr>
        <w:t>والوسائل</w:t>
      </w:r>
      <w:r w:rsidR="00992664" w:rsidRPr="00020424">
        <w:rPr>
          <w:rtl/>
        </w:rPr>
        <w:t xml:space="preserve"> : « ومسجد</w:t>
      </w:r>
      <w:r w:rsidR="00992664">
        <w:rPr>
          <w:rtl/>
        </w:rPr>
        <w:t xml:space="preserve"> ».</w:t>
      </w:r>
      <w:r w:rsidR="00992664" w:rsidRPr="00020424">
        <w:rPr>
          <w:rtl/>
        </w:rPr>
        <w:t xml:space="preserve"> وفي </w:t>
      </w:r>
      <w:r w:rsidR="00992664" w:rsidRPr="0012008A">
        <w:rPr>
          <w:rStyle w:val="libFootnoteBoldChar"/>
          <w:rtl/>
        </w:rPr>
        <w:t>التهذيب</w:t>
      </w:r>
      <w:r w:rsidR="00992664" w:rsidRPr="00020424">
        <w:rPr>
          <w:rtl/>
        </w:rPr>
        <w:t xml:space="preserve"> : « أو في مسجد</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F38DE" w:rsidTr="004F38DE">
        <w:tc>
          <w:tcPr>
            <w:tcW w:w="4006" w:type="dxa"/>
          </w:tcPr>
          <w:p w:rsidR="004F38DE" w:rsidRDefault="004F38DE" w:rsidP="00992664">
            <w:pPr>
              <w:pStyle w:val="libFootnote0"/>
              <w:rPr>
                <w:rtl/>
              </w:rPr>
            </w:pPr>
            <w:r>
              <w:rPr>
                <w:rtl/>
              </w:rPr>
              <w:t xml:space="preserve">(6). </w:t>
            </w:r>
            <w:r w:rsidRPr="00020424">
              <w:rPr>
                <w:rtl/>
              </w:rPr>
              <w:t xml:space="preserve">في « بخ ، بر ، بف » </w:t>
            </w:r>
            <w:r w:rsidRPr="00515444">
              <w:rPr>
                <w:rStyle w:val="libFootnoteBoldChar"/>
                <w:rtl/>
              </w:rPr>
              <w:t>والوافي</w:t>
            </w:r>
            <w:r w:rsidRPr="00020424">
              <w:rPr>
                <w:rtl/>
              </w:rPr>
              <w:t xml:space="preserve"> : « رسول الله</w:t>
            </w:r>
            <w:r>
              <w:rPr>
                <w:rtl/>
              </w:rPr>
              <w:t xml:space="preserve"> ».</w:t>
            </w:r>
          </w:p>
        </w:tc>
        <w:tc>
          <w:tcPr>
            <w:tcW w:w="4006" w:type="dxa"/>
          </w:tcPr>
          <w:p w:rsidR="004F38DE" w:rsidRDefault="004F38DE" w:rsidP="00992664">
            <w:pPr>
              <w:pStyle w:val="libFootnote0"/>
              <w:rPr>
                <w:rtl/>
              </w:rPr>
            </w:pPr>
            <w:r>
              <w:rPr>
                <w:rtl/>
              </w:rPr>
              <w:t xml:space="preserve">(7). </w:t>
            </w:r>
            <w:r w:rsidRPr="00020424">
              <w:rPr>
                <w:rtl/>
              </w:rPr>
              <w:t xml:space="preserve">في </w:t>
            </w:r>
            <w:r w:rsidRPr="004F38DE">
              <w:rPr>
                <w:rtl/>
              </w:rPr>
              <w:t>الفقيه والتهذيب والاستبصار</w:t>
            </w:r>
            <w:r w:rsidR="000514E0">
              <w:rPr>
                <w:rtl/>
              </w:rPr>
              <w:t>:</w:t>
            </w:r>
            <w:r w:rsidRPr="00020424">
              <w:rPr>
                <w:rtl/>
              </w:rPr>
              <w:t>« أو في مسجد</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لا ينبغي للمعتكف ، ظاهره الكراهة ، وحمل على التحريم ؛ لإجماع العلماء</w:t>
      </w:r>
      <w:r w:rsidR="00992664">
        <w:rPr>
          <w:rtl/>
        </w:rPr>
        <w:t xml:space="preserve"> </w:t>
      </w:r>
      <w:r w:rsidR="009B673F">
        <w:rPr>
          <w:rtl/>
        </w:rPr>
        <w:t>-</w:t>
      </w:r>
      <w:r w:rsidR="00992664">
        <w:rPr>
          <w:rtl/>
        </w:rPr>
        <w:t xml:space="preserve"> </w:t>
      </w:r>
      <w:r w:rsidR="00992664" w:rsidRPr="00020424">
        <w:rPr>
          <w:rtl/>
        </w:rPr>
        <w:t>على ما نقل في التذكرة والمعتبر</w:t>
      </w:r>
      <w:r w:rsidR="00992664">
        <w:rPr>
          <w:rtl/>
        </w:rPr>
        <w:t xml:space="preserve"> </w:t>
      </w:r>
      <w:r w:rsidR="009B673F">
        <w:rPr>
          <w:rtl/>
        </w:rPr>
        <w:t>-</w:t>
      </w:r>
      <w:r w:rsidR="00992664">
        <w:rPr>
          <w:rtl/>
        </w:rPr>
        <w:t xml:space="preserve"> </w:t>
      </w:r>
      <w:r w:rsidR="00992664" w:rsidRPr="00020424">
        <w:rPr>
          <w:rtl/>
        </w:rPr>
        <w:t>على أنّه لا يجوز للمعتكف الخروج من المسجد الذي وقع فيه الاعتكاف لغير الأسباب المبيحة</w:t>
      </w:r>
      <w:r w:rsidR="00992664">
        <w:rPr>
          <w:rtl/>
        </w:rPr>
        <w:t xml:space="preserve"> ».</w:t>
      </w:r>
      <w:r w:rsidR="00992664" w:rsidRPr="00020424">
        <w:rPr>
          <w:rtl/>
        </w:rPr>
        <w:t xml:space="preserve"> وراجع أيضاً : </w:t>
      </w:r>
      <w:r w:rsidR="00992664" w:rsidRPr="00DE76B9">
        <w:rPr>
          <w:rStyle w:val="libFootnoteBoldChar"/>
          <w:rtl/>
        </w:rPr>
        <w:t>المعتبر</w:t>
      </w:r>
      <w:r w:rsidR="00992664" w:rsidRPr="00020424">
        <w:rPr>
          <w:rtl/>
        </w:rPr>
        <w:t xml:space="preserve"> ، ج 2 ، ص 733 ؛ </w:t>
      </w:r>
      <w:r w:rsidR="00992664" w:rsidRPr="00DE76B9">
        <w:rPr>
          <w:rStyle w:val="libFootnoteBoldChar"/>
          <w:rtl/>
        </w:rPr>
        <w:t>تذكرة الفقهاء</w:t>
      </w:r>
      <w:r w:rsidR="00992664" w:rsidRPr="00020424">
        <w:rPr>
          <w:rtl/>
        </w:rPr>
        <w:t xml:space="preserve"> ، ج 6 ، ص 286 ، المسألة 208.</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290 ، ح 884 ؛ </w:t>
      </w:r>
      <w:r w:rsidR="00992664" w:rsidRPr="00FD6221">
        <w:rPr>
          <w:rStyle w:val="libFootnoteBoldChar"/>
          <w:rtl/>
        </w:rPr>
        <w:t>والاستبصار</w:t>
      </w:r>
      <w:r w:rsidR="00992664" w:rsidRPr="00020424">
        <w:rPr>
          <w:rtl/>
        </w:rPr>
        <w:t xml:space="preserve"> ، ج 2 ، ص 126 ، ح 411 ، معلّقاً عن الكليني. </w:t>
      </w:r>
      <w:r w:rsidR="00992664" w:rsidRPr="0012008A">
        <w:rPr>
          <w:rStyle w:val="libFootnoteBoldChar"/>
          <w:rtl/>
        </w:rPr>
        <w:t>الفقيه</w:t>
      </w:r>
      <w:r w:rsidR="00992664" w:rsidRPr="00020424">
        <w:rPr>
          <w:rtl/>
        </w:rPr>
        <w:t xml:space="preserve"> ، ج 2 ، ص 185 ، ح 2091. معلّقاً عن البزنطي ، عن داود بن سرحان. وفي </w:t>
      </w:r>
      <w:r w:rsidR="00992664" w:rsidRPr="0012008A">
        <w:rPr>
          <w:rStyle w:val="libFootnoteBoldChar"/>
          <w:rtl/>
        </w:rPr>
        <w:t>التهذيب</w:t>
      </w:r>
      <w:r w:rsidR="00992664" w:rsidRPr="00020424">
        <w:rPr>
          <w:rtl/>
        </w:rPr>
        <w:t xml:space="preserve"> ، ج 4 ، ص 287 ، ح 885 ؛ </w:t>
      </w:r>
      <w:r w:rsidR="00992664" w:rsidRPr="00FD6221">
        <w:rPr>
          <w:rStyle w:val="libFootnoteBoldChar"/>
          <w:rtl/>
        </w:rPr>
        <w:t>والاستبصار</w:t>
      </w:r>
      <w:r w:rsidR="00992664" w:rsidRPr="00020424">
        <w:rPr>
          <w:rtl/>
        </w:rPr>
        <w:t xml:space="preserve"> ، ج 2 ، ص 127 ، ح 412 ، بسند آخر من قوله : « إنّ عليّاً صلوات الله عليه » إلى قوله : « أو مسجد </w:t>
      </w:r>
      <w:r w:rsidR="003F2AA3">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343309">
        <w:rPr>
          <w:rtl/>
        </w:rPr>
        <w:t>6683</w:t>
      </w:r>
      <w:r w:rsidRPr="001155DE">
        <w:rPr>
          <w:rStyle w:val="libBold2Char"/>
          <w:rtl/>
        </w:rPr>
        <w:t xml:space="preserve"> / 3.</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سُئِلَ عَنِ الاعْتِكَافِ</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(1)</w:t>
      </w:r>
      <w:r w:rsidRPr="00020424">
        <w:rPr>
          <w:rtl/>
          <w:lang w:bidi="fa-IR"/>
        </w:rPr>
        <w:t xml:space="preserve"> : « لَا يَصْلُحُ الاعْتِكَافُ </w:t>
      </w:r>
      <w:r w:rsidR="000C3919">
        <w:rPr>
          <w:rtl/>
          <w:lang w:bidi="fa-IR"/>
        </w:rPr>
        <w:t>إِل</w:t>
      </w:r>
      <w:r w:rsidR="000C3919">
        <w:rPr>
          <w:rFonts w:hint="cs"/>
          <w:rtl/>
          <w:lang w:bidi="fa-IR"/>
        </w:rPr>
        <w:t>َّ</w:t>
      </w:r>
      <w:r w:rsidR="000C3919">
        <w:rPr>
          <w:rtl/>
          <w:lang w:bidi="fa-IR"/>
        </w:rPr>
        <w:t>ا</w:t>
      </w:r>
      <w:r w:rsidRPr="00020424">
        <w:rPr>
          <w:rtl/>
          <w:lang w:bidi="fa-IR"/>
        </w:rPr>
        <w:t xml:space="preserve"> فِي الْمَسْجِدِ الْحَرَامِ ، أَوْ مَسْجِدِ الرَّسُولِ </w:t>
      </w:r>
      <w:r w:rsidR="00B42914" w:rsidRPr="00B42914">
        <w:rPr>
          <w:rStyle w:val="libAlaemChar"/>
          <w:rtl/>
        </w:rPr>
        <w:t>صلى‌الله‌عليه‌وآله‌</w:t>
      </w:r>
      <w:r w:rsidRPr="00020424">
        <w:rPr>
          <w:rtl/>
          <w:lang w:bidi="fa-IR"/>
        </w:rPr>
        <w:t xml:space="preserve"> ، أَوْ مَسْجِدِ الْكُوفَةِ ، أَوْ مَسْجِدِ جَمَاعَةٍ ، وَتَصُومُ مَا دُمْتَ مُعْتَكِفاً</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343309">
        <w:rPr>
          <w:rtl/>
        </w:rPr>
        <w:t>6684</w:t>
      </w:r>
      <w:r w:rsidRPr="001155DE">
        <w:rPr>
          <w:rStyle w:val="libBold2Char"/>
          <w:rtl/>
        </w:rPr>
        <w:t xml:space="preserve"> / 4.</w:t>
      </w:r>
      <w:r w:rsidRPr="00020424">
        <w:rPr>
          <w:rtl/>
          <w:lang w:bidi="fa-IR"/>
        </w:rPr>
        <w:t xml:space="preserve"> عِدَّةٌ مِنْ أَصْحَابِنَا ، عَنْ أَحْمَدَ بْنِ مُحَمَّدٍ ، عَنِ الْحُسَيْنِ بْنِ سَعِيدٍ ، عَنْ فَضَالَةَ بْنِ أَيُّوبَ ، عَنْ عَبْدِ اللهِ بْنِ سِنَانٍ ، قَالَ :</w:t>
      </w:r>
    </w:p>
    <w:p w:rsidR="00992664" w:rsidRPr="00020424" w:rsidRDefault="00992664" w:rsidP="00992664">
      <w:pPr>
        <w:pStyle w:val="libNormal"/>
        <w:rPr>
          <w:rtl/>
          <w:lang w:bidi="fa-IR"/>
        </w:rPr>
      </w:pPr>
      <w:r w:rsidRPr="00020424">
        <w:rPr>
          <w:rtl/>
          <w:lang w:bidi="fa-IR"/>
        </w:rPr>
        <w:t xml:space="preserve">الْمُعْتَكِفُ بِمَكَّةَ يُصَلِّي فِي أَيِّ بُيُوتِهَا شَاءَ ، سَوَاءٌ عَلَيْهِ فِي الْمَسْجِدِ صَلّى ، أَوْ فِي بُيُوتِهَا.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343309">
        <w:rPr>
          <w:rtl/>
        </w:rPr>
        <w:t>6685</w:t>
      </w:r>
      <w:r w:rsidRPr="001155DE">
        <w:rPr>
          <w:rStyle w:val="libBold2Char"/>
          <w:rtl/>
        </w:rPr>
        <w:t xml:space="preserve"> / 5.</w:t>
      </w:r>
      <w:r w:rsidRPr="00020424">
        <w:rPr>
          <w:rtl/>
          <w:lang w:bidi="fa-IR"/>
        </w:rPr>
        <w:t xml:space="preserve"> أَبُو عَلِيٍّ الْأَشْعَرِيُّ ، عَنْ مُحَمَّدِ بْنِ عَبْدِ الْجَبَّارِ ، عَنْ صَفْوَانَ بْنِ يَحْيى ، عَنْ مَنْصُورِ بْنِ حَازِمٍ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الْمُعْتَكِفُ بِمَكَّةَ يُصَلِّي فِي أَيِّ بُيُوتِهَا شَاءَ </w:t>
      </w:r>
      <w:r w:rsidRPr="00A91B96">
        <w:rPr>
          <w:rStyle w:val="libFootnotenumChar"/>
          <w:rtl/>
        </w:rPr>
        <w:t>(4)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D7372" w:rsidP="00992664">
      <w:pPr>
        <w:pStyle w:val="libFootnote0"/>
        <w:rPr>
          <w:rtl/>
          <w:lang w:bidi="fa-IR"/>
        </w:rPr>
      </w:pPr>
      <w:r>
        <w:rPr>
          <w:rFonts w:hint="cs"/>
          <w:rtl/>
        </w:rPr>
        <w:t xml:space="preserve">= </w:t>
      </w:r>
      <w:r w:rsidR="00992664" w:rsidRPr="00020424">
        <w:rPr>
          <w:rtl/>
        </w:rPr>
        <w:t xml:space="preserve">جامعه » مع زيادة في أوّله. وفي </w:t>
      </w:r>
      <w:r w:rsidR="00992664" w:rsidRPr="0012008A">
        <w:rPr>
          <w:rStyle w:val="libFootnoteBoldChar"/>
          <w:rtl/>
        </w:rPr>
        <w:t>التهذيب</w:t>
      </w:r>
      <w:r w:rsidR="00992664" w:rsidRPr="00020424">
        <w:rPr>
          <w:rtl/>
        </w:rPr>
        <w:t xml:space="preserve"> ، ج 4 ، ص 290 ، ح 880 ؛ </w:t>
      </w:r>
      <w:r w:rsidR="00992664" w:rsidRPr="00FD6221">
        <w:rPr>
          <w:rStyle w:val="libFootnoteBoldChar"/>
          <w:rtl/>
        </w:rPr>
        <w:t>والاستبصار</w:t>
      </w:r>
      <w:r w:rsidR="00992664" w:rsidRPr="00020424">
        <w:rPr>
          <w:rtl/>
        </w:rPr>
        <w:t xml:space="preserve"> ، ج 2 ، ص 127 ، ح 412 ، بسند آخر عن أبي عبدالله ، عن أبيه </w:t>
      </w:r>
      <w:r w:rsidR="00D64ADA" w:rsidRPr="00D64ADA">
        <w:rPr>
          <w:rStyle w:val="libFootnoteAlaemChar"/>
          <w:rtl/>
        </w:rPr>
        <w:t>عليهما‌السلام</w:t>
      </w:r>
      <w:r w:rsidR="00992664" w:rsidRPr="00020424">
        <w:rPr>
          <w:rtl/>
        </w:rPr>
        <w:t xml:space="preserve"> ، وتمام الرواية هكذا : « المعتكف يعتكف في المسجد الجامع</w:t>
      </w:r>
      <w:r w:rsidR="00992664">
        <w:rPr>
          <w:rtl/>
        </w:rPr>
        <w:t xml:space="preserve"> ».</w:t>
      </w:r>
      <w:r w:rsidR="00992664" w:rsidRPr="00020424">
        <w:rPr>
          <w:rtl/>
        </w:rPr>
        <w:t xml:space="preserve"> راجع : </w:t>
      </w:r>
      <w:r w:rsidR="00992664" w:rsidRPr="00DE76B9">
        <w:rPr>
          <w:rStyle w:val="libFootnoteBoldChar"/>
          <w:rtl/>
        </w:rPr>
        <w:t>الكافي</w:t>
      </w:r>
      <w:r w:rsidR="00992664" w:rsidRPr="00020424">
        <w:rPr>
          <w:rtl/>
        </w:rPr>
        <w:t xml:space="preserve"> ، كتاب الصيام ، ب</w:t>
      </w:r>
      <w:r w:rsidR="00BF15F6">
        <w:rPr>
          <w:rtl/>
        </w:rPr>
        <w:t>اب المعتكف لايخرج من المسجد إل</w:t>
      </w:r>
      <w:r w:rsidR="00BF15F6">
        <w:rPr>
          <w:rFonts w:hint="cs"/>
          <w:rtl/>
        </w:rPr>
        <w:t>ّ</w:t>
      </w:r>
      <w:r w:rsidR="00BF15F6">
        <w:rPr>
          <w:rtl/>
        </w:rPr>
        <w:t>ا</w:t>
      </w:r>
      <w:r w:rsidR="00992664" w:rsidRPr="00020424">
        <w:rPr>
          <w:rtl/>
        </w:rPr>
        <w:t>لحاجة ، ح 6691</w:t>
      </w:r>
      <w:r w:rsidR="00992664">
        <w:rPr>
          <w:rtl/>
        </w:rPr>
        <w:t xml:space="preserve"> </w:t>
      </w:r>
      <w:r w:rsidR="009B673F">
        <w:rPr>
          <w:rtl/>
        </w:rPr>
        <w:t>-</w:t>
      </w:r>
      <w:r w:rsidR="00992664">
        <w:rPr>
          <w:rtl/>
        </w:rPr>
        <w:t xml:space="preserve"> </w:t>
      </w:r>
      <w:r w:rsidR="00992664" w:rsidRPr="00020424">
        <w:rPr>
          <w:rtl/>
        </w:rPr>
        <w:t xml:space="preserve">6693 ؛ </w:t>
      </w:r>
      <w:r w:rsidR="00992664" w:rsidRPr="00FD6221">
        <w:rPr>
          <w:rStyle w:val="libFootnoteBoldChar"/>
          <w:rtl/>
        </w:rPr>
        <w:t>والفقيه</w:t>
      </w:r>
      <w:r w:rsidR="00992664" w:rsidRPr="00DE76B9">
        <w:rPr>
          <w:rStyle w:val="libFootnoteBoldChar"/>
          <w:rtl/>
        </w:rPr>
        <w:t xml:space="preserve"> </w:t>
      </w:r>
      <w:r w:rsidR="00992664" w:rsidRPr="00020424">
        <w:rPr>
          <w:rtl/>
        </w:rPr>
        <w:t xml:space="preserve">، ج 2 ، ص 187 ، ح 2098 و2099 ؛ </w:t>
      </w:r>
      <w:r w:rsidR="00992664" w:rsidRPr="00515444">
        <w:rPr>
          <w:rStyle w:val="libFootnoteBoldChar"/>
          <w:rtl/>
        </w:rPr>
        <w:t>والتهذيب</w:t>
      </w:r>
      <w:r w:rsidR="00992664" w:rsidRPr="00020424">
        <w:rPr>
          <w:rtl/>
        </w:rPr>
        <w:t xml:space="preserve"> ، ج 4 ، ص 287 ، ح 870 و871 </w:t>
      </w:r>
      <w:r w:rsidR="00D0688F">
        <w:rPr>
          <w:rFonts w:hint="cs"/>
          <w:rtl/>
        </w:rPr>
        <w:t>.</w:t>
      </w:r>
      <w:r w:rsidR="00992664" w:rsidRPr="0012008A">
        <w:rPr>
          <w:rStyle w:val="libFootnoteBoldChar"/>
          <w:rtl/>
        </w:rPr>
        <w:t>الوافي</w:t>
      </w:r>
      <w:r w:rsidR="00992664" w:rsidRPr="00020424">
        <w:rPr>
          <w:rtl/>
        </w:rPr>
        <w:t xml:space="preserve"> ، ج 11 ، ص 487 ، ح 11174 ؛ </w:t>
      </w:r>
      <w:r w:rsidR="00992664" w:rsidRPr="0012008A">
        <w:rPr>
          <w:rStyle w:val="libFootnoteBoldChar"/>
          <w:rtl/>
        </w:rPr>
        <w:t>الوسائل</w:t>
      </w:r>
      <w:r w:rsidR="00992664" w:rsidRPr="00020424">
        <w:rPr>
          <w:rtl/>
        </w:rPr>
        <w:t xml:space="preserve"> ، ج 10 ، ص 541 ، ح 14071 ، من قوله : « قال : إنّ عليّاً صلوات الله عليه</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ى ، بس » : « فقال</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الوافي</w:t>
      </w:r>
      <w:r w:rsidR="00992664" w:rsidRPr="00020424">
        <w:rPr>
          <w:rtl/>
        </w:rPr>
        <w:t xml:space="preserve"> ، ج 11 ، ص 487 ، ح 11175 ؛ </w:t>
      </w:r>
      <w:r w:rsidR="00992664" w:rsidRPr="0012008A">
        <w:rPr>
          <w:rStyle w:val="libFootnoteBoldChar"/>
          <w:rtl/>
        </w:rPr>
        <w:t>الوسائل</w:t>
      </w:r>
      <w:r w:rsidR="00992664" w:rsidRPr="00020424">
        <w:rPr>
          <w:rtl/>
        </w:rPr>
        <w:t xml:space="preserve"> ، ج 10 ، ص 535 ، ذيل ح</w:t>
      </w:r>
      <w:r w:rsidR="006B5249">
        <w:rPr>
          <w:rtl/>
        </w:rPr>
        <w:t xml:space="preserve"> 14051 ؛ وص 540</w:t>
      </w:r>
      <w:r w:rsidR="00992664" w:rsidRPr="00020424">
        <w:rPr>
          <w:rtl/>
        </w:rPr>
        <w:t>، ح 14068.</w:t>
      </w:r>
    </w:p>
    <w:p w:rsidR="00992664" w:rsidRPr="00020424" w:rsidRDefault="00795177" w:rsidP="00992664">
      <w:pPr>
        <w:pStyle w:val="libFootnote0"/>
        <w:rPr>
          <w:rtl/>
          <w:lang w:bidi="fa-IR"/>
        </w:rPr>
      </w:pPr>
      <w:r>
        <w:rPr>
          <w:rtl/>
        </w:rPr>
        <w:t>(3).</w:t>
      </w:r>
      <w:r w:rsidR="0014403D">
        <w:rPr>
          <w:rtl/>
        </w:rPr>
        <w:t xml:space="preserve"> </w:t>
      </w:r>
      <w:r w:rsidR="00992664" w:rsidRPr="0012008A">
        <w:rPr>
          <w:rStyle w:val="libFootnoteBoldChar"/>
          <w:rtl/>
        </w:rPr>
        <w:t>التهذيب</w:t>
      </w:r>
      <w:r w:rsidR="00992664" w:rsidRPr="00020424">
        <w:rPr>
          <w:rtl/>
        </w:rPr>
        <w:t xml:space="preserve"> ، ج 4 ، ص 292 ، ح 890 ؛ </w:t>
      </w:r>
      <w:r w:rsidR="00992664" w:rsidRPr="00FD6221">
        <w:rPr>
          <w:rStyle w:val="libFootnoteBoldChar"/>
          <w:rtl/>
        </w:rPr>
        <w:t>والاستبصار</w:t>
      </w:r>
      <w:r w:rsidR="00992664" w:rsidRPr="00020424">
        <w:rPr>
          <w:rtl/>
        </w:rPr>
        <w:t xml:space="preserve"> ، ج 2 ، ص 127 ، ح 415 ، معلّقاً عن الحسين بن سعيد. </w:t>
      </w:r>
      <w:r w:rsidR="00992664" w:rsidRPr="0012008A">
        <w:rPr>
          <w:rStyle w:val="libFootnoteBoldChar"/>
          <w:rtl/>
        </w:rPr>
        <w:t>الفقيه</w:t>
      </w:r>
      <w:r w:rsidR="00992664" w:rsidRPr="00020424">
        <w:rPr>
          <w:rtl/>
        </w:rPr>
        <w:t xml:space="preserve"> ، ج 2 ، ص 185 ، ح 2092 ، معلّقاً عن عبدالله بن سنان ،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293 ، ح 891 ؛ </w:t>
      </w:r>
      <w:r w:rsidR="00992664" w:rsidRPr="00FD6221">
        <w:rPr>
          <w:rStyle w:val="libFootnoteBoldChar"/>
          <w:rtl/>
        </w:rPr>
        <w:t>والاستبصار</w:t>
      </w:r>
      <w:r w:rsidR="00992664" w:rsidRPr="00020424">
        <w:rPr>
          <w:rtl/>
        </w:rPr>
        <w:t xml:space="preserve"> ، ج 2 ، ص 128 ، ح 416 ، بسندهما عن عبدالله بن سنان ، مع زيادة في آخره </w:t>
      </w:r>
      <w:r w:rsidR="00D0688F">
        <w:rPr>
          <w:rFonts w:hint="cs"/>
          <w:rtl/>
        </w:rPr>
        <w:t>.</w:t>
      </w:r>
      <w:r w:rsidR="00992664" w:rsidRPr="0012008A">
        <w:rPr>
          <w:rStyle w:val="libFootnoteBoldChar"/>
          <w:rtl/>
        </w:rPr>
        <w:t>الوافي</w:t>
      </w:r>
      <w:r w:rsidR="00992664" w:rsidRPr="00020424">
        <w:rPr>
          <w:rtl/>
        </w:rPr>
        <w:t xml:space="preserve"> ، ج 11 ، ص 492 ، ح 11188 ؛ </w:t>
      </w:r>
      <w:r w:rsidR="00992664" w:rsidRPr="0012008A">
        <w:rPr>
          <w:rStyle w:val="libFootnoteBoldChar"/>
          <w:rtl/>
        </w:rPr>
        <w:t>الوسائل</w:t>
      </w:r>
      <w:r w:rsidR="00992664" w:rsidRPr="00020424">
        <w:rPr>
          <w:rtl/>
        </w:rPr>
        <w:t xml:space="preserve"> ، ج 10 ، ص 551 ، ذيل ح 14095.</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w:t>
      </w:r>
      <w:r w:rsidR="00992664">
        <w:rPr>
          <w:rtl/>
        </w:rPr>
        <w:t xml:space="preserve"> </w:t>
      </w:r>
      <w:r w:rsidR="009B673F">
        <w:rPr>
          <w:rtl/>
        </w:rPr>
        <w:t>-</w:t>
      </w:r>
      <w:r w:rsidR="00992664">
        <w:rPr>
          <w:rtl/>
        </w:rPr>
        <w:t xml:space="preserve"> </w:t>
      </w:r>
      <w:r w:rsidR="00992664" w:rsidRPr="00020424">
        <w:rPr>
          <w:rtl/>
        </w:rPr>
        <w:t>« شاء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B5249">
      <w:pPr>
        <w:pStyle w:val="libNormal"/>
        <w:rPr>
          <w:rtl/>
          <w:lang w:bidi="fa-IR"/>
        </w:rPr>
      </w:pPr>
      <w:r w:rsidRPr="00020424">
        <w:rPr>
          <w:rtl/>
          <w:lang w:bidi="fa-IR"/>
        </w:rPr>
        <w:t xml:space="preserve">وَالْمُعْتَكِفُ فِي غَيْرِهَا </w:t>
      </w:r>
      <w:r w:rsidRPr="00A91B96">
        <w:rPr>
          <w:rStyle w:val="libFootnotenumChar"/>
          <w:rtl/>
        </w:rPr>
        <w:t>(1)</w:t>
      </w:r>
      <w:r w:rsidR="0012682B">
        <w:rPr>
          <w:rtl/>
          <w:lang w:bidi="fa-IR"/>
        </w:rPr>
        <w:t xml:space="preserve"> لَايُصَلِّي إِل</w:t>
      </w:r>
      <w:r w:rsidR="0012682B">
        <w:rPr>
          <w:rFonts w:hint="cs"/>
          <w:rtl/>
          <w:lang w:bidi="fa-IR"/>
        </w:rPr>
        <w:t>َّ</w:t>
      </w:r>
      <w:r w:rsidR="0012682B">
        <w:rPr>
          <w:rtl/>
          <w:lang w:bidi="fa-IR"/>
        </w:rPr>
        <w:t>ا</w:t>
      </w:r>
      <w:r w:rsidRPr="00020424">
        <w:rPr>
          <w:rtl/>
          <w:lang w:bidi="fa-IR"/>
        </w:rPr>
        <w:t xml:space="preserve"> فِي الْمَسْجِدِ الَّذِي سَمَّاهُ</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544" w:name="_Toc345172898"/>
      <w:bookmarkStart w:id="545" w:name="_Toc464562712"/>
      <w:bookmarkStart w:id="546" w:name="_Toc44600019"/>
      <w:r w:rsidRPr="00020424">
        <w:rPr>
          <w:rtl/>
          <w:lang w:bidi="fa-IR"/>
        </w:rPr>
        <w:t>79</w:t>
      </w:r>
      <w:r>
        <w:rPr>
          <w:rtl/>
          <w:lang w:bidi="fa-IR"/>
        </w:rPr>
        <w:t xml:space="preserve"> </w:t>
      </w:r>
      <w:r w:rsidR="009B673F">
        <w:rPr>
          <w:rtl/>
          <w:lang w:bidi="fa-IR"/>
        </w:rPr>
        <w:t>-</w:t>
      </w:r>
      <w:r>
        <w:rPr>
          <w:rtl/>
          <w:lang w:bidi="fa-IR"/>
        </w:rPr>
        <w:t xml:space="preserve"> </w:t>
      </w:r>
      <w:r w:rsidRPr="00020424">
        <w:rPr>
          <w:rtl/>
          <w:lang w:bidi="fa-IR"/>
        </w:rPr>
        <w:t>بَابُ أَقَلِّ مَا يَكُونُ الِاعْتِكَافُ‌</w:t>
      </w:r>
      <w:bookmarkEnd w:id="544"/>
      <w:bookmarkEnd w:id="545"/>
      <w:bookmarkEnd w:id="546"/>
    </w:p>
    <w:p w:rsidR="00992664" w:rsidRPr="00020424" w:rsidRDefault="00992664" w:rsidP="00992664">
      <w:pPr>
        <w:pStyle w:val="libNormal"/>
        <w:rPr>
          <w:rtl/>
          <w:lang w:bidi="fa-IR"/>
        </w:rPr>
      </w:pPr>
      <w:r w:rsidRPr="00343309">
        <w:rPr>
          <w:rtl/>
        </w:rPr>
        <w:t>6686</w:t>
      </w:r>
      <w:r w:rsidRPr="001155DE">
        <w:rPr>
          <w:rStyle w:val="libBold2Char"/>
          <w:rtl/>
        </w:rPr>
        <w:t xml:space="preserve"> / 1.</w:t>
      </w:r>
      <w:r w:rsidRPr="00020424">
        <w:rPr>
          <w:rtl/>
          <w:lang w:bidi="fa-IR"/>
        </w:rPr>
        <w:t xml:space="preserve"> عِدَّةٌ مِنْ أَصْحَابِنَا ، عَنْ أَحْمَدَ بْنِ مُحَمَّدٍ ، عَنِ ابْ</w:t>
      </w:r>
      <w:r w:rsidR="00A97347">
        <w:rPr>
          <w:rtl/>
          <w:lang w:bidi="fa-IR"/>
        </w:rPr>
        <w:t>نِ مَحْبُوبٍ ، عَنْ أَبِي وَل</w:t>
      </w:r>
      <w:r w:rsidR="00A97347">
        <w:rPr>
          <w:rFonts w:hint="cs"/>
          <w:rtl/>
          <w:lang w:bidi="fa-IR"/>
        </w:rPr>
        <w:t>َّ</w:t>
      </w:r>
      <w:r w:rsidR="00A97347">
        <w:rPr>
          <w:rtl/>
          <w:lang w:bidi="fa-IR"/>
        </w:rPr>
        <w:t>ا</w:t>
      </w:r>
      <w:r w:rsidRPr="00020424">
        <w:rPr>
          <w:rtl/>
          <w:lang w:bidi="fa-IR"/>
        </w:rPr>
        <w:t>دٍ الْحَنَّاطِ</w:t>
      </w:r>
      <w:r w:rsidRPr="00A91B96">
        <w:rPr>
          <w:rStyle w:val="libFootnotenumChar"/>
          <w:rtl/>
        </w:rPr>
        <w:t>(3)</w:t>
      </w:r>
      <w:r w:rsidRPr="00020424">
        <w:rPr>
          <w:rtl/>
          <w:lang w:bidi="fa-IR"/>
        </w:rPr>
        <w:t xml:space="preserve">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امْرَأَةٍ </w:t>
      </w:r>
      <w:r w:rsidRPr="00A91B96">
        <w:rPr>
          <w:rStyle w:val="libFootnotenumChar"/>
          <w:rtl/>
        </w:rPr>
        <w:t>(4)</w:t>
      </w:r>
      <w:r w:rsidRPr="00020424">
        <w:rPr>
          <w:rtl/>
          <w:lang w:bidi="fa-IR"/>
        </w:rPr>
        <w:t xml:space="preserve"> كَانَ زَوْجُهَا غَائِباً ، فَقَدِمَ وَهِيَ مُعْتَكِفَةٌ بِإِذْنِ زَوْجِهَا ، فَخَرَجَتْ حِينَ بَلَغَهَا قُدُومُهُ مِنَ الْمَسْجِدِ إِلى بَيْتِهَا ، فَتَهَيَّأَتْ </w:t>
      </w:r>
      <w:r w:rsidRPr="00A91B96">
        <w:rPr>
          <w:rStyle w:val="libFootnotenumChar"/>
          <w:rtl/>
        </w:rPr>
        <w:t>(5)</w:t>
      </w:r>
      <w:r w:rsidRPr="00020424">
        <w:rPr>
          <w:rtl/>
          <w:lang w:bidi="fa-IR"/>
        </w:rPr>
        <w:t xml:space="preserve"> لِزَوْجِهَا حَتّى وَاقَعَهَا</w:t>
      </w:r>
      <w:r>
        <w:rPr>
          <w:rtl/>
          <w:lang w:bidi="fa-IR"/>
        </w:rPr>
        <w:t>؟</w:t>
      </w:r>
    </w:p>
    <w:p w:rsidR="00992664" w:rsidRPr="00020424" w:rsidRDefault="00992664" w:rsidP="00992664">
      <w:pPr>
        <w:pStyle w:val="libNormal"/>
        <w:rPr>
          <w:rtl/>
          <w:lang w:bidi="fa-IR"/>
        </w:rPr>
      </w:pPr>
      <w:r w:rsidRPr="00020424">
        <w:rPr>
          <w:rtl/>
          <w:lang w:bidi="fa-IR"/>
        </w:rPr>
        <w:t xml:space="preserve">فَقَالَ : « إِنْ كَانَتْ خَرَجَتْ مِنَ الْمَسْجِدِ قَبْلَ أَنْ تَمْضِيَ </w:t>
      </w:r>
      <w:r w:rsidRPr="00A91B96">
        <w:rPr>
          <w:rStyle w:val="libFootnotenumChar"/>
          <w:rtl/>
        </w:rPr>
        <w:t>(6)</w:t>
      </w:r>
      <w:r w:rsidRPr="00020424">
        <w:rPr>
          <w:rtl/>
          <w:lang w:bidi="fa-IR"/>
        </w:rPr>
        <w:t xml:space="preserve"> ثَلَاثَةُ أَيَّامٍ ، وَلَمْ تَكُنِ </w:t>
      </w:r>
      <w:r w:rsidRPr="00A91B96">
        <w:rPr>
          <w:rStyle w:val="libFootnotenumChar"/>
          <w:rtl/>
        </w:rPr>
        <w:t>(7)</w:t>
      </w:r>
      <w:r w:rsidRPr="00020424">
        <w:rPr>
          <w:rtl/>
          <w:lang w:bidi="fa-IR"/>
        </w:rPr>
        <w:t xml:space="preserve"> اشْتَرَطَتْ فِي اعْتِكَافِهَا ، فَإِنَّ عَلَيْهَا مَا عَلَى الْمُظَاهِرِ </w:t>
      </w:r>
      <w:r w:rsidRPr="00A91B96">
        <w:rPr>
          <w:rStyle w:val="libFootnotenumChar"/>
          <w:rtl/>
        </w:rPr>
        <w:t>(8)</w:t>
      </w:r>
      <w:r>
        <w:rPr>
          <w:rtl/>
          <w:lang w:bidi="fa-IR"/>
        </w:rPr>
        <w:t xml:space="preserve"> ».</w:t>
      </w:r>
      <w:r w:rsidRPr="00020424">
        <w:rPr>
          <w:rtl/>
          <w:lang w:bidi="fa-IR"/>
        </w:rPr>
        <w:t xml:space="preserve"> </w:t>
      </w:r>
      <w:r w:rsidRPr="00A91B96">
        <w:rPr>
          <w:rStyle w:val="libFootnotenumChar"/>
          <w:rtl/>
        </w:rPr>
        <w:t>(9)</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هكذا في « بس » </w:t>
      </w:r>
      <w:r w:rsidR="00992664" w:rsidRPr="00B852FD">
        <w:rPr>
          <w:rtl/>
        </w:rPr>
        <w:t>والوافي والتهذيب والاستبصار والفقيه. وفي سائر النسخ والمطبوع : « غ</w:t>
      </w:r>
      <w:r w:rsidR="00992664" w:rsidRPr="00020424">
        <w:rPr>
          <w:rtl/>
        </w:rPr>
        <w:t>يره</w:t>
      </w:r>
      <w:r w:rsidR="00992664">
        <w:rPr>
          <w:rtl/>
        </w:rPr>
        <w:t xml:space="preserve"> ».</w:t>
      </w:r>
    </w:p>
    <w:p w:rsidR="00992664" w:rsidRPr="00020424" w:rsidRDefault="00795177" w:rsidP="0005626E">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293 ، ح 892 ؛ </w:t>
      </w:r>
      <w:r w:rsidR="00992664" w:rsidRPr="00FD6221">
        <w:rPr>
          <w:rStyle w:val="libFootnoteBoldChar"/>
          <w:rtl/>
        </w:rPr>
        <w:t>والاستبصار</w:t>
      </w:r>
      <w:r w:rsidR="00992664" w:rsidRPr="00020424">
        <w:rPr>
          <w:rtl/>
        </w:rPr>
        <w:t xml:space="preserve"> ، ج 2 ، ص 128 ، ح 417 ، معلّقاً عن الكليني. </w:t>
      </w:r>
      <w:r w:rsidR="00992664" w:rsidRPr="0012008A">
        <w:rPr>
          <w:rStyle w:val="libFootnoteBoldChar"/>
          <w:rtl/>
        </w:rPr>
        <w:t>الفقيه</w:t>
      </w:r>
      <w:r w:rsidR="00992664" w:rsidRPr="00020424">
        <w:rPr>
          <w:rtl/>
        </w:rPr>
        <w:t xml:space="preserve"> ، ج 2 ، ص 185 ، ح 2093 ، معلّقاً عن منصور بن حازم </w:t>
      </w:r>
      <w:r w:rsidR="00B852FD">
        <w:rPr>
          <w:rFonts w:hint="cs"/>
          <w:rtl/>
        </w:rPr>
        <w:t>.</w:t>
      </w:r>
      <w:r w:rsidR="00992664" w:rsidRPr="0012008A">
        <w:rPr>
          <w:rStyle w:val="libFootnoteBoldChar"/>
          <w:rtl/>
        </w:rPr>
        <w:t>الوافي</w:t>
      </w:r>
      <w:r w:rsidR="00992664" w:rsidRPr="00020424">
        <w:rPr>
          <w:rtl/>
        </w:rPr>
        <w:t xml:space="preserve"> ، ج 11 ، ص 493 ، ح 11190 ؛ </w:t>
      </w:r>
      <w:r w:rsidR="00992664" w:rsidRPr="0012008A">
        <w:rPr>
          <w:rStyle w:val="libFootnoteBoldChar"/>
          <w:rtl/>
        </w:rPr>
        <w:t>الوسائل</w:t>
      </w:r>
      <w:r w:rsidR="00992664" w:rsidRPr="00020424">
        <w:rPr>
          <w:rtl/>
        </w:rPr>
        <w:t xml:space="preserve"> ، ج 10 ، ص 551 ، ذيل ح 14096.</w:t>
      </w:r>
      <w:r w:rsidR="006B5249">
        <w:rPr>
          <w:rFonts w:hint="cs"/>
          <w:rtl/>
        </w:rPr>
        <w:t xml:space="preserve">             </w:t>
      </w:r>
      <w:r w:rsidR="0005626E">
        <w:rPr>
          <w:rFonts w:hint="cs"/>
          <w:rtl/>
        </w:rPr>
        <w:t xml:space="preserve"> </w:t>
      </w:r>
      <w:r>
        <w:rPr>
          <w:rtl/>
        </w:rPr>
        <w:t>(3).</w:t>
      </w:r>
      <w:r w:rsidR="0014403D">
        <w:rPr>
          <w:rtl/>
        </w:rPr>
        <w:t xml:space="preserve"> </w:t>
      </w:r>
      <w:r w:rsidR="00992664" w:rsidRPr="00020424">
        <w:rPr>
          <w:rtl/>
        </w:rPr>
        <w:t>في « بر ، بف » :</w:t>
      </w:r>
      <w:r w:rsidR="00992664">
        <w:rPr>
          <w:rtl/>
        </w:rPr>
        <w:t xml:space="preserve"> </w:t>
      </w:r>
      <w:r w:rsidR="009B673F">
        <w:rPr>
          <w:rtl/>
        </w:rPr>
        <w:t>-</w:t>
      </w:r>
      <w:r w:rsidR="00992664">
        <w:rPr>
          <w:rtl/>
        </w:rPr>
        <w:t xml:space="preserve"> </w:t>
      </w:r>
      <w:r w:rsidR="00992664" w:rsidRPr="00020424">
        <w:rPr>
          <w:rtl/>
        </w:rPr>
        <w:t>« الحنّاط</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بث ، بخ ، بف » </w:t>
      </w:r>
      <w:r w:rsidR="00992664" w:rsidRPr="00515444">
        <w:rPr>
          <w:rStyle w:val="libFootnoteBoldChar"/>
          <w:rtl/>
        </w:rPr>
        <w:t>والتهذيب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المرأة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 « وتهيّأت</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هكذا في « ظ ، بس ، ج</w:t>
      </w:r>
      <w:r w:rsidR="00992664" w:rsidRPr="009E338E">
        <w:rPr>
          <w:rtl/>
        </w:rPr>
        <w:t>ن » والوافي والتهذيب والاستبصار والفقيه.</w:t>
      </w:r>
      <w:r w:rsidR="00992664" w:rsidRPr="00020424">
        <w:rPr>
          <w:rtl/>
        </w:rPr>
        <w:t xml:space="preserve"> وفي « ى ، بث ، بح ، بخ ، بر » : « أن تقضي</w:t>
      </w:r>
      <w:r w:rsidR="00992664">
        <w:rPr>
          <w:rtl/>
        </w:rPr>
        <w:t xml:space="preserve"> ».</w:t>
      </w:r>
      <w:r w:rsidR="00992664" w:rsidRPr="00020424">
        <w:rPr>
          <w:rtl/>
        </w:rPr>
        <w:t xml:space="preserve"> وفي « بف » : « أن ينقضي</w:t>
      </w:r>
      <w:r w:rsidR="00992664">
        <w:rPr>
          <w:rtl/>
        </w:rPr>
        <w:t xml:space="preserve"> ».</w:t>
      </w:r>
      <w:r w:rsidR="00992664" w:rsidRPr="00020424">
        <w:rPr>
          <w:rtl/>
        </w:rPr>
        <w:t xml:space="preserve"> وفي المطبوع </w:t>
      </w:r>
      <w:r w:rsidR="00992664" w:rsidRPr="00EB1FD9">
        <w:rPr>
          <w:rStyle w:val="libFootnoteBoldChar"/>
          <w:rtl/>
        </w:rPr>
        <w:t>والوسائل</w:t>
      </w:r>
      <w:r w:rsidR="00992664" w:rsidRPr="00020424">
        <w:rPr>
          <w:rtl/>
        </w:rPr>
        <w:t xml:space="preserve"> : « أن تنقضي</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ظ ، بث ، بخ » : « ولم يكن</w:t>
      </w:r>
      <w:r w:rsidR="00992664">
        <w:rPr>
          <w:rtl/>
        </w:rPr>
        <w:t xml:space="preserve"> ».</w:t>
      </w:r>
    </w:p>
    <w:p w:rsidR="00992664" w:rsidRPr="00020424" w:rsidRDefault="00795177" w:rsidP="009E338E">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ينبغي تقييده بما إذا مضى يومان ، كما في الحديث السابق ، وهو الثالث من هذا الباب هنا</w:t>
      </w:r>
      <w:r w:rsidR="00992664">
        <w:rPr>
          <w:rtl/>
        </w:rPr>
        <w:t xml:space="preserve"> ».</w:t>
      </w:r>
    </w:p>
    <w:p w:rsidR="00992664" w:rsidRPr="00020424" w:rsidRDefault="00992664" w:rsidP="009E338E">
      <w:pPr>
        <w:pStyle w:val="libFootnote0"/>
        <w:rPr>
          <w:rtl/>
          <w:lang w:bidi="fa-IR"/>
        </w:rPr>
      </w:pPr>
      <w:r w:rsidRPr="009E338E">
        <w:rPr>
          <w:rtl/>
        </w:rPr>
        <w:t xml:space="preserve">وفي </w:t>
      </w:r>
      <w:r w:rsidRPr="00DE76B9">
        <w:rPr>
          <w:rStyle w:val="libFootnoteBoldChar"/>
          <w:rtl/>
        </w:rPr>
        <w:t>مرآة العقول</w:t>
      </w:r>
      <w:r w:rsidRPr="009E338E">
        <w:rPr>
          <w:rtl/>
        </w:rPr>
        <w:t xml:space="preserve"> ، ج 16 ، ص 432 : « ثمّ اعلم أنّه لابدّ من حمل الخبر إمّا على النذر ، أو على مضيّ اليومين ؛ لما سيأتي في خبر محمّد بن مسلم ».</w:t>
      </w:r>
    </w:p>
    <w:p w:rsidR="00992664" w:rsidRPr="00020424" w:rsidRDefault="00795177" w:rsidP="00992664">
      <w:pPr>
        <w:pStyle w:val="libFootnote0"/>
        <w:rPr>
          <w:rtl/>
          <w:lang w:bidi="fa-IR"/>
        </w:rPr>
      </w:pPr>
      <w:r>
        <w:rPr>
          <w:rtl/>
        </w:rPr>
        <w:t>(9).</w:t>
      </w:r>
      <w:r w:rsidR="0014403D">
        <w:rPr>
          <w:rtl/>
        </w:rPr>
        <w:t xml:space="preserve"> </w:t>
      </w:r>
      <w:r w:rsidR="00992664" w:rsidRPr="0012008A">
        <w:rPr>
          <w:rStyle w:val="libFootnoteBoldChar"/>
          <w:rtl/>
        </w:rPr>
        <w:t>التهذيب</w:t>
      </w:r>
      <w:r w:rsidR="00992664" w:rsidRPr="00020424">
        <w:rPr>
          <w:rtl/>
        </w:rPr>
        <w:t xml:space="preserve"> ، ج 4 ، ص 289 ، ح 877 ؛ </w:t>
      </w:r>
      <w:r w:rsidR="00992664" w:rsidRPr="00FD6221">
        <w:rPr>
          <w:rStyle w:val="libFootnoteBoldChar"/>
          <w:rtl/>
        </w:rPr>
        <w:t>والاستبصار</w:t>
      </w:r>
      <w:r w:rsidR="00992664" w:rsidRPr="00020424">
        <w:rPr>
          <w:rtl/>
        </w:rPr>
        <w:t xml:space="preserve"> ، ج 2 ، ص 130 ، ح 422 ، معلّقاً عن الكليني. </w:t>
      </w:r>
      <w:r w:rsidR="00992664" w:rsidRPr="0012008A">
        <w:rPr>
          <w:rStyle w:val="libFootnoteBoldChar"/>
          <w:rtl/>
        </w:rPr>
        <w:t>الفقيه</w:t>
      </w:r>
      <w:r w:rsidR="00992664" w:rsidRPr="00020424">
        <w:rPr>
          <w:rtl/>
        </w:rPr>
        <w:t xml:space="preserve"> ، ج 2 ، ص 185 ، ح 2094 ، معلّقاً عن الحسن بن محبوب. راجع : </w:t>
      </w:r>
      <w:r w:rsidR="00992664" w:rsidRPr="00DE76B9">
        <w:rPr>
          <w:rStyle w:val="libFootnoteBoldChar"/>
          <w:rtl/>
        </w:rPr>
        <w:t>الكافي</w:t>
      </w:r>
      <w:r w:rsidR="00992664" w:rsidRPr="00020424">
        <w:rPr>
          <w:rtl/>
        </w:rPr>
        <w:t xml:space="preserve"> ، كتاب الصيام ، باب المعتكف يجامع أهله ، </w:t>
      </w:r>
      <w:r w:rsidR="009E338E">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5A4F">
        <w:rPr>
          <w:rtl/>
        </w:rPr>
        <w:t>6687</w:t>
      </w:r>
      <w:r w:rsidRPr="001155DE">
        <w:rPr>
          <w:rStyle w:val="libBold2Char"/>
          <w:rtl/>
        </w:rPr>
        <w:t xml:space="preserve"> / 2.</w:t>
      </w:r>
      <w:r w:rsidRPr="00020424">
        <w:rPr>
          <w:rtl/>
          <w:lang w:bidi="fa-IR"/>
        </w:rPr>
        <w:t xml:space="preserve"> أَحْمَدُ بْنُ مُحَمَّدٍ </w:t>
      </w:r>
      <w:r w:rsidRPr="00A91B96">
        <w:rPr>
          <w:rStyle w:val="libFootnotenumChar"/>
          <w:rtl/>
        </w:rPr>
        <w:t>(1)</w:t>
      </w:r>
      <w:r w:rsidRPr="00020424">
        <w:rPr>
          <w:rtl/>
          <w:lang w:bidi="fa-IR"/>
        </w:rPr>
        <w:t xml:space="preserve"> ، عَنِ ابْنِ مَحْبُوبٍ ، عَنْ أَبِي أَيُّوبَ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يَكُونُ الاعْتِكَافُ أَقَلَّ مِنْ ثَلَاثَةِ أَيَّامٍ ، وَمَنِ اعْتَكَفَ صَامَ ، وَيَنْبَغِي لِلْمُعْتَكِفِ إِذَا اعْتَكَفَ </w:t>
      </w:r>
      <w:r w:rsidRPr="00A91B96">
        <w:rPr>
          <w:rStyle w:val="libFootnotenumChar"/>
          <w:rtl/>
        </w:rPr>
        <w:t>(2)</w:t>
      </w:r>
      <w:r w:rsidRPr="00020424">
        <w:rPr>
          <w:rtl/>
          <w:lang w:bidi="fa-IR"/>
        </w:rPr>
        <w:t xml:space="preserve"> أَنْ يَشْتَرِطَ </w:t>
      </w:r>
      <w:r w:rsidRPr="00A91B96">
        <w:rPr>
          <w:rStyle w:val="libFootnotenumChar"/>
          <w:rtl/>
        </w:rPr>
        <w:t>(3)</w:t>
      </w:r>
      <w:r w:rsidRPr="00020424">
        <w:rPr>
          <w:rtl/>
          <w:lang w:bidi="fa-IR"/>
        </w:rPr>
        <w:t xml:space="preserve"> ، كَمَا يَشْتَرِطُ الَّذِي يُحْرِمُ</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5A4F">
        <w:rPr>
          <w:rtl/>
        </w:rPr>
        <w:t>6688</w:t>
      </w:r>
      <w:r w:rsidRPr="001155DE">
        <w:rPr>
          <w:rStyle w:val="libBold2Char"/>
          <w:rtl/>
        </w:rPr>
        <w:t xml:space="preserve"> / 3.</w:t>
      </w:r>
      <w:r w:rsidRPr="00020424">
        <w:rPr>
          <w:rtl/>
          <w:lang w:bidi="fa-IR"/>
        </w:rPr>
        <w:t xml:space="preserve"> أَحْمَدُ بْنُ مُحَمَّدٍ </w:t>
      </w:r>
      <w:r w:rsidRPr="00A91B96">
        <w:rPr>
          <w:rStyle w:val="libFootnotenumChar"/>
          <w:rtl/>
        </w:rPr>
        <w:t>(5)</w:t>
      </w:r>
      <w:r w:rsidRPr="00020424">
        <w:rPr>
          <w:rtl/>
          <w:lang w:bidi="fa-IR"/>
        </w:rPr>
        <w:t xml:space="preserve"> ، عَنِ ابْنِ مَحْبُوبٍ ، عَنْ أَبِي أَيُّوبَ ، عَنْ مُحَمَّدِ بْنِ مُسْلِمٍ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إِذَا اعْتَكَفَ يَوْماً وَلَمْ يَكُنِ اشْتَرَطَ ، فَلَهُ أَنْ يَخْرُجَ وَيَفْسَخَ الاعْتِكَافَ ، وَإِنْ أَقَامَ يَوْمَيْنِ وَلَمْ يَكُنِ اشْتَرَطَ ، فَلَيْسَ لَهُ أَنْ </w:t>
      </w:r>
      <w:r w:rsidRPr="00A91B96">
        <w:rPr>
          <w:rStyle w:val="libFootnotenumChar"/>
          <w:rtl/>
        </w:rPr>
        <w:t>(6)</w:t>
      </w:r>
      <w:r w:rsidRPr="00020424">
        <w:rPr>
          <w:rtl/>
          <w:lang w:bidi="fa-IR"/>
        </w:rPr>
        <w:t xml:space="preserve"> يَفْسَخَ اعْتِكَافَهُ حَتّى يَمْضِيَ </w:t>
      </w:r>
      <w:r w:rsidRPr="00A91B96">
        <w:rPr>
          <w:rStyle w:val="libFootnotenumChar"/>
          <w:rtl/>
        </w:rPr>
        <w:t>(7)</w:t>
      </w:r>
      <w:r w:rsidRPr="00020424">
        <w:rPr>
          <w:rtl/>
          <w:lang w:bidi="fa-IR"/>
        </w:rPr>
        <w:t xml:space="preserve"> ثَلَاثَةُ أَيَّامٍ</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E84FDA" w:rsidP="00992664">
      <w:pPr>
        <w:pStyle w:val="libFootnote0"/>
        <w:rPr>
          <w:rtl/>
          <w:lang w:bidi="fa-IR"/>
        </w:rPr>
      </w:pPr>
      <w:r>
        <w:rPr>
          <w:rFonts w:hint="cs"/>
          <w:rtl/>
        </w:rPr>
        <w:t xml:space="preserve">= </w:t>
      </w:r>
      <w:r w:rsidR="00992664" w:rsidRPr="00020424">
        <w:rPr>
          <w:rtl/>
        </w:rPr>
        <w:t xml:space="preserve">ح 6696 ؛ </w:t>
      </w:r>
      <w:r w:rsidR="00992664" w:rsidRPr="00FD6221">
        <w:rPr>
          <w:rStyle w:val="libFootnoteBoldChar"/>
          <w:rtl/>
        </w:rPr>
        <w:t>والفقيه</w:t>
      </w:r>
      <w:r w:rsidR="00992664" w:rsidRPr="00020424">
        <w:rPr>
          <w:rtl/>
        </w:rPr>
        <w:t xml:space="preserve"> ، ج 2 ، ص 188 ، ح 2120 ؛ </w:t>
      </w:r>
      <w:r w:rsidR="00992664" w:rsidRPr="00515444">
        <w:rPr>
          <w:rStyle w:val="libFootnoteBoldChar"/>
          <w:rtl/>
        </w:rPr>
        <w:t>والتهذيب</w:t>
      </w:r>
      <w:r w:rsidR="00992664" w:rsidRPr="00020424">
        <w:rPr>
          <w:rtl/>
        </w:rPr>
        <w:t xml:space="preserve"> ، ج 4 ، ص 291 ، ح 887 ؛ </w:t>
      </w:r>
      <w:r w:rsidR="00992664" w:rsidRPr="00FD6221">
        <w:rPr>
          <w:rStyle w:val="libFootnoteBoldChar"/>
          <w:rtl/>
        </w:rPr>
        <w:t>والاستبصار</w:t>
      </w:r>
      <w:r w:rsidR="00992664" w:rsidRPr="00020424">
        <w:rPr>
          <w:rtl/>
        </w:rPr>
        <w:t xml:space="preserve"> ، ج 2 ، ص 130 ، ح 424 ؛ و</w:t>
      </w:r>
      <w:r w:rsidR="00992664" w:rsidRPr="00DE76B9">
        <w:rPr>
          <w:rStyle w:val="libFootnoteBoldChar"/>
          <w:rtl/>
        </w:rPr>
        <w:t>الجعفريّات</w:t>
      </w:r>
      <w:r w:rsidR="00992664" w:rsidRPr="00020424">
        <w:rPr>
          <w:rtl/>
        </w:rPr>
        <w:t xml:space="preserve"> ، ص 59 </w:t>
      </w:r>
      <w:r w:rsidR="00FB17D3">
        <w:rPr>
          <w:rFonts w:hint="cs"/>
          <w:rtl/>
        </w:rPr>
        <w:t>.</w:t>
      </w:r>
      <w:r w:rsidR="00992664" w:rsidRPr="0012008A">
        <w:rPr>
          <w:rStyle w:val="libFootnoteBoldChar"/>
          <w:rtl/>
        </w:rPr>
        <w:t>الوافي</w:t>
      </w:r>
      <w:r w:rsidR="00992664" w:rsidRPr="00020424">
        <w:rPr>
          <w:rtl/>
        </w:rPr>
        <w:t xml:space="preserve"> ، ج 11 ، ص 489 ، ح 11182 ؛ </w:t>
      </w:r>
      <w:r w:rsidR="00992664" w:rsidRPr="0012008A">
        <w:rPr>
          <w:rStyle w:val="libFootnoteBoldChar"/>
          <w:rtl/>
        </w:rPr>
        <w:t>الوسائل</w:t>
      </w:r>
      <w:r w:rsidR="00992664" w:rsidRPr="00020424">
        <w:rPr>
          <w:rtl/>
        </w:rPr>
        <w:t xml:space="preserve"> ، ج 10 ، ص 548 ، ح 14088.</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السند معلّق على سابقه. ويروي عن أحمد بن محمّد ، عدّة من أصحابنا. ثمّ إنّ الخبر رواه الشيخ الطوسي في </w:t>
      </w:r>
      <w:r w:rsidR="00992664" w:rsidRPr="0012008A">
        <w:rPr>
          <w:rStyle w:val="libFootnoteBoldChar"/>
          <w:rtl/>
        </w:rPr>
        <w:t>التهذيب</w:t>
      </w:r>
      <w:r w:rsidR="00992664" w:rsidRPr="00020424">
        <w:rPr>
          <w:rtl/>
        </w:rPr>
        <w:t xml:space="preserve"> ، ج 4 ، ص 289 ، ح 876 وسنده هكذا : « روى محمّد بن يعقوب عن أحمد بن محمّد عن ابن محبوب</w:t>
      </w:r>
      <w:r w:rsidR="00992664">
        <w:rPr>
          <w:rtl/>
        </w:rPr>
        <w:t xml:space="preserve"> ..</w:t>
      </w:r>
      <w:r w:rsidR="00992664" w:rsidRPr="00020424">
        <w:rPr>
          <w:rtl/>
        </w:rPr>
        <w:t>. » ، وكأنّ الشيخ لم يلتفت إلى وقوع التعليق في السند.</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إذا اعتكف</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الاشتراط أن يقول حين ينوي : اللهمّ حلّني حيث حبستني ؛ يعني يكون لي الاختيار في فسخه إذا منعني مانع عن إتمامه</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289 ، ح 876 ؛ </w:t>
      </w:r>
      <w:r w:rsidR="00992664" w:rsidRPr="00FD6221">
        <w:rPr>
          <w:rStyle w:val="libFootnoteBoldChar"/>
          <w:rtl/>
        </w:rPr>
        <w:t>والاستبصار</w:t>
      </w:r>
      <w:r w:rsidR="00992664" w:rsidRPr="00020424">
        <w:rPr>
          <w:rtl/>
        </w:rPr>
        <w:t xml:space="preserve"> ، ج 2 ، ص 128 ، ح 418 ، معلّقاً عن الكليني. </w:t>
      </w:r>
      <w:r w:rsidR="00992664" w:rsidRPr="0012008A">
        <w:rPr>
          <w:rStyle w:val="libFootnoteBoldChar"/>
          <w:rtl/>
        </w:rPr>
        <w:t>الفقيه</w:t>
      </w:r>
      <w:r w:rsidR="00992664" w:rsidRPr="00020424">
        <w:rPr>
          <w:rtl/>
        </w:rPr>
        <w:t xml:space="preserve"> ، ج 2 ، ص 186 ، ح 2095 ، معلّقاً عن الحسن بن محبوب. وفي </w:t>
      </w:r>
      <w:r w:rsidR="00992664" w:rsidRPr="0012008A">
        <w:rPr>
          <w:rStyle w:val="libFootnoteBoldChar"/>
          <w:rtl/>
        </w:rPr>
        <w:t>التهذيب</w:t>
      </w:r>
      <w:r w:rsidR="00992664" w:rsidRPr="00020424">
        <w:rPr>
          <w:rtl/>
        </w:rPr>
        <w:t xml:space="preserve"> ، ج 4 ، ص 289 ، ح 878 ؛ </w:t>
      </w:r>
      <w:r w:rsidR="00992664" w:rsidRPr="00FD6221">
        <w:rPr>
          <w:rStyle w:val="libFootnoteBoldChar"/>
          <w:rtl/>
        </w:rPr>
        <w:t>والاستبصار</w:t>
      </w:r>
      <w:r w:rsidR="00992664" w:rsidRPr="00020424">
        <w:rPr>
          <w:rtl/>
        </w:rPr>
        <w:t xml:space="preserve"> ، ج 2 ، ص 129 ، ح 419 ، بسند آخر ، مع اختلاف يسير وزيادة في آخره </w:t>
      </w:r>
      <w:r w:rsidR="00E74E62">
        <w:rPr>
          <w:rFonts w:hint="cs"/>
          <w:rtl/>
        </w:rPr>
        <w:t>.</w:t>
      </w:r>
      <w:r w:rsidR="00992664" w:rsidRPr="0012008A">
        <w:rPr>
          <w:rStyle w:val="libFootnoteBoldChar"/>
          <w:rtl/>
        </w:rPr>
        <w:t>الوافي</w:t>
      </w:r>
      <w:r w:rsidR="00992664" w:rsidRPr="00020424">
        <w:rPr>
          <w:rtl/>
        </w:rPr>
        <w:t xml:space="preserve"> ، ج 11 ، ص 488 ، ح 11179 ؛ </w:t>
      </w:r>
      <w:r w:rsidR="00992664" w:rsidRPr="0012008A">
        <w:rPr>
          <w:rStyle w:val="libFootnoteBoldChar"/>
          <w:rtl/>
        </w:rPr>
        <w:t>الوسائل</w:t>
      </w:r>
      <w:r w:rsidR="00992664" w:rsidRPr="00020424">
        <w:rPr>
          <w:rtl/>
        </w:rPr>
        <w:t xml:space="preserve"> ، ج 10 ، ص 536 ، ح 14057 ، وتمام الرواية فيه : « ومن اعتكف صام » ؛ </w:t>
      </w:r>
      <w:r w:rsidR="00992664" w:rsidRPr="00DE76B9">
        <w:rPr>
          <w:rStyle w:val="libFootnoteBoldChar"/>
          <w:rtl/>
        </w:rPr>
        <w:t>وفيه</w:t>
      </w:r>
      <w:r w:rsidR="00992664" w:rsidRPr="00020424">
        <w:rPr>
          <w:rtl/>
        </w:rPr>
        <w:t xml:space="preserve"> ، ص 544 ، ح 14077 ، إلى قوله : « أقلّ من ثلاثة أيّام » ؛ </w:t>
      </w:r>
      <w:r w:rsidR="00992664" w:rsidRPr="00DE76B9">
        <w:rPr>
          <w:rStyle w:val="libFootnoteBoldChar"/>
          <w:rtl/>
        </w:rPr>
        <w:t>وفيه</w:t>
      </w:r>
      <w:r w:rsidR="00992664" w:rsidRPr="00020424">
        <w:rPr>
          <w:rtl/>
        </w:rPr>
        <w:t xml:space="preserve"> ، ص 552 ، ح 14098 ، من قوله : « وينبغي للمعتكف</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السند معلّق ، كسابقه.</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 يخرج </w:t>
      </w:r>
      <w:r w:rsidR="00992664">
        <w:rPr>
          <w:rtl/>
        </w:rPr>
        <w:t>و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 بخ ، بس </w:t>
      </w:r>
      <w:r w:rsidR="00992664" w:rsidRPr="00E74E62">
        <w:rPr>
          <w:rtl/>
        </w:rPr>
        <w:t xml:space="preserve">» والوسائل والفقيه والتهذيب والاستبصار </w:t>
      </w:r>
      <w:r w:rsidR="00992664" w:rsidRPr="00020424">
        <w:rPr>
          <w:rtl/>
        </w:rPr>
        <w:t>: « أن تمضي</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الفقيه</w:t>
      </w:r>
      <w:r w:rsidR="00992664" w:rsidRPr="00020424">
        <w:rPr>
          <w:rtl/>
        </w:rPr>
        <w:t xml:space="preserve"> ، ج 2 ، ص 186 ، ح 2096 ، معلّقاً عن أبي أيّوب ؛ </w:t>
      </w:r>
      <w:r w:rsidR="00992664" w:rsidRPr="0012008A">
        <w:rPr>
          <w:rStyle w:val="libFootnoteBoldChar"/>
          <w:rtl/>
        </w:rPr>
        <w:t>التهذيب</w:t>
      </w:r>
      <w:r w:rsidR="00992664" w:rsidRPr="00020424">
        <w:rPr>
          <w:rtl/>
        </w:rPr>
        <w:t xml:space="preserve"> ، ج 4 ، ص 289 ، ح 879 ، بسنده عن أبي أيّوب ؛ </w:t>
      </w:r>
      <w:r w:rsidR="00992664" w:rsidRPr="00DE76B9">
        <w:rPr>
          <w:rStyle w:val="libFootnoteBoldChar"/>
          <w:rtl/>
        </w:rPr>
        <w:t>الاستبصار</w:t>
      </w:r>
      <w:r w:rsidR="00992664" w:rsidRPr="00020424">
        <w:rPr>
          <w:rtl/>
        </w:rPr>
        <w:t xml:space="preserve"> ، ج 2 ، ص 129 ، ح 421 ، بسنده عن أبي أيّوب ، عن الحسن ، عن محمّد بن مسلم </w:t>
      </w:r>
      <w:r w:rsidR="00FF518D">
        <w:rPr>
          <w:rFonts w:hint="cs"/>
          <w:rtl/>
        </w:rPr>
        <w:t>.</w:t>
      </w:r>
      <w:r w:rsidR="00992664" w:rsidRPr="0012008A">
        <w:rPr>
          <w:rStyle w:val="libFootnoteBoldChar"/>
          <w:rtl/>
        </w:rPr>
        <w:t>الوافي</w:t>
      </w:r>
      <w:r w:rsidR="00992664" w:rsidRPr="00020424">
        <w:rPr>
          <w:rtl/>
        </w:rPr>
        <w:t xml:space="preserve"> ، ج 11 ، ص 489 ، ح 11181 ؛ </w:t>
      </w:r>
      <w:r w:rsidR="00992664" w:rsidRPr="0012008A">
        <w:rPr>
          <w:rStyle w:val="libFootnoteBoldChar"/>
          <w:rtl/>
        </w:rPr>
        <w:t>الوسائل</w:t>
      </w:r>
      <w:r w:rsidR="00992664" w:rsidRPr="00020424">
        <w:rPr>
          <w:rtl/>
        </w:rPr>
        <w:t xml:space="preserve"> ، ج 10 ، ص 543 ، ح 14076.</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025A4F">
        <w:rPr>
          <w:rtl/>
        </w:rPr>
        <w:t>6689</w:t>
      </w:r>
      <w:r w:rsidRPr="001155DE">
        <w:rPr>
          <w:rStyle w:val="libBold2Char"/>
          <w:rtl/>
        </w:rPr>
        <w:t xml:space="preserve"> / 4.</w:t>
      </w:r>
      <w:r w:rsidRPr="00020424">
        <w:rPr>
          <w:rtl/>
          <w:lang w:bidi="fa-IR"/>
        </w:rPr>
        <w:t xml:space="preserve"> أَحْمَدُ بْنُ مُحَمَّدٍ </w:t>
      </w:r>
      <w:r w:rsidRPr="00A91B96">
        <w:rPr>
          <w:rStyle w:val="libFootnotenumChar"/>
          <w:rtl/>
        </w:rPr>
        <w:t>(1)</w:t>
      </w:r>
      <w:r w:rsidRPr="00020424">
        <w:rPr>
          <w:rtl/>
          <w:lang w:bidi="fa-IR"/>
        </w:rPr>
        <w:t xml:space="preserve"> ، عَنِ ابْنِ مَحْبُوبٍ ، عَنْ أَبِي أَيُّوبَ ، عَنْ أَبِي عُبَيْدَةَ :</w:t>
      </w:r>
    </w:p>
    <w:p w:rsidR="00992664" w:rsidRPr="00020424" w:rsidRDefault="00992664" w:rsidP="00992664">
      <w:pPr>
        <w:pStyle w:val="libNormal"/>
        <w:rPr>
          <w:rtl/>
          <w:lang w:bidi="fa-IR"/>
        </w:rPr>
      </w:pPr>
      <w:r w:rsidRPr="00020424">
        <w:rPr>
          <w:rtl/>
          <w:lang w:bidi="fa-IR"/>
        </w:rPr>
        <w:t xml:space="preserve">عَنْ أَبِي جَعْفَرٍ </w:t>
      </w:r>
      <w:r w:rsidRPr="00005A81">
        <w:rPr>
          <w:rStyle w:val="libAlaemChar"/>
          <w:rtl/>
        </w:rPr>
        <w:t>عليه‌السلام</w:t>
      </w:r>
      <w:r w:rsidRPr="00020424">
        <w:rPr>
          <w:rtl/>
          <w:lang w:bidi="fa-IR"/>
        </w:rPr>
        <w:t xml:space="preserve"> ، قَالَ : « الْمُعْتَكِفُ لَايَشَمُّ الطِّيبَ ، وَلَايَتَلَذَّذُ بِالرَّيْحَانِ ، وَلَا يُمَارِي </w:t>
      </w:r>
      <w:r w:rsidRPr="00A91B96">
        <w:rPr>
          <w:rStyle w:val="libFootnotenumChar"/>
          <w:rtl/>
        </w:rPr>
        <w:t>(2)</w:t>
      </w:r>
      <w:r w:rsidRPr="00020424">
        <w:rPr>
          <w:rtl/>
          <w:lang w:bidi="fa-IR"/>
        </w:rPr>
        <w:t xml:space="preserve"> ، وَلَايَشْتَرِي ، وَلَايَبِيعُ » قَالَ : « وَمَنِ اعْتَكَفَ ثَلَاثَةَ أَيَّامٍ ، فَهُوَ يَوْمَ </w:t>
      </w:r>
      <w:r w:rsidRPr="00A91B96">
        <w:rPr>
          <w:rStyle w:val="libFootnotenumChar"/>
          <w:rtl/>
        </w:rPr>
        <w:t>(3)</w:t>
      </w:r>
      <w:r w:rsidRPr="00020424">
        <w:rPr>
          <w:rtl/>
          <w:lang w:bidi="fa-IR"/>
        </w:rPr>
        <w:t xml:space="preserve"> الرَّابِعِ بِالْخِيَارِ : إِنْ شَاءَ زَادَ ثَلَاثَةَ أَيَّامٍ </w:t>
      </w:r>
      <w:r w:rsidRPr="00A91B96">
        <w:rPr>
          <w:rStyle w:val="libFootnotenumChar"/>
          <w:rtl/>
        </w:rPr>
        <w:t>(4)</w:t>
      </w:r>
      <w:r w:rsidRPr="00020424">
        <w:rPr>
          <w:rtl/>
          <w:lang w:bidi="fa-IR"/>
        </w:rPr>
        <w:t xml:space="preserve"> أُخَرَ ، وَإِنْ شَاءَ خَرَجَ مِنَ الْمَسْجِدِ ، فَإِنْ أَقَامَ يَوْمَيْنِ بَعْدَ الثَّلَاثَةِ </w:t>
      </w:r>
      <w:r w:rsidRPr="00A91B96">
        <w:rPr>
          <w:rStyle w:val="libFootnotenumChar"/>
          <w:rtl/>
        </w:rPr>
        <w:t>(5)</w:t>
      </w:r>
      <w:r w:rsidRPr="00020424">
        <w:rPr>
          <w:rtl/>
          <w:lang w:bidi="fa-IR"/>
        </w:rPr>
        <w:t xml:space="preserve"> ، فَلَا يَخْرُجُ مِنَ الْمَسْجِدِ </w:t>
      </w:r>
      <w:r w:rsidRPr="00A91B96">
        <w:rPr>
          <w:rStyle w:val="libFootnotenumChar"/>
          <w:rtl/>
        </w:rPr>
        <w:t>(6)</w:t>
      </w:r>
      <w:r w:rsidRPr="00020424">
        <w:rPr>
          <w:rtl/>
          <w:lang w:bidi="fa-IR"/>
        </w:rPr>
        <w:t xml:space="preserve"> حَتّى يُتِمَّ </w:t>
      </w:r>
      <w:r w:rsidRPr="00A91B96">
        <w:rPr>
          <w:rStyle w:val="libFootnotenumChar"/>
          <w:rtl/>
        </w:rPr>
        <w:t>(7)</w:t>
      </w:r>
      <w:r w:rsidRPr="00020424">
        <w:rPr>
          <w:rtl/>
          <w:lang w:bidi="fa-IR"/>
        </w:rPr>
        <w:t xml:space="preserve"> ثَلَاثَةَ أَيَّامٍ أُخَرَ</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025A4F">
        <w:rPr>
          <w:rtl/>
        </w:rPr>
        <w:t>6690</w:t>
      </w:r>
      <w:r w:rsidRPr="001155DE">
        <w:rPr>
          <w:rStyle w:val="libBold2Char"/>
          <w:rtl/>
        </w:rPr>
        <w:t xml:space="preserve"> / 5.</w:t>
      </w:r>
      <w:r w:rsidRPr="00020424">
        <w:rPr>
          <w:rtl/>
          <w:lang w:bidi="fa-IR"/>
        </w:rPr>
        <w:t xml:space="preserve"> عِدَّةٌ مِنْ أَصْحَابِنَا ، عَنْ سَهْلِ بْنِ زِيَادٍ ، عَنْ أَحْمَدَ بْنِ مُحَمَّدٍ ، عَنْ دَاوُدَ بْنِ سِرْحَانَ ، قَالَ :</w:t>
      </w:r>
    </w:p>
    <w:p w:rsidR="00992664" w:rsidRPr="00020424" w:rsidRDefault="00992664" w:rsidP="00992664">
      <w:pPr>
        <w:pStyle w:val="libNormal"/>
        <w:rPr>
          <w:rtl/>
          <w:lang w:bidi="fa-IR"/>
        </w:rPr>
      </w:pPr>
      <w:r w:rsidRPr="00020424">
        <w:rPr>
          <w:rtl/>
          <w:lang w:bidi="fa-IR"/>
        </w:rPr>
        <w:t xml:space="preserve">بَدَأَنِي أَبُو عَبْدِ اللهِ </w:t>
      </w:r>
      <w:r w:rsidRPr="00005A81">
        <w:rPr>
          <w:rStyle w:val="libAlaemChar"/>
          <w:rtl/>
        </w:rPr>
        <w:t>عليه‌السلام</w:t>
      </w:r>
      <w:r w:rsidRPr="00020424">
        <w:rPr>
          <w:rtl/>
          <w:lang w:bidi="fa-IR"/>
        </w:rPr>
        <w:t xml:space="preserve"> مِنْ غَيْرِ أَنْ أَسْأَلَهُ ، فَقَالَ : « الاعْتِكَافُ ثَلَاثَةُ أَيَّامٍ</w:t>
      </w:r>
      <w:r>
        <w:rPr>
          <w:rtl/>
          <w:lang w:bidi="fa-IR"/>
        </w:rPr>
        <w:t xml:space="preserve"> </w:t>
      </w:r>
      <w:r w:rsidR="009B673F">
        <w:rPr>
          <w:rtl/>
          <w:lang w:bidi="fa-IR"/>
        </w:rPr>
        <w:t>-</w:t>
      </w:r>
      <w:r>
        <w:rPr>
          <w:rtl/>
          <w:lang w:bidi="fa-IR"/>
        </w:rPr>
        <w:t xml:space="preserve"> </w:t>
      </w:r>
      <w:r w:rsidRPr="00020424">
        <w:rPr>
          <w:rtl/>
          <w:lang w:bidi="fa-IR"/>
        </w:rPr>
        <w:t>يَعْنِي السُّنَّةَ</w:t>
      </w:r>
      <w:r>
        <w:rPr>
          <w:rtl/>
          <w:lang w:bidi="fa-IR"/>
        </w:rPr>
        <w:t xml:space="preserve"> </w:t>
      </w:r>
      <w:r w:rsidR="009B673F">
        <w:rPr>
          <w:rtl/>
          <w:lang w:bidi="fa-IR"/>
        </w:rPr>
        <w:t>-</w:t>
      </w:r>
      <w:r>
        <w:rPr>
          <w:rtl/>
          <w:lang w:bidi="fa-IR"/>
        </w:rPr>
        <w:t xml:space="preserve"> </w:t>
      </w:r>
      <w:r w:rsidRPr="00A91B96">
        <w:rPr>
          <w:rStyle w:val="libFootnotenumChar"/>
          <w:rtl/>
        </w:rPr>
        <w:t>(9)</w:t>
      </w:r>
      <w:r w:rsidRPr="00020424">
        <w:rPr>
          <w:rtl/>
          <w:lang w:bidi="fa-IR"/>
        </w:rPr>
        <w:t xml:space="preserve"> إِنْ شَاءَ اللهُ</w:t>
      </w:r>
      <w:r>
        <w:rPr>
          <w:rtl/>
          <w:lang w:bidi="fa-IR"/>
        </w:rPr>
        <w:t xml:space="preserve"> ».</w:t>
      </w:r>
      <w:r w:rsidRPr="00020424">
        <w:rPr>
          <w:rtl/>
          <w:lang w:bidi="fa-IR"/>
        </w:rPr>
        <w:t xml:space="preserve"> </w:t>
      </w:r>
      <w:r w:rsidRPr="00A91B96">
        <w:rPr>
          <w:rStyle w:val="libFootnotenumChar"/>
          <w:rtl/>
        </w:rPr>
        <w:t>(10)</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السند معلّق ، كسابقَيْه.</w:t>
      </w:r>
    </w:p>
    <w:p w:rsidR="00992664" w:rsidRPr="00020424" w:rsidRDefault="00795177" w:rsidP="00930837">
      <w:pPr>
        <w:pStyle w:val="libFootnote0"/>
        <w:rPr>
          <w:rtl/>
          <w:lang w:bidi="fa-IR"/>
        </w:rPr>
      </w:pPr>
      <w:r>
        <w:rPr>
          <w:rtl/>
        </w:rPr>
        <w:t>(2).</w:t>
      </w:r>
      <w:r w:rsidR="0014403D">
        <w:rPr>
          <w:rtl/>
        </w:rPr>
        <w:t xml:space="preserve"> </w:t>
      </w:r>
      <w:r w:rsidR="00992664" w:rsidRPr="00020424">
        <w:rPr>
          <w:rtl/>
        </w:rPr>
        <w:t>قال الجوهري : « ماريت الرجل ا</w:t>
      </w:r>
      <w:r w:rsidR="00DD77F7">
        <w:rPr>
          <w:rFonts w:hint="cs"/>
          <w:rtl/>
        </w:rPr>
        <w:t>ُ</w:t>
      </w:r>
      <w:r w:rsidR="00992664" w:rsidRPr="00020424">
        <w:rPr>
          <w:rtl/>
        </w:rPr>
        <w:t>ماريه مراءً : إذا جا دلته</w:t>
      </w:r>
      <w:r w:rsidR="00992664">
        <w:rPr>
          <w:rtl/>
        </w:rPr>
        <w:t xml:space="preserve"> ».</w:t>
      </w:r>
      <w:r w:rsidR="00992664" w:rsidRPr="00020424">
        <w:rPr>
          <w:rtl/>
        </w:rPr>
        <w:t xml:space="preserve"> وقال ابن الأثير : « المراء : الجدال. والتماري والمماراة : المجادلة على مذهب الشكّ والريبة ، ويقال للمناظرة : مماراة ؛ لأنّ كلّ واحد منهما يستخرج ما عند صاحبه ويمتريه ، كما يمتري</w:t>
      </w:r>
      <w:r w:rsidR="00992664">
        <w:rPr>
          <w:rtl/>
        </w:rPr>
        <w:t xml:space="preserve"> </w:t>
      </w:r>
      <w:r w:rsidR="009B673F">
        <w:rPr>
          <w:rtl/>
        </w:rPr>
        <w:t>-</w:t>
      </w:r>
      <w:r w:rsidR="00992664">
        <w:rPr>
          <w:rtl/>
        </w:rPr>
        <w:t xml:space="preserve"> </w:t>
      </w:r>
      <w:r w:rsidR="00992664" w:rsidRPr="00020424">
        <w:rPr>
          <w:rtl/>
        </w:rPr>
        <w:t>أي يستخرج</w:t>
      </w:r>
      <w:r w:rsidR="00992664">
        <w:rPr>
          <w:rtl/>
        </w:rPr>
        <w:t xml:space="preserve"> </w:t>
      </w:r>
      <w:r w:rsidR="009B673F">
        <w:rPr>
          <w:rtl/>
        </w:rPr>
        <w:t>-</w:t>
      </w:r>
      <w:r w:rsidR="00992664">
        <w:rPr>
          <w:rtl/>
        </w:rPr>
        <w:t xml:space="preserve"> </w:t>
      </w:r>
      <w:r w:rsidR="00992664" w:rsidRPr="00020424">
        <w:rPr>
          <w:rtl/>
        </w:rPr>
        <w:t>الحالب اللبن من الضرع</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2491 ؛ </w:t>
      </w:r>
      <w:r w:rsidR="00992664" w:rsidRPr="0012008A">
        <w:rPr>
          <w:rStyle w:val="libFootnoteBoldChar"/>
          <w:rtl/>
        </w:rPr>
        <w:t>النهاية</w:t>
      </w:r>
      <w:r w:rsidR="00992664" w:rsidRPr="00020424">
        <w:rPr>
          <w:rtl/>
        </w:rPr>
        <w:t xml:space="preserve"> ، ج 4 ، ص 322 ( مرا )</w:t>
      </w:r>
      <w:r w:rsidR="00992664">
        <w:rPr>
          <w:rtl/>
        </w:rPr>
        <w:t>.</w:t>
      </w:r>
      <w:r w:rsidR="00930837">
        <w:rPr>
          <w:rFonts w:hint="cs"/>
          <w:rtl/>
        </w:rPr>
        <w:t xml:space="preserve">                             </w:t>
      </w:r>
      <w:r w:rsidR="00D20AAF">
        <w:rPr>
          <w:rFonts w:hint="cs"/>
          <w:rtl/>
        </w:rPr>
        <w:t xml:space="preserve">     </w:t>
      </w:r>
      <w:r w:rsidR="00930837">
        <w:rPr>
          <w:rFonts w:hint="cs"/>
          <w:rtl/>
        </w:rPr>
        <w:t xml:space="preserve">  </w:t>
      </w:r>
      <w:r>
        <w:rPr>
          <w:rtl/>
        </w:rPr>
        <w:t>(3).</w:t>
      </w:r>
      <w:r w:rsidR="0014403D">
        <w:rPr>
          <w:rtl/>
        </w:rPr>
        <w:t xml:space="preserve"> </w:t>
      </w:r>
      <w:r w:rsidR="00992664" w:rsidRPr="00020424">
        <w:rPr>
          <w:rtl/>
        </w:rPr>
        <w:t>في « ى » : « في اليوم</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التهذيب</w:t>
      </w:r>
      <w:r w:rsidR="00992664" w:rsidRPr="00020424">
        <w:rPr>
          <w:rtl/>
        </w:rPr>
        <w:t xml:space="preserve"> </w:t>
      </w:r>
      <w:r w:rsidR="00992664" w:rsidRPr="00FD6221">
        <w:rPr>
          <w:rStyle w:val="libFootnoteBoldChar"/>
          <w:rtl/>
        </w:rPr>
        <w:t>والاستبصار</w:t>
      </w:r>
      <w:r w:rsidR="00992664" w:rsidRPr="00020424">
        <w:rPr>
          <w:rtl/>
        </w:rPr>
        <w:t xml:space="preserve"> : « ازداد أيّاماً » بدل « زاد ثلاثة أيّام</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D20AAF" w:rsidTr="00D20AAF">
        <w:tc>
          <w:tcPr>
            <w:tcW w:w="4006" w:type="dxa"/>
          </w:tcPr>
          <w:p w:rsidR="00D20AAF" w:rsidRDefault="00D20AAF" w:rsidP="00992664">
            <w:pPr>
              <w:pStyle w:val="libFootnote0"/>
              <w:rPr>
                <w:rtl/>
              </w:rPr>
            </w:pPr>
            <w:r>
              <w:rPr>
                <w:rtl/>
              </w:rPr>
              <w:t>(5). في «</w:t>
            </w:r>
            <w:r>
              <w:rPr>
                <w:rFonts w:hint="cs"/>
                <w:rtl/>
              </w:rPr>
              <w:t xml:space="preserve"> </w:t>
            </w:r>
            <w:r>
              <w:rPr>
                <w:rtl/>
              </w:rPr>
              <w:t>بث، بخ، بر</w:t>
            </w:r>
            <w:r w:rsidRPr="00020424">
              <w:rPr>
                <w:rtl/>
              </w:rPr>
              <w:t xml:space="preserve">، بف » </w:t>
            </w:r>
            <w:r w:rsidRPr="00515444">
              <w:rPr>
                <w:rStyle w:val="libFootnoteBoldChar"/>
                <w:rtl/>
              </w:rPr>
              <w:t>والوافي</w:t>
            </w:r>
            <w:r w:rsidRPr="00020424">
              <w:rPr>
                <w:rtl/>
              </w:rPr>
              <w:t xml:space="preserve"> : « الثلاث</w:t>
            </w:r>
            <w:r>
              <w:rPr>
                <w:rtl/>
              </w:rPr>
              <w:t xml:space="preserve"> ».</w:t>
            </w:r>
          </w:p>
        </w:tc>
        <w:tc>
          <w:tcPr>
            <w:tcW w:w="4006" w:type="dxa"/>
          </w:tcPr>
          <w:p w:rsidR="00D20AAF" w:rsidRDefault="00D20AAF" w:rsidP="00992664">
            <w:pPr>
              <w:pStyle w:val="libFootnote0"/>
              <w:rPr>
                <w:rtl/>
              </w:rPr>
            </w:pPr>
            <w:r>
              <w:rPr>
                <w:rtl/>
              </w:rPr>
              <w:t xml:space="preserve">(6). </w:t>
            </w:r>
            <w:r w:rsidRPr="00020424">
              <w:rPr>
                <w:rtl/>
              </w:rPr>
              <w:t>في « ظ » :</w:t>
            </w:r>
            <w:r>
              <w:rPr>
                <w:rtl/>
              </w:rPr>
              <w:t xml:space="preserve"> - </w:t>
            </w:r>
            <w:r w:rsidRPr="00020424">
              <w:rPr>
                <w:rtl/>
              </w:rPr>
              <w:t>« من المسجد</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جن » : + « له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12008A">
        <w:rPr>
          <w:rStyle w:val="libFootnoteBoldChar"/>
          <w:rtl/>
        </w:rPr>
        <w:t>التهذيب</w:t>
      </w:r>
      <w:r w:rsidR="00992664" w:rsidRPr="00020424">
        <w:rPr>
          <w:rtl/>
        </w:rPr>
        <w:t xml:space="preserve"> ، ج 4 ، ص 288 ، ح 872 ؛ </w:t>
      </w:r>
      <w:r w:rsidR="00992664" w:rsidRPr="00FD6221">
        <w:rPr>
          <w:rStyle w:val="libFootnoteBoldChar"/>
          <w:rtl/>
        </w:rPr>
        <w:t>والاستبصار</w:t>
      </w:r>
      <w:r w:rsidR="00992664" w:rsidRPr="00020424">
        <w:rPr>
          <w:rtl/>
        </w:rPr>
        <w:t xml:space="preserve"> ، ج 2 ، ص 129 ، ح 420 ، بسندهما عن الحسن بن محبوب. </w:t>
      </w:r>
      <w:r w:rsidR="00992664" w:rsidRPr="0012008A">
        <w:rPr>
          <w:rStyle w:val="libFootnoteBoldChar"/>
          <w:rtl/>
        </w:rPr>
        <w:t>الفقيه</w:t>
      </w:r>
      <w:r w:rsidR="00992664" w:rsidRPr="00020424">
        <w:rPr>
          <w:rtl/>
        </w:rPr>
        <w:t xml:space="preserve"> ، ج 2 ، ص 186 ، ح 2097 ، معلّقاً عن أبي أيّوب. </w:t>
      </w:r>
      <w:r w:rsidR="00992664" w:rsidRPr="00DE76B9">
        <w:rPr>
          <w:rStyle w:val="libFootnoteBoldChar"/>
          <w:rtl/>
        </w:rPr>
        <w:t>الجعفريّات</w:t>
      </w:r>
      <w:r w:rsidR="00992664" w:rsidRPr="00020424">
        <w:rPr>
          <w:rtl/>
        </w:rPr>
        <w:t xml:space="preserve"> ، ص 63 ، بسند آخر عن جعفر بن محمّد ، عن أبيه </w:t>
      </w:r>
      <w:r w:rsidR="00D64ADA" w:rsidRPr="00D64ADA">
        <w:rPr>
          <w:rStyle w:val="libFootnoteAlaemChar"/>
          <w:rtl/>
        </w:rPr>
        <w:t>عليهما‌السلام</w:t>
      </w:r>
      <w:r w:rsidR="00992664" w:rsidRPr="00020424">
        <w:rPr>
          <w:rtl/>
        </w:rPr>
        <w:t xml:space="preserve"> ، إلى قوله : « لايشتري ولايبيع » مع اختلاف </w:t>
      </w:r>
      <w:r w:rsidR="005F323E">
        <w:rPr>
          <w:rFonts w:hint="cs"/>
          <w:rtl/>
        </w:rPr>
        <w:t>.</w:t>
      </w:r>
      <w:r w:rsidR="00992664" w:rsidRPr="0012008A">
        <w:rPr>
          <w:rStyle w:val="libFootnoteBoldChar"/>
          <w:rtl/>
        </w:rPr>
        <w:t>الوافي</w:t>
      </w:r>
      <w:r w:rsidR="00992664" w:rsidRPr="00020424">
        <w:rPr>
          <w:rtl/>
        </w:rPr>
        <w:t xml:space="preserve"> ، ج 11 ، ص 490 ، ح 11183 ؛ </w:t>
      </w:r>
      <w:r w:rsidR="00992664" w:rsidRPr="0012008A">
        <w:rPr>
          <w:rStyle w:val="libFootnoteBoldChar"/>
          <w:rtl/>
        </w:rPr>
        <w:t>الوسائل</w:t>
      </w:r>
      <w:r w:rsidR="00992664" w:rsidRPr="00020424">
        <w:rPr>
          <w:rtl/>
        </w:rPr>
        <w:t xml:space="preserve"> ، ج 10 ، ص 544 ، ح 14078 ، من قوله : « من اعتكف ثلاثة أيّام » ؛ </w:t>
      </w:r>
      <w:r w:rsidR="00992664" w:rsidRPr="00DE76B9">
        <w:rPr>
          <w:rStyle w:val="libFootnoteBoldChar"/>
          <w:rtl/>
        </w:rPr>
        <w:t>وفيه</w:t>
      </w:r>
      <w:r w:rsidR="00992664" w:rsidRPr="00020424">
        <w:rPr>
          <w:rtl/>
        </w:rPr>
        <w:t xml:space="preserve"> ، ص 553 ، ح 14100 ، إلى قوله : « لايشتري ولا يبيع</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يعني السنّة ، هو من كلام الراوي ، والمعنى : أنّ السنّة الجارية في الاعتكاف ثلاثة. أو المراد أنّه قال : ذلك في اعتكاف السنّة ، فيكون لبيان الفرد الخفيّ ، وقد مرّ الكلام عليه</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12008A">
        <w:rPr>
          <w:rStyle w:val="libFootnoteBoldChar"/>
          <w:rtl/>
        </w:rPr>
        <w:t>الوافي</w:t>
      </w:r>
      <w:r w:rsidR="00992664" w:rsidRPr="00020424">
        <w:rPr>
          <w:rtl/>
        </w:rPr>
        <w:t xml:space="preserve"> ، ج 11 ، ص 491 ، ح 11184 ؛ </w:t>
      </w:r>
      <w:r w:rsidR="00992664" w:rsidRPr="0012008A">
        <w:rPr>
          <w:rStyle w:val="libFootnoteBoldChar"/>
          <w:rtl/>
        </w:rPr>
        <w:t>الوسائل</w:t>
      </w:r>
      <w:r w:rsidR="00992664" w:rsidRPr="00020424">
        <w:rPr>
          <w:rtl/>
        </w:rPr>
        <w:t xml:space="preserve"> ، ج 10 ، ص 544 ، ح 14079.</w:t>
      </w:r>
    </w:p>
    <w:p w:rsidR="00795177" w:rsidRDefault="00795177" w:rsidP="00795177">
      <w:pPr>
        <w:pStyle w:val="libNormal"/>
        <w:rPr>
          <w:rtl/>
          <w:lang w:bidi="fa-IR"/>
        </w:rPr>
      </w:pPr>
      <w:r>
        <w:rPr>
          <w:rtl/>
          <w:lang w:bidi="fa-IR"/>
        </w:rPr>
        <w:br w:type="page"/>
      </w:r>
    </w:p>
    <w:p w:rsidR="00992664" w:rsidRPr="00020424" w:rsidRDefault="00992664" w:rsidP="00992664">
      <w:pPr>
        <w:pStyle w:val="Heading2Center"/>
        <w:rPr>
          <w:rtl/>
          <w:lang w:bidi="fa-IR"/>
        </w:rPr>
      </w:pPr>
      <w:bookmarkStart w:id="547" w:name="_Toc345172899"/>
      <w:bookmarkStart w:id="548" w:name="_Toc464562713"/>
      <w:bookmarkStart w:id="549" w:name="_Toc44600020"/>
      <w:r w:rsidRPr="00020424">
        <w:rPr>
          <w:rtl/>
          <w:lang w:bidi="fa-IR"/>
        </w:rPr>
        <w:t>80</w:t>
      </w:r>
      <w:r>
        <w:rPr>
          <w:rtl/>
          <w:lang w:bidi="fa-IR"/>
        </w:rPr>
        <w:t xml:space="preserve"> </w:t>
      </w:r>
      <w:r w:rsidR="009B673F">
        <w:rPr>
          <w:rtl/>
          <w:lang w:bidi="fa-IR"/>
        </w:rPr>
        <w:t>-</w:t>
      </w:r>
      <w:r>
        <w:rPr>
          <w:rtl/>
          <w:lang w:bidi="fa-IR"/>
        </w:rPr>
        <w:t xml:space="preserve"> </w:t>
      </w:r>
      <w:r w:rsidRPr="00020424">
        <w:rPr>
          <w:rtl/>
          <w:lang w:bidi="fa-IR"/>
        </w:rPr>
        <w:t xml:space="preserve">بَابُ الْمُعْتَكِفِ لَايَخْرُجُ مِنَ الْمَسْجِدِ </w:t>
      </w:r>
      <w:r w:rsidR="005F323E">
        <w:rPr>
          <w:rtl/>
          <w:lang w:bidi="fa-IR"/>
        </w:rPr>
        <w:t>إِل</w:t>
      </w:r>
      <w:r w:rsidR="005F323E">
        <w:rPr>
          <w:rFonts w:hint="cs"/>
          <w:rtl/>
          <w:lang w:bidi="fa-IR"/>
        </w:rPr>
        <w:t>َّ</w:t>
      </w:r>
      <w:r w:rsidR="005F323E">
        <w:rPr>
          <w:rtl/>
          <w:lang w:bidi="fa-IR"/>
        </w:rPr>
        <w:t>ا</w:t>
      </w:r>
      <w:r w:rsidRPr="00020424">
        <w:rPr>
          <w:rtl/>
          <w:lang w:bidi="fa-IR"/>
        </w:rPr>
        <w:t xml:space="preserve"> لِحَاجَةٍ‌</w:t>
      </w:r>
      <w:bookmarkEnd w:id="547"/>
      <w:bookmarkEnd w:id="548"/>
      <w:bookmarkEnd w:id="549"/>
    </w:p>
    <w:p w:rsidR="00992664" w:rsidRPr="00020424" w:rsidRDefault="00992664" w:rsidP="00992664">
      <w:pPr>
        <w:pStyle w:val="libNormal"/>
        <w:rPr>
          <w:rtl/>
          <w:lang w:bidi="fa-IR"/>
        </w:rPr>
      </w:pPr>
      <w:r w:rsidRPr="00B72DE5">
        <w:rPr>
          <w:rtl/>
        </w:rPr>
        <w:t>6691</w:t>
      </w:r>
      <w:r w:rsidRPr="001155DE">
        <w:rPr>
          <w:rStyle w:val="libBold2Char"/>
          <w:rtl/>
        </w:rPr>
        <w:t xml:space="preserve"> / 1.</w:t>
      </w:r>
      <w:r w:rsidRPr="00020424">
        <w:rPr>
          <w:rtl/>
          <w:lang w:bidi="fa-IR"/>
        </w:rPr>
        <w:t xml:space="preserve"> عِدَّةٌ مِنْ أَصْحَابِنَا ، عَنْ أَحْمَدَ بْنِ مُحَمَّدٍ ، عَنِ الْحُسَيْنِ بْنِ سَعِيدٍ ، عَنْ فَضَالَةَ بْنِ أَيُّوبَ ، عَنْ عَبْدِ اللهِ بْنِ سِنَانٍ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لَيْسَ عَلَى الْمُعْتَكِفِ أَنْ يَخْرُجَ مِنَ الْمَسْجِدِ </w:t>
      </w:r>
      <w:r w:rsidRPr="00A91B96">
        <w:rPr>
          <w:rStyle w:val="libFootnotenumChar"/>
          <w:rtl/>
        </w:rPr>
        <w:t>(1)</w:t>
      </w:r>
      <w:r w:rsidR="00FA37F6">
        <w:rPr>
          <w:rtl/>
          <w:lang w:bidi="fa-IR"/>
        </w:rPr>
        <w:t xml:space="preserve"> إِل</w:t>
      </w:r>
      <w:r w:rsidR="00FA37F6">
        <w:rPr>
          <w:rFonts w:hint="cs"/>
          <w:rtl/>
          <w:lang w:bidi="fa-IR"/>
        </w:rPr>
        <w:t>َّ</w:t>
      </w:r>
      <w:r w:rsidR="00FA37F6">
        <w:rPr>
          <w:rtl/>
          <w:lang w:bidi="fa-IR"/>
        </w:rPr>
        <w:t>ا</w:t>
      </w:r>
      <w:r w:rsidRPr="00020424">
        <w:rPr>
          <w:rtl/>
          <w:lang w:bidi="fa-IR"/>
        </w:rPr>
        <w:t xml:space="preserve"> إِلَى الْجُمُعَةِ </w:t>
      </w:r>
      <w:r w:rsidRPr="00A91B96">
        <w:rPr>
          <w:rStyle w:val="libFootnotenumChar"/>
          <w:rtl/>
        </w:rPr>
        <w:t>(2)</w:t>
      </w:r>
      <w:r w:rsidRPr="00020424">
        <w:rPr>
          <w:rtl/>
          <w:lang w:bidi="fa-IR"/>
        </w:rPr>
        <w:t xml:space="preserve"> ، أَوْ جَنَازَةٍ ، أَوْ غَائِطٍ </w:t>
      </w:r>
      <w:r w:rsidRPr="00A91B96">
        <w:rPr>
          <w:rStyle w:val="libFootnotenumChar"/>
          <w:rtl/>
        </w:rPr>
        <w:t>(3)</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72DE5">
        <w:rPr>
          <w:rtl/>
        </w:rPr>
        <w:t>6692</w:t>
      </w:r>
      <w:r w:rsidRPr="001155DE">
        <w:rPr>
          <w:rStyle w:val="libBold2Char"/>
          <w:rtl/>
        </w:rPr>
        <w:t xml:space="preserve"> / 2.</w:t>
      </w:r>
      <w:r w:rsidRPr="00020424">
        <w:rPr>
          <w:rtl/>
          <w:lang w:bidi="fa-IR"/>
        </w:rPr>
        <w:t xml:space="preserve"> عِدَّةٌ مِنْ أَصْحَابِنَا ، عَنْ سَهْلِ بْنِ زِيَادٍ ، عَنْ أَحْمَدَ بْنِ مُحَمَّدٍ ، عَنْ دَاوُدَ بْنِ سِرْحَانَ ، قَالَ :</w:t>
      </w:r>
    </w:p>
    <w:p w:rsidR="00992664" w:rsidRPr="00020424" w:rsidRDefault="00992664" w:rsidP="00992664">
      <w:pPr>
        <w:pStyle w:val="libNormal"/>
        <w:rPr>
          <w:rtl/>
          <w:lang w:bidi="fa-IR"/>
        </w:rPr>
      </w:pPr>
      <w:r w:rsidRPr="00020424">
        <w:rPr>
          <w:rtl/>
          <w:lang w:bidi="fa-IR"/>
        </w:rPr>
        <w:t xml:space="preserve">كُنْتُ بِالْمَدِينَةِ فِي شَهْرِ رَمَضَانَ ، فَقُلْتُ لِأَبِي عَبْدِ اللهِ </w:t>
      </w:r>
      <w:r w:rsidRPr="00005A81">
        <w:rPr>
          <w:rStyle w:val="libAlaemChar"/>
          <w:rtl/>
        </w:rPr>
        <w:t>عليه‌السلام</w:t>
      </w:r>
      <w:r w:rsidRPr="00020424">
        <w:rPr>
          <w:rtl/>
          <w:lang w:bidi="fa-IR"/>
        </w:rPr>
        <w:t xml:space="preserve"> : إِنِّي أُرِيدُ أَنْ أَعْتَكِفَ ، فَمَا ذَا أَقُولُ</w:t>
      </w:r>
      <w:r>
        <w:rPr>
          <w:rtl/>
          <w:lang w:bidi="fa-IR"/>
        </w:rPr>
        <w:t>؟</w:t>
      </w:r>
      <w:r w:rsidRPr="00020424">
        <w:rPr>
          <w:rtl/>
          <w:lang w:bidi="fa-IR"/>
        </w:rPr>
        <w:t xml:space="preserve"> وَمَا ذَا أَفْرِضُ عَلى نَفْسِي</w:t>
      </w:r>
      <w:r>
        <w:rPr>
          <w:rtl/>
          <w:lang w:bidi="fa-IR"/>
        </w:rPr>
        <w:t>؟</w:t>
      </w:r>
    </w:p>
    <w:p w:rsidR="00992664" w:rsidRPr="00020424" w:rsidRDefault="00992664" w:rsidP="00992664">
      <w:pPr>
        <w:pStyle w:val="libNormal"/>
        <w:rPr>
          <w:rtl/>
          <w:lang w:bidi="fa-IR"/>
        </w:rPr>
      </w:pPr>
      <w:r w:rsidRPr="00020424">
        <w:rPr>
          <w:rtl/>
          <w:lang w:bidi="fa-IR"/>
        </w:rPr>
        <w:t xml:space="preserve">فَقَالَ : « لَا </w:t>
      </w:r>
      <w:r w:rsidR="00F4342D">
        <w:rPr>
          <w:rtl/>
          <w:lang w:bidi="fa-IR"/>
        </w:rPr>
        <w:t>تَخْرُجْ مِنَ الْمَسْجِدِ إِل</w:t>
      </w:r>
      <w:r w:rsidR="00F4342D">
        <w:rPr>
          <w:rFonts w:hint="cs"/>
          <w:rtl/>
          <w:lang w:bidi="fa-IR"/>
        </w:rPr>
        <w:t>َّ</w:t>
      </w:r>
      <w:r w:rsidR="00F4342D">
        <w:rPr>
          <w:rtl/>
          <w:lang w:bidi="fa-IR"/>
        </w:rPr>
        <w:t>ا</w:t>
      </w:r>
      <w:r w:rsidRPr="00020424">
        <w:rPr>
          <w:rtl/>
          <w:lang w:bidi="fa-IR"/>
        </w:rPr>
        <w:t xml:space="preserve"> لِحَاجَةٍ لَابُدَّ مِنْهَا ، وَلَاتَقْعُدْ تَحْتَ ظِلَالٍ حَتّى تَعُودَ إِلى مَجْلِسِكَ </w:t>
      </w:r>
      <w:r w:rsidRPr="00A91B96">
        <w:rPr>
          <w:rStyle w:val="libFootnotenumChar"/>
          <w:rtl/>
        </w:rPr>
        <w:t>(5)</w:t>
      </w:r>
      <w:r>
        <w:rPr>
          <w:rtl/>
          <w:lang w:bidi="fa-IR"/>
        </w:rPr>
        <w:t xml:space="preserve"> ».</w:t>
      </w:r>
      <w:r w:rsidRPr="00020424">
        <w:rPr>
          <w:rtl/>
          <w:lang w:bidi="fa-IR"/>
        </w:rPr>
        <w:t xml:space="preserve"> </w:t>
      </w:r>
      <w:r w:rsidRPr="00A91B96">
        <w:rPr>
          <w:rStyle w:val="libFootnotenumChar"/>
          <w:rtl/>
        </w:rPr>
        <w:t>(6)</w:t>
      </w:r>
      <w:r w:rsidRPr="00020424">
        <w:rPr>
          <w:rtl/>
          <w:lang w:bidi="fa-IR"/>
        </w:rPr>
        <w:t xml:space="preserve"> ‌</w:t>
      </w:r>
    </w:p>
    <w:p w:rsidR="00992664" w:rsidRPr="00020424" w:rsidRDefault="00992664" w:rsidP="00992664">
      <w:pPr>
        <w:pStyle w:val="libNormal"/>
        <w:rPr>
          <w:rtl/>
          <w:lang w:bidi="fa-IR"/>
        </w:rPr>
      </w:pPr>
      <w:r w:rsidRPr="00B72DE5">
        <w:rPr>
          <w:rtl/>
        </w:rPr>
        <w:t>6693</w:t>
      </w:r>
      <w:r w:rsidRPr="001155DE">
        <w:rPr>
          <w:rStyle w:val="libBold2Char"/>
          <w:rtl/>
        </w:rPr>
        <w:t xml:space="preserve"> / 3.</w:t>
      </w:r>
      <w:r w:rsidRPr="00020424">
        <w:rPr>
          <w:rtl/>
          <w:lang w:bidi="fa-IR"/>
        </w:rPr>
        <w:t xml:space="preserve"> عَلِيُّ بْنُ إِبْرَاهِيمَ ، عَنْ أَبِيهِ ، عَنِ ابْنِ أَبِي عُمَيْرٍ ، عَنْ حَمَّادٍ ، عَنِ الْحَلَبِيِّ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لَا يَنْبَغِي لِلْمُعْتَكِفِ أَنْ </w:t>
      </w:r>
      <w:r w:rsidR="007E2AA7">
        <w:rPr>
          <w:rtl/>
          <w:lang w:bidi="fa-IR"/>
        </w:rPr>
        <w:t>يَخْرُجَ مِنَ الْمَسْجِدِ إِل</w:t>
      </w:r>
      <w:r w:rsidR="007E2AA7">
        <w:rPr>
          <w:rFonts w:hint="cs"/>
          <w:rtl/>
          <w:lang w:bidi="fa-IR"/>
        </w:rPr>
        <w:t>َّ</w:t>
      </w:r>
      <w:r w:rsidR="007E2AA7">
        <w:rPr>
          <w:rtl/>
          <w:lang w:bidi="fa-IR"/>
        </w:rPr>
        <w:t>ا</w:t>
      </w:r>
      <w:r w:rsidRPr="00020424">
        <w:rPr>
          <w:rtl/>
          <w:lang w:bidi="fa-IR"/>
        </w:rPr>
        <w:t xml:space="preserve"> لِحَاجَةٍ لَابُدَّ مِنْهَا ، ثُمَّ لَايَجْلِسُ حَتّى يَرْجِعَ ، </w:t>
      </w:r>
      <w:r w:rsidR="004A3244">
        <w:rPr>
          <w:rtl/>
          <w:lang w:bidi="fa-IR"/>
        </w:rPr>
        <w:t>وَلَايَخْرُجُ فِي شَيْ‌ءٍ إِل</w:t>
      </w:r>
      <w:r w:rsidR="004A3244">
        <w:rPr>
          <w:rFonts w:hint="cs"/>
          <w:rtl/>
          <w:lang w:bidi="fa-IR"/>
        </w:rPr>
        <w:t>َّ</w:t>
      </w:r>
      <w:r w:rsidR="004A3244">
        <w:rPr>
          <w:rtl/>
          <w:lang w:bidi="fa-IR"/>
        </w:rPr>
        <w:t>ا</w:t>
      </w:r>
      <w:r w:rsidRPr="00020424">
        <w:rPr>
          <w:rtl/>
          <w:lang w:bidi="fa-IR"/>
        </w:rPr>
        <w:t xml:space="preserve"> لِجَنَازَةٍ ، أَوْ يَعُودُ‌</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بث ، بخ ، بر ، بف » :</w:t>
      </w:r>
      <w:r w:rsidR="00992664">
        <w:rPr>
          <w:rtl/>
        </w:rPr>
        <w:t xml:space="preserve"> </w:t>
      </w:r>
      <w:r w:rsidR="009B673F">
        <w:rPr>
          <w:rtl/>
        </w:rPr>
        <w:t>-</w:t>
      </w:r>
      <w:r w:rsidR="00992664">
        <w:rPr>
          <w:rtl/>
        </w:rPr>
        <w:t xml:space="preserve"> </w:t>
      </w:r>
      <w:r w:rsidR="00992664" w:rsidRPr="00020424">
        <w:rPr>
          <w:rtl/>
        </w:rPr>
        <w:t>« من المسجد</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524B03">
        <w:rPr>
          <w:rtl/>
        </w:rPr>
        <w:t>في « بح » : « إل</w:t>
      </w:r>
      <w:r w:rsidR="00524B03">
        <w:rPr>
          <w:rFonts w:hint="cs"/>
          <w:rtl/>
        </w:rPr>
        <w:t>ّ</w:t>
      </w:r>
      <w:r w:rsidR="00524B03">
        <w:rPr>
          <w:rtl/>
        </w:rPr>
        <w:t>ا</w:t>
      </w:r>
      <w:r w:rsidR="00992664" w:rsidRPr="00020424">
        <w:rPr>
          <w:rtl/>
        </w:rPr>
        <w:t xml:space="preserve"> لجمعة </w:t>
      </w:r>
      <w:r w:rsidR="00524B03">
        <w:rPr>
          <w:rtl/>
        </w:rPr>
        <w:t>» بدل « إل</w:t>
      </w:r>
      <w:r w:rsidR="00524B03">
        <w:rPr>
          <w:rFonts w:hint="cs"/>
          <w:rtl/>
        </w:rPr>
        <w:t>ّ</w:t>
      </w:r>
      <w:r w:rsidR="00524B03">
        <w:rPr>
          <w:rtl/>
        </w:rPr>
        <w:t>ا</w:t>
      </w:r>
      <w:r w:rsidR="00992664" w:rsidRPr="00020424">
        <w:rPr>
          <w:rtl/>
        </w:rPr>
        <w:t xml:space="preserve"> إلى الجمعة</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لم ترد هذه الرواية في « بس</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الوافي</w:t>
      </w:r>
      <w:r w:rsidR="00992664" w:rsidRPr="00020424">
        <w:rPr>
          <w:rtl/>
        </w:rPr>
        <w:t xml:space="preserve"> ، ج 11 ، ص 491 ، ح 11187 ؛ </w:t>
      </w:r>
      <w:r w:rsidR="00992664" w:rsidRPr="0012008A">
        <w:rPr>
          <w:rStyle w:val="libFootnoteBoldChar"/>
          <w:rtl/>
        </w:rPr>
        <w:t>الوسائل</w:t>
      </w:r>
      <w:r w:rsidR="00992664" w:rsidRPr="00020424">
        <w:rPr>
          <w:rtl/>
        </w:rPr>
        <w:t xml:space="preserve"> ، ج 10 ، ص 550 ، ح 14094.</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لم ترد هذه الرواية في « بس</w:t>
      </w:r>
      <w:r w:rsidR="00992664">
        <w:rPr>
          <w:rtl/>
        </w:rPr>
        <w:t xml:space="preserve"> ».</w:t>
      </w:r>
      <w:r w:rsidR="00992664" w:rsidRPr="00020424">
        <w:rPr>
          <w:rtl/>
        </w:rPr>
        <w:t xml:space="preserve"> وفي « ى » :</w:t>
      </w:r>
      <w:r w:rsidR="00992664">
        <w:rPr>
          <w:rtl/>
        </w:rPr>
        <w:t xml:space="preserve"> </w:t>
      </w:r>
      <w:r w:rsidR="009B673F">
        <w:rPr>
          <w:rtl/>
        </w:rPr>
        <w:t>-</w:t>
      </w:r>
      <w:r w:rsidR="00992664">
        <w:rPr>
          <w:rtl/>
        </w:rPr>
        <w:t xml:space="preserve"> </w:t>
      </w:r>
      <w:r w:rsidR="00992664" w:rsidRPr="00020424">
        <w:rPr>
          <w:rtl/>
        </w:rPr>
        <w:t>« ولا تقعد</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مجلسك</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12008A">
        <w:rPr>
          <w:rStyle w:val="libFootnoteBoldChar"/>
          <w:rtl/>
        </w:rPr>
        <w:t>التهذيب</w:t>
      </w:r>
      <w:r w:rsidR="00992664" w:rsidRPr="00020424">
        <w:rPr>
          <w:rtl/>
        </w:rPr>
        <w:t xml:space="preserve"> ، ج 4 ، ص 287 ، ح 870 ، معلّقاً عن الكليني. </w:t>
      </w:r>
      <w:r w:rsidR="00992664" w:rsidRPr="0012008A">
        <w:rPr>
          <w:rStyle w:val="libFootnoteBoldChar"/>
          <w:rtl/>
        </w:rPr>
        <w:t>الفقيه</w:t>
      </w:r>
      <w:r w:rsidR="00992664" w:rsidRPr="00020424">
        <w:rPr>
          <w:rtl/>
        </w:rPr>
        <w:t xml:space="preserve"> ، ج 2 ، ص 187 ، ح 2098 ، معلّقاً عن داود بن سرحان </w:t>
      </w:r>
      <w:r w:rsidR="009521C2">
        <w:rPr>
          <w:rFonts w:hint="cs"/>
          <w:rtl/>
        </w:rPr>
        <w:t>.</w:t>
      </w:r>
      <w:r w:rsidR="00992664" w:rsidRPr="0012008A">
        <w:rPr>
          <w:rStyle w:val="libFootnoteBoldChar"/>
          <w:rtl/>
        </w:rPr>
        <w:t>الوافي</w:t>
      </w:r>
      <w:r w:rsidR="00992664" w:rsidRPr="00020424">
        <w:rPr>
          <w:rtl/>
        </w:rPr>
        <w:t xml:space="preserve"> ، ج 11 ، ص 491 ، ح 11185 ؛ </w:t>
      </w:r>
      <w:r w:rsidR="00992664" w:rsidRPr="0012008A">
        <w:rPr>
          <w:rStyle w:val="libFootnoteBoldChar"/>
          <w:rtl/>
        </w:rPr>
        <w:t>الوسائل</w:t>
      </w:r>
      <w:r w:rsidR="00992664" w:rsidRPr="00020424">
        <w:rPr>
          <w:rtl/>
        </w:rPr>
        <w:t xml:space="preserve"> ، ج 10 ، ص 550 ، ذيل ح 14091.</w:t>
      </w:r>
    </w:p>
    <w:p w:rsidR="00795177" w:rsidRDefault="00795177" w:rsidP="00795177">
      <w:pPr>
        <w:pStyle w:val="libNormal"/>
        <w:rPr>
          <w:rtl/>
          <w:lang w:bidi="fa-IR"/>
        </w:rPr>
      </w:pPr>
      <w:r>
        <w:rPr>
          <w:rtl/>
          <w:lang w:bidi="fa-IR"/>
        </w:rPr>
        <w:br w:type="page"/>
      </w:r>
    </w:p>
    <w:p w:rsidR="00992664" w:rsidRPr="00020424" w:rsidRDefault="00992664" w:rsidP="006B5249">
      <w:pPr>
        <w:pStyle w:val="libNormal0"/>
        <w:rPr>
          <w:rtl/>
          <w:lang w:bidi="fa-IR"/>
        </w:rPr>
      </w:pPr>
      <w:r w:rsidRPr="00020424">
        <w:rPr>
          <w:rtl/>
          <w:lang w:bidi="fa-IR"/>
        </w:rPr>
        <w:t xml:space="preserve">مَرِيضاً ، وَلَايَجْلِسُ حَتّى يَرْجِعَ ، وَاعْتِكَافُ الْمَرْأَةِ مِثْلُ ذلِكَ </w:t>
      </w:r>
      <w:r w:rsidRPr="00A91B96">
        <w:rPr>
          <w:rStyle w:val="libFootnotenumChar"/>
          <w:rtl/>
        </w:rPr>
        <w:t>(1)</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Heading2Center"/>
        <w:rPr>
          <w:rtl/>
          <w:lang w:bidi="fa-IR"/>
        </w:rPr>
      </w:pPr>
      <w:bookmarkStart w:id="550" w:name="_Toc345172900"/>
      <w:bookmarkStart w:id="551" w:name="_Toc464562714"/>
      <w:bookmarkStart w:id="552" w:name="_Toc44600021"/>
      <w:r w:rsidRPr="00020424">
        <w:rPr>
          <w:rtl/>
          <w:lang w:bidi="fa-IR"/>
        </w:rPr>
        <w:t>81</w:t>
      </w:r>
      <w:r>
        <w:rPr>
          <w:rtl/>
          <w:lang w:bidi="fa-IR"/>
        </w:rPr>
        <w:t xml:space="preserve"> </w:t>
      </w:r>
      <w:r w:rsidR="009B673F">
        <w:rPr>
          <w:rtl/>
          <w:lang w:bidi="fa-IR"/>
        </w:rPr>
        <w:t>-</w:t>
      </w:r>
      <w:r>
        <w:rPr>
          <w:rtl/>
          <w:lang w:bidi="fa-IR"/>
        </w:rPr>
        <w:t xml:space="preserve"> </w:t>
      </w:r>
      <w:r w:rsidRPr="00020424">
        <w:rPr>
          <w:rtl/>
          <w:lang w:bidi="fa-IR"/>
        </w:rPr>
        <w:t>بَابُ الْمُعْتَكِفِ يَمْرَضُ وَالْمُعْتَكِفَةِ تَطْمَثُ‌</w:t>
      </w:r>
      <w:bookmarkEnd w:id="550"/>
      <w:bookmarkEnd w:id="551"/>
      <w:bookmarkEnd w:id="552"/>
    </w:p>
    <w:p w:rsidR="00992664" w:rsidRPr="00020424" w:rsidRDefault="00992664" w:rsidP="00992664">
      <w:pPr>
        <w:pStyle w:val="libNormal"/>
        <w:rPr>
          <w:rtl/>
          <w:lang w:bidi="fa-IR"/>
        </w:rPr>
      </w:pPr>
      <w:r w:rsidRPr="00B72DE5">
        <w:rPr>
          <w:rtl/>
        </w:rPr>
        <w:t>6694</w:t>
      </w:r>
      <w:r w:rsidRPr="001155DE">
        <w:rPr>
          <w:rStyle w:val="libBold2Char"/>
          <w:rtl/>
        </w:rPr>
        <w:t xml:space="preserve"> / 1.</w:t>
      </w:r>
      <w:r w:rsidRPr="00020424">
        <w:rPr>
          <w:rtl/>
          <w:lang w:bidi="fa-IR"/>
        </w:rPr>
        <w:t xml:space="preserve"> مُحَمَّدُ بْنُ إِسْمَاعِيلَ ، عَنِ الْفَضْلِ بْنِ شَاذَانَ ، عَنْ صَفْوَانَ بْنِ يَحْيى </w:t>
      </w:r>
      <w:r w:rsidRPr="00A91B96">
        <w:rPr>
          <w:rStyle w:val="libFootnotenumChar"/>
          <w:rtl/>
        </w:rPr>
        <w:t>(3)</w:t>
      </w:r>
      <w:r w:rsidRPr="00020424">
        <w:rPr>
          <w:rtl/>
          <w:lang w:bidi="fa-IR"/>
        </w:rPr>
        <w:t xml:space="preserve"> ، عَنْ عَبْدِ الرَّحْمنِ بْنِ الْحَجَّاجِ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إِذَا مَرِضَ الْمُعْتَكِفُ ، وَطَمِثَتِ الْمَرْأَةُ الْمُعْتَكِفَةُ ، فَإِنَّهُ يَأْتِي بَيْتَهُ ، ثُمَّ يُعِيدُ </w:t>
      </w:r>
      <w:r w:rsidRPr="00A91B96">
        <w:rPr>
          <w:rStyle w:val="libFootnotenumChar"/>
          <w:rtl/>
        </w:rPr>
        <w:t>(4)</w:t>
      </w:r>
      <w:r w:rsidRPr="00020424">
        <w:rPr>
          <w:rtl/>
          <w:lang w:bidi="fa-IR"/>
        </w:rPr>
        <w:t xml:space="preserve"> إِذَا بَرَأَ ، وَيَصُومُ</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521C2" w:rsidP="00992664">
      <w:pPr>
        <w:pStyle w:val="libNormal"/>
        <w:rPr>
          <w:rtl/>
          <w:lang w:bidi="fa-IR"/>
        </w:rPr>
      </w:pPr>
      <w:r>
        <w:rPr>
          <w:rFonts w:hint="cs"/>
          <w:rtl/>
          <w:lang w:bidi="fa-IR"/>
        </w:rPr>
        <w:t xml:space="preserve">* </w:t>
      </w:r>
      <w:r w:rsidR="00992664" w:rsidRPr="00020424">
        <w:rPr>
          <w:rtl/>
          <w:lang w:bidi="fa-IR"/>
        </w:rPr>
        <w:t xml:space="preserve">وَفِي رِوَايَةٍ أُخْرى عَنْهُ </w:t>
      </w:r>
      <w:r w:rsidR="00992664" w:rsidRPr="00A91B96">
        <w:rPr>
          <w:rStyle w:val="libFootnotenumChar"/>
          <w:rtl/>
        </w:rPr>
        <w:t>(6)</w:t>
      </w:r>
      <w:r w:rsidR="00992664" w:rsidRPr="00020424">
        <w:rPr>
          <w:rtl/>
          <w:lang w:bidi="fa-IR"/>
        </w:rPr>
        <w:t xml:space="preserve"> : « لَيْسَ عَلَى الْمَرِيضِ ذلِكَ</w:t>
      </w:r>
      <w:r w:rsidR="00992664">
        <w:rPr>
          <w:rtl/>
          <w:lang w:bidi="fa-IR"/>
        </w:rPr>
        <w:t xml:space="preserve"> ».</w:t>
      </w:r>
      <w:r w:rsidR="00992664" w:rsidRPr="00020424">
        <w:rPr>
          <w:rtl/>
          <w:lang w:bidi="fa-IR"/>
        </w:rPr>
        <w:t xml:space="preserve"> </w:t>
      </w:r>
      <w:r w:rsidR="00992664" w:rsidRPr="00A91B96">
        <w:rPr>
          <w:rStyle w:val="libFootnotenumChar"/>
          <w:rtl/>
        </w:rPr>
        <w:t>(7)</w:t>
      </w:r>
      <w:r w:rsidR="00992664" w:rsidRPr="00020424">
        <w:rPr>
          <w:rtl/>
          <w:lang w:bidi="fa-IR"/>
        </w:rPr>
        <w:t xml:space="preserve"> ‌</w:t>
      </w:r>
    </w:p>
    <w:p w:rsidR="00992664" w:rsidRPr="00020424" w:rsidRDefault="00992664" w:rsidP="00992664">
      <w:pPr>
        <w:pStyle w:val="libNormal"/>
        <w:rPr>
          <w:rtl/>
          <w:lang w:bidi="fa-IR"/>
        </w:rPr>
      </w:pPr>
      <w:r w:rsidRPr="00B72DE5">
        <w:rPr>
          <w:rtl/>
        </w:rPr>
        <w:t>6695</w:t>
      </w:r>
      <w:r w:rsidRPr="001155DE">
        <w:rPr>
          <w:rStyle w:val="libBold2Char"/>
          <w:rtl/>
        </w:rPr>
        <w:t xml:space="preserve"> / 2.</w:t>
      </w:r>
      <w:r w:rsidRPr="00020424">
        <w:rPr>
          <w:rtl/>
          <w:lang w:bidi="fa-IR"/>
        </w:rPr>
        <w:t xml:space="preserve"> عِدَّةٌ مِنْ أَصْحَابِنَا ، عَنْ أَحْمَدَ بْنِ مُحَمَّدٍ وَسَهْلِ بْنِ زِيَادٍ جَمِيعاً ، عَنِ ابْنِ مَحْبُوبٍ ، عَنْ أَبِي أَيُّوبَ ، عَنْ أَبِي بَصِيرٍ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فِي الْمُعْتَكِفَةِ إِذَا طَمِثَتْ ، قَالَ : « تَرْجِعُ إِلى بَيْتِهَا ، وَإِذَا </w:t>
      </w:r>
      <w:r w:rsidRPr="00A91B96">
        <w:rPr>
          <w:rStyle w:val="libFootnotenumChar"/>
          <w:rtl/>
        </w:rPr>
        <w:t>(8)</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لم ترد هذه الرواية في « بس</w:t>
      </w:r>
      <w:r w:rsidR="00992664">
        <w:rPr>
          <w:rtl/>
        </w:rPr>
        <w:t xml:space="preserve"> ».</w:t>
      </w:r>
    </w:p>
    <w:p w:rsidR="00992664" w:rsidRPr="00020424" w:rsidRDefault="00795177" w:rsidP="009521C2">
      <w:pPr>
        <w:pStyle w:val="libFootnote0"/>
        <w:rPr>
          <w:rtl/>
          <w:lang w:bidi="fa-IR"/>
        </w:rPr>
      </w:pPr>
      <w:r>
        <w:rPr>
          <w:rtl/>
        </w:rPr>
        <w:t>(2).</w:t>
      </w:r>
      <w:r w:rsidR="0014403D">
        <w:rPr>
          <w:rtl/>
        </w:rPr>
        <w:t xml:space="preserve"> </w:t>
      </w:r>
      <w:r w:rsidR="00992664" w:rsidRPr="0012008A">
        <w:rPr>
          <w:rStyle w:val="libFootnoteBoldChar"/>
          <w:rtl/>
        </w:rPr>
        <w:t>التهذيب</w:t>
      </w:r>
      <w:r w:rsidR="00992664" w:rsidRPr="00020424">
        <w:rPr>
          <w:rtl/>
        </w:rPr>
        <w:t xml:space="preserve"> ، ج 4 ، ص 288 ، ح 871 ، معلّقاً عن عليّ بن إبراهيم. </w:t>
      </w:r>
      <w:r w:rsidR="00992664" w:rsidRPr="0012008A">
        <w:rPr>
          <w:rStyle w:val="libFootnoteBoldChar"/>
          <w:rtl/>
        </w:rPr>
        <w:t>الفقيه</w:t>
      </w:r>
      <w:r w:rsidR="00992664" w:rsidRPr="00020424">
        <w:rPr>
          <w:rtl/>
        </w:rPr>
        <w:t xml:space="preserve"> ، ج 2 ، ص 187 ، ح 2099 ، معلّقاً عن الحلبي. </w:t>
      </w:r>
      <w:r w:rsidR="00992664" w:rsidRPr="00DE76B9">
        <w:rPr>
          <w:rStyle w:val="libFootnoteBoldChar"/>
          <w:rtl/>
        </w:rPr>
        <w:t>فقه الرضا</w:t>
      </w:r>
      <w:r w:rsidR="00992664" w:rsidRPr="00020424">
        <w:rPr>
          <w:rtl/>
        </w:rPr>
        <w:t xml:space="preserve"> </w:t>
      </w:r>
      <w:r w:rsidR="00992664" w:rsidRPr="00D64ADA">
        <w:rPr>
          <w:rStyle w:val="libFootnoteAlaemChar"/>
          <w:rtl/>
        </w:rPr>
        <w:t>عليه‌السلام</w:t>
      </w:r>
      <w:r w:rsidR="00992664" w:rsidRPr="00020424">
        <w:rPr>
          <w:rtl/>
        </w:rPr>
        <w:t xml:space="preserve"> ، ص 190 ، ذيل الحديث ، وفي كلّها مع اختلاف يسير. وراجع : </w:t>
      </w:r>
      <w:r w:rsidR="00992664" w:rsidRPr="00DE76B9">
        <w:rPr>
          <w:rStyle w:val="libFootnoteBoldChar"/>
          <w:rtl/>
        </w:rPr>
        <w:t>الكافي</w:t>
      </w:r>
      <w:r w:rsidR="00992664" w:rsidRPr="00020424">
        <w:rPr>
          <w:rtl/>
        </w:rPr>
        <w:t xml:space="preserve"> ، كتاب الصيام ، باب المساجد التي يصلح الاعتكاف فيها ، ح 6682 ومصادره </w:t>
      </w:r>
      <w:r w:rsidR="009521C2">
        <w:rPr>
          <w:rFonts w:hint="cs"/>
          <w:rtl/>
        </w:rPr>
        <w:t>.</w:t>
      </w:r>
      <w:r w:rsidR="00992664" w:rsidRPr="0012008A">
        <w:rPr>
          <w:rStyle w:val="libFootnoteBoldChar"/>
          <w:rtl/>
        </w:rPr>
        <w:t>الوافي</w:t>
      </w:r>
      <w:r w:rsidR="00992664" w:rsidRPr="00020424">
        <w:rPr>
          <w:rtl/>
        </w:rPr>
        <w:t xml:space="preserve"> ، ج 11 ، ص 491 ، ح 11186 ؛ </w:t>
      </w:r>
      <w:r w:rsidR="00992664" w:rsidRPr="0012008A">
        <w:rPr>
          <w:rStyle w:val="libFootnoteBoldChar"/>
          <w:rtl/>
        </w:rPr>
        <w:t>الوسائل</w:t>
      </w:r>
      <w:r w:rsidR="00992664" w:rsidRPr="00020424">
        <w:rPr>
          <w:rtl/>
        </w:rPr>
        <w:t xml:space="preserve"> ، ج 10 ، ص 549 ، ذيل ح 14090.</w:t>
      </w:r>
      <w:r w:rsidR="009521C2">
        <w:rPr>
          <w:rFonts w:hint="cs"/>
          <w:rtl/>
        </w:rPr>
        <w:t xml:space="preserve">    </w:t>
      </w:r>
      <w:r>
        <w:rPr>
          <w:rtl/>
        </w:rPr>
        <w:t>(3).</w:t>
      </w:r>
      <w:r w:rsidR="0014403D">
        <w:rPr>
          <w:rtl/>
        </w:rPr>
        <w:t xml:space="preserve"> </w:t>
      </w:r>
      <w:r w:rsidR="00992664" w:rsidRPr="00020424">
        <w:rPr>
          <w:rtl/>
        </w:rPr>
        <w:t>في « ظ » :</w:t>
      </w:r>
      <w:r w:rsidR="00992664">
        <w:rPr>
          <w:rtl/>
        </w:rPr>
        <w:t xml:space="preserve"> </w:t>
      </w:r>
      <w:r w:rsidR="009B673F">
        <w:rPr>
          <w:rtl/>
        </w:rPr>
        <w:t>-</w:t>
      </w:r>
      <w:r w:rsidR="00992664">
        <w:rPr>
          <w:rtl/>
        </w:rPr>
        <w:t xml:space="preserve"> </w:t>
      </w:r>
      <w:r w:rsidR="00992664" w:rsidRPr="00020424">
        <w:rPr>
          <w:rtl/>
        </w:rPr>
        <w:t>« بن يحيى</w:t>
      </w:r>
      <w:r w:rsidR="00992664">
        <w:rPr>
          <w:rtl/>
        </w:rPr>
        <w:t xml:space="preserve"> ».</w:t>
      </w:r>
    </w:p>
    <w:p w:rsidR="00992664" w:rsidRPr="00020424" w:rsidRDefault="00795177" w:rsidP="0082538B">
      <w:pPr>
        <w:pStyle w:val="libFootnote0"/>
        <w:rPr>
          <w:rtl/>
          <w:lang w:bidi="fa-IR"/>
        </w:rPr>
      </w:pPr>
      <w:r>
        <w:rPr>
          <w:rtl/>
        </w:rPr>
        <w:t>(4).</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ج 16 ، ص 435 : « قوله </w:t>
      </w:r>
      <w:r w:rsidR="00992664" w:rsidRPr="00D64ADA">
        <w:rPr>
          <w:rStyle w:val="libFootnoteAlaemChar"/>
          <w:rtl/>
        </w:rPr>
        <w:t>عليه‌السلام</w:t>
      </w:r>
      <w:r w:rsidR="00992664" w:rsidRPr="00020424">
        <w:rPr>
          <w:rtl/>
        </w:rPr>
        <w:t xml:space="preserve"> : ثمّ يعيد ، الإعادة محمولة على الاستحباب </w:t>
      </w:r>
      <w:r w:rsidR="00C93FB4">
        <w:rPr>
          <w:rtl/>
        </w:rPr>
        <w:t>على المشهور ، إل</w:t>
      </w:r>
      <w:r w:rsidR="00C93FB4">
        <w:rPr>
          <w:rFonts w:hint="cs"/>
          <w:rtl/>
        </w:rPr>
        <w:t>ّ</w:t>
      </w:r>
      <w:r w:rsidR="00C93FB4">
        <w:rPr>
          <w:rtl/>
        </w:rPr>
        <w:t>ا</w:t>
      </w:r>
      <w:r w:rsidR="00992664">
        <w:rPr>
          <w:rFonts w:hint="cs"/>
          <w:rtl/>
        </w:rPr>
        <w:t xml:space="preserve"> </w:t>
      </w:r>
      <w:r w:rsidR="00992664" w:rsidRPr="00020424">
        <w:rPr>
          <w:rtl/>
        </w:rPr>
        <w:t xml:space="preserve">أن يكون لازماً بنذر وشبهه ، ويحصل العذر قبل مضيّ ثلاثة أيّام ؛ فإنّه إذا مضت الثلاثة لا يعيد ، بل يبني حتّى يتمّ العدد </w:t>
      </w:r>
      <w:r w:rsidR="0082538B">
        <w:rPr>
          <w:rtl/>
        </w:rPr>
        <w:t>إل</w:t>
      </w:r>
      <w:r w:rsidR="0082538B">
        <w:rPr>
          <w:rFonts w:hint="cs"/>
          <w:rtl/>
        </w:rPr>
        <w:t>ّ</w:t>
      </w:r>
      <w:r w:rsidR="0082538B">
        <w:rPr>
          <w:rtl/>
        </w:rPr>
        <w:t>ا</w:t>
      </w:r>
      <w:r w:rsidR="0082538B">
        <w:rPr>
          <w:rFonts w:hint="cs"/>
          <w:rtl/>
        </w:rPr>
        <w:t xml:space="preserve"> </w:t>
      </w:r>
      <w:r w:rsidR="00992664" w:rsidRPr="00020424">
        <w:rPr>
          <w:rtl/>
        </w:rPr>
        <w:t>إذا كان العدد أقلّ من ثلاثة أيّام ، فيتمّها من باب المقدّمة</w:t>
      </w:r>
      <w:r w:rsidR="00992664">
        <w:rPr>
          <w:rtl/>
        </w:rPr>
        <w:t xml:space="preserve"> ».</w:t>
      </w:r>
    </w:p>
    <w:p w:rsidR="00992664" w:rsidRPr="00020424" w:rsidRDefault="00795177" w:rsidP="00B550BE">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294 ، ح 893 ، معلّقاً عن الكليني وبسند آخر عن عبدالرحمن بن الحجّاج. </w:t>
      </w:r>
      <w:r w:rsidR="00992664" w:rsidRPr="0012008A">
        <w:rPr>
          <w:rStyle w:val="libFootnoteBoldChar"/>
          <w:rtl/>
        </w:rPr>
        <w:t>الفقيه</w:t>
      </w:r>
      <w:r w:rsidR="00992664" w:rsidRPr="00020424">
        <w:rPr>
          <w:rtl/>
        </w:rPr>
        <w:t xml:space="preserve"> ، ج 2 ، ص 187 ، ح 2100 ، معلّقاً عن صفوان بن يحيى </w:t>
      </w:r>
      <w:r w:rsidR="0082538B">
        <w:rPr>
          <w:rFonts w:hint="cs"/>
          <w:rtl/>
        </w:rPr>
        <w:t>.</w:t>
      </w:r>
      <w:r w:rsidR="00992664" w:rsidRPr="0012008A">
        <w:rPr>
          <w:rStyle w:val="libFootnoteBoldChar"/>
          <w:rtl/>
        </w:rPr>
        <w:t>الوافي</w:t>
      </w:r>
      <w:r w:rsidR="00992664" w:rsidRPr="00020424">
        <w:rPr>
          <w:rtl/>
        </w:rPr>
        <w:t xml:space="preserve"> ، ج 11 ، ص 493 ، ح 11191 ؛ </w:t>
      </w:r>
      <w:r w:rsidR="00992664" w:rsidRPr="0012008A">
        <w:rPr>
          <w:rStyle w:val="libFootnoteBoldChar"/>
          <w:rtl/>
        </w:rPr>
        <w:t>الوسائل</w:t>
      </w:r>
      <w:r w:rsidR="00992664" w:rsidRPr="00020424">
        <w:rPr>
          <w:rtl/>
        </w:rPr>
        <w:t xml:space="preserve"> ، ج 10 ، ص 554 ، ذيل ح 14101.</w:t>
      </w:r>
      <w:r w:rsidR="00B550BE">
        <w:rPr>
          <w:rFonts w:hint="cs"/>
          <w:rtl/>
        </w:rPr>
        <w:t xml:space="preserve">                           </w:t>
      </w:r>
      <w:r>
        <w:rPr>
          <w:rtl/>
        </w:rPr>
        <w:t>(6).</w:t>
      </w:r>
      <w:r w:rsidR="0014403D">
        <w:rPr>
          <w:rtl/>
        </w:rPr>
        <w:t xml:space="preserve"> </w:t>
      </w:r>
      <w:r w:rsidR="00992664" w:rsidRPr="00020424">
        <w:rPr>
          <w:rtl/>
        </w:rPr>
        <w:t>في « بخ ، بر ، بف » :</w:t>
      </w:r>
      <w:r w:rsidR="00992664">
        <w:rPr>
          <w:rtl/>
        </w:rPr>
        <w:t xml:space="preserve"> </w:t>
      </w:r>
      <w:r w:rsidR="009B673F">
        <w:rPr>
          <w:rtl/>
        </w:rPr>
        <w:t>-</w:t>
      </w:r>
      <w:r w:rsidR="00992664">
        <w:rPr>
          <w:rtl/>
        </w:rPr>
        <w:t xml:space="preserve"> </w:t>
      </w:r>
      <w:r w:rsidR="00992664" w:rsidRPr="00020424">
        <w:rPr>
          <w:rtl/>
        </w:rPr>
        <w:t>« عنه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12008A">
        <w:rPr>
          <w:rStyle w:val="libFootnoteBoldChar"/>
          <w:rtl/>
        </w:rPr>
        <w:t>الوافي</w:t>
      </w:r>
      <w:r w:rsidR="00992664" w:rsidRPr="00020424">
        <w:rPr>
          <w:rtl/>
        </w:rPr>
        <w:t xml:space="preserve"> ، ج 11 ، ص 493 ، ح 11192 ؛ </w:t>
      </w:r>
      <w:r w:rsidR="00992664" w:rsidRPr="0012008A">
        <w:rPr>
          <w:rStyle w:val="libFootnoteBoldChar"/>
          <w:rtl/>
        </w:rPr>
        <w:t>الوسائل</w:t>
      </w:r>
      <w:r w:rsidR="00992664" w:rsidRPr="00020424">
        <w:rPr>
          <w:rtl/>
        </w:rPr>
        <w:t xml:space="preserve"> ، ج 10 ، ص 554 ، ح 14102.</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بخ » </w:t>
      </w:r>
      <w:r w:rsidR="00992664" w:rsidRPr="00FD6221">
        <w:rPr>
          <w:rStyle w:val="libFootnoteBoldChar"/>
          <w:rtl/>
        </w:rPr>
        <w:t>والفقيه</w:t>
      </w:r>
      <w:r w:rsidR="00992664" w:rsidRPr="00020424">
        <w:rPr>
          <w:rtl/>
        </w:rPr>
        <w:t xml:space="preserve"> : « فإذا</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7B7821">
      <w:pPr>
        <w:pStyle w:val="libNormal0"/>
        <w:rPr>
          <w:rtl/>
          <w:lang w:bidi="fa-IR"/>
        </w:rPr>
      </w:pPr>
      <w:r w:rsidRPr="00020424">
        <w:rPr>
          <w:rtl/>
          <w:lang w:bidi="fa-IR"/>
        </w:rPr>
        <w:t>طَهُرَتْ رَجَعَتْ ، فَقَضَتْ مَا عَلَيْهَا</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Heading2Center"/>
        <w:rPr>
          <w:rtl/>
          <w:lang w:bidi="fa-IR"/>
        </w:rPr>
      </w:pPr>
      <w:bookmarkStart w:id="553" w:name="_Toc345172901"/>
      <w:bookmarkStart w:id="554" w:name="_Toc464562715"/>
      <w:bookmarkStart w:id="555" w:name="_Toc44600022"/>
      <w:r w:rsidRPr="00020424">
        <w:rPr>
          <w:rtl/>
          <w:lang w:bidi="fa-IR"/>
        </w:rPr>
        <w:t>82</w:t>
      </w:r>
      <w:r>
        <w:rPr>
          <w:rtl/>
          <w:lang w:bidi="fa-IR"/>
        </w:rPr>
        <w:t xml:space="preserve"> </w:t>
      </w:r>
      <w:r w:rsidR="009B673F">
        <w:rPr>
          <w:rtl/>
          <w:lang w:bidi="fa-IR"/>
        </w:rPr>
        <w:t>-</w:t>
      </w:r>
      <w:r>
        <w:rPr>
          <w:rtl/>
          <w:lang w:bidi="fa-IR"/>
        </w:rPr>
        <w:t xml:space="preserve"> </w:t>
      </w:r>
      <w:r w:rsidRPr="00020424">
        <w:rPr>
          <w:rtl/>
          <w:lang w:bidi="fa-IR"/>
        </w:rPr>
        <w:t>بَابُ الْمُعْتَكِفِ يُجَامِعُ أَهْلَهُ‌</w:t>
      </w:r>
      <w:bookmarkEnd w:id="553"/>
      <w:bookmarkEnd w:id="554"/>
      <w:bookmarkEnd w:id="555"/>
    </w:p>
    <w:p w:rsidR="00992664" w:rsidRPr="00020424" w:rsidRDefault="00992664" w:rsidP="00992664">
      <w:pPr>
        <w:pStyle w:val="libNormal"/>
        <w:rPr>
          <w:rtl/>
          <w:lang w:bidi="fa-IR"/>
        </w:rPr>
      </w:pPr>
      <w:r w:rsidRPr="00B72DE5">
        <w:rPr>
          <w:rtl/>
        </w:rPr>
        <w:t>6696</w:t>
      </w:r>
      <w:r w:rsidRPr="001155DE">
        <w:rPr>
          <w:rStyle w:val="libBold2Char"/>
          <w:rtl/>
        </w:rPr>
        <w:t xml:space="preserve"> / 1.</w:t>
      </w:r>
      <w:r w:rsidRPr="00020424">
        <w:rPr>
          <w:rtl/>
          <w:lang w:bidi="fa-IR"/>
        </w:rPr>
        <w:t xml:space="preserve"> عِدَّةٌ مِنْ أَصْحَابِنَا ، عَنْ سَهْلِ بْنِ زِيَادٍ ، عَنِ ابْنِ مَحْبُوبٍ ، عَنِ ابْنِ رِئَابٍ ، عَنْ زُرَارَةَ ، قَالَ :</w:t>
      </w:r>
    </w:p>
    <w:p w:rsidR="00992664" w:rsidRPr="00020424" w:rsidRDefault="00992664" w:rsidP="00992664">
      <w:pPr>
        <w:pStyle w:val="libNormal"/>
        <w:rPr>
          <w:rtl/>
          <w:lang w:bidi="fa-IR"/>
        </w:rPr>
      </w:pPr>
      <w:r w:rsidRPr="00020424">
        <w:rPr>
          <w:rtl/>
          <w:lang w:bidi="fa-IR"/>
        </w:rPr>
        <w:t xml:space="preserve">سَأَلْتُ أَبَا جَعْفَرٍ </w:t>
      </w:r>
      <w:r w:rsidRPr="00005A81">
        <w:rPr>
          <w:rStyle w:val="libAlaemChar"/>
          <w:rtl/>
        </w:rPr>
        <w:t>عليه‌السلام</w:t>
      </w:r>
      <w:r w:rsidRPr="00020424">
        <w:rPr>
          <w:rtl/>
          <w:lang w:bidi="fa-IR"/>
        </w:rPr>
        <w:t xml:space="preserve"> عَنِ الْمُعْتَكِفِ يُجَامِعُ أَهْلَهُ</w:t>
      </w:r>
      <w:r>
        <w:rPr>
          <w:rtl/>
          <w:lang w:bidi="fa-IR"/>
        </w:rPr>
        <w:t>؟</w:t>
      </w:r>
    </w:p>
    <w:p w:rsidR="00992664" w:rsidRPr="00020424" w:rsidRDefault="00992664" w:rsidP="00992664">
      <w:pPr>
        <w:pStyle w:val="libNormal"/>
        <w:rPr>
          <w:rtl/>
          <w:lang w:bidi="fa-IR"/>
        </w:rPr>
      </w:pPr>
      <w:r w:rsidRPr="00020424">
        <w:rPr>
          <w:rtl/>
          <w:lang w:bidi="fa-IR"/>
        </w:rPr>
        <w:t>قَالَ : « إِذَا فَعَلَ ، فَعَلَيْهِ مَا عَلَى الْمُظَاهِرِ</w:t>
      </w:r>
      <w:r>
        <w:rPr>
          <w:rtl/>
          <w:lang w:bidi="fa-IR"/>
        </w:rPr>
        <w:t xml:space="preserve"> ».</w:t>
      </w:r>
      <w:r w:rsidRPr="00020424">
        <w:rPr>
          <w:rtl/>
          <w:lang w:bidi="fa-IR"/>
        </w:rPr>
        <w:t xml:space="preserve"> </w:t>
      </w:r>
      <w:r w:rsidRPr="00A91B96">
        <w:rPr>
          <w:rStyle w:val="libFootnotenumChar"/>
          <w:rtl/>
        </w:rPr>
        <w:t>(2)</w:t>
      </w:r>
      <w:r w:rsidRPr="00020424">
        <w:rPr>
          <w:rtl/>
          <w:lang w:bidi="fa-IR"/>
        </w:rPr>
        <w:t xml:space="preserve"> ‌</w:t>
      </w:r>
    </w:p>
    <w:p w:rsidR="00992664" w:rsidRPr="00020424" w:rsidRDefault="00992664" w:rsidP="00992664">
      <w:pPr>
        <w:pStyle w:val="libNormal"/>
        <w:rPr>
          <w:rtl/>
          <w:lang w:bidi="fa-IR"/>
        </w:rPr>
      </w:pPr>
      <w:r w:rsidRPr="00B72DE5">
        <w:rPr>
          <w:rtl/>
        </w:rPr>
        <w:t>6697</w:t>
      </w:r>
      <w:r w:rsidRPr="001155DE">
        <w:rPr>
          <w:rStyle w:val="libBold2Char"/>
          <w:rtl/>
        </w:rPr>
        <w:t xml:space="preserve"> / 2.</w:t>
      </w:r>
      <w:r w:rsidRPr="00020424">
        <w:rPr>
          <w:rtl/>
          <w:lang w:bidi="fa-IR"/>
        </w:rPr>
        <w:t xml:space="preserve"> عِدَّةٌ مِنْ أَصْحَابِنَا ، عَنْ أَحْمَدَ بْنِ مُحَمَّدٍ ، عَنْ عَبْدِ الرَّحْمنِ بْنِ أَبِي نَجْرَانَ ، عَنْ عَبْدِ اللهِ بْنِ الْمُغِيرَةِ ، عَنْ سَمَاعَةَ بْنِ مِهْرَانَ ، قَالَ :</w:t>
      </w:r>
    </w:p>
    <w:p w:rsidR="00992664" w:rsidRPr="00020424" w:rsidRDefault="00992664" w:rsidP="00992664">
      <w:pPr>
        <w:pStyle w:val="libNormal"/>
        <w:rPr>
          <w:rtl/>
          <w:lang w:bidi="fa-IR"/>
        </w:rPr>
      </w:pPr>
      <w:r w:rsidRPr="00020424">
        <w:rPr>
          <w:rtl/>
          <w:lang w:bidi="fa-IR"/>
        </w:rPr>
        <w:t xml:space="preserve">سَأَلْتُ أَبَا عَبْدِ اللهِ </w:t>
      </w:r>
      <w:r w:rsidRPr="00005A81">
        <w:rPr>
          <w:rStyle w:val="libAlaemChar"/>
          <w:rtl/>
        </w:rPr>
        <w:t>عليه‌السلام</w:t>
      </w:r>
      <w:r w:rsidRPr="00020424">
        <w:rPr>
          <w:rtl/>
          <w:lang w:bidi="fa-IR"/>
        </w:rPr>
        <w:t xml:space="preserve"> عَنْ مُعْتَكِفٍ وَاقَعَ أَهْلَهُ</w:t>
      </w:r>
      <w:r>
        <w:rPr>
          <w:rtl/>
          <w:lang w:bidi="fa-IR"/>
        </w:rPr>
        <w:t>؟</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هُوَ بِمَنْزِلَةِ مَنْ أَفْطَرَ يَوْماً مِنْ شَهْرِ رَمَضَانَ</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189 ، ح 2106 ، معلّقاً عن ابن محبوب. وفي </w:t>
      </w:r>
      <w:r w:rsidR="00992664" w:rsidRPr="00DE76B9">
        <w:rPr>
          <w:rStyle w:val="libFootnoteBoldChar"/>
          <w:rtl/>
        </w:rPr>
        <w:t>الجعفريّات</w:t>
      </w:r>
      <w:r w:rsidR="00992664" w:rsidRPr="00020424">
        <w:rPr>
          <w:rtl/>
        </w:rPr>
        <w:t xml:space="preserve"> ، ص 25 ؛ و63 ، بسند آخر عن جعفر بن محمّد ، عن أبيه ، عن عليّ </w:t>
      </w:r>
      <w:r w:rsidR="00992664" w:rsidRPr="00D64ADA">
        <w:rPr>
          <w:rStyle w:val="libFootnoteAlaemChar"/>
          <w:rtl/>
        </w:rPr>
        <w:t>عليهم‌السلام</w:t>
      </w:r>
      <w:r w:rsidR="00992664" w:rsidRPr="00020424">
        <w:rPr>
          <w:rtl/>
        </w:rPr>
        <w:t xml:space="preserve"> ، مع اختلاف يسير </w:t>
      </w:r>
      <w:r w:rsidR="007B7821">
        <w:rPr>
          <w:rFonts w:hint="cs"/>
          <w:rtl/>
        </w:rPr>
        <w:t>.</w:t>
      </w:r>
      <w:r w:rsidR="00992664" w:rsidRPr="0012008A">
        <w:rPr>
          <w:rStyle w:val="libFootnoteBoldChar"/>
          <w:rtl/>
        </w:rPr>
        <w:t>الوافي</w:t>
      </w:r>
      <w:r w:rsidR="00992664" w:rsidRPr="00020424">
        <w:rPr>
          <w:rtl/>
        </w:rPr>
        <w:t xml:space="preserve"> ، ج 11 ، ص 493 ، ح 11193 ؛ </w:t>
      </w:r>
      <w:r w:rsidR="00992664" w:rsidRPr="0012008A">
        <w:rPr>
          <w:rStyle w:val="libFootnoteBoldChar"/>
          <w:rtl/>
        </w:rPr>
        <w:t>الوسائل</w:t>
      </w:r>
      <w:r w:rsidR="00992664" w:rsidRPr="00020424">
        <w:rPr>
          <w:rtl/>
        </w:rPr>
        <w:t xml:space="preserve"> ، ج 10 ، ص 554 ، ذيل ح 14103.</w:t>
      </w:r>
    </w:p>
    <w:p w:rsidR="00992664" w:rsidRPr="00020424" w:rsidRDefault="00795177" w:rsidP="00992664">
      <w:pPr>
        <w:pStyle w:val="libFootnote0"/>
        <w:rPr>
          <w:rtl/>
          <w:lang w:bidi="fa-IR"/>
        </w:rPr>
      </w:pPr>
      <w:r>
        <w:rPr>
          <w:rtl/>
        </w:rPr>
        <w:t>(2).</w:t>
      </w:r>
      <w:r w:rsidR="0014403D">
        <w:rPr>
          <w:rtl/>
        </w:rPr>
        <w:t xml:space="preserve"> </w:t>
      </w:r>
      <w:r w:rsidR="00992664" w:rsidRPr="0012008A">
        <w:rPr>
          <w:rStyle w:val="libFootnoteBoldChar"/>
          <w:rtl/>
        </w:rPr>
        <w:t>الفقيه</w:t>
      </w:r>
      <w:r w:rsidR="00992664" w:rsidRPr="00020424">
        <w:rPr>
          <w:rtl/>
        </w:rPr>
        <w:t xml:space="preserve"> ، ج 2 ، ص 188 ، ح 2120 ، معلّقاً عن الحسن بن محبوب ، عن عليّ بن رئاب. وفي </w:t>
      </w:r>
      <w:r w:rsidR="00992664" w:rsidRPr="0012008A">
        <w:rPr>
          <w:rStyle w:val="libFootnoteBoldChar"/>
          <w:rtl/>
        </w:rPr>
        <w:t>التهذيب</w:t>
      </w:r>
      <w:r w:rsidR="00992664" w:rsidRPr="00020424">
        <w:rPr>
          <w:rtl/>
        </w:rPr>
        <w:t xml:space="preserve"> ، ج 4 ، ص 291 ، ح 887 ؛ </w:t>
      </w:r>
      <w:r w:rsidR="00992664" w:rsidRPr="00FD6221">
        <w:rPr>
          <w:rStyle w:val="libFootnoteBoldChar"/>
          <w:rtl/>
        </w:rPr>
        <w:t>والاستبصار</w:t>
      </w:r>
      <w:r w:rsidR="00992664" w:rsidRPr="00020424">
        <w:rPr>
          <w:rtl/>
        </w:rPr>
        <w:t xml:space="preserve"> ، ج 2 ، ص 130 ، ح 424 ، بسندهما عن الحسن بن محبوب ، عن عليّ بن رئاب. </w:t>
      </w:r>
      <w:r w:rsidR="00992664" w:rsidRPr="00DE76B9">
        <w:rPr>
          <w:rStyle w:val="libFootnoteBoldChar"/>
          <w:rtl/>
        </w:rPr>
        <w:t>الجعفريّات</w:t>
      </w:r>
      <w:r w:rsidR="00992664" w:rsidRPr="00020424">
        <w:rPr>
          <w:rtl/>
        </w:rPr>
        <w:t xml:space="preserve"> ، ص 59 ، بسند آخر عن جعفر بن محمّد ، عن أبيه ، عن عليّ </w:t>
      </w:r>
      <w:r w:rsidR="00992664" w:rsidRPr="00D64ADA">
        <w:rPr>
          <w:rStyle w:val="libFootnoteAlaemChar"/>
          <w:rtl/>
        </w:rPr>
        <w:t>عليهم‌السلام</w:t>
      </w:r>
      <w:r w:rsidR="00992664" w:rsidRPr="00020424">
        <w:rPr>
          <w:rtl/>
        </w:rPr>
        <w:t xml:space="preserve"> ، مع اختلاف يسير. وراجع : </w:t>
      </w:r>
      <w:r w:rsidR="00992664" w:rsidRPr="00DE76B9">
        <w:rPr>
          <w:rStyle w:val="libFootnoteBoldChar"/>
          <w:rtl/>
        </w:rPr>
        <w:t>الكافي</w:t>
      </w:r>
      <w:r w:rsidR="00992664" w:rsidRPr="00020424">
        <w:rPr>
          <w:rtl/>
        </w:rPr>
        <w:t xml:space="preserve"> ، كتاب الصيام ، باب أقلّ ما يكون الاعتكاف ، ح 6686 ومصادره </w:t>
      </w:r>
      <w:r w:rsidR="007B7821">
        <w:rPr>
          <w:rFonts w:hint="cs"/>
          <w:rtl/>
        </w:rPr>
        <w:t>.</w:t>
      </w:r>
      <w:r w:rsidR="00992664" w:rsidRPr="0012008A">
        <w:rPr>
          <w:rStyle w:val="libFootnoteBoldChar"/>
          <w:rtl/>
        </w:rPr>
        <w:t>الوافي</w:t>
      </w:r>
      <w:r w:rsidR="00992664" w:rsidRPr="00020424">
        <w:rPr>
          <w:rtl/>
        </w:rPr>
        <w:t xml:space="preserve"> ، ج 11 ، ص 494 ، ح 11195 ؛ </w:t>
      </w:r>
      <w:r w:rsidR="00992664" w:rsidRPr="0012008A">
        <w:rPr>
          <w:rStyle w:val="libFootnoteBoldChar"/>
          <w:rtl/>
        </w:rPr>
        <w:t>الوسائل</w:t>
      </w:r>
      <w:r w:rsidR="00992664" w:rsidRPr="00020424">
        <w:rPr>
          <w:rtl/>
        </w:rPr>
        <w:t xml:space="preserve"> ، ج 10 ، ص 546 ، ذيل ح 14083.</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w:t>
      </w:r>
      <w:r w:rsidR="00992664" w:rsidRPr="00515444">
        <w:rPr>
          <w:rStyle w:val="libFootnoteBoldChar"/>
          <w:rtl/>
        </w:rPr>
        <w:t>والتهذيب</w:t>
      </w:r>
      <w:r w:rsidR="00992664" w:rsidRPr="00020424">
        <w:rPr>
          <w:rtl/>
        </w:rPr>
        <w:t xml:space="preserve"> ، ح 886 </w:t>
      </w:r>
      <w:r w:rsidR="00992664" w:rsidRPr="00FD6221">
        <w:rPr>
          <w:rStyle w:val="libFootnoteBoldChar"/>
          <w:rtl/>
        </w:rPr>
        <w:t>والاستبصار</w:t>
      </w:r>
      <w:r w:rsidR="00992664" w:rsidRPr="00020424">
        <w:rPr>
          <w:rtl/>
        </w:rPr>
        <w:t xml:space="preserve"> ، ح 423 : « فقال</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التهذيب</w:t>
      </w:r>
      <w:r w:rsidR="00992664" w:rsidRPr="00020424">
        <w:rPr>
          <w:rtl/>
        </w:rPr>
        <w:t xml:space="preserve"> ، ج 4 ، ص 291 ، ح 886 ؛ </w:t>
      </w:r>
      <w:r w:rsidR="00992664" w:rsidRPr="00FD6221">
        <w:rPr>
          <w:rStyle w:val="libFootnoteBoldChar"/>
          <w:rtl/>
        </w:rPr>
        <w:t>والاستبصار</w:t>
      </w:r>
      <w:r w:rsidR="00992664" w:rsidRPr="00020424">
        <w:rPr>
          <w:rtl/>
        </w:rPr>
        <w:t xml:space="preserve"> ، ج 2 ، ص 130 ، ح 423 ، معلّقاً عن الكليني. </w:t>
      </w:r>
      <w:r w:rsidR="00992664" w:rsidRPr="0012008A">
        <w:rPr>
          <w:rStyle w:val="libFootnoteBoldChar"/>
          <w:rtl/>
        </w:rPr>
        <w:t>الفقيه</w:t>
      </w:r>
      <w:r w:rsidR="00992664" w:rsidRPr="00020424">
        <w:rPr>
          <w:rtl/>
        </w:rPr>
        <w:t xml:space="preserve"> ، ج 2 ، ص 189 ، ح 2104 ، معلّقاً عن ابن المغيرة ، عن سماعة ، عن أبي عبدالله </w:t>
      </w:r>
      <w:r w:rsidR="00992664" w:rsidRPr="00D64ADA">
        <w:rPr>
          <w:rStyle w:val="libFootnoteAlaemChar"/>
          <w:rtl/>
        </w:rPr>
        <w:t>عليه‌السلام</w:t>
      </w:r>
      <w:r w:rsidR="00992664" w:rsidRPr="00020424">
        <w:rPr>
          <w:rtl/>
        </w:rPr>
        <w:t xml:space="preserve">. وفي </w:t>
      </w:r>
      <w:r w:rsidR="00992664" w:rsidRPr="0012008A">
        <w:rPr>
          <w:rStyle w:val="libFootnoteBoldChar"/>
          <w:rtl/>
        </w:rPr>
        <w:t>التهذيب</w:t>
      </w:r>
      <w:r w:rsidR="00992664" w:rsidRPr="00020424">
        <w:rPr>
          <w:rtl/>
        </w:rPr>
        <w:t xml:space="preserve"> ، ج 4 ، ص 292 ، ح 888 ؛ </w:t>
      </w:r>
      <w:r w:rsidR="00992664" w:rsidRPr="00FD6221">
        <w:rPr>
          <w:rStyle w:val="libFootnoteBoldChar"/>
          <w:rtl/>
        </w:rPr>
        <w:t>والاستبصار</w:t>
      </w:r>
      <w:r w:rsidR="00992664" w:rsidRPr="00020424">
        <w:rPr>
          <w:rtl/>
        </w:rPr>
        <w:t xml:space="preserve"> ، ج 2 ، ص 130 ، ح 425 ، بسندهما عن عبدالرحمن بن أبي نجران ، عن صفوان بن يحيى ، عن سماعة بن مهران </w:t>
      </w:r>
      <w:r w:rsidR="007B7821">
        <w:rPr>
          <w:rFonts w:hint="cs"/>
          <w:rtl/>
        </w:rPr>
        <w:t>.</w:t>
      </w:r>
      <w:r w:rsidR="00992664" w:rsidRPr="0012008A">
        <w:rPr>
          <w:rStyle w:val="libFootnoteBoldChar"/>
          <w:rtl/>
        </w:rPr>
        <w:t>الوافي</w:t>
      </w:r>
      <w:r w:rsidR="00992664" w:rsidRPr="00020424">
        <w:rPr>
          <w:rtl/>
        </w:rPr>
        <w:t xml:space="preserve"> ، ج 11 ، ص 494 ، ح 11196 ؛ </w:t>
      </w:r>
      <w:r w:rsidR="00992664" w:rsidRPr="0012008A">
        <w:rPr>
          <w:rStyle w:val="libFootnoteBoldChar"/>
          <w:rtl/>
        </w:rPr>
        <w:t>الوسائل</w:t>
      </w:r>
      <w:r w:rsidR="00992664" w:rsidRPr="00020424">
        <w:rPr>
          <w:rtl/>
        </w:rPr>
        <w:t xml:space="preserve"> ، ج 10 ، ص 547 ، ذيل ح 14084.</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B72DE5">
        <w:rPr>
          <w:rtl/>
        </w:rPr>
        <w:t>6698</w:t>
      </w:r>
      <w:r w:rsidRPr="001155DE">
        <w:rPr>
          <w:rStyle w:val="libBold2Char"/>
          <w:rtl/>
        </w:rPr>
        <w:t xml:space="preserve"> / 3.</w:t>
      </w:r>
      <w:r w:rsidRPr="00020424">
        <w:rPr>
          <w:rtl/>
          <w:lang w:bidi="fa-IR"/>
        </w:rPr>
        <w:t xml:space="preserve"> مُحَمَّدُ بْنُ يَحْيى ، عَنْ أَحْمَدَ بْنِ مُحَمَّدٍ ، عَنِ ابْنِ فَضَّالٍ ، عَنِ الْحَسَنِ بْنِ الْجَهْمِ :</w:t>
      </w:r>
    </w:p>
    <w:p w:rsidR="00992664" w:rsidRPr="00020424" w:rsidRDefault="00992664" w:rsidP="00992664">
      <w:pPr>
        <w:pStyle w:val="libNormal"/>
        <w:rPr>
          <w:rtl/>
          <w:lang w:bidi="fa-IR"/>
        </w:rPr>
      </w:pPr>
      <w:r w:rsidRPr="00020424">
        <w:rPr>
          <w:rtl/>
          <w:lang w:bidi="fa-IR"/>
        </w:rPr>
        <w:t xml:space="preserve">عَنْ أَبِي الْحَسَنِ </w:t>
      </w:r>
      <w:r w:rsidRPr="00005A81">
        <w:rPr>
          <w:rStyle w:val="libAlaemChar"/>
          <w:rtl/>
        </w:rPr>
        <w:t>عليه‌السلام</w:t>
      </w:r>
      <w:r w:rsidRPr="00020424">
        <w:rPr>
          <w:rtl/>
          <w:lang w:bidi="fa-IR"/>
        </w:rPr>
        <w:t xml:space="preserve"> ، قَالَ : سَأَلْتُهُ عَنِ الْمُعْتَكِفِ يَأْتِي أَهْلَهُ</w:t>
      </w:r>
      <w:r>
        <w:rPr>
          <w:rtl/>
          <w:lang w:bidi="fa-IR"/>
        </w:rPr>
        <w:t>؟</w:t>
      </w:r>
    </w:p>
    <w:p w:rsidR="00992664" w:rsidRPr="00020424" w:rsidRDefault="00992664" w:rsidP="00992664">
      <w:pPr>
        <w:pStyle w:val="libNormal"/>
        <w:rPr>
          <w:rtl/>
          <w:lang w:bidi="fa-IR"/>
        </w:rPr>
      </w:pPr>
      <w:r w:rsidRPr="00020424">
        <w:rPr>
          <w:rtl/>
          <w:lang w:bidi="fa-IR"/>
        </w:rPr>
        <w:t>فَقَالَ : « لَا يَأْتِي امْرَأَتَهُ لَيْلاً وَلَانَهَاراً وَهُوَ مُعْتَكِفٌ</w:t>
      </w:r>
      <w:r>
        <w:rPr>
          <w:rtl/>
          <w:lang w:bidi="fa-IR"/>
        </w:rPr>
        <w:t xml:space="preserve"> ».</w:t>
      </w:r>
      <w:r w:rsidRPr="00020424">
        <w:rPr>
          <w:rtl/>
          <w:lang w:bidi="fa-IR"/>
        </w:rPr>
        <w:t xml:space="preserve"> </w:t>
      </w:r>
      <w:r w:rsidRPr="00A91B96">
        <w:rPr>
          <w:rStyle w:val="libFootnotenumChar"/>
          <w:rtl/>
        </w:rPr>
        <w:t>(1)</w:t>
      </w:r>
      <w:r w:rsidRPr="00020424">
        <w:rPr>
          <w:rtl/>
          <w:lang w:bidi="fa-IR"/>
        </w:rPr>
        <w:t xml:space="preserve"> ‌</w:t>
      </w:r>
    </w:p>
    <w:p w:rsidR="00992664" w:rsidRPr="00020424" w:rsidRDefault="00992664" w:rsidP="00992664">
      <w:pPr>
        <w:pStyle w:val="Heading2Center"/>
        <w:rPr>
          <w:rtl/>
          <w:lang w:bidi="fa-IR"/>
        </w:rPr>
      </w:pPr>
      <w:bookmarkStart w:id="556" w:name="_Toc345172902"/>
      <w:bookmarkStart w:id="557" w:name="_Toc464562716"/>
      <w:bookmarkStart w:id="558" w:name="_Toc44600023"/>
      <w:r w:rsidRPr="00020424">
        <w:rPr>
          <w:rtl/>
          <w:lang w:bidi="fa-IR"/>
        </w:rPr>
        <w:t>83</w:t>
      </w:r>
      <w:r>
        <w:rPr>
          <w:rtl/>
          <w:lang w:bidi="fa-IR"/>
        </w:rPr>
        <w:t xml:space="preserve"> </w:t>
      </w:r>
      <w:r w:rsidR="009B673F">
        <w:rPr>
          <w:rtl/>
          <w:lang w:bidi="fa-IR"/>
        </w:rPr>
        <w:t>-</w:t>
      </w:r>
      <w:r>
        <w:rPr>
          <w:rtl/>
          <w:lang w:bidi="fa-IR"/>
        </w:rPr>
        <w:t xml:space="preserve"> </w:t>
      </w:r>
      <w:r w:rsidRPr="00020424">
        <w:rPr>
          <w:rtl/>
          <w:lang w:bidi="fa-IR"/>
        </w:rPr>
        <w:t>بَابُ النَّوَادِرِ‌</w:t>
      </w:r>
      <w:bookmarkEnd w:id="556"/>
      <w:bookmarkEnd w:id="557"/>
      <w:bookmarkEnd w:id="558"/>
    </w:p>
    <w:p w:rsidR="00992664" w:rsidRPr="00020424" w:rsidRDefault="00992664" w:rsidP="00992664">
      <w:pPr>
        <w:pStyle w:val="libNormal"/>
        <w:rPr>
          <w:rtl/>
          <w:lang w:bidi="fa-IR"/>
        </w:rPr>
      </w:pPr>
      <w:r w:rsidRPr="00B72DE5">
        <w:rPr>
          <w:rtl/>
        </w:rPr>
        <w:t>6699</w:t>
      </w:r>
      <w:r w:rsidRPr="001155DE">
        <w:rPr>
          <w:rStyle w:val="libBold2Char"/>
          <w:rtl/>
        </w:rPr>
        <w:t xml:space="preserve"> / 1.</w:t>
      </w:r>
      <w:r w:rsidRPr="00020424">
        <w:rPr>
          <w:rtl/>
          <w:lang w:bidi="fa-IR"/>
        </w:rPr>
        <w:t xml:space="preserve"> أَحْمَدُ بْنُ إِدْرِيسَ ، عَنِ الْحَسَنِ بْنِ عَلِيٍّ الْكُوفِيِّ </w:t>
      </w:r>
      <w:r w:rsidRPr="00A91B96">
        <w:rPr>
          <w:rStyle w:val="libFootnotenumChar"/>
          <w:rtl/>
        </w:rPr>
        <w:t>(2)</w:t>
      </w:r>
      <w:r w:rsidRPr="00020424">
        <w:rPr>
          <w:rtl/>
          <w:lang w:bidi="fa-IR"/>
        </w:rPr>
        <w:t xml:space="preserve"> ، عَنْ عُبَيْسِ بْنِ هِشَامٍ ، عَنْ أَبَانِ بْنِ عُثْمَانَ ، عَنْ عَبْدِ الرَّحْمنِ بْنِ أَبِي عَبْدِ اللهِ :</w:t>
      </w:r>
    </w:p>
    <w:p w:rsidR="00992664" w:rsidRPr="00020424" w:rsidRDefault="00992664" w:rsidP="00992664">
      <w:pPr>
        <w:pStyle w:val="libNormal"/>
        <w:rPr>
          <w:rtl/>
          <w:lang w:bidi="fa-IR"/>
        </w:rPr>
      </w:pPr>
      <w:r w:rsidRPr="00020424">
        <w:rPr>
          <w:rtl/>
          <w:lang w:bidi="fa-IR"/>
        </w:rPr>
        <w:t xml:space="preserve">عَنْ أَبِي عَبْدِ اللهِ </w:t>
      </w:r>
      <w:r w:rsidRPr="00A91B96">
        <w:rPr>
          <w:rStyle w:val="libFootnotenumChar"/>
          <w:rtl/>
        </w:rPr>
        <w:t>(3)</w:t>
      </w:r>
      <w:r w:rsidRPr="00020424">
        <w:rPr>
          <w:rtl/>
          <w:lang w:bidi="fa-IR"/>
        </w:rPr>
        <w:t xml:space="preserve"> </w:t>
      </w:r>
      <w:r w:rsidRPr="00005A81">
        <w:rPr>
          <w:rStyle w:val="libAlaemChar"/>
          <w:rtl/>
        </w:rPr>
        <w:t>عليه‌السلام</w:t>
      </w:r>
      <w:r w:rsidRPr="00020424">
        <w:rPr>
          <w:rtl/>
          <w:lang w:bidi="fa-IR"/>
        </w:rPr>
        <w:t xml:space="preserve"> ، قَالَ : قُلْتُ لَهُ : رَجُلٌ أَسَرَتْهُ الرُّومُ ، وَلَمْ يَصُمْ </w:t>
      </w:r>
      <w:r w:rsidRPr="00A91B96">
        <w:rPr>
          <w:rStyle w:val="libFootnotenumChar"/>
          <w:rtl/>
        </w:rPr>
        <w:t>(4)</w:t>
      </w:r>
      <w:r w:rsidRPr="00020424">
        <w:rPr>
          <w:rtl/>
          <w:lang w:bidi="fa-IR"/>
        </w:rPr>
        <w:t xml:space="preserve"> شَهْرَ رَمَضَانَ ، وَلَمْ يَدْرِ أَيُّ شَهْرٍ هُوَ</w:t>
      </w:r>
      <w:r>
        <w:rPr>
          <w:rtl/>
          <w:lang w:bidi="fa-IR"/>
        </w:rPr>
        <w:t>؟</w:t>
      </w:r>
    </w:p>
    <w:p w:rsidR="00992664" w:rsidRPr="00020424" w:rsidRDefault="00992664" w:rsidP="00992664">
      <w:pPr>
        <w:pStyle w:val="libNormal"/>
        <w:rPr>
          <w:rtl/>
          <w:lang w:bidi="fa-IR"/>
        </w:rPr>
      </w:pPr>
      <w:r w:rsidRPr="00020424">
        <w:rPr>
          <w:rtl/>
          <w:lang w:bidi="fa-IR"/>
        </w:rPr>
        <w:t xml:space="preserve">قَالَ : « يَصُومُ شَهْراً </w:t>
      </w:r>
      <w:r w:rsidRPr="00A91B96">
        <w:rPr>
          <w:rStyle w:val="libFootnotenumChar"/>
          <w:rtl/>
        </w:rPr>
        <w:t>(5)</w:t>
      </w:r>
      <w:r w:rsidRPr="00020424">
        <w:rPr>
          <w:rtl/>
          <w:lang w:bidi="fa-IR"/>
        </w:rPr>
        <w:t xml:space="preserve"> ، يَتَوَخَّاهُ </w:t>
      </w:r>
      <w:r w:rsidRPr="00A91B96">
        <w:rPr>
          <w:rStyle w:val="libFootnotenumChar"/>
          <w:rtl/>
        </w:rPr>
        <w:t>(6)</w:t>
      </w:r>
      <w:r w:rsidRPr="00020424">
        <w:rPr>
          <w:rtl/>
          <w:lang w:bidi="fa-IR"/>
        </w:rPr>
        <w:t xml:space="preserve"> وَيَحْسُبُ ، فَإِنْ كَانَ الشَّهْرُ الَّذِي‌</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12008A">
        <w:rPr>
          <w:rStyle w:val="libFootnoteBoldChar"/>
          <w:rtl/>
        </w:rPr>
        <w:t>الفقيه</w:t>
      </w:r>
      <w:r w:rsidR="00992664" w:rsidRPr="00020424">
        <w:rPr>
          <w:rtl/>
        </w:rPr>
        <w:t xml:space="preserve"> ، ج 2 ، ص 189 ، ح 2107 ، معلّقاً عن الحسن بن الجهم </w:t>
      </w:r>
      <w:r w:rsidR="00784880">
        <w:rPr>
          <w:rFonts w:hint="cs"/>
          <w:rtl/>
        </w:rPr>
        <w:t>.</w:t>
      </w:r>
      <w:r w:rsidR="00992664" w:rsidRPr="0012008A">
        <w:rPr>
          <w:rStyle w:val="libFootnoteBoldChar"/>
          <w:rtl/>
        </w:rPr>
        <w:t>الوافي</w:t>
      </w:r>
      <w:r w:rsidR="00992664" w:rsidRPr="00020424">
        <w:rPr>
          <w:rtl/>
        </w:rPr>
        <w:t xml:space="preserve"> ، ج 11 ، ص 495 ، ح 11198 ؛ </w:t>
      </w:r>
      <w:r w:rsidR="00992664" w:rsidRPr="0012008A">
        <w:rPr>
          <w:rStyle w:val="libFootnoteBoldChar"/>
          <w:rtl/>
        </w:rPr>
        <w:t>الوسائل</w:t>
      </w:r>
      <w:r w:rsidR="00992664" w:rsidRPr="00020424">
        <w:rPr>
          <w:rtl/>
        </w:rPr>
        <w:t xml:space="preserve"> ، ج 10 ، ص 545 ، ح 14081.</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ورد الخبر في </w:t>
      </w:r>
      <w:r w:rsidR="00992664" w:rsidRPr="0012008A">
        <w:rPr>
          <w:rStyle w:val="libFootnoteBoldChar"/>
          <w:rtl/>
        </w:rPr>
        <w:t>التهذيب</w:t>
      </w:r>
      <w:r w:rsidR="00992664" w:rsidRPr="00020424">
        <w:rPr>
          <w:rtl/>
        </w:rPr>
        <w:t xml:space="preserve"> ، ج 4 ، ص 310 ، ح 935 ، عن سعد بن عبدالله ، عن الحسن بن عليّ ، عن عبدالله بن‌المغيرة ، عن عبيس بن هشام. والمذكور في بعض نسخه المعتبرة : « الحسن بن عليّ بن عبدالله بن المغيرة</w:t>
      </w:r>
      <w:r w:rsidR="00992664">
        <w:rPr>
          <w:rtl/>
        </w:rPr>
        <w:t xml:space="preserve"> ».</w:t>
      </w:r>
      <w:r w:rsidR="00992664" w:rsidRPr="00020424">
        <w:rPr>
          <w:rtl/>
        </w:rPr>
        <w:t xml:space="preserve"> وهو الصواب.</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هكذا في « غ ، جش » وحاشية « ظ</w:t>
      </w:r>
      <w:r w:rsidR="00992664">
        <w:rPr>
          <w:rtl/>
        </w:rPr>
        <w:t xml:space="preserve"> ».</w:t>
      </w:r>
      <w:r w:rsidR="00992664" w:rsidRPr="00020424">
        <w:rPr>
          <w:rtl/>
        </w:rPr>
        <w:t xml:space="preserve"> وفي « ظ ، ى ، بث ، بح ، بخ ، بر ، بس ، بف ، جر ، جن » والمطبوع :</w:t>
      </w:r>
      <w:r w:rsidR="00992664">
        <w:rPr>
          <w:rtl/>
        </w:rPr>
        <w:t xml:space="preserve"> </w:t>
      </w:r>
      <w:r w:rsidR="009B673F">
        <w:rPr>
          <w:rtl/>
        </w:rPr>
        <w:t>-</w:t>
      </w:r>
      <w:r w:rsidR="00992664">
        <w:rPr>
          <w:rtl/>
        </w:rPr>
        <w:t xml:space="preserve"> </w:t>
      </w:r>
      <w:r w:rsidR="00992664" w:rsidRPr="00020424">
        <w:rPr>
          <w:rtl/>
        </w:rPr>
        <w:t>« عن‌أبي عبد الله</w:t>
      </w:r>
      <w:r w:rsidR="00992664">
        <w:rPr>
          <w:rtl/>
        </w:rPr>
        <w:t xml:space="preserve"> ».</w:t>
      </w:r>
    </w:p>
    <w:p w:rsidR="00992664" w:rsidRPr="00020424" w:rsidRDefault="00992664" w:rsidP="00784880">
      <w:pPr>
        <w:pStyle w:val="libFootnote0"/>
        <w:rPr>
          <w:rtl/>
          <w:lang w:bidi="fa-IR"/>
        </w:rPr>
      </w:pPr>
      <w:r w:rsidRPr="00D82B22">
        <w:rPr>
          <w:rtl/>
        </w:rPr>
        <w:t>وموجب السقط في النسخ ، هو جواز النظر من « أبي عبد الله » الأوّل إلى « أبي عبد الله » الثاني ، كما لا يخفى.</w:t>
      </w:r>
    </w:p>
    <w:p w:rsidR="00992664" w:rsidRPr="00020424" w:rsidRDefault="00992664" w:rsidP="00784880">
      <w:pPr>
        <w:pStyle w:val="libFootnote0"/>
        <w:rPr>
          <w:rtl/>
          <w:lang w:bidi="fa-IR"/>
        </w:rPr>
      </w:pPr>
      <w:r w:rsidRPr="00784880">
        <w:rPr>
          <w:rtl/>
        </w:rPr>
        <w:t xml:space="preserve">ويؤيّد ذلك ورود الخبر في </w:t>
      </w:r>
      <w:r w:rsidRPr="0012008A">
        <w:rPr>
          <w:rStyle w:val="libFootnoteBoldChar"/>
          <w:rtl/>
        </w:rPr>
        <w:t>الفقيه</w:t>
      </w:r>
      <w:r w:rsidRPr="00784880">
        <w:rPr>
          <w:rtl/>
        </w:rPr>
        <w:t xml:space="preserve"> ، ج 2 ، ح 1920 ؛ </w:t>
      </w:r>
      <w:r w:rsidRPr="00515444">
        <w:rPr>
          <w:rStyle w:val="libFootnoteBoldChar"/>
          <w:rtl/>
        </w:rPr>
        <w:t>والتهذيب</w:t>
      </w:r>
      <w:r w:rsidRPr="00784880">
        <w:rPr>
          <w:rtl/>
        </w:rPr>
        <w:t xml:space="preserve"> ، ج 4 ، ح 935 ، عن أبان بن عثمان ، عن عبدالرحمن بن أبي عبدالله ، عن أبي عبدالله </w:t>
      </w:r>
      <w:r w:rsidRPr="00D64ADA">
        <w:rPr>
          <w:rStyle w:val="libFootnoteAlaemChar"/>
          <w:rtl/>
        </w:rPr>
        <w:t>عليه‌السلام</w:t>
      </w:r>
      <w:r w:rsidRPr="00784880">
        <w:rPr>
          <w:rtl/>
        </w:rPr>
        <w:t>.</w:t>
      </w:r>
    </w:p>
    <w:tbl>
      <w:tblPr>
        <w:tblStyle w:val="TableGrid"/>
        <w:bidiVisual/>
        <w:tblW w:w="0" w:type="auto"/>
        <w:tblLook w:val="04A0" w:firstRow="1" w:lastRow="0" w:firstColumn="1" w:lastColumn="0" w:noHBand="0" w:noVBand="1"/>
      </w:tblPr>
      <w:tblGrid>
        <w:gridCol w:w="4006"/>
        <w:gridCol w:w="4006"/>
      </w:tblGrid>
      <w:tr w:rsidR="00784880" w:rsidTr="00784880">
        <w:tc>
          <w:tcPr>
            <w:tcW w:w="4006" w:type="dxa"/>
          </w:tcPr>
          <w:p w:rsidR="00784880" w:rsidRDefault="00784880" w:rsidP="00992664">
            <w:pPr>
              <w:pStyle w:val="libFootnote0"/>
              <w:rPr>
                <w:rtl/>
              </w:rPr>
            </w:pPr>
            <w:r>
              <w:rPr>
                <w:rtl/>
              </w:rPr>
              <w:t xml:space="preserve">(4). </w:t>
            </w:r>
            <w:r w:rsidRPr="00020424">
              <w:rPr>
                <w:rtl/>
              </w:rPr>
              <w:t xml:space="preserve">في </w:t>
            </w:r>
            <w:r w:rsidRPr="0012008A">
              <w:rPr>
                <w:rStyle w:val="libFootnoteBoldChar"/>
                <w:rtl/>
              </w:rPr>
              <w:t>الفقيه</w:t>
            </w:r>
            <w:r w:rsidRPr="00020424">
              <w:rPr>
                <w:rtl/>
              </w:rPr>
              <w:t xml:space="preserve"> : « لم يصحّ له » بدل « لم يصم</w:t>
            </w:r>
            <w:r>
              <w:rPr>
                <w:rtl/>
              </w:rPr>
              <w:t xml:space="preserve"> ».</w:t>
            </w:r>
          </w:p>
        </w:tc>
        <w:tc>
          <w:tcPr>
            <w:tcW w:w="4006" w:type="dxa"/>
          </w:tcPr>
          <w:p w:rsidR="00784880" w:rsidRDefault="00784880" w:rsidP="00992664">
            <w:pPr>
              <w:pStyle w:val="libFootnote0"/>
              <w:rPr>
                <w:rtl/>
              </w:rPr>
            </w:pPr>
            <w:r>
              <w:rPr>
                <w:rtl/>
              </w:rPr>
              <w:t xml:space="preserve">(5). </w:t>
            </w:r>
            <w:r w:rsidRPr="00020424">
              <w:rPr>
                <w:rtl/>
              </w:rPr>
              <w:t>في « بر » :</w:t>
            </w:r>
            <w:r>
              <w:rPr>
                <w:rtl/>
              </w:rPr>
              <w:t xml:space="preserve"> - </w:t>
            </w:r>
            <w:r w:rsidRPr="00020424">
              <w:rPr>
                <w:rtl/>
              </w:rPr>
              <w:t>« شهراً</w:t>
            </w:r>
            <w:r>
              <w:rPr>
                <w:rtl/>
              </w:rPr>
              <w:t xml:space="preserve"> ».</w:t>
            </w:r>
          </w:p>
        </w:tc>
      </w:tr>
    </w:tbl>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وفي المطبوع : « [ و ] يتوخّاه</w:t>
      </w:r>
      <w:r w:rsidR="00992664">
        <w:rPr>
          <w:rtl/>
        </w:rPr>
        <w:t xml:space="preserve"> ».</w:t>
      </w:r>
      <w:r w:rsidR="00992664" w:rsidRPr="00020424">
        <w:rPr>
          <w:rtl/>
        </w:rPr>
        <w:t xml:space="preserve"> والتوخّي : التحرّي</w:t>
      </w:r>
      <w:r w:rsidR="00992664">
        <w:rPr>
          <w:rtl/>
        </w:rPr>
        <w:t xml:space="preserve"> </w:t>
      </w:r>
      <w:r w:rsidR="009B673F">
        <w:rPr>
          <w:rtl/>
        </w:rPr>
        <w:t>-</w:t>
      </w:r>
      <w:r w:rsidR="00992664">
        <w:rPr>
          <w:rtl/>
        </w:rPr>
        <w:t xml:space="preserve"> </w:t>
      </w:r>
      <w:r w:rsidR="00992664" w:rsidRPr="00020424">
        <w:rPr>
          <w:rtl/>
        </w:rPr>
        <w:t>وهو طلب ما أحرى بالاستعمال في غالب الظنّ ، أو طلب أحرى الأمرين ، أي أولاهما</w:t>
      </w:r>
      <w:r w:rsidR="00992664">
        <w:rPr>
          <w:rtl/>
        </w:rPr>
        <w:t xml:space="preserve"> </w:t>
      </w:r>
      <w:r w:rsidR="009B673F">
        <w:rPr>
          <w:rtl/>
        </w:rPr>
        <w:t>-</w:t>
      </w:r>
      <w:r w:rsidR="00992664">
        <w:rPr>
          <w:rtl/>
        </w:rPr>
        <w:t xml:space="preserve"> </w:t>
      </w:r>
      <w:r w:rsidR="00992664" w:rsidRPr="00020424">
        <w:rPr>
          <w:rtl/>
        </w:rPr>
        <w:t xml:space="preserve">والقصد والتعمّد. يقال : توخّيت </w:t>
      </w:r>
      <w:r w:rsidR="00461DFA">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6D17A9">
      <w:pPr>
        <w:pStyle w:val="libNormal0"/>
        <w:rPr>
          <w:rtl/>
          <w:lang w:bidi="fa-IR"/>
        </w:rPr>
      </w:pPr>
      <w:r w:rsidRPr="00020424">
        <w:rPr>
          <w:rtl/>
          <w:lang w:bidi="fa-IR"/>
        </w:rPr>
        <w:t xml:space="preserve">صَامَهُ </w:t>
      </w:r>
      <w:r w:rsidRPr="00A91B96">
        <w:rPr>
          <w:rStyle w:val="libFootnotenumChar"/>
          <w:rtl/>
        </w:rPr>
        <w:t>(1)</w:t>
      </w:r>
      <w:r w:rsidRPr="00020424">
        <w:rPr>
          <w:rtl/>
          <w:lang w:bidi="fa-IR"/>
        </w:rPr>
        <w:t xml:space="preserve"> قَبْلَ شَهْرِ </w:t>
      </w:r>
      <w:r w:rsidRPr="00A91B96">
        <w:rPr>
          <w:rStyle w:val="libFootnotenumChar"/>
          <w:rtl/>
        </w:rPr>
        <w:t>(2)</w:t>
      </w:r>
      <w:r w:rsidRPr="00020424">
        <w:rPr>
          <w:rtl/>
          <w:lang w:bidi="fa-IR"/>
        </w:rPr>
        <w:t xml:space="preserve"> رَمَضَانَ ، لَمْ يُجْزِهِ </w:t>
      </w:r>
      <w:r w:rsidRPr="00A91B96">
        <w:rPr>
          <w:rStyle w:val="libFootnotenumChar"/>
          <w:rtl/>
        </w:rPr>
        <w:t>(3)</w:t>
      </w:r>
      <w:r w:rsidRPr="00020424">
        <w:rPr>
          <w:rtl/>
          <w:lang w:bidi="fa-IR"/>
        </w:rPr>
        <w:t xml:space="preserve"> ، وَإِنْ كَانَ بَعْدَ رَمَضَانَ ، أَجْزَأَهُ </w:t>
      </w:r>
      <w:r w:rsidRPr="00A91B96">
        <w:rPr>
          <w:rStyle w:val="libFootnotenumChar"/>
          <w:rtl/>
        </w:rPr>
        <w:t>(4)</w:t>
      </w:r>
      <w:r>
        <w:rPr>
          <w:rtl/>
          <w:lang w:bidi="fa-IR"/>
        </w:rPr>
        <w:t xml:space="preserve"> ».</w:t>
      </w:r>
      <w:r w:rsidRPr="00020424">
        <w:rPr>
          <w:rtl/>
          <w:lang w:bidi="fa-IR"/>
        </w:rPr>
        <w:t xml:space="preserve"> </w:t>
      </w:r>
      <w:r w:rsidRPr="00A91B96">
        <w:rPr>
          <w:rStyle w:val="libFootnotenumChar"/>
          <w:rtl/>
        </w:rPr>
        <w:t>(5)</w:t>
      </w:r>
      <w:r w:rsidRPr="00020424">
        <w:rPr>
          <w:rtl/>
          <w:lang w:bidi="fa-IR"/>
        </w:rPr>
        <w:t xml:space="preserve"> ‌</w:t>
      </w:r>
    </w:p>
    <w:p w:rsidR="00992664" w:rsidRPr="00020424" w:rsidRDefault="00992664" w:rsidP="00992664">
      <w:pPr>
        <w:pStyle w:val="libNormal"/>
        <w:rPr>
          <w:rtl/>
          <w:lang w:bidi="fa-IR"/>
        </w:rPr>
      </w:pPr>
      <w:r w:rsidRPr="00B72DE5">
        <w:rPr>
          <w:rtl/>
        </w:rPr>
        <w:t>6700</w:t>
      </w:r>
      <w:r w:rsidRPr="001155DE">
        <w:rPr>
          <w:rStyle w:val="libBold2Char"/>
          <w:rtl/>
        </w:rPr>
        <w:t xml:space="preserve"> / 2.</w:t>
      </w:r>
      <w:r w:rsidRPr="00020424">
        <w:rPr>
          <w:rtl/>
          <w:lang w:bidi="fa-IR"/>
        </w:rPr>
        <w:t xml:space="preserve"> مُحَمَّدُ بْنُ يَحْيى ، عَنْ مُحَمَّدِ بْنِ الْحُسَيْنِ ، عَنْ يَحْيَى بْنِ عَمْرِو بْنِ خَلِيفَةَ الزَّيَّاتِ ، عَنْ عَبْدِ اللهِ بْنِ بُكَيْرٍ ، عَنْ بَعْضِ أَصْحَابِنَا :</w:t>
      </w:r>
    </w:p>
    <w:p w:rsidR="00992664" w:rsidRPr="00020424" w:rsidRDefault="00992664" w:rsidP="00992664">
      <w:pPr>
        <w:pStyle w:val="libNormal"/>
        <w:rPr>
          <w:rtl/>
          <w:lang w:bidi="fa-IR"/>
        </w:rPr>
      </w:pPr>
      <w:r w:rsidRPr="00020424">
        <w:rPr>
          <w:rtl/>
          <w:lang w:bidi="fa-IR"/>
        </w:rPr>
        <w:t xml:space="preserve">عَنْ أَحَدِهِمَا </w:t>
      </w:r>
      <w:r w:rsidRPr="00005A81">
        <w:rPr>
          <w:rStyle w:val="libAlaemChar"/>
          <w:rtl/>
        </w:rPr>
        <w:t>عليهما‌السلام</w:t>
      </w:r>
      <w:r w:rsidRPr="00020424">
        <w:rPr>
          <w:rtl/>
          <w:lang w:bidi="fa-IR"/>
        </w:rPr>
        <w:t xml:space="preserve"> ، قَالَ : « قَالَ رَسُولُ اللهِ </w:t>
      </w:r>
      <w:r w:rsidR="00B42914" w:rsidRPr="00B42914">
        <w:rPr>
          <w:rStyle w:val="libAlaemChar"/>
          <w:rtl/>
        </w:rPr>
        <w:t>صلى‌الله‌عليه‌وآله‌</w:t>
      </w:r>
      <w:r w:rsidRPr="00020424">
        <w:rPr>
          <w:rtl/>
          <w:lang w:bidi="fa-IR"/>
        </w:rPr>
        <w:t xml:space="preserve"> : يَا مَعْشَرَ الشَّبَابِ ، عَلَيْكُمْ بِالْبَاهِ </w:t>
      </w:r>
      <w:r w:rsidRPr="00A91B96">
        <w:rPr>
          <w:rStyle w:val="libFootnotenumChar"/>
          <w:rtl/>
        </w:rPr>
        <w:t>(6)</w:t>
      </w:r>
      <w:r w:rsidRPr="00020424">
        <w:rPr>
          <w:rtl/>
          <w:lang w:bidi="fa-IR"/>
        </w:rPr>
        <w:t xml:space="preserve"> ، فَإِنْ لَمْ تَسْتَطِيعُوهُ ، فَعَلَيْكُمْ بِالصِّيَامِ ؛ فَإِنَّهُ وِجَاؤُهُ </w:t>
      </w:r>
      <w:r w:rsidRPr="00A91B96">
        <w:rPr>
          <w:rStyle w:val="libFootnotenumChar"/>
          <w:rtl/>
        </w:rPr>
        <w:t>(7)</w:t>
      </w:r>
      <w:r>
        <w:rPr>
          <w:rtl/>
          <w:lang w:bidi="fa-IR"/>
        </w:rPr>
        <w:t xml:space="preserve"> ».</w:t>
      </w:r>
      <w:r w:rsidRPr="00020424">
        <w:rPr>
          <w:rtl/>
          <w:lang w:bidi="fa-IR"/>
        </w:rPr>
        <w:t xml:space="preserve"> </w:t>
      </w:r>
      <w:r w:rsidRPr="00A91B96">
        <w:rPr>
          <w:rStyle w:val="libFootnotenumChar"/>
          <w:rtl/>
        </w:rPr>
        <w:t>(8)</w:t>
      </w:r>
      <w:r w:rsidRPr="00020424">
        <w:rPr>
          <w:rtl/>
          <w:lang w:bidi="fa-IR"/>
        </w:rPr>
        <w:t xml:space="preserve"> ‌</w:t>
      </w:r>
    </w:p>
    <w:p w:rsidR="00992664" w:rsidRPr="00020424" w:rsidRDefault="00992664" w:rsidP="00992664">
      <w:pPr>
        <w:pStyle w:val="libNormal"/>
        <w:rPr>
          <w:rtl/>
          <w:lang w:bidi="fa-IR"/>
        </w:rPr>
      </w:pPr>
      <w:r w:rsidRPr="00B72DE5">
        <w:rPr>
          <w:rtl/>
        </w:rPr>
        <w:t>6701</w:t>
      </w:r>
      <w:r w:rsidRPr="001155DE">
        <w:rPr>
          <w:rStyle w:val="libBold2Char"/>
          <w:rtl/>
        </w:rPr>
        <w:t xml:space="preserve"> / 3.</w:t>
      </w:r>
      <w:r w:rsidRPr="00020424">
        <w:rPr>
          <w:rtl/>
          <w:lang w:bidi="fa-IR"/>
        </w:rPr>
        <w:t xml:space="preserve"> عِدَّةٌ مِنْ أَصْحَابِنَا ، عَنْ أَحْمَدَ بْنِ مُحَمَّدٍ ، عَنِ الْقَاسِمِ بْنِ يَحْيى ، عَنْ جَدِّهِ‌</w:t>
      </w:r>
    </w:p>
    <w:p w:rsidR="00992664" w:rsidRPr="00020424" w:rsidRDefault="00992664" w:rsidP="00992664">
      <w:pPr>
        <w:pStyle w:val="libLine"/>
        <w:rPr>
          <w:rtl/>
          <w:lang w:bidi="fa-IR"/>
        </w:rPr>
      </w:pPr>
      <w:r w:rsidRPr="00020424">
        <w:rPr>
          <w:rtl/>
          <w:lang w:bidi="fa-IR"/>
        </w:rPr>
        <w:t>__________________</w:t>
      </w:r>
    </w:p>
    <w:p w:rsidR="00992664" w:rsidRPr="00020424" w:rsidRDefault="006D17A9" w:rsidP="00992664">
      <w:pPr>
        <w:pStyle w:val="libFootnote0"/>
        <w:rPr>
          <w:rtl/>
          <w:lang w:bidi="fa-IR"/>
        </w:rPr>
      </w:pPr>
      <w:r>
        <w:rPr>
          <w:rFonts w:hint="cs"/>
          <w:rtl/>
        </w:rPr>
        <w:t xml:space="preserve">= </w:t>
      </w:r>
      <w:r w:rsidR="00992664" w:rsidRPr="00020424">
        <w:rPr>
          <w:rtl/>
        </w:rPr>
        <w:t xml:space="preserve">الأمر ، أي قصدت إليه وتعمّدت فعله وتحرّيت فعله. راجع : </w:t>
      </w:r>
      <w:r w:rsidR="00992664" w:rsidRPr="0012008A">
        <w:rPr>
          <w:rStyle w:val="libFootnoteBoldChar"/>
          <w:rtl/>
        </w:rPr>
        <w:t>الصحاح</w:t>
      </w:r>
      <w:r w:rsidR="00992664" w:rsidRPr="00020424">
        <w:rPr>
          <w:rtl/>
        </w:rPr>
        <w:t xml:space="preserve"> ، ج 6 ، ص 2521 ؛ </w:t>
      </w:r>
      <w:r w:rsidR="00992664" w:rsidRPr="0012008A">
        <w:rPr>
          <w:rStyle w:val="libFootnoteBoldChar"/>
          <w:rtl/>
        </w:rPr>
        <w:t>النهاية</w:t>
      </w:r>
      <w:r w:rsidR="00992664" w:rsidRPr="00020424">
        <w:rPr>
          <w:rtl/>
        </w:rPr>
        <w:t xml:space="preserve"> ، ج 5 ، ص 164 ( وخا )</w:t>
      </w:r>
      <w:r w:rsidR="00992664">
        <w:rPr>
          <w:rtl/>
        </w:rPr>
        <w:t>.</w:t>
      </w:r>
    </w:p>
    <w:p w:rsidR="00992664" w:rsidRDefault="00992664" w:rsidP="006D17A9">
      <w:pPr>
        <w:pStyle w:val="libFootnote0"/>
        <w:rPr>
          <w:rtl/>
        </w:rPr>
      </w:pPr>
      <w:r w:rsidRPr="006D17A9">
        <w:rPr>
          <w:rtl/>
        </w:rPr>
        <w:t xml:space="preserve">وفي </w:t>
      </w:r>
      <w:r w:rsidRPr="00DE76B9">
        <w:rPr>
          <w:rStyle w:val="libFootnoteBoldChar"/>
          <w:rtl/>
        </w:rPr>
        <w:t>مرآة العقول</w:t>
      </w:r>
      <w:r w:rsidRPr="006D17A9">
        <w:rPr>
          <w:rtl/>
        </w:rPr>
        <w:t xml:space="preserve"> ، ج 16 ، ص 437 : « ما تضمّنه من وجوب التوخّي ، أي التحرّي والسعي في تحصيل الظنّ والاجتزاء به مع الموافقة والتأخير ووجوب القضاء مع التقدّم مقطوع به في كلام الأصحاب ».</w:t>
      </w:r>
    </w:p>
    <w:tbl>
      <w:tblPr>
        <w:tblStyle w:val="TableGrid"/>
        <w:bidiVisual/>
        <w:tblW w:w="0" w:type="auto"/>
        <w:tblLook w:val="04A0" w:firstRow="1" w:lastRow="0" w:firstColumn="1" w:lastColumn="0" w:noHBand="0" w:noVBand="1"/>
      </w:tblPr>
      <w:tblGrid>
        <w:gridCol w:w="4006"/>
        <w:gridCol w:w="4006"/>
      </w:tblGrid>
      <w:tr w:rsidR="006D17A9" w:rsidTr="006D17A9">
        <w:tc>
          <w:tcPr>
            <w:tcW w:w="4006" w:type="dxa"/>
          </w:tcPr>
          <w:p w:rsidR="006D17A9" w:rsidRDefault="006D17A9" w:rsidP="006D17A9">
            <w:pPr>
              <w:pStyle w:val="libFootnote0"/>
              <w:rPr>
                <w:rtl/>
              </w:rPr>
            </w:pPr>
            <w:r>
              <w:rPr>
                <w:rtl/>
              </w:rPr>
              <w:t xml:space="preserve">(1). </w:t>
            </w:r>
            <w:r w:rsidRPr="00020424">
              <w:rPr>
                <w:rtl/>
              </w:rPr>
              <w:t xml:space="preserve">في </w:t>
            </w:r>
            <w:r w:rsidRPr="0012008A">
              <w:rPr>
                <w:rStyle w:val="libFootnoteBoldChar"/>
                <w:rtl/>
              </w:rPr>
              <w:t>الوافي</w:t>
            </w:r>
            <w:r w:rsidRPr="00020424">
              <w:rPr>
                <w:rtl/>
              </w:rPr>
              <w:t xml:space="preserve"> : « صام</w:t>
            </w:r>
            <w:r>
              <w:rPr>
                <w:rtl/>
              </w:rPr>
              <w:t xml:space="preserve"> ».</w:t>
            </w:r>
          </w:p>
        </w:tc>
        <w:tc>
          <w:tcPr>
            <w:tcW w:w="4006" w:type="dxa"/>
          </w:tcPr>
          <w:p w:rsidR="006D17A9" w:rsidRDefault="006D17A9" w:rsidP="006D17A9">
            <w:pPr>
              <w:pStyle w:val="libFootnote0"/>
              <w:rPr>
                <w:rtl/>
              </w:rPr>
            </w:pPr>
            <w:r>
              <w:rPr>
                <w:rtl/>
              </w:rPr>
              <w:t>(2). في «ى ، بح،بخ ، بس، بف</w:t>
            </w:r>
            <w:r w:rsidRPr="00020424">
              <w:rPr>
                <w:rtl/>
              </w:rPr>
              <w:t>» :</w:t>
            </w:r>
            <w:r>
              <w:rPr>
                <w:rtl/>
              </w:rPr>
              <w:t xml:space="preserve"> - </w:t>
            </w:r>
            <w:r w:rsidRPr="00020424">
              <w:rPr>
                <w:rtl/>
              </w:rPr>
              <w:t>« شهر</w:t>
            </w:r>
            <w:r>
              <w:rPr>
                <w:rtl/>
              </w:rPr>
              <w:t xml:space="preserve"> ».</w:t>
            </w:r>
          </w:p>
        </w:tc>
      </w:tr>
      <w:tr w:rsidR="006D17A9" w:rsidTr="006D17A9">
        <w:tc>
          <w:tcPr>
            <w:tcW w:w="4006" w:type="dxa"/>
          </w:tcPr>
          <w:p w:rsidR="006D17A9" w:rsidRDefault="006D17A9" w:rsidP="006D17A9">
            <w:pPr>
              <w:pStyle w:val="libFootnote0"/>
              <w:rPr>
                <w:rtl/>
              </w:rPr>
            </w:pPr>
            <w:r>
              <w:rPr>
                <w:rtl/>
              </w:rPr>
              <w:t xml:space="preserve">(3). </w:t>
            </w:r>
            <w:r w:rsidRPr="00020424">
              <w:rPr>
                <w:rtl/>
              </w:rPr>
              <w:t xml:space="preserve">في </w:t>
            </w:r>
            <w:r w:rsidRPr="0012008A">
              <w:rPr>
                <w:rStyle w:val="libFootnoteBoldChar"/>
                <w:rtl/>
              </w:rPr>
              <w:t>الوافي</w:t>
            </w:r>
            <w:r w:rsidRPr="00020424">
              <w:rPr>
                <w:rtl/>
              </w:rPr>
              <w:t xml:space="preserve"> : « لم يجزئه</w:t>
            </w:r>
            <w:r>
              <w:rPr>
                <w:rtl/>
              </w:rPr>
              <w:t xml:space="preserve"> ».</w:t>
            </w:r>
          </w:p>
        </w:tc>
        <w:tc>
          <w:tcPr>
            <w:tcW w:w="4006" w:type="dxa"/>
          </w:tcPr>
          <w:p w:rsidR="006D17A9" w:rsidRDefault="006D17A9" w:rsidP="006D17A9">
            <w:pPr>
              <w:pStyle w:val="libFootnote0"/>
              <w:rPr>
                <w:rtl/>
              </w:rPr>
            </w:pPr>
            <w:r>
              <w:rPr>
                <w:rtl/>
              </w:rPr>
              <w:t xml:space="preserve">(4). </w:t>
            </w:r>
            <w:r w:rsidRPr="00020424">
              <w:rPr>
                <w:rtl/>
              </w:rPr>
              <w:t>في « ظ ، بر ، بف » : « أجزأ</w:t>
            </w:r>
            <w:r>
              <w:rPr>
                <w:rtl/>
              </w:rPr>
              <w:t xml:space="preserve"> ».</w:t>
            </w:r>
          </w:p>
        </w:tc>
      </w:tr>
    </w:tbl>
    <w:p w:rsidR="00992664" w:rsidRPr="00020424" w:rsidRDefault="00795177" w:rsidP="00992664">
      <w:pPr>
        <w:pStyle w:val="libFootnote0"/>
        <w:rPr>
          <w:rtl/>
          <w:lang w:bidi="fa-IR"/>
        </w:rPr>
      </w:pPr>
      <w:r>
        <w:rPr>
          <w:rtl/>
        </w:rPr>
        <w:t>(5).</w:t>
      </w:r>
      <w:r w:rsidR="0014403D">
        <w:rPr>
          <w:rtl/>
        </w:rPr>
        <w:t xml:space="preserve"> </w:t>
      </w:r>
      <w:r w:rsidR="00992664" w:rsidRPr="0012008A">
        <w:rPr>
          <w:rStyle w:val="libFootnoteBoldChar"/>
          <w:rtl/>
        </w:rPr>
        <w:t>التهذيب</w:t>
      </w:r>
      <w:r w:rsidR="00992664" w:rsidRPr="00020424">
        <w:rPr>
          <w:rtl/>
        </w:rPr>
        <w:t xml:space="preserve"> ، ج 4 ، ص 310 ، ح 935 ، بسنده عن الحسن بن عليّ ، عن عبدالله بن المغيرة ، عن عبيس بن هشام. </w:t>
      </w:r>
      <w:r w:rsidR="00992664" w:rsidRPr="0012008A">
        <w:rPr>
          <w:rStyle w:val="libFootnoteBoldChar"/>
          <w:rtl/>
        </w:rPr>
        <w:t>الفقيه</w:t>
      </w:r>
      <w:r w:rsidR="00992664" w:rsidRPr="00020424">
        <w:rPr>
          <w:rtl/>
        </w:rPr>
        <w:t xml:space="preserve"> ، ج 2 ، ص 125 ، ح 1920 ، معلّقاً عن أبان بن عثمان </w:t>
      </w:r>
      <w:r w:rsidR="00CC27B6">
        <w:rPr>
          <w:rFonts w:hint="cs"/>
          <w:rtl/>
        </w:rPr>
        <w:t>.</w:t>
      </w:r>
      <w:r w:rsidR="00992664" w:rsidRPr="0012008A">
        <w:rPr>
          <w:rStyle w:val="libFootnoteBoldChar"/>
          <w:rtl/>
        </w:rPr>
        <w:t>الوافي</w:t>
      </w:r>
      <w:r w:rsidR="00992664" w:rsidRPr="00020424">
        <w:rPr>
          <w:rtl/>
        </w:rPr>
        <w:t xml:space="preserve"> ، ج 11 ، ص 159 ، ح 10603 ؛ </w:t>
      </w:r>
      <w:r w:rsidR="00992664" w:rsidRPr="0012008A">
        <w:rPr>
          <w:rStyle w:val="libFootnoteBoldChar"/>
          <w:rtl/>
        </w:rPr>
        <w:t>الوسائل</w:t>
      </w:r>
      <w:r w:rsidR="00992664" w:rsidRPr="00020424">
        <w:rPr>
          <w:rtl/>
        </w:rPr>
        <w:t xml:space="preserve"> ، ج 10 ، ص 276 ، ذيل ح 13408.</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بالباءة</w:t>
      </w:r>
      <w:r w:rsidR="00992664">
        <w:rPr>
          <w:rtl/>
        </w:rPr>
        <w:t xml:space="preserve"> ».</w:t>
      </w:r>
      <w:r w:rsidR="00992664" w:rsidRPr="00020424">
        <w:rPr>
          <w:rtl/>
        </w:rPr>
        <w:t xml:space="preserve"> وقال الجوهري : « الباه ، مثال الجاه : لغة في الباءة ، وهي الجماع</w:t>
      </w:r>
      <w:r w:rsidR="00992664">
        <w:rPr>
          <w:rtl/>
        </w:rPr>
        <w:t xml:space="preserve"> ».</w:t>
      </w:r>
      <w:r w:rsidR="00992664" w:rsidRPr="00020424">
        <w:rPr>
          <w:rtl/>
        </w:rPr>
        <w:t xml:space="preserve"> وقال ابن الأثير : « وفيه : عليكم بالباءة ؛ يعني النكاح والتزويج ، يقال فيه : الباءة والباء ، وقد يقصّر ، وهو من المباءة : المنزل ؛ لأنّ من تزوّج امرأة بوّأها منزلاً. وقيل : لأنّ الرجل يتبوّأ من أهله ، أي يستمكن ، كما يتبوّأ من منزله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2228 ( بوه ) ؛ </w:t>
      </w:r>
      <w:r w:rsidR="00992664" w:rsidRPr="0012008A">
        <w:rPr>
          <w:rStyle w:val="libFootnoteBoldChar"/>
          <w:rtl/>
        </w:rPr>
        <w:t>النهاية</w:t>
      </w:r>
      <w:r w:rsidR="00992664" w:rsidRPr="00020424">
        <w:rPr>
          <w:rtl/>
        </w:rPr>
        <w:t xml:space="preserve"> ، ج 1 ، ص 160 ( بوأ )</w:t>
      </w:r>
      <w:r w:rsidR="00992664">
        <w:rPr>
          <w:rtl/>
        </w:rPr>
        <w:t>.</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الوجاء ، بالكسر والمدّ : رضّ عروق البيضتين حتّى تنفضخ من غير إخراج ، فيكون شبيهاً بالخِصاء ؛ لأنّه يكسر الشهوة والكبش. قاله الجوهري والفيّومي. وأمّا ابن الأثير فإنّه قال : « الوجاء : أن ترضّ ا</w:t>
      </w:r>
      <w:r w:rsidR="00CC27B6">
        <w:rPr>
          <w:rFonts w:hint="cs"/>
          <w:rtl/>
        </w:rPr>
        <w:t>ُ</w:t>
      </w:r>
      <w:r w:rsidR="00992664" w:rsidRPr="00020424">
        <w:rPr>
          <w:rtl/>
        </w:rPr>
        <w:t>نثيا الفعل رضّاً شديداً يُذْهِبُ شهوة الجماع ، ويتنزّل في قطعه منزلة الخصيّ</w:t>
      </w:r>
      <w:r w:rsidR="00992664">
        <w:rPr>
          <w:rtl/>
        </w:rPr>
        <w:t xml:space="preserve"> ..</w:t>
      </w:r>
      <w:r w:rsidR="00992664" w:rsidRPr="00020424">
        <w:rPr>
          <w:rtl/>
        </w:rPr>
        <w:t>. وقيل : هو أن توجَأ العروق ، والخصيتان بحالهما ، أراد أنّ الصوم يقطع النكاح كما يقطعه الوجاء</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80 ؛ </w:t>
      </w:r>
      <w:r w:rsidR="00992664" w:rsidRPr="0012008A">
        <w:rPr>
          <w:rStyle w:val="libFootnoteBoldChar"/>
          <w:rtl/>
        </w:rPr>
        <w:t>النهاية</w:t>
      </w:r>
      <w:r w:rsidR="00992664" w:rsidRPr="00020424">
        <w:rPr>
          <w:rtl/>
        </w:rPr>
        <w:t xml:space="preserve"> ، ج 5 ، ص 152 ؛ </w:t>
      </w:r>
      <w:r w:rsidR="00992664" w:rsidRPr="00A722B1">
        <w:rPr>
          <w:rStyle w:val="libFootnoteBoldChar"/>
          <w:rtl/>
        </w:rPr>
        <w:t>المصباح المنير</w:t>
      </w:r>
      <w:r w:rsidR="00992664" w:rsidRPr="00020424">
        <w:rPr>
          <w:rtl/>
        </w:rPr>
        <w:t xml:space="preserve"> ، ص 650 ( وجأ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DE76B9">
        <w:rPr>
          <w:rStyle w:val="libFootnoteBoldChar"/>
          <w:rtl/>
        </w:rPr>
        <w:t>الكافي</w:t>
      </w:r>
      <w:r w:rsidR="00992664" w:rsidRPr="00020424">
        <w:rPr>
          <w:rtl/>
        </w:rPr>
        <w:t xml:space="preserve"> ، كتاب النكاح ، باب أنّ التزويج يزيد في الرزق ، ذيل ح 9464 ، بسند آخر عن أبي عبدالله </w:t>
      </w:r>
      <w:r w:rsidR="00992664" w:rsidRPr="00D64ADA">
        <w:rPr>
          <w:rStyle w:val="libFootnoteAlaemChar"/>
          <w:rtl/>
        </w:rPr>
        <w:t>عليه‌السلام</w:t>
      </w:r>
      <w:r w:rsidR="00992664" w:rsidRPr="00020424">
        <w:rPr>
          <w:rtl/>
        </w:rPr>
        <w:t xml:space="preserve"> عن رسول الله </w:t>
      </w:r>
      <w:r w:rsidR="00D64ADA" w:rsidRPr="00D64ADA">
        <w:rPr>
          <w:rStyle w:val="libFootnoteAlaemChar"/>
          <w:rtl/>
        </w:rPr>
        <w:t>صلى‌الله‌عليه‌وآله</w:t>
      </w:r>
      <w:r w:rsidR="00B42914" w:rsidRPr="00B42914">
        <w:rPr>
          <w:rStyle w:val="libAlaemChar"/>
          <w:rtl/>
        </w:rPr>
        <w:t>‌</w:t>
      </w:r>
      <w:r w:rsidR="00992664" w:rsidRPr="00020424">
        <w:rPr>
          <w:rtl/>
        </w:rPr>
        <w:t xml:space="preserve"> ، إلى قوله : « عليكم بالباه</w:t>
      </w:r>
      <w:r w:rsidR="00992664">
        <w:rPr>
          <w:rtl/>
        </w:rPr>
        <w:t xml:space="preserve"> ».</w:t>
      </w:r>
      <w:r w:rsidR="00992664" w:rsidRPr="00020424">
        <w:rPr>
          <w:rtl/>
        </w:rPr>
        <w:t xml:space="preserve"> </w:t>
      </w:r>
      <w:r w:rsidR="00992664" w:rsidRPr="0012008A">
        <w:rPr>
          <w:rStyle w:val="libFootnoteBoldChar"/>
          <w:rtl/>
        </w:rPr>
        <w:t>المقنعة</w:t>
      </w:r>
      <w:r w:rsidR="00992664" w:rsidRPr="00020424">
        <w:rPr>
          <w:rtl/>
        </w:rPr>
        <w:t xml:space="preserve"> ، ص 497 ، مرسلاً من دون التصريح باسم المعصوم </w:t>
      </w:r>
      <w:r w:rsidR="00992664" w:rsidRPr="00D64ADA">
        <w:rPr>
          <w:rStyle w:val="libFootnoteAlaemChar"/>
          <w:rtl/>
        </w:rPr>
        <w:t>عليه‌السلام</w:t>
      </w:r>
      <w:r w:rsidR="00992664" w:rsidRPr="00020424">
        <w:rPr>
          <w:rtl/>
        </w:rPr>
        <w:t xml:space="preserve"> ، مع اختلاف يسير </w:t>
      </w:r>
      <w:r w:rsidR="00254C2F">
        <w:rPr>
          <w:rFonts w:hint="cs"/>
          <w:rtl/>
        </w:rPr>
        <w:t>.</w:t>
      </w:r>
      <w:r w:rsidR="00992664" w:rsidRPr="0012008A">
        <w:rPr>
          <w:rStyle w:val="libFootnoteBoldChar"/>
          <w:rtl/>
        </w:rPr>
        <w:t>الوافي</w:t>
      </w:r>
      <w:r w:rsidR="00992664" w:rsidRPr="00020424">
        <w:rPr>
          <w:rtl/>
        </w:rPr>
        <w:t xml:space="preserve"> ، ج 11 ، ص 30 ، ح 10362 ؛ </w:t>
      </w:r>
      <w:r w:rsidR="00992664" w:rsidRPr="0012008A">
        <w:rPr>
          <w:rStyle w:val="libFootnoteBoldChar"/>
          <w:rtl/>
        </w:rPr>
        <w:t>الوسائل</w:t>
      </w:r>
      <w:r w:rsidR="00992664" w:rsidRPr="00020424">
        <w:rPr>
          <w:rtl/>
        </w:rPr>
        <w:t xml:space="preserve"> ، ج 10 ، ص 410 ، ح 13721.</w:t>
      </w:r>
    </w:p>
    <w:p w:rsidR="00795177" w:rsidRDefault="00795177" w:rsidP="00795177">
      <w:pPr>
        <w:pStyle w:val="libNormal"/>
        <w:rPr>
          <w:rtl/>
          <w:lang w:bidi="fa-IR"/>
        </w:rPr>
      </w:pPr>
      <w:r>
        <w:rPr>
          <w:rtl/>
          <w:lang w:bidi="fa-IR"/>
        </w:rPr>
        <w:br w:type="page"/>
      </w:r>
    </w:p>
    <w:p w:rsidR="00992664" w:rsidRPr="00020424" w:rsidRDefault="00992664" w:rsidP="00DB50CB">
      <w:pPr>
        <w:pStyle w:val="libNormal0"/>
        <w:rPr>
          <w:rtl/>
          <w:lang w:bidi="fa-IR"/>
        </w:rPr>
      </w:pPr>
      <w:r w:rsidRPr="00020424">
        <w:rPr>
          <w:rtl/>
          <w:lang w:bidi="fa-IR"/>
        </w:rPr>
        <w:t>الْحَسَنِ بْنِ رَاشِدٍ ، عَنْ أَبِي بَصِيرٍ :</w:t>
      </w:r>
    </w:p>
    <w:p w:rsidR="00992664" w:rsidRPr="00020424" w:rsidRDefault="00992664" w:rsidP="00DB50CB">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حَدَّثَنِي أَبِي ، عَنْ جَدِّي ، عَنْ آبَائِهِ </w:t>
      </w:r>
      <w:r w:rsidRPr="00005A81">
        <w:rPr>
          <w:rStyle w:val="libAlaemChar"/>
          <w:rtl/>
        </w:rPr>
        <w:t>عليهم‌السلام</w:t>
      </w:r>
      <w:r w:rsidRPr="00020424">
        <w:rPr>
          <w:rtl/>
          <w:lang w:bidi="fa-IR"/>
        </w:rPr>
        <w:t xml:space="preserve"> أَنَّ عَلِيّاً</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قَالَ : يُسْتَحَبُّ </w:t>
      </w:r>
      <w:r w:rsidRPr="00A91B96">
        <w:rPr>
          <w:rStyle w:val="libFootnotenumChar"/>
          <w:rtl/>
        </w:rPr>
        <w:t>(1)</w:t>
      </w:r>
      <w:r w:rsidRPr="00020424">
        <w:rPr>
          <w:rtl/>
          <w:lang w:bidi="fa-IR"/>
        </w:rPr>
        <w:t xml:space="preserve"> لِلرَّجُلِ أَنْ يَأْتِيَ أَهْلَهُ أَوَّلَ لَيْلَةٍ مِنْ شَهْرِ رَمَضَانَ ؛ لِقَوْلِ اللهِ عَزَّ وَجَلَّ : </w:t>
      </w:r>
      <w:r w:rsidRPr="00005A81">
        <w:rPr>
          <w:rStyle w:val="libAlaemChar"/>
          <w:rtl/>
        </w:rPr>
        <w:t>(</w:t>
      </w:r>
      <w:r w:rsidRPr="004E5AB4">
        <w:rPr>
          <w:rStyle w:val="libAieChar"/>
          <w:rtl/>
        </w:rPr>
        <w:t xml:space="preserve"> أُحِلَّ لَكُمْ لَيْلَةَ الصِّيامِ الرَّفَثُ إِلى نِسائِكُمْ </w:t>
      </w:r>
      <w:r w:rsidRPr="00005A81">
        <w:rPr>
          <w:rStyle w:val="libAlaemChar"/>
          <w:rtl/>
        </w:rPr>
        <w:t>)</w:t>
      </w:r>
      <w:r w:rsidRPr="00020424">
        <w:rPr>
          <w:rtl/>
          <w:lang w:bidi="fa-IR"/>
        </w:rPr>
        <w:t xml:space="preserve"> </w:t>
      </w:r>
      <w:r w:rsidRPr="00A91B96">
        <w:rPr>
          <w:rStyle w:val="libFootnotenumChar"/>
          <w:rtl/>
        </w:rPr>
        <w:t>(2)</w:t>
      </w:r>
      <w:r w:rsidRPr="00020424">
        <w:rPr>
          <w:rtl/>
          <w:lang w:bidi="fa-IR"/>
        </w:rPr>
        <w:t xml:space="preserve"> وَ</w:t>
      </w:r>
      <w:r>
        <w:rPr>
          <w:rFonts w:hint="cs"/>
          <w:rtl/>
          <w:lang w:bidi="fa-IR"/>
        </w:rPr>
        <w:t xml:space="preserve"> </w:t>
      </w:r>
      <w:r w:rsidRPr="00005A81">
        <w:rPr>
          <w:rStyle w:val="libAlaemChar"/>
          <w:rtl/>
        </w:rPr>
        <w:t>(</w:t>
      </w:r>
      <w:r w:rsidRPr="004E5AB4">
        <w:rPr>
          <w:rStyle w:val="libAieChar"/>
          <w:rtl/>
        </w:rPr>
        <w:t xml:space="preserve"> الرَّفَثُ </w:t>
      </w:r>
      <w:r w:rsidRPr="00005A81">
        <w:rPr>
          <w:rStyle w:val="libAlaemChar"/>
          <w:rtl/>
        </w:rPr>
        <w:t>)</w:t>
      </w:r>
      <w:r w:rsidR="00DB50CB">
        <w:rPr>
          <w:rtl/>
          <w:lang w:bidi="fa-IR"/>
        </w:rPr>
        <w:t xml:space="preserve"> :</w:t>
      </w:r>
      <w:r w:rsidRPr="00020424">
        <w:rPr>
          <w:rtl/>
          <w:lang w:bidi="fa-IR"/>
        </w:rPr>
        <w:t>الْمُجَامَعَةُ</w:t>
      </w:r>
      <w:r>
        <w:rPr>
          <w:rtl/>
          <w:lang w:bidi="fa-IR"/>
        </w:rPr>
        <w:t>».</w:t>
      </w:r>
      <w:r w:rsidRPr="00A91B96">
        <w:rPr>
          <w:rStyle w:val="libFootnotenumChar"/>
          <w:rtl/>
        </w:rPr>
        <w:t>(3)</w:t>
      </w:r>
    </w:p>
    <w:p w:rsidR="00992664" w:rsidRPr="00020424" w:rsidRDefault="00992664" w:rsidP="00992664">
      <w:pPr>
        <w:pStyle w:val="libNormal"/>
        <w:rPr>
          <w:rtl/>
          <w:lang w:bidi="fa-IR"/>
        </w:rPr>
      </w:pPr>
      <w:r w:rsidRPr="00B72DE5">
        <w:rPr>
          <w:rtl/>
        </w:rPr>
        <w:t>6702</w:t>
      </w:r>
      <w:r w:rsidRPr="001155DE">
        <w:rPr>
          <w:rStyle w:val="libBold2Char"/>
          <w:rtl/>
        </w:rPr>
        <w:t xml:space="preserve"> / 4.</w:t>
      </w:r>
      <w:r w:rsidRPr="00020424">
        <w:rPr>
          <w:rtl/>
          <w:lang w:bidi="fa-IR"/>
        </w:rPr>
        <w:t xml:space="preserve"> مُحَمَّدُ بْنُ يَحْيى ، عَنْ عَلِيِّ بْنِ إِبْرَاهِيمَ الْجَعْفَرِيِّ ، عَنْ مُحَمَّدِ بْنِ الْفَضْلِ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020424">
        <w:rPr>
          <w:rtl/>
          <w:lang w:bidi="fa-IR"/>
        </w:rPr>
        <w:t xml:space="preserve">عَنِ الرِّضَا </w:t>
      </w:r>
      <w:r w:rsidRPr="00005A81">
        <w:rPr>
          <w:rStyle w:val="libAlaemChar"/>
          <w:rtl/>
        </w:rPr>
        <w:t>عليه‌السلام</w:t>
      </w:r>
      <w:r w:rsidRPr="00020424">
        <w:rPr>
          <w:rtl/>
          <w:lang w:bidi="fa-IR"/>
        </w:rPr>
        <w:t xml:space="preserve"> ، قَالَ : قَالَ لِبَعْضِ مَوَالِيهِ يَوْمَ الْفِطْرِ وَهُوَ يَدْعُو لَهُ : « يَا فُلَانُ ، تَقَبَّلَ اللهُ مِنْكَ وَمِنَّا » </w:t>
      </w:r>
      <w:r w:rsidRPr="00A91B96">
        <w:rPr>
          <w:rStyle w:val="libFootnotenumChar"/>
          <w:rtl/>
        </w:rPr>
        <w:t>(5)</w:t>
      </w:r>
      <w:r w:rsidRPr="00020424">
        <w:rPr>
          <w:rtl/>
          <w:lang w:bidi="fa-IR"/>
        </w:rPr>
        <w:t xml:space="preserve"> ثُمَّ أَقَامَ حَتّى إِذَا </w:t>
      </w:r>
      <w:r w:rsidRPr="00A91B96">
        <w:rPr>
          <w:rStyle w:val="libFootnotenumChar"/>
          <w:rtl/>
        </w:rPr>
        <w:t>(6)</w:t>
      </w:r>
      <w:r w:rsidRPr="00020424">
        <w:rPr>
          <w:rtl/>
          <w:lang w:bidi="fa-IR"/>
        </w:rPr>
        <w:t xml:space="preserve"> كَانَ يَوْمُ الْأَضْحى ، فَقَالَ لَهُ : « يَا فُلَانُ ، تَقَبَّلَ اللهُ مِنَّا وَمِنْكَ » قَالَ : فَقُلْتُ لَهُ : يَا ابْنَ رَسُولِ اللهِ ، قُلْتَ فِي الْفِطْرِ شَيْئاً </w:t>
      </w:r>
      <w:r w:rsidRPr="00A91B96">
        <w:rPr>
          <w:rStyle w:val="libFootnotenumChar"/>
          <w:rtl/>
        </w:rPr>
        <w:t>(7)</w:t>
      </w:r>
      <w:r w:rsidRPr="00020424">
        <w:rPr>
          <w:rtl/>
          <w:lang w:bidi="fa-IR"/>
        </w:rPr>
        <w:t xml:space="preserve"> ، وَتَقُولُ فِي الْأَضْحى غَيْرَهُ</w:t>
      </w:r>
      <w:r>
        <w:rPr>
          <w:rtl/>
          <w:lang w:bidi="fa-IR"/>
        </w:rPr>
        <w:t>؟</w:t>
      </w:r>
    </w:p>
    <w:p w:rsidR="00992664" w:rsidRPr="00020424" w:rsidRDefault="00992664" w:rsidP="00992664">
      <w:pPr>
        <w:pStyle w:val="libNormal"/>
        <w:rPr>
          <w:rtl/>
          <w:lang w:bidi="fa-IR"/>
        </w:rPr>
      </w:pPr>
      <w:r w:rsidRPr="00020424">
        <w:rPr>
          <w:rtl/>
          <w:lang w:bidi="fa-IR"/>
        </w:rPr>
        <w:t>قَالَ : فَقَالَ : « نَعَمْ ، إِنِّي قُلْتُ لَهُ فِي الْفِطْرِ : تَقَبَّلَ اللهُ مِنْكَ وَمِنَّا ؛ لِأَنَّهُ فَعَلَ مِثْلَ‌</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DB50CB">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قال : يستحبّ ، وليس في الآية أزيد من الحلّ ؛ لأنّ الله سبحانه أحبّ أن يؤخذ برخصه ، وإنّماخصّ الاستحباب بأوّل ليلة من الشهر ؛ لأنّه أوّل وقت للرخصة ، فينبغي أن تبادر الرخصة فيه بالقبول ، ولأنّه تطهير لنفسه من الوساوس الشيطانيّة ، فيتهيّأ بذلك لصيام الشهر وقيامه ، وفي سائر الليالي يتحصّل التطهير بالصيام السابق عليها ، ففيها غنى عن ذلك ، ولأنّه لو كان عليه غسل له يشعر به كان يخرج بذلك عن عهدته فيحصل له الطهارة للصيام جزماً</w:t>
      </w:r>
      <w:r w:rsidR="00992664">
        <w:rPr>
          <w:rtl/>
        </w:rPr>
        <w:t xml:space="preserve"> ».</w:t>
      </w:r>
      <w:r w:rsidR="00DB50CB">
        <w:rPr>
          <w:rFonts w:hint="cs"/>
          <w:rtl/>
        </w:rPr>
        <w:t xml:space="preserve">                                    </w:t>
      </w:r>
      <w:r>
        <w:rPr>
          <w:rtl/>
        </w:rPr>
        <w:t>(2).</w:t>
      </w:r>
      <w:r w:rsidR="0014403D">
        <w:rPr>
          <w:rtl/>
        </w:rPr>
        <w:t xml:space="preserve"> </w:t>
      </w:r>
      <w:r w:rsidR="00992664" w:rsidRPr="00020424">
        <w:rPr>
          <w:rtl/>
        </w:rPr>
        <w:t xml:space="preserve">البقرة </w:t>
      </w:r>
      <w:r w:rsidR="00A95F6C">
        <w:rPr>
          <w:rtl/>
        </w:rPr>
        <w:t>(2)</w:t>
      </w:r>
      <w:r w:rsidR="0014403D">
        <w:rPr>
          <w:rtl/>
        </w:rPr>
        <w:t xml:space="preserve"> </w:t>
      </w:r>
      <w:r w:rsidR="00992664" w:rsidRPr="00020424">
        <w:rPr>
          <w:rtl/>
        </w:rPr>
        <w:t>: 187.</w:t>
      </w:r>
    </w:p>
    <w:p w:rsidR="00992664" w:rsidRPr="00020424" w:rsidRDefault="00795177" w:rsidP="00992664">
      <w:pPr>
        <w:pStyle w:val="libFootnote0"/>
        <w:rPr>
          <w:rtl/>
          <w:lang w:bidi="fa-IR"/>
        </w:rPr>
      </w:pPr>
      <w:r>
        <w:rPr>
          <w:rtl/>
        </w:rPr>
        <w:t>(3).</w:t>
      </w:r>
      <w:r w:rsidR="0014403D">
        <w:rPr>
          <w:rtl/>
        </w:rPr>
        <w:t xml:space="preserve"> </w:t>
      </w:r>
      <w:r w:rsidR="00992664" w:rsidRPr="00A722B1">
        <w:rPr>
          <w:rStyle w:val="libFootnoteBoldChar"/>
          <w:rtl/>
        </w:rPr>
        <w:t>الخصال</w:t>
      </w:r>
      <w:r w:rsidR="00992664" w:rsidRPr="00020424">
        <w:rPr>
          <w:rtl/>
        </w:rPr>
        <w:t xml:space="preserve"> ، ص 612 ، أبواب الثمانين ومافوقه ، ضمن الحديث الطويل 10 ، بسنده عن القاسم بن يحيى ، عن جدّه الحسن بن راشد ، عن أبي بصير ومحمّد بن مسلم. </w:t>
      </w:r>
      <w:r w:rsidR="00992664" w:rsidRPr="0012008A">
        <w:rPr>
          <w:rStyle w:val="libFootnoteBoldChar"/>
          <w:rtl/>
        </w:rPr>
        <w:t>الفقيه</w:t>
      </w:r>
      <w:r w:rsidR="00992664" w:rsidRPr="00020424">
        <w:rPr>
          <w:rtl/>
        </w:rPr>
        <w:t xml:space="preserve"> ، ج 2 ، ص 173 ، ح 2052 ، إلى قوله : « الرفث إلى نسائكم » مع اختلاف يسير ؛ </w:t>
      </w:r>
      <w:r w:rsidR="00992664" w:rsidRPr="0012008A">
        <w:rPr>
          <w:rStyle w:val="libFootnoteBoldChar"/>
          <w:rtl/>
        </w:rPr>
        <w:t>الفقيه</w:t>
      </w:r>
      <w:r w:rsidR="00992664" w:rsidRPr="00020424">
        <w:rPr>
          <w:rtl/>
        </w:rPr>
        <w:t xml:space="preserve"> ، ج 3 ، ص 473 ، ح 4653 ، وفي الأخيرين مرسلاً عن أميرالمؤمنين </w:t>
      </w:r>
      <w:r w:rsidR="00992664" w:rsidRPr="00D64ADA">
        <w:rPr>
          <w:rStyle w:val="libFootnoteAlaemChar"/>
          <w:rtl/>
        </w:rPr>
        <w:t>عليه‌السلام</w:t>
      </w:r>
      <w:r w:rsidR="00992664" w:rsidRPr="00020424">
        <w:rPr>
          <w:rtl/>
        </w:rPr>
        <w:t xml:space="preserve"> </w:t>
      </w:r>
      <w:r w:rsidR="00A95F6C">
        <w:rPr>
          <w:rFonts w:hint="cs"/>
          <w:rtl/>
        </w:rPr>
        <w:t>.</w:t>
      </w:r>
      <w:r w:rsidR="00992664" w:rsidRPr="0012008A">
        <w:rPr>
          <w:rStyle w:val="libFootnoteBoldChar"/>
          <w:rtl/>
        </w:rPr>
        <w:t>الوافي</w:t>
      </w:r>
      <w:r w:rsidR="00992664" w:rsidRPr="00020424">
        <w:rPr>
          <w:rtl/>
        </w:rPr>
        <w:t xml:space="preserve"> ، ج 11 ، ص 497 ، ح 11200 ؛ </w:t>
      </w:r>
      <w:r w:rsidR="00992664" w:rsidRPr="0012008A">
        <w:rPr>
          <w:rStyle w:val="libFootnoteBoldChar"/>
          <w:rtl/>
        </w:rPr>
        <w:t>الوسائل</w:t>
      </w:r>
      <w:r w:rsidR="00992664" w:rsidRPr="00020424">
        <w:rPr>
          <w:rtl/>
        </w:rPr>
        <w:t xml:space="preserve"> ، ج 10 ، ص 349 ، ح 13581.</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في « ى ، بخ ، بر ، بف » وحاشية « بث ، جر » : « الفضيل</w:t>
      </w:r>
      <w:r w:rsidR="00992664">
        <w:rPr>
          <w:rtl/>
        </w:rPr>
        <w:t xml:space="preserve"> ».</w:t>
      </w:r>
      <w:r w:rsidR="00992664" w:rsidRPr="00020424">
        <w:rPr>
          <w:rtl/>
        </w:rPr>
        <w:t xml:space="preserve"> ووردت في </w:t>
      </w:r>
      <w:r w:rsidR="00992664" w:rsidRPr="0012008A">
        <w:rPr>
          <w:rStyle w:val="libFootnoteBoldChar"/>
          <w:rtl/>
        </w:rPr>
        <w:t>التهذيب</w:t>
      </w:r>
      <w:r w:rsidR="00992664" w:rsidRPr="00020424">
        <w:rPr>
          <w:rtl/>
        </w:rPr>
        <w:t xml:space="preserve"> ، ج 6 ، ص 110 ، ح 196 رواية عليّ بن إبراهيم الجعفري عن محمّد بن الفضل بن بنت داود الرقّي. والمذكور في </w:t>
      </w:r>
      <w:r w:rsidR="00992664" w:rsidRPr="0012008A">
        <w:rPr>
          <w:rStyle w:val="libFootnoteBoldChar"/>
          <w:rtl/>
        </w:rPr>
        <w:t>الوسائل</w:t>
      </w:r>
      <w:r w:rsidR="00992664" w:rsidRPr="00020424">
        <w:rPr>
          <w:rtl/>
        </w:rPr>
        <w:t xml:space="preserve"> ، ج 14 ، ص 561 ، ح 19827 نقلاً من </w:t>
      </w:r>
      <w:r w:rsidR="00992664" w:rsidRPr="0012008A">
        <w:rPr>
          <w:rStyle w:val="libFootnoteBoldChar"/>
          <w:rtl/>
        </w:rPr>
        <w:t>التهذيب</w:t>
      </w:r>
      <w:r w:rsidR="00992664" w:rsidRPr="00020424">
        <w:rPr>
          <w:rtl/>
        </w:rPr>
        <w:t xml:space="preserve"> ، هو « الفضيل » بدل « الفضل</w:t>
      </w:r>
      <w:r w:rsidR="00992664">
        <w:rPr>
          <w:rtl/>
        </w:rPr>
        <w:t xml:space="preserve"> ».</w:t>
      </w:r>
      <w:r w:rsidR="00992664" w:rsidRPr="00020424">
        <w:rPr>
          <w:rtl/>
        </w:rPr>
        <w:t xml:space="preserve"> والرجل لم نعرفه.</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w:t>
      </w:r>
      <w:r w:rsidR="00992664" w:rsidRPr="00FD6221">
        <w:rPr>
          <w:rStyle w:val="libFootnoteBoldChar"/>
          <w:rtl/>
        </w:rPr>
        <w:t>والفقيه</w:t>
      </w:r>
      <w:r w:rsidR="00992664" w:rsidRPr="00020424">
        <w:rPr>
          <w:rtl/>
        </w:rPr>
        <w:t xml:space="preserve"> : + « قال</w:t>
      </w:r>
      <w:r w:rsidR="00992664">
        <w:rPr>
          <w:rtl/>
        </w:rPr>
        <w:t xml:space="preserve"> ».</w:t>
      </w:r>
    </w:p>
    <w:p w:rsidR="00992664" w:rsidRPr="00020424" w:rsidRDefault="00795177" w:rsidP="00755994">
      <w:pPr>
        <w:pStyle w:val="libFootnote0"/>
        <w:rPr>
          <w:rtl/>
          <w:lang w:bidi="fa-IR"/>
        </w:rPr>
      </w:pPr>
      <w:r>
        <w:rPr>
          <w:rtl/>
        </w:rPr>
        <w:t>(6).</w:t>
      </w:r>
      <w:r w:rsidR="0014403D">
        <w:rPr>
          <w:rtl/>
        </w:rPr>
        <w:t xml:space="preserve"> </w:t>
      </w:r>
      <w:r w:rsidR="00992664" w:rsidRPr="00020424">
        <w:rPr>
          <w:rtl/>
        </w:rPr>
        <w:t xml:space="preserve">هكذا في « ظ ، بخ ، بر ، بس ، بف ، جن »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وظاهر « بح</w:t>
      </w:r>
      <w:r w:rsidR="00992664">
        <w:rPr>
          <w:rtl/>
        </w:rPr>
        <w:t xml:space="preserve"> ».</w:t>
      </w:r>
      <w:r w:rsidR="00992664" w:rsidRPr="00020424">
        <w:rPr>
          <w:rtl/>
        </w:rPr>
        <w:t xml:space="preserve"> وفي « ى ، بث » والمطبوع :</w:t>
      </w:r>
      <w:r w:rsidR="00992664">
        <w:rPr>
          <w:rtl/>
        </w:rPr>
        <w:t xml:space="preserve"> </w:t>
      </w:r>
      <w:r w:rsidR="009B673F">
        <w:rPr>
          <w:rtl/>
        </w:rPr>
        <w:t>-</w:t>
      </w:r>
      <w:r w:rsidR="00992664">
        <w:rPr>
          <w:rtl/>
        </w:rPr>
        <w:t xml:space="preserve"> </w:t>
      </w:r>
      <w:r w:rsidR="00992664" w:rsidRPr="00020424">
        <w:rPr>
          <w:rtl/>
        </w:rPr>
        <w:t>« إذا</w:t>
      </w:r>
      <w:r w:rsidR="00992664">
        <w:rPr>
          <w:rtl/>
        </w:rPr>
        <w:t xml:space="preserve"> ».</w:t>
      </w:r>
      <w:r w:rsidR="00755994">
        <w:rPr>
          <w:rFonts w:hint="cs"/>
          <w:rtl/>
        </w:rPr>
        <w:t xml:space="preserve">                                  </w:t>
      </w:r>
      <w:r>
        <w:rPr>
          <w:rtl/>
        </w:rPr>
        <w:t>(7).</w:t>
      </w:r>
      <w:r w:rsidR="0014403D">
        <w:rPr>
          <w:rtl/>
        </w:rPr>
        <w:t xml:space="preserve"> </w:t>
      </w:r>
      <w:r w:rsidR="00992664" w:rsidRPr="00020424">
        <w:rPr>
          <w:rtl/>
        </w:rPr>
        <w:t>في « ى » : « شي‌ء</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1C56E2">
      <w:pPr>
        <w:pStyle w:val="libNormal0"/>
        <w:rPr>
          <w:rtl/>
          <w:lang w:bidi="fa-IR"/>
        </w:rPr>
      </w:pPr>
      <w:r w:rsidRPr="00020424">
        <w:rPr>
          <w:rtl/>
          <w:lang w:bidi="fa-IR"/>
        </w:rPr>
        <w:t xml:space="preserve">فِعْلِي ، وَتَأَسَّيْتُ </w:t>
      </w:r>
      <w:r w:rsidRPr="00A91B96">
        <w:rPr>
          <w:rStyle w:val="libFootnotenumChar"/>
          <w:rtl/>
        </w:rPr>
        <w:t>(1)</w:t>
      </w:r>
      <w:r w:rsidRPr="00020424">
        <w:rPr>
          <w:rtl/>
          <w:lang w:bidi="fa-IR"/>
        </w:rPr>
        <w:t xml:space="preserve"> أَنَا وَهُوَ فِي الْفِعْلِ </w:t>
      </w:r>
      <w:r w:rsidRPr="00A91B96">
        <w:rPr>
          <w:rStyle w:val="libFootnotenumChar"/>
          <w:rtl/>
        </w:rPr>
        <w:t>(2)</w:t>
      </w:r>
      <w:r w:rsidRPr="00020424">
        <w:rPr>
          <w:rtl/>
          <w:lang w:bidi="fa-IR"/>
        </w:rPr>
        <w:t xml:space="preserve"> ، وَقُلْتُ لَهُ فِي الْأَضْحى : تَقَبَّلَ اللهُ مِنَّا وَمِنْكَ ؛ لِأَنَّهُ </w:t>
      </w:r>
      <w:r w:rsidRPr="00A91B96">
        <w:rPr>
          <w:rStyle w:val="libFootnotenumChar"/>
          <w:rtl/>
        </w:rPr>
        <w:t>(3)</w:t>
      </w:r>
      <w:r w:rsidRPr="00020424">
        <w:rPr>
          <w:rtl/>
          <w:lang w:bidi="fa-IR"/>
        </w:rPr>
        <w:t xml:space="preserve"> يُمْكِنُنَا أَنْ نُضَحِّيَ ، وَلَا يُمْكِنُهُ أَنْ يُضَحِّيَ ، فَقَدْ فَعَلْنَا نَحْنُ غَيْرَ فِعْلِهِ</w:t>
      </w:r>
      <w:r>
        <w:rPr>
          <w:rtl/>
          <w:lang w:bidi="fa-IR"/>
        </w:rPr>
        <w:t xml:space="preserve"> ».</w:t>
      </w:r>
      <w:r w:rsidRPr="00020424">
        <w:rPr>
          <w:rtl/>
          <w:lang w:bidi="fa-IR"/>
        </w:rPr>
        <w:t xml:space="preserve"> </w:t>
      </w:r>
      <w:r w:rsidRPr="00A91B96">
        <w:rPr>
          <w:rStyle w:val="libFootnotenumChar"/>
          <w:rtl/>
        </w:rPr>
        <w:t>(4)</w:t>
      </w:r>
      <w:r w:rsidRPr="00020424">
        <w:rPr>
          <w:rtl/>
          <w:lang w:bidi="fa-IR"/>
        </w:rPr>
        <w:t xml:space="preserve"> ‌</w:t>
      </w:r>
    </w:p>
    <w:p w:rsidR="00992664" w:rsidRPr="00020424" w:rsidRDefault="00992664" w:rsidP="00992664">
      <w:pPr>
        <w:pStyle w:val="libNormal"/>
        <w:rPr>
          <w:rtl/>
          <w:lang w:bidi="fa-IR"/>
        </w:rPr>
      </w:pPr>
      <w:r w:rsidRPr="00B72DE5">
        <w:rPr>
          <w:rtl/>
        </w:rPr>
        <w:t>6703</w:t>
      </w:r>
      <w:r w:rsidRPr="001155DE">
        <w:rPr>
          <w:rStyle w:val="libBold2Char"/>
          <w:rtl/>
        </w:rPr>
        <w:t xml:space="preserve"> / 5.</w:t>
      </w:r>
      <w:r w:rsidRPr="00020424">
        <w:rPr>
          <w:rtl/>
          <w:lang w:bidi="fa-IR"/>
        </w:rPr>
        <w:t xml:space="preserve"> عِدَّةٌ مِنْ أَصْحَابِنَا ، عَنْ أَحْمَدَ بْنِ أَبِي عَبْدِ اللهِ ، عَنْ أَبِي الصَّخْرِ أَحْمَدَ بْنِ عَبْدِ الرَّحِيمِ :</w:t>
      </w:r>
    </w:p>
    <w:p w:rsidR="00992664" w:rsidRPr="00020424" w:rsidRDefault="00992664" w:rsidP="00992664">
      <w:pPr>
        <w:pStyle w:val="libNormal"/>
        <w:rPr>
          <w:rtl/>
          <w:lang w:bidi="fa-IR"/>
        </w:rPr>
      </w:pPr>
      <w:r w:rsidRPr="00020424">
        <w:rPr>
          <w:rtl/>
          <w:lang w:bidi="fa-IR"/>
        </w:rPr>
        <w:t>رَفَعَهُ إِلى أَبِي الْحَسَنِ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قَالَ : نَظَرَ إِلَى النَّاسِ فِي يَوْمِ فِطْرٍ يَلْعَبُونَ وَيَضْحَكُونَ ، فَقَالَ لِأَصْحَابِهِ وَالْتَفَتَ إِلَيْهِمْ : « إِنَّ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خَلَقَ </w:t>
      </w:r>
      <w:r w:rsidRPr="00A91B96">
        <w:rPr>
          <w:rStyle w:val="libFootnotenumChar"/>
          <w:rtl/>
        </w:rPr>
        <w:t>(5)</w:t>
      </w:r>
      <w:r w:rsidRPr="00020424">
        <w:rPr>
          <w:rtl/>
          <w:lang w:bidi="fa-IR"/>
        </w:rPr>
        <w:t xml:space="preserve"> شَهْرَ رَمَضَانَ مِضْمَاراً </w:t>
      </w:r>
      <w:r w:rsidRPr="00A91B96">
        <w:rPr>
          <w:rStyle w:val="libFootnotenumChar"/>
          <w:rtl/>
        </w:rPr>
        <w:t>(6)</w:t>
      </w:r>
      <w:r w:rsidRPr="00020424">
        <w:rPr>
          <w:rtl/>
          <w:lang w:bidi="fa-IR"/>
        </w:rPr>
        <w:t xml:space="preserve"> لِخَلْقِهِ ؛ لِيَسْتَبِقُوا </w:t>
      </w:r>
      <w:r w:rsidRPr="00A91B96">
        <w:rPr>
          <w:rStyle w:val="libFootnotenumChar"/>
          <w:rtl/>
        </w:rPr>
        <w:t>(7)</w:t>
      </w:r>
      <w:r w:rsidRPr="00020424">
        <w:rPr>
          <w:rtl/>
          <w:lang w:bidi="fa-IR"/>
        </w:rPr>
        <w:t xml:space="preserve"> فِيهِ بِطَاعَتِهِ إِلى رِضْوَانِهِ ، فَسَبَقَ فِيهِ قَوْمٌ ، فَفَازُوا ، وَتَخَلَّفَ </w:t>
      </w:r>
      <w:r w:rsidRPr="00A91B96">
        <w:rPr>
          <w:rStyle w:val="libFootnotenumChar"/>
          <w:rtl/>
        </w:rPr>
        <w:t>(8)</w:t>
      </w:r>
      <w:r w:rsidRPr="00020424">
        <w:rPr>
          <w:rtl/>
          <w:lang w:bidi="fa-IR"/>
        </w:rPr>
        <w:t xml:space="preserve"> آخَرُونَ ، فَخَابُوا ، فَالْعَجَبُ كُلُّ </w:t>
      </w:r>
      <w:r w:rsidR="00F55B32">
        <w:rPr>
          <w:rtl/>
          <w:lang w:bidi="fa-IR"/>
        </w:rPr>
        <w:t>الْعَجَبِ مِنَ الضَّاحِكِ الل</w:t>
      </w:r>
      <w:r w:rsidR="00F55B32">
        <w:rPr>
          <w:rFonts w:hint="cs"/>
          <w:rtl/>
          <w:lang w:bidi="fa-IR"/>
        </w:rPr>
        <w:t>َّ</w:t>
      </w:r>
      <w:r w:rsidR="00F55B32">
        <w:rPr>
          <w:rtl/>
          <w:lang w:bidi="fa-IR"/>
        </w:rPr>
        <w:t>ا</w:t>
      </w:r>
      <w:r w:rsidRPr="00020424">
        <w:rPr>
          <w:rtl/>
          <w:lang w:bidi="fa-IR"/>
        </w:rPr>
        <w:t xml:space="preserve">عِبِ فِي الْيَوْمِ الَّذِي يُثَابُ فِيهِ الْمُحْسِنُونَ ، وَيَخِيبُ فِيهِ الْمُقَصِّرُونَ </w:t>
      </w:r>
      <w:r w:rsidRPr="00A91B96">
        <w:rPr>
          <w:rStyle w:val="libFootnotenumChar"/>
          <w:rtl/>
        </w:rPr>
        <w:t>(9)</w:t>
      </w:r>
      <w:r w:rsidRPr="00020424">
        <w:rPr>
          <w:rtl/>
          <w:lang w:bidi="fa-IR"/>
        </w:rPr>
        <w:t xml:space="preserve"> ، وَايْمُ اللهِ ، لَوْ كُشِفَ الْغِطَاءُ لَشُغِلَ مُحْسِنٌ </w:t>
      </w:r>
      <w:r w:rsidRPr="00A91B96">
        <w:rPr>
          <w:rStyle w:val="libFootnotenumChar"/>
          <w:rtl/>
        </w:rPr>
        <w:t>(10)</w:t>
      </w:r>
      <w:r w:rsidRPr="00020424">
        <w:rPr>
          <w:rtl/>
          <w:lang w:bidi="fa-IR"/>
        </w:rPr>
        <w:t xml:space="preserve"> بِإِحْسَانِهِ ، وَمُسِي‌ءٌ بِإِسَاءَتِهِ</w:t>
      </w:r>
      <w:r>
        <w:rPr>
          <w:rtl/>
          <w:lang w:bidi="fa-IR"/>
        </w:rPr>
        <w:t xml:space="preserve"> ».</w:t>
      </w:r>
      <w:r w:rsidRPr="00020424">
        <w:rPr>
          <w:rtl/>
          <w:lang w:bidi="fa-IR"/>
        </w:rPr>
        <w:t xml:space="preserve"> </w:t>
      </w:r>
      <w:r w:rsidRPr="00A91B96">
        <w:rPr>
          <w:rStyle w:val="libFootnotenumChar"/>
          <w:rtl/>
        </w:rPr>
        <w:t>(11)</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sidRPr="00FD6221">
        <w:rPr>
          <w:rStyle w:val="libFootnoteBoldChar"/>
          <w:rtl/>
        </w:rPr>
        <w:t>والفقيه</w:t>
      </w:r>
      <w:r w:rsidR="00992664" w:rsidRPr="00020424">
        <w:rPr>
          <w:rtl/>
        </w:rPr>
        <w:t xml:space="preserve"> : « واستويت</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 وناسيت</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 الفعل وهو</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في « ظ ، ى ، بث ، بح ، بس ، بف ، جن » و</w:t>
      </w:r>
      <w:r w:rsidR="00992664" w:rsidRPr="0012008A">
        <w:rPr>
          <w:rStyle w:val="libFootnoteBoldChar"/>
          <w:rtl/>
        </w:rPr>
        <w:t>البحار</w:t>
      </w:r>
      <w:r w:rsidR="00992664" w:rsidRPr="00020424">
        <w:rPr>
          <w:rtl/>
        </w:rPr>
        <w:t xml:space="preserve"> </w:t>
      </w:r>
      <w:r w:rsidR="00992664" w:rsidRPr="00FD6221">
        <w:rPr>
          <w:rStyle w:val="libFootnoteBoldChar"/>
          <w:rtl/>
        </w:rPr>
        <w:t>والفقيه</w:t>
      </w:r>
      <w:r w:rsidR="00992664" w:rsidRPr="00020424">
        <w:rPr>
          <w:rtl/>
        </w:rPr>
        <w:t xml:space="preserve"> : « لأنّا</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12008A">
        <w:rPr>
          <w:rStyle w:val="libFootnoteBoldChar"/>
          <w:rtl/>
        </w:rPr>
        <w:t>الفقيه</w:t>
      </w:r>
      <w:r w:rsidR="00992664" w:rsidRPr="00020424">
        <w:rPr>
          <w:rtl/>
        </w:rPr>
        <w:t xml:space="preserve"> ، ج 2 ، ص 173 ، ح 2053 ، معلّقاً عن محمّد بن فضيل ، عن الرضا </w:t>
      </w:r>
      <w:r w:rsidR="00992664" w:rsidRPr="00D64ADA">
        <w:rPr>
          <w:rStyle w:val="libFootnoteAlaemChar"/>
          <w:rtl/>
        </w:rPr>
        <w:t>عليه‌السلام</w:t>
      </w:r>
      <w:r w:rsidR="00992664" w:rsidRPr="00020424">
        <w:rPr>
          <w:rtl/>
        </w:rPr>
        <w:t xml:space="preserve"> </w:t>
      </w:r>
      <w:r w:rsidR="002543D0">
        <w:rPr>
          <w:rFonts w:hint="cs"/>
          <w:rtl/>
        </w:rPr>
        <w:t>.</w:t>
      </w:r>
      <w:r w:rsidR="00992664" w:rsidRPr="0012008A">
        <w:rPr>
          <w:rStyle w:val="libFootnoteBoldChar"/>
          <w:rtl/>
        </w:rPr>
        <w:t>الوافي</w:t>
      </w:r>
      <w:r w:rsidR="00992664" w:rsidRPr="00020424">
        <w:rPr>
          <w:rtl/>
        </w:rPr>
        <w:t xml:space="preserve"> ، ج 9 ، ص 1304 ، ح 8299 ؛ </w:t>
      </w:r>
      <w:r w:rsidR="00992664" w:rsidRPr="0012008A">
        <w:rPr>
          <w:rStyle w:val="libFootnoteBoldChar"/>
          <w:rtl/>
        </w:rPr>
        <w:t>الوسائل</w:t>
      </w:r>
      <w:r w:rsidR="00992664" w:rsidRPr="00020424">
        <w:rPr>
          <w:rtl/>
        </w:rPr>
        <w:t xml:space="preserve"> ، ج 7 ، ص 477 ، ح 9902 ؛ </w:t>
      </w:r>
      <w:r w:rsidR="00992664" w:rsidRPr="0012008A">
        <w:rPr>
          <w:rStyle w:val="libFootnoteBoldChar"/>
          <w:rtl/>
        </w:rPr>
        <w:t>البحار</w:t>
      </w:r>
      <w:r w:rsidR="00992664" w:rsidRPr="00020424">
        <w:rPr>
          <w:rtl/>
        </w:rPr>
        <w:t xml:space="preserve"> ، ج 49 ، ص 105 ، ح 33.</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الفقيه</w:t>
      </w:r>
      <w:r w:rsidR="00992664" w:rsidRPr="00020424">
        <w:rPr>
          <w:rtl/>
        </w:rPr>
        <w:t xml:space="preserve"> ، ح 1479 </w:t>
      </w:r>
      <w:r w:rsidR="00992664" w:rsidRPr="00A83B0E">
        <w:rPr>
          <w:rStyle w:val="libFootnoteBoldChar"/>
          <w:rtl/>
        </w:rPr>
        <w:t>وتحف العقول</w:t>
      </w:r>
      <w:r w:rsidR="00992664" w:rsidRPr="00020424">
        <w:rPr>
          <w:rtl/>
        </w:rPr>
        <w:t xml:space="preserve"> : « جعل</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قال الجوهري : « تضمير الفرس : أن تعلفه حتّى يسمن ، ثمّ تردّه إلى القوت ، وذلك في أربعين يوماً ، وهذه‌المدّة تسمّى المضمار ، والموضع الذي تضمّر فيه الخيل أيضاً : مضمار</w:t>
      </w:r>
      <w:r w:rsidR="00992664">
        <w:rPr>
          <w:rtl/>
        </w:rPr>
        <w:t xml:space="preserve"> ».</w:t>
      </w:r>
      <w:r w:rsidR="00992664" w:rsidRPr="00020424">
        <w:rPr>
          <w:rtl/>
        </w:rPr>
        <w:t xml:space="preserve"> وقال ابن الأثير : « تضمير الخيل : هو أن يظاهر عليها بال</w:t>
      </w:r>
      <w:r w:rsidR="002543D0">
        <w:rPr>
          <w:rtl/>
        </w:rPr>
        <w:t>علف حتّى تسمن ، ثمّ لا تعلف إل</w:t>
      </w:r>
      <w:r w:rsidR="002543D0">
        <w:rPr>
          <w:rFonts w:hint="cs"/>
          <w:rtl/>
        </w:rPr>
        <w:t>ّ</w:t>
      </w:r>
      <w:r w:rsidR="002543D0">
        <w:rPr>
          <w:rtl/>
        </w:rPr>
        <w:t>ا</w:t>
      </w:r>
      <w:r w:rsidR="00992664" w:rsidRPr="00020424">
        <w:rPr>
          <w:rtl/>
        </w:rPr>
        <w:t>قوتاً ، لتخفّ. وقيل : تشدّ عليها سروجها وتجلّل بالأجلّة حتّى تعرق تحتها فيذهب رَهَلها ويشتدّ لحمها</w:t>
      </w:r>
      <w:r w:rsidR="00992664">
        <w:rPr>
          <w:rtl/>
        </w:rPr>
        <w:t xml:space="preserve"> ..</w:t>
      </w:r>
      <w:r w:rsidR="00992664" w:rsidRPr="00020424">
        <w:rPr>
          <w:rtl/>
        </w:rPr>
        <w:t>. والمضمار : الموضع الذي تضمّر فيه الخيل ، ويكون وقتاً للأيّام التي تضمّر فيها</w:t>
      </w:r>
      <w:r w:rsidR="00992664">
        <w:rPr>
          <w:rtl/>
        </w:rPr>
        <w:t xml:space="preserve"> ».</w:t>
      </w:r>
      <w:r w:rsidR="00992664" w:rsidRPr="00020424">
        <w:rPr>
          <w:rtl/>
        </w:rPr>
        <w:t xml:space="preserve"> </w:t>
      </w:r>
      <w:r w:rsidR="00992664" w:rsidRPr="0012008A">
        <w:rPr>
          <w:rStyle w:val="libFootnoteBoldChar"/>
          <w:rtl/>
        </w:rPr>
        <w:t>الصحاح</w:t>
      </w:r>
      <w:r w:rsidR="00992664" w:rsidRPr="00020424">
        <w:rPr>
          <w:rtl/>
        </w:rPr>
        <w:t xml:space="preserve"> ، ج 2 ، ص 722 ؛ </w:t>
      </w:r>
      <w:r w:rsidR="00992664" w:rsidRPr="0012008A">
        <w:rPr>
          <w:rStyle w:val="libFootnoteBoldChar"/>
          <w:rtl/>
        </w:rPr>
        <w:t>النهاية</w:t>
      </w:r>
      <w:r w:rsidR="00992664" w:rsidRPr="00020424">
        <w:rPr>
          <w:rtl/>
        </w:rPr>
        <w:t xml:space="preserve"> ، ج 3 ، ص 99 ( ضمر )</w:t>
      </w:r>
      <w:r w:rsidR="00992664">
        <w:rPr>
          <w:rtl/>
        </w:rPr>
        <w:t>.</w:t>
      </w:r>
    </w:p>
    <w:tbl>
      <w:tblPr>
        <w:tblStyle w:val="TableGrid"/>
        <w:bidiVisual/>
        <w:tblW w:w="0" w:type="auto"/>
        <w:tblLook w:val="04A0" w:firstRow="1" w:lastRow="0" w:firstColumn="1" w:lastColumn="0" w:noHBand="0" w:noVBand="1"/>
      </w:tblPr>
      <w:tblGrid>
        <w:gridCol w:w="4006"/>
        <w:gridCol w:w="4006"/>
      </w:tblGrid>
      <w:tr w:rsidR="002543D0" w:rsidTr="002543D0">
        <w:tc>
          <w:tcPr>
            <w:tcW w:w="4006" w:type="dxa"/>
          </w:tcPr>
          <w:p w:rsidR="002543D0" w:rsidRDefault="002543D0" w:rsidP="00992664">
            <w:pPr>
              <w:pStyle w:val="libFootnote0"/>
              <w:rPr>
                <w:rtl/>
              </w:rPr>
            </w:pPr>
            <w:r>
              <w:rPr>
                <w:rtl/>
              </w:rPr>
              <w:t xml:space="preserve">(7). </w:t>
            </w:r>
            <w:r w:rsidRPr="00020424">
              <w:rPr>
                <w:rtl/>
              </w:rPr>
              <w:t>في « بث ، بخ ، بر ، بف » : « يستبقون</w:t>
            </w:r>
            <w:r>
              <w:rPr>
                <w:rtl/>
              </w:rPr>
              <w:t xml:space="preserve"> ».</w:t>
            </w:r>
          </w:p>
        </w:tc>
        <w:tc>
          <w:tcPr>
            <w:tcW w:w="4006" w:type="dxa"/>
          </w:tcPr>
          <w:p w:rsidR="002543D0" w:rsidRDefault="002543D0" w:rsidP="00992664">
            <w:pPr>
              <w:pStyle w:val="libFootnote0"/>
              <w:rPr>
                <w:rtl/>
              </w:rPr>
            </w:pPr>
            <w:r>
              <w:rPr>
                <w:rtl/>
              </w:rPr>
              <w:t xml:space="preserve">(8). </w:t>
            </w:r>
            <w:r w:rsidRPr="00020424">
              <w:rPr>
                <w:rtl/>
              </w:rPr>
              <w:t>في تحف العقول : « وقصّر</w:t>
            </w:r>
            <w:r>
              <w:rPr>
                <w:rtl/>
              </w:rPr>
              <w:t xml:space="preserve"> ».</w:t>
            </w:r>
          </w:p>
        </w:tc>
      </w:tr>
    </w:tbl>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تحف العقول : « ويخسر فيه المبطلون</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في تحف العقول : « لعلموا أنّ المحسن مشغول » بدل « لشغل محسن</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12008A">
        <w:rPr>
          <w:rStyle w:val="libFootnoteBoldChar"/>
          <w:rtl/>
        </w:rPr>
        <w:t>الفقيه</w:t>
      </w:r>
      <w:r w:rsidR="00992664" w:rsidRPr="00020424">
        <w:rPr>
          <w:rtl/>
        </w:rPr>
        <w:t xml:space="preserve"> ، ج 1 ، ص 511 ، ح 1479 ؛ وج 2 ، ص 174 ، ح 2057 ، مرسلاً عن الحسن بن عليّ </w:t>
      </w:r>
      <w:r w:rsidR="00992664" w:rsidRPr="00D64ADA">
        <w:rPr>
          <w:rStyle w:val="libFootnoteAlaemChar"/>
          <w:rtl/>
        </w:rPr>
        <w:t>عليه‌السلام</w:t>
      </w:r>
      <w:r w:rsidR="00992664" w:rsidRPr="00020424">
        <w:rPr>
          <w:rtl/>
        </w:rPr>
        <w:t xml:space="preserve"> ؛ </w:t>
      </w:r>
      <w:r w:rsidR="00992664" w:rsidRPr="00DE76B9">
        <w:rPr>
          <w:rStyle w:val="libFootnoteBoldChar"/>
          <w:rtl/>
        </w:rPr>
        <w:t>تحف العقول</w:t>
      </w:r>
      <w:r w:rsidR="00992664" w:rsidRPr="00020424">
        <w:rPr>
          <w:rtl/>
        </w:rPr>
        <w:t xml:space="preserve"> ، </w:t>
      </w:r>
      <w:r w:rsidR="002543D0">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992664">
      <w:pPr>
        <w:pStyle w:val="libNormal"/>
        <w:rPr>
          <w:rtl/>
          <w:lang w:bidi="fa-IR"/>
        </w:rPr>
      </w:pPr>
      <w:r w:rsidRPr="00B72DE5">
        <w:rPr>
          <w:rtl/>
        </w:rPr>
        <w:t>6704</w:t>
      </w:r>
      <w:r w:rsidRPr="001155DE">
        <w:rPr>
          <w:rStyle w:val="libBold2Char"/>
          <w:rtl/>
        </w:rPr>
        <w:t xml:space="preserve"> / 6.</w:t>
      </w:r>
      <w:r w:rsidRPr="00020424">
        <w:rPr>
          <w:rtl/>
          <w:lang w:bidi="fa-IR"/>
        </w:rPr>
        <w:t xml:space="preserve"> عَلِيُّ بْنُ مُحَمَّدٍ وَمُحَمَّدُ بْنُ أَبِي عَبْدِ اللهِ ، عَنْ إِسْحَاقَ بْنِ مُحَمَّدٍ ، عَنْ حَمْزَةَ بْنِ مُحَمَّدٍ ، قَالَ :</w:t>
      </w:r>
    </w:p>
    <w:p w:rsidR="00992664" w:rsidRPr="00020424" w:rsidRDefault="00992664" w:rsidP="00992664">
      <w:pPr>
        <w:pStyle w:val="libNormal"/>
        <w:rPr>
          <w:rtl/>
          <w:lang w:bidi="fa-IR"/>
        </w:rPr>
      </w:pPr>
      <w:r w:rsidRPr="00020424">
        <w:rPr>
          <w:rtl/>
          <w:lang w:bidi="fa-IR"/>
        </w:rPr>
        <w:t xml:space="preserve">كَتَبْتُ إِلى أَبِي مُحَمَّدٍ </w:t>
      </w:r>
      <w:r w:rsidRPr="00005A81">
        <w:rPr>
          <w:rStyle w:val="libAlaemChar"/>
          <w:rtl/>
        </w:rPr>
        <w:t>عليه‌السلام</w:t>
      </w:r>
      <w:r w:rsidRPr="00020424">
        <w:rPr>
          <w:rtl/>
          <w:lang w:bidi="fa-IR"/>
        </w:rPr>
        <w:t xml:space="preserve"> : لِمَ فَرَضَ اللهُ الصَّوْمَ</w:t>
      </w:r>
      <w:r>
        <w:rPr>
          <w:rtl/>
          <w:lang w:bidi="fa-IR"/>
        </w:rPr>
        <w:t>؟</w:t>
      </w:r>
    </w:p>
    <w:p w:rsidR="00992664" w:rsidRPr="00020424" w:rsidRDefault="00992664" w:rsidP="00992664">
      <w:pPr>
        <w:pStyle w:val="libNormal"/>
        <w:rPr>
          <w:rtl/>
          <w:lang w:bidi="fa-IR"/>
        </w:rPr>
      </w:pPr>
      <w:r w:rsidRPr="00020424">
        <w:rPr>
          <w:rtl/>
          <w:lang w:bidi="fa-IR"/>
        </w:rPr>
        <w:t xml:space="preserve">فَوَرَدَ الْجَوَابُ : « لِيَجِدَ الْغَنِيُّ مَضَضَ </w:t>
      </w:r>
      <w:r w:rsidRPr="00A91B96">
        <w:rPr>
          <w:rStyle w:val="libFootnotenumChar"/>
          <w:rtl/>
        </w:rPr>
        <w:t>(1)</w:t>
      </w:r>
      <w:r w:rsidRPr="00020424">
        <w:rPr>
          <w:rtl/>
          <w:lang w:bidi="fa-IR"/>
        </w:rPr>
        <w:t xml:space="preserve"> الْجُوعِ ، فَيَحِنَّ </w:t>
      </w:r>
      <w:r w:rsidRPr="00A91B96">
        <w:rPr>
          <w:rStyle w:val="libFootnotenumChar"/>
          <w:rtl/>
        </w:rPr>
        <w:t>(2)</w:t>
      </w:r>
      <w:r w:rsidRPr="00020424">
        <w:rPr>
          <w:rtl/>
          <w:lang w:bidi="fa-IR"/>
        </w:rPr>
        <w:t xml:space="preserve"> عَلَى الْفَقِيرِ</w:t>
      </w:r>
      <w:r>
        <w:rPr>
          <w:rtl/>
          <w:lang w:bidi="fa-IR"/>
        </w:rPr>
        <w:t xml:space="preserve"> ».</w:t>
      </w:r>
      <w:r w:rsidRPr="00020424">
        <w:rPr>
          <w:rtl/>
          <w:lang w:bidi="fa-IR"/>
        </w:rPr>
        <w:t xml:space="preserve"> </w:t>
      </w:r>
      <w:r w:rsidRPr="00A91B96">
        <w:rPr>
          <w:rStyle w:val="libFootnotenumChar"/>
          <w:rtl/>
        </w:rPr>
        <w:t>(3)</w:t>
      </w:r>
      <w:r w:rsidRPr="00020424">
        <w:rPr>
          <w:rtl/>
          <w:lang w:bidi="fa-IR"/>
        </w:rPr>
        <w:t xml:space="preserve"> ‌</w:t>
      </w:r>
    </w:p>
    <w:p w:rsidR="00992664" w:rsidRPr="00020424" w:rsidRDefault="00992664" w:rsidP="00992664">
      <w:pPr>
        <w:pStyle w:val="libNormal"/>
        <w:rPr>
          <w:rtl/>
          <w:lang w:bidi="fa-IR"/>
        </w:rPr>
      </w:pPr>
      <w:r w:rsidRPr="00B72DE5">
        <w:rPr>
          <w:rtl/>
        </w:rPr>
        <w:t>6705</w:t>
      </w:r>
      <w:r w:rsidRPr="001155DE">
        <w:rPr>
          <w:rStyle w:val="libBold2Char"/>
          <w:rtl/>
        </w:rPr>
        <w:t xml:space="preserve"> / 7.</w:t>
      </w:r>
      <w:r w:rsidRPr="00020424">
        <w:rPr>
          <w:rtl/>
          <w:lang w:bidi="fa-IR"/>
        </w:rPr>
        <w:t xml:space="preserve"> عَلِيُّ بْنُ مُحَمَّدٍ ، عَنْ عَبْدِ اللهِ بْنِ إِسْحَاقَ ، عَنِ الْحَسَنِ بْنِ عَلِيِّ بْنِ سُلَيْمَانَ ، عَنْ مُحَمَّدِ بْنِ عِمْرَانَ :</w:t>
      </w:r>
    </w:p>
    <w:p w:rsidR="00992664" w:rsidRPr="00020424" w:rsidRDefault="00992664" w:rsidP="00992664">
      <w:pPr>
        <w:pStyle w:val="libNormal"/>
        <w:rPr>
          <w:rtl/>
          <w:lang w:bidi="fa-IR"/>
        </w:rPr>
      </w:pPr>
      <w:r w:rsidRPr="00020424">
        <w:rPr>
          <w:rtl/>
          <w:lang w:bidi="fa-IR"/>
        </w:rPr>
        <w:t xml:space="preserve">عَنْ أَبِي عَبْدِ اللهِ </w:t>
      </w:r>
      <w:r w:rsidRPr="00005A81">
        <w:rPr>
          <w:rStyle w:val="libAlaemChar"/>
          <w:rtl/>
        </w:rPr>
        <w:t>عليه‌السلام</w:t>
      </w:r>
      <w:r w:rsidRPr="00020424">
        <w:rPr>
          <w:rtl/>
          <w:lang w:bidi="fa-IR"/>
        </w:rPr>
        <w:t xml:space="preserve"> ، قَالَ : « أُتِيَ أَمِيرُ الْمُؤْمِنِينَ </w:t>
      </w:r>
      <w:r w:rsidRPr="00005A81">
        <w:rPr>
          <w:rStyle w:val="libAlaemChar"/>
          <w:rtl/>
        </w:rPr>
        <w:t>عليه‌السلام</w:t>
      </w:r>
      <w:r w:rsidRPr="00020424">
        <w:rPr>
          <w:rtl/>
          <w:lang w:bidi="fa-IR"/>
        </w:rPr>
        <w:t xml:space="preserve"> وَهُوَ جَالِسٌ فِي الْمَسْجِدِ بِالْكُوفَةِ </w:t>
      </w:r>
      <w:r w:rsidRPr="00A91B96">
        <w:rPr>
          <w:rStyle w:val="libFootnotenumChar"/>
          <w:rtl/>
        </w:rPr>
        <w:t>(4)</w:t>
      </w:r>
      <w:r w:rsidRPr="00020424">
        <w:rPr>
          <w:rtl/>
          <w:lang w:bidi="fa-IR"/>
        </w:rPr>
        <w:t xml:space="preserve"> بِقَوْمٍ وَجَدُوهُمْ </w:t>
      </w:r>
      <w:r w:rsidRPr="00A91B96">
        <w:rPr>
          <w:rStyle w:val="libFootnotenumChar"/>
          <w:rtl/>
        </w:rPr>
        <w:t>(5)</w:t>
      </w:r>
      <w:r w:rsidRPr="00020424">
        <w:rPr>
          <w:rtl/>
          <w:lang w:bidi="fa-IR"/>
        </w:rPr>
        <w:t xml:space="preserve"> يَأْكُلُونَ بِالنَّهَارِ فِي شَهْرِ رَمَضَانَ ، فَقَالَ لَهُمْ أَمِيرُ الْمُؤْمِنِينَ </w:t>
      </w:r>
      <w:r w:rsidRPr="00005A81">
        <w:rPr>
          <w:rStyle w:val="libAlaemChar"/>
          <w:rtl/>
        </w:rPr>
        <w:t>عليه‌السلام</w:t>
      </w:r>
      <w:r w:rsidRPr="00020424">
        <w:rPr>
          <w:rtl/>
          <w:lang w:bidi="fa-IR"/>
        </w:rPr>
        <w:t xml:space="preserve"> :</w:t>
      </w:r>
      <w:r>
        <w:rPr>
          <w:rFonts w:hint="cs"/>
          <w:rtl/>
          <w:lang w:bidi="fa-IR"/>
        </w:rPr>
        <w:t xml:space="preserve"> </w:t>
      </w:r>
      <w:r w:rsidRPr="00020424">
        <w:rPr>
          <w:rtl/>
          <w:lang w:bidi="fa-IR"/>
        </w:rPr>
        <w:t>أَكَلْتُمْ وَأَنْتُمْ مُفْطِرُونَ</w:t>
      </w:r>
      <w:r>
        <w:rPr>
          <w:rtl/>
          <w:lang w:bidi="fa-IR"/>
        </w:rPr>
        <w:t>؟</w:t>
      </w:r>
      <w:r w:rsidRPr="00020424">
        <w:rPr>
          <w:rtl/>
          <w:lang w:bidi="fa-IR"/>
        </w:rPr>
        <w:t xml:space="preserve"> قَالُوا : نَعَمْ ، قَالَ : يَهُودُ </w:t>
      </w:r>
      <w:r w:rsidRPr="00A91B96">
        <w:rPr>
          <w:rStyle w:val="libFootnotenumChar"/>
          <w:rtl/>
        </w:rPr>
        <w:t>(6)</w:t>
      </w:r>
      <w:r w:rsidRPr="00020424">
        <w:rPr>
          <w:rtl/>
          <w:lang w:bidi="fa-IR"/>
        </w:rPr>
        <w:t xml:space="preserve"> أَنْتُمْ</w:t>
      </w:r>
      <w:r>
        <w:rPr>
          <w:rtl/>
          <w:lang w:bidi="fa-IR"/>
        </w:rPr>
        <w:t>؟</w:t>
      </w:r>
      <w:r w:rsidRPr="00020424">
        <w:rPr>
          <w:rtl/>
          <w:lang w:bidi="fa-IR"/>
        </w:rPr>
        <w:t xml:space="preserve"> قَالُوا : لَا ، قَالَ : فَنَصَارى</w:t>
      </w:r>
      <w:r>
        <w:rPr>
          <w:rtl/>
          <w:lang w:bidi="fa-IR"/>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BC7233" w:rsidP="00992664">
      <w:pPr>
        <w:pStyle w:val="libFootnote0"/>
        <w:rPr>
          <w:rtl/>
          <w:lang w:bidi="fa-IR"/>
        </w:rPr>
      </w:pPr>
      <w:r>
        <w:rPr>
          <w:rFonts w:hint="cs"/>
          <w:rtl/>
        </w:rPr>
        <w:t xml:space="preserve">= </w:t>
      </w:r>
      <w:r w:rsidR="00992664" w:rsidRPr="00020424">
        <w:rPr>
          <w:rtl/>
        </w:rPr>
        <w:t xml:space="preserve">ص 236 ، عن الحسن بن عليّ المجتبى </w:t>
      </w:r>
      <w:r w:rsidR="00992664" w:rsidRPr="00D64ADA">
        <w:rPr>
          <w:rStyle w:val="libFootnoteAlaemChar"/>
          <w:rtl/>
        </w:rPr>
        <w:t>عليه‌السلام</w:t>
      </w:r>
      <w:r w:rsidR="00992664" w:rsidRPr="00020424">
        <w:rPr>
          <w:rtl/>
        </w:rPr>
        <w:t xml:space="preserve"> ، مع اختلاف يسير </w:t>
      </w:r>
      <w:r w:rsidR="00F455C8">
        <w:rPr>
          <w:rFonts w:hint="cs"/>
          <w:rtl/>
        </w:rPr>
        <w:t>.</w:t>
      </w:r>
      <w:r w:rsidR="00992664" w:rsidRPr="0012008A">
        <w:rPr>
          <w:rStyle w:val="libFootnoteBoldChar"/>
          <w:rtl/>
        </w:rPr>
        <w:t>الوافي</w:t>
      </w:r>
      <w:r w:rsidR="00992664" w:rsidRPr="00020424">
        <w:rPr>
          <w:rtl/>
        </w:rPr>
        <w:t xml:space="preserve"> ، ج 9 ، ص 1338 ، ح 8338 ؛ </w:t>
      </w:r>
      <w:r w:rsidR="00992664" w:rsidRPr="0012008A">
        <w:rPr>
          <w:rStyle w:val="libFootnoteBoldChar"/>
          <w:rtl/>
        </w:rPr>
        <w:t>الوسائل</w:t>
      </w:r>
      <w:r w:rsidR="00992664" w:rsidRPr="00020424">
        <w:rPr>
          <w:rtl/>
        </w:rPr>
        <w:t xml:space="preserve"> ، ج 7 ، ص 480 ، ذيل ح 9910.</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 « ضعف</w:t>
      </w:r>
      <w:r w:rsidR="00992664">
        <w:rPr>
          <w:rtl/>
        </w:rPr>
        <w:t xml:space="preserve"> ».</w:t>
      </w:r>
      <w:r w:rsidR="00992664" w:rsidRPr="00020424">
        <w:rPr>
          <w:rtl/>
        </w:rPr>
        <w:t xml:space="preserve"> وقال الجوهري : « المَضَضُ : وجع المصيبة</w:t>
      </w:r>
      <w:r w:rsidR="00992664">
        <w:rPr>
          <w:rtl/>
        </w:rPr>
        <w:t xml:space="preserve"> ».</w:t>
      </w:r>
      <w:r w:rsidR="00992664" w:rsidRPr="00020424">
        <w:rPr>
          <w:rtl/>
        </w:rPr>
        <w:t xml:space="preserve"> وقال الفيّومي : « مضضت من الشي‌ء مَضَضاً ، من باب تعب : تألّمت</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1106 ؛ </w:t>
      </w:r>
      <w:r w:rsidR="00992664" w:rsidRPr="00A722B1">
        <w:rPr>
          <w:rStyle w:val="libFootnoteBoldChar"/>
          <w:rtl/>
        </w:rPr>
        <w:t>المصباح المنير</w:t>
      </w:r>
      <w:r w:rsidR="00992664" w:rsidRPr="00020424">
        <w:rPr>
          <w:rtl/>
        </w:rPr>
        <w:t xml:space="preserve"> ، ص 574 ( مضض )</w:t>
      </w:r>
      <w:r w:rsidR="00992664">
        <w:rPr>
          <w:rtl/>
        </w:rPr>
        <w:t>.</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 بر ، بف » </w:t>
      </w:r>
      <w:r w:rsidR="00992664" w:rsidRPr="00515444">
        <w:rPr>
          <w:rStyle w:val="libFootnoteBoldChar"/>
          <w:rtl/>
        </w:rPr>
        <w:t>والوافي</w:t>
      </w:r>
      <w:r w:rsidR="00992664" w:rsidRPr="00020424">
        <w:rPr>
          <w:rtl/>
        </w:rPr>
        <w:t xml:space="preserve"> : « فيحنّو</w:t>
      </w:r>
      <w:r w:rsidR="00992664">
        <w:rPr>
          <w:rtl/>
        </w:rPr>
        <w:t xml:space="preserve"> ».</w:t>
      </w:r>
      <w:r w:rsidR="00992664" w:rsidRPr="00020424">
        <w:rPr>
          <w:rtl/>
        </w:rPr>
        <w:t xml:space="preserve"> وفي « بح » : + « له</w:t>
      </w:r>
      <w:r w:rsidR="00992664">
        <w:rPr>
          <w:rtl/>
        </w:rPr>
        <w:t xml:space="preserve"> ».</w:t>
      </w:r>
      <w:r w:rsidR="00992664" w:rsidRPr="00020424">
        <w:rPr>
          <w:rtl/>
        </w:rPr>
        <w:t xml:space="preserve"> وفي </w:t>
      </w:r>
      <w:r w:rsidR="00992664" w:rsidRPr="0012008A">
        <w:rPr>
          <w:rStyle w:val="libFootnoteBoldChar"/>
          <w:rtl/>
        </w:rPr>
        <w:t>الفقيه</w:t>
      </w:r>
      <w:r w:rsidR="00992664" w:rsidRPr="00020424">
        <w:rPr>
          <w:rtl/>
        </w:rPr>
        <w:t xml:space="preserve"> ، ح 1768 </w:t>
      </w:r>
      <w:r w:rsidR="00992664" w:rsidRPr="00666432">
        <w:rPr>
          <w:rStyle w:val="libFootnoteBoldChar"/>
          <w:rtl/>
        </w:rPr>
        <w:t>و</w:t>
      </w:r>
      <w:r w:rsidR="00992664" w:rsidRPr="00587829">
        <w:rPr>
          <w:rStyle w:val="libFootnoteBoldChar"/>
          <w:rtl/>
        </w:rPr>
        <w:t>الأمالي للصدوق</w:t>
      </w:r>
      <w:r w:rsidR="00992664" w:rsidRPr="00020424">
        <w:rPr>
          <w:rtl/>
        </w:rPr>
        <w:t>: « فيمنّ</w:t>
      </w:r>
      <w:r w:rsidR="00992664">
        <w:rPr>
          <w:rtl/>
        </w:rPr>
        <w:t xml:space="preserve"> ».</w:t>
      </w:r>
      <w:r w:rsidR="00992664" w:rsidRPr="00020424">
        <w:rPr>
          <w:rtl/>
        </w:rPr>
        <w:t xml:space="preserve"> </w:t>
      </w:r>
      <w:r w:rsidR="00992664">
        <w:rPr>
          <w:rtl/>
        </w:rPr>
        <w:t>و «</w:t>
      </w:r>
      <w:r w:rsidR="00992664" w:rsidRPr="00020424">
        <w:rPr>
          <w:rtl/>
        </w:rPr>
        <w:t xml:space="preserve"> فيحنّ » ، أي يرحم ويعطف. راجع : </w:t>
      </w:r>
      <w:r w:rsidR="00992664" w:rsidRPr="0012008A">
        <w:rPr>
          <w:rStyle w:val="libFootnoteBoldChar"/>
          <w:rtl/>
        </w:rPr>
        <w:t>الصحاح</w:t>
      </w:r>
      <w:r w:rsidR="00992664" w:rsidRPr="00020424">
        <w:rPr>
          <w:rtl/>
        </w:rPr>
        <w:t xml:space="preserve"> ، ج 5 ، ص 2104 ؛ </w:t>
      </w:r>
      <w:r w:rsidR="00992664" w:rsidRPr="00A722B1">
        <w:rPr>
          <w:rStyle w:val="libFootnoteBoldChar"/>
          <w:rtl/>
        </w:rPr>
        <w:t>المصباح المنير</w:t>
      </w:r>
      <w:r w:rsidR="00992664" w:rsidRPr="00020424">
        <w:rPr>
          <w:rtl/>
        </w:rPr>
        <w:t xml:space="preserve"> ، ص 154 ( حنن )</w:t>
      </w:r>
      <w:r w:rsidR="00992664">
        <w:rPr>
          <w:rtl/>
        </w:rPr>
        <w:t>.</w:t>
      </w:r>
      <w:r w:rsidR="00992664" w:rsidRPr="00020424">
        <w:rPr>
          <w:rtl/>
        </w:rPr>
        <w:t xml:space="preserve"> هذا ، وفي </w:t>
      </w:r>
      <w:r w:rsidR="00992664" w:rsidRPr="00DE76B9">
        <w:rPr>
          <w:rStyle w:val="libFootnoteBoldChar"/>
          <w:rtl/>
        </w:rPr>
        <w:t>مرآة العقول</w:t>
      </w:r>
      <w:r w:rsidR="00992664" w:rsidRPr="00020424">
        <w:rPr>
          <w:rtl/>
        </w:rPr>
        <w:t xml:space="preserve"> : « في بعض النسخ : مسّ الجوع ، وهو الألم القليل ، ويقال : حنوت عليه ، أي عطفت » ، ويظهر من ذيل كلامه أنّه قرأ : « فيحنو » بدل « فيحنّ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587829">
        <w:rPr>
          <w:rStyle w:val="libFootnoteBoldChar"/>
          <w:rtl/>
        </w:rPr>
        <w:t>الأمالي للصدوق</w:t>
      </w:r>
      <w:r w:rsidR="00992664" w:rsidRPr="00020424">
        <w:rPr>
          <w:rtl/>
        </w:rPr>
        <w:t xml:space="preserve"> ، ص 42 ، المجلس 11 ، ح 2 ، بسنده عن محمّد بن أبي عبدالله الكوفي ، عن إسحاق بن محمّد. </w:t>
      </w:r>
      <w:r w:rsidR="00992664" w:rsidRPr="0012008A">
        <w:rPr>
          <w:rStyle w:val="libFootnoteBoldChar"/>
          <w:rtl/>
        </w:rPr>
        <w:t>الفقيه</w:t>
      </w:r>
      <w:r w:rsidR="00992664" w:rsidRPr="00020424">
        <w:rPr>
          <w:rtl/>
        </w:rPr>
        <w:t xml:space="preserve"> ، ج 2 ، ص 73 ، ح 1768 ، معلّقاً عن حمزة بن محمّد. </w:t>
      </w:r>
      <w:r w:rsidR="00992664" w:rsidRPr="00DE76B9">
        <w:rPr>
          <w:rStyle w:val="libFootnoteBoldChar"/>
          <w:rtl/>
        </w:rPr>
        <w:t>وفيه</w:t>
      </w:r>
      <w:r w:rsidR="00992664" w:rsidRPr="00020424">
        <w:rPr>
          <w:rtl/>
        </w:rPr>
        <w:t xml:space="preserve"> ، ح 1766 ؛ </w:t>
      </w:r>
      <w:r w:rsidR="00992664" w:rsidRPr="00515444">
        <w:rPr>
          <w:rStyle w:val="libFootnoteBoldChar"/>
          <w:rtl/>
        </w:rPr>
        <w:t>وعلل الشرائع</w:t>
      </w:r>
      <w:r w:rsidR="00992664" w:rsidRPr="00020424">
        <w:rPr>
          <w:rtl/>
        </w:rPr>
        <w:t xml:space="preserve"> ، ص 270 ، ضمن الحديث الطويل 9 ؛ وص 378 ، ح 2 ؛ </w:t>
      </w:r>
      <w:r w:rsidR="00992664" w:rsidRPr="00D27EE2">
        <w:rPr>
          <w:rStyle w:val="libFootnoteBoldChar"/>
          <w:rtl/>
        </w:rPr>
        <w:t>وفضائل الأشهر الثلاثة</w:t>
      </w:r>
      <w:r w:rsidR="00992664" w:rsidRPr="00DE76B9">
        <w:rPr>
          <w:rStyle w:val="libFootnoteBoldChar"/>
          <w:rtl/>
        </w:rPr>
        <w:t xml:space="preserve"> </w:t>
      </w:r>
      <w:r w:rsidR="00992664" w:rsidRPr="00020424">
        <w:rPr>
          <w:rtl/>
        </w:rPr>
        <w:t xml:space="preserve">، ص 102 ، ح 88 ، بسند آخر عن أبي عبدالله </w:t>
      </w:r>
      <w:r w:rsidR="00992664" w:rsidRPr="00D64ADA">
        <w:rPr>
          <w:rStyle w:val="libFootnoteAlaemChar"/>
          <w:rtl/>
        </w:rPr>
        <w:t>عليه‌السلام</w:t>
      </w:r>
      <w:r w:rsidR="00992664" w:rsidRPr="00020424">
        <w:rPr>
          <w:rtl/>
        </w:rPr>
        <w:t xml:space="preserve"> ، مع اختلاف وزيادة </w:t>
      </w:r>
      <w:r w:rsidR="00F455C8">
        <w:rPr>
          <w:rFonts w:hint="cs"/>
          <w:rtl/>
        </w:rPr>
        <w:t>.</w:t>
      </w:r>
      <w:r w:rsidR="00992664" w:rsidRPr="0012008A">
        <w:rPr>
          <w:rStyle w:val="libFootnoteBoldChar"/>
          <w:rtl/>
        </w:rPr>
        <w:t>الوافي</w:t>
      </w:r>
      <w:r w:rsidR="00992664" w:rsidRPr="00020424">
        <w:rPr>
          <w:rtl/>
        </w:rPr>
        <w:t xml:space="preserve"> ، ج 11 ، ص 33 ، ح 10370 ؛ </w:t>
      </w:r>
      <w:r w:rsidR="00992664" w:rsidRPr="0012008A">
        <w:rPr>
          <w:rStyle w:val="libFootnoteBoldChar"/>
          <w:rtl/>
        </w:rPr>
        <w:t>الوسائل</w:t>
      </w:r>
      <w:r w:rsidR="00992664" w:rsidRPr="00020424">
        <w:rPr>
          <w:rtl/>
        </w:rPr>
        <w:t xml:space="preserve"> ، ج 10 ، ص 8 ، ذيل ح 12700.</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في مسجد الكوفة</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 xml:space="preserve">في « بخ ، بف » </w:t>
      </w:r>
      <w:r w:rsidR="00992664" w:rsidRPr="00515444">
        <w:rPr>
          <w:rStyle w:val="libFootnoteBoldChar"/>
          <w:rtl/>
        </w:rPr>
        <w:t>والوافي</w:t>
      </w:r>
      <w:r w:rsidR="00992664" w:rsidRPr="00020424">
        <w:rPr>
          <w:rtl/>
        </w:rPr>
        <w:t xml:space="preserve"> : « وجدهم</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ج 40 : « وهم</w:t>
      </w:r>
      <w:r w:rsidR="00992664">
        <w:rPr>
          <w:rtl/>
        </w:rPr>
        <w:t xml:space="preserve"> ».</w:t>
      </w:r>
    </w:p>
    <w:p w:rsidR="00992664" w:rsidRPr="00020424" w:rsidRDefault="00795177" w:rsidP="00992664">
      <w:pPr>
        <w:pStyle w:val="libFootnote0"/>
        <w:rPr>
          <w:rtl/>
          <w:lang w:bidi="fa-IR"/>
        </w:rPr>
      </w:pPr>
      <w:r>
        <w:rPr>
          <w:rtl/>
        </w:rPr>
        <w:t>(6).</w:t>
      </w:r>
      <w:r w:rsidR="0014403D">
        <w:rPr>
          <w:rtl/>
        </w:rPr>
        <w:t xml:space="preserve"> </w:t>
      </w:r>
      <w:r w:rsidR="00992664" w:rsidRPr="00020424">
        <w:rPr>
          <w:rtl/>
        </w:rPr>
        <w:t xml:space="preserve">في « ى ، بث ، بخ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أيهود</w:t>
      </w:r>
      <w:r w:rsidR="00992664">
        <w:rPr>
          <w:rtl/>
        </w:rPr>
        <w:t xml:space="preserve"> ».</w:t>
      </w:r>
      <w:r w:rsidR="00992664" w:rsidRPr="00020424">
        <w:rPr>
          <w:rtl/>
        </w:rPr>
        <w:t xml:space="preserve"> وفي « بف » : « أفيهود</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992664">
      <w:pPr>
        <w:rPr>
          <w:rtl/>
          <w:lang w:bidi="fa-IR"/>
        </w:rPr>
      </w:pPr>
      <w:r w:rsidRPr="00020424">
        <w:rPr>
          <w:rtl/>
          <w:lang w:bidi="fa-IR"/>
        </w:rPr>
        <w:t xml:space="preserve">قَالُوا : لَا ، قَالَ : فَعَلى أَيِّ </w:t>
      </w:r>
      <w:r w:rsidRPr="00A91B96">
        <w:rPr>
          <w:rStyle w:val="libFootnotenumChar"/>
          <w:rtl/>
        </w:rPr>
        <w:t>(1)</w:t>
      </w:r>
      <w:r w:rsidRPr="00020424">
        <w:rPr>
          <w:rtl/>
          <w:lang w:bidi="fa-IR"/>
        </w:rPr>
        <w:t xml:space="preserve"> شَيْ‌ءٍ مِنْ هذِهِ الْأَدْيَانِ مُخَالِفِينَ </w:t>
      </w:r>
      <w:r w:rsidRPr="00A91B96">
        <w:rPr>
          <w:rStyle w:val="libFootnotenumChar"/>
          <w:rtl/>
        </w:rPr>
        <w:t>(2)</w:t>
      </w:r>
      <w:r w:rsidRPr="00020424">
        <w:rPr>
          <w:rtl/>
          <w:lang w:bidi="fa-IR"/>
        </w:rPr>
        <w:t xml:space="preserve"> لِلْإِسْلَامِ</w:t>
      </w:r>
      <w:r>
        <w:rPr>
          <w:rtl/>
          <w:lang w:bidi="fa-IR"/>
        </w:rPr>
        <w:t>؟</w:t>
      </w:r>
      <w:r w:rsidRPr="00020424">
        <w:rPr>
          <w:rtl/>
          <w:lang w:bidi="fa-IR"/>
        </w:rPr>
        <w:t xml:space="preserve"> قَالُوا : بَلْ مُسْلِمُونَ ، قَالَ : فَسَفْرٌ </w:t>
      </w:r>
      <w:r w:rsidRPr="00A91B96">
        <w:rPr>
          <w:rStyle w:val="libFootnotenumChar"/>
          <w:rtl/>
        </w:rPr>
        <w:t>(3)</w:t>
      </w:r>
      <w:r w:rsidRPr="00020424">
        <w:rPr>
          <w:rtl/>
          <w:lang w:bidi="fa-IR"/>
        </w:rPr>
        <w:t xml:space="preserve"> أَنْتُمْ</w:t>
      </w:r>
      <w:r>
        <w:rPr>
          <w:rtl/>
          <w:lang w:bidi="fa-IR"/>
        </w:rPr>
        <w:t>؟</w:t>
      </w:r>
      <w:r w:rsidRPr="00020424">
        <w:rPr>
          <w:rtl/>
          <w:lang w:bidi="fa-IR"/>
        </w:rPr>
        <w:t xml:space="preserve"> قَالُوا : لَا ، قَالَ : فِيكُمْ </w:t>
      </w:r>
      <w:r w:rsidRPr="00A91B96">
        <w:rPr>
          <w:rStyle w:val="libFootnotenumChar"/>
          <w:rtl/>
        </w:rPr>
        <w:t>(4)</w:t>
      </w:r>
      <w:r w:rsidRPr="00020424">
        <w:rPr>
          <w:rtl/>
          <w:lang w:bidi="fa-IR"/>
        </w:rPr>
        <w:t xml:space="preserve"> عِلَّةٌ اسْتَوْجَبْتُمُ الْإِفْطَارَ لَانَشْعُرُ </w:t>
      </w:r>
      <w:r w:rsidRPr="00A91B96">
        <w:rPr>
          <w:rStyle w:val="libFootnotenumChar"/>
          <w:rtl/>
        </w:rPr>
        <w:t>(5)</w:t>
      </w:r>
      <w:r w:rsidRPr="00020424">
        <w:rPr>
          <w:rtl/>
          <w:lang w:bidi="fa-IR"/>
        </w:rPr>
        <w:t xml:space="preserve"> بِهَا فَإِنَّكُمْ أَبْصَرُ بِأَنْفُسِكُمْ </w:t>
      </w:r>
      <w:r w:rsidRPr="00A91B96">
        <w:rPr>
          <w:rStyle w:val="libFootnotenumChar"/>
          <w:rtl/>
        </w:rPr>
        <w:t>(6)</w:t>
      </w:r>
      <w:r w:rsidRPr="00020424">
        <w:rPr>
          <w:rtl/>
          <w:lang w:bidi="fa-IR"/>
        </w:rPr>
        <w:t xml:space="preserve"> ؛ لِأَنَّ اللهَ</w:t>
      </w:r>
      <w:r>
        <w:rPr>
          <w:rtl/>
          <w:lang w:bidi="fa-IR"/>
        </w:rPr>
        <w:t xml:space="preserve"> </w:t>
      </w:r>
      <w:r w:rsidR="009B673F">
        <w:rPr>
          <w:rtl/>
          <w:lang w:bidi="fa-IR"/>
        </w:rPr>
        <w:t>-</w:t>
      </w:r>
      <w:r>
        <w:rPr>
          <w:rtl/>
          <w:lang w:bidi="fa-IR"/>
        </w:rPr>
        <w:t xml:space="preserve"> </w:t>
      </w:r>
      <w:r w:rsidRPr="00020424">
        <w:rPr>
          <w:rtl/>
          <w:lang w:bidi="fa-IR"/>
        </w:rPr>
        <w:t>عَزَّ وَجَلَّ</w:t>
      </w:r>
      <w:r>
        <w:rPr>
          <w:rtl/>
          <w:lang w:bidi="fa-IR"/>
        </w:rPr>
        <w:t xml:space="preserve"> </w:t>
      </w:r>
      <w:r w:rsidR="009B673F">
        <w:rPr>
          <w:rtl/>
          <w:lang w:bidi="fa-IR"/>
        </w:rPr>
        <w:t>-</w:t>
      </w:r>
      <w:r>
        <w:rPr>
          <w:rtl/>
          <w:lang w:bidi="fa-IR"/>
        </w:rPr>
        <w:t xml:space="preserve"> </w:t>
      </w:r>
      <w:r w:rsidRPr="00020424">
        <w:rPr>
          <w:rtl/>
          <w:lang w:bidi="fa-IR"/>
        </w:rPr>
        <w:t xml:space="preserve">يَقُولُ : </w:t>
      </w:r>
      <w:r w:rsidRPr="00005A81">
        <w:rPr>
          <w:rStyle w:val="libAlaemChar"/>
          <w:rtl/>
        </w:rPr>
        <w:t>(</w:t>
      </w:r>
      <w:r w:rsidRPr="004E5AB4">
        <w:rPr>
          <w:rStyle w:val="libAieChar"/>
          <w:rtl/>
        </w:rPr>
        <w:t xml:space="preserve"> بَلِ الْإِنْسانُ عَلى نَفْسِهِ بَصِيرَةٌ</w:t>
      </w:r>
      <w:r w:rsidRPr="00005A81">
        <w:rPr>
          <w:rStyle w:val="libAlaemChar"/>
          <w:rtl/>
        </w:rPr>
        <w:t>)</w:t>
      </w:r>
      <w:r w:rsidRPr="00020424">
        <w:rPr>
          <w:rtl/>
          <w:lang w:bidi="fa-IR"/>
        </w:rPr>
        <w:t xml:space="preserve"> </w:t>
      </w:r>
      <w:r w:rsidRPr="00A91B96">
        <w:rPr>
          <w:rStyle w:val="libFootnotenumChar"/>
          <w:rtl/>
        </w:rPr>
        <w:t>(7)</w:t>
      </w:r>
      <w:r>
        <w:rPr>
          <w:rtl/>
          <w:lang w:bidi="fa-IR"/>
        </w:rPr>
        <w:t>؟</w:t>
      </w:r>
      <w:r>
        <w:rPr>
          <w:rFonts w:hint="cs"/>
          <w:rtl/>
          <w:lang w:bidi="fa-IR"/>
        </w:rPr>
        <w:t xml:space="preserve"> </w:t>
      </w:r>
      <w:r w:rsidRPr="00020424">
        <w:rPr>
          <w:rtl/>
          <w:lang w:bidi="fa-IR"/>
        </w:rPr>
        <w:t xml:space="preserve">قَالُوا : بَلْ أَصْبَحْنَا مَا بِنَا </w:t>
      </w:r>
      <w:r w:rsidRPr="00A91B96">
        <w:rPr>
          <w:rStyle w:val="libFootnotenumChar"/>
          <w:rtl/>
        </w:rPr>
        <w:t>(8)</w:t>
      </w:r>
      <w:r w:rsidRPr="00020424">
        <w:rPr>
          <w:rtl/>
          <w:lang w:bidi="fa-IR"/>
        </w:rPr>
        <w:t xml:space="preserve"> عِلَّةٌ</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فَضَحِكَ </w:t>
      </w:r>
      <w:r w:rsidRPr="00A91B96">
        <w:rPr>
          <w:rStyle w:val="libFootnotenumChar"/>
          <w:rtl/>
        </w:rPr>
        <w:t>(9)</w:t>
      </w:r>
      <w:r w:rsidRPr="00020424">
        <w:rPr>
          <w:rtl/>
          <w:lang w:bidi="fa-IR"/>
        </w:rPr>
        <w:t xml:space="preserve"> أَمِيرُ الْمُؤْمِنِينَ</w:t>
      </w:r>
      <w:r>
        <w:rPr>
          <w:rtl/>
          <w:lang w:bidi="fa-IR"/>
        </w:rPr>
        <w:t xml:space="preserve"> </w:t>
      </w:r>
      <w:r w:rsidR="009B673F">
        <w:rPr>
          <w:rtl/>
          <w:lang w:bidi="fa-IR"/>
        </w:rPr>
        <w:t>-</w:t>
      </w:r>
      <w:r>
        <w:rPr>
          <w:rtl/>
          <w:lang w:bidi="fa-IR"/>
        </w:rPr>
        <w:t xml:space="preserve"> </w:t>
      </w:r>
      <w:r w:rsidRPr="00020424">
        <w:rPr>
          <w:rtl/>
          <w:lang w:bidi="fa-IR"/>
        </w:rPr>
        <w:t>صَلَوَاتُ اللهِ عَلَيْهِ</w:t>
      </w:r>
      <w:r>
        <w:rPr>
          <w:rtl/>
          <w:lang w:bidi="fa-IR"/>
        </w:rPr>
        <w:t xml:space="preserve"> </w:t>
      </w:r>
      <w:r w:rsidR="009B673F">
        <w:rPr>
          <w:rtl/>
          <w:lang w:bidi="fa-IR"/>
        </w:rPr>
        <w:t>-</w:t>
      </w:r>
      <w:r>
        <w:rPr>
          <w:rtl/>
          <w:lang w:bidi="fa-IR"/>
        </w:rPr>
        <w:t xml:space="preserve"> </w:t>
      </w:r>
      <w:r w:rsidRPr="00020424">
        <w:rPr>
          <w:rtl/>
          <w:lang w:bidi="fa-IR"/>
        </w:rPr>
        <w:t xml:space="preserve">ثُمَّ قَالَ : تَشْهَدُونَ أَنْ </w:t>
      </w:r>
      <w:r w:rsidRPr="00A91B96">
        <w:rPr>
          <w:rStyle w:val="libFootnotenumChar"/>
          <w:rtl/>
        </w:rPr>
        <w:t>(10)</w:t>
      </w:r>
      <w:r w:rsidRPr="00020424">
        <w:rPr>
          <w:rtl/>
          <w:lang w:bidi="fa-IR"/>
        </w:rPr>
        <w:t xml:space="preserve"> لَا</w:t>
      </w:r>
      <w:r>
        <w:rPr>
          <w:rFonts w:hint="cs"/>
          <w:rtl/>
          <w:lang w:bidi="fa-IR"/>
        </w:rPr>
        <w:t xml:space="preserve"> </w:t>
      </w:r>
      <w:r w:rsidR="00F455C8">
        <w:rPr>
          <w:rtl/>
          <w:lang w:bidi="fa-IR"/>
        </w:rPr>
        <w:t>إِلهَ إِل</w:t>
      </w:r>
      <w:r w:rsidR="00F455C8">
        <w:rPr>
          <w:rFonts w:hint="cs"/>
          <w:rtl/>
          <w:lang w:bidi="fa-IR"/>
        </w:rPr>
        <w:t>َّ</w:t>
      </w:r>
      <w:r w:rsidR="00F455C8">
        <w:rPr>
          <w:rtl/>
          <w:lang w:bidi="fa-IR"/>
        </w:rPr>
        <w:t>ا</w:t>
      </w:r>
      <w:r w:rsidRPr="00020424">
        <w:rPr>
          <w:rtl/>
          <w:lang w:bidi="fa-IR"/>
        </w:rPr>
        <w:t xml:space="preserve"> اللهُ ، وَأَنَّ مُحَمَّداً رَسُولُ اللهِ ، قَالُوا : نَشْهَدُ أَنْ لَا</w:t>
      </w:r>
      <w:r>
        <w:rPr>
          <w:rFonts w:hint="cs"/>
          <w:rtl/>
          <w:lang w:bidi="fa-IR"/>
        </w:rPr>
        <w:t xml:space="preserve"> </w:t>
      </w:r>
      <w:r w:rsidR="00701DD0">
        <w:rPr>
          <w:rtl/>
          <w:lang w:bidi="fa-IR"/>
        </w:rPr>
        <w:t>إِلهَ إِل</w:t>
      </w:r>
      <w:r w:rsidR="00701DD0">
        <w:rPr>
          <w:rFonts w:hint="cs"/>
          <w:rtl/>
          <w:lang w:bidi="fa-IR"/>
        </w:rPr>
        <w:t>َّ</w:t>
      </w:r>
      <w:r w:rsidR="00701DD0">
        <w:rPr>
          <w:rtl/>
          <w:lang w:bidi="fa-IR"/>
        </w:rPr>
        <w:t>ا</w:t>
      </w:r>
      <w:r w:rsidRPr="00020424">
        <w:rPr>
          <w:rtl/>
          <w:lang w:bidi="fa-IR"/>
        </w:rPr>
        <w:t xml:space="preserve"> اللهُ ، وَلَانَعْرِفُ مُحَمَّداً ، قَالَ : فَإِنَّهُ رَسُولُ اللهِ </w:t>
      </w:r>
      <w:r w:rsidRPr="00A91B96">
        <w:rPr>
          <w:rStyle w:val="libFootnotenumChar"/>
          <w:rtl/>
        </w:rPr>
        <w:t>(11)</w:t>
      </w:r>
      <w:r w:rsidRPr="00020424">
        <w:rPr>
          <w:rtl/>
          <w:lang w:bidi="fa-IR"/>
        </w:rPr>
        <w:t xml:space="preserve"> ، قَالُوا : لَانَعْرِفُهُ بِذلِكَ ، إِنَّمَا هُوَ أَعْرَابِيٌّ دَعَا إِلى نَفْسِهِ ، فَقَالَ :</w:t>
      </w:r>
      <w:r>
        <w:rPr>
          <w:rFonts w:hint="cs"/>
          <w:rtl/>
          <w:lang w:bidi="fa-IR"/>
        </w:rPr>
        <w:t xml:space="preserve"> </w:t>
      </w:r>
      <w:r w:rsidRPr="00020424">
        <w:rPr>
          <w:rtl/>
          <w:lang w:bidi="fa-IR"/>
        </w:rPr>
        <w:t xml:space="preserve">إِنْ أَقْرَرْتُمْ ، وَإِلاَّ قَتَلْتُكُمْ </w:t>
      </w:r>
      <w:r w:rsidRPr="00A91B96">
        <w:rPr>
          <w:rStyle w:val="libFootnotenumChar"/>
          <w:rtl/>
        </w:rPr>
        <w:t>(12)</w:t>
      </w:r>
      <w:r w:rsidRPr="00020424">
        <w:rPr>
          <w:rtl/>
          <w:lang w:bidi="fa-IR"/>
        </w:rPr>
        <w:t xml:space="preserve"> ، قَالُوا : وَإِنْ فَعَلْتَ </w:t>
      </w:r>
      <w:r w:rsidRPr="00A91B96">
        <w:rPr>
          <w:rStyle w:val="libFootnotenumChar"/>
          <w:rtl/>
        </w:rPr>
        <w:t>(13)</w:t>
      </w:r>
      <w:r w:rsidRPr="00020424">
        <w:rPr>
          <w:rtl/>
          <w:lang w:bidi="fa-IR"/>
        </w:rPr>
        <w:t xml:space="preserve"> ، فَوَكَّلَ بِهِمْ شُرْطَةَ </w:t>
      </w:r>
      <w:r w:rsidRPr="00A91B96">
        <w:rPr>
          <w:rStyle w:val="libFootnotenumChar"/>
          <w:rtl/>
        </w:rPr>
        <w:t>(14)</w:t>
      </w:r>
      <w:r w:rsidRPr="00020424">
        <w:rPr>
          <w:rtl/>
          <w:lang w:bidi="fa-IR"/>
        </w:rPr>
        <w:t xml:space="preserve"> الْخَمِيسِ </w:t>
      </w:r>
      <w:r w:rsidRPr="00A91B96">
        <w:rPr>
          <w:rStyle w:val="libFootnotenumChar"/>
          <w:rtl/>
        </w:rPr>
        <w:t>(15)</w:t>
      </w:r>
      <w:r w:rsidRPr="00020424">
        <w:rPr>
          <w:rtl/>
          <w:lang w:bidi="fa-IR"/>
        </w:rPr>
        <w:t xml:space="preserve"> ،</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 xml:space="preserve">في « ظ ، بث ، بر ، بف » </w:t>
      </w:r>
      <w:r w:rsidR="00992664" w:rsidRPr="00701DD0">
        <w:rPr>
          <w:rtl/>
        </w:rPr>
        <w:t>والوافي والوسائل والبحار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أيّ</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و</w:t>
      </w:r>
      <w:r w:rsidR="00992664" w:rsidRPr="0012008A">
        <w:rPr>
          <w:rStyle w:val="libFootnoteBoldChar"/>
          <w:rtl/>
        </w:rPr>
        <w:t>البحار</w:t>
      </w:r>
      <w:r w:rsidR="00992664" w:rsidRPr="00020424">
        <w:rPr>
          <w:rtl/>
        </w:rPr>
        <w:t xml:space="preserve"> ، ج 38 : « المخالفين</w:t>
      </w:r>
      <w:r w:rsidR="00992664">
        <w:rPr>
          <w:rtl/>
        </w:rPr>
        <w:t xml:space="preserve"> ».</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قال ابن منظور : « رجل مسافر : ذو سَفَر ، وليس على الفعل ؛ لأنّه لم ير له فعل ، وقوم سافرة وسَفْرٌ وأسفاروسفّار ، وقد يكون السَّفْر للواحد</w:t>
      </w:r>
      <w:r w:rsidR="00992664">
        <w:rPr>
          <w:rtl/>
        </w:rPr>
        <w:t xml:space="preserve"> ».</w:t>
      </w:r>
      <w:r w:rsidR="00992664" w:rsidRPr="00020424">
        <w:rPr>
          <w:rtl/>
        </w:rPr>
        <w:t xml:space="preserve"> </w:t>
      </w:r>
      <w:r w:rsidR="00992664" w:rsidRPr="00A722B1">
        <w:rPr>
          <w:rStyle w:val="libFootnoteBoldChar"/>
          <w:rtl/>
        </w:rPr>
        <w:t>لسان العرب</w:t>
      </w:r>
      <w:r w:rsidR="00992664" w:rsidRPr="00020424">
        <w:rPr>
          <w:rtl/>
        </w:rPr>
        <w:t xml:space="preserve"> ، ج 4 ، ص 367 ( سفر )</w:t>
      </w:r>
      <w:r w:rsidR="00992664">
        <w:rPr>
          <w:rtl/>
        </w:rPr>
        <w:t>.</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 ظ » </w:t>
      </w:r>
      <w:r w:rsidR="00992664" w:rsidRPr="00EB1FD9">
        <w:rPr>
          <w:rStyle w:val="libFootnoteBoldChar"/>
          <w:rtl/>
        </w:rPr>
        <w:t>والوسائل</w:t>
      </w:r>
      <w:r w:rsidR="00992664" w:rsidRPr="00020424">
        <w:rPr>
          <w:rtl/>
        </w:rPr>
        <w:t xml:space="preserve"> : « فبكم</w:t>
      </w:r>
      <w:r w:rsidR="00992664">
        <w:rPr>
          <w:rtl/>
        </w:rPr>
        <w:t xml:space="preserve"> ».</w:t>
      </w:r>
      <w:r w:rsidR="00992664" w:rsidRPr="00020424">
        <w:rPr>
          <w:rtl/>
        </w:rPr>
        <w:t xml:space="preserve"> وفي « بخ » </w:t>
      </w:r>
      <w:r w:rsidR="00992664" w:rsidRPr="00515444">
        <w:rPr>
          <w:rStyle w:val="libFootnoteBoldChar"/>
          <w:rtl/>
        </w:rPr>
        <w:t>والوافي</w:t>
      </w:r>
      <w:r w:rsidR="00992664" w:rsidRPr="00020424">
        <w:rPr>
          <w:rtl/>
        </w:rPr>
        <w:t xml:space="preserve"> : « ففيكم</w:t>
      </w:r>
      <w:r w:rsidR="00992664">
        <w:rPr>
          <w:rtl/>
        </w:rPr>
        <w:t xml:space="preserve"> ».</w:t>
      </w:r>
      <w:r w:rsidR="00992664" w:rsidRPr="00020424">
        <w:rPr>
          <w:rtl/>
        </w:rPr>
        <w:t xml:space="preserve"> وفي « بر ، بف » : « فعليكم</w:t>
      </w:r>
      <w:r w:rsidR="00992664">
        <w:rPr>
          <w:rtl/>
        </w:rPr>
        <w:t xml:space="preserve"> ».</w:t>
      </w:r>
    </w:p>
    <w:p w:rsidR="00992664" w:rsidRPr="00020424" w:rsidRDefault="00795177" w:rsidP="00992664">
      <w:pPr>
        <w:pStyle w:val="libFootnote0"/>
        <w:rPr>
          <w:rtl/>
          <w:lang w:bidi="fa-IR"/>
        </w:rPr>
      </w:pPr>
      <w:r>
        <w:rPr>
          <w:rtl/>
        </w:rPr>
        <w:t>(5).</w:t>
      </w:r>
      <w:r w:rsidR="0014403D">
        <w:rPr>
          <w:rtl/>
        </w:rPr>
        <w:t xml:space="preserve"> </w:t>
      </w:r>
      <w:r w:rsidR="00992664" w:rsidRPr="00020424">
        <w:rPr>
          <w:rtl/>
        </w:rPr>
        <w:t>في « ى ، جن » : « ولا نشعر</w:t>
      </w:r>
      <w:r w:rsidR="00992664">
        <w:rPr>
          <w:rtl/>
        </w:rPr>
        <w:t xml:space="preserve"> ».</w:t>
      </w:r>
      <w:r w:rsidR="00992664" w:rsidRPr="00020424">
        <w:rPr>
          <w:rtl/>
        </w:rPr>
        <w:t xml:space="preserve"> وفي « بف » : « لا يشعر</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ولا يشعر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701DD0" w:rsidTr="00701DD0">
        <w:tc>
          <w:tcPr>
            <w:tcW w:w="4006" w:type="dxa"/>
          </w:tcPr>
          <w:p w:rsidR="00701DD0" w:rsidRDefault="00701DD0" w:rsidP="00992664">
            <w:pPr>
              <w:pStyle w:val="libFootnote0"/>
              <w:rPr>
                <w:rtl/>
              </w:rPr>
            </w:pPr>
            <w:r>
              <w:rPr>
                <w:rtl/>
              </w:rPr>
              <w:t xml:space="preserve">(6). </w:t>
            </w:r>
            <w:r w:rsidRPr="00020424">
              <w:rPr>
                <w:rtl/>
              </w:rPr>
              <w:t xml:space="preserve">في </w:t>
            </w:r>
            <w:r w:rsidRPr="0012008A">
              <w:rPr>
                <w:rStyle w:val="libFootnoteBoldChar"/>
                <w:rtl/>
              </w:rPr>
              <w:t>البحار</w:t>
            </w:r>
            <w:r w:rsidRPr="00020424">
              <w:rPr>
                <w:rtl/>
              </w:rPr>
              <w:t xml:space="preserve"> ، ج 38 : + « منّا</w:t>
            </w:r>
            <w:r>
              <w:rPr>
                <w:rtl/>
              </w:rPr>
              <w:t xml:space="preserve"> ».</w:t>
            </w:r>
          </w:p>
        </w:tc>
        <w:tc>
          <w:tcPr>
            <w:tcW w:w="4006" w:type="dxa"/>
          </w:tcPr>
          <w:p w:rsidR="00701DD0" w:rsidRDefault="00701DD0" w:rsidP="00992664">
            <w:pPr>
              <w:pStyle w:val="libFootnote0"/>
              <w:rPr>
                <w:rtl/>
              </w:rPr>
            </w:pPr>
            <w:r>
              <w:rPr>
                <w:rtl/>
              </w:rPr>
              <w:t xml:space="preserve">(7). </w:t>
            </w:r>
            <w:r w:rsidRPr="00020424">
              <w:rPr>
                <w:rtl/>
              </w:rPr>
              <w:t>القيامة (75) : 14.</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 ج 38 : + « من</w:t>
      </w:r>
      <w:r w:rsidR="00992664">
        <w:rPr>
          <w:rtl/>
        </w:rPr>
        <w:t xml:space="preserve"> ».</w:t>
      </w:r>
    </w:p>
    <w:p w:rsidR="00992664" w:rsidRPr="00020424" w:rsidRDefault="00795177" w:rsidP="00360D94">
      <w:pPr>
        <w:pStyle w:val="libFootnote0"/>
        <w:rPr>
          <w:rtl/>
          <w:lang w:bidi="fa-IR"/>
        </w:rPr>
      </w:pPr>
      <w:r>
        <w:rPr>
          <w:rtl/>
        </w:rPr>
        <w:t>(9).</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إنّما ضحك </w:t>
      </w:r>
      <w:r w:rsidR="00992664" w:rsidRPr="00D64ADA">
        <w:rPr>
          <w:rStyle w:val="libFootnoteAlaemChar"/>
          <w:rtl/>
        </w:rPr>
        <w:t>عليه‌السلام</w:t>
      </w:r>
      <w:r w:rsidR="00992664" w:rsidRPr="00020424">
        <w:rPr>
          <w:rtl/>
        </w:rPr>
        <w:t xml:space="preserve"> ؛ لأنّه لقّنهم العذر والحجّة ، فما قبلوا</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وضحكه </w:t>
      </w:r>
      <w:r w:rsidR="00992664" w:rsidRPr="00D64ADA">
        <w:rPr>
          <w:rStyle w:val="libFootnoteAlaemChar"/>
          <w:rtl/>
        </w:rPr>
        <w:t>عليه‌السلام</w:t>
      </w:r>
      <w:r w:rsidR="00992664" w:rsidRPr="00020424">
        <w:rPr>
          <w:rtl/>
        </w:rPr>
        <w:t xml:space="preserve"> لتعجّب‌إضرارهم في ما يوجب ضررهم وتعذيبهم</w:t>
      </w:r>
      <w:r w:rsidR="00992664">
        <w:rPr>
          <w:rtl/>
        </w:rPr>
        <w:t xml:space="preserve"> ».</w:t>
      </w:r>
      <w:r w:rsidR="00360D94">
        <w:rPr>
          <w:rFonts w:hint="cs"/>
          <w:rtl/>
        </w:rPr>
        <w:t xml:space="preserve">     </w:t>
      </w:r>
      <w:r>
        <w:rPr>
          <w:rtl/>
        </w:rPr>
        <w:t>(10).</w:t>
      </w:r>
      <w:r w:rsidR="0014403D">
        <w:rPr>
          <w:rtl/>
        </w:rPr>
        <w:t xml:space="preserve"> </w:t>
      </w:r>
      <w:r w:rsidR="00992664" w:rsidRPr="00020424">
        <w:rPr>
          <w:rtl/>
        </w:rPr>
        <w:t>في « ى » : « أنّه</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 xml:space="preserve">في </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قالوا : نشهد</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فإنّه رسول الله</w:t>
      </w:r>
      <w:r w:rsidR="00992664">
        <w:rPr>
          <w:rtl/>
        </w:rPr>
        <w:t xml:space="preserve"> ».</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هكذا في جميع النسخ التي قوبلت </w:t>
      </w:r>
      <w:r w:rsidR="00992664" w:rsidRPr="00515444">
        <w:rPr>
          <w:rStyle w:val="libFootnoteBoldChar"/>
          <w:rtl/>
        </w:rPr>
        <w:t>والوافي</w:t>
      </w:r>
      <w:r w:rsidR="00992664" w:rsidRPr="00020424">
        <w:rPr>
          <w:rtl/>
        </w:rPr>
        <w:t xml:space="preserve">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وفي المطبوع : « لأقتلنّكم</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وإن فعلت ، أي لا نقرّ بذاك وإن قتلتنا</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الشُّرْطَةُ ، وزان غرفة</w:t>
      </w:r>
      <w:r w:rsidR="00992664">
        <w:rPr>
          <w:rtl/>
        </w:rPr>
        <w:t xml:space="preserve"> </w:t>
      </w:r>
      <w:r w:rsidR="009B673F">
        <w:rPr>
          <w:rtl/>
        </w:rPr>
        <w:t>-</w:t>
      </w:r>
      <w:r w:rsidR="00992664">
        <w:rPr>
          <w:rtl/>
        </w:rPr>
        <w:t xml:space="preserve"> </w:t>
      </w:r>
      <w:r w:rsidR="00992664" w:rsidRPr="00020424">
        <w:rPr>
          <w:rtl/>
        </w:rPr>
        <w:t>وفتح الراء مثال رطبة لغة قليلة</w:t>
      </w:r>
      <w:r w:rsidR="00992664">
        <w:rPr>
          <w:rtl/>
        </w:rPr>
        <w:t xml:space="preserve"> </w:t>
      </w:r>
      <w:r w:rsidR="009B673F">
        <w:rPr>
          <w:rtl/>
        </w:rPr>
        <w:t>-</w:t>
      </w:r>
      <w:r w:rsidR="00992664">
        <w:rPr>
          <w:rtl/>
        </w:rPr>
        <w:t xml:space="preserve"> </w:t>
      </w:r>
      <w:r w:rsidR="00992664" w:rsidRPr="00020424">
        <w:rPr>
          <w:rtl/>
        </w:rPr>
        <w:t>: واحد الشُّرَط ، وهم أعوان السلطان ، من قولهم : أشرط فلان على نفسه لأمر كذا ، أي أعلمها له وأعدّها ؛ لأنّهم جعلوا لأنفسهم علامة يعرفون بها للأعداء. وعن أبي عبيدة : سمّوا شُرَطاً لأنّهم ا</w:t>
      </w:r>
      <w:r w:rsidR="00400741">
        <w:rPr>
          <w:rFonts w:hint="cs"/>
          <w:rtl/>
        </w:rPr>
        <w:t>ُ</w:t>
      </w:r>
      <w:r w:rsidR="00992664" w:rsidRPr="00020424">
        <w:rPr>
          <w:rtl/>
        </w:rPr>
        <w:t xml:space="preserve">عدّوا. راجع : </w:t>
      </w:r>
      <w:r w:rsidR="00992664" w:rsidRPr="0012008A">
        <w:rPr>
          <w:rStyle w:val="libFootnoteBoldChar"/>
          <w:rtl/>
        </w:rPr>
        <w:t>الصحاح</w:t>
      </w:r>
      <w:r w:rsidR="00992664" w:rsidRPr="00020424">
        <w:rPr>
          <w:rtl/>
        </w:rPr>
        <w:t xml:space="preserve"> ، ج 3 ، ص 1136 ؛ </w:t>
      </w:r>
      <w:r w:rsidR="00992664" w:rsidRPr="00A722B1">
        <w:rPr>
          <w:rStyle w:val="libFootnoteBoldChar"/>
          <w:rtl/>
        </w:rPr>
        <w:t>المصباح المنير</w:t>
      </w:r>
      <w:r w:rsidR="00992664" w:rsidRPr="00020424">
        <w:rPr>
          <w:rtl/>
        </w:rPr>
        <w:t xml:space="preserve"> ، ص 309 ( شرط )</w:t>
      </w:r>
      <w:r w:rsidR="00992664">
        <w:rPr>
          <w:rtl/>
        </w:rPr>
        <w:t>.</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 xml:space="preserve">« الخميس » : الجيش ، سمّي بذلك لأنّه خمس فرق : المقدّمة ، والقلب ، والميمنة ، والميسرة ، والساقة. راجع : </w:t>
      </w:r>
      <w:r w:rsidR="00992664" w:rsidRPr="00A722B1">
        <w:rPr>
          <w:rStyle w:val="libFootnoteBoldChar"/>
          <w:rtl/>
        </w:rPr>
        <w:t>لسان العرب</w:t>
      </w:r>
      <w:r w:rsidR="00992664" w:rsidRPr="00020424">
        <w:rPr>
          <w:rtl/>
        </w:rPr>
        <w:t xml:space="preserve"> ، ج 6 ، ص 70 ؛ </w:t>
      </w:r>
      <w:r w:rsidR="00992664" w:rsidRPr="00A722B1">
        <w:rPr>
          <w:rStyle w:val="libFootnoteBoldChar"/>
          <w:rtl/>
        </w:rPr>
        <w:t>القاموس المحيط</w:t>
      </w:r>
      <w:r w:rsidR="00992664" w:rsidRPr="00020424">
        <w:rPr>
          <w:rtl/>
        </w:rPr>
        <w:t xml:space="preserve"> ، ج 1 ، ص 744 ( خمس )</w:t>
      </w:r>
      <w:r w:rsidR="00992664">
        <w:rPr>
          <w:rtl/>
        </w:rPr>
        <w:t>.</w:t>
      </w:r>
    </w:p>
    <w:p w:rsidR="00795177" w:rsidRDefault="00795177" w:rsidP="00795177">
      <w:pPr>
        <w:pStyle w:val="libNormal"/>
        <w:rPr>
          <w:rtl/>
          <w:lang w:bidi="fa-IR"/>
        </w:rPr>
      </w:pPr>
      <w:r>
        <w:rPr>
          <w:rtl/>
          <w:lang w:bidi="fa-IR"/>
        </w:rPr>
        <w:br w:type="page"/>
      </w:r>
    </w:p>
    <w:p w:rsidR="00992664" w:rsidRPr="00020424" w:rsidRDefault="00992664" w:rsidP="00400741">
      <w:pPr>
        <w:pStyle w:val="libNormal0"/>
        <w:rPr>
          <w:rtl/>
          <w:lang w:bidi="fa-IR"/>
        </w:rPr>
      </w:pPr>
      <w:r w:rsidRPr="00020424">
        <w:rPr>
          <w:rtl/>
          <w:lang w:bidi="fa-IR"/>
        </w:rPr>
        <w:t xml:space="preserve">وَخَرَجَ </w:t>
      </w:r>
      <w:r w:rsidRPr="00A91B96">
        <w:rPr>
          <w:rStyle w:val="libFootnotenumChar"/>
          <w:rtl/>
        </w:rPr>
        <w:t>(1)</w:t>
      </w:r>
      <w:r w:rsidRPr="00020424">
        <w:rPr>
          <w:rtl/>
          <w:lang w:bidi="fa-IR"/>
        </w:rPr>
        <w:t xml:space="preserve"> بِهِمْ إِلَى الظَّهْرِ ظَهْرِ الْكُوفَةِ </w:t>
      </w:r>
      <w:r w:rsidRPr="00A91B96">
        <w:rPr>
          <w:rStyle w:val="libFootnotenumChar"/>
          <w:rtl/>
        </w:rPr>
        <w:t>(2)</w:t>
      </w:r>
      <w:r w:rsidRPr="00020424">
        <w:rPr>
          <w:rtl/>
          <w:lang w:bidi="fa-IR"/>
        </w:rPr>
        <w:t xml:space="preserve"> ، وَأَمَرَ أَنْ يَحْفِرَ </w:t>
      </w:r>
      <w:r w:rsidRPr="00A91B96">
        <w:rPr>
          <w:rStyle w:val="libFootnotenumChar"/>
          <w:rtl/>
        </w:rPr>
        <w:t>(3)</w:t>
      </w:r>
      <w:r w:rsidRPr="00020424">
        <w:rPr>
          <w:rtl/>
          <w:lang w:bidi="fa-IR"/>
        </w:rPr>
        <w:t xml:space="preserve"> حُفْرَتَيْنِ </w:t>
      </w:r>
      <w:r w:rsidRPr="00A91B96">
        <w:rPr>
          <w:rStyle w:val="libFootnotenumChar"/>
          <w:rtl/>
        </w:rPr>
        <w:t>(4)</w:t>
      </w:r>
      <w:r w:rsidRPr="00020424">
        <w:rPr>
          <w:rtl/>
          <w:lang w:bidi="fa-IR"/>
        </w:rPr>
        <w:t xml:space="preserve"> ، وَحَفَرَ إِحْدَاهُمَا </w:t>
      </w:r>
      <w:r w:rsidRPr="00A91B96">
        <w:rPr>
          <w:rStyle w:val="libFootnotenumChar"/>
          <w:rtl/>
        </w:rPr>
        <w:t>(5)</w:t>
      </w:r>
      <w:r w:rsidRPr="00020424">
        <w:rPr>
          <w:rtl/>
          <w:lang w:bidi="fa-IR"/>
        </w:rPr>
        <w:t xml:space="preserve"> إِلى جَنْبِ </w:t>
      </w:r>
      <w:r w:rsidRPr="00A91B96">
        <w:rPr>
          <w:rStyle w:val="libFootnotenumChar"/>
          <w:rtl/>
        </w:rPr>
        <w:t>(6)</w:t>
      </w:r>
      <w:r w:rsidRPr="00020424">
        <w:rPr>
          <w:rtl/>
          <w:lang w:bidi="fa-IR"/>
        </w:rPr>
        <w:t xml:space="preserve"> الْأُخْرى ، ثُمَّ خَرَقَ فِيمَا بَيْنَهُمَا كَوَّةً </w:t>
      </w:r>
      <w:r w:rsidRPr="00A91B96">
        <w:rPr>
          <w:rStyle w:val="libFootnotenumChar"/>
          <w:rtl/>
        </w:rPr>
        <w:t>(7)</w:t>
      </w:r>
      <w:r w:rsidRPr="00020424">
        <w:rPr>
          <w:rtl/>
          <w:lang w:bidi="fa-IR"/>
        </w:rPr>
        <w:t xml:space="preserve"> ضَخْمَةً شِبْهَ </w:t>
      </w:r>
      <w:r w:rsidRPr="00A91B96">
        <w:rPr>
          <w:rStyle w:val="libFootnotenumChar"/>
          <w:rtl/>
        </w:rPr>
        <w:t>(8)</w:t>
      </w:r>
      <w:r w:rsidRPr="00020424">
        <w:rPr>
          <w:rtl/>
          <w:lang w:bidi="fa-IR"/>
        </w:rPr>
        <w:t xml:space="preserve"> الْخَوْخَةِ </w:t>
      </w:r>
      <w:r w:rsidRPr="00A91B96">
        <w:rPr>
          <w:rStyle w:val="libFootnotenumChar"/>
          <w:rtl/>
        </w:rPr>
        <w:t>(9)</w:t>
      </w:r>
      <w:r w:rsidRPr="00020424">
        <w:rPr>
          <w:rtl/>
          <w:lang w:bidi="fa-IR"/>
        </w:rPr>
        <w:t xml:space="preserve"> ، فَقَالَ لَهُمْ : إِنِّي وَاضِعُكُمْ فِي إِحْدى </w:t>
      </w:r>
      <w:r w:rsidRPr="00A91B96">
        <w:rPr>
          <w:rStyle w:val="libFootnotenumChar"/>
          <w:rtl/>
        </w:rPr>
        <w:t>(10)</w:t>
      </w:r>
      <w:r w:rsidRPr="00020424">
        <w:rPr>
          <w:rtl/>
          <w:lang w:bidi="fa-IR"/>
        </w:rPr>
        <w:t xml:space="preserve"> هذَيْنِ الْقَلِيبَيْنِ </w:t>
      </w:r>
      <w:r w:rsidRPr="00A91B96">
        <w:rPr>
          <w:rStyle w:val="libFootnotenumChar"/>
          <w:rtl/>
        </w:rPr>
        <w:t>(11)</w:t>
      </w:r>
      <w:r w:rsidRPr="00020424">
        <w:rPr>
          <w:rtl/>
          <w:lang w:bidi="fa-IR"/>
        </w:rPr>
        <w:t xml:space="preserve"> ، وَأُوقِدُ فِي الْأُخْرَى </w:t>
      </w:r>
      <w:r w:rsidRPr="00A91B96">
        <w:rPr>
          <w:rStyle w:val="libFootnotenumChar"/>
          <w:rtl/>
        </w:rPr>
        <w:t>(12)</w:t>
      </w:r>
      <w:r w:rsidRPr="00020424">
        <w:rPr>
          <w:rtl/>
          <w:lang w:bidi="fa-IR"/>
        </w:rPr>
        <w:t xml:space="preserve"> النَّارَ ، فَأَقْتُلُكُمْ بِالدُّخَانِ ، قَالُوا : وَإِنْ فَعَلْتَ ، فَإِنَّمَا تَقْضِي هذِهِ الْحَيَاةَ الدُّنْيَا </w:t>
      </w:r>
      <w:r w:rsidRPr="00A91B96">
        <w:rPr>
          <w:rStyle w:val="libFootnotenumChar"/>
          <w:rtl/>
        </w:rPr>
        <w:t>(13)</w:t>
      </w:r>
      <w:r w:rsidRPr="00020424">
        <w:rPr>
          <w:rtl/>
          <w:lang w:bidi="fa-IR"/>
        </w:rPr>
        <w:t xml:space="preserve"> ، فَوَضَعَهُمْ فِي إِحْدَى </w:t>
      </w:r>
      <w:r w:rsidRPr="00A91B96">
        <w:rPr>
          <w:rStyle w:val="libFootnotenumChar"/>
          <w:rtl/>
        </w:rPr>
        <w:t>(14)</w:t>
      </w:r>
      <w:r w:rsidRPr="00020424">
        <w:rPr>
          <w:rtl/>
          <w:lang w:bidi="fa-IR"/>
        </w:rPr>
        <w:t xml:space="preserve"> الْجُبَّيْنِ </w:t>
      </w:r>
      <w:r w:rsidRPr="00A91B96">
        <w:rPr>
          <w:rStyle w:val="libFootnotenumChar"/>
          <w:rtl/>
        </w:rPr>
        <w:t>(15)</w:t>
      </w:r>
      <w:r w:rsidRPr="00020424">
        <w:rPr>
          <w:rtl/>
          <w:lang w:bidi="fa-IR"/>
        </w:rPr>
        <w:t xml:space="preserve"> وَضْعاً رَفِيقاً </w:t>
      </w:r>
      <w:r w:rsidRPr="00A91B96">
        <w:rPr>
          <w:rStyle w:val="libFootnotenumChar"/>
          <w:rtl/>
        </w:rPr>
        <w:t>(16)</w:t>
      </w:r>
      <w:r w:rsidRPr="00020424">
        <w:rPr>
          <w:rtl/>
          <w:lang w:bidi="fa-IR"/>
        </w:rPr>
        <w:t xml:space="preserve"> ، ثُمَّ أَمَرَ بِالنَّارِ فَأُوقِدَتْ فِي الْجُبِّ الْآخَرِ ، ثُمَّ جَعَلَ يُنَادِيهِمْ مَرَّةً بَعْدَ مَرَّةٍ </w:t>
      </w:r>
      <w:r w:rsidRPr="00A91B96">
        <w:rPr>
          <w:rStyle w:val="libFootnotenumChar"/>
          <w:rtl/>
        </w:rPr>
        <w:t>(17)</w:t>
      </w:r>
      <w:r w:rsidRPr="00020424">
        <w:rPr>
          <w:rtl/>
          <w:lang w:bidi="fa-IR"/>
        </w:rPr>
        <w:t xml:space="preserve"> : مَا‌</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ظ » : « فخرج</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خرج » بدون الواو.</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 xml:space="preserve">« ظهر الكوفة » : ماوراء النهر إلى النجف. </w:t>
      </w:r>
      <w:r w:rsidR="00992664" w:rsidRPr="00DE76B9">
        <w:rPr>
          <w:rStyle w:val="libFootnoteBoldChar"/>
          <w:rtl/>
        </w:rPr>
        <w:t>مجمع البحرين</w:t>
      </w:r>
      <w:r w:rsidR="00992664" w:rsidRPr="00020424">
        <w:rPr>
          <w:rtl/>
        </w:rPr>
        <w:t xml:space="preserve"> ، ج 3 ، ص 390 ( ظهر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تحفر</w:t>
      </w:r>
      <w:r w:rsidR="00992664">
        <w:rPr>
          <w:rtl/>
        </w:rPr>
        <w:t xml:space="preserve"> ».</w:t>
      </w:r>
    </w:p>
    <w:p w:rsidR="00992664" w:rsidRPr="00020424" w:rsidRDefault="00795177" w:rsidP="00992664">
      <w:pPr>
        <w:pStyle w:val="libFootnote0"/>
        <w:rPr>
          <w:rtl/>
          <w:lang w:bidi="fa-IR"/>
        </w:rPr>
      </w:pPr>
      <w:r>
        <w:rPr>
          <w:rtl/>
        </w:rPr>
        <w:t>(4).</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حفيرتين</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ج 40 : « حفيرتان</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400741" w:rsidTr="00400741">
        <w:tc>
          <w:tcPr>
            <w:tcW w:w="4006" w:type="dxa"/>
          </w:tcPr>
          <w:p w:rsidR="00400741" w:rsidRDefault="00400741" w:rsidP="00992664">
            <w:pPr>
              <w:pStyle w:val="libFootnote0"/>
              <w:rPr>
                <w:rtl/>
              </w:rPr>
            </w:pPr>
            <w:r>
              <w:rPr>
                <w:rtl/>
              </w:rPr>
              <w:t xml:space="preserve">(5). </w:t>
            </w:r>
            <w:r w:rsidRPr="00020424">
              <w:rPr>
                <w:rtl/>
              </w:rPr>
              <w:t>في « بر » و</w:t>
            </w:r>
            <w:r w:rsidRPr="0012008A">
              <w:rPr>
                <w:rStyle w:val="libFootnoteBoldChar"/>
                <w:rtl/>
              </w:rPr>
              <w:t>البحار</w:t>
            </w:r>
            <w:r w:rsidRPr="00020424">
              <w:rPr>
                <w:rtl/>
              </w:rPr>
              <w:t xml:space="preserve"> ، ج 40 : « أحدهما</w:t>
            </w:r>
            <w:r>
              <w:rPr>
                <w:rtl/>
              </w:rPr>
              <w:t xml:space="preserve"> ».</w:t>
            </w:r>
          </w:p>
        </w:tc>
        <w:tc>
          <w:tcPr>
            <w:tcW w:w="4006" w:type="dxa"/>
          </w:tcPr>
          <w:p w:rsidR="00400741" w:rsidRDefault="00400741" w:rsidP="00992664">
            <w:pPr>
              <w:pStyle w:val="libFootnote0"/>
              <w:rPr>
                <w:rtl/>
              </w:rPr>
            </w:pPr>
            <w:r>
              <w:rPr>
                <w:rtl/>
              </w:rPr>
              <w:t xml:space="preserve">(6). </w:t>
            </w:r>
            <w:r w:rsidRPr="00020424">
              <w:rPr>
                <w:rtl/>
              </w:rPr>
              <w:t>في « بخ » : « جانب</w:t>
            </w:r>
            <w:r>
              <w:rPr>
                <w:rtl/>
              </w:rPr>
              <w:t xml:space="preserve"> ».</w:t>
            </w:r>
          </w:p>
        </w:tc>
      </w:tr>
    </w:tbl>
    <w:p w:rsidR="00992664" w:rsidRPr="00020424" w:rsidRDefault="00795177" w:rsidP="00992664">
      <w:pPr>
        <w:pStyle w:val="libFootnote0"/>
        <w:rPr>
          <w:rtl/>
          <w:lang w:bidi="fa-IR"/>
        </w:rPr>
      </w:pPr>
      <w:r>
        <w:rPr>
          <w:rtl/>
        </w:rPr>
        <w:t>(7).</w:t>
      </w:r>
      <w:r w:rsidR="0014403D">
        <w:rPr>
          <w:rtl/>
        </w:rPr>
        <w:t xml:space="preserve"> </w:t>
      </w:r>
      <w:r w:rsidR="00992664" w:rsidRPr="00020424">
        <w:rPr>
          <w:rtl/>
        </w:rPr>
        <w:t>الكَوَّة : الخرق في الحائط ، والنقب والثقب في البيت ؛ قال الجوهري : « والكُوَّة ، بالضمّ لغة</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6 ، ص 2478 ؛ </w:t>
      </w:r>
      <w:r w:rsidR="00992664" w:rsidRPr="00A722B1">
        <w:rPr>
          <w:rStyle w:val="libFootnoteBoldChar"/>
          <w:rtl/>
        </w:rPr>
        <w:t>لسان العرب</w:t>
      </w:r>
      <w:r w:rsidR="00992664" w:rsidRPr="00020424">
        <w:rPr>
          <w:rtl/>
        </w:rPr>
        <w:t xml:space="preserve"> ، ج 15 ، ص 236 ( كوى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بر ، بف » : « تشبه</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قال الجوهري : « الخَوْخَة : كَوَّةٌ في الجدار تؤدّي الضوءَ</w:t>
      </w:r>
      <w:r w:rsidR="00992664">
        <w:rPr>
          <w:rtl/>
        </w:rPr>
        <w:t xml:space="preserve"> ».</w:t>
      </w:r>
      <w:r w:rsidR="00992664" w:rsidRPr="00020424">
        <w:rPr>
          <w:rtl/>
        </w:rPr>
        <w:t xml:space="preserve"> وقال ابن الأثير : « الخوخة : باب صغير كالنافذ الكبيرة ، وتكون بين بيتين ينصب عليها باب</w:t>
      </w:r>
      <w:r w:rsidR="00992664">
        <w:rPr>
          <w:rtl/>
        </w:rPr>
        <w:t xml:space="preserve"> ».</w:t>
      </w:r>
      <w:r w:rsidR="00992664" w:rsidRPr="00020424">
        <w:rPr>
          <w:rtl/>
        </w:rPr>
        <w:t xml:space="preserve"> وقال ابن منظور : « الخوخة : مُخْتَرَق ما بين كلّ دارين لم ينصب عليها باب ، بلغة أهل الحجاز ، وعمّ به بعضهم فقال : هي مخترق ما بين كلّ شيئين</w:t>
      </w:r>
      <w:r w:rsidR="00992664">
        <w:rPr>
          <w:rtl/>
        </w:rPr>
        <w:t xml:space="preserve"> ».</w:t>
      </w:r>
      <w:r w:rsidR="00992664" w:rsidRPr="00020424">
        <w:rPr>
          <w:rtl/>
        </w:rPr>
        <w:t xml:space="preserve"> </w:t>
      </w:r>
      <w:r w:rsidR="00992664" w:rsidRPr="0012008A">
        <w:rPr>
          <w:rStyle w:val="libFootnoteBoldChar"/>
          <w:rtl/>
        </w:rPr>
        <w:t>الصحاح</w:t>
      </w:r>
      <w:r w:rsidR="00992664" w:rsidRPr="00020424">
        <w:rPr>
          <w:rtl/>
        </w:rPr>
        <w:t xml:space="preserve"> ، ج 1 ، ص 420 ؛ </w:t>
      </w:r>
      <w:r w:rsidR="00992664" w:rsidRPr="0012008A">
        <w:rPr>
          <w:rStyle w:val="libFootnoteBoldChar"/>
          <w:rtl/>
        </w:rPr>
        <w:t>النهاية</w:t>
      </w:r>
      <w:r w:rsidR="00992664" w:rsidRPr="00020424">
        <w:rPr>
          <w:rtl/>
        </w:rPr>
        <w:t xml:space="preserve"> ، ج 2 ، ص 86 ؛ </w:t>
      </w:r>
      <w:r w:rsidR="00992664" w:rsidRPr="00A722B1">
        <w:rPr>
          <w:rStyle w:val="libFootnoteBoldChar"/>
          <w:rtl/>
        </w:rPr>
        <w:t>لسان العرب</w:t>
      </w:r>
      <w:r w:rsidR="00992664" w:rsidRPr="00020424">
        <w:rPr>
          <w:rtl/>
        </w:rPr>
        <w:t xml:space="preserve"> ، ج 3 ، ص 14 ( خوخ )</w:t>
      </w:r>
      <w:r w:rsidR="00992664">
        <w:rPr>
          <w:rtl/>
        </w:rPr>
        <w:t>.</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في « بخ ، بر ، بف » </w:t>
      </w:r>
      <w:r w:rsidR="00992664" w:rsidRPr="006B5249">
        <w:rPr>
          <w:rtl/>
        </w:rPr>
        <w:t>والوافي والوسائل والبحار</w:t>
      </w:r>
      <w:r w:rsidR="00992664" w:rsidRPr="00020424">
        <w:rPr>
          <w:rtl/>
        </w:rPr>
        <w:t xml:space="preserve"> ، ج 38 : « أحد</w:t>
      </w:r>
      <w:r w:rsidR="00992664">
        <w:rPr>
          <w:rtl/>
        </w:rPr>
        <w:t xml:space="preserve"> ».</w:t>
      </w:r>
    </w:p>
    <w:p w:rsidR="00992664" w:rsidRPr="00020424" w:rsidRDefault="00795177" w:rsidP="00992664">
      <w:pPr>
        <w:pStyle w:val="libFootnote0"/>
        <w:rPr>
          <w:rtl/>
          <w:lang w:bidi="fa-IR"/>
        </w:rPr>
      </w:pPr>
      <w:r>
        <w:rPr>
          <w:rtl/>
        </w:rPr>
        <w:t>(11).</w:t>
      </w:r>
      <w:r w:rsidR="0014403D">
        <w:rPr>
          <w:rtl/>
        </w:rPr>
        <w:t xml:space="preserve"> </w:t>
      </w:r>
      <w:r w:rsidR="00992664" w:rsidRPr="00020424">
        <w:rPr>
          <w:rtl/>
        </w:rPr>
        <w:t>قال الجوهري : « القليب : البئر قبل أن تُطْوَى</w:t>
      </w:r>
      <w:r w:rsidR="00992664">
        <w:rPr>
          <w:rtl/>
        </w:rPr>
        <w:t xml:space="preserve"> </w:t>
      </w:r>
      <w:r w:rsidR="009B673F">
        <w:rPr>
          <w:rtl/>
        </w:rPr>
        <w:t>-</w:t>
      </w:r>
      <w:r w:rsidR="00992664">
        <w:rPr>
          <w:rtl/>
        </w:rPr>
        <w:t xml:space="preserve"> </w:t>
      </w:r>
      <w:r w:rsidR="00992664" w:rsidRPr="00020424">
        <w:rPr>
          <w:rtl/>
        </w:rPr>
        <w:t>أي قبل أن يبنى بالحجارة</w:t>
      </w:r>
      <w:r w:rsidR="00992664">
        <w:rPr>
          <w:rtl/>
        </w:rPr>
        <w:t xml:space="preserve"> </w:t>
      </w:r>
      <w:r w:rsidR="009B673F">
        <w:rPr>
          <w:rtl/>
        </w:rPr>
        <w:t>-</w:t>
      </w:r>
      <w:r w:rsidR="00992664">
        <w:rPr>
          <w:rtl/>
        </w:rPr>
        <w:t xml:space="preserve"> </w:t>
      </w:r>
      <w:r w:rsidR="00992664" w:rsidRPr="00020424">
        <w:rPr>
          <w:rtl/>
        </w:rPr>
        <w:t>تذكّر وتؤنّث</w:t>
      </w:r>
      <w:r w:rsidR="00992664">
        <w:rPr>
          <w:rtl/>
        </w:rPr>
        <w:t xml:space="preserve"> ».</w:t>
      </w:r>
      <w:r w:rsidR="00992664" w:rsidRPr="00020424">
        <w:rPr>
          <w:rtl/>
        </w:rPr>
        <w:t xml:space="preserve"> وقال ابن منظور : « القليب : البئر ما كانت » ، وقيل غير ذلك. </w:t>
      </w:r>
      <w:r w:rsidR="00992664" w:rsidRPr="0012008A">
        <w:rPr>
          <w:rStyle w:val="libFootnoteBoldChar"/>
          <w:rtl/>
        </w:rPr>
        <w:t>الصحاح</w:t>
      </w:r>
      <w:r w:rsidR="00992664" w:rsidRPr="00020424">
        <w:rPr>
          <w:rtl/>
        </w:rPr>
        <w:t xml:space="preserve"> ، ج 1 ، ص 206 ؛ </w:t>
      </w:r>
      <w:r w:rsidR="00992664" w:rsidRPr="00A722B1">
        <w:rPr>
          <w:rStyle w:val="libFootnoteBoldChar"/>
          <w:rtl/>
        </w:rPr>
        <w:t>لسان العرب</w:t>
      </w:r>
      <w:r w:rsidR="00992664" w:rsidRPr="00020424">
        <w:rPr>
          <w:rtl/>
        </w:rPr>
        <w:t xml:space="preserve"> ، ج 1 ، ص 689 ( قلب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في « ى ، بس ، جن » وحاشية « بح » </w:t>
      </w:r>
      <w:r w:rsidR="00992664" w:rsidRPr="006B5249">
        <w:rPr>
          <w:rtl/>
        </w:rPr>
        <w:t>والوافي والوسائل والبحار ،</w:t>
      </w:r>
      <w:r w:rsidR="00992664" w:rsidRPr="00020424">
        <w:rPr>
          <w:rtl/>
        </w:rPr>
        <w:t xml:space="preserve"> ج 38 : « الآخر</w:t>
      </w:r>
      <w:r w:rsidR="00992664">
        <w:rPr>
          <w:rtl/>
        </w:rPr>
        <w:t xml:space="preserve"> ».</w:t>
      </w:r>
      <w:r w:rsidR="00992664" w:rsidRPr="00020424">
        <w:rPr>
          <w:rtl/>
        </w:rPr>
        <w:t xml:space="preserve"> وفي « بر ، بف » : « بها » بدل « في الا</w:t>
      </w:r>
      <w:r w:rsidR="00EE5A06">
        <w:rPr>
          <w:rFonts w:hint="cs"/>
          <w:rtl/>
        </w:rPr>
        <w:t>ُ</w:t>
      </w:r>
      <w:r w:rsidR="00992664" w:rsidRPr="00020424">
        <w:rPr>
          <w:rtl/>
        </w:rPr>
        <w:t>خرى</w:t>
      </w:r>
      <w:r w:rsidR="00992664">
        <w:rPr>
          <w:rtl/>
        </w:rPr>
        <w:t xml:space="preserve"> ».</w:t>
      </w:r>
    </w:p>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بخ » :</w:t>
      </w:r>
      <w:r w:rsidR="00992664">
        <w:rPr>
          <w:rtl/>
        </w:rPr>
        <w:t xml:space="preserve"> </w:t>
      </w:r>
      <w:r w:rsidR="009B673F">
        <w:rPr>
          <w:rtl/>
        </w:rPr>
        <w:t>-</w:t>
      </w:r>
      <w:r w:rsidR="00992664">
        <w:rPr>
          <w:rtl/>
        </w:rPr>
        <w:t xml:space="preserve"> </w:t>
      </w:r>
      <w:r w:rsidR="00992664" w:rsidRPr="00020424">
        <w:rPr>
          <w:rtl/>
        </w:rPr>
        <w:t>« الدنيا</w:t>
      </w:r>
      <w:r w:rsidR="00992664">
        <w:rPr>
          <w:rtl/>
        </w:rPr>
        <w:t xml:space="preserve"> ».</w:t>
      </w:r>
      <w:r w:rsidR="00992664" w:rsidRPr="00020424">
        <w:rPr>
          <w:rtl/>
        </w:rPr>
        <w:t xml:space="preserve"> وفي </w:t>
      </w:r>
      <w:r w:rsidR="00992664" w:rsidRPr="0012008A">
        <w:rPr>
          <w:rStyle w:val="libFootnoteBoldChar"/>
          <w:rtl/>
        </w:rPr>
        <w:t>الوافي</w:t>
      </w:r>
      <w:r w:rsidR="00992664" w:rsidRPr="00020424">
        <w:rPr>
          <w:rtl/>
        </w:rPr>
        <w:t xml:space="preserve"> : + « قال</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 ظ ، ى ، بخ ، بر ، بف ، جن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ج 38 : « أحد</w:t>
      </w:r>
      <w:r w:rsidR="00992664">
        <w:rPr>
          <w:rtl/>
        </w:rPr>
        <w:t xml:space="preserve"> ».</w:t>
      </w:r>
    </w:p>
    <w:p w:rsidR="00992664" w:rsidRPr="00020424" w:rsidRDefault="00795177" w:rsidP="00992664">
      <w:pPr>
        <w:pStyle w:val="libFootnote0"/>
        <w:rPr>
          <w:rtl/>
          <w:lang w:bidi="fa-IR"/>
        </w:rPr>
      </w:pPr>
      <w:r>
        <w:rPr>
          <w:rtl/>
        </w:rPr>
        <w:t>(15).</w:t>
      </w:r>
      <w:r w:rsidR="0014403D">
        <w:rPr>
          <w:rtl/>
        </w:rPr>
        <w:t xml:space="preserve"> </w:t>
      </w:r>
      <w:r w:rsidR="00992664" w:rsidRPr="00020424">
        <w:rPr>
          <w:rtl/>
        </w:rPr>
        <w:t>قال الخليل : « الجُبُّ : بئر غير بعيدة الغور</w:t>
      </w:r>
      <w:r w:rsidR="00992664">
        <w:rPr>
          <w:rtl/>
        </w:rPr>
        <w:t xml:space="preserve"> ».</w:t>
      </w:r>
      <w:r w:rsidR="00992664" w:rsidRPr="00020424">
        <w:rPr>
          <w:rtl/>
        </w:rPr>
        <w:t xml:space="preserve"> وقال الجوهري : « الجبّ : البئر التي لم تُطْوَ</w:t>
      </w:r>
      <w:r w:rsidR="00992664">
        <w:rPr>
          <w:rtl/>
        </w:rPr>
        <w:t xml:space="preserve"> ».</w:t>
      </w:r>
      <w:r w:rsidR="00992664" w:rsidRPr="00020424">
        <w:rPr>
          <w:rtl/>
        </w:rPr>
        <w:t xml:space="preserve"> </w:t>
      </w:r>
      <w:r w:rsidR="00992664" w:rsidRPr="00DE76B9">
        <w:rPr>
          <w:rStyle w:val="libFootnoteBoldChar"/>
          <w:rtl/>
        </w:rPr>
        <w:t>ترتيب كتاب العين</w:t>
      </w:r>
      <w:r w:rsidR="00992664" w:rsidRPr="00020424">
        <w:rPr>
          <w:rtl/>
        </w:rPr>
        <w:t xml:space="preserve"> ، ج 1 ، ص 257 ؛ </w:t>
      </w:r>
      <w:r w:rsidR="00992664" w:rsidRPr="0012008A">
        <w:rPr>
          <w:rStyle w:val="libFootnoteBoldChar"/>
          <w:rtl/>
        </w:rPr>
        <w:t>الصحاح</w:t>
      </w:r>
      <w:r w:rsidR="00992664" w:rsidRPr="00020424">
        <w:rPr>
          <w:rtl/>
        </w:rPr>
        <w:t xml:space="preserve"> ، ج 1 ، ص 96 ( جبب )</w:t>
      </w:r>
      <w:r w:rsidR="00992664">
        <w:rPr>
          <w:rtl/>
        </w:rPr>
        <w:t>.</w:t>
      </w:r>
    </w:p>
    <w:p w:rsidR="00992664" w:rsidRPr="00020424" w:rsidRDefault="00795177" w:rsidP="00992664">
      <w:pPr>
        <w:pStyle w:val="libFootnote0"/>
        <w:rPr>
          <w:rtl/>
          <w:lang w:bidi="fa-IR"/>
        </w:rPr>
      </w:pPr>
      <w:r>
        <w:rPr>
          <w:rtl/>
        </w:rPr>
        <w:t>(16).</w:t>
      </w:r>
      <w:r w:rsidR="0014403D">
        <w:rPr>
          <w:rtl/>
        </w:rPr>
        <w:t xml:space="preserve"> </w:t>
      </w:r>
      <w:r w:rsidR="00992664" w:rsidRPr="00020424">
        <w:rPr>
          <w:rtl/>
        </w:rPr>
        <w:t>في « بر » : « رقيقاً</w:t>
      </w:r>
      <w:r w:rsidR="00992664">
        <w:rPr>
          <w:rtl/>
        </w:rPr>
        <w:t xml:space="preserve"> ».</w:t>
      </w:r>
    </w:p>
    <w:p w:rsidR="00992664" w:rsidRPr="00020424" w:rsidRDefault="00795177" w:rsidP="00992664">
      <w:pPr>
        <w:pStyle w:val="libFootnote0"/>
        <w:rPr>
          <w:rtl/>
          <w:lang w:bidi="fa-IR"/>
        </w:rPr>
      </w:pPr>
      <w:r>
        <w:rPr>
          <w:rtl/>
        </w:rPr>
        <w:t>(17).</w:t>
      </w:r>
      <w:r w:rsidR="0014403D">
        <w:rPr>
          <w:rtl/>
        </w:rPr>
        <w:t xml:space="preserve"> </w:t>
      </w:r>
      <w:r w:rsidR="00992664" w:rsidRPr="00020424">
        <w:rPr>
          <w:rtl/>
        </w:rPr>
        <w:t>في « بث ، بح ، بس » : « ا</w:t>
      </w:r>
      <w:r w:rsidR="00EE5A06">
        <w:rPr>
          <w:rFonts w:hint="cs"/>
          <w:rtl/>
        </w:rPr>
        <w:t>ُ</w:t>
      </w:r>
      <w:r w:rsidR="00992664" w:rsidRPr="00020424">
        <w:rPr>
          <w:rtl/>
        </w:rPr>
        <w:t>خرى</w:t>
      </w:r>
      <w:r w:rsidR="00992664">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5066D8">
      <w:pPr>
        <w:pStyle w:val="libNormal0"/>
        <w:rPr>
          <w:rtl/>
          <w:lang w:bidi="fa-IR"/>
        </w:rPr>
      </w:pPr>
      <w:r w:rsidRPr="00020424">
        <w:rPr>
          <w:rtl/>
          <w:lang w:bidi="fa-IR"/>
        </w:rPr>
        <w:t>تَقُولُونَ</w:t>
      </w:r>
      <w:r>
        <w:rPr>
          <w:rtl/>
          <w:lang w:bidi="fa-IR"/>
        </w:rPr>
        <w:t>؟</w:t>
      </w:r>
      <w:r w:rsidRPr="00020424">
        <w:rPr>
          <w:rtl/>
          <w:lang w:bidi="fa-IR"/>
        </w:rPr>
        <w:t xml:space="preserve"> فَيُجِيبُونَهُ </w:t>
      </w:r>
      <w:r w:rsidRPr="00A91B96">
        <w:rPr>
          <w:rStyle w:val="libFootnotenumChar"/>
          <w:rtl/>
        </w:rPr>
        <w:t>(1)</w:t>
      </w:r>
      <w:r w:rsidRPr="00020424">
        <w:rPr>
          <w:rtl/>
          <w:lang w:bidi="fa-IR"/>
        </w:rPr>
        <w:t xml:space="preserve"> : اقْضِ </w:t>
      </w:r>
      <w:r w:rsidRPr="00A91B96">
        <w:rPr>
          <w:rStyle w:val="libFootnotenumChar"/>
          <w:rtl/>
        </w:rPr>
        <w:t>(2)</w:t>
      </w:r>
      <w:r w:rsidRPr="00020424">
        <w:rPr>
          <w:rtl/>
          <w:lang w:bidi="fa-IR"/>
        </w:rPr>
        <w:t xml:space="preserve"> مَا أَنْتَ قَاضٍ حَتّى مَاتُوا</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w:t>
      </w:r>
      <w:r w:rsidRPr="00A91B96">
        <w:rPr>
          <w:rStyle w:val="libFootnotenumChar"/>
          <w:rtl/>
        </w:rPr>
        <w:t>(3)</w:t>
      </w:r>
      <w:r w:rsidRPr="00020424">
        <w:rPr>
          <w:rtl/>
          <w:lang w:bidi="fa-IR"/>
        </w:rPr>
        <w:t xml:space="preserve"> : « ثُمَّ </w:t>
      </w:r>
      <w:r w:rsidRPr="00A91B96">
        <w:rPr>
          <w:rStyle w:val="libFootnotenumChar"/>
          <w:rtl/>
        </w:rPr>
        <w:t>(4)</w:t>
      </w:r>
      <w:r w:rsidRPr="00020424">
        <w:rPr>
          <w:rtl/>
          <w:lang w:bidi="fa-IR"/>
        </w:rPr>
        <w:t xml:space="preserve"> انْصَرَفَ ، فَسَارَ بِفِعْلِهِ الرُّكْبَانُ </w:t>
      </w:r>
      <w:r w:rsidRPr="00A91B96">
        <w:rPr>
          <w:rStyle w:val="libFootnotenumChar"/>
          <w:rtl/>
        </w:rPr>
        <w:t>(5)</w:t>
      </w:r>
      <w:r w:rsidRPr="00020424">
        <w:rPr>
          <w:rtl/>
          <w:lang w:bidi="fa-IR"/>
        </w:rPr>
        <w:t xml:space="preserve"> ، وَتَحَدَّثَ بِهِ النَّاسُ ، فَبَيْنَمَا </w:t>
      </w:r>
      <w:r w:rsidRPr="00A91B96">
        <w:rPr>
          <w:rStyle w:val="libFootnotenumChar"/>
          <w:rtl/>
        </w:rPr>
        <w:t>(6)</w:t>
      </w:r>
      <w:r w:rsidRPr="00020424">
        <w:rPr>
          <w:rtl/>
          <w:lang w:bidi="fa-IR"/>
        </w:rPr>
        <w:t xml:space="preserve"> هُوَ ذَاتَ يَوْمٍ فِي الْمَسْجِدِ إِذْ قَدِمَ عَلَيْهِ يَهُودِيٌّ مِنْ أَهْلِ يَثْرِبَ ، قَدْ أَقَرَّ لَهُ </w:t>
      </w:r>
      <w:r w:rsidRPr="00A91B96">
        <w:rPr>
          <w:rStyle w:val="libFootnotenumChar"/>
          <w:rtl/>
        </w:rPr>
        <w:t>(7)</w:t>
      </w:r>
      <w:r w:rsidRPr="00020424">
        <w:rPr>
          <w:rtl/>
          <w:lang w:bidi="fa-IR"/>
        </w:rPr>
        <w:t xml:space="preserve"> مَنْ فِي يَثْرِبَ مِنَ الْيَهُودِ أَنَّهُ أَعْلَمُهُمْ ، وَكَذلِكَ كَانَتْ آبَاؤُهُ مِنْ قَبْلُ</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وَقَدِمَ عَلى أَمِيرِ الْمُؤْمِنِينَ </w:t>
      </w:r>
      <w:r w:rsidRPr="00005A81">
        <w:rPr>
          <w:rStyle w:val="libAlaemChar"/>
          <w:rtl/>
        </w:rPr>
        <w:t>عليه‌السلام</w:t>
      </w:r>
      <w:r w:rsidRPr="00020424">
        <w:rPr>
          <w:rtl/>
          <w:lang w:bidi="fa-IR"/>
        </w:rPr>
        <w:t xml:space="preserve"> فِي عِدَّةٍ مِنْ أَهْلِ بَيْتِهِ ، فَلَمَّا انْتَهَوْا إِلَى الْمَسْجِدِ الْأَعْظَمِ بِالْكُوفَةِ ، أَنَاخُوا </w:t>
      </w:r>
      <w:r w:rsidRPr="00A91B96">
        <w:rPr>
          <w:rStyle w:val="libFootnotenumChar"/>
          <w:rtl/>
        </w:rPr>
        <w:t>(8)</w:t>
      </w:r>
      <w:r w:rsidRPr="00020424">
        <w:rPr>
          <w:rtl/>
          <w:lang w:bidi="fa-IR"/>
        </w:rPr>
        <w:t xml:space="preserve"> رَوَاحِلَهُمْ </w:t>
      </w:r>
      <w:r w:rsidRPr="00A91B96">
        <w:rPr>
          <w:rStyle w:val="libFootnotenumChar"/>
          <w:rtl/>
        </w:rPr>
        <w:t>(9)</w:t>
      </w:r>
      <w:r w:rsidRPr="00020424">
        <w:rPr>
          <w:rtl/>
          <w:lang w:bidi="fa-IR"/>
        </w:rPr>
        <w:t xml:space="preserve"> ، ثُمَّ وَقَفُوا عَلى بَابِ الْمَسْجِدِ ، وَأَرْسَلُوا إِلى أَمِيرِ الْمُؤْمِنِينَ صَلَوَاتُ اللهِ عَلَيْهِ : أَنَّا قَوْمٌ مِنَ الْيَهُودِ قَدِمْنَا </w:t>
      </w:r>
      <w:r w:rsidRPr="00A91B96">
        <w:rPr>
          <w:rStyle w:val="libFootnotenumChar"/>
          <w:rtl/>
        </w:rPr>
        <w:t>(10)</w:t>
      </w:r>
      <w:r w:rsidRPr="00020424">
        <w:rPr>
          <w:rtl/>
          <w:lang w:bidi="fa-IR"/>
        </w:rPr>
        <w:t xml:space="preserve"> مِنَ الْحِجَازِ ، وَلَنَا إِلَيْكَ حَاجَةٌ ، فَهَلْ تَخْرُجُ إِلَيْنَا ، أَمْ </w:t>
      </w:r>
      <w:r w:rsidRPr="00A91B96">
        <w:rPr>
          <w:rStyle w:val="libFootnotenumChar"/>
          <w:rtl/>
        </w:rPr>
        <w:t>(11)</w:t>
      </w:r>
      <w:r w:rsidRPr="00020424">
        <w:rPr>
          <w:rtl/>
          <w:lang w:bidi="fa-IR"/>
        </w:rPr>
        <w:t xml:space="preserve"> نَدْخُلُ إِلَيْكَ</w:t>
      </w:r>
      <w:r>
        <w:rPr>
          <w:rtl/>
          <w:lang w:bidi="fa-IR"/>
        </w:rPr>
        <w:t>؟ ».</w:t>
      </w:r>
    </w:p>
    <w:p w:rsidR="00992664" w:rsidRPr="00020424" w:rsidRDefault="00992664" w:rsidP="00992664">
      <w:pPr>
        <w:pStyle w:val="libNormal"/>
        <w:rPr>
          <w:rtl/>
          <w:lang w:bidi="fa-IR"/>
        </w:rPr>
      </w:pPr>
      <w:r w:rsidRPr="00020424">
        <w:rPr>
          <w:rtl/>
          <w:lang w:bidi="fa-IR"/>
        </w:rPr>
        <w:t xml:space="preserve">قَالَ : « فَخَرَجَ إِلَيْهِمْ وَهُوَ يَقُولُ : سَيَدْخُلُونَ </w:t>
      </w:r>
      <w:r w:rsidRPr="00A91B96">
        <w:rPr>
          <w:rStyle w:val="libFootnotenumChar"/>
          <w:rtl/>
        </w:rPr>
        <w:t>(12)</w:t>
      </w:r>
      <w:r w:rsidRPr="00020424">
        <w:rPr>
          <w:rtl/>
          <w:lang w:bidi="fa-IR"/>
        </w:rPr>
        <w:t xml:space="preserve"> وَيَسْتَأْنِفُونَ </w:t>
      </w:r>
      <w:r w:rsidRPr="00A91B96">
        <w:rPr>
          <w:rStyle w:val="libFootnotenumChar"/>
          <w:rtl/>
        </w:rPr>
        <w:t>(13)</w:t>
      </w:r>
      <w:r w:rsidRPr="00020424">
        <w:rPr>
          <w:rtl/>
          <w:lang w:bidi="fa-IR"/>
        </w:rPr>
        <w:t xml:space="preserve"> بِالْيَمِينِ </w:t>
      </w:r>
      <w:r w:rsidRPr="00A91B96">
        <w:rPr>
          <w:rStyle w:val="libFootnotenumChar"/>
          <w:rtl/>
        </w:rPr>
        <w:t>(14)</w:t>
      </w:r>
      <w:r w:rsidRPr="00020424">
        <w:rPr>
          <w:rtl/>
          <w:lang w:bidi="fa-IR"/>
        </w:rPr>
        <w:t xml:space="preserve"> ، فَمَا‌</w:t>
      </w:r>
    </w:p>
    <w:p w:rsidR="00992664" w:rsidRPr="00020424" w:rsidRDefault="00992664" w:rsidP="00992664">
      <w:pPr>
        <w:pStyle w:val="libLine"/>
        <w:rPr>
          <w:rtl/>
          <w:lang w:bidi="fa-IR"/>
        </w:rPr>
      </w:pPr>
      <w:r w:rsidRPr="00020424">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4003E" w:rsidTr="00B4003E">
        <w:tc>
          <w:tcPr>
            <w:tcW w:w="4006" w:type="dxa"/>
          </w:tcPr>
          <w:p w:rsidR="00B4003E" w:rsidRDefault="00B4003E" w:rsidP="00992664">
            <w:pPr>
              <w:pStyle w:val="libFootnote0"/>
              <w:rPr>
                <w:rtl/>
              </w:rPr>
            </w:pPr>
            <w:r>
              <w:rPr>
                <w:rtl/>
              </w:rPr>
              <w:t xml:space="preserve">(1). </w:t>
            </w:r>
            <w:r w:rsidRPr="00020424">
              <w:rPr>
                <w:rtl/>
              </w:rPr>
              <w:t>في « بس » و</w:t>
            </w:r>
            <w:r w:rsidRPr="0012008A">
              <w:rPr>
                <w:rStyle w:val="libFootnoteBoldChar"/>
                <w:rtl/>
              </w:rPr>
              <w:t>البحار</w:t>
            </w:r>
            <w:r w:rsidRPr="00020424">
              <w:rPr>
                <w:rtl/>
              </w:rPr>
              <w:t xml:space="preserve"> ، ج 38 : « فيجيبون</w:t>
            </w:r>
            <w:r>
              <w:rPr>
                <w:rtl/>
              </w:rPr>
              <w:t xml:space="preserve"> ».</w:t>
            </w:r>
          </w:p>
        </w:tc>
        <w:tc>
          <w:tcPr>
            <w:tcW w:w="4006" w:type="dxa"/>
          </w:tcPr>
          <w:p w:rsidR="00B4003E" w:rsidRDefault="00B4003E" w:rsidP="00992664">
            <w:pPr>
              <w:pStyle w:val="libFootnote0"/>
              <w:rPr>
                <w:rtl/>
              </w:rPr>
            </w:pPr>
            <w:r>
              <w:rPr>
                <w:rtl/>
              </w:rPr>
              <w:t xml:space="preserve">(2). </w:t>
            </w:r>
            <w:r w:rsidRPr="00020424">
              <w:rPr>
                <w:rtl/>
              </w:rPr>
              <w:t xml:space="preserve">في </w:t>
            </w:r>
            <w:r w:rsidRPr="0012008A">
              <w:rPr>
                <w:rStyle w:val="libFootnoteBoldChar"/>
                <w:rtl/>
              </w:rPr>
              <w:t>البحار</w:t>
            </w:r>
            <w:r w:rsidRPr="00020424">
              <w:rPr>
                <w:rtl/>
              </w:rPr>
              <w:t xml:space="preserve"> ، ج 38 : « فاقض</w:t>
            </w:r>
            <w:r>
              <w:rPr>
                <w:rtl/>
              </w:rPr>
              <w:t xml:space="preserve"> ».</w:t>
            </w:r>
          </w:p>
        </w:tc>
      </w:tr>
      <w:tr w:rsidR="00B4003E" w:rsidTr="00B4003E">
        <w:tc>
          <w:tcPr>
            <w:tcW w:w="4006" w:type="dxa"/>
          </w:tcPr>
          <w:p w:rsidR="00B4003E" w:rsidRDefault="00B4003E" w:rsidP="00992664">
            <w:pPr>
              <w:pStyle w:val="libFootnote0"/>
              <w:rPr>
                <w:rtl/>
              </w:rPr>
            </w:pPr>
            <w:r>
              <w:rPr>
                <w:rtl/>
              </w:rPr>
              <w:t xml:space="preserve">(3). </w:t>
            </w:r>
            <w:r w:rsidRPr="00020424">
              <w:rPr>
                <w:rtl/>
              </w:rPr>
              <w:t xml:space="preserve">في </w:t>
            </w:r>
            <w:r w:rsidRPr="0012008A">
              <w:rPr>
                <w:rStyle w:val="libFootnoteBoldChar"/>
                <w:rtl/>
              </w:rPr>
              <w:t>الوسائل</w:t>
            </w:r>
            <w:r w:rsidRPr="00020424">
              <w:rPr>
                <w:rtl/>
              </w:rPr>
              <w:t xml:space="preserve"> :</w:t>
            </w:r>
            <w:r>
              <w:rPr>
                <w:rtl/>
              </w:rPr>
              <w:t xml:space="preserve"> - </w:t>
            </w:r>
            <w:r w:rsidRPr="00020424">
              <w:rPr>
                <w:rtl/>
              </w:rPr>
              <w:t>« قال</w:t>
            </w:r>
            <w:r>
              <w:rPr>
                <w:rtl/>
              </w:rPr>
              <w:t xml:space="preserve"> ».</w:t>
            </w:r>
          </w:p>
        </w:tc>
        <w:tc>
          <w:tcPr>
            <w:tcW w:w="4006" w:type="dxa"/>
          </w:tcPr>
          <w:p w:rsidR="00B4003E" w:rsidRDefault="00B4003E" w:rsidP="00992664">
            <w:pPr>
              <w:pStyle w:val="libFootnote0"/>
              <w:rPr>
                <w:rtl/>
              </w:rPr>
            </w:pPr>
            <w:r>
              <w:rPr>
                <w:rtl/>
              </w:rPr>
              <w:t xml:space="preserve">(4). </w:t>
            </w:r>
            <w:r w:rsidRPr="00020424">
              <w:rPr>
                <w:rtl/>
              </w:rPr>
              <w:t>في « جن » : « ثمّ قال » بدل « قال : ثمّ</w:t>
            </w:r>
            <w:r>
              <w:rPr>
                <w:rtl/>
              </w:rPr>
              <w:t xml:space="preserve"> ».</w:t>
            </w:r>
          </w:p>
        </w:tc>
      </w:tr>
    </w:tbl>
    <w:p w:rsidR="00992664" w:rsidRPr="00020424" w:rsidRDefault="00795177" w:rsidP="00B4003E">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فسار بفعله الركبان : ذهبوا بخبر فعله إلى البلدان ، من السير</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أي حمل الركبان والقوافل هذا الخبر إلى أطراف الأرض</w:t>
      </w:r>
      <w:r w:rsidR="00992664">
        <w:rPr>
          <w:rtl/>
        </w:rPr>
        <w:t xml:space="preserve"> ».</w:t>
      </w:r>
      <w:r w:rsidR="00B4003E">
        <w:rPr>
          <w:rFonts w:hint="cs"/>
          <w:rtl/>
        </w:rPr>
        <w:t xml:space="preserve">               </w:t>
      </w:r>
      <w:r>
        <w:rPr>
          <w:rtl/>
        </w:rPr>
        <w:t>(6).</w:t>
      </w:r>
      <w:r w:rsidR="0014403D">
        <w:rPr>
          <w:rtl/>
        </w:rPr>
        <w:t xml:space="preserve"> </w:t>
      </w:r>
      <w:r w:rsidR="00992664" w:rsidRPr="00020424">
        <w:rPr>
          <w:rtl/>
        </w:rPr>
        <w:t xml:space="preserve">في « بخ ، بر ، بف » </w:t>
      </w:r>
      <w:r w:rsidR="00992664" w:rsidRPr="00515444">
        <w:rPr>
          <w:rStyle w:val="libFootnoteBoldChar"/>
          <w:rtl/>
        </w:rPr>
        <w:t>والوافي</w:t>
      </w:r>
      <w:r w:rsidR="00992664" w:rsidRPr="00020424">
        <w:rPr>
          <w:rtl/>
        </w:rPr>
        <w:t xml:space="preserve"> : « فبينا</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في « بر » : « قومه</w:t>
      </w:r>
      <w:r w:rsidR="00992664">
        <w:rPr>
          <w:rtl/>
        </w:rPr>
        <w:t xml:space="preserve"> ».</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في « جن » : « وأناخوا</w:t>
      </w:r>
      <w:r w:rsidR="00992664">
        <w:rPr>
          <w:rtl/>
        </w:rPr>
        <w:t xml:space="preserve"> ».</w:t>
      </w:r>
      <w:r w:rsidR="00992664" w:rsidRPr="00020424">
        <w:rPr>
          <w:rtl/>
        </w:rPr>
        <w:t xml:space="preserve"> أي أبركوا إبلهم ، أي ألصقوا صدورها بالأرض ، أي أقاموا فيها. راجع : </w:t>
      </w:r>
      <w:r w:rsidR="00992664" w:rsidRPr="0012008A">
        <w:rPr>
          <w:rStyle w:val="libFootnoteBoldChar"/>
          <w:rtl/>
        </w:rPr>
        <w:t>الصحاح</w:t>
      </w:r>
      <w:r w:rsidR="00992664" w:rsidRPr="00020424">
        <w:rPr>
          <w:rtl/>
        </w:rPr>
        <w:t xml:space="preserve"> ، ج 1 ، ص 434 ؛ </w:t>
      </w:r>
      <w:r w:rsidR="00992664" w:rsidRPr="00A722B1">
        <w:rPr>
          <w:rStyle w:val="libFootnoteBoldChar"/>
          <w:rtl/>
        </w:rPr>
        <w:t>لسان العرب</w:t>
      </w:r>
      <w:r w:rsidR="00992664" w:rsidRPr="00020424">
        <w:rPr>
          <w:rtl/>
        </w:rPr>
        <w:t xml:space="preserve"> ، ج 3 ، ص 65 ( نوخ )</w:t>
      </w:r>
      <w:r w:rsidR="00992664">
        <w:rPr>
          <w:rtl/>
        </w:rPr>
        <w:t>.</w:t>
      </w:r>
    </w:p>
    <w:p w:rsidR="00992664" w:rsidRPr="00020424" w:rsidRDefault="00795177" w:rsidP="00B4003E">
      <w:pPr>
        <w:pStyle w:val="libFootnote0"/>
        <w:rPr>
          <w:rtl/>
          <w:lang w:bidi="fa-IR"/>
        </w:rPr>
      </w:pPr>
      <w:r>
        <w:rPr>
          <w:rtl/>
        </w:rPr>
        <w:t>(9).</w:t>
      </w:r>
      <w:r w:rsidR="0014403D">
        <w:rPr>
          <w:rtl/>
        </w:rPr>
        <w:t xml:space="preserve"> </w:t>
      </w:r>
      <w:r w:rsidR="00992664" w:rsidRPr="00020424">
        <w:rPr>
          <w:rtl/>
        </w:rPr>
        <w:t>الرواحل : جمع الراحلة. قال الجوهري : « الراحلة : المركب من الإبل ذكراً كان أو ا</w:t>
      </w:r>
      <w:r w:rsidR="00B4003E">
        <w:rPr>
          <w:rFonts w:hint="cs"/>
          <w:rtl/>
        </w:rPr>
        <w:t>ُ</w:t>
      </w:r>
      <w:r w:rsidR="00992664" w:rsidRPr="00020424">
        <w:rPr>
          <w:rtl/>
        </w:rPr>
        <w:t>نثى</w:t>
      </w:r>
      <w:r w:rsidR="00992664">
        <w:rPr>
          <w:rtl/>
        </w:rPr>
        <w:t xml:space="preserve"> ».</w:t>
      </w:r>
      <w:r w:rsidR="00992664" w:rsidRPr="00020424">
        <w:rPr>
          <w:rtl/>
        </w:rPr>
        <w:t xml:space="preserve"> وقال ابن الأثير : « الراحلة من الإبل : البعير القويّ على الأسفار والأحمال ، والذكر والانثى فيه سواء ، والهاء فيها للمبالغة ، وهي التي يختارها الرجل لمركبه ورحله على النجابة وتمام الخَلْق وحسن المنظر</w:t>
      </w:r>
      <w:r w:rsidR="00992664">
        <w:rPr>
          <w:rtl/>
        </w:rPr>
        <w:t xml:space="preserve"> ».</w:t>
      </w:r>
      <w:r w:rsidR="00992664" w:rsidRPr="00020424">
        <w:rPr>
          <w:rtl/>
        </w:rPr>
        <w:t xml:space="preserve"> </w:t>
      </w:r>
      <w:r w:rsidR="00992664" w:rsidRPr="0012008A">
        <w:rPr>
          <w:rStyle w:val="libFootnoteBoldChar"/>
          <w:rtl/>
        </w:rPr>
        <w:t>الصحاح</w:t>
      </w:r>
      <w:r w:rsidR="00992664" w:rsidRPr="00020424">
        <w:rPr>
          <w:rtl/>
        </w:rPr>
        <w:t xml:space="preserve"> ، ج 4 ، ص 1707 ؛ </w:t>
      </w:r>
      <w:r w:rsidR="00992664" w:rsidRPr="0012008A">
        <w:rPr>
          <w:rStyle w:val="libFootnoteBoldChar"/>
          <w:rtl/>
        </w:rPr>
        <w:t>النهاية</w:t>
      </w:r>
      <w:r w:rsidR="00992664" w:rsidRPr="00020424">
        <w:rPr>
          <w:rtl/>
        </w:rPr>
        <w:t xml:space="preserve"> ، ج 2 ، ص 209 ( رحل )</w:t>
      </w:r>
      <w:r w:rsidR="00992664">
        <w:rPr>
          <w:rtl/>
        </w:rPr>
        <w:t>.</w:t>
      </w:r>
      <w:r w:rsidR="00B4003E">
        <w:rPr>
          <w:rFonts w:hint="cs"/>
          <w:rtl/>
        </w:rPr>
        <w:t xml:space="preserve">                                          </w:t>
      </w: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وقدمنا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B4003E" w:rsidTr="00B4003E">
        <w:tc>
          <w:tcPr>
            <w:tcW w:w="4006" w:type="dxa"/>
          </w:tcPr>
          <w:p w:rsidR="00B4003E" w:rsidRDefault="00B4003E" w:rsidP="00992664">
            <w:pPr>
              <w:pStyle w:val="libFootnote0"/>
              <w:rPr>
                <w:rtl/>
              </w:rPr>
            </w:pPr>
            <w:r>
              <w:rPr>
                <w:rtl/>
              </w:rPr>
              <w:t xml:space="preserve">(11). </w:t>
            </w:r>
            <w:r w:rsidRPr="00020424">
              <w:rPr>
                <w:rtl/>
              </w:rPr>
              <w:t>في « ظ » وحاشية « بح » : « أو</w:t>
            </w:r>
            <w:r>
              <w:rPr>
                <w:rtl/>
              </w:rPr>
              <w:t xml:space="preserve"> ».</w:t>
            </w:r>
          </w:p>
        </w:tc>
        <w:tc>
          <w:tcPr>
            <w:tcW w:w="4006" w:type="dxa"/>
          </w:tcPr>
          <w:p w:rsidR="00B4003E" w:rsidRDefault="00B4003E" w:rsidP="00992664">
            <w:pPr>
              <w:pStyle w:val="libFootnote0"/>
              <w:rPr>
                <w:rtl/>
              </w:rPr>
            </w:pPr>
            <w:r>
              <w:rPr>
                <w:rtl/>
              </w:rPr>
              <w:t xml:space="preserve">(12). </w:t>
            </w:r>
            <w:r w:rsidRPr="00020424">
              <w:rPr>
                <w:rtl/>
              </w:rPr>
              <w:t>في « بخ ، بر » : « ستدخلون</w:t>
            </w:r>
            <w:r>
              <w:rPr>
                <w:rtl/>
              </w:rPr>
              <w:t xml:space="preserve"> ».</w:t>
            </w:r>
          </w:p>
        </w:tc>
      </w:tr>
    </w:tbl>
    <w:p w:rsidR="00992664" w:rsidRPr="00020424" w:rsidRDefault="00795177" w:rsidP="00992664">
      <w:pPr>
        <w:pStyle w:val="libFootnote0"/>
        <w:rPr>
          <w:rtl/>
          <w:lang w:bidi="fa-IR"/>
        </w:rPr>
      </w:pPr>
      <w:r>
        <w:rPr>
          <w:rtl/>
        </w:rPr>
        <w:t>(13).</w:t>
      </w:r>
      <w:r w:rsidR="0014403D">
        <w:rPr>
          <w:rtl/>
        </w:rPr>
        <w:t xml:space="preserve"> </w:t>
      </w:r>
      <w:r w:rsidR="00992664" w:rsidRPr="00020424">
        <w:rPr>
          <w:rtl/>
        </w:rPr>
        <w:t>في « بث » : « ويتسابقون</w:t>
      </w:r>
      <w:r w:rsidR="00992664">
        <w:rPr>
          <w:rtl/>
        </w:rPr>
        <w:t xml:space="preserve"> ».</w:t>
      </w:r>
      <w:r w:rsidR="00992664" w:rsidRPr="00020424">
        <w:rPr>
          <w:rtl/>
        </w:rPr>
        <w:t xml:space="preserve"> وفي « بخ ، بر ، بف » : « وتسابقون</w:t>
      </w:r>
      <w:r w:rsidR="00992664">
        <w:rPr>
          <w:rtl/>
        </w:rPr>
        <w:t xml:space="preserve"> ».</w:t>
      </w:r>
      <w:r w:rsidR="00992664" w:rsidRPr="00020424">
        <w:rPr>
          <w:rtl/>
        </w:rPr>
        <w:t xml:space="preserve"> وفي مرآة العقول عن بعض النسخ : « ويسابقون</w:t>
      </w:r>
      <w:r w:rsidR="00992664">
        <w:rPr>
          <w:rtl/>
        </w:rPr>
        <w:t xml:space="preserve"> ».</w:t>
      </w:r>
    </w:p>
    <w:p w:rsidR="00992664" w:rsidRPr="00020424" w:rsidRDefault="00795177" w:rsidP="00992664">
      <w:pPr>
        <w:pStyle w:val="libFootnote0"/>
        <w:rPr>
          <w:rtl/>
          <w:lang w:bidi="fa-IR"/>
        </w:rPr>
      </w:pPr>
      <w:r>
        <w:rPr>
          <w:rtl/>
        </w:rPr>
        <w:t>(14).</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 « سيدخلون ؛ يعني في الإسلام ، ويستأنفون الدين الحقّ باليمين ؛ يعني بها اليمين التي نشدهم بها حين كلّمهم ، وهي الآيات التسع الموسويّة التي ذكرها الله تعالى في كتابه ، وهي الحجر ، والعصاء ، واليد </w:t>
      </w:r>
      <w:r w:rsidR="00FC47BF">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68032B">
      <w:pPr>
        <w:pStyle w:val="libNormal0"/>
        <w:rPr>
          <w:rtl/>
          <w:lang w:bidi="fa-IR"/>
        </w:rPr>
      </w:pPr>
      <w:r w:rsidRPr="00020424">
        <w:rPr>
          <w:rtl/>
          <w:lang w:bidi="fa-IR"/>
        </w:rPr>
        <w:t>حَاجَتُكُمْ</w:t>
      </w:r>
      <w:r>
        <w:rPr>
          <w:rtl/>
          <w:lang w:bidi="fa-IR"/>
        </w:rPr>
        <w:t>؟</w:t>
      </w:r>
      <w:r w:rsidRPr="00020424">
        <w:rPr>
          <w:rtl/>
          <w:lang w:bidi="fa-IR"/>
        </w:rPr>
        <w:t xml:space="preserve"> فَقَالَ لَهُ </w:t>
      </w:r>
      <w:r w:rsidRPr="00A91B96">
        <w:rPr>
          <w:rStyle w:val="libFootnotenumChar"/>
          <w:rtl/>
        </w:rPr>
        <w:t>(1)</w:t>
      </w:r>
      <w:r w:rsidRPr="00020424">
        <w:rPr>
          <w:rtl/>
          <w:lang w:bidi="fa-IR"/>
        </w:rPr>
        <w:t xml:space="preserve"> عَظِيمُهُمْ : يَا ابْنَ أَبِي طَالِبٍ ، مَا هذِهِ الْبِدْعَةُ الَّتِي أَحْدَثْتَ فِي دِينِ مُحَمَّدٍ </w:t>
      </w:r>
      <w:r w:rsidR="00B42914" w:rsidRPr="00B42914">
        <w:rPr>
          <w:rStyle w:val="libAlaemChar"/>
          <w:rtl/>
        </w:rPr>
        <w:t>صلى‌الله‌عليه‌وآله‌</w:t>
      </w:r>
      <w:r>
        <w:rPr>
          <w:rtl/>
          <w:lang w:bidi="fa-IR"/>
        </w:rPr>
        <w:t>؟</w:t>
      </w:r>
      <w:r w:rsidRPr="00020424">
        <w:rPr>
          <w:rtl/>
          <w:lang w:bidi="fa-IR"/>
        </w:rPr>
        <w:t xml:space="preserve"> فَقَالَ لَهُ : وَأَيَّةُ </w:t>
      </w:r>
      <w:r w:rsidRPr="00A91B96">
        <w:rPr>
          <w:rStyle w:val="libFootnotenumChar"/>
          <w:rtl/>
        </w:rPr>
        <w:t>(2)</w:t>
      </w:r>
      <w:r w:rsidRPr="00020424">
        <w:rPr>
          <w:rtl/>
          <w:lang w:bidi="fa-IR"/>
        </w:rPr>
        <w:t xml:space="preserve"> بِدْعَةٍ</w:t>
      </w:r>
      <w:r>
        <w:rPr>
          <w:rtl/>
          <w:lang w:bidi="fa-IR"/>
        </w:rPr>
        <w:t>؟</w:t>
      </w:r>
      <w:r w:rsidRPr="00020424">
        <w:rPr>
          <w:rtl/>
          <w:lang w:bidi="fa-IR"/>
        </w:rPr>
        <w:t xml:space="preserve"> فَقَالَ لَهُ الْيَهُودِيُّ : زَعَمَ قَوْمٌ مِنْ أَهْلِ </w:t>
      </w:r>
      <w:r w:rsidRPr="00A91B96">
        <w:rPr>
          <w:rStyle w:val="libFootnotenumChar"/>
          <w:rtl/>
        </w:rPr>
        <w:t>(3)</w:t>
      </w:r>
      <w:r w:rsidRPr="00020424">
        <w:rPr>
          <w:rtl/>
          <w:lang w:bidi="fa-IR"/>
        </w:rPr>
        <w:t xml:space="preserve"> الْحِجَازِ أَنَّكَ عَمَدْتَ إِلى قَوْمٍ شَهِدُوا أَنْ لَا</w:t>
      </w:r>
      <w:r>
        <w:rPr>
          <w:rFonts w:hint="cs"/>
          <w:rtl/>
          <w:lang w:bidi="fa-IR"/>
        </w:rPr>
        <w:t xml:space="preserve"> </w:t>
      </w:r>
      <w:r w:rsidR="0068032B">
        <w:rPr>
          <w:rtl/>
          <w:lang w:bidi="fa-IR"/>
        </w:rPr>
        <w:t>إِلهَ إِل</w:t>
      </w:r>
      <w:r w:rsidR="0068032B">
        <w:rPr>
          <w:rFonts w:hint="cs"/>
          <w:rtl/>
          <w:lang w:bidi="fa-IR"/>
        </w:rPr>
        <w:t>َّ</w:t>
      </w:r>
      <w:r w:rsidR="0068032B">
        <w:rPr>
          <w:rtl/>
          <w:lang w:bidi="fa-IR"/>
        </w:rPr>
        <w:t>ا</w:t>
      </w:r>
      <w:r w:rsidRPr="00020424">
        <w:rPr>
          <w:rtl/>
          <w:lang w:bidi="fa-IR"/>
        </w:rPr>
        <w:t xml:space="preserve"> اللهُ ، وَلَمْ يُقِرُّوا أَنَّ مُحَمَّداً رَسُولُهُ </w:t>
      </w:r>
      <w:r w:rsidRPr="00A91B96">
        <w:rPr>
          <w:rStyle w:val="libFootnotenumChar"/>
          <w:rtl/>
        </w:rPr>
        <w:t>(4)</w:t>
      </w:r>
      <w:r w:rsidRPr="00020424">
        <w:rPr>
          <w:rtl/>
          <w:lang w:bidi="fa-IR"/>
        </w:rPr>
        <w:t xml:space="preserve"> ، فَقَتَلْتَهُمْ بِالدُّخَانِ </w:t>
      </w:r>
      <w:r w:rsidRPr="00A91B96">
        <w:rPr>
          <w:rStyle w:val="libFootnotenumChar"/>
          <w:rtl/>
        </w:rPr>
        <w:t>(5)</w:t>
      </w:r>
      <w:r w:rsidRPr="00020424">
        <w:rPr>
          <w:rtl/>
          <w:lang w:bidi="fa-IR"/>
        </w:rPr>
        <w:t xml:space="preserve"> ، فَقَالَ لَهُ </w:t>
      </w:r>
      <w:r w:rsidRPr="00A91B96">
        <w:rPr>
          <w:rStyle w:val="libFootnotenumChar"/>
          <w:rtl/>
        </w:rPr>
        <w:t>(6)</w:t>
      </w:r>
      <w:r w:rsidRPr="00020424">
        <w:rPr>
          <w:rtl/>
          <w:lang w:bidi="fa-IR"/>
        </w:rPr>
        <w:t xml:space="preserve"> أَمِيرُ الْمُؤْمِنِينَ صَلَوَاتُ اللهِ عَلَيْهِ : فَنَشَدْتُكَ </w:t>
      </w:r>
      <w:r w:rsidRPr="00A91B96">
        <w:rPr>
          <w:rStyle w:val="libFootnotenumChar"/>
          <w:rtl/>
        </w:rPr>
        <w:t>(7)</w:t>
      </w:r>
      <w:r w:rsidRPr="00020424">
        <w:rPr>
          <w:rtl/>
          <w:lang w:bidi="fa-IR"/>
        </w:rPr>
        <w:t xml:space="preserve"> بِالتِّسْعِ آيَاتٍ </w:t>
      </w:r>
      <w:r w:rsidRPr="00A91B96">
        <w:rPr>
          <w:rStyle w:val="libFootnotenumChar"/>
          <w:rtl/>
        </w:rPr>
        <w:t>(8)</w:t>
      </w:r>
      <w:r w:rsidRPr="00020424">
        <w:rPr>
          <w:rtl/>
          <w:lang w:bidi="fa-IR"/>
        </w:rPr>
        <w:t xml:space="preserve"> الَّتِي أُنْزِلَتْ </w:t>
      </w:r>
      <w:r w:rsidRPr="00A91B96">
        <w:rPr>
          <w:rStyle w:val="libFootnotenumChar"/>
          <w:rtl/>
        </w:rPr>
        <w:t>(9)</w:t>
      </w:r>
      <w:r w:rsidRPr="00020424">
        <w:rPr>
          <w:rtl/>
          <w:lang w:bidi="fa-IR"/>
        </w:rPr>
        <w:t xml:space="preserve"> عَلى مُوسى </w:t>
      </w:r>
      <w:r w:rsidRPr="00005A81">
        <w:rPr>
          <w:rStyle w:val="libAlaemChar"/>
          <w:rtl/>
        </w:rPr>
        <w:t>عليه‌السلام</w:t>
      </w:r>
      <w:r w:rsidRPr="00020424">
        <w:rPr>
          <w:rtl/>
          <w:lang w:bidi="fa-IR"/>
        </w:rPr>
        <w:t xml:space="preserve"> بِطُورِ سَيْنَاءَ ، وَبِحَقِّ الْكَنَائِسِ </w:t>
      </w:r>
      <w:r w:rsidRPr="00A91B96">
        <w:rPr>
          <w:rStyle w:val="libFootnotenumChar"/>
          <w:rtl/>
        </w:rPr>
        <w:t>(10)</w:t>
      </w:r>
      <w:r w:rsidRPr="00020424">
        <w:rPr>
          <w:rtl/>
          <w:lang w:bidi="fa-IR"/>
        </w:rPr>
        <w:t xml:space="preserve"> الْخَمْسِ الْقُدْسِ ، وَبِحَقِّ السَّمْتِ </w:t>
      </w:r>
      <w:r w:rsidRPr="00A91B96">
        <w:rPr>
          <w:rStyle w:val="libFootnotenumChar"/>
          <w:rtl/>
        </w:rPr>
        <w:t>(11)</w:t>
      </w:r>
      <w:r w:rsidRPr="00020424">
        <w:rPr>
          <w:rtl/>
          <w:lang w:bidi="fa-IR"/>
        </w:rPr>
        <w:t xml:space="preserve"> الدَّيَّانِ </w:t>
      </w:r>
      <w:r w:rsidRPr="00A91B96">
        <w:rPr>
          <w:rStyle w:val="libFootnotenumChar"/>
          <w:rtl/>
        </w:rPr>
        <w:t>(12)</w:t>
      </w:r>
      <w:r w:rsidRPr="00020424">
        <w:rPr>
          <w:rtl/>
          <w:lang w:bidi="fa-IR"/>
        </w:rPr>
        <w:t xml:space="preserve"> ، هَلْ تَعْلَمُ أَنَّ يُوشَعَ بْنَ نُونٍ أُتِيَ بِقَوْمٍ بَعْدَ وَفَاة مُوسى شَهِدُوا أَنْ‌</w:t>
      </w:r>
    </w:p>
    <w:p w:rsidR="00992664" w:rsidRPr="00020424" w:rsidRDefault="00992664" w:rsidP="00992664">
      <w:pPr>
        <w:pStyle w:val="libLine"/>
        <w:rPr>
          <w:rtl/>
          <w:lang w:bidi="fa-IR"/>
        </w:rPr>
      </w:pPr>
      <w:r w:rsidRPr="00020424">
        <w:rPr>
          <w:rtl/>
          <w:lang w:bidi="fa-IR"/>
        </w:rPr>
        <w:t>__________________</w:t>
      </w:r>
    </w:p>
    <w:p w:rsidR="00992664" w:rsidRPr="00020424" w:rsidRDefault="00EC1A35" w:rsidP="00992664">
      <w:pPr>
        <w:pStyle w:val="libFootnote0"/>
        <w:rPr>
          <w:rtl/>
          <w:lang w:bidi="fa-IR"/>
        </w:rPr>
      </w:pPr>
      <w:r>
        <w:rPr>
          <w:rFonts w:hint="cs"/>
          <w:rtl/>
        </w:rPr>
        <w:t xml:space="preserve">= </w:t>
      </w:r>
      <w:r w:rsidR="00992664" w:rsidRPr="00020424">
        <w:rPr>
          <w:rtl/>
        </w:rPr>
        <w:t>البيضاء ، والجبل ، والطوفان ، والجراد ، والقمّل ، والضفادع ، والدم</w:t>
      </w:r>
      <w:r w:rsidR="00992664">
        <w:rPr>
          <w:rtl/>
        </w:rPr>
        <w:t xml:space="preserve"> ».</w:t>
      </w:r>
      <w:r w:rsidR="00992664" w:rsidRPr="00020424">
        <w:rPr>
          <w:rtl/>
        </w:rPr>
        <w:t xml:space="preserve"> وفي </w:t>
      </w:r>
      <w:r w:rsidR="00992664" w:rsidRPr="00DE76B9">
        <w:rPr>
          <w:rStyle w:val="libFootnoteBoldChar"/>
          <w:rtl/>
        </w:rPr>
        <w:t>مرآة العقول</w:t>
      </w:r>
      <w:r w:rsidR="00992664" w:rsidRPr="00020424">
        <w:rPr>
          <w:rtl/>
        </w:rPr>
        <w:t xml:space="preserve"> : « قوله </w:t>
      </w:r>
      <w:r w:rsidR="00992664" w:rsidRPr="00D64ADA">
        <w:rPr>
          <w:rStyle w:val="libFootnoteAlaemChar"/>
          <w:rtl/>
        </w:rPr>
        <w:t>عليه‌السلام</w:t>
      </w:r>
      <w:r w:rsidR="00992664" w:rsidRPr="00020424">
        <w:rPr>
          <w:rtl/>
        </w:rPr>
        <w:t xml:space="preserve"> : ويستأنفون باليمين ، أي يبتدئون بأيمانهم للبيعة ، أو يستأنفون الإسلام لليمين التي أقسم بها عليهم. والأوّل أظهر</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5D3095" w:rsidTr="005D3095">
        <w:tc>
          <w:tcPr>
            <w:tcW w:w="4006" w:type="dxa"/>
          </w:tcPr>
          <w:p w:rsidR="005D3095" w:rsidRDefault="005D3095" w:rsidP="00992664">
            <w:pPr>
              <w:pStyle w:val="libFootnote0"/>
              <w:rPr>
                <w:rtl/>
              </w:rPr>
            </w:pPr>
            <w:r>
              <w:rPr>
                <w:rtl/>
              </w:rPr>
              <w:t xml:space="preserve">(1). </w:t>
            </w:r>
            <w:r w:rsidRPr="00020424">
              <w:rPr>
                <w:rtl/>
              </w:rPr>
              <w:t>في « بر ، بف » :</w:t>
            </w:r>
            <w:r>
              <w:rPr>
                <w:rtl/>
              </w:rPr>
              <w:t xml:space="preserve"> - </w:t>
            </w:r>
            <w:r w:rsidRPr="00020424">
              <w:rPr>
                <w:rtl/>
              </w:rPr>
              <w:t>« له</w:t>
            </w:r>
            <w:r>
              <w:rPr>
                <w:rtl/>
              </w:rPr>
              <w:t xml:space="preserve"> ».</w:t>
            </w:r>
          </w:p>
        </w:tc>
        <w:tc>
          <w:tcPr>
            <w:tcW w:w="4006" w:type="dxa"/>
          </w:tcPr>
          <w:p w:rsidR="005D3095" w:rsidRDefault="005D3095" w:rsidP="00992664">
            <w:pPr>
              <w:pStyle w:val="libFootnote0"/>
              <w:rPr>
                <w:rtl/>
              </w:rPr>
            </w:pPr>
            <w:r>
              <w:rPr>
                <w:rtl/>
              </w:rPr>
              <w:t xml:space="preserve">(2). </w:t>
            </w:r>
            <w:r w:rsidRPr="00020424">
              <w:rPr>
                <w:rtl/>
              </w:rPr>
              <w:t>في « بر » : « وأيّ</w:t>
            </w:r>
            <w:r>
              <w:rPr>
                <w:rtl/>
              </w:rPr>
              <w:t xml:space="preserve"> ».</w:t>
            </w:r>
          </w:p>
        </w:tc>
      </w:tr>
      <w:tr w:rsidR="005D3095" w:rsidTr="005D3095">
        <w:tc>
          <w:tcPr>
            <w:tcW w:w="4006" w:type="dxa"/>
          </w:tcPr>
          <w:p w:rsidR="005D3095" w:rsidRDefault="005D3095" w:rsidP="00992664">
            <w:pPr>
              <w:pStyle w:val="libFootnote0"/>
              <w:rPr>
                <w:rtl/>
              </w:rPr>
            </w:pPr>
            <w:r>
              <w:rPr>
                <w:rtl/>
              </w:rPr>
              <w:t xml:space="preserve">(3). </w:t>
            </w:r>
            <w:r w:rsidRPr="00020424">
              <w:rPr>
                <w:rtl/>
              </w:rPr>
              <w:t>في « ظ » :</w:t>
            </w:r>
            <w:r>
              <w:rPr>
                <w:rtl/>
              </w:rPr>
              <w:t xml:space="preserve"> - </w:t>
            </w:r>
            <w:r w:rsidRPr="00020424">
              <w:rPr>
                <w:rtl/>
              </w:rPr>
              <w:t>« أهل</w:t>
            </w:r>
            <w:r>
              <w:rPr>
                <w:rtl/>
              </w:rPr>
              <w:t xml:space="preserve"> ».</w:t>
            </w:r>
          </w:p>
        </w:tc>
        <w:tc>
          <w:tcPr>
            <w:tcW w:w="4006" w:type="dxa"/>
          </w:tcPr>
          <w:p w:rsidR="005D3095" w:rsidRDefault="005D3095" w:rsidP="00992664">
            <w:pPr>
              <w:pStyle w:val="libFootnote0"/>
              <w:rPr>
                <w:rtl/>
              </w:rPr>
            </w:pPr>
            <w:r>
              <w:rPr>
                <w:rtl/>
              </w:rPr>
              <w:t>(4). في «ظ،بس</w:t>
            </w:r>
            <w:r w:rsidRPr="00020424">
              <w:rPr>
                <w:rtl/>
              </w:rPr>
              <w:t>» و</w:t>
            </w:r>
            <w:r w:rsidRPr="0012008A">
              <w:rPr>
                <w:rStyle w:val="libFootnoteBoldChar"/>
                <w:rtl/>
              </w:rPr>
              <w:t>البحار</w:t>
            </w:r>
            <w:r w:rsidRPr="00020424">
              <w:rPr>
                <w:rtl/>
              </w:rPr>
              <w:t xml:space="preserve"> ، ج 40 : « رسول الله</w:t>
            </w:r>
            <w:r>
              <w:rPr>
                <w:rtl/>
              </w:rPr>
              <w:t xml:space="preserve"> ».</w:t>
            </w:r>
          </w:p>
        </w:tc>
      </w:tr>
    </w:tbl>
    <w:p w:rsidR="00992664" w:rsidRPr="00020424" w:rsidRDefault="00795177" w:rsidP="00B01CAA">
      <w:pPr>
        <w:pStyle w:val="libFootnote0"/>
        <w:rPr>
          <w:rtl/>
          <w:lang w:bidi="fa-IR"/>
        </w:rPr>
      </w:pPr>
      <w:r>
        <w:rPr>
          <w:rtl/>
        </w:rPr>
        <w:t>(5).</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ثمّ ذكر أنّ عظيماً من عظماء اليهود أنكر عليه ذلك » بدل « ثمّ انصرف فسار بفعله</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فقتلتهم‌بالدخان</w:t>
      </w:r>
      <w:r w:rsidR="00992664">
        <w:rPr>
          <w:rtl/>
        </w:rPr>
        <w:t xml:space="preserve"> ».</w:t>
      </w:r>
      <w:r w:rsidR="00B01CAA">
        <w:rPr>
          <w:rFonts w:hint="cs"/>
          <w:rtl/>
        </w:rPr>
        <w:t xml:space="preserve">                                           </w:t>
      </w:r>
      <w:r>
        <w:rPr>
          <w:rtl/>
        </w:rPr>
        <w:t>(6).</w:t>
      </w:r>
      <w:r w:rsidR="0014403D">
        <w:rPr>
          <w:rtl/>
        </w:rPr>
        <w:t xml:space="preserve"> </w:t>
      </w:r>
      <w:r w:rsidR="00992664" w:rsidRPr="00020424">
        <w:rPr>
          <w:rtl/>
        </w:rPr>
        <w:t>في « ى ، بر ، بف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(7).</w:t>
      </w:r>
      <w:r w:rsidR="0014403D">
        <w:rPr>
          <w:rtl/>
        </w:rPr>
        <w:t xml:space="preserve"> </w:t>
      </w:r>
      <w:r w:rsidR="00992664" w:rsidRPr="00020424">
        <w:rPr>
          <w:rtl/>
        </w:rPr>
        <w:t xml:space="preserve">في </w:t>
      </w:r>
      <w:r w:rsidR="00992664" w:rsidRPr="0012008A">
        <w:rPr>
          <w:rStyle w:val="libFootnoteBoldChar"/>
          <w:rtl/>
        </w:rPr>
        <w:t>الوسائل</w:t>
      </w:r>
      <w:r w:rsidR="00992664" w:rsidRPr="00020424">
        <w:rPr>
          <w:rtl/>
        </w:rPr>
        <w:t xml:space="preserve"> : « نشدتك</w:t>
      </w:r>
      <w:r w:rsidR="00992664">
        <w:rPr>
          <w:rtl/>
        </w:rPr>
        <w:t xml:space="preserve"> ».</w:t>
      </w:r>
      <w:r w:rsidR="00992664" w:rsidRPr="00020424">
        <w:rPr>
          <w:rtl/>
        </w:rPr>
        <w:t xml:space="preserve"> ويقال : نشدتك الله ، وأنشدك الله وبالله ، وناشدتك الله وبالله ، أي سألتك وأقسمت عليك ، أي سألتك به مُقْسِماً عليك. ويقال : نشدت فلاناً أنشده نشداً ، إذا قلت له : نشدتك الله ، أي سألتك بالله ، كأنّك ذكّرته إيّاه فنشد ، أي تذكّر. راجع : </w:t>
      </w:r>
      <w:r w:rsidR="00992664" w:rsidRPr="0012008A">
        <w:rPr>
          <w:rStyle w:val="libFootnoteBoldChar"/>
          <w:rtl/>
        </w:rPr>
        <w:t>الصحاح</w:t>
      </w:r>
      <w:r w:rsidR="00992664" w:rsidRPr="00020424">
        <w:rPr>
          <w:rtl/>
        </w:rPr>
        <w:t xml:space="preserve"> ، ج 2 ، ص 543 ؛ </w:t>
      </w:r>
      <w:r w:rsidR="00992664" w:rsidRPr="0012008A">
        <w:rPr>
          <w:rStyle w:val="libFootnoteBoldChar"/>
          <w:rtl/>
        </w:rPr>
        <w:t>النهاية</w:t>
      </w:r>
      <w:r w:rsidR="00992664" w:rsidRPr="00020424">
        <w:rPr>
          <w:rtl/>
        </w:rPr>
        <w:t xml:space="preserve"> ، ج 5 ، ص 53 ( نشد )</w:t>
      </w:r>
      <w:r w:rsidR="00992664">
        <w:rPr>
          <w:rtl/>
        </w:rPr>
        <w:t>.</w:t>
      </w:r>
    </w:p>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هكذا في جميع النسخ التي قوبلت </w:t>
      </w:r>
      <w:r w:rsidR="00992664" w:rsidRPr="00EB1FD9">
        <w:rPr>
          <w:rStyle w:val="libFootnoteBoldChar"/>
          <w:rtl/>
        </w:rPr>
        <w:t>والوسائل</w:t>
      </w:r>
      <w:r w:rsidR="00992664" w:rsidRPr="00020424">
        <w:rPr>
          <w:rtl/>
        </w:rPr>
        <w:t xml:space="preserve"> و</w:t>
      </w:r>
      <w:r w:rsidR="00992664" w:rsidRPr="0012008A">
        <w:rPr>
          <w:rStyle w:val="libFootnoteBoldChar"/>
          <w:rtl/>
        </w:rPr>
        <w:t>البحار</w:t>
      </w:r>
      <w:r w:rsidR="00992664" w:rsidRPr="00020424">
        <w:rPr>
          <w:rtl/>
        </w:rPr>
        <w:t xml:space="preserve"> ، ج 40. وفي المطبوع : « الآيات</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 « نزلت</w:t>
      </w:r>
      <w:r w:rsidR="00992664">
        <w:rPr>
          <w:rtl/>
        </w:rPr>
        <w:t xml:space="preserve"> ».</w:t>
      </w:r>
    </w:p>
    <w:p w:rsidR="00992664" w:rsidRPr="00020424" w:rsidRDefault="00795177" w:rsidP="00992664">
      <w:pPr>
        <w:pStyle w:val="libFootnote0"/>
        <w:rPr>
          <w:rtl/>
          <w:lang w:bidi="fa-IR"/>
        </w:rPr>
      </w:pPr>
      <w:r>
        <w:rPr>
          <w:rtl/>
        </w:rPr>
        <w:t>(10).</w:t>
      </w:r>
      <w:r w:rsidR="0014403D">
        <w:rPr>
          <w:rtl/>
        </w:rPr>
        <w:t xml:space="preserve"> </w:t>
      </w:r>
      <w:r w:rsidR="00992664" w:rsidRPr="00020424">
        <w:rPr>
          <w:rtl/>
        </w:rPr>
        <w:t xml:space="preserve">« الكنائس » : جمع الكنيسة ، وهو معبد اليهود. وتطلق أيضاً على معبد النصارى والكفّار. راجع : </w:t>
      </w:r>
      <w:r w:rsidR="00992664" w:rsidRPr="00A722B1">
        <w:rPr>
          <w:rStyle w:val="libFootnoteBoldChar"/>
          <w:rtl/>
        </w:rPr>
        <w:t>المصباح المنير</w:t>
      </w:r>
      <w:r w:rsidR="00992664" w:rsidRPr="00020424">
        <w:rPr>
          <w:rtl/>
        </w:rPr>
        <w:t xml:space="preserve"> ، ص 542 ؛ </w:t>
      </w:r>
      <w:r w:rsidR="00992664" w:rsidRPr="00A722B1">
        <w:rPr>
          <w:rStyle w:val="libFootnoteBoldChar"/>
          <w:rtl/>
        </w:rPr>
        <w:t>القاموس المحيط</w:t>
      </w:r>
      <w:r w:rsidR="00992664" w:rsidRPr="00020424">
        <w:rPr>
          <w:rtl/>
        </w:rPr>
        <w:t xml:space="preserve"> ، ج 1 ، ص 781 ( كنس )</w:t>
      </w:r>
      <w:r w:rsidR="00992664">
        <w:rPr>
          <w:rtl/>
        </w:rPr>
        <w:t>.</w:t>
      </w:r>
    </w:p>
    <w:p w:rsidR="00992664" w:rsidRPr="00020424" w:rsidRDefault="00795177" w:rsidP="00667368">
      <w:pPr>
        <w:pStyle w:val="libFootnote0"/>
        <w:rPr>
          <w:rtl/>
          <w:lang w:bidi="fa-IR"/>
        </w:rPr>
      </w:pPr>
      <w:r>
        <w:rPr>
          <w:rtl/>
        </w:rPr>
        <w:t>(11).</w:t>
      </w:r>
      <w:r w:rsidR="0014403D">
        <w:rPr>
          <w:rtl/>
        </w:rPr>
        <w:t xml:space="preserve"> </w:t>
      </w:r>
      <w:r w:rsidR="00992664" w:rsidRPr="00020424">
        <w:rPr>
          <w:rtl/>
        </w:rPr>
        <w:t>في « بث ، بخ » : « البست</w:t>
      </w:r>
      <w:r w:rsidR="00992664">
        <w:rPr>
          <w:rtl/>
        </w:rPr>
        <w:t xml:space="preserve"> ».</w:t>
      </w:r>
      <w:r w:rsidR="00992664" w:rsidRPr="00020424">
        <w:rPr>
          <w:rtl/>
        </w:rPr>
        <w:t xml:space="preserve"> وفي </w:t>
      </w:r>
      <w:r w:rsidR="00992664" w:rsidRPr="0012008A">
        <w:rPr>
          <w:rStyle w:val="libFootnoteBoldChar"/>
          <w:rtl/>
        </w:rPr>
        <w:t>البحار</w:t>
      </w:r>
      <w:r w:rsidR="00992664" w:rsidRPr="00020424">
        <w:rPr>
          <w:rtl/>
        </w:rPr>
        <w:t xml:space="preserve"> ، ج 40 : « الصمد</w:t>
      </w:r>
      <w:r w:rsidR="00992664">
        <w:rPr>
          <w:rtl/>
        </w:rPr>
        <w:t xml:space="preserve"> ».</w:t>
      </w:r>
      <w:r w:rsidR="00992664" w:rsidRPr="00020424">
        <w:rPr>
          <w:rtl/>
        </w:rPr>
        <w:t xml:space="preserve"> وقال الجوهري : « السمت : هيئة أهل الخير ، يقال : ما</w:t>
      </w:r>
      <w:r w:rsidR="00992664">
        <w:rPr>
          <w:rFonts w:hint="cs"/>
          <w:rtl/>
        </w:rPr>
        <w:t xml:space="preserve"> </w:t>
      </w:r>
      <w:r w:rsidR="00992664" w:rsidRPr="00020424">
        <w:rPr>
          <w:rtl/>
        </w:rPr>
        <w:t>أحسن سمته ، أي هَدْيَهُ</w:t>
      </w:r>
      <w:r w:rsidR="00992664">
        <w:rPr>
          <w:rtl/>
        </w:rPr>
        <w:t xml:space="preserve"> ».</w:t>
      </w:r>
      <w:r w:rsidR="00992664" w:rsidRPr="00020424">
        <w:rPr>
          <w:rtl/>
        </w:rPr>
        <w:t xml:space="preserve"> وقال ابن الأثير : « السمت هو الهيئة الحسنة</w:t>
      </w:r>
      <w:r w:rsidR="00992664">
        <w:rPr>
          <w:rtl/>
        </w:rPr>
        <w:t xml:space="preserve"> ».</w:t>
      </w:r>
      <w:r w:rsidR="00992664" w:rsidRPr="00020424">
        <w:rPr>
          <w:rtl/>
        </w:rPr>
        <w:t xml:space="preserve"> وقال المطرزي : السمت : الطريق ، ويستعار لهيئة أهل الخير</w:t>
      </w:r>
      <w:r w:rsidR="00992664">
        <w:rPr>
          <w:rtl/>
        </w:rPr>
        <w:t xml:space="preserve"> ».</w:t>
      </w:r>
      <w:r w:rsidR="00A56DBF">
        <w:rPr>
          <w:rtl/>
        </w:rPr>
        <w:t xml:space="preserve"> وقال العل</w:t>
      </w:r>
      <w:r w:rsidR="00A56DBF">
        <w:rPr>
          <w:rFonts w:hint="cs"/>
          <w:rtl/>
        </w:rPr>
        <w:t>ّ</w:t>
      </w:r>
      <w:r w:rsidR="00A56DBF">
        <w:rPr>
          <w:rtl/>
        </w:rPr>
        <w:t>ا</w:t>
      </w:r>
      <w:r w:rsidR="00992664" w:rsidRPr="00020424">
        <w:rPr>
          <w:rtl/>
        </w:rPr>
        <w:t>مة المجلسي : « أمّا السمت فلعّله في لغتهم بمعنى الصمد ، والسمت في لغتنا بمعنى الطريق وهيئة أهل الخير ، وحسن النحو ، وقصد الشي‌ء ، ولا يناسب شي‌ء منها هاهنا إ</w:t>
      </w:r>
      <w:r w:rsidR="00667368">
        <w:rPr>
          <w:rtl/>
        </w:rPr>
        <w:t>ل</w:t>
      </w:r>
      <w:r w:rsidR="00667368">
        <w:rPr>
          <w:rFonts w:hint="cs"/>
          <w:rtl/>
        </w:rPr>
        <w:t>ّ</w:t>
      </w:r>
      <w:r w:rsidR="00667368">
        <w:rPr>
          <w:rtl/>
        </w:rPr>
        <w:t>ا</w:t>
      </w:r>
      <w:r w:rsidR="00992664" w:rsidRPr="00020424">
        <w:rPr>
          <w:rtl/>
        </w:rPr>
        <w:t>بتكلّف أو تقديره. وقيل : عبّر عن الإمام به</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1 ، ص 254 ؛ </w:t>
      </w:r>
      <w:r w:rsidR="00992664" w:rsidRPr="0012008A">
        <w:rPr>
          <w:rStyle w:val="libFootnoteBoldChar"/>
          <w:rtl/>
        </w:rPr>
        <w:t>النهاية</w:t>
      </w:r>
      <w:r w:rsidR="00992664" w:rsidRPr="00020424">
        <w:rPr>
          <w:rtl/>
        </w:rPr>
        <w:t xml:space="preserve"> ، ج 2 ، ص 397 ؛ </w:t>
      </w:r>
      <w:r w:rsidR="00992664" w:rsidRPr="00DE76B9">
        <w:rPr>
          <w:rStyle w:val="libFootnoteBoldChar"/>
          <w:rtl/>
        </w:rPr>
        <w:t>المغرب</w:t>
      </w:r>
      <w:r w:rsidR="00992664" w:rsidRPr="00020424">
        <w:rPr>
          <w:rtl/>
        </w:rPr>
        <w:t xml:space="preserve"> ، ص 234 ( سمت )</w:t>
      </w:r>
      <w:r w:rsidR="00992664">
        <w:rPr>
          <w:rtl/>
        </w:rPr>
        <w:t>.</w:t>
      </w:r>
    </w:p>
    <w:p w:rsidR="00992664" w:rsidRPr="00020424" w:rsidRDefault="00795177" w:rsidP="00992664">
      <w:pPr>
        <w:pStyle w:val="libFootnote0"/>
        <w:rPr>
          <w:rtl/>
          <w:lang w:bidi="fa-IR"/>
        </w:rPr>
      </w:pPr>
      <w:r>
        <w:rPr>
          <w:rtl/>
        </w:rPr>
        <w:t>(12).</w:t>
      </w:r>
      <w:r w:rsidR="0014403D">
        <w:rPr>
          <w:rtl/>
        </w:rPr>
        <w:t xml:space="preserve"> </w:t>
      </w:r>
      <w:r w:rsidR="00992664" w:rsidRPr="00020424">
        <w:rPr>
          <w:rtl/>
        </w:rPr>
        <w:t xml:space="preserve">« الديّان » : القهّار ، وهو فعّال من دان الناسَ ، أي قهرهم على الطاعة ، يقال : دِنْتُهم فدانوا ، أي قهرتهم فأطاعوا. </w:t>
      </w:r>
      <w:r w:rsidR="00667368">
        <w:rPr>
          <w:rFonts w:hint="cs"/>
          <w:rtl/>
        </w:rPr>
        <w:t>=</w:t>
      </w:r>
    </w:p>
    <w:p w:rsidR="00795177" w:rsidRDefault="00795177" w:rsidP="00795177">
      <w:pPr>
        <w:pStyle w:val="libNormal"/>
        <w:rPr>
          <w:rtl/>
          <w:lang w:bidi="fa-IR"/>
        </w:rPr>
      </w:pPr>
      <w:r>
        <w:rPr>
          <w:rtl/>
          <w:lang w:bidi="fa-IR"/>
        </w:rPr>
        <w:br w:type="page"/>
      </w:r>
    </w:p>
    <w:p w:rsidR="00992664" w:rsidRPr="00020424" w:rsidRDefault="00992664" w:rsidP="006B5249">
      <w:pPr>
        <w:pStyle w:val="libNormal0"/>
        <w:rPr>
          <w:rtl/>
          <w:lang w:bidi="fa-IR"/>
        </w:rPr>
      </w:pPr>
      <w:r w:rsidRPr="00020424">
        <w:rPr>
          <w:rtl/>
          <w:lang w:bidi="fa-IR"/>
        </w:rPr>
        <w:t>لَا إِل</w:t>
      </w:r>
      <w:r w:rsidR="00E64FF0">
        <w:rPr>
          <w:rtl/>
          <w:lang w:bidi="fa-IR"/>
        </w:rPr>
        <w:t>هَ إِل</w:t>
      </w:r>
      <w:r w:rsidR="00F5120A">
        <w:rPr>
          <w:rFonts w:hint="cs"/>
          <w:rtl/>
          <w:lang w:bidi="fa-IR"/>
        </w:rPr>
        <w:t>َّ</w:t>
      </w:r>
      <w:r w:rsidR="00E64FF0">
        <w:rPr>
          <w:rtl/>
          <w:lang w:bidi="fa-IR"/>
        </w:rPr>
        <w:t>ا</w:t>
      </w:r>
      <w:r w:rsidRPr="00020424">
        <w:rPr>
          <w:rtl/>
          <w:lang w:bidi="fa-IR"/>
        </w:rPr>
        <w:t xml:space="preserve"> اللهُ ، وَلَمْ يُقِرُّوا أَنَّ مُوسى رَسُولُ اللهِ ، فَقَتَلَهُمْ بِمِثْلِ هذِهِ الْقِتْلَةِ</w:t>
      </w:r>
      <w:r>
        <w:rPr>
          <w:rtl/>
          <w:lang w:bidi="fa-IR"/>
        </w:rPr>
        <w:t>؟</w:t>
      </w:r>
      <w:r w:rsidRPr="00020424">
        <w:rPr>
          <w:rtl/>
          <w:lang w:bidi="fa-IR"/>
        </w:rPr>
        <w:t xml:space="preserve"> فَقَالَ لَهُ </w:t>
      </w:r>
      <w:r w:rsidRPr="00A91B96">
        <w:rPr>
          <w:rStyle w:val="libFootnotenumChar"/>
          <w:rtl/>
        </w:rPr>
        <w:t>(1)</w:t>
      </w:r>
      <w:r w:rsidRPr="00020424">
        <w:rPr>
          <w:rtl/>
          <w:lang w:bidi="fa-IR"/>
        </w:rPr>
        <w:t xml:space="preserve"> الْيَهُودِيُّ : نَعَمْ ، أَشْهَدُ أَنَّكَ نَامُوسُ </w:t>
      </w:r>
      <w:r w:rsidRPr="00A91B96">
        <w:rPr>
          <w:rStyle w:val="libFootnotenumChar"/>
          <w:rtl/>
        </w:rPr>
        <w:t>(2)</w:t>
      </w:r>
      <w:r w:rsidRPr="00020424">
        <w:rPr>
          <w:rtl/>
          <w:lang w:bidi="fa-IR"/>
        </w:rPr>
        <w:t xml:space="preserve"> مُوسى </w:t>
      </w:r>
      <w:r w:rsidRPr="00A91B96">
        <w:rPr>
          <w:rStyle w:val="libFootnotenumChar"/>
          <w:rtl/>
        </w:rPr>
        <w:t>(3)</w:t>
      </w:r>
      <w:r>
        <w:rPr>
          <w:rtl/>
          <w:lang w:bidi="fa-IR"/>
        </w:rPr>
        <w:t xml:space="preserve"> ».</w:t>
      </w:r>
    </w:p>
    <w:p w:rsidR="00992664" w:rsidRPr="00020424" w:rsidRDefault="00992664" w:rsidP="00992664">
      <w:pPr>
        <w:pStyle w:val="libNormal"/>
        <w:rPr>
          <w:rtl/>
          <w:lang w:bidi="fa-IR"/>
        </w:rPr>
      </w:pPr>
      <w:r w:rsidRPr="00020424">
        <w:rPr>
          <w:rtl/>
          <w:lang w:bidi="fa-IR"/>
        </w:rPr>
        <w:t xml:space="preserve">قَالَ : « ثُمَّ أَخْرَجَ مِنْ </w:t>
      </w:r>
      <w:r w:rsidRPr="00A91B96">
        <w:rPr>
          <w:rStyle w:val="libFootnotenumChar"/>
          <w:rtl/>
        </w:rPr>
        <w:t>(4)</w:t>
      </w:r>
      <w:r w:rsidRPr="00020424">
        <w:rPr>
          <w:rtl/>
          <w:lang w:bidi="fa-IR"/>
        </w:rPr>
        <w:t xml:space="preserve"> قَبَائِهِ كِتَاباً ، فَدَفَعَهُ إِلى أَمِيرِ الْمُؤْمِنِينَ </w:t>
      </w:r>
      <w:r w:rsidRPr="00005A81">
        <w:rPr>
          <w:rStyle w:val="libAlaemChar"/>
          <w:rtl/>
        </w:rPr>
        <w:t>عليه‌السلام</w:t>
      </w:r>
      <w:r w:rsidRPr="00020424">
        <w:rPr>
          <w:rtl/>
          <w:lang w:bidi="fa-IR"/>
        </w:rPr>
        <w:t xml:space="preserve"> ، فَفَضَّهُ ، وَنَظَرَ فِيهِ ، وَبَكى </w:t>
      </w:r>
      <w:r w:rsidRPr="00A91B96">
        <w:rPr>
          <w:rStyle w:val="libFootnotenumChar"/>
          <w:rtl/>
        </w:rPr>
        <w:t>(5)</w:t>
      </w:r>
      <w:r w:rsidRPr="00020424">
        <w:rPr>
          <w:rtl/>
          <w:lang w:bidi="fa-IR"/>
        </w:rPr>
        <w:t xml:space="preserve"> ، فَقَالَ لَهُ الْيَهُودِيُّ : مَا </w:t>
      </w:r>
      <w:r w:rsidRPr="00A91B96">
        <w:rPr>
          <w:rStyle w:val="libFootnotenumChar"/>
          <w:rtl/>
        </w:rPr>
        <w:t>(6)</w:t>
      </w:r>
      <w:r w:rsidRPr="00020424">
        <w:rPr>
          <w:rtl/>
          <w:lang w:bidi="fa-IR"/>
        </w:rPr>
        <w:t xml:space="preserve"> يُبْكِيكَ يَا ابْنَ أَبِي طَالِبٍ</w:t>
      </w:r>
      <w:r>
        <w:rPr>
          <w:rtl/>
          <w:lang w:bidi="fa-IR"/>
        </w:rPr>
        <w:t>؟</w:t>
      </w:r>
      <w:r w:rsidRPr="00020424">
        <w:rPr>
          <w:rtl/>
          <w:lang w:bidi="fa-IR"/>
        </w:rPr>
        <w:t xml:space="preserve"> إِنَّمَا </w:t>
      </w:r>
      <w:r w:rsidRPr="00A91B96">
        <w:rPr>
          <w:rStyle w:val="libFootnotenumChar"/>
          <w:rtl/>
        </w:rPr>
        <w:t>(7)</w:t>
      </w:r>
      <w:r w:rsidRPr="00020424">
        <w:rPr>
          <w:rtl/>
          <w:lang w:bidi="fa-IR"/>
        </w:rPr>
        <w:t xml:space="preserve"> نَظَرْتَ فِي هذَا الْكِتَابِ وَهُوَ كِتَابٌ سُرْيَانِيٌّ ، وَأَنْتَ رَجُلٌ عَرَبِيٌّ ، فَهَلْ تَدْرِي مَا هُوَ</w:t>
      </w:r>
      <w:r>
        <w:rPr>
          <w:rtl/>
          <w:lang w:bidi="fa-IR"/>
        </w:rPr>
        <w:t>؟</w:t>
      </w:r>
      <w:r w:rsidRPr="00020424">
        <w:rPr>
          <w:rtl/>
          <w:lang w:bidi="fa-IR"/>
        </w:rPr>
        <w:t xml:space="preserve"> فَقَالَ لَهُ أَمِيرُ الْمُؤْمِنِينَ صَلَوَاتُ اللهِ عَلَيْهِ : نَعَمْ ، هذَا اسْمِي مُثْبَتٌ ، فَقَالَ لَهُ الْيَهُودِيُّ : فَأَرِنِي اسْمَكَ فِي هذَا الْكِتَابِ ، وَأَخْبِرْنِي : مَا اسْمُكَ بِالسُّرْيَانِيَّةِ</w:t>
      </w:r>
      <w:r>
        <w:rPr>
          <w:rtl/>
          <w:lang w:bidi="fa-IR"/>
        </w:rPr>
        <w:t>؟ ».</w:t>
      </w:r>
    </w:p>
    <w:p w:rsidR="00992664" w:rsidRPr="00020424" w:rsidRDefault="00992664" w:rsidP="003A18BA">
      <w:pPr>
        <w:pStyle w:val="libNormal"/>
        <w:rPr>
          <w:rtl/>
          <w:lang w:bidi="fa-IR"/>
        </w:rPr>
      </w:pPr>
      <w:r w:rsidRPr="00020424">
        <w:rPr>
          <w:rtl/>
          <w:lang w:bidi="fa-IR"/>
        </w:rPr>
        <w:t>قَالَ : « فَأَرَاهُ أَمِيرُ الْمُؤْمِنِينَ</w:t>
      </w:r>
      <w:r>
        <w:rPr>
          <w:rtl/>
          <w:lang w:bidi="fa-IR"/>
        </w:rPr>
        <w:t xml:space="preserve"> </w:t>
      </w:r>
      <w:r w:rsidR="009B673F">
        <w:rPr>
          <w:rtl/>
          <w:lang w:bidi="fa-IR"/>
        </w:rPr>
        <w:t>-</w:t>
      </w:r>
      <w:r>
        <w:rPr>
          <w:rtl/>
          <w:lang w:bidi="fa-IR"/>
        </w:rPr>
        <w:t xml:space="preserve"> </w:t>
      </w:r>
      <w:r w:rsidRPr="00020424">
        <w:rPr>
          <w:rtl/>
          <w:lang w:bidi="fa-IR"/>
        </w:rPr>
        <w:t>سَلَامُ اللهِ عَلَيْهِ</w:t>
      </w:r>
      <w:r>
        <w:rPr>
          <w:rtl/>
          <w:lang w:bidi="fa-IR"/>
        </w:rPr>
        <w:t xml:space="preserve"> </w:t>
      </w:r>
      <w:r w:rsidR="009B673F">
        <w:rPr>
          <w:rtl/>
          <w:lang w:bidi="fa-IR"/>
        </w:rPr>
        <w:t>-</w:t>
      </w:r>
      <w:r>
        <w:rPr>
          <w:rtl/>
          <w:lang w:bidi="fa-IR"/>
        </w:rPr>
        <w:t xml:space="preserve"> </w:t>
      </w:r>
      <w:r w:rsidRPr="00020424">
        <w:rPr>
          <w:rtl/>
          <w:lang w:bidi="fa-IR"/>
        </w:rPr>
        <w:t xml:space="preserve">اسْمَهُ فِي الصَّحِيفَةِ ، فَقَالَ </w:t>
      </w:r>
      <w:r w:rsidRPr="00A91B96">
        <w:rPr>
          <w:rStyle w:val="libFootnotenumChar"/>
          <w:rtl/>
        </w:rPr>
        <w:t>(8)</w:t>
      </w:r>
      <w:r w:rsidRPr="00020424">
        <w:rPr>
          <w:rtl/>
          <w:lang w:bidi="fa-IR"/>
        </w:rPr>
        <w:t xml:space="preserve"> : اسْمِي :</w:t>
      </w:r>
      <w:r>
        <w:rPr>
          <w:rFonts w:hint="cs"/>
          <w:rtl/>
          <w:lang w:bidi="fa-IR"/>
        </w:rPr>
        <w:t xml:space="preserve"> </w:t>
      </w:r>
      <w:r w:rsidRPr="00020424">
        <w:rPr>
          <w:rtl/>
          <w:lang w:bidi="fa-IR"/>
        </w:rPr>
        <w:t xml:space="preserve">إِلْيَا ، فَقَالَ </w:t>
      </w:r>
      <w:r w:rsidRPr="00A91B96">
        <w:rPr>
          <w:rStyle w:val="libFootnotenumChar"/>
          <w:rtl/>
        </w:rPr>
        <w:t>(9)</w:t>
      </w:r>
      <w:r w:rsidRPr="00020424">
        <w:rPr>
          <w:rtl/>
          <w:lang w:bidi="fa-IR"/>
        </w:rPr>
        <w:t xml:space="preserve"> الْيَهُودِيُّ : أَشْهَدُ أَنْ لَا</w:t>
      </w:r>
      <w:r>
        <w:rPr>
          <w:rFonts w:hint="cs"/>
          <w:rtl/>
          <w:lang w:bidi="fa-IR"/>
        </w:rPr>
        <w:t xml:space="preserve"> </w:t>
      </w:r>
      <w:r w:rsidRPr="00020424">
        <w:rPr>
          <w:rtl/>
          <w:lang w:bidi="fa-IR"/>
        </w:rPr>
        <w:t>إِلهَ إِ</w:t>
      </w:r>
      <w:r w:rsidR="0013470E">
        <w:rPr>
          <w:rtl/>
        </w:rPr>
        <w:t>ل</w:t>
      </w:r>
      <w:r w:rsidR="0013470E">
        <w:rPr>
          <w:rFonts w:hint="cs"/>
          <w:rtl/>
        </w:rPr>
        <w:t>َّ</w:t>
      </w:r>
      <w:r w:rsidR="0013470E">
        <w:rPr>
          <w:rtl/>
        </w:rPr>
        <w:t>ا</w:t>
      </w:r>
      <w:r w:rsidRPr="00020424">
        <w:rPr>
          <w:rtl/>
          <w:lang w:bidi="fa-IR"/>
        </w:rPr>
        <w:t xml:space="preserve"> اللهُ ، وَأَشْهَدُ </w:t>
      </w:r>
      <w:r w:rsidRPr="00A91B96">
        <w:rPr>
          <w:rStyle w:val="libFootnotenumChar"/>
          <w:rtl/>
        </w:rPr>
        <w:t>(10)</w:t>
      </w:r>
      <w:r w:rsidRPr="00020424">
        <w:rPr>
          <w:rtl/>
          <w:lang w:bidi="fa-IR"/>
        </w:rPr>
        <w:t xml:space="preserve"> أَنَّ مُحَمَّداً رَسُولُ اللهِ </w:t>
      </w:r>
      <w:r w:rsidR="00B42914" w:rsidRPr="00B42914">
        <w:rPr>
          <w:rStyle w:val="libAlaemChar"/>
          <w:rtl/>
        </w:rPr>
        <w:t>صلى‌الله‌عليه‌وآله‌</w:t>
      </w:r>
      <w:r w:rsidRPr="00020424">
        <w:rPr>
          <w:rtl/>
          <w:lang w:bidi="fa-IR"/>
        </w:rPr>
        <w:t xml:space="preserve"> ،</w:t>
      </w:r>
      <w:r w:rsidR="003A18BA" w:rsidRPr="003A18BA">
        <w:rPr>
          <w:rtl/>
          <w:lang w:bidi="fa-IR"/>
        </w:rPr>
        <w:t xml:space="preserve"> </w:t>
      </w:r>
      <w:r w:rsidR="003A18BA" w:rsidRPr="00020424">
        <w:rPr>
          <w:rtl/>
          <w:lang w:bidi="fa-IR"/>
        </w:rPr>
        <w:t xml:space="preserve">وَأَشْهَدُ أَنَّكَ وَصِيُّ مُحَمَّدٍ </w:t>
      </w:r>
      <w:r w:rsidR="003A18BA" w:rsidRPr="00A91B96">
        <w:rPr>
          <w:rStyle w:val="libFootnotenumChar"/>
          <w:rtl/>
        </w:rPr>
        <w:t>(</w:t>
      </w:r>
      <w:r w:rsidR="003A18BA">
        <w:rPr>
          <w:rStyle w:val="libFootnotenumChar"/>
          <w:rFonts w:hint="cs"/>
          <w:rtl/>
        </w:rPr>
        <w:t>11</w:t>
      </w:r>
      <w:r w:rsidR="003A18BA" w:rsidRPr="00A91B96">
        <w:rPr>
          <w:rStyle w:val="libFootnotenumChar"/>
          <w:rtl/>
        </w:rPr>
        <w:t>)</w:t>
      </w:r>
      <w:r w:rsidR="003A18BA" w:rsidRPr="00020424">
        <w:rPr>
          <w:rtl/>
          <w:lang w:bidi="fa-IR"/>
        </w:rPr>
        <w:t xml:space="preserve"> ، وَأَشْهَدُ أَنَّكَ أَوْلَى النَّاسِ بِالنَّاسِ مِنْ بَعْدِ مُحَمَّدٍ ، وَبَايَعُوا</w:t>
      </w:r>
    </w:p>
    <w:p w:rsidR="00992664" w:rsidRPr="00020424" w:rsidRDefault="00992664" w:rsidP="00992664">
      <w:pPr>
        <w:pStyle w:val="libLine"/>
        <w:rPr>
          <w:rtl/>
          <w:lang w:bidi="fa-IR"/>
        </w:rPr>
      </w:pPr>
      <w:r w:rsidRPr="00020424">
        <w:rPr>
          <w:rtl/>
          <w:lang w:bidi="fa-IR"/>
        </w:rPr>
        <w:t>__________________</w:t>
      </w:r>
    </w:p>
    <w:p w:rsidR="00992664" w:rsidRPr="00020424" w:rsidRDefault="0013470E" w:rsidP="00992664">
      <w:pPr>
        <w:pStyle w:val="libFootnote0"/>
        <w:rPr>
          <w:rtl/>
          <w:lang w:bidi="fa-IR"/>
        </w:rPr>
      </w:pPr>
      <w:r>
        <w:rPr>
          <w:rFonts w:hint="cs"/>
          <w:rtl/>
        </w:rPr>
        <w:t xml:space="preserve">= </w:t>
      </w:r>
      <w:r w:rsidR="00992664" w:rsidRPr="00020424">
        <w:rPr>
          <w:rtl/>
        </w:rPr>
        <w:t>وهو أيضاً : الحاكم ، والقاضي ، والسائس ، والحاسب ، وال</w:t>
      </w:r>
      <w:r w:rsidR="00062E75">
        <w:rPr>
          <w:rFonts w:hint="cs"/>
          <w:rtl/>
        </w:rPr>
        <w:t>ـ</w:t>
      </w:r>
      <w:r w:rsidR="00992664" w:rsidRPr="00020424">
        <w:rPr>
          <w:rtl/>
        </w:rPr>
        <w:t>مُجازي الذي لا يضيع عملاً ، بل</w:t>
      </w:r>
      <w:r w:rsidR="002D63AC">
        <w:rPr>
          <w:rtl/>
        </w:rPr>
        <w:t xml:space="preserve"> يجزي بالخير والشرّ. وقال العل</w:t>
      </w:r>
      <w:r w:rsidR="002D63AC">
        <w:rPr>
          <w:rFonts w:hint="cs"/>
          <w:rtl/>
        </w:rPr>
        <w:t>ّ</w:t>
      </w:r>
      <w:r w:rsidR="002D63AC">
        <w:rPr>
          <w:rtl/>
        </w:rPr>
        <w:t>ا</w:t>
      </w:r>
      <w:r w:rsidR="00992664" w:rsidRPr="00020424">
        <w:rPr>
          <w:rtl/>
        </w:rPr>
        <w:t>مة الفيض : « لعلّ المراد بالسمت الديّان سيرة النبيّ أو الوصيّ وهَدْيهما ؛ فإنّ ذلك ممّا يقهر الناس على الطاعة ويرغّبهم فيها</w:t>
      </w:r>
      <w:r w:rsidR="00992664">
        <w:rPr>
          <w:rtl/>
        </w:rPr>
        <w:t xml:space="preserve"> ».</w:t>
      </w:r>
      <w:r w:rsidR="00992664" w:rsidRPr="00020424">
        <w:rPr>
          <w:rtl/>
        </w:rPr>
        <w:t xml:space="preserve"> راجع : </w:t>
      </w:r>
      <w:r w:rsidR="00992664" w:rsidRPr="0012008A">
        <w:rPr>
          <w:rStyle w:val="libFootnoteBoldChar"/>
          <w:rtl/>
        </w:rPr>
        <w:t>النهاية</w:t>
      </w:r>
      <w:r w:rsidR="00992664" w:rsidRPr="00020424">
        <w:rPr>
          <w:rtl/>
        </w:rPr>
        <w:t xml:space="preserve"> ، ج 2 ، ص 148 ؛ </w:t>
      </w:r>
      <w:r w:rsidR="00992664" w:rsidRPr="00A722B1">
        <w:rPr>
          <w:rStyle w:val="libFootnoteBoldChar"/>
          <w:rtl/>
        </w:rPr>
        <w:t>القاموس المحيط</w:t>
      </w:r>
      <w:r w:rsidR="00992664" w:rsidRPr="00020424">
        <w:rPr>
          <w:rtl/>
        </w:rPr>
        <w:t xml:space="preserve"> ، ج 2 ، ص 1575 ( دين )</w:t>
      </w:r>
      <w:r w:rsidR="00992664">
        <w:rPr>
          <w:rtl/>
        </w:rPr>
        <w:t>.</w:t>
      </w:r>
    </w:p>
    <w:p w:rsidR="00992664" w:rsidRPr="00020424" w:rsidRDefault="00795177" w:rsidP="00992664">
      <w:pPr>
        <w:pStyle w:val="libFootnote0"/>
        <w:rPr>
          <w:rtl/>
          <w:lang w:bidi="fa-IR"/>
        </w:rPr>
      </w:pPr>
      <w:r>
        <w:rPr>
          <w:rtl/>
        </w:rPr>
        <w:t>(1).</w:t>
      </w:r>
      <w:r w:rsidR="0014403D">
        <w:rPr>
          <w:rtl/>
        </w:rPr>
        <w:t xml:space="preserve"> </w:t>
      </w:r>
      <w:r w:rsidR="00992664" w:rsidRPr="00020424">
        <w:rPr>
          <w:rtl/>
        </w:rPr>
        <w:t>في « بح » :</w:t>
      </w:r>
      <w:r w:rsidR="00992664">
        <w:rPr>
          <w:rtl/>
        </w:rPr>
        <w:t xml:space="preserve"> </w:t>
      </w:r>
      <w:r w:rsidR="009B673F">
        <w:rPr>
          <w:rtl/>
        </w:rPr>
        <w:t>-</w:t>
      </w:r>
      <w:r w:rsidR="00992664">
        <w:rPr>
          <w:rtl/>
        </w:rPr>
        <w:t xml:space="preserve"> </w:t>
      </w:r>
      <w:r w:rsidR="00992664" w:rsidRPr="00020424">
        <w:rPr>
          <w:rtl/>
        </w:rPr>
        <w:t>« له</w:t>
      </w:r>
      <w:r w:rsidR="00992664">
        <w:rPr>
          <w:rtl/>
        </w:rPr>
        <w:t xml:space="preserve"> ».</w:t>
      </w:r>
    </w:p>
    <w:p w:rsidR="00992664" w:rsidRPr="00020424" w:rsidRDefault="00795177" w:rsidP="00992664">
      <w:pPr>
        <w:pStyle w:val="libFootnote0"/>
        <w:rPr>
          <w:rtl/>
          <w:lang w:bidi="fa-IR"/>
        </w:rPr>
      </w:pPr>
      <w:r>
        <w:rPr>
          <w:rtl/>
        </w:rPr>
        <w:t>(2).</w:t>
      </w:r>
      <w:r w:rsidR="0014403D">
        <w:rPr>
          <w:rtl/>
        </w:rPr>
        <w:t xml:space="preserve"> </w:t>
      </w:r>
      <w:r w:rsidR="00992664" w:rsidRPr="00020424">
        <w:rPr>
          <w:rtl/>
        </w:rPr>
        <w:t>قال الجوهري : « ناموس الرجل ، صاحب سرّه الذي يطلعه على باطن أمره ويخصّه بما يستره عن غيره</w:t>
      </w:r>
      <w:r w:rsidR="00992664">
        <w:rPr>
          <w:rtl/>
        </w:rPr>
        <w:t xml:space="preserve"> ».</w:t>
      </w:r>
      <w:r w:rsidR="00992664" w:rsidRPr="00020424">
        <w:rPr>
          <w:rtl/>
        </w:rPr>
        <w:t xml:space="preserve"> وقال ابن الأثير : « الناموس : صاحب سرّ الملك ، وهو خاصّه الذي يُطْلعه على ما يطويه عن غيره من سرائره. وقيل : الناموس : صاحب سرّ الخير ، والجاسوس : صاحب سرّ الشرّ</w:t>
      </w:r>
      <w:r w:rsidR="00992664">
        <w:rPr>
          <w:rtl/>
        </w:rPr>
        <w:t xml:space="preserve"> ».</w:t>
      </w:r>
      <w:r w:rsidR="00992664" w:rsidRPr="00020424">
        <w:rPr>
          <w:rtl/>
        </w:rPr>
        <w:t xml:space="preserve"> راجع : </w:t>
      </w:r>
      <w:r w:rsidR="00992664" w:rsidRPr="0012008A">
        <w:rPr>
          <w:rStyle w:val="libFootnoteBoldChar"/>
          <w:rtl/>
        </w:rPr>
        <w:t>الصحاح</w:t>
      </w:r>
      <w:r w:rsidR="00992664" w:rsidRPr="00020424">
        <w:rPr>
          <w:rtl/>
        </w:rPr>
        <w:t xml:space="preserve"> ، ج 3 ، ص 986 ؛ </w:t>
      </w:r>
      <w:r w:rsidR="00992664" w:rsidRPr="0012008A">
        <w:rPr>
          <w:rStyle w:val="libFootnoteBoldChar"/>
          <w:rtl/>
        </w:rPr>
        <w:t>النهاية</w:t>
      </w:r>
      <w:r w:rsidR="00992664" w:rsidRPr="00020424">
        <w:rPr>
          <w:rtl/>
        </w:rPr>
        <w:t xml:space="preserve"> ، ج 5 ، ص 119 ( نمس )</w:t>
      </w:r>
      <w:r w:rsidR="00992664">
        <w:rPr>
          <w:rtl/>
        </w:rPr>
        <w:t>.</w:t>
      </w:r>
    </w:p>
    <w:p w:rsidR="00992664" w:rsidRPr="00020424" w:rsidRDefault="00795177" w:rsidP="00992664">
      <w:pPr>
        <w:pStyle w:val="libFootnote0"/>
        <w:rPr>
          <w:rtl/>
          <w:lang w:bidi="fa-IR"/>
        </w:rPr>
      </w:pPr>
      <w:r>
        <w:rPr>
          <w:rtl/>
        </w:rPr>
        <w:t>(3).</w:t>
      </w:r>
      <w:r w:rsidR="0014403D">
        <w:rPr>
          <w:rtl/>
        </w:rPr>
        <w:t xml:space="preserve"> </w:t>
      </w:r>
      <w:r w:rsidR="00992664" w:rsidRPr="00020424">
        <w:rPr>
          <w:rtl/>
        </w:rPr>
        <w:t xml:space="preserve">في </w:t>
      </w:r>
      <w:r w:rsidR="00992664" w:rsidRPr="00DE76B9">
        <w:rPr>
          <w:rStyle w:val="libFootnoteBoldChar"/>
          <w:rtl/>
        </w:rPr>
        <w:t>مرآة العقول</w:t>
      </w:r>
      <w:r w:rsidR="00992664" w:rsidRPr="00020424">
        <w:rPr>
          <w:rtl/>
        </w:rPr>
        <w:t xml:space="preserve"> : « ثمّ اعلم أنّ المشهور بين الأصحاب أنّ المرتدّ يقتل بالسيف ، وأنّ قتله إلى الإمام ، ولعلّ هذا النوع من القتل من خصائصه </w:t>
      </w:r>
      <w:r w:rsidR="00992664" w:rsidRPr="00D64ADA">
        <w:rPr>
          <w:rStyle w:val="libFootnoteAlaemChar"/>
          <w:rtl/>
        </w:rPr>
        <w:t>عليه‌السلام</w:t>
      </w:r>
      <w:r w:rsidR="00992664" w:rsidRPr="00020424">
        <w:rPr>
          <w:rtl/>
        </w:rPr>
        <w:t xml:space="preserve"> في تلك الواقعة ، أو الإمام مخيّر في أنواع القتل مطلقاً</w:t>
      </w:r>
      <w:r w:rsidR="00992664">
        <w:rPr>
          <w:rtl/>
        </w:rPr>
        <w:t xml:space="preserve"> ».</w:t>
      </w:r>
    </w:p>
    <w:tbl>
      <w:tblPr>
        <w:tblStyle w:val="TableGrid"/>
        <w:bidiVisual/>
        <w:tblW w:w="0" w:type="auto"/>
        <w:tblLook w:val="04A0" w:firstRow="1" w:lastRow="0" w:firstColumn="1" w:lastColumn="0" w:noHBand="0" w:noVBand="1"/>
      </w:tblPr>
      <w:tblGrid>
        <w:gridCol w:w="4006"/>
        <w:gridCol w:w="4006"/>
      </w:tblGrid>
      <w:tr w:rsidR="00103C5E" w:rsidTr="00103C5E">
        <w:tc>
          <w:tcPr>
            <w:tcW w:w="4006" w:type="dxa"/>
          </w:tcPr>
          <w:p w:rsidR="00103C5E" w:rsidRDefault="00103C5E" w:rsidP="00992664">
            <w:pPr>
              <w:pStyle w:val="libFootnote0"/>
              <w:rPr>
                <w:rtl/>
              </w:rPr>
            </w:pPr>
            <w:r>
              <w:rPr>
                <w:rtl/>
              </w:rPr>
              <w:t xml:space="preserve">(4). </w:t>
            </w:r>
            <w:r w:rsidRPr="00020424">
              <w:rPr>
                <w:rtl/>
              </w:rPr>
              <w:t xml:space="preserve">في </w:t>
            </w:r>
            <w:r w:rsidRPr="0012008A">
              <w:rPr>
                <w:rStyle w:val="libFootnoteBoldChar"/>
                <w:rtl/>
              </w:rPr>
              <w:t>البحار</w:t>
            </w:r>
            <w:r w:rsidRPr="00020424">
              <w:rPr>
                <w:rtl/>
              </w:rPr>
              <w:t xml:space="preserve"> ، ج 40 : + « تحت</w:t>
            </w:r>
            <w:r>
              <w:rPr>
                <w:rtl/>
              </w:rPr>
              <w:t xml:space="preserve"> ».</w:t>
            </w:r>
          </w:p>
        </w:tc>
        <w:tc>
          <w:tcPr>
            <w:tcW w:w="4006" w:type="dxa"/>
          </w:tcPr>
          <w:p w:rsidR="00103C5E" w:rsidRDefault="00103C5E" w:rsidP="00992664">
            <w:pPr>
              <w:pStyle w:val="libFootnote0"/>
              <w:rPr>
                <w:rtl/>
              </w:rPr>
            </w:pPr>
            <w:r>
              <w:rPr>
                <w:rtl/>
              </w:rPr>
              <w:t xml:space="preserve">(5). </w:t>
            </w:r>
            <w:r w:rsidRPr="00020424">
              <w:rPr>
                <w:rtl/>
              </w:rPr>
              <w:t>في « ظ » : « فبكى</w:t>
            </w:r>
            <w:r>
              <w:rPr>
                <w:rtl/>
              </w:rPr>
              <w:t xml:space="preserve"> ».</w:t>
            </w:r>
          </w:p>
        </w:tc>
      </w:tr>
      <w:tr w:rsidR="00103C5E" w:rsidTr="00103C5E">
        <w:tc>
          <w:tcPr>
            <w:tcW w:w="4006" w:type="dxa"/>
          </w:tcPr>
          <w:p w:rsidR="00103C5E" w:rsidRDefault="00103C5E" w:rsidP="00992664">
            <w:pPr>
              <w:pStyle w:val="libFootnote0"/>
              <w:rPr>
                <w:rtl/>
              </w:rPr>
            </w:pPr>
            <w:r>
              <w:rPr>
                <w:rtl/>
              </w:rPr>
              <w:t xml:space="preserve">(6). </w:t>
            </w:r>
            <w:r w:rsidRPr="00020424">
              <w:rPr>
                <w:rtl/>
              </w:rPr>
              <w:t xml:space="preserve">في </w:t>
            </w:r>
            <w:r w:rsidRPr="0012008A">
              <w:rPr>
                <w:rStyle w:val="libFootnoteBoldChar"/>
                <w:rtl/>
              </w:rPr>
              <w:t>الوافي</w:t>
            </w:r>
            <w:r w:rsidRPr="00020424">
              <w:rPr>
                <w:rtl/>
              </w:rPr>
              <w:t xml:space="preserve"> : « ممّا</w:t>
            </w:r>
            <w:r>
              <w:rPr>
                <w:rtl/>
              </w:rPr>
              <w:t xml:space="preserve"> ».</w:t>
            </w:r>
          </w:p>
        </w:tc>
        <w:tc>
          <w:tcPr>
            <w:tcW w:w="4006" w:type="dxa"/>
          </w:tcPr>
          <w:p w:rsidR="00103C5E" w:rsidRDefault="00103C5E" w:rsidP="00992664">
            <w:pPr>
              <w:pStyle w:val="libFootnote0"/>
              <w:rPr>
                <w:rtl/>
              </w:rPr>
            </w:pPr>
            <w:r>
              <w:rPr>
                <w:rtl/>
              </w:rPr>
              <w:t xml:space="preserve">(7). </w:t>
            </w:r>
            <w:r w:rsidRPr="00020424">
              <w:rPr>
                <w:rtl/>
              </w:rPr>
              <w:t>في « بخ » : « بما</w:t>
            </w:r>
            <w:r>
              <w:rPr>
                <w:rtl/>
              </w:rPr>
              <w:t xml:space="preserve"> ».</w:t>
            </w:r>
            <w:r w:rsidRPr="00020424">
              <w:rPr>
                <w:rtl/>
              </w:rPr>
              <w:t xml:space="preserve"> وفي </w:t>
            </w:r>
            <w:r w:rsidRPr="0012008A">
              <w:rPr>
                <w:rStyle w:val="libFootnoteBoldChar"/>
                <w:rtl/>
              </w:rPr>
              <w:t>الوافي</w:t>
            </w:r>
            <w:r w:rsidRPr="00020424">
              <w:rPr>
                <w:rtl/>
              </w:rPr>
              <w:t xml:space="preserve"> : « إذ</w:t>
            </w:r>
            <w:r>
              <w:rPr>
                <w:rtl/>
              </w:rPr>
              <w:t xml:space="preserve"> ».</w:t>
            </w:r>
          </w:p>
        </w:tc>
      </w:tr>
    </w:tbl>
    <w:p w:rsidR="00992664" w:rsidRPr="00020424" w:rsidRDefault="00795177" w:rsidP="00992664">
      <w:pPr>
        <w:pStyle w:val="libFootnote0"/>
        <w:rPr>
          <w:rtl/>
          <w:lang w:bidi="fa-IR"/>
        </w:rPr>
      </w:pPr>
      <w:r>
        <w:rPr>
          <w:rtl/>
        </w:rPr>
        <w:t>(8).</w:t>
      </w:r>
      <w:r w:rsidR="0014403D">
        <w:rPr>
          <w:rtl/>
        </w:rPr>
        <w:t xml:space="preserve"> </w:t>
      </w:r>
      <w:r w:rsidR="00992664" w:rsidRPr="00020424">
        <w:rPr>
          <w:rtl/>
        </w:rPr>
        <w:t xml:space="preserve">في « ظ ، بث ، بر ، بس ، بف ، جن » </w:t>
      </w:r>
      <w:r w:rsidR="00992664" w:rsidRPr="00515444">
        <w:rPr>
          <w:rStyle w:val="libFootnoteBoldChar"/>
          <w:rtl/>
        </w:rPr>
        <w:t>والوافي</w:t>
      </w:r>
      <w:r w:rsidR="00992664" w:rsidRPr="00020424">
        <w:rPr>
          <w:rtl/>
        </w:rPr>
        <w:t xml:space="preserve"> و</w:t>
      </w:r>
      <w:r w:rsidR="00992664" w:rsidRPr="0012008A">
        <w:rPr>
          <w:rStyle w:val="libFootnoteBoldChar"/>
          <w:rtl/>
        </w:rPr>
        <w:t>البحار</w:t>
      </w:r>
      <w:r w:rsidR="00992664" w:rsidRPr="00020424">
        <w:rPr>
          <w:rtl/>
        </w:rPr>
        <w:t xml:space="preserve"> : « وقال</w:t>
      </w:r>
      <w:r w:rsidR="00992664">
        <w:rPr>
          <w:rtl/>
        </w:rPr>
        <w:t xml:space="preserve"> ».</w:t>
      </w:r>
    </w:p>
    <w:p w:rsidR="00992664" w:rsidRPr="00020424" w:rsidRDefault="00795177" w:rsidP="00992664">
      <w:pPr>
        <w:pStyle w:val="libFootnote0"/>
        <w:rPr>
          <w:rtl/>
          <w:lang w:bidi="fa-IR"/>
        </w:rPr>
      </w:pPr>
      <w:r>
        <w:rPr>
          <w:rtl/>
        </w:rPr>
        <w:t>(9).</w:t>
      </w:r>
      <w:r w:rsidR="0014403D">
        <w:rPr>
          <w:rtl/>
        </w:rPr>
        <w:t xml:space="preserve"> </w:t>
      </w:r>
      <w:r w:rsidR="00992664" w:rsidRPr="00020424">
        <w:rPr>
          <w:rtl/>
        </w:rPr>
        <w:t>في « ظ » : + « له</w:t>
      </w:r>
      <w:r w:rsidR="00992664">
        <w:rPr>
          <w:rtl/>
        </w:rPr>
        <w:t xml:space="preserve"> ».</w:t>
      </w:r>
    </w:p>
    <w:p w:rsidR="00992664" w:rsidRDefault="00795177" w:rsidP="00992664">
      <w:pPr>
        <w:pStyle w:val="libFootnote0"/>
        <w:rPr>
          <w:rtl/>
        </w:rPr>
      </w:pPr>
      <w:r>
        <w:rPr>
          <w:rtl/>
        </w:rPr>
        <w:t>(10).</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أشهد</w:t>
      </w:r>
      <w:r w:rsidR="00992664">
        <w:rPr>
          <w:rtl/>
        </w:rPr>
        <w:t xml:space="preserve"> ».</w:t>
      </w:r>
    </w:p>
    <w:p w:rsidR="009840F8" w:rsidRPr="00020424" w:rsidRDefault="009840F8" w:rsidP="009840F8">
      <w:pPr>
        <w:pStyle w:val="libFootnote0"/>
        <w:rPr>
          <w:rtl/>
          <w:lang w:bidi="fa-IR"/>
        </w:rPr>
      </w:pPr>
      <w:r>
        <w:rPr>
          <w:rtl/>
        </w:rPr>
        <w:t>(</w:t>
      </w:r>
      <w:r>
        <w:rPr>
          <w:rFonts w:hint="cs"/>
          <w:rtl/>
        </w:rPr>
        <w:t>1</w:t>
      </w:r>
      <w:r>
        <w:rPr>
          <w:rtl/>
        </w:rPr>
        <w:t xml:space="preserve">1). </w:t>
      </w:r>
      <w:r w:rsidRPr="00020424">
        <w:rPr>
          <w:rtl/>
        </w:rPr>
        <w:t>في « بر » :</w:t>
      </w:r>
      <w:r>
        <w:rPr>
          <w:rtl/>
        </w:rPr>
        <w:t xml:space="preserve"> - </w:t>
      </w:r>
      <w:r w:rsidRPr="00020424">
        <w:rPr>
          <w:rtl/>
        </w:rPr>
        <w:t>« وأشهد أنّك وصيّ محمّد</w:t>
      </w:r>
      <w:r>
        <w:rPr>
          <w:rtl/>
        </w:rPr>
        <w:t xml:space="preserve"> ».</w:t>
      </w:r>
    </w:p>
    <w:p w:rsidR="00795177" w:rsidRDefault="00795177" w:rsidP="00795177">
      <w:pPr>
        <w:pStyle w:val="libNormal"/>
        <w:rPr>
          <w:rtl/>
          <w:lang w:bidi="fa-IR"/>
        </w:rPr>
      </w:pPr>
      <w:r>
        <w:rPr>
          <w:rtl/>
          <w:lang w:bidi="fa-IR"/>
        </w:rPr>
        <w:br w:type="page"/>
      </w:r>
    </w:p>
    <w:p w:rsidR="00992664" w:rsidRPr="00020424" w:rsidRDefault="00992664" w:rsidP="006B5249">
      <w:pPr>
        <w:pStyle w:val="libNormal0"/>
        <w:rPr>
          <w:rtl/>
          <w:lang w:bidi="fa-IR"/>
        </w:rPr>
      </w:pPr>
      <w:r w:rsidRPr="00020424">
        <w:rPr>
          <w:rtl/>
          <w:lang w:bidi="fa-IR"/>
        </w:rPr>
        <w:t xml:space="preserve">أَمِيرَ الْمُؤْمِنِينَ </w:t>
      </w:r>
      <w:r w:rsidRPr="00005A81">
        <w:rPr>
          <w:rStyle w:val="libAlaemChar"/>
          <w:rtl/>
        </w:rPr>
        <w:t>عليه‌السلام</w:t>
      </w:r>
      <w:r w:rsidRPr="00020424">
        <w:rPr>
          <w:rtl/>
          <w:lang w:bidi="fa-IR"/>
        </w:rPr>
        <w:t xml:space="preserve"> ، وَدَخَلَ </w:t>
      </w:r>
      <w:r w:rsidRPr="00A91B96">
        <w:rPr>
          <w:rStyle w:val="libFootnotenumChar"/>
          <w:rtl/>
        </w:rPr>
        <w:t>(</w:t>
      </w:r>
      <w:r w:rsidR="006B058F">
        <w:rPr>
          <w:rStyle w:val="libFootnotenumChar"/>
          <w:rFonts w:hint="cs"/>
          <w:rtl/>
        </w:rPr>
        <w:t>1</w:t>
      </w:r>
      <w:r w:rsidRPr="00A91B96">
        <w:rPr>
          <w:rStyle w:val="libFootnotenumChar"/>
          <w:rtl/>
        </w:rPr>
        <w:t>)</w:t>
      </w:r>
      <w:r w:rsidRPr="00020424">
        <w:rPr>
          <w:rtl/>
          <w:lang w:bidi="fa-IR"/>
        </w:rPr>
        <w:t xml:space="preserve"> الْمَسْجِدَ ، فَقَالَ أَمِيرُ الْمُؤْمِنِينَ </w:t>
      </w:r>
      <w:r w:rsidRPr="00005A81">
        <w:rPr>
          <w:rStyle w:val="libAlaemChar"/>
          <w:rtl/>
        </w:rPr>
        <w:t>عليه‌السلام</w:t>
      </w:r>
      <w:r w:rsidRPr="00020424">
        <w:rPr>
          <w:rtl/>
          <w:lang w:bidi="fa-IR"/>
        </w:rPr>
        <w:t xml:space="preserve"> : الْحَمْدُ لِلّهِ الَّذِي لَمْ أَكُنْ عِنْدَهُ مَنْسِيّاً ، الْحَمْدُ لِلّهِ الَّذِي أَثْبَتَنِي عِنْدَهُ </w:t>
      </w:r>
      <w:r w:rsidRPr="00A91B96">
        <w:rPr>
          <w:rStyle w:val="libFootnotenumChar"/>
          <w:rtl/>
        </w:rPr>
        <w:t>(</w:t>
      </w:r>
      <w:r w:rsidR="006B058F">
        <w:rPr>
          <w:rStyle w:val="libFootnotenumChar"/>
          <w:rFonts w:hint="cs"/>
          <w:rtl/>
        </w:rPr>
        <w:t>2</w:t>
      </w:r>
      <w:r w:rsidRPr="00A91B96">
        <w:rPr>
          <w:rStyle w:val="libFootnotenumChar"/>
          <w:rtl/>
        </w:rPr>
        <w:t>)</w:t>
      </w:r>
      <w:r w:rsidRPr="00020424">
        <w:rPr>
          <w:rtl/>
          <w:lang w:bidi="fa-IR"/>
        </w:rPr>
        <w:t xml:space="preserve"> فِي صَحِيفَةِ الْأَبْرَارِ ، وَالْحَمْدُ لِلّهِ ذِي الْجَلَالِ وَالْإِكْرَامِ </w:t>
      </w:r>
      <w:r w:rsidRPr="00A91B96">
        <w:rPr>
          <w:rStyle w:val="libFootnotenumChar"/>
          <w:rtl/>
        </w:rPr>
        <w:t>(</w:t>
      </w:r>
      <w:r w:rsidR="006B058F">
        <w:rPr>
          <w:rStyle w:val="libFootnotenumChar"/>
          <w:rFonts w:hint="cs"/>
          <w:rtl/>
        </w:rPr>
        <w:t>3</w:t>
      </w:r>
      <w:r w:rsidRPr="00A91B96">
        <w:rPr>
          <w:rStyle w:val="libFootnotenumChar"/>
          <w:rtl/>
        </w:rPr>
        <w:t>)</w:t>
      </w:r>
      <w:r>
        <w:rPr>
          <w:rtl/>
          <w:lang w:bidi="fa-IR"/>
        </w:rPr>
        <w:t xml:space="preserve"> ».</w:t>
      </w:r>
      <w:r w:rsidRPr="00020424">
        <w:rPr>
          <w:rtl/>
          <w:lang w:bidi="fa-IR"/>
        </w:rPr>
        <w:t xml:space="preserve"> </w:t>
      </w:r>
      <w:r w:rsidRPr="00A91B96">
        <w:rPr>
          <w:rStyle w:val="libFootnotenumChar"/>
          <w:rtl/>
        </w:rPr>
        <w:t>(</w:t>
      </w:r>
      <w:r w:rsidR="006B058F">
        <w:rPr>
          <w:rStyle w:val="libFootnotenumChar"/>
          <w:rFonts w:hint="cs"/>
          <w:rtl/>
        </w:rPr>
        <w:t>4</w:t>
      </w:r>
      <w:r w:rsidRPr="00A91B96">
        <w:rPr>
          <w:rStyle w:val="libFootnotenumChar"/>
          <w:rtl/>
        </w:rPr>
        <w:t>)</w:t>
      </w:r>
      <w:r w:rsidRPr="00020424">
        <w:rPr>
          <w:rtl/>
          <w:lang w:bidi="fa-IR"/>
        </w:rPr>
        <w:t xml:space="preserve"> ‌</w:t>
      </w:r>
    </w:p>
    <w:p w:rsidR="00992664" w:rsidRPr="00020424" w:rsidRDefault="00992664" w:rsidP="00992664">
      <w:pPr>
        <w:pStyle w:val="libCenterBold2"/>
        <w:rPr>
          <w:rtl/>
          <w:lang w:bidi="fa-IR"/>
        </w:rPr>
      </w:pPr>
      <w:r w:rsidRPr="00020424">
        <w:rPr>
          <w:rtl/>
          <w:lang w:bidi="fa-IR"/>
        </w:rPr>
        <w:t>تَمَّ كِتَابُ الصَّوْمِ ، وَيَتْلُوهُ كِتَابُ الْحَجِّ ، وَالْحَمْدُ لِلّهِ وَحْدَهُ ،</w:t>
      </w:r>
    </w:p>
    <w:p w:rsidR="00992664" w:rsidRPr="00020424" w:rsidRDefault="00992664" w:rsidP="00992664">
      <w:pPr>
        <w:pStyle w:val="libCenterBold2"/>
        <w:rPr>
          <w:rtl/>
          <w:lang w:bidi="fa-IR"/>
        </w:rPr>
      </w:pPr>
      <w:r w:rsidRPr="00020424">
        <w:rPr>
          <w:rtl/>
          <w:lang w:bidi="fa-IR"/>
        </w:rPr>
        <w:t>وَصَلَّى اللهُ عَلى مَنْ لَانَبِيَّ بَعْدَهُ‌</w:t>
      </w:r>
    </w:p>
    <w:p w:rsidR="00992664" w:rsidRPr="00020424" w:rsidRDefault="00992664" w:rsidP="006B058F">
      <w:pPr>
        <w:pStyle w:val="libCenterBold2"/>
        <w:rPr>
          <w:rtl/>
          <w:lang w:bidi="fa-IR"/>
        </w:rPr>
      </w:pPr>
      <w:r w:rsidRPr="00020424">
        <w:rPr>
          <w:rtl/>
          <w:lang w:bidi="fa-IR"/>
        </w:rPr>
        <w:t xml:space="preserve">وَآلِهِ الطَّيِّبِينَ الطَّاهِرِينَ </w:t>
      </w:r>
      <w:r w:rsidRPr="00A91B96">
        <w:rPr>
          <w:rStyle w:val="libFootnotenumChar"/>
          <w:rtl/>
        </w:rPr>
        <w:t>(</w:t>
      </w:r>
      <w:r w:rsidR="006B058F">
        <w:rPr>
          <w:rStyle w:val="libFootnotenumChar"/>
          <w:rFonts w:hint="cs"/>
          <w:rtl/>
        </w:rPr>
        <w:t>5</w:t>
      </w:r>
      <w:r w:rsidRPr="00A91B96">
        <w:rPr>
          <w:rStyle w:val="libFootnotenumChar"/>
          <w:rtl/>
        </w:rPr>
        <w:t>)</w:t>
      </w:r>
    </w:p>
    <w:p w:rsidR="00992664" w:rsidRPr="00020424" w:rsidRDefault="00992664" w:rsidP="00992664">
      <w:pPr>
        <w:pStyle w:val="libLine"/>
        <w:rPr>
          <w:rtl/>
          <w:lang w:bidi="fa-IR"/>
        </w:rPr>
      </w:pPr>
      <w:r w:rsidRPr="00020424">
        <w:rPr>
          <w:rtl/>
          <w:lang w:bidi="fa-IR"/>
        </w:rPr>
        <w:t>__________________</w:t>
      </w:r>
    </w:p>
    <w:p w:rsidR="00992664" w:rsidRPr="00020424" w:rsidRDefault="00795177" w:rsidP="00DF5D10">
      <w:pPr>
        <w:pStyle w:val="libFootnote0"/>
        <w:rPr>
          <w:rtl/>
          <w:lang w:bidi="fa-IR"/>
        </w:rPr>
      </w:pPr>
      <w:r>
        <w:rPr>
          <w:rtl/>
        </w:rPr>
        <w:t>(</w:t>
      </w:r>
      <w:r w:rsidR="00DF5D10">
        <w:rPr>
          <w:rFonts w:hint="cs"/>
          <w:rtl/>
        </w:rPr>
        <w:t>1</w:t>
      </w:r>
      <w:r>
        <w:rPr>
          <w:rtl/>
        </w:rPr>
        <w:t>).</w:t>
      </w:r>
      <w:r w:rsidR="0014403D">
        <w:rPr>
          <w:rtl/>
        </w:rPr>
        <w:t xml:space="preserve"> </w:t>
      </w:r>
      <w:r w:rsidR="00992664" w:rsidRPr="00020424">
        <w:rPr>
          <w:rtl/>
        </w:rPr>
        <w:t xml:space="preserve">في </w:t>
      </w:r>
      <w:r w:rsidR="00992664" w:rsidRPr="0012008A">
        <w:rPr>
          <w:rStyle w:val="libFootnoteBoldChar"/>
          <w:rtl/>
        </w:rPr>
        <w:t>الوافي</w:t>
      </w:r>
      <w:r w:rsidR="00992664" w:rsidRPr="00020424">
        <w:rPr>
          <w:rtl/>
        </w:rPr>
        <w:t xml:space="preserve"> و</w:t>
      </w:r>
      <w:r w:rsidR="00992664" w:rsidRPr="0012008A">
        <w:rPr>
          <w:rStyle w:val="libFootnoteBoldChar"/>
          <w:rtl/>
        </w:rPr>
        <w:t>البحار</w:t>
      </w:r>
      <w:r w:rsidR="00992664" w:rsidRPr="00020424">
        <w:rPr>
          <w:rtl/>
        </w:rPr>
        <w:t xml:space="preserve"> ، ج 40 : « ودخلوا</w:t>
      </w:r>
      <w:r w:rsidR="00992664">
        <w:rPr>
          <w:rtl/>
        </w:rPr>
        <w:t xml:space="preserve"> ».</w:t>
      </w:r>
    </w:p>
    <w:p w:rsidR="00992664" w:rsidRPr="00020424" w:rsidRDefault="00795177" w:rsidP="00DF5D10">
      <w:pPr>
        <w:pStyle w:val="libFootnote0"/>
        <w:rPr>
          <w:rtl/>
          <w:lang w:bidi="fa-IR"/>
        </w:rPr>
      </w:pPr>
      <w:r>
        <w:rPr>
          <w:rtl/>
        </w:rPr>
        <w:t>(</w:t>
      </w:r>
      <w:r w:rsidR="00DF5D10">
        <w:rPr>
          <w:rFonts w:hint="cs"/>
          <w:rtl/>
        </w:rPr>
        <w:t>2</w:t>
      </w:r>
      <w:r>
        <w:rPr>
          <w:rtl/>
        </w:rPr>
        <w:t>).</w:t>
      </w:r>
      <w:r w:rsidR="0014403D">
        <w:rPr>
          <w:rtl/>
        </w:rPr>
        <w:t xml:space="preserve"> </w:t>
      </w:r>
      <w:r w:rsidR="00992664" w:rsidRPr="00020424">
        <w:rPr>
          <w:rtl/>
        </w:rPr>
        <w:t>في « بر » :</w:t>
      </w:r>
      <w:r w:rsidR="00992664">
        <w:rPr>
          <w:rtl/>
        </w:rPr>
        <w:t xml:space="preserve"> </w:t>
      </w:r>
      <w:r w:rsidR="009B673F">
        <w:rPr>
          <w:rtl/>
        </w:rPr>
        <w:t>-</w:t>
      </w:r>
      <w:r w:rsidR="00992664">
        <w:rPr>
          <w:rtl/>
        </w:rPr>
        <w:t xml:space="preserve"> </w:t>
      </w:r>
      <w:r w:rsidR="00992664" w:rsidRPr="00020424">
        <w:rPr>
          <w:rtl/>
        </w:rPr>
        <w:t>« عنده</w:t>
      </w:r>
      <w:r w:rsidR="00992664">
        <w:rPr>
          <w:rtl/>
        </w:rPr>
        <w:t xml:space="preserve"> ».</w:t>
      </w:r>
    </w:p>
    <w:p w:rsidR="00992664" w:rsidRPr="00020424" w:rsidRDefault="00795177" w:rsidP="00DF5D10">
      <w:pPr>
        <w:pStyle w:val="libFootnote0"/>
        <w:rPr>
          <w:rtl/>
          <w:lang w:bidi="fa-IR"/>
        </w:rPr>
      </w:pPr>
      <w:r>
        <w:rPr>
          <w:rtl/>
        </w:rPr>
        <w:t>(</w:t>
      </w:r>
      <w:r w:rsidR="00DF5D10">
        <w:rPr>
          <w:rFonts w:hint="cs"/>
          <w:rtl/>
        </w:rPr>
        <w:t>3</w:t>
      </w:r>
      <w:r>
        <w:rPr>
          <w:rtl/>
        </w:rPr>
        <w:t>).</w:t>
      </w:r>
      <w:r w:rsidR="0014403D">
        <w:rPr>
          <w:rtl/>
        </w:rPr>
        <w:t xml:space="preserve"> </w:t>
      </w:r>
      <w:r w:rsidR="00992664" w:rsidRPr="00020424">
        <w:rPr>
          <w:rtl/>
        </w:rPr>
        <w:t>في « ى ، بح ، بخ ، بف ، جن » و</w:t>
      </w:r>
      <w:r w:rsidR="00992664" w:rsidRPr="0012008A">
        <w:rPr>
          <w:rStyle w:val="libFootnoteBoldChar"/>
          <w:rtl/>
        </w:rPr>
        <w:t>البحار</w:t>
      </w:r>
      <w:r w:rsidR="00992664" w:rsidRPr="00020424">
        <w:rPr>
          <w:rtl/>
        </w:rPr>
        <w:t xml:space="preserve"> :</w:t>
      </w:r>
      <w:r w:rsidR="00992664">
        <w:rPr>
          <w:rtl/>
        </w:rPr>
        <w:t xml:space="preserve"> </w:t>
      </w:r>
      <w:r w:rsidR="009B673F">
        <w:rPr>
          <w:rtl/>
        </w:rPr>
        <w:t>-</w:t>
      </w:r>
      <w:r w:rsidR="00992664">
        <w:rPr>
          <w:rtl/>
        </w:rPr>
        <w:t xml:space="preserve"> </w:t>
      </w:r>
      <w:r w:rsidR="00992664" w:rsidRPr="00020424">
        <w:rPr>
          <w:rtl/>
        </w:rPr>
        <w:t>« والحمد لله‌ذي الجلال والإكرام</w:t>
      </w:r>
      <w:r w:rsidR="00992664">
        <w:rPr>
          <w:rtl/>
        </w:rPr>
        <w:t xml:space="preserve"> ».</w:t>
      </w:r>
    </w:p>
    <w:p w:rsidR="00992664" w:rsidRPr="00020424" w:rsidRDefault="00795177" w:rsidP="00DF5D10">
      <w:pPr>
        <w:pStyle w:val="libFootnote0"/>
        <w:rPr>
          <w:rtl/>
          <w:lang w:bidi="fa-IR"/>
        </w:rPr>
      </w:pPr>
      <w:r>
        <w:rPr>
          <w:rtl/>
        </w:rPr>
        <w:t>(</w:t>
      </w:r>
      <w:r w:rsidR="00DF5D10">
        <w:rPr>
          <w:rFonts w:hint="cs"/>
          <w:rtl/>
        </w:rPr>
        <w:t>4</w:t>
      </w:r>
      <w:r>
        <w:rPr>
          <w:rtl/>
        </w:rPr>
        <w:t>).</w:t>
      </w:r>
      <w:r w:rsidR="0014403D">
        <w:rPr>
          <w:rtl/>
        </w:rPr>
        <w:t xml:space="preserve"> </w:t>
      </w:r>
      <w:r w:rsidR="00992664" w:rsidRPr="0012008A">
        <w:rPr>
          <w:rStyle w:val="libFootnoteBoldChar"/>
          <w:rtl/>
        </w:rPr>
        <w:t>الوافي</w:t>
      </w:r>
      <w:r w:rsidR="00992664" w:rsidRPr="00020424">
        <w:rPr>
          <w:rtl/>
        </w:rPr>
        <w:t xml:space="preserve"> ، ج 3 ، ص 737 ، ح 1354 ؛ </w:t>
      </w:r>
      <w:r w:rsidR="00992664" w:rsidRPr="0012008A">
        <w:rPr>
          <w:rStyle w:val="libFootnoteBoldChar"/>
          <w:rtl/>
        </w:rPr>
        <w:t>الوسائل</w:t>
      </w:r>
      <w:r w:rsidR="00992664" w:rsidRPr="00020424">
        <w:rPr>
          <w:rtl/>
        </w:rPr>
        <w:t xml:space="preserve"> ، ج 10 ، ص 249 ، ذيل ح 13336 ، إلى قوله : « بمثل هذه القتلة فقال له اليهودي : نعم » ؛ </w:t>
      </w:r>
      <w:r w:rsidR="00992664" w:rsidRPr="0012008A">
        <w:rPr>
          <w:rStyle w:val="libFootnoteBoldChar"/>
          <w:rtl/>
        </w:rPr>
        <w:t>البحار</w:t>
      </w:r>
      <w:r w:rsidR="00992664" w:rsidRPr="00020424">
        <w:rPr>
          <w:rtl/>
        </w:rPr>
        <w:t xml:space="preserve"> ، ج 38 ، ص 60 ، ح 13 ؛ وج 40 ، ص 287 ، ح 46.</w:t>
      </w:r>
    </w:p>
    <w:p w:rsidR="00992664" w:rsidRDefault="00795177" w:rsidP="00DF5D10">
      <w:pPr>
        <w:pStyle w:val="libFootnote0"/>
        <w:rPr>
          <w:rtl/>
          <w:lang w:bidi="fa-IR"/>
        </w:rPr>
      </w:pPr>
      <w:r>
        <w:rPr>
          <w:rtl/>
        </w:rPr>
        <w:t>(</w:t>
      </w:r>
      <w:r w:rsidR="00DF5D10">
        <w:rPr>
          <w:rFonts w:hint="cs"/>
          <w:rtl/>
        </w:rPr>
        <w:t>5</w:t>
      </w:r>
      <w:r>
        <w:rPr>
          <w:rtl/>
        </w:rPr>
        <w:t>).</w:t>
      </w:r>
      <w:r w:rsidR="0014403D">
        <w:rPr>
          <w:rtl/>
        </w:rPr>
        <w:t xml:space="preserve"> </w:t>
      </w:r>
      <w:r w:rsidR="00992664" w:rsidRPr="00020424">
        <w:rPr>
          <w:rtl/>
        </w:rPr>
        <w:t>في النسخ بدل « تمّ كتاب الصوم</w:t>
      </w:r>
      <w:r w:rsidR="00992664">
        <w:rPr>
          <w:rtl/>
        </w:rPr>
        <w:t xml:space="preserve"> </w:t>
      </w:r>
      <w:r w:rsidR="009B673F">
        <w:rPr>
          <w:rtl/>
        </w:rPr>
        <w:t>-</w:t>
      </w:r>
      <w:r w:rsidR="00992664">
        <w:rPr>
          <w:rtl/>
        </w:rPr>
        <w:t xml:space="preserve"> </w:t>
      </w:r>
      <w:r w:rsidR="00992664" w:rsidRPr="00020424">
        <w:rPr>
          <w:rtl/>
        </w:rPr>
        <w:t>إلى</w:t>
      </w:r>
      <w:r w:rsidR="00992664">
        <w:rPr>
          <w:rtl/>
        </w:rPr>
        <w:t xml:space="preserve"> </w:t>
      </w:r>
      <w:r w:rsidR="009B673F">
        <w:rPr>
          <w:rtl/>
        </w:rPr>
        <w:t>-</w:t>
      </w:r>
      <w:r w:rsidR="00992664">
        <w:rPr>
          <w:rtl/>
        </w:rPr>
        <w:t xml:space="preserve"> </w:t>
      </w:r>
      <w:r w:rsidR="00992664" w:rsidRPr="00020424">
        <w:rPr>
          <w:rtl/>
        </w:rPr>
        <w:t>الطاهرين » عبارات مختلفة.</w:t>
      </w:r>
    </w:p>
    <w:p w:rsidR="00DF5D10" w:rsidRDefault="00DF5D10" w:rsidP="00DF5D10">
      <w:pPr>
        <w:pStyle w:val="libNormal"/>
        <w:rPr>
          <w:rtl/>
          <w:lang w:bidi="fa-IR"/>
        </w:rPr>
      </w:pPr>
      <w:r>
        <w:rPr>
          <w:rtl/>
          <w:lang w:bidi="fa-IR"/>
        </w:rPr>
        <w:br w:type="page"/>
      </w:r>
    </w:p>
    <w:p w:rsidR="00795177" w:rsidRDefault="00AE3883" w:rsidP="00AE3883">
      <w:pPr>
        <w:pStyle w:val="Heading2"/>
        <w:rPr>
          <w:rtl/>
          <w:lang w:bidi="fa-IR"/>
        </w:rPr>
      </w:pPr>
      <w:bookmarkStart w:id="559" w:name="_Toc44600024"/>
      <w:r>
        <w:rPr>
          <w:rFonts w:hint="cs"/>
          <w:rtl/>
          <w:lang w:bidi="fa-IR"/>
        </w:rPr>
        <w:t>الفهرس</w:t>
      </w:r>
      <w:bookmarkEnd w:id="559"/>
    </w:p>
    <w:sdt>
      <w:sdtPr>
        <w:rPr>
          <w:rFonts w:ascii="Times New Roman" w:eastAsia="Times New Roman" w:hAnsi="Times New Roman" w:cs="Traditional Arabic"/>
          <w:b w:val="0"/>
          <w:bCs w:val="0"/>
          <w:color w:val="000000"/>
          <w:sz w:val="24"/>
          <w:szCs w:val="32"/>
        </w:rPr>
        <w:id w:val="22744572"/>
        <w:docPartObj>
          <w:docPartGallery w:val="Table of Contents"/>
          <w:docPartUnique/>
        </w:docPartObj>
      </w:sdtPr>
      <w:sdtEndPr>
        <w:rPr>
          <w:rtl/>
        </w:rPr>
      </w:sdtEndPr>
      <w:sdtContent>
        <w:p w:rsidR="00062E75" w:rsidRDefault="00062E75" w:rsidP="00062E75">
          <w:pPr>
            <w:pStyle w:val="TOCHeading"/>
          </w:pPr>
        </w:p>
        <w:p w:rsidR="001B7674" w:rsidRDefault="004B12C7" w:rsidP="001B7674">
          <w:pPr>
            <w:pStyle w:val="TOC1"/>
            <w:rPr>
              <w:rFonts w:asciiTheme="minorHAnsi" w:eastAsiaTheme="minorEastAsia" w:hAnsiTheme="minorHAnsi" w:cstheme="minorBidi"/>
              <w:bCs w:val="0"/>
              <w:noProof/>
              <w:color w:val="auto"/>
              <w:sz w:val="22"/>
              <w:szCs w:val="22"/>
              <w:rtl/>
            </w:rPr>
          </w:pPr>
          <w:r>
            <w:fldChar w:fldCharType="begin"/>
          </w:r>
          <w:r w:rsidR="00062E75">
            <w:instrText xml:space="preserve"> TOC \o "1-3" \h \z \u </w:instrText>
          </w:r>
          <w:r>
            <w:fldChar w:fldCharType="separate"/>
          </w:r>
          <w:hyperlink w:anchor="_Toc44599835" w:history="1">
            <w:r w:rsidR="001B7674" w:rsidRPr="00515391">
              <w:rPr>
                <w:rStyle w:val="Hyperlink"/>
                <w:noProof/>
                <w:rtl/>
                <w:lang w:bidi="fa-IR"/>
              </w:rPr>
              <w:t>[13]</w:t>
            </w:r>
            <w:r w:rsidR="001B7674">
              <w:rPr>
                <w:noProof/>
                <w:webHidden/>
                <w:rtl/>
              </w:rPr>
              <w:t xml:space="preserve"> </w:t>
            </w:r>
          </w:hyperlink>
          <w:r w:rsidR="001B7674">
            <w:rPr>
              <w:rStyle w:val="Hyperlink"/>
              <w:rFonts w:hint="cs"/>
              <w:noProof/>
              <w:rtl/>
            </w:rPr>
            <w:t xml:space="preserve"> </w:t>
          </w:r>
          <w:hyperlink w:anchor="_Toc44599836" w:history="1">
            <w:r w:rsidR="001B7674" w:rsidRPr="00515391">
              <w:rPr>
                <w:rStyle w:val="Hyperlink"/>
                <w:rFonts w:hint="eastAsia"/>
                <w:noProof/>
                <w:rtl/>
                <w:lang w:bidi="fa-IR"/>
              </w:rPr>
              <w:t>كِتَابُ</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44599836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w:t>
            </w:r>
            <w:r w:rsidR="001B7674">
              <w:rPr>
                <w:noProof/>
                <w:webHidden/>
                <w:rtl/>
              </w:rPr>
              <w:fldChar w:fldCharType="end"/>
            </w:r>
          </w:hyperlink>
        </w:p>
        <w:p w:rsidR="001B7674" w:rsidRDefault="008404F5" w:rsidP="001B7674">
          <w:pPr>
            <w:pStyle w:val="TOC1"/>
            <w:rPr>
              <w:rFonts w:asciiTheme="minorHAnsi" w:eastAsiaTheme="minorEastAsia" w:hAnsiTheme="minorHAnsi" w:cstheme="minorBidi"/>
              <w:noProof/>
              <w:color w:val="auto"/>
              <w:sz w:val="22"/>
              <w:szCs w:val="22"/>
              <w:rtl/>
            </w:rPr>
          </w:pPr>
          <w:hyperlink w:anchor="_Toc44599837" w:history="1">
            <w:r w:rsidR="001B7674" w:rsidRPr="00515391">
              <w:rPr>
                <w:rStyle w:val="Hyperlink"/>
                <w:noProof/>
                <w:rtl/>
                <w:lang w:bidi="fa-IR"/>
              </w:rPr>
              <w:t>[13]</w:t>
            </w:r>
            <w:r w:rsidR="001B7674">
              <w:rPr>
                <w:noProof/>
                <w:webHidden/>
                <w:rtl/>
              </w:rPr>
              <w:t xml:space="preserve"> </w:t>
            </w:r>
          </w:hyperlink>
          <w:r w:rsidR="001B7674">
            <w:rPr>
              <w:rStyle w:val="Hyperlink"/>
              <w:rFonts w:hint="cs"/>
              <w:noProof/>
              <w:rtl/>
            </w:rPr>
            <w:t xml:space="preserve"> </w:t>
          </w:r>
          <w:hyperlink w:anchor="_Toc44599838" w:history="1">
            <w:r w:rsidR="001B7674" w:rsidRPr="00515391">
              <w:rPr>
                <w:rStyle w:val="Hyperlink"/>
                <w:rFonts w:hint="eastAsia"/>
                <w:noProof/>
                <w:rtl/>
                <w:lang w:bidi="fa-IR"/>
              </w:rPr>
              <w:t>كِتَابُ</w:t>
            </w:r>
            <w:r w:rsidR="001B7674" w:rsidRPr="00515391">
              <w:rPr>
                <w:rStyle w:val="Hyperlink"/>
                <w:noProof/>
                <w:rtl/>
                <w:lang w:bidi="fa-IR"/>
              </w:rPr>
              <w:t xml:space="preserve"> </w:t>
            </w:r>
            <w:r w:rsidR="001B7674" w:rsidRPr="00515391">
              <w:rPr>
                <w:rStyle w:val="Hyperlink"/>
                <w:rFonts w:hint="eastAsia"/>
                <w:noProof/>
                <w:rtl/>
                <w:lang w:bidi="fa-IR"/>
              </w:rPr>
              <w:t>الزَّكَاةِ‌</w:t>
            </w:r>
          </w:hyperlink>
          <w:r w:rsidR="001B7674">
            <w:rPr>
              <w:rStyle w:val="Hyperlink"/>
              <w:rFonts w:hint="cs"/>
              <w:noProof/>
              <w:rtl/>
            </w:rPr>
            <w:t xml:space="preserve"> </w:t>
          </w:r>
          <w:hyperlink w:anchor="_Toc44599839" w:history="1">
            <w:r w:rsidR="001B7674" w:rsidRPr="00515391">
              <w:rPr>
                <w:rStyle w:val="Hyperlink"/>
                <w:noProof/>
                <w:rtl/>
                <w:lang w:bidi="fa-IR"/>
              </w:rPr>
              <w:t xml:space="preserve">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فَرْضِ</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وَ</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يَجِبُ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الْحُقُوقِ</w:t>
            </w:r>
            <w:r w:rsidR="001B7674" w:rsidRPr="00515391">
              <w:rPr>
                <w:rStyle w:val="Hyperlink"/>
                <w:noProof/>
                <w:rtl/>
                <w:lang w:bidi="fa-IR"/>
              </w:rPr>
              <w:t xml:space="preserve"> </w:t>
            </w:r>
            <w:r w:rsidR="001B7674" w:rsidRPr="00515391">
              <w:rPr>
                <w:rStyle w:val="Hyperlink"/>
                <w:noProof/>
                <w:vertAlign w:val="superscript"/>
                <w:rtl/>
              </w:rPr>
              <w:t>(3)</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44599839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0" w:history="1">
            <w:r w:rsidR="001B7674" w:rsidRPr="00515391">
              <w:rPr>
                <w:rStyle w:val="Hyperlink"/>
                <w:noProof/>
                <w:rtl/>
                <w:lang w:bidi="fa-IR"/>
              </w:rPr>
              <w:t xml:space="preserve">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مَنْعِ</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1" w:history="1">
            <w:r w:rsidR="001B7674" w:rsidRPr="00515391">
              <w:rPr>
                <w:rStyle w:val="Hyperlink"/>
                <w:noProof/>
                <w:rtl/>
                <w:lang w:bidi="fa-IR"/>
              </w:rPr>
              <w:t xml:space="preserve">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الْعِلَّةِ</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وَضْعِ</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هِيَ</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rPr>
              <w:t xml:space="preserve"> </w:t>
            </w:r>
            <w:r w:rsidR="001B7674" w:rsidRPr="00515391">
              <w:rPr>
                <w:rStyle w:val="Hyperlink"/>
                <w:rFonts w:hint="eastAsia"/>
                <w:noProof/>
                <w:rtl/>
                <w:lang w:bidi="fa-IR"/>
              </w:rPr>
              <w:t>لَمْ</w:t>
            </w:r>
            <w:r w:rsidR="001B7674" w:rsidRPr="00515391">
              <w:rPr>
                <w:rStyle w:val="Hyperlink"/>
                <w:noProof/>
                <w:rtl/>
                <w:lang w:bidi="fa-IR"/>
              </w:rPr>
              <w:t xml:space="preserve"> </w:t>
            </w:r>
            <w:r w:rsidR="001B7674" w:rsidRPr="00515391">
              <w:rPr>
                <w:rStyle w:val="Hyperlink"/>
                <w:rFonts w:hint="eastAsia"/>
                <w:noProof/>
                <w:rtl/>
                <w:lang w:bidi="fa-IR"/>
              </w:rPr>
              <w:t>تُزَدْ</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وَلَمْ</w:t>
            </w:r>
            <w:r w:rsidR="001B7674" w:rsidRPr="00515391">
              <w:rPr>
                <w:rStyle w:val="Hyperlink"/>
                <w:noProof/>
                <w:rtl/>
                <w:lang w:bidi="fa-IR"/>
              </w:rPr>
              <w:t xml:space="preserve"> </w:t>
            </w:r>
            <w:r w:rsidR="001B7674" w:rsidRPr="00515391">
              <w:rPr>
                <w:rStyle w:val="Hyperlink"/>
                <w:rFonts w:hint="eastAsia"/>
                <w:noProof/>
                <w:rtl/>
                <w:lang w:bidi="fa-IR"/>
              </w:rPr>
              <w:t>تُنْقَصْ</w:t>
            </w:r>
            <w:r w:rsidR="001B7674" w:rsidRPr="00515391">
              <w:rPr>
                <w:rStyle w:val="Hyperlink"/>
                <w:noProof/>
                <w:rtl/>
                <w:lang w:bidi="fa-IR"/>
              </w:rPr>
              <w:t xml:space="preserve"> </w:t>
            </w:r>
            <w:r w:rsidR="001B7674" w:rsidRPr="00515391">
              <w:rPr>
                <w:rStyle w:val="Hyperlink"/>
                <w:noProof/>
                <w:vertAlign w:val="superscript"/>
                <w:rtl/>
              </w:rPr>
              <w:t>(6)</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40</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842" w:history="1">
            <w:r w:rsidR="001B7674" w:rsidRPr="00515391">
              <w:rPr>
                <w:rStyle w:val="Hyperlink"/>
                <w:noProof/>
                <w:rtl/>
                <w:lang w:bidi="fa-IR"/>
              </w:rPr>
              <w:t xml:space="preserve">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وَضَعَ</w:t>
            </w:r>
            <w:r w:rsidR="001B7674" w:rsidRPr="00515391">
              <w:rPr>
                <w:rStyle w:val="Hyperlink"/>
                <w:noProof/>
                <w:rtl/>
                <w:lang w:bidi="fa-IR"/>
              </w:rPr>
              <w:t xml:space="preserve"> </w:t>
            </w:r>
            <w:r w:rsidR="001B7674" w:rsidRPr="00515391">
              <w:rPr>
                <w:rStyle w:val="Hyperlink"/>
                <w:rFonts w:hint="eastAsia"/>
                <w:noProof/>
                <w:rtl/>
                <w:lang w:bidi="fa-IR"/>
              </w:rPr>
              <w:t>رَسُولُ</w:t>
            </w:r>
            <w:r w:rsidR="001B7674" w:rsidRPr="00515391">
              <w:rPr>
                <w:rStyle w:val="Hyperlink"/>
                <w:noProof/>
                <w:rtl/>
                <w:lang w:bidi="fa-IR"/>
              </w:rPr>
              <w:t xml:space="preserve"> </w:t>
            </w:r>
            <w:r w:rsidR="001B7674" w:rsidRPr="00515391">
              <w:rPr>
                <w:rStyle w:val="Hyperlink"/>
                <w:rFonts w:hint="eastAsia"/>
                <w:noProof/>
                <w:rtl/>
                <w:lang w:bidi="fa-IR"/>
              </w:rPr>
              <w:t>اللهِ</w:t>
            </w:r>
            <w:r w:rsidR="001B7674" w:rsidRPr="00515391">
              <w:rPr>
                <w:rStyle w:val="Hyperlink"/>
                <w:noProof/>
                <w:rtl/>
                <w:lang w:bidi="fa-IR"/>
              </w:rPr>
              <w:t xml:space="preserve"> - </w:t>
            </w:r>
            <w:r w:rsidR="001B7674" w:rsidRPr="00515391">
              <w:rPr>
                <w:rStyle w:val="Hyperlink"/>
                <w:rFonts w:hint="eastAsia"/>
                <w:noProof/>
                <w:rtl/>
                <w:lang w:bidi="fa-IR"/>
              </w:rPr>
              <w:t>صَلَّى</w:t>
            </w:r>
            <w:r w:rsidR="001B7674" w:rsidRPr="00515391">
              <w:rPr>
                <w:rStyle w:val="Hyperlink"/>
                <w:noProof/>
                <w:rtl/>
                <w:lang w:bidi="fa-IR"/>
              </w:rPr>
              <w:t xml:space="preserve"> </w:t>
            </w:r>
            <w:r w:rsidR="001B7674" w:rsidRPr="00515391">
              <w:rPr>
                <w:rStyle w:val="Hyperlink"/>
                <w:rFonts w:hint="eastAsia"/>
                <w:noProof/>
                <w:rtl/>
                <w:lang w:bidi="fa-IR"/>
              </w:rPr>
              <w:t>اللهُ</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noProof/>
                <w:vertAlign w:val="superscript"/>
                <w:rtl/>
              </w:rPr>
              <w:t>(1)</w:t>
            </w:r>
          </w:hyperlink>
          <w:r w:rsidR="003A113B">
            <w:rPr>
              <w:rStyle w:val="Hyperlink"/>
              <w:rFonts w:hint="cs"/>
              <w:noProof/>
              <w:rtl/>
            </w:rPr>
            <w:t xml:space="preserve"> </w:t>
          </w:r>
          <w:hyperlink w:anchor="_Toc44599843" w:history="1">
            <w:r w:rsidR="001B7674" w:rsidRPr="00515391">
              <w:rPr>
                <w:rStyle w:val="Hyperlink"/>
                <w:rFonts w:hint="eastAsia"/>
                <w:noProof/>
                <w:rtl/>
                <w:lang w:bidi="fa-IR"/>
              </w:rPr>
              <w:t>وَعَلى</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بَيْتِهِ</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rPr>
              <w:t xml:space="preserve"> </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4" w:history="1">
            <w:r w:rsidR="001B7674" w:rsidRPr="00515391">
              <w:rPr>
                <w:rStyle w:val="Hyperlink"/>
                <w:noProof/>
                <w:rtl/>
                <w:lang w:bidi="fa-IR"/>
              </w:rPr>
              <w:t xml:space="preserve">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يُزَكّى</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الْحُبُوبِ‌</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5" w:history="1">
            <w:r w:rsidR="001B7674" w:rsidRPr="00515391">
              <w:rPr>
                <w:rStyle w:val="Hyperlink"/>
                <w:noProof/>
                <w:rtl/>
                <w:lang w:bidi="fa-IR"/>
              </w:rPr>
              <w:t xml:space="preserve">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لَايَجِبُ</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فِيهِ</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مِمَّا</w:t>
            </w:r>
            <w:r w:rsidR="001B7674" w:rsidRPr="00515391">
              <w:rPr>
                <w:rStyle w:val="Hyperlink"/>
                <w:noProof/>
                <w:rtl/>
                <w:lang w:bidi="fa-IR"/>
              </w:rPr>
              <w:t xml:space="preserve"> </w:t>
            </w:r>
            <w:r w:rsidR="001B7674" w:rsidRPr="00515391">
              <w:rPr>
                <w:rStyle w:val="Hyperlink"/>
                <w:rFonts w:hint="eastAsia"/>
                <w:noProof/>
                <w:rtl/>
                <w:lang w:bidi="fa-IR"/>
              </w:rPr>
              <w:t>تُنْبِتُ</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lang w:bidi="fa-IR"/>
              </w:rPr>
              <w:t xml:space="preserve"> </w:t>
            </w:r>
            <w:r w:rsidR="001B7674" w:rsidRPr="00515391">
              <w:rPr>
                <w:rStyle w:val="Hyperlink"/>
                <w:rFonts w:hint="eastAsia"/>
                <w:noProof/>
                <w:rtl/>
                <w:lang w:bidi="fa-IR"/>
              </w:rPr>
              <w:t>الْأَرْضُ</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الْخُضَرِ</w:t>
            </w:r>
            <w:r w:rsidR="001B7674" w:rsidRPr="00515391">
              <w:rPr>
                <w:rStyle w:val="Hyperlink"/>
                <w:noProof/>
                <w:rtl/>
                <w:lang w:bidi="fa-IR"/>
              </w:rPr>
              <w:t xml:space="preserve"> </w:t>
            </w:r>
            <w:r w:rsidR="001B7674" w:rsidRPr="00515391">
              <w:rPr>
                <w:rStyle w:val="Hyperlink"/>
                <w:rFonts w:hint="eastAsia"/>
                <w:noProof/>
                <w:rtl/>
                <w:lang w:bidi="fa-IR"/>
              </w:rPr>
              <w:t>وَغَيْرِهَا‌</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6" w:history="1">
            <w:r w:rsidR="001B7674" w:rsidRPr="00515391">
              <w:rPr>
                <w:rStyle w:val="Hyperlink"/>
                <w:noProof/>
                <w:rtl/>
                <w:lang w:bidi="fa-IR"/>
              </w:rPr>
              <w:t xml:space="preserve">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أَقَلِّ</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يَجِبُ</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فِيهِ</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الْحَرْثِ‌</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7" w:history="1">
            <w:r w:rsidR="001B7674" w:rsidRPr="00515391">
              <w:rPr>
                <w:rStyle w:val="Hyperlink"/>
                <w:noProof/>
                <w:rtl/>
                <w:lang w:bidi="fa-IR"/>
              </w:rPr>
              <w:t xml:space="preserve">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rPr>
              <w:t xml:space="preserve"> </w:t>
            </w:r>
            <w:r w:rsidR="001B7674" w:rsidRPr="00515391">
              <w:rPr>
                <w:rStyle w:val="Hyperlink"/>
                <w:rFonts w:hint="eastAsia"/>
                <w:noProof/>
                <w:rtl/>
                <w:lang w:bidi="fa-IR"/>
              </w:rPr>
              <w:t>التَّمْرِ</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lang w:bidi="fa-IR"/>
              </w:rPr>
              <w:t xml:space="preserve"> </w:t>
            </w:r>
            <w:r w:rsidR="001B7674" w:rsidRPr="00515391">
              <w:rPr>
                <w:rStyle w:val="Hyperlink"/>
                <w:rFonts w:hint="eastAsia"/>
                <w:noProof/>
                <w:rtl/>
                <w:lang w:bidi="fa-IR"/>
              </w:rPr>
              <w:t>مَرَّةٌ</w:t>
            </w:r>
            <w:r w:rsidR="001B7674" w:rsidRPr="00515391">
              <w:rPr>
                <w:rStyle w:val="Hyperlink"/>
                <w:noProof/>
                <w:rtl/>
                <w:lang w:bidi="fa-IR"/>
              </w:rPr>
              <w:t xml:space="preserve"> </w:t>
            </w:r>
            <w:r w:rsidR="001B7674" w:rsidRPr="00515391">
              <w:rPr>
                <w:rStyle w:val="Hyperlink"/>
                <w:rFonts w:hint="eastAsia"/>
                <w:noProof/>
                <w:rtl/>
                <w:lang w:bidi="fa-IR"/>
              </w:rPr>
              <w:t>وَاحِدَةٌ‌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48" w:history="1">
            <w:r w:rsidR="001B7674" w:rsidRPr="00515391">
              <w:rPr>
                <w:rStyle w:val="Hyperlink"/>
                <w:noProof/>
                <w:rtl/>
                <w:lang w:bidi="fa-IR"/>
              </w:rPr>
              <w:t xml:space="preserve">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زَكَاةِ</w:t>
            </w:r>
            <w:r w:rsidR="001B7674" w:rsidRPr="00515391">
              <w:rPr>
                <w:rStyle w:val="Hyperlink"/>
                <w:noProof/>
                <w:rtl/>
                <w:lang w:bidi="fa-IR"/>
              </w:rPr>
              <w:t xml:space="preserve"> </w:t>
            </w:r>
            <w:r w:rsidR="001B7674" w:rsidRPr="00515391">
              <w:rPr>
                <w:rStyle w:val="Hyperlink"/>
                <w:rFonts w:hint="eastAsia"/>
                <w:noProof/>
                <w:rtl/>
                <w:lang w:bidi="fa-IR"/>
              </w:rPr>
              <w:t>الذَّهَبِ</w:t>
            </w:r>
            <w:r w:rsidR="001B7674" w:rsidRPr="00515391">
              <w:rPr>
                <w:rStyle w:val="Hyperlink"/>
                <w:noProof/>
                <w:rtl/>
                <w:lang w:bidi="fa-IR"/>
              </w:rPr>
              <w:t xml:space="preserve"> </w:t>
            </w:r>
            <w:r w:rsidR="001B7674" w:rsidRPr="00515391">
              <w:rPr>
                <w:rStyle w:val="Hyperlink"/>
                <w:rFonts w:hint="eastAsia"/>
                <w:noProof/>
                <w:rtl/>
                <w:lang w:bidi="fa-IR"/>
              </w:rPr>
              <w:t>وَالْفِضَّةِ‌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44599848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65</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849" w:history="1">
            <w:r w:rsidR="001B7674" w:rsidRPr="00515391">
              <w:rPr>
                <w:rStyle w:val="Hyperlink"/>
                <w:noProof/>
                <w:rtl/>
                <w:lang w:bidi="fa-IR"/>
              </w:rPr>
              <w:t xml:space="preserve">10 -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لَيْسَ</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rPr>
              <w:t xml:space="preserve"> </w:t>
            </w:r>
            <w:r w:rsidR="001B7674" w:rsidRPr="00515391">
              <w:rPr>
                <w:rStyle w:val="Hyperlink"/>
                <w:rFonts w:hint="eastAsia"/>
                <w:noProof/>
                <w:rtl/>
                <w:lang w:bidi="fa-IR"/>
              </w:rPr>
              <w:t>الْحُلِيِّ</w:t>
            </w:r>
            <w:r w:rsidR="001B7674" w:rsidRPr="00515391">
              <w:rPr>
                <w:rStyle w:val="Hyperlink"/>
                <w:noProof/>
                <w:rtl/>
                <w:lang w:bidi="fa-IR"/>
              </w:rPr>
              <w:t xml:space="preserve"> </w:t>
            </w:r>
            <w:r w:rsidR="001B7674" w:rsidRPr="00515391">
              <w:rPr>
                <w:rStyle w:val="Hyperlink"/>
                <w:rFonts w:hint="eastAsia"/>
                <w:noProof/>
                <w:rtl/>
                <w:lang w:bidi="fa-IR"/>
              </w:rPr>
              <w:t>وَسَبَائِكِ</w:t>
            </w:r>
            <w:r w:rsidR="001B7674" w:rsidRPr="00515391">
              <w:rPr>
                <w:rStyle w:val="Hyperlink"/>
                <w:noProof/>
                <w:rtl/>
                <w:lang w:bidi="fa-IR"/>
              </w:rPr>
              <w:t xml:space="preserve"> </w:t>
            </w:r>
            <w:r w:rsidR="001B7674" w:rsidRPr="00515391">
              <w:rPr>
                <w:rStyle w:val="Hyperlink"/>
                <w:noProof/>
                <w:vertAlign w:val="superscript"/>
                <w:rtl/>
              </w:rPr>
              <w:t>(8)</w:t>
            </w:r>
            <w:r w:rsidR="001B7674" w:rsidRPr="00515391">
              <w:rPr>
                <w:rStyle w:val="Hyperlink"/>
                <w:noProof/>
                <w:rtl/>
                <w:lang w:bidi="fa-IR"/>
              </w:rPr>
              <w:t xml:space="preserve"> </w:t>
            </w:r>
            <w:r w:rsidR="001B7674" w:rsidRPr="00515391">
              <w:rPr>
                <w:rStyle w:val="Hyperlink"/>
                <w:rFonts w:hint="eastAsia"/>
                <w:noProof/>
                <w:rtl/>
                <w:lang w:bidi="fa-IR"/>
              </w:rPr>
              <w:t>الذَّهَبِ</w:t>
            </w:r>
          </w:hyperlink>
          <w:r w:rsidR="003A113B">
            <w:rPr>
              <w:rStyle w:val="Hyperlink"/>
              <w:rFonts w:hint="cs"/>
              <w:noProof/>
              <w:rtl/>
            </w:rPr>
            <w:t xml:space="preserve"> </w:t>
          </w:r>
          <w:hyperlink w:anchor="_Toc44599850" w:history="1">
            <w:r w:rsidR="001B7674" w:rsidRPr="00515391">
              <w:rPr>
                <w:rStyle w:val="Hyperlink"/>
                <w:rFonts w:hint="eastAsia"/>
                <w:noProof/>
                <w:rtl/>
                <w:lang w:bidi="fa-IR"/>
              </w:rPr>
              <w:t>وَنُقَرِ</w:t>
            </w:r>
            <w:r w:rsidR="001B7674" w:rsidRPr="00515391">
              <w:rPr>
                <w:rStyle w:val="Hyperlink"/>
                <w:noProof/>
                <w:rtl/>
                <w:lang w:bidi="fa-IR"/>
              </w:rPr>
              <w:t xml:space="preserve"> </w:t>
            </w:r>
            <w:r w:rsidR="001B7674" w:rsidRPr="00515391">
              <w:rPr>
                <w:rStyle w:val="Hyperlink"/>
                <w:noProof/>
                <w:vertAlign w:val="superscript"/>
                <w:rtl/>
              </w:rPr>
              <w:t>(9)</w:t>
            </w:r>
            <w:r w:rsidR="001B7674" w:rsidRPr="00515391">
              <w:rPr>
                <w:rStyle w:val="Hyperlink"/>
                <w:noProof/>
                <w:rtl/>
              </w:rPr>
              <w:t xml:space="preserve"> </w:t>
            </w:r>
            <w:r w:rsidR="001B7674" w:rsidRPr="00515391">
              <w:rPr>
                <w:rStyle w:val="Hyperlink"/>
                <w:rFonts w:hint="eastAsia"/>
                <w:noProof/>
                <w:rtl/>
                <w:lang w:bidi="fa-IR"/>
              </w:rPr>
              <w:t>الْفِضَّةِ</w:t>
            </w:r>
            <w:r w:rsidR="001B7674" w:rsidRPr="00515391">
              <w:rPr>
                <w:rStyle w:val="Hyperlink"/>
                <w:noProof/>
                <w:rtl/>
                <w:lang w:bidi="fa-IR"/>
              </w:rPr>
              <w:t xml:space="preserve"> </w:t>
            </w:r>
            <w:r w:rsidR="001B7674" w:rsidRPr="00515391">
              <w:rPr>
                <w:rStyle w:val="Hyperlink"/>
                <w:rFonts w:hint="eastAsia"/>
                <w:noProof/>
                <w:rtl/>
                <w:lang w:bidi="fa-IR"/>
              </w:rPr>
              <w:t>وَالْجَوْهَرِ</w:t>
            </w:r>
            <w:r w:rsidR="001B7674" w:rsidRPr="00515391">
              <w:rPr>
                <w:rStyle w:val="Hyperlink"/>
                <w:noProof/>
                <w:rtl/>
                <w:lang w:bidi="fa-IR"/>
              </w:rPr>
              <w:t xml:space="preserve"> </w:t>
            </w:r>
            <w:r w:rsidR="001B7674" w:rsidRPr="00515391">
              <w:rPr>
                <w:rStyle w:val="Hyperlink"/>
                <w:rFonts w:hint="eastAsia"/>
                <w:noProof/>
                <w:rtl/>
                <w:lang w:bidi="fa-IR"/>
              </w:rPr>
              <w:t>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1" w:history="1">
            <w:r w:rsidR="001B7674" w:rsidRPr="00515391">
              <w:rPr>
                <w:rStyle w:val="Hyperlink"/>
                <w:noProof/>
                <w:rtl/>
                <w:lang w:bidi="fa-IR"/>
              </w:rPr>
              <w:t xml:space="preserve">11 -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زَكَاةِ</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sidRPr="00515391">
              <w:rPr>
                <w:rStyle w:val="Hyperlink"/>
                <w:noProof/>
                <w:rtl/>
                <w:lang w:bidi="fa-IR"/>
              </w:rPr>
              <w:t xml:space="preserve"> </w:t>
            </w:r>
            <w:r w:rsidR="001B7674" w:rsidRPr="00515391">
              <w:rPr>
                <w:rStyle w:val="Hyperlink"/>
                <w:rFonts w:hint="eastAsia"/>
                <w:noProof/>
                <w:rtl/>
                <w:lang w:bidi="fa-IR"/>
              </w:rPr>
              <w:t>الْغَائِبِ</w:t>
            </w:r>
            <w:r w:rsidR="001B7674" w:rsidRPr="00515391">
              <w:rPr>
                <w:rStyle w:val="Hyperlink"/>
                <w:noProof/>
                <w:rtl/>
                <w:lang w:bidi="fa-IR"/>
              </w:rPr>
              <w:t xml:space="preserve"> </w:t>
            </w:r>
            <w:r w:rsidR="001B7674" w:rsidRPr="00515391">
              <w:rPr>
                <w:rStyle w:val="Hyperlink"/>
                <w:rFonts w:hint="eastAsia"/>
                <w:noProof/>
                <w:rtl/>
                <w:lang w:bidi="fa-IR"/>
              </w:rPr>
              <w:t>وَالدَّيْنِ</w:t>
            </w:r>
            <w:r w:rsidR="001B7674" w:rsidRPr="00515391">
              <w:rPr>
                <w:rStyle w:val="Hyperlink"/>
                <w:noProof/>
                <w:rtl/>
                <w:lang w:bidi="fa-IR"/>
              </w:rPr>
              <w:t xml:space="preserve"> </w:t>
            </w:r>
            <w:r w:rsidR="001B7674" w:rsidRPr="00515391">
              <w:rPr>
                <w:rStyle w:val="Hyperlink"/>
                <w:rFonts w:hint="eastAsia"/>
                <w:noProof/>
                <w:rtl/>
                <w:lang w:bidi="fa-IR"/>
              </w:rPr>
              <w:t>وَالْوَدِيعَةِ‌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2" w:history="1">
            <w:r w:rsidR="001B7674" w:rsidRPr="00515391">
              <w:rPr>
                <w:rStyle w:val="Hyperlink"/>
                <w:noProof/>
                <w:rtl/>
                <w:lang w:bidi="fa-IR"/>
              </w:rPr>
              <w:t xml:space="preserve">12 -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أَوْقَاتِ</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83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3" w:history="1">
            <w:r w:rsidR="001B7674" w:rsidRPr="00515391">
              <w:rPr>
                <w:rStyle w:val="Hyperlink"/>
                <w:noProof/>
                <w:rtl/>
                <w:lang w:bidi="fa-IR"/>
              </w:rPr>
              <w:t xml:space="preserve">13 -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89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4" w:history="1">
            <w:r w:rsidR="001B7674" w:rsidRPr="00515391">
              <w:rPr>
                <w:rStyle w:val="Hyperlink"/>
                <w:noProof/>
                <w:rtl/>
                <w:lang w:bidi="fa-IR"/>
              </w:rPr>
              <w:t xml:space="preserve">14 -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sidRPr="00515391">
              <w:rPr>
                <w:rStyle w:val="Hyperlink"/>
                <w:noProof/>
                <w:rtl/>
                <w:lang w:bidi="fa-IR"/>
              </w:rPr>
              <w:t xml:space="preserve"> </w:t>
            </w:r>
            <w:r w:rsidR="001B7674" w:rsidRPr="00515391">
              <w:rPr>
                <w:rStyle w:val="Hyperlink"/>
                <w:rFonts w:hint="eastAsia"/>
                <w:noProof/>
                <w:rtl/>
                <w:lang w:bidi="fa-IR"/>
              </w:rPr>
              <w:t>الَّذِي</w:t>
            </w:r>
            <w:r w:rsidR="001B7674" w:rsidRPr="00515391">
              <w:rPr>
                <w:rStyle w:val="Hyperlink"/>
                <w:noProof/>
                <w:rtl/>
                <w:lang w:bidi="fa-IR"/>
              </w:rPr>
              <w:t xml:space="preserve"> </w:t>
            </w:r>
            <w:r w:rsidR="001B7674" w:rsidRPr="00515391">
              <w:rPr>
                <w:rStyle w:val="Hyperlink"/>
                <w:rFonts w:hint="eastAsia"/>
                <w:noProof/>
                <w:rtl/>
                <w:lang w:bidi="fa-IR"/>
              </w:rPr>
              <w:t>لَايَحُولُ</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rFonts w:hint="eastAsia"/>
                <w:noProof/>
                <w:rtl/>
                <w:lang w:bidi="fa-IR"/>
              </w:rPr>
              <w:t>الْحَوْلُ</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يَدِ</w:t>
            </w:r>
            <w:r w:rsidR="001B7674" w:rsidRPr="00515391">
              <w:rPr>
                <w:rStyle w:val="Hyperlink"/>
                <w:noProof/>
                <w:rtl/>
                <w:lang w:bidi="fa-IR"/>
              </w:rPr>
              <w:t xml:space="preserve"> </w:t>
            </w:r>
            <w:r w:rsidR="001B7674" w:rsidRPr="00515391">
              <w:rPr>
                <w:rStyle w:val="Hyperlink"/>
                <w:rFonts w:hint="eastAsia"/>
                <w:noProof/>
                <w:rtl/>
                <w:lang w:bidi="fa-IR"/>
              </w:rPr>
              <w:t>صَاحِبِهِ‌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90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5" w:history="1">
            <w:r w:rsidR="001B7674" w:rsidRPr="00515391">
              <w:rPr>
                <w:rStyle w:val="Hyperlink"/>
                <w:noProof/>
                <w:rtl/>
                <w:lang w:bidi="fa-IR"/>
              </w:rPr>
              <w:t xml:space="preserve">15 -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يَسْتَفِيدُ</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sidRPr="00515391">
              <w:rPr>
                <w:rStyle w:val="Hyperlink"/>
                <w:noProof/>
                <w:rtl/>
                <w:lang w:bidi="fa-IR"/>
              </w:rPr>
              <w:t xml:space="preserve"> </w:t>
            </w:r>
            <w:r w:rsidR="001B7674" w:rsidRPr="00515391">
              <w:rPr>
                <w:rStyle w:val="Hyperlink"/>
                <w:rFonts w:hint="eastAsia"/>
                <w:noProof/>
                <w:rtl/>
                <w:lang w:bidi="fa-IR"/>
              </w:rPr>
              <w:t>بَعْدَ</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يُزَكِّيَ</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عِنْدَهُ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98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6" w:history="1">
            <w:r w:rsidR="001B7674" w:rsidRPr="00515391">
              <w:rPr>
                <w:rStyle w:val="Hyperlink"/>
                <w:noProof/>
                <w:rtl/>
                <w:lang w:bidi="fa-IR"/>
              </w:rPr>
              <w:t xml:space="preserve">16 -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يَشْتَرِي</w:t>
            </w:r>
            <w:r w:rsidR="001B7674" w:rsidRPr="00515391">
              <w:rPr>
                <w:rStyle w:val="Hyperlink"/>
                <w:noProof/>
                <w:rtl/>
                <w:lang w:bidi="fa-IR"/>
              </w:rPr>
              <w:t xml:space="preserve"> </w:t>
            </w:r>
            <w:r w:rsidR="001B7674" w:rsidRPr="00515391">
              <w:rPr>
                <w:rStyle w:val="Hyperlink"/>
                <w:rFonts w:hint="eastAsia"/>
                <w:noProof/>
                <w:rtl/>
                <w:lang w:bidi="fa-IR"/>
              </w:rPr>
              <w:t>الْمَتَاعَ</w:t>
            </w:r>
            <w:r w:rsidR="001B7674" w:rsidRPr="00515391">
              <w:rPr>
                <w:rStyle w:val="Hyperlink"/>
                <w:noProof/>
                <w:rtl/>
                <w:lang w:bidi="fa-IR"/>
              </w:rPr>
              <w:t xml:space="preserve"> </w:t>
            </w:r>
            <w:r w:rsidR="001B7674" w:rsidRPr="00515391">
              <w:rPr>
                <w:rStyle w:val="Hyperlink"/>
                <w:rFonts w:hint="eastAsia"/>
                <w:noProof/>
                <w:rtl/>
                <w:lang w:bidi="fa-IR"/>
              </w:rPr>
              <w:t>فَيَكْسُدُ</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rFonts w:hint="eastAsia"/>
                <w:noProof/>
                <w:rtl/>
                <w:lang w:bidi="fa-IR"/>
              </w:rPr>
              <w:t>وَالْمُضَارَبَةِ‌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99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7" w:history="1">
            <w:r w:rsidR="001B7674" w:rsidRPr="00515391">
              <w:rPr>
                <w:rStyle w:val="Hyperlink"/>
                <w:noProof/>
                <w:rtl/>
                <w:lang w:bidi="fa-IR"/>
              </w:rPr>
              <w:t xml:space="preserve">17 -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يَجِبُ</w:t>
            </w:r>
            <w:r w:rsidR="001B7674" w:rsidRPr="00515391">
              <w:rPr>
                <w:rStyle w:val="Hyperlink"/>
                <w:noProof/>
                <w:rtl/>
                <w:lang w:bidi="fa-IR"/>
              </w:rPr>
              <w:t xml:space="preserve"> </w:t>
            </w:r>
            <w:r w:rsidR="001B7674" w:rsidRPr="00515391">
              <w:rPr>
                <w:rStyle w:val="Hyperlink"/>
                <w:noProof/>
                <w:vertAlign w:val="superscript"/>
                <w:rtl/>
              </w:rPr>
              <w:t>(11)</w:t>
            </w:r>
            <w:r w:rsidR="001B7674" w:rsidRPr="00515391">
              <w:rPr>
                <w:rStyle w:val="Hyperlink"/>
                <w:noProof/>
                <w:rtl/>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الْحَيَوَانِ</w:t>
            </w:r>
            <w:r w:rsidR="001B7674" w:rsidRPr="00515391">
              <w:rPr>
                <w:rStyle w:val="Hyperlink"/>
                <w:noProof/>
                <w:rtl/>
                <w:lang w:bidi="fa-IR"/>
              </w:rPr>
              <w:t xml:space="preserve"> </w:t>
            </w:r>
            <w:r w:rsidR="001B7674" w:rsidRPr="00515391">
              <w:rPr>
                <w:rStyle w:val="Hyperlink"/>
                <w:rFonts w:hint="eastAsia"/>
                <w:noProof/>
                <w:rtl/>
                <w:lang w:bidi="fa-IR"/>
              </w:rPr>
              <w:t>وَمَا</w:t>
            </w:r>
            <w:r w:rsidR="001B7674" w:rsidRPr="00515391">
              <w:rPr>
                <w:rStyle w:val="Hyperlink"/>
                <w:noProof/>
                <w:rtl/>
                <w:lang w:bidi="fa-IR"/>
              </w:rPr>
              <w:t xml:space="preserve"> </w:t>
            </w:r>
            <w:r w:rsidR="001B7674" w:rsidRPr="00515391">
              <w:rPr>
                <w:rStyle w:val="Hyperlink"/>
                <w:rFonts w:hint="eastAsia"/>
                <w:noProof/>
                <w:rtl/>
                <w:lang w:bidi="fa-IR"/>
              </w:rPr>
              <w:t>لَايَجِبُ</w:t>
            </w:r>
            <w:r w:rsidR="001B7674" w:rsidRPr="00515391">
              <w:rPr>
                <w:rStyle w:val="Hyperlink"/>
                <w:noProof/>
                <w:rtl/>
                <w:lang w:bidi="fa-IR"/>
              </w:rPr>
              <w:t xml:space="preserve"> </w:t>
            </w:r>
            <w:r w:rsidR="001B7674" w:rsidRPr="00515391">
              <w:rPr>
                <w:rStyle w:val="Hyperlink"/>
                <w:noProof/>
                <w:vertAlign w:val="superscript"/>
                <w:rtl/>
              </w:rPr>
              <w:t>(12)</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104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8" w:history="1">
            <w:r w:rsidR="001B7674" w:rsidRPr="00515391">
              <w:rPr>
                <w:rStyle w:val="Hyperlink"/>
                <w:noProof/>
                <w:rtl/>
                <w:lang w:bidi="fa-IR"/>
              </w:rPr>
              <w:t xml:space="preserve">18 -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الْإِبِلِ‌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108</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59" w:history="1">
            <w:r w:rsidR="001B7674" w:rsidRPr="00515391">
              <w:rPr>
                <w:rStyle w:val="Hyperlink"/>
                <w:noProof/>
                <w:rtl/>
                <w:lang w:bidi="fa-IR"/>
              </w:rPr>
              <w:t xml:space="preserve">19 -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(7)</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44599859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114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0" w:history="1">
            <w:r w:rsidR="001B7674" w:rsidRPr="00515391">
              <w:rPr>
                <w:rStyle w:val="Hyperlink"/>
                <w:noProof/>
                <w:rtl/>
                <w:lang w:bidi="fa-IR"/>
              </w:rPr>
              <w:t xml:space="preserve">20 -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الْبَقَرِ‌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116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1" w:history="1">
            <w:r w:rsidR="001B7674" w:rsidRPr="00515391">
              <w:rPr>
                <w:rStyle w:val="Hyperlink"/>
                <w:noProof/>
                <w:rtl/>
                <w:lang w:bidi="fa-IR"/>
              </w:rPr>
              <w:t xml:space="preserve">21 -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الْغَنَمِ‌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119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2" w:history="1">
            <w:r w:rsidR="001B7674" w:rsidRPr="00515391">
              <w:rPr>
                <w:rStyle w:val="Hyperlink"/>
                <w:noProof/>
                <w:rtl/>
                <w:lang w:bidi="fa-IR"/>
              </w:rPr>
              <w:t xml:space="preserve">22 -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أَدَبِ</w:t>
            </w:r>
            <w:r w:rsidR="001B7674" w:rsidRPr="00515391">
              <w:rPr>
                <w:rStyle w:val="Hyperlink"/>
                <w:noProof/>
                <w:rtl/>
                <w:lang w:bidi="fa-IR"/>
              </w:rPr>
              <w:t xml:space="preserve"> </w:t>
            </w:r>
            <w:r w:rsidR="001B7674" w:rsidRPr="00515391">
              <w:rPr>
                <w:rStyle w:val="Hyperlink"/>
                <w:rFonts w:hint="eastAsia"/>
                <w:noProof/>
                <w:rtl/>
                <w:lang w:bidi="fa-IR"/>
              </w:rPr>
              <w:t>الْمُصَدِّقِ‌</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123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3" w:history="1">
            <w:r w:rsidR="001B7674" w:rsidRPr="00515391">
              <w:rPr>
                <w:rStyle w:val="Hyperlink"/>
                <w:noProof/>
                <w:rtl/>
                <w:lang w:bidi="fa-IR"/>
              </w:rPr>
              <w:t xml:space="preserve">23 -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زَكَاةِ</w:t>
            </w:r>
            <w:r w:rsidR="001B7674" w:rsidRPr="00515391">
              <w:rPr>
                <w:rStyle w:val="Hyperlink"/>
                <w:noProof/>
                <w:rtl/>
                <w:lang w:bidi="fa-IR"/>
              </w:rPr>
              <w:t xml:space="preserve"> </w:t>
            </w:r>
            <w:r w:rsidR="001B7674" w:rsidRPr="00515391">
              <w:rPr>
                <w:rStyle w:val="Hyperlink"/>
                <w:rFonts w:hint="eastAsia"/>
                <w:noProof/>
                <w:rtl/>
                <w:lang w:bidi="fa-IR"/>
              </w:rPr>
              <w:t>مَالِ</w:t>
            </w:r>
            <w:r w:rsidR="001B7674" w:rsidRPr="00515391">
              <w:rPr>
                <w:rStyle w:val="Hyperlink"/>
                <w:noProof/>
                <w:rtl/>
                <w:lang w:bidi="fa-IR"/>
              </w:rPr>
              <w:t xml:space="preserve"> </w:t>
            </w:r>
            <w:r w:rsidR="001B7674" w:rsidRPr="00515391">
              <w:rPr>
                <w:rStyle w:val="Hyperlink"/>
                <w:rFonts w:hint="eastAsia"/>
                <w:noProof/>
                <w:rtl/>
                <w:lang w:bidi="fa-IR"/>
              </w:rPr>
              <w:t>الْيَتِيمِ</w:t>
            </w:r>
            <w:r w:rsidR="001B7674" w:rsidRPr="00515391">
              <w:rPr>
                <w:rStyle w:val="Hyperlink"/>
                <w:rFonts w:hint="eastAsia"/>
                <w:noProof/>
                <w:lang w:bidi="fa-IR"/>
              </w:rPr>
              <w:t>‌</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136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4" w:history="1">
            <w:r w:rsidR="001B7674" w:rsidRPr="00515391">
              <w:rPr>
                <w:rStyle w:val="Hyperlink"/>
                <w:noProof/>
                <w:rtl/>
                <w:lang w:bidi="fa-IR"/>
              </w:rPr>
              <w:t xml:space="preserve">24 -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زَكَاةِ</w:t>
            </w:r>
            <w:r w:rsidR="001B7674" w:rsidRPr="00515391">
              <w:rPr>
                <w:rStyle w:val="Hyperlink"/>
                <w:noProof/>
                <w:rtl/>
                <w:lang w:bidi="fa-IR"/>
              </w:rPr>
              <w:t xml:space="preserve"> </w:t>
            </w:r>
            <w:r w:rsidR="001B7674" w:rsidRPr="00515391">
              <w:rPr>
                <w:rStyle w:val="Hyperlink"/>
                <w:rFonts w:hint="eastAsia"/>
                <w:noProof/>
                <w:rtl/>
                <w:lang w:bidi="fa-IR"/>
              </w:rPr>
              <w:t>مَالِ</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rPr>
              <w:t xml:space="preserve"> </w:t>
            </w:r>
            <w:r w:rsidR="001B7674" w:rsidRPr="00515391">
              <w:rPr>
                <w:rStyle w:val="Hyperlink"/>
                <w:rFonts w:hint="eastAsia"/>
                <w:noProof/>
                <w:rtl/>
                <w:lang w:bidi="fa-IR"/>
              </w:rPr>
              <w:t>الْمَمْلُوكِ</w:t>
            </w:r>
            <w:r w:rsidR="001B7674" w:rsidRPr="00515391">
              <w:rPr>
                <w:rStyle w:val="Hyperlink"/>
                <w:noProof/>
                <w:rtl/>
                <w:lang w:bidi="fa-IR"/>
              </w:rPr>
              <w:t xml:space="preserve"> </w:t>
            </w:r>
            <w:r w:rsidR="001B7674" w:rsidRPr="00515391">
              <w:rPr>
                <w:rStyle w:val="Hyperlink"/>
                <w:rFonts w:hint="eastAsia"/>
                <w:noProof/>
                <w:rtl/>
                <w:lang w:bidi="fa-IR"/>
              </w:rPr>
              <w:t>وَالْمُكَاتَبِ</w:t>
            </w:r>
            <w:r w:rsidR="001B7674" w:rsidRPr="00515391">
              <w:rPr>
                <w:rStyle w:val="Hyperlink"/>
                <w:noProof/>
                <w:rtl/>
                <w:lang w:bidi="fa-IR"/>
              </w:rPr>
              <w:t xml:space="preserve"> </w:t>
            </w:r>
            <w:r w:rsidR="001B7674" w:rsidRPr="00515391">
              <w:rPr>
                <w:rStyle w:val="Hyperlink"/>
                <w:rFonts w:hint="eastAsia"/>
                <w:noProof/>
                <w:rtl/>
                <w:lang w:bidi="fa-IR"/>
              </w:rPr>
              <w:t>وَالْمَجْنُونِ‌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140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5" w:history="1">
            <w:r w:rsidR="001B7674" w:rsidRPr="00515391">
              <w:rPr>
                <w:rStyle w:val="Hyperlink"/>
                <w:noProof/>
                <w:rtl/>
                <w:lang w:bidi="fa-IR"/>
              </w:rPr>
              <w:t xml:space="preserve">25 -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فِيمَا</w:t>
            </w:r>
            <w:r w:rsidR="001B7674" w:rsidRPr="00515391">
              <w:rPr>
                <w:rStyle w:val="Hyperlink"/>
                <w:noProof/>
                <w:rtl/>
                <w:lang w:bidi="fa-IR"/>
              </w:rPr>
              <w:t xml:space="preserve"> </w:t>
            </w:r>
            <w:r w:rsidR="001B7674" w:rsidRPr="00515391">
              <w:rPr>
                <w:rStyle w:val="Hyperlink"/>
                <w:rFonts w:hint="eastAsia"/>
                <w:noProof/>
                <w:rtl/>
                <w:lang w:bidi="fa-IR"/>
              </w:rPr>
              <w:t>يَأْخُذُ</w:t>
            </w:r>
            <w:r w:rsidR="001B7674" w:rsidRPr="00515391">
              <w:rPr>
                <w:rStyle w:val="Hyperlink"/>
                <w:noProof/>
                <w:rtl/>
                <w:lang w:bidi="fa-IR"/>
              </w:rPr>
              <w:t xml:space="preserve"> </w:t>
            </w:r>
            <w:r w:rsidR="001B7674" w:rsidRPr="00515391">
              <w:rPr>
                <w:rStyle w:val="Hyperlink"/>
                <w:rFonts w:hint="eastAsia"/>
                <w:noProof/>
                <w:rtl/>
                <w:lang w:bidi="fa-IR"/>
              </w:rPr>
              <w:t>السُّلْطَانُ</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الْخَرَاجِ</w:t>
            </w:r>
            <w:r w:rsidR="001B7674" w:rsidRPr="00515391">
              <w:rPr>
                <w:rStyle w:val="Hyperlink"/>
                <w:noProof/>
                <w:rtl/>
                <w:lang w:bidi="fa-IR"/>
              </w:rPr>
              <w:t xml:space="preserve"> </w:t>
            </w:r>
            <w:r w:rsidR="001B7674" w:rsidRPr="00515391">
              <w:rPr>
                <w:rStyle w:val="Hyperlink"/>
                <w:noProof/>
                <w:vertAlign w:val="superscript"/>
                <w:rtl/>
              </w:rPr>
              <w:t>(1)</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143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6" w:history="1">
            <w:r w:rsidR="001B7674" w:rsidRPr="00515391">
              <w:rPr>
                <w:rStyle w:val="Hyperlink"/>
                <w:noProof/>
                <w:rtl/>
                <w:lang w:bidi="fa-IR"/>
              </w:rPr>
              <w:t xml:space="preserve">26 -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يُخَلِّفُ</w:t>
            </w:r>
            <w:r w:rsidR="001B7674" w:rsidRPr="00515391">
              <w:rPr>
                <w:rStyle w:val="Hyperlink"/>
                <w:noProof/>
                <w:rtl/>
                <w:lang w:bidi="fa-IR"/>
              </w:rPr>
              <w:t xml:space="preserve"> </w:t>
            </w:r>
            <w:r w:rsidR="001B7674" w:rsidRPr="00515391">
              <w:rPr>
                <w:rStyle w:val="Hyperlink"/>
                <w:rFonts w:hint="eastAsia"/>
                <w:noProof/>
                <w:rtl/>
                <w:lang w:bidi="fa-IR"/>
              </w:rPr>
              <w:t>عِنْدَ</w:t>
            </w:r>
            <w:r w:rsidR="001B7674" w:rsidRPr="00515391">
              <w:rPr>
                <w:rStyle w:val="Hyperlink"/>
                <w:noProof/>
                <w:rtl/>
                <w:lang w:bidi="fa-IR"/>
              </w:rPr>
              <w:t xml:space="preserve"> </w:t>
            </w:r>
            <w:r w:rsidR="001B7674" w:rsidRPr="00515391">
              <w:rPr>
                <w:rStyle w:val="Hyperlink"/>
                <w:rFonts w:hint="eastAsia"/>
                <w:noProof/>
                <w:rtl/>
                <w:lang w:bidi="fa-IR"/>
              </w:rPr>
              <w:t>أَهْلِهِ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النَّفَقَةِ</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يَكُونُ</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مِثْلِهَا</w:t>
            </w:r>
            <w:r w:rsidR="001B7674" w:rsidRPr="00515391">
              <w:rPr>
                <w:rStyle w:val="Hyperlink"/>
                <w:noProof/>
                <w:rtl/>
                <w:lang w:bidi="fa-IR"/>
              </w:rPr>
              <w:t xml:space="preserve"> </w:t>
            </w:r>
            <w:r w:rsidR="001B7674" w:rsidRPr="00515391">
              <w:rPr>
                <w:rStyle w:val="Hyperlink"/>
                <w:noProof/>
                <w:vertAlign w:val="superscript"/>
                <w:rtl/>
              </w:rPr>
              <w:t>(11)</w:t>
            </w:r>
            <w:r w:rsidR="001B7674" w:rsidRPr="00515391">
              <w:rPr>
                <w:rStyle w:val="Hyperlink"/>
                <w:noProof/>
                <w:rtl/>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146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7" w:history="1">
            <w:r w:rsidR="001B7674" w:rsidRPr="00515391">
              <w:rPr>
                <w:rStyle w:val="Hyperlink"/>
                <w:noProof/>
                <w:rtl/>
                <w:lang w:bidi="fa-IR"/>
              </w:rPr>
              <w:t xml:space="preserve">27 -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يُعْطِي</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زَكَاتِهِ</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يَظُنُّ</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مُعْسِرٌ</w:t>
            </w:r>
            <w:r w:rsidR="001B7674" w:rsidRPr="00515391">
              <w:rPr>
                <w:rStyle w:val="Hyperlink"/>
                <w:noProof/>
                <w:rtl/>
                <w:lang w:bidi="fa-IR"/>
              </w:rPr>
              <w:t xml:space="preserve"> </w:t>
            </w:r>
            <w:r w:rsidR="001B7674" w:rsidRPr="00515391">
              <w:rPr>
                <w:rStyle w:val="Hyperlink"/>
                <w:rFonts w:hint="eastAsia"/>
                <w:noProof/>
                <w:rtl/>
                <w:lang w:bidi="fa-IR"/>
              </w:rPr>
              <w:t>ثُمَّ</w:t>
            </w:r>
            <w:r w:rsidR="001B7674" w:rsidRPr="00515391">
              <w:rPr>
                <w:rStyle w:val="Hyperlink"/>
                <w:noProof/>
                <w:rtl/>
                <w:lang w:bidi="fa-IR"/>
              </w:rPr>
              <w:t xml:space="preserve"> </w:t>
            </w:r>
            <w:r w:rsidR="001B7674" w:rsidRPr="00515391">
              <w:rPr>
                <w:rStyle w:val="Hyperlink"/>
                <w:rFonts w:hint="eastAsia"/>
                <w:noProof/>
                <w:rtl/>
                <w:lang w:bidi="fa-IR"/>
              </w:rPr>
              <w:t>يَجِدُهُ</w:t>
            </w:r>
            <w:r w:rsidR="001B7674" w:rsidRPr="00515391">
              <w:rPr>
                <w:rStyle w:val="Hyperlink"/>
                <w:noProof/>
                <w:rtl/>
                <w:lang w:bidi="fa-IR"/>
              </w:rPr>
              <w:t xml:space="preserve"> </w:t>
            </w:r>
            <w:r w:rsidR="001B7674" w:rsidRPr="00515391">
              <w:rPr>
                <w:rStyle w:val="Hyperlink"/>
                <w:rFonts w:hint="eastAsia"/>
                <w:noProof/>
                <w:rtl/>
                <w:lang w:bidi="fa-IR"/>
              </w:rPr>
              <w:t>مُوسِراً‌</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148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8" w:history="1">
            <w:r w:rsidR="001B7674" w:rsidRPr="00515391">
              <w:rPr>
                <w:rStyle w:val="Hyperlink"/>
                <w:noProof/>
                <w:rtl/>
                <w:lang w:bidi="fa-IR"/>
              </w:rPr>
              <w:t xml:space="preserve">28 -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لَاتُعْطى</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rPr>
              <w:t xml:space="preserve"> </w:t>
            </w:r>
            <w:r w:rsidR="001B7674" w:rsidRPr="00515391">
              <w:rPr>
                <w:rStyle w:val="Hyperlink"/>
                <w:rFonts w:hint="eastAsia"/>
                <w:noProof/>
                <w:rtl/>
                <w:lang w:bidi="fa-IR"/>
              </w:rPr>
              <w:t>غَيْرَ</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الْوَلَايَةِ‌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149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69" w:history="1">
            <w:r w:rsidR="001B7674" w:rsidRPr="00515391">
              <w:rPr>
                <w:rStyle w:val="Hyperlink"/>
                <w:noProof/>
                <w:rtl/>
                <w:lang w:bidi="fa-IR"/>
              </w:rPr>
              <w:t xml:space="preserve">29 -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قَضَاءِ</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الْمَيِّتِ‌</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44599869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154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0" w:history="1">
            <w:r w:rsidR="001B7674" w:rsidRPr="00515391">
              <w:rPr>
                <w:rStyle w:val="Hyperlink"/>
                <w:noProof/>
                <w:rtl/>
                <w:lang w:bidi="fa-IR"/>
              </w:rPr>
              <w:t xml:space="preserve">30 -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أَقَلِّ</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يُعْطى</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وَأَكْثَرَ</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158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1" w:history="1">
            <w:r w:rsidR="001B7674" w:rsidRPr="00515391">
              <w:rPr>
                <w:rStyle w:val="Hyperlink"/>
                <w:noProof/>
                <w:rtl/>
                <w:lang w:bidi="fa-IR"/>
              </w:rPr>
              <w:t xml:space="preserve">31 -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يُعْطى</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عِيَالُ</w:t>
            </w:r>
            <w:r w:rsidR="001B7674" w:rsidRPr="00515391">
              <w:rPr>
                <w:rStyle w:val="Hyperlink"/>
                <w:noProof/>
                <w:rtl/>
                <w:lang w:bidi="fa-IR"/>
              </w:rPr>
              <w:t xml:space="preserve"> </w:t>
            </w:r>
            <w:r w:rsidR="001B7674" w:rsidRPr="00515391">
              <w:rPr>
                <w:rStyle w:val="Hyperlink"/>
                <w:rFonts w:hint="eastAsia"/>
                <w:noProof/>
                <w:rtl/>
                <w:lang w:bidi="fa-IR"/>
              </w:rPr>
              <w:t>الْمُؤْمِنِ</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إِذَا</w:t>
            </w:r>
            <w:r w:rsidR="001B7674" w:rsidRPr="00515391">
              <w:rPr>
                <w:rStyle w:val="Hyperlink"/>
                <w:noProof/>
                <w:rtl/>
                <w:lang w:bidi="fa-IR"/>
              </w:rPr>
              <w:t xml:space="preserve"> </w:t>
            </w:r>
            <w:r w:rsidR="001B7674" w:rsidRPr="00515391">
              <w:rPr>
                <w:rStyle w:val="Hyperlink"/>
                <w:rFonts w:hint="eastAsia"/>
                <w:noProof/>
                <w:rtl/>
                <w:lang w:bidi="fa-IR"/>
              </w:rPr>
              <w:t>كَانُوا</w:t>
            </w:r>
            <w:r w:rsidR="001B7674" w:rsidRPr="00515391">
              <w:rPr>
                <w:rStyle w:val="Hyperlink"/>
                <w:noProof/>
                <w:rtl/>
                <w:lang w:bidi="fa-IR"/>
              </w:rPr>
              <w:t xml:space="preserve"> </w:t>
            </w:r>
            <w:r w:rsidR="001B7674" w:rsidRPr="00515391">
              <w:rPr>
                <w:rStyle w:val="Hyperlink"/>
                <w:rFonts w:hint="eastAsia"/>
                <w:noProof/>
                <w:rtl/>
                <w:lang w:bidi="fa-IR"/>
              </w:rPr>
              <w:t>صِغَاراً</w:t>
            </w:r>
            <w:r w:rsidR="001B7674" w:rsidRPr="00515391">
              <w:rPr>
                <w:rStyle w:val="Hyperlink"/>
                <w:noProof/>
                <w:rtl/>
                <w:lang w:bidi="fa-IR"/>
              </w:rPr>
              <w:t xml:space="preserve"> </w:t>
            </w:r>
            <w:r w:rsidR="001B7674" w:rsidRPr="00515391">
              <w:rPr>
                <w:rStyle w:val="Hyperlink"/>
                <w:rFonts w:hint="eastAsia"/>
                <w:noProof/>
                <w:rtl/>
                <w:lang w:bidi="fa-IR"/>
              </w:rPr>
              <w:t>وَيُقْضى</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الْمُؤْمِنِينَ</w:t>
            </w:r>
            <w:r w:rsidR="001B7674" w:rsidRPr="00515391">
              <w:rPr>
                <w:rStyle w:val="Hyperlink"/>
                <w:noProof/>
                <w:vertAlign w:val="superscript"/>
                <w:rtl/>
              </w:rPr>
              <w:t>(8)</w:t>
            </w:r>
            <w:r w:rsidR="001B7674" w:rsidRPr="00515391">
              <w:rPr>
                <w:rStyle w:val="Hyperlink"/>
                <w:noProof/>
                <w:rtl/>
              </w:rPr>
              <w:t xml:space="preserve"> </w:t>
            </w:r>
            <w:r w:rsidR="001B7674" w:rsidRPr="00515391">
              <w:rPr>
                <w:rStyle w:val="Hyperlink"/>
                <w:rFonts w:hint="eastAsia"/>
                <w:noProof/>
                <w:rtl/>
                <w:lang w:bidi="fa-IR"/>
              </w:rPr>
              <w:t>الدُّيُونُ</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160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2" w:history="1">
            <w:r w:rsidR="001B7674" w:rsidRPr="00515391">
              <w:rPr>
                <w:rStyle w:val="Hyperlink"/>
                <w:noProof/>
                <w:rtl/>
                <w:lang w:bidi="fa-IR"/>
              </w:rPr>
              <w:t xml:space="preserve">32 -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تَفْضِيلِ</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بَعْضِهِمْ</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بَعْضٍ‌</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162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3" w:history="1">
            <w:r w:rsidR="001B7674" w:rsidRPr="00515391">
              <w:rPr>
                <w:rStyle w:val="Hyperlink"/>
                <w:noProof/>
                <w:rtl/>
                <w:lang w:bidi="fa-IR"/>
              </w:rPr>
              <w:t xml:space="preserve">33 -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تَفْضِيلِ</w:t>
            </w:r>
            <w:r w:rsidR="001B7674" w:rsidRPr="00515391">
              <w:rPr>
                <w:rStyle w:val="Hyperlink"/>
                <w:noProof/>
                <w:rtl/>
                <w:lang w:bidi="fa-IR"/>
              </w:rPr>
              <w:t xml:space="preserve"> </w:t>
            </w:r>
            <w:r w:rsidR="001B7674" w:rsidRPr="00515391">
              <w:rPr>
                <w:rStyle w:val="Hyperlink"/>
                <w:rFonts w:hint="eastAsia"/>
                <w:noProof/>
                <w:rtl/>
                <w:lang w:bidi="fa-IR"/>
              </w:rPr>
              <w:t>الْقَرَابَةِ</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وَمَنْ</w:t>
            </w:r>
            <w:r w:rsidR="001B7674" w:rsidRPr="00515391">
              <w:rPr>
                <w:rStyle w:val="Hyperlink"/>
                <w:noProof/>
                <w:rtl/>
                <w:lang w:bidi="fa-IR"/>
              </w:rPr>
              <w:t xml:space="preserve"> </w:t>
            </w:r>
            <w:r w:rsidR="001B7674" w:rsidRPr="00515391">
              <w:rPr>
                <w:rStyle w:val="Hyperlink"/>
                <w:rFonts w:hint="eastAsia"/>
                <w:noProof/>
                <w:rtl/>
                <w:lang w:bidi="fa-IR"/>
              </w:rPr>
              <w:t>لَايَجُوزُ</w:t>
            </w:r>
            <w:r w:rsidR="001B7674" w:rsidRPr="00515391">
              <w:rPr>
                <w:rStyle w:val="Hyperlink"/>
                <w:noProof/>
                <w:rtl/>
                <w:lang w:bidi="fa-IR"/>
              </w:rPr>
              <w:t xml:space="preserve"> </w:t>
            </w:r>
            <w:r w:rsidR="001B7674" w:rsidRPr="00515391">
              <w:rPr>
                <w:rStyle w:val="Hyperlink"/>
                <w:rFonts w:hint="eastAsia"/>
                <w:noProof/>
                <w:rtl/>
                <w:lang w:bidi="fa-IR"/>
              </w:rPr>
              <w:t>مِنْهُمْ</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يُعْطَوْا</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166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4" w:history="1">
            <w:r w:rsidR="001B7674" w:rsidRPr="00515391">
              <w:rPr>
                <w:rStyle w:val="Hyperlink"/>
                <w:noProof/>
                <w:rtl/>
                <w:lang w:bidi="fa-IR"/>
              </w:rPr>
              <w:t xml:space="preserve">34 -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نَادِرٌ‌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172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5" w:history="1">
            <w:r w:rsidR="001B7674" w:rsidRPr="00515391">
              <w:rPr>
                <w:rStyle w:val="Hyperlink"/>
                <w:noProof/>
                <w:rtl/>
                <w:lang w:bidi="fa-IR"/>
              </w:rPr>
              <w:t xml:space="preserve">35 -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تُبْعَثُ</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بَلَدٍ</w:t>
            </w:r>
            <w:r w:rsidR="001B7674" w:rsidRPr="00515391">
              <w:rPr>
                <w:rStyle w:val="Hyperlink"/>
                <w:noProof/>
                <w:rtl/>
                <w:lang w:bidi="fa-IR"/>
              </w:rPr>
              <w:t xml:space="preserve"> </w:t>
            </w:r>
            <w:r w:rsidR="001B7674" w:rsidRPr="00515391">
              <w:rPr>
                <w:rStyle w:val="Hyperlink"/>
                <w:rFonts w:hint="eastAsia"/>
                <w:noProof/>
                <w:rtl/>
                <w:lang w:bidi="fa-IR"/>
              </w:rPr>
              <w:t>إِلى</w:t>
            </w:r>
            <w:r w:rsidR="001B7674" w:rsidRPr="00515391">
              <w:rPr>
                <w:rStyle w:val="Hyperlink"/>
                <w:noProof/>
                <w:rtl/>
                <w:lang w:bidi="fa-IR"/>
              </w:rPr>
              <w:t xml:space="preserve"> </w:t>
            </w:r>
            <w:r w:rsidR="001B7674" w:rsidRPr="00515391">
              <w:rPr>
                <w:rStyle w:val="Hyperlink"/>
                <w:rFonts w:hint="eastAsia"/>
                <w:noProof/>
                <w:rtl/>
                <w:lang w:bidi="fa-IR"/>
              </w:rPr>
              <w:t>بَلَدٍ</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تُدْفَعُ</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إِلى</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يَقْسِمُهَا</w:t>
            </w:r>
            <w:r w:rsidR="001B7674" w:rsidRPr="00515391">
              <w:rPr>
                <w:rStyle w:val="Hyperlink"/>
                <w:noProof/>
                <w:rtl/>
                <w:lang w:bidi="fa-IR"/>
              </w:rPr>
              <w:t xml:space="preserve"> </w:t>
            </w:r>
            <w:r w:rsidR="001B7674" w:rsidRPr="00515391">
              <w:rPr>
                <w:rStyle w:val="Hyperlink"/>
                <w:rFonts w:hint="eastAsia"/>
                <w:noProof/>
                <w:rtl/>
                <w:lang w:bidi="fa-IR"/>
              </w:rPr>
              <w:t>فَتَضِيعُ</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174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6" w:history="1">
            <w:r w:rsidR="001B7674" w:rsidRPr="00515391">
              <w:rPr>
                <w:rStyle w:val="Hyperlink"/>
                <w:noProof/>
                <w:rtl/>
                <w:lang w:bidi="fa-IR"/>
              </w:rPr>
              <w:t xml:space="preserve">36 -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يُدْفَعُ</w:t>
            </w:r>
            <w:r w:rsidR="001B7674" w:rsidRPr="00515391">
              <w:rPr>
                <w:rStyle w:val="Hyperlink"/>
                <w:noProof/>
                <w:rtl/>
                <w:lang w:bidi="fa-IR"/>
              </w:rPr>
              <w:t xml:space="preserve"> </w:t>
            </w:r>
            <w:r w:rsidR="001B7674" w:rsidRPr="00515391">
              <w:rPr>
                <w:rStyle w:val="Hyperlink"/>
                <w:rFonts w:hint="eastAsia"/>
                <w:noProof/>
                <w:rtl/>
                <w:lang w:bidi="fa-IR"/>
              </w:rPr>
              <w:t>إِلَيْهِ</w:t>
            </w:r>
            <w:r w:rsidR="001B7674" w:rsidRPr="00515391">
              <w:rPr>
                <w:rStyle w:val="Hyperlink"/>
                <w:noProof/>
                <w:rtl/>
                <w:lang w:bidi="fa-IR"/>
              </w:rPr>
              <w:t xml:space="preserve"> </w:t>
            </w:r>
            <w:r w:rsidR="001B7674" w:rsidRPr="00515391">
              <w:rPr>
                <w:rStyle w:val="Hyperlink"/>
                <w:rFonts w:hint="eastAsia"/>
                <w:noProof/>
                <w:rtl/>
                <w:lang w:bidi="fa-IR"/>
              </w:rPr>
              <w:t>الشَّيْ‌ءُ</w:t>
            </w:r>
            <w:r w:rsidR="001B7674" w:rsidRPr="00515391">
              <w:rPr>
                <w:rStyle w:val="Hyperlink"/>
                <w:noProof/>
                <w:rtl/>
                <w:lang w:bidi="fa-IR"/>
              </w:rPr>
              <w:t xml:space="preserve"> </w:t>
            </w:r>
            <w:r w:rsidR="001B7674" w:rsidRPr="00515391">
              <w:rPr>
                <w:rStyle w:val="Hyperlink"/>
                <w:rFonts w:hint="eastAsia"/>
                <w:noProof/>
                <w:rtl/>
                <w:lang w:bidi="fa-IR"/>
              </w:rPr>
              <w:t>يُفَرِّقُهُ</w:t>
            </w:r>
            <w:r w:rsidR="001B7674" w:rsidRPr="00515391">
              <w:rPr>
                <w:rStyle w:val="Hyperlink"/>
                <w:noProof/>
                <w:rtl/>
                <w:lang w:bidi="fa-IR"/>
              </w:rPr>
              <w:t xml:space="preserve"> </w:t>
            </w:r>
            <w:r w:rsidR="001B7674" w:rsidRPr="00515391">
              <w:rPr>
                <w:rStyle w:val="Hyperlink"/>
                <w:rFonts w:hint="eastAsia"/>
                <w:noProof/>
                <w:rtl/>
                <w:lang w:bidi="fa-IR"/>
              </w:rPr>
              <w:t>وَهُوَ</w:t>
            </w:r>
            <w:r w:rsidR="001B7674" w:rsidRPr="00515391">
              <w:rPr>
                <w:rStyle w:val="Hyperlink"/>
                <w:noProof/>
                <w:rtl/>
                <w:lang w:bidi="fa-IR"/>
              </w:rPr>
              <w:t xml:space="preserve"> </w:t>
            </w:r>
            <w:r w:rsidR="001B7674" w:rsidRPr="00515391">
              <w:rPr>
                <w:rStyle w:val="Hyperlink"/>
                <w:rFonts w:hint="eastAsia"/>
                <w:noProof/>
                <w:rtl/>
                <w:lang w:bidi="fa-IR"/>
              </w:rPr>
              <w:t>مُحْتَاجٌ</w:t>
            </w:r>
            <w:r w:rsidR="001B7674" w:rsidRPr="00515391">
              <w:rPr>
                <w:rStyle w:val="Hyperlink"/>
                <w:noProof/>
                <w:rtl/>
                <w:lang w:bidi="fa-IR"/>
              </w:rPr>
              <w:t xml:space="preserve"> </w:t>
            </w:r>
            <w:r w:rsidR="001B7674" w:rsidRPr="00515391">
              <w:rPr>
                <w:rStyle w:val="Hyperlink"/>
                <w:rFonts w:hint="eastAsia"/>
                <w:noProof/>
                <w:rtl/>
                <w:lang w:bidi="fa-IR"/>
              </w:rPr>
              <w:t>إِلَيْهِ</w:t>
            </w:r>
            <w:r w:rsidR="001B7674" w:rsidRPr="00515391">
              <w:rPr>
                <w:rStyle w:val="Hyperlink"/>
                <w:noProof/>
                <w:rtl/>
                <w:lang w:bidi="fa-IR"/>
              </w:rPr>
              <w:t xml:space="preserve"> </w:t>
            </w:r>
            <w:r w:rsidR="001B7674" w:rsidRPr="00515391">
              <w:rPr>
                <w:rStyle w:val="Hyperlink"/>
                <w:noProof/>
                <w:vertAlign w:val="superscript"/>
                <w:rtl/>
              </w:rPr>
              <w:t>(9)</w:t>
            </w:r>
            <w:r w:rsidR="001B7674" w:rsidRPr="00515391">
              <w:rPr>
                <w:rStyle w:val="Hyperlink"/>
                <w:noProof/>
                <w:rtl/>
              </w:rPr>
              <w:t xml:space="preserve"> </w:t>
            </w:r>
            <w:r w:rsidR="001B7674" w:rsidRPr="00515391">
              <w:rPr>
                <w:rStyle w:val="Hyperlink"/>
                <w:rFonts w:hint="eastAsia"/>
                <w:noProof/>
                <w:rtl/>
                <w:lang w:bidi="fa-IR"/>
              </w:rPr>
              <w:t>يَأْخُذُ</w:t>
            </w:r>
            <w:r w:rsidR="001B7674" w:rsidRPr="00515391">
              <w:rPr>
                <w:rStyle w:val="Hyperlink"/>
                <w:noProof/>
                <w:rtl/>
                <w:lang w:bidi="fa-IR"/>
              </w:rPr>
              <w:t xml:space="preserve"> </w:t>
            </w:r>
            <w:r w:rsidR="001B7674" w:rsidRPr="00515391">
              <w:rPr>
                <w:rStyle w:val="Hyperlink"/>
                <w:rFonts w:hint="eastAsia"/>
                <w:noProof/>
                <w:rtl/>
                <w:lang w:bidi="fa-IR"/>
              </w:rPr>
              <w:t>لِنَفْسِهِ‌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179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7" w:history="1">
            <w:r w:rsidR="001B7674" w:rsidRPr="00515391">
              <w:rPr>
                <w:rStyle w:val="Hyperlink"/>
                <w:noProof/>
                <w:rtl/>
                <w:lang w:bidi="fa-IR"/>
              </w:rPr>
              <w:t xml:space="preserve">37 -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إِذَا</w:t>
            </w:r>
            <w:r w:rsidR="001B7674" w:rsidRPr="00515391">
              <w:rPr>
                <w:rStyle w:val="Hyperlink"/>
                <w:noProof/>
                <w:rtl/>
                <w:lang w:bidi="fa-IR"/>
              </w:rPr>
              <w:t xml:space="preserve"> </w:t>
            </w:r>
            <w:r w:rsidR="001B7674" w:rsidRPr="00515391">
              <w:rPr>
                <w:rStyle w:val="Hyperlink"/>
                <w:rFonts w:hint="eastAsia"/>
                <w:noProof/>
                <w:rtl/>
                <w:lang w:bidi="fa-IR"/>
              </w:rPr>
              <w:t>وَصَلَتْ</w:t>
            </w:r>
            <w:r w:rsidR="001B7674" w:rsidRPr="00515391">
              <w:rPr>
                <w:rStyle w:val="Hyperlink"/>
                <w:noProof/>
                <w:rtl/>
                <w:lang w:bidi="fa-IR"/>
              </w:rPr>
              <w:t xml:space="preserve"> </w:t>
            </w:r>
            <w:r w:rsidR="001B7674" w:rsidRPr="00515391">
              <w:rPr>
                <w:rStyle w:val="Hyperlink"/>
                <w:rFonts w:hint="eastAsia"/>
                <w:noProof/>
                <w:rtl/>
                <w:lang w:bidi="fa-IR"/>
              </w:rPr>
              <w:t>إِلَيْهِ</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فَهِيَ</w:t>
            </w:r>
            <w:r w:rsidR="001B7674" w:rsidRPr="00515391">
              <w:rPr>
                <w:rStyle w:val="Hyperlink"/>
                <w:noProof/>
                <w:rtl/>
                <w:lang w:bidi="fa-IR"/>
              </w:rPr>
              <w:t xml:space="preserve"> </w:t>
            </w:r>
            <w:r w:rsidR="001B7674" w:rsidRPr="00515391">
              <w:rPr>
                <w:rStyle w:val="Hyperlink"/>
                <w:rFonts w:hint="eastAsia"/>
                <w:noProof/>
                <w:rtl/>
                <w:lang w:bidi="fa-IR"/>
              </w:rPr>
              <w:t>كَسَبِيلِ</w:t>
            </w:r>
            <w:r w:rsidR="001B7674" w:rsidRPr="00515391">
              <w:rPr>
                <w:rStyle w:val="Hyperlink"/>
                <w:noProof/>
                <w:rtl/>
                <w:lang w:bidi="fa-IR"/>
              </w:rPr>
              <w:t xml:space="preserve"> </w:t>
            </w:r>
            <w:r w:rsidR="001B7674" w:rsidRPr="00515391">
              <w:rPr>
                <w:rStyle w:val="Hyperlink"/>
                <w:rFonts w:hint="eastAsia"/>
                <w:noProof/>
                <w:rtl/>
                <w:lang w:bidi="fa-IR"/>
              </w:rPr>
              <w:t>مَالِهِ</w:t>
            </w:r>
            <w:r w:rsidR="001B7674" w:rsidRPr="00515391">
              <w:rPr>
                <w:rStyle w:val="Hyperlink"/>
                <w:noProof/>
                <w:rtl/>
                <w:lang w:bidi="fa-IR"/>
              </w:rPr>
              <w:t xml:space="preserve"> </w:t>
            </w:r>
            <w:r w:rsidR="001B7674" w:rsidRPr="00515391">
              <w:rPr>
                <w:rStyle w:val="Hyperlink"/>
                <w:rFonts w:hint="eastAsia"/>
                <w:noProof/>
                <w:rtl/>
                <w:lang w:bidi="fa-IR"/>
              </w:rPr>
              <w:t>يَفْعَلُ</w:t>
            </w:r>
            <w:r w:rsidR="001B7674" w:rsidRPr="00515391">
              <w:rPr>
                <w:rStyle w:val="Hyperlink"/>
                <w:noProof/>
                <w:rtl/>
                <w:lang w:bidi="fa-IR"/>
              </w:rPr>
              <w:t xml:space="preserve"> </w:t>
            </w:r>
            <w:r w:rsidR="001B7674" w:rsidRPr="00515391">
              <w:rPr>
                <w:rStyle w:val="Hyperlink"/>
                <w:rFonts w:hint="eastAsia"/>
                <w:noProof/>
                <w:rtl/>
                <w:lang w:bidi="fa-IR"/>
              </w:rPr>
              <w:t>بِهَا</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يَشَاءُ</w:t>
            </w:r>
            <w:r w:rsidR="001B7674" w:rsidRPr="00515391">
              <w:rPr>
                <w:rStyle w:val="Hyperlink"/>
                <w:noProof/>
                <w:rtl/>
                <w:lang w:bidi="fa-IR"/>
              </w:rPr>
              <w:t xml:space="preserve"> </w:t>
            </w:r>
            <w:r w:rsidR="001B7674" w:rsidRPr="00515391">
              <w:rPr>
                <w:rStyle w:val="Hyperlink"/>
                <w:noProof/>
                <w:vertAlign w:val="superscript"/>
                <w:rtl/>
              </w:rPr>
              <w:t>(9)</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180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8" w:history="1">
            <w:r w:rsidR="001B7674" w:rsidRPr="00515391">
              <w:rPr>
                <w:rStyle w:val="Hyperlink"/>
                <w:noProof/>
                <w:rtl/>
                <w:lang w:bidi="fa-IR"/>
              </w:rPr>
              <w:t xml:space="preserve">38 -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يَحُجُّ</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يُعْتِقُ‌</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183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79" w:history="1">
            <w:r w:rsidR="001B7674" w:rsidRPr="00515391">
              <w:rPr>
                <w:rStyle w:val="Hyperlink"/>
                <w:noProof/>
                <w:rtl/>
                <w:lang w:bidi="fa-IR"/>
              </w:rPr>
              <w:t xml:space="preserve">39 -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الْقَرْضِ</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حِمَى</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44599879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187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0" w:history="1">
            <w:r w:rsidR="001B7674" w:rsidRPr="00515391">
              <w:rPr>
                <w:rStyle w:val="Hyperlink"/>
                <w:noProof/>
                <w:rtl/>
                <w:lang w:bidi="fa-IR"/>
              </w:rPr>
              <w:t xml:space="preserve">40 -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قِصَاصِ</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بِالدَّيْنِ‌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189</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1" w:history="1">
            <w:r w:rsidR="001B7674" w:rsidRPr="00515391">
              <w:rPr>
                <w:rStyle w:val="Hyperlink"/>
                <w:noProof/>
                <w:rtl/>
                <w:lang w:bidi="fa-IR"/>
              </w:rPr>
              <w:t xml:space="preserve">41 -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فَرَّ</w:t>
            </w:r>
            <w:r w:rsidR="001B7674" w:rsidRPr="00515391">
              <w:rPr>
                <w:rStyle w:val="Hyperlink"/>
                <w:noProof/>
                <w:rtl/>
                <w:lang w:bidi="fa-IR"/>
              </w:rPr>
              <w:t xml:space="preserve"> </w:t>
            </w:r>
            <w:r w:rsidR="001B7674" w:rsidRPr="00515391">
              <w:rPr>
                <w:rStyle w:val="Hyperlink"/>
                <w:rFonts w:hint="eastAsia"/>
                <w:noProof/>
                <w:rtl/>
                <w:lang w:bidi="fa-IR"/>
              </w:rPr>
              <w:t>بِمَالِهِ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190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2" w:history="1">
            <w:r w:rsidR="001B7674" w:rsidRPr="00515391">
              <w:rPr>
                <w:rStyle w:val="Hyperlink"/>
                <w:noProof/>
                <w:rtl/>
                <w:lang w:bidi="fa-IR"/>
              </w:rPr>
              <w:t xml:space="preserve">42 -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يُعْطِي</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زَكَاتِهِ</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الْعِوَضَ‌</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191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3" w:history="1">
            <w:r w:rsidR="001B7674" w:rsidRPr="00515391">
              <w:rPr>
                <w:rStyle w:val="Hyperlink"/>
                <w:noProof/>
                <w:rtl/>
                <w:lang w:bidi="fa-IR"/>
              </w:rPr>
              <w:t xml:space="preserve">43 -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يَحِلُّ</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يَأْخُذَ</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وَمَنْ</w:t>
            </w:r>
            <w:r w:rsidR="001B7674" w:rsidRPr="00515391">
              <w:rPr>
                <w:rStyle w:val="Hyperlink"/>
                <w:noProof/>
                <w:rtl/>
                <w:lang w:bidi="fa-IR"/>
              </w:rPr>
              <w:t xml:space="preserve"> </w:t>
            </w:r>
            <w:r w:rsidR="001B7674" w:rsidRPr="00515391">
              <w:rPr>
                <w:rStyle w:val="Hyperlink"/>
                <w:rFonts w:hint="eastAsia"/>
                <w:noProof/>
                <w:rtl/>
                <w:lang w:bidi="fa-IR"/>
              </w:rPr>
              <w:t>لَايَحِلُّ</w:t>
            </w:r>
            <w:r w:rsidR="001B7674" w:rsidRPr="00515391">
              <w:rPr>
                <w:rStyle w:val="Hyperlink"/>
                <w:noProof/>
                <w:rtl/>
                <w:lang w:bidi="fa-IR"/>
              </w:rPr>
              <w:t xml:space="preserve"> </w:t>
            </w:r>
            <w:r w:rsidR="001B7674" w:rsidRPr="00515391">
              <w:rPr>
                <w:rStyle w:val="Hyperlink"/>
                <w:noProof/>
                <w:vertAlign w:val="superscript"/>
                <w:rtl/>
              </w:rPr>
              <w:t>(8)</w:t>
            </w:r>
            <w:r w:rsidR="001B7674" w:rsidRPr="00515391">
              <w:rPr>
                <w:rStyle w:val="Hyperlink"/>
                <w:noProof/>
                <w:rtl/>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وَمَنْ</w:t>
            </w:r>
            <w:r w:rsidR="001B7674" w:rsidRPr="00515391">
              <w:rPr>
                <w:rStyle w:val="Hyperlink"/>
                <w:noProof/>
                <w:rtl/>
                <w:lang w:bidi="fa-IR"/>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sidRPr="00515391">
              <w:rPr>
                <w:rStyle w:val="Hyperlink"/>
                <w:noProof/>
                <w:rtl/>
                <w:lang w:bidi="fa-IR"/>
              </w:rPr>
              <w:t xml:space="preserve"> </w:t>
            </w:r>
            <w:r w:rsidR="001B7674" w:rsidRPr="00515391">
              <w:rPr>
                <w:rStyle w:val="Hyperlink"/>
                <w:rFonts w:hint="eastAsia"/>
                <w:noProof/>
                <w:rtl/>
                <w:lang w:bidi="fa-IR"/>
              </w:rPr>
              <w:t>الْقَلِيلُ‌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192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4" w:history="1">
            <w:r w:rsidR="001B7674" w:rsidRPr="00515391">
              <w:rPr>
                <w:rStyle w:val="Hyperlink"/>
                <w:noProof/>
                <w:rtl/>
                <w:lang w:bidi="fa-IR"/>
              </w:rPr>
              <w:t xml:space="preserve">44 -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تَحِلُّ</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الزَّكَاةُ</w:t>
            </w:r>
            <w:r w:rsidR="001B7674" w:rsidRPr="00515391">
              <w:rPr>
                <w:rStyle w:val="Hyperlink"/>
                <w:noProof/>
                <w:rtl/>
                <w:lang w:bidi="fa-IR"/>
              </w:rPr>
              <w:t xml:space="preserve"> </w:t>
            </w:r>
            <w:r w:rsidR="001B7674" w:rsidRPr="00515391">
              <w:rPr>
                <w:rStyle w:val="Hyperlink"/>
                <w:rFonts w:hint="eastAsia"/>
                <w:noProof/>
                <w:rtl/>
                <w:lang w:bidi="fa-IR"/>
              </w:rPr>
              <w:t>فَيَمْتَنِعُ</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أَخْذِهَا‌</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203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5" w:history="1">
            <w:r w:rsidR="001B7674" w:rsidRPr="00515391">
              <w:rPr>
                <w:rStyle w:val="Hyperlink"/>
                <w:noProof/>
                <w:rtl/>
                <w:lang w:bidi="fa-IR"/>
              </w:rPr>
              <w:t xml:space="preserve">45 -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الْحَصَادِ</w:t>
            </w:r>
            <w:r w:rsidR="001B7674" w:rsidRPr="00515391">
              <w:rPr>
                <w:rStyle w:val="Hyperlink"/>
                <w:noProof/>
                <w:rtl/>
                <w:lang w:bidi="fa-IR"/>
              </w:rPr>
              <w:t xml:space="preserve"> </w:t>
            </w:r>
            <w:r w:rsidR="001B7674" w:rsidRPr="00515391">
              <w:rPr>
                <w:rStyle w:val="Hyperlink"/>
                <w:noProof/>
                <w:vertAlign w:val="superscript"/>
                <w:rtl/>
              </w:rPr>
              <w:t>(11)</w:t>
            </w:r>
            <w:r w:rsidR="001B7674" w:rsidRPr="00515391">
              <w:rPr>
                <w:rStyle w:val="Hyperlink"/>
                <w:noProof/>
                <w:rtl/>
              </w:rPr>
              <w:t xml:space="preserve"> </w:t>
            </w:r>
            <w:r w:rsidR="001B7674" w:rsidRPr="00515391">
              <w:rPr>
                <w:rStyle w:val="Hyperlink"/>
                <w:rFonts w:hint="eastAsia"/>
                <w:noProof/>
                <w:rtl/>
                <w:lang w:bidi="fa-IR"/>
              </w:rPr>
              <w:t>وَالْجَدَادِ</w:t>
            </w:r>
            <w:r w:rsidR="001B7674" w:rsidRPr="00515391">
              <w:rPr>
                <w:rStyle w:val="Hyperlink"/>
                <w:noProof/>
                <w:rtl/>
                <w:lang w:bidi="fa-IR"/>
              </w:rPr>
              <w:t xml:space="preserve"> </w:t>
            </w:r>
            <w:r w:rsidR="001B7674" w:rsidRPr="00515391">
              <w:rPr>
                <w:rStyle w:val="Hyperlink"/>
                <w:noProof/>
                <w:vertAlign w:val="superscript"/>
                <w:rtl/>
              </w:rPr>
              <w:t>(12)</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205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6" w:history="1">
            <w:r w:rsidR="001B7674" w:rsidRPr="00515391">
              <w:rPr>
                <w:rStyle w:val="Hyperlink"/>
                <w:noProof/>
                <w:rtl/>
                <w:lang w:bidi="fa-IR"/>
              </w:rPr>
              <w:t xml:space="preserve">46 -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الْجِزْيَةِ‌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211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87" w:history="1">
            <w:r w:rsidR="001B7674" w:rsidRPr="00515391">
              <w:rPr>
                <w:rStyle w:val="Hyperlink"/>
                <w:noProof/>
                <w:rtl/>
                <w:lang w:bidi="fa-IR"/>
              </w:rPr>
              <w:t xml:space="preserve">47 -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نَادِرٌ‌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218</w:t>
            </w:r>
            <w:r w:rsidR="001B7674">
              <w:rPr>
                <w:noProof/>
                <w:webHidden/>
                <w:rtl/>
              </w:rPr>
              <w:fldChar w:fldCharType="end"/>
            </w:r>
          </w:hyperlink>
        </w:p>
        <w:p w:rsidR="001B7674" w:rsidRDefault="008404F5" w:rsidP="003A113B">
          <w:pPr>
            <w:pStyle w:val="TOC1"/>
            <w:rPr>
              <w:rFonts w:asciiTheme="minorHAnsi" w:eastAsiaTheme="minorEastAsia" w:hAnsiTheme="minorHAnsi" w:cstheme="minorBidi"/>
              <w:noProof/>
              <w:color w:val="auto"/>
              <w:sz w:val="22"/>
              <w:szCs w:val="22"/>
              <w:rtl/>
            </w:rPr>
          </w:pPr>
          <w:hyperlink w:anchor="_Toc44599888" w:history="1">
            <w:r w:rsidR="001B7674" w:rsidRPr="00515391">
              <w:rPr>
                <w:rStyle w:val="Hyperlink"/>
                <w:rFonts w:hint="eastAsia"/>
                <w:noProof/>
                <w:rtl/>
                <w:lang w:bidi="fa-IR"/>
              </w:rPr>
              <w:t>أَبْوَابُ</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lang w:bidi="fa-IR"/>
              </w:rPr>
              <w:t xml:space="preserve"> </w:t>
            </w:r>
          </w:hyperlink>
          <w:r w:rsidR="003A113B">
            <w:rPr>
              <w:rStyle w:val="Hyperlink"/>
              <w:rFonts w:hint="cs"/>
              <w:noProof/>
              <w:rtl/>
            </w:rPr>
            <w:t xml:space="preserve"> </w:t>
          </w:r>
          <w:hyperlink w:anchor="_Toc44599889" w:history="1">
            <w:r w:rsidR="001B7674" w:rsidRPr="00515391">
              <w:rPr>
                <w:rStyle w:val="Hyperlink"/>
                <w:noProof/>
                <w:rtl/>
                <w:lang w:bidi="fa-IR"/>
              </w:rPr>
              <w:t xml:space="preserve">48 -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44599889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221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0" w:history="1">
            <w:r w:rsidR="001B7674" w:rsidRPr="00515391">
              <w:rPr>
                <w:rStyle w:val="Hyperlink"/>
                <w:noProof/>
                <w:rtl/>
                <w:lang w:bidi="fa-IR"/>
              </w:rPr>
              <w:t xml:space="preserve">49 -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تَدْفَعُ</w:t>
            </w:r>
            <w:r w:rsidR="001B7674" w:rsidRPr="00515391">
              <w:rPr>
                <w:rStyle w:val="Hyperlink"/>
                <w:noProof/>
                <w:rtl/>
                <w:lang w:bidi="fa-IR"/>
              </w:rPr>
              <w:t xml:space="preserve"> </w:t>
            </w:r>
            <w:r w:rsidR="001B7674" w:rsidRPr="00515391">
              <w:rPr>
                <w:rStyle w:val="Hyperlink"/>
                <w:rFonts w:hint="eastAsia"/>
                <w:noProof/>
                <w:rtl/>
                <w:lang w:bidi="fa-IR"/>
              </w:rPr>
              <w:t>الْبَلَاءَ‌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230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1" w:history="1">
            <w:r w:rsidR="001B7674" w:rsidRPr="00515391">
              <w:rPr>
                <w:rStyle w:val="Hyperlink"/>
                <w:noProof/>
                <w:rtl/>
                <w:lang w:bidi="fa-IR"/>
              </w:rPr>
              <w:t xml:space="preserve">50 -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السِّرِّ</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237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2" w:history="1">
            <w:r w:rsidR="001B7674" w:rsidRPr="00515391">
              <w:rPr>
                <w:rStyle w:val="Hyperlink"/>
                <w:noProof/>
                <w:rtl/>
                <w:lang w:bidi="fa-IR"/>
              </w:rPr>
              <w:t xml:space="preserve">51 -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صَدَقَةِ</w:t>
            </w:r>
            <w:r w:rsidR="001B7674" w:rsidRPr="00515391">
              <w:rPr>
                <w:rStyle w:val="Hyperlink"/>
                <w:noProof/>
                <w:rtl/>
                <w:lang w:bidi="fa-IR"/>
              </w:rPr>
              <w:t xml:space="preserve"> </w:t>
            </w:r>
            <w:r w:rsidR="001B7674" w:rsidRPr="00515391">
              <w:rPr>
                <w:rStyle w:val="Hyperlink"/>
                <w:rFonts w:hint="eastAsia"/>
                <w:noProof/>
                <w:rtl/>
                <w:lang w:bidi="fa-IR"/>
              </w:rPr>
              <w:t>اللَّيْلِ</w:t>
            </w:r>
            <w:r w:rsidR="001B7674" w:rsidRPr="00515391">
              <w:rPr>
                <w:rStyle w:val="Hyperlink"/>
                <w:noProof/>
                <w:rtl/>
                <w:lang w:bidi="fa-IR"/>
              </w:rPr>
              <w:t xml:space="preserve"> </w:t>
            </w:r>
            <w:r w:rsidR="001B7674" w:rsidRPr="00515391">
              <w:rPr>
                <w:rStyle w:val="Hyperlink"/>
                <w:noProof/>
                <w:vertAlign w:val="superscript"/>
                <w:rtl/>
              </w:rPr>
              <w:t>(11)</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238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3" w:history="1">
            <w:r w:rsidR="001B7674" w:rsidRPr="00515391">
              <w:rPr>
                <w:rStyle w:val="Hyperlink"/>
                <w:noProof/>
                <w:rtl/>
                <w:lang w:bidi="fa-IR"/>
              </w:rPr>
              <w:t xml:space="preserve">52 -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تَزِيدُ</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الْمَالِ‌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241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4" w:history="1">
            <w:r w:rsidR="001B7674" w:rsidRPr="00515391">
              <w:rPr>
                <w:rStyle w:val="Hyperlink"/>
                <w:noProof/>
                <w:rtl/>
                <w:lang w:bidi="fa-IR"/>
              </w:rPr>
              <w:t xml:space="preserve">53 -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الْقَرَابَةِ</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245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5" w:history="1">
            <w:r w:rsidR="001B7674" w:rsidRPr="00515391">
              <w:rPr>
                <w:rStyle w:val="Hyperlink"/>
                <w:noProof/>
                <w:rtl/>
                <w:lang w:bidi="fa-IR"/>
              </w:rPr>
              <w:t xml:space="preserve">54 -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كِفَايَةِ</w:t>
            </w:r>
            <w:r w:rsidR="001B7674" w:rsidRPr="00515391">
              <w:rPr>
                <w:rStyle w:val="Hyperlink"/>
                <w:noProof/>
                <w:rtl/>
                <w:lang w:bidi="fa-IR"/>
              </w:rPr>
              <w:t xml:space="preserve"> </w:t>
            </w:r>
            <w:r w:rsidR="001B7674" w:rsidRPr="00515391">
              <w:rPr>
                <w:rStyle w:val="Hyperlink"/>
                <w:rFonts w:hint="eastAsia"/>
                <w:noProof/>
                <w:rtl/>
                <w:lang w:bidi="fa-IR"/>
              </w:rPr>
              <w:t>الْعِيَالِ</w:t>
            </w:r>
            <w:r w:rsidR="001B7674" w:rsidRPr="00515391">
              <w:rPr>
                <w:rStyle w:val="Hyperlink"/>
                <w:noProof/>
                <w:rtl/>
                <w:lang w:bidi="fa-IR"/>
              </w:rPr>
              <w:t xml:space="preserve"> </w:t>
            </w:r>
            <w:r w:rsidR="001B7674" w:rsidRPr="00515391">
              <w:rPr>
                <w:rStyle w:val="Hyperlink"/>
                <w:rFonts w:hint="eastAsia"/>
                <w:noProof/>
                <w:rtl/>
                <w:lang w:bidi="fa-IR"/>
              </w:rPr>
              <w:t>وَالتَّوَسُّعِ</w:t>
            </w:r>
            <w:r w:rsidR="001B7674" w:rsidRPr="00515391">
              <w:rPr>
                <w:rStyle w:val="Hyperlink"/>
                <w:noProof/>
                <w:rtl/>
                <w:lang w:bidi="fa-IR"/>
              </w:rPr>
              <w:t xml:space="preserve"> </w:t>
            </w:r>
            <w:r w:rsidR="001B7674" w:rsidRPr="00515391">
              <w:rPr>
                <w:rStyle w:val="Hyperlink"/>
                <w:rFonts w:hint="eastAsia"/>
                <w:noProof/>
                <w:rtl/>
                <w:lang w:bidi="fa-IR"/>
              </w:rPr>
              <w:t>عَلَيْهِمْ‌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246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6" w:history="1">
            <w:r w:rsidR="001B7674" w:rsidRPr="00515391">
              <w:rPr>
                <w:rStyle w:val="Hyperlink"/>
                <w:noProof/>
                <w:rtl/>
                <w:lang w:bidi="fa-IR"/>
              </w:rPr>
              <w:t xml:space="preserve">55 -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يَلْزَمُ</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نَفَقَتُهُ‌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253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7" w:history="1">
            <w:r w:rsidR="001B7674" w:rsidRPr="00515391">
              <w:rPr>
                <w:rStyle w:val="Hyperlink"/>
                <w:noProof/>
                <w:rtl/>
                <w:lang w:bidi="fa-IR"/>
              </w:rPr>
              <w:t xml:space="preserve">56 -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لَاتَعْرِفُهُ</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254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8" w:history="1">
            <w:r w:rsidR="001B7674" w:rsidRPr="00515391">
              <w:rPr>
                <w:rStyle w:val="Hyperlink"/>
                <w:noProof/>
                <w:rtl/>
                <w:lang w:bidi="fa-IR"/>
              </w:rPr>
              <w:t xml:space="preserve">57 -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الْبَوَادِي</w:t>
            </w:r>
            <w:r w:rsidR="001B7674" w:rsidRPr="00515391">
              <w:rPr>
                <w:rStyle w:val="Hyperlink"/>
                <w:noProof/>
                <w:rtl/>
                <w:lang w:bidi="fa-IR"/>
              </w:rPr>
              <w:t xml:space="preserve"> </w:t>
            </w:r>
            <w:r w:rsidR="001B7674" w:rsidRPr="00515391">
              <w:rPr>
                <w:rStyle w:val="Hyperlink"/>
                <w:rFonts w:hint="eastAsia"/>
                <w:noProof/>
                <w:rtl/>
                <w:lang w:bidi="fa-IR"/>
              </w:rPr>
              <w:t>وَأَهْلِ</w:t>
            </w:r>
            <w:r w:rsidR="001B7674" w:rsidRPr="00515391">
              <w:rPr>
                <w:rStyle w:val="Hyperlink"/>
                <w:noProof/>
                <w:rtl/>
                <w:lang w:bidi="fa-IR"/>
              </w:rPr>
              <w:t xml:space="preserve"> </w:t>
            </w:r>
            <w:r w:rsidR="001B7674" w:rsidRPr="00515391">
              <w:rPr>
                <w:rStyle w:val="Hyperlink"/>
                <w:noProof/>
                <w:vertAlign w:val="superscript"/>
                <w:rtl/>
              </w:rPr>
              <w:t>(11)</w:t>
            </w:r>
            <w:r w:rsidR="001B7674" w:rsidRPr="00515391">
              <w:rPr>
                <w:rStyle w:val="Hyperlink"/>
                <w:noProof/>
                <w:rtl/>
              </w:rPr>
              <w:t xml:space="preserve"> </w:t>
            </w:r>
            <w:r w:rsidR="001B7674" w:rsidRPr="00515391">
              <w:rPr>
                <w:rStyle w:val="Hyperlink"/>
                <w:rFonts w:hint="eastAsia"/>
                <w:noProof/>
                <w:rtl/>
                <w:lang w:bidi="fa-IR"/>
              </w:rPr>
              <w:t>السَّوَادِ‌</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255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899" w:history="1">
            <w:r w:rsidR="001B7674" w:rsidRPr="00515391">
              <w:rPr>
                <w:rStyle w:val="Hyperlink"/>
                <w:noProof/>
                <w:rtl/>
                <w:lang w:bidi="fa-IR"/>
              </w:rPr>
              <w:t xml:space="preserve">58 -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noProof/>
                <w:vertAlign w:val="superscript"/>
                <w:rtl/>
              </w:rPr>
              <w:t>(12)</w:t>
            </w:r>
            <w:r w:rsidR="001B7674" w:rsidRPr="00515391">
              <w:rPr>
                <w:rStyle w:val="Hyperlink"/>
                <w:noProof/>
                <w:rtl/>
              </w:rPr>
              <w:t xml:space="preserve"> </w:t>
            </w:r>
            <w:r w:rsidR="001B7674" w:rsidRPr="00515391">
              <w:rPr>
                <w:rStyle w:val="Hyperlink"/>
                <w:rFonts w:hint="eastAsia"/>
                <w:noProof/>
                <w:rtl/>
                <w:lang w:bidi="fa-IR"/>
              </w:rPr>
              <w:t>رَدِّ</w:t>
            </w:r>
            <w:r w:rsidR="001B7674" w:rsidRPr="00515391">
              <w:rPr>
                <w:rStyle w:val="Hyperlink"/>
                <w:noProof/>
                <w:rtl/>
                <w:lang w:bidi="fa-IR"/>
              </w:rPr>
              <w:t xml:space="preserve"> </w:t>
            </w:r>
            <w:r w:rsidR="001B7674" w:rsidRPr="00515391">
              <w:rPr>
                <w:rStyle w:val="Hyperlink"/>
                <w:rFonts w:hint="eastAsia"/>
                <w:noProof/>
                <w:rtl/>
                <w:lang w:bidi="fa-IR"/>
              </w:rPr>
              <w:t>السَّائِلِ‌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44599899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257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0" w:history="1">
            <w:r w:rsidR="001B7674" w:rsidRPr="00515391">
              <w:rPr>
                <w:rStyle w:val="Hyperlink"/>
                <w:noProof/>
                <w:rtl/>
                <w:lang w:bidi="fa-IR"/>
              </w:rPr>
              <w:t xml:space="preserve">59 -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قَدْرِ</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يُعْطَى</w:t>
            </w:r>
            <w:r w:rsidR="001B7674" w:rsidRPr="00515391">
              <w:rPr>
                <w:rStyle w:val="Hyperlink"/>
                <w:noProof/>
                <w:rtl/>
                <w:lang w:bidi="fa-IR"/>
              </w:rPr>
              <w:t xml:space="preserve"> </w:t>
            </w:r>
            <w:r w:rsidR="001B7674" w:rsidRPr="00515391">
              <w:rPr>
                <w:rStyle w:val="Hyperlink"/>
                <w:rFonts w:hint="eastAsia"/>
                <w:noProof/>
                <w:rtl/>
                <w:lang w:bidi="fa-IR"/>
              </w:rPr>
              <w:t>السَّائِلُ‌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1" w:history="1">
            <w:r w:rsidR="001B7674" w:rsidRPr="00515391">
              <w:rPr>
                <w:rStyle w:val="Hyperlink"/>
                <w:noProof/>
                <w:rtl/>
                <w:lang w:bidi="fa-IR"/>
              </w:rPr>
              <w:t xml:space="preserve">60 -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دُعَاءِ</w:t>
            </w:r>
            <w:r w:rsidR="001B7674" w:rsidRPr="00515391">
              <w:rPr>
                <w:rStyle w:val="Hyperlink"/>
                <w:noProof/>
                <w:rtl/>
                <w:lang w:bidi="fa-IR"/>
              </w:rPr>
              <w:t xml:space="preserve"> </w:t>
            </w:r>
            <w:r w:rsidR="001B7674" w:rsidRPr="00515391">
              <w:rPr>
                <w:rStyle w:val="Hyperlink"/>
                <w:rFonts w:hint="eastAsia"/>
                <w:noProof/>
                <w:rtl/>
                <w:lang w:bidi="fa-IR"/>
              </w:rPr>
              <w:t>السَّائِلِ‌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2" w:history="1">
            <w:r w:rsidR="001B7674" w:rsidRPr="00515391">
              <w:rPr>
                <w:rStyle w:val="Hyperlink"/>
                <w:noProof/>
                <w:rtl/>
                <w:lang w:bidi="fa-IR"/>
              </w:rPr>
              <w:t xml:space="preserve">61 -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الَّذِي</w:t>
            </w:r>
            <w:r w:rsidR="001B7674" w:rsidRPr="00515391">
              <w:rPr>
                <w:rStyle w:val="Hyperlink"/>
                <w:noProof/>
                <w:rtl/>
                <w:lang w:bidi="fa-IR"/>
              </w:rPr>
              <w:t xml:space="preserve"> </w:t>
            </w:r>
            <w:r w:rsidR="001B7674" w:rsidRPr="00515391">
              <w:rPr>
                <w:rStyle w:val="Hyperlink"/>
                <w:rFonts w:hint="eastAsia"/>
                <w:noProof/>
                <w:rtl/>
                <w:lang w:bidi="fa-IR"/>
              </w:rPr>
              <w:t>يَقْسِمُ</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شَرِيكُ</w:t>
            </w:r>
            <w:r w:rsidR="001B7674" w:rsidRPr="00515391">
              <w:rPr>
                <w:rStyle w:val="Hyperlink"/>
                <w:noProof/>
                <w:rtl/>
                <w:lang w:bidi="fa-IR"/>
              </w:rPr>
              <w:t xml:space="preserve"> </w:t>
            </w:r>
            <w:r w:rsidR="001B7674" w:rsidRPr="00515391">
              <w:rPr>
                <w:rStyle w:val="Hyperlink"/>
                <w:rFonts w:hint="eastAsia"/>
                <w:noProof/>
                <w:rtl/>
                <w:lang w:bidi="fa-IR"/>
              </w:rPr>
              <w:t>صَاحِبِهِا</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الْأَجْرِ‌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3" w:history="1">
            <w:r w:rsidR="001B7674" w:rsidRPr="00515391">
              <w:rPr>
                <w:rStyle w:val="Hyperlink"/>
                <w:noProof/>
                <w:rtl/>
                <w:lang w:bidi="fa-IR"/>
              </w:rPr>
              <w:t xml:space="preserve">62 -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الْإِيثَارِ‌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4" w:history="1">
            <w:r w:rsidR="001B7674" w:rsidRPr="00515391">
              <w:rPr>
                <w:rStyle w:val="Hyperlink"/>
                <w:noProof/>
                <w:rtl/>
                <w:lang w:bidi="fa-IR"/>
              </w:rPr>
              <w:t xml:space="preserve">63 -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سَأَلَ</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غَيْرِ</w:t>
            </w:r>
            <w:r w:rsidR="001B7674" w:rsidRPr="00515391">
              <w:rPr>
                <w:rStyle w:val="Hyperlink"/>
                <w:noProof/>
                <w:rtl/>
                <w:lang w:bidi="fa-IR"/>
              </w:rPr>
              <w:t xml:space="preserve"> </w:t>
            </w:r>
            <w:r w:rsidR="001B7674" w:rsidRPr="00515391">
              <w:rPr>
                <w:rStyle w:val="Hyperlink"/>
                <w:rFonts w:hint="eastAsia"/>
                <w:noProof/>
                <w:rtl/>
                <w:lang w:bidi="fa-IR"/>
              </w:rPr>
              <w:t>حَاجَةٍ‌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5" w:history="1">
            <w:r w:rsidR="001B7674" w:rsidRPr="00515391">
              <w:rPr>
                <w:rStyle w:val="Hyperlink"/>
                <w:noProof/>
                <w:rtl/>
                <w:lang w:bidi="fa-IR"/>
              </w:rPr>
              <w:t xml:space="preserve">64 -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rFonts w:hint="eastAsia"/>
                <w:noProof/>
                <w:rtl/>
                <w:lang w:bidi="fa-IR"/>
              </w:rPr>
              <w:t>الْمَسْأَلَةِ‌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268</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6" w:history="1">
            <w:r w:rsidR="001B7674" w:rsidRPr="00515391">
              <w:rPr>
                <w:rStyle w:val="Hyperlink"/>
                <w:noProof/>
                <w:rtl/>
                <w:lang w:bidi="fa-IR"/>
              </w:rPr>
              <w:t xml:space="preserve">65 -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الْمَنِّ</w:t>
            </w:r>
            <w:r w:rsidR="001B7674" w:rsidRPr="00515391">
              <w:rPr>
                <w:rStyle w:val="Hyperlink"/>
                <w:noProof/>
                <w:rtl/>
                <w:lang w:bidi="fa-IR"/>
              </w:rPr>
              <w:t xml:space="preserve"> </w:t>
            </w:r>
            <w:r w:rsidR="001B7674" w:rsidRPr="00515391">
              <w:rPr>
                <w:rStyle w:val="Hyperlink"/>
                <w:noProof/>
                <w:vertAlign w:val="superscript"/>
                <w:rtl/>
              </w:rPr>
              <w:t>(12)</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273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7" w:history="1">
            <w:r w:rsidR="001B7674" w:rsidRPr="00515391">
              <w:rPr>
                <w:rStyle w:val="Hyperlink"/>
                <w:noProof/>
                <w:rtl/>
                <w:lang w:bidi="fa-IR"/>
              </w:rPr>
              <w:t xml:space="preserve">66 -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أَعْطى</w:t>
            </w:r>
            <w:r w:rsidR="001B7674" w:rsidRPr="00515391">
              <w:rPr>
                <w:rStyle w:val="Hyperlink"/>
                <w:noProof/>
                <w:rtl/>
                <w:lang w:bidi="fa-IR"/>
              </w:rPr>
              <w:t xml:space="preserve"> </w:t>
            </w:r>
            <w:r w:rsidR="001B7674" w:rsidRPr="00515391">
              <w:rPr>
                <w:rStyle w:val="Hyperlink"/>
                <w:rFonts w:hint="eastAsia"/>
                <w:noProof/>
                <w:rtl/>
                <w:lang w:bidi="fa-IR"/>
              </w:rPr>
              <w:t>بَعْدَ</w:t>
            </w:r>
            <w:r w:rsidR="001B7674" w:rsidRPr="00515391">
              <w:rPr>
                <w:rStyle w:val="Hyperlink"/>
                <w:noProof/>
                <w:rtl/>
                <w:lang w:bidi="fa-IR"/>
              </w:rPr>
              <w:t xml:space="preserve"> </w:t>
            </w:r>
            <w:r w:rsidR="001B7674" w:rsidRPr="00515391">
              <w:rPr>
                <w:rStyle w:val="Hyperlink"/>
                <w:rFonts w:hint="eastAsia"/>
                <w:noProof/>
                <w:rtl/>
                <w:lang w:bidi="fa-IR"/>
              </w:rPr>
              <w:t>الْمَسْأَلَةِ‌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275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8" w:history="1">
            <w:r w:rsidR="001B7674" w:rsidRPr="00515391">
              <w:rPr>
                <w:rStyle w:val="Hyperlink"/>
                <w:noProof/>
                <w:rtl/>
                <w:lang w:bidi="fa-IR"/>
              </w:rPr>
              <w:t xml:space="preserve">67 -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(8)</w:t>
            </w:r>
            <w:r w:rsidR="001B7674" w:rsidRPr="00515391">
              <w:rPr>
                <w:rStyle w:val="Hyperlink"/>
                <w:noProof/>
                <w:rtl/>
              </w:rPr>
              <w:t xml:space="preserve"> </w:t>
            </w:r>
            <w:r w:rsidR="001B7674" w:rsidRPr="00515391">
              <w:rPr>
                <w:rStyle w:val="Hyperlink"/>
                <w:rFonts w:hint="eastAsia"/>
                <w:noProof/>
                <w:rtl/>
                <w:lang w:bidi="fa-IR"/>
              </w:rPr>
              <w:t>الْمَعْرُوفِ‌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283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09" w:history="1">
            <w:r w:rsidR="001B7674" w:rsidRPr="00515391">
              <w:rPr>
                <w:rStyle w:val="Hyperlink"/>
                <w:noProof/>
                <w:rtl/>
                <w:lang w:bidi="fa-IR"/>
              </w:rPr>
              <w:t xml:space="preserve">68 -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44599909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285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0" w:history="1">
            <w:r w:rsidR="001B7674" w:rsidRPr="00515391">
              <w:rPr>
                <w:rStyle w:val="Hyperlink"/>
                <w:noProof/>
                <w:rtl/>
                <w:lang w:bidi="fa-IR"/>
              </w:rPr>
              <w:t xml:space="preserve">69 -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مِنْهُ‌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292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1" w:history="1">
            <w:r w:rsidR="001B7674" w:rsidRPr="00515391">
              <w:rPr>
                <w:rStyle w:val="Hyperlink"/>
                <w:noProof/>
                <w:rtl/>
                <w:lang w:bidi="fa-IR"/>
              </w:rPr>
              <w:t xml:space="preserve">70 -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صَنَائِعَ</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sidRPr="00515391">
              <w:rPr>
                <w:rStyle w:val="Hyperlink"/>
                <w:noProof/>
                <w:rtl/>
                <w:lang w:bidi="fa-IR"/>
              </w:rPr>
              <w:t xml:space="preserve"> </w:t>
            </w:r>
            <w:r w:rsidR="001B7674" w:rsidRPr="00515391">
              <w:rPr>
                <w:rStyle w:val="Hyperlink"/>
                <w:rFonts w:hint="eastAsia"/>
                <w:noProof/>
                <w:rtl/>
                <w:lang w:bidi="fa-IR"/>
              </w:rPr>
              <w:t>تَدْفَعُ</w:t>
            </w:r>
            <w:r w:rsidR="001B7674" w:rsidRPr="00515391">
              <w:rPr>
                <w:rStyle w:val="Hyperlink"/>
                <w:noProof/>
                <w:rtl/>
                <w:lang w:bidi="fa-IR"/>
              </w:rPr>
              <w:t xml:space="preserve"> </w:t>
            </w:r>
            <w:r w:rsidR="001B7674" w:rsidRPr="00515391">
              <w:rPr>
                <w:rStyle w:val="Hyperlink"/>
                <w:rFonts w:hint="eastAsia"/>
                <w:noProof/>
                <w:rtl/>
                <w:lang w:bidi="fa-IR"/>
              </w:rPr>
              <w:t>مَصَارِعَ</w:t>
            </w:r>
            <w:r w:rsidR="001B7674" w:rsidRPr="00515391">
              <w:rPr>
                <w:rStyle w:val="Hyperlink"/>
                <w:noProof/>
                <w:rtl/>
                <w:lang w:bidi="fa-IR"/>
              </w:rPr>
              <w:t xml:space="preserve"> </w:t>
            </w:r>
            <w:r w:rsidR="001B7674" w:rsidRPr="00515391">
              <w:rPr>
                <w:rStyle w:val="Hyperlink"/>
                <w:rFonts w:hint="eastAsia"/>
                <w:noProof/>
                <w:rtl/>
                <w:lang w:bidi="fa-IR"/>
              </w:rPr>
              <w:t>السُّوءِ‌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293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2" w:history="1">
            <w:r w:rsidR="001B7674" w:rsidRPr="00515391">
              <w:rPr>
                <w:rStyle w:val="Hyperlink"/>
                <w:noProof/>
                <w:rtl/>
                <w:lang w:bidi="fa-IR"/>
              </w:rPr>
              <w:t xml:space="preserve">71 -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الدُّنْيَا</w:t>
            </w:r>
            <w:r w:rsidR="001B7674" w:rsidRPr="00515391">
              <w:rPr>
                <w:rStyle w:val="Hyperlink"/>
                <w:noProof/>
                <w:rtl/>
                <w:lang w:bidi="fa-IR"/>
              </w:rPr>
              <w:t xml:space="preserve"> </w:t>
            </w:r>
            <w:r w:rsidR="001B7674" w:rsidRPr="00515391">
              <w:rPr>
                <w:rStyle w:val="Hyperlink"/>
                <w:rFonts w:hint="eastAsia"/>
                <w:noProof/>
                <w:rtl/>
                <w:lang w:bidi="fa-IR"/>
              </w:rPr>
              <w:t>هُمْ</w:t>
            </w:r>
            <w:r w:rsidR="001B7674" w:rsidRPr="00515391">
              <w:rPr>
                <w:rStyle w:val="Hyperlink"/>
                <w:noProof/>
                <w:rtl/>
                <w:lang w:bidi="fa-IR"/>
              </w:rPr>
              <w:t xml:space="preserve"> </w:t>
            </w:r>
            <w:r w:rsidR="001B7674" w:rsidRPr="00515391">
              <w:rPr>
                <w:rStyle w:val="Hyperlink"/>
                <w:rFonts w:hint="eastAsia"/>
                <w:noProof/>
                <w:rtl/>
                <w:lang w:bidi="fa-IR"/>
              </w:rPr>
              <w:t>أَهْلُ</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الْآخِرَةِ‌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297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3" w:history="1">
            <w:r w:rsidR="001B7674" w:rsidRPr="00515391">
              <w:rPr>
                <w:rStyle w:val="Hyperlink"/>
                <w:noProof/>
                <w:rtl/>
                <w:lang w:bidi="fa-IR"/>
              </w:rPr>
              <w:t xml:space="preserve">72 -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تَمَامِ</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300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4" w:history="1">
            <w:r w:rsidR="001B7674" w:rsidRPr="00515391">
              <w:rPr>
                <w:rStyle w:val="Hyperlink"/>
                <w:noProof/>
                <w:rtl/>
                <w:lang w:bidi="fa-IR"/>
              </w:rPr>
              <w:t xml:space="preserve">73 -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وَضْعِ</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sidRPr="00515391">
              <w:rPr>
                <w:rStyle w:val="Hyperlink"/>
                <w:noProof/>
                <w:rtl/>
                <w:lang w:bidi="fa-IR"/>
              </w:rPr>
              <w:t xml:space="preserve"> </w:t>
            </w:r>
            <w:r w:rsidR="001B7674" w:rsidRPr="00515391">
              <w:rPr>
                <w:rStyle w:val="Hyperlink"/>
                <w:rFonts w:hint="eastAsia"/>
                <w:noProof/>
                <w:rtl/>
                <w:lang w:bidi="fa-IR"/>
              </w:rPr>
              <w:t>مَوْضِعَهُ‌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302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5" w:history="1">
            <w:r w:rsidR="001B7674" w:rsidRPr="00515391">
              <w:rPr>
                <w:rStyle w:val="Hyperlink"/>
                <w:noProof/>
                <w:rtl/>
                <w:lang w:bidi="fa-IR"/>
              </w:rPr>
              <w:t xml:space="preserve">74 -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آدَابِ</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rPr>
              <w:t xml:space="preserve"> </w:t>
            </w:r>
            <w:r w:rsidR="001B7674" w:rsidRPr="00515391">
              <w:rPr>
                <w:rStyle w:val="Hyperlink"/>
                <w:rFonts w:hint="eastAsia"/>
                <w:noProof/>
                <w:rtl/>
                <w:lang w:bidi="fa-IR"/>
              </w:rPr>
              <w:t>الْمَعْرُوفِ‌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307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6" w:history="1">
            <w:r w:rsidR="001B7674" w:rsidRPr="00515391">
              <w:rPr>
                <w:rStyle w:val="Hyperlink"/>
                <w:noProof/>
                <w:rtl/>
                <w:lang w:bidi="fa-IR"/>
              </w:rPr>
              <w:t xml:space="preserve">75 -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كَفَرَ</w:t>
            </w:r>
            <w:r w:rsidR="001B7674" w:rsidRPr="00515391">
              <w:rPr>
                <w:rStyle w:val="Hyperlink"/>
                <w:noProof/>
                <w:rtl/>
                <w:lang w:bidi="fa-IR"/>
              </w:rPr>
              <w:t xml:space="preserve"> </w:t>
            </w:r>
            <w:r w:rsidR="001B7674" w:rsidRPr="00515391">
              <w:rPr>
                <w:rStyle w:val="Hyperlink"/>
                <w:rFonts w:hint="eastAsia"/>
                <w:noProof/>
                <w:rtl/>
                <w:lang w:bidi="fa-IR"/>
              </w:rPr>
              <w:t>الْمَعْرُوفَ‌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308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7" w:history="1">
            <w:r w:rsidR="001B7674" w:rsidRPr="00515391">
              <w:rPr>
                <w:rStyle w:val="Hyperlink"/>
                <w:noProof/>
                <w:rtl/>
                <w:lang w:bidi="fa-IR"/>
              </w:rPr>
              <w:t xml:space="preserve">76 -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الْقَرْضِ</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309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8" w:history="1">
            <w:r w:rsidR="001B7674" w:rsidRPr="00515391">
              <w:rPr>
                <w:rStyle w:val="Hyperlink"/>
                <w:noProof/>
                <w:rtl/>
                <w:lang w:bidi="fa-IR"/>
              </w:rPr>
              <w:t xml:space="preserve">77 -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إِنْظَارِ</w:t>
            </w:r>
            <w:r w:rsidR="001B7674" w:rsidRPr="00515391">
              <w:rPr>
                <w:rStyle w:val="Hyperlink"/>
                <w:noProof/>
                <w:rtl/>
                <w:lang w:bidi="fa-IR"/>
              </w:rPr>
              <w:t xml:space="preserve"> </w:t>
            </w:r>
            <w:r w:rsidR="001B7674" w:rsidRPr="00515391">
              <w:rPr>
                <w:rStyle w:val="Hyperlink"/>
                <w:rFonts w:hint="eastAsia"/>
                <w:noProof/>
                <w:rtl/>
                <w:lang w:bidi="fa-IR"/>
              </w:rPr>
              <w:t>الْمُعْسِرِ‌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312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19" w:history="1">
            <w:r w:rsidR="001B7674" w:rsidRPr="00515391">
              <w:rPr>
                <w:rStyle w:val="Hyperlink"/>
                <w:noProof/>
                <w:rtl/>
                <w:lang w:bidi="fa-IR"/>
              </w:rPr>
              <w:t xml:space="preserve">78 -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تَحْلِيلِ</w:t>
            </w:r>
            <w:r w:rsidR="001B7674" w:rsidRPr="00515391">
              <w:rPr>
                <w:rStyle w:val="Hyperlink"/>
                <w:noProof/>
                <w:rtl/>
                <w:lang w:bidi="fa-IR"/>
              </w:rPr>
              <w:t xml:space="preserve"> </w:t>
            </w:r>
            <w:r w:rsidR="001B7674" w:rsidRPr="00515391">
              <w:rPr>
                <w:rStyle w:val="Hyperlink"/>
                <w:rFonts w:hint="eastAsia"/>
                <w:noProof/>
                <w:rtl/>
                <w:lang w:bidi="fa-IR"/>
              </w:rPr>
              <w:t>الْمَيِّتِ‌</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44599919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316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0" w:history="1">
            <w:r w:rsidR="001B7674" w:rsidRPr="00515391">
              <w:rPr>
                <w:rStyle w:val="Hyperlink"/>
                <w:noProof/>
                <w:rtl/>
                <w:lang w:bidi="fa-IR"/>
              </w:rPr>
              <w:t xml:space="preserve">79 -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مَؤُونَةِ</w:t>
            </w:r>
            <w:r w:rsidR="001B7674" w:rsidRPr="00515391">
              <w:rPr>
                <w:rStyle w:val="Hyperlink"/>
                <w:noProof/>
                <w:rtl/>
                <w:lang w:bidi="fa-IR"/>
              </w:rPr>
              <w:t xml:space="preserve"> </w:t>
            </w:r>
            <w:r w:rsidR="001B7674" w:rsidRPr="00515391">
              <w:rPr>
                <w:rStyle w:val="Hyperlink"/>
                <w:rFonts w:hint="eastAsia"/>
                <w:noProof/>
                <w:rtl/>
                <w:lang w:bidi="fa-IR"/>
              </w:rPr>
              <w:t>النِّعَمِ‌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319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1" w:history="1">
            <w:r w:rsidR="001B7674" w:rsidRPr="00515391">
              <w:rPr>
                <w:rStyle w:val="Hyperlink"/>
                <w:noProof/>
                <w:rtl/>
                <w:lang w:bidi="fa-IR"/>
              </w:rPr>
              <w:t xml:space="preserve">80 -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حُسْنِ</w:t>
            </w:r>
            <w:r w:rsidR="001B7674" w:rsidRPr="00515391">
              <w:rPr>
                <w:rStyle w:val="Hyperlink"/>
                <w:noProof/>
                <w:rtl/>
                <w:lang w:bidi="fa-IR"/>
              </w:rPr>
              <w:t xml:space="preserve"> </w:t>
            </w:r>
            <w:r w:rsidR="001B7674" w:rsidRPr="00515391">
              <w:rPr>
                <w:rStyle w:val="Hyperlink"/>
                <w:rFonts w:hint="eastAsia"/>
                <w:noProof/>
                <w:rtl/>
                <w:lang w:bidi="fa-IR"/>
              </w:rPr>
              <w:t>جِوَارِ</w:t>
            </w:r>
            <w:r w:rsidR="001B7674" w:rsidRPr="00515391">
              <w:rPr>
                <w:rStyle w:val="Hyperlink"/>
                <w:noProof/>
                <w:rtl/>
                <w:lang w:bidi="fa-IR"/>
              </w:rPr>
              <w:t xml:space="preserve"> </w:t>
            </w:r>
            <w:r w:rsidR="001B7674" w:rsidRPr="00515391">
              <w:rPr>
                <w:rStyle w:val="Hyperlink"/>
                <w:rFonts w:hint="eastAsia"/>
                <w:noProof/>
                <w:rtl/>
                <w:lang w:bidi="fa-IR"/>
              </w:rPr>
              <w:t>النِّعَمِ</w:t>
            </w:r>
            <w:r w:rsidR="001B7674" w:rsidRPr="00515391">
              <w:rPr>
                <w:rStyle w:val="Hyperlink"/>
                <w:noProof/>
                <w:rtl/>
                <w:lang w:bidi="fa-IR"/>
              </w:rPr>
              <w:t xml:space="preserve"> </w:t>
            </w:r>
            <w:r w:rsidR="001B7674" w:rsidRPr="00515391">
              <w:rPr>
                <w:rStyle w:val="Hyperlink"/>
                <w:noProof/>
                <w:vertAlign w:val="superscript"/>
                <w:rtl/>
              </w:rPr>
              <w:t>(10)</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320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2" w:history="1">
            <w:r w:rsidR="001B7674" w:rsidRPr="00515391">
              <w:rPr>
                <w:rStyle w:val="Hyperlink"/>
                <w:noProof/>
                <w:rtl/>
                <w:lang w:bidi="fa-IR"/>
              </w:rPr>
              <w:t xml:space="preserve">81 -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مَعْرِفَةِ</w:t>
            </w:r>
            <w:r w:rsidR="001B7674" w:rsidRPr="00515391">
              <w:rPr>
                <w:rStyle w:val="Hyperlink"/>
                <w:noProof/>
                <w:rtl/>
                <w:lang w:bidi="fa-IR"/>
              </w:rPr>
              <w:t xml:space="preserve"> </w:t>
            </w:r>
            <w:r w:rsidR="001B7674" w:rsidRPr="00515391">
              <w:rPr>
                <w:rStyle w:val="Hyperlink"/>
                <w:rFonts w:hint="eastAsia"/>
                <w:noProof/>
                <w:rtl/>
                <w:lang w:bidi="fa-IR"/>
              </w:rPr>
              <w:t>الْجُودِ</w:t>
            </w:r>
            <w:r w:rsidR="001B7674" w:rsidRPr="00515391">
              <w:rPr>
                <w:rStyle w:val="Hyperlink"/>
                <w:noProof/>
                <w:rtl/>
                <w:lang w:bidi="fa-IR"/>
              </w:rPr>
              <w:t xml:space="preserve"> </w:t>
            </w:r>
            <w:r w:rsidR="001B7674" w:rsidRPr="00515391">
              <w:rPr>
                <w:rStyle w:val="Hyperlink"/>
                <w:rFonts w:hint="eastAsia"/>
                <w:noProof/>
                <w:rtl/>
                <w:lang w:bidi="fa-IR"/>
              </w:rPr>
              <w:t>وَالسَّخَاءِ‌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322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3" w:history="1">
            <w:r w:rsidR="001B7674" w:rsidRPr="00515391">
              <w:rPr>
                <w:rStyle w:val="Hyperlink"/>
                <w:noProof/>
                <w:rtl/>
                <w:lang w:bidi="fa-IR"/>
              </w:rPr>
              <w:t xml:space="preserve">82 -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الْإِنْفَاقِ‌</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333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4" w:history="1">
            <w:r w:rsidR="001B7674" w:rsidRPr="00515391">
              <w:rPr>
                <w:rStyle w:val="Hyperlink"/>
                <w:noProof/>
                <w:rtl/>
                <w:lang w:bidi="fa-IR"/>
              </w:rPr>
              <w:t xml:space="preserve">83 -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الْبُخْلِ</w:t>
            </w:r>
            <w:r w:rsidR="001B7674" w:rsidRPr="00515391">
              <w:rPr>
                <w:rStyle w:val="Hyperlink"/>
                <w:noProof/>
                <w:rtl/>
                <w:lang w:bidi="fa-IR"/>
              </w:rPr>
              <w:t xml:space="preserve"> </w:t>
            </w:r>
            <w:r w:rsidR="001B7674" w:rsidRPr="00515391">
              <w:rPr>
                <w:rStyle w:val="Hyperlink"/>
                <w:rFonts w:hint="eastAsia"/>
                <w:noProof/>
                <w:rtl/>
                <w:lang w:bidi="fa-IR"/>
              </w:rPr>
              <w:t>وَالشُّحِّ‌</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341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5" w:history="1">
            <w:r w:rsidR="001B7674" w:rsidRPr="00515391">
              <w:rPr>
                <w:rStyle w:val="Hyperlink"/>
                <w:noProof/>
                <w:rtl/>
                <w:lang w:bidi="fa-IR"/>
              </w:rPr>
              <w:t xml:space="preserve">84 -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النَّوَادِرِ‌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345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6" w:history="1">
            <w:r w:rsidR="001B7674" w:rsidRPr="00515391">
              <w:rPr>
                <w:rStyle w:val="Hyperlink"/>
                <w:noProof/>
                <w:rtl/>
                <w:lang w:bidi="fa-IR"/>
              </w:rPr>
              <w:t xml:space="preserve">85 -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إِطْعَامِ</w:t>
            </w:r>
            <w:r w:rsidR="001B7674" w:rsidRPr="00515391">
              <w:rPr>
                <w:rStyle w:val="Hyperlink"/>
                <w:noProof/>
                <w:rtl/>
                <w:lang w:bidi="fa-IR"/>
              </w:rPr>
              <w:t xml:space="preserve"> </w:t>
            </w:r>
            <w:r w:rsidR="001B7674" w:rsidRPr="00515391">
              <w:rPr>
                <w:rStyle w:val="Hyperlink"/>
                <w:rFonts w:hint="eastAsia"/>
                <w:noProof/>
                <w:rtl/>
                <w:lang w:bidi="fa-IR"/>
              </w:rPr>
              <w:t>الطَّعَامِ‌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358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7" w:history="1">
            <w:r w:rsidR="001B7674" w:rsidRPr="00515391">
              <w:rPr>
                <w:rStyle w:val="Hyperlink"/>
                <w:noProof/>
                <w:rtl/>
                <w:lang w:bidi="fa-IR"/>
              </w:rPr>
              <w:t xml:space="preserve">86 -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الْقَصْدِ‌</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366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8" w:history="1">
            <w:r w:rsidR="001B7674" w:rsidRPr="00515391">
              <w:rPr>
                <w:rStyle w:val="Hyperlink"/>
                <w:noProof/>
                <w:rtl/>
                <w:lang w:bidi="fa-IR"/>
              </w:rPr>
              <w:t xml:space="preserve">87 -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rFonts w:hint="eastAsia"/>
                <w:noProof/>
                <w:rtl/>
                <w:lang w:bidi="fa-IR"/>
              </w:rPr>
              <w:t>السَّرَفِ</w:t>
            </w:r>
            <w:r w:rsidR="001B7674" w:rsidRPr="00515391">
              <w:rPr>
                <w:rStyle w:val="Hyperlink"/>
                <w:noProof/>
                <w:rtl/>
                <w:lang w:bidi="fa-IR"/>
              </w:rPr>
              <w:t xml:space="preserve"> </w:t>
            </w:r>
            <w:r w:rsidR="001B7674" w:rsidRPr="00515391">
              <w:rPr>
                <w:rStyle w:val="Hyperlink"/>
                <w:rFonts w:hint="eastAsia"/>
                <w:noProof/>
                <w:rtl/>
                <w:lang w:bidi="fa-IR"/>
              </w:rPr>
              <w:t>وَالتَّقْتِيرِ‌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374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29" w:history="1">
            <w:r w:rsidR="001B7674" w:rsidRPr="00515391">
              <w:rPr>
                <w:rStyle w:val="Hyperlink"/>
                <w:noProof/>
                <w:rtl/>
                <w:lang w:bidi="fa-IR"/>
              </w:rPr>
              <w:t xml:space="preserve">88 -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سَقْيِ</w:t>
            </w:r>
            <w:r w:rsidR="001B7674" w:rsidRPr="00515391">
              <w:rPr>
                <w:rStyle w:val="Hyperlink"/>
                <w:noProof/>
                <w:rtl/>
                <w:lang w:bidi="fa-IR"/>
              </w:rPr>
              <w:t xml:space="preserve"> </w:t>
            </w:r>
            <w:r w:rsidR="001B7674" w:rsidRPr="00515391">
              <w:rPr>
                <w:rStyle w:val="Hyperlink"/>
                <w:rFonts w:hint="eastAsia"/>
                <w:noProof/>
                <w:rtl/>
                <w:lang w:bidi="fa-IR"/>
              </w:rPr>
              <w:t>الْمَاءِ‌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44599929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380</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30" w:history="1">
            <w:r w:rsidR="001B7674" w:rsidRPr="00515391">
              <w:rPr>
                <w:rStyle w:val="Hyperlink"/>
                <w:noProof/>
                <w:rtl/>
                <w:lang w:bidi="fa-IR"/>
              </w:rPr>
              <w:t xml:space="preserve">89 -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الصَّدَقَةِ</w:t>
            </w:r>
            <w:r w:rsidR="001B7674" w:rsidRPr="00515391">
              <w:rPr>
                <w:rStyle w:val="Hyperlink"/>
                <w:noProof/>
                <w:rtl/>
                <w:lang w:bidi="fa-IR"/>
              </w:rPr>
              <w:t xml:space="preserve"> </w:t>
            </w:r>
            <w:r w:rsidR="001B7674" w:rsidRPr="00515391">
              <w:rPr>
                <w:rStyle w:val="Hyperlink"/>
                <w:rFonts w:hint="eastAsia"/>
                <w:noProof/>
                <w:rtl/>
                <w:lang w:bidi="fa-IR"/>
              </w:rPr>
              <w:t>لِبَنِي</w:t>
            </w:r>
            <w:r w:rsidR="001B7674" w:rsidRPr="00515391">
              <w:rPr>
                <w:rStyle w:val="Hyperlink"/>
                <w:noProof/>
                <w:rtl/>
                <w:lang w:bidi="fa-IR"/>
              </w:rPr>
              <w:t xml:space="preserve"> </w:t>
            </w:r>
            <w:r w:rsidR="001B7674" w:rsidRPr="00515391">
              <w:rPr>
                <w:rStyle w:val="Hyperlink"/>
                <w:rFonts w:hint="eastAsia"/>
                <w:noProof/>
                <w:rtl/>
                <w:lang w:bidi="fa-IR"/>
              </w:rPr>
              <w:t>هَاشِمٍ</w:t>
            </w:r>
            <w:r w:rsidR="001B7674" w:rsidRPr="00515391">
              <w:rPr>
                <w:rStyle w:val="Hyperlink"/>
                <w:noProof/>
                <w:rtl/>
                <w:lang w:bidi="fa-IR"/>
              </w:rPr>
              <w:t xml:space="preserve"> </w:t>
            </w:r>
            <w:r w:rsidR="001B7674" w:rsidRPr="00515391">
              <w:rPr>
                <w:rStyle w:val="Hyperlink"/>
                <w:rFonts w:hint="eastAsia"/>
                <w:noProof/>
                <w:rtl/>
                <w:lang w:bidi="fa-IR"/>
              </w:rPr>
              <w:t>وَمَوَالِيهِمْ</w:t>
            </w:r>
            <w:r w:rsidR="001B7674" w:rsidRPr="00515391">
              <w:rPr>
                <w:rStyle w:val="Hyperlink"/>
                <w:noProof/>
                <w:rtl/>
                <w:lang w:bidi="fa-IR"/>
              </w:rPr>
              <w:t xml:space="preserve"> </w:t>
            </w:r>
            <w:r w:rsidR="001B7674" w:rsidRPr="00515391">
              <w:rPr>
                <w:rStyle w:val="Hyperlink"/>
                <w:rFonts w:hint="eastAsia"/>
                <w:noProof/>
                <w:rtl/>
                <w:lang w:bidi="fa-IR"/>
              </w:rPr>
              <w:t>وَصِلَتِهِمْ‌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383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31" w:history="1">
            <w:r w:rsidR="001B7674" w:rsidRPr="00515391">
              <w:rPr>
                <w:rStyle w:val="Hyperlink"/>
                <w:noProof/>
                <w:rtl/>
                <w:lang w:bidi="fa-IR"/>
              </w:rPr>
              <w:t xml:space="preserve">90 -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النَّوَادِرِ</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389</w:t>
            </w:r>
            <w:r w:rsidR="001B7674">
              <w:rPr>
                <w:noProof/>
                <w:webHidden/>
                <w:rtl/>
              </w:rPr>
              <w:fldChar w:fldCharType="end"/>
            </w:r>
          </w:hyperlink>
        </w:p>
        <w:p w:rsidR="001B7674" w:rsidRDefault="008404F5" w:rsidP="003A113B">
          <w:pPr>
            <w:pStyle w:val="TOC1"/>
            <w:rPr>
              <w:rFonts w:asciiTheme="minorHAnsi" w:eastAsiaTheme="minorEastAsia" w:hAnsiTheme="minorHAnsi" w:cstheme="minorBidi"/>
              <w:bCs w:val="0"/>
              <w:noProof/>
              <w:color w:val="auto"/>
              <w:sz w:val="22"/>
              <w:szCs w:val="22"/>
              <w:rtl/>
            </w:rPr>
          </w:pPr>
          <w:hyperlink w:anchor="_Toc44599932" w:history="1">
            <w:r w:rsidR="001B7674" w:rsidRPr="00515391">
              <w:rPr>
                <w:rStyle w:val="Hyperlink"/>
                <w:noProof/>
                <w:rtl/>
                <w:lang w:bidi="fa-IR"/>
              </w:rPr>
              <w:t>[14]</w:t>
            </w:r>
            <w:r w:rsidR="003A113B">
              <w:rPr>
                <w:noProof/>
                <w:webHidden/>
                <w:rtl/>
              </w:rPr>
              <w:t xml:space="preserve"> </w:t>
            </w:r>
          </w:hyperlink>
          <w:r w:rsidR="003A113B">
            <w:rPr>
              <w:rStyle w:val="Hyperlink"/>
              <w:rFonts w:hint="cs"/>
              <w:noProof/>
              <w:rtl/>
            </w:rPr>
            <w:t xml:space="preserve"> </w:t>
          </w:r>
          <w:hyperlink w:anchor="_Toc44599933" w:history="1">
            <w:r w:rsidR="001B7674" w:rsidRPr="00515391">
              <w:rPr>
                <w:rStyle w:val="Hyperlink"/>
                <w:rFonts w:hint="eastAsia"/>
                <w:noProof/>
                <w:rtl/>
                <w:lang w:bidi="fa-IR"/>
              </w:rPr>
              <w:t>كِتَابُ</w:t>
            </w:r>
            <w:r w:rsidR="001B7674" w:rsidRPr="00515391">
              <w:rPr>
                <w:rStyle w:val="Hyperlink"/>
                <w:noProof/>
                <w:rtl/>
                <w:lang w:bidi="fa-IR"/>
              </w:rPr>
              <w:t xml:space="preserve"> </w:t>
            </w:r>
            <w:r w:rsidR="001B7674" w:rsidRPr="00515391">
              <w:rPr>
                <w:rStyle w:val="Hyperlink"/>
                <w:rFonts w:hint="eastAsia"/>
                <w:noProof/>
                <w:rtl/>
                <w:lang w:bidi="fa-IR"/>
              </w:rPr>
              <w:t>الصِّيَامِ</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394</w:t>
            </w:r>
            <w:r w:rsidR="001B7674">
              <w:rPr>
                <w:noProof/>
                <w:webHidden/>
                <w:rtl/>
              </w:rPr>
              <w:fldChar w:fldCharType="end"/>
            </w:r>
          </w:hyperlink>
        </w:p>
        <w:p w:rsidR="001B7674" w:rsidRDefault="008404F5" w:rsidP="003A113B">
          <w:pPr>
            <w:pStyle w:val="TOC1"/>
            <w:rPr>
              <w:rFonts w:asciiTheme="minorHAnsi" w:eastAsiaTheme="minorEastAsia" w:hAnsiTheme="minorHAnsi" w:cstheme="minorBidi"/>
              <w:noProof/>
              <w:color w:val="auto"/>
              <w:sz w:val="22"/>
              <w:szCs w:val="22"/>
              <w:rtl/>
            </w:rPr>
          </w:pPr>
          <w:hyperlink w:anchor="_Toc44599934" w:history="1">
            <w:r w:rsidR="001B7674" w:rsidRPr="00515391">
              <w:rPr>
                <w:rStyle w:val="Hyperlink"/>
                <w:noProof/>
                <w:rtl/>
                <w:lang w:bidi="fa-IR"/>
              </w:rPr>
              <w:t>[14]</w:t>
            </w:r>
            <w:r w:rsidR="003A113B">
              <w:rPr>
                <w:noProof/>
                <w:webHidden/>
                <w:rtl/>
              </w:rPr>
              <w:t xml:space="preserve"> </w:t>
            </w:r>
          </w:hyperlink>
          <w:r w:rsidR="003A113B">
            <w:rPr>
              <w:rStyle w:val="Hyperlink"/>
              <w:rFonts w:hint="cs"/>
              <w:noProof/>
              <w:rtl/>
            </w:rPr>
            <w:t xml:space="preserve"> </w:t>
          </w:r>
          <w:hyperlink w:anchor="_Toc44599935" w:history="1">
            <w:r w:rsidR="001B7674" w:rsidRPr="00515391">
              <w:rPr>
                <w:rStyle w:val="Hyperlink"/>
                <w:rFonts w:hint="eastAsia"/>
                <w:noProof/>
                <w:rtl/>
                <w:lang w:bidi="fa-IR"/>
              </w:rPr>
              <w:t>كِتَابُ</w:t>
            </w:r>
            <w:r w:rsidR="001B7674" w:rsidRPr="00515391">
              <w:rPr>
                <w:rStyle w:val="Hyperlink"/>
                <w:noProof/>
                <w:rtl/>
                <w:lang w:bidi="fa-IR"/>
              </w:rPr>
              <w:t xml:space="preserve"> </w:t>
            </w:r>
            <w:r w:rsidR="001B7674" w:rsidRPr="00515391">
              <w:rPr>
                <w:rStyle w:val="Hyperlink"/>
                <w:rFonts w:hint="eastAsia"/>
                <w:noProof/>
                <w:rtl/>
                <w:lang w:bidi="fa-IR"/>
              </w:rPr>
              <w:t>الصِّيَامِ</w:t>
            </w:r>
            <w:r w:rsidR="001B7674" w:rsidRPr="00515391">
              <w:rPr>
                <w:rStyle w:val="Hyperlink"/>
                <w:noProof/>
                <w:rtl/>
                <w:lang w:bidi="fa-IR"/>
              </w:rPr>
              <w:t xml:space="preserve"> </w:t>
            </w:r>
            <w:r w:rsidR="001B7674" w:rsidRPr="00515391">
              <w:rPr>
                <w:rStyle w:val="Hyperlink"/>
                <w:noProof/>
                <w:vertAlign w:val="superscript"/>
                <w:rtl/>
              </w:rPr>
              <w:t>(2)</w:t>
            </w:r>
            <w:r w:rsidR="001B7674" w:rsidRPr="00515391">
              <w:rPr>
                <w:rStyle w:val="Hyperlink"/>
                <w:noProof/>
                <w:rtl/>
                <w:lang w:bidi="fa-IR"/>
              </w:rPr>
              <w:t xml:space="preserve"> </w:t>
            </w:r>
          </w:hyperlink>
          <w:r w:rsidR="003A113B">
            <w:rPr>
              <w:rStyle w:val="Hyperlink"/>
              <w:rFonts w:hint="cs"/>
              <w:noProof/>
              <w:rtl/>
            </w:rPr>
            <w:t xml:space="preserve"> </w:t>
          </w:r>
          <w:hyperlink w:anchor="_Toc44599936" w:history="1">
            <w:r w:rsidR="001B7674" w:rsidRPr="00515391">
              <w:rPr>
                <w:rStyle w:val="Hyperlink"/>
                <w:noProof/>
                <w:rtl/>
                <w:lang w:bidi="fa-IR"/>
              </w:rPr>
              <w:t xml:space="preserve">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جَاءَ</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الصَّوْمِ</w:t>
            </w:r>
            <w:r w:rsidR="001B7674" w:rsidRPr="00515391">
              <w:rPr>
                <w:rStyle w:val="Hyperlink"/>
                <w:noProof/>
                <w:rtl/>
                <w:lang w:bidi="fa-IR"/>
              </w:rPr>
              <w:t xml:space="preserve"> </w:t>
            </w:r>
            <w:r w:rsidR="001B7674" w:rsidRPr="00515391">
              <w:rPr>
                <w:rStyle w:val="Hyperlink"/>
                <w:rFonts w:hint="eastAsia"/>
                <w:noProof/>
                <w:rtl/>
                <w:lang w:bidi="fa-IR"/>
              </w:rPr>
              <w:t>وَالصَّائِمِ‌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396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37" w:history="1">
            <w:r w:rsidR="001B7674" w:rsidRPr="00515391">
              <w:rPr>
                <w:rStyle w:val="Hyperlink"/>
                <w:noProof/>
                <w:rtl/>
                <w:lang w:bidi="fa-IR"/>
              </w:rPr>
              <w:t xml:space="preserve">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410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38" w:history="1">
            <w:r w:rsidR="001B7674" w:rsidRPr="00515391">
              <w:rPr>
                <w:rStyle w:val="Hyperlink"/>
                <w:noProof/>
                <w:rtl/>
                <w:lang w:bidi="fa-IR"/>
              </w:rPr>
              <w:t xml:space="preserve">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فَطَّرَ</w:t>
            </w:r>
            <w:r w:rsidR="001B7674" w:rsidRPr="00515391">
              <w:rPr>
                <w:rStyle w:val="Hyperlink"/>
                <w:noProof/>
                <w:rtl/>
                <w:lang w:bidi="fa-IR"/>
              </w:rPr>
              <w:t xml:space="preserve"> </w:t>
            </w:r>
            <w:r w:rsidR="001B7674" w:rsidRPr="00515391">
              <w:rPr>
                <w:rStyle w:val="Hyperlink"/>
                <w:rFonts w:hint="eastAsia"/>
                <w:noProof/>
                <w:rtl/>
                <w:lang w:bidi="fa-IR"/>
              </w:rPr>
              <w:t>صَائِماً</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417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39" w:history="1">
            <w:r w:rsidR="001B7674" w:rsidRPr="00515391">
              <w:rPr>
                <w:rStyle w:val="Hyperlink"/>
                <w:noProof/>
                <w:rtl/>
                <w:lang w:bidi="fa-IR"/>
              </w:rPr>
              <w:t xml:space="preserve">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noProof/>
                <w:vertAlign w:val="superscript"/>
                <w:rtl/>
              </w:rPr>
              <w:t>(12)</w:t>
            </w:r>
            <w:r w:rsidR="001B7674" w:rsidRPr="00515391">
              <w:rPr>
                <w:rStyle w:val="Hyperlink"/>
                <w:noProof/>
                <w:rtl/>
              </w:rPr>
              <w:t xml:space="preserve"> </w:t>
            </w:r>
            <w:r w:rsidR="001B7674" w:rsidRPr="00515391">
              <w:rPr>
                <w:rStyle w:val="Hyperlink"/>
                <w:rFonts w:hint="eastAsia"/>
                <w:noProof/>
                <w:rtl/>
                <w:lang w:bidi="fa-IR"/>
              </w:rPr>
              <w:t>النَّهْيِ</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قَوْلِ</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sidRPr="00515391">
              <w:rPr>
                <w:rStyle w:val="Hyperlink"/>
                <w:noProof/>
                <w:rtl/>
                <w:lang w:bidi="fa-IR"/>
              </w:rPr>
              <w:t xml:space="preserve"> </w:t>
            </w:r>
            <w:r w:rsidR="001B7674" w:rsidRPr="00515391">
              <w:rPr>
                <w:rStyle w:val="Hyperlink"/>
                <w:rFonts w:hint="eastAsia"/>
                <w:noProof/>
                <w:rtl/>
                <w:lang w:bidi="fa-IR"/>
              </w:rPr>
              <w:t>بِلَا</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noProof/>
                <w:vertAlign w:val="superscript"/>
                <w:rtl/>
              </w:rPr>
              <w:t>(13)</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44599939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420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0" w:history="1">
            <w:r w:rsidR="001B7674" w:rsidRPr="00515391">
              <w:rPr>
                <w:rStyle w:val="Hyperlink"/>
                <w:noProof/>
                <w:rtl/>
                <w:lang w:bidi="fa-IR"/>
              </w:rPr>
              <w:t xml:space="preserve">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يُقَالُ</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مُسْتَقْبَلِ</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422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1" w:history="1">
            <w:r w:rsidR="001B7674" w:rsidRPr="00515391">
              <w:rPr>
                <w:rStyle w:val="Hyperlink"/>
                <w:noProof/>
                <w:rtl/>
                <w:lang w:bidi="fa-IR"/>
              </w:rPr>
              <w:t xml:space="preserve">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الْأَهِلَّةِ</w:t>
            </w:r>
            <w:r w:rsidR="001B7674" w:rsidRPr="00515391">
              <w:rPr>
                <w:rStyle w:val="Hyperlink"/>
                <w:noProof/>
                <w:rtl/>
                <w:lang w:bidi="fa-IR"/>
              </w:rPr>
              <w:t xml:space="preserve"> </w:t>
            </w:r>
            <w:r w:rsidR="001B7674" w:rsidRPr="00515391">
              <w:rPr>
                <w:rStyle w:val="Hyperlink"/>
                <w:rFonts w:hint="eastAsia"/>
                <w:noProof/>
                <w:rtl/>
                <w:lang w:bidi="fa-IR"/>
              </w:rPr>
              <w:t>وَالشَّهَادَةِ</w:t>
            </w:r>
            <w:r w:rsidR="001B7674" w:rsidRPr="00515391">
              <w:rPr>
                <w:rStyle w:val="Hyperlink"/>
                <w:noProof/>
                <w:rtl/>
                <w:lang w:bidi="fa-IR"/>
              </w:rPr>
              <w:t xml:space="preserve"> </w:t>
            </w:r>
            <w:r w:rsidR="001B7674" w:rsidRPr="00515391">
              <w:rPr>
                <w:rStyle w:val="Hyperlink"/>
                <w:rFonts w:hint="eastAsia"/>
                <w:noProof/>
                <w:rtl/>
                <w:lang w:bidi="fa-IR"/>
              </w:rPr>
              <w:t>عَلَيْهَا‌</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440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2" w:history="1">
            <w:r w:rsidR="001B7674" w:rsidRPr="00515391">
              <w:rPr>
                <w:rStyle w:val="Hyperlink"/>
                <w:noProof/>
                <w:rtl/>
                <w:lang w:bidi="fa-IR"/>
              </w:rPr>
              <w:t xml:space="preserve">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نَادِرٌ</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447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3" w:history="1">
            <w:r w:rsidR="001B7674" w:rsidRPr="00515391">
              <w:rPr>
                <w:rStyle w:val="Hyperlink"/>
                <w:noProof/>
                <w:rtl/>
                <w:lang w:bidi="fa-IR"/>
              </w:rPr>
              <w:t xml:space="preserve">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451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4" w:history="1">
            <w:r w:rsidR="001B7674" w:rsidRPr="00515391">
              <w:rPr>
                <w:rStyle w:val="Hyperlink"/>
                <w:noProof/>
                <w:rtl/>
                <w:lang w:bidi="fa-IR"/>
              </w:rPr>
              <w:t xml:space="preserve">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الْيَوْمِ</w:t>
            </w:r>
            <w:r w:rsidR="001B7674" w:rsidRPr="00515391">
              <w:rPr>
                <w:rStyle w:val="Hyperlink"/>
                <w:noProof/>
                <w:rtl/>
                <w:lang w:bidi="fa-IR"/>
              </w:rPr>
              <w:t xml:space="preserve"> </w:t>
            </w:r>
            <w:r w:rsidR="001B7674" w:rsidRPr="00515391">
              <w:rPr>
                <w:rStyle w:val="Hyperlink"/>
                <w:rFonts w:hint="eastAsia"/>
                <w:noProof/>
                <w:rtl/>
                <w:lang w:bidi="fa-IR"/>
              </w:rPr>
              <w:t>الَّذِي</w:t>
            </w:r>
            <w:r w:rsidR="001B7674" w:rsidRPr="00515391">
              <w:rPr>
                <w:rStyle w:val="Hyperlink"/>
                <w:noProof/>
                <w:rtl/>
                <w:lang w:bidi="fa-IR"/>
              </w:rPr>
              <w:t xml:space="preserve"> </w:t>
            </w:r>
            <w:r w:rsidR="001B7674" w:rsidRPr="00515391">
              <w:rPr>
                <w:rStyle w:val="Hyperlink"/>
                <w:rFonts w:hint="eastAsia"/>
                <w:noProof/>
                <w:rtl/>
                <w:lang w:bidi="fa-IR"/>
              </w:rPr>
              <w:t>يُشَكُّ</w:t>
            </w:r>
            <w:r w:rsidR="001B7674" w:rsidRPr="00515391">
              <w:rPr>
                <w:rStyle w:val="Hyperlink"/>
                <w:noProof/>
                <w:rtl/>
                <w:lang w:bidi="fa-IR"/>
              </w:rPr>
              <w:t xml:space="preserve"> </w:t>
            </w:r>
            <w:r w:rsidR="001B7674" w:rsidRPr="00515391">
              <w:rPr>
                <w:rStyle w:val="Hyperlink"/>
                <w:rFonts w:hint="eastAsia"/>
                <w:noProof/>
                <w:rtl/>
                <w:lang w:bidi="fa-IR"/>
              </w:rPr>
              <w:t>فِيهِ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noProof/>
                <w:vertAlign w:val="superscript"/>
                <w:rtl/>
              </w:rPr>
              <w:t>(13)</w:t>
            </w:r>
            <w:r w:rsidR="001B7674" w:rsidRPr="00515391">
              <w:rPr>
                <w:rStyle w:val="Hyperlink"/>
                <w:noProof/>
                <w:rtl/>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sidRPr="00515391">
              <w:rPr>
                <w:rStyle w:val="Hyperlink"/>
                <w:noProof/>
                <w:rtl/>
                <w:lang w:bidi="fa-IR"/>
              </w:rPr>
              <w:t xml:space="preserve"> </w:t>
            </w:r>
            <w:r w:rsidR="001B7674" w:rsidRPr="00515391">
              <w:rPr>
                <w:rStyle w:val="Hyperlink"/>
                <w:rFonts w:hint="eastAsia"/>
                <w:noProof/>
                <w:rtl/>
                <w:lang w:bidi="fa-IR"/>
              </w:rPr>
              <w:t>هُوَ</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شَعْبَانَ‌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454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5" w:history="1">
            <w:r w:rsidR="001B7674" w:rsidRPr="00515391">
              <w:rPr>
                <w:rStyle w:val="Hyperlink"/>
                <w:noProof/>
                <w:rtl/>
                <w:lang w:bidi="fa-IR"/>
              </w:rPr>
              <w:t xml:space="preserve">10 -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وُجُوهِ</w:t>
            </w:r>
            <w:r w:rsidR="001B7674" w:rsidRPr="00515391">
              <w:rPr>
                <w:rStyle w:val="Hyperlink"/>
                <w:noProof/>
                <w:rtl/>
                <w:lang w:bidi="fa-IR"/>
              </w:rPr>
              <w:t xml:space="preserve"> </w:t>
            </w:r>
            <w:r w:rsidR="001B7674" w:rsidRPr="00515391">
              <w:rPr>
                <w:rStyle w:val="Hyperlink"/>
                <w:rFonts w:hint="eastAsia"/>
                <w:noProof/>
                <w:rtl/>
                <w:lang w:bidi="fa-IR"/>
              </w:rPr>
              <w:t>الصَّوْمِ</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461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6" w:history="1">
            <w:r w:rsidR="001B7674" w:rsidRPr="00515391">
              <w:rPr>
                <w:rStyle w:val="Hyperlink"/>
                <w:noProof/>
                <w:rtl/>
                <w:lang w:bidi="fa-IR"/>
              </w:rPr>
              <w:t xml:space="preserve">11 -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أَدَبِ</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471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7" w:history="1">
            <w:r w:rsidR="001B7674" w:rsidRPr="00515391">
              <w:rPr>
                <w:rStyle w:val="Hyperlink"/>
                <w:noProof/>
                <w:rtl/>
                <w:lang w:bidi="fa-IR"/>
              </w:rPr>
              <w:t xml:space="preserve">12 -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رَسُولِ</w:t>
            </w:r>
            <w:r w:rsidR="001B7674" w:rsidRPr="00515391">
              <w:rPr>
                <w:rStyle w:val="Hyperlink"/>
                <w:noProof/>
                <w:rtl/>
                <w:lang w:bidi="fa-IR"/>
              </w:rPr>
              <w:t xml:space="preserve"> </w:t>
            </w:r>
            <w:r w:rsidR="001B7674" w:rsidRPr="00515391">
              <w:rPr>
                <w:rStyle w:val="Hyperlink"/>
                <w:rFonts w:hint="eastAsia"/>
                <w:noProof/>
                <w:rtl/>
                <w:lang w:bidi="fa-IR"/>
              </w:rPr>
              <w:t>اللهِ</w:t>
            </w:r>
            <w:r w:rsidR="001B7674" w:rsidRPr="00515391">
              <w:rPr>
                <w:rStyle w:val="Hyperlink"/>
                <w:noProof/>
                <w:rtl/>
                <w:lang w:bidi="fa-IR"/>
              </w:rPr>
              <w:t xml:space="preserve"> </w:t>
            </w:r>
            <w:r w:rsidR="001B7674" w:rsidRPr="00515391">
              <w:rPr>
                <w:rStyle w:val="Hyperlink"/>
                <w:rFonts w:cs="Rafed Alaem" w:hint="eastAsia"/>
                <w:noProof/>
                <w:rtl/>
              </w:rPr>
              <w:t>صلى‌الله‌عليه‌وآله‌</w:t>
            </w:r>
            <w:r w:rsidR="001B7674" w:rsidRPr="00515391">
              <w:rPr>
                <w:rStyle w:val="Hyperlink"/>
                <w:rFonts w:hint="eastAsia"/>
                <w:noProof/>
                <w:lang w:bidi="fa-IR"/>
              </w:rPr>
              <w:t>‌</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478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8" w:history="1">
            <w:r w:rsidR="001B7674" w:rsidRPr="00515391">
              <w:rPr>
                <w:rStyle w:val="Hyperlink"/>
                <w:noProof/>
                <w:rtl/>
                <w:lang w:bidi="fa-IR"/>
              </w:rPr>
              <w:t xml:space="preserve">13 -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شَعْبَانَ</w:t>
            </w:r>
            <w:r w:rsidR="001B7674" w:rsidRPr="00515391">
              <w:rPr>
                <w:rStyle w:val="Hyperlink"/>
                <w:noProof/>
                <w:rtl/>
                <w:lang w:bidi="fa-IR"/>
              </w:rPr>
              <w:t xml:space="preserve"> </w:t>
            </w:r>
            <w:r w:rsidR="001B7674" w:rsidRPr="00515391">
              <w:rPr>
                <w:rStyle w:val="Hyperlink"/>
                <w:rFonts w:hint="eastAsia"/>
                <w:noProof/>
                <w:rtl/>
                <w:lang w:bidi="fa-IR"/>
              </w:rPr>
              <w:t>وَصِلَتِهِ</w:t>
            </w:r>
            <w:r w:rsidR="001B7674" w:rsidRPr="00515391">
              <w:rPr>
                <w:rStyle w:val="Hyperlink"/>
                <w:noProof/>
                <w:rtl/>
                <w:lang w:bidi="fa-IR"/>
              </w:rPr>
              <w:t xml:space="preserve"> </w:t>
            </w:r>
            <w:r w:rsidR="001B7674" w:rsidRPr="00515391">
              <w:rPr>
                <w:rStyle w:val="Hyperlink"/>
                <w:rFonts w:hint="eastAsia"/>
                <w:noProof/>
                <w:rtl/>
                <w:lang w:bidi="fa-IR"/>
              </w:rPr>
              <w:t>بِرَمَضَانَ</w:t>
            </w:r>
            <w:r w:rsidR="001B7674" w:rsidRPr="00515391">
              <w:rPr>
                <w:rStyle w:val="Hyperlink"/>
                <w:noProof/>
                <w:rtl/>
                <w:lang w:bidi="fa-IR"/>
              </w:rPr>
              <w:t xml:space="preserve"> </w:t>
            </w:r>
            <w:r w:rsidR="001B7674" w:rsidRPr="00515391">
              <w:rPr>
                <w:rStyle w:val="Hyperlink"/>
                <w:rFonts w:hint="eastAsia"/>
                <w:noProof/>
                <w:rtl/>
                <w:lang w:bidi="fa-IR"/>
              </w:rPr>
              <w:t>وَصِيَامِ</w:t>
            </w:r>
            <w:r w:rsidR="001B7674" w:rsidRPr="00515391">
              <w:rPr>
                <w:rStyle w:val="Hyperlink"/>
                <w:noProof/>
                <w:rtl/>
                <w:lang w:bidi="fa-IR"/>
              </w:rPr>
              <w:t xml:space="preserve"> </w:t>
            </w:r>
            <w:r w:rsidR="001B7674" w:rsidRPr="00515391">
              <w:rPr>
                <w:rStyle w:val="Hyperlink"/>
                <w:rFonts w:hint="eastAsia"/>
                <w:noProof/>
                <w:rtl/>
                <w:lang w:bidi="fa-IR"/>
              </w:rPr>
              <w:t>ثَلَاثَةِ</w:t>
            </w:r>
            <w:r w:rsidR="001B7674" w:rsidRPr="00515391">
              <w:rPr>
                <w:rStyle w:val="Hyperlink"/>
                <w:noProof/>
                <w:rtl/>
                <w:lang w:bidi="fa-IR"/>
              </w:rPr>
              <w:t xml:space="preserve"> </w:t>
            </w:r>
            <w:r w:rsidR="001B7674" w:rsidRPr="00515391">
              <w:rPr>
                <w:rStyle w:val="Hyperlink"/>
                <w:rFonts w:hint="eastAsia"/>
                <w:noProof/>
                <w:rtl/>
                <w:lang w:bidi="fa-IR"/>
              </w:rPr>
              <w:t>أَيَّامٍ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كُلِّ</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487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49" w:history="1">
            <w:r w:rsidR="001B7674" w:rsidRPr="00515391">
              <w:rPr>
                <w:rStyle w:val="Hyperlink"/>
                <w:noProof/>
                <w:rtl/>
                <w:lang w:bidi="fa-IR"/>
              </w:rPr>
              <w:t xml:space="preserve">14 -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يُسْتَحَبُّ</w:t>
            </w:r>
            <w:r w:rsidR="001B7674" w:rsidRPr="00515391">
              <w:rPr>
                <w:rStyle w:val="Hyperlink"/>
                <w:noProof/>
                <w:rtl/>
                <w:lang w:bidi="fa-IR"/>
              </w:rPr>
              <w:t xml:space="preserve"> </w:t>
            </w:r>
            <w:r w:rsidR="001B7674" w:rsidRPr="00515391">
              <w:rPr>
                <w:rStyle w:val="Hyperlink"/>
                <w:rFonts w:hint="eastAsia"/>
                <w:noProof/>
                <w:rtl/>
                <w:lang w:bidi="fa-IR"/>
              </w:rPr>
              <w:t>السَّحُورُ‌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44599949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496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0" w:history="1">
            <w:r w:rsidR="001B7674" w:rsidRPr="00515391">
              <w:rPr>
                <w:rStyle w:val="Hyperlink"/>
                <w:noProof/>
                <w:rtl/>
                <w:lang w:bidi="fa-IR"/>
              </w:rPr>
              <w:t xml:space="preserve">15 -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يَقُولُ</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إِذَا</w:t>
            </w:r>
            <w:r w:rsidR="001B7674" w:rsidRPr="00515391">
              <w:rPr>
                <w:rStyle w:val="Hyperlink"/>
                <w:noProof/>
                <w:rtl/>
                <w:lang w:bidi="fa-IR"/>
              </w:rPr>
              <w:t xml:space="preserve"> </w:t>
            </w:r>
            <w:r w:rsidR="001B7674" w:rsidRPr="00515391">
              <w:rPr>
                <w:rStyle w:val="Hyperlink"/>
                <w:rFonts w:hint="eastAsia"/>
                <w:noProof/>
                <w:rtl/>
                <w:lang w:bidi="fa-IR"/>
              </w:rPr>
              <w:t>أَفْطَرَ‌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497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1" w:history="1">
            <w:r w:rsidR="001B7674" w:rsidRPr="00515391">
              <w:rPr>
                <w:rStyle w:val="Hyperlink"/>
                <w:noProof/>
                <w:rtl/>
                <w:lang w:bidi="fa-IR"/>
              </w:rPr>
              <w:t xml:space="preserve">16 -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الْوِصَالِ</w:t>
            </w:r>
            <w:r w:rsidR="001B7674" w:rsidRPr="00515391">
              <w:rPr>
                <w:rStyle w:val="Hyperlink"/>
                <w:noProof/>
                <w:rtl/>
                <w:lang w:bidi="fa-IR"/>
              </w:rPr>
              <w:t xml:space="preserve"> </w:t>
            </w:r>
            <w:r w:rsidR="001B7674" w:rsidRPr="00515391">
              <w:rPr>
                <w:rStyle w:val="Hyperlink"/>
                <w:rFonts w:hint="eastAsia"/>
                <w:noProof/>
                <w:rtl/>
                <w:lang w:bidi="fa-IR"/>
              </w:rPr>
              <w:t>وَصَوْمِ</w:t>
            </w:r>
            <w:r w:rsidR="001B7674" w:rsidRPr="00515391">
              <w:rPr>
                <w:rStyle w:val="Hyperlink"/>
                <w:noProof/>
                <w:rtl/>
                <w:lang w:bidi="fa-IR"/>
              </w:rPr>
              <w:t xml:space="preserve"> </w:t>
            </w:r>
            <w:r w:rsidR="001B7674" w:rsidRPr="00515391">
              <w:rPr>
                <w:rStyle w:val="Hyperlink"/>
                <w:rFonts w:hint="eastAsia"/>
                <w:noProof/>
                <w:rtl/>
                <w:lang w:bidi="fa-IR"/>
              </w:rPr>
              <w:t>الدَّهْرِ‌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500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2" w:history="1">
            <w:r w:rsidR="001B7674" w:rsidRPr="00515391">
              <w:rPr>
                <w:rStyle w:val="Hyperlink"/>
                <w:noProof/>
                <w:rtl/>
                <w:lang w:bidi="fa-IR"/>
              </w:rPr>
              <w:t xml:space="preserve">17 -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أَكَلَ</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شَرِبَ</w:t>
            </w:r>
            <w:r w:rsidR="001B7674" w:rsidRPr="00515391">
              <w:rPr>
                <w:rStyle w:val="Hyperlink"/>
                <w:noProof/>
                <w:rtl/>
                <w:lang w:bidi="fa-IR"/>
              </w:rPr>
              <w:t xml:space="preserve"> </w:t>
            </w:r>
            <w:r w:rsidR="001B7674" w:rsidRPr="00515391">
              <w:rPr>
                <w:rStyle w:val="Hyperlink"/>
                <w:rFonts w:hint="eastAsia"/>
                <w:noProof/>
                <w:rtl/>
                <w:lang w:bidi="fa-IR"/>
              </w:rPr>
              <w:t>وَهُوَ</w:t>
            </w:r>
            <w:r w:rsidR="001B7674" w:rsidRPr="00515391">
              <w:rPr>
                <w:rStyle w:val="Hyperlink"/>
                <w:noProof/>
                <w:rtl/>
                <w:lang w:bidi="fa-IR"/>
              </w:rPr>
              <w:t xml:space="preserve"> </w:t>
            </w:r>
            <w:r w:rsidR="001B7674" w:rsidRPr="00515391">
              <w:rPr>
                <w:rStyle w:val="Hyperlink"/>
                <w:rFonts w:hint="eastAsia"/>
                <w:noProof/>
                <w:rtl/>
                <w:lang w:bidi="fa-IR"/>
              </w:rPr>
              <w:t>شَاكٌّ</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الْفَجْرِ</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بَعْدَ</w:t>
            </w:r>
            <w:r w:rsidR="001B7674" w:rsidRPr="00515391">
              <w:rPr>
                <w:rStyle w:val="Hyperlink"/>
                <w:noProof/>
                <w:rtl/>
                <w:lang w:bidi="fa-IR"/>
              </w:rPr>
              <w:t xml:space="preserve"> </w:t>
            </w:r>
            <w:r w:rsidR="001B7674" w:rsidRPr="00515391">
              <w:rPr>
                <w:rStyle w:val="Hyperlink"/>
                <w:rFonts w:hint="eastAsia"/>
                <w:noProof/>
                <w:rtl/>
                <w:lang w:bidi="fa-IR"/>
              </w:rPr>
              <w:t>طُلُوعِهِ‌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503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3" w:history="1">
            <w:r w:rsidR="001B7674" w:rsidRPr="00515391">
              <w:rPr>
                <w:rStyle w:val="Hyperlink"/>
                <w:noProof/>
                <w:rtl/>
                <w:lang w:bidi="fa-IR"/>
              </w:rPr>
              <w:t xml:space="preserve">18 -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الْفَجْرِ</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هُوَ</w:t>
            </w:r>
            <w:r w:rsidR="001B7674" w:rsidRPr="00515391">
              <w:rPr>
                <w:rStyle w:val="Hyperlink"/>
                <w:noProof/>
                <w:rtl/>
                <w:lang w:bidi="fa-IR"/>
              </w:rPr>
              <w:t xml:space="preserve"> </w:t>
            </w:r>
            <w:r w:rsidR="001B7674" w:rsidRPr="00515391">
              <w:rPr>
                <w:rStyle w:val="Hyperlink"/>
                <w:rFonts w:hint="eastAsia"/>
                <w:noProof/>
                <w:rtl/>
                <w:lang w:bidi="fa-IR"/>
              </w:rPr>
              <w:t>وَمَتى</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rPr>
              <w:t xml:space="preserve"> </w:t>
            </w:r>
            <w:r w:rsidR="001B7674" w:rsidRPr="00515391">
              <w:rPr>
                <w:rStyle w:val="Hyperlink"/>
                <w:rFonts w:hint="eastAsia"/>
                <w:noProof/>
                <w:rtl/>
                <w:lang w:bidi="fa-IR"/>
              </w:rPr>
              <w:t>يَحِلُّ</w:t>
            </w:r>
            <w:r w:rsidR="001B7674" w:rsidRPr="00515391">
              <w:rPr>
                <w:rStyle w:val="Hyperlink"/>
                <w:noProof/>
                <w:rtl/>
                <w:lang w:bidi="fa-IR"/>
              </w:rPr>
              <w:t xml:space="preserve"> </w:t>
            </w:r>
            <w:r w:rsidR="001B7674" w:rsidRPr="00515391">
              <w:rPr>
                <w:rStyle w:val="Hyperlink"/>
                <w:rFonts w:hint="eastAsia"/>
                <w:noProof/>
                <w:rtl/>
                <w:lang w:bidi="fa-IR"/>
              </w:rPr>
              <w:t>وَمَتى</w:t>
            </w:r>
            <w:r w:rsidR="001B7674" w:rsidRPr="00515391">
              <w:rPr>
                <w:rStyle w:val="Hyperlink"/>
                <w:noProof/>
                <w:rtl/>
                <w:lang w:bidi="fa-IR"/>
              </w:rPr>
              <w:t xml:space="preserve"> </w:t>
            </w:r>
            <w:r w:rsidR="001B7674" w:rsidRPr="00515391">
              <w:rPr>
                <w:rStyle w:val="Hyperlink"/>
                <w:rFonts w:hint="eastAsia"/>
                <w:noProof/>
                <w:rtl/>
                <w:lang w:bidi="fa-IR"/>
              </w:rPr>
              <w:t>يَحْرُمُ</w:t>
            </w:r>
            <w:r w:rsidR="001B7674" w:rsidRPr="00515391">
              <w:rPr>
                <w:rStyle w:val="Hyperlink"/>
                <w:noProof/>
                <w:rtl/>
                <w:lang w:bidi="fa-IR"/>
              </w:rPr>
              <w:t xml:space="preserve"> </w:t>
            </w:r>
            <w:r w:rsidR="001B7674" w:rsidRPr="00515391">
              <w:rPr>
                <w:rStyle w:val="Hyperlink"/>
                <w:rFonts w:hint="eastAsia"/>
                <w:noProof/>
                <w:rtl/>
                <w:lang w:bidi="fa-IR"/>
              </w:rPr>
              <w:t>الْأَكْلُ‌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507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4" w:history="1">
            <w:r w:rsidR="001B7674" w:rsidRPr="00515391">
              <w:rPr>
                <w:rStyle w:val="Hyperlink"/>
                <w:noProof/>
                <w:rtl/>
                <w:lang w:bidi="fa-IR"/>
              </w:rPr>
              <w:t xml:space="preserve">19 -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ظَنَّ</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لَيْلٌ</w:t>
            </w:r>
            <w:r w:rsidR="001B7674" w:rsidRPr="00515391">
              <w:rPr>
                <w:rStyle w:val="Hyperlink"/>
                <w:noProof/>
                <w:rtl/>
                <w:lang w:bidi="fa-IR"/>
              </w:rPr>
              <w:t xml:space="preserve"> </w:t>
            </w:r>
            <w:r w:rsidR="001B7674" w:rsidRPr="00515391">
              <w:rPr>
                <w:rStyle w:val="Hyperlink"/>
                <w:rFonts w:hint="eastAsia"/>
                <w:noProof/>
                <w:rtl/>
                <w:lang w:bidi="fa-IR"/>
              </w:rPr>
              <w:t>فَأَفْطَرَ</w:t>
            </w:r>
            <w:r w:rsidR="001B7674" w:rsidRPr="00515391">
              <w:rPr>
                <w:rStyle w:val="Hyperlink"/>
                <w:noProof/>
                <w:rtl/>
                <w:lang w:bidi="fa-IR"/>
              </w:rPr>
              <w:t xml:space="preserve"> </w:t>
            </w:r>
            <w:r w:rsidR="001B7674" w:rsidRPr="00515391">
              <w:rPr>
                <w:rStyle w:val="Hyperlink"/>
                <w:rFonts w:hint="eastAsia"/>
                <w:noProof/>
                <w:rtl/>
                <w:lang w:bidi="fa-IR"/>
              </w:rPr>
              <w:t>قَبْلَ</w:t>
            </w:r>
            <w:r w:rsidR="001B7674" w:rsidRPr="00515391">
              <w:rPr>
                <w:rStyle w:val="Hyperlink"/>
                <w:noProof/>
                <w:rtl/>
                <w:lang w:bidi="fa-IR"/>
              </w:rPr>
              <w:t xml:space="preserve"> </w:t>
            </w:r>
            <w:r w:rsidR="001B7674" w:rsidRPr="00515391">
              <w:rPr>
                <w:rStyle w:val="Hyperlink"/>
                <w:rFonts w:hint="eastAsia"/>
                <w:noProof/>
                <w:rtl/>
                <w:lang w:bidi="fa-IR"/>
              </w:rPr>
              <w:t>اللَّيْلِ‌</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513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5" w:history="1">
            <w:r w:rsidR="001B7674" w:rsidRPr="00515391">
              <w:rPr>
                <w:rStyle w:val="Hyperlink"/>
                <w:noProof/>
                <w:rtl/>
                <w:lang w:bidi="fa-IR"/>
              </w:rPr>
              <w:t xml:space="preserve">20 -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وَقْتِ</w:t>
            </w:r>
            <w:r w:rsidR="001B7674" w:rsidRPr="00515391">
              <w:rPr>
                <w:rStyle w:val="Hyperlink"/>
                <w:noProof/>
                <w:rtl/>
                <w:lang w:bidi="fa-IR"/>
              </w:rPr>
              <w:t xml:space="preserve"> </w:t>
            </w:r>
            <w:r w:rsidR="001B7674" w:rsidRPr="00515391">
              <w:rPr>
                <w:rStyle w:val="Hyperlink"/>
                <w:rFonts w:hint="eastAsia"/>
                <w:noProof/>
                <w:rtl/>
                <w:lang w:bidi="fa-IR"/>
              </w:rPr>
              <w:t>الْإِفْطَارِ‌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514</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6" w:history="1">
            <w:r w:rsidR="001B7674" w:rsidRPr="00515391">
              <w:rPr>
                <w:rStyle w:val="Hyperlink"/>
                <w:noProof/>
                <w:rtl/>
                <w:lang w:bidi="fa-IR"/>
              </w:rPr>
              <w:t xml:space="preserve">21 -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أَكَلَ</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شَرِبَ</w:t>
            </w:r>
            <w:r w:rsidR="001B7674" w:rsidRPr="00515391">
              <w:rPr>
                <w:rStyle w:val="Hyperlink"/>
                <w:noProof/>
                <w:rtl/>
                <w:lang w:bidi="fa-IR"/>
              </w:rPr>
              <w:t xml:space="preserve"> </w:t>
            </w:r>
            <w:r w:rsidR="001B7674" w:rsidRPr="00515391">
              <w:rPr>
                <w:rStyle w:val="Hyperlink"/>
                <w:rFonts w:hint="eastAsia"/>
                <w:noProof/>
                <w:rtl/>
                <w:lang w:bidi="fa-IR"/>
              </w:rPr>
              <w:t>نَاسِياً</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516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7" w:history="1">
            <w:r w:rsidR="001B7674" w:rsidRPr="00515391">
              <w:rPr>
                <w:rStyle w:val="Hyperlink"/>
                <w:noProof/>
                <w:rtl/>
                <w:lang w:bidi="fa-IR"/>
              </w:rPr>
              <w:t xml:space="preserve">22 -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أَفْطَرَ</w:t>
            </w:r>
            <w:r w:rsidR="001B7674" w:rsidRPr="00515391">
              <w:rPr>
                <w:rStyle w:val="Hyperlink"/>
                <w:noProof/>
                <w:rtl/>
                <w:lang w:bidi="fa-IR"/>
              </w:rPr>
              <w:t xml:space="preserve"> </w:t>
            </w:r>
            <w:r w:rsidR="001B7674" w:rsidRPr="00515391">
              <w:rPr>
                <w:rStyle w:val="Hyperlink"/>
                <w:rFonts w:hint="eastAsia"/>
                <w:noProof/>
                <w:rtl/>
                <w:lang w:bidi="fa-IR"/>
              </w:rPr>
              <w:t>مُتَعَمِّداً</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غَيْرِ</w:t>
            </w:r>
            <w:r w:rsidR="001B7674" w:rsidRPr="00515391">
              <w:rPr>
                <w:rStyle w:val="Hyperlink"/>
                <w:noProof/>
                <w:rtl/>
                <w:lang w:bidi="fa-IR"/>
              </w:rPr>
              <w:t xml:space="preserve"> </w:t>
            </w:r>
            <w:r w:rsidR="001B7674" w:rsidRPr="00515391">
              <w:rPr>
                <w:rStyle w:val="Hyperlink"/>
                <w:rFonts w:hint="eastAsia"/>
                <w:noProof/>
                <w:rtl/>
                <w:lang w:bidi="fa-IR"/>
              </w:rPr>
              <w:t>عُذْرٍ</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جَامَعَ</w:t>
            </w:r>
            <w:r w:rsidR="001B7674" w:rsidRPr="00515391">
              <w:rPr>
                <w:rStyle w:val="Hyperlink"/>
                <w:noProof/>
                <w:rtl/>
                <w:lang w:bidi="fa-IR"/>
              </w:rPr>
              <w:t xml:space="preserve"> </w:t>
            </w:r>
            <w:r w:rsidR="001B7674" w:rsidRPr="00515391">
              <w:rPr>
                <w:rStyle w:val="Hyperlink"/>
                <w:rFonts w:hint="eastAsia"/>
                <w:noProof/>
                <w:rtl/>
                <w:lang w:bidi="fa-IR"/>
              </w:rPr>
              <w:t>مُتَعَمِّداً</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517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58" w:history="1">
            <w:r w:rsidR="001B7674" w:rsidRPr="00515391">
              <w:rPr>
                <w:rStyle w:val="Hyperlink"/>
                <w:noProof/>
                <w:rtl/>
                <w:lang w:bidi="fa-IR"/>
              </w:rPr>
              <w:t xml:space="preserve">23 -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يُقَبِّلُ</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يُبَاشِرُ‌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44599958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524</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959" w:history="1">
            <w:r w:rsidR="001B7674" w:rsidRPr="00515391">
              <w:rPr>
                <w:rStyle w:val="Hyperlink"/>
                <w:noProof/>
                <w:rtl/>
                <w:lang w:bidi="fa-IR"/>
              </w:rPr>
              <w:t xml:space="preserve">24 -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فِيمَنْ</w:t>
            </w:r>
            <w:r w:rsidR="001B7674" w:rsidRPr="00515391">
              <w:rPr>
                <w:rStyle w:val="Hyperlink"/>
                <w:noProof/>
                <w:rtl/>
                <w:lang w:bidi="fa-IR"/>
              </w:rPr>
              <w:t xml:space="preserve"> </w:t>
            </w:r>
            <w:r w:rsidR="001B7674" w:rsidRPr="00515391">
              <w:rPr>
                <w:rStyle w:val="Hyperlink"/>
                <w:rFonts w:hint="eastAsia"/>
                <w:noProof/>
                <w:rtl/>
                <w:lang w:bidi="fa-IR"/>
              </w:rPr>
              <w:t>أَجْنَبَ</w:t>
            </w:r>
            <w:r w:rsidR="001B7674" w:rsidRPr="00515391">
              <w:rPr>
                <w:rStyle w:val="Hyperlink"/>
                <w:noProof/>
                <w:rtl/>
                <w:lang w:bidi="fa-IR"/>
              </w:rPr>
              <w:t xml:space="preserve"> </w:t>
            </w:r>
            <w:r w:rsidR="001B7674" w:rsidRPr="00515391">
              <w:rPr>
                <w:rStyle w:val="Hyperlink"/>
                <w:rFonts w:hint="eastAsia"/>
                <w:noProof/>
                <w:rtl/>
                <w:lang w:bidi="fa-IR"/>
              </w:rPr>
              <w:t>بِاللَّيْلِ</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sidRPr="00515391">
              <w:rPr>
                <w:rStyle w:val="Hyperlink"/>
                <w:noProof/>
                <w:rtl/>
                <w:lang w:bidi="fa-IR"/>
              </w:rPr>
              <w:t xml:space="preserve"> </w:t>
            </w:r>
            <w:r w:rsidR="001B7674" w:rsidRPr="00515391">
              <w:rPr>
                <w:rStyle w:val="Hyperlink"/>
                <w:rFonts w:hint="eastAsia"/>
                <w:noProof/>
                <w:rtl/>
                <w:lang w:bidi="fa-IR"/>
              </w:rPr>
              <w:t>وَغَيْرِهِ</w:t>
            </w:r>
            <w:r w:rsidR="001B7674" w:rsidRPr="00515391">
              <w:rPr>
                <w:rStyle w:val="Hyperlink"/>
                <w:noProof/>
                <w:rtl/>
                <w:lang w:bidi="fa-IR"/>
              </w:rPr>
              <w:t xml:space="preserve"> </w:t>
            </w:r>
            <w:r w:rsidR="001B7674" w:rsidRPr="00515391">
              <w:rPr>
                <w:rStyle w:val="Hyperlink"/>
                <w:rFonts w:hint="eastAsia"/>
                <w:noProof/>
                <w:rtl/>
                <w:lang w:bidi="fa-IR"/>
              </w:rPr>
              <w:t>فَتَرَكَ</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rPr>
              <w:t xml:space="preserve"> </w:t>
            </w:r>
            <w:r w:rsidR="001B7674" w:rsidRPr="00515391">
              <w:rPr>
                <w:rStyle w:val="Hyperlink"/>
                <w:rFonts w:hint="eastAsia"/>
                <w:noProof/>
                <w:rtl/>
                <w:lang w:bidi="fa-IR"/>
              </w:rPr>
              <w:t>الْغُسْلَ</w:t>
            </w:r>
            <w:r w:rsidR="001B7674" w:rsidRPr="00515391">
              <w:rPr>
                <w:rStyle w:val="Hyperlink"/>
                <w:noProof/>
                <w:rtl/>
                <w:lang w:bidi="fa-IR"/>
              </w:rPr>
              <w:t xml:space="preserve"> </w:t>
            </w:r>
            <w:r w:rsidR="001B7674" w:rsidRPr="00515391">
              <w:rPr>
                <w:rStyle w:val="Hyperlink"/>
                <w:rFonts w:hint="eastAsia"/>
                <w:noProof/>
                <w:rtl/>
                <w:lang w:bidi="fa-IR"/>
              </w:rPr>
              <w:t>إِلى</w:t>
            </w:r>
          </w:hyperlink>
          <w:r w:rsidR="003A113B">
            <w:rPr>
              <w:rStyle w:val="Hyperlink"/>
              <w:rFonts w:hint="cs"/>
              <w:noProof/>
              <w:rtl/>
            </w:rPr>
            <w:t xml:space="preserve"> </w:t>
          </w:r>
          <w:hyperlink w:anchor="_Toc44599960" w:history="1">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يُصْبِحَ</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احْتَلَمَ</w:t>
            </w:r>
            <w:r w:rsidR="001B7674" w:rsidRPr="00515391">
              <w:rPr>
                <w:rStyle w:val="Hyperlink"/>
                <w:noProof/>
                <w:rtl/>
                <w:lang w:bidi="fa-IR"/>
              </w:rPr>
              <w:t xml:space="preserve"> </w:t>
            </w:r>
            <w:r w:rsidR="001B7674" w:rsidRPr="00515391">
              <w:rPr>
                <w:rStyle w:val="Hyperlink"/>
                <w:rFonts w:hint="eastAsia"/>
                <w:noProof/>
                <w:rtl/>
                <w:lang w:bidi="fa-IR"/>
              </w:rPr>
              <w:t>بِاللَّيْلِ</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النَّهَارِ</w:t>
            </w:r>
            <w:r w:rsidR="001B7674" w:rsidRPr="00515391">
              <w:rPr>
                <w:rStyle w:val="Hyperlink"/>
                <w:noProof/>
                <w:rtl/>
                <w:lang w:bidi="fa-IR"/>
              </w:rPr>
              <w:t xml:space="preserve"> </w:t>
            </w:r>
            <w:r w:rsidR="001B7674" w:rsidRPr="00515391">
              <w:rPr>
                <w:rStyle w:val="Hyperlink"/>
                <w:noProof/>
                <w:vertAlign w:val="superscript"/>
                <w:rtl/>
              </w:rPr>
              <w:t>(8)</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526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1" w:history="1">
            <w:r w:rsidR="001B7674" w:rsidRPr="00515391">
              <w:rPr>
                <w:rStyle w:val="Hyperlink"/>
                <w:noProof/>
                <w:rtl/>
                <w:lang w:bidi="fa-IR"/>
              </w:rPr>
              <w:t xml:space="preserve">25 -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rFonts w:hint="eastAsia"/>
                <w:noProof/>
                <w:rtl/>
                <w:lang w:bidi="fa-IR"/>
              </w:rPr>
              <w:t>الِارْتِمَاسِ</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الْمَاءِ</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529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2" w:history="1">
            <w:r w:rsidR="001B7674" w:rsidRPr="00515391">
              <w:rPr>
                <w:rStyle w:val="Hyperlink"/>
                <w:noProof/>
                <w:rtl/>
                <w:lang w:bidi="fa-IR"/>
              </w:rPr>
              <w:t xml:space="preserve">26 -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الْمَضْمَضَةِ</w:t>
            </w:r>
            <w:r w:rsidR="001B7674" w:rsidRPr="00515391">
              <w:rPr>
                <w:rStyle w:val="Hyperlink"/>
                <w:noProof/>
                <w:rtl/>
                <w:lang w:bidi="fa-IR"/>
              </w:rPr>
              <w:t xml:space="preserve"> </w:t>
            </w:r>
            <w:r w:rsidR="001B7674" w:rsidRPr="00515391">
              <w:rPr>
                <w:rStyle w:val="Hyperlink"/>
                <w:rFonts w:hint="eastAsia"/>
                <w:noProof/>
                <w:rtl/>
                <w:lang w:bidi="fa-IR"/>
              </w:rPr>
              <w:t>وَالِاسْتِنْشَاقِ</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533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3" w:history="1">
            <w:r w:rsidR="001B7674" w:rsidRPr="00515391">
              <w:rPr>
                <w:rStyle w:val="Hyperlink"/>
                <w:noProof/>
                <w:rtl/>
                <w:lang w:bidi="fa-IR"/>
              </w:rPr>
              <w:t xml:space="preserve">27 -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يَتَقَيَّأُ</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يَذْرَعُهُ</w:t>
            </w:r>
            <w:r w:rsidR="001B7674" w:rsidRPr="00515391">
              <w:rPr>
                <w:rStyle w:val="Hyperlink"/>
                <w:noProof/>
                <w:rtl/>
                <w:lang w:bidi="fa-IR"/>
              </w:rPr>
              <w:t xml:space="preserve"> </w:t>
            </w:r>
            <w:r w:rsidR="001B7674" w:rsidRPr="00515391">
              <w:rPr>
                <w:rStyle w:val="Hyperlink"/>
                <w:rFonts w:hint="eastAsia"/>
                <w:noProof/>
                <w:rtl/>
                <w:lang w:bidi="fa-IR"/>
              </w:rPr>
              <w:t>الْقَيْ‌ءُ</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يَقْلِسُ‌</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535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4" w:history="1">
            <w:r w:rsidR="001B7674" w:rsidRPr="00515391">
              <w:rPr>
                <w:rStyle w:val="Hyperlink"/>
                <w:noProof/>
                <w:rtl/>
                <w:lang w:bidi="fa-IR"/>
              </w:rPr>
              <w:t xml:space="preserve">28 -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يَحْتَجِمُ</w:t>
            </w:r>
            <w:r w:rsidR="001B7674" w:rsidRPr="00515391">
              <w:rPr>
                <w:rStyle w:val="Hyperlink"/>
                <w:noProof/>
                <w:rtl/>
                <w:lang w:bidi="fa-IR"/>
              </w:rPr>
              <w:t xml:space="preserve"> </w:t>
            </w:r>
            <w:r w:rsidR="001B7674" w:rsidRPr="00515391">
              <w:rPr>
                <w:rStyle w:val="Hyperlink"/>
                <w:rFonts w:hint="eastAsia"/>
                <w:noProof/>
                <w:rtl/>
                <w:lang w:bidi="fa-IR"/>
              </w:rPr>
              <w:t>وَيَدْخُلُ</w:t>
            </w:r>
            <w:r w:rsidR="001B7674" w:rsidRPr="00515391">
              <w:rPr>
                <w:rStyle w:val="Hyperlink"/>
                <w:noProof/>
                <w:rtl/>
                <w:lang w:bidi="fa-IR"/>
              </w:rPr>
              <w:t xml:space="preserve"> </w:t>
            </w:r>
            <w:r w:rsidR="001B7674" w:rsidRPr="00515391">
              <w:rPr>
                <w:rStyle w:val="Hyperlink"/>
                <w:rFonts w:hint="eastAsia"/>
                <w:noProof/>
                <w:rtl/>
                <w:lang w:bidi="fa-IR"/>
              </w:rPr>
              <w:t>الْحَمَّامَ‌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538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5" w:history="1">
            <w:r w:rsidR="001B7674" w:rsidRPr="00515391">
              <w:rPr>
                <w:rStyle w:val="Hyperlink"/>
                <w:noProof/>
                <w:rtl/>
                <w:lang w:bidi="fa-IR"/>
              </w:rPr>
              <w:t xml:space="preserve">29 -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يَسْعُطُ</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وَيَصُبُّ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أُذُنِهِ</w:t>
            </w:r>
            <w:r w:rsidR="001B7674" w:rsidRPr="00515391">
              <w:rPr>
                <w:rStyle w:val="Hyperlink"/>
                <w:noProof/>
                <w:rtl/>
                <w:lang w:bidi="fa-IR"/>
              </w:rPr>
              <w:t xml:space="preserve"> </w:t>
            </w:r>
            <w:r w:rsidR="001B7674" w:rsidRPr="00515391">
              <w:rPr>
                <w:rStyle w:val="Hyperlink"/>
                <w:rFonts w:hint="eastAsia"/>
                <w:noProof/>
                <w:rtl/>
                <w:lang w:bidi="fa-IR"/>
              </w:rPr>
              <w:t>الدُّهْنَ</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يَحْتَقِنُ</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540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6" w:history="1">
            <w:r w:rsidR="001B7674" w:rsidRPr="00515391">
              <w:rPr>
                <w:rStyle w:val="Hyperlink"/>
                <w:noProof/>
                <w:rtl/>
                <w:lang w:bidi="fa-IR"/>
              </w:rPr>
              <w:t xml:space="preserve">30 -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الْكُحْلِ</w:t>
            </w:r>
            <w:r w:rsidR="001B7674" w:rsidRPr="00515391">
              <w:rPr>
                <w:rStyle w:val="Hyperlink"/>
                <w:noProof/>
                <w:rtl/>
                <w:lang w:bidi="fa-IR"/>
              </w:rPr>
              <w:t xml:space="preserve"> </w:t>
            </w:r>
            <w:r w:rsidR="001B7674" w:rsidRPr="00515391">
              <w:rPr>
                <w:rStyle w:val="Hyperlink"/>
                <w:rFonts w:hint="eastAsia"/>
                <w:noProof/>
                <w:rtl/>
                <w:lang w:bidi="fa-IR"/>
              </w:rPr>
              <w:t>وَالذَّرُورِ</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544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7" w:history="1">
            <w:r w:rsidR="001B7674" w:rsidRPr="00515391">
              <w:rPr>
                <w:rStyle w:val="Hyperlink"/>
                <w:noProof/>
                <w:rtl/>
                <w:lang w:bidi="fa-IR"/>
              </w:rPr>
              <w:t xml:space="preserve">31 -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السِّوَاكِ</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545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8" w:history="1">
            <w:r w:rsidR="001B7674" w:rsidRPr="00515391">
              <w:rPr>
                <w:rStyle w:val="Hyperlink"/>
                <w:noProof/>
                <w:rtl/>
                <w:lang w:bidi="fa-IR"/>
              </w:rPr>
              <w:t xml:space="preserve">32 -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الطِّيبِ</w:t>
            </w:r>
            <w:r w:rsidR="001B7674" w:rsidRPr="00515391">
              <w:rPr>
                <w:rStyle w:val="Hyperlink"/>
                <w:noProof/>
                <w:rtl/>
                <w:lang w:bidi="fa-IR"/>
              </w:rPr>
              <w:t xml:space="preserve"> </w:t>
            </w:r>
            <w:r w:rsidR="001B7674" w:rsidRPr="00515391">
              <w:rPr>
                <w:rStyle w:val="Hyperlink"/>
                <w:rFonts w:hint="eastAsia"/>
                <w:noProof/>
                <w:rtl/>
                <w:lang w:bidi="fa-IR"/>
              </w:rPr>
              <w:t>وَالرَّيْحَانِ</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547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69" w:history="1">
            <w:r w:rsidR="001B7674" w:rsidRPr="00515391">
              <w:rPr>
                <w:rStyle w:val="Hyperlink"/>
                <w:noProof/>
                <w:rtl/>
                <w:lang w:bidi="fa-IR"/>
              </w:rPr>
              <w:t xml:space="preserve">33 -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مَضْغِ</w:t>
            </w:r>
            <w:r w:rsidR="001B7674" w:rsidRPr="00515391">
              <w:rPr>
                <w:rStyle w:val="Hyperlink"/>
                <w:noProof/>
                <w:rtl/>
                <w:lang w:bidi="fa-IR"/>
              </w:rPr>
              <w:t xml:space="preserve"> </w:t>
            </w:r>
            <w:r w:rsidR="001B7674" w:rsidRPr="00515391">
              <w:rPr>
                <w:rStyle w:val="Hyperlink"/>
                <w:rFonts w:hint="eastAsia"/>
                <w:noProof/>
                <w:rtl/>
                <w:lang w:bidi="fa-IR"/>
              </w:rPr>
              <w:t>الْعِلْكِ</w:t>
            </w:r>
            <w:r w:rsidR="001B7674" w:rsidRPr="00515391">
              <w:rPr>
                <w:rStyle w:val="Hyperlink"/>
                <w:noProof/>
                <w:rtl/>
                <w:lang w:bidi="fa-IR"/>
              </w:rPr>
              <w:t xml:space="preserve"> </w:t>
            </w:r>
            <w:r w:rsidR="001B7674" w:rsidRPr="00515391">
              <w:rPr>
                <w:rStyle w:val="Hyperlink"/>
                <w:rFonts w:hint="eastAsia"/>
                <w:noProof/>
                <w:rtl/>
                <w:lang w:bidi="fa-IR"/>
              </w:rPr>
              <w:t>لِلصَّائِمِ‌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44599969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552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0" w:history="1">
            <w:r w:rsidR="001B7674" w:rsidRPr="00515391">
              <w:rPr>
                <w:rStyle w:val="Hyperlink"/>
                <w:noProof/>
                <w:rtl/>
                <w:lang w:bidi="fa-IR"/>
              </w:rPr>
              <w:t xml:space="preserve">34 -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يَذُوقُ</w:t>
            </w:r>
            <w:r w:rsidR="001B7674" w:rsidRPr="00515391">
              <w:rPr>
                <w:rStyle w:val="Hyperlink"/>
                <w:noProof/>
                <w:rtl/>
                <w:lang w:bidi="fa-IR"/>
              </w:rPr>
              <w:t xml:space="preserve"> </w:t>
            </w:r>
            <w:r w:rsidR="001B7674" w:rsidRPr="00515391">
              <w:rPr>
                <w:rStyle w:val="Hyperlink"/>
                <w:rFonts w:hint="eastAsia"/>
                <w:noProof/>
                <w:rtl/>
                <w:lang w:bidi="fa-IR"/>
              </w:rPr>
              <w:t>الْقِدْرَ</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rPr>
              <w:t xml:space="preserve"> </w:t>
            </w:r>
            <w:r w:rsidR="001B7674" w:rsidRPr="00515391">
              <w:rPr>
                <w:rStyle w:val="Hyperlink"/>
                <w:rFonts w:hint="eastAsia"/>
                <w:noProof/>
                <w:rtl/>
                <w:lang w:bidi="fa-IR"/>
              </w:rPr>
              <w:t>وَيَزُقُّ</w:t>
            </w:r>
            <w:r w:rsidR="001B7674" w:rsidRPr="00515391">
              <w:rPr>
                <w:rStyle w:val="Hyperlink"/>
                <w:noProof/>
                <w:rtl/>
                <w:lang w:bidi="fa-IR"/>
              </w:rPr>
              <w:t xml:space="preserve"> </w:t>
            </w:r>
            <w:r w:rsidR="001B7674" w:rsidRPr="00515391">
              <w:rPr>
                <w:rStyle w:val="Hyperlink"/>
                <w:rFonts w:hint="eastAsia"/>
                <w:noProof/>
                <w:rtl/>
                <w:lang w:bidi="fa-IR"/>
              </w:rPr>
              <w:t>الْفَرْخَ</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553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1" w:history="1">
            <w:r w:rsidR="001B7674" w:rsidRPr="00515391">
              <w:rPr>
                <w:rStyle w:val="Hyperlink"/>
                <w:noProof/>
                <w:rtl/>
                <w:lang w:bidi="fa-IR"/>
              </w:rPr>
              <w:t xml:space="preserve">35 -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الصَّائِمِ</w:t>
            </w:r>
            <w:r w:rsidR="001B7674" w:rsidRPr="00515391">
              <w:rPr>
                <w:rStyle w:val="Hyperlink"/>
                <w:noProof/>
                <w:rtl/>
                <w:lang w:bidi="fa-IR"/>
              </w:rPr>
              <w:t xml:space="preserve"> </w:t>
            </w:r>
            <w:r w:rsidR="001B7674" w:rsidRPr="00515391">
              <w:rPr>
                <w:rStyle w:val="Hyperlink"/>
                <w:rFonts w:hint="eastAsia"/>
                <w:noProof/>
                <w:rtl/>
                <w:lang w:bidi="fa-IR"/>
              </w:rPr>
              <w:t>يَزْدَرِدُ</w:t>
            </w:r>
            <w:r w:rsidR="001B7674" w:rsidRPr="00515391">
              <w:rPr>
                <w:rStyle w:val="Hyperlink"/>
                <w:noProof/>
                <w:rtl/>
                <w:lang w:bidi="fa-IR"/>
              </w:rPr>
              <w:t xml:space="preserve"> </w:t>
            </w:r>
            <w:r w:rsidR="001B7674" w:rsidRPr="00515391">
              <w:rPr>
                <w:rStyle w:val="Hyperlink"/>
                <w:rFonts w:hint="eastAsia"/>
                <w:noProof/>
                <w:rtl/>
                <w:lang w:bidi="fa-IR"/>
              </w:rPr>
              <w:t>نُخَامَتَهُ</w:t>
            </w:r>
            <w:r w:rsidR="001B7674" w:rsidRPr="00515391">
              <w:rPr>
                <w:rStyle w:val="Hyperlink"/>
                <w:noProof/>
                <w:rtl/>
                <w:lang w:bidi="fa-IR"/>
              </w:rPr>
              <w:t xml:space="preserve"> </w:t>
            </w:r>
            <w:r w:rsidR="001B7674" w:rsidRPr="00515391">
              <w:rPr>
                <w:rStyle w:val="Hyperlink"/>
                <w:rFonts w:hint="eastAsia"/>
                <w:noProof/>
                <w:rtl/>
                <w:lang w:bidi="fa-IR"/>
              </w:rPr>
              <w:t>وَيَدْخُلُ</w:t>
            </w:r>
            <w:r w:rsidR="001B7674" w:rsidRPr="00515391">
              <w:rPr>
                <w:rStyle w:val="Hyperlink"/>
                <w:noProof/>
                <w:rtl/>
                <w:lang w:bidi="fa-IR"/>
              </w:rPr>
              <w:t xml:space="preserve"> </w:t>
            </w:r>
            <w:r w:rsidR="001B7674" w:rsidRPr="00515391">
              <w:rPr>
                <w:rStyle w:val="Hyperlink"/>
                <w:rFonts w:hint="eastAsia"/>
                <w:noProof/>
                <w:rtl/>
                <w:lang w:bidi="fa-IR"/>
              </w:rPr>
              <w:t>حَلْقَهُ</w:t>
            </w:r>
            <w:r w:rsidR="001B7674" w:rsidRPr="00515391">
              <w:rPr>
                <w:rStyle w:val="Hyperlink"/>
                <w:noProof/>
                <w:rtl/>
                <w:lang w:bidi="fa-IR"/>
              </w:rPr>
              <w:t xml:space="preserve"> </w:t>
            </w:r>
            <w:r w:rsidR="001B7674" w:rsidRPr="00515391">
              <w:rPr>
                <w:rStyle w:val="Hyperlink"/>
                <w:rFonts w:hint="eastAsia"/>
                <w:noProof/>
                <w:rtl/>
                <w:lang w:bidi="fa-IR"/>
              </w:rPr>
              <w:t>الذُّبَابُ‌</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555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2" w:history="1">
            <w:r w:rsidR="001B7674" w:rsidRPr="00515391">
              <w:rPr>
                <w:rStyle w:val="Hyperlink"/>
                <w:noProof/>
                <w:rtl/>
                <w:lang w:bidi="fa-IR"/>
              </w:rPr>
              <w:t xml:space="preserve">36 -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يَمُصُّ</w:t>
            </w:r>
            <w:r w:rsidR="001B7674" w:rsidRPr="00515391">
              <w:rPr>
                <w:rStyle w:val="Hyperlink"/>
                <w:noProof/>
                <w:rtl/>
                <w:lang w:bidi="fa-IR"/>
              </w:rPr>
              <w:t xml:space="preserve"> </w:t>
            </w:r>
            <w:r w:rsidR="001B7674" w:rsidRPr="00515391">
              <w:rPr>
                <w:rStyle w:val="Hyperlink"/>
                <w:rFonts w:hint="eastAsia"/>
                <w:noProof/>
                <w:rtl/>
                <w:lang w:bidi="fa-IR"/>
              </w:rPr>
              <w:t>الْخَاتَمَ</w:t>
            </w:r>
            <w:r w:rsidR="001B7674" w:rsidRPr="00515391">
              <w:rPr>
                <w:rStyle w:val="Hyperlink"/>
                <w:noProof/>
                <w:rtl/>
                <w:lang w:bidi="fa-IR"/>
              </w:rPr>
              <w:t xml:space="preserve"> </w:t>
            </w:r>
            <w:r w:rsidR="001B7674" w:rsidRPr="00515391">
              <w:rPr>
                <w:rStyle w:val="Hyperlink"/>
                <w:rFonts w:hint="eastAsia"/>
                <w:noProof/>
                <w:rtl/>
                <w:lang w:bidi="fa-IR"/>
              </w:rPr>
              <w:t>وَالْحَصَاةَ</w:t>
            </w:r>
            <w:r w:rsidR="001B7674" w:rsidRPr="00515391">
              <w:rPr>
                <w:rStyle w:val="Hyperlink"/>
                <w:noProof/>
                <w:rtl/>
                <w:lang w:bidi="fa-IR"/>
              </w:rPr>
              <w:t xml:space="preserve"> </w:t>
            </w:r>
            <w:r w:rsidR="001B7674" w:rsidRPr="00515391">
              <w:rPr>
                <w:rStyle w:val="Hyperlink"/>
                <w:rFonts w:hint="eastAsia"/>
                <w:noProof/>
                <w:rtl/>
                <w:lang w:bidi="fa-IR"/>
              </w:rPr>
              <w:t>وَالنَّوَاةَ‌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556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3" w:history="1">
            <w:r w:rsidR="001B7674" w:rsidRPr="00515391">
              <w:rPr>
                <w:rStyle w:val="Hyperlink"/>
                <w:noProof/>
                <w:rtl/>
                <w:lang w:bidi="fa-IR"/>
              </w:rPr>
              <w:t xml:space="preserve">37 -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الشَّيْخِ</w:t>
            </w:r>
            <w:r w:rsidR="001B7674" w:rsidRPr="00515391">
              <w:rPr>
                <w:rStyle w:val="Hyperlink"/>
                <w:noProof/>
                <w:rtl/>
                <w:lang w:bidi="fa-IR"/>
              </w:rPr>
              <w:t xml:space="preserve"> </w:t>
            </w:r>
            <w:r w:rsidR="001B7674" w:rsidRPr="00515391">
              <w:rPr>
                <w:rStyle w:val="Hyperlink"/>
                <w:rFonts w:hint="eastAsia"/>
                <w:noProof/>
                <w:rtl/>
                <w:lang w:bidi="fa-IR"/>
              </w:rPr>
              <w:t>وَالْعَجُوزِ</w:t>
            </w:r>
            <w:r w:rsidR="001B7674" w:rsidRPr="00515391">
              <w:rPr>
                <w:rStyle w:val="Hyperlink"/>
                <w:noProof/>
                <w:rtl/>
                <w:lang w:bidi="fa-IR"/>
              </w:rPr>
              <w:t xml:space="preserve"> </w:t>
            </w:r>
            <w:r w:rsidR="001B7674" w:rsidRPr="00515391">
              <w:rPr>
                <w:rStyle w:val="Hyperlink"/>
                <w:rFonts w:hint="eastAsia"/>
                <w:noProof/>
                <w:rtl/>
                <w:lang w:bidi="fa-IR"/>
              </w:rPr>
              <w:t>يَضْعُفَانِ</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الصَّوْمِ‌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557</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974" w:history="1">
            <w:r w:rsidR="001B7674" w:rsidRPr="00515391">
              <w:rPr>
                <w:rStyle w:val="Hyperlink"/>
                <w:noProof/>
                <w:rtl/>
                <w:lang w:bidi="fa-IR"/>
              </w:rPr>
              <w:t xml:space="preserve">38 -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الْحَامِلِ</w:t>
            </w:r>
            <w:r w:rsidR="001B7674" w:rsidRPr="00515391">
              <w:rPr>
                <w:rStyle w:val="Hyperlink"/>
                <w:noProof/>
                <w:rtl/>
                <w:lang w:bidi="fa-IR"/>
              </w:rPr>
              <w:t xml:space="preserve"> </w:t>
            </w:r>
            <w:r w:rsidR="001B7674" w:rsidRPr="00515391">
              <w:rPr>
                <w:rStyle w:val="Hyperlink"/>
                <w:rFonts w:hint="eastAsia"/>
                <w:noProof/>
                <w:rtl/>
                <w:lang w:bidi="fa-IR"/>
              </w:rPr>
              <w:t>وَالْمُرْضِعِ</w:t>
            </w:r>
            <w:r w:rsidR="001B7674" w:rsidRPr="00515391">
              <w:rPr>
                <w:rStyle w:val="Hyperlink"/>
                <w:noProof/>
                <w:rtl/>
                <w:lang w:bidi="fa-IR"/>
              </w:rPr>
              <w:t xml:space="preserve"> </w:t>
            </w:r>
            <w:r w:rsidR="001B7674" w:rsidRPr="00515391">
              <w:rPr>
                <w:rStyle w:val="Hyperlink"/>
                <w:rFonts w:hint="eastAsia"/>
                <w:noProof/>
                <w:rtl/>
                <w:lang w:bidi="fa-IR"/>
              </w:rPr>
              <w:t>يَضْعُفَانِ</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الصَّوْمِ‌</w:t>
            </w:r>
          </w:hyperlink>
          <w:r w:rsidR="003A113B">
            <w:rPr>
              <w:rStyle w:val="Hyperlink"/>
              <w:rFonts w:hint="cs"/>
              <w:noProof/>
              <w:rtl/>
            </w:rPr>
            <w:t xml:space="preserve"> </w:t>
          </w:r>
          <w:hyperlink w:anchor="_Toc44599975" w:history="1">
            <w:r w:rsidR="001B7674" w:rsidRPr="00515391">
              <w:rPr>
                <w:rStyle w:val="Hyperlink"/>
                <w:noProof/>
                <w:rtl/>
                <w:lang w:bidi="fa-IR"/>
              </w:rPr>
              <w:t xml:space="preserve">39 -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حَدِّ</w:t>
            </w:r>
            <w:r w:rsidR="001B7674" w:rsidRPr="00515391">
              <w:rPr>
                <w:rStyle w:val="Hyperlink"/>
                <w:noProof/>
                <w:rtl/>
                <w:lang w:bidi="fa-IR"/>
              </w:rPr>
              <w:t xml:space="preserve"> </w:t>
            </w:r>
            <w:r w:rsidR="001B7674" w:rsidRPr="00515391">
              <w:rPr>
                <w:rStyle w:val="Hyperlink"/>
                <w:rFonts w:hint="eastAsia"/>
                <w:noProof/>
                <w:rtl/>
                <w:lang w:bidi="fa-IR"/>
              </w:rPr>
              <w:t>الْمَرَضِ</w:t>
            </w:r>
            <w:r w:rsidR="001B7674" w:rsidRPr="00515391">
              <w:rPr>
                <w:rStyle w:val="Hyperlink"/>
                <w:noProof/>
                <w:rtl/>
                <w:lang w:bidi="fa-IR"/>
              </w:rPr>
              <w:t xml:space="preserve"> </w:t>
            </w:r>
            <w:r w:rsidR="001B7674" w:rsidRPr="00515391">
              <w:rPr>
                <w:rStyle w:val="Hyperlink"/>
                <w:rFonts w:hint="eastAsia"/>
                <w:noProof/>
                <w:rtl/>
                <w:lang w:bidi="fa-IR"/>
              </w:rPr>
              <w:t>الَّذِي</w:t>
            </w:r>
            <w:r w:rsidR="001B7674" w:rsidRPr="00515391">
              <w:rPr>
                <w:rStyle w:val="Hyperlink"/>
                <w:noProof/>
                <w:rtl/>
                <w:lang w:bidi="fa-IR"/>
              </w:rPr>
              <w:t xml:space="preserve"> </w:t>
            </w:r>
            <w:r w:rsidR="001B7674" w:rsidRPr="00515391">
              <w:rPr>
                <w:rStyle w:val="Hyperlink"/>
                <w:rFonts w:hint="eastAsia"/>
                <w:noProof/>
                <w:rtl/>
                <w:lang w:bidi="fa-IR"/>
              </w:rPr>
              <w:t>يَجُوزُ</w:t>
            </w:r>
            <w:r w:rsidR="001B7674" w:rsidRPr="00515391">
              <w:rPr>
                <w:rStyle w:val="Hyperlink"/>
                <w:noProof/>
                <w:rtl/>
                <w:lang w:bidi="fa-IR"/>
              </w:rPr>
              <w:t xml:space="preserve"> </w:t>
            </w:r>
            <w:r w:rsidR="001B7674" w:rsidRPr="00515391">
              <w:rPr>
                <w:rStyle w:val="Hyperlink"/>
                <w:rFonts w:hint="eastAsia"/>
                <w:noProof/>
                <w:rtl/>
                <w:lang w:bidi="fa-IR"/>
              </w:rPr>
              <w:t>لِلرَّجُلِ</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يُفْطِرَ</w:t>
            </w:r>
            <w:r w:rsidR="001B7674" w:rsidRPr="00515391">
              <w:rPr>
                <w:rStyle w:val="Hyperlink"/>
                <w:noProof/>
                <w:rtl/>
                <w:lang w:bidi="fa-IR"/>
              </w:rPr>
              <w:t xml:space="preserve"> </w:t>
            </w:r>
            <w:r w:rsidR="001B7674" w:rsidRPr="00515391">
              <w:rPr>
                <w:rStyle w:val="Hyperlink"/>
                <w:rFonts w:hint="eastAsia"/>
                <w:noProof/>
                <w:rtl/>
                <w:lang w:bidi="fa-IR"/>
              </w:rPr>
              <w:t>فِيهِ‌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561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6" w:history="1">
            <w:r w:rsidR="001B7674" w:rsidRPr="00515391">
              <w:rPr>
                <w:rStyle w:val="Hyperlink"/>
                <w:noProof/>
                <w:rtl/>
                <w:lang w:bidi="fa-IR"/>
              </w:rPr>
              <w:t xml:space="preserve">40 -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تَوَالى</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rFonts w:hint="eastAsia"/>
                <w:noProof/>
                <w:rtl/>
                <w:lang w:bidi="fa-IR"/>
              </w:rPr>
              <w:t>رَمَضَانَانِ‌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567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77" w:history="1">
            <w:r w:rsidR="001B7674" w:rsidRPr="00515391">
              <w:rPr>
                <w:rStyle w:val="Hyperlink"/>
                <w:noProof/>
                <w:rtl/>
                <w:lang w:bidi="fa-IR"/>
              </w:rPr>
              <w:t xml:space="preserve">41 -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قَضَاءِ</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570</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978" w:history="1">
            <w:r w:rsidR="001B7674" w:rsidRPr="00515391">
              <w:rPr>
                <w:rStyle w:val="Hyperlink"/>
                <w:noProof/>
                <w:rtl/>
                <w:lang w:bidi="fa-IR"/>
              </w:rPr>
              <w:t xml:space="preserve">42 -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يُصْبِحُ</w:t>
            </w:r>
            <w:r w:rsidR="001B7674" w:rsidRPr="00515391">
              <w:rPr>
                <w:rStyle w:val="Hyperlink"/>
                <w:noProof/>
                <w:rtl/>
                <w:lang w:bidi="fa-IR"/>
              </w:rPr>
              <w:t xml:space="preserve"> </w:t>
            </w:r>
            <w:r w:rsidR="001B7674" w:rsidRPr="00515391">
              <w:rPr>
                <w:rStyle w:val="Hyperlink"/>
                <w:rFonts w:hint="eastAsia"/>
                <w:noProof/>
                <w:rtl/>
                <w:lang w:bidi="fa-IR"/>
              </w:rPr>
              <w:t>وَهُوَ</w:t>
            </w:r>
            <w:r w:rsidR="001B7674" w:rsidRPr="00515391">
              <w:rPr>
                <w:rStyle w:val="Hyperlink"/>
                <w:noProof/>
                <w:rtl/>
                <w:lang w:bidi="fa-IR"/>
              </w:rPr>
              <w:t xml:space="preserve"> </w:t>
            </w:r>
            <w:r w:rsidR="001B7674" w:rsidRPr="00515391">
              <w:rPr>
                <w:rStyle w:val="Hyperlink"/>
                <w:rFonts w:hint="eastAsia"/>
                <w:noProof/>
                <w:rtl/>
                <w:lang w:bidi="fa-IR"/>
              </w:rPr>
              <w:t>يُرِيدُ</w:t>
            </w:r>
            <w:r w:rsidR="001B7674" w:rsidRPr="00515391">
              <w:rPr>
                <w:rStyle w:val="Hyperlink"/>
                <w:noProof/>
                <w:rtl/>
                <w:lang w:bidi="fa-IR"/>
              </w:rPr>
              <w:t xml:space="preserve"> </w:t>
            </w:r>
            <w:r w:rsidR="001B7674" w:rsidRPr="00515391">
              <w:rPr>
                <w:rStyle w:val="Hyperlink"/>
                <w:rFonts w:hint="eastAsia"/>
                <w:noProof/>
                <w:rtl/>
                <w:lang w:bidi="fa-IR"/>
              </w:rPr>
              <w:t>الصِّيَامَ</w:t>
            </w:r>
            <w:r w:rsidR="001B7674" w:rsidRPr="00515391">
              <w:rPr>
                <w:rStyle w:val="Hyperlink"/>
                <w:noProof/>
                <w:rtl/>
                <w:lang w:bidi="fa-IR"/>
              </w:rPr>
              <w:t xml:space="preserve"> </w:t>
            </w:r>
            <w:r w:rsidR="001B7674" w:rsidRPr="00515391">
              <w:rPr>
                <w:rStyle w:val="Hyperlink"/>
                <w:rFonts w:hint="eastAsia"/>
                <w:noProof/>
                <w:rtl/>
                <w:lang w:bidi="fa-IR"/>
              </w:rPr>
              <w:t>فَيُفْطِرُ</w:t>
            </w:r>
            <w:r w:rsidR="001B7674" w:rsidRPr="00515391">
              <w:rPr>
                <w:rStyle w:val="Hyperlink"/>
                <w:noProof/>
                <w:rtl/>
                <w:lang w:bidi="fa-IR"/>
              </w:rPr>
              <w:t xml:space="preserve"> </w:t>
            </w:r>
            <w:r w:rsidR="001B7674" w:rsidRPr="00515391">
              <w:rPr>
                <w:rStyle w:val="Hyperlink"/>
                <w:rFonts w:hint="eastAsia"/>
                <w:noProof/>
                <w:rtl/>
                <w:lang w:bidi="fa-IR"/>
              </w:rPr>
              <w:t>وَيُصْبِحُ</w:t>
            </w:r>
            <w:r w:rsidR="001B7674" w:rsidRPr="00515391">
              <w:rPr>
                <w:rStyle w:val="Hyperlink"/>
                <w:noProof/>
                <w:rtl/>
                <w:lang w:bidi="fa-IR"/>
              </w:rPr>
              <w:t xml:space="preserve"> </w:t>
            </w:r>
            <w:r w:rsidR="001B7674" w:rsidRPr="00515391">
              <w:rPr>
                <w:rStyle w:val="Hyperlink"/>
                <w:rFonts w:hint="eastAsia"/>
                <w:noProof/>
                <w:rtl/>
                <w:lang w:bidi="fa-IR"/>
              </w:rPr>
              <w:t>وَهُوَ</w:t>
            </w:r>
            <w:r w:rsidR="001B7674" w:rsidRPr="00515391">
              <w:rPr>
                <w:rStyle w:val="Hyperlink"/>
                <w:noProof/>
                <w:rtl/>
                <w:lang w:bidi="fa-IR"/>
              </w:rPr>
              <w:t xml:space="preserve"> </w:t>
            </w:r>
            <w:r w:rsidR="001B7674" w:rsidRPr="00515391">
              <w:rPr>
                <w:rStyle w:val="Hyperlink"/>
                <w:rFonts w:hint="eastAsia"/>
                <w:noProof/>
                <w:rtl/>
                <w:lang w:bidi="fa-IR"/>
              </w:rPr>
              <w:t>لَايُرِيدُ</w:t>
            </w:r>
            <w:r w:rsidR="001B7674" w:rsidRPr="00515391">
              <w:rPr>
                <w:rStyle w:val="Hyperlink"/>
                <w:noProof/>
                <w:rtl/>
                <w:lang w:bidi="fa-IR"/>
              </w:rPr>
              <w:t xml:space="preserve"> </w:t>
            </w:r>
            <w:r w:rsidR="001B7674" w:rsidRPr="00515391">
              <w:rPr>
                <w:rStyle w:val="Hyperlink"/>
                <w:rFonts w:hint="eastAsia"/>
                <w:noProof/>
                <w:rtl/>
                <w:lang w:bidi="fa-IR"/>
              </w:rPr>
              <w:t>الصَّوْمَ</w:t>
            </w:r>
          </w:hyperlink>
          <w:r w:rsidR="003A113B">
            <w:rPr>
              <w:rStyle w:val="Hyperlink"/>
              <w:rFonts w:hint="cs"/>
              <w:noProof/>
              <w:rtl/>
            </w:rPr>
            <w:t xml:space="preserve"> </w:t>
          </w:r>
          <w:hyperlink w:anchor="_Toc44599979" w:history="1">
            <w:r w:rsidR="001B7674" w:rsidRPr="00515391">
              <w:rPr>
                <w:rStyle w:val="Hyperlink"/>
                <w:rFonts w:hint="eastAsia"/>
                <w:noProof/>
                <w:rtl/>
                <w:lang w:bidi="fa-IR"/>
              </w:rPr>
              <w:t>فَيَصُومُ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قَضَاءِ</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sidRPr="00515391">
              <w:rPr>
                <w:rStyle w:val="Hyperlink"/>
                <w:noProof/>
                <w:rtl/>
                <w:lang w:bidi="fa-IR"/>
              </w:rPr>
              <w:t xml:space="preserve"> </w:t>
            </w:r>
            <w:r w:rsidR="001B7674" w:rsidRPr="00515391">
              <w:rPr>
                <w:rStyle w:val="Hyperlink"/>
                <w:rFonts w:hint="eastAsia"/>
                <w:noProof/>
                <w:rtl/>
                <w:lang w:bidi="fa-IR"/>
              </w:rPr>
              <w:t>وَغَيْرِهِ‌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44599979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573</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980" w:history="1">
            <w:r w:rsidR="001B7674" w:rsidRPr="00515391">
              <w:rPr>
                <w:rStyle w:val="Hyperlink"/>
                <w:noProof/>
                <w:rtl/>
                <w:lang w:bidi="fa-IR"/>
              </w:rPr>
              <w:t xml:space="preserve">43 -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يَتَطَوَّعُ</w:t>
            </w:r>
            <w:r w:rsidR="001B7674" w:rsidRPr="00515391">
              <w:rPr>
                <w:rStyle w:val="Hyperlink"/>
                <w:noProof/>
                <w:rtl/>
                <w:lang w:bidi="fa-IR"/>
              </w:rPr>
              <w:t xml:space="preserve"> </w:t>
            </w:r>
            <w:r w:rsidR="001B7674" w:rsidRPr="00515391">
              <w:rPr>
                <w:rStyle w:val="Hyperlink"/>
                <w:rFonts w:hint="eastAsia"/>
                <w:noProof/>
                <w:rtl/>
                <w:lang w:bidi="fa-IR"/>
              </w:rPr>
              <w:t>بِالصِّيَامِ</w:t>
            </w:r>
            <w:r w:rsidR="001B7674" w:rsidRPr="00515391">
              <w:rPr>
                <w:rStyle w:val="Hyperlink"/>
                <w:noProof/>
                <w:rtl/>
                <w:lang w:bidi="fa-IR"/>
              </w:rPr>
              <w:t xml:space="preserve"> </w:t>
            </w:r>
            <w:r w:rsidR="001B7674" w:rsidRPr="00515391">
              <w:rPr>
                <w:rStyle w:val="Hyperlink"/>
                <w:rFonts w:hint="eastAsia"/>
                <w:noProof/>
                <w:rtl/>
                <w:lang w:bidi="fa-IR"/>
              </w:rPr>
              <w:t>وَعَلَيْهِ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قَضَاءِ</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hyperlink>
          <w:r w:rsidR="003A113B">
            <w:rPr>
              <w:rStyle w:val="Hyperlink"/>
              <w:rFonts w:hint="cs"/>
              <w:noProof/>
              <w:rtl/>
            </w:rPr>
            <w:t xml:space="preserve"> </w:t>
          </w:r>
          <w:hyperlink w:anchor="_Toc44599981" w:history="1">
            <w:r w:rsidR="001B7674" w:rsidRPr="00515391">
              <w:rPr>
                <w:rStyle w:val="Hyperlink"/>
                <w:noProof/>
                <w:rtl/>
                <w:lang w:bidi="fa-IR"/>
              </w:rPr>
              <w:t xml:space="preserve">44 -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يَمُوتُ</w:t>
            </w:r>
            <w:r w:rsidR="001B7674" w:rsidRPr="00515391">
              <w:rPr>
                <w:rStyle w:val="Hyperlink"/>
                <w:noProof/>
                <w:rtl/>
                <w:lang w:bidi="fa-IR"/>
              </w:rPr>
              <w:t xml:space="preserve"> </w:t>
            </w:r>
            <w:r w:rsidR="001B7674" w:rsidRPr="00515391">
              <w:rPr>
                <w:rStyle w:val="Hyperlink"/>
                <w:rFonts w:hint="eastAsia"/>
                <w:noProof/>
                <w:rtl/>
                <w:lang w:bidi="fa-IR"/>
              </w:rPr>
              <w:t>وَعَلَيْهِ</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صِيَامِ</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غَيْرِهِ</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577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2" w:history="1">
            <w:r w:rsidR="001B7674" w:rsidRPr="00515391">
              <w:rPr>
                <w:rStyle w:val="Hyperlink"/>
                <w:noProof/>
                <w:rtl/>
                <w:lang w:bidi="fa-IR"/>
              </w:rPr>
              <w:t xml:space="preserve">45 -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الصِّبْيَانِ</w:t>
            </w:r>
            <w:r w:rsidR="001B7674" w:rsidRPr="00515391">
              <w:rPr>
                <w:rStyle w:val="Hyperlink"/>
                <w:noProof/>
                <w:rtl/>
                <w:lang w:bidi="fa-IR"/>
              </w:rPr>
              <w:t xml:space="preserve"> </w:t>
            </w:r>
            <w:r w:rsidR="001B7674" w:rsidRPr="00515391">
              <w:rPr>
                <w:rStyle w:val="Hyperlink"/>
                <w:rFonts w:hint="eastAsia"/>
                <w:noProof/>
                <w:rtl/>
                <w:lang w:bidi="fa-IR"/>
              </w:rPr>
              <w:t>وَمَتى</w:t>
            </w:r>
            <w:r w:rsidR="001B7674" w:rsidRPr="00515391">
              <w:rPr>
                <w:rStyle w:val="Hyperlink"/>
                <w:noProof/>
                <w:rtl/>
                <w:lang w:bidi="fa-IR"/>
              </w:rPr>
              <w:t xml:space="preserve"> </w:t>
            </w:r>
            <w:r w:rsidR="001B7674" w:rsidRPr="00515391">
              <w:rPr>
                <w:rStyle w:val="Hyperlink"/>
                <w:rFonts w:hint="eastAsia"/>
                <w:noProof/>
                <w:rtl/>
                <w:lang w:bidi="fa-IR"/>
              </w:rPr>
              <w:t>يُؤْخَذُونَ</w:t>
            </w:r>
            <w:r w:rsidR="001B7674" w:rsidRPr="00515391">
              <w:rPr>
                <w:rStyle w:val="Hyperlink"/>
                <w:noProof/>
                <w:rtl/>
                <w:lang w:bidi="fa-IR"/>
              </w:rPr>
              <w:t xml:space="preserve"> </w:t>
            </w:r>
            <w:r w:rsidR="001B7674" w:rsidRPr="00515391">
              <w:rPr>
                <w:rStyle w:val="Hyperlink"/>
                <w:rFonts w:hint="eastAsia"/>
                <w:noProof/>
                <w:rtl/>
                <w:lang w:bidi="fa-IR"/>
              </w:rPr>
              <w:t>بِهِ‌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580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3" w:history="1">
            <w:r w:rsidR="001B7674" w:rsidRPr="00515391">
              <w:rPr>
                <w:rStyle w:val="Hyperlink"/>
                <w:noProof/>
                <w:rtl/>
                <w:lang w:bidi="fa-IR"/>
              </w:rPr>
              <w:t xml:space="preserve">46 -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أَسْلَمَ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583</w:t>
            </w:r>
            <w:r w:rsidR="001B7674">
              <w:rPr>
                <w:noProof/>
                <w:webHidden/>
                <w:rtl/>
              </w:rPr>
              <w:fldChar w:fldCharType="end"/>
            </w:r>
          </w:hyperlink>
        </w:p>
        <w:p w:rsidR="001B7674" w:rsidRDefault="008404F5" w:rsidP="003A113B">
          <w:pPr>
            <w:pStyle w:val="TOC1"/>
            <w:rPr>
              <w:rFonts w:asciiTheme="minorHAnsi" w:eastAsiaTheme="minorEastAsia" w:hAnsiTheme="minorHAnsi" w:cstheme="minorBidi"/>
              <w:noProof/>
              <w:color w:val="auto"/>
              <w:sz w:val="22"/>
              <w:szCs w:val="22"/>
              <w:rtl/>
            </w:rPr>
          </w:pPr>
          <w:hyperlink w:anchor="_Toc44599984" w:history="1">
            <w:r w:rsidR="001B7674" w:rsidRPr="00515391">
              <w:rPr>
                <w:rStyle w:val="Hyperlink"/>
                <w:rFonts w:hint="eastAsia"/>
                <w:noProof/>
                <w:rtl/>
                <w:lang w:bidi="fa-IR"/>
              </w:rPr>
              <w:t>أَبْوَابُ</w:t>
            </w:r>
            <w:r w:rsidR="001B7674" w:rsidRPr="00515391">
              <w:rPr>
                <w:rStyle w:val="Hyperlink"/>
                <w:noProof/>
                <w:rtl/>
                <w:lang w:bidi="fa-IR"/>
              </w:rPr>
              <w:t xml:space="preserve"> </w:t>
            </w:r>
            <w:r w:rsidR="001B7674" w:rsidRPr="00515391">
              <w:rPr>
                <w:rStyle w:val="Hyperlink"/>
                <w:rFonts w:hint="eastAsia"/>
                <w:noProof/>
                <w:rtl/>
                <w:lang w:bidi="fa-IR"/>
              </w:rPr>
              <w:t>السَّفَرِ‌</w:t>
            </w:r>
          </w:hyperlink>
          <w:r w:rsidR="003A113B">
            <w:rPr>
              <w:rStyle w:val="Hyperlink"/>
              <w:rFonts w:hint="cs"/>
              <w:noProof/>
              <w:rtl/>
            </w:rPr>
            <w:t xml:space="preserve"> </w:t>
          </w:r>
          <w:hyperlink w:anchor="_Toc44599985" w:history="1">
            <w:r w:rsidR="001B7674" w:rsidRPr="00515391">
              <w:rPr>
                <w:rStyle w:val="Hyperlink"/>
                <w:noProof/>
                <w:rtl/>
                <w:lang w:bidi="fa-IR"/>
              </w:rPr>
              <w:t xml:space="preserve">47 -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585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6" w:history="1">
            <w:r w:rsidR="001B7674" w:rsidRPr="00515391">
              <w:rPr>
                <w:rStyle w:val="Hyperlink"/>
                <w:noProof/>
                <w:rtl/>
                <w:lang w:bidi="fa-IR"/>
              </w:rPr>
              <w:t xml:space="preserve">48 -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كَرَاهِيَةِ</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الصَّوْمِ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586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7" w:history="1">
            <w:r w:rsidR="001B7674" w:rsidRPr="00515391">
              <w:rPr>
                <w:rStyle w:val="Hyperlink"/>
                <w:noProof/>
                <w:rtl/>
                <w:lang w:bidi="fa-IR"/>
              </w:rPr>
              <w:t xml:space="preserve">49 -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صَامَ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rFonts w:hint="eastAsia"/>
                <w:noProof/>
                <w:rtl/>
                <w:lang w:bidi="fa-IR"/>
              </w:rPr>
              <w:t>بِجَهَالَةٍ‌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590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8" w:history="1">
            <w:r w:rsidR="001B7674" w:rsidRPr="00515391">
              <w:rPr>
                <w:rStyle w:val="Hyperlink"/>
                <w:noProof/>
                <w:rtl/>
                <w:lang w:bidi="fa-IR"/>
              </w:rPr>
              <w:t xml:space="preserve">50 -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لَايَجِبُ</w:t>
            </w:r>
            <w:r w:rsidR="001B7674" w:rsidRPr="00515391">
              <w:rPr>
                <w:rStyle w:val="Hyperlink"/>
                <w:noProof/>
                <w:rtl/>
                <w:lang w:bidi="fa-IR"/>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الْإِفْطَارُ</w:t>
            </w:r>
            <w:r w:rsidR="001B7674" w:rsidRPr="00515391">
              <w:rPr>
                <w:rStyle w:val="Hyperlink"/>
                <w:noProof/>
                <w:rtl/>
                <w:lang w:bidi="fa-IR"/>
              </w:rPr>
              <w:t xml:space="preserve"> </w:t>
            </w:r>
            <w:r w:rsidR="001B7674" w:rsidRPr="00515391">
              <w:rPr>
                <w:rStyle w:val="Hyperlink"/>
                <w:rFonts w:hint="eastAsia"/>
                <w:noProof/>
                <w:rtl/>
                <w:lang w:bidi="fa-IR"/>
              </w:rPr>
              <w:t>وَالتَّقْصِيرُ</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rFonts w:hint="eastAsia"/>
                <w:noProof/>
                <w:rtl/>
                <w:lang w:bidi="fa-IR"/>
              </w:rPr>
              <w:t>وَمَنْ</w:t>
            </w:r>
            <w:r w:rsidR="001B7674" w:rsidRPr="00515391">
              <w:rPr>
                <w:rStyle w:val="Hyperlink"/>
                <w:noProof/>
                <w:rtl/>
                <w:lang w:bidi="fa-IR"/>
              </w:rPr>
              <w:t xml:space="preserve"> </w:t>
            </w:r>
            <w:r w:rsidR="001B7674" w:rsidRPr="00515391">
              <w:rPr>
                <w:rStyle w:val="Hyperlink"/>
                <w:rFonts w:hint="eastAsia"/>
                <w:noProof/>
                <w:rtl/>
                <w:lang w:bidi="fa-IR"/>
              </w:rPr>
              <w:t>يَجِبُ</w:t>
            </w:r>
            <w:r w:rsidR="001B7674" w:rsidRPr="00515391">
              <w:rPr>
                <w:rStyle w:val="Hyperlink"/>
                <w:noProof/>
                <w:rtl/>
                <w:lang w:bidi="fa-IR"/>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ذلِكَ‌</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591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89" w:history="1">
            <w:r w:rsidR="001B7674" w:rsidRPr="00515391">
              <w:rPr>
                <w:rStyle w:val="Hyperlink"/>
                <w:noProof/>
                <w:rtl/>
                <w:lang w:bidi="fa-IR"/>
              </w:rPr>
              <w:t xml:space="preserve">51 -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التَّطَوُّعِ</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rFonts w:hint="eastAsia"/>
                <w:noProof/>
                <w:rtl/>
                <w:lang w:bidi="fa-IR"/>
              </w:rPr>
              <w:t>وَتَقْدِيمِهِ</w:t>
            </w:r>
            <w:r w:rsidR="001B7674" w:rsidRPr="00515391">
              <w:rPr>
                <w:rStyle w:val="Hyperlink"/>
                <w:noProof/>
                <w:rtl/>
                <w:lang w:bidi="fa-IR"/>
              </w:rPr>
              <w:t xml:space="preserve"> </w:t>
            </w:r>
            <w:r w:rsidR="001B7674" w:rsidRPr="00515391">
              <w:rPr>
                <w:rStyle w:val="Hyperlink"/>
                <w:rFonts w:hint="eastAsia"/>
                <w:noProof/>
                <w:rtl/>
                <w:lang w:bidi="fa-IR"/>
              </w:rPr>
              <w:t>وَقَضَائِهِ‌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44599989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596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0" w:history="1">
            <w:r w:rsidR="001B7674" w:rsidRPr="00515391">
              <w:rPr>
                <w:rStyle w:val="Hyperlink"/>
                <w:noProof/>
                <w:rtl/>
                <w:lang w:bidi="fa-IR"/>
              </w:rPr>
              <w:t xml:space="preserve">52 -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يُرِيدُ</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noProof/>
                <w:vertAlign w:val="superscript"/>
                <w:rtl/>
              </w:rPr>
              <w:t>(9)</w:t>
            </w:r>
            <w:r w:rsidR="001B7674" w:rsidRPr="00515391">
              <w:rPr>
                <w:rStyle w:val="Hyperlink"/>
                <w:noProof/>
                <w:rtl/>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يَقْدَمُ</w:t>
            </w:r>
            <w:r w:rsidR="001B7674" w:rsidRPr="00515391">
              <w:rPr>
                <w:rStyle w:val="Hyperlink"/>
                <w:noProof/>
                <w:rtl/>
                <w:lang w:bidi="fa-IR"/>
              </w:rPr>
              <w:t xml:space="preserve"> </w:t>
            </w:r>
            <w:r w:rsidR="001B7674" w:rsidRPr="00515391">
              <w:rPr>
                <w:rStyle w:val="Hyperlink"/>
                <w:noProof/>
                <w:vertAlign w:val="superscript"/>
                <w:rtl/>
              </w:rPr>
              <w:t>(10)</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سَفَرٍ</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599</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1" w:history="1">
            <w:r w:rsidR="001B7674" w:rsidRPr="00515391">
              <w:rPr>
                <w:rStyle w:val="Hyperlink"/>
                <w:noProof/>
                <w:rtl/>
                <w:lang w:bidi="fa-IR"/>
              </w:rPr>
              <w:t xml:space="preserve">53 -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دَخَلَ</w:t>
            </w:r>
            <w:r w:rsidR="001B7674" w:rsidRPr="00515391">
              <w:rPr>
                <w:rStyle w:val="Hyperlink"/>
                <w:noProof/>
                <w:rtl/>
                <w:lang w:bidi="fa-IR"/>
              </w:rPr>
              <w:t xml:space="preserve"> </w:t>
            </w:r>
            <w:r w:rsidR="001B7674" w:rsidRPr="00515391">
              <w:rPr>
                <w:rStyle w:val="Hyperlink"/>
                <w:rFonts w:hint="eastAsia"/>
                <w:noProof/>
                <w:rtl/>
                <w:lang w:bidi="fa-IR"/>
              </w:rPr>
              <w:t>بَلْدَةً</w:t>
            </w:r>
            <w:r w:rsidR="001B7674" w:rsidRPr="00515391">
              <w:rPr>
                <w:rStyle w:val="Hyperlink"/>
                <w:noProof/>
                <w:rtl/>
                <w:lang w:bidi="fa-IR"/>
              </w:rPr>
              <w:t xml:space="preserve"> </w:t>
            </w:r>
            <w:r w:rsidR="001B7674" w:rsidRPr="00515391">
              <w:rPr>
                <w:rStyle w:val="Hyperlink"/>
                <w:rFonts w:hint="eastAsia"/>
                <w:noProof/>
                <w:rtl/>
                <w:lang w:bidi="fa-IR"/>
              </w:rPr>
              <w:t>فَأَرَادَ</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rPr>
              <w:t xml:space="preserve"> </w:t>
            </w:r>
            <w:r w:rsidR="001B7674" w:rsidRPr="00515391">
              <w:rPr>
                <w:rStyle w:val="Hyperlink"/>
                <w:rFonts w:hint="eastAsia"/>
                <w:noProof/>
                <w:rtl/>
                <w:lang w:bidi="fa-IR"/>
              </w:rPr>
              <w:t>الْمُقَامَ</w:t>
            </w:r>
            <w:r w:rsidR="001B7674" w:rsidRPr="00515391">
              <w:rPr>
                <w:rStyle w:val="Hyperlink"/>
                <w:noProof/>
                <w:rtl/>
                <w:lang w:bidi="fa-IR"/>
              </w:rPr>
              <w:t xml:space="preserve"> </w:t>
            </w:r>
            <w:r w:rsidR="001B7674" w:rsidRPr="00515391">
              <w:rPr>
                <w:rStyle w:val="Hyperlink"/>
                <w:rFonts w:hint="eastAsia"/>
                <w:noProof/>
                <w:rtl/>
                <w:lang w:bidi="fa-IR"/>
              </w:rPr>
              <w:t>بِهَا</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لَمْ</w:t>
            </w:r>
            <w:r w:rsidR="001B7674" w:rsidRPr="00515391">
              <w:rPr>
                <w:rStyle w:val="Hyperlink"/>
                <w:noProof/>
                <w:rtl/>
                <w:lang w:bidi="fa-IR"/>
              </w:rPr>
              <w:t xml:space="preserve"> </w:t>
            </w:r>
            <w:r w:rsidR="001B7674" w:rsidRPr="00515391">
              <w:rPr>
                <w:rStyle w:val="Hyperlink"/>
                <w:rFonts w:hint="eastAsia"/>
                <w:noProof/>
                <w:rtl/>
                <w:lang w:bidi="fa-IR"/>
              </w:rPr>
              <w:t>يُرِدْ‌</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604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2" w:history="1">
            <w:r w:rsidR="001B7674" w:rsidRPr="00515391">
              <w:rPr>
                <w:rStyle w:val="Hyperlink"/>
                <w:noProof/>
                <w:rtl/>
                <w:lang w:bidi="fa-IR"/>
              </w:rPr>
              <w:t xml:space="preserve">54 -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يُجَامِعُ</w:t>
            </w:r>
            <w:r w:rsidR="001B7674" w:rsidRPr="00515391">
              <w:rPr>
                <w:rStyle w:val="Hyperlink"/>
                <w:noProof/>
                <w:rtl/>
                <w:lang w:bidi="fa-IR"/>
              </w:rPr>
              <w:t xml:space="preserve"> </w:t>
            </w:r>
            <w:r w:rsidR="001B7674" w:rsidRPr="00515391">
              <w:rPr>
                <w:rStyle w:val="Hyperlink"/>
                <w:rFonts w:hint="eastAsia"/>
                <w:noProof/>
                <w:rtl/>
                <w:lang w:bidi="fa-IR"/>
              </w:rPr>
              <w:t>أَهْلَهُ</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السَّفَرِ</w:t>
            </w:r>
            <w:r w:rsidR="001B7674" w:rsidRPr="00515391">
              <w:rPr>
                <w:rStyle w:val="Hyperlink"/>
                <w:noProof/>
                <w:rtl/>
                <w:lang w:bidi="fa-IR"/>
              </w:rPr>
              <w:t xml:space="preserve"> </w:t>
            </w:r>
            <w:r w:rsidR="001B7674" w:rsidRPr="00515391">
              <w:rPr>
                <w:rStyle w:val="Hyperlink"/>
                <w:rFonts w:hint="eastAsia"/>
                <w:noProof/>
                <w:rtl/>
                <w:lang w:bidi="fa-IR"/>
              </w:rPr>
              <w:t>أَوْ</w:t>
            </w:r>
            <w:r w:rsidR="001B7674" w:rsidRPr="00515391">
              <w:rPr>
                <w:rStyle w:val="Hyperlink"/>
                <w:noProof/>
                <w:rtl/>
                <w:lang w:bidi="fa-IR"/>
              </w:rPr>
              <w:t xml:space="preserve"> </w:t>
            </w:r>
            <w:r w:rsidR="001B7674" w:rsidRPr="00515391">
              <w:rPr>
                <w:rStyle w:val="Hyperlink"/>
                <w:rFonts w:hint="eastAsia"/>
                <w:noProof/>
                <w:rtl/>
                <w:lang w:bidi="fa-IR"/>
              </w:rPr>
              <w:t>يَقْدَمُ</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سَفَرٍ</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605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3" w:history="1">
            <w:r w:rsidR="001B7674" w:rsidRPr="00515391">
              <w:rPr>
                <w:rStyle w:val="Hyperlink"/>
                <w:noProof/>
                <w:rtl/>
                <w:lang w:bidi="fa-IR"/>
              </w:rPr>
              <w:t xml:space="preserve">55 -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الْحَائِضِ</w:t>
            </w:r>
            <w:r w:rsidR="001B7674" w:rsidRPr="00515391">
              <w:rPr>
                <w:rStyle w:val="Hyperlink"/>
                <w:noProof/>
                <w:rtl/>
                <w:lang w:bidi="fa-IR"/>
              </w:rPr>
              <w:t xml:space="preserve"> </w:t>
            </w:r>
            <w:r w:rsidR="001B7674" w:rsidRPr="00515391">
              <w:rPr>
                <w:rStyle w:val="Hyperlink"/>
                <w:rFonts w:hint="eastAsia"/>
                <w:noProof/>
                <w:rtl/>
                <w:lang w:bidi="fa-IR"/>
              </w:rPr>
              <w:t>وَالْمُسْتَحَاضَةِ</w:t>
            </w:r>
            <w:r w:rsidR="001B7674" w:rsidRPr="00515391">
              <w:rPr>
                <w:rStyle w:val="Hyperlink"/>
                <w:noProof/>
                <w:rtl/>
                <w:lang w:bidi="fa-IR"/>
              </w:rPr>
              <w:t xml:space="preserve"> </w:t>
            </w:r>
            <w:r w:rsidR="001B7674" w:rsidRPr="00515391">
              <w:rPr>
                <w:rStyle w:val="Hyperlink"/>
                <w:noProof/>
                <w:vertAlign w:val="superscript"/>
                <w:rtl/>
              </w:rPr>
              <w:t>(7)</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609</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599994" w:history="1">
            <w:r w:rsidR="001B7674" w:rsidRPr="00515391">
              <w:rPr>
                <w:rStyle w:val="Hyperlink"/>
                <w:noProof/>
                <w:rtl/>
                <w:lang w:bidi="fa-IR"/>
              </w:rPr>
              <w:t xml:space="preserve">56 -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وَجَبَ</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شَهْرَيْنِ</w:t>
            </w:r>
            <w:r w:rsidR="001B7674" w:rsidRPr="00515391">
              <w:rPr>
                <w:rStyle w:val="Hyperlink"/>
                <w:noProof/>
                <w:rtl/>
                <w:lang w:bidi="fa-IR"/>
              </w:rPr>
              <w:t xml:space="preserve"> </w:t>
            </w:r>
            <w:r w:rsidR="001B7674" w:rsidRPr="00515391">
              <w:rPr>
                <w:rStyle w:val="Hyperlink"/>
                <w:rFonts w:hint="eastAsia"/>
                <w:noProof/>
                <w:rtl/>
                <w:lang w:bidi="fa-IR"/>
              </w:rPr>
              <w:t>مُتَتَابِعَيْنِ</w:t>
            </w:r>
          </w:hyperlink>
          <w:r w:rsidR="003A113B">
            <w:rPr>
              <w:rStyle w:val="Hyperlink"/>
              <w:rFonts w:hint="cs"/>
              <w:noProof/>
              <w:rtl/>
            </w:rPr>
            <w:t xml:space="preserve"> </w:t>
          </w:r>
          <w:hyperlink w:anchor="_Toc44599995" w:history="1">
            <w:r w:rsidR="001B7674" w:rsidRPr="00515391">
              <w:rPr>
                <w:rStyle w:val="Hyperlink"/>
                <w:rFonts w:hint="eastAsia"/>
                <w:noProof/>
                <w:rtl/>
                <w:lang w:bidi="fa-IR"/>
              </w:rPr>
              <w:t>فَعَرَضَ</w:t>
            </w:r>
            <w:r w:rsidR="001B7674" w:rsidRPr="00515391">
              <w:rPr>
                <w:rStyle w:val="Hyperlink"/>
                <w:noProof/>
                <w:rtl/>
                <w:lang w:bidi="fa-IR"/>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أَمْرٌ</w:t>
            </w:r>
            <w:r w:rsidR="001B7674" w:rsidRPr="00515391">
              <w:rPr>
                <w:rStyle w:val="Hyperlink"/>
                <w:noProof/>
                <w:rtl/>
                <w:lang w:bidi="fa-IR"/>
              </w:rPr>
              <w:t xml:space="preserve"> </w:t>
            </w:r>
            <w:r w:rsidR="001B7674" w:rsidRPr="00515391">
              <w:rPr>
                <w:rStyle w:val="Hyperlink"/>
                <w:rFonts w:hint="eastAsia"/>
                <w:noProof/>
                <w:rtl/>
                <w:lang w:bidi="fa-IR"/>
              </w:rPr>
              <w:t>يَمْنَعُهُ</w:t>
            </w:r>
            <w:r w:rsidR="001B7674" w:rsidRPr="00515391">
              <w:rPr>
                <w:rStyle w:val="Hyperlink"/>
                <w:noProof/>
                <w:rtl/>
                <w:lang w:bidi="fa-IR"/>
              </w:rPr>
              <w:t xml:space="preserve"> </w:t>
            </w:r>
            <w:r w:rsidR="001B7674" w:rsidRPr="00515391">
              <w:rPr>
                <w:rStyle w:val="Hyperlink"/>
                <w:rFonts w:hint="eastAsia"/>
                <w:noProof/>
                <w:rtl/>
                <w:lang w:bidi="fa-IR"/>
              </w:rPr>
              <w:t>عَنْ</w:t>
            </w:r>
            <w:r w:rsidR="001B7674" w:rsidRPr="00515391">
              <w:rPr>
                <w:rStyle w:val="Hyperlink"/>
                <w:noProof/>
                <w:rtl/>
                <w:lang w:bidi="fa-IR"/>
              </w:rPr>
              <w:t xml:space="preserve"> </w:t>
            </w:r>
            <w:r w:rsidR="001B7674" w:rsidRPr="00515391">
              <w:rPr>
                <w:rStyle w:val="Hyperlink"/>
                <w:rFonts w:hint="eastAsia"/>
                <w:noProof/>
                <w:rtl/>
                <w:lang w:bidi="fa-IR"/>
              </w:rPr>
              <w:t>إِتْمَامِهِ‌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617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6" w:history="1">
            <w:r w:rsidR="001B7674" w:rsidRPr="00515391">
              <w:rPr>
                <w:rStyle w:val="Hyperlink"/>
                <w:noProof/>
                <w:rtl/>
                <w:lang w:bidi="fa-IR"/>
              </w:rPr>
              <w:t xml:space="preserve">57 -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كَفَّارَةِ</w:t>
            </w:r>
            <w:r w:rsidR="001B7674" w:rsidRPr="00515391">
              <w:rPr>
                <w:rStyle w:val="Hyperlink"/>
                <w:noProof/>
                <w:rtl/>
                <w:lang w:bidi="fa-IR"/>
              </w:rPr>
              <w:t xml:space="preserve"> </w:t>
            </w:r>
            <w:r w:rsidR="001B7674" w:rsidRPr="00515391">
              <w:rPr>
                <w:rStyle w:val="Hyperlink"/>
                <w:rFonts w:hint="eastAsia"/>
                <w:noProof/>
                <w:rtl/>
                <w:lang w:bidi="fa-IR"/>
              </w:rPr>
              <w:t>الْيَمِينِ‌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623</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7" w:history="1">
            <w:r w:rsidR="001B7674" w:rsidRPr="00515391">
              <w:rPr>
                <w:rStyle w:val="Hyperlink"/>
                <w:noProof/>
                <w:rtl/>
                <w:lang w:bidi="fa-IR"/>
              </w:rPr>
              <w:t xml:space="preserve">58 -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جَعَلَ</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نَفْسِهِ</w:t>
            </w:r>
            <w:r w:rsidR="001B7674" w:rsidRPr="00515391">
              <w:rPr>
                <w:rStyle w:val="Hyperlink"/>
                <w:noProof/>
                <w:rtl/>
                <w:lang w:bidi="fa-IR"/>
              </w:rPr>
              <w:t xml:space="preserve"> </w:t>
            </w:r>
            <w:r w:rsidR="001B7674" w:rsidRPr="00515391">
              <w:rPr>
                <w:rStyle w:val="Hyperlink"/>
                <w:rFonts w:hint="eastAsia"/>
                <w:noProof/>
                <w:rtl/>
                <w:lang w:bidi="fa-IR"/>
              </w:rPr>
              <w:t>صَوْماً</w:t>
            </w:r>
            <w:r w:rsidR="001B7674" w:rsidRPr="00515391">
              <w:rPr>
                <w:rStyle w:val="Hyperlink"/>
                <w:noProof/>
                <w:rtl/>
                <w:lang w:bidi="fa-IR"/>
              </w:rPr>
              <w:t xml:space="preserve"> </w:t>
            </w:r>
            <w:r w:rsidR="001B7674" w:rsidRPr="00515391">
              <w:rPr>
                <w:rStyle w:val="Hyperlink"/>
                <w:rFonts w:hint="eastAsia"/>
                <w:noProof/>
                <w:rtl/>
                <w:lang w:bidi="fa-IR"/>
              </w:rPr>
              <w:t>مَعْلُوماً</w:t>
            </w:r>
            <w:r w:rsidR="001B7674" w:rsidRPr="00515391">
              <w:rPr>
                <w:rStyle w:val="Hyperlink"/>
                <w:noProof/>
                <w:rtl/>
                <w:lang w:bidi="fa-IR"/>
              </w:rPr>
              <w:t xml:space="preserve"> </w:t>
            </w:r>
            <w:r w:rsidR="001B7674" w:rsidRPr="00515391">
              <w:rPr>
                <w:rStyle w:val="Hyperlink"/>
                <w:rFonts w:hint="eastAsia"/>
                <w:noProof/>
                <w:rtl/>
                <w:lang w:bidi="fa-IR"/>
              </w:rPr>
              <w:t>وَمَنْ</w:t>
            </w:r>
            <w:r w:rsidR="001B7674" w:rsidRPr="00515391">
              <w:rPr>
                <w:rStyle w:val="Hyperlink"/>
                <w:noProof/>
                <w:rtl/>
                <w:lang w:bidi="fa-IR"/>
              </w:rPr>
              <w:t xml:space="preserve"> </w:t>
            </w:r>
            <w:r w:rsidR="001B7674" w:rsidRPr="00515391">
              <w:rPr>
                <w:rStyle w:val="Hyperlink"/>
                <w:rFonts w:hint="eastAsia"/>
                <w:noProof/>
                <w:rtl/>
                <w:lang w:bidi="fa-IR"/>
              </w:rPr>
              <w:t>نَذَرَ</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يَصُومَ</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شُكْرٍ</w:t>
            </w:r>
            <w:r w:rsidR="001B7674" w:rsidRPr="00515391">
              <w:rPr>
                <w:rStyle w:val="Hyperlink"/>
                <w:noProof/>
                <w:rtl/>
                <w:lang w:bidi="fa-IR"/>
              </w:rPr>
              <w:t xml:space="preserve"> </w:t>
            </w:r>
            <w:r w:rsidR="001B7674" w:rsidRPr="00515391">
              <w:rPr>
                <w:rStyle w:val="Hyperlink"/>
                <w:noProof/>
                <w:vertAlign w:val="superscript"/>
                <w:rtl/>
              </w:rPr>
              <w:t>(1)</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625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8" w:history="1">
            <w:r w:rsidR="001B7674" w:rsidRPr="00515391">
              <w:rPr>
                <w:rStyle w:val="Hyperlink"/>
                <w:noProof/>
                <w:rtl/>
                <w:lang w:bidi="fa-IR"/>
              </w:rPr>
              <w:t xml:space="preserve">59 -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كَفَّارَةِ</w:t>
            </w:r>
            <w:r w:rsidR="001B7674" w:rsidRPr="00515391">
              <w:rPr>
                <w:rStyle w:val="Hyperlink"/>
                <w:noProof/>
                <w:rtl/>
                <w:lang w:bidi="fa-IR"/>
              </w:rPr>
              <w:t xml:space="preserve"> </w:t>
            </w:r>
            <w:r w:rsidR="001B7674" w:rsidRPr="00515391">
              <w:rPr>
                <w:rStyle w:val="Hyperlink"/>
                <w:rFonts w:hint="eastAsia"/>
                <w:noProof/>
                <w:rtl/>
                <w:lang w:bidi="fa-IR"/>
              </w:rPr>
              <w:t>الصَّوْمِ</w:t>
            </w:r>
            <w:r w:rsidR="001B7674" w:rsidRPr="00515391">
              <w:rPr>
                <w:rStyle w:val="Hyperlink"/>
                <w:noProof/>
                <w:rtl/>
                <w:lang w:bidi="fa-IR"/>
              </w:rPr>
              <w:t xml:space="preserve"> </w:t>
            </w:r>
            <w:r w:rsidR="001B7674" w:rsidRPr="00515391">
              <w:rPr>
                <w:rStyle w:val="Hyperlink"/>
                <w:rFonts w:hint="eastAsia"/>
                <w:noProof/>
                <w:rtl/>
                <w:lang w:bidi="fa-IR"/>
              </w:rPr>
              <w:t>وَفِدْيَتِهِ‌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631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599999" w:history="1">
            <w:r w:rsidR="001B7674" w:rsidRPr="00515391">
              <w:rPr>
                <w:rStyle w:val="Hyperlink"/>
                <w:noProof/>
                <w:rtl/>
                <w:lang w:bidi="fa-IR"/>
              </w:rPr>
              <w:t xml:space="preserve">60 -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تَأْخِيرِ</w:t>
            </w:r>
            <w:r w:rsidR="001B7674" w:rsidRPr="00515391">
              <w:rPr>
                <w:rStyle w:val="Hyperlink"/>
                <w:noProof/>
                <w:rtl/>
                <w:lang w:bidi="fa-IR"/>
              </w:rPr>
              <w:t xml:space="preserve"> </w:t>
            </w:r>
            <w:r w:rsidR="001B7674" w:rsidRPr="00515391">
              <w:rPr>
                <w:rStyle w:val="Hyperlink"/>
                <w:rFonts w:hint="eastAsia"/>
                <w:noProof/>
                <w:rtl/>
                <w:lang w:bidi="fa-IR"/>
              </w:rPr>
              <w:t>صِيَامِ</w:t>
            </w:r>
            <w:r w:rsidR="001B7674" w:rsidRPr="00515391">
              <w:rPr>
                <w:rStyle w:val="Hyperlink"/>
                <w:noProof/>
                <w:rtl/>
                <w:lang w:bidi="fa-IR"/>
              </w:rPr>
              <w:t xml:space="preserve"> </w:t>
            </w:r>
            <w:r w:rsidR="001B7674" w:rsidRPr="00515391">
              <w:rPr>
                <w:rStyle w:val="Hyperlink"/>
                <w:rFonts w:hint="eastAsia"/>
                <w:noProof/>
                <w:rtl/>
                <w:lang w:bidi="fa-IR"/>
              </w:rPr>
              <w:t>الثَّلَاثَةِ</w:t>
            </w:r>
            <w:r w:rsidR="001B7674" w:rsidRPr="00515391">
              <w:rPr>
                <w:rStyle w:val="Hyperlink"/>
                <w:noProof/>
                <w:rtl/>
                <w:lang w:bidi="fa-IR"/>
              </w:rPr>
              <w:t xml:space="preserve"> </w:t>
            </w:r>
            <w:r w:rsidR="001B7674" w:rsidRPr="00515391">
              <w:rPr>
                <w:rStyle w:val="Hyperlink"/>
                <w:rFonts w:hint="eastAsia"/>
                <w:noProof/>
                <w:rtl/>
                <w:lang w:bidi="fa-IR"/>
              </w:rPr>
              <w:t>الْأَيَّامِ</w:t>
            </w:r>
            <w:r w:rsidR="001B7674" w:rsidRPr="00515391">
              <w:rPr>
                <w:rStyle w:val="Hyperlink"/>
                <w:noProof/>
                <w:rtl/>
                <w:lang w:bidi="fa-IR"/>
              </w:rPr>
              <w:t xml:space="preserve"> </w:t>
            </w:r>
            <w:r w:rsidR="001B7674" w:rsidRPr="00515391">
              <w:rPr>
                <w:rStyle w:val="Hyperlink"/>
                <w:noProof/>
                <w:vertAlign w:val="superscript"/>
                <w:rtl/>
              </w:rPr>
              <w:t>(9)</w:t>
            </w:r>
            <w:r w:rsidR="001B7674" w:rsidRPr="00515391">
              <w:rPr>
                <w:rStyle w:val="Hyperlink"/>
                <w:noProof/>
                <w:rtl/>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الشَّهْرِ</w:t>
            </w:r>
            <w:r w:rsidR="001B7674" w:rsidRPr="00515391">
              <w:rPr>
                <w:rStyle w:val="Hyperlink"/>
                <w:noProof/>
                <w:rtl/>
                <w:lang w:bidi="fa-IR"/>
              </w:rPr>
              <w:t xml:space="preserve"> </w:t>
            </w:r>
            <w:r w:rsidR="001B7674" w:rsidRPr="00515391">
              <w:rPr>
                <w:rStyle w:val="Hyperlink"/>
                <w:rFonts w:hint="eastAsia"/>
                <w:noProof/>
                <w:rtl/>
                <w:lang w:bidi="fa-IR"/>
              </w:rPr>
              <w:t>إِلَى</w:t>
            </w:r>
            <w:r w:rsidR="001B7674" w:rsidRPr="00515391">
              <w:rPr>
                <w:rStyle w:val="Hyperlink"/>
                <w:noProof/>
                <w:rtl/>
                <w:lang w:bidi="fa-IR"/>
              </w:rPr>
              <w:t xml:space="preserve"> </w:t>
            </w:r>
            <w:r w:rsidR="001B7674" w:rsidRPr="00515391">
              <w:rPr>
                <w:rStyle w:val="Hyperlink"/>
                <w:rFonts w:hint="eastAsia"/>
                <w:noProof/>
                <w:rtl/>
                <w:lang w:bidi="fa-IR"/>
              </w:rPr>
              <w:t>الشِّتَاءِ‌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44599999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634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0" w:history="1">
            <w:r w:rsidR="001B7674" w:rsidRPr="00515391">
              <w:rPr>
                <w:rStyle w:val="Hyperlink"/>
                <w:noProof/>
                <w:rtl/>
                <w:lang w:bidi="fa-IR"/>
              </w:rPr>
              <w:t xml:space="preserve">61 -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rFonts w:hint="eastAsia"/>
                <w:noProof/>
                <w:rtl/>
                <w:lang w:bidi="fa-IR"/>
              </w:rPr>
              <w:t>عَرَفَةَ</w:t>
            </w:r>
            <w:r w:rsidR="001B7674" w:rsidRPr="00515391">
              <w:rPr>
                <w:rStyle w:val="Hyperlink"/>
                <w:noProof/>
                <w:rtl/>
                <w:lang w:bidi="fa-IR"/>
              </w:rPr>
              <w:t xml:space="preserve"> </w:t>
            </w:r>
            <w:r w:rsidR="001B7674" w:rsidRPr="00515391">
              <w:rPr>
                <w:rStyle w:val="Hyperlink"/>
                <w:rFonts w:hint="eastAsia"/>
                <w:noProof/>
                <w:rtl/>
                <w:lang w:bidi="fa-IR"/>
              </w:rPr>
              <w:t>وَعَاشُورَاءَ‌</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637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1" w:history="1">
            <w:r w:rsidR="001B7674" w:rsidRPr="00515391">
              <w:rPr>
                <w:rStyle w:val="Hyperlink"/>
                <w:noProof/>
                <w:rtl/>
                <w:lang w:bidi="fa-IR"/>
              </w:rPr>
              <w:t xml:space="preserve">62 -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صَوْمِ</w:t>
            </w:r>
            <w:r w:rsidR="001B7674" w:rsidRPr="00515391">
              <w:rPr>
                <w:rStyle w:val="Hyperlink"/>
                <w:noProof/>
                <w:rtl/>
                <w:lang w:bidi="fa-IR"/>
              </w:rPr>
              <w:t xml:space="preserve"> </w:t>
            </w:r>
            <w:r w:rsidR="001B7674" w:rsidRPr="00515391">
              <w:rPr>
                <w:rStyle w:val="Hyperlink"/>
                <w:noProof/>
                <w:vertAlign w:val="superscript"/>
                <w:rtl/>
              </w:rPr>
              <w:t>(8)</w:t>
            </w:r>
            <w:r w:rsidR="001B7674" w:rsidRPr="00515391">
              <w:rPr>
                <w:rStyle w:val="Hyperlink"/>
                <w:noProof/>
                <w:rtl/>
              </w:rPr>
              <w:t xml:space="preserve"> </w:t>
            </w:r>
            <w:r w:rsidR="001B7674" w:rsidRPr="00515391">
              <w:rPr>
                <w:rStyle w:val="Hyperlink"/>
                <w:rFonts w:hint="eastAsia"/>
                <w:noProof/>
                <w:rtl/>
                <w:lang w:bidi="fa-IR"/>
              </w:rPr>
              <w:t>الْعِيدَيْنِ</w:t>
            </w:r>
            <w:r w:rsidR="001B7674" w:rsidRPr="00515391">
              <w:rPr>
                <w:rStyle w:val="Hyperlink"/>
                <w:noProof/>
                <w:rtl/>
                <w:lang w:bidi="fa-IR"/>
              </w:rPr>
              <w:t xml:space="preserve"> </w:t>
            </w:r>
            <w:r w:rsidR="001B7674" w:rsidRPr="00515391">
              <w:rPr>
                <w:rStyle w:val="Hyperlink"/>
                <w:rFonts w:hint="eastAsia"/>
                <w:noProof/>
                <w:rtl/>
                <w:lang w:bidi="fa-IR"/>
              </w:rPr>
              <w:t>وَأَيَّامِ</w:t>
            </w:r>
            <w:r w:rsidR="001B7674" w:rsidRPr="00515391">
              <w:rPr>
                <w:rStyle w:val="Hyperlink"/>
                <w:noProof/>
                <w:rtl/>
                <w:lang w:bidi="fa-IR"/>
              </w:rPr>
              <w:t xml:space="preserve"> </w:t>
            </w:r>
            <w:r w:rsidR="001B7674" w:rsidRPr="00515391">
              <w:rPr>
                <w:rStyle w:val="Hyperlink"/>
                <w:rFonts w:hint="eastAsia"/>
                <w:noProof/>
                <w:rtl/>
                <w:lang w:bidi="fa-IR"/>
              </w:rPr>
              <w:t>التَّشْرِيقِ‌</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645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2" w:history="1">
            <w:r w:rsidR="001B7674" w:rsidRPr="00515391">
              <w:rPr>
                <w:rStyle w:val="Hyperlink"/>
                <w:noProof/>
                <w:rtl/>
                <w:lang w:bidi="fa-IR"/>
              </w:rPr>
              <w:t xml:space="preserve">63 -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صِيَامِ</w:t>
            </w:r>
            <w:r w:rsidR="001B7674" w:rsidRPr="00515391">
              <w:rPr>
                <w:rStyle w:val="Hyperlink"/>
                <w:noProof/>
                <w:rtl/>
                <w:lang w:bidi="fa-IR"/>
              </w:rPr>
              <w:t xml:space="preserve"> </w:t>
            </w:r>
            <w:r w:rsidR="001B7674" w:rsidRPr="00515391">
              <w:rPr>
                <w:rStyle w:val="Hyperlink"/>
                <w:rFonts w:hint="eastAsia"/>
                <w:noProof/>
                <w:rtl/>
                <w:lang w:bidi="fa-IR"/>
              </w:rPr>
              <w:t>التَّرْغِيبِ</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647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3" w:history="1">
            <w:r w:rsidR="001B7674" w:rsidRPr="00515391">
              <w:rPr>
                <w:rStyle w:val="Hyperlink"/>
                <w:noProof/>
                <w:rtl/>
                <w:lang w:bidi="fa-IR"/>
              </w:rPr>
              <w:t xml:space="preserve">64 -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فَضْلِ</w:t>
            </w:r>
            <w:r w:rsidR="001B7674" w:rsidRPr="00515391">
              <w:rPr>
                <w:rStyle w:val="Hyperlink"/>
                <w:noProof/>
                <w:rtl/>
                <w:lang w:bidi="fa-IR"/>
              </w:rPr>
              <w:t xml:space="preserve"> </w:t>
            </w:r>
            <w:r w:rsidR="001B7674" w:rsidRPr="00515391">
              <w:rPr>
                <w:rStyle w:val="Hyperlink"/>
                <w:rFonts w:hint="eastAsia"/>
                <w:noProof/>
                <w:rtl/>
              </w:rPr>
              <w:t>إِفْطَارِ</w:t>
            </w:r>
            <w:r w:rsidR="001B7674" w:rsidRPr="00515391">
              <w:rPr>
                <w:rStyle w:val="Hyperlink"/>
                <w:noProof/>
                <w:rtl/>
                <w:lang w:bidi="fa-IR"/>
              </w:rPr>
              <w:t xml:space="preserve"> </w:t>
            </w:r>
            <w:r w:rsidR="001B7674" w:rsidRPr="00515391">
              <w:rPr>
                <w:rStyle w:val="Hyperlink"/>
                <w:rFonts w:hint="eastAsia"/>
                <w:noProof/>
                <w:rtl/>
                <w:lang w:bidi="fa-IR"/>
              </w:rPr>
              <w:t>الرَّجُلِ</w:t>
            </w:r>
            <w:r w:rsidR="001B7674" w:rsidRPr="00515391">
              <w:rPr>
                <w:rStyle w:val="Hyperlink"/>
                <w:noProof/>
                <w:rtl/>
                <w:lang w:bidi="fa-IR"/>
              </w:rPr>
              <w:t xml:space="preserve"> </w:t>
            </w:r>
            <w:r w:rsidR="001B7674" w:rsidRPr="00515391">
              <w:rPr>
                <w:rStyle w:val="Hyperlink"/>
                <w:rFonts w:hint="eastAsia"/>
                <w:noProof/>
                <w:rtl/>
                <w:lang w:bidi="fa-IR"/>
              </w:rPr>
              <w:t>عِنْدَ</w:t>
            </w:r>
            <w:r w:rsidR="001B7674" w:rsidRPr="00515391">
              <w:rPr>
                <w:rStyle w:val="Hyperlink"/>
                <w:noProof/>
                <w:rtl/>
                <w:lang w:bidi="fa-IR"/>
              </w:rPr>
              <w:t xml:space="preserve"> </w:t>
            </w:r>
            <w:r w:rsidR="001B7674" w:rsidRPr="00515391">
              <w:rPr>
                <w:rStyle w:val="Hyperlink"/>
                <w:rFonts w:hint="eastAsia"/>
                <w:noProof/>
                <w:rtl/>
                <w:lang w:bidi="fa-IR"/>
              </w:rPr>
              <w:t>أَخِيهِ</w:t>
            </w:r>
            <w:r w:rsidR="001B7674" w:rsidRPr="00515391">
              <w:rPr>
                <w:rStyle w:val="Hyperlink"/>
                <w:noProof/>
                <w:rtl/>
                <w:lang w:bidi="fa-IR"/>
              </w:rPr>
              <w:t xml:space="preserve"> </w:t>
            </w:r>
            <w:r w:rsidR="001B7674" w:rsidRPr="00515391">
              <w:rPr>
                <w:rStyle w:val="Hyperlink"/>
                <w:rFonts w:hint="eastAsia"/>
                <w:noProof/>
                <w:rtl/>
                <w:lang w:bidi="fa-IR"/>
              </w:rPr>
              <w:t>إِذَا</w:t>
            </w:r>
            <w:r w:rsidR="001B7674" w:rsidRPr="00515391">
              <w:rPr>
                <w:rStyle w:val="Hyperlink"/>
                <w:noProof/>
                <w:rtl/>
                <w:lang w:bidi="fa-IR"/>
              </w:rPr>
              <w:t xml:space="preserve"> </w:t>
            </w:r>
            <w:r w:rsidR="001B7674" w:rsidRPr="00515391">
              <w:rPr>
                <w:rStyle w:val="Hyperlink"/>
                <w:rFonts w:hint="eastAsia"/>
                <w:noProof/>
                <w:rtl/>
                <w:lang w:bidi="fa-IR"/>
              </w:rPr>
              <w:t>سَأَلَهُ‌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652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4" w:history="1">
            <w:r w:rsidR="001B7674" w:rsidRPr="00515391">
              <w:rPr>
                <w:rStyle w:val="Hyperlink"/>
                <w:noProof/>
                <w:rtl/>
                <w:lang w:bidi="fa-IR"/>
              </w:rPr>
              <w:t xml:space="preserve">65 -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لَايَجُوزُ</w:t>
            </w:r>
            <w:r w:rsidR="001B7674" w:rsidRPr="00515391">
              <w:rPr>
                <w:rStyle w:val="Hyperlink"/>
                <w:noProof/>
                <w:rtl/>
                <w:lang w:bidi="fa-IR"/>
              </w:rPr>
              <w:t xml:space="preserve"> </w:t>
            </w:r>
            <w:r w:rsidR="001B7674" w:rsidRPr="00515391">
              <w:rPr>
                <w:rStyle w:val="Hyperlink"/>
                <w:rFonts w:hint="eastAsia"/>
                <w:noProof/>
                <w:rtl/>
                <w:lang w:bidi="fa-IR"/>
              </w:rPr>
              <w:t>لَهُ</w:t>
            </w:r>
            <w:r w:rsidR="001B7674" w:rsidRPr="00515391">
              <w:rPr>
                <w:rStyle w:val="Hyperlink"/>
                <w:noProof/>
                <w:rtl/>
                <w:lang w:bidi="fa-IR"/>
              </w:rPr>
              <w:t xml:space="preserve"> </w:t>
            </w:r>
            <w:r w:rsidR="001B7674" w:rsidRPr="00515391">
              <w:rPr>
                <w:rStyle w:val="Hyperlink"/>
                <w:rFonts w:hint="eastAsia"/>
                <w:noProof/>
                <w:rtl/>
                <w:lang w:bidi="fa-IR"/>
              </w:rPr>
              <w:t>صِيَامُ</w:t>
            </w:r>
            <w:r w:rsidR="001B7674" w:rsidRPr="00515391">
              <w:rPr>
                <w:rStyle w:val="Hyperlink"/>
                <w:noProof/>
                <w:rtl/>
                <w:lang w:bidi="fa-IR"/>
              </w:rPr>
              <w:t xml:space="preserve"> </w:t>
            </w:r>
            <w:r w:rsidR="001B7674" w:rsidRPr="00515391">
              <w:rPr>
                <w:rStyle w:val="Hyperlink"/>
                <w:rFonts w:hint="eastAsia"/>
                <w:noProof/>
                <w:rtl/>
                <w:lang w:bidi="fa-IR"/>
              </w:rPr>
              <w:t>التَّطَوُّعِ</w:t>
            </w:r>
            <w:r w:rsidR="001B7674" w:rsidRPr="00515391">
              <w:rPr>
                <w:rStyle w:val="Hyperlink"/>
                <w:noProof/>
                <w:rtl/>
                <w:lang w:bidi="fa-IR"/>
              </w:rPr>
              <w:t xml:space="preserve"> </w:t>
            </w:r>
            <w:r w:rsidR="001B7674" w:rsidRPr="00515391">
              <w:rPr>
                <w:rStyle w:val="Hyperlink"/>
                <w:rFonts w:hint="eastAsia"/>
                <w:noProof/>
                <w:rtl/>
                <w:lang w:bidi="fa-IR"/>
              </w:rPr>
              <w:t>إِلَّا</w:t>
            </w:r>
            <w:r w:rsidR="001B7674" w:rsidRPr="00515391">
              <w:rPr>
                <w:rStyle w:val="Hyperlink"/>
                <w:noProof/>
                <w:rtl/>
                <w:lang w:bidi="fa-IR"/>
              </w:rPr>
              <w:t xml:space="preserve"> </w:t>
            </w:r>
            <w:r w:rsidR="001B7674" w:rsidRPr="00515391">
              <w:rPr>
                <w:rStyle w:val="Hyperlink"/>
                <w:rFonts w:hint="eastAsia"/>
                <w:noProof/>
                <w:rtl/>
                <w:lang w:bidi="fa-IR"/>
              </w:rPr>
              <w:t>بِإِذْنِ</w:t>
            </w:r>
            <w:r w:rsidR="001B7674" w:rsidRPr="00515391">
              <w:rPr>
                <w:rStyle w:val="Hyperlink"/>
                <w:noProof/>
                <w:rtl/>
                <w:lang w:bidi="fa-IR"/>
              </w:rPr>
              <w:t xml:space="preserve"> </w:t>
            </w:r>
            <w:r w:rsidR="001B7674" w:rsidRPr="00515391">
              <w:rPr>
                <w:rStyle w:val="Hyperlink"/>
                <w:rFonts w:hint="eastAsia"/>
                <w:noProof/>
                <w:rtl/>
                <w:lang w:bidi="fa-IR"/>
              </w:rPr>
              <w:t>غَيْرِهِ‌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655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5" w:history="1">
            <w:r w:rsidR="001B7674" w:rsidRPr="00515391">
              <w:rPr>
                <w:rStyle w:val="Hyperlink"/>
                <w:noProof/>
                <w:rtl/>
                <w:lang w:bidi="fa-IR"/>
              </w:rPr>
              <w:t xml:space="preserve">66 -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يُسْتَحَبُّ</w:t>
            </w:r>
            <w:r w:rsidR="001B7674" w:rsidRPr="00515391">
              <w:rPr>
                <w:rStyle w:val="Hyperlink"/>
                <w:noProof/>
                <w:rtl/>
                <w:lang w:bidi="fa-IR"/>
              </w:rPr>
              <w:t xml:space="preserve"> </w:t>
            </w:r>
            <w:r w:rsidR="001B7674" w:rsidRPr="00515391">
              <w:rPr>
                <w:rStyle w:val="Hyperlink"/>
                <w:rFonts w:hint="eastAsia"/>
                <w:noProof/>
                <w:rtl/>
                <w:lang w:bidi="fa-IR"/>
              </w:rPr>
              <w:t>أَنْ</w:t>
            </w:r>
            <w:r w:rsidR="001B7674" w:rsidRPr="00515391">
              <w:rPr>
                <w:rStyle w:val="Hyperlink"/>
                <w:noProof/>
                <w:rtl/>
                <w:lang w:bidi="fa-IR"/>
              </w:rPr>
              <w:t xml:space="preserve"> </w:t>
            </w:r>
            <w:r w:rsidR="001B7674" w:rsidRPr="00515391">
              <w:rPr>
                <w:rStyle w:val="Hyperlink"/>
                <w:rFonts w:hint="eastAsia"/>
                <w:noProof/>
                <w:rtl/>
                <w:lang w:bidi="fa-IR"/>
              </w:rPr>
              <w:t>يُفْطَرَ</w:t>
            </w:r>
            <w:r w:rsidR="001B7674" w:rsidRPr="00515391">
              <w:rPr>
                <w:rStyle w:val="Hyperlink"/>
                <w:noProof/>
                <w:rtl/>
                <w:lang w:bidi="fa-IR"/>
              </w:rPr>
              <w:t xml:space="preserve"> </w:t>
            </w:r>
            <w:r w:rsidR="001B7674" w:rsidRPr="00515391">
              <w:rPr>
                <w:rStyle w:val="Hyperlink"/>
                <w:rFonts w:hint="eastAsia"/>
                <w:noProof/>
                <w:rtl/>
                <w:lang w:bidi="fa-IR"/>
              </w:rPr>
              <w:t>عَلَيْهِ‌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660</w:t>
            </w:r>
            <w:r w:rsidR="001B7674">
              <w:rPr>
                <w:noProof/>
                <w:webHidden/>
                <w:rtl/>
              </w:rPr>
              <w:fldChar w:fldCharType="end"/>
            </w:r>
          </w:hyperlink>
        </w:p>
        <w:p w:rsidR="00965CA1" w:rsidRDefault="00965CA1" w:rsidP="00432349">
          <w:pPr>
            <w:pStyle w:val="libNormal"/>
            <w:rPr>
              <w:rStyle w:val="Hyperlink"/>
              <w:noProof/>
            </w:rPr>
          </w:pPr>
          <w:r>
            <w:rPr>
              <w:rStyle w:val="Hyperlink"/>
              <w:noProof/>
            </w:rPr>
            <w:br w:type="page"/>
          </w:r>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6" w:history="1">
            <w:r w:rsidR="001B7674" w:rsidRPr="00515391">
              <w:rPr>
                <w:rStyle w:val="Hyperlink"/>
                <w:noProof/>
                <w:rtl/>
                <w:lang w:bidi="fa-IR"/>
              </w:rPr>
              <w:t xml:space="preserve">67 - </w:t>
            </w:r>
            <w:r w:rsidR="001B7674" w:rsidRPr="00515391">
              <w:rPr>
                <w:rStyle w:val="Hyperlink"/>
                <w:rFonts w:hint="eastAsia"/>
                <w:noProof/>
                <w:rtl/>
              </w:rPr>
              <w:t>بَابُ</w:t>
            </w:r>
            <w:r w:rsidR="001B7674" w:rsidRPr="00515391">
              <w:rPr>
                <w:rStyle w:val="Hyperlink"/>
                <w:noProof/>
                <w:rtl/>
                <w:lang w:bidi="fa-IR"/>
              </w:rPr>
              <w:t xml:space="preserve"> </w:t>
            </w:r>
            <w:r w:rsidR="001B7674" w:rsidRPr="00515391">
              <w:rPr>
                <w:rStyle w:val="Hyperlink"/>
                <w:rFonts w:hint="eastAsia"/>
                <w:noProof/>
                <w:rtl/>
                <w:lang w:bidi="fa-IR"/>
              </w:rPr>
              <w:t>الْغُسْلِ</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noProof/>
                <w:vertAlign w:val="superscript"/>
                <w:rtl/>
              </w:rPr>
              <w:t>(6)</w:t>
            </w:r>
            <w:r w:rsidR="001B7674" w:rsidRPr="00515391">
              <w:rPr>
                <w:rStyle w:val="Hyperlink"/>
                <w:noProof/>
                <w:rtl/>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662</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7" w:history="1">
            <w:r w:rsidR="001B7674" w:rsidRPr="00515391">
              <w:rPr>
                <w:rStyle w:val="Hyperlink"/>
                <w:noProof/>
                <w:rtl/>
                <w:lang w:bidi="fa-IR"/>
              </w:rPr>
              <w:t xml:space="preserve">68 -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يُزَادُ</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الصَّلَاةِ</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665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8" w:history="1">
            <w:r w:rsidR="001B7674" w:rsidRPr="00515391">
              <w:rPr>
                <w:rStyle w:val="Hyperlink"/>
                <w:noProof/>
                <w:rtl/>
                <w:lang w:bidi="fa-IR"/>
              </w:rPr>
              <w:t xml:space="preserve">69 -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لَيْلَةِ</w:t>
            </w:r>
            <w:r w:rsidR="001B7674" w:rsidRPr="00515391">
              <w:rPr>
                <w:rStyle w:val="Hyperlink"/>
                <w:noProof/>
                <w:rtl/>
                <w:lang w:bidi="fa-IR"/>
              </w:rPr>
              <w:t xml:space="preserve"> </w:t>
            </w:r>
            <w:r w:rsidR="001B7674" w:rsidRPr="00515391">
              <w:rPr>
                <w:rStyle w:val="Hyperlink"/>
                <w:rFonts w:hint="eastAsia"/>
                <w:noProof/>
                <w:rtl/>
                <w:lang w:bidi="fa-IR"/>
              </w:rPr>
              <w:t>الْقَدْرِ‌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671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09" w:history="1">
            <w:r w:rsidR="001B7674" w:rsidRPr="00515391">
              <w:rPr>
                <w:rStyle w:val="Hyperlink"/>
                <w:noProof/>
                <w:rtl/>
                <w:lang w:bidi="fa-IR"/>
              </w:rPr>
              <w:t xml:space="preserve">70 -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الدُّعَاءِ</w:t>
            </w:r>
            <w:r w:rsidR="001B7674" w:rsidRPr="00515391">
              <w:rPr>
                <w:rStyle w:val="Hyperlink"/>
                <w:noProof/>
                <w:rtl/>
                <w:lang w:bidi="fa-IR"/>
              </w:rPr>
              <w:t xml:space="preserve"> </w:t>
            </w:r>
            <w:r w:rsidR="001B7674" w:rsidRPr="00515391">
              <w:rPr>
                <w:rStyle w:val="Hyperlink"/>
                <w:rFonts w:hint="eastAsia"/>
                <w:noProof/>
                <w:rtl/>
                <w:lang w:bidi="fa-IR"/>
              </w:rPr>
              <w:t>فِي</w:t>
            </w:r>
            <w:r w:rsidR="001B7674" w:rsidRPr="00515391">
              <w:rPr>
                <w:rStyle w:val="Hyperlink"/>
                <w:noProof/>
                <w:rtl/>
                <w:lang w:bidi="fa-IR"/>
              </w:rPr>
              <w:t xml:space="preserve"> </w:t>
            </w:r>
            <w:r w:rsidR="001B7674" w:rsidRPr="00515391">
              <w:rPr>
                <w:rStyle w:val="Hyperlink"/>
                <w:rFonts w:hint="eastAsia"/>
                <w:noProof/>
                <w:rtl/>
                <w:lang w:bidi="fa-IR"/>
              </w:rPr>
              <w:t>الْعَشْرِ</w:t>
            </w:r>
            <w:r w:rsidR="001B7674" w:rsidRPr="00515391">
              <w:rPr>
                <w:rStyle w:val="Hyperlink"/>
                <w:noProof/>
                <w:rtl/>
                <w:lang w:bidi="fa-IR"/>
              </w:rPr>
              <w:t xml:space="preserve"> </w:t>
            </w:r>
            <w:r w:rsidR="001B7674" w:rsidRPr="00515391">
              <w:rPr>
                <w:rStyle w:val="Hyperlink"/>
                <w:rFonts w:hint="eastAsia"/>
                <w:noProof/>
                <w:rtl/>
                <w:lang w:bidi="fa-IR"/>
              </w:rPr>
              <w:t>الْأَوَاخِرِ</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شَهْرِ</w:t>
            </w:r>
            <w:r w:rsidR="001B7674" w:rsidRPr="00515391">
              <w:rPr>
                <w:rStyle w:val="Hyperlink"/>
                <w:noProof/>
                <w:rtl/>
                <w:lang w:bidi="fa-IR"/>
              </w:rPr>
              <w:t xml:space="preserve"> </w:t>
            </w:r>
            <w:r w:rsidR="001B7674" w:rsidRPr="00515391">
              <w:rPr>
                <w:rStyle w:val="Hyperlink"/>
                <w:rFonts w:hint="eastAsia"/>
                <w:noProof/>
                <w:rtl/>
                <w:lang w:bidi="fa-IR"/>
              </w:rPr>
              <w:t>رَمَضَانَ‌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44600009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684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0" w:history="1">
            <w:r w:rsidR="001B7674" w:rsidRPr="00515391">
              <w:rPr>
                <w:rStyle w:val="Hyperlink"/>
                <w:noProof/>
                <w:rtl/>
                <w:lang w:bidi="fa-IR"/>
              </w:rPr>
              <w:t xml:space="preserve">71 -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التَّكْبِيرِ</w:t>
            </w:r>
            <w:r w:rsidR="001B7674" w:rsidRPr="00515391">
              <w:rPr>
                <w:rStyle w:val="Hyperlink"/>
                <w:noProof/>
                <w:rtl/>
                <w:lang w:bidi="fa-IR"/>
              </w:rPr>
              <w:t xml:space="preserve"> </w:t>
            </w:r>
            <w:r w:rsidR="001B7674" w:rsidRPr="00515391">
              <w:rPr>
                <w:rStyle w:val="Hyperlink"/>
                <w:rFonts w:hint="eastAsia"/>
                <w:noProof/>
                <w:rtl/>
                <w:lang w:bidi="fa-IR"/>
              </w:rPr>
              <w:t>لَيْلَةَ</w:t>
            </w:r>
            <w:r w:rsidR="001B7674" w:rsidRPr="00515391">
              <w:rPr>
                <w:rStyle w:val="Hyperlink"/>
                <w:noProof/>
                <w:rtl/>
                <w:lang w:bidi="fa-IR"/>
              </w:rPr>
              <w:t xml:space="preserve"> </w:t>
            </w:r>
            <w:r w:rsidR="001B7674" w:rsidRPr="00515391">
              <w:rPr>
                <w:rStyle w:val="Hyperlink"/>
                <w:rFonts w:hint="eastAsia"/>
                <w:noProof/>
                <w:rtl/>
                <w:lang w:bidi="fa-IR"/>
              </w:rPr>
              <w:t>الْفِطْرِ</w:t>
            </w:r>
            <w:r w:rsidR="001B7674" w:rsidRPr="00515391">
              <w:rPr>
                <w:rStyle w:val="Hyperlink"/>
                <w:noProof/>
                <w:rtl/>
                <w:lang w:bidi="fa-IR"/>
              </w:rPr>
              <w:t xml:space="preserve"> </w:t>
            </w:r>
            <w:r w:rsidR="001B7674" w:rsidRPr="00515391">
              <w:rPr>
                <w:rStyle w:val="Hyperlink"/>
                <w:rFonts w:hint="eastAsia"/>
                <w:noProof/>
                <w:rtl/>
                <w:lang w:bidi="fa-IR"/>
              </w:rPr>
              <w:t>وَيَوْمَهُ‌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700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1" w:history="1">
            <w:r w:rsidR="001B7674" w:rsidRPr="00515391">
              <w:rPr>
                <w:rStyle w:val="Hyperlink"/>
                <w:noProof/>
                <w:rtl/>
                <w:lang w:bidi="fa-IR"/>
              </w:rPr>
              <w:t xml:space="preserve">72 -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يَوْمِ</w:t>
            </w:r>
            <w:r w:rsidR="001B7674" w:rsidRPr="00515391">
              <w:rPr>
                <w:rStyle w:val="Hyperlink"/>
                <w:noProof/>
                <w:rtl/>
                <w:lang w:bidi="fa-IR"/>
              </w:rPr>
              <w:t xml:space="preserve"> </w:t>
            </w:r>
            <w:r w:rsidR="001B7674" w:rsidRPr="00515391">
              <w:rPr>
                <w:rStyle w:val="Hyperlink"/>
                <w:rFonts w:hint="eastAsia"/>
                <w:noProof/>
                <w:rtl/>
                <w:lang w:bidi="fa-IR"/>
              </w:rPr>
              <w:t>الْفِطْرِ‌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703</w:t>
            </w:r>
            <w:r w:rsidR="001B7674">
              <w:rPr>
                <w:noProof/>
                <w:webHidden/>
                <w:rtl/>
              </w:rPr>
              <w:fldChar w:fldCharType="end"/>
            </w:r>
          </w:hyperlink>
        </w:p>
        <w:p w:rsidR="001B7674" w:rsidRDefault="008404F5" w:rsidP="003A113B">
          <w:pPr>
            <w:pStyle w:val="TOC2"/>
            <w:tabs>
              <w:tab w:val="right" w:leader="dot" w:pos="7786"/>
            </w:tabs>
            <w:rPr>
              <w:rFonts w:asciiTheme="minorHAnsi" w:eastAsiaTheme="minorEastAsia" w:hAnsiTheme="minorHAnsi" w:cstheme="minorBidi"/>
              <w:noProof/>
              <w:color w:val="auto"/>
              <w:sz w:val="22"/>
              <w:szCs w:val="22"/>
              <w:rtl/>
            </w:rPr>
          </w:pPr>
          <w:hyperlink w:anchor="_Toc44600012" w:history="1">
            <w:r w:rsidR="001B7674" w:rsidRPr="00515391">
              <w:rPr>
                <w:rStyle w:val="Hyperlink"/>
                <w:noProof/>
                <w:rtl/>
                <w:lang w:bidi="fa-IR"/>
              </w:rPr>
              <w:t xml:space="preserve">73 -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يَجِبُ</w:t>
            </w:r>
            <w:r w:rsidR="001B7674" w:rsidRPr="00515391">
              <w:rPr>
                <w:rStyle w:val="Hyperlink"/>
                <w:noProof/>
                <w:rtl/>
                <w:lang w:bidi="fa-IR"/>
              </w:rPr>
              <w:t xml:space="preserve"> </w:t>
            </w:r>
            <w:r w:rsidR="001B7674" w:rsidRPr="00515391">
              <w:rPr>
                <w:rStyle w:val="Hyperlink"/>
                <w:rFonts w:hint="eastAsia"/>
                <w:noProof/>
                <w:rtl/>
                <w:lang w:bidi="fa-IR"/>
              </w:rPr>
              <w:t>عَلَى</w:t>
            </w:r>
            <w:r w:rsidR="001B7674" w:rsidRPr="00515391">
              <w:rPr>
                <w:rStyle w:val="Hyperlink"/>
                <w:noProof/>
                <w:rtl/>
                <w:lang w:bidi="fa-IR"/>
              </w:rPr>
              <w:t xml:space="preserve"> </w:t>
            </w:r>
            <w:r w:rsidR="001B7674" w:rsidRPr="00515391">
              <w:rPr>
                <w:rStyle w:val="Hyperlink"/>
                <w:rFonts w:hint="eastAsia"/>
                <w:noProof/>
                <w:rtl/>
                <w:lang w:bidi="fa-IR"/>
              </w:rPr>
              <w:t>النَّاسِ</w:t>
            </w:r>
            <w:r w:rsidR="001B7674" w:rsidRPr="00515391">
              <w:rPr>
                <w:rStyle w:val="Hyperlink"/>
                <w:noProof/>
                <w:rtl/>
                <w:lang w:bidi="fa-IR"/>
              </w:rPr>
              <w:t xml:space="preserve"> </w:t>
            </w:r>
            <w:r w:rsidR="001B7674" w:rsidRPr="00515391">
              <w:rPr>
                <w:rStyle w:val="Hyperlink"/>
                <w:rFonts w:hint="eastAsia"/>
                <w:noProof/>
                <w:rtl/>
                <w:lang w:bidi="fa-IR"/>
              </w:rPr>
              <w:t>إِذَا</w:t>
            </w:r>
            <w:r w:rsidR="001B7674" w:rsidRPr="00515391">
              <w:rPr>
                <w:rStyle w:val="Hyperlink"/>
                <w:noProof/>
                <w:rtl/>
                <w:lang w:bidi="fa-IR"/>
              </w:rPr>
              <w:t xml:space="preserve"> </w:t>
            </w:r>
            <w:r w:rsidR="001B7674" w:rsidRPr="00515391">
              <w:rPr>
                <w:rStyle w:val="Hyperlink"/>
                <w:rFonts w:hint="eastAsia"/>
                <w:noProof/>
                <w:rtl/>
                <w:lang w:bidi="fa-IR"/>
              </w:rPr>
              <w:t>صَحَّ</w:t>
            </w:r>
            <w:r w:rsidR="001B7674" w:rsidRPr="00515391">
              <w:rPr>
                <w:rStyle w:val="Hyperlink"/>
                <w:noProof/>
                <w:rtl/>
                <w:lang w:bidi="fa-IR"/>
              </w:rPr>
              <w:t xml:space="preserve"> </w:t>
            </w:r>
            <w:r w:rsidR="001B7674" w:rsidRPr="00515391">
              <w:rPr>
                <w:rStyle w:val="Hyperlink"/>
                <w:rFonts w:hint="eastAsia"/>
                <w:noProof/>
                <w:rtl/>
                <w:lang w:bidi="fa-IR"/>
              </w:rPr>
              <w:t>عِنْدَهُمُ</w:t>
            </w:r>
            <w:r w:rsidR="001B7674" w:rsidRPr="00515391">
              <w:rPr>
                <w:rStyle w:val="Hyperlink"/>
                <w:noProof/>
                <w:rtl/>
                <w:lang w:bidi="fa-IR"/>
              </w:rPr>
              <w:t xml:space="preserve"> </w:t>
            </w:r>
            <w:r w:rsidR="001B7674" w:rsidRPr="00515391">
              <w:rPr>
                <w:rStyle w:val="Hyperlink"/>
                <w:rFonts w:hint="eastAsia"/>
                <w:noProof/>
                <w:rtl/>
                <w:lang w:bidi="fa-IR"/>
              </w:rPr>
              <w:t>الرُّؤْيَةُ</w:t>
            </w:r>
          </w:hyperlink>
          <w:r w:rsidR="003A113B">
            <w:rPr>
              <w:rStyle w:val="Hyperlink"/>
              <w:rFonts w:hint="cs"/>
              <w:noProof/>
              <w:rtl/>
            </w:rPr>
            <w:t xml:space="preserve"> </w:t>
          </w:r>
          <w:hyperlink w:anchor="_Toc44600013" w:history="1">
            <w:r w:rsidR="001B7674" w:rsidRPr="00515391">
              <w:rPr>
                <w:rStyle w:val="Hyperlink"/>
                <w:rFonts w:hint="eastAsia"/>
                <w:noProof/>
                <w:rtl/>
                <w:lang w:bidi="fa-IR"/>
              </w:rPr>
              <w:t>يَوْمَ</w:t>
            </w:r>
            <w:r w:rsidR="001B7674" w:rsidRPr="00515391">
              <w:rPr>
                <w:rStyle w:val="Hyperlink"/>
                <w:noProof/>
                <w:rtl/>
                <w:lang w:bidi="fa-IR"/>
              </w:rPr>
              <w:t xml:space="preserve"> </w:t>
            </w:r>
            <w:r w:rsidR="001B7674" w:rsidRPr="00515391">
              <w:rPr>
                <w:rStyle w:val="Hyperlink"/>
                <w:rFonts w:hint="eastAsia"/>
                <w:noProof/>
                <w:rtl/>
                <w:lang w:bidi="fa-IR"/>
              </w:rPr>
              <w:t>الْفِطْرِ</w:t>
            </w:r>
            <w:r w:rsidR="001B7674" w:rsidRPr="00515391">
              <w:rPr>
                <w:rStyle w:val="Hyperlink"/>
                <w:noProof/>
                <w:rtl/>
                <w:lang w:bidi="fa-IR"/>
              </w:rPr>
              <w:t xml:space="preserve"> </w:t>
            </w:r>
            <w:r w:rsidR="001B7674" w:rsidRPr="00515391">
              <w:rPr>
                <w:rStyle w:val="Hyperlink"/>
                <w:rFonts w:hint="eastAsia"/>
                <w:noProof/>
                <w:rtl/>
                <w:lang w:bidi="fa-IR"/>
              </w:rPr>
              <w:t>بَعْدَ</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أَصْبَحُوا</w:t>
            </w:r>
            <w:r w:rsidR="001B7674" w:rsidRPr="00515391">
              <w:rPr>
                <w:rStyle w:val="Hyperlink"/>
                <w:noProof/>
                <w:rtl/>
                <w:lang w:bidi="fa-IR"/>
              </w:rPr>
              <w:t xml:space="preserve"> </w:t>
            </w:r>
            <w:r w:rsidR="001B7674" w:rsidRPr="00515391">
              <w:rPr>
                <w:rStyle w:val="Hyperlink"/>
                <w:rFonts w:hint="eastAsia"/>
                <w:noProof/>
                <w:rtl/>
                <w:lang w:bidi="fa-IR"/>
              </w:rPr>
              <w:t>صَائِمِينَ‌</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705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4" w:history="1">
            <w:r w:rsidR="001B7674" w:rsidRPr="00515391">
              <w:rPr>
                <w:rStyle w:val="Hyperlink"/>
                <w:noProof/>
                <w:rtl/>
                <w:lang w:bidi="fa-IR"/>
              </w:rPr>
              <w:t xml:space="preserve">74 -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النَّوَادِرِ‌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706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5" w:history="1">
            <w:r w:rsidR="001B7674" w:rsidRPr="00515391">
              <w:rPr>
                <w:rStyle w:val="Hyperlink"/>
                <w:noProof/>
                <w:rtl/>
                <w:lang w:bidi="fa-IR"/>
              </w:rPr>
              <w:t xml:space="preserve">75 -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الْفِطْرَةِ</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44600015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710</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6" w:history="1">
            <w:r w:rsidR="001B7674" w:rsidRPr="00515391">
              <w:rPr>
                <w:rStyle w:val="Hyperlink"/>
                <w:noProof/>
                <w:rtl/>
                <w:lang w:bidi="fa-IR"/>
              </w:rPr>
              <w:t xml:space="preserve">76 -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noProof/>
                <w:vertAlign w:val="superscript"/>
                <w:rtl/>
              </w:rPr>
              <w:t>(14)</w:t>
            </w:r>
            <w:r w:rsidR="001B7674" w:rsidRPr="00515391">
              <w:rPr>
                <w:rStyle w:val="Hyperlink"/>
                <w:noProof/>
                <w:rtl/>
              </w:rPr>
              <w:t xml:space="preserve"> </w:t>
            </w:r>
            <w:r w:rsidR="001B7674" w:rsidRPr="00515391">
              <w:rPr>
                <w:rStyle w:val="Hyperlink"/>
                <w:rFonts w:hint="eastAsia"/>
                <w:noProof/>
                <w:rtl/>
                <w:lang w:bidi="fa-IR"/>
              </w:rPr>
              <w:t>الِاعْتِكَافِ‌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44600016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725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7" w:history="1">
            <w:r w:rsidR="001B7674" w:rsidRPr="00515391">
              <w:rPr>
                <w:rStyle w:val="Hyperlink"/>
                <w:noProof/>
                <w:rtl/>
                <w:lang w:bidi="fa-IR"/>
              </w:rPr>
              <w:t xml:space="preserve">77 -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أَنَّهُ</w:t>
            </w:r>
            <w:r w:rsidR="001B7674" w:rsidRPr="00515391">
              <w:rPr>
                <w:rStyle w:val="Hyperlink"/>
                <w:noProof/>
                <w:rtl/>
                <w:lang w:bidi="fa-IR"/>
              </w:rPr>
              <w:t xml:space="preserve"> </w:t>
            </w:r>
            <w:r w:rsidR="001B7674" w:rsidRPr="00515391">
              <w:rPr>
                <w:rStyle w:val="Hyperlink"/>
                <w:rFonts w:hint="eastAsia"/>
                <w:noProof/>
                <w:rtl/>
                <w:lang w:bidi="fa-IR"/>
              </w:rPr>
              <w:t>لَايَكُونُ</w:t>
            </w:r>
            <w:r w:rsidR="001B7674" w:rsidRPr="00515391">
              <w:rPr>
                <w:rStyle w:val="Hyperlink"/>
                <w:noProof/>
                <w:rtl/>
                <w:lang w:bidi="fa-IR"/>
              </w:rPr>
              <w:t xml:space="preserve"> </w:t>
            </w:r>
            <w:r w:rsidR="001B7674" w:rsidRPr="00515391">
              <w:rPr>
                <w:rStyle w:val="Hyperlink"/>
                <w:rFonts w:hint="eastAsia"/>
                <w:noProof/>
                <w:rtl/>
                <w:lang w:bidi="fa-IR"/>
              </w:rPr>
              <w:t>الِاعْتِكَافُ</w:t>
            </w:r>
            <w:r w:rsidR="001B7674" w:rsidRPr="00515391">
              <w:rPr>
                <w:rStyle w:val="Hyperlink"/>
                <w:noProof/>
                <w:rtl/>
                <w:lang w:bidi="fa-IR"/>
              </w:rPr>
              <w:t xml:space="preserve"> </w:t>
            </w:r>
            <w:r w:rsidR="001B7674" w:rsidRPr="00515391">
              <w:rPr>
                <w:rStyle w:val="Hyperlink"/>
                <w:noProof/>
                <w:vertAlign w:val="superscript"/>
                <w:rtl/>
              </w:rPr>
              <w:t>(3)</w:t>
            </w:r>
            <w:r w:rsidR="001B7674" w:rsidRPr="00515391">
              <w:rPr>
                <w:rStyle w:val="Hyperlink"/>
                <w:noProof/>
                <w:rtl/>
              </w:rPr>
              <w:t xml:space="preserve"> </w:t>
            </w:r>
            <w:r w:rsidR="001B7674" w:rsidRPr="00515391">
              <w:rPr>
                <w:rStyle w:val="Hyperlink"/>
                <w:rFonts w:hint="eastAsia"/>
                <w:noProof/>
                <w:rtl/>
                <w:lang w:bidi="fa-IR"/>
              </w:rPr>
              <w:t>إِلَّا</w:t>
            </w:r>
            <w:r w:rsidR="001B7674" w:rsidRPr="00515391">
              <w:rPr>
                <w:rStyle w:val="Hyperlink"/>
                <w:noProof/>
                <w:rtl/>
                <w:lang w:bidi="fa-IR"/>
              </w:rPr>
              <w:t xml:space="preserve"> </w:t>
            </w:r>
            <w:r w:rsidR="001B7674" w:rsidRPr="00515391">
              <w:rPr>
                <w:rStyle w:val="Hyperlink"/>
                <w:rFonts w:hint="eastAsia"/>
                <w:noProof/>
                <w:rtl/>
                <w:lang w:bidi="fa-IR"/>
              </w:rPr>
              <w:t>بِصَوْمٍ‌</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44600017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727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8" w:history="1">
            <w:r w:rsidR="001B7674" w:rsidRPr="00515391">
              <w:rPr>
                <w:rStyle w:val="Hyperlink"/>
                <w:noProof/>
                <w:rtl/>
                <w:lang w:bidi="fa-IR"/>
              </w:rPr>
              <w:t xml:space="preserve">78 -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الْمَسَاجِدِ</w:t>
            </w:r>
            <w:r w:rsidR="001B7674" w:rsidRPr="00515391">
              <w:rPr>
                <w:rStyle w:val="Hyperlink"/>
                <w:noProof/>
                <w:rtl/>
                <w:lang w:bidi="fa-IR"/>
              </w:rPr>
              <w:t xml:space="preserve"> </w:t>
            </w:r>
            <w:r w:rsidR="001B7674" w:rsidRPr="00515391">
              <w:rPr>
                <w:rStyle w:val="Hyperlink"/>
                <w:rFonts w:hint="eastAsia"/>
                <w:noProof/>
                <w:rtl/>
                <w:lang w:bidi="fa-IR"/>
              </w:rPr>
              <w:t>الَّتِي</w:t>
            </w:r>
            <w:r w:rsidR="001B7674" w:rsidRPr="00515391">
              <w:rPr>
                <w:rStyle w:val="Hyperlink"/>
                <w:noProof/>
                <w:rtl/>
                <w:lang w:bidi="fa-IR"/>
              </w:rPr>
              <w:t xml:space="preserve"> </w:t>
            </w:r>
            <w:r w:rsidR="001B7674" w:rsidRPr="00515391">
              <w:rPr>
                <w:rStyle w:val="Hyperlink"/>
                <w:rFonts w:hint="eastAsia"/>
                <w:noProof/>
                <w:rtl/>
                <w:lang w:bidi="fa-IR"/>
              </w:rPr>
              <w:t>يَصْلُحُ</w:t>
            </w:r>
            <w:r w:rsidR="001B7674" w:rsidRPr="00515391">
              <w:rPr>
                <w:rStyle w:val="Hyperlink"/>
                <w:noProof/>
                <w:rtl/>
                <w:lang w:bidi="fa-IR"/>
              </w:rPr>
              <w:t xml:space="preserve"> </w:t>
            </w:r>
            <w:r w:rsidR="001B7674" w:rsidRPr="00515391">
              <w:rPr>
                <w:rStyle w:val="Hyperlink"/>
                <w:noProof/>
                <w:vertAlign w:val="superscript"/>
                <w:rtl/>
              </w:rPr>
              <w:t>(4)</w:t>
            </w:r>
            <w:r w:rsidR="001B7674" w:rsidRPr="00515391">
              <w:rPr>
                <w:rStyle w:val="Hyperlink"/>
                <w:noProof/>
                <w:rtl/>
              </w:rPr>
              <w:t xml:space="preserve"> </w:t>
            </w:r>
            <w:r w:rsidR="001B7674" w:rsidRPr="00515391">
              <w:rPr>
                <w:rStyle w:val="Hyperlink"/>
                <w:rFonts w:hint="eastAsia"/>
                <w:noProof/>
                <w:rtl/>
                <w:lang w:bidi="fa-IR"/>
              </w:rPr>
              <w:t>الِاعْتِكَافُ</w:t>
            </w:r>
            <w:r w:rsidR="001B7674" w:rsidRPr="00515391">
              <w:rPr>
                <w:rStyle w:val="Hyperlink"/>
                <w:noProof/>
                <w:rtl/>
                <w:lang w:bidi="fa-IR"/>
              </w:rPr>
              <w:t xml:space="preserve"> </w:t>
            </w:r>
            <w:r w:rsidR="001B7674" w:rsidRPr="00515391">
              <w:rPr>
                <w:rStyle w:val="Hyperlink"/>
                <w:rFonts w:hint="eastAsia"/>
                <w:noProof/>
                <w:rtl/>
                <w:lang w:bidi="fa-IR"/>
              </w:rPr>
              <w:t>فِيهَا</w:t>
            </w:r>
            <w:r w:rsidR="001B7674" w:rsidRPr="00515391">
              <w:rPr>
                <w:rStyle w:val="Hyperlink"/>
                <w:noProof/>
                <w:rtl/>
                <w:lang w:bidi="fa-IR"/>
              </w:rPr>
              <w:t xml:space="preserve"> </w:t>
            </w:r>
            <w:r w:rsidR="001B7674" w:rsidRPr="00515391">
              <w:rPr>
                <w:rStyle w:val="Hyperlink"/>
                <w:noProof/>
                <w:vertAlign w:val="superscript"/>
                <w:rtl/>
              </w:rPr>
              <w:t>(5)</w:t>
            </w:r>
            <w:r w:rsidR="001B7674" w:rsidRPr="00515391">
              <w:rPr>
                <w:rStyle w:val="Hyperlink"/>
                <w:noProof/>
                <w:rtl/>
                <w:lang w:bidi="fa-IR"/>
              </w:rPr>
              <w:t xml:space="preserve"> ‌</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44600018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728</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19" w:history="1">
            <w:r w:rsidR="001B7674" w:rsidRPr="00515391">
              <w:rPr>
                <w:rStyle w:val="Hyperlink"/>
                <w:noProof/>
                <w:rtl/>
                <w:lang w:bidi="fa-IR"/>
              </w:rPr>
              <w:t xml:space="preserve">79 -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أَقَلِّ</w:t>
            </w:r>
            <w:r w:rsidR="001B7674" w:rsidRPr="00515391">
              <w:rPr>
                <w:rStyle w:val="Hyperlink"/>
                <w:noProof/>
                <w:rtl/>
                <w:lang w:bidi="fa-IR"/>
              </w:rPr>
              <w:t xml:space="preserve"> </w:t>
            </w:r>
            <w:r w:rsidR="001B7674" w:rsidRPr="00515391">
              <w:rPr>
                <w:rStyle w:val="Hyperlink"/>
                <w:rFonts w:hint="eastAsia"/>
                <w:noProof/>
                <w:rtl/>
                <w:lang w:bidi="fa-IR"/>
              </w:rPr>
              <w:t>مَا</w:t>
            </w:r>
            <w:r w:rsidR="001B7674" w:rsidRPr="00515391">
              <w:rPr>
                <w:rStyle w:val="Hyperlink"/>
                <w:noProof/>
                <w:rtl/>
                <w:lang w:bidi="fa-IR"/>
              </w:rPr>
              <w:t xml:space="preserve"> </w:t>
            </w:r>
            <w:r w:rsidR="001B7674" w:rsidRPr="00515391">
              <w:rPr>
                <w:rStyle w:val="Hyperlink"/>
                <w:rFonts w:hint="eastAsia"/>
                <w:noProof/>
                <w:rtl/>
                <w:lang w:bidi="fa-IR"/>
              </w:rPr>
              <w:t>يَكُونُ</w:t>
            </w:r>
            <w:r w:rsidR="001B7674" w:rsidRPr="00515391">
              <w:rPr>
                <w:rStyle w:val="Hyperlink"/>
                <w:noProof/>
                <w:rtl/>
                <w:lang w:bidi="fa-IR"/>
              </w:rPr>
              <w:t xml:space="preserve"> </w:t>
            </w:r>
            <w:r w:rsidR="001B7674" w:rsidRPr="00515391">
              <w:rPr>
                <w:rStyle w:val="Hyperlink"/>
                <w:rFonts w:hint="eastAsia"/>
                <w:noProof/>
                <w:rtl/>
                <w:lang w:bidi="fa-IR"/>
              </w:rPr>
              <w:t>الِاعْتِكَافُ‌</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44600019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731</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20" w:history="1">
            <w:r w:rsidR="001B7674" w:rsidRPr="00515391">
              <w:rPr>
                <w:rStyle w:val="Hyperlink"/>
                <w:noProof/>
                <w:rtl/>
                <w:lang w:bidi="fa-IR"/>
              </w:rPr>
              <w:t xml:space="preserve">80 -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الْمُعْتَكِفِ</w:t>
            </w:r>
            <w:r w:rsidR="001B7674" w:rsidRPr="00515391">
              <w:rPr>
                <w:rStyle w:val="Hyperlink"/>
                <w:noProof/>
                <w:rtl/>
                <w:lang w:bidi="fa-IR"/>
              </w:rPr>
              <w:t xml:space="preserve"> </w:t>
            </w:r>
            <w:r w:rsidR="001B7674" w:rsidRPr="00515391">
              <w:rPr>
                <w:rStyle w:val="Hyperlink"/>
                <w:rFonts w:hint="eastAsia"/>
                <w:noProof/>
                <w:rtl/>
                <w:lang w:bidi="fa-IR"/>
              </w:rPr>
              <w:t>لَايَخْرُجُ</w:t>
            </w:r>
            <w:r w:rsidR="001B7674" w:rsidRPr="00515391">
              <w:rPr>
                <w:rStyle w:val="Hyperlink"/>
                <w:noProof/>
                <w:rtl/>
                <w:lang w:bidi="fa-IR"/>
              </w:rPr>
              <w:t xml:space="preserve"> </w:t>
            </w:r>
            <w:r w:rsidR="001B7674" w:rsidRPr="00515391">
              <w:rPr>
                <w:rStyle w:val="Hyperlink"/>
                <w:rFonts w:hint="eastAsia"/>
                <w:noProof/>
                <w:rtl/>
                <w:lang w:bidi="fa-IR"/>
              </w:rPr>
              <w:t>مِنَ</w:t>
            </w:r>
            <w:r w:rsidR="001B7674" w:rsidRPr="00515391">
              <w:rPr>
                <w:rStyle w:val="Hyperlink"/>
                <w:noProof/>
                <w:rtl/>
                <w:lang w:bidi="fa-IR"/>
              </w:rPr>
              <w:t xml:space="preserve"> </w:t>
            </w:r>
            <w:r w:rsidR="001B7674" w:rsidRPr="00515391">
              <w:rPr>
                <w:rStyle w:val="Hyperlink"/>
                <w:rFonts w:hint="eastAsia"/>
                <w:noProof/>
                <w:rtl/>
                <w:lang w:bidi="fa-IR"/>
              </w:rPr>
              <w:t>الْمَسْجِدِ</w:t>
            </w:r>
            <w:r w:rsidR="001B7674" w:rsidRPr="00515391">
              <w:rPr>
                <w:rStyle w:val="Hyperlink"/>
                <w:noProof/>
                <w:rtl/>
                <w:lang w:bidi="fa-IR"/>
              </w:rPr>
              <w:t xml:space="preserve"> </w:t>
            </w:r>
            <w:r w:rsidR="001B7674" w:rsidRPr="00515391">
              <w:rPr>
                <w:rStyle w:val="Hyperlink"/>
                <w:rFonts w:hint="eastAsia"/>
                <w:noProof/>
                <w:rtl/>
                <w:lang w:bidi="fa-IR"/>
              </w:rPr>
              <w:t>إِلَّا</w:t>
            </w:r>
            <w:r w:rsidR="001B7674" w:rsidRPr="00515391">
              <w:rPr>
                <w:rStyle w:val="Hyperlink"/>
                <w:noProof/>
                <w:rtl/>
                <w:lang w:bidi="fa-IR"/>
              </w:rPr>
              <w:t xml:space="preserve"> </w:t>
            </w:r>
            <w:r w:rsidR="001B7674" w:rsidRPr="00515391">
              <w:rPr>
                <w:rStyle w:val="Hyperlink"/>
                <w:rFonts w:hint="eastAsia"/>
                <w:noProof/>
                <w:rtl/>
                <w:lang w:bidi="fa-IR"/>
              </w:rPr>
              <w:t>لِحَاجَةٍ‌</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44600020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734</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21" w:history="1">
            <w:r w:rsidR="001B7674" w:rsidRPr="00515391">
              <w:rPr>
                <w:rStyle w:val="Hyperlink"/>
                <w:noProof/>
                <w:rtl/>
                <w:lang w:bidi="fa-IR"/>
              </w:rPr>
              <w:t xml:space="preserve">81 -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الْمُعْتَكِفِ</w:t>
            </w:r>
            <w:r w:rsidR="001B7674" w:rsidRPr="00515391">
              <w:rPr>
                <w:rStyle w:val="Hyperlink"/>
                <w:noProof/>
                <w:rtl/>
                <w:lang w:bidi="fa-IR"/>
              </w:rPr>
              <w:t xml:space="preserve"> </w:t>
            </w:r>
            <w:r w:rsidR="001B7674" w:rsidRPr="00515391">
              <w:rPr>
                <w:rStyle w:val="Hyperlink"/>
                <w:rFonts w:hint="eastAsia"/>
                <w:noProof/>
                <w:rtl/>
                <w:lang w:bidi="fa-IR"/>
              </w:rPr>
              <w:t>يَمْرَضُ</w:t>
            </w:r>
            <w:r w:rsidR="001B7674" w:rsidRPr="00515391">
              <w:rPr>
                <w:rStyle w:val="Hyperlink"/>
                <w:noProof/>
                <w:rtl/>
                <w:lang w:bidi="fa-IR"/>
              </w:rPr>
              <w:t xml:space="preserve"> </w:t>
            </w:r>
            <w:r w:rsidR="001B7674" w:rsidRPr="00515391">
              <w:rPr>
                <w:rStyle w:val="Hyperlink"/>
                <w:rFonts w:hint="eastAsia"/>
                <w:noProof/>
                <w:rtl/>
                <w:lang w:bidi="fa-IR"/>
              </w:rPr>
              <w:t>وَالْمُعْتَكِفَةِ</w:t>
            </w:r>
            <w:r w:rsidR="001B7674" w:rsidRPr="00515391">
              <w:rPr>
                <w:rStyle w:val="Hyperlink"/>
                <w:noProof/>
                <w:rtl/>
                <w:lang w:bidi="fa-IR"/>
              </w:rPr>
              <w:t xml:space="preserve"> </w:t>
            </w:r>
            <w:r w:rsidR="001B7674" w:rsidRPr="00515391">
              <w:rPr>
                <w:rStyle w:val="Hyperlink"/>
                <w:rFonts w:hint="eastAsia"/>
                <w:noProof/>
                <w:rtl/>
                <w:lang w:bidi="fa-IR"/>
              </w:rPr>
              <w:t>تَطْمَثُ‌</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44600021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735</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22" w:history="1">
            <w:r w:rsidR="001B7674" w:rsidRPr="00515391">
              <w:rPr>
                <w:rStyle w:val="Hyperlink"/>
                <w:noProof/>
                <w:rtl/>
                <w:lang w:bidi="fa-IR"/>
              </w:rPr>
              <w:t xml:space="preserve">82 -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الْمُعْتَكِفِ</w:t>
            </w:r>
            <w:r w:rsidR="001B7674" w:rsidRPr="00515391">
              <w:rPr>
                <w:rStyle w:val="Hyperlink"/>
                <w:noProof/>
                <w:rtl/>
                <w:lang w:bidi="fa-IR"/>
              </w:rPr>
              <w:t xml:space="preserve"> </w:t>
            </w:r>
            <w:r w:rsidR="001B7674" w:rsidRPr="00515391">
              <w:rPr>
                <w:rStyle w:val="Hyperlink"/>
                <w:rFonts w:hint="eastAsia"/>
                <w:noProof/>
                <w:rtl/>
                <w:lang w:bidi="fa-IR"/>
              </w:rPr>
              <w:t>يُجَامِعُ</w:t>
            </w:r>
            <w:r w:rsidR="001B7674" w:rsidRPr="00515391">
              <w:rPr>
                <w:rStyle w:val="Hyperlink"/>
                <w:noProof/>
                <w:rtl/>
                <w:lang w:bidi="fa-IR"/>
              </w:rPr>
              <w:t xml:space="preserve"> </w:t>
            </w:r>
            <w:r w:rsidR="001B7674" w:rsidRPr="00515391">
              <w:rPr>
                <w:rStyle w:val="Hyperlink"/>
                <w:rFonts w:hint="eastAsia"/>
                <w:noProof/>
                <w:rtl/>
                <w:lang w:bidi="fa-IR"/>
              </w:rPr>
              <w:t>أَهْلَهُ‌</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44600022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736</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23" w:history="1">
            <w:r w:rsidR="001B7674" w:rsidRPr="00515391">
              <w:rPr>
                <w:rStyle w:val="Hyperlink"/>
                <w:noProof/>
                <w:rtl/>
                <w:lang w:bidi="fa-IR"/>
              </w:rPr>
              <w:t xml:space="preserve">83 - </w:t>
            </w:r>
            <w:r w:rsidR="001B7674" w:rsidRPr="00515391">
              <w:rPr>
                <w:rStyle w:val="Hyperlink"/>
                <w:rFonts w:hint="eastAsia"/>
                <w:noProof/>
                <w:rtl/>
                <w:lang w:bidi="fa-IR"/>
              </w:rPr>
              <w:t>بَابُ</w:t>
            </w:r>
            <w:r w:rsidR="001B7674" w:rsidRPr="00515391">
              <w:rPr>
                <w:rStyle w:val="Hyperlink"/>
                <w:noProof/>
                <w:rtl/>
                <w:lang w:bidi="fa-IR"/>
              </w:rPr>
              <w:t xml:space="preserve"> </w:t>
            </w:r>
            <w:r w:rsidR="001B7674" w:rsidRPr="00515391">
              <w:rPr>
                <w:rStyle w:val="Hyperlink"/>
                <w:rFonts w:hint="eastAsia"/>
                <w:noProof/>
                <w:rtl/>
                <w:lang w:bidi="fa-IR"/>
              </w:rPr>
              <w:t>النَّوَادِرِ‌</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44600023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737</w:t>
            </w:r>
            <w:r w:rsidR="001B7674">
              <w:rPr>
                <w:noProof/>
                <w:webHidden/>
                <w:rtl/>
              </w:rPr>
              <w:fldChar w:fldCharType="end"/>
            </w:r>
          </w:hyperlink>
        </w:p>
        <w:p w:rsidR="001B7674" w:rsidRDefault="008404F5">
          <w:pPr>
            <w:pStyle w:val="TOC2"/>
            <w:tabs>
              <w:tab w:val="right" w:leader="dot" w:pos="7786"/>
            </w:tabs>
            <w:rPr>
              <w:rFonts w:asciiTheme="minorHAnsi" w:eastAsiaTheme="minorEastAsia" w:hAnsiTheme="minorHAnsi" w:cstheme="minorBidi"/>
              <w:noProof/>
              <w:color w:val="auto"/>
              <w:sz w:val="22"/>
              <w:szCs w:val="22"/>
              <w:rtl/>
            </w:rPr>
          </w:pPr>
          <w:hyperlink w:anchor="_Toc44600024" w:history="1">
            <w:r w:rsidR="001B7674" w:rsidRPr="00515391">
              <w:rPr>
                <w:rStyle w:val="Hyperlink"/>
                <w:rFonts w:hint="eastAsia"/>
                <w:noProof/>
                <w:rtl/>
                <w:lang w:bidi="fa-IR"/>
              </w:rPr>
              <w:t>الفهرس</w:t>
            </w:r>
            <w:r w:rsidR="001B7674">
              <w:rPr>
                <w:noProof/>
                <w:webHidden/>
                <w:rtl/>
              </w:rPr>
              <w:tab/>
            </w:r>
            <w:r w:rsidR="001B7674">
              <w:rPr>
                <w:noProof/>
                <w:webHidden/>
                <w:rtl/>
              </w:rPr>
              <w:fldChar w:fldCharType="begin"/>
            </w:r>
            <w:r w:rsidR="001B7674">
              <w:rPr>
                <w:noProof/>
                <w:webHidden/>
                <w:rtl/>
              </w:rPr>
              <w:instrText xml:space="preserve"> </w:instrText>
            </w:r>
            <w:r w:rsidR="001B7674">
              <w:rPr>
                <w:noProof/>
                <w:webHidden/>
              </w:rPr>
              <w:instrText>PAGEREF</w:instrText>
            </w:r>
            <w:r w:rsidR="001B7674">
              <w:rPr>
                <w:noProof/>
                <w:webHidden/>
                <w:rtl/>
              </w:rPr>
              <w:instrText xml:space="preserve"> _</w:instrText>
            </w:r>
            <w:r w:rsidR="001B7674">
              <w:rPr>
                <w:noProof/>
                <w:webHidden/>
              </w:rPr>
              <w:instrText>Toc</w:instrText>
            </w:r>
            <w:r w:rsidR="001B7674">
              <w:rPr>
                <w:noProof/>
                <w:webHidden/>
                <w:rtl/>
              </w:rPr>
              <w:instrText xml:space="preserve">44600024 </w:instrText>
            </w:r>
            <w:r w:rsidR="001B7674">
              <w:rPr>
                <w:noProof/>
                <w:webHidden/>
              </w:rPr>
              <w:instrText>\h</w:instrText>
            </w:r>
            <w:r w:rsidR="001B7674">
              <w:rPr>
                <w:noProof/>
                <w:webHidden/>
                <w:rtl/>
              </w:rPr>
              <w:instrText xml:space="preserve"> </w:instrText>
            </w:r>
            <w:r w:rsidR="001B7674">
              <w:rPr>
                <w:noProof/>
                <w:webHidden/>
                <w:rtl/>
              </w:rPr>
            </w:r>
            <w:r w:rsidR="001B7674">
              <w:rPr>
                <w:noProof/>
                <w:webHidden/>
                <w:rtl/>
              </w:rPr>
              <w:fldChar w:fldCharType="separate"/>
            </w:r>
            <w:r w:rsidR="00D83915">
              <w:rPr>
                <w:noProof/>
                <w:webHidden/>
                <w:rtl/>
              </w:rPr>
              <w:t>748</w:t>
            </w:r>
            <w:r w:rsidR="001B7674">
              <w:rPr>
                <w:noProof/>
                <w:webHidden/>
                <w:rtl/>
              </w:rPr>
              <w:fldChar w:fldCharType="end"/>
            </w:r>
          </w:hyperlink>
        </w:p>
        <w:p w:rsidR="00062E75" w:rsidRDefault="004B12C7" w:rsidP="00C83E4A">
          <w:pPr>
            <w:pStyle w:val="libNormal"/>
          </w:pPr>
          <w:r>
            <w:fldChar w:fldCharType="end"/>
          </w:r>
        </w:p>
      </w:sdtContent>
    </w:sdt>
    <w:sectPr w:rsidR="00062E75"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4F5" w:rsidRDefault="008404F5">
      <w:r>
        <w:separator/>
      </w:r>
    </w:p>
  </w:endnote>
  <w:endnote w:type="continuationSeparator" w:id="0">
    <w:p w:rsidR="008404F5" w:rsidRDefault="0084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4E" w:rsidRPr="00460435" w:rsidRDefault="00A54C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83915">
      <w:rPr>
        <w:rFonts w:ascii="Traditional Arabic" w:hAnsi="Traditional Arabic"/>
        <w:noProof/>
        <w:sz w:val="28"/>
        <w:szCs w:val="28"/>
        <w:rtl/>
      </w:rPr>
      <w:t>130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4E" w:rsidRPr="00460435" w:rsidRDefault="00A54C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83915">
      <w:rPr>
        <w:rFonts w:ascii="Traditional Arabic" w:hAnsi="Traditional Arabic"/>
        <w:noProof/>
        <w:sz w:val="28"/>
        <w:szCs w:val="28"/>
        <w:rtl/>
      </w:rPr>
      <w:t>131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4E" w:rsidRPr="00460435" w:rsidRDefault="00A54C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8391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4F5" w:rsidRDefault="008404F5">
      <w:r>
        <w:separator/>
      </w:r>
    </w:p>
  </w:footnote>
  <w:footnote w:type="continuationSeparator" w:id="0">
    <w:p w:rsidR="008404F5" w:rsidRDefault="008404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795177"/>
    <w:rsid w:val="00000067"/>
    <w:rsid w:val="00000A2F"/>
    <w:rsid w:val="00000E27"/>
    <w:rsid w:val="00003059"/>
    <w:rsid w:val="0000347D"/>
    <w:rsid w:val="00004AEE"/>
    <w:rsid w:val="00005A19"/>
    <w:rsid w:val="00006C3A"/>
    <w:rsid w:val="00006FBA"/>
    <w:rsid w:val="00011864"/>
    <w:rsid w:val="00011F46"/>
    <w:rsid w:val="0001377C"/>
    <w:rsid w:val="0001579C"/>
    <w:rsid w:val="00015DC0"/>
    <w:rsid w:val="0002406B"/>
    <w:rsid w:val="00024718"/>
    <w:rsid w:val="00024778"/>
    <w:rsid w:val="00024D78"/>
    <w:rsid w:val="00024DBC"/>
    <w:rsid w:val="000267FE"/>
    <w:rsid w:val="00026D9E"/>
    <w:rsid w:val="00026EF1"/>
    <w:rsid w:val="0002722C"/>
    <w:rsid w:val="000301F2"/>
    <w:rsid w:val="00031327"/>
    <w:rsid w:val="0003362C"/>
    <w:rsid w:val="00034DB7"/>
    <w:rsid w:val="00034F02"/>
    <w:rsid w:val="00035020"/>
    <w:rsid w:val="000354B6"/>
    <w:rsid w:val="00036F43"/>
    <w:rsid w:val="00040798"/>
    <w:rsid w:val="000421B5"/>
    <w:rsid w:val="000425DC"/>
    <w:rsid w:val="00042C29"/>
    <w:rsid w:val="00042F45"/>
    <w:rsid w:val="00043023"/>
    <w:rsid w:val="00045428"/>
    <w:rsid w:val="00045D81"/>
    <w:rsid w:val="000514E0"/>
    <w:rsid w:val="000538B3"/>
    <w:rsid w:val="0005422E"/>
    <w:rsid w:val="00054406"/>
    <w:rsid w:val="0005626E"/>
    <w:rsid w:val="00056477"/>
    <w:rsid w:val="0006216A"/>
    <w:rsid w:val="00062E75"/>
    <w:rsid w:val="00063616"/>
    <w:rsid w:val="000646F4"/>
    <w:rsid w:val="000658E6"/>
    <w:rsid w:val="00066A67"/>
    <w:rsid w:val="00066C43"/>
    <w:rsid w:val="00067020"/>
    <w:rsid w:val="0006717A"/>
    <w:rsid w:val="000675D7"/>
    <w:rsid w:val="00067F84"/>
    <w:rsid w:val="0007046F"/>
    <w:rsid w:val="0007059D"/>
    <w:rsid w:val="000707E0"/>
    <w:rsid w:val="00070D77"/>
    <w:rsid w:val="00071962"/>
    <w:rsid w:val="00071C97"/>
    <w:rsid w:val="000728F0"/>
    <w:rsid w:val="0007613C"/>
    <w:rsid w:val="000761F7"/>
    <w:rsid w:val="00076A3A"/>
    <w:rsid w:val="00077163"/>
    <w:rsid w:val="0007754F"/>
    <w:rsid w:val="00077F06"/>
    <w:rsid w:val="00080CC1"/>
    <w:rsid w:val="00081A48"/>
    <w:rsid w:val="00082D69"/>
    <w:rsid w:val="000830D9"/>
    <w:rsid w:val="00084726"/>
    <w:rsid w:val="0008519F"/>
    <w:rsid w:val="00085B35"/>
    <w:rsid w:val="000865A5"/>
    <w:rsid w:val="000870D0"/>
    <w:rsid w:val="00087A65"/>
    <w:rsid w:val="00087E9C"/>
    <w:rsid w:val="00090987"/>
    <w:rsid w:val="00090E7A"/>
    <w:rsid w:val="00092805"/>
    <w:rsid w:val="00092A0C"/>
    <w:rsid w:val="0009352B"/>
    <w:rsid w:val="00093BD9"/>
    <w:rsid w:val="00094551"/>
    <w:rsid w:val="000947DB"/>
    <w:rsid w:val="000956F6"/>
    <w:rsid w:val="00095BA6"/>
    <w:rsid w:val="00097CD3"/>
    <w:rsid w:val="000A264A"/>
    <w:rsid w:val="000A2FD6"/>
    <w:rsid w:val="000A344C"/>
    <w:rsid w:val="000A5C1C"/>
    <w:rsid w:val="000A7750"/>
    <w:rsid w:val="000B0E1B"/>
    <w:rsid w:val="000B1891"/>
    <w:rsid w:val="000B1E41"/>
    <w:rsid w:val="000B2E78"/>
    <w:rsid w:val="000B3A56"/>
    <w:rsid w:val="000B3DDF"/>
    <w:rsid w:val="000B404B"/>
    <w:rsid w:val="000B4CDB"/>
    <w:rsid w:val="000B6F1A"/>
    <w:rsid w:val="000C036F"/>
    <w:rsid w:val="000C0A89"/>
    <w:rsid w:val="000C2770"/>
    <w:rsid w:val="000C36ED"/>
    <w:rsid w:val="000C3919"/>
    <w:rsid w:val="000C3F1A"/>
    <w:rsid w:val="000C5EB9"/>
    <w:rsid w:val="000C7722"/>
    <w:rsid w:val="000C7F32"/>
    <w:rsid w:val="000D088B"/>
    <w:rsid w:val="000D0932"/>
    <w:rsid w:val="000D11C1"/>
    <w:rsid w:val="000D1BDF"/>
    <w:rsid w:val="000D2757"/>
    <w:rsid w:val="000D48F3"/>
    <w:rsid w:val="000D4AED"/>
    <w:rsid w:val="000D71B7"/>
    <w:rsid w:val="000D799C"/>
    <w:rsid w:val="000D7D84"/>
    <w:rsid w:val="000E0153"/>
    <w:rsid w:val="000E05C5"/>
    <w:rsid w:val="000E1D61"/>
    <w:rsid w:val="000E362A"/>
    <w:rsid w:val="000E3F3D"/>
    <w:rsid w:val="000E46E9"/>
    <w:rsid w:val="000E6824"/>
    <w:rsid w:val="000E746C"/>
    <w:rsid w:val="000E77FC"/>
    <w:rsid w:val="000F06E7"/>
    <w:rsid w:val="000F10D1"/>
    <w:rsid w:val="000F23F1"/>
    <w:rsid w:val="000F2BF7"/>
    <w:rsid w:val="000F3A3E"/>
    <w:rsid w:val="000F43CB"/>
    <w:rsid w:val="000F4D1C"/>
    <w:rsid w:val="000F4D94"/>
    <w:rsid w:val="000F61B4"/>
    <w:rsid w:val="000F7C1C"/>
    <w:rsid w:val="000F7CC5"/>
    <w:rsid w:val="000F7F83"/>
    <w:rsid w:val="0010049D"/>
    <w:rsid w:val="00101C88"/>
    <w:rsid w:val="00103118"/>
    <w:rsid w:val="0010315B"/>
    <w:rsid w:val="001033B6"/>
    <w:rsid w:val="00103495"/>
    <w:rsid w:val="001034AF"/>
    <w:rsid w:val="00103C5E"/>
    <w:rsid w:val="00103C79"/>
    <w:rsid w:val="00104F79"/>
    <w:rsid w:val="0010524B"/>
    <w:rsid w:val="00105359"/>
    <w:rsid w:val="001053B8"/>
    <w:rsid w:val="001057D4"/>
    <w:rsid w:val="001061C0"/>
    <w:rsid w:val="00107070"/>
    <w:rsid w:val="00107A6B"/>
    <w:rsid w:val="001106A5"/>
    <w:rsid w:val="001110EB"/>
    <w:rsid w:val="00111AE3"/>
    <w:rsid w:val="00111BA6"/>
    <w:rsid w:val="00112D36"/>
    <w:rsid w:val="0011352E"/>
    <w:rsid w:val="00113B0B"/>
    <w:rsid w:val="00113CCC"/>
    <w:rsid w:val="00115143"/>
    <w:rsid w:val="00115473"/>
    <w:rsid w:val="0011559F"/>
    <w:rsid w:val="00115A71"/>
    <w:rsid w:val="00115B4E"/>
    <w:rsid w:val="00115DBA"/>
    <w:rsid w:val="001162C9"/>
    <w:rsid w:val="00116CD0"/>
    <w:rsid w:val="00117105"/>
    <w:rsid w:val="0011773B"/>
    <w:rsid w:val="0012008A"/>
    <w:rsid w:val="00120327"/>
    <w:rsid w:val="0012064D"/>
    <w:rsid w:val="0012100B"/>
    <w:rsid w:val="0012190D"/>
    <w:rsid w:val="00122468"/>
    <w:rsid w:val="0012268F"/>
    <w:rsid w:val="00122761"/>
    <w:rsid w:val="001230B6"/>
    <w:rsid w:val="0012315E"/>
    <w:rsid w:val="001243ED"/>
    <w:rsid w:val="001248DA"/>
    <w:rsid w:val="00126471"/>
    <w:rsid w:val="0012682B"/>
    <w:rsid w:val="00127D5D"/>
    <w:rsid w:val="0013026D"/>
    <w:rsid w:val="0013047A"/>
    <w:rsid w:val="00132CA7"/>
    <w:rsid w:val="0013470E"/>
    <w:rsid w:val="00134E92"/>
    <w:rsid w:val="00135E90"/>
    <w:rsid w:val="00136268"/>
    <w:rsid w:val="00136E6F"/>
    <w:rsid w:val="00136FE7"/>
    <w:rsid w:val="00140596"/>
    <w:rsid w:val="00140ED6"/>
    <w:rsid w:val="001413F6"/>
    <w:rsid w:val="001414F8"/>
    <w:rsid w:val="0014275E"/>
    <w:rsid w:val="0014341C"/>
    <w:rsid w:val="00143EEA"/>
    <w:rsid w:val="0014403D"/>
    <w:rsid w:val="001447C4"/>
    <w:rsid w:val="00145680"/>
    <w:rsid w:val="00147D9F"/>
    <w:rsid w:val="00147ED8"/>
    <w:rsid w:val="00151855"/>
    <w:rsid w:val="001518DB"/>
    <w:rsid w:val="00151C03"/>
    <w:rsid w:val="001531AC"/>
    <w:rsid w:val="00153917"/>
    <w:rsid w:val="001546A5"/>
    <w:rsid w:val="00154BB6"/>
    <w:rsid w:val="00154C61"/>
    <w:rsid w:val="00155390"/>
    <w:rsid w:val="00155FC9"/>
    <w:rsid w:val="00157306"/>
    <w:rsid w:val="001575D3"/>
    <w:rsid w:val="00160B60"/>
    <w:rsid w:val="00160F76"/>
    <w:rsid w:val="00161C1C"/>
    <w:rsid w:val="00162032"/>
    <w:rsid w:val="001625BA"/>
    <w:rsid w:val="00163749"/>
    <w:rsid w:val="00163A74"/>
    <w:rsid w:val="00163D83"/>
    <w:rsid w:val="001644A7"/>
    <w:rsid w:val="00164767"/>
    <w:rsid w:val="00164810"/>
    <w:rsid w:val="00164A34"/>
    <w:rsid w:val="00164E96"/>
    <w:rsid w:val="001658C6"/>
    <w:rsid w:val="00166416"/>
    <w:rsid w:val="00166710"/>
    <w:rsid w:val="00167ABC"/>
    <w:rsid w:val="0017002A"/>
    <w:rsid w:val="001703E5"/>
    <w:rsid w:val="00170518"/>
    <w:rsid w:val="00170670"/>
    <w:rsid w:val="001708D7"/>
    <w:rsid w:val="001709D6"/>
    <w:rsid w:val="00170E55"/>
    <w:rsid w:val="001712E1"/>
    <w:rsid w:val="001720D5"/>
    <w:rsid w:val="00172D5F"/>
    <w:rsid w:val="00173B3F"/>
    <w:rsid w:val="00175ABD"/>
    <w:rsid w:val="001767EE"/>
    <w:rsid w:val="00177BD1"/>
    <w:rsid w:val="00180D81"/>
    <w:rsid w:val="00182258"/>
    <w:rsid w:val="00182CD3"/>
    <w:rsid w:val="00183749"/>
    <w:rsid w:val="001842B6"/>
    <w:rsid w:val="00184D2A"/>
    <w:rsid w:val="0018664D"/>
    <w:rsid w:val="00187017"/>
    <w:rsid w:val="00187246"/>
    <w:rsid w:val="001877DC"/>
    <w:rsid w:val="00187E06"/>
    <w:rsid w:val="00192A25"/>
    <w:rsid w:val="001937F7"/>
    <w:rsid w:val="00195052"/>
    <w:rsid w:val="001959EC"/>
    <w:rsid w:val="0019610D"/>
    <w:rsid w:val="00196797"/>
    <w:rsid w:val="001A0DAA"/>
    <w:rsid w:val="001A1408"/>
    <w:rsid w:val="001A23D6"/>
    <w:rsid w:val="001A3110"/>
    <w:rsid w:val="001A4C37"/>
    <w:rsid w:val="001A4D9B"/>
    <w:rsid w:val="001A57E9"/>
    <w:rsid w:val="001A6796"/>
    <w:rsid w:val="001A6B15"/>
    <w:rsid w:val="001A6C15"/>
    <w:rsid w:val="001A6EC0"/>
    <w:rsid w:val="001B07B7"/>
    <w:rsid w:val="001B0868"/>
    <w:rsid w:val="001B16FD"/>
    <w:rsid w:val="001B2A00"/>
    <w:rsid w:val="001B3997"/>
    <w:rsid w:val="001B5182"/>
    <w:rsid w:val="001B577F"/>
    <w:rsid w:val="001B6B73"/>
    <w:rsid w:val="001B7000"/>
    <w:rsid w:val="001B702D"/>
    <w:rsid w:val="001B7035"/>
    <w:rsid w:val="001B7407"/>
    <w:rsid w:val="001B7674"/>
    <w:rsid w:val="001C182B"/>
    <w:rsid w:val="001C1C5D"/>
    <w:rsid w:val="001C2932"/>
    <w:rsid w:val="001C2D5B"/>
    <w:rsid w:val="001C3D8D"/>
    <w:rsid w:val="001C4870"/>
    <w:rsid w:val="001C4A59"/>
    <w:rsid w:val="001C4DD2"/>
    <w:rsid w:val="001C56E2"/>
    <w:rsid w:val="001C58E0"/>
    <w:rsid w:val="001C5EDB"/>
    <w:rsid w:val="001C6F3B"/>
    <w:rsid w:val="001C761F"/>
    <w:rsid w:val="001D092E"/>
    <w:rsid w:val="001D13D6"/>
    <w:rsid w:val="001D1663"/>
    <w:rsid w:val="001D17BB"/>
    <w:rsid w:val="001D2BBD"/>
    <w:rsid w:val="001D320D"/>
    <w:rsid w:val="001D3568"/>
    <w:rsid w:val="001D41A1"/>
    <w:rsid w:val="001D45ED"/>
    <w:rsid w:val="001D5007"/>
    <w:rsid w:val="001D54A7"/>
    <w:rsid w:val="001D55E5"/>
    <w:rsid w:val="001D6A0C"/>
    <w:rsid w:val="001E016E"/>
    <w:rsid w:val="001E25DC"/>
    <w:rsid w:val="001E2856"/>
    <w:rsid w:val="001E33D4"/>
    <w:rsid w:val="001E3F27"/>
    <w:rsid w:val="001E4107"/>
    <w:rsid w:val="001E5709"/>
    <w:rsid w:val="001E5A8D"/>
    <w:rsid w:val="001E6136"/>
    <w:rsid w:val="001E64B9"/>
    <w:rsid w:val="001F0713"/>
    <w:rsid w:val="001F081D"/>
    <w:rsid w:val="001F0D87"/>
    <w:rsid w:val="001F38DD"/>
    <w:rsid w:val="001F3DB4"/>
    <w:rsid w:val="001F43F5"/>
    <w:rsid w:val="001F51BD"/>
    <w:rsid w:val="001F6244"/>
    <w:rsid w:val="001F6E00"/>
    <w:rsid w:val="001F7F0B"/>
    <w:rsid w:val="00200E9A"/>
    <w:rsid w:val="00201D2C"/>
    <w:rsid w:val="00202367"/>
    <w:rsid w:val="00202C7B"/>
    <w:rsid w:val="00202D00"/>
    <w:rsid w:val="002045CF"/>
    <w:rsid w:val="002054C5"/>
    <w:rsid w:val="00210C4D"/>
    <w:rsid w:val="002120A7"/>
    <w:rsid w:val="00212635"/>
    <w:rsid w:val="002137E7"/>
    <w:rsid w:val="002139CB"/>
    <w:rsid w:val="00214077"/>
    <w:rsid w:val="0021424B"/>
    <w:rsid w:val="002142D3"/>
    <w:rsid w:val="00214801"/>
    <w:rsid w:val="00216E45"/>
    <w:rsid w:val="002172DC"/>
    <w:rsid w:val="00217D57"/>
    <w:rsid w:val="002208BF"/>
    <w:rsid w:val="00221675"/>
    <w:rsid w:val="00222106"/>
    <w:rsid w:val="00224964"/>
    <w:rsid w:val="00226098"/>
    <w:rsid w:val="002264DB"/>
    <w:rsid w:val="002267C7"/>
    <w:rsid w:val="0022730F"/>
    <w:rsid w:val="00227FEE"/>
    <w:rsid w:val="00230910"/>
    <w:rsid w:val="002313ED"/>
    <w:rsid w:val="00232E1B"/>
    <w:rsid w:val="00232EF6"/>
    <w:rsid w:val="00235BEC"/>
    <w:rsid w:val="0023642D"/>
    <w:rsid w:val="00236D3C"/>
    <w:rsid w:val="00236E70"/>
    <w:rsid w:val="00237C0B"/>
    <w:rsid w:val="00241F59"/>
    <w:rsid w:val="0024265C"/>
    <w:rsid w:val="00243D20"/>
    <w:rsid w:val="00244C2E"/>
    <w:rsid w:val="00244DFD"/>
    <w:rsid w:val="00246133"/>
    <w:rsid w:val="002463BE"/>
    <w:rsid w:val="00246AC1"/>
    <w:rsid w:val="0024771C"/>
    <w:rsid w:val="00247D15"/>
    <w:rsid w:val="0025058F"/>
    <w:rsid w:val="00250E0A"/>
    <w:rsid w:val="002514A3"/>
    <w:rsid w:val="00251E02"/>
    <w:rsid w:val="00253F1A"/>
    <w:rsid w:val="00254261"/>
    <w:rsid w:val="002543D0"/>
    <w:rsid w:val="002544CE"/>
    <w:rsid w:val="00254C2F"/>
    <w:rsid w:val="00255CB4"/>
    <w:rsid w:val="002568DF"/>
    <w:rsid w:val="00257657"/>
    <w:rsid w:val="0026025F"/>
    <w:rsid w:val="00260854"/>
    <w:rsid w:val="00260AF6"/>
    <w:rsid w:val="00260B3D"/>
    <w:rsid w:val="00261210"/>
    <w:rsid w:val="00261F33"/>
    <w:rsid w:val="0026233D"/>
    <w:rsid w:val="002629D1"/>
    <w:rsid w:val="00263F56"/>
    <w:rsid w:val="0026659B"/>
    <w:rsid w:val="002667CB"/>
    <w:rsid w:val="00266F87"/>
    <w:rsid w:val="00267A8F"/>
    <w:rsid w:val="0027093D"/>
    <w:rsid w:val="00271918"/>
    <w:rsid w:val="00272450"/>
    <w:rsid w:val="0027369F"/>
    <w:rsid w:val="00273FAB"/>
    <w:rsid w:val="00276F64"/>
    <w:rsid w:val="0027718A"/>
    <w:rsid w:val="002812DC"/>
    <w:rsid w:val="002818EF"/>
    <w:rsid w:val="00281A4E"/>
    <w:rsid w:val="00282543"/>
    <w:rsid w:val="0028271F"/>
    <w:rsid w:val="0028272B"/>
    <w:rsid w:val="00282BF1"/>
    <w:rsid w:val="002838A9"/>
    <w:rsid w:val="00283D3E"/>
    <w:rsid w:val="0028442A"/>
    <w:rsid w:val="00284B35"/>
    <w:rsid w:val="00285426"/>
    <w:rsid w:val="00286502"/>
    <w:rsid w:val="0028771C"/>
    <w:rsid w:val="00291C8C"/>
    <w:rsid w:val="00291F5E"/>
    <w:rsid w:val="00292E00"/>
    <w:rsid w:val="002932DE"/>
    <w:rsid w:val="00294ECD"/>
    <w:rsid w:val="00296E4F"/>
    <w:rsid w:val="002A0284"/>
    <w:rsid w:val="002A1769"/>
    <w:rsid w:val="002A1851"/>
    <w:rsid w:val="002A1C58"/>
    <w:rsid w:val="002A2068"/>
    <w:rsid w:val="002A281A"/>
    <w:rsid w:val="002A2F34"/>
    <w:rsid w:val="002A3145"/>
    <w:rsid w:val="002A338C"/>
    <w:rsid w:val="002A3871"/>
    <w:rsid w:val="002A5096"/>
    <w:rsid w:val="002A6401"/>
    <w:rsid w:val="002A69AC"/>
    <w:rsid w:val="002A6E59"/>
    <w:rsid w:val="002A717D"/>
    <w:rsid w:val="002A73D7"/>
    <w:rsid w:val="002B0514"/>
    <w:rsid w:val="002B0971"/>
    <w:rsid w:val="002B0A28"/>
    <w:rsid w:val="002B13B3"/>
    <w:rsid w:val="002B2B15"/>
    <w:rsid w:val="002B348E"/>
    <w:rsid w:val="002B3D8A"/>
    <w:rsid w:val="002B5911"/>
    <w:rsid w:val="002B5B8D"/>
    <w:rsid w:val="002B670F"/>
    <w:rsid w:val="002B6B44"/>
    <w:rsid w:val="002B6BC6"/>
    <w:rsid w:val="002B71A8"/>
    <w:rsid w:val="002B7794"/>
    <w:rsid w:val="002B7989"/>
    <w:rsid w:val="002B7FE7"/>
    <w:rsid w:val="002C1AA1"/>
    <w:rsid w:val="002C21E2"/>
    <w:rsid w:val="002C2A91"/>
    <w:rsid w:val="002C30A4"/>
    <w:rsid w:val="002C37E3"/>
    <w:rsid w:val="002C3E3A"/>
    <w:rsid w:val="002C4BDF"/>
    <w:rsid w:val="002C5A57"/>
    <w:rsid w:val="002C5C66"/>
    <w:rsid w:val="002C6427"/>
    <w:rsid w:val="002C79E0"/>
    <w:rsid w:val="002D1267"/>
    <w:rsid w:val="002D19A9"/>
    <w:rsid w:val="002D1C6F"/>
    <w:rsid w:val="002D1DC9"/>
    <w:rsid w:val="002D1E0D"/>
    <w:rsid w:val="002D2485"/>
    <w:rsid w:val="002D2F36"/>
    <w:rsid w:val="002D334E"/>
    <w:rsid w:val="002D3A0E"/>
    <w:rsid w:val="002D4BC5"/>
    <w:rsid w:val="002D580E"/>
    <w:rsid w:val="002D62E5"/>
    <w:rsid w:val="002D63AC"/>
    <w:rsid w:val="002E04ED"/>
    <w:rsid w:val="002E0927"/>
    <w:rsid w:val="002E0A34"/>
    <w:rsid w:val="002E101E"/>
    <w:rsid w:val="002E19EE"/>
    <w:rsid w:val="002E24C3"/>
    <w:rsid w:val="002E44A0"/>
    <w:rsid w:val="002E4976"/>
    <w:rsid w:val="002E49B9"/>
    <w:rsid w:val="002E4D3D"/>
    <w:rsid w:val="002E5CA1"/>
    <w:rsid w:val="002E6022"/>
    <w:rsid w:val="002E7DF4"/>
    <w:rsid w:val="002F2013"/>
    <w:rsid w:val="002F23C0"/>
    <w:rsid w:val="002F2722"/>
    <w:rsid w:val="002F3626"/>
    <w:rsid w:val="002F3F62"/>
    <w:rsid w:val="002F4285"/>
    <w:rsid w:val="002F42E5"/>
    <w:rsid w:val="002F4D0D"/>
    <w:rsid w:val="002F4FC0"/>
    <w:rsid w:val="002F65B9"/>
    <w:rsid w:val="00300F7C"/>
    <w:rsid w:val="00301EBF"/>
    <w:rsid w:val="0030280D"/>
    <w:rsid w:val="00302F5F"/>
    <w:rsid w:val="00303084"/>
    <w:rsid w:val="003039FE"/>
    <w:rsid w:val="0030460C"/>
    <w:rsid w:val="0030600C"/>
    <w:rsid w:val="003068AA"/>
    <w:rsid w:val="00307C3A"/>
    <w:rsid w:val="0031001F"/>
    <w:rsid w:val="00310762"/>
    <w:rsid w:val="00310A38"/>
    <w:rsid w:val="00310D1D"/>
    <w:rsid w:val="00311F60"/>
    <w:rsid w:val="003129CD"/>
    <w:rsid w:val="003139C5"/>
    <w:rsid w:val="00315881"/>
    <w:rsid w:val="0031596B"/>
    <w:rsid w:val="00315D68"/>
    <w:rsid w:val="003170A6"/>
    <w:rsid w:val="003175FC"/>
    <w:rsid w:val="00317E22"/>
    <w:rsid w:val="00320644"/>
    <w:rsid w:val="00320A33"/>
    <w:rsid w:val="00322466"/>
    <w:rsid w:val="00323A07"/>
    <w:rsid w:val="0032456C"/>
    <w:rsid w:val="00324B78"/>
    <w:rsid w:val="00325A62"/>
    <w:rsid w:val="00326131"/>
    <w:rsid w:val="0032699B"/>
    <w:rsid w:val="00330D70"/>
    <w:rsid w:val="0033142F"/>
    <w:rsid w:val="00332386"/>
    <w:rsid w:val="00332839"/>
    <w:rsid w:val="0033316A"/>
    <w:rsid w:val="0033317B"/>
    <w:rsid w:val="003334CD"/>
    <w:rsid w:val="00333845"/>
    <w:rsid w:val="003339D0"/>
    <w:rsid w:val="003342F1"/>
    <w:rsid w:val="0033500E"/>
    <w:rsid w:val="00335249"/>
    <w:rsid w:val="003353BB"/>
    <w:rsid w:val="0033620A"/>
    <w:rsid w:val="00336527"/>
    <w:rsid w:val="003410C1"/>
    <w:rsid w:val="0034239A"/>
    <w:rsid w:val="003426C8"/>
    <w:rsid w:val="00343C90"/>
    <w:rsid w:val="00344605"/>
    <w:rsid w:val="00345E30"/>
    <w:rsid w:val="003461DC"/>
    <w:rsid w:val="003467EF"/>
    <w:rsid w:val="003507CB"/>
    <w:rsid w:val="00352B65"/>
    <w:rsid w:val="0035368E"/>
    <w:rsid w:val="00353CF5"/>
    <w:rsid w:val="00353D86"/>
    <w:rsid w:val="00354493"/>
    <w:rsid w:val="00354C81"/>
    <w:rsid w:val="00355173"/>
    <w:rsid w:val="00355C40"/>
    <w:rsid w:val="00355ED5"/>
    <w:rsid w:val="00355F75"/>
    <w:rsid w:val="003560ED"/>
    <w:rsid w:val="003565AE"/>
    <w:rsid w:val="00360A5F"/>
    <w:rsid w:val="00360D94"/>
    <w:rsid w:val="003618AA"/>
    <w:rsid w:val="003619CB"/>
    <w:rsid w:val="00362767"/>
    <w:rsid w:val="00362851"/>
    <w:rsid w:val="00362F97"/>
    <w:rsid w:val="0036371E"/>
    <w:rsid w:val="00363C94"/>
    <w:rsid w:val="0036400D"/>
    <w:rsid w:val="00364867"/>
    <w:rsid w:val="00364DE0"/>
    <w:rsid w:val="003652F0"/>
    <w:rsid w:val="00367403"/>
    <w:rsid w:val="00370223"/>
    <w:rsid w:val="00370CF8"/>
    <w:rsid w:val="00373085"/>
    <w:rsid w:val="00374AAA"/>
    <w:rsid w:val="00376CFB"/>
    <w:rsid w:val="003771B6"/>
    <w:rsid w:val="00380674"/>
    <w:rsid w:val="00381937"/>
    <w:rsid w:val="00381A63"/>
    <w:rsid w:val="00382A7A"/>
    <w:rsid w:val="003838A8"/>
    <w:rsid w:val="00385A2C"/>
    <w:rsid w:val="003860A6"/>
    <w:rsid w:val="0038683D"/>
    <w:rsid w:val="00387CB9"/>
    <w:rsid w:val="00387F48"/>
    <w:rsid w:val="00390B59"/>
    <w:rsid w:val="00391A9D"/>
    <w:rsid w:val="003929E6"/>
    <w:rsid w:val="003934E3"/>
    <w:rsid w:val="0039412F"/>
    <w:rsid w:val="00394199"/>
    <w:rsid w:val="00395FF2"/>
    <w:rsid w:val="003963F3"/>
    <w:rsid w:val="003967E9"/>
    <w:rsid w:val="0039787F"/>
    <w:rsid w:val="003A10E0"/>
    <w:rsid w:val="003A113B"/>
    <w:rsid w:val="003A1475"/>
    <w:rsid w:val="003A162E"/>
    <w:rsid w:val="003A18BA"/>
    <w:rsid w:val="003A3298"/>
    <w:rsid w:val="003A3D55"/>
    <w:rsid w:val="003A4587"/>
    <w:rsid w:val="003A5198"/>
    <w:rsid w:val="003A533A"/>
    <w:rsid w:val="003A633C"/>
    <w:rsid w:val="003A657A"/>
    <w:rsid w:val="003A661E"/>
    <w:rsid w:val="003A7B23"/>
    <w:rsid w:val="003B0913"/>
    <w:rsid w:val="003B1162"/>
    <w:rsid w:val="003B20C5"/>
    <w:rsid w:val="003B5031"/>
    <w:rsid w:val="003B63EE"/>
    <w:rsid w:val="003B6530"/>
    <w:rsid w:val="003B6720"/>
    <w:rsid w:val="003B72BD"/>
    <w:rsid w:val="003B775B"/>
    <w:rsid w:val="003B78EF"/>
    <w:rsid w:val="003B7FA9"/>
    <w:rsid w:val="003C07A6"/>
    <w:rsid w:val="003C0A79"/>
    <w:rsid w:val="003C1CA8"/>
    <w:rsid w:val="003C1FBA"/>
    <w:rsid w:val="003C4261"/>
    <w:rsid w:val="003C42ED"/>
    <w:rsid w:val="003C5AA3"/>
    <w:rsid w:val="003C6EB9"/>
    <w:rsid w:val="003C719B"/>
    <w:rsid w:val="003C7650"/>
    <w:rsid w:val="003C7C08"/>
    <w:rsid w:val="003C7F44"/>
    <w:rsid w:val="003D0C0B"/>
    <w:rsid w:val="003D0E9A"/>
    <w:rsid w:val="003D14CD"/>
    <w:rsid w:val="003D1DDE"/>
    <w:rsid w:val="003D2459"/>
    <w:rsid w:val="003D28ED"/>
    <w:rsid w:val="003D2901"/>
    <w:rsid w:val="003D2EBD"/>
    <w:rsid w:val="003D3107"/>
    <w:rsid w:val="003D3D59"/>
    <w:rsid w:val="003D3ECD"/>
    <w:rsid w:val="003D417B"/>
    <w:rsid w:val="003D4DAA"/>
    <w:rsid w:val="003E10F9"/>
    <w:rsid w:val="003E13A0"/>
    <w:rsid w:val="003E148D"/>
    <w:rsid w:val="003E173A"/>
    <w:rsid w:val="003E3600"/>
    <w:rsid w:val="003E60D0"/>
    <w:rsid w:val="003E6EDD"/>
    <w:rsid w:val="003E7460"/>
    <w:rsid w:val="003E7C6C"/>
    <w:rsid w:val="003E7D86"/>
    <w:rsid w:val="003F133B"/>
    <w:rsid w:val="003F2AA3"/>
    <w:rsid w:val="003F33DE"/>
    <w:rsid w:val="003F3C87"/>
    <w:rsid w:val="003F3CC9"/>
    <w:rsid w:val="003F4BF0"/>
    <w:rsid w:val="003F4E31"/>
    <w:rsid w:val="003F5165"/>
    <w:rsid w:val="003F7C97"/>
    <w:rsid w:val="00400014"/>
    <w:rsid w:val="00400741"/>
    <w:rsid w:val="00400BB1"/>
    <w:rsid w:val="00400BB5"/>
    <w:rsid w:val="0040243A"/>
    <w:rsid w:val="00402C65"/>
    <w:rsid w:val="00403C99"/>
    <w:rsid w:val="00404EB7"/>
    <w:rsid w:val="00405B89"/>
    <w:rsid w:val="004062F1"/>
    <w:rsid w:val="0040644A"/>
    <w:rsid w:val="00406F35"/>
    <w:rsid w:val="00407D56"/>
    <w:rsid w:val="00410202"/>
    <w:rsid w:val="004107BA"/>
    <w:rsid w:val="00411AF6"/>
    <w:rsid w:val="00411BB6"/>
    <w:rsid w:val="00412042"/>
    <w:rsid w:val="00412A4D"/>
    <w:rsid w:val="004142DF"/>
    <w:rsid w:val="004146B4"/>
    <w:rsid w:val="004166F8"/>
    <w:rsid w:val="00416E2B"/>
    <w:rsid w:val="004170C4"/>
    <w:rsid w:val="004209BA"/>
    <w:rsid w:val="00420A83"/>
    <w:rsid w:val="00420C44"/>
    <w:rsid w:val="00421801"/>
    <w:rsid w:val="0042265E"/>
    <w:rsid w:val="0042502E"/>
    <w:rsid w:val="00425F6C"/>
    <w:rsid w:val="004271BF"/>
    <w:rsid w:val="00430581"/>
    <w:rsid w:val="00432349"/>
    <w:rsid w:val="00432549"/>
    <w:rsid w:val="00432BEE"/>
    <w:rsid w:val="00434A97"/>
    <w:rsid w:val="00437035"/>
    <w:rsid w:val="00440122"/>
    <w:rsid w:val="00440C62"/>
    <w:rsid w:val="00441040"/>
    <w:rsid w:val="00441A2E"/>
    <w:rsid w:val="00442EF1"/>
    <w:rsid w:val="0044630C"/>
    <w:rsid w:val="00446BBA"/>
    <w:rsid w:val="00446CCA"/>
    <w:rsid w:val="00450AAE"/>
    <w:rsid w:val="0045241B"/>
    <w:rsid w:val="004524AC"/>
    <w:rsid w:val="004537CB"/>
    <w:rsid w:val="004538D5"/>
    <w:rsid w:val="00453C50"/>
    <w:rsid w:val="00453E81"/>
    <w:rsid w:val="00454B20"/>
    <w:rsid w:val="00455A59"/>
    <w:rsid w:val="00456E61"/>
    <w:rsid w:val="00460435"/>
    <w:rsid w:val="00460AC1"/>
    <w:rsid w:val="0046101B"/>
    <w:rsid w:val="00461189"/>
    <w:rsid w:val="00461DFA"/>
    <w:rsid w:val="00463264"/>
    <w:rsid w:val="00464B21"/>
    <w:rsid w:val="00465D3E"/>
    <w:rsid w:val="0046634E"/>
    <w:rsid w:val="00467332"/>
    <w:rsid w:val="00467E54"/>
    <w:rsid w:val="00470378"/>
    <w:rsid w:val="00472248"/>
    <w:rsid w:val="004722F9"/>
    <w:rsid w:val="004727F6"/>
    <w:rsid w:val="00475E99"/>
    <w:rsid w:val="00476C54"/>
    <w:rsid w:val="00477547"/>
    <w:rsid w:val="004813C6"/>
    <w:rsid w:val="00481D03"/>
    <w:rsid w:val="00481FD0"/>
    <w:rsid w:val="0048221F"/>
    <w:rsid w:val="004836CA"/>
    <w:rsid w:val="004846A2"/>
    <w:rsid w:val="00485377"/>
    <w:rsid w:val="0048616A"/>
    <w:rsid w:val="004866A7"/>
    <w:rsid w:val="0049103A"/>
    <w:rsid w:val="004919C3"/>
    <w:rsid w:val="00493AAC"/>
    <w:rsid w:val="0049485F"/>
    <w:rsid w:val="004953C3"/>
    <w:rsid w:val="00497042"/>
    <w:rsid w:val="00497064"/>
    <w:rsid w:val="004A0866"/>
    <w:rsid w:val="004A0AF4"/>
    <w:rsid w:val="004A0B9D"/>
    <w:rsid w:val="004A0BA3"/>
    <w:rsid w:val="004A0C78"/>
    <w:rsid w:val="004A1BA7"/>
    <w:rsid w:val="004A3244"/>
    <w:rsid w:val="004A5B15"/>
    <w:rsid w:val="004A5C83"/>
    <w:rsid w:val="004A6FE9"/>
    <w:rsid w:val="004B0257"/>
    <w:rsid w:val="004B06B3"/>
    <w:rsid w:val="004B0BC4"/>
    <w:rsid w:val="004B12C7"/>
    <w:rsid w:val="004B17F4"/>
    <w:rsid w:val="004B1A7A"/>
    <w:rsid w:val="004B3335"/>
    <w:rsid w:val="004B3F28"/>
    <w:rsid w:val="004B525E"/>
    <w:rsid w:val="004B5573"/>
    <w:rsid w:val="004B653D"/>
    <w:rsid w:val="004B7CD2"/>
    <w:rsid w:val="004B7E5C"/>
    <w:rsid w:val="004C0461"/>
    <w:rsid w:val="004C0A5A"/>
    <w:rsid w:val="004C12C2"/>
    <w:rsid w:val="004C1CA0"/>
    <w:rsid w:val="004C328D"/>
    <w:rsid w:val="004C3E90"/>
    <w:rsid w:val="004C3FD4"/>
    <w:rsid w:val="004C4336"/>
    <w:rsid w:val="004C64F0"/>
    <w:rsid w:val="004C77B5"/>
    <w:rsid w:val="004C77BF"/>
    <w:rsid w:val="004D2017"/>
    <w:rsid w:val="004D34D6"/>
    <w:rsid w:val="004D4B4B"/>
    <w:rsid w:val="004D55C2"/>
    <w:rsid w:val="004D5605"/>
    <w:rsid w:val="004D59AA"/>
    <w:rsid w:val="004D6668"/>
    <w:rsid w:val="004D67F7"/>
    <w:rsid w:val="004D7678"/>
    <w:rsid w:val="004D7CD7"/>
    <w:rsid w:val="004E2A71"/>
    <w:rsid w:val="004E3373"/>
    <w:rsid w:val="004E6E95"/>
    <w:rsid w:val="004E73F5"/>
    <w:rsid w:val="004E7BA2"/>
    <w:rsid w:val="004F05E5"/>
    <w:rsid w:val="004F0AAD"/>
    <w:rsid w:val="004F1072"/>
    <w:rsid w:val="004F15C3"/>
    <w:rsid w:val="004F1B40"/>
    <w:rsid w:val="004F1E43"/>
    <w:rsid w:val="004F228D"/>
    <w:rsid w:val="004F2460"/>
    <w:rsid w:val="004F38DE"/>
    <w:rsid w:val="004F3EF1"/>
    <w:rsid w:val="004F516D"/>
    <w:rsid w:val="004F58BA"/>
    <w:rsid w:val="004F6137"/>
    <w:rsid w:val="004F61C8"/>
    <w:rsid w:val="00500418"/>
    <w:rsid w:val="005022E5"/>
    <w:rsid w:val="0050371E"/>
    <w:rsid w:val="00504FFF"/>
    <w:rsid w:val="00505A04"/>
    <w:rsid w:val="005066D8"/>
    <w:rsid w:val="0050768F"/>
    <w:rsid w:val="00510836"/>
    <w:rsid w:val="005110A8"/>
    <w:rsid w:val="005117FC"/>
    <w:rsid w:val="00511B0E"/>
    <w:rsid w:val="00514000"/>
    <w:rsid w:val="0051480E"/>
    <w:rsid w:val="00515444"/>
    <w:rsid w:val="005159A3"/>
    <w:rsid w:val="0052273D"/>
    <w:rsid w:val="00523A60"/>
    <w:rsid w:val="00524B03"/>
    <w:rsid w:val="00524E8C"/>
    <w:rsid w:val="005254BC"/>
    <w:rsid w:val="00525A4A"/>
    <w:rsid w:val="00525BE9"/>
    <w:rsid w:val="00526724"/>
    <w:rsid w:val="005274AF"/>
    <w:rsid w:val="005316E0"/>
    <w:rsid w:val="0053231E"/>
    <w:rsid w:val="00533274"/>
    <w:rsid w:val="00535B7E"/>
    <w:rsid w:val="00536A15"/>
    <w:rsid w:val="005373B7"/>
    <w:rsid w:val="00540E94"/>
    <w:rsid w:val="00540F36"/>
    <w:rsid w:val="005410FD"/>
    <w:rsid w:val="00541189"/>
    <w:rsid w:val="0054157A"/>
    <w:rsid w:val="00541DD5"/>
    <w:rsid w:val="00542EEF"/>
    <w:rsid w:val="0054317D"/>
    <w:rsid w:val="00544142"/>
    <w:rsid w:val="005451EA"/>
    <w:rsid w:val="00546ADE"/>
    <w:rsid w:val="00546F90"/>
    <w:rsid w:val="00547656"/>
    <w:rsid w:val="00550844"/>
    <w:rsid w:val="00550B2F"/>
    <w:rsid w:val="00551712"/>
    <w:rsid w:val="00551E02"/>
    <w:rsid w:val="005529FE"/>
    <w:rsid w:val="00552C63"/>
    <w:rsid w:val="00553E73"/>
    <w:rsid w:val="00553E8E"/>
    <w:rsid w:val="005540AB"/>
    <w:rsid w:val="005549DE"/>
    <w:rsid w:val="00555765"/>
    <w:rsid w:val="005561A1"/>
    <w:rsid w:val="00556921"/>
    <w:rsid w:val="005573CD"/>
    <w:rsid w:val="00557500"/>
    <w:rsid w:val="00557FB6"/>
    <w:rsid w:val="00561C58"/>
    <w:rsid w:val="005622D2"/>
    <w:rsid w:val="0056257C"/>
    <w:rsid w:val="00562D5B"/>
    <w:rsid w:val="00562EED"/>
    <w:rsid w:val="00563D30"/>
    <w:rsid w:val="0056573C"/>
    <w:rsid w:val="00565ADE"/>
    <w:rsid w:val="005673A9"/>
    <w:rsid w:val="0057006C"/>
    <w:rsid w:val="005709B0"/>
    <w:rsid w:val="00571BF1"/>
    <w:rsid w:val="00573A8C"/>
    <w:rsid w:val="00574C66"/>
    <w:rsid w:val="005753EF"/>
    <w:rsid w:val="0057612B"/>
    <w:rsid w:val="00577229"/>
    <w:rsid w:val="005772C4"/>
    <w:rsid w:val="00577577"/>
    <w:rsid w:val="005806A9"/>
    <w:rsid w:val="00580BF9"/>
    <w:rsid w:val="0058185B"/>
    <w:rsid w:val="00581FA6"/>
    <w:rsid w:val="005832AA"/>
    <w:rsid w:val="0058381E"/>
    <w:rsid w:val="0058416A"/>
    <w:rsid w:val="00584237"/>
    <w:rsid w:val="00584801"/>
    <w:rsid w:val="00584ABA"/>
    <w:rsid w:val="00585B8F"/>
    <w:rsid w:val="00585E71"/>
    <w:rsid w:val="00586326"/>
    <w:rsid w:val="00586996"/>
    <w:rsid w:val="00586B7F"/>
    <w:rsid w:val="0058767C"/>
    <w:rsid w:val="00587829"/>
    <w:rsid w:val="00587D1D"/>
    <w:rsid w:val="00590129"/>
    <w:rsid w:val="0059089F"/>
    <w:rsid w:val="00590C4E"/>
    <w:rsid w:val="00591938"/>
    <w:rsid w:val="005923FF"/>
    <w:rsid w:val="00592552"/>
    <w:rsid w:val="00593266"/>
    <w:rsid w:val="00593783"/>
    <w:rsid w:val="005944BF"/>
    <w:rsid w:val="0059516C"/>
    <w:rsid w:val="0059561E"/>
    <w:rsid w:val="00595CF2"/>
    <w:rsid w:val="005960AA"/>
    <w:rsid w:val="00597AB5"/>
    <w:rsid w:val="00597B12"/>
    <w:rsid w:val="00597B34"/>
    <w:rsid w:val="005A00BB"/>
    <w:rsid w:val="005A08FC"/>
    <w:rsid w:val="005A09DB"/>
    <w:rsid w:val="005A1858"/>
    <w:rsid w:val="005A1C39"/>
    <w:rsid w:val="005A2F0D"/>
    <w:rsid w:val="005A4112"/>
    <w:rsid w:val="005A43ED"/>
    <w:rsid w:val="005A4585"/>
    <w:rsid w:val="005A45C8"/>
    <w:rsid w:val="005A4A76"/>
    <w:rsid w:val="005A4B1F"/>
    <w:rsid w:val="005A4B2A"/>
    <w:rsid w:val="005A6C74"/>
    <w:rsid w:val="005A7340"/>
    <w:rsid w:val="005A7824"/>
    <w:rsid w:val="005A7B8A"/>
    <w:rsid w:val="005B0BFB"/>
    <w:rsid w:val="005B1776"/>
    <w:rsid w:val="005B2DE4"/>
    <w:rsid w:val="005B5563"/>
    <w:rsid w:val="005B56BE"/>
    <w:rsid w:val="005B68A6"/>
    <w:rsid w:val="005B68D5"/>
    <w:rsid w:val="005B6A96"/>
    <w:rsid w:val="005B6AEE"/>
    <w:rsid w:val="005B7C56"/>
    <w:rsid w:val="005C07D9"/>
    <w:rsid w:val="005C0DB2"/>
    <w:rsid w:val="005C0E2F"/>
    <w:rsid w:val="005C151B"/>
    <w:rsid w:val="005C22C0"/>
    <w:rsid w:val="005C2E1D"/>
    <w:rsid w:val="005C3E90"/>
    <w:rsid w:val="005C5FE7"/>
    <w:rsid w:val="005C7719"/>
    <w:rsid w:val="005C7F3D"/>
    <w:rsid w:val="005D0EBA"/>
    <w:rsid w:val="005D10DC"/>
    <w:rsid w:val="005D1806"/>
    <w:rsid w:val="005D2C72"/>
    <w:rsid w:val="005D3095"/>
    <w:rsid w:val="005D3278"/>
    <w:rsid w:val="005D6FC3"/>
    <w:rsid w:val="005E04F6"/>
    <w:rsid w:val="005E26A6"/>
    <w:rsid w:val="005E2913"/>
    <w:rsid w:val="005E3211"/>
    <w:rsid w:val="005E36D1"/>
    <w:rsid w:val="005E399F"/>
    <w:rsid w:val="005E4224"/>
    <w:rsid w:val="005E43DC"/>
    <w:rsid w:val="005E4863"/>
    <w:rsid w:val="005E5D2F"/>
    <w:rsid w:val="005E6836"/>
    <w:rsid w:val="005E6A3C"/>
    <w:rsid w:val="005E6E3A"/>
    <w:rsid w:val="005E7ABC"/>
    <w:rsid w:val="005F0045"/>
    <w:rsid w:val="005F15C3"/>
    <w:rsid w:val="005F1BD6"/>
    <w:rsid w:val="005F2E2D"/>
    <w:rsid w:val="005F2F00"/>
    <w:rsid w:val="005F323E"/>
    <w:rsid w:val="005F3A93"/>
    <w:rsid w:val="005F4E37"/>
    <w:rsid w:val="005F5EDE"/>
    <w:rsid w:val="005F666E"/>
    <w:rsid w:val="00600E66"/>
    <w:rsid w:val="006013DF"/>
    <w:rsid w:val="00601524"/>
    <w:rsid w:val="006025DA"/>
    <w:rsid w:val="0060295E"/>
    <w:rsid w:val="00602FD5"/>
    <w:rsid w:val="00603583"/>
    <w:rsid w:val="00603605"/>
    <w:rsid w:val="00603D44"/>
    <w:rsid w:val="006041A3"/>
    <w:rsid w:val="00604B14"/>
    <w:rsid w:val="006051C9"/>
    <w:rsid w:val="00612910"/>
    <w:rsid w:val="00612975"/>
    <w:rsid w:val="00613513"/>
    <w:rsid w:val="00613710"/>
    <w:rsid w:val="00613CA9"/>
    <w:rsid w:val="00614301"/>
    <w:rsid w:val="0061581A"/>
    <w:rsid w:val="00615F1F"/>
    <w:rsid w:val="006201FC"/>
    <w:rsid w:val="00620867"/>
    <w:rsid w:val="00620B12"/>
    <w:rsid w:val="006210F4"/>
    <w:rsid w:val="00621DEA"/>
    <w:rsid w:val="00622194"/>
    <w:rsid w:val="006227A3"/>
    <w:rsid w:val="00623F45"/>
    <w:rsid w:val="00624B9F"/>
    <w:rsid w:val="00625C71"/>
    <w:rsid w:val="00626383"/>
    <w:rsid w:val="006271E3"/>
    <w:rsid w:val="00627316"/>
    <w:rsid w:val="00627A7B"/>
    <w:rsid w:val="00630001"/>
    <w:rsid w:val="00630E27"/>
    <w:rsid w:val="0063289F"/>
    <w:rsid w:val="00633FB4"/>
    <w:rsid w:val="0063549A"/>
    <w:rsid w:val="006357C1"/>
    <w:rsid w:val="00635BA7"/>
    <w:rsid w:val="006365EA"/>
    <w:rsid w:val="0063712C"/>
    <w:rsid w:val="00637331"/>
    <w:rsid w:val="00637374"/>
    <w:rsid w:val="00637999"/>
    <w:rsid w:val="00637F3D"/>
    <w:rsid w:val="006404AC"/>
    <w:rsid w:val="0064092A"/>
    <w:rsid w:val="00640BB2"/>
    <w:rsid w:val="00641947"/>
    <w:rsid w:val="00641A2D"/>
    <w:rsid w:val="00642D4D"/>
    <w:rsid w:val="006434AA"/>
    <w:rsid w:val="00643F5E"/>
    <w:rsid w:val="006449AF"/>
    <w:rsid w:val="0064544A"/>
    <w:rsid w:val="00645803"/>
    <w:rsid w:val="00646AB1"/>
    <w:rsid w:val="00646D08"/>
    <w:rsid w:val="006476BE"/>
    <w:rsid w:val="00647AD9"/>
    <w:rsid w:val="00647FB6"/>
    <w:rsid w:val="0065053C"/>
    <w:rsid w:val="00651640"/>
    <w:rsid w:val="00651A6D"/>
    <w:rsid w:val="00651ADF"/>
    <w:rsid w:val="006524A3"/>
    <w:rsid w:val="00653025"/>
    <w:rsid w:val="006537F0"/>
    <w:rsid w:val="00653AA7"/>
    <w:rsid w:val="00654755"/>
    <w:rsid w:val="0065569C"/>
    <w:rsid w:val="006561E7"/>
    <w:rsid w:val="006564AB"/>
    <w:rsid w:val="006574EA"/>
    <w:rsid w:val="00657C86"/>
    <w:rsid w:val="006609D3"/>
    <w:rsid w:val="00660A25"/>
    <w:rsid w:val="00660C59"/>
    <w:rsid w:val="00660FBB"/>
    <w:rsid w:val="006629CB"/>
    <w:rsid w:val="00663284"/>
    <w:rsid w:val="0066396C"/>
    <w:rsid w:val="00664121"/>
    <w:rsid w:val="00665B79"/>
    <w:rsid w:val="00666432"/>
    <w:rsid w:val="00667368"/>
    <w:rsid w:val="00667E50"/>
    <w:rsid w:val="006712BD"/>
    <w:rsid w:val="0067255B"/>
    <w:rsid w:val="0067264F"/>
    <w:rsid w:val="006726F6"/>
    <w:rsid w:val="00672E5A"/>
    <w:rsid w:val="0067334E"/>
    <w:rsid w:val="00673854"/>
    <w:rsid w:val="00673BE1"/>
    <w:rsid w:val="006769D1"/>
    <w:rsid w:val="00676B9C"/>
    <w:rsid w:val="00677354"/>
    <w:rsid w:val="006777B9"/>
    <w:rsid w:val="0068032B"/>
    <w:rsid w:val="00680341"/>
    <w:rsid w:val="00680C45"/>
    <w:rsid w:val="0068115C"/>
    <w:rsid w:val="00682902"/>
    <w:rsid w:val="00683036"/>
    <w:rsid w:val="00683F3A"/>
    <w:rsid w:val="00684527"/>
    <w:rsid w:val="0068482C"/>
    <w:rsid w:val="00685A84"/>
    <w:rsid w:val="0068652E"/>
    <w:rsid w:val="00687654"/>
    <w:rsid w:val="00687928"/>
    <w:rsid w:val="0069064A"/>
    <w:rsid w:val="006908CE"/>
    <w:rsid w:val="0069163F"/>
    <w:rsid w:val="00691DBB"/>
    <w:rsid w:val="00694808"/>
    <w:rsid w:val="0069566D"/>
    <w:rsid w:val="00697D09"/>
    <w:rsid w:val="00697EFC"/>
    <w:rsid w:val="006A09A5"/>
    <w:rsid w:val="006A1E61"/>
    <w:rsid w:val="006A1EEE"/>
    <w:rsid w:val="006A2E51"/>
    <w:rsid w:val="006A3337"/>
    <w:rsid w:val="006A3395"/>
    <w:rsid w:val="006A346F"/>
    <w:rsid w:val="006A5D6C"/>
    <w:rsid w:val="006A690A"/>
    <w:rsid w:val="006A6E57"/>
    <w:rsid w:val="006A74D6"/>
    <w:rsid w:val="006A79E7"/>
    <w:rsid w:val="006A7D4D"/>
    <w:rsid w:val="006B058F"/>
    <w:rsid w:val="006B0729"/>
    <w:rsid w:val="006B0E41"/>
    <w:rsid w:val="006B3031"/>
    <w:rsid w:val="006B3435"/>
    <w:rsid w:val="006B46C3"/>
    <w:rsid w:val="006B5249"/>
    <w:rsid w:val="006B544A"/>
    <w:rsid w:val="006B5C71"/>
    <w:rsid w:val="006B6289"/>
    <w:rsid w:val="006B655A"/>
    <w:rsid w:val="006B7F0E"/>
    <w:rsid w:val="006C0E2A"/>
    <w:rsid w:val="006C43A3"/>
    <w:rsid w:val="006C46C5"/>
    <w:rsid w:val="006C4AD0"/>
    <w:rsid w:val="006C4B43"/>
    <w:rsid w:val="006C4B90"/>
    <w:rsid w:val="006C5AC7"/>
    <w:rsid w:val="006C7629"/>
    <w:rsid w:val="006C7A1F"/>
    <w:rsid w:val="006D02A4"/>
    <w:rsid w:val="006D0D07"/>
    <w:rsid w:val="006D0E0F"/>
    <w:rsid w:val="006D1542"/>
    <w:rsid w:val="006D17A9"/>
    <w:rsid w:val="006D36EC"/>
    <w:rsid w:val="006D3C3E"/>
    <w:rsid w:val="006D4760"/>
    <w:rsid w:val="006D6DC1"/>
    <w:rsid w:val="006D6EB9"/>
    <w:rsid w:val="006D6F9A"/>
    <w:rsid w:val="006D7220"/>
    <w:rsid w:val="006E0F1D"/>
    <w:rsid w:val="006E1351"/>
    <w:rsid w:val="006E160D"/>
    <w:rsid w:val="006E2C8E"/>
    <w:rsid w:val="006E446F"/>
    <w:rsid w:val="006E504D"/>
    <w:rsid w:val="006E51D9"/>
    <w:rsid w:val="006E6182"/>
    <w:rsid w:val="006E6291"/>
    <w:rsid w:val="006F057A"/>
    <w:rsid w:val="006F3360"/>
    <w:rsid w:val="006F43B0"/>
    <w:rsid w:val="006F45EE"/>
    <w:rsid w:val="006F5544"/>
    <w:rsid w:val="006F597A"/>
    <w:rsid w:val="006F7094"/>
    <w:rsid w:val="006F7CE8"/>
    <w:rsid w:val="006F7D34"/>
    <w:rsid w:val="006F7FF2"/>
    <w:rsid w:val="0070028F"/>
    <w:rsid w:val="00701353"/>
    <w:rsid w:val="00701DD0"/>
    <w:rsid w:val="00701E3F"/>
    <w:rsid w:val="00702D15"/>
    <w:rsid w:val="0070524C"/>
    <w:rsid w:val="007059EC"/>
    <w:rsid w:val="007062B0"/>
    <w:rsid w:val="00706E93"/>
    <w:rsid w:val="00707463"/>
    <w:rsid w:val="00707556"/>
    <w:rsid w:val="00707CB1"/>
    <w:rsid w:val="00710123"/>
    <w:rsid w:val="00710619"/>
    <w:rsid w:val="00711457"/>
    <w:rsid w:val="007128B9"/>
    <w:rsid w:val="007128EA"/>
    <w:rsid w:val="007148AF"/>
    <w:rsid w:val="00714D7B"/>
    <w:rsid w:val="00715D0E"/>
    <w:rsid w:val="00715F3D"/>
    <w:rsid w:val="00716072"/>
    <w:rsid w:val="0071682D"/>
    <w:rsid w:val="00716FF5"/>
    <w:rsid w:val="00717AB1"/>
    <w:rsid w:val="00717C64"/>
    <w:rsid w:val="00720FB2"/>
    <w:rsid w:val="007211B7"/>
    <w:rsid w:val="007214A5"/>
    <w:rsid w:val="007216F4"/>
    <w:rsid w:val="00721AD6"/>
    <w:rsid w:val="00721FA0"/>
    <w:rsid w:val="00722BFF"/>
    <w:rsid w:val="00723878"/>
    <w:rsid w:val="00723983"/>
    <w:rsid w:val="00723D07"/>
    <w:rsid w:val="00724398"/>
    <w:rsid w:val="00724819"/>
    <w:rsid w:val="00724912"/>
    <w:rsid w:val="00724C4E"/>
    <w:rsid w:val="00724F55"/>
    <w:rsid w:val="00725377"/>
    <w:rsid w:val="00726FAE"/>
    <w:rsid w:val="007302BF"/>
    <w:rsid w:val="0073042E"/>
    <w:rsid w:val="007306FC"/>
    <w:rsid w:val="00730E45"/>
    <w:rsid w:val="00731AD7"/>
    <w:rsid w:val="0073219A"/>
    <w:rsid w:val="0073350F"/>
    <w:rsid w:val="007339BB"/>
    <w:rsid w:val="007345C8"/>
    <w:rsid w:val="00736CFA"/>
    <w:rsid w:val="00740CF1"/>
    <w:rsid w:val="00740D34"/>
    <w:rsid w:val="00740E2E"/>
    <w:rsid w:val="00740E80"/>
    <w:rsid w:val="007411C9"/>
    <w:rsid w:val="00741375"/>
    <w:rsid w:val="007415A6"/>
    <w:rsid w:val="0074262D"/>
    <w:rsid w:val="00742F35"/>
    <w:rsid w:val="00742F76"/>
    <w:rsid w:val="0074305D"/>
    <w:rsid w:val="00743A32"/>
    <w:rsid w:val="007448CB"/>
    <w:rsid w:val="00745005"/>
    <w:rsid w:val="0074517B"/>
    <w:rsid w:val="00745C14"/>
    <w:rsid w:val="00745E33"/>
    <w:rsid w:val="00747318"/>
    <w:rsid w:val="007475C1"/>
    <w:rsid w:val="00747786"/>
    <w:rsid w:val="00747BED"/>
    <w:rsid w:val="00754262"/>
    <w:rsid w:val="00755408"/>
    <w:rsid w:val="0075542B"/>
    <w:rsid w:val="0075543A"/>
    <w:rsid w:val="00755953"/>
    <w:rsid w:val="00755994"/>
    <w:rsid w:val="00755F34"/>
    <w:rsid w:val="007565A3"/>
    <w:rsid w:val="007569E9"/>
    <w:rsid w:val="007571E2"/>
    <w:rsid w:val="00757243"/>
    <w:rsid w:val="00757A95"/>
    <w:rsid w:val="00757DAF"/>
    <w:rsid w:val="00757F3F"/>
    <w:rsid w:val="0076007F"/>
    <w:rsid w:val="00760354"/>
    <w:rsid w:val="00760815"/>
    <w:rsid w:val="00760E91"/>
    <w:rsid w:val="00761A0F"/>
    <w:rsid w:val="007620B1"/>
    <w:rsid w:val="00762261"/>
    <w:rsid w:val="00762C1C"/>
    <w:rsid w:val="00765BEF"/>
    <w:rsid w:val="007676BE"/>
    <w:rsid w:val="00770567"/>
    <w:rsid w:val="007711EB"/>
    <w:rsid w:val="007712EB"/>
    <w:rsid w:val="00771720"/>
    <w:rsid w:val="00773080"/>
    <w:rsid w:val="007735AB"/>
    <w:rsid w:val="00773927"/>
    <w:rsid w:val="00773E4E"/>
    <w:rsid w:val="00775469"/>
    <w:rsid w:val="00775FFA"/>
    <w:rsid w:val="0077687E"/>
    <w:rsid w:val="00777AC5"/>
    <w:rsid w:val="00780989"/>
    <w:rsid w:val="007809AE"/>
    <w:rsid w:val="0078198A"/>
    <w:rsid w:val="0078206D"/>
    <w:rsid w:val="00782569"/>
    <w:rsid w:val="0078259F"/>
    <w:rsid w:val="00782872"/>
    <w:rsid w:val="00782AB6"/>
    <w:rsid w:val="00784287"/>
    <w:rsid w:val="00784880"/>
    <w:rsid w:val="00785509"/>
    <w:rsid w:val="00791022"/>
    <w:rsid w:val="00791778"/>
    <w:rsid w:val="00791A39"/>
    <w:rsid w:val="00791E4B"/>
    <w:rsid w:val="00792322"/>
    <w:rsid w:val="00792B31"/>
    <w:rsid w:val="00793914"/>
    <w:rsid w:val="0079489C"/>
    <w:rsid w:val="00794C52"/>
    <w:rsid w:val="00795109"/>
    <w:rsid w:val="00795168"/>
    <w:rsid w:val="00795177"/>
    <w:rsid w:val="00795341"/>
    <w:rsid w:val="00795B62"/>
    <w:rsid w:val="00796941"/>
    <w:rsid w:val="00796AAA"/>
    <w:rsid w:val="007A0788"/>
    <w:rsid w:val="007A0BE5"/>
    <w:rsid w:val="007A1E89"/>
    <w:rsid w:val="007A36C3"/>
    <w:rsid w:val="007A504B"/>
    <w:rsid w:val="007A5421"/>
    <w:rsid w:val="007A5456"/>
    <w:rsid w:val="007A5CFF"/>
    <w:rsid w:val="007A6185"/>
    <w:rsid w:val="007A77BB"/>
    <w:rsid w:val="007B10B3"/>
    <w:rsid w:val="007B1D12"/>
    <w:rsid w:val="007B2C9C"/>
    <w:rsid w:val="007B2E48"/>
    <w:rsid w:val="007B2F17"/>
    <w:rsid w:val="007B3A69"/>
    <w:rsid w:val="007B41C4"/>
    <w:rsid w:val="007B46B3"/>
    <w:rsid w:val="007B4B19"/>
    <w:rsid w:val="007B5CD8"/>
    <w:rsid w:val="007B602B"/>
    <w:rsid w:val="007B69FD"/>
    <w:rsid w:val="007B6B3D"/>
    <w:rsid w:val="007B6D51"/>
    <w:rsid w:val="007B726F"/>
    <w:rsid w:val="007B7821"/>
    <w:rsid w:val="007B7982"/>
    <w:rsid w:val="007C1387"/>
    <w:rsid w:val="007C176A"/>
    <w:rsid w:val="007C1D2B"/>
    <w:rsid w:val="007C1F07"/>
    <w:rsid w:val="007C1F97"/>
    <w:rsid w:val="007C2067"/>
    <w:rsid w:val="007C29E7"/>
    <w:rsid w:val="007C3DC9"/>
    <w:rsid w:val="007C3F71"/>
    <w:rsid w:val="007C3F88"/>
    <w:rsid w:val="007C41C9"/>
    <w:rsid w:val="007C502B"/>
    <w:rsid w:val="007D0709"/>
    <w:rsid w:val="007D09B4"/>
    <w:rsid w:val="007D1D2B"/>
    <w:rsid w:val="007D1D2F"/>
    <w:rsid w:val="007D4FEB"/>
    <w:rsid w:val="007D5310"/>
    <w:rsid w:val="007D5FD1"/>
    <w:rsid w:val="007E14B4"/>
    <w:rsid w:val="007E2AA7"/>
    <w:rsid w:val="007E2E56"/>
    <w:rsid w:val="007E2EBF"/>
    <w:rsid w:val="007E3702"/>
    <w:rsid w:val="007E47E8"/>
    <w:rsid w:val="007E4B71"/>
    <w:rsid w:val="007E6DD9"/>
    <w:rsid w:val="007E6E95"/>
    <w:rsid w:val="007E74CC"/>
    <w:rsid w:val="007E7F02"/>
    <w:rsid w:val="007F0BD6"/>
    <w:rsid w:val="007F0D64"/>
    <w:rsid w:val="007F156B"/>
    <w:rsid w:val="007F25C9"/>
    <w:rsid w:val="007F2761"/>
    <w:rsid w:val="007F2DAE"/>
    <w:rsid w:val="007F31EE"/>
    <w:rsid w:val="007F347E"/>
    <w:rsid w:val="007F3E1E"/>
    <w:rsid w:val="007F4190"/>
    <w:rsid w:val="007F4E53"/>
    <w:rsid w:val="007F5ABC"/>
    <w:rsid w:val="00800121"/>
    <w:rsid w:val="00800539"/>
    <w:rsid w:val="0080177B"/>
    <w:rsid w:val="008018D9"/>
    <w:rsid w:val="00802665"/>
    <w:rsid w:val="0080391E"/>
    <w:rsid w:val="00806335"/>
    <w:rsid w:val="0080705D"/>
    <w:rsid w:val="00807147"/>
    <w:rsid w:val="008074C0"/>
    <w:rsid w:val="008105E2"/>
    <w:rsid w:val="008110DA"/>
    <w:rsid w:val="008114C5"/>
    <w:rsid w:val="00811ED3"/>
    <w:rsid w:val="008128CA"/>
    <w:rsid w:val="00813440"/>
    <w:rsid w:val="00814FBB"/>
    <w:rsid w:val="00815BB2"/>
    <w:rsid w:val="00817F2B"/>
    <w:rsid w:val="00820165"/>
    <w:rsid w:val="0082140F"/>
    <w:rsid w:val="00821493"/>
    <w:rsid w:val="00822733"/>
    <w:rsid w:val="00823380"/>
    <w:rsid w:val="00823B45"/>
    <w:rsid w:val="008247B2"/>
    <w:rsid w:val="0082538B"/>
    <w:rsid w:val="00825539"/>
    <w:rsid w:val="0082651A"/>
    <w:rsid w:val="00826622"/>
    <w:rsid w:val="00826B87"/>
    <w:rsid w:val="008278D8"/>
    <w:rsid w:val="00827B01"/>
    <w:rsid w:val="00827EFD"/>
    <w:rsid w:val="0083003C"/>
    <w:rsid w:val="00830621"/>
    <w:rsid w:val="00830D54"/>
    <w:rsid w:val="00831A1B"/>
    <w:rsid w:val="00831B8F"/>
    <w:rsid w:val="00832125"/>
    <w:rsid w:val="008325AB"/>
    <w:rsid w:val="00833B67"/>
    <w:rsid w:val="00833F4F"/>
    <w:rsid w:val="00834221"/>
    <w:rsid w:val="00834BC9"/>
    <w:rsid w:val="00836495"/>
    <w:rsid w:val="00837259"/>
    <w:rsid w:val="008404F5"/>
    <w:rsid w:val="0084238B"/>
    <w:rsid w:val="008430A5"/>
    <w:rsid w:val="0084318E"/>
    <w:rsid w:val="00843337"/>
    <w:rsid w:val="0084422A"/>
    <w:rsid w:val="00844366"/>
    <w:rsid w:val="0084496F"/>
    <w:rsid w:val="00845BB2"/>
    <w:rsid w:val="00846A01"/>
    <w:rsid w:val="0085022B"/>
    <w:rsid w:val="00850983"/>
    <w:rsid w:val="008522E8"/>
    <w:rsid w:val="00852635"/>
    <w:rsid w:val="00852998"/>
    <w:rsid w:val="00855FB9"/>
    <w:rsid w:val="008568ED"/>
    <w:rsid w:val="00856941"/>
    <w:rsid w:val="0085697D"/>
    <w:rsid w:val="00857A7C"/>
    <w:rsid w:val="008606CB"/>
    <w:rsid w:val="008610B4"/>
    <w:rsid w:val="008611D2"/>
    <w:rsid w:val="00861DB5"/>
    <w:rsid w:val="00861DE6"/>
    <w:rsid w:val="00862C90"/>
    <w:rsid w:val="0086305F"/>
    <w:rsid w:val="008639D8"/>
    <w:rsid w:val="008639E3"/>
    <w:rsid w:val="00863C6F"/>
    <w:rsid w:val="00864864"/>
    <w:rsid w:val="0086546A"/>
    <w:rsid w:val="008662E1"/>
    <w:rsid w:val="00867163"/>
    <w:rsid w:val="008703F4"/>
    <w:rsid w:val="008709AF"/>
    <w:rsid w:val="00870D4D"/>
    <w:rsid w:val="0087362A"/>
    <w:rsid w:val="00873D57"/>
    <w:rsid w:val="00874112"/>
    <w:rsid w:val="008742DF"/>
    <w:rsid w:val="00876A3E"/>
    <w:rsid w:val="008776E7"/>
    <w:rsid w:val="008777DC"/>
    <w:rsid w:val="008778B5"/>
    <w:rsid w:val="008801F6"/>
    <w:rsid w:val="00880BCE"/>
    <w:rsid w:val="008810AF"/>
    <w:rsid w:val="008819E4"/>
    <w:rsid w:val="008828AD"/>
    <w:rsid w:val="008830EF"/>
    <w:rsid w:val="0088473D"/>
    <w:rsid w:val="00884773"/>
    <w:rsid w:val="00885077"/>
    <w:rsid w:val="00885BDA"/>
    <w:rsid w:val="008866E5"/>
    <w:rsid w:val="00886B5F"/>
    <w:rsid w:val="00890F39"/>
    <w:rsid w:val="00891A23"/>
    <w:rsid w:val="008933CF"/>
    <w:rsid w:val="00893AE5"/>
    <w:rsid w:val="00895157"/>
    <w:rsid w:val="00895362"/>
    <w:rsid w:val="008955B8"/>
    <w:rsid w:val="00895D80"/>
    <w:rsid w:val="00895DCB"/>
    <w:rsid w:val="008974C1"/>
    <w:rsid w:val="00897CFD"/>
    <w:rsid w:val="008A0854"/>
    <w:rsid w:val="008A1A7B"/>
    <w:rsid w:val="008A225D"/>
    <w:rsid w:val="008A3609"/>
    <w:rsid w:val="008A4630"/>
    <w:rsid w:val="008A4A90"/>
    <w:rsid w:val="008A5E0B"/>
    <w:rsid w:val="008A62A2"/>
    <w:rsid w:val="008A76BA"/>
    <w:rsid w:val="008B21C8"/>
    <w:rsid w:val="008B25B4"/>
    <w:rsid w:val="008B2AF0"/>
    <w:rsid w:val="008B3D2F"/>
    <w:rsid w:val="008B49BD"/>
    <w:rsid w:val="008B5816"/>
    <w:rsid w:val="008B5AE2"/>
    <w:rsid w:val="008B5B54"/>
    <w:rsid w:val="008B5B7E"/>
    <w:rsid w:val="008B6612"/>
    <w:rsid w:val="008B722D"/>
    <w:rsid w:val="008B767C"/>
    <w:rsid w:val="008C05BB"/>
    <w:rsid w:val="008C0DB1"/>
    <w:rsid w:val="008C19AE"/>
    <w:rsid w:val="008C1ED3"/>
    <w:rsid w:val="008C313F"/>
    <w:rsid w:val="008C3327"/>
    <w:rsid w:val="008C34ED"/>
    <w:rsid w:val="008C39A2"/>
    <w:rsid w:val="008C510F"/>
    <w:rsid w:val="008C5D01"/>
    <w:rsid w:val="008C6CA6"/>
    <w:rsid w:val="008C7903"/>
    <w:rsid w:val="008C794D"/>
    <w:rsid w:val="008C7E6C"/>
    <w:rsid w:val="008D1374"/>
    <w:rsid w:val="008D269A"/>
    <w:rsid w:val="008D28B2"/>
    <w:rsid w:val="008D56D6"/>
    <w:rsid w:val="008D5874"/>
    <w:rsid w:val="008D5FE6"/>
    <w:rsid w:val="008D6657"/>
    <w:rsid w:val="008D7839"/>
    <w:rsid w:val="008E0985"/>
    <w:rsid w:val="008E1B73"/>
    <w:rsid w:val="008E1FA7"/>
    <w:rsid w:val="008E25AA"/>
    <w:rsid w:val="008E4D2E"/>
    <w:rsid w:val="008E52ED"/>
    <w:rsid w:val="008E5EA9"/>
    <w:rsid w:val="008E6B64"/>
    <w:rsid w:val="008E6DB3"/>
    <w:rsid w:val="008E7F40"/>
    <w:rsid w:val="008E7F55"/>
    <w:rsid w:val="008F13FF"/>
    <w:rsid w:val="008F1A98"/>
    <w:rsid w:val="008F1E70"/>
    <w:rsid w:val="008F258C"/>
    <w:rsid w:val="008F3BB8"/>
    <w:rsid w:val="008F4513"/>
    <w:rsid w:val="008F5B45"/>
    <w:rsid w:val="008F7294"/>
    <w:rsid w:val="008F72BE"/>
    <w:rsid w:val="008F7C1F"/>
    <w:rsid w:val="00900295"/>
    <w:rsid w:val="009006DA"/>
    <w:rsid w:val="00900D4D"/>
    <w:rsid w:val="00901417"/>
    <w:rsid w:val="00901C39"/>
    <w:rsid w:val="009028DB"/>
    <w:rsid w:val="00903713"/>
    <w:rsid w:val="009046DF"/>
    <w:rsid w:val="00904E27"/>
    <w:rsid w:val="00905E95"/>
    <w:rsid w:val="00905F56"/>
    <w:rsid w:val="00906E61"/>
    <w:rsid w:val="009076D1"/>
    <w:rsid w:val="00911A26"/>
    <w:rsid w:val="00911C81"/>
    <w:rsid w:val="00911F3C"/>
    <w:rsid w:val="009127D1"/>
    <w:rsid w:val="009133B6"/>
    <w:rsid w:val="0091356D"/>
    <w:rsid w:val="00914524"/>
    <w:rsid w:val="00914562"/>
    <w:rsid w:val="00914C04"/>
    <w:rsid w:val="0091682D"/>
    <w:rsid w:val="00917BBE"/>
    <w:rsid w:val="0092231A"/>
    <w:rsid w:val="00922370"/>
    <w:rsid w:val="00922D88"/>
    <w:rsid w:val="009237BF"/>
    <w:rsid w:val="0092388A"/>
    <w:rsid w:val="00924CF9"/>
    <w:rsid w:val="00925BE7"/>
    <w:rsid w:val="0092621F"/>
    <w:rsid w:val="00926E49"/>
    <w:rsid w:val="00927354"/>
    <w:rsid w:val="0092785F"/>
    <w:rsid w:val="00927D62"/>
    <w:rsid w:val="00930278"/>
    <w:rsid w:val="00930837"/>
    <w:rsid w:val="00931D7C"/>
    <w:rsid w:val="00932192"/>
    <w:rsid w:val="00932900"/>
    <w:rsid w:val="00934790"/>
    <w:rsid w:val="0093545A"/>
    <w:rsid w:val="009361B6"/>
    <w:rsid w:val="00940804"/>
    <w:rsid w:val="00940B6B"/>
    <w:rsid w:val="00941396"/>
    <w:rsid w:val="0094193E"/>
    <w:rsid w:val="00942BB7"/>
    <w:rsid w:val="00943412"/>
    <w:rsid w:val="00943B2E"/>
    <w:rsid w:val="009440DC"/>
    <w:rsid w:val="00944E9A"/>
    <w:rsid w:val="0094536C"/>
    <w:rsid w:val="00945D11"/>
    <w:rsid w:val="0094650B"/>
    <w:rsid w:val="00946FB4"/>
    <w:rsid w:val="009472D2"/>
    <w:rsid w:val="009475D5"/>
    <w:rsid w:val="00947E4E"/>
    <w:rsid w:val="00947F31"/>
    <w:rsid w:val="009501AA"/>
    <w:rsid w:val="009503E2"/>
    <w:rsid w:val="00950CC0"/>
    <w:rsid w:val="009521C2"/>
    <w:rsid w:val="009530B4"/>
    <w:rsid w:val="00953737"/>
    <w:rsid w:val="009549E3"/>
    <w:rsid w:val="009557F9"/>
    <w:rsid w:val="009563E9"/>
    <w:rsid w:val="0095679A"/>
    <w:rsid w:val="00960F67"/>
    <w:rsid w:val="00961CD2"/>
    <w:rsid w:val="00961E56"/>
    <w:rsid w:val="00962B76"/>
    <w:rsid w:val="00962FAD"/>
    <w:rsid w:val="00965BF9"/>
    <w:rsid w:val="00965CA1"/>
    <w:rsid w:val="00965E2C"/>
    <w:rsid w:val="00965E87"/>
    <w:rsid w:val="009661B0"/>
    <w:rsid w:val="009663BD"/>
    <w:rsid w:val="009668BF"/>
    <w:rsid w:val="00966BFC"/>
    <w:rsid w:val="0096748D"/>
    <w:rsid w:val="00967CEB"/>
    <w:rsid w:val="0097061F"/>
    <w:rsid w:val="0097175D"/>
    <w:rsid w:val="00971C53"/>
    <w:rsid w:val="00972066"/>
    <w:rsid w:val="009721C3"/>
    <w:rsid w:val="00972C70"/>
    <w:rsid w:val="00974224"/>
    <w:rsid w:val="009745D7"/>
    <w:rsid w:val="0097461F"/>
    <w:rsid w:val="00974F8D"/>
    <w:rsid w:val="00974FF1"/>
    <w:rsid w:val="00975D34"/>
    <w:rsid w:val="009767D3"/>
    <w:rsid w:val="009819FB"/>
    <w:rsid w:val="009821FF"/>
    <w:rsid w:val="0098221D"/>
    <w:rsid w:val="00982887"/>
    <w:rsid w:val="00982AFE"/>
    <w:rsid w:val="00982BF2"/>
    <w:rsid w:val="009840F8"/>
    <w:rsid w:val="00985C6C"/>
    <w:rsid w:val="00986588"/>
    <w:rsid w:val="00986F27"/>
    <w:rsid w:val="009877D3"/>
    <w:rsid w:val="00987873"/>
    <w:rsid w:val="00990A8C"/>
    <w:rsid w:val="00991B84"/>
    <w:rsid w:val="00992664"/>
    <w:rsid w:val="0099299F"/>
    <w:rsid w:val="00992E31"/>
    <w:rsid w:val="009943CE"/>
    <w:rsid w:val="00994413"/>
    <w:rsid w:val="0099445F"/>
    <w:rsid w:val="00995CF1"/>
    <w:rsid w:val="00995F01"/>
    <w:rsid w:val="009A0F7D"/>
    <w:rsid w:val="009A0FBE"/>
    <w:rsid w:val="009A1161"/>
    <w:rsid w:val="009A1B21"/>
    <w:rsid w:val="009A2781"/>
    <w:rsid w:val="009A2C37"/>
    <w:rsid w:val="009A53CC"/>
    <w:rsid w:val="009A5435"/>
    <w:rsid w:val="009A587A"/>
    <w:rsid w:val="009A5C3E"/>
    <w:rsid w:val="009A7001"/>
    <w:rsid w:val="009A7DA5"/>
    <w:rsid w:val="009B01D4"/>
    <w:rsid w:val="009B0C22"/>
    <w:rsid w:val="009B165B"/>
    <w:rsid w:val="009B2B08"/>
    <w:rsid w:val="009B36E8"/>
    <w:rsid w:val="009B5C86"/>
    <w:rsid w:val="009B673F"/>
    <w:rsid w:val="009B7253"/>
    <w:rsid w:val="009C07BA"/>
    <w:rsid w:val="009C165D"/>
    <w:rsid w:val="009C1FD8"/>
    <w:rsid w:val="009C2E28"/>
    <w:rsid w:val="009C390A"/>
    <w:rsid w:val="009C3F3F"/>
    <w:rsid w:val="009C5E56"/>
    <w:rsid w:val="009C61D1"/>
    <w:rsid w:val="009C76B0"/>
    <w:rsid w:val="009C7F4D"/>
    <w:rsid w:val="009D019C"/>
    <w:rsid w:val="009D3969"/>
    <w:rsid w:val="009D3B68"/>
    <w:rsid w:val="009D425B"/>
    <w:rsid w:val="009D481C"/>
    <w:rsid w:val="009D4F53"/>
    <w:rsid w:val="009D550A"/>
    <w:rsid w:val="009D639A"/>
    <w:rsid w:val="009D64B5"/>
    <w:rsid w:val="009D6CB0"/>
    <w:rsid w:val="009D7435"/>
    <w:rsid w:val="009E03BE"/>
    <w:rsid w:val="009E07BB"/>
    <w:rsid w:val="009E0993"/>
    <w:rsid w:val="009E14A4"/>
    <w:rsid w:val="009E2780"/>
    <w:rsid w:val="009E338E"/>
    <w:rsid w:val="009E3782"/>
    <w:rsid w:val="009E4824"/>
    <w:rsid w:val="009E5771"/>
    <w:rsid w:val="009E584E"/>
    <w:rsid w:val="009E67C9"/>
    <w:rsid w:val="009E6DE8"/>
    <w:rsid w:val="009E7AB9"/>
    <w:rsid w:val="009F1C15"/>
    <w:rsid w:val="009F1DD2"/>
    <w:rsid w:val="009F2C77"/>
    <w:rsid w:val="009F3662"/>
    <w:rsid w:val="009F3B9E"/>
    <w:rsid w:val="009F4224"/>
    <w:rsid w:val="009F4A72"/>
    <w:rsid w:val="009F5327"/>
    <w:rsid w:val="009F5D88"/>
    <w:rsid w:val="009F6DDF"/>
    <w:rsid w:val="009F73E4"/>
    <w:rsid w:val="00A00094"/>
    <w:rsid w:val="00A00853"/>
    <w:rsid w:val="00A00A9C"/>
    <w:rsid w:val="00A01825"/>
    <w:rsid w:val="00A0400A"/>
    <w:rsid w:val="00A05922"/>
    <w:rsid w:val="00A05A22"/>
    <w:rsid w:val="00A05F81"/>
    <w:rsid w:val="00A068A7"/>
    <w:rsid w:val="00A06EAA"/>
    <w:rsid w:val="00A11F1A"/>
    <w:rsid w:val="00A12D37"/>
    <w:rsid w:val="00A1316A"/>
    <w:rsid w:val="00A143EB"/>
    <w:rsid w:val="00A16415"/>
    <w:rsid w:val="00A16BF8"/>
    <w:rsid w:val="00A2056F"/>
    <w:rsid w:val="00A209AB"/>
    <w:rsid w:val="00A21090"/>
    <w:rsid w:val="00A214E8"/>
    <w:rsid w:val="00A216C8"/>
    <w:rsid w:val="00A22363"/>
    <w:rsid w:val="00A22772"/>
    <w:rsid w:val="00A22809"/>
    <w:rsid w:val="00A2310F"/>
    <w:rsid w:val="00A23EA5"/>
    <w:rsid w:val="00A23F7D"/>
    <w:rsid w:val="00A24090"/>
    <w:rsid w:val="00A24135"/>
    <w:rsid w:val="00A24EB3"/>
    <w:rsid w:val="00A26188"/>
    <w:rsid w:val="00A2642A"/>
    <w:rsid w:val="00A26AD5"/>
    <w:rsid w:val="00A27B1B"/>
    <w:rsid w:val="00A30D64"/>
    <w:rsid w:val="00A30F05"/>
    <w:rsid w:val="00A3104A"/>
    <w:rsid w:val="00A31258"/>
    <w:rsid w:val="00A31E20"/>
    <w:rsid w:val="00A33401"/>
    <w:rsid w:val="00A35EDE"/>
    <w:rsid w:val="00A36CA9"/>
    <w:rsid w:val="00A37D34"/>
    <w:rsid w:val="00A37E0F"/>
    <w:rsid w:val="00A40AE4"/>
    <w:rsid w:val="00A415D9"/>
    <w:rsid w:val="00A41BD6"/>
    <w:rsid w:val="00A42A73"/>
    <w:rsid w:val="00A42FC1"/>
    <w:rsid w:val="00A4385D"/>
    <w:rsid w:val="00A43A6C"/>
    <w:rsid w:val="00A44704"/>
    <w:rsid w:val="00A44A2D"/>
    <w:rsid w:val="00A45CC3"/>
    <w:rsid w:val="00A46A45"/>
    <w:rsid w:val="00A478DC"/>
    <w:rsid w:val="00A47A6A"/>
    <w:rsid w:val="00A50EAA"/>
    <w:rsid w:val="00A50FBD"/>
    <w:rsid w:val="00A51FCA"/>
    <w:rsid w:val="00A54C4E"/>
    <w:rsid w:val="00A54D62"/>
    <w:rsid w:val="00A5553D"/>
    <w:rsid w:val="00A561EE"/>
    <w:rsid w:val="00A56DBF"/>
    <w:rsid w:val="00A5798A"/>
    <w:rsid w:val="00A60295"/>
    <w:rsid w:val="00A6076B"/>
    <w:rsid w:val="00A60B19"/>
    <w:rsid w:val="00A632F5"/>
    <w:rsid w:val="00A639AD"/>
    <w:rsid w:val="00A63C6D"/>
    <w:rsid w:val="00A63D9B"/>
    <w:rsid w:val="00A6486D"/>
    <w:rsid w:val="00A648C5"/>
    <w:rsid w:val="00A65453"/>
    <w:rsid w:val="00A657DB"/>
    <w:rsid w:val="00A666C9"/>
    <w:rsid w:val="00A667E6"/>
    <w:rsid w:val="00A668D6"/>
    <w:rsid w:val="00A70000"/>
    <w:rsid w:val="00A7111B"/>
    <w:rsid w:val="00A712F8"/>
    <w:rsid w:val="00A716DD"/>
    <w:rsid w:val="00A71AB4"/>
    <w:rsid w:val="00A722B1"/>
    <w:rsid w:val="00A72F8E"/>
    <w:rsid w:val="00A73242"/>
    <w:rsid w:val="00A745EB"/>
    <w:rsid w:val="00A74836"/>
    <w:rsid w:val="00A749A9"/>
    <w:rsid w:val="00A751DD"/>
    <w:rsid w:val="00A76AAA"/>
    <w:rsid w:val="00A76C47"/>
    <w:rsid w:val="00A80290"/>
    <w:rsid w:val="00A804ED"/>
    <w:rsid w:val="00A80A89"/>
    <w:rsid w:val="00A813B3"/>
    <w:rsid w:val="00A81C21"/>
    <w:rsid w:val="00A825E1"/>
    <w:rsid w:val="00A82B80"/>
    <w:rsid w:val="00A8391F"/>
    <w:rsid w:val="00A83B0E"/>
    <w:rsid w:val="00A865D6"/>
    <w:rsid w:val="00A86979"/>
    <w:rsid w:val="00A86F8A"/>
    <w:rsid w:val="00A87799"/>
    <w:rsid w:val="00A90BD5"/>
    <w:rsid w:val="00A90FD5"/>
    <w:rsid w:val="00A91334"/>
    <w:rsid w:val="00A91F7E"/>
    <w:rsid w:val="00A93200"/>
    <w:rsid w:val="00A9330B"/>
    <w:rsid w:val="00A93C39"/>
    <w:rsid w:val="00A940EB"/>
    <w:rsid w:val="00A940F0"/>
    <w:rsid w:val="00A948BA"/>
    <w:rsid w:val="00A94949"/>
    <w:rsid w:val="00A95987"/>
    <w:rsid w:val="00A959A2"/>
    <w:rsid w:val="00A95F6C"/>
    <w:rsid w:val="00A971B5"/>
    <w:rsid w:val="00A97347"/>
    <w:rsid w:val="00AA05BB"/>
    <w:rsid w:val="00AA18B0"/>
    <w:rsid w:val="00AA1E0B"/>
    <w:rsid w:val="00AA2299"/>
    <w:rsid w:val="00AA291E"/>
    <w:rsid w:val="00AA2B76"/>
    <w:rsid w:val="00AA378D"/>
    <w:rsid w:val="00AA3876"/>
    <w:rsid w:val="00AA532F"/>
    <w:rsid w:val="00AA59F2"/>
    <w:rsid w:val="00AA5AF3"/>
    <w:rsid w:val="00AA646B"/>
    <w:rsid w:val="00AA6EA3"/>
    <w:rsid w:val="00AB0690"/>
    <w:rsid w:val="00AB1F96"/>
    <w:rsid w:val="00AB2CD2"/>
    <w:rsid w:val="00AB307D"/>
    <w:rsid w:val="00AB49D2"/>
    <w:rsid w:val="00AB49D8"/>
    <w:rsid w:val="00AB4D05"/>
    <w:rsid w:val="00AB571F"/>
    <w:rsid w:val="00AB5AFC"/>
    <w:rsid w:val="00AB5B22"/>
    <w:rsid w:val="00AB6EBD"/>
    <w:rsid w:val="00AC0961"/>
    <w:rsid w:val="00AC14AD"/>
    <w:rsid w:val="00AC271A"/>
    <w:rsid w:val="00AC28CD"/>
    <w:rsid w:val="00AC2B8E"/>
    <w:rsid w:val="00AC2C70"/>
    <w:rsid w:val="00AC3A2F"/>
    <w:rsid w:val="00AC41E0"/>
    <w:rsid w:val="00AC53F3"/>
    <w:rsid w:val="00AC5626"/>
    <w:rsid w:val="00AC6146"/>
    <w:rsid w:val="00AC64A5"/>
    <w:rsid w:val="00AC74E3"/>
    <w:rsid w:val="00AC7ABB"/>
    <w:rsid w:val="00AD1543"/>
    <w:rsid w:val="00AD2964"/>
    <w:rsid w:val="00AD365B"/>
    <w:rsid w:val="00AD3934"/>
    <w:rsid w:val="00AD3EF3"/>
    <w:rsid w:val="00AD4513"/>
    <w:rsid w:val="00AD473A"/>
    <w:rsid w:val="00AD59C1"/>
    <w:rsid w:val="00AD5C3C"/>
    <w:rsid w:val="00AD70B7"/>
    <w:rsid w:val="00AD7A86"/>
    <w:rsid w:val="00AE0778"/>
    <w:rsid w:val="00AE13A1"/>
    <w:rsid w:val="00AE1893"/>
    <w:rsid w:val="00AE1E35"/>
    <w:rsid w:val="00AE270B"/>
    <w:rsid w:val="00AE3883"/>
    <w:rsid w:val="00AE4154"/>
    <w:rsid w:val="00AE4D35"/>
    <w:rsid w:val="00AE5DAC"/>
    <w:rsid w:val="00AE6117"/>
    <w:rsid w:val="00AE64FD"/>
    <w:rsid w:val="00AE66BE"/>
    <w:rsid w:val="00AE6F06"/>
    <w:rsid w:val="00AE70AB"/>
    <w:rsid w:val="00AE77E8"/>
    <w:rsid w:val="00AE7EAA"/>
    <w:rsid w:val="00AF00DF"/>
    <w:rsid w:val="00AF04AB"/>
    <w:rsid w:val="00AF04CD"/>
    <w:rsid w:val="00AF0564"/>
    <w:rsid w:val="00AF0A2F"/>
    <w:rsid w:val="00AF1071"/>
    <w:rsid w:val="00AF1C38"/>
    <w:rsid w:val="00AF217C"/>
    <w:rsid w:val="00AF33DF"/>
    <w:rsid w:val="00AF4DFB"/>
    <w:rsid w:val="00AF63B0"/>
    <w:rsid w:val="00AF692E"/>
    <w:rsid w:val="00AF6D00"/>
    <w:rsid w:val="00AF752F"/>
    <w:rsid w:val="00B01257"/>
    <w:rsid w:val="00B014AE"/>
    <w:rsid w:val="00B01B98"/>
    <w:rsid w:val="00B01CAA"/>
    <w:rsid w:val="00B025F4"/>
    <w:rsid w:val="00B02C0B"/>
    <w:rsid w:val="00B035EC"/>
    <w:rsid w:val="00B03CD5"/>
    <w:rsid w:val="00B042EF"/>
    <w:rsid w:val="00B04396"/>
    <w:rsid w:val="00B0593F"/>
    <w:rsid w:val="00B05B01"/>
    <w:rsid w:val="00B0636C"/>
    <w:rsid w:val="00B1002E"/>
    <w:rsid w:val="00B110A4"/>
    <w:rsid w:val="00B1173D"/>
    <w:rsid w:val="00B11AF5"/>
    <w:rsid w:val="00B11FD9"/>
    <w:rsid w:val="00B121D7"/>
    <w:rsid w:val="00B123A4"/>
    <w:rsid w:val="00B12ED2"/>
    <w:rsid w:val="00B14E85"/>
    <w:rsid w:val="00B15ACC"/>
    <w:rsid w:val="00B15D29"/>
    <w:rsid w:val="00B17010"/>
    <w:rsid w:val="00B17119"/>
    <w:rsid w:val="00B171D4"/>
    <w:rsid w:val="00B2067B"/>
    <w:rsid w:val="00B225A8"/>
    <w:rsid w:val="00B22EC2"/>
    <w:rsid w:val="00B231AB"/>
    <w:rsid w:val="00B233CF"/>
    <w:rsid w:val="00B23DEC"/>
    <w:rsid w:val="00B241CE"/>
    <w:rsid w:val="00B24ABA"/>
    <w:rsid w:val="00B25063"/>
    <w:rsid w:val="00B25944"/>
    <w:rsid w:val="00B25F99"/>
    <w:rsid w:val="00B30830"/>
    <w:rsid w:val="00B30B31"/>
    <w:rsid w:val="00B30F6B"/>
    <w:rsid w:val="00B325FE"/>
    <w:rsid w:val="00B329DF"/>
    <w:rsid w:val="00B36397"/>
    <w:rsid w:val="00B36948"/>
    <w:rsid w:val="00B37399"/>
    <w:rsid w:val="00B376D8"/>
    <w:rsid w:val="00B37FEA"/>
    <w:rsid w:val="00B4003E"/>
    <w:rsid w:val="00B4064C"/>
    <w:rsid w:val="00B41B2B"/>
    <w:rsid w:val="00B41BFB"/>
    <w:rsid w:val="00B41E11"/>
    <w:rsid w:val="00B426ED"/>
    <w:rsid w:val="00B42914"/>
    <w:rsid w:val="00B42E0C"/>
    <w:rsid w:val="00B42EF7"/>
    <w:rsid w:val="00B4394B"/>
    <w:rsid w:val="00B43C0B"/>
    <w:rsid w:val="00B4619C"/>
    <w:rsid w:val="00B47827"/>
    <w:rsid w:val="00B47C9E"/>
    <w:rsid w:val="00B47FE1"/>
    <w:rsid w:val="00B50394"/>
    <w:rsid w:val="00B5068A"/>
    <w:rsid w:val="00B506FA"/>
    <w:rsid w:val="00B51522"/>
    <w:rsid w:val="00B51AA3"/>
    <w:rsid w:val="00B52769"/>
    <w:rsid w:val="00B52B26"/>
    <w:rsid w:val="00B534D5"/>
    <w:rsid w:val="00B537AD"/>
    <w:rsid w:val="00B54A4C"/>
    <w:rsid w:val="00B54EB4"/>
    <w:rsid w:val="00B550BE"/>
    <w:rsid w:val="00B56365"/>
    <w:rsid w:val="00B565F6"/>
    <w:rsid w:val="00B60990"/>
    <w:rsid w:val="00B60CA7"/>
    <w:rsid w:val="00B61FE3"/>
    <w:rsid w:val="00B629FE"/>
    <w:rsid w:val="00B637B2"/>
    <w:rsid w:val="00B64A18"/>
    <w:rsid w:val="00B64B31"/>
    <w:rsid w:val="00B65134"/>
    <w:rsid w:val="00B659B6"/>
    <w:rsid w:val="00B66D76"/>
    <w:rsid w:val="00B67D38"/>
    <w:rsid w:val="00B70309"/>
    <w:rsid w:val="00B70AA4"/>
    <w:rsid w:val="00B70AEE"/>
    <w:rsid w:val="00B71271"/>
    <w:rsid w:val="00B71548"/>
    <w:rsid w:val="00B7160F"/>
    <w:rsid w:val="00B7199B"/>
    <w:rsid w:val="00B71ADF"/>
    <w:rsid w:val="00B72AFB"/>
    <w:rsid w:val="00B73110"/>
    <w:rsid w:val="00B73188"/>
    <w:rsid w:val="00B731F9"/>
    <w:rsid w:val="00B746BC"/>
    <w:rsid w:val="00B749F7"/>
    <w:rsid w:val="00B7501C"/>
    <w:rsid w:val="00B76530"/>
    <w:rsid w:val="00B76B70"/>
    <w:rsid w:val="00B76CF3"/>
    <w:rsid w:val="00B77A65"/>
    <w:rsid w:val="00B77EF4"/>
    <w:rsid w:val="00B8026E"/>
    <w:rsid w:val="00B81A26"/>
    <w:rsid w:val="00B81C1E"/>
    <w:rsid w:val="00B81F23"/>
    <w:rsid w:val="00B824E2"/>
    <w:rsid w:val="00B82A3A"/>
    <w:rsid w:val="00B82DAD"/>
    <w:rsid w:val="00B83253"/>
    <w:rsid w:val="00B8338F"/>
    <w:rsid w:val="00B845D1"/>
    <w:rsid w:val="00B852FD"/>
    <w:rsid w:val="00B87355"/>
    <w:rsid w:val="00B90A19"/>
    <w:rsid w:val="00B90BFE"/>
    <w:rsid w:val="00B910C8"/>
    <w:rsid w:val="00B9124D"/>
    <w:rsid w:val="00B915A6"/>
    <w:rsid w:val="00B91AAE"/>
    <w:rsid w:val="00B928D6"/>
    <w:rsid w:val="00B931B4"/>
    <w:rsid w:val="00B936D7"/>
    <w:rsid w:val="00B94BFB"/>
    <w:rsid w:val="00B94E2B"/>
    <w:rsid w:val="00B955A3"/>
    <w:rsid w:val="00B957AD"/>
    <w:rsid w:val="00B95B5D"/>
    <w:rsid w:val="00BA12BE"/>
    <w:rsid w:val="00BA1D16"/>
    <w:rsid w:val="00BA20DE"/>
    <w:rsid w:val="00BA3774"/>
    <w:rsid w:val="00BA3F5E"/>
    <w:rsid w:val="00BA4108"/>
    <w:rsid w:val="00BA5AD5"/>
    <w:rsid w:val="00BA5E68"/>
    <w:rsid w:val="00BA657A"/>
    <w:rsid w:val="00BA68C6"/>
    <w:rsid w:val="00BA6C34"/>
    <w:rsid w:val="00BA6C54"/>
    <w:rsid w:val="00BB099C"/>
    <w:rsid w:val="00BB0DF4"/>
    <w:rsid w:val="00BB37E5"/>
    <w:rsid w:val="00BB3CFF"/>
    <w:rsid w:val="00BB3F1A"/>
    <w:rsid w:val="00BB41E6"/>
    <w:rsid w:val="00BB4A96"/>
    <w:rsid w:val="00BB4CCD"/>
    <w:rsid w:val="00BB5011"/>
    <w:rsid w:val="00BB5951"/>
    <w:rsid w:val="00BB5C83"/>
    <w:rsid w:val="00BB6400"/>
    <w:rsid w:val="00BB643C"/>
    <w:rsid w:val="00BB6A0C"/>
    <w:rsid w:val="00BB7080"/>
    <w:rsid w:val="00BB78C3"/>
    <w:rsid w:val="00BC01E7"/>
    <w:rsid w:val="00BC09E8"/>
    <w:rsid w:val="00BC3F93"/>
    <w:rsid w:val="00BC499A"/>
    <w:rsid w:val="00BC717E"/>
    <w:rsid w:val="00BC7233"/>
    <w:rsid w:val="00BC72E7"/>
    <w:rsid w:val="00BD05CB"/>
    <w:rsid w:val="00BD1A8A"/>
    <w:rsid w:val="00BD1CB7"/>
    <w:rsid w:val="00BD1D3D"/>
    <w:rsid w:val="00BD4CE7"/>
    <w:rsid w:val="00BD4DFE"/>
    <w:rsid w:val="00BD593F"/>
    <w:rsid w:val="00BD66F8"/>
    <w:rsid w:val="00BD6706"/>
    <w:rsid w:val="00BE05E6"/>
    <w:rsid w:val="00BE0C2A"/>
    <w:rsid w:val="00BE0D08"/>
    <w:rsid w:val="00BE13C5"/>
    <w:rsid w:val="00BE378C"/>
    <w:rsid w:val="00BE399B"/>
    <w:rsid w:val="00BE3E70"/>
    <w:rsid w:val="00BE5509"/>
    <w:rsid w:val="00BE5B77"/>
    <w:rsid w:val="00BE630D"/>
    <w:rsid w:val="00BE7ED8"/>
    <w:rsid w:val="00BF15F6"/>
    <w:rsid w:val="00BF1B3B"/>
    <w:rsid w:val="00BF1F34"/>
    <w:rsid w:val="00BF29FA"/>
    <w:rsid w:val="00BF36F6"/>
    <w:rsid w:val="00BF3AC4"/>
    <w:rsid w:val="00BF3C73"/>
    <w:rsid w:val="00BF4369"/>
    <w:rsid w:val="00BF43A7"/>
    <w:rsid w:val="00BF455A"/>
    <w:rsid w:val="00BF51F0"/>
    <w:rsid w:val="00BF58BA"/>
    <w:rsid w:val="00BF61F5"/>
    <w:rsid w:val="00BF6457"/>
    <w:rsid w:val="00BF65BB"/>
    <w:rsid w:val="00C014CB"/>
    <w:rsid w:val="00C01CBB"/>
    <w:rsid w:val="00C02B19"/>
    <w:rsid w:val="00C02B51"/>
    <w:rsid w:val="00C03127"/>
    <w:rsid w:val="00C06A6A"/>
    <w:rsid w:val="00C11D34"/>
    <w:rsid w:val="00C13127"/>
    <w:rsid w:val="00C13608"/>
    <w:rsid w:val="00C1570C"/>
    <w:rsid w:val="00C2177F"/>
    <w:rsid w:val="00C219CE"/>
    <w:rsid w:val="00C22361"/>
    <w:rsid w:val="00C230BB"/>
    <w:rsid w:val="00C233D2"/>
    <w:rsid w:val="00C2419C"/>
    <w:rsid w:val="00C24570"/>
    <w:rsid w:val="00C25729"/>
    <w:rsid w:val="00C26D89"/>
    <w:rsid w:val="00C31833"/>
    <w:rsid w:val="00C31FB6"/>
    <w:rsid w:val="00C33018"/>
    <w:rsid w:val="00C33B4D"/>
    <w:rsid w:val="00C33FF8"/>
    <w:rsid w:val="00C34C57"/>
    <w:rsid w:val="00C35A49"/>
    <w:rsid w:val="00C368E8"/>
    <w:rsid w:val="00C36AF1"/>
    <w:rsid w:val="00C37321"/>
    <w:rsid w:val="00C37458"/>
    <w:rsid w:val="00C37AF7"/>
    <w:rsid w:val="00C410C2"/>
    <w:rsid w:val="00C41567"/>
    <w:rsid w:val="00C428C1"/>
    <w:rsid w:val="00C45E29"/>
    <w:rsid w:val="00C46BC3"/>
    <w:rsid w:val="00C478FD"/>
    <w:rsid w:val="00C51AF1"/>
    <w:rsid w:val="00C530BB"/>
    <w:rsid w:val="00C5369C"/>
    <w:rsid w:val="00C5548B"/>
    <w:rsid w:val="00C569E4"/>
    <w:rsid w:val="00C60BC4"/>
    <w:rsid w:val="00C6135D"/>
    <w:rsid w:val="00C617E5"/>
    <w:rsid w:val="00C62135"/>
    <w:rsid w:val="00C62B77"/>
    <w:rsid w:val="00C64275"/>
    <w:rsid w:val="00C667E4"/>
    <w:rsid w:val="00C66F2B"/>
    <w:rsid w:val="00C67034"/>
    <w:rsid w:val="00C70D27"/>
    <w:rsid w:val="00C70D9D"/>
    <w:rsid w:val="00C71A40"/>
    <w:rsid w:val="00C7330B"/>
    <w:rsid w:val="00C73322"/>
    <w:rsid w:val="00C73F78"/>
    <w:rsid w:val="00C76A9C"/>
    <w:rsid w:val="00C77054"/>
    <w:rsid w:val="00C7796E"/>
    <w:rsid w:val="00C80492"/>
    <w:rsid w:val="00C81C96"/>
    <w:rsid w:val="00C83986"/>
    <w:rsid w:val="00C83E4A"/>
    <w:rsid w:val="00C849B1"/>
    <w:rsid w:val="00C84DF3"/>
    <w:rsid w:val="00C85239"/>
    <w:rsid w:val="00C85E2F"/>
    <w:rsid w:val="00C86EE3"/>
    <w:rsid w:val="00C8734B"/>
    <w:rsid w:val="00C87B9D"/>
    <w:rsid w:val="00C900C9"/>
    <w:rsid w:val="00C9021F"/>
    <w:rsid w:val="00C9028D"/>
    <w:rsid w:val="00C906B4"/>
    <w:rsid w:val="00C906FE"/>
    <w:rsid w:val="00C93FB4"/>
    <w:rsid w:val="00C9488D"/>
    <w:rsid w:val="00C97AA0"/>
    <w:rsid w:val="00CA04B6"/>
    <w:rsid w:val="00CA12B0"/>
    <w:rsid w:val="00CA1578"/>
    <w:rsid w:val="00CA2801"/>
    <w:rsid w:val="00CA2CCF"/>
    <w:rsid w:val="00CA3E1A"/>
    <w:rsid w:val="00CA41BF"/>
    <w:rsid w:val="00CA4D84"/>
    <w:rsid w:val="00CA522E"/>
    <w:rsid w:val="00CA539C"/>
    <w:rsid w:val="00CA5A67"/>
    <w:rsid w:val="00CA5C16"/>
    <w:rsid w:val="00CA6827"/>
    <w:rsid w:val="00CA6A19"/>
    <w:rsid w:val="00CA6EF4"/>
    <w:rsid w:val="00CA7A4D"/>
    <w:rsid w:val="00CB09B9"/>
    <w:rsid w:val="00CB186A"/>
    <w:rsid w:val="00CB2268"/>
    <w:rsid w:val="00CB22FF"/>
    <w:rsid w:val="00CB242E"/>
    <w:rsid w:val="00CB3A71"/>
    <w:rsid w:val="00CB4647"/>
    <w:rsid w:val="00CB686E"/>
    <w:rsid w:val="00CC061F"/>
    <w:rsid w:val="00CC0833"/>
    <w:rsid w:val="00CC0864"/>
    <w:rsid w:val="00CC0A11"/>
    <w:rsid w:val="00CC0D6C"/>
    <w:rsid w:val="00CC0F5F"/>
    <w:rsid w:val="00CC156E"/>
    <w:rsid w:val="00CC27B6"/>
    <w:rsid w:val="00CC3D3E"/>
    <w:rsid w:val="00CC4279"/>
    <w:rsid w:val="00CC5202"/>
    <w:rsid w:val="00CC546F"/>
    <w:rsid w:val="00CC6FF4"/>
    <w:rsid w:val="00CD2D63"/>
    <w:rsid w:val="00CD5180"/>
    <w:rsid w:val="00CD6515"/>
    <w:rsid w:val="00CD71DE"/>
    <w:rsid w:val="00CD72D4"/>
    <w:rsid w:val="00CE1636"/>
    <w:rsid w:val="00CE30CD"/>
    <w:rsid w:val="00CE613D"/>
    <w:rsid w:val="00CE68EF"/>
    <w:rsid w:val="00CE7168"/>
    <w:rsid w:val="00CE7D16"/>
    <w:rsid w:val="00CE7EE4"/>
    <w:rsid w:val="00CF06A5"/>
    <w:rsid w:val="00CF137D"/>
    <w:rsid w:val="00CF1814"/>
    <w:rsid w:val="00CF25B9"/>
    <w:rsid w:val="00CF3A18"/>
    <w:rsid w:val="00CF4DEF"/>
    <w:rsid w:val="00CF5F78"/>
    <w:rsid w:val="00CF612C"/>
    <w:rsid w:val="00CF6B1D"/>
    <w:rsid w:val="00CF7ADA"/>
    <w:rsid w:val="00D00008"/>
    <w:rsid w:val="00D01D7C"/>
    <w:rsid w:val="00D030F5"/>
    <w:rsid w:val="00D032B6"/>
    <w:rsid w:val="00D035B7"/>
    <w:rsid w:val="00D03F8C"/>
    <w:rsid w:val="00D0451F"/>
    <w:rsid w:val="00D05BE1"/>
    <w:rsid w:val="00D0688F"/>
    <w:rsid w:val="00D07A7F"/>
    <w:rsid w:val="00D10971"/>
    <w:rsid w:val="00D10C5F"/>
    <w:rsid w:val="00D11686"/>
    <w:rsid w:val="00D11AFF"/>
    <w:rsid w:val="00D1225E"/>
    <w:rsid w:val="00D12C3A"/>
    <w:rsid w:val="00D13A72"/>
    <w:rsid w:val="00D155AA"/>
    <w:rsid w:val="00D15740"/>
    <w:rsid w:val="00D15DB9"/>
    <w:rsid w:val="00D20234"/>
    <w:rsid w:val="00D202A5"/>
    <w:rsid w:val="00D208D0"/>
    <w:rsid w:val="00D20AAF"/>
    <w:rsid w:val="00D20B2E"/>
    <w:rsid w:val="00D20EAE"/>
    <w:rsid w:val="00D210A9"/>
    <w:rsid w:val="00D212D5"/>
    <w:rsid w:val="00D22D00"/>
    <w:rsid w:val="00D230D8"/>
    <w:rsid w:val="00D24173"/>
    <w:rsid w:val="00D24B24"/>
    <w:rsid w:val="00D24EB0"/>
    <w:rsid w:val="00D253A6"/>
    <w:rsid w:val="00D25543"/>
    <w:rsid w:val="00D25987"/>
    <w:rsid w:val="00D27D7E"/>
    <w:rsid w:val="00D27EE2"/>
    <w:rsid w:val="00D32167"/>
    <w:rsid w:val="00D327F2"/>
    <w:rsid w:val="00D32E51"/>
    <w:rsid w:val="00D336A7"/>
    <w:rsid w:val="00D33A32"/>
    <w:rsid w:val="00D341C0"/>
    <w:rsid w:val="00D350E6"/>
    <w:rsid w:val="00D355F3"/>
    <w:rsid w:val="00D377A8"/>
    <w:rsid w:val="00D40182"/>
    <w:rsid w:val="00D40219"/>
    <w:rsid w:val="00D417E5"/>
    <w:rsid w:val="00D41B5A"/>
    <w:rsid w:val="00D45A1C"/>
    <w:rsid w:val="00D45A62"/>
    <w:rsid w:val="00D45E4C"/>
    <w:rsid w:val="00D46C32"/>
    <w:rsid w:val="00D471AE"/>
    <w:rsid w:val="00D47CDB"/>
    <w:rsid w:val="00D517B2"/>
    <w:rsid w:val="00D51AE5"/>
    <w:rsid w:val="00D522CB"/>
    <w:rsid w:val="00D52EC6"/>
    <w:rsid w:val="00D530ED"/>
    <w:rsid w:val="00D53C02"/>
    <w:rsid w:val="00D54205"/>
    <w:rsid w:val="00D54728"/>
    <w:rsid w:val="00D54B58"/>
    <w:rsid w:val="00D56DF2"/>
    <w:rsid w:val="00D60F6F"/>
    <w:rsid w:val="00D615FF"/>
    <w:rsid w:val="00D6188A"/>
    <w:rsid w:val="00D61A27"/>
    <w:rsid w:val="00D62B18"/>
    <w:rsid w:val="00D632A3"/>
    <w:rsid w:val="00D64ADA"/>
    <w:rsid w:val="00D66EE9"/>
    <w:rsid w:val="00D67101"/>
    <w:rsid w:val="00D671FA"/>
    <w:rsid w:val="00D70D85"/>
    <w:rsid w:val="00D70F5C"/>
    <w:rsid w:val="00D718B1"/>
    <w:rsid w:val="00D7192A"/>
    <w:rsid w:val="00D71BAC"/>
    <w:rsid w:val="00D73077"/>
    <w:rsid w:val="00D7331A"/>
    <w:rsid w:val="00D7499D"/>
    <w:rsid w:val="00D74BD7"/>
    <w:rsid w:val="00D768B4"/>
    <w:rsid w:val="00D83915"/>
    <w:rsid w:val="00D84ECA"/>
    <w:rsid w:val="00D84F56"/>
    <w:rsid w:val="00D854D7"/>
    <w:rsid w:val="00D85CDA"/>
    <w:rsid w:val="00D8620F"/>
    <w:rsid w:val="00D863A4"/>
    <w:rsid w:val="00D87002"/>
    <w:rsid w:val="00D90FBA"/>
    <w:rsid w:val="00D91079"/>
    <w:rsid w:val="00D91A3F"/>
    <w:rsid w:val="00D91B67"/>
    <w:rsid w:val="00D92897"/>
    <w:rsid w:val="00D92CDF"/>
    <w:rsid w:val="00D93F3D"/>
    <w:rsid w:val="00D94A7A"/>
    <w:rsid w:val="00D94D46"/>
    <w:rsid w:val="00D95712"/>
    <w:rsid w:val="00DA0785"/>
    <w:rsid w:val="00DA32DF"/>
    <w:rsid w:val="00DA36B5"/>
    <w:rsid w:val="00DA5931"/>
    <w:rsid w:val="00DA5F5E"/>
    <w:rsid w:val="00DA6BA0"/>
    <w:rsid w:val="00DA722B"/>
    <w:rsid w:val="00DA76C9"/>
    <w:rsid w:val="00DB0F17"/>
    <w:rsid w:val="00DB2424"/>
    <w:rsid w:val="00DB31B3"/>
    <w:rsid w:val="00DB3E84"/>
    <w:rsid w:val="00DB4414"/>
    <w:rsid w:val="00DB4CC6"/>
    <w:rsid w:val="00DB50CB"/>
    <w:rsid w:val="00DB534D"/>
    <w:rsid w:val="00DB6C06"/>
    <w:rsid w:val="00DB7588"/>
    <w:rsid w:val="00DC02A0"/>
    <w:rsid w:val="00DC0B08"/>
    <w:rsid w:val="00DC0C3F"/>
    <w:rsid w:val="00DC0CC6"/>
    <w:rsid w:val="00DC0E27"/>
    <w:rsid w:val="00DC1000"/>
    <w:rsid w:val="00DC1B63"/>
    <w:rsid w:val="00DC3D3E"/>
    <w:rsid w:val="00DC5A87"/>
    <w:rsid w:val="00DC6191"/>
    <w:rsid w:val="00DC65D4"/>
    <w:rsid w:val="00DC67B0"/>
    <w:rsid w:val="00DC7101"/>
    <w:rsid w:val="00DD11C8"/>
    <w:rsid w:val="00DD1BB4"/>
    <w:rsid w:val="00DD1DCE"/>
    <w:rsid w:val="00DD1DD7"/>
    <w:rsid w:val="00DD21B1"/>
    <w:rsid w:val="00DD406F"/>
    <w:rsid w:val="00DD6547"/>
    <w:rsid w:val="00DD6828"/>
    <w:rsid w:val="00DD77F7"/>
    <w:rsid w:val="00DD78A5"/>
    <w:rsid w:val="00DD7936"/>
    <w:rsid w:val="00DE00C8"/>
    <w:rsid w:val="00DE131A"/>
    <w:rsid w:val="00DE386E"/>
    <w:rsid w:val="00DE3E80"/>
    <w:rsid w:val="00DE4448"/>
    <w:rsid w:val="00DE49C9"/>
    <w:rsid w:val="00DE5E79"/>
    <w:rsid w:val="00DE6957"/>
    <w:rsid w:val="00DF01C5"/>
    <w:rsid w:val="00DF1B7B"/>
    <w:rsid w:val="00DF3243"/>
    <w:rsid w:val="00DF36F8"/>
    <w:rsid w:val="00DF4D84"/>
    <w:rsid w:val="00DF5D10"/>
    <w:rsid w:val="00DF5E1E"/>
    <w:rsid w:val="00DF6442"/>
    <w:rsid w:val="00DF67A3"/>
    <w:rsid w:val="00DF67D2"/>
    <w:rsid w:val="00DF6B78"/>
    <w:rsid w:val="00DF7A42"/>
    <w:rsid w:val="00DF7F26"/>
    <w:rsid w:val="00E022DC"/>
    <w:rsid w:val="00E024D3"/>
    <w:rsid w:val="00E039E7"/>
    <w:rsid w:val="00E03C34"/>
    <w:rsid w:val="00E0487B"/>
    <w:rsid w:val="00E066E2"/>
    <w:rsid w:val="00E06CC9"/>
    <w:rsid w:val="00E07A7B"/>
    <w:rsid w:val="00E07F2E"/>
    <w:rsid w:val="00E07F58"/>
    <w:rsid w:val="00E07F60"/>
    <w:rsid w:val="00E10198"/>
    <w:rsid w:val="00E108C8"/>
    <w:rsid w:val="00E138BD"/>
    <w:rsid w:val="00E14435"/>
    <w:rsid w:val="00E16194"/>
    <w:rsid w:val="00E16505"/>
    <w:rsid w:val="00E176CA"/>
    <w:rsid w:val="00E20241"/>
    <w:rsid w:val="00E206F5"/>
    <w:rsid w:val="00E21598"/>
    <w:rsid w:val="00E21846"/>
    <w:rsid w:val="00E230E7"/>
    <w:rsid w:val="00E233DB"/>
    <w:rsid w:val="00E238DE"/>
    <w:rsid w:val="00E259BC"/>
    <w:rsid w:val="00E264A4"/>
    <w:rsid w:val="00E27299"/>
    <w:rsid w:val="00E27301"/>
    <w:rsid w:val="00E27322"/>
    <w:rsid w:val="00E27E49"/>
    <w:rsid w:val="00E3109A"/>
    <w:rsid w:val="00E32D72"/>
    <w:rsid w:val="00E32E9A"/>
    <w:rsid w:val="00E35529"/>
    <w:rsid w:val="00E35744"/>
    <w:rsid w:val="00E36203"/>
    <w:rsid w:val="00E36834"/>
    <w:rsid w:val="00E36D26"/>
    <w:rsid w:val="00E36EBF"/>
    <w:rsid w:val="00E377C9"/>
    <w:rsid w:val="00E4040E"/>
    <w:rsid w:val="00E404B8"/>
    <w:rsid w:val="00E40681"/>
    <w:rsid w:val="00E40FCC"/>
    <w:rsid w:val="00E417B8"/>
    <w:rsid w:val="00E42744"/>
    <w:rsid w:val="00E43122"/>
    <w:rsid w:val="00E43A02"/>
    <w:rsid w:val="00E44003"/>
    <w:rsid w:val="00E44C88"/>
    <w:rsid w:val="00E456A5"/>
    <w:rsid w:val="00E465BA"/>
    <w:rsid w:val="00E46ACB"/>
    <w:rsid w:val="00E46C18"/>
    <w:rsid w:val="00E470B1"/>
    <w:rsid w:val="00E471E9"/>
    <w:rsid w:val="00E50890"/>
    <w:rsid w:val="00E5110E"/>
    <w:rsid w:val="00E51F94"/>
    <w:rsid w:val="00E53188"/>
    <w:rsid w:val="00E533FE"/>
    <w:rsid w:val="00E53419"/>
    <w:rsid w:val="00E53831"/>
    <w:rsid w:val="00E53C93"/>
    <w:rsid w:val="00E5512D"/>
    <w:rsid w:val="00E55460"/>
    <w:rsid w:val="00E55FA2"/>
    <w:rsid w:val="00E562D7"/>
    <w:rsid w:val="00E5646F"/>
    <w:rsid w:val="00E574E5"/>
    <w:rsid w:val="00E57D58"/>
    <w:rsid w:val="00E57D5D"/>
    <w:rsid w:val="00E60848"/>
    <w:rsid w:val="00E60A4A"/>
    <w:rsid w:val="00E61DD7"/>
    <w:rsid w:val="00E63C51"/>
    <w:rsid w:val="00E64FF0"/>
    <w:rsid w:val="00E6512A"/>
    <w:rsid w:val="00E6521A"/>
    <w:rsid w:val="00E6671A"/>
    <w:rsid w:val="00E67853"/>
    <w:rsid w:val="00E67E79"/>
    <w:rsid w:val="00E70BDA"/>
    <w:rsid w:val="00E70E63"/>
    <w:rsid w:val="00E71139"/>
    <w:rsid w:val="00E74E62"/>
    <w:rsid w:val="00E74F63"/>
    <w:rsid w:val="00E7602E"/>
    <w:rsid w:val="00E7712C"/>
    <w:rsid w:val="00E775C1"/>
    <w:rsid w:val="00E7773E"/>
    <w:rsid w:val="00E77F65"/>
    <w:rsid w:val="00E807C2"/>
    <w:rsid w:val="00E80BFA"/>
    <w:rsid w:val="00E81C1D"/>
    <w:rsid w:val="00E8231E"/>
    <w:rsid w:val="00E828E7"/>
    <w:rsid w:val="00E82A64"/>
    <w:rsid w:val="00E82BAA"/>
    <w:rsid w:val="00E82E08"/>
    <w:rsid w:val="00E832AB"/>
    <w:rsid w:val="00E83883"/>
    <w:rsid w:val="00E84FDA"/>
    <w:rsid w:val="00E90664"/>
    <w:rsid w:val="00E90CE5"/>
    <w:rsid w:val="00E91B8D"/>
    <w:rsid w:val="00E92065"/>
    <w:rsid w:val="00E936AE"/>
    <w:rsid w:val="00E93C9C"/>
    <w:rsid w:val="00E9603D"/>
    <w:rsid w:val="00E96F05"/>
    <w:rsid w:val="00EA2F8E"/>
    <w:rsid w:val="00EA340E"/>
    <w:rsid w:val="00EA3B1F"/>
    <w:rsid w:val="00EB095A"/>
    <w:rsid w:val="00EB1FD9"/>
    <w:rsid w:val="00EB2506"/>
    <w:rsid w:val="00EB3123"/>
    <w:rsid w:val="00EB55D0"/>
    <w:rsid w:val="00EB5646"/>
    <w:rsid w:val="00EB5ADB"/>
    <w:rsid w:val="00EB6F91"/>
    <w:rsid w:val="00EB7D65"/>
    <w:rsid w:val="00EC0F78"/>
    <w:rsid w:val="00EC1A32"/>
    <w:rsid w:val="00EC1A35"/>
    <w:rsid w:val="00EC1A39"/>
    <w:rsid w:val="00EC1F3A"/>
    <w:rsid w:val="00EC23C4"/>
    <w:rsid w:val="00EC245E"/>
    <w:rsid w:val="00EC277B"/>
    <w:rsid w:val="00EC2829"/>
    <w:rsid w:val="00EC37A6"/>
    <w:rsid w:val="00EC3D3F"/>
    <w:rsid w:val="00EC5C01"/>
    <w:rsid w:val="00EC682C"/>
    <w:rsid w:val="00EC766D"/>
    <w:rsid w:val="00EC7731"/>
    <w:rsid w:val="00EC7E34"/>
    <w:rsid w:val="00ED025D"/>
    <w:rsid w:val="00ED1163"/>
    <w:rsid w:val="00ED2CE9"/>
    <w:rsid w:val="00ED3DFD"/>
    <w:rsid w:val="00ED3F21"/>
    <w:rsid w:val="00ED658C"/>
    <w:rsid w:val="00ED7241"/>
    <w:rsid w:val="00ED7372"/>
    <w:rsid w:val="00ED7A2E"/>
    <w:rsid w:val="00EE03CF"/>
    <w:rsid w:val="00EE0B01"/>
    <w:rsid w:val="00EE0BD7"/>
    <w:rsid w:val="00EE0C68"/>
    <w:rsid w:val="00EE1B47"/>
    <w:rsid w:val="00EE20C6"/>
    <w:rsid w:val="00EE260F"/>
    <w:rsid w:val="00EE4DAF"/>
    <w:rsid w:val="00EE56E1"/>
    <w:rsid w:val="00EE5A06"/>
    <w:rsid w:val="00EE604B"/>
    <w:rsid w:val="00EE6B33"/>
    <w:rsid w:val="00EE79B4"/>
    <w:rsid w:val="00EF0462"/>
    <w:rsid w:val="00EF08D3"/>
    <w:rsid w:val="00EF1F14"/>
    <w:rsid w:val="00EF1FB1"/>
    <w:rsid w:val="00EF3369"/>
    <w:rsid w:val="00EF3F9B"/>
    <w:rsid w:val="00EF44C3"/>
    <w:rsid w:val="00EF4BFD"/>
    <w:rsid w:val="00EF634C"/>
    <w:rsid w:val="00EF640A"/>
    <w:rsid w:val="00EF6505"/>
    <w:rsid w:val="00EF74C4"/>
    <w:rsid w:val="00EF7A6F"/>
    <w:rsid w:val="00F0051B"/>
    <w:rsid w:val="00F00556"/>
    <w:rsid w:val="00F0062E"/>
    <w:rsid w:val="00F007ED"/>
    <w:rsid w:val="00F01560"/>
    <w:rsid w:val="00F02C57"/>
    <w:rsid w:val="00F02D04"/>
    <w:rsid w:val="00F0528E"/>
    <w:rsid w:val="00F05E8D"/>
    <w:rsid w:val="00F0622D"/>
    <w:rsid w:val="00F06F73"/>
    <w:rsid w:val="00F070E5"/>
    <w:rsid w:val="00F1140C"/>
    <w:rsid w:val="00F115D3"/>
    <w:rsid w:val="00F1173F"/>
    <w:rsid w:val="00F11865"/>
    <w:rsid w:val="00F11939"/>
    <w:rsid w:val="00F11E89"/>
    <w:rsid w:val="00F127C9"/>
    <w:rsid w:val="00F139B4"/>
    <w:rsid w:val="00F13CCC"/>
    <w:rsid w:val="00F14229"/>
    <w:rsid w:val="00F1517E"/>
    <w:rsid w:val="00F16678"/>
    <w:rsid w:val="00F16F43"/>
    <w:rsid w:val="00F208F9"/>
    <w:rsid w:val="00F22AC4"/>
    <w:rsid w:val="00F22BB2"/>
    <w:rsid w:val="00F2300D"/>
    <w:rsid w:val="00F23751"/>
    <w:rsid w:val="00F24E6D"/>
    <w:rsid w:val="00F25D75"/>
    <w:rsid w:val="00F26388"/>
    <w:rsid w:val="00F27D90"/>
    <w:rsid w:val="00F307E9"/>
    <w:rsid w:val="00F308C5"/>
    <w:rsid w:val="00F30C41"/>
    <w:rsid w:val="00F31BE3"/>
    <w:rsid w:val="00F324BD"/>
    <w:rsid w:val="00F33A52"/>
    <w:rsid w:val="00F341C5"/>
    <w:rsid w:val="00F34B21"/>
    <w:rsid w:val="00F34B45"/>
    <w:rsid w:val="00F34CA5"/>
    <w:rsid w:val="00F34CC5"/>
    <w:rsid w:val="00F37A93"/>
    <w:rsid w:val="00F37BF7"/>
    <w:rsid w:val="00F37C93"/>
    <w:rsid w:val="00F402A2"/>
    <w:rsid w:val="00F41563"/>
    <w:rsid w:val="00F41959"/>
    <w:rsid w:val="00F419E6"/>
    <w:rsid w:val="00F41E90"/>
    <w:rsid w:val="00F42202"/>
    <w:rsid w:val="00F4263E"/>
    <w:rsid w:val="00F4342D"/>
    <w:rsid w:val="00F436BF"/>
    <w:rsid w:val="00F455C8"/>
    <w:rsid w:val="00F464BC"/>
    <w:rsid w:val="00F46936"/>
    <w:rsid w:val="00F5085D"/>
    <w:rsid w:val="00F51043"/>
    <w:rsid w:val="00F5120A"/>
    <w:rsid w:val="00F51DB9"/>
    <w:rsid w:val="00F53B56"/>
    <w:rsid w:val="00F53E7F"/>
    <w:rsid w:val="00F54355"/>
    <w:rsid w:val="00F54AD8"/>
    <w:rsid w:val="00F55899"/>
    <w:rsid w:val="00F55B32"/>
    <w:rsid w:val="00F55BC3"/>
    <w:rsid w:val="00F571FE"/>
    <w:rsid w:val="00F57D17"/>
    <w:rsid w:val="00F60AA5"/>
    <w:rsid w:val="00F60BB4"/>
    <w:rsid w:val="00F6152A"/>
    <w:rsid w:val="00F621B8"/>
    <w:rsid w:val="00F62649"/>
    <w:rsid w:val="00F62C96"/>
    <w:rsid w:val="00F638A5"/>
    <w:rsid w:val="00F64AB4"/>
    <w:rsid w:val="00F64E82"/>
    <w:rsid w:val="00F664C1"/>
    <w:rsid w:val="00F6675A"/>
    <w:rsid w:val="00F6735E"/>
    <w:rsid w:val="00F673C2"/>
    <w:rsid w:val="00F7002B"/>
    <w:rsid w:val="00F700FA"/>
    <w:rsid w:val="00F70D2F"/>
    <w:rsid w:val="00F713BB"/>
    <w:rsid w:val="00F71460"/>
    <w:rsid w:val="00F715FC"/>
    <w:rsid w:val="00F71859"/>
    <w:rsid w:val="00F71954"/>
    <w:rsid w:val="00F73FC0"/>
    <w:rsid w:val="00F7418F"/>
    <w:rsid w:val="00F74EB3"/>
    <w:rsid w:val="00F74FDC"/>
    <w:rsid w:val="00F7566A"/>
    <w:rsid w:val="00F75E84"/>
    <w:rsid w:val="00F80602"/>
    <w:rsid w:val="00F820C5"/>
    <w:rsid w:val="00F82683"/>
    <w:rsid w:val="00F82A57"/>
    <w:rsid w:val="00F8340F"/>
    <w:rsid w:val="00F83457"/>
    <w:rsid w:val="00F83A2C"/>
    <w:rsid w:val="00F83E9D"/>
    <w:rsid w:val="00F84177"/>
    <w:rsid w:val="00F846C5"/>
    <w:rsid w:val="00F86C5B"/>
    <w:rsid w:val="00F8714A"/>
    <w:rsid w:val="00F87BFB"/>
    <w:rsid w:val="00F922B8"/>
    <w:rsid w:val="00F938F4"/>
    <w:rsid w:val="00F949F9"/>
    <w:rsid w:val="00F95B2C"/>
    <w:rsid w:val="00F9605C"/>
    <w:rsid w:val="00F961A0"/>
    <w:rsid w:val="00F968C5"/>
    <w:rsid w:val="00F971C1"/>
    <w:rsid w:val="00F97477"/>
    <w:rsid w:val="00F97955"/>
    <w:rsid w:val="00F97A32"/>
    <w:rsid w:val="00F97E47"/>
    <w:rsid w:val="00F97E7F"/>
    <w:rsid w:val="00FA0970"/>
    <w:rsid w:val="00FA37F6"/>
    <w:rsid w:val="00FA3B58"/>
    <w:rsid w:val="00FA490B"/>
    <w:rsid w:val="00FA5030"/>
    <w:rsid w:val="00FA5484"/>
    <w:rsid w:val="00FA5778"/>
    <w:rsid w:val="00FA59CC"/>
    <w:rsid w:val="00FA5B9D"/>
    <w:rsid w:val="00FA6127"/>
    <w:rsid w:val="00FA65FC"/>
    <w:rsid w:val="00FA67A7"/>
    <w:rsid w:val="00FA732B"/>
    <w:rsid w:val="00FA7912"/>
    <w:rsid w:val="00FA7F65"/>
    <w:rsid w:val="00FB05C4"/>
    <w:rsid w:val="00FB09D9"/>
    <w:rsid w:val="00FB17D3"/>
    <w:rsid w:val="00FB1CFE"/>
    <w:rsid w:val="00FB27D5"/>
    <w:rsid w:val="00FB329A"/>
    <w:rsid w:val="00FB3EBB"/>
    <w:rsid w:val="00FB4D87"/>
    <w:rsid w:val="00FB5706"/>
    <w:rsid w:val="00FB7CFB"/>
    <w:rsid w:val="00FC002F"/>
    <w:rsid w:val="00FC0D2E"/>
    <w:rsid w:val="00FC18C2"/>
    <w:rsid w:val="00FC47BF"/>
    <w:rsid w:val="00FC55F6"/>
    <w:rsid w:val="00FC5B92"/>
    <w:rsid w:val="00FC7EAD"/>
    <w:rsid w:val="00FD04E0"/>
    <w:rsid w:val="00FD3051"/>
    <w:rsid w:val="00FD368D"/>
    <w:rsid w:val="00FD3AFC"/>
    <w:rsid w:val="00FD6221"/>
    <w:rsid w:val="00FD703E"/>
    <w:rsid w:val="00FD7F2A"/>
    <w:rsid w:val="00FE0882"/>
    <w:rsid w:val="00FE0BFA"/>
    <w:rsid w:val="00FE0D85"/>
    <w:rsid w:val="00FE0DC9"/>
    <w:rsid w:val="00FE1F03"/>
    <w:rsid w:val="00FE2A56"/>
    <w:rsid w:val="00FE2EA4"/>
    <w:rsid w:val="00FE37C1"/>
    <w:rsid w:val="00FE4FDA"/>
    <w:rsid w:val="00FE5527"/>
    <w:rsid w:val="00FE57BE"/>
    <w:rsid w:val="00FE5FEC"/>
    <w:rsid w:val="00FF08F6"/>
    <w:rsid w:val="00FF095B"/>
    <w:rsid w:val="00FF0A8C"/>
    <w:rsid w:val="00FF1CA4"/>
    <w:rsid w:val="00FF21EB"/>
    <w:rsid w:val="00FF3D60"/>
    <w:rsid w:val="00FF4312"/>
    <w:rsid w:val="00FF518D"/>
    <w:rsid w:val="00FF54AA"/>
    <w:rsid w:val="00FF6B6F"/>
    <w:rsid w:val="00FF70BD"/>
    <w:rsid w:val="00FF72BC"/>
    <w:rsid w:val="00FF7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FCF0A9-E00E-4A80-A928-11C8DBE8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66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992664"/>
    <w:rPr>
      <w:rFonts w:ascii="Tahoma" w:hAnsi="Tahoma" w:cs="Tahoma"/>
      <w:sz w:val="16"/>
      <w:szCs w:val="16"/>
    </w:rPr>
  </w:style>
  <w:style w:type="character" w:customStyle="1" w:styleId="BalloonTextChar">
    <w:name w:val="Balloon Text Char"/>
    <w:basedOn w:val="DefaultParagraphFont"/>
    <w:link w:val="BalloonText"/>
    <w:uiPriority w:val="99"/>
    <w:rsid w:val="00992664"/>
    <w:rPr>
      <w:rFonts w:ascii="Tahoma" w:hAnsi="Tahoma" w:cs="Tahoma"/>
      <w:color w:val="000000"/>
      <w:sz w:val="16"/>
      <w:szCs w:val="16"/>
      <w:lang w:bidi="ar-SA"/>
    </w:rPr>
  </w:style>
  <w:style w:type="paragraph" w:styleId="Footer">
    <w:name w:val="footer"/>
    <w:basedOn w:val="Normal"/>
    <w:link w:val="FooterChar"/>
    <w:rsid w:val="0099266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92664"/>
    <w:rPr>
      <w:rFonts w:cs="Traditional Arabic"/>
      <w:color w:val="000000"/>
      <w:sz w:val="26"/>
      <w:szCs w:val="26"/>
      <w:lang w:bidi="ar-SA"/>
    </w:rPr>
  </w:style>
  <w:style w:type="paragraph" w:styleId="Header">
    <w:name w:val="header"/>
    <w:basedOn w:val="Normal"/>
    <w:link w:val="HeaderChar"/>
    <w:uiPriority w:val="99"/>
    <w:rsid w:val="00992664"/>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992664"/>
    <w:rPr>
      <w:rFonts w:cs="Traditional Arabic"/>
      <w:color w:val="000000"/>
      <w:sz w:val="26"/>
      <w:szCs w:val="26"/>
      <w:lang w:bidi="ar-SA"/>
    </w:rPr>
  </w:style>
  <w:style w:type="paragraph" w:customStyle="1" w:styleId="libcenterbold20">
    <w:name w:val="libcenterbold2"/>
    <w:basedOn w:val="Normal"/>
    <w:rsid w:val="0099445F"/>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07907334">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0156-94FC-422D-A862-0CECFB4E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5969</TotalTime>
  <Pages>1</Pages>
  <Words>222690</Words>
  <Characters>1269338</Characters>
  <Application>Microsoft Office Word</Application>
  <DocSecurity>0</DocSecurity>
  <Lines>10577</Lines>
  <Paragraphs>2978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hasan</cp:lastModifiedBy>
  <cp:revision>1121</cp:revision>
  <cp:lastPrinted>2020-08-15T12:24:00Z</cp:lastPrinted>
  <dcterms:created xsi:type="dcterms:W3CDTF">2020-06-04T09:28:00Z</dcterms:created>
  <dcterms:modified xsi:type="dcterms:W3CDTF">2020-08-15T12:27:00Z</dcterms:modified>
</cp:coreProperties>
</file>